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theme/themeOverride1.xml" ContentType="application/vnd.openxmlformats-officedocument.themeOverride+xml"/>
  <Override PartName="/word/charts/chart9.xml" ContentType="application/vnd.openxmlformats-officedocument.drawingml.chart+xml"/>
  <Override PartName="/word/theme/themeOverride2.xml" ContentType="application/vnd.openxmlformats-officedocument.themeOverride+xml"/>
  <Override PartName="/word/charts/chart10.xml" ContentType="application/vnd.openxmlformats-officedocument.drawingml.chart+xml"/>
  <Override PartName="/word/theme/themeOverride3.xml" ContentType="application/vnd.openxmlformats-officedocument.themeOverride+xml"/>
  <Override PartName="/word/charts/chart11.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2.xml" ContentType="application/vnd.openxmlformats-officedocument.drawingml.chart+xml"/>
  <Override PartName="/word/theme/themeOverride4.xml" ContentType="application/vnd.openxmlformats-officedocument.themeOverride+xml"/>
  <Override PartName="/word/charts/chart13.xml" ContentType="application/vnd.openxmlformats-officedocument.drawingml.chart+xml"/>
  <Override PartName="/word/theme/themeOverride5.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8.xml" ContentType="application/vnd.openxmlformats-officedocument.drawingml.chart+xml"/>
  <Override PartName="/word/drawings/drawing1.xml" ContentType="application/vnd.openxmlformats-officedocument.drawingml.chartshapes+xml"/>
  <Override PartName="/word/charts/chart19.xml" ContentType="application/vnd.openxmlformats-officedocument.drawingml.chart+xml"/>
  <Override PartName="/word/theme/themeOverride6.xml" ContentType="application/vnd.openxmlformats-officedocument.themeOverride+xml"/>
  <Override PartName="/word/charts/chart2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2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22.xml" ContentType="application/vnd.openxmlformats-officedocument.drawingml.chart+xml"/>
  <Override PartName="/word/theme/themeOverride7.xml" ContentType="application/vnd.openxmlformats-officedocument.themeOverride+xml"/>
  <Override PartName="/word/charts/chart23.xml" ContentType="application/vnd.openxmlformats-officedocument.drawingml.chart+xml"/>
  <Override PartName="/word/theme/themeOverride8.xml" ContentType="application/vnd.openxmlformats-officedocument.themeOverride+xml"/>
  <Override PartName="/word/charts/chart24.xml" ContentType="application/vnd.openxmlformats-officedocument.drawingml.chart+xml"/>
  <Override PartName="/word/theme/themeOverride9.xml" ContentType="application/vnd.openxmlformats-officedocument.themeOverride+xml"/>
  <Override PartName="/word/charts/chart25.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0.xml" ContentType="application/vnd.openxmlformats-officedocument.themeOverride+xml"/>
  <Override PartName="/word/charts/chart26.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27.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1.xml" ContentType="application/vnd.openxmlformats-officedocument.themeOverride+xml"/>
  <Override PartName="/word/charts/chart28.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2.xml" ContentType="application/vnd.openxmlformats-officedocument.themeOverride+xml"/>
  <Override PartName="/word/charts/chart29.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3.xml" ContentType="application/vnd.openxmlformats-officedocument.themeOverride+xml"/>
  <Override PartName="/word/charts/chart30.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4.xml" ContentType="application/vnd.openxmlformats-officedocument.themeOverride+xml"/>
  <Override PartName="/word/charts/chart31.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5.xml" ContentType="application/vnd.openxmlformats-officedocument.themeOverride+xml"/>
  <Override PartName="/word/charts/chart32.xml" ContentType="application/vnd.openxmlformats-officedocument.drawingml.chart+xml"/>
  <Override PartName="/word/charts/style19.xml" ContentType="application/vnd.ms-office.chartstyle+xml"/>
  <Override PartName="/word/charts/colors19.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056BA6" w14:textId="77777777" w:rsidR="00895F16" w:rsidRPr="00D01CA9" w:rsidRDefault="00895F16" w:rsidP="00D61D6A">
      <w:pPr>
        <w:spacing w:after="0" w:line="300" w:lineRule="atLeast"/>
        <w:jc w:val="center"/>
        <w:rPr>
          <w:rFonts w:ascii="Times New Roman" w:eastAsia="Calibri" w:hAnsi="Times New Roman" w:cs="Times New Roman"/>
          <w:b/>
          <w:sz w:val="36"/>
          <w:szCs w:val="36"/>
          <w:lang w:eastAsia="pl-PL"/>
        </w:rPr>
      </w:pPr>
      <w:bookmarkStart w:id="0" w:name="_Hlk130218300"/>
      <w:bookmarkStart w:id="1" w:name="_Hlk73100937"/>
      <w:bookmarkEnd w:id="0"/>
      <w:r w:rsidRPr="00D01CA9">
        <w:rPr>
          <w:rFonts w:ascii="Times New Roman" w:eastAsia="Calibri" w:hAnsi="Times New Roman" w:cs="Times New Roman"/>
          <w:b/>
          <w:sz w:val="36"/>
          <w:szCs w:val="36"/>
          <w:lang w:eastAsia="pl-PL"/>
        </w:rPr>
        <w:t>GŁÓWNY INSPEKTOR OCHRONY ŚRODOWISKA</w:t>
      </w:r>
    </w:p>
    <w:p w14:paraId="49FFA32F"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6F2420DB" w14:textId="77777777" w:rsidR="00895F16" w:rsidRPr="007F400A" w:rsidRDefault="00895F16" w:rsidP="00895F16">
      <w:pPr>
        <w:spacing w:after="0" w:line="300" w:lineRule="atLeast"/>
        <w:ind w:firstLine="708"/>
        <w:rPr>
          <w:rFonts w:ascii="Times New Roman" w:eastAsia="Calibri" w:hAnsi="Times New Roman" w:cs="Times New Roman"/>
          <w:sz w:val="20"/>
          <w:szCs w:val="20"/>
          <w:lang w:eastAsia="pl-PL"/>
        </w:rPr>
      </w:pPr>
    </w:p>
    <w:p w14:paraId="580D6925" w14:textId="77777777" w:rsidR="00895F16" w:rsidRPr="007F400A" w:rsidRDefault="00895F16" w:rsidP="00895F16">
      <w:pPr>
        <w:spacing w:after="0" w:line="300" w:lineRule="atLeast"/>
        <w:ind w:firstLine="708"/>
        <w:rPr>
          <w:rFonts w:ascii="Times New Roman" w:eastAsia="Calibri" w:hAnsi="Times New Roman" w:cs="Times New Roman"/>
          <w:sz w:val="20"/>
          <w:szCs w:val="20"/>
          <w:lang w:eastAsia="pl-PL"/>
        </w:rPr>
      </w:pPr>
    </w:p>
    <w:p w14:paraId="15878663" w14:textId="77777777" w:rsidR="00895F16" w:rsidRPr="007F400A" w:rsidRDefault="00895F16" w:rsidP="00895F16">
      <w:pPr>
        <w:spacing w:after="0" w:line="300" w:lineRule="atLeast"/>
        <w:ind w:firstLine="708"/>
        <w:jc w:val="both"/>
        <w:rPr>
          <w:rFonts w:ascii="Times New Roman" w:eastAsia="Calibri" w:hAnsi="Times New Roman" w:cs="Times New Roman"/>
          <w:b/>
          <w:sz w:val="26"/>
          <w:szCs w:val="26"/>
          <w:lang w:eastAsia="pl-PL"/>
        </w:rPr>
      </w:pPr>
      <w:r w:rsidRPr="007F400A">
        <w:rPr>
          <w:rFonts w:ascii="Times New Roman" w:eastAsia="Calibri" w:hAnsi="Times New Roman" w:cs="Times New Roman"/>
          <w:b/>
          <w:sz w:val="24"/>
          <w:szCs w:val="24"/>
          <w:lang w:eastAsia="pl-PL"/>
        </w:rPr>
        <w:t xml:space="preserve">      </w:t>
      </w:r>
      <w:r w:rsidRPr="007F400A">
        <w:rPr>
          <w:rFonts w:ascii="Times New Roman" w:eastAsia="Calibri" w:hAnsi="Times New Roman" w:cs="Times New Roman"/>
          <w:b/>
          <w:sz w:val="26"/>
          <w:szCs w:val="26"/>
          <w:lang w:eastAsia="pl-PL"/>
        </w:rPr>
        <w:t>Akceptuję</w:t>
      </w:r>
    </w:p>
    <w:p w14:paraId="0B3B448E" w14:textId="77777777" w:rsidR="00895F16" w:rsidRPr="007F400A" w:rsidRDefault="00895F16" w:rsidP="00895F16">
      <w:pPr>
        <w:spacing w:after="0" w:line="300" w:lineRule="atLeast"/>
        <w:ind w:firstLine="708"/>
        <w:jc w:val="both"/>
        <w:rPr>
          <w:rFonts w:ascii="Times New Roman" w:eastAsia="Calibri" w:hAnsi="Times New Roman" w:cs="Times New Roman"/>
          <w:b/>
          <w:sz w:val="26"/>
          <w:szCs w:val="26"/>
          <w:lang w:eastAsia="pl-PL"/>
        </w:rPr>
      </w:pPr>
    </w:p>
    <w:p w14:paraId="7BC1C516" w14:textId="77777777" w:rsidR="00895F16" w:rsidRPr="007F400A" w:rsidRDefault="00895F16" w:rsidP="00895F16">
      <w:pPr>
        <w:spacing w:after="0" w:line="300" w:lineRule="atLeast"/>
        <w:ind w:firstLine="708"/>
        <w:jc w:val="both"/>
        <w:rPr>
          <w:rFonts w:ascii="Times New Roman" w:eastAsia="Calibri" w:hAnsi="Times New Roman" w:cs="Times New Roman"/>
          <w:b/>
          <w:sz w:val="26"/>
          <w:szCs w:val="26"/>
          <w:lang w:eastAsia="pl-PL"/>
        </w:rPr>
      </w:pPr>
    </w:p>
    <w:p w14:paraId="53B2E476" w14:textId="77777777" w:rsidR="00895F16" w:rsidRPr="007F400A" w:rsidRDefault="00895F16" w:rsidP="00895F16">
      <w:pPr>
        <w:spacing w:after="0" w:line="300" w:lineRule="atLeast"/>
        <w:ind w:firstLine="708"/>
        <w:jc w:val="both"/>
        <w:rPr>
          <w:rFonts w:ascii="Times New Roman" w:eastAsia="Calibri" w:hAnsi="Times New Roman" w:cs="Times New Roman"/>
          <w:b/>
          <w:sz w:val="26"/>
          <w:szCs w:val="26"/>
          <w:lang w:eastAsia="pl-PL"/>
        </w:rPr>
      </w:pPr>
    </w:p>
    <w:p w14:paraId="10F36C4B" w14:textId="77777777" w:rsidR="00895F16" w:rsidRPr="007F400A" w:rsidRDefault="00895F16" w:rsidP="00895F16">
      <w:pPr>
        <w:spacing w:after="0" w:line="300" w:lineRule="atLeast"/>
        <w:ind w:firstLine="708"/>
        <w:jc w:val="both"/>
        <w:rPr>
          <w:rFonts w:ascii="Times New Roman" w:eastAsia="Calibri" w:hAnsi="Times New Roman" w:cs="Times New Roman"/>
          <w:b/>
          <w:sz w:val="26"/>
          <w:szCs w:val="26"/>
          <w:lang w:eastAsia="pl-PL"/>
        </w:rPr>
      </w:pPr>
      <w:r w:rsidRPr="007F400A">
        <w:rPr>
          <w:rFonts w:ascii="Times New Roman" w:eastAsia="Calibri" w:hAnsi="Times New Roman" w:cs="Times New Roman"/>
          <w:b/>
          <w:sz w:val="26"/>
          <w:szCs w:val="26"/>
          <w:lang w:eastAsia="pl-PL"/>
        </w:rPr>
        <w:t>Minister Klimatu</w:t>
      </w:r>
    </w:p>
    <w:p w14:paraId="658E4286" w14:textId="77777777" w:rsidR="00895F16" w:rsidRPr="007F400A" w:rsidRDefault="00895F16" w:rsidP="00895F16">
      <w:pPr>
        <w:spacing w:after="0" w:line="300" w:lineRule="atLeast"/>
        <w:ind w:firstLine="708"/>
        <w:jc w:val="both"/>
        <w:rPr>
          <w:rFonts w:ascii="Times New Roman" w:eastAsia="Calibri" w:hAnsi="Times New Roman" w:cs="Times New Roman"/>
          <w:b/>
          <w:sz w:val="26"/>
          <w:szCs w:val="26"/>
          <w:lang w:eastAsia="pl-PL"/>
        </w:rPr>
      </w:pPr>
      <w:r w:rsidRPr="007F400A">
        <w:rPr>
          <w:rFonts w:ascii="Times New Roman" w:eastAsia="Calibri" w:hAnsi="Times New Roman" w:cs="Times New Roman"/>
          <w:b/>
          <w:sz w:val="26"/>
          <w:szCs w:val="26"/>
          <w:lang w:eastAsia="pl-PL"/>
        </w:rPr>
        <w:t xml:space="preserve">    i Środowiska</w:t>
      </w:r>
    </w:p>
    <w:p w14:paraId="1D9B013F"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5E8B9D4F"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2D1ECE38"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11DA111D"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75CF460C"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2BBF2343"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5EB88034"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671B33F0"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19A4715B"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549D6A80" w14:textId="77777777" w:rsidR="00895F16" w:rsidRPr="007F400A" w:rsidRDefault="00895F16" w:rsidP="00895F16">
      <w:pPr>
        <w:spacing w:after="0" w:line="300" w:lineRule="atLeast"/>
        <w:jc w:val="center"/>
        <w:rPr>
          <w:rFonts w:ascii="Times New Roman" w:eastAsia="Calibri" w:hAnsi="Times New Roman" w:cs="Times New Roman"/>
        </w:rPr>
      </w:pPr>
    </w:p>
    <w:p w14:paraId="360BA46A" w14:textId="77777777" w:rsidR="00895F16" w:rsidRPr="007F400A" w:rsidRDefault="00895F16" w:rsidP="00895F16">
      <w:pPr>
        <w:spacing w:after="0" w:line="300" w:lineRule="atLeast"/>
        <w:jc w:val="center"/>
        <w:rPr>
          <w:rFonts w:ascii="Times New Roman" w:eastAsia="Calibri" w:hAnsi="Times New Roman" w:cs="Times New Roman"/>
          <w:b/>
          <w:sz w:val="52"/>
        </w:rPr>
      </w:pPr>
      <w:r w:rsidRPr="007F400A">
        <w:rPr>
          <w:rFonts w:ascii="Times New Roman" w:eastAsia="Calibri" w:hAnsi="Times New Roman" w:cs="Times New Roman"/>
          <w:b/>
          <w:sz w:val="52"/>
        </w:rPr>
        <w:t>INFORMACJA</w:t>
      </w:r>
    </w:p>
    <w:p w14:paraId="77AF5045" w14:textId="77777777" w:rsidR="00895F16" w:rsidRPr="007F400A" w:rsidRDefault="00895F16" w:rsidP="00895F16">
      <w:pPr>
        <w:spacing w:after="0" w:line="300" w:lineRule="atLeast"/>
        <w:jc w:val="center"/>
        <w:rPr>
          <w:rFonts w:ascii="Times New Roman" w:eastAsia="Calibri" w:hAnsi="Times New Roman" w:cs="Times New Roman"/>
          <w:b/>
          <w:sz w:val="52"/>
        </w:rPr>
      </w:pPr>
      <w:r w:rsidRPr="007F400A">
        <w:rPr>
          <w:rFonts w:ascii="Times New Roman" w:eastAsia="Calibri" w:hAnsi="Times New Roman" w:cs="Times New Roman"/>
          <w:b/>
          <w:sz w:val="52"/>
        </w:rPr>
        <w:t>O REALIZACJI ZADAŃ INSPEKCJI OCHRONY ŚRODOWISKA</w:t>
      </w:r>
    </w:p>
    <w:p w14:paraId="1BA75823" w14:textId="306CE6A5" w:rsidR="00895F16" w:rsidRPr="007F400A" w:rsidRDefault="00895F16" w:rsidP="00895F16">
      <w:pPr>
        <w:spacing w:after="0" w:line="300" w:lineRule="atLeast"/>
        <w:jc w:val="center"/>
        <w:rPr>
          <w:rFonts w:ascii="Times New Roman" w:eastAsia="Calibri" w:hAnsi="Times New Roman" w:cs="Times New Roman"/>
          <w:b/>
          <w:sz w:val="52"/>
        </w:rPr>
      </w:pPr>
      <w:r w:rsidRPr="007F400A">
        <w:rPr>
          <w:rFonts w:ascii="Times New Roman" w:eastAsia="Calibri" w:hAnsi="Times New Roman" w:cs="Times New Roman"/>
          <w:b/>
          <w:sz w:val="52"/>
        </w:rPr>
        <w:t>W 202</w:t>
      </w:r>
      <w:r w:rsidR="00C96893">
        <w:rPr>
          <w:rFonts w:ascii="Times New Roman" w:eastAsia="Calibri" w:hAnsi="Times New Roman" w:cs="Times New Roman"/>
          <w:b/>
          <w:sz w:val="52"/>
        </w:rPr>
        <w:t>2</w:t>
      </w:r>
      <w:r w:rsidRPr="007F400A">
        <w:rPr>
          <w:rFonts w:ascii="Times New Roman" w:eastAsia="Calibri" w:hAnsi="Times New Roman" w:cs="Times New Roman"/>
          <w:b/>
          <w:sz w:val="52"/>
        </w:rPr>
        <w:t xml:space="preserve"> ROK</w:t>
      </w:r>
      <w:r w:rsidR="006726C7">
        <w:rPr>
          <w:rFonts w:ascii="Times New Roman" w:eastAsia="Calibri" w:hAnsi="Times New Roman" w:cs="Times New Roman"/>
          <w:b/>
          <w:sz w:val="52"/>
        </w:rPr>
        <w:t>U</w:t>
      </w:r>
    </w:p>
    <w:p w14:paraId="7DECEDEF" w14:textId="77777777" w:rsidR="00895F16" w:rsidRPr="007F400A" w:rsidRDefault="00895F16" w:rsidP="00895F16">
      <w:pPr>
        <w:spacing w:after="0" w:line="300" w:lineRule="atLeast"/>
        <w:jc w:val="right"/>
        <w:rPr>
          <w:rFonts w:ascii="Times New Roman" w:eastAsia="Calibri" w:hAnsi="Times New Roman" w:cs="Times New Roman"/>
          <w:sz w:val="20"/>
          <w:szCs w:val="20"/>
          <w:lang w:eastAsia="pl-PL"/>
        </w:rPr>
      </w:pPr>
    </w:p>
    <w:p w14:paraId="0570E503" w14:textId="77777777" w:rsidR="00895F16" w:rsidRPr="007F400A" w:rsidRDefault="00895F16" w:rsidP="00895F16">
      <w:pPr>
        <w:spacing w:after="0" w:line="300" w:lineRule="atLeast"/>
        <w:jc w:val="right"/>
        <w:rPr>
          <w:rFonts w:ascii="Times New Roman" w:eastAsia="Calibri" w:hAnsi="Times New Roman" w:cs="Times New Roman"/>
          <w:sz w:val="20"/>
          <w:szCs w:val="20"/>
          <w:lang w:eastAsia="pl-PL"/>
        </w:rPr>
      </w:pPr>
    </w:p>
    <w:p w14:paraId="570E48E1" w14:textId="77777777" w:rsidR="00895F16" w:rsidRPr="007F400A" w:rsidRDefault="00895F16" w:rsidP="00895F16">
      <w:pPr>
        <w:spacing w:after="0" w:line="300" w:lineRule="atLeast"/>
        <w:jc w:val="right"/>
        <w:rPr>
          <w:rFonts w:ascii="Times New Roman" w:eastAsia="Calibri" w:hAnsi="Times New Roman" w:cs="Times New Roman"/>
          <w:sz w:val="20"/>
          <w:szCs w:val="20"/>
          <w:lang w:eastAsia="pl-PL"/>
        </w:rPr>
      </w:pPr>
    </w:p>
    <w:p w14:paraId="5A0EC0B2" w14:textId="77777777" w:rsidR="00895F16" w:rsidRPr="007F400A" w:rsidRDefault="00895F16" w:rsidP="00895F16">
      <w:pPr>
        <w:spacing w:after="0" w:line="300" w:lineRule="atLeast"/>
        <w:jc w:val="right"/>
        <w:rPr>
          <w:rFonts w:ascii="Times New Roman" w:eastAsia="Calibri" w:hAnsi="Times New Roman" w:cs="Times New Roman"/>
          <w:sz w:val="20"/>
          <w:szCs w:val="20"/>
          <w:lang w:eastAsia="pl-PL"/>
        </w:rPr>
      </w:pPr>
    </w:p>
    <w:p w14:paraId="03034828" w14:textId="77777777" w:rsidR="00895F16" w:rsidRPr="007F400A" w:rsidRDefault="00895F16" w:rsidP="00895F16">
      <w:pPr>
        <w:spacing w:after="0" w:line="300" w:lineRule="atLeast"/>
        <w:ind w:left="4956" w:firstLine="708"/>
        <w:rPr>
          <w:rFonts w:ascii="Times New Roman" w:eastAsia="Calibri" w:hAnsi="Times New Roman" w:cs="Times New Roman"/>
          <w:b/>
          <w:sz w:val="20"/>
          <w:szCs w:val="20"/>
          <w:lang w:eastAsia="pl-PL"/>
        </w:rPr>
      </w:pPr>
      <w:r w:rsidRPr="007F400A">
        <w:rPr>
          <w:rFonts w:ascii="Times New Roman" w:eastAsia="Calibri" w:hAnsi="Times New Roman" w:cs="Times New Roman"/>
          <w:b/>
          <w:sz w:val="20"/>
          <w:szCs w:val="20"/>
          <w:lang w:eastAsia="pl-PL"/>
        </w:rPr>
        <w:t xml:space="preserve">        Przedkładam do akceptacji </w:t>
      </w:r>
      <w:r w:rsidRPr="007F400A">
        <w:rPr>
          <w:rFonts w:ascii="Times New Roman" w:eastAsia="Calibri" w:hAnsi="Times New Roman" w:cs="Times New Roman"/>
          <w:b/>
          <w:sz w:val="20"/>
          <w:szCs w:val="20"/>
          <w:lang w:eastAsia="pl-PL"/>
        </w:rPr>
        <w:tab/>
      </w:r>
    </w:p>
    <w:p w14:paraId="2FF3D1B1" w14:textId="77777777" w:rsidR="00895F16" w:rsidRPr="007F400A" w:rsidRDefault="00895F16" w:rsidP="00895F16">
      <w:pPr>
        <w:spacing w:after="0" w:line="300" w:lineRule="atLeast"/>
        <w:jc w:val="right"/>
        <w:rPr>
          <w:rFonts w:ascii="Times New Roman" w:eastAsia="Calibri" w:hAnsi="Times New Roman" w:cs="Times New Roman"/>
          <w:sz w:val="20"/>
          <w:szCs w:val="20"/>
          <w:lang w:eastAsia="pl-PL"/>
        </w:rPr>
      </w:pPr>
      <w:r w:rsidRPr="007F400A">
        <w:rPr>
          <w:rFonts w:ascii="Times New Roman" w:eastAsia="Calibri" w:hAnsi="Times New Roman" w:cs="Times New Roman"/>
          <w:b/>
          <w:sz w:val="20"/>
          <w:szCs w:val="20"/>
          <w:lang w:eastAsia="pl-PL"/>
        </w:rPr>
        <w:t>Główny Inspektor Ochrony Środowiska</w:t>
      </w:r>
    </w:p>
    <w:p w14:paraId="37C03EC2"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65345F95"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2543BF6E"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3313B2CF"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15BF6C7E"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6BB1E793"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230DEF63"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68A55B8A"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2AB5AE47" w14:textId="4AE304AC" w:rsidR="00895F16" w:rsidRPr="007F400A" w:rsidRDefault="00895F16" w:rsidP="00BB63E9">
      <w:pPr>
        <w:spacing w:after="0" w:line="300" w:lineRule="atLeast"/>
        <w:jc w:val="center"/>
        <w:rPr>
          <w:rFonts w:ascii="Times New Roman" w:eastAsia="Calibri" w:hAnsi="Times New Roman" w:cs="Times New Roman"/>
          <w:sz w:val="20"/>
          <w:szCs w:val="20"/>
          <w:lang w:eastAsia="pl-PL"/>
        </w:rPr>
      </w:pPr>
      <w:r w:rsidRPr="00AD7F4B">
        <w:rPr>
          <w:rFonts w:ascii="Times New Roman" w:eastAsia="Calibri" w:hAnsi="Times New Roman" w:cs="Times New Roman"/>
          <w:color w:val="000000" w:themeColor="text1"/>
          <w:sz w:val="20"/>
          <w:szCs w:val="20"/>
          <w:lang w:eastAsia="pl-PL"/>
        </w:rPr>
        <w:t xml:space="preserve">Warszawa,    </w:t>
      </w:r>
      <w:r w:rsidR="004C03B7" w:rsidRPr="00AD7F4B">
        <w:rPr>
          <w:rFonts w:ascii="Times New Roman" w:eastAsia="Calibri" w:hAnsi="Times New Roman" w:cs="Times New Roman"/>
          <w:color w:val="000000" w:themeColor="text1"/>
          <w:sz w:val="20"/>
          <w:szCs w:val="20"/>
          <w:lang w:eastAsia="pl-PL"/>
        </w:rPr>
        <w:t xml:space="preserve">  </w:t>
      </w:r>
      <w:r w:rsidR="00C464DE" w:rsidRPr="00AD7F4B">
        <w:rPr>
          <w:rFonts w:ascii="Times New Roman" w:eastAsia="Calibri" w:hAnsi="Times New Roman" w:cs="Times New Roman"/>
          <w:color w:val="000000" w:themeColor="text1"/>
          <w:sz w:val="20"/>
          <w:szCs w:val="20"/>
          <w:lang w:eastAsia="pl-PL"/>
        </w:rPr>
        <w:t xml:space="preserve"> </w:t>
      </w:r>
      <w:r w:rsidRPr="00AD7F4B">
        <w:rPr>
          <w:rFonts w:ascii="Times New Roman" w:eastAsia="Calibri" w:hAnsi="Times New Roman" w:cs="Times New Roman"/>
          <w:color w:val="000000" w:themeColor="text1"/>
          <w:sz w:val="20"/>
          <w:szCs w:val="20"/>
          <w:lang w:eastAsia="pl-PL"/>
        </w:rPr>
        <w:t xml:space="preserve">  maj</w:t>
      </w:r>
      <w:r w:rsidR="00AD7F4B" w:rsidRPr="00AD7F4B">
        <w:rPr>
          <w:rFonts w:ascii="Times New Roman" w:eastAsia="Calibri" w:hAnsi="Times New Roman" w:cs="Times New Roman"/>
          <w:color w:val="000000" w:themeColor="text1"/>
          <w:sz w:val="20"/>
          <w:szCs w:val="20"/>
          <w:lang w:eastAsia="pl-PL"/>
        </w:rPr>
        <w:t>a</w:t>
      </w:r>
      <w:r w:rsidRPr="00AD7F4B">
        <w:rPr>
          <w:rFonts w:ascii="Times New Roman" w:eastAsia="Calibri" w:hAnsi="Times New Roman" w:cs="Times New Roman"/>
          <w:color w:val="000000" w:themeColor="text1"/>
          <w:sz w:val="20"/>
          <w:szCs w:val="20"/>
          <w:lang w:eastAsia="pl-PL"/>
        </w:rPr>
        <w:t xml:space="preserve"> </w:t>
      </w:r>
      <w:r w:rsidR="00C96893" w:rsidRPr="00AD7F4B">
        <w:rPr>
          <w:rFonts w:ascii="Times New Roman" w:eastAsia="Calibri" w:hAnsi="Times New Roman" w:cs="Times New Roman"/>
          <w:color w:val="000000" w:themeColor="text1"/>
          <w:sz w:val="20"/>
          <w:szCs w:val="20"/>
          <w:lang w:eastAsia="pl-PL"/>
        </w:rPr>
        <w:t xml:space="preserve">  </w:t>
      </w:r>
      <w:r w:rsidRPr="00AD7F4B">
        <w:rPr>
          <w:rFonts w:ascii="Times New Roman" w:eastAsia="Calibri" w:hAnsi="Times New Roman" w:cs="Times New Roman"/>
          <w:color w:val="000000" w:themeColor="text1"/>
          <w:sz w:val="20"/>
          <w:szCs w:val="20"/>
          <w:lang w:eastAsia="pl-PL"/>
        </w:rPr>
        <w:t>202</w:t>
      </w:r>
      <w:r w:rsidR="00C96893" w:rsidRPr="00AD7F4B">
        <w:rPr>
          <w:rFonts w:ascii="Times New Roman" w:eastAsia="Calibri" w:hAnsi="Times New Roman" w:cs="Times New Roman"/>
          <w:color w:val="000000" w:themeColor="text1"/>
          <w:sz w:val="20"/>
          <w:szCs w:val="20"/>
          <w:lang w:eastAsia="pl-PL"/>
        </w:rPr>
        <w:t>3</w:t>
      </w:r>
      <w:r w:rsidRPr="00AD7F4B">
        <w:rPr>
          <w:rFonts w:ascii="Times New Roman" w:eastAsia="Calibri" w:hAnsi="Times New Roman" w:cs="Times New Roman"/>
          <w:color w:val="000000" w:themeColor="text1"/>
          <w:sz w:val="20"/>
          <w:szCs w:val="20"/>
          <w:lang w:eastAsia="pl-PL"/>
        </w:rPr>
        <w:t xml:space="preserve"> r.</w:t>
      </w:r>
    </w:p>
    <w:p w14:paraId="3E0CFA26" w14:textId="37EC053B"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53A748C8"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53A00ECD"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3E64A8C3"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36AB15F6"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5C763F07"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3F5CE661"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69FEF439"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74EC1881"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2074F8FD"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4280B995"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5F5C6165"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7611387A"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0DB0A9E4"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4D72562F"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3661386B"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4ABE3790"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7E666F38"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3AC5A45D"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4B3F68B7"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5AA101A8"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6DC96751"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628D6DBC"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66B7A0EF"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2DA5D049"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4D3443BB"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69173426"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3A388021"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2498422A"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002F0660"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27143E6F"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p>
    <w:p w14:paraId="4EABEC96" w14:textId="77777777" w:rsidR="00895F16" w:rsidRPr="007F400A" w:rsidRDefault="00895F16" w:rsidP="00895F16">
      <w:pPr>
        <w:spacing w:after="0" w:line="300" w:lineRule="atLeast"/>
        <w:jc w:val="center"/>
        <w:rPr>
          <w:rFonts w:ascii="Times New Roman" w:eastAsia="Calibri" w:hAnsi="Times New Roman" w:cs="Times New Roman"/>
          <w:sz w:val="20"/>
          <w:szCs w:val="20"/>
          <w:lang w:eastAsia="pl-PL"/>
        </w:rPr>
      </w:pPr>
    </w:p>
    <w:p w14:paraId="34A00A90" w14:textId="77777777" w:rsidR="00895F16" w:rsidRPr="007F400A" w:rsidRDefault="00895F16" w:rsidP="00895F16">
      <w:pPr>
        <w:spacing w:after="0" w:line="300" w:lineRule="atLeast"/>
        <w:rPr>
          <w:rFonts w:ascii="Times New Roman" w:eastAsia="Calibri" w:hAnsi="Times New Roman" w:cs="Times New Roman"/>
          <w:sz w:val="20"/>
          <w:szCs w:val="20"/>
          <w:lang w:eastAsia="pl-PL"/>
        </w:rPr>
      </w:pPr>
      <w:r w:rsidRPr="007F400A">
        <w:rPr>
          <w:rFonts w:ascii="Times New Roman" w:eastAsia="Calibri" w:hAnsi="Times New Roman" w:cs="Times New Roman"/>
          <w:sz w:val="20"/>
          <w:szCs w:val="20"/>
          <w:lang w:eastAsia="pl-PL"/>
        </w:rPr>
        <w:br w:type="page"/>
      </w:r>
    </w:p>
    <w:p w14:paraId="7AC20881" w14:textId="77777777" w:rsidR="00895F16" w:rsidRPr="00D80FBD" w:rsidRDefault="00895F16" w:rsidP="00895F16">
      <w:pPr>
        <w:keepNext/>
        <w:keepLines/>
        <w:spacing w:before="240" w:after="0" w:line="300" w:lineRule="atLeast"/>
        <w:jc w:val="center"/>
        <w:rPr>
          <w:rFonts w:ascii="Calibri Light" w:eastAsia="Times New Roman" w:hAnsi="Calibri Light" w:cs="Times New Roman"/>
          <w:color w:val="2E74B5"/>
          <w:sz w:val="24"/>
          <w:szCs w:val="32"/>
          <w:lang w:val="x-none" w:eastAsia="x-none"/>
        </w:rPr>
      </w:pPr>
      <w:r w:rsidRPr="00D80FBD">
        <w:rPr>
          <w:rFonts w:ascii="Calibri Light" w:eastAsia="Times New Roman" w:hAnsi="Calibri Light" w:cs="Times New Roman"/>
          <w:color w:val="2E74B5"/>
          <w:sz w:val="24"/>
          <w:szCs w:val="32"/>
          <w:lang w:val="x-none" w:eastAsia="x-none"/>
        </w:rPr>
        <w:lastRenderedPageBreak/>
        <w:t>Spis treści</w:t>
      </w:r>
    </w:p>
    <w:p w14:paraId="7811A9CE" w14:textId="2B0D0F68" w:rsidR="00D80FBD" w:rsidRPr="00D80FBD" w:rsidRDefault="00895F16">
      <w:pPr>
        <w:pStyle w:val="Spistreci1"/>
        <w:rPr>
          <w:rFonts w:asciiTheme="minorHAnsi" w:eastAsiaTheme="minorEastAsia" w:hAnsiTheme="minorHAnsi" w:cstheme="minorBidi"/>
          <w:bCs w:val="0"/>
          <w:sz w:val="22"/>
          <w:szCs w:val="22"/>
          <w:lang w:val="pl-PL" w:eastAsia="pl-PL"/>
        </w:rPr>
      </w:pPr>
      <w:r w:rsidRPr="00D80FBD">
        <w:rPr>
          <w:bCs w:val="0"/>
        </w:rPr>
        <w:fldChar w:fldCharType="begin"/>
      </w:r>
      <w:r w:rsidRPr="00D80FBD">
        <w:instrText xml:space="preserve"> TOC \o "1-3" \h \z \u </w:instrText>
      </w:r>
      <w:r w:rsidRPr="00D80FBD">
        <w:rPr>
          <w:bCs w:val="0"/>
        </w:rPr>
        <w:fldChar w:fldCharType="separate"/>
      </w:r>
      <w:hyperlink w:anchor="_Toc135935572" w:history="1">
        <w:r w:rsidR="00D80FBD" w:rsidRPr="00D80FBD">
          <w:rPr>
            <w:rStyle w:val="Hipercze"/>
          </w:rPr>
          <w:t>I. WSTĘP</w:t>
        </w:r>
        <w:r w:rsidR="00D80FBD" w:rsidRPr="00D80FBD">
          <w:rPr>
            <w:webHidden/>
          </w:rPr>
          <w:tab/>
        </w:r>
        <w:r w:rsidR="00D80FBD" w:rsidRPr="00D80FBD">
          <w:rPr>
            <w:webHidden/>
          </w:rPr>
          <w:fldChar w:fldCharType="begin"/>
        </w:r>
        <w:r w:rsidR="00D80FBD" w:rsidRPr="00D80FBD">
          <w:rPr>
            <w:webHidden/>
          </w:rPr>
          <w:instrText xml:space="preserve"> PAGEREF _Toc135935572 \h </w:instrText>
        </w:r>
        <w:r w:rsidR="00D80FBD" w:rsidRPr="00D80FBD">
          <w:rPr>
            <w:webHidden/>
          </w:rPr>
        </w:r>
        <w:r w:rsidR="00D80FBD" w:rsidRPr="00D80FBD">
          <w:rPr>
            <w:webHidden/>
          </w:rPr>
          <w:fldChar w:fldCharType="separate"/>
        </w:r>
        <w:r w:rsidR="00D61CF7">
          <w:rPr>
            <w:webHidden/>
          </w:rPr>
          <w:t>10</w:t>
        </w:r>
        <w:r w:rsidR="00D80FBD" w:rsidRPr="00D80FBD">
          <w:rPr>
            <w:webHidden/>
          </w:rPr>
          <w:fldChar w:fldCharType="end"/>
        </w:r>
      </w:hyperlink>
    </w:p>
    <w:p w14:paraId="58AC3161" w14:textId="1E781AF6"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573" w:history="1">
        <w:r w:rsidR="00D80FBD" w:rsidRPr="00D80FBD">
          <w:rPr>
            <w:rStyle w:val="Hipercze"/>
          </w:rPr>
          <w:t>II. DZIAŁALNOŚĆ KONTROLNA</w:t>
        </w:r>
        <w:r w:rsidR="00D80FBD" w:rsidRPr="00D80FBD">
          <w:rPr>
            <w:webHidden/>
          </w:rPr>
          <w:tab/>
        </w:r>
        <w:r w:rsidR="00D80FBD" w:rsidRPr="00D80FBD">
          <w:rPr>
            <w:webHidden/>
          </w:rPr>
          <w:fldChar w:fldCharType="begin"/>
        </w:r>
        <w:r w:rsidR="00D80FBD" w:rsidRPr="00D80FBD">
          <w:rPr>
            <w:webHidden/>
          </w:rPr>
          <w:instrText xml:space="preserve"> PAGEREF _Toc135935573 \h </w:instrText>
        </w:r>
        <w:r w:rsidR="00D80FBD" w:rsidRPr="00D80FBD">
          <w:rPr>
            <w:webHidden/>
          </w:rPr>
        </w:r>
        <w:r w:rsidR="00D80FBD" w:rsidRPr="00D80FBD">
          <w:rPr>
            <w:webHidden/>
          </w:rPr>
          <w:fldChar w:fldCharType="separate"/>
        </w:r>
        <w:r w:rsidR="00D61CF7">
          <w:rPr>
            <w:webHidden/>
          </w:rPr>
          <w:t>12</w:t>
        </w:r>
        <w:r w:rsidR="00D80FBD" w:rsidRPr="00D80FBD">
          <w:rPr>
            <w:webHidden/>
          </w:rPr>
          <w:fldChar w:fldCharType="end"/>
        </w:r>
      </w:hyperlink>
    </w:p>
    <w:p w14:paraId="60EF45A8" w14:textId="551589C0"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574" w:history="1">
        <w:r w:rsidR="00D80FBD" w:rsidRPr="00D80FBD">
          <w:rPr>
            <w:rStyle w:val="Hipercze"/>
          </w:rPr>
          <w:t>1. Charakterystyka najważniejszych zadań realizowanych w 2022 r.</w:t>
        </w:r>
        <w:r w:rsidR="00D80FBD" w:rsidRPr="00D80FBD">
          <w:rPr>
            <w:webHidden/>
          </w:rPr>
          <w:tab/>
        </w:r>
        <w:r w:rsidR="00D80FBD" w:rsidRPr="00D80FBD">
          <w:rPr>
            <w:webHidden/>
          </w:rPr>
          <w:fldChar w:fldCharType="begin"/>
        </w:r>
        <w:r w:rsidR="00D80FBD" w:rsidRPr="00D80FBD">
          <w:rPr>
            <w:webHidden/>
          </w:rPr>
          <w:instrText xml:space="preserve"> PAGEREF _Toc135935574 \h </w:instrText>
        </w:r>
        <w:r w:rsidR="00D80FBD" w:rsidRPr="00D80FBD">
          <w:rPr>
            <w:webHidden/>
          </w:rPr>
        </w:r>
        <w:r w:rsidR="00D80FBD" w:rsidRPr="00D80FBD">
          <w:rPr>
            <w:webHidden/>
          </w:rPr>
          <w:fldChar w:fldCharType="separate"/>
        </w:r>
        <w:r w:rsidR="00D61CF7">
          <w:rPr>
            <w:webHidden/>
          </w:rPr>
          <w:t>12</w:t>
        </w:r>
        <w:r w:rsidR="00D80FBD" w:rsidRPr="00D80FBD">
          <w:rPr>
            <w:webHidden/>
          </w:rPr>
          <w:fldChar w:fldCharType="end"/>
        </w:r>
      </w:hyperlink>
    </w:p>
    <w:p w14:paraId="56501BB1" w14:textId="15BE05E5"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575" w:history="1">
        <w:r w:rsidR="00D80FBD" w:rsidRPr="00D80FBD">
          <w:rPr>
            <w:rStyle w:val="Hipercze"/>
          </w:rPr>
          <w:t>2. Realizacja zadań kontrolnych</w:t>
        </w:r>
        <w:r w:rsidR="00D80FBD" w:rsidRPr="00D80FBD">
          <w:rPr>
            <w:webHidden/>
          </w:rPr>
          <w:tab/>
        </w:r>
        <w:r w:rsidR="00D80FBD" w:rsidRPr="00D80FBD">
          <w:rPr>
            <w:webHidden/>
          </w:rPr>
          <w:fldChar w:fldCharType="begin"/>
        </w:r>
        <w:r w:rsidR="00D80FBD" w:rsidRPr="00D80FBD">
          <w:rPr>
            <w:webHidden/>
          </w:rPr>
          <w:instrText xml:space="preserve"> PAGEREF _Toc135935575 \h </w:instrText>
        </w:r>
        <w:r w:rsidR="00D80FBD" w:rsidRPr="00D80FBD">
          <w:rPr>
            <w:webHidden/>
          </w:rPr>
        </w:r>
        <w:r w:rsidR="00D80FBD" w:rsidRPr="00D80FBD">
          <w:rPr>
            <w:webHidden/>
          </w:rPr>
          <w:fldChar w:fldCharType="separate"/>
        </w:r>
        <w:r w:rsidR="00D61CF7">
          <w:rPr>
            <w:webHidden/>
          </w:rPr>
          <w:t>16</w:t>
        </w:r>
        <w:r w:rsidR="00D80FBD" w:rsidRPr="00D80FBD">
          <w:rPr>
            <w:webHidden/>
          </w:rPr>
          <w:fldChar w:fldCharType="end"/>
        </w:r>
      </w:hyperlink>
    </w:p>
    <w:p w14:paraId="5A433116" w14:textId="0D9048F8"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576" w:history="1">
        <w:r w:rsidR="00D80FBD" w:rsidRPr="00D80FBD">
          <w:rPr>
            <w:rStyle w:val="Hipercze"/>
          </w:rPr>
          <w:t>2.1 Ewidencja zakładów i planowanie kontroli</w:t>
        </w:r>
        <w:r w:rsidR="00D80FBD" w:rsidRPr="00D80FBD">
          <w:rPr>
            <w:webHidden/>
          </w:rPr>
          <w:tab/>
        </w:r>
        <w:r w:rsidR="00D80FBD" w:rsidRPr="00D80FBD">
          <w:rPr>
            <w:webHidden/>
          </w:rPr>
          <w:fldChar w:fldCharType="begin"/>
        </w:r>
        <w:r w:rsidR="00D80FBD" w:rsidRPr="00D80FBD">
          <w:rPr>
            <w:webHidden/>
          </w:rPr>
          <w:instrText xml:space="preserve"> PAGEREF _Toc135935576 \h </w:instrText>
        </w:r>
        <w:r w:rsidR="00D80FBD" w:rsidRPr="00D80FBD">
          <w:rPr>
            <w:webHidden/>
          </w:rPr>
        </w:r>
        <w:r w:rsidR="00D80FBD" w:rsidRPr="00D80FBD">
          <w:rPr>
            <w:webHidden/>
          </w:rPr>
          <w:fldChar w:fldCharType="separate"/>
        </w:r>
        <w:r w:rsidR="00D61CF7">
          <w:rPr>
            <w:webHidden/>
          </w:rPr>
          <w:t>16</w:t>
        </w:r>
        <w:r w:rsidR="00D80FBD" w:rsidRPr="00D80FBD">
          <w:rPr>
            <w:webHidden/>
          </w:rPr>
          <w:fldChar w:fldCharType="end"/>
        </w:r>
      </w:hyperlink>
    </w:p>
    <w:p w14:paraId="5EBF0663" w14:textId="457BCF5A"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577" w:history="1">
        <w:r w:rsidR="00D80FBD" w:rsidRPr="00D80FBD">
          <w:rPr>
            <w:rStyle w:val="Hipercze"/>
          </w:rPr>
          <w:t>2.2 Liczba przeprowadzonych kontroli</w:t>
        </w:r>
        <w:r w:rsidR="00D80FBD" w:rsidRPr="00D80FBD">
          <w:rPr>
            <w:webHidden/>
          </w:rPr>
          <w:tab/>
        </w:r>
        <w:r w:rsidR="00D80FBD" w:rsidRPr="00D80FBD">
          <w:rPr>
            <w:webHidden/>
          </w:rPr>
          <w:fldChar w:fldCharType="begin"/>
        </w:r>
        <w:r w:rsidR="00D80FBD" w:rsidRPr="00D80FBD">
          <w:rPr>
            <w:webHidden/>
          </w:rPr>
          <w:instrText xml:space="preserve"> PAGEREF _Toc135935577 \h </w:instrText>
        </w:r>
        <w:r w:rsidR="00D80FBD" w:rsidRPr="00D80FBD">
          <w:rPr>
            <w:webHidden/>
          </w:rPr>
        </w:r>
        <w:r w:rsidR="00D80FBD" w:rsidRPr="00D80FBD">
          <w:rPr>
            <w:webHidden/>
          </w:rPr>
          <w:fldChar w:fldCharType="separate"/>
        </w:r>
        <w:r w:rsidR="00D61CF7">
          <w:rPr>
            <w:webHidden/>
          </w:rPr>
          <w:t>19</w:t>
        </w:r>
        <w:r w:rsidR="00D80FBD" w:rsidRPr="00D80FBD">
          <w:rPr>
            <w:webHidden/>
          </w:rPr>
          <w:fldChar w:fldCharType="end"/>
        </w:r>
      </w:hyperlink>
    </w:p>
    <w:p w14:paraId="6164E54C" w14:textId="41853534"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578" w:history="1">
        <w:r w:rsidR="00D80FBD" w:rsidRPr="00D80FBD">
          <w:rPr>
            <w:rStyle w:val="Hipercze"/>
          </w:rPr>
          <w:t>3. Wyniki kontroli i stwierdzone naruszenia</w:t>
        </w:r>
        <w:r w:rsidR="00D80FBD" w:rsidRPr="00D80FBD">
          <w:rPr>
            <w:webHidden/>
          </w:rPr>
          <w:tab/>
        </w:r>
        <w:r w:rsidR="00D80FBD" w:rsidRPr="00D80FBD">
          <w:rPr>
            <w:webHidden/>
          </w:rPr>
          <w:fldChar w:fldCharType="begin"/>
        </w:r>
        <w:r w:rsidR="00D80FBD" w:rsidRPr="00D80FBD">
          <w:rPr>
            <w:webHidden/>
          </w:rPr>
          <w:instrText xml:space="preserve"> PAGEREF _Toc135935578 \h </w:instrText>
        </w:r>
        <w:r w:rsidR="00D80FBD" w:rsidRPr="00D80FBD">
          <w:rPr>
            <w:webHidden/>
          </w:rPr>
        </w:r>
        <w:r w:rsidR="00D80FBD" w:rsidRPr="00D80FBD">
          <w:rPr>
            <w:webHidden/>
          </w:rPr>
          <w:fldChar w:fldCharType="separate"/>
        </w:r>
        <w:r w:rsidR="00D61CF7">
          <w:rPr>
            <w:webHidden/>
          </w:rPr>
          <w:t>26</w:t>
        </w:r>
        <w:r w:rsidR="00D80FBD" w:rsidRPr="00D80FBD">
          <w:rPr>
            <w:webHidden/>
          </w:rPr>
          <w:fldChar w:fldCharType="end"/>
        </w:r>
      </w:hyperlink>
    </w:p>
    <w:p w14:paraId="76BD6C92" w14:textId="561CCF97"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579" w:history="1">
        <w:r w:rsidR="00D80FBD" w:rsidRPr="00D80FBD">
          <w:rPr>
            <w:rStyle w:val="Hipercze"/>
          </w:rPr>
          <w:t>3.1 Kontrola zakładów I kategorii ryzyka</w:t>
        </w:r>
        <w:r w:rsidR="00D80FBD" w:rsidRPr="00D80FBD">
          <w:rPr>
            <w:webHidden/>
          </w:rPr>
          <w:tab/>
        </w:r>
        <w:r w:rsidR="00D80FBD" w:rsidRPr="00D80FBD">
          <w:rPr>
            <w:webHidden/>
          </w:rPr>
          <w:fldChar w:fldCharType="begin"/>
        </w:r>
        <w:r w:rsidR="00D80FBD" w:rsidRPr="00D80FBD">
          <w:rPr>
            <w:webHidden/>
          </w:rPr>
          <w:instrText xml:space="preserve"> PAGEREF _Toc135935579 \h </w:instrText>
        </w:r>
        <w:r w:rsidR="00D80FBD" w:rsidRPr="00D80FBD">
          <w:rPr>
            <w:webHidden/>
          </w:rPr>
        </w:r>
        <w:r w:rsidR="00D80FBD" w:rsidRPr="00D80FBD">
          <w:rPr>
            <w:webHidden/>
          </w:rPr>
          <w:fldChar w:fldCharType="separate"/>
        </w:r>
        <w:r w:rsidR="00D61CF7">
          <w:rPr>
            <w:webHidden/>
          </w:rPr>
          <w:t>30</w:t>
        </w:r>
        <w:r w:rsidR="00D80FBD" w:rsidRPr="00D80FBD">
          <w:rPr>
            <w:webHidden/>
          </w:rPr>
          <w:fldChar w:fldCharType="end"/>
        </w:r>
      </w:hyperlink>
    </w:p>
    <w:p w14:paraId="5BFB26AE" w14:textId="0C61E54E"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580" w:history="1">
        <w:r w:rsidR="00D80FBD" w:rsidRPr="00D80FBD">
          <w:rPr>
            <w:rStyle w:val="Hipercze"/>
          </w:rPr>
          <w:t>3.1.1 Zakłady o dużym ryzyku wystąpienia poważnej awarii (ZDR)</w:t>
        </w:r>
        <w:r w:rsidR="00D80FBD" w:rsidRPr="00D80FBD">
          <w:rPr>
            <w:webHidden/>
          </w:rPr>
          <w:tab/>
        </w:r>
        <w:r w:rsidR="00D80FBD" w:rsidRPr="00D80FBD">
          <w:rPr>
            <w:webHidden/>
          </w:rPr>
          <w:fldChar w:fldCharType="begin"/>
        </w:r>
        <w:r w:rsidR="00D80FBD" w:rsidRPr="00D80FBD">
          <w:rPr>
            <w:webHidden/>
          </w:rPr>
          <w:instrText xml:space="preserve"> PAGEREF _Toc135935580 \h </w:instrText>
        </w:r>
        <w:r w:rsidR="00D80FBD" w:rsidRPr="00D80FBD">
          <w:rPr>
            <w:webHidden/>
          </w:rPr>
        </w:r>
        <w:r w:rsidR="00D80FBD" w:rsidRPr="00D80FBD">
          <w:rPr>
            <w:webHidden/>
          </w:rPr>
          <w:fldChar w:fldCharType="separate"/>
        </w:r>
        <w:r w:rsidR="00D61CF7">
          <w:rPr>
            <w:webHidden/>
          </w:rPr>
          <w:t>30</w:t>
        </w:r>
        <w:r w:rsidR="00D80FBD" w:rsidRPr="00D80FBD">
          <w:rPr>
            <w:webHidden/>
          </w:rPr>
          <w:fldChar w:fldCharType="end"/>
        </w:r>
      </w:hyperlink>
    </w:p>
    <w:p w14:paraId="4D07D4FA" w14:textId="6F0BDA2D"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581" w:history="1">
        <w:r w:rsidR="00D80FBD" w:rsidRPr="00D80FBD">
          <w:rPr>
            <w:rStyle w:val="Hipercze"/>
          </w:rPr>
          <w:t>3.1.2 Stacje demontażu pojazdów</w:t>
        </w:r>
        <w:r w:rsidR="00D80FBD" w:rsidRPr="00D80FBD">
          <w:rPr>
            <w:webHidden/>
          </w:rPr>
          <w:tab/>
        </w:r>
        <w:r w:rsidR="00D80FBD" w:rsidRPr="00D80FBD">
          <w:rPr>
            <w:webHidden/>
          </w:rPr>
          <w:fldChar w:fldCharType="begin"/>
        </w:r>
        <w:r w:rsidR="00D80FBD" w:rsidRPr="00D80FBD">
          <w:rPr>
            <w:webHidden/>
          </w:rPr>
          <w:instrText xml:space="preserve"> PAGEREF _Toc135935581 \h </w:instrText>
        </w:r>
        <w:r w:rsidR="00D80FBD" w:rsidRPr="00D80FBD">
          <w:rPr>
            <w:webHidden/>
          </w:rPr>
        </w:r>
        <w:r w:rsidR="00D80FBD" w:rsidRPr="00D80FBD">
          <w:rPr>
            <w:webHidden/>
          </w:rPr>
          <w:fldChar w:fldCharType="separate"/>
        </w:r>
        <w:r w:rsidR="00D61CF7">
          <w:rPr>
            <w:webHidden/>
          </w:rPr>
          <w:t>31</w:t>
        </w:r>
        <w:r w:rsidR="00D80FBD" w:rsidRPr="00D80FBD">
          <w:rPr>
            <w:webHidden/>
          </w:rPr>
          <w:fldChar w:fldCharType="end"/>
        </w:r>
      </w:hyperlink>
    </w:p>
    <w:p w14:paraId="408246A6" w14:textId="732740F8"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582" w:history="1">
        <w:r w:rsidR="00D80FBD" w:rsidRPr="00D80FBD">
          <w:rPr>
            <w:rStyle w:val="Hipercze"/>
          </w:rPr>
          <w:t>3.1.3 Przedsiębiorcy, którzy wystąpili z wnioskiem o uzyskanie pozwolenia  na prowadzenie stacji demontażu</w:t>
        </w:r>
        <w:r w:rsidR="00D80FBD" w:rsidRPr="00D80FBD">
          <w:rPr>
            <w:webHidden/>
          </w:rPr>
          <w:tab/>
        </w:r>
        <w:r w:rsidR="00D80FBD" w:rsidRPr="00D80FBD">
          <w:rPr>
            <w:webHidden/>
          </w:rPr>
          <w:fldChar w:fldCharType="begin"/>
        </w:r>
        <w:r w:rsidR="00D80FBD" w:rsidRPr="00D80FBD">
          <w:rPr>
            <w:webHidden/>
          </w:rPr>
          <w:instrText xml:space="preserve"> PAGEREF _Toc135935582 \h </w:instrText>
        </w:r>
        <w:r w:rsidR="00D80FBD" w:rsidRPr="00D80FBD">
          <w:rPr>
            <w:webHidden/>
          </w:rPr>
        </w:r>
        <w:r w:rsidR="00D80FBD" w:rsidRPr="00D80FBD">
          <w:rPr>
            <w:webHidden/>
          </w:rPr>
          <w:fldChar w:fldCharType="separate"/>
        </w:r>
        <w:r w:rsidR="00D61CF7">
          <w:rPr>
            <w:webHidden/>
          </w:rPr>
          <w:t>31</w:t>
        </w:r>
        <w:r w:rsidR="00D80FBD" w:rsidRPr="00D80FBD">
          <w:rPr>
            <w:webHidden/>
          </w:rPr>
          <w:fldChar w:fldCharType="end"/>
        </w:r>
      </w:hyperlink>
    </w:p>
    <w:p w14:paraId="60DD2140" w14:textId="1325D15B"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583" w:history="1">
        <w:r w:rsidR="00D80FBD" w:rsidRPr="00D80FBD">
          <w:rPr>
            <w:rStyle w:val="Hipercze"/>
          </w:rPr>
          <w:t>3.1.4 Zakłady przetwarzania zużytego sprzętu elektrycznego i elektronicznego</w:t>
        </w:r>
        <w:r w:rsidR="00D80FBD" w:rsidRPr="00D80FBD">
          <w:rPr>
            <w:webHidden/>
          </w:rPr>
          <w:tab/>
        </w:r>
        <w:r w:rsidR="00D80FBD" w:rsidRPr="00D80FBD">
          <w:rPr>
            <w:webHidden/>
          </w:rPr>
          <w:fldChar w:fldCharType="begin"/>
        </w:r>
        <w:r w:rsidR="00D80FBD" w:rsidRPr="00D80FBD">
          <w:rPr>
            <w:webHidden/>
          </w:rPr>
          <w:instrText xml:space="preserve"> PAGEREF _Toc135935583 \h </w:instrText>
        </w:r>
        <w:r w:rsidR="00D80FBD" w:rsidRPr="00D80FBD">
          <w:rPr>
            <w:webHidden/>
          </w:rPr>
        </w:r>
        <w:r w:rsidR="00D80FBD" w:rsidRPr="00D80FBD">
          <w:rPr>
            <w:webHidden/>
          </w:rPr>
          <w:fldChar w:fldCharType="separate"/>
        </w:r>
        <w:r w:rsidR="00D61CF7">
          <w:rPr>
            <w:webHidden/>
          </w:rPr>
          <w:t>32</w:t>
        </w:r>
        <w:r w:rsidR="00D80FBD" w:rsidRPr="00D80FBD">
          <w:rPr>
            <w:webHidden/>
          </w:rPr>
          <w:fldChar w:fldCharType="end"/>
        </w:r>
      </w:hyperlink>
    </w:p>
    <w:p w14:paraId="1E517103" w14:textId="41323C65"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584" w:history="1">
        <w:r w:rsidR="00D80FBD" w:rsidRPr="00D80FBD">
          <w:rPr>
            <w:rStyle w:val="Hipercze"/>
          </w:rPr>
          <w:t>3.1.5 Fermy tuczu trzody chlewnej wymagające pozwolenia zintegrowanego</w:t>
        </w:r>
        <w:r w:rsidR="00D80FBD" w:rsidRPr="00D80FBD">
          <w:rPr>
            <w:webHidden/>
          </w:rPr>
          <w:tab/>
        </w:r>
        <w:r w:rsidR="00D80FBD" w:rsidRPr="00D80FBD">
          <w:rPr>
            <w:webHidden/>
          </w:rPr>
          <w:fldChar w:fldCharType="begin"/>
        </w:r>
        <w:r w:rsidR="00D80FBD" w:rsidRPr="00D80FBD">
          <w:rPr>
            <w:webHidden/>
          </w:rPr>
          <w:instrText xml:space="preserve"> PAGEREF _Toc135935584 \h </w:instrText>
        </w:r>
        <w:r w:rsidR="00D80FBD" w:rsidRPr="00D80FBD">
          <w:rPr>
            <w:webHidden/>
          </w:rPr>
        </w:r>
        <w:r w:rsidR="00D80FBD" w:rsidRPr="00D80FBD">
          <w:rPr>
            <w:webHidden/>
          </w:rPr>
          <w:fldChar w:fldCharType="separate"/>
        </w:r>
        <w:r w:rsidR="00D61CF7">
          <w:rPr>
            <w:webHidden/>
          </w:rPr>
          <w:t>32</w:t>
        </w:r>
        <w:r w:rsidR="00D80FBD" w:rsidRPr="00D80FBD">
          <w:rPr>
            <w:webHidden/>
          </w:rPr>
          <w:fldChar w:fldCharType="end"/>
        </w:r>
      </w:hyperlink>
    </w:p>
    <w:p w14:paraId="356954FC" w14:textId="286224B5"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585" w:history="1">
        <w:r w:rsidR="00D80FBD" w:rsidRPr="00D80FBD">
          <w:rPr>
            <w:rStyle w:val="Hipercze"/>
          </w:rPr>
          <w:t>3.1.6 Fermy drobiu wymagające pozwolenia zintegrowanego</w:t>
        </w:r>
        <w:r w:rsidR="00D80FBD" w:rsidRPr="00D80FBD">
          <w:rPr>
            <w:webHidden/>
          </w:rPr>
          <w:tab/>
        </w:r>
        <w:r w:rsidR="00D80FBD" w:rsidRPr="00D80FBD">
          <w:rPr>
            <w:webHidden/>
          </w:rPr>
          <w:fldChar w:fldCharType="begin"/>
        </w:r>
        <w:r w:rsidR="00D80FBD" w:rsidRPr="00D80FBD">
          <w:rPr>
            <w:webHidden/>
          </w:rPr>
          <w:instrText xml:space="preserve"> PAGEREF _Toc135935585 \h </w:instrText>
        </w:r>
        <w:r w:rsidR="00D80FBD" w:rsidRPr="00D80FBD">
          <w:rPr>
            <w:webHidden/>
          </w:rPr>
        </w:r>
        <w:r w:rsidR="00D80FBD" w:rsidRPr="00D80FBD">
          <w:rPr>
            <w:webHidden/>
          </w:rPr>
          <w:fldChar w:fldCharType="separate"/>
        </w:r>
        <w:r w:rsidR="00D61CF7">
          <w:rPr>
            <w:webHidden/>
          </w:rPr>
          <w:t>34</w:t>
        </w:r>
        <w:r w:rsidR="00D80FBD" w:rsidRPr="00D80FBD">
          <w:rPr>
            <w:webHidden/>
          </w:rPr>
          <w:fldChar w:fldCharType="end"/>
        </w:r>
      </w:hyperlink>
    </w:p>
    <w:p w14:paraId="24EE19AC" w14:textId="69D49955"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586" w:history="1">
        <w:r w:rsidR="00D80FBD" w:rsidRPr="00D80FBD">
          <w:rPr>
            <w:rStyle w:val="Hipercze"/>
          </w:rPr>
          <w:t>3.2 Kontrola zakładów II kategorii ryzyka</w:t>
        </w:r>
        <w:r w:rsidR="00D80FBD" w:rsidRPr="00D80FBD">
          <w:rPr>
            <w:webHidden/>
          </w:rPr>
          <w:tab/>
        </w:r>
        <w:r w:rsidR="00D80FBD" w:rsidRPr="00D80FBD">
          <w:rPr>
            <w:webHidden/>
          </w:rPr>
          <w:fldChar w:fldCharType="begin"/>
        </w:r>
        <w:r w:rsidR="00D80FBD" w:rsidRPr="00D80FBD">
          <w:rPr>
            <w:webHidden/>
          </w:rPr>
          <w:instrText xml:space="preserve"> PAGEREF _Toc135935586 \h </w:instrText>
        </w:r>
        <w:r w:rsidR="00D80FBD" w:rsidRPr="00D80FBD">
          <w:rPr>
            <w:webHidden/>
          </w:rPr>
        </w:r>
        <w:r w:rsidR="00D80FBD" w:rsidRPr="00D80FBD">
          <w:rPr>
            <w:webHidden/>
          </w:rPr>
          <w:fldChar w:fldCharType="separate"/>
        </w:r>
        <w:r w:rsidR="00D61CF7">
          <w:rPr>
            <w:webHidden/>
          </w:rPr>
          <w:t>35</w:t>
        </w:r>
        <w:r w:rsidR="00D80FBD" w:rsidRPr="00D80FBD">
          <w:rPr>
            <w:webHidden/>
          </w:rPr>
          <w:fldChar w:fldCharType="end"/>
        </w:r>
      </w:hyperlink>
    </w:p>
    <w:p w14:paraId="5D5B91F5" w14:textId="77EBB1B9"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587" w:history="1">
        <w:r w:rsidR="00D80FBD" w:rsidRPr="00D80FBD">
          <w:rPr>
            <w:rStyle w:val="Hipercze"/>
          </w:rPr>
          <w:t>3.2.1 Zakłady o zwiększonym ryzyku wystąpienia poważnej awarii przemysłowej (ZZR)</w:t>
        </w:r>
        <w:r w:rsidR="00D80FBD" w:rsidRPr="00D80FBD">
          <w:rPr>
            <w:webHidden/>
          </w:rPr>
          <w:tab/>
        </w:r>
        <w:r w:rsidR="00D80FBD" w:rsidRPr="00D80FBD">
          <w:rPr>
            <w:webHidden/>
          </w:rPr>
          <w:fldChar w:fldCharType="begin"/>
        </w:r>
        <w:r w:rsidR="00D80FBD" w:rsidRPr="00D80FBD">
          <w:rPr>
            <w:webHidden/>
          </w:rPr>
          <w:instrText xml:space="preserve"> PAGEREF _Toc135935587 \h </w:instrText>
        </w:r>
        <w:r w:rsidR="00D80FBD" w:rsidRPr="00D80FBD">
          <w:rPr>
            <w:webHidden/>
          </w:rPr>
        </w:r>
        <w:r w:rsidR="00D80FBD" w:rsidRPr="00D80FBD">
          <w:rPr>
            <w:webHidden/>
          </w:rPr>
          <w:fldChar w:fldCharType="separate"/>
        </w:r>
        <w:r w:rsidR="00D61CF7">
          <w:rPr>
            <w:webHidden/>
          </w:rPr>
          <w:t>35</w:t>
        </w:r>
        <w:r w:rsidR="00D80FBD" w:rsidRPr="00D80FBD">
          <w:rPr>
            <w:webHidden/>
          </w:rPr>
          <w:fldChar w:fldCharType="end"/>
        </w:r>
      </w:hyperlink>
    </w:p>
    <w:p w14:paraId="1CFB3FDE" w14:textId="3AF97469"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588" w:history="1">
        <w:r w:rsidR="00D80FBD" w:rsidRPr="00D80FBD">
          <w:rPr>
            <w:rStyle w:val="Hipercze"/>
          </w:rPr>
          <w:t>3.2.2 Strzępiarki</w:t>
        </w:r>
        <w:r w:rsidR="00D80FBD" w:rsidRPr="00D80FBD">
          <w:rPr>
            <w:webHidden/>
          </w:rPr>
          <w:tab/>
        </w:r>
        <w:r w:rsidR="00D80FBD" w:rsidRPr="00D80FBD">
          <w:rPr>
            <w:webHidden/>
          </w:rPr>
          <w:fldChar w:fldCharType="begin"/>
        </w:r>
        <w:r w:rsidR="00D80FBD" w:rsidRPr="00D80FBD">
          <w:rPr>
            <w:webHidden/>
          </w:rPr>
          <w:instrText xml:space="preserve"> PAGEREF _Toc135935588 \h </w:instrText>
        </w:r>
        <w:r w:rsidR="00D80FBD" w:rsidRPr="00D80FBD">
          <w:rPr>
            <w:webHidden/>
          </w:rPr>
        </w:r>
        <w:r w:rsidR="00D80FBD" w:rsidRPr="00D80FBD">
          <w:rPr>
            <w:webHidden/>
          </w:rPr>
          <w:fldChar w:fldCharType="separate"/>
        </w:r>
        <w:r w:rsidR="00D61CF7">
          <w:rPr>
            <w:webHidden/>
          </w:rPr>
          <w:t>36</w:t>
        </w:r>
        <w:r w:rsidR="00D80FBD" w:rsidRPr="00D80FBD">
          <w:rPr>
            <w:webHidden/>
          </w:rPr>
          <w:fldChar w:fldCharType="end"/>
        </w:r>
      </w:hyperlink>
    </w:p>
    <w:p w14:paraId="6DCDF5A5" w14:textId="3536011C"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589" w:history="1">
        <w:r w:rsidR="00D80FBD" w:rsidRPr="00D80FBD">
          <w:rPr>
            <w:rStyle w:val="Hipercze"/>
          </w:rPr>
          <w:t>3.2.3 Instalacje wymagające posiadania pozwoleń zintegrowanych (tzw. Instalacje IED)</w:t>
        </w:r>
        <w:r w:rsidR="00D80FBD" w:rsidRPr="00D80FBD">
          <w:rPr>
            <w:webHidden/>
          </w:rPr>
          <w:tab/>
        </w:r>
        <w:r w:rsidR="00D80FBD" w:rsidRPr="00D80FBD">
          <w:rPr>
            <w:webHidden/>
          </w:rPr>
          <w:fldChar w:fldCharType="begin"/>
        </w:r>
        <w:r w:rsidR="00D80FBD" w:rsidRPr="00D80FBD">
          <w:rPr>
            <w:webHidden/>
          </w:rPr>
          <w:instrText xml:space="preserve"> PAGEREF _Toc135935589 \h </w:instrText>
        </w:r>
        <w:r w:rsidR="00D80FBD" w:rsidRPr="00D80FBD">
          <w:rPr>
            <w:webHidden/>
          </w:rPr>
        </w:r>
        <w:r w:rsidR="00D80FBD" w:rsidRPr="00D80FBD">
          <w:rPr>
            <w:webHidden/>
          </w:rPr>
          <w:fldChar w:fldCharType="separate"/>
        </w:r>
        <w:r w:rsidR="00D61CF7">
          <w:rPr>
            <w:webHidden/>
          </w:rPr>
          <w:t>36</w:t>
        </w:r>
        <w:r w:rsidR="00D80FBD" w:rsidRPr="00D80FBD">
          <w:rPr>
            <w:webHidden/>
          </w:rPr>
          <w:fldChar w:fldCharType="end"/>
        </w:r>
      </w:hyperlink>
    </w:p>
    <w:p w14:paraId="1155BE85" w14:textId="5D2D49A2"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590" w:history="1">
        <w:r w:rsidR="00D80FBD" w:rsidRPr="00D80FBD">
          <w:rPr>
            <w:rStyle w:val="Hipercze"/>
          </w:rPr>
          <w:t>3.3</w:t>
        </w:r>
        <w:r w:rsidR="00D80FBD" w:rsidRPr="00D80FBD">
          <w:rPr>
            <w:rFonts w:asciiTheme="minorHAnsi" w:eastAsiaTheme="minorEastAsia" w:hAnsiTheme="minorHAnsi" w:cstheme="minorBidi"/>
            <w:bCs w:val="0"/>
            <w:sz w:val="22"/>
            <w:szCs w:val="22"/>
            <w:lang w:val="pl-PL" w:eastAsia="pl-PL"/>
          </w:rPr>
          <w:tab/>
        </w:r>
        <w:r w:rsidR="00D80FBD" w:rsidRPr="00D80FBD">
          <w:rPr>
            <w:rStyle w:val="Hipercze"/>
          </w:rPr>
          <w:t>Kontrole zakładów III, IV i V kategorii ryzyka</w:t>
        </w:r>
        <w:r w:rsidR="00D80FBD" w:rsidRPr="00D80FBD">
          <w:rPr>
            <w:webHidden/>
          </w:rPr>
          <w:tab/>
        </w:r>
        <w:r w:rsidR="00D80FBD" w:rsidRPr="00D80FBD">
          <w:rPr>
            <w:webHidden/>
          </w:rPr>
          <w:fldChar w:fldCharType="begin"/>
        </w:r>
        <w:r w:rsidR="00D80FBD" w:rsidRPr="00D80FBD">
          <w:rPr>
            <w:webHidden/>
          </w:rPr>
          <w:instrText xml:space="preserve"> PAGEREF _Toc135935590 \h </w:instrText>
        </w:r>
        <w:r w:rsidR="00D80FBD" w:rsidRPr="00D80FBD">
          <w:rPr>
            <w:webHidden/>
          </w:rPr>
        </w:r>
        <w:r w:rsidR="00D80FBD" w:rsidRPr="00D80FBD">
          <w:rPr>
            <w:webHidden/>
          </w:rPr>
          <w:fldChar w:fldCharType="separate"/>
        </w:r>
        <w:r w:rsidR="00D61CF7">
          <w:rPr>
            <w:webHidden/>
          </w:rPr>
          <w:t>38</w:t>
        </w:r>
        <w:r w:rsidR="00D80FBD" w:rsidRPr="00D80FBD">
          <w:rPr>
            <w:webHidden/>
          </w:rPr>
          <w:fldChar w:fldCharType="end"/>
        </w:r>
      </w:hyperlink>
    </w:p>
    <w:p w14:paraId="217AA64C" w14:textId="082AD0BC"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591" w:history="1">
        <w:r w:rsidR="00D80FBD" w:rsidRPr="00D80FBD">
          <w:rPr>
            <w:rStyle w:val="Hipercze"/>
          </w:rPr>
          <w:t>3.3.1 Utrzymanie czystości i porządku w gminach</w:t>
        </w:r>
        <w:r w:rsidR="00D80FBD" w:rsidRPr="00D80FBD">
          <w:rPr>
            <w:webHidden/>
          </w:rPr>
          <w:tab/>
        </w:r>
        <w:r w:rsidR="00D80FBD" w:rsidRPr="00D80FBD">
          <w:rPr>
            <w:webHidden/>
          </w:rPr>
          <w:fldChar w:fldCharType="begin"/>
        </w:r>
        <w:r w:rsidR="00D80FBD" w:rsidRPr="00D80FBD">
          <w:rPr>
            <w:webHidden/>
          </w:rPr>
          <w:instrText xml:space="preserve"> PAGEREF _Toc135935591 \h </w:instrText>
        </w:r>
        <w:r w:rsidR="00D80FBD" w:rsidRPr="00D80FBD">
          <w:rPr>
            <w:webHidden/>
          </w:rPr>
        </w:r>
        <w:r w:rsidR="00D80FBD" w:rsidRPr="00D80FBD">
          <w:rPr>
            <w:webHidden/>
          </w:rPr>
          <w:fldChar w:fldCharType="separate"/>
        </w:r>
        <w:r w:rsidR="00D61CF7">
          <w:rPr>
            <w:webHidden/>
          </w:rPr>
          <w:t>38</w:t>
        </w:r>
        <w:r w:rsidR="00D80FBD" w:rsidRPr="00D80FBD">
          <w:rPr>
            <w:webHidden/>
          </w:rPr>
          <w:fldChar w:fldCharType="end"/>
        </w:r>
      </w:hyperlink>
    </w:p>
    <w:p w14:paraId="794A6B00" w14:textId="41C8F3E4"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592" w:history="1">
        <w:r w:rsidR="00D80FBD" w:rsidRPr="00D80FBD">
          <w:rPr>
            <w:rStyle w:val="Hipercze"/>
          </w:rPr>
          <w:t>3.3.2 Instalacje komunalne</w:t>
        </w:r>
        <w:r w:rsidR="00D80FBD" w:rsidRPr="00D80FBD">
          <w:rPr>
            <w:webHidden/>
          </w:rPr>
          <w:tab/>
        </w:r>
        <w:r w:rsidR="00D80FBD" w:rsidRPr="00D80FBD">
          <w:rPr>
            <w:webHidden/>
          </w:rPr>
          <w:fldChar w:fldCharType="begin"/>
        </w:r>
        <w:r w:rsidR="00D80FBD" w:rsidRPr="00D80FBD">
          <w:rPr>
            <w:webHidden/>
          </w:rPr>
          <w:instrText xml:space="preserve"> PAGEREF _Toc135935592 \h </w:instrText>
        </w:r>
        <w:r w:rsidR="00D80FBD" w:rsidRPr="00D80FBD">
          <w:rPr>
            <w:webHidden/>
          </w:rPr>
        </w:r>
        <w:r w:rsidR="00D80FBD" w:rsidRPr="00D80FBD">
          <w:rPr>
            <w:webHidden/>
          </w:rPr>
          <w:fldChar w:fldCharType="separate"/>
        </w:r>
        <w:r w:rsidR="00D61CF7">
          <w:rPr>
            <w:webHidden/>
          </w:rPr>
          <w:t>38</w:t>
        </w:r>
        <w:r w:rsidR="00D80FBD" w:rsidRPr="00D80FBD">
          <w:rPr>
            <w:webHidden/>
          </w:rPr>
          <w:fldChar w:fldCharType="end"/>
        </w:r>
      </w:hyperlink>
    </w:p>
    <w:p w14:paraId="36F7E473" w14:textId="45CFA77B"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593" w:history="1">
        <w:r w:rsidR="00D80FBD" w:rsidRPr="00D80FBD">
          <w:rPr>
            <w:rStyle w:val="Hipercze"/>
          </w:rPr>
          <w:t>3.3.3 Działania podejmowane w walce z nielegalną działalnością w gospodarce odpadami</w:t>
        </w:r>
        <w:r w:rsidR="00D80FBD" w:rsidRPr="00D80FBD">
          <w:rPr>
            <w:webHidden/>
          </w:rPr>
          <w:tab/>
        </w:r>
        <w:r w:rsidR="00D80FBD" w:rsidRPr="00D80FBD">
          <w:rPr>
            <w:webHidden/>
          </w:rPr>
          <w:fldChar w:fldCharType="begin"/>
        </w:r>
        <w:r w:rsidR="00D80FBD" w:rsidRPr="00D80FBD">
          <w:rPr>
            <w:webHidden/>
          </w:rPr>
          <w:instrText xml:space="preserve"> PAGEREF _Toc135935593 \h </w:instrText>
        </w:r>
        <w:r w:rsidR="00D80FBD" w:rsidRPr="00D80FBD">
          <w:rPr>
            <w:webHidden/>
          </w:rPr>
        </w:r>
        <w:r w:rsidR="00D80FBD" w:rsidRPr="00D80FBD">
          <w:rPr>
            <w:webHidden/>
          </w:rPr>
          <w:fldChar w:fldCharType="separate"/>
        </w:r>
        <w:r w:rsidR="00D61CF7">
          <w:rPr>
            <w:webHidden/>
          </w:rPr>
          <w:t>39</w:t>
        </w:r>
        <w:r w:rsidR="00D80FBD" w:rsidRPr="00D80FBD">
          <w:rPr>
            <w:webHidden/>
          </w:rPr>
          <w:fldChar w:fldCharType="end"/>
        </w:r>
      </w:hyperlink>
    </w:p>
    <w:p w14:paraId="5F03D695" w14:textId="52F8DC8A"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594" w:history="1">
        <w:r w:rsidR="00D80FBD" w:rsidRPr="00D80FBD">
          <w:rPr>
            <w:rStyle w:val="Hipercze"/>
          </w:rPr>
          <w:t>3.3.4 Obiekty unieszkodliwiania odpadów wydobywczych</w:t>
        </w:r>
        <w:r w:rsidR="00D80FBD" w:rsidRPr="00D80FBD">
          <w:rPr>
            <w:webHidden/>
          </w:rPr>
          <w:tab/>
        </w:r>
        <w:r w:rsidR="00D80FBD" w:rsidRPr="00D80FBD">
          <w:rPr>
            <w:webHidden/>
          </w:rPr>
          <w:fldChar w:fldCharType="begin"/>
        </w:r>
        <w:r w:rsidR="00D80FBD" w:rsidRPr="00D80FBD">
          <w:rPr>
            <w:webHidden/>
          </w:rPr>
          <w:instrText xml:space="preserve"> PAGEREF _Toc135935594 \h </w:instrText>
        </w:r>
        <w:r w:rsidR="00D80FBD" w:rsidRPr="00D80FBD">
          <w:rPr>
            <w:webHidden/>
          </w:rPr>
        </w:r>
        <w:r w:rsidR="00D80FBD" w:rsidRPr="00D80FBD">
          <w:rPr>
            <w:webHidden/>
          </w:rPr>
          <w:fldChar w:fldCharType="separate"/>
        </w:r>
        <w:r w:rsidR="00D61CF7">
          <w:rPr>
            <w:webHidden/>
          </w:rPr>
          <w:t>41</w:t>
        </w:r>
        <w:r w:rsidR="00D80FBD" w:rsidRPr="00D80FBD">
          <w:rPr>
            <w:webHidden/>
          </w:rPr>
          <w:fldChar w:fldCharType="end"/>
        </w:r>
      </w:hyperlink>
    </w:p>
    <w:p w14:paraId="314C04EC" w14:textId="745D6793"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595" w:history="1">
        <w:r w:rsidR="00D80FBD" w:rsidRPr="00D80FBD">
          <w:rPr>
            <w:rStyle w:val="Hipercze"/>
          </w:rPr>
          <w:t>3.3.5 Instalacje do termicznego przetwarzania odpadów</w:t>
        </w:r>
        <w:r w:rsidR="00D80FBD" w:rsidRPr="00D80FBD">
          <w:rPr>
            <w:webHidden/>
          </w:rPr>
          <w:tab/>
        </w:r>
        <w:r w:rsidR="00D80FBD" w:rsidRPr="00D80FBD">
          <w:rPr>
            <w:webHidden/>
          </w:rPr>
          <w:fldChar w:fldCharType="begin"/>
        </w:r>
        <w:r w:rsidR="00D80FBD" w:rsidRPr="00D80FBD">
          <w:rPr>
            <w:webHidden/>
          </w:rPr>
          <w:instrText xml:space="preserve"> PAGEREF _Toc135935595 \h </w:instrText>
        </w:r>
        <w:r w:rsidR="00D80FBD" w:rsidRPr="00D80FBD">
          <w:rPr>
            <w:webHidden/>
          </w:rPr>
        </w:r>
        <w:r w:rsidR="00D80FBD" w:rsidRPr="00D80FBD">
          <w:rPr>
            <w:webHidden/>
          </w:rPr>
          <w:fldChar w:fldCharType="separate"/>
        </w:r>
        <w:r w:rsidR="00D61CF7">
          <w:rPr>
            <w:webHidden/>
          </w:rPr>
          <w:t>41</w:t>
        </w:r>
        <w:r w:rsidR="00D80FBD" w:rsidRPr="00D80FBD">
          <w:rPr>
            <w:webHidden/>
          </w:rPr>
          <w:fldChar w:fldCharType="end"/>
        </w:r>
      </w:hyperlink>
    </w:p>
    <w:p w14:paraId="4C658FB3" w14:textId="538DC9F8"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596" w:history="1">
        <w:r w:rsidR="00D80FBD" w:rsidRPr="00D80FBD">
          <w:rPr>
            <w:rStyle w:val="Hipercze"/>
          </w:rPr>
          <w:t>3.3.6 Oleje odpadowe</w:t>
        </w:r>
        <w:r w:rsidR="00D80FBD" w:rsidRPr="00D80FBD">
          <w:rPr>
            <w:webHidden/>
          </w:rPr>
          <w:tab/>
        </w:r>
        <w:r w:rsidR="00D80FBD" w:rsidRPr="00D80FBD">
          <w:rPr>
            <w:webHidden/>
          </w:rPr>
          <w:fldChar w:fldCharType="begin"/>
        </w:r>
        <w:r w:rsidR="00D80FBD" w:rsidRPr="00D80FBD">
          <w:rPr>
            <w:webHidden/>
          </w:rPr>
          <w:instrText xml:space="preserve"> PAGEREF _Toc135935596 \h </w:instrText>
        </w:r>
        <w:r w:rsidR="00D80FBD" w:rsidRPr="00D80FBD">
          <w:rPr>
            <w:webHidden/>
          </w:rPr>
        </w:r>
        <w:r w:rsidR="00D80FBD" w:rsidRPr="00D80FBD">
          <w:rPr>
            <w:webHidden/>
          </w:rPr>
          <w:fldChar w:fldCharType="separate"/>
        </w:r>
        <w:r w:rsidR="00D61CF7">
          <w:rPr>
            <w:webHidden/>
          </w:rPr>
          <w:t>42</w:t>
        </w:r>
        <w:r w:rsidR="00D80FBD" w:rsidRPr="00D80FBD">
          <w:rPr>
            <w:webHidden/>
          </w:rPr>
          <w:fldChar w:fldCharType="end"/>
        </w:r>
      </w:hyperlink>
    </w:p>
    <w:p w14:paraId="6F46A82E" w14:textId="2B9EBB4B"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597" w:history="1">
        <w:r w:rsidR="00D80FBD" w:rsidRPr="00D80FBD">
          <w:rPr>
            <w:rStyle w:val="Hipercze"/>
          </w:rPr>
          <w:t>3.3.7 Podmioty zbierające odpady (tworzywa sztuczne, paliwo alternatywne, guma)</w:t>
        </w:r>
        <w:r w:rsidR="00D80FBD" w:rsidRPr="00D80FBD">
          <w:rPr>
            <w:webHidden/>
          </w:rPr>
          <w:tab/>
        </w:r>
        <w:r w:rsidR="00D80FBD" w:rsidRPr="00D80FBD">
          <w:rPr>
            <w:webHidden/>
          </w:rPr>
          <w:fldChar w:fldCharType="begin"/>
        </w:r>
        <w:r w:rsidR="00D80FBD" w:rsidRPr="00D80FBD">
          <w:rPr>
            <w:webHidden/>
          </w:rPr>
          <w:instrText xml:space="preserve"> PAGEREF _Toc135935597 \h </w:instrText>
        </w:r>
        <w:r w:rsidR="00D80FBD" w:rsidRPr="00D80FBD">
          <w:rPr>
            <w:webHidden/>
          </w:rPr>
        </w:r>
        <w:r w:rsidR="00D80FBD" w:rsidRPr="00D80FBD">
          <w:rPr>
            <w:webHidden/>
          </w:rPr>
          <w:fldChar w:fldCharType="separate"/>
        </w:r>
        <w:r w:rsidR="00D61CF7">
          <w:rPr>
            <w:webHidden/>
          </w:rPr>
          <w:t>44</w:t>
        </w:r>
        <w:r w:rsidR="00D80FBD" w:rsidRPr="00D80FBD">
          <w:rPr>
            <w:webHidden/>
          </w:rPr>
          <w:fldChar w:fldCharType="end"/>
        </w:r>
      </w:hyperlink>
    </w:p>
    <w:p w14:paraId="04AEEAF8" w14:textId="79A585C7"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598" w:history="1">
        <w:r w:rsidR="00D80FBD" w:rsidRPr="00D80FBD">
          <w:rPr>
            <w:rStyle w:val="Hipercze"/>
          </w:rPr>
          <w:t>3.3.8 Kontrole w zakresie substancji zubożających warstwę ozonową i fluorowanych gazów cieplarnianych</w:t>
        </w:r>
        <w:r w:rsidR="00D80FBD" w:rsidRPr="00D80FBD">
          <w:rPr>
            <w:webHidden/>
          </w:rPr>
          <w:tab/>
        </w:r>
        <w:r w:rsidR="00D80FBD" w:rsidRPr="00D80FBD">
          <w:rPr>
            <w:webHidden/>
          </w:rPr>
          <w:fldChar w:fldCharType="begin"/>
        </w:r>
        <w:r w:rsidR="00D80FBD" w:rsidRPr="00D80FBD">
          <w:rPr>
            <w:webHidden/>
          </w:rPr>
          <w:instrText xml:space="preserve"> PAGEREF _Toc135935598 \h </w:instrText>
        </w:r>
        <w:r w:rsidR="00D80FBD" w:rsidRPr="00D80FBD">
          <w:rPr>
            <w:webHidden/>
          </w:rPr>
        </w:r>
        <w:r w:rsidR="00D80FBD" w:rsidRPr="00D80FBD">
          <w:rPr>
            <w:webHidden/>
          </w:rPr>
          <w:fldChar w:fldCharType="separate"/>
        </w:r>
        <w:r w:rsidR="00D61CF7">
          <w:rPr>
            <w:webHidden/>
          </w:rPr>
          <w:t>45</w:t>
        </w:r>
        <w:r w:rsidR="00D80FBD" w:rsidRPr="00D80FBD">
          <w:rPr>
            <w:webHidden/>
          </w:rPr>
          <w:fldChar w:fldCharType="end"/>
        </w:r>
      </w:hyperlink>
    </w:p>
    <w:p w14:paraId="4578E21E" w14:textId="432DA15F"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599" w:history="1">
        <w:r w:rsidR="00D80FBD" w:rsidRPr="00D80FBD">
          <w:rPr>
            <w:rStyle w:val="Hipercze"/>
          </w:rPr>
          <w:t>3.3.9 Kontrole producentów i użytkowników produktów zawierających lotne związki organiczne</w:t>
        </w:r>
        <w:r w:rsidR="00D80FBD" w:rsidRPr="00D80FBD">
          <w:rPr>
            <w:webHidden/>
          </w:rPr>
          <w:tab/>
        </w:r>
        <w:r w:rsidR="00D80FBD" w:rsidRPr="00D80FBD">
          <w:rPr>
            <w:webHidden/>
          </w:rPr>
          <w:fldChar w:fldCharType="begin"/>
        </w:r>
        <w:r w:rsidR="00D80FBD" w:rsidRPr="00D80FBD">
          <w:rPr>
            <w:webHidden/>
          </w:rPr>
          <w:instrText xml:space="preserve"> PAGEREF _Toc135935599 \h </w:instrText>
        </w:r>
        <w:r w:rsidR="00D80FBD" w:rsidRPr="00D80FBD">
          <w:rPr>
            <w:webHidden/>
          </w:rPr>
        </w:r>
        <w:r w:rsidR="00D80FBD" w:rsidRPr="00D80FBD">
          <w:rPr>
            <w:webHidden/>
          </w:rPr>
          <w:fldChar w:fldCharType="separate"/>
        </w:r>
        <w:r w:rsidR="00D61CF7">
          <w:rPr>
            <w:webHidden/>
          </w:rPr>
          <w:t>47</w:t>
        </w:r>
        <w:r w:rsidR="00D80FBD" w:rsidRPr="00D80FBD">
          <w:rPr>
            <w:webHidden/>
          </w:rPr>
          <w:fldChar w:fldCharType="end"/>
        </w:r>
      </w:hyperlink>
    </w:p>
    <w:p w14:paraId="49877150" w14:textId="07728F09"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00" w:history="1">
        <w:r w:rsidR="00D80FBD" w:rsidRPr="00D80FBD">
          <w:rPr>
            <w:rStyle w:val="Hipercze"/>
          </w:rPr>
          <w:t>3.3.10 Kontrola zawartości siarki w paliwach</w:t>
        </w:r>
        <w:r w:rsidR="00D80FBD" w:rsidRPr="00D80FBD">
          <w:rPr>
            <w:webHidden/>
          </w:rPr>
          <w:tab/>
        </w:r>
        <w:r w:rsidR="00D80FBD" w:rsidRPr="00D80FBD">
          <w:rPr>
            <w:webHidden/>
          </w:rPr>
          <w:fldChar w:fldCharType="begin"/>
        </w:r>
        <w:r w:rsidR="00D80FBD" w:rsidRPr="00D80FBD">
          <w:rPr>
            <w:webHidden/>
          </w:rPr>
          <w:instrText xml:space="preserve"> PAGEREF _Toc135935600 \h </w:instrText>
        </w:r>
        <w:r w:rsidR="00D80FBD" w:rsidRPr="00D80FBD">
          <w:rPr>
            <w:webHidden/>
          </w:rPr>
        </w:r>
        <w:r w:rsidR="00D80FBD" w:rsidRPr="00D80FBD">
          <w:rPr>
            <w:webHidden/>
          </w:rPr>
          <w:fldChar w:fldCharType="separate"/>
        </w:r>
        <w:r w:rsidR="00D61CF7">
          <w:rPr>
            <w:webHidden/>
          </w:rPr>
          <w:t>48</w:t>
        </w:r>
        <w:r w:rsidR="00D80FBD" w:rsidRPr="00D80FBD">
          <w:rPr>
            <w:webHidden/>
          </w:rPr>
          <w:fldChar w:fldCharType="end"/>
        </w:r>
      </w:hyperlink>
    </w:p>
    <w:p w14:paraId="6C12F0C9" w14:textId="20FBC64C"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01" w:history="1">
        <w:r w:rsidR="00D80FBD" w:rsidRPr="00D80FBD">
          <w:rPr>
            <w:rStyle w:val="Hipercze"/>
          </w:rPr>
          <w:t>3.3.11 Zdarzenia z udziałem substancji niebezpiecznych</w:t>
        </w:r>
        <w:r w:rsidR="00D80FBD" w:rsidRPr="00D80FBD">
          <w:rPr>
            <w:webHidden/>
          </w:rPr>
          <w:tab/>
        </w:r>
        <w:r w:rsidR="00D80FBD" w:rsidRPr="00D80FBD">
          <w:rPr>
            <w:webHidden/>
          </w:rPr>
          <w:fldChar w:fldCharType="begin"/>
        </w:r>
        <w:r w:rsidR="00D80FBD" w:rsidRPr="00D80FBD">
          <w:rPr>
            <w:webHidden/>
          </w:rPr>
          <w:instrText xml:space="preserve"> PAGEREF _Toc135935601 \h </w:instrText>
        </w:r>
        <w:r w:rsidR="00D80FBD" w:rsidRPr="00D80FBD">
          <w:rPr>
            <w:webHidden/>
          </w:rPr>
        </w:r>
        <w:r w:rsidR="00D80FBD" w:rsidRPr="00D80FBD">
          <w:rPr>
            <w:webHidden/>
          </w:rPr>
          <w:fldChar w:fldCharType="separate"/>
        </w:r>
        <w:r w:rsidR="00D61CF7">
          <w:rPr>
            <w:webHidden/>
          </w:rPr>
          <w:t>49</w:t>
        </w:r>
        <w:r w:rsidR="00D80FBD" w:rsidRPr="00D80FBD">
          <w:rPr>
            <w:webHidden/>
          </w:rPr>
          <w:fldChar w:fldCharType="end"/>
        </w:r>
      </w:hyperlink>
    </w:p>
    <w:p w14:paraId="2DAC5059" w14:textId="07DD45BF"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02" w:history="1">
        <w:r w:rsidR="00D80FBD" w:rsidRPr="00D80FBD">
          <w:rPr>
            <w:rStyle w:val="Hipercze"/>
          </w:rPr>
          <w:t>3.3.12 Mikroorganizmy i organizmy genetycznie zmodyfikowane</w:t>
        </w:r>
        <w:r w:rsidR="00D80FBD" w:rsidRPr="00D80FBD">
          <w:rPr>
            <w:webHidden/>
          </w:rPr>
          <w:tab/>
        </w:r>
        <w:r w:rsidR="00D80FBD" w:rsidRPr="00D80FBD">
          <w:rPr>
            <w:webHidden/>
          </w:rPr>
          <w:fldChar w:fldCharType="begin"/>
        </w:r>
        <w:r w:rsidR="00D80FBD" w:rsidRPr="00D80FBD">
          <w:rPr>
            <w:webHidden/>
          </w:rPr>
          <w:instrText xml:space="preserve"> PAGEREF _Toc135935602 \h </w:instrText>
        </w:r>
        <w:r w:rsidR="00D80FBD" w:rsidRPr="00D80FBD">
          <w:rPr>
            <w:webHidden/>
          </w:rPr>
        </w:r>
        <w:r w:rsidR="00D80FBD" w:rsidRPr="00D80FBD">
          <w:rPr>
            <w:webHidden/>
          </w:rPr>
          <w:fldChar w:fldCharType="separate"/>
        </w:r>
        <w:r w:rsidR="00D61CF7">
          <w:rPr>
            <w:webHidden/>
          </w:rPr>
          <w:t>49</w:t>
        </w:r>
        <w:r w:rsidR="00D80FBD" w:rsidRPr="00D80FBD">
          <w:rPr>
            <w:webHidden/>
          </w:rPr>
          <w:fldChar w:fldCharType="end"/>
        </w:r>
      </w:hyperlink>
    </w:p>
    <w:p w14:paraId="46932D97" w14:textId="1C9C02E5"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03" w:history="1">
        <w:r w:rsidR="00D80FBD" w:rsidRPr="00D80FBD">
          <w:rPr>
            <w:rStyle w:val="Hipercze"/>
          </w:rPr>
          <w:t>3.3.13 Kontrole użytkowników zasobów genetycznych i kolekcji zasobów genetycznych</w:t>
        </w:r>
        <w:r w:rsidR="00D80FBD" w:rsidRPr="00D80FBD">
          <w:rPr>
            <w:webHidden/>
          </w:rPr>
          <w:tab/>
        </w:r>
        <w:r w:rsidR="00D80FBD" w:rsidRPr="00D80FBD">
          <w:rPr>
            <w:webHidden/>
          </w:rPr>
          <w:fldChar w:fldCharType="begin"/>
        </w:r>
        <w:r w:rsidR="00D80FBD" w:rsidRPr="00D80FBD">
          <w:rPr>
            <w:webHidden/>
          </w:rPr>
          <w:instrText xml:space="preserve"> PAGEREF _Toc135935603 \h </w:instrText>
        </w:r>
        <w:r w:rsidR="00D80FBD" w:rsidRPr="00D80FBD">
          <w:rPr>
            <w:webHidden/>
          </w:rPr>
        </w:r>
        <w:r w:rsidR="00D80FBD" w:rsidRPr="00D80FBD">
          <w:rPr>
            <w:webHidden/>
          </w:rPr>
          <w:fldChar w:fldCharType="separate"/>
        </w:r>
        <w:r w:rsidR="00D61CF7">
          <w:rPr>
            <w:webHidden/>
          </w:rPr>
          <w:t>50</w:t>
        </w:r>
        <w:r w:rsidR="00D80FBD" w:rsidRPr="00D80FBD">
          <w:rPr>
            <w:webHidden/>
          </w:rPr>
          <w:fldChar w:fldCharType="end"/>
        </w:r>
      </w:hyperlink>
    </w:p>
    <w:p w14:paraId="1748C9BB" w14:textId="18E42B1F"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04" w:history="1">
        <w:r w:rsidR="00D80FBD" w:rsidRPr="00D80FBD">
          <w:rPr>
            <w:rStyle w:val="Hipercze"/>
          </w:rPr>
          <w:t>3.3.14 Urządzenia w nadzorze rynku</w:t>
        </w:r>
        <w:r w:rsidR="00D80FBD" w:rsidRPr="00D80FBD">
          <w:rPr>
            <w:webHidden/>
          </w:rPr>
          <w:tab/>
        </w:r>
        <w:r w:rsidR="00D80FBD" w:rsidRPr="00D80FBD">
          <w:rPr>
            <w:webHidden/>
          </w:rPr>
          <w:fldChar w:fldCharType="begin"/>
        </w:r>
        <w:r w:rsidR="00D80FBD" w:rsidRPr="00D80FBD">
          <w:rPr>
            <w:webHidden/>
          </w:rPr>
          <w:instrText xml:space="preserve"> PAGEREF _Toc135935604 \h </w:instrText>
        </w:r>
        <w:r w:rsidR="00D80FBD" w:rsidRPr="00D80FBD">
          <w:rPr>
            <w:webHidden/>
          </w:rPr>
        </w:r>
        <w:r w:rsidR="00D80FBD" w:rsidRPr="00D80FBD">
          <w:rPr>
            <w:webHidden/>
          </w:rPr>
          <w:fldChar w:fldCharType="separate"/>
        </w:r>
        <w:r w:rsidR="00D61CF7">
          <w:rPr>
            <w:webHidden/>
          </w:rPr>
          <w:t>50</w:t>
        </w:r>
        <w:r w:rsidR="00D80FBD" w:rsidRPr="00D80FBD">
          <w:rPr>
            <w:webHidden/>
          </w:rPr>
          <w:fldChar w:fldCharType="end"/>
        </w:r>
      </w:hyperlink>
    </w:p>
    <w:p w14:paraId="5E6FD689" w14:textId="1A1140D0"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05" w:history="1">
        <w:r w:rsidR="00D80FBD" w:rsidRPr="00D80FBD">
          <w:rPr>
            <w:rStyle w:val="Hipercze"/>
          </w:rPr>
          <w:t xml:space="preserve">3.3.15 </w:t>
        </w:r>
        <w:r w:rsidR="00D80FBD" w:rsidRPr="00D80FBD">
          <w:rPr>
            <w:rStyle w:val="Hipercze"/>
            <w:rFonts w:eastAsia="Calibri"/>
            <w:lang w:eastAsia="pl-PL"/>
          </w:rPr>
          <w:t>Silniki do maszyn mobilnych nieporuszających się po drogach</w:t>
        </w:r>
        <w:r w:rsidR="00D80FBD" w:rsidRPr="00D80FBD">
          <w:rPr>
            <w:webHidden/>
          </w:rPr>
          <w:tab/>
        </w:r>
        <w:r w:rsidR="00D80FBD" w:rsidRPr="00D80FBD">
          <w:rPr>
            <w:webHidden/>
          </w:rPr>
          <w:fldChar w:fldCharType="begin"/>
        </w:r>
        <w:r w:rsidR="00D80FBD" w:rsidRPr="00D80FBD">
          <w:rPr>
            <w:webHidden/>
          </w:rPr>
          <w:instrText xml:space="preserve"> PAGEREF _Toc135935605 \h </w:instrText>
        </w:r>
        <w:r w:rsidR="00D80FBD" w:rsidRPr="00D80FBD">
          <w:rPr>
            <w:webHidden/>
          </w:rPr>
        </w:r>
        <w:r w:rsidR="00D80FBD" w:rsidRPr="00D80FBD">
          <w:rPr>
            <w:webHidden/>
          </w:rPr>
          <w:fldChar w:fldCharType="separate"/>
        </w:r>
        <w:r w:rsidR="00D61CF7">
          <w:rPr>
            <w:webHidden/>
          </w:rPr>
          <w:t>51</w:t>
        </w:r>
        <w:r w:rsidR="00D80FBD" w:rsidRPr="00D80FBD">
          <w:rPr>
            <w:webHidden/>
          </w:rPr>
          <w:fldChar w:fldCharType="end"/>
        </w:r>
      </w:hyperlink>
    </w:p>
    <w:p w14:paraId="03862A2D" w14:textId="748CAA24"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06" w:history="1">
        <w:r w:rsidR="00D80FBD" w:rsidRPr="00D80FBD">
          <w:rPr>
            <w:rStyle w:val="Hipercze"/>
          </w:rPr>
          <w:t>3.3.16 Działalność kontrolna w miejscach zagrożonych wystąpieniem pożaru odpadów</w:t>
        </w:r>
        <w:r w:rsidR="00D80FBD" w:rsidRPr="00D80FBD">
          <w:rPr>
            <w:webHidden/>
          </w:rPr>
          <w:tab/>
        </w:r>
        <w:r w:rsidR="00D80FBD" w:rsidRPr="00D80FBD">
          <w:rPr>
            <w:webHidden/>
          </w:rPr>
          <w:fldChar w:fldCharType="begin"/>
        </w:r>
        <w:r w:rsidR="00D80FBD" w:rsidRPr="00D80FBD">
          <w:rPr>
            <w:webHidden/>
          </w:rPr>
          <w:instrText xml:space="preserve"> PAGEREF _Toc135935606 \h </w:instrText>
        </w:r>
        <w:r w:rsidR="00D80FBD" w:rsidRPr="00D80FBD">
          <w:rPr>
            <w:webHidden/>
          </w:rPr>
        </w:r>
        <w:r w:rsidR="00D80FBD" w:rsidRPr="00D80FBD">
          <w:rPr>
            <w:webHidden/>
          </w:rPr>
          <w:fldChar w:fldCharType="separate"/>
        </w:r>
        <w:r w:rsidR="00D61CF7">
          <w:rPr>
            <w:webHidden/>
          </w:rPr>
          <w:t>51</w:t>
        </w:r>
        <w:r w:rsidR="00D80FBD" w:rsidRPr="00D80FBD">
          <w:rPr>
            <w:webHidden/>
          </w:rPr>
          <w:fldChar w:fldCharType="end"/>
        </w:r>
      </w:hyperlink>
    </w:p>
    <w:p w14:paraId="4D0CC31C" w14:textId="5D89C8F9"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07" w:history="1">
        <w:r w:rsidR="00D80FBD" w:rsidRPr="00D80FBD">
          <w:rPr>
            <w:rStyle w:val="Hipercze"/>
          </w:rPr>
          <w:t>3.3.17 Kontrole transportów odpadów</w:t>
        </w:r>
        <w:r w:rsidR="00D80FBD" w:rsidRPr="00D80FBD">
          <w:rPr>
            <w:webHidden/>
          </w:rPr>
          <w:tab/>
        </w:r>
        <w:r w:rsidR="00D80FBD" w:rsidRPr="00D80FBD">
          <w:rPr>
            <w:webHidden/>
          </w:rPr>
          <w:fldChar w:fldCharType="begin"/>
        </w:r>
        <w:r w:rsidR="00D80FBD" w:rsidRPr="00D80FBD">
          <w:rPr>
            <w:webHidden/>
          </w:rPr>
          <w:instrText xml:space="preserve"> PAGEREF _Toc135935607 \h </w:instrText>
        </w:r>
        <w:r w:rsidR="00D80FBD" w:rsidRPr="00D80FBD">
          <w:rPr>
            <w:webHidden/>
          </w:rPr>
        </w:r>
        <w:r w:rsidR="00D80FBD" w:rsidRPr="00D80FBD">
          <w:rPr>
            <w:webHidden/>
          </w:rPr>
          <w:fldChar w:fldCharType="separate"/>
        </w:r>
        <w:r w:rsidR="00D61CF7">
          <w:rPr>
            <w:webHidden/>
          </w:rPr>
          <w:t>52</w:t>
        </w:r>
        <w:r w:rsidR="00D80FBD" w:rsidRPr="00D80FBD">
          <w:rPr>
            <w:webHidden/>
          </w:rPr>
          <w:fldChar w:fldCharType="end"/>
        </w:r>
      </w:hyperlink>
    </w:p>
    <w:p w14:paraId="7DA5DCF0" w14:textId="4FBFA6A7"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08" w:history="1">
        <w:r w:rsidR="00D80FBD" w:rsidRPr="00D80FBD">
          <w:rPr>
            <w:rStyle w:val="Hipercze"/>
          </w:rPr>
          <w:t>3.3.18 Biogazownie i kompostownie</w:t>
        </w:r>
        <w:r w:rsidR="00D80FBD" w:rsidRPr="00D80FBD">
          <w:rPr>
            <w:webHidden/>
          </w:rPr>
          <w:tab/>
        </w:r>
        <w:r w:rsidR="00D80FBD" w:rsidRPr="00D80FBD">
          <w:rPr>
            <w:webHidden/>
          </w:rPr>
          <w:fldChar w:fldCharType="begin"/>
        </w:r>
        <w:r w:rsidR="00D80FBD" w:rsidRPr="00D80FBD">
          <w:rPr>
            <w:webHidden/>
          </w:rPr>
          <w:instrText xml:space="preserve"> PAGEREF _Toc135935608 \h </w:instrText>
        </w:r>
        <w:r w:rsidR="00D80FBD" w:rsidRPr="00D80FBD">
          <w:rPr>
            <w:webHidden/>
          </w:rPr>
        </w:r>
        <w:r w:rsidR="00D80FBD" w:rsidRPr="00D80FBD">
          <w:rPr>
            <w:webHidden/>
          </w:rPr>
          <w:fldChar w:fldCharType="separate"/>
        </w:r>
        <w:r w:rsidR="00D61CF7">
          <w:rPr>
            <w:webHidden/>
          </w:rPr>
          <w:t>52</w:t>
        </w:r>
        <w:r w:rsidR="00D80FBD" w:rsidRPr="00D80FBD">
          <w:rPr>
            <w:webHidden/>
          </w:rPr>
          <w:fldChar w:fldCharType="end"/>
        </w:r>
      </w:hyperlink>
    </w:p>
    <w:p w14:paraId="5F19E63C" w14:textId="0CCDDB88"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09" w:history="1">
        <w:r w:rsidR="00D80FBD" w:rsidRPr="00D80FBD">
          <w:rPr>
            <w:rStyle w:val="Hipercze"/>
          </w:rPr>
          <w:t xml:space="preserve">3.3.19 Kontrole stosowania i przechowywania nawozów, środków wspomagających uprawę roślin, komunalnych osadów ściekowych oraz kontrola rolniczego wykorzystania ścieków </w:t>
        </w:r>
        <w:r w:rsidR="002B0B43">
          <w:rPr>
            <w:rStyle w:val="Hipercze"/>
          </w:rPr>
          <w:br/>
        </w:r>
        <w:r w:rsidR="00D80FBD" w:rsidRPr="00D80FBD">
          <w:rPr>
            <w:rStyle w:val="Hipercze"/>
          </w:rPr>
          <w:t>w produkcji pierwotnej żywności pochodzenia roślinnego</w:t>
        </w:r>
        <w:r w:rsidR="00D80FBD" w:rsidRPr="00D80FBD">
          <w:rPr>
            <w:webHidden/>
          </w:rPr>
          <w:tab/>
        </w:r>
        <w:r w:rsidR="00D80FBD" w:rsidRPr="00D80FBD">
          <w:rPr>
            <w:webHidden/>
          </w:rPr>
          <w:fldChar w:fldCharType="begin"/>
        </w:r>
        <w:r w:rsidR="00D80FBD" w:rsidRPr="00D80FBD">
          <w:rPr>
            <w:webHidden/>
          </w:rPr>
          <w:instrText xml:space="preserve"> PAGEREF _Toc135935609 \h </w:instrText>
        </w:r>
        <w:r w:rsidR="00D80FBD" w:rsidRPr="00D80FBD">
          <w:rPr>
            <w:webHidden/>
          </w:rPr>
        </w:r>
        <w:r w:rsidR="00D80FBD" w:rsidRPr="00D80FBD">
          <w:rPr>
            <w:webHidden/>
          </w:rPr>
          <w:fldChar w:fldCharType="separate"/>
        </w:r>
        <w:r w:rsidR="00D61CF7">
          <w:rPr>
            <w:webHidden/>
          </w:rPr>
          <w:t>54</w:t>
        </w:r>
        <w:r w:rsidR="00D80FBD" w:rsidRPr="00D80FBD">
          <w:rPr>
            <w:webHidden/>
          </w:rPr>
          <w:fldChar w:fldCharType="end"/>
        </w:r>
      </w:hyperlink>
    </w:p>
    <w:p w14:paraId="7FA28028" w14:textId="4BB48FB2"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10" w:history="1">
        <w:r w:rsidR="00D80FBD" w:rsidRPr="00D80FBD">
          <w:rPr>
            <w:rStyle w:val="Hipercze"/>
          </w:rPr>
          <w:t>3.3.20 Kontrole oczyszczalni ścieków</w:t>
        </w:r>
        <w:r w:rsidR="00D80FBD" w:rsidRPr="00D80FBD">
          <w:rPr>
            <w:webHidden/>
          </w:rPr>
          <w:tab/>
        </w:r>
        <w:r w:rsidR="00D80FBD" w:rsidRPr="00D80FBD">
          <w:rPr>
            <w:webHidden/>
          </w:rPr>
          <w:fldChar w:fldCharType="begin"/>
        </w:r>
        <w:r w:rsidR="00D80FBD" w:rsidRPr="00D80FBD">
          <w:rPr>
            <w:webHidden/>
          </w:rPr>
          <w:instrText xml:space="preserve"> PAGEREF _Toc135935610 \h </w:instrText>
        </w:r>
        <w:r w:rsidR="00D80FBD" w:rsidRPr="00D80FBD">
          <w:rPr>
            <w:webHidden/>
          </w:rPr>
        </w:r>
        <w:r w:rsidR="00D80FBD" w:rsidRPr="00D80FBD">
          <w:rPr>
            <w:webHidden/>
          </w:rPr>
          <w:fldChar w:fldCharType="separate"/>
        </w:r>
        <w:r w:rsidR="00D61CF7">
          <w:rPr>
            <w:webHidden/>
          </w:rPr>
          <w:t>56</w:t>
        </w:r>
        <w:r w:rsidR="00D80FBD" w:rsidRPr="00D80FBD">
          <w:rPr>
            <w:webHidden/>
          </w:rPr>
          <w:fldChar w:fldCharType="end"/>
        </w:r>
      </w:hyperlink>
    </w:p>
    <w:p w14:paraId="181B821C" w14:textId="48046106"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11" w:history="1">
        <w:r w:rsidR="00D80FBD" w:rsidRPr="00D80FBD">
          <w:rPr>
            <w:rStyle w:val="Hipercze"/>
          </w:rPr>
          <w:t>3.3.21 Kontrole ujęć wody</w:t>
        </w:r>
        <w:r w:rsidR="00D80FBD" w:rsidRPr="00D80FBD">
          <w:rPr>
            <w:webHidden/>
          </w:rPr>
          <w:tab/>
        </w:r>
        <w:r w:rsidR="00D80FBD" w:rsidRPr="00D80FBD">
          <w:rPr>
            <w:webHidden/>
          </w:rPr>
          <w:fldChar w:fldCharType="begin"/>
        </w:r>
        <w:r w:rsidR="00D80FBD" w:rsidRPr="00D80FBD">
          <w:rPr>
            <w:webHidden/>
          </w:rPr>
          <w:instrText xml:space="preserve"> PAGEREF _Toc135935611 \h </w:instrText>
        </w:r>
        <w:r w:rsidR="00D80FBD" w:rsidRPr="00D80FBD">
          <w:rPr>
            <w:webHidden/>
          </w:rPr>
        </w:r>
        <w:r w:rsidR="00D80FBD" w:rsidRPr="00D80FBD">
          <w:rPr>
            <w:webHidden/>
          </w:rPr>
          <w:fldChar w:fldCharType="separate"/>
        </w:r>
        <w:r w:rsidR="00D61CF7">
          <w:rPr>
            <w:webHidden/>
          </w:rPr>
          <w:t>59</w:t>
        </w:r>
        <w:r w:rsidR="00D80FBD" w:rsidRPr="00D80FBD">
          <w:rPr>
            <w:webHidden/>
          </w:rPr>
          <w:fldChar w:fldCharType="end"/>
        </w:r>
      </w:hyperlink>
    </w:p>
    <w:p w14:paraId="725B1E25" w14:textId="1F689CB0"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12" w:history="1">
        <w:r w:rsidR="00D80FBD" w:rsidRPr="00D80FBD">
          <w:rPr>
            <w:rStyle w:val="Hipercze"/>
          </w:rPr>
          <w:t>3.3.22 Kontrole dotyczące ochrony wód przed zanieczyszczeniem azotanami pochodzącymi ze źródeł rolniczych</w:t>
        </w:r>
        <w:r w:rsidR="00D80FBD" w:rsidRPr="00D80FBD">
          <w:rPr>
            <w:webHidden/>
          </w:rPr>
          <w:tab/>
        </w:r>
        <w:r w:rsidR="00D80FBD" w:rsidRPr="00D80FBD">
          <w:rPr>
            <w:webHidden/>
          </w:rPr>
          <w:fldChar w:fldCharType="begin"/>
        </w:r>
        <w:r w:rsidR="00D80FBD" w:rsidRPr="00D80FBD">
          <w:rPr>
            <w:webHidden/>
          </w:rPr>
          <w:instrText xml:space="preserve"> PAGEREF _Toc135935612 \h </w:instrText>
        </w:r>
        <w:r w:rsidR="00D80FBD" w:rsidRPr="00D80FBD">
          <w:rPr>
            <w:webHidden/>
          </w:rPr>
        </w:r>
        <w:r w:rsidR="00D80FBD" w:rsidRPr="00D80FBD">
          <w:rPr>
            <w:webHidden/>
          </w:rPr>
          <w:fldChar w:fldCharType="separate"/>
        </w:r>
        <w:r w:rsidR="00D61CF7">
          <w:rPr>
            <w:webHidden/>
          </w:rPr>
          <w:t>60</w:t>
        </w:r>
        <w:r w:rsidR="00D80FBD" w:rsidRPr="00D80FBD">
          <w:rPr>
            <w:webHidden/>
          </w:rPr>
          <w:fldChar w:fldCharType="end"/>
        </w:r>
      </w:hyperlink>
    </w:p>
    <w:p w14:paraId="2CA07791" w14:textId="1220A120"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13" w:history="1">
        <w:r w:rsidR="00D80FBD" w:rsidRPr="00D80FBD">
          <w:rPr>
            <w:rStyle w:val="Hipercze"/>
          </w:rPr>
          <w:t>3.3.23 Kontrole w zakresie wprowadzania do obrotu drewna i produktów z drewna</w:t>
        </w:r>
        <w:r w:rsidR="00D80FBD" w:rsidRPr="00D80FBD">
          <w:rPr>
            <w:webHidden/>
          </w:rPr>
          <w:tab/>
        </w:r>
        <w:r w:rsidR="00D80FBD" w:rsidRPr="00D80FBD">
          <w:rPr>
            <w:webHidden/>
          </w:rPr>
          <w:fldChar w:fldCharType="begin"/>
        </w:r>
        <w:r w:rsidR="00D80FBD" w:rsidRPr="00D80FBD">
          <w:rPr>
            <w:webHidden/>
          </w:rPr>
          <w:instrText xml:space="preserve"> PAGEREF _Toc135935613 \h </w:instrText>
        </w:r>
        <w:r w:rsidR="00D80FBD" w:rsidRPr="00D80FBD">
          <w:rPr>
            <w:webHidden/>
          </w:rPr>
        </w:r>
        <w:r w:rsidR="00D80FBD" w:rsidRPr="00D80FBD">
          <w:rPr>
            <w:webHidden/>
          </w:rPr>
          <w:fldChar w:fldCharType="separate"/>
        </w:r>
        <w:r w:rsidR="00D61CF7">
          <w:rPr>
            <w:webHidden/>
          </w:rPr>
          <w:t>65</w:t>
        </w:r>
        <w:r w:rsidR="00D80FBD" w:rsidRPr="00D80FBD">
          <w:rPr>
            <w:webHidden/>
          </w:rPr>
          <w:fldChar w:fldCharType="end"/>
        </w:r>
      </w:hyperlink>
    </w:p>
    <w:p w14:paraId="2317AE8C" w14:textId="7B3FBD6C"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14" w:history="1">
        <w:r w:rsidR="00D80FBD" w:rsidRPr="00D80FBD">
          <w:rPr>
            <w:rStyle w:val="Hipercze"/>
          </w:rPr>
          <w:t>3.3.24 Kontrole w zakresie uchwalania i realizacji zadań określonych w programach ochrony powietrza i planach działań krótkoterminowych</w:t>
        </w:r>
        <w:r w:rsidR="00D80FBD" w:rsidRPr="00D80FBD">
          <w:rPr>
            <w:webHidden/>
          </w:rPr>
          <w:tab/>
        </w:r>
        <w:r w:rsidR="00D80FBD" w:rsidRPr="00D80FBD">
          <w:rPr>
            <w:webHidden/>
          </w:rPr>
          <w:fldChar w:fldCharType="begin"/>
        </w:r>
        <w:r w:rsidR="00D80FBD" w:rsidRPr="00D80FBD">
          <w:rPr>
            <w:webHidden/>
          </w:rPr>
          <w:instrText xml:space="preserve"> PAGEREF _Toc135935614 \h </w:instrText>
        </w:r>
        <w:r w:rsidR="00D80FBD" w:rsidRPr="00D80FBD">
          <w:rPr>
            <w:webHidden/>
          </w:rPr>
        </w:r>
        <w:r w:rsidR="00D80FBD" w:rsidRPr="00D80FBD">
          <w:rPr>
            <w:webHidden/>
          </w:rPr>
          <w:fldChar w:fldCharType="separate"/>
        </w:r>
        <w:r w:rsidR="00D61CF7">
          <w:rPr>
            <w:webHidden/>
          </w:rPr>
          <w:t>65</w:t>
        </w:r>
        <w:r w:rsidR="00D80FBD" w:rsidRPr="00D80FBD">
          <w:rPr>
            <w:webHidden/>
          </w:rPr>
          <w:fldChar w:fldCharType="end"/>
        </w:r>
      </w:hyperlink>
    </w:p>
    <w:p w14:paraId="5E900587" w14:textId="21C7411B"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15" w:history="1">
        <w:r w:rsidR="00D80FBD" w:rsidRPr="00D80FBD">
          <w:rPr>
            <w:rStyle w:val="Hipercze"/>
          </w:rPr>
          <w:t>3.3.25 Kontrole w zakresie PEM</w:t>
        </w:r>
        <w:r w:rsidR="00D80FBD" w:rsidRPr="00D80FBD">
          <w:rPr>
            <w:webHidden/>
          </w:rPr>
          <w:tab/>
        </w:r>
        <w:r w:rsidR="00D80FBD" w:rsidRPr="00D80FBD">
          <w:rPr>
            <w:webHidden/>
          </w:rPr>
          <w:fldChar w:fldCharType="begin"/>
        </w:r>
        <w:r w:rsidR="00D80FBD" w:rsidRPr="00D80FBD">
          <w:rPr>
            <w:webHidden/>
          </w:rPr>
          <w:instrText xml:space="preserve"> PAGEREF _Toc135935615 \h </w:instrText>
        </w:r>
        <w:r w:rsidR="00D80FBD" w:rsidRPr="00D80FBD">
          <w:rPr>
            <w:webHidden/>
          </w:rPr>
        </w:r>
        <w:r w:rsidR="00D80FBD" w:rsidRPr="00D80FBD">
          <w:rPr>
            <w:webHidden/>
          </w:rPr>
          <w:fldChar w:fldCharType="separate"/>
        </w:r>
        <w:r w:rsidR="00D61CF7">
          <w:rPr>
            <w:webHidden/>
          </w:rPr>
          <w:t>66</w:t>
        </w:r>
        <w:r w:rsidR="00D80FBD" w:rsidRPr="00D80FBD">
          <w:rPr>
            <w:webHidden/>
          </w:rPr>
          <w:fldChar w:fldCharType="end"/>
        </w:r>
      </w:hyperlink>
    </w:p>
    <w:p w14:paraId="5630EF9F" w14:textId="106B5ADA"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16" w:history="1">
        <w:r w:rsidR="00D80FBD" w:rsidRPr="00D80FBD">
          <w:rPr>
            <w:rStyle w:val="Hipercze"/>
          </w:rPr>
          <w:t xml:space="preserve">3.3.26 Kontrole przestrzegania </w:t>
        </w:r>
        <w:r w:rsidR="00D80FBD" w:rsidRPr="00D80FBD">
          <w:rPr>
            <w:rStyle w:val="Hipercze"/>
            <w:lang w:eastAsia="pl-PL"/>
          </w:rPr>
          <w:t>decyzji o środowiskowych uwarunkowaniach</w:t>
        </w:r>
        <w:r w:rsidR="00D80FBD" w:rsidRPr="00D80FBD">
          <w:rPr>
            <w:webHidden/>
          </w:rPr>
          <w:tab/>
        </w:r>
        <w:r w:rsidR="00D80FBD" w:rsidRPr="00D80FBD">
          <w:rPr>
            <w:webHidden/>
          </w:rPr>
          <w:fldChar w:fldCharType="begin"/>
        </w:r>
        <w:r w:rsidR="00D80FBD" w:rsidRPr="00D80FBD">
          <w:rPr>
            <w:webHidden/>
          </w:rPr>
          <w:instrText xml:space="preserve"> PAGEREF _Toc135935616 \h </w:instrText>
        </w:r>
        <w:r w:rsidR="00D80FBD" w:rsidRPr="00D80FBD">
          <w:rPr>
            <w:webHidden/>
          </w:rPr>
        </w:r>
        <w:r w:rsidR="00D80FBD" w:rsidRPr="00D80FBD">
          <w:rPr>
            <w:webHidden/>
          </w:rPr>
          <w:fldChar w:fldCharType="separate"/>
        </w:r>
        <w:r w:rsidR="00D61CF7">
          <w:rPr>
            <w:webHidden/>
          </w:rPr>
          <w:t>67</w:t>
        </w:r>
        <w:r w:rsidR="00D80FBD" w:rsidRPr="00D80FBD">
          <w:rPr>
            <w:webHidden/>
          </w:rPr>
          <w:fldChar w:fldCharType="end"/>
        </w:r>
      </w:hyperlink>
    </w:p>
    <w:p w14:paraId="2E658FF6" w14:textId="044B5166"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17" w:history="1">
        <w:r w:rsidR="00D80FBD" w:rsidRPr="00D80FBD">
          <w:rPr>
            <w:rStyle w:val="Hipercze"/>
          </w:rPr>
          <w:t>3.3.27 Podmioty nie umieszczone w wykazie marszałka województwa, a podejrzane o prowadzenie demontażu pojazdów</w:t>
        </w:r>
        <w:r w:rsidR="00D80FBD" w:rsidRPr="00D80FBD">
          <w:rPr>
            <w:webHidden/>
          </w:rPr>
          <w:tab/>
        </w:r>
        <w:r w:rsidR="00D80FBD" w:rsidRPr="00D80FBD">
          <w:rPr>
            <w:webHidden/>
          </w:rPr>
          <w:fldChar w:fldCharType="begin"/>
        </w:r>
        <w:r w:rsidR="00D80FBD" w:rsidRPr="00D80FBD">
          <w:rPr>
            <w:webHidden/>
          </w:rPr>
          <w:instrText xml:space="preserve"> PAGEREF _Toc135935617 \h </w:instrText>
        </w:r>
        <w:r w:rsidR="00D80FBD" w:rsidRPr="00D80FBD">
          <w:rPr>
            <w:webHidden/>
          </w:rPr>
        </w:r>
        <w:r w:rsidR="00D80FBD" w:rsidRPr="00D80FBD">
          <w:rPr>
            <w:webHidden/>
          </w:rPr>
          <w:fldChar w:fldCharType="separate"/>
        </w:r>
        <w:r w:rsidR="00D61CF7">
          <w:rPr>
            <w:webHidden/>
          </w:rPr>
          <w:t>67</w:t>
        </w:r>
        <w:r w:rsidR="00D80FBD" w:rsidRPr="00D80FBD">
          <w:rPr>
            <w:webHidden/>
          </w:rPr>
          <w:fldChar w:fldCharType="end"/>
        </w:r>
      </w:hyperlink>
    </w:p>
    <w:p w14:paraId="0950AB1C" w14:textId="051C1E26"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18" w:history="1">
        <w:r w:rsidR="00D80FBD" w:rsidRPr="00D80FBD">
          <w:rPr>
            <w:rStyle w:val="Hipercze"/>
          </w:rPr>
          <w:t>3.3.28 Punkty zbierania pojazdów</w:t>
        </w:r>
        <w:r w:rsidR="00D80FBD" w:rsidRPr="00D80FBD">
          <w:rPr>
            <w:webHidden/>
          </w:rPr>
          <w:tab/>
        </w:r>
        <w:r w:rsidR="00D80FBD" w:rsidRPr="00D80FBD">
          <w:rPr>
            <w:webHidden/>
          </w:rPr>
          <w:fldChar w:fldCharType="begin"/>
        </w:r>
        <w:r w:rsidR="00D80FBD" w:rsidRPr="00D80FBD">
          <w:rPr>
            <w:webHidden/>
          </w:rPr>
          <w:instrText xml:space="preserve"> PAGEREF _Toc135935618 \h </w:instrText>
        </w:r>
        <w:r w:rsidR="00D80FBD" w:rsidRPr="00D80FBD">
          <w:rPr>
            <w:webHidden/>
          </w:rPr>
        </w:r>
        <w:r w:rsidR="00D80FBD" w:rsidRPr="00D80FBD">
          <w:rPr>
            <w:webHidden/>
          </w:rPr>
          <w:fldChar w:fldCharType="separate"/>
        </w:r>
        <w:r w:rsidR="00D61CF7">
          <w:rPr>
            <w:webHidden/>
          </w:rPr>
          <w:t>68</w:t>
        </w:r>
        <w:r w:rsidR="00D80FBD" w:rsidRPr="00D80FBD">
          <w:rPr>
            <w:webHidden/>
          </w:rPr>
          <w:fldChar w:fldCharType="end"/>
        </w:r>
      </w:hyperlink>
    </w:p>
    <w:p w14:paraId="76C1035F" w14:textId="5109B154"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19" w:history="1">
        <w:r w:rsidR="00D80FBD" w:rsidRPr="00D80FBD">
          <w:rPr>
            <w:rStyle w:val="Hipercze"/>
            <w:iCs/>
          </w:rPr>
          <w:t>3.3.29 Postępowanie z bateriami i akumulatorami oraz zużytymi bateriami i zużytymi akumulatorami</w:t>
        </w:r>
        <w:r w:rsidR="00D80FBD" w:rsidRPr="00D80FBD">
          <w:rPr>
            <w:webHidden/>
          </w:rPr>
          <w:tab/>
        </w:r>
        <w:r w:rsidR="00D80FBD" w:rsidRPr="00D80FBD">
          <w:rPr>
            <w:webHidden/>
          </w:rPr>
          <w:fldChar w:fldCharType="begin"/>
        </w:r>
        <w:r w:rsidR="00D80FBD" w:rsidRPr="00D80FBD">
          <w:rPr>
            <w:webHidden/>
          </w:rPr>
          <w:instrText xml:space="preserve"> PAGEREF _Toc135935619 \h </w:instrText>
        </w:r>
        <w:r w:rsidR="00D80FBD" w:rsidRPr="00D80FBD">
          <w:rPr>
            <w:webHidden/>
          </w:rPr>
        </w:r>
        <w:r w:rsidR="00D80FBD" w:rsidRPr="00D80FBD">
          <w:rPr>
            <w:webHidden/>
          </w:rPr>
          <w:fldChar w:fldCharType="separate"/>
        </w:r>
        <w:r w:rsidR="00D61CF7">
          <w:rPr>
            <w:webHidden/>
          </w:rPr>
          <w:t>68</w:t>
        </w:r>
        <w:r w:rsidR="00D80FBD" w:rsidRPr="00D80FBD">
          <w:rPr>
            <w:webHidden/>
          </w:rPr>
          <w:fldChar w:fldCharType="end"/>
        </w:r>
      </w:hyperlink>
    </w:p>
    <w:p w14:paraId="65AB482C" w14:textId="152970BA"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20" w:history="1">
        <w:r w:rsidR="00D80FBD" w:rsidRPr="00D80FBD">
          <w:rPr>
            <w:rStyle w:val="Hipercze"/>
          </w:rPr>
          <w:t>3.3.30 Składowiska odpadów innych niż niebezpieczne i obojętnych</w:t>
        </w:r>
        <w:r w:rsidR="00D80FBD" w:rsidRPr="00D80FBD">
          <w:rPr>
            <w:webHidden/>
          </w:rPr>
          <w:tab/>
        </w:r>
        <w:r w:rsidR="00D80FBD" w:rsidRPr="00D80FBD">
          <w:rPr>
            <w:webHidden/>
          </w:rPr>
          <w:fldChar w:fldCharType="begin"/>
        </w:r>
        <w:r w:rsidR="00D80FBD" w:rsidRPr="00D80FBD">
          <w:rPr>
            <w:webHidden/>
          </w:rPr>
          <w:instrText xml:space="preserve"> PAGEREF _Toc135935620 \h </w:instrText>
        </w:r>
        <w:r w:rsidR="00D80FBD" w:rsidRPr="00D80FBD">
          <w:rPr>
            <w:webHidden/>
          </w:rPr>
        </w:r>
        <w:r w:rsidR="00D80FBD" w:rsidRPr="00D80FBD">
          <w:rPr>
            <w:webHidden/>
          </w:rPr>
          <w:fldChar w:fldCharType="separate"/>
        </w:r>
        <w:r w:rsidR="00D61CF7">
          <w:rPr>
            <w:webHidden/>
          </w:rPr>
          <w:t>69</w:t>
        </w:r>
        <w:r w:rsidR="00D80FBD" w:rsidRPr="00D80FBD">
          <w:rPr>
            <w:webHidden/>
          </w:rPr>
          <w:fldChar w:fldCharType="end"/>
        </w:r>
      </w:hyperlink>
    </w:p>
    <w:p w14:paraId="76FCB924" w14:textId="4757CCAE"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21" w:history="1">
        <w:r w:rsidR="00D80FBD" w:rsidRPr="00D80FBD">
          <w:rPr>
            <w:rStyle w:val="Hipercze"/>
            <w:rFonts w:eastAsia="Calibri"/>
            <w:lang w:eastAsia="pl-PL"/>
          </w:rPr>
          <w:t>3.3.31 Działalność kontrolna w zakresie gospodarki komunalnymi osadami ściekowymi</w:t>
        </w:r>
        <w:r w:rsidR="00D80FBD" w:rsidRPr="00D80FBD">
          <w:rPr>
            <w:webHidden/>
          </w:rPr>
          <w:tab/>
        </w:r>
        <w:r w:rsidR="00D80FBD" w:rsidRPr="00D80FBD">
          <w:rPr>
            <w:webHidden/>
          </w:rPr>
          <w:fldChar w:fldCharType="begin"/>
        </w:r>
        <w:r w:rsidR="00D80FBD" w:rsidRPr="00D80FBD">
          <w:rPr>
            <w:webHidden/>
          </w:rPr>
          <w:instrText xml:space="preserve"> PAGEREF _Toc135935621 \h </w:instrText>
        </w:r>
        <w:r w:rsidR="00D80FBD" w:rsidRPr="00D80FBD">
          <w:rPr>
            <w:webHidden/>
          </w:rPr>
        </w:r>
        <w:r w:rsidR="00D80FBD" w:rsidRPr="00D80FBD">
          <w:rPr>
            <w:webHidden/>
          </w:rPr>
          <w:fldChar w:fldCharType="separate"/>
        </w:r>
        <w:r w:rsidR="00D61CF7">
          <w:rPr>
            <w:webHidden/>
          </w:rPr>
          <w:t>70</w:t>
        </w:r>
        <w:r w:rsidR="00D80FBD" w:rsidRPr="00D80FBD">
          <w:rPr>
            <w:webHidden/>
          </w:rPr>
          <w:fldChar w:fldCharType="end"/>
        </w:r>
      </w:hyperlink>
    </w:p>
    <w:p w14:paraId="58578F44" w14:textId="4BA969D7"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22" w:history="1">
        <w:r w:rsidR="00D80FBD" w:rsidRPr="00D80FBD">
          <w:rPr>
            <w:rStyle w:val="Hipercze"/>
          </w:rPr>
          <w:t>3.3.32 Działalność kontrolna w zakresie gospodarki odpadami w postaci drewnianych podkładów kolejowych</w:t>
        </w:r>
        <w:r w:rsidR="00D80FBD" w:rsidRPr="00D80FBD">
          <w:rPr>
            <w:webHidden/>
          </w:rPr>
          <w:tab/>
        </w:r>
        <w:r w:rsidR="00D80FBD" w:rsidRPr="00D80FBD">
          <w:rPr>
            <w:webHidden/>
          </w:rPr>
          <w:fldChar w:fldCharType="begin"/>
        </w:r>
        <w:r w:rsidR="00D80FBD" w:rsidRPr="00D80FBD">
          <w:rPr>
            <w:webHidden/>
          </w:rPr>
          <w:instrText xml:space="preserve"> PAGEREF _Toc135935622 \h </w:instrText>
        </w:r>
        <w:r w:rsidR="00D80FBD" w:rsidRPr="00D80FBD">
          <w:rPr>
            <w:webHidden/>
          </w:rPr>
        </w:r>
        <w:r w:rsidR="00D80FBD" w:rsidRPr="00D80FBD">
          <w:rPr>
            <w:webHidden/>
          </w:rPr>
          <w:fldChar w:fldCharType="separate"/>
        </w:r>
        <w:r w:rsidR="00D61CF7">
          <w:rPr>
            <w:webHidden/>
          </w:rPr>
          <w:t>72</w:t>
        </w:r>
        <w:r w:rsidR="00D80FBD" w:rsidRPr="00D80FBD">
          <w:rPr>
            <w:webHidden/>
          </w:rPr>
          <w:fldChar w:fldCharType="end"/>
        </w:r>
      </w:hyperlink>
    </w:p>
    <w:p w14:paraId="322000D7" w14:textId="7B570253"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23" w:history="1">
        <w:r w:rsidR="00D80FBD" w:rsidRPr="00D80FBD">
          <w:rPr>
            <w:rStyle w:val="Hipercze"/>
          </w:rPr>
          <w:t>3.3.33 Kontrola pozostałych przedsiębiorców objętych przepisami ustawy o zużytym sprzęcie elektrycznym i elektronicznym</w:t>
        </w:r>
        <w:r w:rsidR="00D80FBD" w:rsidRPr="00D80FBD">
          <w:rPr>
            <w:webHidden/>
          </w:rPr>
          <w:tab/>
        </w:r>
        <w:r w:rsidR="00D80FBD" w:rsidRPr="00D80FBD">
          <w:rPr>
            <w:webHidden/>
          </w:rPr>
          <w:fldChar w:fldCharType="begin"/>
        </w:r>
        <w:r w:rsidR="00D80FBD" w:rsidRPr="00D80FBD">
          <w:rPr>
            <w:webHidden/>
          </w:rPr>
          <w:instrText xml:space="preserve"> PAGEREF _Toc135935623 \h </w:instrText>
        </w:r>
        <w:r w:rsidR="00D80FBD" w:rsidRPr="00D80FBD">
          <w:rPr>
            <w:webHidden/>
          </w:rPr>
        </w:r>
        <w:r w:rsidR="00D80FBD" w:rsidRPr="00D80FBD">
          <w:rPr>
            <w:webHidden/>
          </w:rPr>
          <w:fldChar w:fldCharType="separate"/>
        </w:r>
        <w:r w:rsidR="00D61CF7">
          <w:rPr>
            <w:webHidden/>
          </w:rPr>
          <w:t>73</w:t>
        </w:r>
        <w:r w:rsidR="00D80FBD" w:rsidRPr="00D80FBD">
          <w:rPr>
            <w:webHidden/>
          </w:rPr>
          <w:fldChar w:fldCharType="end"/>
        </w:r>
      </w:hyperlink>
    </w:p>
    <w:p w14:paraId="10CD097B" w14:textId="4D1BA749"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24" w:history="1">
        <w:r w:rsidR="00D80FBD" w:rsidRPr="00D80FBD">
          <w:rPr>
            <w:rStyle w:val="Hipercze"/>
            <w:rFonts w:eastAsia="Calibri"/>
            <w:lang w:eastAsia="pl-PL"/>
          </w:rPr>
          <w:t xml:space="preserve">3.3.34 Kontrole przestrzegania przepisów ustawy o przeciwdziałaniu marnowaniu </w:t>
        </w:r>
        <w:r w:rsidR="00D80FBD">
          <w:rPr>
            <w:rStyle w:val="Hipercze"/>
            <w:rFonts w:eastAsia="Calibri"/>
            <w:lang w:eastAsia="pl-PL"/>
          </w:rPr>
          <w:br/>
        </w:r>
        <w:r w:rsidR="00D80FBD" w:rsidRPr="00D80FBD">
          <w:rPr>
            <w:rStyle w:val="Hipercze"/>
            <w:rFonts w:eastAsia="Calibri"/>
            <w:lang w:eastAsia="pl-PL"/>
          </w:rPr>
          <w:t>żywności</w:t>
        </w:r>
        <w:r w:rsidR="00D80FBD" w:rsidRPr="00D80FBD">
          <w:rPr>
            <w:webHidden/>
          </w:rPr>
          <w:tab/>
        </w:r>
        <w:r w:rsidR="00D80FBD" w:rsidRPr="00D80FBD">
          <w:rPr>
            <w:webHidden/>
          </w:rPr>
          <w:fldChar w:fldCharType="begin"/>
        </w:r>
        <w:r w:rsidR="00D80FBD" w:rsidRPr="00D80FBD">
          <w:rPr>
            <w:webHidden/>
          </w:rPr>
          <w:instrText xml:space="preserve"> PAGEREF _Toc135935624 \h </w:instrText>
        </w:r>
        <w:r w:rsidR="00D80FBD" w:rsidRPr="00D80FBD">
          <w:rPr>
            <w:webHidden/>
          </w:rPr>
        </w:r>
        <w:r w:rsidR="00D80FBD" w:rsidRPr="00D80FBD">
          <w:rPr>
            <w:webHidden/>
          </w:rPr>
          <w:fldChar w:fldCharType="separate"/>
        </w:r>
        <w:r w:rsidR="00D61CF7">
          <w:rPr>
            <w:webHidden/>
          </w:rPr>
          <w:t>74</w:t>
        </w:r>
        <w:r w:rsidR="00D80FBD" w:rsidRPr="00D80FBD">
          <w:rPr>
            <w:webHidden/>
          </w:rPr>
          <w:fldChar w:fldCharType="end"/>
        </w:r>
      </w:hyperlink>
    </w:p>
    <w:p w14:paraId="24F17134" w14:textId="0A57299B"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25" w:history="1">
        <w:r w:rsidR="00D80FBD" w:rsidRPr="00D80FBD">
          <w:rPr>
            <w:rStyle w:val="Hipercze"/>
          </w:rPr>
          <w:t>3.3.35 Kontrole w zakresie zagospodarowania odpadów zawierających azbest</w:t>
        </w:r>
        <w:r w:rsidR="00D80FBD" w:rsidRPr="00D80FBD">
          <w:rPr>
            <w:webHidden/>
          </w:rPr>
          <w:tab/>
        </w:r>
        <w:r w:rsidR="00D80FBD" w:rsidRPr="00D80FBD">
          <w:rPr>
            <w:webHidden/>
          </w:rPr>
          <w:fldChar w:fldCharType="begin"/>
        </w:r>
        <w:r w:rsidR="00D80FBD" w:rsidRPr="00D80FBD">
          <w:rPr>
            <w:webHidden/>
          </w:rPr>
          <w:instrText xml:space="preserve"> PAGEREF _Toc135935625 \h </w:instrText>
        </w:r>
        <w:r w:rsidR="00D80FBD" w:rsidRPr="00D80FBD">
          <w:rPr>
            <w:webHidden/>
          </w:rPr>
        </w:r>
        <w:r w:rsidR="00D80FBD" w:rsidRPr="00D80FBD">
          <w:rPr>
            <w:webHidden/>
          </w:rPr>
          <w:fldChar w:fldCharType="separate"/>
        </w:r>
        <w:r w:rsidR="00D61CF7">
          <w:rPr>
            <w:webHidden/>
          </w:rPr>
          <w:t>75</w:t>
        </w:r>
        <w:r w:rsidR="00D80FBD" w:rsidRPr="00D80FBD">
          <w:rPr>
            <w:webHidden/>
          </w:rPr>
          <w:fldChar w:fldCharType="end"/>
        </w:r>
      </w:hyperlink>
    </w:p>
    <w:p w14:paraId="5D90903C" w14:textId="58F53364"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26" w:history="1">
        <w:r w:rsidR="00D80FBD" w:rsidRPr="00D80FBD">
          <w:rPr>
            <w:rStyle w:val="Hipercze"/>
          </w:rPr>
          <w:t>3.3.36 Kontrole w zakresie gospodarki odpadami medycznymi i weterynaryjnymi</w:t>
        </w:r>
        <w:r w:rsidR="00D80FBD" w:rsidRPr="00D80FBD">
          <w:rPr>
            <w:webHidden/>
          </w:rPr>
          <w:tab/>
        </w:r>
        <w:r w:rsidR="00D80FBD" w:rsidRPr="00D80FBD">
          <w:rPr>
            <w:webHidden/>
          </w:rPr>
          <w:fldChar w:fldCharType="begin"/>
        </w:r>
        <w:r w:rsidR="00D80FBD" w:rsidRPr="00D80FBD">
          <w:rPr>
            <w:webHidden/>
          </w:rPr>
          <w:instrText xml:space="preserve"> PAGEREF _Toc135935626 \h </w:instrText>
        </w:r>
        <w:r w:rsidR="00D80FBD" w:rsidRPr="00D80FBD">
          <w:rPr>
            <w:webHidden/>
          </w:rPr>
        </w:r>
        <w:r w:rsidR="00D80FBD" w:rsidRPr="00D80FBD">
          <w:rPr>
            <w:webHidden/>
          </w:rPr>
          <w:fldChar w:fldCharType="separate"/>
        </w:r>
        <w:r w:rsidR="00D61CF7">
          <w:rPr>
            <w:webHidden/>
          </w:rPr>
          <w:t>76</w:t>
        </w:r>
        <w:r w:rsidR="00D80FBD" w:rsidRPr="00D80FBD">
          <w:rPr>
            <w:webHidden/>
          </w:rPr>
          <w:fldChar w:fldCharType="end"/>
        </w:r>
      </w:hyperlink>
    </w:p>
    <w:p w14:paraId="0DFA3E6B" w14:textId="05088ACD"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27" w:history="1">
        <w:r w:rsidR="00D80FBD" w:rsidRPr="00D80FBD">
          <w:rPr>
            <w:rStyle w:val="Hipercze"/>
          </w:rPr>
          <w:t>3.4. Kontrole prowadzone przez zespoły kontrolne powołane przez Głównego Inspektora Ochrony Środowiska</w:t>
        </w:r>
        <w:r w:rsidR="00D80FBD" w:rsidRPr="00D80FBD">
          <w:rPr>
            <w:webHidden/>
          </w:rPr>
          <w:tab/>
        </w:r>
        <w:r w:rsidR="00D80FBD" w:rsidRPr="00D80FBD">
          <w:rPr>
            <w:webHidden/>
          </w:rPr>
          <w:fldChar w:fldCharType="begin"/>
        </w:r>
        <w:r w:rsidR="00D80FBD" w:rsidRPr="00D80FBD">
          <w:rPr>
            <w:webHidden/>
          </w:rPr>
          <w:instrText xml:space="preserve"> PAGEREF _Toc135935627 \h </w:instrText>
        </w:r>
        <w:r w:rsidR="00D80FBD" w:rsidRPr="00D80FBD">
          <w:rPr>
            <w:webHidden/>
          </w:rPr>
        </w:r>
        <w:r w:rsidR="00D80FBD" w:rsidRPr="00D80FBD">
          <w:rPr>
            <w:webHidden/>
          </w:rPr>
          <w:fldChar w:fldCharType="separate"/>
        </w:r>
        <w:r w:rsidR="00D61CF7">
          <w:rPr>
            <w:webHidden/>
          </w:rPr>
          <w:t>77</w:t>
        </w:r>
        <w:r w:rsidR="00D80FBD" w:rsidRPr="00D80FBD">
          <w:rPr>
            <w:webHidden/>
          </w:rPr>
          <w:fldChar w:fldCharType="end"/>
        </w:r>
      </w:hyperlink>
    </w:p>
    <w:p w14:paraId="54394292" w14:textId="2463C9F5"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28" w:history="1">
        <w:r w:rsidR="00D80FBD" w:rsidRPr="00D80FBD">
          <w:rPr>
            <w:rStyle w:val="Hipercze"/>
          </w:rPr>
          <w:t>3.5. Inne działania</w:t>
        </w:r>
        <w:r w:rsidR="00D80FBD" w:rsidRPr="00D80FBD">
          <w:rPr>
            <w:webHidden/>
          </w:rPr>
          <w:tab/>
        </w:r>
        <w:r w:rsidR="00D80FBD" w:rsidRPr="00D80FBD">
          <w:rPr>
            <w:webHidden/>
          </w:rPr>
          <w:fldChar w:fldCharType="begin"/>
        </w:r>
        <w:r w:rsidR="00D80FBD" w:rsidRPr="00D80FBD">
          <w:rPr>
            <w:webHidden/>
          </w:rPr>
          <w:instrText xml:space="preserve"> PAGEREF _Toc135935628 \h </w:instrText>
        </w:r>
        <w:r w:rsidR="00D80FBD" w:rsidRPr="00D80FBD">
          <w:rPr>
            <w:webHidden/>
          </w:rPr>
        </w:r>
        <w:r w:rsidR="00D80FBD" w:rsidRPr="00D80FBD">
          <w:rPr>
            <w:webHidden/>
          </w:rPr>
          <w:fldChar w:fldCharType="separate"/>
        </w:r>
        <w:r w:rsidR="00D61CF7">
          <w:rPr>
            <w:webHidden/>
          </w:rPr>
          <w:t>77</w:t>
        </w:r>
        <w:r w:rsidR="00D80FBD" w:rsidRPr="00D80FBD">
          <w:rPr>
            <w:webHidden/>
          </w:rPr>
          <w:fldChar w:fldCharType="end"/>
        </w:r>
      </w:hyperlink>
    </w:p>
    <w:p w14:paraId="33BBC19E" w14:textId="0B7A7A96"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29" w:history="1">
        <w:r w:rsidR="00D80FBD" w:rsidRPr="00D80FBD">
          <w:rPr>
            <w:rStyle w:val="Hipercze"/>
          </w:rPr>
          <w:t>3.5.1 Skargi i wnioski o podjęcie interwencji</w:t>
        </w:r>
        <w:r w:rsidR="00D80FBD" w:rsidRPr="00D80FBD">
          <w:rPr>
            <w:webHidden/>
          </w:rPr>
          <w:tab/>
        </w:r>
        <w:r w:rsidR="00D80FBD" w:rsidRPr="00D80FBD">
          <w:rPr>
            <w:webHidden/>
          </w:rPr>
          <w:fldChar w:fldCharType="begin"/>
        </w:r>
        <w:r w:rsidR="00D80FBD" w:rsidRPr="00D80FBD">
          <w:rPr>
            <w:webHidden/>
          </w:rPr>
          <w:instrText xml:space="preserve"> PAGEREF _Toc135935629 \h </w:instrText>
        </w:r>
        <w:r w:rsidR="00D80FBD" w:rsidRPr="00D80FBD">
          <w:rPr>
            <w:webHidden/>
          </w:rPr>
        </w:r>
        <w:r w:rsidR="00D80FBD" w:rsidRPr="00D80FBD">
          <w:rPr>
            <w:webHidden/>
          </w:rPr>
          <w:fldChar w:fldCharType="separate"/>
        </w:r>
        <w:r w:rsidR="00D61CF7">
          <w:rPr>
            <w:webHidden/>
          </w:rPr>
          <w:t>77</w:t>
        </w:r>
        <w:r w:rsidR="00D80FBD" w:rsidRPr="00D80FBD">
          <w:rPr>
            <w:webHidden/>
          </w:rPr>
          <w:fldChar w:fldCharType="end"/>
        </w:r>
      </w:hyperlink>
    </w:p>
    <w:p w14:paraId="44FF976D" w14:textId="23E90A05"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30" w:history="1">
        <w:r w:rsidR="00D80FBD" w:rsidRPr="00D80FBD">
          <w:rPr>
            <w:rStyle w:val="Hipercze"/>
          </w:rPr>
          <w:t>3.5.2 Interpelacje i zapytania parlamentarzystów</w:t>
        </w:r>
        <w:r w:rsidR="00D80FBD" w:rsidRPr="00D80FBD">
          <w:rPr>
            <w:webHidden/>
          </w:rPr>
          <w:tab/>
        </w:r>
        <w:r w:rsidR="00D80FBD" w:rsidRPr="00D80FBD">
          <w:rPr>
            <w:webHidden/>
          </w:rPr>
          <w:fldChar w:fldCharType="begin"/>
        </w:r>
        <w:r w:rsidR="00D80FBD" w:rsidRPr="00D80FBD">
          <w:rPr>
            <w:webHidden/>
          </w:rPr>
          <w:instrText xml:space="preserve"> PAGEREF _Toc135935630 \h </w:instrText>
        </w:r>
        <w:r w:rsidR="00D80FBD" w:rsidRPr="00D80FBD">
          <w:rPr>
            <w:webHidden/>
          </w:rPr>
        </w:r>
        <w:r w:rsidR="00D80FBD" w:rsidRPr="00D80FBD">
          <w:rPr>
            <w:webHidden/>
          </w:rPr>
          <w:fldChar w:fldCharType="separate"/>
        </w:r>
        <w:r w:rsidR="00D61CF7">
          <w:rPr>
            <w:webHidden/>
          </w:rPr>
          <w:t>79</w:t>
        </w:r>
        <w:r w:rsidR="00D80FBD" w:rsidRPr="00D80FBD">
          <w:rPr>
            <w:webHidden/>
          </w:rPr>
          <w:fldChar w:fldCharType="end"/>
        </w:r>
      </w:hyperlink>
    </w:p>
    <w:p w14:paraId="1C60FFF3" w14:textId="245619AD"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31" w:history="1">
        <w:r w:rsidR="00D80FBD" w:rsidRPr="00D80FBD">
          <w:rPr>
            <w:rStyle w:val="Hipercze"/>
          </w:rPr>
          <w:t>3.5.3 Rejestry prowadzone przez Główny Inspektorat Ochrony Środowiska</w:t>
        </w:r>
        <w:r w:rsidR="00D80FBD" w:rsidRPr="00D80FBD">
          <w:rPr>
            <w:webHidden/>
          </w:rPr>
          <w:tab/>
        </w:r>
        <w:r w:rsidR="00D80FBD" w:rsidRPr="00D80FBD">
          <w:rPr>
            <w:webHidden/>
          </w:rPr>
          <w:fldChar w:fldCharType="begin"/>
        </w:r>
        <w:r w:rsidR="00D80FBD" w:rsidRPr="00D80FBD">
          <w:rPr>
            <w:webHidden/>
          </w:rPr>
          <w:instrText xml:space="preserve"> PAGEREF _Toc135935631 \h </w:instrText>
        </w:r>
        <w:r w:rsidR="00D80FBD" w:rsidRPr="00D80FBD">
          <w:rPr>
            <w:webHidden/>
          </w:rPr>
        </w:r>
        <w:r w:rsidR="00D80FBD" w:rsidRPr="00D80FBD">
          <w:rPr>
            <w:webHidden/>
          </w:rPr>
          <w:fldChar w:fldCharType="separate"/>
        </w:r>
        <w:r w:rsidR="00D61CF7">
          <w:rPr>
            <w:webHidden/>
          </w:rPr>
          <w:t>79</w:t>
        </w:r>
        <w:r w:rsidR="00D80FBD" w:rsidRPr="00D80FBD">
          <w:rPr>
            <w:webHidden/>
          </w:rPr>
          <w:fldChar w:fldCharType="end"/>
        </w:r>
      </w:hyperlink>
    </w:p>
    <w:p w14:paraId="5047CE77" w14:textId="75E120F0"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32" w:history="1">
        <w:r w:rsidR="00D80FBD" w:rsidRPr="00D80FBD">
          <w:rPr>
            <w:rStyle w:val="Hipercze"/>
          </w:rPr>
          <w:t>4. Wybrane sankcje i działania pokontrolne</w:t>
        </w:r>
        <w:r w:rsidR="00D80FBD" w:rsidRPr="00D80FBD">
          <w:rPr>
            <w:webHidden/>
          </w:rPr>
          <w:tab/>
        </w:r>
        <w:r w:rsidR="00D80FBD" w:rsidRPr="00D80FBD">
          <w:rPr>
            <w:webHidden/>
          </w:rPr>
          <w:fldChar w:fldCharType="begin"/>
        </w:r>
        <w:r w:rsidR="00D80FBD" w:rsidRPr="00D80FBD">
          <w:rPr>
            <w:webHidden/>
          </w:rPr>
          <w:instrText xml:space="preserve"> PAGEREF _Toc135935632 \h </w:instrText>
        </w:r>
        <w:r w:rsidR="00D80FBD" w:rsidRPr="00D80FBD">
          <w:rPr>
            <w:webHidden/>
          </w:rPr>
        </w:r>
        <w:r w:rsidR="00D80FBD" w:rsidRPr="00D80FBD">
          <w:rPr>
            <w:webHidden/>
          </w:rPr>
          <w:fldChar w:fldCharType="separate"/>
        </w:r>
        <w:r w:rsidR="00D61CF7">
          <w:rPr>
            <w:webHidden/>
          </w:rPr>
          <w:t>80</w:t>
        </w:r>
        <w:r w:rsidR="00D80FBD" w:rsidRPr="00D80FBD">
          <w:rPr>
            <w:webHidden/>
          </w:rPr>
          <w:fldChar w:fldCharType="end"/>
        </w:r>
      </w:hyperlink>
    </w:p>
    <w:p w14:paraId="6DC8861E" w14:textId="620BB36B"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33" w:history="1">
        <w:r w:rsidR="00D80FBD" w:rsidRPr="00D80FBD">
          <w:rPr>
            <w:rStyle w:val="Hipercze"/>
          </w:rPr>
          <w:t>4.1 Wnioski do organów ścigania</w:t>
        </w:r>
        <w:r w:rsidR="00D80FBD" w:rsidRPr="00D80FBD">
          <w:rPr>
            <w:webHidden/>
          </w:rPr>
          <w:tab/>
        </w:r>
        <w:r w:rsidR="00D80FBD" w:rsidRPr="00D80FBD">
          <w:rPr>
            <w:webHidden/>
          </w:rPr>
          <w:fldChar w:fldCharType="begin"/>
        </w:r>
        <w:r w:rsidR="00D80FBD" w:rsidRPr="00D80FBD">
          <w:rPr>
            <w:webHidden/>
          </w:rPr>
          <w:instrText xml:space="preserve"> PAGEREF _Toc135935633 \h </w:instrText>
        </w:r>
        <w:r w:rsidR="00D80FBD" w:rsidRPr="00D80FBD">
          <w:rPr>
            <w:webHidden/>
          </w:rPr>
        </w:r>
        <w:r w:rsidR="00D80FBD" w:rsidRPr="00D80FBD">
          <w:rPr>
            <w:webHidden/>
          </w:rPr>
          <w:fldChar w:fldCharType="separate"/>
        </w:r>
        <w:r w:rsidR="00D61CF7">
          <w:rPr>
            <w:webHidden/>
          </w:rPr>
          <w:t>82</w:t>
        </w:r>
        <w:r w:rsidR="00D80FBD" w:rsidRPr="00D80FBD">
          <w:rPr>
            <w:webHidden/>
          </w:rPr>
          <w:fldChar w:fldCharType="end"/>
        </w:r>
      </w:hyperlink>
    </w:p>
    <w:p w14:paraId="40CE1367" w14:textId="6DECAA38"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34" w:history="1">
        <w:r w:rsidR="00D80FBD" w:rsidRPr="00D80FBD">
          <w:rPr>
            <w:rStyle w:val="Hipercze"/>
          </w:rPr>
          <w:t>4.2 Wymierzanie kar i opłat/opłat podwyższonych</w:t>
        </w:r>
        <w:r w:rsidR="00D80FBD" w:rsidRPr="00D80FBD">
          <w:rPr>
            <w:webHidden/>
          </w:rPr>
          <w:tab/>
        </w:r>
        <w:r w:rsidR="00D80FBD" w:rsidRPr="00D80FBD">
          <w:rPr>
            <w:webHidden/>
          </w:rPr>
          <w:fldChar w:fldCharType="begin"/>
        </w:r>
        <w:r w:rsidR="00D80FBD" w:rsidRPr="00D80FBD">
          <w:rPr>
            <w:webHidden/>
          </w:rPr>
          <w:instrText xml:space="preserve"> PAGEREF _Toc135935634 \h </w:instrText>
        </w:r>
        <w:r w:rsidR="00D80FBD" w:rsidRPr="00D80FBD">
          <w:rPr>
            <w:webHidden/>
          </w:rPr>
        </w:r>
        <w:r w:rsidR="00D80FBD" w:rsidRPr="00D80FBD">
          <w:rPr>
            <w:webHidden/>
          </w:rPr>
          <w:fldChar w:fldCharType="separate"/>
        </w:r>
        <w:r w:rsidR="00D61CF7">
          <w:rPr>
            <w:webHidden/>
          </w:rPr>
          <w:t>83</w:t>
        </w:r>
        <w:r w:rsidR="00D80FBD" w:rsidRPr="00D80FBD">
          <w:rPr>
            <w:webHidden/>
          </w:rPr>
          <w:fldChar w:fldCharType="end"/>
        </w:r>
      </w:hyperlink>
    </w:p>
    <w:p w14:paraId="3CCB1C7A" w14:textId="7D015B61"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35" w:history="1">
        <w:r w:rsidR="00D80FBD" w:rsidRPr="00D80FBD">
          <w:rPr>
            <w:rStyle w:val="Hipercze"/>
          </w:rPr>
          <w:t>4.2.1 Wydane decyzje o karach i opłatach/opłatach podwyższonych</w:t>
        </w:r>
        <w:r w:rsidR="00D80FBD" w:rsidRPr="00D80FBD">
          <w:rPr>
            <w:webHidden/>
          </w:rPr>
          <w:tab/>
        </w:r>
        <w:r w:rsidR="00D80FBD" w:rsidRPr="00D80FBD">
          <w:rPr>
            <w:webHidden/>
          </w:rPr>
          <w:fldChar w:fldCharType="begin"/>
        </w:r>
        <w:r w:rsidR="00D80FBD" w:rsidRPr="00D80FBD">
          <w:rPr>
            <w:webHidden/>
          </w:rPr>
          <w:instrText xml:space="preserve"> PAGEREF _Toc135935635 \h </w:instrText>
        </w:r>
        <w:r w:rsidR="00D80FBD" w:rsidRPr="00D80FBD">
          <w:rPr>
            <w:webHidden/>
          </w:rPr>
        </w:r>
        <w:r w:rsidR="00D80FBD" w:rsidRPr="00D80FBD">
          <w:rPr>
            <w:webHidden/>
          </w:rPr>
          <w:fldChar w:fldCharType="separate"/>
        </w:r>
        <w:r w:rsidR="00D61CF7">
          <w:rPr>
            <w:webHidden/>
          </w:rPr>
          <w:t>83</w:t>
        </w:r>
        <w:r w:rsidR="00D80FBD" w:rsidRPr="00D80FBD">
          <w:rPr>
            <w:webHidden/>
          </w:rPr>
          <w:fldChar w:fldCharType="end"/>
        </w:r>
      </w:hyperlink>
    </w:p>
    <w:p w14:paraId="571047CA" w14:textId="14A2E503"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36" w:history="1">
        <w:r w:rsidR="00D80FBD" w:rsidRPr="00D80FBD">
          <w:rPr>
            <w:rStyle w:val="Hipercze"/>
          </w:rPr>
          <w:t>4.2.2 Kary biegnące</w:t>
        </w:r>
        <w:r w:rsidR="00D80FBD" w:rsidRPr="00D80FBD">
          <w:rPr>
            <w:webHidden/>
          </w:rPr>
          <w:tab/>
        </w:r>
        <w:r w:rsidR="00D80FBD" w:rsidRPr="00D80FBD">
          <w:rPr>
            <w:webHidden/>
          </w:rPr>
          <w:fldChar w:fldCharType="begin"/>
        </w:r>
        <w:r w:rsidR="00D80FBD" w:rsidRPr="00D80FBD">
          <w:rPr>
            <w:webHidden/>
          </w:rPr>
          <w:instrText xml:space="preserve"> PAGEREF _Toc135935636 \h </w:instrText>
        </w:r>
        <w:r w:rsidR="00D80FBD" w:rsidRPr="00D80FBD">
          <w:rPr>
            <w:webHidden/>
          </w:rPr>
        </w:r>
        <w:r w:rsidR="00D80FBD" w:rsidRPr="00D80FBD">
          <w:rPr>
            <w:webHidden/>
          </w:rPr>
          <w:fldChar w:fldCharType="separate"/>
        </w:r>
        <w:r w:rsidR="00D61CF7">
          <w:rPr>
            <w:webHidden/>
          </w:rPr>
          <w:t>85</w:t>
        </w:r>
        <w:r w:rsidR="00D80FBD" w:rsidRPr="00D80FBD">
          <w:rPr>
            <w:webHidden/>
          </w:rPr>
          <w:fldChar w:fldCharType="end"/>
        </w:r>
      </w:hyperlink>
    </w:p>
    <w:p w14:paraId="269EF790" w14:textId="35A0BA8C"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37" w:history="1">
        <w:r w:rsidR="00D80FBD" w:rsidRPr="00D80FBD">
          <w:rPr>
            <w:rStyle w:val="Hipercze"/>
          </w:rPr>
          <w:t>4.2.3 Kary za okres trwania naruszenia, kary za inne naruszenia, opłaty oraz opłaty podwyższone</w:t>
        </w:r>
        <w:r w:rsidR="00D80FBD" w:rsidRPr="00D80FBD">
          <w:rPr>
            <w:webHidden/>
          </w:rPr>
          <w:tab/>
        </w:r>
        <w:r w:rsidR="00D80FBD" w:rsidRPr="00D80FBD">
          <w:rPr>
            <w:webHidden/>
          </w:rPr>
          <w:fldChar w:fldCharType="begin"/>
        </w:r>
        <w:r w:rsidR="00D80FBD" w:rsidRPr="00D80FBD">
          <w:rPr>
            <w:webHidden/>
          </w:rPr>
          <w:instrText xml:space="preserve"> PAGEREF _Toc135935637 \h </w:instrText>
        </w:r>
        <w:r w:rsidR="00D80FBD" w:rsidRPr="00D80FBD">
          <w:rPr>
            <w:webHidden/>
          </w:rPr>
        </w:r>
        <w:r w:rsidR="00D80FBD" w:rsidRPr="00D80FBD">
          <w:rPr>
            <w:webHidden/>
          </w:rPr>
          <w:fldChar w:fldCharType="separate"/>
        </w:r>
        <w:r w:rsidR="00D61CF7">
          <w:rPr>
            <w:webHidden/>
          </w:rPr>
          <w:t>85</w:t>
        </w:r>
        <w:r w:rsidR="00D80FBD" w:rsidRPr="00D80FBD">
          <w:rPr>
            <w:webHidden/>
          </w:rPr>
          <w:fldChar w:fldCharType="end"/>
        </w:r>
      </w:hyperlink>
    </w:p>
    <w:p w14:paraId="3B8C075C" w14:textId="02B63D83"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38" w:history="1">
        <w:r w:rsidR="00D80FBD" w:rsidRPr="00D80FBD">
          <w:rPr>
            <w:rStyle w:val="Hipercze"/>
          </w:rPr>
          <w:t>4.2.4 Kary, opłaty oraz opłaty odroczone, zawieszone, umorzone lub rozłożone na raty</w:t>
        </w:r>
        <w:r w:rsidR="00D80FBD" w:rsidRPr="00D80FBD">
          <w:rPr>
            <w:webHidden/>
          </w:rPr>
          <w:tab/>
        </w:r>
        <w:r w:rsidR="00D80FBD" w:rsidRPr="00D80FBD">
          <w:rPr>
            <w:webHidden/>
          </w:rPr>
          <w:fldChar w:fldCharType="begin"/>
        </w:r>
        <w:r w:rsidR="00D80FBD" w:rsidRPr="00D80FBD">
          <w:rPr>
            <w:webHidden/>
          </w:rPr>
          <w:instrText xml:space="preserve"> PAGEREF _Toc135935638 \h </w:instrText>
        </w:r>
        <w:r w:rsidR="00D80FBD" w:rsidRPr="00D80FBD">
          <w:rPr>
            <w:webHidden/>
          </w:rPr>
        </w:r>
        <w:r w:rsidR="00D80FBD" w:rsidRPr="00D80FBD">
          <w:rPr>
            <w:webHidden/>
          </w:rPr>
          <w:fldChar w:fldCharType="separate"/>
        </w:r>
        <w:r w:rsidR="00D61CF7">
          <w:rPr>
            <w:webHidden/>
          </w:rPr>
          <w:t>87</w:t>
        </w:r>
        <w:r w:rsidR="00D80FBD" w:rsidRPr="00D80FBD">
          <w:rPr>
            <w:webHidden/>
          </w:rPr>
          <w:fldChar w:fldCharType="end"/>
        </w:r>
      </w:hyperlink>
    </w:p>
    <w:p w14:paraId="0603292B" w14:textId="6EF041DA"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39" w:history="1">
        <w:r w:rsidR="00D80FBD" w:rsidRPr="00D80FBD">
          <w:rPr>
            <w:rStyle w:val="Hipercze"/>
          </w:rPr>
          <w:t>4.2.5 Kary i opłaty podwyższone rozliczone w związku z terminową realizacją przedsięwzięcia, które usunęło przyczynę wymierzenia kar oraz kary i opłaty podwyższone wymierzone w związku z niezrealizowaniem przedsięwzięcia w terminie lub nieusunięciem przyczyn wymierzenia odroczonej kary lub opłaty podwyższonej</w:t>
        </w:r>
        <w:r w:rsidR="00D80FBD" w:rsidRPr="00D80FBD">
          <w:rPr>
            <w:webHidden/>
          </w:rPr>
          <w:tab/>
        </w:r>
        <w:r w:rsidR="00D80FBD" w:rsidRPr="00D80FBD">
          <w:rPr>
            <w:webHidden/>
          </w:rPr>
          <w:fldChar w:fldCharType="begin"/>
        </w:r>
        <w:r w:rsidR="00D80FBD" w:rsidRPr="00D80FBD">
          <w:rPr>
            <w:webHidden/>
          </w:rPr>
          <w:instrText xml:space="preserve"> PAGEREF _Toc135935639 \h </w:instrText>
        </w:r>
        <w:r w:rsidR="00D80FBD" w:rsidRPr="00D80FBD">
          <w:rPr>
            <w:webHidden/>
          </w:rPr>
        </w:r>
        <w:r w:rsidR="00D80FBD" w:rsidRPr="00D80FBD">
          <w:rPr>
            <w:webHidden/>
          </w:rPr>
          <w:fldChar w:fldCharType="separate"/>
        </w:r>
        <w:r w:rsidR="00D61CF7">
          <w:rPr>
            <w:webHidden/>
          </w:rPr>
          <w:t>88</w:t>
        </w:r>
        <w:r w:rsidR="00D80FBD" w:rsidRPr="00D80FBD">
          <w:rPr>
            <w:webHidden/>
          </w:rPr>
          <w:fldChar w:fldCharType="end"/>
        </w:r>
      </w:hyperlink>
    </w:p>
    <w:p w14:paraId="424F1ACE" w14:textId="38E3C330"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40" w:history="1">
        <w:r w:rsidR="00D80FBD" w:rsidRPr="00D80FBD">
          <w:rPr>
            <w:rStyle w:val="Hipercze"/>
          </w:rPr>
          <w:t>4.2.6 Decyzje ustalające koszty ponoszone w związku z prowadzeniem kontroli przestrzegania wymagań ochrony środowiska</w:t>
        </w:r>
        <w:r w:rsidR="00D80FBD" w:rsidRPr="00D80FBD">
          <w:rPr>
            <w:webHidden/>
          </w:rPr>
          <w:tab/>
        </w:r>
        <w:r w:rsidR="00D80FBD" w:rsidRPr="00D80FBD">
          <w:rPr>
            <w:webHidden/>
          </w:rPr>
          <w:fldChar w:fldCharType="begin"/>
        </w:r>
        <w:r w:rsidR="00D80FBD" w:rsidRPr="00D80FBD">
          <w:rPr>
            <w:webHidden/>
          </w:rPr>
          <w:instrText xml:space="preserve"> PAGEREF _Toc135935640 \h </w:instrText>
        </w:r>
        <w:r w:rsidR="00D80FBD" w:rsidRPr="00D80FBD">
          <w:rPr>
            <w:webHidden/>
          </w:rPr>
        </w:r>
        <w:r w:rsidR="00D80FBD" w:rsidRPr="00D80FBD">
          <w:rPr>
            <w:webHidden/>
          </w:rPr>
          <w:fldChar w:fldCharType="separate"/>
        </w:r>
        <w:r w:rsidR="00D61CF7">
          <w:rPr>
            <w:webHidden/>
          </w:rPr>
          <w:t>88</w:t>
        </w:r>
        <w:r w:rsidR="00D80FBD" w:rsidRPr="00D80FBD">
          <w:rPr>
            <w:webHidden/>
          </w:rPr>
          <w:fldChar w:fldCharType="end"/>
        </w:r>
      </w:hyperlink>
    </w:p>
    <w:p w14:paraId="6FC435E9" w14:textId="3984B2B3"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41" w:history="1">
        <w:r w:rsidR="00D80FBD" w:rsidRPr="00D80FBD">
          <w:rPr>
            <w:rStyle w:val="Hipercze"/>
          </w:rPr>
          <w:t>4.2.7 Stan zadłużenia z tytułu nieściągniętych kar</w:t>
        </w:r>
        <w:r w:rsidR="00D80FBD" w:rsidRPr="00D80FBD">
          <w:rPr>
            <w:webHidden/>
          </w:rPr>
          <w:tab/>
        </w:r>
        <w:r w:rsidR="00D80FBD" w:rsidRPr="00D80FBD">
          <w:rPr>
            <w:webHidden/>
          </w:rPr>
          <w:fldChar w:fldCharType="begin"/>
        </w:r>
        <w:r w:rsidR="00D80FBD" w:rsidRPr="00D80FBD">
          <w:rPr>
            <w:webHidden/>
          </w:rPr>
          <w:instrText xml:space="preserve"> PAGEREF _Toc135935641 \h </w:instrText>
        </w:r>
        <w:r w:rsidR="00D80FBD" w:rsidRPr="00D80FBD">
          <w:rPr>
            <w:webHidden/>
          </w:rPr>
        </w:r>
        <w:r w:rsidR="00D80FBD" w:rsidRPr="00D80FBD">
          <w:rPr>
            <w:webHidden/>
          </w:rPr>
          <w:fldChar w:fldCharType="separate"/>
        </w:r>
        <w:r w:rsidR="00D61CF7">
          <w:rPr>
            <w:webHidden/>
          </w:rPr>
          <w:t>88</w:t>
        </w:r>
        <w:r w:rsidR="00D80FBD" w:rsidRPr="00D80FBD">
          <w:rPr>
            <w:webHidden/>
          </w:rPr>
          <w:fldChar w:fldCharType="end"/>
        </w:r>
      </w:hyperlink>
    </w:p>
    <w:p w14:paraId="55552D1F" w14:textId="48D949EB"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42" w:history="1">
        <w:r w:rsidR="00D80FBD" w:rsidRPr="00D80FBD">
          <w:rPr>
            <w:rStyle w:val="Hipercze"/>
          </w:rPr>
          <w:t>4.3 Przyczyny niskiej efektywności i nieściągalności kar</w:t>
        </w:r>
        <w:r w:rsidR="00D80FBD" w:rsidRPr="00D80FBD">
          <w:rPr>
            <w:webHidden/>
          </w:rPr>
          <w:tab/>
        </w:r>
        <w:r w:rsidR="00D80FBD" w:rsidRPr="00D80FBD">
          <w:rPr>
            <w:webHidden/>
          </w:rPr>
          <w:fldChar w:fldCharType="begin"/>
        </w:r>
        <w:r w:rsidR="00D80FBD" w:rsidRPr="00D80FBD">
          <w:rPr>
            <w:webHidden/>
          </w:rPr>
          <w:instrText xml:space="preserve"> PAGEREF _Toc135935642 \h </w:instrText>
        </w:r>
        <w:r w:rsidR="00D80FBD" w:rsidRPr="00D80FBD">
          <w:rPr>
            <w:webHidden/>
          </w:rPr>
        </w:r>
        <w:r w:rsidR="00D80FBD" w:rsidRPr="00D80FBD">
          <w:rPr>
            <w:webHidden/>
          </w:rPr>
          <w:fldChar w:fldCharType="separate"/>
        </w:r>
        <w:r w:rsidR="00D61CF7">
          <w:rPr>
            <w:webHidden/>
          </w:rPr>
          <w:t>91</w:t>
        </w:r>
        <w:r w:rsidR="00D80FBD" w:rsidRPr="00D80FBD">
          <w:rPr>
            <w:webHidden/>
          </w:rPr>
          <w:fldChar w:fldCharType="end"/>
        </w:r>
      </w:hyperlink>
    </w:p>
    <w:p w14:paraId="3FB0D34E" w14:textId="32260C13"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43" w:history="1">
        <w:r w:rsidR="00D80FBD" w:rsidRPr="00D80FBD">
          <w:rPr>
            <w:rStyle w:val="Hipercze"/>
          </w:rPr>
          <w:t>4.4 Podział środków uzyskanych z tytułu nałożonych kar pieniężnych</w:t>
        </w:r>
        <w:r w:rsidR="00D80FBD" w:rsidRPr="00D80FBD">
          <w:rPr>
            <w:webHidden/>
          </w:rPr>
          <w:tab/>
        </w:r>
        <w:r w:rsidR="00D80FBD" w:rsidRPr="00D80FBD">
          <w:rPr>
            <w:webHidden/>
          </w:rPr>
          <w:fldChar w:fldCharType="begin"/>
        </w:r>
        <w:r w:rsidR="00D80FBD" w:rsidRPr="00D80FBD">
          <w:rPr>
            <w:webHidden/>
          </w:rPr>
          <w:instrText xml:space="preserve"> PAGEREF _Toc135935643 \h </w:instrText>
        </w:r>
        <w:r w:rsidR="00D80FBD" w:rsidRPr="00D80FBD">
          <w:rPr>
            <w:webHidden/>
          </w:rPr>
        </w:r>
        <w:r w:rsidR="00D80FBD" w:rsidRPr="00D80FBD">
          <w:rPr>
            <w:webHidden/>
          </w:rPr>
          <w:fldChar w:fldCharType="separate"/>
        </w:r>
        <w:r w:rsidR="00D61CF7">
          <w:rPr>
            <w:webHidden/>
          </w:rPr>
          <w:t>92</w:t>
        </w:r>
        <w:r w:rsidR="00D80FBD" w:rsidRPr="00D80FBD">
          <w:rPr>
            <w:webHidden/>
          </w:rPr>
          <w:fldChar w:fldCharType="end"/>
        </w:r>
      </w:hyperlink>
    </w:p>
    <w:p w14:paraId="7DA73764" w14:textId="2ECDC327"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44" w:history="1">
        <w:r w:rsidR="00D80FBD" w:rsidRPr="00D80FBD">
          <w:rPr>
            <w:rStyle w:val="Hipercze"/>
          </w:rPr>
          <w:t>4.5 Decyzje wstrzymujące działalność lub użytkowanie instalacji (w tym oddanie  do użytkowania)</w:t>
        </w:r>
        <w:r w:rsidR="00D80FBD" w:rsidRPr="00D80FBD">
          <w:rPr>
            <w:webHidden/>
          </w:rPr>
          <w:tab/>
        </w:r>
        <w:r w:rsidR="00D80FBD" w:rsidRPr="00D80FBD">
          <w:rPr>
            <w:webHidden/>
          </w:rPr>
          <w:fldChar w:fldCharType="begin"/>
        </w:r>
        <w:r w:rsidR="00D80FBD" w:rsidRPr="00D80FBD">
          <w:rPr>
            <w:webHidden/>
          </w:rPr>
          <w:instrText xml:space="preserve"> PAGEREF _Toc135935644 \h </w:instrText>
        </w:r>
        <w:r w:rsidR="00D80FBD" w:rsidRPr="00D80FBD">
          <w:rPr>
            <w:webHidden/>
          </w:rPr>
        </w:r>
        <w:r w:rsidR="00D80FBD" w:rsidRPr="00D80FBD">
          <w:rPr>
            <w:webHidden/>
          </w:rPr>
          <w:fldChar w:fldCharType="separate"/>
        </w:r>
        <w:r w:rsidR="00D61CF7">
          <w:rPr>
            <w:webHidden/>
          </w:rPr>
          <w:t>93</w:t>
        </w:r>
        <w:r w:rsidR="00D80FBD" w:rsidRPr="00D80FBD">
          <w:rPr>
            <w:webHidden/>
          </w:rPr>
          <w:fldChar w:fldCharType="end"/>
        </w:r>
      </w:hyperlink>
    </w:p>
    <w:p w14:paraId="1304F24A" w14:textId="5CF6E154"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45" w:history="1">
        <w:r w:rsidR="00D80FBD" w:rsidRPr="00D80FBD">
          <w:rPr>
            <w:rStyle w:val="Hipercze"/>
          </w:rPr>
          <w:t>4.6 Postępowanie egzekucyjne w sprawie decyzji o charakterze niepieniężnym</w:t>
        </w:r>
        <w:r w:rsidR="00D80FBD" w:rsidRPr="00D80FBD">
          <w:rPr>
            <w:webHidden/>
          </w:rPr>
          <w:tab/>
        </w:r>
        <w:r w:rsidR="00D80FBD" w:rsidRPr="00D80FBD">
          <w:rPr>
            <w:webHidden/>
          </w:rPr>
          <w:fldChar w:fldCharType="begin"/>
        </w:r>
        <w:r w:rsidR="00D80FBD" w:rsidRPr="00D80FBD">
          <w:rPr>
            <w:webHidden/>
          </w:rPr>
          <w:instrText xml:space="preserve"> PAGEREF _Toc135935645 \h </w:instrText>
        </w:r>
        <w:r w:rsidR="00D80FBD" w:rsidRPr="00D80FBD">
          <w:rPr>
            <w:webHidden/>
          </w:rPr>
        </w:r>
        <w:r w:rsidR="00D80FBD" w:rsidRPr="00D80FBD">
          <w:rPr>
            <w:webHidden/>
          </w:rPr>
          <w:fldChar w:fldCharType="separate"/>
        </w:r>
        <w:r w:rsidR="00D61CF7">
          <w:rPr>
            <w:webHidden/>
          </w:rPr>
          <w:t>93</w:t>
        </w:r>
        <w:r w:rsidR="00D80FBD" w:rsidRPr="00D80FBD">
          <w:rPr>
            <w:webHidden/>
          </w:rPr>
          <w:fldChar w:fldCharType="end"/>
        </w:r>
      </w:hyperlink>
    </w:p>
    <w:p w14:paraId="3FCFB735" w14:textId="5C787BE2"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46" w:history="1">
        <w:r w:rsidR="00D80FBD" w:rsidRPr="00D80FBD">
          <w:rPr>
            <w:rStyle w:val="Hipercze"/>
          </w:rPr>
          <w:t>4.7 Realizacja zadań organu II instancji</w:t>
        </w:r>
        <w:r w:rsidR="00D80FBD" w:rsidRPr="00D80FBD">
          <w:rPr>
            <w:webHidden/>
          </w:rPr>
          <w:tab/>
        </w:r>
        <w:r w:rsidR="00D80FBD" w:rsidRPr="00D80FBD">
          <w:rPr>
            <w:webHidden/>
          </w:rPr>
          <w:fldChar w:fldCharType="begin"/>
        </w:r>
        <w:r w:rsidR="00D80FBD" w:rsidRPr="00D80FBD">
          <w:rPr>
            <w:webHidden/>
          </w:rPr>
          <w:instrText xml:space="preserve"> PAGEREF _Toc135935646 \h </w:instrText>
        </w:r>
        <w:r w:rsidR="00D80FBD" w:rsidRPr="00D80FBD">
          <w:rPr>
            <w:webHidden/>
          </w:rPr>
        </w:r>
        <w:r w:rsidR="00D80FBD" w:rsidRPr="00D80FBD">
          <w:rPr>
            <w:webHidden/>
          </w:rPr>
          <w:fldChar w:fldCharType="separate"/>
        </w:r>
        <w:r w:rsidR="00D61CF7">
          <w:rPr>
            <w:webHidden/>
          </w:rPr>
          <w:t>93</w:t>
        </w:r>
        <w:r w:rsidR="00D80FBD" w:rsidRPr="00D80FBD">
          <w:rPr>
            <w:webHidden/>
          </w:rPr>
          <w:fldChar w:fldCharType="end"/>
        </w:r>
      </w:hyperlink>
    </w:p>
    <w:p w14:paraId="1EB43A2F" w14:textId="3DAC725C"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47" w:history="1">
        <w:r w:rsidR="00D80FBD" w:rsidRPr="00D80FBD">
          <w:rPr>
            <w:rStyle w:val="Hipercze"/>
          </w:rPr>
          <w:t>III.</w:t>
        </w:r>
        <w:r w:rsidR="00D80FBD" w:rsidRPr="00D80FBD">
          <w:rPr>
            <w:rFonts w:asciiTheme="minorHAnsi" w:eastAsiaTheme="minorEastAsia" w:hAnsiTheme="minorHAnsi" w:cstheme="minorBidi"/>
            <w:bCs w:val="0"/>
            <w:sz w:val="22"/>
            <w:szCs w:val="22"/>
            <w:lang w:val="pl-PL" w:eastAsia="pl-PL"/>
          </w:rPr>
          <w:tab/>
        </w:r>
        <w:r w:rsidR="00D80FBD" w:rsidRPr="00D80FBD">
          <w:rPr>
            <w:rStyle w:val="Hipercze"/>
          </w:rPr>
          <w:t>TRANSGRANICZNE PRZEMIESZCZANIE ODPADÓW</w:t>
        </w:r>
        <w:r w:rsidR="00D80FBD" w:rsidRPr="00D80FBD">
          <w:rPr>
            <w:webHidden/>
          </w:rPr>
          <w:tab/>
        </w:r>
        <w:r w:rsidR="00D80FBD" w:rsidRPr="00D80FBD">
          <w:rPr>
            <w:webHidden/>
          </w:rPr>
          <w:fldChar w:fldCharType="begin"/>
        </w:r>
        <w:r w:rsidR="00D80FBD" w:rsidRPr="00D80FBD">
          <w:rPr>
            <w:webHidden/>
          </w:rPr>
          <w:instrText xml:space="preserve"> PAGEREF _Toc135935647 \h </w:instrText>
        </w:r>
        <w:r w:rsidR="00D80FBD" w:rsidRPr="00D80FBD">
          <w:rPr>
            <w:webHidden/>
          </w:rPr>
        </w:r>
        <w:r w:rsidR="00D80FBD" w:rsidRPr="00D80FBD">
          <w:rPr>
            <w:webHidden/>
          </w:rPr>
          <w:fldChar w:fldCharType="separate"/>
        </w:r>
        <w:r w:rsidR="00D61CF7">
          <w:rPr>
            <w:webHidden/>
          </w:rPr>
          <w:t>99</w:t>
        </w:r>
        <w:r w:rsidR="00D80FBD" w:rsidRPr="00D80FBD">
          <w:rPr>
            <w:webHidden/>
          </w:rPr>
          <w:fldChar w:fldCharType="end"/>
        </w:r>
      </w:hyperlink>
    </w:p>
    <w:p w14:paraId="0328CCF5" w14:textId="3251D757"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48" w:history="1">
        <w:r w:rsidR="00D80FBD" w:rsidRPr="00D80FBD">
          <w:rPr>
            <w:rStyle w:val="Hipercze"/>
            <w:lang w:eastAsia="pl-PL"/>
          </w:rPr>
          <w:t>1.</w:t>
        </w:r>
        <w:r w:rsidR="00D80FBD" w:rsidRPr="00D80FBD">
          <w:rPr>
            <w:rFonts w:asciiTheme="minorHAnsi" w:eastAsiaTheme="minorEastAsia" w:hAnsiTheme="minorHAnsi" w:cstheme="minorBidi"/>
            <w:bCs w:val="0"/>
            <w:sz w:val="22"/>
            <w:szCs w:val="22"/>
            <w:lang w:val="pl-PL" w:eastAsia="pl-PL"/>
          </w:rPr>
          <w:tab/>
        </w:r>
        <w:r w:rsidR="00D80FBD" w:rsidRPr="00D80FBD">
          <w:rPr>
            <w:rStyle w:val="Hipercze"/>
            <w:lang w:eastAsia="pl-PL"/>
          </w:rPr>
          <w:t>Decyzje w zakresie transgranicznego przemieszczania odpadów</w:t>
        </w:r>
        <w:r w:rsidR="00D80FBD" w:rsidRPr="00D80FBD">
          <w:rPr>
            <w:webHidden/>
          </w:rPr>
          <w:tab/>
        </w:r>
        <w:r w:rsidR="00D80FBD" w:rsidRPr="00D80FBD">
          <w:rPr>
            <w:webHidden/>
          </w:rPr>
          <w:fldChar w:fldCharType="begin"/>
        </w:r>
        <w:r w:rsidR="00D80FBD" w:rsidRPr="00D80FBD">
          <w:rPr>
            <w:webHidden/>
          </w:rPr>
          <w:instrText xml:space="preserve"> PAGEREF _Toc135935648 \h </w:instrText>
        </w:r>
        <w:r w:rsidR="00D80FBD" w:rsidRPr="00D80FBD">
          <w:rPr>
            <w:webHidden/>
          </w:rPr>
        </w:r>
        <w:r w:rsidR="00D80FBD" w:rsidRPr="00D80FBD">
          <w:rPr>
            <w:webHidden/>
          </w:rPr>
          <w:fldChar w:fldCharType="separate"/>
        </w:r>
        <w:r w:rsidR="00D61CF7">
          <w:rPr>
            <w:webHidden/>
          </w:rPr>
          <w:t>99</w:t>
        </w:r>
        <w:r w:rsidR="00D80FBD" w:rsidRPr="00D80FBD">
          <w:rPr>
            <w:webHidden/>
          </w:rPr>
          <w:fldChar w:fldCharType="end"/>
        </w:r>
      </w:hyperlink>
    </w:p>
    <w:p w14:paraId="4F4B891A" w14:textId="21C13243"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49" w:history="1">
        <w:r w:rsidR="00D80FBD" w:rsidRPr="00D80FBD">
          <w:rPr>
            <w:rStyle w:val="Hipercze"/>
          </w:rPr>
          <w:t>1.1</w:t>
        </w:r>
        <w:r w:rsidR="00D80FBD" w:rsidRPr="00D80FBD">
          <w:rPr>
            <w:rFonts w:asciiTheme="minorHAnsi" w:eastAsiaTheme="minorEastAsia" w:hAnsiTheme="minorHAnsi" w:cstheme="minorBidi"/>
            <w:bCs w:val="0"/>
            <w:sz w:val="22"/>
            <w:szCs w:val="22"/>
            <w:lang w:val="pl-PL" w:eastAsia="pl-PL"/>
          </w:rPr>
          <w:tab/>
        </w:r>
        <w:r w:rsidR="00D80FBD" w:rsidRPr="00D80FBD">
          <w:rPr>
            <w:rStyle w:val="Hipercze"/>
          </w:rPr>
          <w:t>Przywóz odpadów do Polski</w:t>
        </w:r>
        <w:r w:rsidR="00D80FBD" w:rsidRPr="00D80FBD">
          <w:rPr>
            <w:webHidden/>
          </w:rPr>
          <w:tab/>
        </w:r>
        <w:r w:rsidR="00D80FBD" w:rsidRPr="00D80FBD">
          <w:rPr>
            <w:webHidden/>
          </w:rPr>
          <w:fldChar w:fldCharType="begin"/>
        </w:r>
        <w:r w:rsidR="00D80FBD" w:rsidRPr="00D80FBD">
          <w:rPr>
            <w:webHidden/>
          </w:rPr>
          <w:instrText xml:space="preserve"> PAGEREF _Toc135935649 \h </w:instrText>
        </w:r>
        <w:r w:rsidR="00D80FBD" w:rsidRPr="00D80FBD">
          <w:rPr>
            <w:webHidden/>
          </w:rPr>
        </w:r>
        <w:r w:rsidR="00D80FBD" w:rsidRPr="00D80FBD">
          <w:rPr>
            <w:webHidden/>
          </w:rPr>
          <w:fldChar w:fldCharType="separate"/>
        </w:r>
        <w:r w:rsidR="00D61CF7">
          <w:rPr>
            <w:webHidden/>
          </w:rPr>
          <w:t>100</w:t>
        </w:r>
        <w:r w:rsidR="00D80FBD" w:rsidRPr="00D80FBD">
          <w:rPr>
            <w:webHidden/>
          </w:rPr>
          <w:fldChar w:fldCharType="end"/>
        </w:r>
      </w:hyperlink>
    </w:p>
    <w:p w14:paraId="1FD789D5" w14:textId="44BABBB7"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50" w:history="1">
        <w:r w:rsidR="00D80FBD" w:rsidRPr="00D80FBD">
          <w:rPr>
            <w:rStyle w:val="Hipercze"/>
          </w:rPr>
          <w:t>1.2 Wywóz odpadów z Polski</w:t>
        </w:r>
        <w:r w:rsidR="00D80FBD" w:rsidRPr="00D80FBD">
          <w:rPr>
            <w:webHidden/>
          </w:rPr>
          <w:tab/>
        </w:r>
        <w:r w:rsidR="00D80FBD" w:rsidRPr="00D80FBD">
          <w:rPr>
            <w:webHidden/>
          </w:rPr>
          <w:fldChar w:fldCharType="begin"/>
        </w:r>
        <w:r w:rsidR="00D80FBD" w:rsidRPr="00D80FBD">
          <w:rPr>
            <w:webHidden/>
          </w:rPr>
          <w:instrText xml:space="preserve"> PAGEREF _Toc135935650 \h </w:instrText>
        </w:r>
        <w:r w:rsidR="00D80FBD" w:rsidRPr="00D80FBD">
          <w:rPr>
            <w:webHidden/>
          </w:rPr>
        </w:r>
        <w:r w:rsidR="00D80FBD" w:rsidRPr="00D80FBD">
          <w:rPr>
            <w:webHidden/>
          </w:rPr>
          <w:fldChar w:fldCharType="separate"/>
        </w:r>
        <w:r w:rsidR="00D61CF7">
          <w:rPr>
            <w:webHidden/>
          </w:rPr>
          <w:t>102</w:t>
        </w:r>
        <w:r w:rsidR="00D80FBD" w:rsidRPr="00D80FBD">
          <w:rPr>
            <w:webHidden/>
          </w:rPr>
          <w:fldChar w:fldCharType="end"/>
        </w:r>
      </w:hyperlink>
    </w:p>
    <w:p w14:paraId="2ACF83A0" w14:textId="4C8AC849"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51" w:history="1">
        <w:r w:rsidR="00D80FBD" w:rsidRPr="00D80FBD">
          <w:rPr>
            <w:rStyle w:val="Hipercze"/>
          </w:rPr>
          <w:t>1.3 Tranzyt odpadów przez terytorium kraju</w:t>
        </w:r>
        <w:r w:rsidR="00D80FBD" w:rsidRPr="00D80FBD">
          <w:rPr>
            <w:webHidden/>
          </w:rPr>
          <w:tab/>
        </w:r>
        <w:r w:rsidR="00D80FBD" w:rsidRPr="00D80FBD">
          <w:rPr>
            <w:webHidden/>
          </w:rPr>
          <w:fldChar w:fldCharType="begin"/>
        </w:r>
        <w:r w:rsidR="00D80FBD" w:rsidRPr="00D80FBD">
          <w:rPr>
            <w:webHidden/>
          </w:rPr>
          <w:instrText xml:space="preserve"> PAGEREF _Toc135935651 \h </w:instrText>
        </w:r>
        <w:r w:rsidR="00D80FBD" w:rsidRPr="00D80FBD">
          <w:rPr>
            <w:webHidden/>
          </w:rPr>
        </w:r>
        <w:r w:rsidR="00D80FBD" w:rsidRPr="00D80FBD">
          <w:rPr>
            <w:webHidden/>
          </w:rPr>
          <w:fldChar w:fldCharType="separate"/>
        </w:r>
        <w:r w:rsidR="00D61CF7">
          <w:rPr>
            <w:webHidden/>
          </w:rPr>
          <w:t>103</w:t>
        </w:r>
        <w:r w:rsidR="00D80FBD" w:rsidRPr="00D80FBD">
          <w:rPr>
            <w:webHidden/>
          </w:rPr>
          <w:fldChar w:fldCharType="end"/>
        </w:r>
      </w:hyperlink>
    </w:p>
    <w:p w14:paraId="75F96365" w14:textId="42AD35D5"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52" w:history="1">
        <w:r w:rsidR="00D80FBD" w:rsidRPr="00D80FBD">
          <w:rPr>
            <w:rStyle w:val="Hipercze"/>
          </w:rPr>
          <w:t>2. Wzmocnienie kontroli i nadzoru nad transgranicznym przemieszczaniem odpadów –Współpraca z innymi organami w zakresie międzynarodowego przemieszczania odpadów</w:t>
        </w:r>
        <w:r w:rsidR="00D80FBD" w:rsidRPr="00D80FBD">
          <w:rPr>
            <w:webHidden/>
          </w:rPr>
          <w:tab/>
        </w:r>
        <w:r w:rsidR="00D80FBD" w:rsidRPr="00D80FBD">
          <w:rPr>
            <w:webHidden/>
          </w:rPr>
          <w:fldChar w:fldCharType="begin"/>
        </w:r>
        <w:r w:rsidR="00D80FBD" w:rsidRPr="00D80FBD">
          <w:rPr>
            <w:webHidden/>
          </w:rPr>
          <w:instrText xml:space="preserve"> PAGEREF _Toc135935652 \h </w:instrText>
        </w:r>
        <w:r w:rsidR="00D80FBD" w:rsidRPr="00D80FBD">
          <w:rPr>
            <w:webHidden/>
          </w:rPr>
        </w:r>
        <w:r w:rsidR="00D80FBD" w:rsidRPr="00D80FBD">
          <w:rPr>
            <w:webHidden/>
          </w:rPr>
          <w:fldChar w:fldCharType="separate"/>
        </w:r>
        <w:r w:rsidR="00D61CF7">
          <w:rPr>
            <w:webHidden/>
          </w:rPr>
          <w:t>103</w:t>
        </w:r>
        <w:r w:rsidR="00D80FBD" w:rsidRPr="00D80FBD">
          <w:rPr>
            <w:webHidden/>
          </w:rPr>
          <w:fldChar w:fldCharType="end"/>
        </w:r>
      </w:hyperlink>
    </w:p>
    <w:p w14:paraId="7B670476" w14:textId="66826653"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53" w:history="1">
        <w:r w:rsidR="00D80FBD" w:rsidRPr="00D80FBD">
          <w:rPr>
            <w:rStyle w:val="Hipercze"/>
          </w:rPr>
          <w:t>3. Kontrole krajowych instalacji przetwarzania odpadów</w:t>
        </w:r>
        <w:r w:rsidR="00D80FBD" w:rsidRPr="00D80FBD">
          <w:rPr>
            <w:webHidden/>
          </w:rPr>
          <w:tab/>
        </w:r>
        <w:r w:rsidR="00D80FBD" w:rsidRPr="00D80FBD">
          <w:rPr>
            <w:webHidden/>
          </w:rPr>
          <w:fldChar w:fldCharType="begin"/>
        </w:r>
        <w:r w:rsidR="00D80FBD" w:rsidRPr="00D80FBD">
          <w:rPr>
            <w:webHidden/>
          </w:rPr>
          <w:instrText xml:space="preserve"> PAGEREF _Toc135935653 \h </w:instrText>
        </w:r>
        <w:r w:rsidR="00D80FBD" w:rsidRPr="00D80FBD">
          <w:rPr>
            <w:webHidden/>
          </w:rPr>
        </w:r>
        <w:r w:rsidR="00D80FBD" w:rsidRPr="00D80FBD">
          <w:rPr>
            <w:webHidden/>
          </w:rPr>
          <w:fldChar w:fldCharType="separate"/>
        </w:r>
        <w:r w:rsidR="00D61CF7">
          <w:rPr>
            <w:webHidden/>
          </w:rPr>
          <w:t>104</w:t>
        </w:r>
        <w:r w:rsidR="00D80FBD" w:rsidRPr="00D80FBD">
          <w:rPr>
            <w:webHidden/>
          </w:rPr>
          <w:fldChar w:fldCharType="end"/>
        </w:r>
      </w:hyperlink>
    </w:p>
    <w:p w14:paraId="3A231CED" w14:textId="13273793"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54" w:history="1">
        <w:r w:rsidR="00D80FBD" w:rsidRPr="00D80FBD">
          <w:rPr>
            <w:rStyle w:val="Hipercze"/>
          </w:rPr>
          <w:t>4 Nielegalne transgraniczne przemieszczanie odpadów</w:t>
        </w:r>
        <w:r w:rsidR="00D80FBD" w:rsidRPr="00D80FBD">
          <w:rPr>
            <w:webHidden/>
          </w:rPr>
          <w:tab/>
        </w:r>
        <w:r w:rsidR="00D80FBD" w:rsidRPr="00D80FBD">
          <w:rPr>
            <w:webHidden/>
          </w:rPr>
          <w:fldChar w:fldCharType="begin"/>
        </w:r>
        <w:r w:rsidR="00D80FBD" w:rsidRPr="00D80FBD">
          <w:rPr>
            <w:webHidden/>
          </w:rPr>
          <w:instrText xml:space="preserve"> PAGEREF _Toc135935654 \h </w:instrText>
        </w:r>
        <w:r w:rsidR="00D80FBD" w:rsidRPr="00D80FBD">
          <w:rPr>
            <w:webHidden/>
          </w:rPr>
        </w:r>
        <w:r w:rsidR="00D80FBD" w:rsidRPr="00D80FBD">
          <w:rPr>
            <w:webHidden/>
          </w:rPr>
          <w:fldChar w:fldCharType="separate"/>
        </w:r>
        <w:r w:rsidR="00D61CF7">
          <w:rPr>
            <w:webHidden/>
          </w:rPr>
          <w:t>105</w:t>
        </w:r>
        <w:r w:rsidR="00D80FBD" w:rsidRPr="00D80FBD">
          <w:rPr>
            <w:webHidden/>
          </w:rPr>
          <w:fldChar w:fldCharType="end"/>
        </w:r>
      </w:hyperlink>
    </w:p>
    <w:p w14:paraId="701985E3" w14:textId="2479EE2A"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55" w:history="1">
        <w:r w:rsidR="00D80FBD" w:rsidRPr="00D80FBD">
          <w:rPr>
            <w:rStyle w:val="Hipercze"/>
          </w:rPr>
          <w:t>4.1. Odpady w postaci uszkodzonych pojazdów</w:t>
        </w:r>
        <w:r w:rsidR="00D80FBD" w:rsidRPr="00D80FBD">
          <w:rPr>
            <w:webHidden/>
          </w:rPr>
          <w:tab/>
        </w:r>
        <w:r w:rsidR="00D80FBD" w:rsidRPr="00D80FBD">
          <w:rPr>
            <w:webHidden/>
          </w:rPr>
          <w:fldChar w:fldCharType="begin"/>
        </w:r>
        <w:r w:rsidR="00D80FBD" w:rsidRPr="00D80FBD">
          <w:rPr>
            <w:webHidden/>
          </w:rPr>
          <w:instrText xml:space="preserve"> PAGEREF _Toc135935655 \h </w:instrText>
        </w:r>
        <w:r w:rsidR="00D80FBD" w:rsidRPr="00D80FBD">
          <w:rPr>
            <w:webHidden/>
          </w:rPr>
        </w:r>
        <w:r w:rsidR="00D80FBD" w:rsidRPr="00D80FBD">
          <w:rPr>
            <w:webHidden/>
          </w:rPr>
          <w:fldChar w:fldCharType="separate"/>
        </w:r>
        <w:r w:rsidR="00D61CF7">
          <w:rPr>
            <w:webHidden/>
          </w:rPr>
          <w:t>105</w:t>
        </w:r>
        <w:r w:rsidR="00D80FBD" w:rsidRPr="00D80FBD">
          <w:rPr>
            <w:webHidden/>
          </w:rPr>
          <w:fldChar w:fldCharType="end"/>
        </w:r>
      </w:hyperlink>
    </w:p>
    <w:p w14:paraId="1E3254D8" w14:textId="7DCD7B1C"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56" w:history="1">
        <w:r w:rsidR="00D80FBD" w:rsidRPr="00D80FBD">
          <w:rPr>
            <w:rStyle w:val="Hipercze"/>
          </w:rPr>
          <w:t>4.2 Pozostałe odpady</w:t>
        </w:r>
        <w:r w:rsidR="00D80FBD" w:rsidRPr="00D80FBD">
          <w:rPr>
            <w:webHidden/>
          </w:rPr>
          <w:tab/>
        </w:r>
        <w:r w:rsidR="00D80FBD" w:rsidRPr="00D80FBD">
          <w:rPr>
            <w:webHidden/>
          </w:rPr>
          <w:fldChar w:fldCharType="begin"/>
        </w:r>
        <w:r w:rsidR="00D80FBD" w:rsidRPr="00D80FBD">
          <w:rPr>
            <w:webHidden/>
          </w:rPr>
          <w:instrText xml:space="preserve"> PAGEREF _Toc135935656 \h </w:instrText>
        </w:r>
        <w:r w:rsidR="00D80FBD" w:rsidRPr="00D80FBD">
          <w:rPr>
            <w:webHidden/>
          </w:rPr>
        </w:r>
        <w:r w:rsidR="00D80FBD" w:rsidRPr="00D80FBD">
          <w:rPr>
            <w:webHidden/>
          </w:rPr>
          <w:fldChar w:fldCharType="separate"/>
        </w:r>
        <w:r w:rsidR="00D61CF7">
          <w:rPr>
            <w:webHidden/>
          </w:rPr>
          <w:t>106</w:t>
        </w:r>
        <w:r w:rsidR="00D80FBD" w:rsidRPr="00D80FBD">
          <w:rPr>
            <w:webHidden/>
          </w:rPr>
          <w:fldChar w:fldCharType="end"/>
        </w:r>
      </w:hyperlink>
    </w:p>
    <w:p w14:paraId="0BEDB438" w14:textId="3E9FDDF7"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57" w:history="1">
        <w:r w:rsidR="00D80FBD" w:rsidRPr="00D80FBD">
          <w:rPr>
            <w:rStyle w:val="Hipercze"/>
          </w:rPr>
          <w:t>IV. ZWALCZANIE PRZESTĘPCZOŚCI ŚRODOWISKOWEJ</w:t>
        </w:r>
        <w:r w:rsidR="00D80FBD" w:rsidRPr="00D80FBD">
          <w:rPr>
            <w:webHidden/>
          </w:rPr>
          <w:tab/>
        </w:r>
        <w:r w:rsidR="00D80FBD" w:rsidRPr="00D80FBD">
          <w:rPr>
            <w:webHidden/>
          </w:rPr>
          <w:fldChar w:fldCharType="begin"/>
        </w:r>
        <w:r w:rsidR="00D80FBD" w:rsidRPr="00D80FBD">
          <w:rPr>
            <w:webHidden/>
          </w:rPr>
          <w:instrText xml:space="preserve"> PAGEREF _Toc135935657 \h </w:instrText>
        </w:r>
        <w:r w:rsidR="00D80FBD" w:rsidRPr="00D80FBD">
          <w:rPr>
            <w:webHidden/>
          </w:rPr>
        </w:r>
        <w:r w:rsidR="00D80FBD" w:rsidRPr="00D80FBD">
          <w:rPr>
            <w:webHidden/>
          </w:rPr>
          <w:fldChar w:fldCharType="separate"/>
        </w:r>
        <w:r w:rsidR="00D61CF7">
          <w:rPr>
            <w:webHidden/>
          </w:rPr>
          <w:t>109</w:t>
        </w:r>
        <w:r w:rsidR="00D80FBD" w:rsidRPr="00D80FBD">
          <w:rPr>
            <w:webHidden/>
          </w:rPr>
          <w:fldChar w:fldCharType="end"/>
        </w:r>
      </w:hyperlink>
    </w:p>
    <w:p w14:paraId="39278257" w14:textId="76D2AB2F"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58" w:history="1">
        <w:r w:rsidR="00D80FBD" w:rsidRPr="00D80FBD">
          <w:rPr>
            <w:rStyle w:val="Hipercze"/>
          </w:rPr>
          <w:t>1. Funkcjonowanie i działania podejmowane przez Departament Zwalczania Przestępczości Środowiskowej GIOŚ</w:t>
        </w:r>
        <w:r w:rsidR="00D80FBD" w:rsidRPr="00D80FBD">
          <w:rPr>
            <w:webHidden/>
          </w:rPr>
          <w:tab/>
        </w:r>
        <w:r w:rsidR="00D80FBD" w:rsidRPr="00D80FBD">
          <w:rPr>
            <w:webHidden/>
          </w:rPr>
          <w:fldChar w:fldCharType="begin"/>
        </w:r>
        <w:r w:rsidR="00D80FBD" w:rsidRPr="00D80FBD">
          <w:rPr>
            <w:webHidden/>
          </w:rPr>
          <w:instrText xml:space="preserve"> PAGEREF _Toc135935658 \h </w:instrText>
        </w:r>
        <w:r w:rsidR="00D80FBD" w:rsidRPr="00D80FBD">
          <w:rPr>
            <w:webHidden/>
          </w:rPr>
        </w:r>
        <w:r w:rsidR="00D80FBD" w:rsidRPr="00D80FBD">
          <w:rPr>
            <w:webHidden/>
          </w:rPr>
          <w:fldChar w:fldCharType="separate"/>
        </w:r>
        <w:r w:rsidR="00D61CF7">
          <w:rPr>
            <w:webHidden/>
          </w:rPr>
          <w:t>109</w:t>
        </w:r>
        <w:r w:rsidR="00D80FBD" w:rsidRPr="00D80FBD">
          <w:rPr>
            <w:webHidden/>
          </w:rPr>
          <w:fldChar w:fldCharType="end"/>
        </w:r>
      </w:hyperlink>
    </w:p>
    <w:p w14:paraId="3BC00DB6" w14:textId="51DFAC07"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59" w:history="1">
        <w:r w:rsidR="00D80FBD" w:rsidRPr="00D80FBD">
          <w:rPr>
            <w:rStyle w:val="Hipercze"/>
          </w:rPr>
          <w:t>1.1 Działalność Departamentu Zwalczania Przestępczości Środowiskowej</w:t>
        </w:r>
        <w:r w:rsidR="00D80FBD" w:rsidRPr="00D80FBD">
          <w:rPr>
            <w:webHidden/>
          </w:rPr>
          <w:tab/>
        </w:r>
        <w:r w:rsidR="00D80FBD" w:rsidRPr="00D80FBD">
          <w:rPr>
            <w:webHidden/>
          </w:rPr>
          <w:fldChar w:fldCharType="begin"/>
        </w:r>
        <w:r w:rsidR="00D80FBD" w:rsidRPr="00D80FBD">
          <w:rPr>
            <w:webHidden/>
          </w:rPr>
          <w:instrText xml:space="preserve"> PAGEREF _Toc135935659 \h </w:instrText>
        </w:r>
        <w:r w:rsidR="00D80FBD" w:rsidRPr="00D80FBD">
          <w:rPr>
            <w:webHidden/>
          </w:rPr>
        </w:r>
        <w:r w:rsidR="00D80FBD" w:rsidRPr="00D80FBD">
          <w:rPr>
            <w:webHidden/>
          </w:rPr>
          <w:fldChar w:fldCharType="separate"/>
        </w:r>
        <w:r w:rsidR="00D61CF7">
          <w:rPr>
            <w:webHidden/>
          </w:rPr>
          <w:t>109</w:t>
        </w:r>
        <w:r w:rsidR="00D80FBD" w:rsidRPr="00D80FBD">
          <w:rPr>
            <w:webHidden/>
          </w:rPr>
          <w:fldChar w:fldCharType="end"/>
        </w:r>
      </w:hyperlink>
    </w:p>
    <w:p w14:paraId="51DACB3E" w14:textId="3E4AB6BF"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60" w:history="1">
        <w:r w:rsidR="00D80FBD" w:rsidRPr="00D80FBD">
          <w:rPr>
            <w:rStyle w:val="Hipercze"/>
          </w:rPr>
          <w:t>1.2. Zespół do spraw analiz i organizacyjno-finansowych</w:t>
        </w:r>
        <w:r w:rsidR="00D80FBD" w:rsidRPr="00D80FBD">
          <w:rPr>
            <w:webHidden/>
          </w:rPr>
          <w:tab/>
        </w:r>
        <w:r w:rsidR="00D80FBD" w:rsidRPr="00D80FBD">
          <w:rPr>
            <w:webHidden/>
          </w:rPr>
          <w:fldChar w:fldCharType="begin"/>
        </w:r>
        <w:r w:rsidR="00D80FBD" w:rsidRPr="00D80FBD">
          <w:rPr>
            <w:webHidden/>
          </w:rPr>
          <w:instrText xml:space="preserve"> PAGEREF _Toc135935660 \h </w:instrText>
        </w:r>
        <w:r w:rsidR="00D80FBD" w:rsidRPr="00D80FBD">
          <w:rPr>
            <w:webHidden/>
          </w:rPr>
        </w:r>
        <w:r w:rsidR="00D80FBD" w:rsidRPr="00D80FBD">
          <w:rPr>
            <w:webHidden/>
          </w:rPr>
          <w:fldChar w:fldCharType="separate"/>
        </w:r>
        <w:r w:rsidR="00D61CF7">
          <w:rPr>
            <w:webHidden/>
          </w:rPr>
          <w:t>109</w:t>
        </w:r>
        <w:r w:rsidR="00D80FBD" w:rsidRPr="00D80FBD">
          <w:rPr>
            <w:webHidden/>
          </w:rPr>
          <w:fldChar w:fldCharType="end"/>
        </w:r>
      </w:hyperlink>
    </w:p>
    <w:p w14:paraId="51B3F857" w14:textId="7D73AE9C"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61" w:history="1">
        <w:r w:rsidR="00D80FBD" w:rsidRPr="00D80FBD">
          <w:rPr>
            <w:rStyle w:val="Hipercze"/>
          </w:rPr>
          <w:t>1.3. Wydział ds. postępowań i prewencji</w:t>
        </w:r>
        <w:r w:rsidR="00D80FBD" w:rsidRPr="00D80FBD">
          <w:rPr>
            <w:webHidden/>
          </w:rPr>
          <w:tab/>
        </w:r>
        <w:r w:rsidR="00D80FBD" w:rsidRPr="00D80FBD">
          <w:rPr>
            <w:webHidden/>
          </w:rPr>
          <w:fldChar w:fldCharType="begin"/>
        </w:r>
        <w:r w:rsidR="00D80FBD" w:rsidRPr="00D80FBD">
          <w:rPr>
            <w:webHidden/>
          </w:rPr>
          <w:instrText xml:space="preserve"> PAGEREF _Toc135935661 \h </w:instrText>
        </w:r>
        <w:r w:rsidR="00D80FBD" w:rsidRPr="00D80FBD">
          <w:rPr>
            <w:webHidden/>
          </w:rPr>
        </w:r>
        <w:r w:rsidR="00D80FBD" w:rsidRPr="00D80FBD">
          <w:rPr>
            <w:webHidden/>
          </w:rPr>
          <w:fldChar w:fldCharType="separate"/>
        </w:r>
        <w:r w:rsidR="00D61CF7">
          <w:rPr>
            <w:webHidden/>
          </w:rPr>
          <w:t>111</w:t>
        </w:r>
        <w:r w:rsidR="00D80FBD" w:rsidRPr="00D80FBD">
          <w:rPr>
            <w:webHidden/>
          </w:rPr>
          <w:fldChar w:fldCharType="end"/>
        </w:r>
      </w:hyperlink>
    </w:p>
    <w:p w14:paraId="004B1440" w14:textId="1399279C"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62" w:history="1">
        <w:r w:rsidR="00D80FBD" w:rsidRPr="00D80FBD">
          <w:rPr>
            <w:rStyle w:val="Hipercze"/>
          </w:rPr>
          <w:t>1.4. Zespół do spraw stosowania techniki specjalnej</w:t>
        </w:r>
        <w:r w:rsidR="00D80FBD" w:rsidRPr="00D80FBD">
          <w:rPr>
            <w:webHidden/>
          </w:rPr>
          <w:tab/>
        </w:r>
        <w:r w:rsidR="00D80FBD" w:rsidRPr="00D80FBD">
          <w:rPr>
            <w:webHidden/>
          </w:rPr>
          <w:fldChar w:fldCharType="begin"/>
        </w:r>
        <w:r w:rsidR="00D80FBD" w:rsidRPr="00D80FBD">
          <w:rPr>
            <w:webHidden/>
          </w:rPr>
          <w:instrText xml:space="preserve"> PAGEREF _Toc135935662 \h </w:instrText>
        </w:r>
        <w:r w:rsidR="00D80FBD" w:rsidRPr="00D80FBD">
          <w:rPr>
            <w:webHidden/>
          </w:rPr>
        </w:r>
        <w:r w:rsidR="00D80FBD" w:rsidRPr="00D80FBD">
          <w:rPr>
            <w:webHidden/>
          </w:rPr>
          <w:fldChar w:fldCharType="separate"/>
        </w:r>
        <w:r w:rsidR="00D61CF7">
          <w:rPr>
            <w:webHidden/>
          </w:rPr>
          <w:t>114</w:t>
        </w:r>
        <w:r w:rsidR="00D80FBD" w:rsidRPr="00D80FBD">
          <w:rPr>
            <w:webHidden/>
          </w:rPr>
          <w:fldChar w:fldCharType="end"/>
        </w:r>
      </w:hyperlink>
    </w:p>
    <w:p w14:paraId="5B548B47" w14:textId="61A8F588"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63" w:history="1">
        <w:r w:rsidR="00D80FBD" w:rsidRPr="00D80FBD">
          <w:rPr>
            <w:rStyle w:val="Hipercze"/>
          </w:rPr>
          <w:t>1.5. Wydział Interwencyjno-Operacyjny</w:t>
        </w:r>
        <w:r w:rsidR="00D80FBD" w:rsidRPr="00D80FBD">
          <w:rPr>
            <w:webHidden/>
          </w:rPr>
          <w:tab/>
        </w:r>
        <w:r w:rsidR="00D80FBD" w:rsidRPr="00D80FBD">
          <w:rPr>
            <w:webHidden/>
          </w:rPr>
          <w:fldChar w:fldCharType="begin"/>
        </w:r>
        <w:r w:rsidR="00D80FBD" w:rsidRPr="00D80FBD">
          <w:rPr>
            <w:webHidden/>
          </w:rPr>
          <w:instrText xml:space="preserve"> PAGEREF _Toc135935663 \h </w:instrText>
        </w:r>
        <w:r w:rsidR="00D80FBD" w:rsidRPr="00D80FBD">
          <w:rPr>
            <w:webHidden/>
          </w:rPr>
        </w:r>
        <w:r w:rsidR="00D80FBD" w:rsidRPr="00D80FBD">
          <w:rPr>
            <w:webHidden/>
          </w:rPr>
          <w:fldChar w:fldCharType="separate"/>
        </w:r>
        <w:r w:rsidR="00D61CF7">
          <w:rPr>
            <w:webHidden/>
          </w:rPr>
          <w:t>116</w:t>
        </w:r>
        <w:r w:rsidR="00D80FBD" w:rsidRPr="00D80FBD">
          <w:rPr>
            <w:webHidden/>
          </w:rPr>
          <w:fldChar w:fldCharType="end"/>
        </w:r>
      </w:hyperlink>
    </w:p>
    <w:p w14:paraId="55700D31" w14:textId="1FBB11C7"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64" w:history="1">
        <w:r w:rsidR="00D80FBD" w:rsidRPr="00D80FBD">
          <w:rPr>
            <w:rStyle w:val="Hipercze"/>
          </w:rPr>
          <w:t>2. Zasady funkcjonowania utworzonych grup zadaniowych</w:t>
        </w:r>
        <w:r w:rsidR="00D80FBD" w:rsidRPr="00D80FBD">
          <w:rPr>
            <w:webHidden/>
          </w:rPr>
          <w:tab/>
        </w:r>
        <w:r w:rsidR="00D80FBD" w:rsidRPr="00D80FBD">
          <w:rPr>
            <w:webHidden/>
          </w:rPr>
          <w:fldChar w:fldCharType="begin"/>
        </w:r>
        <w:r w:rsidR="00D80FBD" w:rsidRPr="00D80FBD">
          <w:rPr>
            <w:webHidden/>
          </w:rPr>
          <w:instrText xml:space="preserve"> PAGEREF _Toc135935664 \h </w:instrText>
        </w:r>
        <w:r w:rsidR="00D80FBD" w:rsidRPr="00D80FBD">
          <w:rPr>
            <w:webHidden/>
          </w:rPr>
        </w:r>
        <w:r w:rsidR="00D80FBD" w:rsidRPr="00D80FBD">
          <w:rPr>
            <w:webHidden/>
          </w:rPr>
          <w:fldChar w:fldCharType="separate"/>
        </w:r>
        <w:r w:rsidR="00D61CF7">
          <w:rPr>
            <w:webHidden/>
          </w:rPr>
          <w:t>121</w:t>
        </w:r>
        <w:r w:rsidR="00D80FBD" w:rsidRPr="00D80FBD">
          <w:rPr>
            <w:webHidden/>
          </w:rPr>
          <w:fldChar w:fldCharType="end"/>
        </w:r>
      </w:hyperlink>
    </w:p>
    <w:p w14:paraId="46B6F654" w14:textId="00A7E023"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65" w:history="1">
        <w:r w:rsidR="00D80FBD" w:rsidRPr="00D80FBD">
          <w:rPr>
            <w:rStyle w:val="Hipercze"/>
          </w:rPr>
          <w:t xml:space="preserve">2.2. Wyposażenie w specjalistyczne urządzenia techniczne oraz dedykowane środki </w:t>
        </w:r>
        <w:r w:rsidR="00D80FBD">
          <w:rPr>
            <w:rStyle w:val="Hipercze"/>
          </w:rPr>
          <w:br/>
        </w:r>
        <w:r w:rsidR="00D80FBD" w:rsidRPr="00D80FBD">
          <w:rPr>
            <w:rStyle w:val="Hipercze"/>
          </w:rPr>
          <w:t>transportu</w:t>
        </w:r>
        <w:r w:rsidR="00D80FBD" w:rsidRPr="00D80FBD">
          <w:rPr>
            <w:webHidden/>
          </w:rPr>
          <w:tab/>
        </w:r>
        <w:r w:rsidR="00D80FBD" w:rsidRPr="00D80FBD">
          <w:rPr>
            <w:webHidden/>
          </w:rPr>
          <w:fldChar w:fldCharType="begin"/>
        </w:r>
        <w:r w:rsidR="00D80FBD" w:rsidRPr="00D80FBD">
          <w:rPr>
            <w:webHidden/>
          </w:rPr>
          <w:instrText xml:space="preserve"> PAGEREF _Toc135935665 \h </w:instrText>
        </w:r>
        <w:r w:rsidR="00D80FBD" w:rsidRPr="00D80FBD">
          <w:rPr>
            <w:webHidden/>
          </w:rPr>
        </w:r>
        <w:r w:rsidR="00D80FBD" w:rsidRPr="00D80FBD">
          <w:rPr>
            <w:webHidden/>
          </w:rPr>
          <w:fldChar w:fldCharType="separate"/>
        </w:r>
        <w:r w:rsidR="00D61CF7">
          <w:rPr>
            <w:webHidden/>
          </w:rPr>
          <w:t>124</w:t>
        </w:r>
        <w:r w:rsidR="00D80FBD" w:rsidRPr="00D80FBD">
          <w:rPr>
            <w:webHidden/>
          </w:rPr>
          <w:fldChar w:fldCharType="end"/>
        </w:r>
      </w:hyperlink>
    </w:p>
    <w:p w14:paraId="7414D313" w14:textId="2BC2D55C"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66" w:history="1">
        <w:r w:rsidR="00D80FBD" w:rsidRPr="00D80FBD">
          <w:rPr>
            <w:rStyle w:val="Hipercze"/>
            <w:rFonts w:eastAsia="Calibri"/>
            <w:iCs/>
            <w:lang w:eastAsia="pl-PL"/>
          </w:rPr>
          <w:t>3. Analiza problematyki przestępczości środowiskowej, z uwzględnieniem specyfiki danego województwa</w:t>
        </w:r>
        <w:r w:rsidR="00D80FBD" w:rsidRPr="00D80FBD">
          <w:rPr>
            <w:webHidden/>
          </w:rPr>
          <w:tab/>
        </w:r>
        <w:r w:rsidR="00D80FBD" w:rsidRPr="00D80FBD">
          <w:rPr>
            <w:webHidden/>
          </w:rPr>
          <w:fldChar w:fldCharType="begin"/>
        </w:r>
        <w:r w:rsidR="00D80FBD" w:rsidRPr="00D80FBD">
          <w:rPr>
            <w:webHidden/>
          </w:rPr>
          <w:instrText xml:space="preserve"> PAGEREF _Toc135935666 \h </w:instrText>
        </w:r>
        <w:r w:rsidR="00D80FBD" w:rsidRPr="00D80FBD">
          <w:rPr>
            <w:webHidden/>
          </w:rPr>
        </w:r>
        <w:r w:rsidR="00D80FBD" w:rsidRPr="00D80FBD">
          <w:rPr>
            <w:webHidden/>
          </w:rPr>
          <w:fldChar w:fldCharType="separate"/>
        </w:r>
        <w:r w:rsidR="00D61CF7">
          <w:rPr>
            <w:webHidden/>
          </w:rPr>
          <w:t>130</w:t>
        </w:r>
        <w:r w:rsidR="00D80FBD" w:rsidRPr="00D80FBD">
          <w:rPr>
            <w:webHidden/>
          </w:rPr>
          <w:fldChar w:fldCharType="end"/>
        </w:r>
      </w:hyperlink>
    </w:p>
    <w:p w14:paraId="5DF26295" w14:textId="02EBD5A6"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67" w:history="1">
        <w:r w:rsidR="00D80FBD" w:rsidRPr="00D80FBD">
          <w:rPr>
            <w:rStyle w:val="Hipercze"/>
          </w:rPr>
          <w:t>3.1. Charakterystyka ujawnionych przestępstw przeciwko środowisku</w:t>
        </w:r>
        <w:r w:rsidR="00D80FBD" w:rsidRPr="00D80FBD">
          <w:rPr>
            <w:webHidden/>
          </w:rPr>
          <w:tab/>
        </w:r>
        <w:r w:rsidR="00D80FBD" w:rsidRPr="00D80FBD">
          <w:rPr>
            <w:webHidden/>
          </w:rPr>
          <w:fldChar w:fldCharType="begin"/>
        </w:r>
        <w:r w:rsidR="00D80FBD" w:rsidRPr="00D80FBD">
          <w:rPr>
            <w:webHidden/>
          </w:rPr>
          <w:instrText xml:space="preserve"> PAGEREF _Toc135935667 \h </w:instrText>
        </w:r>
        <w:r w:rsidR="00D80FBD" w:rsidRPr="00D80FBD">
          <w:rPr>
            <w:webHidden/>
          </w:rPr>
        </w:r>
        <w:r w:rsidR="00D80FBD" w:rsidRPr="00D80FBD">
          <w:rPr>
            <w:webHidden/>
          </w:rPr>
          <w:fldChar w:fldCharType="separate"/>
        </w:r>
        <w:r w:rsidR="00D61CF7">
          <w:rPr>
            <w:webHidden/>
          </w:rPr>
          <w:t>130</w:t>
        </w:r>
        <w:r w:rsidR="00D80FBD" w:rsidRPr="00D80FBD">
          <w:rPr>
            <w:webHidden/>
          </w:rPr>
          <w:fldChar w:fldCharType="end"/>
        </w:r>
      </w:hyperlink>
    </w:p>
    <w:p w14:paraId="36BCD083" w14:textId="5F7E5DC6"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68" w:history="1">
        <w:r w:rsidR="00D80FBD" w:rsidRPr="00D80FBD">
          <w:rPr>
            <w:rStyle w:val="Hipercze"/>
            <w:rFonts w:eastAsia="Calibri"/>
          </w:rPr>
          <w:t>3.</w:t>
        </w:r>
        <w:r w:rsidR="00D80FBD" w:rsidRPr="00D80FBD">
          <w:rPr>
            <w:rStyle w:val="Hipercze"/>
            <w:rFonts w:eastAsia="Calibri"/>
            <w:lang w:val="pl-PL"/>
          </w:rPr>
          <w:t>2</w:t>
        </w:r>
        <w:r w:rsidR="00D80FBD" w:rsidRPr="00D80FBD">
          <w:rPr>
            <w:rStyle w:val="Hipercze"/>
            <w:rFonts w:eastAsia="Calibri"/>
          </w:rPr>
          <w:t xml:space="preserve">. </w:t>
        </w:r>
        <w:r w:rsidR="00D80FBD" w:rsidRPr="00D80FBD">
          <w:rPr>
            <w:rStyle w:val="Hipercze"/>
            <w:rFonts w:eastAsia="Calibri"/>
            <w:lang w:val="pl-PL"/>
          </w:rPr>
          <w:t>Zauważalne tendencje rozwoju przestępczości</w:t>
        </w:r>
        <w:r w:rsidR="00D80FBD" w:rsidRPr="00D80FBD">
          <w:rPr>
            <w:webHidden/>
          </w:rPr>
          <w:tab/>
        </w:r>
        <w:r w:rsidR="00D80FBD" w:rsidRPr="00D80FBD">
          <w:rPr>
            <w:webHidden/>
          </w:rPr>
          <w:fldChar w:fldCharType="begin"/>
        </w:r>
        <w:r w:rsidR="00D80FBD" w:rsidRPr="00D80FBD">
          <w:rPr>
            <w:webHidden/>
          </w:rPr>
          <w:instrText xml:space="preserve"> PAGEREF _Toc135935668 \h </w:instrText>
        </w:r>
        <w:r w:rsidR="00D80FBD" w:rsidRPr="00D80FBD">
          <w:rPr>
            <w:webHidden/>
          </w:rPr>
        </w:r>
        <w:r w:rsidR="00D80FBD" w:rsidRPr="00D80FBD">
          <w:rPr>
            <w:webHidden/>
          </w:rPr>
          <w:fldChar w:fldCharType="separate"/>
        </w:r>
        <w:r w:rsidR="00D61CF7">
          <w:rPr>
            <w:webHidden/>
          </w:rPr>
          <w:t>147</w:t>
        </w:r>
        <w:r w:rsidR="00D80FBD" w:rsidRPr="00D80FBD">
          <w:rPr>
            <w:webHidden/>
          </w:rPr>
          <w:fldChar w:fldCharType="end"/>
        </w:r>
      </w:hyperlink>
    </w:p>
    <w:p w14:paraId="0497F807" w14:textId="760BD5C1"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69" w:history="1">
        <w:r w:rsidR="00D80FBD" w:rsidRPr="00D80FBD">
          <w:rPr>
            <w:rStyle w:val="Hipercze"/>
            <w:rFonts w:eastAsia="Calibri"/>
            <w:iCs/>
            <w:lang w:eastAsia="pl-PL"/>
          </w:rPr>
          <w:t xml:space="preserve">4. Zadania w zakresie zwalczania przestępstw i wykroczeń przeciwko środowisku realizowane na podstawie uprawnień wynikających z art. 10b ustawy o Inspekcji Ochrony </w:t>
        </w:r>
        <w:r w:rsidR="00D80FBD">
          <w:rPr>
            <w:rStyle w:val="Hipercze"/>
            <w:rFonts w:eastAsia="Calibri"/>
            <w:iCs/>
            <w:lang w:eastAsia="pl-PL"/>
          </w:rPr>
          <w:br/>
        </w:r>
        <w:r w:rsidR="00D80FBD" w:rsidRPr="00D80FBD">
          <w:rPr>
            <w:rStyle w:val="Hipercze"/>
            <w:rFonts w:eastAsia="Calibri"/>
            <w:iCs/>
            <w:lang w:eastAsia="pl-PL"/>
          </w:rPr>
          <w:t>Środowiska</w:t>
        </w:r>
        <w:r w:rsidR="00D80FBD" w:rsidRPr="00D80FBD">
          <w:rPr>
            <w:webHidden/>
          </w:rPr>
          <w:tab/>
        </w:r>
        <w:r w:rsidR="00D80FBD" w:rsidRPr="00D80FBD">
          <w:rPr>
            <w:webHidden/>
          </w:rPr>
          <w:fldChar w:fldCharType="begin"/>
        </w:r>
        <w:r w:rsidR="00D80FBD" w:rsidRPr="00D80FBD">
          <w:rPr>
            <w:webHidden/>
          </w:rPr>
          <w:instrText xml:space="preserve"> PAGEREF _Toc135935669 \h </w:instrText>
        </w:r>
        <w:r w:rsidR="00D80FBD" w:rsidRPr="00D80FBD">
          <w:rPr>
            <w:webHidden/>
          </w:rPr>
        </w:r>
        <w:r w:rsidR="00D80FBD" w:rsidRPr="00D80FBD">
          <w:rPr>
            <w:webHidden/>
          </w:rPr>
          <w:fldChar w:fldCharType="separate"/>
        </w:r>
        <w:r w:rsidR="00D61CF7">
          <w:rPr>
            <w:webHidden/>
          </w:rPr>
          <w:t>153</w:t>
        </w:r>
        <w:r w:rsidR="00D80FBD" w:rsidRPr="00D80FBD">
          <w:rPr>
            <w:webHidden/>
          </w:rPr>
          <w:fldChar w:fldCharType="end"/>
        </w:r>
      </w:hyperlink>
    </w:p>
    <w:p w14:paraId="5512CE21" w14:textId="085A1497"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70" w:history="1">
        <w:r w:rsidR="00D80FBD" w:rsidRPr="00D80FBD">
          <w:rPr>
            <w:rStyle w:val="Hipercze"/>
          </w:rPr>
          <w:t xml:space="preserve">4.1. </w:t>
        </w:r>
        <w:r w:rsidR="00D80FBD" w:rsidRPr="00D80FBD">
          <w:rPr>
            <w:rStyle w:val="Hipercze"/>
            <w:rFonts w:eastAsiaTheme="minorHAnsi"/>
          </w:rPr>
          <w:t>Porównanie z 202</w:t>
        </w:r>
        <w:r w:rsidR="00D80FBD" w:rsidRPr="00D80FBD">
          <w:rPr>
            <w:rStyle w:val="Hipercze"/>
            <w:rFonts w:eastAsiaTheme="minorHAnsi"/>
            <w:lang w:val="pl-PL"/>
          </w:rPr>
          <w:t>1</w:t>
        </w:r>
        <w:r w:rsidR="00D80FBD" w:rsidRPr="00D80FBD">
          <w:rPr>
            <w:rStyle w:val="Hipercze"/>
            <w:rFonts w:eastAsiaTheme="minorHAnsi"/>
          </w:rPr>
          <w:t xml:space="preserve"> r. liczby czynności podjętych w 202</w:t>
        </w:r>
        <w:r w:rsidR="00D80FBD" w:rsidRPr="00D80FBD">
          <w:rPr>
            <w:rStyle w:val="Hipercze"/>
            <w:rFonts w:eastAsiaTheme="minorHAnsi"/>
            <w:lang w:val="pl-PL"/>
          </w:rPr>
          <w:t>2</w:t>
        </w:r>
        <w:r w:rsidR="00D80FBD" w:rsidRPr="00D80FBD">
          <w:rPr>
            <w:rStyle w:val="Hipercze"/>
            <w:rFonts w:eastAsiaTheme="minorHAnsi"/>
          </w:rPr>
          <w:t xml:space="preserve"> r. na podstawie art. 10b ustawy o Inspekcji Ochrony Środowiska</w:t>
        </w:r>
        <w:r w:rsidR="00D80FBD" w:rsidRPr="00D80FBD">
          <w:rPr>
            <w:webHidden/>
          </w:rPr>
          <w:tab/>
        </w:r>
        <w:r w:rsidR="00D80FBD" w:rsidRPr="00D80FBD">
          <w:rPr>
            <w:webHidden/>
          </w:rPr>
          <w:fldChar w:fldCharType="begin"/>
        </w:r>
        <w:r w:rsidR="00D80FBD" w:rsidRPr="00D80FBD">
          <w:rPr>
            <w:webHidden/>
          </w:rPr>
          <w:instrText xml:space="preserve"> PAGEREF _Toc135935670 \h </w:instrText>
        </w:r>
        <w:r w:rsidR="00D80FBD" w:rsidRPr="00D80FBD">
          <w:rPr>
            <w:webHidden/>
          </w:rPr>
        </w:r>
        <w:r w:rsidR="00D80FBD" w:rsidRPr="00D80FBD">
          <w:rPr>
            <w:webHidden/>
          </w:rPr>
          <w:fldChar w:fldCharType="separate"/>
        </w:r>
        <w:r w:rsidR="00D61CF7">
          <w:rPr>
            <w:webHidden/>
          </w:rPr>
          <w:t>153</w:t>
        </w:r>
        <w:r w:rsidR="00D80FBD" w:rsidRPr="00D80FBD">
          <w:rPr>
            <w:webHidden/>
          </w:rPr>
          <w:fldChar w:fldCharType="end"/>
        </w:r>
      </w:hyperlink>
    </w:p>
    <w:p w14:paraId="4D7A9A8F" w14:textId="2EAE8008"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71" w:history="1">
        <w:r w:rsidR="00D80FBD" w:rsidRPr="00D80FBD">
          <w:rPr>
            <w:rStyle w:val="Hipercze"/>
          </w:rPr>
          <w:t>4.2.</w:t>
        </w:r>
        <w:r w:rsidR="00D80FBD" w:rsidRPr="00D80FBD">
          <w:rPr>
            <w:rFonts w:asciiTheme="minorHAnsi" w:eastAsiaTheme="minorEastAsia" w:hAnsiTheme="minorHAnsi" w:cstheme="minorBidi"/>
            <w:bCs w:val="0"/>
            <w:sz w:val="22"/>
            <w:szCs w:val="22"/>
            <w:lang w:val="pl-PL" w:eastAsia="pl-PL"/>
          </w:rPr>
          <w:tab/>
        </w:r>
        <w:r w:rsidR="00D80FBD" w:rsidRPr="00D80FBD">
          <w:rPr>
            <w:rStyle w:val="Hipercze"/>
          </w:rPr>
          <w:t>Ogólna informacja o przeprowadzonych kontrolach, w tym wskazanie charakterystyki zrealizowanych zadań</w:t>
        </w:r>
        <w:r w:rsidR="00D80FBD" w:rsidRPr="00D80FBD">
          <w:rPr>
            <w:webHidden/>
          </w:rPr>
          <w:tab/>
        </w:r>
        <w:r w:rsidR="00D80FBD" w:rsidRPr="00D80FBD">
          <w:rPr>
            <w:webHidden/>
          </w:rPr>
          <w:fldChar w:fldCharType="begin"/>
        </w:r>
        <w:r w:rsidR="00D80FBD" w:rsidRPr="00D80FBD">
          <w:rPr>
            <w:webHidden/>
          </w:rPr>
          <w:instrText xml:space="preserve"> PAGEREF _Toc135935671 \h </w:instrText>
        </w:r>
        <w:r w:rsidR="00D80FBD" w:rsidRPr="00D80FBD">
          <w:rPr>
            <w:webHidden/>
          </w:rPr>
        </w:r>
        <w:r w:rsidR="00D80FBD" w:rsidRPr="00D80FBD">
          <w:rPr>
            <w:webHidden/>
          </w:rPr>
          <w:fldChar w:fldCharType="separate"/>
        </w:r>
        <w:r w:rsidR="00D61CF7">
          <w:rPr>
            <w:webHidden/>
          </w:rPr>
          <w:t>162</w:t>
        </w:r>
        <w:r w:rsidR="00D80FBD" w:rsidRPr="00D80FBD">
          <w:rPr>
            <w:webHidden/>
          </w:rPr>
          <w:fldChar w:fldCharType="end"/>
        </w:r>
      </w:hyperlink>
    </w:p>
    <w:p w14:paraId="7388403B" w14:textId="7BABFC51"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72" w:history="1">
        <w:r w:rsidR="00D80FBD" w:rsidRPr="00D80FBD">
          <w:rPr>
            <w:rStyle w:val="Hipercze"/>
          </w:rPr>
          <w:t>4.3.</w:t>
        </w:r>
        <w:r w:rsidR="00D80FBD" w:rsidRPr="00D80FBD">
          <w:rPr>
            <w:rFonts w:asciiTheme="minorHAnsi" w:eastAsiaTheme="minorEastAsia" w:hAnsiTheme="minorHAnsi" w:cstheme="minorBidi"/>
            <w:bCs w:val="0"/>
            <w:sz w:val="22"/>
            <w:szCs w:val="22"/>
            <w:lang w:val="pl-PL" w:eastAsia="pl-PL"/>
          </w:rPr>
          <w:tab/>
        </w:r>
        <w:r w:rsidR="00D80FBD" w:rsidRPr="00D80FBD">
          <w:rPr>
            <w:rStyle w:val="Hipercze"/>
          </w:rPr>
          <w:t>Ilościowe wskazanie wykorzystania środków technicznych</w:t>
        </w:r>
        <w:r w:rsidR="00D80FBD" w:rsidRPr="00D80FBD">
          <w:rPr>
            <w:webHidden/>
          </w:rPr>
          <w:tab/>
        </w:r>
        <w:r w:rsidR="00D80FBD" w:rsidRPr="00D80FBD">
          <w:rPr>
            <w:webHidden/>
          </w:rPr>
          <w:fldChar w:fldCharType="begin"/>
        </w:r>
        <w:r w:rsidR="00D80FBD" w:rsidRPr="00D80FBD">
          <w:rPr>
            <w:webHidden/>
          </w:rPr>
          <w:instrText xml:space="preserve"> PAGEREF _Toc135935672 \h </w:instrText>
        </w:r>
        <w:r w:rsidR="00D80FBD" w:rsidRPr="00D80FBD">
          <w:rPr>
            <w:webHidden/>
          </w:rPr>
        </w:r>
        <w:r w:rsidR="00D80FBD" w:rsidRPr="00D80FBD">
          <w:rPr>
            <w:webHidden/>
          </w:rPr>
          <w:fldChar w:fldCharType="separate"/>
        </w:r>
        <w:r w:rsidR="00D61CF7">
          <w:rPr>
            <w:webHidden/>
          </w:rPr>
          <w:t>167</w:t>
        </w:r>
        <w:r w:rsidR="00D80FBD" w:rsidRPr="00D80FBD">
          <w:rPr>
            <w:webHidden/>
          </w:rPr>
          <w:fldChar w:fldCharType="end"/>
        </w:r>
      </w:hyperlink>
    </w:p>
    <w:p w14:paraId="4D1500EF" w14:textId="4296A761"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73" w:history="1">
        <w:r w:rsidR="00D80FBD" w:rsidRPr="00D80FBD">
          <w:rPr>
            <w:rStyle w:val="Hipercze"/>
          </w:rPr>
          <w:t>4.4.</w:t>
        </w:r>
        <w:r w:rsidR="00D80FBD" w:rsidRPr="00D80FBD">
          <w:rPr>
            <w:rFonts w:asciiTheme="minorHAnsi" w:eastAsiaTheme="minorEastAsia" w:hAnsiTheme="minorHAnsi" w:cstheme="minorBidi"/>
            <w:bCs w:val="0"/>
            <w:sz w:val="22"/>
            <w:szCs w:val="22"/>
            <w:lang w:val="pl-PL" w:eastAsia="pl-PL"/>
          </w:rPr>
          <w:tab/>
        </w:r>
        <w:r w:rsidR="00D80FBD" w:rsidRPr="00D80FBD">
          <w:rPr>
            <w:rStyle w:val="Hipercze"/>
          </w:rPr>
          <w:t>Ilościowe wskazanie działań analitycznych</w:t>
        </w:r>
        <w:r w:rsidR="00D80FBD" w:rsidRPr="00D80FBD">
          <w:rPr>
            <w:rStyle w:val="Hipercze"/>
            <w:lang w:val="pl-PL"/>
          </w:rPr>
          <w:t>,</w:t>
        </w:r>
        <w:r w:rsidR="00D80FBD" w:rsidRPr="00D80FBD">
          <w:rPr>
            <w:rStyle w:val="Hipercze"/>
          </w:rPr>
          <w:t xml:space="preserve"> jakie były wykorzystywane przy realizacji zadań</w:t>
        </w:r>
        <w:r w:rsidR="00D80FBD" w:rsidRPr="00D80FBD">
          <w:rPr>
            <w:webHidden/>
          </w:rPr>
          <w:tab/>
        </w:r>
        <w:r w:rsidR="00D80FBD" w:rsidRPr="00D80FBD">
          <w:rPr>
            <w:webHidden/>
          </w:rPr>
          <w:fldChar w:fldCharType="begin"/>
        </w:r>
        <w:r w:rsidR="00D80FBD" w:rsidRPr="00D80FBD">
          <w:rPr>
            <w:webHidden/>
          </w:rPr>
          <w:instrText xml:space="preserve"> PAGEREF _Toc135935673 \h </w:instrText>
        </w:r>
        <w:r w:rsidR="00D80FBD" w:rsidRPr="00D80FBD">
          <w:rPr>
            <w:webHidden/>
          </w:rPr>
        </w:r>
        <w:r w:rsidR="00D80FBD" w:rsidRPr="00D80FBD">
          <w:rPr>
            <w:webHidden/>
          </w:rPr>
          <w:fldChar w:fldCharType="separate"/>
        </w:r>
        <w:r w:rsidR="00D61CF7">
          <w:rPr>
            <w:webHidden/>
          </w:rPr>
          <w:t>170</w:t>
        </w:r>
        <w:r w:rsidR="00D80FBD" w:rsidRPr="00D80FBD">
          <w:rPr>
            <w:webHidden/>
          </w:rPr>
          <w:fldChar w:fldCharType="end"/>
        </w:r>
      </w:hyperlink>
    </w:p>
    <w:p w14:paraId="39D1A113" w14:textId="1C94261C"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74" w:history="1">
        <w:r w:rsidR="00D80FBD" w:rsidRPr="00D80FBD">
          <w:rPr>
            <w:rStyle w:val="Hipercze"/>
          </w:rPr>
          <w:t>4.5.</w:t>
        </w:r>
        <w:r w:rsidR="00D80FBD" w:rsidRPr="00D80FBD">
          <w:rPr>
            <w:rFonts w:asciiTheme="minorHAnsi" w:eastAsiaTheme="minorEastAsia" w:hAnsiTheme="minorHAnsi" w:cstheme="minorBidi"/>
            <w:bCs w:val="0"/>
            <w:sz w:val="22"/>
            <w:szCs w:val="22"/>
            <w:lang w:val="pl-PL" w:eastAsia="pl-PL"/>
          </w:rPr>
          <w:tab/>
        </w:r>
        <w:r w:rsidR="00D80FBD" w:rsidRPr="00D80FBD">
          <w:rPr>
            <w:rStyle w:val="Hipercze"/>
          </w:rPr>
          <w:t>Charakterystyka naruszeń stwierdzonych podczas zrealizowanych zadań</w:t>
        </w:r>
        <w:r w:rsidR="00D80FBD" w:rsidRPr="00D80FBD">
          <w:rPr>
            <w:webHidden/>
          </w:rPr>
          <w:tab/>
        </w:r>
        <w:r w:rsidR="00D80FBD" w:rsidRPr="00D80FBD">
          <w:rPr>
            <w:webHidden/>
          </w:rPr>
          <w:fldChar w:fldCharType="begin"/>
        </w:r>
        <w:r w:rsidR="00D80FBD" w:rsidRPr="00D80FBD">
          <w:rPr>
            <w:webHidden/>
          </w:rPr>
          <w:instrText xml:space="preserve"> PAGEREF _Toc135935674 \h </w:instrText>
        </w:r>
        <w:r w:rsidR="00D80FBD" w:rsidRPr="00D80FBD">
          <w:rPr>
            <w:webHidden/>
          </w:rPr>
        </w:r>
        <w:r w:rsidR="00D80FBD" w:rsidRPr="00D80FBD">
          <w:rPr>
            <w:webHidden/>
          </w:rPr>
          <w:fldChar w:fldCharType="separate"/>
        </w:r>
        <w:r w:rsidR="00D61CF7">
          <w:rPr>
            <w:webHidden/>
          </w:rPr>
          <w:t>174</w:t>
        </w:r>
        <w:r w:rsidR="00D80FBD" w:rsidRPr="00D80FBD">
          <w:rPr>
            <w:webHidden/>
          </w:rPr>
          <w:fldChar w:fldCharType="end"/>
        </w:r>
      </w:hyperlink>
    </w:p>
    <w:p w14:paraId="3A1D1DFC" w14:textId="1BF1A120"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75" w:history="1">
        <w:r w:rsidR="00D80FBD" w:rsidRPr="00D80FBD">
          <w:rPr>
            <w:rStyle w:val="Hipercze"/>
          </w:rPr>
          <w:t>4.6.</w:t>
        </w:r>
        <w:r w:rsidR="00D80FBD" w:rsidRPr="00D80FBD">
          <w:rPr>
            <w:rFonts w:asciiTheme="minorHAnsi" w:eastAsiaTheme="minorEastAsia" w:hAnsiTheme="minorHAnsi" w:cstheme="minorBidi"/>
            <w:bCs w:val="0"/>
            <w:sz w:val="22"/>
            <w:szCs w:val="22"/>
            <w:lang w:val="pl-PL" w:eastAsia="pl-PL"/>
          </w:rPr>
          <w:tab/>
        </w:r>
        <w:r w:rsidR="00D80FBD" w:rsidRPr="00D80FBD">
          <w:rPr>
            <w:rStyle w:val="Hipercze"/>
          </w:rPr>
          <w:t>Szczegółowe omówienie wybranych przykładów zadań realizowanych na podstawie art. 10b ustawy o Inspekcji Ochrony Środowiska</w:t>
        </w:r>
        <w:r w:rsidR="00D80FBD" w:rsidRPr="00D80FBD">
          <w:rPr>
            <w:webHidden/>
          </w:rPr>
          <w:tab/>
        </w:r>
        <w:r w:rsidR="00D80FBD" w:rsidRPr="00D80FBD">
          <w:rPr>
            <w:webHidden/>
          </w:rPr>
          <w:fldChar w:fldCharType="begin"/>
        </w:r>
        <w:r w:rsidR="00D80FBD" w:rsidRPr="00D80FBD">
          <w:rPr>
            <w:webHidden/>
          </w:rPr>
          <w:instrText xml:space="preserve"> PAGEREF _Toc135935675 \h </w:instrText>
        </w:r>
        <w:r w:rsidR="00D80FBD" w:rsidRPr="00D80FBD">
          <w:rPr>
            <w:webHidden/>
          </w:rPr>
        </w:r>
        <w:r w:rsidR="00D80FBD" w:rsidRPr="00D80FBD">
          <w:rPr>
            <w:webHidden/>
          </w:rPr>
          <w:fldChar w:fldCharType="separate"/>
        </w:r>
        <w:r w:rsidR="00D61CF7">
          <w:rPr>
            <w:webHidden/>
          </w:rPr>
          <w:t>179</w:t>
        </w:r>
        <w:r w:rsidR="00D80FBD" w:rsidRPr="00D80FBD">
          <w:rPr>
            <w:webHidden/>
          </w:rPr>
          <w:fldChar w:fldCharType="end"/>
        </w:r>
      </w:hyperlink>
    </w:p>
    <w:p w14:paraId="0A141C59" w14:textId="013590F1"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76" w:history="1">
        <w:r w:rsidR="00D80FBD" w:rsidRPr="00D80FBD">
          <w:rPr>
            <w:rStyle w:val="Hipercze"/>
          </w:rPr>
          <w:t>5.</w:t>
        </w:r>
        <w:r w:rsidR="00D80FBD" w:rsidRPr="00D80FBD">
          <w:rPr>
            <w:rFonts w:asciiTheme="minorHAnsi" w:eastAsiaTheme="minorEastAsia" w:hAnsiTheme="minorHAnsi" w:cstheme="minorBidi"/>
            <w:bCs w:val="0"/>
            <w:sz w:val="22"/>
            <w:szCs w:val="22"/>
            <w:lang w:val="pl-PL" w:eastAsia="pl-PL"/>
          </w:rPr>
          <w:tab/>
        </w:r>
        <w:r w:rsidR="00D80FBD" w:rsidRPr="00D80FBD">
          <w:rPr>
            <w:rStyle w:val="Hipercze"/>
            <w:iCs/>
          </w:rPr>
          <w:t>Wykorzystanie i udostępnianie informacji uzyskanych w trakcie czynności prowadzonych na podstawie art. 10b ustawy o Inspekcji Ochrony Środowiska</w:t>
        </w:r>
        <w:r w:rsidR="00D80FBD" w:rsidRPr="00D80FBD">
          <w:rPr>
            <w:rStyle w:val="Hipercze"/>
          </w:rPr>
          <w:t>:</w:t>
        </w:r>
        <w:r w:rsidR="00D80FBD" w:rsidRPr="00D80FBD">
          <w:rPr>
            <w:webHidden/>
          </w:rPr>
          <w:tab/>
        </w:r>
        <w:r w:rsidR="00D80FBD" w:rsidRPr="00D80FBD">
          <w:rPr>
            <w:webHidden/>
          </w:rPr>
          <w:fldChar w:fldCharType="begin"/>
        </w:r>
        <w:r w:rsidR="00D80FBD" w:rsidRPr="00D80FBD">
          <w:rPr>
            <w:webHidden/>
          </w:rPr>
          <w:instrText xml:space="preserve"> PAGEREF _Toc135935676 \h </w:instrText>
        </w:r>
        <w:r w:rsidR="00D80FBD" w:rsidRPr="00D80FBD">
          <w:rPr>
            <w:webHidden/>
          </w:rPr>
        </w:r>
        <w:r w:rsidR="00D80FBD" w:rsidRPr="00D80FBD">
          <w:rPr>
            <w:webHidden/>
          </w:rPr>
          <w:fldChar w:fldCharType="separate"/>
        </w:r>
        <w:r w:rsidR="00D61CF7">
          <w:rPr>
            <w:webHidden/>
          </w:rPr>
          <w:t>197</w:t>
        </w:r>
        <w:r w:rsidR="00D80FBD" w:rsidRPr="00D80FBD">
          <w:rPr>
            <w:webHidden/>
          </w:rPr>
          <w:fldChar w:fldCharType="end"/>
        </w:r>
      </w:hyperlink>
    </w:p>
    <w:p w14:paraId="409046F7" w14:textId="2AF406C9"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77" w:history="1">
        <w:r w:rsidR="00D80FBD" w:rsidRPr="00D80FBD">
          <w:rPr>
            <w:rStyle w:val="Hipercze"/>
          </w:rPr>
          <w:t>5.1. Ilościowe wskazanie wykorzystania informacji uzyskanych w celu realizacji zadań ustawowych Inspekcji Ochrony Środowiska, w tym w zakresie kontroli oraz stanowiących dowód w postępowaniach administracyjnych karnych oraz w postępowaniach  w sprawach wykroczeń</w:t>
        </w:r>
        <w:r w:rsidR="00D80FBD" w:rsidRPr="00D80FBD">
          <w:rPr>
            <w:webHidden/>
          </w:rPr>
          <w:tab/>
        </w:r>
        <w:r w:rsidR="00D80FBD" w:rsidRPr="00D80FBD">
          <w:rPr>
            <w:webHidden/>
          </w:rPr>
          <w:fldChar w:fldCharType="begin"/>
        </w:r>
        <w:r w:rsidR="00D80FBD" w:rsidRPr="00D80FBD">
          <w:rPr>
            <w:webHidden/>
          </w:rPr>
          <w:instrText xml:space="preserve"> PAGEREF _Toc135935677 \h </w:instrText>
        </w:r>
        <w:r w:rsidR="00D80FBD" w:rsidRPr="00D80FBD">
          <w:rPr>
            <w:webHidden/>
          </w:rPr>
        </w:r>
        <w:r w:rsidR="00D80FBD" w:rsidRPr="00D80FBD">
          <w:rPr>
            <w:webHidden/>
          </w:rPr>
          <w:fldChar w:fldCharType="separate"/>
        </w:r>
        <w:r w:rsidR="00D61CF7">
          <w:rPr>
            <w:webHidden/>
          </w:rPr>
          <w:t>197</w:t>
        </w:r>
        <w:r w:rsidR="00D80FBD" w:rsidRPr="00D80FBD">
          <w:rPr>
            <w:webHidden/>
          </w:rPr>
          <w:fldChar w:fldCharType="end"/>
        </w:r>
      </w:hyperlink>
    </w:p>
    <w:p w14:paraId="79FF5A41" w14:textId="32B284DC"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78" w:history="1">
        <w:r w:rsidR="00D80FBD" w:rsidRPr="00D80FBD">
          <w:rPr>
            <w:rStyle w:val="Hipercze"/>
          </w:rPr>
          <w:t>5.2.</w:t>
        </w:r>
        <w:r w:rsidR="00D80FBD" w:rsidRPr="00D80FBD">
          <w:rPr>
            <w:rFonts w:asciiTheme="minorHAnsi" w:eastAsiaTheme="minorEastAsia" w:hAnsiTheme="minorHAnsi" w:cstheme="minorBidi"/>
            <w:bCs w:val="0"/>
            <w:sz w:val="22"/>
            <w:szCs w:val="22"/>
            <w:lang w:val="pl-PL" w:eastAsia="pl-PL"/>
          </w:rPr>
          <w:tab/>
        </w:r>
        <w:r w:rsidR="00D80FBD" w:rsidRPr="00D80FBD">
          <w:rPr>
            <w:rStyle w:val="Hipercze"/>
            <w:lang w:val="pl-PL"/>
          </w:rPr>
          <w:t>I</w:t>
        </w:r>
        <w:r w:rsidR="00D80FBD" w:rsidRPr="00D80FBD">
          <w:rPr>
            <w:rStyle w:val="Hipercze"/>
          </w:rPr>
          <w:t>l</w:t>
        </w:r>
        <w:r w:rsidR="00D80FBD" w:rsidRPr="00D80FBD">
          <w:rPr>
            <w:rStyle w:val="Hipercze"/>
            <w:lang w:val="pl-PL"/>
          </w:rPr>
          <w:t>ość</w:t>
        </w:r>
        <w:r w:rsidR="00D80FBD" w:rsidRPr="00D80FBD">
          <w:rPr>
            <w:rStyle w:val="Hipercze"/>
          </w:rPr>
          <w:t xml:space="preserve"> informacji udostępnionych innym organom i służbom, zgodnie z art. 10d ust. 2 ustawy o Inspekcji Ochrony Środowiska</w:t>
        </w:r>
        <w:r w:rsidR="00D80FBD" w:rsidRPr="00D80FBD">
          <w:rPr>
            <w:webHidden/>
          </w:rPr>
          <w:tab/>
        </w:r>
        <w:r w:rsidR="00D80FBD" w:rsidRPr="00D80FBD">
          <w:rPr>
            <w:webHidden/>
          </w:rPr>
          <w:fldChar w:fldCharType="begin"/>
        </w:r>
        <w:r w:rsidR="00D80FBD" w:rsidRPr="00D80FBD">
          <w:rPr>
            <w:webHidden/>
          </w:rPr>
          <w:instrText xml:space="preserve"> PAGEREF _Toc135935678 \h </w:instrText>
        </w:r>
        <w:r w:rsidR="00D80FBD" w:rsidRPr="00D80FBD">
          <w:rPr>
            <w:webHidden/>
          </w:rPr>
        </w:r>
        <w:r w:rsidR="00D80FBD" w:rsidRPr="00D80FBD">
          <w:rPr>
            <w:webHidden/>
          </w:rPr>
          <w:fldChar w:fldCharType="separate"/>
        </w:r>
        <w:r w:rsidR="00D61CF7">
          <w:rPr>
            <w:webHidden/>
          </w:rPr>
          <w:t>203</w:t>
        </w:r>
        <w:r w:rsidR="00D80FBD" w:rsidRPr="00D80FBD">
          <w:rPr>
            <w:webHidden/>
          </w:rPr>
          <w:fldChar w:fldCharType="end"/>
        </w:r>
      </w:hyperlink>
    </w:p>
    <w:p w14:paraId="5436585D" w14:textId="5B1136ED"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79" w:history="1">
        <w:r w:rsidR="00D80FBD" w:rsidRPr="00D80FBD">
          <w:rPr>
            <w:rStyle w:val="Hipercze"/>
          </w:rPr>
          <w:t>6.</w:t>
        </w:r>
        <w:r w:rsidR="00D80FBD" w:rsidRPr="00D80FBD">
          <w:rPr>
            <w:rFonts w:asciiTheme="minorHAnsi" w:eastAsiaTheme="minorEastAsia" w:hAnsiTheme="minorHAnsi" w:cstheme="minorBidi"/>
            <w:bCs w:val="0"/>
            <w:sz w:val="22"/>
            <w:szCs w:val="22"/>
            <w:lang w:val="pl-PL" w:eastAsia="pl-PL"/>
          </w:rPr>
          <w:tab/>
        </w:r>
        <w:r w:rsidR="00D80FBD" w:rsidRPr="00D80FBD">
          <w:rPr>
            <w:rStyle w:val="Hipercze"/>
            <w:iCs/>
          </w:rPr>
          <w:t>Kontrole realizowane w związku z podejrzeniem popełnienia przestępstwa lub wykroczenia przeciwko środowisku</w:t>
        </w:r>
        <w:r w:rsidR="00D80FBD" w:rsidRPr="00D80FBD">
          <w:rPr>
            <w:webHidden/>
          </w:rPr>
          <w:tab/>
        </w:r>
        <w:r w:rsidR="00D80FBD" w:rsidRPr="00D80FBD">
          <w:rPr>
            <w:webHidden/>
          </w:rPr>
          <w:fldChar w:fldCharType="begin"/>
        </w:r>
        <w:r w:rsidR="00D80FBD" w:rsidRPr="00D80FBD">
          <w:rPr>
            <w:webHidden/>
          </w:rPr>
          <w:instrText xml:space="preserve"> PAGEREF _Toc135935679 \h </w:instrText>
        </w:r>
        <w:r w:rsidR="00D80FBD" w:rsidRPr="00D80FBD">
          <w:rPr>
            <w:webHidden/>
          </w:rPr>
        </w:r>
        <w:r w:rsidR="00D80FBD" w:rsidRPr="00D80FBD">
          <w:rPr>
            <w:webHidden/>
          </w:rPr>
          <w:fldChar w:fldCharType="separate"/>
        </w:r>
        <w:r w:rsidR="00D61CF7">
          <w:rPr>
            <w:webHidden/>
          </w:rPr>
          <w:t>206</w:t>
        </w:r>
        <w:r w:rsidR="00D80FBD" w:rsidRPr="00D80FBD">
          <w:rPr>
            <w:webHidden/>
          </w:rPr>
          <w:fldChar w:fldCharType="end"/>
        </w:r>
      </w:hyperlink>
    </w:p>
    <w:p w14:paraId="43E8BF3A" w14:textId="2D53056C"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80" w:history="1">
        <w:r w:rsidR="00D80FBD" w:rsidRPr="00D80FBD">
          <w:rPr>
            <w:rStyle w:val="Hipercze"/>
            <w:rFonts w:eastAsiaTheme="minorHAnsi"/>
          </w:rPr>
          <w:t>6.1. Ogólna informacja o przeprowadzonych kontrolach</w:t>
        </w:r>
        <w:r w:rsidR="00D80FBD" w:rsidRPr="00D80FBD">
          <w:rPr>
            <w:rStyle w:val="Hipercze"/>
          </w:rPr>
          <w:t xml:space="preserve"> w tym ich liczba i porównanie </w:t>
        </w:r>
        <w:r w:rsidR="00D80FBD">
          <w:rPr>
            <w:rStyle w:val="Hipercze"/>
          </w:rPr>
          <w:br/>
        </w:r>
        <w:r w:rsidR="00D80FBD" w:rsidRPr="00D80FBD">
          <w:rPr>
            <w:rStyle w:val="Hipercze"/>
          </w:rPr>
          <w:t>z danymi z roku 2021</w:t>
        </w:r>
        <w:r w:rsidR="00D80FBD" w:rsidRPr="00D80FBD">
          <w:rPr>
            <w:webHidden/>
          </w:rPr>
          <w:tab/>
        </w:r>
        <w:r w:rsidR="00D80FBD" w:rsidRPr="00D80FBD">
          <w:rPr>
            <w:webHidden/>
          </w:rPr>
          <w:fldChar w:fldCharType="begin"/>
        </w:r>
        <w:r w:rsidR="00D80FBD" w:rsidRPr="00D80FBD">
          <w:rPr>
            <w:webHidden/>
          </w:rPr>
          <w:instrText xml:space="preserve"> PAGEREF _Toc135935680 \h </w:instrText>
        </w:r>
        <w:r w:rsidR="00D80FBD" w:rsidRPr="00D80FBD">
          <w:rPr>
            <w:webHidden/>
          </w:rPr>
        </w:r>
        <w:r w:rsidR="00D80FBD" w:rsidRPr="00D80FBD">
          <w:rPr>
            <w:webHidden/>
          </w:rPr>
          <w:fldChar w:fldCharType="separate"/>
        </w:r>
        <w:r w:rsidR="00D61CF7">
          <w:rPr>
            <w:webHidden/>
          </w:rPr>
          <w:t>206</w:t>
        </w:r>
        <w:r w:rsidR="00D80FBD" w:rsidRPr="00D80FBD">
          <w:rPr>
            <w:webHidden/>
          </w:rPr>
          <w:fldChar w:fldCharType="end"/>
        </w:r>
      </w:hyperlink>
    </w:p>
    <w:p w14:paraId="52FCECEF" w14:textId="605BD65D"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81" w:history="1">
        <w:r w:rsidR="00D80FBD" w:rsidRPr="00D80FBD">
          <w:rPr>
            <w:rStyle w:val="Hipercze"/>
          </w:rPr>
          <w:t>6.2.</w:t>
        </w:r>
        <w:r w:rsidR="00D80FBD" w:rsidRPr="00D80FBD">
          <w:rPr>
            <w:rFonts w:asciiTheme="minorHAnsi" w:eastAsiaTheme="minorEastAsia" w:hAnsiTheme="minorHAnsi" w:cstheme="minorBidi"/>
            <w:bCs w:val="0"/>
            <w:sz w:val="22"/>
            <w:szCs w:val="22"/>
            <w:lang w:val="pl-PL" w:eastAsia="pl-PL"/>
          </w:rPr>
          <w:tab/>
        </w:r>
        <w:r w:rsidR="00D80FBD" w:rsidRPr="00D80FBD">
          <w:rPr>
            <w:rStyle w:val="Hipercze"/>
          </w:rPr>
          <w:t>Charakterystyka naruszeń stwierdzonych podczas kontroli</w:t>
        </w:r>
        <w:r w:rsidR="00D80FBD" w:rsidRPr="00D80FBD">
          <w:rPr>
            <w:webHidden/>
          </w:rPr>
          <w:tab/>
        </w:r>
        <w:r w:rsidR="00D80FBD" w:rsidRPr="00D80FBD">
          <w:rPr>
            <w:webHidden/>
          </w:rPr>
          <w:fldChar w:fldCharType="begin"/>
        </w:r>
        <w:r w:rsidR="00D80FBD" w:rsidRPr="00D80FBD">
          <w:rPr>
            <w:webHidden/>
          </w:rPr>
          <w:instrText xml:space="preserve"> PAGEREF _Toc135935681 \h </w:instrText>
        </w:r>
        <w:r w:rsidR="00D80FBD" w:rsidRPr="00D80FBD">
          <w:rPr>
            <w:webHidden/>
          </w:rPr>
        </w:r>
        <w:r w:rsidR="00D80FBD" w:rsidRPr="00D80FBD">
          <w:rPr>
            <w:webHidden/>
          </w:rPr>
          <w:fldChar w:fldCharType="separate"/>
        </w:r>
        <w:r w:rsidR="00D61CF7">
          <w:rPr>
            <w:webHidden/>
          </w:rPr>
          <w:t>209</w:t>
        </w:r>
        <w:r w:rsidR="00D80FBD" w:rsidRPr="00D80FBD">
          <w:rPr>
            <w:webHidden/>
          </w:rPr>
          <w:fldChar w:fldCharType="end"/>
        </w:r>
      </w:hyperlink>
    </w:p>
    <w:p w14:paraId="4C1A76FF" w14:textId="11975FB5"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82" w:history="1">
        <w:r w:rsidR="00D80FBD" w:rsidRPr="00D80FBD">
          <w:rPr>
            <w:rStyle w:val="Hipercze"/>
          </w:rPr>
          <w:t>6.3.</w:t>
        </w:r>
        <w:r w:rsidR="00D80FBD" w:rsidRPr="00D80FBD">
          <w:rPr>
            <w:rFonts w:asciiTheme="minorHAnsi" w:eastAsiaTheme="minorEastAsia" w:hAnsiTheme="minorHAnsi" w:cstheme="minorBidi"/>
            <w:bCs w:val="0"/>
            <w:sz w:val="22"/>
            <w:szCs w:val="22"/>
            <w:lang w:val="pl-PL" w:eastAsia="pl-PL"/>
          </w:rPr>
          <w:tab/>
        </w:r>
        <w:r w:rsidR="00D80FBD" w:rsidRPr="00D80FBD">
          <w:rPr>
            <w:rStyle w:val="Hipercze"/>
            <w:lang w:val="pl-PL"/>
          </w:rPr>
          <w:t>L</w:t>
        </w:r>
        <w:r w:rsidR="00D80FBD" w:rsidRPr="00D80FBD">
          <w:rPr>
            <w:rStyle w:val="Hipercze"/>
          </w:rPr>
          <w:t>iczba i opis podjętych działań pokontrolnych, krótka charakterystyka działań pokontrolnych</w:t>
        </w:r>
        <w:r w:rsidR="00D80FBD" w:rsidRPr="00D80FBD">
          <w:rPr>
            <w:webHidden/>
          </w:rPr>
          <w:tab/>
        </w:r>
        <w:r w:rsidR="00D80FBD" w:rsidRPr="00D80FBD">
          <w:rPr>
            <w:webHidden/>
          </w:rPr>
          <w:fldChar w:fldCharType="begin"/>
        </w:r>
        <w:r w:rsidR="00D80FBD" w:rsidRPr="00D80FBD">
          <w:rPr>
            <w:webHidden/>
          </w:rPr>
          <w:instrText xml:space="preserve"> PAGEREF _Toc135935682 \h </w:instrText>
        </w:r>
        <w:r w:rsidR="00D80FBD" w:rsidRPr="00D80FBD">
          <w:rPr>
            <w:webHidden/>
          </w:rPr>
        </w:r>
        <w:r w:rsidR="00D80FBD" w:rsidRPr="00D80FBD">
          <w:rPr>
            <w:webHidden/>
          </w:rPr>
          <w:fldChar w:fldCharType="separate"/>
        </w:r>
        <w:r w:rsidR="00D61CF7">
          <w:rPr>
            <w:webHidden/>
          </w:rPr>
          <w:t>215</w:t>
        </w:r>
        <w:r w:rsidR="00D80FBD" w:rsidRPr="00D80FBD">
          <w:rPr>
            <w:webHidden/>
          </w:rPr>
          <w:fldChar w:fldCharType="end"/>
        </w:r>
      </w:hyperlink>
    </w:p>
    <w:p w14:paraId="2E53FD3D" w14:textId="5529581A"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83" w:history="1">
        <w:r w:rsidR="00D80FBD" w:rsidRPr="00D80FBD">
          <w:rPr>
            <w:rStyle w:val="Hipercze"/>
            <w:lang w:eastAsia="en-US"/>
          </w:rPr>
          <w:t>6.4.</w:t>
        </w:r>
        <w:r w:rsidR="00D80FBD" w:rsidRPr="00D80FBD">
          <w:rPr>
            <w:rFonts w:asciiTheme="minorHAnsi" w:eastAsiaTheme="minorEastAsia" w:hAnsiTheme="minorHAnsi" w:cstheme="minorBidi"/>
            <w:bCs w:val="0"/>
            <w:sz w:val="22"/>
            <w:szCs w:val="22"/>
            <w:lang w:val="pl-PL" w:eastAsia="pl-PL"/>
          </w:rPr>
          <w:tab/>
        </w:r>
        <w:r w:rsidR="00D80FBD" w:rsidRPr="00D80FBD">
          <w:rPr>
            <w:rStyle w:val="Hipercze"/>
          </w:rPr>
          <w:t>Szczegółowe omówienie wybranych przykładów kontroli</w:t>
        </w:r>
        <w:r w:rsidR="00D80FBD" w:rsidRPr="00D80FBD">
          <w:rPr>
            <w:webHidden/>
          </w:rPr>
          <w:tab/>
        </w:r>
        <w:r w:rsidR="00D80FBD" w:rsidRPr="00D80FBD">
          <w:rPr>
            <w:webHidden/>
          </w:rPr>
          <w:fldChar w:fldCharType="begin"/>
        </w:r>
        <w:r w:rsidR="00D80FBD" w:rsidRPr="00D80FBD">
          <w:rPr>
            <w:webHidden/>
          </w:rPr>
          <w:instrText xml:space="preserve"> PAGEREF _Toc135935683 \h </w:instrText>
        </w:r>
        <w:r w:rsidR="00D80FBD" w:rsidRPr="00D80FBD">
          <w:rPr>
            <w:webHidden/>
          </w:rPr>
        </w:r>
        <w:r w:rsidR="00D80FBD" w:rsidRPr="00D80FBD">
          <w:rPr>
            <w:webHidden/>
          </w:rPr>
          <w:fldChar w:fldCharType="separate"/>
        </w:r>
        <w:r w:rsidR="00D61CF7">
          <w:rPr>
            <w:webHidden/>
          </w:rPr>
          <w:t>222</w:t>
        </w:r>
        <w:r w:rsidR="00D80FBD" w:rsidRPr="00D80FBD">
          <w:rPr>
            <w:webHidden/>
          </w:rPr>
          <w:fldChar w:fldCharType="end"/>
        </w:r>
      </w:hyperlink>
    </w:p>
    <w:p w14:paraId="6726D683" w14:textId="7B031A03"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84" w:history="1">
        <w:r w:rsidR="00D80FBD" w:rsidRPr="00D80FBD">
          <w:rPr>
            <w:rStyle w:val="Hipercze"/>
            <w:rFonts w:eastAsia="Calibri"/>
            <w:iCs/>
            <w:lang w:eastAsia="pl-PL"/>
          </w:rPr>
          <w:t xml:space="preserve">7. Zrealizowane zadania prewencyjne oraz współpraca z innymi służbami i organami  </w:t>
        </w:r>
        <w:r w:rsidR="00D80FBD">
          <w:rPr>
            <w:rStyle w:val="Hipercze"/>
            <w:rFonts w:eastAsia="Calibri"/>
            <w:iCs/>
            <w:lang w:eastAsia="pl-PL"/>
          </w:rPr>
          <w:br/>
        </w:r>
        <w:r w:rsidR="00D80FBD" w:rsidRPr="00D80FBD">
          <w:rPr>
            <w:rStyle w:val="Hipercze"/>
            <w:rFonts w:eastAsia="Calibri"/>
            <w:iCs/>
            <w:lang w:eastAsia="pl-PL"/>
          </w:rPr>
          <w:t>w zakresie zwalczania przestępczości środowiskowej</w:t>
        </w:r>
        <w:r w:rsidR="00D80FBD" w:rsidRPr="00D80FBD">
          <w:rPr>
            <w:webHidden/>
          </w:rPr>
          <w:tab/>
        </w:r>
        <w:r w:rsidR="00D80FBD" w:rsidRPr="00D80FBD">
          <w:rPr>
            <w:webHidden/>
          </w:rPr>
          <w:fldChar w:fldCharType="begin"/>
        </w:r>
        <w:r w:rsidR="00D80FBD" w:rsidRPr="00D80FBD">
          <w:rPr>
            <w:webHidden/>
          </w:rPr>
          <w:instrText xml:space="preserve"> PAGEREF _Toc135935684 \h </w:instrText>
        </w:r>
        <w:r w:rsidR="00D80FBD" w:rsidRPr="00D80FBD">
          <w:rPr>
            <w:webHidden/>
          </w:rPr>
        </w:r>
        <w:r w:rsidR="00D80FBD" w:rsidRPr="00D80FBD">
          <w:rPr>
            <w:webHidden/>
          </w:rPr>
          <w:fldChar w:fldCharType="separate"/>
        </w:r>
        <w:r w:rsidR="00D61CF7">
          <w:rPr>
            <w:webHidden/>
          </w:rPr>
          <w:t>241</w:t>
        </w:r>
        <w:r w:rsidR="00D80FBD" w:rsidRPr="00D80FBD">
          <w:rPr>
            <w:webHidden/>
          </w:rPr>
          <w:fldChar w:fldCharType="end"/>
        </w:r>
      </w:hyperlink>
    </w:p>
    <w:p w14:paraId="5800591F" w14:textId="325B0F41"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85" w:history="1">
        <w:r w:rsidR="00D80FBD" w:rsidRPr="00D80FBD">
          <w:rPr>
            <w:rStyle w:val="Hipercze"/>
          </w:rPr>
          <w:t>7.1.</w:t>
        </w:r>
        <w:r w:rsidR="00D80FBD" w:rsidRPr="00D80FBD">
          <w:rPr>
            <w:rFonts w:asciiTheme="minorHAnsi" w:eastAsiaTheme="minorEastAsia" w:hAnsiTheme="minorHAnsi" w:cstheme="minorBidi"/>
            <w:bCs w:val="0"/>
            <w:sz w:val="22"/>
            <w:szCs w:val="22"/>
            <w:lang w:val="pl-PL" w:eastAsia="pl-PL"/>
          </w:rPr>
          <w:tab/>
        </w:r>
        <w:r w:rsidR="00D80FBD" w:rsidRPr="00D80FBD">
          <w:rPr>
            <w:rStyle w:val="Hipercze"/>
          </w:rPr>
          <w:t>Wskazanie ilościowe i omówienie zrealizowanych zadań prewencyjnych, ze szczególnym uwzględnieniem kontroli transportów odpadów</w:t>
        </w:r>
        <w:r w:rsidR="00D80FBD" w:rsidRPr="00D80FBD">
          <w:rPr>
            <w:webHidden/>
          </w:rPr>
          <w:tab/>
        </w:r>
        <w:r w:rsidR="00D80FBD" w:rsidRPr="00D80FBD">
          <w:rPr>
            <w:webHidden/>
          </w:rPr>
          <w:fldChar w:fldCharType="begin"/>
        </w:r>
        <w:r w:rsidR="00D80FBD" w:rsidRPr="00D80FBD">
          <w:rPr>
            <w:webHidden/>
          </w:rPr>
          <w:instrText xml:space="preserve"> PAGEREF _Toc135935685 \h </w:instrText>
        </w:r>
        <w:r w:rsidR="00D80FBD" w:rsidRPr="00D80FBD">
          <w:rPr>
            <w:webHidden/>
          </w:rPr>
        </w:r>
        <w:r w:rsidR="00D80FBD" w:rsidRPr="00D80FBD">
          <w:rPr>
            <w:webHidden/>
          </w:rPr>
          <w:fldChar w:fldCharType="separate"/>
        </w:r>
        <w:r w:rsidR="00D61CF7">
          <w:rPr>
            <w:webHidden/>
          </w:rPr>
          <w:t>241</w:t>
        </w:r>
        <w:r w:rsidR="00D80FBD" w:rsidRPr="00D80FBD">
          <w:rPr>
            <w:webHidden/>
          </w:rPr>
          <w:fldChar w:fldCharType="end"/>
        </w:r>
      </w:hyperlink>
    </w:p>
    <w:p w14:paraId="2067EBEE" w14:textId="406BC008"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86" w:history="1">
        <w:r w:rsidR="00D80FBD" w:rsidRPr="00D80FBD">
          <w:rPr>
            <w:rStyle w:val="Hipercze"/>
            <w:lang w:val="pl-PL"/>
          </w:rPr>
          <w:t xml:space="preserve">7.2 </w:t>
        </w:r>
        <w:r w:rsidR="00D80FBD" w:rsidRPr="00D80FBD">
          <w:rPr>
            <w:rStyle w:val="Hipercze"/>
          </w:rPr>
          <w:t xml:space="preserve">Wskazanie ilościowe i omówienie porozumień zawartych z innymi organami  i służbami </w:t>
        </w:r>
        <w:r w:rsidR="00D80FBD">
          <w:rPr>
            <w:rStyle w:val="Hipercze"/>
          </w:rPr>
          <w:br/>
        </w:r>
        <w:r w:rsidR="00D80FBD" w:rsidRPr="00D80FBD">
          <w:rPr>
            <w:rStyle w:val="Hipercze"/>
          </w:rPr>
          <w:t>w zakresie zwalczania przestępczości środowiskowej</w:t>
        </w:r>
        <w:r w:rsidR="00D80FBD" w:rsidRPr="00D80FBD">
          <w:rPr>
            <w:webHidden/>
          </w:rPr>
          <w:tab/>
        </w:r>
        <w:r w:rsidR="00D80FBD" w:rsidRPr="00D80FBD">
          <w:rPr>
            <w:webHidden/>
          </w:rPr>
          <w:fldChar w:fldCharType="begin"/>
        </w:r>
        <w:r w:rsidR="00D80FBD" w:rsidRPr="00D80FBD">
          <w:rPr>
            <w:webHidden/>
          </w:rPr>
          <w:instrText xml:space="preserve"> PAGEREF _Toc135935686 \h </w:instrText>
        </w:r>
        <w:r w:rsidR="00D80FBD" w:rsidRPr="00D80FBD">
          <w:rPr>
            <w:webHidden/>
          </w:rPr>
        </w:r>
        <w:r w:rsidR="00D80FBD" w:rsidRPr="00D80FBD">
          <w:rPr>
            <w:webHidden/>
          </w:rPr>
          <w:fldChar w:fldCharType="separate"/>
        </w:r>
        <w:r w:rsidR="00D61CF7">
          <w:rPr>
            <w:webHidden/>
          </w:rPr>
          <w:t>248</w:t>
        </w:r>
        <w:r w:rsidR="00D80FBD" w:rsidRPr="00D80FBD">
          <w:rPr>
            <w:webHidden/>
          </w:rPr>
          <w:fldChar w:fldCharType="end"/>
        </w:r>
      </w:hyperlink>
    </w:p>
    <w:p w14:paraId="4DD2D1FE" w14:textId="63604FD8"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87" w:history="1">
        <w:r w:rsidR="00D80FBD" w:rsidRPr="00D80FBD">
          <w:rPr>
            <w:rStyle w:val="Hipercze"/>
            <w:rFonts w:eastAsia="Calibri"/>
          </w:rPr>
          <w:t>7.3. Działania i kampanie informacyjne w zakresie przeciwdziałania przestępczości środowiskowej prowadzone w 2022 r.</w:t>
        </w:r>
        <w:r w:rsidR="00D80FBD" w:rsidRPr="00D80FBD">
          <w:rPr>
            <w:webHidden/>
          </w:rPr>
          <w:tab/>
        </w:r>
        <w:r w:rsidR="00D80FBD" w:rsidRPr="00D80FBD">
          <w:rPr>
            <w:webHidden/>
          </w:rPr>
          <w:fldChar w:fldCharType="begin"/>
        </w:r>
        <w:r w:rsidR="00D80FBD" w:rsidRPr="00D80FBD">
          <w:rPr>
            <w:webHidden/>
          </w:rPr>
          <w:instrText xml:space="preserve"> PAGEREF _Toc135935687 \h </w:instrText>
        </w:r>
        <w:r w:rsidR="00D80FBD" w:rsidRPr="00D80FBD">
          <w:rPr>
            <w:webHidden/>
          </w:rPr>
        </w:r>
        <w:r w:rsidR="00D80FBD" w:rsidRPr="00D80FBD">
          <w:rPr>
            <w:webHidden/>
          </w:rPr>
          <w:fldChar w:fldCharType="separate"/>
        </w:r>
        <w:r w:rsidR="00D61CF7">
          <w:rPr>
            <w:webHidden/>
          </w:rPr>
          <w:t>251</w:t>
        </w:r>
        <w:r w:rsidR="00D80FBD" w:rsidRPr="00D80FBD">
          <w:rPr>
            <w:webHidden/>
          </w:rPr>
          <w:fldChar w:fldCharType="end"/>
        </w:r>
      </w:hyperlink>
    </w:p>
    <w:p w14:paraId="2BCED085" w14:textId="47DD3840"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88" w:history="1">
        <w:r w:rsidR="00D80FBD" w:rsidRPr="00D80FBD">
          <w:rPr>
            <w:rStyle w:val="Hipercze"/>
          </w:rPr>
          <w:t>7.4.</w:t>
        </w:r>
        <w:r w:rsidR="00D80FBD" w:rsidRPr="00D80FBD">
          <w:rPr>
            <w:rFonts w:asciiTheme="minorHAnsi" w:eastAsiaTheme="minorEastAsia" w:hAnsiTheme="minorHAnsi" w:cstheme="minorBidi"/>
            <w:bCs w:val="0"/>
            <w:sz w:val="22"/>
            <w:szCs w:val="22"/>
            <w:lang w:val="pl-PL" w:eastAsia="pl-PL"/>
          </w:rPr>
          <w:tab/>
        </w:r>
        <w:r w:rsidR="00D80FBD" w:rsidRPr="00D80FBD">
          <w:rPr>
            <w:rStyle w:val="Hipercze"/>
          </w:rPr>
          <w:t>Przeprowadzone szkolenia dla organów i służb</w:t>
        </w:r>
        <w:r w:rsidR="00D80FBD" w:rsidRPr="00D80FBD">
          <w:rPr>
            <w:webHidden/>
          </w:rPr>
          <w:tab/>
        </w:r>
        <w:r w:rsidR="00D80FBD" w:rsidRPr="00D80FBD">
          <w:rPr>
            <w:webHidden/>
          </w:rPr>
          <w:fldChar w:fldCharType="begin"/>
        </w:r>
        <w:r w:rsidR="00D80FBD" w:rsidRPr="00D80FBD">
          <w:rPr>
            <w:webHidden/>
          </w:rPr>
          <w:instrText xml:space="preserve"> PAGEREF _Toc135935688 \h </w:instrText>
        </w:r>
        <w:r w:rsidR="00D80FBD" w:rsidRPr="00D80FBD">
          <w:rPr>
            <w:webHidden/>
          </w:rPr>
        </w:r>
        <w:r w:rsidR="00D80FBD" w:rsidRPr="00D80FBD">
          <w:rPr>
            <w:webHidden/>
          </w:rPr>
          <w:fldChar w:fldCharType="separate"/>
        </w:r>
        <w:r w:rsidR="00D61CF7">
          <w:rPr>
            <w:webHidden/>
          </w:rPr>
          <w:t>257</w:t>
        </w:r>
        <w:r w:rsidR="00D80FBD" w:rsidRPr="00D80FBD">
          <w:rPr>
            <w:webHidden/>
          </w:rPr>
          <w:fldChar w:fldCharType="end"/>
        </w:r>
      </w:hyperlink>
    </w:p>
    <w:p w14:paraId="38225097" w14:textId="4EB2CCBB"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89" w:history="1">
        <w:r w:rsidR="00D80FBD" w:rsidRPr="00D80FBD">
          <w:rPr>
            <w:rStyle w:val="Hipercze"/>
          </w:rPr>
          <w:t>8.</w:t>
        </w:r>
        <w:r w:rsidR="00D80FBD" w:rsidRPr="00D80FBD">
          <w:rPr>
            <w:rFonts w:asciiTheme="minorHAnsi" w:eastAsiaTheme="minorEastAsia" w:hAnsiTheme="minorHAnsi" w:cstheme="minorBidi"/>
            <w:bCs w:val="0"/>
            <w:sz w:val="22"/>
            <w:szCs w:val="22"/>
            <w:lang w:val="pl-PL" w:eastAsia="pl-PL"/>
          </w:rPr>
          <w:tab/>
        </w:r>
        <w:r w:rsidR="00D80FBD" w:rsidRPr="00D80FBD">
          <w:rPr>
            <w:rStyle w:val="Hipercze"/>
            <w:lang w:val="pl-PL"/>
          </w:rPr>
          <w:t>Najważniejsze w 2022 r. wydarzenia i działania w zakresie zwalczania przestępczości środowiskowej – podsumowanie</w:t>
        </w:r>
        <w:r w:rsidR="00D80FBD" w:rsidRPr="00D80FBD">
          <w:rPr>
            <w:webHidden/>
          </w:rPr>
          <w:tab/>
        </w:r>
        <w:r w:rsidR="00D80FBD" w:rsidRPr="00D80FBD">
          <w:rPr>
            <w:webHidden/>
          </w:rPr>
          <w:fldChar w:fldCharType="begin"/>
        </w:r>
        <w:r w:rsidR="00D80FBD" w:rsidRPr="00D80FBD">
          <w:rPr>
            <w:webHidden/>
          </w:rPr>
          <w:instrText xml:space="preserve"> PAGEREF _Toc135935689 \h </w:instrText>
        </w:r>
        <w:r w:rsidR="00D80FBD" w:rsidRPr="00D80FBD">
          <w:rPr>
            <w:webHidden/>
          </w:rPr>
        </w:r>
        <w:r w:rsidR="00D80FBD" w:rsidRPr="00D80FBD">
          <w:rPr>
            <w:webHidden/>
          </w:rPr>
          <w:fldChar w:fldCharType="separate"/>
        </w:r>
        <w:r w:rsidR="00D61CF7">
          <w:rPr>
            <w:webHidden/>
          </w:rPr>
          <w:t>259</w:t>
        </w:r>
        <w:r w:rsidR="00D80FBD" w:rsidRPr="00D80FBD">
          <w:rPr>
            <w:webHidden/>
          </w:rPr>
          <w:fldChar w:fldCharType="end"/>
        </w:r>
      </w:hyperlink>
    </w:p>
    <w:p w14:paraId="177A7545" w14:textId="0B07367E"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90" w:history="1">
        <w:r w:rsidR="00D80FBD" w:rsidRPr="00D80FBD">
          <w:rPr>
            <w:rStyle w:val="Hipercze"/>
          </w:rPr>
          <w:t>V. MONITORING ŚRODOWISKA</w:t>
        </w:r>
        <w:r w:rsidR="00D80FBD" w:rsidRPr="00D80FBD">
          <w:rPr>
            <w:webHidden/>
          </w:rPr>
          <w:tab/>
        </w:r>
        <w:r w:rsidR="00D80FBD" w:rsidRPr="00D80FBD">
          <w:rPr>
            <w:webHidden/>
          </w:rPr>
          <w:fldChar w:fldCharType="begin"/>
        </w:r>
        <w:r w:rsidR="00D80FBD" w:rsidRPr="00D80FBD">
          <w:rPr>
            <w:webHidden/>
          </w:rPr>
          <w:instrText xml:space="preserve"> PAGEREF _Toc135935690 \h </w:instrText>
        </w:r>
        <w:r w:rsidR="00D80FBD" w:rsidRPr="00D80FBD">
          <w:rPr>
            <w:webHidden/>
          </w:rPr>
        </w:r>
        <w:r w:rsidR="00D80FBD" w:rsidRPr="00D80FBD">
          <w:rPr>
            <w:webHidden/>
          </w:rPr>
          <w:fldChar w:fldCharType="separate"/>
        </w:r>
        <w:r w:rsidR="00D61CF7">
          <w:rPr>
            <w:webHidden/>
          </w:rPr>
          <w:t>261</w:t>
        </w:r>
        <w:r w:rsidR="00D80FBD" w:rsidRPr="00D80FBD">
          <w:rPr>
            <w:webHidden/>
          </w:rPr>
          <w:fldChar w:fldCharType="end"/>
        </w:r>
      </w:hyperlink>
    </w:p>
    <w:p w14:paraId="4FF18553" w14:textId="69046923"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91" w:history="1">
        <w:r w:rsidR="00D80FBD" w:rsidRPr="00D80FBD">
          <w:rPr>
            <w:rStyle w:val="Hipercze"/>
          </w:rPr>
          <w:t>1.</w:t>
        </w:r>
        <w:r w:rsidR="00D80FBD" w:rsidRPr="00D80FBD">
          <w:rPr>
            <w:rFonts w:asciiTheme="minorHAnsi" w:eastAsiaTheme="minorEastAsia" w:hAnsiTheme="minorHAnsi" w:cstheme="minorBidi"/>
            <w:bCs w:val="0"/>
            <w:sz w:val="22"/>
            <w:szCs w:val="22"/>
            <w:lang w:val="pl-PL" w:eastAsia="pl-PL"/>
          </w:rPr>
          <w:tab/>
        </w:r>
        <w:r w:rsidR="00D80FBD" w:rsidRPr="00D80FBD">
          <w:rPr>
            <w:rStyle w:val="Hipercze"/>
          </w:rPr>
          <w:t>Charakterystyka zadań Państwowego Monitoringu Środowiska</w:t>
        </w:r>
        <w:r w:rsidR="00D80FBD" w:rsidRPr="00D80FBD">
          <w:rPr>
            <w:webHidden/>
          </w:rPr>
          <w:tab/>
        </w:r>
        <w:r w:rsidR="00D80FBD" w:rsidRPr="00D80FBD">
          <w:rPr>
            <w:webHidden/>
          </w:rPr>
          <w:fldChar w:fldCharType="begin"/>
        </w:r>
        <w:r w:rsidR="00D80FBD" w:rsidRPr="00D80FBD">
          <w:rPr>
            <w:webHidden/>
          </w:rPr>
          <w:instrText xml:space="preserve"> PAGEREF _Toc135935691 \h </w:instrText>
        </w:r>
        <w:r w:rsidR="00D80FBD" w:rsidRPr="00D80FBD">
          <w:rPr>
            <w:webHidden/>
          </w:rPr>
        </w:r>
        <w:r w:rsidR="00D80FBD" w:rsidRPr="00D80FBD">
          <w:rPr>
            <w:webHidden/>
          </w:rPr>
          <w:fldChar w:fldCharType="separate"/>
        </w:r>
        <w:r w:rsidR="00D61CF7">
          <w:rPr>
            <w:webHidden/>
          </w:rPr>
          <w:t>261</w:t>
        </w:r>
        <w:r w:rsidR="00D80FBD" w:rsidRPr="00D80FBD">
          <w:rPr>
            <w:webHidden/>
          </w:rPr>
          <w:fldChar w:fldCharType="end"/>
        </w:r>
      </w:hyperlink>
    </w:p>
    <w:p w14:paraId="7F948FE6" w14:textId="32A12450"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92" w:history="1">
        <w:r w:rsidR="00D80FBD" w:rsidRPr="00D80FBD">
          <w:rPr>
            <w:rStyle w:val="Hipercze"/>
          </w:rPr>
          <w:t>2. Monitoring jakości powietrza</w:t>
        </w:r>
        <w:r w:rsidR="00D80FBD" w:rsidRPr="00D80FBD">
          <w:rPr>
            <w:webHidden/>
          </w:rPr>
          <w:tab/>
        </w:r>
        <w:r w:rsidR="00D80FBD" w:rsidRPr="00D80FBD">
          <w:rPr>
            <w:webHidden/>
          </w:rPr>
          <w:fldChar w:fldCharType="begin"/>
        </w:r>
        <w:r w:rsidR="00D80FBD" w:rsidRPr="00D80FBD">
          <w:rPr>
            <w:webHidden/>
          </w:rPr>
          <w:instrText xml:space="preserve"> PAGEREF _Toc135935692 \h </w:instrText>
        </w:r>
        <w:r w:rsidR="00D80FBD" w:rsidRPr="00D80FBD">
          <w:rPr>
            <w:webHidden/>
          </w:rPr>
        </w:r>
        <w:r w:rsidR="00D80FBD" w:rsidRPr="00D80FBD">
          <w:rPr>
            <w:webHidden/>
          </w:rPr>
          <w:fldChar w:fldCharType="separate"/>
        </w:r>
        <w:r w:rsidR="00D61CF7">
          <w:rPr>
            <w:webHidden/>
          </w:rPr>
          <w:t>261</w:t>
        </w:r>
        <w:r w:rsidR="00D80FBD" w:rsidRPr="00D80FBD">
          <w:rPr>
            <w:webHidden/>
          </w:rPr>
          <w:fldChar w:fldCharType="end"/>
        </w:r>
      </w:hyperlink>
    </w:p>
    <w:p w14:paraId="01616717" w14:textId="34637080"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93" w:history="1">
        <w:r w:rsidR="00D80FBD" w:rsidRPr="00D80FBD">
          <w:rPr>
            <w:rStyle w:val="Hipercze"/>
          </w:rPr>
          <w:t>2.1 Badania i ocena jakości powietrza</w:t>
        </w:r>
        <w:r w:rsidR="00D80FBD" w:rsidRPr="00D80FBD">
          <w:rPr>
            <w:webHidden/>
          </w:rPr>
          <w:tab/>
        </w:r>
        <w:r w:rsidR="00D80FBD" w:rsidRPr="00D80FBD">
          <w:rPr>
            <w:webHidden/>
          </w:rPr>
          <w:fldChar w:fldCharType="begin"/>
        </w:r>
        <w:r w:rsidR="00D80FBD" w:rsidRPr="00D80FBD">
          <w:rPr>
            <w:webHidden/>
          </w:rPr>
          <w:instrText xml:space="preserve"> PAGEREF _Toc135935693 \h </w:instrText>
        </w:r>
        <w:r w:rsidR="00D80FBD" w:rsidRPr="00D80FBD">
          <w:rPr>
            <w:webHidden/>
          </w:rPr>
        </w:r>
        <w:r w:rsidR="00D80FBD" w:rsidRPr="00D80FBD">
          <w:rPr>
            <w:webHidden/>
          </w:rPr>
          <w:fldChar w:fldCharType="separate"/>
        </w:r>
        <w:r w:rsidR="00D61CF7">
          <w:rPr>
            <w:webHidden/>
          </w:rPr>
          <w:t>261</w:t>
        </w:r>
        <w:r w:rsidR="00D80FBD" w:rsidRPr="00D80FBD">
          <w:rPr>
            <w:webHidden/>
          </w:rPr>
          <w:fldChar w:fldCharType="end"/>
        </w:r>
      </w:hyperlink>
    </w:p>
    <w:p w14:paraId="10BC8CA3" w14:textId="50C14985"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94" w:history="1">
        <w:r w:rsidR="00D80FBD" w:rsidRPr="00D80FBD">
          <w:rPr>
            <w:rStyle w:val="Hipercze"/>
          </w:rPr>
          <w:t>2.2 Wykorzystanie metod modelowania matematycznego w ocenach i prognozach jakości powietrza</w:t>
        </w:r>
        <w:r w:rsidR="00D80FBD" w:rsidRPr="00D80FBD">
          <w:rPr>
            <w:webHidden/>
          </w:rPr>
          <w:tab/>
        </w:r>
        <w:r w:rsidR="00D80FBD" w:rsidRPr="00D80FBD">
          <w:rPr>
            <w:webHidden/>
          </w:rPr>
          <w:fldChar w:fldCharType="begin"/>
        </w:r>
        <w:r w:rsidR="00D80FBD" w:rsidRPr="00D80FBD">
          <w:rPr>
            <w:webHidden/>
          </w:rPr>
          <w:instrText xml:space="preserve"> PAGEREF _Toc135935694 \h </w:instrText>
        </w:r>
        <w:r w:rsidR="00D80FBD" w:rsidRPr="00D80FBD">
          <w:rPr>
            <w:webHidden/>
          </w:rPr>
        </w:r>
        <w:r w:rsidR="00D80FBD" w:rsidRPr="00D80FBD">
          <w:rPr>
            <w:webHidden/>
          </w:rPr>
          <w:fldChar w:fldCharType="separate"/>
        </w:r>
        <w:r w:rsidR="00D61CF7">
          <w:rPr>
            <w:webHidden/>
          </w:rPr>
          <w:t>267</w:t>
        </w:r>
        <w:r w:rsidR="00D80FBD" w:rsidRPr="00D80FBD">
          <w:rPr>
            <w:webHidden/>
          </w:rPr>
          <w:fldChar w:fldCharType="end"/>
        </w:r>
      </w:hyperlink>
    </w:p>
    <w:p w14:paraId="2C6C144C" w14:textId="67FEEA6C"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95" w:history="1">
        <w:r w:rsidR="00D80FBD" w:rsidRPr="00D80FBD">
          <w:rPr>
            <w:rStyle w:val="Hipercze"/>
          </w:rPr>
          <w:t>2.2.1 Modelowanie na potrzeby rocznych ocen jakości powietrza i wyznaczenia reprezentatywności stanowisk pomiarowych</w:t>
        </w:r>
        <w:r w:rsidR="00D80FBD" w:rsidRPr="00D80FBD">
          <w:rPr>
            <w:webHidden/>
          </w:rPr>
          <w:tab/>
        </w:r>
        <w:r w:rsidR="00D80FBD" w:rsidRPr="00D80FBD">
          <w:rPr>
            <w:webHidden/>
          </w:rPr>
          <w:fldChar w:fldCharType="begin"/>
        </w:r>
        <w:r w:rsidR="00D80FBD" w:rsidRPr="00D80FBD">
          <w:rPr>
            <w:webHidden/>
          </w:rPr>
          <w:instrText xml:space="preserve"> PAGEREF _Toc135935695 \h </w:instrText>
        </w:r>
        <w:r w:rsidR="00D80FBD" w:rsidRPr="00D80FBD">
          <w:rPr>
            <w:webHidden/>
          </w:rPr>
        </w:r>
        <w:r w:rsidR="00D80FBD" w:rsidRPr="00D80FBD">
          <w:rPr>
            <w:webHidden/>
          </w:rPr>
          <w:fldChar w:fldCharType="separate"/>
        </w:r>
        <w:r w:rsidR="00D61CF7">
          <w:rPr>
            <w:webHidden/>
          </w:rPr>
          <w:t>267</w:t>
        </w:r>
        <w:r w:rsidR="00D80FBD" w:rsidRPr="00D80FBD">
          <w:rPr>
            <w:webHidden/>
          </w:rPr>
          <w:fldChar w:fldCharType="end"/>
        </w:r>
      </w:hyperlink>
    </w:p>
    <w:p w14:paraId="495366BC" w14:textId="36468DA4"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96" w:history="1">
        <w:r w:rsidR="00D80FBD" w:rsidRPr="00D80FBD">
          <w:rPr>
            <w:rStyle w:val="Hipercze"/>
          </w:rPr>
          <w:t>2.2.2 Modelowanie na potrzeby prognoz krótkoterminowych</w:t>
        </w:r>
        <w:r w:rsidR="00D80FBD" w:rsidRPr="00D80FBD">
          <w:rPr>
            <w:webHidden/>
          </w:rPr>
          <w:tab/>
        </w:r>
        <w:r w:rsidR="00D80FBD" w:rsidRPr="00D80FBD">
          <w:rPr>
            <w:webHidden/>
          </w:rPr>
          <w:fldChar w:fldCharType="begin"/>
        </w:r>
        <w:r w:rsidR="00D80FBD" w:rsidRPr="00D80FBD">
          <w:rPr>
            <w:webHidden/>
          </w:rPr>
          <w:instrText xml:space="preserve"> PAGEREF _Toc135935696 \h </w:instrText>
        </w:r>
        <w:r w:rsidR="00D80FBD" w:rsidRPr="00D80FBD">
          <w:rPr>
            <w:webHidden/>
          </w:rPr>
        </w:r>
        <w:r w:rsidR="00D80FBD" w:rsidRPr="00D80FBD">
          <w:rPr>
            <w:webHidden/>
          </w:rPr>
          <w:fldChar w:fldCharType="separate"/>
        </w:r>
        <w:r w:rsidR="00D61CF7">
          <w:rPr>
            <w:webHidden/>
          </w:rPr>
          <w:t>269</w:t>
        </w:r>
        <w:r w:rsidR="00D80FBD" w:rsidRPr="00D80FBD">
          <w:rPr>
            <w:webHidden/>
          </w:rPr>
          <w:fldChar w:fldCharType="end"/>
        </w:r>
      </w:hyperlink>
    </w:p>
    <w:p w14:paraId="1F99288E" w14:textId="6B24F6C4"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97" w:history="1">
        <w:r w:rsidR="00D80FBD" w:rsidRPr="00D80FBD">
          <w:rPr>
            <w:rStyle w:val="Hipercze"/>
          </w:rPr>
          <w:t xml:space="preserve">2.3 </w:t>
        </w:r>
        <w:r w:rsidR="00D80FBD" w:rsidRPr="00D80FBD">
          <w:rPr>
            <w:rStyle w:val="Hipercze"/>
            <w:lang w:eastAsia="pl-PL"/>
          </w:rPr>
          <w:t>Informowanie o ryzyku wystąpienia przekroczenia lub wystąpieniu przekroczenia poziomu informowania, poziomu alarmowego, poziomu dopuszczalnego i poziomu docelowego substancji w powietrzu</w:t>
        </w:r>
        <w:r w:rsidR="00D80FBD" w:rsidRPr="00D80FBD">
          <w:rPr>
            <w:webHidden/>
          </w:rPr>
          <w:tab/>
        </w:r>
        <w:r w:rsidR="00D80FBD" w:rsidRPr="00D80FBD">
          <w:rPr>
            <w:webHidden/>
          </w:rPr>
          <w:fldChar w:fldCharType="begin"/>
        </w:r>
        <w:r w:rsidR="00D80FBD" w:rsidRPr="00D80FBD">
          <w:rPr>
            <w:webHidden/>
          </w:rPr>
          <w:instrText xml:space="preserve"> PAGEREF _Toc135935697 \h </w:instrText>
        </w:r>
        <w:r w:rsidR="00D80FBD" w:rsidRPr="00D80FBD">
          <w:rPr>
            <w:webHidden/>
          </w:rPr>
        </w:r>
        <w:r w:rsidR="00D80FBD" w:rsidRPr="00D80FBD">
          <w:rPr>
            <w:webHidden/>
          </w:rPr>
          <w:fldChar w:fldCharType="separate"/>
        </w:r>
        <w:r w:rsidR="00D61CF7">
          <w:rPr>
            <w:webHidden/>
          </w:rPr>
          <w:t>269</w:t>
        </w:r>
        <w:r w:rsidR="00D80FBD" w:rsidRPr="00D80FBD">
          <w:rPr>
            <w:webHidden/>
          </w:rPr>
          <w:fldChar w:fldCharType="end"/>
        </w:r>
      </w:hyperlink>
    </w:p>
    <w:p w14:paraId="51B5A11B" w14:textId="361E9D76"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98" w:history="1">
        <w:r w:rsidR="00D80FBD" w:rsidRPr="00D80FBD">
          <w:rPr>
            <w:rStyle w:val="Hipercze"/>
          </w:rPr>
          <w:t xml:space="preserve">2.4 </w:t>
        </w:r>
        <w:r w:rsidR="00D80FBD" w:rsidRPr="00D80FBD">
          <w:rPr>
            <w:rStyle w:val="Hipercze"/>
            <w:lang w:eastAsia="pl-PL"/>
          </w:rPr>
          <w:t>Określanie tła substancji w powietrzu</w:t>
        </w:r>
        <w:r w:rsidR="00D80FBD" w:rsidRPr="00D80FBD">
          <w:rPr>
            <w:webHidden/>
          </w:rPr>
          <w:tab/>
        </w:r>
        <w:r w:rsidR="00D80FBD" w:rsidRPr="00D80FBD">
          <w:rPr>
            <w:webHidden/>
          </w:rPr>
          <w:fldChar w:fldCharType="begin"/>
        </w:r>
        <w:r w:rsidR="00D80FBD" w:rsidRPr="00D80FBD">
          <w:rPr>
            <w:webHidden/>
          </w:rPr>
          <w:instrText xml:space="preserve"> PAGEREF _Toc135935698 \h </w:instrText>
        </w:r>
        <w:r w:rsidR="00D80FBD" w:rsidRPr="00D80FBD">
          <w:rPr>
            <w:webHidden/>
          </w:rPr>
        </w:r>
        <w:r w:rsidR="00D80FBD" w:rsidRPr="00D80FBD">
          <w:rPr>
            <w:webHidden/>
          </w:rPr>
          <w:fldChar w:fldCharType="separate"/>
        </w:r>
        <w:r w:rsidR="00D61CF7">
          <w:rPr>
            <w:webHidden/>
          </w:rPr>
          <w:t>270</w:t>
        </w:r>
        <w:r w:rsidR="00D80FBD" w:rsidRPr="00D80FBD">
          <w:rPr>
            <w:webHidden/>
          </w:rPr>
          <w:fldChar w:fldCharType="end"/>
        </w:r>
      </w:hyperlink>
    </w:p>
    <w:p w14:paraId="3FF27AA0" w14:textId="37E0443F"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699" w:history="1">
        <w:r w:rsidR="00D80FBD" w:rsidRPr="00D80FBD">
          <w:rPr>
            <w:rStyle w:val="Hipercze"/>
            <w:rFonts w:eastAsia="Calibri"/>
            <w:lang w:eastAsia="pl-PL"/>
          </w:rPr>
          <w:t>2.5 Pomiary stanu zanieczyszczenia powietrza pyłem zawieszonym PM2,5 dla potrzeb monitorowania procesu osiągania krajowego celu redukcji narażenia</w:t>
        </w:r>
        <w:r w:rsidR="00D80FBD" w:rsidRPr="00D80FBD">
          <w:rPr>
            <w:webHidden/>
          </w:rPr>
          <w:tab/>
        </w:r>
        <w:r w:rsidR="00D80FBD" w:rsidRPr="00D80FBD">
          <w:rPr>
            <w:webHidden/>
          </w:rPr>
          <w:fldChar w:fldCharType="begin"/>
        </w:r>
        <w:r w:rsidR="00D80FBD" w:rsidRPr="00D80FBD">
          <w:rPr>
            <w:webHidden/>
          </w:rPr>
          <w:instrText xml:space="preserve"> PAGEREF _Toc135935699 \h </w:instrText>
        </w:r>
        <w:r w:rsidR="00D80FBD" w:rsidRPr="00D80FBD">
          <w:rPr>
            <w:webHidden/>
          </w:rPr>
        </w:r>
        <w:r w:rsidR="00D80FBD" w:rsidRPr="00D80FBD">
          <w:rPr>
            <w:webHidden/>
          </w:rPr>
          <w:fldChar w:fldCharType="separate"/>
        </w:r>
        <w:r w:rsidR="00D61CF7">
          <w:rPr>
            <w:webHidden/>
          </w:rPr>
          <w:t>270</w:t>
        </w:r>
        <w:r w:rsidR="00D80FBD" w:rsidRPr="00D80FBD">
          <w:rPr>
            <w:webHidden/>
          </w:rPr>
          <w:fldChar w:fldCharType="end"/>
        </w:r>
      </w:hyperlink>
    </w:p>
    <w:p w14:paraId="54572297" w14:textId="6D816302"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00" w:history="1">
        <w:r w:rsidR="00D80FBD" w:rsidRPr="00D80FBD">
          <w:rPr>
            <w:rStyle w:val="Hipercze"/>
          </w:rPr>
          <w:t>2.6 Monitoring tła regionalnego</w:t>
        </w:r>
        <w:r w:rsidR="00D80FBD" w:rsidRPr="00D80FBD">
          <w:rPr>
            <w:webHidden/>
          </w:rPr>
          <w:tab/>
        </w:r>
        <w:r w:rsidR="00D80FBD" w:rsidRPr="00D80FBD">
          <w:rPr>
            <w:webHidden/>
          </w:rPr>
          <w:fldChar w:fldCharType="begin"/>
        </w:r>
        <w:r w:rsidR="00D80FBD" w:rsidRPr="00D80FBD">
          <w:rPr>
            <w:webHidden/>
          </w:rPr>
          <w:instrText xml:space="preserve"> PAGEREF _Toc135935700 \h </w:instrText>
        </w:r>
        <w:r w:rsidR="00D80FBD" w:rsidRPr="00D80FBD">
          <w:rPr>
            <w:webHidden/>
          </w:rPr>
        </w:r>
        <w:r w:rsidR="00D80FBD" w:rsidRPr="00D80FBD">
          <w:rPr>
            <w:webHidden/>
          </w:rPr>
          <w:fldChar w:fldCharType="separate"/>
        </w:r>
        <w:r w:rsidR="00D61CF7">
          <w:rPr>
            <w:webHidden/>
          </w:rPr>
          <w:t>273</w:t>
        </w:r>
        <w:r w:rsidR="00D80FBD" w:rsidRPr="00D80FBD">
          <w:rPr>
            <w:webHidden/>
          </w:rPr>
          <w:fldChar w:fldCharType="end"/>
        </w:r>
      </w:hyperlink>
    </w:p>
    <w:p w14:paraId="2DD6EC39" w14:textId="449F02EE"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01" w:history="1">
        <w:r w:rsidR="00D80FBD" w:rsidRPr="00D80FBD">
          <w:rPr>
            <w:rStyle w:val="Hipercze"/>
            <w:rFonts w:eastAsia="Calibri"/>
            <w:lang w:eastAsia="pl-PL"/>
          </w:rPr>
          <w:t>2.7 Badania tła zanieczyszczenia atmosfery na stacjach w Łebie, Jarczewie, Puszczy Boreckiej i na Śnieżce według programów międzynarodowych</w:t>
        </w:r>
        <w:r w:rsidR="00D80FBD" w:rsidRPr="00D80FBD">
          <w:rPr>
            <w:webHidden/>
          </w:rPr>
          <w:tab/>
        </w:r>
        <w:r w:rsidR="00D80FBD" w:rsidRPr="00D80FBD">
          <w:rPr>
            <w:webHidden/>
          </w:rPr>
          <w:fldChar w:fldCharType="begin"/>
        </w:r>
        <w:r w:rsidR="00D80FBD" w:rsidRPr="00D80FBD">
          <w:rPr>
            <w:webHidden/>
          </w:rPr>
          <w:instrText xml:space="preserve"> PAGEREF _Toc135935701 \h </w:instrText>
        </w:r>
        <w:r w:rsidR="00D80FBD" w:rsidRPr="00D80FBD">
          <w:rPr>
            <w:webHidden/>
          </w:rPr>
        </w:r>
        <w:r w:rsidR="00D80FBD" w:rsidRPr="00D80FBD">
          <w:rPr>
            <w:webHidden/>
          </w:rPr>
          <w:fldChar w:fldCharType="separate"/>
        </w:r>
        <w:r w:rsidR="00D61CF7">
          <w:rPr>
            <w:webHidden/>
          </w:rPr>
          <w:t>274</w:t>
        </w:r>
        <w:r w:rsidR="00D80FBD" w:rsidRPr="00D80FBD">
          <w:rPr>
            <w:webHidden/>
          </w:rPr>
          <w:fldChar w:fldCharType="end"/>
        </w:r>
      </w:hyperlink>
    </w:p>
    <w:p w14:paraId="293119BB" w14:textId="74A56A7E"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02" w:history="1">
        <w:r w:rsidR="00D80FBD" w:rsidRPr="00D80FBD">
          <w:rPr>
            <w:rStyle w:val="Hipercze"/>
            <w:rFonts w:eastAsia="Calibri"/>
            <w:lang w:eastAsia="pl-PL"/>
          </w:rPr>
          <w:t>2.8 Badania chemizmu opadów atmosferycznych i ocena depozycji zanieczyszczeń do </w:t>
        </w:r>
        <w:r w:rsidR="00D80FBD">
          <w:rPr>
            <w:rStyle w:val="Hipercze"/>
            <w:rFonts w:eastAsia="Calibri"/>
            <w:lang w:eastAsia="pl-PL"/>
          </w:rPr>
          <w:br/>
        </w:r>
        <w:r w:rsidR="00D80FBD" w:rsidRPr="00D80FBD">
          <w:rPr>
            <w:rStyle w:val="Hipercze"/>
            <w:rFonts w:eastAsia="Calibri"/>
            <w:lang w:eastAsia="pl-PL"/>
          </w:rPr>
          <w:t>podłoża</w:t>
        </w:r>
        <w:r w:rsidR="00D80FBD" w:rsidRPr="00D80FBD">
          <w:rPr>
            <w:webHidden/>
          </w:rPr>
          <w:tab/>
        </w:r>
        <w:r w:rsidR="00D80FBD" w:rsidRPr="00D80FBD">
          <w:rPr>
            <w:webHidden/>
          </w:rPr>
          <w:fldChar w:fldCharType="begin"/>
        </w:r>
        <w:r w:rsidR="00D80FBD" w:rsidRPr="00D80FBD">
          <w:rPr>
            <w:webHidden/>
          </w:rPr>
          <w:instrText xml:space="preserve"> PAGEREF _Toc135935702 \h </w:instrText>
        </w:r>
        <w:r w:rsidR="00D80FBD" w:rsidRPr="00D80FBD">
          <w:rPr>
            <w:webHidden/>
          </w:rPr>
        </w:r>
        <w:r w:rsidR="00D80FBD" w:rsidRPr="00D80FBD">
          <w:rPr>
            <w:webHidden/>
          </w:rPr>
          <w:fldChar w:fldCharType="separate"/>
        </w:r>
        <w:r w:rsidR="00D61CF7">
          <w:rPr>
            <w:webHidden/>
          </w:rPr>
          <w:t>275</w:t>
        </w:r>
        <w:r w:rsidR="00D80FBD" w:rsidRPr="00D80FBD">
          <w:rPr>
            <w:webHidden/>
          </w:rPr>
          <w:fldChar w:fldCharType="end"/>
        </w:r>
      </w:hyperlink>
    </w:p>
    <w:p w14:paraId="5BB4D84C" w14:textId="7AEDAF65"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03" w:history="1">
        <w:r w:rsidR="00D80FBD" w:rsidRPr="00D80FBD">
          <w:rPr>
            <w:rStyle w:val="Hipercze"/>
            <w:rFonts w:eastAsia="Calibri"/>
            <w:lang w:eastAsia="pl-PL"/>
          </w:rPr>
          <w:t>2.9 Prezentowanie informacji o jakości powietrza poprzez portal jakości powietrza i aplikacje mobilne</w:t>
        </w:r>
        <w:r w:rsidR="00D80FBD" w:rsidRPr="00D80FBD">
          <w:rPr>
            <w:webHidden/>
          </w:rPr>
          <w:tab/>
        </w:r>
        <w:r w:rsidR="00D80FBD" w:rsidRPr="00D80FBD">
          <w:rPr>
            <w:webHidden/>
          </w:rPr>
          <w:fldChar w:fldCharType="begin"/>
        </w:r>
        <w:r w:rsidR="00D80FBD" w:rsidRPr="00D80FBD">
          <w:rPr>
            <w:webHidden/>
          </w:rPr>
          <w:instrText xml:space="preserve"> PAGEREF _Toc135935703 \h </w:instrText>
        </w:r>
        <w:r w:rsidR="00D80FBD" w:rsidRPr="00D80FBD">
          <w:rPr>
            <w:webHidden/>
          </w:rPr>
        </w:r>
        <w:r w:rsidR="00D80FBD" w:rsidRPr="00D80FBD">
          <w:rPr>
            <w:webHidden/>
          </w:rPr>
          <w:fldChar w:fldCharType="separate"/>
        </w:r>
        <w:r w:rsidR="00D61CF7">
          <w:rPr>
            <w:webHidden/>
          </w:rPr>
          <w:t>277</w:t>
        </w:r>
        <w:r w:rsidR="00D80FBD" w:rsidRPr="00D80FBD">
          <w:rPr>
            <w:webHidden/>
          </w:rPr>
          <w:fldChar w:fldCharType="end"/>
        </w:r>
      </w:hyperlink>
    </w:p>
    <w:p w14:paraId="43DAD2BF" w14:textId="326CF6B2"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04" w:history="1">
        <w:r w:rsidR="00D80FBD" w:rsidRPr="00D80FBD">
          <w:rPr>
            <w:rStyle w:val="Hipercze"/>
            <w:rFonts w:eastAsia="Calibri"/>
            <w:lang w:eastAsia="pl-PL"/>
          </w:rPr>
          <w:t>2.10. Badania stanu warstwy ozonowej oraz pomiary natężenia promieniowania UV-B nad Polską</w:t>
        </w:r>
        <w:r w:rsidR="00D80FBD" w:rsidRPr="00D80FBD">
          <w:rPr>
            <w:webHidden/>
          </w:rPr>
          <w:tab/>
        </w:r>
        <w:r w:rsidR="00D80FBD" w:rsidRPr="00D80FBD">
          <w:rPr>
            <w:webHidden/>
          </w:rPr>
          <w:fldChar w:fldCharType="begin"/>
        </w:r>
        <w:r w:rsidR="00D80FBD" w:rsidRPr="00D80FBD">
          <w:rPr>
            <w:webHidden/>
          </w:rPr>
          <w:instrText xml:space="preserve"> PAGEREF _Toc135935704 \h </w:instrText>
        </w:r>
        <w:r w:rsidR="00D80FBD" w:rsidRPr="00D80FBD">
          <w:rPr>
            <w:webHidden/>
          </w:rPr>
        </w:r>
        <w:r w:rsidR="00D80FBD" w:rsidRPr="00D80FBD">
          <w:rPr>
            <w:webHidden/>
          </w:rPr>
          <w:fldChar w:fldCharType="separate"/>
        </w:r>
        <w:r w:rsidR="00D61CF7">
          <w:rPr>
            <w:webHidden/>
          </w:rPr>
          <w:t>279</w:t>
        </w:r>
        <w:r w:rsidR="00D80FBD" w:rsidRPr="00D80FBD">
          <w:rPr>
            <w:webHidden/>
          </w:rPr>
          <w:fldChar w:fldCharType="end"/>
        </w:r>
      </w:hyperlink>
    </w:p>
    <w:p w14:paraId="3CD3BBE2" w14:textId="6571C9BD"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05" w:history="1">
        <w:r w:rsidR="00D80FBD" w:rsidRPr="00D80FBD">
          <w:rPr>
            <w:rStyle w:val="Hipercze"/>
          </w:rPr>
          <w:t>3. Monitoring jakości wód</w:t>
        </w:r>
        <w:r w:rsidR="00D80FBD" w:rsidRPr="00D80FBD">
          <w:rPr>
            <w:webHidden/>
          </w:rPr>
          <w:tab/>
        </w:r>
        <w:r w:rsidR="00D80FBD" w:rsidRPr="00D80FBD">
          <w:rPr>
            <w:webHidden/>
          </w:rPr>
          <w:fldChar w:fldCharType="begin"/>
        </w:r>
        <w:r w:rsidR="00D80FBD" w:rsidRPr="00D80FBD">
          <w:rPr>
            <w:webHidden/>
          </w:rPr>
          <w:instrText xml:space="preserve"> PAGEREF _Toc135935705 \h </w:instrText>
        </w:r>
        <w:r w:rsidR="00D80FBD" w:rsidRPr="00D80FBD">
          <w:rPr>
            <w:webHidden/>
          </w:rPr>
        </w:r>
        <w:r w:rsidR="00D80FBD" w:rsidRPr="00D80FBD">
          <w:rPr>
            <w:webHidden/>
          </w:rPr>
          <w:fldChar w:fldCharType="separate"/>
        </w:r>
        <w:r w:rsidR="00D61CF7">
          <w:rPr>
            <w:webHidden/>
          </w:rPr>
          <w:t>282</w:t>
        </w:r>
        <w:r w:rsidR="00D80FBD" w:rsidRPr="00D80FBD">
          <w:rPr>
            <w:webHidden/>
          </w:rPr>
          <w:fldChar w:fldCharType="end"/>
        </w:r>
      </w:hyperlink>
    </w:p>
    <w:p w14:paraId="21DBA66B" w14:textId="357B201C"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06" w:history="1">
        <w:r w:rsidR="00D80FBD" w:rsidRPr="00D80FBD">
          <w:rPr>
            <w:rStyle w:val="Hipercze"/>
          </w:rPr>
          <w:t>3.1 Badania i ocena jakości wód w rzekach i zbiornikach zaporowych</w:t>
        </w:r>
        <w:r w:rsidR="00D80FBD" w:rsidRPr="00D80FBD">
          <w:rPr>
            <w:webHidden/>
          </w:rPr>
          <w:tab/>
        </w:r>
        <w:r w:rsidR="00D80FBD" w:rsidRPr="00D80FBD">
          <w:rPr>
            <w:webHidden/>
          </w:rPr>
          <w:fldChar w:fldCharType="begin"/>
        </w:r>
        <w:r w:rsidR="00D80FBD" w:rsidRPr="00D80FBD">
          <w:rPr>
            <w:webHidden/>
          </w:rPr>
          <w:instrText xml:space="preserve"> PAGEREF _Toc135935706 \h </w:instrText>
        </w:r>
        <w:r w:rsidR="00D80FBD" w:rsidRPr="00D80FBD">
          <w:rPr>
            <w:webHidden/>
          </w:rPr>
        </w:r>
        <w:r w:rsidR="00D80FBD" w:rsidRPr="00D80FBD">
          <w:rPr>
            <w:webHidden/>
          </w:rPr>
          <w:fldChar w:fldCharType="separate"/>
        </w:r>
        <w:r w:rsidR="00D61CF7">
          <w:rPr>
            <w:webHidden/>
          </w:rPr>
          <w:t>282</w:t>
        </w:r>
        <w:r w:rsidR="00D80FBD" w:rsidRPr="00D80FBD">
          <w:rPr>
            <w:webHidden/>
          </w:rPr>
          <w:fldChar w:fldCharType="end"/>
        </w:r>
      </w:hyperlink>
    </w:p>
    <w:p w14:paraId="028C1E22" w14:textId="3D1ED794"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07" w:history="1">
        <w:r w:rsidR="00D80FBD" w:rsidRPr="00D80FBD">
          <w:rPr>
            <w:rStyle w:val="Hipercze"/>
          </w:rPr>
          <w:t>3.2 Badania i ocena jakości wód w jeziorach</w:t>
        </w:r>
        <w:r w:rsidR="00D80FBD" w:rsidRPr="00D80FBD">
          <w:rPr>
            <w:webHidden/>
          </w:rPr>
          <w:tab/>
        </w:r>
        <w:r w:rsidR="00D80FBD" w:rsidRPr="00D80FBD">
          <w:rPr>
            <w:webHidden/>
          </w:rPr>
          <w:fldChar w:fldCharType="begin"/>
        </w:r>
        <w:r w:rsidR="00D80FBD" w:rsidRPr="00D80FBD">
          <w:rPr>
            <w:webHidden/>
          </w:rPr>
          <w:instrText xml:space="preserve"> PAGEREF _Toc135935707 \h </w:instrText>
        </w:r>
        <w:r w:rsidR="00D80FBD" w:rsidRPr="00D80FBD">
          <w:rPr>
            <w:webHidden/>
          </w:rPr>
        </w:r>
        <w:r w:rsidR="00D80FBD" w:rsidRPr="00D80FBD">
          <w:rPr>
            <w:webHidden/>
          </w:rPr>
          <w:fldChar w:fldCharType="separate"/>
        </w:r>
        <w:r w:rsidR="00D61CF7">
          <w:rPr>
            <w:webHidden/>
          </w:rPr>
          <w:t>290</w:t>
        </w:r>
        <w:r w:rsidR="00D80FBD" w:rsidRPr="00D80FBD">
          <w:rPr>
            <w:webHidden/>
          </w:rPr>
          <w:fldChar w:fldCharType="end"/>
        </w:r>
      </w:hyperlink>
    </w:p>
    <w:p w14:paraId="546CA7DC" w14:textId="56ED2E0E"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08" w:history="1">
        <w:r w:rsidR="00D80FBD" w:rsidRPr="00D80FBD">
          <w:rPr>
            <w:rStyle w:val="Hipercze"/>
          </w:rPr>
          <w:t>3.3 Badania osadów dennych w rzekach i jeziorach</w:t>
        </w:r>
        <w:r w:rsidR="00D80FBD" w:rsidRPr="00D80FBD">
          <w:rPr>
            <w:webHidden/>
          </w:rPr>
          <w:tab/>
        </w:r>
        <w:r w:rsidR="00D80FBD" w:rsidRPr="00D80FBD">
          <w:rPr>
            <w:webHidden/>
          </w:rPr>
          <w:fldChar w:fldCharType="begin"/>
        </w:r>
        <w:r w:rsidR="00D80FBD" w:rsidRPr="00D80FBD">
          <w:rPr>
            <w:webHidden/>
          </w:rPr>
          <w:instrText xml:space="preserve"> PAGEREF _Toc135935708 \h </w:instrText>
        </w:r>
        <w:r w:rsidR="00D80FBD" w:rsidRPr="00D80FBD">
          <w:rPr>
            <w:webHidden/>
          </w:rPr>
        </w:r>
        <w:r w:rsidR="00D80FBD" w:rsidRPr="00D80FBD">
          <w:rPr>
            <w:webHidden/>
          </w:rPr>
          <w:fldChar w:fldCharType="separate"/>
        </w:r>
        <w:r w:rsidR="00D61CF7">
          <w:rPr>
            <w:webHidden/>
          </w:rPr>
          <w:t>297</w:t>
        </w:r>
        <w:r w:rsidR="00D80FBD" w:rsidRPr="00D80FBD">
          <w:rPr>
            <w:webHidden/>
          </w:rPr>
          <w:fldChar w:fldCharType="end"/>
        </w:r>
      </w:hyperlink>
    </w:p>
    <w:p w14:paraId="677094E3" w14:textId="5562F623"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09" w:history="1">
        <w:r w:rsidR="00D80FBD" w:rsidRPr="00D80FBD">
          <w:rPr>
            <w:rStyle w:val="Hipercze"/>
          </w:rPr>
          <w:t>3.4 Badania i ocena jakości wód przejściowych i przybrzeżnych oraz Morza Bałtyckiego</w:t>
        </w:r>
        <w:r w:rsidR="00D80FBD" w:rsidRPr="00D80FBD">
          <w:rPr>
            <w:webHidden/>
          </w:rPr>
          <w:tab/>
        </w:r>
        <w:r w:rsidR="00D80FBD" w:rsidRPr="00D80FBD">
          <w:rPr>
            <w:webHidden/>
          </w:rPr>
          <w:fldChar w:fldCharType="begin"/>
        </w:r>
        <w:r w:rsidR="00D80FBD" w:rsidRPr="00D80FBD">
          <w:rPr>
            <w:webHidden/>
          </w:rPr>
          <w:instrText xml:space="preserve"> PAGEREF _Toc135935709 \h </w:instrText>
        </w:r>
        <w:r w:rsidR="00D80FBD" w:rsidRPr="00D80FBD">
          <w:rPr>
            <w:webHidden/>
          </w:rPr>
        </w:r>
        <w:r w:rsidR="00D80FBD" w:rsidRPr="00D80FBD">
          <w:rPr>
            <w:webHidden/>
          </w:rPr>
          <w:fldChar w:fldCharType="separate"/>
        </w:r>
        <w:r w:rsidR="00D61CF7">
          <w:rPr>
            <w:webHidden/>
          </w:rPr>
          <w:t>304</w:t>
        </w:r>
        <w:r w:rsidR="00D80FBD" w:rsidRPr="00D80FBD">
          <w:rPr>
            <w:webHidden/>
          </w:rPr>
          <w:fldChar w:fldCharType="end"/>
        </w:r>
      </w:hyperlink>
    </w:p>
    <w:p w14:paraId="650CC3DF" w14:textId="48532C31"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10" w:history="1">
        <w:r w:rsidR="00D80FBD" w:rsidRPr="00D80FBD">
          <w:rPr>
            <w:rStyle w:val="Hipercze"/>
          </w:rPr>
          <w:t>3.5 Monitoring jakości wód podziemnych</w:t>
        </w:r>
        <w:r w:rsidR="00D80FBD" w:rsidRPr="00D80FBD">
          <w:rPr>
            <w:webHidden/>
          </w:rPr>
          <w:tab/>
        </w:r>
        <w:r w:rsidR="00D80FBD" w:rsidRPr="00D80FBD">
          <w:rPr>
            <w:webHidden/>
          </w:rPr>
          <w:fldChar w:fldCharType="begin"/>
        </w:r>
        <w:r w:rsidR="00D80FBD" w:rsidRPr="00D80FBD">
          <w:rPr>
            <w:webHidden/>
          </w:rPr>
          <w:instrText xml:space="preserve"> PAGEREF _Toc135935710 \h </w:instrText>
        </w:r>
        <w:r w:rsidR="00D80FBD" w:rsidRPr="00D80FBD">
          <w:rPr>
            <w:webHidden/>
          </w:rPr>
        </w:r>
        <w:r w:rsidR="00D80FBD" w:rsidRPr="00D80FBD">
          <w:rPr>
            <w:webHidden/>
          </w:rPr>
          <w:fldChar w:fldCharType="separate"/>
        </w:r>
        <w:r w:rsidR="00D61CF7">
          <w:rPr>
            <w:webHidden/>
          </w:rPr>
          <w:t>307</w:t>
        </w:r>
        <w:r w:rsidR="00D80FBD" w:rsidRPr="00D80FBD">
          <w:rPr>
            <w:webHidden/>
          </w:rPr>
          <w:fldChar w:fldCharType="end"/>
        </w:r>
      </w:hyperlink>
    </w:p>
    <w:p w14:paraId="35C32212" w14:textId="76C9CFE4"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11" w:history="1">
        <w:r w:rsidR="00D80FBD" w:rsidRPr="00D80FBD">
          <w:rPr>
            <w:rStyle w:val="Hipercze"/>
          </w:rPr>
          <w:t>4. Monitoring jakości gleby i ziemi</w:t>
        </w:r>
        <w:r w:rsidR="00D80FBD" w:rsidRPr="00D80FBD">
          <w:rPr>
            <w:webHidden/>
          </w:rPr>
          <w:tab/>
        </w:r>
        <w:r w:rsidR="00D80FBD" w:rsidRPr="00D80FBD">
          <w:rPr>
            <w:webHidden/>
          </w:rPr>
          <w:fldChar w:fldCharType="begin"/>
        </w:r>
        <w:r w:rsidR="00D80FBD" w:rsidRPr="00D80FBD">
          <w:rPr>
            <w:webHidden/>
          </w:rPr>
          <w:instrText xml:space="preserve"> PAGEREF _Toc135935711 \h </w:instrText>
        </w:r>
        <w:r w:rsidR="00D80FBD" w:rsidRPr="00D80FBD">
          <w:rPr>
            <w:webHidden/>
          </w:rPr>
        </w:r>
        <w:r w:rsidR="00D80FBD" w:rsidRPr="00D80FBD">
          <w:rPr>
            <w:webHidden/>
          </w:rPr>
          <w:fldChar w:fldCharType="separate"/>
        </w:r>
        <w:r w:rsidR="00D61CF7">
          <w:rPr>
            <w:webHidden/>
          </w:rPr>
          <w:t>310</w:t>
        </w:r>
        <w:r w:rsidR="00D80FBD" w:rsidRPr="00D80FBD">
          <w:rPr>
            <w:webHidden/>
          </w:rPr>
          <w:fldChar w:fldCharType="end"/>
        </w:r>
      </w:hyperlink>
    </w:p>
    <w:p w14:paraId="19FEE123" w14:textId="2F380650"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12" w:history="1">
        <w:r w:rsidR="00D80FBD" w:rsidRPr="00D80FBD">
          <w:rPr>
            <w:rStyle w:val="Hipercze"/>
          </w:rPr>
          <w:t>5. Monitoring przyrody</w:t>
        </w:r>
        <w:r w:rsidR="00D80FBD" w:rsidRPr="00D80FBD">
          <w:rPr>
            <w:webHidden/>
          </w:rPr>
          <w:tab/>
        </w:r>
        <w:r w:rsidR="00D80FBD" w:rsidRPr="00D80FBD">
          <w:rPr>
            <w:webHidden/>
          </w:rPr>
          <w:fldChar w:fldCharType="begin"/>
        </w:r>
        <w:r w:rsidR="00D80FBD" w:rsidRPr="00D80FBD">
          <w:rPr>
            <w:webHidden/>
          </w:rPr>
          <w:instrText xml:space="preserve"> PAGEREF _Toc135935712 \h </w:instrText>
        </w:r>
        <w:r w:rsidR="00D80FBD" w:rsidRPr="00D80FBD">
          <w:rPr>
            <w:webHidden/>
          </w:rPr>
        </w:r>
        <w:r w:rsidR="00D80FBD" w:rsidRPr="00D80FBD">
          <w:rPr>
            <w:webHidden/>
          </w:rPr>
          <w:fldChar w:fldCharType="separate"/>
        </w:r>
        <w:r w:rsidR="00D61CF7">
          <w:rPr>
            <w:webHidden/>
          </w:rPr>
          <w:t>311</w:t>
        </w:r>
        <w:r w:rsidR="00D80FBD" w:rsidRPr="00D80FBD">
          <w:rPr>
            <w:webHidden/>
          </w:rPr>
          <w:fldChar w:fldCharType="end"/>
        </w:r>
      </w:hyperlink>
    </w:p>
    <w:p w14:paraId="620FB1F6" w14:textId="0930A874"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13" w:history="1">
        <w:r w:rsidR="00D80FBD" w:rsidRPr="00D80FBD">
          <w:rPr>
            <w:rStyle w:val="Hipercze"/>
          </w:rPr>
          <w:t>5.1 Monitoring ptaków</w:t>
        </w:r>
        <w:r w:rsidR="00D80FBD" w:rsidRPr="00D80FBD">
          <w:rPr>
            <w:webHidden/>
          </w:rPr>
          <w:tab/>
        </w:r>
        <w:r w:rsidR="00D80FBD" w:rsidRPr="00D80FBD">
          <w:rPr>
            <w:webHidden/>
          </w:rPr>
          <w:fldChar w:fldCharType="begin"/>
        </w:r>
        <w:r w:rsidR="00D80FBD" w:rsidRPr="00D80FBD">
          <w:rPr>
            <w:webHidden/>
          </w:rPr>
          <w:instrText xml:space="preserve"> PAGEREF _Toc135935713 \h </w:instrText>
        </w:r>
        <w:r w:rsidR="00D80FBD" w:rsidRPr="00D80FBD">
          <w:rPr>
            <w:webHidden/>
          </w:rPr>
        </w:r>
        <w:r w:rsidR="00D80FBD" w:rsidRPr="00D80FBD">
          <w:rPr>
            <w:webHidden/>
          </w:rPr>
          <w:fldChar w:fldCharType="separate"/>
        </w:r>
        <w:r w:rsidR="00D61CF7">
          <w:rPr>
            <w:webHidden/>
          </w:rPr>
          <w:t>311</w:t>
        </w:r>
        <w:r w:rsidR="00D80FBD" w:rsidRPr="00D80FBD">
          <w:rPr>
            <w:webHidden/>
          </w:rPr>
          <w:fldChar w:fldCharType="end"/>
        </w:r>
      </w:hyperlink>
    </w:p>
    <w:p w14:paraId="0F2B17B1" w14:textId="65248252"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14" w:history="1">
        <w:r w:rsidR="00D80FBD" w:rsidRPr="00D80FBD">
          <w:rPr>
            <w:rStyle w:val="Hipercze"/>
          </w:rPr>
          <w:t>5.2 Monitoring gatunków i siedlisk przyrodniczych</w:t>
        </w:r>
        <w:r w:rsidR="00D80FBD" w:rsidRPr="00D80FBD">
          <w:rPr>
            <w:webHidden/>
          </w:rPr>
          <w:tab/>
        </w:r>
        <w:r w:rsidR="00D80FBD" w:rsidRPr="00D80FBD">
          <w:rPr>
            <w:webHidden/>
          </w:rPr>
          <w:fldChar w:fldCharType="begin"/>
        </w:r>
        <w:r w:rsidR="00D80FBD" w:rsidRPr="00D80FBD">
          <w:rPr>
            <w:webHidden/>
          </w:rPr>
          <w:instrText xml:space="preserve"> PAGEREF _Toc135935714 \h </w:instrText>
        </w:r>
        <w:r w:rsidR="00D80FBD" w:rsidRPr="00D80FBD">
          <w:rPr>
            <w:webHidden/>
          </w:rPr>
        </w:r>
        <w:r w:rsidR="00D80FBD" w:rsidRPr="00D80FBD">
          <w:rPr>
            <w:webHidden/>
          </w:rPr>
          <w:fldChar w:fldCharType="separate"/>
        </w:r>
        <w:r w:rsidR="00D61CF7">
          <w:rPr>
            <w:webHidden/>
          </w:rPr>
          <w:t>314</w:t>
        </w:r>
        <w:r w:rsidR="00D80FBD" w:rsidRPr="00D80FBD">
          <w:rPr>
            <w:webHidden/>
          </w:rPr>
          <w:fldChar w:fldCharType="end"/>
        </w:r>
      </w:hyperlink>
    </w:p>
    <w:p w14:paraId="0338954E" w14:textId="0EAEA687"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15" w:history="1">
        <w:r w:rsidR="00D80FBD" w:rsidRPr="00D80FBD">
          <w:rPr>
            <w:rStyle w:val="Hipercze"/>
          </w:rPr>
          <w:t>5.3 Monitoring gatunków i siedlisk morskich</w:t>
        </w:r>
        <w:r w:rsidR="00D80FBD" w:rsidRPr="00D80FBD">
          <w:rPr>
            <w:webHidden/>
          </w:rPr>
          <w:tab/>
        </w:r>
        <w:r w:rsidR="00D80FBD" w:rsidRPr="00D80FBD">
          <w:rPr>
            <w:webHidden/>
          </w:rPr>
          <w:fldChar w:fldCharType="begin"/>
        </w:r>
        <w:r w:rsidR="00D80FBD" w:rsidRPr="00D80FBD">
          <w:rPr>
            <w:webHidden/>
          </w:rPr>
          <w:instrText xml:space="preserve"> PAGEREF _Toc135935715 \h </w:instrText>
        </w:r>
        <w:r w:rsidR="00D80FBD" w:rsidRPr="00D80FBD">
          <w:rPr>
            <w:webHidden/>
          </w:rPr>
        </w:r>
        <w:r w:rsidR="00D80FBD" w:rsidRPr="00D80FBD">
          <w:rPr>
            <w:webHidden/>
          </w:rPr>
          <w:fldChar w:fldCharType="separate"/>
        </w:r>
        <w:r w:rsidR="00D61CF7">
          <w:rPr>
            <w:webHidden/>
          </w:rPr>
          <w:t>318</w:t>
        </w:r>
        <w:r w:rsidR="00D80FBD" w:rsidRPr="00D80FBD">
          <w:rPr>
            <w:webHidden/>
          </w:rPr>
          <w:fldChar w:fldCharType="end"/>
        </w:r>
      </w:hyperlink>
    </w:p>
    <w:p w14:paraId="2CC48710" w14:textId="2CA35A46"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16" w:history="1">
        <w:r w:rsidR="00D80FBD" w:rsidRPr="00D80FBD">
          <w:rPr>
            <w:rStyle w:val="Hipercze"/>
          </w:rPr>
          <w:t>5.4 Monitoring lasów</w:t>
        </w:r>
        <w:r w:rsidR="00D80FBD" w:rsidRPr="00D80FBD">
          <w:rPr>
            <w:webHidden/>
          </w:rPr>
          <w:tab/>
        </w:r>
        <w:r w:rsidR="00D80FBD" w:rsidRPr="00D80FBD">
          <w:rPr>
            <w:webHidden/>
          </w:rPr>
          <w:fldChar w:fldCharType="begin"/>
        </w:r>
        <w:r w:rsidR="00D80FBD" w:rsidRPr="00D80FBD">
          <w:rPr>
            <w:webHidden/>
          </w:rPr>
          <w:instrText xml:space="preserve"> PAGEREF _Toc135935716 \h </w:instrText>
        </w:r>
        <w:r w:rsidR="00D80FBD" w:rsidRPr="00D80FBD">
          <w:rPr>
            <w:webHidden/>
          </w:rPr>
        </w:r>
        <w:r w:rsidR="00D80FBD" w:rsidRPr="00D80FBD">
          <w:rPr>
            <w:webHidden/>
          </w:rPr>
          <w:fldChar w:fldCharType="separate"/>
        </w:r>
        <w:r w:rsidR="00D61CF7">
          <w:rPr>
            <w:webHidden/>
          </w:rPr>
          <w:t>319</w:t>
        </w:r>
        <w:r w:rsidR="00D80FBD" w:rsidRPr="00D80FBD">
          <w:rPr>
            <w:webHidden/>
          </w:rPr>
          <w:fldChar w:fldCharType="end"/>
        </w:r>
      </w:hyperlink>
    </w:p>
    <w:p w14:paraId="0A7E2D5C" w14:textId="30FF3DFA"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17" w:history="1">
        <w:r w:rsidR="00D80FBD" w:rsidRPr="00D80FBD">
          <w:rPr>
            <w:rStyle w:val="Hipercze"/>
          </w:rPr>
          <w:t>5.5. Zintegrowany Monitoring Środowiska Przyrodniczego</w:t>
        </w:r>
        <w:r w:rsidR="00D80FBD" w:rsidRPr="00D80FBD">
          <w:rPr>
            <w:webHidden/>
          </w:rPr>
          <w:tab/>
        </w:r>
        <w:r w:rsidR="00D80FBD" w:rsidRPr="00D80FBD">
          <w:rPr>
            <w:webHidden/>
          </w:rPr>
          <w:fldChar w:fldCharType="begin"/>
        </w:r>
        <w:r w:rsidR="00D80FBD" w:rsidRPr="00D80FBD">
          <w:rPr>
            <w:webHidden/>
          </w:rPr>
          <w:instrText xml:space="preserve"> PAGEREF _Toc135935717 \h </w:instrText>
        </w:r>
        <w:r w:rsidR="00D80FBD" w:rsidRPr="00D80FBD">
          <w:rPr>
            <w:webHidden/>
          </w:rPr>
        </w:r>
        <w:r w:rsidR="00D80FBD" w:rsidRPr="00D80FBD">
          <w:rPr>
            <w:webHidden/>
          </w:rPr>
          <w:fldChar w:fldCharType="separate"/>
        </w:r>
        <w:r w:rsidR="00D61CF7">
          <w:rPr>
            <w:webHidden/>
          </w:rPr>
          <w:t>321</w:t>
        </w:r>
        <w:r w:rsidR="00D80FBD" w:rsidRPr="00D80FBD">
          <w:rPr>
            <w:webHidden/>
          </w:rPr>
          <w:fldChar w:fldCharType="end"/>
        </w:r>
      </w:hyperlink>
    </w:p>
    <w:p w14:paraId="259EE3E9" w14:textId="60107650"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18" w:history="1">
        <w:r w:rsidR="00D80FBD" w:rsidRPr="00D80FBD">
          <w:rPr>
            <w:rStyle w:val="Hipercze"/>
          </w:rPr>
          <w:t>6. Monitoring hałasu</w:t>
        </w:r>
        <w:r w:rsidR="00D80FBD" w:rsidRPr="00D80FBD">
          <w:rPr>
            <w:webHidden/>
          </w:rPr>
          <w:tab/>
        </w:r>
        <w:r w:rsidR="00D80FBD" w:rsidRPr="00D80FBD">
          <w:rPr>
            <w:webHidden/>
          </w:rPr>
          <w:fldChar w:fldCharType="begin"/>
        </w:r>
        <w:r w:rsidR="00D80FBD" w:rsidRPr="00D80FBD">
          <w:rPr>
            <w:webHidden/>
          </w:rPr>
          <w:instrText xml:space="preserve"> PAGEREF _Toc135935718 \h </w:instrText>
        </w:r>
        <w:r w:rsidR="00D80FBD" w:rsidRPr="00D80FBD">
          <w:rPr>
            <w:webHidden/>
          </w:rPr>
        </w:r>
        <w:r w:rsidR="00D80FBD" w:rsidRPr="00D80FBD">
          <w:rPr>
            <w:webHidden/>
          </w:rPr>
          <w:fldChar w:fldCharType="separate"/>
        </w:r>
        <w:r w:rsidR="00D61CF7">
          <w:rPr>
            <w:webHidden/>
          </w:rPr>
          <w:t>323</w:t>
        </w:r>
        <w:r w:rsidR="00D80FBD" w:rsidRPr="00D80FBD">
          <w:rPr>
            <w:webHidden/>
          </w:rPr>
          <w:fldChar w:fldCharType="end"/>
        </w:r>
      </w:hyperlink>
    </w:p>
    <w:p w14:paraId="5B9A320B" w14:textId="4608B9C8"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19" w:history="1">
        <w:r w:rsidR="00D80FBD" w:rsidRPr="00D80FBD">
          <w:rPr>
            <w:rStyle w:val="Hipercze"/>
          </w:rPr>
          <w:t>7. Monitoring pól elektromagnetycznych</w:t>
        </w:r>
        <w:r w:rsidR="00D80FBD" w:rsidRPr="00D80FBD">
          <w:rPr>
            <w:webHidden/>
          </w:rPr>
          <w:tab/>
        </w:r>
        <w:r w:rsidR="00D80FBD" w:rsidRPr="00D80FBD">
          <w:rPr>
            <w:webHidden/>
          </w:rPr>
          <w:fldChar w:fldCharType="begin"/>
        </w:r>
        <w:r w:rsidR="00D80FBD" w:rsidRPr="00D80FBD">
          <w:rPr>
            <w:webHidden/>
          </w:rPr>
          <w:instrText xml:space="preserve"> PAGEREF _Toc135935719 \h </w:instrText>
        </w:r>
        <w:r w:rsidR="00D80FBD" w:rsidRPr="00D80FBD">
          <w:rPr>
            <w:webHidden/>
          </w:rPr>
        </w:r>
        <w:r w:rsidR="00D80FBD" w:rsidRPr="00D80FBD">
          <w:rPr>
            <w:webHidden/>
          </w:rPr>
          <w:fldChar w:fldCharType="separate"/>
        </w:r>
        <w:r w:rsidR="00D61CF7">
          <w:rPr>
            <w:webHidden/>
          </w:rPr>
          <w:t>325</w:t>
        </w:r>
        <w:r w:rsidR="00D80FBD" w:rsidRPr="00D80FBD">
          <w:rPr>
            <w:webHidden/>
          </w:rPr>
          <w:fldChar w:fldCharType="end"/>
        </w:r>
      </w:hyperlink>
    </w:p>
    <w:p w14:paraId="457EA604" w14:textId="4920269E"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20" w:history="1">
        <w:r w:rsidR="00D80FBD" w:rsidRPr="00D80FBD">
          <w:rPr>
            <w:rStyle w:val="Hipercze"/>
          </w:rPr>
          <w:t>8. Monitoring promieniowania jonizującego</w:t>
        </w:r>
        <w:r w:rsidR="00D80FBD" w:rsidRPr="00D80FBD">
          <w:rPr>
            <w:webHidden/>
          </w:rPr>
          <w:tab/>
        </w:r>
        <w:r w:rsidR="00D80FBD" w:rsidRPr="00D80FBD">
          <w:rPr>
            <w:webHidden/>
          </w:rPr>
          <w:fldChar w:fldCharType="begin"/>
        </w:r>
        <w:r w:rsidR="00D80FBD" w:rsidRPr="00D80FBD">
          <w:rPr>
            <w:webHidden/>
          </w:rPr>
          <w:instrText xml:space="preserve"> PAGEREF _Toc135935720 \h </w:instrText>
        </w:r>
        <w:r w:rsidR="00D80FBD" w:rsidRPr="00D80FBD">
          <w:rPr>
            <w:webHidden/>
          </w:rPr>
        </w:r>
        <w:r w:rsidR="00D80FBD" w:rsidRPr="00D80FBD">
          <w:rPr>
            <w:webHidden/>
          </w:rPr>
          <w:fldChar w:fldCharType="separate"/>
        </w:r>
        <w:r w:rsidR="00D61CF7">
          <w:rPr>
            <w:webHidden/>
          </w:rPr>
          <w:t>327</w:t>
        </w:r>
        <w:r w:rsidR="00D80FBD" w:rsidRPr="00D80FBD">
          <w:rPr>
            <w:webHidden/>
          </w:rPr>
          <w:fldChar w:fldCharType="end"/>
        </w:r>
      </w:hyperlink>
    </w:p>
    <w:p w14:paraId="26B3AF03" w14:textId="6685363D"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21" w:history="1">
        <w:r w:rsidR="00D80FBD" w:rsidRPr="00D80FBD">
          <w:rPr>
            <w:rStyle w:val="Hipercze"/>
          </w:rPr>
          <w:t>9. Oceny i prognozy</w:t>
        </w:r>
        <w:r w:rsidR="00D80FBD" w:rsidRPr="00D80FBD">
          <w:rPr>
            <w:webHidden/>
          </w:rPr>
          <w:tab/>
        </w:r>
        <w:r w:rsidR="00D80FBD" w:rsidRPr="00D80FBD">
          <w:rPr>
            <w:webHidden/>
          </w:rPr>
          <w:fldChar w:fldCharType="begin"/>
        </w:r>
        <w:r w:rsidR="00D80FBD" w:rsidRPr="00D80FBD">
          <w:rPr>
            <w:webHidden/>
          </w:rPr>
          <w:instrText xml:space="preserve"> PAGEREF _Toc135935721 \h </w:instrText>
        </w:r>
        <w:r w:rsidR="00D80FBD" w:rsidRPr="00D80FBD">
          <w:rPr>
            <w:webHidden/>
          </w:rPr>
        </w:r>
        <w:r w:rsidR="00D80FBD" w:rsidRPr="00D80FBD">
          <w:rPr>
            <w:webHidden/>
          </w:rPr>
          <w:fldChar w:fldCharType="separate"/>
        </w:r>
        <w:r w:rsidR="00D61CF7">
          <w:rPr>
            <w:webHidden/>
          </w:rPr>
          <w:t>328</w:t>
        </w:r>
        <w:r w:rsidR="00D80FBD" w:rsidRPr="00D80FBD">
          <w:rPr>
            <w:webHidden/>
          </w:rPr>
          <w:fldChar w:fldCharType="end"/>
        </w:r>
      </w:hyperlink>
    </w:p>
    <w:p w14:paraId="564DCB79" w14:textId="5C8040A1"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22" w:history="1">
        <w:r w:rsidR="00D80FBD" w:rsidRPr="00D80FBD">
          <w:rPr>
            <w:rStyle w:val="Hipercze"/>
          </w:rPr>
          <w:t>10. GIOŚ INSPIRE</w:t>
        </w:r>
        <w:r w:rsidR="00D80FBD" w:rsidRPr="00D80FBD">
          <w:rPr>
            <w:webHidden/>
          </w:rPr>
          <w:tab/>
        </w:r>
        <w:r w:rsidR="00D80FBD" w:rsidRPr="00D80FBD">
          <w:rPr>
            <w:webHidden/>
          </w:rPr>
          <w:fldChar w:fldCharType="begin"/>
        </w:r>
        <w:r w:rsidR="00D80FBD" w:rsidRPr="00D80FBD">
          <w:rPr>
            <w:webHidden/>
          </w:rPr>
          <w:instrText xml:space="preserve"> PAGEREF _Toc135935722 \h </w:instrText>
        </w:r>
        <w:r w:rsidR="00D80FBD" w:rsidRPr="00D80FBD">
          <w:rPr>
            <w:webHidden/>
          </w:rPr>
        </w:r>
        <w:r w:rsidR="00D80FBD" w:rsidRPr="00D80FBD">
          <w:rPr>
            <w:webHidden/>
          </w:rPr>
          <w:fldChar w:fldCharType="separate"/>
        </w:r>
        <w:r w:rsidR="00D61CF7">
          <w:rPr>
            <w:webHidden/>
          </w:rPr>
          <w:t>329</w:t>
        </w:r>
        <w:r w:rsidR="00D80FBD" w:rsidRPr="00D80FBD">
          <w:rPr>
            <w:webHidden/>
          </w:rPr>
          <w:fldChar w:fldCharType="end"/>
        </w:r>
      </w:hyperlink>
    </w:p>
    <w:p w14:paraId="0183C271" w14:textId="063A274F"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23" w:history="1">
        <w:r w:rsidR="00D80FBD" w:rsidRPr="00D80FBD">
          <w:rPr>
            <w:rStyle w:val="Hipercze"/>
          </w:rPr>
          <w:t>VI. LABORATORIA</w:t>
        </w:r>
        <w:r w:rsidR="00D80FBD" w:rsidRPr="00D80FBD">
          <w:rPr>
            <w:webHidden/>
          </w:rPr>
          <w:tab/>
        </w:r>
        <w:r w:rsidR="00D80FBD" w:rsidRPr="00D80FBD">
          <w:rPr>
            <w:webHidden/>
          </w:rPr>
          <w:fldChar w:fldCharType="begin"/>
        </w:r>
        <w:r w:rsidR="00D80FBD" w:rsidRPr="00D80FBD">
          <w:rPr>
            <w:webHidden/>
          </w:rPr>
          <w:instrText xml:space="preserve"> PAGEREF _Toc135935723 \h </w:instrText>
        </w:r>
        <w:r w:rsidR="00D80FBD" w:rsidRPr="00D80FBD">
          <w:rPr>
            <w:webHidden/>
          </w:rPr>
        </w:r>
        <w:r w:rsidR="00D80FBD" w:rsidRPr="00D80FBD">
          <w:rPr>
            <w:webHidden/>
          </w:rPr>
          <w:fldChar w:fldCharType="separate"/>
        </w:r>
        <w:r w:rsidR="00D61CF7">
          <w:rPr>
            <w:webHidden/>
          </w:rPr>
          <w:t>333</w:t>
        </w:r>
        <w:r w:rsidR="00D80FBD" w:rsidRPr="00D80FBD">
          <w:rPr>
            <w:webHidden/>
          </w:rPr>
          <w:fldChar w:fldCharType="end"/>
        </w:r>
      </w:hyperlink>
    </w:p>
    <w:p w14:paraId="36C72897" w14:textId="04ADBCD9"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24" w:history="1">
        <w:r w:rsidR="00D80FBD" w:rsidRPr="00D80FBD">
          <w:rPr>
            <w:rStyle w:val="Hipercze"/>
            <w:rFonts w:eastAsia="Calibri"/>
            <w:lang w:eastAsia="pl-PL"/>
          </w:rPr>
          <w:t>1.</w:t>
        </w:r>
        <w:r w:rsidR="00D80FBD" w:rsidRPr="00D80FBD">
          <w:rPr>
            <w:rFonts w:asciiTheme="minorHAnsi" w:eastAsiaTheme="minorEastAsia" w:hAnsiTheme="minorHAnsi" w:cstheme="minorBidi"/>
            <w:bCs w:val="0"/>
            <w:sz w:val="22"/>
            <w:szCs w:val="22"/>
            <w:lang w:val="pl-PL" w:eastAsia="pl-PL"/>
          </w:rPr>
          <w:tab/>
        </w:r>
        <w:r w:rsidR="00D80FBD" w:rsidRPr="00D80FBD">
          <w:rPr>
            <w:rStyle w:val="Hipercze"/>
            <w:rFonts w:eastAsia="Calibri"/>
            <w:lang w:eastAsia="pl-PL"/>
          </w:rPr>
          <w:t>Centralne Laboratorium Badawcze</w:t>
        </w:r>
        <w:r w:rsidR="00D80FBD" w:rsidRPr="00D80FBD">
          <w:rPr>
            <w:webHidden/>
          </w:rPr>
          <w:tab/>
        </w:r>
        <w:r w:rsidR="00D80FBD" w:rsidRPr="00D80FBD">
          <w:rPr>
            <w:webHidden/>
          </w:rPr>
          <w:fldChar w:fldCharType="begin"/>
        </w:r>
        <w:r w:rsidR="00D80FBD" w:rsidRPr="00D80FBD">
          <w:rPr>
            <w:webHidden/>
          </w:rPr>
          <w:instrText xml:space="preserve"> PAGEREF _Toc135935724 \h </w:instrText>
        </w:r>
        <w:r w:rsidR="00D80FBD" w:rsidRPr="00D80FBD">
          <w:rPr>
            <w:webHidden/>
          </w:rPr>
        </w:r>
        <w:r w:rsidR="00D80FBD" w:rsidRPr="00D80FBD">
          <w:rPr>
            <w:webHidden/>
          </w:rPr>
          <w:fldChar w:fldCharType="separate"/>
        </w:r>
        <w:r w:rsidR="00D61CF7">
          <w:rPr>
            <w:webHidden/>
          </w:rPr>
          <w:t>333</w:t>
        </w:r>
        <w:r w:rsidR="00D80FBD" w:rsidRPr="00D80FBD">
          <w:rPr>
            <w:webHidden/>
          </w:rPr>
          <w:fldChar w:fldCharType="end"/>
        </w:r>
      </w:hyperlink>
    </w:p>
    <w:p w14:paraId="116D03E6" w14:textId="665DDAF1"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25" w:history="1">
        <w:r w:rsidR="00D80FBD" w:rsidRPr="00D80FBD">
          <w:rPr>
            <w:rStyle w:val="Hipercze"/>
          </w:rPr>
          <w:t>2. Krajowe Laboratorium Referencyjne do spraw jakości powietrza atmosferycznego</w:t>
        </w:r>
        <w:r w:rsidR="00D80FBD" w:rsidRPr="00D80FBD">
          <w:rPr>
            <w:webHidden/>
          </w:rPr>
          <w:tab/>
        </w:r>
        <w:r w:rsidR="00D80FBD" w:rsidRPr="00D80FBD">
          <w:rPr>
            <w:webHidden/>
          </w:rPr>
          <w:fldChar w:fldCharType="begin"/>
        </w:r>
        <w:r w:rsidR="00D80FBD" w:rsidRPr="00D80FBD">
          <w:rPr>
            <w:webHidden/>
          </w:rPr>
          <w:instrText xml:space="preserve"> PAGEREF _Toc135935725 \h </w:instrText>
        </w:r>
        <w:r w:rsidR="00D80FBD" w:rsidRPr="00D80FBD">
          <w:rPr>
            <w:webHidden/>
          </w:rPr>
        </w:r>
        <w:r w:rsidR="00D80FBD" w:rsidRPr="00D80FBD">
          <w:rPr>
            <w:webHidden/>
          </w:rPr>
          <w:fldChar w:fldCharType="separate"/>
        </w:r>
        <w:r w:rsidR="00D61CF7">
          <w:rPr>
            <w:webHidden/>
          </w:rPr>
          <w:t>344</w:t>
        </w:r>
        <w:r w:rsidR="00D80FBD" w:rsidRPr="00D80FBD">
          <w:rPr>
            <w:webHidden/>
          </w:rPr>
          <w:fldChar w:fldCharType="end"/>
        </w:r>
      </w:hyperlink>
    </w:p>
    <w:p w14:paraId="1E3B41BC" w14:textId="14594327"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26" w:history="1">
        <w:r w:rsidR="00D80FBD" w:rsidRPr="00D80FBD">
          <w:rPr>
            <w:rStyle w:val="Hipercze"/>
          </w:rPr>
          <w:t>3. Krajowe Laboratorium Referencyjne do spraw jakości wód powierzchniowych</w:t>
        </w:r>
        <w:r w:rsidR="00D80FBD" w:rsidRPr="00D80FBD">
          <w:rPr>
            <w:webHidden/>
          </w:rPr>
          <w:tab/>
        </w:r>
        <w:r w:rsidR="00D80FBD" w:rsidRPr="00D80FBD">
          <w:rPr>
            <w:webHidden/>
          </w:rPr>
          <w:fldChar w:fldCharType="begin"/>
        </w:r>
        <w:r w:rsidR="00D80FBD" w:rsidRPr="00D80FBD">
          <w:rPr>
            <w:webHidden/>
          </w:rPr>
          <w:instrText xml:space="preserve"> PAGEREF _Toc135935726 \h </w:instrText>
        </w:r>
        <w:r w:rsidR="00D80FBD" w:rsidRPr="00D80FBD">
          <w:rPr>
            <w:webHidden/>
          </w:rPr>
        </w:r>
        <w:r w:rsidR="00D80FBD" w:rsidRPr="00D80FBD">
          <w:rPr>
            <w:webHidden/>
          </w:rPr>
          <w:fldChar w:fldCharType="separate"/>
        </w:r>
        <w:r w:rsidR="00D61CF7">
          <w:rPr>
            <w:webHidden/>
          </w:rPr>
          <w:t>347</w:t>
        </w:r>
        <w:r w:rsidR="00D80FBD" w:rsidRPr="00D80FBD">
          <w:rPr>
            <w:webHidden/>
          </w:rPr>
          <w:fldChar w:fldCharType="end"/>
        </w:r>
      </w:hyperlink>
    </w:p>
    <w:p w14:paraId="62557F18" w14:textId="10751594"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27" w:history="1">
        <w:r w:rsidR="00D80FBD" w:rsidRPr="00D80FBD">
          <w:rPr>
            <w:rStyle w:val="Hipercze"/>
          </w:rPr>
          <w:t>4. Sprzęt i wyposażenie laboratoriów</w:t>
        </w:r>
        <w:r w:rsidR="00D80FBD" w:rsidRPr="00D80FBD">
          <w:rPr>
            <w:webHidden/>
          </w:rPr>
          <w:tab/>
        </w:r>
        <w:r w:rsidR="00D80FBD" w:rsidRPr="00D80FBD">
          <w:rPr>
            <w:webHidden/>
          </w:rPr>
          <w:fldChar w:fldCharType="begin"/>
        </w:r>
        <w:r w:rsidR="00D80FBD" w:rsidRPr="00D80FBD">
          <w:rPr>
            <w:webHidden/>
          </w:rPr>
          <w:instrText xml:space="preserve"> PAGEREF _Toc135935727 \h </w:instrText>
        </w:r>
        <w:r w:rsidR="00D80FBD" w:rsidRPr="00D80FBD">
          <w:rPr>
            <w:webHidden/>
          </w:rPr>
        </w:r>
        <w:r w:rsidR="00D80FBD" w:rsidRPr="00D80FBD">
          <w:rPr>
            <w:webHidden/>
          </w:rPr>
          <w:fldChar w:fldCharType="separate"/>
        </w:r>
        <w:r w:rsidR="00D61CF7">
          <w:rPr>
            <w:webHidden/>
          </w:rPr>
          <w:t>353</w:t>
        </w:r>
        <w:r w:rsidR="00D80FBD" w:rsidRPr="00D80FBD">
          <w:rPr>
            <w:webHidden/>
          </w:rPr>
          <w:fldChar w:fldCharType="end"/>
        </w:r>
      </w:hyperlink>
    </w:p>
    <w:p w14:paraId="04F9A599" w14:textId="2F6D69F8"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28" w:history="1">
        <w:r w:rsidR="00D80FBD" w:rsidRPr="00D80FBD">
          <w:rPr>
            <w:rStyle w:val="Hipercze"/>
          </w:rPr>
          <w:t>VII. UPOWSZECHNIANIE INFORMACJI O ŚRODOWISKU I DZIAŁALNOŚCI INSPEKCJI OCHRONY ŚRODOWISKA</w:t>
        </w:r>
        <w:r w:rsidR="00D80FBD" w:rsidRPr="00D80FBD">
          <w:rPr>
            <w:webHidden/>
          </w:rPr>
          <w:tab/>
        </w:r>
        <w:r w:rsidR="00D80FBD" w:rsidRPr="00D80FBD">
          <w:rPr>
            <w:webHidden/>
          </w:rPr>
          <w:fldChar w:fldCharType="begin"/>
        </w:r>
        <w:r w:rsidR="00D80FBD" w:rsidRPr="00D80FBD">
          <w:rPr>
            <w:webHidden/>
          </w:rPr>
          <w:instrText xml:space="preserve"> PAGEREF _Toc135935728 \h </w:instrText>
        </w:r>
        <w:r w:rsidR="00D80FBD" w:rsidRPr="00D80FBD">
          <w:rPr>
            <w:webHidden/>
          </w:rPr>
        </w:r>
        <w:r w:rsidR="00D80FBD" w:rsidRPr="00D80FBD">
          <w:rPr>
            <w:webHidden/>
          </w:rPr>
          <w:fldChar w:fldCharType="separate"/>
        </w:r>
        <w:r w:rsidR="00D61CF7">
          <w:rPr>
            <w:webHidden/>
          </w:rPr>
          <w:t>361</w:t>
        </w:r>
        <w:r w:rsidR="00D80FBD" w:rsidRPr="00D80FBD">
          <w:rPr>
            <w:webHidden/>
          </w:rPr>
          <w:fldChar w:fldCharType="end"/>
        </w:r>
      </w:hyperlink>
    </w:p>
    <w:p w14:paraId="785284F1" w14:textId="3EEA5C28"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29" w:history="1">
        <w:r w:rsidR="00D80FBD" w:rsidRPr="00D80FBD">
          <w:rPr>
            <w:rStyle w:val="Hipercze"/>
            <w:rFonts w:eastAsia="Arial"/>
          </w:rPr>
          <w:t xml:space="preserve">1. Wprowadzenie i </w:t>
        </w:r>
        <w:r w:rsidR="00D80FBD" w:rsidRPr="00D80FBD">
          <w:rPr>
            <w:rStyle w:val="Hipercze"/>
          </w:rPr>
          <w:t>charakterystyka zagadnienia</w:t>
        </w:r>
        <w:r w:rsidR="00D80FBD" w:rsidRPr="00D80FBD">
          <w:rPr>
            <w:webHidden/>
          </w:rPr>
          <w:tab/>
        </w:r>
        <w:r w:rsidR="00D80FBD" w:rsidRPr="00D80FBD">
          <w:rPr>
            <w:webHidden/>
          </w:rPr>
          <w:fldChar w:fldCharType="begin"/>
        </w:r>
        <w:r w:rsidR="00D80FBD" w:rsidRPr="00D80FBD">
          <w:rPr>
            <w:webHidden/>
          </w:rPr>
          <w:instrText xml:space="preserve"> PAGEREF _Toc135935729 \h </w:instrText>
        </w:r>
        <w:r w:rsidR="00D80FBD" w:rsidRPr="00D80FBD">
          <w:rPr>
            <w:webHidden/>
          </w:rPr>
        </w:r>
        <w:r w:rsidR="00D80FBD" w:rsidRPr="00D80FBD">
          <w:rPr>
            <w:webHidden/>
          </w:rPr>
          <w:fldChar w:fldCharType="separate"/>
        </w:r>
        <w:r w:rsidR="00D61CF7">
          <w:rPr>
            <w:webHidden/>
          </w:rPr>
          <w:t>361</w:t>
        </w:r>
        <w:r w:rsidR="00D80FBD" w:rsidRPr="00D80FBD">
          <w:rPr>
            <w:webHidden/>
          </w:rPr>
          <w:fldChar w:fldCharType="end"/>
        </w:r>
      </w:hyperlink>
    </w:p>
    <w:p w14:paraId="10C311C2" w14:textId="4E507268"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30" w:history="1">
        <w:r w:rsidR="00D80FBD" w:rsidRPr="00D80FBD">
          <w:rPr>
            <w:rStyle w:val="Hipercze"/>
          </w:rPr>
          <w:t>2. I</w:t>
        </w:r>
        <w:r w:rsidR="00D80FBD" w:rsidRPr="00D80FBD">
          <w:rPr>
            <w:rStyle w:val="Hipercze"/>
            <w:rFonts w:eastAsia="Arial"/>
          </w:rPr>
          <w:t>nformacje udzielone na podstawie wniosków</w:t>
        </w:r>
        <w:r w:rsidR="00D80FBD" w:rsidRPr="00D80FBD">
          <w:rPr>
            <w:webHidden/>
          </w:rPr>
          <w:tab/>
        </w:r>
        <w:r w:rsidR="00D80FBD" w:rsidRPr="00D80FBD">
          <w:rPr>
            <w:webHidden/>
          </w:rPr>
          <w:fldChar w:fldCharType="begin"/>
        </w:r>
        <w:r w:rsidR="00D80FBD" w:rsidRPr="00D80FBD">
          <w:rPr>
            <w:webHidden/>
          </w:rPr>
          <w:instrText xml:space="preserve"> PAGEREF _Toc135935730 \h </w:instrText>
        </w:r>
        <w:r w:rsidR="00D80FBD" w:rsidRPr="00D80FBD">
          <w:rPr>
            <w:webHidden/>
          </w:rPr>
        </w:r>
        <w:r w:rsidR="00D80FBD" w:rsidRPr="00D80FBD">
          <w:rPr>
            <w:webHidden/>
          </w:rPr>
          <w:fldChar w:fldCharType="separate"/>
        </w:r>
        <w:r w:rsidR="00D61CF7">
          <w:rPr>
            <w:webHidden/>
          </w:rPr>
          <w:t>363</w:t>
        </w:r>
        <w:r w:rsidR="00D80FBD" w:rsidRPr="00D80FBD">
          <w:rPr>
            <w:webHidden/>
          </w:rPr>
          <w:fldChar w:fldCharType="end"/>
        </w:r>
      </w:hyperlink>
    </w:p>
    <w:p w14:paraId="268CEADD" w14:textId="1B9A0232"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31" w:history="1">
        <w:r w:rsidR="00D80FBD" w:rsidRPr="00D80FBD">
          <w:rPr>
            <w:rStyle w:val="Hipercze"/>
            <w:rFonts w:eastAsia="Arial"/>
          </w:rPr>
          <w:t>3. Informacje udzielone za pomocą nowych mediów</w:t>
        </w:r>
        <w:r w:rsidR="00D80FBD" w:rsidRPr="00D80FBD">
          <w:rPr>
            <w:webHidden/>
          </w:rPr>
          <w:tab/>
        </w:r>
        <w:r w:rsidR="00D80FBD" w:rsidRPr="00D80FBD">
          <w:rPr>
            <w:webHidden/>
          </w:rPr>
          <w:fldChar w:fldCharType="begin"/>
        </w:r>
        <w:r w:rsidR="00D80FBD" w:rsidRPr="00D80FBD">
          <w:rPr>
            <w:webHidden/>
          </w:rPr>
          <w:instrText xml:space="preserve"> PAGEREF _Toc135935731 \h </w:instrText>
        </w:r>
        <w:r w:rsidR="00D80FBD" w:rsidRPr="00D80FBD">
          <w:rPr>
            <w:webHidden/>
          </w:rPr>
        </w:r>
        <w:r w:rsidR="00D80FBD" w:rsidRPr="00D80FBD">
          <w:rPr>
            <w:webHidden/>
          </w:rPr>
          <w:fldChar w:fldCharType="separate"/>
        </w:r>
        <w:r w:rsidR="00D61CF7">
          <w:rPr>
            <w:webHidden/>
          </w:rPr>
          <w:t>364</w:t>
        </w:r>
        <w:r w:rsidR="00D80FBD" w:rsidRPr="00D80FBD">
          <w:rPr>
            <w:webHidden/>
          </w:rPr>
          <w:fldChar w:fldCharType="end"/>
        </w:r>
      </w:hyperlink>
    </w:p>
    <w:p w14:paraId="071ADA49" w14:textId="50AAA748"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32" w:history="1">
        <w:r w:rsidR="00D80FBD" w:rsidRPr="00D80FBD">
          <w:rPr>
            <w:rStyle w:val="Hipercze"/>
            <w:rFonts w:eastAsia="Arial"/>
          </w:rPr>
          <w:t>4. Informacje udzielone przedstawicielom tradycyjnych mediów - prasa, radio i telewizja</w:t>
        </w:r>
        <w:r w:rsidR="00D80FBD" w:rsidRPr="00D80FBD">
          <w:rPr>
            <w:webHidden/>
          </w:rPr>
          <w:tab/>
        </w:r>
        <w:r w:rsidR="00D80FBD" w:rsidRPr="00D80FBD">
          <w:rPr>
            <w:webHidden/>
          </w:rPr>
          <w:fldChar w:fldCharType="begin"/>
        </w:r>
        <w:r w:rsidR="00D80FBD" w:rsidRPr="00D80FBD">
          <w:rPr>
            <w:webHidden/>
          </w:rPr>
          <w:instrText xml:space="preserve"> PAGEREF _Toc135935732 \h </w:instrText>
        </w:r>
        <w:r w:rsidR="00D80FBD" w:rsidRPr="00D80FBD">
          <w:rPr>
            <w:webHidden/>
          </w:rPr>
        </w:r>
        <w:r w:rsidR="00D80FBD" w:rsidRPr="00D80FBD">
          <w:rPr>
            <w:webHidden/>
          </w:rPr>
          <w:fldChar w:fldCharType="separate"/>
        </w:r>
        <w:r w:rsidR="00D61CF7">
          <w:rPr>
            <w:webHidden/>
          </w:rPr>
          <w:t>366</w:t>
        </w:r>
        <w:r w:rsidR="00D80FBD" w:rsidRPr="00D80FBD">
          <w:rPr>
            <w:webHidden/>
          </w:rPr>
          <w:fldChar w:fldCharType="end"/>
        </w:r>
      </w:hyperlink>
    </w:p>
    <w:p w14:paraId="2C34C643" w14:textId="60DBE2F6"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33" w:history="1">
        <w:r w:rsidR="00D80FBD" w:rsidRPr="00D80FBD">
          <w:rPr>
            <w:rStyle w:val="Hipercze"/>
          </w:rPr>
          <w:t>5. Działalność wydawnicza</w:t>
        </w:r>
        <w:r w:rsidR="00D80FBD" w:rsidRPr="00D80FBD">
          <w:rPr>
            <w:webHidden/>
          </w:rPr>
          <w:tab/>
        </w:r>
        <w:r w:rsidR="00D80FBD" w:rsidRPr="00D80FBD">
          <w:rPr>
            <w:webHidden/>
          </w:rPr>
          <w:fldChar w:fldCharType="begin"/>
        </w:r>
        <w:r w:rsidR="00D80FBD" w:rsidRPr="00D80FBD">
          <w:rPr>
            <w:webHidden/>
          </w:rPr>
          <w:instrText xml:space="preserve"> PAGEREF _Toc135935733 \h </w:instrText>
        </w:r>
        <w:r w:rsidR="00D80FBD" w:rsidRPr="00D80FBD">
          <w:rPr>
            <w:webHidden/>
          </w:rPr>
        </w:r>
        <w:r w:rsidR="00D80FBD" w:rsidRPr="00D80FBD">
          <w:rPr>
            <w:webHidden/>
          </w:rPr>
          <w:fldChar w:fldCharType="separate"/>
        </w:r>
        <w:r w:rsidR="00D61CF7">
          <w:rPr>
            <w:webHidden/>
          </w:rPr>
          <w:t>366</w:t>
        </w:r>
        <w:r w:rsidR="00D80FBD" w:rsidRPr="00D80FBD">
          <w:rPr>
            <w:webHidden/>
          </w:rPr>
          <w:fldChar w:fldCharType="end"/>
        </w:r>
      </w:hyperlink>
    </w:p>
    <w:p w14:paraId="7FA6C477" w14:textId="62B7B747"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34" w:history="1">
        <w:r w:rsidR="00D80FBD" w:rsidRPr="00D80FBD">
          <w:rPr>
            <w:rStyle w:val="Hipercze"/>
            <w:rFonts w:eastAsia="Arial"/>
          </w:rPr>
          <w:t>6. Inne formy upowszechniania informacji w społeczeństwie</w:t>
        </w:r>
        <w:r w:rsidR="00D80FBD" w:rsidRPr="00D80FBD">
          <w:rPr>
            <w:webHidden/>
          </w:rPr>
          <w:tab/>
        </w:r>
        <w:r w:rsidR="00D80FBD" w:rsidRPr="00D80FBD">
          <w:rPr>
            <w:webHidden/>
          </w:rPr>
          <w:fldChar w:fldCharType="begin"/>
        </w:r>
        <w:r w:rsidR="00D80FBD" w:rsidRPr="00D80FBD">
          <w:rPr>
            <w:webHidden/>
          </w:rPr>
          <w:instrText xml:space="preserve"> PAGEREF _Toc135935734 \h </w:instrText>
        </w:r>
        <w:r w:rsidR="00D80FBD" w:rsidRPr="00D80FBD">
          <w:rPr>
            <w:webHidden/>
          </w:rPr>
        </w:r>
        <w:r w:rsidR="00D80FBD" w:rsidRPr="00D80FBD">
          <w:rPr>
            <w:webHidden/>
          </w:rPr>
          <w:fldChar w:fldCharType="separate"/>
        </w:r>
        <w:r w:rsidR="00D61CF7">
          <w:rPr>
            <w:webHidden/>
          </w:rPr>
          <w:t>373</w:t>
        </w:r>
        <w:r w:rsidR="00D80FBD" w:rsidRPr="00D80FBD">
          <w:rPr>
            <w:webHidden/>
          </w:rPr>
          <w:fldChar w:fldCharType="end"/>
        </w:r>
      </w:hyperlink>
    </w:p>
    <w:p w14:paraId="3BCBF80D" w14:textId="21F8F273"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35" w:history="1">
        <w:r w:rsidR="00D80FBD" w:rsidRPr="00D80FBD">
          <w:rPr>
            <w:rStyle w:val="Hipercze"/>
          </w:rPr>
          <w:t>VIII. WSPÓŁPRACA MIĘDZYNARODOWA</w:t>
        </w:r>
        <w:r w:rsidR="00D80FBD" w:rsidRPr="00D80FBD">
          <w:rPr>
            <w:webHidden/>
          </w:rPr>
          <w:tab/>
        </w:r>
        <w:r w:rsidR="00D80FBD" w:rsidRPr="00D80FBD">
          <w:rPr>
            <w:webHidden/>
          </w:rPr>
          <w:fldChar w:fldCharType="begin"/>
        </w:r>
        <w:r w:rsidR="00D80FBD" w:rsidRPr="00D80FBD">
          <w:rPr>
            <w:webHidden/>
          </w:rPr>
          <w:instrText xml:space="preserve"> PAGEREF _Toc135935735 \h </w:instrText>
        </w:r>
        <w:r w:rsidR="00D80FBD" w:rsidRPr="00D80FBD">
          <w:rPr>
            <w:webHidden/>
          </w:rPr>
        </w:r>
        <w:r w:rsidR="00D80FBD" w:rsidRPr="00D80FBD">
          <w:rPr>
            <w:webHidden/>
          </w:rPr>
          <w:fldChar w:fldCharType="separate"/>
        </w:r>
        <w:r w:rsidR="00D61CF7">
          <w:rPr>
            <w:webHidden/>
          </w:rPr>
          <w:t>385</w:t>
        </w:r>
        <w:r w:rsidR="00D80FBD" w:rsidRPr="00D80FBD">
          <w:rPr>
            <w:webHidden/>
          </w:rPr>
          <w:fldChar w:fldCharType="end"/>
        </w:r>
      </w:hyperlink>
    </w:p>
    <w:p w14:paraId="1AF7D714" w14:textId="6E030817"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36" w:history="1">
        <w:r w:rsidR="00D80FBD" w:rsidRPr="00D80FBD">
          <w:rPr>
            <w:rStyle w:val="Hipercze"/>
          </w:rPr>
          <w:t>1. Charakterystyka zadań</w:t>
        </w:r>
        <w:r w:rsidR="00D80FBD" w:rsidRPr="00D80FBD">
          <w:rPr>
            <w:webHidden/>
          </w:rPr>
          <w:tab/>
        </w:r>
        <w:r w:rsidR="00D80FBD" w:rsidRPr="00D80FBD">
          <w:rPr>
            <w:webHidden/>
          </w:rPr>
          <w:fldChar w:fldCharType="begin"/>
        </w:r>
        <w:r w:rsidR="00D80FBD" w:rsidRPr="00D80FBD">
          <w:rPr>
            <w:webHidden/>
          </w:rPr>
          <w:instrText xml:space="preserve"> PAGEREF _Toc135935736 \h </w:instrText>
        </w:r>
        <w:r w:rsidR="00D80FBD" w:rsidRPr="00D80FBD">
          <w:rPr>
            <w:webHidden/>
          </w:rPr>
        </w:r>
        <w:r w:rsidR="00D80FBD" w:rsidRPr="00D80FBD">
          <w:rPr>
            <w:webHidden/>
          </w:rPr>
          <w:fldChar w:fldCharType="separate"/>
        </w:r>
        <w:r w:rsidR="00D61CF7">
          <w:rPr>
            <w:webHidden/>
          </w:rPr>
          <w:t>385</w:t>
        </w:r>
        <w:r w:rsidR="00D80FBD" w:rsidRPr="00D80FBD">
          <w:rPr>
            <w:webHidden/>
          </w:rPr>
          <w:fldChar w:fldCharType="end"/>
        </w:r>
      </w:hyperlink>
    </w:p>
    <w:p w14:paraId="3102D144" w14:textId="73D88E25"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37" w:history="1">
        <w:r w:rsidR="00D80FBD" w:rsidRPr="00D80FBD">
          <w:rPr>
            <w:rStyle w:val="Hipercze"/>
          </w:rPr>
          <w:t xml:space="preserve">2. Współpraca Inspekcji Ochrony Środowiska z instytucjami i agendami Unii </w:t>
        </w:r>
        <w:r w:rsidR="00D80FBD">
          <w:rPr>
            <w:rStyle w:val="Hipercze"/>
          </w:rPr>
          <w:br/>
        </w:r>
        <w:r w:rsidR="00D80FBD" w:rsidRPr="00D80FBD">
          <w:rPr>
            <w:rStyle w:val="Hipercze"/>
          </w:rPr>
          <w:t>Europejskiej</w:t>
        </w:r>
        <w:r w:rsidR="00D80FBD" w:rsidRPr="00D80FBD">
          <w:rPr>
            <w:webHidden/>
          </w:rPr>
          <w:tab/>
        </w:r>
        <w:r w:rsidR="00D80FBD" w:rsidRPr="00D80FBD">
          <w:rPr>
            <w:webHidden/>
          </w:rPr>
          <w:fldChar w:fldCharType="begin"/>
        </w:r>
        <w:r w:rsidR="00D80FBD" w:rsidRPr="00D80FBD">
          <w:rPr>
            <w:webHidden/>
          </w:rPr>
          <w:instrText xml:space="preserve"> PAGEREF _Toc135935737 \h </w:instrText>
        </w:r>
        <w:r w:rsidR="00D80FBD" w:rsidRPr="00D80FBD">
          <w:rPr>
            <w:webHidden/>
          </w:rPr>
        </w:r>
        <w:r w:rsidR="00D80FBD" w:rsidRPr="00D80FBD">
          <w:rPr>
            <w:webHidden/>
          </w:rPr>
          <w:fldChar w:fldCharType="separate"/>
        </w:r>
        <w:r w:rsidR="00D61CF7">
          <w:rPr>
            <w:webHidden/>
          </w:rPr>
          <w:t>385</w:t>
        </w:r>
        <w:r w:rsidR="00D80FBD" w:rsidRPr="00D80FBD">
          <w:rPr>
            <w:webHidden/>
          </w:rPr>
          <w:fldChar w:fldCharType="end"/>
        </w:r>
      </w:hyperlink>
    </w:p>
    <w:p w14:paraId="5422DD9E" w14:textId="783F35D2"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38" w:history="1">
        <w:r w:rsidR="00D80FBD" w:rsidRPr="00D80FBD">
          <w:rPr>
            <w:rStyle w:val="Hipercze"/>
          </w:rPr>
          <w:t>3. Udział w pracach komitetów i grup roboczych Unii Europejskiej oraz programach Komisji Europejskiej</w:t>
        </w:r>
        <w:r w:rsidR="00D80FBD" w:rsidRPr="00D80FBD">
          <w:rPr>
            <w:webHidden/>
          </w:rPr>
          <w:tab/>
        </w:r>
        <w:r w:rsidR="00D80FBD" w:rsidRPr="00D80FBD">
          <w:rPr>
            <w:webHidden/>
          </w:rPr>
          <w:fldChar w:fldCharType="begin"/>
        </w:r>
        <w:r w:rsidR="00D80FBD" w:rsidRPr="00D80FBD">
          <w:rPr>
            <w:webHidden/>
          </w:rPr>
          <w:instrText xml:space="preserve"> PAGEREF _Toc135935738 \h </w:instrText>
        </w:r>
        <w:r w:rsidR="00D80FBD" w:rsidRPr="00D80FBD">
          <w:rPr>
            <w:webHidden/>
          </w:rPr>
        </w:r>
        <w:r w:rsidR="00D80FBD" w:rsidRPr="00D80FBD">
          <w:rPr>
            <w:webHidden/>
          </w:rPr>
          <w:fldChar w:fldCharType="separate"/>
        </w:r>
        <w:r w:rsidR="00D61CF7">
          <w:rPr>
            <w:webHidden/>
          </w:rPr>
          <w:t>391</w:t>
        </w:r>
        <w:r w:rsidR="00D80FBD" w:rsidRPr="00D80FBD">
          <w:rPr>
            <w:webHidden/>
          </w:rPr>
          <w:fldChar w:fldCharType="end"/>
        </w:r>
      </w:hyperlink>
    </w:p>
    <w:p w14:paraId="589CCDEA" w14:textId="3400FB47"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39" w:history="1">
        <w:r w:rsidR="00D80FBD" w:rsidRPr="00D80FBD">
          <w:rPr>
            <w:rStyle w:val="Hipercze"/>
          </w:rPr>
          <w:t xml:space="preserve">4. Udział Inspekcji Ochrony Środowiska w wypełnianiu zadań wynikających dla Polski  </w:t>
        </w:r>
        <w:r w:rsidR="00D80FBD">
          <w:rPr>
            <w:rStyle w:val="Hipercze"/>
          </w:rPr>
          <w:br/>
        </w:r>
        <w:r w:rsidR="00D80FBD" w:rsidRPr="00D80FBD">
          <w:rPr>
            <w:rStyle w:val="Hipercze"/>
          </w:rPr>
          <w:t>z konwencji i umów międzynarodowych</w:t>
        </w:r>
        <w:r w:rsidR="00D80FBD" w:rsidRPr="00D80FBD">
          <w:rPr>
            <w:webHidden/>
          </w:rPr>
          <w:tab/>
        </w:r>
        <w:r w:rsidR="00D80FBD" w:rsidRPr="00D80FBD">
          <w:rPr>
            <w:webHidden/>
          </w:rPr>
          <w:fldChar w:fldCharType="begin"/>
        </w:r>
        <w:r w:rsidR="00D80FBD" w:rsidRPr="00D80FBD">
          <w:rPr>
            <w:webHidden/>
          </w:rPr>
          <w:instrText xml:space="preserve"> PAGEREF _Toc135935739 \h </w:instrText>
        </w:r>
        <w:r w:rsidR="00D80FBD" w:rsidRPr="00D80FBD">
          <w:rPr>
            <w:webHidden/>
          </w:rPr>
        </w:r>
        <w:r w:rsidR="00D80FBD" w:rsidRPr="00D80FBD">
          <w:rPr>
            <w:webHidden/>
          </w:rPr>
          <w:fldChar w:fldCharType="separate"/>
        </w:r>
        <w:r w:rsidR="00D61CF7">
          <w:rPr>
            <w:webHidden/>
          </w:rPr>
          <w:t>395</w:t>
        </w:r>
        <w:r w:rsidR="00D80FBD" w:rsidRPr="00D80FBD">
          <w:rPr>
            <w:webHidden/>
          </w:rPr>
          <w:fldChar w:fldCharType="end"/>
        </w:r>
      </w:hyperlink>
    </w:p>
    <w:p w14:paraId="129469D8" w14:textId="3E3663BA"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40" w:history="1">
        <w:r w:rsidR="00D80FBD" w:rsidRPr="00D80FBD">
          <w:rPr>
            <w:rStyle w:val="Hipercze"/>
          </w:rPr>
          <w:t>5. Inne formy współpracy wielostronnej</w:t>
        </w:r>
        <w:r w:rsidR="00D80FBD" w:rsidRPr="00D80FBD">
          <w:rPr>
            <w:rStyle w:val="Hipercze"/>
            <w:lang w:val="pl-PL"/>
          </w:rPr>
          <w:t xml:space="preserve"> i dwustronnej</w:t>
        </w:r>
        <w:r w:rsidR="00D80FBD" w:rsidRPr="00D80FBD">
          <w:rPr>
            <w:webHidden/>
          </w:rPr>
          <w:tab/>
        </w:r>
        <w:r w:rsidR="00D80FBD" w:rsidRPr="00D80FBD">
          <w:rPr>
            <w:webHidden/>
          </w:rPr>
          <w:fldChar w:fldCharType="begin"/>
        </w:r>
        <w:r w:rsidR="00D80FBD" w:rsidRPr="00D80FBD">
          <w:rPr>
            <w:webHidden/>
          </w:rPr>
          <w:instrText xml:space="preserve"> PAGEREF _Toc135935740 \h </w:instrText>
        </w:r>
        <w:r w:rsidR="00D80FBD" w:rsidRPr="00D80FBD">
          <w:rPr>
            <w:webHidden/>
          </w:rPr>
        </w:r>
        <w:r w:rsidR="00D80FBD" w:rsidRPr="00D80FBD">
          <w:rPr>
            <w:webHidden/>
          </w:rPr>
          <w:fldChar w:fldCharType="separate"/>
        </w:r>
        <w:r w:rsidR="00D61CF7">
          <w:rPr>
            <w:webHidden/>
          </w:rPr>
          <w:t>400</w:t>
        </w:r>
        <w:r w:rsidR="00D80FBD" w:rsidRPr="00D80FBD">
          <w:rPr>
            <w:webHidden/>
          </w:rPr>
          <w:fldChar w:fldCharType="end"/>
        </w:r>
      </w:hyperlink>
    </w:p>
    <w:p w14:paraId="62AD4328" w14:textId="624AD0C1"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41" w:history="1">
        <w:r w:rsidR="00D80FBD" w:rsidRPr="00D80FBD">
          <w:rPr>
            <w:rStyle w:val="Hipercze"/>
          </w:rPr>
          <w:t>6. Współpraca dwustronna</w:t>
        </w:r>
        <w:r w:rsidR="00D80FBD" w:rsidRPr="00D80FBD">
          <w:rPr>
            <w:webHidden/>
          </w:rPr>
          <w:tab/>
        </w:r>
        <w:r w:rsidR="00D80FBD" w:rsidRPr="00D80FBD">
          <w:rPr>
            <w:webHidden/>
          </w:rPr>
          <w:fldChar w:fldCharType="begin"/>
        </w:r>
        <w:r w:rsidR="00D80FBD" w:rsidRPr="00D80FBD">
          <w:rPr>
            <w:webHidden/>
          </w:rPr>
          <w:instrText xml:space="preserve"> PAGEREF _Toc135935741 \h </w:instrText>
        </w:r>
        <w:r w:rsidR="00D80FBD" w:rsidRPr="00D80FBD">
          <w:rPr>
            <w:webHidden/>
          </w:rPr>
        </w:r>
        <w:r w:rsidR="00D80FBD" w:rsidRPr="00D80FBD">
          <w:rPr>
            <w:webHidden/>
          </w:rPr>
          <w:fldChar w:fldCharType="separate"/>
        </w:r>
        <w:r w:rsidR="00D61CF7">
          <w:rPr>
            <w:webHidden/>
          </w:rPr>
          <w:t>402</w:t>
        </w:r>
        <w:r w:rsidR="00D80FBD" w:rsidRPr="00D80FBD">
          <w:rPr>
            <w:webHidden/>
          </w:rPr>
          <w:fldChar w:fldCharType="end"/>
        </w:r>
      </w:hyperlink>
    </w:p>
    <w:p w14:paraId="2BF63E82" w14:textId="45B55A21"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42" w:history="1">
        <w:r w:rsidR="00D80FBD" w:rsidRPr="00D80FBD">
          <w:rPr>
            <w:rStyle w:val="Hipercze"/>
          </w:rPr>
          <w:t>IX ASPEKTY ORGANIZACYJNE, PRAWNE I EKONOMICZNE</w:t>
        </w:r>
        <w:r w:rsidR="00D80FBD" w:rsidRPr="00D80FBD">
          <w:rPr>
            <w:webHidden/>
          </w:rPr>
          <w:tab/>
        </w:r>
        <w:r w:rsidR="00D80FBD" w:rsidRPr="00D80FBD">
          <w:rPr>
            <w:webHidden/>
          </w:rPr>
          <w:fldChar w:fldCharType="begin"/>
        </w:r>
        <w:r w:rsidR="00D80FBD" w:rsidRPr="00D80FBD">
          <w:rPr>
            <w:webHidden/>
          </w:rPr>
          <w:instrText xml:space="preserve"> PAGEREF _Toc135935742 \h </w:instrText>
        </w:r>
        <w:r w:rsidR="00D80FBD" w:rsidRPr="00D80FBD">
          <w:rPr>
            <w:webHidden/>
          </w:rPr>
        </w:r>
        <w:r w:rsidR="00D80FBD" w:rsidRPr="00D80FBD">
          <w:rPr>
            <w:webHidden/>
          </w:rPr>
          <w:fldChar w:fldCharType="separate"/>
        </w:r>
        <w:r w:rsidR="00D61CF7">
          <w:rPr>
            <w:webHidden/>
          </w:rPr>
          <w:t>405</w:t>
        </w:r>
        <w:r w:rsidR="00D80FBD" w:rsidRPr="00D80FBD">
          <w:rPr>
            <w:webHidden/>
          </w:rPr>
          <w:fldChar w:fldCharType="end"/>
        </w:r>
      </w:hyperlink>
    </w:p>
    <w:p w14:paraId="20C8C710" w14:textId="5BB1A7A2"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43" w:history="1">
        <w:r w:rsidR="00D80FBD" w:rsidRPr="00D80FBD">
          <w:rPr>
            <w:rStyle w:val="Hipercze"/>
          </w:rPr>
          <w:t>1. Zmiany w organizacji Inspekcji Ochrony Środowiska</w:t>
        </w:r>
        <w:r w:rsidR="00D80FBD" w:rsidRPr="00D80FBD">
          <w:rPr>
            <w:webHidden/>
          </w:rPr>
          <w:tab/>
        </w:r>
        <w:r w:rsidR="00D80FBD" w:rsidRPr="00D80FBD">
          <w:rPr>
            <w:webHidden/>
          </w:rPr>
          <w:fldChar w:fldCharType="begin"/>
        </w:r>
        <w:r w:rsidR="00D80FBD" w:rsidRPr="00D80FBD">
          <w:rPr>
            <w:webHidden/>
          </w:rPr>
          <w:instrText xml:space="preserve"> PAGEREF _Toc135935743 \h </w:instrText>
        </w:r>
        <w:r w:rsidR="00D80FBD" w:rsidRPr="00D80FBD">
          <w:rPr>
            <w:webHidden/>
          </w:rPr>
        </w:r>
        <w:r w:rsidR="00D80FBD" w:rsidRPr="00D80FBD">
          <w:rPr>
            <w:webHidden/>
          </w:rPr>
          <w:fldChar w:fldCharType="separate"/>
        </w:r>
        <w:r w:rsidR="00D61CF7">
          <w:rPr>
            <w:webHidden/>
          </w:rPr>
          <w:t>405</w:t>
        </w:r>
        <w:r w:rsidR="00D80FBD" w:rsidRPr="00D80FBD">
          <w:rPr>
            <w:webHidden/>
          </w:rPr>
          <w:fldChar w:fldCharType="end"/>
        </w:r>
      </w:hyperlink>
    </w:p>
    <w:p w14:paraId="51896F60" w14:textId="3A369675"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44" w:history="1">
        <w:r w:rsidR="00D80FBD" w:rsidRPr="00D80FBD">
          <w:rPr>
            <w:rStyle w:val="Hipercze"/>
          </w:rPr>
          <w:t>2. Charakterystyka udziału GIOŚ w pracach legislacyjnych</w:t>
        </w:r>
        <w:r w:rsidR="00D80FBD" w:rsidRPr="00D80FBD">
          <w:rPr>
            <w:webHidden/>
          </w:rPr>
          <w:tab/>
        </w:r>
        <w:r w:rsidR="00D80FBD" w:rsidRPr="00D80FBD">
          <w:rPr>
            <w:webHidden/>
          </w:rPr>
          <w:fldChar w:fldCharType="begin"/>
        </w:r>
        <w:r w:rsidR="00D80FBD" w:rsidRPr="00D80FBD">
          <w:rPr>
            <w:webHidden/>
          </w:rPr>
          <w:instrText xml:space="preserve"> PAGEREF _Toc135935744 \h </w:instrText>
        </w:r>
        <w:r w:rsidR="00D80FBD" w:rsidRPr="00D80FBD">
          <w:rPr>
            <w:webHidden/>
          </w:rPr>
        </w:r>
        <w:r w:rsidR="00D80FBD" w:rsidRPr="00D80FBD">
          <w:rPr>
            <w:webHidden/>
          </w:rPr>
          <w:fldChar w:fldCharType="separate"/>
        </w:r>
        <w:r w:rsidR="00D61CF7">
          <w:rPr>
            <w:webHidden/>
          </w:rPr>
          <w:t>405</w:t>
        </w:r>
        <w:r w:rsidR="00D80FBD" w:rsidRPr="00D80FBD">
          <w:rPr>
            <w:webHidden/>
          </w:rPr>
          <w:fldChar w:fldCharType="end"/>
        </w:r>
      </w:hyperlink>
    </w:p>
    <w:p w14:paraId="2082A96B" w14:textId="60BFBEDE"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45" w:history="1">
        <w:r w:rsidR="00D80FBD" w:rsidRPr="00D80FBD">
          <w:rPr>
            <w:rStyle w:val="Hipercze"/>
          </w:rPr>
          <w:t xml:space="preserve">3. </w:t>
        </w:r>
        <w:r w:rsidR="00D80FBD" w:rsidRPr="00D80FBD">
          <w:rPr>
            <w:rStyle w:val="Hipercze"/>
            <w:rFonts w:eastAsia="Arial"/>
          </w:rPr>
          <w:t>Porozumienia Głównego Inspektora Ochrony Środowiska zawarte w 2022 r. z innymi organami</w:t>
        </w:r>
        <w:r w:rsidR="00D80FBD" w:rsidRPr="00D80FBD">
          <w:rPr>
            <w:webHidden/>
          </w:rPr>
          <w:tab/>
        </w:r>
        <w:r w:rsidR="00D80FBD" w:rsidRPr="00D80FBD">
          <w:rPr>
            <w:webHidden/>
          </w:rPr>
          <w:fldChar w:fldCharType="begin"/>
        </w:r>
        <w:r w:rsidR="00D80FBD" w:rsidRPr="00D80FBD">
          <w:rPr>
            <w:webHidden/>
          </w:rPr>
          <w:instrText xml:space="preserve"> PAGEREF _Toc135935745 \h </w:instrText>
        </w:r>
        <w:r w:rsidR="00D80FBD" w:rsidRPr="00D80FBD">
          <w:rPr>
            <w:webHidden/>
          </w:rPr>
        </w:r>
        <w:r w:rsidR="00D80FBD" w:rsidRPr="00D80FBD">
          <w:rPr>
            <w:webHidden/>
          </w:rPr>
          <w:fldChar w:fldCharType="separate"/>
        </w:r>
        <w:r w:rsidR="00D61CF7">
          <w:rPr>
            <w:webHidden/>
          </w:rPr>
          <w:t>407</w:t>
        </w:r>
        <w:r w:rsidR="00D80FBD" w:rsidRPr="00D80FBD">
          <w:rPr>
            <w:webHidden/>
          </w:rPr>
          <w:fldChar w:fldCharType="end"/>
        </w:r>
      </w:hyperlink>
    </w:p>
    <w:p w14:paraId="4FAA24CB" w14:textId="1CAD8F7F"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46" w:history="1">
        <w:r w:rsidR="00D80FBD" w:rsidRPr="00D80FBD">
          <w:rPr>
            <w:rStyle w:val="Hipercze"/>
          </w:rPr>
          <w:t>4. Materiały przedkładane przez GIOŚ Ministrowi Klimatu i Środowiska lub przekazywane innym organom, po konsultacji z Ministerstwem Klimatu i Środowiska</w:t>
        </w:r>
        <w:r w:rsidR="00D80FBD" w:rsidRPr="00D80FBD">
          <w:rPr>
            <w:webHidden/>
          </w:rPr>
          <w:tab/>
        </w:r>
        <w:r w:rsidR="00D80FBD" w:rsidRPr="00D80FBD">
          <w:rPr>
            <w:webHidden/>
          </w:rPr>
          <w:fldChar w:fldCharType="begin"/>
        </w:r>
        <w:r w:rsidR="00D80FBD" w:rsidRPr="00D80FBD">
          <w:rPr>
            <w:webHidden/>
          </w:rPr>
          <w:instrText xml:space="preserve"> PAGEREF _Toc135935746 \h </w:instrText>
        </w:r>
        <w:r w:rsidR="00D80FBD" w:rsidRPr="00D80FBD">
          <w:rPr>
            <w:webHidden/>
          </w:rPr>
        </w:r>
        <w:r w:rsidR="00D80FBD" w:rsidRPr="00D80FBD">
          <w:rPr>
            <w:webHidden/>
          </w:rPr>
          <w:fldChar w:fldCharType="separate"/>
        </w:r>
        <w:r w:rsidR="00D61CF7">
          <w:rPr>
            <w:webHidden/>
          </w:rPr>
          <w:t>408</w:t>
        </w:r>
        <w:r w:rsidR="00D80FBD" w:rsidRPr="00D80FBD">
          <w:rPr>
            <w:webHidden/>
          </w:rPr>
          <w:fldChar w:fldCharType="end"/>
        </w:r>
      </w:hyperlink>
    </w:p>
    <w:p w14:paraId="4D525F0E" w14:textId="0573359F"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47" w:history="1">
        <w:r w:rsidR="00D80FBD" w:rsidRPr="00D80FBD">
          <w:rPr>
            <w:rStyle w:val="Hipercze"/>
          </w:rPr>
          <w:t>5. Szkolenia</w:t>
        </w:r>
        <w:r w:rsidR="00D80FBD" w:rsidRPr="00D80FBD">
          <w:rPr>
            <w:webHidden/>
          </w:rPr>
          <w:tab/>
        </w:r>
        <w:r w:rsidR="00D80FBD" w:rsidRPr="00D80FBD">
          <w:rPr>
            <w:webHidden/>
          </w:rPr>
          <w:fldChar w:fldCharType="begin"/>
        </w:r>
        <w:r w:rsidR="00D80FBD" w:rsidRPr="00D80FBD">
          <w:rPr>
            <w:webHidden/>
          </w:rPr>
          <w:instrText xml:space="preserve"> PAGEREF _Toc135935747 \h </w:instrText>
        </w:r>
        <w:r w:rsidR="00D80FBD" w:rsidRPr="00D80FBD">
          <w:rPr>
            <w:webHidden/>
          </w:rPr>
        </w:r>
        <w:r w:rsidR="00D80FBD" w:rsidRPr="00D80FBD">
          <w:rPr>
            <w:webHidden/>
          </w:rPr>
          <w:fldChar w:fldCharType="separate"/>
        </w:r>
        <w:r w:rsidR="00D61CF7">
          <w:rPr>
            <w:webHidden/>
          </w:rPr>
          <w:t>409</w:t>
        </w:r>
        <w:r w:rsidR="00D80FBD" w:rsidRPr="00D80FBD">
          <w:rPr>
            <w:webHidden/>
          </w:rPr>
          <w:fldChar w:fldCharType="end"/>
        </w:r>
      </w:hyperlink>
    </w:p>
    <w:p w14:paraId="6C1577B9" w14:textId="44D51401"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48" w:history="1">
        <w:r w:rsidR="00D80FBD" w:rsidRPr="00D80FBD">
          <w:rPr>
            <w:rStyle w:val="Hipercze"/>
          </w:rPr>
          <w:t>6. Zagadnienia kadrowe</w:t>
        </w:r>
        <w:r w:rsidR="00D80FBD" w:rsidRPr="00D80FBD">
          <w:rPr>
            <w:webHidden/>
          </w:rPr>
          <w:tab/>
        </w:r>
        <w:r w:rsidR="00D80FBD" w:rsidRPr="00D80FBD">
          <w:rPr>
            <w:webHidden/>
          </w:rPr>
          <w:fldChar w:fldCharType="begin"/>
        </w:r>
        <w:r w:rsidR="00D80FBD" w:rsidRPr="00D80FBD">
          <w:rPr>
            <w:webHidden/>
          </w:rPr>
          <w:instrText xml:space="preserve"> PAGEREF _Toc135935748 \h </w:instrText>
        </w:r>
        <w:r w:rsidR="00D80FBD" w:rsidRPr="00D80FBD">
          <w:rPr>
            <w:webHidden/>
          </w:rPr>
        </w:r>
        <w:r w:rsidR="00D80FBD" w:rsidRPr="00D80FBD">
          <w:rPr>
            <w:webHidden/>
          </w:rPr>
          <w:fldChar w:fldCharType="separate"/>
        </w:r>
        <w:r w:rsidR="00D61CF7">
          <w:rPr>
            <w:webHidden/>
          </w:rPr>
          <w:t>409</w:t>
        </w:r>
        <w:r w:rsidR="00D80FBD" w:rsidRPr="00D80FBD">
          <w:rPr>
            <w:webHidden/>
          </w:rPr>
          <w:fldChar w:fldCharType="end"/>
        </w:r>
      </w:hyperlink>
    </w:p>
    <w:p w14:paraId="0E9ED3AB" w14:textId="22DB9C34"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49" w:history="1">
        <w:r w:rsidR="00D80FBD" w:rsidRPr="00D80FBD">
          <w:rPr>
            <w:rStyle w:val="Hipercze"/>
          </w:rPr>
          <w:t>7. Zagadnienia ekonomiczno-finansowe</w:t>
        </w:r>
        <w:r w:rsidR="00D80FBD" w:rsidRPr="00D80FBD">
          <w:rPr>
            <w:webHidden/>
          </w:rPr>
          <w:tab/>
        </w:r>
        <w:r w:rsidR="00D80FBD" w:rsidRPr="00D80FBD">
          <w:rPr>
            <w:webHidden/>
          </w:rPr>
          <w:fldChar w:fldCharType="begin"/>
        </w:r>
        <w:r w:rsidR="00D80FBD" w:rsidRPr="00D80FBD">
          <w:rPr>
            <w:webHidden/>
          </w:rPr>
          <w:instrText xml:space="preserve"> PAGEREF _Toc135935749 \h </w:instrText>
        </w:r>
        <w:r w:rsidR="00D80FBD" w:rsidRPr="00D80FBD">
          <w:rPr>
            <w:webHidden/>
          </w:rPr>
        </w:r>
        <w:r w:rsidR="00D80FBD" w:rsidRPr="00D80FBD">
          <w:rPr>
            <w:webHidden/>
          </w:rPr>
          <w:fldChar w:fldCharType="separate"/>
        </w:r>
        <w:r w:rsidR="00D61CF7">
          <w:rPr>
            <w:webHidden/>
          </w:rPr>
          <w:t>410</w:t>
        </w:r>
        <w:r w:rsidR="00D80FBD" w:rsidRPr="00D80FBD">
          <w:rPr>
            <w:webHidden/>
          </w:rPr>
          <w:fldChar w:fldCharType="end"/>
        </w:r>
      </w:hyperlink>
    </w:p>
    <w:p w14:paraId="7E2B0A7A" w14:textId="649FFE5D" w:rsidR="00D80FBD" w:rsidRPr="00D80FBD" w:rsidRDefault="00C601FE">
      <w:pPr>
        <w:pStyle w:val="Spistreci1"/>
        <w:rPr>
          <w:rFonts w:asciiTheme="minorHAnsi" w:eastAsiaTheme="minorEastAsia" w:hAnsiTheme="minorHAnsi" w:cstheme="minorBidi"/>
          <w:bCs w:val="0"/>
          <w:sz w:val="22"/>
          <w:szCs w:val="22"/>
          <w:lang w:val="pl-PL" w:eastAsia="pl-PL"/>
        </w:rPr>
      </w:pPr>
      <w:hyperlink w:anchor="_Toc135935750" w:history="1">
        <w:r w:rsidR="00D80FBD" w:rsidRPr="00D80FBD">
          <w:rPr>
            <w:rStyle w:val="Hipercze"/>
          </w:rPr>
          <w:t>X. PODSUMOWANIE</w:t>
        </w:r>
        <w:r w:rsidR="00D80FBD" w:rsidRPr="00D80FBD">
          <w:rPr>
            <w:webHidden/>
          </w:rPr>
          <w:tab/>
        </w:r>
        <w:r w:rsidR="00D80FBD" w:rsidRPr="00D80FBD">
          <w:rPr>
            <w:webHidden/>
          </w:rPr>
          <w:fldChar w:fldCharType="begin"/>
        </w:r>
        <w:r w:rsidR="00D80FBD" w:rsidRPr="00D80FBD">
          <w:rPr>
            <w:webHidden/>
          </w:rPr>
          <w:instrText xml:space="preserve"> PAGEREF _Toc135935750 \h </w:instrText>
        </w:r>
        <w:r w:rsidR="00D80FBD" w:rsidRPr="00D80FBD">
          <w:rPr>
            <w:webHidden/>
          </w:rPr>
        </w:r>
        <w:r w:rsidR="00D80FBD" w:rsidRPr="00D80FBD">
          <w:rPr>
            <w:webHidden/>
          </w:rPr>
          <w:fldChar w:fldCharType="separate"/>
        </w:r>
        <w:r w:rsidR="00D61CF7">
          <w:rPr>
            <w:webHidden/>
          </w:rPr>
          <w:t>411</w:t>
        </w:r>
        <w:r w:rsidR="00D80FBD" w:rsidRPr="00D80FBD">
          <w:rPr>
            <w:webHidden/>
          </w:rPr>
          <w:fldChar w:fldCharType="end"/>
        </w:r>
      </w:hyperlink>
    </w:p>
    <w:p w14:paraId="40849C81" w14:textId="232C5DA8" w:rsidR="005460D7" w:rsidRPr="00D80FBD" w:rsidRDefault="00895F16" w:rsidP="00895F16">
      <w:pPr>
        <w:spacing w:after="0" w:line="300" w:lineRule="atLeast"/>
        <w:rPr>
          <w:rFonts w:ascii="Times New Roman" w:eastAsia="Calibri" w:hAnsi="Times New Roman" w:cs="Times New Roman"/>
          <w:bCs/>
          <w:sz w:val="20"/>
          <w:szCs w:val="20"/>
          <w:lang w:eastAsia="pl-PL"/>
        </w:rPr>
      </w:pPr>
      <w:r w:rsidRPr="00D80FBD">
        <w:rPr>
          <w:rFonts w:ascii="Times New Roman" w:eastAsia="Calibri" w:hAnsi="Times New Roman" w:cs="Times New Roman"/>
          <w:bCs/>
          <w:sz w:val="20"/>
          <w:szCs w:val="20"/>
          <w:lang w:eastAsia="pl-PL"/>
        </w:rPr>
        <w:fldChar w:fldCharType="end"/>
      </w:r>
    </w:p>
    <w:p w14:paraId="6C842864" w14:textId="77777777" w:rsidR="005460D7" w:rsidRDefault="005460D7">
      <w:pPr>
        <w:rPr>
          <w:rFonts w:ascii="Times New Roman" w:eastAsia="Calibri" w:hAnsi="Times New Roman" w:cs="Times New Roman"/>
          <w:bCs/>
          <w:sz w:val="20"/>
          <w:szCs w:val="20"/>
          <w:lang w:eastAsia="pl-PL"/>
        </w:rPr>
      </w:pPr>
      <w:r>
        <w:rPr>
          <w:rFonts w:ascii="Times New Roman" w:eastAsia="Calibri" w:hAnsi="Times New Roman" w:cs="Times New Roman"/>
          <w:bCs/>
          <w:sz w:val="20"/>
          <w:szCs w:val="20"/>
          <w:lang w:eastAsia="pl-PL"/>
        </w:rPr>
        <w:br w:type="page"/>
      </w:r>
    </w:p>
    <w:p w14:paraId="5E3CCDFF" w14:textId="3D210055" w:rsidR="00895F16" w:rsidRPr="007F400A" w:rsidRDefault="00895F16" w:rsidP="00895F16">
      <w:pPr>
        <w:keepNext/>
        <w:spacing w:after="0" w:line="300" w:lineRule="atLeast"/>
        <w:outlineLvl w:val="0"/>
        <w:rPr>
          <w:rFonts w:ascii="Times New Roman" w:eastAsia="Times New Roman" w:hAnsi="Times New Roman" w:cs="Times New Roman"/>
          <w:b/>
          <w:sz w:val="24"/>
          <w:szCs w:val="24"/>
          <w:lang w:eastAsia="x-none"/>
        </w:rPr>
      </w:pPr>
      <w:bookmarkStart w:id="2" w:name="_Toc515437501"/>
      <w:bookmarkStart w:id="3" w:name="_Toc515437819"/>
      <w:bookmarkStart w:id="4" w:name="_Toc5878520"/>
      <w:bookmarkStart w:id="5" w:name="_Toc36732546"/>
      <w:bookmarkStart w:id="6" w:name="_Toc135935572"/>
      <w:bookmarkStart w:id="7" w:name="_Hlk132364759"/>
      <w:r w:rsidRPr="007F400A">
        <w:rPr>
          <w:rFonts w:ascii="Times New Roman" w:eastAsia="Times New Roman" w:hAnsi="Times New Roman" w:cs="Times New Roman"/>
          <w:b/>
          <w:sz w:val="24"/>
          <w:szCs w:val="24"/>
          <w:lang w:val="x-none" w:eastAsia="x-none"/>
        </w:rPr>
        <w:lastRenderedPageBreak/>
        <w:t>I. WSTĘP</w:t>
      </w:r>
      <w:bookmarkEnd w:id="2"/>
      <w:bookmarkEnd w:id="3"/>
      <w:bookmarkEnd w:id="4"/>
      <w:bookmarkEnd w:id="5"/>
      <w:bookmarkEnd w:id="6"/>
    </w:p>
    <w:p w14:paraId="5DB78A00" w14:textId="53064866" w:rsidR="00895F16" w:rsidRPr="007F400A" w:rsidRDefault="00895F16" w:rsidP="00B41ED7">
      <w:pPr>
        <w:spacing w:after="60" w:line="300" w:lineRule="atLeast"/>
        <w:ind w:firstLine="567"/>
        <w:jc w:val="both"/>
        <w:rPr>
          <w:rFonts w:ascii="Times New Roman" w:eastAsia="Calibri" w:hAnsi="Times New Roman" w:cs="Times New Roman"/>
          <w:sz w:val="24"/>
          <w:szCs w:val="24"/>
          <w:lang w:eastAsia="pl-PL"/>
        </w:rPr>
      </w:pPr>
      <w:r w:rsidRPr="007F400A">
        <w:rPr>
          <w:rFonts w:ascii="Times New Roman" w:eastAsia="Calibri" w:hAnsi="Times New Roman" w:cs="Times New Roman"/>
          <w:sz w:val="24"/>
          <w:szCs w:val="24"/>
          <w:lang w:eastAsia="pl-PL"/>
        </w:rPr>
        <w:t xml:space="preserve">Inspekcja Ochrony Środowiska jest organem administracji rządowej odpowiedzialnym </w:t>
      </w:r>
      <w:r w:rsidRPr="007F400A">
        <w:rPr>
          <w:rFonts w:ascii="Times New Roman" w:eastAsia="Calibri" w:hAnsi="Times New Roman" w:cs="Times New Roman"/>
          <w:sz w:val="24"/>
          <w:szCs w:val="24"/>
          <w:lang w:eastAsia="pl-PL"/>
        </w:rPr>
        <w:br/>
        <w:t xml:space="preserve">za realizację konstytucyjnej wartości – bezpieczeństwa ekologicznego Rzeczypospolitej Polskiej. Swoją misję wypełnia poprzez realizację zadań ustawowych, zadań powierzonych przez ministra właściwego do spraw klimatu i środowiska, udział w tworzeniu prawa oraz współpracę międzynarodową. Do obszarów działania Inspekcji należą m.in.: kontrola przestrzegania prawa dotyczącego ochrony środowiska, nadzór nad gospodarowaniem odpadami i transgranicznym przewozem odpadów, prowadzenie </w:t>
      </w:r>
      <w:r w:rsidR="006B13E5">
        <w:rPr>
          <w:rFonts w:ascii="Times New Roman" w:eastAsia="Calibri" w:hAnsi="Times New Roman" w:cs="Times New Roman"/>
          <w:sz w:val="24"/>
          <w:szCs w:val="24"/>
          <w:lang w:eastAsia="pl-PL"/>
        </w:rPr>
        <w:t xml:space="preserve">monitoringu środowiska </w:t>
      </w:r>
      <w:r w:rsidR="006B13E5">
        <w:rPr>
          <w:rFonts w:ascii="Times New Roman" w:eastAsia="Calibri" w:hAnsi="Times New Roman" w:cs="Times New Roman"/>
          <w:sz w:val="24"/>
          <w:szCs w:val="24"/>
          <w:lang w:eastAsia="pl-PL"/>
        </w:rPr>
        <w:br/>
      </w:r>
      <w:r w:rsidRPr="007F400A">
        <w:rPr>
          <w:rFonts w:ascii="Times New Roman" w:eastAsia="Calibri" w:hAnsi="Times New Roman" w:cs="Times New Roman"/>
          <w:sz w:val="24"/>
          <w:szCs w:val="24"/>
          <w:lang w:eastAsia="pl-PL"/>
        </w:rPr>
        <w:t>i dokonywanie oceny stanu środowiska, przeciwdziałanie poważnym awariom, a także upowszechnianie informacji o środowisku</w:t>
      </w:r>
      <w:r w:rsidR="002F215C">
        <w:rPr>
          <w:rFonts w:ascii="Times New Roman" w:eastAsia="Calibri" w:hAnsi="Times New Roman" w:cs="Times New Roman"/>
          <w:sz w:val="24"/>
          <w:szCs w:val="24"/>
          <w:lang w:eastAsia="pl-PL"/>
        </w:rPr>
        <w:t>.</w:t>
      </w:r>
    </w:p>
    <w:p w14:paraId="4B192922" w14:textId="11410F1B" w:rsidR="00C746EA" w:rsidRDefault="00895F16" w:rsidP="00B41ED7">
      <w:pPr>
        <w:spacing w:after="60" w:line="300" w:lineRule="atLeast"/>
        <w:ind w:firstLine="567"/>
        <w:jc w:val="both"/>
        <w:rPr>
          <w:rFonts w:ascii="Times New Roman" w:eastAsia="Calibri" w:hAnsi="Times New Roman" w:cs="Times New Roman"/>
          <w:sz w:val="24"/>
          <w:szCs w:val="24"/>
          <w:lang w:eastAsia="pl-PL"/>
        </w:rPr>
      </w:pPr>
      <w:r w:rsidRPr="007F400A">
        <w:rPr>
          <w:rFonts w:ascii="Times New Roman" w:eastAsia="Calibri" w:hAnsi="Times New Roman" w:cs="Times New Roman"/>
          <w:sz w:val="24"/>
          <w:szCs w:val="24"/>
          <w:lang w:eastAsia="pl-PL"/>
        </w:rPr>
        <w:t>W roku 202</w:t>
      </w:r>
      <w:r w:rsidR="00B41ED7">
        <w:rPr>
          <w:rFonts w:ascii="Times New Roman" w:eastAsia="Calibri" w:hAnsi="Times New Roman" w:cs="Times New Roman"/>
          <w:sz w:val="24"/>
          <w:szCs w:val="24"/>
          <w:lang w:eastAsia="pl-PL"/>
        </w:rPr>
        <w:t>2</w:t>
      </w:r>
      <w:r w:rsidRPr="007F400A">
        <w:rPr>
          <w:rFonts w:ascii="Times New Roman" w:eastAsia="Calibri" w:hAnsi="Times New Roman" w:cs="Times New Roman"/>
          <w:sz w:val="24"/>
          <w:szCs w:val="24"/>
          <w:lang w:eastAsia="pl-PL"/>
        </w:rPr>
        <w:t xml:space="preserve"> Inspekcja Ochrony Środowiska kontynuowała realizację swoich zadań </w:t>
      </w:r>
      <w:r w:rsidR="006B13E5">
        <w:rPr>
          <w:rFonts w:ascii="Times New Roman" w:eastAsia="Calibri" w:hAnsi="Times New Roman" w:cs="Times New Roman"/>
          <w:sz w:val="24"/>
          <w:szCs w:val="24"/>
          <w:lang w:eastAsia="pl-PL"/>
        </w:rPr>
        <w:t xml:space="preserve">wynikających z ustawy z dnia 20 lipca 1991 r. o Inspekcji Ochrony Środowiska, kładąc szczególny nacisk na kwestie związane ze zwalczaniem przestępczości środowiskowej, obejmujące m.in. reagowanie na interwencje, prowadzenie działań w terenie przy użyciu nowoczesnych urządzeń technicznych, </w:t>
      </w:r>
      <w:r w:rsidR="00C746EA">
        <w:rPr>
          <w:rFonts w:ascii="Times New Roman" w:eastAsia="Calibri" w:hAnsi="Times New Roman" w:cs="Times New Roman"/>
          <w:sz w:val="24"/>
          <w:szCs w:val="24"/>
          <w:lang w:eastAsia="pl-PL"/>
        </w:rPr>
        <w:t xml:space="preserve">a także </w:t>
      </w:r>
      <w:r w:rsidR="002F215C">
        <w:rPr>
          <w:rFonts w:ascii="Times New Roman" w:eastAsia="Calibri" w:hAnsi="Times New Roman" w:cs="Times New Roman"/>
          <w:sz w:val="24"/>
          <w:szCs w:val="24"/>
          <w:lang w:eastAsia="pl-PL"/>
        </w:rPr>
        <w:t xml:space="preserve">udział w </w:t>
      </w:r>
      <w:r w:rsidR="006B13E5">
        <w:rPr>
          <w:rFonts w:ascii="Times New Roman" w:eastAsia="Calibri" w:hAnsi="Times New Roman" w:cs="Times New Roman"/>
          <w:sz w:val="24"/>
          <w:szCs w:val="24"/>
          <w:lang w:eastAsia="pl-PL"/>
        </w:rPr>
        <w:t>kontrol</w:t>
      </w:r>
      <w:r w:rsidR="002F215C">
        <w:rPr>
          <w:rFonts w:ascii="Times New Roman" w:eastAsia="Calibri" w:hAnsi="Times New Roman" w:cs="Times New Roman"/>
          <w:sz w:val="24"/>
          <w:szCs w:val="24"/>
          <w:lang w:eastAsia="pl-PL"/>
        </w:rPr>
        <w:t>ach</w:t>
      </w:r>
      <w:r w:rsidR="006B13E5">
        <w:rPr>
          <w:rFonts w:ascii="Times New Roman" w:eastAsia="Calibri" w:hAnsi="Times New Roman" w:cs="Times New Roman"/>
          <w:sz w:val="24"/>
          <w:szCs w:val="24"/>
          <w:lang w:eastAsia="pl-PL"/>
        </w:rPr>
        <w:t xml:space="preserve"> drogowyc</w:t>
      </w:r>
      <w:r w:rsidR="00C746EA">
        <w:rPr>
          <w:rFonts w:ascii="Times New Roman" w:eastAsia="Calibri" w:hAnsi="Times New Roman" w:cs="Times New Roman"/>
          <w:sz w:val="24"/>
          <w:szCs w:val="24"/>
          <w:lang w:eastAsia="pl-PL"/>
        </w:rPr>
        <w:t>h ukierunkowanych na transport odpadów w strumieniu zarówno krajowym, jak i zagranicznym.</w:t>
      </w:r>
    </w:p>
    <w:p w14:paraId="6535FE16" w14:textId="7DA9458A" w:rsidR="00895F16" w:rsidRPr="007F400A" w:rsidRDefault="00C746EA" w:rsidP="00F95F78">
      <w:pPr>
        <w:spacing w:after="60" w:line="300" w:lineRule="atLeast"/>
        <w:ind w:firstLine="567"/>
        <w:jc w:val="both"/>
        <w:rPr>
          <w:rFonts w:ascii="Times New Roman" w:eastAsia="Calibri" w:hAnsi="Times New Roman" w:cs="Times New Roman"/>
          <w:sz w:val="24"/>
          <w:szCs w:val="24"/>
          <w:lang w:eastAsia="pl-PL"/>
        </w:rPr>
      </w:pPr>
      <w:r>
        <w:rPr>
          <w:rFonts w:ascii="Times New Roman" w:eastAsia="Calibri" w:hAnsi="Times New Roman" w:cs="Times New Roman"/>
          <w:sz w:val="24"/>
          <w:szCs w:val="24"/>
          <w:lang w:eastAsia="pl-PL"/>
        </w:rPr>
        <w:t xml:space="preserve">To właśnie głównie z myślą o zwalczaniu przestępczości środowiskowej służby Inspekcji są od kilku lat reorganizowane i modernizowane tak, aby mogły skutecznie </w:t>
      </w:r>
      <w:r w:rsidR="006A380E">
        <w:rPr>
          <w:rFonts w:ascii="Times New Roman" w:eastAsia="Calibri" w:hAnsi="Times New Roman" w:cs="Times New Roman"/>
          <w:sz w:val="24"/>
          <w:szCs w:val="24"/>
          <w:lang w:eastAsia="pl-PL"/>
        </w:rPr>
        <w:t xml:space="preserve">odpowiadać na wyzwania, do których należy m.in. </w:t>
      </w:r>
      <w:r w:rsidR="003919D5">
        <w:rPr>
          <w:rFonts w:ascii="Times New Roman" w:eastAsia="Calibri" w:hAnsi="Times New Roman" w:cs="Times New Roman"/>
          <w:sz w:val="24"/>
          <w:szCs w:val="24"/>
          <w:lang w:eastAsia="pl-PL"/>
        </w:rPr>
        <w:t>nasilająca się</w:t>
      </w:r>
      <w:r w:rsidR="005F6965">
        <w:rPr>
          <w:rFonts w:ascii="Times New Roman" w:eastAsia="Calibri" w:hAnsi="Times New Roman" w:cs="Times New Roman"/>
          <w:sz w:val="24"/>
          <w:szCs w:val="24"/>
          <w:lang w:eastAsia="pl-PL"/>
        </w:rPr>
        <w:t xml:space="preserve"> </w:t>
      </w:r>
      <w:r w:rsidR="003919D5">
        <w:rPr>
          <w:rFonts w:ascii="Times New Roman" w:eastAsia="Calibri" w:hAnsi="Times New Roman" w:cs="Times New Roman"/>
          <w:sz w:val="24"/>
          <w:szCs w:val="24"/>
          <w:lang w:eastAsia="pl-PL"/>
        </w:rPr>
        <w:t>działalność grup przestępczych w obszarach związanych z</w:t>
      </w:r>
      <w:r w:rsidR="005A7529">
        <w:rPr>
          <w:rFonts w:ascii="Times New Roman" w:eastAsia="Calibri" w:hAnsi="Times New Roman" w:cs="Times New Roman"/>
          <w:sz w:val="24"/>
          <w:szCs w:val="24"/>
          <w:lang w:eastAsia="pl-PL"/>
        </w:rPr>
        <w:t>e</w:t>
      </w:r>
      <w:r w:rsidR="003919D5">
        <w:rPr>
          <w:rFonts w:ascii="Times New Roman" w:eastAsia="Calibri" w:hAnsi="Times New Roman" w:cs="Times New Roman"/>
          <w:sz w:val="24"/>
          <w:szCs w:val="24"/>
          <w:lang w:eastAsia="pl-PL"/>
        </w:rPr>
        <w:t xml:space="preserve"> środowisk</w:t>
      </w:r>
      <w:r w:rsidR="005A7529">
        <w:rPr>
          <w:rFonts w:ascii="Times New Roman" w:eastAsia="Calibri" w:hAnsi="Times New Roman" w:cs="Times New Roman"/>
          <w:sz w:val="24"/>
          <w:szCs w:val="24"/>
          <w:lang w:eastAsia="pl-PL"/>
        </w:rPr>
        <w:t>iem</w:t>
      </w:r>
      <w:r w:rsidR="002F215C">
        <w:rPr>
          <w:rFonts w:ascii="Times New Roman" w:eastAsia="Calibri" w:hAnsi="Times New Roman" w:cs="Times New Roman"/>
          <w:sz w:val="24"/>
          <w:szCs w:val="24"/>
          <w:lang w:eastAsia="pl-PL"/>
        </w:rPr>
        <w:t xml:space="preserve"> naturalnym</w:t>
      </w:r>
      <w:r w:rsidR="003919D5">
        <w:rPr>
          <w:rFonts w:ascii="Times New Roman" w:eastAsia="Calibri" w:hAnsi="Times New Roman" w:cs="Times New Roman"/>
          <w:sz w:val="24"/>
          <w:szCs w:val="24"/>
          <w:lang w:eastAsia="pl-PL"/>
        </w:rPr>
        <w:t xml:space="preserve">, a w szczególności </w:t>
      </w:r>
      <w:r w:rsidR="006A380E">
        <w:rPr>
          <w:rFonts w:ascii="Times New Roman" w:eastAsia="Calibri" w:hAnsi="Times New Roman" w:cs="Times New Roman"/>
          <w:sz w:val="24"/>
          <w:szCs w:val="24"/>
          <w:lang w:eastAsia="pl-PL"/>
        </w:rPr>
        <w:t>w obszarze gospodarki odpadami.</w:t>
      </w:r>
      <w:r w:rsidR="00F95F78">
        <w:rPr>
          <w:rFonts w:ascii="Times New Roman" w:eastAsia="Calibri" w:hAnsi="Times New Roman" w:cs="Times New Roman"/>
          <w:sz w:val="24"/>
          <w:szCs w:val="24"/>
          <w:lang w:eastAsia="pl-PL"/>
        </w:rPr>
        <w:t xml:space="preserve"> W odpowiedzi na tego rodzaju wyzwania w strukturze Głównego Inspektoratu Ochrony Środowiska utworzony został</w:t>
      </w:r>
      <w:r w:rsidR="002F215C">
        <w:rPr>
          <w:rFonts w:ascii="Times New Roman" w:eastAsia="Calibri" w:hAnsi="Times New Roman" w:cs="Times New Roman"/>
          <w:sz w:val="24"/>
          <w:szCs w:val="24"/>
          <w:lang w:eastAsia="pl-PL"/>
        </w:rPr>
        <w:t xml:space="preserve"> </w:t>
      </w:r>
      <w:r w:rsidR="00F95F78">
        <w:rPr>
          <w:rFonts w:ascii="Times New Roman" w:eastAsia="Calibri" w:hAnsi="Times New Roman" w:cs="Times New Roman"/>
          <w:sz w:val="24"/>
          <w:szCs w:val="24"/>
          <w:lang w:eastAsia="pl-PL"/>
        </w:rPr>
        <w:t xml:space="preserve">pod koniec 2020 r. Departament Zwalczania Przestępczości Środowiskowej, a w 2022 r. w wojewódzkich inspektoratach ochrony środowiska rozpoczął się proces wyodrębniania wydziałów zwalczania przestępczości środowiskowej.  </w:t>
      </w:r>
    </w:p>
    <w:p w14:paraId="636174E5" w14:textId="74867359" w:rsidR="00895F16" w:rsidRPr="007F400A" w:rsidRDefault="00F95F78" w:rsidP="00895F16">
      <w:pPr>
        <w:spacing w:after="60" w:line="300" w:lineRule="atLeast"/>
        <w:ind w:firstLine="578"/>
        <w:jc w:val="both"/>
        <w:rPr>
          <w:rFonts w:ascii="Times New Roman" w:eastAsia="Calibri" w:hAnsi="Times New Roman" w:cs="Times New Roman"/>
          <w:sz w:val="24"/>
          <w:szCs w:val="24"/>
          <w:lang w:eastAsia="pl-PL"/>
        </w:rPr>
      </w:pPr>
      <w:r>
        <w:rPr>
          <w:rFonts w:ascii="Times New Roman" w:eastAsia="Calibri" w:hAnsi="Times New Roman" w:cs="Times New Roman"/>
          <w:sz w:val="24"/>
          <w:szCs w:val="24"/>
          <w:lang w:eastAsia="pl-PL"/>
        </w:rPr>
        <w:t>Rok 2022 był dla Inspekcji Ochrony Środowiska rokiem szczególnym, również ze względu na sytuację powstał</w:t>
      </w:r>
      <w:r w:rsidR="00216B4A">
        <w:rPr>
          <w:rFonts w:ascii="Times New Roman" w:eastAsia="Calibri" w:hAnsi="Times New Roman" w:cs="Times New Roman"/>
          <w:sz w:val="24"/>
          <w:szCs w:val="24"/>
          <w:lang w:eastAsia="pl-PL"/>
        </w:rPr>
        <w:t>ą</w:t>
      </w:r>
      <w:r>
        <w:rPr>
          <w:rFonts w:ascii="Times New Roman" w:eastAsia="Calibri" w:hAnsi="Times New Roman" w:cs="Times New Roman"/>
          <w:sz w:val="24"/>
          <w:szCs w:val="24"/>
          <w:lang w:eastAsia="pl-PL"/>
        </w:rPr>
        <w:t xml:space="preserve"> na rzece Odrze. Główny Inspektorat Ochrony Środowiska od </w:t>
      </w:r>
      <w:r w:rsidR="00E22A18">
        <w:rPr>
          <w:rFonts w:ascii="Times New Roman" w:eastAsia="Calibri" w:hAnsi="Times New Roman" w:cs="Times New Roman"/>
          <w:sz w:val="24"/>
          <w:szCs w:val="24"/>
          <w:lang w:eastAsia="pl-PL"/>
        </w:rPr>
        <w:t>momentu,</w:t>
      </w:r>
      <w:r>
        <w:rPr>
          <w:rFonts w:ascii="Times New Roman" w:eastAsia="Calibri" w:hAnsi="Times New Roman" w:cs="Times New Roman"/>
          <w:sz w:val="24"/>
          <w:szCs w:val="24"/>
          <w:lang w:eastAsia="pl-PL"/>
        </w:rPr>
        <w:t xml:space="preserve"> kiedy pojawiła się sytuacja kryzysowa</w:t>
      </w:r>
      <w:r w:rsidR="00216B4A">
        <w:rPr>
          <w:rFonts w:ascii="Times New Roman" w:eastAsia="Calibri" w:hAnsi="Times New Roman" w:cs="Times New Roman"/>
          <w:sz w:val="24"/>
          <w:szCs w:val="24"/>
          <w:lang w:eastAsia="pl-PL"/>
        </w:rPr>
        <w:t>, bada wraz z naukowcami zjawisko złotej algi. Niezależnie od Państwowego Monitoringu Środowiska wdrożony został monitoring interwencyjny na całym biegu Odry</w:t>
      </w:r>
      <w:r w:rsidR="00E22A18">
        <w:rPr>
          <w:rFonts w:ascii="Times New Roman" w:eastAsia="Calibri" w:hAnsi="Times New Roman" w:cs="Times New Roman"/>
          <w:sz w:val="24"/>
          <w:szCs w:val="24"/>
          <w:lang w:eastAsia="pl-PL"/>
        </w:rPr>
        <w:t>, w ramach którego</w:t>
      </w:r>
      <w:r w:rsidR="00216B4A">
        <w:rPr>
          <w:rFonts w:ascii="Times New Roman" w:eastAsia="Calibri" w:hAnsi="Times New Roman" w:cs="Times New Roman"/>
          <w:sz w:val="24"/>
          <w:szCs w:val="24"/>
          <w:lang w:eastAsia="pl-PL"/>
        </w:rPr>
        <w:t xml:space="preserve"> </w:t>
      </w:r>
      <w:r w:rsidR="00E22A18">
        <w:rPr>
          <w:rFonts w:ascii="Times New Roman" w:eastAsia="Calibri" w:hAnsi="Times New Roman" w:cs="Times New Roman"/>
          <w:sz w:val="24"/>
          <w:szCs w:val="24"/>
          <w:lang w:eastAsia="pl-PL"/>
        </w:rPr>
        <w:t>b</w:t>
      </w:r>
      <w:r w:rsidR="00216B4A">
        <w:rPr>
          <w:rFonts w:ascii="Times New Roman" w:eastAsia="Calibri" w:hAnsi="Times New Roman" w:cs="Times New Roman"/>
          <w:sz w:val="24"/>
          <w:szCs w:val="24"/>
          <w:lang w:eastAsia="pl-PL"/>
        </w:rPr>
        <w:t>adane są istotne z punktu widzenia potencjalnego zakwitu złotej algi parametry fizyko-chemiczne wody</w:t>
      </w:r>
      <w:r w:rsidR="00E22A18">
        <w:rPr>
          <w:rFonts w:ascii="Times New Roman" w:eastAsia="Calibri" w:hAnsi="Times New Roman" w:cs="Times New Roman"/>
          <w:sz w:val="24"/>
          <w:szCs w:val="24"/>
          <w:lang w:eastAsia="pl-PL"/>
        </w:rPr>
        <w:t>.</w:t>
      </w:r>
      <w:r w:rsidR="00216B4A">
        <w:rPr>
          <w:rFonts w:ascii="Times New Roman" w:eastAsia="Calibri" w:hAnsi="Times New Roman" w:cs="Times New Roman"/>
          <w:sz w:val="24"/>
          <w:szCs w:val="24"/>
          <w:lang w:eastAsia="pl-PL"/>
        </w:rPr>
        <w:t xml:space="preserve"> Na podstawie doświadczeń zdobytych w ubiegłym roku GIOŚ przygotował procedurę alarmową dotyczącą możliwości zakwitu tych mikroorganizmów</w:t>
      </w:r>
      <w:r w:rsidR="00022208">
        <w:rPr>
          <w:rFonts w:ascii="Times New Roman" w:eastAsia="Calibri" w:hAnsi="Times New Roman" w:cs="Times New Roman"/>
          <w:sz w:val="24"/>
          <w:szCs w:val="24"/>
          <w:lang w:eastAsia="pl-PL"/>
        </w:rPr>
        <w:t xml:space="preserve"> i określającą </w:t>
      </w:r>
      <w:r w:rsidR="005B78FB">
        <w:rPr>
          <w:rFonts w:ascii="Times New Roman" w:eastAsia="Calibri" w:hAnsi="Times New Roman" w:cs="Times New Roman"/>
          <w:sz w:val="24"/>
          <w:szCs w:val="24"/>
          <w:lang w:eastAsia="pl-PL"/>
        </w:rPr>
        <w:t xml:space="preserve">poziomy alertowe, a informacje </w:t>
      </w:r>
      <w:r w:rsidR="00E22A18">
        <w:rPr>
          <w:rFonts w:ascii="Times New Roman" w:eastAsia="Calibri" w:hAnsi="Times New Roman" w:cs="Times New Roman"/>
          <w:sz w:val="24"/>
          <w:szCs w:val="24"/>
          <w:lang w:eastAsia="pl-PL"/>
        </w:rPr>
        <w:br/>
      </w:r>
      <w:r w:rsidR="005B78FB">
        <w:rPr>
          <w:rFonts w:ascii="Times New Roman" w:eastAsia="Calibri" w:hAnsi="Times New Roman" w:cs="Times New Roman"/>
          <w:sz w:val="24"/>
          <w:szCs w:val="24"/>
          <w:lang w:eastAsia="pl-PL"/>
        </w:rPr>
        <w:t xml:space="preserve">w tym zakresie, w przypadku dużego stopnia zagrożenia, przekazywane są za pośrednictwem wojewódzkich inspektoratów ochrony środowiska do wojewódzkich centrów zarządzania kryzysowego w ciągu godziny.  </w:t>
      </w:r>
    </w:p>
    <w:p w14:paraId="2CCE6C67" w14:textId="50D89559" w:rsidR="00895F16" w:rsidRPr="007F400A" w:rsidRDefault="00895F16" w:rsidP="004C03B7">
      <w:pPr>
        <w:spacing w:after="60" w:line="300" w:lineRule="atLeast"/>
        <w:ind w:firstLine="578"/>
        <w:jc w:val="both"/>
        <w:rPr>
          <w:rFonts w:ascii="Times New Roman" w:eastAsia="Calibri" w:hAnsi="Times New Roman" w:cs="Times New Roman"/>
          <w:sz w:val="24"/>
          <w:szCs w:val="24"/>
          <w:lang w:eastAsia="pl-PL"/>
        </w:rPr>
      </w:pPr>
      <w:r w:rsidRPr="007F400A">
        <w:rPr>
          <w:rFonts w:ascii="Times New Roman" w:eastAsia="Calibri" w:hAnsi="Times New Roman" w:cs="Times New Roman"/>
          <w:sz w:val="24"/>
          <w:szCs w:val="24"/>
          <w:lang w:eastAsia="pl-PL"/>
        </w:rPr>
        <w:t xml:space="preserve">Ochrona środowiska to nie tylko regulacje prawne, kontrole i pomiary, ale także – </w:t>
      </w:r>
      <w:r w:rsidRPr="007F400A">
        <w:rPr>
          <w:rFonts w:ascii="Times New Roman" w:eastAsia="Calibri" w:hAnsi="Times New Roman" w:cs="Times New Roman"/>
          <w:sz w:val="24"/>
          <w:szCs w:val="24"/>
          <w:lang w:eastAsia="pl-PL"/>
        </w:rPr>
        <w:br/>
        <w:t xml:space="preserve">lub przede wszystkim – ludzie. Dlatego też chciałbym podziękować pracownikom Inspekcji Ochrony Środowiska, którzy z oddaniem wykonują swoje zadania. Podziękowania za owocną współpracę składam również przedstawicielom innych instytucji, m.in. Ministerstwa Klimatu </w:t>
      </w:r>
      <w:r w:rsidRPr="007F400A">
        <w:rPr>
          <w:rFonts w:ascii="Times New Roman" w:eastAsia="Calibri" w:hAnsi="Times New Roman" w:cs="Times New Roman"/>
          <w:sz w:val="24"/>
          <w:szCs w:val="24"/>
          <w:lang w:eastAsia="pl-PL"/>
        </w:rPr>
        <w:br/>
        <w:t xml:space="preserve">i Środowiska, Generalnej Dyrekcji Ochrony Środowiska, Państwowej Straży Pożarnej, Policji, Służby Celnej, Straży Granicznej, Inspekcji Transportu Drogowego, Urzędu Transportu Kolejowego, Krajowej Administracji Skarbowej, Państwowej Agencji Atomistyki, Państwowej Inspekcji Sanitarnej, Państwowego Gospodarstwa Wodnego Wody Polskie, Narodowego </w:t>
      </w:r>
      <w:r w:rsidR="00FE76F1">
        <w:rPr>
          <w:rFonts w:ascii="Times New Roman" w:eastAsia="Calibri" w:hAnsi="Times New Roman" w:cs="Times New Roman"/>
          <w:sz w:val="24"/>
          <w:szCs w:val="24"/>
          <w:lang w:eastAsia="pl-PL"/>
        </w:rPr>
        <w:br/>
      </w:r>
      <w:r w:rsidRPr="007F400A">
        <w:rPr>
          <w:rFonts w:ascii="Times New Roman" w:eastAsia="Calibri" w:hAnsi="Times New Roman" w:cs="Times New Roman"/>
          <w:sz w:val="24"/>
          <w:szCs w:val="24"/>
          <w:lang w:eastAsia="pl-PL"/>
        </w:rPr>
        <w:t xml:space="preserve">i Wojewódzkich Funduszy Ochrony Środowiska i Gospodarki Wodnej. Dziękuję również </w:t>
      </w:r>
      <w:r w:rsidRPr="007F400A">
        <w:rPr>
          <w:rFonts w:ascii="Times New Roman" w:eastAsia="Calibri" w:hAnsi="Times New Roman" w:cs="Times New Roman"/>
          <w:sz w:val="24"/>
          <w:szCs w:val="24"/>
          <w:lang w:eastAsia="pl-PL"/>
        </w:rPr>
        <w:lastRenderedPageBreak/>
        <w:t>wszystkim przedstawicielom organizacji pozarządowych, dziennikarzom i osobom zaangażowanym w działania na rzecz ochrony środowiska.</w:t>
      </w:r>
    </w:p>
    <w:bookmarkEnd w:id="7"/>
    <w:p w14:paraId="27DCF23F" w14:textId="77777777" w:rsidR="002D0C12" w:rsidRPr="007F400A" w:rsidRDefault="002D0C12" w:rsidP="00895F16">
      <w:pPr>
        <w:spacing w:after="60" w:line="300" w:lineRule="atLeast"/>
        <w:ind w:firstLine="578"/>
        <w:jc w:val="both"/>
        <w:rPr>
          <w:rFonts w:ascii="Times New Roman" w:eastAsia="Calibri" w:hAnsi="Times New Roman" w:cs="Times New Roman"/>
          <w:sz w:val="24"/>
          <w:szCs w:val="24"/>
          <w:lang w:eastAsia="pl-PL"/>
        </w:rPr>
      </w:pPr>
    </w:p>
    <w:p w14:paraId="062184E3" w14:textId="736A9413" w:rsidR="00895F16" w:rsidRPr="007F400A" w:rsidRDefault="00895F16" w:rsidP="00895F16">
      <w:pPr>
        <w:spacing w:after="0" w:line="300" w:lineRule="atLeast"/>
        <w:ind w:left="4248"/>
        <w:rPr>
          <w:rFonts w:ascii="Times New Roman" w:eastAsia="Calibri" w:hAnsi="Times New Roman" w:cs="Times New Roman"/>
          <w:sz w:val="24"/>
          <w:szCs w:val="24"/>
          <w:lang w:eastAsia="pl-PL"/>
        </w:rPr>
      </w:pPr>
      <w:r w:rsidRPr="007F400A">
        <w:rPr>
          <w:rFonts w:ascii="Times New Roman" w:eastAsia="Calibri" w:hAnsi="Times New Roman" w:cs="Times New Roman"/>
          <w:sz w:val="24"/>
          <w:szCs w:val="24"/>
          <w:lang w:eastAsia="pl-PL"/>
        </w:rPr>
        <w:t xml:space="preserve">  Główny Inspektor Ochrony Środowiska</w:t>
      </w:r>
      <w:r w:rsidR="004966BE" w:rsidRPr="007F400A">
        <w:rPr>
          <w:rFonts w:ascii="Times New Roman" w:eastAsia="Calibri" w:hAnsi="Times New Roman" w:cs="Times New Roman"/>
          <w:sz w:val="24"/>
          <w:szCs w:val="24"/>
          <w:lang w:eastAsia="pl-PL"/>
        </w:rPr>
        <w:t xml:space="preserve"> </w:t>
      </w:r>
    </w:p>
    <w:p w14:paraId="4EF3A74B" w14:textId="77777777" w:rsidR="00895F16" w:rsidRPr="007F400A" w:rsidRDefault="00895F16" w:rsidP="00895F16">
      <w:pPr>
        <w:tabs>
          <w:tab w:val="left" w:pos="540"/>
        </w:tabs>
        <w:spacing w:after="0" w:line="300" w:lineRule="atLeast"/>
        <w:ind w:firstLine="720"/>
        <w:jc w:val="both"/>
        <w:rPr>
          <w:rFonts w:ascii="Times New Roman" w:eastAsia="Times New Roman" w:hAnsi="Times New Roman" w:cs="Times New Roman"/>
          <w:sz w:val="24"/>
          <w:szCs w:val="24"/>
          <w:lang w:val="x-none" w:eastAsia="x-none"/>
        </w:rPr>
      </w:pPr>
      <w:r w:rsidRPr="007F400A">
        <w:rPr>
          <w:rFonts w:ascii="Times New Roman" w:eastAsia="Times New Roman" w:hAnsi="Times New Roman" w:cs="Times New Roman"/>
          <w:sz w:val="24"/>
          <w:szCs w:val="24"/>
          <w:lang w:val="x-none" w:eastAsia="x-none"/>
        </w:rPr>
        <w:t xml:space="preserve">         </w:t>
      </w:r>
    </w:p>
    <w:p w14:paraId="0D685775" w14:textId="77777777" w:rsidR="002D0C12" w:rsidRPr="007F400A" w:rsidRDefault="00895F16" w:rsidP="00895F16">
      <w:pPr>
        <w:tabs>
          <w:tab w:val="left" w:pos="540"/>
        </w:tabs>
        <w:spacing w:after="0" w:line="300" w:lineRule="atLeast"/>
        <w:ind w:firstLine="720"/>
        <w:jc w:val="both"/>
        <w:rPr>
          <w:rFonts w:ascii="Times New Roman" w:eastAsia="Times New Roman" w:hAnsi="Times New Roman" w:cs="Times New Roman"/>
          <w:sz w:val="24"/>
          <w:szCs w:val="24"/>
          <w:lang w:val="x-none" w:eastAsia="x-none"/>
        </w:rPr>
      </w:pPr>
      <w:r w:rsidRPr="007F400A">
        <w:rPr>
          <w:rFonts w:ascii="Times New Roman" w:eastAsia="Times New Roman" w:hAnsi="Times New Roman" w:cs="Times New Roman"/>
          <w:sz w:val="24"/>
          <w:szCs w:val="24"/>
          <w:lang w:val="x-none" w:eastAsia="x-none"/>
        </w:rPr>
        <w:t xml:space="preserve"> </w:t>
      </w:r>
      <w:r w:rsidRPr="007F400A">
        <w:rPr>
          <w:rFonts w:ascii="Times New Roman" w:eastAsia="Times New Roman" w:hAnsi="Times New Roman" w:cs="Times New Roman"/>
          <w:sz w:val="24"/>
          <w:szCs w:val="24"/>
          <w:lang w:val="x-none" w:eastAsia="x-none"/>
        </w:rPr>
        <w:tab/>
      </w:r>
      <w:r w:rsidRPr="007F400A">
        <w:rPr>
          <w:rFonts w:ascii="Times New Roman" w:eastAsia="Times New Roman" w:hAnsi="Times New Roman" w:cs="Times New Roman"/>
          <w:sz w:val="24"/>
          <w:szCs w:val="24"/>
          <w:lang w:val="x-none" w:eastAsia="x-none"/>
        </w:rPr>
        <w:tab/>
      </w:r>
      <w:r w:rsidRPr="007F400A">
        <w:rPr>
          <w:rFonts w:ascii="Times New Roman" w:eastAsia="Times New Roman" w:hAnsi="Times New Roman" w:cs="Times New Roman"/>
          <w:sz w:val="24"/>
          <w:szCs w:val="24"/>
          <w:lang w:val="x-none" w:eastAsia="x-none"/>
        </w:rPr>
        <w:tab/>
      </w:r>
      <w:r w:rsidRPr="007F400A">
        <w:rPr>
          <w:rFonts w:ascii="Times New Roman" w:eastAsia="Times New Roman" w:hAnsi="Times New Roman" w:cs="Times New Roman"/>
          <w:sz w:val="24"/>
          <w:szCs w:val="24"/>
          <w:lang w:val="x-none" w:eastAsia="x-none"/>
        </w:rPr>
        <w:tab/>
      </w:r>
      <w:r w:rsidRPr="007F400A">
        <w:rPr>
          <w:rFonts w:ascii="Times New Roman" w:eastAsia="Times New Roman" w:hAnsi="Times New Roman" w:cs="Times New Roman"/>
          <w:sz w:val="24"/>
          <w:szCs w:val="24"/>
          <w:lang w:val="x-none" w:eastAsia="x-none"/>
        </w:rPr>
        <w:tab/>
      </w:r>
      <w:r w:rsidRPr="007F400A">
        <w:rPr>
          <w:rFonts w:ascii="Times New Roman" w:eastAsia="Times New Roman" w:hAnsi="Times New Roman" w:cs="Times New Roman"/>
          <w:sz w:val="24"/>
          <w:szCs w:val="24"/>
          <w:lang w:val="x-none" w:eastAsia="x-none"/>
        </w:rPr>
        <w:tab/>
        <w:t xml:space="preserve">      </w:t>
      </w:r>
    </w:p>
    <w:p w14:paraId="7465D63D" w14:textId="37738137" w:rsidR="00895F16" w:rsidRPr="007F400A" w:rsidRDefault="002D0C12" w:rsidP="00895F16">
      <w:pPr>
        <w:tabs>
          <w:tab w:val="left" w:pos="540"/>
        </w:tabs>
        <w:spacing w:after="0" w:line="300" w:lineRule="atLeast"/>
        <w:ind w:firstLine="720"/>
        <w:jc w:val="both"/>
        <w:rPr>
          <w:rFonts w:ascii="Times New Roman" w:eastAsia="Times New Roman" w:hAnsi="Times New Roman" w:cs="Times New Roman"/>
          <w:sz w:val="24"/>
          <w:szCs w:val="24"/>
          <w:lang w:eastAsia="x-none"/>
        </w:rPr>
      </w:pPr>
      <w:r w:rsidRPr="007F400A">
        <w:rPr>
          <w:rFonts w:ascii="Times New Roman" w:eastAsia="Times New Roman" w:hAnsi="Times New Roman" w:cs="Times New Roman"/>
          <w:sz w:val="24"/>
          <w:szCs w:val="24"/>
          <w:lang w:eastAsia="x-none"/>
        </w:rPr>
        <w:tab/>
      </w:r>
      <w:r w:rsidRPr="007F400A">
        <w:rPr>
          <w:rFonts w:ascii="Times New Roman" w:eastAsia="Times New Roman" w:hAnsi="Times New Roman" w:cs="Times New Roman"/>
          <w:sz w:val="24"/>
          <w:szCs w:val="24"/>
          <w:lang w:eastAsia="x-none"/>
        </w:rPr>
        <w:tab/>
      </w:r>
      <w:r w:rsidRPr="007F400A">
        <w:rPr>
          <w:rFonts w:ascii="Times New Roman" w:eastAsia="Times New Roman" w:hAnsi="Times New Roman" w:cs="Times New Roman"/>
          <w:sz w:val="24"/>
          <w:szCs w:val="24"/>
          <w:lang w:eastAsia="x-none"/>
        </w:rPr>
        <w:tab/>
      </w:r>
      <w:r w:rsidRPr="007F400A">
        <w:rPr>
          <w:rFonts w:ascii="Times New Roman" w:eastAsia="Times New Roman" w:hAnsi="Times New Roman" w:cs="Times New Roman"/>
          <w:sz w:val="24"/>
          <w:szCs w:val="24"/>
          <w:lang w:eastAsia="x-none"/>
        </w:rPr>
        <w:tab/>
      </w:r>
      <w:r w:rsidRPr="007F400A">
        <w:rPr>
          <w:rFonts w:ascii="Times New Roman" w:eastAsia="Times New Roman" w:hAnsi="Times New Roman" w:cs="Times New Roman"/>
          <w:sz w:val="24"/>
          <w:szCs w:val="24"/>
          <w:lang w:eastAsia="x-none"/>
        </w:rPr>
        <w:tab/>
      </w:r>
      <w:r w:rsidRPr="007F400A">
        <w:rPr>
          <w:rFonts w:ascii="Times New Roman" w:eastAsia="Times New Roman" w:hAnsi="Times New Roman" w:cs="Times New Roman"/>
          <w:sz w:val="24"/>
          <w:szCs w:val="24"/>
          <w:lang w:eastAsia="x-none"/>
        </w:rPr>
        <w:tab/>
        <w:t xml:space="preserve">  </w:t>
      </w:r>
      <w:r w:rsidR="00740B87">
        <w:rPr>
          <w:rFonts w:ascii="Times New Roman" w:eastAsia="Times New Roman" w:hAnsi="Times New Roman" w:cs="Times New Roman"/>
          <w:sz w:val="24"/>
          <w:szCs w:val="24"/>
          <w:lang w:eastAsia="x-none"/>
        </w:rPr>
        <w:t>Krzysztof Gołębiewski</w:t>
      </w:r>
    </w:p>
    <w:p w14:paraId="01D8D4E1" w14:textId="77777777" w:rsidR="00895F16" w:rsidRPr="007F400A" w:rsidRDefault="00895F16" w:rsidP="00895F16">
      <w:pPr>
        <w:tabs>
          <w:tab w:val="left" w:pos="540"/>
        </w:tabs>
        <w:spacing w:after="0" w:line="300" w:lineRule="atLeast"/>
        <w:ind w:firstLine="720"/>
        <w:jc w:val="both"/>
        <w:rPr>
          <w:rFonts w:ascii="Times New Roman" w:eastAsia="Times New Roman" w:hAnsi="Times New Roman" w:cs="Times New Roman"/>
          <w:sz w:val="24"/>
          <w:szCs w:val="24"/>
          <w:lang w:val="x-none" w:eastAsia="x-none"/>
        </w:rPr>
      </w:pPr>
    </w:p>
    <w:p w14:paraId="766B72CF" w14:textId="77777777" w:rsidR="00895F16" w:rsidRPr="007F400A" w:rsidRDefault="00895F16" w:rsidP="00895F16">
      <w:pPr>
        <w:tabs>
          <w:tab w:val="left" w:pos="540"/>
        </w:tabs>
        <w:spacing w:after="0" w:line="300" w:lineRule="atLeast"/>
        <w:ind w:firstLine="720"/>
        <w:jc w:val="both"/>
        <w:rPr>
          <w:rFonts w:ascii="Times New Roman" w:eastAsia="Times New Roman" w:hAnsi="Times New Roman" w:cs="Times New Roman"/>
          <w:sz w:val="24"/>
          <w:szCs w:val="24"/>
          <w:lang w:val="x-none" w:eastAsia="x-none"/>
        </w:rPr>
      </w:pPr>
      <w:r w:rsidRPr="007F400A">
        <w:rPr>
          <w:rFonts w:ascii="Times New Roman" w:eastAsia="Times New Roman" w:hAnsi="Times New Roman" w:cs="Times New Roman"/>
          <w:sz w:val="24"/>
          <w:szCs w:val="24"/>
          <w:lang w:val="x-none" w:eastAsia="x-none"/>
        </w:rPr>
        <w:tab/>
      </w:r>
      <w:r w:rsidRPr="007F400A">
        <w:rPr>
          <w:rFonts w:ascii="Times New Roman" w:eastAsia="Times New Roman" w:hAnsi="Times New Roman" w:cs="Times New Roman"/>
          <w:sz w:val="24"/>
          <w:szCs w:val="24"/>
          <w:lang w:val="x-none" w:eastAsia="x-none"/>
        </w:rPr>
        <w:tab/>
      </w:r>
      <w:r w:rsidRPr="007F400A">
        <w:rPr>
          <w:rFonts w:ascii="Times New Roman" w:eastAsia="Times New Roman" w:hAnsi="Times New Roman" w:cs="Times New Roman"/>
          <w:sz w:val="24"/>
          <w:szCs w:val="24"/>
          <w:lang w:val="x-none" w:eastAsia="x-none"/>
        </w:rPr>
        <w:tab/>
      </w:r>
      <w:r w:rsidRPr="007F400A">
        <w:rPr>
          <w:rFonts w:ascii="Times New Roman" w:eastAsia="Times New Roman" w:hAnsi="Times New Roman" w:cs="Times New Roman"/>
          <w:sz w:val="24"/>
          <w:szCs w:val="24"/>
          <w:lang w:val="x-none" w:eastAsia="x-none"/>
        </w:rPr>
        <w:tab/>
      </w:r>
    </w:p>
    <w:p w14:paraId="13205C73" w14:textId="77777777" w:rsidR="00895F16" w:rsidRPr="007F400A" w:rsidRDefault="00895F16" w:rsidP="00895F16">
      <w:pPr>
        <w:rPr>
          <w:rFonts w:ascii="Times New Roman" w:eastAsia="Times New Roman" w:hAnsi="Times New Roman" w:cs="Times New Roman"/>
          <w:sz w:val="24"/>
          <w:szCs w:val="24"/>
          <w:lang w:val="x-none" w:eastAsia="x-none"/>
        </w:rPr>
      </w:pPr>
      <w:r w:rsidRPr="007F400A">
        <w:rPr>
          <w:rFonts w:ascii="Times New Roman" w:eastAsia="Times New Roman" w:hAnsi="Times New Roman" w:cs="Times New Roman"/>
          <w:sz w:val="24"/>
          <w:szCs w:val="24"/>
          <w:lang w:val="x-none" w:eastAsia="x-none"/>
        </w:rPr>
        <w:br w:type="page"/>
      </w:r>
    </w:p>
    <w:p w14:paraId="7542C192" w14:textId="77777777" w:rsidR="00895F16" w:rsidRPr="007F400A" w:rsidRDefault="00895F16" w:rsidP="00895F16">
      <w:pPr>
        <w:keepNext/>
        <w:spacing w:after="0" w:line="300" w:lineRule="atLeast"/>
        <w:outlineLvl w:val="0"/>
        <w:rPr>
          <w:rFonts w:ascii="Times New Roman" w:eastAsia="Times New Roman" w:hAnsi="Times New Roman" w:cs="Times New Roman"/>
          <w:b/>
          <w:bCs/>
          <w:sz w:val="24"/>
          <w:szCs w:val="24"/>
          <w:lang w:val="x-none" w:eastAsia="x-none"/>
        </w:rPr>
      </w:pPr>
      <w:bookmarkStart w:id="8" w:name="_Toc5878522"/>
      <w:bookmarkStart w:id="9" w:name="_Toc36732547"/>
      <w:bookmarkStart w:id="10" w:name="_Toc135935573"/>
      <w:r w:rsidRPr="007F400A">
        <w:rPr>
          <w:rFonts w:ascii="Times New Roman" w:eastAsia="Times New Roman" w:hAnsi="Times New Roman" w:cs="Times New Roman"/>
          <w:b/>
          <w:bCs/>
          <w:sz w:val="24"/>
          <w:szCs w:val="24"/>
          <w:lang w:val="x-none" w:eastAsia="x-none"/>
        </w:rPr>
        <w:lastRenderedPageBreak/>
        <w:t>II. DZIAŁALNOŚĆ KONTROLNA</w:t>
      </w:r>
      <w:bookmarkEnd w:id="8"/>
      <w:bookmarkEnd w:id="9"/>
      <w:bookmarkEnd w:id="10"/>
    </w:p>
    <w:p w14:paraId="1D0903A3" w14:textId="77777777" w:rsidR="00895F16" w:rsidRPr="007F400A" w:rsidRDefault="00895F16" w:rsidP="00895F16">
      <w:pPr>
        <w:autoSpaceDE w:val="0"/>
        <w:autoSpaceDN w:val="0"/>
        <w:adjustRightInd w:val="0"/>
        <w:spacing w:after="0" w:line="300" w:lineRule="atLeast"/>
        <w:ind w:firstLine="567"/>
        <w:jc w:val="both"/>
        <w:rPr>
          <w:rFonts w:ascii="Times New Roman" w:eastAsia="Times New Roman" w:hAnsi="Times New Roman" w:cs="Times New Roman"/>
          <w:b/>
          <w:bCs/>
          <w:sz w:val="24"/>
          <w:szCs w:val="24"/>
          <w:lang w:eastAsia="pl-PL"/>
        </w:rPr>
      </w:pPr>
    </w:p>
    <w:p w14:paraId="7DDD58F5" w14:textId="22068DB0" w:rsidR="00895F16" w:rsidRPr="007F400A" w:rsidRDefault="00895F16" w:rsidP="00895F16">
      <w:pPr>
        <w:keepNext/>
        <w:spacing w:after="120" w:line="300" w:lineRule="atLeast"/>
        <w:outlineLvl w:val="0"/>
        <w:rPr>
          <w:rFonts w:ascii="Times New Roman" w:eastAsia="Times New Roman" w:hAnsi="Times New Roman" w:cs="Times New Roman"/>
          <w:b/>
          <w:bCs/>
          <w:sz w:val="24"/>
          <w:szCs w:val="24"/>
          <w:lang w:val="x-none" w:eastAsia="x-none"/>
        </w:rPr>
      </w:pPr>
      <w:bookmarkStart w:id="11" w:name="_Toc515437504"/>
      <w:bookmarkStart w:id="12" w:name="_Toc515437822"/>
      <w:bookmarkStart w:id="13" w:name="_Toc5878523"/>
      <w:bookmarkStart w:id="14" w:name="_Toc36732548"/>
      <w:bookmarkStart w:id="15" w:name="_Toc135935574"/>
      <w:bookmarkStart w:id="16" w:name="_Toc193597389"/>
      <w:r w:rsidRPr="007F400A">
        <w:rPr>
          <w:rFonts w:ascii="Times New Roman" w:eastAsia="Times New Roman" w:hAnsi="Times New Roman" w:cs="Times New Roman"/>
          <w:b/>
          <w:bCs/>
          <w:sz w:val="24"/>
          <w:szCs w:val="24"/>
          <w:lang w:val="x-none" w:eastAsia="x-none"/>
        </w:rPr>
        <w:t>1. Charakterystyka najważniejszych zadań realizowanych w 20</w:t>
      </w:r>
      <w:r w:rsidRPr="007F400A">
        <w:rPr>
          <w:rFonts w:ascii="Times New Roman" w:eastAsia="Times New Roman" w:hAnsi="Times New Roman" w:cs="Times New Roman"/>
          <w:b/>
          <w:bCs/>
          <w:sz w:val="24"/>
          <w:szCs w:val="24"/>
          <w:lang w:eastAsia="x-none"/>
        </w:rPr>
        <w:t>2</w:t>
      </w:r>
      <w:r w:rsidR="00C96893">
        <w:rPr>
          <w:rFonts w:ascii="Times New Roman" w:eastAsia="Times New Roman" w:hAnsi="Times New Roman" w:cs="Times New Roman"/>
          <w:b/>
          <w:bCs/>
          <w:sz w:val="24"/>
          <w:szCs w:val="24"/>
          <w:lang w:eastAsia="x-none"/>
        </w:rPr>
        <w:t>2</w:t>
      </w:r>
      <w:r w:rsidRPr="007F400A">
        <w:rPr>
          <w:rFonts w:ascii="Times New Roman" w:eastAsia="Times New Roman" w:hAnsi="Times New Roman" w:cs="Times New Roman"/>
          <w:b/>
          <w:bCs/>
          <w:sz w:val="24"/>
          <w:szCs w:val="24"/>
          <w:lang w:val="x-none" w:eastAsia="x-none"/>
        </w:rPr>
        <w:t xml:space="preserve"> r.</w:t>
      </w:r>
      <w:bookmarkEnd w:id="11"/>
      <w:bookmarkEnd w:id="12"/>
      <w:bookmarkEnd w:id="13"/>
      <w:bookmarkEnd w:id="14"/>
      <w:bookmarkEnd w:id="15"/>
      <w:r w:rsidRPr="007F400A">
        <w:rPr>
          <w:rFonts w:ascii="Times New Roman" w:eastAsia="Times New Roman" w:hAnsi="Times New Roman" w:cs="Times New Roman"/>
          <w:b/>
          <w:bCs/>
          <w:sz w:val="24"/>
          <w:szCs w:val="24"/>
          <w:lang w:val="x-none" w:eastAsia="x-none"/>
        </w:rPr>
        <w:t xml:space="preserve"> </w:t>
      </w:r>
      <w:bookmarkEnd w:id="16"/>
    </w:p>
    <w:p w14:paraId="72AA29A1" w14:textId="3852696B" w:rsidR="00C96893" w:rsidRPr="007F400A" w:rsidRDefault="00C96893" w:rsidP="00056EE7">
      <w:pPr>
        <w:tabs>
          <w:tab w:val="left" w:pos="709"/>
        </w:tabs>
        <w:autoSpaceDE w:val="0"/>
        <w:autoSpaceDN w:val="0"/>
        <w:adjustRightInd w:val="0"/>
        <w:spacing w:after="120" w:line="300" w:lineRule="atLeast"/>
        <w:ind w:firstLine="709"/>
        <w:jc w:val="both"/>
        <w:rPr>
          <w:rFonts w:ascii="Times New Roman" w:eastAsia="Times New Roman" w:hAnsi="Times New Roman" w:cs="Times New Roman"/>
          <w:color w:val="000000"/>
          <w:sz w:val="24"/>
          <w:szCs w:val="24"/>
          <w:lang w:val="x-none"/>
        </w:rPr>
      </w:pPr>
      <w:bookmarkStart w:id="17" w:name="_Toc515437507"/>
      <w:bookmarkStart w:id="18" w:name="_Toc515437825"/>
      <w:bookmarkStart w:id="19" w:name="_Toc5878526"/>
      <w:r w:rsidRPr="007F400A">
        <w:rPr>
          <w:rFonts w:ascii="Times New Roman" w:eastAsia="Times New Roman" w:hAnsi="Times New Roman" w:cs="Times New Roman"/>
          <w:sz w:val="24"/>
          <w:szCs w:val="24"/>
        </w:rPr>
        <w:t xml:space="preserve">W </w:t>
      </w:r>
      <w:r>
        <w:rPr>
          <w:rFonts w:ascii="Times New Roman" w:eastAsia="Times New Roman" w:hAnsi="Times New Roman" w:cs="Times New Roman"/>
          <w:sz w:val="24"/>
          <w:szCs w:val="24"/>
        </w:rPr>
        <w:t>2022</w:t>
      </w:r>
      <w:r w:rsidRPr="007F400A">
        <w:rPr>
          <w:rFonts w:ascii="Times New Roman" w:eastAsia="Times New Roman" w:hAnsi="Times New Roman" w:cs="Times New Roman"/>
          <w:sz w:val="24"/>
          <w:szCs w:val="24"/>
        </w:rPr>
        <w:t xml:space="preserve"> r., Inspekcja Ochrony Środowiska </w:t>
      </w:r>
      <w:r w:rsidR="004B278F">
        <w:rPr>
          <w:rFonts w:ascii="Times New Roman" w:eastAsia="Times New Roman" w:hAnsi="Times New Roman" w:cs="Times New Roman"/>
          <w:sz w:val="24"/>
          <w:szCs w:val="24"/>
        </w:rPr>
        <w:t xml:space="preserve">(IOŚ) </w:t>
      </w:r>
      <w:r w:rsidRPr="007F400A">
        <w:rPr>
          <w:rFonts w:ascii="Times New Roman" w:eastAsia="Times New Roman" w:hAnsi="Times New Roman" w:cs="Times New Roman"/>
          <w:sz w:val="24"/>
          <w:szCs w:val="24"/>
        </w:rPr>
        <w:t xml:space="preserve">realizowała swoje ustawowe zadania, do których należy m.in. </w:t>
      </w:r>
      <w:r w:rsidRPr="007F400A">
        <w:rPr>
          <w:rFonts w:ascii="Times New Roman" w:hAnsi="Times New Roman" w:cs="Times New Roman"/>
          <w:sz w:val="24"/>
          <w:szCs w:val="24"/>
        </w:rPr>
        <w:t>prowadzenie kontroli podmiotów w zakresie realizacji obowiązków wynikających z przepisów ochrony środowiska oraz sporządzanie raportów i informacji na</w:t>
      </w:r>
      <w:r>
        <w:rPr>
          <w:rFonts w:ascii="Times New Roman" w:hAnsi="Times New Roman" w:cs="Times New Roman"/>
          <w:sz w:val="24"/>
          <w:szCs w:val="24"/>
        </w:rPr>
        <w:t> </w:t>
      </w:r>
      <w:r w:rsidRPr="007F400A">
        <w:rPr>
          <w:rFonts w:ascii="Times New Roman" w:hAnsi="Times New Roman" w:cs="Times New Roman"/>
          <w:sz w:val="24"/>
          <w:szCs w:val="24"/>
        </w:rPr>
        <w:t xml:space="preserve">temat ich wyników. </w:t>
      </w:r>
    </w:p>
    <w:p w14:paraId="380CB704" w14:textId="5E46281D" w:rsidR="00C96893" w:rsidRPr="00F93F3B" w:rsidRDefault="00C96893" w:rsidP="00056EE7">
      <w:pPr>
        <w:pStyle w:val="Tekstkomentarza"/>
        <w:spacing w:after="60" w:line="300" w:lineRule="atLeast"/>
        <w:rPr>
          <w:lang w:val="pl-PL"/>
        </w:rPr>
      </w:pPr>
      <w:r w:rsidRPr="007F400A">
        <w:rPr>
          <w:sz w:val="24"/>
          <w:szCs w:val="24"/>
        </w:rPr>
        <w:t>Przestrzeganie wymagań ochrony środowiska sprawdzano poprzez ocenę:</w:t>
      </w:r>
      <w:r w:rsidRPr="00F93F3B">
        <w:rPr>
          <w:lang w:val="pl-PL"/>
        </w:rPr>
        <w:t xml:space="preserve"> </w:t>
      </w:r>
    </w:p>
    <w:p w14:paraId="5AD5E586" w14:textId="77777777" w:rsidR="00C96893" w:rsidRPr="007F400A" w:rsidRDefault="00C96893" w:rsidP="00D34F97">
      <w:pPr>
        <w:numPr>
          <w:ilvl w:val="0"/>
          <w:numId w:val="60"/>
        </w:numPr>
        <w:tabs>
          <w:tab w:val="left" w:pos="993"/>
        </w:tabs>
        <w:spacing w:after="6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przestrzegania decyzji administracyjnych,</w:t>
      </w:r>
    </w:p>
    <w:p w14:paraId="5AD3340C" w14:textId="77777777" w:rsidR="00C96893" w:rsidRPr="007F400A" w:rsidRDefault="00C96893" w:rsidP="00D34F97">
      <w:pPr>
        <w:numPr>
          <w:ilvl w:val="0"/>
          <w:numId w:val="60"/>
        </w:numPr>
        <w:tabs>
          <w:tab w:val="left" w:pos="993"/>
        </w:tabs>
        <w:spacing w:after="6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 xml:space="preserve">wpływu zakładu na środowisko, </w:t>
      </w:r>
    </w:p>
    <w:p w14:paraId="73809F8D" w14:textId="77777777" w:rsidR="00C96893" w:rsidRPr="007F400A" w:rsidRDefault="00C96893" w:rsidP="00D34F97">
      <w:pPr>
        <w:numPr>
          <w:ilvl w:val="0"/>
          <w:numId w:val="60"/>
        </w:numPr>
        <w:tabs>
          <w:tab w:val="left" w:pos="993"/>
        </w:tabs>
        <w:spacing w:after="6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skuteczności rozwiązań zabezpieczających środowisko,</w:t>
      </w:r>
    </w:p>
    <w:p w14:paraId="2875D358" w14:textId="77777777" w:rsidR="00C96893" w:rsidRPr="007F400A" w:rsidRDefault="00C96893" w:rsidP="00D34F97">
      <w:pPr>
        <w:numPr>
          <w:ilvl w:val="0"/>
          <w:numId w:val="60"/>
        </w:numPr>
        <w:tabs>
          <w:tab w:val="left" w:pos="993"/>
        </w:tabs>
        <w:spacing w:after="120" w:line="300" w:lineRule="atLeast"/>
        <w:ind w:left="924" w:hanging="357"/>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wyników badań i pomiarów emisji.</w:t>
      </w:r>
    </w:p>
    <w:p w14:paraId="4B3998D5" w14:textId="77777777" w:rsidR="00C96893" w:rsidRPr="007F400A" w:rsidRDefault="00C96893" w:rsidP="00056EE7">
      <w:pPr>
        <w:autoSpaceDE w:val="0"/>
        <w:autoSpaceDN w:val="0"/>
        <w:adjustRightInd w:val="0"/>
        <w:spacing w:after="60" w:line="300" w:lineRule="atLeast"/>
        <w:jc w:val="both"/>
        <w:rPr>
          <w:rFonts w:ascii="Times New Roman" w:eastAsia="Times New Roman" w:hAnsi="Times New Roman" w:cs="Times New Roman"/>
          <w:sz w:val="24"/>
          <w:szCs w:val="24"/>
        </w:rPr>
      </w:pPr>
      <w:r w:rsidRPr="007F400A">
        <w:rPr>
          <w:rFonts w:ascii="Times New Roman" w:eastAsia="Times New Roman" w:hAnsi="Times New Roman" w:cs="Times New Roman"/>
          <w:sz w:val="24"/>
          <w:szCs w:val="24"/>
        </w:rPr>
        <w:t xml:space="preserve">Przeprowadzone w </w:t>
      </w:r>
      <w:r>
        <w:rPr>
          <w:rFonts w:ascii="Times New Roman" w:eastAsia="Times New Roman" w:hAnsi="Times New Roman" w:cs="Times New Roman"/>
          <w:sz w:val="24"/>
          <w:szCs w:val="24"/>
        </w:rPr>
        <w:t>2022</w:t>
      </w:r>
      <w:r w:rsidRPr="007F400A">
        <w:rPr>
          <w:rFonts w:ascii="Times New Roman" w:eastAsia="Times New Roman" w:hAnsi="Times New Roman" w:cs="Times New Roman"/>
          <w:sz w:val="24"/>
          <w:szCs w:val="24"/>
        </w:rPr>
        <w:t xml:space="preserve"> r. kontrole cechowała różnorodność tematyczna, dotyczyły one w szczególności: </w:t>
      </w:r>
    </w:p>
    <w:p w14:paraId="7BA8F041" w14:textId="77777777" w:rsidR="00C96893" w:rsidRPr="007F400A" w:rsidRDefault="00C96893" w:rsidP="00D34F97">
      <w:pPr>
        <w:numPr>
          <w:ilvl w:val="0"/>
          <w:numId w:val="59"/>
        </w:numPr>
        <w:tabs>
          <w:tab w:val="left" w:pos="993"/>
        </w:tabs>
        <w:spacing w:after="6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przestrzegania przepisów ustawy z dnia 14 grudnia 2012 r. o odpadach,</w:t>
      </w:r>
      <w:r>
        <w:rPr>
          <w:rFonts w:ascii="Times New Roman" w:eastAsia="Calibri" w:hAnsi="Times New Roman" w:cs="Times New Roman"/>
          <w:sz w:val="24"/>
          <w:szCs w:val="24"/>
          <w:lang w:eastAsia="pl-PL"/>
        </w:rPr>
        <w:t xml:space="preserve"> w tym przez </w:t>
      </w:r>
      <w:r w:rsidRPr="00773CAF">
        <w:rPr>
          <w:rFonts w:ascii="Times New Roman" w:eastAsia="Calibri" w:hAnsi="Times New Roman" w:cs="Times New Roman"/>
          <w:sz w:val="24"/>
          <w:szCs w:val="24"/>
          <w:lang w:eastAsia="pl-PL"/>
        </w:rPr>
        <w:t>wytwórców komunalnych osadów ściekowych</w:t>
      </w:r>
      <w:r>
        <w:rPr>
          <w:rFonts w:ascii="Times New Roman" w:eastAsia="Calibri" w:hAnsi="Times New Roman" w:cs="Times New Roman"/>
          <w:sz w:val="24"/>
          <w:szCs w:val="24"/>
          <w:lang w:eastAsia="pl-PL"/>
        </w:rPr>
        <w:t>,</w:t>
      </w:r>
    </w:p>
    <w:p w14:paraId="1B15D564" w14:textId="77777777" w:rsidR="00C96893" w:rsidRPr="007F400A" w:rsidRDefault="00C96893" w:rsidP="00D34F97">
      <w:pPr>
        <w:numPr>
          <w:ilvl w:val="0"/>
          <w:numId w:val="59"/>
        </w:numPr>
        <w:tabs>
          <w:tab w:val="left" w:pos="993"/>
        </w:tabs>
        <w:spacing w:after="6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przestrzegania przepisów ustawy z dnia 13 września 1996 r. o utrzymaniu czystości i porządku w gminach,</w:t>
      </w:r>
    </w:p>
    <w:p w14:paraId="2FA826D6" w14:textId="77777777" w:rsidR="00C96893" w:rsidRPr="007F400A" w:rsidRDefault="00C96893" w:rsidP="00D34F97">
      <w:pPr>
        <w:numPr>
          <w:ilvl w:val="0"/>
          <w:numId w:val="59"/>
        </w:numPr>
        <w:tabs>
          <w:tab w:val="left" w:pos="993"/>
        </w:tabs>
        <w:spacing w:after="6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stosowania przepisów ustawy z dnia 13 czerwca 2013 r. o gospodarce opakowaniami i odpadami opakowaniowymi, w zakresie realizacji obowiązków przez wprowadzających produkty w opakowaniach, podmioty przetwarzające odpady opakowaniowe i organizacje odzysku odpadów opakowaniowych,</w:t>
      </w:r>
    </w:p>
    <w:p w14:paraId="60E69A7C" w14:textId="77777777" w:rsidR="00C96893" w:rsidRPr="007F400A" w:rsidRDefault="00C96893" w:rsidP="00D34F97">
      <w:pPr>
        <w:numPr>
          <w:ilvl w:val="0"/>
          <w:numId w:val="59"/>
        </w:numPr>
        <w:tabs>
          <w:tab w:val="left" w:pos="993"/>
        </w:tabs>
        <w:spacing w:after="6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przeciwdziałania poważnym awariom,</w:t>
      </w:r>
    </w:p>
    <w:p w14:paraId="09C1707A" w14:textId="77777777" w:rsidR="00C96893" w:rsidRPr="007F400A" w:rsidRDefault="00C96893" w:rsidP="00D34F97">
      <w:pPr>
        <w:numPr>
          <w:ilvl w:val="0"/>
          <w:numId w:val="59"/>
        </w:numPr>
        <w:tabs>
          <w:tab w:val="left" w:pos="993"/>
        </w:tabs>
        <w:spacing w:after="6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przestrzegania przepisów art. 29 ustawy z dnia 25 lutego 2011 r. o substancjach chemicznych i ich mieszaninach w zakresie zagrożeń dla środowiska,</w:t>
      </w:r>
    </w:p>
    <w:p w14:paraId="5D049B3C" w14:textId="77777777" w:rsidR="00C96893" w:rsidRPr="007F400A" w:rsidRDefault="00C96893" w:rsidP="00D34F97">
      <w:pPr>
        <w:numPr>
          <w:ilvl w:val="0"/>
          <w:numId w:val="59"/>
        </w:numPr>
        <w:tabs>
          <w:tab w:val="left" w:pos="993"/>
        </w:tabs>
        <w:spacing w:after="6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 xml:space="preserve">przestrzegania przepisów ustawy z dnia 3 października 2008 r. o udostępnianiu informacji o środowisku i jego ochronie, udziale społeczeństwa w ochronie środowiska oraz o ocenach oddziaływania na środowisko w zakresie przestrzegania </w:t>
      </w:r>
      <w:r w:rsidRPr="007F400A">
        <w:rPr>
          <w:rFonts w:ascii="Times New Roman" w:eastAsia="Times New Roman" w:hAnsi="Times New Roman" w:cs="Times New Roman"/>
          <w:sz w:val="24"/>
          <w:szCs w:val="24"/>
          <w:lang w:val="x-none" w:eastAsia="pl-PL"/>
        </w:rPr>
        <w:t>warunków, wymogów i obowiązków nałożonych w decyzjach o</w:t>
      </w:r>
      <w:r w:rsidRPr="007F400A">
        <w:rPr>
          <w:rFonts w:ascii="Times New Roman" w:eastAsia="Times New Roman" w:hAnsi="Times New Roman" w:cs="Times New Roman"/>
          <w:sz w:val="24"/>
          <w:szCs w:val="24"/>
          <w:lang w:eastAsia="pl-PL"/>
        </w:rPr>
        <w:t> </w:t>
      </w:r>
      <w:r w:rsidRPr="007F400A">
        <w:rPr>
          <w:rFonts w:ascii="Times New Roman" w:eastAsia="Times New Roman" w:hAnsi="Times New Roman" w:cs="Times New Roman"/>
          <w:sz w:val="24"/>
          <w:szCs w:val="24"/>
          <w:lang w:val="x-none" w:eastAsia="pl-PL"/>
        </w:rPr>
        <w:t>środowiskowych uwarunkowaniach</w:t>
      </w:r>
      <w:r w:rsidRPr="007F400A">
        <w:rPr>
          <w:rFonts w:ascii="Times New Roman" w:eastAsia="Calibri" w:hAnsi="Times New Roman" w:cs="Times New Roman"/>
          <w:sz w:val="24"/>
          <w:szCs w:val="24"/>
          <w:lang w:val="x-none" w:eastAsia="pl-PL"/>
        </w:rPr>
        <w:t>,</w:t>
      </w:r>
    </w:p>
    <w:p w14:paraId="14C43F5D" w14:textId="77777777" w:rsidR="00C96893" w:rsidRPr="007F400A" w:rsidRDefault="00C96893" w:rsidP="00D34F97">
      <w:pPr>
        <w:numPr>
          <w:ilvl w:val="0"/>
          <w:numId w:val="59"/>
        </w:numPr>
        <w:tabs>
          <w:tab w:val="left" w:pos="993"/>
        </w:tabs>
        <w:spacing w:after="6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wykonywania zadań określonych w programach ochrony powietrza i planach działań krótkoterminowych przez wójta, burmistrza lub prezydenta miasta, starostę oraz inne podmioty,</w:t>
      </w:r>
    </w:p>
    <w:p w14:paraId="47BFA236" w14:textId="0DB834DC" w:rsidR="00C96893" w:rsidRPr="007F400A" w:rsidRDefault="00C96893" w:rsidP="00D34F97">
      <w:pPr>
        <w:numPr>
          <w:ilvl w:val="0"/>
          <w:numId w:val="59"/>
        </w:numPr>
        <w:tabs>
          <w:tab w:val="left" w:pos="993"/>
        </w:tabs>
        <w:spacing w:after="6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spełniania wymagań przez producentów i użytkowników produktów zawierających lotne związki organiczne – farb i lakier</w:t>
      </w:r>
      <w:r w:rsidRPr="007F400A">
        <w:rPr>
          <w:rFonts w:ascii="Times New Roman" w:eastAsia="Calibri" w:hAnsi="Times New Roman" w:cs="Times New Roman"/>
          <w:sz w:val="24"/>
          <w:szCs w:val="24"/>
          <w:lang w:eastAsia="pl-PL"/>
        </w:rPr>
        <w:t>ów</w:t>
      </w:r>
      <w:r w:rsidRPr="007F400A">
        <w:rPr>
          <w:rFonts w:ascii="Times New Roman" w:eastAsia="Calibri" w:hAnsi="Times New Roman" w:cs="Times New Roman"/>
          <w:sz w:val="24"/>
          <w:szCs w:val="24"/>
          <w:lang w:val="x-none" w:eastAsia="pl-PL"/>
        </w:rPr>
        <w:t xml:space="preserve"> przeznaczon</w:t>
      </w:r>
      <w:r w:rsidRPr="007F400A">
        <w:rPr>
          <w:rFonts w:ascii="Times New Roman" w:eastAsia="Calibri" w:hAnsi="Times New Roman" w:cs="Times New Roman"/>
          <w:sz w:val="24"/>
          <w:szCs w:val="24"/>
          <w:lang w:eastAsia="pl-PL"/>
        </w:rPr>
        <w:t>ych</w:t>
      </w:r>
      <w:r w:rsidRPr="007F400A">
        <w:rPr>
          <w:rFonts w:ascii="Times New Roman" w:eastAsia="Calibri" w:hAnsi="Times New Roman" w:cs="Times New Roman"/>
          <w:sz w:val="24"/>
          <w:szCs w:val="24"/>
          <w:lang w:val="x-none" w:eastAsia="pl-PL"/>
        </w:rPr>
        <w:t xml:space="preserve"> do malowania budynków i ich elementów wykończeniowych, wyposażeniowych oraz związanych</w:t>
      </w:r>
      <w:r w:rsidR="004C03B7">
        <w:rPr>
          <w:rFonts w:ascii="Times New Roman" w:eastAsia="Calibri" w:hAnsi="Times New Roman" w:cs="Times New Roman"/>
          <w:sz w:val="24"/>
          <w:szCs w:val="24"/>
          <w:lang w:eastAsia="pl-PL"/>
        </w:rPr>
        <w:t xml:space="preserve"> </w:t>
      </w:r>
      <w:r w:rsidRPr="007F400A">
        <w:rPr>
          <w:rFonts w:ascii="Times New Roman" w:eastAsia="Calibri" w:hAnsi="Times New Roman" w:cs="Times New Roman"/>
          <w:sz w:val="24"/>
          <w:szCs w:val="24"/>
          <w:lang w:eastAsia="pl-PL"/>
        </w:rPr>
        <w:t>z</w:t>
      </w:r>
      <w:r w:rsidRPr="007F400A">
        <w:rPr>
          <w:rFonts w:ascii="Times New Roman" w:eastAsia="Calibri" w:hAnsi="Times New Roman" w:cs="Times New Roman"/>
          <w:sz w:val="24"/>
          <w:szCs w:val="24"/>
          <w:lang w:val="x-none" w:eastAsia="pl-PL"/>
        </w:rPr>
        <w:t xml:space="preserve"> budynkami i elementami </w:t>
      </w:r>
      <w:r w:rsidRPr="007F400A">
        <w:rPr>
          <w:rFonts w:ascii="Times New Roman" w:eastAsia="Calibri" w:hAnsi="Times New Roman" w:cs="Times New Roman"/>
          <w:sz w:val="24"/>
          <w:szCs w:val="24"/>
          <w:lang w:eastAsia="pl-PL"/>
        </w:rPr>
        <w:t xml:space="preserve">ich </w:t>
      </w:r>
      <w:r w:rsidRPr="007F400A">
        <w:rPr>
          <w:rFonts w:ascii="Times New Roman" w:eastAsia="Calibri" w:hAnsi="Times New Roman" w:cs="Times New Roman"/>
          <w:sz w:val="24"/>
          <w:szCs w:val="24"/>
          <w:lang w:val="x-none" w:eastAsia="pl-PL"/>
        </w:rPr>
        <w:t>konstrukcji oraz mieszaniny do odnawiania pojazdów,</w:t>
      </w:r>
    </w:p>
    <w:p w14:paraId="1DBEB9C7" w14:textId="77777777" w:rsidR="00C96893" w:rsidRPr="007F400A" w:rsidRDefault="00C96893" w:rsidP="00D34F97">
      <w:pPr>
        <w:numPr>
          <w:ilvl w:val="0"/>
          <w:numId w:val="59"/>
        </w:numPr>
        <w:tabs>
          <w:tab w:val="left" w:pos="993"/>
        </w:tabs>
        <w:spacing w:after="6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przestrzegania przepisów dotyczących substancji kontrolowanych, nowych substancji oraz fluorowanych gazów cieplarnianych,</w:t>
      </w:r>
    </w:p>
    <w:p w14:paraId="38E9B7B3" w14:textId="77777777" w:rsidR="00C96893" w:rsidRPr="007F400A" w:rsidRDefault="00C96893" w:rsidP="00D34F97">
      <w:pPr>
        <w:numPr>
          <w:ilvl w:val="0"/>
          <w:numId w:val="59"/>
        </w:numPr>
        <w:tabs>
          <w:tab w:val="left" w:pos="993"/>
        </w:tabs>
        <w:spacing w:after="6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stosowania przepisów ustawy z dnia 10 lipca 2008 r. o odpadach wydobywczych,</w:t>
      </w:r>
    </w:p>
    <w:p w14:paraId="79390E8A" w14:textId="77777777" w:rsidR="00C96893" w:rsidRPr="007F400A" w:rsidRDefault="00C96893" w:rsidP="00D34F97">
      <w:pPr>
        <w:numPr>
          <w:ilvl w:val="0"/>
          <w:numId w:val="59"/>
        </w:numPr>
        <w:tabs>
          <w:tab w:val="left" w:pos="993"/>
        </w:tabs>
        <w:spacing w:after="6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przestrzegania warunków korzystania ze środowiska w zakresie ilości pobieranej wody oraz ilości i jakości ścieków wprowadzanych do wód lub do ziemi określonych w pozwoleniach wodnoprawnych i pozwoleniach zintegrowanych oraz przepisach ustawy z dnia 20 lipca 2017 r. Prawo wodne,</w:t>
      </w:r>
    </w:p>
    <w:p w14:paraId="1CEFAD09" w14:textId="55C8F32A" w:rsidR="00C96893" w:rsidRPr="007F400A" w:rsidRDefault="00C96893" w:rsidP="00D34F97">
      <w:pPr>
        <w:numPr>
          <w:ilvl w:val="0"/>
          <w:numId w:val="59"/>
        </w:numPr>
        <w:tabs>
          <w:tab w:val="left" w:pos="993"/>
        </w:tabs>
        <w:spacing w:after="6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lastRenderedPageBreak/>
        <w:t xml:space="preserve">stosowania Programu działań mających na celu zmniejszenie zanieczyszczenia wód azotanami pochodzącymi ze źródeł rolniczych oraz zapobieganie dalszemu zanieczyszczeniu, o którym mowa w ustawie z dnia 20 lipca 2017 r. Prawo wodne, przez </w:t>
      </w:r>
      <w:r w:rsidR="002C1E29" w:rsidRPr="007F400A">
        <w:rPr>
          <w:rFonts w:ascii="Times New Roman" w:eastAsia="Calibri" w:hAnsi="Times New Roman" w:cs="Times New Roman"/>
          <w:sz w:val="24"/>
          <w:szCs w:val="24"/>
          <w:lang w:val="x-none" w:eastAsia="pl-PL"/>
        </w:rPr>
        <w:t xml:space="preserve">obowiązane do stosowania Programu działań </w:t>
      </w:r>
      <w:r w:rsidRPr="007F400A">
        <w:rPr>
          <w:rFonts w:ascii="Times New Roman" w:eastAsia="Calibri" w:hAnsi="Times New Roman" w:cs="Times New Roman"/>
          <w:sz w:val="24"/>
          <w:szCs w:val="24"/>
          <w:lang w:val="x-none" w:eastAsia="pl-PL"/>
        </w:rPr>
        <w:t xml:space="preserve">podmioty prowadzące produkcję rolną oraz działalność, w ramach której są przechowywane odchody zwierzęce lub stosowane nawozy, </w:t>
      </w:r>
    </w:p>
    <w:p w14:paraId="31CDF123" w14:textId="77777777" w:rsidR="00C96893" w:rsidRPr="007F400A" w:rsidRDefault="00C96893" w:rsidP="00D34F97">
      <w:pPr>
        <w:numPr>
          <w:ilvl w:val="0"/>
          <w:numId w:val="59"/>
        </w:numPr>
        <w:tabs>
          <w:tab w:val="left" w:pos="993"/>
        </w:tabs>
        <w:spacing w:after="6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przestrzegania przepisów ustawy z dnia 10 lipca 2007 r. o nawozach i</w:t>
      </w:r>
      <w:r w:rsidRPr="007F400A">
        <w:rPr>
          <w:rFonts w:ascii="Times New Roman" w:eastAsia="Calibri" w:hAnsi="Times New Roman" w:cs="Times New Roman"/>
          <w:sz w:val="24"/>
          <w:szCs w:val="24"/>
          <w:lang w:eastAsia="pl-PL"/>
        </w:rPr>
        <w:t> </w:t>
      </w:r>
      <w:r w:rsidRPr="007F400A">
        <w:rPr>
          <w:rFonts w:ascii="Times New Roman" w:eastAsia="Calibri" w:hAnsi="Times New Roman" w:cs="Times New Roman"/>
          <w:sz w:val="24"/>
          <w:szCs w:val="24"/>
          <w:lang w:val="x-none" w:eastAsia="pl-PL"/>
        </w:rPr>
        <w:t xml:space="preserve">nawożeniu, w zakresie dotyczącym warunków stosowania i przechowywania nawozów, nawozów oznaczonych znakiem „NAWÓZ WE” oraz środków wspomagających uprawę roślin, </w:t>
      </w:r>
    </w:p>
    <w:p w14:paraId="44A88E67" w14:textId="77777777" w:rsidR="00C96893" w:rsidRPr="007F400A" w:rsidRDefault="00C96893" w:rsidP="00D34F97">
      <w:pPr>
        <w:numPr>
          <w:ilvl w:val="0"/>
          <w:numId w:val="59"/>
        </w:numPr>
        <w:tabs>
          <w:tab w:val="left" w:pos="993"/>
        </w:tabs>
        <w:spacing w:after="6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przestrzegania przepisów ustawy Prawo wodne oraz ustawy o nawozach i</w:t>
      </w:r>
      <w:r w:rsidRPr="007F400A">
        <w:rPr>
          <w:rFonts w:ascii="Times New Roman" w:eastAsia="Calibri" w:hAnsi="Times New Roman" w:cs="Times New Roman"/>
          <w:sz w:val="24"/>
          <w:szCs w:val="24"/>
          <w:lang w:eastAsia="pl-PL"/>
        </w:rPr>
        <w:t> </w:t>
      </w:r>
      <w:r w:rsidRPr="007F400A">
        <w:rPr>
          <w:rFonts w:ascii="Times New Roman" w:eastAsia="Calibri" w:hAnsi="Times New Roman" w:cs="Times New Roman"/>
          <w:sz w:val="24"/>
          <w:szCs w:val="24"/>
          <w:lang w:val="x-none" w:eastAsia="pl-PL"/>
        </w:rPr>
        <w:t>nawożeniu przez podmioty prowadzące produkcję pierwotną żywności pochodzenia roślinnego, realizowane w ramach Porozumienia z dnia 22 grudnia 2020 r. w sprawie współdziałania organów Państwowej Inspekcji Sanitarnej, Państwowej Inspekcji Ochrony Roślin i Nasiennictwa</w:t>
      </w:r>
      <w:r w:rsidRPr="007F400A">
        <w:rPr>
          <w:rFonts w:ascii="Times New Roman" w:eastAsia="Calibri" w:hAnsi="Times New Roman" w:cs="Times New Roman"/>
          <w:sz w:val="24"/>
          <w:szCs w:val="24"/>
          <w:lang w:eastAsia="pl-PL"/>
        </w:rPr>
        <w:t xml:space="preserve"> </w:t>
      </w:r>
      <w:r w:rsidRPr="007F400A">
        <w:rPr>
          <w:rFonts w:ascii="Times New Roman" w:eastAsia="Calibri" w:hAnsi="Times New Roman" w:cs="Times New Roman"/>
          <w:sz w:val="24"/>
          <w:szCs w:val="24"/>
          <w:lang w:val="x-none" w:eastAsia="pl-PL"/>
        </w:rPr>
        <w:t>oraz Inspekcji Ochrony Środowiska</w:t>
      </w:r>
      <w:r w:rsidRPr="007F400A">
        <w:rPr>
          <w:rFonts w:ascii="Times New Roman" w:eastAsia="Calibri" w:hAnsi="Times New Roman" w:cs="Times New Roman"/>
          <w:sz w:val="24"/>
          <w:szCs w:val="24"/>
          <w:lang w:eastAsia="pl-PL"/>
        </w:rPr>
        <w:t>,</w:t>
      </w:r>
      <w:r w:rsidRPr="007F400A">
        <w:rPr>
          <w:rFonts w:ascii="Times New Roman" w:eastAsia="Calibri" w:hAnsi="Times New Roman" w:cs="Times New Roman"/>
          <w:sz w:val="24"/>
          <w:szCs w:val="24"/>
          <w:lang w:val="x-none" w:eastAsia="pl-PL"/>
        </w:rPr>
        <w:t xml:space="preserve"> w zakresie zapewnienia bezpieczeństwa produkcji pierwotnej żywności pochodzenia roślinnego, </w:t>
      </w:r>
    </w:p>
    <w:p w14:paraId="116BD239" w14:textId="77777777" w:rsidR="00C96893" w:rsidRPr="007F400A" w:rsidRDefault="00C96893" w:rsidP="00D34F97">
      <w:pPr>
        <w:numPr>
          <w:ilvl w:val="0"/>
          <w:numId w:val="59"/>
        </w:numPr>
        <w:tabs>
          <w:tab w:val="left" w:pos="993"/>
        </w:tabs>
        <w:spacing w:after="6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zawartości siarki w ciężkim oleju opałowym oraz w oleju do silników statków żeglugi śródlądowej,</w:t>
      </w:r>
    </w:p>
    <w:p w14:paraId="706C8F26" w14:textId="77777777" w:rsidR="00C96893" w:rsidRPr="007F400A" w:rsidRDefault="00C96893" w:rsidP="00D34F97">
      <w:pPr>
        <w:numPr>
          <w:ilvl w:val="0"/>
          <w:numId w:val="59"/>
        </w:numPr>
        <w:tabs>
          <w:tab w:val="left" w:pos="993"/>
        </w:tabs>
        <w:spacing w:after="6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przestrzegania wymagań ochrony środowiska przez prowadzących instalacje wymagające uzyskania pozwolenia zintegrowanego,</w:t>
      </w:r>
    </w:p>
    <w:p w14:paraId="0FBC98B9" w14:textId="77777777" w:rsidR="00C96893" w:rsidRPr="007F400A" w:rsidRDefault="00C96893" w:rsidP="00D34F97">
      <w:pPr>
        <w:numPr>
          <w:ilvl w:val="0"/>
          <w:numId w:val="59"/>
        </w:numPr>
        <w:tabs>
          <w:tab w:val="left" w:pos="993"/>
        </w:tabs>
        <w:spacing w:after="6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emisji hałasu do środowiska,</w:t>
      </w:r>
    </w:p>
    <w:p w14:paraId="513BA4AF" w14:textId="77777777" w:rsidR="00C96893" w:rsidRPr="007F400A" w:rsidRDefault="00C96893" w:rsidP="00D34F97">
      <w:pPr>
        <w:numPr>
          <w:ilvl w:val="0"/>
          <w:numId w:val="59"/>
        </w:numPr>
        <w:tabs>
          <w:tab w:val="left" w:pos="993"/>
        </w:tabs>
        <w:spacing w:after="6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 xml:space="preserve">emisji gazów i pyłów do powietrza, </w:t>
      </w:r>
    </w:p>
    <w:p w14:paraId="78299F3E" w14:textId="77777777" w:rsidR="00C96893" w:rsidRPr="007F400A" w:rsidRDefault="00C96893" w:rsidP="00D34F97">
      <w:pPr>
        <w:numPr>
          <w:ilvl w:val="0"/>
          <w:numId w:val="59"/>
        </w:numPr>
        <w:tabs>
          <w:tab w:val="left" w:pos="993"/>
        </w:tabs>
        <w:spacing w:after="6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 xml:space="preserve">poziomów pól elektromagnetycznych, </w:t>
      </w:r>
    </w:p>
    <w:p w14:paraId="6FCF0D46" w14:textId="77777777" w:rsidR="00C96893" w:rsidRPr="007F400A" w:rsidRDefault="00C96893" w:rsidP="00D34F97">
      <w:pPr>
        <w:numPr>
          <w:ilvl w:val="0"/>
          <w:numId w:val="59"/>
        </w:numPr>
        <w:tabs>
          <w:tab w:val="left" w:pos="993"/>
        </w:tabs>
        <w:spacing w:after="6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zgodności wykorzystania przez użytkowników zasobów genetycznych i</w:t>
      </w:r>
      <w:r>
        <w:rPr>
          <w:rFonts w:ascii="Times New Roman" w:eastAsia="Calibri" w:hAnsi="Times New Roman" w:cs="Times New Roman"/>
          <w:sz w:val="24"/>
          <w:szCs w:val="24"/>
          <w:lang w:eastAsia="pl-PL"/>
        </w:rPr>
        <w:t xml:space="preserve"> </w:t>
      </w:r>
      <w:r w:rsidRPr="007F400A">
        <w:rPr>
          <w:rFonts w:ascii="Times New Roman" w:eastAsia="Calibri" w:hAnsi="Times New Roman" w:cs="Times New Roman"/>
          <w:sz w:val="24"/>
          <w:szCs w:val="24"/>
          <w:lang w:val="x-none" w:eastAsia="pl-PL"/>
        </w:rPr>
        <w:t>tradycyjnej wiedzy związanej z zasobami genetycznymi z uzgodnionymi warunkami dostępu oraz podziału korzyści z ich wykorzystania</w:t>
      </w:r>
      <w:r w:rsidRPr="007F400A">
        <w:rPr>
          <w:rFonts w:ascii="Times New Roman" w:eastAsia="Calibri" w:hAnsi="Times New Roman" w:cs="Times New Roman"/>
          <w:sz w:val="24"/>
          <w:szCs w:val="24"/>
          <w:lang w:eastAsia="pl-PL"/>
        </w:rPr>
        <w:t>,</w:t>
      </w:r>
      <w:r w:rsidRPr="007F400A">
        <w:rPr>
          <w:rFonts w:ascii="Times New Roman" w:eastAsia="Calibri" w:hAnsi="Times New Roman" w:cs="Times New Roman"/>
          <w:sz w:val="24"/>
          <w:szCs w:val="24"/>
          <w:lang w:val="x-none" w:eastAsia="pl-PL"/>
        </w:rPr>
        <w:t xml:space="preserve"> zgodnie z</w:t>
      </w:r>
      <w:r>
        <w:rPr>
          <w:rFonts w:ascii="Times New Roman" w:eastAsia="Calibri" w:hAnsi="Times New Roman" w:cs="Times New Roman"/>
          <w:sz w:val="24"/>
          <w:szCs w:val="24"/>
          <w:lang w:eastAsia="pl-PL"/>
        </w:rPr>
        <w:t xml:space="preserve"> </w:t>
      </w:r>
      <w:r w:rsidRPr="007F400A">
        <w:rPr>
          <w:rFonts w:ascii="Times New Roman" w:eastAsia="Calibri" w:hAnsi="Times New Roman" w:cs="Times New Roman"/>
          <w:sz w:val="24"/>
          <w:szCs w:val="24"/>
          <w:lang w:val="x-none" w:eastAsia="pl-PL"/>
        </w:rPr>
        <w:t>ustawą z dnia 19 lipca 2016 r. o dostępie do zasobów genetycznych i podziale korzyści z ich wykorzystania, kolekcji lub ich części zarejestrowanych w</w:t>
      </w:r>
      <w:r>
        <w:rPr>
          <w:rFonts w:ascii="Times New Roman" w:eastAsia="Calibri" w:hAnsi="Times New Roman" w:cs="Times New Roman"/>
          <w:sz w:val="24"/>
          <w:szCs w:val="24"/>
          <w:lang w:eastAsia="pl-PL"/>
        </w:rPr>
        <w:t xml:space="preserve"> </w:t>
      </w:r>
      <w:r w:rsidRPr="007F400A">
        <w:rPr>
          <w:rFonts w:ascii="Times New Roman" w:eastAsia="Calibri" w:hAnsi="Times New Roman" w:cs="Times New Roman"/>
          <w:sz w:val="24"/>
          <w:szCs w:val="24"/>
          <w:lang w:val="x-none" w:eastAsia="pl-PL"/>
        </w:rPr>
        <w:t>rejestrze kolekcji zgodnie z ww. ustawą,</w:t>
      </w:r>
    </w:p>
    <w:p w14:paraId="753D2B17" w14:textId="77777777" w:rsidR="00C96893" w:rsidRPr="007F400A" w:rsidRDefault="00C96893" w:rsidP="00D34F97">
      <w:pPr>
        <w:numPr>
          <w:ilvl w:val="0"/>
          <w:numId w:val="59"/>
        </w:numPr>
        <w:tabs>
          <w:tab w:val="left" w:pos="993"/>
        </w:tabs>
        <w:spacing w:after="6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przestrzegania przepisów ustawy z dnia 11 września 2015 r. o zużytym sprzęcie elektrycznym i elektronicznym,</w:t>
      </w:r>
    </w:p>
    <w:p w14:paraId="46AB0A84" w14:textId="77777777" w:rsidR="00C96893" w:rsidRPr="007F400A" w:rsidRDefault="00C96893" w:rsidP="00D34F97">
      <w:pPr>
        <w:numPr>
          <w:ilvl w:val="0"/>
          <w:numId w:val="59"/>
        </w:numPr>
        <w:tabs>
          <w:tab w:val="left" w:pos="993"/>
        </w:tabs>
        <w:spacing w:after="6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 xml:space="preserve">przestrzegania przepisów ustawy z dnia 20 stycznia 2005 r. o recyklingu pojazdów wycofanych z </w:t>
      </w:r>
      <w:r>
        <w:rPr>
          <w:rFonts w:ascii="Times New Roman" w:eastAsia="Calibri" w:hAnsi="Times New Roman" w:cs="Times New Roman"/>
          <w:sz w:val="24"/>
          <w:szCs w:val="24"/>
          <w:lang w:eastAsia="pl-PL"/>
        </w:rPr>
        <w:t>eksploatacji</w:t>
      </w:r>
      <w:r w:rsidRPr="007F400A">
        <w:rPr>
          <w:rFonts w:ascii="Times New Roman" w:eastAsia="Calibri" w:hAnsi="Times New Roman" w:cs="Times New Roman"/>
          <w:sz w:val="24"/>
          <w:szCs w:val="24"/>
          <w:lang w:val="x-none" w:eastAsia="pl-PL"/>
        </w:rPr>
        <w:t>,</w:t>
      </w:r>
    </w:p>
    <w:p w14:paraId="2ABF38DB" w14:textId="77777777" w:rsidR="00C96893" w:rsidRPr="007F400A" w:rsidRDefault="00C96893" w:rsidP="00D34F97">
      <w:pPr>
        <w:numPr>
          <w:ilvl w:val="0"/>
          <w:numId w:val="59"/>
        </w:numPr>
        <w:tabs>
          <w:tab w:val="left" w:pos="993"/>
        </w:tabs>
        <w:spacing w:after="6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przestrzegania przepisów ustawy z dnia 24 kwietnia 2009 r. o bateriach i akumulatorach,</w:t>
      </w:r>
    </w:p>
    <w:p w14:paraId="04F4E74E" w14:textId="77777777" w:rsidR="00C96893" w:rsidRPr="007F400A" w:rsidRDefault="00C96893" w:rsidP="00D34F97">
      <w:pPr>
        <w:numPr>
          <w:ilvl w:val="0"/>
          <w:numId w:val="59"/>
        </w:numPr>
        <w:tabs>
          <w:tab w:val="left" w:pos="993"/>
        </w:tabs>
        <w:spacing w:after="6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 xml:space="preserve">przestrzegania przepisów ustawy z dnia 29 czerwca 2007 r. o międzynarodowym przemieszczaniu odpadów, </w:t>
      </w:r>
    </w:p>
    <w:p w14:paraId="425A4239" w14:textId="77777777" w:rsidR="00C96893" w:rsidRDefault="00C96893" w:rsidP="00D34F97">
      <w:pPr>
        <w:numPr>
          <w:ilvl w:val="0"/>
          <w:numId w:val="59"/>
        </w:numPr>
        <w:tabs>
          <w:tab w:val="left" w:pos="993"/>
        </w:tabs>
        <w:spacing w:after="12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przestrzegania przepisów ustawy z dnia 19 lipca 2019 r. o przeciwdziałaniu marnowaniu żywności</w:t>
      </w:r>
      <w:r>
        <w:rPr>
          <w:rFonts w:ascii="Times New Roman" w:eastAsia="Calibri" w:hAnsi="Times New Roman" w:cs="Times New Roman"/>
          <w:sz w:val="24"/>
          <w:szCs w:val="24"/>
          <w:lang w:eastAsia="pl-PL"/>
        </w:rPr>
        <w:t>,</w:t>
      </w:r>
    </w:p>
    <w:p w14:paraId="1BAB68F7" w14:textId="77777777" w:rsidR="00C96893" w:rsidRPr="005C6D6C" w:rsidRDefault="00C96893" w:rsidP="00D34F97">
      <w:pPr>
        <w:numPr>
          <w:ilvl w:val="0"/>
          <w:numId w:val="59"/>
        </w:numPr>
        <w:tabs>
          <w:tab w:val="left" w:pos="993"/>
        </w:tabs>
        <w:spacing w:after="120" w:line="300" w:lineRule="atLeast"/>
        <w:ind w:left="924" w:hanging="357"/>
        <w:contextualSpacing/>
        <w:jc w:val="both"/>
        <w:rPr>
          <w:rFonts w:ascii="Times New Roman" w:eastAsia="Calibri" w:hAnsi="Times New Roman" w:cs="Times New Roman"/>
          <w:sz w:val="24"/>
          <w:szCs w:val="24"/>
          <w:lang w:val="x-none" w:eastAsia="pl-PL"/>
        </w:rPr>
      </w:pPr>
      <w:r w:rsidRPr="008D7B62">
        <w:rPr>
          <w:rFonts w:ascii="Times New Roman" w:eastAsia="Calibri" w:hAnsi="Times New Roman" w:cs="Times New Roman"/>
          <w:sz w:val="24"/>
          <w:szCs w:val="24"/>
          <w:lang w:val="x-none" w:eastAsia="pl-PL"/>
        </w:rPr>
        <w:t>przestrzeganie</w:t>
      </w:r>
      <w:r w:rsidRPr="008D7B62">
        <w:rPr>
          <w:rFonts w:ascii="Times New Roman" w:eastAsia="Calibri" w:hAnsi="Times New Roman" w:cs="Times New Roman"/>
          <w:sz w:val="24"/>
          <w:szCs w:val="24"/>
          <w:lang w:eastAsia="pl-PL"/>
        </w:rPr>
        <w:t xml:space="preserve"> </w:t>
      </w:r>
      <w:r w:rsidRPr="008D7B62">
        <w:rPr>
          <w:rFonts w:ascii="Times New Roman" w:eastAsia="Calibri" w:hAnsi="Times New Roman" w:cs="Times New Roman"/>
          <w:sz w:val="24"/>
          <w:szCs w:val="24"/>
          <w:lang w:val="x-none" w:eastAsia="pl-PL"/>
        </w:rPr>
        <w:t>przepisów ustawy z dnia 15 lipca 2020 r.</w:t>
      </w:r>
      <w:r w:rsidRPr="00B9764F">
        <w:rPr>
          <w:rFonts w:ascii="Times New Roman" w:eastAsia="Calibri" w:hAnsi="Times New Roman" w:cs="Times New Roman"/>
          <w:sz w:val="24"/>
          <w:szCs w:val="24"/>
          <w:lang w:eastAsia="pl-PL"/>
        </w:rPr>
        <w:t xml:space="preserve"> </w:t>
      </w:r>
      <w:r w:rsidRPr="00B9764F">
        <w:rPr>
          <w:rFonts w:ascii="Times New Roman" w:eastAsia="Calibri" w:hAnsi="Times New Roman" w:cs="Times New Roman"/>
          <w:sz w:val="24"/>
          <w:szCs w:val="24"/>
          <w:lang w:val="x-none" w:eastAsia="pl-PL"/>
        </w:rPr>
        <w:t>o systemach homologacji typu UE i</w:t>
      </w:r>
      <w:r w:rsidRPr="00B9764F">
        <w:rPr>
          <w:rFonts w:ascii="Times New Roman" w:eastAsia="Calibri" w:hAnsi="Times New Roman" w:cs="Times New Roman"/>
          <w:sz w:val="24"/>
          <w:szCs w:val="24"/>
          <w:lang w:eastAsia="pl-PL"/>
        </w:rPr>
        <w:t xml:space="preserve"> </w:t>
      </w:r>
      <w:r w:rsidRPr="00B9764F">
        <w:rPr>
          <w:rFonts w:ascii="Times New Roman" w:eastAsia="Calibri" w:hAnsi="Times New Roman" w:cs="Times New Roman"/>
          <w:sz w:val="24"/>
          <w:szCs w:val="24"/>
          <w:lang w:val="x-none" w:eastAsia="pl-PL"/>
        </w:rPr>
        <w:t>nadzoru rynku silników spalinowych</w:t>
      </w:r>
      <w:r w:rsidRPr="00B9764F">
        <w:rPr>
          <w:rFonts w:ascii="Times New Roman" w:eastAsia="Calibri" w:hAnsi="Times New Roman" w:cs="Times New Roman"/>
          <w:sz w:val="24"/>
          <w:szCs w:val="24"/>
          <w:lang w:eastAsia="pl-PL"/>
        </w:rPr>
        <w:t xml:space="preserve"> </w:t>
      </w:r>
      <w:r w:rsidRPr="00B9764F">
        <w:rPr>
          <w:rFonts w:ascii="Times New Roman" w:eastAsia="Calibri" w:hAnsi="Times New Roman" w:cs="Times New Roman"/>
          <w:sz w:val="24"/>
          <w:szCs w:val="24"/>
          <w:lang w:val="x-none" w:eastAsia="pl-PL"/>
        </w:rPr>
        <w:t>przeznaczonych do maszyn mobilnych</w:t>
      </w:r>
      <w:r>
        <w:rPr>
          <w:rFonts w:ascii="Times New Roman" w:eastAsia="Calibri" w:hAnsi="Times New Roman" w:cs="Times New Roman"/>
          <w:sz w:val="24"/>
          <w:szCs w:val="24"/>
          <w:lang w:eastAsia="pl-PL"/>
        </w:rPr>
        <w:t xml:space="preserve"> </w:t>
      </w:r>
      <w:r w:rsidRPr="008D7B62">
        <w:rPr>
          <w:rFonts w:ascii="Times New Roman" w:eastAsia="Calibri" w:hAnsi="Times New Roman" w:cs="Times New Roman"/>
          <w:sz w:val="24"/>
          <w:szCs w:val="24"/>
          <w:lang w:val="x-none" w:eastAsia="pl-PL"/>
        </w:rPr>
        <w:t>nieporuszaj</w:t>
      </w:r>
      <w:r>
        <w:rPr>
          <w:rFonts w:ascii="Times New Roman" w:eastAsia="Calibri" w:hAnsi="Times New Roman" w:cs="Times New Roman"/>
          <w:sz w:val="24"/>
          <w:szCs w:val="24"/>
          <w:lang w:eastAsia="pl-PL"/>
        </w:rPr>
        <w:t>ących</w:t>
      </w:r>
      <w:r w:rsidRPr="008D7B62">
        <w:rPr>
          <w:rFonts w:ascii="Times New Roman" w:eastAsia="Calibri" w:hAnsi="Times New Roman" w:cs="Times New Roman"/>
          <w:sz w:val="24"/>
          <w:szCs w:val="24"/>
          <w:lang w:val="x-none" w:eastAsia="pl-PL"/>
        </w:rPr>
        <w:t xml:space="preserve"> si</w:t>
      </w:r>
      <w:r>
        <w:rPr>
          <w:rFonts w:ascii="Times New Roman" w:eastAsia="Calibri" w:hAnsi="Times New Roman" w:cs="Times New Roman"/>
          <w:sz w:val="24"/>
          <w:szCs w:val="24"/>
          <w:lang w:eastAsia="pl-PL"/>
        </w:rPr>
        <w:t>ę</w:t>
      </w:r>
      <w:r w:rsidRPr="008D7B62">
        <w:rPr>
          <w:rFonts w:ascii="Times New Roman" w:eastAsia="Calibri" w:hAnsi="Times New Roman" w:cs="Times New Roman"/>
          <w:sz w:val="24"/>
          <w:szCs w:val="24"/>
          <w:lang w:val="x-none" w:eastAsia="pl-PL"/>
        </w:rPr>
        <w:t xml:space="preserve"> po drogach</w:t>
      </w:r>
      <w:r>
        <w:rPr>
          <w:rFonts w:ascii="Times New Roman" w:eastAsia="Calibri" w:hAnsi="Times New Roman" w:cs="Times New Roman"/>
          <w:sz w:val="24"/>
          <w:szCs w:val="24"/>
          <w:lang w:eastAsia="pl-PL"/>
        </w:rPr>
        <w:t>,</w:t>
      </w:r>
    </w:p>
    <w:p w14:paraId="19E6808F" w14:textId="77777777" w:rsidR="00C96893" w:rsidRPr="008D7B62" w:rsidRDefault="00C96893" w:rsidP="00D34F97">
      <w:pPr>
        <w:numPr>
          <w:ilvl w:val="0"/>
          <w:numId w:val="59"/>
        </w:numPr>
        <w:tabs>
          <w:tab w:val="left" w:pos="993"/>
        </w:tabs>
        <w:spacing w:after="120" w:line="300" w:lineRule="atLeast"/>
        <w:ind w:left="924" w:hanging="357"/>
        <w:jc w:val="both"/>
        <w:rPr>
          <w:rFonts w:ascii="Times New Roman" w:eastAsia="Calibri" w:hAnsi="Times New Roman" w:cs="Times New Roman"/>
          <w:sz w:val="24"/>
          <w:szCs w:val="24"/>
          <w:lang w:val="x-none" w:eastAsia="pl-PL"/>
        </w:rPr>
      </w:pPr>
      <w:r w:rsidRPr="008D7B62">
        <w:rPr>
          <w:rFonts w:ascii="Times New Roman" w:eastAsia="Calibri" w:hAnsi="Times New Roman" w:cs="Times New Roman"/>
          <w:sz w:val="24"/>
          <w:szCs w:val="24"/>
          <w:lang w:val="x-none" w:eastAsia="pl-PL"/>
        </w:rPr>
        <w:t>przestrzegania obowiązków przez podmioty wprowadzające do obrotu</w:t>
      </w:r>
      <w:r>
        <w:rPr>
          <w:rFonts w:ascii="Times New Roman" w:eastAsia="Calibri" w:hAnsi="Times New Roman" w:cs="Times New Roman"/>
          <w:sz w:val="24"/>
          <w:szCs w:val="24"/>
          <w:lang w:eastAsia="pl-PL"/>
        </w:rPr>
        <w:t xml:space="preserve"> </w:t>
      </w:r>
      <w:r w:rsidRPr="008D7B62">
        <w:rPr>
          <w:rFonts w:ascii="Times New Roman" w:eastAsia="Calibri" w:hAnsi="Times New Roman" w:cs="Times New Roman"/>
          <w:sz w:val="24"/>
          <w:szCs w:val="24"/>
          <w:lang w:val="x-none" w:eastAsia="pl-PL"/>
        </w:rPr>
        <w:t>drewno i</w:t>
      </w:r>
      <w:r>
        <w:rPr>
          <w:rFonts w:ascii="Times New Roman" w:eastAsia="Calibri" w:hAnsi="Times New Roman" w:cs="Times New Roman"/>
          <w:sz w:val="24"/>
          <w:szCs w:val="24"/>
          <w:lang w:eastAsia="pl-PL"/>
        </w:rPr>
        <w:t> </w:t>
      </w:r>
      <w:r w:rsidRPr="008D7B62">
        <w:rPr>
          <w:rFonts w:ascii="Times New Roman" w:eastAsia="Calibri" w:hAnsi="Times New Roman" w:cs="Times New Roman"/>
          <w:sz w:val="24"/>
          <w:szCs w:val="24"/>
          <w:lang w:val="x-none" w:eastAsia="pl-PL"/>
        </w:rPr>
        <w:t>produkty z drewna.</w:t>
      </w:r>
    </w:p>
    <w:p w14:paraId="3ADEA399" w14:textId="4409FD07" w:rsidR="00C96893" w:rsidRDefault="00C96893" w:rsidP="004B278F">
      <w:pPr>
        <w:tabs>
          <w:tab w:val="left" w:pos="709"/>
        </w:tabs>
        <w:autoSpaceDE w:val="0"/>
        <w:autoSpaceDN w:val="0"/>
        <w:adjustRightInd w:val="0"/>
        <w:spacing w:after="60" w:line="300" w:lineRule="atLeast"/>
        <w:ind w:firstLine="567"/>
        <w:jc w:val="both"/>
        <w:rPr>
          <w:color w:val="000000" w:themeColor="text1"/>
          <w:sz w:val="24"/>
          <w:szCs w:val="24"/>
        </w:rPr>
      </w:pPr>
      <w:r w:rsidRPr="007F400A">
        <w:rPr>
          <w:rFonts w:ascii="Times New Roman" w:hAnsi="Times New Roman" w:cs="Times New Roman"/>
          <w:bCs/>
          <w:sz w:val="24"/>
          <w:szCs w:val="24"/>
        </w:rPr>
        <w:t>Wojewódzcy inspektorzy ochrony środowiska zaplanowali zakłady do kontroli w</w:t>
      </w:r>
      <w:r>
        <w:rPr>
          <w:rFonts w:ascii="Times New Roman" w:hAnsi="Times New Roman" w:cs="Times New Roman"/>
          <w:bCs/>
          <w:sz w:val="24"/>
          <w:szCs w:val="24"/>
        </w:rPr>
        <w:t xml:space="preserve"> </w:t>
      </w:r>
      <w:r w:rsidRPr="007F400A">
        <w:rPr>
          <w:rFonts w:ascii="Times New Roman" w:hAnsi="Times New Roman" w:cs="Times New Roman"/>
          <w:bCs/>
          <w:sz w:val="24"/>
          <w:szCs w:val="24"/>
        </w:rPr>
        <w:t>oparciu o wytyczne Głównego Inspektora Ochrony Środowiska, w zgodzie z ogólnymi kierunkami działania Inspekcji Ochrony Środowiska. Kontrole prowadzone były w oparciu o</w:t>
      </w:r>
      <w:r>
        <w:rPr>
          <w:rFonts w:ascii="Times New Roman" w:hAnsi="Times New Roman" w:cs="Times New Roman"/>
          <w:bCs/>
          <w:sz w:val="24"/>
          <w:szCs w:val="24"/>
        </w:rPr>
        <w:t xml:space="preserve"> </w:t>
      </w:r>
      <w:r w:rsidRPr="007F400A">
        <w:rPr>
          <w:rFonts w:ascii="Times New Roman" w:hAnsi="Times New Roman" w:cs="Times New Roman"/>
          <w:bCs/>
          <w:sz w:val="24"/>
          <w:szCs w:val="24"/>
        </w:rPr>
        <w:t xml:space="preserve">obowiązujący </w:t>
      </w:r>
      <w:r w:rsidRPr="007F400A">
        <w:rPr>
          <w:rFonts w:ascii="Times New Roman" w:hAnsi="Times New Roman" w:cs="Times New Roman"/>
          <w:bCs/>
          <w:sz w:val="24"/>
          <w:szCs w:val="24"/>
        </w:rPr>
        <w:lastRenderedPageBreak/>
        <w:t xml:space="preserve">w Inspekcji Ochrony Środowiska </w:t>
      </w:r>
      <w:r w:rsidRPr="007F400A">
        <w:rPr>
          <w:rFonts w:ascii="Times New Roman" w:hAnsi="Times New Roman" w:cs="Times New Roman"/>
          <w:bCs/>
          <w:i/>
          <w:sz w:val="24"/>
          <w:szCs w:val="24"/>
        </w:rPr>
        <w:t>Informatyczny Systemem Kontroli</w:t>
      </w:r>
      <w:r w:rsidRPr="007F400A">
        <w:rPr>
          <w:rFonts w:ascii="Times New Roman" w:hAnsi="Times New Roman" w:cs="Times New Roman"/>
          <w:bCs/>
          <w:sz w:val="24"/>
          <w:szCs w:val="24"/>
        </w:rPr>
        <w:t xml:space="preserve"> (ISK), który określa jednolite dla całej Inspekcji zasady przygotowania i prowadzenia kontroli oraz jednolite wzory formularzy stosowanych na potrzeby dokumentowania czynności kontrolnych</w:t>
      </w:r>
      <w:r w:rsidR="00056EE7">
        <w:rPr>
          <w:rFonts w:ascii="Times New Roman" w:hAnsi="Times New Roman" w:cs="Times New Roman"/>
          <w:bCs/>
          <w:sz w:val="24"/>
          <w:szCs w:val="24"/>
        </w:rPr>
        <w:t xml:space="preserve"> oraz po</w:t>
      </w:r>
      <w:r w:rsidRPr="007F400A">
        <w:rPr>
          <w:rFonts w:ascii="Times New Roman" w:hAnsi="Times New Roman" w:cs="Times New Roman"/>
          <w:bCs/>
          <w:sz w:val="24"/>
          <w:szCs w:val="24"/>
        </w:rPr>
        <w:t>dejmowanych działań pokontrolnych, które uwzględniają Zalecenie Parlamentu Europejskiego i Rady Unii Europejskiej nr 2001/331/WE ustalające minimalne kryteria działania inspekcji ochrony środowiska w państwach członkowskich Unii Europejskiej.</w:t>
      </w:r>
    </w:p>
    <w:p w14:paraId="0A370086" w14:textId="4CFF5553" w:rsidR="00C96893" w:rsidRPr="0052040E" w:rsidRDefault="00C96893" w:rsidP="004B278F">
      <w:pPr>
        <w:spacing w:after="60" w:line="300" w:lineRule="atLeast"/>
        <w:ind w:firstLine="567"/>
        <w:jc w:val="both"/>
        <w:rPr>
          <w:rFonts w:ascii="Times New Roman" w:hAnsi="Times New Roman" w:cs="Times New Roman"/>
          <w:sz w:val="24"/>
          <w:szCs w:val="24"/>
        </w:rPr>
      </w:pPr>
      <w:r w:rsidRPr="00D35B4A">
        <w:rPr>
          <w:rFonts w:ascii="Times New Roman" w:hAnsi="Times New Roman" w:cs="Times New Roman"/>
          <w:sz w:val="24"/>
          <w:szCs w:val="24"/>
        </w:rPr>
        <w:t>W z</w:t>
      </w:r>
      <w:r w:rsidRPr="00032B84">
        <w:rPr>
          <w:rFonts w:ascii="Times New Roman" w:hAnsi="Times New Roman" w:cs="Times New Roman"/>
          <w:sz w:val="24"/>
          <w:szCs w:val="24"/>
        </w:rPr>
        <w:t>wiązku z wystąpieniem w II połowie 2022 r. sytuacji związanej ze śnięciem ryb w Odrze</w:t>
      </w:r>
      <w:r w:rsidRPr="0061552C" w:rsidDel="00CA6EC2">
        <w:rPr>
          <w:rFonts w:ascii="Times New Roman" w:hAnsi="Times New Roman" w:cs="Times New Roman"/>
          <w:sz w:val="24"/>
          <w:szCs w:val="24"/>
        </w:rPr>
        <w:t xml:space="preserve"> </w:t>
      </w:r>
      <w:r>
        <w:rPr>
          <w:rFonts w:ascii="Times New Roman" w:hAnsi="Times New Roman" w:cs="Times New Roman"/>
          <w:sz w:val="24"/>
          <w:szCs w:val="24"/>
        </w:rPr>
        <w:t>Główny Inspektor Ochrony Środowiska</w:t>
      </w:r>
      <w:r w:rsidR="00056EE7">
        <w:rPr>
          <w:rFonts w:ascii="Times New Roman" w:hAnsi="Times New Roman" w:cs="Times New Roman"/>
          <w:sz w:val="24"/>
          <w:szCs w:val="24"/>
        </w:rPr>
        <w:t>,</w:t>
      </w:r>
      <w:r>
        <w:rPr>
          <w:rFonts w:ascii="Times New Roman" w:hAnsi="Times New Roman" w:cs="Times New Roman"/>
          <w:sz w:val="24"/>
          <w:szCs w:val="24"/>
        </w:rPr>
        <w:t xml:space="preserve"> korzystając z uprawnień wynikających </w:t>
      </w:r>
      <w:r w:rsidR="004B278F">
        <w:rPr>
          <w:rFonts w:ascii="Times New Roman" w:hAnsi="Times New Roman" w:cs="Times New Roman"/>
          <w:sz w:val="24"/>
          <w:szCs w:val="24"/>
        </w:rPr>
        <w:br/>
      </w:r>
      <w:r>
        <w:rPr>
          <w:rFonts w:ascii="Times New Roman" w:hAnsi="Times New Roman" w:cs="Times New Roman"/>
          <w:sz w:val="24"/>
          <w:szCs w:val="24"/>
        </w:rPr>
        <w:t xml:space="preserve">z art. 4a ust. 1 pkt 4 i 4a ustawy o Inspekcji Ochrony Środowiska, </w:t>
      </w:r>
      <w:r w:rsidRPr="0052040E">
        <w:rPr>
          <w:rFonts w:ascii="Times New Roman" w:hAnsi="Times New Roman" w:cs="Times New Roman"/>
          <w:sz w:val="24"/>
          <w:szCs w:val="24"/>
        </w:rPr>
        <w:t xml:space="preserve">niezwłocznie po powzięciu informacji o </w:t>
      </w:r>
      <w:r>
        <w:rPr>
          <w:rFonts w:ascii="Times New Roman" w:hAnsi="Times New Roman" w:cs="Times New Roman"/>
          <w:sz w:val="24"/>
          <w:szCs w:val="24"/>
        </w:rPr>
        <w:t>tym zdarzeniu</w:t>
      </w:r>
      <w:r w:rsidRPr="0052040E">
        <w:rPr>
          <w:rFonts w:ascii="Times New Roman" w:hAnsi="Times New Roman" w:cs="Times New Roman"/>
          <w:sz w:val="24"/>
          <w:szCs w:val="24"/>
        </w:rPr>
        <w:t>, w dniu 3 sierpnia 2022 r. polecił W</w:t>
      </w:r>
      <w:r w:rsidR="004B278F">
        <w:rPr>
          <w:rFonts w:ascii="Times New Roman" w:hAnsi="Times New Roman" w:cs="Times New Roman"/>
          <w:sz w:val="24"/>
          <w:szCs w:val="24"/>
        </w:rPr>
        <w:t xml:space="preserve">ojewódzkim </w:t>
      </w:r>
      <w:r w:rsidRPr="0052040E">
        <w:rPr>
          <w:rFonts w:ascii="Times New Roman" w:hAnsi="Times New Roman" w:cs="Times New Roman"/>
          <w:sz w:val="24"/>
          <w:szCs w:val="24"/>
        </w:rPr>
        <w:t>I</w:t>
      </w:r>
      <w:r w:rsidR="004B278F">
        <w:rPr>
          <w:rFonts w:ascii="Times New Roman" w:hAnsi="Times New Roman" w:cs="Times New Roman"/>
          <w:sz w:val="24"/>
          <w:szCs w:val="24"/>
        </w:rPr>
        <w:t xml:space="preserve">nspektorom </w:t>
      </w:r>
      <w:r w:rsidRPr="0052040E">
        <w:rPr>
          <w:rFonts w:ascii="Times New Roman" w:hAnsi="Times New Roman" w:cs="Times New Roman"/>
          <w:sz w:val="24"/>
          <w:szCs w:val="24"/>
        </w:rPr>
        <w:t>O</w:t>
      </w:r>
      <w:r w:rsidR="004B278F">
        <w:rPr>
          <w:rFonts w:ascii="Times New Roman" w:hAnsi="Times New Roman" w:cs="Times New Roman"/>
          <w:sz w:val="24"/>
          <w:szCs w:val="24"/>
        </w:rPr>
        <w:t xml:space="preserve">chrony </w:t>
      </w:r>
      <w:r w:rsidRPr="0052040E">
        <w:rPr>
          <w:rFonts w:ascii="Times New Roman" w:hAnsi="Times New Roman" w:cs="Times New Roman"/>
          <w:sz w:val="24"/>
          <w:szCs w:val="24"/>
        </w:rPr>
        <w:t>Ś</w:t>
      </w:r>
      <w:r w:rsidR="004B278F">
        <w:rPr>
          <w:rFonts w:ascii="Times New Roman" w:hAnsi="Times New Roman" w:cs="Times New Roman"/>
          <w:sz w:val="24"/>
          <w:szCs w:val="24"/>
        </w:rPr>
        <w:t>rodowiska (WIOŚ)</w:t>
      </w:r>
      <w:r w:rsidRPr="0052040E">
        <w:rPr>
          <w:rFonts w:ascii="Times New Roman" w:hAnsi="Times New Roman" w:cs="Times New Roman"/>
          <w:sz w:val="24"/>
          <w:szCs w:val="24"/>
        </w:rPr>
        <w:t>, początkowo Śląskiemu, Opolskiemu oraz Dolnośląskiemu podjęcie działań, które doprowadzą do wyjaśnienia przyczyn zdarzenia oraz ustalenia ewentualnego sprawcy zanieczyszczenia wód, współpracę z</w:t>
      </w:r>
      <w:r>
        <w:rPr>
          <w:rFonts w:ascii="Times New Roman" w:hAnsi="Times New Roman" w:cs="Times New Roman"/>
          <w:sz w:val="24"/>
          <w:szCs w:val="24"/>
        </w:rPr>
        <w:t> </w:t>
      </w:r>
      <w:r w:rsidRPr="0052040E">
        <w:rPr>
          <w:rFonts w:ascii="Times New Roman" w:hAnsi="Times New Roman" w:cs="Times New Roman"/>
          <w:sz w:val="24"/>
          <w:szCs w:val="24"/>
        </w:rPr>
        <w:t xml:space="preserve">właściwymi organami, </w:t>
      </w:r>
      <w:r w:rsidR="004B278F">
        <w:rPr>
          <w:rFonts w:ascii="Times New Roman" w:hAnsi="Times New Roman" w:cs="Times New Roman"/>
          <w:sz w:val="24"/>
          <w:szCs w:val="24"/>
        </w:rPr>
        <w:br/>
      </w:r>
      <w:r w:rsidRPr="0052040E">
        <w:rPr>
          <w:rFonts w:ascii="Times New Roman" w:hAnsi="Times New Roman" w:cs="Times New Roman"/>
          <w:sz w:val="24"/>
          <w:szCs w:val="24"/>
        </w:rPr>
        <w:t>a w szczególności z jednostkami Państwowego Gospodarstwa Wodnego Wody Polskie (PGWWP), a także wskazał na konieczność niezwłocznego informowania GIOŚ o podjętych działaniach.</w:t>
      </w:r>
    </w:p>
    <w:p w14:paraId="7B1BC348" w14:textId="098E3D83" w:rsidR="00C96893" w:rsidRDefault="00C96893" w:rsidP="004B278F">
      <w:pPr>
        <w:spacing w:after="60" w:line="300" w:lineRule="atLeast"/>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Pr="005407BD">
        <w:rPr>
          <w:rFonts w:ascii="Times New Roman" w:hAnsi="Times New Roman" w:cs="Times New Roman"/>
          <w:sz w:val="24"/>
          <w:szCs w:val="24"/>
        </w:rPr>
        <w:t>W celu ustalenia źródła zanieczyszczenia Odry G</w:t>
      </w:r>
      <w:r w:rsidR="004B278F">
        <w:rPr>
          <w:rFonts w:ascii="Times New Roman" w:hAnsi="Times New Roman" w:cs="Times New Roman"/>
          <w:sz w:val="24"/>
          <w:szCs w:val="24"/>
        </w:rPr>
        <w:t>łówny Inspektor</w:t>
      </w:r>
      <w:r w:rsidRPr="005407BD">
        <w:rPr>
          <w:rFonts w:ascii="Times New Roman" w:hAnsi="Times New Roman" w:cs="Times New Roman"/>
          <w:sz w:val="24"/>
          <w:szCs w:val="24"/>
        </w:rPr>
        <w:t xml:space="preserve"> zobowiązał pięciu WIOŚ: </w:t>
      </w:r>
      <w:bookmarkStart w:id="20" w:name="_Hlk126503716"/>
      <w:r w:rsidRPr="005407BD">
        <w:rPr>
          <w:rFonts w:ascii="Times New Roman" w:hAnsi="Times New Roman" w:cs="Times New Roman"/>
          <w:sz w:val="24"/>
          <w:szCs w:val="24"/>
        </w:rPr>
        <w:t>Śląskiego, Opolskiego, Dolnośląskiego</w:t>
      </w:r>
      <w:bookmarkEnd w:id="20"/>
      <w:r w:rsidRPr="005407BD">
        <w:rPr>
          <w:rFonts w:ascii="Times New Roman" w:hAnsi="Times New Roman" w:cs="Times New Roman"/>
          <w:sz w:val="24"/>
          <w:szCs w:val="24"/>
        </w:rPr>
        <w:t xml:space="preserve">, Lubuskiego oraz Zachodniopomorskiego do prowadzenia bieżących działań na podstawie art. 9 </w:t>
      </w:r>
      <w:r>
        <w:rPr>
          <w:rFonts w:ascii="Times New Roman" w:hAnsi="Times New Roman" w:cs="Times New Roman"/>
          <w:sz w:val="24"/>
          <w:szCs w:val="24"/>
        </w:rPr>
        <w:t>lub</w:t>
      </w:r>
      <w:r w:rsidRPr="005407BD">
        <w:rPr>
          <w:rFonts w:ascii="Times New Roman" w:hAnsi="Times New Roman" w:cs="Times New Roman"/>
          <w:sz w:val="24"/>
          <w:szCs w:val="24"/>
        </w:rPr>
        <w:t xml:space="preserve"> art. 10b ustawy o IOŚ</w:t>
      </w:r>
      <w:r w:rsidR="004B278F">
        <w:rPr>
          <w:rFonts w:ascii="Times New Roman" w:hAnsi="Times New Roman" w:cs="Times New Roman"/>
          <w:sz w:val="24"/>
          <w:szCs w:val="24"/>
        </w:rPr>
        <w:t xml:space="preserve"> </w:t>
      </w:r>
      <w:r w:rsidRPr="005407BD">
        <w:rPr>
          <w:rFonts w:ascii="Times New Roman" w:hAnsi="Times New Roman" w:cs="Times New Roman"/>
          <w:sz w:val="24"/>
          <w:szCs w:val="24"/>
        </w:rPr>
        <w:t xml:space="preserve">w Zakładach odprowadzających ścieki, wody opadowe lub wody z odwodnienia, bezpośrednio do Odry lub jej dopływów, </w:t>
      </w:r>
      <w:r>
        <w:rPr>
          <w:rFonts w:ascii="Times New Roman" w:hAnsi="Times New Roman" w:cs="Times New Roman"/>
          <w:sz w:val="24"/>
          <w:szCs w:val="24"/>
        </w:rPr>
        <w:t xml:space="preserve">w tym Zakładów, </w:t>
      </w:r>
      <w:r w:rsidRPr="005407BD">
        <w:rPr>
          <w:rFonts w:ascii="Times New Roman" w:hAnsi="Times New Roman" w:cs="Times New Roman"/>
          <w:sz w:val="24"/>
          <w:szCs w:val="24"/>
        </w:rPr>
        <w:t>które w prowadzonej działalności wykorzystują m.in. podchloryn sodu lub wodorotlenek sodu lub posiadają w pozwoleniach określone wskaźniki zanieczyszczeń: sód, potas, chlorki, siarczany, rtęć, ołów, nikiel, kadm, miedź.</w:t>
      </w:r>
    </w:p>
    <w:p w14:paraId="731FA09B" w14:textId="6C1BF0E1" w:rsidR="00C96893" w:rsidRDefault="00C96893" w:rsidP="004B278F">
      <w:pPr>
        <w:spacing w:after="60" w:line="300" w:lineRule="atLeast"/>
        <w:ind w:firstLine="567"/>
        <w:jc w:val="both"/>
        <w:rPr>
          <w:rFonts w:ascii="Times New Roman" w:hAnsi="Times New Roman" w:cs="Times New Roman"/>
          <w:sz w:val="24"/>
          <w:szCs w:val="24"/>
        </w:rPr>
      </w:pPr>
      <w:r w:rsidRPr="00470301">
        <w:rPr>
          <w:rFonts w:ascii="Times New Roman" w:hAnsi="Times New Roman" w:cs="Times New Roman"/>
          <w:sz w:val="24"/>
          <w:szCs w:val="24"/>
        </w:rPr>
        <w:t xml:space="preserve">Pięciu ww. Wojewódzkich Inspektorów Ochrony Środowiska prowadziło wzmożone kontrole podmiotów korzystających z usług wodnych w zakresie wprowadzania ścieków do wód, zgodnie z kompetencjami określonymi w art. 335 ust. 5 pkt 1 w związku z art. 334 pkt 2 i 3 ustawy </w:t>
      </w:r>
      <w:r w:rsidRPr="00470301">
        <w:rPr>
          <w:rFonts w:ascii="Times New Roman" w:hAnsi="Times New Roman" w:cs="Times New Roman"/>
          <w:i/>
          <w:sz w:val="24"/>
          <w:szCs w:val="24"/>
        </w:rPr>
        <w:t>Prawo wodne</w:t>
      </w:r>
      <w:r w:rsidRPr="00470301">
        <w:rPr>
          <w:rFonts w:ascii="Times New Roman" w:hAnsi="Times New Roman" w:cs="Times New Roman"/>
          <w:sz w:val="24"/>
          <w:szCs w:val="24"/>
        </w:rPr>
        <w:t>. Do 31 grudnia 2022 r. przeprowadzono 271 kontroli.</w:t>
      </w:r>
      <w:r>
        <w:rPr>
          <w:rFonts w:ascii="Times New Roman" w:hAnsi="Times New Roman" w:cs="Times New Roman"/>
          <w:sz w:val="24"/>
          <w:szCs w:val="24"/>
        </w:rPr>
        <w:t xml:space="preserve"> </w:t>
      </w:r>
    </w:p>
    <w:p w14:paraId="1F615977" w14:textId="7C4014FC" w:rsidR="00C96893" w:rsidRPr="005407BD" w:rsidRDefault="00C96893" w:rsidP="004B278F">
      <w:pPr>
        <w:spacing w:after="0" w:line="300" w:lineRule="atLeast"/>
        <w:ind w:firstLine="567"/>
        <w:jc w:val="both"/>
        <w:rPr>
          <w:rFonts w:ascii="Times New Roman" w:hAnsi="Times New Roman" w:cs="Times New Roman"/>
          <w:sz w:val="24"/>
          <w:szCs w:val="24"/>
        </w:rPr>
      </w:pPr>
      <w:r w:rsidRPr="005407BD">
        <w:rPr>
          <w:rFonts w:ascii="Times New Roman" w:hAnsi="Times New Roman" w:cs="Times New Roman"/>
          <w:sz w:val="24"/>
          <w:szCs w:val="24"/>
        </w:rPr>
        <w:t xml:space="preserve">W ramach podejmowanych działań, GIOŚ wystąpił do Ministerstwa Klimatu </w:t>
      </w:r>
      <w:r w:rsidR="004B278F">
        <w:rPr>
          <w:rFonts w:ascii="Times New Roman" w:hAnsi="Times New Roman" w:cs="Times New Roman"/>
          <w:sz w:val="24"/>
          <w:szCs w:val="24"/>
        </w:rPr>
        <w:br/>
      </w:r>
      <w:r w:rsidRPr="005407BD">
        <w:rPr>
          <w:rFonts w:ascii="Times New Roman" w:hAnsi="Times New Roman" w:cs="Times New Roman"/>
          <w:sz w:val="24"/>
          <w:szCs w:val="24"/>
        </w:rPr>
        <w:t xml:space="preserve">i Środowiska z inicjatywą pozyskania od organów wydających pozwolenia wodnoprawne oraz zintegrowane, wykazów zakładów wprowadzających ścieki do Odry lub jej dopływów, dla których ustalono w pozwoleniach najwyższe dopuszczalne stężenia zanieczyszczeń powodujące zasolenie. W oparciu o uzyskane informacje, w dniu 26 sierpnia 2022 r. GIOŚ, </w:t>
      </w:r>
      <w:r>
        <w:rPr>
          <w:rFonts w:ascii="Times New Roman" w:hAnsi="Times New Roman" w:cs="Times New Roman"/>
          <w:sz w:val="24"/>
          <w:szCs w:val="24"/>
        </w:rPr>
        <w:t>zgodnie z ustawowymi kompetencjami</w:t>
      </w:r>
      <w:r w:rsidRPr="005407BD">
        <w:rPr>
          <w:rFonts w:ascii="Times New Roman" w:hAnsi="Times New Roman" w:cs="Times New Roman"/>
          <w:sz w:val="24"/>
          <w:szCs w:val="24"/>
        </w:rPr>
        <w:t xml:space="preserve"> polecił trzem WIOŚ: Śląskiemu, Opolskiemu oraz Dolnośląskiemu, przeprowadzenie w trybie pilnym, począwszy od 28 sierpnia 2022 </w:t>
      </w:r>
      <w:r w:rsidRPr="005407BD">
        <w:rPr>
          <w:rFonts w:ascii="Times New Roman" w:hAnsi="Times New Roman" w:cs="Times New Roman"/>
          <w:i/>
          <w:sz w:val="24"/>
          <w:szCs w:val="24"/>
        </w:rPr>
        <w:t>r., cyklu kontrolnego w związku z zanieczyszczeniem Odry</w:t>
      </w:r>
      <w:r w:rsidRPr="005407BD">
        <w:rPr>
          <w:rFonts w:ascii="Times New Roman" w:hAnsi="Times New Roman" w:cs="Times New Roman"/>
          <w:sz w:val="24"/>
          <w:szCs w:val="24"/>
        </w:rPr>
        <w:t>, polegającego na realizacji kierunkowych kontroli interwencyjnych w zakładach:</w:t>
      </w:r>
    </w:p>
    <w:p w14:paraId="74B1E725" w14:textId="77777777" w:rsidR="00C96893" w:rsidRPr="005407BD" w:rsidRDefault="00C96893" w:rsidP="00D34F97">
      <w:pPr>
        <w:numPr>
          <w:ilvl w:val="0"/>
          <w:numId w:val="154"/>
        </w:numPr>
        <w:spacing w:after="0" w:line="300" w:lineRule="atLeast"/>
        <w:jc w:val="both"/>
        <w:rPr>
          <w:rFonts w:ascii="Times New Roman" w:hAnsi="Times New Roman" w:cs="Times New Roman"/>
          <w:sz w:val="24"/>
          <w:szCs w:val="24"/>
        </w:rPr>
      </w:pPr>
      <w:r w:rsidRPr="005407BD">
        <w:rPr>
          <w:rFonts w:ascii="Times New Roman" w:hAnsi="Times New Roman" w:cs="Times New Roman"/>
          <w:sz w:val="24"/>
          <w:szCs w:val="24"/>
        </w:rPr>
        <w:t xml:space="preserve">wytypowanych przez GIOŚ na podstawie przekazanych przez PGW WP wykazów pozwoleń wodnoprawnych, </w:t>
      </w:r>
    </w:p>
    <w:p w14:paraId="67FD6A21" w14:textId="6CC4E2E7" w:rsidR="00C96893" w:rsidRPr="005407BD" w:rsidRDefault="00C96893" w:rsidP="00D34F97">
      <w:pPr>
        <w:numPr>
          <w:ilvl w:val="0"/>
          <w:numId w:val="154"/>
        </w:numPr>
        <w:spacing w:after="0" w:line="300" w:lineRule="atLeast"/>
        <w:jc w:val="both"/>
        <w:rPr>
          <w:rFonts w:ascii="Times New Roman" w:hAnsi="Times New Roman" w:cs="Times New Roman"/>
          <w:sz w:val="24"/>
          <w:szCs w:val="24"/>
        </w:rPr>
      </w:pPr>
      <w:r w:rsidRPr="005407BD">
        <w:rPr>
          <w:rFonts w:ascii="Times New Roman" w:hAnsi="Times New Roman" w:cs="Times New Roman"/>
          <w:sz w:val="24"/>
          <w:szCs w:val="24"/>
        </w:rPr>
        <w:t xml:space="preserve">wytypowanych przez WIOŚ, po analizie pozwoleń zintegrowanych oraz zmian tych pozwoleń, przekazanych przez </w:t>
      </w:r>
      <w:r>
        <w:rPr>
          <w:rFonts w:ascii="Times New Roman" w:hAnsi="Times New Roman" w:cs="Times New Roman"/>
          <w:sz w:val="24"/>
          <w:szCs w:val="24"/>
        </w:rPr>
        <w:t>Ministerstwo</w:t>
      </w:r>
      <w:r w:rsidRPr="005407BD">
        <w:rPr>
          <w:rFonts w:ascii="Times New Roman" w:hAnsi="Times New Roman" w:cs="Times New Roman"/>
          <w:sz w:val="24"/>
          <w:szCs w:val="24"/>
        </w:rPr>
        <w:t xml:space="preserve"> Klimatu i Środowiska,</w:t>
      </w:r>
    </w:p>
    <w:p w14:paraId="7FDD5F35" w14:textId="77777777" w:rsidR="00C96893" w:rsidRPr="005407BD" w:rsidRDefault="00C96893" w:rsidP="00056EE7">
      <w:pPr>
        <w:spacing w:after="0" w:line="300" w:lineRule="atLeast"/>
        <w:jc w:val="both"/>
        <w:rPr>
          <w:rFonts w:ascii="Times New Roman" w:hAnsi="Times New Roman" w:cs="Times New Roman"/>
          <w:sz w:val="24"/>
          <w:szCs w:val="24"/>
        </w:rPr>
      </w:pPr>
      <w:r w:rsidRPr="005407BD">
        <w:rPr>
          <w:rFonts w:ascii="Times New Roman" w:hAnsi="Times New Roman" w:cs="Times New Roman"/>
          <w:sz w:val="24"/>
          <w:szCs w:val="24"/>
        </w:rPr>
        <w:t xml:space="preserve">ze szczególnym uwzględnieniem zakładów, dla których ustalono w pozwoleniach stężenia zanieczyszczeń substancji powodujących zasolenie, tj. chlorków </w:t>
      </w:r>
      <w:bookmarkStart w:id="21" w:name="_Hlk126504825"/>
      <w:r w:rsidRPr="005407BD">
        <w:rPr>
          <w:rFonts w:ascii="Times New Roman" w:hAnsi="Times New Roman" w:cs="Times New Roman"/>
          <w:sz w:val="24"/>
          <w:szCs w:val="24"/>
        </w:rPr>
        <w:t xml:space="preserve">&gt;1000 mg/l </w:t>
      </w:r>
      <w:bookmarkEnd w:id="21"/>
      <w:r w:rsidRPr="005407BD">
        <w:rPr>
          <w:rFonts w:ascii="Times New Roman" w:hAnsi="Times New Roman" w:cs="Times New Roman"/>
          <w:sz w:val="24"/>
          <w:szCs w:val="24"/>
        </w:rPr>
        <w:t xml:space="preserve">oraz siarczanów &gt;500 mg/l. </w:t>
      </w:r>
    </w:p>
    <w:p w14:paraId="6A9A71AE" w14:textId="77777777" w:rsidR="00C96893" w:rsidRDefault="00C96893" w:rsidP="004B278F">
      <w:pPr>
        <w:spacing w:after="60" w:line="300" w:lineRule="atLeast"/>
        <w:ind w:firstLine="567"/>
        <w:jc w:val="both"/>
        <w:rPr>
          <w:rFonts w:ascii="Times New Roman" w:hAnsi="Times New Roman" w:cs="Times New Roman"/>
          <w:sz w:val="24"/>
          <w:szCs w:val="24"/>
        </w:rPr>
      </w:pPr>
      <w:r w:rsidRPr="008B2205">
        <w:rPr>
          <w:rFonts w:ascii="Times New Roman" w:hAnsi="Times New Roman" w:cs="Times New Roman"/>
          <w:sz w:val="24"/>
          <w:szCs w:val="24"/>
        </w:rPr>
        <w:t xml:space="preserve">W ramach cyklu kontrolnego </w:t>
      </w:r>
      <w:r>
        <w:rPr>
          <w:rFonts w:ascii="Times New Roman" w:hAnsi="Times New Roman" w:cs="Times New Roman"/>
          <w:sz w:val="24"/>
          <w:szCs w:val="24"/>
        </w:rPr>
        <w:t>wojewódzcy inspektorzy</w:t>
      </w:r>
      <w:r w:rsidRPr="008B2205">
        <w:rPr>
          <w:rFonts w:ascii="Times New Roman" w:hAnsi="Times New Roman" w:cs="Times New Roman"/>
          <w:sz w:val="24"/>
          <w:szCs w:val="24"/>
        </w:rPr>
        <w:t xml:space="preserve"> przeprowadzili na podstawie art.</w:t>
      </w:r>
      <w:r>
        <w:rPr>
          <w:rFonts w:ascii="Times New Roman" w:hAnsi="Times New Roman" w:cs="Times New Roman"/>
          <w:sz w:val="24"/>
          <w:szCs w:val="24"/>
        </w:rPr>
        <w:t> </w:t>
      </w:r>
      <w:r w:rsidRPr="008B2205">
        <w:rPr>
          <w:rFonts w:ascii="Times New Roman" w:hAnsi="Times New Roman" w:cs="Times New Roman"/>
          <w:sz w:val="24"/>
          <w:szCs w:val="24"/>
        </w:rPr>
        <w:t>9 ustawy</w:t>
      </w:r>
      <w:r>
        <w:rPr>
          <w:rFonts w:ascii="Times New Roman" w:hAnsi="Times New Roman" w:cs="Times New Roman"/>
          <w:sz w:val="24"/>
          <w:szCs w:val="24"/>
        </w:rPr>
        <w:t xml:space="preserve"> o Inspekcji Ochrony Środowiska</w:t>
      </w:r>
      <w:r w:rsidRPr="008B2205">
        <w:rPr>
          <w:rFonts w:ascii="Times New Roman" w:hAnsi="Times New Roman" w:cs="Times New Roman"/>
          <w:sz w:val="24"/>
          <w:szCs w:val="24"/>
        </w:rPr>
        <w:t xml:space="preserve"> łącznie 68 kontroli.</w:t>
      </w:r>
      <w:r>
        <w:rPr>
          <w:rFonts w:ascii="Times New Roman" w:hAnsi="Times New Roman" w:cs="Times New Roman"/>
          <w:sz w:val="24"/>
          <w:szCs w:val="24"/>
        </w:rPr>
        <w:t xml:space="preserve"> </w:t>
      </w:r>
    </w:p>
    <w:p w14:paraId="4208231C" w14:textId="77777777" w:rsidR="00C96893" w:rsidRDefault="00C96893" w:rsidP="004B278F">
      <w:pPr>
        <w:spacing w:after="60" w:line="300" w:lineRule="atLeast"/>
        <w:ind w:firstLine="567"/>
        <w:jc w:val="both"/>
        <w:rPr>
          <w:rFonts w:ascii="Times New Roman" w:hAnsi="Times New Roman" w:cs="Times New Roman"/>
          <w:sz w:val="24"/>
          <w:szCs w:val="24"/>
        </w:rPr>
      </w:pPr>
      <w:r w:rsidRPr="005407BD">
        <w:rPr>
          <w:rFonts w:ascii="Times New Roman" w:eastAsia="Times New Roman" w:hAnsi="Times New Roman" w:cs="Times New Roman"/>
          <w:sz w:val="24"/>
          <w:szCs w:val="24"/>
          <w:lang w:eastAsia="pl-PL"/>
        </w:rPr>
        <w:lastRenderedPageBreak/>
        <w:t xml:space="preserve"> </w:t>
      </w:r>
      <w:r w:rsidRPr="005407BD">
        <w:rPr>
          <w:rFonts w:ascii="Times New Roman" w:hAnsi="Times New Roman" w:cs="Times New Roman"/>
          <w:sz w:val="24"/>
          <w:szCs w:val="24"/>
        </w:rPr>
        <w:t>Ustalenia poczynione podczas prowadzonych czynności i kontroli nie dały podstaw do twierdzenia, że wykryte w kontrolowanych zakładach nieprawidłowości w zakresie gospodarki wodno-ściekowej były bezpośrednią przyczyną masowego śnięcia ryb w rzece. Żaden z WIOŚ nie stwierdził, aby sytuację na Odrze spowodowało odprowadzanie ścieków do Odry przez konkretny kontrolowany zakład.</w:t>
      </w:r>
      <w:r>
        <w:rPr>
          <w:rFonts w:ascii="Times New Roman" w:hAnsi="Times New Roman" w:cs="Times New Roman"/>
          <w:sz w:val="24"/>
          <w:szCs w:val="24"/>
        </w:rPr>
        <w:t xml:space="preserve"> Ustalenia z prowadzonych kontroli WIOŚ na bieżąco przekazywały organom, wydającym pozwolenia wodnoprawne i zintegrowane. </w:t>
      </w:r>
    </w:p>
    <w:p w14:paraId="4D37CF86" w14:textId="57971854" w:rsidR="00C96893" w:rsidRDefault="00C96893" w:rsidP="004B278F">
      <w:pPr>
        <w:spacing w:after="0" w:line="300" w:lineRule="atLeast"/>
        <w:ind w:firstLine="567"/>
        <w:jc w:val="both"/>
        <w:rPr>
          <w:rFonts w:ascii="Times New Roman" w:hAnsi="Times New Roman" w:cs="Times New Roman"/>
          <w:sz w:val="24"/>
          <w:szCs w:val="24"/>
        </w:rPr>
      </w:pPr>
      <w:r w:rsidRPr="005407BD">
        <w:rPr>
          <w:rFonts w:ascii="Times New Roman" w:hAnsi="Times New Roman" w:cs="Times New Roman"/>
          <w:sz w:val="24"/>
          <w:szCs w:val="24"/>
        </w:rPr>
        <w:t xml:space="preserve">Wyniki pomiarów jakości wód Odry i Kanału Gliwickiego, zlecanych przez WIOŚ </w:t>
      </w:r>
      <w:r w:rsidRPr="005407BD">
        <w:rPr>
          <w:rFonts w:ascii="Times New Roman" w:hAnsi="Times New Roman" w:cs="Times New Roman"/>
          <w:sz w:val="24"/>
          <w:szCs w:val="24"/>
        </w:rPr>
        <w:br/>
        <w:t>w ramach kontrolnych działań interwencyjnych i wykonywanych przez C</w:t>
      </w:r>
      <w:r w:rsidR="004B278F">
        <w:rPr>
          <w:rFonts w:ascii="Times New Roman" w:hAnsi="Times New Roman" w:cs="Times New Roman"/>
          <w:sz w:val="24"/>
          <w:szCs w:val="24"/>
        </w:rPr>
        <w:t xml:space="preserve">entralne </w:t>
      </w:r>
      <w:r w:rsidRPr="005407BD">
        <w:rPr>
          <w:rFonts w:ascii="Times New Roman" w:hAnsi="Times New Roman" w:cs="Times New Roman"/>
          <w:sz w:val="24"/>
          <w:szCs w:val="24"/>
        </w:rPr>
        <w:t>L</w:t>
      </w:r>
      <w:r w:rsidR="004B278F">
        <w:rPr>
          <w:rFonts w:ascii="Times New Roman" w:hAnsi="Times New Roman" w:cs="Times New Roman"/>
          <w:sz w:val="24"/>
          <w:szCs w:val="24"/>
        </w:rPr>
        <w:t xml:space="preserve">aboratorium </w:t>
      </w:r>
      <w:r w:rsidRPr="005407BD">
        <w:rPr>
          <w:rFonts w:ascii="Times New Roman" w:hAnsi="Times New Roman" w:cs="Times New Roman"/>
          <w:sz w:val="24"/>
          <w:szCs w:val="24"/>
        </w:rPr>
        <w:t>B</w:t>
      </w:r>
      <w:r w:rsidR="004B278F">
        <w:rPr>
          <w:rFonts w:ascii="Times New Roman" w:hAnsi="Times New Roman" w:cs="Times New Roman"/>
          <w:sz w:val="24"/>
          <w:szCs w:val="24"/>
        </w:rPr>
        <w:t>adawcze</w:t>
      </w:r>
      <w:r w:rsidRPr="005407BD">
        <w:rPr>
          <w:rFonts w:ascii="Times New Roman" w:hAnsi="Times New Roman" w:cs="Times New Roman"/>
          <w:sz w:val="24"/>
          <w:szCs w:val="24"/>
        </w:rPr>
        <w:t xml:space="preserve"> </w:t>
      </w:r>
      <w:r w:rsidR="004B278F">
        <w:rPr>
          <w:rFonts w:ascii="Times New Roman" w:hAnsi="Times New Roman" w:cs="Times New Roman"/>
          <w:sz w:val="24"/>
          <w:szCs w:val="24"/>
        </w:rPr>
        <w:t xml:space="preserve">(CLB) </w:t>
      </w:r>
      <w:r w:rsidRPr="005407BD">
        <w:rPr>
          <w:rFonts w:ascii="Times New Roman" w:hAnsi="Times New Roman" w:cs="Times New Roman"/>
          <w:sz w:val="24"/>
          <w:szCs w:val="24"/>
        </w:rPr>
        <w:t>GIOŚ, wykazywały utrzymujące się bardzo wysokie wartości przewodności elektrolitycznej, wskaźnika charakteryzującego zasolenie wód, a także wysokie stężenia chlorków i siarczanów, wysoką temperaturę wód (wynikającą z bardzo niskich poziomów wód powierzchniowych wywołanych suszą i wysokich temperatur powietrza atmosferycznego oraz wysokiego nasłonecznienia) przy jednoczesnym wysokim nasyceniu wody tlenem, co nie było typowym obrazem występującym w okresie letnim i wykluczało stwierdzenie, że przyczyną masowego śnięcia ryb jest obserwowane w okresach letnich zjawisko tzw. przyduchy. Splot ww. warunków hydrologiczno-meteorologicznych, wg raportu ekspertów</w:t>
      </w:r>
      <w:r w:rsidRPr="005407BD">
        <w:rPr>
          <w:rFonts w:ascii="Times New Roman" w:hAnsi="Times New Roman" w:cs="Times New Roman"/>
          <w:sz w:val="24"/>
          <w:szCs w:val="24"/>
          <w:vertAlign w:val="superscript"/>
        </w:rPr>
        <w:footnoteReference w:id="1"/>
      </w:r>
      <w:r w:rsidRPr="005407BD">
        <w:rPr>
          <w:rFonts w:ascii="Times New Roman" w:hAnsi="Times New Roman" w:cs="Times New Roman"/>
          <w:sz w:val="24"/>
          <w:szCs w:val="24"/>
        </w:rPr>
        <w:t xml:space="preserve"> przyczynił się do masowego zakwitu glonów </w:t>
      </w:r>
      <w:proofErr w:type="spellStart"/>
      <w:r w:rsidRPr="005407BD">
        <w:rPr>
          <w:rFonts w:ascii="Times New Roman" w:hAnsi="Times New Roman" w:cs="Times New Roman"/>
          <w:i/>
          <w:sz w:val="24"/>
          <w:szCs w:val="24"/>
        </w:rPr>
        <w:t>Prymnesium</w:t>
      </w:r>
      <w:proofErr w:type="spellEnd"/>
      <w:r w:rsidRPr="005407BD">
        <w:rPr>
          <w:rFonts w:ascii="Times New Roman" w:hAnsi="Times New Roman" w:cs="Times New Roman"/>
          <w:i/>
          <w:sz w:val="24"/>
          <w:szCs w:val="24"/>
        </w:rPr>
        <w:t xml:space="preserve"> </w:t>
      </w:r>
      <w:proofErr w:type="spellStart"/>
      <w:r w:rsidRPr="005407BD">
        <w:rPr>
          <w:rFonts w:ascii="Times New Roman" w:hAnsi="Times New Roman" w:cs="Times New Roman"/>
          <w:i/>
          <w:sz w:val="24"/>
          <w:szCs w:val="24"/>
        </w:rPr>
        <w:t>parvum</w:t>
      </w:r>
      <w:proofErr w:type="spellEnd"/>
      <w:r w:rsidRPr="005407BD">
        <w:rPr>
          <w:rFonts w:ascii="Times New Roman" w:hAnsi="Times New Roman" w:cs="Times New Roman"/>
          <w:i/>
          <w:sz w:val="24"/>
          <w:szCs w:val="24"/>
        </w:rPr>
        <w:t xml:space="preserve"> „złotej algi”.</w:t>
      </w:r>
      <w:r w:rsidRPr="005407BD">
        <w:rPr>
          <w:rFonts w:ascii="Times New Roman" w:hAnsi="Times New Roman" w:cs="Times New Roman"/>
          <w:sz w:val="24"/>
          <w:szCs w:val="24"/>
        </w:rPr>
        <w:t xml:space="preserve"> Gatunek ten występuje w</w:t>
      </w:r>
      <w:r>
        <w:rPr>
          <w:rFonts w:ascii="Times New Roman" w:hAnsi="Times New Roman" w:cs="Times New Roman"/>
          <w:sz w:val="24"/>
          <w:szCs w:val="24"/>
        </w:rPr>
        <w:t> </w:t>
      </w:r>
      <w:r w:rsidRPr="005407BD">
        <w:rPr>
          <w:rFonts w:ascii="Times New Roman" w:hAnsi="Times New Roman" w:cs="Times New Roman"/>
          <w:sz w:val="24"/>
          <w:szCs w:val="24"/>
        </w:rPr>
        <w:t xml:space="preserve">słonych wodach morskich, jednak obserwuje się jego występowanie również w wodach śródlądowych wtórnie zasolonych, czyli takich jak w Odrze. Badania toksykologiczne ryb wykazały, że prawdopodobną przyczyną masowego śnięcia ryb w Odrze </w:t>
      </w:r>
      <w:r w:rsidR="00E630FB">
        <w:rPr>
          <w:rFonts w:ascii="Times New Roman" w:hAnsi="Times New Roman" w:cs="Times New Roman"/>
          <w:sz w:val="24"/>
          <w:szCs w:val="24"/>
        </w:rPr>
        <w:br/>
      </w:r>
      <w:r w:rsidRPr="005407BD">
        <w:rPr>
          <w:rFonts w:ascii="Times New Roman" w:hAnsi="Times New Roman" w:cs="Times New Roman"/>
          <w:sz w:val="24"/>
          <w:szCs w:val="24"/>
        </w:rPr>
        <w:t xml:space="preserve">i Kanale Gliwickim było toksyczne działanie </w:t>
      </w:r>
      <w:proofErr w:type="spellStart"/>
      <w:r w:rsidRPr="005407BD">
        <w:rPr>
          <w:rFonts w:ascii="Times New Roman" w:hAnsi="Times New Roman" w:cs="Times New Roman"/>
          <w:sz w:val="24"/>
          <w:szCs w:val="24"/>
        </w:rPr>
        <w:t>prymnezyny</w:t>
      </w:r>
      <w:proofErr w:type="spellEnd"/>
      <w:r w:rsidRPr="005407BD">
        <w:rPr>
          <w:rFonts w:ascii="Times New Roman" w:hAnsi="Times New Roman" w:cs="Times New Roman"/>
          <w:sz w:val="24"/>
          <w:szCs w:val="24"/>
        </w:rPr>
        <w:t xml:space="preserve"> wytwarzanej właśnie przez </w:t>
      </w:r>
      <w:proofErr w:type="spellStart"/>
      <w:r w:rsidRPr="005407BD">
        <w:rPr>
          <w:rFonts w:ascii="Times New Roman" w:hAnsi="Times New Roman" w:cs="Times New Roman"/>
          <w:i/>
          <w:sz w:val="24"/>
          <w:szCs w:val="24"/>
        </w:rPr>
        <w:t>Prymnesium</w:t>
      </w:r>
      <w:proofErr w:type="spellEnd"/>
      <w:r w:rsidRPr="005407BD">
        <w:rPr>
          <w:rFonts w:ascii="Times New Roman" w:hAnsi="Times New Roman" w:cs="Times New Roman"/>
          <w:i/>
          <w:sz w:val="24"/>
          <w:szCs w:val="24"/>
        </w:rPr>
        <w:t xml:space="preserve"> </w:t>
      </w:r>
      <w:proofErr w:type="spellStart"/>
      <w:r w:rsidRPr="005407BD">
        <w:rPr>
          <w:rFonts w:ascii="Times New Roman" w:hAnsi="Times New Roman" w:cs="Times New Roman"/>
          <w:i/>
          <w:sz w:val="24"/>
          <w:szCs w:val="24"/>
        </w:rPr>
        <w:t>parvum</w:t>
      </w:r>
      <w:proofErr w:type="spellEnd"/>
      <w:r w:rsidRPr="005407BD">
        <w:rPr>
          <w:rFonts w:ascii="Times New Roman" w:hAnsi="Times New Roman" w:cs="Times New Roman"/>
          <w:sz w:val="24"/>
          <w:szCs w:val="24"/>
        </w:rPr>
        <w:t xml:space="preserve">. </w:t>
      </w:r>
    </w:p>
    <w:p w14:paraId="71212629" w14:textId="77777777" w:rsidR="00C96893" w:rsidRDefault="00C96893" w:rsidP="00E630FB">
      <w:pPr>
        <w:spacing w:after="60" w:line="300" w:lineRule="atLeast"/>
        <w:ind w:firstLine="567"/>
        <w:jc w:val="both"/>
        <w:rPr>
          <w:rFonts w:ascii="Times New Roman" w:hAnsi="Times New Roman" w:cs="Times New Roman"/>
          <w:sz w:val="24"/>
          <w:szCs w:val="24"/>
        </w:rPr>
      </w:pPr>
      <w:r w:rsidRPr="005B4B04">
        <w:rPr>
          <w:rFonts w:ascii="Times New Roman" w:hAnsi="Times New Roman" w:cs="Times New Roman"/>
          <w:sz w:val="24"/>
          <w:szCs w:val="24"/>
        </w:rPr>
        <w:t>Na zasolenie Odry mają wpływ zrzuty słonych ścieków z zakładów odprowadzających ścieki do Odry i jej dopływów oraz Kanału Gliwickiego, rzeki Kłodnicy i jej dopływów, w tym ścieków pochodzących z odwodnienia kopalń, przy czym zakłady te odprowadzają ścieki legalnie, na podstawie posiadanych pozwoleń wodnoprawnych albo zintegrowanych. W</w:t>
      </w:r>
      <w:r>
        <w:rPr>
          <w:rFonts w:ascii="Times New Roman" w:hAnsi="Times New Roman" w:cs="Times New Roman"/>
          <w:sz w:val="24"/>
          <w:szCs w:val="24"/>
        </w:rPr>
        <w:t> </w:t>
      </w:r>
      <w:r w:rsidRPr="005B4B04">
        <w:rPr>
          <w:rFonts w:ascii="Times New Roman" w:hAnsi="Times New Roman" w:cs="Times New Roman"/>
          <w:sz w:val="24"/>
          <w:szCs w:val="24"/>
        </w:rPr>
        <w:t>niektórych przypadkach, organy wydające pozwolenia (Starostowie, Marszałkowie organy Wód Polskich), skorzystały z odstępstwa przewidzianego w przepisach</w:t>
      </w:r>
      <w:r>
        <w:rPr>
          <w:rFonts w:ascii="Times New Roman" w:hAnsi="Times New Roman" w:cs="Times New Roman"/>
          <w:sz w:val="24"/>
          <w:szCs w:val="24"/>
        </w:rPr>
        <w:t xml:space="preserve"> </w:t>
      </w:r>
      <w:r w:rsidRPr="005B4B04">
        <w:rPr>
          <w:rFonts w:ascii="Times New Roman" w:hAnsi="Times New Roman" w:cs="Times New Roman"/>
          <w:sz w:val="24"/>
          <w:szCs w:val="24"/>
        </w:rPr>
        <w:t xml:space="preserve">i </w:t>
      </w:r>
      <w:r>
        <w:rPr>
          <w:rFonts w:ascii="Times New Roman" w:hAnsi="Times New Roman" w:cs="Times New Roman"/>
          <w:sz w:val="24"/>
          <w:szCs w:val="24"/>
        </w:rPr>
        <w:t xml:space="preserve">w pozwoleniach </w:t>
      </w:r>
      <w:r w:rsidRPr="005B4B04">
        <w:rPr>
          <w:rFonts w:ascii="Times New Roman" w:hAnsi="Times New Roman" w:cs="Times New Roman"/>
          <w:sz w:val="24"/>
          <w:szCs w:val="24"/>
        </w:rPr>
        <w:t xml:space="preserve">określiły dopuszczalne stężenia dla chlorków na poziomie kilku, a nawet kilkudziesięciu tysięcy mg Cl /l.  </w:t>
      </w:r>
    </w:p>
    <w:p w14:paraId="1FC1F4F9" w14:textId="77777777" w:rsidR="00C96893" w:rsidRDefault="00C96893" w:rsidP="00E630FB">
      <w:pPr>
        <w:spacing w:after="60" w:line="300" w:lineRule="atLeast"/>
        <w:ind w:firstLine="567"/>
        <w:jc w:val="both"/>
        <w:rPr>
          <w:rFonts w:ascii="Times New Roman" w:hAnsi="Times New Roman"/>
          <w:sz w:val="24"/>
        </w:rPr>
      </w:pPr>
      <w:r>
        <w:rPr>
          <w:rFonts w:ascii="Times New Roman" w:hAnsi="Times New Roman" w:cs="Times New Roman"/>
          <w:sz w:val="24"/>
          <w:szCs w:val="24"/>
        </w:rPr>
        <w:t xml:space="preserve">W związku z powyższym </w:t>
      </w:r>
      <w:r w:rsidRPr="007F307F">
        <w:rPr>
          <w:rFonts w:ascii="Times New Roman" w:hAnsi="Times New Roman" w:cs="Times New Roman"/>
          <w:sz w:val="24"/>
          <w:szCs w:val="24"/>
        </w:rPr>
        <w:t>GIOŚ</w:t>
      </w:r>
      <w:r>
        <w:rPr>
          <w:rFonts w:ascii="Times New Roman" w:hAnsi="Times New Roman" w:cs="Times New Roman"/>
          <w:sz w:val="24"/>
          <w:szCs w:val="24"/>
        </w:rPr>
        <w:t xml:space="preserve"> </w:t>
      </w:r>
      <w:r w:rsidRPr="0096408F">
        <w:rPr>
          <w:rFonts w:ascii="Times New Roman" w:hAnsi="Times New Roman"/>
          <w:sz w:val="24"/>
        </w:rPr>
        <w:t xml:space="preserve">przekazał do </w:t>
      </w:r>
      <w:r>
        <w:rPr>
          <w:rFonts w:ascii="Times New Roman" w:hAnsi="Times New Roman"/>
          <w:sz w:val="24"/>
        </w:rPr>
        <w:t xml:space="preserve">organów </w:t>
      </w:r>
      <w:r w:rsidRPr="0096408F">
        <w:rPr>
          <w:rFonts w:ascii="Times New Roman" w:hAnsi="Times New Roman"/>
          <w:sz w:val="24"/>
        </w:rPr>
        <w:t>PGWWP</w:t>
      </w:r>
      <w:r w:rsidRPr="00EF683C">
        <w:rPr>
          <w:rFonts w:ascii="Times New Roman" w:hAnsi="Times New Roman"/>
          <w:sz w:val="24"/>
        </w:rPr>
        <w:t xml:space="preserve"> szczegółowe ustalenia organów Inspekcji Ochrony Środowiska, poczynione w związku z</w:t>
      </w:r>
      <w:r>
        <w:rPr>
          <w:rFonts w:ascii="Times New Roman" w:hAnsi="Times New Roman"/>
          <w:sz w:val="24"/>
        </w:rPr>
        <w:t xml:space="preserve">e </w:t>
      </w:r>
      <w:r w:rsidRPr="00EF683C">
        <w:rPr>
          <w:rFonts w:ascii="Times New Roman" w:hAnsi="Times New Roman"/>
          <w:sz w:val="24"/>
        </w:rPr>
        <w:t xml:space="preserve">śnięciem ryb na rzece Odrze, celem wykorzystania służbowego zgodnie z kompetencjami przypisanymi organom PGWWP wynikającymi </w:t>
      </w:r>
      <w:r>
        <w:rPr>
          <w:rFonts w:ascii="Times New Roman" w:hAnsi="Times New Roman"/>
          <w:sz w:val="24"/>
        </w:rPr>
        <w:t>z przepisów</w:t>
      </w:r>
      <w:r w:rsidRPr="00EF683C">
        <w:rPr>
          <w:rFonts w:ascii="Times New Roman" w:hAnsi="Times New Roman"/>
          <w:sz w:val="24"/>
        </w:rPr>
        <w:t xml:space="preserve"> ustawy </w:t>
      </w:r>
      <w:r w:rsidRPr="002F2BD4">
        <w:rPr>
          <w:rFonts w:ascii="Times New Roman" w:hAnsi="Times New Roman"/>
          <w:i/>
          <w:sz w:val="24"/>
        </w:rPr>
        <w:t xml:space="preserve">Prawo </w:t>
      </w:r>
      <w:r w:rsidRPr="007F307F">
        <w:rPr>
          <w:rFonts w:ascii="Times New Roman" w:hAnsi="Times New Roman"/>
          <w:sz w:val="24"/>
        </w:rPr>
        <w:t>wodne oraz wystąpił, w tym za pośrednictwem</w:t>
      </w:r>
      <w:r w:rsidRPr="00BD3FA4">
        <w:rPr>
          <w:rFonts w:ascii="Times New Roman" w:hAnsi="Times New Roman" w:cs="Times New Roman"/>
          <w:sz w:val="24"/>
          <w:szCs w:val="24"/>
        </w:rPr>
        <w:t xml:space="preserve"> </w:t>
      </w:r>
      <w:r w:rsidRPr="005407BD">
        <w:rPr>
          <w:rFonts w:ascii="Times New Roman" w:hAnsi="Times New Roman" w:cs="Times New Roman"/>
          <w:sz w:val="24"/>
          <w:szCs w:val="24"/>
        </w:rPr>
        <w:t>Ministerstwa Klimatu i Środowiska</w:t>
      </w:r>
      <w:r>
        <w:rPr>
          <w:rFonts w:ascii="Times New Roman" w:hAnsi="Times New Roman"/>
          <w:sz w:val="24"/>
        </w:rPr>
        <w:t>,</w:t>
      </w:r>
      <w:r w:rsidRPr="007F307F">
        <w:rPr>
          <w:rFonts w:ascii="Times New Roman" w:hAnsi="Times New Roman"/>
          <w:sz w:val="24"/>
        </w:rPr>
        <w:t xml:space="preserve"> do organów wydających pozwolenia, o</w:t>
      </w:r>
      <w:r>
        <w:rPr>
          <w:rFonts w:ascii="Times New Roman" w:hAnsi="Times New Roman"/>
          <w:sz w:val="24"/>
        </w:rPr>
        <w:t xml:space="preserve"> dokonanie </w:t>
      </w:r>
      <w:r w:rsidRPr="00EF683C">
        <w:rPr>
          <w:rFonts w:ascii="Times New Roman" w:hAnsi="Times New Roman"/>
          <w:sz w:val="24"/>
        </w:rPr>
        <w:t>przeglądu pozwoleń wydanych dla zakładów odprowadzających ścieki do Odry lub jej dopływów,</w:t>
      </w:r>
      <w:r>
        <w:rPr>
          <w:rFonts w:ascii="Times New Roman" w:hAnsi="Times New Roman"/>
          <w:sz w:val="24"/>
        </w:rPr>
        <w:t xml:space="preserve"> w celu dostosowania warunków w nich ustalonych do zachodzących zmian klimatycznych. </w:t>
      </w:r>
    </w:p>
    <w:p w14:paraId="6EDFB485" w14:textId="2E034930" w:rsidR="00C96893" w:rsidRDefault="00324B5A" w:rsidP="00E630FB">
      <w:pPr>
        <w:spacing w:after="60" w:line="300" w:lineRule="atLeast"/>
        <w:ind w:firstLine="567"/>
        <w:jc w:val="both"/>
        <w:rPr>
          <w:rFonts w:ascii="Times New Roman" w:hAnsi="Times New Roman" w:cs="Times New Roman"/>
          <w:sz w:val="24"/>
          <w:szCs w:val="24"/>
        </w:rPr>
      </w:pPr>
      <w:r>
        <w:rPr>
          <w:rFonts w:ascii="Times New Roman" w:hAnsi="Times New Roman" w:cs="Times New Roman"/>
          <w:sz w:val="24"/>
          <w:szCs w:val="24"/>
        </w:rPr>
        <w:t xml:space="preserve">Niezależnie od powyższego </w:t>
      </w:r>
      <w:r w:rsidR="008762A9">
        <w:rPr>
          <w:rFonts w:ascii="Times New Roman" w:hAnsi="Times New Roman" w:cs="Times New Roman"/>
          <w:sz w:val="24"/>
          <w:szCs w:val="24"/>
        </w:rPr>
        <w:t xml:space="preserve">przedstawiciele GIOŚ brali udział w pracach </w:t>
      </w:r>
      <w:r w:rsidR="008762A9" w:rsidRPr="00772AF6">
        <w:rPr>
          <w:rFonts w:ascii="Times New Roman" w:hAnsi="Times New Roman" w:cs="Times New Roman"/>
          <w:sz w:val="24"/>
          <w:szCs w:val="24"/>
        </w:rPr>
        <w:t>Zespołu specjalistów ds. sytuacji na Odrze</w:t>
      </w:r>
      <w:r w:rsidR="008762A9">
        <w:rPr>
          <w:rFonts w:ascii="Times New Roman" w:hAnsi="Times New Roman" w:cs="Times New Roman"/>
          <w:sz w:val="24"/>
          <w:szCs w:val="24"/>
        </w:rPr>
        <w:t xml:space="preserve">, a działania podejmowane przez </w:t>
      </w:r>
      <w:r w:rsidR="008762A9" w:rsidRPr="00772AF6">
        <w:rPr>
          <w:rFonts w:ascii="Times New Roman" w:hAnsi="Times New Roman" w:cs="Times New Roman"/>
          <w:sz w:val="24"/>
          <w:szCs w:val="24"/>
        </w:rPr>
        <w:t xml:space="preserve"> </w:t>
      </w:r>
      <w:r w:rsidR="00C96893" w:rsidRPr="00772AF6">
        <w:rPr>
          <w:rFonts w:ascii="Times New Roman" w:hAnsi="Times New Roman" w:cs="Times New Roman"/>
          <w:sz w:val="24"/>
          <w:szCs w:val="24"/>
        </w:rPr>
        <w:t xml:space="preserve">organy IOŚ w związku </w:t>
      </w:r>
      <w:r w:rsidR="007E5276">
        <w:rPr>
          <w:rFonts w:ascii="Times New Roman" w:hAnsi="Times New Roman" w:cs="Times New Roman"/>
          <w:sz w:val="24"/>
          <w:szCs w:val="24"/>
        </w:rPr>
        <w:br/>
      </w:r>
      <w:r w:rsidR="00C96893" w:rsidRPr="00772AF6">
        <w:rPr>
          <w:rFonts w:ascii="Times New Roman" w:hAnsi="Times New Roman" w:cs="Times New Roman"/>
          <w:sz w:val="24"/>
          <w:szCs w:val="24"/>
        </w:rPr>
        <w:t xml:space="preserve">z sytuacją na Odrze </w:t>
      </w:r>
      <w:r w:rsidR="00C96893">
        <w:rPr>
          <w:rFonts w:ascii="Times New Roman" w:hAnsi="Times New Roman" w:cs="Times New Roman"/>
          <w:sz w:val="24"/>
          <w:szCs w:val="24"/>
        </w:rPr>
        <w:t>były</w:t>
      </w:r>
      <w:r w:rsidR="00C96893" w:rsidRPr="00772AF6">
        <w:rPr>
          <w:rFonts w:ascii="Times New Roman" w:hAnsi="Times New Roman" w:cs="Times New Roman"/>
          <w:sz w:val="24"/>
          <w:szCs w:val="24"/>
        </w:rPr>
        <w:t xml:space="preserve"> spójne z </w:t>
      </w:r>
      <w:r w:rsidR="008762A9" w:rsidRPr="00772AF6">
        <w:rPr>
          <w:rFonts w:ascii="Times New Roman" w:hAnsi="Times New Roman" w:cs="Times New Roman"/>
          <w:sz w:val="24"/>
          <w:szCs w:val="24"/>
        </w:rPr>
        <w:t>rekomendacjami</w:t>
      </w:r>
      <w:r w:rsidR="008762A9">
        <w:rPr>
          <w:rFonts w:ascii="Times New Roman" w:hAnsi="Times New Roman" w:cs="Times New Roman"/>
          <w:sz w:val="24"/>
          <w:szCs w:val="24"/>
        </w:rPr>
        <w:t xml:space="preserve"> tego Zespołu, tj</w:t>
      </w:r>
      <w:r w:rsidR="003570C1">
        <w:rPr>
          <w:rFonts w:ascii="Times New Roman" w:hAnsi="Times New Roman" w:cs="Times New Roman"/>
          <w:sz w:val="24"/>
          <w:szCs w:val="24"/>
        </w:rPr>
        <w:t>.</w:t>
      </w:r>
      <w:r w:rsidR="00C96893" w:rsidRPr="00772AF6">
        <w:rPr>
          <w:rFonts w:ascii="Times New Roman" w:hAnsi="Times New Roman" w:cs="Times New Roman"/>
          <w:sz w:val="24"/>
          <w:szCs w:val="24"/>
        </w:rPr>
        <w:t xml:space="preserve"> m.in. </w:t>
      </w:r>
      <w:r w:rsidR="003570C1">
        <w:rPr>
          <w:rFonts w:ascii="Times New Roman" w:hAnsi="Times New Roman" w:cs="Times New Roman"/>
          <w:sz w:val="24"/>
          <w:szCs w:val="24"/>
        </w:rPr>
        <w:t xml:space="preserve">prowadzenie </w:t>
      </w:r>
      <w:r w:rsidR="00C96893" w:rsidRPr="00772AF6">
        <w:rPr>
          <w:rFonts w:ascii="Times New Roman" w:hAnsi="Times New Roman" w:cs="Times New Roman"/>
          <w:sz w:val="24"/>
          <w:szCs w:val="24"/>
        </w:rPr>
        <w:t>przegląd</w:t>
      </w:r>
      <w:r w:rsidR="003570C1">
        <w:rPr>
          <w:rFonts w:ascii="Times New Roman" w:hAnsi="Times New Roman" w:cs="Times New Roman"/>
          <w:sz w:val="24"/>
          <w:szCs w:val="24"/>
        </w:rPr>
        <w:t>ów</w:t>
      </w:r>
      <w:r w:rsidR="00C96893" w:rsidRPr="00772AF6">
        <w:rPr>
          <w:rFonts w:ascii="Times New Roman" w:hAnsi="Times New Roman" w:cs="Times New Roman"/>
          <w:sz w:val="24"/>
          <w:szCs w:val="24"/>
        </w:rPr>
        <w:t xml:space="preserve"> i </w:t>
      </w:r>
      <w:r w:rsidR="008762A9" w:rsidRPr="00772AF6">
        <w:rPr>
          <w:rFonts w:ascii="Times New Roman" w:hAnsi="Times New Roman" w:cs="Times New Roman"/>
          <w:sz w:val="24"/>
          <w:szCs w:val="24"/>
        </w:rPr>
        <w:t>weryfikacj</w:t>
      </w:r>
      <w:r w:rsidR="008762A9">
        <w:rPr>
          <w:rFonts w:ascii="Times New Roman" w:hAnsi="Times New Roman" w:cs="Times New Roman"/>
          <w:sz w:val="24"/>
          <w:szCs w:val="24"/>
        </w:rPr>
        <w:t>a</w:t>
      </w:r>
      <w:r w:rsidR="008762A9" w:rsidRPr="00772AF6">
        <w:rPr>
          <w:rFonts w:ascii="Times New Roman" w:hAnsi="Times New Roman" w:cs="Times New Roman"/>
          <w:sz w:val="24"/>
          <w:szCs w:val="24"/>
        </w:rPr>
        <w:t xml:space="preserve"> </w:t>
      </w:r>
      <w:r w:rsidR="00C96893" w:rsidRPr="00772AF6">
        <w:rPr>
          <w:rFonts w:ascii="Times New Roman" w:hAnsi="Times New Roman" w:cs="Times New Roman"/>
          <w:sz w:val="24"/>
          <w:szCs w:val="24"/>
        </w:rPr>
        <w:t xml:space="preserve">obowiązujących pozwoleń na zrzut ścieków do wód w dorzeczu </w:t>
      </w:r>
      <w:r w:rsidR="00C96893" w:rsidRPr="00772AF6">
        <w:rPr>
          <w:rFonts w:ascii="Times New Roman" w:hAnsi="Times New Roman" w:cs="Times New Roman"/>
          <w:sz w:val="24"/>
          <w:szCs w:val="24"/>
        </w:rPr>
        <w:lastRenderedPageBreak/>
        <w:t>Odry, systemowe zarządzanie legalnymi zrzutami poprzez uzależnienie parametrów i</w:t>
      </w:r>
      <w:r w:rsidR="003570C1">
        <w:rPr>
          <w:rFonts w:ascii="Times New Roman" w:hAnsi="Times New Roman" w:cs="Times New Roman"/>
          <w:sz w:val="24"/>
          <w:szCs w:val="24"/>
        </w:rPr>
        <w:t> </w:t>
      </w:r>
      <w:r w:rsidR="00C96893" w:rsidRPr="00772AF6">
        <w:rPr>
          <w:rFonts w:ascii="Times New Roman" w:hAnsi="Times New Roman" w:cs="Times New Roman"/>
          <w:sz w:val="24"/>
          <w:szCs w:val="24"/>
        </w:rPr>
        <w:t>intensywności zrzutu od aktualnych wyników badań wody, wprowadzenie obowiązku czasowego wstrzymywania bądź ograniczania zrzutów w sytuacji zagrożenia.</w:t>
      </w:r>
    </w:p>
    <w:p w14:paraId="171D37C6" w14:textId="77777777" w:rsidR="00C96893" w:rsidRDefault="00C96893" w:rsidP="00E630FB">
      <w:pPr>
        <w:spacing w:after="60" w:line="300" w:lineRule="atLeast"/>
        <w:ind w:firstLine="567"/>
        <w:jc w:val="both"/>
        <w:rPr>
          <w:rFonts w:ascii="Times New Roman" w:eastAsia="Times New Roman" w:hAnsi="Times New Roman" w:cs="Times New Roman"/>
          <w:color w:val="000000"/>
          <w:sz w:val="24"/>
          <w:szCs w:val="24"/>
          <w:shd w:val="clear" w:color="auto" w:fill="FFFFFF"/>
          <w:lang w:eastAsia="x-none"/>
        </w:rPr>
      </w:pPr>
      <w:r w:rsidRPr="005407BD">
        <w:rPr>
          <w:rFonts w:ascii="Times New Roman" w:eastAsia="Times New Roman" w:hAnsi="Times New Roman" w:cs="Times New Roman"/>
          <w:color w:val="000000"/>
          <w:sz w:val="24"/>
          <w:szCs w:val="24"/>
          <w:shd w:val="clear" w:color="auto" w:fill="FFFFFF"/>
          <w:lang w:eastAsia="x-none"/>
        </w:rPr>
        <w:t xml:space="preserve">Centralne Laboratorium Badawcze Głównego Inspektoratu Ochrony Środowiska, </w:t>
      </w:r>
      <w:r w:rsidRPr="005407BD">
        <w:rPr>
          <w:rFonts w:ascii="Times New Roman" w:eastAsia="Times New Roman" w:hAnsi="Times New Roman" w:cs="Times New Roman"/>
          <w:color w:val="000000"/>
          <w:sz w:val="24"/>
          <w:szCs w:val="24"/>
          <w:shd w:val="clear" w:color="auto" w:fill="FFFFFF"/>
          <w:lang w:eastAsia="x-none"/>
        </w:rPr>
        <w:br/>
        <w:t xml:space="preserve">na zlecenie właściwych Wojewódzkich Inspektoratów Ochrony Środowiska, w związku </w:t>
      </w:r>
      <w:r w:rsidRPr="005407BD">
        <w:rPr>
          <w:rFonts w:ascii="Times New Roman" w:eastAsia="Times New Roman" w:hAnsi="Times New Roman" w:cs="Times New Roman"/>
          <w:color w:val="000000"/>
          <w:sz w:val="24"/>
          <w:szCs w:val="24"/>
          <w:shd w:val="clear" w:color="auto" w:fill="FFFFFF"/>
          <w:lang w:eastAsia="x-none"/>
        </w:rPr>
        <w:br/>
        <w:t xml:space="preserve">z sytuacją, która wystąpiła na Odrze, prowadzi na potrzeby czynności kontrolnych, interwencyjne badania i pomiary rzeki Odry, których wyniki publikowane są na stronie internetowej </w:t>
      </w:r>
      <w:hyperlink r:id="rId7" w:history="1">
        <w:r w:rsidRPr="005407BD">
          <w:rPr>
            <w:rFonts w:ascii="Times New Roman" w:eastAsia="Times New Roman" w:hAnsi="Times New Roman" w:cs="Times New Roman"/>
            <w:color w:val="0000FF"/>
            <w:sz w:val="24"/>
            <w:szCs w:val="24"/>
            <w:u w:val="single"/>
            <w:shd w:val="clear" w:color="auto" w:fill="FFFFFF"/>
            <w:lang w:eastAsia="x-none"/>
          </w:rPr>
          <w:t>https://www.gov.pl/web/odra/badania-odry</w:t>
        </w:r>
      </w:hyperlink>
      <w:r w:rsidRPr="005407BD">
        <w:rPr>
          <w:rFonts w:ascii="Times New Roman" w:eastAsia="Times New Roman" w:hAnsi="Times New Roman" w:cs="Times New Roman"/>
          <w:color w:val="000000"/>
          <w:sz w:val="24"/>
          <w:szCs w:val="24"/>
          <w:shd w:val="clear" w:color="auto" w:fill="FFFFFF"/>
          <w:lang w:eastAsia="x-none"/>
        </w:rPr>
        <w:t xml:space="preserve">. Od listopada 2022 r. pomiary są wykonywane, do odwołania, z częstotliwością dwa razy w tygodniu w zakresie wskaźników </w:t>
      </w:r>
      <w:r>
        <w:rPr>
          <w:rFonts w:ascii="Times New Roman" w:eastAsia="Times New Roman" w:hAnsi="Times New Roman" w:cs="Times New Roman"/>
          <w:color w:val="000000"/>
          <w:sz w:val="24"/>
          <w:szCs w:val="24"/>
          <w:shd w:val="clear" w:color="auto" w:fill="FFFFFF"/>
          <w:lang w:eastAsia="x-none"/>
        </w:rPr>
        <w:t xml:space="preserve">fizykochemicznych </w:t>
      </w:r>
      <w:r w:rsidRPr="005407BD">
        <w:rPr>
          <w:rFonts w:ascii="Times New Roman" w:eastAsia="Times New Roman" w:hAnsi="Times New Roman" w:cs="Times New Roman"/>
          <w:color w:val="000000"/>
          <w:sz w:val="24"/>
          <w:szCs w:val="24"/>
          <w:shd w:val="clear" w:color="auto" w:fill="FFFFFF"/>
          <w:lang w:eastAsia="x-none"/>
        </w:rPr>
        <w:t>oraz raz w tygodniu w zakresie wskaźnika fitoplankton, w</w:t>
      </w:r>
      <w:r>
        <w:rPr>
          <w:rFonts w:ascii="Times New Roman" w:eastAsia="Times New Roman" w:hAnsi="Times New Roman" w:cs="Times New Roman"/>
          <w:color w:val="000000"/>
          <w:sz w:val="24"/>
          <w:szCs w:val="24"/>
          <w:shd w:val="clear" w:color="auto" w:fill="FFFFFF"/>
          <w:lang w:eastAsia="x-none"/>
        </w:rPr>
        <w:t xml:space="preserve"> 20</w:t>
      </w:r>
      <w:r w:rsidRPr="005407BD">
        <w:rPr>
          <w:rFonts w:ascii="Times New Roman" w:eastAsia="Times New Roman" w:hAnsi="Times New Roman" w:cs="Times New Roman"/>
          <w:color w:val="000000"/>
          <w:sz w:val="24"/>
          <w:szCs w:val="24"/>
          <w:shd w:val="clear" w:color="auto" w:fill="FFFFFF"/>
          <w:lang w:eastAsia="x-none"/>
        </w:rPr>
        <w:t xml:space="preserve"> punktach pomiarowo-kontrolnych</w:t>
      </w:r>
      <w:r>
        <w:rPr>
          <w:rFonts w:ascii="Times New Roman" w:eastAsia="Times New Roman" w:hAnsi="Times New Roman" w:cs="Times New Roman"/>
          <w:color w:val="000000"/>
          <w:sz w:val="24"/>
          <w:szCs w:val="24"/>
          <w:shd w:val="clear" w:color="auto" w:fill="FFFFFF"/>
          <w:lang w:eastAsia="x-none"/>
        </w:rPr>
        <w:t xml:space="preserve">. </w:t>
      </w:r>
    </w:p>
    <w:p w14:paraId="03D59D14" w14:textId="66B208B1" w:rsidR="00C96893" w:rsidRPr="007F307F" w:rsidRDefault="00C96893" w:rsidP="00E630FB">
      <w:pPr>
        <w:spacing w:after="60" w:line="300" w:lineRule="atLeast"/>
        <w:ind w:firstLine="567"/>
        <w:jc w:val="both"/>
        <w:rPr>
          <w:rFonts w:ascii="Times New Roman" w:eastAsia="Times New Roman" w:hAnsi="Times New Roman" w:cs="Times New Roman"/>
          <w:color w:val="000000"/>
          <w:sz w:val="24"/>
          <w:szCs w:val="24"/>
          <w:shd w:val="clear" w:color="auto" w:fill="FFFFFF"/>
          <w:lang w:eastAsia="x-none"/>
        </w:rPr>
      </w:pPr>
      <w:r w:rsidRPr="007F307F">
        <w:rPr>
          <w:rFonts w:ascii="Times New Roman" w:eastAsia="Times New Roman" w:hAnsi="Times New Roman" w:cs="Times New Roman"/>
          <w:color w:val="000000"/>
          <w:sz w:val="24"/>
          <w:szCs w:val="24"/>
          <w:shd w:val="clear" w:color="auto" w:fill="FFFFFF"/>
          <w:lang w:eastAsia="x-none"/>
        </w:rPr>
        <w:t xml:space="preserve">Liczba badań wykonywanych przez GIOŚ nie poprawi jednak stanu środowiska ani </w:t>
      </w:r>
      <w:r w:rsidR="00E630FB">
        <w:rPr>
          <w:rFonts w:ascii="Times New Roman" w:eastAsia="Times New Roman" w:hAnsi="Times New Roman" w:cs="Times New Roman"/>
          <w:color w:val="000000"/>
          <w:sz w:val="24"/>
          <w:szCs w:val="24"/>
          <w:shd w:val="clear" w:color="auto" w:fill="FFFFFF"/>
          <w:lang w:eastAsia="x-none"/>
        </w:rPr>
        <w:t xml:space="preserve">nie </w:t>
      </w:r>
      <w:r w:rsidRPr="007F307F">
        <w:rPr>
          <w:rFonts w:ascii="Times New Roman" w:eastAsia="Times New Roman" w:hAnsi="Times New Roman" w:cs="Times New Roman"/>
          <w:color w:val="000000"/>
          <w:sz w:val="24"/>
          <w:szCs w:val="24"/>
          <w:shd w:val="clear" w:color="auto" w:fill="FFFFFF"/>
          <w:lang w:eastAsia="x-none"/>
        </w:rPr>
        <w:t xml:space="preserve">wpłynie na ilość i jakość ścieków odprowadzanych przez zakłady do Odry. Nie zapobiegnie też zakwitowi złotej algi. GIOŚ dostarcza wyniki badań, które powinny być podstawą do podejmowania określonych działań przez inne organy. </w:t>
      </w:r>
    </w:p>
    <w:p w14:paraId="05F0086D" w14:textId="34F7BB98" w:rsidR="00895F16" w:rsidRPr="007F400A" w:rsidRDefault="00C96893" w:rsidP="00056EE7">
      <w:pPr>
        <w:spacing w:after="0" w:line="300" w:lineRule="atLeast"/>
        <w:ind w:firstLine="708"/>
        <w:contextualSpacing/>
        <w:jc w:val="both"/>
        <w:rPr>
          <w:rFonts w:ascii="Times New Roman" w:eastAsia="Calibri" w:hAnsi="Times New Roman" w:cs="Times New Roman"/>
          <w:b/>
          <w:color w:val="000000" w:themeColor="text1"/>
          <w:sz w:val="24"/>
          <w:szCs w:val="24"/>
          <w:lang w:val="x-none" w:eastAsia="pl-PL"/>
        </w:rPr>
      </w:pPr>
      <w:r w:rsidRPr="00CB440E">
        <w:rPr>
          <w:rFonts w:ascii="Times New Roman" w:hAnsi="Times New Roman" w:cs="Times New Roman"/>
          <w:sz w:val="24"/>
          <w:szCs w:val="24"/>
        </w:rPr>
        <w:t>W 2022 r. Główny Inspektor Ochrony Środowiska</w:t>
      </w:r>
      <w:r w:rsidRPr="00CB440E">
        <w:rPr>
          <w:rFonts w:ascii="Times New Roman" w:hAnsi="Times New Roman" w:cs="Times New Roman"/>
          <w:sz w:val="24"/>
          <w:szCs w:val="24"/>
          <w:lang w:eastAsia="x-none"/>
        </w:rPr>
        <w:t xml:space="preserve"> </w:t>
      </w:r>
      <w:r w:rsidRPr="00CB440E">
        <w:rPr>
          <w:rFonts w:ascii="Times New Roman" w:hAnsi="Times New Roman" w:cs="Times New Roman"/>
          <w:sz w:val="24"/>
          <w:szCs w:val="24"/>
        </w:rPr>
        <w:t>(GIOŚ)</w:t>
      </w:r>
      <w:r w:rsidRPr="00CB440E">
        <w:rPr>
          <w:rFonts w:ascii="Times New Roman" w:hAnsi="Times New Roman" w:cs="Times New Roman"/>
          <w:sz w:val="24"/>
          <w:szCs w:val="24"/>
          <w:lang w:eastAsia="x-none"/>
        </w:rPr>
        <w:t xml:space="preserve"> rozpoczął</w:t>
      </w:r>
      <w:r w:rsidRPr="00CB440E">
        <w:rPr>
          <w:rFonts w:ascii="Times New Roman" w:hAnsi="Times New Roman" w:cs="Times New Roman"/>
          <w:sz w:val="24"/>
          <w:szCs w:val="24"/>
        </w:rPr>
        <w:t xml:space="preserve"> 3-letni cykl kontrolny obejmujący weryfikację</w:t>
      </w:r>
      <w:r w:rsidRPr="00CB440E">
        <w:rPr>
          <w:rFonts w:ascii="Times New Roman" w:hAnsi="Times New Roman" w:cs="Times New Roman"/>
          <w:sz w:val="24"/>
          <w:szCs w:val="24"/>
          <w:lang w:eastAsia="x-none"/>
        </w:rPr>
        <w:t xml:space="preserve"> </w:t>
      </w:r>
      <w:r w:rsidRPr="00CB440E">
        <w:rPr>
          <w:rFonts w:ascii="Times New Roman" w:hAnsi="Times New Roman" w:cs="Times New Roman"/>
          <w:sz w:val="24"/>
          <w:szCs w:val="24"/>
        </w:rPr>
        <w:t>wszystkich instalacji komunalnych (składowisk odpadów) funkcjonujących na terenie całego kraju</w:t>
      </w:r>
      <w:r w:rsidRPr="00CB440E">
        <w:rPr>
          <w:rFonts w:ascii="Times New Roman" w:hAnsi="Times New Roman" w:cs="Times New Roman"/>
          <w:sz w:val="24"/>
          <w:szCs w:val="24"/>
          <w:lang w:eastAsia="x-none"/>
        </w:rPr>
        <w:t xml:space="preserve">. W listopadzie oraz grudniu skontrolowano 16 zakładów mających swoje siedziby na terenie województwa dolnośląskiego oraz zachodniopomorskiego. </w:t>
      </w:r>
      <w:r w:rsidRPr="00CB440E">
        <w:rPr>
          <w:rFonts w:ascii="Times New Roman" w:hAnsi="Times New Roman" w:cs="Times New Roman"/>
          <w:sz w:val="24"/>
          <w:szCs w:val="24"/>
        </w:rPr>
        <w:t>W trakcie przeprowadzonych kontroli</w:t>
      </w:r>
      <w:r w:rsidRPr="00CB440E">
        <w:rPr>
          <w:rFonts w:ascii="Times New Roman" w:hAnsi="Times New Roman" w:cs="Times New Roman"/>
          <w:sz w:val="24"/>
          <w:szCs w:val="24"/>
          <w:lang w:eastAsia="x-none"/>
        </w:rPr>
        <w:t xml:space="preserve"> stwierdzono 7</w:t>
      </w:r>
      <w:r>
        <w:rPr>
          <w:rFonts w:ascii="Times New Roman" w:hAnsi="Times New Roman" w:cs="Times New Roman"/>
          <w:sz w:val="24"/>
          <w:szCs w:val="24"/>
          <w:lang w:eastAsia="x-none"/>
        </w:rPr>
        <w:t>3</w:t>
      </w:r>
      <w:r w:rsidRPr="00CB440E">
        <w:rPr>
          <w:rFonts w:ascii="Times New Roman" w:hAnsi="Times New Roman" w:cs="Times New Roman"/>
          <w:sz w:val="24"/>
          <w:szCs w:val="24"/>
          <w:lang w:eastAsia="x-none"/>
        </w:rPr>
        <w:t xml:space="preserve"> narusze</w:t>
      </w:r>
      <w:r>
        <w:rPr>
          <w:rFonts w:ascii="Times New Roman" w:hAnsi="Times New Roman" w:cs="Times New Roman"/>
          <w:sz w:val="24"/>
          <w:szCs w:val="24"/>
          <w:lang w:eastAsia="x-none"/>
        </w:rPr>
        <w:t>nia</w:t>
      </w:r>
      <w:r w:rsidRPr="00CB440E">
        <w:rPr>
          <w:rFonts w:ascii="Times New Roman" w:hAnsi="Times New Roman" w:cs="Times New Roman"/>
          <w:sz w:val="24"/>
          <w:szCs w:val="24"/>
          <w:lang w:eastAsia="x-none"/>
        </w:rPr>
        <w:t xml:space="preserve">. </w:t>
      </w:r>
      <w:r w:rsidRPr="00CB440E">
        <w:rPr>
          <w:rFonts w:ascii="Times New Roman" w:hAnsi="Times New Roman" w:cs="Times New Roman"/>
          <w:sz w:val="24"/>
          <w:szCs w:val="24"/>
        </w:rPr>
        <w:t xml:space="preserve">Najczęściej stwierdzone nieprawidłowości dotyczyły </w:t>
      </w:r>
      <w:r w:rsidRPr="00CB440E">
        <w:rPr>
          <w:rFonts w:ascii="Times New Roman" w:hAnsi="Times New Roman" w:cs="Times New Roman"/>
          <w:sz w:val="24"/>
          <w:szCs w:val="24"/>
          <w:lang w:eastAsia="x-none"/>
        </w:rPr>
        <w:t>naruszeni</w:t>
      </w:r>
      <w:r>
        <w:rPr>
          <w:rFonts w:ascii="Times New Roman" w:hAnsi="Times New Roman" w:cs="Times New Roman"/>
          <w:sz w:val="24"/>
          <w:szCs w:val="24"/>
          <w:lang w:eastAsia="x-none"/>
        </w:rPr>
        <w:t>a</w:t>
      </w:r>
      <w:r w:rsidRPr="00CB440E">
        <w:rPr>
          <w:rFonts w:ascii="Times New Roman" w:hAnsi="Times New Roman" w:cs="Times New Roman"/>
          <w:sz w:val="24"/>
          <w:szCs w:val="24"/>
          <w:lang w:eastAsia="x-none"/>
        </w:rPr>
        <w:t xml:space="preserve"> warunków </w:t>
      </w:r>
      <w:r>
        <w:rPr>
          <w:rFonts w:ascii="Times New Roman" w:hAnsi="Times New Roman" w:cs="Times New Roman"/>
          <w:sz w:val="24"/>
          <w:szCs w:val="24"/>
          <w:lang w:eastAsia="x-none"/>
        </w:rPr>
        <w:t>określonych w pozwoleniach zintegrowanych</w:t>
      </w:r>
      <w:r w:rsidRPr="00CB440E">
        <w:rPr>
          <w:rFonts w:ascii="Times New Roman" w:hAnsi="Times New Roman" w:cs="Times New Roman"/>
          <w:sz w:val="24"/>
          <w:szCs w:val="24"/>
          <w:lang w:eastAsia="x-none"/>
        </w:rPr>
        <w:t xml:space="preserve">, prowadzeniu nierzetelnej ewidencji odpadów oraz składowania odpadów, które należało zagospodarować w inny sposób niż składowanie. </w:t>
      </w:r>
      <w:r w:rsidRPr="00CB440E">
        <w:rPr>
          <w:rFonts w:ascii="Times New Roman" w:hAnsi="Times New Roman" w:cs="Times New Roman"/>
          <w:sz w:val="24"/>
          <w:szCs w:val="24"/>
        </w:rPr>
        <w:t>Tylko w przypadku jednego składowiska odpadów nie stwierdzono żadnych naruszeń</w:t>
      </w:r>
      <w:r w:rsidR="00895F16" w:rsidRPr="007F400A">
        <w:rPr>
          <w:rFonts w:ascii="Times New Roman" w:eastAsia="Calibri" w:hAnsi="Times New Roman" w:cs="Times New Roman"/>
          <w:color w:val="000000" w:themeColor="text1"/>
          <w:sz w:val="24"/>
          <w:szCs w:val="24"/>
          <w:lang w:eastAsia="pl-PL"/>
        </w:rPr>
        <w:t>.</w:t>
      </w:r>
    </w:p>
    <w:p w14:paraId="6480000F" w14:textId="77777777" w:rsidR="00895F16" w:rsidRPr="007F400A" w:rsidRDefault="00895F16" w:rsidP="00056EE7">
      <w:pPr>
        <w:spacing w:after="0" w:line="300" w:lineRule="atLeast"/>
        <w:ind w:left="567"/>
        <w:jc w:val="both"/>
        <w:rPr>
          <w:b/>
          <w:color w:val="000000" w:themeColor="text1"/>
          <w:sz w:val="24"/>
          <w:szCs w:val="24"/>
        </w:rPr>
      </w:pPr>
    </w:p>
    <w:p w14:paraId="1D8F1DB6" w14:textId="77777777" w:rsidR="00895F16" w:rsidRPr="007F400A" w:rsidRDefault="00895F16" w:rsidP="00056EE7">
      <w:pPr>
        <w:keepNext/>
        <w:spacing w:after="60" w:line="300" w:lineRule="atLeast"/>
        <w:outlineLvl w:val="0"/>
        <w:rPr>
          <w:rFonts w:ascii="Times New Roman" w:eastAsia="Times New Roman" w:hAnsi="Times New Roman" w:cs="Times New Roman"/>
          <w:b/>
          <w:bCs/>
          <w:sz w:val="24"/>
          <w:szCs w:val="24"/>
          <w:lang w:val="x-none" w:eastAsia="x-none"/>
        </w:rPr>
      </w:pPr>
      <w:bookmarkStart w:id="22" w:name="_Toc135935575"/>
      <w:r w:rsidRPr="007F400A">
        <w:rPr>
          <w:rFonts w:ascii="Times New Roman" w:eastAsia="Times New Roman" w:hAnsi="Times New Roman" w:cs="Times New Roman"/>
          <w:b/>
          <w:bCs/>
          <w:sz w:val="24"/>
          <w:szCs w:val="24"/>
          <w:lang w:val="x-none" w:eastAsia="x-none"/>
        </w:rPr>
        <w:t>2. Realizacja zadań kontrolnych</w:t>
      </w:r>
      <w:bookmarkEnd w:id="17"/>
      <w:bookmarkEnd w:id="18"/>
      <w:bookmarkEnd w:id="19"/>
      <w:bookmarkEnd w:id="22"/>
      <w:r w:rsidRPr="007F400A">
        <w:rPr>
          <w:rFonts w:ascii="Times New Roman" w:eastAsia="Times New Roman" w:hAnsi="Times New Roman" w:cs="Times New Roman"/>
          <w:b/>
          <w:bCs/>
          <w:sz w:val="24"/>
          <w:szCs w:val="24"/>
          <w:lang w:val="x-none" w:eastAsia="x-none"/>
        </w:rPr>
        <w:t xml:space="preserve"> </w:t>
      </w:r>
    </w:p>
    <w:p w14:paraId="167395ED" w14:textId="77777777" w:rsidR="00895F16" w:rsidRPr="007F400A" w:rsidRDefault="00895F16" w:rsidP="00056EE7">
      <w:pPr>
        <w:keepNext/>
        <w:spacing w:after="120" w:line="300" w:lineRule="atLeast"/>
        <w:jc w:val="both"/>
        <w:outlineLvl w:val="0"/>
        <w:rPr>
          <w:rFonts w:ascii="Times New Roman" w:eastAsia="Times New Roman" w:hAnsi="Times New Roman" w:cs="Times New Roman"/>
          <w:b/>
          <w:bCs/>
          <w:sz w:val="24"/>
          <w:szCs w:val="24"/>
          <w:lang w:val="x-none" w:eastAsia="x-none"/>
        </w:rPr>
      </w:pPr>
      <w:bookmarkStart w:id="23" w:name="_Toc515437508"/>
      <w:bookmarkStart w:id="24" w:name="_Toc515437826"/>
      <w:bookmarkStart w:id="25" w:name="_Toc5878527"/>
      <w:bookmarkStart w:id="26" w:name="_Toc36732549"/>
      <w:bookmarkStart w:id="27" w:name="_Toc135935576"/>
      <w:r w:rsidRPr="007F400A">
        <w:rPr>
          <w:rFonts w:ascii="Times New Roman" w:eastAsia="Times New Roman" w:hAnsi="Times New Roman" w:cs="Times New Roman"/>
          <w:b/>
          <w:bCs/>
          <w:sz w:val="24"/>
          <w:szCs w:val="24"/>
          <w:lang w:val="x-none" w:eastAsia="x-none"/>
        </w:rPr>
        <w:t>2.1 Ewidencja zakładów i planowanie kontroli</w:t>
      </w:r>
      <w:bookmarkEnd w:id="23"/>
      <w:bookmarkEnd w:id="24"/>
      <w:bookmarkEnd w:id="25"/>
      <w:bookmarkEnd w:id="26"/>
      <w:bookmarkEnd w:id="27"/>
      <w:r w:rsidRPr="007F400A">
        <w:rPr>
          <w:rFonts w:ascii="Times New Roman" w:eastAsia="Times New Roman" w:hAnsi="Times New Roman" w:cs="Times New Roman"/>
          <w:b/>
          <w:bCs/>
          <w:sz w:val="24"/>
          <w:szCs w:val="24"/>
          <w:lang w:val="x-none" w:eastAsia="x-none"/>
        </w:rPr>
        <w:t xml:space="preserve"> </w:t>
      </w:r>
    </w:p>
    <w:p w14:paraId="5ED0AED9" w14:textId="77777777" w:rsidR="00C96893" w:rsidRPr="007F400A" w:rsidRDefault="00C96893" w:rsidP="00056EE7">
      <w:pPr>
        <w:spacing w:after="0" w:line="300" w:lineRule="atLeast"/>
        <w:ind w:firstLine="567"/>
        <w:jc w:val="both"/>
        <w:rPr>
          <w:rFonts w:ascii="Times New Roman" w:eastAsia="Times New Roman" w:hAnsi="Times New Roman" w:cs="Times New Roman"/>
          <w:sz w:val="24"/>
          <w:szCs w:val="24"/>
        </w:rPr>
      </w:pPr>
      <w:r w:rsidRPr="007F400A">
        <w:rPr>
          <w:rFonts w:ascii="Times New Roman" w:eastAsia="Times New Roman" w:hAnsi="Times New Roman" w:cs="Times New Roman"/>
          <w:bCs/>
          <w:sz w:val="24"/>
          <w:szCs w:val="24"/>
        </w:rPr>
        <w:t>N</w:t>
      </w:r>
      <w:r w:rsidRPr="007F400A">
        <w:rPr>
          <w:rFonts w:ascii="Times New Roman" w:eastAsia="Times New Roman" w:hAnsi="Times New Roman" w:cs="Times New Roman"/>
          <w:sz w:val="24"/>
          <w:szCs w:val="24"/>
        </w:rPr>
        <w:t xml:space="preserve">a koniec </w:t>
      </w:r>
      <w:r>
        <w:rPr>
          <w:rFonts w:ascii="Times New Roman" w:eastAsia="Times New Roman" w:hAnsi="Times New Roman" w:cs="Times New Roman"/>
          <w:sz w:val="24"/>
          <w:szCs w:val="24"/>
        </w:rPr>
        <w:t>2022</w:t>
      </w:r>
      <w:r w:rsidRPr="007F400A">
        <w:rPr>
          <w:rFonts w:ascii="Times New Roman" w:eastAsia="Times New Roman" w:hAnsi="Times New Roman" w:cs="Times New Roman"/>
          <w:sz w:val="24"/>
          <w:szCs w:val="24"/>
        </w:rPr>
        <w:t xml:space="preserve"> r. w ewidencji Inspekcji Ochrony Środowiska był</w:t>
      </w:r>
      <w:r>
        <w:rPr>
          <w:rFonts w:ascii="Times New Roman" w:eastAsia="Times New Roman" w:hAnsi="Times New Roman" w:cs="Times New Roman"/>
          <w:sz w:val="24"/>
          <w:szCs w:val="24"/>
        </w:rPr>
        <w:t>y</w:t>
      </w:r>
      <w:r w:rsidRPr="007F400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163 952</w:t>
      </w:r>
      <w:r w:rsidRPr="007F400A">
        <w:rPr>
          <w:rFonts w:ascii="Times New Roman" w:eastAsia="Times New Roman" w:hAnsi="Times New Roman" w:cs="Times New Roman"/>
          <w:sz w:val="24"/>
          <w:szCs w:val="24"/>
        </w:rPr>
        <w:t xml:space="preserve"> zakład</w:t>
      </w:r>
      <w:r>
        <w:rPr>
          <w:rFonts w:ascii="Times New Roman" w:eastAsia="Times New Roman" w:hAnsi="Times New Roman" w:cs="Times New Roman"/>
          <w:sz w:val="24"/>
          <w:szCs w:val="24"/>
        </w:rPr>
        <w:t>y</w:t>
      </w:r>
      <w:r w:rsidRPr="007F400A">
        <w:rPr>
          <w:rFonts w:ascii="Times New Roman" w:eastAsia="Times New Roman" w:hAnsi="Times New Roman" w:cs="Times New Roman"/>
          <w:sz w:val="24"/>
          <w:szCs w:val="24"/>
        </w:rPr>
        <w:t xml:space="preserve">. W porównaniu z </w:t>
      </w:r>
      <w:r>
        <w:rPr>
          <w:rFonts w:ascii="Times New Roman" w:eastAsia="Times New Roman" w:hAnsi="Times New Roman" w:cs="Times New Roman"/>
          <w:sz w:val="24"/>
          <w:szCs w:val="24"/>
        </w:rPr>
        <w:t>2021</w:t>
      </w:r>
      <w:r w:rsidRPr="007F400A">
        <w:rPr>
          <w:rFonts w:ascii="Times New Roman" w:eastAsia="Times New Roman" w:hAnsi="Times New Roman" w:cs="Times New Roman"/>
          <w:sz w:val="24"/>
          <w:szCs w:val="24"/>
        </w:rPr>
        <w:t xml:space="preserve"> r. liczba zakładów wzrosła o </w:t>
      </w:r>
      <w:r>
        <w:rPr>
          <w:rFonts w:ascii="Times New Roman" w:eastAsia="Times New Roman" w:hAnsi="Times New Roman" w:cs="Times New Roman"/>
          <w:sz w:val="24"/>
          <w:szCs w:val="24"/>
        </w:rPr>
        <w:t>8 824</w:t>
      </w:r>
      <w:r w:rsidRPr="007F400A">
        <w:rPr>
          <w:rFonts w:ascii="Times New Roman" w:eastAsia="Times New Roman" w:hAnsi="Times New Roman" w:cs="Times New Roman"/>
          <w:sz w:val="24"/>
          <w:szCs w:val="24"/>
        </w:rPr>
        <w:t xml:space="preserve"> (tj. o ponad </w:t>
      </w:r>
      <w:r>
        <w:rPr>
          <w:rFonts w:ascii="Times New Roman" w:eastAsia="Times New Roman" w:hAnsi="Times New Roman" w:cs="Times New Roman"/>
          <w:sz w:val="24"/>
          <w:szCs w:val="24"/>
        </w:rPr>
        <w:t>5</w:t>
      </w:r>
      <w:r w:rsidRPr="007F400A">
        <w:rPr>
          <w:rFonts w:ascii="Times New Roman" w:eastAsia="Times New Roman" w:hAnsi="Times New Roman" w:cs="Times New Roman"/>
          <w:sz w:val="24"/>
          <w:szCs w:val="24"/>
        </w:rPr>
        <w:t xml:space="preserve">%), natomiast z 2010 r. wzrosła </w:t>
      </w:r>
      <w:r w:rsidRPr="00616B85">
        <w:rPr>
          <w:rFonts w:ascii="Times New Roman" w:eastAsia="Times New Roman" w:hAnsi="Times New Roman" w:cs="Times New Roman"/>
          <w:sz w:val="24"/>
          <w:szCs w:val="24"/>
        </w:rPr>
        <w:t xml:space="preserve">o </w:t>
      </w:r>
      <w:r w:rsidRPr="00B5252E">
        <w:rPr>
          <w:rFonts w:ascii="Times New Roman" w:eastAsia="Times New Roman" w:hAnsi="Times New Roman" w:cs="Times New Roman"/>
          <w:sz w:val="24"/>
          <w:szCs w:val="24"/>
        </w:rPr>
        <w:t>94 606</w:t>
      </w:r>
      <w:r w:rsidRPr="00616B85">
        <w:rPr>
          <w:rFonts w:ascii="Times New Roman" w:eastAsia="Times New Roman" w:hAnsi="Times New Roman" w:cs="Times New Roman"/>
          <w:sz w:val="24"/>
          <w:szCs w:val="24"/>
        </w:rPr>
        <w:t xml:space="preserve"> (tj. </w:t>
      </w:r>
      <w:r w:rsidRPr="00B5252E">
        <w:rPr>
          <w:rFonts w:ascii="Times New Roman" w:eastAsia="Times New Roman" w:hAnsi="Times New Roman" w:cs="Times New Roman"/>
          <w:sz w:val="24"/>
          <w:szCs w:val="24"/>
        </w:rPr>
        <w:t>136</w:t>
      </w:r>
      <w:r w:rsidRPr="00616B85">
        <w:rPr>
          <w:rFonts w:ascii="Times New Roman" w:eastAsia="Times New Roman" w:hAnsi="Times New Roman" w:cs="Times New Roman"/>
          <w:sz w:val="24"/>
          <w:szCs w:val="24"/>
        </w:rPr>
        <w:t>%).</w:t>
      </w:r>
      <w:r w:rsidRPr="007F400A">
        <w:rPr>
          <w:rFonts w:ascii="Times New Roman" w:eastAsia="Times New Roman" w:hAnsi="Times New Roman" w:cs="Times New Roman"/>
          <w:sz w:val="24"/>
          <w:szCs w:val="24"/>
        </w:rPr>
        <w:t xml:space="preserve"> </w:t>
      </w:r>
    </w:p>
    <w:p w14:paraId="06D09221" w14:textId="77777777" w:rsidR="00C96893" w:rsidRPr="007F400A" w:rsidRDefault="00C96893" w:rsidP="00E630FB">
      <w:pPr>
        <w:spacing w:after="0" w:line="300" w:lineRule="atLeast"/>
        <w:ind w:firstLine="567"/>
        <w:jc w:val="both"/>
        <w:rPr>
          <w:rFonts w:ascii="Times New Roman" w:hAnsi="Times New Roman" w:cs="Times New Roman"/>
          <w:sz w:val="24"/>
          <w:szCs w:val="24"/>
        </w:rPr>
      </w:pPr>
      <w:r w:rsidRPr="007F400A">
        <w:rPr>
          <w:rFonts w:ascii="Times New Roman" w:hAnsi="Times New Roman" w:cs="Times New Roman"/>
          <w:sz w:val="24"/>
          <w:szCs w:val="24"/>
        </w:rPr>
        <w:t>W ewidencji zakłady podzielone są na pięć kategorii ryzyka. Z przydzieleniem zakładu do określonej kategorii ryzyka wiąże się częstotliwość kontroli. Aktualnie obowiązująca częstotliwość kontroli jest następująca:</w:t>
      </w:r>
    </w:p>
    <w:p w14:paraId="0A82A08F" w14:textId="2D158077" w:rsidR="00C96893" w:rsidRPr="007F400A" w:rsidRDefault="00C96893" w:rsidP="00D34F97">
      <w:pPr>
        <w:numPr>
          <w:ilvl w:val="0"/>
          <w:numId w:val="62"/>
        </w:numPr>
        <w:spacing w:after="0" w:line="300" w:lineRule="atLeast"/>
        <w:ind w:left="924" w:hanging="357"/>
        <w:contextualSpacing/>
        <w:jc w:val="both"/>
        <w:rPr>
          <w:rFonts w:ascii="Times New Roman" w:eastAsia="Times New Roman" w:hAnsi="Times New Roman" w:cs="Times New Roman"/>
          <w:sz w:val="24"/>
          <w:szCs w:val="24"/>
          <w:lang w:val="x-none" w:eastAsia="pl-PL"/>
        </w:rPr>
      </w:pPr>
      <w:r w:rsidRPr="007F400A">
        <w:rPr>
          <w:rFonts w:ascii="Times New Roman" w:eastAsia="Times New Roman" w:hAnsi="Times New Roman" w:cs="Times New Roman"/>
          <w:sz w:val="24"/>
          <w:szCs w:val="24"/>
          <w:lang w:val="x-none" w:eastAsia="pl-PL"/>
        </w:rPr>
        <w:t>I kategoria (</w:t>
      </w:r>
      <w:r>
        <w:rPr>
          <w:rFonts w:ascii="Times New Roman" w:eastAsia="Times New Roman" w:hAnsi="Times New Roman" w:cs="Times New Roman"/>
          <w:sz w:val="24"/>
          <w:szCs w:val="24"/>
          <w:lang w:eastAsia="pl-PL"/>
        </w:rPr>
        <w:t>705</w:t>
      </w:r>
      <w:r w:rsidRPr="007F400A">
        <w:rPr>
          <w:rFonts w:ascii="Times New Roman" w:eastAsia="Times New Roman" w:hAnsi="Times New Roman" w:cs="Times New Roman"/>
          <w:sz w:val="24"/>
          <w:szCs w:val="24"/>
          <w:lang w:val="x-none" w:eastAsia="pl-PL"/>
        </w:rPr>
        <w:t xml:space="preserve"> zakład</w:t>
      </w:r>
      <w:r w:rsidRPr="007F400A">
        <w:rPr>
          <w:rFonts w:ascii="Times New Roman" w:eastAsia="Times New Roman" w:hAnsi="Times New Roman" w:cs="Times New Roman"/>
          <w:sz w:val="24"/>
          <w:szCs w:val="24"/>
          <w:lang w:eastAsia="pl-PL"/>
        </w:rPr>
        <w:t>ów</w:t>
      </w:r>
      <w:r w:rsidRPr="007F400A">
        <w:rPr>
          <w:rFonts w:ascii="Times New Roman" w:eastAsia="Times New Roman" w:hAnsi="Times New Roman" w:cs="Times New Roman"/>
          <w:sz w:val="24"/>
          <w:szCs w:val="24"/>
          <w:lang w:val="x-none" w:eastAsia="pl-PL"/>
        </w:rPr>
        <w:t>) - zakłady o bardzo dużej uciążliwości dla środowiska, - kontrola co roku</w:t>
      </w:r>
      <w:r w:rsidRPr="007F400A">
        <w:rPr>
          <w:rFonts w:ascii="Times New Roman" w:eastAsia="Calibri" w:hAnsi="Times New Roman" w:cs="Times New Roman"/>
          <w:sz w:val="24"/>
          <w:szCs w:val="24"/>
          <w:vertAlign w:val="superscript"/>
          <w:lang w:val="x-none" w:eastAsia="pl-PL"/>
        </w:rPr>
        <w:footnoteReference w:id="2"/>
      </w:r>
      <w:r w:rsidR="00E630FB">
        <w:rPr>
          <w:rFonts w:ascii="Times New Roman" w:eastAsia="Times New Roman" w:hAnsi="Times New Roman" w:cs="Times New Roman"/>
          <w:sz w:val="24"/>
          <w:szCs w:val="24"/>
          <w:lang w:eastAsia="pl-PL"/>
        </w:rPr>
        <w:t>,</w:t>
      </w:r>
      <w:r w:rsidRPr="007F400A">
        <w:rPr>
          <w:rFonts w:ascii="Times New Roman" w:eastAsia="Times New Roman" w:hAnsi="Times New Roman" w:cs="Times New Roman"/>
          <w:sz w:val="24"/>
          <w:szCs w:val="24"/>
          <w:lang w:val="x-none" w:eastAsia="pl-PL"/>
        </w:rPr>
        <w:t xml:space="preserve"> np.: zakłady o dużym ryzyku wystąpienia poważnej awarii, zakłady przetwarzania zużytego sprzętu elektronicznego i</w:t>
      </w:r>
      <w:r>
        <w:rPr>
          <w:rFonts w:ascii="Times New Roman" w:eastAsia="Times New Roman" w:hAnsi="Times New Roman" w:cs="Times New Roman"/>
          <w:sz w:val="24"/>
          <w:szCs w:val="24"/>
          <w:lang w:eastAsia="pl-PL"/>
        </w:rPr>
        <w:t xml:space="preserve"> </w:t>
      </w:r>
      <w:r w:rsidRPr="007F400A">
        <w:rPr>
          <w:rFonts w:ascii="Times New Roman" w:eastAsia="Times New Roman" w:hAnsi="Times New Roman" w:cs="Times New Roman"/>
          <w:sz w:val="24"/>
          <w:szCs w:val="24"/>
          <w:lang w:val="x-none" w:eastAsia="pl-PL"/>
        </w:rPr>
        <w:t>elektrycznego, zakłady przetwarzania zużytych baterii lub zużytych akumulatorów, instalacje energetycznego spalania paliw stosujące ciężki olej opałowy, zakłady podlegające kontroli z zakresu transgranicznego przemieszczania odpadów w</w:t>
      </w:r>
      <w:r>
        <w:rPr>
          <w:rFonts w:ascii="Times New Roman" w:eastAsia="Calibri" w:hAnsi="Times New Roman" w:cs="Times New Roman"/>
          <w:sz w:val="24"/>
          <w:szCs w:val="24"/>
          <w:lang w:eastAsia="pl-PL"/>
        </w:rPr>
        <w:t xml:space="preserve"> </w:t>
      </w:r>
      <w:r w:rsidRPr="007F400A">
        <w:rPr>
          <w:rFonts w:ascii="Times New Roman" w:eastAsia="Times New Roman" w:hAnsi="Times New Roman" w:cs="Times New Roman"/>
          <w:sz w:val="24"/>
          <w:szCs w:val="24"/>
          <w:lang w:val="x-none" w:eastAsia="pl-PL"/>
        </w:rPr>
        <w:t>przypadku zezwolenia wstępnego na</w:t>
      </w:r>
      <w:r>
        <w:rPr>
          <w:rFonts w:ascii="Times New Roman" w:eastAsia="Times New Roman" w:hAnsi="Times New Roman" w:cs="Times New Roman"/>
          <w:sz w:val="24"/>
          <w:szCs w:val="24"/>
          <w:lang w:eastAsia="pl-PL"/>
        </w:rPr>
        <w:t xml:space="preserve"> </w:t>
      </w:r>
      <w:r w:rsidRPr="007F400A">
        <w:rPr>
          <w:rFonts w:ascii="Times New Roman" w:eastAsia="Times New Roman" w:hAnsi="Times New Roman" w:cs="Times New Roman"/>
          <w:sz w:val="24"/>
          <w:szCs w:val="24"/>
          <w:lang w:val="x-none" w:eastAsia="pl-PL"/>
        </w:rPr>
        <w:t>przywóz odpadów niebezpiecznych, wielkoprzemysłowe fermy tuczu trzody chlewnej, a także inne zakłady, dla których wykonana analiza ryzyka wykazała znaczące oddziaływanie na środowisko,</w:t>
      </w:r>
    </w:p>
    <w:p w14:paraId="505633A3" w14:textId="77777777" w:rsidR="00C96893" w:rsidRPr="007F400A" w:rsidRDefault="00C96893" w:rsidP="00D34F97">
      <w:pPr>
        <w:numPr>
          <w:ilvl w:val="0"/>
          <w:numId w:val="62"/>
        </w:numPr>
        <w:spacing w:after="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lastRenderedPageBreak/>
        <w:t>II kategoria (</w:t>
      </w:r>
      <w:r>
        <w:rPr>
          <w:rFonts w:ascii="Times New Roman" w:eastAsia="Calibri" w:hAnsi="Times New Roman" w:cs="Times New Roman"/>
          <w:sz w:val="24"/>
          <w:szCs w:val="24"/>
          <w:lang w:eastAsia="pl-PL"/>
        </w:rPr>
        <w:t>2 375</w:t>
      </w:r>
      <w:r w:rsidRPr="007F400A">
        <w:rPr>
          <w:rFonts w:ascii="Times New Roman" w:eastAsia="Calibri" w:hAnsi="Times New Roman" w:cs="Times New Roman"/>
          <w:sz w:val="24"/>
          <w:szCs w:val="24"/>
          <w:lang w:val="x-none" w:eastAsia="pl-PL"/>
        </w:rPr>
        <w:t xml:space="preserve"> zakład</w:t>
      </w:r>
      <w:r>
        <w:rPr>
          <w:rFonts w:ascii="Times New Roman" w:eastAsia="Calibri" w:hAnsi="Times New Roman" w:cs="Times New Roman"/>
          <w:sz w:val="24"/>
          <w:szCs w:val="24"/>
          <w:lang w:eastAsia="pl-PL"/>
        </w:rPr>
        <w:t>ów</w:t>
      </w:r>
      <w:r w:rsidRPr="007F400A">
        <w:rPr>
          <w:rFonts w:ascii="Times New Roman" w:eastAsia="Calibri" w:hAnsi="Times New Roman" w:cs="Times New Roman"/>
          <w:sz w:val="24"/>
          <w:szCs w:val="24"/>
          <w:lang w:val="x-none" w:eastAsia="pl-PL"/>
        </w:rPr>
        <w:t>) - zakłady o dużej uciążliwości dla środowiska - kontrola nie rzadziej niż raz na 3 lata</w:t>
      </w:r>
      <w:r w:rsidRPr="007F400A">
        <w:rPr>
          <w:rFonts w:ascii="Times New Roman" w:eastAsia="Calibri" w:hAnsi="Times New Roman" w:cs="Times New Roman"/>
          <w:sz w:val="24"/>
          <w:szCs w:val="24"/>
          <w:lang w:eastAsia="pl-PL"/>
        </w:rPr>
        <w:t>,</w:t>
      </w:r>
      <w:r w:rsidRPr="007F400A">
        <w:rPr>
          <w:rFonts w:ascii="Times New Roman" w:eastAsia="Calibri" w:hAnsi="Times New Roman" w:cs="Times New Roman"/>
          <w:sz w:val="24"/>
          <w:szCs w:val="24"/>
          <w:lang w:val="x-none" w:eastAsia="pl-PL"/>
        </w:rPr>
        <w:t xml:space="preserve"> np.: zakłady o zwiększonym ryzyku wystąpienia poważnej awarii, zakłady podlegające rozporządzeniu nr 166/2006 Parlamentu Europejskiego i Rady w sprawie </w:t>
      </w:r>
      <w:r w:rsidRPr="00153868">
        <w:rPr>
          <w:rFonts w:ascii="Times New Roman" w:eastAsia="Calibri" w:hAnsi="Times New Roman" w:cs="Times New Roman"/>
          <w:sz w:val="24"/>
          <w:szCs w:val="24"/>
          <w:lang w:val="x-none" w:eastAsia="pl-PL"/>
        </w:rPr>
        <w:t>Rejestr</w:t>
      </w:r>
      <w:r>
        <w:rPr>
          <w:rFonts w:ascii="Times New Roman" w:eastAsia="Calibri" w:hAnsi="Times New Roman" w:cs="Times New Roman"/>
          <w:sz w:val="24"/>
          <w:szCs w:val="24"/>
          <w:lang w:eastAsia="pl-PL"/>
        </w:rPr>
        <w:t>u</w:t>
      </w:r>
      <w:r w:rsidRPr="00153868">
        <w:rPr>
          <w:rFonts w:ascii="Times New Roman" w:eastAsia="Calibri" w:hAnsi="Times New Roman" w:cs="Times New Roman"/>
          <w:sz w:val="24"/>
          <w:szCs w:val="24"/>
          <w:lang w:val="x-none" w:eastAsia="pl-PL"/>
        </w:rPr>
        <w:t xml:space="preserve"> Uwalniania i Transferu Zanieczyszczeń</w:t>
      </w:r>
      <w:r>
        <w:rPr>
          <w:rFonts w:ascii="Times New Roman" w:eastAsia="Calibri" w:hAnsi="Times New Roman" w:cs="Times New Roman"/>
          <w:sz w:val="24"/>
          <w:szCs w:val="24"/>
          <w:lang w:eastAsia="pl-PL"/>
        </w:rPr>
        <w:t xml:space="preserve"> (PRTR)</w:t>
      </w:r>
      <w:r w:rsidRPr="007F400A">
        <w:rPr>
          <w:rFonts w:ascii="Times New Roman" w:eastAsia="Calibri" w:hAnsi="Times New Roman" w:cs="Times New Roman"/>
          <w:sz w:val="24"/>
          <w:szCs w:val="24"/>
          <w:lang w:val="x-none" w:eastAsia="pl-PL"/>
        </w:rPr>
        <w:t xml:space="preserve">, instalacje </w:t>
      </w:r>
      <w:r w:rsidRPr="00153868">
        <w:t xml:space="preserve"> </w:t>
      </w:r>
      <w:r w:rsidRPr="00153868">
        <w:rPr>
          <w:rFonts w:ascii="Times New Roman" w:eastAsia="Calibri" w:hAnsi="Times New Roman" w:cs="Times New Roman"/>
          <w:sz w:val="24"/>
          <w:szCs w:val="24"/>
          <w:lang w:val="x-none" w:eastAsia="pl-PL"/>
        </w:rPr>
        <w:t>wymagające posiadania pozwoleń zintegrowanych</w:t>
      </w:r>
      <w:r w:rsidRPr="007F400A">
        <w:rPr>
          <w:rFonts w:ascii="Times New Roman" w:eastAsia="Calibri" w:hAnsi="Times New Roman" w:cs="Times New Roman"/>
          <w:sz w:val="24"/>
          <w:szCs w:val="24"/>
          <w:lang w:val="x-none" w:eastAsia="pl-PL"/>
        </w:rPr>
        <w:t>,</w:t>
      </w:r>
    </w:p>
    <w:p w14:paraId="1607DC11" w14:textId="77777777" w:rsidR="00C96893" w:rsidRPr="007F400A" w:rsidRDefault="00C96893" w:rsidP="00D34F97">
      <w:pPr>
        <w:numPr>
          <w:ilvl w:val="0"/>
          <w:numId w:val="62"/>
        </w:numPr>
        <w:spacing w:after="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III kategoria (</w:t>
      </w:r>
      <w:r>
        <w:rPr>
          <w:rFonts w:ascii="Times New Roman" w:eastAsia="Calibri" w:hAnsi="Times New Roman" w:cs="Times New Roman"/>
          <w:sz w:val="24"/>
          <w:szCs w:val="24"/>
          <w:lang w:eastAsia="pl-PL"/>
        </w:rPr>
        <w:t>11 283</w:t>
      </w:r>
      <w:r w:rsidRPr="007F400A">
        <w:rPr>
          <w:rFonts w:ascii="Times New Roman" w:eastAsia="Calibri" w:hAnsi="Times New Roman" w:cs="Times New Roman"/>
          <w:sz w:val="24"/>
          <w:szCs w:val="24"/>
          <w:lang w:val="x-none" w:eastAsia="pl-PL"/>
        </w:rPr>
        <w:t xml:space="preserve"> zakład</w:t>
      </w:r>
      <w:r>
        <w:rPr>
          <w:rFonts w:ascii="Times New Roman" w:eastAsia="Calibri" w:hAnsi="Times New Roman" w:cs="Times New Roman"/>
          <w:sz w:val="24"/>
          <w:szCs w:val="24"/>
          <w:lang w:eastAsia="pl-PL"/>
        </w:rPr>
        <w:t>y</w:t>
      </w:r>
      <w:r w:rsidRPr="007F400A">
        <w:rPr>
          <w:rFonts w:ascii="Times New Roman" w:eastAsia="Calibri" w:hAnsi="Times New Roman" w:cs="Times New Roman"/>
          <w:sz w:val="24"/>
          <w:szCs w:val="24"/>
          <w:lang w:val="x-none" w:eastAsia="pl-PL"/>
        </w:rPr>
        <w:t>) - zakłady o umiarkowanej uciążliwości dla środowiska -</w:t>
      </w:r>
      <w:r>
        <w:rPr>
          <w:rFonts w:ascii="Times New Roman" w:eastAsia="Calibri" w:hAnsi="Times New Roman" w:cs="Times New Roman"/>
          <w:sz w:val="24"/>
          <w:szCs w:val="24"/>
          <w:lang w:eastAsia="pl-PL"/>
        </w:rPr>
        <w:t xml:space="preserve"> </w:t>
      </w:r>
      <w:r w:rsidRPr="007F400A">
        <w:rPr>
          <w:rFonts w:ascii="Times New Roman" w:eastAsia="Calibri" w:hAnsi="Times New Roman" w:cs="Times New Roman"/>
          <w:sz w:val="24"/>
          <w:szCs w:val="24"/>
          <w:lang w:val="x-none" w:eastAsia="pl-PL"/>
        </w:rPr>
        <w:t xml:space="preserve">decyzja o ujęciu w planie kontroli należy do </w:t>
      </w:r>
      <w:proofErr w:type="spellStart"/>
      <w:r w:rsidRPr="007F400A">
        <w:rPr>
          <w:rFonts w:ascii="Times New Roman" w:eastAsia="Calibri" w:hAnsi="Times New Roman" w:cs="Times New Roman"/>
          <w:sz w:val="24"/>
          <w:szCs w:val="24"/>
          <w:lang w:val="x-none" w:eastAsia="pl-PL"/>
        </w:rPr>
        <w:t>wioś</w:t>
      </w:r>
      <w:proofErr w:type="spellEnd"/>
      <w:r w:rsidRPr="007F400A">
        <w:rPr>
          <w:rFonts w:ascii="Times New Roman" w:eastAsia="Calibri" w:hAnsi="Times New Roman" w:cs="Times New Roman"/>
          <w:sz w:val="24"/>
          <w:szCs w:val="24"/>
          <w:lang w:val="x-none" w:eastAsia="pl-PL"/>
        </w:rPr>
        <w:t>, przyporządkowanie zakładu do</w:t>
      </w:r>
      <w:r>
        <w:rPr>
          <w:rFonts w:ascii="Times New Roman" w:eastAsia="Calibri" w:hAnsi="Times New Roman" w:cs="Times New Roman"/>
          <w:sz w:val="24"/>
          <w:szCs w:val="24"/>
          <w:lang w:eastAsia="pl-PL"/>
        </w:rPr>
        <w:t> </w:t>
      </w:r>
      <w:r w:rsidRPr="007F400A">
        <w:rPr>
          <w:rFonts w:ascii="Times New Roman" w:eastAsia="Calibri" w:hAnsi="Times New Roman" w:cs="Times New Roman"/>
          <w:sz w:val="24"/>
          <w:szCs w:val="24"/>
          <w:lang w:val="x-none" w:eastAsia="pl-PL"/>
        </w:rPr>
        <w:t>tej</w:t>
      </w:r>
      <w:r>
        <w:rPr>
          <w:rFonts w:ascii="Times New Roman" w:eastAsia="Calibri" w:hAnsi="Times New Roman" w:cs="Times New Roman"/>
          <w:sz w:val="24"/>
          <w:szCs w:val="24"/>
          <w:lang w:eastAsia="pl-PL"/>
        </w:rPr>
        <w:t xml:space="preserve"> </w:t>
      </w:r>
      <w:r w:rsidRPr="007F400A">
        <w:rPr>
          <w:rFonts w:ascii="Times New Roman" w:eastAsia="Calibri" w:hAnsi="Times New Roman" w:cs="Times New Roman"/>
          <w:sz w:val="24"/>
          <w:szCs w:val="24"/>
          <w:lang w:val="x-none" w:eastAsia="pl-PL"/>
        </w:rPr>
        <w:t>kategorii następuje na podstawie wyniku analizy wielokryterialnej,</w:t>
      </w:r>
    </w:p>
    <w:p w14:paraId="46924893" w14:textId="77777777" w:rsidR="00C96893" w:rsidRPr="007F400A" w:rsidRDefault="00C96893" w:rsidP="00D34F97">
      <w:pPr>
        <w:numPr>
          <w:ilvl w:val="0"/>
          <w:numId w:val="62"/>
        </w:numPr>
        <w:spacing w:after="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IV kategoria (</w:t>
      </w:r>
      <w:r>
        <w:rPr>
          <w:rFonts w:ascii="Times New Roman" w:eastAsia="Calibri" w:hAnsi="Times New Roman" w:cs="Times New Roman"/>
          <w:sz w:val="24"/>
          <w:szCs w:val="24"/>
          <w:lang w:eastAsia="pl-PL"/>
        </w:rPr>
        <w:t>60 503</w:t>
      </w:r>
      <w:r w:rsidRPr="007F400A">
        <w:rPr>
          <w:rFonts w:ascii="Times New Roman" w:eastAsia="Calibri" w:hAnsi="Times New Roman" w:cs="Times New Roman"/>
          <w:sz w:val="24"/>
          <w:szCs w:val="24"/>
          <w:lang w:val="x-none" w:eastAsia="pl-PL"/>
        </w:rPr>
        <w:t xml:space="preserve"> zakłady)</w:t>
      </w:r>
      <w:r w:rsidRPr="007F400A">
        <w:rPr>
          <w:rFonts w:ascii="Times New Roman" w:eastAsia="Calibri" w:hAnsi="Times New Roman" w:cs="Times New Roman"/>
          <w:sz w:val="24"/>
          <w:szCs w:val="24"/>
          <w:lang w:eastAsia="pl-PL"/>
        </w:rPr>
        <w:t xml:space="preserve"> </w:t>
      </w:r>
      <w:r w:rsidRPr="007F400A">
        <w:rPr>
          <w:rFonts w:ascii="Times New Roman" w:eastAsia="Calibri" w:hAnsi="Times New Roman" w:cs="Times New Roman"/>
          <w:sz w:val="24"/>
          <w:szCs w:val="24"/>
          <w:lang w:val="x-none" w:eastAsia="pl-PL"/>
        </w:rPr>
        <w:t xml:space="preserve">- zakłady o małej uciążliwości dla środowiska - decyzja o ujęciu w planie kontroli należy do </w:t>
      </w:r>
      <w:proofErr w:type="spellStart"/>
      <w:r w:rsidRPr="007F400A">
        <w:rPr>
          <w:rFonts w:ascii="Times New Roman" w:eastAsia="Calibri" w:hAnsi="Times New Roman" w:cs="Times New Roman"/>
          <w:sz w:val="24"/>
          <w:szCs w:val="24"/>
          <w:lang w:val="x-none" w:eastAsia="pl-PL"/>
        </w:rPr>
        <w:t>wioś</w:t>
      </w:r>
      <w:proofErr w:type="spellEnd"/>
      <w:r w:rsidRPr="007F400A">
        <w:rPr>
          <w:rFonts w:ascii="Times New Roman" w:eastAsia="Calibri" w:hAnsi="Times New Roman" w:cs="Times New Roman"/>
          <w:sz w:val="24"/>
          <w:szCs w:val="24"/>
          <w:lang w:val="x-none" w:eastAsia="pl-PL"/>
        </w:rPr>
        <w:t>, przyporządkowanie zakładu do tej kategorii następuje na podstawie wyniku analizy wielokryterialnej,</w:t>
      </w:r>
    </w:p>
    <w:p w14:paraId="74F7056B" w14:textId="48377B38" w:rsidR="00C96893" w:rsidRPr="007F400A" w:rsidRDefault="00C96893" w:rsidP="00D34F97">
      <w:pPr>
        <w:numPr>
          <w:ilvl w:val="0"/>
          <w:numId w:val="62"/>
        </w:numPr>
        <w:spacing w:after="120" w:line="300" w:lineRule="atLeast"/>
        <w:ind w:left="924" w:hanging="357"/>
        <w:jc w:val="both"/>
        <w:rPr>
          <w:rFonts w:ascii="Times New Roman" w:eastAsia="Times New Roman" w:hAnsi="Times New Roman" w:cs="Times New Roman"/>
          <w:sz w:val="24"/>
          <w:szCs w:val="24"/>
          <w:lang w:val="x-none" w:eastAsia="pl-PL"/>
        </w:rPr>
      </w:pPr>
      <w:r w:rsidRPr="007F400A">
        <w:rPr>
          <w:rFonts w:ascii="Times New Roman" w:eastAsia="Times New Roman" w:hAnsi="Times New Roman" w:cs="Times New Roman"/>
          <w:sz w:val="24"/>
          <w:szCs w:val="24"/>
          <w:lang w:val="x-none" w:eastAsia="pl-PL"/>
        </w:rPr>
        <w:t>V kategoria (</w:t>
      </w:r>
      <w:r>
        <w:rPr>
          <w:rFonts w:ascii="Times New Roman" w:eastAsia="Times New Roman" w:hAnsi="Times New Roman" w:cs="Times New Roman"/>
          <w:sz w:val="24"/>
          <w:szCs w:val="24"/>
          <w:lang w:eastAsia="pl-PL"/>
        </w:rPr>
        <w:t xml:space="preserve">89 086 </w:t>
      </w:r>
      <w:r w:rsidRPr="007F400A">
        <w:rPr>
          <w:rFonts w:ascii="Times New Roman" w:eastAsia="Times New Roman" w:hAnsi="Times New Roman" w:cs="Times New Roman"/>
          <w:sz w:val="24"/>
          <w:szCs w:val="24"/>
          <w:lang w:val="x-none" w:eastAsia="pl-PL"/>
        </w:rPr>
        <w:t>zakład</w:t>
      </w:r>
      <w:r w:rsidRPr="007F400A">
        <w:rPr>
          <w:rFonts w:ascii="Times New Roman" w:eastAsia="Times New Roman" w:hAnsi="Times New Roman" w:cs="Times New Roman"/>
          <w:sz w:val="24"/>
          <w:szCs w:val="24"/>
          <w:lang w:eastAsia="pl-PL"/>
        </w:rPr>
        <w:t>ów</w:t>
      </w:r>
      <w:r w:rsidRPr="007F400A">
        <w:rPr>
          <w:rFonts w:ascii="Times New Roman" w:eastAsia="Times New Roman" w:hAnsi="Times New Roman" w:cs="Times New Roman"/>
          <w:sz w:val="24"/>
          <w:szCs w:val="24"/>
          <w:lang w:val="x-none" w:eastAsia="pl-PL"/>
        </w:rPr>
        <w:t>)</w:t>
      </w:r>
      <w:r w:rsidRPr="007F400A">
        <w:rPr>
          <w:rFonts w:ascii="Times New Roman" w:eastAsia="Times New Roman" w:hAnsi="Times New Roman" w:cs="Times New Roman"/>
          <w:sz w:val="24"/>
          <w:szCs w:val="24"/>
          <w:lang w:eastAsia="pl-PL"/>
        </w:rPr>
        <w:t xml:space="preserve"> </w:t>
      </w:r>
      <w:r w:rsidRPr="007F400A">
        <w:rPr>
          <w:rFonts w:ascii="Times New Roman" w:eastAsia="Times New Roman" w:hAnsi="Times New Roman" w:cs="Times New Roman"/>
          <w:sz w:val="24"/>
          <w:szCs w:val="24"/>
          <w:lang w:val="x-none" w:eastAsia="pl-PL"/>
        </w:rPr>
        <w:t>- zakłady o znikomej uciążliwości dla</w:t>
      </w:r>
      <w:r>
        <w:rPr>
          <w:rFonts w:ascii="Times New Roman" w:eastAsia="Times New Roman" w:hAnsi="Times New Roman" w:cs="Times New Roman"/>
          <w:sz w:val="24"/>
          <w:szCs w:val="24"/>
          <w:lang w:eastAsia="pl-PL"/>
        </w:rPr>
        <w:t> </w:t>
      </w:r>
      <w:r w:rsidRPr="007F400A">
        <w:rPr>
          <w:rFonts w:ascii="Times New Roman" w:eastAsia="Times New Roman" w:hAnsi="Times New Roman" w:cs="Times New Roman"/>
          <w:sz w:val="24"/>
          <w:szCs w:val="24"/>
          <w:lang w:val="x-none" w:eastAsia="pl-PL"/>
        </w:rPr>
        <w:t>środowiska -</w:t>
      </w:r>
      <w:r w:rsidRPr="007F400A">
        <w:rPr>
          <w:rFonts w:ascii="Times New Roman" w:eastAsia="Times New Roman" w:hAnsi="Times New Roman" w:cs="Times New Roman"/>
          <w:sz w:val="24"/>
          <w:szCs w:val="24"/>
          <w:lang w:eastAsia="pl-PL"/>
        </w:rPr>
        <w:t xml:space="preserve"> </w:t>
      </w:r>
      <w:r w:rsidRPr="007F400A">
        <w:rPr>
          <w:rFonts w:ascii="Times New Roman" w:eastAsia="Times New Roman" w:hAnsi="Times New Roman" w:cs="Times New Roman"/>
          <w:sz w:val="24"/>
          <w:szCs w:val="24"/>
          <w:lang w:val="x-none" w:eastAsia="pl-PL"/>
        </w:rPr>
        <w:t>decyzja o</w:t>
      </w:r>
      <w:r>
        <w:rPr>
          <w:rFonts w:ascii="Times New Roman" w:eastAsia="Times New Roman" w:hAnsi="Times New Roman" w:cs="Times New Roman"/>
          <w:sz w:val="24"/>
          <w:szCs w:val="24"/>
          <w:lang w:eastAsia="pl-PL"/>
        </w:rPr>
        <w:t xml:space="preserve"> </w:t>
      </w:r>
      <w:r w:rsidRPr="007F400A">
        <w:rPr>
          <w:rFonts w:ascii="Times New Roman" w:eastAsia="Times New Roman" w:hAnsi="Times New Roman" w:cs="Times New Roman"/>
          <w:sz w:val="24"/>
          <w:szCs w:val="24"/>
          <w:lang w:val="x-none" w:eastAsia="pl-PL"/>
        </w:rPr>
        <w:t xml:space="preserve">ujęciu w planie kontroli należy do </w:t>
      </w:r>
      <w:proofErr w:type="spellStart"/>
      <w:r w:rsidRPr="007F400A">
        <w:rPr>
          <w:rFonts w:ascii="Times New Roman" w:eastAsia="Times New Roman" w:hAnsi="Times New Roman" w:cs="Times New Roman"/>
          <w:sz w:val="24"/>
          <w:szCs w:val="24"/>
          <w:lang w:val="x-none" w:eastAsia="pl-PL"/>
        </w:rPr>
        <w:t>wioś</w:t>
      </w:r>
      <w:proofErr w:type="spellEnd"/>
      <w:r w:rsidRPr="007F400A">
        <w:rPr>
          <w:rFonts w:ascii="Times New Roman" w:eastAsia="Times New Roman" w:hAnsi="Times New Roman" w:cs="Times New Roman"/>
          <w:sz w:val="24"/>
          <w:szCs w:val="24"/>
          <w:lang w:val="x-none" w:eastAsia="pl-PL"/>
        </w:rPr>
        <w:t>, np. zakłady kontrolowane w zakresie: wprowadzania baterii, wprowadzania sprzętu elektrycznego</w:t>
      </w:r>
      <w:r w:rsidR="00E630FB">
        <w:rPr>
          <w:rFonts w:ascii="Times New Roman" w:eastAsia="Times New Roman" w:hAnsi="Times New Roman" w:cs="Times New Roman"/>
          <w:sz w:val="24"/>
          <w:szCs w:val="24"/>
          <w:lang w:eastAsia="pl-PL"/>
        </w:rPr>
        <w:t xml:space="preserve"> </w:t>
      </w:r>
      <w:r w:rsidRPr="007F400A">
        <w:rPr>
          <w:rFonts w:ascii="Times New Roman" w:eastAsia="Times New Roman" w:hAnsi="Times New Roman" w:cs="Times New Roman"/>
          <w:sz w:val="24"/>
          <w:szCs w:val="24"/>
          <w:lang w:val="x-none" w:eastAsia="pl-PL"/>
        </w:rPr>
        <w:t>i elektronicznego, nadzoru rynku, substancji zubożających warstwę ozonową (SZWO), niektórych fluorowanych gazów cieplarnianych (F-gazów), genetycznie zmodyfikowanych organizmów (GMO)</w:t>
      </w:r>
      <w:r>
        <w:rPr>
          <w:rFonts w:ascii="Times New Roman" w:eastAsia="Times New Roman" w:hAnsi="Times New Roman" w:cs="Times New Roman"/>
          <w:sz w:val="24"/>
          <w:szCs w:val="24"/>
          <w:lang w:eastAsia="pl-PL"/>
        </w:rPr>
        <w:t>,</w:t>
      </w:r>
      <w:r w:rsidRPr="007F400A">
        <w:rPr>
          <w:rFonts w:ascii="Times New Roman" w:eastAsia="Times New Roman" w:hAnsi="Times New Roman" w:cs="Times New Roman"/>
          <w:sz w:val="24"/>
          <w:szCs w:val="24"/>
          <w:lang w:val="x-none" w:eastAsia="pl-PL"/>
        </w:rPr>
        <w:t xml:space="preserve"> podmioty odpowiedzialne za realizację zadań określonych w programach ochrony powietrza i planach działań krótkoterminowych</w:t>
      </w:r>
      <w:r>
        <w:rPr>
          <w:rFonts w:ascii="Times New Roman" w:eastAsia="Times New Roman" w:hAnsi="Times New Roman" w:cs="Times New Roman"/>
          <w:sz w:val="24"/>
          <w:szCs w:val="24"/>
          <w:lang w:eastAsia="pl-PL"/>
        </w:rPr>
        <w:t>,</w:t>
      </w:r>
      <w:r w:rsidRPr="007F400A">
        <w:rPr>
          <w:rFonts w:ascii="Times New Roman" w:eastAsia="Times New Roman" w:hAnsi="Times New Roman" w:cs="Times New Roman"/>
          <w:sz w:val="24"/>
          <w:szCs w:val="24"/>
          <w:lang w:val="x-none" w:eastAsia="pl-PL"/>
        </w:rPr>
        <w:t xml:space="preserve"> instalacje emitujące pole elektromagnetyczne (PEM).</w:t>
      </w:r>
    </w:p>
    <w:p w14:paraId="4397C7CA" w14:textId="77777777" w:rsidR="00C96893" w:rsidRPr="007F400A" w:rsidRDefault="00C96893" w:rsidP="00E630FB">
      <w:pPr>
        <w:spacing w:after="60" w:line="300" w:lineRule="atLeast"/>
        <w:ind w:firstLine="567"/>
        <w:jc w:val="both"/>
        <w:rPr>
          <w:rFonts w:ascii="Times New Roman" w:eastAsia="Times New Roman" w:hAnsi="Times New Roman" w:cs="Times New Roman"/>
          <w:sz w:val="24"/>
          <w:szCs w:val="24"/>
        </w:rPr>
      </w:pPr>
      <w:r w:rsidRPr="007F400A">
        <w:rPr>
          <w:rFonts w:ascii="Times New Roman" w:eastAsia="Times New Roman" w:hAnsi="Times New Roman" w:cs="Times New Roman"/>
          <w:sz w:val="24"/>
          <w:szCs w:val="24"/>
        </w:rPr>
        <w:t xml:space="preserve">Inspekcja Ochrony Środowiska klasyfikuje każdy kontrolowany zakład i przydziela do właściwej grupy i kategorii zakładów przy użyciu narzędzia zwanego analizą wielokryterialną, co ma następnie odzwierciedlenie w częstotliwości kontroli. Częstotliwość kontroli określana jest w oparciu o wynik wielokryterialnej oceny ryzyka uwzględniającej następujące elementy: </w:t>
      </w:r>
    </w:p>
    <w:p w14:paraId="30D87C35" w14:textId="77777777" w:rsidR="00C96893" w:rsidRPr="007F400A" w:rsidRDefault="00C96893" w:rsidP="00D34F97">
      <w:pPr>
        <w:numPr>
          <w:ilvl w:val="0"/>
          <w:numId w:val="61"/>
        </w:numPr>
        <w:spacing w:after="6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ryzyko wystąpienia poważnej awarii przemysłowej w związku z prowadzoną działalnością,</w:t>
      </w:r>
    </w:p>
    <w:p w14:paraId="7C21BF56" w14:textId="77777777" w:rsidR="00C96893" w:rsidRPr="007F400A" w:rsidRDefault="00C96893" w:rsidP="00D34F97">
      <w:pPr>
        <w:numPr>
          <w:ilvl w:val="0"/>
          <w:numId w:val="61"/>
        </w:numPr>
        <w:spacing w:after="6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skala oddziaływania na środowisko (rodzaj przedsięwzięcia lub instalacji, wprowadzanie ścieków do wód, do ziemi lub do urządzeń kanalizacyjnych należących do innego podmiotu, emisja pyłów lub gazów do powietrza, wytwarzanie odpadów niebezpiecznych lub innych niż niebezpieczne, emisja hałasu do</w:t>
      </w:r>
      <w:r>
        <w:rPr>
          <w:rFonts w:ascii="Times New Roman" w:eastAsia="Calibri" w:hAnsi="Times New Roman" w:cs="Times New Roman"/>
          <w:sz w:val="24"/>
          <w:szCs w:val="24"/>
          <w:lang w:eastAsia="pl-PL"/>
        </w:rPr>
        <w:t> </w:t>
      </w:r>
      <w:r w:rsidRPr="007F400A">
        <w:rPr>
          <w:rFonts w:ascii="Times New Roman" w:eastAsia="Calibri" w:hAnsi="Times New Roman" w:cs="Times New Roman"/>
          <w:sz w:val="24"/>
          <w:szCs w:val="24"/>
          <w:lang w:val="x-none" w:eastAsia="pl-PL"/>
        </w:rPr>
        <w:t>środowiska, pobór wody podziemnej lub powierzchniowej),</w:t>
      </w:r>
    </w:p>
    <w:p w14:paraId="35B64E63" w14:textId="77777777" w:rsidR="00C96893" w:rsidRPr="007F400A" w:rsidRDefault="00C96893" w:rsidP="00D34F97">
      <w:pPr>
        <w:numPr>
          <w:ilvl w:val="0"/>
          <w:numId w:val="61"/>
        </w:numPr>
        <w:spacing w:after="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zastosowanie zabezpieczeń (wyposażenie w instalacje chroniące środowisko przed zanieczyszczeniem),</w:t>
      </w:r>
    </w:p>
    <w:p w14:paraId="2DEA0774" w14:textId="77777777" w:rsidR="00C96893" w:rsidRPr="007F400A" w:rsidRDefault="00C96893" w:rsidP="00D34F97">
      <w:pPr>
        <w:numPr>
          <w:ilvl w:val="0"/>
          <w:numId w:val="61"/>
        </w:numPr>
        <w:spacing w:after="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wrażliwość otoczenia zakładu (lokalizacja, stan środowiska, częstotliwość wniosków o interwencję),</w:t>
      </w:r>
    </w:p>
    <w:p w14:paraId="062CBEAB" w14:textId="77777777" w:rsidR="00C96893" w:rsidRPr="007F400A" w:rsidRDefault="00C96893" w:rsidP="00D34F97">
      <w:pPr>
        <w:numPr>
          <w:ilvl w:val="0"/>
          <w:numId w:val="61"/>
        </w:numPr>
        <w:spacing w:after="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wyniki ostatniej kontroli w zakładzie (stwierdzone naruszenia).</w:t>
      </w:r>
    </w:p>
    <w:p w14:paraId="49A12D16" w14:textId="77777777" w:rsidR="00C96893" w:rsidRPr="007F400A" w:rsidRDefault="00C96893" w:rsidP="00056EE7">
      <w:pPr>
        <w:spacing w:line="300" w:lineRule="atLeast"/>
        <w:ind w:left="720"/>
        <w:contextualSpacing/>
        <w:jc w:val="center"/>
        <w:rPr>
          <w:b/>
          <w:bCs/>
          <w:szCs w:val="24"/>
        </w:rPr>
      </w:pPr>
      <w:r>
        <w:rPr>
          <w:noProof/>
          <w:lang w:eastAsia="pl-PL"/>
        </w:rPr>
        <w:lastRenderedPageBreak/>
        <w:drawing>
          <wp:inline distT="0" distB="0" distL="0" distR="0" wp14:anchorId="5CE82D7F" wp14:editId="62AC978C">
            <wp:extent cx="4257675" cy="3171825"/>
            <wp:effectExtent l="0" t="0" r="9525" b="9525"/>
            <wp:docPr id="494" name="Wykres 494" descr="Liczba zakładów w ewidencji Inspekcji Ochrony Środowiska w 2021 r. i 2022 r. w podziale na kategorie ryzyka zakładów">
              <a:extLst xmlns:a="http://schemas.openxmlformats.org/drawingml/2006/main">
                <a:ext uri="{FF2B5EF4-FFF2-40B4-BE49-F238E27FC236}">
                  <a16:creationId xmlns:a16="http://schemas.microsoft.com/office/drawing/2014/main" id="{20444840-196B-426B-8B54-469E10173A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474B7025" w14:textId="77777777" w:rsidR="00C96893" w:rsidRPr="007F400A" w:rsidRDefault="00C96893" w:rsidP="00056EE7">
      <w:pPr>
        <w:spacing w:line="300" w:lineRule="atLeast"/>
        <w:jc w:val="center"/>
        <w:rPr>
          <w:rFonts w:ascii="Times New Roman" w:hAnsi="Times New Roman" w:cs="Times New Roman"/>
          <w:b/>
          <w:bCs/>
          <w:szCs w:val="24"/>
        </w:rPr>
      </w:pPr>
      <w:r w:rsidRPr="007F400A">
        <w:rPr>
          <w:rFonts w:ascii="Times New Roman" w:hAnsi="Times New Roman" w:cs="Times New Roman"/>
          <w:b/>
          <w:bCs/>
          <w:szCs w:val="24"/>
        </w:rPr>
        <w:t xml:space="preserve">Wykres 1. Liczba zakładów w ewidencji Inspekcji Ochrony Środowiska w </w:t>
      </w:r>
      <w:r>
        <w:rPr>
          <w:rFonts w:ascii="Times New Roman" w:hAnsi="Times New Roman" w:cs="Times New Roman"/>
          <w:b/>
          <w:bCs/>
          <w:szCs w:val="24"/>
        </w:rPr>
        <w:t>2021</w:t>
      </w:r>
      <w:r w:rsidRPr="007F400A">
        <w:rPr>
          <w:rFonts w:ascii="Times New Roman" w:hAnsi="Times New Roman" w:cs="Times New Roman"/>
          <w:b/>
          <w:bCs/>
          <w:szCs w:val="24"/>
        </w:rPr>
        <w:t xml:space="preserve"> r. i </w:t>
      </w:r>
      <w:r>
        <w:rPr>
          <w:rFonts w:ascii="Times New Roman" w:hAnsi="Times New Roman" w:cs="Times New Roman"/>
          <w:b/>
          <w:bCs/>
          <w:szCs w:val="24"/>
        </w:rPr>
        <w:t>2022</w:t>
      </w:r>
      <w:r w:rsidRPr="007F400A">
        <w:rPr>
          <w:rFonts w:ascii="Times New Roman" w:hAnsi="Times New Roman" w:cs="Times New Roman"/>
          <w:b/>
          <w:bCs/>
          <w:szCs w:val="24"/>
        </w:rPr>
        <w:t xml:space="preserve"> r. w podziale na kategorie ryzyka zakładów</w:t>
      </w:r>
    </w:p>
    <w:p w14:paraId="341A1C66" w14:textId="77777777" w:rsidR="00C96893" w:rsidRPr="007F400A" w:rsidRDefault="00C96893" w:rsidP="00056EE7">
      <w:pPr>
        <w:spacing w:line="300" w:lineRule="atLeast"/>
        <w:jc w:val="center"/>
        <w:rPr>
          <w:rFonts w:eastAsia="Times New Roman"/>
          <w:sz w:val="24"/>
          <w:szCs w:val="24"/>
        </w:rPr>
      </w:pPr>
      <w:r>
        <w:rPr>
          <w:noProof/>
          <w:lang w:eastAsia="pl-PL"/>
        </w:rPr>
        <w:drawing>
          <wp:inline distT="0" distB="0" distL="0" distR="0" wp14:anchorId="245764F4" wp14:editId="29C7AF81">
            <wp:extent cx="5760720" cy="3171825"/>
            <wp:effectExtent l="0" t="0" r="11430" b="9525"/>
            <wp:docPr id="9" name="Wykres 9" descr="Liczba zakładów w ewidencji Inspekcji Ochrony Środowiska w 2022 r. według województw w podziale na kategorie ryzyka">
              <a:extLst xmlns:a="http://schemas.openxmlformats.org/drawingml/2006/main">
                <a:ext uri="{FF2B5EF4-FFF2-40B4-BE49-F238E27FC236}">
                  <a16:creationId xmlns:a16="http://schemas.microsoft.com/office/drawing/2014/main" id="{FFD5BA2E-6681-4643-BD7F-5A375AF3B5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68C0508A" w14:textId="77777777" w:rsidR="00C96893" w:rsidRPr="007F400A" w:rsidRDefault="00C96893" w:rsidP="00056EE7">
      <w:pPr>
        <w:spacing w:after="0" w:line="300" w:lineRule="atLeast"/>
        <w:jc w:val="center"/>
        <w:rPr>
          <w:rFonts w:ascii="Times New Roman" w:hAnsi="Times New Roman" w:cs="Times New Roman"/>
          <w:b/>
          <w:bCs/>
        </w:rPr>
      </w:pPr>
      <w:r w:rsidRPr="007F400A">
        <w:rPr>
          <w:rFonts w:ascii="Times New Roman" w:hAnsi="Times New Roman" w:cs="Times New Roman"/>
          <w:b/>
          <w:bCs/>
          <w:szCs w:val="24"/>
        </w:rPr>
        <w:t xml:space="preserve">Wykres 2. </w:t>
      </w:r>
      <w:r w:rsidRPr="007F400A">
        <w:rPr>
          <w:rFonts w:ascii="Times New Roman" w:hAnsi="Times New Roman" w:cs="Times New Roman"/>
          <w:b/>
          <w:bCs/>
        </w:rPr>
        <w:t xml:space="preserve">Liczba zakładów w ewidencji Inspekcji Ochrony Środowiska w </w:t>
      </w:r>
      <w:r>
        <w:rPr>
          <w:rFonts w:ascii="Times New Roman" w:hAnsi="Times New Roman" w:cs="Times New Roman"/>
          <w:b/>
          <w:bCs/>
        </w:rPr>
        <w:t>2022</w:t>
      </w:r>
      <w:r w:rsidRPr="007F400A">
        <w:rPr>
          <w:rFonts w:ascii="Times New Roman" w:hAnsi="Times New Roman" w:cs="Times New Roman"/>
          <w:b/>
          <w:bCs/>
        </w:rPr>
        <w:t xml:space="preserve"> r. według województw w podziale na kategorie ryzyka</w:t>
      </w:r>
    </w:p>
    <w:p w14:paraId="5EF9A945" w14:textId="77777777" w:rsidR="00C96893" w:rsidRPr="007F400A" w:rsidRDefault="00C96893" w:rsidP="006222A5">
      <w:pPr>
        <w:spacing w:after="0" w:line="300" w:lineRule="atLeast"/>
        <w:ind w:firstLine="567"/>
        <w:jc w:val="both"/>
        <w:rPr>
          <w:rFonts w:ascii="Times New Roman" w:eastAsia="Times New Roman" w:hAnsi="Times New Roman" w:cs="Times New Roman"/>
          <w:sz w:val="24"/>
          <w:szCs w:val="24"/>
        </w:rPr>
      </w:pPr>
      <w:r w:rsidRPr="007F400A">
        <w:rPr>
          <w:rFonts w:ascii="Times New Roman" w:eastAsia="Times New Roman" w:hAnsi="Times New Roman" w:cs="Times New Roman"/>
          <w:sz w:val="24"/>
          <w:szCs w:val="24"/>
        </w:rPr>
        <w:t>Najwięcej zakładów z I kategorii znajduje się w woj. mazowieckim (</w:t>
      </w:r>
      <w:r>
        <w:rPr>
          <w:rFonts w:ascii="Times New Roman" w:eastAsia="Times New Roman" w:hAnsi="Times New Roman" w:cs="Times New Roman"/>
          <w:sz w:val="24"/>
          <w:szCs w:val="24"/>
        </w:rPr>
        <w:t>108</w:t>
      </w:r>
      <w:r w:rsidRPr="007F400A">
        <w:rPr>
          <w:rFonts w:ascii="Times New Roman" w:eastAsia="Times New Roman" w:hAnsi="Times New Roman" w:cs="Times New Roman"/>
          <w:sz w:val="24"/>
          <w:szCs w:val="24"/>
        </w:rPr>
        <w:t>), wielkopolskim (</w:t>
      </w:r>
      <w:r>
        <w:rPr>
          <w:rFonts w:ascii="Times New Roman" w:eastAsia="Times New Roman" w:hAnsi="Times New Roman" w:cs="Times New Roman"/>
          <w:sz w:val="24"/>
          <w:szCs w:val="24"/>
        </w:rPr>
        <w:t>71</w:t>
      </w:r>
      <w:r w:rsidRPr="007F400A">
        <w:rPr>
          <w:rFonts w:ascii="Times New Roman" w:eastAsia="Times New Roman" w:hAnsi="Times New Roman" w:cs="Times New Roman"/>
          <w:sz w:val="24"/>
          <w:szCs w:val="24"/>
        </w:rPr>
        <w:t>) oraz dolnośląskim (</w:t>
      </w:r>
      <w:r>
        <w:rPr>
          <w:rFonts w:ascii="Times New Roman" w:eastAsia="Times New Roman" w:hAnsi="Times New Roman" w:cs="Times New Roman"/>
          <w:sz w:val="24"/>
          <w:szCs w:val="24"/>
        </w:rPr>
        <w:t>64</w:t>
      </w:r>
      <w:r w:rsidRPr="007F400A">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7F400A">
        <w:rPr>
          <w:rFonts w:ascii="Times New Roman" w:eastAsia="Times New Roman" w:hAnsi="Times New Roman" w:cs="Times New Roman"/>
          <w:sz w:val="24"/>
          <w:szCs w:val="24"/>
        </w:rPr>
        <w:t xml:space="preserve"> najmniej na terenie woj. </w:t>
      </w:r>
      <w:r>
        <w:rPr>
          <w:rFonts w:ascii="Times New Roman" w:eastAsia="Times New Roman" w:hAnsi="Times New Roman" w:cs="Times New Roman"/>
          <w:sz w:val="24"/>
          <w:szCs w:val="24"/>
        </w:rPr>
        <w:t>świętokrzyskiego</w:t>
      </w:r>
      <w:r w:rsidRPr="007F400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16</w:t>
      </w:r>
      <w:r w:rsidRPr="007F400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opolskiego (20),</w:t>
      </w:r>
      <w:r w:rsidRPr="007F400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podlaskiego</w:t>
      </w:r>
      <w:r w:rsidRPr="007F400A">
        <w:rPr>
          <w:rFonts w:ascii="Times New Roman" w:eastAsia="Times New Roman" w:hAnsi="Times New Roman" w:cs="Times New Roman"/>
          <w:sz w:val="24"/>
          <w:szCs w:val="24"/>
        </w:rPr>
        <w:t xml:space="preserve"> (2</w:t>
      </w:r>
      <w:r>
        <w:rPr>
          <w:rFonts w:ascii="Times New Roman" w:eastAsia="Times New Roman" w:hAnsi="Times New Roman" w:cs="Times New Roman"/>
          <w:sz w:val="24"/>
          <w:szCs w:val="24"/>
        </w:rPr>
        <w:t>5</w:t>
      </w:r>
      <w:r w:rsidRPr="007F400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warmińsko-mazurskiego</w:t>
      </w:r>
      <w:r w:rsidRPr="007F400A">
        <w:rPr>
          <w:rFonts w:ascii="Times New Roman" w:eastAsia="Times New Roman" w:hAnsi="Times New Roman" w:cs="Times New Roman"/>
          <w:sz w:val="24"/>
          <w:szCs w:val="24"/>
        </w:rPr>
        <w:t xml:space="preserve"> (27)</w:t>
      </w:r>
      <w:r>
        <w:rPr>
          <w:rFonts w:ascii="Times New Roman" w:eastAsia="Times New Roman" w:hAnsi="Times New Roman" w:cs="Times New Roman"/>
          <w:sz w:val="24"/>
          <w:szCs w:val="24"/>
        </w:rPr>
        <w:t xml:space="preserve"> oraz</w:t>
      </w:r>
      <w:r w:rsidRPr="007F400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lubelskiego</w:t>
      </w:r>
      <w:r w:rsidRPr="007F400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30)</w:t>
      </w:r>
      <w:r w:rsidRPr="007F400A">
        <w:rPr>
          <w:rFonts w:ascii="Times New Roman" w:eastAsia="Times New Roman" w:hAnsi="Times New Roman" w:cs="Times New Roman"/>
          <w:sz w:val="24"/>
          <w:szCs w:val="24"/>
        </w:rPr>
        <w:t>. Zakłady II kategorii najliczniej występują na</w:t>
      </w:r>
      <w:r>
        <w:rPr>
          <w:rFonts w:ascii="Times New Roman" w:eastAsia="Times New Roman" w:hAnsi="Times New Roman" w:cs="Times New Roman"/>
          <w:sz w:val="24"/>
          <w:szCs w:val="24"/>
        </w:rPr>
        <w:t xml:space="preserve"> </w:t>
      </w:r>
      <w:r w:rsidRPr="007F400A">
        <w:rPr>
          <w:rFonts w:ascii="Times New Roman" w:eastAsia="Times New Roman" w:hAnsi="Times New Roman" w:cs="Times New Roman"/>
          <w:sz w:val="24"/>
          <w:szCs w:val="24"/>
        </w:rPr>
        <w:t xml:space="preserve">terenie woj. </w:t>
      </w:r>
      <w:r>
        <w:rPr>
          <w:rFonts w:ascii="Times New Roman" w:eastAsia="Times New Roman" w:hAnsi="Times New Roman" w:cs="Times New Roman"/>
          <w:sz w:val="24"/>
          <w:szCs w:val="24"/>
        </w:rPr>
        <w:t>mazowieckiego</w:t>
      </w:r>
      <w:r w:rsidRPr="007F400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416</w:t>
      </w:r>
      <w:r w:rsidRPr="007F400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wielkopolskiego</w:t>
      </w:r>
      <w:r w:rsidRPr="007F400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342</w:t>
      </w:r>
      <w:r w:rsidRPr="007F400A">
        <w:rPr>
          <w:rFonts w:ascii="Times New Roman" w:eastAsia="Times New Roman" w:hAnsi="Times New Roman" w:cs="Times New Roman"/>
          <w:sz w:val="24"/>
          <w:szCs w:val="24"/>
        </w:rPr>
        <w:t>) oraz</w:t>
      </w:r>
      <w:r>
        <w:rPr>
          <w:rFonts w:ascii="Times New Roman" w:eastAsia="Times New Roman" w:hAnsi="Times New Roman" w:cs="Times New Roman"/>
          <w:sz w:val="24"/>
          <w:szCs w:val="24"/>
        </w:rPr>
        <w:t> łódzkiego</w:t>
      </w:r>
      <w:r w:rsidRPr="007F400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266</w:t>
      </w:r>
      <w:r w:rsidRPr="007F400A">
        <w:rPr>
          <w:rFonts w:ascii="Times New Roman" w:eastAsia="Times New Roman" w:hAnsi="Times New Roman" w:cs="Times New Roman"/>
          <w:sz w:val="24"/>
          <w:szCs w:val="24"/>
        </w:rPr>
        <w:t xml:space="preserve">), natomiast najmniej jest ich w woj. </w:t>
      </w:r>
      <w:r>
        <w:rPr>
          <w:rFonts w:ascii="Times New Roman" w:eastAsia="Times New Roman" w:hAnsi="Times New Roman" w:cs="Times New Roman"/>
          <w:sz w:val="24"/>
          <w:szCs w:val="24"/>
        </w:rPr>
        <w:t>lubuskim</w:t>
      </w:r>
      <w:r w:rsidRPr="007F400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33</w:t>
      </w:r>
      <w:r w:rsidRPr="007F400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warmińsko-mazurskim</w:t>
      </w:r>
      <w:r w:rsidRPr="007F400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45</w:t>
      </w:r>
      <w:r w:rsidRPr="007F400A">
        <w:rPr>
          <w:rFonts w:ascii="Times New Roman" w:eastAsia="Times New Roman" w:hAnsi="Times New Roman" w:cs="Times New Roman"/>
          <w:sz w:val="24"/>
          <w:szCs w:val="24"/>
        </w:rPr>
        <w:t xml:space="preserve">) oraz </w:t>
      </w:r>
      <w:r>
        <w:rPr>
          <w:rFonts w:ascii="Times New Roman" w:eastAsia="Times New Roman" w:hAnsi="Times New Roman" w:cs="Times New Roman"/>
          <w:sz w:val="24"/>
          <w:szCs w:val="24"/>
        </w:rPr>
        <w:t>lubelskim</w:t>
      </w:r>
      <w:r w:rsidRPr="007F400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54</w:t>
      </w:r>
      <w:r w:rsidRPr="007F400A">
        <w:rPr>
          <w:rFonts w:ascii="Times New Roman" w:eastAsia="Times New Roman" w:hAnsi="Times New Roman" w:cs="Times New Roman"/>
          <w:sz w:val="24"/>
          <w:szCs w:val="24"/>
        </w:rPr>
        <w:t>). Największa liczba zakładów z III, IV i V kategorii znajduje się w</w:t>
      </w:r>
      <w:r>
        <w:rPr>
          <w:rFonts w:ascii="Times New Roman" w:eastAsia="Times New Roman" w:hAnsi="Times New Roman" w:cs="Times New Roman"/>
          <w:sz w:val="24"/>
          <w:szCs w:val="24"/>
        </w:rPr>
        <w:t> </w:t>
      </w:r>
      <w:r w:rsidRPr="007F400A">
        <w:rPr>
          <w:rFonts w:ascii="Times New Roman" w:eastAsia="Times New Roman" w:hAnsi="Times New Roman" w:cs="Times New Roman"/>
          <w:sz w:val="24"/>
          <w:szCs w:val="24"/>
        </w:rPr>
        <w:t>woj.</w:t>
      </w:r>
      <w:r>
        <w:rPr>
          <w:rFonts w:ascii="Times New Roman" w:eastAsia="Times New Roman" w:hAnsi="Times New Roman" w:cs="Times New Roman"/>
          <w:sz w:val="24"/>
          <w:szCs w:val="24"/>
        </w:rPr>
        <w:t> </w:t>
      </w:r>
      <w:r w:rsidRPr="007F400A">
        <w:rPr>
          <w:rFonts w:ascii="Times New Roman" w:eastAsia="Times New Roman" w:hAnsi="Times New Roman" w:cs="Times New Roman"/>
          <w:sz w:val="24"/>
          <w:szCs w:val="24"/>
        </w:rPr>
        <w:t>mazowieckim.</w:t>
      </w:r>
    </w:p>
    <w:p w14:paraId="2ADF9289" w14:textId="77777777" w:rsidR="00C96893" w:rsidRPr="007F400A" w:rsidRDefault="00C96893" w:rsidP="006222A5">
      <w:pPr>
        <w:spacing w:after="60" w:line="300" w:lineRule="atLeast"/>
        <w:ind w:firstLine="567"/>
        <w:jc w:val="both"/>
        <w:rPr>
          <w:rFonts w:ascii="Times New Roman" w:eastAsia="Times New Roman" w:hAnsi="Times New Roman" w:cs="Times New Roman"/>
          <w:b/>
          <w:bCs/>
          <w:szCs w:val="24"/>
        </w:rPr>
      </w:pPr>
      <w:r w:rsidRPr="007F400A">
        <w:rPr>
          <w:rFonts w:ascii="Times New Roman" w:eastAsia="Times New Roman" w:hAnsi="Times New Roman" w:cs="Times New Roman"/>
          <w:sz w:val="24"/>
          <w:szCs w:val="24"/>
        </w:rPr>
        <w:lastRenderedPageBreak/>
        <w:t>Na podstawie wytycznych Głównego Inspektora Ochrony Środowiska wojewódzcy inspektorzy ochrony środowiska sporządzili roczne plany kontroli zakładów.</w:t>
      </w:r>
    </w:p>
    <w:p w14:paraId="5E055CC5" w14:textId="77777777" w:rsidR="00C96893" w:rsidRPr="007F400A" w:rsidRDefault="00C96893" w:rsidP="00056EE7">
      <w:pPr>
        <w:spacing w:line="300" w:lineRule="atLeast"/>
        <w:jc w:val="center"/>
        <w:rPr>
          <w:rFonts w:eastAsia="Times New Roman"/>
          <w:b/>
          <w:bCs/>
          <w:szCs w:val="24"/>
        </w:rPr>
      </w:pPr>
      <w:r w:rsidRPr="00406E9F">
        <w:rPr>
          <w:noProof/>
        </w:rPr>
        <w:t xml:space="preserve"> </w:t>
      </w:r>
      <w:r>
        <w:rPr>
          <w:noProof/>
          <w:lang w:eastAsia="pl-PL"/>
        </w:rPr>
        <w:drawing>
          <wp:inline distT="0" distB="0" distL="0" distR="0" wp14:anchorId="7877666D" wp14:editId="5846C156">
            <wp:extent cx="5760720" cy="3553460"/>
            <wp:effectExtent l="0" t="0" r="11430" b="8890"/>
            <wp:docPr id="495" name="Wykres 495" descr="Liczba zakładów zaplanowanych do kontroli z wyjazdem w teren, według województw w podziale na kategorie ryzyka w 2022 r.">
              <a:extLst xmlns:a="http://schemas.openxmlformats.org/drawingml/2006/main">
                <a:ext uri="{FF2B5EF4-FFF2-40B4-BE49-F238E27FC236}">
                  <a16:creationId xmlns:a16="http://schemas.microsoft.com/office/drawing/2014/main" id="{201EC7B1-A68C-4B56-97C9-6E846F75CD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0EC4EAF4" w14:textId="77777777" w:rsidR="00C96893" w:rsidRPr="007F400A" w:rsidRDefault="00C96893" w:rsidP="00056EE7">
      <w:pPr>
        <w:spacing w:after="120" w:line="300" w:lineRule="atLeast"/>
        <w:jc w:val="center"/>
        <w:rPr>
          <w:rFonts w:ascii="Times New Roman" w:eastAsia="Times New Roman" w:hAnsi="Times New Roman" w:cs="Times New Roman"/>
          <w:b/>
          <w:bCs/>
        </w:rPr>
      </w:pPr>
      <w:r w:rsidRPr="007F400A">
        <w:rPr>
          <w:rFonts w:eastAsia="Times New Roman"/>
          <w:b/>
          <w:bCs/>
          <w:szCs w:val="24"/>
        </w:rPr>
        <w:t xml:space="preserve"> </w:t>
      </w:r>
      <w:r w:rsidRPr="007F400A">
        <w:rPr>
          <w:rFonts w:ascii="Times New Roman" w:hAnsi="Times New Roman" w:cs="Times New Roman"/>
          <w:b/>
          <w:bCs/>
        </w:rPr>
        <w:t xml:space="preserve">Wykres 3. </w:t>
      </w:r>
      <w:r w:rsidRPr="007F400A">
        <w:rPr>
          <w:rFonts w:ascii="Times New Roman" w:eastAsia="Times New Roman" w:hAnsi="Times New Roman" w:cs="Times New Roman"/>
          <w:b/>
          <w:bCs/>
        </w:rPr>
        <w:t xml:space="preserve">Liczba zakładów zaplanowanych do kontroli z wyjazdem w teren, według województw w podziale na kategorie ryzyka w </w:t>
      </w:r>
      <w:r>
        <w:rPr>
          <w:rFonts w:ascii="Times New Roman" w:eastAsia="Times New Roman" w:hAnsi="Times New Roman" w:cs="Times New Roman"/>
          <w:b/>
          <w:bCs/>
        </w:rPr>
        <w:t xml:space="preserve">2022 </w:t>
      </w:r>
      <w:r w:rsidRPr="007F400A">
        <w:rPr>
          <w:rFonts w:ascii="Times New Roman" w:eastAsia="Times New Roman" w:hAnsi="Times New Roman" w:cs="Times New Roman"/>
          <w:b/>
          <w:bCs/>
        </w:rPr>
        <w:t>r.</w:t>
      </w:r>
    </w:p>
    <w:p w14:paraId="4681114A" w14:textId="33765002" w:rsidR="00895F16" w:rsidRPr="007F400A" w:rsidRDefault="00C96893" w:rsidP="006222A5">
      <w:pPr>
        <w:spacing w:after="0" w:line="300" w:lineRule="atLeast"/>
        <w:ind w:firstLine="567"/>
        <w:jc w:val="both"/>
        <w:rPr>
          <w:rFonts w:ascii="Times New Roman" w:eastAsia="Times New Roman" w:hAnsi="Times New Roman" w:cs="Times New Roman"/>
          <w:sz w:val="24"/>
          <w:szCs w:val="24"/>
          <w:lang w:eastAsia="pl-PL"/>
        </w:rPr>
      </w:pPr>
      <w:r w:rsidRPr="007F400A">
        <w:rPr>
          <w:rFonts w:ascii="Times New Roman" w:eastAsia="Times New Roman" w:hAnsi="Times New Roman" w:cs="Times New Roman"/>
          <w:sz w:val="24"/>
          <w:szCs w:val="24"/>
        </w:rPr>
        <w:t xml:space="preserve">Największą liczbę kontroli zaplanowano w zakładach </w:t>
      </w:r>
      <w:r>
        <w:rPr>
          <w:rFonts w:ascii="Times New Roman" w:eastAsia="Times New Roman" w:hAnsi="Times New Roman" w:cs="Times New Roman"/>
          <w:sz w:val="24"/>
          <w:szCs w:val="24"/>
        </w:rPr>
        <w:t>V</w:t>
      </w:r>
      <w:r w:rsidRPr="007F400A">
        <w:rPr>
          <w:rFonts w:ascii="Times New Roman" w:eastAsia="Times New Roman" w:hAnsi="Times New Roman" w:cs="Times New Roman"/>
          <w:sz w:val="24"/>
          <w:szCs w:val="24"/>
        </w:rPr>
        <w:t xml:space="preserve"> kategorii; zakłady tej</w:t>
      </w:r>
      <w:r>
        <w:rPr>
          <w:rFonts w:ascii="Times New Roman" w:eastAsia="Times New Roman" w:hAnsi="Times New Roman" w:cs="Times New Roman"/>
          <w:sz w:val="24"/>
          <w:szCs w:val="24"/>
        </w:rPr>
        <w:t xml:space="preserve"> </w:t>
      </w:r>
      <w:r w:rsidRPr="007F400A">
        <w:rPr>
          <w:rFonts w:ascii="Times New Roman" w:eastAsia="Times New Roman" w:hAnsi="Times New Roman" w:cs="Times New Roman"/>
          <w:sz w:val="24"/>
          <w:szCs w:val="24"/>
        </w:rPr>
        <w:t xml:space="preserve">kategorii, obok zakładów </w:t>
      </w:r>
      <w:r>
        <w:rPr>
          <w:rFonts w:ascii="Times New Roman" w:eastAsia="Times New Roman" w:hAnsi="Times New Roman" w:cs="Times New Roman"/>
          <w:sz w:val="24"/>
          <w:szCs w:val="24"/>
        </w:rPr>
        <w:t>I</w:t>
      </w:r>
      <w:r w:rsidRPr="007F400A">
        <w:rPr>
          <w:rFonts w:ascii="Times New Roman" w:eastAsia="Times New Roman" w:hAnsi="Times New Roman" w:cs="Times New Roman"/>
          <w:sz w:val="24"/>
          <w:szCs w:val="24"/>
        </w:rPr>
        <w:t>V kategorii, stanowią najliczniejszą grupę zakładów</w:t>
      </w:r>
      <w:r w:rsidR="00895F16" w:rsidRPr="007F400A">
        <w:rPr>
          <w:rFonts w:ascii="Times New Roman" w:eastAsia="Times New Roman" w:hAnsi="Times New Roman" w:cs="Times New Roman"/>
          <w:sz w:val="24"/>
          <w:szCs w:val="24"/>
        </w:rPr>
        <w:t>.</w:t>
      </w:r>
    </w:p>
    <w:p w14:paraId="6081248A" w14:textId="77777777" w:rsidR="00895F16" w:rsidRPr="007F400A" w:rsidRDefault="00895F16" w:rsidP="00056EE7">
      <w:pPr>
        <w:spacing w:after="0" w:line="300" w:lineRule="atLeast"/>
        <w:ind w:firstLine="708"/>
        <w:jc w:val="both"/>
        <w:rPr>
          <w:rFonts w:ascii="Times New Roman" w:eastAsia="Times New Roman" w:hAnsi="Times New Roman" w:cs="Times New Roman"/>
          <w:sz w:val="24"/>
          <w:szCs w:val="24"/>
          <w:lang w:eastAsia="pl-PL"/>
        </w:rPr>
      </w:pPr>
    </w:p>
    <w:p w14:paraId="5563A81C" w14:textId="77777777" w:rsidR="00895F16" w:rsidRPr="007F400A" w:rsidRDefault="00895F16" w:rsidP="006222A5">
      <w:pPr>
        <w:keepNext/>
        <w:spacing w:after="120" w:line="300" w:lineRule="atLeast"/>
        <w:jc w:val="both"/>
        <w:outlineLvl w:val="0"/>
        <w:rPr>
          <w:rFonts w:ascii="Times New Roman" w:eastAsia="Times New Roman" w:hAnsi="Times New Roman" w:cs="Times New Roman"/>
          <w:b/>
          <w:bCs/>
          <w:sz w:val="24"/>
          <w:szCs w:val="24"/>
          <w:lang w:val="x-none" w:eastAsia="x-none"/>
        </w:rPr>
      </w:pPr>
      <w:bookmarkStart w:id="28" w:name="_Toc515437509"/>
      <w:bookmarkStart w:id="29" w:name="_Toc515437827"/>
      <w:bookmarkStart w:id="30" w:name="_Toc5878528"/>
      <w:bookmarkStart w:id="31" w:name="_Toc36732550"/>
      <w:bookmarkStart w:id="32" w:name="_Toc135935577"/>
      <w:r w:rsidRPr="007F400A">
        <w:rPr>
          <w:rFonts w:ascii="Times New Roman" w:eastAsia="Times New Roman" w:hAnsi="Times New Roman" w:cs="Times New Roman"/>
          <w:b/>
          <w:bCs/>
          <w:sz w:val="24"/>
          <w:szCs w:val="24"/>
          <w:lang w:val="x-none" w:eastAsia="x-none"/>
        </w:rPr>
        <w:t>2.2 Liczba przeprowadzonych kontroli</w:t>
      </w:r>
      <w:bookmarkEnd w:id="28"/>
      <w:bookmarkEnd w:id="29"/>
      <w:bookmarkEnd w:id="30"/>
      <w:bookmarkEnd w:id="31"/>
      <w:bookmarkEnd w:id="32"/>
    </w:p>
    <w:p w14:paraId="74D8738C" w14:textId="77777777" w:rsidR="00C96893" w:rsidRPr="007F400A" w:rsidRDefault="00C96893" w:rsidP="006222A5">
      <w:pPr>
        <w:spacing w:after="60" w:line="300" w:lineRule="atLeast"/>
        <w:ind w:firstLine="567"/>
        <w:jc w:val="both"/>
        <w:rPr>
          <w:rFonts w:ascii="Times New Roman" w:eastAsia="Times New Roman" w:hAnsi="Times New Roman" w:cs="Times New Roman"/>
          <w:sz w:val="24"/>
          <w:szCs w:val="24"/>
        </w:rPr>
      </w:pPr>
      <w:r w:rsidRPr="007F400A">
        <w:rPr>
          <w:rFonts w:ascii="Times New Roman" w:eastAsia="Times New Roman" w:hAnsi="Times New Roman" w:cs="Times New Roman"/>
          <w:sz w:val="24"/>
          <w:szCs w:val="24"/>
        </w:rPr>
        <w:t xml:space="preserve">W </w:t>
      </w:r>
      <w:r>
        <w:rPr>
          <w:rFonts w:ascii="Times New Roman" w:eastAsia="Times New Roman" w:hAnsi="Times New Roman" w:cs="Times New Roman"/>
          <w:sz w:val="24"/>
          <w:szCs w:val="24"/>
        </w:rPr>
        <w:t>2022</w:t>
      </w:r>
      <w:r w:rsidRPr="007F400A">
        <w:rPr>
          <w:rFonts w:ascii="Times New Roman" w:eastAsia="Times New Roman" w:hAnsi="Times New Roman" w:cs="Times New Roman"/>
          <w:sz w:val="24"/>
          <w:szCs w:val="24"/>
        </w:rPr>
        <w:t xml:space="preserve"> r. wojewódzcy inspektorzy ochrony środowiska przeprowadzili </w:t>
      </w:r>
      <w:r w:rsidRPr="00AF5DBA">
        <w:rPr>
          <w:rFonts w:ascii="Times New Roman" w:eastAsia="Times New Roman" w:hAnsi="Times New Roman" w:cs="Times New Roman"/>
          <w:sz w:val="24"/>
          <w:szCs w:val="24"/>
        </w:rPr>
        <w:t>43 334</w:t>
      </w:r>
      <w:r w:rsidRPr="007F400A">
        <w:rPr>
          <w:rFonts w:ascii="Times New Roman" w:eastAsia="Times New Roman" w:hAnsi="Times New Roman" w:cs="Times New Roman"/>
          <w:sz w:val="24"/>
          <w:szCs w:val="24"/>
        </w:rPr>
        <w:t xml:space="preserve"> kontrol</w:t>
      </w:r>
      <w:r>
        <w:rPr>
          <w:rFonts w:ascii="Times New Roman" w:eastAsia="Times New Roman" w:hAnsi="Times New Roman" w:cs="Times New Roman"/>
          <w:sz w:val="24"/>
          <w:szCs w:val="24"/>
        </w:rPr>
        <w:t>e</w:t>
      </w:r>
      <w:r w:rsidRPr="007F400A">
        <w:rPr>
          <w:rFonts w:ascii="Times New Roman" w:eastAsia="Times New Roman" w:hAnsi="Times New Roman" w:cs="Times New Roman"/>
          <w:sz w:val="24"/>
          <w:szCs w:val="24"/>
        </w:rPr>
        <w:t xml:space="preserve">, o </w:t>
      </w:r>
      <w:r>
        <w:rPr>
          <w:rFonts w:ascii="Times New Roman" w:eastAsia="Times New Roman" w:hAnsi="Times New Roman" w:cs="Times New Roman"/>
          <w:sz w:val="24"/>
          <w:szCs w:val="24"/>
        </w:rPr>
        <w:t>2 566</w:t>
      </w:r>
      <w:r w:rsidRPr="007F400A">
        <w:rPr>
          <w:rFonts w:ascii="Times New Roman" w:eastAsia="Times New Roman" w:hAnsi="Times New Roman" w:cs="Times New Roman"/>
          <w:sz w:val="24"/>
          <w:szCs w:val="24"/>
        </w:rPr>
        <w:t xml:space="preserve"> więcej niż w </w:t>
      </w:r>
      <w:r>
        <w:rPr>
          <w:rFonts w:ascii="Times New Roman" w:eastAsia="Times New Roman" w:hAnsi="Times New Roman" w:cs="Times New Roman"/>
          <w:sz w:val="24"/>
          <w:szCs w:val="24"/>
        </w:rPr>
        <w:t>2021</w:t>
      </w:r>
      <w:r w:rsidRPr="007F400A">
        <w:rPr>
          <w:rFonts w:ascii="Times New Roman" w:eastAsia="Times New Roman" w:hAnsi="Times New Roman" w:cs="Times New Roman"/>
          <w:sz w:val="24"/>
          <w:szCs w:val="24"/>
        </w:rPr>
        <w:t xml:space="preserve"> r., w tym:</w:t>
      </w:r>
    </w:p>
    <w:p w14:paraId="2ED5C489" w14:textId="77777777" w:rsidR="00C96893" w:rsidRPr="007F400A" w:rsidRDefault="00C96893" w:rsidP="00D34F97">
      <w:pPr>
        <w:numPr>
          <w:ilvl w:val="0"/>
          <w:numId w:val="63"/>
        </w:numPr>
        <w:spacing w:after="0" w:line="300" w:lineRule="atLeast"/>
        <w:ind w:left="924" w:hanging="357"/>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eastAsia="pl-PL"/>
        </w:rPr>
        <w:t>6 727</w:t>
      </w:r>
      <w:r w:rsidRPr="007F400A">
        <w:rPr>
          <w:rFonts w:ascii="Times New Roman" w:eastAsia="Calibri" w:hAnsi="Times New Roman" w:cs="Times New Roman"/>
          <w:sz w:val="24"/>
          <w:szCs w:val="24"/>
          <w:lang w:val="x-none" w:eastAsia="pl-PL"/>
        </w:rPr>
        <w:t xml:space="preserve"> kontroli planowych zakładów w terenie</w:t>
      </w:r>
      <w:r>
        <w:rPr>
          <w:rFonts w:ascii="Times New Roman" w:eastAsia="Calibri" w:hAnsi="Times New Roman" w:cs="Times New Roman"/>
          <w:sz w:val="24"/>
          <w:szCs w:val="24"/>
          <w:lang w:eastAsia="pl-PL"/>
        </w:rPr>
        <w:t xml:space="preserve"> (spadek o 420)</w:t>
      </w:r>
      <w:r w:rsidRPr="007F400A">
        <w:rPr>
          <w:rFonts w:ascii="Times New Roman" w:eastAsia="Calibri" w:hAnsi="Times New Roman" w:cs="Times New Roman"/>
          <w:sz w:val="24"/>
          <w:szCs w:val="24"/>
          <w:lang w:val="x-none" w:eastAsia="pl-PL"/>
        </w:rPr>
        <w:t>,</w:t>
      </w:r>
    </w:p>
    <w:p w14:paraId="59E18D37" w14:textId="77777777" w:rsidR="00C96893" w:rsidRPr="007F400A" w:rsidRDefault="00C96893" w:rsidP="00D34F97">
      <w:pPr>
        <w:numPr>
          <w:ilvl w:val="0"/>
          <w:numId w:val="63"/>
        </w:numPr>
        <w:spacing w:after="0" w:line="300" w:lineRule="atLeast"/>
        <w:ind w:left="924" w:hanging="357"/>
        <w:jc w:val="both"/>
        <w:rPr>
          <w:rFonts w:ascii="Times New Roman" w:eastAsia="Calibri" w:hAnsi="Times New Roman" w:cs="Times New Roman"/>
          <w:sz w:val="24"/>
          <w:szCs w:val="24"/>
          <w:lang w:val="x-none" w:eastAsia="pl-PL"/>
        </w:rPr>
      </w:pPr>
      <w:r w:rsidRPr="00AF5DBA">
        <w:rPr>
          <w:rFonts w:ascii="Times New Roman" w:eastAsia="Calibri" w:hAnsi="Times New Roman" w:cs="Times New Roman"/>
          <w:sz w:val="24"/>
          <w:szCs w:val="24"/>
          <w:lang w:eastAsia="pl-PL"/>
        </w:rPr>
        <w:t>7 311</w:t>
      </w:r>
      <w:r w:rsidRPr="007F400A">
        <w:rPr>
          <w:rFonts w:ascii="Times New Roman" w:eastAsia="Calibri" w:hAnsi="Times New Roman" w:cs="Times New Roman"/>
          <w:sz w:val="24"/>
          <w:szCs w:val="24"/>
          <w:lang w:val="x-none" w:eastAsia="pl-PL"/>
        </w:rPr>
        <w:t xml:space="preserve"> kontroli pozaplanowych zakładów w terenie, w tym interwencyjn</w:t>
      </w:r>
      <w:r>
        <w:rPr>
          <w:rFonts w:ascii="Times New Roman" w:eastAsia="Calibri" w:hAnsi="Times New Roman" w:cs="Times New Roman"/>
          <w:sz w:val="24"/>
          <w:szCs w:val="24"/>
          <w:lang w:eastAsia="pl-PL"/>
        </w:rPr>
        <w:t>ych (spadek o 228)</w:t>
      </w:r>
      <w:r w:rsidRPr="007F400A">
        <w:rPr>
          <w:rFonts w:ascii="Times New Roman" w:eastAsia="Calibri" w:hAnsi="Times New Roman" w:cs="Times New Roman"/>
          <w:sz w:val="24"/>
          <w:szCs w:val="24"/>
          <w:lang w:val="x-none" w:eastAsia="pl-PL"/>
        </w:rPr>
        <w:t>,</w:t>
      </w:r>
    </w:p>
    <w:p w14:paraId="3CF361D4" w14:textId="77777777" w:rsidR="00C96893" w:rsidRPr="007F400A" w:rsidRDefault="00C96893" w:rsidP="00D34F97">
      <w:pPr>
        <w:numPr>
          <w:ilvl w:val="0"/>
          <w:numId w:val="63"/>
        </w:numPr>
        <w:spacing w:after="0" w:line="300" w:lineRule="atLeast"/>
        <w:ind w:left="924" w:hanging="357"/>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eastAsia="pl-PL"/>
        </w:rPr>
        <w:t>4 020</w:t>
      </w:r>
      <w:r w:rsidRPr="007F400A">
        <w:rPr>
          <w:rFonts w:ascii="Times New Roman" w:eastAsia="Calibri" w:hAnsi="Times New Roman" w:cs="Times New Roman"/>
          <w:sz w:val="24"/>
          <w:szCs w:val="24"/>
          <w:lang w:val="x-none" w:eastAsia="pl-PL"/>
        </w:rPr>
        <w:t xml:space="preserve"> kontroli z wyjazdem w teren bez ustalonego podmiotu</w:t>
      </w:r>
      <w:r>
        <w:rPr>
          <w:rFonts w:ascii="Times New Roman" w:eastAsia="Calibri" w:hAnsi="Times New Roman" w:cs="Times New Roman"/>
          <w:sz w:val="24"/>
          <w:szCs w:val="24"/>
          <w:lang w:eastAsia="pl-PL"/>
        </w:rPr>
        <w:t xml:space="preserve"> (wzrost o 784)</w:t>
      </w:r>
      <w:r w:rsidRPr="007F400A">
        <w:rPr>
          <w:rFonts w:ascii="Times New Roman" w:eastAsia="Calibri" w:hAnsi="Times New Roman" w:cs="Times New Roman"/>
          <w:sz w:val="24"/>
          <w:szCs w:val="24"/>
          <w:lang w:val="x-none" w:eastAsia="pl-PL"/>
        </w:rPr>
        <w:t>,</w:t>
      </w:r>
      <w:r w:rsidRPr="007F400A" w:rsidDel="00AB4086">
        <w:rPr>
          <w:rFonts w:ascii="Times New Roman" w:eastAsia="Calibri" w:hAnsi="Times New Roman" w:cs="Times New Roman"/>
          <w:sz w:val="24"/>
          <w:szCs w:val="24"/>
          <w:lang w:val="x-none" w:eastAsia="pl-PL"/>
        </w:rPr>
        <w:t xml:space="preserve"> </w:t>
      </w:r>
    </w:p>
    <w:p w14:paraId="5FFCDC9A" w14:textId="77777777" w:rsidR="00C96893" w:rsidRDefault="00C96893" w:rsidP="00D34F97">
      <w:pPr>
        <w:numPr>
          <w:ilvl w:val="0"/>
          <w:numId w:val="63"/>
        </w:numPr>
        <w:spacing w:after="0" w:line="300" w:lineRule="atLeast"/>
        <w:ind w:left="924" w:hanging="357"/>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eastAsia="pl-PL"/>
        </w:rPr>
        <w:t>18 730</w:t>
      </w:r>
      <w:r w:rsidRPr="007F400A">
        <w:rPr>
          <w:rFonts w:ascii="Times New Roman" w:eastAsia="Calibri" w:hAnsi="Times New Roman" w:cs="Times New Roman"/>
          <w:sz w:val="24"/>
          <w:szCs w:val="24"/>
          <w:lang w:val="x-none" w:eastAsia="pl-PL"/>
        </w:rPr>
        <w:t xml:space="preserve"> kontrol</w:t>
      </w:r>
      <w:r w:rsidRPr="007F400A">
        <w:rPr>
          <w:rFonts w:ascii="Times New Roman" w:eastAsia="Calibri" w:hAnsi="Times New Roman" w:cs="Times New Roman"/>
          <w:sz w:val="24"/>
          <w:szCs w:val="24"/>
          <w:lang w:eastAsia="pl-PL"/>
        </w:rPr>
        <w:t>i</w:t>
      </w:r>
      <w:r w:rsidRPr="007F400A">
        <w:rPr>
          <w:rFonts w:ascii="Times New Roman" w:eastAsia="Calibri" w:hAnsi="Times New Roman" w:cs="Times New Roman"/>
          <w:sz w:val="24"/>
          <w:szCs w:val="24"/>
          <w:lang w:val="x-none" w:eastAsia="pl-PL"/>
        </w:rPr>
        <w:t xml:space="preserve"> dokumenta</w:t>
      </w:r>
      <w:proofErr w:type="spellStart"/>
      <w:r w:rsidRPr="007F400A">
        <w:rPr>
          <w:rFonts w:ascii="Times New Roman" w:eastAsia="Calibri" w:hAnsi="Times New Roman" w:cs="Times New Roman"/>
          <w:sz w:val="24"/>
          <w:szCs w:val="24"/>
          <w:lang w:eastAsia="pl-PL"/>
        </w:rPr>
        <w:t>cyjnych</w:t>
      </w:r>
      <w:proofErr w:type="spellEnd"/>
      <w:r w:rsidRPr="007F400A">
        <w:rPr>
          <w:rFonts w:ascii="Times New Roman" w:eastAsia="Calibri" w:hAnsi="Times New Roman" w:cs="Times New Roman"/>
          <w:sz w:val="24"/>
          <w:szCs w:val="24"/>
          <w:lang w:val="x-none" w:eastAsia="pl-PL"/>
        </w:rPr>
        <w:t xml:space="preserve"> z badań </w:t>
      </w:r>
      <w:proofErr w:type="spellStart"/>
      <w:r w:rsidRPr="007F400A">
        <w:rPr>
          <w:rFonts w:ascii="Times New Roman" w:eastAsia="Calibri" w:hAnsi="Times New Roman" w:cs="Times New Roman"/>
          <w:sz w:val="24"/>
          <w:szCs w:val="24"/>
          <w:lang w:val="x-none" w:eastAsia="pl-PL"/>
        </w:rPr>
        <w:t>automonitoringowych</w:t>
      </w:r>
      <w:proofErr w:type="spellEnd"/>
      <w:r w:rsidRPr="007F400A">
        <w:rPr>
          <w:rFonts w:ascii="Times New Roman" w:eastAsia="Calibri" w:hAnsi="Times New Roman" w:cs="Times New Roman"/>
          <w:sz w:val="24"/>
          <w:szCs w:val="24"/>
          <w:vertAlign w:val="superscript"/>
          <w:lang w:val="x-none" w:eastAsia="pl-PL"/>
        </w:rPr>
        <w:footnoteReference w:id="3"/>
      </w:r>
      <w:r>
        <w:rPr>
          <w:rFonts w:ascii="Times New Roman" w:eastAsia="Calibri" w:hAnsi="Times New Roman" w:cs="Times New Roman"/>
          <w:sz w:val="24"/>
          <w:szCs w:val="24"/>
          <w:lang w:eastAsia="pl-PL"/>
        </w:rPr>
        <w:t xml:space="preserve"> (wzrost o 1 218),</w:t>
      </w:r>
    </w:p>
    <w:p w14:paraId="02A7F0F1" w14:textId="77777777" w:rsidR="00C96893" w:rsidRPr="007F400A" w:rsidRDefault="00C96893" w:rsidP="00D34F97">
      <w:pPr>
        <w:numPr>
          <w:ilvl w:val="0"/>
          <w:numId w:val="63"/>
        </w:numPr>
        <w:spacing w:after="0" w:line="300" w:lineRule="atLeast"/>
        <w:ind w:left="924" w:hanging="357"/>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eastAsia="pl-PL"/>
        </w:rPr>
        <w:t>6 069</w:t>
      </w:r>
      <w:r w:rsidRPr="007F400A">
        <w:rPr>
          <w:rFonts w:ascii="Times New Roman" w:eastAsia="Calibri" w:hAnsi="Times New Roman" w:cs="Times New Roman"/>
          <w:sz w:val="24"/>
          <w:szCs w:val="24"/>
          <w:lang w:val="x-none" w:eastAsia="pl-PL"/>
        </w:rPr>
        <w:t xml:space="preserve"> kontroli dokumentacji z wyłączeniem badań </w:t>
      </w:r>
      <w:proofErr w:type="spellStart"/>
      <w:r w:rsidRPr="007F400A">
        <w:rPr>
          <w:rFonts w:ascii="Times New Roman" w:eastAsia="Calibri" w:hAnsi="Times New Roman" w:cs="Times New Roman"/>
          <w:sz w:val="24"/>
          <w:szCs w:val="24"/>
          <w:lang w:val="x-none" w:eastAsia="pl-PL"/>
        </w:rPr>
        <w:t>automonitoringowych</w:t>
      </w:r>
      <w:proofErr w:type="spellEnd"/>
      <w:r w:rsidRPr="007F400A">
        <w:rPr>
          <w:rFonts w:ascii="Times New Roman" w:eastAsia="Calibri" w:hAnsi="Times New Roman" w:cs="Times New Roman"/>
          <w:sz w:val="24"/>
          <w:szCs w:val="24"/>
          <w:vertAlign w:val="superscript"/>
          <w:lang w:val="x-none" w:eastAsia="pl-PL"/>
        </w:rPr>
        <w:footnoteReference w:id="4"/>
      </w:r>
      <w:r>
        <w:rPr>
          <w:rFonts w:ascii="Times New Roman" w:eastAsia="Calibri" w:hAnsi="Times New Roman" w:cs="Times New Roman"/>
          <w:sz w:val="24"/>
          <w:szCs w:val="24"/>
          <w:lang w:eastAsia="pl-PL"/>
        </w:rPr>
        <w:t xml:space="preserve"> (wzrost o 1 143)</w:t>
      </w:r>
      <w:r w:rsidRPr="007F400A">
        <w:rPr>
          <w:rFonts w:ascii="Times New Roman" w:eastAsia="Calibri" w:hAnsi="Times New Roman" w:cs="Times New Roman"/>
          <w:sz w:val="24"/>
          <w:szCs w:val="24"/>
          <w:lang w:val="x-none" w:eastAsia="pl-PL"/>
        </w:rPr>
        <w:t>,</w:t>
      </w:r>
    </w:p>
    <w:p w14:paraId="7FD2FDBA" w14:textId="77777777" w:rsidR="00C96893" w:rsidRPr="007F400A" w:rsidRDefault="00C96893" w:rsidP="00D34F97">
      <w:pPr>
        <w:numPr>
          <w:ilvl w:val="0"/>
          <w:numId w:val="63"/>
        </w:numPr>
        <w:spacing w:after="0" w:line="300" w:lineRule="atLeast"/>
        <w:ind w:left="924" w:hanging="357"/>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eastAsia="pl-PL"/>
        </w:rPr>
        <w:lastRenderedPageBreak/>
        <w:t>477</w:t>
      </w:r>
      <w:r w:rsidRPr="007F400A">
        <w:rPr>
          <w:rFonts w:ascii="Times New Roman" w:eastAsia="Calibri" w:hAnsi="Times New Roman" w:cs="Times New Roman"/>
          <w:sz w:val="24"/>
          <w:szCs w:val="24"/>
          <w:lang w:val="x-none" w:eastAsia="pl-PL"/>
        </w:rPr>
        <w:t xml:space="preserve"> kontroli dokumentac</w:t>
      </w:r>
      <w:r w:rsidRPr="007F400A">
        <w:rPr>
          <w:rFonts w:ascii="Times New Roman" w:eastAsia="Calibri" w:hAnsi="Times New Roman" w:cs="Times New Roman"/>
          <w:sz w:val="24"/>
          <w:szCs w:val="24"/>
          <w:lang w:eastAsia="pl-PL"/>
        </w:rPr>
        <w:t>yjnych</w:t>
      </w:r>
      <w:r w:rsidRPr="007F400A">
        <w:rPr>
          <w:rFonts w:ascii="Times New Roman" w:eastAsia="Calibri" w:hAnsi="Times New Roman" w:cs="Times New Roman"/>
          <w:sz w:val="24"/>
          <w:szCs w:val="24"/>
          <w:lang w:val="x-none" w:eastAsia="pl-PL"/>
        </w:rPr>
        <w:t xml:space="preserve"> bez ustalonego podmiotu</w:t>
      </w:r>
      <w:r w:rsidRPr="007F400A">
        <w:rPr>
          <w:rFonts w:ascii="Times New Roman" w:eastAsia="Calibri" w:hAnsi="Times New Roman" w:cs="Times New Roman"/>
          <w:sz w:val="20"/>
          <w:szCs w:val="20"/>
          <w:vertAlign w:val="superscript"/>
          <w:lang w:val="x-none" w:eastAsia="pl-PL"/>
        </w:rPr>
        <w:footnoteReference w:id="5"/>
      </w:r>
      <w:r>
        <w:rPr>
          <w:rFonts w:ascii="Times New Roman" w:eastAsia="Calibri" w:hAnsi="Times New Roman" w:cs="Times New Roman"/>
          <w:sz w:val="24"/>
          <w:szCs w:val="24"/>
          <w:lang w:eastAsia="pl-PL"/>
        </w:rPr>
        <w:t xml:space="preserve"> (wzrost o 69)</w:t>
      </w:r>
      <w:r w:rsidRPr="007F400A">
        <w:rPr>
          <w:rFonts w:ascii="Times New Roman" w:eastAsia="Calibri" w:hAnsi="Times New Roman" w:cs="Times New Roman"/>
          <w:sz w:val="24"/>
          <w:szCs w:val="24"/>
          <w:lang w:val="x-none" w:eastAsia="pl-PL"/>
        </w:rPr>
        <w:t>.</w:t>
      </w:r>
    </w:p>
    <w:p w14:paraId="5C5CC0E8" w14:textId="77777777" w:rsidR="00C96893" w:rsidRPr="007F400A" w:rsidRDefault="00C96893" w:rsidP="00056EE7">
      <w:pPr>
        <w:spacing w:after="0" w:line="300" w:lineRule="atLeast"/>
        <w:ind w:left="924"/>
        <w:jc w:val="both"/>
        <w:rPr>
          <w:rFonts w:ascii="Times New Roman" w:eastAsia="Calibri" w:hAnsi="Times New Roman" w:cs="Times New Roman"/>
          <w:sz w:val="24"/>
          <w:szCs w:val="24"/>
          <w:lang w:val="x-none" w:eastAsia="pl-PL"/>
        </w:rPr>
      </w:pPr>
    </w:p>
    <w:p w14:paraId="6D616A42" w14:textId="77777777" w:rsidR="00C96893" w:rsidRPr="007F400A" w:rsidRDefault="00C96893" w:rsidP="00056EE7">
      <w:pPr>
        <w:spacing w:line="300" w:lineRule="atLeast"/>
        <w:jc w:val="center"/>
        <w:rPr>
          <w:noProof/>
        </w:rPr>
      </w:pPr>
      <w:r>
        <w:rPr>
          <w:noProof/>
          <w:lang w:eastAsia="pl-PL"/>
        </w:rPr>
        <w:drawing>
          <wp:inline distT="0" distB="0" distL="0" distR="0" wp14:anchorId="4CA69F5A" wp14:editId="1C34F32E">
            <wp:extent cx="5600700" cy="3105150"/>
            <wp:effectExtent l="0" t="0" r="0" b="0"/>
            <wp:docPr id="496" name="Wykres 496" descr="Liczbowy podział kontroli przeprowadzonych w 2022 r.">
              <a:extLst xmlns:a="http://schemas.openxmlformats.org/drawingml/2006/main">
                <a:ext uri="{FF2B5EF4-FFF2-40B4-BE49-F238E27FC236}">
                  <a16:creationId xmlns:a16="http://schemas.microsoft.com/office/drawing/2014/main" id="{26872FCE-565C-4F5F-9133-57023AAEEF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Pr="007F400A">
        <w:rPr>
          <w:noProof/>
        </w:rPr>
        <w:t xml:space="preserve"> </w:t>
      </w:r>
    </w:p>
    <w:p w14:paraId="4D3647FB" w14:textId="77777777" w:rsidR="00C96893" w:rsidRDefault="00C96893" w:rsidP="00056EE7">
      <w:pPr>
        <w:spacing w:line="300" w:lineRule="atLeast"/>
        <w:jc w:val="center"/>
        <w:rPr>
          <w:rFonts w:ascii="Times New Roman" w:hAnsi="Times New Roman" w:cs="Times New Roman"/>
          <w:b/>
          <w:bCs/>
          <w:szCs w:val="24"/>
        </w:rPr>
      </w:pPr>
      <w:r w:rsidRPr="007F400A">
        <w:rPr>
          <w:rFonts w:ascii="Times New Roman" w:hAnsi="Times New Roman" w:cs="Times New Roman"/>
          <w:b/>
          <w:bCs/>
          <w:szCs w:val="24"/>
        </w:rPr>
        <w:t xml:space="preserve">Wykres 4. Liczbowy podział kontroli przeprowadzonych w </w:t>
      </w:r>
      <w:r>
        <w:rPr>
          <w:rFonts w:ascii="Times New Roman" w:hAnsi="Times New Roman" w:cs="Times New Roman"/>
          <w:b/>
          <w:bCs/>
          <w:szCs w:val="24"/>
        </w:rPr>
        <w:t>2022</w:t>
      </w:r>
      <w:r w:rsidRPr="007F400A">
        <w:rPr>
          <w:rFonts w:ascii="Times New Roman" w:hAnsi="Times New Roman" w:cs="Times New Roman"/>
          <w:b/>
          <w:bCs/>
          <w:szCs w:val="24"/>
        </w:rPr>
        <w:t xml:space="preserve"> r.</w:t>
      </w:r>
    </w:p>
    <w:p w14:paraId="36745881" w14:textId="715EB0A3" w:rsidR="00C96893" w:rsidRPr="00B5252E" w:rsidRDefault="00C96893" w:rsidP="006222A5">
      <w:pPr>
        <w:spacing w:after="0" w:line="300" w:lineRule="atLeast"/>
        <w:ind w:firstLine="567"/>
        <w:jc w:val="both"/>
        <w:rPr>
          <w:rFonts w:ascii="Times New Roman" w:hAnsi="Times New Roman" w:cs="Times New Roman"/>
          <w:iCs/>
          <w:sz w:val="24"/>
          <w:szCs w:val="24"/>
        </w:rPr>
      </w:pPr>
      <w:r>
        <w:rPr>
          <w:rFonts w:ascii="Times New Roman" w:hAnsi="Times New Roman" w:cs="Times New Roman"/>
          <w:iCs/>
          <w:sz w:val="24"/>
          <w:szCs w:val="24"/>
        </w:rPr>
        <w:t>Mimo, że w 2022 r. skontrolowano w terenie mniej zakładów niż przed rokiem i tak odnotowano niewielki wzrost liczby kontroli w terenie ogółem. Wynika to z tego, że częściej niż w latach poprzednich przeprowadz</w:t>
      </w:r>
      <w:r w:rsidR="006222A5">
        <w:rPr>
          <w:rFonts w:ascii="Times New Roman" w:hAnsi="Times New Roman" w:cs="Times New Roman"/>
          <w:iCs/>
          <w:sz w:val="24"/>
          <w:szCs w:val="24"/>
        </w:rPr>
        <w:t>a</w:t>
      </w:r>
      <w:r>
        <w:rPr>
          <w:rFonts w:ascii="Times New Roman" w:hAnsi="Times New Roman" w:cs="Times New Roman"/>
          <w:iCs/>
          <w:sz w:val="24"/>
          <w:szCs w:val="24"/>
        </w:rPr>
        <w:t>no kontrole w terenie bez ustalonego podmiotu: rozpoznanie zanieczyszczenia w terenie czy transportu towarów lub odpadów</w:t>
      </w:r>
      <w:r w:rsidRPr="00AF5DBA">
        <w:rPr>
          <w:rFonts w:ascii="Times New Roman" w:hAnsi="Times New Roman" w:cs="Times New Roman"/>
          <w:iCs/>
          <w:sz w:val="24"/>
          <w:szCs w:val="24"/>
        </w:rPr>
        <w:t xml:space="preserve">. </w:t>
      </w:r>
      <w:r w:rsidRPr="00B5252E">
        <w:rPr>
          <w:rFonts w:ascii="Times New Roman" w:hAnsi="Times New Roman" w:cs="Times New Roman"/>
          <w:iCs/>
          <w:sz w:val="24"/>
          <w:szCs w:val="24"/>
        </w:rPr>
        <w:t>Wpływ na to, że częściej podejmowano takie działania miała m.in. sytuacja związana z wystąpieniem zanieczyszczeń na rzece Odrze.</w:t>
      </w:r>
    </w:p>
    <w:p w14:paraId="28740B0E" w14:textId="77777777" w:rsidR="00C96893" w:rsidRDefault="00C96893" w:rsidP="00056EE7">
      <w:pPr>
        <w:spacing w:after="0" w:line="300" w:lineRule="atLeast"/>
        <w:ind w:firstLine="567"/>
        <w:jc w:val="both"/>
        <w:rPr>
          <w:rFonts w:ascii="Times New Roman" w:hAnsi="Times New Roman" w:cs="Times New Roman"/>
          <w:iCs/>
          <w:sz w:val="24"/>
          <w:szCs w:val="24"/>
        </w:rPr>
      </w:pPr>
      <w:r w:rsidRPr="00AF5DBA">
        <w:rPr>
          <w:rFonts w:ascii="Times New Roman" w:hAnsi="Times New Roman" w:cs="Times New Roman"/>
          <w:iCs/>
          <w:sz w:val="24"/>
          <w:szCs w:val="24"/>
        </w:rPr>
        <w:t>Spadek liczby kontroli pozaplanowych może wynikać z tego, że inspektorzy</w:t>
      </w:r>
      <w:r>
        <w:rPr>
          <w:rFonts w:ascii="Times New Roman" w:hAnsi="Times New Roman" w:cs="Times New Roman"/>
          <w:iCs/>
          <w:sz w:val="24"/>
          <w:szCs w:val="24"/>
        </w:rPr>
        <w:t xml:space="preserve"> otrzymując zgłoszenia o interwencje nie wszczynali kontroli, a podejmowali czynności na podstawie art. 10b ustawy o Inspekcji Ochrony Środowiska. Działania te zostały opisane w rozdziale IV.</w:t>
      </w:r>
    </w:p>
    <w:p w14:paraId="06D8E8CA" w14:textId="77777777" w:rsidR="00C96893" w:rsidRPr="007F400A" w:rsidRDefault="00C96893" w:rsidP="006222A5">
      <w:pPr>
        <w:spacing w:after="0" w:line="300" w:lineRule="atLeast"/>
        <w:ind w:firstLine="567"/>
        <w:jc w:val="both"/>
        <w:rPr>
          <w:rFonts w:ascii="Times New Roman" w:hAnsi="Times New Roman" w:cs="Times New Roman"/>
          <w:noProof/>
        </w:rPr>
      </w:pPr>
      <w:r w:rsidRPr="007F400A">
        <w:rPr>
          <w:rFonts w:ascii="Times New Roman" w:hAnsi="Times New Roman" w:cs="Times New Roman"/>
          <w:sz w:val="24"/>
          <w:szCs w:val="24"/>
        </w:rPr>
        <w:t xml:space="preserve">W </w:t>
      </w:r>
      <w:r>
        <w:rPr>
          <w:rFonts w:ascii="Times New Roman" w:hAnsi="Times New Roman" w:cs="Times New Roman"/>
          <w:sz w:val="24"/>
          <w:szCs w:val="24"/>
        </w:rPr>
        <w:t>2022</w:t>
      </w:r>
      <w:r w:rsidRPr="007F400A">
        <w:rPr>
          <w:rFonts w:ascii="Times New Roman" w:hAnsi="Times New Roman" w:cs="Times New Roman"/>
          <w:sz w:val="24"/>
          <w:szCs w:val="24"/>
        </w:rPr>
        <w:t xml:space="preserve"> r. kontrole zakładów z wyjazdem w teren stanowiły </w:t>
      </w:r>
      <w:r>
        <w:rPr>
          <w:rFonts w:ascii="Times New Roman" w:hAnsi="Times New Roman" w:cs="Times New Roman"/>
          <w:sz w:val="24"/>
          <w:szCs w:val="24"/>
        </w:rPr>
        <w:t>32,39</w:t>
      </w:r>
      <w:r w:rsidRPr="007F400A">
        <w:rPr>
          <w:rFonts w:ascii="Times New Roman" w:hAnsi="Times New Roman" w:cs="Times New Roman"/>
          <w:sz w:val="24"/>
          <w:szCs w:val="24"/>
        </w:rPr>
        <w:t xml:space="preserve">%, a kontrole dokumentacyjne </w:t>
      </w:r>
      <w:r>
        <w:rPr>
          <w:rFonts w:ascii="Times New Roman" w:hAnsi="Times New Roman" w:cs="Times New Roman"/>
          <w:sz w:val="24"/>
          <w:szCs w:val="24"/>
        </w:rPr>
        <w:t>57,23</w:t>
      </w:r>
      <w:r w:rsidRPr="007F400A">
        <w:rPr>
          <w:rFonts w:ascii="Times New Roman" w:hAnsi="Times New Roman" w:cs="Times New Roman"/>
          <w:sz w:val="24"/>
          <w:szCs w:val="24"/>
        </w:rPr>
        <w:t xml:space="preserve">% wszystkich kontroli. Pozostałe </w:t>
      </w:r>
      <w:r>
        <w:rPr>
          <w:rFonts w:ascii="Times New Roman" w:hAnsi="Times New Roman" w:cs="Times New Roman"/>
          <w:sz w:val="24"/>
          <w:szCs w:val="24"/>
        </w:rPr>
        <w:t>10,38</w:t>
      </w:r>
      <w:r w:rsidRPr="007F400A">
        <w:rPr>
          <w:rFonts w:ascii="Times New Roman" w:hAnsi="Times New Roman" w:cs="Times New Roman"/>
          <w:sz w:val="24"/>
          <w:szCs w:val="24"/>
        </w:rPr>
        <w:t>% to kontrole z</w:t>
      </w:r>
      <w:r>
        <w:rPr>
          <w:rFonts w:ascii="Times New Roman" w:hAnsi="Times New Roman" w:cs="Times New Roman"/>
          <w:sz w:val="24"/>
          <w:szCs w:val="24"/>
        </w:rPr>
        <w:t xml:space="preserve"> </w:t>
      </w:r>
      <w:r w:rsidRPr="007F400A">
        <w:rPr>
          <w:rFonts w:ascii="Times New Roman" w:hAnsi="Times New Roman" w:cs="Times New Roman"/>
          <w:sz w:val="24"/>
          <w:szCs w:val="24"/>
        </w:rPr>
        <w:t>wyjazdem w</w:t>
      </w:r>
      <w:r>
        <w:rPr>
          <w:rFonts w:ascii="Times New Roman" w:hAnsi="Times New Roman" w:cs="Times New Roman"/>
          <w:sz w:val="24"/>
          <w:szCs w:val="24"/>
        </w:rPr>
        <w:t> </w:t>
      </w:r>
      <w:r w:rsidRPr="007F400A">
        <w:rPr>
          <w:rFonts w:ascii="Times New Roman" w:hAnsi="Times New Roman" w:cs="Times New Roman"/>
          <w:sz w:val="24"/>
          <w:szCs w:val="24"/>
        </w:rPr>
        <w:t>teren bez ustalonego podmiotu (np. rozpoznanie zanieczyszczenia w terenie) oraz kontrole dokumentacyjne bez ustalonego podmiotu (np. oceny towarów, przed wydaniem opinii dla urzędów celnych na podstawie okazanych dokumentów).</w:t>
      </w:r>
    </w:p>
    <w:p w14:paraId="740B024B" w14:textId="77777777" w:rsidR="00C96893" w:rsidRPr="007F400A" w:rsidRDefault="00C96893" w:rsidP="00056EE7">
      <w:pPr>
        <w:spacing w:line="300" w:lineRule="atLeast"/>
        <w:ind w:left="142"/>
        <w:jc w:val="center"/>
        <w:rPr>
          <w:b/>
          <w:bCs/>
          <w:szCs w:val="18"/>
        </w:rPr>
      </w:pPr>
      <w:r w:rsidRPr="00613F64">
        <w:rPr>
          <w:noProof/>
        </w:rPr>
        <w:lastRenderedPageBreak/>
        <w:t xml:space="preserve"> </w:t>
      </w:r>
      <w:r>
        <w:rPr>
          <w:noProof/>
          <w:lang w:eastAsia="pl-PL"/>
        </w:rPr>
        <w:drawing>
          <wp:inline distT="0" distB="0" distL="0" distR="0" wp14:anchorId="3016C9A8" wp14:editId="3507703F">
            <wp:extent cx="5760720" cy="3223895"/>
            <wp:effectExtent l="0" t="0" r="11430" b="14605"/>
            <wp:docPr id="497" name="Wykres 497" descr="Liczba kontroli zakładów z wyjazdem w teren oraz kontroli dokumentacyjnych">
              <a:extLst xmlns:a="http://schemas.openxmlformats.org/drawingml/2006/main">
                <a:ext uri="{FF2B5EF4-FFF2-40B4-BE49-F238E27FC236}">
                  <a16:creationId xmlns:a16="http://schemas.microsoft.com/office/drawing/2014/main" id="{39E5169D-C4D6-499D-B1C2-806AEE8ECC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Pr="007F400A" w:rsidDel="00440BC1">
        <w:rPr>
          <w:noProof/>
        </w:rPr>
        <w:t xml:space="preserve"> </w:t>
      </w:r>
    </w:p>
    <w:p w14:paraId="6563E47D" w14:textId="77777777" w:rsidR="00C96893" w:rsidRPr="007F400A" w:rsidRDefault="00C96893" w:rsidP="00056EE7">
      <w:pPr>
        <w:spacing w:line="300" w:lineRule="atLeast"/>
        <w:jc w:val="center"/>
        <w:rPr>
          <w:rFonts w:ascii="Times New Roman" w:hAnsi="Times New Roman" w:cs="Times New Roman"/>
          <w:b/>
          <w:bCs/>
        </w:rPr>
      </w:pPr>
      <w:r w:rsidRPr="007F400A">
        <w:rPr>
          <w:rFonts w:ascii="Times New Roman" w:hAnsi="Times New Roman" w:cs="Times New Roman"/>
          <w:b/>
          <w:bCs/>
        </w:rPr>
        <w:t>Wykres 5. Liczba kontroli zakładów z wyjazdem w teren oraz kontroli dokumentacyjnych</w:t>
      </w:r>
    </w:p>
    <w:p w14:paraId="44418952" w14:textId="77777777" w:rsidR="00C96893" w:rsidRPr="00125BB3" w:rsidRDefault="00C96893" w:rsidP="006222A5">
      <w:pPr>
        <w:spacing w:after="0" w:line="300" w:lineRule="atLeast"/>
        <w:ind w:firstLine="567"/>
        <w:jc w:val="both"/>
        <w:rPr>
          <w:rFonts w:ascii="Times New Roman" w:hAnsi="Times New Roman" w:cs="Times New Roman"/>
          <w:iCs/>
          <w:sz w:val="24"/>
          <w:szCs w:val="24"/>
        </w:rPr>
      </w:pPr>
      <w:r>
        <w:rPr>
          <w:rFonts w:ascii="Times New Roman" w:hAnsi="Times New Roman" w:cs="Times New Roman"/>
          <w:sz w:val="24"/>
          <w:szCs w:val="24"/>
        </w:rPr>
        <w:t xml:space="preserve">W 2022 r. nastąpił spadek liczby kontroli zakładów z wyjazdem w teren w porównaniu do zeszłego roku, jednak wykonano ich więcej niż w poszczególnych latach od 2014 do 2020 r. </w:t>
      </w:r>
      <w:r>
        <w:rPr>
          <w:rFonts w:ascii="Times New Roman" w:hAnsi="Times New Roman" w:cs="Times New Roman"/>
          <w:iCs/>
          <w:sz w:val="24"/>
          <w:szCs w:val="24"/>
        </w:rPr>
        <w:t>W roku ubiegłym nastąpił wzrost liczby kontroli zakładów w oparciu o dokumenty (o ponad 10%).</w:t>
      </w:r>
    </w:p>
    <w:p w14:paraId="213DD693" w14:textId="77777777" w:rsidR="00C96893" w:rsidRPr="007F400A" w:rsidRDefault="00C96893" w:rsidP="00056EE7">
      <w:pPr>
        <w:keepNext/>
        <w:spacing w:after="200" w:line="300" w:lineRule="atLeast"/>
        <w:ind w:firstLine="708"/>
        <w:contextualSpacing/>
        <w:jc w:val="center"/>
      </w:pPr>
      <w:r w:rsidRPr="0059575D">
        <w:rPr>
          <w:noProof/>
          <w:lang w:eastAsia="pl-PL"/>
        </w:rPr>
        <w:drawing>
          <wp:inline distT="0" distB="0" distL="0" distR="0" wp14:anchorId="283F5AC8" wp14:editId="3E3F6753">
            <wp:extent cx="4876800" cy="3658386"/>
            <wp:effectExtent l="0" t="0" r="0" b="0"/>
            <wp:docPr id="498" name="Obraz 498" descr="Pobór próbek z rowu S-B podczas kontroli interwencyjnej w miejscowości Oła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Obraz 498" descr="Pobór próbek z rowu S-B podczas kontroli interwencyjnej w miejscowości Oław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98402" cy="3674591"/>
                    </a:xfrm>
                    <a:prstGeom prst="rect">
                      <a:avLst/>
                    </a:prstGeom>
                    <a:noFill/>
                    <a:ln>
                      <a:noFill/>
                    </a:ln>
                  </pic:spPr>
                </pic:pic>
              </a:graphicData>
            </a:graphic>
          </wp:inline>
        </w:drawing>
      </w:r>
    </w:p>
    <w:p w14:paraId="5C5D7954" w14:textId="1D3C9E96" w:rsidR="00C96893" w:rsidRDefault="00C96893" w:rsidP="00056EE7">
      <w:pPr>
        <w:spacing w:after="0" w:line="300" w:lineRule="atLeast"/>
        <w:jc w:val="center"/>
        <w:rPr>
          <w:rFonts w:ascii="Times New Roman" w:eastAsia="Calibri" w:hAnsi="Times New Roman" w:cs="Times New Roman"/>
          <w:b/>
          <w:bCs/>
          <w:szCs w:val="18"/>
          <w:lang w:eastAsia="pl-PL"/>
        </w:rPr>
      </w:pPr>
      <w:r w:rsidRPr="007F400A">
        <w:rPr>
          <w:rFonts w:ascii="Times New Roman" w:eastAsia="Calibri" w:hAnsi="Times New Roman" w:cs="Times New Roman"/>
          <w:b/>
          <w:bCs/>
          <w:szCs w:val="18"/>
          <w:lang w:val="x-none" w:eastAsia="pl-PL"/>
        </w:rPr>
        <w:t xml:space="preserve">Zdjęcie </w:t>
      </w:r>
      <w:r w:rsidRPr="007F400A">
        <w:rPr>
          <w:rFonts w:ascii="Times New Roman" w:eastAsia="Calibri" w:hAnsi="Times New Roman" w:cs="Times New Roman"/>
          <w:b/>
          <w:bCs/>
          <w:szCs w:val="18"/>
          <w:lang w:val="x-none" w:eastAsia="pl-PL"/>
        </w:rPr>
        <w:fldChar w:fldCharType="begin"/>
      </w:r>
      <w:r w:rsidRPr="007F400A">
        <w:rPr>
          <w:rFonts w:ascii="Times New Roman" w:eastAsia="Calibri" w:hAnsi="Times New Roman" w:cs="Times New Roman"/>
          <w:b/>
          <w:bCs/>
          <w:szCs w:val="18"/>
          <w:lang w:val="x-none" w:eastAsia="pl-PL"/>
        </w:rPr>
        <w:instrText xml:space="preserve"> SEQ Zdjęcie \* ARABIC </w:instrText>
      </w:r>
      <w:r w:rsidRPr="007F400A">
        <w:rPr>
          <w:rFonts w:ascii="Times New Roman" w:eastAsia="Calibri" w:hAnsi="Times New Roman" w:cs="Times New Roman"/>
          <w:b/>
          <w:bCs/>
          <w:szCs w:val="18"/>
          <w:lang w:val="x-none" w:eastAsia="pl-PL"/>
        </w:rPr>
        <w:fldChar w:fldCharType="separate"/>
      </w:r>
      <w:r w:rsidR="00D61CF7">
        <w:rPr>
          <w:rFonts w:ascii="Times New Roman" w:eastAsia="Calibri" w:hAnsi="Times New Roman" w:cs="Times New Roman"/>
          <w:b/>
          <w:bCs/>
          <w:noProof/>
          <w:szCs w:val="18"/>
          <w:lang w:val="x-none" w:eastAsia="pl-PL"/>
        </w:rPr>
        <w:t>1</w:t>
      </w:r>
      <w:r w:rsidRPr="007F400A">
        <w:rPr>
          <w:rFonts w:ascii="Times New Roman" w:eastAsia="Calibri" w:hAnsi="Times New Roman" w:cs="Times New Roman"/>
          <w:b/>
          <w:bCs/>
          <w:szCs w:val="18"/>
          <w:lang w:val="x-none" w:eastAsia="pl-PL"/>
        </w:rPr>
        <w:fldChar w:fldCharType="end"/>
      </w:r>
      <w:r w:rsidRPr="007F400A">
        <w:rPr>
          <w:rFonts w:ascii="Times New Roman" w:eastAsia="Calibri" w:hAnsi="Times New Roman" w:cs="Times New Roman"/>
          <w:b/>
          <w:bCs/>
          <w:szCs w:val="18"/>
          <w:lang w:eastAsia="pl-PL"/>
        </w:rPr>
        <w:t xml:space="preserve">. </w:t>
      </w:r>
      <w:r>
        <w:rPr>
          <w:rFonts w:ascii="Times New Roman" w:eastAsia="Calibri" w:hAnsi="Times New Roman" w:cs="Times New Roman"/>
          <w:b/>
          <w:bCs/>
          <w:szCs w:val="18"/>
          <w:lang w:eastAsia="pl-PL"/>
        </w:rPr>
        <w:t>Pobór próbek z rowu S-B podczas kontroli interwencyjnej w miejscowości Oława</w:t>
      </w:r>
    </w:p>
    <w:p w14:paraId="090460A3" w14:textId="77777777" w:rsidR="00C96893" w:rsidRPr="007F400A" w:rsidRDefault="00C96893" w:rsidP="00056EE7">
      <w:pPr>
        <w:spacing w:after="0" w:line="300" w:lineRule="atLeast"/>
        <w:jc w:val="center"/>
        <w:rPr>
          <w:rFonts w:ascii="Times New Roman" w:eastAsia="Calibri" w:hAnsi="Times New Roman" w:cs="Times New Roman"/>
          <w:b/>
          <w:bCs/>
          <w:color w:val="4F81BD"/>
          <w:szCs w:val="18"/>
          <w:lang w:val="x-none" w:eastAsia="pl-PL"/>
        </w:rPr>
      </w:pPr>
    </w:p>
    <w:p w14:paraId="07FC0DE2" w14:textId="77777777" w:rsidR="00C96893" w:rsidRPr="007F400A" w:rsidRDefault="00C96893" w:rsidP="00056EE7">
      <w:pPr>
        <w:keepNext/>
        <w:spacing w:line="300" w:lineRule="atLeast"/>
        <w:jc w:val="center"/>
      </w:pPr>
      <w:r>
        <w:rPr>
          <w:noProof/>
          <w:lang w:eastAsia="pl-PL"/>
        </w:rPr>
        <w:lastRenderedPageBreak/>
        <w:drawing>
          <wp:inline distT="0" distB="0" distL="0" distR="0" wp14:anchorId="55A8C03F" wp14:editId="2030B591">
            <wp:extent cx="4286250" cy="3730293"/>
            <wp:effectExtent l="0" t="0" r="0" b="3810"/>
            <wp:docPr id="499" name="Obraz 499" descr="Pobór próbek wody do badań analitycznych z rzeki Odry przez Centralne Laboratorium Badawcze GIOŚ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Obraz 499" descr="Pobór próbek wody do badań analitycznych z rzeki Odry przez Centralne Laboratorium Badawcze GIOŚ "/>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92261" cy="3735524"/>
                    </a:xfrm>
                    <a:prstGeom prst="rect">
                      <a:avLst/>
                    </a:prstGeom>
                    <a:noFill/>
                    <a:ln>
                      <a:noFill/>
                    </a:ln>
                  </pic:spPr>
                </pic:pic>
              </a:graphicData>
            </a:graphic>
          </wp:inline>
        </w:drawing>
      </w:r>
    </w:p>
    <w:p w14:paraId="6BAD4135" w14:textId="52819DE0" w:rsidR="00C96893" w:rsidRPr="007F400A" w:rsidRDefault="00C96893" w:rsidP="00056EE7">
      <w:pPr>
        <w:spacing w:after="0" w:line="300" w:lineRule="atLeast"/>
        <w:jc w:val="center"/>
        <w:rPr>
          <w:lang w:eastAsia="pl-PL"/>
        </w:rPr>
      </w:pPr>
      <w:r w:rsidRPr="007F400A">
        <w:rPr>
          <w:rFonts w:ascii="Times New Roman" w:eastAsia="Calibri" w:hAnsi="Times New Roman" w:cs="Times New Roman"/>
          <w:b/>
          <w:bCs/>
          <w:szCs w:val="18"/>
          <w:lang w:val="x-none" w:eastAsia="pl-PL"/>
        </w:rPr>
        <w:t xml:space="preserve">Zdjęcie </w:t>
      </w:r>
      <w:r w:rsidRPr="007F400A">
        <w:rPr>
          <w:rFonts w:ascii="Times New Roman" w:eastAsia="Calibri" w:hAnsi="Times New Roman" w:cs="Times New Roman"/>
          <w:b/>
          <w:bCs/>
          <w:szCs w:val="18"/>
          <w:lang w:val="x-none" w:eastAsia="pl-PL"/>
        </w:rPr>
        <w:fldChar w:fldCharType="begin"/>
      </w:r>
      <w:r w:rsidRPr="007F400A">
        <w:rPr>
          <w:rFonts w:ascii="Times New Roman" w:eastAsia="Calibri" w:hAnsi="Times New Roman" w:cs="Times New Roman"/>
          <w:b/>
          <w:bCs/>
          <w:szCs w:val="18"/>
          <w:lang w:val="x-none" w:eastAsia="pl-PL"/>
        </w:rPr>
        <w:instrText xml:space="preserve"> SEQ Zdjęcie \* ARABIC </w:instrText>
      </w:r>
      <w:r w:rsidRPr="007F400A">
        <w:rPr>
          <w:rFonts w:ascii="Times New Roman" w:eastAsia="Calibri" w:hAnsi="Times New Roman" w:cs="Times New Roman"/>
          <w:b/>
          <w:bCs/>
          <w:szCs w:val="18"/>
          <w:lang w:val="x-none" w:eastAsia="pl-PL"/>
        </w:rPr>
        <w:fldChar w:fldCharType="separate"/>
      </w:r>
      <w:r w:rsidR="00D61CF7">
        <w:rPr>
          <w:rFonts w:ascii="Times New Roman" w:eastAsia="Calibri" w:hAnsi="Times New Roman" w:cs="Times New Roman"/>
          <w:b/>
          <w:bCs/>
          <w:noProof/>
          <w:szCs w:val="18"/>
          <w:lang w:val="x-none" w:eastAsia="pl-PL"/>
        </w:rPr>
        <w:t>2</w:t>
      </w:r>
      <w:r w:rsidRPr="007F400A">
        <w:rPr>
          <w:rFonts w:ascii="Times New Roman" w:eastAsia="Calibri" w:hAnsi="Times New Roman" w:cs="Times New Roman"/>
          <w:b/>
          <w:bCs/>
          <w:szCs w:val="18"/>
          <w:lang w:val="x-none" w:eastAsia="pl-PL"/>
        </w:rPr>
        <w:fldChar w:fldCharType="end"/>
      </w:r>
      <w:r w:rsidRPr="007F400A">
        <w:rPr>
          <w:rFonts w:ascii="Times New Roman" w:eastAsia="Calibri" w:hAnsi="Times New Roman" w:cs="Times New Roman"/>
          <w:b/>
          <w:bCs/>
          <w:szCs w:val="18"/>
          <w:lang w:eastAsia="pl-PL"/>
        </w:rPr>
        <w:t xml:space="preserve">. </w:t>
      </w:r>
      <w:r>
        <w:rPr>
          <w:rFonts w:ascii="Times New Roman" w:eastAsia="Calibri" w:hAnsi="Times New Roman" w:cs="Times New Roman"/>
          <w:b/>
          <w:bCs/>
          <w:szCs w:val="18"/>
          <w:lang w:eastAsia="pl-PL"/>
        </w:rPr>
        <w:t>Pobór p</w:t>
      </w:r>
      <w:r w:rsidRPr="00B44CE3">
        <w:rPr>
          <w:rFonts w:ascii="Times New Roman" w:eastAsia="Calibri" w:hAnsi="Times New Roman" w:cs="Times New Roman"/>
          <w:b/>
          <w:bCs/>
          <w:szCs w:val="18"/>
          <w:lang w:eastAsia="pl-PL"/>
        </w:rPr>
        <w:t>rób</w:t>
      </w:r>
      <w:r>
        <w:rPr>
          <w:rFonts w:ascii="Times New Roman" w:eastAsia="Calibri" w:hAnsi="Times New Roman" w:cs="Times New Roman"/>
          <w:b/>
          <w:bCs/>
          <w:szCs w:val="18"/>
          <w:lang w:eastAsia="pl-PL"/>
        </w:rPr>
        <w:t>ek</w:t>
      </w:r>
      <w:r w:rsidRPr="00B44CE3">
        <w:rPr>
          <w:rFonts w:ascii="Times New Roman" w:eastAsia="Calibri" w:hAnsi="Times New Roman" w:cs="Times New Roman"/>
          <w:b/>
          <w:bCs/>
          <w:szCs w:val="18"/>
          <w:lang w:eastAsia="pl-PL"/>
        </w:rPr>
        <w:t xml:space="preserve"> wody do badań analitycznych z rzeki Odry </w:t>
      </w:r>
      <w:r>
        <w:rPr>
          <w:rFonts w:ascii="Times New Roman" w:eastAsia="Calibri" w:hAnsi="Times New Roman" w:cs="Times New Roman"/>
          <w:b/>
          <w:bCs/>
          <w:szCs w:val="18"/>
          <w:lang w:eastAsia="pl-PL"/>
        </w:rPr>
        <w:t>przez</w:t>
      </w:r>
      <w:r w:rsidRPr="00B44CE3">
        <w:rPr>
          <w:rFonts w:ascii="Times New Roman" w:eastAsia="Calibri" w:hAnsi="Times New Roman" w:cs="Times New Roman"/>
          <w:b/>
          <w:bCs/>
          <w:szCs w:val="18"/>
          <w:lang w:eastAsia="pl-PL"/>
        </w:rPr>
        <w:t xml:space="preserve"> Centraln</w:t>
      </w:r>
      <w:r>
        <w:rPr>
          <w:rFonts w:ascii="Times New Roman" w:eastAsia="Calibri" w:hAnsi="Times New Roman" w:cs="Times New Roman"/>
          <w:b/>
          <w:bCs/>
          <w:szCs w:val="18"/>
          <w:lang w:eastAsia="pl-PL"/>
        </w:rPr>
        <w:t>e</w:t>
      </w:r>
      <w:r w:rsidRPr="00B44CE3">
        <w:rPr>
          <w:rFonts w:ascii="Times New Roman" w:eastAsia="Calibri" w:hAnsi="Times New Roman" w:cs="Times New Roman"/>
          <w:b/>
          <w:bCs/>
          <w:szCs w:val="18"/>
          <w:lang w:eastAsia="pl-PL"/>
        </w:rPr>
        <w:t xml:space="preserve"> Laboratorium Badawcz</w:t>
      </w:r>
      <w:r>
        <w:rPr>
          <w:rFonts w:ascii="Times New Roman" w:eastAsia="Calibri" w:hAnsi="Times New Roman" w:cs="Times New Roman"/>
          <w:b/>
          <w:bCs/>
          <w:szCs w:val="18"/>
          <w:lang w:eastAsia="pl-PL"/>
        </w:rPr>
        <w:t>e</w:t>
      </w:r>
      <w:r w:rsidRPr="00B44CE3">
        <w:rPr>
          <w:rFonts w:ascii="Times New Roman" w:eastAsia="Calibri" w:hAnsi="Times New Roman" w:cs="Times New Roman"/>
          <w:b/>
          <w:bCs/>
          <w:szCs w:val="18"/>
          <w:lang w:eastAsia="pl-PL"/>
        </w:rPr>
        <w:t xml:space="preserve"> GIOŚ </w:t>
      </w:r>
    </w:p>
    <w:p w14:paraId="70AB919A" w14:textId="77777777" w:rsidR="00C96893" w:rsidRPr="007F400A" w:rsidRDefault="00C96893" w:rsidP="00056EE7">
      <w:pPr>
        <w:keepNext/>
        <w:spacing w:after="200" w:line="300" w:lineRule="atLeast"/>
        <w:ind w:firstLine="708"/>
        <w:contextualSpacing/>
        <w:jc w:val="center"/>
      </w:pPr>
      <w:r>
        <w:rPr>
          <w:noProof/>
          <w:lang w:eastAsia="pl-PL"/>
        </w:rPr>
        <w:drawing>
          <wp:inline distT="0" distB="0" distL="0" distR="0" wp14:anchorId="57CFDB00" wp14:editId="4339D8C8">
            <wp:extent cx="3938456" cy="3228975"/>
            <wp:effectExtent l="0" t="0" r="5080" b="0"/>
            <wp:docPr id="500" name="Obraz 500" descr="Badania wstępne próbki wody za pomocą przyrządu wielofunkcyjnego Multimetr Elmetron ze stawu w Tułowica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Obraz 500" descr="Badania wstępne próbki wody za pomocą przyrządu wielofunkcyjnego Multimetr Elmetron ze stawu w Tułowicach "/>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944194" cy="3233680"/>
                    </a:xfrm>
                    <a:prstGeom prst="rect">
                      <a:avLst/>
                    </a:prstGeom>
                    <a:noFill/>
                    <a:ln>
                      <a:noFill/>
                    </a:ln>
                  </pic:spPr>
                </pic:pic>
              </a:graphicData>
            </a:graphic>
          </wp:inline>
        </w:drawing>
      </w:r>
    </w:p>
    <w:p w14:paraId="00FDAAD3" w14:textId="3E77884A" w:rsidR="00C96893" w:rsidRDefault="00C96893" w:rsidP="00056EE7">
      <w:pPr>
        <w:spacing w:after="0" w:line="300" w:lineRule="atLeast"/>
        <w:jc w:val="center"/>
        <w:rPr>
          <w:rFonts w:ascii="Times New Roman" w:eastAsia="Calibri" w:hAnsi="Times New Roman" w:cs="Times New Roman"/>
          <w:b/>
          <w:bCs/>
          <w:szCs w:val="18"/>
          <w:lang w:eastAsia="pl-PL"/>
        </w:rPr>
      </w:pPr>
      <w:r w:rsidRPr="007F400A">
        <w:rPr>
          <w:rFonts w:ascii="Times New Roman" w:eastAsia="Calibri" w:hAnsi="Times New Roman" w:cs="Times New Roman"/>
          <w:b/>
          <w:bCs/>
          <w:szCs w:val="18"/>
          <w:lang w:val="x-none" w:eastAsia="pl-PL"/>
        </w:rPr>
        <w:t xml:space="preserve">Zdjęcie </w:t>
      </w:r>
      <w:r w:rsidRPr="007F400A">
        <w:rPr>
          <w:rFonts w:ascii="Times New Roman" w:eastAsia="Calibri" w:hAnsi="Times New Roman" w:cs="Times New Roman"/>
          <w:b/>
          <w:bCs/>
          <w:szCs w:val="18"/>
          <w:lang w:val="x-none" w:eastAsia="pl-PL"/>
        </w:rPr>
        <w:fldChar w:fldCharType="begin"/>
      </w:r>
      <w:r w:rsidRPr="007F400A">
        <w:rPr>
          <w:rFonts w:ascii="Times New Roman" w:eastAsia="Calibri" w:hAnsi="Times New Roman" w:cs="Times New Roman"/>
          <w:b/>
          <w:bCs/>
          <w:szCs w:val="18"/>
          <w:lang w:val="x-none" w:eastAsia="pl-PL"/>
        </w:rPr>
        <w:instrText xml:space="preserve"> SEQ Zdjęcie \* ARABIC </w:instrText>
      </w:r>
      <w:r w:rsidRPr="007F400A">
        <w:rPr>
          <w:rFonts w:ascii="Times New Roman" w:eastAsia="Calibri" w:hAnsi="Times New Roman" w:cs="Times New Roman"/>
          <w:b/>
          <w:bCs/>
          <w:szCs w:val="18"/>
          <w:lang w:val="x-none" w:eastAsia="pl-PL"/>
        </w:rPr>
        <w:fldChar w:fldCharType="separate"/>
      </w:r>
      <w:r w:rsidR="00D61CF7">
        <w:rPr>
          <w:rFonts w:ascii="Times New Roman" w:eastAsia="Calibri" w:hAnsi="Times New Roman" w:cs="Times New Roman"/>
          <w:b/>
          <w:bCs/>
          <w:noProof/>
          <w:szCs w:val="18"/>
          <w:lang w:val="x-none" w:eastAsia="pl-PL"/>
        </w:rPr>
        <w:t>3</w:t>
      </w:r>
      <w:r w:rsidRPr="007F400A">
        <w:rPr>
          <w:rFonts w:ascii="Times New Roman" w:eastAsia="Calibri" w:hAnsi="Times New Roman" w:cs="Times New Roman"/>
          <w:b/>
          <w:bCs/>
          <w:szCs w:val="18"/>
          <w:lang w:val="x-none" w:eastAsia="pl-PL"/>
        </w:rPr>
        <w:fldChar w:fldCharType="end"/>
      </w:r>
      <w:r w:rsidRPr="007F400A">
        <w:rPr>
          <w:rFonts w:ascii="Times New Roman" w:eastAsia="Calibri" w:hAnsi="Times New Roman" w:cs="Times New Roman"/>
          <w:b/>
          <w:bCs/>
          <w:szCs w:val="18"/>
          <w:lang w:eastAsia="pl-PL"/>
        </w:rPr>
        <w:t xml:space="preserve">. </w:t>
      </w:r>
      <w:r w:rsidRPr="00B44CE3">
        <w:rPr>
          <w:rFonts w:ascii="Times New Roman" w:eastAsia="Calibri" w:hAnsi="Times New Roman" w:cs="Times New Roman"/>
          <w:b/>
          <w:bCs/>
          <w:szCs w:val="18"/>
          <w:lang w:eastAsia="pl-PL"/>
        </w:rPr>
        <w:t>Badania wstępne prób</w:t>
      </w:r>
      <w:r>
        <w:rPr>
          <w:rFonts w:ascii="Times New Roman" w:eastAsia="Calibri" w:hAnsi="Times New Roman" w:cs="Times New Roman"/>
          <w:b/>
          <w:bCs/>
          <w:szCs w:val="18"/>
          <w:lang w:eastAsia="pl-PL"/>
        </w:rPr>
        <w:t>ki</w:t>
      </w:r>
      <w:r w:rsidRPr="00B44CE3">
        <w:rPr>
          <w:rFonts w:ascii="Times New Roman" w:eastAsia="Calibri" w:hAnsi="Times New Roman" w:cs="Times New Roman"/>
          <w:b/>
          <w:bCs/>
          <w:szCs w:val="18"/>
          <w:lang w:eastAsia="pl-PL"/>
        </w:rPr>
        <w:t xml:space="preserve"> wody za pomocą przyrządu wielofunkcyjnego Multimetr </w:t>
      </w:r>
      <w:proofErr w:type="spellStart"/>
      <w:r w:rsidRPr="00B44CE3">
        <w:rPr>
          <w:rFonts w:ascii="Times New Roman" w:eastAsia="Calibri" w:hAnsi="Times New Roman" w:cs="Times New Roman"/>
          <w:b/>
          <w:bCs/>
          <w:szCs w:val="18"/>
          <w:lang w:eastAsia="pl-PL"/>
        </w:rPr>
        <w:t>Elmetron</w:t>
      </w:r>
      <w:proofErr w:type="spellEnd"/>
      <w:r w:rsidRPr="00B44CE3">
        <w:rPr>
          <w:rFonts w:ascii="Times New Roman" w:eastAsia="Calibri" w:hAnsi="Times New Roman" w:cs="Times New Roman"/>
          <w:b/>
          <w:bCs/>
          <w:szCs w:val="18"/>
          <w:lang w:eastAsia="pl-PL"/>
        </w:rPr>
        <w:t xml:space="preserve"> ze stawu w Tułowicach </w:t>
      </w:r>
    </w:p>
    <w:p w14:paraId="1E8F0718" w14:textId="77777777" w:rsidR="00C96893" w:rsidRPr="007F400A" w:rsidRDefault="00C96893" w:rsidP="00056EE7">
      <w:pPr>
        <w:spacing w:after="0" w:line="300" w:lineRule="atLeast"/>
        <w:jc w:val="center"/>
        <w:rPr>
          <w:rFonts w:ascii="Times New Roman" w:eastAsia="Calibri" w:hAnsi="Times New Roman" w:cs="Times New Roman"/>
          <w:b/>
          <w:bCs/>
          <w:color w:val="4F81BD"/>
          <w:sz w:val="32"/>
          <w:szCs w:val="24"/>
          <w:lang w:val="x-none" w:eastAsia="pl-PL"/>
        </w:rPr>
      </w:pPr>
    </w:p>
    <w:p w14:paraId="700FDE29" w14:textId="77777777" w:rsidR="00C96893" w:rsidRPr="007F400A" w:rsidRDefault="00C96893" w:rsidP="00056EE7">
      <w:pPr>
        <w:keepNext/>
        <w:spacing w:after="200" w:line="300" w:lineRule="atLeast"/>
        <w:ind w:firstLine="708"/>
        <w:contextualSpacing/>
        <w:jc w:val="center"/>
      </w:pPr>
      <w:r>
        <w:rPr>
          <w:noProof/>
          <w:lang w:eastAsia="pl-PL"/>
        </w:rPr>
        <w:lastRenderedPageBreak/>
        <w:drawing>
          <wp:inline distT="0" distB="0" distL="0" distR="0" wp14:anchorId="256DF512" wp14:editId="3F7DCAEF">
            <wp:extent cx="2924175" cy="3897289"/>
            <wp:effectExtent l="0" t="0" r="0" b="8255"/>
            <wp:docPr id="501" name="Obraz 501" descr="Kontrola z wykorzystaniem przenośnego automatu do poboru próbki średniodobowej ściekó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Obraz 501" descr="Kontrola z wykorzystaniem przenośnego automatu do poboru próbki średniodobowej ścieków "/>
                    <pic:cNvPicPr/>
                  </pic:nvPicPr>
                  <pic:blipFill>
                    <a:blip r:embed="rId16"/>
                    <a:stretch>
                      <a:fillRect/>
                    </a:stretch>
                  </pic:blipFill>
                  <pic:spPr>
                    <a:xfrm>
                      <a:off x="0" y="0"/>
                      <a:ext cx="2937150" cy="3914582"/>
                    </a:xfrm>
                    <a:prstGeom prst="rect">
                      <a:avLst/>
                    </a:prstGeom>
                  </pic:spPr>
                </pic:pic>
              </a:graphicData>
            </a:graphic>
          </wp:inline>
        </w:drawing>
      </w:r>
    </w:p>
    <w:p w14:paraId="2BCACA50" w14:textId="7ABCCA95" w:rsidR="00C96893" w:rsidRPr="007F400A" w:rsidRDefault="00C96893" w:rsidP="00056EE7">
      <w:pPr>
        <w:spacing w:after="0" w:line="300" w:lineRule="atLeast"/>
        <w:jc w:val="center"/>
        <w:rPr>
          <w:rFonts w:ascii="Times New Roman" w:eastAsia="Calibri" w:hAnsi="Times New Roman" w:cs="Times New Roman"/>
          <w:b/>
          <w:bCs/>
          <w:color w:val="4F81BD"/>
          <w:szCs w:val="18"/>
          <w:lang w:val="x-none" w:eastAsia="pl-PL"/>
        </w:rPr>
      </w:pPr>
      <w:r w:rsidRPr="007F400A">
        <w:rPr>
          <w:rFonts w:ascii="Times New Roman" w:eastAsia="Calibri" w:hAnsi="Times New Roman" w:cs="Times New Roman"/>
          <w:b/>
          <w:bCs/>
          <w:szCs w:val="18"/>
          <w:lang w:val="x-none" w:eastAsia="pl-PL"/>
        </w:rPr>
        <w:t xml:space="preserve">Zdjęcie </w:t>
      </w:r>
      <w:r w:rsidRPr="007F400A">
        <w:rPr>
          <w:rFonts w:ascii="Times New Roman" w:eastAsia="Calibri" w:hAnsi="Times New Roman" w:cs="Times New Roman"/>
          <w:b/>
          <w:bCs/>
          <w:szCs w:val="18"/>
          <w:lang w:val="x-none" w:eastAsia="pl-PL"/>
        </w:rPr>
        <w:fldChar w:fldCharType="begin"/>
      </w:r>
      <w:r w:rsidRPr="007F400A">
        <w:rPr>
          <w:rFonts w:ascii="Times New Roman" w:eastAsia="Calibri" w:hAnsi="Times New Roman" w:cs="Times New Roman"/>
          <w:b/>
          <w:bCs/>
          <w:szCs w:val="18"/>
          <w:lang w:val="x-none" w:eastAsia="pl-PL"/>
        </w:rPr>
        <w:instrText xml:space="preserve"> SEQ Zdjęcie \* ARABIC </w:instrText>
      </w:r>
      <w:r w:rsidRPr="007F400A">
        <w:rPr>
          <w:rFonts w:ascii="Times New Roman" w:eastAsia="Calibri" w:hAnsi="Times New Roman" w:cs="Times New Roman"/>
          <w:b/>
          <w:bCs/>
          <w:szCs w:val="18"/>
          <w:lang w:val="x-none" w:eastAsia="pl-PL"/>
        </w:rPr>
        <w:fldChar w:fldCharType="separate"/>
      </w:r>
      <w:r w:rsidR="00D61CF7">
        <w:rPr>
          <w:rFonts w:ascii="Times New Roman" w:eastAsia="Calibri" w:hAnsi="Times New Roman" w:cs="Times New Roman"/>
          <w:b/>
          <w:bCs/>
          <w:noProof/>
          <w:szCs w:val="18"/>
          <w:lang w:val="x-none" w:eastAsia="pl-PL"/>
        </w:rPr>
        <w:t>4</w:t>
      </w:r>
      <w:r w:rsidRPr="007F400A">
        <w:rPr>
          <w:rFonts w:ascii="Times New Roman" w:eastAsia="Calibri" w:hAnsi="Times New Roman" w:cs="Times New Roman"/>
          <w:b/>
          <w:bCs/>
          <w:szCs w:val="18"/>
          <w:lang w:val="x-none" w:eastAsia="pl-PL"/>
        </w:rPr>
        <w:fldChar w:fldCharType="end"/>
      </w:r>
      <w:r w:rsidRPr="007F400A">
        <w:rPr>
          <w:rFonts w:ascii="Times New Roman" w:eastAsia="Calibri" w:hAnsi="Times New Roman" w:cs="Times New Roman"/>
          <w:b/>
          <w:bCs/>
          <w:szCs w:val="18"/>
          <w:lang w:eastAsia="pl-PL"/>
        </w:rPr>
        <w:t xml:space="preserve">. </w:t>
      </w:r>
      <w:r w:rsidRPr="00B44CE3">
        <w:rPr>
          <w:rFonts w:ascii="Times New Roman" w:eastAsia="Calibri" w:hAnsi="Times New Roman" w:cs="Times New Roman"/>
          <w:b/>
          <w:bCs/>
          <w:szCs w:val="18"/>
          <w:lang w:eastAsia="pl-PL"/>
        </w:rPr>
        <w:t>Kontrol</w:t>
      </w:r>
      <w:r>
        <w:rPr>
          <w:rFonts w:ascii="Times New Roman" w:eastAsia="Calibri" w:hAnsi="Times New Roman" w:cs="Times New Roman"/>
          <w:b/>
          <w:bCs/>
          <w:szCs w:val="18"/>
          <w:lang w:eastAsia="pl-PL"/>
        </w:rPr>
        <w:t>a</w:t>
      </w:r>
      <w:r w:rsidRPr="00B44CE3">
        <w:rPr>
          <w:rFonts w:ascii="Times New Roman" w:eastAsia="Calibri" w:hAnsi="Times New Roman" w:cs="Times New Roman"/>
          <w:b/>
          <w:bCs/>
          <w:szCs w:val="18"/>
          <w:lang w:eastAsia="pl-PL"/>
        </w:rPr>
        <w:t xml:space="preserve"> z wykorzystaniem przenośnego automatu do poboru próbki średniodobowej ścieków</w:t>
      </w:r>
      <w:r w:rsidRPr="00B44CE3" w:rsidDel="00B44CE3">
        <w:rPr>
          <w:rFonts w:ascii="Times New Roman" w:eastAsia="Calibri" w:hAnsi="Times New Roman" w:cs="Times New Roman"/>
          <w:b/>
          <w:bCs/>
          <w:szCs w:val="18"/>
          <w:lang w:eastAsia="pl-PL"/>
        </w:rPr>
        <w:t xml:space="preserve"> </w:t>
      </w:r>
    </w:p>
    <w:p w14:paraId="1DC0213A" w14:textId="77777777" w:rsidR="00C96893" w:rsidRPr="007F400A" w:rsidRDefault="00C96893" w:rsidP="00056EE7">
      <w:pPr>
        <w:keepNext/>
        <w:spacing w:line="300" w:lineRule="atLeast"/>
        <w:jc w:val="center"/>
      </w:pPr>
      <w:r>
        <w:rPr>
          <w:noProof/>
          <w:lang w:eastAsia="pl-PL"/>
        </w:rPr>
        <w:drawing>
          <wp:inline distT="0" distB="0" distL="0" distR="0" wp14:anchorId="15CECCD1" wp14:editId="282DF301">
            <wp:extent cx="2798063" cy="3724275"/>
            <wp:effectExtent l="0" t="0" r="2540" b="0"/>
            <wp:docPr id="120" name="Obraz 120" descr="Inspektor używający zadymiarki w celu ustalenia wylotu kanaliza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Obraz 120" descr="Inspektor używający zadymiarki w celu ustalenia wylotu kanalizacji"/>
                    <pic:cNvPicPr/>
                  </pic:nvPicPr>
                  <pic:blipFill>
                    <a:blip r:embed="rId17"/>
                    <a:stretch>
                      <a:fillRect/>
                    </a:stretch>
                  </pic:blipFill>
                  <pic:spPr>
                    <a:xfrm>
                      <a:off x="0" y="0"/>
                      <a:ext cx="2817757" cy="3750488"/>
                    </a:xfrm>
                    <a:prstGeom prst="rect">
                      <a:avLst/>
                    </a:prstGeom>
                  </pic:spPr>
                </pic:pic>
              </a:graphicData>
            </a:graphic>
          </wp:inline>
        </w:drawing>
      </w:r>
    </w:p>
    <w:p w14:paraId="6EC77074" w14:textId="516D8FFB" w:rsidR="00C96893" w:rsidRPr="00B44CE3" w:rsidRDefault="00C96893" w:rsidP="00056EE7">
      <w:pPr>
        <w:spacing w:after="0" w:line="300" w:lineRule="atLeast"/>
        <w:jc w:val="center"/>
        <w:rPr>
          <w:rFonts w:ascii="Times New Roman" w:eastAsia="Calibri" w:hAnsi="Times New Roman" w:cs="Times New Roman"/>
          <w:b/>
          <w:bCs/>
          <w:szCs w:val="18"/>
          <w:lang w:eastAsia="pl-PL"/>
        </w:rPr>
      </w:pPr>
      <w:r w:rsidRPr="007F400A">
        <w:rPr>
          <w:rFonts w:ascii="Times New Roman" w:eastAsia="Calibri" w:hAnsi="Times New Roman" w:cs="Times New Roman"/>
          <w:b/>
          <w:bCs/>
          <w:szCs w:val="18"/>
          <w:lang w:val="x-none" w:eastAsia="pl-PL"/>
        </w:rPr>
        <w:t xml:space="preserve">Zdjęcie </w:t>
      </w:r>
      <w:r w:rsidRPr="007F400A">
        <w:rPr>
          <w:rFonts w:ascii="Times New Roman" w:eastAsia="Calibri" w:hAnsi="Times New Roman" w:cs="Times New Roman"/>
          <w:b/>
          <w:bCs/>
          <w:szCs w:val="18"/>
          <w:lang w:val="x-none" w:eastAsia="pl-PL"/>
        </w:rPr>
        <w:fldChar w:fldCharType="begin"/>
      </w:r>
      <w:r w:rsidRPr="007F400A">
        <w:rPr>
          <w:rFonts w:ascii="Times New Roman" w:eastAsia="Calibri" w:hAnsi="Times New Roman" w:cs="Times New Roman"/>
          <w:b/>
          <w:bCs/>
          <w:szCs w:val="18"/>
          <w:lang w:val="x-none" w:eastAsia="pl-PL"/>
        </w:rPr>
        <w:instrText xml:space="preserve"> SEQ Zdjęcie \* ARABIC </w:instrText>
      </w:r>
      <w:r w:rsidRPr="007F400A">
        <w:rPr>
          <w:rFonts w:ascii="Times New Roman" w:eastAsia="Calibri" w:hAnsi="Times New Roman" w:cs="Times New Roman"/>
          <w:b/>
          <w:bCs/>
          <w:szCs w:val="18"/>
          <w:lang w:val="x-none" w:eastAsia="pl-PL"/>
        </w:rPr>
        <w:fldChar w:fldCharType="separate"/>
      </w:r>
      <w:r w:rsidR="00D61CF7">
        <w:rPr>
          <w:rFonts w:ascii="Times New Roman" w:eastAsia="Calibri" w:hAnsi="Times New Roman" w:cs="Times New Roman"/>
          <w:b/>
          <w:bCs/>
          <w:noProof/>
          <w:szCs w:val="18"/>
          <w:lang w:val="x-none" w:eastAsia="pl-PL"/>
        </w:rPr>
        <w:t>5</w:t>
      </w:r>
      <w:r w:rsidRPr="007F400A">
        <w:rPr>
          <w:rFonts w:ascii="Times New Roman" w:eastAsia="Calibri" w:hAnsi="Times New Roman" w:cs="Times New Roman"/>
          <w:b/>
          <w:bCs/>
          <w:szCs w:val="18"/>
          <w:lang w:val="x-none" w:eastAsia="pl-PL"/>
        </w:rPr>
        <w:fldChar w:fldCharType="end"/>
      </w:r>
      <w:r w:rsidRPr="007F400A">
        <w:rPr>
          <w:rFonts w:ascii="Times New Roman" w:eastAsia="Calibri" w:hAnsi="Times New Roman" w:cs="Times New Roman"/>
          <w:b/>
          <w:bCs/>
          <w:szCs w:val="18"/>
          <w:lang w:eastAsia="pl-PL"/>
        </w:rPr>
        <w:t xml:space="preserve">. </w:t>
      </w:r>
      <w:r w:rsidRPr="00B44CE3">
        <w:rPr>
          <w:rFonts w:ascii="Times New Roman" w:eastAsia="Calibri" w:hAnsi="Times New Roman" w:cs="Times New Roman"/>
          <w:b/>
          <w:bCs/>
          <w:szCs w:val="18"/>
          <w:lang w:eastAsia="pl-PL"/>
        </w:rPr>
        <w:t xml:space="preserve">Inspektor używający </w:t>
      </w:r>
      <w:proofErr w:type="spellStart"/>
      <w:r w:rsidRPr="00B44CE3">
        <w:rPr>
          <w:rFonts w:ascii="Times New Roman" w:eastAsia="Calibri" w:hAnsi="Times New Roman" w:cs="Times New Roman"/>
          <w:b/>
          <w:bCs/>
          <w:szCs w:val="18"/>
          <w:lang w:eastAsia="pl-PL"/>
        </w:rPr>
        <w:t>zadymiarki</w:t>
      </w:r>
      <w:proofErr w:type="spellEnd"/>
      <w:r w:rsidRPr="00B44CE3">
        <w:rPr>
          <w:rFonts w:ascii="Times New Roman" w:eastAsia="Calibri" w:hAnsi="Times New Roman" w:cs="Times New Roman"/>
          <w:b/>
          <w:bCs/>
          <w:szCs w:val="18"/>
          <w:lang w:eastAsia="pl-PL"/>
        </w:rPr>
        <w:t xml:space="preserve"> w celu ustalenia wylotu kanalizacji</w:t>
      </w:r>
    </w:p>
    <w:p w14:paraId="74320FCB" w14:textId="77777777" w:rsidR="00C96893" w:rsidRPr="007F400A" w:rsidRDefault="00C96893" w:rsidP="00056EE7">
      <w:pPr>
        <w:spacing w:after="0" w:line="300" w:lineRule="atLeast"/>
        <w:jc w:val="center"/>
        <w:rPr>
          <w:rFonts w:ascii="Times New Roman" w:eastAsia="Calibri" w:hAnsi="Times New Roman" w:cs="Times New Roman"/>
          <w:b/>
          <w:bCs/>
          <w:noProof/>
          <w:color w:val="4F81BD"/>
          <w:szCs w:val="18"/>
          <w:lang w:val="x-none" w:eastAsia="pl-PL"/>
        </w:rPr>
      </w:pPr>
    </w:p>
    <w:p w14:paraId="3F94D01D" w14:textId="77777777" w:rsidR="00C96893" w:rsidRPr="007F400A" w:rsidRDefault="00C96893" w:rsidP="00056EE7">
      <w:pPr>
        <w:keepNext/>
        <w:spacing w:after="200" w:line="300" w:lineRule="atLeast"/>
        <w:contextualSpacing/>
        <w:jc w:val="center"/>
      </w:pPr>
      <w:r>
        <w:rPr>
          <w:noProof/>
          <w:lang w:eastAsia="pl-PL"/>
        </w:rPr>
        <w:lastRenderedPageBreak/>
        <w:drawing>
          <wp:inline distT="0" distB="0" distL="0" distR="0" wp14:anchorId="0447ED48" wp14:editId="4A33E0FE">
            <wp:extent cx="4781550" cy="3584085"/>
            <wp:effectExtent l="0" t="0" r="0" b="0"/>
            <wp:docPr id="502" name="Obraz 502" descr="Wspólna akcja kontrolna z Krajową Administracją Skarbową z przejścia granicznego w miejscowości Świeck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Obraz 502" descr="Wspólna akcja kontrolna z Krajową Administracją Skarbową z przejścia granicznego w miejscowości Świecko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96052" cy="3594955"/>
                    </a:xfrm>
                    <a:prstGeom prst="rect">
                      <a:avLst/>
                    </a:prstGeom>
                    <a:noFill/>
                    <a:ln>
                      <a:noFill/>
                    </a:ln>
                  </pic:spPr>
                </pic:pic>
              </a:graphicData>
            </a:graphic>
          </wp:inline>
        </w:drawing>
      </w:r>
    </w:p>
    <w:p w14:paraId="4B00BBA1" w14:textId="7E3BD32C" w:rsidR="00C96893" w:rsidRPr="007F400A" w:rsidRDefault="00C96893" w:rsidP="00056EE7">
      <w:pPr>
        <w:spacing w:after="0" w:line="300" w:lineRule="atLeast"/>
        <w:jc w:val="center"/>
        <w:rPr>
          <w:rFonts w:ascii="Times New Roman" w:eastAsia="Calibri" w:hAnsi="Times New Roman" w:cs="Times New Roman"/>
          <w:b/>
          <w:bCs/>
          <w:color w:val="4F81BD"/>
          <w:szCs w:val="18"/>
          <w:lang w:val="x-none" w:eastAsia="pl-PL"/>
        </w:rPr>
      </w:pPr>
      <w:r w:rsidRPr="007F400A">
        <w:rPr>
          <w:rFonts w:ascii="Times New Roman" w:eastAsia="Calibri" w:hAnsi="Times New Roman" w:cs="Times New Roman"/>
          <w:b/>
          <w:bCs/>
          <w:szCs w:val="18"/>
          <w:lang w:val="x-none" w:eastAsia="pl-PL"/>
        </w:rPr>
        <w:t xml:space="preserve">Zdjęcie </w:t>
      </w:r>
      <w:r w:rsidRPr="007F400A">
        <w:rPr>
          <w:rFonts w:ascii="Times New Roman" w:eastAsia="Calibri" w:hAnsi="Times New Roman" w:cs="Times New Roman"/>
          <w:b/>
          <w:bCs/>
          <w:szCs w:val="18"/>
          <w:lang w:val="x-none" w:eastAsia="pl-PL"/>
        </w:rPr>
        <w:fldChar w:fldCharType="begin"/>
      </w:r>
      <w:r w:rsidRPr="007F400A">
        <w:rPr>
          <w:rFonts w:ascii="Times New Roman" w:eastAsia="Calibri" w:hAnsi="Times New Roman" w:cs="Times New Roman"/>
          <w:b/>
          <w:bCs/>
          <w:szCs w:val="18"/>
          <w:lang w:val="x-none" w:eastAsia="pl-PL"/>
        </w:rPr>
        <w:instrText xml:space="preserve"> SEQ Zdjęcie \* ARABIC </w:instrText>
      </w:r>
      <w:r w:rsidRPr="007F400A">
        <w:rPr>
          <w:rFonts w:ascii="Times New Roman" w:eastAsia="Calibri" w:hAnsi="Times New Roman" w:cs="Times New Roman"/>
          <w:b/>
          <w:bCs/>
          <w:szCs w:val="18"/>
          <w:lang w:val="x-none" w:eastAsia="pl-PL"/>
        </w:rPr>
        <w:fldChar w:fldCharType="separate"/>
      </w:r>
      <w:r w:rsidR="00D61CF7">
        <w:rPr>
          <w:rFonts w:ascii="Times New Roman" w:eastAsia="Calibri" w:hAnsi="Times New Roman" w:cs="Times New Roman"/>
          <w:b/>
          <w:bCs/>
          <w:noProof/>
          <w:szCs w:val="18"/>
          <w:lang w:val="x-none" w:eastAsia="pl-PL"/>
        </w:rPr>
        <w:t>6</w:t>
      </w:r>
      <w:r w:rsidRPr="007F400A">
        <w:rPr>
          <w:rFonts w:ascii="Times New Roman" w:eastAsia="Calibri" w:hAnsi="Times New Roman" w:cs="Times New Roman"/>
          <w:b/>
          <w:bCs/>
          <w:szCs w:val="18"/>
          <w:lang w:val="x-none" w:eastAsia="pl-PL"/>
        </w:rPr>
        <w:fldChar w:fldCharType="end"/>
      </w:r>
      <w:r w:rsidRPr="007F400A">
        <w:rPr>
          <w:rFonts w:ascii="Times New Roman" w:eastAsia="Calibri" w:hAnsi="Times New Roman" w:cs="Times New Roman"/>
          <w:b/>
          <w:bCs/>
          <w:szCs w:val="18"/>
          <w:lang w:eastAsia="pl-PL"/>
        </w:rPr>
        <w:t xml:space="preserve">. </w:t>
      </w:r>
      <w:r>
        <w:rPr>
          <w:rFonts w:ascii="Times New Roman" w:eastAsia="Calibri" w:hAnsi="Times New Roman" w:cs="Times New Roman"/>
          <w:b/>
          <w:bCs/>
          <w:szCs w:val="18"/>
          <w:lang w:eastAsia="pl-PL"/>
        </w:rPr>
        <w:t>W</w:t>
      </w:r>
      <w:r w:rsidRPr="009439C4">
        <w:rPr>
          <w:rFonts w:ascii="Times New Roman" w:eastAsia="Calibri" w:hAnsi="Times New Roman" w:cs="Times New Roman"/>
          <w:b/>
          <w:bCs/>
          <w:szCs w:val="18"/>
          <w:lang w:eastAsia="pl-PL"/>
        </w:rPr>
        <w:t>spóln</w:t>
      </w:r>
      <w:r>
        <w:rPr>
          <w:rFonts w:ascii="Times New Roman" w:eastAsia="Calibri" w:hAnsi="Times New Roman" w:cs="Times New Roman"/>
          <w:b/>
          <w:bCs/>
          <w:szCs w:val="18"/>
          <w:lang w:eastAsia="pl-PL"/>
        </w:rPr>
        <w:t>a</w:t>
      </w:r>
      <w:r w:rsidRPr="009439C4">
        <w:rPr>
          <w:rFonts w:ascii="Times New Roman" w:eastAsia="Calibri" w:hAnsi="Times New Roman" w:cs="Times New Roman"/>
          <w:b/>
          <w:bCs/>
          <w:szCs w:val="18"/>
          <w:lang w:eastAsia="pl-PL"/>
        </w:rPr>
        <w:t xml:space="preserve"> akcj</w:t>
      </w:r>
      <w:r>
        <w:rPr>
          <w:rFonts w:ascii="Times New Roman" w:eastAsia="Calibri" w:hAnsi="Times New Roman" w:cs="Times New Roman"/>
          <w:b/>
          <w:bCs/>
          <w:szCs w:val="18"/>
          <w:lang w:eastAsia="pl-PL"/>
        </w:rPr>
        <w:t>a</w:t>
      </w:r>
      <w:r w:rsidRPr="009439C4">
        <w:rPr>
          <w:rFonts w:ascii="Times New Roman" w:eastAsia="Calibri" w:hAnsi="Times New Roman" w:cs="Times New Roman"/>
          <w:b/>
          <w:bCs/>
          <w:szCs w:val="18"/>
          <w:lang w:eastAsia="pl-PL"/>
        </w:rPr>
        <w:t xml:space="preserve"> kontroln</w:t>
      </w:r>
      <w:r>
        <w:rPr>
          <w:rFonts w:ascii="Times New Roman" w:eastAsia="Calibri" w:hAnsi="Times New Roman" w:cs="Times New Roman"/>
          <w:b/>
          <w:bCs/>
          <w:szCs w:val="18"/>
          <w:lang w:eastAsia="pl-PL"/>
        </w:rPr>
        <w:t>a</w:t>
      </w:r>
      <w:r w:rsidRPr="009439C4">
        <w:rPr>
          <w:rFonts w:ascii="Times New Roman" w:eastAsia="Calibri" w:hAnsi="Times New Roman" w:cs="Times New Roman"/>
          <w:b/>
          <w:bCs/>
          <w:szCs w:val="18"/>
          <w:lang w:eastAsia="pl-PL"/>
        </w:rPr>
        <w:t xml:space="preserve"> z Krajową Administracją Skarbową z przejścia granicznego w miejscowości Świecko</w:t>
      </w:r>
      <w:r w:rsidRPr="009439C4" w:rsidDel="009439C4">
        <w:rPr>
          <w:rFonts w:ascii="Times New Roman" w:eastAsia="Calibri" w:hAnsi="Times New Roman" w:cs="Times New Roman"/>
          <w:b/>
          <w:bCs/>
          <w:szCs w:val="18"/>
          <w:lang w:eastAsia="pl-PL"/>
        </w:rPr>
        <w:t xml:space="preserve"> </w:t>
      </w:r>
    </w:p>
    <w:p w14:paraId="762AFA2F" w14:textId="77777777" w:rsidR="00C96893" w:rsidRPr="007F400A" w:rsidRDefault="00C96893" w:rsidP="00056EE7">
      <w:pPr>
        <w:keepNext/>
        <w:spacing w:line="300" w:lineRule="atLeast"/>
        <w:jc w:val="center"/>
      </w:pPr>
      <w:r>
        <w:rPr>
          <w:noProof/>
          <w:lang w:eastAsia="pl-PL"/>
        </w:rPr>
        <w:drawing>
          <wp:inline distT="0" distB="0" distL="0" distR="0" wp14:anchorId="38D014F9" wp14:editId="6A01044E">
            <wp:extent cx="4352925" cy="3371201"/>
            <wp:effectExtent l="0" t="0" r="0" b="1270"/>
            <wp:docPr id="503" name="Obraz 503" descr="Pomiar na obecność toksycznych substancji w powietrzu przy użyciu mobilnego detektora gazów po pożarze składowiska odpadów w Kielcz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Obraz 503" descr="Pomiar na obecność toksycznych substancji w powietrzu przy użyciu mobilnego detektora gazów po pożarze składowiska odpadów w Kielczy "/>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54455" cy="3372386"/>
                    </a:xfrm>
                    <a:prstGeom prst="rect">
                      <a:avLst/>
                    </a:prstGeom>
                    <a:noFill/>
                    <a:ln>
                      <a:noFill/>
                    </a:ln>
                  </pic:spPr>
                </pic:pic>
              </a:graphicData>
            </a:graphic>
          </wp:inline>
        </w:drawing>
      </w:r>
    </w:p>
    <w:p w14:paraId="69CCD016" w14:textId="68459EBA" w:rsidR="00C96893" w:rsidRDefault="00C96893" w:rsidP="00056EE7">
      <w:pPr>
        <w:spacing w:after="200" w:line="300" w:lineRule="atLeast"/>
        <w:contextualSpacing/>
        <w:jc w:val="center"/>
        <w:rPr>
          <w:rFonts w:ascii="Times New Roman" w:hAnsi="Times New Roman" w:cs="Times New Roman"/>
          <w:b/>
          <w:bCs/>
          <w:color w:val="000000" w:themeColor="text1"/>
          <w:lang w:val="x-none"/>
        </w:rPr>
      </w:pPr>
      <w:r w:rsidRPr="007F400A">
        <w:rPr>
          <w:rFonts w:ascii="Times New Roman" w:hAnsi="Times New Roman" w:cs="Times New Roman"/>
          <w:b/>
          <w:bCs/>
          <w:color w:val="000000" w:themeColor="text1"/>
          <w:lang w:val="x-none"/>
        </w:rPr>
        <w:t xml:space="preserve">Zdjęcie </w:t>
      </w:r>
      <w:r w:rsidRPr="007F400A">
        <w:rPr>
          <w:rFonts w:ascii="Times New Roman" w:hAnsi="Times New Roman" w:cs="Times New Roman"/>
          <w:b/>
          <w:bCs/>
          <w:color w:val="000000" w:themeColor="text1"/>
          <w:lang w:val="x-none"/>
        </w:rPr>
        <w:fldChar w:fldCharType="begin"/>
      </w:r>
      <w:r w:rsidRPr="007F400A">
        <w:rPr>
          <w:rFonts w:ascii="Times New Roman" w:hAnsi="Times New Roman" w:cs="Times New Roman"/>
          <w:b/>
          <w:bCs/>
          <w:color w:val="000000" w:themeColor="text1"/>
          <w:lang w:val="x-none"/>
        </w:rPr>
        <w:instrText xml:space="preserve"> SEQ Zdjęcie \* ARABIC </w:instrText>
      </w:r>
      <w:r w:rsidRPr="007F400A">
        <w:rPr>
          <w:rFonts w:ascii="Times New Roman" w:hAnsi="Times New Roman" w:cs="Times New Roman"/>
          <w:b/>
          <w:bCs/>
          <w:color w:val="000000" w:themeColor="text1"/>
          <w:lang w:val="x-none"/>
        </w:rPr>
        <w:fldChar w:fldCharType="separate"/>
      </w:r>
      <w:r w:rsidR="00D61CF7">
        <w:rPr>
          <w:rFonts w:ascii="Times New Roman" w:hAnsi="Times New Roman" w:cs="Times New Roman"/>
          <w:b/>
          <w:bCs/>
          <w:noProof/>
          <w:color w:val="000000" w:themeColor="text1"/>
          <w:lang w:val="x-none"/>
        </w:rPr>
        <w:t>7</w:t>
      </w:r>
      <w:r w:rsidRPr="007F400A">
        <w:rPr>
          <w:rFonts w:ascii="Times New Roman" w:hAnsi="Times New Roman" w:cs="Times New Roman"/>
          <w:b/>
          <w:bCs/>
          <w:color w:val="000000" w:themeColor="text1"/>
          <w:lang w:val="x-none"/>
        </w:rPr>
        <w:fldChar w:fldCharType="end"/>
      </w:r>
      <w:r w:rsidRPr="007F400A">
        <w:rPr>
          <w:rFonts w:ascii="Times New Roman" w:hAnsi="Times New Roman" w:cs="Times New Roman"/>
          <w:b/>
          <w:bCs/>
          <w:color w:val="000000" w:themeColor="text1"/>
          <w:lang w:val="x-none"/>
        </w:rPr>
        <w:t xml:space="preserve">. </w:t>
      </w:r>
      <w:r w:rsidRPr="009439C4">
        <w:rPr>
          <w:rFonts w:ascii="Times New Roman" w:hAnsi="Times New Roman" w:cs="Times New Roman"/>
          <w:b/>
          <w:bCs/>
          <w:color w:val="000000" w:themeColor="text1"/>
          <w:lang w:val="x-none"/>
        </w:rPr>
        <w:t xml:space="preserve">Pomiar na obecność toksycznych substancji w powietrzu przy użyciu mobilnego detektora gazów po pożarze składowiska odpadów w Kielczy </w:t>
      </w:r>
    </w:p>
    <w:p w14:paraId="7157D54C" w14:textId="77777777" w:rsidR="00C96893" w:rsidRPr="007F400A" w:rsidRDefault="00C96893" w:rsidP="00056EE7">
      <w:pPr>
        <w:spacing w:after="200" w:line="300" w:lineRule="atLeast"/>
        <w:contextualSpacing/>
        <w:jc w:val="center"/>
        <w:rPr>
          <w:rFonts w:ascii="Times New Roman" w:hAnsi="Times New Roman" w:cs="Times New Roman"/>
          <w:b/>
          <w:color w:val="000000" w:themeColor="text1"/>
          <w:sz w:val="24"/>
          <w:szCs w:val="24"/>
        </w:rPr>
      </w:pPr>
    </w:p>
    <w:p w14:paraId="519EC7BC" w14:textId="77777777" w:rsidR="00C96893" w:rsidRPr="007F400A" w:rsidRDefault="00C96893" w:rsidP="00056EE7">
      <w:pPr>
        <w:keepNext/>
        <w:spacing w:after="200" w:line="300" w:lineRule="atLeast"/>
        <w:contextualSpacing/>
        <w:jc w:val="center"/>
      </w:pPr>
      <w:r>
        <w:rPr>
          <w:noProof/>
          <w:lang w:eastAsia="pl-PL"/>
        </w:rPr>
        <w:lastRenderedPageBreak/>
        <w:drawing>
          <wp:inline distT="0" distB="0" distL="0" distR="0" wp14:anchorId="12F67F33" wp14:editId="6E3BAE78">
            <wp:extent cx="5495925" cy="3282894"/>
            <wp:effectExtent l="0" t="0" r="0" b="0"/>
            <wp:docPr id="504" name="Obraz 504" descr="Kontrole z pomiarami akustycznym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Obraz 504" descr="Kontrole z pomiarami akustycznymi "/>
                    <pic:cNvPicPr/>
                  </pic:nvPicPr>
                  <pic:blipFill>
                    <a:blip r:embed="rId20"/>
                    <a:stretch>
                      <a:fillRect/>
                    </a:stretch>
                  </pic:blipFill>
                  <pic:spPr>
                    <a:xfrm>
                      <a:off x="0" y="0"/>
                      <a:ext cx="5501342" cy="3286130"/>
                    </a:xfrm>
                    <a:prstGeom prst="rect">
                      <a:avLst/>
                    </a:prstGeom>
                  </pic:spPr>
                </pic:pic>
              </a:graphicData>
            </a:graphic>
          </wp:inline>
        </w:drawing>
      </w:r>
    </w:p>
    <w:p w14:paraId="53614C57" w14:textId="40FDBEB3" w:rsidR="00C96893" w:rsidRPr="007F400A" w:rsidRDefault="00C96893" w:rsidP="00056EE7">
      <w:pPr>
        <w:spacing w:after="0" w:line="300" w:lineRule="atLeast"/>
        <w:jc w:val="center"/>
        <w:rPr>
          <w:rFonts w:ascii="Times New Roman" w:eastAsia="Calibri" w:hAnsi="Times New Roman" w:cs="Times New Roman"/>
          <w:b/>
          <w:sz w:val="24"/>
          <w:szCs w:val="24"/>
          <w:lang w:eastAsia="pl-PL"/>
        </w:rPr>
      </w:pPr>
      <w:r w:rsidRPr="007F400A">
        <w:rPr>
          <w:rFonts w:ascii="Times New Roman" w:hAnsi="Times New Roman" w:cs="Times New Roman"/>
          <w:b/>
        </w:rPr>
        <w:t>Zdjęci</w:t>
      </w:r>
      <w:r w:rsidR="003E0809">
        <w:rPr>
          <w:rFonts w:ascii="Times New Roman" w:hAnsi="Times New Roman" w:cs="Times New Roman"/>
          <w:b/>
        </w:rPr>
        <w:t>a</w:t>
      </w:r>
      <w:r w:rsidRPr="007F400A">
        <w:rPr>
          <w:rFonts w:ascii="Times New Roman" w:hAnsi="Times New Roman" w:cs="Times New Roman"/>
          <w:b/>
        </w:rPr>
        <w:t xml:space="preserve"> </w:t>
      </w:r>
      <w:r w:rsidRPr="007F400A">
        <w:rPr>
          <w:rFonts w:ascii="Times New Roman" w:hAnsi="Times New Roman" w:cs="Times New Roman"/>
          <w:b/>
        </w:rPr>
        <w:fldChar w:fldCharType="begin"/>
      </w:r>
      <w:r w:rsidRPr="007F400A">
        <w:rPr>
          <w:rFonts w:ascii="Times New Roman" w:hAnsi="Times New Roman" w:cs="Times New Roman"/>
          <w:b/>
        </w:rPr>
        <w:instrText xml:space="preserve"> SEQ Zdjęcie \* ARABIC </w:instrText>
      </w:r>
      <w:r w:rsidRPr="007F400A">
        <w:rPr>
          <w:rFonts w:ascii="Times New Roman" w:hAnsi="Times New Roman" w:cs="Times New Roman"/>
          <w:b/>
        </w:rPr>
        <w:fldChar w:fldCharType="separate"/>
      </w:r>
      <w:r w:rsidR="00D61CF7">
        <w:rPr>
          <w:rFonts w:ascii="Times New Roman" w:hAnsi="Times New Roman" w:cs="Times New Roman"/>
          <w:b/>
          <w:noProof/>
        </w:rPr>
        <w:t>8</w:t>
      </w:r>
      <w:r w:rsidRPr="007F400A">
        <w:rPr>
          <w:rFonts w:ascii="Times New Roman" w:hAnsi="Times New Roman" w:cs="Times New Roman"/>
          <w:b/>
        </w:rPr>
        <w:fldChar w:fldCharType="end"/>
      </w:r>
      <w:r w:rsidR="003E0809">
        <w:rPr>
          <w:rFonts w:ascii="Times New Roman" w:hAnsi="Times New Roman" w:cs="Times New Roman"/>
          <w:b/>
        </w:rPr>
        <w:t>-9</w:t>
      </w:r>
      <w:r w:rsidRPr="007F400A">
        <w:rPr>
          <w:rFonts w:ascii="Times New Roman" w:hAnsi="Times New Roman" w:cs="Times New Roman"/>
          <w:b/>
        </w:rPr>
        <w:t xml:space="preserve">. </w:t>
      </w:r>
      <w:r w:rsidRPr="009439C4">
        <w:rPr>
          <w:rFonts w:ascii="Times New Roman" w:hAnsi="Times New Roman" w:cs="Times New Roman"/>
          <w:b/>
        </w:rPr>
        <w:t xml:space="preserve">Kontrole z pomiarami akustycznymi </w:t>
      </w:r>
    </w:p>
    <w:p w14:paraId="56BA85AA" w14:textId="77777777" w:rsidR="00C96893" w:rsidRPr="007F400A" w:rsidRDefault="00C96893" w:rsidP="00056EE7">
      <w:pPr>
        <w:spacing w:after="0" w:line="300" w:lineRule="atLeast"/>
        <w:jc w:val="both"/>
        <w:rPr>
          <w:rFonts w:ascii="Times New Roman" w:eastAsia="Times New Roman" w:hAnsi="Times New Roman" w:cs="Times New Roman"/>
          <w:b/>
          <w:sz w:val="20"/>
          <w:szCs w:val="20"/>
          <w:lang w:eastAsia="pl-PL"/>
        </w:rPr>
      </w:pPr>
    </w:p>
    <w:p w14:paraId="50E9298B" w14:textId="77777777" w:rsidR="00895F16" w:rsidRPr="007F400A" w:rsidRDefault="00895F16" w:rsidP="00056EE7">
      <w:pPr>
        <w:spacing w:after="0" w:line="300" w:lineRule="atLeast"/>
        <w:jc w:val="both"/>
        <w:rPr>
          <w:rFonts w:ascii="Times New Roman" w:eastAsia="Times New Roman" w:hAnsi="Times New Roman" w:cs="Times New Roman"/>
          <w:b/>
          <w:sz w:val="20"/>
          <w:szCs w:val="20"/>
          <w:lang w:eastAsia="pl-PL"/>
        </w:rPr>
      </w:pPr>
    </w:p>
    <w:p w14:paraId="1BEB9908" w14:textId="77777777" w:rsidR="00895F16" w:rsidRPr="007F400A" w:rsidRDefault="00895F16" w:rsidP="003E5DE5">
      <w:pPr>
        <w:keepNext/>
        <w:spacing w:after="120" w:line="300" w:lineRule="atLeast"/>
        <w:jc w:val="both"/>
        <w:outlineLvl w:val="0"/>
        <w:rPr>
          <w:rFonts w:ascii="Times New Roman" w:eastAsia="Times New Roman" w:hAnsi="Times New Roman" w:cs="Times New Roman"/>
          <w:b/>
          <w:bCs/>
          <w:sz w:val="28"/>
          <w:szCs w:val="28"/>
          <w:lang w:val="x-none" w:eastAsia="x-none"/>
        </w:rPr>
      </w:pPr>
      <w:bookmarkStart w:id="33" w:name="_Toc515437510"/>
      <w:bookmarkStart w:id="34" w:name="_Toc515437828"/>
      <w:bookmarkStart w:id="35" w:name="_Toc5878529"/>
      <w:bookmarkStart w:id="36" w:name="_Toc36732551"/>
      <w:bookmarkStart w:id="37" w:name="_Toc135935578"/>
      <w:r w:rsidRPr="007F400A">
        <w:rPr>
          <w:rFonts w:ascii="Times New Roman" w:eastAsia="Times New Roman" w:hAnsi="Times New Roman" w:cs="Times New Roman"/>
          <w:b/>
          <w:bCs/>
          <w:sz w:val="24"/>
          <w:szCs w:val="24"/>
          <w:lang w:val="x-none" w:eastAsia="x-none"/>
        </w:rPr>
        <w:t>3. Wyniki kontroli i stwierdzone naruszenia</w:t>
      </w:r>
      <w:bookmarkEnd w:id="33"/>
      <w:bookmarkEnd w:id="34"/>
      <w:bookmarkEnd w:id="35"/>
      <w:bookmarkEnd w:id="36"/>
      <w:bookmarkEnd w:id="37"/>
      <w:r w:rsidRPr="007F400A">
        <w:rPr>
          <w:rFonts w:ascii="Times New Roman" w:eastAsia="Times New Roman" w:hAnsi="Times New Roman" w:cs="Times New Roman"/>
          <w:b/>
          <w:bCs/>
          <w:sz w:val="28"/>
          <w:szCs w:val="28"/>
          <w:lang w:val="x-none" w:eastAsia="x-none"/>
        </w:rPr>
        <w:t xml:space="preserve"> </w:t>
      </w:r>
    </w:p>
    <w:p w14:paraId="3D8460F4" w14:textId="77777777" w:rsidR="00773527" w:rsidRPr="007F400A" w:rsidRDefault="00773527" w:rsidP="00056EE7">
      <w:pPr>
        <w:spacing w:line="300" w:lineRule="atLeast"/>
        <w:ind w:firstLine="708"/>
        <w:contextualSpacing/>
        <w:jc w:val="both"/>
        <w:rPr>
          <w:rFonts w:ascii="Times New Roman" w:hAnsi="Times New Roman" w:cs="Times New Roman"/>
          <w:sz w:val="24"/>
          <w:szCs w:val="24"/>
        </w:rPr>
      </w:pPr>
      <w:r w:rsidRPr="007F400A">
        <w:rPr>
          <w:rFonts w:ascii="Times New Roman" w:eastAsia="Times New Roman" w:hAnsi="Times New Roman" w:cs="Times New Roman"/>
          <w:sz w:val="24"/>
          <w:szCs w:val="24"/>
        </w:rPr>
        <w:t xml:space="preserve">W </w:t>
      </w:r>
      <w:r>
        <w:rPr>
          <w:rFonts w:ascii="Times New Roman" w:eastAsia="Times New Roman" w:hAnsi="Times New Roman" w:cs="Times New Roman"/>
          <w:sz w:val="24"/>
          <w:szCs w:val="24"/>
        </w:rPr>
        <w:t>2022</w:t>
      </w:r>
      <w:r w:rsidRPr="007F400A">
        <w:rPr>
          <w:rFonts w:ascii="Times New Roman" w:eastAsia="Times New Roman" w:hAnsi="Times New Roman" w:cs="Times New Roman"/>
          <w:sz w:val="24"/>
          <w:szCs w:val="24"/>
        </w:rPr>
        <w:t xml:space="preserve"> r. w trakcie </w:t>
      </w:r>
      <w:r>
        <w:rPr>
          <w:rFonts w:ascii="Times New Roman" w:eastAsia="Times New Roman" w:hAnsi="Times New Roman" w:cs="Times New Roman"/>
          <w:sz w:val="24"/>
          <w:szCs w:val="24"/>
        </w:rPr>
        <w:t>43 334</w:t>
      </w:r>
      <w:r w:rsidRPr="007F400A">
        <w:rPr>
          <w:rFonts w:ascii="Times New Roman" w:eastAsia="Times New Roman" w:hAnsi="Times New Roman" w:cs="Times New Roman"/>
          <w:sz w:val="24"/>
          <w:szCs w:val="24"/>
        </w:rPr>
        <w:t xml:space="preserve"> kontroli stwierdzono </w:t>
      </w:r>
      <w:r>
        <w:rPr>
          <w:rFonts w:ascii="Times New Roman" w:eastAsia="Times New Roman" w:hAnsi="Times New Roman" w:cs="Times New Roman"/>
          <w:sz w:val="24"/>
          <w:szCs w:val="24"/>
        </w:rPr>
        <w:t>10 392</w:t>
      </w:r>
      <w:r w:rsidRPr="007F400A">
        <w:rPr>
          <w:rFonts w:ascii="Times New Roman" w:eastAsia="Times New Roman" w:hAnsi="Times New Roman" w:cs="Times New Roman"/>
          <w:sz w:val="24"/>
          <w:szCs w:val="24"/>
        </w:rPr>
        <w:t xml:space="preserve"> narusze</w:t>
      </w:r>
      <w:r>
        <w:rPr>
          <w:rFonts w:ascii="Times New Roman" w:eastAsia="Times New Roman" w:hAnsi="Times New Roman" w:cs="Times New Roman"/>
          <w:sz w:val="24"/>
          <w:szCs w:val="24"/>
        </w:rPr>
        <w:t>nia</w:t>
      </w:r>
      <w:r w:rsidRPr="007F400A">
        <w:rPr>
          <w:rFonts w:ascii="Times New Roman" w:eastAsia="Times New Roman" w:hAnsi="Times New Roman" w:cs="Times New Roman"/>
          <w:sz w:val="24"/>
          <w:szCs w:val="24"/>
        </w:rPr>
        <w:t xml:space="preserve"> przepisów ochrony środowiska, co stanowi </w:t>
      </w:r>
      <w:r>
        <w:rPr>
          <w:rFonts w:ascii="Times New Roman" w:eastAsia="Times New Roman" w:hAnsi="Times New Roman" w:cs="Times New Roman"/>
          <w:sz w:val="24"/>
          <w:szCs w:val="24"/>
        </w:rPr>
        <w:t>24</w:t>
      </w:r>
      <w:r w:rsidRPr="007F400A">
        <w:rPr>
          <w:rFonts w:ascii="Times New Roman" w:eastAsia="Times New Roman" w:hAnsi="Times New Roman" w:cs="Times New Roman"/>
          <w:sz w:val="24"/>
          <w:szCs w:val="24"/>
        </w:rPr>
        <w:t xml:space="preserve">% wszystkich kontroli. </w:t>
      </w:r>
      <w:r>
        <w:rPr>
          <w:rFonts w:ascii="Times New Roman" w:eastAsia="Times New Roman" w:hAnsi="Times New Roman" w:cs="Times New Roman"/>
          <w:sz w:val="24"/>
          <w:szCs w:val="24"/>
        </w:rPr>
        <w:t>Liczba</w:t>
      </w:r>
      <w:r w:rsidRPr="007F400A">
        <w:rPr>
          <w:rFonts w:ascii="Times New Roman" w:eastAsia="Times New Roman" w:hAnsi="Times New Roman" w:cs="Times New Roman"/>
          <w:sz w:val="24"/>
          <w:szCs w:val="24"/>
        </w:rPr>
        <w:t xml:space="preserve"> kontroli</w:t>
      </w:r>
      <w:r>
        <w:rPr>
          <w:rFonts w:ascii="Times New Roman" w:eastAsia="Times New Roman" w:hAnsi="Times New Roman" w:cs="Times New Roman"/>
          <w:sz w:val="24"/>
          <w:szCs w:val="24"/>
        </w:rPr>
        <w:t xml:space="preserve"> z naruszeniami</w:t>
      </w:r>
      <w:r w:rsidRPr="007F400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spadła</w:t>
      </w:r>
      <w:r w:rsidRPr="007F400A">
        <w:rPr>
          <w:rFonts w:ascii="Times New Roman" w:eastAsia="Times New Roman" w:hAnsi="Times New Roman" w:cs="Times New Roman"/>
          <w:sz w:val="24"/>
          <w:szCs w:val="24"/>
        </w:rPr>
        <w:t xml:space="preserve"> o</w:t>
      </w:r>
      <w:r>
        <w:rPr>
          <w:rFonts w:ascii="Times New Roman" w:eastAsia="Times New Roman" w:hAnsi="Times New Roman" w:cs="Times New Roman"/>
          <w:sz w:val="24"/>
          <w:szCs w:val="24"/>
        </w:rPr>
        <w:t> 3 </w:t>
      </w:r>
      <w:r w:rsidRPr="007F400A">
        <w:rPr>
          <w:rFonts w:ascii="Times New Roman" w:eastAsia="Times New Roman" w:hAnsi="Times New Roman" w:cs="Times New Roman"/>
          <w:sz w:val="24"/>
          <w:szCs w:val="24"/>
        </w:rPr>
        <w:t xml:space="preserve">punkty procentowe w stosunku do </w:t>
      </w:r>
      <w:r>
        <w:rPr>
          <w:rFonts w:ascii="Times New Roman" w:eastAsia="Times New Roman" w:hAnsi="Times New Roman" w:cs="Times New Roman"/>
          <w:sz w:val="24"/>
          <w:szCs w:val="24"/>
        </w:rPr>
        <w:t>2021</w:t>
      </w:r>
      <w:r w:rsidRPr="007F400A">
        <w:rPr>
          <w:rFonts w:ascii="Times New Roman" w:eastAsia="Times New Roman" w:hAnsi="Times New Roman" w:cs="Times New Roman"/>
          <w:sz w:val="24"/>
          <w:szCs w:val="24"/>
        </w:rPr>
        <w:t xml:space="preserve"> r.</w:t>
      </w:r>
    </w:p>
    <w:p w14:paraId="1A883940" w14:textId="77777777" w:rsidR="00773527" w:rsidRPr="007F400A" w:rsidRDefault="00773527" w:rsidP="00056EE7">
      <w:pPr>
        <w:spacing w:after="0" w:line="300" w:lineRule="atLeast"/>
        <w:ind w:firstLine="709"/>
        <w:jc w:val="both"/>
        <w:rPr>
          <w:rFonts w:ascii="Times New Roman" w:hAnsi="Times New Roman" w:cs="Times New Roman"/>
          <w:sz w:val="24"/>
          <w:szCs w:val="24"/>
        </w:rPr>
      </w:pPr>
      <w:r w:rsidRPr="007F400A">
        <w:rPr>
          <w:rFonts w:ascii="Times New Roman" w:hAnsi="Times New Roman" w:cs="Times New Roman"/>
          <w:sz w:val="24"/>
          <w:szCs w:val="24"/>
        </w:rPr>
        <w:t xml:space="preserve">W trakcie kontroli zakładów przeprowadzonych w terenie wykryto </w:t>
      </w:r>
      <w:r>
        <w:rPr>
          <w:rFonts w:ascii="Times New Roman" w:hAnsi="Times New Roman" w:cs="Times New Roman"/>
          <w:sz w:val="24"/>
          <w:szCs w:val="24"/>
        </w:rPr>
        <w:t>6 935</w:t>
      </w:r>
      <w:r w:rsidRPr="007F400A">
        <w:rPr>
          <w:rFonts w:ascii="Times New Roman" w:hAnsi="Times New Roman" w:cs="Times New Roman"/>
          <w:sz w:val="24"/>
          <w:szCs w:val="24"/>
        </w:rPr>
        <w:t xml:space="preserve"> narusze</w:t>
      </w:r>
      <w:r>
        <w:rPr>
          <w:rFonts w:ascii="Times New Roman" w:hAnsi="Times New Roman" w:cs="Times New Roman"/>
          <w:sz w:val="24"/>
          <w:szCs w:val="24"/>
        </w:rPr>
        <w:t>ń</w:t>
      </w:r>
      <w:r w:rsidRPr="007F400A">
        <w:rPr>
          <w:rFonts w:ascii="Times New Roman" w:hAnsi="Times New Roman" w:cs="Times New Roman"/>
          <w:sz w:val="24"/>
          <w:szCs w:val="24"/>
        </w:rPr>
        <w:t xml:space="preserve"> przepisów ochrony środowiska, w tym:</w:t>
      </w:r>
    </w:p>
    <w:p w14:paraId="77090019" w14:textId="77777777" w:rsidR="00773527" w:rsidRPr="007F400A" w:rsidRDefault="00773527" w:rsidP="00D34F97">
      <w:pPr>
        <w:numPr>
          <w:ilvl w:val="0"/>
          <w:numId w:val="67"/>
        </w:numPr>
        <w:spacing w:after="20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eastAsia="pl-PL"/>
        </w:rPr>
        <w:t>4 773</w:t>
      </w:r>
      <w:r w:rsidRPr="007F400A">
        <w:rPr>
          <w:rFonts w:ascii="Times New Roman" w:eastAsia="Calibri" w:hAnsi="Times New Roman" w:cs="Times New Roman"/>
          <w:sz w:val="24"/>
          <w:szCs w:val="24"/>
          <w:lang w:val="x-none" w:eastAsia="pl-PL"/>
        </w:rPr>
        <w:t xml:space="preserve"> narusze</w:t>
      </w:r>
      <w:r>
        <w:rPr>
          <w:rFonts w:ascii="Times New Roman" w:eastAsia="Calibri" w:hAnsi="Times New Roman" w:cs="Times New Roman"/>
          <w:sz w:val="24"/>
          <w:szCs w:val="24"/>
          <w:lang w:eastAsia="pl-PL"/>
        </w:rPr>
        <w:t xml:space="preserve">nia </w:t>
      </w:r>
      <w:r w:rsidRPr="007F400A">
        <w:rPr>
          <w:rFonts w:ascii="Times New Roman" w:eastAsia="Calibri" w:hAnsi="Times New Roman" w:cs="Times New Roman"/>
          <w:sz w:val="24"/>
          <w:szCs w:val="24"/>
          <w:lang w:val="x-none" w:eastAsia="pl-PL"/>
        </w:rPr>
        <w:t>formaln</w:t>
      </w:r>
      <w:r>
        <w:rPr>
          <w:rFonts w:ascii="Times New Roman" w:eastAsia="Calibri" w:hAnsi="Times New Roman" w:cs="Times New Roman"/>
          <w:sz w:val="24"/>
          <w:szCs w:val="24"/>
          <w:lang w:eastAsia="pl-PL"/>
        </w:rPr>
        <w:t>e</w:t>
      </w:r>
      <w:r w:rsidRPr="007F400A">
        <w:rPr>
          <w:rFonts w:ascii="Times New Roman" w:eastAsia="Calibri" w:hAnsi="Times New Roman" w:cs="Times New Roman"/>
          <w:sz w:val="24"/>
          <w:szCs w:val="24"/>
          <w:lang w:val="x-none" w:eastAsia="pl-PL"/>
        </w:rPr>
        <w:t xml:space="preserve"> bez istotnego wpływu na środowisko</w:t>
      </w:r>
      <w:r w:rsidRPr="007F400A">
        <w:rPr>
          <w:rFonts w:ascii="Times New Roman" w:eastAsia="Calibri" w:hAnsi="Times New Roman" w:cs="Times New Roman"/>
          <w:sz w:val="24"/>
          <w:szCs w:val="24"/>
          <w:vertAlign w:val="superscript"/>
          <w:lang w:val="x-none" w:eastAsia="pl-PL"/>
        </w:rPr>
        <w:footnoteReference w:id="6"/>
      </w:r>
      <w:r w:rsidRPr="007F400A">
        <w:rPr>
          <w:rFonts w:ascii="Times New Roman" w:eastAsia="Calibri" w:hAnsi="Times New Roman" w:cs="Times New Roman"/>
          <w:sz w:val="24"/>
          <w:szCs w:val="24"/>
          <w:lang w:val="x-none" w:eastAsia="pl-PL"/>
        </w:rPr>
        <w:t>,</w:t>
      </w:r>
    </w:p>
    <w:p w14:paraId="2F55B399" w14:textId="77777777" w:rsidR="00773527" w:rsidRDefault="00773527" w:rsidP="00D34F97">
      <w:pPr>
        <w:numPr>
          <w:ilvl w:val="0"/>
          <w:numId w:val="67"/>
        </w:numPr>
        <w:spacing w:after="12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eastAsia="pl-PL"/>
        </w:rPr>
        <w:t>2 162</w:t>
      </w:r>
      <w:r w:rsidRPr="007F400A">
        <w:rPr>
          <w:rFonts w:ascii="Times New Roman" w:eastAsia="Calibri" w:hAnsi="Times New Roman" w:cs="Times New Roman"/>
          <w:sz w:val="24"/>
          <w:szCs w:val="24"/>
          <w:lang w:val="x-none" w:eastAsia="pl-PL"/>
        </w:rPr>
        <w:t xml:space="preserve"> narusze</w:t>
      </w:r>
      <w:r w:rsidRPr="007F400A">
        <w:rPr>
          <w:rFonts w:ascii="Times New Roman" w:eastAsia="Calibri" w:hAnsi="Times New Roman" w:cs="Times New Roman"/>
          <w:sz w:val="24"/>
          <w:szCs w:val="24"/>
          <w:lang w:eastAsia="pl-PL"/>
        </w:rPr>
        <w:t>nia</w:t>
      </w:r>
      <w:r w:rsidRPr="007F400A">
        <w:rPr>
          <w:rFonts w:ascii="Times New Roman" w:eastAsia="Calibri" w:hAnsi="Times New Roman" w:cs="Times New Roman"/>
          <w:sz w:val="24"/>
          <w:szCs w:val="24"/>
          <w:lang w:val="x-none" w:eastAsia="pl-PL"/>
        </w:rPr>
        <w:t xml:space="preserve"> mogąc</w:t>
      </w:r>
      <w:r w:rsidRPr="007F400A">
        <w:rPr>
          <w:rFonts w:ascii="Times New Roman" w:eastAsia="Calibri" w:hAnsi="Times New Roman" w:cs="Times New Roman"/>
          <w:sz w:val="24"/>
          <w:szCs w:val="24"/>
          <w:lang w:eastAsia="pl-PL"/>
        </w:rPr>
        <w:t>e</w:t>
      </w:r>
      <w:r w:rsidRPr="007F400A">
        <w:rPr>
          <w:rFonts w:ascii="Times New Roman" w:eastAsia="Calibri" w:hAnsi="Times New Roman" w:cs="Times New Roman"/>
          <w:sz w:val="24"/>
          <w:szCs w:val="24"/>
          <w:lang w:val="x-none" w:eastAsia="pl-PL"/>
        </w:rPr>
        <w:t xml:space="preserve"> spowodować zagrożenie lub zanieczyszczenie środowiska</w:t>
      </w:r>
      <w:r w:rsidRPr="007F400A">
        <w:rPr>
          <w:rFonts w:ascii="Times New Roman" w:eastAsia="Calibri" w:hAnsi="Times New Roman" w:cs="Times New Roman"/>
          <w:sz w:val="24"/>
          <w:szCs w:val="24"/>
          <w:vertAlign w:val="superscript"/>
          <w:lang w:val="x-none" w:eastAsia="pl-PL"/>
        </w:rPr>
        <w:footnoteReference w:id="7"/>
      </w:r>
      <w:r w:rsidRPr="007F400A">
        <w:rPr>
          <w:rFonts w:ascii="Times New Roman" w:eastAsia="Calibri" w:hAnsi="Times New Roman" w:cs="Times New Roman"/>
          <w:sz w:val="24"/>
          <w:szCs w:val="24"/>
          <w:lang w:val="x-none" w:eastAsia="pl-PL"/>
        </w:rPr>
        <w:t>.</w:t>
      </w:r>
    </w:p>
    <w:p w14:paraId="05D7B972" w14:textId="77777777" w:rsidR="00773527" w:rsidRPr="007F400A" w:rsidRDefault="00773527" w:rsidP="00056EE7">
      <w:pPr>
        <w:spacing w:after="120" w:line="300" w:lineRule="atLeast"/>
        <w:ind w:left="924"/>
        <w:contextualSpacing/>
        <w:jc w:val="both"/>
        <w:rPr>
          <w:rFonts w:ascii="Times New Roman" w:eastAsia="Calibri" w:hAnsi="Times New Roman" w:cs="Times New Roman"/>
          <w:sz w:val="24"/>
          <w:szCs w:val="24"/>
          <w:lang w:val="x-none" w:eastAsia="pl-PL"/>
        </w:rPr>
      </w:pPr>
    </w:p>
    <w:p w14:paraId="3FF1FB1E" w14:textId="77777777" w:rsidR="00773527" w:rsidRPr="007F400A" w:rsidRDefault="00773527" w:rsidP="00056EE7">
      <w:pPr>
        <w:spacing w:after="120" w:line="300" w:lineRule="atLeast"/>
        <w:ind w:left="720"/>
        <w:contextualSpacing/>
        <w:jc w:val="center"/>
        <w:rPr>
          <w:sz w:val="24"/>
          <w:szCs w:val="24"/>
        </w:rPr>
      </w:pPr>
      <w:r>
        <w:rPr>
          <w:noProof/>
          <w:lang w:eastAsia="pl-PL"/>
        </w:rPr>
        <w:lastRenderedPageBreak/>
        <w:drawing>
          <wp:inline distT="0" distB="0" distL="0" distR="0" wp14:anchorId="67FE0607" wp14:editId="7F3ABA97">
            <wp:extent cx="4718050" cy="3022600"/>
            <wp:effectExtent l="0" t="0" r="6350" b="6350"/>
            <wp:docPr id="505" name="Wykres 505" descr="Procentowy udział kontroli z naruszeniami do kontroli zakładów w terenie">
              <a:extLst xmlns:a="http://schemas.openxmlformats.org/drawingml/2006/main">
                <a:ext uri="{FF2B5EF4-FFF2-40B4-BE49-F238E27FC236}">
                  <a16:creationId xmlns:a16="http://schemas.microsoft.com/office/drawing/2014/main" id="{173B8A6F-C0EA-4112-967D-DB71ECBF03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13B8A49" w14:textId="77777777" w:rsidR="00773527" w:rsidRPr="007F400A" w:rsidRDefault="00773527" w:rsidP="00056EE7">
      <w:pPr>
        <w:spacing w:line="300" w:lineRule="atLeast"/>
        <w:jc w:val="center"/>
        <w:rPr>
          <w:rFonts w:ascii="Times New Roman" w:hAnsi="Times New Roman" w:cs="Times New Roman"/>
          <w:b/>
          <w:bCs/>
        </w:rPr>
      </w:pPr>
      <w:r w:rsidRPr="007F400A">
        <w:rPr>
          <w:rFonts w:ascii="Times New Roman" w:hAnsi="Times New Roman" w:cs="Times New Roman"/>
          <w:b/>
          <w:bCs/>
        </w:rPr>
        <w:t>Wykres 6. Procentowy udział kontroli z naruszeniami do kontroli zakładów w terenie</w:t>
      </w:r>
    </w:p>
    <w:p w14:paraId="2434EAF0" w14:textId="77777777" w:rsidR="00773527" w:rsidRPr="007F400A" w:rsidRDefault="00773527" w:rsidP="00056EE7">
      <w:pPr>
        <w:spacing w:before="120" w:after="0" w:line="300" w:lineRule="atLeast"/>
        <w:jc w:val="both"/>
        <w:rPr>
          <w:rFonts w:ascii="Times New Roman" w:hAnsi="Times New Roman" w:cs="Times New Roman"/>
          <w:sz w:val="24"/>
          <w:szCs w:val="24"/>
        </w:rPr>
      </w:pPr>
      <w:bookmarkStart w:id="38" w:name="_Hlk128647931"/>
      <w:r w:rsidRPr="007F400A">
        <w:rPr>
          <w:rFonts w:ascii="Times New Roman" w:eastAsia="Times New Roman" w:hAnsi="Times New Roman" w:cs="Times New Roman"/>
          <w:sz w:val="24"/>
          <w:szCs w:val="24"/>
        </w:rPr>
        <w:t>Przykłady naruszeń formalnych bez istotnego wpływu na środowisko:</w:t>
      </w:r>
      <w:r w:rsidRPr="007F400A">
        <w:rPr>
          <w:rFonts w:ascii="Times New Roman" w:hAnsi="Times New Roman" w:cs="Times New Roman"/>
          <w:sz w:val="24"/>
          <w:szCs w:val="24"/>
        </w:rPr>
        <w:t xml:space="preserve"> </w:t>
      </w:r>
    </w:p>
    <w:p w14:paraId="1D25B98E" w14:textId="77777777" w:rsidR="00773527" w:rsidRPr="00175E9C" w:rsidRDefault="00773527" w:rsidP="00D34F97">
      <w:pPr>
        <w:numPr>
          <w:ilvl w:val="0"/>
          <w:numId w:val="64"/>
        </w:numPr>
        <w:spacing w:after="0" w:line="300" w:lineRule="atLeast"/>
        <w:ind w:left="924" w:hanging="357"/>
        <w:contextualSpacing/>
        <w:jc w:val="both"/>
        <w:rPr>
          <w:rFonts w:ascii="Times New Roman" w:eastAsia="Calibri" w:hAnsi="Times New Roman" w:cs="Times New Roman"/>
          <w:sz w:val="24"/>
          <w:szCs w:val="24"/>
          <w:lang w:val="x-none" w:eastAsia="pl-PL"/>
        </w:rPr>
      </w:pPr>
      <w:r w:rsidRPr="002A42BF">
        <w:rPr>
          <w:rFonts w:ascii="Times New Roman" w:eastAsia="Calibri" w:hAnsi="Times New Roman" w:cs="Times New Roman"/>
          <w:sz w:val="24"/>
          <w:szCs w:val="24"/>
          <w:lang w:val="x-none" w:eastAsia="pl-PL"/>
        </w:rPr>
        <w:t>brak systematycznej oceny programu zapobiegania awariom oraz systemu zarządzania bezpieczeństwem,</w:t>
      </w:r>
    </w:p>
    <w:p w14:paraId="4B4C312F" w14:textId="77777777" w:rsidR="00773527" w:rsidRPr="006D159C" w:rsidRDefault="00773527" w:rsidP="00D34F97">
      <w:pPr>
        <w:numPr>
          <w:ilvl w:val="0"/>
          <w:numId w:val="64"/>
        </w:numPr>
        <w:spacing w:before="120" w:after="0" w:line="300" w:lineRule="atLeast"/>
        <w:ind w:left="924" w:hanging="357"/>
        <w:contextualSpacing/>
        <w:jc w:val="both"/>
        <w:rPr>
          <w:rFonts w:ascii="Times New Roman" w:eastAsia="Calibri" w:hAnsi="Times New Roman" w:cs="Times New Roman"/>
          <w:sz w:val="24"/>
          <w:szCs w:val="24"/>
          <w:lang w:val="x-none" w:eastAsia="pl-PL"/>
        </w:rPr>
      </w:pPr>
      <w:r w:rsidRPr="00181011">
        <w:rPr>
          <w:rFonts w:ascii="Times New Roman" w:eastAsia="Calibri" w:hAnsi="Times New Roman" w:cs="Times New Roman"/>
          <w:sz w:val="24"/>
          <w:szCs w:val="24"/>
          <w:lang w:eastAsia="pl-PL"/>
        </w:rPr>
        <w:t>nieterminowe przedłożenie rocznego raportu do Krajowej bazy o emisjach gazów cieplarnianych i innych substancji,</w:t>
      </w:r>
    </w:p>
    <w:p w14:paraId="4507C58B" w14:textId="77777777" w:rsidR="00773527" w:rsidRPr="00BB3F8E" w:rsidRDefault="00773527" w:rsidP="00D34F97">
      <w:pPr>
        <w:numPr>
          <w:ilvl w:val="0"/>
          <w:numId w:val="64"/>
        </w:numPr>
        <w:tabs>
          <w:tab w:val="left" w:pos="1134"/>
        </w:tabs>
        <w:spacing w:after="0" w:line="300" w:lineRule="atLeast"/>
        <w:ind w:left="924" w:hanging="357"/>
        <w:jc w:val="both"/>
        <w:rPr>
          <w:rFonts w:ascii="Times New Roman" w:eastAsia="Times New Roman" w:hAnsi="Times New Roman" w:cs="Times New Roman"/>
          <w:sz w:val="24"/>
          <w:szCs w:val="24"/>
          <w:lang w:val="x-none" w:eastAsia="pl-PL"/>
        </w:rPr>
      </w:pPr>
      <w:r w:rsidRPr="00281F37">
        <w:rPr>
          <w:rFonts w:ascii="Times New Roman" w:eastAsia="Times New Roman" w:hAnsi="Times New Roman" w:cs="Times New Roman"/>
          <w:sz w:val="24"/>
          <w:szCs w:val="24"/>
          <w:lang w:val="x-none" w:eastAsia="pl-PL"/>
        </w:rPr>
        <w:t>niezłożeni</w:t>
      </w:r>
      <w:r w:rsidRPr="00281F37">
        <w:rPr>
          <w:rFonts w:ascii="Times New Roman" w:eastAsia="Times New Roman" w:hAnsi="Times New Roman" w:cs="Times New Roman"/>
          <w:sz w:val="24"/>
          <w:szCs w:val="24"/>
          <w:lang w:eastAsia="pl-PL"/>
        </w:rPr>
        <w:t>e</w:t>
      </w:r>
      <w:r w:rsidRPr="00281F37">
        <w:rPr>
          <w:rFonts w:ascii="Times New Roman" w:eastAsia="Times New Roman" w:hAnsi="Times New Roman" w:cs="Times New Roman"/>
          <w:sz w:val="24"/>
          <w:szCs w:val="24"/>
          <w:lang w:val="x-none" w:eastAsia="pl-PL"/>
        </w:rPr>
        <w:t xml:space="preserve"> lub nieterminowe złożeni</w:t>
      </w:r>
      <w:r w:rsidRPr="00281F37">
        <w:rPr>
          <w:rFonts w:ascii="Times New Roman" w:eastAsia="Times New Roman" w:hAnsi="Times New Roman" w:cs="Times New Roman"/>
          <w:sz w:val="24"/>
          <w:szCs w:val="24"/>
          <w:lang w:eastAsia="pl-PL"/>
        </w:rPr>
        <w:t>e</w:t>
      </w:r>
      <w:r w:rsidRPr="00281F37">
        <w:rPr>
          <w:rFonts w:ascii="Times New Roman" w:eastAsia="Times New Roman" w:hAnsi="Times New Roman" w:cs="Times New Roman"/>
          <w:sz w:val="24"/>
          <w:szCs w:val="24"/>
          <w:lang w:val="x-none" w:eastAsia="pl-PL"/>
        </w:rPr>
        <w:t xml:space="preserve"> raportu do Krajow</w:t>
      </w:r>
      <w:r w:rsidRPr="00181011">
        <w:rPr>
          <w:rFonts w:ascii="Times New Roman" w:eastAsia="Times New Roman" w:hAnsi="Times New Roman" w:cs="Times New Roman"/>
          <w:sz w:val="24"/>
          <w:szCs w:val="24"/>
          <w:lang w:eastAsia="pl-PL"/>
        </w:rPr>
        <w:t>ego</w:t>
      </w:r>
      <w:r w:rsidRPr="00181011">
        <w:rPr>
          <w:rFonts w:ascii="Times New Roman" w:eastAsia="Times New Roman" w:hAnsi="Times New Roman" w:cs="Times New Roman"/>
          <w:sz w:val="24"/>
          <w:szCs w:val="24"/>
          <w:lang w:val="x-none" w:eastAsia="pl-PL"/>
        </w:rPr>
        <w:t xml:space="preserve"> Ośrod</w:t>
      </w:r>
      <w:r w:rsidRPr="00181011">
        <w:rPr>
          <w:rFonts w:ascii="Times New Roman" w:eastAsia="Times New Roman" w:hAnsi="Times New Roman" w:cs="Times New Roman"/>
          <w:sz w:val="24"/>
          <w:szCs w:val="24"/>
          <w:lang w:eastAsia="pl-PL"/>
        </w:rPr>
        <w:t>ka</w:t>
      </w:r>
      <w:r w:rsidRPr="00181011">
        <w:rPr>
          <w:rFonts w:ascii="Times New Roman" w:eastAsia="Times New Roman" w:hAnsi="Times New Roman" w:cs="Times New Roman"/>
          <w:sz w:val="24"/>
          <w:szCs w:val="24"/>
          <w:lang w:val="x-none" w:eastAsia="pl-PL"/>
        </w:rPr>
        <w:t xml:space="preserve"> Bilansowania i Zarządzania Emisjami </w:t>
      </w:r>
      <w:r w:rsidRPr="00181011">
        <w:rPr>
          <w:rFonts w:ascii="Times New Roman" w:eastAsia="Times New Roman" w:hAnsi="Times New Roman" w:cs="Times New Roman"/>
          <w:sz w:val="24"/>
          <w:szCs w:val="24"/>
          <w:lang w:eastAsia="pl-PL"/>
        </w:rPr>
        <w:t>(</w:t>
      </w:r>
      <w:proofErr w:type="spellStart"/>
      <w:r w:rsidRPr="00181011">
        <w:rPr>
          <w:rFonts w:ascii="Times New Roman" w:eastAsia="Times New Roman" w:hAnsi="Times New Roman" w:cs="Times New Roman"/>
          <w:sz w:val="24"/>
          <w:szCs w:val="24"/>
          <w:lang w:val="x-none" w:eastAsia="pl-PL"/>
        </w:rPr>
        <w:t>KOB</w:t>
      </w:r>
      <w:r w:rsidRPr="00181011">
        <w:rPr>
          <w:rFonts w:ascii="Times New Roman" w:eastAsia="Times New Roman" w:hAnsi="Times New Roman" w:cs="Times New Roman"/>
          <w:sz w:val="24"/>
          <w:szCs w:val="24"/>
          <w:lang w:eastAsia="pl-PL"/>
        </w:rPr>
        <w:t>i</w:t>
      </w:r>
      <w:proofErr w:type="spellEnd"/>
      <w:r w:rsidRPr="00181011">
        <w:rPr>
          <w:rFonts w:ascii="Times New Roman" w:eastAsia="Times New Roman" w:hAnsi="Times New Roman" w:cs="Times New Roman"/>
          <w:sz w:val="24"/>
          <w:szCs w:val="24"/>
          <w:lang w:val="x-none" w:eastAsia="pl-PL"/>
        </w:rPr>
        <w:t>ZE</w:t>
      </w:r>
      <w:r w:rsidRPr="00181011">
        <w:rPr>
          <w:rFonts w:ascii="Times New Roman" w:eastAsia="Times New Roman" w:hAnsi="Times New Roman" w:cs="Times New Roman"/>
          <w:sz w:val="24"/>
          <w:szCs w:val="24"/>
          <w:lang w:eastAsia="pl-PL"/>
        </w:rPr>
        <w:t>)</w:t>
      </w:r>
      <w:r w:rsidRPr="00181011">
        <w:rPr>
          <w:rFonts w:ascii="Times New Roman" w:eastAsia="Times New Roman" w:hAnsi="Times New Roman" w:cs="Times New Roman"/>
          <w:sz w:val="24"/>
          <w:szCs w:val="24"/>
          <w:lang w:val="x-none" w:eastAsia="pl-PL"/>
        </w:rPr>
        <w:t xml:space="preserve">, </w:t>
      </w:r>
    </w:p>
    <w:p w14:paraId="56324DCC" w14:textId="77777777" w:rsidR="00773527" w:rsidRPr="00181011" w:rsidRDefault="00773527" w:rsidP="00D34F97">
      <w:pPr>
        <w:numPr>
          <w:ilvl w:val="0"/>
          <w:numId w:val="64"/>
        </w:numPr>
        <w:spacing w:before="120" w:after="0" w:line="300" w:lineRule="atLeast"/>
        <w:ind w:left="924" w:hanging="357"/>
        <w:contextualSpacing/>
        <w:jc w:val="both"/>
        <w:rPr>
          <w:rFonts w:ascii="Times New Roman" w:eastAsia="Calibri" w:hAnsi="Times New Roman" w:cs="Times New Roman"/>
          <w:sz w:val="24"/>
          <w:szCs w:val="24"/>
          <w:lang w:val="x-none" w:eastAsia="pl-PL"/>
        </w:rPr>
      </w:pPr>
      <w:r w:rsidRPr="00181011">
        <w:rPr>
          <w:rFonts w:ascii="Times New Roman" w:eastAsia="Calibri" w:hAnsi="Times New Roman" w:cs="Times New Roman"/>
          <w:sz w:val="24"/>
          <w:szCs w:val="24"/>
          <w:lang w:val="x-none" w:eastAsia="pl-PL"/>
        </w:rPr>
        <w:t>nieterminowe przekazywani</w:t>
      </w:r>
      <w:r w:rsidRPr="00181011">
        <w:rPr>
          <w:rFonts w:ascii="Times New Roman" w:eastAsia="Calibri" w:hAnsi="Times New Roman" w:cs="Times New Roman"/>
          <w:sz w:val="24"/>
          <w:szCs w:val="24"/>
          <w:lang w:eastAsia="pl-PL"/>
        </w:rPr>
        <w:t>e</w:t>
      </w:r>
      <w:r w:rsidRPr="00181011">
        <w:rPr>
          <w:rFonts w:ascii="Times New Roman" w:eastAsia="Calibri" w:hAnsi="Times New Roman" w:cs="Times New Roman"/>
          <w:sz w:val="24"/>
          <w:szCs w:val="24"/>
          <w:lang w:val="x-none" w:eastAsia="pl-PL"/>
        </w:rPr>
        <w:t xml:space="preserve"> właściwym organom ewidencji, rejestrów i</w:t>
      </w:r>
      <w:r w:rsidRPr="00181011">
        <w:rPr>
          <w:rFonts w:ascii="Times New Roman" w:eastAsia="Calibri" w:hAnsi="Times New Roman" w:cs="Times New Roman"/>
          <w:sz w:val="24"/>
          <w:szCs w:val="24"/>
          <w:lang w:eastAsia="pl-PL"/>
        </w:rPr>
        <w:t> </w:t>
      </w:r>
      <w:r w:rsidRPr="00181011">
        <w:rPr>
          <w:rFonts w:ascii="Times New Roman" w:eastAsia="Calibri" w:hAnsi="Times New Roman" w:cs="Times New Roman"/>
          <w:sz w:val="24"/>
          <w:szCs w:val="24"/>
          <w:lang w:val="x-none" w:eastAsia="pl-PL"/>
        </w:rPr>
        <w:t>wyników okresowych pomiarów emisji hałasu</w:t>
      </w:r>
      <w:r w:rsidRPr="00181011">
        <w:rPr>
          <w:rFonts w:ascii="Times New Roman" w:eastAsia="Calibri" w:hAnsi="Times New Roman" w:cs="Times New Roman"/>
          <w:sz w:val="24"/>
          <w:szCs w:val="24"/>
          <w:lang w:eastAsia="pl-PL"/>
        </w:rPr>
        <w:t>,</w:t>
      </w:r>
    </w:p>
    <w:p w14:paraId="62DF5EF4" w14:textId="77777777" w:rsidR="00773527" w:rsidRPr="00181011" w:rsidRDefault="00773527" w:rsidP="00D34F97">
      <w:pPr>
        <w:numPr>
          <w:ilvl w:val="0"/>
          <w:numId w:val="64"/>
        </w:numPr>
        <w:spacing w:before="120" w:after="0" w:line="300" w:lineRule="atLeast"/>
        <w:ind w:left="924" w:hanging="357"/>
        <w:contextualSpacing/>
        <w:jc w:val="both"/>
        <w:rPr>
          <w:rFonts w:ascii="Times New Roman" w:eastAsia="Calibri" w:hAnsi="Times New Roman" w:cs="Times New Roman"/>
          <w:sz w:val="24"/>
          <w:szCs w:val="24"/>
          <w:lang w:val="x-none" w:eastAsia="pl-PL"/>
        </w:rPr>
      </w:pPr>
      <w:r w:rsidRPr="00181011">
        <w:rPr>
          <w:rFonts w:ascii="Times New Roman" w:eastAsia="Calibri" w:hAnsi="Times New Roman" w:cs="Times New Roman"/>
          <w:sz w:val="24"/>
          <w:szCs w:val="24"/>
          <w:lang w:eastAsia="pl-PL"/>
        </w:rPr>
        <w:t>nieterminowe złożenie rocznego sprawozdania o wytworzonych odpadach,</w:t>
      </w:r>
    </w:p>
    <w:p w14:paraId="2E4A9A4C" w14:textId="77777777" w:rsidR="00773527" w:rsidRPr="00181011" w:rsidRDefault="00773527" w:rsidP="00D34F97">
      <w:pPr>
        <w:numPr>
          <w:ilvl w:val="0"/>
          <w:numId w:val="64"/>
        </w:numPr>
        <w:spacing w:before="120" w:after="0" w:line="300" w:lineRule="atLeast"/>
        <w:ind w:left="924" w:hanging="357"/>
        <w:contextualSpacing/>
        <w:jc w:val="both"/>
        <w:rPr>
          <w:rFonts w:ascii="Times New Roman" w:eastAsia="Calibri" w:hAnsi="Times New Roman" w:cs="Times New Roman"/>
          <w:sz w:val="24"/>
          <w:szCs w:val="24"/>
          <w:lang w:val="x-none" w:eastAsia="pl-PL"/>
        </w:rPr>
      </w:pPr>
      <w:r w:rsidRPr="00181011">
        <w:rPr>
          <w:rFonts w:ascii="Times New Roman" w:eastAsia="Calibri" w:hAnsi="Times New Roman" w:cs="Times New Roman"/>
          <w:sz w:val="24"/>
          <w:szCs w:val="24"/>
          <w:lang w:val="x-none" w:eastAsia="pl-PL"/>
        </w:rPr>
        <w:t>brak lub nierzetelne prowadzenie ewidencji</w:t>
      </w:r>
      <w:r w:rsidRPr="00181011">
        <w:rPr>
          <w:rFonts w:ascii="Times New Roman" w:eastAsia="Calibri" w:hAnsi="Times New Roman" w:cs="Times New Roman"/>
          <w:sz w:val="24"/>
          <w:szCs w:val="24"/>
          <w:lang w:eastAsia="pl-PL"/>
        </w:rPr>
        <w:t xml:space="preserve"> w zakresie odpadów,</w:t>
      </w:r>
    </w:p>
    <w:p w14:paraId="7F0E1F69" w14:textId="77777777" w:rsidR="00773527" w:rsidRPr="006D159C" w:rsidRDefault="00773527" w:rsidP="00D34F97">
      <w:pPr>
        <w:numPr>
          <w:ilvl w:val="0"/>
          <w:numId w:val="64"/>
        </w:numPr>
        <w:spacing w:before="120" w:after="0" w:line="300" w:lineRule="atLeast"/>
        <w:ind w:left="924" w:hanging="357"/>
        <w:contextualSpacing/>
        <w:jc w:val="both"/>
        <w:rPr>
          <w:rFonts w:ascii="Times New Roman" w:eastAsia="Calibri" w:hAnsi="Times New Roman" w:cs="Times New Roman"/>
          <w:sz w:val="24"/>
          <w:szCs w:val="24"/>
          <w:lang w:val="x-none" w:eastAsia="pl-PL"/>
        </w:rPr>
      </w:pPr>
      <w:r w:rsidRPr="00181011">
        <w:rPr>
          <w:rFonts w:ascii="Times New Roman" w:eastAsia="Calibri" w:hAnsi="Times New Roman" w:cs="Times New Roman"/>
          <w:sz w:val="24"/>
          <w:szCs w:val="24"/>
          <w:lang w:val="x-none" w:eastAsia="pl-PL"/>
        </w:rPr>
        <w:t>prowadzenie działalności w zakresie wytwarzania odpadów bez wymaganego wpisu do rejestru BDO</w:t>
      </w:r>
      <w:r w:rsidRPr="00181011">
        <w:rPr>
          <w:rFonts w:ascii="Times New Roman" w:eastAsia="Calibri" w:hAnsi="Times New Roman" w:cs="Times New Roman"/>
          <w:sz w:val="24"/>
          <w:szCs w:val="24"/>
          <w:lang w:eastAsia="pl-PL"/>
        </w:rPr>
        <w:t>,</w:t>
      </w:r>
    </w:p>
    <w:p w14:paraId="5BD7FC20" w14:textId="77777777" w:rsidR="00773527" w:rsidRPr="00181011" w:rsidRDefault="00773527" w:rsidP="00D34F97">
      <w:pPr>
        <w:numPr>
          <w:ilvl w:val="0"/>
          <w:numId w:val="64"/>
        </w:numPr>
        <w:spacing w:before="120" w:after="0" w:line="300" w:lineRule="atLeast"/>
        <w:ind w:left="924" w:hanging="357"/>
        <w:contextualSpacing/>
        <w:jc w:val="both"/>
        <w:rPr>
          <w:rFonts w:ascii="Times New Roman" w:eastAsia="Calibri" w:hAnsi="Times New Roman" w:cs="Times New Roman"/>
          <w:sz w:val="24"/>
          <w:szCs w:val="24"/>
          <w:lang w:val="x-none" w:eastAsia="pl-PL"/>
        </w:rPr>
      </w:pPr>
      <w:r w:rsidRPr="00281F37">
        <w:rPr>
          <w:rFonts w:ascii="Times New Roman" w:eastAsia="Calibri" w:hAnsi="Times New Roman" w:cs="Times New Roman"/>
          <w:sz w:val="24"/>
          <w:szCs w:val="24"/>
          <w:lang w:val="x-none" w:eastAsia="pl-PL"/>
        </w:rPr>
        <w:t>przekroczenie dopuszczalnej ilości wytworzonych odpadów oraz wytworzenie odpadów nieuwzględnionych w posiadanej decyzji</w:t>
      </w:r>
      <w:r>
        <w:rPr>
          <w:rFonts w:ascii="Times New Roman" w:eastAsia="Calibri" w:hAnsi="Times New Roman" w:cs="Times New Roman"/>
          <w:sz w:val="24"/>
          <w:szCs w:val="24"/>
          <w:lang w:eastAsia="pl-PL"/>
        </w:rPr>
        <w:t>,</w:t>
      </w:r>
    </w:p>
    <w:p w14:paraId="07F03092" w14:textId="77777777" w:rsidR="00773527" w:rsidRPr="00181011" w:rsidRDefault="00773527" w:rsidP="00D34F97">
      <w:pPr>
        <w:numPr>
          <w:ilvl w:val="0"/>
          <w:numId w:val="64"/>
        </w:numPr>
        <w:spacing w:after="0" w:line="300" w:lineRule="atLeast"/>
        <w:ind w:left="924" w:hanging="357"/>
        <w:contextualSpacing/>
        <w:jc w:val="both"/>
        <w:rPr>
          <w:rFonts w:ascii="Times New Roman" w:eastAsia="Calibri" w:hAnsi="Times New Roman" w:cs="Times New Roman"/>
          <w:sz w:val="24"/>
          <w:szCs w:val="24"/>
          <w:lang w:val="x-none" w:eastAsia="pl-PL"/>
        </w:rPr>
      </w:pPr>
      <w:r w:rsidRPr="00181011">
        <w:rPr>
          <w:rFonts w:ascii="Times New Roman" w:eastAsia="Calibri" w:hAnsi="Times New Roman" w:cs="Times New Roman"/>
          <w:sz w:val="24"/>
          <w:szCs w:val="24"/>
          <w:lang w:val="x-none" w:eastAsia="pl-PL"/>
        </w:rPr>
        <w:t>nieuiszczanie lub nierzetelne naliczanie opłat za korzystanie ze środowiska,</w:t>
      </w:r>
    </w:p>
    <w:p w14:paraId="2483F575" w14:textId="77777777" w:rsidR="00773527" w:rsidRPr="00181011" w:rsidRDefault="00773527" w:rsidP="00D34F97">
      <w:pPr>
        <w:numPr>
          <w:ilvl w:val="0"/>
          <w:numId w:val="64"/>
        </w:numPr>
        <w:spacing w:before="120" w:after="0" w:line="300" w:lineRule="atLeast"/>
        <w:ind w:left="924" w:hanging="357"/>
        <w:contextualSpacing/>
        <w:jc w:val="both"/>
        <w:rPr>
          <w:rFonts w:ascii="Times New Roman" w:eastAsia="Calibri" w:hAnsi="Times New Roman" w:cs="Times New Roman"/>
          <w:sz w:val="24"/>
          <w:szCs w:val="24"/>
          <w:lang w:val="x-none" w:eastAsia="pl-PL"/>
        </w:rPr>
      </w:pPr>
      <w:r w:rsidRPr="00281F37">
        <w:rPr>
          <w:rFonts w:ascii="Times New Roman" w:eastAsia="Calibri" w:hAnsi="Times New Roman" w:cs="Times New Roman"/>
          <w:sz w:val="24"/>
          <w:szCs w:val="24"/>
          <w:lang w:eastAsia="pl-PL"/>
        </w:rPr>
        <w:t>nieterminowe przekazanie wyników</w:t>
      </w:r>
      <w:r w:rsidRPr="00181011">
        <w:rPr>
          <w:rFonts w:ascii="Times New Roman" w:eastAsia="Calibri" w:hAnsi="Times New Roman" w:cs="Times New Roman"/>
          <w:sz w:val="24"/>
          <w:szCs w:val="24"/>
          <w:lang w:eastAsia="pl-PL"/>
        </w:rPr>
        <w:t xml:space="preserve"> pomiarów i badań do </w:t>
      </w:r>
      <w:proofErr w:type="spellStart"/>
      <w:r w:rsidRPr="00181011">
        <w:rPr>
          <w:rFonts w:ascii="Times New Roman" w:eastAsia="Calibri" w:hAnsi="Times New Roman" w:cs="Times New Roman"/>
          <w:sz w:val="24"/>
          <w:szCs w:val="24"/>
          <w:lang w:eastAsia="pl-PL"/>
        </w:rPr>
        <w:t>wioś</w:t>
      </w:r>
      <w:proofErr w:type="spellEnd"/>
      <w:r w:rsidRPr="00181011">
        <w:rPr>
          <w:rFonts w:ascii="Times New Roman" w:eastAsia="Calibri" w:hAnsi="Times New Roman" w:cs="Times New Roman"/>
          <w:sz w:val="24"/>
          <w:szCs w:val="24"/>
          <w:lang w:eastAsia="pl-PL"/>
        </w:rPr>
        <w:t>,</w:t>
      </w:r>
    </w:p>
    <w:p w14:paraId="756C479E" w14:textId="77777777" w:rsidR="00773527" w:rsidRPr="006D159C" w:rsidRDefault="00773527" w:rsidP="00D34F97">
      <w:pPr>
        <w:numPr>
          <w:ilvl w:val="0"/>
          <w:numId w:val="64"/>
        </w:numPr>
        <w:spacing w:after="0" w:line="300" w:lineRule="atLeast"/>
        <w:ind w:left="924" w:hanging="357"/>
        <w:jc w:val="both"/>
        <w:rPr>
          <w:rFonts w:ascii="Times New Roman" w:eastAsia="Calibri" w:hAnsi="Times New Roman" w:cs="Times New Roman"/>
          <w:sz w:val="24"/>
          <w:szCs w:val="24"/>
          <w:lang w:val="x-none" w:eastAsia="pl-PL"/>
        </w:rPr>
      </w:pPr>
      <w:r w:rsidRPr="00181011">
        <w:rPr>
          <w:rFonts w:ascii="Times New Roman" w:eastAsia="Calibri" w:hAnsi="Times New Roman" w:cs="Times New Roman"/>
          <w:sz w:val="24"/>
          <w:szCs w:val="24"/>
          <w:lang w:eastAsia="pl-PL"/>
        </w:rPr>
        <w:t>brak planu nawożenia azotem,</w:t>
      </w:r>
    </w:p>
    <w:p w14:paraId="5604687D" w14:textId="77777777" w:rsidR="00773527" w:rsidRPr="006D159C" w:rsidRDefault="00773527" w:rsidP="00D34F97">
      <w:pPr>
        <w:numPr>
          <w:ilvl w:val="0"/>
          <w:numId w:val="64"/>
        </w:numPr>
        <w:spacing w:after="0" w:line="300" w:lineRule="atLeast"/>
        <w:ind w:left="924" w:hanging="357"/>
        <w:jc w:val="both"/>
        <w:rPr>
          <w:rFonts w:ascii="Times New Roman" w:eastAsia="Calibri" w:hAnsi="Times New Roman" w:cs="Times New Roman"/>
          <w:sz w:val="24"/>
          <w:szCs w:val="24"/>
          <w:lang w:val="x-none" w:eastAsia="pl-PL"/>
        </w:rPr>
      </w:pPr>
      <w:r w:rsidRPr="00281F37">
        <w:rPr>
          <w:rFonts w:ascii="Times New Roman" w:eastAsia="Calibri" w:hAnsi="Times New Roman" w:cs="Times New Roman"/>
          <w:sz w:val="24"/>
          <w:szCs w:val="24"/>
          <w:lang w:val="x-none" w:eastAsia="pl-PL"/>
        </w:rPr>
        <w:t>nieterminowe złożenie sprawozdania o zakresie korzystania ze środowiska</w:t>
      </w:r>
      <w:r>
        <w:rPr>
          <w:rFonts w:ascii="Times New Roman" w:eastAsia="Calibri" w:hAnsi="Times New Roman" w:cs="Times New Roman"/>
          <w:sz w:val="24"/>
          <w:szCs w:val="24"/>
          <w:lang w:eastAsia="pl-PL"/>
        </w:rPr>
        <w:t>,</w:t>
      </w:r>
    </w:p>
    <w:p w14:paraId="0229796D" w14:textId="77777777" w:rsidR="00773527" w:rsidRPr="00281F37" w:rsidRDefault="00773527" w:rsidP="00D34F97">
      <w:pPr>
        <w:pStyle w:val="Akapitzlist"/>
        <w:numPr>
          <w:ilvl w:val="0"/>
          <w:numId w:val="64"/>
        </w:numPr>
        <w:spacing w:line="300" w:lineRule="atLeast"/>
        <w:ind w:left="924" w:hanging="357"/>
        <w:jc w:val="both"/>
        <w:rPr>
          <w:sz w:val="24"/>
          <w:szCs w:val="24"/>
          <w:lang w:val="pl-PL"/>
        </w:rPr>
      </w:pPr>
      <w:r w:rsidRPr="00281F37">
        <w:rPr>
          <w:sz w:val="24"/>
          <w:szCs w:val="24"/>
        </w:rPr>
        <w:t xml:space="preserve">nieprzekazanie właściwym organom wykazu </w:t>
      </w:r>
      <w:r w:rsidRPr="00281F37">
        <w:rPr>
          <w:sz w:val="24"/>
          <w:szCs w:val="24"/>
          <w:lang w:val="pl-PL"/>
        </w:rPr>
        <w:t>zawierającego dane o rodzaju, kategorii i ilości substancji niebezpiecznych znajdujących się na terenie zakładu</w:t>
      </w:r>
      <w:r>
        <w:rPr>
          <w:sz w:val="24"/>
          <w:szCs w:val="24"/>
          <w:lang w:val="pl-PL"/>
        </w:rPr>
        <w:t>,</w:t>
      </w:r>
    </w:p>
    <w:p w14:paraId="0C24014C" w14:textId="77777777" w:rsidR="00773527" w:rsidRPr="00281F37" w:rsidRDefault="00773527" w:rsidP="00D34F97">
      <w:pPr>
        <w:pStyle w:val="Akapitzlist"/>
        <w:numPr>
          <w:ilvl w:val="0"/>
          <w:numId w:val="64"/>
        </w:numPr>
        <w:spacing w:after="120" w:line="300" w:lineRule="atLeast"/>
        <w:ind w:left="924" w:hanging="357"/>
        <w:contextualSpacing w:val="0"/>
        <w:jc w:val="both"/>
        <w:rPr>
          <w:sz w:val="24"/>
          <w:szCs w:val="24"/>
        </w:rPr>
      </w:pPr>
      <w:r w:rsidRPr="00281F37">
        <w:rPr>
          <w:sz w:val="24"/>
          <w:szCs w:val="24"/>
        </w:rPr>
        <w:t>niewykonywanie kontroli stanu technicznego instalacji i urządzeń służących ochronie środowiska</w:t>
      </w:r>
      <w:r>
        <w:rPr>
          <w:sz w:val="24"/>
          <w:szCs w:val="24"/>
          <w:lang w:val="pl-PL"/>
        </w:rPr>
        <w:t>.</w:t>
      </w:r>
    </w:p>
    <w:p w14:paraId="5C528B04" w14:textId="77777777" w:rsidR="00773527" w:rsidRPr="007F400A" w:rsidRDefault="00773527" w:rsidP="00AA38E3">
      <w:pPr>
        <w:spacing w:after="60" w:line="300" w:lineRule="atLeast"/>
        <w:jc w:val="both"/>
        <w:rPr>
          <w:rFonts w:ascii="Times New Roman" w:hAnsi="Times New Roman" w:cs="Times New Roman"/>
          <w:sz w:val="24"/>
        </w:rPr>
      </w:pPr>
      <w:r w:rsidRPr="007F400A">
        <w:rPr>
          <w:rFonts w:ascii="Times New Roman" w:hAnsi="Times New Roman" w:cs="Times New Roman"/>
          <w:sz w:val="24"/>
        </w:rPr>
        <w:t>Przykłady naruszeń mogących spowodować zagrożenie lub zanieczyszczenie środowiska:</w:t>
      </w:r>
    </w:p>
    <w:p w14:paraId="65ABF115" w14:textId="77777777" w:rsidR="00773527" w:rsidRPr="007F400A" w:rsidRDefault="00773527" w:rsidP="00D34F97">
      <w:pPr>
        <w:numPr>
          <w:ilvl w:val="0"/>
          <w:numId w:val="66"/>
        </w:numPr>
        <w:spacing w:after="0" w:line="300" w:lineRule="atLeast"/>
        <w:ind w:left="924" w:hanging="357"/>
        <w:jc w:val="both"/>
        <w:rPr>
          <w:rFonts w:ascii="Times New Roman" w:eastAsia="Calibri" w:hAnsi="Times New Roman" w:cs="Times New Roman"/>
          <w:sz w:val="24"/>
          <w:szCs w:val="20"/>
          <w:lang w:val="x-none" w:eastAsia="pl-PL"/>
        </w:rPr>
      </w:pPr>
      <w:r w:rsidRPr="007F400A">
        <w:rPr>
          <w:rFonts w:ascii="Times New Roman" w:eastAsia="Calibri" w:hAnsi="Times New Roman" w:cs="Times New Roman"/>
          <w:sz w:val="24"/>
          <w:szCs w:val="20"/>
          <w:lang w:val="x-none" w:eastAsia="pl-PL"/>
        </w:rPr>
        <w:t xml:space="preserve">odprowadzanie </w:t>
      </w:r>
      <w:r>
        <w:rPr>
          <w:rFonts w:ascii="Times New Roman" w:eastAsia="Calibri" w:hAnsi="Times New Roman" w:cs="Times New Roman"/>
          <w:sz w:val="24"/>
          <w:szCs w:val="20"/>
          <w:lang w:eastAsia="pl-PL"/>
        </w:rPr>
        <w:t xml:space="preserve">nieoczyszczonych </w:t>
      </w:r>
      <w:r w:rsidRPr="007F400A">
        <w:rPr>
          <w:rFonts w:ascii="Times New Roman" w:eastAsia="Calibri" w:hAnsi="Times New Roman" w:cs="Times New Roman"/>
          <w:sz w:val="24"/>
          <w:szCs w:val="20"/>
          <w:lang w:val="x-none" w:eastAsia="pl-PL"/>
        </w:rPr>
        <w:t>ścieków</w:t>
      </w:r>
      <w:r>
        <w:rPr>
          <w:rFonts w:ascii="Times New Roman" w:eastAsia="Calibri" w:hAnsi="Times New Roman" w:cs="Times New Roman"/>
          <w:sz w:val="24"/>
          <w:szCs w:val="20"/>
          <w:lang w:eastAsia="pl-PL"/>
        </w:rPr>
        <w:t xml:space="preserve"> </w:t>
      </w:r>
      <w:r w:rsidRPr="007F400A">
        <w:rPr>
          <w:rFonts w:ascii="Times New Roman" w:eastAsia="Calibri" w:hAnsi="Times New Roman" w:cs="Times New Roman"/>
          <w:sz w:val="24"/>
          <w:szCs w:val="20"/>
          <w:lang w:val="x-none" w:eastAsia="pl-PL"/>
        </w:rPr>
        <w:t xml:space="preserve">do </w:t>
      </w:r>
      <w:r>
        <w:rPr>
          <w:rFonts w:ascii="Times New Roman" w:eastAsia="Calibri" w:hAnsi="Times New Roman" w:cs="Times New Roman"/>
          <w:sz w:val="24"/>
          <w:szCs w:val="20"/>
          <w:lang w:eastAsia="pl-PL"/>
        </w:rPr>
        <w:t>wód powierzchniowych,</w:t>
      </w:r>
    </w:p>
    <w:p w14:paraId="104C9EFA" w14:textId="77777777" w:rsidR="00773527" w:rsidRDefault="00773527" w:rsidP="00D34F97">
      <w:pPr>
        <w:numPr>
          <w:ilvl w:val="0"/>
          <w:numId w:val="66"/>
        </w:numPr>
        <w:spacing w:after="0" w:line="300" w:lineRule="atLeast"/>
        <w:ind w:left="924" w:hanging="357"/>
        <w:jc w:val="both"/>
        <w:rPr>
          <w:rFonts w:ascii="Times New Roman" w:eastAsia="Calibri" w:hAnsi="Times New Roman" w:cs="Times New Roman"/>
          <w:sz w:val="24"/>
          <w:szCs w:val="20"/>
          <w:lang w:val="x-none" w:eastAsia="pl-PL"/>
        </w:rPr>
      </w:pPr>
      <w:r w:rsidRPr="007F400A">
        <w:rPr>
          <w:rFonts w:ascii="Times New Roman" w:eastAsia="Calibri" w:hAnsi="Times New Roman" w:cs="Times New Roman"/>
          <w:sz w:val="24"/>
          <w:szCs w:val="20"/>
          <w:lang w:val="x-none" w:eastAsia="pl-PL"/>
        </w:rPr>
        <w:t>przekroczenie dopuszczalnych wartości wskaźników zanieczyszczeń w</w:t>
      </w:r>
      <w:r w:rsidRPr="007F400A">
        <w:rPr>
          <w:rFonts w:ascii="Times New Roman" w:eastAsia="Calibri" w:hAnsi="Times New Roman" w:cs="Times New Roman"/>
          <w:sz w:val="24"/>
          <w:szCs w:val="20"/>
          <w:lang w:eastAsia="pl-PL"/>
        </w:rPr>
        <w:t> </w:t>
      </w:r>
      <w:r w:rsidRPr="007F400A">
        <w:rPr>
          <w:rFonts w:ascii="Times New Roman" w:eastAsia="Calibri" w:hAnsi="Times New Roman" w:cs="Times New Roman"/>
          <w:sz w:val="24"/>
          <w:szCs w:val="20"/>
          <w:lang w:val="x-none" w:eastAsia="pl-PL"/>
        </w:rPr>
        <w:t>ściekach oczyszczonych wprowadzanych do środowiska w zakresie wskaźnika: BZT</w:t>
      </w:r>
      <w:r w:rsidRPr="007759A8">
        <w:rPr>
          <w:rFonts w:ascii="Times New Roman" w:eastAsia="Calibri" w:hAnsi="Times New Roman" w:cs="Times New Roman"/>
          <w:sz w:val="24"/>
          <w:szCs w:val="20"/>
          <w:vertAlign w:val="subscript"/>
          <w:lang w:val="x-none" w:eastAsia="pl-PL"/>
        </w:rPr>
        <w:t>5</w:t>
      </w:r>
      <w:r w:rsidRPr="007F400A">
        <w:rPr>
          <w:rFonts w:ascii="Times New Roman" w:eastAsia="Calibri" w:hAnsi="Times New Roman" w:cs="Times New Roman"/>
          <w:sz w:val="24"/>
          <w:szCs w:val="20"/>
          <w:lang w:val="x-none" w:eastAsia="pl-PL"/>
        </w:rPr>
        <w:t xml:space="preserve">, </w:t>
      </w:r>
      <w:proofErr w:type="spellStart"/>
      <w:r w:rsidRPr="007F400A">
        <w:rPr>
          <w:rFonts w:ascii="Times New Roman" w:eastAsia="Calibri" w:hAnsi="Times New Roman" w:cs="Times New Roman"/>
          <w:sz w:val="24"/>
          <w:szCs w:val="20"/>
          <w:lang w:val="x-none" w:eastAsia="pl-PL"/>
        </w:rPr>
        <w:t>ChZT</w:t>
      </w:r>
      <w:proofErr w:type="spellEnd"/>
      <w:r w:rsidRPr="007F400A">
        <w:rPr>
          <w:rFonts w:ascii="Times New Roman" w:eastAsia="Calibri" w:hAnsi="Times New Roman" w:cs="Times New Roman"/>
          <w:sz w:val="24"/>
          <w:szCs w:val="20"/>
          <w:lang w:val="x-none" w:eastAsia="pl-PL"/>
        </w:rPr>
        <w:t xml:space="preserve">, </w:t>
      </w:r>
      <w:r w:rsidRPr="007F400A">
        <w:rPr>
          <w:rFonts w:ascii="Times New Roman" w:eastAsia="Calibri" w:hAnsi="Times New Roman" w:cs="Times New Roman"/>
          <w:sz w:val="24"/>
          <w:szCs w:val="20"/>
          <w:lang w:val="x-none" w:eastAsia="pl-PL"/>
        </w:rPr>
        <w:lastRenderedPageBreak/>
        <w:t>zawiesiny ogólnej, azotu amonowego, azotu azotynowego</w:t>
      </w:r>
      <w:r>
        <w:rPr>
          <w:rFonts w:ascii="Times New Roman" w:eastAsia="Calibri" w:hAnsi="Times New Roman" w:cs="Times New Roman"/>
          <w:sz w:val="24"/>
          <w:szCs w:val="20"/>
          <w:lang w:eastAsia="pl-PL"/>
        </w:rPr>
        <w:t>,</w:t>
      </w:r>
      <w:r w:rsidRPr="007F400A">
        <w:rPr>
          <w:rFonts w:ascii="Times New Roman" w:eastAsia="Calibri" w:hAnsi="Times New Roman" w:cs="Times New Roman"/>
          <w:sz w:val="24"/>
          <w:szCs w:val="20"/>
          <w:lang w:val="x-none" w:eastAsia="pl-PL"/>
        </w:rPr>
        <w:t xml:space="preserve"> azotu ogólnego, fosforu ogólnego, </w:t>
      </w:r>
    </w:p>
    <w:p w14:paraId="667BA952" w14:textId="77777777" w:rsidR="00773527" w:rsidRPr="00BB3F8E" w:rsidRDefault="00773527" w:rsidP="00D34F97">
      <w:pPr>
        <w:pStyle w:val="Akapitzlist"/>
        <w:numPr>
          <w:ilvl w:val="0"/>
          <w:numId w:val="66"/>
        </w:numPr>
        <w:spacing w:line="300" w:lineRule="atLeast"/>
        <w:ind w:left="924" w:hanging="357"/>
        <w:jc w:val="both"/>
        <w:rPr>
          <w:sz w:val="24"/>
        </w:rPr>
      </w:pPr>
      <w:r w:rsidRPr="00E047FF">
        <w:rPr>
          <w:sz w:val="24"/>
        </w:rPr>
        <w:t>nieprzechowywanie nawozów naturalnych w sposób bezpieczny dla środowiska, zapobiegający przedostawaniu się odcieków do wód i gruntu</w:t>
      </w:r>
      <w:r>
        <w:rPr>
          <w:sz w:val="24"/>
          <w:lang w:val="pl-PL"/>
        </w:rPr>
        <w:t>,</w:t>
      </w:r>
    </w:p>
    <w:p w14:paraId="311B9A16" w14:textId="77777777" w:rsidR="00773527" w:rsidRPr="006D159C" w:rsidRDefault="00773527" w:rsidP="00D34F97">
      <w:pPr>
        <w:pStyle w:val="Akapitzlist"/>
        <w:numPr>
          <w:ilvl w:val="0"/>
          <w:numId w:val="66"/>
        </w:numPr>
        <w:spacing w:line="300" w:lineRule="atLeast"/>
        <w:ind w:left="924" w:hanging="357"/>
        <w:jc w:val="both"/>
        <w:rPr>
          <w:sz w:val="24"/>
        </w:rPr>
      </w:pPr>
      <w:r w:rsidRPr="007F400A">
        <w:rPr>
          <w:sz w:val="24"/>
        </w:rPr>
        <w:t>przekroczenie</w:t>
      </w:r>
      <w:r>
        <w:rPr>
          <w:sz w:val="24"/>
        </w:rPr>
        <w:t xml:space="preserve"> dopuszczalnego</w:t>
      </w:r>
      <w:r w:rsidRPr="007F400A">
        <w:rPr>
          <w:sz w:val="24"/>
        </w:rPr>
        <w:t xml:space="preserve"> poziomu emisji hałasu do środowiska,</w:t>
      </w:r>
    </w:p>
    <w:p w14:paraId="0AF31C08" w14:textId="77777777" w:rsidR="00773527" w:rsidRPr="007F400A" w:rsidRDefault="00773527" w:rsidP="00D34F97">
      <w:pPr>
        <w:numPr>
          <w:ilvl w:val="0"/>
          <w:numId w:val="66"/>
        </w:numPr>
        <w:spacing w:after="0" w:line="300" w:lineRule="atLeast"/>
        <w:ind w:left="924" w:hanging="357"/>
        <w:jc w:val="both"/>
        <w:rPr>
          <w:rFonts w:ascii="Times New Roman" w:eastAsia="Calibri" w:hAnsi="Times New Roman" w:cs="Times New Roman"/>
          <w:sz w:val="24"/>
          <w:szCs w:val="20"/>
          <w:lang w:val="x-none" w:eastAsia="pl-PL"/>
        </w:rPr>
      </w:pPr>
      <w:r w:rsidRPr="00281F37">
        <w:rPr>
          <w:rFonts w:ascii="Times New Roman" w:eastAsia="Calibri" w:hAnsi="Times New Roman" w:cs="Times New Roman"/>
          <w:sz w:val="24"/>
          <w:szCs w:val="20"/>
          <w:lang w:val="x-none" w:eastAsia="pl-PL"/>
        </w:rPr>
        <w:t>przekroczenie standardów emisyjnych określonych w pozwoleniu na wprowadzanie gazów i pyłów do powietrza</w:t>
      </w:r>
      <w:r>
        <w:rPr>
          <w:rFonts w:ascii="Times New Roman" w:eastAsia="Calibri" w:hAnsi="Times New Roman" w:cs="Times New Roman"/>
          <w:sz w:val="24"/>
          <w:szCs w:val="20"/>
          <w:lang w:eastAsia="pl-PL"/>
        </w:rPr>
        <w:t>,</w:t>
      </w:r>
    </w:p>
    <w:p w14:paraId="2B8710CF" w14:textId="77777777" w:rsidR="00773527" w:rsidRPr="007F400A" w:rsidRDefault="00773527" w:rsidP="00D34F97">
      <w:pPr>
        <w:numPr>
          <w:ilvl w:val="0"/>
          <w:numId w:val="66"/>
        </w:numPr>
        <w:spacing w:after="0" w:line="300" w:lineRule="atLeast"/>
        <w:ind w:left="924" w:hanging="357"/>
        <w:jc w:val="both"/>
        <w:rPr>
          <w:rFonts w:ascii="Times New Roman" w:eastAsia="Calibri" w:hAnsi="Times New Roman" w:cs="Times New Roman"/>
          <w:sz w:val="24"/>
          <w:szCs w:val="20"/>
          <w:lang w:val="x-none" w:eastAsia="pl-PL"/>
        </w:rPr>
      </w:pPr>
      <w:r w:rsidRPr="007F400A">
        <w:rPr>
          <w:rFonts w:ascii="Times New Roman" w:eastAsia="Calibri" w:hAnsi="Times New Roman" w:cs="Times New Roman"/>
          <w:sz w:val="24"/>
          <w:szCs w:val="20"/>
          <w:lang w:val="x-none" w:eastAsia="pl-PL"/>
        </w:rPr>
        <w:t>zanieczyszczenie terenu substancjami ropopochodnymi</w:t>
      </w:r>
      <w:r>
        <w:rPr>
          <w:rFonts w:ascii="Times New Roman" w:eastAsia="Calibri" w:hAnsi="Times New Roman" w:cs="Times New Roman"/>
          <w:sz w:val="24"/>
          <w:szCs w:val="20"/>
          <w:lang w:eastAsia="pl-PL"/>
        </w:rPr>
        <w:t>,</w:t>
      </w:r>
    </w:p>
    <w:p w14:paraId="779CADFC" w14:textId="6E42E396" w:rsidR="00773527" w:rsidRPr="00BB3F8E" w:rsidRDefault="00773527" w:rsidP="00D34F97">
      <w:pPr>
        <w:numPr>
          <w:ilvl w:val="0"/>
          <w:numId w:val="66"/>
        </w:numPr>
        <w:spacing w:after="0" w:line="300" w:lineRule="atLeast"/>
        <w:ind w:left="924" w:hanging="357"/>
        <w:jc w:val="both"/>
        <w:rPr>
          <w:rFonts w:ascii="Times New Roman" w:eastAsia="Calibri" w:hAnsi="Times New Roman" w:cs="Times New Roman"/>
          <w:sz w:val="24"/>
          <w:szCs w:val="20"/>
          <w:lang w:val="x-none" w:eastAsia="pl-PL"/>
        </w:rPr>
      </w:pPr>
      <w:r w:rsidRPr="007F400A">
        <w:rPr>
          <w:rFonts w:ascii="Times New Roman" w:eastAsia="Calibri" w:hAnsi="Times New Roman" w:cs="Times New Roman"/>
          <w:sz w:val="24"/>
          <w:szCs w:val="20"/>
          <w:lang w:val="x-none" w:eastAsia="pl-PL"/>
        </w:rPr>
        <w:t>magazynowanie odpadów niebezpiecznych</w:t>
      </w:r>
      <w:r w:rsidRPr="007F400A">
        <w:rPr>
          <w:rFonts w:ascii="Times New Roman" w:eastAsia="Calibri" w:hAnsi="Times New Roman" w:cs="Times New Roman"/>
          <w:sz w:val="24"/>
          <w:szCs w:val="20"/>
          <w:lang w:eastAsia="pl-PL"/>
        </w:rPr>
        <w:t xml:space="preserve"> </w:t>
      </w:r>
      <w:r w:rsidRPr="007F400A">
        <w:rPr>
          <w:rFonts w:ascii="Times New Roman" w:eastAsia="Calibri" w:hAnsi="Times New Roman" w:cs="Times New Roman"/>
          <w:sz w:val="24"/>
          <w:szCs w:val="20"/>
          <w:lang w:val="x-none" w:eastAsia="pl-PL"/>
        </w:rPr>
        <w:t>na terenie nieszczelnym,</w:t>
      </w:r>
      <w:r w:rsidR="009A5FA9">
        <w:rPr>
          <w:rFonts w:ascii="Times New Roman" w:eastAsia="Calibri" w:hAnsi="Times New Roman" w:cs="Times New Roman"/>
          <w:sz w:val="24"/>
          <w:szCs w:val="20"/>
          <w:lang w:eastAsia="pl-PL"/>
        </w:rPr>
        <w:t xml:space="preserve"> bez </w:t>
      </w:r>
      <w:r w:rsidRPr="007F400A">
        <w:rPr>
          <w:rFonts w:ascii="Times New Roman" w:eastAsia="Calibri" w:hAnsi="Times New Roman" w:cs="Times New Roman"/>
          <w:sz w:val="24"/>
          <w:szCs w:val="20"/>
          <w:lang w:val="x-none" w:eastAsia="pl-PL"/>
        </w:rPr>
        <w:t>odpowiedniego zabezpieczenia przed wyciekiem odpadów oraz w miejscu niezadaszonym</w:t>
      </w:r>
      <w:r w:rsidRPr="007F400A">
        <w:rPr>
          <w:rFonts w:ascii="Times New Roman" w:eastAsia="Calibri" w:hAnsi="Times New Roman" w:cs="Times New Roman"/>
          <w:sz w:val="24"/>
          <w:szCs w:val="20"/>
          <w:lang w:eastAsia="pl-PL"/>
        </w:rPr>
        <w:t>,</w:t>
      </w:r>
    </w:p>
    <w:p w14:paraId="50CBA61D" w14:textId="77777777" w:rsidR="00773527" w:rsidRPr="00BB3F8E" w:rsidRDefault="00773527" w:rsidP="00D34F97">
      <w:pPr>
        <w:numPr>
          <w:ilvl w:val="0"/>
          <w:numId w:val="66"/>
        </w:numPr>
        <w:spacing w:after="0" w:line="300" w:lineRule="atLeast"/>
        <w:ind w:left="924" w:hanging="357"/>
        <w:jc w:val="both"/>
        <w:rPr>
          <w:rFonts w:ascii="Times New Roman" w:eastAsia="Calibri" w:hAnsi="Times New Roman" w:cs="Times New Roman"/>
          <w:sz w:val="24"/>
          <w:szCs w:val="20"/>
          <w:lang w:val="x-none" w:eastAsia="pl-PL"/>
        </w:rPr>
      </w:pPr>
      <w:r>
        <w:rPr>
          <w:rFonts w:ascii="Times New Roman" w:eastAsia="Calibri" w:hAnsi="Times New Roman" w:cs="Times New Roman"/>
          <w:sz w:val="24"/>
          <w:szCs w:val="20"/>
          <w:lang w:eastAsia="pl-PL"/>
        </w:rPr>
        <w:t>usuwanie z pojazdów wycofanych z eksploatacji elementów lub substancji niebezpiecznych (w tym płynów) poza wyznaczoną stacją demontażu pojazdów,</w:t>
      </w:r>
    </w:p>
    <w:p w14:paraId="2FB09342" w14:textId="77777777" w:rsidR="00773527" w:rsidRPr="007F400A" w:rsidRDefault="00773527" w:rsidP="00D34F97">
      <w:pPr>
        <w:numPr>
          <w:ilvl w:val="0"/>
          <w:numId w:val="66"/>
        </w:numPr>
        <w:spacing w:after="0" w:line="300" w:lineRule="atLeast"/>
        <w:ind w:left="924" w:hanging="357"/>
        <w:jc w:val="both"/>
        <w:rPr>
          <w:rFonts w:ascii="Times New Roman" w:eastAsia="Calibri" w:hAnsi="Times New Roman" w:cs="Times New Roman"/>
          <w:sz w:val="24"/>
          <w:szCs w:val="20"/>
          <w:lang w:val="x-none" w:eastAsia="pl-PL"/>
        </w:rPr>
      </w:pPr>
      <w:r w:rsidRPr="00E047FF">
        <w:rPr>
          <w:rFonts w:ascii="Times New Roman" w:eastAsia="Calibri" w:hAnsi="Times New Roman" w:cs="Times New Roman"/>
          <w:sz w:val="24"/>
          <w:szCs w:val="20"/>
          <w:lang w:val="x-none" w:eastAsia="pl-PL"/>
        </w:rPr>
        <w:t>prowadzenie gospodarki odpadami stwarzające zagrożenie dla środowiska</w:t>
      </w:r>
      <w:r>
        <w:rPr>
          <w:rFonts w:ascii="Times New Roman" w:eastAsia="Calibri" w:hAnsi="Times New Roman" w:cs="Times New Roman"/>
          <w:sz w:val="24"/>
          <w:szCs w:val="20"/>
          <w:lang w:eastAsia="pl-PL"/>
        </w:rPr>
        <w:t>,</w:t>
      </w:r>
      <w:r w:rsidRPr="00E047FF">
        <w:rPr>
          <w:rFonts w:ascii="Times New Roman" w:eastAsia="Calibri" w:hAnsi="Times New Roman" w:cs="Times New Roman"/>
          <w:sz w:val="24"/>
          <w:szCs w:val="20"/>
          <w:lang w:val="x-none" w:eastAsia="pl-PL"/>
        </w:rPr>
        <w:t xml:space="preserve"> poprzez zakopywanie odpadów</w:t>
      </w:r>
      <w:r>
        <w:rPr>
          <w:rFonts w:ascii="Times New Roman" w:eastAsia="Calibri" w:hAnsi="Times New Roman" w:cs="Times New Roman"/>
          <w:sz w:val="24"/>
          <w:szCs w:val="20"/>
          <w:lang w:eastAsia="pl-PL"/>
        </w:rPr>
        <w:t>,</w:t>
      </w:r>
    </w:p>
    <w:p w14:paraId="240E13F5" w14:textId="77777777" w:rsidR="00773527" w:rsidRPr="007F400A" w:rsidRDefault="00773527" w:rsidP="00D34F97">
      <w:pPr>
        <w:numPr>
          <w:ilvl w:val="0"/>
          <w:numId w:val="66"/>
        </w:numPr>
        <w:spacing w:after="0" w:line="300" w:lineRule="atLeast"/>
        <w:ind w:left="924" w:hanging="357"/>
        <w:jc w:val="both"/>
        <w:rPr>
          <w:rFonts w:ascii="Times New Roman" w:eastAsia="Calibri" w:hAnsi="Times New Roman" w:cs="Times New Roman"/>
          <w:sz w:val="24"/>
          <w:szCs w:val="20"/>
          <w:lang w:val="x-none" w:eastAsia="pl-PL"/>
        </w:rPr>
      </w:pPr>
      <w:r w:rsidRPr="00A36F0C">
        <w:rPr>
          <w:rFonts w:ascii="Times New Roman" w:eastAsia="Calibri" w:hAnsi="Times New Roman" w:cs="Times New Roman"/>
          <w:sz w:val="24"/>
          <w:szCs w:val="20"/>
          <w:lang w:val="x-none" w:eastAsia="pl-PL"/>
        </w:rPr>
        <w:t>termiczne przekształcanie odpadów poza instalacjami</w:t>
      </w:r>
      <w:r>
        <w:rPr>
          <w:rFonts w:ascii="Times New Roman" w:eastAsia="Calibri" w:hAnsi="Times New Roman" w:cs="Times New Roman"/>
          <w:sz w:val="24"/>
          <w:szCs w:val="20"/>
          <w:lang w:eastAsia="pl-PL"/>
        </w:rPr>
        <w:t>,</w:t>
      </w:r>
    </w:p>
    <w:p w14:paraId="4B2074B2" w14:textId="77777777" w:rsidR="00773527" w:rsidRPr="00BB3F8E" w:rsidRDefault="00773527" w:rsidP="00D34F97">
      <w:pPr>
        <w:numPr>
          <w:ilvl w:val="0"/>
          <w:numId w:val="66"/>
        </w:numPr>
        <w:spacing w:after="0" w:line="300" w:lineRule="atLeast"/>
        <w:ind w:left="924" w:hanging="357"/>
        <w:jc w:val="both"/>
        <w:rPr>
          <w:rFonts w:ascii="Times New Roman" w:eastAsia="Calibri" w:hAnsi="Times New Roman" w:cs="Times New Roman"/>
          <w:sz w:val="24"/>
          <w:szCs w:val="20"/>
          <w:lang w:val="x-none" w:eastAsia="pl-PL"/>
        </w:rPr>
      </w:pPr>
      <w:r>
        <w:rPr>
          <w:rFonts w:ascii="Times New Roman" w:eastAsia="Calibri" w:hAnsi="Times New Roman" w:cs="Times New Roman"/>
          <w:sz w:val="24"/>
          <w:szCs w:val="20"/>
          <w:lang w:eastAsia="pl-PL"/>
        </w:rPr>
        <w:t>transportowanie podkładów kolejowych bez posiadania wpisu do BDO,</w:t>
      </w:r>
    </w:p>
    <w:p w14:paraId="3729B093" w14:textId="77777777" w:rsidR="00773527" w:rsidRPr="006D159C" w:rsidRDefault="00773527" w:rsidP="00D34F97">
      <w:pPr>
        <w:pStyle w:val="Akapitzlist"/>
        <w:numPr>
          <w:ilvl w:val="0"/>
          <w:numId w:val="66"/>
        </w:numPr>
        <w:spacing w:after="120" w:line="300" w:lineRule="atLeast"/>
        <w:ind w:left="924" w:hanging="357"/>
        <w:contextualSpacing w:val="0"/>
        <w:jc w:val="both"/>
        <w:rPr>
          <w:sz w:val="24"/>
        </w:rPr>
      </w:pPr>
      <w:r>
        <w:rPr>
          <w:sz w:val="24"/>
          <w:lang w:val="pl-PL"/>
        </w:rPr>
        <w:t>b</w:t>
      </w:r>
      <w:r w:rsidRPr="006D159C">
        <w:rPr>
          <w:sz w:val="24"/>
        </w:rPr>
        <w:t>rak wymaganej dokumentacji w zakresie przeciwdziałania poważnym awariom</w:t>
      </w:r>
      <w:r>
        <w:rPr>
          <w:sz w:val="24"/>
          <w:lang w:val="pl-PL"/>
        </w:rPr>
        <w:t>,</w:t>
      </w:r>
      <w:r w:rsidRPr="006D159C">
        <w:rPr>
          <w:sz w:val="24"/>
        </w:rPr>
        <w:t xml:space="preserve"> w</w:t>
      </w:r>
      <w:r>
        <w:rPr>
          <w:sz w:val="24"/>
          <w:lang w:val="pl-PL"/>
        </w:rPr>
        <w:t> </w:t>
      </w:r>
      <w:r w:rsidRPr="006D159C">
        <w:rPr>
          <w:sz w:val="24"/>
        </w:rPr>
        <w:t>tym niewdrożenie systemu bezpieczeństwa</w:t>
      </w:r>
      <w:r>
        <w:rPr>
          <w:sz w:val="24"/>
          <w:lang w:val="pl-PL"/>
        </w:rPr>
        <w:t>.</w:t>
      </w:r>
    </w:p>
    <w:p w14:paraId="5567BE0F" w14:textId="77777777" w:rsidR="00773527" w:rsidRPr="007F400A" w:rsidRDefault="00773527" w:rsidP="009A5FA9">
      <w:pPr>
        <w:spacing w:before="120" w:after="60" w:line="300" w:lineRule="atLeast"/>
        <w:jc w:val="both"/>
        <w:rPr>
          <w:rFonts w:ascii="Times New Roman" w:eastAsia="Times New Roman" w:hAnsi="Times New Roman" w:cs="Times New Roman"/>
          <w:sz w:val="24"/>
          <w:szCs w:val="24"/>
        </w:rPr>
      </w:pPr>
      <w:r w:rsidRPr="007F400A">
        <w:rPr>
          <w:rFonts w:ascii="Times New Roman" w:eastAsia="Times New Roman" w:hAnsi="Times New Roman" w:cs="Times New Roman"/>
          <w:sz w:val="24"/>
          <w:szCs w:val="24"/>
        </w:rPr>
        <w:t>Przedsiębiorcy podczas kontroli wskazywali na różne problemy, które mogły być przyczyną wykrytych naruszeń. Są to między innymi:</w:t>
      </w:r>
    </w:p>
    <w:p w14:paraId="07F32A4E" w14:textId="77777777" w:rsidR="00773527" w:rsidRPr="007F400A" w:rsidRDefault="00773527" w:rsidP="00D34F97">
      <w:pPr>
        <w:numPr>
          <w:ilvl w:val="0"/>
          <w:numId w:val="65"/>
        </w:numPr>
        <w:spacing w:after="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 xml:space="preserve">liczne zmiany w prawie, </w:t>
      </w:r>
    </w:p>
    <w:p w14:paraId="16AAB88C" w14:textId="77777777" w:rsidR="00773527" w:rsidRPr="007F400A" w:rsidRDefault="00773527" w:rsidP="00D34F97">
      <w:pPr>
        <w:numPr>
          <w:ilvl w:val="0"/>
          <w:numId w:val="65"/>
        </w:numPr>
        <w:spacing w:after="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nieznajomość lub niezrozumienie przepisów,</w:t>
      </w:r>
    </w:p>
    <w:p w14:paraId="2E768DE7" w14:textId="77777777" w:rsidR="00773527" w:rsidRPr="007F400A" w:rsidRDefault="00773527" w:rsidP="00D34F97">
      <w:pPr>
        <w:numPr>
          <w:ilvl w:val="0"/>
          <w:numId w:val="65"/>
        </w:numPr>
        <w:spacing w:after="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brak pracownika odpowiedzialnego za prowadzenie dokumentacji oraz spraw związanych z korzystaniem ze środowiska,</w:t>
      </w:r>
    </w:p>
    <w:p w14:paraId="152EB5DB" w14:textId="77777777" w:rsidR="00773527" w:rsidRPr="00DE5A41" w:rsidRDefault="00773527" w:rsidP="00D34F97">
      <w:pPr>
        <w:numPr>
          <w:ilvl w:val="0"/>
          <w:numId w:val="65"/>
        </w:numPr>
        <w:spacing w:after="0" w:line="300" w:lineRule="atLeast"/>
        <w:ind w:left="924" w:hanging="357"/>
        <w:contextualSpacing/>
        <w:jc w:val="both"/>
        <w:rPr>
          <w:rFonts w:ascii="Times New Roman" w:eastAsia="Calibri" w:hAnsi="Times New Roman" w:cs="Times New Roman"/>
          <w:sz w:val="24"/>
          <w:szCs w:val="24"/>
          <w:lang w:val="x-none" w:eastAsia="pl-PL"/>
        </w:rPr>
      </w:pPr>
      <w:r w:rsidRPr="00DE5A41">
        <w:rPr>
          <w:rFonts w:ascii="Times New Roman" w:eastAsia="Calibri" w:hAnsi="Times New Roman" w:cs="Times New Roman"/>
          <w:sz w:val="24"/>
          <w:szCs w:val="24"/>
          <w:lang w:val="x-none" w:eastAsia="pl-PL"/>
        </w:rPr>
        <w:t>trudności z obsługą bazy BDO w zakresie ewidencjonowania odpadów i</w:t>
      </w:r>
      <w:r w:rsidRPr="00DE5A41">
        <w:rPr>
          <w:rFonts w:ascii="Times New Roman" w:eastAsia="Calibri" w:hAnsi="Times New Roman" w:cs="Times New Roman"/>
          <w:sz w:val="24"/>
          <w:szCs w:val="24"/>
          <w:lang w:eastAsia="pl-PL"/>
        </w:rPr>
        <w:t> </w:t>
      </w:r>
      <w:r w:rsidRPr="00DE5A41">
        <w:rPr>
          <w:rFonts w:ascii="Times New Roman" w:eastAsia="Calibri" w:hAnsi="Times New Roman" w:cs="Times New Roman"/>
          <w:sz w:val="24"/>
          <w:szCs w:val="24"/>
          <w:lang w:val="x-none" w:eastAsia="pl-PL"/>
        </w:rPr>
        <w:t>dokonywania wymaganych wpisów</w:t>
      </w:r>
      <w:r>
        <w:rPr>
          <w:rFonts w:ascii="Times New Roman" w:eastAsia="Calibri" w:hAnsi="Times New Roman" w:cs="Times New Roman"/>
          <w:sz w:val="24"/>
          <w:szCs w:val="24"/>
          <w:lang w:eastAsia="pl-PL"/>
        </w:rPr>
        <w:t>,</w:t>
      </w:r>
    </w:p>
    <w:p w14:paraId="3C034B5B" w14:textId="77777777" w:rsidR="00773527" w:rsidRPr="001611DE" w:rsidRDefault="00773527" w:rsidP="00D34F97">
      <w:pPr>
        <w:numPr>
          <w:ilvl w:val="0"/>
          <w:numId w:val="65"/>
        </w:numPr>
        <w:spacing w:after="0" w:line="300" w:lineRule="atLeast"/>
        <w:ind w:left="924" w:hanging="357"/>
        <w:jc w:val="both"/>
        <w:rPr>
          <w:rFonts w:ascii="Times New Roman" w:hAnsi="Times New Roman" w:cs="Times New Roman"/>
          <w:sz w:val="24"/>
          <w:szCs w:val="24"/>
        </w:rPr>
      </w:pPr>
      <w:r w:rsidRPr="00DE5A41">
        <w:rPr>
          <w:rFonts w:ascii="Times New Roman" w:hAnsi="Times New Roman" w:cs="Times New Roman"/>
          <w:sz w:val="24"/>
          <w:szCs w:val="24"/>
        </w:rPr>
        <w:t>niedostateczne nakłady finansowe na przeprowadzanie koniecznych konserwacji, remontów i modernizacji instalacji.</w:t>
      </w:r>
    </w:p>
    <w:bookmarkEnd w:id="38"/>
    <w:p w14:paraId="656EAFC2" w14:textId="77777777" w:rsidR="00773527" w:rsidRPr="007F400A" w:rsidRDefault="00773527" w:rsidP="009A5FA9">
      <w:pPr>
        <w:spacing w:before="120" w:after="120" w:line="300" w:lineRule="atLeast"/>
        <w:ind w:firstLine="567"/>
        <w:jc w:val="both"/>
        <w:rPr>
          <w:rFonts w:ascii="Times New Roman" w:eastAsia="Times New Roman" w:hAnsi="Times New Roman" w:cs="Times New Roman"/>
          <w:sz w:val="24"/>
          <w:szCs w:val="24"/>
        </w:rPr>
      </w:pPr>
      <w:r w:rsidRPr="007F400A">
        <w:rPr>
          <w:rFonts w:ascii="Times New Roman" w:eastAsia="Times New Roman" w:hAnsi="Times New Roman" w:cs="Times New Roman"/>
          <w:sz w:val="24"/>
          <w:szCs w:val="24"/>
        </w:rPr>
        <w:t>Udział kontroli zakładów, w których stwierdzono naruszenia, do kontroli ogółem w podziale na województwa, przedstawia się następująco:</w:t>
      </w:r>
    </w:p>
    <w:p w14:paraId="62598D2D" w14:textId="77777777" w:rsidR="00773527" w:rsidRPr="007F400A" w:rsidRDefault="00773527" w:rsidP="00056EE7">
      <w:pPr>
        <w:spacing w:line="300" w:lineRule="atLeast"/>
        <w:jc w:val="center"/>
        <w:rPr>
          <w:rFonts w:ascii="Times New Roman" w:eastAsia="Times New Roman" w:hAnsi="Times New Roman" w:cs="Times New Roman"/>
          <w:b/>
          <w:bCs/>
          <w:iCs/>
          <w:szCs w:val="24"/>
        </w:rPr>
      </w:pPr>
      <w:r w:rsidRPr="007F400A">
        <w:rPr>
          <w:rFonts w:ascii="Times New Roman" w:eastAsia="Times New Roman" w:hAnsi="Times New Roman" w:cs="Times New Roman"/>
          <w:b/>
          <w:bCs/>
          <w:iCs/>
          <w:szCs w:val="24"/>
        </w:rPr>
        <w:t xml:space="preserve">Tabela 1. Naruszenia stwierdzone w trakcie kontroli zakładów według województw w </w:t>
      </w:r>
      <w:r>
        <w:rPr>
          <w:rFonts w:ascii="Times New Roman" w:eastAsia="Times New Roman" w:hAnsi="Times New Roman" w:cs="Times New Roman"/>
          <w:b/>
          <w:bCs/>
          <w:iCs/>
          <w:szCs w:val="24"/>
        </w:rPr>
        <w:t>2022</w:t>
      </w:r>
      <w:r w:rsidRPr="007F400A">
        <w:rPr>
          <w:rFonts w:ascii="Times New Roman" w:eastAsia="Times New Roman" w:hAnsi="Times New Roman" w:cs="Times New Roman"/>
          <w:b/>
          <w:bCs/>
          <w:iCs/>
          <w:szCs w:val="24"/>
        </w:rPr>
        <w:t xml:space="preserve"> r.</w:t>
      </w:r>
    </w:p>
    <w:tbl>
      <w:tblPr>
        <w:tblW w:w="9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33"/>
        <w:gridCol w:w="884"/>
        <w:gridCol w:w="1554"/>
        <w:gridCol w:w="805"/>
        <w:gridCol w:w="1554"/>
        <w:gridCol w:w="1316"/>
        <w:gridCol w:w="1554"/>
      </w:tblGrid>
      <w:tr w:rsidR="00773527" w:rsidRPr="007F400A" w14:paraId="0FAAA8B0" w14:textId="77777777" w:rsidTr="00D91871">
        <w:trPr>
          <w:trHeight w:val="523"/>
        </w:trPr>
        <w:tc>
          <w:tcPr>
            <w:tcW w:w="1833" w:type="dxa"/>
            <w:vMerge w:val="restart"/>
            <w:shd w:val="clear" w:color="auto" w:fill="auto"/>
            <w:noWrap/>
            <w:vAlign w:val="center"/>
            <w:hideMark/>
          </w:tcPr>
          <w:p w14:paraId="2089E02D" w14:textId="77777777" w:rsidR="00773527" w:rsidRPr="007F400A" w:rsidRDefault="00773527" w:rsidP="00056EE7">
            <w:pPr>
              <w:spacing w:line="300" w:lineRule="atLeast"/>
              <w:jc w:val="center"/>
              <w:rPr>
                <w:rFonts w:ascii="Times New Roman" w:eastAsia="Times New Roman" w:hAnsi="Times New Roman" w:cs="Times New Roman"/>
                <w:b/>
                <w:bCs/>
                <w:color w:val="000000"/>
                <w:sz w:val="18"/>
                <w:szCs w:val="18"/>
              </w:rPr>
            </w:pPr>
            <w:r w:rsidRPr="007F400A">
              <w:rPr>
                <w:rFonts w:ascii="Times New Roman" w:eastAsia="Times New Roman" w:hAnsi="Times New Roman" w:cs="Times New Roman"/>
                <w:b/>
                <w:bCs/>
                <w:color w:val="000000"/>
                <w:sz w:val="18"/>
                <w:szCs w:val="18"/>
              </w:rPr>
              <w:t>Województwo</w:t>
            </w:r>
          </w:p>
        </w:tc>
        <w:tc>
          <w:tcPr>
            <w:tcW w:w="2438" w:type="dxa"/>
            <w:gridSpan w:val="2"/>
            <w:shd w:val="clear" w:color="auto" w:fill="auto"/>
            <w:vAlign w:val="center"/>
            <w:hideMark/>
          </w:tcPr>
          <w:p w14:paraId="6469D63E" w14:textId="77777777" w:rsidR="00773527" w:rsidRPr="007F400A" w:rsidRDefault="00773527" w:rsidP="00056EE7">
            <w:pPr>
              <w:spacing w:line="300" w:lineRule="atLeast"/>
              <w:jc w:val="center"/>
              <w:rPr>
                <w:rFonts w:ascii="Times New Roman" w:eastAsia="Times New Roman" w:hAnsi="Times New Roman" w:cs="Times New Roman"/>
                <w:b/>
                <w:bCs/>
                <w:color w:val="000000"/>
                <w:sz w:val="18"/>
                <w:szCs w:val="18"/>
              </w:rPr>
            </w:pPr>
            <w:r w:rsidRPr="007F400A">
              <w:rPr>
                <w:rFonts w:ascii="Times New Roman" w:eastAsia="Times New Roman" w:hAnsi="Times New Roman" w:cs="Times New Roman"/>
                <w:b/>
                <w:bCs/>
                <w:color w:val="000000"/>
                <w:sz w:val="18"/>
                <w:szCs w:val="18"/>
              </w:rPr>
              <w:t xml:space="preserve">Liczba kontroli </w:t>
            </w:r>
            <w:r>
              <w:rPr>
                <w:rFonts w:ascii="Times New Roman" w:eastAsia="Times New Roman" w:hAnsi="Times New Roman" w:cs="Times New Roman"/>
                <w:b/>
                <w:bCs/>
                <w:color w:val="000000"/>
                <w:sz w:val="18"/>
                <w:szCs w:val="18"/>
              </w:rPr>
              <w:t>ogółem</w:t>
            </w:r>
          </w:p>
        </w:tc>
        <w:tc>
          <w:tcPr>
            <w:tcW w:w="2359" w:type="dxa"/>
            <w:gridSpan w:val="2"/>
            <w:shd w:val="clear" w:color="auto" w:fill="auto"/>
            <w:vAlign w:val="center"/>
            <w:hideMark/>
          </w:tcPr>
          <w:p w14:paraId="4B4CF5B2" w14:textId="77777777" w:rsidR="00773527" w:rsidRPr="007F400A" w:rsidRDefault="00773527" w:rsidP="00056EE7">
            <w:pPr>
              <w:spacing w:line="300" w:lineRule="atLeast"/>
              <w:jc w:val="center"/>
              <w:rPr>
                <w:rFonts w:ascii="Times New Roman" w:eastAsia="Times New Roman" w:hAnsi="Times New Roman" w:cs="Times New Roman"/>
                <w:b/>
                <w:bCs/>
                <w:color w:val="000000"/>
                <w:sz w:val="18"/>
                <w:szCs w:val="18"/>
              </w:rPr>
            </w:pPr>
            <w:r w:rsidRPr="007F400A">
              <w:rPr>
                <w:rFonts w:ascii="Times New Roman" w:eastAsia="Times New Roman" w:hAnsi="Times New Roman" w:cs="Times New Roman"/>
                <w:b/>
                <w:bCs/>
                <w:color w:val="000000"/>
                <w:sz w:val="18"/>
                <w:szCs w:val="18"/>
              </w:rPr>
              <w:t>Liczba kontroli z</w:t>
            </w:r>
            <w:r>
              <w:rPr>
                <w:rFonts w:ascii="Times New Roman" w:eastAsia="Times New Roman" w:hAnsi="Times New Roman" w:cs="Times New Roman"/>
                <w:b/>
                <w:bCs/>
                <w:color w:val="000000"/>
                <w:sz w:val="18"/>
                <w:szCs w:val="18"/>
              </w:rPr>
              <w:t> </w:t>
            </w:r>
            <w:r w:rsidRPr="007F400A">
              <w:rPr>
                <w:rFonts w:ascii="Times New Roman" w:eastAsia="Times New Roman" w:hAnsi="Times New Roman" w:cs="Times New Roman"/>
                <w:b/>
                <w:bCs/>
                <w:color w:val="000000"/>
                <w:sz w:val="18"/>
                <w:szCs w:val="18"/>
              </w:rPr>
              <w:t xml:space="preserve">naruszeniami </w:t>
            </w:r>
          </w:p>
        </w:tc>
        <w:tc>
          <w:tcPr>
            <w:tcW w:w="2870" w:type="dxa"/>
            <w:gridSpan w:val="2"/>
            <w:shd w:val="clear" w:color="auto" w:fill="auto"/>
            <w:vAlign w:val="center"/>
            <w:hideMark/>
          </w:tcPr>
          <w:p w14:paraId="627A7A17" w14:textId="77777777" w:rsidR="00773527" w:rsidRPr="007F400A" w:rsidRDefault="00773527" w:rsidP="00056EE7">
            <w:pPr>
              <w:spacing w:line="300" w:lineRule="atLeast"/>
              <w:jc w:val="center"/>
              <w:rPr>
                <w:rFonts w:ascii="Times New Roman" w:eastAsia="Times New Roman" w:hAnsi="Times New Roman" w:cs="Times New Roman"/>
                <w:b/>
                <w:bCs/>
                <w:color w:val="000000"/>
                <w:sz w:val="18"/>
                <w:szCs w:val="18"/>
              </w:rPr>
            </w:pPr>
            <w:r w:rsidRPr="007F400A">
              <w:rPr>
                <w:rFonts w:ascii="Times New Roman" w:eastAsia="Times New Roman" w:hAnsi="Times New Roman" w:cs="Times New Roman"/>
                <w:b/>
                <w:bCs/>
                <w:color w:val="000000"/>
                <w:sz w:val="18"/>
                <w:szCs w:val="18"/>
              </w:rPr>
              <w:t>Liczba kontroli z naruszeniami do</w:t>
            </w:r>
            <w:r>
              <w:rPr>
                <w:rFonts w:ascii="Times New Roman" w:eastAsia="Times New Roman" w:hAnsi="Times New Roman" w:cs="Times New Roman"/>
                <w:b/>
                <w:bCs/>
                <w:color w:val="000000"/>
                <w:sz w:val="18"/>
                <w:szCs w:val="18"/>
              </w:rPr>
              <w:t> </w:t>
            </w:r>
            <w:r w:rsidRPr="007F400A">
              <w:rPr>
                <w:rFonts w:ascii="Times New Roman" w:eastAsia="Times New Roman" w:hAnsi="Times New Roman" w:cs="Times New Roman"/>
                <w:b/>
                <w:bCs/>
                <w:color w:val="000000"/>
                <w:sz w:val="18"/>
                <w:szCs w:val="18"/>
              </w:rPr>
              <w:t>liczby kontroli ogółem (w %)</w:t>
            </w:r>
          </w:p>
        </w:tc>
      </w:tr>
      <w:tr w:rsidR="00773527" w:rsidRPr="007F400A" w14:paraId="21542D83" w14:textId="77777777" w:rsidTr="00D91871">
        <w:trPr>
          <w:trHeight w:val="492"/>
        </w:trPr>
        <w:tc>
          <w:tcPr>
            <w:tcW w:w="1833" w:type="dxa"/>
            <w:vMerge/>
            <w:vAlign w:val="center"/>
            <w:hideMark/>
          </w:tcPr>
          <w:p w14:paraId="211623BC" w14:textId="77777777" w:rsidR="00773527" w:rsidRPr="007F400A" w:rsidRDefault="00773527" w:rsidP="00056EE7">
            <w:pPr>
              <w:spacing w:line="300" w:lineRule="atLeast"/>
              <w:rPr>
                <w:rFonts w:ascii="Times New Roman" w:eastAsia="Times New Roman" w:hAnsi="Times New Roman" w:cs="Times New Roman"/>
                <w:b/>
                <w:bCs/>
                <w:color w:val="000000"/>
                <w:sz w:val="18"/>
                <w:szCs w:val="18"/>
              </w:rPr>
            </w:pPr>
          </w:p>
        </w:tc>
        <w:tc>
          <w:tcPr>
            <w:tcW w:w="884" w:type="dxa"/>
            <w:shd w:val="clear" w:color="auto" w:fill="auto"/>
            <w:vAlign w:val="center"/>
            <w:hideMark/>
          </w:tcPr>
          <w:p w14:paraId="696594D3" w14:textId="77777777" w:rsidR="00773527" w:rsidRPr="007F400A" w:rsidRDefault="00773527" w:rsidP="00056EE7">
            <w:pPr>
              <w:spacing w:line="300" w:lineRule="atLeast"/>
              <w:jc w:val="center"/>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w terenie</w:t>
            </w:r>
          </w:p>
        </w:tc>
        <w:tc>
          <w:tcPr>
            <w:tcW w:w="1554" w:type="dxa"/>
            <w:shd w:val="clear" w:color="auto" w:fill="auto"/>
            <w:vAlign w:val="center"/>
            <w:hideMark/>
          </w:tcPr>
          <w:p w14:paraId="790B3EF6" w14:textId="77777777" w:rsidR="00773527" w:rsidRPr="007F400A" w:rsidRDefault="00773527" w:rsidP="00056EE7">
            <w:pPr>
              <w:spacing w:line="300" w:lineRule="atLeast"/>
              <w:jc w:val="center"/>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dokumentacyjnych</w:t>
            </w:r>
          </w:p>
        </w:tc>
        <w:tc>
          <w:tcPr>
            <w:tcW w:w="805" w:type="dxa"/>
            <w:shd w:val="clear" w:color="auto" w:fill="auto"/>
            <w:vAlign w:val="center"/>
            <w:hideMark/>
          </w:tcPr>
          <w:p w14:paraId="3F7B5B2E" w14:textId="77777777" w:rsidR="00773527" w:rsidRPr="007F400A" w:rsidRDefault="00773527" w:rsidP="00056EE7">
            <w:pPr>
              <w:spacing w:line="300" w:lineRule="atLeast"/>
              <w:jc w:val="center"/>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w terenie</w:t>
            </w:r>
          </w:p>
        </w:tc>
        <w:tc>
          <w:tcPr>
            <w:tcW w:w="1554" w:type="dxa"/>
            <w:shd w:val="clear" w:color="auto" w:fill="auto"/>
            <w:vAlign w:val="center"/>
            <w:hideMark/>
          </w:tcPr>
          <w:p w14:paraId="7A65B844" w14:textId="77777777" w:rsidR="00773527" w:rsidRPr="007F400A" w:rsidRDefault="00773527" w:rsidP="00056EE7">
            <w:pPr>
              <w:spacing w:line="300" w:lineRule="atLeast"/>
              <w:jc w:val="center"/>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dokumentacyjnych</w:t>
            </w:r>
          </w:p>
        </w:tc>
        <w:tc>
          <w:tcPr>
            <w:tcW w:w="1316" w:type="dxa"/>
            <w:shd w:val="clear" w:color="auto" w:fill="auto"/>
            <w:vAlign w:val="center"/>
            <w:hideMark/>
          </w:tcPr>
          <w:p w14:paraId="2B5B10A0" w14:textId="77777777" w:rsidR="00773527" w:rsidRPr="007F400A" w:rsidRDefault="00773527" w:rsidP="00056EE7">
            <w:pPr>
              <w:spacing w:line="300" w:lineRule="atLeast"/>
              <w:jc w:val="center"/>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w terenie</w:t>
            </w:r>
          </w:p>
        </w:tc>
        <w:tc>
          <w:tcPr>
            <w:tcW w:w="1554" w:type="dxa"/>
            <w:shd w:val="clear" w:color="auto" w:fill="auto"/>
            <w:vAlign w:val="center"/>
            <w:hideMark/>
          </w:tcPr>
          <w:p w14:paraId="5F9990C8" w14:textId="77777777" w:rsidR="00773527" w:rsidRPr="007F400A" w:rsidRDefault="00773527" w:rsidP="00056EE7">
            <w:pPr>
              <w:spacing w:line="300" w:lineRule="atLeast"/>
              <w:jc w:val="center"/>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dokumentacyjnych</w:t>
            </w:r>
          </w:p>
        </w:tc>
      </w:tr>
      <w:tr w:rsidR="00773527" w:rsidRPr="007F400A" w14:paraId="326D9CE0" w14:textId="77777777" w:rsidTr="00D91871">
        <w:trPr>
          <w:trHeight w:val="346"/>
        </w:trPr>
        <w:tc>
          <w:tcPr>
            <w:tcW w:w="1833" w:type="dxa"/>
            <w:shd w:val="clear" w:color="auto" w:fill="auto"/>
            <w:vAlign w:val="center"/>
            <w:hideMark/>
          </w:tcPr>
          <w:p w14:paraId="3562C0CC"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Dolnośląskie</w:t>
            </w:r>
          </w:p>
        </w:tc>
        <w:tc>
          <w:tcPr>
            <w:tcW w:w="884" w:type="dxa"/>
            <w:shd w:val="clear" w:color="auto" w:fill="auto"/>
            <w:vAlign w:val="center"/>
          </w:tcPr>
          <w:p w14:paraId="288B3385" w14:textId="77777777" w:rsidR="00773527" w:rsidRPr="00AF5DBA" w:rsidRDefault="00773527" w:rsidP="00056EE7">
            <w:pPr>
              <w:spacing w:after="0" w:line="300" w:lineRule="atLeast"/>
              <w:jc w:val="center"/>
              <w:rPr>
                <w:rFonts w:ascii="Times New Roman" w:eastAsia="Times New Roman" w:hAnsi="Times New Roman" w:cs="Times New Roman"/>
                <w:color w:val="000000"/>
                <w:sz w:val="18"/>
                <w:szCs w:val="18"/>
              </w:rPr>
            </w:pPr>
            <w:r w:rsidRPr="00B5252E">
              <w:rPr>
                <w:rFonts w:ascii="Times New Roman" w:hAnsi="Times New Roman" w:cs="Times New Roman"/>
                <w:sz w:val="18"/>
              </w:rPr>
              <w:t>452</w:t>
            </w:r>
          </w:p>
        </w:tc>
        <w:tc>
          <w:tcPr>
            <w:tcW w:w="1554" w:type="dxa"/>
            <w:shd w:val="clear" w:color="auto" w:fill="auto"/>
            <w:noWrap/>
            <w:vAlign w:val="center"/>
          </w:tcPr>
          <w:p w14:paraId="7F442DE2" w14:textId="77777777" w:rsidR="00773527" w:rsidRPr="00AF5DBA" w:rsidRDefault="00773527" w:rsidP="00056EE7">
            <w:pPr>
              <w:spacing w:after="0" w:line="300" w:lineRule="atLeast"/>
              <w:jc w:val="center"/>
              <w:rPr>
                <w:rFonts w:ascii="Times New Roman" w:eastAsia="Times New Roman" w:hAnsi="Times New Roman" w:cs="Times New Roman"/>
                <w:color w:val="000000"/>
                <w:sz w:val="18"/>
                <w:szCs w:val="18"/>
              </w:rPr>
            </w:pPr>
            <w:r w:rsidRPr="00AF5DBA">
              <w:rPr>
                <w:rFonts w:ascii="Times New Roman" w:hAnsi="Times New Roman" w:cs="Times New Roman"/>
                <w:sz w:val="18"/>
              </w:rPr>
              <w:t>2 067</w:t>
            </w:r>
          </w:p>
        </w:tc>
        <w:tc>
          <w:tcPr>
            <w:tcW w:w="805" w:type="dxa"/>
            <w:shd w:val="clear" w:color="auto" w:fill="auto"/>
            <w:noWrap/>
            <w:vAlign w:val="center"/>
          </w:tcPr>
          <w:p w14:paraId="75A13C9F" w14:textId="77777777" w:rsidR="00773527" w:rsidRPr="00AF5DBA" w:rsidRDefault="00773527" w:rsidP="00056EE7">
            <w:pPr>
              <w:spacing w:after="0" w:line="300" w:lineRule="atLeast"/>
              <w:jc w:val="center"/>
              <w:rPr>
                <w:rFonts w:ascii="Times New Roman" w:eastAsia="Times New Roman" w:hAnsi="Times New Roman" w:cs="Times New Roman"/>
                <w:color w:val="000000"/>
                <w:sz w:val="18"/>
                <w:szCs w:val="18"/>
              </w:rPr>
            </w:pPr>
            <w:r w:rsidRPr="00B5252E">
              <w:rPr>
                <w:rFonts w:ascii="Times New Roman" w:hAnsi="Times New Roman" w:cs="Times New Roman"/>
                <w:sz w:val="18"/>
              </w:rPr>
              <w:t>262</w:t>
            </w:r>
          </w:p>
        </w:tc>
        <w:tc>
          <w:tcPr>
            <w:tcW w:w="1554" w:type="dxa"/>
            <w:shd w:val="clear" w:color="auto" w:fill="auto"/>
            <w:noWrap/>
            <w:vAlign w:val="center"/>
          </w:tcPr>
          <w:p w14:paraId="459F93FA"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6D159C">
              <w:rPr>
                <w:rFonts w:ascii="Times New Roman" w:hAnsi="Times New Roman" w:cs="Times New Roman"/>
                <w:sz w:val="18"/>
              </w:rPr>
              <w:t>149</w:t>
            </w:r>
          </w:p>
        </w:tc>
        <w:tc>
          <w:tcPr>
            <w:tcW w:w="1316" w:type="dxa"/>
            <w:shd w:val="clear" w:color="auto" w:fill="auto"/>
            <w:noWrap/>
            <w:vAlign w:val="center"/>
          </w:tcPr>
          <w:p w14:paraId="15FCAD2C"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6D159C">
              <w:rPr>
                <w:rFonts w:ascii="Times New Roman" w:hAnsi="Times New Roman" w:cs="Times New Roman"/>
                <w:sz w:val="18"/>
              </w:rPr>
              <w:t>57,96%</w:t>
            </w:r>
          </w:p>
        </w:tc>
        <w:tc>
          <w:tcPr>
            <w:tcW w:w="1554" w:type="dxa"/>
            <w:shd w:val="clear" w:color="auto" w:fill="auto"/>
            <w:noWrap/>
            <w:vAlign w:val="center"/>
          </w:tcPr>
          <w:p w14:paraId="198C322D"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6D159C">
              <w:rPr>
                <w:rFonts w:ascii="Times New Roman" w:hAnsi="Times New Roman" w:cs="Times New Roman"/>
                <w:sz w:val="18"/>
              </w:rPr>
              <w:t>7,21%</w:t>
            </w:r>
          </w:p>
        </w:tc>
      </w:tr>
      <w:tr w:rsidR="00773527" w:rsidRPr="007F400A" w14:paraId="2078F756" w14:textId="77777777" w:rsidTr="00D91871">
        <w:trPr>
          <w:trHeight w:val="346"/>
        </w:trPr>
        <w:tc>
          <w:tcPr>
            <w:tcW w:w="1833" w:type="dxa"/>
            <w:shd w:val="clear" w:color="auto" w:fill="auto"/>
            <w:vAlign w:val="center"/>
            <w:hideMark/>
          </w:tcPr>
          <w:p w14:paraId="3227FD84"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Kujawsko-pomorskie</w:t>
            </w:r>
          </w:p>
        </w:tc>
        <w:tc>
          <w:tcPr>
            <w:tcW w:w="884" w:type="dxa"/>
            <w:shd w:val="clear" w:color="auto" w:fill="auto"/>
            <w:vAlign w:val="center"/>
          </w:tcPr>
          <w:p w14:paraId="43357703"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6D159C">
              <w:rPr>
                <w:rFonts w:ascii="Times New Roman" w:hAnsi="Times New Roman" w:cs="Times New Roman"/>
                <w:sz w:val="18"/>
              </w:rPr>
              <w:t>908</w:t>
            </w:r>
          </w:p>
        </w:tc>
        <w:tc>
          <w:tcPr>
            <w:tcW w:w="1554" w:type="dxa"/>
            <w:shd w:val="clear" w:color="auto" w:fill="auto"/>
            <w:noWrap/>
            <w:vAlign w:val="center"/>
          </w:tcPr>
          <w:p w14:paraId="7523818F"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6D159C">
              <w:rPr>
                <w:rFonts w:ascii="Times New Roman" w:hAnsi="Times New Roman" w:cs="Times New Roman"/>
                <w:sz w:val="18"/>
              </w:rPr>
              <w:t>1 204</w:t>
            </w:r>
          </w:p>
        </w:tc>
        <w:tc>
          <w:tcPr>
            <w:tcW w:w="805" w:type="dxa"/>
            <w:shd w:val="clear" w:color="auto" w:fill="auto"/>
            <w:noWrap/>
            <w:vAlign w:val="center"/>
          </w:tcPr>
          <w:p w14:paraId="6E2E321F"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6D159C">
              <w:rPr>
                <w:rFonts w:ascii="Times New Roman" w:hAnsi="Times New Roman" w:cs="Times New Roman"/>
                <w:sz w:val="18"/>
              </w:rPr>
              <w:t>426</w:t>
            </w:r>
          </w:p>
        </w:tc>
        <w:tc>
          <w:tcPr>
            <w:tcW w:w="1554" w:type="dxa"/>
            <w:shd w:val="clear" w:color="auto" w:fill="auto"/>
            <w:noWrap/>
            <w:vAlign w:val="center"/>
          </w:tcPr>
          <w:p w14:paraId="7D45D41B"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6D159C">
              <w:rPr>
                <w:rFonts w:ascii="Times New Roman" w:hAnsi="Times New Roman" w:cs="Times New Roman"/>
                <w:sz w:val="18"/>
              </w:rPr>
              <w:t>114</w:t>
            </w:r>
          </w:p>
        </w:tc>
        <w:tc>
          <w:tcPr>
            <w:tcW w:w="1316" w:type="dxa"/>
            <w:shd w:val="clear" w:color="auto" w:fill="auto"/>
            <w:noWrap/>
            <w:vAlign w:val="center"/>
          </w:tcPr>
          <w:p w14:paraId="7AE711F5"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46,92%</w:t>
            </w:r>
          </w:p>
        </w:tc>
        <w:tc>
          <w:tcPr>
            <w:tcW w:w="1554" w:type="dxa"/>
            <w:shd w:val="clear" w:color="auto" w:fill="auto"/>
            <w:noWrap/>
            <w:vAlign w:val="center"/>
          </w:tcPr>
          <w:p w14:paraId="0DA8D17A"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6D159C">
              <w:rPr>
                <w:rFonts w:ascii="Times New Roman" w:hAnsi="Times New Roman" w:cs="Times New Roman"/>
                <w:sz w:val="18"/>
              </w:rPr>
              <w:t>9,47%</w:t>
            </w:r>
          </w:p>
        </w:tc>
      </w:tr>
      <w:tr w:rsidR="00773527" w:rsidRPr="007F400A" w14:paraId="77D3717F" w14:textId="77777777" w:rsidTr="00D91871">
        <w:trPr>
          <w:trHeight w:val="346"/>
        </w:trPr>
        <w:tc>
          <w:tcPr>
            <w:tcW w:w="1833" w:type="dxa"/>
            <w:shd w:val="clear" w:color="auto" w:fill="auto"/>
            <w:vAlign w:val="center"/>
            <w:hideMark/>
          </w:tcPr>
          <w:p w14:paraId="5BB552B1"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Lubelskie</w:t>
            </w:r>
          </w:p>
        </w:tc>
        <w:tc>
          <w:tcPr>
            <w:tcW w:w="884" w:type="dxa"/>
            <w:shd w:val="clear" w:color="auto" w:fill="auto"/>
            <w:vAlign w:val="center"/>
          </w:tcPr>
          <w:p w14:paraId="56322FD5"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985</w:t>
            </w:r>
          </w:p>
        </w:tc>
        <w:tc>
          <w:tcPr>
            <w:tcW w:w="1554" w:type="dxa"/>
            <w:shd w:val="clear" w:color="auto" w:fill="auto"/>
            <w:noWrap/>
            <w:vAlign w:val="center"/>
          </w:tcPr>
          <w:p w14:paraId="5E61EEEB"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6D159C">
              <w:rPr>
                <w:rFonts w:ascii="Times New Roman" w:hAnsi="Times New Roman" w:cs="Times New Roman"/>
                <w:sz w:val="18"/>
              </w:rPr>
              <w:t>1 948</w:t>
            </w:r>
          </w:p>
        </w:tc>
        <w:tc>
          <w:tcPr>
            <w:tcW w:w="805" w:type="dxa"/>
            <w:shd w:val="clear" w:color="auto" w:fill="auto"/>
            <w:noWrap/>
            <w:vAlign w:val="center"/>
          </w:tcPr>
          <w:p w14:paraId="6E17A6D4"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6D159C">
              <w:rPr>
                <w:rFonts w:ascii="Times New Roman" w:hAnsi="Times New Roman" w:cs="Times New Roman"/>
                <w:sz w:val="18"/>
              </w:rPr>
              <w:t>400</w:t>
            </w:r>
          </w:p>
        </w:tc>
        <w:tc>
          <w:tcPr>
            <w:tcW w:w="1554" w:type="dxa"/>
            <w:shd w:val="clear" w:color="auto" w:fill="auto"/>
            <w:noWrap/>
            <w:vAlign w:val="center"/>
          </w:tcPr>
          <w:p w14:paraId="1C67FDB7"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6D159C">
              <w:rPr>
                <w:rFonts w:ascii="Times New Roman" w:hAnsi="Times New Roman" w:cs="Times New Roman"/>
                <w:sz w:val="18"/>
              </w:rPr>
              <w:t>119</w:t>
            </w:r>
          </w:p>
        </w:tc>
        <w:tc>
          <w:tcPr>
            <w:tcW w:w="1316" w:type="dxa"/>
            <w:shd w:val="clear" w:color="auto" w:fill="auto"/>
            <w:noWrap/>
            <w:vAlign w:val="center"/>
          </w:tcPr>
          <w:p w14:paraId="5C7D2221"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6D159C">
              <w:rPr>
                <w:rFonts w:ascii="Times New Roman" w:hAnsi="Times New Roman" w:cs="Times New Roman"/>
                <w:sz w:val="18"/>
              </w:rPr>
              <w:t>40,61%</w:t>
            </w:r>
          </w:p>
        </w:tc>
        <w:tc>
          <w:tcPr>
            <w:tcW w:w="1554" w:type="dxa"/>
            <w:shd w:val="clear" w:color="auto" w:fill="auto"/>
            <w:noWrap/>
            <w:vAlign w:val="center"/>
          </w:tcPr>
          <w:p w14:paraId="47934539"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6D159C">
              <w:rPr>
                <w:rFonts w:ascii="Times New Roman" w:hAnsi="Times New Roman" w:cs="Times New Roman"/>
                <w:sz w:val="18"/>
              </w:rPr>
              <w:t>6,11%</w:t>
            </w:r>
          </w:p>
        </w:tc>
      </w:tr>
      <w:tr w:rsidR="00773527" w:rsidRPr="007F400A" w14:paraId="63495863" w14:textId="77777777" w:rsidTr="00D91871">
        <w:trPr>
          <w:trHeight w:val="346"/>
        </w:trPr>
        <w:tc>
          <w:tcPr>
            <w:tcW w:w="1833" w:type="dxa"/>
            <w:shd w:val="clear" w:color="auto" w:fill="auto"/>
            <w:vAlign w:val="center"/>
            <w:hideMark/>
          </w:tcPr>
          <w:p w14:paraId="05B61485"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Lubuskie</w:t>
            </w:r>
          </w:p>
        </w:tc>
        <w:tc>
          <w:tcPr>
            <w:tcW w:w="884" w:type="dxa"/>
            <w:shd w:val="clear" w:color="auto" w:fill="auto"/>
            <w:vAlign w:val="center"/>
          </w:tcPr>
          <w:p w14:paraId="353DDDB3"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6D159C">
              <w:rPr>
                <w:rFonts w:ascii="Times New Roman" w:hAnsi="Times New Roman" w:cs="Times New Roman"/>
                <w:sz w:val="18"/>
              </w:rPr>
              <w:t>849</w:t>
            </w:r>
          </w:p>
        </w:tc>
        <w:tc>
          <w:tcPr>
            <w:tcW w:w="1554" w:type="dxa"/>
            <w:shd w:val="clear" w:color="auto" w:fill="auto"/>
            <w:noWrap/>
            <w:vAlign w:val="center"/>
          </w:tcPr>
          <w:p w14:paraId="216EFC63"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6D159C">
              <w:rPr>
                <w:rFonts w:ascii="Times New Roman" w:hAnsi="Times New Roman" w:cs="Times New Roman"/>
                <w:sz w:val="18"/>
              </w:rPr>
              <w:t>803</w:t>
            </w:r>
          </w:p>
        </w:tc>
        <w:tc>
          <w:tcPr>
            <w:tcW w:w="805" w:type="dxa"/>
            <w:shd w:val="clear" w:color="auto" w:fill="auto"/>
            <w:noWrap/>
            <w:vAlign w:val="center"/>
          </w:tcPr>
          <w:p w14:paraId="39D52C12"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6D159C">
              <w:rPr>
                <w:rFonts w:ascii="Times New Roman" w:hAnsi="Times New Roman" w:cs="Times New Roman"/>
                <w:sz w:val="18"/>
              </w:rPr>
              <w:t>402</w:t>
            </w:r>
          </w:p>
        </w:tc>
        <w:tc>
          <w:tcPr>
            <w:tcW w:w="1554" w:type="dxa"/>
            <w:shd w:val="clear" w:color="auto" w:fill="auto"/>
            <w:noWrap/>
            <w:vAlign w:val="center"/>
          </w:tcPr>
          <w:p w14:paraId="42087AAB"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6D159C">
              <w:rPr>
                <w:rFonts w:ascii="Times New Roman" w:hAnsi="Times New Roman" w:cs="Times New Roman"/>
                <w:sz w:val="18"/>
              </w:rPr>
              <w:t>128</w:t>
            </w:r>
          </w:p>
        </w:tc>
        <w:tc>
          <w:tcPr>
            <w:tcW w:w="1316" w:type="dxa"/>
            <w:shd w:val="clear" w:color="auto" w:fill="auto"/>
            <w:noWrap/>
            <w:vAlign w:val="center"/>
          </w:tcPr>
          <w:p w14:paraId="5A56BA93"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6D159C">
              <w:rPr>
                <w:rFonts w:ascii="Times New Roman" w:hAnsi="Times New Roman" w:cs="Times New Roman"/>
                <w:sz w:val="18"/>
              </w:rPr>
              <w:t>47,35%</w:t>
            </w:r>
          </w:p>
        </w:tc>
        <w:tc>
          <w:tcPr>
            <w:tcW w:w="1554" w:type="dxa"/>
            <w:shd w:val="clear" w:color="auto" w:fill="auto"/>
            <w:noWrap/>
            <w:vAlign w:val="center"/>
          </w:tcPr>
          <w:p w14:paraId="4C408C0B"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6D159C">
              <w:rPr>
                <w:rFonts w:ascii="Times New Roman" w:hAnsi="Times New Roman" w:cs="Times New Roman"/>
                <w:sz w:val="18"/>
              </w:rPr>
              <w:t>15,94%</w:t>
            </w:r>
          </w:p>
        </w:tc>
      </w:tr>
      <w:tr w:rsidR="00773527" w:rsidRPr="007F400A" w14:paraId="3B5ECB50" w14:textId="77777777" w:rsidTr="00D91871">
        <w:trPr>
          <w:trHeight w:val="346"/>
        </w:trPr>
        <w:tc>
          <w:tcPr>
            <w:tcW w:w="1833" w:type="dxa"/>
            <w:shd w:val="clear" w:color="auto" w:fill="auto"/>
            <w:vAlign w:val="center"/>
            <w:hideMark/>
          </w:tcPr>
          <w:p w14:paraId="0FD0B85E"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Łódzkie</w:t>
            </w:r>
          </w:p>
        </w:tc>
        <w:tc>
          <w:tcPr>
            <w:tcW w:w="884" w:type="dxa"/>
            <w:shd w:val="clear" w:color="auto" w:fill="auto"/>
            <w:vAlign w:val="center"/>
          </w:tcPr>
          <w:p w14:paraId="553D9EED"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6D159C">
              <w:rPr>
                <w:rFonts w:ascii="Times New Roman" w:hAnsi="Times New Roman" w:cs="Times New Roman"/>
                <w:sz w:val="18"/>
              </w:rPr>
              <w:t>1022</w:t>
            </w:r>
          </w:p>
        </w:tc>
        <w:tc>
          <w:tcPr>
            <w:tcW w:w="1554" w:type="dxa"/>
            <w:shd w:val="clear" w:color="auto" w:fill="auto"/>
            <w:noWrap/>
            <w:vAlign w:val="center"/>
          </w:tcPr>
          <w:p w14:paraId="3806CD74"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6D159C">
              <w:rPr>
                <w:rFonts w:ascii="Times New Roman" w:hAnsi="Times New Roman" w:cs="Times New Roman"/>
                <w:sz w:val="18"/>
              </w:rPr>
              <w:t>2 425</w:t>
            </w:r>
          </w:p>
        </w:tc>
        <w:tc>
          <w:tcPr>
            <w:tcW w:w="805" w:type="dxa"/>
            <w:shd w:val="clear" w:color="auto" w:fill="auto"/>
            <w:noWrap/>
            <w:vAlign w:val="center"/>
          </w:tcPr>
          <w:p w14:paraId="7804AF6F"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6D159C">
              <w:rPr>
                <w:rFonts w:ascii="Times New Roman" w:hAnsi="Times New Roman" w:cs="Times New Roman"/>
                <w:sz w:val="18"/>
              </w:rPr>
              <w:t>449</w:t>
            </w:r>
          </w:p>
        </w:tc>
        <w:tc>
          <w:tcPr>
            <w:tcW w:w="1554" w:type="dxa"/>
            <w:shd w:val="clear" w:color="auto" w:fill="auto"/>
            <w:noWrap/>
            <w:vAlign w:val="center"/>
          </w:tcPr>
          <w:p w14:paraId="66CB1C6C"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6D159C">
              <w:rPr>
                <w:rFonts w:ascii="Times New Roman" w:hAnsi="Times New Roman" w:cs="Times New Roman"/>
                <w:sz w:val="18"/>
              </w:rPr>
              <w:t>232</w:t>
            </w:r>
          </w:p>
        </w:tc>
        <w:tc>
          <w:tcPr>
            <w:tcW w:w="1316" w:type="dxa"/>
            <w:shd w:val="clear" w:color="auto" w:fill="auto"/>
            <w:noWrap/>
            <w:vAlign w:val="center"/>
          </w:tcPr>
          <w:p w14:paraId="190E590B"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6D159C">
              <w:rPr>
                <w:rFonts w:ascii="Times New Roman" w:hAnsi="Times New Roman" w:cs="Times New Roman"/>
                <w:sz w:val="18"/>
              </w:rPr>
              <w:t>43,93%</w:t>
            </w:r>
          </w:p>
        </w:tc>
        <w:tc>
          <w:tcPr>
            <w:tcW w:w="1554" w:type="dxa"/>
            <w:shd w:val="clear" w:color="auto" w:fill="auto"/>
            <w:noWrap/>
            <w:vAlign w:val="center"/>
          </w:tcPr>
          <w:p w14:paraId="567AAD7F"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6D159C">
              <w:rPr>
                <w:rFonts w:ascii="Times New Roman" w:hAnsi="Times New Roman" w:cs="Times New Roman"/>
                <w:sz w:val="18"/>
              </w:rPr>
              <w:t>9,57%</w:t>
            </w:r>
          </w:p>
        </w:tc>
      </w:tr>
      <w:tr w:rsidR="00773527" w:rsidRPr="007F400A" w14:paraId="3866FB94" w14:textId="77777777" w:rsidTr="00D91871">
        <w:trPr>
          <w:trHeight w:val="346"/>
        </w:trPr>
        <w:tc>
          <w:tcPr>
            <w:tcW w:w="1833" w:type="dxa"/>
            <w:shd w:val="clear" w:color="auto" w:fill="auto"/>
            <w:vAlign w:val="center"/>
            <w:hideMark/>
          </w:tcPr>
          <w:p w14:paraId="3EAA7E4D"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Małopolskie</w:t>
            </w:r>
          </w:p>
        </w:tc>
        <w:tc>
          <w:tcPr>
            <w:tcW w:w="884" w:type="dxa"/>
            <w:shd w:val="clear" w:color="auto" w:fill="auto"/>
            <w:vAlign w:val="center"/>
          </w:tcPr>
          <w:p w14:paraId="2DBC1954"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6D159C">
              <w:rPr>
                <w:rFonts w:ascii="Times New Roman" w:hAnsi="Times New Roman" w:cs="Times New Roman"/>
                <w:sz w:val="18"/>
              </w:rPr>
              <w:t>1193</w:t>
            </w:r>
          </w:p>
        </w:tc>
        <w:tc>
          <w:tcPr>
            <w:tcW w:w="1554" w:type="dxa"/>
            <w:shd w:val="clear" w:color="auto" w:fill="auto"/>
            <w:noWrap/>
            <w:vAlign w:val="center"/>
          </w:tcPr>
          <w:p w14:paraId="24247EB0"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6D159C">
              <w:rPr>
                <w:rFonts w:ascii="Times New Roman" w:hAnsi="Times New Roman" w:cs="Times New Roman"/>
                <w:sz w:val="18"/>
              </w:rPr>
              <w:t>2 266</w:t>
            </w:r>
          </w:p>
        </w:tc>
        <w:tc>
          <w:tcPr>
            <w:tcW w:w="805" w:type="dxa"/>
            <w:shd w:val="clear" w:color="auto" w:fill="auto"/>
            <w:noWrap/>
            <w:vAlign w:val="center"/>
          </w:tcPr>
          <w:p w14:paraId="271CF13E"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6D159C">
              <w:rPr>
                <w:rFonts w:ascii="Times New Roman" w:hAnsi="Times New Roman" w:cs="Times New Roman"/>
                <w:sz w:val="18"/>
              </w:rPr>
              <w:t>590</w:t>
            </w:r>
          </w:p>
        </w:tc>
        <w:tc>
          <w:tcPr>
            <w:tcW w:w="1554" w:type="dxa"/>
            <w:shd w:val="clear" w:color="auto" w:fill="auto"/>
            <w:noWrap/>
            <w:vAlign w:val="center"/>
          </w:tcPr>
          <w:p w14:paraId="1C5FA00E"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6D159C">
              <w:rPr>
                <w:rFonts w:ascii="Times New Roman" w:hAnsi="Times New Roman" w:cs="Times New Roman"/>
                <w:sz w:val="18"/>
              </w:rPr>
              <w:t>446</w:t>
            </w:r>
          </w:p>
        </w:tc>
        <w:tc>
          <w:tcPr>
            <w:tcW w:w="1316" w:type="dxa"/>
            <w:shd w:val="clear" w:color="auto" w:fill="auto"/>
            <w:noWrap/>
            <w:vAlign w:val="center"/>
          </w:tcPr>
          <w:p w14:paraId="1B8C0C55"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2A4E93">
              <w:rPr>
                <w:rFonts w:ascii="Times New Roman" w:hAnsi="Times New Roman" w:cs="Times New Roman"/>
                <w:sz w:val="18"/>
              </w:rPr>
              <w:t>49,46%</w:t>
            </w:r>
          </w:p>
        </w:tc>
        <w:tc>
          <w:tcPr>
            <w:tcW w:w="1554" w:type="dxa"/>
            <w:shd w:val="clear" w:color="auto" w:fill="auto"/>
            <w:noWrap/>
            <w:vAlign w:val="center"/>
          </w:tcPr>
          <w:p w14:paraId="66C1EB26"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2A4E93">
              <w:rPr>
                <w:rFonts w:ascii="Times New Roman" w:hAnsi="Times New Roman" w:cs="Times New Roman"/>
                <w:sz w:val="18"/>
              </w:rPr>
              <w:t>19,68%</w:t>
            </w:r>
          </w:p>
        </w:tc>
      </w:tr>
      <w:tr w:rsidR="00773527" w:rsidRPr="007F400A" w14:paraId="4D224C60" w14:textId="77777777" w:rsidTr="00D91871">
        <w:trPr>
          <w:trHeight w:val="346"/>
        </w:trPr>
        <w:tc>
          <w:tcPr>
            <w:tcW w:w="1833" w:type="dxa"/>
            <w:shd w:val="clear" w:color="auto" w:fill="auto"/>
            <w:vAlign w:val="center"/>
            <w:hideMark/>
          </w:tcPr>
          <w:p w14:paraId="61CE3062"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Mazowieckie</w:t>
            </w:r>
          </w:p>
        </w:tc>
        <w:tc>
          <w:tcPr>
            <w:tcW w:w="884" w:type="dxa"/>
            <w:shd w:val="clear" w:color="auto" w:fill="auto"/>
            <w:vAlign w:val="center"/>
          </w:tcPr>
          <w:p w14:paraId="3E2314B7"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BB3F8E">
              <w:rPr>
                <w:rFonts w:ascii="Times New Roman" w:hAnsi="Times New Roman" w:cs="Times New Roman"/>
                <w:sz w:val="18"/>
              </w:rPr>
              <w:t>1136</w:t>
            </w:r>
          </w:p>
        </w:tc>
        <w:tc>
          <w:tcPr>
            <w:tcW w:w="1554" w:type="dxa"/>
            <w:shd w:val="clear" w:color="auto" w:fill="auto"/>
            <w:noWrap/>
            <w:vAlign w:val="center"/>
          </w:tcPr>
          <w:p w14:paraId="62DE86A5"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BB3F8E">
              <w:rPr>
                <w:rFonts w:ascii="Times New Roman" w:hAnsi="Times New Roman" w:cs="Times New Roman"/>
                <w:sz w:val="18"/>
              </w:rPr>
              <w:t>2 639</w:t>
            </w:r>
          </w:p>
        </w:tc>
        <w:tc>
          <w:tcPr>
            <w:tcW w:w="805" w:type="dxa"/>
            <w:shd w:val="clear" w:color="auto" w:fill="auto"/>
            <w:noWrap/>
            <w:vAlign w:val="center"/>
          </w:tcPr>
          <w:p w14:paraId="0DE063CD"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573</w:t>
            </w:r>
          </w:p>
        </w:tc>
        <w:tc>
          <w:tcPr>
            <w:tcW w:w="1554" w:type="dxa"/>
            <w:shd w:val="clear" w:color="auto" w:fill="auto"/>
            <w:noWrap/>
            <w:vAlign w:val="center"/>
          </w:tcPr>
          <w:p w14:paraId="74616C9C"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2A4E93">
              <w:rPr>
                <w:rFonts w:ascii="Times New Roman" w:hAnsi="Times New Roman" w:cs="Times New Roman"/>
                <w:sz w:val="18"/>
              </w:rPr>
              <w:t>286</w:t>
            </w:r>
          </w:p>
        </w:tc>
        <w:tc>
          <w:tcPr>
            <w:tcW w:w="1316" w:type="dxa"/>
            <w:shd w:val="clear" w:color="auto" w:fill="auto"/>
            <w:noWrap/>
            <w:vAlign w:val="center"/>
          </w:tcPr>
          <w:p w14:paraId="5890A544"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2A4E93">
              <w:rPr>
                <w:rFonts w:ascii="Times New Roman" w:hAnsi="Times New Roman" w:cs="Times New Roman"/>
                <w:sz w:val="18"/>
              </w:rPr>
              <w:t>50,44%</w:t>
            </w:r>
          </w:p>
        </w:tc>
        <w:tc>
          <w:tcPr>
            <w:tcW w:w="1554" w:type="dxa"/>
            <w:shd w:val="clear" w:color="auto" w:fill="auto"/>
            <w:noWrap/>
            <w:vAlign w:val="center"/>
          </w:tcPr>
          <w:p w14:paraId="402100A3"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2A4E93">
              <w:rPr>
                <w:rFonts w:ascii="Times New Roman" w:hAnsi="Times New Roman" w:cs="Times New Roman"/>
                <w:sz w:val="18"/>
              </w:rPr>
              <w:t>10,84%</w:t>
            </w:r>
          </w:p>
        </w:tc>
      </w:tr>
      <w:tr w:rsidR="00773527" w:rsidRPr="007F400A" w14:paraId="727569C3" w14:textId="77777777" w:rsidTr="00D91871">
        <w:trPr>
          <w:trHeight w:val="346"/>
        </w:trPr>
        <w:tc>
          <w:tcPr>
            <w:tcW w:w="1833" w:type="dxa"/>
            <w:shd w:val="clear" w:color="auto" w:fill="auto"/>
            <w:vAlign w:val="center"/>
            <w:hideMark/>
          </w:tcPr>
          <w:p w14:paraId="37D8CC94"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lastRenderedPageBreak/>
              <w:t>Opolskie</w:t>
            </w:r>
          </w:p>
        </w:tc>
        <w:tc>
          <w:tcPr>
            <w:tcW w:w="884" w:type="dxa"/>
            <w:shd w:val="clear" w:color="auto" w:fill="auto"/>
            <w:vAlign w:val="center"/>
          </w:tcPr>
          <w:p w14:paraId="132D0B1B"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459</w:t>
            </w:r>
          </w:p>
        </w:tc>
        <w:tc>
          <w:tcPr>
            <w:tcW w:w="1554" w:type="dxa"/>
            <w:shd w:val="clear" w:color="auto" w:fill="auto"/>
            <w:noWrap/>
            <w:vAlign w:val="center"/>
          </w:tcPr>
          <w:p w14:paraId="420FCD45"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346</w:t>
            </w:r>
          </w:p>
        </w:tc>
        <w:tc>
          <w:tcPr>
            <w:tcW w:w="805" w:type="dxa"/>
            <w:shd w:val="clear" w:color="auto" w:fill="auto"/>
            <w:noWrap/>
            <w:vAlign w:val="center"/>
          </w:tcPr>
          <w:p w14:paraId="7342AE53"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214</w:t>
            </w:r>
          </w:p>
        </w:tc>
        <w:tc>
          <w:tcPr>
            <w:tcW w:w="1554" w:type="dxa"/>
            <w:shd w:val="clear" w:color="auto" w:fill="auto"/>
            <w:noWrap/>
            <w:vAlign w:val="center"/>
          </w:tcPr>
          <w:p w14:paraId="60269352"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2A4E93">
              <w:rPr>
                <w:rFonts w:ascii="Times New Roman" w:hAnsi="Times New Roman" w:cs="Times New Roman"/>
                <w:sz w:val="18"/>
              </w:rPr>
              <w:t>1</w:t>
            </w:r>
          </w:p>
        </w:tc>
        <w:tc>
          <w:tcPr>
            <w:tcW w:w="1316" w:type="dxa"/>
            <w:shd w:val="clear" w:color="auto" w:fill="auto"/>
            <w:noWrap/>
            <w:vAlign w:val="center"/>
          </w:tcPr>
          <w:p w14:paraId="42EEA3A7"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2A4E93">
              <w:rPr>
                <w:rFonts w:ascii="Times New Roman" w:hAnsi="Times New Roman" w:cs="Times New Roman"/>
                <w:sz w:val="18"/>
              </w:rPr>
              <w:t>46,62%</w:t>
            </w:r>
          </w:p>
        </w:tc>
        <w:tc>
          <w:tcPr>
            <w:tcW w:w="1554" w:type="dxa"/>
            <w:shd w:val="clear" w:color="auto" w:fill="auto"/>
            <w:noWrap/>
            <w:vAlign w:val="center"/>
          </w:tcPr>
          <w:p w14:paraId="580928F7"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BB3F8E">
              <w:rPr>
                <w:rFonts w:ascii="Times New Roman" w:hAnsi="Times New Roman" w:cs="Times New Roman"/>
                <w:sz w:val="18"/>
              </w:rPr>
              <w:t>0,29%</w:t>
            </w:r>
          </w:p>
        </w:tc>
      </w:tr>
      <w:tr w:rsidR="00773527" w:rsidRPr="007F400A" w14:paraId="3FD0B13C" w14:textId="77777777" w:rsidTr="00D91871">
        <w:trPr>
          <w:trHeight w:val="346"/>
        </w:trPr>
        <w:tc>
          <w:tcPr>
            <w:tcW w:w="1833" w:type="dxa"/>
            <w:shd w:val="clear" w:color="auto" w:fill="auto"/>
            <w:vAlign w:val="center"/>
            <w:hideMark/>
          </w:tcPr>
          <w:p w14:paraId="1D675C79"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Podkarpackie</w:t>
            </w:r>
          </w:p>
        </w:tc>
        <w:tc>
          <w:tcPr>
            <w:tcW w:w="884" w:type="dxa"/>
            <w:shd w:val="clear" w:color="auto" w:fill="auto"/>
            <w:vAlign w:val="center"/>
          </w:tcPr>
          <w:p w14:paraId="21534089"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1065</w:t>
            </w:r>
          </w:p>
        </w:tc>
        <w:tc>
          <w:tcPr>
            <w:tcW w:w="1554" w:type="dxa"/>
            <w:shd w:val="clear" w:color="auto" w:fill="auto"/>
            <w:noWrap/>
            <w:vAlign w:val="center"/>
          </w:tcPr>
          <w:p w14:paraId="11DF928D"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2 085</w:t>
            </w:r>
          </w:p>
        </w:tc>
        <w:tc>
          <w:tcPr>
            <w:tcW w:w="805" w:type="dxa"/>
            <w:shd w:val="clear" w:color="auto" w:fill="auto"/>
            <w:noWrap/>
            <w:vAlign w:val="center"/>
          </w:tcPr>
          <w:p w14:paraId="4905E957"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459</w:t>
            </w:r>
          </w:p>
        </w:tc>
        <w:tc>
          <w:tcPr>
            <w:tcW w:w="1554" w:type="dxa"/>
            <w:shd w:val="clear" w:color="auto" w:fill="auto"/>
            <w:noWrap/>
            <w:vAlign w:val="center"/>
          </w:tcPr>
          <w:p w14:paraId="02D57857"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2A4E93">
              <w:rPr>
                <w:rFonts w:ascii="Times New Roman" w:hAnsi="Times New Roman" w:cs="Times New Roman"/>
                <w:sz w:val="18"/>
              </w:rPr>
              <w:t>141</w:t>
            </w:r>
          </w:p>
        </w:tc>
        <w:tc>
          <w:tcPr>
            <w:tcW w:w="1316" w:type="dxa"/>
            <w:shd w:val="clear" w:color="auto" w:fill="auto"/>
            <w:noWrap/>
            <w:vAlign w:val="center"/>
          </w:tcPr>
          <w:p w14:paraId="52764AE4"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2A4E93">
              <w:rPr>
                <w:rFonts w:ascii="Times New Roman" w:hAnsi="Times New Roman" w:cs="Times New Roman"/>
                <w:sz w:val="18"/>
              </w:rPr>
              <w:t>43,10%</w:t>
            </w:r>
          </w:p>
        </w:tc>
        <w:tc>
          <w:tcPr>
            <w:tcW w:w="1554" w:type="dxa"/>
            <w:shd w:val="clear" w:color="auto" w:fill="auto"/>
            <w:noWrap/>
            <w:vAlign w:val="center"/>
          </w:tcPr>
          <w:p w14:paraId="1F23E9E5"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2A4E93">
              <w:rPr>
                <w:rFonts w:ascii="Times New Roman" w:hAnsi="Times New Roman" w:cs="Times New Roman"/>
                <w:sz w:val="18"/>
              </w:rPr>
              <w:t>6,76%</w:t>
            </w:r>
          </w:p>
        </w:tc>
      </w:tr>
      <w:tr w:rsidR="00773527" w:rsidRPr="007F400A" w14:paraId="742B21C9" w14:textId="77777777" w:rsidTr="00D91871">
        <w:trPr>
          <w:trHeight w:val="346"/>
        </w:trPr>
        <w:tc>
          <w:tcPr>
            <w:tcW w:w="1833" w:type="dxa"/>
            <w:shd w:val="clear" w:color="auto" w:fill="auto"/>
            <w:vAlign w:val="center"/>
            <w:hideMark/>
          </w:tcPr>
          <w:p w14:paraId="442C29BB"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Podlaskie</w:t>
            </w:r>
          </w:p>
        </w:tc>
        <w:tc>
          <w:tcPr>
            <w:tcW w:w="884" w:type="dxa"/>
            <w:shd w:val="clear" w:color="auto" w:fill="auto"/>
            <w:vAlign w:val="center"/>
          </w:tcPr>
          <w:p w14:paraId="6D49CA17"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847</w:t>
            </w:r>
          </w:p>
        </w:tc>
        <w:tc>
          <w:tcPr>
            <w:tcW w:w="1554" w:type="dxa"/>
            <w:shd w:val="clear" w:color="auto" w:fill="auto"/>
            <w:noWrap/>
            <w:vAlign w:val="center"/>
          </w:tcPr>
          <w:p w14:paraId="42DAC86B"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BB3F8E">
              <w:rPr>
                <w:rFonts w:ascii="Times New Roman" w:hAnsi="Times New Roman" w:cs="Times New Roman"/>
                <w:sz w:val="18"/>
              </w:rPr>
              <w:t>999</w:t>
            </w:r>
          </w:p>
        </w:tc>
        <w:tc>
          <w:tcPr>
            <w:tcW w:w="805" w:type="dxa"/>
            <w:shd w:val="clear" w:color="auto" w:fill="auto"/>
            <w:noWrap/>
            <w:vAlign w:val="center"/>
          </w:tcPr>
          <w:p w14:paraId="5E4798A5"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328</w:t>
            </w:r>
          </w:p>
        </w:tc>
        <w:tc>
          <w:tcPr>
            <w:tcW w:w="1554" w:type="dxa"/>
            <w:shd w:val="clear" w:color="auto" w:fill="auto"/>
            <w:noWrap/>
            <w:vAlign w:val="center"/>
          </w:tcPr>
          <w:p w14:paraId="7BB7E1BB"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2A4E93">
              <w:rPr>
                <w:rFonts w:ascii="Times New Roman" w:hAnsi="Times New Roman" w:cs="Times New Roman"/>
                <w:sz w:val="18"/>
              </w:rPr>
              <w:t>193</w:t>
            </w:r>
          </w:p>
        </w:tc>
        <w:tc>
          <w:tcPr>
            <w:tcW w:w="1316" w:type="dxa"/>
            <w:shd w:val="clear" w:color="auto" w:fill="auto"/>
            <w:noWrap/>
            <w:vAlign w:val="center"/>
          </w:tcPr>
          <w:p w14:paraId="585BC36F"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2A4E93">
              <w:rPr>
                <w:rFonts w:ascii="Times New Roman" w:hAnsi="Times New Roman" w:cs="Times New Roman"/>
                <w:sz w:val="18"/>
              </w:rPr>
              <w:t>38,72%</w:t>
            </w:r>
          </w:p>
        </w:tc>
        <w:tc>
          <w:tcPr>
            <w:tcW w:w="1554" w:type="dxa"/>
            <w:shd w:val="clear" w:color="auto" w:fill="auto"/>
            <w:noWrap/>
            <w:vAlign w:val="center"/>
          </w:tcPr>
          <w:p w14:paraId="536566F2"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2A4E93">
              <w:rPr>
                <w:rFonts w:ascii="Times New Roman" w:hAnsi="Times New Roman" w:cs="Times New Roman"/>
                <w:sz w:val="18"/>
              </w:rPr>
              <w:t>19,32%</w:t>
            </w:r>
          </w:p>
        </w:tc>
      </w:tr>
      <w:tr w:rsidR="00773527" w:rsidRPr="007F400A" w14:paraId="52067DD8" w14:textId="77777777" w:rsidTr="00D91871">
        <w:trPr>
          <w:trHeight w:val="346"/>
        </w:trPr>
        <w:tc>
          <w:tcPr>
            <w:tcW w:w="1833" w:type="dxa"/>
            <w:shd w:val="clear" w:color="auto" w:fill="auto"/>
            <w:vAlign w:val="center"/>
            <w:hideMark/>
          </w:tcPr>
          <w:p w14:paraId="35BC0DFD"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Pomorskie</w:t>
            </w:r>
          </w:p>
        </w:tc>
        <w:tc>
          <w:tcPr>
            <w:tcW w:w="884" w:type="dxa"/>
            <w:shd w:val="clear" w:color="auto" w:fill="auto"/>
            <w:vAlign w:val="center"/>
          </w:tcPr>
          <w:p w14:paraId="0A716108"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BB3F8E">
              <w:rPr>
                <w:rFonts w:ascii="Times New Roman" w:hAnsi="Times New Roman" w:cs="Times New Roman"/>
                <w:sz w:val="18"/>
              </w:rPr>
              <w:t>677</w:t>
            </w:r>
          </w:p>
        </w:tc>
        <w:tc>
          <w:tcPr>
            <w:tcW w:w="1554" w:type="dxa"/>
            <w:shd w:val="clear" w:color="auto" w:fill="auto"/>
            <w:noWrap/>
            <w:vAlign w:val="center"/>
          </w:tcPr>
          <w:p w14:paraId="3AA41346"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BB3F8E">
              <w:rPr>
                <w:rFonts w:ascii="Times New Roman" w:hAnsi="Times New Roman" w:cs="Times New Roman"/>
                <w:sz w:val="18"/>
              </w:rPr>
              <w:t>1 370</w:t>
            </w:r>
          </w:p>
        </w:tc>
        <w:tc>
          <w:tcPr>
            <w:tcW w:w="805" w:type="dxa"/>
            <w:shd w:val="clear" w:color="auto" w:fill="auto"/>
            <w:noWrap/>
            <w:vAlign w:val="center"/>
          </w:tcPr>
          <w:p w14:paraId="43843414"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BB3F8E">
              <w:rPr>
                <w:rFonts w:ascii="Times New Roman" w:hAnsi="Times New Roman" w:cs="Times New Roman"/>
                <w:sz w:val="18"/>
              </w:rPr>
              <w:t>413</w:t>
            </w:r>
          </w:p>
        </w:tc>
        <w:tc>
          <w:tcPr>
            <w:tcW w:w="1554" w:type="dxa"/>
            <w:shd w:val="clear" w:color="auto" w:fill="auto"/>
            <w:noWrap/>
            <w:vAlign w:val="center"/>
          </w:tcPr>
          <w:p w14:paraId="41CEC054"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2A4E93">
              <w:rPr>
                <w:rFonts w:ascii="Times New Roman" w:hAnsi="Times New Roman" w:cs="Times New Roman"/>
                <w:sz w:val="18"/>
              </w:rPr>
              <w:t>168</w:t>
            </w:r>
          </w:p>
        </w:tc>
        <w:tc>
          <w:tcPr>
            <w:tcW w:w="1316" w:type="dxa"/>
            <w:shd w:val="clear" w:color="auto" w:fill="auto"/>
            <w:noWrap/>
            <w:vAlign w:val="center"/>
          </w:tcPr>
          <w:p w14:paraId="33B520EC"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2A4E93">
              <w:rPr>
                <w:rFonts w:ascii="Times New Roman" w:hAnsi="Times New Roman" w:cs="Times New Roman"/>
                <w:sz w:val="18"/>
              </w:rPr>
              <w:t>61,00%</w:t>
            </w:r>
          </w:p>
        </w:tc>
        <w:tc>
          <w:tcPr>
            <w:tcW w:w="1554" w:type="dxa"/>
            <w:shd w:val="clear" w:color="auto" w:fill="auto"/>
            <w:noWrap/>
            <w:vAlign w:val="center"/>
          </w:tcPr>
          <w:p w14:paraId="46BCBF5F"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2A4E93">
              <w:rPr>
                <w:rFonts w:ascii="Times New Roman" w:hAnsi="Times New Roman" w:cs="Times New Roman"/>
                <w:sz w:val="18"/>
              </w:rPr>
              <w:t>12,26%</w:t>
            </w:r>
          </w:p>
        </w:tc>
      </w:tr>
      <w:tr w:rsidR="00773527" w:rsidRPr="007F400A" w14:paraId="7737FD23" w14:textId="77777777" w:rsidTr="00D91871">
        <w:trPr>
          <w:trHeight w:val="346"/>
        </w:trPr>
        <w:tc>
          <w:tcPr>
            <w:tcW w:w="1833" w:type="dxa"/>
            <w:shd w:val="clear" w:color="auto" w:fill="auto"/>
            <w:vAlign w:val="center"/>
            <w:hideMark/>
          </w:tcPr>
          <w:p w14:paraId="5E16BB9B"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Śląskie</w:t>
            </w:r>
          </w:p>
        </w:tc>
        <w:tc>
          <w:tcPr>
            <w:tcW w:w="884" w:type="dxa"/>
            <w:shd w:val="clear" w:color="auto" w:fill="auto"/>
            <w:vAlign w:val="center"/>
          </w:tcPr>
          <w:p w14:paraId="292817FB"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1006</w:t>
            </w:r>
          </w:p>
        </w:tc>
        <w:tc>
          <w:tcPr>
            <w:tcW w:w="1554" w:type="dxa"/>
            <w:shd w:val="clear" w:color="auto" w:fill="auto"/>
            <w:noWrap/>
            <w:vAlign w:val="center"/>
          </w:tcPr>
          <w:p w14:paraId="022CB687"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2 075</w:t>
            </w:r>
          </w:p>
        </w:tc>
        <w:tc>
          <w:tcPr>
            <w:tcW w:w="805" w:type="dxa"/>
            <w:shd w:val="clear" w:color="auto" w:fill="auto"/>
            <w:noWrap/>
            <w:vAlign w:val="center"/>
          </w:tcPr>
          <w:p w14:paraId="08631151"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574</w:t>
            </w:r>
          </w:p>
        </w:tc>
        <w:tc>
          <w:tcPr>
            <w:tcW w:w="1554" w:type="dxa"/>
            <w:shd w:val="clear" w:color="auto" w:fill="auto"/>
            <w:noWrap/>
            <w:vAlign w:val="center"/>
          </w:tcPr>
          <w:p w14:paraId="5B9C13B6"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2A4E93">
              <w:rPr>
                <w:rFonts w:ascii="Times New Roman" w:hAnsi="Times New Roman" w:cs="Times New Roman"/>
                <w:sz w:val="18"/>
              </w:rPr>
              <w:t>346</w:t>
            </w:r>
          </w:p>
        </w:tc>
        <w:tc>
          <w:tcPr>
            <w:tcW w:w="1316" w:type="dxa"/>
            <w:shd w:val="clear" w:color="auto" w:fill="auto"/>
            <w:noWrap/>
            <w:vAlign w:val="center"/>
          </w:tcPr>
          <w:p w14:paraId="0DAD224D"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2A4E93">
              <w:rPr>
                <w:rFonts w:ascii="Times New Roman" w:hAnsi="Times New Roman" w:cs="Times New Roman"/>
                <w:sz w:val="18"/>
              </w:rPr>
              <w:t>57,06%</w:t>
            </w:r>
          </w:p>
        </w:tc>
        <w:tc>
          <w:tcPr>
            <w:tcW w:w="1554" w:type="dxa"/>
            <w:shd w:val="clear" w:color="auto" w:fill="auto"/>
            <w:noWrap/>
            <w:vAlign w:val="center"/>
          </w:tcPr>
          <w:p w14:paraId="46098B76"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2A4E93">
              <w:rPr>
                <w:rFonts w:ascii="Times New Roman" w:hAnsi="Times New Roman" w:cs="Times New Roman"/>
                <w:sz w:val="18"/>
              </w:rPr>
              <w:t>16,67%</w:t>
            </w:r>
          </w:p>
        </w:tc>
      </w:tr>
      <w:tr w:rsidR="00773527" w:rsidRPr="007F400A" w14:paraId="5AEBD41E" w14:textId="77777777" w:rsidTr="00D91871">
        <w:trPr>
          <w:trHeight w:val="346"/>
        </w:trPr>
        <w:tc>
          <w:tcPr>
            <w:tcW w:w="1833" w:type="dxa"/>
            <w:shd w:val="clear" w:color="auto" w:fill="auto"/>
            <w:vAlign w:val="center"/>
            <w:hideMark/>
          </w:tcPr>
          <w:p w14:paraId="39F72EA9"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Świętokrzyskie</w:t>
            </w:r>
          </w:p>
        </w:tc>
        <w:tc>
          <w:tcPr>
            <w:tcW w:w="884" w:type="dxa"/>
            <w:shd w:val="clear" w:color="auto" w:fill="auto"/>
            <w:vAlign w:val="center"/>
          </w:tcPr>
          <w:p w14:paraId="5AC5E87A"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377</w:t>
            </w:r>
          </w:p>
        </w:tc>
        <w:tc>
          <w:tcPr>
            <w:tcW w:w="1554" w:type="dxa"/>
            <w:shd w:val="clear" w:color="auto" w:fill="auto"/>
            <w:noWrap/>
            <w:vAlign w:val="center"/>
          </w:tcPr>
          <w:p w14:paraId="75747D6A"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781</w:t>
            </w:r>
          </w:p>
        </w:tc>
        <w:tc>
          <w:tcPr>
            <w:tcW w:w="805" w:type="dxa"/>
            <w:shd w:val="clear" w:color="auto" w:fill="auto"/>
            <w:noWrap/>
            <w:vAlign w:val="center"/>
          </w:tcPr>
          <w:p w14:paraId="10FC3755"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196</w:t>
            </w:r>
          </w:p>
        </w:tc>
        <w:tc>
          <w:tcPr>
            <w:tcW w:w="1554" w:type="dxa"/>
            <w:shd w:val="clear" w:color="auto" w:fill="auto"/>
            <w:noWrap/>
            <w:vAlign w:val="center"/>
          </w:tcPr>
          <w:p w14:paraId="36E37A0B"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2A4E93">
              <w:rPr>
                <w:rFonts w:ascii="Times New Roman" w:hAnsi="Times New Roman" w:cs="Times New Roman"/>
                <w:sz w:val="18"/>
              </w:rPr>
              <w:t>65</w:t>
            </w:r>
          </w:p>
        </w:tc>
        <w:tc>
          <w:tcPr>
            <w:tcW w:w="1316" w:type="dxa"/>
            <w:shd w:val="clear" w:color="auto" w:fill="auto"/>
            <w:noWrap/>
            <w:vAlign w:val="center"/>
          </w:tcPr>
          <w:p w14:paraId="4FCDBA62"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2A4E93">
              <w:rPr>
                <w:rFonts w:ascii="Times New Roman" w:hAnsi="Times New Roman" w:cs="Times New Roman"/>
                <w:sz w:val="18"/>
              </w:rPr>
              <w:t>51,99%</w:t>
            </w:r>
          </w:p>
        </w:tc>
        <w:tc>
          <w:tcPr>
            <w:tcW w:w="1554" w:type="dxa"/>
            <w:shd w:val="clear" w:color="auto" w:fill="auto"/>
            <w:noWrap/>
            <w:vAlign w:val="center"/>
          </w:tcPr>
          <w:p w14:paraId="227418E5"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2A4E93">
              <w:rPr>
                <w:rFonts w:ascii="Times New Roman" w:hAnsi="Times New Roman" w:cs="Times New Roman"/>
                <w:sz w:val="18"/>
              </w:rPr>
              <w:t>8,32%</w:t>
            </w:r>
          </w:p>
        </w:tc>
      </w:tr>
      <w:tr w:rsidR="00773527" w:rsidRPr="007F400A" w14:paraId="1984AAB1" w14:textId="77777777" w:rsidTr="00D91871">
        <w:trPr>
          <w:trHeight w:val="346"/>
        </w:trPr>
        <w:tc>
          <w:tcPr>
            <w:tcW w:w="1833" w:type="dxa"/>
            <w:shd w:val="clear" w:color="auto" w:fill="auto"/>
            <w:vAlign w:val="center"/>
            <w:hideMark/>
          </w:tcPr>
          <w:p w14:paraId="24357551"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Warmińsko-mazurskie</w:t>
            </w:r>
          </w:p>
        </w:tc>
        <w:tc>
          <w:tcPr>
            <w:tcW w:w="884" w:type="dxa"/>
            <w:shd w:val="clear" w:color="auto" w:fill="auto"/>
            <w:vAlign w:val="center"/>
          </w:tcPr>
          <w:p w14:paraId="31E265EA"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840</w:t>
            </w:r>
          </w:p>
        </w:tc>
        <w:tc>
          <w:tcPr>
            <w:tcW w:w="1554" w:type="dxa"/>
            <w:shd w:val="clear" w:color="auto" w:fill="auto"/>
            <w:noWrap/>
            <w:vAlign w:val="center"/>
          </w:tcPr>
          <w:p w14:paraId="556C9268"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1 316</w:t>
            </w:r>
          </w:p>
        </w:tc>
        <w:tc>
          <w:tcPr>
            <w:tcW w:w="805" w:type="dxa"/>
            <w:shd w:val="clear" w:color="auto" w:fill="auto"/>
            <w:noWrap/>
            <w:vAlign w:val="center"/>
          </w:tcPr>
          <w:p w14:paraId="413975CD"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399</w:t>
            </w:r>
          </w:p>
        </w:tc>
        <w:tc>
          <w:tcPr>
            <w:tcW w:w="1554" w:type="dxa"/>
            <w:shd w:val="clear" w:color="auto" w:fill="auto"/>
            <w:noWrap/>
            <w:vAlign w:val="center"/>
          </w:tcPr>
          <w:p w14:paraId="54690107"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61</w:t>
            </w:r>
          </w:p>
        </w:tc>
        <w:tc>
          <w:tcPr>
            <w:tcW w:w="1316" w:type="dxa"/>
            <w:shd w:val="clear" w:color="auto" w:fill="auto"/>
            <w:noWrap/>
            <w:vAlign w:val="center"/>
          </w:tcPr>
          <w:p w14:paraId="5B59554A"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47,50%</w:t>
            </w:r>
          </w:p>
        </w:tc>
        <w:tc>
          <w:tcPr>
            <w:tcW w:w="1554" w:type="dxa"/>
            <w:shd w:val="clear" w:color="auto" w:fill="auto"/>
            <w:noWrap/>
            <w:vAlign w:val="center"/>
          </w:tcPr>
          <w:p w14:paraId="0D29D95E"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4,64%</w:t>
            </w:r>
          </w:p>
        </w:tc>
      </w:tr>
      <w:tr w:rsidR="00773527" w:rsidRPr="007F400A" w14:paraId="38560C80" w14:textId="77777777" w:rsidTr="00D91871">
        <w:trPr>
          <w:trHeight w:val="346"/>
        </w:trPr>
        <w:tc>
          <w:tcPr>
            <w:tcW w:w="1833" w:type="dxa"/>
            <w:shd w:val="clear" w:color="auto" w:fill="auto"/>
            <w:vAlign w:val="center"/>
            <w:hideMark/>
          </w:tcPr>
          <w:p w14:paraId="1194FCFB"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Wielkopolskie</w:t>
            </w:r>
          </w:p>
        </w:tc>
        <w:tc>
          <w:tcPr>
            <w:tcW w:w="884" w:type="dxa"/>
            <w:shd w:val="clear" w:color="auto" w:fill="auto"/>
            <w:vAlign w:val="center"/>
          </w:tcPr>
          <w:p w14:paraId="1BB9D0E6"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1665</w:t>
            </w:r>
          </w:p>
        </w:tc>
        <w:tc>
          <w:tcPr>
            <w:tcW w:w="1554" w:type="dxa"/>
            <w:shd w:val="clear" w:color="auto" w:fill="auto"/>
            <w:noWrap/>
            <w:vAlign w:val="center"/>
          </w:tcPr>
          <w:p w14:paraId="428FC55F"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1 264</w:t>
            </w:r>
          </w:p>
        </w:tc>
        <w:tc>
          <w:tcPr>
            <w:tcW w:w="805" w:type="dxa"/>
            <w:shd w:val="clear" w:color="auto" w:fill="auto"/>
            <w:noWrap/>
            <w:vAlign w:val="center"/>
          </w:tcPr>
          <w:p w14:paraId="2093A1BC"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1005</w:t>
            </w:r>
          </w:p>
        </w:tc>
        <w:tc>
          <w:tcPr>
            <w:tcW w:w="1554" w:type="dxa"/>
            <w:shd w:val="clear" w:color="auto" w:fill="auto"/>
            <w:noWrap/>
            <w:vAlign w:val="center"/>
          </w:tcPr>
          <w:p w14:paraId="5AB06311"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157</w:t>
            </w:r>
          </w:p>
        </w:tc>
        <w:tc>
          <w:tcPr>
            <w:tcW w:w="1316" w:type="dxa"/>
            <w:shd w:val="clear" w:color="auto" w:fill="auto"/>
            <w:noWrap/>
            <w:vAlign w:val="center"/>
          </w:tcPr>
          <w:p w14:paraId="3BD55EBD"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60,36%</w:t>
            </w:r>
          </w:p>
        </w:tc>
        <w:tc>
          <w:tcPr>
            <w:tcW w:w="1554" w:type="dxa"/>
            <w:shd w:val="clear" w:color="auto" w:fill="auto"/>
            <w:noWrap/>
            <w:vAlign w:val="center"/>
          </w:tcPr>
          <w:p w14:paraId="03A05128"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12,42%</w:t>
            </w:r>
          </w:p>
        </w:tc>
      </w:tr>
      <w:tr w:rsidR="00773527" w:rsidRPr="007F400A" w14:paraId="1111F3DC" w14:textId="77777777" w:rsidTr="00D91871">
        <w:trPr>
          <w:trHeight w:val="346"/>
        </w:trPr>
        <w:tc>
          <w:tcPr>
            <w:tcW w:w="1833" w:type="dxa"/>
            <w:shd w:val="clear" w:color="auto" w:fill="auto"/>
            <w:vAlign w:val="center"/>
            <w:hideMark/>
          </w:tcPr>
          <w:p w14:paraId="582A6157"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Zachodniopomorskie</w:t>
            </w:r>
          </w:p>
        </w:tc>
        <w:tc>
          <w:tcPr>
            <w:tcW w:w="884" w:type="dxa"/>
            <w:shd w:val="clear" w:color="auto" w:fill="auto"/>
            <w:vAlign w:val="center"/>
          </w:tcPr>
          <w:p w14:paraId="6CE53473"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557</w:t>
            </w:r>
          </w:p>
        </w:tc>
        <w:tc>
          <w:tcPr>
            <w:tcW w:w="1554" w:type="dxa"/>
            <w:shd w:val="clear" w:color="auto" w:fill="auto"/>
            <w:noWrap/>
            <w:vAlign w:val="center"/>
          </w:tcPr>
          <w:p w14:paraId="301A048F"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1 211</w:t>
            </w:r>
          </w:p>
        </w:tc>
        <w:tc>
          <w:tcPr>
            <w:tcW w:w="805" w:type="dxa"/>
            <w:shd w:val="clear" w:color="auto" w:fill="auto"/>
            <w:noWrap/>
            <w:vAlign w:val="center"/>
          </w:tcPr>
          <w:p w14:paraId="712DA143"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245</w:t>
            </w:r>
          </w:p>
        </w:tc>
        <w:tc>
          <w:tcPr>
            <w:tcW w:w="1554" w:type="dxa"/>
            <w:shd w:val="clear" w:color="auto" w:fill="auto"/>
            <w:noWrap/>
            <w:vAlign w:val="center"/>
          </w:tcPr>
          <w:p w14:paraId="7E9073D5"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123</w:t>
            </w:r>
          </w:p>
        </w:tc>
        <w:tc>
          <w:tcPr>
            <w:tcW w:w="1316" w:type="dxa"/>
            <w:shd w:val="clear" w:color="auto" w:fill="auto"/>
            <w:noWrap/>
            <w:vAlign w:val="center"/>
          </w:tcPr>
          <w:p w14:paraId="06B8B32F"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43,99%</w:t>
            </w:r>
          </w:p>
        </w:tc>
        <w:tc>
          <w:tcPr>
            <w:tcW w:w="1554" w:type="dxa"/>
            <w:shd w:val="clear" w:color="auto" w:fill="auto"/>
            <w:noWrap/>
            <w:vAlign w:val="center"/>
          </w:tcPr>
          <w:p w14:paraId="76BECED7"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10,16%</w:t>
            </w:r>
          </w:p>
        </w:tc>
      </w:tr>
      <w:tr w:rsidR="00773527" w:rsidRPr="007F400A" w14:paraId="7FC26D21" w14:textId="77777777" w:rsidTr="00D91871">
        <w:trPr>
          <w:trHeight w:val="346"/>
        </w:trPr>
        <w:tc>
          <w:tcPr>
            <w:tcW w:w="1833" w:type="dxa"/>
            <w:shd w:val="clear" w:color="auto" w:fill="auto"/>
            <w:vAlign w:val="center"/>
            <w:hideMark/>
          </w:tcPr>
          <w:p w14:paraId="78C50C2B" w14:textId="77777777" w:rsidR="00773527" w:rsidRPr="007F400A" w:rsidRDefault="00773527" w:rsidP="00056EE7">
            <w:pPr>
              <w:spacing w:after="0" w:line="300" w:lineRule="atLeast"/>
              <w:rPr>
                <w:rFonts w:ascii="Times New Roman" w:eastAsia="Times New Roman" w:hAnsi="Times New Roman" w:cs="Times New Roman"/>
                <w:b/>
                <w:bCs/>
                <w:sz w:val="18"/>
                <w:szCs w:val="18"/>
              </w:rPr>
            </w:pPr>
            <w:r w:rsidRPr="007F400A">
              <w:rPr>
                <w:rFonts w:ascii="Times New Roman" w:eastAsia="Times New Roman" w:hAnsi="Times New Roman" w:cs="Times New Roman"/>
                <w:b/>
                <w:bCs/>
                <w:sz w:val="18"/>
                <w:szCs w:val="18"/>
              </w:rPr>
              <w:t>Polska</w:t>
            </w:r>
          </w:p>
        </w:tc>
        <w:tc>
          <w:tcPr>
            <w:tcW w:w="884" w:type="dxa"/>
            <w:shd w:val="clear" w:color="auto" w:fill="auto"/>
            <w:vAlign w:val="center"/>
          </w:tcPr>
          <w:p w14:paraId="3A70D83D" w14:textId="77777777" w:rsidR="00773527" w:rsidRPr="00616B85" w:rsidRDefault="00773527" w:rsidP="00056EE7">
            <w:pPr>
              <w:spacing w:after="0" w:line="300" w:lineRule="atLeast"/>
              <w:jc w:val="center"/>
              <w:rPr>
                <w:rFonts w:ascii="Times New Roman" w:eastAsia="Times New Roman" w:hAnsi="Times New Roman" w:cs="Times New Roman"/>
                <w:b/>
                <w:sz w:val="18"/>
                <w:szCs w:val="18"/>
              </w:rPr>
            </w:pPr>
            <w:r w:rsidRPr="002A4E93">
              <w:rPr>
                <w:rFonts w:ascii="Times New Roman" w:hAnsi="Times New Roman" w:cs="Times New Roman"/>
                <w:b/>
                <w:sz w:val="18"/>
              </w:rPr>
              <w:t>14 038</w:t>
            </w:r>
          </w:p>
        </w:tc>
        <w:tc>
          <w:tcPr>
            <w:tcW w:w="1554" w:type="dxa"/>
            <w:shd w:val="clear" w:color="auto" w:fill="auto"/>
            <w:vAlign w:val="center"/>
          </w:tcPr>
          <w:p w14:paraId="16247780" w14:textId="77777777" w:rsidR="00773527" w:rsidRPr="00616B85" w:rsidRDefault="00773527" w:rsidP="00056EE7">
            <w:pPr>
              <w:spacing w:after="0" w:line="300" w:lineRule="atLeast"/>
              <w:jc w:val="center"/>
              <w:rPr>
                <w:rFonts w:ascii="Times New Roman" w:eastAsia="Times New Roman" w:hAnsi="Times New Roman" w:cs="Times New Roman"/>
                <w:b/>
                <w:sz w:val="18"/>
                <w:szCs w:val="18"/>
              </w:rPr>
            </w:pPr>
            <w:r w:rsidRPr="002A4E93">
              <w:rPr>
                <w:rFonts w:ascii="Times New Roman" w:hAnsi="Times New Roman" w:cs="Times New Roman"/>
                <w:b/>
                <w:sz w:val="18"/>
              </w:rPr>
              <w:t>24 799</w:t>
            </w:r>
          </w:p>
        </w:tc>
        <w:tc>
          <w:tcPr>
            <w:tcW w:w="805" w:type="dxa"/>
            <w:shd w:val="clear" w:color="auto" w:fill="auto"/>
            <w:vAlign w:val="center"/>
          </w:tcPr>
          <w:p w14:paraId="10092D17" w14:textId="77777777" w:rsidR="00773527" w:rsidRPr="00616B85" w:rsidRDefault="00773527" w:rsidP="00056EE7">
            <w:pPr>
              <w:spacing w:after="0" w:line="300" w:lineRule="atLeast"/>
              <w:jc w:val="center"/>
              <w:rPr>
                <w:rFonts w:ascii="Times New Roman" w:eastAsia="Times New Roman" w:hAnsi="Times New Roman" w:cs="Times New Roman"/>
                <w:b/>
                <w:sz w:val="18"/>
                <w:szCs w:val="18"/>
              </w:rPr>
            </w:pPr>
            <w:r w:rsidRPr="002A4E93">
              <w:rPr>
                <w:rFonts w:ascii="Times New Roman" w:hAnsi="Times New Roman" w:cs="Times New Roman"/>
                <w:b/>
                <w:sz w:val="18"/>
              </w:rPr>
              <w:t>6 935</w:t>
            </w:r>
          </w:p>
        </w:tc>
        <w:tc>
          <w:tcPr>
            <w:tcW w:w="1554" w:type="dxa"/>
            <w:shd w:val="clear" w:color="auto" w:fill="auto"/>
            <w:vAlign w:val="center"/>
          </w:tcPr>
          <w:p w14:paraId="4B1378B0" w14:textId="77777777" w:rsidR="00773527" w:rsidRPr="00616B85" w:rsidRDefault="00773527" w:rsidP="00056EE7">
            <w:pPr>
              <w:spacing w:after="0" w:line="300" w:lineRule="atLeast"/>
              <w:jc w:val="center"/>
              <w:rPr>
                <w:rFonts w:ascii="Times New Roman" w:eastAsia="Times New Roman" w:hAnsi="Times New Roman" w:cs="Times New Roman"/>
                <w:b/>
                <w:sz w:val="18"/>
                <w:szCs w:val="18"/>
              </w:rPr>
            </w:pPr>
            <w:r w:rsidRPr="002A4E93">
              <w:rPr>
                <w:rFonts w:ascii="Times New Roman" w:hAnsi="Times New Roman" w:cs="Times New Roman"/>
                <w:b/>
                <w:sz w:val="18"/>
              </w:rPr>
              <w:t>2 729</w:t>
            </w:r>
          </w:p>
        </w:tc>
        <w:tc>
          <w:tcPr>
            <w:tcW w:w="1316" w:type="dxa"/>
            <w:shd w:val="clear" w:color="auto" w:fill="auto"/>
            <w:noWrap/>
            <w:vAlign w:val="center"/>
          </w:tcPr>
          <w:p w14:paraId="4509CDA8" w14:textId="77777777" w:rsidR="00773527" w:rsidRPr="00616B85" w:rsidRDefault="00773527" w:rsidP="00056EE7">
            <w:pPr>
              <w:spacing w:after="0" w:line="300" w:lineRule="atLeast"/>
              <w:jc w:val="center"/>
              <w:rPr>
                <w:rFonts w:ascii="Times New Roman" w:eastAsia="Times New Roman" w:hAnsi="Times New Roman" w:cs="Times New Roman"/>
                <w:b/>
                <w:sz w:val="18"/>
                <w:szCs w:val="18"/>
              </w:rPr>
            </w:pPr>
            <w:r w:rsidRPr="002A4E93">
              <w:rPr>
                <w:rFonts w:ascii="Times New Roman" w:hAnsi="Times New Roman" w:cs="Times New Roman"/>
                <w:b/>
                <w:sz w:val="18"/>
              </w:rPr>
              <w:t>49,40%</w:t>
            </w:r>
          </w:p>
        </w:tc>
        <w:tc>
          <w:tcPr>
            <w:tcW w:w="1554" w:type="dxa"/>
            <w:shd w:val="clear" w:color="auto" w:fill="auto"/>
            <w:noWrap/>
            <w:vAlign w:val="center"/>
          </w:tcPr>
          <w:p w14:paraId="24237814" w14:textId="77777777" w:rsidR="00773527" w:rsidRPr="00616B85" w:rsidRDefault="00773527" w:rsidP="00056EE7">
            <w:pPr>
              <w:spacing w:after="0" w:line="300" w:lineRule="atLeast"/>
              <w:jc w:val="center"/>
              <w:rPr>
                <w:rFonts w:ascii="Times New Roman" w:eastAsia="Times New Roman" w:hAnsi="Times New Roman" w:cs="Times New Roman"/>
                <w:b/>
                <w:sz w:val="18"/>
                <w:szCs w:val="18"/>
              </w:rPr>
            </w:pPr>
            <w:r w:rsidRPr="002A4E93">
              <w:rPr>
                <w:rFonts w:ascii="Times New Roman" w:hAnsi="Times New Roman" w:cs="Times New Roman"/>
                <w:b/>
                <w:sz w:val="18"/>
              </w:rPr>
              <w:t>11,00%</w:t>
            </w:r>
          </w:p>
        </w:tc>
      </w:tr>
    </w:tbl>
    <w:p w14:paraId="60E19155" w14:textId="5CF8CE2B" w:rsidR="00773527" w:rsidRPr="007F400A" w:rsidRDefault="00773527" w:rsidP="009A5FA9">
      <w:pPr>
        <w:spacing w:before="120" w:after="120" w:line="300" w:lineRule="atLeast"/>
        <w:ind w:firstLine="567"/>
        <w:jc w:val="both"/>
        <w:rPr>
          <w:rFonts w:ascii="Times New Roman" w:eastAsia="Times New Roman" w:hAnsi="Times New Roman" w:cs="Times New Roman"/>
          <w:sz w:val="24"/>
          <w:szCs w:val="24"/>
        </w:rPr>
      </w:pPr>
      <w:r w:rsidRPr="007F400A">
        <w:rPr>
          <w:rFonts w:ascii="Times New Roman" w:eastAsia="Times New Roman" w:hAnsi="Times New Roman" w:cs="Times New Roman"/>
          <w:sz w:val="24"/>
          <w:szCs w:val="24"/>
        </w:rPr>
        <w:t>Średnio w Polsce prawie co druga kontrola w terenie wykazała nieprawidłowości;</w:t>
      </w:r>
      <w:r w:rsidR="009A5FA9">
        <w:rPr>
          <w:rFonts w:ascii="Times New Roman" w:eastAsia="Times New Roman" w:hAnsi="Times New Roman" w:cs="Times New Roman"/>
          <w:sz w:val="24"/>
          <w:szCs w:val="24"/>
        </w:rPr>
        <w:t xml:space="preserve"> </w:t>
      </w:r>
      <w:r w:rsidRPr="007F400A">
        <w:rPr>
          <w:rFonts w:ascii="Times New Roman" w:eastAsia="Times New Roman" w:hAnsi="Times New Roman" w:cs="Times New Roman"/>
          <w:sz w:val="24"/>
          <w:szCs w:val="24"/>
        </w:rPr>
        <w:t xml:space="preserve">w kontrolach dokumentacyjnych była to co dziewiąta kontrola. Najwyższy udział kontroli w terenie z naruszeniami w stosunku do wszystkich kontroli odnotowano w woj. </w:t>
      </w:r>
      <w:r>
        <w:rPr>
          <w:rFonts w:ascii="Times New Roman" w:eastAsia="Times New Roman" w:hAnsi="Times New Roman" w:cs="Times New Roman"/>
          <w:sz w:val="24"/>
          <w:szCs w:val="24"/>
        </w:rPr>
        <w:t>pomorskim</w:t>
      </w:r>
      <w:r w:rsidRPr="007F400A">
        <w:rPr>
          <w:rFonts w:ascii="Times New Roman" w:eastAsia="Times New Roman" w:hAnsi="Times New Roman" w:cs="Times New Roman"/>
          <w:sz w:val="24"/>
          <w:szCs w:val="24"/>
        </w:rPr>
        <w:t xml:space="preserve">, wielkopolskim, </w:t>
      </w:r>
      <w:r>
        <w:rPr>
          <w:rFonts w:ascii="Times New Roman" w:eastAsia="Times New Roman" w:hAnsi="Times New Roman" w:cs="Times New Roman"/>
          <w:sz w:val="24"/>
          <w:szCs w:val="24"/>
        </w:rPr>
        <w:t>dolnośląskim, śląskim</w:t>
      </w:r>
      <w:r w:rsidRPr="007F400A">
        <w:rPr>
          <w:rFonts w:ascii="Times New Roman" w:eastAsia="Times New Roman" w:hAnsi="Times New Roman" w:cs="Times New Roman"/>
          <w:sz w:val="24"/>
          <w:szCs w:val="24"/>
        </w:rPr>
        <w:t xml:space="preserve">; najmniejszy w woj. </w:t>
      </w:r>
      <w:r>
        <w:rPr>
          <w:rFonts w:ascii="Times New Roman" w:eastAsia="Times New Roman" w:hAnsi="Times New Roman" w:cs="Times New Roman"/>
          <w:sz w:val="24"/>
          <w:szCs w:val="24"/>
        </w:rPr>
        <w:t>podlaskim</w:t>
      </w:r>
      <w:r w:rsidRPr="007F400A">
        <w:rPr>
          <w:rFonts w:ascii="Times New Roman" w:eastAsia="Times New Roman" w:hAnsi="Times New Roman" w:cs="Times New Roman"/>
          <w:sz w:val="24"/>
          <w:szCs w:val="24"/>
        </w:rPr>
        <w:t xml:space="preserve"> oraz </w:t>
      </w:r>
      <w:r>
        <w:rPr>
          <w:rFonts w:ascii="Times New Roman" w:eastAsia="Times New Roman" w:hAnsi="Times New Roman" w:cs="Times New Roman"/>
          <w:sz w:val="24"/>
          <w:szCs w:val="24"/>
        </w:rPr>
        <w:t>lubelskim</w:t>
      </w:r>
      <w:r w:rsidRPr="007F400A">
        <w:rPr>
          <w:rFonts w:ascii="Times New Roman" w:eastAsia="Times New Roman" w:hAnsi="Times New Roman" w:cs="Times New Roman"/>
          <w:sz w:val="24"/>
          <w:szCs w:val="24"/>
        </w:rPr>
        <w:t xml:space="preserve">. Najwięcej nieprawidłowości podczas kontroli dokumentacyjnych wykryto w woj. </w:t>
      </w:r>
      <w:r>
        <w:rPr>
          <w:rFonts w:ascii="Times New Roman" w:eastAsia="Times New Roman" w:hAnsi="Times New Roman" w:cs="Times New Roman"/>
          <w:sz w:val="24"/>
          <w:szCs w:val="24"/>
        </w:rPr>
        <w:t>małopolskim</w:t>
      </w:r>
      <w:r w:rsidRPr="007F400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podlaskim</w:t>
      </w:r>
      <w:r w:rsidRPr="007F400A">
        <w:rPr>
          <w:rFonts w:ascii="Times New Roman" w:eastAsia="Times New Roman" w:hAnsi="Times New Roman" w:cs="Times New Roman"/>
          <w:sz w:val="24"/>
          <w:szCs w:val="24"/>
        </w:rPr>
        <w:t xml:space="preserve"> oraz </w:t>
      </w:r>
      <w:r>
        <w:rPr>
          <w:rFonts w:ascii="Times New Roman" w:eastAsia="Times New Roman" w:hAnsi="Times New Roman" w:cs="Times New Roman"/>
          <w:sz w:val="24"/>
          <w:szCs w:val="24"/>
        </w:rPr>
        <w:t>śląskim</w:t>
      </w:r>
      <w:r w:rsidRPr="007F400A">
        <w:rPr>
          <w:rFonts w:ascii="Times New Roman" w:eastAsia="Times New Roman" w:hAnsi="Times New Roman" w:cs="Times New Roman"/>
          <w:sz w:val="24"/>
          <w:szCs w:val="24"/>
        </w:rPr>
        <w:t xml:space="preserve">, najmniej w woj. opolskim i warmińsko-mazurskim. </w:t>
      </w:r>
    </w:p>
    <w:p w14:paraId="48915DF1" w14:textId="77777777" w:rsidR="00773527" w:rsidRPr="007F400A" w:rsidRDefault="00773527" w:rsidP="009A5FA9">
      <w:pPr>
        <w:spacing w:after="120" w:line="300" w:lineRule="atLeast"/>
        <w:ind w:firstLine="567"/>
        <w:jc w:val="both"/>
        <w:rPr>
          <w:rFonts w:ascii="Times New Roman" w:eastAsia="Times New Roman" w:hAnsi="Times New Roman" w:cs="Times New Roman"/>
          <w:sz w:val="24"/>
          <w:szCs w:val="24"/>
        </w:rPr>
      </w:pPr>
      <w:r w:rsidRPr="007F400A">
        <w:rPr>
          <w:rFonts w:ascii="Times New Roman" w:eastAsia="Times New Roman" w:hAnsi="Times New Roman" w:cs="Times New Roman"/>
          <w:sz w:val="24"/>
          <w:szCs w:val="24"/>
        </w:rPr>
        <w:t>Udział kontroli w terenie bez ustalonego podmiotu, w których stwierdzono naruszenia do kontroli ogółem w podziale na województwa przedstawia się następująco:</w:t>
      </w:r>
    </w:p>
    <w:p w14:paraId="0BCDCE41" w14:textId="1382942D" w:rsidR="00773527" w:rsidRDefault="00773527" w:rsidP="00056EE7">
      <w:pPr>
        <w:spacing w:after="120" w:line="300" w:lineRule="atLeast"/>
        <w:ind w:firstLine="708"/>
        <w:jc w:val="both"/>
        <w:rPr>
          <w:rFonts w:ascii="Times New Roman" w:hAnsi="Times New Roman" w:cs="Times New Roman"/>
          <w:b/>
        </w:rPr>
      </w:pPr>
    </w:p>
    <w:p w14:paraId="137B45A3" w14:textId="7B2B3608" w:rsidR="009A5FA9" w:rsidRDefault="009A5FA9" w:rsidP="00056EE7">
      <w:pPr>
        <w:spacing w:after="120" w:line="300" w:lineRule="atLeast"/>
        <w:ind w:firstLine="708"/>
        <w:jc w:val="both"/>
        <w:rPr>
          <w:rFonts w:ascii="Times New Roman" w:hAnsi="Times New Roman" w:cs="Times New Roman"/>
          <w:b/>
        </w:rPr>
      </w:pPr>
    </w:p>
    <w:p w14:paraId="43C4DD79" w14:textId="72713B81" w:rsidR="009A5FA9" w:rsidRDefault="009A5FA9" w:rsidP="00056EE7">
      <w:pPr>
        <w:spacing w:after="120" w:line="300" w:lineRule="atLeast"/>
        <w:ind w:firstLine="708"/>
        <w:jc w:val="both"/>
        <w:rPr>
          <w:rFonts w:ascii="Times New Roman" w:hAnsi="Times New Roman" w:cs="Times New Roman"/>
          <w:b/>
        </w:rPr>
      </w:pPr>
    </w:p>
    <w:p w14:paraId="7D04A7D0" w14:textId="77777777" w:rsidR="009A5FA9" w:rsidRDefault="009A5FA9" w:rsidP="00056EE7">
      <w:pPr>
        <w:spacing w:after="120" w:line="300" w:lineRule="atLeast"/>
        <w:ind w:firstLine="708"/>
        <w:jc w:val="both"/>
        <w:rPr>
          <w:rFonts w:ascii="Times New Roman" w:hAnsi="Times New Roman" w:cs="Times New Roman"/>
          <w:b/>
        </w:rPr>
      </w:pPr>
    </w:p>
    <w:p w14:paraId="716E5612" w14:textId="77777777" w:rsidR="00773527" w:rsidRPr="007F400A" w:rsidRDefault="00773527" w:rsidP="00056EE7">
      <w:pPr>
        <w:spacing w:after="120" w:line="300" w:lineRule="atLeast"/>
        <w:jc w:val="center"/>
        <w:rPr>
          <w:rFonts w:ascii="Times New Roman" w:hAnsi="Times New Roman" w:cs="Times New Roman"/>
          <w:b/>
        </w:rPr>
      </w:pPr>
      <w:r w:rsidRPr="007F400A">
        <w:rPr>
          <w:rFonts w:ascii="Times New Roman" w:hAnsi="Times New Roman" w:cs="Times New Roman"/>
          <w:b/>
        </w:rPr>
        <w:t xml:space="preserve">Tabela 2. Naruszenia stwierdzone w czasie kontroli w terenie bez ustalonego podmiotu </w:t>
      </w:r>
      <w:r w:rsidRPr="007F400A">
        <w:rPr>
          <w:rFonts w:ascii="Times New Roman" w:eastAsia="Times New Roman" w:hAnsi="Times New Roman" w:cs="Times New Roman"/>
          <w:b/>
          <w:bCs/>
          <w:iCs/>
          <w:szCs w:val="24"/>
        </w:rPr>
        <w:t xml:space="preserve">według województw w </w:t>
      </w:r>
      <w:r>
        <w:rPr>
          <w:rFonts w:ascii="Times New Roman" w:eastAsia="Times New Roman" w:hAnsi="Times New Roman" w:cs="Times New Roman"/>
          <w:b/>
          <w:bCs/>
          <w:iCs/>
          <w:szCs w:val="24"/>
        </w:rPr>
        <w:t>2022</w:t>
      </w:r>
      <w:r w:rsidRPr="007F400A">
        <w:rPr>
          <w:rFonts w:ascii="Times New Roman" w:eastAsia="Times New Roman" w:hAnsi="Times New Roman" w:cs="Times New Roman"/>
          <w:b/>
          <w:bCs/>
          <w:iCs/>
          <w:szCs w:val="24"/>
        </w:rPr>
        <w:t xml:space="preserve"> r.</w:t>
      </w:r>
    </w:p>
    <w:tbl>
      <w:tblPr>
        <w:tblW w:w="8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9"/>
        <w:gridCol w:w="1459"/>
        <w:gridCol w:w="2039"/>
        <w:gridCol w:w="2627"/>
      </w:tblGrid>
      <w:tr w:rsidR="00773527" w:rsidRPr="007F400A" w14:paraId="1BCD4ECF" w14:textId="77777777" w:rsidTr="00D91871">
        <w:trPr>
          <w:trHeight w:val="1228"/>
        </w:trPr>
        <w:tc>
          <w:tcPr>
            <w:tcW w:w="2739" w:type="dxa"/>
            <w:noWrap/>
            <w:vAlign w:val="center"/>
            <w:hideMark/>
          </w:tcPr>
          <w:p w14:paraId="30E8F52A" w14:textId="77777777" w:rsidR="00773527" w:rsidRPr="007F400A" w:rsidRDefault="00773527" w:rsidP="00056EE7">
            <w:pPr>
              <w:spacing w:line="300" w:lineRule="atLeast"/>
              <w:jc w:val="center"/>
              <w:rPr>
                <w:rFonts w:ascii="Times New Roman" w:eastAsia="Times New Roman" w:hAnsi="Times New Roman" w:cs="Times New Roman"/>
                <w:b/>
                <w:bCs/>
                <w:color w:val="000000"/>
                <w:sz w:val="18"/>
                <w:szCs w:val="18"/>
              </w:rPr>
            </w:pPr>
            <w:r w:rsidRPr="007F400A">
              <w:rPr>
                <w:rFonts w:ascii="Times New Roman" w:eastAsia="Times New Roman" w:hAnsi="Times New Roman" w:cs="Times New Roman"/>
                <w:b/>
                <w:bCs/>
                <w:color w:val="000000"/>
                <w:sz w:val="18"/>
                <w:szCs w:val="18"/>
              </w:rPr>
              <w:t>Województwo</w:t>
            </w:r>
          </w:p>
        </w:tc>
        <w:tc>
          <w:tcPr>
            <w:tcW w:w="1459" w:type="dxa"/>
            <w:vAlign w:val="center"/>
            <w:hideMark/>
          </w:tcPr>
          <w:p w14:paraId="74121336" w14:textId="77777777" w:rsidR="00773527" w:rsidRPr="007F400A" w:rsidRDefault="00773527" w:rsidP="00056EE7">
            <w:pPr>
              <w:spacing w:line="300" w:lineRule="atLeast"/>
              <w:jc w:val="center"/>
              <w:rPr>
                <w:rFonts w:ascii="Times New Roman" w:eastAsia="Times New Roman" w:hAnsi="Times New Roman" w:cs="Times New Roman"/>
                <w:b/>
                <w:bCs/>
                <w:color w:val="000000"/>
                <w:sz w:val="18"/>
                <w:szCs w:val="18"/>
              </w:rPr>
            </w:pPr>
            <w:r w:rsidRPr="007F400A">
              <w:rPr>
                <w:rFonts w:ascii="Times New Roman" w:eastAsia="Times New Roman" w:hAnsi="Times New Roman" w:cs="Times New Roman"/>
                <w:b/>
                <w:bCs/>
                <w:color w:val="000000"/>
                <w:sz w:val="18"/>
                <w:szCs w:val="18"/>
              </w:rPr>
              <w:t>Liczba kontroli</w:t>
            </w:r>
            <w:r>
              <w:rPr>
                <w:rFonts w:ascii="Times New Roman" w:eastAsia="Times New Roman" w:hAnsi="Times New Roman" w:cs="Times New Roman"/>
                <w:b/>
                <w:bCs/>
                <w:color w:val="000000"/>
                <w:sz w:val="18"/>
                <w:szCs w:val="18"/>
              </w:rPr>
              <w:t xml:space="preserve"> ogółem</w:t>
            </w:r>
          </w:p>
        </w:tc>
        <w:tc>
          <w:tcPr>
            <w:tcW w:w="2039" w:type="dxa"/>
            <w:vAlign w:val="center"/>
            <w:hideMark/>
          </w:tcPr>
          <w:p w14:paraId="7477FF57" w14:textId="77777777" w:rsidR="00773527" w:rsidRPr="007F400A" w:rsidRDefault="00773527" w:rsidP="00056EE7">
            <w:pPr>
              <w:spacing w:line="300" w:lineRule="atLeast"/>
              <w:jc w:val="center"/>
              <w:rPr>
                <w:rFonts w:ascii="Times New Roman" w:eastAsia="Times New Roman" w:hAnsi="Times New Roman" w:cs="Times New Roman"/>
                <w:b/>
                <w:bCs/>
                <w:color w:val="000000"/>
                <w:sz w:val="18"/>
                <w:szCs w:val="18"/>
              </w:rPr>
            </w:pPr>
            <w:r w:rsidRPr="007F400A">
              <w:rPr>
                <w:rFonts w:ascii="Times New Roman" w:eastAsia="Times New Roman" w:hAnsi="Times New Roman" w:cs="Times New Roman"/>
                <w:b/>
                <w:bCs/>
                <w:color w:val="000000"/>
                <w:sz w:val="18"/>
                <w:szCs w:val="18"/>
              </w:rPr>
              <w:t>Liczba kontroli z</w:t>
            </w:r>
            <w:r>
              <w:rPr>
                <w:rFonts w:ascii="Times New Roman" w:eastAsia="Times New Roman" w:hAnsi="Times New Roman" w:cs="Times New Roman"/>
                <w:b/>
                <w:bCs/>
                <w:color w:val="000000"/>
                <w:sz w:val="18"/>
                <w:szCs w:val="18"/>
              </w:rPr>
              <w:t> </w:t>
            </w:r>
            <w:r w:rsidRPr="007F400A">
              <w:rPr>
                <w:rFonts w:ascii="Times New Roman" w:eastAsia="Times New Roman" w:hAnsi="Times New Roman" w:cs="Times New Roman"/>
                <w:b/>
                <w:bCs/>
                <w:color w:val="000000"/>
                <w:sz w:val="18"/>
                <w:szCs w:val="18"/>
              </w:rPr>
              <w:t>naruszeniami</w:t>
            </w:r>
          </w:p>
        </w:tc>
        <w:tc>
          <w:tcPr>
            <w:tcW w:w="2627" w:type="dxa"/>
            <w:vAlign w:val="center"/>
            <w:hideMark/>
          </w:tcPr>
          <w:p w14:paraId="3A8BAF35" w14:textId="77777777" w:rsidR="00773527" w:rsidRPr="007F400A" w:rsidRDefault="00773527" w:rsidP="00056EE7">
            <w:pPr>
              <w:spacing w:line="300" w:lineRule="atLeast"/>
              <w:jc w:val="center"/>
              <w:rPr>
                <w:rFonts w:ascii="Times New Roman" w:eastAsia="Times New Roman" w:hAnsi="Times New Roman" w:cs="Times New Roman"/>
                <w:b/>
                <w:bCs/>
                <w:color w:val="000000"/>
                <w:sz w:val="18"/>
                <w:szCs w:val="18"/>
              </w:rPr>
            </w:pPr>
            <w:r w:rsidRPr="007F400A">
              <w:rPr>
                <w:rFonts w:ascii="Times New Roman" w:eastAsia="Times New Roman" w:hAnsi="Times New Roman" w:cs="Times New Roman"/>
                <w:b/>
                <w:bCs/>
                <w:color w:val="000000"/>
                <w:sz w:val="18"/>
                <w:szCs w:val="18"/>
              </w:rPr>
              <w:t>Liczba kontroli z naruszeniami do liczby kontroli ogółem (w</w:t>
            </w:r>
            <w:r>
              <w:rPr>
                <w:rFonts w:ascii="Times New Roman" w:eastAsia="Times New Roman" w:hAnsi="Times New Roman" w:cs="Times New Roman"/>
                <w:b/>
                <w:bCs/>
                <w:color w:val="000000"/>
                <w:sz w:val="18"/>
                <w:szCs w:val="18"/>
              </w:rPr>
              <w:t> </w:t>
            </w:r>
            <w:r w:rsidRPr="007F400A">
              <w:rPr>
                <w:rFonts w:ascii="Times New Roman" w:eastAsia="Times New Roman" w:hAnsi="Times New Roman" w:cs="Times New Roman"/>
                <w:b/>
                <w:bCs/>
                <w:color w:val="000000"/>
                <w:sz w:val="18"/>
                <w:szCs w:val="18"/>
              </w:rPr>
              <w:t>%)</w:t>
            </w:r>
          </w:p>
        </w:tc>
      </w:tr>
      <w:tr w:rsidR="00773527" w:rsidRPr="007F400A" w14:paraId="4668604F" w14:textId="77777777" w:rsidTr="00D91871">
        <w:trPr>
          <w:trHeight w:val="347"/>
        </w:trPr>
        <w:tc>
          <w:tcPr>
            <w:tcW w:w="2739" w:type="dxa"/>
            <w:vAlign w:val="center"/>
            <w:hideMark/>
          </w:tcPr>
          <w:p w14:paraId="2E552AC6"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Dolnośląskie</w:t>
            </w:r>
          </w:p>
        </w:tc>
        <w:tc>
          <w:tcPr>
            <w:tcW w:w="1459" w:type="dxa"/>
            <w:shd w:val="clear" w:color="auto" w:fill="auto"/>
            <w:noWrap/>
            <w:vAlign w:val="center"/>
          </w:tcPr>
          <w:p w14:paraId="1456C406"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164</w:t>
            </w:r>
          </w:p>
        </w:tc>
        <w:tc>
          <w:tcPr>
            <w:tcW w:w="2039" w:type="dxa"/>
            <w:shd w:val="clear" w:color="auto" w:fill="auto"/>
            <w:noWrap/>
            <w:vAlign w:val="center"/>
          </w:tcPr>
          <w:p w14:paraId="5FAAE8B4"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17</w:t>
            </w:r>
          </w:p>
        </w:tc>
        <w:tc>
          <w:tcPr>
            <w:tcW w:w="2627" w:type="dxa"/>
            <w:shd w:val="clear" w:color="auto" w:fill="auto"/>
            <w:noWrap/>
            <w:vAlign w:val="center"/>
          </w:tcPr>
          <w:p w14:paraId="3AAE2904"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10,37%</w:t>
            </w:r>
          </w:p>
        </w:tc>
      </w:tr>
      <w:tr w:rsidR="00773527" w:rsidRPr="007F400A" w14:paraId="7D84BD6D" w14:textId="77777777" w:rsidTr="00D91871">
        <w:trPr>
          <w:trHeight w:val="347"/>
        </w:trPr>
        <w:tc>
          <w:tcPr>
            <w:tcW w:w="2739" w:type="dxa"/>
            <w:vAlign w:val="center"/>
            <w:hideMark/>
          </w:tcPr>
          <w:p w14:paraId="2D439915"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Kujawsko-pomorskie</w:t>
            </w:r>
          </w:p>
        </w:tc>
        <w:tc>
          <w:tcPr>
            <w:tcW w:w="1459" w:type="dxa"/>
            <w:shd w:val="clear" w:color="auto" w:fill="auto"/>
            <w:noWrap/>
            <w:vAlign w:val="center"/>
          </w:tcPr>
          <w:p w14:paraId="15548110"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275</w:t>
            </w:r>
          </w:p>
        </w:tc>
        <w:tc>
          <w:tcPr>
            <w:tcW w:w="2039" w:type="dxa"/>
            <w:shd w:val="clear" w:color="auto" w:fill="auto"/>
            <w:noWrap/>
            <w:vAlign w:val="center"/>
          </w:tcPr>
          <w:p w14:paraId="65E812C2"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41</w:t>
            </w:r>
          </w:p>
        </w:tc>
        <w:tc>
          <w:tcPr>
            <w:tcW w:w="2627" w:type="dxa"/>
            <w:shd w:val="clear" w:color="auto" w:fill="auto"/>
            <w:noWrap/>
            <w:vAlign w:val="center"/>
          </w:tcPr>
          <w:p w14:paraId="1324956A"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14,91%</w:t>
            </w:r>
          </w:p>
        </w:tc>
      </w:tr>
      <w:tr w:rsidR="00773527" w:rsidRPr="007F400A" w14:paraId="353CE642" w14:textId="77777777" w:rsidTr="00D91871">
        <w:trPr>
          <w:trHeight w:val="347"/>
        </w:trPr>
        <w:tc>
          <w:tcPr>
            <w:tcW w:w="2739" w:type="dxa"/>
            <w:vAlign w:val="center"/>
            <w:hideMark/>
          </w:tcPr>
          <w:p w14:paraId="6863E818"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Lubelskie</w:t>
            </w:r>
          </w:p>
        </w:tc>
        <w:tc>
          <w:tcPr>
            <w:tcW w:w="1459" w:type="dxa"/>
            <w:shd w:val="clear" w:color="auto" w:fill="auto"/>
            <w:noWrap/>
            <w:vAlign w:val="center"/>
          </w:tcPr>
          <w:p w14:paraId="5BCBD754"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1611DE">
              <w:rPr>
                <w:rFonts w:ascii="Times New Roman" w:hAnsi="Times New Roman" w:cs="Times New Roman"/>
                <w:sz w:val="18"/>
              </w:rPr>
              <w:t>63</w:t>
            </w:r>
          </w:p>
        </w:tc>
        <w:tc>
          <w:tcPr>
            <w:tcW w:w="2039" w:type="dxa"/>
            <w:shd w:val="clear" w:color="auto" w:fill="auto"/>
            <w:noWrap/>
            <w:vAlign w:val="center"/>
          </w:tcPr>
          <w:p w14:paraId="36109FF6"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6</w:t>
            </w:r>
          </w:p>
        </w:tc>
        <w:tc>
          <w:tcPr>
            <w:tcW w:w="2627" w:type="dxa"/>
            <w:shd w:val="clear" w:color="auto" w:fill="auto"/>
            <w:noWrap/>
            <w:vAlign w:val="center"/>
          </w:tcPr>
          <w:p w14:paraId="36D5702B"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9,52%</w:t>
            </w:r>
          </w:p>
        </w:tc>
      </w:tr>
      <w:tr w:rsidR="00773527" w:rsidRPr="007F400A" w14:paraId="23304682" w14:textId="77777777" w:rsidTr="00D91871">
        <w:trPr>
          <w:trHeight w:val="347"/>
        </w:trPr>
        <w:tc>
          <w:tcPr>
            <w:tcW w:w="2739" w:type="dxa"/>
            <w:vAlign w:val="center"/>
            <w:hideMark/>
          </w:tcPr>
          <w:p w14:paraId="7C5A3423"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Lubuskie</w:t>
            </w:r>
          </w:p>
        </w:tc>
        <w:tc>
          <w:tcPr>
            <w:tcW w:w="1459" w:type="dxa"/>
            <w:shd w:val="clear" w:color="auto" w:fill="auto"/>
            <w:noWrap/>
            <w:vAlign w:val="center"/>
          </w:tcPr>
          <w:p w14:paraId="2B8F0B77"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478</w:t>
            </w:r>
          </w:p>
        </w:tc>
        <w:tc>
          <w:tcPr>
            <w:tcW w:w="2039" w:type="dxa"/>
            <w:shd w:val="clear" w:color="auto" w:fill="auto"/>
            <w:noWrap/>
            <w:vAlign w:val="center"/>
          </w:tcPr>
          <w:p w14:paraId="29B7ABAC"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37</w:t>
            </w:r>
          </w:p>
        </w:tc>
        <w:tc>
          <w:tcPr>
            <w:tcW w:w="2627" w:type="dxa"/>
            <w:shd w:val="clear" w:color="auto" w:fill="auto"/>
            <w:noWrap/>
            <w:vAlign w:val="center"/>
          </w:tcPr>
          <w:p w14:paraId="0641BE5A"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7,74%</w:t>
            </w:r>
          </w:p>
        </w:tc>
      </w:tr>
      <w:tr w:rsidR="00773527" w:rsidRPr="007F400A" w14:paraId="7DC36557" w14:textId="77777777" w:rsidTr="00D91871">
        <w:trPr>
          <w:trHeight w:val="347"/>
        </w:trPr>
        <w:tc>
          <w:tcPr>
            <w:tcW w:w="2739" w:type="dxa"/>
            <w:vAlign w:val="center"/>
            <w:hideMark/>
          </w:tcPr>
          <w:p w14:paraId="0E0DAB77"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Łódzkie</w:t>
            </w:r>
          </w:p>
        </w:tc>
        <w:tc>
          <w:tcPr>
            <w:tcW w:w="1459" w:type="dxa"/>
            <w:shd w:val="clear" w:color="auto" w:fill="auto"/>
            <w:noWrap/>
            <w:vAlign w:val="center"/>
          </w:tcPr>
          <w:p w14:paraId="3D77BD96"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365</w:t>
            </w:r>
          </w:p>
        </w:tc>
        <w:tc>
          <w:tcPr>
            <w:tcW w:w="2039" w:type="dxa"/>
            <w:shd w:val="clear" w:color="auto" w:fill="auto"/>
            <w:noWrap/>
            <w:vAlign w:val="center"/>
          </w:tcPr>
          <w:p w14:paraId="35B0F6AA"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41</w:t>
            </w:r>
          </w:p>
        </w:tc>
        <w:tc>
          <w:tcPr>
            <w:tcW w:w="2627" w:type="dxa"/>
            <w:shd w:val="clear" w:color="auto" w:fill="auto"/>
            <w:noWrap/>
            <w:vAlign w:val="center"/>
          </w:tcPr>
          <w:p w14:paraId="60F3A30F"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11,23%</w:t>
            </w:r>
          </w:p>
        </w:tc>
      </w:tr>
      <w:tr w:rsidR="00773527" w:rsidRPr="007F400A" w14:paraId="11FB626E" w14:textId="77777777" w:rsidTr="00D91871">
        <w:trPr>
          <w:trHeight w:val="347"/>
        </w:trPr>
        <w:tc>
          <w:tcPr>
            <w:tcW w:w="2739" w:type="dxa"/>
            <w:vAlign w:val="center"/>
            <w:hideMark/>
          </w:tcPr>
          <w:p w14:paraId="4C13B437"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Małopolskie</w:t>
            </w:r>
          </w:p>
        </w:tc>
        <w:tc>
          <w:tcPr>
            <w:tcW w:w="1459" w:type="dxa"/>
            <w:shd w:val="clear" w:color="auto" w:fill="auto"/>
            <w:noWrap/>
            <w:vAlign w:val="center"/>
          </w:tcPr>
          <w:p w14:paraId="2AF57454"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D53D6F">
              <w:rPr>
                <w:rFonts w:ascii="Times New Roman" w:hAnsi="Times New Roman" w:cs="Times New Roman"/>
                <w:sz w:val="18"/>
              </w:rPr>
              <w:t>178</w:t>
            </w:r>
          </w:p>
        </w:tc>
        <w:tc>
          <w:tcPr>
            <w:tcW w:w="2039" w:type="dxa"/>
            <w:shd w:val="clear" w:color="auto" w:fill="auto"/>
            <w:noWrap/>
            <w:vAlign w:val="center"/>
          </w:tcPr>
          <w:p w14:paraId="257C85E5"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D53D6F">
              <w:rPr>
                <w:rFonts w:ascii="Times New Roman" w:hAnsi="Times New Roman" w:cs="Times New Roman"/>
                <w:sz w:val="18"/>
              </w:rPr>
              <w:t>24</w:t>
            </w:r>
          </w:p>
        </w:tc>
        <w:tc>
          <w:tcPr>
            <w:tcW w:w="2627" w:type="dxa"/>
            <w:shd w:val="clear" w:color="auto" w:fill="auto"/>
            <w:noWrap/>
            <w:vAlign w:val="center"/>
          </w:tcPr>
          <w:p w14:paraId="352971B1"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D53D6F">
              <w:rPr>
                <w:rFonts w:ascii="Times New Roman" w:hAnsi="Times New Roman" w:cs="Times New Roman"/>
                <w:sz w:val="18"/>
              </w:rPr>
              <w:t>13,48%</w:t>
            </w:r>
          </w:p>
        </w:tc>
      </w:tr>
      <w:tr w:rsidR="00773527" w:rsidRPr="007F400A" w14:paraId="652BE37E" w14:textId="77777777" w:rsidTr="00D91871">
        <w:trPr>
          <w:trHeight w:val="347"/>
        </w:trPr>
        <w:tc>
          <w:tcPr>
            <w:tcW w:w="2739" w:type="dxa"/>
            <w:vAlign w:val="center"/>
            <w:hideMark/>
          </w:tcPr>
          <w:p w14:paraId="73FBC23E"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Mazowieckie</w:t>
            </w:r>
          </w:p>
        </w:tc>
        <w:tc>
          <w:tcPr>
            <w:tcW w:w="1459" w:type="dxa"/>
            <w:shd w:val="clear" w:color="auto" w:fill="auto"/>
            <w:noWrap/>
            <w:vAlign w:val="center"/>
          </w:tcPr>
          <w:p w14:paraId="1C57ABC7"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63</w:t>
            </w:r>
          </w:p>
        </w:tc>
        <w:tc>
          <w:tcPr>
            <w:tcW w:w="2039" w:type="dxa"/>
            <w:shd w:val="clear" w:color="auto" w:fill="auto"/>
            <w:noWrap/>
            <w:vAlign w:val="center"/>
          </w:tcPr>
          <w:p w14:paraId="6A65B075"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17</w:t>
            </w:r>
          </w:p>
        </w:tc>
        <w:tc>
          <w:tcPr>
            <w:tcW w:w="2627" w:type="dxa"/>
            <w:shd w:val="clear" w:color="auto" w:fill="auto"/>
            <w:noWrap/>
            <w:vAlign w:val="center"/>
          </w:tcPr>
          <w:p w14:paraId="5A2F5710"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26,98%</w:t>
            </w:r>
          </w:p>
        </w:tc>
      </w:tr>
      <w:tr w:rsidR="00773527" w:rsidRPr="007F400A" w14:paraId="1F2CDC93" w14:textId="77777777" w:rsidTr="00D91871">
        <w:trPr>
          <w:trHeight w:val="347"/>
        </w:trPr>
        <w:tc>
          <w:tcPr>
            <w:tcW w:w="2739" w:type="dxa"/>
            <w:vAlign w:val="center"/>
            <w:hideMark/>
          </w:tcPr>
          <w:p w14:paraId="5FC33B14"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Opolskie</w:t>
            </w:r>
          </w:p>
        </w:tc>
        <w:tc>
          <w:tcPr>
            <w:tcW w:w="1459" w:type="dxa"/>
            <w:shd w:val="clear" w:color="auto" w:fill="auto"/>
            <w:noWrap/>
            <w:vAlign w:val="center"/>
          </w:tcPr>
          <w:p w14:paraId="5FBE5417"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339</w:t>
            </w:r>
          </w:p>
        </w:tc>
        <w:tc>
          <w:tcPr>
            <w:tcW w:w="2039" w:type="dxa"/>
            <w:shd w:val="clear" w:color="auto" w:fill="auto"/>
            <w:noWrap/>
            <w:vAlign w:val="center"/>
          </w:tcPr>
          <w:p w14:paraId="23ACF0CA"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6</w:t>
            </w:r>
          </w:p>
        </w:tc>
        <w:tc>
          <w:tcPr>
            <w:tcW w:w="2627" w:type="dxa"/>
            <w:shd w:val="clear" w:color="auto" w:fill="auto"/>
            <w:noWrap/>
            <w:vAlign w:val="center"/>
          </w:tcPr>
          <w:p w14:paraId="3C9E4794"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rPr>
              <w:t>1,77%</w:t>
            </w:r>
          </w:p>
        </w:tc>
      </w:tr>
      <w:tr w:rsidR="00773527" w:rsidRPr="007F400A" w14:paraId="41FF850F" w14:textId="77777777" w:rsidTr="00D91871">
        <w:trPr>
          <w:trHeight w:val="347"/>
        </w:trPr>
        <w:tc>
          <w:tcPr>
            <w:tcW w:w="2739" w:type="dxa"/>
            <w:vAlign w:val="center"/>
            <w:hideMark/>
          </w:tcPr>
          <w:p w14:paraId="1716A4C8"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Podkarpackie</w:t>
            </w:r>
          </w:p>
        </w:tc>
        <w:tc>
          <w:tcPr>
            <w:tcW w:w="1459" w:type="dxa"/>
            <w:shd w:val="clear" w:color="auto" w:fill="auto"/>
            <w:noWrap/>
            <w:vAlign w:val="center"/>
          </w:tcPr>
          <w:p w14:paraId="5ABC5B08"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rPr>
              <w:t>58</w:t>
            </w:r>
          </w:p>
        </w:tc>
        <w:tc>
          <w:tcPr>
            <w:tcW w:w="2039" w:type="dxa"/>
            <w:shd w:val="clear" w:color="auto" w:fill="auto"/>
            <w:noWrap/>
            <w:vAlign w:val="center"/>
          </w:tcPr>
          <w:p w14:paraId="06FD1B99"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rPr>
              <w:t>3</w:t>
            </w:r>
          </w:p>
        </w:tc>
        <w:tc>
          <w:tcPr>
            <w:tcW w:w="2627" w:type="dxa"/>
            <w:shd w:val="clear" w:color="auto" w:fill="auto"/>
            <w:noWrap/>
            <w:vAlign w:val="center"/>
          </w:tcPr>
          <w:p w14:paraId="37188051"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rPr>
              <w:t>5,17%</w:t>
            </w:r>
          </w:p>
        </w:tc>
      </w:tr>
      <w:tr w:rsidR="00773527" w:rsidRPr="007F400A" w14:paraId="6C168386" w14:textId="77777777" w:rsidTr="00D91871">
        <w:trPr>
          <w:trHeight w:val="347"/>
        </w:trPr>
        <w:tc>
          <w:tcPr>
            <w:tcW w:w="2739" w:type="dxa"/>
            <w:vAlign w:val="center"/>
            <w:hideMark/>
          </w:tcPr>
          <w:p w14:paraId="02A05DEE"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Podlaskie</w:t>
            </w:r>
          </w:p>
        </w:tc>
        <w:tc>
          <w:tcPr>
            <w:tcW w:w="1459" w:type="dxa"/>
            <w:shd w:val="clear" w:color="auto" w:fill="auto"/>
            <w:noWrap/>
            <w:vAlign w:val="center"/>
          </w:tcPr>
          <w:p w14:paraId="5D401FE4"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rPr>
              <w:t>103</w:t>
            </w:r>
          </w:p>
        </w:tc>
        <w:tc>
          <w:tcPr>
            <w:tcW w:w="2039" w:type="dxa"/>
            <w:shd w:val="clear" w:color="auto" w:fill="auto"/>
            <w:noWrap/>
            <w:vAlign w:val="center"/>
          </w:tcPr>
          <w:p w14:paraId="00146306"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rPr>
              <w:t>8</w:t>
            </w:r>
          </w:p>
        </w:tc>
        <w:tc>
          <w:tcPr>
            <w:tcW w:w="2627" w:type="dxa"/>
            <w:shd w:val="clear" w:color="auto" w:fill="auto"/>
            <w:noWrap/>
            <w:vAlign w:val="center"/>
          </w:tcPr>
          <w:p w14:paraId="29278498"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rPr>
              <w:t>7,77%</w:t>
            </w:r>
          </w:p>
        </w:tc>
      </w:tr>
      <w:tr w:rsidR="00773527" w:rsidRPr="007F400A" w14:paraId="32658D59" w14:textId="77777777" w:rsidTr="00D91871">
        <w:trPr>
          <w:trHeight w:val="347"/>
        </w:trPr>
        <w:tc>
          <w:tcPr>
            <w:tcW w:w="2739" w:type="dxa"/>
            <w:vAlign w:val="center"/>
            <w:hideMark/>
          </w:tcPr>
          <w:p w14:paraId="36C09E05"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Pomorskie</w:t>
            </w:r>
          </w:p>
        </w:tc>
        <w:tc>
          <w:tcPr>
            <w:tcW w:w="1459" w:type="dxa"/>
            <w:shd w:val="clear" w:color="auto" w:fill="auto"/>
            <w:noWrap/>
            <w:vAlign w:val="center"/>
          </w:tcPr>
          <w:p w14:paraId="167B06DA"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rPr>
              <w:t>427</w:t>
            </w:r>
          </w:p>
        </w:tc>
        <w:tc>
          <w:tcPr>
            <w:tcW w:w="2039" w:type="dxa"/>
            <w:shd w:val="clear" w:color="auto" w:fill="auto"/>
            <w:noWrap/>
            <w:vAlign w:val="center"/>
          </w:tcPr>
          <w:p w14:paraId="08C2954B"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rPr>
              <w:t>8</w:t>
            </w:r>
          </w:p>
        </w:tc>
        <w:tc>
          <w:tcPr>
            <w:tcW w:w="2627" w:type="dxa"/>
            <w:shd w:val="clear" w:color="auto" w:fill="auto"/>
            <w:noWrap/>
            <w:vAlign w:val="center"/>
          </w:tcPr>
          <w:p w14:paraId="2BE60549"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rPr>
              <w:t>1,87%</w:t>
            </w:r>
          </w:p>
        </w:tc>
      </w:tr>
      <w:tr w:rsidR="00773527" w:rsidRPr="007F400A" w14:paraId="11E64D75" w14:textId="77777777" w:rsidTr="00D91871">
        <w:trPr>
          <w:trHeight w:val="347"/>
        </w:trPr>
        <w:tc>
          <w:tcPr>
            <w:tcW w:w="2739" w:type="dxa"/>
            <w:vAlign w:val="center"/>
            <w:hideMark/>
          </w:tcPr>
          <w:p w14:paraId="7CEC6246"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lastRenderedPageBreak/>
              <w:t>Śląskie</w:t>
            </w:r>
          </w:p>
        </w:tc>
        <w:tc>
          <w:tcPr>
            <w:tcW w:w="1459" w:type="dxa"/>
            <w:shd w:val="clear" w:color="auto" w:fill="auto"/>
            <w:noWrap/>
            <w:vAlign w:val="center"/>
          </w:tcPr>
          <w:p w14:paraId="13831A8F"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rPr>
              <w:t>776</w:t>
            </w:r>
          </w:p>
        </w:tc>
        <w:tc>
          <w:tcPr>
            <w:tcW w:w="2039" w:type="dxa"/>
            <w:shd w:val="clear" w:color="auto" w:fill="auto"/>
            <w:noWrap/>
            <w:vAlign w:val="center"/>
          </w:tcPr>
          <w:p w14:paraId="279E8EA2"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rPr>
              <w:t>101</w:t>
            </w:r>
          </w:p>
        </w:tc>
        <w:tc>
          <w:tcPr>
            <w:tcW w:w="2627" w:type="dxa"/>
            <w:shd w:val="clear" w:color="auto" w:fill="auto"/>
            <w:noWrap/>
            <w:vAlign w:val="center"/>
          </w:tcPr>
          <w:p w14:paraId="08D2968D"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rPr>
              <w:t>13,02%</w:t>
            </w:r>
          </w:p>
        </w:tc>
      </w:tr>
      <w:tr w:rsidR="00773527" w:rsidRPr="007F400A" w14:paraId="710B6D02" w14:textId="77777777" w:rsidTr="00D91871">
        <w:trPr>
          <w:trHeight w:val="347"/>
        </w:trPr>
        <w:tc>
          <w:tcPr>
            <w:tcW w:w="2739" w:type="dxa"/>
            <w:vAlign w:val="center"/>
            <w:hideMark/>
          </w:tcPr>
          <w:p w14:paraId="4B3637C0"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Świętokrzyskie</w:t>
            </w:r>
          </w:p>
        </w:tc>
        <w:tc>
          <w:tcPr>
            <w:tcW w:w="1459" w:type="dxa"/>
            <w:shd w:val="clear" w:color="auto" w:fill="auto"/>
            <w:noWrap/>
            <w:vAlign w:val="center"/>
          </w:tcPr>
          <w:p w14:paraId="7A05AE11"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rPr>
              <w:t>184</w:t>
            </w:r>
          </w:p>
        </w:tc>
        <w:tc>
          <w:tcPr>
            <w:tcW w:w="2039" w:type="dxa"/>
            <w:shd w:val="clear" w:color="auto" w:fill="auto"/>
            <w:noWrap/>
            <w:vAlign w:val="center"/>
          </w:tcPr>
          <w:p w14:paraId="46F3C2E7"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rPr>
              <w:t>116</w:t>
            </w:r>
          </w:p>
        </w:tc>
        <w:tc>
          <w:tcPr>
            <w:tcW w:w="2627" w:type="dxa"/>
            <w:shd w:val="clear" w:color="auto" w:fill="auto"/>
            <w:noWrap/>
            <w:vAlign w:val="center"/>
          </w:tcPr>
          <w:p w14:paraId="1088F428"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rPr>
              <w:t>63,04%</w:t>
            </w:r>
          </w:p>
        </w:tc>
      </w:tr>
      <w:tr w:rsidR="00773527" w:rsidRPr="007F400A" w14:paraId="254E9957" w14:textId="77777777" w:rsidTr="00D91871">
        <w:trPr>
          <w:trHeight w:val="347"/>
        </w:trPr>
        <w:tc>
          <w:tcPr>
            <w:tcW w:w="2739" w:type="dxa"/>
            <w:vAlign w:val="center"/>
            <w:hideMark/>
          </w:tcPr>
          <w:p w14:paraId="5E61D4B2"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Warmińsko-mazurskie</w:t>
            </w:r>
          </w:p>
        </w:tc>
        <w:tc>
          <w:tcPr>
            <w:tcW w:w="1459" w:type="dxa"/>
            <w:shd w:val="clear" w:color="auto" w:fill="auto"/>
            <w:noWrap/>
            <w:vAlign w:val="center"/>
          </w:tcPr>
          <w:p w14:paraId="6A298AF3"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rPr>
              <w:t>169</w:t>
            </w:r>
          </w:p>
        </w:tc>
        <w:tc>
          <w:tcPr>
            <w:tcW w:w="2039" w:type="dxa"/>
            <w:shd w:val="clear" w:color="auto" w:fill="auto"/>
            <w:noWrap/>
            <w:vAlign w:val="center"/>
          </w:tcPr>
          <w:p w14:paraId="56C487C2"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rPr>
              <w:t>11</w:t>
            </w:r>
          </w:p>
        </w:tc>
        <w:tc>
          <w:tcPr>
            <w:tcW w:w="2627" w:type="dxa"/>
            <w:shd w:val="clear" w:color="auto" w:fill="auto"/>
            <w:noWrap/>
            <w:vAlign w:val="center"/>
          </w:tcPr>
          <w:p w14:paraId="4C990481"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rPr>
              <w:t>6,51%</w:t>
            </w:r>
          </w:p>
        </w:tc>
      </w:tr>
      <w:tr w:rsidR="00773527" w:rsidRPr="007F400A" w14:paraId="170E1A7E" w14:textId="77777777" w:rsidTr="00D91871">
        <w:trPr>
          <w:trHeight w:val="347"/>
        </w:trPr>
        <w:tc>
          <w:tcPr>
            <w:tcW w:w="2739" w:type="dxa"/>
            <w:vAlign w:val="center"/>
            <w:hideMark/>
          </w:tcPr>
          <w:p w14:paraId="535D553A"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Wielkopolskie</w:t>
            </w:r>
          </w:p>
        </w:tc>
        <w:tc>
          <w:tcPr>
            <w:tcW w:w="1459" w:type="dxa"/>
            <w:shd w:val="clear" w:color="auto" w:fill="auto"/>
            <w:noWrap/>
            <w:vAlign w:val="center"/>
          </w:tcPr>
          <w:p w14:paraId="3E9B7BDF"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rPr>
              <w:t>168</w:t>
            </w:r>
          </w:p>
        </w:tc>
        <w:tc>
          <w:tcPr>
            <w:tcW w:w="2039" w:type="dxa"/>
            <w:shd w:val="clear" w:color="auto" w:fill="auto"/>
            <w:noWrap/>
            <w:vAlign w:val="center"/>
          </w:tcPr>
          <w:p w14:paraId="6DEBDFC4"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rPr>
              <w:t>26</w:t>
            </w:r>
          </w:p>
        </w:tc>
        <w:tc>
          <w:tcPr>
            <w:tcW w:w="2627" w:type="dxa"/>
            <w:shd w:val="clear" w:color="auto" w:fill="auto"/>
            <w:noWrap/>
            <w:vAlign w:val="center"/>
          </w:tcPr>
          <w:p w14:paraId="0CF46688"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rPr>
              <w:t>15,48%</w:t>
            </w:r>
          </w:p>
        </w:tc>
      </w:tr>
      <w:tr w:rsidR="00773527" w:rsidRPr="007F400A" w14:paraId="01EEF2B7" w14:textId="77777777" w:rsidTr="00D91871">
        <w:trPr>
          <w:trHeight w:val="347"/>
        </w:trPr>
        <w:tc>
          <w:tcPr>
            <w:tcW w:w="2739" w:type="dxa"/>
            <w:vAlign w:val="center"/>
            <w:hideMark/>
          </w:tcPr>
          <w:p w14:paraId="131B1843"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Zachodniopomorskie</w:t>
            </w:r>
          </w:p>
        </w:tc>
        <w:tc>
          <w:tcPr>
            <w:tcW w:w="1459" w:type="dxa"/>
            <w:shd w:val="clear" w:color="auto" w:fill="auto"/>
            <w:noWrap/>
            <w:vAlign w:val="center"/>
          </w:tcPr>
          <w:p w14:paraId="117E7691"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rPr>
              <w:t>210</w:t>
            </w:r>
          </w:p>
        </w:tc>
        <w:tc>
          <w:tcPr>
            <w:tcW w:w="2039" w:type="dxa"/>
            <w:shd w:val="clear" w:color="auto" w:fill="auto"/>
            <w:noWrap/>
            <w:vAlign w:val="center"/>
          </w:tcPr>
          <w:p w14:paraId="3B97634E"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rPr>
              <w:t>52</w:t>
            </w:r>
          </w:p>
        </w:tc>
        <w:tc>
          <w:tcPr>
            <w:tcW w:w="2627" w:type="dxa"/>
            <w:shd w:val="clear" w:color="auto" w:fill="auto"/>
            <w:noWrap/>
            <w:vAlign w:val="center"/>
          </w:tcPr>
          <w:p w14:paraId="39C97DE1"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rPr>
              <w:t>24,76%</w:t>
            </w:r>
          </w:p>
        </w:tc>
      </w:tr>
      <w:tr w:rsidR="00773527" w:rsidRPr="007F400A" w14:paraId="18B62B48" w14:textId="77777777" w:rsidTr="00D91871">
        <w:trPr>
          <w:trHeight w:val="347"/>
        </w:trPr>
        <w:tc>
          <w:tcPr>
            <w:tcW w:w="2739" w:type="dxa"/>
            <w:noWrap/>
            <w:vAlign w:val="center"/>
            <w:hideMark/>
          </w:tcPr>
          <w:p w14:paraId="46E1FF04" w14:textId="77777777" w:rsidR="00773527" w:rsidRPr="007F400A" w:rsidRDefault="00773527" w:rsidP="00056EE7">
            <w:pPr>
              <w:spacing w:after="0" w:line="300" w:lineRule="atLeast"/>
              <w:rPr>
                <w:rFonts w:ascii="Times New Roman" w:eastAsia="Times New Roman" w:hAnsi="Times New Roman" w:cs="Times New Roman"/>
                <w:b/>
                <w:color w:val="000000"/>
                <w:sz w:val="18"/>
                <w:szCs w:val="18"/>
              </w:rPr>
            </w:pPr>
            <w:r w:rsidRPr="007F400A">
              <w:rPr>
                <w:rFonts w:ascii="Times New Roman" w:eastAsia="Times New Roman" w:hAnsi="Times New Roman" w:cs="Times New Roman"/>
                <w:b/>
                <w:color w:val="000000"/>
                <w:sz w:val="18"/>
                <w:szCs w:val="18"/>
              </w:rPr>
              <w:t>Polska</w:t>
            </w:r>
          </w:p>
        </w:tc>
        <w:tc>
          <w:tcPr>
            <w:tcW w:w="1459" w:type="dxa"/>
            <w:shd w:val="clear" w:color="auto" w:fill="auto"/>
            <w:noWrap/>
            <w:vAlign w:val="center"/>
          </w:tcPr>
          <w:p w14:paraId="6701208F" w14:textId="77777777" w:rsidR="00773527" w:rsidRPr="00616B85" w:rsidRDefault="00773527" w:rsidP="00056EE7">
            <w:pPr>
              <w:spacing w:after="0" w:line="300" w:lineRule="atLeast"/>
              <w:jc w:val="center"/>
              <w:rPr>
                <w:rFonts w:ascii="Times New Roman" w:eastAsia="Times New Roman" w:hAnsi="Times New Roman" w:cs="Times New Roman"/>
                <w:b/>
                <w:color w:val="000000"/>
                <w:sz w:val="18"/>
                <w:szCs w:val="18"/>
              </w:rPr>
            </w:pPr>
            <w:r w:rsidRPr="00744A58">
              <w:rPr>
                <w:rFonts w:ascii="Times New Roman" w:hAnsi="Times New Roman" w:cs="Times New Roman"/>
                <w:b/>
                <w:sz w:val="18"/>
              </w:rPr>
              <w:t>4 020</w:t>
            </w:r>
          </w:p>
        </w:tc>
        <w:tc>
          <w:tcPr>
            <w:tcW w:w="2039" w:type="dxa"/>
            <w:shd w:val="clear" w:color="auto" w:fill="auto"/>
            <w:noWrap/>
            <w:vAlign w:val="center"/>
          </w:tcPr>
          <w:p w14:paraId="314AF234" w14:textId="77777777" w:rsidR="00773527" w:rsidRPr="00616B85" w:rsidRDefault="00773527" w:rsidP="00056EE7">
            <w:pPr>
              <w:spacing w:after="0" w:line="300" w:lineRule="atLeast"/>
              <w:jc w:val="center"/>
              <w:rPr>
                <w:rFonts w:ascii="Times New Roman" w:eastAsia="Times New Roman" w:hAnsi="Times New Roman" w:cs="Times New Roman"/>
                <w:b/>
                <w:color w:val="000000"/>
                <w:sz w:val="18"/>
                <w:szCs w:val="18"/>
              </w:rPr>
            </w:pPr>
            <w:r w:rsidRPr="00744A58">
              <w:rPr>
                <w:rFonts w:ascii="Times New Roman" w:hAnsi="Times New Roman" w:cs="Times New Roman"/>
                <w:b/>
                <w:sz w:val="18"/>
              </w:rPr>
              <w:t>514</w:t>
            </w:r>
          </w:p>
        </w:tc>
        <w:tc>
          <w:tcPr>
            <w:tcW w:w="2627" w:type="dxa"/>
            <w:shd w:val="clear" w:color="auto" w:fill="auto"/>
            <w:noWrap/>
            <w:vAlign w:val="center"/>
          </w:tcPr>
          <w:p w14:paraId="233A9015" w14:textId="77777777" w:rsidR="00773527" w:rsidRPr="00616B85" w:rsidRDefault="00773527" w:rsidP="00056EE7">
            <w:pPr>
              <w:spacing w:after="0" w:line="300" w:lineRule="atLeast"/>
              <w:jc w:val="center"/>
              <w:rPr>
                <w:rFonts w:ascii="Times New Roman" w:eastAsia="Times New Roman" w:hAnsi="Times New Roman" w:cs="Times New Roman"/>
                <w:b/>
                <w:color w:val="000000"/>
                <w:sz w:val="18"/>
                <w:szCs w:val="18"/>
              </w:rPr>
            </w:pPr>
            <w:r w:rsidRPr="00744A58">
              <w:rPr>
                <w:rFonts w:ascii="Times New Roman" w:hAnsi="Times New Roman" w:cs="Times New Roman"/>
                <w:b/>
                <w:sz w:val="18"/>
              </w:rPr>
              <w:t>12,79%</w:t>
            </w:r>
          </w:p>
        </w:tc>
      </w:tr>
    </w:tbl>
    <w:p w14:paraId="1FA71EBB" w14:textId="77777777" w:rsidR="00773527" w:rsidRPr="007F400A" w:rsidRDefault="00773527" w:rsidP="009A5FA9">
      <w:pPr>
        <w:spacing w:before="120" w:after="120" w:line="300" w:lineRule="atLeast"/>
        <w:ind w:firstLine="567"/>
        <w:jc w:val="both"/>
        <w:rPr>
          <w:rFonts w:ascii="Times New Roman" w:eastAsia="Times New Roman" w:hAnsi="Times New Roman" w:cs="Times New Roman"/>
          <w:sz w:val="24"/>
          <w:szCs w:val="24"/>
        </w:rPr>
      </w:pPr>
      <w:r w:rsidRPr="007F400A">
        <w:rPr>
          <w:rFonts w:ascii="Times New Roman" w:eastAsia="Times New Roman" w:hAnsi="Times New Roman" w:cs="Times New Roman"/>
          <w:sz w:val="24"/>
          <w:szCs w:val="24"/>
        </w:rPr>
        <w:t xml:space="preserve">W </w:t>
      </w:r>
      <w:r>
        <w:rPr>
          <w:rFonts w:ascii="Times New Roman" w:eastAsia="Times New Roman" w:hAnsi="Times New Roman" w:cs="Times New Roman"/>
          <w:sz w:val="24"/>
          <w:szCs w:val="24"/>
        </w:rPr>
        <w:t>2022</w:t>
      </w:r>
      <w:r w:rsidRPr="007F400A">
        <w:rPr>
          <w:rFonts w:ascii="Times New Roman" w:eastAsia="Times New Roman" w:hAnsi="Times New Roman" w:cs="Times New Roman"/>
          <w:sz w:val="24"/>
          <w:szCs w:val="24"/>
        </w:rPr>
        <w:t xml:space="preserve"> r. przeprowadzono </w:t>
      </w:r>
      <w:r>
        <w:rPr>
          <w:rFonts w:ascii="Times New Roman" w:eastAsia="Times New Roman" w:hAnsi="Times New Roman" w:cs="Times New Roman"/>
          <w:sz w:val="24"/>
          <w:szCs w:val="24"/>
        </w:rPr>
        <w:t>4 020</w:t>
      </w:r>
      <w:r w:rsidRPr="007F400A">
        <w:rPr>
          <w:rFonts w:ascii="Times New Roman" w:eastAsia="Times New Roman" w:hAnsi="Times New Roman" w:cs="Times New Roman"/>
          <w:sz w:val="24"/>
          <w:szCs w:val="24"/>
        </w:rPr>
        <w:t xml:space="preserve"> kontroli w terenie bez ustalonego podmiotu. Najwięcej takich kontroli przeprowadzono w woj. śląskim i </w:t>
      </w:r>
      <w:r>
        <w:rPr>
          <w:rFonts w:ascii="Times New Roman" w:eastAsia="Times New Roman" w:hAnsi="Times New Roman" w:cs="Times New Roman"/>
          <w:sz w:val="24"/>
          <w:szCs w:val="24"/>
        </w:rPr>
        <w:t>lubuskim</w:t>
      </w:r>
      <w:r w:rsidRPr="007F400A">
        <w:rPr>
          <w:rFonts w:ascii="Times New Roman" w:eastAsia="Times New Roman" w:hAnsi="Times New Roman" w:cs="Times New Roman"/>
          <w:sz w:val="24"/>
          <w:szCs w:val="24"/>
        </w:rPr>
        <w:t xml:space="preserve">, najmniej w woj. </w:t>
      </w:r>
      <w:r>
        <w:rPr>
          <w:rFonts w:ascii="Times New Roman" w:eastAsia="Times New Roman" w:hAnsi="Times New Roman" w:cs="Times New Roman"/>
          <w:sz w:val="24"/>
          <w:szCs w:val="24"/>
        </w:rPr>
        <w:t>p</w:t>
      </w:r>
      <w:r w:rsidRPr="007F400A">
        <w:rPr>
          <w:rFonts w:ascii="Times New Roman" w:eastAsia="Times New Roman" w:hAnsi="Times New Roman" w:cs="Times New Roman"/>
          <w:sz w:val="24"/>
          <w:szCs w:val="24"/>
        </w:rPr>
        <w:t>odkarpackim</w:t>
      </w:r>
      <w:r>
        <w:rPr>
          <w:rFonts w:ascii="Times New Roman" w:eastAsia="Times New Roman" w:hAnsi="Times New Roman" w:cs="Times New Roman"/>
          <w:sz w:val="24"/>
          <w:szCs w:val="24"/>
        </w:rPr>
        <w:t>,</w:t>
      </w:r>
      <w:r w:rsidRPr="007F400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lubelskim i mazowieckim</w:t>
      </w:r>
      <w:r w:rsidRPr="007F400A">
        <w:rPr>
          <w:rFonts w:ascii="Times New Roman" w:eastAsia="Times New Roman" w:hAnsi="Times New Roman" w:cs="Times New Roman"/>
          <w:sz w:val="24"/>
          <w:szCs w:val="24"/>
        </w:rPr>
        <w:t xml:space="preserve">. </w:t>
      </w:r>
    </w:p>
    <w:p w14:paraId="6952C0E6" w14:textId="77777777" w:rsidR="00773527" w:rsidRPr="007F400A" w:rsidRDefault="00773527" w:rsidP="00056EE7">
      <w:pPr>
        <w:tabs>
          <w:tab w:val="left" w:pos="2625"/>
        </w:tabs>
        <w:spacing w:before="120" w:line="300" w:lineRule="atLeast"/>
        <w:jc w:val="center"/>
        <w:rPr>
          <w:rFonts w:ascii="Times New Roman" w:hAnsi="Times New Roman" w:cs="Times New Roman"/>
          <w:b/>
        </w:rPr>
      </w:pPr>
      <w:r w:rsidRPr="007F400A">
        <w:rPr>
          <w:rFonts w:ascii="Times New Roman" w:hAnsi="Times New Roman" w:cs="Times New Roman"/>
          <w:b/>
        </w:rPr>
        <w:t xml:space="preserve">Tabela 3. Naruszenia stwierdzone w czasie kontroli dokumentacyjnych bez ustalonego podmiotu </w:t>
      </w:r>
      <w:r w:rsidRPr="007F400A">
        <w:rPr>
          <w:rFonts w:ascii="Times New Roman" w:eastAsia="Times New Roman" w:hAnsi="Times New Roman" w:cs="Times New Roman"/>
          <w:b/>
          <w:bCs/>
          <w:iCs/>
          <w:szCs w:val="24"/>
        </w:rPr>
        <w:t xml:space="preserve">według województw w </w:t>
      </w:r>
      <w:r>
        <w:rPr>
          <w:rFonts w:ascii="Times New Roman" w:eastAsia="Times New Roman" w:hAnsi="Times New Roman" w:cs="Times New Roman"/>
          <w:b/>
          <w:bCs/>
          <w:iCs/>
          <w:szCs w:val="24"/>
        </w:rPr>
        <w:t>2022</w:t>
      </w:r>
      <w:r w:rsidRPr="007F400A">
        <w:rPr>
          <w:rFonts w:ascii="Times New Roman" w:eastAsia="Times New Roman" w:hAnsi="Times New Roman" w:cs="Times New Roman"/>
          <w:b/>
          <w:bCs/>
          <w:iCs/>
          <w:szCs w:val="24"/>
        </w:rPr>
        <w:t xml:space="preserve"> r.</w:t>
      </w:r>
    </w:p>
    <w:tbl>
      <w:tblPr>
        <w:tblW w:w="899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94"/>
        <w:gridCol w:w="1374"/>
        <w:gridCol w:w="2057"/>
        <w:gridCol w:w="2467"/>
      </w:tblGrid>
      <w:tr w:rsidR="00773527" w:rsidRPr="007F400A" w14:paraId="78D77864" w14:textId="77777777" w:rsidTr="00D91871">
        <w:trPr>
          <w:trHeight w:val="1100"/>
        </w:trPr>
        <w:tc>
          <w:tcPr>
            <w:tcW w:w="3094" w:type="dxa"/>
            <w:shd w:val="clear" w:color="auto" w:fill="auto"/>
            <w:noWrap/>
            <w:vAlign w:val="center"/>
            <w:hideMark/>
          </w:tcPr>
          <w:p w14:paraId="26BF3702" w14:textId="77777777" w:rsidR="00773527" w:rsidRPr="007F400A" w:rsidRDefault="00773527" w:rsidP="00056EE7">
            <w:pPr>
              <w:spacing w:line="300" w:lineRule="atLeast"/>
              <w:jc w:val="center"/>
              <w:rPr>
                <w:rFonts w:ascii="Times New Roman" w:eastAsia="Times New Roman" w:hAnsi="Times New Roman" w:cs="Times New Roman"/>
                <w:b/>
                <w:bCs/>
                <w:color w:val="000000"/>
                <w:sz w:val="18"/>
                <w:szCs w:val="18"/>
              </w:rPr>
            </w:pPr>
            <w:r w:rsidRPr="007F400A">
              <w:rPr>
                <w:rFonts w:ascii="Times New Roman" w:eastAsia="Times New Roman" w:hAnsi="Times New Roman" w:cs="Times New Roman"/>
                <w:b/>
                <w:bCs/>
                <w:color w:val="000000"/>
                <w:sz w:val="18"/>
                <w:szCs w:val="18"/>
              </w:rPr>
              <w:t>Województwo</w:t>
            </w:r>
          </w:p>
        </w:tc>
        <w:tc>
          <w:tcPr>
            <w:tcW w:w="1374" w:type="dxa"/>
            <w:shd w:val="clear" w:color="000000" w:fill="FFFFFF"/>
            <w:vAlign w:val="center"/>
            <w:hideMark/>
          </w:tcPr>
          <w:p w14:paraId="10AE2072" w14:textId="77777777" w:rsidR="00773527" w:rsidRPr="007F400A" w:rsidRDefault="00773527" w:rsidP="00056EE7">
            <w:pPr>
              <w:spacing w:line="300" w:lineRule="atLeast"/>
              <w:jc w:val="center"/>
              <w:rPr>
                <w:rFonts w:ascii="Times New Roman" w:eastAsia="Times New Roman" w:hAnsi="Times New Roman" w:cs="Times New Roman"/>
                <w:b/>
                <w:bCs/>
                <w:color w:val="000000"/>
                <w:sz w:val="18"/>
                <w:szCs w:val="18"/>
              </w:rPr>
            </w:pPr>
            <w:r w:rsidRPr="007F400A">
              <w:rPr>
                <w:rFonts w:ascii="Times New Roman" w:eastAsia="Times New Roman" w:hAnsi="Times New Roman" w:cs="Times New Roman"/>
                <w:b/>
                <w:bCs/>
                <w:color w:val="000000"/>
                <w:sz w:val="18"/>
                <w:szCs w:val="18"/>
              </w:rPr>
              <w:t>Liczba kontroli</w:t>
            </w:r>
            <w:r>
              <w:rPr>
                <w:rFonts w:ascii="Times New Roman" w:eastAsia="Times New Roman" w:hAnsi="Times New Roman" w:cs="Times New Roman"/>
                <w:b/>
                <w:bCs/>
                <w:color w:val="000000"/>
                <w:sz w:val="18"/>
                <w:szCs w:val="18"/>
              </w:rPr>
              <w:t xml:space="preserve"> ogółem</w:t>
            </w:r>
          </w:p>
        </w:tc>
        <w:tc>
          <w:tcPr>
            <w:tcW w:w="2057" w:type="dxa"/>
            <w:shd w:val="clear" w:color="auto" w:fill="auto"/>
            <w:vAlign w:val="center"/>
            <w:hideMark/>
          </w:tcPr>
          <w:p w14:paraId="031F6B4B" w14:textId="77777777" w:rsidR="00773527" w:rsidRPr="007F400A" w:rsidRDefault="00773527" w:rsidP="00056EE7">
            <w:pPr>
              <w:spacing w:line="300" w:lineRule="atLeast"/>
              <w:jc w:val="center"/>
              <w:rPr>
                <w:rFonts w:ascii="Times New Roman" w:eastAsia="Times New Roman" w:hAnsi="Times New Roman" w:cs="Times New Roman"/>
                <w:b/>
                <w:bCs/>
                <w:color w:val="000000"/>
                <w:sz w:val="18"/>
                <w:szCs w:val="18"/>
              </w:rPr>
            </w:pPr>
            <w:r w:rsidRPr="007F400A">
              <w:rPr>
                <w:rFonts w:ascii="Times New Roman" w:eastAsia="Times New Roman" w:hAnsi="Times New Roman" w:cs="Times New Roman"/>
                <w:b/>
                <w:bCs/>
                <w:color w:val="000000"/>
                <w:sz w:val="18"/>
                <w:szCs w:val="18"/>
              </w:rPr>
              <w:t>Liczba kontroli z</w:t>
            </w:r>
            <w:r>
              <w:rPr>
                <w:rFonts w:ascii="Times New Roman" w:eastAsia="Times New Roman" w:hAnsi="Times New Roman" w:cs="Times New Roman"/>
                <w:b/>
                <w:bCs/>
                <w:color w:val="000000"/>
                <w:sz w:val="18"/>
                <w:szCs w:val="18"/>
              </w:rPr>
              <w:t> </w:t>
            </w:r>
            <w:r w:rsidRPr="007F400A">
              <w:rPr>
                <w:rFonts w:ascii="Times New Roman" w:eastAsia="Times New Roman" w:hAnsi="Times New Roman" w:cs="Times New Roman"/>
                <w:b/>
                <w:bCs/>
                <w:color w:val="000000"/>
                <w:sz w:val="18"/>
                <w:szCs w:val="18"/>
              </w:rPr>
              <w:t>naruszeniami</w:t>
            </w:r>
          </w:p>
        </w:tc>
        <w:tc>
          <w:tcPr>
            <w:tcW w:w="2467" w:type="dxa"/>
            <w:shd w:val="clear" w:color="auto" w:fill="auto"/>
            <w:vAlign w:val="center"/>
            <w:hideMark/>
          </w:tcPr>
          <w:p w14:paraId="6763C05C" w14:textId="77777777" w:rsidR="00773527" w:rsidRPr="007F400A" w:rsidRDefault="00773527" w:rsidP="00056EE7">
            <w:pPr>
              <w:spacing w:line="300" w:lineRule="atLeast"/>
              <w:jc w:val="center"/>
              <w:rPr>
                <w:rFonts w:ascii="Times New Roman" w:eastAsia="Times New Roman" w:hAnsi="Times New Roman" w:cs="Times New Roman"/>
                <w:b/>
                <w:bCs/>
                <w:color w:val="000000"/>
                <w:sz w:val="18"/>
                <w:szCs w:val="18"/>
              </w:rPr>
            </w:pPr>
            <w:r w:rsidRPr="007F400A">
              <w:rPr>
                <w:rFonts w:ascii="Times New Roman" w:eastAsia="Times New Roman" w:hAnsi="Times New Roman" w:cs="Times New Roman"/>
                <w:b/>
                <w:bCs/>
                <w:color w:val="000000"/>
                <w:sz w:val="18"/>
                <w:szCs w:val="18"/>
              </w:rPr>
              <w:t>Liczba kontroli z</w:t>
            </w:r>
            <w:r>
              <w:rPr>
                <w:rFonts w:ascii="Times New Roman" w:eastAsia="Times New Roman" w:hAnsi="Times New Roman" w:cs="Times New Roman"/>
                <w:b/>
                <w:bCs/>
                <w:color w:val="000000"/>
                <w:sz w:val="18"/>
                <w:szCs w:val="18"/>
              </w:rPr>
              <w:t> </w:t>
            </w:r>
            <w:r w:rsidRPr="007F400A">
              <w:rPr>
                <w:rFonts w:ascii="Times New Roman" w:eastAsia="Times New Roman" w:hAnsi="Times New Roman" w:cs="Times New Roman"/>
                <w:b/>
                <w:bCs/>
                <w:color w:val="000000"/>
                <w:sz w:val="18"/>
                <w:szCs w:val="18"/>
              </w:rPr>
              <w:t>naruszeniami do liczby kontroli ogółem (w %)</w:t>
            </w:r>
          </w:p>
        </w:tc>
      </w:tr>
      <w:tr w:rsidR="00773527" w:rsidRPr="007F400A" w14:paraId="094CC207" w14:textId="77777777" w:rsidTr="00D91871">
        <w:trPr>
          <w:trHeight w:val="344"/>
        </w:trPr>
        <w:tc>
          <w:tcPr>
            <w:tcW w:w="3094" w:type="dxa"/>
            <w:shd w:val="clear" w:color="auto" w:fill="auto"/>
            <w:vAlign w:val="center"/>
          </w:tcPr>
          <w:p w14:paraId="7D32858B"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Dolnośląskie</w:t>
            </w:r>
          </w:p>
        </w:tc>
        <w:tc>
          <w:tcPr>
            <w:tcW w:w="1374" w:type="dxa"/>
            <w:shd w:val="clear" w:color="auto" w:fill="auto"/>
            <w:noWrap/>
            <w:vAlign w:val="center"/>
          </w:tcPr>
          <w:p w14:paraId="163A1105"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744A58">
              <w:rPr>
                <w:rFonts w:ascii="Times New Roman" w:hAnsi="Times New Roman" w:cs="Times New Roman"/>
                <w:sz w:val="18"/>
                <w:szCs w:val="18"/>
              </w:rPr>
              <w:t>29</w:t>
            </w:r>
          </w:p>
        </w:tc>
        <w:tc>
          <w:tcPr>
            <w:tcW w:w="2057" w:type="dxa"/>
            <w:shd w:val="clear" w:color="auto" w:fill="auto"/>
            <w:noWrap/>
            <w:vAlign w:val="center"/>
          </w:tcPr>
          <w:p w14:paraId="4CABB978"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744A58">
              <w:rPr>
                <w:rFonts w:ascii="Times New Roman" w:hAnsi="Times New Roman" w:cs="Times New Roman"/>
                <w:sz w:val="18"/>
                <w:szCs w:val="18"/>
              </w:rPr>
              <w:t>7</w:t>
            </w:r>
          </w:p>
        </w:tc>
        <w:tc>
          <w:tcPr>
            <w:tcW w:w="2467" w:type="dxa"/>
            <w:shd w:val="clear" w:color="auto" w:fill="auto"/>
            <w:noWrap/>
            <w:vAlign w:val="center"/>
          </w:tcPr>
          <w:p w14:paraId="72F70376"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szCs w:val="18"/>
              </w:rPr>
              <w:t>24,14%</w:t>
            </w:r>
          </w:p>
        </w:tc>
      </w:tr>
      <w:tr w:rsidR="00773527" w:rsidRPr="007F400A" w14:paraId="4E2F4617" w14:textId="77777777" w:rsidTr="00D91871">
        <w:trPr>
          <w:trHeight w:val="344"/>
        </w:trPr>
        <w:tc>
          <w:tcPr>
            <w:tcW w:w="3094" w:type="dxa"/>
            <w:shd w:val="clear" w:color="auto" w:fill="auto"/>
            <w:vAlign w:val="center"/>
          </w:tcPr>
          <w:p w14:paraId="60BC3945"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Kujawsko-pomorskie</w:t>
            </w:r>
          </w:p>
        </w:tc>
        <w:tc>
          <w:tcPr>
            <w:tcW w:w="1374" w:type="dxa"/>
            <w:shd w:val="clear" w:color="auto" w:fill="auto"/>
            <w:vAlign w:val="center"/>
          </w:tcPr>
          <w:p w14:paraId="2FEDE4C8"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744A58">
              <w:rPr>
                <w:rFonts w:ascii="Times New Roman" w:hAnsi="Times New Roman" w:cs="Times New Roman"/>
                <w:sz w:val="18"/>
                <w:szCs w:val="18"/>
              </w:rPr>
              <w:t>12</w:t>
            </w:r>
          </w:p>
        </w:tc>
        <w:tc>
          <w:tcPr>
            <w:tcW w:w="2057" w:type="dxa"/>
            <w:shd w:val="clear" w:color="auto" w:fill="auto"/>
            <w:vAlign w:val="center"/>
          </w:tcPr>
          <w:p w14:paraId="546EA8E4"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744A58">
              <w:rPr>
                <w:rFonts w:ascii="Times New Roman" w:hAnsi="Times New Roman" w:cs="Times New Roman"/>
                <w:sz w:val="18"/>
                <w:szCs w:val="18"/>
              </w:rPr>
              <w:t>0</w:t>
            </w:r>
          </w:p>
        </w:tc>
        <w:tc>
          <w:tcPr>
            <w:tcW w:w="2467" w:type="dxa"/>
            <w:shd w:val="clear" w:color="auto" w:fill="auto"/>
            <w:noWrap/>
            <w:vAlign w:val="center"/>
          </w:tcPr>
          <w:p w14:paraId="345223AC"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szCs w:val="18"/>
              </w:rPr>
              <w:t>0,00%</w:t>
            </w:r>
          </w:p>
        </w:tc>
      </w:tr>
      <w:tr w:rsidR="00773527" w:rsidRPr="007F400A" w14:paraId="64DAA45C" w14:textId="77777777" w:rsidTr="00D91871">
        <w:trPr>
          <w:trHeight w:val="344"/>
        </w:trPr>
        <w:tc>
          <w:tcPr>
            <w:tcW w:w="3094" w:type="dxa"/>
            <w:shd w:val="clear" w:color="auto" w:fill="auto"/>
            <w:vAlign w:val="center"/>
          </w:tcPr>
          <w:p w14:paraId="06A0BA93"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Lubelskie</w:t>
            </w:r>
          </w:p>
        </w:tc>
        <w:tc>
          <w:tcPr>
            <w:tcW w:w="1374" w:type="dxa"/>
            <w:shd w:val="clear" w:color="auto" w:fill="auto"/>
            <w:vAlign w:val="center"/>
          </w:tcPr>
          <w:p w14:paraId="5F224130"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744A58">
              <w:rPr>
                <w:rFonts w:ascii="Times New Roman" w:hAnsi="Times New Roman" w:cs="Times New Roman"/>
                <w:sz w:val="18"/>
                <w:szCs w:val="18"/>
              </w:rPr>
              <w:t>44</w:t>
            </w:r>
          </w:p>
        </w:tc>
        <w:tc>
          <w:tcPr>
            <w:tcW w:w="2057" w:type="dxa"/>
            <w:shd w:val="clear" w:color="auto" w:fill="auto"/>
            <w:vAlign w:val="center"/>
          </w:tcPr>
          <w:p w14:paraId="402BB996"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744A58">
              <w:rPr>
                <w:rFonts w:ascii="Times New Roman" w:hAnsi="Times New Roman" w:cs="Times New Roman"/>
                <w:sz w:val="18"/>
                <w:szCs w:val="18"/>
              </w:rPr>
              <w:t>14</w:t>
            </w:r>
          </w:p>
        </w:tc>
        <w:tc>
          <w:tcPr>
            <w:tcW w:w="2467" w:type="dxa"/>
            <w:shd w:val="clear" w:color="auto" w:fill="auto"/>
            <w:noWrap/>
            <w:vAlign w:val="center"/>
          </w:tcPr>
          <w:p w14:paraId="687B7F97"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szCs w:val="18"/>
              </w:rPr>
              <w:t>31,82%</w:t>
            </w:r>
          </w:p>
        </w:tc>
      </w:tr>
      <w:tr w:rsidR="00773527" w:rsidRPr="007F400A" w14:paraId="5417ED77" w14:textId="77777777" w:rsidTr="00D91871">
        <w:trPr>
          <w:trHeight w:val="344"/>
        </w:trPr>
        <w:tc>
          <w:tcPr>
            <w:tcW w:w="3094" w:type="dxa"/>
            <w:shd w:val="clear" w:color="auto" w:fill="auto"/>
            <w:vAlign w:val="center"/>
          </w:tcPr>
          <w:p w14:paraId="32E05BD4"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Lubuskie</w:t>
            </w:r>
          </w:p>
        </w:tc>
        <w:tc>
          <w:tcPr>
            <w:tcW w:w="1374" w:type="dxa"/>
            <w:shd w:val="clear" w:color="auto" w:fill="auto"/>
            <w:noWrap/>
            <w:vAlign w:val="center"/>
          </w:tcPr>
          <w:p w14:paraId="642F97E6"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744A58">
              <w:rPr>
                <w:rFonts w:ascii="Times New Roman" w:hAnsi="Times New Roman" w:cs="Times New Roman"/>
                <w:sz w:val="18"/>
                <w:szCs w:val="18"/>
              </w:rPr>
              <w:t>12</w:t>
            </w:r>
          </w:p>
        </w:tc>
        <w:tc>
          <w:tcPr>
            <w:tcW w:w="2057" w:type="dxa"/>
            <w:shd w:val="clear" w:color="auto" w:fill="auto"/>
            <w:noWrap/>
            <w:vAlign w:val="center"/>
          </w:tcPr>
          <w:p w14:paraId="10E34220"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744A58">
              <w:rPr>
                <w:rFonts w:ascii="Times New Roman" w:hAnsi="Times New Roman" w:cs="Times New Roman"/>
                <w:sz w:val="18"/>
                <w:szCs w:val="18"/>
              </w:rPr>
              <w:t>4</w:t>
            </w:r>
          </w:p>
        </w:tc>
        <w:tc>
          <w:tcPr>
            <w:tcW w:w="2467" w:type="dxa"/>
            <w:shd w:val="clear" w:color="auto" w:fill="auto"/>
            <w:noWrap/>
            <w:vAlign w:val="center"/>
          </w:tcPr>
          <w:p w14:paraId="796C8ADB"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szCs w:val="18"/>
              </w:rPr>
              <w:t>33,33%</w:t>
            </w:r>
          </w:p>
        </w:tc>
      </w:tr>
      <w:tr w:rsidR="00773527" w:rsidRPr="007F400A" w14:paraId="4528B7C3" w14:textId="77777777" w:rsidTr="00D91871">
        <w:trPr>
          <w:trHeight w:val="344"/>
        </w:trPr>
        <w:tc>
          <w:tcPr>
            <w:tcW w:w="3094" w:type="dxa"/>
            <w:shd w:val="clear" w:color="auto" w:fill="auto"/>
            <w:vAlign w:val="center"/>
          </w:tcPr>
          <w:p w14:paraId="34FDDC73"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Łódzkie</w:t>
            </w:r>
          </w:p>
        </w:tc>
        <w:tc>
          <w:tcPr>
            <w:tcW w:w="1374" w:type="dxa"/>
            <w:shd w:val="clear" w:color="auto" w:fill="auto"/>
            <w:noWrap/>
            <w:vAlign w:val="center"/>
          </w:tcPr>
          <w:p w14:paraId="09FF090A"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744A58">
              <w:rPr>
                <w:rFonts w:ascii="Times New Roman" w:hAnsi="Times New Roman" w:cs="Times New Roman"/>
                <w:sz w:val="18"/>
                <w:szCs w:val="18"/>
              </w:rPr>
              <w:t>0</w:t>
            </w:r>
          </w:p>
        </w:tc>
        <w:tc>
          <w:tcPr>
            <w:tcW w:w="2057" w:type="dxa"/>
            <w:shd w:val="clear" w:color="auto" w:fill="auto"/>
            <w:noWrap/>
            <w:vAlign w:val="center"/>
          </w:tcPr>
          <w:p w14:paraId="180A6F45"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744A58">
              <w:rPr>
                <w:rFonts w:ascii="Times New Roman" w:hAnsi="Times New Roman" w:cs="Times New Roman"/>
                <w:sz w:val="18"/>
                <w:szCs w:val="18"/>
              </w:rPr>
              <w:t>0</w:t>
            </w:r>
          </w:p>
        </w:tc>
        <w:tc>
          <w:tcPr>
            <w:tcW w:w="2467" w:type="dxa"/>
            <w:shd w:val="clear" w:color="auto" w:fill="auto"/>
            <w:noWrap/>
            <w:vAlign w:val="center"/>
          </w:tcPr>
          <w:p w14:paraId="635B6B1A"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szCs w:val="18"/>
              </w:rPr>
              <w:t>-</w:t>
            </w:r>
          </w:p>
        </w:tc>
      </w:tr>
      <w:tr w:rsidR="00773527" w:rsidRPr="007F400A" w14:paraId="7EA2F6C6" w14:textId="77777777" w:rsidTr="00D91871">
        <w:trPr>
          <w:trHeight w:val="344"/>
        </w:trPr>
        <w:tc>
          <w:tcPr>
            <w:tcW w:w="3094" w:type="dxa"/>
            <w:shd w:val="clear" w:color="auto" w:fill="auto"/>
            <w:vAlign w:val="center"/>
          </w:tcPr>
          <w:p w14:paraId="461E7C38"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Małopolskie</w:t>
            </w:r>
          </w:p>
        </w:tc>
        <w:tc>
          <w:tcPr>
            <w:tcW w:w="1374" w:type="dxa"/>
            <w:shd w:val="clear" w:color="auto" w:fill="auto"/>
            <w:noWrap/>
            <w:vAlign w:val="center"/>
          </w:tcPr>
          <w:p w14:paraId="1A905C05"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744A58">
              <w:rPr>
                <w:rFonts w:ascii="Times New Roman" w:hAnsi="Times New Roman" w:cs="Times New Roman"/>
                <w:sz w:val="18"/>
                <w:szCs w:val="18"/>
              </w:rPr>
              <w:t>2</w:t>
            </w:r>
          </w:p>
        </w:tc>
        <w:tc>
          <w:tcPr>
            <w:tcW w:w="2057" w:type="dxa"/>
            <w:shd w:val="clear" w:color="auto" w:fill="auto"/>
            <w:noWrap/>
            <w:vAlign w:val="center"/>
          </w:tcPr>
          <w:p w14:paraId="2F26DFF8"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744A58">
              <w:rPr>
                <w:rFonts w:ascii="Times New Roman" w:hAnsi="Times New Roman" w:cs="Times New Roman"/>
                <w:sz w:val="18"/>
                <w:szCs w:val="18"/>
              </w:rPr>
              <w:t>1</w:t>
            </w:r>
          </w:p>
        </w:tc>
        <w:tc>
          <w:tcPr>
            <w:tcW w:w="2467" w:type="dxa"/>
            <w:shd w:val="clear" w:color="auto" w:fill="auto"/>
            <w:noWrap/>
            <w:vAlign w:val="center"/>
          </w:tcPr>
          <w:p w14:paraId="016AF0C2"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szCs w:val="18"/>
              </w:rPr>
              <w:t>50,00%</w:t>
            </w:r>
          </w:p>
        </w:tc>
      </w:tr>
      <w:tr w:rsidR="00773527" w:rsidRPr="007F400A" w14:paraId="024A4760" w14:textId="77777777" w:rsidTr="00D91871">
        <w:trPr>
          <w:trHeight w:val="344"/>
        </w:trPr>
        <w:tc>
          <w:tcPr>
            <w:tcW w:w="3094" w:type="dxa"/>
            <w:shd w:val="clear" w:color="auto" w:fill="auto"/>
            <w:vAlign w:val="center"/>
          </w:tcPr>
          <w:p w14:paraId="4CE201E4"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Mazowieckie</w:t>
            </w:r>
          </w:p>
        </w:tc>
        <w:tc>
          <w:tcPr>
            <w:tcW w:w="1374" w:type="dxa"/>
            <w:shd w:val="clear" w:color="auto" w:fill="auto"/>
            <w:noWrap/>
            <w:vAlign w:val="center"/>
          </w:tcPr>
          <w:p w14:paraId="156F65DE"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744A58">
              <w:rPr>
                <w:rFonts w:ascii="Times New Roman" w:hAnsi="Times New Roman" w:cs="Times New Roman"/>
                <w:sz w:val="18"/>
                <w:szCs w:val="18"/>
              </w:rPr>
              <w:t>51</w:t>
            </w:r>
          </w:p>
        </w:tc>
        <w:tc>
          <w:tcPr>
            <w:tcW w:w="2057" w:type="dxa"/>
            <w:shd w:val="clear" w:color="auto" w:fill="auto"/>
            <w:noWrap/>
            <w:vAlign w:val="center"/>
          </w:tcPr>
          <w:p w14:paraId="6DA3A78C"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744A58">
              <w:rPr>
                <w:rFonts w:ascii="Times New Roman" w:hAnsi="Times New Roman" w:cs="Times New Roman"/>
                <w:sz w:val="18"/>
                <w:szCs w:val="18"/>
              </w:rPr>
              <w:t>0</w:t>
            </w:r>
          </w:p>
        </w:tc>
        <w:tc>
          <w:tcPr>
            <w:tcW w:w="2467" w:type="dxa"/>
            <w:shd w:val="clear" w:color="auto" w:fill="auto"/>
            <w:noWrap/>
            <w:vAlign w:val="center"/>
          </w:tcPr>
          <w:p w14:paraId="3A5FA503"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szCs w:val="18"/>
              </w:rPr>
              <w:t>0,00%</w:t>
            </w:r>
          </w:p>
        </w:tc>
      </w:tr>
      <w:tr w:rsidR="00773527" w:rsidRPr="007F400A" w14:paraId="681BFCFC" w14:textId="77777777" w:rsidTr="00D91871">
        <w:trPr>
          <w:trHeight w:val="344"/>
        </w:trPr>
        <w:tc>
          <w:tcPr>
            <w:tcW w:w="3094" w:type="dxa"/>
            <w:shd w:val="clear" w:color="auto" w:fill="auto"/>
            <w:vAlign w:val="center"/>
          </w:tcPr>
          <w:p w14:paraId="76A0D4D6"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Opolskie</w:t>
            </w:r>
          </w:p>
        </w:tc>
        <w:tc>
          <w:tcPr>
            <w:tcW w:w="1374" w:type="dxa"/>
            <w:shd w:val="clear" w:color="auto" w:fill="auto"/>
            <w:noWrap/>
            <w:vAlign w:val="center"/>
          </w:tcPr>
          <w:p w14:paraId="131200F8"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744A58">
              <w:rPr>
                <w:rFonts w:ascii="Times New Roman" w:hAnsi="Times New Roman" w:cs="Times New Roman"/>
                <w:sz w:val="18"/>
                <w:szCs w:val="18"/>
              </w:rPr>
              <w:t>8</w:t>
            </w:r>
          </w:p>
        </w:tc>
        <w:tc>
          <w:tcPr>
            <w:tcW w:w="2057" w:type="dxa"/>
            <w:shd w:val="clear" w:color="auto" w:fill="auto"/>
            <w:noWrap/>
            <w:vAlign w:val="center"/>
          </w:tcPr>
          <w:p w14:paraId="34BBF1CD"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744A58">
              <w:rPr>
                <w:rFonts w:ascii="Times New Roman" w:hAnsi="Times New Roman" w:cs="Times New Roman"/>
                <w:sz w:val="18"/>
                <w:szCs w:val="18"/>
              </w:rPr>
              <w:t>4</w:t>
            </w:r>
          </w:p>
        </w:tc>
        <w:tc>
          <w:tcPr>
            <w:tcW w:w="2467" w:type="dxa"/>
            <w:shd w:val="clear" w:color="auto" w:fill="auto"/>
            <w:noWrap/>
            <w:vAlign w:val="center"/>
          </w:tcPr>
          <w:p w14:paraId="293818CB"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szCs w:val="18"/>
              </w:rPr>
              <w:t>50,00%</w:t>
            </w:r>
          </w:p>
        </w:tc>
      </w:tr>
      <w:tr w:rsidR="00773527" w:rsidRPr="007F400A" w14:paraId="7C41C99E" w14:textId="77777777" w:rsidTr="00D91871">
        <w:trPr>
          <w:trHeight w:val="344"/>
        </w:trPr>
        <w:tc>
          <w:tcPr>
            <w:tcW w:w="3094" w:type="dxa"/>
            <w:shd w:val="clear" w:color="auto" w:fill="auto"/>
            <w:vAlign w:val="center"/>
          </w:tcPr>
          <w:p w14:paraId="14C53634"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Podkarpackie</w:t>
            </w:r>
          </w:p>
        </w:tc>
        <w:tc>
          <w:tcPr>
            <w:tcW w:w="1374" w:type="dxa"/>
            <w:shd w:val="clear" w:color="auto" w:fill="auto"/>
            <w:noWrap/>
            <w:vAlign w:val="center"/>
          </w:tcPr>
          <w:p w14:paraId="6CBD1685"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744A58">
              <w:rPr>
                <w:rFonts w:ascii="Times New Roman" w:hAnsi="Times New Roman" w:cs="Times New Roman"/>
                <w:sz w:val="18"/>
                <w:szCs w:val="18"/>
              </w:rPr>
              <w:t>37</w:t>
            </w:r>
          </w:p>
        </w:tc>
        <w:tc>
          <w:tcPr>
            <w:tcW w:w="2057" w:type="dxa"/>
            <w:shd w:val="clear" w:color="auto" w:fill="auto"/>
            <w:noWrap/>
            <w:vAlign w:val="center"/>
          </w:tcPr>
          <w:p w14:paraId="2D15DDE9"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744A58">
              <w:rPr>
                <w:rFonts w:ascii="Times New Roman" w:hAnsi="Times New Roman" w:cs="Times New Roman"/>
                <w:sz w:val="18"/>
                <w:szCs w:val="18"/>
              </w:rPr>
              <w:t>12</w:t>
            </w:r>
          </w:p>
        </w:tc>
        <w:tc>
          <w:tcPr>
            <w:tcW w:w="2467" w:type="dxa"/>
            <w:shd w:val="clear" w:color="auto" w:fill="auto"/>
            <w:noWrap/>
            <w:vAlign w:val="center"/>
          </w:tcPr>
          <w:p w14:paraId="3AEEF535"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szCs w:val="18"/>
              </w:rPr>
              <w:t>32,43%</w:t>
            </w:r>
          </w:p>
        </w:tc>
      </w:tr>
      <w:tr w:rsidR="00773527" w:rsidRPr="007F400A" w14:paraId="3A0A8FAF" w14:textId="77777777" w:rsidTr="00D91871">
        <w:trPr>
          <w:trHeight w:val="344"/>
        </w:trPr>
        <w:tc>
          <w:tcPr>
            <w:tcW w:w="3094" w:type="dxa"/>
            <w:shd w:val="clear" w:color="auto" w:fill="auto"/>
            <w:vAlign w:val="center"/>
          </w:tcPr>
          <w:p w14:paraId="02E0AAAA"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Podlaskie</w:t>
            </w:r>
          </w:p>
        </w:tc>
        <w:tc>
          <w:tcPr>
            <w:tcW w:w="1374" w:type="dxa"/>
            <w:shd w:val="clear" w:color="auto" w:fill="auto"/>
            <w:noWrap/>
            <w:vAlign w:val="center"/>
          </w:tcPr>
          <w:p w14:paraId="7FFFDD66"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744A58">
              <w:rPr>
                <w:rFonts w:ascii="Times New Roman" w:hAnsi="Times New Roman" w:cs="Times New Roman"/>
                <w:sz w:val="18"/>
                <w:szCs w:val="18"/>
              </w:rPr>
              <w:t>27</w:t>
            </w:r>
          </w:p>
        </w:tc>
        <w:tc>
          <w:tcPr>
            <w:tcW w:w="2057" w:type="dxa"/>
            <w:shd w:val="clear" w:color="auto" w:fill="auto"/>
            <w:noWrap/>
            <w:vAlign w:val="center"/>
          </w:tcPr>
          <w:p w14:paraId="15DD8141"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744A58">
              <w:rPr>
                <w:rFonts w:ascii="Times New Roman" w:hAnsi="Times New Roman" w:cs="Times New Roman"/>
                <w:sz w:val="18"/>
                <w:szCs w:val="18"/>
              </w:rPr>
              <w:t>21</w:t>
            </w:r>
          </w:p>
        </w:tc>
        <w:tc>
          <w:tcPr>
            <w:tcW w:w="2467" w:type="dxa"/>
            <w:shd w:val="clear" w:color="auto" w:fill="auto"/>
            <w:noWrap/>
            <w:vAlign w:val="center"/>
          </w:tcPr>
          <w:p w14:paraId="6DB45415"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szCs w:val="18"/>
              </w:rPr>
              <w:t>77,78%</w:t>
            </w:r>
          </w:p>
        </w:tc>
      </w:tr>
      <w:tr w:rsidR="00773527" w:rsidRPr="007F400A" w14:paraId="4B921396" w14:textId="77777777" w:rsidTr="00D91871">
        <w:trPr>
          <w:trHeight w:val="344"/>
        </w:trPr>
        <w:tc>
          <w:tcPr>
            <w:tcW w:w="3094" w:type="dxa"/>
            <w:shd w:val="clear" w:color="auto" w:fill="auto"/>
            <w:vAlign w:val="center"/>
          </w:tcPr>
          <w:p w14:paraId="4236EF56"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Pomorskie</w:t>
            </w:r>
          </w:p>
        </w:tc>
        <w:tc>
          <w:tcPr>
            <w:tcW w:w="1374" w:type="dxa"/>
            <w:shd w:val="clear" w:color="auto" w:fill="auto"/>
            <w:noWrap/>
            <w:vAlign w:val="center"/>
          </w:tcPr>
          <w:p w14:paraId="50888A03"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BB3F8E">
              <w:rPr>
                <w:rFonts w:ascii="Times New Roman" w:hAnsi="Times New Roman" w:cs="Times New Roman"/>
                <w:sz w:val="18"/>
                <w:szCs w:val="18"/>
              </w:rPr>
              <w:t>42</w:t>
            </w:r>
          </w:p>
        </w:tc>
        <w:tc>
          <w:tcPr>
            <w:tcW w:w="2057" w:type="dxa"/>
            <w:shd w:val="clear" w:color="auto" w:fill="auto"/>
            <w:noWrap/>
            <w:vAlign w:val="center"/>
          </w:tcPr>
          <w:p w14:paraId="212371C7"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BB3F8E">
              <w:rPr>
                <w:rFonts w:ascii="Times New Roman" w:hAnsi="Times New Roman" w:cs="Times New Roman"/>
                <w:sz w:val="18"/>
                <w:szCs w:val="18"/>
              </w:rPr>
              <w:t>21</w:t>
            </w:r>
          </w:p>
        </w:tc>
        <w:tc>
          <w:tcPr>
            <w:tcW w:w="2467" w:type="dxa"/>
            <w:shd w:val="clear" w:color="auto" w:fill="auto"/>
            <w:noWrap/>
            <w:vAlign w:val="center"/>
          </w:tcPr>
          <w:p w14:paraId="67D0AD37"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BB3F8E">
              <w:rPr>
                <w:rFonts w:ascii="Times New Roman" w:hAnsi="Times New Roman" w:cs="Times New Roman"/>
                <w:sz w:val="18"/>
                <w:szCs w:val="18"/>
              </w:rPr>
              <w:t>50,00%</w:t>
            </w:r>
          </w:p>
        </w:tc>
      </w:tr>
      <w:tr w:rsidR="00773527" w:rsidRPr="007F400A" w14:paraId="3A676402" w14:textId="77777777" w:rsidTr="00D91871">
        <w:trPr>
          <w:trHeight w:val="344"/>
        </w:trPr>
        <w:tc>
          <w:tcPr>
            <w:tcW w:w="3094" w:type="dxa"/>
            <w:shd w:val="clear" w:color="auto" w:fill="auto"/>
            <w:vAlign w:val="center"/>
          </w:tcPr>
          <w:p w14:paraId="3E063DF4"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Śląskie</w:t>
            </w:r>
          </w:p>
        </w:tc>
        <w:tc>
          <w:tcPr>
            <w:tcW w:w="1374" w:type="dxa"/>
            <w:shd w:val="clear" w:color="auto" w:fill="auto"/>
            <w:noWrap/>
            <w:vAlign w:val="center"/>
          </w:tcPr>
          <w:p w14:paraId="10839907"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744A58">
              <w:rPr>
                <w:rFonts w:ascii="Times New Roman" w:hAnsi="Times New Roman" w:cs="Times New Roman"/>
                <w:sz w:val="18"/>
                <w:szCs w:val="18"/>
              </w:rPr>
              <w:t>63</w:t>
            </w:r>
          </w:p>
        </w:tc>
        <w:tc>
          <w:tcPr>
            <w:tcW w:w="2057" w:type="dxa"/>
            <w:shd w:val="clear" w:color="auto" w:fill="auto"/>
            <w:noWrap/>
            <w:vAlign w:val="center"/>
          </w:tcPr>
          <w:p w14:paraId="23925DCA"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744A58">
              <w:rPr>
                <w:rFonts w:ascii="Times New Roman" w:hAnsi="Times New Roman" w:cs="Times New Roman"/>
                <w:sz w:val="18"/>
                <w:szCs w:val="18"/>
              </w:rPr>
              <w:t>21</w:t>
            </w:r>
          </w:p>
        </w:tc>
        <w:tc>
          <w:tcPr>
            <w:tcW w:w="2467" w:type="dxa"/>
            <w:shd w:val="clear" w:color="auto" w:fill="auto"/>
            <w:noWrap/>
            <w:vAlign w:val="center"/>
          </w:tcPr>
          <w:p w14:paraId="4124C35B"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szCs w:val="18"/>
              </w:rPr>
              <w:t>33,33%</w:t>
            </w:r>
          </w:p>
        </w:tc>
      </w:tr>
      <w:tr w:rsidR="00773527" w:rsidRPr="007F400A" w14:paraId="0AD7B9D3" w14:textId="77777777" w:rsidTr="00D91871">
        <w:trPr>
          <w:trHeight w:val="344"/>
        </w:trPr>
        <w:tc>
          <w:tcPr>
            <w:tcW w:w="3094" w:type="dxa"/>
            <w:shd w:val="clear" w:color="auto" w:fill="auto"/>
            <w:vAlign w:val="center"/>
          </w:tcPr>
          <w:p w14:paraId="2B74746C"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Świętokrzyskie</w:t>
            </w:r>
          </w:p>
        </w:tc>
        <w:tc>
          <w:tcPr>
            <w:tcW w:w="1374" w:type="dxa"/>
            <w:shd w:val="clear" w:color="auto" w:fill="auto"/>
            <w:noWrap/>
            <w:vAlign w:val="center"/>
          </w:tcPr>
          <w:p w14:paraId="2DA328F4"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BB3F8E">
              <w:rPr>
                <w:rFonts w:ascii="Times New Roman" w:hAnsi="Times New Roman" w:cs="Times New Roman"/>
                <w:sz w:val="18"/>
                <w:szCs w:val="18"/>
              </w:rPr>
              <w:t>100</w:t>
            </w:r>
          </w:p>
        </w:tc>
        <w:tc>
          <w:tcPr>
            <w:tcW w:w="2057" w:type="dxa"/>
            <w:shd w:val="clear" w:color="auto" w:fill="auto"/>
            <w:noWrap/>
            <w:vAlign w:val="center"/>
          </w:tcPr>
          <w:p w14:paraId="6766EAAF"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744A58">
              <w:rPr>
                <w:rFonts w:ascii="Times New Roman" w:hAnsi="Times New Roman" w:cs="Times New Roman"/>
                <w:sz w:val="18"/>
                <w:szCs w:val="18"/>
              </w:rPr>
              <w:t>70</w:t>
            </w:r>
          </w:p>
        </w:tc>
        <w:tc>
          <w:tcPr>
            <w:tcW w:w="2467" w:type="dxa"/>
            <w:shd w:val="clear" w:color="auto" w:fill="auto"/>
            <w:noWrap/>
            <w:vAlign w:val="center"/>
          </w:tcPr>
          <w:p w14:paraId="724637CD"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szCs w:val="18"/>
              </w:rPr>
              <w:t>70,00%</w:t>
            </w:r>
          </w:p>
        </w:tc>
      </w:tr>
      <w:tr w:rsidR="00773527" w:rsidRPr="007F400A" w14:paraId="12F89DDD" w14:textId="77777777" w:rsidTr="00D91871">
        <w:trPr>
          <w:trHeight w:val="344"/>
        </w:trPr>
        <w:tc>
          <w:tcPr>
            <w:tcW w:w="3094" w:type="dxa"/>
            <w:shd w:val="clear" w:color="auto" w:fill="auto"/>
            <w:vAlign w:val="center"/>
          </w:tcPr>
          <w:p w14:paraId="11007AFE"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Warmińsko-mazurskie</w:t>
            </w:r>
          </w:p>
        </w:tc>
        <w:tc>
          <w:tcPr>
            <w:tcW w:w="1374" w:type="dxa"/>
            <w:shd w:val="clear" w:color="auto" w:fill="auto"/>
            <w:noWrap/>
            <w:vAlign w:val="center"/>
          </w:tcPr>
          <w:p w14:paraId="5A7B239C"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744A58">
              <w:rPr>
                <w:rFonts w:ascii="Times New Roman" w:hAnsi="Times New Roman" w:cs="Times New Roman"/>
                <w:sz w:val="18"/>
                <w:szCs w:val="18"/>
              </w:rPr>
              <w:t>7</w:t>
            </w:r>
          </w:p>
        </w:tc>
        <w:tc>
          <w:tcPr>
            <w:tcW w:w="2057" w:type="dxa"/>
            <w:shd w:val="clear" w:color="auto" w:fill="auto"/>
            <w:noWrap/>
            <w:vAlign w:val="center"/>
          </w:tcPr>
          <w:p w14:paraId="4112007F"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744A58">
              <w:rPr>
                <w:rFonts w:ascii="Times New Roman" w:hAnsi="Times New Roman" w:cs="Times New Roman"/>
                <w:sz w:val="18"/>
                <w:szCs w:val="18"/>
              </w:rPr>
              <w:t>6</w:t>
            </w:r>
          </w:p>
        </w:tc>
        <w:tc>
          <w:tcPr>
            <w:tcW w:w="2467" w:type="dxa"/>
            <w:shd w:val="clear" w:color="auto" w:fill="auto"/>
            <w:noWrap/>
            <w:vAlign w:val="center"/>
          </w:tcPr>
          <w:p w14:paraId="6AA9E665"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szCs w:val="18"/>
              </w:rPr>
              <w:t>85,71%</w:t>
            </w:r>
          </w:p>
        </w:tc>
      </w:tr>
      <w:tr w:rsidR="00773527" w:rsidRPr="007F400A" w14:paraId="1AAF82C6" w14:textId="77777777" w:rsidTr="00D91871">
        <w:trPr>
          <w:trHeight w:val="344"/>
        </w:trPr>
        <w:tc>
          <w:tcPr>
            <w:tcW w:w="3094" w:type="dxa"/>
            <w:shd w:val="clear" w:color="auto" w:fill="auto"/>
            <w:vAlign w:val="center"/>
          </w:tcPr>
          <w:p w14:paraId="66CCF3B6"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Wielkopolskie</w:t>
            </w:r>
          </w:p>
        </w:tc>
        <w:tc>
          <w:tcPr>
            <w:tcW w:w="1374" w:type="dxa"/>
            <w:shd w:val="clear" w:color="auto" w:fill="auto"/>
            <w:noWrap/>
            <w:vAlign w:val="center"/>
          </w:tcPr>
          <w:p w14:paraId="5FAE7172"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744A58">
              <w:rPr>
                <w:rFonts w:ascii="Times New Roman" w:hAnsi="Times New Roman" w:cs="Times New Roman"/>
                <w:sz w:val="18"/>
                <w:szCs w:val="18"/>
              </w:rPr>
              <w:t>36</w:t>
            </w:r>
          </w:p>
        </w:tc>
        <w:tc>
          <w:tcPr>
            <w:tcW w:w="2057" w:type="dxa"/>
            <w:shd w:val="clear" w:color="auto" w:fill="auto"/>
            <w:noWrap/>
            <w:vAlign w:val="center"/>
          </w:tcPr>
          <w:p w14:paraId="42430492"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744A58">
              <w:rPr>
                <w:rFonts w:ascii="Times New Roman" w:hAnsi="Times New Roman" w:cs="Times New Roman"/>
                <w:sz w:val="18"/>
                <w:szCs w:val="18"/>
              </w:rPr>
              <w:t>30</w:t>
            </w:r>
          </w:p>
        </w:tc>
        <w:tc>
          <w:tcPr>
            <w:tcW w:w="2467" w:type="dxa"/>
            <w:shd w:val="clear" w:color="auto" w:fill="auto"/>
            <w:noWrap/>
            <w:vAlign w:val="center"/>
          </w:tcPr>
          <w:p w14:paraId="20132CEF"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szCs w:val="18"/>
              </w:rPr>
              <w:t>83,33%</w:t>
            </w:r>
          </w:p>
        </w:tc>
      </w:tr>
      <w:tr w:rsidR="00773527" w:rsidRPr="007F400A" w14:paraId="0A92E835" w14:textId="77777777" w:rsidTr="00D91871">
        <w:trPr>
          <w:trHeight w:val="344"/>
        </w:trPr>
        <w:tc>
          <w:tcPr>
            <w:tcW w:w="3094" w:type="dxa"/>
            <w:shd w:val="clear" w:color="auto" w:fill="auto"/>
            <w:vAlign w:val="center"/>
          </w:tcPr>
          <w:p w14:paraId="5A38B760" w14:textId="77777777" w:rsidR="00773527" w:rsidRPr="007F400A" w:rsidRDefault="00773527"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Zachodniopomorskie</w:t>
            </w:r>
          </w:p>
        </w:tc>
        <w:tc>
          <w:tcPr>
            <w:tcW w:w="1374" w:type="dxa"/>
            <w:shd w:val="clear" w:color="auto" w:fill="auto"/>
            <w:noWrap/>
            <w:vAlign w:val="center"/>
          </w:tcPr>
          <w:p w14:paraId="4CDFC8B9"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744A58">
              <w:rPr>
                <w:rFonts w:ascii="Times New Roman" w:hAnsi="Times New Roman" w:cs="Times New Roman"/>
                <w:sz w:val="18"/>
                <w:szCs w:val="18"/>
              </w:rPr>
              <w:t>7</w:t>
            </w:r>
          </w:p>
        </w:tc>
        <w:tc>
          <w:tcPr>
            <w:tcW w:w="2057" w:type="dxa"/>
            <w:shd w:val="clear" w:color="auto" w:fill="auto"/>
            <w:noWrap/>
            <w:vAlign w:val="center"/>
          </w:tcPr>
          <w:p w14:paraId="40243BCC" w14:textId="77777777" w:rsidR="00773527" w:rsidRPr="00616B85" w:rsidRDefault="00773527" w:rsidP="00056EE7">
            <w:pPr>
              <w:spacing w:after="0" w:line="300" w:lineRule="atLeast"/>
              <w:jc w:val="center"/>
              <w:rPr>
                <w:rFonts w:ascii="Times New Roman" w:eastAsia="Times New Roman" w:hAnsi="Times New Roman" w:cs="Times New Roman"/>
                <w:sz w:val="18"/>
                <w:szCs w:val="18"/>
              </w:rPr>
            </w:pPr>
            <w:r w:rsidRPr="00744A58">
              <w:rPr>
                <w:rFonts w:ascii="Times New Roman" w:hAnsi="Times New Roman" w:cs="Times New Roman"/>
                <w:sz w:val="18"/>
                <w:szCs w:val="18"/>
              </w:rPr>
              <w:t>3</w:t>
            </w:r>
          </w:p>
        </w:tc>
        <w:tc>
          <w:tcPr>
            <w:tcW w:w="2467" w:type="dxa"/>
            <w:shd w:val="clear" w:color="auto" w:fill="auto"/>
            <w:noWrap/>
            <w:vAlign w:val="center"/>
          </w:tcPr>
          <w:p w14:paraId="4916CBBD" w14:textId="77777777" w:rsidR="00773527" w:rsidRPr="00616B85" w:rsidRDefault="00773527"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szCs w:val="18"/>
              </w:rPr>
              <w:t>42,86%</w:t>
            </w:r>
          </w:p>
        </w:tc>
      </w:tr>
      <w:tr w:rsidR="00773527" w:rsidRPr="007F400A" w14:paraId="2BBE7A9F" w14:textId="77777777" w:rsidTr="00D91871">
        <w:trPr>
          <w:trHeight w:val="344"/>
        </w:trPr>
        <w:tc>
          <w:tcPr>
            <w:tcW w:w="3094" w:type="dxa"/>
            <w:shd w:val="clear" w:color="auto" w:fill="auto"/>
            <w:noWrap/>
            <w:vAlign w:val="center"/>
          </w:tcPr>
          <w:p w14:paraId="40E2E4DD" w14:textId="77777777" w:rsidR="00773527" w:rsidRPr="007F400A" w:rsidRDefault="00773527" w:rsidP="00056EE7">
            <w:pPr>
              <w:spacing w:after="0" w:line="300" w:lineRule="atLeast"/>
              <w:rPr>
                <w:rFonts w:ascii="Times New Roman" w:eastAsia="Times New Roman" w:hAnsi="Times New Roman" w:cs="Times New Roman"/>
                <w:b/>
                <w:color w:val="000000"/>
                <w:sz w:val="18"/>
                <w:szCs w:val="18"/>
              </w:rPr>
            </w:pPr>
            <w:r w:rsidRPr="007F400A">
              <w:rPr>
                <w:rFonts w:ascii="Times New Roman" w:eastAsia="Times New Roman" w:hAnsi="Times New Roman" w:cs="Times New Roman"/>
                <w:b/>
                <w:color w:val="000000"/>
                <w:sz w:val="18"/>
                <w:szCs w:val="18"/>
              </w:rPr>
              <w:t>Polska</w:t>
            </w:r>
          </w:p>
        </w:tc>
        <w:tc>
          <w:tcPr>
            <w:tcW w:w="1374" w:type="dxa"/>
            <w:shd w:val="clear" w:color="auto" w:fill="auto"/>
            <w:noWrap/>
            <w:vAlign w:val="center"/>
          </w:tcPr>
          <w:p w14:paraId="5B72C12F" w14:textId="77777777" w:rsidR="00773527" w:rsidRPr="00616B85" w:rsidRDefault="00773527" w:rsidP="00056EE7">
            <w:pPr>
              <w:spacing w:after="0" w:line="300" w:lineRule="atLeast"/>
              <w:jc w:val="center"/>
              <w:rPr>
                <w:rFonts w:ascii="Times New Roman" w:eastAsia="Times New Roman" w:hAnsi="Times New Roman" w:cs="Times New Roman"/>
                <w:b/>
                <w:color w:val="000000"/>
                <w:sz w:val="18"/>
                <w:szCs w:val="18"/>
              </w:rPr>
            </w:pPr>
            <w:r w:rsidRPr="00744A58">
              <w:rPr>
                <w:rFonts w:ascii="Times New Roman" w:hAnsi="Times New Roman" w:cs="Times New Roman"/>
                <w:b/>
                <w:sz w:val="18"/>
                <w:szCs w:val="18"/>
              </w:rPr>
              <w:t>477</w:t>
            </w:r>
          </w:p>
        </w:tc>
        <w:tc>
          <w:tcPr>
            <w:tcW w:w="2057" w:type="dxa"/>
            <w:shd w:val="clear" w:color="auto" w:fill="auto"/>
            <w:noWrap/>
            <w:vAlign w:val="center"/>
          </w:tcPr>
          <w:p w14:paraId="5C6A0C2D" w14:textId="77777777" w:rsidR="00773527" w:rsidRPr="00616B85" w:rsidRDefault="00773527" w:rsidP="00056EE7">
            <w:pPr>
              <w:spacing w:after="0" w:line="300" w:lineRule="atLeast"/>
              <w:jc w:val="center"/>
              <w:rPr>
                <w:rFonts w:ascii="Times New Roman" w:eastAsia="Times New Roman" w:hAnsi="Times New Roman" w:cs="Times New Roman"/>
                <w:b/>
                <w:color w:val="000000"/>
                <w:sz w:val="18"/>
                <w:szCs w:val="18"/>
              </w:rPr>
            </w:pPr>
            <w:r w:rsidRPr="00744A58">
              <w:rPr>
                <w:rFonts w:ascii="Times New Roman" w:hAnsi="Times New Roman" w:cs="Times New Roman"/>
                <w:b/>
                <w:sz w:val="18"/>
                <w:szCs w:val="18"/>
              </w:rPr>
              <w:t>214</w:t>
            </w:r>
          </w:p>
        </w:tc>
        <w:tc>
          <w:tcPr>
            <w:tcW w:w="2467" w:type="dxa"/>
            <w:shd w:val="clear" w:color="auto" w:fill="auto"/>
            <w:noWrap/>
            <w:vAlign w:val="center"/>
          </w:tcPr>
          <w:p w14:paraId="6B620DF6" w14:textId="77777777" w:rsidR="00773527" w:rsidRPr="00616B85" w:rsidRDefault="00773527" w:rsidP="00056EE7">
            <w:pPr>
              <w:spacing w:after="0" w:line="300" w:lineRule="atLeast"/>
              <w:jc w:val="center"/>
              <w:rPr>
                <w:rFonts w:ascii="Times New Roman" w:eastAsia="Times New Roman" w:hAnsi="Times New Roman" w:cs="Times New Roman"/>
                <w:b/>
                <w:color w:val="000000"/>
                <w:sz w:val="18"/>
                <w:szCs w:val="18"/>
              </w:rPr>
            </w:pPr>
            <w:r w:rsidRPr="00744A58">
              <w:rPr>
                <w:rFonts w:ascii="Times New Roman" w:hAnsi="Times New Roman" w:cs="Times New Roman"/>
                <w:b/>
                <w:sz w:val="18"/>
                <w:szCs w:val="18"/>
              </w:rPr>
              <w:t>44,86%</w:t>
            </w:r>
          </w:p>
        </w:tc>
      </w:tr>
    </w:tbl>
    <w:p w14:paraId="02A8CA84" w14:textId="45730119" w:rsidR="00895F16" w:rsidRPr="007F400A" w:rsidRDefault="00773527" w:rsidP="009A5FA9">
      <w:pPr>
        <w:spacing w:before="120" w:after="0" w:line="300" w:lineRule="atLeast"/>
        <w:ind w:firstLine="567"/>
        <w:jc w:val="both"/>
        <w:rPr>
          <w:rFonts w:ascii="Times New Roman" w:eastAsia="Times New Roman" w:hAnsi="Times New Roman" w:cs="Times New Roman"/>
          <w:sz w:val="24"/>
          <w:szCs w:val="24"/>
        </w:rPr>
      </w:pPr>
      <w:r w:rsidRPr="007F400A">
        <w:rPr>
          <w:rFonts w:ascii="Times New Roman" w:eastAsia="Times New Roman" w:hAnsi="Times New Roman" w:cs="Times New Roman"/>
          <w:sz w:val="24"/>
          <w:szCs w:val="24"/>
        </w:rPr>
        <w:t xml:space="preserve">W </w:t>
      </w:r>
      <w:r>
        <w:rPr>
          <w:rFonts w:ascii="Times New Roman" w:eastAsia="Times New Roman" w:hAnsi="Times New Roman" w:cs="Times New Roman"/>
          <w:sz w:val="24"/>
          <w:szCs w:val="24"/>
        </w:rPr>
        <w:t>2022</w:t>
      </w:r>
      <w:r w:rsidRPr="007F400A">
        <w:rPr>
          <w:rFonts w:ascii="Times New Roman" w:eastAsia="Times New Roman" w:hAnsi="Times New Roman" w:cs="Times New Roman"/>
          <w:sz w:val="24"/>
          <w:szCs w:val="24"/>
        </w:rPr>
        <w:t xml:space="preserve"> r. przeprowadzono </w:t>
      </w:r>
      <w:r>
        <w:rPr>
          <w:rFonts w:ascii="Times New Roman" w:eastAsia="Times New Roman" w:hAnsi="Times New Roman" w:cs="Times New Roman"/>
          <w:sz w:val="24"/>
          <w:szCs w:val="24"/>
        </w:rPr>
        <w:t>477</w:t>
      </w:r>
      <w:r w:rsidRPr="007F400A">
        <w:rPr>
          <w:rFonts w:ascii="Times New Roman" w:eastAsia="Times New Roman" w:hAnsi="Times New Roman" w:cs="Times New Roman"/>
          <w:sz w:val="24"/>
          <w:szCs w:val="24"/>
        </w:rPr>
        <w:t xml:space="preserve"> kontroli dokumentacyjnych bez ustalonego podmiotu. Najwięcej kontroli przeprowadzono w woj. </w:t>
      </w:r>
      <w:r>
        <w:rPr>
          <w:rFonts w:ascii="Times New Roman" w:eastAsia="Times New Roman" w:hAnsi="Times New Roman" w:cs="Times New Roman"/>
          <w:sz w:val="24"/>
          <w:szCs w:val="24"/>
        </w:rPr>
        <w:t>świętokrzyskim</w:t>
      </w:r>
      <w:r w:rsidRPr="007F400A">
        <w:rPr>
          <w:rFonts w:ascii="Times New Roman" w:eastAsia="Times New Roman" w:hAnsi="Times New Roman" w:cs="Times New Roman"/>
          <w:sz w:val="24"/>
          <w:szCs w:val="24"/>
        </w:rPr>
        <w:t xml:space="preserve"> oraz </w:t>
      </w:r>
      <w:r>
        <w:rPr>
          <w:rFonts w:ascii="Times New Roman" w:eastAsia="Times New Roman" w:hAnsi="Times New Roman" w:cs="Times New Roman"/>
          <w:sz w:val="24"/>
          <w:szCs w:val="24"/>
        </w:rPr>
        <w:t>śląskim</w:t>
      </w:r>
      <w:r w:rsidRPr="007F400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natomiast w woj. łódzkim nie przeprowadzono żadnej kontroli dokumentacyjnej bez ustalonego podmiotu</w:t>
      </w:r>
      <w:r w:rsidR="00895F16" w:rsidRPr="007F400A">
        <w:rPr>
          <w:rFonts w:ascii="Times New Roman" w:eastAsia="Times New Roman" w:hAnsi="Times New Roman" w:cs="Times New Roman"/>
          <w:sz w:val="24"/>
          <w:szCs w:val="24"/>
        </w:rPr>
        <w:t>.</w:t>
      </w:r>
    </w:p>
    <w:p w14:paraId="206DE35A" w14:textId="77777777" w:rsidR="00895F16" w:rsidRPr="007F400A" w:rsidRDefault="00895F16" w:rsidP="00056EE7">
      <w:pPr>
        <w:spacing w:after="0" w:line="300" w:lineRule="atLeast"/>
        <w:jc w:val="both"/>
        <w:rPr>
          <w:rFonts w:ascii="Times New Roman" w:eastAsia="Times New Roman" w:hAnsi="Times New Roman" w:cs="Times New Roman"/>
          <w:sz w:val="24"/>
          <w:szCs w:val="24"/>
          <w:lang w:eastAsia="pl-PL"/>
        </w:rPr>
      </w:pPr>
    </w:p>
    <w:p w14:paraId="32B7AC6B" w14:textId="77777777" w:rsidR="00895F16" w:rsidRPr="007F400A" w:rsidRDefault="00895F16" w:rsidP="00056EE7">
      <w:pPr>
        <w:keepNext/>
        <w:spacing w:after="60" w:line="300" w:lineRule="atLeast"/>
        <w:outlineLvl w:val="0"/>
        <w:rPr>
          <w:rFonts w:ascii="Times New Roman" w:eastAsia="Times New Roman" w:hAnsi="Times New Roman" w:cs="Times New Roman"/>
          <w:b/>
          <w:bCs/>
          <w:sz w:val="24"/>
          <w:szCs w:val="24"/>
          <w:lang w:val="x-none" w:eastAsia="x-none"/>
        </w:rPr>
      </w:pPr>
      <w:bookmarkStart w:id="39" w:name="_Toc515437511"/>
      <w:bookmarkStart w:id="40" w:name="_Toc515437829"/>
      <w:bookmarkStart w:id="41" w:name="_Toc5878530"/>
      <w:bookmarkStart w:id="42" w:name="_Toc36732552"/>
      <w:bookmarkStart w:id="43" w:name="_Toc135935579"/>
      <w:r w:rsidRPr="007F400A">
        <w:rPr>
          <w:rFonts w:ascii="Times New Roman" w:eastAsia="Times New Roman" w:hAnsi="Times New Roman" w:cs="Times New Roman"/>
          <w:b/>
          <w:bCs/>
          <w:sz w:val="24"/>
          <w:szCs w:val="24"/>
          <w:lang w:val="x-none" w:eastAsia="x-none"/>
        </w:rPr>
        <w:lastRenderedPageBreak/>
        <w:t>3.1 Kontrola zakładów I kategorii ryzyka</w:t>
      </w:r>
      <w:bookmarkEnd w:id="39"/>
      <w:bookmarkEnd w:id="40"/>
      <w:bookmarkEnd w:id="41"/>
      <w:bookmarkEnd w:id="42"/>
      <w:bookmarkEnd w:id="43"/>
    </w:p>
    <w:p w14:paraId="4B5E629B" w14:textId="77777777" w:rsidR="00895F16" w:rsidRPr="007F400A" w:rsidRDefault="00895F16" w:rsidP="00056EE7">
      <w:pPr>
        <w:keepNext/>
        <w:spacing w:after="120" w:line="300" w:lineRule="atLeast"/>
        <w:jc w:val="both"/>
        <w:outlineLvl w:val="0"/>
        <w:rPr>
          <w:rFonts w:ascii="Times New Roman" w:eastAsia="Times New Roman" w:hAnsi="Times New Roman" w:cs="Times New Roman"/>
          <w:b/>
          <w:bCs/>
          <w:sz w:val="24"/>
          <w:szCs w:val="24"/>
          <w:lang w:val="x-none" w:eastAsia="x-none"/>
        </w:rPr>
      </w:pPr>
      <w:bookmarkStart w:id="44" w:name="_Toc515437512"/>
      <w:bookmarkStart w:id="45" w:name="_Toc515437830"/>
      <w:bookmarkStart w:id="46" w:name="_Toc5878531"/>
      <w:bookmarkStart w:id="47" w:name="_Toc36732553"/>
      <w:bookmarkStart w:id="48" w:name="_Toc135935580"/>
      <w:r w:rsidRPr="007F400A">
        <w:rPr>
          <w:rFonts w:ascii="Times New Roman" w:eastAsia="Times New Roman" w:hAnsi="Times New Roman" w:cs="Times New Roman"/>
          <w:b/>
          <w:bCs/>
          <w:sz w:val="24"/>
          <w:szCs w:val="24"/>
          <w:lang w:val="x-none" w:eastAsia="x-none"/>
        </w:rPr>
        <w:t>3.1.1 Zakłady o dużym ryzyku wystąpienia poważnej awarii (ZDR)</w:t>
      </w:r>
      <w:bookmarkEnd w:id="44"/>
      <w:bookmarkEnd w:id="45"/>
      <w:bookmarkEnd w:id="46"/>
      <w:bookmarkEnd w:id="47"/>
      <w:bookmarkEnd w:id="48"/>
    </w:p>
    <w:p w14:paraId="0832E39E" w14:textId="77777777" w:rsidR="00773527" w:rsidRDefault="00773527" w:rsidP="009A5FA9">
      <w:pPr>
        <w:spacing w:after="60" w:line="300" w:lineRule="atLeast"/>
        <w:ind w:firstLine="567"/>
        <w:jc w:val="both"/>
        <w:rPr>
          <w:rFonts w:ascii="Times New Roman" w:hAnsi="Times New Roman" w:cs="Times New Roman"/>
          <w:sz w:val="24"/>
          <w:szCs w:val="24"/>
        </w:rPr>
      </w:pPr>
      <w:bookmarkStart w:id="49" w:name="_Hlk97732696"/>
      <w:r>
        <w:rPr>
          <w:rFonts w:ascii="Times New Roman" w:hAnsi="Times New Roman" w:cs="Times New Roman"/>
          <w:sz w:val="24"/>
          <w:szCs w:val="24"/>
        </w:rPr>
        <w:t>W 2022 roku wojewódzcy inspektorzy ochrony środowiska przeprowadzili 167 kontroli zakładów o dużym ryzyku wystąpienia poważnej awarii przemysłowej (ZDR). W przypadku 41 kontroli stwierdzono naruszenia przepisów ochrony środowiska, w tym:</w:t>
      </w:r>
    </w:p>
    <w:p w14:paraId="2352D867" w14:textId="77777777" w:rsidR="00773527" w:rsidRDefault="00773527" w:rsidP="00D34F97">
      <w:pPr>
        <w:numPr>
          <w:ilvl w:val="0"/>
          <w:numId w:val="70"/>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eastAsia="pl-PL"/>
        </w:rPr>
        <w:t xml:space="preserve">w przypadku </w:t>
      </w:r>
      <w:r>
        <w:rPr>
          <w:rFonts w:ascii="Times New Roman" w:eastAsia="Calibri" w:hAnsi="Times New Roman" w:cs="Times New Roman"/>
          <w:sz w:val="24"/>
          <w:szCs w:val="24"/>
          <w:lang w:val="x-none" w:eastAsia="pl-PL"/>
        </w:rPr>
        <w:t>3</w:t>
      </w:r>
      <w:r>
        <w:rPr>
          <w:rFonts w:ascii="Times New Roman" w:eastAsia="Calibri" w:hAnsi="Times New Roman" w:cs="Times New Roman"/>
          <w:sz w:val="24"/>
          <w:szCs w:val="24"/>
          <w:lang w:eastAsia="pl-PL"/>
        </w:rPr>
        <w:t>1 kontroli</w:t>
      </w:r>
      <w:r>
        <w:rPr>
          <w:rFonts w:ascii="Times New Roman" w:eastAsia="Calibri" w:hAnsi="Times New Roman" w:cs="Times New Roman"/>
          <w:sz w:val="24"/>
          <w:szCs w:val="24"/>
          <w:lang w:val="x-none" w:eastAsia="pl-PL"/>
        </w:rPr>
        <w:t xml:space="preserve"> (7</w:t>
      </w:r>
      <w:r>
        <w:rPr>
          <w:rFonts w:ascii="Times New Roman" w:eastAsia="Calibri" w:hAnsi="Times New Roman" w:cs="Times New Roman"/>
          <w:sz w:val="24"/>
          <w:szCs w:val="24"/>
          <w:lang w:eastAsia="pl-PL"/>
        </w:rPr>
        <w:t>6</w:t>
      </w:r>
      <w:r>
        <w:rPr>
          <w:rFonts w:ascii="Times New Roman" w:eastAsia="Calibri" w:hAnsi="Times New Roman" w:cs="Times New Roman"/>
          <w:sz w:val="24"/>
          <w:szCs w:val="24"/>
          <w:lang w:val="x-none" w:eastAsia="pl-PL"/>
        </w:rPr>
        <w:t>%) naruszenia formalne bez istotnego wpływu na środowisko,</w:t>
      </w:r>
    </w:p>
    <w:p w14:paraId="3C449D24" w14:textId="77777777" w:rsidR="00773527" w:rsidRDefault="00773527" w:rsidP="00D34F97">
      <w:pPr>
        <w:numPr>
          <w:ilvl w:val="0"/>
          <w:numId w:val="70"/>
        </w:numPr>
        <w:spacing w:after="12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eastAsia="pl-PL"/>
        </w:rPr>
        <w:t>w przypadku 10 kontroli </w:t>
      </w:r>
      <w:r>
        <w:rPr>
          <w:rFonts w:ascii="Times New Roman" w:eastAsia="Calibri" w:hAnsi="Times New Roman" w:cs="Times New Roman"/>
          <w:sz w:val="24"/>
          <w:szCs w:val="24"/>
          <w:lang w:val="x-none" w:eastAsia="pl-PL"/>
        </w:rPr>
        <w:t>(2</w:t>
      </w:r>
      <w:r>
        <w:rPr>
          <w:rFonts w:ascii="Times New Roman" w:eastAsia="Calibri" w:hAnsi="Times New Roman" w:cs="Times New Roman"/>
          <w:sz w:val="24"/>
          <w:szCs w:val="24"/>
          <w:lang w:eastAsia="pl-PL"/>
        </w:rPr>
        <w:t>4</w:t>
      </w:r>
      <w:r>
        <w:rPr>
          <w:rFonts w:ascii="Times New Roman" w:eastAsia="Calibri" w:hAnsi="Times New Roman" w:cs="Times New Roman"/>
          <w:sz w:val="24"/>
          <w:szCs w:val="24"/>
          <w:lang w:val="x-none" w:eastAsia="pl-PL"/>
        </w:rPr>
        <w:t>%) narusze</w:t>
      </w:r>
      <w:r>
        <w:rPr>
          <w:rFonts w:ascii="Times New Roman" w:eastAsia="Calibri" w:hAnsi="Times New Roman" w:cs="Times New Roman"/>
          <w:sz w:val="24"/>
          <w:szCs w:val="24"/>
          <w:lang w:eastAsia="pl-PL"/>
        </w:rPr>
        <w:t>nia</w:t>
      </w:r>
      <w:r>
        <w:rPr>
          <w:rFonts w:ascii="Times New Roman" w:eastAsia="Calibri" w:hAnsi="Times New Roman" w:cs="Times New Roman"/>
          <w:sz w:val="24"/>
          <w:szCs w:val="24"/>
          <w:lang w:val="x-none" w:eastAsia="pl-PL"/>
        </w:rPr>
        <w:t xml:space="preserve"> mogąc</w:t>
      </w:r>
      <w:r>
        <w:rPr>
          <w:rFonts w:ascii="Times New Roman" w:eastAsia="Calibri" w:hAnsi="Times New Roman" w:cs="Times New Roman"/>
          <w:sz w:val="24"/>
          <w:szCs w:val="24"/>
          <w:lang w:eastAsia="pl-PL"/>
        </w:rPr>
        <w:t>e</w:t>
      </w:r>
      <w:r>
        <w:rPr>
          <w:rFonts w:ascii="Times New Roman" w:eastAsia="Calibri" w:hAnsi="Times New Roman" w:cs="Times New Roman"/>
          <w:sz w:val="24"/>
          <w:szCs w:val="24"/>
          <w:lang w:val="x-none" w:eastAsia="pl-PL"/>
        </w:rPr>
        <w:t xml:space="preserve"> spowodować zagrożenie lub zanieczyszczenie środowiska. </w:t>
      </w:r>
    </w:p>
    <w:p w14:paraId="2F4D50FC" w14:textId="77777777" w:rsidR="00773527" w:rsidRDefault="00773527" w:rsidP="00056EE7">
      <w:pPr>
        <w:spacing w:after="120" w:line="300" w:lineRule="atLeast"/>
        <w:contextualSpacing/>
        <w:jc w:val="both"/>
        <w:rPr>
          <w:rFonts w:ascii="Times New Roman" w:hAnsi="Times New Roman" w:cs="Times New Roman"/>
          <w:sz w:val="24"/>
          <w:szCs w:val="24"/>
        </w:rPr>
      </w:pPr>
      <w:r>
        <w:rPr>
          <w:rFonts w:ascii="Times New Roman" w:hAnsi="Times New Roman" w:cs="Times New Roman"/>
          <w:sz w:val="24"/>
          <w:szCs w:val="24"/>
        </w:rPr>
        <w:t>Stwierdzone naruszenia dotyczyły m.in.:</w:t>
      </w:r>
    </w:p>
    <w:p w14:paraId="4428A465" w14:textId="77777777" w:rsidR="00773527" w:rsidRDefault="00773527" w:rsidP="00D34F97">
      <w:pPr>
        <w:numPr>
          <w:ilvl w:val="0"/>
          <w:numId w:val="69"/>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val="x-none" w:eastAsia="pl-PL"/>
        </w:rPr>
        <w:t>niezaktualizowania dokumentacji ZDR (zgłoszenie, program zapobiegania awariom, raport o bezpieczeństwie),</w:t>
      </w:r>
    </w:p>
    <w:p w14:paraId="66379027" w14:textId="77777777" w:rsidR="00773527" w:rsidRDefault="00773527" w:rsidP="00D34F97">
      <w:pPr>
        <w:numPr>
          <w:ilvl w:val="0"/>
          <w:numId w:val="69"/>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val="x-none" w:eastAsia="pl-PL"/>
        </w:rPr>
        <w:t xml:space="preserve">braku lub niewłaściwego/niepełnego wdrożenia systemu zarządzenia bezpieczeństwem, </w:t>
      </w:r>
    </w:p>
    <w:p w14:paraId="7CA223B9" w14:textId="0B07A125" w:rsidR="00773527" w:rsidRDefault="00773527" w:rsidP="00D34F97">
      <w:pPr>
        <w:numPr>
          <w:ilvl w:val="0"/>
          <w:numId w:val="69"/>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val="x-none" w:eastAsia="pl-PL"/>
        </w:rPr>
        <w:t>niepowiadomienia wojewódzkiego inspektora ochrony środowiska</w:t>
      </w:r>
      <w:r w:rsidR="009A5FA9">
        <w:rPr>
          <w:rFonts w:ascii="Times New Roman" w:eastAsia="Calibri" w:hAnsi="Times New Roman" w:cs="Times New Roman"/>
          <w:sz w:val="24"/>
          <w:szCs w:val="24"/>
          <w:lang w:eastAsia="pl-PL"/>
        </w:rPr>
        <w:t xml:space="preserve"> </w:t>
      </w:r>
      <w:r>
        <w:rPr>
          <w:rFonts w:ascii="Times New Roman" w:eastAsia="Calibri" w:hAnsi="Times New Roman" w:cs="Times New Roman"/>
          <w:sz w:val="24"/>
          <w:szCs w:val="24"/>
          <w:lang w:val="x-none" w:eastAsia="pl-PL"/>
        </w:rPr>
        <w:t>o przeprowadzonej analizie wewnętrznego planu operacyjno-ratowniczego,</w:t>
      </w:r>
    </w:p>
    <w:p w14:paraId="73415E33" w14:textId="77777777" w:rsidR="00773527" w:rsidRDefault="00773527" w:rsidP="00D34F97">
      <w:pPr>
        <w:numPr>
          <w:ilvl w:val="0"/>
          <w:numId w:val="69"/>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val="x-none" w:eastAsia="pl-PL"/>
        </w:rPr>
        <w:t>nieterminowego przedłożenia danych o rodzaju, kategorii i ilości substancji niebezpiecznych znajdujących się na terenie zakładu,</w:t>
      </w:r>
    </w:p>
    <w:p w14:paraId="2DC7BD3E" w14:textId="77777777" w:rsidR="00773527" w:rsidRDefault="00773527" w:rsidP="00D34F97">
      <w:pPr>
        <w:numPr>
          <w:ilvl w:val="0"/>
          <w:numId w:val="69"/>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val="x-none" w:eastAsia="pl-PL"/>
        </w:rPr>
        <w:t>niedopełnienia obowiązku natychmiastowego zawiadomienia wojewódzkiego inspektora ochrony środowiska o wystąpieniu poważnej awarii,</w:t>
      </w:r>
    </w:p>
    <w:p w14:paraId="62B3D0F5" w14:textId="77777777" w:rsidR="00773527" w:rsidRDefault="00773527" w:rsidP="00D34F97">
      <w:pPr>
        <w:numPr>
          <w:ilvl w:val="0"/>
          <w:numId w:val="69"/>
        </w:numPr>
        <w:spacing w:after="60" w:line="300" w:lineRule="atLeast"/>
        <w:ind w:left="924" w:hanging="357"/>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val="x-none" w:eastAsia="pl-PL"/>
        </w:rPr>
        <w:t>niespełnienia wymogów w zakresie udostępniania społeczeństwu informacji o zagrożeniach poważnymi awariami.</w:t>
      </w:r>
    </w:p>
    <w:p w14:paraId="27643440" w14:textId="77777777" w:rsidR="00773527" w:rsidRDefault="00773527" w:rsidP="00F3413C">
      <w:pPr>
        <w:spacing w:after="60" w:line="300" w:lineRule="atLeast"/>
        <w:jc w:val="both"/>
        <w:rPr>
          <w:rFonts w:ascii="Times New Roman" w:hAnsi="Times New Roman" w:cs="Times New Roman"/>
          <w:sz w:val="24"/>
          <w:szCs w:val="24"/>
        </w:rPr>
      </w:pPr>
      <w:r>
        <w:rPr>
          <w:rFonts w:ascii="Times New Roman" w:hAnsi="Times New Roman" w:cs="Times New Roman"/>
          <w:sz w:val="24"/>
          <w:szCs w:val="24"/>
        </w:rPr>
        <w:t>W związku ze stwierdzonymi naruszeniami podjęto następujące działania:</w:t>
      </w:r>
    </w:p>
    <w:p w14:paraId="4A354EA5" w14:textId="77777777" w:rsidR="00773527" w:rsidRDefault="00773527" w:rsidP="00D34F97">
      <w:pPr>
        <w:numPr>
          <w:ilvl w:val="0"/>
          <w:numId w:val="68"/>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val="x-none" w:eastAsia="pl-PL"/>
        </w:rPr>
        <w:t xml:space="preserve">udzielono </w:t>
      </w:r>
      <w:r>
        <w:rPr>
          <w:rFonts w:ascii="Times New Roman" w:eastAsia="Calibri" w:hAnsi="Times New Roman" w:cs="Times New Roman"/>
          <w:sz w:val="24"/>
          <w:szCs w:val="24"/>
          <w:lang w:eastAsia="pl-PL"/>
        </w:rPr>
        <w:t>23</w:t>
      </w:r>
      <w:r>
        <w:rPr>
          <w:rFonts w:ascii="Times New Roman" w:eastAsia="Calibri" w:hAnsi="Times New Roman" w:cs="Times New Roman"/>
          <w:sz w:val="24"/>
          <w:szCs w:val="24"/>
          <w:lang w:val="x-none" w:eastAsia="pl-PL"/>
        </w:rPr>
        <w:t xml:space="preserve"> poucze</w:t>
      </w:r>
      <w:r>
        <w:rPr>
          <w:rFonts w:ascii="Times New Roman" w:eastAsia="Calibri" w:hAnsi="Times New Roman" w:cs="Times New Roman"/>
          <w:sz w:val="24"/>
          <w:szCs w:val="24"/>
          <w:lang w:eastAsia="pl-PL"/>
        </w:rPr>
        <w:t>nia</w:t>
      </w:r>
      <w:r>
        <w:rPr>
          <w:rFonts w:ascii="Times New Roman" w:eastAsia="Calibri" w:hAnsi="Times New Roman" w:cs="Times New Roman"/>
          <w:sz w:val="24"/>
          <w:szCs w:val="24"/>
          <w:lang w:val="x-none" w:eastAsia="pl-PL"/>
        </w:rPr>
        <w:t>,</w:t>
      </w:r>
    </w:p>
    <w:p w14:paraId="7A16F025" w14:textId="77777777" w:rsidR="00773527" w:rsidRDefault="00773527" w:rsidP="00D34F97">
      <w:pPr>
        <w:numPr>
          <w:ilvl w:val="0"/>
          <w:numId w:val="68"/>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val="x-none" w:eastAsia="pl-PL"/>
        </w:rPr>
        <w:t>nałożono 1</w:t>
      </w:r>
      <w:r>
        <w:rPr>
          <w:rFonts w:ascii="Times New Roman" w:eastAsia="Calibri" w:hAnsi="Times New Roman" w:cs="Times New Roman"/>
          <w:sz w:val="24"/>
          <w:szCs w:val="24"/>
          <w:lang w:eastAsia="pl-PL"/>
        </w:rPr>
        <w:t>4</w:t>
      </w:r>
      <w:r>
        <w:rPr>
          <w:rFonts w:ascii="Times New Roman" w:eastAsia="Calibri" w:hAnsi="Times New Roman" w:cs="Times New Roman"/>
          <w:sz w:val="24"/>
          <w:szCs w:val="24"/>
          <w:lang w:val="x-none" w:eastAsia="pl-PL"/>
        </w:rPr>
        <w:t xml:space="preserve"> mandatów karnych,</w:t>
      </w:r>
    </w:p>
    <w:p w14:paraId="5D07C455" w14:textId="77777777" w:rsidR="00773527" w:rsidRDefault="00773527" w:rsidP="00D34F97">
      <w:pPr>
        <w:numPr>
          <w:ilvl w:val="0"/>
          <w:numId w:val="68"/>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val="x-none" w:eastAsia="pl-PL"/>
        </w:rPr>
        <w:t xml:space="preserve">wydano </w:t>
      </w:r>
      <w:r>
        <w:rPr>
          <w:rFonts w:ascii="Times New Roman" w:eastAsia="Calibri" w:hAnsi="Times New Roman" w:cs="Times New Roman"/>
          <w:sz w:val="24"/>
          <w:szCs w:val="24"/>
          <w:lang w:eastAsia="pl-PL"/>
        </w:rPr>
        <w:t>34</w:t>
      </w:r>
      <w:r>
        <w:rPr>
          <w:rFonts w:ascii="Times New Roman" w:eastAsia="Calibri" w:hAnsi="Times New Roman" w:cs="Times New Roman"/>
          <w:sz w:val="24"/>
          <w:szCs w:val="24"/>
          <w:lang w:val="x-none" w:eastAsia="pl-PL"/>
        </w:rPr>
        <w:t xml:space="preserve"> zarządze</w:t>
      </w:r>
      <w:r>
        <w:rPr>
          <w:rFonts w:ascii="Times New Roman" w:eastAsia="Calibri" w:hAnsi="Times New Roman" w:cs="Times New Roman"/>
          <w:sz w:val="24"/>
          <w:szCs w:val="24"/>
          <w:lang w:eastAsia="pl-PL"/>
        </w:rPr>
        <w:t>nia</w:t>
      </w:r>
      <w:r>
        <w:rPr>
          <w:rFonts w:ascii="Times New Roman" w:eastAsia="Calibri" w:hAnsi="Times New Roman" w:cs="Times New Roman"/>
          <w:sz w:val="24"/>
          <w:szCs w:val="24"/>
          <w:lang w:val="x-none" w:eastAsia="pl-PL"/>
        </w:rPr>
        <w:t xml:space="preserve"> pokontroln</w:t>
      </w:r>
      <w:r>
        <w:rPr>
          <w:rFonts w:ascii="Times New Roman" w:eastAsia="Calibri" w:hAnsi="Times New Roman" w:cs="Times New Roman"/>
          <w:sz w:val="24"/>
          <w:szCs w:val="24"/>
          <w:lang w:eastAsia="pl-PL"/>
        </w:rPr>
        <w:t>e</w:t>
      </w:r>
      <w:r>
        <w:rPr>
          <w:rFonts w:ascii="Times New Roman" w:eastAsia="Calibri" w:hAnsi="Times New Roman" w:cs="Times New Roman"/>
          <w:sz w:val="24"/>
          <w:szCs w:val="24"/>
          <w:lang w:val="x-none" w:eastAsia="pl-PL"/>
        </w:rPr>
        <w:t>,</w:t>
      </w:r>
    </w:p>
    <w:p w14:paraId="5B694B44" w14:textId="0E03EBB1" w:rsidR="00895F16" w:rsidRPr="007F400A" w:rsidRDefault="00773527" w:rsidP="00D34F97">
      <w:pPr>
        <w:numPr>
          <w:ilvl w:val="0"/>
          <w:numId w:val="68"/>
        </w:numPr>
        <w:spacing w:after="0" w:line="300" w:lineRule="atLeast"/>
        <w:ind w:left="924" w:hanging="357"/>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val="x-none" w:eastAsia="pl-PL"/>
        </w:rPr>
        <w:t xml:space="preserve">skierowano </w:t>
      </w:r>
      <w:r>
        <w:rPr>
          <w:rFonts w:ascii="Times New Roman" w:eastAsia="Calibri" w:hAnsi="Times New Roman" w:cs="Times New Roman"/>
          <w:sz w:val="24"/>
          <w:szCs w:val="24"/>
          <w:lang w:eastAsia="pl-PL"/>
        </w:rPr>
        <w:t>10</w:t>
      </w:r>
      <w:r>
        <w:rPr>
          <w:rFonts w:ascii="Times New Roman" w:eastAsia="Calibri" w:hAnsi="Times New Roman" w:cs="Times New Roman"/>
          <w:sz w:val="24"/>
          <w:szCs w:val="24"/>
          <w:lang w:val="x-none" w:eastAsia="pl-PL"/>
        </w:rPr>
        <w:t xml:space="preserve"> wystąpień do innych organów</w:t>
      </w:r>
      <w:r w:rsidR="00895F16" w:rsidRPr="007F400A">
        <w:rPr>
          <w:rFonts w:ascii="Times New Roman" w:eastAsia="Calibri" w:hAnsi="Times New Roman" w:cs="Times New Roman"/>
          <w:sz w:val="24"/>
          <w:szCs w:val="24"/>
          <w:lang w:val="x-none" w:eastAsia="pl-PL"/>
        </w:rPr>
        <w:t>.</w:t>
      </w:r>
    </w:p>
    <w:bookmarkEnd w:id="49"/>
    <w:p w14:paraId="71795561" w14:textId="77777777" w:rsidR="00895F16" w:rsidRPr="007F400A" w:rsidRDefault="00895F16" w:rsidP="00056EE7">
      <w:pPr>
        <w:spacing w:after="0" w:line="300" w:lineRule="atLeast"/>
        <w:ind w:left="993"/>
        <w:jc w:val="both"/>
        <w:rPr>
          <w:rFonts w:ascii="Times New Roman" w:eastAsia="Calibri" w:hAnsi="Times New Roman" w:cs="Times New Roman"/>
          <w:sz w:val="24"/>
          <w:szCs w:val="24"/>
          <w:lang w:val="x-none" w:eastAsia="pl-PL"/>
        </w:rPr>
      </w:pPr>
    </w:p>
    <w:p w14:paraId="56CD56BC" w14:textId="77777777" w:rsidR="00895F16" w:rsidRPr="007F400A" w:rsidRDefault="00895F16" w:rsidP="00F3413C">
      <w:pPr>
        <w:keepNext/>
        <w:spacing w:after="120" w:line="300" w:lineRule="atLeast"/>
        <w:outlineLvl w:val="0"/>
        <w:rPr>
          <w:rFonts w:ascii="Times New Roman" w:eastAsia="Times New Roman" w:hAnsi="Times New Roman" w:cs="Times New Roman"/>
          <w:b/>
          <w:bCs/>
          <w:sz w:val="24"/>
          <w:szCs w:val="24"/>
          <w:lang w:val="x-none" w:eastAsia="x-none"/>
        </w:rPr>
      </w:pPr>
      <w:bookmarkStart w:id="50" w:name="_Toc36732554"/>
      <w:bookmarkStart w:id="51" w:name="_Toc135935581"/>
      <w:r w:rsidRPr="007F400A">
        <w:rPr>
          <w:rFonts w:ascii="Times New Roman" w:eastAsia="Times New Roman" w:hAnsi="Times New Roman" w:cs="Times New Roman"/>
          <w:b/>
          <w:bCs/>
          <w:sz w:val="24"/>
          <w:szCs w:val="24"/>
          <w:lang w:val="x-none" w:eastAsia="x-none"/>
        </w:rPr>
        <w:t>3.1.2 Stacje demontażu pojazdów</w:t>
      </w:r>
      <w:bookmarkEnd w:id="50"/>
      <w:bookmarkEnd w:id="51"/>
    </w:p>
    <w:p w14:paraId="3A3D4AA9" w14:textId="77777777" w:rsidR="00D91871" w:rsidRPr="00965BA2" w:rsidRDefault="00D91871" w:rsidP="006C13B4">
      <w:pPr>
        <w:spacing w:line="300" w:lineRule="atLeast"/>
        <w:ind w:firstLine="567"/>
        <w:jc w:val="both"/>
        <w:rPr>
          <w:rFonts w:ascii="Times New Roman" w:hAnsi="Times New Roman" w:cs="Times New Roman"/>
          <w:bCs/>
          <w:sz w:val="24"/>
          <w:szCs w:val="24"/>
        </w:rPr>
      </w:pPr>
      <w:r w:rsidRPr="00965BA2">
        <w:rPr>
          <w:rFonts w:ascii="Times New Roman" w:hAnsi="Times New Roman" w:cs="Times New Roman"/>
          <w:bCs/>
          <w:sz w:val="24"/>
          <w:szCs w:val="24"/>
        </w:rPr>
        <w:t>W 2022 r. wojewódzcy inspektorzy ochrony środowiska przeprowadzili 200 kontroli stacji demontażu pojazdów. W przypadku 112 kontroli nie stwierdzono nieprawidłowości.</w:t>
      </w:r>
    </w:p>
    <w:p w14:paraId="5C65FA41" w14:textId="77777777" w:rsidR="00D91871" w:rsidRPr="00965BA2" w:rsidRDefault="00D91871" w:rsidP="009A5FA9">
      <w:pPr>
        <w:spacing w:after="60" w:line="300" w:lineRule="atLeast"/>
        <w:jc w:val="both"/>
        <w:rPr>
          <w:rFonts w:ascii="Times New Roman" w:hAnsi="Times New Roman" w:cs="Times New Roman"/>
          <w:bCs/>
          <w:sz w:val="24"/>
          <w:szCs w:val="24"/>
        </w:rPr>
      </w:pPr>
      <w:r w:rsidRPr="00965BA2">
        <w:rPr>
          <w:rFonts w:ascii="Times New Roman" w:hAnsi="Times New Roman" w:cs="Times New Roman"/>
          <w:bCs/>
          <w:sz w:val="24"/>
          <w:szCs w:val="24"/>
        </w:rPr>
        <w:t>W przypadku 88 kontroli stacji demontażu wykryto naruszenia, w tym:</w:t>
      </w:r>
    </w:p>
    <w:p w14:paraId="4F3E66AE" w14:textId="77777777" w:rsidR="00D91871" w:rsidRPr="00965BA2" w:rsidRDefault="00D91871" w:rsidP="00056EE7">
      <w:pPr>
        <w:numPr>
          <w:ilvl w:val="0"/>
          <w:numId w:val="24"/>
        </w:numPr>
        <w:suppressAutoHyphens/>
        <w:spacing w:after="0" w:line="300" w:lineRule="atLeast"/>
        <w:ind w:left="680" w:hanging="227"/>
        <w:jc w:val="both"/>
        <w:rPr>
          <w:rFonts w:ascii="Times New Roman" w:hAnsi="Times New Roman" w:cs="Times New Roman"/>
          <w:bCs/>
          <w:sz w:val="24"/>
          <w:szCs w:val="24"/>
        </w:rPr>
      </w:pPr>
      <w:r w:rsidRPr="00965BA2">
        <w:rPr>
          <w:rFonts w:ascii="Times New Roman" w:hAnsi="Times New Roman" w:cs="Times New Roman"/>
          <w:bCs/>
          <w:sz w:val="24"/>
          <w:szCs w:val="24"/>
        </w:rPr>
        <w:t>w 69 przypadkach (78%) były to naruszenia, w wyniku których nie nastąpiło zagrożenie lub zanieczyszczenie środowiska,</w:t>
      </w:r>
    </w:p>
    <w:p w14:paraId="27F5FD99" w14:textId="77777777" w:rsidR="00D91871" w:rsidRPr="00965BA2" w:rsidRDefault="00D91871" w:rsidP="00056EE7">
      <w:pPr>
        <w:numPr>
          <w:ilvl w:val="0"/>
          <w:numId w:val="24"/>
        </w:numPr>
        <w:suppressAutoHyphens/>
        <w:spacing w:after="120" w:line="300" w:lineRule="atLeast"/>
        <w:ind w:left="680" w:hanging="227"/>
        <w:jc w:val="both"/>
        <w:rPr>
          <w:rFonts w:ascii="Times New Roman" w:hAnsi="Times New Roman" w:cs="Times New Roman"/>
          <w:bCs/>
          <w:sz w:val="24"/>
          <w:szCs w:val="24"/>
        </w:rPr>
      </w:pPr>
      <w:r w:rsidRPr="00965BA2">
        <w:rPr>
          <w:rFonts w:ascii="Times New Roman" w:hAnsi="Times New Roman" w:cs="Times New Roman"/>
          <w:bCs/>
          <w:sz w:val="24"/>
          <w:szCs w:val="24"/>
        </w:rPr>
        <w:t>w 19 przypadkach (22%) były to naruszenia, w wyniku których mogło nastąpić lub nastąpiło zagrożenie lub zanieczyszczenie środowiska.</w:t>
      </w:r>
    </w:p>
    <w:p w14:paraId="230EAF00" w14:textId="77777777" w:rsidR="00D91871" w:rsidRPr="00965BA2" w:rsidRDefault="00D91871" w:rsidP="006C13B4">
      <w:pPr>
        <w:spacing w:before="120" w:after="60" w:line="300" w:lineRule="atLeast"/>
        <w:ind w:firstLine="567"/>
        <w:jc w:val="both"/>
        <w:rPr>
          <w:rFonts w:ascii="Times New Roman" w:hAnsi="Times New Roman" w:cs="Times New Roman"/>
          <w:bCs/>
          <w:sz w:val="24"/>
          <w:szCs w:val="24"/>
        </w:rPr>
      </w:pPr>
      <w:r w:rsidRPr="00965BA2">
        <w:rPr>
          <w:rFonts w:ascii="Times New Roman" w:hAnsi="Times New Roman" w:cs="Times New Roman"/>
          <w:bCs/>
          <w:sz w:val="24"/>
          <w:szCs w:val="24"/>
        </w:rPr>
        <w:t xml:space="preserve">W zakresie tych ostatnich naruszeń stwierdzono w przypadku 18 stacji demontażu niespełnianie minimalnych wymagań dla stacji demontażu, m.in.: </w:t>
      </w:r>
    </w:p>
    <w:p w14:paraId="055C535E" w14:textId="77777777" w:rsidR="00D91871" w:rsidRPr="00965BA2" w:rsidRDefault="00D91871" w:rsidP="00056EE7">
      <w:pPr>
        <w:numPr>
          <w:ilvl w:val="0"/>
          <w:numId w:val="23"/>
        </w:numPr>
        <w:suppressAutoHyphens/>
        <w:spacing w:after="0" w:line="300" w:lineRule="atLeast"/>
        <w:ind w:left="709" w:hanging="283"/>
        <w:jc w:val="both"/>
        <w:rPr>
          <w:rFonts w:ascii="Times New Roman" w:hAnsi="Times New Roman" w:cs="Times New Roman"/>
          <w:bCs/>
          <w:sz w:val="24"/>
          <w:szCs w:val="24"/>
        </w:rPr>
      </w:pPr>
      <w:r w:rsidRPr="00965BA2">
        <w:rPr>
          <w:rFonts w:ascii="Times New Roman" w:hAnsi="Times New Roman" w:cs="Times New Roman"/>
          <w:bCs/>
          <w:sz w:val="24"/>
          <w:szCs w:val="24"/>
        </w:rPr>
        <w:t>brak lub nieoznakowanie pojemników na odpady (13 przypadków),</w:t>
      </w:r>
    </w:p>
    <w:p w14:paraId="41F6F1C0" w14:textId="77777777" w:rsidR="00D91871" w:rsidRPr="00965BA2" w:rsidRDefault="00D91871" w:rsidP="00056EE7">
      <w:pPr>
        <w:numPr>
          <w:ilvl w:val="0"/>
          <w:numId w:val="23"/>
        </w:numPr>
        <w:suppressAutoHyphens/>
        <w:spacing w:after="0" w:line="300" w:lineRule="atLeast"/>
        <w:ind w:left="709" w:hanging="283"/>
        <w:jc w:val="both"/>
        <w:rPr>
          <w:rFonts w:ascii="Times New Roman" w:hAnsi="Times New Roman" w:cs="Times New Roman"/>
          <w:bCs/>
          <w:sz w:val="24"/>
          <w:szCs w:val="24"/>
        </w:rPr>
      </w:pPr>
      <w:r w:rsidRPr="00965BA2">
        <w:rPr>
          <w:rFonts w:ascii="Times New Roman" w:hAnsi="Times New Roman" w:cs="Times New Roman"/>
          <w:bCs/>
          <w:sz w:val="24"/>
          <w:szCs w:val="24"/>
        </w:rPr>
        <w:t>prowadzenie określonych czynności poza wyznaczonymi sektorami (11 przypadków),</w:t>
      </w:r>
    </w:p>
    <w:p w14:paraId="39A519DC" w14:textId="77777777" w:rsidR="00D91871" w:rsidRPr="00965BA2" w:rsidRDefault="00D91871" w:rsidP="00056EE7">
      <w:pPr>
        <w:numPr>
          <w:ilvl w:val="0"/>
          <w:numId w:val="23"/>
        </w:numPr>
        <w:suppressAutoHyphens/>
        <w:spacing w:after="0" w:line="300" w:lineRule="atLeast"/>
        <w:ind w:left="709" w:hanging="283"/>
        <w:jc w:val="both"/>
        <w:rPr>
          <w:rFonts w:ascii="Times New Roman" w:hAnsi="Times New Roman" w:cs="Times New Roman"/>
          <w:bCs/>
          <w:sz w:val="24"/>
          <w:szCs w:val="24"/>
        </w:rPr>
      </w:pPr>
      <w:r w:rsidRPr="00965BA2">
        <w:rPr>
          <w:rFonts w:ascii="Times New Roman" w:hAnsi="Times New Roman" w:cs="Times New Roman"/>
          <w:bCs/>
          <w:sz w:val="24"/>
          <w:szCs w:val="24"/>
        </w:rPr>
        <w:t>brak sorbentów (2 przypadki),</w:t>
      </w:r>
    </w:p>
    <w:p w14:paraId="0DDDCEDD" w14:textId="77777777" w:rsidR="00D91871" w:rsidRPr="00965BA2" w:rsidRDefault="00D91871" w:rsidP="00056EE7">
      <w:pPr>
        <w:numPr>
          <w:ilvl w:val="0"/>
          <w:numId w:val="23"/>
        </w:numPr>
        <w:suppressAutoHyphens/>
        <w:spacing w:after="0" w:line="300" w:lineRule="atLeast"/>
        <w:ind w:left="709" w:hanging="283"/>
        <w:jc w:val="both"/>
        <w:rPr>
          <w:rFonts w:ascii="Times New Roman" w:hAnsi="Times New Roman" w:cs="Times New Roman"/>
          <w:bCs/>
          <w:sz w:val="24"/>
          <w:szCs w:val="24"/>
        </w:rPr>
      </w:pPr>
      <w:r w:rsidRPr="00965BA2">
        <w:rPr>
          <w:rFonts w:ascii="Times New Roman" w:hAnsi="Times New Roman" w:cs="Times New Roman"/>
          <w:bCs/>
          <w:sz w:val="24"/>
          <w:szCs w:val="24"/>
        </w:rPr>
        <w:t>brak urządzeń gaśniczych (1 przypadek),</w:t>
      </w:r>
    </w:p>
    <w:p w14:paraId="1155A1C5" w14:textId="77777777" w:rsidR="00D91871" w:rsidRPr="00965BA2" w:rsidRDefault="00D91871" w:rsidP="00056EE7">
      <w:pPr>
        <w:numPr>
          <w:ilvl w:val="0"/>
          <w:numId w:val="23"/>
        </w:numPr>
        <w:suppressAutoHyphens/>
        <w:spacing w:after="0" w:line="300" w:lineRule="atLeast"/>
        <w:ind w:left="709" w:hanging="283"/>
        <w:jc w:val="both"/>
        <w:rPr>
          <w:rFonts w:ascii="Times New Roman" w:hAnsi="Times New Roman" w:cs="Times New Roman"/>
          <w:bCs/>
          <w:sz w:val="24"/>
          <w:szCs w:val="24"/>
        </w:rPr>
      </w:pPr>
      <w:r w:rsidRPr="00965BA2">
        <w:rPr>
          <w:rFonts w:ascii="Times New Roman" w:hAnsi="Times New Roman" w:cs="Times New Roman"/>
          <w:bCs/>
          <w:sz w:val="24"/>
          <w:szCs w:val="24"/>
        </w:rPr>
        <w:lastRenderedPageBreak/>
        <w:t>brak separatora substancji ropopochodnych i systemu odprowadzania ścieków przemysłowych (1 przypadek),</w:t>
      </w:r>
    </w:p>
    <w:p w14:paraId="1D2BBFDC" w14:textId="77777777" w:rsidR="00D91871" w:rsidRPr="00965BA2" w:rsidRDefault="00D91871" w:rsidP="00056EE7">
      <w:pPr>
        <w:numPr>
          <w:ilvl w:val="0"/>
          <w:numId w:val="23"/>
        </w:numPr>
        <w:suppressAutoHyphens/>
        <w:spacing w:after="0" w:line="300" w:lineRule="atLeast"/>
        <w:ind w:left="709" w:hanging="283"/>
        <w:jc w:val="both"/>
        <w:rPr>
          <w:rFonts w:ascii="Times New Roman" w:hAnsi="Times New Roman" w:cs="Times New Roman"/>
          <w:bCs/>
          <w:sz w:val="24"/>
          <w:szCs w:val="24"/>
        </w:rPr>
      </w:pPr>
      <w:r w:rsidRPr="00965BA2">
        <w:rPr>
          <w:rFonts w:ascii="Times New Roman" w:hAnsi="Times New Roman" w:cs="Times New Roman"/>
          <w:bCs/>
          <w:sz w:val="24"/>
          <w:szCs w:val="24"/>
        </w:rPr>
        <w:t xml:space="preserve">brak urządzenia do usuwania czynnika chłodniczego z układu klimatyzacyjnego, bądź zlecenia tej operacji wyspecjalizowanej firmie (1 przypadek), </w:t>
      </w:r>
    </w:p>
    <w:p w14:paraId="326C24BA" w14:textId="77777777" w:rsidR="00D91871" w:rsidRPr="00965BA2" w:rsidRDefault="00D91871" w:rsidP="00056EE7">
      <w:pPr>
        <w:numPr>
          <w:ilvl w:val="0"/>
          <w:numId w:val="23"/>
        </w:numPr>
        <w:suppressAutoHyphens/>
        <w:spacing w:after="120" w:line="300" w:lineRule="atLeast"/>
        <w:ind w:left="709" w:hanging="283"/>
        <w:jc w:val="both"/>
        <w:rPr>
          <w:rFonts w:ascii="Times New Roman" w:hAnsi="Times New Roman" w:cs="Times New Roman"/>
          <w:bCs/>
          <w:sz w:val="24"/>
          <w:szCs w:val="24"/>
        </w:rPr>
      </w:pPr>
      <w:r w:rsidRPr="00965BA2">
        <w:rPr>
          <w:rFonts w:ascii="Times New Roman" w:hAnsi="Times New Roman" w:cs="Times New Roman"/>
          <w:bCs/>
          <w:sz w:val="24"/>
          <w:szCs w:val="24"/>
        </w:rPr>
        <w:t>brak zadaszenia w sektorze magazynowania przedmiotów wyposażenia i części nadających się do ponownego użycia (1 przypadek).</w:t>
      </w:r>
    </w:p>
    <w:p w14:paraId="79C9CA2F" w14:textId="77777777" w:rsidR="00D91871" w:rsidRPr="00965BA2" w:rsidRDefault="00D91871" w:rsidP="006C13B4">
      <w:pPr>
        <w:spacing w:before="120" w:after="60" w:line="300" w:lineRule="atLeast"/>
        <w:jc w:val="both"/>
        <w:rPr>
          <w:rFonts w:ascii="Times New Roman" w:hAnsi="Times New Roman" w:cs="Times New Roman"/>
          <w:bCs/>
          <w:sz w:val="24"/>
          <w:szCs w:val="24"/>
        </w:rPr>
      </w:pPr>
      <w:r w:rsidRPr="00965BA2">
        <w:rPr>
          <w:rFonts w:ascii="Times New Roman" w:hAnsi="Times New Roman" w:cs="Times New Roman"/>
          <w:bCs/>
          <w:sz w:val="24"/>
          <w:szCs w:val="24"/>
        </w:rPr>
        <w:t>W związku ze stwierdzonymi naruszeniami zastosowano następujące działania:</w:t>
      </w:r>
    </w:p>
    <w:p w14:paraId="4D5E6C60" w14:textId="77777777" w:rsidR="00D91871" w:rsidRPr="00965BA2" w:rsidRDefault="00D91871" w:rsidP="00056EE7">
      <w:pPr>
        <w:numPr>
          <w:ilvl w:val="0"/>
          <w:numId w:val="25"/>
        </w:numPr>
        <w:suppressAutoHyphens/>
        <w:spacing w:after="0" w:line="300" w:lineRule="atLeast"/>
        <w:ind w:left="709" w:hanging="283"/>
        <w:jc w:val="both"/>
        <w:rPr>
          <w:rFonts w:ascii="Times New Roman" w:hAnsi="Times New Roman" w:cs="Times New Roman"/>
          <w:bCs/>
          <w:sz w:val="24"/>
          <w:szCs w:val="24"/>
        </w:rPr>
      </w:pPr>
      <w:r w:rsidRPr="00965BA2">
        <w:rPr>
          <w:rFonts w:ascii="Times New Roman" w:hAnsi="Times New Roman" w:cs="Times New Roman"/>
          <w:bCs/>
          <w:sz w:val="24"/>
          <w:szCs w:val="24"/>
        </w:rPr>
        <w:t>wydano 60 zarządzeń pokontrolnych,</w:t>
      </w:r>
    </w:p>
    <w:p w14:paraId="3A709018" w14:textId="77777777" w:rsidR="00D91871" w:rsidRPr="00965BA2" w:rsidRDefault="00D91871" w:rsidP="00056EE7">
      <w:pPr>
        <w:numPr>
          <w:ilvl w:val="0"/>
          <w:numId w:val="25"/>
        </w:numPr>
        <w:suppressAutoHyphens/>
        <w:spacing w:after="0" w:line="300" w:lineRule="atLeast"/>
        <w:ind w:left="709" w:hanging="283"/>
        <w:jc w:val="both"/>
        <w:rPr>
          <w:rFonts w:ascii="Times New Roman" w:hAnsi="Times New Roman" w:cs="Times New Roman"/>
          <w:bCs/>
          <w:sz w:val="24"/>
          <w:szCs w:val="24"/>
        </w:rPr>
      </w:pPr>
      <w:r w:rsidRPr="00965BA2">
        <w:rPr>
          <w:rFonts w:ascii="Times New Roman" w:hAnsi="Times New Roman" w:cs="Times New Roman"/>
          <w:bCs/>
          <w:sz w:val="24"/>
          <w:szCs w:val="24"/>
        </w:rPr>
        <w:t>udzielono 25 pouczeń,</w:t>
      </w:r>
    </w:p>
    <w:p w14:paraId="0B54ADCE" w14:textId="77777777" w:rsidR="00D91871" w:rsidRPr="00965BA2" w:rsidRDefault="00D91871" w:rsidP="00056EE7">
      <w:pPr>
        <w:numPr>
          <w:ilvl w:val="0"/>
          <w:numId w:val="25"/>
        </w:numPr>
        <w:suppressAutoHyphens/>
        <w:spacing w:after="0" w:line="300" w:lineRule="atLeast"/>
        <w:ind w:left="709" w:hanging="283"/>
        <w:jc w:val="both"/>
        <w:rPr>
          <w:rFonts w:ascii="Times New Roman" w:hAnsi="Times New Roman" w:cs="Times New Roman"/>
          <w:bCs/>
          <w:sz w:val="24"/>
          <w:szCs w:val="24"/>
        </w:rPr>
      </w:pPr>
      <w:r w:rsidRPr="00965BA2">
        <w:rPr>
          <w:rFonts w:ascii="Times New Roman" w:hAnsi="Times New Roman" w:cs="Times New Roman"/>
          <w:bCs/>
          <w:sz w:val="24"/>
          <w:szCs w:val="24"/>
        </w:rPr>
        <w:t>nałożono 33 mandaty karne,</w:t>
      </w:r>
    </w:p>
    <w:p w14:paraId="458245F1" w14:textId="77777777" w:rsidR="00D91871" w:rsidRDefault="00D91871" w:rsidP="00056EE7">
      <w:pPr>
        <w:numPr>
          <w:ilvl w:val="0"/>
          <w:numId w:val="25"/>
        </w:numPr>
        <w:suppressAutoHyphens/>
        <w:spacing w:after="0" w:line="300" w:lineRule="atLeast"/>
        <w:ind w:left="709" w:hanging="283"/>
        <w:jc w:val="both"/>
        <w:rPr>
          <w:rFonts w:ascii="Times New Roman" w:hAnsi="Times New Roman" w:cs="Times New Roman"/>
          <w:bCs/>
          <w:sz w:val="24"/>
          <w:szCs w:val="24"/>
        </w:rPr>
      </w:pPr>
      <w:r w:rsidRPr="00965BA2">
        <w:rPr>
          <w:rFonts w:ascii="Times New Roman" w:hAnsi="Times New Roman" w:cs="Times New Roman"/>
          <w:bCs/>
          <w:sz w:val="24"/>
          <w:szCs w:val="24"/>
        </w:rPr>
        <w:t>wymierzono 37 kar pieniężnych za naruszenie przepisów ustawy o odpadach,</w:t>
      </w:r>
    </w:p>
    <w:p w14:paraId="5D955C17" w14:textId="23FD3FB8" w:rsidR="00895F16" w:rsidRPr="00D91871" w:rsidRDefault="00D91871" w:rsidP="00056EE7">
      <w:pPr>
        <w:numPr>
          <w:ilvl w:val="0"/>
          <w:numId w:val="25"/>
        </w:numPr>
        <w:suppressAutoHyphens/>
        <w:spacing w:after="0" w:line="300" w:lineRule="atLeast"/>
        <w:ind w:left="709" w:hanging="283"/>
        <w:jc w:val="both"/>
        <w:rPr>
          <w:rFonts w:ascii="Times New Roman" w:hAnsi="Times New Roman" w:cs="Times New Roman"/>
          <w:bCs/>
          <w:sz w:val="24"/>
          <w:szCs w:val="24"/>
        </w:rPr>
      </w:pPr>
      <w:r w:rsidRPr="00D91871">
        <w:rPr>
          <w:rFonts w:ascii="Times New Roman" w:hAnsi="Times New Roman" w:cs="Times New Roman"/>
          <w:bCs/>
          <w:sz w:val="24"/>
          <w:szCs w:val="24"/>
        </w:rPr>
        <w:t>skierowano 38 wystąpień do innych organów, w tym 28 do marszałków województw</w:t>
      </w:r>
      <w:r w:rsidR="00895F16" w:rsidRPr="00D91871">
        <w:rPr>
          <w:rFonts w:ascii="Times New Roman" w:eastAsia="Times New Roman" w:hAnsi="Times New Roman" w:cs="Times New Roman"/>
          <w:bCs/>
          <w:sz w:val="24"/>
          <w:szCs w:val="24"/>
        </w:rPr>
        <w:t>.</w:t>
      </w:r>
    </w:p>
    <w:p w14:paraId="45FAC216" w14:textId="77777777" w:rsidR="00895F16" w:rsidRPr="007F400A" w:rsidRDefault="00895F16" w:rsidP="00056EE7">
      <w:pPr>
        <w:shd w:val="clear" w:color="auto" w:fill="FFFFFF"/>
        <w:spacing w:after="0" w:line="300" w:lineRule="atLeast"/>
        <w:ind w:left="709"/>
        <w:jc w:val="both"/>
        <w:rPr>
          <w:rFonts w:ascii="Times New Roman" w:eastAsia="Calibri" w:hAnsi="Times New Roman" w:cs="Times New Roman"/>
          <w:bCs/>
          <w:sz w:val="24"/>
          <w:szCs w:val="24"/>
          <w:lang w:eastAsia="pl-PL"/>
        </w:rPr>
      </w:pPr>
    </w:p>
    <w:p w14:paraId="3FF496C4" w14:textId="77777777" w:rsidR="00895F16" w:rsidRPr="007F400A" w:rsidRDefault="00895F16" w:rsidP="006C13B4">
      <w:pPr>
        <w:keepNext/>
        <w:spacing w:after="120" w:line="300" w:lineRule="atLeast"/>
        <w:ind w:left="709" w:hanging="709"/>
        <w:jc w:val="both"/>
        <w:outlineLvl w:val="0"/>
        <w:rPr>
          <w:rFonts w:ascii="Times New Roman" w:eastAsia="Times New Roman" w:hAnsi="Times New Roman" w:cs="Times New Roman"/>
          <w:b/>
          <w:bCs/>
          <w:sz w:val="24"/>
          <w:szCs w:val="24"/>
          <w:lang w:val="x-none" w:eastAsia="x-none"/>
        </w:rPr>
      </w:pPr>
      <w:bookmarkStart w:id="52" w:name="_Toc36732555"/>
      <w:bookmarkStart w:id="53" w:name="_Toc135935582"/>
      <w:r w:rsidRPr="007F400A">
        <w:rPr>
          <w:rFonts w:ascii="Times New Roman" w:eastAsia="Times New Roman" w:hAnsi="Times New Roman" w:cs="Times New Roman"/>
          <w:b/>
          <w:bCs/>
          <w:sz w:val="24"/>
          <w:szCs w:val="24"/>
          <w:lang w:val="x-none" w:eastAsia="x-none"/>
        </w:rPr>
        <w:t xml:space="preserve">3.1.3 Przedsiębiorcy, którzy wystąpili z wnioskiem o uzyskanie pozwolenia </w:t>
      </w:r>
      <w:r w:rsidRPr="007F400A">
        <w:rPr>
          <w:rFonts w:ascii="Times New Roman" w:eastAsia="Times New Roman" w:hAnsi="Times New Roman" w:cs="Times New Roman"/>
          <w:b/>
          <w:bCs/>
          <w:sz w:val="24"/>
          <w:szCs w:val="24"/>
          <w:lang w:eastAsia="x-none"/>
        </w:rPr>
        <w:br/>
      </w:r>
      <w:r w:rsidRPr="007F400A">
        <w:rPr>
          <w:rFonts w:ascii="Times New Roman" w:eastAsia="Times New Roman" w:hAnsi="Times New Roman" w:cs="Times New Roman"/>
          <w:b/>
          <w:bCs/>
          <w:sz w:val="24"/>
          <w:szCs w:val="24"/>
          <w:lang w:val="x-none" w:eastAsia="x-none"/>
        </w:rPr>
        <w:t>na prowadzenie stacji demontażu</w:t>
      </w:r>
      <w:bookmarkEnd w:id="52"/>
      <w:bookmarkEnd w:id="53"/>
    </w:p>
    <w:p w14:paraId="279DD42D" w14:textId="5EC3DA03" w:rsidR="00D91871" w:rsidRPr="00965BA2" w:rsidRDefault="00D91871" w:rsidP="006C13B4">
      <w:pPr>
        <w:spacing w:after="120" w:line="300" w:lineRule="atLeast"/>
        <w:ind w:firstLine="567"/>
        <w:jc w:val="both"/>
        <w:rPr>
          <w:rFonts w:ascii="Times New Roman" w:hAnsi="Times New Roman" w:cs="Times New Roman"/>
          <w:bCs/>
          <w:sz w:val="24"/>
          <w:szCs w:val="24"/>
        </w:rPr>
      </w:pPr>
      <w:r w:rsidRPr="00965BA2">
        <w:rPr>
          <w:rFonts w:ascii="Times New Roman" w:hAnsi="Times New Roman" w:cs="Times New Roman"/>
          <w:bCs/>
          <w:sz w:val="24"/>
          <w:szCs w:val="24"/>
        </w:rPr>
        <w:t xml:space="preserve">W 2022 r. wojewódzcy inspektorzy ochrony środowiska przeprowadzili 30 kontroli podmiotów, które wystąpiły o wydanie pozwolenia na wytwarzanie odpadów w związku z prowadzeniem stacji demontażu. W przypadku 27 kontroli nie stwierdzono </w:t>
      </w:r>
      <w:r w:rsidR="006C13B4">
        <w:rPr>
          <w:rFonts w:ascii="Times New Roman" w:hAnsi="Times New Roman" w:cs="Times New Roman"/>
          <w:bCs/>
          <w:sz w:val="24"/>
          <w:szCs w:val="24"/>
        </w:rPr>
        <w:t>n</w:t>
      </w:r>
      <w:r w:rsidRPr="00965BA2">
        <w:rPr>
          <w:rFonts w:ascii="Times New Roman" w:hAnsi="Times New Roman" w:cs="Times New Roman"/>
          <w:bCs/>
          <w:sz w:val="24"/>
          <w:szCs w:val="24"/>
        </w:rPr>
        <w:t>ieprawidłowości.</w:t>
      </w:r>
    </w:p>
    <w:p w14:paraId="6CE1907F" w14:textId="77777777" w:rsidR="00D91871" w:rsidRPr="00965BA2" w:rsidRDefault="00D91871" w:rsidP="006C13B4">
      <w:pPr>
        <w:spacing w:after="60" w:line="300" w:lineRule="atLeast"/>
        <w:jc w:val="both"/>
        <w:rPr>
          <w:rFonts w:ascii="Times New Roman" w:hAnsi="Times New Roman" w:cs="Times New Roman"/>
          <w:bCs/>
          <w:sz w:val="24"/>
          <w:szCs w:val="24"/>
        </w:rPr>
      </w:pPr>
      <w:r w:rsidRPr="00965BA2">
        <w:rPr>
          <w:rFonts w:ascii="Times New Roman" w:hAnsi="Times New Roman" w:cs="Times New Roman"/>
          <w:bCs/>
          <w:sz w:val="24"/>
          <w:szCs w:val="24"/>
        </w:rPr>
        <w:t>Wykryte w przypadku 3 kontroli naruszenia dotyczyły głównie:</w:t>
      </w:r>
    </w:p>
    <w:p w14:paraId="24714349" w14:textId="77777777" w:rsidR="00D91871" w:rsidRPr="00965BA2" w:rsidRDefault="00D91871" w:rsidP="00056EE7">
      <w:pPr>
        <w:numPr>
          <w:ilvl w:val="0"/>
          <w:numId w:val="23"/>
        </w:numPr>
        <w:suppressAutoHyphens/>
        <w:spacing w:after="0" w:line="300" w:lineRule="atLeast"/>
        <w:ind w:left="709" w:hanging="283"/>
        <w:jc w:val="both"/>
        <w:rPr>
          <w:rFonts w:ascii="Times New Roman" w:hAnsi="Times New Roman" w:cs="Times New Roman"/>
          <w:bCs/>
          <w:sz w:val="24"/>
          <w:szCs w:val="24"/>
        </w:rPr>
      </w:pPr>
      <w:r w:rsidRPr="00965BA2">
        <w:rPr>
          <w:rFonts w:ascii="Times New Roman" w:hAnsi="Times New Roman" w:cs="Times New Roman"/>
          <w:bCs/>
          <w:sz w:val="24"/>
          <w:szCs w:val="24"/>
        </w:rPr>
        <w:t>niespełniania minimalnych wymagań, w szczególności: niewyposażenia sektora usuwania z pojazdów elementów i substancji niebezpiecznych, w tym płynów, w system odprowadzania ścieków przemysłowych kierowanych do separatora substancji ropopochodnych; niezorganizowania sektora magazynowania odpadów na szczelnej powierzchni; niewyznaczenia miejsca do magazynowania odpadów w</w:t>
      </w:r>
      <w:r>
        <w:rPr>
          <w:rFonts w:ascii="Times New Roman" w:hAnsi="Times New Roman" w:cs="Times New Roman"/>
          <w:bCs/>
          <w:sz w:val="24"/>
          <w:szCs w:val="24"/>
        </w:rPr>
        <w:t xml:space="preserve"> </w:t>
      </w:r>
      <w:r w:rsidRPr="00965BA2">
        <w:rPr>
          <w:rFonts w:ascii="Times New Roman" w:hAnsi="Times New Roman" w:cs="Times New Roman"/>
          <w:bCs/>
          <w:sz w:val="24"/>
          <w:szCs w:val="24"/>
        </w:rPr>
        <w:t xml:space="preserve">postaci zbiorników z gazem; niewyposażenia miejsca magazynowania zużytych opon w urządzenia gaśnicze; </w:t>
      </w:r>
    </w:p>
    <w:p w14:paraId="282F17C5" w14:textId="77777777" w:rsidR="00D91871" w:rsidRPr="00965BA2" w:rsidRDefault="00D91871" w:rsidP="00056EE7">
      <w:pPr>
        <w:numPr>
          <w:ilvl w:val="0"/>
          <w:numId w:val="23"/>
        </w:numPr>
        <w:suppressAutoHyphens/>
        <w:spacing w:after="0" w:line="300" w:lineRule="atLeast"/>
        <w:ind w:left="709" w:hanging="283"/>
        <w:jc w:val="both"/>
        <w:rPr>
          <w:rFonts w:ascii="Times New Roman" w:hAnsi="Times New Roman" w:cs="Times New Roman"/>
          <w:bCs/>
          <w:sz w:val="24"/>
          <w:szCs w:val="24"/>
        </w:rPr>
      </w:pPr>
      <w:r w:rsidRPr="00965BA2">
        <w:rPr>
          <w:rFonts w:ascii="Times New Roman" w:hAnsi="Times New Roman" w:cs="Times New Roman"/>
          <w:bCs/>
          <w:sz w:val="24"/>
          <w:szCs w:val="24"/>
        </w:rPr>
        <w:t xml:space="preserve">braku pozwolenia wodnoprawnego na wprowadzanie ścieków przemysłowych do urządzeń kanalizacyjnych będących własnością innego podmiotu; </w:t>
      </w:r>
    </w:p>
    <w:p w14:paraId="31AFA8A6" w14:textId="77777777" w:rsidR="00D91871" w:rsidRPr="00965BA2" w:rsidRDefault="00D91871" w:rsidP="00056EE7">
      <w:pPr>
        <w:numPr>
          <w:ilvl w:val="0"/>
          <w:numId w:val="23"/>
        </w:numPr>
        <w:suppressAutoHyphens/>
        <w:spacing w:after="0" w:line="300" w:lineRule="atLeast"/>
        <w:ind w:left="709" w:hanging="283"/>
        <w:jc w:val="both"/>
        <w:rPr>
          <w:rFonts w:ascii="Times New Roman" w:hAnsi="Times New Roman" w:cs="Times New Roman"/>
          <w:bCs/>
          <w:sz w:val="24"/>
          <w:szCs w:val="24"/>
        </w:rPr>
      </w:pPr>
      <w:r w:rsidRPr="00965BA2">
        <w:rPr>
          <w:rFonts w:ascii="Times New Roman" w:hAnsi="Times New Roman" w:cs="Times New Roman"/>
          <w:bCs/>
          <w:sz w:val="24"/>
          <w:szCs w:val="24"/>
        </w:rPr>
        <w:t>nieuzyskania wymaganych decyzji określających zakres i warunki korzystania ze środowiska;</w:t>
      </w:r>
    </w:p>
    <w:p w14:paraId="3AE5B81B" w14:textId="77777777" w:rsidR="00D91871" w:rsidRPr="00965BA2" w:rsidRDefault="00D91871" w:rsidP="00056EE7">
      <w:pPr>
        <w:numPr>
          <w:ilvl w:val="0"/>
          <w:numId w:val="23"/>
        </w:numPr>
        <w:suppressAutoHyphens/>
        <w:spacing w:after="0" w:line="300" w:lineRule="atLeast"/>
        <w:ind w:left="709" w:hanging="283"/>
        <w:jc w:val="both"/>
        <w:rPr>
          <w:rFonts w:ascii="Times New Roman" w:hAnsi="Times New Roman" w:cs="Times New Roman"/>
          <w:bCs/>
          <w:sz w:val="24"/>
          <w:szCs w:val="24"/>
        </w:rPr>
      </w:pPr>
      <w:r w:rsidRPr="00965BA2">
        <w:rPr>
          <w:rFonts w:ascii="Times New Roman" w:hAnsi="Times New Roman" w:cs="Times New Roman"/>
          <w:bCs/>
          <w:sz w:val="24"/>
          <w:szCs w:val="24"/>
        </w:rPr>
        <w:t>niezastosowania odpowiednich rozwiązań technologicznych wynikających z decyzji o środowiskowych uwarunkowaniach zgody na realizację przedsięwzięcia;</w:t>
      </w:r>
    </w:p>
    <w:p w14:paraId="19D4A872" w14:textId="77777777" w:rsidR="00D91871" w:rsidRPr="00965BA2" w:rsidRDefault="00D91871" w:rsidP="00056EE7">
      <w:pPr>
        <w:numPr>
          <w:ilvl w:val="0"/>
          <w:numId w:val="23"/>
        </w:numPr>
        <w:suppressAutoHyphens/>
        <w:spacing w:after="0" w:line="300" w:lineRule="atLeast"/>
        <w:ind w:left="709" w:hanging="283"/>
        <w:jc w:val="both"/>
        <w:rPr>
          <w:rFonts w:ascii="Times New Roman" w:hAnsi="Times New Roman" w:cs="Times New Roman"/>
          <w:bCs/>
          <w:sz w:val="24"/>
          <w:szCs w:val="24"/>
        </w:rPr>
      </w:pPr>
      <w:r w:rsidRPr="00965BA2">
        <w:rPr>
          <w:rFonts w:ascii="Times New Roman" w:hAnsi="Times New Roman" w:cs="Times New Roman"/>
          <w:bCs/>
          <w:sz w:val="24"/>
          <w:szCs w:val="24"/>
        </w:rPr>
        <w:t xml:space="preserve">braku zgłoszenia organowi ochrony środowiska eksploatacji zbiornika na paliwo. </w:t>
      </w:r>
    </w:p>
    <w:p w14:paraId="0E4EDF94" w14:textId="77777777" w:rsidR="00D91871" w:rsidRPr="00965BA2" w:rsidRDefault="00D91871" w:rsidP="006C13B4">
      <w:pPr>
        <w:spacing w:before="120" w:after="60" w:line="300" w:lineRule="atLeast"/>
        <w:jc w:val="both"/>
        <w:rPr>
          <w:rFonts w:ascii="Times New Roman" w:hAnsi="Times New Roman" w:cs="Times New Roman"/>
          <w:bCs/>
          <w:sz w:val="24"/>
          <w:szCs w:val="24"/>
        </w:rPr>
      </w:pPr>
      <w:r w:rsidRPr="00965BA2">
        <w:rPr>
          <w:rFonts w:ascii="Times New Roman" w:hAnsi="Times New Roman" w:cs="Times New Roman"/>
          <w:bCs/>
          <w:sz w:val="24"/>
          <w:szCs w:val="24"/>
        </w:rPr>
        <w:t>W związku ze stwierdzonymi naruszeniami:</w:t>
      </w:r>
    </w:p>
    <w:p w14:paraId="02E3F328" w14:textId="77777777" w:rsidR="00D91871" w:rsidRPr="00965BA2" w:rsidRDefault="00D91871" w:rsidP="00D34F97">
      <w:pPr>
        <w:pStyle w:val="Akapitzlist"/>
        <w:numPr>
          <w:ilvl w:val="0"/>
          <w:numId w:val="155"/>
        </w:numPr>
        <w:spacing w:after="120" w:line="300" w:lineRule="atLeast"/>
        <w:jc w:val="both"/>
        <w:rPr>
          <w:bCs/>
          <w:sz w:val="24"/>
          <w:szCs w:val="24"/>
        </w:rPr>
      </w:pPr>
      <w:r w:rsidRPr="00965BA2">
        <w:rPr>
          <w:bCs/>
          <w:sz w:val="24"/>
          <w:szCs w:val="24"/>
        </w:rPr>
        <w:t xml:space="preserve">wydano 2 zarządzenia pokontrolne, </w:t>
      </w:r>
    </w:p>
    <w:p w14:paraId="7C58FEE0" w14:textId="77777777" w:rsidR="00D91871" w:rsidRDefault="00D91871" w:rsidP="00D34F97">
      <w:pPr>
        <w:pStyle w:val="Akapitzlist"/>
        <w:numPr>
          <w:ilvl w:val="0"/>
          <w:numId w:val="155"/>
        </w:numPr>
        <w:spacing w:after="120" w:line="300" w:lineRule="atLeast"/>
        <w:jc w:val="both"/>
        <w:rPr>
          <w:bCs/>
          <w:sz w:val="24"/>
          <w:szCs w:val="24"/>
        </w:rPr>
      </w:pPr>
      <w:r w:rsidRPr="00965BA2">
        <w:rPr>
          <w:bCs/>
          <w:sz w:val="24"/>
          <w:szCs w:val="24"/>
        </w:rPr>
        <w:t>udzielono 2 pouczeń,</w:t>
      </w:r>
    </w:p>
    <w:p w14:paraId="26BD5921" w14:textId="26E6B921" w:rsidR="00895F16" w:rsidRPr="00D91871" w:rsidRDefault="00D91871" w:rsidP="00D34F97">
      <w:pPr>
        <w:pStyle w:val="Akapitzlist"/>
        <w:numPr>
          <w:ilvl w:val="0"/>
          <w:numId w:val="155"/>
        </w:numPr>
        <w:spacing w:line="300" w:lineRule="atLeast"/>
        <w:ind w:left="714" w:hanging="357"/>
        <w:contextualSpacing w:val="0"/>
        <w:jc w:val="both"/>
        <w:rPr>
          <w:bCs/>
          <w:sz w:val="24"/>
          <w:szCs w:val="24"/>
        </w:rPr>
      </w:pPr>
      <w:r w:rsidRPr="00D91871">
        <w:rPr>
          <w:bCs/>
          <w:sz w:val="24"/>
          <w:szCs w:val="24"/>
        </w:rPr>
        <w:t>skierowano 2 wystąpienia do innych organów</w:t>
      </w:r>
      <w:r w:rsidR="00895F16" w:rsidRPr="00D91871">
        <w:rPr>
          <w:bCs/>
          <w:sz w:val="24"/>
          <w:szCs w:val="24"/>
        </w:rPr>
        <w:t xml:space="preserve">. </w:t>
      </w:r>
    </w:p>
    <w:p w14:paraId="49110EFF" w14:textId="77777777" w:rsidR="00895F16" w:rsidRPr="00D91871" w:rsidRDefault="00895F16" w:rsidP="00056EE7">
      <w:pPr>
        <w:spacing w:after="0" w:line="300" w:lineRule="atLeast"/>
        <w:ind w:left="709"/>
        <w:jc w:val="both"/>
        <w:rPr>
          <w:rFonts w:ascii="Times New Roman" w:eastAsia="Calibri" w:hAnsi="Times New Roman" w:cs="Times New Roman"/>
          <w:bCs/>
          <w:sz w:val="24"/>
          <w:szCs w:val="24"/>
          <w:lang w:val="x-none" w:eastAsia="pl-PL"/>
        </w:rPr>
      </w:pPr>
    </w:p>
    <w:p w14:paraId="2E791578" w14:textId="5F4BF7E8" w:rsidR="00895F16" w:rsidRPr="007F400A" w:rsidRDefault="00895F16" w:rsidP="001659BA">
      <w:pPr>
        <w:keepNext/>
        <w:spacing w:after="120" w:line="300" w:lineRule="atLeast"/>
        <w:outlineLvl w:val="0"/>
        <w:rPr>
          <w:rFonts w:ascii="Times New Roman" w:eastAsia="Times New Roman" w:hAnsi="Times New Roman" w:cs="Times New Roman"/>
          <w:b/>
          <w:bCs/>
          <w:sz w:val="24"/>
          <w:szCs w:val="24"/>
          <w:lang w:val="x-none" w:eastAsia="x-none"/>
        </w:rPr>
      </w:pPr>
      <w:bookmarkStart w:id="54" w:name="_Toc36732556"/>
      <w:bookmarkStart w:id="55" w:name="_Toc135935583"/>
      <w:r w:rsidRPr="007F400A">
        <w:rPr>
          <w:rFonts w:ascii="Times New Roman" w:eastAsia="Times New Roman" w:hAnsi="Times New Roman" w:cs="Times New Roman"/>
          <w:b/>
          <w:bCs/>
          <w:sz w:val="24"/>
          <w:szCs w:val="24"/>
          <w:lang w:val="x-none" w:eastAsia="x-none"/>
        </w:rPr>
        <w:t>3.1.4 Zakłady przetwarzania zużytego sprzętu elektrycznego i elektronicznego</w:t>
      </w:r>
      <w:bookmarkEnd w:id="54"/>
      <w:bookmarkEnd w:id="55"/>
    </w:p>
    <w:p w14:paraId="48C6B407" w14:textId="77777777" w:rsidR="00D91871" w:rsidRPr="00965BA2" w:rsidRDefault="00D91871" w:rsidP="006C13B4">
      <w:pPr>
        <w:spacing w:after="0" w:line="300" w:lineRule="atLeast"/>
        <w:ind w:firstLine="567"/>
        <w:jc w:val="both"/>
        <w:rPr>
          <w:rFonts w:ascii="Times New Roman" w:hAnsi="Times New Roman" w:cs="Times New Roman"/>
          <w:sz w:val="24"/>
          <w:szCs w:val="24"/>
        </w:rPr>
      </w:pPr>
      <w:r w:rsidRPr="00D96E0A">
        <w:rPr>
          <w:rFonts w:ascii="Times New Roman" w:hAnsi="Times New Roman" w:cs="Times New Roman"/>
          <w:sz w:val="24"/>
          <w:szCs w:val="24"/>
        </w:rPr>
        <w:t>Ustawa o zużytym sprzęcie</w:t>
      </w:r>
      <w:r w:rsidRPr="00965BA2">
        <w:rPr>
          <w:rFonts w:ascii="Times New Roman" w:hAnsi="Times New Roman" w:cs="Times New Roman"/>
          <w:sz w:val="24"/>
          <w:szCs w:val="24"/>
        </w:rPr>
        <w:t xml:space="preserve"> elektrycznym i elektronicznym zobowiązuje wojewódzkiego inspektora ochrony środowiska do przeprowadzenia co najmniej raz w roku kontroli każdego zakładu przetwarzania zużytego sprzętu elektrycznego i elektronicznego.</w:t>
      </w:r>
    </w:p>
    <w:p w14:paraId="09F54D75" w14:textId="77777777" w:rsidR="00D91871" w:rsidRPr="00965BA2" w:rsidRDefault="00D91871" w:rsidP="006C13B4">
      <w:pPr>
        <w:spacing w:before="120" w:after="60" w:line="300" w:lineRule="atLeast"/>
        <w:ind w:firstLine="567"/>
        <w:jc w:val="both"/>
        <w:rPr>
          <w:rFonts w:ascii="Times New Roman" w:hAnsi="Times New Roman" w:cs="Times New Roman"/>
          <w:sz w:val="24"/>
          <w:szCs w:val="24"/>
        </w:rPr>
      </w:pPr>
      <w:r w:rsidRPr="00965BA2">
        <w:rPr>
          <w:rFonts w:ascii="Times New Roman" w:hAnsi="Times New Roman" w:cs="Times New Roman"/>
          <w:sz w:val="24"/>
          <w:szCs w:val="24"/>
        </w:rPr>
        <w:lastRenderedPageBreak/>
        <w:t>Wojewódzcy inspektorzy ochrony środowiska w 2022 r. przeprowadzili łącznie 139 kontroli zakładów przetwarzania. W wyniku działań kontrolnych stwierdzono 71 przypadków naruszeń przepisów ochrony środowiska, w tym:</w:t>
      </w:r>
    </w:p>
    <w:p w14:paraId="22A93DF9" w14:textId="77777777" w:rsidR="00D91871" w:rsidRPr="00965BA2" w:rsidRDefault="00D91871" w:rsidP="00D34F97">
      <w:pPr>
        <w:numPr>
          <w:ilvl w:val="0"/>
          <w:numId w:val="51"/>
        </w:numPr>
        <w:suppressAutoHyphens/>
        <w:spacing w:after="0" w:line="300" w:lineRule="atLeast"/>
        <w:jc w:val="both"/>
        <w:rPr>
          <w:rFonts w:ascii="Times New Roman" w:hAnsi="Times New Roman" w:cs="Times New Roman"/>
          <w:sz w:val="24"/>
          <w:szCs w:val="24"/>
        </w:rPr>
      </w:pPr>
      <w:r w:rsidRPr="00965BA2">
        <w:rPr>
          <w:rFonts w:ascii="Times New Roman" w:hAnsi="Times New Roman" w:cs="Times New Roman"/>
          <w:sz w:val="24"/>
          <w:szCs w:val="24"/>
        </w:rPr>
        <w:t>63 (89%) naruszeń formalnych bez istotnego wpływu na środowisko;</w:t>
      </w:r>
    </w:p>
    <w:p w14:paraId="51BB4356" w14:textId="77777777" w:rsidR="00D91871" w:rsidRPr="00965BA2" w:rsidRDefault="00D91871" w:rsidP="00D34F97">
      <w:pPr>
        <w:numPr>
          <w:ilvl w:val="0"/>
          <w:numId w:val="51"/>
        </w:numPr>
        <w:suppressAutoHyphens/>
        <w:spacing w:after="0" w:line="300" w:lineRule="atLeast"/>
        <w:jc w:val="both"/>
        <w:rPr>
          <w:rFonts w:ascii="Times New Roman" w:hAnsi="Times New Roman" w:cs="Times New Roman"/>
          <w:sz w:val="24"/>
          <w:szCs w:val="24"/>
        </w:rPr>
      </w:pPr>
      <w:r w:rsidRPr="00965BA2">
        <w:rPr>
          <w:rFonts w:ascii="Times New Roman" w:hAnsi="Times New Roman" w:cs="Times New Roman"/>
          <w:sz w:val="24"/>
          <w:szCs w:val="24"/>
        </w:rPr>
        <w:t>8 (11%) naruszeń, w wyniku których może lub nastąpiło zagrożenie lub zanieczyszczenie środowiska.</w:t>
      </w:r>
    </w:p>
    <w:p w14:paraId="181317D5" w14:textId="77777777" w:rsidR="00D91871" w:rsidRPr="00965BA2" w:rsidRDefault="00D91871" w:rsidP="006C13B4">
      <w:pPr>
        <w:shd w:val="clear" w:color="auto" w:fill="FFFFFF" w:themeFill="background1"/>
        <w:spacing w:before="120" w:after="0" w:line="300" w:lineRule="atLeast"/>
        <w:ind w:firstLine="567"/>
        <w:jc w:val="both"/>
        <w:rPr>
          <w:rFonts w:ascii="Times New Roman" w:hAnsi="Times New Roman" w:cs="Times New Roman"/>
          <w:sz w:val="24"/>
          <w:szCs w:val="24"/>
        </w:rPr>
      </w:pPr>
      <w:r w:rsidRPr="00965BA2">
        <w:rPr>
          <w:rFonts w:ascii="Times New Roman" w:hAnsi="Times New Roman" w:cs="Times New Roman"/>
          <w:sz w:val="24"/>
          <w:szCs w:val="24"/>
        </w:rPr>
        <w:t>Stwierdzono 7 przypadków prowadzenia działalności bez wymaganego zezwolenia na zbieranie odpadów zużytego sprzętu</w:t>
      </w:r>
      <w:r>
        <w:rPr>
          <w:rFonts w:ascii="Times New Roman" w:hAnsi="Times New Roman" w:cs="Times New Roman"/>
          <w:sz w:val="24"/>
          <w:szCs w:val="24"/>
        </w:rPr>
        <w:t>,</w:t>
      </w:r>
      <w:r w:rsidRPr="00965BA2">
        <w:rPr>
          <w:rFonts w:ascii="Times New Roman" w:hAnsi="Times New Roman" w:cs="Times New Roman"/>
          <w:sz w:val="24"/>
          <w:szCs w:val="24"/>
        </w:rPr>
        <w:t xml:space="preserve"> a także odnotowano 1 przypadek prowadzenia demontażu zużytego sprzętu poza zakładem przetwarzania.</w:t>
      </w:r>
    </w:p>
    <w:p w14:paraId="2F85F4D6" w14:textId="77777777" w:rsidR="00D91871" w:rsidRPr="00965BA2" w:rsidRDefault="00D91871" w:rsidP="00056EE7">
      <w:pPr>
        <w:shd w:val="clear" w:color="auto" w:fill="FFFFFF" w:themeFill="background1"/>
        <w:spacing w:after="0" w:line="300" w:lineRule="atLeast"/>
        <w:ind w:firstLine="709"/>
        <w:jc w:val="both"/>
        <w:rPr>
          <w:rFonts w:ascii="Times New Roman" w:hAnsi="Times New Roman" w:cs="Times New Roman"/>
          <w:sz w:val="24"/>
          <w:szCs w:val="24"/>
        </w:rPr>
      </w:pPr>
    </w:p>
    <w:p w14:paraId="410E80E5" w14:textId="77777777" w:rsidR="00D91871" w:rsidRPr="00965BA2" w:rsidRDefault="00D91871" w:rsidP="006C13B4">
      <w:pPr>
        <w:shd w:val="clear" w:color="auto" w:fill="FFFFFF" w:themeFill="background1"/>
        <w:spacing w:after="0" w:line="300" w:lineRule="atLeast"/>
        <w:ind w:firstLine="567"/>
        <w:jc w:val="both"/>
        <w:rPr>
          <w:rFonts w:ascii="Times New Roman" w:hAnsi="Times New Roman" w:cs="Times New Roman"/>
          <w:sz w:val="24"/>
          <w:szCs w:val="24"/>
        </w:rPr>
      </w:pPr>
      <w:r w:rsidRPr="00965BA2">
        <w:rPr>
          <w:rFonts w:ascii="Times New Roman" w:hAnsi="Times New Roman" w:cs="Times New Roman"/>
          <w:sz w:val="24"/>
          <w:szCs w:val="24"/>
        </w:rPr>
        <w:t>W związku ze stwierdzonymi naruszeniami:</w:t>
      </w:r>
    </w:p>
    <w:p w14:paraId="6473B226" w14:textId="77777777" w:rsidR="00D91871" w:rsidRPr="00965BA2" w:rsidRDefault="00D91871" w:rsidP="00D34F97">
      <w:pPr>
        <w:numPr>
          <w:ilvl w:val="0"/>
          <w:numId w:val="51"/>
        </w:numPr>
        <w:suppressAutoHyphens/>
        <w:spacing w:after="0" w:line="300" w:lineRule="atLeast"/>
        <w:jc w:val="both"/>
        <w:rPr>
          <w:rFonts w:ascii="Times New Roman" w:hAnsi="Times New Roman" w:cs="Times New Roman"/>
          <w:bCs/>
          <w:sz w:val="24"/>
          <w:szCs w:val="24"/>
        </w:rPr>
      </w:pPr>
      <w:r w:rsidRPr="00965BA2">
        <w:rPr>
          <w:rFonts w:ascii="Times New Roman" w:hAnsi="Times New Roman" w:cs="Times New Roman"/>
          <w:bCs/>
          <w:sz w:val="24"/>
          <w:szCs w:val="24"/>
        </w:rPr>
        <w:t>wydano 42 zarządzenia pokontrolne</w:t>
      </w:r>
      <w:r>
        <w:rPr>
          <w:rFonts w:ascii="Times New Roman" w:hAnsi="Times New Roman" w:cs="Times New Roman"/>
          <w:bCs/>
          <w:sz w:val="24"/>
          <w:szCs w:val="24"/>
        </w:rPr>
        <w:t>,</w:t>
      </w:r>
    </w:p>
    <w:p w14:paraId="4586374B" w14:textId="77777777" w:rsidR="00D91871" w:rsidRPr="00965BA2" w:rsidRDefault="00D91871" w:rsidP="00D34F97">
      <w:pPr>
        <w:numPr>
          <w:ilvl w:val="0"/>
          <w:numId w:val="51"/>
        </w:numPr>
        <w:suppressAutoHyphens/>
        <w:spacing w:after="0" w:line="300" w:lineRule="atLeast"/>
        <w:jc w:val="both"/>
        <w:rPr>
          <w:rFonts w:ascii="Times New Roman" w:hAnsi="Times New Roman" w:cs="Times New Roman"/>
          <w:bCs/>
          <w:sz w:val="24"/>
          <w:szCs w:val="24"/>
        </w:rPr>
      </w:pPr>
      <w:r w:rsidRPr="00965BA2">
        <w:rPr>
          <w:rFonts w:ascii="Times New Roman" w:hAnsi="Times New Roman" w:cs="Times New Roman"/>
          <w:bCs/>
          <w:sz w:val="24"/>
          <w:szCs w:val="24"/>
        </w:rPr>
        <w:t>udzielono 8 pouczeń</w:t>
      </w:r>
      <w:r>
        <w:rPr>
          <w:rFonts w:ascii="Times New Roman" w:hAnsi="Times New Roman" w:cs="Times New Roman"/>
          <w:bCs/>
          <w:sz w:val="24"/>
          <w:szCs w:val="24"/>
        </w:rPr>
        <w:t>,</w:t>
      </w:r>
    </w:p>
    <w:p w14:paraId="490409C5" w14:textId="77777777" w:rsidR="00D91871" w:rsidRPr="00965BA2" w:rsidRDefault="00D91871" w:rsidP="00D34F97">
      <w:pPr>
        <w:numPr>
          <w:ilvl w:val="0"/>
          <w:numId w:val="51"/>
        </w:numPr>
        <w:suppressAutoHyphens/>
        <w:spacing w:after="0" w:line="300" w:lineRule="atLeast"/>
        <w:jc w:val="both"/>
        <w:rPr>
          <w:rFonts w:ascii="Times New Roman" w:hAnsi="Times New Roman" w:cs="Times New Roman"/>
          <w:bCs/>
          <w:sz w:val="24"/>
          <w:szCs w:val="24"/>
        </w:rPr>
      </w:pPr>
      <w:r w:rsidRPr="00965BA2">
        <w:rPr>
          <w:rFonts w:ascii="Times New Roman" w:hAnsi="Times New Roman" w:cs="Times New Roman"/>
          <w:bCs/>
          <w:sz w:val="24"/>
          <w:szCs w:val="24"/>
        </w:rPr>
        <w:t>skierowano 29 wystąpień do innych organów, w tym 11 do marszałków województw</w:t>
      </w:r>
      <w:r>
        <w:rPr>
          <w:rFonts w:ascii="Times New Roman" w:hAnsi="Times New Roman" w:cs="Times New Roman"/>
          <w:bCs/>
          <w:sz w:val="24"/>
          <w:szCs w:val="24"/>
        </w:rPr>
        <w:t>,</w:t>
      </w:r>
    </w:p>
    <w:p w14:paraId="3AF79605" w14:textId="77777777" w:rsidR="00D91871" w:rsidRPr="00965BA2" w:rsidRDefault="00D91871" w:rsidP="00D34F97">
      <w:pPr>
        <w:numPr>
          <w:ilvl w:val="0"/>
          <w:numId w:val="51"/>
        </w:numPr>
        <w:suppressAutoHyphens/>
        <w:spacing w:after="0" w:line="300" w:lineRule="atLeast"/>
        <w:jc w:val="both"/>
        <w:rPr>
          <w:rFonts w:ascii="Times New Roman" w:hAnsi="Times New Roman" w:cs="Times New Roman"/>
          <w:bCs/>
          <w:sz w:val="24"/>
          <w:szCs w:val="24"/>
        </w:rPr>
      </w:pPr>
      <w:r w:rsidRPr="00965BA2">
        <w:rPr>
          <w:rFonts w:ascii="Times New Roman" w:hAnsi="Times New Roman" w:cs="Times New Roman"/>
          <w:bCs/>
          <w:sz w:val="24"/>
          <w:szCs w:val="24"/>
        </w:rPr>
        <w:t>nałożono 11 mandatów karnych</w:t>
      </w:r>
      <w:r>
        <w:rPr>
          <w:rFonts w:ascii="Times New Roman" w:hAnsi="Times New Roman" w:cs="Times New Roman"/>
          <w:bCs/>
          <w:sz w:val="24"/>
          <w:szCs w:val="24"/>
        </w:rPr>
        <w:t>,</w:t>
      </w:r>
    </w:p>
    <w:p w14:paraId="1FF2C436" w14:textId="47431449" w:rsidR="00895F16" w:rsidRPr="007F400A" w:rsidRDefault="00D91871" w:rsidP="00D34F97">
      <w:pPr>
        <w:numPr>
          <w:ilvl w:val="0"/>
          <w:numId w:val="51"/>
        </w:numPr>
        <w:spacing w:after="0" w:line="300" w:lineRule="atLeast"/>
        <w:jc w:val="both"/>
        <w:rPr>
          <w:rFonts w:ascii="Times New Roman" w:eastAsia="Calibri" w:hAnsi="Times New Roman" w:cs="Times New Roman"/>
          <w:sz w:val="24"/>
          <w:szCs w:val="24"/>
          <w:lang w:val="x-none" w:eastAsia="pl-PL"/>
        </w:rPr>
      </w:pPr>
      <w:r w:rsidRPr="00965BA2">
        <w:rPr>
          <w:rFonts w:ascii="Times New Roman" w:hAnsi="Times New Roman" w:cs="Times New Roman"/>
          <w:bCs/>
          <w:sz w:val="24"/>
          <w:szCs w:val="24"/>
        </w:rPr>
        <w:t>wydano 11 decyzji nakładających administracyjnych kary pieniężne</w:t>
      </w:r>
      <w:r w:rsidR="00895F16" w:rsidRPr="007F400A">
        <w:rPr>
          <w:rFonts w:ascii="Times New Roman" w:eastAsia="Calibri" w:hAnsi="Times New Roman" w:cs="Times New Roman"/>
          <w:sz w:val="24"/>
          <w:szCs w:val="24"/>
          <w:lang w:val="x-none" w:eastAsia="pl-PL"/>
        </w:rPr>
        <w:t xml:space="preserve">. </w:t>
      </w:r>
    </w:p>
    <w:p w14:paraId="3F5DFEF2" w14:textId="77777777" w:rsidR="00895F16" w:rsidRPr="007F400A" w:rsidRDefault="00895F16" w:rsidP="00056EE7">
      <w:pPr>
        <w:spacing w:after="0" w:line="300" w:lineRule="atLeast"/>
        <w:ind w:left="737"/>
        <w:contextualSpacing/>
        <w:jc w:val="both"/>
        <w:rPr>
          <w:rFonts w:ascii="Times New Roman" w:eastAsia="Calibri" w:hAnsi="Times New Roman" w:cs="Times New Roman"/>
          <w:sz w:val="24"/>
          <w:szCs w:val="24"/>
          <w:lang w:val="x-none" w:eastAsia="pl-PL"/>
        </w:rPr>
      </w:pPr>
    </w:p>
    <w:p w14:paraId="140A4DA7" w14:textId="77777777" w:rsidR="00895F16" w:rsidRPr="007F400A" w:rsidRDefault="00895F16" w:rsidP="006C13B4">
      <w:pPr>
        <w:keepNext/>
        <w:spacing w:after="120" w:line="300" w:lineRule="atLeast"/>
        <w:jc w:val="both"/>
        <w:outlineLvl w:val="0"/>
        <w:rPr>
          <w:rFonts w:ascii="Times New Roman" w:eastAsia="Times New Roman" w:hAnsi="Times New Roman" w:cs="Times New Roman"/>
          <w:b/>
          <w:bCs/>
          <w:i/>
          <w:sz w:val="24"/>
          <w:szCs w:val="24"/>
          <w:lang w:val="x-none" w:eastAsia="x-none"/>
        </w:rPr>
      </w:pPr>
      <w:bookmarkStart w:id="56" w:name="_Toc5878535"/>
      <w:bookmarkStart w:id="57" w:name="_Toc36732557"/>
      <w:bookmarkStart w:id="58" w:name="_Toc135935584"/>
      <w:r w:rsidRPr="007F400A">
        <w:rPr>
          <w:rFonts w:ascii="Times New Roman" w:eastAsia="Times New Roman" w:hAnsi="Times New Roman" w:cs="Times New Roman"/>
          <w:b/>
          <w:bCs/>
          <w:sz w:val="24"/>
          <w:szCs w:val="24"/>
          <w:lang w:val="x-none" w:eastAsia="x-none"/>
        </w:rPr>
        <w:t>3.1.5 Fermy tuczu trzody chlewnej wymagające pozwolenia zintegrowanego</w:t>
      </w:r>
      <w:bookmarkEnd w:id="56"/>
      <w:bookmarkEnd w:id="57"/>
      <w:bookmarkEnd w:id="58"/>
    </w:p>
    <w:p w14:paraId="319BBCDF" w14:textId="77777777" w:rsidR="00D91871" w:rsidRPr="007F400A" w:rsidRDefault="00D91871" w:rsidP="006C13B4">
      <w:pPr>
        <w:spacing w:after="0" w:line="300" w:lineRule="atLeast"/>
        <w:ind w:firstLine="567"/>
        <w:jc w:val="both"/>
        <w:rPr>
          <w:rFonts w:ascii="Times New Roman" w:eastAsia="Times New Roman" w:hAnsi="Times New Roman" w:cs="Times New Roman"/>
          <w:bCs/>
          <w:sz w:val="24"/>
          <w:szCs w:val="24"/>
        </w:rPr>
      </w:pPr>
      <w:bookmarkStart w:id="59" w:name="_Toc515441912"/>
      <w:bookmarkStart w:id="60" w:name="_Toc515441603"/>
      <w:bookmarkStart w:id="61" w:name="_Toc515441291"/>
      <w:bookmarkStart w:id="62" w:name="_Toc515437878"/>
      <w:bookmarkStart w:id="63" w:name="_Toc515437837"/>
      <w:bookmarkStart w:id="64" w:name="_Toc515437516"/>
      <w:bookmarkStart w:id="65" w:name="_Toc5878536"/>
      <w:r>
        <w:rPr>
          <w:rFonts w:ascii="Times New Roman" w:hAnsi="Times New Roman" w:cs="Times New Roman"/>
          <w:sz w:val="24"/>
          <w:szCs w:val="24"/>
        </w:rPr>
        <w:t>W</w:t>
      </w:r>
      <w:r w:rsidRPr="007F400A">
        <w:rPr>
          <w:rFonts w:ascii="Times New Roman" w:hAnsi="Times New Roman" w:cs="Times New Roman"/>
          <w:sz w:val="24"/>
          <w:szCs w:val="24"/>
        </w:rPr>
        <w:t xml:space="preserve">ojewódzcy inspektorzy ochrony środowiska prowadzą kontrole ferm tuczu trzody chlewnej pod kątem posiadania </w:t>
      </w:r>
      <w:r>
        <w:rPr>
          <w:rFonts w:ascii="Times New Roman" w:hAnsi="Times New Roman" w:cs="Times New Roman"/>
          <w:sz w:val="24"/>
          <w:szCs w:val="24"/>
        </w:rPr>
        <w:t xml:space="preserve">pozwoleń zintegrowanych </w:t>
      </w:r>
      <w:r w:rsidRPr="007F400A">
        <w:rPr>
          <w:rFonts w:ascii="Times New Roman" w:hAnsi="Times New Roman" w:cs="Times New Roman"/>
          <w:sz w:val="24"/>
          <w:szCs w:val="24"/>
        </w:rPr>
        <w:t xml:space="preserve">i przestrzegania </w:t>
      </w:r>
      <w:r w:rsidRPr="007F400A">
        <w:rPr>
          <w:rFonts w:ascii="Times New Roman" w:eastAsia="Times New Roman" w:hAnsi="Times New Roman" w:cs="Times New Roman"/>
          <w:bCs/>
          <w:sz w:val="24"/>
          <w:szCs w:val="24"/>
        </w:rPr>
        <w:t xml:space="preserve">warunków korzystania ze środowiska określonych w </w:t>
      </w:r>
      <w:r>
        <w:rPr>
          <w:rFonts w:ascii="Times New Roman" w:eastAsia="Times New Roman" w:hAnsi="Times New Roman" w:cs="Times New Roman"/>
          <w:bCs/>
          <w:sz w:val="24"/>
          <w:szCs w:val="24"/>
        </w:rPr>
        <w:t xml:space="preserve">tych </w:t>
      </w:r>
      <w:r w:rsidRPr="007F400A">
        <w:rPr>
          <w:rFonts w:ascii="Times New Roman" w:eastAsia="Times New Roman" w:hAnsi="Times New Roman" w:cs="Times New Roman"/>
          <w:bCs/>
          <w:sz w:val="24"/>
          <w:szCs w:val="24"/>
        </w:rPr>
        <w:t xml:space="preserve">pozwoleniach oraz przepisach z zakresu ochrony środowiska. </w:t>
      </w:r>
    </w:p>
    <w:p w14:paraId="3EA97FD8" w14:textId="77777777" w:rsidR="00D91871" w:rsidRPr="007F400A" w:rsidRDefault="00D91871" w:rsidP="00056EE7">
      <w:pPr>
        <w:spacing w:after="0" w:line="300" w:lineRule="atLeast"/>
        <w:ind w:firstLine="567"/>
        <w:jc w:val="both"/>
        <w:rPr>
          <w:rFonts w:ascii="Times New Roman" w:hAnsi="Times New Roman" w:cs="Times New Roman"/>
          <w:sz w:val="24"/>
          <w:szCs w:val="24"/>
        </w:rPr>
      </w:pPr>
      <w:r w:rsidRPr="007F400A">
        <w:rPr>
          <w:rFonts w:ascii="Times New Roman" w:hAnsi="Times New Roman" w:cs="Times New Roman"/>
          <w:sz w:val="24"/>
          <w:szCs w:val="24"/>
        </w:rPr>
        <w:t xml:space="preserve">W </w:t>
      </w:r>
      <w:r>
        <w:rPr>
          <w:rFonts w:ascii="Times New Roman" w:hAnsi="Times New Roman" w:cs="Times New Roman"/>
          <w:sz w:val="24"/>
          <w:szCs w:val="24"/>
        </w:rPr>
        <w:t xml:space="preserve">2022 r. w </w:t>
      </w:r>
      <w:r w:rsidRPr="007F400A">
        <w:rPr>
          <w:rFonts w:ascii="Times New Roman" w:hAnsi="Times New Roman" w:cs="Times New Roman"/>
          <w:sz w:val="24"/>
          <w:szCs w:val="24"/>
        </w:rPr>
        <w:t>kraju funkcjo</w:t>
      </w:r>
      <w:r>
        <w:rPr>
          <w:rFonts w:ascii="Times New Roman" w:hAnsi="Times New Roman" w:cs="Times New Roman"/>
          <w:sz w:val="24"/>
          <w:szCs w:val="24"/>
        </w:rPr>
        <w:t>nowało</w:t>
      </w:r>
      <w:r w:rsidRPr="007F400A">
        <w:rPr>
          <w:rFonts w:ascii="Times New Roman" w:hAnsi="Times New Roman" w:cs="Times New Roman"/>
          <w:sz w:val="24"/>
          <w:szCs w:val="24"/>
        </w:rPr>
        <w:t xml:space="preserve"> 19</w:t>
      </w:r>
      <w:r>
        <w:rPr>
          <w:rFonts w:ascii="Times New Roman" w:hAnsi="Times New Roman" w:cs="Times New Roman"/>
          <w:sz w:val="24"/>
          <w:szCs w:val="24"/>
        </w:rPr>
        <w:t>8</w:t>
      </w:r>
      <w:r w:rsidRPr="007F400A">
        <w:rPr>
          <w:rFonts w:ascii="Times New Roman" w:hAnsi="Times New Roman" w:cs="Times New Roman"/>
          <w:sz w:val="24"/>
          <w:szCs w:val="24"/>
        </w:rPr>
        <w:t xml:space="preserve"> instalacj</w:t>
      </w:r>
      <w:r>
        <w:rPr>
          <w:rFonts w:ascii="Times New Roman" w:hAnsi="Times New Roman" w:cs="Times New Roman"/>
          <w:sz w:val="24"/>
          <w:szCs w:val="24"/>
        </w:rPr>
        <w:t>i</w:t>
      </w:r>
      <w:r w:rsidRPr="007F400A">
        <w:rPr>
          <w:rFonts w:ascii="Times New Roman" w:hAnsi="Times New Roman" w:cs="Times New Roman"/>
          <w:sz w:val="24"/>
          <w:szCs w:val="24"/>
        </w:rPr>
        <w:t xml:space="preserve"> do chowu i hodowli trzody chlewnej (eksploatowan</w:t>
      </w:r>
      <w:r>
        <w:rPr>
          <w:rFonts w:ascii="Times New Roman" w:hAnsi="Times New Roman" w:cs="Times New Roman"/>
          <w:sz w:val="24"/>
          <w:szCs w:val="24"/>
        </w:rPr>
        <w:t>ych</w:t>
      </w:r>
      <w:r w:rsidRPr="007F400A">
        <w:rPr>
          <w:rFonts w:ascii="Times New Roman" w:hAnsi="Times New Roman" w:cs="Times New Roman"/>
          <w:sz w:val="24"/>
          <w:szCs w:val="24"/>
        </w:rPr>
        <w:t xml:space="preserve"> na terenie </w:t>
      </w:r>
      <w:r>
        <w:rPr>
          <w:rFonts w:ascii="Times New Roman" w:hAnsi="Times New Roman" w:cs="Times New Roman"/>
          <w:sz w:val="24"/>
          <w:szCs w:val="24"/>
        </w:rPr>
        <w:t>166</w:t>
      </w:r>
      <w:r w:rsidRPr="007F400A">
        <w:rPr>
          <w:rFonts w:ascii="Times New Roman" w:hAnsi="Times New Roman" w:cs="Times New Roman"/>
          <w:sz w:val="24"/>
          <w:szCs w:val="24"/>
        </w:rPr>
        <w:t xml:space="preserve"> ferm) wymagając</w:t>
      </w:r>
      <w:r>
        <w:rPr>
          <w:rFonts w:ascii="Times New Roman" w:hAnsi="Times New Roman" w:cs="Times New Roman"/>
          <w:sz w:val="24"/>
          <w:szCs w:val="24"/>
        </w:rPr>
        <w:t>ych</w:t>
      </w:r>
      <w:r w:rsidRPr="007F400A">
        <w:rPr>
          <w:rFonts w:ascii="Times New Roman" w:hAnsi="Times New Roman" w:cs="Times New Roman"/>
          <w:sz w:val="24"/>
          <w:szCs w:val="24"/>
        </w:rPr>
        <w:t xml:space="preserve"> pozwolenia zintegrowanego. Według stanu na dzień 31 grudnia 202</w:t>
      </w:r>
      <w:r>
        <w:rPr>
          <w:rFonts w:ascii="Times New Roman" w:hAnsi="Times New Roman" w:cs="Times New Roman"/>
          <w:sz w:val="24"/>
          <w:szCs w:val="24"/>
        </w:rPr>
        <w:t>2</w:t>
      </w:r>
      <w:r w:rsidRPr="007F400A">
        <w:rPr>
          <w:rFonts w:ascii="Times New Roman" w:hAnsi="Times New Roman" w:cs="Times New Roman"/>
          <w:sz w:val="24"/>
          <w:szCs w:val="24"/>
        </w:rPr>
        <w:t xml:space="preserve"> r. </w:t>
      </w:r>
      <w:r>
        <w:rPr>
          <w:rFonts w:ascii="Times New Roman" w:hAnsi="Times New Roman" w:cs="Times New Roman"/>
          <w:sz w:val="24"/>
          <w:szCs w:val="24"/>
        </w:rPr>
        <w:t>191</w:t>
      </w:r>
      <w:r w:rsidRPr="007F400A">
        <w:rPr>
          <w:rFonts w:ascii="Times New Roman" w:hAnsi="Times New Roman" w:cs="Times New Roman"/>
          <w:sz w:val="24"/>
          <w:szCs w:val="24"/>
        </w:rPr>
        <w:t xml:space="preserve"> instalacji tuczu trzody chlewnej (tj. 96%) posiadało pozwolenie zintegrowane.</w:t>
      </w:r>
    </w:p>
    <w:p w14:paraId="079A4A3A" w14:textId="77777777" w:rsidR="00D91871" w:rsidRPr="007F400A" w:rsidRDefault="00D91871" w:rsidP="006C13B4">
      <w:pPr>
        <w:spacing w:after="60" w:line="300" w:lineRule="atLeast"/>
        <w:ind w:firstLine="567"/>
        <w:jc w:val="both"/>
        <w:rPr>
          <w:rFonts w:ascii="Times New Roman" w:hAnsi="Times New Roman" w:cs="Times New Roman"/>
        </w:rPr>
      </w:pPr>
      <w:r w:rsidRPr="007F400A">
        <w:rPr>
          <w:rFonts w:ascii="Times New Roman" w:hAnsi="Times New Roman" w:cs="Times New Roman"/>
          <w:sz w:val="24"/>
        </w:rPr>
        <w:t>Wojewódzcy inspektorzy ochrony środowiska na 202</w:t>
      </w:r>
      <w:r>
        <w:rPr>
          <w:rFonts w:ascii="Times New Roman" w:hAnsi="Times New Roman" w:cs="Times New Roman"/>
          <w:sz w:val="24"/>
        </w:rPr>
        <w:t>2</w:t>
      </w:r>
      <w:r w:rsidRPr="007F400A">
        <w:rPr>
          <w:rFonts w:ascii="Times New Roman" w:hAnsi="Times New Roman" w:cs="Times New Roman"/>
          <w:sz w:val="24"/>
        </w:rPr>
        <w:t xml:space="preserve"> r. zaplanowali 1</w:t>
      </w:r>
      <w:r>
        <w:rPr>
          <w:rFonts w:ascii="Times New Roman" w:hAnsi="Times New Roman" w:cs="Times New Roman"/>
          <w:sz w:val="24"/>
        </w:rPr>
        <w:t>63</w:t>
      </w:r>
      <w:r w:rsidRPr="007F400A">
        <w:rPr>
          <w:rFonts w:ascii="Times New Roman" w:hAnsi="Times New Roman" w:cs="Times New Roman"/>
          <w:sz w:val="24"/>
        </w:rPr>
        <w:t xml:space="preserve"> kontrol</w:t>
      </w:r>
      <w:r>
        <w:rPr>
          <w:rFonts w:ascii="Times New Roman" w:hAnsi="Times New Roman" w:cs="Times New Roman"/>
          <w:sz w:val="24"/>
        </w:rPr>
        <w:t>e</w:t>
      </w:r>
      <w:r w:rsidRPr="007F400A">
        <w:rPr>
          <w:rFonts w:ascii="Times New Roman" w:hAnsi="Times New Roman" w:cs="Times New Roman"/>
          <w:sz w:val="24"/>
        </w:rPr>
        <w:t xml:space="preserve"> ferm trzody chlewnej, z czego przeprowadzili 15</w:t>
      </w:r>
      <w:r>
        <w:rPr>
          <w:rFonts w:ascii="Times New Roman" w:hAnsi="Times New Roman" w:cs="Times New Roman"/>
          <w:sz w:val="24"/>
        </w:rPr>
        <w:t>8 kontroli</w:t>
      </w:r>
      <w:r w:rsidRPr="007F400A">
        <w:rPr>
          <w:rFonts w:ascii="Times New Roman" w:hAnsi="Times New Roman" w:cs="Times New Roman"/>
          <w:sz w:val="24"/>
        </w:rPr>
        <w:t>. Dodatkowo</w:t>
      </w:r>
      <w:r>
        <w:rPr>
          <w:rFonts w:ascii="Times New Roman" w:hAnsi="Times New Roman" w:cs="Times New Roman"/>
          <w:sz w:val="24"/>
        </w:rPr>
        <w:t xml:space="preserve">, w 2022 r. zostało zakończonych 5 kontroli planowych rozpoczętych w 2021 r. oraz </w:t>
      </w:r>
      <w:r w:rsidRPr="007F400A">
        <w:rPr>
          <w:rFonts w:ascii="Times New Roman" w:hAnsi="Times New Roman" w:cs="Times New Roman"/>
          <w:sz w:val="24"/>
        </w:rPr>
        <w:t>przeprowadz</w:t>
      </w:r>
      <w:r>
        <w:rPr>
          <w:rFonts w:ascii="Times New Roman" w:hAnsi="Times New Roman" w:cs="Times New Roman"/>
          <w:sz w:val="24"/>
        </w:rPr>
        <w:t>ono</w:t>
      </w:r>
      <w:r w:rsidRPr="007F400A">
        <w:rPr>
          <w:rFonts w:ascii="Times New Roman" w:hAnsi="Times New Roman" w:cs="Times New Roman"/>
          <w:sz w:val="24"/>
        </w:rPr>
        <w:t xml:space="preserve"> </w:t>
      </w:r>
      <w:r>
        <w:rPr>
          <w:rFonts w:ascii="Times New Roman" w:hAnsi="Times New Roman" w:cs="Times New Roman"/>
          <w:sz w:val="24"/>
        </w:rPr>
        <w:t>7</w:t>
      </w:r>
      <w:r w:rsidRPr="007F400A">
        <w:rPr>
          <w:rFonts w:ascii="Times New Roman" w:hAnsi="Times New Roman" w:cs="Times New Roman"/>
          <w:sz w:val="24"/>
        </w:rPr>
        <w:t xml:space="preserve"> kontroli pozaplanowych</w:t>
      </w:r>
      <w:r>
        <w:rPr>
          <w:rFonts w:ascii="Times New Roman" w:hAnsi="Times New Roman" w:cs="Times New Roman"/>
          <w:sz w:val="24"/>
        </w:rPr>
        <w:t>. Ł</w:t>
      </w:r>
      <w:r w:rsidRPr="007F400A">
        <w:rPr>
          <w:rFonts w:ascii="Times New Roman" w:hAnsi="Times New Roman" w:cs="Times New Roman"/>
          <w:sz w:val="24"/>
        </w:rPr>
        <w:t xml:space="preserve">ącznie </w:t>
      </w:r>
      <w:r>
        <w:rPr>
          <w:rFonts w:ascii="Times New Roman" w:hAnsi="Times New Roman" w:cs="Times New Roman"/>
          <w:sz w:val="24"/>
        </w:rPr>
        <w:t xml:space="preserve">przeprowadzono </w:t>
      </w:r>
      <w:r w:rsidRPr="007F400A">
        <w:rPr>
          <w:rFonts w:ascii="Times New Roman" w:hAnsi="Times New Roman" w:cs="Times New Roman"/>
          <w:sz w:val="24"/>
        </w:rPr>
        <w:t>1</w:t>
      </w:r>
      <w:r>
        <w:rPr>
          <w:rFonts w:ascii="Times New Roman" w:hAnsi="Times New Roman" w:cs="Times New Roman"/>
          <w:sz w:val="24"/>
        </w:rPr>
        <w:t>70</w:t>
      </w:r>
      <w:r w:rsidRPr="007F400A">
        <w:rPr>
          <w:rFonts w:ascii="Times New Roman" w:hAnsi="Times New Roman" w:cs="Times New Roman"/>
          <w:sz w:val="24"/>
        </w:rPr>
        <w:t xml:space="preserve"> kontroli. Podczas </w:t>
      </w:r>
      <w:r>
        <w:rPr>
          <w:rFonts w:ascii="Times New Roman" w:hAnsi="Times New Roman" w:cs="Times New Roman"/>
          <w:sz w:val="24"/>
        </w:rPr>
        <w:t>97</w:t>
      </w:r>
      <w:r w:rsidRPr="007F400A">
        <w:rPr>
          <w:rFonts w:ascii="Times New Roman" w:hAnsi="Times New Roman" w:cs="Times New Roman"/>
          <w:sz w:val="24"/>
        </w:rPr>
        <w:t xml:space="preserve"> kontroli (</w:t>
      </w:r>
      <w:r>
        <w:rPr>
          <w:rFonts w:ascii="Times New Roman" w:hAnsi="Times New Roman" w:cs="Times New Roman"/>
          <w:sz w:val="24"/>
        </w:rPr>
        <w:t>9</w:t>
      </w:r>
      <w:r w:rsidRPr="007F400A">
        <w:rPr>
          <w:rFonts w:ascii="Times New Roman" w:hAnsi="Times New Roman" w:cs="Times New Roman"/>
          <w:sz w:val="24"/>
        </w:rPr>
        <w:t>2 planowych oraz </w:t>
      </w:r>
      <w:r>
        <w:rPr>
          <w:rFonts w:ascii="Times New Roman" w:hAnsi="Times New Roman" w:cs="Times New Roman"/>
          <w:sz w:val="24"/>
        </w:rPr>
        <w:t>5</w:t>
      </w:r>
      <w:r w:rsidRPr="007F400A">
        <w:rPr>
          <w:rFonts w:ascii="Times New Roman" w:hAnsi="Times New Roman" w:cs="Times New Roman"/>
          <w:sz w:val="24"/>
        </w:rPr>
        <w:t xml:space="preserve"> pozaplanowych) stwierdzono naruszenia przepisów ochrony środowiska, w tym: </w:t>
      </w:r>
    </w:p>
    <w:p w14:paraId="451E54DB" w14:textId="77777777" w:rsidR="00D91871" w:rsidRPr="007F400A" w:rsidRDefault="00D91871" w:rsidP="00D34F97">
      <w:pPr>
        <w:numPr>
          <w:ilvl w:val="0"/>
          <w:numId w:val="71"/>
        </w:numPr>
        <w:spacing w:after="0" w:line="300" w:lineRule="atLeast"/>
        <w:ind w:left="851" w:hanging="284"/>
        <w:contextualSpacing/>
        <w:jc w:val="both"/>
        <w:rPr>
          <w:rFonts w:ascii="Times New Roman" w:eastAsia="Calibri" w:hAnsi="Times New Roman" w:cs="Times New Roman"/>
          <w:sz w:val="24"/>
          <w:szCs w:val="20"/>
          <w:lang w:val="x-none" w:eastAsia="pl-PL"/>
        </w:rPr>
      </w:pPr>
      <w:r>
        <w:rPr>
          <w:rFonts w:ascii="Times New Roman" w:eastAsia="Calibri" w:hAnsi="Times New Roman" w:cs="Times New Roman"/>
          <w:sz w:val="24"/>
          <w:szCs w:val="20"/>
          <w:lang w:eastAsia="pl-PL"/>
        </w:rPr>
        <w:t>81</w:t>
      </w:r>
      <w:r w:rsidRPr="007F400A">
        <w:rPr>
          <w:rFonts w:ascii="Times New Roman" w:eastAsia="Calibri" w:hAnsi="Times New Roman" w:cs="Times New Roman"/>
          <w:sz w:val="24"/>
          <w:szCs w:val="20"/>
          <w:lang w:val="x-none" w:eastAsia="pl-PL"/>
        </w:rPr>
        <w:t xml:space="preserve"> </w:t>
      </w:r>
      <w:r w:rsidRPr="00784D81">
        <w:rPr>
          <w:rFonts w:ascii="Times New Roman" w:eastAsia="Calibri" w:hAnsi="Times New Roman" w:cs="Times New Roman"/>
          <w:sz w:val="24"/>
          <w:szCs w:val="20"/>
          <w:lang w:eastAsia="pl-PL"/>
        </w:rPr>
        <w:t>(</w:t>
      </w:r>
      <w:r w:rsidRPr="00756743">
        <w:rPr>
          <w:rFonts w:ascii="Times New Roman" w:eastAsia="Calibri" w:hAnsi="Times New Roman" w:cs="Times New Roman"/>
          <w:sz w:val="24"/>
          <w:szCs w:val="20"/>
          <w:lang w:eastAsia="pl-PL"/>
        </w:rPr>
        <w:t>84</w:t>
      </w:r>
      <w:r w:rsidRPr="00784D81">
        <w:rPr>
          <w:rFonts w:ascii="Times New Roman" w:eastAsia="Calibri" w:hAnsi="Times New Roman" w:cs="Times New Roman"/>
          <w:sz w:val="24"/>
          <w:szCs w:val="20"/>
          <w:lang w:eastAsia="pl-PL"/>
        </w:rPr>
        <w:t>%)</w:t>
      </w:r>
      <w:r w:rsidRPr="007F400A">
        <w:rPr>
          <w:rFonts w:ascii="Times New Roman" w:eastAsia="Calibri" w:hAnsi="Times New Roman" w:cs="Times New Roman"/>
          <w:sz w:val="24"/>
          <w:szCs w:val="20"/>
          <w:lang w:eastAsia="pl-PL"/>
        </w:rPr>
        <w:t xml:space="preserve"> </w:t>
      </w:r>
      <w:r>
        <w:rPr>
          <w:rFonts w:ascii="Times New Roman" w:eastAsia="Calibri" w:hAnsi="Times New Roman" w:cs="Times New Roman"/>
          <w:sz w:val="24"/>
          <w:szCs w:val="20"/>
          <w:lang w:eastAsia="pl-PL"/>
        </w:rPr>
        <w:t>kontroli z naruszeniami</w:t>
      </w:r>
      <w:r w:rsidRPr="007F400A">
        <w:rPr>
          <w:rFonts w:ascii="Times New Roman" w:eastAsia="Calibri" w:hAnsi="Times New Roman" w:cs="Times New Roman"/>
          <w:sz w:val="24"/>
          <w:szCs w:val="20"/>
          <w:lang w:val="x-none" w:eastAsia="pl-PL"/>
        </w:rPr>
        <w:t xml:space="preserve"> formaln</w:t>
      </w:r>
      <w:r w:rsidRPr="007F400A">
        <w:rPr>
          <w:rFonts w:ascii="Times New Roman" w:eastAsia="Calibri" w:hAnsi="Times New Roman" w:cs="Times New Roman"/>
          <w:sz w:val="24"/>
          <w:szCs w:val="20"/>
          <w:lang w:eastAsia="pl-PL"/>
        </w:rPr>
        <w:t>y</w:t>
      </w:r>
      <w:r>
        <w:rPr>
          <w:rFonts w:ascii="Times New Roman" w:eastAsia="Calibri" w:hAnsi="Times New Roman" w:cs="Times New Roman"/>
          <w:sz w:val="24"/>
          <w:szCs w:val="20"/>
          <w:lang w:eastAsia="pl-PL"/>
        </w:rPr>
        <w:t>mi</w:t>
      </w:r>
      <w:r w:rsidRPr="007F400A">
        <w:rPr>
          <w:rFonts w:ascii="Times New Roman" w:eastAsia="Calibri" w:hAnsi="Times New Roman" w:cs="Times New Roman"/>
          <w:sz w:val="24"/>
          <w:szCs w:val="20"/>
          <w:lang w:val="x-none" w:eastAsia="pl-PL"/>
        </w:rPr>
        <w:t xml:space="preserve"> bez</w:t>
      </w:r>
      <w:r w:rsidRPr="007F400A">
        <w:rPr>
          <w:rFonts w:ascii="Times New Roman" w:eastAsia="Calibri" w:hAnsi="Times New Roman" w:cs="Times New Roman"/>
          <w:sz w:val="24"/>
          <w:szCs w:val="20"/>
          <w:lang w:eastAsia="pl-PL"/>
        </w:rPr>
        <w:t xml:space="preserve"> </w:t>
      </w:r>
      <w:r w:rsidRPr="007F400A">
        <w:rPr>
          <w:rFonts w:ascii="Times New Roman" w:eastAsia="Calibri" w:hAnsi="Times New Roman" w:cs="Times New Roman"/>
          <w:sz w:val="24"/>
          <w:szCs w:val="20"/>
          <w:lang w:val="x-none" w:eastAsia="pl-PL"/>
        </w:rPr>
        <w:t>istotnego wpływu na środowisko,</w:t>
      </w:r>
    </w:p>
    <w:p w14:paraId="37AA41D5" w14:textId="77777777" w:rsidR="00D91871" w:rsidRPr="007F400A" w:rsidRDefault="00D91871" w:rsidP="00D34F97">
      <w:pPr>
        <w:numPr>
          <w:ilvl w:val="0"/>
          <w:numId w:val="71"/>
        </w:numPr>
        <w:spacing w:after="60" w:line="300" w:lineRule="atLeast"/>
        <w:ind w:left="851" w:hanging="284"/>
        <w:jc w:val="both"/>
        <w:rPr>
          <w:rFonts w:ascii="Times New Roman" w:eastAsia="Calibri" w:hAnsi="Times New Roman" w:cs="Times New Roman"/>
          <w:sz w:val="24"/>
          <w:szCs w:val="20"/>
          <w:lang w:val="x-none" w:eastAsia="pl-PL"/>
        </w:rPr>
      </w:pPr>
      <w:r w:rsidRPr="007F400A">
        <w:rPr>
          <w:rFonts w:ascii="Times New Roman" w:eastAsia="Calibri" w:hAnsi="Times New Roman" w:cs="Times New Roman"/>
          <w:sz w:val="24"/>
          <w:szCs w:val="20"/>
          <w:lang w:eastAsia="pl-PL"/>
        </w:rPr>
        <w:t>1</w:t>
      </w:r>
      <w:r>
        <w:rPr>
          <w:rFonts w:ascii="Times New Roman" w:eastAsia="Calibri" w:hAnsi="Times New Roman" w:cs="Times New Roman"/>
          <w:sz w:val="24"/>
          <w:szCs w:val="20"/>
          <w:lang w:eastAsia="pl-PL"/>
        </w:rPr>
        <w:t>6</w:t>
      </w:r>
      <w:r w:rsidRPr="007F400A">
        <w:rPr>
          <w:rFonts w:ascii="Times New Roman" w:eastAsia="Calibri" w:hAnsi="Times New Roman" w:cs="Times New Roman"/>
          <w:sz w:val="24"/>
          <w:szCs w:val="20"/>
          <w:lang w:val="x-none" w:eastAsia="pl-PL"/>
        </w:rPr>
        <w:t xml:space="preserve"> </w:t>
      </w:r>
      <w:r w:rsidRPr="00784D81">
        <w:rPr>
          <w:rFonts w:ascii="Times New Roman" w:eastAsia="Calibri" w:hAnsi="Times New Roman" w:cs="Times New Roman"/>
          <w:sz w:val="24"/>
          <w:szCs w:val="20"/>
          <w:lang w:eastAsia="pl-PL"/>
        </w:rPr>
        <w:t>(</w:t>
      </w:r>
      <w:r w:rsidRPr="00756743">
        <w:rPr>
          <w:rFonts w:ascii="Times New Roman" w:eastAsia="Calibri" w:hAnsi="Times New Roman" w:cs="Times New Roman"/>
          <w:sz w:val="24"/>
          <w:szCs w:val="20"/>
          <w:lang w:eastAsia="pl-PL"/>
        </w:rPr>
        <w:t>16</w:t>
      </w:r>
      <w:r w:rsidRPr="00784D81">
        <w:rPr>
          <w:rFonts w:ascii="Times New Roman" w:eastAsia="Calibri" w:hAnsi="Times New Roman" w:cs="Times New Roman"/>
          <w:sz w:val="24"/>
          <w:szCs w:val="20"/>
          <w:lang w:eastAsia="pl-PL"/>
        </w:rPr>
        <w:t>%)</w:t>
      </w:r>
      <w:r w:rsidRPr="007F400A">
        <w:rPr>
          <w:rFonts w:ascii="Times New Roman" w:eastAsia="Calibri" w:hAnsi="Times New Roman" w:cs="Times New Roman"/>
          <w:sz w:val="24"/>
          <w:szCs w:val="20"/>
          <w:lang w:eastAsia="pl-PL"/>
        </w:rPr>
        <w:t xml:space="preserve"> </w:t>
      </w:r>
      <w:r>
        <w:rPr>
          <w:rFonts w:ascii="Times New Roman" w:eastAsia="Calibri" w:hAnsi="Times New Roman" w:cs="Times New Roman"/>
          <w:sz w:val="24"/>
          <w:szCs w:val="20"/>
          <w:lang w:eastAsia="pl-PL"/>
        </w:rPr>
        <w:t>kontroli z naruszeniami</w:t>
      </w:r>
      <w:r w:rsidRPr="007F400A">
        <w:rPr>
          <w:rFonts w:ascii="Times New Roman" w:eastAsia="Calibri" w:hAnsi="Times New Roman" w:cs="Times New Roman"/>
          <w:sz w:val="24"/>
          <w:szCs w:val="20"/>
          <w:lang w:val="x-none" w:eastAsia="pl-PL"/>
        </w:rPr>
        <w:t xml:space="preserve"> mogąc</w:t>
      </w:r>
      <w:r w:rsidRPr="007F400A">
        <w:rPr>
          <w:rFonts w:ascii="Times New Roman" w:eastAsia="Calibri" w:hAnsi="Times New Roman" w:cs="Times New Roman"/>
          <w:sz w:val="24"/>
          <w:szCs w:val="20"/>
          <w:lang w:eastAsia="pl-PL"/>
        </w:rPr>
        <w:t>y</w:t>
      </w:r>
      <w:r>
        <w:rPr>
          <w:rFonts w:ascii="Times New Roman" w:eastAsia="Calibri" w:hAnsi="Times New Roman" w:cs="Times New Roman"/>
          <w:sz w:val="24"/>
          <w:szCs w:val="20"/>
          <w:lang w:eastAsia="pl-PL"/>
        </w:rPr>
        <w:t>mi</w:t>
      </w:r>
      <w:r w:rsidRPr="007F400A">
        <w:rPr>
          <w:rFonts w:ascii="Times New Roman" w:eastAsia="Calibri" w:hAnsi="Times New Roman" w:cs="Times New Roman"/>
          <w:sz w:val="24"/>
          <w:szCs w:val="20"/>
          <w:lang w:val="x-none" w:eastAsia="pl-PL"/>
        </w:rPr>
        <w:t xml:space="preserve"> spowodować zagrożenie lub zanieczyszczenie środowiska. </w:t>
      </w:r>
    </w:p>
    <w:p w14:paraId="19AC4DEA" w14:textId="77777777" w:rsidR="00D91871" w:rsidRPr="007F400A" w:rsidRDefault="00D91871" w:rsidP="009B7321">
      <w:pPr>
        <w:tabs>
          <w:tab w:val="left" w:pos="142"/>
        </w:tabs>
        <w:spacing w:after="60" w:line="300" w:lineRule="atLeast"/>
        <w:jc w:val="both"/>
        <w:rPr>
          <w:rFonts w:ascii="Times New Roman" w:eastAsia="Times New Roman" w:hAnsi="Times New Roman" w:cs="Times New Roman"/>
          <w:bCs/>
          <w:sz w:val="24"/>
          <w:szCs w:val="24"/>
        </w:rPr>
      </w:pPr>
      <w:r w:rsidRPr="007F400A">
        <w:rPr>
          <w:rFonts w:ascii="Times New Roman" w:eastAsia="Times New Roman" w:hAnsi="Times New Roman" w:cs="Times New Roman"/>
          <w:bCs/>
          <w:sz w:val="24"/>
          <w:szCs w:val="24"/>
        </w:rPr>
        <w:t>Stwierdzone naruszenia dotyczyły m.in.:</w:t>
      </w:r>
    </w:p>
    <w:p w14:paraId="0235D311" w14:textId="77777777" w:rsidR="00D91871" w:rsidRPr="003F0E6C" w:rsidRDefault="00D91871" w:rsidP="00D34F97">
      <w:pPr>
        <w:pStyle w:val="Akapitzlist"/>
        <w:numPr>
          <w:ilvl w:val="0"/>
          <w:numId w:val="156"/>
        </w:numPr>
        <w:tabs>
          <w:tab w:val="left" w:pos="709"/>
        </w:tabs>
        <w:spacing w:line="300" w:lineRule="atLeast"/>
        <w:ind w:left="993"/>
        <w:jc w:val="both"/>
        <w:rPr>
          <w:rFonts w:eastAsia="Times New Roman"/>
          <w:sz w:val="24"/>
          <w:szCs w:val="24"/>
        </w:rPr>
      </w:pPr>
      <w:r w:rsidRPr="003F0E6C">
        <w:rPr>
          <w:rFonts w:eastAsia="Times New Roman"/>
          <w:sz w:val="24"/>
          <w:szCs w:val="24"/>
        </w:rPr>
        <w:t xml:space="preserve">braku pozwolenia zintegrowanego, </w:t>
      </w:r>
    </w:p>
    <w:p w14:paraId="65EEEA79" w14:textId="77777777" w:rsidR="00D91871" w:rsidRPr="003F0E6C" w:rsidRDefault="00D91871" w:rsidP="00D34F97">
      <w:pPr>
        <w:pStyle w:val="Akapitzlist"/>
        <w:numPr>
          <w:ilvl w:val="0"/>
          <w:numId w:val="156"/>
        </w:numPr>
        <w:tabs>
          <w:tab w:val="left" w:pos="709"/>
        </w:tabs>
        <w:spacing w:line="300" w:lineRule="atLeast"/>
        <w:ind w:left="993"/>
        <w:jc w:val="both"/>
        <w:rPr>
          <w:rFonts w:eastAsia="Times New Roman"/>
          <w:sz w:val="24"/>
          <w:szCs w:val="24"/>
        </w:rPr>
      </w:pPr>
      <w:r w:rsidRPr="003F0E6C">
        <w:rPr>
          <w:rFonts w:eastAsia="Times New Roman"/>
          <w:sz w:val="24"/>
          <w:szCs w:val="24"/>
        </w:rPr>
        <w:t>braku pozwolenia wodnoprawnego</w:t>
      </w:r>
      <w:r>
        <w:rPr>
          <w:rFonts w:eastAsia="Times New Roman"/>
          <w:sz w:val="24"/>
          <w:szCs w:val="24"/>
        </w:rPr>
        <w:t xml:space="preserve"> na odprowadzanie wód opadowych</w:t>
      </w:r>
      <w:r w:rsidRPr="003F0E6C">
        <w:rPr>
          <w:rFonts w:eastAsia="Times New Roman"/>
          <w:sz w:val="24"/>
          <w:szCs w:val="24"/>
        </w:rPr>
        <w:t>,</w:t>
      </w:r>
    </w:p>
    <w:p w14:paraId="19A5FFC0" w14:textId="77777777" w:rsidR="00D91871" w:rsidRPr="003F0E6C" w:rsidRDefault="00D91871" w:rsidP="00D34F97">
      <w:pPr>
        <w:pStyle w:val="Akapitzlist"/>
        <w:numPr>
          <w:ilvl w:val="0"/>
          <w:numId w:val="156"/>
        </w:numPr>
        <w:tabs>
          <w:tab w:val="left" w:pos="709"/>
        </w:tabs>
        <w:spacing w:line="300" w:lineRule="atLeast"/>
        <w:ind w:left="993"/>
        <w:jc w:val="both"/>
        <w:rPr>
          <w:rFonts w:eastAsia="Times New Roman"/>
          <w:sz w:val="24"/>
          <w:szCs w:val="24"/>
        </w:rPr>
      </w:pPr>
      <w:r w:rsidRPr="003F0E6C">
        <w:rPr>
          <w:rFonts w:eastAsia="Times New Roman"/>
          <w:sz w:val="24"/>
          <w:szCs w:val="24"/>
        </w:rPr>
        <w:t>niezłożenia</w:t>
      </w:r>
      <w:r>
        <w:rPr>
          <w:rFonts w:eastAsia="Times New Roman"/>
          <w:sz w:val="24"/>
          <w:szCs w:val="24"/>
        </w:rPr>
        <w:t xml:space="preserve"> albo</w:t>
      </w:r>
      <w:r w:rsidRPr="003F0E6C">
        <w:rPr>
          <w:rFonts w:eastAsia="Times New Roman"/>
          <w:sz w:val="24"/>
          <w:szCs w:val="24"/>
        </w:rPr>
        <w:t xml:space="preserve"> nieterminowego złożenia raportu do KOBIZE lub złożenia raportu nieobejmującego wszystkich emisji,</w:t>
      </w:r>
    </w:p>
    <w:p w14:paraId="1051206D" w14:textId="77777777" w:rsidR="00D91871" w:rsidRPr="003F0E6C" w:rsidRDefault="00D91871" w:rsidP="00D34F97">
      <w:pPr>
        <w:pStyle w:val="Akapitzlist"/>
        <w:numPr>
          <w:ilvl w:val="0"/>
          <w:numId w:val="156"/>
        </w:numPr>
        <w:tabs>
          <w:tab w:val="left" w:pos="709"/>
        </w:tabs>
        <w:spacing w:line="300" w:lineRule="atLeast"/>
        <w:ind w:left="993"/>
        <w:jc w:val="both"/>
        <w:rPr>
          <w:rFonts w:eastAsia="Times New Roman"/>
          <w:sz w:val="24"/>
          <w:szCs w:val="24"/>
        </w:rPr>
      </w:pPr>
      <w:r w:rsidRPr="003F0E6C">
        <w:rPr>
          <w:rFonts w:eastAsia="Times New Roman"/>
          <w:sz w:val="24"/>
          <w:szCs w:val="24"/>
        </w:rPr>
        <w:t>nieterminowe</w:t>
      </w:r>
      <w:r>
        <w:rPr>
          <w:rFonts w:eastAsia="Times New Roman"/>
          <w:sz w:val="24"/>
          <w:szCs w:val="24"/>
        </w:rPr>
        <w:t>go</w:t>
      </w:r>
      <w:r w:rsidRPr="003F0E6C">
        <w:rPr>
          <w:rFonts w:eastAsia="Times New Roman"/>
          <w:sz w:val="24"/>
          <w:szCs w:val="24"/>
        </w:rPr>
        <w:t xml:space="preserve"> </w:t>
      </w:r>
      <w:r>
        <w:rPr>
          <w:rFonts w:eastAsia="Times New Roman"/>
          <w:sz w:val="24"/>
          <w:szCs w:val="24"/>
        </w:rPr>
        <w:t>lub</w:t>
      </w:r>
      <w:r w:rsidRPr="003F0E6C">
        <w:rPr>
          <w:rFonts w:eastAsia="Times New Roman"/>
          <w:sz w:val="24"/>
          <w:szCs w:val="24"/>
        </w:rPr>
        <w:t xml:space="preserve"> na nieaktualnym formularzu przekazywani</w:t>
      </w:r>
      <w:r>
        <w:rPr>
          <w:rFonts w:eastAsia="Times New Roman"/>
          <w:sz w:val="24"/>
          <w:szCs w:val="24"/>
        </w:rPr>
        <w:t>a</w:t>
      </w:r>
      <w:r w:rsidRPr="003F0E6C">
        <w:rPr>
          <w:rFonts w:eastAsia="Times New Roman"/>
          <w:sz w:val="24"/>
          <w:szCs w:val="24"/>
        </w:rPr>
        <w:t xml:space="preserve"> </w:t>
      </w:r>
      <w:proofErr w:type="spellStart"/>
      <w:r>
        <w:rPr>
          <w:rFonts w:eastAsia="Times New Roman"/>
          <w:sz w:val="24"/>
          <w:szCs w:val="24"/>
          <w:lang w:val="pl-PL"/>
        </w:rPr>
        <w:t>wioś</w:t>
      </w:r>
      <w:proofErr w:type="spellEnd"/>
      <w:r w:rsidRPr="003F0E6C">
        <w:rPr>
          <w:rFonts w:eastAsia="Times New Roman"/>
          <w:sz w:val="24"/>
          <w:szCs w:val="24"/>
        </w:rPr>
        <w:t xml:space="preserve"> prowadzonych pomiarów ilości pobranej wody</w:t>
      </w:r>
      <w:r>
        <w:rPr>
          <w:rFonts w:eastAsia="Times New Roman"/>
          <w:sz w:val="24"/>
          <w:szCs w:val="24"/>
        </w:rPr>
        <w:t>,</w:t>
      </w:r>
      <w:r w:rsidRPr="003F0E6C">
        <w:rPr>
          <w:rFonts w:eastAsia="Times New Roman"/>
          <w:sz w:val="24"/>
          <w:szCs w:val="24"/>
        </w:rPr>
        <w:t xml:space="preserve"> </w:t>
      </w:r>
    </w:p>
    <w:p w14:paraId="1355A781" w14:textId="77777777" w:rsidR="00D91871" w:rsidRPr="003F0E6C" w:rsidRDefault="00D91871" w:rsidP="00D34F97">
      <w:pPr>
        <w:pStyle w:val="Akapitzlist"/>
        <w:numPr>
          <w:ilvl w:val="0"/>
          <w:numId w:val="156"/>
        </w:numPr>
        <w:tabs>
          <w:tab w:val="left" w:pos="709"/>
        </w:tabs>
        <w:spacing w:line="300" w:lineRule="atLeast"/>
        <w:ind w:left="993"/>
        <w:jc w:val="both"/>
        <w:rPr>
          <w:rFonts w:eastAsia="Times New Roman"/>
          <w:sz w:val="24"/>
          <w:szCs w:val="24"/>
        </w:rPr>
      </w:pPr>
      <w:r w:rsidRPr="003F0E6C">
        <w:rPr>
          <w:rFonts w:eastAsia="Times New Roman"/>
          <w:sz w:val="24"/>
          <w:szCs w:val="24"/>
        </w:rPr>
        <w:t xml:space="preserve">nieterminowego przedkładania </w:t>
      </w:r>
      <w:proofErr w:type="spellStart"/>
      <w:r>
        <w:rPr>
          <w:rFonts w:eastAsia="Times New Roman"/>
          <w:sz w:val="24"/>
          <w:szCs w:val="24"/>
          <w:lang w:val="pl-PL"/>
        </w:rPr>
        <w:t>wioś</w:t>
      </w:r>
      <w:proofErr w:type="spellEnd"/>
      <w:r>
        <w:rPr>
          <w:rFonts w:eastAsia="Times New Roman"/>
          <w:sz w:val="24"/>
          <w:szCs w:val="24"/>
        </w:rPr>
        <w:t xml:space="preserve">, </w:t>
      </w:r>
      <w:r w:rsidRPr="003F0E6C">
        <w:rPr>
          <w:rFonts w:eastAsia="Times New Roman"/>
          <w:sz w:val="24"/>
          <w:szCs w:val="24"/>
        </w:rPr>
        <w:t>wójt</w:t>
      </w:r>
      <w:r>
        <w:rPr>
          <w:rFonts w:eastAsia="Times New Roman"/>
          <w:sz w:val="24"/>
          <w:szCs w:val="24"/>
        </w:rPr>
        <w:t xml:space="preserve">owi albo </w:t>
      </w:r>
      <w:r w:rsidRPr="003F0E6C">
        <w:rPr>
          <w:rFonts w:eastAsia="Times New Roman"/>
          <w:sz w:val="24"/>
          <w:szCs w:val="24"/>
        </w:rPr>
        <w:t>burmistrz</w:t>
      </w:r>
      <w:r>
        <w:rPr>
          <w:rFonts w:eastAsia="Times New Roman"/>
          <w:sz w:val="24"/>
          <w:szCs w:val="24"/>
        </w:rPr>
        <w:t>owi</w:t>
      </w:r>
      <w:r w:rsidRPr="003F0E6C">
        <w:rPr>
          <w:rFonts w:eastAsia="Times New Roman"/>
          <w:sz w:val="24"/>
          <w:szCs w:val="24"/>
        </w:rPr>
        <w:t xml:space="preserve"> kopii planu nawożenia azotem </w:t>
      </w:r>
      <w:bookmarkStart w:id="66" w:name="_Hlk129098043"/>
      <w:r w:rsidRPr="003F0E6C">
        <w:rPr>
          <w:rFonts w:eastAsia="Times New Roman"/>
          <w:sz w:val="24"/>
          <w:szCs w:val="24"/>
        </w:rPr>
        <w:t>wraz z kopią pozytywnej opinii okręgowej stacji chemiczno-rolniczej do planu</w:t>
      </w:r>
      <w:bookmarkEnd w:id="66"/>
      <w:r w:rsidRPr="003F0E6C">
        <w:rPr>
          <w:rFonts w:eastAsia="Times New Roman"/>
          <w:sz w:val="24"/>
          <w:szCs w:val="24"/>
        </w:rPr>
        <w:t>,</w:t>
      </w:r>
    </w:p>
    <w:p w14:paraId="5807B24A" w14:textId="77777777" w:rsidR="00D91871" w:rsidRDefault="00D91871" w:rsidP="00D34F97">
      <w:pPr>
        <w:pStyle w:val="Akapitzlist"/>
        <w:numPr>
          <w:ilvl w:val="0"/>
          <w:numId w:val="156"/>
        </w:numPr>
        <w:tabs>
          <w:tab w:val="left" w:pos="709"/>
        </w:tabs>
        <w:spacing w:line="300" w:lineRule="atLeast"/>
        <w:ind w:left="993"/>
        <w:jc w:val="both"/>
        <w:rPr>
          <w:rFonts w:eastAsia="Times New Roman"/>
          <w:sz w:val="24"/>
          <w:szCs w:val="24"/>
        </w:rPr>
      </w:pPr>
      <w:r w:rsidRPr="00D726FC">
        <w:rPr>
          <w:rFonts w:eastAsia="Times New Roman"/>
          <w:sz w:val="24"/>
          <w:szCs w:val="24"/>
        </w:rPr>
        <w:lastRenderedPageBreak/>
        <w:t>naruszenia warunków pozwolenia zintegrowanego w zakresie przekroczeń dopuszczalnych emisji do powietrza, zużycia energii elektrycznej</w:t>
      </w:r>
      <w:r w:rsidRPr="00D726FC">
        <w:t xml:space="preserve"> </w:t>
      </w:r>
      <w:r w:rsidRPr="00D726FC">
        <w:rPr>
          <w:rFonts w:eastAsia="Times New Roman"/>
          <w:sz w:val="24"/>
          <w:szCs w:val="24"/>
        </w:rPr>
        <w:t>oraz paszy, miejsca magazynowania odpadu, nieprzedkładani</w:t>
      </w:r>
      <w:r>
        <w:rPr>
          <w:rFonts w:eastAsia="Times New Roman"/>
          <w:sz w:val="24"/>
          <w:szCs w:val="24"/>
        </w:rPr>
        <w:t>a</w:t>
      </w:r>
      <w:r w:rsidRPr="00D726FC">
        <w:rPr>
          <w:rFonts w:eastAsia="Times New Roman"/>
          <w:sz w:val="24"/>
          <w:szCs w:val="24"/>
        </w:rPr>
        <w:t xml:space="preserve"> </w:t>
      </w:r>
      <w:proofErr w:type="spellStart"/>
      <w:r>
        <w:rPr>
          <w:rFonts w:eastAsia="Times New Roman"/>
          <w:sz w:val="24"/>
          <w:szCs w:val="24"/>
          <w:lang w:val="pl-PL"/>
        </w:rPr>
        <w:t>wioś</w:t>
      </w:r>
      <w:proofErr w:type="spellEnd"/>
      <w:r w:rsidRPr="0083151B">
        <w:rPr>
          <w:rFonts w:eastAsia="Times New Roman"/>
          <w:sz w:val="24"/>
          <w:szCs w:val="24"/>
        </w:rPr>
        <w:t xml:space="preserve"> informacji o wynikach monitorowania wielkości emisji i parametrów procesu technologicznego, </w:t>
      </w:r>
    </w:p>
    <w:p w14:paraId="3A4FA417" w14:textId="0E29D968" w:rsidR="00D91871" w:rsidRPr="002951DF" w:rsidRDefault="00D91871" w:rsidP="00D34F97">
      <w:pPr>
        <w:pStyle w:val="Akapitzlist"/>
        <w:numPr>
          <w:ilvl w:val="0"/>
          <w:numId w:val="156"/>
        </w:numPr>
        <w:spacing w:after="160" w:line="300" w:lineRule="atLeast"/>
        <w:ind w:left="992" w:hanging="357"/>
        <w:jc w:val="both"/>
        <w:rPr>
          <w:rFonts w:eastAsia="Times New Roman"/>
          <w:sz w:val="24"/>
          <w:szCs w:val="24"/>
        </w:rPr>
      </w:pPr>
      <w:r w:rsidRPr="002951DF">
        <w:rPr>
          <w:rFonts w:eastAsia="Times New Roman"/>
          <w:sz w:val="24"/>
          <w:szCs w:val="24"/>
        </w:rPr>
        <w:t>przekr</w:t>
      </w:r>
      <w:r>
        <w:rPr>
          <w:rFonts w:eastAsia="Times New Roman"/>
          <w:sz w:val="24"/>
          <w:szCs w:val="24"/>
        </w:rPr>
        <w:t>oczenia</w:t>
      </w:r>
      <w:r w:rsidRPr="002951DF">
        <w:rPr>
          <w:rFonts w:eastAsia="Times New Roman"/>
          <w:sz w:val="24"/>
          <w:szCs w:val="24"/>
        </w:rPr>
        <w:t xml:space="preserve"> dopuszcz</w:t>
      </w:r>
      <w:r>
        <w:rPr>
          <w:rFonts w:eastAsia="Times New Roman"/>
          <w:sz w:val="24"/>
          <w:szCs w:val="24"/>
        </w:rPr>
        <w:t xml:space="preserve">alnych </w:t>
      </w:r>
      <w:r w:rsidRPr="008272B2">
        <w:rPr>
          <w:rFonts w:eastAsia="Times New Roman"/>
          <w:sz w:val="24"/>
          <w:szCs w:val="24"/>
        </w:rPr>
        <w:t>rocznych</w:t>
      </w:r>
      <w:r w:rsidRPr="00D726FC">
        <w:rPr>
          <w:rFonts w:eastAsia="Times New Roman"/>
          <w:sz w:val="24"/>
          <w:szCs w:val="24"/>
        </w:rPr>
        <w:t xml:space="preserve"> </w:t>
      </w:r>
      <w:r w:rsidRPr="002951DF">
        <w:rPr>
          <w:rFonts w:eastAsia="Times New Roman"/>
          <w:sz w:val="24"/>
          <w:szCs w:val="24"/>
        </w:rPr>
        <w:t xml:space="preserve">ilości wytwarzanych odpadów, </w:t>
      </w:r>
      <w:r>
        <w:rPr>
          <w:rFonts w:eastAsia="Times New Roman"/>
          <w:sz w:val="24"/>
          <w:szCs w:val="24"/>
        </w:rPr>
        <w:t>określonych w pozwoleniu,</w:t>
      </w:r>
    </w:p>
    <w:p w14:paraId="1C56CCB7" w14:textId="6056C108" w:rsidR="00D91871" w:rsidRPr="003F0E6C" w:rsidRDefault="00D91871" w:rsidP="00D34F97">
      <w:pPr>
        <w:pStyle w:val="Akapitzlist"/>
        <w:numPr>
          <w:ilvl w:val="0"/>
          <w:numId w:val="156"/>
        </w:numPr>
        <w:tabs>
          <w:tab w:val="left" w:pos="709"/>
        </w:tabs>
        <w:spacing w:line="300" w:lineRule="atLeast"/>
        <w:ind w:left="993"/>
        <w:jc w:val="both"/>
        <w:rPr>
          <w:rFonts w:eastAsia="Times New Roman"/>
          <w:sz w:val="24"/>
          <w:szCs w:val="24"/>
        </w:rPr>
      </w:pPr>
      <w:r>
        <w:rPr>
          <w:rFonts w:eastAsia="Times New Roman"/>
          <w:sz w:val="24"/>
          <w:szCs w:val="24"/>
        </w:rPr>
        <w:t>b</w:t>
      </w:r>
      <w:r w:rsidRPr="00C16B1A">
        <w:rPr>
          <w:rFonts w:eastAsia="Times New Roman"/>
          <w:sz w:val="24"/>
          <w:szCs w:val="24"/>
        </w:rPr>
        <w:t>rak</w:t>
      </w:r>
      <w:r w:rsidR="008344B7">
        <w:rPr>
          <w:rFonts w:eastAsia="Times New Roman"/>
          <w:sz w:val="24"/>
          <w:szCs w:val="24"/>
          <w:lang w:val="pl-PL"/>
        </w:rPr>
        <w:t>u</w:t>
      </w:r>
      <w:r w:rsidRPr="00C16B1A">
        <w:rPr>
          <w:rFonts w:eastAsia="Times New Roman"/>
          <w:sz w:val="24"/>
          <w:szCs w:val="24"/>
        </w:rPr>
        <w:t xml:space="preserve"> pomiarów emisji hałasu do środowiska</w:t>
      </w:r>
      <w:r>
        <w:rPr>
          <w:rFonts w:eastAsia="Times New Roman"/>
          <w:sz w:val="24"/>
          <w:szCs w:val="24"/>
        </w:rPr>
        <w:t>,</w:t>
      </w:r>
    </w:p>
    <w:p w14:paraId="48F85176" w14:textId="77777777" w:rsidR="00D91871" w:rsidRPr="003F0E6C" w:rsidRDefault="00D91871" w:rsidP="00D34F97">
      <w:pPr>
        <w:pStyle w:val="Akapitzlist"/>
        <w:numPr>
          <w:ilvl w:val="0"/>
          <w:numId w:val="156"/>
        </w:numPr>
        <w:tabs>
          <w:tab w:val="left" w:pos="709"/>
        </w:tabs>
        <w:spacing w:line="300" w:lineRule="atLeast"/>
        <w:ind w:left="993"/>
        <w:jc w:val="both"/>
        <w:rPr>
          <w:rFonts w:eastAsia="Times New Roman"/>
          <w:sz w:val="24"/>
          <w:szCs w:val="24"/>
        </w:rPr>
      </w:pPr>
      <w:r w:rsidRPr="003F0E6C">
        <w:rPr>
          <w:rFonts w:eastAsia="Times New Roman"/>
          <w:sz w:val="24"/>
          <w:szCs w:val="24"/>
        </w:rPr>
        <w:t>nieterminowe</w:t>
      </w:r>
      <w:r>
        <w:rPr>
          <w:rFonts w:eastAsia="Times New Roman"/>
          <w:sz w:val="24"/>
          <w:szCs w:val="24"/>
        </w:rPr>
        <w:t>go</w:t>
      </w:r>
      <w:r w:rsidRPr="003F0E6C">
        <w:rPr>
          <w:rFonts w:eastAsia="Times New Roman"/>
          <w:sz w:val="24"/>
          <w:szCs w:val="24"/>
        </w:rPr>
        <w:t xml:space="preserve"> przedkładani</w:t>
      </w:r>
      <w:r>
        <w:rPr>
          <w:rFonts w:eastAsia="Times New Roman"/>
          <w:sz w:val="24"/>
          <w:szCs w:val="24"/>
        </w:rPr>
        <w:t xml:space="preserve">a </w:t>
      </w:r>
      <w:proofErr w:type="spellStart"/>
      <w:r>
        <w:rPr>
          <w:rFonts w:eastAsia="Times New Roman"/>
          <w:sz w:val="24"/>
          <w:szCs w:val="24"/>
          <w:lang w:val="pl-PL"/>
        </w:rPr>
        <w:t>wioś</w:t>
      </w:r>
      <w:proofErr w:type="spellEnd"/>
      <w:r w:rsidRPr="003F0E6C">
        <w:rPr>
          <w:rFonts w:eastAsia="Times New Roman"/>
          <w:sz w:val="24"/>
          <w:szCs w:val="24"/>
        </w:rPr>
        <w:t xml:space="preserve"> wyników badań hałasu,</w:t>
      </w:r>
    </w:p>
    <w:p w14:paraId="7959F28E" w14:textId="77777777" w:rsidR="00D91871" w:rsidRPr="003F0E6C" w:rsidRDefault="00D91871" w:rsidP="00D34F97">
      <w:pPr>
        <w:pStyle w:val="Akapitzlist"/>
        <w:numPr>
          <w:ilvl w:val="0"/>
          <w:numId w:val="156"/>
        </w:numPr>
        <w:tabs>
          <w:tab w:val="left" w:pos="709"/>
        </w:tabs>
        <w:spacing w:line="300" w:lineRule="atLeast"/>
        <w:ind w:left="993"/>
        <w:jc w:val="both"/>
        <w:rPr>
          <w:rFonts w:eastAsia="Times New Roman"/>
          <w:sz w:val="24"/>
          <w:szCs w:val="24"/>
        </w:rPr>
      </w:pPr>
      <w:r w:rsidRPr="003F0E6C">
        <w:rPr>
          <w:rFonts w:eastAsia="Times New Roman"/>
          <w:sz w:val="24"/>
          <w:szCs w:val="24"/>
        </w:rPr>
        <w:t xml:space="preserve">niezarejestrowania instalacji w bazie </w:t>
      </w:r>
      <w:r>
        <w:rPr>
          <w:rFonts w:eastAsia="Times New Roman"/>
          <w:sz w:val="24"/>
          <w:szCs w:val="24"/>
          <w:lang w:val="pl-PL"/>
        </w:rPr>
        <w:t>Krajowego Rejestru Uwalniania i Transferu Zanieczyszczeń (PRTR)</w:t>
      </w:r>
      <w:r w:rsidRPr="003F0E6C">
        <w:rPr>
          <w:rFonts w:eastAsia="Times New Roman"/>
          <w:sz w:val="24"/>
          <w:szCs w:val="24"/>
        </w:rPr>
        <w:t>,</w:t>
      </w:r>
    </w:p>
    <w:p w14:paraId="0ABB37DC" w14:textId="77777777" w:rsidR="00D91871" w:rsidRPr="003F0E6C" w:rsidRDefault="00D91871" w:rsidP="00D34F97">
      <w:pPr>
        <w:pStyle w:val="Akapitzlist"/>
        <w:numPr>
          <w:ilvl w:val="0"/>
          <w:numId w:val="156"/>
        </w:numPr>
        <w:tabs>
          <w:tab w:val="left" w:pos="709"/>
        </w:tabs>
        <w:spacing w:line="300" w:lineRule="atLeast"/>
        <w:ind w:left="993"/>
        <w:jc w:val="both"/>
        <w:rPr>
          <w:rFonts w:eastAsia="Times New Roman"/>
          <w:sz w:val="24"/>
          <w:szCs w:val="24"/>
        </w:rPr>
      </w:pPr>
      <w:r w:rsidRPr="003F0E6C">
        <w:rPr>
          <w:rFonts w:eastAsia="Times New Roman"/>
          <w:sz w:val="24"/>
          <w:szCs w:val="24"/>
        </w:rPr>
        <w:t>nieuiszczania opłat za korzystanie ze środowiska</w:t>
      </w:r>
      <w:r>
        <w:rPr>
          <w:rFonts w:eastAsia="Times New Roman"/>
          <w:sz w:val="24"/>
          <w:szCs w:val="24"/>
        </w:rPr>
        <w:t>,</w:t>
      </w:r>
      <w:r w:rsidRPr="003F0E6C">
        <w:rPr>
          <w:rFonts w:eastAsia="Times New Roman"/>
          <w:sz w:val="24"/>
          <w:szCs w:val="24"/>
        </w:rPr>
        <w:t xml:space="preserve"> </w:t>
      </w:r>
    </w:p>
    <w:p w14:paraId="4B5AB994" w14:textId="77777777" w:rsidR="00D91871" w:rsidRPr="003F0E6C" w:rsidRDefault="00D91871" w:rsidP="00D34F97">
      <w:pPr>
        <w:pStyle w:val="Akapitzlist"/>
        <w:numPr>
          <w:ilvl w:val="0"/>
          <w:numId w:val="156"/>
        </w:numPr>
        <w:tabs>
          <w:tab w:val="left" w:pos="709"/>
        </w:tabs>
        <w:spacing w:line="300" w:lineRule="atLeast"/>
        <w:ind w:left="993"/>
        <w:jc w:val="both"/>
        <w:rPr>
          <w:rFonts w:eastAsia="Times New Roman"/>
          <w:sz w:val="24"/>
          <w:szCs w:val="24"/>
        </w:rPr>
      </w:pPr>
      <w:r w:rsidRPr="003F0E6C">
        <w:rPr>
          <w:rFonts w:eastAsia="Times New Roman"/>
          <w:sz w:val="24"/>
          <w:szCs w:val="24"/>
        </w:rPr>
        <w:t>nierzetelne</w:t>
      </w:r>
      <w:r>
        <w:rPr>
          <w:rFonts w:eastAsia="Times New Roman"/>
          <w:sz w:val="24"/>
          <w:szCs w:val="24"/>
        </w:rPr>
        <w:t>go</w:t>
      </w:r>
      <w:r w:rsidRPr="003F0E6C">
        <w:rPr>
          <w:rFonts w:eastAsia="Times New Roman"/>
          <w:sz w:val="24"/>
          <w:szCs w:val="24"/>
        </w:rPr>
        <w:t xml:space="preserve"> sporządzeni</w:t>
      </w:r>
      <w:r>
        <w:rPr>
          <w:rFonts w:eastAsia="Times New Roman"/>
          <w:sz w:val="24"/>
          <w:szCs w:val="24"/>
        </w:rPr>
        <w:t>a</w:t>
      </w:r>
      <w:r w:rsidRPr="003F0E6C">
        <w:rPr>
          <w:rFonts w:eastAsia="Times New Roman"/>
          <w:sz w:val="24"/>
          <w:szCs w:val="24"/>
        </w:rPr>
        <w:t xml:space="preserve"> sprawozdania z gospodarowania odpadami</w:t>
      </w:r>
      <w:r>
        <w:rPr>
          <w:rFonts w:eastAsia="Times New Roman"/>
          <w:sz w:val="24"/>
          <w:szCs w:val="24"/>
        </w:rPr>
        <w:t>,</w:t>
      </w:r>
      <w:r w:rsidRPr="003F0E6C">
        <w:rPr>
          <w:rFonts w:eastAsia="Times New Roman"/>
          <w:sz w:val="24"/>
          <w:szCs w:val="24"/>
        </w:rPr>
        <w:t xml:space="preserve"> </w:t>
      </w:r>
    </w:p>
    <w:p w14:paraId="728E479E" w14:textId="77777777" w:rsidR="00D91871" w:rsidRDefault="00D91871" w:rsidP="00D34F97">
      <w:pPr>
        <w:pStyle w:val="Akapitzlist"/>
        <w:numPr>
          <w:ilvl w:val="0"/>
          <w:numId w:val="156"/>
        </w:numPr>
        <w:tabs>
          <w:tab w:val="left" w:pos="709"/>
        </w:tabs>
        <w:spacing w:line="300" w:lineRule="atLeast"/>
        <w:ind w:left="993"/>
        <w:jc w:val="both"/>
        <w:rPr>
          <w:rFonts w:eastAsia="Times New Roman"/>
          <w:sz w:val="24"/>
          <w:szCs w:val="24"/>
        </w:rPr>
      </w:pPr>
      <w:r w:rsidRPr="003F0E6C">
        <w:rPr>
          <w:rFonts w:eastAsia="Times New Roman"/>
          <w:sz w:val="24"/>
          <w:szCs w:val="24"/>
        </w:rPr>
        <w:t>nawożeni</w:t>
      </w:r>
      <w:r>
        <w:rPr>
          <w:rFonts w:eastAsia="Times New Roman"/>
          <w:sz w:val="24"/>
          <w:szCs w:val="24"/>
        </w:rPr>
        <w:t>a</w:t>
      </w:r>
      <w:r w:rsidRPr="003F0E6C">
        <w:rPr>
          <w:rFonts w:eastAsia="Times New Roman"/>
          <w:sz w:val="24"/>
          <w:szCs w:val="24"/>
        </w:rPr>
        <w:t xml:space="preserve"> pól gnojowicą przed uzyskaniem pozytywnej opinii o planie nawożenia za rok gospodarczy, </w:t>
      </w:r>
    </w:p>
    <w:p w14:paraId="575E64F8" w14:textId="77777777" w:rsidR="00D91871" w:rsidRPr="003F0E6C" w:rsidRDefault="00D91871" w:rsidP="00D34F97">
      <w:pPr>
        <w:pStyle w:val="Akapitzlist"/>
        <w:numPr>
          <w:ilvl w:val="0"/>
          <w:numId w:val="156"/>
        </w:numPr>
        <w:tabs>
          <w:tab w:val="left" w:pos="709"/>
        </w:tabs>
        <w:spacing w:line="300" w:lineRule="atLeast"/>
        <w:ind w:left="993"/>
        <w:jc w:val="both"/>
        <w:rPr>
          <w:rFonts w:eastAsia="Times New Roman"/>
          <w:sz w:val="24"/>
          <w:szCs w:val="24"/>
        </w:rPr>
      </w:pPr>
      <w:r w:rsidRPr="00D51D4E">
        <w:rPr>
          <w:rFonts w:eastAsia="Times New Roman"/>
          <w:sz w:val="24"/>
          <w:szCs w:val="24"/>
        </w:rPr>
        <w:t>termiczne</w:t>
      </w:r>
      <w:r>
        <w:rPr>
          <w:rFonts w:eastAsia="Times New Roman"/>
          <w:sz w:val="24"/>
          <w:szCs w:val="24"/>
        </w:rPr>
        <w:t>go</w:t>
      </w:r>
      <w:r w:rsidRPr="00D51D4E">
        <w:rPr>
          <w:rFonts w:eastAsia="Times New Roman"/>
          <w:sz w:val="24"/>
          <w:szCs w:val="24"/>
        </w:rPr>
        <w:t xml:space="preserve"> przekształcani</w:t>
      </w:r>
      <w:r>
        <w:rPr>
          <w:rFonts w:eastAsia="Times New Roman"/>
          <w:sz w:val="24"/>
          <w:szCs w:val="24"/>
        </w:rPr>
        <w:t>a</w:t>
      </w:r>
      <w:r w:rsidRPr="00D51D4E">
        <w:rPr>
          <w:rFonts w:eastAsia="Times New Roman"/>
          <w:sz w:val="24"/>
          <w:szCs w:val="24"/>
        </w:rPr>
        <w:t xml:space="preserve"> odpadów poza spalarnią</w:t>
      </w:r>
      <w:r>
        <w:rPr>
          <w:rFonts w:eastAsia="Times New Roman"/>
          <w:sz w:val="24"/>
          <w:szCs w:val="24"/>
        </w:rPr>
        <w:t>,</w:t>
      </w:r>
    </w:p>
    <w:p w14:paraId="5B545F93" w14:textId="77777777" w:rsidR="00D91871" w:rsidRPr="003F0E6C" w:rsidRDefault="00D91871" w:rsidP="00D34F97">
      <w:pPr>
        <w:pStyle w:val="Akapitzlist"/>
        <w:numPr>
          <w:ilvl w:val="0"/>
          <w:numId w:val="156"/>
        </w:numPr>
        <w:tabs>
          <w:tab w:val="left" w:pos="709"/>
        </w:tabs>
        <w:spacing w:line="300" w:lineRule="atLeast"/>
        <w:ind w:left="993"/>
        <w:jc w:val="both"/>
        <w:rPr>
          <w:rFonts w:eastAsia="Times New Roman"/>
          <w:sz w:val="24"/>
          <w:szCs w:val="24"/>
        </w:rPr>
      </w:pPr>
      <w:r w:rsidRPr="003F0E6C">
        <w:rPr>
          <w:rFonts w:eastAsia="Times New Roman"/>
          <w:sz w:val="24"/>
          <w:szCs w:val="24"/>
        </w:rPr>
        <w:t xml:space="preserve">braku lub nierzetelnego prowadzenia </w:t>
      </w:r>
      <w:r>
        <w:rPr>
          <w:rFonts w:eastAsia="Times New Roman"/>
          <w:sz w:val="24"/>
          <w:szCs w:val="24"/>
        </w:rPr>
        <w:t xml:space="preserve">wymaganych </w:t>
      </w:r>
      <w:r w:rsidRPr="003F0E6C">
        <w:rPr>
          <w:rFonts w:eastAsia="Times New Roman"/>
          <w:sz w:val="24"/>
          <w:szCs w:val="24"/>
        </w:rPr>
        <w:t>ewidencji</w:t>
      </w:r>
      <w:r>
        <w:rPr>
          <w:rFonts w:eastAsia="Times New Roman"/>
          <w:sz w:val="24"/>
          <w:szCs w:val="24"/>
        </w:rPr>
        <w:t xml:space="preserve"> lub</w:t>
      </w:r>
      <w:r w:rsidRPr="003F0E6C">
        <w:rPr>
          <w:rFonts w:eastAsia="Times New Roman"/>
          <w:sz w:val="24"/>
          <w:szCs w:val="24"/>
        </w:rPr>
        <w:t xml:space="preserve"> rejestrów, </w:t>
      </w:r>
    </w:p>
    <w:p w14:paraId="4EE3704E" w14:textId="0F342F75" w:rsidR="00D91871" w:rsidRPr="003F0E6C" w:rsidRDefault="00D91871" w:rsidP="00D34F97">
      <w:pPr>
        <w:pStyle w:val="Akapitzlist"/>
        <w:numPr>
          <w:ilvl w:val="0"/>
          <w:numId w:val="156"/>
        </w:numPr>
        <w:tabs>
          <w:tab w:val="left" w:pos="709"/>
        </w:tabs>
        <w:spacing w:line="300" w:lineRule="atLeast"/>
        <w:ind w:left="993"/>
        <w:jc w:val="both"/>
        <w:rPr>
          <w:rFonts w:eastAsia="Times New Roman"/>
          <w:sz w:val="24"/>
          <w:szCs w:val="24"/>
        </w:rPr>
      </w:pPr>
      <w:r w:rsidRPr="003F0E6C">
        <w:rPr>
          <w:rFonts w:eastAsia="Times New Roman"/>
          <w:sz w:val="24"/>
          <w:szCs w:val="24"/>
        </w:rPr>
        <w:t>prowadzeni</w:t>
      </w:r>
      <w:r>
        <w:rPr>
          <w:rFonts w:eastAsia="Times New Roman"/>
          <w:sz w:val="24"/>
          <w:szCs w:val="24"/>
        </w:rPr>
        <w:t>a</w:t>
      </w:r>
      <w:r w:rsidRPr="003F0E6C">
        <w:rPr>
          <w:rFonts w:eastAsia="Times New Roman"/>
          <w:sz w:val="24"/>
          <w:szCs w:val="24"/>
        </w:rPr>
        <w:t xml:space="preserve"> ewidencji odpadów niezgodnie ze stanem rzeczywistym</w:t>
      </w:r>
      <w:r w:rsidR="00991450">
        <w:rPr>
          <w:rFonts w:eastAsia="Times New Roman"/>
          <w:sz w:val="24"/>
          <w:szCs w:val="24"/>
          <w:lang w:val="pl-PL"/>
        </w:rPr>
        <w:t>,</w:t>
      </w:r>
      <w:r w:rsidRPr="003F0E6C">
        <w:rPr>
          <w:rFonts w:eastAsia="Times New Roman"/>
          <w:sz w:val="24"/>
          <w:szCs w:val="24"/>
        </w:rPr>
        <w:t xml:space="preserve"> m. in. dla gnojowicy przekazywanej do wykorzystania do biogazowni,</w:t>
      </w:r>
    </w:p>
    <w:p w14:paraId="06583B61" w14:textId="77777777" w:rsidR="00D91871" w:rsidRPr="003F0E6C" w:rsidRDefault="00D91871" w:rsidP="00D34F97">
      <w:pPr>
        <w:pStyle w:val="Akapitzlist"/>
        <w:numPr>
          <w:ilvl w:val="0"/>
          <w:numId w:val="156"/>
        </w:numPr>
        <w:tabs>
          <w:tab w:val="left" w:pos="709"/>
        </w:tabs>
        <w:spacing w:after="60" w:line="300" w:lineRule="atLeast"/>
        <w:ind w:left="993"/>
        <w:jc w:val="both"/>
        <w:rPr>
          <w:rFonts w:eastAsia="Times New Roman"/>
          <w:sz w:val="24"/>
          <w:szCs w:val="24"/>
        </w:rPr>
      </w:pPr>
      <w:r w:rsidRPr="003F0E6C">
        <w:rPr>
          <w:rFonts w:eastAsia="Times New Roman"/>
          <w:sz w:val="24"/>
          <w:szCs w:val="24"/>
        </w:rPr>
        <w:t>nieinformowani</w:t>
      </w:r>
      <w:r>
        <w:rPr>
          <w:rFonts w:eastAsia="Times New Roman"/>
          <w:sz w:val="24"/>
          <w:szCs w:val="24"/>
        </w:rPr>
        <w:t>a</w:t>
      </w:r>
      <w:r w:rsidRPr="003F0E6C">
        <w:rPr>
          <w:rFonts w:eastAsia="Times New Roman"/>
          <w:sz w:val="24"/>
          <w:szCs w:val="24"/>
        </w:rPr>
        <w:t xml:space="preserve"> </w:t>
      </w:r>
      <w:proofErr w:type="spellStart"/>
      <w:r>
        <w:rPr>
          <w:rFonts w:eastAsia="Times New Roman"/>
          <w:sz w:val="24"/>
          <w:szCs w:val="24"/>
          <w:lang w:val="pl-PL"/>
        </w:rPr>
        <w:t>wioś</w:t>
      </w:r>
      <w:proofErr w:type="spellEnd"/>
      <w:r w:rsidRPr="003F0E6C">
        <w:rPr>
          <w:rFonts w:eastAsia="Times New Roman"/>
          <w:sz w:val="24"/>
          <w:szCs w:val="24"/>
        </w:rPr>
        <w:t xml:space="preserve"> o planowanym terminie oddania do użytkowania obiektu budowlanego - instalacji do chowu trzody chlewnej</w:t>
      </w:r>
      <w:r>
        <w:rPr>
          <w:rFonts w:eastAsia="Times New Roman"/>
          <w:sz w:val="24"/>
          <w:szCs w:val="24"/>
        </w:rPr>
        <w:t>,</w:t>
      </w:r>
    </w:p>
    <w:p w14:paraId="01EA9FF4" w14:textId="77777777" w:rsidR="00D91871" w:rsidRPr="003F0E6C" w:rsidRDefault="00D91871" w:rsidP="00D34F97">
      <w:pPr>
        <w:pStyle w:val="Akapitzlist"/>
        <w:numPr>
          <w:ilvl w:val="0"/>
          <w:numId w:val="156"/>
        </w:numPr>
        <w:tabs>
          <w:tab w:val="left" w:pos="709"/>
        </w:tabs>
        <w:spacing w:after="60" w:line="300" w:lineRule="atLeast"/>
        <w:ind w:left="993"/>
        <w:jc w:val="both"/>
        <w:rPr>
          <w:rFonts w:eastAsia="Times New Roman"/>
          <w:sz w:val="24"/>
          <w:szCs w:val="24"/>
        </w:rPr>
      </w:pPr>
      <w:r w:rsidRPr="003F0E6C">
        <w:rPr>
          <w:rFonts w:eastAsia="Times New Roman"/>
          <w:sz w:val="24"/>
          <w:szCs w:val="24"/>
        </w:rPr>
        <w:t>zbywani</w:t>
      </w:r>
      <w:r>
        <w:rPr>
          <w:rFonts w:eastAsia="Times New Roman"/>
          <w:sz w:val="24"/>
          <w:szCs w:val="24"/>
        </w:rPr>
        <w:t>a</w:t>
      </w:r>
      <w:r w:rsidRPr="003F0E6C">
        <w:rPr>
          <w:rFonts w:eastAsia="Times New Roman"/>
          <w:sz w:val="24"/>
          <w:szCs w:val="24"/>
        </w:rPr>
        <w:t xml:space="preserve"> ponad 30 % gnojowicy do rolniczego wykorzystania.</w:t>
      </w:r>
    </w:p>
    <w:p w14:paraId="21071175" w14:textId="77777777" w:rsidR="00D91871" w:rsidRPr="007F400A" w:rsidRDefault="00D91871" w:rsidP="00991450">
      <w:pPr>
        <w:spacing w:after="60" w:line="300" w:lineRule="atLeast"/>
        <w:jc w:val="both"/>
        <w:rPr>
          <w:rFonts w:ascii="Times New Roman" w:hAnsi="Times New Roman" w:cs="Times New Roman"/>
          <w:sz w:val="24"/>
          <w:szCs w:val="24"/>
        </w:rPr>
      </w:pPr>
      <w:r w:rsidRPr="00756743">
        <w:rPr>
          <w:rFonts w:ascii="Times New Roman" w:hAnsi="Times New Roman" w:cs="Times New Roman"/>
          <w:sz w:val="24"/>
          <w:szCs w:val="24"/>
        </w:rPr>
        <w:t>W związku ze stwierdzonymi naruszeniami:</w:t>
      </w:r>
      <w:r w:rsidRPr="007F400A">
        <w:rPr>
          <w:rFonts w:ascii="Times New Roman" w:hAnsi="Times New Roman" w:cs="Times New Roman"/>
          <w:sz w:val="24"/>
          <w:szCs w:val="24"/>
        </w:rPr>
        <w:t xml:space="preserve"> </w:t>
      </w:r>
    </w:p>
    <w:p w14:paraId="273589BA" w14:textId="77777777" w:rsidR="00D91871" w:rsidRPr="007F400A" w:rsidRDefault="00D91871" w:rsidP="00D34F97">
      <w:pPr>
        <w:numPr>
          <w:ilvl w:val="0"/>
          <w:numId w:val="72"/>
        </w:numPr>
        <w:spacing w:after="0" w:line="300" w:lineRule="atLeast"/>
        <w:ind w:left="851" w:hanging="284"/>
        <w:contextualSpacing/>
        <w:jc w:val="both"/>
        <w:rPr>
          <w:rFonts w:ascii="Times New Roman" w:eastAsia="Times New Roman" w:hAnsi="Times New Roman" w:cs="Times New Roman"/>
          <w:sz w:val="24"/>
          <w:szCs w:val="24"/>
          <w:lang w:val="x-none" w:eastAsia="pl-PL"/>
        </w:rPr>
      </w:pPr>
      <w:r w:rsidRPr="007F400A">
        <w:rPr>
          <w:rFonts w:ascii="Times New Roman" w:eastAsia="Times New Roman" w:hAnsi="Times New Roman" w:cs="Times New Roman"/>
          <w:sz w:val="24"/>
          <w:szCs w:val="24"/>
          <w:lang w:val="x-none" w:eastAsia="pl-PL"/>
        </w:rPr>
        <w:t xml:space="preserve">udzielono </w:t>
      </w:r>
      <w:r>
        <w:rPr>
          <w:rFonts w:ascii="Times New Roman" w:eastAsia="Times New Roman" w:hAnsi="Times New Roman" w:cs="Times New Roman"/>
          <w:sz w:val="24"/>
          <w:szCs w:val="24"/>
          <w:lang w:eastAsia="pl-PL"/>
        </w:rPr>
        <w:t>68</w:t>
      </w:r>
      <w:r w:rsidRPr="007F400A">
        <w:rPr>
          <w:rFonts w:ascii="Times New Roman" w:eastAsia="Times New Roman" w:hAnsi="Times New Roman" w:cs="Times New Roman"/>
          <w:sz w:val="24"/>
          <w:szCs w:val="24"/>
          <w:lang w:val="x-none" w:eastAsia="pl-PL"/>
        </w:rPr>
        <w:t xml:space="preserve"> poucze</w:t>
      </w:r>
      <w:r w:rsidRPr="007F400A">
        <w:rPr>
          <w:rFonts w:ascii="Times New Roman" w:eastAsia="Times New Roman" w:hAnsi="Times New Roman" w:cs="Times New Roman"/>
          <w:sz w:val="24"/>
          <w:szCs w:val="24"/>
          <w:lang w:eastAsia="pl-PL"/>
        </w:rPr>
        <w:t>ń</w:t>
      </w:r>
      <w:r w:rsidRPr="007F400A">
        <w:rPr>
          <w:rFonts w:ascii="Times New Roman" w:eastAsia="Times New Roman" w:hAnsi="Times New Roman" w:cs="Times New Roman"/>
          <w:sz w:val="24"/>
          <w:szCs w:val="24"/>
          <w:lang w:val="x-none" w:eastAsia="pl-PL"/>
        </w:rPr>
        <w:t xml:space="preserve">, </w:t>
      </w:r>
    </w:p>
    <w:p w14:paraId="4BF17558" w14:textId="77777777" w:rsidR="00D91871" w:rsidRPr="007F400A" w:rsidRDefault="00D91871" w:rsidP="00D34F97">
      <w:pPr>
        <w:numPr>
          <w:ilvl w:val="0"/>
          <w:numId w:val="72"/>
        </w:numPr>
        <w:spacing w:after="0" w:line="300" w:lineRule="atLeast"/>
        <w:ind w:left="851" w:hanging="284"/>
        <w:contextualSpacing/>
        <w:jc w:val="both"/>
        <w:rPr>
          <w:rFonts w:ascii="Times New Roman" w:eastAsia="Times New Roman" w:hAnsi="Times New Roman" w:cs="Times New Roman"/>
          <w:sz w:val="24"/>
          <w:szCs w:val="24"/>
          <w:lang w:val="x-none" w:eastAsia="pl-PL"/>
        </w:rPr>
      </w:pPr>
      <w:r w:rsidRPr="007F400A">
        <w:rPr>
          <w:rFonts w:ascii="Times New Roman" w:eastAsia="Times New Roman" w:hAnsi="Times New Roman" w:cs="Times New Roman"/>
          <w:sz w:val="24"/>
          <w:szCs w:val="24"/>
          <w:lang w:val="x-none" w:eastAsia="pl-PL"/>
        </w:rPr>
        <w:t xml:space="preserve">nałożono </w:t>
      </w:r>
      <w:r>
        <w:rPr>
          <w:rFonts w:ascii="Times New Roman" w:eastAsia="Times New Roman" w:hAnsi="Times New Roman" w:cs="Times New Roman"/>
          <w:sz w:val="24"/>
          <w:szCs w:val="24"/>
          <w:lang w:eastAsia="pl-PL"/>
        </w:rPr>
        <w:t>33</w:t>
      </w:r>
      <w:r w:rsidRPr="007F400A">
        <w:rPr>
          <w:rFonts w:ascii="Times New Roman" w:eastAsia="Times New Roman" w:hAnsi="Times New Roman" w:cs="Times New Roman"/>
          <w:sz w:val="24"/>
          <w:szCs w:val="24"/>
          <w:lang w:val="x-none" w:eastAsia="pl-PL"/>
        </w:rPr>
        <w:t xml:space="preserve"> mandat</w:t>
      </w:r>
      <w:r>
        <w:rPr>
          <w:rFonts w:ascii="Times New Roman" w:eastAsia="Times New Roman" w:hAnsi="Times New Roman" w:cs="Times New Roman"/>
          <w:sz w:val="24"/>
          <w:szCs w:val="24"/>
          <w:lang w:eastAsia="pl-PL"/>
        </w:rPr>
        <w:t>y</w:t>
      </w:r>
      <w:r w:rsidRPr="007F400A">
        <w:rPr>
          <w:rFonts w:ascii="Times New Roman" w:eastAsia="Times New Roman" w:hAnsi="Times New Roman" w:cs="Times New Roman"/>
          <w:sz w:val="24"/>
          <w:szCs w:val="24"/>
          <w:lang w:val="x-none" w:eastAsia="pl-PL"/>
        </w:rPr>
        <w:t xml:space="preserve"> karn</w:t>
      </w:r>
      <w:r>
        <w:rPr>
          <w:rFonts w:ascii="Times New Roman" w:eastAsia="Times New Roman" w:hAnsi="Times New Roman" w:cs="Times New Roman"/>
          <w:sz w:val="24"/>
          <w:szCs w:val="24"/>
          <w:lang w:eastAsia="pl-PL"/>
        </w:rPr>
        <w:t>e</w:t>
      </w:r>
      <w:r w:rsidRPr="007F400A">
        <w:rPr>
          <w:rFonts w:ascii="Times New Roman" w:eastAsia="Times New Roman" w:hAnsi="Times New Roman" w:cs="Times New Roman"/>
          <w:sz w:val="24"/>
          <w:szCs w:val="24"/>
          <w:lang w:val="x-none" w:eastAsia="pl-PL"/>
        </w:rPr>
        <w:t>,</w:t>
      </w:r>
    </w:p>
    <w:p w14:paraId="092F8378" w14:textId="77777777" w:rsidR="00D91871" w:rsidRPr="007F400A" w:rsidRDefault="00D91871" w:rsidP="00D34F97">
      <w:pPr>
        <w:numPr>
          <w:ilvl w:val="0"/>
          <w:numId w:val="72"/>
        </w:numPr>
        <w:spacing w:after="0" w:line="300" w:lineRule="atLeast"/>
        <w:ind w:left="851" w:hanging="284"/>
        <w:contextualSpacing/>
        <w:jc w:val="both"/>
        <w:rPr>
          <w:rFonts w:ascii="Times New Roman" w:eastAsia="Times New Roman" w:hAnsi="Times New Roman" w:cs="Times New Roman"/>
          <w:sz w:val="24"/>
          <w:szCs w:val="24"/>
          <w:lang w:val="x-none" w:eastAsia="pl-PL"/>
        </w:rPr>
      </w:pPr>
      <w:r w:rsidRPr="007F400A">
        <w:rPr>
          <w:rFonts w:ascii="Times New Roman" w:eastAsia="Times New Roman" w:hAnsi="Times New Roman" w:cs="Times New Roman"/>
          <w:sz w:val="24"/>
          <w:szCs w:val="24"/>
          <w:lang w:val="x-none" w:eastAsia="pl-PL"/>
        </w:rPr>
        <w:t xml:space="preserve">wydano </w:t>
      </w:r>
      <w:r>
        <w:rPr>
          <w:rFonts w:ascii="Times New Roman" w:eastAsia="Times New Roman" w:hAnsi="Times New Roman" w:cs="Times New Roman"/>
          <w:sz w:val="24"/>
          <w:szCs w:val="24"/>
          <w:lang w:eastAsia="pl-PL"/>
        </w:rPr>
        <w:t>72</w:t>
      </w:r>
      <w:r w:rsidRPr="007F400A">
        <w:rPr>
          <w:rFonts w:ascii="Times New Roman" w:eastAsia="Times New Roman" w:hAnsi="Times New Roman" w:cs="Times New Roman"/>
          <w:sz w:val="24"/>
          <w:szCs w:val="24"/>
          <w:lang w:val="x-none" w:eastAsia="pl-PL"/>
        </w:rPr>
        <w:t xml:space="preserve"> zarządze</w:t>
      </w:r>
      <w:r>
        <w:rPr>
          <w:rFonts w:ascii="Times New Roman" w:eastAsia="Times New Roman" w:hAnsi="Times New Roman" w:cs="Times New Roman"/>
          <w:sz w:val="24"/>
          <w:szCs w:val="24"/>
          <w:lang w:eastAsia="pl-PL"/>
        </w:rPr>
        <w:t>nia</w:t>
      </w:r>
      <w:r w:rsidRPr="007F400A">
        <w:rPr>
          <w:rFonts w:ascii="Times New Roman" w:eastAsia="Times New Roman" w:hAnsi="Times New Roman" w:cs="Times New Roman"/>
          <w:sz w:val="24"/>
          <w:szCs w:val="24"/>
          <w:lang w:val="x-none" w:eastAsia="pl-PL"/>
        </w:rPr>
        <w:t xml:space="preserve"> pokontroln</w:t>
      </w:r>
      <w:r>
        <w:rPr>
          <w:rFonts w:ascii="Times New Roman" w:eastAsia="Times New Roman" w:hAnsi="Times New Roman" w:cs="Times New Roman"/>
          <w:sz w:val="24"/>
          <w:szCs w:val="24"/>
          <w:lang w:eastAsia="pl-PL"/>
        </w:rPr>
        <w:t>e</w:t>
      </w:r>
      <w:r w:rsidRPr="007F400A">
        <w:rPr>
          <w:rFonts w:ascii="Times New Roman" w:eastAsia="Times New Roman" w:hAnsi="Times New Roman" w:cs="Times New Roman"/>
          <w:sz w:val="24"/>
          <w:szCs w:val="24"/>
          <w:lang w:val="x-none" w:eastAsia="pl-PL"/>
        </w:rPr>
        <w:t>,</w:t>
      </w:r>
    </w:p>
    <w:p w14:paraId="7ED3458B" w14:textId="77777777" w:rsidR="00D91871" w:rsidRPr="007F400A" w:rsidRDefault="00D91871" w:rsidP="00D34F97">
      <w:pPr>
        <w:numPr>
          <w:ilvl w:val="0"/>
          <w:numId w:val="72"/>
        </w:numPr>
        <w:spacing w:after="0" w:line="300" w:lineRule="atLeast"/>
        <w:ind w:left="851" w:hanging="284"/>
        <w:contextualSpacing/>
        <w:jc w:val="both"/>
        <w:rPr>
          <w:rFonts w:ascii="Times New Roman" w:eastAsia="Times New Roman" w:hAnsi="Times New Roman" w:cs="Times New Roman"/>
          <w:sz w:val="24"/>
          <w:szCs w:val="24"/>
          <w:lang w:val="x-none" w:eastAsia="pl-PL"/>
        </w:rPr>
      </w:pPr>
      <w:r w:rsidRPr="007F400A">
        <w:rPr>
          <w:rFonts w:ascii="Times New Roman" w:eastAsia="Times New Roman" w:hAnsi="Times New Roman" w:cs="Times New Roman"/>
          <w:sz w:val="24"/>
          <w:szCs w:val="24"/>
          <w:lang w:val="x-none" w:eastAsia="pl-PL"/>
        </w:rPr>
        <w:t xml:space="preserve">skierowano </w:t>
      </w:r>
      <w:r>
        <w:rPr>
          <w:rFonts w:ascii="Times New Roman" w:eastAsia="Times New Roman" w:hAnsi="Times New Roman" w:cs="Times New Roman"/>
          <w:sz w:val="24"/>
          <w:szCs w:val="24"/>
          <w:lang w:eastAsia="pl-PL"/>
        </w:rPr>
        <w:t>53</w:t>
      </w:r>
      <w:r w:rsidRPr="007F400A">
        <w:rPr>
          <w:rFonts w:ascii="Times New Roman" w:eastAsia="Times New Roman" w:hAnsi="Times New Roman" w:cs="Times New Roman"/>
          <w:sz w:val="24"/>
          <w:szCs w:val="24"/>
          <w:lang w:val="x-none" w:eastAsia="pl-PL"/>
        </w:rPr>
        <w:t xml:space="preserve"> wystąpie</w:t>
      </w:r>
      <w:r>
        <w:rPr>
          <w:rFonts w:ascii="Times New Roman" w:eastAsia="Times New Roman" w:hAnsi="Times New Roman" w:cs="Times New Roman"/>
          <w:sz w:val="24"/>
          <w:szCs w:val="24"/>
          <w:lang w:eastAsia="pl-PL"/>
        </w:rPr>
        <w:t>nia</w:t>
      </w:r>
      <w:r w:rsidRPr="007F400A">
        <w:rPr>
          <w:rFonts w:ascii="Times New Roman" w:eastAsia="Times New Roman" w:hAnsi="Times New Roman" w:cs="Times New Roman"/>
          <w:sz w:val="24"/>
          <w:szCs w:val="24"/>
          <w:lang w:val="x-none" w:eastAsia="pl-PL"/>
        </w:rPr>
        <w:t xml:space="preserve"> do organów administracji rządowej i samorządowej,</w:t>
      </w:r>
    </w:p>
    <w:p w14:paraId="0A1FD31F" w14:textId="77777777" w:rsidR="00D91871" w:rsidRPr="007F400A" w:rsidRDefault="00D91871" w:rsidP="00D34F97">
      <w:pPr>
        <w:numPr>
          <w:ilvl w:val="0"/>
          <w:numId w:val="72"/>
        </w:numPr>
        <w:spacing w:after="0" w:line="300" w:lineRule="atLeast"/>
        <w:ind w:left="851" w:hanging="284"/>
        <w:contextualSpacing/>
        <w:jc w:val="both"/>
        <w:rPr>
          <w:rFonts w:ascii="Times New Roman" w:eastAsia="Times New Roman" w:hAnsi="Times New Roman" w:cs="Times New Roman"/>
          <w:sz w:val="24"/>
          <w:szCs w:val="24"/>
          <w:lang w:val="x-none" w:eastAsia="pl-PL"/>
        </w:rPr>
      </w:pPr>
      <w:r w:rsidRPr="007F400A">
        <w:rPr>
          <w:rFonts w:ascii="Times New Roman" w:eastAsia="Times New Roman" w:hAnsi="Times New Roman" w:cs="Times New Roman"/>
          <w:sz w:val="24"/>
          <w:szCs w:val="24"/>
          <w:lang w:val="x-none" w:eastAsia="pl-PL"/>
        </w:rPr>
        <w:t xml:space="preserve">wydano </w:t>
      </w:r>
      <w:r>
        <w:rPr>
          <w:rFonts w:ascii="Times New Roman" w:eastAsia="Times New Roman" w:hAnsi="Times New Roman" w:cs="Times New Roman"/>
          <w:sz w:val="24"/>
          <w:szCs w:val="24"/>
          <w:lang w:eastAsia="pl-PL"/>
        </w:rPr>
        <w:t>8</w:t>
      </w:r>
      <w:r w:rsidRPr="007F400A">
        <w:rPr>
          <w:rFonts w:ascii="Times New Roman" w:eastAsia="Times New Roman" w:hAnsi="Times New Roman" w:cs="Times New Roman"/>
          <w:sz w:val="24"/>
          <w:szCs w:val="24"/>
          <w:lang w:val="x-none" w:eastAsia="pl-PL"/>
        </w:rPr>
        <w:t xml:space="preserve"> decyzji w sprawie nałożenia kar pieniężnych,</w:t>
      </w:r>
    </w:p>
    <w:p w14:paraId="0DE991EB" w14:textId="01F2F5DA" w:rsidR="00895F16" w:rsidRPr="007F400A" w:rsidRDefault="00D91871" w:rsidP="00D34F97">
      <w:pPr>
        <w:numPr>
          <w:ilvl w:val="0"/>
          <w:numId w:val="72"/>
        </w:numPr>
        <w:spacing w:after="0" w:line="300" w:lineRule="atLeast"/>
        <w:ind w:left="851" w:hanging="284"/>
        <w:contextualSpacing/>
        <w:jc w:val="both"/>
        <w:rPr>
          <w:rFonts w:ascii="Times New Roman" w:eastAsia="Times New Roman" w:hAnsi="Times New Roman" w:cs="Times New Roman"/>
          <w:sz w:val="24"/>
          <w:szCs w:val="24"/>
          <w:lang w:val="x-none" w:eastAsia="pl-PL"/>
        </w:rPr>
      </w:pPr>
      <w:r w:rsidRPr="007F400A">
        <w:rPr>
          <w:rFonts w:ascii="Times New Roman" w:eastAsia="Times New Roman" w:hAnsi="Times New Roman" w:cs="Times New Roman"/>
          <w:sz w:val="24"/>
          <w:szCs w:val="24"/>
          <w:lang w:val="x-none" w:eastAsia="pl-PL"/>
        </w:rPr>
        <w:t xml:space="preserve">wydano </w:t>
      </w:r>
      <w:r>
        <w:rPr>
          <w:rFonts w:ascii="Times New Roman" w:eastAsia="Times New Roman" w:hAnsi="Times New Roman" w:cs="Times New Roman"/>
          <w:sz w:val="24"/>
          <w:szCs w:val="24"/>
          <w:lang w:eastAsia="pl-PL"/>
        </w:rPr>
        <w:t>2</w:t>
      </w:r>
      <w:r w:rsidRPr="007F400A">
        <w:rPr>
          <w:rFonts w:ascii="Times New Roman" w:eastAsia="Times New Roman" w:hAnsi="Times New Roman" w:cs="Times New Roman"/>
          <w:sz w:val="24"/>
          <w:szCs w:val="24"/>
          <w:lang w:val="x-none" w:eastAsia="pl-PL"/>
        </w:rPr>
        <w:t xml:space="preserve"> decyzje w sprawie wstrzymania użytkowania instalacji</w:t>
      </w:r>
      <w:r w:rsidR="00895F16" w:rsidRPr="007F400A">
        <w:rPr>
          <w:rFonts w:ascii="Times New Roman" w:eastAsia="Times New Roman" w:hAnsi="Times New Roman" w:cs="Times New Roman"/>
          <w:sz w:val="24"/>
          <w:szCs w:val="24"/>
          <w:lang w:eastAsia="pl-PL"/>
        </w:rPr>
        <w:t>.</w:t>
      </w:r>
    </w:p>
    <w:p w14:paraId="548F91B4" w14:textId="77777777" w:rsidR="00895F16" w:rsidRPr="007F400A" w:rsidRDefault="00895F16" w:rsidP="00056EE7">
      <w:pPr>
        <w:spacing w:after="0" w:line="300" w:lineRule="atLeast"/>
        <w:ind w:left="720"/>
        <w:jc w:val="both"/>
        <w:rPr>
          <w:rFonts w:ascii="Times New Roman" w:eastAsia="Calibri" w:hAnsi="Times New Roman" w:cs="Times New Roman"/>
          <w:sz w:val="24"/>
          <w:szCs w:val="24"/>
          <w:lang w:eastAsia="pl-PL"/>
        </w:rPr>
      </w:pPr>
    </w:p>
    <w:p w14:paraId="22D57C1C" w14:textId="77777777" w:rsidR="00895F16" w:rsidRPr="007F400A" w:rsidRDefault="00895F16" w:rsidP="00126AF6">
      <w:pPr>
        <w:keepNext/>
        <w:spacing w:after="120" w:line="300" w:lineRule="atLeast"/>
        <w:jc w:val="both"/>
        <w:outlineLvl w:val="0"/>
        <w:rPr>
          <w:rFonts w:ascii="Times New Roman" w:eastAsia="Times New Roman" w:hAnsi="Times New Roman" w:cs="Times New Roman"/>
          <w:b/>
          <w:bCs/>
          <w:i/>
          <w:sz w:val="24"/>
          <w:szCs w:val="24"/>
          <w:lang w:val="x-none" w:eastAsia="x-none"/>
        </w:rPr>
      </w:pPr>
      <w:bookmarkStart w:id="67" w:name="_Toc36732558"/>
      <w:bookmarkStart w:id="68" w:name="_Toc135935585"/>
      <w:r w:rsidRPr="007F400A">
        <w:rPr>
          <w:rFonts w:ascii="Times New Roman" w:eastAsia="Times New Roman" w:hAnsi="Times New Roman" w:cs="Times New Roman"/>
          <w:b/>
          <w:bCs/>
          <w:sz w:val="24"/>
          <w:szCs w:val="24"/>
          <w:lang w:val="x-none" w:eastAsia="x-none"/>
        </w:rPr>
        <w:t>3.1.</w:t>
      </w:r>
      <w:r w:rsidRPr="007F400A">
        <w:rPr>
          <w:rFonts w:ascii="Times New Roman" w:eastAsia="Times New Roman" w:hAnsi="Times New Roman" w:cs="Times New Roman"/>
          <w:b/>
          <w:bCs/>
          <w:sz w:val="24"/>
          <w:szCs w:val="24"/>
          <w:lang w:eastAsia="x-none"/>
        </w:rPr>
        <w:t>6</w:t>
      </w:r>
      <w:r w:rsidRPr="007F400A">
        <w:rPr>
          <w:rFonts w:ascii="Times New Roman" w:eastAsia="Times New Roman" w:hAnsi="Times New Roman" w:cs="Times New Roman"/>
          <w:b/>
          <w:bCs/>
          <w:sz w:val="24"/>
          <w:szCs w:val="24"/>
          <w:lang w:val="x-none" w:eastAsia="x-none"/>
        </w:rPr>
        <w:t xml:space="preserve"> Fermy </w:t>
      </w:r>
      <w:r w:rsidRPr="007F400A">
        <w:rPr>
          <w:rFonts w:ascii="Times New Roman" w:eastAsia="Times New Roman" w:hAnsi="Times New Roman" w:cs="Times New Roman"/>
          <w:b/>
          <w:bCs/>
          <w:sz w:val="24"/>
          <w:szCs w:val="24"/>
          <w:lang w:eastAsia="x-none"/>
        </w:rPr>
        <w:t>drobiu</w:t>
      </w:r>
      <w:r w:rsidRPr="007F400A">
        <w:rPr>
          <w:rFonts w:ascii="Times New Roman" w:eastAsia="Times New Roman" w:hAnsi="Times New Roman" w:cs="Times New Roman"/>
          <w:b/>
          <w:bCs/>
          <w:sz w:val="24"/>
          <w:szCs w:val="24"/>
          <w:lang w:val="x-none" w:eastAsia="x-none"/>
        </w:rPr>
        <w:t xml:space="preserve"> wymagające pozwolenia zintegrowanego</w:t>
      </w:r>
      <w:bookmarkEnd w:id="67"/>
      <w:bookmarkEnd w:id="68"/>
    </w:p>
    <w:p w14:paraId="2091F184" w14:textId="2DD18F6B" w:rsidR="00D91871" w:rsidRPr="007F400A" w:rsidRDefault="00D91871" w:rsidP="00025FDA">
      <w:pPr>
        <w:spacing w:after="120" w:line="300" w:lineRule="atLeast"/>
        <w:ind w:firstLine="567"/>
        <w:jc w:val="both"/>
        <w:rPr>
          <w:rFonts w:ascii="Times New Roman" w:hAnsi="Times New Roman" w:cs="Times New Roman"/>
          <w:sz w:val="24"/>
          <w:szCs w:val="24"/>
        </w:rPr>
      </w:pPr>
      <w:r w:rsidRPr="007F400A">
        <w:rPr>
          <w:rFonts w:ascii="Times New Roman" w:hAnsi="Times New Roman" w:cs="Times New Roman"/>
          <w:sz w:val="24"/>
          <w:szCs w:val="24"/>
        </w:rPr>
        <w:t xml:space="preserve">W </w:t>
      </w:r>
      <w:r>
        <w:rPr>
          <w:rFonts w:ascii="Times New Roman" w:hAnsi="Times New Roman" w:cs="Times New Roman"/>
          <w:sz w:val="24"/>
          <w:szCs w:val="24"/>
        </w:rPr>
        <w:t xml:space="preserve">2022 r. w </w:t>
      </w:r>
      <w:r w:rsidRPr="007F400A">
        <w:rPr>
          <w:rFonts w:ascii="Times New Roman" w:hAnsi="Times New Roman" w:cs="Times New Roman"/>
          <w:sz w:val="24"/>
          <w:szCs w:val="24"/>
        </w:rPr>
        <w:t>skali kraju funkcjon</w:t>
      </w:r>
      <w:r>
        <w:rPr>
          <w:rFonts w:ascii="Times New Roman" w:hAnsi="Times New Roman" w:cs="Times New Roman"/>
          <w:sz w:val="24"/>
          <w:szCs w:val="24"/>
        </w:rPr>
        <w:t>owało</w:t>
      </w:r>
      <w:r w:rsidRPr="007F400A">
        <w:rPr>
          <w:rFonts w:ascii="Times New Roman" w:hAnsi="Times New Roman" w:cs="Times New Roman"/>
          <w:sz w:val="24"/>
          <w:szCs w:val="24"/>
        </w:rPr>
        <w:t xml:space="preserve"> 10</w:t>
      </w:r>
      <w:r>
        <w:rPr>
          <w:rFonts w:ascii="Times New Roman" w:hAnsi="Times New Roman" w:cs="Times New Roman"/>
          <w:sz w:val="24"/>
          <w:szCs w:val="24"/>
        </w:rPr>
        <w:t>50</w:t>
      </w:r>
      <w:r w:rsidRPr="007F400A">
        <w:rPr>
          <w:rFonts w:ascii="Times New Roman" w:hAnsi="Times New Roman" w:cs="Times New Roman"/>
          <w:sz w:val="24"/>
          <w:szCs w:val="24"/>
        </w:rPr>
        <w:t xml:space="preserve"> instalacji do chowu i hodowli drobiu wymagających pozwolenia zintegrowanego. Według stanu na dzień 31 grudnia 202</w:t>
      </w:r>
      <w:r>
        <w:rPr>
          <w:rFonts w:ascii="Times New Roman" w:hAnsi="Times New Roman" w:cs="Times New Roman"/>
          <w:sz w:val="24"/>
          <w:szCs w:val="24"/>
        </w:rPr>
        <w:t>2</w:t>
      </w:r>
      <w:r w:rsidRPr="007F400A">
        <w:rPr>
          <w:rFonts w:ascii="Times New Roman" w:hAnsi="Times New Roman" w:cs="Times New Roman"/>
          <w:sz w:val="24"/>
          <w:szCs w:val="24"/>
        </w:rPr>
        <w:t xml:space="preserve"> r., </w:t>
      </w:r>
      <w:r>
        <w:rPr>
          <w:rFonts w:ascii="Times New Roman" w:hAnsi="Times New Roman" w:cs="Times New Roman"/>
          <w:sz w:val="24"/>
          <w:szCs w:val="24"/>
        </w:rPr>
        <w:t>1</w:t>
      </w:r>
      <w:r w:rsidR="00646A2B">
        <w:rPr>
          <w:rFonts w:ascii="Times New Roman" w:hAnsi="Times New Roman" w:cs="Times New Roman"/>
          <w:sz w:val="24"/>
          <w:szCs w:val="24"/>
        </w:rPr>
        <w:t xml:space="preserve"> </w:t>
      </w:r>
      <w:r>
        <w:rPr>
          <w:rFonts w:ascii="Times New Roman" w:hAnsi="Times New Roman" w:cs="Times New Roman"/>
          <w:sz w:val="24"/>
          <w:szCs w:val="24"/>
        </w:rPr>
        <w:t>022</w:t>
      </w:r>
      <w:r w:rsidRPr="007F400A">
        <w:rPr>
          <w:rFonts w:ascii="Times New Roman" w:hAnsi="Times New Roman" w:cs="Times New Roman"/>
          <w:sz w:val="24"/>
          <w:szCs w:val="24"/>
        </w:rPr>
        <w:t xml:space="preserve"> instalacj</w:t>
      </w:r>
      <w:r w:rsidR="00646A2B">
        <w:rPr>
          <w:rFonts w:ascii="Times New Roman" w:hAnsi="Times New Roman" w:cs="Times New Roman"/>
          <w:sz w:val="24"/>
          <w:szCs w:val="24"/>
        </w:rPr>
        <w:t>e</w:t>
      </w:r>
      <w:r w:rsidRPr="007F400A">
        <w:rPr>
          <w:rFonts w:ascii="Times New Roman" w:hAnsi="Times New Roman" w:cs="Times New Roman"/>
          <w:sz w:val="24"/>
          <w:szCs w:val="24"/>
        </w:rPr>
        <w:t xml:space="preserve"> (tj. 9</w:t>
      </w:r>
      <w:r>
        <w:rPr>
          <w:rFonts w:ascii="Times New Roman" w:hAnsi="Times New Roman" w:cs="Times New Roman"/>
          <w:sz w:val="24"/>
          <w:szCs w:val="24"/>
        </w:rPr>
        <w:t>7</w:t>
      </w:r>
      <w:r w:rsidRPr="007F400A">
        <w:rPr>
          <w:rFonts w:ascii="Times New Roman" w:hAnsi="Times New Roman" w:cs="Times New Roman"/>
          <w:sz w:val="24"/>
          <w:szCs w:val="24"/>
        </w:rPr>
        <w:t>%) posiadał</w:t>
      </w:r>
      <w:r w:rsidR="00991450">
        <w:rPr>
          <w:rFonts w:ascii="Times New Roman" w:hAnsi="Times New Roman" w:cs="Times New Roman"/>
          <w:sz w:val="24"/>
          <w:szCs w:val="24"/>
        </w:rPr>
        <w:t>y</w:t>
      </w:r>
      <w:r w:rsidRPr="007F400A">
        <w:rPr>
          <w:rFonts w:ascii="Times New Roman" w:hAnsi="Times New Roman" w:cs="Times New Roman"/>
          <w:sz w:val="24"/>
          <w:szCs w:val="24"/>
        </w:rPr>
        <w:t xml:space="preserve"> pozwolenie zintegrowane. </w:t>
      </w:r>
    </w:p>
    <w:p w14:paraId="19EB1A7D" w14:textId="77777777" w:rsidR="00D91871" w:rsidRPr="007F400A" w:rsidRDefault="00D91871" w:rsidP="00025FDA">
      <w:pPr>
        <w:spacing w:after="60" w:line="300" w:lineRule="atLeast"/>
        <w:ind w:firstLine="567"/>
        <w:jc w:val="both"/>
        <w:rPr>
          <w:rFonts w:ascii="Times New Roman" w:hAnsi="Times New Roman" w:cs="Times New Roman"/>
          <w:sz w:val="24"/>
          <w:szCs w:val="24"/>
        </w:rPr>
      </w:pPr>
      <w:r w:rsidRPr="007F400A">
        <w:rPr>
          <w:rFonts w:ascii="Times New Roman" w:hAnsi="Times New Roman" w:cs="Times New Roman"/>
          <w:sz w:val="24"/>
          <w:szCs w:val="24"/>
        </w:rPr>
        <w:t>Wojewódzcy inspektorzy ochrony środowiska na 202</w:t>
      </w:r>
      <w:r>
        <w:rPr>
          <w:rFonts w:ascii="Times New Roman" w:hAnsi="Times New Roman" w:cs="Times New Roman"/>
          <w:sz w:val="24"/>
          <w:szCs w:val="24"/>
        </w:rPr>
        <w:t>2</w:t>
      </w:r>
      <w:r w:rsidRPr="007F400A">
        <w:rPr>
          <w:rFonts w:ascii="Times New Roman" w:hAnsi="Times New Roman" w:cs="Times New Roman"/>
          <w:sz w:val="24"/>
          <w:szCs w:val="24"/>
        </w:rPr>
        <w:t xml:space="preserve"> r. zaplanowali 3</w:t>
      </w:r>
      <w:r>
        <w:rPr>
          <w:rFonts w:ascii="Times New Roman" w:hAnsi="Times New Roman" w:cs="Times New Roman"/>
          <w:sz w:val="24"/>
          <w:szCs w:val="24"/>
        </w:rPr>
        <w:t>44</w:t>
      </w:r>
      <w:r w:rsidRPr="007F400A">
        <w:rPr>
          <w:rFonts w:ascii="Times New Roman" w:hAnsi="Times New Roman" w:cs="Times New Roman"/>
          <w:sz w:val="24"/>
          <w:szCs w:val="24"/>
        </w:rPr>
        <w:t xml:space="preserve"> kontrol</w:t>
      </w:r>
      <w:r>
        <w:rPr>
          <w:rFonts w:ascii="Times New Roman" w:hAnsi="Times New Roman" w:cs="Times New Roman"/>
          <w:sz w:val="24"/>
          <w:szCs w:val="24"/>
        </w:rPr>
        <w:t>e</w:t>
      </w:r>
      <w:r w:rsidRPr="007F400A">
        <w:rPr>
          <w:rFonts w:ascii="Times New Roman" w:hAnsi="Times New Roman" w:cs="Times New Roman"/>
          <w:sz w:val="24"/>
          <w:szCs w:val="24"/>
        </w:rPr>
        <w:t xml:space="preserve"> ferm drobiu, z czego przeprowadzili </w:t>
      </w:r>
      <w:r>
        <w:rPr>
          <w:rFonts w:ascii="Times New Roman" w:hAnsi="Times New Roman" w:cs="Times New Roman"/>
          <w:sz w:val="24"/>
          <w:szCs w:val="24"/>
        </w:rPr>
        <w:t xml:space="preserve">298 kontroli. </w:t>
      </w:r>
      <w:r w:rsidRPr="005117A4">
        <w:rPr>
          <w:rFonts w:ascii="Times New Roman" w:hAnsi="Times New Roman" w:cs="Times New Roman"/>
          <w:sz w:val="24"/>
          <w:szCs w:val="24"/>
        </w:rPr>
        <w:t xml:space="preserve">Dodatkowo, w 2022 r. zostało zakończonych </w:t>
      </w:r>
      <w:r>
        <w:rPr>
          <w:rFonts w:ascii="Times New Roman" w:hAnsi="Times New Roman" w:cs="Times New Roman"/>
          <w:sz w:val="24"/>
          <w:szCs w:val="24"/>
        </w:rPr>
        <w:t>13</w:t>
      </w:r>
      <w:r w:rsidRPr="005117A4">
        <w:rPr>
          <w:rFonts w:ascii="Times New Roman" w:hAnsi="Times New Roman" w:cs="Times New Roman"/>
          <w:sz w:val="24"/>
          <w:szCs w:val="24"/>
        </w:rPr>
        <w:t xml:space="preserve"> kontroli planowych rozpoczętych w 2021 r. oraz przeprowadzono</w:t>
      </w:r>
      <w:r>
        <w:rPr>
          <w:rFonts w:ascii="Times New Roman" w:hAnsi="Times New Roman" w:cs="Times New Roman"/>
          <w:sz w:val="24"/>
          <w:szCs w:val="24"/>
        </w:rPr>
        <w:t xml:space="preserve"> 18</w:t>
      </w:r>
      <w:r w:rsidRPr="005117A4">
        <w:rPr>
          <w:rFonts w:ascii="Times New Roman" w:hAnsi="Times New Roman" w:cs="Times New Roman"/>
          <w:sz w:val="24"/>
          <w:szCs w:val="24"/>
        </w:rPr>
        <w:t xml:space="preserve"> kontroli pozaplanowych</w:t>
      </w:r>
      <w:r>
        <w:rPr>
          <w:rFonts w:ascii="Times New Roman" w:hAnsi="Times New Roman" w:cs="Times New Roman"/>
          <w:sz w:val="24"/>
          <w:szCs w:val="24"/>
        </w:rPr>
        <w:t xml:space="preserve">. Łącznie przeprowadzono </w:t>
      </w:r>
      <w:r w:rsidRPr="007F400A">
        <w:rPr>
          <w:rFonts w:ascii="Times New Roman" w:hAnsi="Times New Roman" w:cs="Times New Roman"/>
          <w:sz w:val="24"/>
          <w:szCs w:val="24"/>
        </w:rPr>
        <w:t>32</w:t>
      </w:r>
      <w:r>
        <w:rPr>
          <w:rFonts w:ascii="Times New Roman" w:hAnsi="Times New Roman" w:cs="Times New Roman"/>
          <w:sz w:val="24"/>
          <w:szCs w:val="24"/>
        </w:rPr>
        <w:t>9</w:t>
      </w:r>
      <w:r w:rsidRPr="007F400A">
        <w:rPr>
          <w:rFonts w:ascii="Times New Roman" w:hAnsi="Times New Roman" w:cs="Times New Roman"/>
          <w:sz w:val="24"/>
          <w:szCs w:val="24"/>
        </w:rPr>
        <w:t xml:space="preserve"> kontroli. Podczas </w:t>
      </w:r>
      <w:r>
        <w:rPr>
          <w:rFonts w:ascii="Times New Roman" w:hAnsi="Times New Roman" w:cs="Times New Roman"/>
          <w:sz w:val="24"/>
          <w:szCs w:val="24"/>
        </w:rPr>
        <w:t>306</w:t>
      </w:r>
      <w:r w:rsidRPr="007F400A">
        <w:rPr>
          <w:rFonts w:ascii="Times New Roman" w:hAnsi="Times New Roman" w:cs="Times New Roman"/>
          <w:sz w:val="24"/>
          <w:szCs w:val="24"/>
        </w:rPr>
        <w:t xml:space="preserve"> kontroli (</w:t>
      </w:r>
      <w:r>
        <w:rPr>
          <w:rFonts w:ascii="Times New Roman" w:hAnsi="Times New Roman" w:cs="Times New Roman"/>
          <w:sz w:val="24"/>
          <w:szCs w:val="24"/>
        </w:rPr>
        <w:t>293</w:t>
      </w:r>
      <w:r w:rsidRPr="007F400A">
        <w:rPr>
          <w:rFonts w:ascii="Times New Roman" w:hAnsi="Times New Roman" w:cs="Times New Roman"/>
          <w:sz w:val="24"/>
          <w:szCs w:val="24"/>
        </w:rPr>
        <w:t xml:space="preserve"> planowych oraz </w:t>
      </w:r>
      <w:r>
        <w:rPr>
          <w:rFonts w:ascii="Times New Roman" w:hAnsi="Times New Roman" w:cs="Times New Roman"/>
          <w:sz w:val="24"/>
          <w:szCs w:val="24"/>
        </w:rPr>
        <w:t>13</w:t>
      </w:r>
      <w:r w:rsidRPr="007F400A">
        <w:rPr>
          <w:rFonts w:ascii="Times New Roman" w:hAnsi="Times New Roman" w:cs="Times New Roman"/>
          <w:sz w:val="24"/>
          <w:szCs w:val="24"/>
        </w:rPr>
        <w:t xml:space="preserve"> pozaplanowych) stwierdzono naruszenia przepisów ochrony środowiska, w tym: </w:t>
      </w:r>
    </w:p>
    <w:p w14:paraId="6B63F677" w14:textId="77777777" w:rsidR="00D91871" w:rsidRPr="007F400A" w:rsidRDefault="00D91871" w:rsidP="00D34F97">
      <w:pPr>
        <w:numPr>
          <w:ilvl w:val="0"/>
          <w:numId w:val="73"/>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eastAsia="pl-PL"/>
        </w:rPr>
        <w:t>248</w:t>
      </w:r>
      <w:r w:rsidRPr="007F400A">
        <w:rPr>
          <w:rFonts w:ascii="Times New Roman" w:eastAsia="Calibri" w:hAnsi="Times New Roman" w:cs="Times New Roman"/>
          <w:sz w:val="24"/>
          <w:szCs w:val="24"/>
          <w:lang w:val="x-none" w:eastAsia="pl-PL"/>
        </w:rPr>
        <w:t xml:space="preserve"> </w:t>
      </w:r>
      <w:r w:rsidRPr="007F400A">
        <w:rPr>
          <w:rFonts w:ascii="Times New Roman" w:eastAsia="Calibri" w:hAnsi="Times New Roman" w:cs="Times New Roman"/>
          <w:sz w:val="24"/>
          <w:szCs w:val="24"/>
          <w:lang w:eastAsia="pl-PL"/>
        </w:rPr>
        <w:t>(</w:t>
      </w:r>
      <w:r>
        <w:rPr>
          <w:rFonts w:ascii="Times New Roman" w:eastAsia="Calibri" w:hAnsi="Times New Roman" w:cs="Times New Roman"/>
          <w:sz w:val="24"/>
          <w:szCs w:val="24"/>
          <w:lang w:eastAsia="pl-PL"/>
        </w:rPr>
        <w:t>81</w:t>
      </w:r>
      <w:r w:rsidRPr="007F400A">
        <w:rPr>
          <w:rFonts w:ascii="Times New Roman" w:eastAsia="Calibri" w:hAnsi="Times New Roman" w:cs="Times New Roman"/>
          <w:sz w:val="24"/>
          <w:szCs w:val="24"/>
          <w:lang w:eastAsia="pl-PL"/>
        </w:rPr>
        <w:t>%)</w:t>
      </w:r>
      <w:r>
        <w:rPr>
          <w:rFonts w:ascii="Times New Roman" w:eastAsia="Calibri" w:hAnsi="Times New Roman" w:cs="Times New Roman"/>
          <w:sz w:val="24"/>
          <w:szCs w:val="24"/>
          <w:lang w:eastAsia="pl-PL"/>
        </w:rPr>
        <w:t xml:space="preserve"> kontroli z</w:t>
      </w:r>
      <w:r w:rsidRPr="007F400A">
        <w:rPr>
          <w:rFonts w:ascii="Times New Roman" w:eastAsia="Calibri" w:hAnsi="Times New Roman" w:cs="Times New Roman"/>
          <w:sz w:val="24"/>
          <w:szCs w:val="24"/>
          <w:lang w:eastAsia="pl-PL"/>
        </w:rPr>
        <w:t xml:space="preserve"> </w:t>
      </w:r>
      <w:r w:rsidRPr="007F400A">
        <w:rPr>
          <w:rFonts w:ascii="Times New Roman" w:eastAsia="Calibri" w:hAnsi="Times New Roman" w:cs="Times New Roman"/>
          <w:sz w:val="24"/>
          <w:szCs w:val="24"/>
          <w:lang w:val="x-none" w:eastAsia="pl-PL"/>
        </w:rPr>
        <w:t>narusze</w:t>
      </w:r>
      <w:r>
        <w:rPr>
          <w:rFonts w:ascii="Times New Roman" w:eastAsia="Calibri" w:hAnsi="Times New Roman" w:cs="Times New Roman"/>
          <w:sz w:val="24"/>
          <w:szCs w:val="24"/>
          <w:lang w:eastAsia="pl-PL"/>
        </w:rPr>
        <w:t xml:space="preserve">niami </w:t>
      </w:r>
      <w:r w:rsidRPr="007F400A">
        <w:rPr>
          <w:rFonts w:ascii="Times New Roman" w:eastAsia="Calibri" w:hAnsi="Times New Roman" w:cs="Times New Roman"/>
          <w:sz w:val="24"/>
          <w:szCs w:val="24"/>
          <w:lang w:val="x-none" w:eastAsia="pl-PL"/>
        </w:rPr>
        <w:t>formalny</w:t>
      </w:r>
      <w:r>
        <w:rPr>
          <w:rFonts w:ascii="Times New Roman" w:eastAsia="Calibri" w:hAnsi="Times New Roman" w:cs="Times New Roman"/>
          <w:sz w:val="24"/>
          <w:szCs w:val="24"/>
          <w:lang w:eastAsia="pl-PL"/>
        </w:rPr>
        <w:t>mi</w:t>
      </w:r>
      <w:r w:rsidRPr="007F400A">
        <w:rPr>
          <w:rFonts w:ascii="Times New Roman" w:eastAsia="Calibri" w:hAnsi="Times New Roman" w:cs="Times New Roman"/>
          <w:sz w:val="24"/>
          <w:szCs w:val="24"/>
          <w:lang w:val="x-none" w:eastAsia="pl-PL"/>
        </w:rPr>
        <w:t xml:space="preserve"> bez istotnego wpływu na środowisko,</w:t>
      </w:r>
    </w:p>
    <w:p w14:paraId="74F310E3" w14:textId="77777777" w:rsidR="00D91871" w:rsidRPr="00756743" w:rsidRDefault="00D91871" w:rsidP="00D34F97">
      <w:pPr>
        <w:numPr>
          <w:ilvl w:val="0"/>
          <w:numId w:val="73"/>
        </w:numPr>
        <w:spacing w:after="60" w:line="300" w:lineRule="atLeast"/>
        <w:ind w:left="924" w:hanging="357"/>
        <w:jc w:val="both"/>
        <w:rPr>
          <w:rFonts w:ascii="Times New Roman" w:eastAsia="Calibri" w:hAnsi="Times New Roman" w:cs="Times New Roman"/>
          <w:sz w:val="24"/>
          <w:szCs w:val="24"/>
          <w:lang w:val="x-none" w:eastAsia="pl-PL"/>
        </w:rPr>
      </w:pPr>
      <w:r w:rsidRPr="00756743">
        <w:rPr>
          <w:rFonts w:ascii="Times New Roman" w:eastAsia="Calibri" w:hAnsi="Times New Roman" w:cs="Times New Roman"/>
          <w:sz w:val="24"/>
          <w:szCs w:val="24"/>
          <w:lang w:eastAsia="pl-PL"/>
        </w:rPr>
        <w:t>58 (19%)</w:t>
      </w:r>
      <w:r w:rsidRPr="00756743">
        <w:rPr>
          <w:rFonts w:ascii="Times New Roman" w:eastAsia="Calibri" w:hAnsi="Times New Roman" w:cs="Times New Roman"/>
          <w:sz w:val="24"/>
          <w:szCs w:val="24"/>
          <w:lang w:val="x-none" w:eastAsia="pl-PL"/>
        </w:rPr>
        <w:t xml:space="preserve"> </w:t>
      </w:r>
      <w:r>
        <w:rPr>
          <w:rFonts w:ascii="Times New Roman" w:eastAsia="Calibri" w:hAnsi="Times New Roman" w:cs="Times New Roman"/>
          <w:sz w:val="24"/>
          <w:szCs w:val="24"/>
          <w:lang w:eastAsia="pl-PL"/>
        </w:rPr>
        <w:t xml:space="preserve">kontroli z </w:t>
      </w:r>
      <w:r w:rsidRPr="00756743">
        <w:rPr>
          <w:rFonts w:ascii="Times New Roman" w:eastAsia="Calibri" w:hAnsi="Times New Roman" w:cs="Times New Roman"/>
          <w:sz w:val="24"/>
          <w:szCs w:val="24"/>
          <w:lang w:val="x-none" w:eastAsia="pl-PL"/>
        </w:rPr>
        <w:t>narusze</w:t>
      </w:r>
      <w:r>
        <w:rPr>
          <w:rFonts w:ascii="Times New Roman" w:eastAsia="Calibri" w:hAnsi="Times New Roman" w:cs="Times New Roman"/>
          <w:sz w:val="24"/>
          <w:szCs w:val="24"/>
          <w:lang w:eastAsia="pl-PL"/>
        </w:rPr>
        <w:t>niami</w:t>
      </w:r>
      <w:r w:rsidRPr="00756743">
        <w:rPr>
          <w:rFonts w:ascii="Times New Roman" w:eastAsia="Calibri" w:hAnsi="Times New Roman" w:cs="Times New Roman"/>
          <w:sz w:val="24"/>
          <w:szCs w:val="24"/>
          <w:lang w:val="x-none" w:eastAsia="pl-PL"/>
        </w:rPr>
        <w:t xml:space="preserve"> mogący</w:t>
      </w:r>
      <w:r>
        <w:rPr>
          <w:rFonts w:ascii="Times New Roman" w:eastAsia="Calibri" w:hAnsi="Times New Roman" w:cs="Times New Roman"/>
          <w:sz w:val="24"/>
          <w:szCs w:val="24"/>
          <w:lang w:eastAsia="pl-PL"/>
        </w:rPr>
        <w:t>mi</w:t>
      </w:r>
      <w:r w:rsidRPr="00756743">
        <w:rPr>
          <w:rFonts w:ascii="Times New Roman" w:eastAsia="Calibri" w:hAnsi="Times New Roman" w:cs="Times New Roman"/>
          <w:sz w:val="24"/>
          <w:szCs w:val="24"/>
          <w:lang w:val="x-none" w:eastAsia="pl-PL"/>
        </w:rPr>
        <w:t xml:space="preserve"> spowodować zagrożenie lub zanieczyszczenie środowiska.</w:t>
      </w:r>
    </w:p>
    <w:p w14:paraId="2BDBD6C4" w14:textId="77777777" w:rsidR="00D91871" w:rsidRPr="00756743" w:rsidRDefault="00D91871" w:rsidP="00025FDA">
      <w:pPr>
        <w:spacing w:after="60" w:line="300" w:lineRule="atLeast"/>
        <w:jc w:val="both"/>
        <w:rPr>
          <w:rFonts w:ascii="Times New Roman" w:eastAsia="Times New Roman" w:hAnsi="Times New Roman" w:cs="Times New Roman"/>
          <w:bCs/>
          <w:sz w:val="24"/>
          <w:szCs w:val="24"/>
        </w:rPr>
      </w:pPr>
      <w:r w:rsidRPr="00756743">
        <w:rPr>
          <w:rFonts w:ascii="Times New Roman" w:eastAsia="Times New Roman" w:hAnsi="Times New Roman" w:cs="Times New Roman"/>
          <w:bCs/>
          <w:sz w:val="24"/>
          <w:szCs w:val="24"/>
        </w:rPr>
        <w:t>Stwierdzone naruszenia dotyczyły m.in.:</w:t>
      </w:r>
    </w:p>
    <w:p w14:paraId="2BCAF240" w14:textId="77777777" w:rsidR="00D91871" w:rsidRPr="00756743" w:rsidRDefault="00D91871" w:rsidP="00D34F97">
      <w:pPr>
        <w:numPr>
          <w:ilvl w:val="0"/>
          <w:numId w:val="74"/>
        </w:numPr>
        <w:spacing w:after="0" w:line="300" w:lineRule="atLeast"/>
        <w:ind w:left="924" w:hanging="357"/>
        <w:contextualSpacing/>
        <w:jc w:val="both"/>
        <w:rPr>
          <w:rFonts w:ascii="Times New Roman" w:eastAsia="Calibri" w:hAnsi="Times New Roman" w:cs="Times New Roman"/>
          <w:sz w:val="24"/>
          <w:szCs w:val="24"/>
          <w:lang w:val="x-none" w:eastAsia="pl-PL"/>
        </w:rPr>
      </w:pPr>
      <w:r w:rsidRPr="00756743">
        <w:rPr>
          <w:rFonts w:ascii="Times New Roman" w:eastAsia="Calibri" w:hAnsi="Times New Roman" w:cs="Times New Roman"/>
          <w:sz w:val="24"/>
          <w:szCs w:val="24"/>
          <w:lang w:val="x-none" w:eastAsia="pl-PL"/>
        </w:rPr>
        <w:t>braku pozwolenia zintegrowanego,</w:t>
      </w:r>
    </w:p>
    <w:p w14:paraId="23BC3AF2" w14:textId="77777777" w:rsidR="00D91871" w:rsidRPr="00756743" w:rsidRDefault="00D91871" w:rsidP="00D34F97">
      <w:pPr>
        <w:numPr>
          <w:ilvl w:val="0"/>
          <w:numId w:val="74"/>
        </w:numPr>
        <w:spacing w:after="0" w:line="300" w:lineRule="atLeast"/>
        <w:ind w:left="924" w:hanging="357"/>
        <w:contextualSpacing/>
        <w:jc w:val="both"/>
        <w:rPr>
          <w:rFonts w:ascii="Times New Roman" w:eastAsia="Calibri" w:hAnsi="Times New Roman" w:cs="Times New Roman"/>
          <w:sz w:val="24"/>
          <w:szCs w:val="24"/>
          <w:lang w:val="x-none" w:eastAsia="pl-PL"/>
        </w:rPr>
      </w:pPr>
      <w:r w:rsidRPr="00756743">
        <w:rPr>
          <w:rFonts w:ascii="Times New Roman" w:eastAsia="Calibri" w:hAnsi="Times New Roman" w:cs="Times New Roman"/>
          <w:sz w:val="24"/>
          <w:szCs w:val="24"/>
          <w:lang w:val="x-none" w:eastAsia="pl-PL"/>
        </w:rPr>
        <w:t>brak</w:t>
      </w:r>
      <w:r>
        <w:rPr>
          <w:rFonts w:ascii="Times New Roman" w:eastAsia="Calibri" w:hAnsi="Times New Roman" w:cs="Times New Roman"/>
          <w:sz w:val="24"/>
          <w:szCs w:val="24"/>
          <w:lang w:eastAsia="pl-PL"/>
        </w:rPr>
        <w:t>u</w:t>
      </w:r>
      <w:r w:rsidRPr="00756743">
        <w:rPr>
          <w:rFonts w:ascii="Times New Roman" w:eastAsia="Calibri" w:hAnsi="Times New Roman" w:cs="Times New Roman"/>
          <w:sz w:val="24"/>
          <w:szCs w:val="24"/>
          <w:lang w:val="x-none" w:eastAsia="pl-PL"/>
        </w:rPr>
        <w:t xml:space="preserve"> planu nawożenia azotem</w:t>
      </w:r>
      <w:r>
        <w:rPr>
          <w:rFonts w:ascii="Times New Roman" w:eastAsia="Calibri" w:hAnsi="Times New Roman" w:cs="Times New Roman"/>
          <w:sz w:val="24"/>
          <w:szCs w:val="24"/>
          <w:lang w:eastAsia="pl-PL"/>
        </w:rPr>
        <w:t>,</w:t>
      </w:r>
    </w:p>
    <w:p w14:paraId="072E2A83" w14:textId="77777777" w:rsidR="00D91871" w:rsidRPr="00756743" w:rsidRDefault="00D91871" w:rsidP="00D34F97">
      <w:pPr>
        <w:numPr>
          <w:ilvl w:val="0"/>
          <w:numId w:val="74"/>
        </w:numPr>
        <w:spacing w:after="0" w:line="300" w:lineRule="atLeast"/>
        <w:ind w:left="924" w:hanging="357"/>
        <w:contextualSpacing/>
        <w:jc w:val="both"/>
        <w:rPr>
          <w:rFonts w:ascii="Times New Roman" w:eastAsia="Calibri" w:hAnsi="Times New Roman" w:cs="Times New Roman"/>
          <w:sz w:val="24"/>
          <w:szCs w:val="24"/>
          <w:lang w:val="x-none" w:eastAsia="pl-PL"/>
        </w:rPr>
      </w:pPr>
      <w:r w:rsidRPr="00756743">
        <w:rPr>
          <w:rFonts w:ascii="Times New Roman" w:eastAsia="Calibri" w:hAnsi="Times New Roman" w:cs="Times New Roman"/>
          <w:sz w:val="24"/>
          <w:szCs w:val="24"/>
          <w:lang w:val="x-none" w:eastAsia="pl-PL"/>
        </w:rPr>
        <w:lastRenderedPageBreak/>
        <w:t>braku pozwolenia wodnoprawnego</w:t>
      </w:r>
      <w:r w:rsidRPr="00756743">
        <w:rPr>
          <w:rFonts w:ascii="Times New Roman" w:eastAsia="Calibri" w:hAnsi="Times New Roman" w:cs="Times New Roman"/>
          <w:sz w:val="24"/>
          <w:szCs w:val="24"/>
          <w:lang w:eastAsia="pl-PL"/>
        </w:rPr>
        <w:t xml:space="preserve"> na pobór wód z własnego ujęcia</w:t>
      </w:r>
      <w:r w:rsidRPr="00756743">
        <w:rPr>
          <w:rFonts w:ascii="Times New Roman" w:eastAsia="Calibri" w:hAnsi="Times New Roman" w:cs="Times New Roman"/>
          <w:sz w:val="24"/>
          <w:szCs w:val="24"/>
          <w:lang w:val="x-none" w:eastAsia="pl-PL"/>
        </w:rPr>
        <w:t>,</w:t>
      </w:r>
    </w:p>
    <w:p w14:paraId="112199D7" w14:textId="77777777" w:rsidR="00D91871" w:rsidRPr="00D726FC" w:rsidRDefault="00D91871" w:rsidP="00D34F97">
      <w:pPr>
        <w:numPr>
          <w:ilvl w:val="0"/>
          <w:numId w:val="74"/>
        </w:numPr>
        <w:spacing w:after="0" w:line="300" w:lineRule="atLeast"/>
        <w:ind w:left="924" w:hanging="357"/>
        <w:contextualSpacing/>
        <w:jc w:val="both"/>
        <w:rPr>
          <w:rFonts w:ascii="Times New Roman" w:eastAsia="Calibri" w:hAnsi="Times New Roman" w:cs="Times New Roman"/>
          <w:sz w:val="24"/>
          <w:szCs w:val="24"/>
          <w:lang w:val="x-none" w:eastAsia="pl-PL"/>
        </w:rPr>
      </w:pPr>
      <w:r w:rsidRPr="00756743">
        <w:rPr>
          <w:rFonts w:ascii="Times New Roman" w:eastAsia="Calibri" w:hAnsi="Times New Roman" w:cs="Times New Roman"/>
          <w:sz w:val="24"/>
          <w:szCs w:val="24"/>
          <w:lang w:val="x-none" w:eastAsia="pl-PL"/>
        </w:rPr>
        <w:t>naruszenia warunku pozwolenia</w:t>
      </w:r>
      <w:r w:rsidRPr="00756743">
        <w:rPr>
          <w:rFonts w:ascii="Times New Roman" w:eastAsia="Calibri" w:hAnsi="Times New Roman" w:cs="Times New Roman"/>
          <w:sz w:val="24"/>
          <w:szCs w:val="24"/>
          <w:lang w:eastAsia="pl-PL"/>
        </w:rPr>
        <w:t xml:space="preserve"> wodnoprawnego na szczególne korzystanie z wód w</w:t>
      </w:r>
      <w:r>
        <w:rPr>
          <w:rFonts w:ascii="Times New Roman" w:eastAsia="Calibri" w:hAnsi="Times New Roman" w:cs="Times New Roman"/>
          <w:sz w:val="24"/>
          <w:szCs w:val="24"/>
          <w:lang w:eastAsia="pl-PL"/>
        </w:rPr>
        <w:t xml:space="preserve"> zakresie </w:t>
      </w:r>
      <w:r w:rsidRPr="00756743">
        <w:rPr>
          <w:rFonts w:ascii="Times New Roman" w:eastAsia="Calibri" w:hAnsi="Times New Roman" w:cs="Times New Roman"/>
          <w:sz w:val="24"/>
          <w:szCs w:val="24"/>
          <w:lang w:eastAsia="pl-PL"/>
        </w:rPr>
        <w:t xml:space="preserve">wprowadzania do urządzeń kanalizacyjnych będących własnością innego </w:t>
      </w:r>
      <w:r w:rsidRPr="00D726FC">
        <w:rPr>
          <w:rFonts w:ascii="Times New Roman" w:eastAsia="Calibri" w:hAnsi="Times New Roman" w:cs="Times New Roman"/>
          <w:sz w:val="24"/>
          <w:szCs w:val="24"/>
          <w:lang w:eastAsia="pl-PL"/>
        </w:rPr>
        <w:t>podmiotu ścieków przemysłowych zawierających substancje szczególnie szkodliwe dla środowiska wodnego,</w:t>
      </w:r>
    </w:p>
    <w:p w14:paraId="51179410" w14:textId="77777777" w:rsidR="00D91871" w:rsidRPr="002951DF" w:rsidRDefault="00D91871" w:rsidP="00D34F97">
      <w:pPr>
        <w:numPr>
          <w:ilvl w:val="0"/>
          <w:numId w:val="74"/>
        </w:numPr>
        <w:spacing w:after="0" w:line="300" w:lineRule="atLeast"/>
        <w:ind w:left="924" w:hanging="357"/>
        <w:contextualSpacing/>
        <w:jc w:val="both"/>
        <w:rPr>
          <w:rFonts w:ascii="Times New Roman" w:eastAsia="Calibri" w:hAnsi="Times New Roman" w:cs="Times New Roman"/>
          <w:sz w:val="24"/>
          <w:szCs w:val="24"/>
          <w:lang w:val="x-none" w:eastAsia="pl-PL"/>
        </w:rPr>
      </w:pPr>
      <w:r w:rsidRPr="00D726FC">
        <w:rPr>
          <w:rFonts w:ascii="Times New Roman" w:eastAsia="Calibri" w:hAnsi="Times New Roman" w:cs="Times New Roman"/>
          <w:sz w:val="24"/>
          <w:szCs w:val="24"/>
          <w:lang w:val="x-none" w:eastAsia="pl-PL"/>
        </w:rPr>
        <w:t>naruszenia warunku pozwolenia zintegrowanego</w:t>
      </w:r>
      <w:r w:rsidRPr="00F319B1">
        <w:rPr>
          <w:rFonts w:ascii="Times New Roman" w:eastAsia="Calibri" w:hAnsi="Times New Roman" w:cs="Times New Roman"/>
          <w:sz w:val="24"/>
          <w:szCs w:val="24"/>
          <w:lang w:eastAsia="pl-PL"/>
        </w:rPr>
        <w:t xml:space="preserve"> w zakresie</w:t>
      </w:r>
      <w:r>
        <w:rPr>
          <w:rFonts w:ascii="Times New Roman" w:eastAsia="Calibri" w:hAnsi="Times New Roman" w:cs="Times New Roman"/>
          <w:sz w:val="24"/>
          <w:szCs w:val="24"/>
          <w:lang w:eastAsia="pl-PL"/>
        </w:rPr>
        <w:t>:</w:t>
      </w:r>
      <w:r w:rsidRPr="002951DF">
        <w:rPr>
          <w:rFonts w:ascii="Times New Roman" w:hAnsi="Times New Roman" w:cs="Times New Roman"/>
          <w:sz w:val="24"/>
          <w:szCs w:val="24"/>
        </w:rPr>
        <w:t xml:space="preserve"> przekroczenia czasu pracy instalacji, </w:t>
      </w:r>
      <w:r w:rsidRPr="00D726FC">
        <w:rPr>
          <w:rFonts w:ascii="Times New Roman" w:hAnsi="Times New Roman" w:cs="Times New Roman"/>
          <w:sz w:val="24"/>
          <w:szCs w:val="24"/>
        </w:rPr>
        <w:t>miejsca i sposobu magazynowania odpadów</w:t>
      </w:r>
      <w:r>
        <w:rPr>
          <w:rFonts w:ascii="Times New Roman" w:hAnsi="Times New Roman" w:cs="Times New Roman"/>
          <w:sz w:val="24"/>
          <w:szCs w:val="24"/>
        </w:rPr>
        <w:t>;</w:t>
      </w:r>
      <w:r w:rsidRPr="00D726FC">
        <w:rPr>
          <w:rFonts w:ascii="Times New Roman" w:hAnsi="Times New Roman" w:cs="Times New Roman"/>
          <w:sz w:val="24"/>
          <w:szCs w:val="24"/>
        </w:rPr>
        <w:t xml:space="preserve"> oddziaływania na wody podziemne, glebę i ziemię w związku z magazynowaniem odpadów </w:t>
      </w:r>
      <w:r w:rsidRPr="00F319B1">
        <w:rPr>
          <w:rFonts w:ascii="Times New Roman" w:hAnsi="Times New Roman" w:cs="Times New Roman"/>
          <w:sz w:val="24"/>
          <w:szCs w:val="24"/>
        </w:rPr>
        <w:t xml:space="preserve">bezpośrednio na gruncie, </w:t>
      </w:r>
      <w:r w:rsidRPr="002951DF">
        <w:rPr>
          <w:rFonts w:ascii="Times New Roman" w:hAnsi="Times New Roman" w:cs="Times New Roman"/>
          <w:sz w:val="24"/>
          <w:szCs w:val="24"/>
        </w:rPr>
        <w:t>p</w:t>
      </w:r>
      <w:r w:rsidRPr="00D726FC">
        <w:rPr>
          <w:rFonts w:ascii="Times New Roman" w:eastAsia="Calibri" w:hAnsi="Times New Roman" w:cs="Times New Roman"/>
          <w:sz w:val="24"/>
          <w:szCs w:val="24"/>
          <w:lang w:eastAsia="pl-PL"/>
        </w:rPr>
        <w:t>rzekroczenia wielkości emisji amoniaku, siarkowodoru i pyłu w stosunku do wartości dopuszczalnych określonych w pozwoleniu</w:t>
      </w:r>
      <w:r>
        <w:rPr>
          <w:rFonts w:ascii="Times New Roman" w:eastAsia="Calibri" w:hAnsi="Times New Roman" w:cs="Times New Roman"/>
          <w:sz w:val="24"/>
          <w:szCs w:val="24"/>
          <w:lang w:eastAsia="pl-PL"/>
        </w:rPr>
        <w:t>;</w:t>
      </w:r>
      <w:r w:rsidRPr="002951DF">
        <w:rPr>
          <w:rFonts w:ascii="Times New Roman" w:eastAsia="Calibri" w:hAnsi="Times New Roman" w:cs="Times New Roman"/>
          <w:sz w:val="24"/>
          <w:szCs w:val="24"/>
          <w:lang w:eastAsia="pl-PL"/>
        </w:rPr>
        <w:t xml:space="preserve"> nieprzedkładania </w:t>
      </w:r>
      <w:proofErr w:type="spellStart"/>
      <w:r>
        <w:rPr>
          <w:rFonts w:ascii="Times New Roman" w:eastAsia="Calibri" w:hAnsi="Times New Roman" w:cs="Times New Roman"/>
          <w:sz w:val="24"/>
          <w:szCs w:val="24"/>
          <w:lang w:eastAsia="pl-PL"/>
        </w:rPr>
        <w:t>wioś</w:t>
      </w:r>
      <w:proofErr w:type="spellEnd"/>
      <w:r w:rsidRPr="00D726FC">
        <w:rPr>
          <w:rFonts w:ascii="Times New Roman" w:eastAsia="Calibri" w:hAnsi="Times New Roman" w:cs="Times New Roman"/>
          <w:sz w:val="24"/>
          <w:szCs w:val="24"/>
          <w:lang w:eastAsia="pl-PL"/>
        </w:rPr>
        <w:t xml:space="preserve"> informacji o wynikach monitorowania wielkości emisji i parametrów procesu technologicznego w</w:t>
      </w:r>
      <w:r>
        <w:rPr>
          <w:rFonts w:ascii="Times New Roman" w:eastAsia="Calibri" w:hAnsi="Times New Roman" w:cs="Times New Roman"/>
          <w:sz w:val="24"/>
          <w:szCs w:val="24"/>
          <w:lang w:eastAsia="pl-PL"/>
        </w:rPr>
        <w:t> </w:t>
      </w:r>
      <w:r w:rsidRPr="00D726FC">
        <w:rPr>
          <w:rFonts w:ascii="Times New Roman" w:eastAsia="Calibri" w:hAnsi="Times New Roman" w:cs="Times New Roman"/>
          <w:sz w:val="24"/>
          <w:szCs w:val="24"/>
          <w:lang w:eastAsia="pl-PL"/>
        </w:rPr>
        <w:t xml:space="preserve">ustawowym terminie, </w:t>
      </w:r>
    </w:p>
    <w:p w14:paraId="1098042E" w14:textId="77777777" w:rsidR="00D91871" w:rsidRPr="002951DF" w:rsidRDefault="00D91871" w:rsidP="00D34F97">
      <w:pPr>
        <w:numPr>
          <w:ilvl w:val="0"/>
          <w:numId w:val="74"/>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eastAsia="pl-PL"/>
        </w:rPr>
        <w:t xml:space="preserve">naruszenia warunków pozwoleń wodnoprawnych w zakresie poboru wód podziemnych, </w:t>
      </w:r>
      <w:r w:rsidRPr="00C16B1A">
        <w:rPr>
          <w:rFonts w:ascii="Times New Roman" w:eastAsia="Calibri" w:hAnsi="Times New Roman" w:cs="Times New Roman"/>
          <w:sz w:val="24"/>
          <w:szCs w:val="24"/>
          <w:lang w:eastAsia="pl-PL"/>
        </w:rPr>
        <w:t xml:space="preserve">wymaganej </w:t>
      </w:r>
      <w:r>
        <w:rPr>
          <w:rFonts w:ascii="Times New Roman" w:eastAsia="Calibri" w:hAnsi="Times New Roman" w:cs="Times New Roman"/>
          <w:sz w:val="24"/>
          <w:szCs w:val="24"/>
          <w:lang w:eastAsia="pl-PL"/>
        </w:rPr>
        <w:t>liczby</w:t>
      </w:r>
      <w:r w:rsidRPr="00C16B1A">
        <w:rPr>
          <w:rFonts w:ascii="Times New Roman" w:eastAsia="Calibri" w:hAnsi="Times New Roman" w:cs="Times New Roman"/>
          <w:sz w:val="24"/>
          <w:szCs w:val="24"/>
          <w:lang w:eastAsia="pl-PL"/>
        </w:rPr>
        <w:t xml:space="preserve"> badań jakości</w:t>
      </w:r>
      <w:r>
        <w:rPr>
          <w:rFonts w:ascii="Times New Roman" w:eastAsia="Calibri" w:hAnsi="Times New Roman" w:cs="Times New Roman"/>
          <w:sz w:val="24"/>
          <w:szCs w:val="24"/>
          <w:lang w:eastAsia="pl-PL"/>
        </w:rPr>
        <w:t xml:space="preserve"> ścieków</w:t>
      </w:r>
      <w:r w:rsidRPr="00C16B1A">
        <w:rPr>
          <w:rFonts w:ascii="Times New Roman" w:eastAsia="Calibri" w:hAnsi="Times New Roman" w:cs="Times New Roman"/>
          <w:sz w:val="24"/>
          <w:szCs w:val="24"/>
          <w:lang w:eastAsia="pl-PL"/>
        </w:rPr>
        <w:t xml:space="preserve"> oczyszczonych</w:t>
      </w:r>
      <w:r>
        <w:rPr>
          <w:rFonts w:ascii="Times New Roman" w:eastAsia="Calibri" w:hAnsi="Times New Roman" w:cs="Times New Roman"/>
          <w:sz w:val="24"/>
          <w:szCs w:val="24"/>
          <w:lang w:eastAsia="pl-PL"/>
        </w:rPr>
        <w:t>,</w:t>
      </w:r>
    </w:p>
    <w:p w14:paraId="32E50E70" w14:textId="77777777" w:rsidR="00D91871" w:rsidRPr="00756743" w:rsidRDefault="00D91871" w:rsidP="00D34F97">
      <w:pPr>
        <w:numPr>
          <w:ilvl w:val="0"/>
          <w:numId w:val="74"/>
        </w:numPr>
        <w:spacing w:after="0" w:line="300" w:lineRule="atLeast"/>
        <w:ind w:left="924" w:hanging="357"/>
        <w:contextualSpacing/>
        <w:jc w:val="both"/>
        <w:rPr>
          <w:rFonts w:ascii="Times New Roman" w:eastAsia="Calibri" w:hAnsi="Times New Roman" w:cs="Times New Roman"/>
          <w:sz w:val="24"/>
          <w:szCs w:val="24"/>
          <w:lang w:val="x-none" w:eastAsia="pl-PL"/>
        </w:rPr>
      </w:pPr>
      <w:r w:rsidRPr="00F319B1">
        <w:rPr>
          <w:rFonts w:ascii="Times New Roman" w:hAnsi="Times New Roman" w:cs="Times New Roman"/>
          <w:sz w:val="24"/>
          <w:szCs w:val="24"/>
        </w:rPr>
        <w:t>brak zgłoszenia instalacji, z której emisja nie wymaga pozwolenia</w:t>
      </w:r>
      <w:r>
        <w:rPr>
          <w:rFonts w:ascii="Times New Roman" w:hAnsi="Times New Roman" w:cs="Times New Roman"/>
          <w:sz w:val="24"/>
          <w:szCs w:val="24"/>
        </w:rPr>
        <w:t>,</w:t>
      </w:r>
    </w:p>
    <w:p w14:paraId="18679B3B" w14:textId="7E9A4A6E" w:rsidR="00D91871" w:rsidRDefault="00D91871" w:rsidP="00D34F97">
      <w:pPr>
        <w:numPr>
          <w:ilvl w:val="0"/>
          <w:numId w:val="74"/>
        </w:numPr>
        <w:spacing w:after="0" w:line="300" w:lineRule="atLeast"/>
        <w:ind w:left="924" w:hanging="357"/>
        <w:contextualSpacing/>
        <w:jc w:val="both"/>
        <w:rPr>
          <w:rFonts w:ascii="Times New Roman" w:eastAsia="Calibri" w:hAnsi="Times New Roman" w:cs="Times New Roman"/>
          <w:sz w:val="24"/>
          <w:szCs w:val="24"/>
          <w:lang w:val="x-none" w:eastAsia="pl-PL"/>
        </w:rPr>
      </w:pPr>
      <w:r w:rsidRPr="00756743">
        <w:rPr>
          <w:rFonts w:ascii="Times New Roman" w:eastAsia="Calibri" w:hAnsi="Times New Roman" w:cs="Times New Roman"/>
          <w:sz w:val="24"/>
          <w:szCs w:val="24"/>
          <w:lang w:val="x-none" w:eastAsia="pl-PL"/>
        </w:rPr>
        <w:t>nieprzekazywani</w:t>
      </w:r>
      <w:r>
        <w:rPr>
          <w:rFonts w:ascii="Times New Roman" w:eastAsia="Calibri" w:hAnsi="Times New Roman" w:cs="Times New Roman"/>
          <w:sz w:val="24"/>
          <w:szCs w:val="24"/>
          <w:lang w:eastAsia="pl-PL"/>
        </w:rPr>
        <w:t>a</w:t>
      </w:r>
      <w:r w:rsidRPr="00756743">
        <w:rPr>
          <w:rFonts w:ascii="Times New Roman" w:eastAsia="Calibri" w:hAnsi="Times New Roman" w:cs="Times New Roman"/>
          <w:sz w:val="24"/>
          <w:szCs w:val="24"/>
          <w:lang w:val="x-none" w:eastAsia="pl-PL"/>
        </w:rPr>
        <w:t xml:space="preserve"> lub nieterminowe</w:t>
      </w:r>
      <w:r>
        <w:rPr>
          <w:rFonts w:ascii="Times New Roman" w:eastAsia="Calibri" w:hAnsi="Times New Roman" w:cs="Times New Roman"/>
          <w:sz w:val="24"/>
          <w:szCs w:val="24"/>
          <w:lang w:eastAsia="pl-PL"/>
        </w:rPr>
        <w:t>go</w:t>
      </w:r>
      <w:r w:rsidRPr="00756743">
        <w:rPr>
          <w:rFonts w:ascii="Times New Roman" w:eastAsia="Calibri" w:hAnsi="Times New Roman" w:cs="Times New Roman"/>
          <w:sz w:val="24"/>
          <w:szCs w:val="24"/>
          <w:lang w:val="x-none" w:eastAsia="pl-PL"/>
        </w:rPr>
        <w:t xml:space="preserve"> przekazywani</w:t>
      </w:r>
      <w:r>
        <w:rPr>
          <w:rFonts w:ascii="Times New Roman" w:eastAsia="Calibri" w:hAnsi="Times New Roman" w:cs="Times New Roman"/>
          <w:sz w:val="24"/>
          <w:szCs w:val="24"/>
          <w:lang w:eastAsia="pl-PL"/>
        </w:rPr>
        <w:t>a</w:t>
      </w:r>
      <w:r w:rsidRPr="00756743">
        <w:rPr>
          <w:rFonts w:ascii="Times New Roman" w:eastAsia="Calibri" w:hAnsi="Times New Roman" w:cs="Times New Roman"/>
          <w:sz w:val="24"/>
          <w:szCs w:val="24"/>
          <w:lang w:eastAsia="pl-PL"/>
        </w:rPr>
        <w:t xml:space="preserve"> </w:t>
      </w:r>
      <w:proofErr w:type="spellStart"/>
      <w:r>
        <w:rPr>
          <w:rFonts w:ascii="Times New Roman" w:eastAsia="Calibri" w:hAnsi="Times New Roman" w:cs="Times New Roman"/>
          <w:sz w:val="24"/>
          <w:szCs w:val="24"/>
          <w:lang w:eastAsia="pl-PL"/>
        </w:rPr>
        <w:t>wioś</w:t>
      </w:r>
      <w:proofErr w:type="spellEnd"/>
      <w:r w:rsidRPr="00756743">
        <w:rPr>
          <w:rFonts w:ascii="Times New Roman" w:eastAsia="Calibri" w:hAnsi="Times New Roman" w:cs="Times New Roman"/>
          <w:sz w:val="24"/>
          <w:szCs w:val="24"/>
          <w:lang w:val="x-none" w:eastAsia="pl-PL"/>
        </w:rPr>
        <w:t xml:space="preserve"> wyników </w:t>
      </w:r>
      <w:r w:rsidR="00663D56" w:rsidRPr="00663D56">
        <w:rPr>
          <w:rFonts w:ascii="Times New Roman" w:eastAsia="Calibri" w:hAnsi="Times New Roman" w:cs="Times New Roman"/>
          <w:sz w:val="24"/>
          <w:szCs w:val="24"/>
          <w:lang w:val="x-none" w:eastAsia="pl-PL"/>
        </w:rPr>
        <w:t>pomiarów wielkości emisji określonych w Konkluzjach BAT</w:t>
      </w:r>
      <w:r w:rsidRPr="00756743">
        <w:rPr>
          <w:rFonts w:ascii="Times New Roman" w:eastAsia="Calibri" w:hAnsi="Times New Roman" w:cs="Times New Roman"/>
          <w:sz w:val="24"/>
          <w:szCs w:val="24"/>
          <w:lang w:val="x-none" w:eastAsia="pl-PL"/>
        </w:rPr>
        <w:t xml:space="preserve">, </w:t>
      </w:r>
    </w:p>
    <w:p w14:paraId="59BAF748" w14:textId="77777777" w:rsidR="00D91871" w:rsidRPr="002951DF" w:rsidRDefault="00D91871" w:rsidP="00D34F97">
      <w:pPr>
        <w:numPr>
          <w:ilvl w:val="0"/>
          <w:numId w:val="74"/>
        </w:numPr>
        <w:spacing w:after="0" w:line="300" w:lineRule="atLeast"/>
        <w:ind w:left="924" w:hanging="357"/>
        <w:contextualSpacing/>
        <w:jc w:val="both"/>
        <w:rPr>
          <w:rFonts w:ascii="Times New Roman" w:eastAsia="Calibri" w:hAnsi="Times New Roman" w:cs="Times New Roman"/>
          <w:sz w:val="24"/>
          <w:szCs w:val="24"/>
          <w:lang w:val="x-none" w:eastAsia="pl-PL"/>
        </w:rPr>
      </w:pPr>
      <w:r w:rsidRPr="00756743">
        <w:rPr>
          <w:rFonts w:ascii="Times New Roman" w:eastAsia="Calibri" w:hAnsi="Times New Roman" w:cs="Times New Roman"/>
          <w:sz w:val="24"/>
          <w:szCs w:val="24"/>
          <w:lang w:val="x-none" w:eastAsia="pl-PL"/>
        </w:rPr>
        <w:t>nieterminowe</w:t>
      </w:r>
      <w:r>
        <w:rPr>
          <w:rFonts w:ascii="Times New Roman" w:eastAsia="Calibri" w:hAnsi="Times New Roman" w:cs="Times New Roman"/>
          <w:sz w:val="24"/>
          <w:szCs w:val="24"/>
          <w:lang w:eastAsia="pl-PL"/>
        </w:rPr>
        <w:t>go</w:t>
      </w:r>
      <w:r w:rsidRPr="00756743">
        <w:rPr>
          <w:rFonts w:ascii="Times New Roman" w:eastAsia="Calibri" w:hAnsi="Times New Roman" w:cs="Times New Roman"/>
          <w:sz w:val="24"/>
          <w:szCs w:val="24"/>
          <w:lang w:val="x-none" w:eastAsia="pl-PL"/>
        </w:rPr>
        <w:t xml:space="preserve"> </w:t>
      </w:r>
      <w:proofErr w:type="spellStart"/>
      <w:r w:rsidRPr="00756743">
        <w:rPr>
          <w:rFonts w:ascii="Times New Roman" w:eastAsia="Calibri" w:hAnsi="Times New Roman" w:cs="Times New Roman"/>
          <w:sz w:val="24"/>
          <w:szCs w:val="24"/>
          <w:lang w:val="x-none" w:eastAsia="pl-PL"/>
        </w:rPr>
        <w:t>przedkł</w:t>
      </w:r>
      <w:r w:rsidRPr="00756743">
        <w:rPr>
          <w:rFonts w:ascii="Times New Roman" w:eastAsia="Calibri" w:hAnsi="Times New Roman" w:cs="Times New Roman"/>
          <w:sz w:val="24"/>
          <w:szCs w:val="24"/>
          <w:lang w:eastAsia="pl-PL"/>
        </w:rPr>
        <w:t>ad</w:t>
      </w:r>
      <w:r w:rsidRPr="00756743">
        <w:rPr>
          <w:rFonts w:ascii="Times New Roman" w:eastAsia="Calibri" w:hAnsi="Times New Roman" w:cs="Times New Roman"/>
          <w:sz w:val="24"/>
          <w:szCs w:val="24"/>
          <w:lang w:val="x-none" w:eastAsia="pl-PL"/>
        </w:rPr>
        <w:t>ani</w:t>
      </w:r>
      <w:r>
        <w:rPr>
          <w:rFonts w:ascii="Times New Roman" w:eastAsia="Calibri" w:hAnsi="Times New Roman" w:cs="Times New Roman"/>
          <w:sz w:val="24"/>
          <w:szCs w:val="24"/>
          <w:lang w:eastAsia="pl-PL"/>
        </w:rPr>
        <w:t>a</w:t>
      </w:r>
      <w:proofErr w:type="spellEnd"/>
      <w:r>
        <w:rPr>
          <w:rFonts w:ascii="Times New Roman" w:eastAsia="Calibri" w:hAnsi="Times New Roman" w:cs="Times New Roman"/>
          <w:sz w:val="24"/>
          <w:szCs w:val="24"/>
          <w:lang w:eastAsia="pl-PL"/>
        </w:rPr>
        <w:t xml:space="preserve"> </w:t>
      </w:r>
      <w:proofErr w:type="spellStart"/>
      <w:r>
        <w:rPr>
          <w:rFonts w:ascii="Times New Roman" w:eastAsia="Calibri" w:hAnsi="Times New Roman" w:cs="Times New Roman"/>
          <w:sz w:val="24"/>
          <w:szCs w:val="24"/>
          <w:lang w:eastAsia="pl-PL"/>
        </w:rPr>
        <w:t>wioś</w:t>
      </w:r>
      <w:proofErr w:type="spellEnd"/>
      <w:r w:rsidRPr="00756743">
        <w:rPr>
          <w:rFonts w:ascii="Times New Roman" w:eastAsia="Calibri" w:hAnsi="Times New Roman" w:cs="Times New Roman"/>
          <w:sz w:val="24"/>
          <w:szCs w:val="24"/>
          <w:lang w:val="x-none" w:eastAsia="pl-PL"/>
        </w:rPr>
        <w:t xml:space="preserve"> kopii planu nawożenia azotem</w:t>
      </w:r>
      <w:r w:rsidRPr="00756743">
        <w:rPr>
          <w:rFonts w:ascii="Times New Roman" w:eastAsia="Calibri" w:hAnsi="Times New Roman" w:cs="Times New Roman"/>
          <w:sz w:val="24"/>
          <w:szCs w:val="24"/>
          <w:lang w:eastAsia="pl-PL"/>
        </w:rPr>
        <w:t xml:space="preserve"> wraz z kopią pozytywnej opinii okręgowej stacji chemiczno-rolniczej do planu</w:t>
      </w:r>
      <w:r>
        <w:rPr>
          <w:rFonts w:ascii="Times New Roman" w:eastAsia="Calibri" w:hAnsi="Times New Roman" w:cs="Times New Roman"/>
          <w:sz w:val="24"/>
          <w:szCs w:val="24"/>
          <w:lang w:eastAsia="pl-PL"/>
        </w:rPr>
        <w:t>,</w:t>
      </w:r>
    </w:p>
    <w:p w14:paraId="74AD5E9E" w14:textId="77777777" w:rsidR="00D91871" w:rsidRPr="00756743" w:rsidRDefault="00D91871" w:rsidP="00D34F97">
      <w:pPr>
        <w:numPr>
          <w:ilvl w:val="0"/>
          <w:numId w:val="74"/>
        </w:numPr>
        <w:spacing w:after="120" w:line="300" w:lineRule="atLeast"/>
        <w:ind w:left="924" w:hanging="357"/>
        <w:jc w:val="both"/>
        <w:rPr>
          <w:rFonts w:ascii="Times New Roman" w:eastAsia="Calibri" w:hAnsi="Times New Roman" w:cs="Times New Roman"/>
          <w:sz w:val="24"/>
          <w:szCs w:val="24"/>
          <w:lang w:val="x-none" w:eastAsia="pl-PL"/>
        </w:rPr>
      </w:pPr>
      <w:r w:rsidRPr="00C16B1A">
        <w:rPr>
          <w:rFonts w:ascii="Times New Roman" w:eastAsia="Calibri" w:hAnsi="Times New Roman" w:cs="Times New Roman"/>
          <w:sz w:val="24"/>
          <w:szCs w:val="24"/>
          <w:lang w:eastAsia="pl-PL"/>
        </w:rPr>
        <w:t>niezapewnieni</w:t>
      </w:r>
      <w:r>
        <w:rPr>
          <w:rFonts w:ascii="Times New Roman" w:eastAsia="Calibri" w:hAnsi="Times New Roman" w:cs="Times New Roman"/>
          <w:sz w:val="24"/>
          <w:szCs w:val="24"/>
          <w:lang w:eastAsia="pl-PL"/>
        </w:rPr>
        <w:t>a</w:t>
      </w:r>
      <w:r w:rsidRPr="00C16B1A">
        <w:rPr>
          <w:rFonts w:ascii="Times New Roman" w:eastAsia="Calibri" w:hAnsi="Times New Roman" w:cs="Times New Roman"/>
          <w:sz w:val="24"/>
          <w:szCs w:val="24"/>
          <w:lang w:eastAsia="pl-PL"/>
        </w:rPr>
        <w:t xml:space="preserve"> nieprzepuszczalnych miejsc do przechowywania nawozów naturalnych stałych</w:t>
      </w:r>
      <w:r>
        <w:rPr>
          <w:rFonts w:ascii="Times New Roman" w:eastAsia="Calibri" w:hAnsi="Times New Roman" w:cs="Times New Roman"/>
          <w:sz w:val="24"/>
          <w:szCs w:val="24"/>
          <w:lang w:eastAsia="pl-PL"/>
        </w:rPr>
        <w:t>.</w:t>
      </w:r>
    </w:p>
    <w:p w14:paraId="3A13CEF5" w14:textId="77777777" w:rsidR="00D91871" w:rsidRPr="00756743" w:rsidRDefault="00D91871" w:rsidP="00025FDA">
      <w:pPr>
        <w:spacing w:after="60" w:line="300" w:lineRule="atLeast"/>
        <w:jc w:val="both"/>
        <w:rPr>
          <w:rFonts w:ascii="Times New Roman" w:hAnsi="Times New Roman" w:cs="Times New Roman"/>
          <w:sz w:val="24"/>
          <w:szCs w:val="24"/>
        </w:rPr>
      </w:pPr>
      <w:r w:rsidRPr="00756743">
        <w:rPr>
          <w:rFonts w:ascii="Times New Roman" w:hAnsi="Times New Roman" w:cs="Times New Roman"/>
          <w:sz w:val="24"/>
          <w:szCs w:val="24"/>
        </w:rPr>
        <w:t xml:space="preserve">W związku ze stwierdzonymi naruszeniami: </w:t>
      </w:r>
    </w:p>
    <w:p w14:paraId="24F754B6" w14:textId="77777777" w:rsidR="00D91871" w:rsidRPr="00E712EA" w:rsidRDefault="00D91871" w:rsidP="00D34F97">
      <w:pPr>
        <w:pStyle w:val="Akapitzlist"/>
        <w:numPr>
          <w:ilvl w:val="0"/>
          <w:numId w:val="157"/>
        </w:numPr>
        <w:spacing w:line="300" w:lineRule="atLeast"/>
        <w:ind w:left="924" w:hanging="357"/>
        <w:jc w:val="both"/>
        <w:rPr>
          <w:rFonts w:eastAsia="Times New Roman"/>
          <w:sz w:val="24"/>
          <w:szCs w:val="24"/>
        </w:rPr>
      </w:pPr>
      <w:r w:rsidRPr="00E712EA">
        <w:rPr>
          <w:rFonts w:eastAsia="Times New Roman"/>
          <w:sz w:val="24"/>
          <w:szCs w:val="24"/>
        </w:rPr>
        <w:t xml:space="preserve">udzielono 213 pouczeń, </w:t>
      </w:r>
    </w:p>
    <w:p w14:paraId="3F799D70" w14:textId="77777777" w:rsidR="00D91871" w:rsidRPr="00E712EA" w:rsidRDefault="00D91871" w:rsidP="00D34F97">
      <w:pPr>
        <w:pStyle w:val="Akapitzlist"/>
        <w:numPr>
          <w:ilvl w:val="0"/>
          <w:numId w:val="157"/>
        </w:numPr>
        <w:spacing w:line="300" w:lineRule="atLeast"/>
        <w:ind w:left="924" w:hanging="357"/>
        <w:jc w:val="both"/>
        <w:rPr>
          <w:rFonts w:eastAsia="Times New Roman"/>
          <w:sz w:val="24"/>
          <w:szCs w:val="24"/>
        </w:rPr>
      </w:pPr>
      <w:r w:rsidRPr="00E712EA">
        <w:rPr>
          <w:rFonts w:eastAsia="Times New Roman"/>
          <w:sz w:val="24"/>
          <w:szCs w:val="24"/>
        </w:rPr>
        <w:t>nałożono 107 mandatów karnych,</w:t>
      </w:r>
    </w:p>
    <w:p w14:paraId="3799AAEE" w14:textId="77777777" w:rsidR="00D91871" w:rsidRPr="00E712EA" w:rsidRDefault="00D91871" w:rsidP="00D34F97">
      <w:pPr>
        <w:pStyle w:val="Akapitzlist"/>
        <w:numPr>
          <w:ilvl w:val="0"/>
          <w:numId w:val="157"/>
        </w:numPr>
        <w:spacing w:line="300" w:lineRule="atLeast"/>
        <w:ind w:left="924" w:hanging="357"/>
        <w:jc w:val="both"/>
        <w:rPr>
          <w:rFonts w:eastAsia="Times New Roman"/>
          <w:sz w:val="24"/>
          <w:szCs w:val="24"/>
        </w:rPr>
      </w:pPr>
      <w:r w:rsidRPr="00E712EA">
        <w:rPr>
          <w:rFonts w:eastAsia="Times New Roman"/>
          <w:sz w:val="24"/>
          <w:szCs w:val="24"/>
        </w:rPr>
        <w:t>skierowano 10 wniosków do sądów o ukaranie karą grzywny,</w:t>
      </w:r>
    </w:p>
    <w:p w14:paraId="1D3F2CC0" w14:textId="77777777" w:rsidR="00D91871" w:rsidRPr="00E712EA" w:rsidRDefault="00D91871" w:rsidP="00D34F97">
      <w:pPr>
        <w:pStyle w:val="Akapitzlist"/>
        <w:numPr>
          <w:ilvl w:val="0"/>
          <w:numId w:val="157"/>
        </w:numPr>
        <w:spacing w:line="300" w:lineRule="atLeast"/>
        <w:ind w:left="924" w:hanging="357"/>
        <w:jc w:val="both"/>
        <w:rPr>
          <w:rFonts w:eastAsia="Times New Roman"/>
          <w:sz w:val="24"/>
          <w:szCs w:val="24"/>
        </w:rPr>
      </w:pPr>
      <w:r w:rsidRPr="00E712EA">
        <w:rPr>
          <w:rFonts w:eastAsia="Times New Roman"/>
          <w:sz w:val="24"/>
          <w:szCs w:val="24"/>
        </w:rPr>
        <w:t>wydano 202 zarządzenia pokontrolne,</w:t>
      </w:r>
    </w:p>
    <w:p w14:paraId="1BA495BF" w14:textId="77777777" w:rsidR="00D91871" w:rsidRPr="00E712EA" w:rsidRDefault="00D91871" w:rsidP="00D34F97">
      <w:pPr>
        <w:pStyle w:val="Akapitzlist"/>
        <w:numPr>
          <w:ilvl w:val="0"/>
          <w:numId w:val="157"/>
        </w:numPr>
        <w:spacing w:line="300" w:lineRule="atLeast"/>
        <w:ind w:left="924" w:hanging="357"/>
        <w:jc w:val="both"/>
        <w:rPr>
          <w:rFonts w:eastAsia="Times New Roman"/>
          <w:sz w:val="24"/>
          <w:szCs w:val="24"/>
        </w:rPr>
      </w:pPr>
      <w:r w:rsidRPr="00E712EA">
        <w:rPr>
          <w:rFonts w:eastAsia="Times New Roman"/>
          <w:sz w:val="24"/>
          <w:szCs w:val="24"/>
        </w:rPr>
        <w:t>skierowano 152 wystąpienia do organów administracji rządowej i samorządowej,</w:t>
      </w:r>
    </w:p>
    <w:p w14:paraId="14118B9E" w14:textId="77777777" w:rsidR="00D91871" w:rsidRPr="00E712EA" w:rsidRDefault="00D91871" w:rsidP="00D34F97">
      <w:pPr>
        <w:pStyle w:val="Akapitzlist"/>
        <w:numPr>
          <w:ilvl w:val="0"/>
          <w:numId w:val="157"/>
        </w:numPr>
        <w:spacing w:line="300" w:lineRule="atLeast"/>
        <w:ind w:left="924" w:hanging="357"/>
        <w:rPr>
          <w:rFonts w:eastAsia="Times New Roman"/>
          <w:sz w:val="24"/>
          <w:szCs w:val="24"/>
        </w:rPr>
      </w:pPr>
      <w:r w:rsidRPr="00E712EA">
        <w:rPr>
          <w:sz w:val="24"/>
          <w:szCs w:val="24"/>
        </w:rPr>
        <w:t xml:space="preserve">wydano 18 </w:t>
      </w:r>
      <w:r w:rsidRPr="00E712EA">
        <w:rPr>
          <w:rFonts w:eastAsia="Times New Roman"/>
          <w:sz w:val="24"/>
          <w:szCs w:val="24"/>
        </w:rPr>
        <w:t>decyzji w sprawie nałożenia kar pieniężnych,</w:t>
      </w:r>
    </w:p>
    <w:p w14:paraId="3A841664" w14:textId="0025EDF7" w:rsidR="00895F16" w:rsidRPr="00D91871" w:rsidRDefault="00D91871" w:rsidP="00D34F97">
      <w:pPr>
        <w:numPr>
          <w:ilvl w:val="0"/>
          <w:numId w:val="75"/>
        </w:numPr>
        <w:spacing w:after="0" w:line="300" w:lineRule="atLeast"/>
        <w:ind w:left="924" w:hanging="357"/>
        <w:contextualSpacing/>
        <w:rPr>
          <w:rFonts w:ascii="Times New Roman" w:eastAsia="Times New Roman" w:hAnsi="Times New Roman" w:cs="Times New Roman"/>
          <w:sz w:val="24"/>
          <w:szCs w:val="24"/>
          <w:lang w:val="x-none" w:eastAsia="pl-PL"/>
        </w:rPr>
      </w:pPr>
      <w:r w:rsidRPr="00D91871">
        <w:rPr>
          <w:rFonts w:ascii="Times New Roman" w:eastAsia="Times New Roman" w:hAnsi="Times New Roman" w:cs="Times New Roman"/>
          <w:sz w:val="24"/>
          <w:szCs w:val="24"/>
        </w:rPr>
        <w:t>wydano 4 decyzje w sprawie wstrzymania użytkowania instalacji</w:t>
      </w:r>
      <w:r w:rsidR="00895F16" w:rsidRPr="00D91871">
        <w:rPr>
          <w:rFonts w:ascii="Times New Roman" w:eastAsia="Times New Roman" w:hAnsi="Times New Roman" w:cs="Times New Roman"/>
          <w:sz w:val="24"/>
          <w:szCs w:val="24"/>
          <w:lang w:val="x-none" w:eastAsia="pl-PL"/>
        </w:rPr>
        <w:t>.</w:t>
      </w:r>
    </w:p>
    <w:p w14:paraId="785BBCDD" w14:textId="77777777" w:rsidR="00895F16" w:rsidRPr="007F400A" w:rsidRDefault="00895F16" w:rsidP="00056EE7">
      <w:pPr>
        <w:spacing w:after="0" w:line="300" w:lineRule="atLeast"/>
        <w:ind w:left="993"/>
        <w:contextualSpacing/>
        <w:jc w:val="both"/>
        <w:rPr>
          <w:rFonts w:ascii="Times New Roman" w:eastAsia="Times New Roman" w:hAnsi="Times New Roman" w:cs="Times New Roman"/>
          <w:sz w:val="24"/>
          <w:szCs w:val="24"/>
          <w:lang w:val="x-none" w:eastAsia="pl-PL"/>
        </w:rPr>
      </w:pPr>
    </w:p>
    <w:p w14:paraId="72694F83" w14:textId="77777777" w:rsidR="00895F16" w:rsidRPr="007F400A" w:rsidRDefault="00895F16" w:rsidP="00056EE7">
      <w:pPr>
        <w:keepNext/>
        <w:spacing w:after="60" w:line="300" w:lineRule="atLeast"/>
        <w:jc w:val="both"/>
        <w:outlineLvl w:val="0"/>
        <w:rPr>
          <w:rFonts w:ascii="Times New Roman" w:eastAsia="Times New Roman" w:hAnsi="Times New Roman" w:cs="Times New Roman"/>
          <w:b/>
          <w:bCs/>
          <w:i/>
          <w:sz w:val="24"/>
          <w:szCs w:val="24"/>
          <w:lang w:val="x-none" w:eastAsia="x-none"/>
        </w:rPr>
      </w:pPr>
      <w:bookmarkStart w:id="69" w:name="_Toc5878540"/>
      <w:bookmarkStart w:id="70" w:name="_Toc36732559"/>
      <w:bookmarkStart w:id="71" w:name="_Toc135935586"/>
      <w:bookmarkEnd w:id="59"/>
      <w:bookmarkEnd w:id="60"/>
      <w:bookmarkEnd w:id="61"/>
      <w:bookmarkEnd w:id="62"/>
      <w:bookmarkEnd w:id="63"/>
      <w:bookmarkEnd w:id="64"/>
      <w:bookmarkEnd w:id="65"/>
      <w:r w:rsidRPr="007F400A">
        <w:rPr>
          <w:rFonts w:ascii="Times New Roman" w:eastAsia="Times New Roman" w:hAnsi="Times New Roman" w:cs="Times New Roman"/>
          <w:b/>
          <w:bCs/>
          <w:sz w:val="24"/>
          <w:szCs w:val="24"/>
          <w:lang w:val="x-none" w:eastAsia="x-none"/>
        </w:rPr>
        <w:t>3.2 Kontrola zakładów II kategorii ryzyka</w:t>
      </w:r>
      <w:bookmarkEnd w:id="69"/>
      <w:bookmarkEnd w:id="70"/>
      <w:bookmarkEnd w:id="71"/>
    </w:p>
    <w:p w14:paraId="4D1C3DB7" w14:textId="77777777" w:rsidR="00895F16" w:rsidRPr="007F400A" w:rsidRDefault="00895F16" w:rsidP="00056EE7">
      <w:pPr>
        <w:keepNext/>
        <w:spacing w:after="120" w:line="300" w:lineRule="atLeast"/>
        <w:jc w:val="both"/>
        <w:outlineLvl w:val="0"/>
        <w:rPr>
          <w:rFonts w:ascii="Times New Roman" w:eastAsia="Times New Roman" w:hAnsi="Times New Roman" w:cs="Times New Roman"/>
          <w:b/>
          <w:bCs/>
          <w:i/>
          <w:sz w:val="24"/>
          <w:szCs w:val="24"/>
          <w:lang w:val="x-none" w:eastAsia="x-none"/>
        </w:rPr>
      </w:pPr>
      <w:bookmarkStart w:id="72" w:name="_Toc5878541"/>
      <w:bookmarkStart w:id="73" w:name="_Toc36732560"/>
      <w:bookmarkStart w:id="74" w:name="_Toc135935587"/>
      <w:r w:rsidRPr="007F400A">
        <w:rPr>
          <w:rFonts w:ascii="Times New Roman" w:eastAsia="Times New Roman" w:hAnsi="Times New Roman" w:cs="Times New Roman"/>
          <w:b/>
          <w:bCs/>
          <w:sz w:val="24"/>
          <w:szCs w:val="24"/>
          <w:lang w:val="x-none" w:eastAsia="x-none"/>
        </w:rPr>
        <w:t>3.2.1 Zakłady o zwiększonym ryzyku wystąpienia poważnej awarii przemysłowej (ZZR)</w:t>
      </w:r>
      <w:bookmarkEnd w:id="72"/>
      <w:bookmarkEnd w:id="73"/>
      <w:bookmarkEnd w:id="74"/>
    </w:p>
    <w:p w14:paraId="5402BE1F" w14:textId="77777777" w:rsidR="00D91871" w:rsidRDefault="00D91871" w:rsidP="00025FDA">
      <w:pPr>
        <w:spacing w:after="60" w:line="300" w:lineRule="atLeast"/>
        <w:ind w:firstLine="567"/>
        <w:jc w:val="both"/>
        <w:rPr>
          <w:rFonts w:ascii="Times New Roman" w:hAnsi="Times New Roman" w:cs="Times New Roman"/>
          <w:sz w:val="24"/>
          <w:szCs w:val="24"/>
        </w:rPr>
      </w:pPr>
      <w:r>
        <w:rPr>
          <w:rFonts w:ascii="Times New Roman" w:eastAsia="Times New Roman" w:hAnsi="Times New Roman" w:cs="Times New Roman"/>
          <w:sz w:val="24"/>
          <w:szCs w:val="24"/>
        </w:rPr>
        <w:t xml:space="preserve">W 2022 roku wojewódzcy inspektorzy ochrony środowiska przeprowadzili 122 kontrole w zakładach o zwiększonym ryzyku wystąpienia poważnej awarii przemysłowej (ZZR). W przypadku </w:t>
      </w:r>
      <w:r>
        <w:rPr>
          <w:rFonts w:ascii="Times New Roman" w:hAnsi="Times New Roman" w:cs="Times New Roman"/>
          <w:bCs/>
          <w:sz w:val="24"/>
          <w:szCs w:val="24"/>
        </w:rPr>
        <w:t xml:space="preserve">29 </w:t>
      </w:r>
      <w:r>
        <w:rPr>
          <w:rFonts w:ascii="Times New Roman" w:hAnsi="Times New Roman" w:cs="Times New Roman"/>
          <w:sz w:val="24"/>
          <w:szCs w:val="24"/>
        </w:rPr>
        <w:t>kontroli stwierdzono naruszenia przepisów ochrony środowiska, w tym:</w:t>
      </w:r>
    </w:p>
    <w:p w14:paraId="08449750" w14:textId="77777777" w:rsidR="00D91871" w:rsidRDefault="00D91871" w:rsidP="00D34F97">
      <w:pPr>
        <w:numPr>
          <w:ilvl w:val="0"/>
          <w:numId w:val="78"/>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eastAsia="pl-PL"/>
        </w:rPr>
        <w:t>w przypadku 25 kontroli</w:t>
      </w:r>
      <w:r>
        <w:rPr>
          <w:rFonts w:ascii="Times New Roman" w:eastAsia="Calibri" w:hAnsi="Times New Roman" w:cs="Times New Roman"/>
          <w:sz w:val="24"/>
          <w:szCs w:val="24"/>
          <w:lang w:val="x-none" w:eastAsia="pl-PL"/>
        </w:rPr>
        <w:t xml:space="preserve"> (</w:t>
      </w:r>
      <w:r>
        <w:rPr>
          <w:rFonts w:ascii="Times New Roman" w:eastAsia="Calibri" w:hAnsi="Times New Roman" w:cs="Times New Roman"/>
          <w:sz w:val="24"/>
          <w:szCs w:val="24"/>
          <w:lang w:eastAsia="pl-PL"/>
        </w:rPr>
        <w:t>86</w:t>
      </w:r>
      <w:r>
        <w:rPr>
          <w:rFonts w:ascii="Times New Roman" w:eastAsia="Calibri" w:hAnsi="Times New Roman" w:cs="Times New Roman"/>
          <w:sz w:val="24"/>
          <w:szCs w:val="24"/>
          <w:lang w:val="x-none" w:eastAsia="pl-PL"/>
        </w:rPr>
        <w:t>%) narusze</w:t>
      </w:r>
      <w:r>
        <w:rPr>
          <w:rFonts w:ascii="Times New Roman" w:eastAsia="Calibri" w:hAnsi="Times New Roman" w:cs="Times New Roman"/>
          <w:sz w:val="24"/>
          <w:szCs w:val="24"/>
          <w:lang w:eastAsia="pl-PL"/>
        </w:rPr>
        <w:t xml:space="preserve">ń </w:t>
      </w:r>
      <w:r>
        <w:rPr>
          <w:rFonts w:ascii="Times New Roman" w:eastAsia="Calibri" w:hAnsi="Times New Roman" w:cs="Times New Roman"/>
          <w:sz w:val="24"/>
          <w:szCs w:val="24"/>
          <w:lang w:val="x-none" w:eastAsia="pl-PL"/>
        </w:rPr>
        <w:t>formaln</w:t>
      </w:r>
      <w:r>
        <w:rPr>
          <w:rFonts w:ascii="Times New Roman" w:eastAsia="Calibri" w:hAnsi="Times New Roman" w:cs="Times New Roman"/>
          <w:sz w:val="24"/>
          <w:szCs w:val="24"/>
          <w:lang w:eastAsia="pl-PL"/>
        </w:rPr>
        <w:t xml:space="preserve">ych </w:t>
      </w:r>
      <w:r>
        <w:rPr>
          <w:rFonts w:ascii="Times New Roman" w:eastAsia="Calibri" w:hAnsi="Times New Roman" w:cs="Times New Roman"/>
          <w:sz w:val="24"/>
          <w:szCs w:val="24"/>
          <w:lang w:val="x-none" w:eastAsia="pl-PL"/>
        </w:rPr>
        <w:t>bez istotnego wpływu na środowisko</w:t>
      </w:r>
      <w:r>
        <w:rPr>
          <w:rFonts w:ascii="Times New Roman" w:eastAsia="Calibri" w:hAnsi="Times New Roman" w:cs="Times New Roman"/>
          <w:sz w:val="24"/>
          <w:szCs w:val="24"/>
          <w:lang w:eastAsia="pl-PL"/>
        </w:rPr>
        <w:t xml:space="preserve"> (klasa 1)</w:t>
      </w:r>
      <w:r>
        <w:rPr>
          <w:rFonts w:ascii="Times New Roman" w:eastAsia="Calibri" w:hAnsi="Times New Roman" w:cs="Times New Roman"/>
          <w:sz w:val="24"/>
          <w:szCs w:val="24"/>
          <w:lang w:val="x-none" w:eastAsia="pl-PL"/>
        </w:rPr>
        <w:t>,</w:t>
      </w:r>
    </w:p>
    <w:p w14:paraId="4A6D88B1" w14:textId="77777777" w:rsidR="00D91871" w:rsidRPr="00B5252E" w:rsidRDefault="00D91871" w:rsidP="00D34F97">
      <w:pPr>
        <w:numPr>
          <w:ilvl w:val="0"/>
          <w:numId w:val="78"/>
        </w:numPr>
        <w:spacing w:after="120" w:line="300" w:lineRule="atLeast"/>
        <w:ind w:left="924" w:hanging="357"/>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eastAsia="pl-PL"/>
        </w:rPr>
        <w:t>w przypadku 4 kontroli</w:t>
      </w:r>
      <w:r>
        <w:rPr>
          <w:rFonts w:ascii="Times New Roman" w:eastAsia="Calibri" w:hAnsi="Times New Roman" w:cs="Times New Roman"/>
          <w:sz w:val="24"/>
          <w:szCs w:val="24"/>
          <w:lang w:val="x-none" w:eastAsia="pl-PL"/>
        </w:rPr>
        <w:t xml:space="preserve"> (</w:t>
      </w:r>
      <w:r>
        <w:rPr>
          <w:rFonts w:ascii="Times New Roman" w:eastAsia="Calibri" w:hAnsi="Times New Roman" w:cs="Times New Roman"/>
          <w:sz w:val="24"/>
          <w:szCs w:val="24"/>
          <w:lang w:eastAsia="pl-PL"/>
        </w:rPr>
        <w:t>14</w:t>
      </w:r>
      <w:r>
        <w:rPr>
          <w:rFonts w:ascii="Times New Roman" w:eastAsia="Calibri" w:hAnsi="Times New Roman" w:cs="Times New Roman"/>
          <w:sz w:val="24"/>
          <w:szCs w:val="24"/>
          <w:lang w:val="x-none" w:eastAsia="pl-PL"/>
        </w:rPr>
        <w:t xml:space="preserve">%) </w:t>
      </w:r>
      <w:r>
        <w:rPr>
          <w:rFonts w:ascii="Times New Roman" w:eastAsia="Calibri" w:hAnsi="Times New Roman" w:cs="Times New Roman"/>
          <w:sz w:val="24"/>
          <w:szCs w:val="24"/>
          <w:lang w:eastAsia="pl-PL"/>
        </w:rPr>
        <w:t>naruszenia</w:t>
      </w:r>
      <w:r>
        <w:rPr>
          <w:rFonts w:ascii="Times New Roman" w:eastAsia="Calibri" w:hAnsi="Times New Roman" w:cs="Times New Roman"/>
          <w:sz w:val="24"/>
          <w:szCs w:val="24"/>
          <w:lang w:val="x-none" w:eastAsia="pl-PL"/>
        </w:rPr>
        <w:t xml:space="preserve"> mogące spowodować zagrożenie lub zanieczyszczenie środowiska</w:t>
      </w:r>
      <w:r>
        <w:rPr>
          <w:rFonts w:ascii="Times New Roman" w:eastAsia="Calibri" w:hAnsi="Times New Roman" w:cs="Times New Roman"/>
          <w:sz w:val="24"/>
          <w:szCs w:val="24"/>
          <w:lang w:eastAsia="pl-PL"/>
        </w:rPr>
        <w:t xml:space="preserve"> (klasa 2)</w:t>
      </w:r>
      <w:r>
        <w:rPr>
          <w:rFonts w:ascii="Times New Roman" w:eastAsia="Calibri" w:hAnsi="Times New Roman" w:cs="Times New Roman"/>
          <w:sz w:val="24"/>
          <w:szCs w:val="24"/>
          <w:lang w:val="x-none" w:eastAsia="pl-PL"/>
        </w:rPr>
        <w:t>.</w:t>
      </w:r>
      <w:r>
        <w:rPr>
          <w:rFonts w:ascii="Times New Roman" w:eastAsia="Calibri" w:hAnsi="Times New Roman" w:cs="Times New Roman"/>
          <w:b/>
          <w:sz w:val="24"/>
          <w:szCs w:val="24"/>
          <w:lang w:val="x-none" w:eastAsia="pl-PL"/>
        </w:rPr>
        <w:t xml:space="preserve"> </w:t>
      </w:r>
    </w:p>
    <w:p w14:paraId="6721C3B8" w14:textId="77777777" w:rsidR="00D91871" w:rsidRPr="005F6F50" w:rsidRDefault="00D91871" w:rsidP="00025FDA">
      <w:pPr>
        <w:spacing w:after="60" w:line="300" w:lineRule="atLeast"/>
        <w:jc w:val="both"/>
        <w:rPr>
          <w:rFonts w:ascii="Times New Roman" w:eastAsia="Times New Roman" w:hAnsi="Times New Roman" w:cs="Times New Roman"/>
          <w:sz w:val="24"/>
          <w:szCs w:val="24"/>
        </w:rPr>
      </w:pPr>
      <w:r w:rsidRPr="005F6F50">
        <w:rPr>
          <w:rFonts w:ascii="Times New Roman" w:eastAsia="Times New Roman" w:hAnsi="Times New Roman" w:cs="Times New Roman"/>
          <w:sz w:val="24"/>
          <w:szCs w:val="24"/>
        </w:rPr>
        <w:t>Stwierdzone naruszenia dotyczyły m.in.:</w:t>
      </w:r>
    </w:p>
    <w:p w14:paraId="155E4662" w14:textId="77777777" w:rsidR="00D91871" w:rsidRPr="005F6F50" w:rsidRDefault="00D91871" w:rsidP="00D34F97">
      <w:pPr>
        <w:numPr>
          <w:ilvl w:val="0"/>
          <w:numId w:val="77"/>
        </w:numPr>
        <w:spacing w:after="0" w:line="300" w:lineRule="atLeast"/>
        <w:ind w:left="924" w:hanging="357"/>
        <w:contextualSpacing/>
        <w:jc w:val="both"/>
        <w:rPr>
          <w:rFonts w:ascii="Times New Roman" w:eastAsia="Times New Roman" w:hAnsi="Times New Roman" w:cs="Times New Roman"/>
          <w:sz w:val="24"/>
          <w:szCs w:val="24"/>
          <w:lang w:val="x-none" w:eastAsia="pl-PL"/>
        </w:rPr>
      </w:pPr>
      <w:r w:rsidRPr="005F6F50">
        <w:rPr>
          <w:rFonts w:ascii="Times New Roman" w:eastAsia="Times New Roman" w:hAnsi="Times New Roman" w:cs="Times New Roman"/>
          <w:sz w:val="24"/>
          <w:szCs w:val="24"/>
          <w:lang w:eastAsia="pl-PL"/>
        </w:rPr>
        <w:t>niezaktualizowania/</w:t>
      </w:r>
      <w:r w:rsidRPr="005F6F50">
        <w:rPr>
          <w:rFonts w:ascii="Times New Roman" w:eastAsia="Times New Roman" w:hAnsi="Times New Roman" w:cs="Times New Roman"/>
          <w:sz w:val="24"/>
          <w:szCs w:val="24"/>
          <w:lang w:val="x-none" w:eastAsia="pl-PL"/>
        </w:rPr>
        <w:t>nieodpowiadającej wymogom bądź stanowi faktycznemu dokumentacji ZZR (zgłoszenie, program zapobiegania awariom),</w:t>
      </w:r>
    </w:p>
    <w:p w14:paraId="5CBEDD97" w14:textId="77777777" w:rsidR="00D91871" w:rsidRPr="005F6F50" w:rsidRDefault="00D91871" w:rsidP="00D34F97">
      <w:pPr>
        <w:numPr>
          <w:ilvl w:val="0"/>
          <w:numId w:val="77"/>
        </w:numPr>
        <w:spacing w:after="0" w:line="300" w:lineRule="atLeast"/>
        <w:ind w:left="924" w:hanging="357"/>
        <w:jc w:val="both"/>
        <w:rPr>
          <w:rFonts w:ascii="Times New Roman" w:eastAsia="Times New Roman" w:hAnsi="Times New Roman" w:cs="Times New Roman"/>
          <w:sz w:val="24"/>
          <w:szCs w:val="24"/>
          <w:lang w:val="x-none" w:eastAsia="pl-PL"/>
        </w:rPr>
      </w:pPr>
      <w:r w:rsidRPr="005F6F50">
        <w:rPr>
          <w:rFonts w:ascii="Times New Roman" w:eastAsia="Times New Roman" w:hAnsi="Times New Roman" w:cs="Times New Roman"/>
          <w:sz w:val="24"/>
          <w:szCs w:val="24"/>
          <w:lang w:val="x-none" w:eastAsia="pl-PL"/>
        </w:rPr>
        <w:t>niespełniania wymogów w zakresie udostępniania społeczeństwu informacji o</w:t>
      </w:r>
      <w:r w:rsidRPr="005F6F50">
        <w:rPr>
          <w:rFonts w:ascii="Times New Roman" w:eastAsia="Times New Roman" w:hAnsi="Times New Roman" w:cs="Times New Roman"/>
          <w:sz w:val="24"/>
          <w:szCs w:val="24"/>
          <w:lang w:eastAsia="pl-PL"/>
        </w:rPr>
        <w:t> </w:t>
      </w:r>
      <w:r w:rsidRPr="005F6F50">
        <w:rPr>
          <w:rFonts w:ascii="Times New Roman" w:eastAsia="Times New Roman" w:hAnsi="Times New Roman" w:cs="Times New Roman"/>
          <w:sz w:val="24"/>
          <w:szCs w:val="24"/>
          <w:lang w:val="x-none" w:eastAsia="pl-PL"/>
        </w:rPr>
        <w:t>zagrożeniach poważnymi awariami</w:t>
      </w:r>
      <w:r w:rsidRPr="005F6F50">
        <w:rPr>
          <w:rFonts w:ascii="Times New Roman" w:eastAsia="Times New Roman" w:hAnsi="Times New Roman" w:cs="Times New Roman"/>
          <w:sz w:val="24"/>
          <w:szCs w:val="24"/>
          <w:lang w:eastAsia="pl-PL"/>
        </w:rPr>
        <w:t>,</w:t>
      </w:r>
    </w:p>
    <w:p w14:paraId="01F10345" w14:textId="77777777" w:rsidR="00025FDA" w:rsidRPr="00025FDA" w:rsidRDefault="00D91871" w:rsidP="00D34F97">
      <w:pPr>
        <w:pStyle w:val="Akapitzlist"/>
        <w:numPr>
          <w:ilvl w:val="0"/>
          <w:numId w:val="159"/>
        </w:numPr>
        <w:spacing w:line="300" w:lineRule="atLeast"/>
        <w:ind w:left="924" w:hanging="357"/>
        <w:jc w:val="both"/>
        <w:rPr>
          <w:rFonts w:eastAsia="Times New Roman"/>
          <w:sz w:val="24"/>
          <w:szCs w:val="24"/>
        </w:rPr>
      </w:pPr>
      <w:r w:rsidRPr="00B5252E">
        <w:rPr>
          <w:rFonts w:eastAsia="Times New Roman"/>
          <w:sz w:val="24"/>
          <w:szCs w:val="24"/>
        </w:rPr>
        <w:lastRenderedPageBreak/>
        <w:t>przekroczenia wartości maksymalnej substancji niebezpiecznej magazynowanej w zakładzie</w:t>
      </w:r>
      <w:r w:rsidR="00025FDA">
        <w:rPr>
          <w:rFonts w:eastAsia="Times New Roman"/>
          <w:sz w:val="24"/>
          <w:szCs w:val="24"/>
          <w:lang w:val="pl-PL"/>
        </w:rPr>
        <w:t xml:space="preserve">, </w:t>
      </w:r>
    </w:p>
    <w:p w14:paraId="2147C858" w14:textId="56F7F7FA" w:rsidR="00D91871" w:rsidRPr="00B5252E" w:rsidRDefault="00D91871" w:rsidP="00D34F97">
      <w:pPr>
        <w:pStyle w:val="Akapitzlist"/>
        <w:numPr>
          <w:ilvl w:val="0"/>
          <w:numId w:val="159"/>
        </w:numPr>
        <w:spacing w:line="300" w:lineRule="atLeast"/>
        <w:ind w:left="924" w:hanging="357"/>
        <w:jc w:val="both"/>
        <w:rPr>
          <w:rFonts w:eastAsia="Times New Roman"/>
          <w:sz w:val="24"/>
          <w:szCs w:val="24"/>
        </w:rPr>
      </w:pPr>
      <w:r w:rsidRPr="00B5252E">
        <w:rPr>
          <w:rFonts w:eastAsia="Times New Roman"/>
          <w:sz w:val="24"/>
          <w:szCs w:val="24"/>
        </w:rPr>
        <w:t>niewdrożenia systemu zarządzania bezpieczeństwem w wymaganym zakresie,</w:t>
      </w:r>
    </w:p>
    <w:p w14:paraId="59DD8D51" w14:textId="77777777" w:rsidR="00D91871" w:rsidRDefault="00D91871" w:rsidP="00D34F97">
      <w:pPr>
        <w:pStyle w:val="Akapitzlist"/>
        <w:numPr>
          <w:ilvl w:val="0"/>
          <w:numId w:val="159"/>
        </w:numPr>
        <w:spacing w:line="300" w:lineRule="atLeast"/>
        <w:ind w:left="924" w:hanging="357"/>
        <w:jc w:val="both"/>
        <w:rPr>
          <w:rFonts w:eastAsia="Times New Roman"/>
          <w:sz w:val="24"/>
          <w:szCs w:val="24"/>
        </w:rPr>
      </w:pPr>
      <w:r w:rsidRPr="00B5252E">
        <w:rPr>
          <w:rFonts w:eastAsia="Times New Roman"/>
          <w:sz w:val="24"/>
          <w:szCs w:val="24"/>
        </w:rPr>
        <w:t>braku przekazania do wiadomości wojewódzkiemu inspektorowi ochrony środowiska informacji o zmianie oznaczenia prowadzącego zakład co najmniej 30 dni przed dniem jej wprowadzenia,</w:t>
      </w:r>
    </w:p>
    <w:p w14:paraId="238342DB" w14:textId="77777777" w:rsidR="00D91871" w:rsidRPr="00B5252E" w:rsidRDefault="00D91871" w:rsidP="00D34F97">
      <w:pPr>
        <w:numPr>
          <w:ilvl w:val="0"/>
          <w:numId w:val="158"/>
        </w:numPr>
        <w:spacing w:after="120" w:line="300" w:lineRule="atLeast"/>
        <w:ind w:left="924" w:hanging="357"/>
        <w:jc w:val="both"/>
        <w:rPr>
          <w:rFonts w:ascii="Times New Roman" w:eastAsia="Times New Roman" w:hAnsi="Times New Roman" w:cs="Times New Roman"/>
          <w:sz w:val="24"/>
          <w:szCs w:val="24"/>
          <w:lang w:val="x-none" w:eastAsia="pl-PL"/>
        </w:rPr>
      </w:pPr>
      <w:r>
        <w:rPr>
          <w:rFonts w:eastAsia="Times New Roman"/>
          <w:sz w:val="24"/>
          <w:szCs w:val="24"/>
        </w:rPr>
        <w:t>b</w:t>
      </w:r>
      <w:r w:rsidRPr="005F6F50">
        <w:rPr>
          <w:rFonts w:ascii="Times New Roman" w:eastAsia="Times New Roman" w:hAnsi="Times New Roman" w:cs="Times New Roman"/>
          <w:sz w:val="24"/>
          <w:szCs w:val="24"/>
          <w:lang w:val="x-none" w:eastAsia="pl-PL"/>
        </w:rPr>
        <w:t>rak</w:t>
      </w:r>
      <w:r w:rsidRPr="005F6F50">
        <w:rPr>
          <w:rFonts w:ascii="Times New Roman" w:eastAsia="Times New Roman" w:hAnsi="Times New Roman" w:cs="Times New Roman"/>
          <w:sz w:val="24"/>
          <w:szCs w:val="24"/>
          <w:lang w:eastAsia="pl-PL"/>
        </w:rPr>
        <w:t>u</w:t>
      </w:r>
      <w:r w:rsidRPr="005F6F50">
        <w:rPr>
          <w:rFonts w:ascii="Times New Roman" w:eastAsia="Times New Roman" w:hAnsi="Times New Roman" w:cs="Times New Roman"/>
          <w:sz w:val="24"/>
          <w:szCs w:val="24"/>
          <w:lang w:val="x-none" w:eastAsia="pl-PL"/>
        </w:rPr>
        <w:t xml:space="preserve"> podjętych działań mających na celu zabezpieczenie w pełni środowiska gruntowo-wodnego na wypadek stanów awaryjnych przed ewentualnym wyciekiem materiałów niebezpiecznych magazynowanych w pojemnikach DPPL</w:t>
      </w:r>
      <w:r>
        <w:rPr>
          <w:rFonts w:ascii="Times New Roman" w:eastAsia="Times New Roman" w:hAnsi="Times New Roman" w:cs="Times New Roman"/>
          <w:sz w:val="24"/>
          <w:szCs w:val="24"/>
          <w:lang w:eastAsia="pl-PL"/>
        </w:rPr>
        <w:t>.</w:t>
      </w:r>
    </w:p>
    <w:p w14:paraId="7DA88AA5" w14:textId="77777777" w:rsidR="00D91871" w:rsidRDefault="00D91871" w:rsidP="00025FDA">
      <w:pPr>
        <w:tabs>
          <w:tab w:val="left" w:pos="142"/>
        </w:tabs>
        <w:spacing w:before="120" w:after="60" w:line="300" w:lineRule="atLeast"/>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związku ze stwierdzonymi naruszeniami podjęto następujące działania:</w:t>
      </w:r>
    </w:p>
    <w:p w14:paraId="45DBD9E5" w14:textId="77777777" w:rsidR="00D91871" w:rsidRDefault="00D91871" w:rsidP="00D34F97">
      <w:pPr>
        <w:numPr>
          <w:ilvl w:val="0"/>
          <w:numId w:val="76"/>
        </w:numPr>
        <w:spacing w:after="0" w:line="300" w:lineRule="atLeast"/>
        <w:ind w:left="924" w:hanging="357"/>
        <w:contextualSpacing/>
        <w:jc w:val="both"/>
        <w:rPr>
          <w:rFonts w:ascii="Times New Roman" w:eastAsia="Times New Roman" w:hAnsi="Times New Roman" w:cs="Times New Roman"/>
          <w:sz w:val="24"/>
          <w:szCs w:val="24"/>
          <w:lang w:val="x-none" w:eastAsia="pl-PL"/>
        </w:rPr>
      </w:pPr>
      <w:r>
        <w:rPr>
          <w:rFonts w:ascii="Times New Roman" w:eastAsia="Times New Roman" w:hAnsi="Times New Roman" w:cs="Times New Roman"/>
          <w:sz w:val="24"/>
          <w:szCs w:val="24"/>
          <w:lang w:val="x-none" w:eastAsia="pl-PL"/>
        </w:rPr>
        <w:t xml:space="preserve">udzielono </w:t>
      </w:r>
      <w:r>
        <w:rPr>
          <w:rFonts w:ascii="Times New Roman" w:eastAsia="Times New Roman" w:hAnsi="Times New Roman" w:cs="Times New Roman"/>
          <w:sz w:val="24"/>
          <w:szCs w:val="24"/>
          <w:lang w:eastAsia="pl-PL"/>
        </w:rPr>
        <w:t>14</w:t>
      </w:r>
      <w:r>
        <w:rPr>
          <w:rFonts w:ascii="Times New Roman" w:eastAsia="Times New Roman" w:hAnsi="Times New Roman" w:cs="Times New Roman"/>
          <w:sz w:val="24"/>
          <w:szCs w:val="24"/>
          <w:lang w:val="x-none" w:eastAsia="pl-PL"/>
        </w:rPr>
        <w:t xml:space="preserve"> pouczeń,</w:t>
      </w:r>
    </w:p>
    <w:p w14:paraId="1E430D12" w14:textId="77777777" w:rsidR="00D91871" w:rsidRDefault="00D91871" w:rsidP="00D34F97">
      <w:pPr>
        <w:numPr>
          <w:ilvl w:val="0"/>
          <w:numId w:val="76"/>
        </w:numPr>
        <w:spacing w:after="0" w:line="300" w:lineRule="atLeast"/>
        <w:ind w:left="924" w:hanging="357"/>
        <w:contextualSpacing/>
        <w:jc w:val="both"/>
        <w:rPr>
          <w:rFonts w:ascii="Times New Roman" w:eastAsia="Times New Roman" w:hAnsi="Times New Roman" w:cs="Times New Roman"/>
          <w:sz w:val="24"/>
          <w:szCs w:val="24"/>
          <w:lang w:val="x-none" w:eastAsia="pl-PL"/>
        </w:rPr>
      </w:pPr>
      <w:r>
        <w:rPr>
          <w:rFonts w:ascii="Times New Roman" w:eastAsia="Times New Roman" w:hAnsi="Times New Roman" w:cs="Times New Roman"/>
          <w:sz w:val="24"/>
          <w:szCs w:val="24"/>
          <w:lang w:val="x-none" w:eastAsia="pl-PL"/>
        </w:rPr>
        <w:t xml:space="preserve">nałożono </w:t>
      </w:r>
      <w:r>
        <w:rPr>
          <w:rFonts w:ascii="Times New Roman" w:eastAsia="Times New Roman" w:hAnsi="Times New Roman" w:cs="Times New Roman"/>
          <w:sz w:val="24"/>
          <w:szCs w:val="24"/>
          <w:lang w:eastAsia="pl-PL"/>
        </w:rPr>
        <w:t>8</w:t>
      </w:r>
      <w:r>
        <w:rPr>
          <w:rFonts w:ascii="Times New Roman" w:eastAsia="Times New Roman" w:hAnsi="Times New Roman" w:cs="Times New Roman"/>
          <w:sz w:val="24"/>
          <w:szCs w:val="24"/>
          <w:lang w:val="x-none" w:eastAsia="pl-PL"/>
        </w:rPr>
        <w:t xml:space="preserve"> mandat</w:t>
      </w:r>
      <w:r>
        <w:rPr>
          <w:rFonts w:ascii="Times New Roman" w:eastAsia="Times New Roman" w:hAnsi="Times New Roman" w:cs="Times New Roman"/>
          <w:sz w:val="24"/>
          <w:szCs w:val="24"/>
          <w:lang w:eastAsia="pl-PL"/>
        </w:rPr>
        <w:t>ów</w:t>
      </w:r>
      <w:r>
        <w:rPr>
          <w:rFonts w:ascii="Times New Roman" w:eastAsia="Times New Roman" w:hAnsi="Times New Roman" w:cs="Times New Roman"/>
          <w:sz w:val="24"/>
          <w:szCs w:val="24"/>
          <w:lang w:val="x-none" w:eastAsia="pl-PL"/>
        </w:rPr>
        <w:t xml:space="preserve"> karn</w:t>
      </w:r>
      <w:r>
        <w:rPr>
          <w:rFonts w:ascii="Times New Roman" w:eastAsia="Times New Roman" w:hAnsi="Times New Roman" w:cs="Times New Roman"/>
          <w:sz w:val="24"/>
          <w:szCs w:val="24"/>
          <w:lang w:eastAsia="pl-PL"/>
        </w:rPr>
        <w:t>ych</w:t>
      </w:r>
      <w:r>
        <w:rPr>
          <w:rFonts w:ascii="Times New Roman" w:eastAsia="Times New Roman" w:hAnsi="Times New Roman" w:cs="Times New Roman"/>
          <w:sz w:val="24"/>
          <w:szCs w:val="24"/>
          <w:lang w:val="x-none" w:eastAsia="pl-PL"/>
        </w:rPr>
        <w:t>,</w:t>
      </w:r>
    </w:p>
    <w:p w14:paraId="40CC6530" w14:textId="77777777" w:rsidR="00D91871" w:rsidRDefault="00D91871" w:rsidP="00D34F97">
      <w:pPr>
        <w:numPr>
          <w:ilvl w:val="0"/>
          <w:numId w:val="76"/>
        </w:numPr>
        <w:spacing w:after="0" w:line="300" w:lineRule="atLeast"/>
        <w:ind w:left="924" w:hanging="357"/>
        <w:contextualSpacing/>
        <w:jc w:val="both"/>
        <w:rPr>
          <w:rFonts w:ascii="Times New Roman" w:eastAsia="Times New Roman" w:hAnsi="Times New Roman" w:cs="Times New Roman"/>
          <w:sz w:val="24"/>
          <w:szCs w:val="24"/>
          <w:lang w:val="x-none" w:eastAsia="pl-PL"/>
        </w:rPr>
      </w:pPr>
      <w:r>
        <w:rPr>
          <w:rFonts w:ascii="Times New Roman" w:eastAsia="Times New Roman" w:hAnsi="Times New Roman" w:cs="Times New Roman"/>
          <w:sz w:val="24"/>
          <w:szCs w:val="24"/>
          <w:lang w:val="x-none" w:eastAsia="pl-PL"/>
        </w:rPr>
        <w:t xml:space="preserve">wydano </w:t>
      </w:r>
      <w:r>
        <w:rPr>
          <w:rFonts w:ascii="Times New Roman" w:eastAsia="Times New Roman" w:hAnsi="Times New Roman" w:cs="Times New Roman"/>
          <w:sz w:val="24"/>
          <w:szCs w:val="24"/>
          <w:lang w:eastAsia="pl-PL"/>
        </w:rPr>
        <w:t>29</w:t>
      </w:r>
      <w:r>
        <w:rPr>
          <w:rFonts w:ascii="Times New Roman" w:eastAsia="Times New Roman" w:hAnsi="Times New Roman" w:cs="Times New Roman"/>
          <w:sz w:val="24"/>
          <w:szCs w:val="24"/>
          <w:lang w:val="x-none" w:eastAsia="pl-PL"/>
        </w:rPr>
        <w:t xml:space="preserve"> zarządze</w:t>
      </w:r>
      <w:r>
        <w:rPr>
          <w:rFonts w:ascii="Times New Roman" w:eastAsia="Times New Roman" w:hAnsi="Times New Roman" w:cs="Times New Roman"/>
          <w:sz w:val="24"/>
          <w:szCs w:val="24"/>
          <w:lang w:eastAsia="pl-PL"/>
        </w:rPr>
        <w:t>ń</w:t>
      </w:r>
      <w:r>
        <w:rPr>
          <w:rFonts w:ascii="Times New Roman" w:eastAsia="Times New Roman" w:hAnsi="Times New Roman" w:cs="Times New Roman"/>
          <w:sz w:val="24"/>
          <w:szCs w:val="24"/>
          <w:lang w:val="x-none" w:eastAsia="pl-PL"/>
        </w:rPr>
        <w:t xml:space="preserve"> pokontroln</w:t>
      </w:r>
      <w:r>
        <w:rPr>
          <w:rFonts w:ascii="Times New Roman" w:eastAsia="Times New Roman" w:hAnsi="Times New Roman" w:cs="Times New Roman"/>
          <w:sz w:val="24"/>
          <w:szCs w:val="24"/>
          <w:lang w:eastAsia="pl-PL"/>
        </w:rPr>
        <w:t>ych</w:t>
      </w:r>
      <w:r>
        <w:rPr>
          <w:rFonts w:ascii="Times New Roman" w:eastAsia="Times New Roman" w:hAnsi="Times New Roman" w:cs="Times New Roman"/>
          <w:sz w:val="24"/>
          <w:szCs w:val="24"/>
          <w:lang w:val="x-none" w:eastAsia="pl-PL"/>
        </w:rPr>
        <w:t>,</w:t>
      </w:r>
    </w:p>
    <w:p w14:paraId="7D5BDE10" w14:textId="6A97134D" w:rsidR="00895F16" w:rsidRPr="00D91871" w:rsidRDefault="00D91871" w:rsidP="00D34F97">
      <w:pPr>
        <w:numPr>
          <w:ilvl w:val="0"/>
          <w:numId w:val="76"/>
        </w:numPr>
        <w:spacing w:after="0" w:line="300" w:lineRule="atLeast"/>
        <w:ind w:left="924" w:hanging="357"/>
        <w:contextualSpacing/>
        <w:jc w:val="both"/>
        <w:rPr>
          <w:rFonts w:ascii="Times New Roman" w:eastAsia="Times New Roman" w:hAnsi="Times New Roman" w:cs="Times New Roman"/>
          <w:sz w:val="24"/>
          <w:szCs w:val="24"/>
          <w:lang w:val="x-none" w:eastAsia="pl-PL"/>
        </w:rPr>
      </w:pPr>
      <w:r w:rsidRPr="00D91871">
        <w:rPr>
          <w:rFonts w:ascii="Times New Roman" w:eastAsia="Times New Roman" w:hAnsi="Times New Roman" w:cs="Times New Roman"/>
          <w:sz w:val="24"/>
          <w:szCs w:val="24"/>
          <w:lang w:val="x-none" w:eastAsia="pl-PL"/>
        </w:rPr>
        <w:t xml:space="preserve">skierowano </w:t>
      </w:r>
      <w:r w:rsidRPr="00D91871">
        <w:rPr>
          <w:rFonts w:ascii="Times New Roman" w:eastAsia="Times New Roman" w:hAnsi="Times New Roman" w:cs="Times New Roman"/>
          <w:sz w:val="24"/>
          <w:szCs w:val="24"/>
          <w:lang w:eastAsia="pl-PL"/>
        </w:rPr>
        <w:t>5</w:t>
      </w:r>
      <w:r w:rsidRPr="00D91871">
        <w:rPr>
          <w:rFonts w:ascii="Times New Roman" w:eastAsia="Times New Roman" w:hAnsi="Times New Roman" w:cs="Times New Roman"/>
          <w:sz w:val="24"/>
          <w:szCs w:val="24"/>
          <w:lang w:val="x-none" w:eastAsia="pl-PL"/>
        </w:rPr>
        <w:t xml:space="preserve"> wystąpie</w:t>
      </w:r>
      <w:r w:rsidRPr="00D91871">
        <w:rPr>
          <w:rFonts w:ascii="Times New Roman" w:eastAsia="Times New Roman" w:hAnsi="Times New Roman" w:cs="Times New Roman"/>
          <w:sz w:val="24"/>
          <w:szCs w:val="24"/>
          <w:lang w:eastAsia="pl-PL"/>
        </w:rPr>
        <w:t>ń</w:t>
      </w:r>
      <w:r w:rsidRPr="00D91871">
        <w:rPr>
          <w:rFonts w:ascii="Times New Roman" w:eastAsia="Times New Roman" w:hAnsi="Times New Roman" w:cs="Times New Roman"/>
          <w:sz w:val="24"/>
          <w:szCs w:val="24"/>
          <w:lang w:val="x-none" w:eastAsia="pl-PL"/>
        </w:rPr>
        <w:t xml:space="preserve"> do </w:t>
      </w:r>
      <w:r w:rsidRPr="00D91871">
        <w:rPr>
          <w:rFonts w:ascii="Times New Roman" w:eastAsia="Times New Roman" w:hAnsi="Times New Roman" w:cs="Times New Roman"/>
          <w:sz w:val="24"/>
          <w:szCs w:val="24"/>
          <w:lang w:eastAsia="pl-PL"/>
        </w:rPr>
        <w:t>innych organów</w:t>
      </w:r>
      <w:r w:rsidR="00895F16" w:rsidRPr="00D91871">
        <w:rPr>
          <w:rFonts w:ascii="Times New Roman" w:eastAsia="Calibri" w:hAnsi="Times New Roman" w:cs="Times New Roman"/>
          <w:sz w:val="24"/>
          <w:szCs w:val="24"/>
          <w:lang w:val="x-none" w:eastAsia="pl-PL"/>
        </w:rPr>
        <w:t>.</w:t>
      </w:r>
    </w:p>
    <w:p w14:paraId="48630C04" w14:textId="77777777" w:rsidR="00895F16" w:rsidRPr="007F400A" w:rsidRDefault="00895F16" w:rsidP="00056EE7">
      <w:pPr>
        <w:spacing w:after="0" w:line="300" w:lineRule="atLeast"/>
        <w:ind w:left="993"/>
        <w:contextualSpacing/>
        <w:jc w:val="both"/>
        <w:rPr>
          <w:rFonts w:ascii="Times New Roman" w:eastAsia="Times New Roman" w:hAnsi="Times New Roman" w:cs="Times New Roman"/>
          <w:sz w:val="24"/>
          <w:szCs w:val="24"/>
          <w:lang w:val="x-none" w:eastAsia="pl-PL"/>
        </w:rPr>
      </w:pPr>
    </w:p>
    <w:p w14:paraId="1AD0C734" w14:textId="77777777" w:rsidR="00895F16" w:rsidRPr="007F400A" w:rsidRDefault="00895F16" w:rsidP="00056EE7">
      <w:pPr>
        <w:keepNext/>
        <w:spacing w:after="120" w:line="300" w:lineRule="atLeast"/>
        <w:outlineLvl w:val="0"/>
        <w:rPr>
          <w:rFonts w:ascii="Times New Roman" w:eastAsia="Times New Roman" w:hAnsi="Times New Roman" w:cs="Times New Roman"/>
          <w:b/>
          <w:bCs/>
          <w:sz w:val="24"/>
          <w:szCs w:val="24"/>
          <w:lang w:val="x-none" w:eastAsia="x-none"/>
        </w:rPr>
      </w:pPr>
      <w:bookmarkStart w:id="75" w:name="_Toc36732561"/>
      <w:bookmarkStart w:id="76" w:name="_Toc135935588"/>
      <w:r w:rsidRPr="007F400A">
        <w:rPr>
          <w:rFonts w:ascii="Times New Roman" w:eastAsia="Times New Roman" w:hAnsi="Times New Roman" w:cs="Times New Roman"/>
          <w:b/>
          <w:bCs/>
          <w:sz w:val="24"/>
          <w:szCs w:val="24"/>
          <w:lang w:val="x-none" w:eastAsia="x-none"/>
        </w:rPr>
        <w:t xml:space="preserve">3.2.2 </w:t>
      </w:r>
      <w:proofErr w:type="spellStart"/>
      <w:r w:rsidRPr="007F400A">
        <w:rPr>
          <w:rFonts w:ascii="Times New Roman" w:eastAsia="Times New Roman" w:hAnsi="Times New Roman" w:cs="Times New Roman"/>
          <w:b/>
          <w:bCs/>
          <w:sz w:val="24"/>
          <w:szCs w:val="24"/>
          <w:lang w:val="x-none" w:eastAsia="x-none"/>
        </w:rPr>
        <w:t>Strzępiarki</w:t>
      </w:r>
      <w:bookmarkEnd w:id="75"/>
      <w:bookmarkEnd w:id="76"/>
      <w:proofErr w:type="spellEnd"/>
    </w:p>
    <w:p w14:paraId="05B06087" w14:textId="77777777" w:rsidR="00D91871" w:rsidRPr="00965BA2" w:rsidRDefault="00D91871" w:rsidP="00025FDA">
      <w:pPr>
        <w:spacing w:after="0" w:line="300" w:lineRule="atLeast"/>
        <w:ind w:firstLine="567"/>
        <w:jc w:val="both"/>
        <w:rPr>
          <w:rFonts w:ascii="Times New Roman" w:hAnsi="Times New Roman" w:cs="Times New Roman"/>
          <w:bCs/>
          <w:sz w:val="24"/>
          <w:szCs w:val="24"/>
        </w:rPr>
      </w:pPr>
      <w:r w:rsidRPr="00965BA2">
        <w:rPr>
          <w:rFonts w:ascii="Times New Roman" w:hAnsi="Times New Roman" w:cs="Times New Roman"/>
          <w:bCs/>
          <w:sz w:val="24"/>
          <w:szCs w:val="24"/>
        </w:rPr>
        <w:t xml:space="preserve">W 2022 r. wojewódzcy inspektorzy ochrony środowiska przeprowadzili 6 kontroli </w:t>
      </w:r>
      <w:proofErr w:type="spellStart"/>
      <w:r w:rsidRPr="00965BA2">
        <w:rPr>
          <w:rFonts w:ascii="Times New Roman" w:hAnsi="Times New Roman" w:cs="Times New Roman"/>
          <w:bCs/>
          <w:sz w:val="24"/>
          <w:szCs w:val="24"/>
        </w:rPr>
        <w:t>strzępiarek</w:t>
      </w:r>
      <w:proofErr w:type="spellEnd"/>
      <w:r w:rsidRPr="00965BA2">
        <w:rPr>
          <w:rFonts w:ascii="Times New Roman" w:hAnsi="Times New Roman" w:cs="Times New Roman"/>
          <w:bCs/>
          <w:sz w:val="24"/>
          <w:szCs w:val="24"/>
        </w:rPr>
        <w:t xml:space="preserve">. W przypadku </w:t>
      </w:r>
      <w:r w:rsidRPr="00965BA2">
        <w:rPr>
          <w:rFonts w:ascii="Times New Roman" w:hAnsi="Times New Roman" w:cs="Times New Roman"/>
          <w:sz w:val="24"/>
          <w:szCs w:val="24"/>
        </w:rPr>
        <w:t xml:space="preserve">3 </w:t>
      </w:r>
      <w:r w:rsidRPr="00965BA2">
        <w:rPr>
          <w:rFonts w:ascii="Times New Roman" w:hAnsi="Times New Roman" w:cs="Times New Roman"/>
          <w:bCs/>
          <w:sz w:val="24"/>
          <w:szCs w:val="24"/>
        </w:rPr>
        <w:t xml:space="preserve">kontroli stwierdzono naruszenia, w szczególności: naruszenie warunków pozwolenia zintegrowanego w zakresie prowadzenia pomiarów emisji zanieczyszczeń, niewłaściwą klasyfikację odpadów powstających ze strzępienia odpadów złomu, nierzetelne prowadzenie ewidencji odpadów oraz nierzetelne sporządzenie sprawozdania, niezapewnienie wojewódzkiemu inspektorowi dostępu do wizyjnego systemu kontroli miejsc magazynowania odpadów. </w:t>
      </w:r>
    </w:p>
    <w:p w14:paraId="27120192" w14:textId="42A175B8" w:rsidR="00895F16" w:rsidRPr="007F400A" w:rsidRDefault="00D91871" w:rsidP="00025FDA">
      <w:pPr>
        <w:spacing w:after="0" w:line="300" w:lineRule="atLeast"/>
        <w:ind w:firstLine="567"/>
        <w:jc w:val="both"/>
        <w:rPr>
          <w:rFonts w:ascii="Times New Roman" w:eastAsia="Times New Roman" w:hAnsi="Times New Roman" w:cs="Times New Roman"/>
          <w:bCs/>
          <w:color w:val="FF0000"/>
          <w:sz w:val="24"/>
          <w:szCs w:val="24"/>
          <w:lang w:eastAsia="pl-PL"/>
        </w:rPr>
      </w:pPr>
      <w:r w:rsidRPr="00965BA2">
        <w:rPr>
          <w:rFonts w:ascii="Times New Roman" w:hAnsi="Times New Roman" w:cs="Times New Roman"/>
          <w:bCs/>
          <w:sz w:val="24"/>
          <w:szCs w:val="24"/>
        </w:rPr>
        <w:t xml:space="preserve">W związku ze stwierdzonymi naruszeniami </w:t>
      </w:r>
      <w:r w:rsidRPr="00965BA2">
        <w:rPr>
          <w:rFonts w:ascii="Times New Roman" w:hAnsi="Times New Roman" w:cs="Times New Roman"/>
          <w:sz w:val="24"/>
          <w:szCs w:val="24"/>
        </w:rPr>
        <w:t>wydano</w:t>
      </w:r>
      <w:r w:rsidRPr="00965BA2">
        <w:rPr>
          <w:rFonts w:ascii="Times New Roman" w:hAnsi="Times New Roman" w:cs="Times New Roman"/>
          <w:bCs/>
          <w:sz w:val="24"/>
          <w:szCs w:val="24"/>
        </w:rPr>
        <w:t xml:space="preserve"> 2 zarządzenia pokontrolne, nałożono 1 mandat karny oraz złożono 1 wniosek o ukaranie. Wydane zostały 2 decyzje za naruszenia przepisów ustawy o odpadach – wymierzenie kary pieniężnej za niezgodne ze stanem rzeczywistym prowadzenie ewidencji odpadów oraz pouczenie w trybie art. 189f kpa </w:t>
      </w:r>
      <w:r w:rsidR="00025FDA">
        <w:rPr>
          <w:rFonts w:ascii="Times New Roman" w:hAnsi="Times New Roman" w:cs="Times New Roman"/>
          <w:bCs/>
          <w:sz w:val="24"/>
          <w:szCs w:val="24"/>
        </w:rPr>
        <w:br/>
      </w:r>
      <w:r w:rsidRPr="00965BA2">
        <w:rPr>
          <w:rFonts w:ascii="Times New Roman" w:hAnsi="Times New Roman" w:cs="Times New Roman"/>
          <w:bCs/>
          <w:sz w:val="24"/>
          <w:szCs w:val="24"/>
        </w:rPr>
        <w:t>w związku z niezapewnieniem wojewódzkiemu inspektorowi dostępu do wizyjnego systemu kontroli miejsc magazynowania odpadów. W 2 przypadkach skierowano wystąpienia do marszałków województw</w:t>
      </w:r>
      <w:r w:rsidR="00895F16" w:rsidRPr="007F400A">
        <w:rPr>
          <w:rFonts w:ascii="Times New Roman" w:eastAsia="Calibri" w:hAnsi="Times New Roman" w:cs="Times New Roman"/>
          <w:bCs/>
          <w:sz w:val="24"/>
          <w:szCs w:val="24"/>
          <w:lang w:eastAsia="pl-PL"/>
        </w:rPr>
        <w:t xml:space="preserve">. </w:t>
      </w:r>
    </w:p>
    <w:p w14:paraId="78D30A2A" w14:textId="77777777" w:rsidR="00895F16" w:rsidRPr="007F400A" w:rsidRDefault="00895F16" w:rsidP="00056EE7">
      <w:pPr>
        <w:spacing w:after="0" w:line="300" w:lineRule="atLeast"/>
        <w:ind w:firstLine="567"/>
        <w:jc w:val="both"/>
        <w:rPr>
          <w:rFonts w:ascii="Times New Roman" w:eastAsia="Times New Roman" w:hAnsi="Times New Roman" w:cs="Times New Roman"/>
          <w:bCs/>
          <w:sz w:val="24"/>
          <w:szCs w:val="24"/>
          <w:lang w:eastAsia="pl-PL"/>
        </w:rPr>
      </w:pPr>
    </w:p>
    <w:p w14:paraId="5339DC13" w14:textId="2599CBFE" w:rsidR="00895F16" w:rsidRPr="007F400A" w:rsidRDefault="00895F16" w:rsidP="00056EE7">
      <w:pPr>
        <w:keepNext/>
        <w:spacing w:after="120" w:line="300" w:lineRule="atLeast"/>
        <w:jc w:val="both"/>
        <w:outlineLvl w:val="0"/>
        <w:rPr>
          <w:rFonts w:ascii="Times New Roman" w:eastAsia="Times New Roman" w:hAnsi="Times New Roman" w:cs="Times New Roman"/>
          <w:b/>
          <w:bCs/>
          <w:i/>
          <w:sz w:val="24"/>
          <w:szCs w:val="24"/>
          <w:lang w:val="x-none" w:eastAsia="x-none"/>
        </w:rPr>
      </w:pPr>
      <w:bookmarkStart w:id="77" w:name="_Toc5878549"/>
      <w:bookmarkStart w:id="78" w:name="_Toc36732562"/>
      <w:bookmarkStart w:id="79" w:name="_Toc135935589"/>
      <w:r w:rsidRPr="007F400A">
        <w:rPr>
          <w:rFonts w:ascii="Times New Roman" w:eastAsia="Times New Roman" w:hAnsi="Times New Roman" w:cs="Times New Roman"/>
          <w:b/>
          <w:bCs/>
          <w:sz w:val="24"/>
          <w:szCs w:val="24"/>
          <w:lang w:val="x-none" w:eastAsia="x-none"/>
        </w:rPr>
        <w:t xml:space="preserve">3.2.3 Instalacje wymagające posiadania pozwoleń zintegrowanych (tzw. Instalacje </w:t>
      </w:r>
      <w:r w:rsidRPr="007F400A">
        <w:rPr>
          <w:rFonts w:ascii="Times New Roman" w:eastAsia="Times New Roman" w:hAnsi="Times New Roman" w:cs="Times New Roman"/>
          <w:b/>
          <w:bCs/>
          <w:sz w:val="24"/>
          <w:szCs w:val="24"/>
          <w:lang w:eastAsia="x-none"/>
        </w:rPr>
        <w:t>IED</w:t>
      </w:r>
      <w:r w:rsidRPr="007F400A">
        <w:rPr>
          <w:rFonts w:ascii="Times New Roman" w:eastAsia="Times New Roman" w:hAnsi="Times New Roman" w:cs="Times New Roman"/>
          <w:b/>
          <w:bCs/>
          <w:sz w:val="24"/>
          <w:szCs w:val="24"/>
          <w:lang w:val="x-none" w:eastAsia="x-none"/>
        </w:rPr>
        <w:t>)</w:t>
      </w:r>
      <w:bookmarkEnd w:id="77"/>
      <w:bookmarkEnd w:id="78"/>
      <w:bookmarkEnd w:id="79"/>
    </w:p>
    <w:p w14:paraId="0E579A0E" w14:textId="77777777" w:rsidR="0088289B" w:rsidRPr="007F400A" w:rsidRDefault="0088289B" w:rsidP="00025FDA">
      <w:pPr>
        <w:spacing w:after="60" w:line="300" w:lineRule="atLeast"/>
        <w:ind w:firstLine="567"/>
        <w:jc w:val="both"/>
        <w:rPr>
          <w:rFonts w:ascii="Times New Roman" w:hAnsi="Times New Roman" w:cs="Times New Roman"/>
          <w:sz w:val="24"/>
          <w:szCs w:val="24"/>
        </w:rPr>
      </w:pPr>
      <w:r w:rsidRPr="007F400A">
        <w:rPr>
          <w:rFonts w:ascii="Times New Roman" w:hAnsi="Times New Roman" w:cs="Times New Roman"/>
          <w:sz w:val="24"/>
          <w:szCs w:val="24"/>
        </w:rPr>
        <w:t xml:space="preserve">W </w:t>
      </w:r>
      <w:r>
        <w:rPr>
          <w:rFonts w:ascii="Times New Roman" w:hAnsi="Times New Roman" w:cs="Times New Roman"/>
          <w:sz w:val="24"/>
          <w:szCs w:val="24"/>
        </w:rPr>
        <w:t>2022</w:t>
      </w:r>
      <w:r w:rsidRPr="007F400A">
        <w:rPr>
          <w:rFonts w:ascii="Times New Roman" w:hAnsi="Times New Roman" w:cs="Times New Roman"/>
          <w:sz w:val="24"/>
          <w:szCs w:val="24"/>
        </w:rPr>
        <w:t xml:space="preserve"> r. wojewódzcy inspektorzy ochrony środowiska ustalili, że w Polsce znajduje się </w:t>
      </w:r>
      <w:r>
        <w:rPr>
          <w:rFonts w:ascii="Times New Roman" w:hAnsi="Times New Roman" w:cs="Times New Roman"/>
          <w:sz w:val="24"/>
          <w:szCs w:val="24"/>
        </w:rPr>
        <w:t>4 041</w:t>
      </w:r>
      <w:r w:rsidRPr="007F400A">
        <w:rPr>
          <w:rFonts w:ascii="Times New Roman" w:hAnsi="Times New Roman" w:cs="Times New Roman"/>
          <w:sz w:val="24"/>
          <w:szCs w:val="24"/>
        </w:rPr>
        <w:t xml:space="preserve"> instalacji podlegających obowiązkowi uzyskania pozwolenia zintegrowanego, z których </w:t>
      </w:r>
      <w:r>
        <w:rPr>
          <w:rFonts w:ascii="Times New Roman" w:hAnsi="Times New Roman" w:cs="Times New Roman"/>
          <w:sz w:val="24"/>
          <w:szCs w:val="24"/>
        </w:rPr>
        <w:t>3 983</w:t>
      </w:r>
      <w:r w:rsidRPr="007F400A">
        <w:rPr>
          <w:rFonts w:ascii="Times New Roman" w:hAnsi="Times New Roman" w:cs="Times New Roman"/>
          <w:sz w:val="24"/>
          <w:szCs w:val="24"/>
        </w:rPr>
        <w:t xml:space="preserve"> (</w:t>
      </w:r>
      <w:r>
        <w:rPr>
          <w:rFonts w:ascii="Times New Roman" w:hAnsi="Times New Roman" w:cs="Times New Roman"/>
          <w:sz w:val="24"/>
          <w:szCs w:val="24"/>
        </w:rPr>
        <w:t>98,6</w:t>
      </w:r>
      <w:r w:rsidRPr="007F400A">
        <w:rPr>
          <w:rFonts w:ascii="Times New Roman" w:hAnsi="Times New Roman" w:cs="Times New Roman"/>
          <w:sz w:val="24"/>
          <w:szCs w:val="24"/>
        </w:rPr>
        <w:t>%) ma wymagane pozwolenia zintegrowane</w:t>
      </w:r>
      <w:r w:rsidRPr="007F400A">
        <w:rPr>
          <w:rFonts w:ascii="Times New Roman" w:hAnsi="Times New Roman" w:cs="Times New Roman"/>
          <w:sz w:val="24"/>
          <w:szCs w:val="24"/>
          <w:vertAlign w:val="superscript"/>
        </w:rPr>
        <w:footnoteReference w:id="8"/>
      </w:r>
      <w:r w:rsidRPr="007F400A">
        <w:rPr>
          <w:rFonts w:ascii="Times New Roman" w:hAnsi="Times New Roman" w:cs="Times New Roman"/>
          <w:sz w:val="24"/>
          <w:szCs w:val="24"/>
        </w:rPr>
        <w:t xml:space="preserve">. Liczba instalacji IED zwiększyła się o </w:t>
      </w:r>
      <w:r>
        <w:rPr>
          <w:rFonts w:ascii="Times New Roman" w:hAnsi="Times New Roman" w:cs="Times New Roman"/>
          <w:sz w:val="24"/>
          <w:szCs w:val="24"/>
        </w:rPr>
        <w:t>10</w:t>
      </w:r>
      <w:r w:rsidRPr="007F400A">
        <w:rPr>
          <w:rFonts w:ascii="Times New Roman" w:hAnsi="Times New Roman" w:cs="Times New Roman"/>
          <w:sz w:val="24"/>
          <w:szCs w:val="24"/>
        </w:rPr>
        <w:t xml:space="preserve"> w stosunku do roku poprzedniego. Wzr</w:t>
      </w:r>
      <w:r>
        <w:rPr>
          <w:rFonts w:ascii="Times New Roman" w:hAnsi="Times New Roman" w:cs="Times New Roman"/>
          <w:sz w:val="24"/>
          <w:szCs w:val="24"/>
        </w:rPr>
        <w:t>osła</w:t>
      </w:r>
      <w:r w:rsidRPr="007F400A">
        <w:rPr>
          <w:rFonts w:ascii="Times New Roman" w:hAnsi="Times New Roman" w:cs="Times New Roman"/>
          <w:sz w:val="24"/>
          <w:szCs w:val="24"/>
        </w:rPr>
        <w:t xml:space="preserve"> też o </w:t>
      </w:r>
      <w:r>
        <w:rPr>
          <w:rFonts w:ascii="Times New Roman" w:hAnsi="Times New Roman" w:cs="Times New Roman"/>
          <w:sz w:val="24"/>
          <w:szCs w:val="24"/>
        </w:rPr>
        <w:t>4 liczba</w:t>
      </w:r>
      <w:r w:rsidRPr="007F400A">
        <w:rPr>
          <w:rFonts w:ascii="Times New Roman" w:hAnsi="Times New Roman" w:cs="Times New Roman"/>
          <w:sz w:val="24"/>
          <w:szCs w:val="24"/>
        </w:rPr>
        <w:t xml:space="preserve"> instalacji posiadających wymagane pozwolenie. Na koniec roku </w:t>
      </w:r>
      <w:r>
        <w:rPr>
          <w:rFonts w:ascii="Times New Roman" w:hAnsi="Times New Roman" w:cs="Times New Roman"/>
          <w:sz w:val="24"/>
          <w:szCs w:val="24"/>
        </w:rPr>
        <w:t>2022</w:t>
      </w:r>
      <w:r w:rsidRPr="007F400A">
        <w:rPr>
          <w:rFonts w:ascii="Times New Roman" w:hAnsi="Times New Roman" w:cs="Times New Roman"/>
          <w:sz w:val="24"/>
          <w:szCs w:val="24"/>
        </w:rPr>
        <w:t xml:space="preserve"> liczba instalacji, które nie miały pozwolenia zintegrowanego, mimo obowiązku jego posiadania, wynosiła </w:t>
      </w:r>
      <w:r w:rsidRPr="002A42BF">
        <w:rPr>
          <w:rFonts w:ascii="Times New Roman" w:hAnsi="Times New Roman" w:cs="Times New Roman"/>
          <w:sz w:val="24"/>
          <w:szCs w:val="24"/>
        </w:rPr>
        <w:t>58</w:t>
      </w:r>
      <w:r w:rsidRPr="00D2791C">
        <w:rPr>
          <w:rFonts w:ascii="Times New Roman" w:hAnsi="Times New Roman" w:cs="Times New Roman"/>
          <w:sz w:val="24"/>
          <w:szCs w:val="24"/>
        </w:rPr>
        <w:t>.</w:t>
      </w:r>
    </w:p>
    <w:p w14:paraId="51BDC441" w14:textId="77777777" w:rsidR="0088289B" w:rsidRPr="007F400A" w:rsidRDefault="0088289B" w:rsidP="00025FDA">
      <w:pPr>
        <w:spacing w:after="120" w:line="300" w:lineRule="atLeast"/>
        <w:ind w:firstLine="567"/>
        <w:jc w:val="both"/>
        <w:rPr>
          <w:rFonts w:ascii="Times New Roman" w:hAnsi="Times New Roman" w:cs="Times New Roman"/>
          <w:b/>
          <w:sz w:val="24"/>
          <w:szCs w:val="24"/>
        </w:rPr>
      </w:pPr>
      <w:r w:rsidRPr="007F400A">
        <w:rPr>
          <w:rFonts w:ascii="Times New Roman" w:hAnsi="Times New Roman" w:cs="Times New Roman"/>
          <w:sz w:val="24"/>
          <w:szCs w:val="24"/>
        </w:rPr>
        <w:t xml:space="preserve">W </w:t>
      </w:r>
      <w:r>
        <w:rPr>
          <w:rFonts w:ascii="Times New Roman" w:hAnsi="Times New Roman" w:cs="Times New Roman"/>
          <w:sz w:val="24"/>
          <w:szCs w:val="24"/>
        </w:rPr>
        <w:t>2022</w:t>
      </w:r>
      <w:r w:rsidRPr="007F400A">
        <w:rPr>
          <w:rFonts w:ascii="Times New Roman" w:hAnsi="Times New Roman" w:cs="Times New Roman"/>
          <w:sz w:val="24"/>
          <w:szCs w:val="24"/>
        </w:rPr>
        <w:t xml:space="preserve"> r. wojewódzcy inspektorzy ochrony środowiska przeprowadzili </w:t>
      </w:r>
      <w:r>
        <w:rPr>
          <w:rFonts w:ascii="Times New Roman" w:hAnsi="Times New Roman" w:cs="Times New Roman"/>
          <w:sz w:val="24"/>
          <w:szCs w:val="24"/>
        </w:rPr>
        <w:t>1 696</w:t>
      </w:r>
      <w:r w:rsidRPr="007F400A">
        <w:rPr>
          <w:rFonts w:ascii="Times New Roman" w:hAnsi="Times New Roman" w:cs="Times New Roman"/>
          <w:sz w:val="24"/>
          <w:szCs w:val="24"/>
        </w:rPr>
        <w:t xml:space="preserve"> kontrol</w:t>
      </w:r>
      <w:r>
        <w:rPr>
          <w:rFonts w:ascii="Times New Roman" w:hAnsi="Times New Roman" w:cs="Times New Roman"/>
          <w:sz w:val="24"/>
          <w:szCs w:val="24"/>
        </w:rPr>
        <w:t>i</w:t>
      </w:r>
      <w:r w:rsidRPr="007F400A">
        <w:rPr>
          <w:rFonts w:ascii="Times New Roman" w:hAnsi="Times New Roman" w:cs="Times New Roman"/>
          <w:sz w:val="24"/>
          <w:szCs w:val="24"/>
        </w:rPr>
        <w:t xml:space="preserve"> instalacji IED.</w:t>
      </w:r>
      <w:r w:rsidRPr="007F400A">
        <w:rPr>
          <w:rFonts w:ascii="Times New Roman" w:hAnsi="Times New Roman" w:cs="Times New Roman"/>
          <w:b/>
          <w:sz w:val="24"/>
          <w:szCs w:val="24"/>
        </w:rPr>
        <w:t xml:space="preserve"> </w:t>
      </w:r>
    </w:p>
    <w:p w14:paraId="781EE227" w14:textId="77777777" w:rsidR="0088289B" w:rsidRPr="007F400A" w:rsidRDefault="0088289B" w:rsidP="00025FDA">
      <w:pPr>
        <w:spacing w:after="60" w:line="300" w:lineRule="atLeast"/>
        <w:jc w:val="both"/>
        <w:rPr>
          <w:rFonts w:ascii="Times New Roman" w:hAnsi="Times New Roman" w:cs="Times New Roman"/>
          <w:sz w:val="24"/>
          <w:szCs w:val="24"/>
        </w:rPr>
      </w:pPr>
      <w:r>
        <w:rPr>
          <w:rFonts w:ascii="Times New Roman" w:hAnsi="Times New Roman" w:cs="Times New Roman"/>
          <w:bCs/>
          <w:sz w:val="24"/>
          <w:szCs w:val="24"/>
        </w:rPr>
        <w:t>Podczas 992</w:t>
      </w:r>
      <w:r w:rsidRPr="007F400A">
        <w:rPr>
          <w:rFonts w:ascii="Times New Roman" w:hAnsi="Times New Roman" w:cs="Times New Roman"/>
          <w:bCs/>
          <w:sz w:val="24"/>
          <w:szCs w:val="24"/>
        </w:rPr>
        <w:t xml:space="preserve"> </w:t>
      </w:r>
      <w:r>
        <w:rPr>
          <w:rFonts w:ascii="Times New Roman" w:hAnsi="Times New Roman" w:cs="Times New Roman"/>
          <w:bCs/>
          <w:sz w:val="24"/>
          <w:szCs w:val="24"/>
        </w:rPr>
        <w:t xml:space="preserve">kontroli stwierdzono </w:t>
      </w:r>
      <w:r w:rsidRPr="007F400A">
        <w:rPr>
          <w:rFonts w:ascii="Times New Roman" w:hAnsi="Times New Roman" w:cs="Times New Roman"/>
          <w:sz w:val="24"/>
          <w:szCs w:val="24"/>
        </w:rPr>
        <w:t>narusze</w:t>
      </w:r>
      <w:r>
        <w:rPr>
          <w:rFonts w:ascii="Times New Roman" w:hAnsi="Times New Roman" w:cs="Times New Roman"/>
          <w:sz w:val="24"/>
          <w:szCs w:val="24"/>
        </w:rPr>
        <w:t>nia</w:t>
      </w:r>
      <w:r w:rsidRPr="007F400A">
        <w:rPr>
          <w:rFonts w:ascii="Times New Roman" w:hAnsi="Times New Roman" w:cs="Times New Roman"/>
          <w:sz w:val="24"/>
          <w:szCs w:val="24"/>
        </w:rPr>
        <w:t xml:space="preserve"> przepisów ochrony środowiska, w tym:</w:t>
      </w:r>
    </w:p>
    <w:p w14:paraId="53D6EBA0" w14:textId="77777777" w:rsidR="0088289B" w:rsidRPr="007F400A" w:rsidRDefault="0088289B" w:rsidP="00D34F97">
      <w:pPr>
        <w:numPr>
          <w:ilvl w:val="0"/>
          <w:numId w:val="80"/>
        </w:numPr>
        <w:spacing w:after="0" w:line="300" w:lineRule="atLeast"/>
        <w:ind w:left="924" w:hanging="357"/>
        <w:jc w:val="both"/>
        <w:rPr>
          <w:rFonts w:ascii="Times New Roman" w:hAnsi="Times New Roman" w:cs="Times New Roman"/>
          <w:sz w:val="24"/>
          <w:szCs w:val="24"/>
        </w:rPr>
      </w:pPr>
      <w:r>
        <w:rPr>
          <w:rFonts w:ascii="Times New Roman" w:hAnsi="Times New Roman" w:cs="Times New Roman"/>
          <w:sz w:val="24"/>
          <w:szCs w:val="24"/>
        </w:rPr>
        <w:lastRenderedPageBreak/>
        <w:t>733</w:t>
      </w:r>
      <w:r w:rsidRPr="007F400A">
        <w:rPr>
          <w:rFonts w:ascii="Times New Roman" w:hAnsi="Times New Roman" w:cs="Times New Roman"/>
          <w:sz w:val="24"/>
          <w:szCs w:val="24"/>
        </w:rPr>
        <w:t xml:space="preserve"> </w:t>
      </w:r>
      <w:r>
        <w:rPr>
          <w:rFonts w:ascii="Times New Roman" w:hAnsi="Times New Roman" w:cs="Times New Roman"/>
          <w:sz w:val="24"/>
          <w:szCs w:val="24"/>
        </w:rPr>
        <w:t>kontrole</w:t>
      </w:r>
      <w:r w:rsidRPr="007F400A">
        <w:rPr>
          <w:rFonts w:ascii="Times New Roman" w:hAnsi="Times New Roman" w:cs="Times New Roman"/>
          <w:sz w:val="24"/>
          <w:szCs w:val="24"/>
        </w:rPr>
        <w:t xml:space="preserve"> (</w:t>
      </w:r>
      <w:r>
        <w:rPr>
          <w:rFonts w:ascii="Times New Roman" w:hAnsi="Times New Roman" w:cs="Times New Roman"/>
          <w:sz w:val="24"/>
          <w:szCs w:val="24"/>
        </w:rPr>
        <w:t>74</w:t>
      </w:r>
      <w:r w:rsidRPr="007F400A">
        <w:rPr>
          <w:rFonts w:ascii="Times New Roman" w:hAnsi="Times New Roman" w:cs="Times New Roman"/>
          <w:sz w:val="24"/>
          <w:szCs w:val="24"/>
        </w:rPr>
        <w:t>%)</w:t>
      </w:r>
      <w:r>
        <w:rPr>
          <w:rFonts w:ascii="Times New Roman" w:hAnsi="Times New Roman" w:cs="Times New Roman"/>
          <w:sz w:val="24"/>
          <w:szCs w:val="24"/>
        </w:rPr>
        <w:t xml:space="preserve"> wykazały </w:t>
      </w:r>
      <w:r w:rsidRPr="007F400A">
        <w:rPr>
          <w:rFonts w:ascii="Times New Roman" w:hAnsi="Times New Roman" w:cs="Times New Roman"/>
          <w:sz w:val="24"/>
          <w:szCs w:val="24"/>
        </w:rPr>
        <w:t>narusze</w:t>
      </w:r>
      <w:r>
        <w:rPr>
          <w:rFonts w:ascii="Times New Roman" w:hAnsi="Times New Roman" w:cs="Times New Roman"/>
          <w:sz w:val="24"/>
          <w:szCs w:val="24"/>
        </w:rPr>
        <w:t>nia</w:t>
      </w:r>
      <w:r w:rsidRPr="007F400A">
        <w:rPr>
          <w:rFonts w:ascii="Times New Roman" w:hAnsi="Times New Roman" w:cs="Times New Roman"/>
          <w:sz w:val="24"/>
          <w:szCs w:val="24"/>
        </w:rPr>
        <w:t xml:space="preserve"> formaln</w:t>
      </w:r>
      <w:r>
        <w:rPr>
          <w:rFonts w:ascii="Times New Roman" w:hAnsi="Times New Roman" w:cs="Times New Roman"/>
          <w:sz w:val="24"/>
          <w:szCs w:val="24"/>
        </w:rPr>
        <w:t>e</w:t>
      </w:r>
      <w:r w:rsidRPr="007F400A">
        <w:rPr>
          <w:rFonts w:ascii="Times New Roman" w:hAnsi="Times New Roman" w:cs="Times New Roman"/>
          <w:sz w:val="24"/>
          <w:szCs w:val="24"/>
        </w:rPr>
        <w:t xml:space="preserve"> bez istotnego wpływu na środowisko,</w:t>
      </w:r>
    </w:p>
    <w:p w14:paraId="771A43E5" w14:textId="77777777" w:rsidR="0088289B" w:rsidRPr="007F400A" w:rsidRDefault="0088289B" w:rsidP="00D34F97">
      <w:pPr>
        <w:numPr>
          <w:ilvl w:val="0"/>
          <w:numId w:val="80"/>
        </w:numPr>
        <w:spacing w:after="120" w:line="300" w:lineRule="atLeast"/>
        <w:ind w:left="924" w:hanging="357"/>
        <w:jc w:val="both"/>
        <w:rPr>
          <w:rFonts w:ascii="Times New Roman" w:eastAsia="Times New Roman" w:hAnsi="Times New Roman" w:cs="Times New Roman"/>
          <w:b/>
          <w:sz w:val="24"/>
          <w:szCs w:val="24"/>
        </w:rPr>
      </w:pPr>
      <w:r>
        <w:rPr>
          <w:rFonts w:ascii="Times New Roman" w:hAnsi="Times New Roman" w:cs="Times New Roman"/>
          <w:sz w:val="24"/>
          <w:szCs w:val="24"/>
        </w:rPr>
        <w:t>259</w:t>
      </w:r>
      <w:r w:rsidRPr="00E15726">
        <w:rPr>
          <w:rFonts w:ascii="Times New Roman" w:hAnsi="Times New Roman" w:cs="Times New Roman"/>
          <w:sz w:val="24"/>
          <w:szCs w:val="24"/>
        </w:rPr>
        <w:t xml:space="preserve"> </w:t>
      </w:r>
      <w:r>
        <w:rPr>
          <w:rFonts w:ascii="Times New Roman" w:hAnsi="Times New Roman" w:cs="Times New Roman"/>
          <w:sz w:val="24"/>
          <w:szCs w:val="24"/>
        </w:rPr>
        <w:t>kontroli</w:t>
      </w:r>
      <w:r w:rsidRPr="007F400A">
        <w:rPr>
          <w:rFonts w:ascii="Times New Roman" w:hAnsi="Times New Roman" w:cs="Times New Roman"/>
          <w:sz w:val="24"/>
          <w:szCs w:val="24"/>
        </w:rPr>
        <w:t xml:space="preserve"> (</w:t>
      </w:r>
      <w:r>
        <w:rPr>
          <w:rFonts w:ascii="Times New Roman" w:hAnsi="Times New Roman" w:cs="Times New Roman"/>
          <w:sz w:val="24"/>
          <w:szCs w:val="24"/>
        </w:rPr>
        <w:t>26</w:t>
      </w:r>
      <w:r w:rsidRPr="007F400A">
        <w:rPr>
          <w:rFonts w:ascii="Times New Roman" w:hAnsi="Times New Roman" w:cs="Times New Roman"/>
          <w:sz w:val="24"/>
          <w:szCs w:val="24"/>
        </w:rPr>
        <w:t>%)</w:t>
      </w:r>
      <w:r>
        <w:rPr>
          <w:rFonts w:ascii="Times New Roman" w:hAnsi="Times New Roman" w:cs="Times New Roman"/>
          <w:sz w:val="24"/>
          <w:szCs w:val="24"/>
        </w:rPr>
        <w:t xml:space="preserve"> wykazało </w:t>
      </w:r>
      <w:r w:rsidRPr="007F400A">
        <w:rPr>
          <w:rFonts w:ascii="Times New Roman" w:hAnsi="Times New Roman" w:cs="Times New Roman"/>
          <w:sz w:val="24"/>
          <w:szCs w:val="24"/>
        </w:rPr>
        <w:t>narusze</w:t>
      </w:r>
      <w:r>
        <w:rPr>
          <w:rFonts w:ascii="Times New Roman" w:hAnsi="Times New Roman" w:cs="Times New Roman"/>
          <w:sz w:val="24"/>
          <w:szCs w:val="24"/>
        </w:rPr>
        <w:t>nia</w:t>
      </w:r>
      <w:r w:rsidRPr="007F400A">
        <w:rPr>
          <w:rFonts w:ascii="Times New Roman" w:hAnsi="Times New Roman" w:cs="Times New Roman"/>
          <w:sz w:val="24"/>
          <w:szCs w:val="24"/>
        </w:rPr>
        <w:t xml:space="preserve"> związanych z zagrożeniem lub zanieczyszczeniem środowiska.</w:t>
      </w:r>
    </w:p>
    <w:p w14:paraId="45ABA22D" w14:textId="77777777" w:rsidR="0088289B" w:rsidRPr="007F400A" w:rsidRDefault="0088289B" w:rsidP="00025FDA">
      <w:pPr>
        <w:spacing w:after="60" w:line="300" w:lineRule="atLeast"/>
        <w:jc w:val="both"/>
        <w:rPr>
          <w:rFonts w:ascii="Times New Roman" w:eastAsia="Times New Roman" w:hAnsi="Times New Roman" w:cs="Times New Roman"/>
          <w:b/>
          <w:sz w:val="24"/>
          <w:szCs w:val="24"/>
        </w:rPr>
      </w:pPr>
      <w:r w:rsidRPr="007F400A">
        <w:rPr>
          <w:rFonts w:ascii="Times New Roman" w:eastAsia="Times New Roman" w:hAnsi="Times New Roman" w:cs="Times New Roman"/>
          <w:sz w:val="24"/>
          <w:szCs w:val="24"/>
        </w:rPr>
        <w:t>Stwierdzone naruszenia dotyczyły m.in.:</w:t>
      </w:r>
    </w:p>
    <w:p w14:paraId="64796718" w14:textId="77777777" w:rsidR="0088289B" w:rsidRPr="007F400A" w:rsidRDefault="0088289B" w:rsidP="00D34F97">
      <w:pPr>
        <w:numPr>
          <w:ilvl w:val="0"/>
          <w:numId w:val="79"/>
        </w:numPr>
        <w:spacing w:after="0" w:line="300" w:lineRule="atLeast"/>
        <w:ind w:left="924" w:hanging="357"/>
        <w:contextualSpacing/>
        <w:jc w:val="both"/>
        <w:rPr>
          <w:rFonts w:ascii="Times New Roman" w:hAnsi="Times New Roman" w:cs="Times New Roman"/>
          <w:sz w:val="24"/>
          <w:szCs w:val="24"/>
        </w:rPr>
      </w:pPr>
      <w:bookmarkStart w:id="80" w:name="_Hlk128052037"/>
      <w:r w:rsidRPr="007F400A">
        <w:rPr>
          <w:rFonts w:ascii="Times New Roman" w:hAnsi="Times New Roman" w:cs="Times New Roman"/>
          <w:sz w:val="24"/>
          <w:szCs w:val="24"/>
        </w:rPr>
        <w:t>braku wymaganego pozwolenia zintegrowanego lub naruszenia jego warunków,</w:t>
      </w:r>
    </w:p>
    <w:p w14:paraId="20750040" w14:textId="77777777" w:rsidR="0088289B" w:rsidRPr="007F400A" w:rsidRDefault="0088289B" w:rsidP="00D34F97">
      <w:pPr>
        <w:numPr>
          <w:ilvl w:val="0"/>
          <w:numId w:val="79"/>
        </w:numPr>
        <w:spacing w:after="0" w:line="300" w:lineRule="atLeast"/>
        <w:ind w:left="924" w:hanging="357"/>
        <w:contextualSpacing/>
        <w:jc w:val="both"/>
        <w:rPr>
          <w:rFonts w:ascii="Times New Roman" w:hAnsi="Times New Roman" w:cs="Times New Roman"/>
          <w:sz w:val="24"/>
          <w:szCs w:val="24"/>
        </w:rPr>
      </w:pPr>
      <w:r w:rsidRPr="007F400A">
        <w:rPr>
          <w:rFonts w:ascii="Times New Roman" w:hAnsi="Times New Roman" w:cs="Times New Roman"/>
          <w:sz w:val="24"/>
        </w:rPr>
        <w:t>prowadzeni</w:t>
      </w:r>
      <w:r>
        <w:rPr>
          <w:rFonts w:ascii="Times New Roman" w:hAnsi="Times New Roman" w:cs="Times New Roman"/>
          <w:sz w:val="24"/>
        </w:rPr>
        <w:t>a</w:t>
      </w:r>
      <w:r w:rsidRPr="007F400A">
        <w:rPr>
          <w:rFonts w:ascii="Times New Roman" w:hAnsi="Times New Roman" w:cs="Times New Roman"/>
          <w:sz w:val="24"/>
        </w:rPr>
        <w:t xml:space="preserve"> wizyjnego systemu kontroli miejsc magazynowania i składowania odpadów</w:t>
      </w:r>
      <w:r w:rsidRPr="00406E9F">
        <w:rPr>
          <w:rFonts w:ascii="Times New Roman" w:hAnsi="Times New Roman" w:cs="Times New Roman"/>
          <w:sz w:val="24"/>
        </w:rPr>
        <w:t xml:space="preserve"> </w:t>
      </w:r>
      <w:r w:rsidRPr="007F400A">
        <w:rPr>
          <w:rFonts w:ascii="Times New Roman" w:hAnsi="Times New Roman" w:cs="Times New Roman"/>
          <w:sz w:val="24"/>
        </w:rPr>
        <w:t>niezgodnie z przepisami,</w:t>
      </w:r>
    </w:p>
    <w:p w14:paraId="43976CBE" w14:textId="77777777" w:rsidR="0088289B" w:rsidRPr="007F400A" w:rsidRDefault="0088289B" w:rsidP="00D34F97">
      <w:pPr>
        <w:numPr>
          <w:ilvl w:val="0"/>
          <w:numId w:val="79"/>
        </w:numPr>
        <w:spacing w:after="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magazynowani</w:t>
      </w:r>
      <w:r w:rsidRPr="007F400A">
        <w:rPr>
          <w:rFonts w:ascii="Times New Roman" w:eastAsia="Calibri" w:hAnsi="Times New Roman" w:cs="Times New Roman"/>
          <w:sz w:val="24"/>
          <w:szCs w:val="24"/>
          <w:lang w:eastAsia="pl-PL"/>
        </w:rPr>
        <w:t>a</w:t>
      </w:r>
      <w:r w:rsidRPr="007F400A">
        <w:rPr>
          <w:rFonts w:ascii="Times New Roman" w:eastAsia="Calibri" w:hAnsi="Times New Roman" w:cs="Times New Roman"/>
          <w:sz w:val="24"/>
          <w:szCs w:val="24"/>
          <w:lang w:val="x-none" w:eastAsia="pl-PL"/>
        </w:rPr>
        <w:t xml:space="preserve"> odpadów </w:t>
      </w:r>
      <w:r>
        <w:rPr>
          <w:rFonts w:ascii="Times New Roman" w:eastAsia="Calibri" w:hAnsi="Times New Roman" w:cs="Times New Roman"/>
          <w:sz w:val="24"/>
          <w:szCs w:val="24"/>
          <w:lang w:eastAsia="pl-PL"/>
        </w:rPr>
        <w:t>w sposób niezgodny z pozwoleniem,</w:t>
      </w:r>
    </w:p>
    <w:p w14:paraId="23339888" w14:textId="77777777" w:rsidR="0088289B" w:rsidRPr="007F400A" w:rsidRDefault="0088289B" w:rsidP="00D34F97">
      <w:pPr>
        <w:numPr>
          <w:ilvl w:val="0"/>
          <w:numId w:val="79"/>
        </w:numPr>
        <w:spacing w:after="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brak</w:t>
      </w:r>
      <w:r w:rsidRPr="007F400A">
        <w:rPr>
          <w:rFonts w:ascii="Times New Roman" w:eastAsia="Calibri" w:hAnsi="Times New Roman" w:cs="Times New Roman"/>
          <w:sz w:val="24"/>
          <w:szCs w:val="24"/>
          <w:lang w:eastAsia="pl-PL"/>
        </w:rPr>
        <w:t>u</w:t>
      </w:r>
      <w:r w:rsidRPr="007F400A">
        <w:rPr>
          <w:rFonts w:ascii="Times New Roman" w:eastAsia="Calibri" w:hAnsi="Times New Roman" w:cs="Times New Roman"/>
          <w:sz w:val="24"/>
          <w:szCs w:val="24"/>
          <w:lang w:val="x-none" w:eastAsia="pl-PL"/>
        </w:rPr>
        <w:t xml:space="preserve"> prowadzenia lub nierzetelne</w:t>
      </w:r>
      <w:r w:rsidRPr="007F400A">
        <w:rPr>
          <w:rFonts w:ascii="Times New Roman" w:eastAsia="Calibri" w:hAnsi="Times New Roman" w:cs="Times New Roman"/>
          <w:sz w:val="24"/>
          <w:szCs w:val="24"/>
          <w:lang w:eastAsia="pl-PL"/>
        </w:rPr>
        <w:t>go</w:t>
      </w:r>
      <w:r w:rsidRPr="007F400A">
        <w:rPr>
          <w:rFonts w:ascii="Times New Roman" w:eastAsia="Calibri" w:hAnsi="Times New Roman" w:cs="Times New Roman"/>
          <w:sz w:val="24"/>
          <w:szCs w:val="24"/>
          <w:lang w:val="x-none" w:eastAsia="pl-PL"/>
        </w:rPr>
        <w:t xml:space="preserve"> prowadzeni</w:t>
      </w:r>
      <w:r w:rsidRPr="007F400A">
        <w:rPr>
          <w:rFonts w:ascii="Times New Roman" w:eastAsia="Calibri" w:hAnsi="Times New Roman" w:cs="Times New Roman"/>
          <w:sz w:val="24"/>
          <w:szCs w:val="24"/>
          <w:lang w:eastAsia="pl-PL"/>
        </w:rPr>
        <w:t>a</w:t>
      </w:r>
      <w:r w:rsidRPr="007F400A">
        <w:rPr>
          <w:rFonts w:ascii="Times New Roman" w:eastAsia="Calibri" w:hAnsi="Times New Roman" w:cs="Times New Roman"/>
          <w:sz w:val="24"/>
          <w:szCs w:val="24"/>
          <w:lang w:val="x-none" w:eastAsia="pl-PL"/>
        </w:rPr>
        <w:t xml:space="preserve"> ewidencji w zakresie gospodarki odpadami,</w:t>
      </w:r>
    </w:p>
    <w:p w14:paraId="0D6F5547" w14:textId="77777777" w:rsidR="0088289B" w:rsidRDefault="0088289B" w:rsidP="00D34F97">
      <w:pPr>
        <w:numPr>
          <w:ilvl w:val="0"/>
          <w:numId w:val="79"/>
        </w:numPr>
        <w:spacing w:after="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niezłożeni</w:t>
      </w:r>
      <w:r w:rsidRPr="007F400A">
        <w:rPr>
          <w:rFonts w:ascii="Times New Roman" w:eastAsia="Calibri" w:hAnsi="Times New Roman" w:cs="Times New Roman"/>
          <w:sz w:val="24"/>
          <w:szCs w:val="24"/>
          <w:lang w:eastAsia="pl-PL"/>
        </w:rPr>
        <w:t>a</w:t>
      </w:r>
      <w:r w:rsidRPr="007F400A">
        <w:rPr>
          <w:rFonts w:ascii="Times New Roman" w:eastAsia="Calibri" w:hAnsi="Times New Roman" w:cs="Times New Roman"/>
          <w:sz w:val="24"/>
          <w:szCs w:val="24"/>
          <w:lang w:val="x-none" w:eastAsia="pl-PL"/>
        </w:rPr>
        <w:t xml:space="preserve"> raportu rocznego o wielkości emisji </w:t>
      </w:r>
      <w:proofErr w:type="spellStart"/>
      <w:r w:rsidRPr="007F400A">
        <w:rPr>
          <w:rFonts w:ascii="Times New Roman" w:eastAsia="Calibri" w:hAnsi="Times New Roman" w:cs="Times New Roman"/>
          <w:sz w:val="24"/>
          <w:szCs w:val="24"/>
          <w:lang w:val="x-none" w:eastAsia="pl-PL"/>
        </w:rPr>
        <w:t>KOBiZE</w:t>
      </w:r>
      <w:proofErr w:type="spellEnd"/>
      <w:r>
        <w:rPr>
          <w:rFonts w:ascii="Times New Roman" w:eastAsia="Calibri" w:hAnsi="Times New Roman" w:cs="Times New Roman"/>
          <w:sz w:val="24"/>
          <w:szCs w:val="24"/>
          <w:lang w:eastAsia="pl-PL"/>
        </w:rPr>
        <w:t>,</w:t>
      </w:r>
    </w:p>
    <w:p w14:paraId="03273D4B" w14:textId="77777777" w:rsidR="0088289B" w:rsidRPr="007F400A" w:rsidRDefault="0088289B" w:rsidP="00D34F97">
      <w:pPr>
        <w:numPr>
          <w:ilvl w:val="0"/>
          <w:numId w:val="79"/>
        </w:numPr>
        <w:spacing w:after="0" w:line="300" w:lineRule="atLeast"/>
        <w:ind w:left="924" w:hanging="357"/>
        <w:contextualSpacing/>
        <w:jc w:val="both"/>
        <w:rPr>
          <w:rFonts w:ascii="Times New Roman" w:eastAsia="Calibri" w:hAnsi="Times New Roman" w:cs="Times New Roman"/>
          <w:sz w:val="24"/>
          <w:szCs w:val="24"/>
          <w:lang w:val="x-none" w:eastAsia="pl-PL"/>
        </w:rPr>
      </w:pPr>
      <w:r w:rsidRPr="00406E9F">
        <w:rPr>
          <w:rFonts w:ascii="Times New Roman" w:eastAsia="Calibri" w:hAnsi="Times New Roman" w:cs="Times New Roman"/>
          <w:sz w:val="24"/>
          <w:szCs w:val="24"/>
          <w:lang w:val="x-none" w:eastAsia="pl-PL"/>
        </w:rPr>
        <w:t xml:space="preserve">nieuwzględnienia wszystkich emisji w </w:t>
      </w:r>
      <w:r>
        <w:rPr>
          <w:rFonts w:ascii="Times New Roman" w:eastAsia="Calibri" w:hAnsi="Times New Roman" w:cs="Times New Roman"/>
          <w:sz w:val="24"/>
          <w:szCs w:val="24"/>
          <w:lang w:eastAsia="pl-PL"/>
        </w:rPr>
        <w:t>raporcie</w:t>
      </w:r>
      <w:r w:rsidRPr="00406E9F">
        <w:rPr>
          <w:rFonts w:ascii="Times New Roman" w:eastAsia="Calibri" w:hAnsi="Times New Roman" w:cs="Times New Roman"/>
          <w:sz w:val="24"/>
          <w:szCs w:val="24"/>
          <w:lang w:val="x-none" w:eastAsia="pl-PL"/>
        </w:rPr>
        <w:t xml:space="preserve"> o wielkości emisji do </w:t>
      </w:r>
      <w:proofErr w:type="spellStart"/>
      <w:r w:rsidRPr="00406E9F">
        <w:rPr>
          <w:rFonts w:ascii="Times New Roman" w:eastAsia="Calibri" w:hAnsi="Times New Roman" w:cs="Times New Roman"/>
          <w:sz w:val="24"/>
          <w:szCs w:val="24"/>
          <w:lang w:val="x-none" w:eastAsia="pl-PL"/>
        </w:rPr>
        <w:t>KOBiZ</w:t>
      </w:r>
      <w:r>
        <w:rPr>
          <w:rFonts w:ascii="Times New Roman" w:eastAsia="Calibri" w:hAnsi="Times New Roman" w:cs="Times New Roman"/>
          <w:sz w:val="24"/>
          <w:szCs w:val="24"/>
          <w:lang w:eastAsia="pl-PL"/>
        </w:rPr>
        <w:t>E</w:t>
      </w:r>
      <w:proofErr w:type="spellEnd"/>
      <w:r>
        <w:rPr>
          <w:rFonts w:ascii="Times New Roman" w:eastAsia="Calibri" w:hAnsi="Times New Roman" w:cs="Times New Roman"/>
          <w:sz w:val="24"/>
          <w:szCs w:val="24"/>
          <w:lang w:eastAsia="pl-PL"/>
        </w:rPr>
        <w:t>,</w:t>
      </w:r>
    </w:p>
    <w:p w14:paraId="13671814" w14:textId="77777777" w:rsidR="0088289B" w:rsidRPr="007F400A" w:rsidRDefault="0088289B" w:rsidP="00D34F97">
      <w:pPr>
        <w:numPr>
          <w:ilvl w:val="0"/>
          <w:numId w:val="79"/>
        </w:numPr>
        <w:spacing w:after="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nieprowadzeni</w:t>
      </w:r>
      <w:r w:rsidRPr="007F400A">
        <w:rPr>
          <w:rFonts w:ascii="Times New Roman" w:eastAsia="Calibri" w:hAnsi="Times New Roman" w:cs="Times New Roman"/>
          <w:sz w:val="24"/>
          <w:szCs w:val="24"/>
          <w:lang w:eastAsia="pl-PL"/>
        </w:rPr>
        <w:t>a</w:t>
      </w:r>
      <w:r w:rsidRPr="007F400A">
        <w:rPr>
          <w:rFonts w:ascii="Times New Roman" w:eastAsia="Calibri" w:hAnsi="Times New Roman" w:cs="Times New Roman"/>
          <w:sz w:val="24"/>
          <w:szCs w:val="24"/>
          <w:lang w:val="x-none" w:eastAsia="pl-PL"/>
        </w:rPr>
        <w:t xml:space="preserve"> pomiarów hałasu, wody, emisji substancji do powietrza i badań ścieków z wymaganą częstotliwością,</w:t>
      </w:r>
    </w:p>
    <w:p w14:paraId="751362B9" w14:textId="77777777" w:rsidR="0088289B" w:rsidRPr="007F400A" w:rsidRDefault="0088289B" w:rsidP="00D34F97">
      <w:pPr>
        <w:numPr>
          <w:ilvl w:val="0"/>
          <w:numId w:val="79"/>
        </w:numPr>
        <w:spacing w:after="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nieprzekazywani</w:t>
      </w:r>
      <w:r w:rsidRPr="007F400A">
        <w:rPr>
          <w:rFonts w:ascii="Times New Roman" w:eastAsia="Calibri" w:hAnsi="Times New Roman" w:cs="Times New Roman"/>
          <w:sz w:val="24"/>
          <w:szCs w:val="24"/>
          <w:lang w:eastAsia="pl-PL"/>
        </w:rPr>
        <w:t>a</w:t>
      </w:r>
      <w:r w:rsidRPr="007F400A">
        <w:rPr>
          <w:rFonts w:ascii="Times New Roman" w:eastAsia="Calibri" w:hAnsi="Times New Roman" w:cs="Times New Roman"/>
          <w:sz w:val="24"/>
          <w:szCs w:val="24"/>
          <w:lang w:val="x-none" w:eastAsia="pl-PL"/>
        </w:rPr>
        <w:t xml:space="preserve"> </w:t>
      </w:r>
      <w:r>
        <w:rPr>
          <w:rFonts w:ascii="Times New Roman" w:eastAsia="Calibri" w:hAnsi="Times New Roman" w:cs="Times New Roman"/>
          <w:sz w:val="24"/>
          <w:szCs w:val="24"/>
          <w:lang w:eastAsia="pl-PL"/>
        </w:rPr>
        <w:t xml:space="preserve">lub nieterminowego przekazywania </w:t>
      </w:r>
      <w:r w:rsidRPr="007F400A">
        <w:rPr>
          <w:rFonts w:ascii="Times New Roman" w:eastAsia="Calibri" w:hAnsi="Times New Roman" w:cs="Times New Roman"/>
          <w:sz w:val="24"/>
          <w:szCs w:val="24"/>
          <w:lang w:val="x-none" w:eastAsia="pl-PL"/>
        </w:rPr>
        <w:t>właściwym organ</w:t>
      </w:r>
      <w:r w:rsidRPr="007F400A">
        <w:rPr>
          <w:rFonts w:ascii="Times New Roman" w:eastAsia="Calibri" w:hAnsi="Times New Roman" w:cs="Times New Roman"/>
          <w:sz w:val="24"/>
          <w:szCs w:val="24"/>
          <w:lang w:eastAsia="pl-PL"/>
        </w:rPr>
        <w:t>om</w:t>
      </w:r>
      <w:r w:rsidRPr="007F400A">
        <w:rPr>
          <w:rFonts w:ascii="Times New Roman" w:eastAsia="Calibri" w:hAnsi="Times New Roman" w:cs="Times New Roman"/>
          <w:sz w:val="24"/>
          <w:szCs w:val="24"/>
          <w:lang w:val="x-none" w:eastAsia="pl-PL"/>
        </w:rPr>
        <w:t xml:space="preserve"> wyników badań i pomiarów komponentów środowiska,</w:t>
      </w:r>
    </w:p>
    <w:p w14:paraId="03BF518A" w14:textId="77777777" w:rsidR="0088289B" w:rsidRPr="007F400A" w:rsidRDefault="0088289B" w:rsidP="00D34F97">
      <w:pPr>
        <w:numPr>
          <w:ilvl w:val="0"/>
          <w:numId w:val="79"/>
        </w:numPr>
        <w:spacing w:after="0" w:line="300" w:lineRule="atLeast"/>
        <w:ind w:left="924"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wprowadzani</w:t>
      </w:r>
      <w:r w:rsidRPr="007F400A">
        <w:rPr>
          <w:rFonts w:ascii="Times New Roman" w:eastAsia="Calibri" w:hAnsi="Times New Roman" w:cs="Times New Roman"/>
          <w:sz w:val="24"/>
          <w:szCs w:val="24"/>
          <w:lang w:eastAsia="pl-PL"/>
        </w:rPr>
        <w:t>a</w:t>
      </w:r>
      <w:r w:rsidRPr="007F400A">
        <w:rPr>
          <w:rFonts w:ascii="Times New Roman" w:eastAsia="Calibri" w:hAnsi="Times New Roman" w:cs="Times New Roman"/>
          <w:sz w:val="24"/>
          <w:szCs w:val="24"/>
          <w:lang w:val="x-none" w:eastAsia="pl-PL"/>
        </w:rPr>
        <w:t xml:space="preserve"> ścieków do środowiska bez pozwolenia wodnoprawnego,</w:t>
      </w:r>
    </w:p>
    <w:p w14:paraId="5DA7D833" w14:textId="77777777" w:rsidR="0088289B" w:rsidRPr="00744A58" w:rsidRDefault="0088289B" w:rsidP="00D34F97">
      <w:pPr>
        <w:numPr>
          <w:ilvl w:val="0"/>
          <w:numId w:val="79"/>
        </w:numPr>
        <w:spacing w:after="0" w:line="300" w:lineRule="atLeast"/>
        <w:ind w:left="924" w:hanging="357"/>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brak</w:t>
      </w:r>
      <w:r w:rsidRPr="007F400A">
        <w:rPr>
          <w:rFonts w:ascii="Times New Roman" w:eastAsia="Calibri" w:hAnsi="Times New Roman" w:cs="Times New Roman"/>
          <w:sz w:val="24"/>
          <w:szCs w:val="24"/>
          <w:lang w:eastAsia="pl-PL"/>
        </w:rPr>
        <w:t>u</w:t>
      </w:r>
      <w:r w:rsidRPr="007F400A">
        <w:rPr>
          <w:rFonts w:ascii="Times New Roman" w:eastAsia="Calibri" w:hAnsi="Times New Roman" w:cs="Times New Roman"/>
          <w:sz w:val="24"/>
          <w:szCs w:val="24"/>
          <w:lang w:val="x-none" w:eastAsia="pl-PL"/>
        </w:rPr>
        <w:t xml:space="preserve"> uiszczania opłat za korzystanie ze środowiska</w:t>
      </w:r>
      <w:r>
        <w:rPr>
          <w:rFonts w:ascii="Times New Roman" w:eastAsia="Calibri" w:hAnsi="Times New Roman" w:cs="Times New Roman"/>
          <w:sz w:val="24"/>
          <w:szCs w:val="24"/>
          <w:lang w:eastAsia="pl-PL"/>
        </w:rPr>
        <w:t>,</w:t>
      </w:r>
    </w:p>
    <w:p w14:paraId="0B1DF7CB" w14:textId="77777777" w:rsidR="0088289B" w:rsidRPr="00744A58" w:rsidRDefault="0088289B" w:rsidP="00D34F97">
      <w:pPr>
        <w:numPr>
          <w:ilvl w:val="0"/>
          <w:numId w:val="79"/>
        </w:numPr>
        <w:spacing w:after="0" w:line="300" w:lineRule="atLeast"/>
        <w:ind w:left="924" w:hanging="357"/>
        <w:jc w:val="both"/>
        <w:rPr>
          <w:rFonts w:ascii="Times New Roman" w:eastAsia="Calibri" w:hAnsi="Times New Roman" w:cs="Times New Roman"/>
          <w:sz w:val="24"/>
          <w:szCs w:val="24"/>
          <w:lang w:val="x-none" w:eastAsia="pl-PL"/>
        </w:rPr>
      </w:pPr>
      <w:r w:rsidRPr="00406E9F">
        <w:rPr>
          <w:rFonts w:ascii="Times New Roman" w:eastAsia="Calibri" w:hAnsi="Times New Roman" w:cs="Times New Roman"/>
          <w:sz w:val="24"/>
          <w:szCs w:val="24"/>
          <w:lang w:val="x-none" w:eastAsia="pl-PL"/>
        </w:rPr>
        <w:t>przekroczenia dopuszczalnych wartości zanieczyszczeń w ściekach przemysłowych</w:t>
      </w:r>
      <w:r>
        <w:rPr>
          <w:rFonts w:ascii="Times New Roman" w:eastAsia="Calibri" w:hAnsi="Times New Roman" w:cs="Times New Roman"/>
          <w:sz w:val="24"/>
          <w:szCs w:val="24"/>
          <w:lang w:eastAsia="pl-PL"/>
        </w:rPr>
        <w:t>,</w:t>
      </w:r>
    </w:p>
    <w:p w14:paraId="17B7E35E" w14:textId="77777777" w:rsidR="0088289B" w:rsidRPr="00406E9F" w:rsidRDefault="0088289B" w:rsidP="00D34F97">
      <w:pPr>
        <w:numPr>
          <w:ilvl w:val="0"/>
          <w:numId w:val="79"/>
        </w:numPr>
        <w:spacing w:after="120" w:line="300" w:lineRule="atLeast"/>
        <w:ind w:left="924" w:hanging="357"/>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eastAsia="pl-PL"/>
        </w:rPr>
        <w:t>zastosowania</w:t>
      </w:r>
      <w:r w:rsidRPr="00406E9F">
        <w:rPr>
          <w:rFonts w:ascii="Times New Roman" w:eastAsia="Calibri" w:hAnsi="Times New Roman" w:cs="Times New Roman"/>
          <w:sz w:val="24"/>
          <w:szCs w:val="24"/>
          <w:lang w:val="x-none" w:eastAsia="pl-PL"/>
        </w:rPr>
        <w:t xml:space="preserve"> nawozów niezgodnie z uzgodnionym planem nawożenia</w:t>
      </w:r>
      <w:r>
        <w:rPr>
          <w:rFonts w:ascii="Times New Roman" w:eastAsia="Calibri" w:hAnsi="Times New Roman" w:cs="Times New Roman"/>
          <w:sz w:val="24"/>
          <w:szCs w:val="24"/>
          <w:lang w:eastAsia="pl-PL"/>
        </w:rPr>
        <w:t>.</w:t>
      </w:r>
    </w:p>
    <w:bookmarkEnd w:id="80"/>
    <w:p w14:paraId="049A3E9B" w14:textId="77777777" w:rsidR="0088289B" w:rsidRPr="007F400A" w:rsidRDefault="0088289B" w:rsidP="00785905">
      <w:pPr>
        <w:spacing w:after="60" w:line="300" w:lineRule="atLeast"/>
        <w:jc w:val="both"/>
        <w:rPr>
          <w:rFonts w:ascii="Times New Roman" w:hAnsi="Times New Roman" w:cs="Times New Roman"/>
          <w:sz w:val="24"/>
          <w:szCs w:val="24"/>
        </w:rPr>
      </w:pPr>
      <w:r w:rsidRPr="007F400A">
        <w:rPr>
          <w:rFonts w:ascii="Times New Roman" w:hAnsi="Times New Roman" w:cs="Times New Roman"/>
          <w:sz w:val="24"/>
          <w:szCs w:val="24"/>
        </w:rPr>
        <w:t xml:space="preserve">W związku ze stwierdzonymi naruszeniami: </w:t>
      </w:r>
    </w:p>
    <w:p w14:paraId="2C606F4A" w14:textId="77777777" w:rsidR="0088289B" w:rsidRPr="007F400A" w:rsidRDefault="0088289B" w:rsidP="00D34F97">
      <w:pPr>
        <w:numPr>
          <w:ilvl w:val="0"/>
          <w:numId w:val="81"/>
        </w:numPr>
        <w:spacing w:line="300" w:lineRule="atLeast"/>
        <w:ind w:left="924" w:hanging="357"/>
        <w:contextualSpacing/>
        <w:jc w:val="both"/>
        <w:rPr>
          <w:rFonts w:ascii="Times New Roman" w:hAnsi="Times New Roman" w:cs="Times New Roman"/>
          <w:sz w:val="24"/>
          <w:szCs w:val="24"/>
        </w:rPr>
      </w:pPr>
      <w:r w:rsidRPr="007F400A">
        <w:rPr>
          <w:rFonts w:ascii="Times New Roman" w:hAnsi="Times New Roman" w:cs="Times New Roman"/>
          <w:sz w:val="24"/>
          <w:szCs w:val="24"/>
        </w:rPr>
        <w:t xml:space="preserve">udzielono </w:t>
      </w:r>
      <w:r>
        <w:rPr>
          <w:rFonts w:ascii="Times New Roman" w:hAnsi="Times New Roman" w:cs="Times New Roman"/>
          <w:sz w:val="24"/>
          <w:szCs w:val="24"/>
        </w:rPr>
        <w:t>775</w:t>
      </w:r>
      <w:r w:rsidRPr="007F400A">
        <w:rPr>
          <w:rFonts w:ascii="Times New Roman" w:hAnsi="Times New Roman" w:cs="Times New Roman"/>
          <w:sz w:val="24"/>
          <w:szCs w:val="24"/>
        </w:rPr>
        <w:t xml:space="preserve"> poucze</w:t>
      </w:r>
      <w:r>
        <w:rPr>
          <w:rFonts w:ascii="Times New Roman" w:hAnsi="Times New Roman" w:cs="Times New Roman"/>
          <w:sz w:val="24"/>
          <w:szCs w:val="24"/>
        </w:rPr>
        <w:t>ń</w:t>
      </w:r>
      <w:r w:rsidRPr="007F400A">
        <w:rPr>
          <w:rFonts w:ascii="Times New Roman" w:hAnsi="Times New Roman" w:cs="Times New Roman"/>
          <w:sz w:val="24"/>
          <w:szCs w:val="24"/>
        </w:rPr>
        <w:t xml:space="preserve">, </w:t>
      </w:r>
    </w:p>
    <w:p w14:paraId="0A9A3F74" w14:textId="77777777" w:rsidR="0088289B" w:rsidRPr="007F400A" w:rsidRDefault="0088289B" w:rsidP="00D34F97">
      <w:pPr>
        <w:numPr>
          <w:ilvl w:val="0"/>
          <w:numId w:val="81"/>
        </w:numPr>
        <w:spacing w:line="300" w:lineRule="atLeast"/>
        <w:ind w:left="924" w:hanging="357"/>
        <w:contextualSpacing/>
        <w:jc w:val="both"/>
        <w:rPr>
          <w:rFonts w:ascii="Times New Roman" w:hAnsi="Times New Roman" w:cs="Times New Roman"/>
          <w:sz w:val="24"/>
          <w:szCs w:val="24"/>
        </w:rPr>
      </w:pPr>
      <w:r w:rsidRPr="007F400A">
        <w:rPr>
          <w:rFonts w:ascii="Times New Roman" w:hAnsi="Times New Roman" w:cs="Times New Roman"/>
          <w:sz w:val="24"/>
          <w:szCs w:val="24"/>
        </w:rPr>
        <w:t xml:space="preserve">nałożono </w:t>
      </w:r>
      <w:r>
        <w:rPr>
          <w:rFonts w:ascii="Times New Roman" w:hAnsi="Times New Roman" w:cs="Times New Roman"/>
          <w:sz w:val="24"/>
          <w:szCs w:val="24"/>
        </w:rPr>
        <w:t>434</w:t>
      </w:r>
      <w:r w:rsidRPr="007F400A">
        <w:rPr>
          <w:rFonts w:ascii="Times New Roman" w:hAnsi="Times New Roman" w:cs="Times New Roman"/>
          <w:sz w:val="24"/>
          <w:szCs w:val="24"/>
        </w:rPr>
        <w:t xml:space="preserve"> mandat</w:t>
      </w:r>
      <w:r>
        <w:rPr>
          <w:rFonts w:ascii="Times New Roman" w:hAnsi="Times New Roman" w:cs="Times New Roman"/>
          <w:sz w:val="24"/>
          <w:szCs w:val="24"/>
        </w:rPr>
        <w:t>y</w:t>
      </w:r>
      <w:r w:rsidRPr="007F400A">
        <w:rPr>
          <w:rFonts w:ascii="Times New Roman" w:hAnsi="Times New Roman" w:cs="Times New Roman"/>
          <w:sz w:val="24"/>
          <w:szCs w:val="24"/>
        </w:rPr>
        <w:t xml:space="preserve"> karn</w:t>
      </w:r>
      <w:r>
        <w:rPr>
          <w:rFonts w:ascii="Times New Roman" w:hAnsi="Times New Roman" w:cs="Times New Roman"/>
          <w:sz w:val="24"/>
          <w:szCs w:val="24"/>
        </w:rPr>
        <w:t>e</w:t>
      </w:r>
      <w:r w:rsidRPr="007F400A">
        <w:rPr>
          <w:rFonts w:ascii="Times New Roman" w:hAnsi="Times New Roman" w:cs="Times New Roman"/>
          <w:sz w:val="24"/>
          <w:szCs w:val="24"/>
        </w:rPr>
        <w:t>,</w:t>
      </w:r>
    </w:p>
    <w:p w14:paraId="5A810940" w14:textId="77777777" w:rsidR="0088289B" w:rsidRPr="007F400A" w:rsidRDefault="0088289B" w:rsidP="00D34F97">
      <w:pPr>
        <w:numPr>
          <w:ilvl w:val="0"/>
          <w:numId w:val="81"/>
        </w:numPr>
        <w:spacing w:line="300" w:lineRule="atLeast"/>
        <w:ind w:left="924" w:hanging="357"/>
        <w:contextualSpacing/>
        <w:jc w:val="both"/>
        <w:rPr>
          <w:rFonts w:ascii="Times New Roman" w:hAnsi="Times New Roman" w:cs="Times New Roman"/>
          <w:sz w:val="24"/>
          <w:szCs w:val="24"/>
        </w:rPr>
      </w:pPr>
      <w:r w:rsidRPr="007F400A">
        <w:rPr>
          <w:rFonts w:ascii="Times New Roman" w:hAnsi="Times New Roman" w:cs="Times New Roman"/>
          <w:sz w:val="24"/>
          <w:szCs w:val="24"/>
        </w:rPr>
        <w:t xml:space="preserve">skierowano </w:t>
      </w:r>
      <w:r>
        <w:rPr>
          <w:rFonts w:ascii="Times New Roman" w:hAnsi="Times New Roman" w:cs="Times New Roman"/>
          <w:sz w:val="24"/>
          <w:szCs w:val="24"/>
        </w:rPr>
        <w:t>39</w:t>
      </w:r>
      <w:r w:rsidRPr="007F400A">
        <w:rPr>
          <w:rFonts w:ascii="Times New Roman" w:hAnsi="Times New Roman" w:cs="Times New Roman"/>
          <w:sz w:val="24"/>
          <w:szCs w:val="24"/>
        </w:rPr>
        <w:t xml:space="preserve"> wniosk</w:t>
      </w:r>
      <w:r>
        <w:rPr>
          <w:rFonts w:ascii="Times New Roman" w:hAnsi="Times New Roman" w:cs="Times New Roman"/>
          <w:sz w:val="24"/>
          <w:szCs w:val="24"/>
        </w:rPr>
        <w:t>ów</w:t>
      </w:r>
      <w:r w:rsidRPr="007F400A">
        <w:rPr>
          <w:rFonts w:ascii="Times New Roman" w:hAnsi="Times New Roman" w:cs="Times New Roman"/>
          <w:sz w:val="24"/>
          <w:szCs w:val="24"/>
        </w:rPr>
        <w:t xml:space="preserve"> do sądów o ukaranie karą grzywny,</w:t>
      </w:r>
    </w:p>
    <w:p w14:paraId="234CBA5D" w14:textId="77777777" w:rsidR="0088289B" w:rsidRPr="007F400A" w:rsidRDefault="0088289B" w:rsidP="00D34F97">
      <w:pPr>
        <w:numPr>
          <w:ilvl w:val="0"/>
          <w:numId w:val="81"/>
        </w:numPr>
        <w:spacing w:line="300" w:lineRule="atLeast"/>
        <w:ind w:left="924" w:hanging="357"/>
        <w:contextualSpacing/>
        <w:jc w:val="both"/>
        <w:rPr>
          <w:rFonts w:ascii="Times New Roman" w:hAnsi="Times New Roman" w:cs="Times New Roman"/>
          <w:sz w:val="24"/>
          <w:szCs w:val="24"/>
        </w:rPr>
      </w:pPr>
      <w:r w:rsidRPr="007F400A">
        <w:rPr>
          <w:rFonts w:ascii="Times New Roman" w:hAnsi="Times New Roman" w:cs="Times New Roman"/>
          <w:sz w:val="24"/>
          <w:szCs w:val="24"/>
        </w:rPr>
        <w:t xml:space="preserve">wydano </w:t>
      </w:r>
      <w:r>
        <w:rPr>
          <w:rFonts w:ascii="Times New Roman" w:hAnsi="Times New Roman" w:cs="Times New Roman"/>
          <w:sz w:val="24"/>
          <w:szCs w:val="24"/>
        </w:rPr>
        <w:t>674</w:t>
      </w:r>
      <w:r w:rsidRPr="007F400A">
        <w:rPr>
          <w:rFonts w:ascii="Times New Roman" w:hAnsi="Times New Roman" w:cs="Times New Roman"/>
          <w:sz w:val="24"/>
          <w:szCs w:val="24"/>
        </w:rPr>
        <w:t xml:space="preserve"> zarządzenia pokontrolne,</w:t>
      </w:r>
    </w:p>
    <w:p w14:paraId="51963AA8" w14:textId="77777777" w:rsidR="0088289B" w:rsidRPr="007F400A" w:rsidRDefault="0088289B" w:rsidP="00D34F97">
      <w:pPr>
        <w:numPr>
          <w:ilvl w:val="0"/>
          <w:numId w:val="81"/>
        </w:numPr>
        <w:spacing w:line="300" w:lineRule="atLeast"/>
        <w:ind w:left="924" w:hanging="357"/>
        <w:contextualSpacing/>
        <w:jc w:val="both"/>
        <w:rPr>
          <w:rFonts w:ascii="Times New Roman" w:hAnsi="Times New Roman" w:cs="Times New Roman"/>
          <w:sz w:val="24"/>
          <w:szCs w:val="24"/>
        </w:rPr>
      </w:pPr>
      <w:r w:rsidRPr="007F400A">
        <w:rPr>
          <w:rFonts w:ascii="Times New Roman" w:hAnsi="Times New Roman" w:cs="Times New Roman"/>
          <w:sz w:val="24"/>
          <w:szCs w:val="24"/>
        </w:rPr>
        <w:t xml:space="preserve">skierowano </w:t>
      </w:r>
      <w:r>
        <w:rPr>
          <w:rFonts w:ascii="Times New Roman" w:hAnsi="Times New Roman" w:cs="Times New Roman"/>
          <w:sz w:val="24"/>
          <w:szCs w:val="24"/>
        </w:rPr>
        <w:t>567</w:t>
      </w:r>
      <w:r w:rsidRPr="007F400A">
        <w:rPr>
          <w:rFonts w:ascii="Times New Roman" w:hAnsi="Times New Roman" w:cs="Times New Roman"/>
          <w:sz w:val="24"/>
          <w:szCs w:val="24"/>
        </w:rPr>
        <w:t xml:space="preserve"> wystąpień do organów administracji rządowej i samorządowej,</w:t>
      </w:r>
    </w:p>
    <w:p w14:paraId="0B5513B4" w14:textId="77777777" w:rsidR="0088289B" w:rsidRPr="007F400A" w:rsidRDefault="0088289B" w:rsidP="00D34F97">
      <w:pPr>
        <w:numPr>
          <w:ilvl w:val="0"/>
          <w:numId w:val="81"/>
        </w:numPr>
        <w:spacing w:line="300" w:lineRule="atLeast"/>
        <w:ind w:left="924" w:hanging="357"/>
        <w:contextualSpacing/>
        <w:jc w:val="both"/>
        <w:rPr>
          <w:rFonts w:ascii="Times New Roman" w:hAnsi="Times New Roman" w:cs="Times New Roman"/>
          <w:sz w:val="24"/>
          <w:szCs w:val="24"/>
        </w:rPr>
      </w:pPr>
      <w:r w:rsidRPr="007F400A">
        <w:rPr>
          <w:rFonts w:ascii="Times New Roman" w:hAnsi="Times New Roman" w:cs="Times New Roman"/>
          <w:sz w:val="24"/>
          <w:szCs w:val="24"/>
        </w:rPr>
        <w:t xml:space="preserve">skierowano </w:t>
      </w:r>
      <w:r>
        <w:rPr>
          <w:rFonts w:ascii="Times New Roman" w:hAnsi="Times New Roman" w:cs="Times New Roman"/>
          <w:sz w:val="24"/>
          <w:szCs w:val="24"/>
        </w:rPr>
        <w:t>8</w:t>
      </w:r>
      <w:r w:rsidRPr="007F400A">
        <w:rPr>
          <w:rFonts w:ascii="Times New Roman" w:hAnsi="Times New Roman" w:cs="Times New Roman"/>
          <w:sz w:val="24"/>
          <w:szCs w:val="24"/>
        </w:rPr>
        <w:t xml:space="preserve"> wniosków do organów ścigania,</w:t>
      </w:r>
    </w:p>
    <w:p w14:paraId="59E19D9B" w14:textId="77777777" w:rsidR="0088289B" w:rsidRPr="007F400A" w:rsidRDefault="0088289B" w:rsidP="00D34F97">
      <w:pPr>
        <w:numPr>
          <w:ilvl w:val="0"/>
          <w:numId w:val="81"/>
        </w:numPr>
        <w:spacing w:line="300" w:lineRule="atLeast"/>
        <w:ind w:left="924" w:hanging="357"/>
        <w:contextualSpacing/>
        <w:jc w:val="both"/>
        <w:rPr>
          <w:rFonts w:ascii="Times New Roman" w:hAnsi="Times New Roman" w:cs="Times New Roman"/>
          <w:sz w:val="24"/>
          <w:szCs w:val="24"/>
        </w:rPr>
      </w:pPr>
      <w:r w:rsidRPr="007F400A">
        <w:rPr>
          <w:rFonts w:ascii="Times New Roman" w:hAnsi="Times New Roman" w:cs="Times New Roman"/>
          <w:sz w:val="24"/>
          <w:szCs w:val="24"/>
        </w:rPr>
        <w:t xml:space="preserve">wydano </w:t>
      </w:r>
      <w:r>
        <w:rPr>
          <w:rFonts w:ascii="Times New Roman" w:hAnsi="Times New Roman" w:cs="Times New Roman"/>
          <w:sz w:val="24"/>
          <w:szCs w:val="24"/>
        </w:rPr>
        <w:t>87</w:t>
      </w:r>
      <w:r w:rsidRPr="007F400A">
        <w:rPr>
          <w:rFonts w:ascii="Times New Roman" w:hAnsi="Times New Roman" w:cs="Times New Roman"/>
          <w:sz w:val="24"/>
          <w:szCs w:val="24"/>
        </w:rPr>
        <w:t xml:space="preserve"> </w:t>
      </w:r>
      <w:r w:rsidRPr="007F400A">
        <w:rPr>
          <w:rFonts w:ascii="Times New Roman" w:eastAsia="Times New Roman" w:hAnsi="Times New Roman" w:cs="Times New Roman"/>
          <w:sz w:val="24"/>
          <w:szCs w:val="24"/>
        </w:rPr>
        <w:t>decyzji w sprawie nałożenia kar pieniężnych,</w:t>
      </w:r>
    </w:p>
    <w:p w14:paraId="3F682C82" w14:textId="77777777" w:rsidR="0088289B" w:rsidRPr="007F400A" w:rsidRDefault="0088289B" w:rsidP="00D34F97">
      <w:pPr>
        <w:numPr>
          <w:ilvl w:val="0"/>
          <w:numId w:val="81"/>
        </w:numPr>
        <w:spacing w:after="120" w:line="300" w:lineRule="atLeast"/>
        <w:ind w:left="924" w:hanging="357"/>
        <w:jc w:val="both"/>
        <w:rPr>
          <w:rFonts w:ascii="Times New Roman" w:hAnsi="Times New Roman" w:cs="Times New Roman"/>
          <w:sz w:val="24"/>
          <w:szCs w:val="24"/>
        </w:rPr>
      </w:pPr>
      <w:r w:rsidRPr="007F400A">
        <w:rPr>
          <w:rFonts w:ascii="Times New Roman" w:hAnsi="Times New Roman" w:cs="Times New Roman"/>
          <w:sz w:val="24"/>
          <w:szCs w:val="24"/>
        </w:rPr>
        <w:t>wydano</w:t>
      </w:r>
      <w:r>
        <w:rPr>
          <w:rFonts w:ascii="Times New Roman" w:hAnsi="Times New Roman" w:cs="Times New Roman"/>
          <w:sz w:val="24"/>
          <w:szCs w:val="24"/>
        </w:rPr>
        <w:t xml:space="preserve"> 9 </w:t>
      </w:r>
      <w:r w:rsidRPr="007F400A">
        <w:rPr>
          <w:rFonts w:ascii="Times New Roman" w:hAnsi="Times New Roman" w:cs="Times New Roman"/>
          <w:sz w:val="24"/>
          <w:szCs w:val="24"/>
        </w:rPr>
        <w:t>decyzji wstrzymujących użytkowanie instalacji bez wymaganego pozwolenia zintegrowanego.</w:t>
      </w:r>
    </w:p>
    <w:p w14:paraId="47D5494C" w14:textId="77777777" w:rsidR="0088289B" w:rsidRPr="007F400A" w:rsidRDefault="0088289B" w:rsidP="00785905">
      <w:pPr>
        <w:spacing w:before="120" w:after="120" w:line="300" w:lineRule="atLeast"/>
        <w:jc w:val="center"/>
        <w:rPr>
          <w:rFonts w:ascii="Times New Roman" w:hAnsi="Times New Roman" w:cs="Times New Roman"/>
          <w:b/>
        </w:rPr>
      </w:pPr>
      <w:r w:rsidRPr="007F400A">
        <w:rPr>
          <w:rFonts w:ascii="Times New Roman" w:hAnsi="Times New Roman" w:cs="Times New Roman"/>
          <w:b/>
        </w:rPr>
        <w:t>Tabela 4. Liczba zakładów z instalacjami</w:t>
      </w:r>
      <w:r w:rsidRPr="007F400A">
        <w:rPr>
          <w:rFonts w:ascii="Times New Roman" w:hAnsi="Times New Roman" w:cs="Times New Roman"/>
        </w:rPr>
        <w:t xml:space="preserve"> </w:t>
      </w:r>
      <w:r w:rsidRPr="007F400A">
        <w:rPr>
          <w:rFonts w:ascii="Times New Roman" w:hAnsi="Times New Roman" w:cs="Times New Roman"/>
          <w:b/>
        </w:rPr>
        <w:t>IED oraz liczba skontrolowanych instalacji IED w </w:t>
      </w:r>
      <w:r>
        <w:rPr>
          <w:rFonts w:ascii="Times New Roman" w:hAnsi="Times New Roman" w:cs="Times New Roman"/>
          <w:b/>
        </w:rPr>
        <w:t>2022 r</w:t>
      </w:r>
      <w:r w:rsidRPr="007F400A">
        <w:rPr>
          <w:rFonts w:ascii="Times New Roman" w:hAnsi="Times New Roman" w:cs="Times New Roman"/>
          <w:b/>
        </w:rPr>
        <w:t>.</w:t>
      </w:r>
    </w:p>
    <w:tbl>
      <w:tblPr>
        <w:tblW w:w="10060" w:type="dxa"/>
        <w:tblInd w:w="-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44"/>
        <w:gridCol w:w="1695"/>
        <w:gridCol w:w="1843"/>
        <w:gridCol w:w="1559"/>
        <w:gridCol w:w="1418"/>
        <w:gridCol w:w="1701"/>
      </w:tblGrid>
      <w:tr w:rsidR="0088289B" w:rsidRPr="007F400A" w14:paraId="1BF7916B" w14:textId="77777777" w:rsidTr="001633A3">
        <w:trPr>
          <w:trHeight w:val="464"/>
        </w:trPr>
        <w:tc>
          <w:tcPr>
            <w:tcW w:w="1844" w:type="dxa"/>
            <w:vMerge w:val="restart"/>
            <w:noWrap/>
            <w:vAlign w:val="center"/>
            <w:hideMark/>
          </w:tcPr>
          <w:p w14:paraId="5C69B6E8" w14:textId="77777777" w:rsidR="0088289B" w:rsidRPr="007F400A" w:rsidRDefault="0088289B" w:rsidP="00056EE7">
            <w:pPr>
              <w:spacing w:line="300" w:lineRule="atLeast"/>
              <w:jc w:val="center"/>
              <w:rPr>
                <w:rFonts w:ascii="Times New Roman" w:eastAsia="Times New Roman" w:hAnsi="Times New Roman" w:cs="Times New Roman"/>
                <w:b/>
                <w:color w:val="000000"/>
                <w:sz w:val="18"/>
                <w:szCs w:val="18"/>
              </w:rPr>
            </w:pPr>
            <w:r w:rsidRPr="007F400A">
              <w:rPr>
                <w:rFonts w:ascii="Times New Roman" w:eastAsia="Times New Roman" w:hAnsi="Times New Roman" w:cs="Times New Roman"/>
                <w:b/>
                <w:color w:val="000000"/>
                <w:sz w:val="18"/>
                <w:szCs w:val="18"/>
              </w:rPr>
              <w:t>Województwo</w:t>
            </w:r>
          </w:p>
        </w:tc>
        <w:tc>
          <w:tcPr>
            <w:tcW w:w="1695" w:type="dxa"/>
            <w:vMerge w:val="restart"/>
            <w:vAlign w:val="center"/>
            <w:hideMark/>
          </w:tcPr>
          <w:p w14:paraId="5E9ADB5D" w14:textId="77777777" w:rsidR="0088289B" w:rsidRPr="007F400A" w:rsidRDefault="0088289B" w:rsidP="00056EE7">
            <w:pPr>
              <w:spacing w:line="300" w:lineRule="atLeast"/>
              <w:jc w:val="center"/>
              <w:rPr>
                <w:rFonts w:ascii="Times New Roman" w:eastAsia="Times New Roman" w:hAnsi="Times New Roman" w:cs="Times New Roman"/>
                <w:b/>
                <w:color w:val="000000"/>
                <w:sz w:val="18"/>
                <w:szCs w:val="18"/>
              </w:rPr>
            </w:pPr>
            <w:r w:rsidRPr="007F400A">
              <w:rPr>
                <w:rFonts w:ascii="Times New Roman" w:eastAsia="Times New Roman" w:hAnsi="Times New Roman" w:cs="Times New Roman"/>
                <w:b/>
                <w:color w:val="000000"/>
                <w:sz w:val="18"/>
                <w:szCs w:val="18"/>
              </w:rPr>
              <w:t>Liczba zakładów, w których występują instalacje IED</w:t>
            </w:r>
          </w:p>
        </w:tc>
        <w:tc>
          <w:tcPr>
            <w:tcW w:w="1843" w:type="dxa"/>
            <w:vMerge w:val="restart"/>
            <w:vAlign w:val="center"/>
            <w:hideMark/>
          </w:tcPr>
          <w:p w14:paraId="75DE6D00" w14:textId="77777777" w:rsidR="0088289B" w:rsidRPr="007F400A" w:rsidRDefault="0088289B" w:rsidP="00056EE7">
            <w:pPr>
              <w:spacing w:line="300" w:lineRule="atLeast"/>
              <w:jc w:val="center"/>
              <w:rPr>
                <w:rFonts w:ascii="Times New Roman" w:eastAsia="Times New Roman" w:hAnsi="Times New Roman" w:cs="Times New Roman"/>
                <w:b/>
                <w:color w:val="000000"/>
                <w:sz w:val="18"/>
                <w:szCs w:val="18"/>
              </w:rPr>
            </w:pPr>
            <w:r w:rsidRPr="007F400A">
              <w:rPr>
                <w:rFonts w:ascii="Times New Roman" w:eastAsia="Times New Roman" w:hAnsi="Times New Roman" w:cs="Times New Roman"/>
                <w:b/>
                <w:color w:val="000000"/>
                <w:sz w:val="18"/>
                <w:szCs w:val="18"/>
              </w:rPr>
              <w:t>Liczba instalacji podlegających obowiązkowi uzyskania pozwolenia zintegrowanego</w:t>
            </w:r>
          </w:p>
        </w:tc>
        <w:tc>
          <w:tcPr>
            <w:tcW w:w="1559" w:type="dxa"/>
            <w:vMerge w:val="restart"/>
            <w:vAlign w:val="center"/>
            <w:hideMark/>
          </w:tcPr>
          <w:p w14:paraId="7108A09E" w14:textId="77777777" w:rsidR="0088289B" w:rsidRPr="007F400A" w:rsidRDefault="0088289B" w:rsidP="00056EE7">
            <w:pPr>
              <w:spacing w:line="300" w:lineRule="atLeast"/>
              <w:jc w:val="center"/>
              <w:rPr>
                <w:rFonts w:ascii="Times New Roman" w:eastAsia="Times New Roman" w:hAnsi="Times New Roman" w:cs="Times New Roman"/>
                <w:b/>
                <w:color w:val="000000"/>
                <w:sz w:val="18"/>
                <w:szCs w:val="18"/>
              </w:rPr>
            </w:pPr>
            <w:r w:rsidRPr="007F400A">
              <w:rPr>
                <w:rFonts w:ascii="Times New Roman" w:eastAsia="Times New Roman" w:hAnsi="Times New Roman" w:cs="Times New Roman"/>
                <w:b/>
                <w:color w:val="000000"/>
                <w:sz w:val="18"/>
                <w:szCs w:val="18"/>
              </w:rPr>
              <w:t xml:space="preserve">Liczba zaplanowanych kontroli instalacji IED na </w:t>
            </w:r>
            <w:r>
              <w:rPr>
                <w:rFonts w:ascii="Times New Roman" w:eastAsia="Times New Roman" w:hAnsi="Times New Roman" w:cs="Times New Roman"/>
                <w:b/>
                <w:color w:val="000000"/>
                <w:sz w:val="18"/>
                <w:szCs w:val="18"/>
              </w:rPr>
              <w:t>2022</w:t>
            </w:r>
            <w:r w:rsidRPr="007F400A">
              <w:rPr>
                <w:rFonts w:ascii="Times New Roman" w:eastAsia="Times New Roman" w:hAnsi="Times New Roman" w:cs="Times New Roman"/>
                <w:b/>
                <w:color w:val="000000"/>
                <w:sz w:val="18"/>
                <w:szCs w:val="18"/>
              </w:rPr>
              <w:t xml:space="preserve"> r.</w:t>
            </w:r>
          </w:p>
        </w:tc>
        <w:tc>
          <w:tcPr>
            <w:tcW w:w="1418" w:type="dxa"/>
            <w:vMerge w:val="restart"/>
            <w:vAlign w:val="center"/>
            <w:hideMark/>
          </w:tcPr>
          <w:p w14:paraId="7306C4E8" w14:textId="77777777" w:rsidR="0088289B" w:rsidRPr="007F400A" w:rsidRDefault="0088289B" w:rsidP="00056EE7">
            <w:pPr>
              <w:spacing w:line="300" w:lineRule="atLeast"/>
              <w:jc w:val="center"/>
              <w:rPr>
                <w:rFonts w:ascii="Times New Roman" w:eastAsia="Times New Roman" w:hAnsi="Times New Roman" w:cs="Times New Roman"/>
                <w:b/>
                <w:color w:val="000000"/>
                <w:sz w:val="18"/>
                <w:szCs w:val="18"/>
              </w:rPr>
            </w:pPr>
            <w:r w:rsidRPr="007F400A">
              <w:rPr>
                <w:rFonts w:ascii="Times New Roman" w:eastAsia="Times New Roman" w:hAnsi="Times New Roman" w:cs="Times New Roman"/>
                <w:b/>
                <w:color w:val="000000"/>
                <w:sz w:val="18"/>
                <w:szCs w:val="18"/>
              </w:rPr>
              <w:t xml:space="preserve">Liczba wykonanych planowych kontroli instalacji IED </w:t>
            </w:r>
          </w:p>
        </w:tc>
        <w:tc>
          <w:tcPr>
            <w:tcW w:w="1701" w:type="dxa"/>
            <w:vMerge w:val="restart"/>
            <w:vAlign w:val="center"/>
            <w:hideMark/>
          </w:tcPr>
          <w:p w14:paraId="65BCEDB1" w14:textId="77777777" w:rsidR="0088289B" w:rsidRPr="007F400A" w:rsidRDefault="0088289B" w:rsidP="00056EE7">
            <w:pPr>
              <w:spacing w:line="300" w:lineRule="atLeast"/>
              <w:jc w:val="center"/>
              <w:rPr>
                <w:rFonts w:ascii="Times New Roman" w:eastAsia="Times New Roman" w:hAnsi="Times New Roman" w:cs="Times New Roman"/>
                <w:b/>
                <w:color w:val="000000"/>
                <w:sz w:val="18"/>
                <w:szCs w:val="18"/>
              </w:rPr>
            </w:pPr>
            <w:r w:rsidRPr="007F400A">
              <w:rPr>
                <w:rFonts w:ascii="Times New Roman" w:eastAsia="Times New Roman" w:hAnsi="Times New Roman" w:cs="Times New Roman"/>
                <w:b/>
                <w:color w:val="000000"/>
                <w:sz w:val="18"/>
                <w:szCs w:val="18"/>
              </w:rPr>
              <w:t>Liczba wykonanych planowych i pozaplanowych kontroli instalacji IED</w:t>
            </w:r>
          </w:p>
        </w:tc>
      </w:tr>
      <w:tr w:rsidR="0088289B" w:rsidRPr="007F400A" w14:paraId="47BC89D6" w14:textId="77777777" w:rsidTr="001633A3">
        <w:trPr>
          <w:trHeight w:val="1053"/>
        </w:trPr>
        <w:tc>
          <w:tcPr>
            <w:tcW w:w="1844" w:type="dxa"/>
            <w:vMerge/>
            <w:vAlign w:val="center"/>
            <w:hideMark/>
          </w:tcPr>
          <w:p w14:paraId="039281DA" w14:textId="77777777" w:rsidR="0088289B" w:rsidRPr="007F400A" w:rsidRDefault="0088289B" w:rsidP="00056EE7">
            <w:pPr>
              <w:spacing w:line="300" w:lineRule="atLeast"/>
              <w:rPr>
                <w:rFonts w:ascii="Times New Roman" w:eastAsia="Times New Roman" w:hAnsi="Times New Roman" w:cs="Times New Roman"/>
                <w:color w:val="000000"/>
                <w:sz w:val="18"/>
                <w:szCs w:val="18"/>
              </w:rPr>
            </w:pPr>
          </w:p>
        </w:tc>
        <w:tc>
          <w:tcPr>
            <w:tcW w:w="1695" w:type="dxa"/>
            <w:vMerge/>
            <w:vAlign w:val="center"/>
            <w:hideMark/>
          </w:tcPr>
          <w:p w14:paraId="268C42B7" w14:textId="77777777" w:rsidR="0088289B" w:rsidRPr="007F400A" w:rsidRDefault="0088289B" w:rsidP="00056EE7">
            <w:pPr>
              <w:spacing w:line="300" w:lineRule="atLeast"/>
              <w:rPr>
                <w:rFonts w:ascii="Times New Roman" w:eastAsia="Times New Roman" w:hAnsi="Times New Roman" w:cs="Times New Roman"/>
                <w:color w:val="000000"/>
                <w:sz w:val="18"/>
                <w:szCs w:val="18"/>
              </w:rPr>
            </w:pPr>
          </w:p>
        </w:tc>
        <w:tc>
          <w:tcPr>
            <w:tcW w:w="0" w:type="auto"/>
            <w:vMerge/>
            <w:vAlign w:val="center"/>
            <w:hideMark/>
          </w:tcPr>
          <w:p w14:paraId="6DE83AFF" w14:textId="77777777" w:rsidR="0088289B" w:rsidRPr="007F400A" w:rsidRDefault="0088289B" w:rsidP="00056EE7">
            <w:pPr>
              <w:spacing w:line="300" w:lineRule="atLeast"/>
              <w:rPr>
                <w:rFonts w:ascii="Times New Roman" w:eastAsia="Times New Roman" w:hAnsi="Times New Roman" w:cs="Times New Roman"/>
                <w:color w:val="000000"/>
                <w:sz w:val="18"/>
                <w:szCs w:val="18"/>
              </w:rPr>
            </w:pPr>
          </w:p>
        </w:tc>
        <w:tc>
          <w:tcPr>
            <w:tcW w:w="0" w:type="auto"/>
            <w:vMerge/>
            <w:vAlign w:val="center"/>
            <w:hideMark/>
          </w:tcPr>
          <w:p w14:paraId="012C44A6" w14:textId="77777777" w:rsidR="0088289B" w:rsidRPr="007F400A" w:rsidRDefault="0088289B" w:rsidP="00056EE7">
            <w:pPr>
              <w:spacing w:line="300" w:lineRule="atLeast"/>
              <w:rPr>
                <w:rFonts w:ascii="Times New Roman" w:eastAsia="Times New Roman" w:hAnsi="Times New Roman" w:cs="Times New Roman"/>
                <w:color w:val="000000"/>
                <w:sz w:val="18"/>
                <w:szCs w:val="18"/>
              </w:rPr>
            </w:pPr>
          </w:p>
        </w:tc>
        <w:tc>
          <w:tcPr>
            <w:tcW w:w="0" w:type="auto"/>
            <w:vMerge/>
            <w:vAlign w:val="center"/>
            <w:hideMark/>
          </w:tcPr>
          <w:p w14:paraId="1A523919" w14:textId="77777777" w:rsidR="0088289B" w:rsidRPr="007F400A" w:rsidRDefault="0088289B" w:rsidP="00056EE7">
            <w:pPr>
              <w:spacing w:line="300" w:lineRule="atLeast"/>
              <w:rPr>
                <w:rFonts w:ascii="Times New Roman" w:eastAsia="Times New Roman" w:hAnsi="Times New Roman" w:cs="Times New Roman"/>
                <w:color w:val="000000"/>
                <w:sz w:val="18"/>
                <w:szCs w:val="18"/>
              </w:rPr>
            </w:pPr>
          </w:p>
        </w:tc>
        <w:tc>
          <w:tcPr>
            <w:tcW w:w="0" w:type="auto"/>
            <w:vMerge/>
            <w:vAlign w:val="center"/>
            <w:hideMark/>
          </w:tcPr>
          <w:p w14:paraId="5F652EAD" w14:textId="77777777" w:rsidR="0088289B" w:rsidRPr="007F400A" w:rsidRDefault="0088289B" w:rsidP="00056EE7">
            <w:pPr>
              <w:spacing w:line="300" w:lineRule="atLeast"/>
              <w:rPr>
                <w:rFonts w:ascii="Times New Roman" w:eastAsia="Times New Roman" w:hAnsi="Times New Roman" w:cs="Times New Roman"/>
                <w:color w:val="000000"/>
                <w:sz w:val="18"/>
                <w:szCs w:val="18"/>
              </w:rPr>
            </w:pPr>
          </w:p>
        </w:tc>
      </w:tr>
      <w:tr w:rsidR="0088289B" w:rsidRPr="007F400A" w14:paraId="61AA23EC" w14:textId="77777777" w:rsidTr="001633A3">
        <w:trPr>
          <w:trHeight w:val="346"/>
        </w:trPr>
        <w:tc>
          <w:tcPr>
            <w:tcW w:w="1844" w:type="dxa"/>
            <w:noWrap/>
            <w:vAlign w:val="center"/>
            <w:hideMark/>
          </w:tcPr>
          <w:p w14:paraId="2700B6F4" w14:textId="77777777" w:rsidR="0088289B" w:rsidRPr="007F400A" w:rsidRDefault="0088289B"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Dolnośląskie</w:t>
            </w:r>
          </w:p>
        </w:tc>
        <w:tc>
          <w:tcPr>
            <w:tcW w:w="1695" w:type="dxa"/>
            <w:shd w:val="clear" w:color="auto" w:fill="auto"/>
            <w:noWrap/>
            <w:vAlign w:val="center"/>
            <w:hideMark/>
          </w:tcPr>
          <w:p w14:paraId="61776ACE" w14:textId="77777777" w:rsidR="0088289B" w:rsidRPr="00A45225" w:rsidRDefault="0088289B"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szCs w:val="18"/>
              </w:rPr>
              <w:t>204</w:t>
            </w:r>
          </w:p>
        </w:tc>
        <w:tc>
          <w:tcPr>
            <w:tcW w:w="1843" w:type="dxa"/>
            <w:shd w:val="clear" w:color="auto" w:fill="auto"/>
            <w:noWrap/>
            <w:vAlign w:val="center"/>
            <w:hideMark/>
          </w:tcPr>
          <w:p w14:paraId="3D495B92" w14:textId="77777777" w:rsidR="0088289B" w:rsidRPr="00A45225" w:rsidRDefault="0088289B"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szCs w:val="18"/>
              </w:rPr>
              <w:t>273</w:t>
            </w:r>
          </w:p>
        </w:tc>
        <w:tc>
          <w:tcPr>
            <w:tcW w:w="1559" w:type="dxa"/>
            <w:shd w:val="clear" w:color="auto" w:fill="auto"/>
            <w:noWrap/>
            <w:vAlign w:val="center"/>
            <w:hideMark/>
          </w:tcPr>
          <w:p w14:paraId="424AB7BF" w14:textId="77777777" w:rsidR="0088289B" w:rsidRPr="00A45225" w:rsidRDefault="0088289B" w:rsidP="00056EE7">
            <w:pPr>
              <w:spacing w:after="0" w:line="300" w:lineRule="atLeast"/>
              <w:jc w:val="center"/>
              <w:rPr>
                <w:rFonts w:ascii="Times New Roman" w:hAnsi="Times New Roman" w:cs="Times New Roman"/>
                <w:sz w:val="18"/>
                <w:szCs w:val="18"/>
              </w:rPr>
            </w:pPr>
            <w:r w:rsidRPr="00744A58">
              <w:rPr>
                <w:rFonts w:ascii="Times New Roman" w:hAnsi="Times New Roman" w:cs="Times New Roman"/>
                <w:sz w:val="18"/>
                <w:szCs w:val="18"/>
              </w:rPr>
              <w:t>79</w:t>
            </w:r>
          </w:p>
        </w:tc>
        <w:tc>
          <w:tcPr>
            <w:tcW w:w="1418" w:type="dxa"/>
            <w:shd w:val="clear" w:color="auto" w:fill="auto"/>
            <w:noWrap/>
            <w:vAlign w:val="center"/>
            <w:hideMark/>
          </w:tcPr>
          <w:p w14:paraId="4777EDB5" w14:textId="77777777" w:rsidR="0088289B" w:rsidRPr="00A45225" w:rsidRDefault="0088289B"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szCs w:val="18"/>
              </w:rPr>
              <w:t>64</w:t>
            </w:r>
          </w:p>
        </w:tc>
        <w:tc>
          <w:tcPr>
            <w:tcW w:w="1701" w:type="dxa"/>
            <w:shd w:val="clear" w:color="auto" w:fill="auto"/>
            <w:noWrap/>
            <w:vAlign w:val="center"/>
            <w:hideMark/>
          </w:tcPr>
          <w:p w14:paraId="5EE711FE" w14:textId="77777777" w:rsidR="0088289B" w:rsidRPr="00A45225" w:rsidRDefault="0088289B" w:rsidP="00056EE7">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szCs w:val="18"/>
              </w:rPr>
              <w:t>85</w:t>
            </w:r>
          </w:p>
        </w:tc>
      </w:tr>
      <w:tr w:rsidR="0088289B" w:rsidRPr="007F400A" w14:paraId="30FE87A3" w14:textId="77777777" w:rsidTr="001633A3">
        <w:trPr>
          <w:trHeight w:val="346"/>
        </w:trPr>
        <w:tc>
          <w:tcPr>
            <w:tcW w:w="1844" w:type="dxa"/>
            <w:noWrap/>
            <w:vAlign w:val="center"/>
            <w:hideMark/>
          </w:tcPr>
          <w:p w14:paraId="57310F17" w14:textId="77777777" w:rsidR="0088289B" w:rsidRPr="007F400A" w:rsidRDefault="0088289B"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Kujawsko-pomorskie</w:t>
            </w:r>
          </w:p>
        </w:tc>
        <w:tc>
          <w:tcPr>
            <w:tcW w:w="1695" w:type="dxa"/>
            <w:shd w:val="clear" w:color="auto" w:fill="auto"/>
            <w:noWrap/>
            <w:vAlign w:val="center"/>
            <w:hideMark/>
          </w:tcPr>
          <w:p w14:paraId="101CD6F3"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210</w:t>
            </w:r>
          </w:p>
        </w:tc>
        <w:tc>
          <w:tcPr>
            <w:tcW w:w="1843" w:type="dxa"/>
            <w:shd w:val="clear" w:color="auto" w:fill="auto"/>
            <w:noWrap/>
            <w:vAlign w:val="center"/>
            <w:hideMark/>
          </w:tcPr>
          <w:p w14:paraId="3D6EE9D7" w14:textId="77777777" w:rsidR="0088289B" w:rsidRPr="00A45225" w:rsidRDefault="0088289B" w:rsidP="00056EE7">
            <w:pPr>
              <w:spacing w:after="0" w:line="300" w:lineRule="atLeast"/>
              <w:jc w:val="center"/>
              <w:rPr>
                <w:rFonts w:ascii="Times New Roman" w:hAnsi="Times New Roman" w:cs="Times New Roman"/>
                <w:sz w:val="18"/>
                <w:szCs w:val="18"/>
              </w:rPr>
            </w:pPr>
            <w:r w:rsidRPr="00744A58">
              <w:rPr>
                <w:rFonts w:ascii="Times New Roman" w:hAnsi="Times New Roman" w:cs="Times New Roman"/>
                <w:sz w:val="18"/>
                <w:szCs w:val="18"/>
              </w:rPr>
              <w:t>288</w:t>
            </w:r>
          </w:p>
        </w:tc>
        <w:tc>
          <w:tcPr>
            <w:tcW w:w="1559" w:type="dxa"/>
            <w:shd w:val="clear" w:color="auto" w:fill="auto"/>
            <w:noWrap/>
            <w:vAlign w:val="center"/>
            <w:hideMark/>
          </w:tcPr>
          <w:p w14:paraId="630DB478" w14:textId="77777777" w:rsidR="0088289B" w:rsidRPr="00A45225" w:rsidRDefault="0088289B" w:rsidP="00056EE7">
            <w:pPr>
              <w:spacing w:after="0" w:line="300" w:lineRule="atLeast"/>
              <w:jc w:val="center"/>
              <w:rPr>
                <w:rFonts w:ascii="Times New Roman" w:hAnsi="Times New Roman" w:cs="Times New Roman"/>
                <w:sz w:val="18"/>
                <w:szCs w:val="18"/>
              </w:rPr>
            </w:pPr>
            <w:r w:rsidRPr="00744A58">
              <w:rPr>
                <w:rFonts w:ascii="Times New Roman" w:hAnsi="Times New Roman" w:cs="Times New Roman"/>
                <w:sz w:val="18"/>
                <w:szCs w:val="18"/>
              </w:rPr>
              <w:t>79</w:t>
            </w:r>
          </w:p>
        </w:tc>
        <w:tc>
          <w:tcPr>
            <w:tcW w:w="1418" w:type="dxa"/>
            <w:shd w:val="clear" w:color="auto" w:fill="auto"/>
            <w:noWrap/>
            <w:vAlign w:val="center"/>
            <w:hideMark/>
          </w:tcPr>
          <w:p w14:paraId="1FD157DB"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73</w:t>
            </w:r>
          </w:p>
        </w:tc>
        <w:tc>
          <w:tcPr>
            <w:tcW w:w="1701" w:type="dxa"/>
            <w:shd w:val="clear" w:color="auto" w:fill="auto"/>
            <w:noWrap/>
            <w:vAlign w:val="center"/>
            <w:hideMark/>
          </w:tcPr>
          <w:p w14:paraId="3D24347E"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109</w:t>
            </w:r>
          </w:p>
        </w:tc>
      </w:tr>
      <w:tr w:rsidR="0088289B" w:rsidRPr="007F400A" w14:paraId="156F0931" w14:textId="77777777" w:rsidTr="001633A3">
        <w:trPr>
          <w:trHeight w:val="346"/>
        </w:trPr>
        <w:tc>
          <w:tcPr>
            <w:tcW w:w="1844" w:type="dxa"/>
            <w:noWrap/>
            <w:vAlign w:val="center"/>
            <w:hideMark/>
          </w:tcPr>
          <w:p w14:paraId="2FA64518" w14:textId="77777777" w:rsidR="0088289B" w:rsidRPr="007F400A" w:rsidRDefault="0088289B"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Lubelskie</w:t>
            </w:r>
          </w:p>
        </w:tc>
        <w:tc>
          <w:tcPr>
            <w:tcW w:w="1695" w:type="dxa"/>
            <w:shd w:val="clear" w:color="auto" w:fill="auto"/>
            <w:noWrap/>
            <w:vAlign w:val="center"/>
            <w:hideMark/>
          </w:tcPr>
          <w:p w14:paraId="18B56B22"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130</w:t>
            </w:r>
          </w:p>
        </w:tc>
        <w:tc>
          <w:tcPr>
            <w:tcW w:w="1843" w:type="dxa"/>
            <w:shd w:val="clear" w:color="auto" w:fill="auto"/>
            <w:noWrap/>
            <w:vAlign w:val="center"/>
            <w:hideMark/>
          </w:tcPr>
          <w:p w14:paraId="02DBC0C9"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178</w:t>
            </w:r>
          </w:p>
        </w:tc>
        <w:tc>
          <w:tcPr>
            <w:tcW w:w="1559" w:type="dxa"/>
            <w:shd w:val="clear" w:color="auto" w:fill="auto"/>
            <w:noWrap/>
            <w:vAlign w:val="center"/>
            <w:hideMark/>
          </w:tcPr>
          <w:p w14:paraId="437F92CC" w14:textId="77777777" w:rsidR="0088289B" w:rsidRPr="00A45225" w:rsidRDefault="0088289B" w:rsidP="00056EE7">
            <w:pPr>
              <w:spacing w:after="0" w:line="300" w:lineRule="atLeast"/>
              <w:jc w:val="center"/>
              <w:rPr>
                <w:rFonts w:ascii="Times New Roman" w:hAnsi="Times New Roman" w:cs="Times New Roman"/>
                <w:sz w:val="18"/>
                <w:szCs w:val="18"/>
              </w:rPr>
            </w:pPr>
            <w:r w:rsidRPr="00744A58">
              <w:rPr>
                <w:rFonts w:ascii="Times New Roman" w:hAnsi="Times New Roman" w:cs="Times New Roman"/>
                <w:sz w:val="18"/>
                <w:szCs w:val="18"/>
              </w:rPr>
              <w:t>53</w:t>
            </w:r>
          </w:p>
        </w:tc>
        <w:tc>
          <w:tcPr>
            <w:tcW w:w="1418" w:type="dxa"/>
            <w:shd w:val="clear" w:color="auto" w:fill="auto"/>
            <w:noWrap/>
            <w:vAlign w:val="center"/>
            <w:hideMark/>
          </w:tcPr>
          <w:p w14:paraId="102F634C"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51</w:t>
            </w:r>
          </w:p>
        </w:tc>
        <w:tc>
          <w:tcPr>
            <w:tcW w:w="1701" w:type="dxa"/>
            <w:shd w:val="clear" w:color="auto" w:fill="auto"/>
            <w:noWrap/>
            <w:vAlign w:val="center"/>
            <w:hideMark/>
          </w:tcPr>
          <w:p w14:paraId="05011429"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70</w:t>
            </w:r>
          </w:p>
        </w:tc>
      </w:tr>
      <w:tr w:rsidR="0088289B" w:rsidRPr="007F400A" w14:paraId="3CA1E5E3" w14:textId="77777777" w:rsidTr="001633A3">
        <w:trPr>
          <w:trHeight w:val="346"/>
        </w:trPr>
        <w:tc>
          <w:tcPr>
            <w:tcW w:w="1844" w:type="dxa"/>
            <w:noWrap/>
            <w:vAlign w:val="center"/>
            <w:hideMark/>
          </w:tcPr>
          <w:p w14:paraId="5FC05B4A" w14:textId="77777777" w:rsidR="0088289B" w:rsidRPr="007F400A" w:rsidRDefault="0088289B"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Lubuskie</w:t>
            </w:r>
          </w:p>
        </w:tc>
        <w:tc>
          <w:tcPr>
            <w:tcW w:w="1695" w:type="dxa"/>
            <w:shd w:val="clear" w:color="auto" w:fill="auto"/>
            <w:noWrap/>
            <w:vAlign w:val="center"/>
            <w:hideMark/>
          </w:tcPr>
          <w:p w14:paraId="717B1274"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92</w:t>
            </w:r>
          </w:p>
        </w:tc>
        <w:tc>
          <w:tcPr>
            <w:tcW w:w="1843" w:type="dxa"/>
            <w:shd w:val="clear" w:color="auto" w:fill="auto"/>
            <w:noWrap/>
            <w:vAlign w:val="center"/>
            <w:hideMark/>
          </w:tcPr>
          <w:p w14:paraId="197FCD8D"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132</w:t>
            </w:r>
          </w:p>
        </w:tc>
        <w:tc>
          <w:tcPr>
            <w:tcW w:w="1559" w:type="dxa"/>
            <w:shd w:val="clear" w:color="auto" w:fill="auto"/>
            <w:noWrap/>
            <w:vAlign w:val="center"/>
            <w:hideMark/>
          </w:tcPr>
          <w:p w14:paraId="56FD52CB" w14:textId="77777777" w:rsidR="0088289B" w:rsidRPr="00A45225" w:rsidRDefault="0088289B" w:rsidP="00056EE7">
            <w:pPr>
              <w:spacing w:after="0" w:line="300" w:lineRule="atLeast"/>
              <w:jc w:val="center"/>
              <w:rPr>
                <w:rFonts w:ascii="Times New Roman" w:hAnsi="Times New Roman" w:cs="Times New Roman"/>
                <w:sz w:val="18"/>
                <w:szCs w:val="18"/>
              </w:rPr>
            </w:pPr>
            <w:r w:rsidRPr="00744A58">
              <w:rPr>
                <w:rFonts w:ascii="Times New Roman" w:hAnsi="Times New Roman" w:cs="Times New Roman"/>
                <w:sz w:val="18"/>
                <w:szCs w:val="18"/>
              </w:rPr>
              <w:t>37</w:t>
            </w:r>
          </w:p>
        </w:tc>
        <w:tc>
          <w:tcPr>
            <w:tcW w:w="1418" w:type="dxa"/>
            <w:shd w:val="clear" w:color="auto" w:fill="auto"/>
            <w:noWrap/>
            <w:vAlign w:val="center"/>
            <w:hideMark/>
          </w:tcPr>
          <w:p w14:paraId="4F5E14E8"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37</w:t>
            </w:r>
          </w:p>
        </w:tc>
        <w:tc>
          <w:tcPr>
            <w:tcW w:w="1701" w:type="dxa"/>
            <w:shd w:val="clear" w:color="auto" w:fill="auto"/>
            <w:noWrap/>
            <w:vAlign w:val="center"/>
            <w:hideMark/>
          </w:tcPr>
          <w:p w14:paraId="6754D5FB"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56</w:t>
            </w:r>
          </w:p>
        </w:tc>
      </w:tr>
      <w:tr w:rsidR="0088289B" w:rsidRPr="007F400A" w14:paraId="7C34B6AB" w14:textId="77777777" w:rsidTr="001633A3">
        <w:trPr>
          <w:trHeight w:val="346"/>
        </w:trPr>
        <w:tc>
          <w:tcPr>
            <w:tcW w:w="1844" w:type="dxa"/>
            <w:noWrap/>
            <w:vAlign w:val="center"/>
            <w:hideMark/>
          </w:tcPr>
          <w:p w14:paraId="29FCF7EE" w14:textId="77777777" w:rsidR="0088289B" w:rsidRPr="007F400A" w:rsidRDefault="0088289B"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Łódzkie</w:t>
            </w:r>
          </w:p>
        </w:tc>
        <w:tc>
          <w:tcPr>
            <w:tcW w:w="1695" w:type="dxa"/>
            <w:shd w:val="clear" w:color="auto" w:fill="auto"/>
            <w:noWrap/>
            <w:vAlign w:val="center"/>
            <w:hideMark/>
          </w:tcPr>
          <w:p w14:paraId="68C01D5B" w14:textId="77777777" w:rsidR="0088289B" w:rsidRPr="00A45225" w:rsidRDefault="0088289B" w:rsidP="00056EE7">
            <w:pPr>
              <w:spacing w:after="0" w:line="300" w:lineRule="atLeast"/>
              <w:jc w:val="center"/>
              <w:rPr>
                <w:rFonts w:ascii="Times New Roman" w:hAnsi="Times New Roman" w:cs="Times New Roman"/>
                <w:sz w:val="18"/>
                <w:szCs w:val="18"/>
              </w:rPr>
            </w:pPr>
            <w:r w:rsidRPr="00744A58">
              <w:rPr>
                <w:rFonts w:ascii="Times New Roman" w:hAnsi="Times New Roman" w:cs="Times New Roman"/>
                <w:sz w:val="18"/>
                <w:szCs w:val="18"/>
              </w:rPr>
              <w:t>242</w:t>
            </w:r>
          </w:p>
        </w:tc>
        <w:tc>
          <w:tcPr>
            <w:tcW w:w="1843" w:type="dxa"/>
            <w:shd w:val="clear" w:color="auto" w:fill="auto"/>
            <w:noWrap/>
            <w:vAlign w:val="center"/>
            <w:hideMark/>
          </w:tcPr>
          <w:p w14:paraId="2D33193B"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269</w:t>
            </w:r>
          </w:p>
        </w:tc>
        <w:tc>
          <w:tcPr>
            <w:tcW w:w="1559" w:type="dxa"/>
            <w:shd w:val="clear" w:color="auto" w:fill="auto"/>
            <w:noWrap/>
            <w:vAlign w:val="center"/>
            <w:hideMark/>
          </w:tcPr>
          <w:p w14:paraId="1C5BB8DD" w14:textId="77777777" w:rsidR="0088289B" w:rsidRPr="00A45225" w:rsidRDefault="0088289B" w:rsidP="00056EE7">
            <w:pPr>
              <w:spacing w:after="0" w:line="300" w:lineRule="atLeast"/>
              <w:jc w:val="center"/>
              <w:rPr>
                <w:rFonts w:ascii="Times New Roman" w:hAnsi="Times New Roman" w:cs="Times New Roman"/>
                <w:sz w:val="18"/>
                <w:szCs w:val="18"/>
              </w:rPr>
            </w:pPr>
            <w:r w:rsidRPr="00744A58">
              <w:rPr>
                <w:rFonts w:ascii="Times New Roman" w:hAnsi="Times New Roman" w:cs="Times New Roman"/>
                <w:sz w:val="18"/>
                <w:szCs w:val="18"/>
              </w:rPr>
              <w:t>115</w:t>
            </w:r>
          </w:p>
        </w:tc>
        <w:tc>
          <w:tcPr>
            <w:tcW w:w="1418" w:type="dxa"/>
            <w:shd w:val="clear" w:color="auto" w:fill="auto"/>
            <w:noWrap/>
            <w:vAlign w:val="center"/>
            <w:hideMark/>
          </w:tcPr>
          <w:p w14:paraId="05CFB441"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112</w:t>
            </w:r>
          </w:p>
        </w:tc>
        <w:tc>
          <w:tcPr>
            <w:tcW w:w="1701" w:type="dxa"/>
            <w:shd w:val="clear" w:color="auto" w:fill="auto"/>
            <w:noWrap/>
            <w:vAlign w:val="center"/>
            <w:hideMark/>
          </w:tcPr>
          <w:p w14:paraId="0C42DD69"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146</w:t>
            </w:r>
          </w:p>
        </w:tc>
      </w:tr>
      <w:tr w:rsidR="0088289B" w:rsidRPr="007F400A" w14:paraId="7CBD73DA" w14:textId="77777777" w:rsidTr="001633A3">
        <w:trPr>
          <w:trHeight w:val="346"/>
        </w:trPr>
        <w:tc>
          <w:tcPr>
            <w:tcW w:w="1844" w:type="dxa"/>
            <w:noWrap/>
            <w:vAlign w:val="center"/>
            <w:hideMark/>
          </w:tcPr>
          <w:p w14:paraId="0D50C0CD" w14:textId="77777777" w:rsidR="0088289B" w:rsidRPr="007F400A" w:rsidRDefault="0088289B"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lastRenderedPageBreak/>
              <w:t>Małopolskie</w:t>
            </w:r>
          </w:p>
        </w:tc>
        <w:tc>
          <w:tcPr>
            <w:tcW w:w="1695" w:type="dxa"/>
            <w:shd w:val="clear" w:color="auto" w:fill="auto"/>
            <w:noWrap/>
            <w:vAlign w:val="center"/>
            <w:hideMark/>
          </w:tcPr>
          <w:p w14:paraId="6E01238E"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140</w:t>
            </w:r>
          </w:p>
        </w:tc>
        <w:tc>
          <w:tcPr>
            <w:tcW w:w="1843" w:type="dxa"/>
            <w:shd w:val="clear" w:color="auto" w:fill="auto"/>
            <w:noWrap/>
            <w:vAlign w:val="center"/>
            <w:hideMark/>
          </w:tcPr>
          <w:p w14:paraId="3CBDE96F"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233</w:t>
            </w:r>
          </w:p>
        </w:tc>
        <w:tc>
          <w:tcPr>
            <w:tcW w:w="1559" w:type="dxa"/>
            <w:shd w:val="clear" w:color="auto" w:fill="auto"/>
            <w:noWrap/>
            <w:vAlign w:val="center"/>
            <w:hideMark/>
          </w:tcPr>
          <w:p w14:paraId="5CB12210" w14:textId="77777777" w:rsidR="0088289B" w:rsidRPr="00A45225" w:rsidRDefault="0088289B" w:rsidP="00056EE7">
            <w:pPr>
              <w:spacing w:after="0" w:line="300" w:lineRule="atLeast"/>
              <w:jc w:val="center"/>
              <w:rPr>
                <w:rFonts w:ascii="Times New Roman" w:hAnsi="Times New Roman" w:cs="Times New Roman"/>
                <w:sz w:val="18"/>
                <w:szCs w:val="18"/>
              </w:rPr>
            </w:pPr>
            <w:r w:rsidRPr="00744A58">
              <w:rPr>
                <w:rFonts w:ascii="Times New Roman" w:hAnsi="Times New Roman" w:cs="Times New Roman"/>
                <w:sz w:val="18"/>
                <w:szCs w:val="18"/>
              </w:rPr>
              <w:t>64</w:t>
            </w:r>
          </w:p>
        </w:tc>
        <w:tc>
          <w:tcPr>
            <w:tcW w:w="1418" w:type="dxa"/>
            <w:shd w:val="clear" w:color="auto" w:fill="auto"/>
            <w:noWrap/>
            <w:vAlign w:val="center"/>
            <w:hideMark/>
          </w:tcPr>
          <w:p w14:paraId="12749861"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62</w:t>
            </w:r>
          </w:p>
        </w:tc>
        <w:tc>
          <w:tcPr>
            <w:tcW w:w="1701" w:type="dxa"/>
            <w:shd w:val="clear" w:color="auto" w:fill="auto"/>
            <w:noWrap/>
            <w:vAlign w:val="center"/>
            <w:hideMark/>
          </w:tcPr>
          <w:p w14:paraId="1E068F8A"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126</w:t>
            </w:r>
          </w:p>
        </w:tc>
      </w:tr>
      <w:tr w:rsidR="0088289B" w:rsidRPr="007F400A" w14:paraId="5983321E" w14:textId="77777777" w:rsidTr="001633A3">
        <w:trPr>
          <w:trHeight w:val="346"/>
        </w:trPr>
        <w:tc>
          <w:tcPr>
            <w:tcW w:w="1844" w:type="dxa"/>
            <w:noWrap/>
            <w:vAlign w:val="center"/>
            <w:hideMark/>
          </w:tcPr>
          <w:p w14:paraId="0B12606B" w14:textId="77777777" w:rsidR="0088289B" w:rsidRPr="007F400A" w:rsidRDefault="0088289B"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Mazowieckie</w:t>
            </w:r>
          </w:p>
        </w:tc>
        <w:tc>
          <w:tcPr>
            <w:tcW w:w="1695" w:type="dxa"/>
            <w:shd w:val="clear" w:color="auto" w:fill="auto"/>
            <w:noWrap/>
            <w:vAlign w:val="center"/>
            <w:hideMark/>
          </w:tcPr>
          <w:p w14:paraId="5B09A3D7"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415</w:t>
            </w:r>
          </w:p>
        </w:tc>
        <w:tc>
          <w:tcPr>
            <w:tcW w:w="1843" w:type="dxa"/>
            <w:shd w:val="clear" w:color="auto" w:fill="auto"/>
            <w:noWrap/>
            <w:vAlign w:val="center"/>
            <w:hideMark/>
          </w:tcPr>
          <w:p w14:paraId="1BDF4713"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498</w:t>
            </w:r>
          </w:p>
        </w:tc>
        <w:tc>
          <w:tcPr>
            <w:tcW w:w="1559" w:type="dxa"/>
            <w:shd w:val="clear" w:color="auto" w:fill="auto"/>
            <w:noWrap/>
            <w:vAlign w:val="center"/>
            <w:hideMark/>
          </w:tcPr>
          <w:p w14:paraId="5FB660D1" w14:textId="77777777" w:rsidR="0088289B" w:rsidRPr="00A45225" w:rsidRDefault="0088289B" w:rsidP="00056EE7">
            <w:pPr>
              <w:spacing w:after="0" w:line="300" w:lineRule="atLeast"/>
              <w:jc w:val="center"/>
              <w:rPr>
                <w:rFonts w:ascii="Times New Roman" w:hAnsi="Times New Roman" w:cs="Times New Roman"/>
                <w:sz w:val="18"/>
                <w:szCs w:val="18"/>
              </w:rPr>
            </w:pPr>
            <w:r w:rsidRPr="00744A58">
              <w:rPr>
                <w:rFonts w:ascii="Times New Roman" w:hAnsi="Times New Roman" w:cs="Times New Roman"/>
                <w:sz w:val="18"/>
                <w:szCs w:val="18"/>
              </w:rPr>
              <w:t>173</w:t>
            </w:r>
          </w:p>
        </w:tc>
        <w:tc>
          <w:tcPr>
            <w:tcW w:w="1418" w:type="dxa"/>
            <w:shd w:val="clear" w:color="auto" w:fill="auto"/>
            <w:noWrap/>
            <w:vAlign w:val="center"/>
            <w:hideMark/>
          </w:tcPr>
          <w:p w14:paraId="72AD259D"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163</w:t>
            </w:r>
          </w:p>
        </w:tc>
        <w:tc>
          <w:tcPr>
            <w:tcW w:w="1701" w:type="dxa"/>
            <w:shd w:val="clear" w:color="auto" w:fill="auto"/>
            <w:noWrap/>
            <w:vAlign w:val="center"/>
            <w:hideMark/>
          </w:tcPr>
          <w:p w14:paraId="7788E341"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187</w:t>
            </w:r>
          </w:p>
        </w:tc>
      </w:tr>
      <w:tr w:rsidR="0088289B" w:rsidRPr="007F400A" w14:paraId="00ACC0AE" w14:textId="77777777" w:rsidTr="001633A3">
        <w:trPr>
          <w:trHeight w:val="346"/>
        </w:trPr>
        <w:tc>
          <w:tcPr>
            <w:tcW w:w="1844" w:type="dxa"/>
            <w:noWrap/>
            <w:vAlign w:val="center"/>
            <w:hideMark/>
          </w:tcPr>
          <w:p w14:paraId="19268C55" w14:textId="77777777" w:rsidR="0088289B" w:rsidRPr="007F400A" w:rsidRDefault="0088289B"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Opolskie</w:t>
            </w:r>
          </w:p>
        </w:tc>
        <w:tc>
          <w:tcPr>
            <w:tcW w:w="1695" w:type="dxa"/>
            <w:shd w:val="clear" w:color="auto" w:fill="auto"/>
            <w:noWrap/>
            <w:vAlign w:val="center"/>
            <w:hideMark/>
          </w:tcPr>
          <w:p w14:paraId="76E24DC6"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123</w:t>
            </w:r>
          </w:p>
        </w:tc>
        <w:tc>
          <w:tcPr>
            <w:tcW w:w="1843" w:type="dxa"/>
            <w:shd w:val="clear" w:color="auto" w:fill="auto"/>
            <w:noWrap/>
            <w:vAlign w:val="center"/>
            <w:hideMark/>
          </w:tcPr>
          <w:p w14:paraId="62CEAE45"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217</w:t>
            </w:r>
          </w:p>
        </w:tc>
        <w:tc>
          <w:tcPr>
            <w:tcW w:w="1559" w:type="dxa"/>
            <w:shd w:val="clear" w:color="auto" w:fill="auto"/>
            <w:noWrap/>
            <w:vAlign w:val="center"/>
            <w:hideMark/>
          </w:tcPr>
          <w:p w14:paraId="2E008B52" w14:textId="77777777" w:rsidR="0088289B" w:rsidRPr="00A45225" w:rsidRDefault="0088289B" w:rsidP="00056EE7">
            <w:pPr>
              <w:spacing w:after="0" w:line="300" w:lineRule="atLeast"/>
              <w:jc w:val="center"/>
              <w:rPr>
                <w:rFonts w:ascii="Times New Roman" w:hAnsi="Times New Roman" w:cs="Times New Roman"/>
                <w:sz w:val="18"/>
                <w:szCs w:val="18"/>
              </w:rPr>
            </w:pPr>
            <w:r w:rsidRPr="00744A58">
              <w:rPr>
                <w:rFonts w:ascii="Times New Roman" w:hAnsi="Times New Roman" w:cs="Times New Roman"/>
                <w:sz w:val="18"/>
                <w:szCs w:val="18"/>
              </w:rPr>
              <w:t>100</w:t>
            </w:r>
          </w:p>
        </w:tc>
        <w:tc>
          <w:tcPr>
            <w:tcW w:w="1418" w:type="dxa"/>
            <w:shd w:val="clear" w:color="auto" w:fill="auto"/>
            <w:noWrap/>
            <w:vAlign w:val="center"/>
            <w:hideMark/>
          </w:tcPr>
          <w:p w14:paraId="65EDA519"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100</w:t>
            </w:r>
          </w:p>
        </w:tc>
        <w:tc>
          <w:tcPr>
            <w:tcW w:w="1701" w:type="dxa"/>
            <w:shd w:val="clear" w:color="auto" w:fill="auto"/>
            <w:noWrap/>
            <w:vAlign w:val="center"/>
            <w:hideMark/>
          </w:tcPr>
          <w:p w14:paraId="68E3A7E4"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105</w:t>
            </w:r>
          </w:p>
        </w:tc>
      </w:tr>
      <w:tr w:rsidR="0088289B" w:rsidRPr="007F400A" w14:paraId="76783FCD" w14:textId="77777777" w:rsidTr="001633A3">
        <w:trPr>
          <w:trHeight w:val="346"/>
        </w:trPr>
        <w:tc>
          <w:tcPr>
            <w:tcW w:w="1844" w:type="dxa"/>
            <w:noWrap/>
            <w:vAlign w:val="center"/>
            <w:hideMark/>
          </w:tcPr>
          <w:p w14:paraId="7E68876F" w14:textId="77777777" w:rsidR="0088289B" w:rsidRPr="007F400A" w:rsidRDefault="0088289B"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Podkarpackie</w:t>
            </w:r>
          </w:p>
        </w:tc>
        <w:tc>
          <w:tcPr>
            <w:tcW w:w="1695" w:type="dxa"/>
            <w:shd w:val="clear" w:color="auto" w:fill="auto"/>
            <w:noWrap/>
            <w:vAlign w:val="center"/>
            <w:hideMark/>
          </w:tcPr>
          <w:p w14:paraId="0B209E52"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127</w:t>
            </w:r>
          </w:p>
        </w:tc>
        <w:tc>
          <w:tcPr>
            <w:tcW w:w="1843" w:type="dxa"/>
            <w:shd w:val="clear" w:color="auto" w:fill="auto"/>
            <w:noWrap/>
            <w:vAlign w:val="center"/>
            <w:hideMark/>
          </w:tcPr>
          <w:p w14:paraId="7D666B81"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166</w:t>
            </w:r>
          </w:p>
        </w:tc>
        <w:tc>
          <w:tcPr>
            <w:tcW w:w="1559" w:type="dxa"/>
            <w:shd w:val="clear" w:color="auto" w:fill="auto"/>
            <w:noWrap/>
            <w:vAlign w:val="center"/>
            <w:hideMark/>
          </w:tcPr>
          <w:p w14:paraId="5D372B26" w14:textId="77777777" w:rsidR="0088289B" w:rsidRPr="00A45225" w:rsidRDefault="0088289B" w:rsidP="00056EE7">
            <w:pPr>
              <w:spacing w:after="0" w:line="300" w:lineRule="atLeast"/>
              <w:jc w:val="center"/>
              <w:rPr>
                <w:rFonts w:ascii="Times New Roman" w:hAnsi="Times New Roman" w:cs="Times New Roman"/>
                <w:sz w:val="18"/>
                <w:szCs w:val="18"/>
              </w:rPr>
            </w:pPr>
            <w:r w:rsidRPr="00744A58">
              <w:rPr>
                <w:rFonts w:ascii="Times New Roman" w:hAnsi="Times New Roman" w:cs="Times New Roman"/>
                <w:sz w:val="18"/>
                <w:szCs w:val="18"/>
              </w:rPr>
              <w:t>60</w:t>
            </w:r>
          </w:p>
        </w:tc>
        <w:tc>
          <w:tcPr>
            <w:tcW w:w="1418" w:type="dxa"/>
            <w:shd w:val="clear" w:color="auto" w:fill="auto"/>
            <w:noWrap/>
            <w:vAlign w:val="center"/>
            <w:hideMark/>
          </w:tcPr>
          <w:p w14:paraId="287F313D"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60</w:t>
            </w:r>
          </w:p>
        </w:tc>
        <w:tc>
          <w:tcPr>
            <w:tcW w:w="1701" w:type="dxa"/>
            <w:shd w:val="clear" w:color="auto" w:fill="auto"/>
            <w:noWrap/>
            <w:vAlign w:val="center"/>
            <w:hideMark/>
          </w:tcPr>
          <w:p w14:paraId="3290C23C"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65</w:t>
            </w:r>
          </w:p>
        </w:tc>
      </w:tr>
      <w:tr w:rsidR="0088289B" w:rsidRPr="007F400A" w14:paraId="6100B8BE" w14:textId="77777777" w:rsidTr="001633A3">
        <w:trPr>
          <w:trHeight w:val="346"/>
        </w:trPr>
        <w:tc>
          <w:tcPr>
            <w:tcW w:w="1844" w:type="dxa"/>
            <w:noWrap/>
            <w:vAlign w:val="center"/>
            <w:hideMark/>
          </w:tcPr>
          <w:p w14:paraId="7E348AAA" w14:textId="77777777" w:rsidR="0088289B" w:rsidRPr="007F400A" w:rsidRDefault="0088289B"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Podlaskie</w:t>
            </w:r>
          </w:p>
        </w:tc>
        <w:tc>
          <w:tcPr>
            <w:tcW w:w="1695" w:type="dxa"/>
            <w:shd w:val="clear" w:color="auto" w:fill="auto"/>
            <w:noWrap/>
            <w:vAlign w:val="center"/>
            <w:hideMark/>
          </w:tcPr>
          <w:p w14:paraId="40B88AE0"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101</w:t>
            </w:r>
          </w:p>
        </w:tc>
        <w:tc>
          <w:tcPr>
            <w:tcW w:w="1843" w:type="dxa"/>
            <w:shd w:val="clear" w:color="auto" w:fill="auto"/>
            <w:noWrap/>
            <w:vAlign w:val="center"/>
            <w:hideMark/>
          </w:tcPr>
          <w:p w14:paraId="02B49B9B"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124</w:t>
            </w:r>
          </w:p>
        </w:tc>
        <w:tc>
          <w:tcPr>
            <w:tcW w:w="1559" w:type="dxa"/>
            <w:shd w:val="clear" w:color="auto" w:fill="auto"/>
            <w:noWrap/>
            <w:vAlign w:val="center"/>
            <w:hideMark/>
          </w:tcPr>
          <w:p w14:paraId="65C22FD2" w14:textId="77777777" w:rsidR="0088289B" w:rsidRPr="00A45225" w:rsidRDefault="0088289B" w:rsidP="00056EE7">
            <w:pPr>
              <w:spacing w:after="0" w:line="300" w:lineRule="atLeast"/>
              <w:jc w:val="center"/>
              <w:rPr>
                <w:rFonts w:ascii="Times New Roman" w:hAnsi="Times New Roman" w:cs="Times New Roman"/>
                <w:sz w:val="18"/>
                <w:szCs w:val="18"/>
              </w:rPr>
            </w:pPr>
            <w:r w:rsidRPr="00744A58">
              <w:rPr>
                <w:rFonts w:ascii="Times New Roman" w:hAnsi="Times New Roman" w:cs="Times New Roman"/>
                <w:sz w:val="18"/>
                <w:szCs w:val="18"/>
              </w:rPr>
              <w:t>43</w:t>
            </w:r>
          </w:p>
        </w:tc>
        <w:tc>
          <w:tcPr>
            <w:tcW w:w="1418" w:type="dxa"/>
            <w:shd w:val="clear" w:color="auto" w:fill="auto"/>
            <w:noWrap/>
            <w:vAlign w:val="center"/>
            <w:hideMark/>
          </w:tcPr>
          <w:p w14:paraId="65B17311"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43</w:t>
            </w:r>
          </w:p>
        </w:tc>
        <w:tc>
          <w:tcPr>
            <w:tcW w:w="1701" w:type="dxa"/>
            <w:shd w:val="clear" w:color="auto" w:fill="auto"/>
            <w:noWrap/>
            <w:vAlign w:val="center"/>
            <w:hideMark/>
          </w:tcPr>
          <w:p w14:paraId="6398339B"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46</w:t>
            </w:r>
          </w:p>
        </w:tc>
      </w:tr>
      <w:tr w:rsidR="0088289B" w:rsidRPr="007F400A" w14:paraId="559A4614" w14:textId="77777777" w:rsidTr="001633A3">
        <w:trPr>
          <w:trHeight w:val="346"/>
        </w:trPr>
        <w:tc>
          <w:tcPr>
            <w:tcW w:w="1844" w:type="dxa"/>
            <w:noWrap/>
            <w:vAlign w:val="center"/>
            <w:hideMark/>
          </w:tcPr>
          <w:p w14:paraId="73BC3F64" w14:textId="77777777" w:rsidR="0088289B" w:rsidRPr="007F400A" w:rsidRDefault="0088289B"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Pomorskie</w:t>
            </w:r>
          </w:p>
        </w:tc>
        <w:tc>
          <w:tcPr>
            <w:tcW w:w="1695" w:type="dxa"/>
            <w:shd w:val="clear" w:color="auto" w:fill="auto"/>
            <w:noWrap/>
            <w:vAlign w:val="center"/>
            <w:hideMark/>
          </w:tcPr>
          <w:p w14:paraId="17D8CE86"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124</w:t>
            </w:r>
          </w:p>
        </w:tc>
        <w:tc>
          <w:tcPr>
            <w:tcW w:w="1843" w:type="dxa"/>
            <w:shd w:val="clear" w:color="auto" w:fill="auto"/>
            <w:noWrap/>
            <w:vAlign w:val="center"/>
            <w:hideMark/>
          </w:tcPr>
          <w:p w14:paraId="7377B36F"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165</w:t>
            </w:r>
          </w:p>
        </w:tc>
        <w:tc>
          <w:tcPr>
            <w:tcW w:w="1559" w:type="dxa"/>
            <w:shd w:val="clear" w:color="auto" w:fill="auto"/>
            <w:noWrap/>
            <w:vAlign w:val="center"/>
            <w:hideMark/>
          </w:tcPr>
          <w:p w14:paraId="522B9179" w14:textId="77777777" w:rsidR="0088289B" w:rsidRPr="00A45225" w:rsidRDefault="0088289B" w:rsidP="00056EE7">
            <w:pPr>
              <w:spacing w:after="0" w:line="300" w:lineRule="atLeast"/>
              <w:jc w:val="center"/>
              <w:rPr>
                <w:rFonts w:ascii="Times New Roman" w:hAnsi="Times New Roman" w:cs="Times New Roman"/>
                <w:sz w:val="18"/>
                <w:szCs w:val="18"/>
              </w:rPr>
            </w:pPr>
            <w:r w:rsidRPr="00744A58">
              <w:rPr>
                <w:rFonts w:ascii="Times New Roman" w:hAnsi="Times New Roman" w:cs="Times New Roman"/>
                <w:sz w:val="18"/>
                <w:szCs w:val="18"/>
              </w:rPr>
              <w:t>50</w:t>
            </w:r>
          </w:p>
        </w:tc>
        <w:tc>
          <w:tcPr>
            <w:tcW w:w="1418" w:type="dxa"/>
            <w:shd w:val="clear" w:color="auto" w:fill="auto"/>
            <w:noWrap/>
            <w:vAlign w:val="center"/>
            <w:hideMark/>
          </w:tcPr>
          <w:p w14:paraId="6C78BB60"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48</w:t>
            </w:r>
          </w:p>
        </w:tc>
        <w:tc>
          <w:tcPr>
            <w:tcW w:w="1701" w:type="dxa"/>
            <w:shd w:val="clear" w:color="auto" w:fill="auto"/>
            <w:noWrap/>
            <w:vAlign w:val="center"/>
            <w:hideMark/>
          </w:tcPr>
          <w:p w14:paraId="6EB94BB5"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52</w:t>
            </w:r>
          </w:p>
        </w:tc>
      </w:tr>
      <w:tr w:rsidR="0088289B" w:rsidRPr="007F400A" w14:paraId="5D281030" w14:textId="77777777" w:rsidTr="001633A3">
        <w:trPr>
          <w:trHeight w:val="346"/>
        </w:trPr>
        <w:tc>
          <w:tcPr>
            <w:tcW w:w="1844" w:type="dxa"/>
            <w:noWrap/>
            <w:vAlign w:val="center"/>
            <w:hideMark/>
          </w:tcPr>
          <w:p w14:paraId="1A7F59B1" w14:textId="77777777" w:rsidR="0088289B" w:rsidRPr="007F400A" w:rsidRDefault="0088289B"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Śląskie</w:t>
            </w:r>
          </w:p>
        </w:tc>
        <w:tc>
          <w:tcPr>
            <w:tcW w:w="1695" w:type="dxa"/>
            <w:shd w:val="clear" w:color="auto" w:fill="auto"/>
            <w:noWrap/>
            <w:vAlign w:val="center"/>
            <w:hideMark/>
          </w:tcPr>
          <w:p w14:paraId="22A08869"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306</w:t>
            </w:r>
          </w:p>
        </w:tc>
        <w:tc>
          <w:tcPr>
            <w:tcW w:w="1843" w:type="dxa"/>
            <w:shd w:val="clear" w:color="auto" w:fill="auto"/>
            <w:noWrap/>
            <w:vAlign w:val="center"/>
            <w:hideMark/>
          </w:tcPr>
          <w:p w14:paraId="039DE4F6"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397</w:t>
            </w:r>
          </w:p>
        </w:tc>
        <w:tc>
          <w:tcPr>
            <w:tcW w:w="1559" w:type="dxa"/>
            <w:shd w:val="clear" w:color="auto" w:fill="auto"/>
            <w:noWrap/>
            <w:vAlign w:val="center"/>
            <w:hideMark/>
          </w:tcPr>
          <w:p w14:paraId="5B65696A" w14:textId="77777777" w:rsidR="0088289B" w:rsidRPr="00A45225" w:rsidRDefault="0088289B" w:rsidP="00056EE7">
            <w:pPr>
              <w:spacing w:after="0" w:line="300" w:lineRule="atLeast"/>
              <w:jc w:val="center"/>
              <w:rPr>
                <w:rFonts w:ascii="Times New Roman" w:hAnsi="Times New Roman" w:cs="Times New Roman"/>
                <w:sz w:val="18"/>
                <w:szCs w:val="18"/>
              </w:rPr>
            </w:pPr>
            <w:r w:rsidRPr="00744A58">
              <w:rPr>
                <w:rFonts w:ascii="Times New Roman" w:hAnsi="Times New Roman" w:cs="Times New Roman"/>
                <w:sz w:val="18"/>
                <w:szCs w:val="18"/>
              </w:rPr>
              <w:t>92</w:t>
            </w:r>
          </w:p>
        </w:tc>
        <w:tc>
          <w:tcPr>
            <w:tcW w:w="1418" w:type="dxa"/>
            <w:shd w:val="clear" w:color="auto" w:fill="auto"/>
            <w:noWrap/>
            <w:vAlign w:val="center"/>
            <w:hideMark/>
          </w:tcPr>
          <w:p w14:paraId="5C89DC40"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76</w:t>
            </w:r>
          </w:p>
        </w:tc>
        <w:tc>
          <w:tcPr>
            <w:tcW w:w="1701" w:type="dxa"/>
            <w:shd w:val="clear" w:color="auto" w:fill="auto"/>
            <w:noWrap/>
            <w:vAlign w:val="center"/>
            <w:hideMark/>
          </w:tcPr>
          <w:p w14:paraId="2FD36DCD"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160</w:t>
            </w:r>
          </w:p>
        </w:tc>
      </w:tr>
      <w:tr w:rsidR="0088289B" w:rsidRPr="007F400A" w14:paraId="376EE4E1" w14:textId="77777777" w:rsidTr="001633A3">
        <w:trPr>
          <w:trHeight w:val="346"/>
        </w:trPr>
        <w:tc>
          <w:tcPr>
            <w:tcW w:w="1844" w:type="dxa"/>
            <w:noWrap/>
            <w:vAlign w:val="center"/>
            <w:hideMark/>
          </w:tcPr>
          <w:p w14:paraId="6501DC8C" w14:textId="77777777" w:rsidR="0088289B" w:rsidRPr="007F400A" w:rsidRDefault="0088289B"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Świętokrzyskie</w:t>
            </w:r>
          </w:p>
        </w:tc>
        <w:tc>
          <w:tcPr>
            <w:tcW w:w="1695" w:type="dxa"/>
            <w:shd w:val="clear" w:color="auto" w:fill="auto"/>
            <w:noWrap/>
            <w:vAlign w:val="center"/>
            <w:hideMark/>
          </w:tcPr>
          <w:p w14:paraId="1376E245" w14:textId="77777777" w:rsidR="0088289B" w:rsidRPr="00A45225" w:rsidRDefault="0088289B" w:rsidP="00056EE7">
            <w:pPr>
              <w:spacing w:after="0" w:line="300" w:lineRule="atLeast"/>
              <w:jc w:val="center"/>
              <w:rPr>
                <w:rFonts w:ascii="Times New Roman" w:hAnsi="Times New Roman" w:cs="Times New Roman"/>
                <w:sz w:val="18"/>
                <w:szCs w:val="18"/>
              </w:rPr>
            </w:pPr>
            <w:r w:rsidRPr="00744A58">
              <w:rPr>
                <w:rFonts w:ascii="Times New Roman" w:hAnsi="Times New Roman" w:cs="Times New Roman"/>
                <w:sz w:val="18"/>
                <w:szCs w:val="18"/>
              </w:rPr>
              <w:t>82</w:t>
            </w:r>
          </w:p>
        </w:tc>
        <w:tc>
          <w:tcPr>
            <w:tcW w:w="1843" w:type="dxa"/>
            <w:shd w:val="clear" w:color="auto" w:fill="auto"/>
            <w:noWrap/>
            <w:vAlign w:val="center"/>
            <w:hideMark/>
          </w:tcPr>
          <w:p w14:paraId="52D32AC3"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99</w:t>
            </w:r>
          </w:p>
        </w:tc>
        <w:tc>
          <w:tcPr>
            <w:tcW w:w="1559" w:type="dxa"/>
            <w:shd w:val="clear" w:color="auto" w:fill="auto"/>
            <w:noWrap/>
            <w:vAlign w:val="center"/>
            <w:hideMark/>
          </w:tcPr>
          <w:p w14:paraId="0A1C4F70" w14:textId="77777777" w:rsidR="0088289B" w:rsidRPr="00A45225" w:rsidRDefault="0088289B" w:rsidP="00056EE7">
            <w:pPr>
              <w:spacing w:after="0" w:line="300" w:lineRule="atLeast"/>
              <w:jc w:val="center"/>
              <w:rPr>
                <w:rFonts w:ascii="Times New Roman" w:hAnsi="Times New Roman" w:cs="Times New Roman"/>
                <w:sz w:val="18"/>
                <w:szCs w:val="18"/>
              </w:rPr>
            </w:pPr>
            <w:r w:rsidRPr="00744A58">
              <w:rPr>
                <w:rFonts w:ascii="Times New Roman" w:hAnsi="Times New Roman" w:cs="Times New Roman"/>
                <w:sz w:val="18"/>
                <w:szCs w:val="18"/>
              </w:rPr>
              <w:t>43</w:t>
            </w:r>
          </w:p>
        </w:tc>
        <w:tc>
          <w:tcPr>
            <w:tcW w:w="1418" w:type="dxa"/>
            <w:shd w:val="clear" w:color="auto" w:fill="auto"/>
            <w:noWrap/>
            <w:vAlign w:val="center"/>
            <w:hideMark/>
          </w:tcPr>
          <w:p w14:paraId="7B2031EF"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30</w:t>
            </w:r>
          </w:p>
        </w:tc>
        <w:tc>
          <w:tcPr>
            <w:tcW w:w="1701" w:type="dxa"/>
            <w:shd w:val="clear" w:color="auto" w:fill="auto"/>
            <w:noWrap/>
            <w:vAlign w:val="center"/>
            <w:hideMark/>
          </w:tcPr>
          <w:p w14:paraId="1D288B26"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52</w:t>
            </w:r>
          </w:p>
        </w:tc>
      </w:tr>
      <w:tr w:rsidR="0088289B" w:rsidRPr="007F400A" w14:paraId="22F886B3" w14:textId="77777777" w:rsidTr="001633A3">
        <w:trPr>
          <w:trHeight w:val="346"/>
        </w:trPr>
        <w:tc>
          <w:tcPr>
            <w:tcW w:w="1844" w:type="dxa"/>
            <w:noWrap/>
            <w:vAlign w:val="center"/>
            <w:hideMark/>
          </w:tcPr>
          <w:p w14:paraId="344F6ECB" w14:textId="77777777" w:rsidR="0088289B" w:rsidRPr="007F400A" w:rsidRDefault="0088289B"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Warmińsko-mazurskie</w:t>
            </w:r>
          </w:p>
        </w:tc>
        <w:tc>
          <w:tcPr>
            <w:tcW w:w="1695" w:type="dxa"/>
            <w:shd w:val="clear" w:color="auto" w:fill="auto"/>
            <w:noWrap/>
            <w:vAlign w:val="center"/>
            <w:hideMark/>
          </w:tcPr>
          <w:p w14:paraId="665A4087"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95</w:t>
            </w:r>
          </w:p>
        </w:tc>
        <w:tc>
          <w:tcPr>
            <w:tcW w:w="1843" w:type="dxa"/>
            <w:shd w:val="clear" w:color="auto" w:fill="auto"/>
            <w:noWrap/>
            <w:vAlign w:val="center"/>
            <w:hideMark/>
          </w:tcPr>
          <w:p w14:paraId="2F6A72A1"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116</w:t>
            </w:r>
          </w:p>
        </w:tc>
        <w:tc>
          <w:tcPr>
            <w:tcW w:w="1559" w:type="dxa"/>
            <w:shd w:val="clear" w:color="auto" w:fill="auto"/>
            <w:noWrap/>
            <w:vAlign w:val="center"/>
            <w:hideMark/>
          </w:tcPr>
          <w:p w14:paraId="21BC606F" w14:textId="77777777" w:rsidR="0088289B" w:rsidRPr="00A45225" w:rsidRDefault="0088289B" w:rsidP="00056EE7">
            <w:pPr>
              <w:spacing w:after="0" w:line="300" w:lineRule="atLeast"/>
              <w:jc w:val="center"/>
              <w:rPr>
                <w:rFonts w:ascii="Times New Roman" w:hAnsi="Times New Roman" w:cs="Times New Roman"/>
                <w:sz w:val="18"/>
                <w:szCs w:val="18"/>
              </w:rPr>
            </w:pPr>
            <w:r w:rsidRPr="00744A58">
              <w:rPr>
                <w:rFonts w:ascii="Times New Roman" w:hAnsi="Times New Roman" w:cs="Times New Roman"/>
                <w:sz w:val="18"/>
                <w:szCs w:val="18"/>
              </w:rPr>
              <w:t>54</w:t>
            </w:r>
          </w:p>
        </w:tc>
        <w:tc>
          <w:tcPr>
            <w:tcW w:w="1418" w:type="dxa"/>
            <w:shd w:val="clear" w:color="auto" w:fill="auto"/>
            <w:noWrap/>
            <w:vAlign w:val="center"/>
            <w:hideMark/>
          </w:tcPr>
          <w:p w14:paraId="52CC42E9"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52</w:t>
            </w:r>
          </w:p>
        </w:tc>
        <w:tc>
          <w:tcPr>
            <w:tcW w:w="1701" w:type="dxa"/>
            <w:shd w:val="clear" w:color="auto" w:fill="auto"/>
            <w:noWrap/>
            <w:vAlign w:val="center"/>
            <w:hideMark/>
          </w:tcPr>
          <w:p w14:paraId="012FD484"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68</w:t>
            </w:r>
          </w:p>
        </w:tc>
      </w:tr>
      <w:tr w:rsidR="0088289B" w:rsidRPr="007F400A" w14:paraId="588D5F36" w14:textId="77777777" w:rsidTr="001633A3">
        <w:trPr>
          <w:trHeight w:val="346"/>
        </w:trPr>
        <w:tc>
          <w:tcPr>
            <w:tcW w:w="1844" w:type="dxa"/>
            <w:noWrap/>
            <w:vAlign w:val="center"/>
            <w:hideMark/>
          </w:tcPr>
          <w:p w14:paraId="33544417" w14:textId="77777777" w:rsidR="0088289B" w:rsidRPr="007F400A" w:rsidRDefault="0088289B"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Wielkopolskie</w:t>
            </w:r>
          </w:p>
        </w:tc>
        <w:tc>
          <w:tcPr>
            <w:tcW w:w="1695" w:type="dxa"/>
            <w:shd w:val="clear" w:color="auto" w:fill="auto"/>
            <w:noWrap/>
            <w:vAlign w:val="center"/>
            <w:hideMark/>
          </w:tcPr>
          <w:p w14:paraId="42C4FB23"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560</w:t>
            </w:r>
          </w:p>
        </w:tc>
        <w:tc>
          <w:tcPr>
            <w:tcW w:w="1843" w:type="dxa"/>
            <w:shd w:val="clear" w:color="auto" w:fill="auto"/>
            <w:noWrap/>
            <w:vAlign w:val="center"/>
            <w:hideMark/>
          </w:tcPr>
          <w:p w14:paraId="19E34891"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652</w:t>
            </w:r>
          </w:p>
        </w:tc>
        <w:tc>
          <w:tcPr>
            <w:tcW w:w="1559" w:type="dxa"/>
            <w:shd w:val="clear" w:color="auto" w:fill="auto"/>
            <w:noWrap/>
            <w:vAlign w:val="center"/>
            <w:hideMark/>
          </w:tcPr>
          <w:p w14:paraId="3F63B28D" w14:textId="77777777" w:rsidR="0088289B" w:rsidRPr="00A45225" w:rsidRDefault="0088289B" w:rsidP="00056EE7">
            <w:pPr>
              <w:spacing w:after="0" w:line="300" w:lineRule="atLeast"/>
              <w:jc w:val="center"/>
              <w:rPr>
                <w:rFonts w:ascii="Times New Roman" w:hAnsi="Times New Roman" w:cs="Times New Roman"/>
                <w:sz w:val="18"/>
                <w:szCs w:val="18"/>
              </w:rPr>
            </w:pPr>
            <w:r w:rsidRPr="00744A58">
              <w:rPr>
                <w:rFonts w:ascii="Times New Roman" w:hAnsi="Times New Roman" w:cs="Times New Roman"/>
                <w:sz w:val="18"/>
                <w:szCs w:val="18"/>
              </w:rPr>
              <w:t>304</w:t>
            </w:r>
          </w:p>
        </w:tc>
        <w:tc>
          <w:tcPr>
            <w:tcW w:w="1418" w:type="dxa"/>
            <w:shd w:val="clear" w:color="auto" w:fill="auto"/>
            <w:noWrap/>
            <w:vAlign w:val="center"/>
            <w:hideMark/>
          </w:tcPr>
          <w:p w14:paraId="6EC596D3"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204</w:t>
            </w:r>
          </w:p>
        </w:tc>
        <w:tc>
          <w:tcPr>
            <w:tcW w:w="1701" w:type="dxa"/>
            <w:shd w:val="clear" w:color="auto" w:fill="auto"/>
            <w:noWrap/>
            <w:vAlign w:val="center"/>
            <w:hideMark/>
          </w:tcPr>
          <w:p w14:paraId="2D38010F"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260</w:t>
            </w:r>
          </w:p>
        </w:tc>
      </w:tr>
      <w:tr w:rsidR="0088289B" w:rsidRPr="007F400A" w14:paraId="752FAB28" w14:textId="77777777" w:rsidTr="001633A3">
        <w:trPr>
          <w:trHeight w:val="346"/>
        </w:trPr>
        <w:tc>
          <w:tcPr>
            <w:tcW w:w="1844" w:type="dxa"/>
            <w:noWrap/>
            <w:vAlign w:val="center"/>
            <w:hideMark/>
          </w:tcPr>
          <w:p w14:paraId="428A6E63" w14:textId="77777777" w:rsidR="0088289B" w:rsidRPr="007F400A" w:rsidRDefault="0088289B" w:rsidP="00056EE7">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Zachodniopomorskie</w:t>
            </w:r>
          </w:p>
        </w:tc>
        <w:tc>
          <w:tcPr>
            <w:tcW w:w="1695" w:type="dxa"/>
            <w:shd w:val="clear" w:color="auto" w:fill="auto"/>
            <w:noWrap/>
            <w:vAlign w:val="center"/>
            <w:hideMark/>
          </w:tcPr>
          <w:p w14:paraId="53B9A8A6"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187</w:t>
            </w:r>
          </w:p>
        </w:tc>
        <w:tc>
          <w:tcPr>
            <w:tcW w:w="1843" w:type="dxa"/>
            <w:shd w:val="clear" w:color="auto" w:fill="auto"/>
            <w:noWrap/>
            <w:vAlign w:val="center"/>
            <w:hideMark/>
          </w:tcPr>
          <w:p w14:paraId="1487DC99"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234</w:t>
            </w:r>
          </w:p>
        </w:tc>
        <w:tc>
          <w:tcPr>
            <w:tcW w:w="1559" w:type="dxa"/>
            <w:shd w:val="clear" w:color="auto" w:fill="auto"/>
            <w:noWrap/>
            <w:vAlign w:val="center"/>
            <w:hideMark/>
          </w:tcPr>
          <w:p w14:paraId="3B268976" w14:textId="77777777" w:rsidR="0088289B" w:rsidRPr="00A45225" w:rsidRDefault="0088289B" w:rsidP="00056EE7">
            <w:pPr>
              <w:spacing w:after="0" w:line="300" w:lineRule="atLeast"/>
              <w:jc w:val="center"/>
              <w:rPr>
                <w:rFonts w:ascii="Times New Roman" w:hAnsi="Times New Roman" w:cs="Times New Roman"/>
                <w:sz w:val="18"/>
                <w:szCs w:val="18"/>
              </w:rPr>
            </w:pPr>
            <w:r w:rsidRPr="00744A58">
              <w:rPr>
                <w:rFonts w:ascii="Times New Roman" w:hAnsi="Times New Roman" w:cs="Times New Roman"/>
                <w:sz w:val="18"/>
                <w:szCs w:val="18"/>
              </w:rPr>
              <w:t>84</w:t>
            </w:r>
          </w:p>
        </w:tc>
        <w:tc>
          <w:tcPr>
            <w:tcW w:w="1418" w:type="dxa"/>
            <w:shd w:val="clear" w:color="auto" w:fill="auto"/>
            <w:noWrap/>
            <w:vAlign w:val="center"/>
            <w:hideMark/>
          </w:tcPr>
          <w:p w14:paraId="50745054"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71</w:t>
            </w:r>
          </w:p>
        </w:tc>
        <w:tc>
          <w:tcPr>
            <w:tcW w:w="1701" w:type="dxa"/>
            <w:shd w:val="clear" w:color="auto" w:fill="auto"/>
            <w:noWrap/>
            <w:vAlign w:val="center"/>
            <w:hideMark/>
          </w:tcPr>
          <w:p w14:paraId="193A85E7" w14:textId="77777777" w:rsidR="0088289B" w:rsidRPr="00A45225" w:rsidRDefault="0088289B" w:rsidP="00056EE7">
            <w:pPr>
              <w:spacing w:after="0" w:line="300" w:lineRule="atLeast"/>
              <w:jc w:val="center"/>
              <w:rPr>
                <w:rFonts w:ascii="Times New Roman" w:hAnsi="Times New Roman" w:cs="Times New Roman"/>
                <w:color w:val="000000"/>
                <w:sz w:val="18"/>
                <w:szCs w:val="18"/>
              </w:rPr>
            </w:pPr>
            <w:r w:rsidRPr="00744A58">
              <w:rPr>
                <w:rFonts w:ascii="Times New Roman" w:hAnsi="Times New Roman" w:cs="Times New Roman"/>
                <w:sz w:val="18"/>
                <w:szCs w:val="18"/>
              </w:rPr>
              <w:t>109</w:t>
            </w:r>
          </w:p>
        </w:tc>
      </w:tr>
      <w:tr w:rsidR="0088289B" w:rsidRPr="007F400A" w14:paraId="0E4C5F7F" w14:textId="77777777" w:rsidTr="001633A3">
        <w:trPr>
          <w:trHeight w:val="402"/>
        </w:trPr>
        <w:tc>
          <w:tcPr>
            <w:tcW w:w="1844" w:type="dxa"/>
            <w:noWrap/>
            <w:vAlign w:val="center"/>
            <w:hideMark/>
          </w:tcPr>
          <w:p w14:paraId="40C61F3B" w14:textId="77777777" w:rsidR="0088289B" w:rsidRPr="00CF78D5" w:rsidRDefault="0088289B" w:rsidP="00056EE7">
            <w:pPr>
              <w:spacing w:after="0" w:line="300" w:lineRule="atLeast"/>
              <w:rPr>
                <w:rFonts w:ascii="Times New Roman" w:eastAsia="Times New Roman" w:hAnsi="Times New Roman" w:cs="Times New Roman"/>
                <w:b/>
                <w:sz w:val="18"/>
                <w:szCs w:val="18"/>
              </w:rPr>
            </w:pPr>
            <w:r w:rsidRPr="00CF78D5">
              <w:rPr>
                <w:rFonts w:ascii="Times New Roman" w:eastAsia="Times New Roman" w:hAnsi="Times New Roman" w:cs="Times New Roman"/>
                <w:b/>
                <w:sz w:val="18"/>
                <w:szCs w:val="18"/>
              </w:rPr>
              <w:t>Polska</w:t>
            </w:r>
          </w:p>
        </w:tc>
        <w:tc>
          <w:tcPr>
            <w:tcW w:w="1695" w:type="dxa"/>
            <w:noWrap/>
            <w:vAlign w:val="center"/>
            <w:hideMark/>
          </w:tcPr>
          <w:p w14:paraId="0BA90476" w14:textId="77777777" w:rsidR="0088289B" w:rsidRPr="00CF78D5" w:rsidRDefault="0088289B" w:rsidP="00056EE7">
            <w:pPr>
              <w:spacing w:after="0" w:line="300" w:lineRule="atLeast"/>
              <w:jc w:val="center"/>
              <w:rPr>
                <w:rFonts w:ascii="Times New Roman" w:eastAsia="Times New Roman" w:hAnsi="Times New Roman" w:cs="Times New Roman"/>
                <w:b/>
                <w:sz w:val="18"/>
                <w:szCs w:val="18"/>
              </w:rPr>
            </w:pPr>
            <w:r w:rsidRPr="00744A58">
              <w:rPr>
                <w:rFonts w:ascii="Times New Roman" w:hAnsi="Times New Roman" w:cs="Times New Roman"/>
                <w:b/>
                <w:sz w:val="18"/>
                <w:szCs w:val="18"/>
              </w:rPr>
              <w:t>3138</w:t>
            </w:r>
          </w:p>
        </w:tc>
        <w:tc>
          <w:tcPr>
            <w:tcW w:w="1843" w:type="dxa"/>
            <w:shd w:val="clear" w:color="auto" w:fill="auto"/>
            <w:noWrap/>
            <w:vAlign w:val="center"/>
            <w:hideMark/>
          </w:tcPr>
          <w:p w14:paraId="6E1CD72A" w14:textId="77777777" w:rsidR="0088289B" w:rsidRPr="00CF78D5" w:rsidRDefault="0088289B" w:rsidP="00056EE7">
            <w:pPr>
              <w:spacing w:after="0" w:line="300" w:lineRule="atLeast"/>
              <w:jc w:val="center"/>
              <w:rPr>
                <w:rFonts w:ascii="Times New Roman" w:eastAsia="Times New Roman" w:hAnsi="Times New Roman" w:cs="Times New Roman"/>
                <w:b/>
                <w:sz w:val="18"/>
                <w:szCs w:val="18"/>
              </w:rPr>
            </w:pPr>
            <w:r w:rsidRPr="00744A58">
              <w:rPr>
                <w:rFonts w:ascii="Times New Roman" w:hAnsi="Times New Roman" w:cs="Times New Roman"/>
                <w:b/>
                <w:sz w:val="18"/>
                <w:szCs w:val="18"/>
              </w:rPr>
              <w:t>4041</w:t>
            </w:r>
          </w:p>
        </w:tc>
        <w:tc>
          <w:tcPr>
            <w:tcW w:w="1559" w:type="dxa"/>
            <w:shd w:val="clear" w:color="auto" w:fill="auto"/>
            <w:noWrap/>
            <w:vAlign w:val="center"/>
            <w:hideMark/>
          </w:tcPr>
          <w:p w14:paraId="63775E37" w14:textId="77777777" w:rsidR="0088289B" w:rsidRPr="00CF78D5" w:rsidRDefault="0088289B" w:rsidP="00056EE7">
            <w:pPr>
              <w:spacing w:after="0" w:line="300" w:lineRule="atLeast"/>
              <w:jc w:val="center"/>
              <w:rPr>
                <w:rFonts w:ascii="Times New Roman" w:eastAsia="Times New Roman" w:hAnsi="Times New Roman" w:cs="Times New Roman"/>
                <w:b/>
                <w:sz w:val="18"/>
                <w:szCs w:val="18"/>
              </w:rPr>
            </w:pPr>
            <w:r w:rsidRPr="00744A58">
              <w:rPr>
                <w:rFonts w:ascii="Times New Roman" w:hAnsi="Times New Roman" w:cs="Times New Roman"/>
                <w:b/>
                <w:sz w:val="18"/>
                <w:szCs w:val="18"/>
              </w:rPr>
              <w:t>1430</w:t>
            </w:r>
          </w:p>
        </w:tc>
        <w:tc>
          <w:tcPr>
            <w:tcW w:w="1418" w:type="dxa"/>
            <w:shd w:val="clear" w:color="auto" w:fill="auto"/>
            <w:noWrap/>
            <w:vAlign w:val="center"/>
            <w:hideMark/>
          </w:tcPr>
          <w:p w14:paraId="75665CD6" w14:textId="77777777" w:rsidR="0088289B" w:rsidRPr="00CF78D5" w:rsidRDefault="0088289B" w:rsidP="00056EE7">
            <w:pPr>
              <w:spacing w:after="0" w:line="300" w:lineRule="atLeast"/>
              <w:jc w:val="center"/>
              <w:rPr>
                <w:rFonts w:ascii="Times New Roman" w:eastAsia="Times New Roman" w:hAnsi="Times New Roman" w:cs="Times New Roman"/>
                <w:b/>
                <w:sz w:val="18"/>
                <w:szCs w:val="18"/>
              </w:rPr>
            </w:pPr>
            <w:r w:rsidRPr="00744A58">
              <w:rPr>
                <w:rFonts w:ascii="Times New Roman" w:hAnsi="Times New Roman" w:cs="Times New Roman"/>
                <w:b/>
                <w:sz w:val="18"/>
                <w:szCs w:val="18"/>
              </w:rPr>
              <w:t>1246</w:t>
            </w:r>
          </w:p>
        </w:tc>
        <w:tc>
          <w:tcPr>
            <w:tcW w:w="1701" w:type="dxa"/>
            <w:shd w:val="clear" w:color="auto" w:fill="auto"/>
            <w:noWrap/>
            <w:vAlign w:val="center"/>
            <w:hideMark/>
          </w:tcPr>
          <w:p w14:paraId="73047D6B" w14:textId="77777777" w:rsidR="0088289B" w:rsidRPr="00CF78D5" w:rsidRDefault="0088289B" w:rsidP="00056EE7">
            <w:pPr>
              <w:spacing w:after="0" w:line="300" w:lineRule="atLeast"/>
              <w:jc w:val="center"/>
              <w:rPr>
                <w:rFonts w:ascii="Times New Roman" w:eastAsia="Times New Roman" w:hAnsi="Times New Roman" w:cs="Times New Roman"/>
                <w:b/>
                <w:sz w:val="18"/>
                <w:szCs w:val="18"/>
              </w:rPr>
            </w:pPr>
            <w:r w:rsidRPr="00744A58">
              <w:rPr>
                <w:rFonts w:ascii="Times New Roman" w:hAnsi="Times New Roman" w:cs="Times New Roman"/>
                <w:b/>
                <w:sz w:val="18"/>
                <w:szCs w:val="18"/>
              </w:rPr>
              <w:t>1696</w:t>
            </w:r>
          </w:p>
        </w:tc>
      </w:tr>
    </w:tbl>
    <w:p w14:paraId="56E29708" w14:textId="7CCC0593" w:rsidR="00895F16" w:rsidRPr="007F400A" w:rsidRDefault="00895F16" w:rsidP="00785905">
      <w:pPr>
        <w:spacing w:after="0" w:line="300" w:lineRule="atLeast"/>
        <w:rPr>
          <w:rFonts w:ascii="Times New Roman" w:hAnsi="Times New Roman" w:cs="Times New Roman"/>
          <w:sz w:val="24"/>
          <w:szCs w:val="24"/>
        </w:rPr>
      </w:pPr>
    </w:p>
    <w:p w14:paraId="58E03CC8" w14:textId="77777777" w:rsidR="00895F16" w:rsidRPr="007F400A" w:rsidRDefault="00895F16" w:rsidP="00056EE7">
      <w:pPr>
        <w:keepNext/>
        <w:numPr>
          <w:ilvl w:val="1"/>
          <w:numId w:val="21"/>
        </w:numPr>
        <w:spacing w:after="60" w:line="300" w:lineRule="atLeast"/>
        <w:ind w:left="357" w:hanging="357"/>
        <w:outlineLvl w:val="0"/>
        <w:rPr>
          <w:rFonts w:ascii="Times New Roman" w:eastAsia="Times New Roman" w:hAnsi="Times New Roman" w:cs="Times New Roman"/>
          <w:b/>
          <w:bCs/>
          <w:sz w:val="24"/>
          <w:szCs w:val="24"/>
          <w:lang w:val="x-none" w:eastAsia="x-none"/>
        </w:rPr>
      </w:pPr>
      <w:bookmarkStart w:id="81" w:name="_Toc5878553"/>
      <w:bookmarkStart w:id="82" w:name="_Toc36732563"/>
      <w:bookmarkStart w:id="83" w:name="_Toc135935590"/>
      <w:r w:rsidRPr="007F400A">
        <w:rPr>
          <w:rFonts w:ascii="Times New Roman" w:eastAsia="Times New Roman" w:hAnsi="Times New Roman" w:cs="Times New Roman"/>
          <w:b/>
          <w:bCs/>
          <w:sz w:val="24"/>
          <w:szCs w:val="24"/>
          <w:lang w:val="x-none" w:eastAsia="x-none"/>
        </w:rPr>
        <w:t>Kontrole zakładów III, IV i V kategorii ryzyka</w:t>
      </w:r>
      <w:bookmarkEnd w:id="81"/>
      <w:bookmarkEnd w:id="82"/>
      <w:bookmarkEnd w:id="83"/>
    </w:p>
    <w:p w14:paraId="2D88AB89" w14:textId="77777777" w:rsidR="00895F16" w:rsidRPr="007F400A" w:rsidRDefault="00895F16" w:rsidP="00056EE7">
      <w:pPr>
        <w:keepNext/>
        <w:spacing w:after="120" w:line="300" w:lineRule="atLeast"/>
        <w:outlineLvl w:val="0"/>
        <w:rPr>
          <w:rFonts w:ascii="Times New Roman" w:eastAsia="Times New Roman" w:hAnsi="Times New Roman" w:cs="Times New Roman"/>
          <w:b/>
          <w:bCs/>
          <w:sz w:val="24"/>
          <w:szCs w:val="24"/>
          <w:lang w:val="x-none" w:eastAsia="x-none"/>
        </w:rPr>
      </w:pPr>
      <w:bookmarkStart w:id="84" w:name="_Toc36732564"/>
      <w:bookmarkStart w:id="85" w:name="_Toc135935591"/>
      <w:r w:rsidRPr="007F400A">
        <w:rPr>
          <w:rFonts w:ascii="Times New Roman" w:eastAsia="Times New Roman" w:hAnsi="Times New Roman" w:cs="Times New Roman"/>
          <w:b/>
          <w:bCs/>
          <w:sz w:val="24"/>
          <w:szCs w:val="24"/>
          <w:lang w:val="x-none" w:eastAsia="x-none"/>
        </w:rPr>
        <w:t>3.3.1 Utrzymanie czystości i porządku w gminach</w:t>
      </w:r>
      <w:bookmarkEnd w:id="84"/>
      <w:bookmarkEnd w:id="85"/>
    </w:p>
    <w:p w14:paraId="6F29694E" w14:textId="77777777" w:rsidR="00895F16" w:rsidRPr="007F400A" w:rsidRDefault="00895F16" w:rsidP="008B67A9">
      <w:pPr>
        <w:spacing w:after="120" w:line="300" w:lineRule="atLeast"/>
        <w:jc w:val="both"/>
        <w:rPr>
          <w:rFonts w:ascii="Times New Roman" w:hAnsi="Times New Roman" w:cs="Times New Roman"/>
          <w:b/>
          <w:bCs/>
          <w:color w:val="000000"/>
          <w:sz w:val="24"/>
          <w:szCs w:val="24"/>
        </w:rPr>
      </w:pPr>
      <w:r w:rsidRPr="007F400A">
        <w:rPr>
          <w:rFonts w:ascii="Times New Roman" w:hAnsi="Times New Roman" w:cs="Times New Roman"/>
          <w:b/>
          <w:bCs/>
          <w:color w:val="000000"/>
          <w:sz w:val="24"/>
          <w:szCs w:val="24"/>
        </w:rPr>
        <w:t>Kontrole gmin</w:t>
      </w:r>
    </w:p>
    <w:p w14:paraId="04E41F4B" w14:textId="77777777" w:rsidR="0088289B" w:rsidRPr="00965BA2" w:rsidRDefault="0088289B" w:rsidP="00AD4299">
      <w:pPr>
        <w:ind w:firstLine="567"/>
        <w:jc w:val="both"/>
        <w:rPr>
          <w:rFonts w:ascii="Times New Roman" w:eastAsia="Times New Roman" w:hAnsi="Times New Roman" w:cs="Times New Roman"/>
          <w:bCs/>
          <w:sz w:val="24"/>
          <w:szCs w:val="24"/>
          <w:lang w:eastAsia="x-none"/>
        </w:rPr>
      </w:pPr>
      <w:bookmarkStart w:id="86" w:name="_Toc132829673"/>
      <w:r w:rsidRPr="00965BA2">
        <w:rPr>
          <w:rFonts w:ascii="Times New Roman" w:eastAsia="Times New Roman" w:hAnsi="Times New Roman" w:cs="Times New Roman"/>
          <w:bCs/>
          <w:sz w:val="24"/>
          <w:szCs w:val="24"/>
          <w:lang w:eastAsia="x-none"/>
        </w:rPr>
        <w:t xml:space="preserve">Wojewódzcy inspektorzy ochrony środowiska przeprowadzili </w:t>
      </w:r>
      <w:r>
        <w:rPr>
          <w:rFonts w:ascii="Times New Roman" w:eastAsia="Times New Roman" w:hAnsi="Times New Roman" w:cs="Times New Roman"/>
          <w:bCs/>
          <w:sz w:val="24"/>
          <w:szCs w:val="24"/>
          <w:lang w:eastAsia="x-none"/>
        </w:rPr>
        <w:t>216</w:t>
      </w:r>
      <w:r w:rsidRPr="00965BA2">
        <w:rPr>
          <w:rFonts w:ascii="Times New Roman" w:eastAsia="Times New Roman" w:hAnsi="Times New Roman" w:cs="Times New Roman"/>
          <w:bCs/>
          <w:sz w:val="24"/>
          <w:szCs w:val="24"/>
          <w:lang w:eastAsia="x-none"/>
        </w:rPr>
        <w:t xml:space="preserve"> kontroli gmin w</w:t>
      </w:r>
      <w:r>
        <w:rPr>
          <w:rFonts w:ascii="Times New Roman" w:eastAsia="Times New Roman" w:hAnsi="Times New Roman" w:cs="Times New Roman"/>
          <w:bCs/>
          <w:sz w:val="24"/>
          <w:szCs w:val="24"/>
          <w:lang w:eastAsia="x-none"/>
        </w:rPr>
        <w:t> </w:t>
      </w:r>
      <w:r w:rsidRPr="00965BA2">
        <w:rPr>
          <w:rFonts w:ascii="Times New Roman" w:eastAsia="Times New Roman" w:hAnsi="Times New Roman" w:cs="Times New Roman"/>
          <w:bCs/>
          <w:sz w:val="24"/>
          <w:szCs w:val="24"/>
          <w:lang w:eastAsia="x-none"/>
        </w:rPr>
        <w:t>zakresie realizacji obowiązków wynikających z ustawy o utrzymaniu czystości i porządku w</w:t>
      </w:r>
      <w:r>
        <w:rPr>
          <w:rFonts w:ascii="Times New Roman" w:eastAsia="Times New Roman" w:hAnsi="Times New Roman" w:cs="Times New Roman"/>
          <w:bCs/>
          <w:sz w:val="24"/>
          <w:szCs w:val="24"/>
          <w:lang w:eastAsia="x-none"/>
        </w:rPr>
        <w:t> </w:t>
      </w:r>
      <w:r w:rsidRPr="00965BA2">
        <w:rPr>
          <w:rFonts w:ascii="Times New Roman" w:eastAsia="Times New Roman" w:hAnsi="Times New Roman" w:cs="Times New Roman"/>
          <w:bCs/>
          <w:sz w:val="24"/>
          <w:szCs w:val="24"/>
          <w:lang w:eastAsia="x-none"/>
        </w:rPr>
        <w:t>gminach w</w:t>
      </w:r>
      <w:r>
        <w:rPr>
          <w:rFonts w:ascii="Times New Roman" w:eastAsia="Times New Roman" w:hAnsi="Times New Roman" w:cs="Times New Roman"/>
          <w:bCs/>
          <w:sz w:val="24"/>
          <w:szCs w:val="24"/>
          <w:lang w:eastAsia="x-none"/>
        </w:rPr>
        <w:t> </w:t>
      </w:r>
      <w:r w:rsidRPr="00965BA2">
        <w:rPr>
          <w:rFonts w:ascii="Times New Roman" w:eastAsia="Times New Roman" w:hAnsi="Times New Roman" w:cs="Times New Roman"/>
          <w:bCs/>
          <w:sz w:val="24"/>
          <w:szCs w:val="24"/>
          <w:lang w:eastAsia="x-none"/>
        </w:rPr>
        <w:t>zakresie gospodarki odpadami komunalnymi.</w:t>
      </w:r>
      <w:bookmarkEnd w:id="86"/>
    </w:p>
    <w:p w14:paraId="3E912A5B" w14:textId="77777777" w:rsidR="0088289B" w:rsidRPr="00965BA2" w:rsidRDefault="0088289B" w:rsidP="008B67A9">
      <w:pPr>
        <w:spacing w:after="6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 xml:space="preserve">Podczas 136 kontroli </w:t>
      </w:r>
      <w:r w:rsidRPr="00965BA2">
        <w:rPr>
          <w:rFonts w:ascii="Times New Roman" w:eastAsia="Times New Roman" w:hAnsi="Times New Roman" w:cs="Times New Roman"/>
          <w:bCs/>
          <w:sz w:val="24"/>
          <w:szCs w:val="24"/>
          <w:lang w:eastAsia="x-none"/>
        </w:rPr>
        <w:t>gmin w zakresie realizacji obowiązków wynikających z ustawy o utrzymaniu czystości i porządku w gminach w zakresie gospodarki odpadami komunalnymi</w:t>
      </w:r>
      <w:r w:rsidRPr="00965BA2">
        <w:rPr>
          <w:rFonts w:ascii="Times New Roman" w:eastAsia="Calibri" w:hAnsi="Times New Roman" w:cs="Times New Roman"/>
          <w:sz w:val="24"/>
          <w:szCs w:val="24"/>
        </w:rPr>
        <w:t xml:space="preserve"> stwierdzono naruszenia przepisów ochrony środowiska, w tym:</w:t>
      </w:r>
    </w:p>
    <w:p w14:paraId="6212C20B" w14:textId="3E19761F" w:rsidR="0088289B" w:rsidRPr="00965BA2" w:rsidRDefault="0088289B" w:rsidP="00D34F97">
      <w:pPr>
        <w:numPr>
          <w:ilvl w:val="0"/>
          <w:numId w:val="82"/>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eastAsia="pl-PL"/>
        </w:rPr>
        <w:t>133 (98%)</w:t>
      </w:r>
      <w:r w:rsidRPr="00965BA2">
        <w:rPr>
          <w:rFonts w:ascii="Times New Roman" w:eastAsia="Calibri" w:hAnsi="Times New Roman" w:cs="Times New Roman"/>
          <w:sz w:val="24"/>
          <w:szCs w:val="24"/>
          <w:lang w:val="x-none" w:eastAsia="pl-PL"/>
        </w:rPr>
        <w:t xml:space="preserve"> </w:t>
      </w:r>
      <w:r w:rsidRPr="00965BA2">
        <w:rPr>
          <w:rFonts w:ascii="Times New Roman" w:eastAsia="Calibri" w:hAnsi="Times New Roman" w:cs="Times New Roman"/>
          <w:sz w:val="24"/>
          <w:szCs w:val="24"/>
          <w:lang w:eastAsia="pl-PL"/>
        </w:rPr>
        <w:t>narusze</w:t>
      </w:r>
      <w:r w:rsidR="008B67A9">
        <w:rPr>
          <w:rFonts w:ascii="Times New Roman" w:eastAsia="Calibri" w:hAnsi="Times New Roman" w:cs="Times New Roman"/>
          <w:sz w:val="24"/>
          <w:szCs w:val="24"/>
          <w:lang w:eastAsia="pl-PL"/>
        </w:rPr>
        <w:t>nia</w:t>
      </w:r>
      <w:r w:rsidRPr="00965BA2">
        <w:rPr>
          <w:rFonts w:ascii="Times New Roman" w:eastAsia="Calibri" w:hAnsi="Times New Roman" w:cs="Times New Roman"/>
          <w:sz w:val="24"/>
          <w:szCs w:val="24"/>
          <w:lang w:val="x-none" w:eastAsia="pl-PL"/>
        </w:rPr>
        <w:t xml:space="preserve"> sklasyfikowan</w:t>
      </w:r>
      <w:r w:rsidR="008B67A9">
        <w:rPr>
          <w:rFonts w:ascii="Times New Roman" w:eastAsia="Calibri" w:hAnsi="Times New Roman" w:cs="Times New Roman"/>
          <w:sz w:val="24"/>
          <w:szCs w:val="24"/>
          <w:lang w:eastAsia="pl-PL"/>
        </w:rPr>
        <w:t>e</w:t>
      </w:r>
      <w:r w:rsidRPr="00965BA2">
        <w:rPr>
          <w:rFonts w:ascii="Times New Roman" w:eastAsia="Calibri" w:hAnsi="Times New Roman" w:cs="Times New Roman"/>
          <w:sz w:val="24"/>
          <w:szCs w:val="24"/>
          <w:lang w:val="x-none" w:eastAsia="pl-PL"/>
        </w:rPr>
        <w:t xml:space="preserve"> jako naruszenia formalne bez istotnego wpływu na środowisko</w:t>
      </w:r>
      <w:r w:rsidRPr="00965BA2">
        <w:rPr>
          <w:rFonts w:ascii="Times New Roman" w:eastAsia="Calibri" w:hAnsi="Times New Roman" w:cs="Times New Roman"/>
          <w:sz w:val="24"/>
          <w:szCs w:val="24"/>
          <w:lang w:eastAsia="pl-PL"/>
        </w:rPr>
        <w:t>,</w:t>
      </w:r>
      <w:r w:rsidRPr="00965BA2">
        <w:rPr>
          <w:rFonts w:ascii="Times New Roman" w:eastAsia="Calibri" w:hAnsi="Times New Roman" w:cs="Times New Roman"/>
          <w:sz w:val="24"/>
          <w:szCs w:val="24"/>
          <w:lang w:val="x-none" w:eastAsia="pl-PL"/>
        </w:rPr>
        <w:t xml:space="preserve"> </w:t>
      </w:r>
    </w:p>
    <w:p w14:paraId="04AB09CC" w14:textId="4649FA77" w:rsidR="0088289B" w:rsidRPr="00965BA2" w:rsidRDefault="0088289B" w:rsidP="00D34F97">
      <w:pPr>
        <w:numPr>
          <w:ilvl w:val="0"/>
          <w:numId w:val="82"/>
        </w:numPr>
        <w:spacing w:after="120" w:line="300" w:lineRule="atLeast"/>
        <w:ind w:left="924" w:hanging="357"/>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eastAsia="pl-PL"/>
        </w:rPr>
        <w:t>3</w:t>
      </w:r>
      <w:r w:rsidRPr="00965BA2">
        <w:rPr>
          <w:rFonts w:ascii="Times New Roman" w:eastAsia="Calibri" w:hAnsi="Times New Roman" w:cs="Times New Roman"/>
          <w:sz w:val="24"/>
          <w:szCs w:val="24"/>
          <w:lang w:val="x-none" w:eastAsia="pl-PL"/>
        </w:rPr>
        <w:t xml:space="preserve"> </w:t>
      </w:r>
      <w:r w:rsidRPr="00965BA2">
        <w:rPr>
          <w:rFonts w:ascii="Times New Roman" w:eastAsia="Calibri" w:hAnsi="Times New Roman" w:cs="Times New Roman"/>
          <w:sz w:val="24"/>
          <w:szCs w:val="24"/>
          <w:lang w:eastAsia="pl-PL"/>
        </w:rPr>
        <w:t>(2%) narusze</w:t>
      </w:r>
      <w:r w:rsidR="008B67A9">
        <w:rPr>
          <w:rFonts w:ascii="Times New Roman" w:eastAsia="Calibri" w:hAnsi="Times New Roman" w:cs="Times New Roman"/>
          <w:sz w:val="24"/>
          <w:szCs w:val="24"/>
          <w:lang w:eastAsia="pl-PL"/>
        </w:rPr>
        <w:t>nia</w:t>
      </w:r>
      <w:r w:rsidRPr="00965BA2">
        <w:rPr>
          <w:rFonts w:ascii="Times New Roman" w:eastAsia="Calibri" w:hAnsi="Times New Roman" w:cs="Times New Roman"/>
          <w:sz w:val="24"/>
          <w:szCs w:val="24"/>
          <w:lang w:eastAsia="pl-PL"/>
        </w:rPr>
        <w:t xml:space="preserve"> sklasyfikowan</w:t>
      </w:r>
      <w:r w:rsidR="008B67A9">
        <w:rPr>
          <w:rFonts w:ascii="Times New Roman" w:eastAsia="Calibri" w:hAnsi="Times New Roman" w:cs="Times New Roman"/>
          <w:sz w:val="24"/>
          <w:szCs w:val="24"/>
          <w:lang w:eastAsia="pl-PL"/>
        </w:rPr>
        <w:t>e</w:t>
      </w:r>
      <w:r w:rsidRPr="00965BA2">
        <w:rPr>
          <w:rFonts w:ascii="Times New Roman" w:eastAsia="Calibri" w:hAnsi="Times New Roman" w:cs="Times New Roman"/>
          <w:sz w:val="24"/>
          <w:szCs w:val="24"/>
          <w:lang w:eastAsia="pl-PL"/>
        </w:rPr>
        <w:t xml:space="preserve"> </w:t>
      </w:r>
      <w:r w:rsidRPr="00965BA2">
        <w:rPr>
          <w:rFonts w:ascii="Times New Roman" w:eastAsia="Calibri" w:hAnsi="Times New Roman" w:cs="Times New Roman"/>
          <w:sz w:val="24"/>
          <w:szCs w:val="24"/>
          <w:lang w:val="x-none" w:eastAsia="pl-PL"/>
        </w:rPr>
        <w:t xml:space="preserve">jako naruszenia mogące spowodować zagrożenie lub zanieczyszczenie środowiska. </w:t>
      </w:r>
    </w:p>
    <w:p w14:paraId="30A39CDE" w14:textId="77777777" w:rsidR="0088289B" w:rsidRPr="00965BA2" w:rsidRDefault="0088289B" w:rsidP="008B67A9">
      <w:pPr>
        <w:spacing w:after="6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 xml:space="preserve">W związku ze stwierdzonymi naruszeniami: </w:t>
      </w:r>
    </w:p>
    <w:p w14:paraId="0FC5CE9D" w14:textId="77777777" w:rsidR="0088289B" w:rsidRPr="00965BA2" w:rsidRDefault="0088289B" w:rsidP="00D34F97">
      <w:pPr>
        <w:numPr>
          <w:ilvl w:val="0"/>
          <w:numId w:val="84"/>
        </w:numPr>
        <w:spacing w:after="0" w:line="300" w:lineRule="atLeast"/>
        <w:ind w:left="924" w:hanging="357"/>
        <w:contextualSpacing/>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lang w:val="x-none"/>
        </w:rPr>
        <w:t xml:space="preserve">wydano </w:t>
      </w:r>
      <w:r w:rsidRPr="00965BA2">
        <w:rPr>
          <w:rFonts w:ascii="Times New Roman" w:eastAsia="Calibri" w:hAnsi="Times New Roman" w:cs="Times New Roman"/>
          <w:sz w:val="24"/>
          <w:szCs w:val="24"/>
        </w:rPr>
        <w:t>36</w:t>
      </w:r>
      <w:r w:rsidRPr="00965BA2">
        <w:rPr>
          <w:rFonts w:ascii="Times New Roman" w:eastAsia="Calibri" w:hAnsi="Times New Roman" w:cs="Times New Roman"/>
          <w:sz w:val="24"/>
          <w:szCs w:val="24"/>
          <w:lang w:val="x-none"/>
        </w:rPr>
        <w:t xml:space="preserve"> zarządze</w:t>
      </w:r>
      <w:r w:rsidRPr="00965BA2">
        <w:rPr>
          <w:rFonts w:ascii="Times New Roman" w:eastAsia="Calibri" w:hAnsi="Times New Roman" w:cs="Times New Roman"/>
          <w:sz w:val="24"/>
          <w:szCs w:val="24"/>
        </w:rPr>
        <w:t>ń</w:t>
      </w:r>
      <w:r w:rsidRPr="00965BA2">
        <w:rPr>
          <w:rFonts w:ascii="Times New Roman" w:eastAsia="Calibri" w:hAnsi="Times New Roman" w:cs="Times New Roman"/>
          <w:sz w:val="24"/>
          <w:szCs w:val="24"/>
          <w:lang w:val="x-none"/>
        </w:rPr>
        <w:t xml:space="preserve"> pokontroln</w:t>
      </w:r>
      <w:r w:rsidRPr="00965BA2">
        <w:rPr>
          <w:rFonts w:ascii="Times New Roman" w:eastAsia="Calibri" w:hAnsi="Times New Roman" w:cs="Times New Roman"/>
          <w:sz w:val="24"/>
          <w:szCs w:val="24"/>
        </w:rPr>
        <w:t>ych</w:t>
      </w:r>
      <w:r w:rsidRPr="00965BA2">
        <w:rPr>
          <w:rFonts w:ascii="Times New Roman" w:eastAsia="Calibri" w:hAnsi="Times New Roman" w:cs="Times New Roman"/>
          <w:sz w:val="24"/>
          <w:szCs w:val="24"/>
          <w:lang w:val="x-none"/>
        </w:rPr>
        <w:t>,</w:t>
      </w:r>
    </w:p>
    <w:p w14:paraId="104CDE9A" w14:textId="77777777" w:rsidR="0088289B" w:rsidRDefault="0088289B" w:rsidP="00D34F97">
      <w:pPr>
        <w:numPr>
          <w:ilvl w:val="0"/>
          <w:numId w:val="84"/>
        </w:numPr>
        <w:spacing w:after="0" w:line="300" w:lineRule="atLeast"/>
        <w:ind w:left="924" w:hanging="357"/>
        <w:contextualSpacing/>
        <w:jc w:val="both"/>
        <w:rPr>
          <w:rFonts w:ascii="Times New Roman" w:eastAsia="Times New Roman" w:hAnsi="Times New Roman" w:cs="Times New Roman"/>
          <w:sz w:val="24"/>
          <w:szCs w:val="24"/>
        </w:rPr>
      </w:pPr>
      <w:r w:rsidRPr="00965BA2">
        <w:rPr>
          <w:rFonts w:ascii="Times New Roman" w:eastAsia="Calibri" w:hAnsi="Times New Roman" w:cs="Times New Roman"/>
          <w:sz w:val="24"/>
          <w:szCs w:val="24"/>
          <w:lang w:val="x-none"/>
        </w:rPr>
        <w:t xml:space="preserve">skierowano </w:t>
      </w:r>
      <w:r w:rsidRPr="00965BA2">
        <w:rPr>
          <w:rFonts w:ascii="Times New Roman" w:eastAsia="Calibri" w:hAnsi="Times New Roman" w:cs="Times New Roman"/>
          <w:sz w:val="24"/>
          <w:szCs w:val="24"/>
        </w:rPr>
        <w:t>5</w:t>
      </w:r>
      <w:r w:rsidRPr="00965BA2">
        <w:rPr>
          <w:rFonts w:ascii="Times New Roman" w:eastAsia="Calibri" w:hAnsi="Times New Roman" w:cs="Times New Roman"/>
          <w:sz w:val="24"/>
          <w:szCs w:val="24"/>
          <w:lang w:val="x-none"/>
        </w:rPr>
        <w:t xml:space="preserve"> wystąpień do innych organów </w:t>
      </w:r>
      <w:r w:rsidRPr="00965BA2">
        <w:rPr>
          <w:rFonts w:ascii="Times New Roman" w:eastAsia="Times New Roman" w:hAnsi="Times New Roman" w:cs="Times New Roman"/>
          <w:sz w:val="24"/>
          <w:szCs w:val="24"/>
          <w:lang w:val="x-none"/>
        </w:rPr>
        <w:t>administracji rządowej i</w:t>
      </w:r>
      <w:r w:rsidRPr="00965BA2">
        <w:rPr>
          <w:rFonts w:ascii="Times New Roman" w:eastAsia="Times New Roman" w:hAnsi="Times New Roman" w:cs="Times New Roman"/>
          <w:sz w:val="24"/>
          <w:szCs w:val="24"/>
        </w:rPr>
        <w:t xml:space="preserve"> </w:t>
      </w:r>
      <w:r w:rsidRPr="00965BA2">
        <w:rPr>
          <w:rFonts w:ascii="Times New Roman" w:eastAsia="Times New Roman" w:hAnsi="Times New Roman" w:cs="Times New Roman"/>
          <w:sz w:val="24"/>
          <w:szCs w:val="24"/>
          <w:lang w:val="x-none"/>
        </w:rPr>
        <w:t>samorządowej</w:t>
      </w:r>
      <w:r w:rsidRPr="00965BA2">
        <w:rPr>
          <w:rFonts w:ascii="Times New Roman" w:eastAsia="Calibri" w:hAnsi="Times New Roman" w:cs="Times New Roman"/>
          <w:sz w:val="24"/>
          <w:szCs w:val="24"/>
          <w:lang w:val="x-none"/>
        </w:rPr>
        <w:t>,</w:t>
      </w:r>
    </w:p>
    <w:p w14:paraId="75DF0621" w14:textId="28995BB6" w:rsidR="00895F16" w:rsidRPr="0088289B" w:rsidRDefault="0088289B" w:rsidP="00D34F97">
      <w:pPr>
        <w:numPr>
          <w:ilvl w:val="0"/>
          <w:numId w:val="84"/>
        </w:numPr>
        <w:spacing w:after="0" w:line="300" w:lineRule="atLeast"/>
        <w:ind w:left="924" w:hanging="357"/>
        <w:contextualSpacing/>
        <w:jc w:val="both"/>
        <w:rPr>
          <w:rFonts w:ascii="Times New Roman" w:eastAsia="Times New Roman" w:hAnsi="Times New Roman" w:cs="Times New Roman"/>
          <w:sz w:val="24"/>
          <w:szCs w:val="24"/>
        </w:rPr>
      </w:pPr>
      <w:r w:rsidRPr="0088289B">
        <w:rPr>
          <w:rFonts w:ascii="Times New Roman" w:eastAsia="Calibri" w:hAnsi="Times New Roman" w:cs="Times New Roman"/>
          <w:sz w:val="24"/>
          <w:szCs w:val="24"/>
          <w:lang w:val="x-none"/>
        </w:rPr>
        <w:t xml:space="preserve">wydano </w:t>
      </w:r>
      <w:r w:rsidRPr="0088289B">
        <w:rPr>
          <w:rFonts w:ascii="Times New Roman" w:eastAsia="Calibri" w:hAnsi="Times New Roman" w:cs="Times New Roman"/>
          <w:sz w:val="24"/>
          <w:szCs w:val="24"/>
        </w:rPr>
        <w:t xml:space="preserve">81 </w:t>
      </w:r>
      <w:r w:rsidRPr="0088289B">
        <w:rPr>
          <w:rFonts w:ascii="Times New Roman" w:eastAsia="Times New Roman" w:hAnsi="Times New Roman" w:cs="Times New Roman"/>
          <w:sz w:val="24"/>
          <w:szCs w:val="24"/>
          <w:lang w:val="x-none"/>
        </w:rPr>
        <w:t>decyzji w sprawie nałożenia kar pieniężnych</w:t>
      </w:r>
      <w:r w:rsidR="00895F16" w:rsidRPr="0088289B">
        <w:rPr>
          <w:rFonts w:ascii="Times New Roman" w:hAnsi="Times New Roman" w:cs="Times New Roman"/>
          <w:sz w:val="24"/>
          <w:szCs w:val="24"/>
        </w:rPr>
        <w:t>.</w:t>
      </w:r>
    </w:p>
    <w:p w14:paraId="1E6018C8" w14:textId="67A364F4" w:rsidR="0088289B" w:rsidRDefault="0088289B" w:rsidP="00056EE7">
      <w:pPr>
        <w:spacing w:after="0" w:line="300" w:lineRule="atLeast"/>
        <w:contextualSpacing/>
        <w:jc w:val="both"/>
        <w:rPr>
          <w:rFonts w:ascii="Times New Roman" w:eastAsia="Times New Roman" w:hAnsi="Times New Roman" w:cs="Times New Roman"/>
          <w:sz w:val="24"/>
          <w:szCs w:val="24"/>
        </w:rPr>
      </w:pPr>
    </w:p>
    <w:p w14:paraId="726FD25D" w14:textId="77777777" w:rsidR="0088289B" w:rsidRPr="00675972" w:rsidRDefault="0088289B" w:rsidP="00056EE7">
      <w:pPr>
        <w:spacing w:after="0" w:line="300" w:lineRule="atLeast"/>
        <w:ind w:firstLine="567"/>
        <w:jc w:val="both"/>
        <w:rPr>
          <w:rFonts w:ascii="Times New Roman" w:hAnsi="Times New Roman" w:cs="Times New Roman"/>
          <w:sz w:val="24"/>
          <w:szCs w:val="24"/>
        </w:rPr>
      </w:pPr>
      <w:r w:rsidRPr="00675972">
        <w:rPr>
          <w:rFonts w:ascii="Times New Roman" w:hAnsi="Times New Roman" w:cs="Times New Roman"/>
          <w:color w:val="000000"/>
          <w:sz w:val="24"/>
          <w:szCs w:val="24"/>
        </w:rPr>
        <w:t xml:space="preserve">W 2022 r. wojewódzcy inspektorzy ochrony środowiska kontrolowali gminy również pod kątem przestrzegania przez wójta, burmistrza, prezydenta miasta, obowiązków wynikających </w:t>
      </w:r>
      <w:r w:rsidRPr="00675972">
        <w:rPr>
          <w:rFonts w:ascii="Times New Roman" w:hAnsi="Times New Roman" w:cs="Times New Roman"/>
          <w:color w:val="000000"/>
          <w:sz w:val="24"/>
          <w:szCs w:val="24"/>
        </w:rPr>
        <w:br/>
        <w:t xml:space="preserve">z ustawy o utrzymaniu czystości i porządku w gminach, w zakresie kontroli pozbywania się nieczystości ciekłych ze zbiorników bezodpływowych przez mieszkańców gmin. </w:t>
      </w:r>
    </w:p>
    <w:p w14:paraId="46E6327F" w14:textId="2EDBBDC1" w:rsidR="0088289B" w:rsidRPr="00675972" w:rsidRDefault="0088289B" w:rsidP="008B67A9">
      <w:pPr>
        <w:spacing w:after="120" w:line="300" w:lineRule="atLeast"/>
        <w:ind w:firstLine="567"/>
        <w:jc w:val="both"/>
        <w:rPr>
          <w:rFonts w:ascii="Times New Roman" w:hAnsi="Times New Roman" w:cs="Times New Roman"/>
          <w:sz w:val="24"/>
          <w:szCs w:val="24"/>
        </w:rPr>
      </w:pPr>
      <w:r w:rsidRPr="00675972">
        <w:rPr>
          <w:rFonts w:ascii="Times New Roman" w:hAnsi="Times New Roman" w:cs="Times New Roman"/>
          <w:sz w:val="24"/>
          <w:szCs w:val="24"/>
        </w:rPr>
        <w:t>W 22 gminach przeprowadzono kontrole planowe oraz w 27 gminach kontrol</w:t>
      </w:r>
      <w:r w:rsidR="00646A2B">
        <w:rPr>
          <w:rFonts w:ascii="Times New Roman" w:hAnsi="Times New Roman" w:cs="Times New Roman"/>
          <w:sz w:val="24"/>
          <w:szCs w:val="24"/>
        </w:rPr>
        <w:t>e</w:t>
      </w:r>
      <w:r w:rsidRPr="00675972">
        <w:rPr>
          <w:rFonts w:ascii="Times New Roman" w:hAnsi="Times New Roman" w:cs="Times New Roman"/>
          <w:sz w:val="24"/>
          <w:szCs w:val="24"/>
        </w:rPr>
        <w:t xml:space="preserve"> pozaplanowe. W 34 przypadkach stwierdzono naruszenia polegające na </w:t>
      </w:r>
      <w:r w:rsidRPr="00675972">
        <w:rPr>
          <w:rFonts w:ascii="Times New Roman" w:eastAsia="Calibri" w:hAnsi="Times New Roman" w:cs="Times New Roman"/>
          <w:sz w:val="24"/>
          <w:szCs w:val="24"/>
          <w:lang w:val="x-none" w:eastAsia="pl-PL"/>
        </w:rPr>
        <w:t>brak</w:t>
      </w:r>
      <w:r w:rsidRPr="00675972">
        <w:rPr>
          <w:rFonts w:ascii="Times New Roman" w:eastAsia="Calibri" w:hAnsi="Times New Roman" w:cs="Times New Roman"/>
          <w:sz w:val="24"/>
          <w:szCs w:val="24"/>
          <w:lang w:eastAsia="pl-PL"/>
        </w:rPr>
        <w:t>u</w:t>
      </w:r>
      <w:r w:rsidRPr="00675972">
        <w:rPr>
          <w:rFonts w:ascii="Times New Roman" w:eastAsia="Calibri" w:hAnsi="Times New Roman" w:cs="Times New Roman"/>
          <w:sz w:val="24"/>
          <w:szCs w:val="24"/>
          <w:lang w:val="x-none" w:eastAsia="pl-PL"/>
        </w:rPr>
        <w:t xml:space="preserve"> sprawowania pełnego nadzoru nad realizacją obowiązków wynikających z przepisów ustawy o utrzymaniu czystości i porządku w gminach dot</w:t>
      </w:r>
      <w:r w:rsidRPr="00675972">
        <w:rPr>
          <w:rFonts w:ascii="Times New Roman" w:eastAsia="Calibri" w:hAnsi="Times New Roman" w:cs="Times New Roman"/>
          <w:sz w:val="24"/>
          <w:szCs w:val="24"/>
          <w:lang w:eastAsia="pl-PL"/>
        </w:rPr>
        <w:t>yczących</w:t>
      </w:r>
      <w:r w:rsidRPr="00675972">
        <w:rPr>
          <w:rFonts w:ascii="Times New Roman" w:eastAsia="Calibri" w:hAnsi="Times New Roman" w:cs="Times New Roman"/>
          <w:sz w:val="24"/>
          <w:szCs w:val="24"/>
          <w:lang w:val="x-none" w:eastAsia="pl-PL"/>
        </w:rPr>
        <w:t xml:space="preserve"> </w:t>
      </w:r>
      <w:r w:rsidRPr="00675972">
        <w:rPr>
          <w:rFonts w:ascii="Times New Roman" w:eastAsia="Calibri" w:hAnsi="Times New Roman" w:cs="Times New Roman"/>
          <w:sz w:val="24"/>
          <w:szCs w:val="24"/>
          <w:lang w:eastAsia="pl-PL"/>
        </w:rPr>
        <w:t>kontroli właścicieli nieruchomości w zakresie pozbywania się przez nich nieczystości ciekłych.</w:t>
      </w:r>
      <w:r w:rsidRPr="00675972">
        <w:rPr>
          <w:rFonts w:ascii="Times New Roman" w:eastAsia="Calibri" w:hAnsi="Times New Roman" w:cs="Times New Roman"/>
          <w:sz w:val="24"/>
          <w:szCs w:val="24"/>
          <w:lang w:val="x-none" w:eastAsia="pl-PL"/>
        </w:rPr>
        <w:t xml:space="preserve"> </w:t>
      </w:r>
    </w:p>
    <w:p w14:paraId="082C1485" w14:textId="77777777" w:rsidR="0088289B" w:rsidRPr="00675972" w:rsidRDefault="0088289B" w:rsidP="008B67A9">
      <w:pPr>
        <w:spacing w:after="60" w:line="300" w:lineRule="atLeast"/>
        <w:ind w:firstLine="567"/>
        <w:jc w:val="both"/>
        <w:rPr>
          <w:rFonts w:ascii="Times New Roman" w:hAnsi="Times New Roman" w:cs="Times New Roman"/>
          <w:sz w:val="24"/>
          <w:szCs w:val="24"/>
        </w:rPr>
      </w:pPr>
      <w:r w:rsidRPr="00675972">
        <w:rPr>
          <w:rFonts w:ascii="Times New Roman" w:hAnsi="Times New Roman" w:cs="Times New Roman"/>
          <w:sz w:val="24"/>
          <w:szCs w:val="24"/>
        </w:rPr>
        <w:t>W związku ze stwierdzonymi naruszeniami wydano:</w:t>
      </w:r>
    </w:p>
    <w:p w14:paraId="1E1BF8C0" w14:textId="77777777" w:rsidR="0088289B" w:rsidRPr="00675972" w:rsidRDefault="0088289B" w:rsidP="00D34F97">
      <w:pPr>
        <w:pStyle w:val="Akapitzlist"/>
        <w:numPr>
          <w:ilvl w:val="0"/>
          <w:numId w:val="160"/>
        </w:numPr>
        <w:spacing w:line="300" w:lineRule="atLeast"/>
        <w:ind w:left="924" w:hanging="357"/>
        <w:jc w:val="both"/>
        <w:rPr>
          <w:color w:val="000000"/>
          <w:sz w:val="24"/>
          <w:szCs w:val="24"/>
        </w:rPr>
      </w:pPr>
      <w:r w:rsidRPr="00675972">
        <w:rPr>
          <w:sz w:val="24"/>
          <w:szCs w:val="24"/>
        </w:rPr>
        <w:lastRenderedPageBreak/>
        <w:t xml:space="preserve">15 zarządzeń pokontrolnych, </w:t>
      </w:r>
    </w:p>
    <w:p w14:paraId="25520253" w14:textId="77777777" w:rsidR="0088289B" w:rsidRPr="0088289B" w:rsidRDefault="0088289B" w:rsidP="00D34F97">
      <w:pPr>
        <w:pStyle w:val="Akapitzlist"/>
        <w:numPr>
          <w:ilvl w:val="0"/>
          <w:numId w:val="160"/>
        </w:numPr>
        <w:spacing w:line="300" w:lineRule="atLeast"/>
        <w:ind w:left="924" w:hanging="357"/>
        <w:jc w:val="both"/>
        <w:rPr>
          <w:rFonts w:eastAsia="Times New Roman"/>
          <w:sz w:val="24"/>
          <w:szCs w:val="24"/>
          <w:lang w:val="pl-PL" w:eastAsia="en-US"/>
        </w:rPr>
      </w:pPr>
      <w:r w:rsidRPr="0088289B">
        <w:rPr>
          <w:sz w:val="24"/>
          <w:szCs w:val="24"/>
        </w:rPr>
        <w:t>10 wystąpień pokontrolnych</w:t>
      </w:r>
      <w:r w:rsidRPr="0088289B">
        <w:rPr>
          <w:sz w:val="24"/>
          <w:szCs w:val="24"/>
          <w:lang w:val="pl-PL"/>
        </w:rPr>
        <w:t>,</w:t>
      </w:r>
      <w:r w:rsidRPr="0088289B">
        <w:rPr>
          <w:sz w:val="24"/>
          <w:szCs w:val="24"/>
        </w:rPr>
        <w:t xml:space="preserve"> </w:t>
      </w:r>
    </w:p>
    <w:p w14:paraId="0264DC9B" w14:textId="274536BF" w:rsidR="0088289B" w:rsidRPr="0088289B" w:rsidRDefault="0088289B" w:rsidP="00D34F97">
      <w:pPr>
        <w:pStyle w:val="Akapitzlist"/>
        <w:numPr>
          <w:ilvl w:val="0"/>
          <w:numId w:val="160"/>
        </w:numPr>
        <w:spacing w:line="300" w:lineRule="atLeast"/>
        <w:ind w:left="924" w:hanging="357"/>
        <w:jc w:val="both"/>
        <w:rPr>
          <w:rFonts w:eastAsia="Times New Roman"/>
          <w:sz w:val="24"/>
          <w:szCs w:val="24"/>
          <w:lang w:val="pl-PL" w:eastAsia="en-US"/>
        </w:rPr>
      </w:pPr>
      <w:r w:rsidRPr="0088289B">
        <w:rPr>
          <w:sz w:val="24"/>
          <w:szCs w:val="24"/>
        </w:rPr>
        <w:t>11 decyzji w sprawie wymierzenia kar pieniężnych.</w:t>
      </w:r>
    </w:p>
    <w:p w14:paraId="07FB1DCC" w14:textId="77777777" w:rsidR="00895F16" w:rsidRPr="007F400A" w:rsidRDefault="00895F16" w:rsidP="00056EE7">
      <w:pPr>
        <w:tabs>
          <w:tab w:val="left" w:pos="567"/>
        </w:tabs>
        <w:spacing w:after="0" w:line="300" w:lineRule="atLeast"/>
        <w:ind w:left="720" w:right="57"/>
        <w:contextualSpacing/>
        <w:jc w:val="both"/>
        <w:rPr>
          <w:rFonts w:ascii="Times New Roman" w:eastAsia="Calibri" w:hAnsi="Times New Roman" w:cs="Times New Roman"/>
          <w:b/>
          <w:sz w:val="24"/>
          <w:szCs w:val="24"/>
          <w:lang w:val="x-none" w:eastAsia="pl-PL"/>
        </w:rPr>
      </w:pPr>
    </w:p>
    <w:p w14:paraId="47B2CDB0" w14:textId="77777777" w:rsidR="00895F16" w:rsidRPr="007F400A" w:rsidRDefault="00895F16" w:rsidP="008B67A9">
      <w:pPr>
        <w:keepNext/>
        <w:spacing w:after="120" w:line="300" w:lineRule="atLeast"/>
        <w:outlineLvl w:val="0"/>
        <w:rPr>
          <w:rFonts w:ascii="Times New Roman" w:eastAsia="Times New Roman" w:hAnsi="Times New Roman" w:cs="Times New Roman"/>
          <w:b/>
          <w:bCs/>
          <w:sz w:val="24"/>
          <w:szCs w:val="24"/>
          <w:lang w:eastAsia="x-none"/>
        </w:rPr>
      </w:pPr>
      <w:bookmarkStart w:id="87" w:name="_Toc135935592"/>
      <w:bookmarkStart w:id="88" w:name="_Toc36732566"/>
      <w:r w:rsidRPr="007F400A">
        <w:rPr>
          <w:rFonts w:ascii="Times New Roman" w:eastAsia="Times New Roman" w:hAnsi="Times New Roman" w:cs="Times New Roman"/>
          <w:b/>
          <w:bCs/>
          <w:sz w:val="24"/>
          <w:szCs w:val="24"/>
          <w:lang w:val="x-none" w:eastAsia="x-none"/>
        </w:rPr>
        <w:t>3.3.</w:t>
      </w:r>
      <w:r w:rsidRPr="007F400A">
        <w:rPr>
          <w:rFonts w:ascii="Times New Roman" w:eastAsia="Times New Roman" w:hAnsi="Times New Roman" w:cs="Times New Roman"/>
          <w:b/>
          <w:bCs/>
          <w:sz w:val="24"/>
          <w:szCs w:val="24"/>
          <w:lang w:eastAsia="x-none"/>
        </w:rPr>
        <w:t>2</w:t>
      </w:r>
      <w:r w:rsidRPr="007F400A">
        <w:rPr>
          <w:rFonts w:ascii="Times New Roman" w:eastAsia="Times New Roman" w:hAnsi="Times New Roman" w:cs="Times New Roman"/>
          <w:b/>
          <w:bCs/>
          <w:sz w:val="24"/>
          <w:szCs w:val="24"/>
          <w:lang w:val="x-none" w:eastAsia="x-none"/>
        </w:rPr>
        <w:t xml:space="preserve"> Instalacje </w:t>
      </w:r>
      <w:r w:rsidRPr="007F400A">
        <w:rPr>
          <w:rFonts w:ascii="Times New Roman" w:eastAsia="Times New Roman" w:hAnsi="Times New Roman" w:cs="Times New Roman"/>
          <w:b/>
          <w:bCs/>
          <w:sz w:val="24"/>
          <w:szCs w:val="24"/>
          <w:lang w:eastAsia="x-none"/>
        </w:rPr>
        <w:t>komunalne</w:t>
      </w:r>
      <w:bookmarkEnd w:id="87"/>
      <w:r w:rsidRPr="007F400A">
        <w:rPr>
          <w:rFonts w:ascii="Times New Roman" w:eastAsia="Times New Roman" w:hAnsi="Times New Roman" w:cs="Times New Roman"/>
          <w:b/>
          <w:bCs/>
          <w:sz w:val="24"/>
          <w:szCs w:val="24"/>
          <w:lang w:eastAsia="x-none"/>
        </w:rPr>
        <w:t xml:space="preserve"> </w:t>
      </w:r>
      <w:bookmarkEnd w:id="88"/>
    </w:p>
    <w:p w14:paraId="77A278B0" w14:textId="77777777" w:rsidR="0088289B" w:rsidRPr="00965BA2" w:rsidRDefault="0088289B" w:rsidP="008B67A9">
      <w:pPr>
        <w:tabs>
          <w:tab w:val="left" w:pos="709"/>
        </w:tabs>
        <w:spacing w:after="6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Wojewódzcy inspektorzy ochrony środowiska przeprowadzili 114 kontroli instalacji do mechaniczno-biologicznego przetwarzania zmieszanych odpadów komunalnych oraz 189 kontroli instalacji do składowania odpadów powstających w procesie mechaniczno-biologicznego przetwarzania niesegregowanych (zmieszanych) odpadów komunalnych oraz pozostałości z sortowania odpadów komunalnych.</w:t>
      </w:r>
    </w:p>
    <w:p w14:paraId="2EFCEA21" w14:textId="77777777" w:rsidR="0088289B" w:rsidRPr="00965BA2" w:rsidRDefault="0088289B" w:rsidP="008B67A9">
      <w:pPr>
        <w:spacing w:after="6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Podczas 53 kontroli instalacji do mechaniczno-biologicznego przetwarzania zmieszanych odpadów komunalnych (46% przypadków) stwierdzono naruszenia przepisów ochrony środowiska, w tym:</w:t>
      </w:r>
    </w:p>
    <w:p w14:paraId="37AEC6EF" w14:textId="77777777" w:rsidR="0088289B" w:rsidRPr="00965BA2" w:rsidRDefault="0088289B" w:rsidP="00D34F97">
      <w:pPr>
        <w:numPr>
          <w:ilvl w:val="0"/>
          <w:numId w:val="82"/>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eastAsia="pl-PL"/>
        </w:rPr>
        <w:t>40 (75%)</w:t>
      </w:r>
      <w:r w:rsidRPr="00965BA2">
        <w:rPr>
          <w:rFonts w:ascii="Times New Roman" w:eastAsia="Calibri" w:hAnsi="Times New Roman" w:cs="Times New Roman"/>
          <w:sz w:val="24"/>
          <w:szCs w:val="24"/>
          <w:lang w:val="x-none" w:eastAsia="pl-PL"/>
        </w:rPr>
        <w:t xml:space="preserve"> </w:t>
      </w:r>
      <w:r w:rsidRPr="00965BA2">
        <w:rPr>
          <w:rFonts w:ascii="Times New Roman" w:eastAsia="Calibri" w:hAnsi="Times New Roman" w:cs="Times New Roman"/>
          <w:sz w:val="24"/>
          <w:szCs w:val="24"/>
          <w:lang w:eastAsia="pl-PL"/>
        </w:rPr>
        <w:t>naruszeń</w:t>
      </w:r>
      <w:r w:rsidRPr="00965BA2">
        <w:rPr>
          <w:rFonts w:ascii="Times New Roman" w:eastAsia="Calibri" w:hAnsi="Times New Roman" w:cs="Times New Roman"/>
          <w:sz w:val="24"/>
          <w:szCs w:val="24"/>
          <w:lang w:val="x-none" w:eastAsia="pl-PL"/>
        </w:rPr>
        <w:t xml:space="preserve"> sklasyfikowan</w:t>
      </w:r>
      <w:r w:rsidRPr="00965BA2">
        <w:rPr>
          <w:rFonts w:ascii="Times New Roman" w:eastAsia="Calibri" w:hAnsi="Times New Roman" w:cs="Times New Roman"/>
          <w:sz w:val="24"/>
          <w:szCs w:val="24"/>
          <w:lang w:eastAsia="pl-PL"/>
        </w:rPr>
        <w:t>ych</w:t>
      </w:r>
      <w:r w:rsidRPr="00965BA2">
        <w:rPr>
          <w:rFonts w:ascii="Times New Roman" w:eastAsia="Calibri" w:hAnsi="Times New Roman" w:cs="Times New Roman"/>
          <w:sz w:val="24"/>
          <w:szCs w:val="24"/>
          <w:lang w:val="x-none" w:eastAsia="pl-PL"/>
        </w:rPr>
        <w:t xml:space="preserve"> jako naruszenia formalne bez istotnego wpływu na środowisko</w:t>
      </w:r>
      <w:r w:rsidRPr="00965BA2">
        <w:rPr>
          <w:rFonts w:ascii="Times New Roman" w:eastAsia="Calibri" w:hAnsi="Times New Roman" w:cs="Times New Roman"/>
          <w:sz w:val="24"/>
          <w:szCs w:val="24"/>
          <w:lang w:eastAsia="pl-PL"/>
        </w:rPr>
        <w:t>,</w:t>
      </w:r>
      <w:r w:rsidRPr="00965BA2">
        <w:rPr>
          <w:rFonts w:ascii="Times New Roman" w:eastAsia="Calibri" w:hAnsi="Times New Roman" w:cs="Times New Roman"/>
          <w:sz w:val="24"/>
          <w:szCs w:val="24"/>
          <w:lang w:val="x-none" w:eastAsia="pl-PL"/>
        </w:rPr>
        <w:t xml:space="preserve"> </w:t>
      </w:r>
    </w:p>
    <w:p w14:paraId="47129B96" w14:textId="77777777" w:rsidR="0088289B" w:rsidRPr="00965BA2" w:rsidRDefault="0088289B" w:rsidP="00D34F97">
      <w:pPr>
        <w:numPr>
          <w:ilvl w:val="0"/>
          <w:numId w:val="82"/>
        </w:numPr>
        <w:spacing w:after="120" w:line="300" w:lineRule="atLeast"/>
        <w:ind w:left="924" w:hanging="357"/>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1</w:t>
      </w:r>
      <w:r w:rsidRPr="00965BA2">
        <w:rPr>
          <w:rFonts w:ascii="Times New Roman" w:eastAsia="Calibri" w:hAnsi="Times New Roman" w:cs="Times New Roman"/>
          <w:sz w:val="24"/>
          <w:szCs w:val="24"/>
          <w:lang w:eastAsia="pl-PL"/>
        </w:rPr>
        <w:t>3</w:t>
      </w:r>
      <w:r w:rsidRPr="00965BA2">
        <w:rPr>
          <w:rFonts w:ascii="Times New Roman" w:eastAsia="Calibri" w:hAnsi="Times New Roman" w:cs="Times New Roman"/>
          <w:sz w:val="24"/>
          <w:szCs w:val="24"/>
          <w:lang w:val="x-none" w:eastAsia="pl-PL"/>
        </w:rPr>
        <w:t xml:space="preserve"> </w:t>
      </w:r>
      <w:r w:rsidRPr="00965BA2">
        <w:rPr>
          <w:rFonts w:ascii="Times New Roman" w:eastAsia="Calibri" w:hAnsi="Times New Roman" w:cs="Times New Roman"/>
          <w:sz w:val="24"/>
          <w:szCs w:val="24"/>
          <w:lang w:eastAsia="pl-PL"/>
        </w:rPr>
        <w:t xml:space="preserve">(25%) naruszeń sklasyfikowanych </w:t>
      </w:r>
      <w:r w:rsidRPr="00965BA2">
        <w:rPr>
          <w:rFonts w:ascii="Times New Roman" w:eastAsia="Calibri" w:hAnsi="Times New Roman" w:cs="Times New Roman"/>
          <w:sz w:val="24"/>
          <w:szCs w:val="24"/>
          <w:lang w:val="x-none" w:eastAsia="pl-PL"/>
        </w:rPr>
        <w:t>jako naruszenia mogące spowodować zagrożenie lub zanieczyszczenie środowiska.</w:t>
      </w:r>
    </w:p>
    <w:p w14:paraId="2FE79E63" w14:textId="77777777" w:rsidR="0088289B" w:rsidRPr="00965BA2" w:rsidRDefault="0088289B" w:rsidP="008B67A9">
      <w:pPr>
        <w:spacing w:after="6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Podczas 66 kontroli instalacji do składowania odpadów powstających w procesie mechaniczno-biologicznego przetwarzania niesegregowanych (zmieszanych) odpadów komunalnych oraz pozostałości z sortowania odpadów komunalnych (</w:t>
      </w:r>
      <w:r>
        <w:rPr>
          <w:rFonts w:ascii="Times New Roman" w:eastAsia="Calibri" w:hAnsi="Times New Roman" w:cs="Times New Roman"/>
          <w:sz w:val="24"/>
          <w:szCs w:val="24"/>
        </w:rPr>
        <w:t xml:space="preserve">35% </w:t>
      </w:r>
      <w:r w:rsidRPr="00965BA2">
        <w:rPr>
          <w:rFonts w:ascii="Times New Roman" w:eastAsia="Calibri" w:hAnsi="Times New Roman" w:cs="Times New Roman"/>
          <w:sz w:val="24"/>
          <w:szCs w:val="24"/>
        </w:rPr>
        <w:t>przypadków) stwierdzono naruszenia przepisów ochrony środowiska, w tym:</w:t>
      </w:r>
    </w:p>
    <w:p w14:paraId="63B40E16" w14:textId="77777777" w:rsidR="0088289B" w:rsidRPr="00965BA2" w:rsidRDefault="0088289B" w:rsidP="00D34F97">
      <w:pPr>
        <w:numPr>
          <w:ilvl w:val="0"/>
          <w:numId w:val="83"/>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eastAsia="pl-PL"/>
        </w:rPr>
        <w:t>51</w:t>
      </w:r>
      <w:r w:rsidRPr="00965BA2">
        <w:rPr>
          <w:rFonts w:ascii="Times New Roman" w:eastAsia="Calibri" w:hAnsi="Times New Roman" w:cs="Times New Roman"/>
          <w:sz w:val="24"/>
          <w:szCs w:val="24"/>
          <w:lang w:val="x-none" w:eastAsia="pl-PL"/>
        </w:rPr>
        <w:t xml:space="preserve"> </w:t>
      </w:r>
      <w:r w:rsidRPr="00965BA2">
        <w:rPr>
          <w:rFonts w:ascii="Times New Roman" w:eastAsia="Calibri" w:hAnsi="Times New Roman" w:cs="Times New Roman"/>
          <w:sz w:val="24"/>
          <w:szCs w:val="24"/>
          <w:lang w:eastAsia="pl-PL"/>
        </w:rPr>
        <w:t>(77%) naruszeń</w:t>
      </w:r>
      <w:r w:rsidRPr="00965BA2">
        <w:rPr>
          <w:rFonts w:ascii="Times New Roman" w:eastAsia="Calibri" w:hAnsi="Times New Roman" w:cs="Times New Roman"/>
          <w:sz w:val="24"/>
          <w:szCs w:val="24"/>
          <w:lang w:val="x-none" w:eastAsia="pl-PL"/>
        </w:rPr>
        <w:t xml:space="preserve"> sklasyfikowan</w:t>
      </w:r>
      <w:r w:rsidRPr="00965BA2">
        <w:rPr>
          <w:rFonts w:ascii="Times New Roman" w:eastAsia="Calibri" w:hAnsi="Times New Roman" w:cs="Times New Roman"/>
          <w:sz w:val="24"/>
          <w:szCs w:val="24"/>
          <w:lang w:eastAsia="pl-PL"/>
        </w:rPr>
        <w:t>ych</w:t>
      </w:r>
      <w:r w:rsidRPr="00965BA2">
        <w:rPr>
          <w:rFonts w:ascii="Times New Roman" w:eastAsia="Calibri" w:hAnsi="Times New Roman" w:cs="Times New Roman"/>
          <w:sz w:val="24"/>
          <w:szCs w:val="24"/>
          <w:lang w:val="x-none" w:eastAsia="pl-PL"/>
        </w:rPr>
        <w:t xml:space="preserve"> jako naruszenia formalne bez istotnego wpływu na środowisko, </w:t>
      </w:r>
    </w:p>
    <w:p w14:paraId="0D8D3ED5" w14:textId="77777777" w:rsidR="0088289B" w:rsidRPr="00965BA2" w:rsidRDefault="0088289B" w:rsidP="00D34F97">
      <w:pPr>
        <w:numPr>
          <w:ilvl w:val="0"/>
          <w:numId w:val="83"/>
        </w:numPr>
        <w:spacing w:after="120" w:line="300" w:lineRule="atLeast"/>
        <w:ind w:left="924" w:hanging="357"/>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1</w:t>
      </w:r>
      <w:r w:rsidRPr="00965BA2">
        <w:rPr>
          <w:rFonts w:ascii="Times New Roman" w:eastAsia="Calibri" w:hAnsi="Times New Roman" w:cs="Times New Roman"/>
          <w:sz w:val="24"/>
          <w:szCs w:val="24"/>
          <w:lang w:eastAsia="pl-PL"/>
        </w:rPr>
        <w:t>5 (23%) naruszeń sklasyfikowanych</w:t>
      </w:r>
      <w:r w:rsidRPr="00965BA2">
        <w:rPr>
          <w:rFonts w:ascii="Times New Roman" w:eastAsia="Calibri" w:hAnsi="Times New Roman" w:cs="Times New Roman"/>
          <w:sz w:val="24"/>
          <w:szCs w:val="24"/>
          <w:lang w:val="x-none" w:eastAsia="pl-PL"/>
        </w:rPr>
        <w:t xml:space="preserve"> jako naruszenia mogące spowodować zagrożenie lub zanieczyszczenie środowiska.</w:t>
      </w:r>
    </w:p>
    <w:p w14:paraId="7EB026E0" w14:textId="77777777" w:rsidR="0088289B" w:rsidRPr="00965BA2" w:rsidRDefault="0088289B" w:rsidP="008B67A9">
      <w:pPr>
        <w:spacing w:after="6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 xml:space="preserve">W związku ze stwierdzonymi naruszeniami: </w:t>
      </w:r>
    </w:p>
    <w:p w14:paraId="46D053BD" w14:textId="77777777" w:rsidR="0088289B" w:rsidRPr="00965BA2" w:rsidRDefault="0088289B" w:rsidP="00D34F97">
      <w:pPr>
        <w:numPr>
          <w:ilvl w:val="0"/>
          <w:numId w:val="84"/>
        </w:numPr>
        <w:spacing w:after="0" w:line="300" w:lineRule="atLeast"/>
        <w:ind w:left="924" w:hanging="357"/>
        <w:contextualSpacing/>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lang w:val="x-none"/>
        </w:rPr>
        <w:t xml:space="preserve">udzielono </w:t>
      </w:r>
      <w:r w:rsidRPr="00965BA2">
        <w:rPr>
          <w:rFonts w:ascii="Times New Roman" w:eastAsia="Calibri" w:hAnsi="Times New Roman" w:cs="Times New Roman"/>
          <w:sz w:val="24"/>
          <w:szCs w:val="24"/>
        </w:rPr>
        <w:t>60</w:t>
      </w:r>
      <w:r w:rsidRPr="00965BA2">
        <w:rPr>
          <w:rFonts w:ascii="Times New Roman" w:eastAsia="Calibri" w:hAnsi="Times New Roman" w:cs="Times New Roman"/>
          <w:sz w:val="24"/>
          <w:szCs w:val="24"/>
          <w:lang w:val="x-none"/>
        </w:rPr>
        <w:t xml:space="preserve"> pouczeń,</w:t>
      </w:r>
    </w:p>
    <w:p w14:paraId="412956F2" w14:textId="77777777" w:rsidR="0088289B" w:rsidRPr="00965BA2" w:rsidRDefault="0088289B" w:rsidP="00D34F97">
      <w:pPr>
        <w:numPr>
          <w:ilvl w:val="0"/>
          <w:numId w:val="84"/>
        </w:numPr>
        <w:spacing w:after="0" w:line="300" w:lineRule="atLeast"/>
        <w:ind w:left="924" w:hanging="357"/>
        <w:contextualSpacing/>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lang w:val="x-none"/>
        </w:rPr>
        <w:t xml:space="preserve">nałożono </w:t>
      </w:r>
      <w:r w:rsidRPr="00965BA2">
        <w:rPr>
          <w:rFonts w:ascii="Times New Roman" w:eastAsia="Calibri" w:hAnsi="Times New Roman" w:cs="Times New Roman"/>
          <w:sz w:val="24"/>
          <w:szCs w:val="24"/>
        </w:rPr>
        <w:t>62</w:t>
      </w:r>
      <w:r w:rsidRPr="00965BA2">
        <w:rPr>
          <w:rFonts w:ascii="Times New Roman" w:eastAsia="Calibri" w:hAnsi="Times New Roman" w:cs="Times New Roman"/>
          <w:sz w:val="24"/>
          <w:szCs w:val="24"/>
          <w:lang w:val="x-none"/>
        </w:rPr>
        <w:t xml:space="preserve"> mandat</w:t>
      </w:r>
      <w:r w:rsidRPr="00965BA2">
        <w:rPr>
          <w:rFonts w:ascii="Times New Roman" w:eastAsia="Calibri" w:hAnsi="Times New Roman" w:cs="Times New Roman"/>
          <w:sz w:val="24"/>
          <w:szCs w:val="24"/>
        </w:rPr>
        <w:t>y</w:t>
      </w:r>
      <w:r w:rsidRPr="00965BA2">
        <w:rPr>
          <w:rFonts w:ascii="Times New Roman" w:eastAsia="Calibri" w:hAnsi="Times New Roman" w:cs="Times New Roman"/>
          <w:sz w:val="24"/>
          <w:szCs w:val="24"/>
          <w:lang w:val="x-none"/>
        </w:rPr>
        <w:t xml:space="preserve"> karn</w:t>
      </w:r>
      <w:r w:rsidRPr="00965BA2">
        <w:rPr>
          <w:rFonts w:ascii="Times New Roman" w:eastAsia="Calibri" w:hAnsi="Times New Roman" w:cs="Times New Roman"/>
          <w:sz w:val="24"/>
          <w:szCs w:val="24"/>
        </w:rPr>
        <w:t>e</w:t>
      </w:r>
      <w:r w:rsidRPr="00965BA2">
        <w:rPr>
          <w:rFonts w:ascii="Times New Roman" w:eastAsia="Calibri" w:hAnsi="Times New Roman" w:cs="Times New Roman"/>
          <w:sz w:val="24"/>
          <w:szCs w:val="24"/>
          <w:lang w:val="x-none"/>
        </w:rPr>
        <w:t>,</w:t>
      </w:r>
    </w:p>
    <w:p w14:paraId="69F96138" w14:textId="77777777" w:rsidR="0088289B" w:rsidRPr="00965BA2" w:rsidRDefault="0088289B" w:rsidP="00D34F97">
      <w:pPr>
        <w:numPr>
          <w:ilvl w:val="0"/>
          <w:numId w:val="84"/>
        </w:numPr>
        <w:spacing w:after="0" w:line="300" w:lineRule="atLeast"/>
        <w:ind w:left="924" w:hanging="357"/>
        <w:contextualSpacing/>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lang w:val="x-none"/>
        </w:rPr>
        <w:t xml:space="preserve">skierowano </w:t>
      </w:r>
      <w:r w:rsidRPr="00965BA2">
        <w:rPr>
          <w:rFonts w:ascii="Times New Roman" w:eastAsia="Calibri" w:hAnsi="Times New Roman" w:cs="Times New Roman"/>
          <w:sz w:val="24"/>
          <w:szCs w:val="24"/>
        </w:rPr>
        <w:t>2</w:t>
      </w:r>
      <w:r w:rsidRPr="00965BA2">
        <w:rPr>
          <w:rFonts w:ascii="Times New Roman" w:eastAsia="Calibri" w:hAnsi="Times New Roman" w:cs="Times New Roman"/>
          <w:sz w:val="24"/>
          <w:szCs w:val="24"/>
          <w:lang w:val="x-none"/>
        </w:rPr>
        <w:t xml:space="preserve"> wniosk</w:t>
      </w:r>
      <w:r w:rsidRPr="00965BA2">
        <w:rPr>
          <w:rFonts w:ascii="Times New Roman" w:eastAsia="Calibri" w:hAnsi="Times New Roman" w:cs="Times New Roman"/>
          <w:sz w:val="24"/>
          <w:szCs w:val="24"/>
        </w:rPr>
        <w:t>i</w:t>
      </w:r>
      <w:r w:rsidRPr="00965BA2">
        <w:rPr>
          <w:rFonts w:ascii="Times New Roman" w:eastAsia="Calibri" w:hAnsi="Times New Roman" w:cs="Times New Roman"/>
          <w:sz w:val="24"/>
          <w:szCs w:val="24"/>
          <w:lang w:val="x-none"/>
        </w:rPr>
        <w:t xml:space="preserve"> do sądów </w:t>
      </w:r>
      <w:r w:rsidRPr="00965BA2">
        <w:rPr>
          <w:rFonts w:ascii="Times New Roman" w:eastAsia="Calibri" w:hAnsi="Times New Roman" w:cs="Times New Roman"/>
          <w:sz w:val="24"/>
          <w:szCs w:val="24"/>
        </w:rPr>
        <w:t>o ukaranie karą grzywny,</w:t>
      </w:r>
    </w:p>
    <w:p w14:paraId="1F13A359" w14:textId="77777777" w:rsidR="0088289B" w:rsidRPr="00965BA2" w:rsidRDefault="0088289B" w:rsidP="00D34F97">
      <w:pPr>
        <w:numPr>
          <w:ilvl w:val="0"/>
          <w:numId w:val="84"/>
        </w:numPr>
        <w:spacing w:after="0" w:line="300" w:lineRule="atLeast"/>
        <w:ind w:left="924" w:hanging="357"/>
        <w:contextualSpacing/>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lang w:val="x-none"/>
        </w:rPr>
        <w:t>wydano 6</w:t>
      </w:r>
      <w:r w:rsidRPr="00965BA2">
        <w:rPr>
          <w:rFonts w:ascii="Times New Roman" w:eastAsia="Calibri" w:hAnsi="Times New Roman" w:cs="Times New Roman"/>
          <w:sz w:val="24"/>
          <w:szCs w:val="24"/>
        </w:rPr>
        <w:t>8</w:t>
      </w:r>
      <w:r w:rsidRPr="00965BA2">
        <w:rPr>
          <w:rFonts w:ascii="Times New Roman" w:eastAsia="Calibri" w:hAnsi="Times New Roman" w:cs="Times New Roman"/>
          <w:sz w:val="24"/>
          <w:szCs w:val="24"/>
          <w:lang w:val="x-none"/>
        </w:rPr>
        <w:t xml:space="preserve"> zarządze</w:t>
      </w:r>
      <w:r w:rsidRPr="00965BA2">
        <w:rPr>
          <w:rFonts w:ascii="Times New Roman" w:eastAsia="Calibri" w:hAnsi="Times New Roman" w:cs="Times New Roman"/>
          <w:sz w:val="24"/>
          <w:szCs w:val="24"/>
        </w:rPr>
        <w:t>ń</w:t>
      </w:r>
      <w:r w:rsidRPr="00965BA2">
        <w:rPr>
          <w:rFonts w:ascii="Times New Roman" w:eastAsia="Calibri" w:hAnsi="Times New Roman" w:cs="Times New Roman"/>
          <w:sz w:val="24"/>
          <w:szCs w:val="24"/>
          <w:lang w:val="x-none"/>
        </w:rPr>
        <w:t xml:space="preserve"> pokontroln</w:t>
      </w:r>
      <w:r w:rsidRPr="00965BA2">
        <w:rPr>
          <w:rFonts w:ascii="Times New Roman" w:eastAsia="Calibri" w:hAnsi="Times New Roman" w:cs="Times New Roman"/>
          <w:sz w:val="24"/>
          <w:szCs w:val="24"/>
        </w:rPr>
        <w:t>ych</w:t>
      </w:r>
      <w:r w:rsidRPr="00965BA2">
        <w:rPr>
          <w:rFonts w:ascii="Times New Roman" w:eastAsia="Calibri" w:hAnsi="Times New Roman" w:cs="Times New Roman"/>
          <w:sz w:val="24"/>
          <w:szCs w:val="24"/>
          <w:lang w:val="x-none"/>
        </w:rPr>
        <w:t>,</w:t>
      </w:r>
    </w:p>
    <w:p w14:paraId="4F6E466D" w14:textId="77777777" w:rsidR="0088289B" w:rsidRPr="00965BA2" w:rsidRDefault="0088289B" w:rsidP="00D34F97">
      <w:pPr>
        <w:numPr>
          <w:ilvl w:val="0"/>
          <w:numId w:val="84"/>
        </w:numPr>
        <w:spacing w:after="0" w:line="300" w:lineRule="atLeast"/>
        <w:ind w:left="924" w:hanging="357"/>
        <w:contextualSpacing/>
        <w:jc w:val="both"/>
        <w:rPr>
          <w:rFonts w:ascii="Times New Roman" w:eastAsia="Times New Roman" w:hAnsi="Times New Roman" w:cs="Times New Roman"/>
          <w:sz w:val="24"/>
          <w:szCs w:val="24"/>
        </w:rPr>
      </w:pPr>
      <w:r w:rsidRPr="00965BA2">
        <w:rPr>
          <w:rFonts w:ascii="Times New Roman" w:eastAsia="Calibri" w:hAnsi="Times New Roman" w:cs="Times New Roman"/>
          <w:sz w:val="24"/>
          <w:szCs w:val="24"/>
          <w:lang w:val="x-none"/>
        </w:rPr>
        <w:t xml:space="preserve">skierowano </w:t>
      </w:r>
      <w:r w:rsidRPr="00965BA2">
        <w:rPr>
          <w:rFonts w:ascii="Times New Roman" w:eastAsia="Calibri" w:hAnsi="Times New Roman" w:cs="Times New Roman"/>
          <w:sz w:val="24"/>
          <w:szCs w:val="24"/>
        </w:rPr>
        <w:t>66</w:t>
      </w:r>
      <w:r w:rsidRPr="00965BA2">
        <w:rPr>
          <w:rFonts w:ascii="Times New Roman" w:eastAsia="Calibri" w:hAnsi="Times New Roman" w:cs="Times New Roman"/>
          <w:sz w:val="24"/>
          <w:szCs w:val="24"/>
          <w:lang w:val="x-none"/>
        </w:rPr>
        <w:t xml:space="preserve"> wystąpień do innych organów </w:t>
      </w:r>
      <w:r w:rsidRPr="00965BA2">
        <w:rPr>
          <w:rFonts w:ascii="Times New Roman" w:eastAsia="Times New Roman" w:hAnsi="Times New Roman" w:cs="Times New Roman"/>
          <w:sz w:val="24"/>
          <w:szCs w:val="24"/>
          <w:lang w:val="x-none"/>
        </w:rPr>
        <w:t>administracji rządowej i</w:t>
      </w:r>
      <w:r w:rsidRPr="00965BA2">
        <w:rPr>
          <w:rFonts w:ascii="Times New Roman" w:eastAsia="Times New Roman" w:hAnsi="Times New Roman" w:cs="Times New Roman"/>
          <w:sz w:val="24"/>
          <w:szCs w:val="24"/>
        </w:rPr>
        <w:t xml:space="preserve"> </w:t>
      </w:r>
      <w:r w:rsidRPr="00965BA2">
        <w:rPr>
          <w:rFonts w:ascii="Times New Roman" w:eastAsia="Times New Roman" w:hAnsi="Times New Roman" w:cs="Times New Roman"/>
          <w:sz w:val="24"/>
          <w:szCs w:val="24"/>
          <w:lang w:val="x-none"/>
        </w:rPr>
        <w:t>samorządowej</w:t>
      </w:r>
      <w:r w:rsidRPr="00965BA2">
        <w:rPr>
          <w:rFonts w:ascii="Times New Roman" w:eastAsia="Calibri" w:hAnsi="Times New Roman" w:cs="Times New Roman"/>
          <w:sz w:val="24"/>
          <w:szCs w:val="24"/>
          <w:lang w:val="x-none"/>
        </w:rPr>
        <w:t>,</w:t>
      </w:r>
    </w:p>
    <w:p w14:paraId="1DB24465" w14:textId="5490AD2C" w:rsidR="00895F16" w:rsidRPr="007F400A" w:rsidRDefault="0088289B" w:rsidP="00D34F97">
      <w:pPr>
        <w:numPr>
          <w:ilvl w:val="0"/>
          <w:numId w:val="84"/>
        </w:numPr>
        <w:spacing w:after="0" w:line="300" w:lineRule="atLeast"/>
        <w:ind w:left="924" w:hanging="357"/>
        <w:contextualSpacing/>
        <w:jc w:val="both"/>
        <w:rPr>
          <w:rFonts w:ascii="Times New Roman" w:eastAsia="Times New Roman" w:hAnsi="Times New Roman" w:cs="Times New Roman"/>
          <w:sz w:val="24"/>
          <w:szCs w:val="24"/>
        </w:rPr>
      </w:pPr>
      <w:r w:rsidRPr="00965BA2">
        <w:rPr>
          <w:rFonts w:ascii="Times New Roman" w:eastAsia="Calibri" w:hAnsi="Times New Roman" w:cs="Times New Roman"/>
          <w:sz w:val="24"/>
          <w:szCs w:val="24"/>
          <w:lang w:val="x-none"/>
        </w:rPr>
        <w:t xml:space="preserve">wydano </w:t>
      </w:r>
      <w:r w:rsidRPr="00965BA2">
        <w:rPr>
          <w:rFonts w:ascii="Times New Roman" w:eastAsia="Calibri" w:hAnsi="Times New Roman" w:cs="Times New Roman"/>
          <w:sz w:val="24"/>
          <w:szCs w:val="24"/>
        </w:rPr>
        <w:t>5</w:t>
      </w:r>
      <w:r w:rsidRPr="00965BA2">
        <w:rPr>
          <w:rFonts w:ascii="Times New Roman" w:eastAsia="Calibri" w:hAnsi="Times New Roman" w:cs="Times New Roman"/>
          <w:sz w:val="24"/>
          <w:szCs w:val="24"/>
          <w:lang w:val="x-none"/>
        </w:rPr>
        <w:t xml:space="preserve"> </w:t>
      </w:r>
      <w:r w:rsidRPr="00965BA2">
        <w:rPr>
          <w:rFonts w:ascii="Times New Roman" w:eastAsia="Times New Roman" w:hAnsi="Times New Roman" w:cs="Times New Roman"/>
          <w:sz w:val="24"/>
          <w:szCs w:val="24"/>
          <w:lang w:val="x-none"/>
        </w:rPr>
        <w:t>decyzji w sprawie nałożenia kar pieniężnych</w:t>
      </w:r>
      <w:r w:rsidR="00895F16" w:rsidRPr="007F400A">
        <w:rPr>
          <w:rFonts w:ascii="Times New Roman" w:eastAsia="Times New Roman" w:hAnsi="Times New Roman" w:cs="Times New Roman"/>
          <w:sz w:val="24"/>
          <w:szCs w:val="24"/>
        </w:rPr>
        <w:t>.</w:t>
      </w:r>
    </w:p>
    <w:p w14:paraId="5AF6A943" w14:textId="77777777" w:rsidR="00895F16" w:rsidRPr="007F400A" w:rsidRDefault="00895F16" w:rsidP="00056EE7">
      <w:pPr>
        <w:spacing w:after="0" w:line="300" w:lineRule="atLeast"/>
        <w:ind w:left="1429"/>
        <w:contextualSpacing/>
        <w:jc w:val="both"/>
        <w:rPr>
          <w:rFonts w:ascii="Times New Roman" w:eastAsia="Calibri" w:hAnsi="Times New Roman" w:cs="Times New Roman"/>
          <w:sz w:val="24"/>
          <w:szCs w:val="24"/>
          <w:lang w:val="x-none" w:eastAsia="pl-PL"/>
        </w:rPr>
      </w:pPr>
    </w:p>
    <w:p w14:paraId="43C84F9F" w14:textId="73861DBA" w:rsidR="00895F16" w:rsidRPr="007F400A" w:rsidRDefault="00895F16" w:rsidP="008B67A9">
      <w:pPr>
        <w:keepNext/>
        <w:spacing w:after="120" w:line="300" w:lineRule="atLeast"/>
        <w:jc w:val="both"/>
        <w:outlineLvl w:val="0"/>
        <w:rPr>
          <w:rFonts w:ascii="Times New Roman" w:eastAsia="Times New Roman" w:hAnsi="Times New Roman" w:cs="Times New Roman"/>
          <w:b/>
          <w:bCs/>
          <w:sz w:val="24"/>
          <w:szCs w:val="24"/>
          <w:lang w:val="x-none" w:eastAsia="x-none"/>
        </w:rPr>
      </w:pPr>
      <w:bookmarkStart w:id="89" w:name="_Toc36732567"/>
      <w:bookmarkStart w:id="90" w:name="_Toc135935593"/>
      <w:r w:rsidRPr="007F400A">
        <w:rPr>
          <w:rFonts w:ascii="Times New Roman" w:eastAsia="Times New Roman" w:hAnsi="Times New Roman" w:cs="Times New Roman"/>
          <w:b/>
          <w:bCs/>
          <w:sz w:val="24"/>
          <w:szCs w:val="24"/>
          <w:lang w:val="x-none" w:eastAsia="x-none"/>
        </w:rPr>
        <w:t>3.3.</w:t>
      </w:r>
      <w:r w:rsidRPr="007F400A">
        <w:rPr>
          <w:rFonts w:ascii="Times New Roman" w:eastAsia="Times New Roman" w:hAnsi="Times New Roman" w:cs="Times New Roman"/>
          <w:b/>
          <w:bCs/>
          <w:sz w:val="24"/>
          <w:szCs w:val="24"/>
          <w:lang w:eastAsia="x-none"/>
        </w:rPr>
        <w:t>3</w:t>
      </w:r>
      <w:r w:rsidRPr="007F400A">
        <w:rPr>
          <w:rFonts w:ascii="Times New Roman" w:eastAsia="Times New Roman" w:hAnsi="Times New Roman" w:cs="Times New Roman"/>
          <w:b/>
          <w:bCs/>
          <w:sz w:val="24"/>
          <w:szCs w:val="24"/>
          <w:lang w:val="x-none" w:eastAsia="x-none"/>
        </w:rPr>
        <w:t xml:space="preserve"> Działania podejmowane w walce z </w:t>
      </w:r>
      <w:r w:rsidRPr="007F400A">
        <w:rPr>
          <w:rFonts w:ascii="Times New Roman" w:eastAsia="Times New Roman" w:hAnsi="Times New Roman" w:cs="Times New Roman"/>
          <w:b/>
          <w:bCs/>
          <w:sz w:val="24"/>
          <w:szCs w:val="24"/>
          <w:lang w:eastAsia="x-none"/>
        </w:rPr>
        <w:t>nielegalną działalnością</w:t>
      </w:r>
      <w:r w:rsidR="004966BE" w:rsidRPr="007F400A">
        <w:rPr>
          <w:rFonts w:ascii="Times New Roman" w:eastAsia="Times New Roman" w:hAnsi="Times New Roman" w:cs="Times New Roman"/>
          <w:b/>
          <w:bCs/>
          <w:sz w:val="24"/>
          <w:szCs w:val="24"/>
          <w:lang w:eastAsia="x-none"/>
        </w:rPr>
        <w:t xml:space="preserve"> </w:t>
      </w:r>
      <w:r w:rsidRPr="007F400A">
        <w:rPr>
          <w:rFonts w:ascii="Times New Roman" w:eastAsia="Times New Roman" w:hAnsi="Times New Roman" w:cs="Times New Roman"/>
          <w:b/>
          <w:bCs/>
          <w:sz w:val="24"/>
          <w:szCs w:val="24"/>
          <w:lang w:val="x-none" w:eastAsia="x-none"/>
        </w:rPr>
        <w:t>w gospodarce odpadami</w:t>
      </w:r>
      <w:bookmarkEnd w:id="89"/>
      <w:bookmarkEnd w:id="90"/>
    </w:p>
    <w:p w14:paraId="16E46C11" w14:textId="339D42C6" w:rsidR="0088289B" w:rsidRPr="00965BA2" w:rsidRDefault="0088289B" w:rsidP="008B67A9">
      <w:pPr>
        <w:spacing w:after="6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W 2022 r. wojewódzcy inspektorzy ochrony środowiska zidentyfikowali 1 446 zdarze</w:t>
      </w:r>
      <w:r w:rsidR="008B67A9">
        <w:rPr>
          <w:rFonts w:ascii="Times New Roman" w:eastAsia="Calibri" w:hAnsi="Times New Roman" w:cs="Times New Roman"/>
          <w:sz w:val="24"/>
          <w:szCs w:val="24"/>
        </w:rPr>
        <w:t>ń</w:t>
      </w:r>
      <w:r w:rsidRPr="00965BA2">
        <w:rPr>
          <w:rFonts w:ascii="Times New Roman" w:eastAsia="Calibri" w:hAnsi="Times New Roman" w:cs="Times New Roman"/>
          <w:sz w:val="24"/>
          <w:szCs w:val="24"/>
        </w:rPr>
        <w:t xml:space="preserve"> jako przypadki gospodarowania odpadami w tzw. „szarej strefie.</w:t>
      </w:r>
    </w:p>
    <w:p w14:paraId="5412932E" w14:textId="77777777" w:rsidR="0088289B" w:rsidRPr="00965BA2" w:rsidRDefault="0088289B" w:rsidP="008B67A9">
      <w:pPr>
        <w:spacing w:after="6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W 2022 r. wojewódzcy inspektorzy ochrony środowiska stwierdzili przypadki prowadzenia gospodarki odpadami niezgodnie z obowiązującymi przepisami lub całkowicie nielegalnie, w przedstawionych poniżej obszarach:</w:t>
      </w:r>
    </w:p>
    <w:p w14:paraId="67A51EBB" w14:textId="77777777" w:rsidR="0088289B" w:rsidRPr="00965BA2" w:rsidRDefault="0088289B" w:rsidP="00D34F97">
      <w:pPr>
        <w:numPr>
          <w:ilvl w:val="0"/>
          <w:numId w:val="85"/>
        </w:numPr>
        <w:spacing w:after="0" w:line="300" w:lineRule="atLeast"/>
        <w:ind w:left="851" w:hanging="284"/>
        <w:contextualSpacing/>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lang w:val="x-none"/>
        </w:rPr>
        <w:t>Rekultywacja wyrobisk poeksploatacyjnych poprzez przetwarzanie odpadów nieujętych w</w:t>
      </w:r>
      <w:r w:rsidRPr="00965BA2">
        <w:rPr>
          <w:rFonts w:ascii="Times New Roman" w:eastAsia="Calibri" w:hAnsi="Times New Roman" w:cs="Times New Roman"/>
          <w:sz w:val="24"/>
          <w:szCs w:val="24"/>
        </w:rPr>
        <w:t xml:space="preserve"> </w:t>
      </w:r>
      <w:r w:rsidRPr="00965BA2">
        <w:rPr>
          <w:rFonts w:ascii="Times New Roman" w:eastAsia="Calibri" w:hAnsi="Times New Roman" w:cs="Times New Roman"/>
          <w:sz w:val="24"/>
          <w:szCs w:val="24"/>
          <w:lang w:val="x-none"/>
        </w:rPr>
        <w:t xml:space="preserve">posiadanych decyzjach, wypełnianie wyrobisk poeksploatacyjnych odpadami bez zezwolenia, a także porzucanie i magazynowanie odpadów w miejscach na ten cel nieprzeznaczonych (np. w magazynach, na terenach leśnych i rolnych, </w:t>
      </w:r>
      <w:r w:rsidRPr="00965BA2">
        <w:rPr>
          <w:rFonts w:ascii="Times New Roman" w:eastAsia="Calibri" w:hAnsi="Times New Roman" w:cs="Times New Roman"/>
          <w:sz w:val="24"/>
          <w:szCs w:val="24"/>
          <w:lang w:val="x-none"/>
        </w:rPr>
        <w:br/>
      </w:r>
      <w:r w:rsidRPr="00965BA2">
        <w:rPr>
          <w:rFonts w:ascii="Times New Roman" w:eastAsia="Calibri" w:hAnsi="Times New Roman" w:cs="Times New Roman"/>
          <w:sz w:val="24"/>
          <w:szCs w:val="24"/>
          <w:lang w:val="x-none"/>
        </w:rPr>
        <w:lastRenderedPageBreak/>
        <w:t>na</w:t>
      </w:r>
      <w:r w:rsidRPr="00965BA2">
        <w:rPr>
          <w:rFonts w:ascii="Times New Roman" w:eastAsia="Calibri" w:hAnsi="Times New Roman" w:cs="Times New Roman"/>
          <w:sz w:val="24"/>
          <w:szCs w:val="24"/>
        </w:rPr>
        <w:t xml:space="preserve"> </w:t>
      </w:r>
      <w:r w:rsidRPr="00965BA2">
        <w:rPr>
          <w:rFonts w:ascii="Times New Roman" w:eastAsia="Calibri" w:hAnsi="Times New Roman" w:cs="Times New Roman"/>
          <w:sz w:val="24"/>
          <w:szCs w:val="24"/>
          <w:lang w:val="x-none"/>
        </w:rPr>
        <w:t xml:space="preserve">łąkach, nieużytkach czy terenach prywatnych) – </w:t>
      </w:r>
      <w:r w:rsidRPr="00965BA2">
        <w:rPr>
          <w:rFonts w:ascii="Times New Roman" w:eastAsia="Calibri" w:hAnsi="Times New Roman" w:cs="Times New Roman"/>
          <w:sz w:val="24"/>
          <w:szCs w:val="24"/>
        </w:rPr>
        <w:t>259</w:t>
      </w:r>
      <w:r w:rsidRPr="00965BA2">
        <w:rPr>
          <w:rFonts w:ascii="Times New Roman" w:eastAsia="Calibri" w:hAnsi="Times New Roman" w:cs="Times New Roman"/>
          <w:sz w:val="24"/>
          <w:szCs w:val="24"/>
          <w:lang w:val="x-none"/>
        </w:rPr>
        <w:t xml:space="preserve"> przypadk</w:t>
      </w:r>
      <w:r w:rsidRPr="00965BA2">
        <w:rPr>
          <w:rFonts w:ascii="Times New Roman" w:eastAsia="Calibri" w:hAnsi="Times New Roman" w:cs="Times New Roman"/>
          <w:sz w:val="24"/>
          <w:szCs w:val="24"/>
        </w:rPr>
        <w:t xml:space="preserve">ów </w:t>
      </w:r>
      <w:r w:rsidRPr="00965BA2">
        <w:rPr>
          <w:rFonts w:ascii="Times New Roman" w:eastAsia="Calibri" w:hAnsi="Times New Roman" w:cs="Times New Roman"/>
          <w:sz w:val="24"/>
          <w:szCs w:val="24"/>
          <w:lang w:val="x-none"/>
        </w:rPr>
        <w:t>(</w:t>
      </w:r>
      <w:r w:rsidRPr="00965BA2">
        <w:rPr>
          <w:rFonts w:ascii="Times New Roman" w:eastAsia="Calibri" w:hAnsi="Times New Roman" w:cs="Times New Roman"/>
          <w:sz w:val="24"/>
          <w:szCs w:val="24"/>
        </w:rPr>
        <w:t>18</w:t>
      </w:r>
      <w:r w:rsidRPr="00965BA2">
        <w:rPr>
          <w:rFonts w:ascii="Times New Roman" w:eastAsia="Calibri" w:hAnsi="Times New Roman" w:cs="Times New Roman"/>
          <w:sz w:val="24"/>
          <w:szCs w:val="24"/>
          <w:lang w:val="x-none"/>
        </w:rPr>
        <w:t>% wszystkich przypadków nielegalnego postępowania z odpadami), z czego najwięcej odnotowano w</w:t>
      </w:r>
      <w:r>
        <w:rPr>
          <w:rFonts w:ascii="Times New Roman" w:eastAsia="Calibri" w:hAnsi="Times New Roman" w:cs="Times New Roman"/>
          <w:sz w:val="24"/>
          <w:szCs w:val="24"/>
        </w:rPr>
        <w:t> </w:t>
      </w:r>
      <w:r w:rsidRPr="00965BA2">
        <w:rPr>
          <w:rFonts w:ascii="Times New Roman" w:eastAsia="Calibri" w:hAnsi="Times New Roman" w:cs="Times New Roman"/>
          <w:sz w:val="24"/>
          <w:szCs w:val="24"/>
          <w:lang w:val="x-none"/>
        </w:rPr>
        <w:t xml:space="preserve">województwach: </w:t>
      </w:r>
      <w:r w:rsidRPr="00965BA2">
        <w:rPr>
          <w:rFonts w:ascii="Times New Roman" w:eastAsia="Calibri" w:hAnsi="Times New Roman" w:cs="Times New Roman"/>
          <w:sz w:val="24"/>
          <w:szCs w:val="24"/>
        </w:rPr>
        <w:t xml:space="preserve">kujawsko-pomorskim (40) , </w:t>
      </w:r>
      <w:r w:rsidRPr="00965BA2">
        <w:rPr>
          <w:rFonts w:ascii="Times New Roman" w:eastAsia="Calibri" w:hAnsi="Times New Roman" w:cs="Times New Roman"/>
          <w:sz w:val="24"/>
          <w:szCs w:val="24"/>
          <w:lang w:val="x-none"/>
        </w:rPr>
        <w:t>łódzkim (</w:t>
      </w:r>
      <w:r w:rsidRPr="00965BA2">
        <w:rPr>
          <w:rFonts w:ascii="Times New Roman" w:eastAsia="Calibri" w:hAnsi="Times New Roman" w:cs="Times New Roman"/>
          <w:sz w:val="24"/>
          <w:szCs w:val="24"/>
        </w:rPr>
        <w:t>27</w:t>
      </w:r>
      <w:r w:rsidRPr="00965BA2">
        <w:rPr>
          <w:rFonts w:ascii="Times New Roman" w:eastAsia="Calibri" w:hAnsi="Times New Roman" w:cs="Times New Roman"/>
          <w:sz w:val="24"/>
          <w:szCs w:val="24"/>
          <w:lang w:val="x-none"/>
        </w:rPr>
        <w:t>)</w:t>
      </w:r>
      <w:r w:rsidRPr="00965BA2">
        <w:rPr>
          <w:rFonts w:ascii="Times New Roman" w:eastAsia="Calibri" w:hAnsi="Times New Roman" w:cs="Times New Roman"/>
          <w:sz w:val="24"/>
          <w:szCs w:val="24"/>
        </w:rPr>
        <w:t xml:space="preserve"> i mazowieckim (20).</w:t>
      </w:r>
    </w:p>
    <w:p w14:paraId="4498CFAA" w14:textId="77777777" w:rsidR="0088289B" w:rsidRPr="00D96E0A" w:rsidRDefault="0088289B" w:rsidP="00056EE7">
      <w:pPr>
        <w:spacing w:after="0" w:line="300" w:lineRule="atLeast"/>
        <w:ind w:left="851"/>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lang w:val="x-none"/>
        </w:rPr>
        <w:t>Z informacji posiadanych przez IOŚ wynika, że organy ścigania zajmowały się lub nadal zajmują 1</w:t>
      </w:r>
      <w:r w:rsidRPr="00965BA2">
        <w:rPr>
          <w:rFonts w:ascii="Times New Roman" w:eastAsia="Calibri" w:hAnsi="Times New Roman" w:cs="Times New Roman"/>
          <w:sz w:val="24"/>
          <w:szCs w:val="24"/>
        </w:rPr>
        <w:t>26</w:t>
      </w:r>
      <w:r w:rsidRPr="00965BA2">
        <w:rPr>
          <w:rFonts w:ascii="Times New Roman" w:eastAsia="Calibri" w:hAnsi="Times New Roman" w:cs="Times New Roman"/>
          <w:sz w:val="24"/>
          <w:szCs w:val="24"/>
          <w:lang w:val="x-none"/>
        </w:rPr>
        <w:t xml:space="preserve"> sprawami</w:t>
      </w:r>
      <w:r>
        <w:rPr>
          <w:rFonts w:ascii="Times New Roman" w:eastAsia="Calibri" w:hAnsi="Times New Roman" w:cs="Times New Roman"/>
          <w:sz w:val="24"/>
          <w:szCs w:val="24"/>
        </w:rPr>
        <w:t>.</w:t>
      </w:r>
    </w:p>
    <w:p w14:paraId="35637D88" w14:textId="77777777" w:rsidR="0088289B" w:rsidRPr="00965BA2" w:rsidRDefault="0088289B" w:rsidP="00D34F97">
      <w:pPr>
        <w:numPr>
          <w:ilvl w:val="0"/>
          <w:numId w:val="85"/>
        </w:numPr>
        <w:spacing w:after="0" w:line="300" w:lineRule="atLeast"/>
        <w:ind w:left="851" w:hanging="284"/>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lang w:val="x-none"/>
        </w:rPr>
        <w:t>Spalanie odpadów wbrew obowiązującym przepisom, tj. poza instalacjami do</w:t>
      </w:r>
      <w:r w:rsidRPr="00965BA2">
        <w:rPr>
          <w:rFonts w:ascii="Times New Roman" w:eastAsia="Calibri" w:hAnsi="Times New Roman" w:cs="Times New Roman"/>
          <w:sz w:val="24"/>
          <w:szCs w:val="24"/>
        </w:rPr>
        <w:t xml:space="preserve"> </w:t>
      </w:r>
      <w:r w:rsidRPr="00965BA2">
        <w:rPr>
          <w:rFonts w:ascii="Times New Roman" w:eastAsia="Calibri" w:hAnsi="Times New Roman" w:cs="Times New Roman"/>
          <w:sz w:val="24"/>
          <w:szCs w:val="24"/>
          <w:lang w:val="x-none"/>
        </w:rPr>
        <w:t>termicznego przekształcania odpadów (np. w kotłach, na otwartych terenach czy w</w:t>
      </w:r>
      <w:r w:rsidRPr="00965BA2">
        <w:rPr>
          <w:rFonts w:ascii="Times New Roman" w:eastAsia="Calibri" w:hAnsi="Times New Roman" w:cs="Times New Roman"/>
          <w:sz w:val="24"/>
          <w:szCs w:val="24"/>
        </w:rPr>
        <w:t> </w:t>
      </w:r>
      <w:r w:rsidRPr="00965BA2">
        <w:rPr>
          <w:rFonts w:ascii="Times New Roman" w:eastAsia="Calibri" w:hAnsi="Times New Roman" w:cs="Times New Roman"/>
          <w:sz w:val="24"/>
          <w:szCs w:val="24"/>
          <w:lang w:val="x-none"/>
        </w:rPr>
        <w:t>kotłowniach z piecami centralnego ogrzewania), a także pożary odpadów, głównie w</w:t>
      </w:r>
      <w:r>
        <w:rPr>
          <w:rFonts w:ascii="Times New Roman" w:eastAsia="Calibri" w:hAnsi="Times New Roman" w:cs="Times New Roman"/>
          <w:sz w:val="24"/>
          <w:szCs w:val="24"/>
        </w:rPr>
        <w:t> </w:t>
      </w:r>
      <w:r w:rsidRPr="00965BA2">
        <w:rPr>
          <w:rFonts w:ascii="Times New Roman" w:eastAsia="Calibri" w:hAnsi="Times New Roman" w:cs="Times New Roman"/>
          <w:sz w:val="24"/>
          <w:szCs w:val="24"/>
          <w:lang w:val="x-none"/>
        </w:rPr>
        <w:t>miejscach zbierania, magazynowania i przetwarzania odpadów – 2</w:t>
      </w:r>
      <w:r w:rsidRPr="00965BA2">
        <w:rPr>
          <w:rFonts w:ascii="Times New Roman" w:eastAsia="Calibri" w:hAnsi="Times New Roman" w:cs="Times New Roman"/>
          <w:sz w:val="24"/>
          <w:szCs w:val="24"/>
        </w:rPr>
        <w:t>5</w:t>
      </w:r>
      <w:r w:rsidRPr="00965BA2">
        <w:rPr>
          <w:rFonts w:ascii="Times New Roman" w:eastAsia="Calibri" w:hAnsi="Times New Roman" w:cs="Times New Roman"/>
          <w:sz w:val="24"/>
          <w:szCs w:val="24"/>
          <w:lang w:val="x-none"/>
        </w:rPr>
        <w:t>8 przypadków (</w:t>
      </w:r>
      <w:r w:rsidRPr="00965BA2">
        <w:rPr>
          <w:rFonts w:ascii="Times New Roman" w:eastAsia="Calibri" w:hAnsi="Times New Roman" w:cs="Times New Roman"/>
          <w:sz w:val="24"/>
          <w:szCs w:val="24"/>
        </w:rPr>
        <w:t>18</w:t>
      </w:r>
      <w:r w:rsidRPr="00965BA2">
        <w:rPr>
          <w:rFonts w:ascii="Times New Roman" w:eastAsia="Calibri" w:hAnsi="Times New Roman" w:cs="Times New Roman"/>
          <w:sz w:val="24"/>
          <w:szCs w:val="24"/>
          <w:lang w:val="x-none"/>
        </w:rPr>
        <w:t>% wszystkich przypadków nielegalnego postępowania z odpadami), z czego najwięcej odnotowano w</w:t>
      </w:r>
      <w:r w:rsidRPr="00965BA2">
        <w:rPr>
          <w:rFonts w:ascii="Times New Roman" w:eastAsia="Calibri" w:hAnsi="Times New Roman" w:cs="Times New Roman"/>
          <w:sz w:val="24"/>
          <w:szCs w:val="24"/>
        </w:rPr>
        <w:t xml:space="preserve"> </w:t>
      </w:r>
      <w:r w:rsidRPr="00965BA2">
        <w:rPr>
          <w:rFonts w:ascii="Times New Roman" w:eastAsia="Calibri" w:hAnsi="Times New Roman" w:cs="Times New Roman"/>
          <w:sz w:val="24"/>
          <w:szCs w:val="24"/>
          <w:lang w:val="x-none"/>
        </w:rPr>
        <w:t>województwach: wielkopolskim (3</w:t>
      </w:r>
      <w:r w:rsidRPr="00965BA2">
        <w:rPr>
          <w:rFonts w:ascii="Times New Roman" w:eastAsia="Calibri" w:hAnsi="Times New Roman" w:cs="Times New Roman"/>
          <w:sz w:val="24"/>
          <w:szCs w:val="24"/>
        </w:rPr>
        <w:t>2</w:t>
      </w:r>
      <w:r w:rsidRPr="00965BA2">
        <w:rPr>
          <w:rFonts w:ascii="Times New Roman" w:eastAsia="Calibri" w:hAnsi="Times New Roman" w:cs="Times New Roman"/>
          <w:sz w:val="24"/>
          <w:szCs w:val="24"/>
          <w:lang w:val="x-none"/>
        </w:rPr>
        <w:t>)</w:t>
      </w:r>
      <w:r w:rsidRPr="00965BA2">
        <w:rPr>
          <w:rFonts w:ascii="Times New Roman" w:eastAsia="Calibri" w:hAnsi="Times New Roman" w:cs="Times New Roman"/>
          <w:sz w:val="24"/>
          <w:szCs w:val="24"/>
        </w:rPr>
        <w:t xml:space="preserve">, małopolskim (30), mazowieckim (27) </w:t>
      </w:r>
      <w:r w:rsidRPr="00965BA2">
        <w:rPr>
          <w:rFonts w:ascii="Times New Roman" w:eastAsia="Calibri" w:hAnsi="Times New Roman" w:cs="Times New Roman"/>
          <w:sz w:val="24"/>
          <w:szCs w:val="24"/>
          <w:lang w:val="x-none"/>
        </w:rPr>
        <w:t>i</w:t>
      </w:r>
      <w:r w:rsidRPr="00965BA2">
        <w:rPr>
          <w:rFonts w:ascii="Times New Roman" w:eastAsia="Calibri" w:hAnsi="Times New Roman" w:cs="Times New Roman"/>
          <w:sz w:val="24"/>
          <w:szCs w:val="24"/>
        </w:rPr>
        <w:t xml:space="preserve"> </w:t>
      </w:r>
      <w:r w:rsidRPr="00965BA2">
        <w:rPr>
          <w:rFonts w:ascii="Times New Roman" w:eastAsia="Calibri" w:hAnsi="Times New Roman" w:cs="Times New Roman"/>
          <w:sz w:val="24"/>
          <w:szCs w:val="24"/>
          <w:lang w:val="x-none"/>
        </w:rPr>
        <w:t>warmińsko-mazurskim (</w:t>
      </w:r>
      <w:r w:rsidRPr="00965BA2">
        <w:rPr>
          <w:rFonts w:ascii="Times New Roman" w:eastAsia="Calibri" w:hAnsi="Times New Roman" w:cs="Times New Roman"/>
          <w:sz w:val="24"/>
          <w:szCs w:val="24"/>
        </w:rPr>
        <w:t>25</w:t>
      </w:r>
      <w:r w:rsidRPr="00965BA2">
        <w:rPr>
          <w:rFonts w:ascii="Times New Roman" w:eastAsia="Calibri" w:hAnsi="Times New Roman" w:cs="Times New Roman"/>
          <w:sz w:val="24"/>
          <w:szCs w:val="24"/>
          <w:lang w:val="x-none"/>
        </w:rPr>
        <w:t>).</w:t>
      </w:r>
    </w:p>
    <w:p w14:paraId="44D39CE7" w14:textId="77777777" w:rsidR="0088289B" w:rsidRPr="00965BA2" w:rsidRDefault="0088289B" w:rsidP="00056EE7">
      <w:pPr>
        <w:spacing w:after="0" w:line="300" w:lineRule="atLeast"/>
        <w:ind w:left="851"/>
        <w:contextualSpacing/>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lang w:val="x-none"/>
        </w:rPr>
        <w:t xml:space="preserve">Zgodnie z wiedzą IOŚ, organy ścigania zajmowały się lub nadal zajmują </w:t>
      </w:r>
      <w:r w:rsidRPr="00965BA2">
        <w:rPr>
          <w:rFonts w:ascii="Times New Roman" w:eastAsia="Calibri" w:hAnsi="Times New Roman" w:cs="Times New Roman"/>
          <w:sz w:val="24"/>
          <w:szCs w:val="24"/>
        </w:rPr>
        <w:t>3</w:t>
      </w:r>
      <w:r w:rsidRPr="00965BA2">
        <w:rPr>
          <w:rFonts w:ascii="Times New Roman" w:eastAsia="Calibri" w:hAnsi="Times New Roman" w:cs="Times New Roman"/>
          <w:sz w:val="24"/>
          <w:szCs w:val="24"/>
          <w:lang w:val="x-none"/>
        </w:rPr>
        <w:t>8 sprawami (1</w:t>
      </w:r>
      <w:r w:rsidRPr="00965BA2">
        <w:rPr>
          <w:rFonts w:ascii="Times New Roman" w:eastAsia="Calibri" w:hAnsi="Times New Roman" w:cs="Times New Roman"/>
          <w:sz w:val="24"/>
          <w:szCs w:val="24"/>
        </w:rPr>
        <w:t>5</w:t>
      </w:r>
      <w:r w:rsidRPr="00965BA2">
        <w:rPr>
          <w:rFonts w:ascii="Times New Roman" w:eastAsia="Calibri" w:hAnsi="Times New Roman" w:cs="Times New Roman"/>
          <w:sz w:val="24"/>
          <w:szCs w:val="24"/>
          <w:lang w:val="x-none"/>
        </w:rPr>
        <w:t xml:space="preserve">% ujawnionych przypadków), z czego tylko w </w:t>
      </w:r>
      <w:r w:rsidRPr="00965BA2">
        <w:rPr>
          <w:rFonts w:ascii="Times New Roman" w:eastAsia="Calibri" w:hAnsi="Times New Roman" w:cs="Times New Roman"/>
          <w:sz w:val="24"/>
          <w:szCs w:val="24"/>
        </w:rPr>
        <w:t>2</w:t>
      </w:r>
      <w:r w:rsidRPr="00965BA2">
        <w:rPr>
          <w:rFonts w:ascii="Times New Roman" w:eastAsia="Calibri" w:hAnsi="Times New Roman" w:cs="Times New Roman"/>
          <w:sz w:val="24"/>
          <w:szCs w:val="24"/>
          <w:lang w:val="x-none"/>
        </w:rPr>
        <w:t xml:space="preserve"> przypadk</w:t>
      </w:r>
      <w:r>
        <w:rPr>
          <w:rFonts w:ascii="Times New Roman" w:eastAsia="Calibri" w:hAnsi="Times New Roman" w:cs="Times New Roman"/>
          <w:sz w:val="24"/>
          <w:szCs w:val="24"/>
        </w:rPr>
        <w:t>ach</w:t>
      </w:r>
      <w:r w:rsidRPr="00965BA2">
        <w:rPr>
          <w:rFonts w:ascii="Times New Roman" w:eastAsia="Calibri" w:hAnsi="Times New Roman" w:cs="Times New Roman"/>
          <w:sz w:val="24"/>
          <w:szCs w:val="24"/>
          <w:lang w:val="x-none"/>
        </w:rPr>
        <w:t xml:space="preserve"> umorzono śledztwo.</w:t>
      </w:r>
    </w:p>
    <w:p w14:paraId="0537233D" w14:textId="77777777" w:rsidR="0088289B" w:rsidRPr="00965BA2" w:rsidRDefault="0088289B" w:rsidP="00D34F97">
      <w:pPr>
        <w:numPr>
          <w:ilvl w:val="0"/>
          <w:numId w:val="85"/>
        </w:numPr>
        <w:spacing w:after="0" w:line="300" w:lineRule="atLeast"/>
        <w:ind w:left="851" w:hanging="284"/>
        <w:contextualSpacing/>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lang w:val="x-none"/>
        </w:rPr>
        <w:t xml:space="preserve">Naruszanie warunków posiadanych decyzji, głównie w zakresie zbierania, przetwarzania </w:t>
      </w:r>
      <w:r w:rsidRPr="00965BA2">
        <w:rPr>
          <w:rFonts w:ascii="Times New Roman" w:eastAsia="Calibri" w:hAnsi="Times New Roman" w:cs="Times New Roman"/>
          <w:sz w:val="24"/>
          <w:szCs w:val="24"/>
        </w:rPr>
        <w:t>i</w:t>
      </w:r>
      <w:r w:rsidRPr="00965BA2">
        <w:rPr>
          <w:rFonts w:ascii="Times New Roman" w:eastAsia="Calibri" w:hAnsi="Times New Roman" w:cs="Times New Roman"/>
          <w:sz w:val="24"/>
          <w:szCs w:val="24"/>
          <w:lang w:val="x-none"/>
        </w:rPr>
        <w:t xml:space="preserve"> magazynowania </w:t>
      </w:r>
      <w:r w:rsidRPr="00965BA2">
        <w:rPr>
          <w:rFonts w:ascii="Times New Roman" w:eastAsia="Calibri" w:hAnsi="Times New Roman" w:cs="Times New Roman"/>
          <w:sz w:val="24"/>
          <w:szCs w:val="24"/>
        </w:rPr>
        <w:t>odpadów w ramach gospodarowania odpadami,</w:t>
      </w:r>
      <w:r w:rsidRPr="00965BA2">
        <w:rPr>
          <w:rFonts w:ascii="Times New Roman" w:eastAsia="Calibri" w:hAnsi="Times New Roman" w:cs="Times New Roman"/>
          <w:sz w:val="24"/>
          <w:szCs w:val="24"/>
          <w:lang w:val="x-none"/>
        </w:rPr>
        <w:t xml:space="preserve"> </w:t>
      </w:r>
      <w:r w:rsidRPr="00965BA2">
        <w:rPr>
          <w:rFonts w:ascii="Times New Roman" w:eastAsia="Calibri" w:hAnsi="Times New Roman" w:cs="Times New Roman"/>
          <w:sz w:val="24"/>
          <w:szCs w:val="24"/>
          <w:lang w:val="x-none"/>
        </w:rPr>
        <w:br/>
        <w:t>a także przekroczenia ilości wytwarzanych odpadów, mogące powodować zagrożenie dla zdrowia i życia ludzi oraz środowiska –</w:t>
      </w:r>
      <w:r w:rsidRPr="00965BA2">
        <w:rPr>
          <w:rFonts w:ascii="Times New Roman" w:eastAsia="Calibri" w:hAnsi="Times New Roman" w:cs="Times New Roman"/>
          <w:sz w:val="24"/>
          <w:szCs w:val="24"/>
        </w:rPr>
        <w:t xml:space="preserve"> </w:t>
      </w:r>
      <w:r w:rsidRPr="00965BA2">
        <w:rPr>
          <w:rFonts w:ascii="Times New Roman" w:eastAsia="Calibri" w:hAnsi="Times New Roman" w:cs="Times New Roman"/>
          <w:sz w:val="24"/>
          <w:szCs w:val="24"/>
          <w:lang w:val="x-none"/>
        </w:rPr>
        <w:t>1</w:t>
      </w:r>
      <w:r w:rsidRPr="00965BA2">
        <w:rPr>
          <w:rFonts w:ascii="Times New Roman" w:eastAsia="Calibri" w:hAnsi="Times New Roman" w:cs="Times New Roman"/>
          <w:sz w:val="24"/>
          <w:szCs w:val="24"/>
        </w:rPr>
        <w:t xml:space="preserve">53 </w:t>
      </w:r>
      <w:r w:rsidRPr="00965BA2">
        <w:rPr>
          <w:rFonts w:ascii="Times New Roman" w:eastAsia="Calibri" w:hAnsi="Times New Roman" w:cs="Times New Roman"/>
          <w:sz w:val="24"/>
          <w:szCs w:val="24"/>
          <w:lang w:val="x-none"/>
        </w:rPr>
        <w:t>przypadk</w:t>
      </w:r>
      <w:r w:rsidRPr="00965BA2">
        <w:rPr>
          <w:rFonts w:ascii="Times New Roman" w:eastAsia="Calibri" w:hAnsi="Times New Roman" w:cs="Times New Roman"/>
          <w:sz w:val="24"/>
          <w:szCs w:val="24"/>
        </w:rPr>
        <w:t>i</w:t>
      </w:r>
      <w:r w:rsidRPr="00965BA2">
        <w:rPr>
          <w:rFonts w:ascii="Times New Roman" w:eastAsia="Calibri" w:hAnsi="Times New Roman" w:cs="Times New Roman"/>
          <w:sz w:val="24"/>
          <w:szCs w:val="24"/>
          <w:lang w:val="x-none"/>
        </w:rPr>
        <w:t xml:space="preserve"> (</w:t>
      </w:r>
      <w:r>
        <w:rPr>
          <w:rFonts w:ascii="Times New Roman" w:eastAsia="Calibri" w:hAnsi="Times New Roman" w:cs="Times New Roman"/>
          <w:sz w:val="24"/>
          <w:szCs w:val="24"/>
        </w:rPr>
        <w:t xml:space="preserve">11% </w:t>
      </w:r>
      <w:r w:rsidRPr="00965BA2">
        <w:rPr>
          <w:rFonts w:ascii="Times New Roman" w:eastAsia="Calibri" w:hAnsi="Times New Roman" w:cs="Times New Roman"/>
          <w:sz w:val="24"/>
          <w:szCs w:val="24"/>
          <w:lang w:val="x-none"/>
        </w:rPr>
        <w:t>wszystkich przypadków nielegalnego postępowania z</w:t>
      </w:r>
      <w:r w:rsidRPr="00965BA2">
        <w:rPr>
          <w:rFonts w:ascii="Times New Roman" w:eastAsia="Calibri" w:hAnsi="Times New Roman" w:cs="Times New Roman"/>
          <w:sz w:val="24"/>
          <w:szCs w:val="24"/>
        </w:rPr>
        <w:t xml:space="preserve"> </w:t>
      </w:r>
      <w:r w:rsidRPr="00965BA2">
        <w:rPr>
          <w:rFonts w:ascii="Times New Roman" w:eastAsia="Calibri" w:hAnsi="Times New Roman" w:cs="Times New Roman"/>
          <w:sz w:val="24"/>
          <w:szCs w:val="24"/>
          <w:lang w:val="x-none"/>
        </w:rPr>
        <w:t>odpadami), z czego najwięcej odnotowano w</w:t>
      </w:r>
      <w:r>
        <w:rPr>
          <w:rFonts w:ascii="Times New Roman" w:eastAsia="Calibri" w:hAnsi="Times New Roman" w:cs="Times New Roman"/>
          <w:sz w:val="24"/>
          <w:szCs w:val="24"/>
        </w:rPr>
        <w:t> </w:t>
      </w:r>
      <w:r w:rsidRPr="00965BA2">
        <w:rPr>
          <w:rFonts w:ascii="Times New Roman" w:eastAsia="Calibri" w:hAnsi="Times New Roman" w:cs="Times New Roman"/>
          <w:sz w:val="24"/>
          <w:szCs w:val="24"/>
          <w:lang w:val="x-none"/>
        </w:rPr>
        <w:t>województwach</w:t>
      </w:r>
      <w:r>
        <w:rPr>
          <w:rFonts w:ascii="Times New Roman" w:eastAsia="Calibri" w:hAnsi="Times New Roman" w:cs="Times New Roman"/>
          <w:sz w:val="24"/>
          <w:szCs w:val="24"/>
        </w:rPr>
        <w:t>:</w:t>
      </w:r>
      <w:r w:rsidRPr="00965BA2">
        <w:rPr>
          <w:rFonts w:ascii="Times New Roman" w:eastAsia="Calibri" w:hAnsi="Times New Roman" w:cs="Times New Roman"/>
          <w:sz w:val="24"/>
          <w:szCs w:val="24"/>
          <w:lang w:val="x-none"/>
        </w:rPr>
        <w:t xml:space="preserve"> </w:t>
      </w:r>
      <w:r w:rsidRPr="00965BA2">
        <w:rPr>
          <w:rFonts w:ascii="Times New Roman" w:eastAsia="Calibri" w:hAnsi="Times New Roman" w:cs="Times New Roman"/>
          <w:sz w:val="24"/>
          <w:szCs w:val="24"/>
        </w:rPr>
        <w:t xml:space="preserve">lubelskim (33), warmińsko-mazurskim (16) i lubuskim (14). </w:t>
      </w:r>
    </w:p>
    <w:p w14:paraId="2F4F7C0E" w14:textId="77777777" w:rsidR="0088289B" w:rsidRPr="00965BA2" w:rsidRDefault="0088289B" w:rsidP="00056EE7">
      <w:pPr>
        <w:spacing w:after="0" w:line="300" w:lineRule="atLeast"/>
        <w:ind w:left="851"/>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lang w:val="x-none"/>
        </w:rPr>
        <w:t>Z informacji posiadanych przez IOŚ wynika, że organy ścigania zajmowały się lub nadal zajmują 2</w:t>
      </w:r>
      <w:r w:rsidRPr="00965BA2">
        <w:rPr>
          <w:rFonts w:ascii="Times New Roman" w:eastAsia="Calibri" w:hAnsi="Times New Roman" w:cs="Times New Roman"/>
          <w:sz w:val="24"/>
          <w:szCs w:val="24"/>
        </w:rPr>
        <w:t>0</w:t>
      </w:r>
      <w:r w:rsidRPr="00965BA2">
        <w:rPr>
          <w:rFonts w:ascii="Times New Roman" w:eastAsia="Calibri" w:hAnsi="Times New Roman" w:cs="Times New Roman"/>
          <w:sz w:val="24"/>
          <w:szCs w:val="24"/>
          <w:lang w:val="x-none"/>
        </w:rPr>
        <w:t xml:space="preserve"> sprawami (</w:t>
      </w:r>
      <w:r w:rsidRPr="00965BA2">
        <w:rPr>
          <w:rFonts w:ascii="Times New Roman" w:eastAsia="Calibri" w:hAnsi="Times New Roman" w:cs="Times New Roman"/>
          <w:sz w:val="24"/>
          <w:szCs w:val="24"/>
        </w:rPr>
        <w:t>13</w:t>
      </w:r>
      <w:r w:rsidRPr="00965BA2">
        <w:rPr>
          <w:rFonts w:ascii="Times New Roman" w:eastAsia="Calibri" w:hAnsi="Times New Roman" w:cs="Times New Roman"/>
          <w:sz w:val="24"/>
          <w:szCs w:val="24"/>
          <w:lang w:val="x-none"/>
        </w:rPr>
        <w:t>% ujawnionych przypadków</w:t>
      </w:r>
      <w:r w:rsidRPr="00965BA2">
        <w:rPr>
          <w:rFonts w:ascii="Times New Roman" w:eastAsia="Calibri" w:hAnsi="Times New Roman" w:cs="Times New Roman"/>
          <w:sz w:val="24"/>
          <w:szCs w:val="24"/>
        </w:rPr>
        <w:t>).</w:t>
      </w:r>
    </w:p>
    <w:p w14:paraId="1756F4F6" w14:textId="77777777" w:rsidR="0088289B" w:rsidRPr="00965BA2" w:rsidRDefault="0088289B" w:rsidP="00D34F97">
      <w:pPr>
        <w:numPr>
          <w:ilvl w:val="0"/>
          <w:numId w:val="85"/>
        </w:numPr>
        <w:spacing w:after="0" w:line="300" w:lineRule="atLeast"/>
        <w:ind w:left="851" w:hanging="284"/>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lang w:val="x-none"/>
        </w:rPr>
        <w:t>Nieprawidłowa klasyfikacja odpadów przyjmowanych do rekultywacji składowisk odpadów i wyrobisk poeksploatacyjnych, odpadów przekazywanych do transportu, a także odpadów wytwarzanych i przetwarzanych (m.in. w instalacjach) –</w:t>
      </w:r>
      <w:r w:rsidRPr="00965BA2">
        <w:rPr>
          <w:rFonts w:ascii="Times New Roman" w:eastAsia="Calibri" w:hAnsi="Times New Roman" w:cs="Times New Roman"/>
          <w:sz w:val="24"/>
          <w:szCs w:val="24"/>
        </w:rPr>
        <w:t xml:space="preserve"> </w:t>
      </w:r>
      <w:r w:rsidRPr="00965BA2">
        <w:rPr>
          <w:rFonts w:ascii="Times New Roman" w:eastAsia="Calibri" w:hAnsi="Times New Roman" w:cs="Times New Roman"/>
          <w:sz w:val="24"/>
          <w:szCs w:val="24"/>
        </w:rPr>
        <w:br/>
        <w:t>4</w:t>
      </w:r>
      <w:r w:rsidRPr="00965BA2">
        <w:rPr>
          <w:rFonts w:ascii="Times New Roman" w:eastAsia="Calibri" w:hAnsi="Times New Roman" w:cs="Times New Roman"/>
          <w:sz w:val="24"/>
          <w:szCs w:val="24"/>
          <w:lang w:val="x-none"/>
        </w:rPr>
        <w:t>4</w:t>
      </w:r>
      <w:r w:rsidRPr="00965BA2">
        <w:rPr>
          <w:rFonts w:ascii="Times New Roman" w:eastAsia="Calibri" w:hAnsi="Times New Roman" w:cs="Times New Roman"/>
          <w:sz w:val="24"/>
          <w:szCs w:val="24"/>
        </w:rPr>
        <w:t xml:space="preserve"> </w:t>
      </w:r>
      <w:r w:rsidRPr="00965BA2">
        <w:rPr>
          <w:rFonts w:ascii="Times New Roman" w:eastAsia="Calibri" w:hAnsi="Times New Roman" w:cs="Times New Roman"/>
          <w:sz w:val="24"/>
          <w:szCs w:val="24"/>
          <w:lang w:val="x-none"/>
        </w:rPr>
        <w:t>przypadk</w:t>
      </w:r>
      <w:r w:rsidRPr="00965BA2">
        <w:rPr>
          <w:rFonts w:ascii="Times New Roman" w:eastAsia="Calibri" w:hAnsi="Times New Roman" w:cs="Times New Roman"/>
          <w:sz w:val="24"/>
          <w:szCs w:val="24"/>
        </w:rPr>
        <w:t>i</w:t>
      </w:r>
      <w:r w:rsidRPr="00965BA2">
        <w:rPr>
          <w:rFonts w:ascii="Times New Roman" w:eastAsia="Calibri" w:hAnsi="Times New Roman" w:cs="Times New Roman"/>
          <w:sz w:val="24"/>
          <w:szCs w:val="24"/>
          <w:lang w:val="x-none"/>
        </w:rPr>
        <w:t xml:space="preserve"> (</w:t>
      </w:r>
      <w:r w:rsidRPr="00965BA2">
        <w:rPr>
          <w:rFonts w:ascii="Times New Roman" w:eastAsia="Calibri" w:hAnsi="Times New Roman" w:cs="Times New Roman"/>
          <w:sz w:val="24"/>
          <w:szCs w:val="24"/>
        </w:rPr>
        <w:t>3</w:t>
      </w:r>
      <w:r w:rsidRPr="00965BA2">
        <w:rPr>
          <w:rFonts w:ascii="Times New Roman" w:eastAsia="Calibri" w:hAnsi="Times New Roman" w:cs="Times New Roman"/>
          <w:sz w:val="24"/>
          <w:szCs w:val="24"/>
          <w:lang w:val="x-none"/>
        </w:rPr>
        <w:t>% wszystkich przypadków nielegalnego postępowania z</w:t>
      </w:r>
      <w:r w:rsidRPr="00965BA2">
        <w:rPr>
          <w:rFonts w:ascii="Times New Roman" w:eastAsia="Calibri" w:hAnsi="Times New Roman" w:cs="Times New Roman"/>
          <w:sz w:val="24"/>
          <w:szCs w:val="24"/>
        </w:rPr>
        <w:t xml:space="preserve"> </w:t>
      </w:r>
      <w:r w:rsidRPr="00965BA2">
        <w:rPr>
          <w:rFonts w:ascii="Times New Roman" w:eastAsia="Calibri" w:hAnsi="Times New Roman" w:cs="Times New Roman"/>
          <w:sz w:val="24"/>
          <w:szCs w:val="24"/>
          <w:lang w:val="x-none"/>
        </w:rPr>
        <w:t>odpadami), z</w:t>
      </w:r>
      <w:r w:rsidRPr="00965BA2">
        <w:rPr>
          <w:rFonts w:ascii="Times New Roman" w:eastAsia="Calibri" w:hAnsi="Times New Roman" w:cs="Times New Roman"/>
          <w:sz w:val="24"/>
          <w:szCs w:val="24"/>
        </w:rPr>
        <w:t> </w:t>
      </w:r>
      <w:r w:rsidRPr="00965BA2">
        <w:rPr>
          <w:rFonts w:ascii="Times New Roman" w:eastAsia="Calibri" w:hAnsi="Times New Roman" w:cs="Times New Roman"/>
          <w:sz w:val="24"/>
          <w:szCs w:val="24"/>
          <w:lang w:val="x-none"/>
        </w:rPr>
        <w:t>czego najwięcej odnotowano w województwach: kujawsko-pomorskim (</w:t>
      </w:r>
      <w:r w:rsidRPr="00965BA2">
        <w:rPr>
          <w:rFonts w:ascii="Times New Roman" w:eastAsia="Calibri" w:hAnsi="Times New Roman" w:cs="Times New Roman"/>
          <w:sz w:val="24"/>
          <w:szCs w:val="24"/>
        </w:rPr>
        <w:t>10</w:t>
      </w:r>
      <w:r w:rsidRPr="00965BA2">
        <w:rPr>
          <w:rFonts w:ascii="Times New Roman" w:eastAsia="Calibri" w:hAnsi="Times New Roman" w:cs="Times New Roman"/>
          <w:sz w:val="24"/>
          <w:szCs w:val="24"/>
          <w:lang w:val="x-none"/>
        </w:rPr>
        <w:t>)</w:t>
      </w:r>
      <w:r>
        <w:rPr>
          <w:rFonts w:ascii="Times New Roman" w:eastAsia="Calibri" w:hAnsi="Times New Roman" w:cs="Times New Roman"/>
          <w:sz w:val="24"/>
          <w:szCs w:val="24"/>
        </w:rPr>
        <w:t xml:space="preserve">, </w:t>
      </w:r>
      <w:r w:rsidRPr="00965BA2">
        <w:rPr>
          <w:rFonts w:ascii="Times New Roman" w:eastAsia="Calibri" w:hAnsi="Times New Roman" w:cs="Times New Roman"/>
          <w:sz w:val="24"/>
          <w:szCs w:val="24"/>
          <w:lang w:val="x-none"/>
        </w:rPr>
        <w:t>ś</w:t>
      </w:r>
      <w:r w:rsidRPr="00965BA2">
        <w:rPr>
          <w:rFonts w:ascii="Times New Roman" w:eastAsia="Calibri" w:hAnsi="Times New Roman" w:cs="Times New Roman"/>
          <w:sz w:val="24"/>
          <w:szCs w:val="24"/>
        </w:rPr>
        <w:t>więtokrzyski</w:t>
      </w:r>
      <w:r>
        <w:rPr>
          <w:rFonts w:ascii="Times New Roman" w:eastAsia="Calibri" w:hAnsi="Times New Roman" w:cs="Times New Roman"/>
          <w:sz w:val="24"/>
          <w:szCs w:val="24"/>
        </w:rPr>
        <w:t>m</w:t>
      </w:r>
      <w:r w:rsidRPr="00965BA2">
        <w:rPr>
          <w:rFonts w:ascii="Times New Roman" w:eastAsia="Calibri" w:hAnsi="Times New Roman" w:cs="Times New Roman"/>
          <w:sz w:val="24"/>
          <w:szCs w:val="24"/>
          <w:lang w:val="x-none"/>
        </w:rPr>
        <w:t xml:space="preserve"> (</w:t>
      </w:r>
      <w:r w:rsidRPr="00965BA2">
        <w:rPr>
          <w:rFonts w:ascii="Times New Roman" w:eastAsia="Calibri" w:hAnsi="Times New Roman" w:cs="Times New Roman"/>
          <w:sz w:val="24"/>
          <w:szCs w:val="24"/>
        </w:rPr>
        <w:t>6</w:t>
      </w:r>
      <w:r w:rsidRPr="00965BA2">
        <w:rPr>
          <w:rFonts w:ascii="Times New Roman" w:eastAsia="Calibri" w:hAnsi="Times New Roman" w:cs="Times New Roman"/>
          <w:sz w:val="24"/>
          <w:szCs w:val="24"/>
          <w:lang w:val="x-none"/>
        </w:rPr>
        <w:t>)</w:t>
      </w:r>
      <w:r w:rsidRPr="00965BA2">
        <w:rPr>
          <w:rFonts w:ascii="Times New Roman" w:eastAsia="Calibri" w:hAnsi="Times New Roman" w:cs="Times New Roman"/>
          <w:sz w:val="24"/>
          <w:szCs w:val="24"/>
        </w:rPr>
        <w:t xml:space="preserve"> i podkarpacki</w:t>
      </w:r>
      <w:r>
        <w:rPr>
          <w:rFonts w:ascii="Times New Roman" w:eastAsia="Calibri" w:hAnsi="Times New Roman" w:cs="Times New Roman"/>
          <w:sz w:val="24"/>
          <w:szCs w:val="24"/>
        </w:rPr>
        <w:t>m</w:t>
      </w:r>
      <w:r w:rsidRPr="00965BA2">
        <w:rPr>
          <w:rFonts w:ascii="Times New Roman" w:eastAsia="Calibri" w:hAnsi="Times New Roman" w:cs="Times New Roman"/>
          <w:sz w:val="24"/>
          <w:szCs w:val="24"/>
        </w:rPr>
        <w:t xml:space="preserve"> (6).</w:t>
      </w:r>
      <w:r w:rsidRPr="00965BA2">
        <w:rPr>
          <w:rFonts w:ascii="Times New Roman" w:eastAsia="Calibri" w:hAnsi="Times New Roman" w:cs="Times New Roman"/>
          <w:sz w:val="24"/>
          <w:szCs w:val="24"/>
          <w:lang w:val="x-none"/>
        </w:rPr>
        <w:t xml:space="preserve"> </w:t>
      </w:r>
    </w:p>
    <w:p w14:paraId="7E004CF7" w14:textId="77777777" w:rsidR="0088289B" w:rsidRPr="00965BA2" w:rsidRDefault="0088289B" w:rsidP="00056EE7">
      <w:pPr>
        <w:spacing w:after="0" w:line="300" w:lineRule="atLeast"/>
        <w:ind w:left="851"/>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lang w:val="x-none"/>
        </w:rPr>
        <w:t xml:space="preserve">Zgodnie z wiedzą IOŚ, organy ścigania zajmowały się lub nadal zajmują </w:t>
      </w:r>
      <w:r w:rsidRPr="00965BA2">
        <w:rPr>
          <w:rFonts w:ascii="Times New Roman" w:eastAsia="Calibri" w:hAnsi="Times New Roman" w:cs="Times New Roman"/>
          <w:sz w:val="24"/>
          <w:szCs w:val="24"/>
        </w:rPr>
        <w:t>9</w:t>
      </w:r>
      <w:r w:rsidRPr="00965BA2">
        <w:rPr>
          <w:rFonts w:ascii="Times New Roman" w:eastAsia="Calibri" w:hAnsi="Times New Roman" w:cs="Times New Roman"/>
          <w:sz w:val="24"/>
          <w:szCs w:val="24"/>
          <w:lang w:val="x-none"/>
        </w:rPr>
        <w:t xml:space="preserve"> sprawami (</w:t>
      </w:r>
      <w:r w:rsidRPr="00965BA2">
        <w:rPr>
          <w:rFonts w:ascii="Times New Roman" w:eastAsia="Calibri" w:hAnsi="Times New Roman" w:cs="Times New Roman"/>
          <w:sz w:val="24"/>
          <w:szCs w:val="24"/>
        </w:rPr>
        <w:t>20</w:t>
      </w:r>
      <w:r w:rsidRPr="00965BA2">
        <w:rPr>
          <w:rFonts w:ascii="Times New Roman" w:eastAsia="Calibri" w:hAnsi="Times New Roman" w:cs="Times New Roman"/>
          <w:sz w:val="24"/>
          <w:szCs w:val="24"/>
          <w:lang w:val="x-none"/>
        </w:rPr>
        <w:t xml:space="preserve">% ujawnionych przypadków). </w:t>
      </w:r>
    </w:p>
    <w:p w14:paraId="6C95AA7F" w14:textId="77777777" w:rsidR="0088289B" w:rsidRPr="00965BA2" w:rsidRDefault="0088289B" w:rsidP="00D34F97">
      <w:pPr>
        <w:numPr>
          <w:ilvl w:val="0"/>
          <w:numId w:val="85"/>
        </w:numPr>
        <w:spacing w:after="0" w:line="300" w:lineRule="atLeast"/>
        <w:ind w:left="851" w:hanging="284"/>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lang w:val="x-none"/>
        </w:rPr>
        <w:t>Unikanie opłat za korzystanie ze środowiska, głównie poprzez nieprawidłową klasyfikację odpadów (np. przeznaczonych do rekultywacji czy kierowanych na</w:t>
      </w:r>
      <w:r w:rsidRPr="00965BA2">
        <w:rPr>
          <w:rFonts w:ascii="Times New Roman" w:eastAsia="Calibri" w:hAnsi="Times New Roman" w:cs="Times New Roman"/>
          <w:sz w:val="24"/>
          <w:szCs w:val="24"/>
        </w:rPr>
        <w:t xml:space="preserve"> </w:t>
      </w:r>
      <w:r w:rsidRPr="00965BA2">
        <w:rPr>
          <w:rFonts w:ascii="Times New Roman" w:eastAsia="Calibri" w:hAnsi="Times New Roman" w:cs="Times New Roman"/>
          <w:sz w:val="24"/>
          <w:szCs w:val="24"/>
          <w:lang w:val="x-none"/>
        </w:rPr>
        <w:t xml:space="preserve">składowiska odpadów), a także porzucanie i magazynowanie odpadów w miejscach na ten cel nieprzeznaczonych (np. na terenach leśnych) – </w:t>
      </w:r>
      <w:r w:rsidRPr="00965BA2">
        <w:rPr>
          <w:rFonts w:ascii="Times New Roman" w:eastAsia="Calibri" w:hAnsi="Times New Roman" w:cs="Times New Roman"/>
          <w:sz w:val="24"/>
          <w:szCs w:val="24"/>
        </w:rPr>
        <w:t>21</w:t>
      </w:r>
      <w:r w:rsidRPr="00965BA2">
        <w:rPr>
          <w:rFonts w:ascii="Times New Roman" w:eastAsia="Calibri" w:hAnsi="Times New Roman" w:cs="Times New Roman"/>
          <w:sz w:val="24"/>
          <w:szCs w:val="24"/>
          <w:lang w:val="x-none"/>
        </w:rPr>
        <w:t xml:space="preserve"> przypadków </w:t>
      </w:r>
      <w:r w:rsidRPr="00965BA2">
        <w:rPr>
          <w:rFonts w:ascii="Times New Roman" w:eastAsia="Calibri" w:hAnsi="Times New Roman" w:cs="Times New Roman"/>
          <w:sz w:val="24"/>
          <w:szCs w:val="24"/>
          <w:lang w:val="x-none"/>
        </w:rPr>
        <w:br/>
        <w:t>(</w:t>
      </w:r>
      <w:r w:rsidRPr="00965BA2">
        <w:rPr>
          <w:rFonts w:ascii="Times New Roman" w:eastAsia="Calibri" w:hAnsi="Times New Roman" w:cs="Times New Roman"/>
          <w:sz w:val="24"/>
          <w:szCs w:val="24"/>
        </w:rPr>
        <w:t>1</w:t>
      </w:r>
      <w:r w:rsidRPr="00965BA2">
        <w:rPr>
          <w:rFonts w:ascii="Times New Roman" w:eastAsia="Calibri" w:hAnsi="Times New Roman" w:cs="Times New Roman"/>
          <w:sz w:val="24"/>
          <w:szCs w:val="24"/>
          <w:lang w:val="x-none"/>
        </w:rPr>
        <w:t>%</w:t>
      </w:r>
      <w:r w:rsidRPr="00965BA2">
        <w:rPr>
          <w:rFonts w:ascii="Times New Roman" w:eastAsia="Calibri" w:hAnsi="Times New Roman" w:cs="Times New Roman"/>
          <w:sz w:val="24"/>
          <w:szCs w:val="24"/>
        </w:rPr>
        <w:t xml:space="preserve"> </w:t>
      </w:r>
      <w:r w:rsidRPr="00965BA2">
        <w:rPr>
          <w:rFonts w:ascii="Times New Roman" w:eastAsia="Calibri" w:hAnsi="Times New Roman" w:cs="Times New Roman"/>
          <w:sz w:val="24"/>
          <w:szCs w:val="24"/>
          <w:lang w:val="x-none"/>
        </w:rPr>
        <w:t>wszystkich przypadków nielegalnego postępowania z odpadami), z czego najwięcej odnotowano na terenie województwa kujawsko-pomorskiego (</w:t>
      </w:r>
      <w:r w:rsidRPr="00965BA2">
        <w:rPr>
          <w:rFonts w:ascii="Times New Roman" w:eastAsia="Calibri" w:hAnsi="Times New Roman" w:cs="Times New Roman"/>
          <w:sz w:val="24"/>
          <w:szCs w:val="24"/>
        </w:rPr>
        <w:t>1</w:t>
      </w:r>
      <w:r w:rsidRPr="00965BA2">
        <w:rPr>
          <w:rFonts w:ascii="Times New Roman" w:eastAsia="Calibri" w:hAnsi="Times New Roman" w:cs="Times New Roman"/>
          <w:sz w:val="24"/>
          <w:szCs w:val="24"/>
          <w:lang w:val="x-none"/>
        </w:rPr>
        <w:t>0).</w:t>
      </w:r>
    </w:p>
    <w:p w14:paraId="44BAB343" w14:textId="77777777" w:rsidR="0088289B" w:rsidRPr="00965BA2" w:rsidRDefault="0088289B" w:rsidP="00056EE7">
      <w:pPr>
        <w:spacing w:after="0" w:line="300" w:lineRule="atLeast"/>
        <w:ind w:left="851"/>
        <w:jc w:val="both"/>
        <w:rPr>
          <w:rFonts w:ascii="Times New Roman" w:eastAsia="Calibri" w:hAnsi="Times New Roman" w:cs="Times New Roman"/>
          <w:sz w:val="24"/>
          <w:szCs w:val="24"/>
        </w:rPr>
      </w:pPr>
      <w:r w:rsidRPr="00965BA2">
        <w:rPr>
          <w:rFonts w:ascii="Times New Roman" w:eastAsia="Calibri" w:hAnsi="Times New Roman" w:cs="Times New Roman"/>
          <w:sz w:val="24"/>
          <w:szCs w:val="24"/>
          <w:lang w:val="x-none"/>
        </w:rPr>
        <w:t xml:space="preserve">Z informacji posiadanych przez IOŚ wynika, że organy ścigania zajmowały się lub nadal zajmują </w:t>
      </w:r>
      <w:r w:rsidRPr="00965BA2">
        <w:rPr>
          <w:rFonts w:ascii="Times New Roman" w:eastAsia="Calibri" w:hAnsi="Times New Roman" w:cs="Times New Roman"/>
          <w:sz w:val="24"/>
          <w:szCs w:val="24"/>
        </w:rPr>
        <w:t>7</w:t>
      </w:r>
      <w:r w:rsidRPr="00965BA2">
        <w:rPr>
          <w:rFonts w:ascii="Times New Roman" w:eastAsia="Calibri" w:hAnsi="Times New Roman" w:cs="Times New Roman"/>
          <w:sz w:val="24"/>
          <w:szCs w:val="24"/>
          <w:lang w:val="x-none"/>
        </w:rPr>
        <w:t xml:space="preserve"> sprawami (</w:t>
      </w:r>
      <w:r>
        <w:rPr>
          <w:rFonts w:ascii="Times New Roman" w:eastAsia="Calibri" w:hAnsi="Times New Roman" w:cs="Times New Roman"/>
          <w:sz w:val="24"/>
          <w:szCs w:val="24"/>
        </w:rPr>
        <w:t xml:space="preserve">33 % </w:t>
      </w:r>
      <w:r w:rsidRPr="00965BA2">
        <w:rPr>
          <w:rFonts w:ascii="Times New Roman" w:eastAsia="Calibri" w:hAnsi="Times New Roman" w:cs="Times New Roman"/>
          <w:sz w:val="24"/>
          <w:szCs w:val="24"/>
          <w:lang w:val="x-none"/>
        </w:rPr>
        <w:t>ujawnionych przypadków</w:t>
      </w:r>
      <w:r w:rsidRPr="00965BA2">
        <w:rPr>
          <w:rFonts w:ascii="Times New Roman" w:eastAsia="Calibri" w:hAnsi="Times New Roman" w:cs="Times New Roman"/>
          <w:sz w:val="24"/>
          <w:szCs w:val="24"/>
        </w:rPr>
        <w:t>).</w:t>
      </w:r>
    </w:p>
    <w:p w14:paraId="497BE52F" w14:textId="6C8464DA" w:rsidR="0088289B" w:rsidRPr="00965BA2" w:rsidRDefault="0088289B" w:rsidP="00D34F97">
      <w:pPr>
        <w:numPr>
          <w:ilvl w:val="0"/>
          <w:numId w:val="85"/>
        </w:numPr>
        <w:spacing w:after="0" w:line="300" w:lineRule="atLeast"/>
        <w:ind w:left="851" w:hanging="284"/>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lang w:val="x-none"/>
        </w:rPr>
        <w:t>Fałszowanie dokumentacji sporządzanej w związku z gospodarką odpadami, tj. kart przekazania odpadów i kart ewidencji odpadów, polegające na</w:t>
      </w:r>
      <w:r w:rsidRPr="00965BA2">
        <w:rPr>
          <w:rFonts w:ascii="Times New Roman" w:eastAsia="Calibri" w:hAnsi="Times New Roman" w:cs="Times New Roman"/>
          <w:sz w:val="24"/>
          <w:szCs w:val="24"/>
        </w:rPr>
        <w:t xml:space="preserve"> </w:t>
      </w:r>
      <w:r w:rsidRPr="00965BA2">
        <w:rPr>
          <w:rFonts w:ascii="Times New Roman" w:eastAsia="Calibri" w:hAnsi="Times New Roman" w:cs="Times New Roman"/>
          <w:sz w:val="24"/>
          <w:szCs w:val="24"/>
          <w:lang w:val="x-none"/>
        </w:rPr>
        <w:t>prowadzeniu ewidencji odpadów niezgodnie ze stanem rzeczywistym, nadawani</w:t>
      </w:r>
      <w:r w:rsidRPr="00965BA2">
        <w:rPr>
          <w:rFonts w:ascii="Times New Roman" w:eastAsia="Calibri" w:hAnsi="Times New Roman" w:cs="Times New Roman"/>
          <w:sz w:val="24"/>
          <w:szCs w:val="24"/>
        </w:rPr>
        <w:t>u</w:t>
      </w:r>
      <w:r w:rsidRPr="00965BA2">
        <w:rPr>
          <w:rFonts w:ascii="Times New Roman" w:eastAsia="Calibri" w:hAnsi="Times New Roman" w:cs="Times New Roman"/>
          <w:sz w:val="24"/>
          <w:szCs w:val="24"/>
          <w:lang w:val="x-none"/>
        </w:rPr>
        <w:t xml:space="preserve"> odpadom nieprzynależnych im kodów, potwierdzaniu nieprawdy</w:t>
      </w:r>
      <w:r w:rsidRPr="00965BA2">
        <w:rPr>
          <w:rFonts w:ascii="Times New Roman" w:eastAsia="Calibri" w:hAnsi="Times New Roman" w:cs="Times New Roman"/>
          <w:sz w:val="24"/>
          <w:szCs w:val="24"/>
        </w:rPr>
        <w:t xml:space="preserve"> przy</w:t>
      </w:r>
      <w:r w:rsidRPr="00965BA2">
        <w:rPr>
          <w:rFonts w:ascii="Times New Roman" w:eastAsia="Calibri" w:hAnsi="Times New Roman" w:cs="Times New Roman"/>
          <w:sz w:val="24"/>
          <w:szCs w:val="24"/>
          <w:lang w:val="x-none"/>
        </w:rPr>
        <w:t xml:space="preserve"> fikcyjnym przekazywaniu odpadów innym podmiotom </w:t>
      </w:r>
      <w:r>
        <w:rPr>
          <w:rFonts w:ascii="Times New Roman" w:eastAsia="Calibri" w:hAnsi="Times New Roman" w:cs="Times New Roman"/>
          <w:sz w:val="24"/>
          <w:szCs w:val="24"/>
        </w:rPr>
        <w:t>–</w:t>
      </w:r>
      <w:r w:rsidRPr="00965BA2">
        <w:rPr>
          <w:rFonts w:ascii="Times New Roman" w:eastAsia="Calibri" w:hAnsi="Times New Roman" w:cs="Times New Roman"/>
          <w:sz w:val="24"/>
          <w:szCs w:val="24"/>
          <w:lang w:val="x-none"/>
        </w:rPr>
        <w:t xml:space="preserve"> </w:t>
      </w:r>
      <w:r w:rsidRPr="00965BA2">
        <w:rPr>
          <w:rFonts w:ascii="Times New Roman" w:eastAsia="Calibri" w:hAnsi="Times New Roman" w:cs="Times New Roman"/>
          <w:sz w:val="24"/>
          <w:szCs w:val="24"/>
        </w:rPr>
        <w:t>102</w:t>
      </w:r>
      <w:r w:rsidRPr="00965BA2">
        <w:rPr>
          <w:rFonts w:ascii="Times New Roman" w:eastAsia="Calibri" w:hAnsi="Times New Roman" w:cs="Times New Roman"/>
          <w:sz w:val="24"/>
          <w:szCs w:val="24"/>
          <w:lang w:val="x-none"/>
        </w:rPr>
        <w:t xml:space="preserve"> przypadki (</w:t>
      </w:r>
      <w:r w:rsidRPr="00965BA2">
        <w:rPr>
          <w:rFonts w:ascii="Times New Roman" w:eastAsia="Calibri" w:hAnsi="Times New Roman" w:cs="Times New Roman"/>
          <w:sz w:val="24"/>
          <w:szCs w:val="24"/>
        </w:rPr>
        <w:t>7</w:t>
      </w:r>
      <w:r w:rsidRPr="00965BA2">
        <w:rPr>
          <w:rFonts w:ascii="Times New Roman" w:eastAsia="Calibri" w:hAnsi="Times New Roman" w:cs="Times New Roman"/>
          <w:sz w:val="24"/>
          <w:szCs w:val="24"/>
          <w:lang w:val="x-none"/>
        </w:rPr>
        <w:t>% wszystkich przypadków nielegalnego postępowania z</w:t>
      </w:r>
      <w:r>
        <w:rPr>
          <w:rFonts w:ascii="Times New Roman" w:eastAsia="Calibri" w:hAnsi="Times New Roman" w:cs="Times New Roman"/>
          <w:sz w:val="24"/>
          <w:szCs w:val="24"/>
        </w:rPr>
        <w:t> </w:t>
      </w:r>
      <w:r w:rsidRPr="00965BA2">
        <w:rPr>
          <w:rFonts w:ascii="Times New Roman" w:eastAsia="Calibri" w:hAnsi="Times New Roman" w:cs="Times New Roman"/>
          <w:sz w:val="24"/>
          <w:szCs w:val="24"/>
          <w:lang w:val="x-none"/>
        </w:rPr>
        <w:t>odpadami), z czego najwięcej odnotowano w</w:t>
      </w:r>
      <w:r w:rsidRPr="00965BA2">
        <w:rPr>
          <w:rFonts w:ascii="Times New Roman" w:eastAsia="Calibri" w:hAnsi="Times New Roman" w:cs="Times New Roman"/>
          <w:sz w:val="24"/>
          <w:szCs w:val="24"/>
        </w:rPr>
        <w:t xml:space="preserve"> </w:t>
      </w:r>
      <w:r w:rsidRPr="00965BA2">
        <w:rPr>
          <w:rFonts w:ascii="Times New Roman" w:eastAsia="Calibri" w:hAnsi="Times New Roman" w:cs="Times New Roman"/>
          <w:sz w:val="24"/>
          <w:szCs w:val="24"/>
          <w:lang w:val="x-none"/>
        </w:rPr>
        <w:t>województwach</w:t>
      </w:r>
      <w:r>
        <w:rPr>
          <w:rFonts w:ascii="Times New Roman" w:eastAsia="Calibri" w:hAnsi="Times New Roman" w:cs="Times New Roman"/>
          <w:sz w:val="24"/>
          <w:szCs w:val="24"/>
        </w:rPr>
        <w:t>:</w:t>
      </w:r>
      <w:r w:rsidR="00FA42C0">
        <w:rPr>
          <w:rFonts w:ascii="Times New Roman" w:eastAsia="Calibri" w:hAnsi="Times New Roman" w:cs="Times New Roman"/>
          <w:sz w:val="24"/>
          <w:szCs w:val="24"/>
        </w:rPr>
        <w:t xml:space="preserve"> kujawsko-pomorskim </w:t>
      </w:r>
      <w:r w:rsidRPr="00965BA2">
        <w:rPr>
          <w:rFonts w:ascii="Times New Roman" w:eastAsia="Calibri" w:hAnsi="Times New Roman" w:cs="Times New Roman"/>
          <w:sz w:val="24"/>
          <w:szCs w:val="24"/>
          <w:lang w:val="x-none"/>
        </w:rPr>
        <w:t>(</w:t>
      </w:r>
      <w:r w:rsidRPr="00965BA2">
        <w:rPr>
          <w:rFonts w:ascii="Times New Roman" w:eastAsia="Calibri" w:hAnsi="Times New Roman" w:cs="Times New Roman"/>
          <w:sz w:val="24"/>
          <w:szCs w:val="24"/>
        </w:rPr>
        <w:t>22</w:t>
      </w:r>
      <w:r w:rsidRPr="00965BA2">
        <w:rPr>
          <w:rFonts w:ascii="Times New Roman" w:eastAsia="Calibri" w:hAnsi="Times New Roman" w:cs="Times New Roman"/>
          <w:sz w:val="24"/>
          <w:szCs w:val="24"/>
          <w:lang w:val="x-none"/>
        </w:rPr>
        <w:t xml:space="preserve">) </w:t>
      </w:r>
      <w:r w:rsidRPr="00965BA2">
        <w:rPr>
          <w:rFonts w:ascii="Times New Roman" w:eastAsia="Calibri" w:hAnsi="Times New Roman" w:cs="Times New Roman"/>
          <w:sz w:val="24"/>
          <w:szCs w:val="24"/>
        </w:rPr>
        <w:t>i wielkopolskim (12).</w:t>
      </w:r>
    </w:p>
    <w:p w14:paraId="31141FBB" w14:textId="77777777" w:rsidR="0088289B" w:rsidRPr="00965BA2" w:rsidRDefault="0088289B" w:rsidP="00056EE7">
      <w:pPr>
        <w:spacing w:after="0" w:line="300" w:lineRule="atLeast"/>
        <w:ind w:left="851"/>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lang w:val="x-none"/>
        </w:rPr>
        <w:lastRenderedPageBreak/>
        <w:t xml:space="preserve">Zgodnie z wiedzą IOŚ, organy ścigania zajmowały się lub nadal zajmują </w:t>
      </w:r>
      <w:r w:rsidRPr="00965BA2">
        <w:rPr>
          <w:rFonts w:ascii="Times New Roman" w:eastAsia="Calibri" w:hAnsi="Times New Roman" w:cs="Times New Roman"/>
          <w:sz w:val="24"/>
          <w:szCs w:val="24"/>
        </w:rPr>
        <w:t>5</w:t>
      </w:r>
      <w:r w:rsidRPr="00965BA2">
        <w:rPr>
          <w:rFonts w:ascii="Times New Roman" w:eastAsia="Calibri" w:hAnsi="Times New Roman" w:cs="Times New Roman"/>
          <w:sz w:val="24"/>
          <w:szCs w:val="24"/>
          <w:lang w:val="x-none"/>
        </w:rPr>
        <w:t>6 sprawami (</w:t>
      </w:r>
      <w:r>
        <w:rPr>
          <w:rFonts w:ascii="Times New Roman" w:eastAsia="Calibri" w:hAnsi="Times New Roman" w:cs="Times New Roman"/>
          <w:sz w:val="24"/>
          <w:szCs w:val="24"/>
        </w:rPr>
        <w:t xml:space="preserve">55% </w:t>
      </w:r>
      <w:r w:rsidRPr="00965BA2">
        <w:rPr>
          <w:rFonts w:ascii="Times New Roman" w:eastAsia="Calibri" w:hAnsi="Times New Roman" w:cs="Times New Roman"/>
          <w:sz w:val="24"/>
          <w:szCs w:val="24"/>
          <w:lang w:val="x-none"/>
        </w:rPr>
        <w:t xml:space="preserve">ujawnionych przypadków). </w:t>
      </w:r>
    </w:p>
    <w:p w14:paraId="6C1212BC" w14:textId="77777777" w:rsidR="0088289B" w:rsidRPr="00965BA2" w:rsidRDefault="0088289B" w:rsidP="00D34F97">
      <w:pPr>
        <w:numPr>
          <w:ilvl w:val="0"/>
          <w:numId w:val="85"/>
        </w:numPr>
        <w:spacing w:after="0" w:line="300" w:lineRule="atLeast"/>
        <w:ind w:left="851" w:hanging="284"/>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lang w:val="x-none"/>
        </w:rPr>
        <w:t>Inne ujawnione przez wojewódzkich inspektorów ochrony środowiska przypadki naruszeń w zakresie gospodarki odpadami dotyczyły głównie prowadzenia gospodarki odpadami bez uregulowanego stanu formalnoprawnego oraz z naruszeniem obowiązujących przepisów – 6</w:t>
      </w:r>
      <w:r w:rsidRPr="00965BA2">
        <w:rPr>
          <w:rFonts w:ascii="Times New Roman" w:eastAsia="Calibri" w:hAnsi="Times New Roman" w:cs="Times New Roman"/>
          <w:sz w:val="24"/>
          <w:szCs w:val="24"/>
        </w:rPr>
        <w:t>09</w:t>
      </w:r>
      <w:r w:rsidRPr="00965BA2">
        <w:rPr>
          <w:rFonts w:ascii="Times New Roman" w:eastAsia="Calibri" w:hAnsi="Times New Roman" w:cs="Times New Roman"/>
          <w:sz w:val="24"/>
          <w:szCs w:val="24"/>
          <w:lang w:val="x-none"/>
        </w:rPr>
        <w:t xml:space="preserve"> przypadków (</w:t>
      </w:r>
      <w:r w:rsidRPr="00965BA2">
        <w:rPr>
          <w:rFonts w:ascii="Times New Roman" w:eastAsia="Calibri" w:hAnsi="Times New Roman" w:cs="Times New Roman"/>
          <w:sz w:val="24"/>
          <w:szCs w:val="24"/>
        </w:rPr>
        <w:t>42</w:t>
      </w:r>
      <w:r w:rsidRPr="00965BA2">
        <w:rPr>
          <w:rFonts w:ascii="Times New Roman" w:eastAsia="Calibri" w:hAnsi="Times New Roman" w:cs="Times New Roman"/>
          <w:sz w:val="24"/>
          <w:szCs w:val="24"/>
          <w:lang w:val="x-none"/>
        </w:rPr>
        <w:t>% wszystkich przypadków nielegalnego postępowania z odpadami</w:t>
      </w:r>
      <w:r w:rsidRPr="00965BA2">
        <w:rPr>
          <w:rFonts w:ascii="Times New Roman" w:eastAsia="Calibri" w:hAnsi="Times New Roman" w:cs="Times New Roman"/>
          <w:sz w:val="24"/>
          <w:szCs w:val="24"/>
        </w:rPr>
        <w:t>.</w:t>
      </w:r>
    </w:p>
    <w:p w14:paraId="33775E1D" w14:textId="0C65B348" w:rsidR="00895F16" w:rsidRPr="007F400A" w:rsidRDefault="0088289B" w:rsidP="00056EE7">
      <w:pPr>
        <w:spacing w:after="0" w:line="300" w:lineRule="atLeast"/>
        <w:ind w:left="851"/>
        <w:jc w:val="both"/>
        <w:rPr>
          <w:rFonts w:ascii="Times New Roman" w:eastAsia="Calibri" w:hAnsi="Times New Roman" w:cs="Times New Roman"/>
          <w:sz w:val="24"/>
          <w:szCs w:val="24"/>
          <w:lang w:eastAsia="pl-PL"/>
        </w:rPr>
      </w:pPr>
      <w:r w:rsidRPr="00965BA2">
        <w:rPr>
          <w:rFonts w:ascii="Times New Roman" w:eastAsia="Calibri" w:hAnsi="Times New Roman" w:cs="Times New Roman"/>
          <w:sz w:val="24"/>
          <w:szCs w:val="24"/>
          <w:lang w:val="x-none"/>
        </w:rPr>
        <w:t xml:space="preserve">Z informacji posiadanych przez IOŚ wynika, że organy ścigania zajmowały się lub nadal zajmują się </w:t>
      </w:r>
      <w:r w:rsidRPr="00965BA2">
        <w:rPr>
          <w:rFonts w:ascii="Times New Roman" w:eastAsia="Calibri" w:hAnsi="Times New Roman" w:cs="Times New Roman"/>
          <w:sz w:val="24"/>
          <w:szCs w:val="24"/>
        </w:rPr>
        <w:t>58</w:t>
      </w:r>
      <w:r w:rsidRPr="00965BA2">
        <w:rPr>
          <w:rFonts w:ascii="Times New Roman" w:eastAsia="Calibri" w:hAnsi="Times New Roman" w:cs="Times New Roman"/>
          <w:sz w:val="24"/>
          <w:szCs w:val="24"/>
          <w:lang w:val="x-none"/>
        </w:rPr>
        <w:t xml:space="preserve"> sprawami (</w:t>
      </w:r>
      <w:r>
        <w:rPr>
          <w:rFonts w:ascii="Times New Roman" w:eastAsia="Calibri" w:hAnsi="Times New Roman" w:cs="Times New Roman"/>
          <w:sz w:val="24"/>
          <w:szCs w:val="24"/>
        </w:rPr>
        <w:t xml:space="preserve">10 % </w:t>
      </w:r>
      <w:r w:rsidRPr="00965BA2">
        <w:rPr>
          <w:rFonts w:ascii="Times New Roman" w:eastAsia="Calibri" w:hAnsi="Times New Roman" w:cs="Times New Roman"/>
          <w:sz w:val="24"/>
          <w:szCs w:val="24"/>
          <w:lang w:val="x-none"/>
        </w:rPr>
        <w:t>ujawnionych przypadków</w:t>
      </w:r>
      <w:r w:rsidR="00895F16" w:rsidRPr="007F400A">
        <w:rPr>
          <w:rFonts w:ascii="Times New Roman" w:eastAsia="Calibri" w:hAnsi="Times New Roman" w:cs="Times New Roman"/>
          <w:color w:val="000000"/>
          <w:sz w:val="24"/>
          <w:szCs w:val="24"/>
          <w:lang w:eastAsia="pl-PL"/>
        </w:rPr>
        <w:t>.</w:t>
      </w:r>
    </w:p>
    <w:p w14:paraId="056258FA" w14:textId="77777777" w:rsidR="00895F16" w:rsidRPr="007F400A" w:rsidRDefault="00895F16" w:rsidP="00056EE7">
      <w:pPr>
        <w:tabs>
          <w:tab w:val="left" w:pos="567"/>
        </w:tabs>
        <w:spacing w:after="0" w:line="300" w:lineRule="atLeast"/>
        <w:ind w:left="720" w:right="57"/>
        <w:contextualSpacing/>
        <w:jc w:val="both"/>
        <w:rPr>
          <w:rFonts w:ascii="Times New Roman" w:eastAsia="Calibri" w:hAnsi="Times New Roman" w:cs="Times New Roman"/>
          <w:sz w:val="24"/>
          <w:szCs w:val="24"/>
          <w:lang w:val="x-none" w:eastAsia="pl-PL"/>
        </w:rPr>
      </w:pPr>
    </w:p>
    <w:p w14:paraId="28FC2B84" w14:textId="77777777" w:rsidR="00895F16" w:rsidRPr="007F400A" w:rsidRDefault="00895F16" w:rsidP="00FA42C0">
      <w:pPr>
        <w:keepNext/>
        <w:spacing w:after="120" w:line="300" w:lineRule="atLeast"/>
        <w:outlineLvl w:val="0"/>
        <w:rPr>
          <w:rFonts w:ascii="Times New Roman" w:eastAsia="Times New Roman" w:hAnsi="Times New Roman" w:cs="Times New Roman"/>
          <w:b/>
          <w:bCs/>
          <w:sz w:val="24"/>
          <w:szCs w:val="24"/>
          <w:lang w:val="x-none" w:eastAsia="x-none"/>
        </w:rPr>
      </w:pPr>
      <w:bookmarkStart w:id="91" w:name="_Toc36732568"/>
      <w:bookmarkStart w:id="92" w:name="_Toc135935594"/>
      <w:r w:rsidRPr="007F400A">
        <w:rPr>
          <w:rFonts w:ascii="Times New Roman" w:eastAsia="Times New Roman" w:hAnsi="Times New Roman" w:cs="Times New Roman"/>
          <w:b/>
          <w:bCs/>
          <w:sz w:val="24"/>
          <w:szCs w:val="24"/>
          <w:lang w:val="x-none" w:eastAsia="x-none"/>
        </w:rPr>
        <w:t>3.3.</w:t>
      </w:r>
      <w:r w:rsidRPr="007F400A">
        <w:rPr>
          <w:rFonts w:ascii="Times New Roman" w:eastAsia="Times New Roman" w:hAnsi="Times New Roman" w:cs="Times New Roman"/>
          <w:b/>
          <w:bCs/>
          <w:sz w:val="24"/>
          <w:szCs w:val="24"/>
          <w:lang w:eastAsia="x-none"/>
        </w:rPr>
        <w:t>4</w:t>
      </w:r>
      <w:r w:rsidRPr="007F400A">
        <w:rPr>
          <w:rFonts w:ascii="Times New Roman" w:eastAsia="Times New Roman" w:hAnsi="Times New Roman" w:cs="Times New Roman"/>
          <w:b/>
          <w:bCs/>
          <w:sz w:val="24"/>
          <w:szCs w:val="24"/>
          <w:lang w:val="x-none" w:eastAsia="x-none"/>
        </w:rPr>
        <w:t xml:space="preserve"> Obiekty unieszkodliwiania odpadów wydobywczych</w:t>
      </w:r>
      <w:bookmarkEnd w:id="91"/>
      <w:bookmarkEnd w:id="92"/>
    </w:p>
    <w:p w14:paraId="318E59F3" w14:textId="5F6F1C2A" w:rsidR="0088289B" w:rsidRPr="00965BA2" w:rsidRDefault="0088289B" w:rsidP="00FA42C0">
      <w:pPr>
        <w:spacing w:after="60" w:line="300" w:lineRule="atLeast"/>
        <w:ind w:firstLine="567"/>
        <w:jc w:val="both"/>
        <w:rPr>
          <w:rFonts w:ascii="Times New Roman" w:eastAsia="Times New Roman" w:hAnsi="Times New Roman" w:cs="Times New Roman"/>
          <w:sz w:val="24"/>
          <w:szCs w:val="24"/>
        </w:rPr>
      </w:pPr>
      <w:r w:rsidRPr="00965BA2">
        <w:rPr>
          <w:rFonts w:ascii="Times New Roman" w:eastAsia="Times New Roman" w:hAnsi="Times New Roman" w:cs="Times New Roman"/>
          <w:sz w:val="24"/>
          <w:szCs w:val="24"/>
        </w:rPr>
        <w:t>W 2022 r. w kraju eksploatowanych było 115 obiektów unieszkodliwiania odpadów wydobywczych, zlokalizowanych na terenie 6 województw: dolnośląskiego (58), świętokrzyskiego (46), małopolskiego (6), opolskiego (2), śląskiego (2)</w:t>
      </w:r>
      <w:r w:rsidR="007E5276">
        <w:rPr>
          <w:rFonts w:ascii="Times New Roman" w:eastAsia="Times New Roman" w:hAnsi="Times New Roman" w:cs="Times New Roman"/>
          <w:sz w:val="24"/>
          <w:szCs w:val="24"/>
        </w:rPr>
        <w:t>, mazowieckiego (1)</w:t>
      </w:r>
      <w:r w:rsidRPr="00965BA2">
        <w:rPr>
          <w:rFonts w:ascii="Times New Roman" w:eastAsia="Times New Roman" w:hAnsi="Times New Roman" w:cs="Times New Roman"/>
          <w:sz w:val="24"/>
          <w:szCs w:val="24"/>
        </w:rPr>
        <w:t xml:space="preserve"> </w:t>
      </w:r>
      <w:r w:rsidR="007E5276">
        <w:rPr>
          <w:rFonts w:ascii="Times New Roman" w:eastAsia="Times New Roman" w:hAnsi="Times New Roman" w:cs="Times New Roman"/>
          <w:sz w:val="24"/>
          <w:szCs w:val="24"/>
        </w:rPr>
        <w:br/>
      </w:r>
      <w:r w:rsidRPr="00965BA2">
        <w:rPr>
          <w:rFonts w:ascii="Times New Roman" w:eastAsia="Times New Roman" w:hAnsi="Times New Roman" w:cs="Times New Roman"/>
          <w:sz w:val="24"/>
          <w:szCs w:val="24"/>
        </w:rPr>
        <w:t xml:space="preserve">i lubelskiego (1). </w:t>
      </w:r>
    </w:p>
    <w:p w14:paraId="3D1D85B6" w14:textId="77777777" w:rsidR="0088289B" w:rsidRPr="00965BA2" w:rsidRDefault="0088289B" w:rsidP="00056EE7">
      <w:pPr>
        <w:spacing w:after="0" w:line="300" w:lineRule="atLeast"/>
        <w:ind w:firstLine="567"/>
        <w:jc w:val="both"/>
        <w:rPr>
          <w:rFonts w:ascii="Times New Roman" w:eastAsia="Times New Roman" w:hAnsi="Times New Roman" w:cs="Times New Roman"/>
          <w:sz w:val="24"/>
          <w:szCs w:val="24"/>
        </w:rPr>
      </w:pPr>
      <w:r w:rsidRPr="00965BA2">
        <w:rPr>
          <w:rFonts w:ascii="Times New Roman" w:eastAsia="Times New Roman" w:hAnsi="Times New Roman" w:cs="Times New Roman"/>
          <w:sz w:val="24"/>
          <w:szCs w:val="24"/>
        </w:rPr>
        <w:t xml:space="preserve">W 2022 r. wojewódzcy inspektorzy ochrony środowiska przeprowadzili 14 kontroli obiektów unieszkodliwiania odpadów wydobywczych (w tym 9 kontroli planowych i 5 kontroli pozaplanowych). Naruszenia zostały stwierdzone w trakcie 5 kontroli, w tym: </w:t>
      </w:r>
    </w:p>
    <w:p w14:paraId="309F6711" w14:textId="77777777" w:rsidR="0088289B" w:rsidRPr="00965BA2" w:rsidRDefault="0088289B" w:rsidP="00D34F97">
      <w:pPr>
        <w:numPr>
          <w:ilvl w:val="0"/>
          <w:numId w:val="86"/>
        </w:numPr>
        <w:spacing w:after="0" w:line="300" w:lineRule="atLeast"/>
        <w:ind w:left="924" w:hanging="357"/>
        <w:contextualSpacing/>
        <w:jc w:val="both"/>
        <w:rPr>
          <w:rFonts w:ascii="Times New Roman" w:eastAsia="Times New Roman" w:hAnsi="Times New Roman" w:cs="Times New Roman"/>
          <w:sz w:val="24"/>
          <w:szCs w:val="24"/>
          <w:lang w:val="x-none" w:eastAsia="pl-PL"/>
        </w:rPr>
      </w:pPr>
      <w:r w:rsidRPr="00965BA2">
        <w:rPr>
          <w:rFonts w:ascii="Times New Roman" w:eastAsia="Times New Roman" w:hAnsi="Times New Roman" w:cs="Times New Roman"/>
          <w:sz w:val="24"/>
          <w:szCs w:val="24"/>
          <w:lang w:eastAsia="pl-PL"/>
        </w:rPr>
        <w:t>4 (80%) naruszenia</w:t>
      </w:r>
      <w:r w:rsidRPr="00965BA2">
        <w:rPr>
          <w:rFonts w:ascii="Times New Roman" w:eastAsia="Times New Roman" w:hAnsi="Times New Roman" w:cs="Times New Roman"/>
          <w:sz w:val="24"/>
          <w:szCs w:val="24"/>
          <w:lang w:val="x-none" w:eastAsia="pl-PL"/>
        </w:rPr>
        <w:t xml:space="preserve"> bez istotnego zagrożenia lub zanieczyszczenia środowiska</w:t>
      </w:r>
      <w:r w:rsidRPr="00965BA2">
        <w:rPr>
          <w:rFonts w:ascii="Times New Roman" w:eastAsia="Times New Roman" w:hAnsi="Times New Roman" w:cs="Times New Roman"/>
          <w:b/>
          <w:sz w:val="24"/>
          <w:szCs w:val="24"/>
          <w:lang w:val="x-none" w:eastAsia="pl-PL"/>
        </w:rPr>
        <w:t>,</w:t>
      </w:r>
    </w:p>
    <w:p w14:paraId="6E41C9BF" w14:textId="77777777" w:rsidR="0088289B" w:rsidRPr="00965BA2" w:rsidRDefault="0088289B" w:rsidP="00D34F97">
      <w:pPr>
        <w:numPr>
          <w:ilvl w:val="0"/>
          <w:numId w:val="86"/>
        </w:numPr>
        <w:spacing w:after="120" w:line="300" w:lineRule="atLeast"/>
        <w:ind w:left="924" w:hanging="357"/>
        <w:jc w:val="both"/>
        <w:rPr>
          <w:rFonts w:ascii="Times New Roman" w:eastAsia="Times New Roman" w:hAnsi="Times New Roman" w:cs="Times New Roman"/>
          <w:sz w:val="24"/>
          <w:szCs w:val="24"/>
          <w:lang w:val="x-none" w:eastAsia="pl-PL"/>
        </w:rPr>
      </w:pPr>
      <w:r w:rsidRPr="00965BA2">
        <w:rPr>
          <w:rFonts w:ascii="Times New Roman" w:eastAsia="Times New Roman" w:hAnsi="Times New Roman" w:cs="Times New Roman"/>
          <w:sz w:val="24"/>
          <w:szCs w:val="24"/>
          <w:lang w:eastAsia="pl-PL"/>
        </w:rPr>
        <w:t>1 (20%) naruszenie</w:t>
      </w:r>
      <w:r w:rsidRPr="00965BA2">
        <w:rPr>
          <w:rFonts w:ascii="Times New Roman" w:eastAsia="Times New Roman" w:hAnsi="Times New Roman" w:cs="Times New Roman"/>
          <w:sz w:val="24"/>
          <w:szCs w:val="24"/>
          <w:lang w:val="x-none" w:eastAsia="pl-PL"/>
        </w:rPr>
        <w:t xml:space="preserve"> mogące spowodować zagrożenie lub zanieczyszczenie środowiska.</w:t>
      </w:r>
    </w:p>
    <w:p w14:paraId="6CE584AB" w14:textId="77777777" w:rsidR="0088289B" w:rsidRPr="00965BA2" w:rsidRDefault="0088289B" w:rsidP="00FA42C0">
      <w:pPr>
        <w:spacing w:before="120" w:after="6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 xml:space="preserve">W związku ze stwierdzonymi naruszeniami: </w:t>
      </w:r>
    </w:p>
    <w:p w14:paraId="3C1F7DB2" w14:textId="77777777" w:rsidR="0088289B" w:rsidRPr="00965BA2" w:rsidRDefault="0088289B" w:rsidP="00D34F97">
      <w:pPr>
        <w:numPr>
          <w:ilvl w:val="0"/>
          <w:numId w:val="87"/>
        </w:numPr>
        <w:spacing w:after="0" w:line="300" w:lineRule="atLeast"/>
        <w:ind w:left="924" w:hanging="357"/>
        <w:contextualSpacing/>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lang w:val="x-none"/>
        </w:rPr>
        <w:t xml:space="preserve">udzielono </w:t>
      </w:r>
      <w:r w:rsidRPr="00965BA2">
        <w:rPr>
          <w:rFonts w:ascii="Times New Roman" w:eastAsia="Calibri" w:hAnsi="Times New Roman" w:cs="Times New Roman"/>
          <w:sz w:val="24"/>
          <w:szCs w:val="24"/>
        </w:rPr>
        <w:t>4</w:t>
      </w:r>
      <w:r w:rsidRPr="00965BA2">
        <w:rPr>
          <w:rFonts w:ascii="Times New Roman" w:eastAsia="Calibri" w:hAnsi="Times New Roman" w:cs="Times New Roman"/>
          <w:sz w:val="24"/>
          <w:szCs w:val="24"/>
          <w:lang w:val="x-none"/>
        </w:rPr>
        <w:t xml:space="preserve"> poucze</w:t>
      </w:r>
      <w:r w:rsidRPr="00965BA2">
        <w:rPr>
          <w:rFonts w:ascii="Times New Roman" w:eastAsia="Calibri" w:hAnsi="Times New Roman" w:cs="Times New Roman"/>
          <w:sz w:val="24"/>
          <w:szCs w:val="24"/>
        </w:rPr>
        <w:t>ń</w:t>
      </w:r>
      <w:r w:rsidRPr="00965BA2">
        <w:rPr>
          <w:rFonts w:ascii="Times New Roman" w:eastAsia="Calibri" w:hAnsi="Times New Roman" w:cs="Times New Roman"/>
          <w:sz w:val="24"/>
          <w:szCs w:val="24"/>
          <w:lang w:val="x-none"/>
        </w:rPr>
        <w:t>,</w:t>
      </w:r>
    </w:p>
    <w:p w14:paraId="1F25ECF5" w14:textId="77777777" w:rsidR="0088289B" w:rsidRPr="00965BA2" w:rsidRDefault="0088289B" w:rsidP="00D34F97">
      <w:pPr>
        <w:numPr>
          <w:ilvl w:val="0"/>
          <w:numId w:val="87"/>
        </w:numPr>
        <w:spacing w:after="0" w:line="300" w:lineRule="atLeast"/>
        <w:ind w:left="924" w:hanging="357"/>
        <w:contextualSpacing/>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lang w:val="x-none"/>
        </w:rPr>
        <w:t xml:space="preserve">nałożono </w:t>
      </w:r>
      <w:r w:rsidRPr="00965BA2">
        <w:rPr>
          <w:rFonts w:ascii="Times New Roman" w:eastAsia="Calibri" w:hAnsi="Times New Roman" w:cs="Times New Roman"/>
          <w:sz w:val="24"/>
          <w:szCs w:val="24"/>
        </w:rPr>
        <w:t>5</w:t>
      </w:r>
      <w:r w:rsidRPr="00965BA2">
        <w:rPr>
          <w:rFonts w:ascii="Times New Roman" w:eastAsia="Calibri" w:hAnsi="Times New Roman" w:cs="Times New Roman"/>
          <w:sz w:val="24"/>
          <w:szCs w:val="24"/>
          <w:lang w:val="x-none"/>
        </w:rPr>
        <w:t xml:space="preserve"> mandat</w:t>
      </w:r>
      <w:r w:rsidRPr="00965BA2">
        <w:rPr>
          <w:rFonts w:ascii="Times New Roman" w:eastAsia="Calibri" w:hAnsi="Times New Roman" w:cs="Times New Roman"/>
          <w:sz w:val="24"/>
          <w:szCs w:val="24"/>
        </w:rPr>
        <w:t>ów</w:t>
      </w:r>
      <w:r w:rsidRPr="00965BA2">
        <w:rPr>
          <w:rFonts w:ascii="Times New Roman" w:eastAsia="Calibri" w:hAnsi="Times New Roman" w:cs="Times New Roman"/>
          <w:sz w:val="24"/>
          <w:szCs w:val="24"/>
          <w:lang w:val="x-none"/>
        </w:rPr>
        <w:t xml:space="preserve"> karn</w:t>
      </w:r>
      <w:r w:rsidRPr="00965BA2">
        <w:rPr>
          <w:rFonts w:ascii="Times New Roman" w:eastAsia="Calibri" w:hAnsi="Times New Roman" w:cs="Times New Roman"/>
          <w:sz w:val="24"/>
          <w:szCs w:val="24"/>
        </w:rPr>
        <w:t>ych</w:t>
      </w:r>
      <w:r w:rsidRPr="00965BA2">
        <w:rPr>
          <w:rFonts w:ascii="Times New Roman" w:eastAsia="Calibri" w:hAnsi="Times New Roman" w:cs="Times New Roman"/>
          <w:sz w:val="24"/>
          <w:szCs w:val="24"/>
          <w:lang w:val="x-none"/>
        </w:rPr>
        <w:t>,</w:t>
      </w:r>
    </w:p>
    <w:p w14:paraId="0D003DF0" w14:textId="77777777" w:rsidR="0088289B" w:rsidRPr="00965BA2" w:rsidRDefault="0088289B" w:rsidP="00D34F97">
      <w:pPr>
        <w:numPr>
          <w:ilvl w:val="0"/>
          <w:numId w:val="87"/>
        </w:numPr>
        <w:spacing w:after="0" w:line="300" w:lineRule="atLeast"/>
        <w:ind w:left="924" w:hanging="357"/>
        <w:contextualSpacing/>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lang w:val="x-none"/>
        </w:rPr>
        <w:t xml:space="preserve">wydano </w:t>
      </w:r>
      <w:r w:rsidRPr="00965BA2">
        <w:rPr>
          <w:rFonts w:ascii="Times New Roman" w:eastAsia="Calibri" w:hAnsi="Times New Roman" w:cs="Times New Roman"/>
          <w:sz w:val="24"/>
          <w:szCs w:val="24"/>
        </w:rPr>
        <w:t>5</w:t>
      </w:r>
      <w:r w:rsidRPr="00965BA2">
        <w:rPr>
          <w:rFonts w:ascii="Times New Roman" w:eastAsia="Calibri" w:hAnsi="Times New Roman" w:cs="Times New Roman"/>
          <w:sz w:val="24"/>
          <w:szCs w:val="24"/>
          <w:lang w:val="x-none"/>
        </w:rPr>
        <w:t xml:space="preserve"> zarządze</w:t>
      </w:r>
      <w:r w:rsidRPr="00965BA2">
        <w:rPr>
          <w:rFonts w:ascii="Times New Roman" w:eastAsia="Calibri" w:hAnsi="Times New Roman" w:cs="Times New Roman"/>
          <w:sz w:val="24"/>
          <w:szCs w:val="24"/>
        </w:rPr>
        <w:t>ń</w:t>
      </w:r>
      <w:r w:rsidRPr="00965BA2">
        <w:rPr>
          <w:rFonts w:ascii="Times New Roman" w:eastAsia="Calibri" w:hAnsi="Times New Roman" w:cs="Times New Roman"/>
          <w:sz w:val="24"/>
          <w:szCs w:val="24"/>
          <w:lang w:val="x-none"/>
        </w:rPr>
        <w:t xml:space="preserve"> pokontroln</w:t>
      </w:r>
      <w:r w:rsidRPr="00965BA2">
        <w:rPr>
          <w:rFonts w:ascii="Times New Roman" w:eastAsia="Calibri" w:hAnsi="Times New Roman" w:cs="Times New Roman"/>
          <w:sz w:val="24"/>
          <w:szCs w:val="24"/>
        </w:rPr>
        <w:t>ych</w:t>
      </w:r>
      <w:r w:rsidRPr="00965BA2">
        <w:rPr>
          <w:rFonts w:ascii="Times New Roman" w:eastAsia="Calibri" w:hAnsi="Times New Roman" w:cs="Times New Roman"/>
          <w:sz w:val="24"/>
          <w:szCs w:val="24"/>
          <w:lang w:val="x-none"/>
        </w:rPr>
        <w:t>,</w:t>
      </w:r>
    </w:p>
    <w:p w14:paraId="5D54C5E0" w14:textId="77777777" w:rsidR="0088289B" w:rsidRPr="00965BA2" w:rsidRDefault="0088289B" w:rsidP="00D34F97">
      <w:pPr>
        <w:numPr>
          <w:ilvl w:val="0"/>
          <w:numId w:val="87"/>
        </w:numPr>
        <w:spacing w:after="120" w:line="300" w:lineRule="atLeast"/>
        <w:ind w:left="924" w:hanging="357"/>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lang w:val="x-none"/>
        </w:rPr>
        <w:t>skierowano 2 wystąpienia do innych organów</w:t>
      </w:r>
      <w:r w:rsidRPr="00965BA2">
        <w:rPr>
          <w:rFonts w:ascii="Times New Roman" w:eastAsia="Calibri" w:hAnsi="Times New Roman" w:cs="Times New Roman"/>
          <w:sz w:val="24"/>
          <w:szCs w:val="24"/>
        </w:rPr>
        <w:t>.</w:t>
      </w:r>
    </w:p>
    <w:p w14:paraId="44BF6630" w14:textId="63848916" w:rsidR="00895F16" w:rsidRDefault="0088289B" w:rsidP="00056EE7">
      <w:pPr>
        <w:spacing w:after="0" w:line="300" w:lineRule="atLeast"/>
        <w:ind w:firstLine="567"/>
        <w:jc w:val="both"/>
        <w:rPr>
          <w:rFonts w:ascii="Times New Roman" w:eastAsia="Times New Roman" w:hAnsi="Times New Roman" w:cs="Times New Roman"/>
          <w:color w:val="000000"/>
          <w:sz w:val="24"/>
          <w:szCs w:val="24"/>
        </w:rPr>
      </w:pPr>
      <w:r w:rsidRPr="00965BA2">
        <w:rPr>
          <w:rFonts w:ascii="Times New Roman" w:eastAsia="Times New Roman" w:hAnsi="Times New Roman" w:cs="Times New Roman"/>
          <w:sz w:val="24"/>
          <w:szCs w:val="24"/>
        </w:rPr>
        <w:t>W 2022 r. na terenie 3 województw: dolnośląskiego (1), podkarpackiego (1)</w:t>
      </w:r>
      <w:r>
        <w:rPr>
          <w:rFonts w:ascii="Times New Roman" w:eastAsia="Times New Roman" w:hAnsi="Times New Roman" w:cs="Times New Roman"/>
          <w:sz w:val="24"/>
          <w:szCs w:val="24"/>
        </w:rPr>
        <w:t xml:space="preserve"> oraz </w:t>
      </w:r>
      <w:r w:rsidRPr="00965BA2">
        <w:rPr>
          <w:rFonts w:ascii="Times New Roman" w:eastAsia="Times New Roman" w:hAnsi="Times New Roman" w:cs="Times New Roman"/>
          <w:sz w:val="24"/>
          <w:szCs w:val="24"/>
        </w:rPr>
        <w:t xml:space="preserve">śląskiego (4) zlokalizowanych było łącznie 6 zamkniętych obiektów unieszkodliwiania odpadów wydobywczych oraz opuszczonych obiektów unieszkodliwiania odpadów wydobywczych, które wywierają negatywny wpływ na środowisko lub mogą stać się </w:t>
      </w:r>
      <w:r w:rsidR="00FA42C0">
        <w:rPr>
          <w:rFonts w:ascii="Times New Roman" w:eastAsia="Times New Roman" w:hAnsi="Times New Roman" w:cs="Times New Roman"/>
          <w:sz w:val="24"/>
          <w:szCs w:val="24"/>
        </w:rPr>
        <w:br/>
      </w:r>
      <w:r w:rsidRPr="00965BA2">
        <w:rPr>
          <w:rFonts w:ascii="Times New Roman" w:eastAsia="Times New Roman" w:hAnsi="Times New Roman" w:cs="Times New Roman"/>
          <w:sz w:val="24"/>
          <w:szCs w:val="24"/>
        </w:rPr>
        <w:t>w średnio- lub krótkoterminowej perspektywie poważnym zagrożeniem dla zdrowia i życia ludzi lub zagrożeniem dla środowiska</w:t>
      </w:r>
      <w:r w:rsidR="00895F16" w:rsidRPr="007F400A">
        <w:rPr>
          <w:rFonts w:ascii="Times New Roman" w:eastAsia="Times New Roman" w:hAnsi="Times New Roman" w:cs="Times New Roman"/>
          <w:color w:val="000000"/>
          <w:sz w:val="24"/>
          <w:szCs w:val="24"/>
        </w:rPr>
        <w:t>.</w:t>
      </w:r>
    </w:p>
    <w:p w14:paraId="7C76889C" w14:textId="77777777" w:rsidR="0088289B" w:rsidRPr="007F400A" w:rsidRDefault="0088289B" w:rsidP="00056EE7">
      <w:pPr>
        <w:spacing w:after="0" w:line="300" w:lineRule="atLeast"/>
        <w:ind w:firstLine="567"/>
        <w:jc w:val="both"/>
        <w:rPr>
          <w:rFonts w:ascii="Times New Roman" w:eastAsia="Times New Roman" w:hAnsi="Times New Roman" w:cs="Times New Roman"/>
          <w:color w:val="000000"/>
          <w:sz w:val="24"/>
          <w:szCs w:val="24"/>
        </w:rPr>
      </w:pPr>
    </w:p>
    <w:p w14:paraId="7DC02650" w14:textId="77777777" w:rsidR="00895F16" w:rsidRPr="007F400A" w:rsidRDefault="00895F16" w:rsidP="00FA42C0">
      <w:pPr>
        <w:keepNext/>
        <w:spacing w:after="120" w:line="300" w:lineRule="atLeast"/>
        <w:outlineLvl w:val="0"/>
        <w:rPr>
          <w:rFonts w:ascii="Times New Roman" w:eastAsia="Times New Roman" w:hAnsi="Times New Roman" w:cs="Times New Roman"/>
          <w:b/>
          <w:bCs/>
          <w:sz w:val="24"/>
          <w:szCs w:val="24"/>
          <w:lang w:val="x-none" w:eastAsia="x-none"/>
        </w:rPr>
      </w:pPr>
      <w:bookmarkStart w:id="93" w:name="_Toc36732569"/>
      <w:bookmarkStart w:id="94" w:name="_Toc135935595"/>
      <w:r w:rsidRPr="007F400A">
        <w:rPr>
          <w:rFonts w:ascii="Times New Roman" w:eastAsia="Times New Roman" w:hAnsi="Times New Roman" w:cs="Times New Roman"/>
          <w:b/>
          <w:bCs/>
          <w:sz w:val="24"/>
          <w:szCs w:val="24"/>
          <w:lang w:val="x-none" w:eastAsia="x-none"/>
        </w:rPr>
        <w:t>3.3.</w:t>
      </w:r>
      <w:r w:rsidRPr="007F400A">
        <w:rPr>
          <w:rFonts w:ascii="Times New Roman" w:eastAsia="Times New Roman" w:hAnsi="Times New Roman" w:cs="Times New Roman"/>
          <w:b/>
          <w:bCs/>
          <w:sz w:val="24"/>
          <w:szCs w:val="24"/>
          <w:lang w:eastAsia="x-none"/>
        </w:rPr>
        <w:t>5</w:t>
      </w:r>
      <w:r w:rsidRPr="007F400A">
        <w:rPr>
          <w:rFonts w:ascii="Times New Roman" w:eastAsia="Times New Roman" w:hAnsi="Times New Roman" w:cs="Times New Roman"/>
          <w:b/>
          <w:bCs/>
          <w:sz w:val="24"/>
          <w:szCs w:val="24"/>
          <w:lang w:val="x-none" w:eastAsia="x-none"/>
        </w:rPr>
        <w:t xml:space="preserve"> Instalacje do termicznego przetwarzania odpadów</w:t>
      </w:r>
      <w:bookmarkEnd w:id="93"/>
      <w:bookmarkEnd w:id="94"/>
    </w:p>
    <w:p w14:paraId="61771D4C" w14:textId="77777777" w:rsidR="0088289B" w:rsidRPr="002843F9" w:rsidRDefault="0088289B" w:rsidP="00FA42C0">
      <w:pPr>
        <w:spacing w:after="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 xml:space="preserve">W 2022 r. wojewódzcy inspektorzy ochrony środowiska przeprowadzili 82 kontrole instalacji do spalania i współspalania odpadów, w tym 49 kontroli planowych oraz 33 kontrole pozaplanowe. W trakcie </w:t>
      </w:r>
      <w:r w:rsidRPr="002843F9">
        <w:rPr>
          <w:rFonts w:ascii="Times New Roman" w:eastAsia="Calibri" w:hAnsi="Times New Roman" w:cs="Times New Roman"/>
          <w:sz w:val="24"/>
          <w:szCs w:val="24"/>
        </w:rPr>
        <w:t>34 kontroli stwierdzono naruszenia przepisów ochrony środowiska, w tym:</w:t>
      </w:r>
    </w:p>
    <w:p w14:paraId="31ABDE5A" w14:textId="77777777" w:rsidR="0088289B" w:rsidRPr="002843F9" w:rsidRDefault="0088289B" w:rsidP="00D34F97">
      <w:pPr>
        <w:numPr>
          <w:ilvl w:val="0"/>
          <w:numId w:val="90"/>
        </w:numPr>
        <w:spacing w:after="0" w:line="300" w:lineRule="atLeast"/>
        <w:ind w:left="924" w:hanging="357"/>
        <w:contextualSpacing/>
        <w:jc w:val="both"/>
        <w:rPr>
          <w:rFonts w:ascii="Times New Roman" w:eastAsia="Calibri" w:hAnsi="Times New Roman" w:cs="Times New Roman"/>
          <w:sz w:val="24"/>
          <w:szCs w:val="24"/>
          <w:lang w:val="x-none" w:eastAsia="pl-PL"/>
        </w:rPr>
      </w:pPr>
      <w:r w:rsidRPr="002843F9">
        <w:rPr>
          <w:rFonts w:ascii="Times New Roman" w:eastAsia="Calibri" w:hAnsi="Times New Roman" w:cs="Times New Roman"/>
          <w:sz w:val="24"/>
          <w:szCs w:val="24"/>
          <w:lang w:eastAsia="pl-PL"/>
        </w:rPr>
        <w:t>26</w:t>
      </w:r>
      <w:r w:rsidRPr="002843F9">
        <w:rPr>
          <w:rFonts w:ascii="Times New Roman" w:eastAsia="Calibri" w:hAnsi="Times New Roman" w:cs="Times New Roman"/>
          <w:sz w:val="24"/>
          <w:szCs w:val="24"/>
          <w:lang w:val="x-none" w:eastAsia="pl-PL"/>
        </w:rPr>
        <w:t xml:space="preserve"> </w:t>
      </w:r>
      <w:r w:rsidRPr="002843F9">
        <w:rPr>
          <w:rFonts w:ascii="Times New Roman" w:eastAsia="Calibri" w:hAnsi="Times New Roman" w:cs="Times New Roman"/>
          <w:sz w:val="24"/>
          <w:szCs w:val="24"/>
          <w:lang w:eastAsia="pl-PL"/>
        </w:rPr>
        <w:t>(76%) naruszeń</w:t>
      </w:r>
      <w:r w:rsidRPr="002843F9">
        <w:rPr>
          <w:rFonts w:ascii="Times New Roman" w:eastAsia="Calibri" w:hAnsi="Times New Roman" w:cs="Times New Roman"/>
          <w:sz w:val="24"/>
          <w:szCs w:val="24"/>
          <w:lang w:val="x-none" w:eastAsia="pl-PL"/>
        </w:rPr>
        <w:t xml:space="preserve"> dotyczyło naruszeń bez istotnego wpływu na środowisko</w:t>
      </w:r>
      <w:r w:rsidRPr="002843F9">
        <w:rPr>
          <w:rFonts w:ascii="Times New Roman" w:eastAsia="Calibri" w:hAnsi="Times New Roman" w:cs="Times New Roman"/>
          <w:sz w:val="24"/>
          <w:szCs w:val="24"/>
          <w:lang w:eastAsia="pl-PL"/>
        </w:rPr>
        <w:t>,</w:t>
      </w:r>
    </w:p>
    <w:p w14:paraId="297DF232" w14:textId="77777777" w:rsidR="0088289B" w:rsidRPr="00965BA2" w:rsidRDefault="0088289B" w:rsidP="00D34F97">
      <w:pPr>
        <w:numPr>
          <w:ilvl w:val="0"/>
          <w:numId w:val="90"/>
        </w:numPr>
        <w:spacing w:after="0" w:line="300" w:lineRule="atLeast"/>
        <w:ind w:left="924" w:hanging="357"/>
        <w:jc w:val="both"/>
        <w:rPr>
          <w:rFonts w:ascii="Times New Roman" w:eastAsia="Calibri" w:hAnsi="Times New Roman" w:cs="Times New Roman"/>
          <w:sz w:val="24"/>
          <w:szCs w:val="24"/>
          <w:lang w:val="x-none" w:eastAsia="pl-PL"/>
        </w:rPr>
      </w:pPr>
      <w:r w:rsidRPr="002843F9">
        <w:rPr>
          <w:rFonts w:ascii="Times New Roman" w:eastAsia="Calibri" w:hAnsi="Times New Roman" w:cs="Times New Roman"/>
          <w:sz w:val="24"/>
          <w:szCs w:val="24"/>
          <w:lang w:eastAsia="pl-PL"/>
        </w:rPr>
        <w:t>8</w:t>
      </w:r>
      <w:r w:rsidRPr="002843F9">
        <w:rPr>
          <w:rFonts w:ascii="Times New Roman" w:eastAsia="Calibri" w:hAnsi="Times New Roman" w:cs="Times New Roman"/>
          <w:sz w:val="24"/>
          <w:szCs w:val="24"/>
          <w:lang w:val="x-none" w:eastAsia="pl-PL"/>
        </w:rPr>
        <w:t> </w:t>
      </w:r>
      <w:r w:rsidRPr="002843F9">
        <w:rPr>
          <w:rFonts w:ascii="Times New Roman" w:eastAsia="Calibri" w:hAnsi="Times New Roman" w:cs="Times New Roman"/>
          <w:sz w:val="24"/>
          <w:szCs w:val="24"/>
          <w:lang w:eastAsia="pl-PL"/>
        </w:rPr>
        <w:t>(24%) naruszeń</w:t>
      </w:r>
      <w:r w:rsidRPr="00965BA2">
        <w:rPr>
          <w:rFonts w:ascii="Times New Roman" w:eastAsia="Calibri" w:hAnsi="Times New Roman" w:cs="Times New Roman"/>
          <w:sz w:val="24"/>
          <w:szCs w:val="24"/>
          <w:lang w:eastAsia="pl-PL"/>
        </w:rPr>
        <w:t>,</w:t>
      </w:r>
      <w:r w:rsidRPr="00965BA2">
        <w:rPr>
          <w:rFonts w:ascii="Times New Roman" w:eastAsia="Calibri" w:hAnsi="Times New Roman" w:cs="Times New Roman"/>
          <w:sz w:val="24"/>
          <w:szCs w:val="24"/>
          <w:lang w:val="x-none" w:eastAsia="pl-PL"/>
        </w:rPr>
        <w:t xml:space="preserve"> w wyniku których mogło nastąpić zagrożenie</w:t>
      </w:r>
      <w:r w:rsidRPr="00965BA2">
        <w:rPr>
          <w:rFonts w:ascii="Times New Roman" w:eastAsia="Calibri" w:hAnsi="Times New Roman" w:cs="Times New Roman"/>
          <w:sz w:val="24"/>
          <w:szCs w:val="24"/>
          <w:lang w:eastAsia="pl-PL"/>
        </w:rPr>
        <w:t xml:space="preserve"> </w:t>
      </w:r>
      <w:r w:rsidRPr="00965BA2">
        <w:rPr>
          <w:rFonts w:ascii="Times New Roman" w:eastAsia="Calibri" w:hAnsi="Times New Roman" w:cs="Times New Roman"/>
          <w:sz w:val="24"/>
          <w:szCs w:val="24"/>
          <w:lang w:val="x-none" w:eastAsia="pl-PL"/>
        </w:rPr>
        <w:t>lub</w:t>
      </w:r>
      <w:r w:rsidRPr="00965BA2">
        <w:rPr>
          <w:rFonts w:ascii="Times New Roman" w:eastAsia="Calibri" w:hAnsi="Times New Roman" w:cs="Times New Roman"/>
          <w:sz w:val="24"/>
          <w:szCs w:val="24"/>
          <w:lang w:eastAsia="pl-PL"/>
        </w:rPr>
        <w:t xml:space="preserve"> </w:t>
      </w:r>
      <w:r w:rsidRPr="00965BA2">
        <w:rPr>
          <w:rFonts w:ascii="Times New Roman" w:eastAsia="Calibri" w:hAnsi="Times New Roman" w:cs="Times New Roman"/>
          <w:sz w:val="24"/>
          <w:szCs w:val="24"/>
          <w:lang w:val="x-none" w:eastAsia="pl-PL"/>
        </w:rPr>
        <w:t>zanieczyszczenie środowiska.</w:t>
      </w:r>
    </w:p>
    <w:p w14:paraId="5FC13749" w14:textId="2D4CAA7F" w:rsidR="0088289B" w:rsidRPr="00965BA2" w:rsidRDefault="0088289B" w:rsidP="00E26B13">
      <w:pPr>
        <w:spacing w:before="120" w:after="6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Najczęściej stwierdzane naruszenia dotyczyły:</w:t>
      </w:r>
    </w:p>
    <w:p w14:paraId="1272E488" w14:textId="6114B8A0" w:rsidR="0088289B" w:rsidRPr="00965BA2" w:rsidRDefault="0088289B" w:rsidP="00D34F97">
      <w:pPr>
        <w:numPr>
          <w:ilvl w:val="0"/>
          <w:numId w:val="88"/>
        </w:numPr>
        <w:spacing w:after="0" w:line="300" w:lineRule="atLeast"/>
        <w:ind w:left="924" w:hanging="357"/>
        <w:contextualSpacing/>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rPr>
        <w:t xml:space="preserve">naruszenia warunków decyzji lub zgłoszenia, jak na przykład magazynowanie odpadów niezgodnie z warunkami decyzji, </w:t>
      </w:r>
      <w:r w:rsidRPr="00965BA2">
        <w:rPr>
          <w:rFonts w:ascii="Times New Roman" w:eastAsia="Calibri" w:hAnsi="Times New Roman" w:cs="Times New Roman"/>
          <w:sz w:val="24"/>
          <w:szCs w:val="24"/>
          <w:lang w:val="x-none"/>
        </w:rPr>
        <w:t xml:space="preserve">przedkładanie po wymaganym terminie </w:t>
      </w:r>
      <w:r w:rsidRPr="00965BA2">
        <w:rPr>
          <w:rFonts w:ascii="Times New Roman" w:eastAsia="Calibri" w:hAnsi="Times New Roman" w:cs="Times New Roman"/>
          <w:sz w:val="24"/>
          <w:szCs w:val="24"/>
          <w:lang w:val="x-none"/>
        </w:rPr>
        <w:lastRenderedPageBreak/>
        <w:t>okresowych pomiarów pobieranej wody i nieprowadzenie rejestru pobranej wody z</w:t>
      </w:r>
      <w:r w:rsidRPr="00965BA2">
        <w:rPr>
          <w:rFonts w:ascii="Times New Roman" w:eastAsia="Calibri" w:hAnsi="Times New Roman" w:cs="Times New Roman"/>
          <w:sz w:val="24"/>
          <w:szCs w:val="24"/>
        </w:rPr>
        <w:t> </w:t>
      </w:r>
      <w:r w:rsidRPr="00965BA2">
        <w:rPr>
          <w:rFonts w:ascii="Times New Roman" w:eastAsia="Calibri" w:hAnsi="Times New Roman" w:cs="Times New Roman"/>
          <w:sz w:val="24"/>
          <w:szCs w:val="24"/>
          <w:lang w:val="x-none"/>
        </w:rPr>
        <w:t>własnego ujęcia</w:t>
      </w:r>
      <w:r w:rsidRPr="00965BA2">
        <w:rPr>
          <w:rFonts w:ascii="Times New Roman" w:eastAsia="Calibri" w:hAnsi="Times New Roman" w:cs="Times New Roman"/>
          <w:sz w:val="24"/>
          <w:szCs w:val="24"/>
        </w:rPr>
        <w:t xml:space="preserve">, </w:t>
      </w:r>
      <w:r w:rsidRPr="00965BA2">
        <w:rPr>
          <w:rFonts w:ascii="Times New Roman" w:eastAsia="Calibri" w:hAnsi="Times New Roman" w:cs="Times New Roman"/>
          <w:sz w:val="24"/>
          <w:szCs w:val="24"/>
          <w:lang w:val="x-none"/>
        </w:rPr>
        <w:t>naruszenie warunków pozwolenia na wprowadzanie gazów i</w:t>
      </w:r>
      <w:r w:rsidRPr="00965BA2">
        <w:rPr>
          <w:rFonts w:ascii="Times New Roman" w:eastAsia="Calibri" w:hAnsi="Times New Roman" w:cs="Times New Roman"/>
          <w:sz w:val="24"/>
          <w:szCs w:val="24"/>
        </w:rPr>
        <w:t> </w:t>
      </w:r>
      <w:r w:rsidRPr="00965BA2">
        <w:rPr>
          <w:rFonts w:ascii="Times New Roman" w:eastAsia="Calibri" w:hAnsi="Times New Roman" w:cs="Times New Roman"/>
          <w:sz w:val="24"/>
          <w:szCs w:val="24"/>
          <w:lang w:val="x-none"/>
        </w:rPr>
        <w:t>pyłów do powietrza</w:t>
      </w:r>
      <w:r w:rsidRPr="00965BA2">
        <w:rPr>
          <w:rFonts w:ascii="Times New Roman" w:eastAsia="Calibri" w:hAnsi="Times New Roman" w:cs="Times New Roman"/>
          <w:sz w:val="24"/>
          <w:szCs w:val="24"/>
        </w:rPr>
        <w:t xml:space="preserve">, </w:t>
      </w:r>
      <w:r w:rsidRPr="00965BA2">
        <w:rPr>
          <w:rFonts w:ascii="Times New Roman" w:eastAsia="Calibri" w:hAnsi="Times New Roman" w:cs="Times New Roman"/>
          <w:sz w:val="24"/>
          <w:szCs w:val="24"/>
          <w:lang w:val="x-none"/>
        </w:rPr>
        <w:t xml:space="preserve">naruszenia standardów emisyjnych, przekroczenia dopuszczalnej ilości wytwarzanego odpadu, magazynowania odpadów niezgodnie </w:t>
      </w:r>
      <w:r w:rsidR="009653A7">
        <w:rPr>
          <w:rFonts w:ascii="Times New Roman" w:eastAsia="Calibri" w:hAnsi="Times New Roman" w:cs="Times New Roman"/>
          <w:sz w:val="24"/>
          <w:szCs w:val="24"/>
          <w:lang w:val="x-none"/>
        </w:rPr>
        <w:br/>
      </w:r>
      <w:r w:rsidRPr="00965BA2">
        <w:rPr>
          <w:rFonts w:ascii="Times New Roman" w:eastAsia="Calibri" w:hAnsi="Times New Roman" w:cs="Times New Roman"/>
          <w:sz w:val="24"/>
          <w:szCs w:val="24"/>
          <w:lang w:val="x-none"/>
        </w:rPr>
        <w:t>z warunkami pozwolenia lub</w:t>
      </w:r>
      <w:r w:rsidRPr="00965BA2">
        <w:rPr>
          <w:rFonts w:ascii="Times New Roman" w:eastAsia="Calibri" w:hAnsi="Times New Roman" w:cs="Times New Roman"/>
          <w:sz w:val="24"/>
          <w:szCs w:val="24"/>
        </w:rPr>
        <w:t xml:space="preserve"> </w:t>
      </w:r>
      <w:r w:rsidRPr="00965BA2">
        <w:rPr>
          <w:rFonts w:ascii="Times New Roman" w:eastAsia="Calibri" w:hAnsi="Times New Roman" w:cs="Times New Roman"/>
          <w:sz w:val="24"/>
          <w:szCs w:val="24"/>
          <w:lang w:val="x-none"/>
        </w:rPr>
        <w:t>bez</w:t>
      </w:r>
      <w:r w:rsidRPr="00965BA2">
        <w:rPr>
          <w:rFonts w:ascii="Times New Roman" w:eastAsia="Calibri" w:hAnsi="Times New Roman" w:cs="Times New Roman"/>
          <w:sz w:val="24"/>
          <w:szCs w:val="24"/>
        </w:rPr>
        <w:t xml:space="preserve"> </w:t>
      </w:r>
      <w:r w:rsidRPr="00965BA2">
        <w:rPr>
          <w:rFonts w:ascii="Times New Roman" w:eastAsia="Calibri" w:hAnsi="Times New Roman" w:cs="Times New Roman"/>
          <w:sz w:val="24"/>
          <w:szCs w:val="24"/>
          <w:lang w:val="x-none"/>
        </w:rPr>
        <w:t>wymaganego pozwolenia/zezwolenia, przekroczenia dopuszczalnego poziomu hałasu</w:t>
      </w:r>
      <w:r w:rsidRPr="00965BA2">
        <w:rPr>
          <w:rFonts w:ascii="Times New Roman" w:eastAsia="Calibri" w:hAnsi="Times New Roman" w:cs="Times New Roman"/>
          <w:sz w:val="24"/>
          <w:szCs w:val="24"/>
        </w:rPr>
        <w:t>,</w:t>
      </w:r>
    </w:p>
    <w:p w14:paraId="5CB5F64B" w14:textId="77777777" w:rsidR="0088289B" w:rsidRPr="00965BA2" w:rsidRDefault="0088289B" w:rsidP="00D34F97">
      <w:pPr>
        <w:numPr>
          <w:ilvl w:val="0"/>
          <w:numId w:val="88"/>
        </w:numPr>
        <w:spacing w:after="0" w:line="300" w:lineRule="atLeast"/>
        <w:ind w:left="924" w:hanging="357"/>
        <w:contextualSpacing/>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rPr>
        <w:t>braku lub nierzetelnego prowadzenia ewidencji lub sprawozdawczości,</w:t>
      </w:r>
    </w:p>
    <w:p w14:paraId="4BB680A0" w14:textId="77777777" w:rsidR="0088289B" w:rsidRPr="00965BA2" w:rsidRDefault="0088289B" w:rsidP="00D34F97">
      <w:pPr>
        <w:numPr>
          <w:ilvl w:val="0"/>
          <w:numId w:val="88"/>
        </w:numPr>
        <w:spacing w:after="0" w:line="300" w:lineRule="atLeast"/>
        <w:ind w:left="924" w:hanging="357"/>
        <w:contextualSpacing/>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lang w:val="x-none"/>
        </w:rPr>
        <w:t>nieterminow</w:t>
      </w:r>
      <w:r w:rsidRPr="00965BA2">
        <w:rPr>
          <w:rFonts w:ascii="Times New Roman" w:eastAsia="Calibri" w:hAnsi="Times New Roman" w:cs="Times New Roman"/>
          <w:sz w:val="24"/>
          <w:szCs w:val="24"/>
        </w:rPr>
        <w:t>ego</w:t>
      </w:r>
      <w:r w:rsidRPr="00965BA2">
        <w:rPr>
          <w:rFonts w:ascii="Times New Roman" w:eastAsia="Calibri" w:hAnsi="Times New Roman" w:cs="Times New Roman"/>
          <w:sz w:val="24"/>
          <w:szCs w:val="24"/>
          <w:lang w:val="x-none"/>
        </w:rPr>
        <w:t xml:space="preserve"> wypełniania kart ewidencji odpadów w zakresie przetwarzanych odpadów</w:t>
      </w:r>
      <w:r w:rsidRPr="00965BA2">
        <w:rPr>
          <w:rFonts w:ascii="Times New Roman" w:eastAsia="Calibri" w:hAnsi="Times New Roman" w:cs="Times New Roman"/>
          <w:sz w:val="24"/>
          <w:szCs w:val="24"/>
        </w:rPr>
        <w:t xml:space="preserve">, </w:t>
      </w:r>
      <w:r w:rsidRPr="00965BA2">
        <w:rPr>
          <w:rFonts w:ascii="Times New Roman" w:eastAsia="Calibri" w:hAnsi="Times New Roman" w:cs="Times New Roman"/>
          <w:sz w:val="24"/>
          <w:szCs w:val="24"/>
          <w:lang w:val="x-none"/>
        </w:rPr>
        <w:t>prowadze</w:t>
      </w:r>
      <w:r w:rsidRPr="00965BA2">
        <w:rPr>
          <w:rFonts w:ascii="Times New Roman" w:eastAsia="Calibri" w:hAnsi="Times New Roman" w:cs="Times New Roman"/>
          <w:sz w:val="24"/>
          <w:szCs w:val="24"/>
        </w:rPr>
        <w:t>nia</w:t>
      </w:r>
      <w:r w:rsidRPr="00965BA2">
        <w:rPr>
          <w:rFonts w:ascii="Times New Roman" w:eastAsia="Calibri" w:hAnsi="Times New Roman" w:cs="Times New Roman"/>
          <w:sz w:val="24"/>
          <w:szCs w:val="24"/>
          <w:lang w:val="x-none"/>
        </w:rPr>
        <w:t xml:space="preserve"> ewidencji odpadów niezgodnie ze stanem rzeczywistym</w:t>
      </w:r>
      <w:r w:rsidRPr="00965BA2">
        <w:rPr>
          <w:rFonts w:ascii="Times New Roman" w:eastAsia="Calibri" w:hAnsi="Times New Roman" w:cs="Times New Roman"/>
          <w:sz w:val="24"/>
          <w:szCs w:val="24"/>
        </w:rPr>
        <w:t>,</w:t>
      </w:r>
    </w:p>
    <w:p w14:paraId="33714AC0" w14:textId="77777777" w:rsidR="0088289B" w:rsidRPr="00965BA2" w:rsidRDefault="0088289B" w:rsidP="00D34F97">
      <w:pPr>
        <w:numPr>
          <w:ilvl w:val="0"/>
          <w:numId w:val="88"/>
        </w:numPr>
        <w:spacing w:after="0" w:line="300" w:lineRule="atLeast"/>
        <w:ind w:left="924" w:hanging="357"/>
        <w:contextualSpacing/>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lang w:val="x-none"/>
        </w:rPr>
        <w:t>niezgodności wizyjnego systemu monitoringu miejsc magazynowania odpadów</w:t>
      </w:r>
      <w:r w:rsidRPr="00965BA2">
        <w:rPr>
          <w:rFonts w:ascii="Times New Roman" w:eastAsia="Calibri" w:hAnsi="Times New Roman" w:cs="Times New Roman"/>
          <w:sz w:val="24"/>
          <w:szCs w:val="24"/>
        </w:rPr>
        <w:t>,</w:t>
      </w:r>
    </w:p>
    <w:p w14:paraId="1C4D6C50" w14:textId="77777777" w:rsidR="0088289B" w:rsidRPr="00965BA2" w:rsidRDefault="0088289B" w:rsidP="00D34F97">
      <w:pPr>
        <w:numPr>
          <w:ilvl w:val="0"/>
          <w:numId w:val="88"/>
        </w:numPr>
        <w:spacing w:after="0" w:line="300" w:lineRule="atLeast"/>
        <w:ind w:left="924" w:hanging="357"/>
        <w:contextualSpacing/>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rPr>
        <w:t>b</w:t>
      </w:r>
      <w:r w:rsidRPr="00965BA2">
        <w:rPr>
          <w:rFonts w:ascii="Times New Roman" w:eastAsia="Calibri" w:hAnsi="Times New Roman" w:cs="Times New Roman"/>
          <w:sz w:val="24"/>
          <w:szCs w:val="24"/>
          <w:lang w:val="x-none"/>
        </w:rPr>
        <w:t>rak</w:t>
      </w:r>
      <w:r w:rsidRPr="00965BA2">
        <w:rPr>
          <w:rFonts w:ascii="Times New Roman" w:eastAsia="Calibri" w:hAnsi="Times New Roman" w:cs="Times New Roman"/>
          <w:sz w:val="24"/>
          <w:szCs w:val="24"/>
        </w:rPr>
        <w:t>u</w:t>
      </w:r>
      <w:r w:rsidRPr="00965BA2">
        <w:rPr>
          <w:rFonts w:ascii="Times New Roman" w:eastAsia="Calibri" w:hAnsi="Times New Roman" w:cs="Times New Roman"/>
          <w:sz w:val="24"/>
          <w:szCs w:val="24"/>
          <w:lang w:val="x-none"/>
        </w:rPr>
        <w:t xml:space="preserve"> wyposażenia instalacji w urządzenia techniczne do ciągłego pomiaru parametrów procesu przetwarzania odpadów</w:t>
      </w:r>
      <w:r w:rsidRPr="00965BA2">
        <w:rPr>
          <w:rFonts w:ascii="Times New Roman" w:eastAsia="Calibri" w:hAnsi="Times New Roman" w:cs="Times New Roman"/>
          <w:sz w:val="24"/>
          <w:szCs w:val="24"/>
        </w:rPr>
        <w:t>,</w:t>
      </w:r>
    </w:p>
    <w:p w14:paraId="6140F441" w14:textId="77777777" w:rsidR="0088289B" w:rsidRPr="00965BA2" w:rsidRDefault="0088289B" w:rsidP="00D34F97">
      <w:pPr>
        <w:numPr>
          <w:ilvl w:val="0"/>
          <w:numId w:val="88"/>
        </w:numPr>
        <w:spacing w:after="120" w:line="300" w:lineRule="atLeast"/>
        <w:ind w:left="924" w:hanging="357"/>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lang w:val="x-none"/>
        </w:rPr>
        <w:t>brak</w:t>
      </w:r>
      <w:r w:rsidRPr="00965BA2">
        <w:rPr>
          <w:rFonts w:ascii="Times New Roman" w:eastAsia="Calibri" w:hAnsi="Times New Roman" w:cs="Times New Roman"/>
          <w:sz w:val="24"/>
          <w:szCs w:val="24"/>
        </w:rPr>
        <w:t>u</w:t>
      </w:r>
      <w:r w:rsidRPr="00965BA2">
        <w:rPr>
          <w:rFonts w:ascii="Times New Roman" w:eastAsia="Calibri" w:hAnsi="Times New Roman" w:cs="Times New Roman"/>
          <w:sz w:val="24"/>
          <w:szCs w:val="24"/>
          <w:lang w:val="x-none"/>
        </w:rPr>
        <w:t xml:space="preserve"> wymaganej decyzji lub zgłoszenia określających warunki korzystania ze</w:t>
      </w:r>
      <w:r w:rsidRPr="00965BA2">
        <w:rPr>
          <w:rFonts w:ascii="Times New Roman" w:eastAsia="Calibri" w:hAnsi="Times New Roman" w:cs="Times New Roman"/>
          <w:sz w:val="24"/>
          <w:szCs w:val="24"/>
        </w:rPr>
        <w:t> </w:t>
      </w:r>
      <w:r w:rsidRPr="00965BA2">
        <w:rPr>
          <w:rFonts w:ascii="Times New Roman" w:eastAsia="Calibri" w:hAnsi="Times New Roman" w:cs="Times New Roman"/>
          <w:sz w:val="24"/>
          <w:szCs w:val="24"/>
          <w:lang w:val="x-none"/>
        </w:rPr>
        <w:t>środowiska</w:t>
      </w:r>
      <w:r w:rsidRPr="00965BA2">
        <w:rPr>
          <w:rFonts w:ascii="Times New Roman" w:eastAsia="Calibri" w:hAnsi="Times New Roman" w:cs="Times New Roman"/>
          <w:sz w:val="24"/>
          <w:szCs w:val="24"/>
        </w:rPr>
        <w:t xml:space="preserve">: eksploatacja instalacji bez wymaganego zezwolenia. </w:t>
      </w:r>
    </w:p>
    <w:p w14:paraId="13E74E7D" w14:textId="77777777" w:rsidR="0088289B" w:rsidRPr="00965BA2" w:rsidRDefault="0088289B" w:rsidP="00FA42C0">
      <w:pPr>
        <w:spacing w:after="6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 xml:space="preserve">W związku ze stwierdzonymi naruszeniami: </w:t>
      </w:r>
    </w:p>
    <w:p w14:paraId="2BBAC1F7" w14:textId="77777777" w:rsidR="0088289B" w:rsidRPr="00965BA2" w:rsidRDefault="0088289B" w:rsidP="00D34F97">
      <w:pPr>
        <w:numPr>
          <w:ilvl w:val="0"/>
          <w:numId w:val="89"/>
        </w:numPr>
        <w:spacing w:after="0" w:line="300" w:lineRule="atLeast"/>
        <w:ind w:left="924" w:hanging="357"/>
        <w:contextualSpacing/>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lang w:val="x-none"/>
        </w:rPr>
        <w:t>udzielono 1</w:t>
      </w:r>
      <w:r w:rsidRPr="00965BA2">
        <w:rPr>
          <w:rFonts w:ascii="Times New Roman" w:eastAsia="Calibri" w:hAnsi="Times New Roman" w:cs="Times New Roman"/>
          <w:sz w:val="24"/>
          <w:szCs w:val="24"/>
        </w:rPr>
        <w:t>8</w:t>
      </w:r>
      <w:r w:rsidRPr="00965BA2">
        <w:rPr>
          <w:rFonts w:ascii="Times New Roman" w:eastAsia="Calibri" w:hAnsi="Times New Roman" w:cs="Times New Roman"/>
          <w:sz w:val="24"/>
          <w:szCs w:val="24"/>
          <w:lang w:val="x-none"/>
        </w:rPr>
        <w:t xml:space="preserve"> pouczeń, </w:t>
      </w:r>
    </w:p>
    <w:p w14:paraId="36AFEF2E" w14:textId="77777777" w:rsidR="0088289B" w:rsidRPr="00965BA2" w:rsidRDefault="0088289B" w:rsidP="00D34F97">
      <w:pPr>
        <w:numPr>
          <w:ilvl w:val="0"/>
          <w:numId w:val="89"/>
        </w:numPr>
        <w:spacing w:after="0" w:line="300" w:lineRule="atLeast"/>
        <w:ind w:left="924" w:hanging="357"/>
        <w:contextualSpacing/>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lang w:val="x-none"/>
        </w:rPr>
        <w:t xml:space="preserve">nałożono </w:t>
      </w:r>
      <w:r w:rsidRPr="00965BA2">
        <w:rPr>
          <w:rFonts w:ascii="Times New Roman" w:eastAsia="Calibri" w:hAnsi="Times New Roman" w:cs="Times New Roman"/>
          <w:sz w:val="24"/>
          <w:szCs w:val="24"/>
        </w:rPr>
        <w:t xml:space="preserve">8 </w:t>
      </w:r>
      <w:r w:rsidRPr="00965BA2">
        <w:rPr>
          <w:rFonts w:ascii="Times New Roman" w:eastAsia="Calibri" w:hAnsi="Times New Roman" w:cs="Times New Roman"/>
          <w:sz w:val="24"/>
          <w:szCs w:val="24"/>
          <w:lang w:val="x-none"/>
        </w:rPr>
        <w:t xml:space="preserve">mandatów karnych, </w:t>
      </w:r>
    </w:p>
    <w:p w14:paraId="1677985F" w14:textId="77777777" w:rsidR="0088289B" w:rsidRPr="00965BA2" w:rsidRDefault="0088289B" w:rsidP="00D34F97">
      <w:pPr>
        <w:numPr>
          <w:ilvl w:val="0"/>
          <w:numId w:val="89"/>
        </w:numPr>
        <w:spacing w:after="0" w:line="300" w:lineRule="atLeast"/>
        <w:ind w:left="924" w:hanging="357"/>
        <w:contextualSpacing/>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lang w:val="x-none"/>
        </w:rPr>
        <w:t xml:space="preserve">wydano </w:t>
      </w:r>
      <w:r w:rsidRPr="00965BA2">
        <w:rPr>
          <w:rFonts w:ascii="Times New Roman" w:eastAsia="Calibri" w:hAnsi="Times New Roman" w:cs="Times New Roman"/>
          <w:sz w:val="24"/>
          <w:szCs w:val="24"/>
        </w:rPr>
        <w:t xml:space="preserve">27 </w:t>
      </w:r>
      <w:r w:rsidRPr="00965BA2">
        <w:rPr>
          <w:rFonts w:ascii="Times New Roman" w:eastAsia="Calibri" w:hAnsi="Times New Roman" w:cs="Times New Roman"/>
          <w:sz w:val="24"/>
          <w:szCs w:val="24"/>
          <w:lang w:val="x-none"/>
        </w:rPr>
        <w:t xml:space="preserve">zarządzeń pokontrolnych, </w:t>
      </w:r>
    </w:p>
    <w:p w14:paraId="051D3421" w14:textId="77777777" w:rsidR="0088289B" w:rsidRPr="00965BA2" w:rsidRDefault="0088289B" w:rsidP="00D34F97">
      <w:pPr>
        <w:numPr>
          <w:ilvl w:val="0"/>
          <w:numId w:val="89"/>
        </w:numPr>
        <w:spacing w:after="0" w:line="300" w:lineRule="atLeast"/>
        <w:ind w:left="924" w:hanging="357"/>
        <w:contextualSpacing/>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lang w:val="x-none"/>
        </w:rPr>
        <w:t>skierowano</w:t>
      </w:r>
      <w:r w:rsidRPr="00965BA2">
        <w:rPr>
          <w:rFonts w:ascii="Times New Roman" w:eastAsia="Calibri" w:hAnsi="Times New Roman" w:cs="Times New Roman"/>
          <w:sz w:val="24"/>
          <w:szCs w:val="24"/>
        </w:rPr>
        <w:t xml:space="preserve"> </w:t>
      </w:r>
      <w:r w:rsidRPr="00965BA2">
        <w:rPr>
          <w:rFonts w:ascii="Times New Roman" w:eastAsia="Calibri" w:hAnsi="Times New Roman" w:cs="Times New Roman"/>
          <w:sz w:val="24"/>
          <w:szCs w:val="24"/>
          <w:lang w:val="x-none"/>
        </w:rPr>
        <w:t>1</w:t>
      </w:r>
      <w:r w:rsidRPr="00965BA2">
        <w:rPr>
          <w:rFonts w:ascii="Times New Roman" w:eastAsia="Calibri" w:hAnsi="Times New Roman" w:cs="Times New Roman"/>
          <w:sz w:val="24"/>
          <w:szCs w:val="24"/>
        </w:rPr>
        <w:t xml:space="preserve">2 </w:t>
      </w:r>
      <w:r w:rsidRPr="00965BA2">
        <w:rPr>
          <w:rFonts w:ascii="Times New Roman" w:eastAsia="Calibri" w:hAnsi="Times New Roman" w:cs="Times New Roman"/>
          <w:sz w:val="24"/>
          <w:szCs w:val="24"/>
          <w:lang w:val="x-none"/>
        </w:rPr>
        <w:t>wystąpień do innych organów administracji rządowej</w:t>
      </w:r>
      <w:r w:rsidRPr="00965BA2">
        <w:rPr>
          <w:rFonts w:ascii="Times New Roman" w:eastAsia="Calibri" w:hAnsi="Times New Roman" w:cs="Times New Roman"/>
          <w:sz w:val="24"/>
          <w:szCs w:val="24"/>
        </w:rPr>
        <w:t xml:space="preserve"> </w:t>
      </w:r>
      <w:r w:rsidRPr="00965BA2">
        <w:rPr>
          <w:rFonts w:ascii="Times New Roman" w:eastAsia="Calibri" w:hAnsi="Times New Roman" w:cs="Times New Roman"/>
          <w:sz w:val="24"/>
          <w:szCs w:val="24"/>
          <w:lang w:val="x-none"/>
        </w:rPr>
        <w:t>i</w:t>
      </w:r>
      <w:r w:rsidRPr="00965BA2">
        <w:rPr>
          <w:rFonts w:ascii="Times New Roman" w:eastAsia="Calibri" w:hAnsi="Times New Roman" w:cs="Times New Roman"/>
          <w:sz w:val="24"/>
          <w:szCs w:val="24"/>
        </w:rPr>
        <w:t xml:space="preserve"> </w:t>
      </w:r>
      <w:r w:rsidRPr="00965BA2">
        <w:rPr>
          <w:rFonts w:ascii="Times New Roman" w:eastAsia="Calibri" w:hAnsi="Times New Roman" w:cs="Times New Roman"/>
          <w:sz w:val="24"/>
          <w:szCs w:val="24"/>
          <w:lang w:val="x-none"/>
        </w:rPr>
        <w:t>samorządowej,</w:t>
      </w:r>
    </w:p>
    <w:p w14:paraId="1CD4F892" w14:textId="4C6591A1" w:rsidR="00895F16" w:rsidRPr="007F400A" w:rsidRDefault="0088289B" w:rsidP="00056EE7">
      <w:pPr>
        <w:numPr>
          <w:ilvl w:val="0"/>
          <w:numId w:val="16"/>
        </w:numPr>
        <w:spacing w:after="0" w:line="300" w:lineRule="atLeast"/>
        <w:ind w:left="924" w:hanging="357"/>
        <w:contextualSpacing/>
        <w:jc w:val="both"/>
        <w:rPr>
          <w:rFonts w:ascii="Times New Roman" w:eastAsia="Calibri" w:hAnsi="Times New Roman" w:cs="Times New Roman"/>
          <w:color w:val="000000"/>
          <w:sz w:val="24"/>
          <w:szCs w:val="24"/>
          <w:lang w:val="x-none" w:eastAsia="pl-PL"/>
        </w:rPr>
      </w:pPr>
      <w:r w:rsidRPr="00965BA2">
        <w:rPr>
          <w:rFonts w:ascii="Times New Roman" w:eastAsia="Calibri" w:hAnsi="Times New Roman" w:cs="Times New Roman"/>
          <w:sz w:val="24"/>
          <w:szCs w:val="24"/>
          <w:lang w:val="x-none"/>
        </w:rPr>
        <w:t xml:space="preserve">wydano </w:t>
      </w:r>
      <w:r w:rsidRPr="00965BA2">
        <w:rPr>
          <w:rFonts w:ascii="Times New Roman" w:eastAsia="Calibri" w:hAnsi="Times New Roman" w:cs="Times New Roman"/>
          <w:sz w:val="24"/>
          <w:szCs w:val="24"/>
        </w:rPr>
        <w:t>6</w:t>
      </w:r>
      <w:r w:rsidRPr="00965BA2">
        <w:rPr>
          <w:rFonts w:ascii="Times New Roman" w:eastAsia="Calibri" w:hAnsi="Times New Roman" w:cs="Times New Roman"/>
          <w:sz w:val="24"/>
          <w:szCs w:val="24"/>
          <w:lang w:val="x-none"/>
        </w:rPr>
        <w:t xml:space="preserve"> decyzj</w:t>
      </w:r>
      <w:r w:rsidRPr="00965BA2">
        <w:rPr>
          <w:rFonts w:ascii="Times New Roman" w:eastAsia="Calibri" w:hAnsi="Times New Roman" w:cs="Times New Roman"/>
          <w:sz w:val="24"/>
          <w:szCs w:val="24"/>
        </w:rPr>
        <w:t>i</w:t>
      </w:r>
      <w:r w:rsidRPr="00965BA2">
        <w:rPr>
          <w:rFonts w:ascii="Times New Roman" w:eastAsia="Calibri" w:hAnsi="Times New Roman" w:cs="Times New Roman"/>
          <w:sz w:val="24"/>
          <w:szCs w:val="24"/>
          <w:lang w:val="x-none"/>
        </w:rPr>
        <w:t xml:space="preserve"> </w:t>
      </w:r>
      <w:r w:rsidRPr="00965BA2">
        <w:rPr>
          <w:rFonts w:ascii="Times New Roman" w:eastAsia="Times New Roman" w:hAnsi="Times New Roman" w:cs="Times New Roman"/>
          <w:sz w:val="24"/>
          <w:szCs w:val="24"/>
          <w:lang w:val="x-none"/>
        </w:rPr>
        <w:t>w sprawie nałożenia kar pieniężnych</w:t>
      </w:r>
      <w:r w:rsidR="00895F16" w:rsidRPr="007F400A">
        <w:rPr>
          <w:rFonts w:ascii="Times New Roman" w:hAnsi="Times New Roman" w:cs="Times New Roman"/>
          <w:color w:val="000000" w:themeColor="text1"/>
          <w:sz w:val="24"/>
          <w:szCs w:val="24"/>
        </w:rPr>
        <w:t>.</w:t>
      </w:r>
    </w:p>
    <w:p w14:paraId="3150C9E3" w14:textId="77777777" w:rsidR="00895F16" w:rsidRPr="007F400A" w:rsidRDefault="00895F16" w:rsidP="00056EE7">
      <w:pPr>
        <w:spacing w:after="0" w:line="300" w:lineRule="atLeast"/>
        <w:ind w:left="1559"/>
        <w:jc w:val="both"/>
        <w:rPr>
          <w:rFonts w:ascii="Times New Roman" w:eastAsia="Calibri" w:hAnsi="Times New Roman" w:cs="Times New Roman"/>
          <w:sz w:val="24"/>
          <w:szCs w:val="24"/>
          <w:lang w:val="x-none" w:eastAsia="pl-PL"/>
        </w:rPr>
      </w:pPr>
    </w:p>
    <w:p w14:paraId="035DE2EF" w14:textId="77777777" w:rsidR="00895F16" w:rsidRPr="007F400A" w:rsidRDefault="00895F16" w:rsidP="00056EE7">
      <w:pPr>
        <w:keepNext/>
        <w:spacing w:after="60" w:line="300" w:lineRule="atLeast"/>
        <w:outlineLvl w:val="0"/>
        <w:rPr>
          <w:rFonts w:ascii="Times New Roman" w:eastAsia="Times New Roman" w:hAnsi="Times New Roman" w:cs="Times New Roman"/>
          <w:b/>
          <w:bCs/>
          <w:sz w:val="24"/>
          <w:szCs w:val="24"/>
          <w:lang w:val="x-none" w:eastAsia="x-none"/>
        </w:rPr>
      </w:pPr>
      <w:bookmarkStart w:id="95" w:name="_Toc36732570"/>
      <w:bookmarkStart w:id="96" w:name="_Toc135935596"/>
      <w:r w:rsidRPr="007F400A">
        <w:rPr>
          <w:rFonts w:ascii="Times New Roman" w:eastAsia="Times New Roman" w:hAnsi="Times New Roman" w:cs="Times New Roman"/>
          <w:b/>
          <w:bCs/>
          <w:sz w:val="24"/>
          <w:szCs w:val="24"/>
          <w:lang w:val="x-none" w:eastAsia="x-none"/>
        </w:rPr>
        <w:t>3.3.</w:t>
      </w:r>
      <w:r w:rsidRPr="007F400A">
        <w:rPr>
          <w:rFonts w:ascii="Times New Roman" w:eastAsia="Times New Roman" w:hAnsi="Times New Roman" w:cs="Times New Roman"/>
          <w:b/>
          <w:bCs/>
          <w:sz w:val="24"/>
          <w:szCs w:val="24"/>
          <w:lang w:eastAsia="x-none"/>
        </w:rPr>
        <w:t>6</w:t>
      </w:r>
      <w:r w:rsidRPr="007F400A">
        <w:rPr>
          <w:rFonts w:ascii="Times New Roman" w:eastAsia="Times New Roman" w:hAnsi="Times New Roman" w:cs="Times New Roman"/>
          <w:b/>
          <w:bCs/>
          <w:sz w:val="24"/>
          <w:szCs w:val="24"/>
          <w:lang w:val="x-none" w:eastAsia="x-none"/>
        </w:rPr>
        <w:t xml:space="preserve"> Oleje odpadowe</w:t>
      </w:r>
      <w:bookmarkEnd w:id="95"/>
      <w:bookmarkEnd w:id="96"/>
    </w:p>
    <w:p w14:paraId="43D799A8" w14:textId="77777777" w:rsidR="00895F16" w:rsidRPr="007F400A" w:rsidRDefault="00895F16" w:rsidP="00FA42C0">
      <w:pPr>
        <w:spacing w:after="120" w:line="300" w:lineRule="atLeast"/>
        <w:jc w:val="both"/>
        <w:rPr>
          <w:rFonts w:ascii="Times New Roman" w:hAnsi="Times New Roman" w:cs="Times New Roman"/>
          <w:b/>
          <w:bCs/>
          <w:color w:val="000000"/>
          <w:sz w:val="24"/>
          <w:szCs w:val="24"/>
        </w:rPr>
      </w:pPr>
      <w:r w:rsidRPr="007F400A">
        <w:rPr>
          <w:rFonts w:ascii="Times New Roman" w:hAnsi="Times New Roman" w:cs="Times New Roman"/>
          <w:b/>
          <w:bCs/>
          <w:color w:val="000000"/>
          <w:sz w:val="24"/>
          <w:szCs w:val="24"/>
        </w:rPr>
        <w:t>Wytwórcy olejów odpadowych</w:t>
      </w:r>
    </w:p>
    <w:p w14:paraId="3BC44EC6" w14:textId="21875806" w:rsidR="00DA319F" w:rsidRPr="00965BA2" w:rsidRDefault="00DA319F" w:rsidP="00900485">
      <w:pPr>
        <w:spacing w:after="6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 xml:space="preserve">Działalność w zakresie wytwarzania olejów odpadowych prowadzona była </w:t>
      </w:r>
      <w:r w:rsidRPr="00C96144">
        <w:rPr>
          <w:rFonts w:ascii="Times New Roman" w:eastAsia="Calibri" w:hAnsi="Times New Roman" w:cs="Times New Roman"/>
          <w:sz w:val="24"/>
          <w:szCs w:val="24"/>
        </w:rPr>
        <w:t>przez 6</w:t>
      </w:r>
      <w:r w:rsidR="00FA42C0">
        <w:rPr>
          <w:rFonts w:ascii="Times New Roman" w:eastAsia="Calibri" w:hAnsi="Times New Roman" w:cs="Times New Roman"/>
          <w:sz w:val="24"/>
          <w:szCs w:val="24"/>
        </w:rPr>
        <w:t xml:space="preserve"> </w:t>
      </w:r>
      <w:r w:rsidRPr="00C96144">
        <w:rPr>
          <w:rFonts w:ascii="Times New Roman" w:eastAsia="Calibri" w:hAnsi="Times New Roman" w:cs="Times New Roman"/>
          <w:sz w:val="24"/>
          <w:szCs w:val="24"/>
        </w:rPr>
        <w:t xml:space="preserve">838 </w:t>
      </w:r>
      <w:r w:rsidRPr="00965BA2">
        <w:rPr>
          <w:rFonts w:ascii="Times New Roman" w:eastAsia="Calibri" w:hAnsi="Times New Roman" w:cs="Times New Roman"/>
          <w:sz w:val="24"/>
          <w:szCs w:val="24"/>
        </w:rPr>
        <w:t xml:space="preserve">podmiotów. W układzie </w:t>
      </w:r>
      <w:r w:rsidR="009D34A2">
        <w:rPr>
          <w:rFonts w:ascii="Times New Roman" w:eastAsia="Calibri" w:hAnsi="Times New Roman" w:cs="Times New Roman"/>
          <w:sz w:val="24"/>
          <w:szCs w:val="24"/>
        </w:rPr>
        <w:t xml:space="preserve">według </w:t>
      </w:r>
      <w:r w:rsidRPr="00965BA2">
        <w:rPr>
          <w:rFonts w:ascii="Times New Roman" w:eastAsia="Calibri" w:hAnsi="Times New Roman" w:cs="Times New Roman"/>
          <w:sz w:val="24"/>
          <w:szCs w:val="24"/>
        </w:rPr>
        <w:t xml:space="preserve">województw przedstawia się to następująco: </w:t>
      </w:r>
      <w:r w:rsidR="00FA42C0" w:rsidRPr="00965BA2">
        <w:rPr>
          <w:rFonts w:ascii="Times New Roman" w:eastAsia="Calibri" w:hAnsi="Times New Roman" w:cs="Times New Roman"/>
          <w:sz w:val="24"/>
          <w:szCs w:val="24"/>
        </w:rPr>
        <w:t>zachodniopomorskie (2</w:t>
      </w:r>
      <w:r w:rsidR="00FA42C0">
        <w:rPr>
          <w:rFonts w:ascii="Times New Roman" w:eastAsia="Calibri" w:hAnsi="Times New Roman" w:cs="Times New Roman"/>
          <w:sz w:val="24"/>
          <w:szCs w:val="24"/>
        </w:rPr>
        <w:t> 1</w:t>
      </w:r>
      <w:r w:rsidR="00FA42C0" w:rsidRPr="00965BA2">
        <w:rPr>
          <w:rFonts w:ascii="Times New Roman" w:eastAsia="Calibri" w:hAnsi="Times New Roman" w:cs="Times New Roman"/>
          <w:sz w:val="24"/>
          <w:szCs w:val="24"/>
        </w:rPr>
        <w:t>17)</w:t>
      </w:r>
      <w:r w:rsidR="00FA42C0">
        <w:rPr>
          <w:rFonts w:ascii="Times New Roman" w:eastAsia="Calibri" w:hAnsi="Times New Roman" w:cs="Times New Roman"/>
          <w:sz w:val="24"/>
          <w:szCs w:val="24"/>
        </w:rPr>
        <w:t xml:space="preserve">, </w:t>
      </w:r>
      <w:r w:rsidRPr="00965BA2">
        <w:rPr>
          <w:rFonts w:ascii="Times New Roman" w:eastAsia="Calibri" w:hAnsi="Times New Roman" w:cs="Times New Roman"/>
          <w:sz w:val="24"/>
          <w:szCs w:val="24"/>
        </w:rPr>
        <w:t xml:space="preserve">opolskie (929), mazowieckie (557), podkarpackie (531), małopolskie (499), podlaskie (470), </w:t>
      </w:r>
      <w:r w:rsidR="00900485" w:rsidRPr="00965BA2">
        <w:rPr>
          <w:rFonts w:ascii="Times New Roman" w:eastAsia="Calibri" w:hAnsi="Times New Roman" w:cs="Times New Roman"/>
          <w:sz w:val="24"/>
          <w:szCs w:val="24"/>
        </w:rPr>
        <w:t>dolnośląskie (387)</w:t>
      </w:r>
      <w:r w:rsidR="00900485">
        <w:rPr>
          <w:rFonts w:ascii="Times New Roman" w:eastAsia="Calibri" w:hAnsi="Times New Roman" w:cs="Times New Roman"/>
          <w:sz w:val="24"/>
          <w:szCs w:val="24"/>
        </w:rPr>
        <w:t xml:space="preserve">, </w:t>
      </w:r>
      <w:r w:rsidRPr="00965BA2">
        <w:rPr>
          <w:rFonts w:ascii="Times New Roman" w:eastAsia="Calibri" w:hAnsi="Times New Roman" w:cs="Times New Roman"/>
          <w:sz w:val="24"/>
          <w:szCs w:val="24"/>
        </w:rPr>
        <w:t xml:space="preserve">wielkopolskie (363), łódzkie (285), lubelskie (244), lubuskie (193), kujawsko-pomorskie (152), warmińsko-mazurskie (58) </w:t>
      </w:r>
      <w:r w:rsidR="009D34A2">
        <w:rPr>
          <w:rFonts w:ascii="Times New Roman" w:eastAsia="Calibri" w:hAnsi="Times New Roman" w:cs="Times New Roman"/>
          <w:sz w:val="24"/>
          <w:szCs w:val="24"/>
        </w:rPr>
        <w:br/>
      </w:r>
      <w:r w:rsidRPr="00965BA2">
        <w:rPr>
          <w:rFonts w:ascii="Times New Roman" w:eastAsia="Calibri" w:hAnsi="Times New Roman" w:cs="Times New Roman"/>
          <w:sz w:val="24"/>
          <w:szCs w:val="24"/>
        </w:rPr>
        <w:t xml:space="preserve">i pomorskie (53). </w:t>
      </w:r>
    </w:p>
    <w:p w14:paraId="750EC596" w14:textId="6473353D" w:rsidR="00DA319F" w:rsidRPr="00965BA2" w:rsidRDefault="00DA319F" w:rsidP="00900485">
      <w:pPr>
        <w:spacing w:after="6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W 2022 r. zaplanowano 30</w:t>
      </w:r>
      <w:r>
        <w:rPr>
          <w:rFonts w:ascii="Times New Roman" w:eastAsia="Calibri" w:hAnsi="Times New Roman" w:cs="Times New Roman"/>
          <w:sz w:val="24"/>
          <w:szCs w:val="24"/>
        </w:rPr>
        <w:t>3</w:t>
      </w:r>
      <w:r w:rsidRPr="00965BA2">
        <w:rPr>
          <w:rFonts w:ascii="Times New Roman" w:eastAsia="Calibri" w:hAnsi="Times New Roman" w:cs="Times New Roman"/>
          <w:sz w:val="24"/>
          <w:szCs w:val="24"/>
        </w:rPr>
        <w:t xml:space="preserve"> kontroli wytwórców olejów odpadowych. Łącznie przeprowadzono 4</w:t>
      </w:r>
      <w:r>
        <w:rPr>
          <w:rFonts w:ascii="Times New Roman" w:eastAsia="Calibri" w:hAnsi="Times New Roman" w:cs="Times New Roman"/>
          <w:sz w:val="24"/>
          <w:szCs w:val="24"/>
        </w:rPr>
        <w:t>77</w:t>
      </w:r>
      <w:r w:rsidRPr="00965BA2">
        <w:rPr>
          <w:rFonts w:ascii="Times New Roman" w:eastAsia="Calibri" w:hAnsi="Times New Roman" w:cs="Times New Roman"/>
          <w:sz w:val="24"/>
          <w:szCs w:val="24"/>
        </w:rPr>
        <w:t xml:space="preserve"> kontroli, w tym 29</w:t>
      </w:r>
      <w:r>
        <w:rPr>
          <w:rFonts w:ascii="Times New Roman" w:eastAsia="Calibri" w:hAnsi="Times New Roman" w:cs="Times New Roman"/>
          <w:sz w:val="24"/>
          <w:szCs w:val="24"/>
        </w:rPr>
        <w:t>3</w:t>
      </w:r>
      <w:r w:rsidRPr="00965BA2">
        <w:rPr>
          <w:rFonts w:ascii="Times New Roman" w:eastAsia="Calibri" w:hAnsi="Times New Roman" w:cs="Times New Roman"/>
          <w:sz w:val="24"/>
          <w:szCs w:val="24"/>
        </w:rPr>
        <w:t xml:space="preserve"> planow</w:t>
      </w:r>
      <w:r w:rsidR="00900485">
        <w:rPr>
          <w:rFonts w:ascii="Times New Roman" w:eastAsia="Calibri" w:hAnsi="Times New Roman" w:cs="Times New Roman"/>
          <w:sz w:val="24"/>
          <w:szCs w:val="24"/>
        </w:rPr>
        <w:t>e</w:t>
      </w:r>
      <w:r w:rsidRPr="00965BA2">
        <w:rPr>
          <w:rFonts w:ascii="Times New Roman" w:eastAsia="Calibri" w:hAnsi="Times New Roman" w:cs="Times New Roman"/>
          <w:sz w:val="24"/>
          <w:szCs w:val="24"/>
        </w:rPr>
        <w:t xml:space="preserve"> oraz 1</w:t>
      </w:r>
      <w:r>
        <w:rPr>
          <w:rFonts w:ascii="Times New Roman" w:eastAsia="Calibri" w:hAnsi="Times New Roman" w:cs="Times New Roman"/>
          <w:sz w:val="24"/>
          <w:szCs w:val="24"/>
        </w:rPr>
        <w:t>84</w:t>
      </w:r>
      <w:r w:rsidRPr="00965BA2">
        <w:rPr>
          <w:rFonts w:ascii="Times New Roman" w:eastAsia="Calibri" w:hAnsi="Times New Roman" w:cs="Times New Roman"/>
          <w:sz w:val="24"/>
          <w:szCs w:val="24"/>
        </w:rPr>
        <w:t xml:space="preserve"> pozaplanowe. W przypadku 29</w:t>
      </w:r>
      <w:r>
        <w:rPr>
          <w:rFonts w:ascii="Times New Roman" w:eastAsia="Calibri" w:hAnsi="Times New Roman" w:cs="Times New Roman"/>
          <w:sz w:val="24"/>
          <w:szCs w:val="24"/>
        </w:rPr>
        <w:t>1</w:t>
      </w:r>
      <w:r w:rsidRPr="00965BA2">
        <w:rPr>
          <w:rFonts w:ascii="Times New Roman" w:eastAsia="Calibri" w:hAnsi="Times New Roman" w:cs="Times New Roman"/>
          <w:sz w:val="24"/>
          <w:szCs w:val="24"/>
        </w:rPr>
        <w:t xml:space="preserve"> (</w:t>
      </w:r>
      <w:r>
        <w:rPr>
          <w:rFonts w:ascii="Times New Roman" w:eastAsia="Calibri" w:hAnsi="Times New Roman" w:cs="Times New Roman"/>
          <w:sz w:val="24"/>
          <w:szCs w:val="24"/>
        </w:rPr>
        <w:t>61%</w:t>
      </w:r>
      <w:r w:rsidRPr="00965BA2">
        <w:rPr>
          <w:rFonts w:ascii="Times New Roman" w:eastAsia="Calibri" w:hAnsi="Times New Roman" w:cs="Times New Roman"/>
          <w:sz w:val="24"/>
          <w:szCs w:val="24"/>
        </w:rPr>
        <w:t xml:space="preserve">) kontroli stwierdzono naruszenia wymagań ochrony środowiska, z czego: </w:t>
      </w:r>
    </w:p>
    <w:p w14:paraId="52BF0C85" w14:textId="77777777" w:rsidR="00DA319F" w:rsidRPr="00C96144" w:rsidRDefault="00DA319F" w:rsidP="00D34F97">
      <w:pPr>
        <w:numPr>
          <w:ilvl w:val="0"/>
          <w:numId w:val="91"/>
        </w:numPr>
        <w:spacing w:after="0" w:line="300" w:lineRule="atLeast"/>
        <w:ind w:left="924" w:hanging="357"/>
        <w:contextualSpacing/>
        <w:jc w:val="both"/>
        <w:rPr>
          <w:rFonts w:ascii="Times New Roman" w:eastAsia="Calibri" w:hAnsi="Times New Roman" w:cs="Times New Roman"/>
          <w:sz w:val="24"/>
          <w:szCs w:val="24"/>
          <w:lang w:val="x-none"/>
        </w:rPr>
      </w:pPr>
      <w:r w:rsidRPr="00C96144">
        <w:rPr>
          <w:rFonts w:ascii="Times New Roman" w:eastAsia="Calibri" w:hAnsi="Times New Roman" w:cs="Times New Roman"/>
          <w:sz w:val="24"/>
          <w:szCs w:val="24"/>
        </w:rPr>
        <w:t xml:space="preserve">w toku 209 (72%) kontroli stwierdzono naruszenia </w:t>
      </w:r>
      <w:r w:rsidRPr="00C96144">
        <w:rPr>
          <w:rFonts w:ascii="Times New Roman" w:eastAsia="Calibri" w:hAnsi="Times New Roman" w:cs="Times New Roman"/>
          <w:sz w:val="24"/>
          <w:szCs w:val="24"/>
          <w:lang w:val="x-none"/>
        </w:rPr>
        <w:t>bez istotnego wpływu na środowisko</w:t>
      </w:r>
      <w:r w:rsidRPr="00C96144">
        <w:rPr>
          <w:rFonts w:ascii="Times New Roman" w:eastAsia="Calibri" w:hAnsi="Times New Roman" w:cs="Times New Roman"/>
          <w:sz w:val="24"/>
          <w:szCs w:val="24"/>
        </w:rPr>
        <w:t>,</w:t>
      </w:r>
    </w:p>
    <w:p w14:paraId="7B85A412" w14:textId="05DDED89" w:rsidR="009D34A2" w:rsidRPr="00E26B13" w:rsidRDefault="00DA319F" w:rsidP="00E26B13">
      <w:pPr>
        <w:numPr>
          <w:ilvl w:val="0"/>
          <w:numId w:val="91"/>
        </w:numPr>
        <w:spacing w:after="120" w:line="300" w:lineRule="atLeast"/>
        <w:ind w:left="924" w:hanging="357"/>
        <w:jc w:val="both"/>
        <w:rPr>
          <w:rFonts w:ascii="Times New Roman" w:eastAsia="Calibri" w:hAnsi="Times New Roman" w:cs="Times New Roman"/>
          <w:sz w:val="24"/>
          <w:szCs w:val="24"/>
          <w:lang w:val="x-none"/>
        </w:rPr>
      </w:pPr>
      <w:r w:rsidRPr="00C96144">
        <w:rPr>
          <w:rFonts w:ascii="Times New Roman" w:eastAsia="Calibri" w:hAnsi="Times New Roman" w:cs="Times New Roman"/>
          <w:sz w:val="24"/>
          <w:szCs w:val="24"/>
        </w:rPr>
        <w:t>w toku 82 (28%)</w:t>
      </w:r>
      <w:r w:rsidRPr="00C96144">
        <w:rPr>
          <w:rFonts w:ascii="Times New Roman" w:eastAsia="Calibri" w:hAnsi="Times New Roman" w:cs="Times New Roman"/>
          <w:sz w:val="24"/>
          <w:szCs w:val="24"/>
          <w:lang w:val="x-none"/>
        </w:rPr>
        <w:t xml:space="preserve"> kontroli stwierdzono natomiast naruszenia mogące spowodować zagrożenie lub zanieczyszczenie środowiska.</w:t>
      </w:r>
    </w:p>
    <w:p w14:paraId="4A51722C" w14:textId="4767FDEF" w:rsidR="00DA319F" w:rsidRPr="00C96144" w:rsidRDefault="00DA319F" w:rsidP="00900485">
      <w:pPr>
        <w:spacing w:after="0" w:line="300" w:lineRule="atLeast"/>
        <w:jc w:val="both"/>
        <w:rPr>
          <w:rFonts w:ascii="Times New Roman" w:eastAsia="Calibri" w:hAnsi="Times New Roman" w:cs="Times New Roman"/>
          <w:sz w:val="24"/>
          <w:szCs w:val="24"/>
        </w:rPr>
      </w:pPr>
      <w:r w:rsidRPr="00C96144">
        <w:rPr>
          <w:rFonts w:ascii="Times New Roman" w:eastAsia="Calibri" w:hAnsi="Times New Roman" w:cs="Times New Roman"/>
          <w:sz w:val="24"/>
          <w:szCs w:val="24"/>
        </w:rPr>
        <w:t>Stwierdzane naruszenia dotyczyły m.in.:</w:t>
      </w:r>
    </w:p>
    <w:p w14:paraId="3195CC17" w14:textId="58AC304B" w:rsidR="00DA319F" w:rsidRPr="00965BA2" w:rsidRDefault="00DA319F" w:rsidP="00D34F97">
      <w:pPr>
        <w:numPr>
          <w:ilvl w:val="0"/>
          <w:numId w:val="92"/>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naruszenia warunków posiadanej decyzji (np.</w:t>
      </w:r>
      <w:r w:rsidR="00900485">
        <w:rPr>
          <w:rFonts w:ascii="Times New Roman" w:eastAsia="Calibri" w:hAnsi="Times New Roman" w:cs="Times New Roman"/>
          <w:sz w:val="24"/>
          <w:szCs w:val="24"/>
          <w:lang w:eastAsia="pl-PL"/>
        </w:rPr>
        <w:t>:</w:t>
      </w:r>
      <w:r w:rsidRPr="00965BA2">
        <w:rPr>
          <w:rFonts w:ascii="Times New Roman" w:eastAsia="Calibri" w:hAnsi="Times New Roman" w:cs="Times New Roman"/>
          <w:sz w:val="24"/>
          <w:szCs w:val="24"/>
          <w:lang w:val="x-none" w:eastAsia="pl-PL"/>
        </w:rPr>
        <w:t xml:space="preserve"> przekroczeni</w:t>
      </w:r>
      <w:r w:rsidR="00900485">
        <w:rPr>
          <w:rFonts w:ascii="Times New Roman" w:eastAsia="Calibri" w:hAnsi="Times New Roman" w:cs="Times New Roman"/>
          <w:sz w:val="24"/>
          <w:szCs w:val="24"/>
          <w:lang w:eastAsia="pl-PL"/>
        </w:rPr>
        <w:t>e</w:t>
      </w:r>
      <w:r w:rsidRPr="00965BA2">
        <w:rPr>
          <w:rFonts w:ascii="Times New Roman" w:eastAsia="Calibri" w:hAnsi="Times New Roman" w:cs="Times New Roman"/>
          <w:sz w:val="24"/>
          <w:szCs w:val="24"/>
          <w:lang w:val="x-none" w:eastAsia="pl-PL"/>
        </w:rPr>
        <w:t xml:space="preserve"> ilości wytwarzanych odpadów, niewłaściwe magazynowanie zużytych olejów w</w:t>
      </w:r>
      <w:r w:rsidRPr="00965BA2">
        <w:rPr>
          <w:rFonts w:ascii="Times New Roman" w:eastAsia="Calibri" w:hAnsi="Times New Roman" w:cs="Times New Roman"/>
          <w:sz w:val="24"/>
          <w:szCs w:val="24"/>
          <w:lang w:eastAsia="pl-PL"/>
        </w:rPr>
        <w:t xml:space="preserve"> </w:t>
      </w:r>
      <w:r w:rsidRPr="00965BA2">
        <w:rPr>
          <w:rFonts w:ascii="Times New Roman" w:eastAsia="Calibri" w:hAnsi="Times New Roman" w:cs="Times New Roman"/>
          <w:sz w:val="24"/>
          <w:szCs w:val="24"/>
          <w:lang w:val="x-none" w:eastAsia="pl-PL"/>
        </w:rPr>
        <w:t xml:space="preserve">pojemniku bez szczelnego zamknięcia, miejsce magazynowania pojemników niezabezpieczone przed opadami atmosferycznymi oraz </w:t>
      </w:r>
      <w:r w:rsidRPr="00965BA2">
        <w:rPr>
          <w:rFonts w:ascii="Times New Roman" w:eastAsia="Calibri" w:hAnsi="Times New Roman" w:cs="Times New Roman"/>
          <w:sz w:val="24"/>
          <w:szCs w:val="24"/>
          <w:lang w:eastAsia="pl-PL"/>
        </w:rPr>
        <w:t>nie</w:t>
      </w:r>
      <w:r w:rsidRPr="00965BA2">
        <w:rPr>
          <w:rFonts w:ascii="Times New Roman" w:eastAsia="Calibri" w:hAnsi="Times New Roman" w:cs="Times New Roman"/>
          <w:sz w:val="24"/>
          <w:szCs w:val="24"/>
          <w:lang w:val="x-none" w:eastAsia="pl-PL"/>
        </w:rPr>
        <w:t>wyposażone w</w:t>
      </w:r>
      <w:r w:rsidRPr="00965BA2">
        <w:rPr>
          <w:rFonts w:ascii="Times New Roman" w:eastAsia="Calibri" w:hAnsi="Times New Roman" w:cs="Times New Roman"/>
          <w:sz w:val="24"/>
          <w:szCs w:val="24"/>
          <w:lang w:eastAsia="pl-PL"/>
        </w:rPr>
        <w:t xml:space="preserve"> </w:t>
      </w:r>
      <w:r w:rsidRPr="00965BA2">
        <w:rPr>
          <w:rFonts w:ascii="Times New Roman" w:eastAsia="Calibri" w:hAnsi="Times New Roman" w:cs="Times New Roman"/>
          <w:sz w:val="24"/>
          <w:szCs w:val="24"/>
          <w:lang w:val="x-none" w:eastAsia="pl-PL"/>
        </w:rPr>
        <w:t xml:space="preserve">urządzenia lub środki </w:t>
      </w:r>
      <w:r w:rsidRPr="00965BA2">
        <w:rPr>
          <w:rFonts w:ascii="Times New Roman" w:eastAsia="Calibri" w:hAnsi="Times New Roman" w:cs="Times New Roman"/>
          <w:sz w:val="24"/>
          <w:szCs w:val="24"/>
          <w:lang w:val="x-none" w:eastAsia="pl-PL"/>
        </w:rPr>
        <w:br/>
        <w:t>do</w:t>
      </w:r>
      <w:r w:rsidRPr="00965BA2">
        <w:rPr>
          <w:rFonts w:ascii="Times New Roman" w:eastAsia="Calibri" w:hAnsi="Times New Roman" w:cs="Times New Roman"/>
          <w:sz w:val="24"/>
          <w:szCs w:val="24"/>
          <w:lang w:eastAsia="pl-PL"/>
        </w:rPr>
        <w:t xml:space="preserve"> </w:t>
      </w:r>
      <w:r w:rsidRPr="00965BA2">
        <w:rPr>
          <w:rFonts w:ascii="Times New Roman" w:eastAsia="Calibri" w:hAnsi="Times New Roman" w:cs="Times New Roman"/>
          <w:sz w:val="24"/>
          <w:szCs w:val="24"/>
          <w:lang w:val="x-none" w:eastAsia="pl-PL"/>
        </w:rPr>
        <w:t>zbierania wycieków tych odpadów),</w:t>
      </w:r>
    </w:p>
    <w:p w14:paraId="5AC35A7B" w14:textId="77777777" w:rsidR="00DA319F" w:rsidRPr="00965BA2" w:rsidRDefault="00DA319F" w:rsidP="00D34F97">
      <w:pPr>
        <w:numPr>
          <w:ilvl w:val="0"/>
          <w:numId w:val="92"/>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braku opłat za korzystanie ze środowiska</w:t>
      </w:r>
      <w:r w:rsidRPr="00965BA2">
        <w:rPr>
          <w:rFonts w:ascii="Times New Roman" w:eastAsia="Calibri" w:hAnsi="Times New Roman" w:cs="Times New Roman"/>
          <w:sz w:val="24"/>
          <w:szCs w:val="24"/>
          <w:lang w:eastAsia="pl-PL"/>
        </w:rPr>
        <w:t>,</w:t>
      </w:r>
    </w:p>
    <w:p w14:paraId="13730F81" w14:textId="77777777" w:rsidR="00DA319F" w:rsidRPr="00965BA2" w:rsidRDefault="00DA319F" w:rsidP="00D34F97">
      <w:pPr>
        <w:numPr>
          <w:ilvl w:val="0"/>
          <w:numId w:val="92"/>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lastRenderedPageBreak/>
        <w:t>braku wpisu w BDO</w:t>
      </w:r>
      <w:r w:rsidRPr="00965BA2">
        <w:rPr>
          <w:rFonts w:ascii="Times New Roman" w:eastAsia="Calibri" w:hAnsi="Times New Roman" w:cs="Times New Roman"/>
          <w:sz w:val="24"/>
          <w:szCs w:val="24"/>
          <w:vertAlign w:val="superscript"/>
          <w:lang w:val="x-none" w:eastAsia="pl-PL"/>
        </w:rPr>
        <w:footnoteReference w:id="9"/>
      </w:r>
      <w:r w:rsidRPr="00965BA2">
        <w:rPr>
          <w:rFonts w:ascii="Times New Roman" w:eastAsia="Calibri" w:hAnsi="Times New Roman" w:cs="Times New Roman"/>
          <w:sz w:val="24"/>
          <w:szCs w:val="24"/>
          <w:lang w:val="x-none" w:eastAsia="pl-PL"/>
        </w:rPr>
        <w:t xml:space="preserve"> jako wytwórca odpadów</w:t>
      </w:r>
      <w:r w:rsidRPr="00965BA2">
        <w:rPr>
          <w:rFonts w:ascii="Times New Roman" w:eastAsia="Calibri" w:hAnsi="Times New Roman" w:cs="Times New Roman"/>
          <w:sz w:val="24"/>
          <w:szCs w:val="24"/>
          <w:lang w:eastAsia="pl-PL"/>
        </w:rPr>
        <w:t>,</w:t>
      </w:r>
    </w:p>
    <w:p w14:paraId="40269424" w14:textId="77777777" w:rsidR="00DA319F" w:rsidRPr="00965BA2" w:rsidRDefault="00DA319F" w:rsidP="00D34F97">
      <w:pPr>
        <w:numPr>
          <w:ilvl w:val="0"/>
          <w:numId w:val="92"/>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braku lub nierzeteln</w:t>
      </w:r>
      <w:r w:rsidRPr="00965BA2">
        <w:rPr>
          <w:rFonts w:ascii="Times New Roman" w:eastAsia="Calibri" w:hAnsi="Times New Roman" w:cs="Times New Roman"/>
          <w:sz w:val="24"/>
          <w:szCs w:val="24"/>
          <w:lang w:eastAsia="pl-PL"/>
        </w:rPr>
        <w:t>ego</w:t>
      </w:r>
      <w:r w:rsidRPr="00965BA2">
        <w:rPr>
          <w:rFonts w:ascii="Times New Roman" w:eastAsia="Calibri" w:hAnsi="Times New Roman" w:cs="Times New Roman"/>
          <w:sz w:val="24"/>
          <w:szCs w:val="24"/>
          <w:lang w:val="x-none" w:eastAsia="pl-PL"/>
        </w:rPr>
        <w:t xml:space="preserve"> prowadzeni</w:t>
      </w:r>
      <w:r w:rsidRPr="00965BA2">
        <w:rPr>
          <w:rFonts w:ascii="Times New Roman" w:eastAsia="Calibri" w:hAnsi="Times New Roman" w:cs="Times New Roman"/>
          <w:sz w:val="24"/>
          <w:szCs w:val="24"/>
          <w:lang w:eastAsia="pl-PL"/>
        </w:rPr>
        <w:t>a</w:t>
      </w:r>
      <w:r w:rsidRPr="00965BA2">
        <w:rPr>
          <w:rFonts w:ascii="Times New Roman" w:eastAsia="Calibri" w:hAnsi="Times New Roman" w:cs="Times New Roman"/>
          <w:sz w:val="24"/>
          <w:szCs w:val="24"/>
          <w:lang w:val="x-none" w:eastAsia="pl-PL"/>
        </w:rPr>
        <w:t xml:space="preserve"> ewidencji lub sprawozdawczości: brak kart ewidencji odpadów dla wytworzonych odpadów,</w:t>
      </w:r>
    </w:p>
    <w:p w14:paraId="230DFF79" w14:textId="77777777" w:rsidR="00DA319F" w:rsidRPr="00965BA2" w:rsidRDefault="00DA319F" w:rsidP="00D34F97">
      <w:pPr>
        <w:numPr>
          <w:ilvl w:val="0"/>
          <w:numId w:val="92"/>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braku wymaganych uregulowań formalno-prawnych (m.in. pozwolenia na wytwarzanie odpadów, zezwolenia na zbieranie i</w:t>
      </w:r>
      <w:r w:rsidRPr="00965BA2">
        <w:rPr>
          <w:rFonts w:ascii="Times New Roman" w:eastAsia="Calibri" w:hAnsi="Times New Roman" w:cs="Times New Roman"/>
          <w:sz w:val="24"/>
          <w:szCs w:val="24"/>
          <w:lang w:eastAsia="pl-PL"/>
        </w:rPr>
        <w:t xml:space="preserve"> </w:t>
      </w:r>
      <w:r w:rsidRPr="00965BA2">
        <w:rPr>
          <w:rFonts w:ascii="Times New Roman" w:eastAsia="Calibri" w:hAnsi="Times New Roman" w:cs="Times New Roman"/>
          <w:sz w:val="24"/>
          <w:szCs w:val="24"/>
          <w:lang w:val="x-none" w:eastAsia="pl-PL"/>
        </w:rPr>
        <w:t>przetwarzanie odpadów, brak wpisu w rejestrze BDO jako wytwórca odpadów obowiązany do prowadzenia ewidencji odpadów</w:t>
      </w:r>
      <w:r w:rsidRPr="00965BA2">
        <w:rPr>
          <w:rFonts w:ascii="Times New Roman" w:eastAsia="Calibri" w:hAnsi="Times New Roman" w:cs="Times New Roman"/>
          <w:sz w:val="24"/>
          <w:szCs w:val="24"/>
          <w:lang w:eastAsia="pl-PL"/>
        </w:rPr>
        <w:t>,</w:t>
      </w:r>
      <w:r w:rsidRPr="00965BA2">
        <w:rPr>
          <w:rFonts w:ascii="Times New Roman" w:eastAsia="Calibri" w:hAnsi="Times New Roman" w:cs="Times New Roman"/>
          <w:sz w:val="24"/>
          <w:szCs w:val="24"/>
          <w:lang w:val="x-none" w:eastAsia="pl-PL"/>
        </w:rPr>
        <w:t xml:space="preserve"> niepodlegający obowiązkowi uzyskania pozwolenia na wytwarzanie odpadów albo pozwolenia zintegrowanego),</w:t>
      </w:r>
    </w:p>
    <w:p w14:paraId="6B0E88FD" w14:textId="77777777" w:rsidR="00DA319F" w:rsidRPr="00965BA2" w:rsidRDefault="00DA319F" w:rsidP="00D34F97">
      <w:pPr>
        <w:numPr>
          <w:ilvl w:val="0"/>
          <w:numId w:val="92"/>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wycieku substancji ropopochodnych ze strefy magazynowania</w:t>
      </w:r>
      <w:r w:rsidRPr="00965BA2">
        <w:rPr>
          <w:rFonts w:ascii="Times New Roman" w:eastAsia="Calibri" w:hAnsi="Times New Roman" w:cs="Times New Roman"/>
          <w:sz w:val="24"/>
          <w:szCs w:val="24"/>
          <w:lang w:eastAsia="pl-PL"/>
        </w:rPr>
        <w:t>,</w:t>
      </w:r>
    </w:p>
    <w:p w14:paraId="27AA4F6B" w14:textId="77777777" w:rsidR="00DA319F" w:rsidRPr="00965BA2" w:rsidRDefault="00DA319F" w:rsidP="00D34F97">
      <w:pPr>
        <w:numPr>
          <w:ilvl w:val="0"/>
          <w:numId w:val="92"/>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termicznego przekształcania wytworzonych odpadów poza spalarnią</w:t>
      </w:r>
      <w:r w:rsidRPr="00965BA2">
        <w:rPr>
          <w:rFonts w:ascii="Times New Roman" w:eastAsia="Calibri" w:hAnsi="Times New Roman" w:cs="Times New Roman"/>
          <w:sz w:val="24"/>
          <w:szCs w:val="24"/>
          <w:lang w:eastAsia="pl-PL"/>
        </w:rPr>
        <w:t xml:space="preserve"> </w:t>
      </w:r>
      <w:r w:rsidRPr="00965BA2">
        <w:rPr>
          <w:rFonts w:ascii="Times New Roman" w:eastAsia="Calibri" w:hAnsi="Times New Roman" w:cs="Times New Roman"/>
          <w:sz w:val="24"/>
          <w:szCs w:val="24"/>
          <w:lang w:val="x-none" w:eastAsia="pl-PL"/>
        </w:rPr>
        <w:t>lub</w:t>
      </w:r>
      <w:r w:rsidRPr="00965BA2">
        <w:rPr>
          <w:rFonts w:ascii="Times New Roman" w:eastAsia="Calibri" w:hAnsi="Times New Roman" w:cs="Times New Roman"/>
          <w:sz w:val="24"/>
          <w:szCs w:val="24"/>
          <w:lang w:eastAsia="pl-PL"/>
        </w:rPr>
        <w:t xml:space="preserve"> </w:t>
      </w:r>
      <w:proofErr w:type="spellStart"/>
      <w:r w:rsidRPr="00965BA2">
        <w:rPr>
          <w:rFonts w:ascii="Times New Roman" w:eastAsia="Calibri" w:hAnsi="Times New Roman" w:cs="Times New Roman"/>
          <w:sz w:val="24"/>
          <w:szCs w:val="24"/>
          <w:lang w:val="x-none" w:eastAsia="pl-PL"/>
        </w:rPr>
        <w:t>współspalarnią</w:t>
      </w:r>
      <w:proofErr w:type="spellEnd"/>
      <w:r w:rsidRPr="00965BA2">
        <w:rPr>
          <w:rFonts w:ascii="Times New Roman" w:eastAsia="Calibri" w:hAnsi="Times New Roman" w:cs="Times New Roman"/>
          <w:sz w:val="24"/>
          <w:szCs w:val="24"/>
          <w:lang w:val="x-none" w:eastAsia="pl-PL"/>
        </w:rPr>
        <w:t>,</w:t>
      </w:r>
    </w:p>
    <w:p w14:paraId="4BB578F0" w14:textId="77777777" w:rsidR="00DA319F" w:rsidRPr="00965BA2" w:rsidRDefault="00DA319F" w:rsidP="00D34F97">
      <w:pPr>
        <w:numPr>
          <w:ilvl w:val="0"/>
          <w:numId w:val="92"/>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prowadzenia gospodarki odpadami w sposób niezapewniający ochrony środowiska (magazynowanie olejów odpadowych na nieutwardzonym i</w:t>
      </w:r>
      <w:r w:rsidRPr="00965BA2">
        <w:rPr>
          <w:rFonts w:ascii="Times New Roman" w:eastAsia="Calibri" w:hAnsi="Times New Roman" w:cs="Times New Roman"/>
          <w:sz w:val="24"/>
          <w:szCs w:val="24"/>
          <w:lang w:eastAsia="pl-PL"/>
        </w:rPr>
        <w:t xml:space="preserve"> </w:t>
      </w:r>
      <w:r w:rsidRPr="00965BA2">
        <w:rPr>
          <w:rFonts w:ascii="Times New Roman" w:eastAsia="Calibri" w:hAnsi="Times New Roman" w:cs="Times New Roman"/>
          <w:sz w:val="24"/>
          <w:szCs w:val="24"/>
          <w:lang w:val="x-none" w:eastAsia="pl-PL"/>
        </w:rPr>
        <w:t>niezadaszonym gruncie),</w:t>
      </w:r>
    </w:p>
    <w:p w14:paraId="0BED6A74" w14:textId="77777777" w:rsidR="00DA319F" w:rsidRPr="00965BA2" w:rsidRDefault="00DA319F" w:rsidP="00D34F97">
      <w:pPr>
        <w:numPr>
          <w:ilvl w:val="0"/>
          <w:numId w:val="92"/>
        </w:numPr>
        <w:spacing w:after="120" w:line="300" w:lineRule="atLeast"/>
        <w:ind w:left="924" w:hanging="357"/>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magazynowania wytworzonych odpadów niebezpiecznych dłużej niż 1 rok.</w:t>
      </w:r>
    </w:p>
    <w:p w14:paraId="2E19A0C2" w14:textId="77777777" w:rsidR="00DA319F" w:rsidRPr="00965BA2" w:rsidRDefault="00DA319F" w:rsidP="00E93420">
      <w:pPr>
        <w:spacing w:after="6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W związku ze stwierdzonymi nieprawidłowościami podjęto następujące działania pokontrolne:</w:t>
      </w:r>
    </w:p>
    <w:p w14:paraId="28390A4B" w14:textId="77777777" w:rsidR="00DA319F" w:rsidRPr="00965BA2" w:rsidRDefault="00DA319F" w:rsidP="00D34F97">
      <w:pPr>
        <w:numPr>
          <w:ilvl w:val="0"/>
          <w:numId w:val="93"/>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udzielono 1</w:t>
      </w:r>
      <w:r w:rsidRPr="00965BA2">
        <w:rPr>
          <w:rFonts w:ascii="Times New Roman" w:eastAsia="Calibri" w:hAnsi="Times New Roman" w:cs="Times New Roman"/>
          <w:sz w:val="24"/>
          <w:szCs w:val="24"/>
          <w:lang w:eastAsia="pl-PL"/>
        </w:rPr>
        <w:t>25</w:t>
      </w:r>
      <w:r w:rsidRPr="00965BA2">
        <w:rPr>
          <w:rFonts w:ascii="Times New Roman" w:eastAsia="Calibri" w:hAnsi="Times New Roman" w:cs="Times New Roman"/>
          <w:sz w:val="24"/>
          <w:szCs w:val="24"/>
          <w:lang w:val="x-none" w:eastAsia="pl-PL"/>
        </w:rPr>
        <w:t xml:space="preserve"> pouczeń,</w:t>
      </w:r>
    </w:p>
    <w:p w14:paraId="2F4CB497" w14:textId="77777777" w:rsidR="00DA319F" w:rsidRPr="00965BA2" w:rsidRDefault="00DA319F" w:rsidP="00D34F97">
      <w:pPr>
        <w:numPr>
          <w:ilvl w:val="0"/>
          <w:numId w:val="93"/>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nałożono 11</w:t>
      </w:r>
      <w:r w:rsidRPr="00965BA2">
        <w:rPr>
          <w:rFonts w:ascii="Times New Roman" w:eastAsia="Calibri" w:hAnsi="Times New Roman" w:cs="Times New Roman"/>
          <w:sz w:val="24"/>
          <w:szCs w:val="24"/>
          <w:lang w:eastAsia="pl-PL"/>
        </w:rPr>
        <w:t>0</w:t>
      </w:r>
      <w:r w:rsidRPr="00965BA2">
        <w:rPr>
          <w:rFonts w:ascii="Times New Roman" w:eastAsia="Calibri" w:hAnsi="Times New Roman" w:cs="Times New Roman"/>
          <w:sz w:val="24"/>
          <w:szCs w:val="24"/>
          <w:lang w:val="x-none" w:eastAsia="pl-PL"/>
        </w:rPr>
        <w:t xml:space="preserve"> mandatów karnych,</w:t>
      </w:r>
    </w:p>
    <w:p w14:paraId="2CB8DA6D" w14:textId="77777777" w:rsidR="00DA319F" w:rsidRPr="00965BA2" w:rsidRDefault="00DA319F" w:rsidP="00D34F97">
      <w:pPr>
        <w:numPr>
          <w:ilvl w:val="0"/>
          <w:numId w:val="93"/>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skierowano </w:t>
      </w:r>
      <w:r w:rsidRPr="00965BA2">
        <w:rPr>
          <w:rFonts w:ascii="Times New Roman" w:eastAsia="Calibri" w:hAnsi="Times New Roman" w:cs="Times New Roman"/>
          <w:sz w:val="24"/>
          <w:szCs w:val="24"/>
          <w:lang w:eastAsia="pl-PL"/>
        </w:rPr>
        <w:t>6</w:t>
      </w:r>
      <w:r w:rsidRPr="00965BA2">
        <w:rPr>
          <w:rFonts w:ascii="Times New Roman" w:eastAsia="Calibri" w:hAnsi="Times New Roman" w:cs="Times New Roman"/>
          <w:sz w:val="24"/>
          <w:szCs w:val="24"/>
          <w:lang w:val="x-none" w:eastAsia="pl-PL"/>
        </w:rPr>
        <w:t xml:space="preserve"> wniosków do sądów o ukaranie karą grzywny,</w:t>
      </w:r>
    </w:p>
    <w:p w14:paraId="4AA04BB5" w14:textId="77777777" w:rsidR="00DA319F" w:rsidRPr="00965BA2" w:rsidRDefault="00DA319F" w:rsidP="00D34F97">
      <w:pPr>
        <w:numPr>
          <w:ilvl w:val="0"/>
          <w:numId w:val="93"/>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wydano 18</w:t>
      </w:r>
      <w:r w:rsidRPr="00965BA2">
        <w:rPr>
          <w:rFonts w:ascii="Times New Roman" w:eastAsia="Calibri" w:hAnsi="Times New Roman" w:cs="Times New Roman"/>
          <w:sz w:val="24"/>
          <w:szCs w:val="24"/>
          <w:lang w:eastAsia="pl-PL"/>
        </w:rPr>
        <w:t>5</w:t>
      </w:r>
      <w:r w:rsidRPr="00965BA2">
        <w:rPr>
          <w:rFonts w:ascii="Times New Roman" w:eastAsia="Calibri" w:hAnsi="Times New Roman" w:cs="Times New Roman"/>
          <w:sz w:val="24"/>
          <w:szCs w:val="24"/>
          <w:lang w:val="x-none" w:eastAsia="pl-PL"/>
        </w:rPr>
        <w:t xml:space="preserve"> zarządzeń pokontrolnych,</w:t>
      </w:r>
    </w:p>
    <w:p w14:paraId="02853CDE" w14:textId="77777777" w:rsidR="00DA319F" w:rsidRPr="00965BA2" w:rsidRDefault="00DA319F" w:rsidP="00D34F97">
      <w:pPr>
        <w:numPr>
          <w:ilvl w:val="0"/>
          <w:numId w:val="93"/>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wydano </w:t>
      </w:r>
      <w:r w:rsidRPr="00965BA2">
        <w:rPr>
          <w:rFonts w:ascii="Times New Roman" w:eastAsia="Calibri" w:hAnsi="Times New Roman" w:cs="Times New Roman"/>
          <w:sz w:val="24"/>
          <w:szCs w:val="24"/>
          <w:lang w:eastAsia="pl-PL"/>
        </w:rPr>
        <w:t>66</w:t>
      </w:r>
      <w:r w:rsidRPr="00965BA2">
        <w:rPr>
          <w:rFonts w:ascii="Times New Roman" w:eastAsia="Calibri" w:hAnsi="Times New Roman" w:cs="Times New Roman"/>
          <w:sz w:val="24"/>
          <w:szCs w:val="24"/>
          <w:lang w:val="x-none" w:eastAsia="pl-PL"/>
        </w:rPr>
        <w:t xml:space="preserve"> </w:t>
      </w:r>
      <w:r w:rsidRPr="00965BA2">
        <w:rPr>
          <w:rFonts w:ascii="Times New Roman" w:eastAsia="Times New Roman" w:hAnsi="Times New Roman" w:cs="Times New Roman"/>
          <w:sz w:val="24"/>
          <w:szCs w:val="24"/>
          <w:lang w:val="x-none" w:eastAsia="pl-PL"/>
        </w:rPr>
        <w:t>decyzji w sprawie nałożenia kar pieniężnych</w:t>
      </w:r>
      <w:r w:rsidRPr="00965BA2">
        <w:rPr>
          <w:rFonts w:ascii="Times New Roman" w:eastAsia="Calibri" w:hAnsi="Times New Roman" w:cs="Times New Roman"/>
          <w:sz w:val="24"/>
          <w:szCs w:val="24"/>
          <w:lang w:val="x-none" w:eastAsia="pl-PL"/>
        </w:rPr>
        <w:t>,</w:t>
      </w:r>
    </w:p>
    <w:p w14:paraId="4C7CC985" w14:textId="77777777" w:rsidR="00DA319F" w:rsidRPr="00965BA2" w:rsidRDefault="00DA319F" w:rsidP="00D34F97">
      <w:pPr>
        <w:numPr>
          <w:ilvl w:val="0"/>
          <w:numId w:val="93"/>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skierowano </w:t>
      </w:r>
      <w:r w:rsidRPr="00965BA2">
        <w:rPr>
          <w:rFonts w:ascii="Times New Roman" w:eastAsia="Calibri" w:hAnsi="Times New Roman" w:cs="Times New Roman"/>
          <w:sz w:val="24"/>
          <w:szCs w:val="24"/>
          <w:lang w:eastAsia="pl-PL"/>
        </w:rPr>
        <w:t>4</w:t>
      </w:r>
      <w:r w:rsidRPr="00965BA2">
        <w:rPr>
          <w:rFonts w:ascii="Times New Roman" w:eastAsia="Calibri" w:hAnsi="Times New Roman" w:cs="Times New Roman"/>
          <w:sz w:val="24"/>
          <w:szCs w:val="24"/>
          <w:lang w:val="x-none" w:eastAsia="pl-PL"/>
        </w:rPr>
        <w:t xml:space="preserve"> wniosk</w:t>
      </w:r>
      <w:r w:rsidRPr="00965BA2">
        <w:rPr>
          <w:rFonts w:ascii="Times New Roman" w:eastAsia="Calibri" w:hAnsi="Times New Roman" w:cs="Times New Roman"/>
          <w:sz w:val="24"/>
          <w:szCs w:val="24"/>
          <w:lang w:eastAsia="pl-PL"/>
        </w:rPr>
        <w:t>i</w:t>
      </w:r>
      <w:r w:rsidRPr="00965BA2">
        <w:rPr>
          <w:rFonts w:ascii="Times New Roman" w:eastAsia="Calibri" w:hAnsi="Times New Roman" w:cs="Times New Roman"/>
          <w:sz w:val="24"/>
          <w:szCs w:val="24"/>
          <w:lang w:val="x-none" w:eastAsia="pl-PL"/>
        </w:rPr>
        <w:t xml:space="preserve"> do organów ścigania,</w:t>
      </w:r>
    </w:p>
    <w:p w14:paraId="27F8BF6D" w14:textId="6A4BC7FC" w:rsidR="00895F16" w:rsidRPr="007F400A" w:rsidRDefault="00DA319F" w:rsidP="00D34F97">
      <w:pPr>
        <w:numPr>
          <w:ilvl w:val="0"/>
          <w:numId w:val="93"/>
        </w:numPr>
        <w:spacing w:after="240" w:line="300" w:lineRule="atLeast"/>
        <w:ind w:left="924" w:hanging="357"/>
        <w:jc w:val="both"/>
        <w:rPr>
          <w:rFonts w:ascii="Times New Roman" w:eastAsia="Calibri" w:hAnsi="Times New Roman" w:cs="Times New Roman"/>
          <w:color w:val="000000"/>
          <w:sz w:val="24"/>
          <w:szCs w:val="24"/>
          <w:lang w:val="x-none" w:eastAsia="pl-PL"/>
        </w:rPr>
      </w:pPr>
      <w:r w:rsidRPr="00965BA2">
        <w:rPr>
          <w:rFonts w:ascii="Times New Roman" w:eastAsia="Calibri" w:hAnsi="Times New Roman" w:cs="Times New Roman"/>
          <w:sz w:val="24"/>
          <w:szCs w:val="24"/>
          <w:lang w:val="x-none" w:eastAsia="pl-PL"/>
        </w:rPr>
        <w:t xml:space="preserve">skierowano </w:t>
      </w:r>
      <w:r w:rsidRPr="00965BA2">
        <w:rPr>
          <w:rFonts w:ascii="Times New Roman" w:eastAsia="Calibri" w:hAnsi="Times New Roman" w:cs="Times New Roman"/>
          <w:sz w:val="24"/>
          <w:szCs w:val="24"/>
          <w:lang w:eastAsia="pl-PL"/>
        </w:rPr>
        <w:t>97</w:t>
      </w:r>
      <w:r w:rsidRPr="00965BA2">
        <w:rPr>
          <w:rFonts w:ascii="Times New Roman" w:eastAsia="Calibri" w:hAnsi="Times New Roman" w:cs="Times New Roman"/>
          <w:sz w:val="24"/>
          <w:szCs w:val="24"/>
          <w:lang w:val="x-none" w:eastAsia="pl-PL"/>
        </w:rPr>
        <w:t xml:space="preserve"> wystąpień do innych organów administracji rządowej i</w:t>
      </w:r>
      <w:r w:rsidRPr="00965BA2">
        <w:rPr>
          <w:rFonts w:ascii="Times New Roman" w:eastAsia="Calibri" w:hAnsi="Times New Roman" w:cs="Times New Roman"/>
          <w:sz w:val="24"/>
          <w:szCs w:val="24"/>
          <w:lang w:eastAsia="pl-PL"/>
        </w:rPr>
        <w:t xml:space="preserve"> </w:t>
      </w:r>
      <w:r w:rsidRPr="00965BA2">
        <w:rPr>
          <w:rFonts w:ascii="Times New Roman" w:eastAsia="Calibri" w:hAnsi="Times New Roman" w:cs="Times New Roman"/>
          <w:sz w:val="24"/>
          <w:szCs w:val="24"/>
          <w:lang w:val="x-none" w:eastAsia="pl-PL"/>
        </w:rPr>
        <w:t>samorządowej</w:t>
      </w:r>
      <w:r w:rsidR="00895F16" w:rsidRPr="007F400A">
        <w:rPr>
          <w:rFonts w:ascii="Times New Roman" w:eastAsia="Calibri" w:hAnsi="Times New Roman" w:cs="Times New Roman"/>
          <w:color w:val="000000"/>
          <w:sz w:val="24"/>
          <w:szCs w:val="24"/>
          <w:lang w:val="x-none" w:eastAsia="pl-PL"/>
        </w:rPr>
        <w:t>.</w:t>
      </w:r>
    </w:p>
    <w:p w14:paraId="0CD47AC3" w14:textId="77777777" w:rsidR="00895F16" w:rsidRPr="007F400A" w:rsidRDefault="00895F16" w:rsidP="009D34A2">
      <w:pPr>
        <w:spacing w:after="120" w:line="300" w:lineRule="atLeast"/>
        <w:jc w:val="both"/>
        <w:rPr>
          <w:rFonts w:ascii="Times New Roman" w:hAnsi="Times New Roman" w:cs="Times New Roman"/>
          <w:b/>
          <w:bCs/>
          <w:sz w:val="24"/>
          <w:szCs w:val="24"/>
        </w:rPr>
      </w:pPr>
      <w:r w:rsidRPr="007F400A">
        <w:rPr>
          <w:rFonts w:ascii="Times New Roman" w:hAnsi="Times New Roman" w:cs="Times New Roman"/>
          <w:b/>
          <w:bCs/>
          <w:sz w:val="24"/>
          <w:szCs w:val="24"/>
        </w:rPr>
        <w:t>Zbierający oleje odpadowe oraz podmioty prowadzące ich regenerację</w:t>
      </w:r>
    </w:p>
    <w:p w14:paraId="5C4357E9" w14:textId="3A83F3BE" w:rsidR="00DA319F" w:rsidRPr="007A0185" w:rsidRDefault="00DA319F" w:rsidP="009D34A2">
      <w:pPr>
        <w:spacing w:after="60" w:line="300" w:lineRule="atLeast"/>
        <w:ind w:firstLine="567"/>
        <w:jc w:val="both"/>
        <w:rPr>
          <w:rFonts w:ascii="Times New Roman" w:eastAsia="Calibri" w:hAnsi="Times New Roman" w:cs="Times New Roman"/>
          <w:sz w:val="24"/>
          <w:szCs w:val="24"/>
        </w:rPr>
      </w:pPr>
      <w:r w:rsidRPr="007A0185">
        <w:rPr>
          <w:rFonts w:ascii="Times New Roman" w:eastAsia="Calibri" w:hAnsi="Times New Roman" w:cs="Times New Roman"/>
          <w:sz w:val="24"/>
          <w:szCs w:val="24"/>
        </w:rPr>
        <w:t xml:space="preserve">Działalność w zakresie zbierania olejów odpadowych prowadzona była przez 320 podmiotów. W układzie </w:t>
      </w:r>
      <w:r w:rsidR="009D34A2">
        <w:rPr>
          <w:rFonts w:ascii="Times New Roman" w:eastAsia="Calibri" w:hAnsi="Times New Roman" w:cs="Times New Roman"/>
          <w:sz w:val="24"/>
          <w:szCs w:val="24"/>
        </w:rPr>
        <w:t xml:space="preserve">według </w:t>
      </w:r>
      <w:r w:rsidRPr="007A0185">
        <w:rPr>
          <w:rFonts w:ascii="Times New Roman" w:eastAsia="Calibri" w:hAnsi="Times New Roman" w:cs="Times New Roman"/>
          <w:sz w:val="24"/>
          <w:szCs w:val="24"/>
        </w:rPr>
        <w:t xml:space="preserve">województw przedstawia się to następująco: mazowieckie (91), dolnośląskie (86), podlaskie (35), łódzkie (32), </w:t>
      </w:r>
      <w:r w:rsidR="009D34A2" w:rsidRPr="007A0185">
        <w:rPr>
          <w:rFonts w:ascii="Times New Roman" w:eastAsia="Calibri" w:hAnsi="Times New Roman" w:cs="Times New Roman"/>
          <w:sz w:val="24"/>
          <w:szCs w:val="24"/>
        </w:rPr>
        <w:t>kujawsko-pomorskie (13), lubuskie (13),</w:t>
      </w:r>
      <w:r w:rsidR="009D34A2">
        <w:rPr>
          <w:rFonts w:ascii="Times New Roman" w:eastAsia="Calibri" w:hAnsi="Times New Roman" w:cs="Times New Roman"/>
          <w:sz w:val="24"/>
          <w:szCs w:val="24"/>
        </w:rPr>
        <w:t xml:space="preserve"> </w:t>
      </w:r>
      <w:r w:rsidR="009D34A2" w:rsidRPr="007A0185">
        <w:rPr>
          <w:rFonts w:ascii="Times New Roman" w:eastAsia="Calibri" w:hAnsi="Times New Roman" w:cs="Times New Roman"/>
          <w:sz w:val="24"/>
          <w:szCs w:val="24"/>
        </w:rPr>
        <w:t>wielkopolskie (13), podkarpackie (11)</w:t>
      </w:r>
      <w:r w:rsidR="009D34A2">
        <w:rPr>
          <w:rFonts w:ascii="Times New Roman" w:eastAsia="Calibri" w:hAnsi="Times New Roman" w:cs="Times New Roman"/>
          <w:sz w:val="24"/>
          <w:szCs w:val="24"/>
        </w:rPr>
        <w:t xml:space="preserve">, </w:t>
      </w:r>
      <w:r w:rsidR="009D34A2" w:rsidRPr="007A0185">
        <w:rPr>
          <w:rFonts w:ascii="Times New Roman" w:eastAsia="Calibri" w:hAnsi="Times New Roman" w:cs="Times New Roman"/>
          <w:sz w:val="24"/>
          <w:szCs w:val="24"/>
        </w:rPr>
        <w:t>opolskie (9),</w:t>
      </w:r>
      <w:r w:rsidR="009D34A2">
        <w:rPr>
          <w:rFonts w:ascii="Times New Roman" w:eastAsia="Calibri" w:hAnsi="Times New Roman" w:cs="Times New Roman"/>
          <w:sz w:val="24"/>
          <w:szCs w:val="24"/>
        </w:rPr>
        <w:t xml:space="preserve"> </w:t>
      </w:r>
      <w:r w:rsidR="009D34A2" w:rsidRPr="007A0185">
        <w:rPr>
          <w:rFonts w:ascii="Times New Roman" w:eastAsia="Calibri" w:hAnsi="Times New Roman" w:cs="Times New Roman"/>
          <w:sz w:val="24"/>
          <w:szCs w:val="24"/>
        </w:rPr>
        <w:t>lubelskie (6)</w:t>
      </w:r>
      <w:r w:rsidR="009D34A2">
        <w:rPr>
          <w:rFonts w:ascii="Times New Roman" w:eastAsia="Calibri" w:hAnsi="Times New Roman" w:cs="Times New Roman"/>
          <w:sz w:val="24"/>
          <w:szCs w:val="24"/>
        </w:rPr>
        <w:t xml:space="preserve">, </w:t>
      </w:r>
      <w:r w:rsidR="009D34A2" w:rsidRPr="007A0185">
        <w:rPr>
          <w:rFonts w:ascii="Times New Roman" w:eastAsia="Calibri" w:hAnsi="Times New Roman" w:cs="Times New Roman"/>
          <w:sz w:val="24"/>
          <w:szCs w:val="24"/>
        </w:rPr>
        <w:t>warmińsko-mazurskie (5)</w:t>
      </w:r>
      <w:r w:rsidR="009D34A2">
        <w:rPr>
          <w:rFonts w:ascii="Times New Roman" w:eastAsia="Calibri" w:hAnsi="Times New Roman" w:cs="Times New Roman"/>
          <w:sz w:val="24"/>
          <w:szCs w:val="24"/>
        </w:rPr>
        <w:t xml:space="preserve">, </w:t>
      </w:r>
      <w:r w:rsidRPr="007A0185">
        <w:rPr>
          <w:rFonts w:ascii="Times New Roman" w:eastAsia="Calibri" w:hAnsi="Times New Roman" w:cs="Times New Roman"/>
          <w:sz w:val="24"/>
          <w:szCs w:val="24"/>
        </w:rPr>
        <w:t xml:space="preserve">małopolskie (4) </w:t>
      </w:r>
      <w:r w:rsidR="009D34A2">
        <w:rPr>
          <w:rFonts w:ascii="Times New Roman" w:eastAsia="Calibri" w:hAnsi="Times New Roman" w:cs="Times New Roman"/>
          <w:sz w:val="24"/>
          <w:szCs w:val="24"/>
        </w:rPr>
        <w:t>i</w:t>
      </w:r>
      <w:r w:rsidRPr="007A0185">
        <w:rPr>
          <w:rFonts w:ascii="Times New Roman" w:eastAsia="Calibri" w:hAnsi="Times New Roman" w:cs="Times New Roman"/>
          <w:sz w:val="24"/>
          <w:szCs w:val="24"/>
        </w:rPr>
        <w:t xml:space="preserve"> pomorskie (2). Śląski, świętokrzyski i zachodniopomorski </w:t>
      </w:r>
      <w:proofErr w:type="spellStart"/>
      <w:r w:rsidRPr="007A0185">
        <w:rPr>
          <w:rFonts w:ascii="Times New Roman" w:eastAsia="Calibri" w:hAnsi="Times New Roman" w:cs="Times New Roman"/>
          <w:sz w:val="24"/>
          <w:szCs w:val="24"/>
        </w:rPr>
        <w:t>wioś</w:t>
      </w:r>
      <w:proofErr w:type="spellEnd"/>
      <w:r w:rsidRPr="007A0185">
        <w:rPr>
          <w:rFonts w:ascii="Times New Roman" w:eastAsia="Calibri" w:hAnsi="Times New Roman" w:cs="Times New Roman"/>
          <w:sz w:val="24"/>
          <w:szCs w:val="24"/>
        </w:rPr>
        <w:t xml:space="preserve"> nie prowadziły rejestru podmiotów zbierających oleje odpadowe.</w:t>
      </w:r>
    </w:p>
    <w:p w14:paraId="1E906F5D" w14:textId="77777777" w:rsidR="00DA319F" w:rsidRPr="00965BA2" w:rsidRDefault="00DA319F" w:rsidP="009D34A2">
      <w:pPr>
        <w:spacing w:after="6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 xml:space="preserve">W 2022 r. wojewódzcy inspektorzy ochrony środowiska </w:t>
      </w:r>
      <w:r w:rsidRPr="007A0185">
        <w:rPr>
          <w:rFonts w:ascii="Times New Roman" w:eastAsia="Calibri" w:hAnsi="Times New Roman" w:cs="Times New Roman"/>
          <w:sz w:val="24"/>
          <w:szCs w:val="24"/>
        </w:rPr>
        <w:t xml:space="preserve">przeprowadzili 38 kontroli </w:t>
      </w:r>
      <w:r w:rsidRPr="00965BA2">
        <w:rPr>
          <w:rFonts w:ascii="Times New Roman" w:eastAsia="Calibri" w:hAnsi="Times New Roman" w:cs="Times New Roman"/>
          <w:sz w:val="24"/>
          <w:szCs w:val="24"/>
        </w:rPr>
        <w:t xml:space="preserve">podmiotów zbierających oleje odpadowe, w tym 10 kontroli planowych oraz 28 kontroli pozaplanowych. </w:t>
      </w:r>
      <w:r w:rsidRPr="007A0185">
        <w:rPr>
          <w:rFonts w:ascii="Times New Roman" w:eastAsia="Calibri" w:hAnsi="Times New Roman" w:cs="Times New Roman"/>
          <w:sz w:val="24"/>
          <w:szCs w:val="24"/>
        </w:rPr>
        <w:t>W przypadku 16 (42</w:t>
      </w:r>
      <w:r>
        <w:rPr>
          <w:rFonts w:ascii="Times New Roman" w:eastAsia="Calibri" w:hAnsi="Times New Roman" w:cs="Times New Roman"/>
          <w:sz w:val="24"/>
          <w:szCs w:val="24"/>
        </w:rPr>
        <w:t>%) kontroli</w:t>
      </w:r>
      <w:r w:rsidRPr="00965BA2">
        <w:rPr>
          <w:rFonts w:ascii="Times New Roman" w:eastAsia="Calibri" w:hAnsi="Times New Roman" w:cs="Times New Roman"/>
          <w:sz w:val="24"/>
          <w:szCs w:val="24"/>
        </w:rPr>
        <w:t xml:space="preserve"> wykaza</w:t>
      </w:r>
      <w:r>
        <w:rPr>
          <w:rFonts w:ascii="Times New Roman" w:eastAsia="Calibri" w:hAnsi="Times New Roman" w:cs="Times New Roman"/>
          <w:sz w:val="24"/>
          <w:szCs w:val="24"/>
        </w:rPr>
        <w:t>no</w:t>
      </w:r>
      <w:r w:rsidRPr="00965BA2">
        <w:rPr>
          <w:rFonts w:ascii="Times New Roman" w:eastAsia="Calibri" w:hAnsi="Times New Roman" w:cs="Times New Roman"/>
          <w:sz w:val="24"/>
          <w:szCs w:val="24"/>
        </w:rPr>
        <w:t xml:space="preserve"> naruszenia wymagań ochrony środowiska, z czego podczas:</w:t>
      </w:r>
    </w:p>
    <w:p w14:paraId="260CF24B" w14:textId="77777777" w:rsidR="00DA319F" w:rsidRPr="00965BA2" w:rsidRDefault="00DA319F" w:rsidP="00D34F97">
      <w:pPr>
        <w:numPr>
          <w:ilvl w:val="0"/>
          <w:numId w:val="94"/>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eastAsia="pl-PL"/>
        </w:rPr>
        <w:t>9 (56%)</w:t>
      </w:r>
      <w:r w:rsidRPr="00965BA2">
        <w:rPr>
          <w:rFonts w:ascii="Times New Roman" w:eastAsia="Calibri" w:hAnsi="Times New Roman" w:cs="Times New Roman"/>
          <w:sz w:val="24"/>
          <w:szCs w:val="24"/>
          <w:lang w:val="x-none" w:eastAsia="pl-PL"/>
        </w:rPr>
        <w:t xml:space="preserve"> kontroli stwierdzono naruszenia bez istotnego wpływu na</w:t>
      </w:r>
      <w:r w:rsidRPr="00965BA2">
        <w:rPr>
          <w:rFonts w:ascii="Times New Roman" w:eastAsia="Calibri" w:hAnsi="Times New Roman" w:cs="Times New Roman"/>
          <w:sz w:val="24"/>
          <w:szCs w:val="24"/>
          <w:lang w:eastAsia="pl-PL"/>
        </w:rPr>
        <w:t xml:space="preserve"> </w:t>
      </w:r>
      <w:r w:rsidRPr="00965BA2">
        <w:rPr>
          <w:rFonts w:ascii="Times New Roman" w:eastAsia="Calibri" w:hAnsi="Times New Roman" w:cs="Times New Roman"/>
          <w:sz w:val="24"/>
          <w:szCs w:val="24"/>
          <w:lang w:val="x-none" w:eastAsia="pl-PL"/>
        </w:rPr>
        <w:t>środowisko,</w:t>
      </w:r>
    </w:p>
    <w:p w14:paraId="59B7E0DD" w14:textId="77777777" w:rsidR="00DA319F" w:rsidRPr="00965BA2" w:rsidRDefault="00DA319F" w:rsidP="00D34F97">
      <w:pPr>
        <w:numPr>
          <w:ilvl w:val="0"/>
          <w:numId w:val="94"/>
        </w:numPr>
        <w:spacing w:after="120" w:line="300" w:lineRule="atLeast"/>
        <w:ind w:left="924" w:hanging="357"/>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eastAsia="pl-PL"/>
        </w:rPr>
        <w:t xml:space="preserve">7 (44%) </w:t>
      </w:r>
      <w:r w:rsidRPr="00965BA2">
        <w:rPr>
          <w:rFonts w:ascii="Times New Roman" w:eastAsia="Calibri" w:hAnsi="Times New Roman" w:cs="Times New Roman"/>
          <w:sz w:val="24"/>
          <w:szCs w:val="24"/>
          <w:lang w:val="x-none" w:eastAsia="pl-PL"/>
        </w:rPr>
        <w:t>kontroli stwierdzono naruszenia mogące spowodować zagrożenie lub</w:t>
      </w:r>
      <w:r w:rsidRPr="00965BA2">
        <w:rPr>
          <w:rFonts w:ascii="Times New Roman" w:eastAsia="Calibri" w:hAnsi="Times New Roman" w:cs="Times New Roman"/>
          <w:sz w:val="24"/>
          <w:szCs w:val="24"/>
          <w:lang w:eastAsia="pl-PL"/>
        </w:rPr>
        <w:t xml:space="preserve"> </w:t>
      </w:r>
      <w:r w:rsidRPr="00965BA2">
        <w:rPr>
          <w:rFonts w:ascii="Times New Roman" w:eastAsia="Calibri" w:hAnsi="Times New Roman" w:cs="Times New Roman"/>
          <w:sz w:val="24"/>
          <w:szCs w:val="24"/>
          <w:lang w:val="x-none" w:eastAsia="pl-PL"/>
        </w:rPr>
        <w:t>zanieczyszczenie środowiska.</w:t>
      </w:r>
    </w:p>
    <w:p w14:paraId="7E3A7245" w14:textId="341B39AC" w:rsidR="00DA319F" w:rsidRPr="007A0185" w:rsidRDefault="00DA319F" w:rsidP="006A4600">
      <w:pPr>
        <w:spacing w:after="60" w:line="300" w:lineRule="atLeast"/>
        <w:ind w:firstLine="567"/>
        <w:jc w:val="both"/>
        <w:rPr>
          <w:rFonts w:ascii="Times New Roman" w:eastAsia="Calibri" w:hAnsi="Times New Roman" w:cs="Times New Roman"/>
          <w:sz w:val="24"/>
          <w:szCs w:val="24"/>
        </w:rPr>
      </w:pPr>
      <w:r w:rsidRPr="007A0185">
        <w:rPr>
          <w:rFonts w:ascii="Times New Roman" w:eastAsia="Calibri" w:hAnsi="Times New Roman" w:cs="Times New Roman"/>
          <w:sz w:val="24"/>
          <w:szCs w:val="24"/>
        </w:rPr>
        <w:t xml:space="preserve">Działalność w zakresie regeneracji olejów odpadowych prowadzona była przez </w:t>
      </w:r>
      <w:r w:rsidRPr="007A0185">
        <w:rPr>
          <w:rFonts w:ascii="Times New Roman" w:eastAsia="Calibri" w:hAnsi="Times New Roman" w:cs="Times New Roman"/>
          <w:sz w:val="24"/>
          <w:szCs w:val="24"/>
        </w:rPr>
        <w:br/>
        <w:t>17 podmiotów: 4 w województwie podkarpackim, po 2 w województwie śląskim, opolskim, mazowieckim, pomorskim i zachodniopomorskim, po 1 w województwie łódzkim, małopolskim i świętokrzyskim.</w:t>
      </w:r>
    </w:p>
    <w:p w14:paraId="233EC82A" w14:textId="77777777" w:rsidR="00DA319F" w:rsidRPr="00965BA2" w:rsidRDefault="00DA319F" w:rsidP="006A4600">
      <w:pPr>
        <w:spacing w:after="6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lastRenderedPageBreak/>
        <w:t xml:space="preserve">W 2022 r. wojewódzcy inspektorzy ochrony środowiska przeprowadzili 10 kontroli podmiotów prowadzących regenerację olejów odpadowych, w tym 6 kontroli planowych </w:t>
      </w:r>
      <w:r w:rsidRPr="00965BA2">
        <w:rPr>
          <w:rFonts w:ascii="Times New Roman" w:eastAsia="Calibri" w:hAnsi="Times New Roman" w:cs="Times New Roman"/>
          <w:sz w:val="24"/>
          <w:szCs w:val="24"/>
        </w:rPr>
        <w:br/>
        <w:t>i 4 pozaplanowe. Większość kontroli (7 kontroli) wykazała naruszenia wymagań ochrony środowiska, z czego podczas:</w:t>
      </w:r>
    </w:p>
    <w:p w14:paraId="3A91B9EA" w14:textId="77777777" w:rsidR="00DA319F" w:rsidRPr="00965BA2" w:rsidRDefault="00DA319F" w:rsidP="00D34F97">
      <w:pPr>
        <w:numPr>
          <w:ilvl w:val="0"/>
          <w:numId w:val="94"/>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eastAsia="pl-PL"/>
        </w:rPr>
        <w:t>3 (43%)</w:t>
      </w:r>
      <w:r w:rsidRPr="00965BA2">
        <w:rPr>
          <w:rFonts w:ascii="Times New Roman" w:eastAsia="Calibri" w:hAnsi="Times New Roman" w:cs="Times New Roman"/>
          <w:sz w:val="24"/>
          <w:szCs w:val="24"/>
          <w:lang w:val="x-none" w:eastAsia="pl-PL"/>
        </w:rPr>
        <w:t xml:space="preserve"> kontroli stwierdzono naruszenia bez istotnego wpływu na</w:t>
      </w:r>
      <w:r w:rsidRPr="00965BA2">
        <w:rPr>
          <w:rFonts w:ascii="Times New Roman" w:eastAsia="Calibri" w:hAnsi="Times New Roman" w:cs="Times New Roman"/>
          <w:sz w:val="24"/>
          <w:szCs w:val="24"/>
          <w:lang w:eastAsia="pl-PL"/>
        </w:rPr>
        <w:t xml:space="preserve"> </w:t>
      </w:r>
      <w:r w:rsidRPr="00965BA2">
        <w:rPr>
          <w:rFonts w:ascii="Times New Roman" w:eastAsia="Calibri" w:hAnsi="Times New Roman" w:cs="Times New Roman"/>
          <w:sz w:val="24"/>
          <w:szCs w:val="24"/>
          <w:lang w:val="x-none" w:eastAsia="pl-PL"/>
        </w:rPr>
        <w:t>środowisko,</w:t>
      </w:r>
    </w:p>
    <w:p w14:paraId="03962ADE" w14:textId="77777777" w:rsidR="00DA319F" w:rsidRPr="00965BA2" w:rsidRDefault="00DA319F" w:rsidP="00D34F97">
      <w:pPr>
        <w:numPr>
          <w:ilvl w:val="0"/>
          <w:numId w:val="94"/>
        </w:numPr>
        <w:spacing w:after="120" w:line="300" w:lineRule="atLeast"/>
        <w:ind w:left="924" w:hanging="357"/>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eastAsia="pl-PL"/>
        </w:rPr>
        <w:t xml:space="preserve">4 (57%) </w:t>
      </w:r>
      <w:r w:rsidRPr="00965BA2">
        <w:rPr>
          <w:rFonts w:ascii="Times New Roman" w:eastAsia="Calibri" w:hAnsi="Times New Roman" w:cs="Times New Roman"/>
          <w:sz w:val="24"/>
          <w:szCs w:val="24"/>
          <w:lang w:val="x-none" w:eastAsia="pl-PL"/>
        </w:rPr>
        <w:t>kontroli stwierdzono naruszenia mogące spowodować zagrożenie lub</w:t>
      </w:r>
      <w:r w:rsidRPr="00965BA2">
        <w:rPr>
          <w:rFonts w:ascii="Times New Roman" w:eastAsia="Calibri" w:hAnsi="Times New Roman" w:cs="Times New Roman"/>
          <w:sz w:val="24"/>
          <w:szCs w:val="24"/>
          <w:lang w:eastAsia="pl-PL"/>
        </w:rPr>
        <w:t xml:space="preserve"> </w:t>
      </w:r>
      <w:r w:rsidRPr="00965BA2">
        <w:rPr>
          <w:rFonts w:ascii="Times New Roman" w:eastAsia="Calibri" w:hAnsi="Times New Roman" w:cs="Times New Roman"/>
          <w:sz w:val="24"/>
          <w:szCs w:val="24"/>
          <w:lang w:val="x-none" w:eastAsia="pl-PL"/>
        </w:rPr>
        <w:t>zanieczyszczenie środowiska.</w:t>
      </w:r>
    </w:p>
    <w:p w14:paraId="32F7267E" w14:textId="77777777" w:rsidR="00DA319F" w:rsidRPr="00965BA2" w:rsidRDefault="00DA319F" w:rsidP="006A4600">
      <w:pPr>
        <w:spacing w:after="6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W trakcie kontroli podmiotów zbierających oleje odpadowe oraz podmiotów prowadzących ich regenerację stwierdzono naruszenia dotyczące m.in.:</w:t>
      </w:r>
    </w:p>
    <w:p w14:paraId="4E8C912E" w14:textId="00E686AB" w:rsidR="00DA319F" w:rsidRPr="00965BA2" w:rsidRDefault="00DA319F" w:rsidP="00D34F97">
      <w:pPr>
        <w:numPr>
          <w:ilvl w:val="0"/>
          <w:numId w:val="95"/>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braku prowadzenia ewidencji lub prowadzeni</w:t>
      </w:r>
      <w:r w:rsidR="006A4600">
        <w:rPr>
          <w:rFonts w:ascii="Times New Roman" w:eastAsia="Calibri" w:hAnsi="Times New Roman" w:cs="Times New Roman"/>
          <w:sz w:val="24"/>
          <w:szCs w:val="24"/>
          <w:lang w:eastAsia="pl-PL"/>
        </w:rPr>
        <w:t>a</w:t>
      </w:r>
      <w:r w:rsidRPr="00965BA2">
        <w:rPr>
          <w:rFonts w:ascii="Times New Roman" w:eastAsia="Calibri" w:hAnsi="Times New Roman" w:cs="Times New Roman"/>
          <w:sz w:val="24"/>
          <w:szCs w:val="24"/>
          <w:lang w:val="x-none" w:eastAsia="pl-PL"/>
        </w:rPr>
        <w:t xml:space="preserve"> jej nierzetelnie,</w:t>
      </w:r>
    </w:p>
    <w:p w14:paraId="01AA70A6" w14:textId="77777777" w:rsidR="00DA319F" w:rsidRPr="00965BA2" w:rsidRDefault="00DA319F" w:rsidP="00D34F97">
      <w:pPr>
        <w:numPr>
          <w:ilvl w:val="0"/>
          <w:numId w:val="95"/>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nieterminowego złożenia sprawozdania o wytwarzanych odpadach</w:t>
      </w:r>
      <w:r w:rsidRPr="00965BA2">
        <w:rPr>
          <w:rFonts w:ascii="Times New Roman" w:eastAsia="Calibri" w:hAnsi="Times New Roman" w:cs="Times New Roman"/>
          <w:sz w:val="24"/>
          <w:szCs w:val="24"/>
          <w:lang w:eastAsia="pl-PL"/>
        </w:rPr>
        <w:t xml:space="preserve"> </w:t>
      </w:r>
      <w:r w:rsidRPr="00965BA2">
        <w:rPr>
          <w:rFonts w:ascii="Times New Roman" w:eastAsia="Calibri" w:hAnsi="Times New Roman" w:cs="Times New Roman"/>
          <w:sz w:val="24"/>
          <w:szCs w:val="24"/>
          <w:lang w:eastAsia="pl-PL"/>
        </w:rPr>
        <w:br/>
      </w:r>
      <w:r w:rsidRPr="00965BA2">
        <w:rPr>
          <w:rFonts w:ascii="Times New Roman" w:eastAsia="Calibri" w:hAnsi="Times New Roman" w:cs="Times New Roman"/>
          <w:sz w:val="24"/>
          <w:szCs w:val="24"/>
          <w:lang w:val="x-none" w:eastAsia="pl-PL"/>
        </w:rPr>
        <w:t>i</w:t>
      </w:r>
      <w:r w:rsidRPr="00965BA2">
        <w:rPr>
          <w:rFonts w:ascii="Times New Roman" w:eastAsia="Calibri" w:hAnsi="Times New Roman" w:cs="Times New Roman"/>
          <w:sz w:val="24"/>
          <w:szCs w:val="24"/>
          <w:lang w:eastAsia="pl-PL"/>
        </w:rPr>
        <w:t xml:space="preserve"> </w:t>
      </w:r>
      <w:r w:rsidRPr="00965BA2">
        <w:rPr>
          <w:rFonts w:ascii="Times New Roman" w:eastAsia="Calibri" w:hAnsi="Times New Roman" w:cs="Times New Roman"/>
          <w:sz w:val="24"/>
          <w:szCs w:val="24"/>
          <w:lang w:val="x-none" w:eastAsia="pl-PL"/>
        </w:rPr>
        <w:t>o</w:t>
      </w:r>
      <w:r w:rsidRPr="00965BA2">
        <w:rPr>
          <w:rFonts w:ascii="Times New Roman" w:eastAsia="Calibri" w:hAnsi="Times New Roman" w:cs="Times New Roman"/>
          <w:sz w:val="24"/>
          <w:szCs w:val="24"/>
          <w:lang w:eastAsia="pl-PL"/>
        </w:rPr>
        <w:t xml:space="preserve"> </w:t>
      </w:r>
      <w:r w:rsidRPr="00965BA2">
        <w:rPr>
          <w:rFonts w:ascii="Times New Roman" w:eastAsia="Calibri" w:hAnsi="Times New Roman" w:cs="Times New Roman"/>
          <w:sz w:val="24"/>
          <w:szCs w:val="24"/>
          <w:lang w:val="x-none" w:eastAsia="pl-PL"/>
        </w:rPr>
        <w:t>gospodarowaniu odpadami,</w:t>
      </w:r>
    </w:p>
    <w:p w14:paraId="02B0491B" w14:textId="77777777" w:rsidR="00DA319F" w:rsidRPr="00965BA2" w:rsidRDefault="00DA319F" w:rsidP="00D34F97">
      <w:pPr>
        <w:numPr>
          <w:ilvl w:val="0"/>
          <w:numId w:val="95"/>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przekazania odpadów podmiotowi nieposiadającemu wymaganej decyzji na</w:t>
      </w:r>
      <w:r w:rsidRPr="00965BA2">
        <w:rPr>
          <w:rFonts w:ascii="Times New Roman" w:eastAsia="Calibri" w:hAnsi="Times New Roman" w:cs="Times New Roman"/>
          <w:sz w:val="24"/>
          <w:szCs w:val="24"/>
          <w:lang w:eastAsia="pl-PL"/>
        </w:rPr>
        <w:t xml:space="preserve"> </w:t>
      </w:r>
      <w:r w:rsidRPr="00965BA2">
        <w:rPr>
          <w:rFonts w:ascii="Times New Roman" w:eastAsia="Calibri" w:hAnsi="Times New Roman" w:cs="Times New Roman"/>
          <w:sz w:val="24"/>
          <w:szCs w:val="24"/>
          <w:lang w:val="x-none" w:eastAsia="pl-PL"/>
        </w:rPr>
        <w:t>gospodarowanie odpadami,</w:t>
      </w:r>
    </w:p>
    <w:p w14:paraId="3FF13826" w14:textId="77777777" w:rsidR="00DA319F" w:rsidRPr="00965BA2" w:rsidRDefault="00DA319F" w:rsidP="00D34F97">
      <w:pPr>
        <w:numPr>
          <w:ilvl w:val="0"/>
          <w:numId w:val="95"/>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prowadzenia działalności bez zezwolenia lub niezgodnie z posiadanymi pozwoleniami i zezwoleniami (np. brak oznaczenia miejsc magazynowania odpadów odpowiednimi kodami),</w:t>
      </w:r>
    </w:p>
    <w:p w14:paraId="2403E224" w14:textId="77777777" w:rsidR="00DA319F" w:rsidRPr="00965BA2" w:rsidRDefault="00DA319F" w:rsidP="00D34F97">
      <w:pPr>
        <w:numPr>
          <w:ilvl w:val="0"/>
          <w:numId w:val="95"/>
        </w:numPr>
        <w:spacing w:after="120" w:line="300" w:lineRule="atLeast"/>
        <w:ind w:left="924" w:hanging="357"/>
        <w:jc w:val="both"/>
        <w:rPr>
          <w:rFonts w:ascii="Times New Roman" w:eastAsia="Calibri" w:hAnsi="Times New Roman" w:cs="Times New Roman"/>
          <w:sz w:val="20"/>
          <w:szCs w:val="20"/>
          <w:lang w:val="x-none" w:eastAsia="pl-PL"/>
        </w:rPr>
      </w:pPr>
      <w:r w:rsidRPr="00965BA2">
        <w:rPr>
          <w:rFonts w:ascii="Times New Roman" w:eastAsia="Calibri" w:hAnsi="Times New Roman" w:cs="Times New Roman"/>
          <w:sz w:val="24"/>
          <w:szCs w:val="24"/>
          <w:lang w:val="x-none" w:eastAsia="pl-PL"/>
        </w:rPr>
        <w:t>prowadzenia systemu wizyjnego niezgodnie warunkami określonymi w</w:t>
      </w:r>
      <w:r w:rsidRPr="00965BA2">
        <w:rPr>
          <w:rFonts w:ascii="Times New Roman" w:eastAsia="Calibri" w:hAnsi="Times New Roman" w:cs="Times New Roman"/>
          <w:sz w:val="24"/>
          <w:szCs w:val="24"/>
          <w:lang w:eastAsia="pl-PL"/>
        </w:rPr>
        <w:t xml:space="preserve"> </w:t>
      </w:r>
      <w:r w:rsidRPr="00965BA2">
        <w:rPr>
          <w:rFonts w:ascii="Times New Roman" w:eastAsia="Calibri" w:hAnsi="Times New Roman" w:cs="Times New Roman"/>
          <w:sz w:val="24"/>
          <w:szCs w:val="24"/>
          <w:lang w:val="x-none" w:eastAsia="pl-PL"/>
        </w:rPr>
        <w:t>przepisach.</w:t>
      </w:r>
    </w:p>
    <w:p w14:paraId="44075732" w14:textId="77777777" w:rsidR="00DA319F" w:rsidRPr="00965BA2" w:rsidRDefault="00DA319F" w:rsidP="006A4600">
      <w:pPr>
        <w:spacing w:after="6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W związku ze stwierdzonymi nieprawidłowościami podjęto następujące działania pokontrolne:</w:t>
      </w:r>
    </w:p>
    <w:p w14:paraId="68A8E404" w14:textId="36847558" w:rsidR="00DA319F" w:rsidRPr="00965BA2" w:rsidRDefault="00DA319F" w:rsidP="00D34F97">
      <w:pPr>
        <w:numPr>
          <w:ilvl w:val="0"/>
          <w:numId w:val="96"/>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udzielono </w:t>
      </w:r>
      <w:r w:rsidRPr="00965BA2">
        <w:rPr>
          <w:rFonts w:ascii="Times New Roman" w:eastAsia="Calibri" w:hAnsi="Times New Roman" w:cs="Times New Roman"/>
          <w:sz w:val="24"/>
          <w:szCs w:val="24"/>
          <w:lang w:eastAsia="pl-PL"/>
        </w:rPr>
        <w:t>1</w:t>
      </w:r>
      <w:r w:rsidRPr="00965BA2">
        <w:rPr>
          <w:rFonts w:ascii="Times New Roman" w:eastAsia="Calibri" w:hAnsi="Times New Roman" w:cs="Times New Roman"/>
          <w:sz w:val="24"/>
          <w:szCs w:val="24"/>
          <w:lang w:val="x-none" w:eastAsia="pl-PL"/>
        </w:rPr>
        <w:t xml:space="preserve"> poucze</w:t>
      </w:r>
      <w:r w:rsidRPr="00965BA2">
        <w:rPr>
          <w:rFonts w:ascii="Times New Roman" w:eastAsia="Calibri" w:hAnsi="Times New Roman" w:cs="Times New Roman"/>
          <w:sz w:val="24"/>
          <w:szCs w:val="24"/>
          <w:lang w:eastAsia="pl-PL"/>
        </w:rPr>
        <w:t>ni</w:t>
      </w:r>
      <w:r w:rsidR="006A4600">
        <w:rPr>
          <w:rFonts w:ascii="Times New Roman" w:eastAsia="Calibri" w:hAnsi="Times New Roman" w:cs="Times New Roman"/>
          <w:sz w:val="24"/>
          <w:szCs w:val="24"/>
          <w:lang w:eastAsia="pl-PL"/>
        </w:rPr>
        <w:t>a</w:t>
      </w:r>
      <w:r w:rsidRPr="00965BA2">
        <w:rPr>
          <w:rFonts w:ascii="Times New Roman" w:eastAsia="Calibri" w:hAnsi="Times New Roman" w:cs="Times New Roman"/>
          <w:sz w:val="24"/>
          <w:szCs w:val="24"/>
          <w:lang w:val="x-none" w:eastAsia="pl-PL"/>
        </w:rPr>
        <w:t>,</w:t>
      </w:r>
    </w:p>
    <w:p w14:paraId="324058E7" w14:textId="77777777" w:rsidR="00DA319F" w:rsidRPr="00965BA2" w:rsidRDefault="00DA319F" w:rsidP="00D34F97">
      <w:pPr>
        <w:numPr>
          <w:ilvl w:val="0"/>
          <w:numId w:val="96"/>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wydano </w:t>
      </w:r>
      <w:r w:rsidRPr="00965BA2">
        <w:rPr>
          <w:rFonts w:ascii="Times New Roman" w:eastAsia="Calibri" w:hAnsi="Times New Roman" w:cs="Times New Roman"/>
          <w:sz w:val="24"/>
          <w:szCs w:val="24"/>
          <w:lang w:eastAsia="pl-PL"/>
        </w:rPr>
        <w:t>1</w:t>
      </w:r>
      <w:r w:rsidRPr="00965BA2">
        <w:rPr>
          <w:rFonts w:ascii="Times New Roman" w:eastAsia="Calibri" w:hAnsi="Times New Roman" w:cs="Times New Roman"/>
          <w:sz w:val="24"/>
          <w:szCs w:val="24"/>
          <w:lang w:val="x-none" w:eastAsia="pl-PL"/>
        </w:rPr>
        <w:t xml:space="preserve"> zarządze</w:t>
      </w:r>
      <w:r w:rsidRPr="00965BA2">
        <w:rPr>
          <w:rFonts w:ascii="Times New Roman" w:eastAsia="Calibri" w:hAnsi="Times New Roman" w:cs="Times New Roman"/>
          <w:sz w:val="24"/>
          <w:szCs w:val="24"/>
          <w:lang w:eastAsia="pl-PL"/>
        </w:rPr>
        <w:t>nie</w:t>
      </w:r>
      <w:r w:rsidRPr="00965BA2">
        <w:rPr>
          <w:rFonts w:ascii="Times New Roman" w:eastAsia="Calibri" w:hAnsi="Times New Roman" w:cs="Times New Roman"/>
          <w:sz w:val="24"/>
          <w:szCs w:val="24"/>
          <w:lang w:val="x-none" w:eastAsia="pl-PL"/>
        </w:rPr>
        <w:t xml:space="preserve"> pokontroln</w:t>
      </w:r>
      <w:r w:rsidRPr="00965BA2">
        <w:rPr>
          <w:rFonts w:ascii="Times New Roman" w:eastAsia="Calibri" w:hAnsi="Times New Roman" w:cs="Times New Roman"/>
          <w:sz w:val="24"/>
          <w:szCs w:val="24"/>
          <w:lang w:eastAsia="pl-PL"/>
        </w:rPr>
        <w:t>e</w:t>
      </w:r>
      <w:r w:rsidRPr="00965BA2">
        <w:rPr>
          <w:rFonts w:ascii="Times New Roman" w:eastAsia="Calibri" w:hAnsi="Times New Roman" w:cs="Times New Roman"/>
          <w:sz w:val="24"/>
          <w:szCs w:val="24"/>
          <w:lang w:val="x-none" w:eastAsia="pl-PL"/>
        </w:rPr>
        <w:t>,</w:t>
      </w:r>
    </w:p>
    <w:p w14:paraId="10CE35BC" w14:textId="699F5B86" w:rsidR="00895F16" w:rsidRPr="007F400A" w:rsidRDefault="00DA319F" w:rsidP="00056EE7">
      <w:pPr>
        <w:numPr>
          <w:ilvl w:val="0"/>
          <w:numId w:val="17"/>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rPr>
        <w:t xml:space="preserve">skierowano 3 wystąpienia do innych organów administracji rządowej </w:t>
      </w:r>
      <w:r w:rsidRPr="00965BA2">
        <w:rPr>
          <w:rFonts w:ascii="Times New Roman" w:eastAsia="Calibri" w:hAnsi="Times New Roman" w:cs="Times New Roman"/>
          <w:sz w:val="24"/>
          <w:szCs w:val="24"/>
        </w:rPr>
        <w:br/>
        <w:t>i samorządowej</w:t>
      </w:r>
      <w:r w:rsidR="00895F16" w:rsidRPr="007F400A">
        <w:rPr>
          <w:rFonts w:ascii="Times New Roman" w:eastAsia="Times New Roman" w:hAnsi="Times New Roman" w:cs="Times New Roman"/>
          <w:sz w:val="24"/>
          <w:szCs w:val="24"/>
          <w:lang w:eastAsia="pl-PL"/>
        </w:rPr>
        <w:t>.</w:t>
      </w:r>
    </w:p>
    <w:p w14:paraId="51F03860" w14:textId="77777777" w:rsidR="00895F16" w:rsidRPr="007F400A" w:rsidRDefault="00895F16" w:rsidP="00056EE7">
      <w:pPr>
        <w:spacing w:after="0" w:line="300" w:lineRule="atLeast"/>
        <w:ind w:left="567" w:hanging="567"/>
        <w:contextualSpacing/>
        <w:jc w:val="both"/>
        <w:rPr>
          <w:rFonts w:ascii="Times New Roman" w:eastAsia="Calibri" w:hAnsi="Times New Roman" w:cs="Times New Roman"/>
          <w:sz w:val="24"/>
          <w:szCs w:val="24"/>
          <w:lang w:eastAsia="pl-PL"/>
        </w:rPr>
      </w:pPr>
    </w:p>
    <w:p w14:paraId="07AF94DE" w14:textId="77777777" w:rsidR="00895F16" w:rsidRPr="007F400A" w:rsidRDefault="00895F16" w:rsidP="006A4600">
      <w:pPr>
        <w:keepNext/>
        <w:spacing w:after="120" w:line="300" w:lineRule="atLeast"/>
        <w:outlineLvl w:val="0"/>
        <w:rPr>
          <w:rFonts w:ascii="Times New Roman" w:eastAsia="Times New Roman" w:hAnsi="Times New Roman" w:cs="Times New Roman"/>
          <w:b/>
          <w:bCs/>
          <w:sz w:val="24"/>
          <w:szCs w:val="24"/>
          <w:lang w:val="x-none" w:eastAsia="x-none"/>
        </w:rPr>
      </w:pPr>
      <w:bookmarkStart w:id="97" w:name="_Toc36732571"/>
      <w:bookmarkStart w:id="98" w:name="_Toc135935597"/>
      <w:r w:rsidRPr="007F400A">
        <w:rPr>
          <w:rFonts w:ascii="Times New Roman" w:eastAsia="Times New Roman" w:hAnsi="Times New Roman" w:cs="Times New Roman"/>
          <w:b/>
          <w:bCs/>
          <w:color w:val="000000"/>
          <w:sz w:val="24"/>
          <w:szCs w:val="24"/>
          <w:lang w:val="x-none" w:eastAsia="x-none"/>
        </w:rPr>
        <w:t>3.3.</w:t>
      </w:r>
      <w:r w:rsidRPr="007F400A">
        <w:rPr>
          <w:rFonts w:ascii="Times New Roman" w:eastAsia="Times New Roman" w:hAnsi="Times New Roman" w:cs="Times New Roman"/>
          <w:b/>
          <w:bCs/>
          <w:color w:val="000000"/>
          <w:sz w:val="24"/>
          <w:szCs w:val="24"/>
          <w:lang w:eastAsia="x-none"/>
        </w:rPr>
        <w:t>7</w:t>
      </w:r>
      <w:r w:rsidRPr="007F400A">
        <w:rPr>
          <w:rFonts w:ascii="Times New Roman" w:eastAsia="Times New Roman" w:hAnsi="Times New Roman" w:cs="Times New Roman"/>
          <w:b/>
          <w:bCs/>
          <w:color w:val="000000"/>
          <w:sz w:val="24"/>
          <w:szCs w:val="24"/>
          <w:lang w:val="x-none" w:eastAsia="x-none"/>
        </w:rPr>
        <w:t xml:space="preserve"> </w:t>
      </w:r>
      <w:r w:rsidRPr="007F400A">
        <w:rPr>
          <w:rFonts w:ascii="Times New Roman" w:eastAsia="Times New Roman" w:hAnsi="Times New Roman" w:cs="Times New Roman"/>
          <w:b/>
          <w:bCs/>
          <w:sz w:val="24"/>
          <w:szCs w:val="24"/>
          <w:lang w:val="x-none" w:eastAsia="x-none"/>
        </w:rPr>
        <w:t>Podmioty zbierające odpady (tworzywa sztuczne, paliwo alternatywne, guma)</w:t>
      </w:r>
      <w:bookmarkEnd w:id="97"/>
      <w:bookmarkEnd w:id="98"/>
    </w:p>
    <w:p w14:paraId="681CB906" w14:textId="77777777" w:rsidR="00DA319F" w:rsidRPr="00965BA2" w:rsidRDefault="00DA319F" w:rsidP="006A4600">
      <w:pPr>
        <w:spacing w:after="6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Działalność polegająca na zbieraniu odpadów, takich jak tworzywa sztuczne, paliwo alternatywne oraz guma prowadzona była przez 2 907 podmiotów.</w:t>
      </w:r>
      <w:r w:rsidRPr="00965BA2" w:rsidDel="007E270D">
        <w:rPr>
          <w:rFonts w:ascii="Times New Roman" w:eastAsia="Calibri" w:hAnsi="Times New Roman" w:cs="Times New Roman"/>
          <w:sz w:val="24"/>
          <w:szCs w:val="24"/>
        </w:rPr>
        <w:t xml:space="preserve"> </w:t>
      </w:r>
    </w:p>
    <w:p w14:paraId="30F300B5" w14:textId="76F8D234" w:rsidR="00DA319F" w:rsidRPr="00965BA2" w:rsidRDefault="00DA319F" w:rsidP="006A4600">
      <w:pPr>
        <w:spacing w:after="6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 xml:space="preserve">W układzie </w:t>
      </w:r>
      <w:r w:rsidR="006A4600">
        <w:rPr>
          <w:rFonts w:ascii="Times New Roman" w:eastAsia="Calibri" w:hAnsi="Times New Roman" w:cs="Times New Roman"/>
          <w:sz w:val="24"/>
          <w:szCs w:val="24"/>
        </w:rPr>
        <w:t xml:space="preserve">według </w:t>
      </w:r>
      <w:r w:rsidRPr="00965BA2">
        <w:rPr>
          <w:rFonts w:ascii="Times New Roman" w:eastAsia="Calibri" w:hAnsi="Times New Roman" w:cs="Times New Roman"/>
          <w:sz w:val="24"/>
          <w:szCs w:val="24"/>
        </w:rPr>
        <w:t>województw liczba podmiotów prowadzących taką działalność przedstawia się następująco:</w:t>
      </w:r>
      <w:r>
        <w:rPr>
          <w:rFonts w:ascii="Times New Roman" w:eastAsia="Calibri" w:hAnsi="Times New Roman" w:cs="Times New Roman"/>
          <w:sz w:val="24"/>
          <w:szCs w:val="24"/>
        </w:rPr>
        <w:t xml:space="preserve"> </w:t>
      </w:r>
      <w:r w:rsidRPr="00965BA2">
        <w:rPr>
          <w:rFonts w:ascii="Times New Roman" w:eastAsia="Calibri" w:hAnsi="Times New Roman" w:cs="Times New Roman"/>
          <w:sz w:val="24"/>
          <w:szCs w:val="24"/>
        </w:rPr>
        <w:t xml:space="preserve">wielkopolskie (545), </w:t>
      </w:r>
      <w:r w:rsidR="006A4600" w:rsidRPr="00965BA2">
        <w:rPr>
          <w:rFonts w:ascii="Times New Roman" w:eastAsia="Calibri" w:hAnsi="Times New Roman" w:cs="Times New Roman"/>
          <w:sz w:val="24"/>
          <w:szCs w:val="24"/>
        </w:rPr>
        <w:t>dolnośląskie (346),</w:t>
      </w:r>
      <w:r w:rsidR="006A4600">
        <w:rPr>
          <w:rFonts w:ascii="Times New Roman" w:eastAsia="Calibri" w:hAnsi="Times New Roman" w:cs="Times New Roman"/>
          <w:sz w:val="24"/>
          <w:szCs w:val="24"/>
        </w:rPr>
        <w:t xml:space="preserve"> </w:t>
      </w:r>
      <w:r w:rsidRPr="00965BA2">
        <w:rPr>
          <w:rFonts w:ascii="Times New Roman" w:eastAsia="Calibri" w:hAnsi="Times New Roman" w:cs="Times New Roman"/>
          <w:sz w:val="24"/>
          <w:szCs w:val="24"/>
        </w:rPr>
        <w:t xml:space="preserve">małopolskie (327), mazowieckie (303), </w:t>
      </w:r>
      <w:r w:rsidR="006A4600" w:rsidRPr="00965BA2">
        <w:rPr>
          <w:rFonts w:ascii="Times New Roman" w:eastAsia="Calibri" w:hAnsi="Times New Roman" w:cs="Times New Roman"/>
          <w:sz w:val="24"/>
          <w:szCs w:val="24"/>
        </w:rPr>
        <w:t>pomorskie (255), łódzkie (251), podlaskie (181), kujawsko-pomorskie (157), lubelskie (146), opolskie (140), podkarpackie (125), warmińsko – mazurskie (101)</w:t>
      </w:r>
      <w:r w:rsidR="006A4600">
        <w:rPr>
          <w:rFonts w:ascii="Times New Roman" w:eastAsia="Calibri" w:hAnsi="Times New Roman" w:cs="Times New Roman"/>
          <w:sz w:val="24"/>
          <w:szCs w:val="24"/>
        </w:rPr>
        <w:t xml:space="preserve">, </w:t>
      </w:r>
      <w:r w:rsidRPr="00965BA2">
        <w:rPr>
          <w:rFonts w:ascii="Times New Roman" w:eastAsia="Calibri" w:hAnsi="Times New Roman" w:cs="Times New Roman"/>
          <w:sz w:val="24"/>
          <w:szCs w:val="24"/>
        </w:rPr>
        <w:t xml:space="preserve">lubuskie (30). </w:t>
      </w:r>
    </w:p>
    <w:p w14:paraId="756EFE4F" w14:textId="77777777" w:rsidR="00DA319F" w:rsidRPr="00965BA2" w:rsidRDefault="00DA319F" w:rsidP="006A4600">
      <w:pPr>
        <w:spacing w:after="6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 xml:space="preserve">Na zaplanowanych w 2022 r. do wykonania 246 kontroli podmiotów zbierających </w:t>
      </w:r>
      <w:r w:rsidRPr="00965BA2">
        <w:rPr>
          <w:rFonts w:ascii="Times New Roman" w:eastAsia="Calibri" w:hAnsi="Times New Roman" w:cs="Times New Roman"/>
          <w:sz w:val="24"/>
          <w:szCs w:val="24"/>
        </w:rPr>
        <w:br/>
        <w:t xml:space="preserve">ww. odpady przeprowadzono ich ponad 3-krotnie więcej, tj. 235 kontroli planowych i 633 kontrole pozaplanowe. W trakcie </w:t>
      </w:r>
      <w:r w:rsidRPr="007A0185">
        <w:rPr>
          <w:rFonts w:ascii="Times New Roman" w:eastAsia="Calibri" w:hAnsi="Times New Roman" w:cs="Times New Roman"/>
          <w:sz w:val="24"/>
          <w:szCs w:val="24"/>
        </w:rPr>
        <w:t>372 k</w:t>
      </w:r>
      <w:r w:rsidRPr="00965BA2">
        <w:rPr>
          <w:rFonts w:ascii="Times New Roman" w:eastAsia="Calibri" w:hAnsi="Times New Roman" w:cs="Times New Roman"/>
          <w:sz w:val="24"/>
          <w:szCs w:val="24"/>
        </w:rPr>
        <w:t>ontroli stwierdzono naruszenia przepisów ochrony środowiska, w tym:</w:t>
      </w:r>
    </w:p>
    <w:p w14:paraId="3E1F25BE" w14:textId="77777777" w:rsidR="00DA319F" w:rsidRPr="007A0185" w:rsidRDefault="00DA319F" w:rsidP="00D34F97">
      <w:pPr>
        <w:numPr>
          <w:ilvl w:val="0"/>
          <w:numId w:val="97"/>
        </w:numPr>
        <w:spacing w:after="0" w:line="300" w:lineRule="atLeast"/>
        <w:ind w:left="924" w:hanging="357"/>
        <w:contextualSpacing/>
        <w:jc w:val="both"/>
        <w:rPr>
          <w:rFonts w:ascii="Times New Roman" w:eastAsia="Calibri" w:hAnsi="Times New Roman" w:cs="Times New Roman"/>
          <w:sz w:val="24"/>
          <w:szCs w:val="24"/>
          <w:lang w:val="x-none" w:eastAsia="pl-PL"/>
        </w:rPr>
      </w:pPr>
      <w:r w:rsidRPr="007A0185">
        <w:rPr>
          <w:rFonts w:ascii="Times New Roman" w:eastAsia="Calibri" w:hAnsi="Times New Roman" w:cs="Times New Roman"/>
          <w:sz w:val="24"/>
          <w:szCs w:val="24"/>
          <w:lang w:eastAsia="pl-PL"/>
        </w:rPr>
        <w:t>259</w:t>
      </w:r>
      <w:r w:rsidRPr="007A0185">
        <w:rPr>
          <w:rFonts w:ascii="Times New Roman" w:eastAsia="Calibri" w:hAnsi="Times New Roman" w:cs="Times New Roman"/>
          <w:sz w:val="24"/>
          <w:szCs w:val="24"/>
          <w:lang w:val="x-none" w:eastAsia="pl-PL"/>
        </w:rPr>
        <w:t xml:space="preserve"> </w:t>
      </w:r>
      <w:r w:rsidRPr="007A0185">
        <w:rPr>
          <w:rFonts w:ascii="Times New Roman" w:eastAsia="Calibri" w:hAnsi="Times New Roman" w:cs="Times New Roman"/>
          <w:sz w:val="24"/>
          <w:szCs w:val="24"/>
          <w:lang w:eastAsia="pl-PL"/>
        </w:rPr>
        <w:t xml:space="preserve">(70%) </w:t>
      </w:r>
      <w:r w:rsidRPr="007A0185">
        <w:rPr>
          <w:rFonts w:ascii="Times New Roman" w:eastAsia="Calibri" w:hAnsi="Times New Roman" w:cs="Times New Roman"/>
          <w:sz w:val="24"/>
          <w:szCs w:val="24"/>
          <w:lang w:val="x-none" w:eastAsia="pl-PL"/>
        </w:rPr>
        <w:t>narusze</w:t>
      </w:r>
      <w:r w:rsidRPr="007A0185">
        <w:rPr>
          <w:rFonts w:ascii="Times New Roman" w:eastAsia="Calibri" w:hAnsi="Times New Roman" w:cs="Times New Roman"/>
          <w:sz w:val="24"/>
          <w:szCs w:val="24"/>
          <w:lang w:eastAsia="pl-PL"/>
        </w:rPr>
        <w:t>ń</w:t>
      </w:r>
      <w:r w:rsidRPr="007A0185">
        <w:rPr>
          <w:rFonts w:ascii="Times New Roman" w:eastAsia="Calibri" w:hAnsi="Times New Roman" w:cs="Times New Roman"/>
          <w:sz w:val="24"/>
          <w:szCs w:val="24"/>
          <w:lang w:val="x-none" w:eastAsia="pl-PL"/>
        </w:rPr>
        <w:t xml:space="preserve"> bez istotnego wpływu na</w:t>
      </w:r>
      <w:r w:rsidRPr="007A0185">
        <w:rPr>
          <w:rFonts w:ascii="Times New Roman" w:eastAsia="Calibri" w:hAnsi="Times New Roman" w:cs="Times New Roman"/>
          <w:sz w:val="24"/>
          <w:szCs w:val="24"/>
          <w:lang w:eastAsia="pl-PL"/>
        </w:rPr>
        <w:t xml:space="preserve"> </w:t>
      </w:r>
      <w:r w:rsidRPr="007A0185">
        <w:rPr>
          <w:rFonts w:ascii="Times New Roman" w:eastAsia="Calibri" w:hAnsi="Times New Roman" w:cs="Times New Roman"/>
          <w:sz w:val="24"/>
          <w:szCs w:val="24"/>
          <w:lang w:val="x-none" w:eastAsia="pl-PL"/>
        </w:rPr>
        <w:t>środowisko</w:t>
      </w:r>
      <w:r w:rsidRPr="007A0185">
        <w:rPr>
          <w:rFonts w:ascii="Times New Roman" w:eastAsia="Calibri" w:hAnsi="Times New Roman" w:cs="Times New Roman"/>
          <w:sz w:val="24"/>
          <w:szCs w:val="24"/>
          <w:lang w:eastAsia="pl-PL"/>
        </w:rPr>
        <w:t>,</w:t>
      </w:r>
      <w:r w:rsidRPr="007A0185">
        <w:rPr>
          <w:rFonts w:ascii="Times New Roman" w:eastAsia="Calibri" w:hAnsi="Times New Roman" w:cs="Times New Roman"/>
          <w:sz w:val="24"/>
          <w:szCs w:val="24"/>
          <w:lang w:val="x-none" w:eastAsia="pl-PL"/>
        </w:rPr>
        <w:t xml:space="preserve"> </w:t>
      </w:r>
    </w:p>
    <w:p w14:paraId="4BF7CC67" w14:textId="2B965677" w:rsidR="00DA319F" w:rsidRPr="00965BA2" w:rsidRDefault="00DA319F" w:rsidP="00D34F97">
      <w:pPr>
        <w:numPr>
          <w:ilvl w:val="0"/>
          <w:numId w:val="97"/>
        </w:numPr>
        <w:spacing w:after="0" w:line="300" w:lineRule="atLeast"/>
        <w:ind w:left="924" w:hanging="357"/>
        <w:contextualSpacing/>
        <w:jc w:val="both"/>
        <w:rPr>
          <w:rFonts w:ascii="Times New Roman" w:eastAsia="Calibri" w:hAnsi="Times New Roman" w:cs="Times New Roman"/>
          <w:sz w:val="24"/>
          <w:szCs w:val="24"/>
          <w:lang w:val="x-none" w:eastAsia="pl-PL"/>
        </w:rPr>
      </w:pPr>
      <w:r w:rsidRPr="007A0185">
        <w:rPr>
          <w:rFonts w:ascii="Times New Roman" w:eastAsia="Calibri" w:hAnsi="Times New Roman" w:cs="Times New Roman"/>
          <w:sz w:val="24"/>
          <w:szCs w:val="24"/>
          <w:lang w:val="x-none" w:eastAsia="pl-PL"/>
        </w:rPr>
        <w:t>1</w:t>
      </w:r>
      <w:r w:rsidRPr="007A0185">
        <w:rPr>
          <w:rFonts w:ascii="Times New Roman" w:eastAsia="Calibri" w:hAnsi="Times New Roman" w:cs="Times New Roman"/>
          <w:sz w:val="24"/>
          <w:szCs w:val="24"/>
          <w:lang w:eastAsia="pl-PL"/>
        </w:rPr>
        <w:t>13 (30%)</w:t>
      </w:r>
      <w:r w:rsidRPr="007A0185">
        <w:rPr>
          <w:rFonts w:ascii="Times New Roman" w:eastAsia="Calibri" w:hAnsi="Times New Roman" w:cs="Times New Roman"/>
          <w:sz w:val="24"/>
          <w:szCs w:val="24"/>
          <w:lang w:val="x-none" w:eastAsia="pl-PL"/>
        </w:rPr>
        <w:t xml:space="preserve"> naruszeń mogąc</w:t>
      </w:r>
      <w:r w:rsidR="006A4600">
        <w:rPr>
          <w:rFonts w:ascii="Times New Roman" w:eastAsia="Calibri" w:hAnsi="Times New Roman" w:cs="Times New Roman"/>
          <w:sz w:val="24"/>
          <w:szCs w:val="24"/>
          <w:lang w:eastAsia="pl-PL"/>
        </w:rPr>
        <w:t>ych</w:t>
      </w:r>
      <w:r w:rsidRPr="007A0185">
        <w:rPr>
          <w:rFonts w:ascii="Times New Roman" w:eastAsia="Calibri" w:hAnsi="Times New Roman" w:cs="Times New Roman"/>
          <w:sz w:val="24"/>
          <w:szCs w:val="24"/>
          <w:lang w:val="x-none" w:eastAsia="pl-PL"/>
        </w:rPr>
        <w:t xml:space="preserve"> spowodować zagrożenie lub zanieczyszczenie środowiska</w:t>
      </w:r>
      <w:r w:rsidRPr="00965BA2">
        <w:rPr>
          <w:rFonts w:ascii="Times New Roman" w:eastAsia="Calibri" w:hAnsi="Times New Roman" w:cs="Times New Roman"/>
          <w:sz w:val="24"/>
          <w:szCs w:val="24"/>
          <w:lang w:val="x-none" w:eastAsia="pl-PL"/>
        </w:rPr>
        <w:t>.</w:t>
      </w:r>
    </w:p>
    <w:p w14:paraId="7C697836" w14:textId="77777777" w:rsidR="00DA319F" w:rsidRPr="00965BA2" w:rsidRDefault="00DA319F" w:rsidP="006A4600">
      <w:pPr>
        <w:spacing w:before="120" w:after="6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Najczęściej stwierdzane naruszenia dotyczyły:</w:t>
      </w:r>
    </w:p>
    <w:p w14:paraId="7535A5ED" w14:textId="77777777" w:rsidR="00DA319F" w:rsidRPr="00965BA2" w:rsidRDefault="00DA319F" w:rsidP="00D34F97">
      <w:pPr>
        <w:numPr>
          <w:ilvl w:val="0"/>
          <w:numId w:val="98"/>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nieterminowego złożenia sprawozdania o korzystaniu ze środowiska</w:t>
      </w:r>
      <w:r w:rsidRPr="00965BA2">
        <w:rPr>
          <w:rFonts w:ascii="Times New Roman" w:eastAsia="Calibri" w:hAnsi="Times New Roman" w:cs="Times New Roman"/>
          <w:sz w:val="24"/>
          <w:szCs w:val="24"/>
          <w:lang w:eastAsia="pl-PL"/>
        </w:rPr>
        <w:t>,</w:t>
      </w:r>
      <w:r w:rsidRPr="00965BA2">
        <w:rPr>
          <w:rFonts w:ascii="Times New Roman" w:eastAsia="Calibri" w:hAnsi="Times New Roman" w:cs="Times New Roman"/>
          <w:sz w:val="24"/>
          <w:szCs w:val="24"/>
          <w:lang w:val="x-none" w:eastAsia="pl-PL"/>
        </w:rPr>
        <w:t xml:space="preserve"> </w:t>
      </w:r>
    </w:p>
    <w:p w14:paraId="262B6E1C" w14:textId="77777777" w:rsidR="00DA319F" w:rsidRPr="00965BA2" w:rsidRDefault="00DA319F" w:rsidP="00D34F97">
      <w:pPr>
        <w:numPr>
          <w:ilvl w:val="0"/>
          <w:numId w:val="98"/>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lastRenderedPageBreak/>
        <w:t>brak</w:t>
      </w:r>
      <w:r w:rsidRPr="00965BA2">
        <w:rPr>
          <w:rFonts w:ascii="Times New Roman" w:eastAsia="Calibri" w:hAnsi="Times New Roman" w:cs="Times New Roman"/>
          <w:sz w:val="24"/>
          <w:szCs w:val="24"/>
          <w:lang w:eastAsia="pl-PL"/>
        </w:rPr>
        <w:t>u</w:t>
      </w:r>
      <w:r w:rsidRPr="00965BA2">
        <w:rPr>
          <w:rFonts w:ascii="Times New Roman" w:eastAsia="Calibri" w:hAnsi="Times New Roman" w:cs="Times New Roman"/>
          <w:sz w:val="24"/>
          <w:szCs w:val="24"/>
          <w:lang w:val="x-none" w:eastAsia="pl-PL"/>
        </w:rPr>
        <w:t xml:space="preserve"> systemu wizyjnego monitoringu we wszystkich miejscach magazynowania odpadów</w:t>
      </w:r>
      <w:r w:rsidRPr="00965BA2">
        <w:rPr>
          <w:rFonts w:ascii="Times New Roman" w:eastAsia="Calibri" w:hAnsi="Times New Roman" w:cs="Times New Roman"/>
          <w:sz w:val="24"/>
          <w:szCs w:val="24"/>
          <w:lang w:eastAsia="pl-PL"/>
        </w:rPr>
        <w:t xml:space="preserve"> oraz</w:t>
      </w:r>
      <w:r w:rsidRPr="00965BA2">
        <w:rPr>
          <w:rFonts w:ascii="Times New Roman" w:eastAsia="Calibri" w:hAnsi="Times New Roman" w:cs="Times New Roman"/>
          <w:sz w:val="24"/>
          <w:szCs w:val="24"/>
          <w:lang w:val="x-none" w:eastAsia="pl-PL"/>
        </w:rPr>
        <w:t xml:space="preserve"> </w:t>
      </w:r>
      <w:r w:rsidRPr="00965BA2">
        <w:rPr>
          <w:rFonts w:ascii="Times New Roman" w:eastAsia="Calibri" w:hAnsi="Times New Roman" w:cs="Times New Roman"/>
          <w:bCs/>
          <w:sz w:val="24"/>
          <w:szCs w:val="24"/>
          <w:lang w:val="x-none" w:eastAsia="pl-PL"/>
        </w:rPr>
        <w:t>nieprzekazani</w:t>
      </w:r>
      <w:r w:rsidRPr="00965BA2">
        <w:rPr>
          <w:rFonts w:ascii="Times New Roman" w:eastAsia="Calibri" w:hAnsi="Times New Roman" w:cs="Times New Roman"/>
          <w:bCs/>
          <w:sz w:val="24"/>
          <w:szCs w:val="24"/>
          <w:lang w:eastAsia="pl-PL"/>
        </w:rPr>
        <w:t>a</w:t>
      </w:r>
      <w:r w:rsidRPr="00965BA2">
        <w:rPr>
          <w:rFonts w:ascii="Times New Roman" w:eastAsia="Calibri" w:hAnsi="Times New Roman" w:cs="Times New Roman"/>
          <w:bCs/>
          <w:sz w:val="24"/>
          <w:szCs w:val="24"/>
          <w:lang w:val="x-none" w:eastAsia="pl-PL"/>
        </w:rPr>
        <w:t xml:space="preserve"> właściwemu </w:t>
      </w:r>
      <w:proofErr w:type="spellStart"/>
      <w:r w:rsidRPr="00965BA2">
        <w:rPr>
          <w:rFonts w:ascii="Times New Roman" w:eastAsia="Calibri" w:hAnsi="Times New Roman" w:cs="Times New Roman"/>
          <w:bCs/>
          <w:sz w:val="24"/>
          <w:szCs w:val="24"/>
          <w:lang w:val="x-none" w:eastAsia="pl-PL"/>
        </w:rPr>
        <w:t>wioś</w:t>
      </w:r>
      <w:proofErr w:type="spellEnd"/>
      <w:r w:rsidRPr="00965BA2">
        <w:rPr>
          <w:rFonts w:ascii="Times New Roman" w:eastAsia="Calibri" w:hAnsi="Times New Roman" w:cs="Times New Roman"/>
          <w:bCs/>
          <w:sz w:val="24"/>
          <w:szCs w:val="24"/>
          <w:lang w:val="x-none" w:eastAsia="pl-PL"/>
        </w:rPr>
        <w:t xml:space="preserve"> danych do logowania do tego systemu</w:t>
      </w:r>
      <w:r w:rsidRPr="00965BA2">
        <w:rPr>
          <w:rFonts w:ascii="Times New Roman" w:eastAsia="Calibri" w:hAnsi="Times New Roman" w:cs="Times New Roman"/>
          <w:sz w:val="24"/>
          <w:szCs w:val="24"/>
          <w:lang w:eastAsia="pl-PL"/>
        </w:rPr>
        <w:t>,</w:t>
      </w:r>
    </w:p>
    <w:p w14:paraId="6B2BE922" w14:textId="77777777" w:rsidR="00DA319F" w:rsidRPr="00965BA2" w:rsidRDefault="00DA319F" w:rsidP="00D34F97">
      <w:pPr>
        <w:numPr>
          <w:ilvl w:val="0"/>
          <w:numId w:val="98"/>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braku uregulowanego stanu formalnoprawnego w zakresie gospodarki odpadami</w:t>
      </w:r>
      <w:r>
        <w:rPr>
          <w:rFonts w:ascii="Times New Roman" w:eastAsia="Calibri" w:hAnsi="Times New Roman" w:cs="Times New Roman"/>
          <w:sz w:val="24"/>
          <w:szCs w:val="24"/>
          <w:lang w:eastAsia="pl-PL"/>
        </w:rPr>
        <w:t>,</w:t>
      </w:r>
      <w:r w:rsidRPr="00965BA2">
        <w:rPr>
          <w:rFonts w:ascii="Times New Roman" w:eastAsia="Calibri" w:hAnsi="Times New Roman" w:cs="Times New Roman"/>
          <w:sz w:val="24"/>
          <w:szCs w:val="24"/>
          <w:lang w:val="x-none" w:eastAsia="pl-PL"/>
        </w:rPr>
        <w:t xml:space="preserve"> np.</w:t>
      </w:r>
      <w:r>
        <w:rPr>
          <w:rFonts w:ascii="Times New Roman" w:eastAsia="Calibri" w:hAnsi="Times New Roman" w:cs="Times New Roman"/>
          <w:sz w:val="24"/>
          <w:szCs w:val="24"/>
          <w:lang w:eastAsia="pl-PL"/>
        </w:rPr>
        <w:t> </w:t>
      </w:r>
      <w:r w:rsidRPr="00965BA2">
        <w:rPr>
          <w:rFonts w:ascii="Times New Roman" w:eastAsia="Calibri" w:hAnsi="Times New Roman" w:cs="Times New Roman"/>
          <w:sz w:val="24"/>
          <w:szCs w:val="24"/>
          <w:lang w:val="x-none" w:eastAsia="pl-PL"/>
        </w:rPr>
        <w:t>magazynowanie odpadów na działkach innych niż określone w</w:t>
      </w:r>
      <w:r w:rsidRPr="00965BA2">
        <w:rPr>
          <w:rFonts w:ascii="Times New Roman" w:eastAsia="Calibri" w:hAnsi="Times New Roman" w:cs="Times New Roman"/>
          <w:sz w:val="24"/>
          <w:szCs w:val="24"/>
          <w:lang w:eastAsia="pl-PL"/>
        </w:rPr>
        <w:t xml:space="preserve"> </w:t>
      </w:r>
      <w:r w:rsidRPr="00965BA2">
        <w:rPr>
          <w:rFonts w:ascii="Times New Roman" w:eastAsia="Calibri" w:hAnsi="Times New Roman" w:cs="Times New Roman"/>
          <w:sz w:val="24"/>
          <w:szCs w:val="24"/>
          <w:lang w:val="x-none" w:eastAsia="pl-PL"/>
        </w:rPr>
        <w:t>decyzji</w:t>
      </w:r>
      <w:r w:rsidRPr="00965BA2">
        <w:rPr>
          <w:rFonts w:ascii="Times New Roman" w:eastAsia="Calibri" w:hAnsi="Times New Roman" w:cs="Times New Roman"/>
          <w:sz w:val="24"/>
          <w:szCs w:val="24"/>
          <w:lang w:eastAsia="pl-PL"/>
        </w:rPr>
        <w:t>,</w:t>
      </w:r>
    </w:p>
    <w:p w14:paraId="0E9BA9B4" w14:textId="77777777" w:rsidR="00DA319F" w:rsidRPr="00965BA2" w:rsidRDefault="00DA319F" w:rsidP="00D34F97">
      <w:pPr>
        <w:numPr>
          <w:ilvl w:val="0"/>
          <w:numId w:val="98"/>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braku złożenia wniosku o zmianę wpisu w BDO</w:t>
      </w:r>
      <w:r w:rsidRPr="00965BA2">
        <w:rPr>
          <w:rFonts w:ascii="Times New Roman" w:eastAsia="Calibri" w:hAnsi="Times New Roman" w:cs="Times New Roman"/>
          <w:sz w:val="24"/>
          <w:szCs w:val="24"/>
          <w:lang w:eastAsia="pl-PL"/>
        </w:rPr>
        <w:t>,</w:t>
      </w:r>
    </w:p>
    <w:p w14:paraId="04CA04AF" w14:textId="1D5AAD6F" w:rsidR="00DA319F" w:rsidRPr="00965BA2" w:rsidRDefault="00DA319F" w:rsidP="00D34F97">
      <w:pPr>
        <w:numPr>
          <w:ilvl w:val="0"/>
          <w:numId w:val="98"/>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naruszeni</w:t>
      </w:r>
      <w:r w:rsidRPr="00965BA2">
        <w:rPr>
          <w:rFonts w:ascii="Times New Roman" w:eastAsia="Calibri" w:hAnsi="Times New Roman" w:cs="Times New Roman"/>
          <w:sz w:val="24"/>
          <w:szCs w:val="24"/>
          <w:lang w:eastAsia="pl-PL"/>
        </w:rPr>
        <w:t>a</w:t>
      </w:r>
      <w:r w:rsidRPr="00965BA2">
        <w:rPr>
          <w:rFonts w:ascii="Times New Roman" w:eastAsia="Calibri" w:hAnsi="Times New Roman" w:cs="Times New Roman"/>
          <w:sz w:val="24"/>
          <w:szCs w:val="24"/>
          <w:lang w:val="x-none" w:eastAsia="pl-PL"/>
        </w:rPr>
        <w:t xml:space="preserve"> warunków decyzji</w:t>
      </w:r>
      <w:r w:rsidR="006A4600">
        <w:rPr>
          <w:rFonts w:ascii="Times New Roman" w:eastAsia="Calibri" w:hAnsi="Times New Roman" w:cs="Times New Roman"/>
          <w:sz w:val="24"/>
          <w:szCs w:val="24"/>
          <w:lang w:eastAsia="pl-PL"/>
        </w:rPr>
        <w:t>,</w:t>
      </w:r>
      <w:r w:rsidRPr="00965BA2">
        <w:rPr>
          <w:rFonts w:ascii="Times New Roman" w:eastAsia="Calibri" w:hAnsi="Times New Roman" w:cs="Times New Roman"/>
          <w:sz w:val="24"/>
          <w:szCs w:val="24"/>
          <w:lang w:val="x-none" w:eastAsia="pl-PL"/>
        </w:rPr>
        <w:t xml:space="preserve"> </w:t>
      </w:r>
      <w:r w:rsidRPr="00965BA2">
        <w:rPr>
          <w:rFonts w:ascii="Times New Roman" w:eastAsia="Calibri" w:hAnsi="Times New Roman" w:cs="Times New Roman"/>
          <w:sz w:val="24"/>
          <w:szCs w:val="24"/>
          <w:lang w:eastAsia="pl-PL"/>
        </w:rPr>
        <w:t xml:space="preserve">jak </w:t>
      </w:r>
      <w:r w:rsidRPr="00965BA2">
        <w:rPr>
          <w:rFonts w:ascii="Times New Roman" w:eastAsia="Calibri" w:hAnsi="Times New Roman" w:cs="Times New Roman"/>
          <w:sz w:val="24"/>
          <w:szCs w:val="24"/>
          <w:lang w:val="x-none" w:eastAsia="pl-PL"/>
        </w:rPr>
        <w:t>np. przekroczenie ilości odpadów wytworzonych w stosunku do ilości odpadów dopuszczonych do wytworzenia w ciągu roku</w:t>
      </w:r>
      <w:r w:rsidRPr="00965BA2">
        <w:rPr>
          <w:rFonts w:ascii="Times New Roman" w:eastAsia="Calibri" w:hAnsi="Times New Roman" w:cs="Times New Roman"/>
          <w:sz w:val="24"/>
          <w:szCs w:val="24"/>
          <w:lang w:eastAsia="pl-PL"/>
        </w:rPr>
        <w:t>,</w:t>
      </w:r>
      <w:r w:rsidRPr="00965BA2">
        <w:rPr>
          <w:rFonts w:ascii="Times New Roman" w:eastAsia="Calibri" w:hAnsi="Times New Roman" w:cs="Times New Roman"/>
          <w:sz w:val="24"/>
          <w:szCs w:val="24"/>
          <w:lang w:val="x-none" w:eastAsia="pl-PL"/>
        </w:rPr>
        <w:t xml:space="preserve"> </w:t>
      </w:r>
    </w:p>
    <w:p w14:paraId="55225A15" w14:textId="77777777" w:rsidR="00DA319F" w:rsidRPr="00965BA2" w:rsidRDefault="00DA319F" w:rsidP="00D34F97">
      <w:pPr>
        <w:numPr>
          <w:ilvl w:val="0"/>
          <w:numId w:val="98"/>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niepoinformowani</w:t>
      </w:r>
      <w:r w:rsidRPr="00965BA2">
        <w:rPr>
          <w:rFonts w:ascii="Times New Roman" w:eastAsia="Calibri" w:hAnsi="Times New Roman" w:cs="Times New Roman"/>
          <w:sz w:val="24"/>
          <w:szCs w:val="24"/>
          <w:lang w:eastAsia="pl-PL"/>
        </w:rPr>
        <w:t>a</w:t>
      </w:r>
      <w:r w:rsidRPr="00965BA2">
        <w:rPr>
          <w:rFonts w:ascii="Times New Roman" w:eastAsia="Calibri" w:hAnsi="Times New Roman" w:cs="Times New Roman"/>
          <w:sz w:val="24"/>
          <w:szCs w:val="24"/>
          <w:lang w:val="x-none" w:eastAsia="pl-PL"/>
        </w:rPr>
        <w:t xml:space="preserve"> wojewódzkiego inspektora ochrony środowiska o</w:t>
      </w:r>
      <w:r w:rsidRPr="00965BA2">
        <w:rPr>
          <w:rFonts w:ascii="Times New Roman" w:eastAsia="Calibri" w:hAnsi="Times New Roman" w:cs="Times New Roman"/>
          <w:sz w:val="24"/>
          <w:szCs w:val="24"/>
          <w:lang w:eastAsia="pl-PL"/>
        </w:rPr>
        <w:t xml:space="preserve"> </w:t>
      </w:r>
      <w:r w:rsidRPr="00965BA2">
        <w:rPr>
          <w:rFonts w:ascii="Times New Roman" w:eastAsia="Calibri" w:hAnsi="Times New Roman" w:cs="Times New Roman"/>
          <w:sz w:val="24"/>
          <w:szCs w:val="24"/>
          <w:lang w:val="x-none" w:eastAsia="pl-PL"/>
        </w:rPr>
        <w:t>planowanym terminie oddania do użytkowania przebudowanego obiektu budowlanego, zespołu obiektów lub instalacji</w:t>
      </w:r>
      <w:r w:rsidRPr="00965BA2">
        <w:rPr>
          <w:rFonts w:ascii="Times New Roman" w:eastAsia="Calibri" w:hAnsi="Times New Roman" w:cs="Times New Roman"/>
          <w:sz w:val="24"/>
          <w:szCs w:val="24"/>
          <w:lang w:eastAsia="pl-PL"/>
        </w:rPr>
        <w:t>,</w:t>
      </w:r>
    </w:p>
    <w:p w14:paraId="21E6AD6D" w14:textId="77777777" w:rsidR="00DA319F" w:rsidRPr="00965BA2" w:rsidRDefault="00DA319F" w:rsidP="00D34F97">
      <w:pPr>
        <w:numPr>
          <w:ilvl w:val="0"/>
          <w:numId w:val="98"/>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nieprzestrzegani</w:t>
      </w:r>
      <w:r w:rsidRPr="00965BA2">
        <w:rPr>
          <w:rFonts w:ascii="Times New Roman" w:eastAsia="Calibri" w:hAnsi="Times New Roman" w:cs="Times New Roman"/>
          <w:sz w:val="24"/>
          <w:szCs w:val="24"/>
          <w:lang w:eastAsia="pl-PL"/>
        </w:rPr>
        <w:t>a</w:t>
      </w:r>
      <w:r w:rsidRPr="00965BA2">
        <w:rPr>
          <w:rFonts w:ascii="Times New Roman" w:eastAsia="Calibri" w:hAnsi="Times New Roman" w:cs="Times New Roman"/>
          <w:sz w:val="24"/>
          <w:szCs w:val="24"/>
          <w:lang w:val="x-none" w:eastAsia="pl-PL"/>
        </w:rPr>
        <w:t xml:space="preserve"> przepisów ochrony pożarowej w zakresie magazynowania odpadów</w:t>
      </w:r>
      <w:r w:rsidRPr="00965BA2">
        <w:rPr>
          <w:rFonts w:ascii="Times New Roman" w:eastAsia="Calibri" w:hAnsi="Times New Roman" w:cs="Times New Roman"/>
          <w:sz w:val="24"/>
          <w:szCs w:val="24"/>
          <w:lang w:eastAsia="pl-PL"/>
        </w:rPr>
        <w:t>,</w:t>
      </w:r>
    </w:p>
    <w:p w14:paraId="2997E140" w14:textId="77777777" w:rsidR="00DA319F" w:rsidRPr="00965BA2" w:rsidRDefault="00DA319F" w:rsidP="00D34F97">
      <w:pPr>
        <w:numPr>
          <w:ilvl w:val="0"/>
          <w:numId w:val="98"/>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mieszani</w:t>
      </w:r>
      <w:r w:rsidRPr="00965BA2">
        <w:rPr>
          <w:rFonts w:ascii="Times New Roman" w:eastAsia="Calibri" w:hAnsi="Times New Roman" w:cs="Times New Roman"/>
          <w:sz w:val="24"/>
          <w:szCs w:val="24"/>
          <w:lang w:eastAsia="pl-PL"/>
        </w:rPr>
        <w:t>a</w:t>
      </w:r>
      <w:r w:rsidRPr="00965BA2">
        <w:rPr>
          <w:rFonts w:ascii="Times New Roman" w:eastAsia="Calibri" w:hAnsi="Times New Roman" w:cs="Times New Roman"/>
          <w:sz w:val="24"/>
          <w:szCs w:val="24"/>
          <w:lang w:val="x-none" w:eastAsia="pl-PL"/>
        </w:rPr>
        <w:t xml:space="preserve"> odpadów niebezpiecznych z odpadami innymi niż niebezpieczne,</w:t>
      </w:r>
    </w:p>
    <w:p w14:paraId="42A925FF" w14:textId="77777777" w:rsidR="00DA319F" w:rsidRPr="00965BA2" w:rsidRDefault="00DA319F" w:rsidP="00D34F97">
      <w:pPr>
        <w:numPr>
          <w:ilvl w:val="0"/>
          <w:numId w:val="98"/>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przekazywania odpadów nieuprawnionym odbiorcom</w:t>
      </w:r>
      <w:r w:rsidRPr="00965BA2">
        <w:rPr>
          <w:rFonts w:ascii="Times New Roman" w:eastAsia="Calibri" w:hAnsi="Times New Roman" w:cs="Times New Roman"/>
          <w:sz w:val="24"/>
          <w:szCs w:val="24"/>
          <w:lang w:eastAsia="pl-PL"/>
        </w:rPr>
        <w:t>,</w:t>
      </w:r>
    </w:p>
    <w:p w14:paraId="6E2387FE" w14:textId="77777777" w:rsidR="00DA319F" w:rsidRPr="00965BA2" w:rsidRDefault="00DA319F" w:rsidP="00D34F97">
      <w:pPr>
        <w:numPr>
          <w:ilvl w:val="0"/>
          <w:numId w:val="98"/>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niezłożenia lub nieterminowego złożenia wymaganych sprawozdań (m.in.</w:t>
      </w:r>
      <w:r w:rsidRPr="00965BA2">
        <w:rPr>
          <w:rFonts w:ascii="Times New Roman" w:eastAsia="Calibri" w:hAnsi="Times New Roman" w:cs="Times New Roman"/>
          <w:sz w:val="24"/>
          <w:szCs w:val="24"/>
          <w:lang w:eastAsia="pl-PL"/>
        </w:rPr>
        <w:t xml:space="preserve"> </w:t>
      </w:r>
      <w:r w:rsidRPr="00965BA2">
        <w:rPr>
          <w:rFonts w:ascii="Times New Roman" w:eastAsia="Calibri" w:hAnsi="Times New Roman" w:cs="Times New Roman"/>
          <w:sz w:val="24"/>
          <w:szCs w:val="24"/>
          <w:lang w:val="x-none" w:eastAsia="pl-PL"/>
        </w:rPr>
        <w:t>zbiorczego zestawienia danych o rodzajach i ilości odpadów, o sposobach gospodarowania nimi oraz o instalacjach i urządzeniach służących do odzysku i</w:t>
      </w:r>
      <w:r w:rsidRPr="00965BA2">
        <w:rPr>
          <w:rFonts w:ascii="Times New Roman" w:eastAsia="Calibri" w:hAnsi="Times New Roman" w:cs="Times New Roman"/>
          <w:sz w:val="24"/>
          <w:szCs w:val="24"/>
          <w:lang w:eastAsia="pl-PL"/>
        </w:rPr>
        <w:t xml:space="preserve"> </w:t>
      </w:r>
      <w:r w:rsidRPr="00965BA2">
        <w:rPr>
          <w:rFonts w:ascii="Times New Roman" w:eastAsia="Calibri" w:hAnsi="Times New Roman" w:cs="Times New Roman"/>
          <w:sz w:val="24"/>
          <w:szCs w:val="24"/>
          <w:lang w:val="x-none" w:eastAsia="pl-PL"/>
        </w:rPr>
        <w:t>unieszkodliwiania tych odpadów do marszałka województwa)</w:t>
      </w:r>
      <w:r w:rsidRPr="00965BA2">
        <w:rPr>
          <w:rFonts w:ascii="Times New Roman" w:eastAsia="Calibri" w:hAnsi="Times New Roman" w:cs="Times New Roman"/>
          <w:sz w:val="24"/>
          <w:szCs w:val="24"/>
          <w:lang w:eastAsia="pl-PL"/>
        </w:rPr>
        <w:t>,</w:t>
      </w:r>
    </w:p>
    <w:p w14:paraId="64250BBD" w14:textId="77777777" w:rsidR="00DA319F" w:rsidRPr="00965BA2" w:rsidRDefault="00DA319F" w:rsidP="00D34F97">
      <w:pPr>
        <w:numPr>
          <w:ilvl w:val="0"/>
          <w:numId w:val="98"/>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braku lub nierzetelnego prowadzenia ewidencji odpadów.</w:t>
      </w:r>
    </w:p>
    <w:p w14:paraId="7C404439" w14:textId="77777777" w:rsidR="00DA319F" w:rsidRPr="00965BA2" w:rsidRDefault="00DA319F" w:rsidP="006A4600">
      <w:pPr>
        <w:spacing w:before="120" w:after="6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W związku ze stwierdzonymi nieprawidłowościami:</w:t>
      </w:r>
    </w:p>
    <w:p w14:paraId="4886347E" w14:textId="77777777" w:rsidR="00DA319F" w:rsidRPr="00965BA2" w:rsidRDefault="00DA319F" w:rsidP="00D34F97">
      <w:pPr>
        <w:numPr>
          <w:ilvl w:val="0"/>
          <w:numId w:val="99"/>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udzielono </w:t>
      </w:r>
      <w:r w:rsidRPr="00965BA2">
        <w:rPr>
          <w:rFonts w:ascii="Times New Roman" w:eastAsia="Calibri" w:hAnsi="Times New Roman" w:cs="Times New Roman"/>
          <w:sz w:val="24"/>
          <w:szCs w:val="24"/>
          <w:lang w:eastAsia="pl-PL"/>
        </w:rPr>
        <w:t>84</w:t>
      </w:r>
      <w:r w:rsidRPr="00965BA2">
        <w:rPr>
          <w:rFonts w:ascii="Times New Roman" w:eastAsia="Calibri" w:hAnsi="Times New Roman" w:cs="Times New Roman"/>
          <w:sz w:val="24"/>
          <w:szCs w:val="24"/>
          <w:lang w:val="x-none" w:eastAsia="pl-PL"/>
        </w:rPr>
        <w:t xml:space="preserve"> pouczeń,</w:t>
      </w:r>
    </w:p>
    <w:p w14:paraId="5F98B44B" w14:textId="77777777" w:rsidR="00DA319F" w:rsidRPr="00965BA2" w:rsidRDefault="00DA319F" w:rsidP="00D34F97">
      <w:pPr>
        <w:numPr>
          <w:ilvl w:val="0"/>
          <w:numId w:val="99"/>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nałożono </w:t>
      </w:r>
      <w:r w:rsidRPr="00965BA2">
        <w:rPr>
          <w:rFonts w:ascii="Times New Roman" w:eastAsia="Calibri" w:hAnsi="Times New Roman" w:cs="Times New Roman"/>
          <w:sz w:val="24"/>
          <w:szCs w:val="24"/>
          <w:lang w:eastAsia="pl-PL"/>
        </w:rPr>
        <w:t>72</w:t>
      </w:r>
      <w:r w:rsidRPr="00965BA2">
        <w:rPr>
          <w:rFonts w:ascii="Times New Roman" w:eastAsia="Calibri" w:hAnsi="Times New Roman" w:cs="Times New Roman"/>
          <w:sz w:val="24"/>
          <w:szCs w:val="24"/>
          <w:lang w:val="x-none" w:eastAsia="pl-PL"/>
        </w:rPr>
        <w:t xml:space="preserve"> mandat</w:t>
      </w:r>
      <w:r w:rsidRPr="00965BA2">
        <w:rPr>
          <w:rFonts w:ascii="Times New Roman" w:eastAsia="Calibri" w:hAnsi="Times New Roman" w:cs="Times New Roman"/>
          <w:sz w:val="24"/>
          <w:szCs w:val="24"/>
          <w:lang w:eastAsia="pl-PL"/>
        </w:rPr>
        <w:t>y</w:t>
      </w:r>
      <w:r w:rsidRPr="00965BA2">
        <w:rPr>
          <w:rFonts w:ascii="Times New Roman" w:eastAsia="Calibri" w:hAnsi="Times New Roman" w:cs="Times New Roman"/>
          <w:sz w:val="24"/>
          <w:szCs w:val="24"/>
          <w:lang w:val="x-none" w:eastAsia="pl-PL"/>
        </w:rPr>
        <w:t xml:space="preserve"> karn</w:t>
      </w:r>
      <w:r w:rsidRPr="00965BA2">
        <w:rPr>
          <w:rFonts w:ascii="Times New Roman" w:eastAsia="Calibri" w:hAnsi="Times New Roman" w:cs="Times New Roman"/>
          <w:sz w:val="24"/>
          <w:szCs w:val="24"/>
          <w:lang w:eastAsia="pl-PL"/>
        </w:rPr>
        <w:t>e</w:t>
      </w:r>
      <w:r w:rsidRPr="00965BA2">
        <w:rPr>
          <w:rFonts w:ascii="Times New Roman" w:eastAsia="Calibri" w:hAnsi="Times New Roman" w:cs="Times New Roman"/>
          <w:sz w:val="24"/>
          <w:szCs w:val="24"/>
          <w:lang w:val="x-none" w:eastAsia="pl-PL"/>
        </w:rPr>
        <w:t>,</w:t>
      </w:r>
    </w:p>
    <w:p w14:paraId="00497804" w14:textId="77777777" w:rsidR="00DA319F" w:rsidRPr="00965BA2" w:rsidRDefault="00DA319F" w:rsidP="00D34F97">
      <w:pPr>
        <w:numPr>
          <w:ilvl w:val="0"/>
          <w:numId w:val="99"/>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skierowano </w:t>
      </w:r>
      <w:r w:rsidRPr="00965BA2">
        <w:rPr>
          <w:rFonts w:ascii="Times New Roman" w:eastAsia="Calibri" w:hAnsi="Times New Roman" w:cs="Times New Roman"/>
          <w:sz w:val="24"/>
          <w:szCs w:val="24"/>
          <w:lang w:eastAsia="pl-PL"/>
        </w:rPr>
        <w:t>6</w:t>
      </w:r>
      <w:r w:rsidRPr="00965BA2">
        <w:rPr>
          <w:rFonts w:ascii="Times New Roman" w:eastAsia="Calibri" w:hAnsi="Times New Roman" w:cs="Times New Roman"/>
          <w:sz w:val="24"/>
          <w:szCs w:val="24"/>
          <w:lang w:val="x-none" w:eastAsia="pl-PL"/>
        </w:rPr>
        <w:t xml:space="preserve"> wniosków do sądów o ukaranie karą grzywny, </w:t>
      </w:r>
    </w:p>
    <w:p w14:paraId="1D8DF1F8" w14:textId="77777777" w:rsidR="00DA319F" w:rsidRPr="00965BA2" w:rsidRDefault="00DA319F" w:rsidP="00D34F97">
      <w:pPr>
        <w:numPr>
          <w:ilvl w:val="0"/>
          <w:numId w:val="99"/>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wydano </w:t>
      </w:r>
      <w:r w:rsidRPr="00965BA2">
        <w:rPr>
          <w:rFonts w:ascii="Times New Roman" w:eastAsia="Calibri" w:hAnsi="Times New Roman" w:cs="Times New Roman"/>
          <w:sz w:val="24"/>
          <w:szCs w:val="24"/>
          <w:lang w:eastAsia="pl-PL"/>
        </w:rPr>
        <w:t>197</w:t>
      </w:r>
      <w:r w:rsidRPr="00965BA2">
        <w:rPr>
          <w:rFonts w:ascii="Times New Roman" w:eastAsia="Calibri" w:hAnsi="Times New Roman" w:cs="Times New Roman"/>
          <w:sz w:val="24"/>
          <w:szCs w:val="24"/>
          <w:lang w:val="x-none" w:eastAsia="pl-PL"/>
        </w:rPr>
        <w:t xml:space="preserve"> zarządzeń pokontrolnych,</w:t>
      </w:r>
    </w:p>
    <w:p w14:paraId="698879A1" w14:textId="77777777" w:rsidR="00DA319F" w:rsidRPr="00965BA2" w:rsidRDefault="00DA319F" w:rsidP="00D34F97">
      <w:pPr>
        <w:numPr>
          <w:ilvl w:val="0"/>
          <w:numId w:val="99"/>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skierowano</w:t>
      </w:r>
      <w:r w:rsidRPr="00965BA2">
        <w:rPr>
          <w:rFonts w:ascii="Times New Roman" w:eastAsia="Calibri" w:hAnsi="Times New Roman" w:cs="Times New Roman"/>
          <w:sz w:val="24"/>
          <w:szCs w:val="24"/>
          <w:lang w:eastAsia="pl-PL"/>
        </w:rPr>
        <w:t xml:space="preserve"> 188</w:t>
      </w:r>
      <w:r w:rsidRPr="00965BA2">
        <w:rPr>
          <w:rFonts w:ascii="Times New Roman" w:eastAsia="Calibri" w:hAnsi="Times New Roman" w:cs="Times New Roman"/>
          <w:sz w:val="24"/>
          <w:szCs w:val="24"/>
          <w:lang w:val="x-none" w:eastAsia="pl-PL"/>
        </w:rPr>
        <w:t xml:space="preserve"> wystąpień do innych organów administracji rządowej</w:t>
      </w:r>
      <w:r w:rsidRPr="00965BA2">
        <w:rPr>
          <w:rFonts w:ascii="Times New Roman" w:eastAsia="Calibri" w:hAnsi="Times New Roman" w:cs="Times New Roman"/>
          <w:sz w:val="24"/>
          <w:szCs w:val="24"/>
          <w:lang w:eastAsia="pl-PL"/>
        </w:rPr>
        <w:t xml:space="preserve"> </w:t>
      </w:r>
      <w:r w:rsidRPr="00965BA2">
        <w:rPr>
          <w:rFonts w:ascii="Times New Roman" w:eastAsia="Calibri" w:hAnsi="Times New Roman" w:cs="Times New Roman"/>
          <w:sz w:val="24"/>
          <w:szCs w:val="24"/>
          <w:lang w:val="x-none" w:eastAsia="pl-PL"/>
        </w:rPr>
        <w:t>i samorządowej,</w:t>
      </w:r>
    </w:p>
    <w:p w14:paraId="33AF091B" w14:textId="77777777" w:rsidR="00DA319F" w:rsidRPr="00965BA2" w:rsidRDefault="00DA319F" w:rsidP="00D34F97">
      <w:pPr>
        <w:numPr>
          <w:ilvl w:val="0"/>
          <w:numId w:val="99"/>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skierowano </w:t>
      </w:r>
      <w:r w:rsidRPr="00965BA2">
        <w:rPr>
          <w:rFonts w:ascii="Times New Roman" w:eastAsia="Calibri" w:hAnsi="Times New Roman" w:cs="Times New Roman"/>
          <w:sz w:val="24"/>
          <w:szCs w:val="24"/>
          <w:lang w:eastAsia="pl-PL"/>
        </w:rPr>
        <w:t>25</w:t>
      </w:r>
      <w:r w:rsidRPr="00965BA2">
        <w:rPr>
          <w:rFonts w:ascii="Times New Roman" w:eastAsia="Calibri" w:hAnsi="Times New Roman" w:cs="Times New Roman"/>
          <w:sz w:val="24"/>
          <w:szCs w:val="24"/>
          <w:lang w:val="x-none" w:eastAsia="pl-PL"/>
        </w:rPr>
        <w:t xml:space="preserve"> wniosków do organów ścigania,</w:t>
      </w:r>
    </w:p>
    <w:p w14:paraId="20A3DEE0" w14:textId="5CFD0EB3" w:rsidR="00895F16" w:rsidRPr="007F400A" w:rsidRDefault="00DA319F" w:rsidP="00D34F97">
      <w:pPr>
        <w:numPr>
          <w:ilvl w:val="0"/>
          <w:numId w:val="99"/>
        </w:numPr>
        <w:spacing w:after="0" w:line="300" w:lineRule="atLeast"/>
        <w:ind w:left="924" w:hanging="357"/>
        <w:contextualSpacing/>
        <w:jc w:val="both"/>
        <w:rPr>
          <w:rFonts w:ascii="Times New Roman" w:eastAsia="Calibri" w:hAnsi="Times New Roman" w:cs="Times New Roman"/>
          <w:color w:val="000000"/>
          <w:sz w:val="24"/>
          <w:szCs w:val="24"/>
          <w:lang w:val="x-none" w:eastAsia="pl-PL"/>
        </w:rPr>
      </w:pPr>
      <w:r w:rsidRPr="00965BA2">
        <w:rPr>
          <w:rFonts w:ascii="Times New Roman" w:eastAsia="Calibri" w:hAnsi="Times New Roman" w:cs="Times New Roman"/>
          <w:sz w:val="24"/>
          <w:szCs w:val="24"/>
          <w:lang w:val="x-none" w:eastAsia="pl-PL"/>
        </w:rPr>
        <w:t>wydano 8</w:t>
      </w:r>
      <w:r w:rsidRPr="00965BA2">
        <w:rPr>
          <w:rFonts w:ascii="Times New Roman" w:eastAsia="Calibri" w:hAnsi="Times New Roman" w:cs="Times New Roman"/>
          <w:sz w:val="24"/>
          <w:szCs w:val="24"/>
          <w:lang w:eastAsia="pl-PL"/>
        </w:rPr>
        <w:t>7</w:t>
      </w:r>
      <w:r w:rsidRPr="00965BA2">
        <w:rPr>
          <w:rFonts w:ascii="Times New Roman" w:eastAsia="Calibri" w:hAnsi="Times New Roman" w:cs="Times New Roman"/>
          <w:sz w:val="24"/>
          <w:szCs w:val="24"/>
          <w:lang w:val="x-none" w:eastAsia="pl-PL"/>
        </w:rPr>
        <w:t xml:space="preserve"> decyzj</w:t>
      </w:r>
      <w:r w:rsidRPr="00965BA2">
        <w:rPr>
          <w:rFonts w:ascii="Times New Roman" w:eastAsia="Calibri" w:hAnsi="Times New Roman" w:cs="Times New Roman"/>
          <w:sz w:val="24"/>
          <w:szCs w:val="24"/>
          <w:lang w:eastAsia="pl-PL"/>
        </w:rPr>
        <w:t>i</w:t>
      </w:r>
      <w:r w:rsidRPr="00965BA2">
        <w:rPr>
          <w:rFonts w:ascii="Times New Roman" w:eastAsia="Calibri" w:hAnsi="Times New Roman" w:cs="Times New Roman"/>
          <w:sz w:val="24"/>
          <w:szCs w:val="24"/>
          <w:lang w:val="x-none" w:eastAsia="pl-PL"/>
        </w:rPr>
        <w:t xml:space="preserve"> </w:t>
      </w:r>
      <w:r w:rsidRPr="00965BA2">
        <w:rPr>
          <w:rFonts w:ascii="Times New Roman" w:eastAsia="Times New Roman" w:hAnsi="Times New Roman" w:cs="Times New Roman"/>
          <w:sz w:val="24"/>
          <w:szCs w:val="24"/>
          <w:lang w:val="x-none" w:eastAsia="pl-PL"/>
        </w:rPr>
        <w:t>w sprawie nałożenia kar pieniężnych</w:t>
      </w:r>
      <w:r w:rsidR="00895F16" w:rsidRPr="007F400A">
        <w:rPr>
          <w:rFonts w:ascii="Times New Roman" w:eastAsia="Calibri" w:hAnsi="Times New Roman" w:cs="Times New Roman"/>
          <w:color w:val="000000"/>
          <w:sz w:val="24"/>
          <w:szCs w:val="24"/>
          <w:lang w:val="x-none" w:eastAsia="pl-PL"/>
        </w:rPr>
        <w:t>.</w:t>
      </w:r>
    </w:p>
    <w:p w14:paraId="49A9FDF5" w14:textId="77777777" w:rsidR="00895F16" w:rsidRPr="007F400A" w:rsidRDefault="00895F16" w:rsidP="00056EE7">
      <w:pPr>
        <w:spacing w:after="0" w:line="300" w:lineRule="atLeast"/>
        <w:ind w:left="1418"/>
        <w:jc w:val="both"/>
        <w:rPr>
          <w:rFonts w:ascii="Times New Roman" w:eastAsia="Calibri" w:hAnsi="Times New Roman" w:cs="Times New Roman"/>
          <w:color w:val="000000"/>
          <w:sz w:val="24"/>
          <w:szCs w:val="24"/>
          <w:lang w:val="x-none" w:eastAsia="pl-PL"/>
        </w:rPr>
      </w:pPr>
    </w:p>
    <w:p w14:paraId="19807DE4" w14:textId="77777777" w:rsidR="00895F16" w:rsidRPr="007F400A" w:rsidRDefault="00895F16" w:rsidP="006A4600">
      <w:pPr>
        <w:keepNext/>
        <w:spacing w:after="120" w:line="300" w:lineRule="atLeast"/>
        <w:jc w:val="both"/>
        <w:outlineLvl w:val="0"/>
        <w:rPr>
          <w:rFonts w:ascii="Times New Roman" w:eastAsia="Times New Roman" w:hAnsi="Times New Roman" w:cs="Times New Roman"/>
          <w:b/>
          <w:bCs/>
          <w:sz w:val="24"/>
          <w:szCs w:val="24"/>
          <w:lang w:val="x-none" w:eastAsia="x-none"/>
        </w:rPr>
      </w:pPr>
      <w:bookmarkStart w:id="99" w:name="_Toc5878554"/>
      <w:bookmarkStart w:id="100" w:name="_Toc36732572"/>
      <w:bookmarkStart w:id="101" w:name="_Toc135935598"/>
      <w:r w:rsidRPr="007F400A">
        <w:rPr>
          <w:rFonts w:ascii="Times New Roman" w:eastAsia="Times New Roman" w:hAnsi="Times New Roman" w:cs="Times New Roman"/>
          <w:b/>
          <w:bCs/>
          <w:sz w:val="24"/>
          <w:szCs w:val="24"/>
          <w:lang w:val="x-none" w:eastAsia="x-none"/>
        </w:rPr>
        <w:t>3.3.</w:t>
      </w:r>
      <w:r w:rsidRPr="007F400A">
        <w:rPr>
          <w:rFonts w:ascii="Times New Roman" w:eastAsia="Times New Roman" w:hAnsi="Times New Roman" w:cs="Times New Roman"/>
          <w:b/>
          <w:bCs/>
          <w:sz w:val="24"/>
          <w:szCs w:val="24"/>
          <w:lang w:eastAsia="x-none"/>
        </w:rPr>
        <w:t>8</w:t>
      </w:r>
      <w:r w:rsidRPr="007F400A">
        <w:rPr>
          <w:rFonts w:ascii="Times New Roman" w:eastAsia="Times New Roman" w:hAnsi="Times New Roman" w:cs="Times New Roman"/>
          <w:b/>
          <w:bCs/>
          <w:sz w:val="24"/>
          <w:szCs w:val="24"/>
          <w:lang w:val="x-none" w:eastAsia="x-none"/>
        </w:rPr>
        <w:t xml:space="preserve"> Kontrole w zakresie substancji </w:t>
      </w:r>
      <w:r w:rsidRPr="007F400A">
        <w:rPr>
          <w:rFonts w:ascii="Times New Roman" w:eastAsia="Times New Roman" w:hAnsi="Times New Roman" w:cs="Times New Roman"/>
          <w:b/>
          <w:bCs/>
          <w:sz w:val="24"/>
          <w:szCs w:val="24"/>
          <w:lang w:eastAsia="x-none"/>
        </w:rPr>
        <w:t xml:space="preserve">zubożających </w:t>
      </w:r>
      <w:r w:rsidRPr="007F400A">
        <w:rPr>
          <w:rFonts w:ascii="Times New Roman" w:eastAsia="Times New Roman" w:hAnsi="Times New Roman" w:cs="Times New Roman"/>
          <w:b/>
          <w:bCs/>
          <w:sz w:val="24"/>
          <w:szCs w:val="24"/>
          <w:lang w:val="x-none" w:eastAsia="x-none"/>
        </w:rPr>
        <w:t xml:space="preserve">warstwę ozonową i </w:t>
      </w:r>
      <w:proofErr w:type="spellStart"/>
      <w:r w:rsidRPr="007F400A">
        <w:rPr>
          <w:rFonts w:ascii="Times New Roman" w:eastAsia="Times New Roman" w:hAnsi="Times New Roman" w:cs="Times New Roman"/>
          <w:b/>
          <w:bCs/>
          <w:sz w:val="24"/>
          <w:szCs w:val="24"/>
          <w:lang w:val="x-none" w:eastAsia="x-none"/>
        </w:rPr>
        <w:t>fluorow</w:t>
      </w:r>
      <w:r w:rsidRPr="007F400A">
        <w:rPr>
          <w:rFonts w:ascii="Times New Roman" w:eastAsia="Times New Roman" w:hAnsi="Times New Roman" w:cs="Times New Roman"/>
          <w:b/>
          <w:bCs/>
          <w:sz w:val="24"/>
          <w:szCs w:val="24"/>
          <w:lang w:eastAsia="x-none"/>
        </w:rPr>
        <w:t>an</w:t>
      </w:r>
      <w:r w:rsidRPr="007F400A">
        <w:rPr>
          <w:rFonts w:ascii="Times New Roman" w:eastAsia="Times New Roman" w:hAnsi="Times New Roman" w:cs="Times New Roman"/>
          <w:b/>
          <w:bCs/>
          <w:sz w:val="24"/>
          <w:szCs w:val="24"/>
          <w:lang w:val="x-none" w:eastAsia="x-none"/>
        </w:rPr>
        <w:t>ych</w:t>
      </w:r>
      <w:proofErr w:type="spellEnd"/>
      <w:r w:rsidRPr="007F400A">
        <w:rPr>
          <w:rFonts w:ascii="Times New Roman" w:eastAsia="Times New Roman" w:hAnsi="Times New Roman" w:cs="Times New Roman"/>
          <w:b/>
          <w:bCs/>
          <w:sz w:val="24"/>
          <w:szCs w:val="24"/>
          <w:lang w:val="x-none" w:eastAsia="x-none"/>
        </w:rPr>
        <w:t xml:space="preserve"> gazów cieplarnianych</w:t>
      </w:r>
      <w:bookmarkEnd w:id="99"/>
      <w:bookmarkEnd w:id="100"/>
      <w:bookmarkEnd w:id="101"/>
    </w:p>
    <w:p w14:paraId="6D189716" w14:textId="77777777" w:rsidR="002706A4" w:rsidRDefault="002706A4" w:rsidP="006A4600">
      <w:pPr>
        <w:pStyle w:val="Brucenormal"/>
        <w:spacing w:line="300" w:lineRule="atLeast"/>
        <w:ind w:firstLine="567"/>
      </w:pPr>
      <w:bookmarkStart w:id="102" w:name="_Toc441661553"/>
      <w:r w:rsidRPr="00822BFD">
        <w:t>W 20</w:t>
      </w:r>
      <w:r>
        <w:t>22</w:t>
      </w:r>
      <w:r w:rsidRPr="00822BFD">
        <w:t xml:space="preserve"> r. </w:t>
      </w:r>
      <w:r>
        <w:t xml:space="preserve">wojewódzcy inspektorzy ochrony środowiska skontrolowali </w:t>
      </w:r>
      <w:r w:rsidRPr="00BC4645">
        <w:t>370</w:t>
      </w:r>
      <w:r w:rsidRPr="00822BFD">
        <w:t xml:space="preserve"> </w:t>
      </w:r>
      <w:r>
        <w:t>podmiotów</w:t>
      </w:r>
      <w:r w:rsidRPr="00822BFD">
        <w:t xml:space="preserve"> </w:t>
      </w:r>
      <w:r>
        <w:br/>
      </w:r>
      <w:r w:rsidRPr="00822BFD">
        <w:t>w zakresie przestrzegania przepisów ustawy</w:t>
      </w:r>
      <w:r>
        <w:t xml:space="preserve"> z </w:t>
      </w:r>
      <w:r w:rsidRPr="008617EA">
        <w:t>dnia 15 maja 2015 r. o substancjach zubożających warstwę ozonową oraz o niektórych fluorowanych gazach cieplarnianych</w:t>
      </w:r>
      <w:r>
        <w:rPr>
          <w:rStyle w:val="Odwoanieprzypisudolnego"/>
        </w:rPr>
        <w:footnoteReference w:id="10"/>
      </w:r>
      <w:r w:rsidRPr="003B6E5B">
        <w:rPr>
          <w:i/>
        </w:rPr>
        <w:t>.</w:t>
      </w:r>
      <w:bookmarkEnd w:id="102"/>
      <w:r w:rsidRPr="00822BFD">
        <w:t xml:space="preserve"> </w:t>
      </w:r>
    </w:p>
    <w:p w14:paraId="63691BCE" w14:textId="77777777" w:rsidR="002706A4" w:rsidRDefault="002706A4" w:rsidP="006A4600">
      <w:pPr>
        <w:pStyle w:val="Brucenormal"/>
        <w:spacing w:line="300" w:lineRule="atLeast"/>
        <w:ind w:firstLine="567"/>
        <w:rPr>
          <w:i/>
        </w:rPr>
      </w:pPr>
      <w:bookmarkStart w:id="103" w:name="_Toc441661555"/>
      <w:r>
        <w:t xml:space="preserve">W trakcie </w:t>
      </w:r>
      <w:r w:rsidRPr="00BE5C77">
        <w:t>przeprowadzon</w:t>
      </w:r>
      <w:r>
        <w:t>ych</w:t>
      </w:r>
      <w:r w:rsidRPr="00BE5C77">
        <w:t xml:space="preserve"> </w:t>
      </w:r>
      <w:r>
        <w:t xml:space="preserve">kontroli stwierdzono łącznie </w:t>
      </w:r>
      <w:r w:rsidRPr="00BC4645">
        <w:t>708</w:t>
      </w:r>
      <w:r>
        <w:rPr>
          <w:b/>
        </w:rPr>
        <w:t xml:space="preserve"> </w:t>
      </w:r>
      <w:r w:rsidRPr="00BE5C77">
        <w:t>nieprawidłowoś</w:t>
      </w:r>
      <w:r>
        <w:t>ci w </w:t>
      </w:r>
      <w:r w:rsidRPr="00BE5C77">
        <w:t>zakresie przestrzegania przepisów ustawy</w:t>
      </w:r>
      <w:bookmarkEnd w:id="103"/>
      <w:r>
        <w:rPr>
          <w:i/>
        </w:rPr>
        <w:t>.</w:t>
      </w:r>
    </w:p>
    <w:p w14:paraId="525C8E91" w14:textId="77777777" w:rsidR="002706A4" w:rsidRDefault="002706A4" w:rsidP="006A4600">
      <w:pPr>
        <w:pStyle w:val="Brucenormal"/>
        <w:spacing w:line="300" w:lineRule="atLeast"/>
        <w:contextualSpacing/>
      </w:pPr>
      <w:r>
        <w:t>Zgodnie z podziałem nieprawidłowości</w:t>
      </w:r>
      <w:r>
        <w:rPr>
          <w:rStyle w:val="Odwoanieprzypisudolnego"/>
        </w:rPr>
        <w:footnoteReference w:id="11"/>
      </w:r>
      <w:r>
        <w:t xml:space="preserve"> na kategorie określone w art. 45 ust. 11 ustawy: </w:t>
      </w:r>
    </w:p>
    <w:p w14:paraId="43D63D9F" w14:textId="77777777" w:rsidR="002706A4" w:rsidRPr="00805F42" w:rsidRDefault="002706A4" w:rsidP="00D34F97">
      <w:pPr>
        <w:pStyle w:val="Brucenormal"/>
        <w:numPr>
          <w:ilvl w:val="0"/>
          <w:numId w:val="192"/>
        </w:numPr>
        <w:spacing w:line="300" w:lineRule="atLeast"/>
        <w:ind w:left="924" w:hanging="357"/>
        <w:contextualSpacing/>
      </w:pPr>
      <w:r>
        <w:lastRenderedPageBreak/>
        <w:t xml:space="preserve">w </w:t>
      </w:r>
      <w:r w:rsidRPr="00FA71EA">
        <w:t xml:space="preserve">kategorii I </w:t>
      </w:r>
      <w:r>
        <w:t>stwierdzono</w:t>
      </w:r>
      <w:r w:rsidRPr="00FA71EA">
        <w:t xml:space="preserve"> </w:t>
      </w:r>
      <w:r w:rsidRPr="00BC4645">
        <w:t xml:space="preserve">510 </w:t>
      </w:r>
      <w:r w:rsidRPr="00805F42">
        <w:t>nieprawidłowości,</w:t>
      </w:r>
    </w:p>
    <w:p w14:paraId="0D06DAA6" w14:textId="77777777" w:rsidR="002706A4" w:rsidRPr="00805F42" w:rsidRDefault="002706A4" w:rsidP="00D34F97">
      <w:pPr>
        <w:pStyle w:val="Brucenormal"/>
        <w:numPr>
          <w:ilvl w:val="0"/>
          <w:numId w:val="192"/>
        </w:numPr>
        <w:spacing w:line="300" w:lineRule="atLeast"/>
        <w:ind w:left="924" w:hanging="357"/>
      </w:pPr>
      <w:r>
        <w:t xml:space="preserve">w </w:t>
      </w:r>
      <w:r w:rsidRPr="0022443E">
        <w:t xml:space="preserve">kategorii II </w:t>
      </w:r>
      <w:r>
        <w:t>stwierdzono</w:t>
      </w:r>
      <w:r w:rsidRPr="00FA71EA">
        <w:t xml:space="preserve"> </w:t>
      </w:r>
      <w:r w:rsidRPr="00BC4645">
        <w:t xml:space="preserve">198 </w:t>
      </w:r>
      <w:r w:rsidRPr="00805F42">
        <w:t>nieprawidłowości,</w:t>
      </w:r>
    </w:p>
    <w:p w14:paraId="5AFEDCA2" w14:textId="77777777" w:rsidR="002706A4" w:rsidRPr="00FA71EA" w:rsidRDefault="002706A4" w:rsidP="00D34F97">
      <w:pPr>
        <w:pStyle w:val="Brucenormal"/>
        <w:numPr>
          <w:ilvl w:val="0"/>
          <w:numId w:val="192"/>
        </w:numPr>
        <w:spacing w:after="120" w:line="300" w:lineRule="atLeast"/>
        <w:ind w:left="924" w:hanging="357"/>
      </w:pPr>
      <w:r>
        <w:t xml:space="preserve">w </w:t>
      </w:r>
      <w:r w:rsidRPr="0022443E">
        <w:t xml:space="preserve">kategorii III </w:t>
      </w:r>
      <w:r>
        <w:t>nie stwierdzono nieprawidłowości</w:t>
      </w:r>
      <w:r w:rsidRPr="00FA71EA">
        <w:t>.</w:t>
      </w:r>
    </w:p>
    <w:p w14:paraId="7E6313E1" w14:textId="77777777" w:rsidR="002706A4" w:rsidRPr="00FA71EA" w:rsidRDefault="002706A4" w:rsidP="006A4600">
      <w:pPr>
        <w:widowControl w:val="0"/>
        <w:overflowPunct w:val="0"/>
        <w:autoSpaceDE w:val="0"/>
        <w:autoSpaceDN w:val="0"/>
        <w:adjustRightInd w:val="0"/>
        <w:spacing w:after="60" w:line="300" w:lineRule="atLeast"/>
        <w:ind w:right="23"/>
        <w:jc w:val="both"/>
        <w:rPr>
          <w:rFonts w:ascii="Times New Roman" w:hAnsi="Times New Roman" w:cs="Times New Roman"/>
          <w:sz w:val="24"/>
          <w:szCs w:val="24"/>
        </w:rPr>
      </w:pPr>
      <w:r>
        <w:rPr>
          <w:rFonts w:ascii="Times New Roman" w:hAnsi="Times New Roman" w:cs="Times New Roman"/>
          <w:sz w:val="24"/>
          <w:szCs w:val="24"/>
        </w:rPr>
        <w:t>Stwierdzone nieprawidłowości to m.in.:</w:t>
      </w:r>
    </w:p>
    <w:p w14:paraId="39FEA78F" w14:textId="77777777" w:rsidR="002706A4" w:rsidRPr="00FA71EA" w:rsidRDefault="002706A4" w:rsidP="00D34F97">
      <w:pPr>
        <w:numPr>
          <w:ilvl w:val="0"/>
          <w:numId w:val="193"/>
        </w:numPr>
        <w:autoSpaceDE w:val="0"/>
        <w:autoSpaceDN w:val="0"/>
        <w:adjustRightInd w:val="0"/>
        <w:spacing w:after="0" w:line="300" w:lineRule="atLeast"/>
        <w:ind w:left="924" w:hanging="357"/>
        <w:jc w:val="both"/>
        <w:rPr>
          <w:rFonts w:ascii="Times New Roman" w:hAnsi="Times New Roman" w:cs="Times New Roman"/>
          <w:sz w:val="24"/>
          <w:szCs w:val="24"/>
        </w:rPr>
      </w:pPr>
      <w:r w:rsidRPr="00FA71EA">
        <w:rPr>
          <w:rFonts w:ascii="Times New Roman" w:hAnsi="Times New Roman" w:cs="Times New Roman"/>
          <w:sz w:val="24"/>
          <w:szCs w:val="24"/>
        </w:rPr>
        <w:t>nieprowadzenie lub niewłaściwe prowadzenie dokumentacji, nieprzekazywanie lub nieprzekazywanie w ustawowym terminie danych do kart urządzeń lub ich korekty</w:t>
      </w:r>
      <w:r>
        <w:rPr>
          <w:rFonts w:ascii="Times New Roman" w:hAnsi="Times New Roman" w:cs="Times New Roman"/>
          <w:sz w:val="24"/>
          <w:szCs w:val="24"/>
        </w:rPr>
        <w:t>,</w:t>
      </w:r>
      <w:r w:rsidRPr="00FA71EA">
        <w:rPr>
          <w:rFonts w:ascii="Times New Roman" w:hAnsi="Times New Roman" w:cs="Times New Roman"/>
          <w:sz w:val="24"/>
          <w:szCs w:val="24"/>
        </w:rPr>
        <w:t xml:space="preserve"> </w:t>
      </w:r>
    </w:p>
    <w:p w14:paraId="796EE67F" w14:textId="77777777" w:rsidR="002706A4" w:rsidRPr="00FA71EA" w:rsidRDefault="002706A4" w:rsidP="00D34F97">
      <w:pPr>
        <w:numPr>
          <w:ilvl w:val="0"/>
          <w:numId w:val="193"/>
        </w:numPr>
        <w:autoSpaceDE w:val="0"/>
        <w:autoSpaceDN w:val="0"/>
        <w:adjustRightInd w:val="0"/>
        <w:spacing w:after="0" w:line="300" w:lineRule="atLeast"/>
        <w:ind w:left="924" w:hanging="357"/>
        <w:jc w:val="both"/>
        <w:rPr>
          <w:rFonts w:ascii="Times New Roman" w:hAnsi="Times New Roman" w:cs="Times New Roman"/>
          <w:sz w:val="24"/>
          <w:szCs w:val="24"/>
        </w:rPr>
      </w:pPr>
      <w:r w:rsidRPr="00FA71EA">
        <w:rPr>
          <w:rFonts w:ascii="Times New Roman" w:hAnsi="Times New Roman" w:cs="Times New Roman"/>
          <w:sz w:val="24"/>
          <w:szCs w:val="24"/>
        </w:rPr>
        <w:t>niesporządzenie lub sporządzenie kart urządzeń po ustawowym terminie</w:t>
      </w:r>
      <w:r>
        <w:rPr>
          <w:rFonts w:ascii="Times New Roman" w:hAnsi="Times New Roman" w:cs="Times New Roman"/>
          <w:sz w:val="24"/>
          <w:szCs w:val="24"/>
        </w:rPr>
        <w:t>,</w:t>
      </w:r>
      <w:r w:rsidRPr="00FA71EA">
        <w:rPr>
          <w:rFonts w:ascii="Times New Roman" w:hAnsi="Times New Roman" w:cs="Times New Roman"/>
          <w:sz w:val="24"/>
          <w:szCs w:val="24"/>
        </w:rPr>
        <w:t xml:space="preserve"> </w:t>
      </w:r>
    </w:p>
    <w:p w14:paraId="2E8D9644" w14:textId="77777777" w:rsidR="002706A4" w:rsidRPr="00FA71EA" w:rsidRDefault="002706A4" w:rsidP="00D34F97">
      <w:pPr>
        <w:widowControl w:val="0"/>
        <w:numPr>
          <w:ilvl w:val="0"/>
          <w:numId w:val="193"/>
        </w:numPr>
        <w:overflowPunct w:val="0"/>
        <w:autoSpaceDE w:val="0"/>
        <w:autoSpaceDN w:val="0"/>
        <w:adjustRightInd w:val="0"/>
        <w:spacing w:after="0" w:line="300" w:lineRule="atLeast"/>
        <w:ind w:left="924" w:hanging="357"/>
        <w:jc w:val="both"/>
        <w:rPr>
          <w:rFonts w:ascii="Times New Roman" w:hAnsi="Times New Roman" w:cs="Times New Roman"/>
          <w:sz w:val="24"/>
          <w:szCs w:val="24"/>
        </w:rPr>
      </w:pPr>
      <w:r w:rsidRPr="00FA71EA">
        <w:rPr>
          <w:rFonts w:ascii="Times New Roman" w:hAnsi="Times New Roman" w:cs="Times New Roman"/>
          <w:sz w:val="24"/>
          <w:szCs w:val="24"/>
        </w:rPr>
        <w:t>nieprzekazanie lub nieterminowe przekazanie sprawozdania dotyczącego substancji zubożających warstwę ozonową (SZWO) lub fluorowanych gazów cieplarnianych lub jego korekty do krajowej bazy danych</w:t>
      </w:r>
      <w:r>
        <w:rPr>
          <w:rFonts w:ascii="Times New Roman" w:hAnsi="Times New Roman" w:cs="Times New Roman"/>
          <w:sz w:val="24"/>
          <w:szCs w:val="24"/>
        </w:rPr>
        <w:t>,</w:t>
      </w:r>
      <w:r w:rsidRPr="00FA71EA">
        <w:rPr>
          <w:rFonts w:ascii="Times New Roman" w:hAnsi="Times New Roman" w:cs="Times New Roman"/>
          <w:sz w:val="24"/>
          <w:szCs w:val="24"/>
        </w:rPr>
        <w:t xml:space="preserve"> </w:t>
      </w:r>
    </w:p>
    <w:p w14:paraId="08CA798F" w14:textId="77777777" w:rsidR="002706A4" w:rsidRPr="00FA71EA" w:rsidRDefault="002706A4" w:rsidP="00D34F97">
      <w:pPr>
        <w:widowControl w:val="0"/>
        <w:numPr>
          <w:ilvl w:val="0"/>
          <w:numId w:val="193"/>
        </w:numPr>
        <w:overflowPunct w:val="0"/>
        <w:autoSpaceDE w:val="0"/>
        <w:autoSpaceDN w:val="0"/>
        <w:adjustRightInd w:val="0"/>
        <w:spacing w:after="0" w:line="300" w:lineRule="atLeast"/>
        <w:ind w:left="924" w:hanging="357"/>
        <w:jc w:val="both"/>
        <w:rPr>
          <w:rFonts w:ascii="Times New Roman" w:hAnsi="Times New Roman" w:cs="Times New Roman"/>
          <w:sz w:val="24"/>
          <w:szCs w:val="24"/>
        </w:rPr>
      </w:pPr>
      <w:r w:rsidRPr="00FA71EA">
        <w:rPr>
          <w:rFonts w:ascii="Times New Roman" w:hAnsi="Times New Roman" w:cs="Times New Roman"/>
          <w:sz w:val="24"/>
          <w:szCs w:val="24"/>
          <w:shd w:val="clear" w:color="auto" w:fill="FFFFFF"/>
        </w:rPr>
        <w:t>nieprzekazywanie w terminie sprawozdań lub ich korekt do Komisji Europejskiej</w:t>
      </w:r>
      <w:r>
        <w:rPr>
          <w:rFonts w:ascii="Times New Roman" w:hAnsi="Times New Roman" w:cs="Times New Roman"/>
          <w:sz w:val="24"/>
          <w:szCs w:val="24"/>
          <w:shd w:val="clear" w:color="auto" w:fill="FFFFFF"/>
        </w:rPr>
        <w:t>,</w:t>
      </w:r>
    </w:p>
    <w:p w14:paraId="5AA62808" w14:textId="77777777" w:rsidR="002706A4" w:rsidRPr="00FA71EA" w:rsidRDefault="002706A4" w:rsidP="00D34F97">
      <w:pPr>
        <w:widowControl w:val="0"/>
        <w:numPr>
          <w:ilvl w:val="0"/>
          <w:numId w:val="193"/>
        </w:numPr>
        <w:overflowPunct w:val="0"/>
        <w:autoSpaceDE w:val="0"/>
        <w:autoSpaceDN w:val="0"/>
        <w:adjustRightInd w:val="0"/>
        <w:spacing w:after="0" w:line="300" w:lineRule="atLeast"/>
        <w:ind w:left="924" w:hanging="357"/>
        <w:jc w:val="both"/>
        <w:rPr>
          <w:rFonts w:ascii="Times New Roman" w:hAnsi="Times New Roman" w:cs="Times New Roman"/>
          <w:sz w:val="24"/>
          <w:szCs w:val="24"/>
        </w:rPr>
      </w:pPr>
      <w:r w:rsidRPr="00FA71EA">
        <w:rPr>
          <w:rFonts w:ascii="Times New Roman" w:hAnsi="Times New Roman" w:cs="Times New Roman"/>
          <w:sz w:val="24"/>
          <w:szCs w:val="24"/>
        </w:rPr>
        <w:t>brak prawidłowego etykietowania pojemników, produktów i urządzeń zawierających substancje zubożające warstwę ozonową lub fluorowane gazy cieplarniane</w:t>
      </w:r>
      <w:r>
        <w:rPr>
          <w:rFonts w:ascii="Times New Roman" w:hAnsi="Times New Roman" w:cs="Times New Roman"/>
          <w:sz w:val="24"/>
          <w:szCs w:val="24"/>
        </w:rPr>
        <w:t>,</w:t>
      </w:r>
    </w:p>
    <w:p w14:paraId="335AA6E1" w14:textId="77777777" w:rsidR="002706A4" w:rsidRPr="00FA71EA" w:rsidRDefault="002706A4" w:rsidP="00D34F97">
      <w:pPr>
        <w:widowControl w:val="0"/>
        <w:numPr>
          <w:ilvl w:val="0"/>
          <w:numId w:val="193"/>
        </w:numPr>
        <w:overflowPunct w:val="0"/>
        <w:autoSpaceDE w:val="0"/>
        <w:autoSpaceDN w:val="0"/>
        <w:adjustRightInd w:val="0"/>
        <w:spacing w:after="0" w:line="300" w:lineRule="atLeast"/>
        <w:ind w:left="924" w:hanging="357"/>
        <w:jc w:val="both"/>
        <w:rPr>
          <w:rFonts w:ascii="Times New Roman" w:hAnsi="Times New Roman" w:cs="Times New Roman"/>
          <w:sz w:val="24"/>
          <w:szCs w:val="24"/>
        </w:rPr>
      </w:pPr>
      <w:r w:rsidRPr="00FA71EA">
        <w:rPr>
          <w:rFonts w:ascii="Times New Roman" w:hAnsi="Times New Roman" w:cs="Times New Roman"/>
          <w:sz w:val="24"/>
          <w:szCs w:val="24"/>
        </w:rPr>
        <w:t>brak opłat za emisje dotyczące substancji zubożających warstwę ozonową lub fluorowanych gazów cieplarnianych</w:t>
      </w:r>
      <w:r>
        <w:rPr>
          <w:rFonts w:ascii="Times New Roman" w:hAnsi="Times New Roman" w:cs="Times New Roman"/>
          <w:sz w:val="24"/>
          <w:szCs w:val="24"/>
        </w:rPr>
        <w:t>,</w:t>
      </w:r>
    </w:p>
    <w:p w14:paraId="37C0D5C3" w14:textId="77777777" w:rsidR="002706A4" w:rsidRPr="00FA71EA" w:rsidRDefault="002706A4" w:rsidP="00D34F97">
      <w:pPr>
        <w:numPr>
          <w:ilvl w:val="0"/>
          <w:numId w:val="194"/>
        </w:numPr>
        <w:autoSpaceDE w:val="0"/>
        <w:autoSpaceDN w:val="0"/>
        <w:adjustRightInd w:val="0"/>
        <w:spacing w:after="0" w:line="300" w:lineRule="atLeast"/>
        <w:ind w:left="924" w:hanging="357"/>
        <w:jc w:val="both"/>
        <w:rPr>
          <w:rFonts w:ascii="Times New Roman" w:hAnsi="Times New Roman" w:cs="Times New Roman"/>
          <w:sz w:val="24"/>
          <w:szCs w:val="24"/>
        </w:rPr>
      </w:pPr>
      <w:r w:rsidRPr="00FA71EA">
        <w:rPr>
          <w:rFonts w:ascii="Times New Roman" w:hAnsi="Times New Roman" w:cs="Times New Roman"/>
          <w:sz w:val="24"/>
          <w:szCs w:val="24"/>
        </w:rPr>
        <w:t>niezapewnienie przeprowadzania kontroli szczelności, przeprowadzanie kontroli szczelności niezgodnie z wymaganiami</w:t>
      </w:r>
      <w:r>
        <w:rPr>
          <w:rFonts w:ascii="Times New Roman" w:hAnsi="Times New Roman" w:cs="Times New Roman"/>
          <w:sz w:val="24"/>
          <w:szCs w:val="24"/>
        </w:rPr>
        <w:t>,</w:t>
      </w:r>
    </w:p>
    <w:p w14:paraId="7BD57360" w14:textId="77777777" w:rsidR="002706A4" w:rsidRPr="00FA71EA" w:rsidRDefault="002706A4" w:rsidP="00D34F97">
      <w:pPr>
        <w:numPr>
          <w:ilvl w:val="0"/>
          <w:numId w:val="194"/>
        </w:numPr>
        <w:autoSpaceDE w:val="0"/>
        <w:autoSpaceDN w:val="0"/>
        <w:adjustRightInd w:val="0"/>
        <w:spacing w:after="0" w:line="300" w:lineRule="atLeast"/>
        <w:ind w:left="924" w:hanging="357"/>
        <w:jc w:val="both"/>
        <w:rPr>
          <w:rFonts w:ascii="Times New Roman" w:hAnsi="Times New Roman" w:cs="Times New Roman"/>
          <w:sz w:val="24"/>
          <w:szCs w:val="24"/>
        </w:rPr>
      </w:pPr>
      <w:r w:rsidRPr="00FA71EA">
        <w:rPr>
          <w:rFonts w:ascii="Times New Roman" w:hAnsi="Times New Roman" w:cs="Times New Roman"/>
          <w:sz w:val="24"/>
          <w:szCs w:val="24"/>
        </w:rPr>
        <w:t>wykonywanie czynności wymagających certyfikatu bez jego posiadania</w:t>
      </w:r>
      <w:r>
        <w:rPr>
          <w:rFonts w:ascii="Times New Roman" w:hAnsi="Times New Roman" w:cs="Times New Roman"/>
          <w:sz w:val="24"/>
          <w:szCs w:val="24"/>
        </w:rPr>
        <w:t>,</w:t>
      </w:r>
    </w:p>
    <w:p w14:paraId="46B82C66" w14:textId="77777777" w:rsidR="002706A4" w:rsidRPr="00FA71EA" w:rsidRDefault="002706A4" w:rsidP="00D34F97">
      <w:pPr>
        <w:numPr>
          <w:ilvl w:val="0"/>
          <w:numId w:val="194"/>
        </w:numPr>
        <w:autoSpaceDE w:val="0"/>
        <w:autoSpaceDN w:val="0"/>
        <w:adjustRightInd w:val="0"/>
        <w:spacing w:after="0" w:line="300" w:lineRule="atLeast"/>
        <w:ind w:left="924" w:hanging="357"/>
        <w:jc w:val="both"/>
        <w:rPr>
          <w:rFonts w:ascii="Times New Roman" w:hAnsi="Times New Roman" w:cs="Times New Roman"/>
          <w:sz w:val="24"/>
          <w:szCs w:val="24"/>
        </w:rPr>
      </w:pPr>
      <w:r w:rsidRPr="00FA71EA">
        <w:rPr>
          <w:rFonts w:ascii="Times New Roman" w:hAnsi="Times New Roman" w:cs="Times New Roman"/>
          <w:sz w:val="24"/>
          <w:szCs w:val="24"/>
        </w:rPr>
        <w:t>brak systemu do wykrywania fluorowanych gazów cieplarnianych dla urządzeń chłodniczych zawierających powyżej 500 ton ekwiwalentu CO</w:t>
      </w:r>
      <w:r w:rsidRPr="00FA71EA">
        <w:rPr>
          <w:rFonts w:ascii="Times New Roman" w:hAnsi="Times New Roman" w:cs="Times New Roman"/>
          <w:sz w:val="24"/>
          <w:szCs w:val="24"/>
          <w:vertAlign w:val="subscript"/>
        </w:rPr>
        <w:t>2</w:t>
      </w:r>
      <w:r w:rsidRPr="00FA71EA">
        <w:rPr>
          <w:rStyle w:val="Odwoanieprzypisudolnego"/>
          <w:rFonts w:cs="Times New Roman"/>
          <w:sz w:val="24"/>
          <w:szCs w:val="24"/>
        </w:rPr>
        <w:footnoteReference w:id="12"/>
      </w:r>
      <w:r>
        <w:rPr>
          <w:rFonts w:ascii="Times New Roman" w:hAnsi="Times New Roman" w:cs="Times New Roman"/>
          <w:sz w:val="24"/>
          <w:szCs w:val="24"/>
          <w:vertAlign w:val="subscript"/>
        </w:rPr>
        <w:t>,</w:t>
      </w:r>
      <w:r w:rsidRPr="00FA71EA">
        <w:rPr>
          <w:rFonts w:ascii="Times New Roman" w:hAnsi="Times New Roman" w:cs="Times New Roman"/>
          <w:sz w:val="24"/>
          <w:szCs w:val="24"/>
        </w:rPr>
        <w:t xml:space="preserve"> </w:t>
      </w:r>
    </w:p>
    <w:p w14:paraId="228C2F15" w14:textId="77777777" w:rsidR="002706A4" w:rsidRPr="00FA71EA" w:rsidRDefault="002706A4" w:rsidP="00D34F97">
      <w:pPr>
        <w:numPr>
          <w:ilvl w:val="0"/>
          <w:numId w:val="194"/>
        </w:numPr>
        <w:autoSpaceDE w:val="0"/>
        <w:autoSpaceDN w:val="0"/>
        <w:adjustRightInd w:val="0"/>
        <w:spacing w:after="0" w:line="300" w:lineRule="atLeast"/>
        <w:ind w:left="924" w:hanging="357"/>
        <w:jc w:val="both"/>
        <w:rPr>
          <w:rFonts w:ascii="Times New Roman" w:hAnsi="Times New Roman" w:cs="Times New Roman"/>
          <w:sz w:val="24"/>
          <w:szCs w:val="24"/>
        </w:rPr>
      </w:pPr>
      <w:r w:rsidRPr="00FA71EA">
        <w:rPr>
          <w:rFonts w:ascii="Times New Roman" w:hAnsi="Times New Roman" w:cs="Times New Roman"/>
          <w:sz w:val="24"/>
          <w:szCs w:val="24"/>
        </w:rPr>
        <w:t>niezastosowanie się do ograniczeń w zakresie wprowadzania do obrotu, sprzedaży i nabywania fluorowanych gazów cieplarnianych oraz produktów i urządzeń zawierających fluorowane gazy cieplarniane lub od nich uzależnionych, określonych w art. 11 lub 14-16 rozporządzenia (UE) nr 517/2014</w:t>
      </w:r>
      <w:r w:rsidRPr="00FA71EA">
        <w:rPr>
          <w:rStyle w:val="Odwoanieprzypisudolnego"/>
          <w:rFonts w:cs="Times New Roman"/>
          <w:sz w:val="24"/>
          <w:szCs w:val="24"/>
        </w:rPr>
        <w:footnoteReference w:id="13"/>
      </w:r>
      <w:r w:rsidRPr="00FA71EA">
        <w:rPr>
          <w:rFonts w:ascii="Times New Roman" w:hAnsi="Times New Roman" w:cs="Times New Roman"/>
          <w:sz w:val="24"/>
          <w:szCs w:val="24"/>
        </w:rPr>
        <w:t xml:space="preserve"> oraz ograniczeń</w:t>
      </w:r>
      <w:r w:rsidRPr="00FA71EA">
        <w:rPr>
          <w:rStyle w:val="Odwoanieprzypisudolnego"/>
          <w:rFonts w:cs="Times New Roman"/>
          <w:sz w:val="24"/>
          <w:szCs w:val="24"/>
        </w:rPr>
        <w:footnoteReference w:id="14"/>
      </w:r>
      <w:r>
        <w:rPr>
          <w:rFonts w:ascii="Times New Roman" w:hAnsi="Times New Roman" w:cs="Times New Roman"/>
          <w:sz w:val="24"/>
          <w:szCs w:val="24"/>
        </w:rPr>
        <w:t>,</w:t>
      </w:r>
    </w:p>
    <w:p w14:paraId="76F6ECED" w14:textId="77777777" w:rsidR="002706A4" w:rsidRPr="00FA71EA" w:rsidRDefault="002706A4" w:rsidP="00D34F97">
      <w:pPr>
        <w:numPr>
          <w:ilvl w:val="0"/>
          <w:numId w:val="194"/>
        </w:numPr>
        <w:autoSpaceDE w:val="0"/>
        <w:autoSpaceDN w:val="0"/>
        <w:adjustRightInd w:val="0"/>
        <w:spacing w:after="0" w:line="300" w:lineRule="atLeast"/>
        <w:ind w:left="924" w:hanging="357"/>
        <w:jc w:val="both"/>
        <w:rPr>
          <w:rFonts w:ascii="Times New Roman" w:hAnsi="Times New Roman" w:cs="Times New Roman"/>
          <w:sz w:val="24"/>
          <w:szCs w:val="24"/>
        </w:rPr>
      </w:pPr>
      <w:r w:rsidRPr="00FA71EA">
        <w:rPr>
          <w:rFonts w:ascii="Times New Roman" w:hAnsi="Times New Roman" w:cs="Times New Roman"/>
          <w:sz w:val="24"/>
          <w:szCs w:val="24"/>
        </w:rPr>
        <w:t>zastosowanie po 1 stycznia 2020 r. niepochodzących z recyklingu czy regeneracji fluorowanych gazów cieplarnianych o współczynniku ocieplenia globalnego (GWP) powyżej 2500 - wbrew art. 13 ust. 3 rozporządzenia Parlamentu Europejskiego i Rady (UE) nr 517/2014</w:t>
      </w:r>
      <w:r>
        <w:rPr>
          <w:rFonts w:ascii="Times New Roman" w:hAnsi="Times New Roman" w:cs="Times New Roman"/>
          <w:sz w:val="24"/>
          <w:szCs w:val="24"/>
        </w:rPr>
        <w:t>,</w:t>
      </w:r>
    </w:p>
    <w:p w14:paraId="79EC380E" w14:textId="77777777" w:rsidR="002706A4" w:rsidRPr="00FA71EA" w:rsidRDefault="002706A4" w:rsidP="00D34F97">
      <w:pPr>
        <w:numPr>
          <w:ilvl w:val="0"/>
          <w:numId w:val="194"/>
        </w:numPr>
        <w:autoSpaceDE w:val="0"/>
        <w:autoSpaceDN w:val="0"/>
        <w:adjustRightInd w:val="0"/>
        <w:spacing w:after="0" w:line="300" w:lineRule="atLeast"/>
        <w:ind w:left="924" w:hanging="357"/>
        <w:jc w:val="both"/>
        <w:rPr>
          <w:rFonts w:ascii="Times New Roman" w:hAnsi="Times New Roman" w:cs="Times New Roman"/>
          <w:sz w:val="24"/>
          <w:szCs w:val="24"/>
        </w:rPr>
      </w:pPr>
      <w:r w:rsidRPr="00FA71EA">
        <w:rPr>
          <w:rFonts w:ascii="Times New Roman" w:hAnsi="Times New Roman" w:cs="Times New Roman"/>
          <w:sz w:val="24"/>
          <w:szCs w:val="24"/>
        </w:rPr>
        <w:lastRenderedPageBreak/>
        <w:t>niezastosowanie się do ograniczeń w stosowaniu czynnika R-22 wbrew zakazowi wynikającemu z rozporządzenia 1005/2009</w:t>
      </w:r>
      <w:r>
        <w:rPr>
          <w:rFonts w:ascii="Times New Roman" w:hAnsi="Times New Roman" w:cs="Times New Roman"/>
          <w:sz w:val="24"/>
          <w:szCs w:val="24"/>
        </w:rPr>
        <w:t>,</w:t>
      </w:r>
    </w:p>
    <w:p w14:paraId="762F69F1" w14:textId="77777777" w:rsidR="002706A4" w:rsidRPr="00FA71EA" w:rsidRDefault="002706A4" w:rsidP="00D34F97">
      <w:pPr>
        <w:numPr>
          <w:ilvl w:val="0"/>
          <w:numId w:val="194"/>
        </w:numPr>
        <w:autoSpaceDE w:val="0"/>
        <w:autoSpaceDN w:val="0"/>
        <w:adjustRightInd w:val="0"/>
        <w:spacing w:after="0" w:line="300" w:lineRule="atLeast"/>
        <w:ind w:left="924" w:hanging="357"/>
        <w:jc w:val="both"/>
        <w:rPr>
          <w:rFonts w:ascii="Times New Roman" w:hAnsi="Times New Roman" w:cs="Times New Roman"/>
          <w:sz w:val="24"/>
          <w:szCs w:val="24"/>
        </w:rPr>
      </w:pPr>
      <w:r w:rsidRPr="00FA71EA">
        <w:rPr>
          <w:rFonts w:ascii="Times New Roman" w:hAnsi="Times New Roman" w:cs="Times New Roman"/>
          <w:sz w:val="24"/>
          <w:szCs w:val="24"/>
        </w:rPr>
        <w:t>brak audytu przeprowadzonego przez niezależnego audytora lub niezgodnie z</w:t>
      </w:r>
      <w:r>
        <w:rPr>
          <w:rFonts w:ascii="Times New Roman" w:hAnsi="Times New Roman" w:cs="Times New Roman"/>
          <w:sz w:val="24"/>
          <w:szCs w:val="24"/>
        </w:rPr>
        <w:t> </w:t>
      </w:r>
      <w:r w:rsidRPr="00FA71EA">
        <w:rPr>
          <w:rFonts w:ascii="Times New Roman" w:hAnsi="Times New Roman" w:cs="Times New Roman"/>
          <w:sz w:val="24"/>
          <w:szCs w:val="24"/>
        </w:rPr>
        <w:t>wymogami prawa przeprowadzony audyt</w:t>
      </w:r>
      <w:r>
        <w:rPr>
          <w:rFonts w:ascii="Times New Roman" w:hAnsi="Times New Roman" w:cs="Times New Roman"/>
          <w:sz w:val="24"/>
          <w:szCs w:val="24"/>
        </w:rPr>
        <w:t>,</w:t>
      </w:r>
    </w:p>
    <w:p w14:paraId="1400424E" w14:textId="77777777" w:rsidR="002706A4" w:rsidRPr="00FA71EA" w:rsidRDefault="002706A4" w:rsidP="00D34F97">
      <w:pPr>
        <w:numPr>
          <w:ilvl w:val="0"/>
          <w:numId w:val="194"/>
        </w:numPr>
        <w:autoSpaceDE w:val="0"/>
        <w:autoSpaceDN w:val="0"/>
        <w:adjustRightInd w:val="0"/>
        <w:spacing w:after="120" w:line="300" w:lineRule="atLeast"/>
        <w:ind w:left="924" w:hanging="357"/>
        <w:jc w:val="both"/>
        <w:rPr>
          <w:rFonts w:ascii="Times New Roman" w:hAnsi="Times New Roman" w:cs="Times New Roman"/>
          <w:sz w:val="24"/>
          <w:szCs w:val="24"/>
        </w:rPr>
      </w:pPr>
      <w:r w:rsidRPr="00FA71EA">
        <w:rPr>
          <w:rFonts w:ascii="Times New Roman" w:hAnsi="Times New Roman" w:cs="Times New Roman"/>
          <w:sz w:val="24"/>
          <w:szCs w:val="24"/>
        </w:rPr>
        <w:t>niezapewnienie kontroli systemu wykrywania wycieków w odpowiednich terminach</w:t>
      </w:r>
      <w:r>
        <w:rPr>
          <w:rFonts w:ascii="Times New Roman" w:hAnsi="Times New Roman" w:cs="Times New Roman"/>
          <w:sz w:val="24"/>
          <w:szCs w:val="24"/>
        </w:rPr>
        <w:t>.</w:t>
      </w:r>
    </w:p>
    <w:p w14:paraId="68FC78A2" w14:textId="77777777" w:rsidR="002706A4" w:rsidRPr="00FA71EA" w:rsidRDefault="002706A4" w:rsidP="009C0D13">
      <w:pPr>
        <w:pStyle w:val="Tabiki"/>
        <w:spacing w:after="60" w:line="300" w:lineRule="atLeast"/>
        <w:ind w:left="0" w:firstLine="567"/>
        <w:rPr>
          <w:b w:val="0"/>
          <w:szCs w:val="24"/>
        </w:rPr>
      </w:pPr>
      <w:r w:rsidRPr="00FA71EA">
        <w:rPr>
          <w:b w:val="0"/>
          <w:szCs w:val="24"/>
        </w:rPr>
        <w:t>W związku ze stwierdzonymi w trakcie kontroli ww. nieprawidłowościami podjęto następujące działania pokontrolne:</w:t>
      </w:r>
    </w:p>
    <w:p w14:paraId="38ACD7F0" w14:textId="77777777" w:rsidR="002706A4" w:rsidRPr="0022443E" w:rsidRDefault="002706A4" w:rsidP="00D34F97">
      <w:pPr>
        <w:numPr>
          <w:ilvl w:val="0"/>
          <w:numId w:val="195"/>
        </w:numPr>
        <w:autoSpaceDE w:val="0"/>
        <w:autoSpaceDN w:val="0"/>
        <w:adjustRightInd w:val="0"/>
        <w:spacing w:after="0" w:line="300" w:lineRule="atLeast"/>
        <w:ind w:left="924" w:hanging="357"/>
        <w:rPr>
          <w:rFonts w:ascii="Times New Roman" w:hAnsi="Times New Roman" w:cs="Times New Roman"/>
          <w:sz w:val="24"/>
          <w:szCs w:val="24"/>
        </w:rPr>
      </w:pPr>
      <w:r w:rsidRPr="00FA71EA">
        <w:rPr>
          <w:rFonts w:ascii="Times New Roman" w:hAnsi="Times New Roman" w:cs="Times New Roman"/>
          <w:sz w:val="24"/>
          <w:szCs w:val="24"/>
        </w:rPr>
        <w:t xml:space="preserve">wydano </w:t>
      </w:r>
      <w:r w:rsidRPr="00BC4645">
        <w:rPr>
          <w:rFonts w:ascii="Times New Roman" w:hAnsi="Times New Roman" w:cs="Times New Roman"/>
          <w:sz w:val="24"/>
          <w:szCs w:val="24"/>
        </w:rPr>
        <w:t xml:space="preserve">137 </w:t>
      </w:r>
      <w:r w:rsidRPr="00805F42">
        <w:rPr>
          <w:rFonts w:ascii="Times New Roman" w:hAnsi="Times New Roman" w:cs="Times New Roman"/>
          <w:sz w:val="24"/>
          <w:szCs w:val="24"/>
        </w:rPr>
        <w:t>zarządzeń pokontrolnych,</w:t>
      </w:r>
    </w:p>
    <w:p w14:paraId="59E4DA0B" w14:textId="77777777" w:rsidR="002706A4" w:rsidRPr="0022443E" w:rsidRDefault="002706A4" w:rsidP="00D34F97">
      <w:pPr>
        <w:numPr>
          <w:ilvl w:val="0"/>
          <w:numId w:val="195"/>
        </w:numPr>
        <w:autoSpaceDE w:val="0"/>
        <w:autoSpaceDN w:val="0"/>
        <w:adjustRightInd w:val="0"/>
        <w:spacing w:after="0" w:line="300" w:lineRule="atLeast"/>
        <w:ind w:left="924" w:hanging="357"/>
        <w:rPr>
          <w:rFonts w:ascii="Times New Roman" w:hAnsi="Times New Roman" w:cs="Times New Roman"/>
          <w:sz w:val="24"/>
          <w:szCs w:val="24"/>
        </w:rPr>
      </w:pPr>
      <w:r w:rsidRPr="00F87EA6">
        <w:rPr>
          <w:rFonts w:ascii="Times New Roman" w:hAnsi="Times New Roman" w:cs="Times New Roman"/>
          <w:sz w:val="24"/>
          <w:szCs w:val="24"/>
        </w:rPr>
        <w:t xml:space="preserve">udzielono </w:t>
      </w:r>
      <w:r w:rsidRPr="00BC4645">
        <w:rPr>
          <w:rFonts w:ascii="Times New Roman" w:hAnsi="Times New Roman" w:cs="Times New Roman"/>
          <w:sz w:val="24"/>
          <w:szCs w:val="24"/>
        </w:rPr>
        <w:t>84</w:t>
      </w:r>
      <w:r w:rsidRPr="00805F42">
        <w:rPr>
          <w:rFonts w:ascii="Times New Roman" w:hAnsi="Times New Roman" w:cs="Times New Roman"/>
          <w:sz w:val="24"/>
          <w:szCs w:val="24"/>
        </w:rPr>
        <w:t xml:space="preserve"> instruktaży, </w:t>
      </w:r>
    </w:p>
    <w:p w14:paraId="576229F8" w14:textId="77777777" w:rsidR="00CB3B76" w:rsidRDefault="002706A4" w:rsidP="00CB3B76">
      <w:pPr>
        <w:pStyle w:val="Akapitzlist"/>
        <w:numPr>
          <w:ilvl w:val="0"/>
          <w:numId w:val="195"/>
        </w:numPr>
        <w:tabs>
          <w:tab w:val="left" w:pos="142"/>
        </w:tabs>
        <w:spacing w:line="300" w:lineRule="atLeast"/>
        <w:ind w:left="924" w:hanging="357"/>
        <w:contextualSpacing w:val="0"/>
        <w:jc w:val="both"/>
        <w:rPr>
          <w:sz w:val="24"/>
          <w:szCs w:val="24"/>
        </w:rPr>
      </w:pPr>
      <w:r w:rsidRPr="0022443E">
        <w:rPr>
          <w:sz w:val="24"/>
          <w:szCs w:val="24"/>
        </w:rPr>
        <w:t xml:space="preserve">wszczęto </w:t>
      </w:r>
      <w:r w:rsidRPr="00BC4645">
        <w:rPr>
          <w:sz w:val="24"/>
          <w:szCs w:val="24"/>
        </w:rPr>
        <w:t>346</w:t>
      </w:r>
      <w:r w:rsidRPr="00805F42">
        <w:rPr>
          <w:sz w:val="24"/>
          <w:szCs w:val="24"/>
        </w:rPr>
        <w:t xml:space="preserve"> postępowań administracyjnych w celu nałożenia kar pieniężnych,</w:t>
      </w:r>
    </w:p>
    <w:p w14:paraId="403FF2B7" w14:textId="46F37CB8" w:rsidR="00CB3B76" w:rsidRPr="00BE5A92" w:rsidRDefault="00CB3B76" w:rsidP="00FE017E">
      <w:pPr>
        <w:pStyle w:val="Akapitzlist"/>
        <w:numPr>
          <w:ilvl w:val="0"/>
          <w:numId w:val="195"/>
        </w:numPr>
        <w:tabs>
          <w:tab w:val="left" w:pos="142"/>
        </w:tabs>
        <w:spacing w:line="300" w:lineRule="atLeast"/>
        <w:ind w:left="924" w:hanging="357"/>
        <w:contextualSpacing w:val="0"/>
        <w:jc w:val="both"/>
        <w:rPr>
          <w:sz w:val="24"/>
          <w:szCs w:val="24"/>
        </w:rPr>
      </w:pPr>
      <w:r>
        <w:rPr>
          <w:sz w:val="24"/>
          <w:szCs w:val="24"/>
          <w:lang w:val="pl-PL"/>
        </w:rPr>
        <w:t xml:space="preserve">wydano 83 </w:t>
      </w:r>
      <w:r w:rsidR="00FE017E">
        <w:rPr>
          <w:sz w:val="24"/>
          <w:szCs w:val="24"/>
          <w:lang w:val="pl-PL"/>
        </w:rPr>
        <w:t xml:space="preserve">ostateczne </w:t>
      </w:r>
      <w:r>
        <w:rPr>
          <w:sz w:val="24"/>
          <w:szCs w:val="24"/>
          <w:lang w:val="pl-PL"/>
        </w:rPr>
        <w:t xml:space="preserve">decyzje </w:t>
      </w:r>
      <w:r w:rsidRPr="00BE5A92">
        <w:rPr>
          <w:sz w:val="24"/>
          <w:szCs w:val="24"/>
        </w:rPr>
        <w:t xml:space="preserve">administracyjne </w:t>
      </w:r>
      <w:r w:rsidR="00B35291">
        <w:rPr>
          <w:sz w:val="24"/>
          <w:szCs w:val="24"/>
          <w:lang w:val="pl-PL"/>
        </w:rPr>
        <w:t>wymierzające</w:t>
      </w:r>
      <w:r w:rsidRPr="00BE5A92">
        <w:rPr>
          <w:sz w:val="24"/>
          <w:szCs w:val="24"/>
        </w:rPr>
        <w:t xml:space="preserve"> kary pieniężne</w:t>
      </w:r>
      <w:r w:rsidR="00FE017E">
        <w:rPr>
          <w:sz w:val="24"/>
          <w:szCs w:val="24"/>
          <w:lang w:val="pl-PL"/>
        </w:rPr>
        <w:t xml:space="preserve"> dla postępowań wszczętych w roku 2021</w:t>
      </w:r>
      <w:r w:rsidR="003570C1">
        <w:rPr>
          <w:sz w:val="24"/>
          <w:szCs w:val="24"/>
          <w:lang w:val="pl-PL"/>
        </w:rPr>
        <w:t>,</w:t>
      </w:r>
    </w:p>
    <w:p w14:paraId="3EED001E" w14:textId="55E8B505" w:rsidR="00222619" w:rsidRPr="00222619" w:rsidRDefault="002706A4" w:rsidP="00D34F97">
      <w:pPr>
        <w:pStyle w:val="Akapitzlist"/>
        <w:numPr>
          <w:ilvl w:val="0"/>
          <w:numId w:val="195"/>
        </w:numPr>
        <w:tabs>
          <w:tab w:val="left" w:pos="142"/>
        </w:tabs>
        <w:spacing w:line="300" w:lineRule="atLeast"/>
        <w:ind w:left="924" w:hanging="357"/>
        <w:contextualSpacing w:val="0"/>
        <w:jc w:val="both"/>
        <w:rPr>
          <w:sz w:val="24"/>
          <w:szCs w:val="24"/>
        </w:rPr>
      </w:pPr>
      <w:r w:rsidRPr="0022443E">
        <w:rPr>
          <w:sz w:val="24"/>
          <w:szCs w:val="24"/>
        </w:rPr>
        <w:t xml:space="preserve">w </w:t>
      </w:r>
      <w:r w:rsidRPr="00BC4645">
        <w:rPr>
          <w:sz w:val="24"/>
          <w:szCs w:val="24"/>
        </w:rPr>
        <w:t>13</w:t>
      </w:r>
      <w:r w:rsidRPr="00805F42">
        <w:rPr>
          <w:sz w:val="24"/>
          <w:szCs w:val="24"/>
        </w:rPr>
        <w:t xml:space="preserve"> przypadkach</w:t>
      </w:r>
      <w:r w:rsidRPr="00FA71EA">
        <w:rPr>
          <w:sz w:val="24"/>
          <w:szCs w:val="24"/>
        </w:rPr>
        <w:t xml:space="preserve"> wystąpiono do innych organów o podjęcie właściwych działań zgodnie z ich kompetencjami</w:t>
      </w:r>
      <w:r w:rsidR="003570C1">
        <w:rPr>
          <w:sz w:val="24"/>
          <w:szCs w:val="24"/>
          <w:lang w:val="pl-PL"/>
        </w:rPr>
        <w:t>.</w:t>
      </w:r>
    </w:p>
    <w:p w14:paraId="7272FA7B" w14:textId="5A4FBA19" w:rsidR="00217FB6" w:rsidRPr="007F400A" w:rsidRDefault="00217FB6" w:rsidP="00056EE7">
      <w:pPr>
        <w:spacing w:after="0" w:line="300" w:lineRule="atLeast"/>
        <w:rPr>
          <w:rFonts w:ascii="Times New Roman" w:eastAsia="Calibri" w:hAnsi="Times New Roman" w:cs="Times New Roman"/>
          <w:sz w:val="20"/>
          <w:szCs w:val="20"/>
          <w:lang w:eastAsia="pl-PL"/>
        </w:rPr>
      </w:pPr>
    </w:p>
    <w:p w14:paraId="54C9EE22" w14:textId="77777777" w:rsidR="00217FB6" w:rsidRPr="007F400A" w:rsidRDefault="00217FB6" w:rsidP="009C0D13">
      <w:pPr>
        <w:pStyle w:val="Akapitzlist"/>
        <w:spacing w:after="120" w:line="300" w:lineRule="atLeast"/>
        <w:ind w:left="567" w:hanging="567"/>
        <w:contextualSpacing w:val="0"/>
        <w:jc w:val="both"/>
        <w:outlineLvl w:val="0"/>
        <w:rPr>
          <w:b/>
          <w:sz w:val="24"/>
          <w:szCs w:val="24"/>
        </w:rPr>
      </w:pPr>
      <w:bookmarkStart w:id="104" w:name="_Toc41657952"/>
      <w:bookmarkStart w:id="105" w:name="_Toc135935599"/>
      <w:r w:rsidRPr="007F400A">
        <w:rPr>
          <w:b/>
          <w:bCs/>
          <w:color w:val="000000"/>
          <w:sz w:val="24"/>
          <w:szCs w:val="24"/>
        </w:rPr>
        <w:t>3.3.9</w:t>
      </w:r>
      <w:r w:rsidRPr="007F400A">
        <w:rPr>
          <w:b/>
          <w:color w:val="FF0000"/>
          <w:sz w:val="24"/>
          <w:szCs w:val="24"/>
        </w:rPr>
        <w:t xml:space="preserve"> </w:t>
      </w:r>
      <w:bookmarkEnd w:id="104"/>
      <w:r w:rsidRPr="007F400A">
        <w:rPr>
          <w:b/>
          <w:sz w:val="24"/>
          <w:szCs w:val="24"/>
        </w:rPr>
        <w:t>Kontrole producentów i użytkowników produktów zawierających lotne związki organiczne</w:t>
      </w:r>
      <w:bookmarkEnd w:id="105"/>
    </w:p>
    <w:p w14:paraId="2635EA8C" w14:textId="77777777" w:rsidR="00F32A02" w:rsidRPr="00130309" w:rsidRDefault="00F32A02" w:rsidP="009C0D13">
      <w:pPr>
        <w:spacing w:after="0" w:line="300" w:lineRule="atLeast"/>
        <w:ind w:firstLine="567"/>
        <w:jc w:val="both"/>
        <w:rPr>
          <w:rFonts w:ascii="Times New Roman" w:hAnsi="Times New Roman" w:cs="Times New Roman"/>
          <w:sz w:val="24"/>
          <w:szCs w:val="24"/>
        </w:rPr>
      </w:pPr>
      <w:r w:rsidRPr="00130309">
        <w:rPr>
          <w:rFonts w:ascii="Times New Roman" w:hAnsi="Times New Roman" w:cs="Times New Roman"/>
          <w:sz w:val="24"/>
          <w:szCs w:val="24"/>
        </w:rPr>
        <w:t>W 202</w:t>
      </w:r>
      <w:r>
        <w:rPr>
          <w:rFonts w:ascii="Times New Roman" w:hAnsi="Times New Roman" w:cs="Times New Roman"/>
          <w:sz w:val="24"/>
          <w:szCs w:val="24"/>
        </w:rPr>
        <w:t>2</w:t>
      </w:r>
      <w:r w:rsidRPr="00130309">
        <w:rPr>
          <w:rFonts w:ascii="Times New Roman" w:hAnsi="Times New Roman" w:cs="Times New Roman"/>
          <w:sz w:val="24"/>
          <w:szCs w:val="24"/>
        </w:rPr>
        <w:t xml:space="preserve"> r. wojewódzcy inspektorzy ochrony środowiska przeprowadzili 8</w:t>
      </w:r>
      <w:r>
        <w:rPr>
          <w:rFonts w:ascii="Times New Roman" w:hAnsi="Times New Roman" w:cs="Times New Roman"/>
          <w:sz w:val="24"/>
          <w:szCs w:val="24"/>
        </w:rPr>
        <w:t>6</w:t>
      </w:r>
      <w:r w:rsidRPr="00130309">
        <w:rPr>
          <w:rFonts w:ascii="Times New Roman" w:hAnsi="Times New Roman" w:cs="Times New Roman"/>
          <w:sz w:val="24"/>
          <w:szCs w:val="24"/>
        </w:rPr>
        <w:t xml:space="preserve"> kontroli w</w:t>
      </w:r>
      <w:r>
        <w:rPr>
          <w:rFonts w:ascii="Times New Roman" w:hAnsi="Times New Roman" w:cs="Times New Roman"/>
          <w:sz w:val="24"/>
          <w:szCs w:val="24"/>
        </w:rPr>
        <w:t> </w:t>
      </w:r>
      <w:r w:rsidRPr="00130309">
        <w:rPr>
          <w:rFonts w:ascii="Times New Roman" w:hAnsi="Times New Roman" w:cs="Times New Roman"/>
          <w:sz w:val="24"/>
          <w:szCs w:val="24"/>
        </w:rPr>
        <w:t>terenie u producentów i użytkowników produktów zawierających lotne związki organiczne (LZO)</w:t>
      </w:r>
      <w:r>
        <w:rPr>
          <w:rFonts w:ascii="Times New Roman" w:hAnsi="Times New Roman" w:cs="Times New Roman"/>
          <w:sz w:val="24"/>
          <w:szCs w:val="24"/>
        </w:rPr>
        <w:t xml:space="preserve"> </w:t>
      </w:r>
      <w:r w:rsidRPr="00130309">
        <w:rPr>
          <w:rFonts w:ascii="Times New Roman" w:hAnsi="Times New Roman" w:cs="Times New Roman"/>
          <w:sz w:val="24"/>
          <w:szCs w:val="24"/>
        </w:rPr>
        <w:t xml:space="preserve">w zakresie spełniania wymagań określonych w rozporządzeniu Ministra Rozwoju z dnia 8 sierpnia 2016 r. </w:t>
      </w:r>
      <w:r w:rsidRPr="009C0D13">
        <w:rPr>
          <w:rFonts w:ascii="Times New Roman" w:hAnsi="Times New Roman" w:cs="Times New Roman"/>
          <w:sz w:val="24"/>
          <w:szCs w:val="24"/>
        </w:rPr>
        <w:t>w sprawie ograniczenia emisji lotnych związków organicznych zawartych w niektórych farbach i lakierach przeznaczonych do malowania budynków i ich elementów wykończeniowych, wyposażeniowych oraz związanych z budynkami i tymi elementami konstrukcji oraz w mieszaninach do odnawiania pojazdów</w:t>
      </w:r>
      <w:r>
        <w:rPr>
          <w:rStyle w:val="Odwoanieprzypisudolnego"/>
          <w:sz w:val="24"/>
          <w:szCs w:val="24"/>
        </w:rPr>
        <w:footnoteReference w:id="15"/>
      </w:r>
      <w:r w:rsidRPr="00130309">
        <w:rPr>
          <w:rFonts w:ascii="Times New Roman" w:hAnsi="Times New Roman" w:cs="Times New Roman"/>
          <w:sz w:val="24"/>
          <w:szCs w:val="24"/>
        </w:rPr>
        <w:t>, dalej zwanym „rozporządzeniem Ministra Rozwoju”. Kontrolami objęto 6</w:t>
      </w:r>
      <w:r>
        <w:rPr>
          <w:rFonts w:ascii="Times New Roman" w:hAnsi="Times New Roman" w:cs="Times New Roman"/>
          <w:sz w:val="24"/>
          <w:szCs w:val="24"/>
        </w:rPr>
        <w:t>8</w:t>
      </w:r>
      <w:r w:rsidRPr="00130309">
        <w:rPr>
          <w:rFonts w:ascii="Times New Roman" w:hAnsi="Times New Roman" w:cs="Times New Roman"/>
          <w:sz w:val="24"/>
          <w:szCs w:val="24"/>
        </w:rPr>
        <w:t xml:space="preserve"> użytkowników i</w:t>
      </w:r>
      <w:r>
        <w:rPr>
          <w:rFonts w:ascii="Times New Roman" w:hAnsi="Times New Roman" w:cs="Times New Roman"/>
          <w:sz w:val="24"/>
          <w:szCs w:val="24"/>
        </w:rPr>
        <w:t> </w:t>
      </w:r>
      <w:r w:rsidRPr="00130309">
        <w:rPr>
          <w:rFonts w:ascii="Times New Roman" w:hAnsi="Times New Roman" w:cs="Times New Roman"/>
          <w:sz w:val="24"/>
          <w:szCs w:val="24"/>
        </w:rPr>
        <w:t>1</w:t>
      </w:r>
      <w:r>
        <w:rPr>
          <w:rFonts w:ascii="Times New Roman" w:hAnsi="Times New Roman" w:cs="Times New Roman"/>
          <w:sz w:val="24"/>
          <w:szCs w:val="24"/>
        </w:rPr>
        <w:t>8 </w:t>
      </w:r>
      <w:r w:rsidRPr="00130309">
        <w:rPr>
          <w:rFonts w:ascii="Times New Roman" w:hAnsi="Times New Roman" w:cs="Times New Roman"/>
          <w:sz w:val="24"/>
          <w:szCs w:val="24"/>
        </w:rPr>
        <w:t>producentów.</w:t>
      </w:r>
    </w:p>
    <w:p w14:paraId="7D73CB4E" w14:textId="77777777" w:rsidR="00F32A02" w:rsidRDefault="00F32A02" w:rsidP="00056EE7">
      <w:pPr>
        <w:spacing w:after="40" w:line="300" w:lineRule="atLeast"/>
        <w:ind w:firstLine="567"/>
        <w:jc w:val="both"/>
        <w:rPr>
          <w:rFonts w:ascii="Times New Roman" w:hAnsi="Times New Roman" w:cs="Times New Roman"/>
          <w:sz w:val="24"/>
          <w:szCs w:val="24"/>
        </w:rPr>
      </w:pPr>
      <w:r w:rsidRPr="00130309">
        <w:rPr>
          <w:rFonts w:ascii="Times New Roman" w:hAnsi="Times New Roman" w:cs="Times New Roman"/>
          <w:sz w:val="24"/>
          <w:szCs w:val="24"/>
        </w:rPr>
        <w:t>Łącznie, podczas przeprowadzonych kontroli, dokonano sprawdzenia</w:t>
      </w:r>
      <w:r>
        <w:rPr>
          <w:rFonts w:ascii="Times New Roman" w:hAnsi="Times New Roman" w:cs="Times New Roman"/>
          <w:sz w:val="24"/>
          <w:szCs w:val="24"/>
        </w:rPr>
        <w:t xml:space="preserve"> 689</w:t>
      </w:r>
      <w:r w:rsidRPr="00130309">
        <w:rPr>
          <w:rFonts w:ascii="Times New Roman" w:hAnsi="Times New Roman" w:cs="Times New Roman"/>
          <w:sz w:val="24"/>
          <w:szCs w:val="24"/>
        </w:rPr>
        <w:t xml:space="preserve"> produktów pod kątem zawartości LZO, w tym do badań laboratoryjnych pobrano 2</w:t>
      </w:r>
      <w:r>
        <w:rPr>
          <w:rFonts w:ascii="Times New Roman" w:hAnsi="Times New Roman" w:cs="Times New Roman"/>
          <w:sz w:val="24"/>
          <w:szCs w:val="24"/>
        </w:rPr>
        <w:t>9</w:t>
      </w:r>
      <w:r w:rsidRPr="00130309">
        <w:rPr>
          <w:rFonts w:ascii="Times New Roman" w:hAnsi="Times New Roman" w:cs="Times New Roman"/>
          <w:sz w:val="24"/>
          <w:szCs w:val="24"/>
        </w:rPr>
        <w:t xml:space="preserve"> próbek. W żadnym przypadku nie stwierdzono przekroczenia dopuszczalnej maksymalnej zawartości LZO, określonej w załączniku nr 1 do rozporządzenia Ministra Rozwoju</w:t>
      </w:r>
      <w:r>
        <w:rPr>
          <w:rFonts w:ascii="Times New Roman" w:hAnsi="Times New Roman" w:cs="Times New Roman"/>
          <w:sz w:val="24"/>
          <w:szCs w:val="24"/>
        </w:rPr>
        <w:t>.</w:t>
      </w:r>
    </w:p>
    <w:p w14:paraId="5E4B765B" w14:textId="77777777" w:rsidR="00F32A02" w:rsidRPr="008B78F6" w:rsidRDefault="00F32A02" w:rsidP="000D0382">
      <w:pPr>
        <w:spacing w:after="60" w:line="300" w:lineRule="atLeast"/>
        <w:ind w:firstLine="567"/>
        <w:jc w:val="both"/>
        <w:rPr>
          <w:rFonts w:ascii="Times New Roman" w:hAnsi="Times New Roman" w:cs="Times New Roman"/>
          <w:sz w:val="24"/>
          <w:szCs w:val="24"/>
        </w:rPr>
      </w:pPr>
      <w:r w:rsidRPr="008B78F6">
        <w:rPr>
          <w:rFonts w:ascii="Times New Roman" w:hAnsi="Times New Roman" w:cs="Times New Roman"/>
          <w:sz w:val="24"/>
          <w:szCs w:val="24"/>
        </w:rPr>
        <w:t>W przypadku 2 kontroli producentów stwierdzono naruszenia przepisów w zakresie:</w:t>
      </w:r>
    </w:p>
    <w:p w14:paraId="10086730" w14:textId="77777777" w:rsidR="00F32A02" w:rsidRPr="00C341FC" w:rsidRDefault="00F32A02" w:rsidP="00D34F97">
      <w:pPr>
        <w:pStyle w:val="Akapitzlist"/>
        <w:numPr>
          <w:ilvl w:val="0"/>
          <w:numId w:val="215"/>
        </w:numPr>
        <w:spacing w:line="300" w:lineRule="atLeast"/>
        <w:ind w:left="924" w:hanging="357"/>
        <w:jc w:val="both"/>
        <w:rPr>
          <w:sz w:val="24"/>
          <w:szCs w:val="24"/>
        </w:rPr>
      </w:pPr>
      <w:r w:rsidRPr="00C341FC">
        <w:rPr>
          <w:sz w:val="24"/>
          <w:szCs w:val="24"/>
        </w:rPr>
        <w:t>rozbieżności między danymi odnośnie kwalifikacji produktów zawierających LZO,</w:t>
      </w:r>
    </w:p>
    <w:p w14:paraId="2D6B6605" w14:textId="77777777" w:rsidR="00F32A02" w:rsidRPr="00C341FC" w:rsidRDefault="00F32A02" w:rsidP="00D34F97">
      <w:pPr>
        <w:pStyle w:val="Akapitzlist"/>
        <w:numPr>
          <w:ilvl w:val="0"/>
          <w:numId w:val="215"/>
        </w:numPr>
        <w:spacing w:line="300" w:lineRule="atLeast"/>
        <w:ind w:left="924" w:hanging="357"/>
        <w:jc w:val="both"/>
        <w:rPr>
          <w:sz w:val="24"/>
          <w:szCs w:val="24"/>
        </w:rPr>
      </w:pPr>
      <w:r w:rsidRPr="00C341FC">
        <w:rPr>
          <w:sz w:val="24"/>
          <w:szCs w:val="24"/>
        </w:rPr>
        <w:t xml:space="preserve">danych umieszczanych na etykietach produktów, </w:t>
      </w:r>
    </w:p>
    <w:p w14:paraId="0C358F88" w14:textId="77777777" w:rsidR="00F32A02" w:rsidRPr="00C341FC" w:rsidRDefault="00F32A02" w:rsidP="00D34F97">
      <w:pPr>
        <w:pStyle w:val="Akapitzlist"/>
        <w:numPr>
          <w:ilvl w:val="0"/>
          <w:numId w:val="215"/>
        </w:numPr>
        <w:spacing w:after="60" w:line="300" w:lineRule="atLeast"/>
        <w:ind w:left="924" w:hanging="357"/>
        <w:contextualSpacing w:val="0"/>
        <w:jc w:val="both"/>
        <w:rPr>
          <w:sz w:val="24"/>
          <w:szCs w:val="24"/>
        </w:rPr>
      </w:pPr>
      <w:r w:rsidRPr="00C341FC">
        <w:rPr>
          <w:sz w:val="24"/>
          <w:szCs w:val="24"/>
        </w:rPr>
        <w:t>określenia zawartości LZO zgodnie z metodyką zawartą w rozporządzeniu Ministra Rozwoju.</w:t>
      </w:r>
    </w:p>
    <w:p w14:paraId="7DD01358" w14:textId="44A41E2E" w:rsidR="00F32A02" w:rsidRPr="008B78F6" w:rsidRDefault="00F32A02" w:rsidP="000D0382">
      <w:pPr>
        <w:spacing w:after="0" w:line="300" w:lineRule="atLeast"/>
        <w:ind w:firstLine="567"/>
        <w:jc w:val="both"/>
        <w:rPr>
          <w:rFonts w:ascii="Times New Roman" w:hAnsi="Times New Roman" w:cs="Times New Roman"/>
          <w:sz w:val="24"/>
          <w:szCs w:val="24"/>
        </w:rPr>
      </w:pPr>
      <w:r w:rsidRPr="008B78F6">
        <w:rPr>
          <w:rFonts w:ascii="Times New Roman" w:hAnsi="Times New Roman" w:cs="Times New Roman"/>
          <w:sz w:val="24"/>
          <w:szCs w:val="24"/>
        </w:rPr>
        <w:t>W wyniku stwierdzonych ww. nieprawidłowości wydano zarządzenie pokontrolne, którym zobowiązano przedsiębiorcę do wykonywania obowiązków określonych</w:t>
      </w:r>
      <w:r w:rsidR="000D0382">
        <w:rPr>
          <w:rFonts w:ascii="Times New Roman" w:hAnsi="Times New Roman" w:cs="Times New Roman"/>
          <w:sz w:val="24"/>
          <w:szCs w:val="24"/>
        </w:rPr>
        <w:t xml:space="preserve"> </w:t>
      </w:r>
      <w:r w:rsidRPr="008B78F6">
        <w:rPr>
          <w:rFonts w:ascii="Times New Roman" w:hAnsi="Times New Roman" w:cs="Times New Roman"/>
          <w:sz w:val="24"/>
          <w:szCs w:val="24"/>
        </w:rPr>
        <w:t>w</w:t>
      </w:r>
      <w:r>
        <w:rPr>
          <w:rFonts w:ascii="Times New Roman" w:hAnsi="Times New Roman" w:cs="Times New Roman"/>
          <w:sz w:val="24"/>
          <w:szCs w:val="24"/>
        </w:rPr>
        <w:t> </w:t>
      </w:r>
      <w:r w:rsidRPr="008B78F6">
        <w:rPr>
          <w:rFonts w:ascii="Times New Roman" w:hAnsi="Times New Roman" w:cs="Times New Roman"/>
          <w:sz w:val="24"/>
          <w:szCs w:val="24"/>
        </w:rPr>
        <w:t xml:space="preserve">rozporządzeniu Ministra Rozwoju oraz nałożono jeden mandat karny na podstawie art. 348 ustawy </w:t>
      </w:r>
      <w:r w:rsidRPr="002A6FD9">
        <w:rPr>
          <w:rFonts w:ascii="Times New Roman" w:hAnsi="Times New Roman" w:cs="Times New Roman"/>
          <w:sz w:val="24"/>
          <w:szCs w:val="24"/>
        </w:rPr>
        <w:t>Prawo ochrony środowiska.</w:t>
      </w:r>
    </w:p>
    <w:p w14:paraId="3FA32CDF" w14:textId="328306FD" w:rsidR="00217FB6" w:rsidRPr="007F400A" w:rsidRDefault="00F32A02" w:rsidP="00056EE7">
      <w:pPr>
        <w:spacing w:after="0" w:line="300" w:lineRule="atLeast"/>
        <w:ind w:firstLine="567"/>
        <w:jc w:val="both"/>
        <w:rPr>
          <w:rFonts w:ascii="Times New Roman" w:eastAsia="Calibri" w:hAnsi="Times New Roman" w:cs="Times New Roman"/>
          <w:sz w:val="20"/>
          <w:szCs w:val="20"/>
          <w:lang w:eastAsia="pl-PL"/>
        </w:rPr>
      </w:pPr>
      <w:r w:rsidRPr="008B78F6">
        <w:rPr>
          <w:rFonts w:ascii="Times New Roman" w:hAnsi="Times New Roman" w:cs="Times New Roman"/>
          <w:sz w:val="24"/>
          <w:szCs w:val="24"/>
        </w:rPr>
        <w:t>W ramach przeprowadzonych 5 kontroli użytkowników produktów zawierających LZO, skierowano 3 wystąpienia pokontrolne do właściwych ze względu na siedzibę producenta produktu zawierającego LZO wojewódzkich inspektorów ochrony środowiska oraz 7</w:t>
      </w:r>
      <w:r>
        <w:rPr>
          <w:rFonts w:ascii="Times New Roman" w:hAnsi="Times New Roman" w:cs="Times New Roman"/>
          <w:sz w:val="24"/>
          <w:szCs w:val="24"/>
        </w:rPr>
        <w:t> </w:t>
      </w:r>
      <w:r w:rsidRPr="008B78F6">
        <w:rPr>
          <w:rFonts w:ascii="Times New Roman" w:hAnsi="Times New Roman" w:cs="Times New Roman"/>
          <w:sz w:val="24"/>
          <w:szCs w:val="24"/>
        </w:rPr>
        <w:t xml:space="preserve">wystąpień do wojewódzkich inspektorów inspekcji handlowej prowadzących kontrole produktów znajdujących się w obrocie handlowym. Celem powyższych wystąpień było </w:t>
      </w:r>
      <w:r w:rsidRPr="008B78F6">
        <w:rPr>
          <w:rFonts w:ascii="Times New Roman" w:hAnsi="Times New Roman" w:cs="Times New Roman"/>
          <w:sz w:val="24"/>
          <w:szCs w:val="24"/>
        </w:rPr>
        <w:lastRenderedPageBreak/>
        <w:t>poinformowanie o ustaleniach oraz złożenie wniosków o przeprowadzenie kontroli zgodnie z</w:t>
      </w:r>
      <w:r>
        <w:rPr>
          <w:rFonts w:ascii="Times New Roman" w:hAnsi="Times New Roman" w:cs="Times New Roman"/>
          <w:sz w:val="24"/>
          <w:szCs w:val="24"/>
        </w:rPr>
        <w:t> </w:t>
      </w:r>
      <w:r w:rsidRPr="008B78F6">
        <w:rPr>
          <w:rFonts w:ascii="Times New Roman" w:hAnsi="Times New Roman" w:cs="Times New Roman"/>
          <w:sz w:val="24"/>
          <w:szCs w:val="24"/>
        </w:rPr>
        <w:t>kompetencjami. Wystąpienia te dotyczyły wykrytych podczas kontroli użytkowników produktów zawierających LZO, niezgodności związanych z przepisami rozporządzenia Ministra Rozwoju w zakresie LZO, które powstały w wyniku działalności producentów lub dystrybutorów ww. produktów. Dodatkowo, podczas jednej kontroli użytkownika przedmiotowych produktów, przeprowadzono instruktaż w zakresie konieczności stosowania w prowadzonej przez zakład instalacji do lakierowania pojazdów, produktów spełniających wymagania określone w rozporządzeniu Ministra Rozwoju</w:t>
      </w:r>
      <w:r w:rsidR="00217FB6" w:rsidRPr="007F400A">
        <w:rPr>
          <w:rFonts w:ascii="Times New Roman" w:hAnsi="Times New Roman" w:cs="Times New Roman"/>
          <w:color w:val="000000"/>
          <w:sz w:val="24"/>
          <w:szCs w:val="24"/>
        </w:rPr>
        <w:t>.</w:t>
      </w:r>
    </w:p>
    <w:p w14:paraId="5AA80CD5" w14:textId="77777777" w:rsidR="00217FB6" w:rsidRPr="007F400A" w:rsidRDefault="00217FB6" w:rsidP="00056EE7">
      <w:pPr>
        <w:spacing w:after="0" w:line="300" w:lineRule="atLeast"/>
        <w:rPr>
          <w:rFonts w:ascii="Times New Roman" w:eastAsia="Calibri" w:hAnsi="Times New Roman" w:cs="Times New Roman"/>
          <w:sz w:val="20"/>
          <w:szCs w:val="20"/>
          <w:lang w:eastAsia="pl-PL"/>
        </w:rPr>
      </w:pPr>
    </w:p>
    <w:p w14:paraId="740147D7" w14:textId="1DD13217" w:rsidR="00895F16" w:rsidRPr="007F400A" w:rsidRDefault="00895F16" w:rsidP="000D0382">
      <w:pPr>
        <w:keepNext/>
        <w:spacing w:after="120" w:line="300" w:lineRule="atLeast"/>
        <w:outlineLvl w:val="0"/>
        <w:rPr>
          <w:rFonts w:ascii="Times New Roman" w:eastAsia="Times New Roman" w:hAnsi="Times New Roman" w:cs="Times New Roman"/>
          <w:b/>
          <w:bCs/>
          <w:sz w:val="24"/>
          <w:szCs w:val="24"/>
          <w:lang w:val="x-none" w:eastAsia="x-none"/>
        </w:rPr>
      </w:pPr>
      <w:bookmarkStart w:id="106" w:name="_Toc5878555"/>
      <w:bookmarkStart w:id="107" w:name="_Toc36732573"/>
      <w:bookmarkStart w:id="108" w:name="_Toc135935600"/>
      <w:r w:rsidRPr="007F400A">
        <w:rPr>
          <w:rFonts w:ascii="Times New Roman" w:eastAsia="Times New Roman" w:hAnsi="Times New Roman" w:cs="Times New Roman"/>
          <w:b/>
          <w:bCs/>
          <w:sz w:val="24"/>
          <w:szCs w:val="24"/>
          <w:lang w:val="x-none" w:eastAsia="x-none"/>
        </w:rPr>
        <w:t>3.3.</w:t>
      </w:r>
      <w:r w:rsidR="00217FB6" w:rsidRPr="007F400A">
        <w:rPr>
          <w:rFonts w:ascii="Times New Roman" w:eastAsia="Times New Roman" w:hAnsi="Times New Roman" w:cs="Times New Roman"/>
          <w:b/>
          <w:bCs/>
          <w:sz w:val="24"/>
          <w:szCs w:val="24"/>
          <w:lang w:eastAsia="x-none"/>
        </w:rPr>
        <w:t>10</w:t>
      </w:r>
      <w:r w:rsidRPr="007F400A">
        <w:rPr>
          <w:rFonts w:ascii="Times New Roman" w:eastAsia="Times New Roman" w:hAnsi="Times New Roman" w:cs="Times New Roman"/>
          <w:b/>
          <w:bCs/>
          <w:sz w:val="24"/>
          <w:szCs w:val="24"/>
          <w:lang w:val="x-none" w:eastAsia="x-none"/>
        </w:rPr>
        <w:t xml:space="preserve"> Kontrola zawartości siarki w paliwach</w:t>
      </w:r>
      <w:bookmarkEnd w:id="106"/>
      <w:bookmarkEnd w:id="107"/>
      <w:bookmarkEnd w:id="108"/>
    </w:p>
    <w:p w14:paraId="7DFB6CE9" w14:textId="77777777" w:rsidR="00ED4E68" w:rsidRPr="00056728" w:rsidRDefault="00ED4E68" w:rsidP="000D0382">
      <w:pPr>
        <w:spacing w:after="60" w:line="300" w:lineRule="atLeast"/>
        <w:ind w:firstLine="567"/>
        <w:jc w:val="both"/>
        <w:rPr>
          <w:rFonts w:ascii="Times New Roman" w:hAnsi="Times New Roman" w:cs="Times New Roman"/>
          <w:sz w:val="24"/>
          <w:szCs w:val="24"/>
        </w:rPr>
      </w:pPr>
      <w:r w:rsidRPr="00056728">
        <w:rPr>
          <w:rFonts w:ascii="Times New Roman" w:hAnsi="Times New Roman" w:cs="Times New Roman"/>
          <w:sz w:val="24"/>
          <w:szCs w:val="24"/>
        </w:rPr>
        <w:t>W 2022 r. wojewódzcy inspektorzy ochrony środowiska przeprowadzili kontrole 47</w:t>
      </w:r>
      <w:r>
        <w:rPr>
          <w:rFonts w:ascii="Times New Roman" w:hAnsi="Times New Roman" w:cs="Times New Roman"/>
          <w:sz w:val="24"/>
          <w:szCs w:val="24"/>
        </w:rPr>
        <w:t> </w:t>
      </w:r>
      <w:r w:rsidRPr="00056728">
        <w:rPr>
          <w:rFonts w:ascii="Times New Roman" w:hAnsi="Times New Roman" w:cs="Times New Roman"/>
          <w:sz w:val="24"/>
          <w:szCs w:val="24"/>
        </w:rPr>
        <w:t>instalacji stosujących ciężki olej opałowy, o którym mowa w ustawie o systemie monitorowania i kontrolowania jakości paliw</w:t>
      </w:r>
      <w:r>
        <w:rPr>
          <w:rStyle w:val="Odwoanieprzypisudolnego"/>
          <w:rFonts w:cs="Times New Roman"/>
          <w:szCs w:val="24"/>
        </w:rPr>
        <w:footnoteReference w:id="16"/>
      </w:r>
      <w:r w:rsidRPr="00056728">
        <w:rPr>
          <w:rFonts w:ascii="Times New Roman" w:hAnsi="Times New Roman" w:cs="Times New Roman"/>
          <w:sz w:val="24"/>
          <w:szCs w:val="24"/>
        </w:rPr>
        <w:t>, zlokalizowanych na terenie 43 zakładów, podczas których w</w:t>
      </w:r>
      <w:r>
        <w:rPr>
          <w:rFonts w:ascii="Times New Roman" w:hAnsi="Times New Roman" w:cs="Times New Roman"/>
          <w:sz w:val="24"/>
          <w:szCs w:val="24"/>
        </w:rPr>
        <w:t> </w:t>
      </w:r>
      <w:r w:rsidRPr="00056728">
        <w:rPr>
          <w:rFonts w:ascii="Times New Roman" w:hAnsi="Times New Roman" w:cs="Times New Roman"/>
          <w:sz w:val="24"/>
          <w:szCs w:val="24"/>
        </w:rPr>
        <w:t>przypadku:</w:t>
      </w:r>
    </w:p>
    <w:p w14:paraId="318E158A" w14:textId="77777777" w:rsidR="00ED4E68" w:rsidRPr="00744A58" w:rsidRDefault="00ED4E68" w:rsidP="00D34F97">
      <w:pPr>
        <w:pStyle w:val="Akapitzlist"/>
        <w:numPr>
          <w:ilvl w:val="0"/>
          <w:numId w:val="163"/>
        </w:numPr>
        <w:spacing w:line="300" w:lineRule="atLeast"/>
        <w:jc w:val="both"/>
        <w:rPr>
          <w:sz w:val="24"/>
          <w:szCs w:val="24"/>
        </w:rPr>
      </w:pPr>
      <w:r w:rsidRPr="00744A58">
        <w:rPr>
          <w:sz w:val="24"/>
          <w:szCs w:val="24"/>
        </w:rPr>
        <w:t>9 instalacji pobrane zostały próbki ciężkiego oleju opałowego do badania,</w:t>
      </w:r>
    </w:p>
    <w:p w14:paraId="32DD2261" w14:textId="77777777" w:rsidR="00ED4E68" w:rsidRPr="00744A58" w:rsidRDefault="00ED4E68" w:rsidP="00D34F97">
      <w:pPr>
        <w:pStyle w:val="Akapitzlist"/>
        <w:numPr>
          <w:ilvl w:val="0"/>
          <w:numId w:val="163"/>
        </w:numPr>
        <w:spacing w:line="300" w:lineRule="atLeast"/>
        <w:jc w:val="both"/>
        <w:rPr>
          <w:sz w:val="24"/>
          <w:szCs w:val="24"/>
        </w:rPr>
      </w:pPr>
      <w:r w:rsidRPr="00744A58">
        <w:rPr>
          <w:sz w:val="24"/>
          <w:szCs w:val="24"/>
        </w:rPr>
        <w:t>24 instalacji przeprowadzona została analiza świadectw jakości zakupionego paliwa,</w:t>
      </w:r>
    </w:p>
    <w:p w14:paraId="687CB582" w14:textId="77777777" w:rsidR="00ED4E68" w:rsidRPr="00744A58" w:rsidRDefault="00ED4E68" w:rsidP="00D34F97">
      <w:pPr>
        <w:pStyle w:val="Akapitzlist"/>
        <w:numPr>
          <w:ilvl w:val="0"/>
          <w:numId w:val="163"/>
        </w:numPr>
        <w:spacing w:line="300" w:lineRule="atLeast"/>
        <w:jc w:val="both"/>
        <w:rPr>
          <w:sz w:val="24"/>
          <w:szCs w:val="24"/>
        </w:rPr>
      </w:pPr>
      <w:r w:rsidRPr="00744A58">
        <w:rPr>
          <w:sz w:val="24"/>
          <w:szCs w:val="24"/>
        </w:rPr>
        <w:t>6 instalacji przeprowadzona została analiza wyników pomiarów ciągłych lub</w:t>
      </w:r>
      <w:r>
        <w:rPr>
          <w:sz w:val="24"/>
          <w:szCs w:val="24"/>
          <w:lang w:val="pl-PL"/>
        </w:rPr>
        <w:t> </w:t>
      </w:r>
      <w:r w:rsidRPr="00744A58">
        <w:rPr>
          <w:sz w:val="24"/>
          <w:szCs w:val="24"/>
        </w:rPr>
        <w:t>okresowych emisji dwutlenku siarki pod kątem dotrzymywania standardów emisyjnych dwutlenku siarki lub dopuszczalnych stężeń dwutlenku siarki w gazach odlotowych</w:t>
      </w:r>
      <w:r>
        <w:rPr>
          <w:sz w:val="24"/>
          <w:szCs w:val="24"/>
          <w:lang w:val="pl-PL"/>
        </w:rPr>
        <w:t>.</w:t>
      </w:r>
    </w:p>
    <w:p w14:paraId="134C2701" w14:textId="77777777" w:rsidR="00ED4E68" w:rsidRPr="00056728" w:rsidRDefault="00ED4E68" w:rsidP="00056EE7">
      <w:pPr>
        <w:spacing w:after="0" w:line="300" w:lineRule="atLeast"/>
        <w:jc w:val="both"/>
        <w:rPr>
          <w:rFonts w:ascii="Times New Roman" w:hAnsi="Times New Roman" w:cs="Times New Roman"/>
          <w:sz w:val="24"/>
          <w:szCs w:val="24"/>
        </w:rPr>
      </w:pPr>
      <w:r w:rsidRPr="00056728">
        <w:rPr>
          <w:rFonts w:ascii="Times New Roman" w:hAnsi="Times New Roman" w:cs="Times New Roman"/>
          <w:sz w:val="24"/>
          <w:szCs w:val="24"/>
        </w:rPr>
        <w:t>W przypadku 8 instalacji stwierdzono, że kotły olejowe nie były eksploatowane w 2022</w:t>
      </w:r>
      <w:r>
        <w:rPr>
          <w:rFonts w:ascii="Times New Roman" w:hAnsi="Times New Roman" w:cs="Times New Roman"/>
          <w:sz w:val="24"/>
          <w:szCs w:val="24"/>
        </w:rPr>
        <w:t> </w:t>
      </w:r>
      <w:r w:rsidRPr="00056728">
        <w:rPr>
          <w:rFonts w:ascii="Times New Roman" w:hAnsi="Times New Roman" w:cs="Times New Roman"/>
          <w:sz w:val="24"/>
          <w:szCs w:val="24"/>
        </w:rPr>
        <w:t xml:space="preserve">r. </w:t>
      </w:r>
    </w:p>
    <w:p w14:paraId="6B80FE9E" w14:textId="550586AD" w:rsidR="00ED4E68" w:rsidRPr="00056728" w:rsidRDefault="00ED4E68" w:rsidP="004A1EC9">
      <w:pPr>
        <w:spacing w:after="0" w:line="300" w:lineRule="atLeast"/>
        <w:ind w:firstLine="567"/>
        <w:jc w:val="both"/>
        <w:rPr>
          <w:rFonts w:ascii="Times New Roman" w:hAnsi="Times New Roman" w:cs="Times New Roman"/>
          <w:sz w:val="24"/>
          <w:szCs w:val="24"/>
        </w:rPr>
      </w:pPr>
      <w:r w:rsidRPr="00056728">
        <w:rPr>
          <w:rFonts w:ascii="Times New Roman" w:hAnsi="Times New Roman" w:cs="Times New Roman"/>
          <w:sz w:val="24"/>
          <w:szCs w:val="24"/>
        </w:rPr>
        <w:t>Wszystkie skontrolowane instalacje stosujące w 2022 r. ciężki olej opałowy spełniały wymagania określone w rozporządzeniu</w:t>
      </w:r>
      <w:r>
        <w:rPr>
          <w:rStyle w:val="Odwoanieprzypisudolnego"/>
          <w:rFonts w:cs="Times New Roman"/>
          <w:szCs w:val="24"/>
        </w:rPr>
        <w:footnoteReference w:id="17"/>
      </w:r>
      <w:r w:rsidRPr="00056728">
        <w:rPr>
          <w:rFonts w:ascii="Times New Roman" w:hAnsi="Times New Roman" w:cs="Times New Roman"/>
          <w:sz w:val="24"/>
          <w:szCs w:val="24"/>
        </w:rPr>
        <w:t>, dotyczące zawartości siarki w ciężkim oleju opałowym (do 1% zawartości siarki, w przeliczeniu na masę) lub warunki odstępstw od</w:t>
      </w:r>
      <w:r>
        <w:rPr>
          <w:rFonts w:ascii="Times New Roman" w:hAnsi="Times New Roman" w:cs="Times New Roman"/>
          <w:sz w:val="24"/>
          <w:szCs w:val="24"/>
        </w:rPr>
        <w:t> </w:t>
      </w:r>
      <w:r w:rsidRPr="00056728">
        <w:rPr>
          <w:rFonts w:ascii="Times New Roman" w:hAnsi="Times New Roman" w:cs="Times New Roman"/>
          <w:sz w:val="24"/>
          <w:szCs w:val="24"/>
        </w:rPr>
        <w:t xml:space="preserve">stosowania ciężkiego oleju opałowego o zawartości siarki do 1%, w przeliczeniu na masę. </w:t>
      </w:r>
    </w:p>
    <w:p w14:paraId="0BAF2A17" w14:textId="4899C450" w:rsidR="003B01B5" w:rsidRPr="007F400A" w:rsidRDefault="00ED4E68" w:rsidP="004A1EC9">
      <w:pPr>
        <w:spacing w:after="0" w:line="300" w:lineRule="atLeast"/>
        <w:ind w:firstLine="567"/>
        <w:jc w:val="both"/>
        <w:rPr>
          <w:rFonts w:ascii="Times New Roman" w:hAnsi="Times New Roman" w:cs="Times New Roman"/>
          <w:sz w:val="24"/>
          <w:szCs w:val="24"/>
        </w:rPr>
      </w:pPr>
      <w:r w:rsidRPr="00056728">
        <w:rPr>
          <w:rFonts w:ascii="Times New Roman" w:hAnsi="Times New Roman" w:cs="Times New Roman"/>
          <w:sz w:val="24"/>
          <w:szCs w:val="24"/>
        </w:rPr>
        <w:t>Ponadto w 2022 r. wojewódzcy inspektorzy ochrony środowiska przeprowadzili kontrole zawartości siarki w oleju do silników statków żeglugi śródlądowej. Skontrolowano 118 statków żeglugi śródlądowej, podczas których pobranych zostało 35 próbek paliwa do badania, a</w:t>
      </w:r>
      <w:r>
        <w:rPr>
          <w:rFonts w:ascii="Times New Roman" w:hAnsi="Times New Roman" w:cs="Times New Roman"/>
          <w:sz w:val="24"/>
          <w:szCs w:val="24"/>
        </w:rPr>
        <w:t> </w:t>
      </w:r>
      <w:r w:rsidRPr="00056728">
        <w:rPr>
          <w:rFonts w:ascii="Times New Roman" w:hAnsi="Times New Roman" w:cs="Times New Roman"/>
          <w:sz w:val="24"/>
          <w:szCs w:val="24"/>
        </w:rPr>
        <w:t>w</w:t>
      </w:r>
      <w:r>
        <w:rPr>
          <w:rFonts w:ascii="Times New Roman" w:hAnsi="Times New Roman" w:cs="Times New Roman"/>
          <w:sz w:val="24"/>
          <w:szCs w:val="24"/>
        </w:rPr>
        <w:t> </w:t>
      </w:r>
      <w:r w:rsidRPr="00056728">
        <w:rPr>
          <w:rFonts w:ascii="Times New Roman" w:hAnsi="Times New Roman" w:cs="Times New Roman"/>
          <w:sz w:val="24"/>
          <w:szCs w:val="24"/>
        </w:rPr>
        <w:t>60</w:t>
      </w:r>
      <w:r>
        <w:rPr>
          <w:rFonts w:ascii="Times New Roman" w:hAnsi="Times New Roman" w:cs="Times New Roman"/>
          <w:sz w:val="24"/>
          <w:szCs w:val="24"/>
        </w:rPr>
        <w:t> </w:t>
      </w:r>
      <w:r w:rsidRPr="00056728">
        <w:rPr>
          <w:rFonts w:ascii="Times New Roman" w:hAnsi="Times New Roman" w:cs="Times New Roman"/>
          <w:sz w:val="24"/>
          <w:szCs w:val="24"/>
        </w:rPr>
        <w:t>przypadkach dokonano analizy dokumentów zakupionego paliwa. Na 35 zbadanych próbek 1</w:t>
      </w:r>
      <w:r>
        <w:rPr>
          <w:rFonts w:ascii="Times New Roman" w:hAnsi="Times New Roman" w:cs="Times New Roman"/>
          <w:sz w:val="24"/>
          <w:szCs w:val="24"/>
        </w:rPr>
        <w:t> </w:t>
      </w:r>
      <w:r w:rsidRPr="00056728">
        <w:rPr>
          <w:rFonts w:ascii="Times New Roman" w:hAnsi="Times New Roman" w:cs="Times New Roman"/>
          <w:sz w:val="24"/>
          <w:szCs w:val="24"/>
        </w:rPr>
        <w:t>nie spełniała wymagań jakościowych dotyczących zawartości siarki w oleju do silników statków żeglugi śródlądowej, określon</w:t>
      </w:r>
      <w:r w:rsidR="00EE45B1">
        <w:rPr>
          <w:rFonts w:ascii="Times New Roman" w:hAnsi="Times New Roman" w:cs="Times New Roman"/>
          <w:sz w:val="24"/>
          <w:szCs w:val="24"/>
        </w:rPr>
        <w:t>ych</w:t>
      </w:r>
      <w:r w:rsidRPr="00056728">
        <w:rPr>
          <w:rFonts w:ascii="Times New Roman" w:hAnsi="Times New Roman" w:cs="Times New Roman"/>
          <w:sz w:val="24"/>
          <w:szCs w:val="24"/>
        </w:rPr>
        <w:t xml:space="preserve"> w rozporządzeniu</w:t>
      </w:r>
      <w:r>
        <w:rPr>
          <w:rStyle w:val="Odwoanieprzypisudolnego"/>
          <w:rFonts w:cs="Times New Roman"/>
          <w:szCs w:val="24"/>
        </w:rPr>
        <w:footnoteReference w:id="18"/>
      </w:r>
      <w:r w:rsidRPr="00056728">
        <w:rPr>
          <w:rFonts w:ascii="Times New Roman" w:hAnsi="Times New Roman" w:cs="Times New Roman"/>
          <w:sz w:val="24"/>
          <w:szCs w:val="24"/>
        </w:rPr>
        <w:t>, a w przypadku statków, dla</w:t>
      </w:r>
      <w:r>
        <w:rPr>
          <w:rFonts w:ascii="Times New Roman" w:hAnsi="Times New Roman" w:cs="Times New Roman"/>
          <w:sz w:val="24"/>
          <w:szCs w:val="24"/>
        </w:rPr>
        <w:t> </w:t>
      </w:r>
      <w:r w:rsidRPr="00056728">
        <w:rPr>
          <w:rFonts w:ascii="Times New Roman" w:hAnsi="Times New Roman" w:cs="Times New Roman"/>
          <w:sz w:val="24"/>
          <w:szCs w:val="24"/>
        </w:rPr>
        <w:t>których dokonano analizy dokumentów, zakupione paliwo każdorazowo spełniało ww.</w:t>
      </w:r>
      <w:r>
        <w:rPr>
          <w:rFonts w:ascii="Times New Roman" w:hAnsi="Times New Roman" w:cs="Times New Roman"/>
          <w:sz w:val="24"/>
          <w:szCs w:val="24"/>
        </w:rPr>
        <w:t> </w:t>
      </w:r>
      <w:r w:rsidRPr="00056728">
        <w:rPr>
          <w:rFonts w:ascii="Times New Roman" w:hAnsi="Times New Roman" w:cs="Times New Roman"/>
          <w:sz w:val="24"/>
          <w:szCs w:val="24"/>
        </w:rPr>
        <w:t>wymagania jakościowe</w:t>
      </w:r>
      <w:r w:rsidR="003B01B5" w:rsidRPr="007F400A">
        <w:rPr>
          <w:rFonts w:ascii="Times New Roman" w:hAnsi="Times New Roman" w:cs="Times New Roman"/>
          <w:sz w:val="24"/>
          <w:szCs w:val="24"/>
        </w:rPr>
        <w:t xml:space="preserve">. </w:t>
      </w:r>
    </w:p>
    <w:p w14:paraId="2F6FE8F7" w14:textId="77777777" w:rsidR="00895F16" w:rsidRPr="007F400A" w:rsidRDefault="00895F16" w:rsidP="00056EE7">
      <w:pPr>
        <w:spacing w:after="0" w:line="300" w:lineRule="atLeast"/>
        <w:jc w:val="both"/>
        <w:rPr>
          <w:rFonts w:ascii="Times New Roman" w:eastAsia="Times New Roman" w:hAnsi="Times New Roman" w:cs="Times New Roman"/>
          <w:sz w:val="24"/>
          <w:szCs w:val="24"/>
          <w:lang w:eastAsia="pl-PL"/>
        </w:rPr>
      </w:pPr>
    </w:p>
    <w:p w14:paraId="734906B2" w14:textId="0297E32E" w:rsidR="00895F16" w:rsidRPr="007F400A" w:rsidRDefault="00895F16" w:rsidP="004A1EC9">
      <w:pPr>
        <w:keepNext/>
        <w:spacing w:after="120" w:line="300" w:lineRule="atLeast"/>
        <w:outlineLvl w:val="0"/>
        <w:rPr>
          <w:rFonts w:ascii="Times New Roman" w:eastAsia="Times New Roman" w:hAnsi="Times New Roman" w:cs="Times New Roman"/>
          <w:b/>
          <w:bCs/>
          <w:sz w:val="24"/>
          <w:szCs w:val="24"/>
          <w:lang w:val="x-none" w:eastAsia="x-none"/>
        </w:rPr>
      </w:pPr>
      <w:bookmarkStart w:id="109" w:name="_Toc515437530"/>
      <w:bookmarkStart w:id="110" w:name="_Toc5878556"/>
      <w:bookmarkStart w:id="111" w:name="_Toc36732574"/>
      <w:bookmarkStart w:id="112" w:name="_Toc135935601"/>
      <w:r w:rsidRPr="007F400A">
        <w:rPr>
          <w:rFonts w:ascii="Times New Roman" w:eastAsia="Times New Roman" w:hAnsi="Times New Roman" w:cs="Times New Roman"/>
          <w:b/>
          <w:bCs/>
          <w:sz w:val="24"/>
          <w:szCs w:val="24"/>
          <w:lang w:val="x-none" w:eastAsia="x-none"/>
        </w:rPr>
        <w:t>3.3.1</w:t>
      </w:r>
      <w:r w:rsidR="00217FB6" w:rsidRPr="007F400A">
        <w:rPr>
          <w:rFonts w:ascii="Times New Roman" w:eastAsia="Times New Roman" w:hAnsi="Times New Roman" w:cs="Times New Roman"/>
          <w:b/>
          <w:bCs/>
          <w:sz w:val="24"/>
          <w:szCs w:val="24"/>
          <w:lang w:eastAsia="x-none"/>
        </w:rPr>
        <w:t>1</w:t>
      </w:r>
      <w:r w:rsidRPr="007F400A">
        <w:rPr>
          <w:rFonts w:ascii="Times New Roman" w:eastAsia="Times New Roman" w:hAnsi="Times New Roman" w:cs="Times New Roman"/>
          <w:b/>
          <w:bCs/>
          <w:sz w:val="24"/>
          <w:szCs w:val="24"/>
          <w:lang w:val="x-none" w:eastAsia="x-none"/>
        </w:rPr>
        <w:t xml:space="preserve"> Zdarzenia z udziałem substancji niebezpiecznych</w:t>
      </w:r>
      <w:bookmarkEnd w:id="109"/>
      <w:bookmarkEnd w:id="110"/>
      <w:bookmarkEnd w:id="111"/>
      <w:bookmarkEnd w:id="112"/>
    </w:p>
    <w:p w14:paraId="2838E46F" w14:textId="77777777" w:rsidR="00920E06" w:rsidRDefault="00920E06" w:rsidP="00056EE7">
      <w:pPr>
        <w:spacing w:after="0" w:line="300" w:lineRule="atLeast"/>
        <w:ind w:firstLine="567"/>
        <w:jc w:val="both"/>
        <w:rPr>
          <w:rFonts w:ascii="Times New Roman" w:eastAsia="Times New Roman" w:hAnsi="Times New Roman" w:cs="Times New Roman"/>
          <w:sz w:val="24"/>
          <w:szCs w:val="24"/>
        </w:rPr>
      </w:pPr>
      <w:bookmarkStart w:id="113" w:name="_Toc193597406"/>
      <w:r>
        <w:rPr>
          <w:rFonts w:ascii="Times New Roman" w:eastAsia="Times New Roman" w:hAnsi="Times New Roman" w:cs="Times New Roman"/>
          <w:sz w:val="24"/>
          <w:szCs w:val="24"/>
        </w:rPr>
        <w:t>W 2022 r. zarejestrowano 29 zdarzeń o znamionach poważnej awarii i poważnych awarii, z których 6 było objętych obowiązkiem zgłoszenia do Głównego Inspektora Ochrony Środowiska</w:t>
      </w:r>
      <w:r>
        <w:rPr>
          <w:rFonts w:ascii="Times New Roman" w:eastAsia="Times New Roman" w:hAnsi="Times New Roman" w:cs="Times New Roman"/>
          <w:sz w:val="24"/>
          <w:szCs w:val="24"/>
          <w:vertAlign w:val="superscript"/>
        </w:rPr>
        <w:footnoteReference w:id="19"/>
      </w:r>
      <w:r>
        <w:rPr>
          <w:rFonts w:ascii="Times New Roman" w:eastAsia="Times New Roman" w:hAnsi="Times New Roman" w:cs="Times New Roman"/>
          <w:sz w:val="24"/>
          <w:szCs w:val="24"/>
        </w:rPr>
        <w:t xml:space="preserve">. </w:t>
      </w:r>
    </w:p>
    <w:p w14:paraId="29A02CCC" w14:textId="500C797B" w:rsidR="00920E06" w:rsidRDefault="00920E06" w:rsidP="00056EE7">
      <w:pPr>
        <w:tabs>
          <w:tab w:val="left" w:pos="142"/>
        </w:tabs>
        <w:spacing w:after="120" w:line="300" w:lineRule="atLeast"/>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Spośród 29 zdarzeń 15 wystąpiło na terenie zakładów (4 w ZDR, 2 w zakładach należących do </w:t>
      </w:r>
      <w:r>
        <w:rPr>
          <w:rFonts w:ascii="Times New Roman" w:eastAsia="Times New Roman" w:hAnsi="Times New Roman" w:cs="Times New Roman"/>
          <w:sz w:val="24"/>
          <w:szCs w:val="24"/>
        </w:rPr>
        <w:t>grupy pozostałych potencjalnych sprawców poważnych awarii</w:t>
      </w:r>
      <w:r w:rsidR="004A1EC9">
        <w:rPr>
          <w:rFonts w:ascii="Times New Roman" w:eastAsia="Times New Roman" w:hAnsi="Times New Roman" w:cs="Times New Roman"/>
          <w:sz w:val="24"/>
          <w:szCs w:val="24"/>
        </w:rPr>
        <w:t xml:space="preserve"> </w:t>
      </w:r>
      <w:r>
        <w:rPr>
          <w:rFonts w:ascii="Times New Roman" w:hAnsi="Times New Roman" w:cs="Times New Roman"/>
          <w:sz w:val="24"/>
          <w:szCs w:val="24"/>
        </w:rPr>
        <w:t xml:space="preserve"> oraz 9 w zakładach innych nieobjętych rejestrem), 13 podczas transportu (7 drogowego oraz 6 rurociągowego), 1 zdarzenie zaklasyfikowano jako inne.</w:t>
      </w:r>
    </w:p>
    <w:p w14:paraId="00E369FA" w14:textId="77777777" w:rsidR="00920E06" w:rsidRDefault="00920E06" w:rsidP="00EE45B1">
      <w:pPr>
        <w:spacing w:after="60" w:line="300" w:lineRule="atLeast"/>
        <w:ind w:firstLine="567"/>
        <w:jc w:val="both"/>
        <w:rPr>
          <w:rFonts w:ascii="Times New Roman" w:hAnsi="Times New Roman" w:cs="Times New Roman"/>
          <w:sz w:val="24"/>
          <w:szCs w:val="24"/>
        </w:rPr>
      </w:pPr>
      <w:r>
        <w:rPr>
          <w:rFonts w:ascii="Times New Roman" w:hAnsi="Times New Roman" w:cs="Times New Roman"/>
          <w:sz w:val="24"/>
          <w:szCs w:val="24"/>
        </w:rPr>
        <w:t xml:space="preserve">Wśród zarejestrowanych zdarzeń były m.in.: </w:t>
      </w:r>
    </w:p>
    <w:p w14:paraId="2F654375" w14:textId="77777777" w:rsidR="00920E06" w:rsidRDefault="00920E06" w:rsidP="00D34F97">
      <w:pPr>
        <w:numPr>
          <w:ilvl w:val="0"/>
          <w:numId w:val="100"/>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eastAsia="pl-PL"/>
        </w:rPr>
        <w:t xml:space="preserve">wybuch </w:t>
      </w:r>
      <w:r>
        <w:rPr>
          <w:rFonts w:ascii="Times New Roman" w:eastAsia="Calibri" w:hAnsi="Times New Roman" w:cs="Times New Roman"/>
          <w:sz w:val="24"/>
          <w:szCs w:val="24"/>
          <w:lang w:val="x-none" w:eastAsia="pl-PL"/>
        </w:rPr>
        <w:t xml:space="preserve">podczas rozruchu instalacji </w:t>
      </w:r>
      <w:proofErr w:type="spellStart"/>
      <w:r>
        <w:rPr>
          <w:rFonts w:ascii="Times New Roman" w:eastAsia="Calibri" w:hAnsi="Times New Roman" w:cs="Times New Roman"/>
          <w:sz w:val="24"/>
          <w:szCs w:val="24"/>
          <w:lang w:val="x-none" w:eastAsia="pl-PL"/>
        </w:rPr>
        <w:t>hydroodsiarczania</w:t>
      </w:r>
      <w:proofErr w:type="spellEnd"/>
      <w:r>
        <w:rPr>
          <w:rFonts w:ascii="Times New Roman" w:eastAsia="Calibri" w:hAnsi="Times New Roman" w:cs="Times New Roman"/>
          <w:sz w:val="24"/>
          <w:szCs w:val="24"/>
          <w:lang w:val="x-none" w:eastAsia="pl-PL"/>
        </w:rPr>
        <w:t xml:space="preserve"> gudronu</w:t>
      </w:r>
      <w:r>
        <w:rPr>
          <w:rFonts w:ascii="Times New Roman" w:eastAsia="Calibri" w:hAnsi="Times New Roman" w:cs="Times New Roman"/>
          <w:sz w:val="24"/>
          <w:szCs w:val="24"/>
          <w:lang w:eastAsia="pl-PL"/>
        </w:rPr>
        <w:t xml:space="preserve"> w zakładzie petrochemicznym, </w:t>
      </w:r>
    </w:p>
    <w:p w14:paraId="5AD9BCB7" w14:textId="77777777" w:rsidR="00920E06" w:rsidRDefault="00920E06" w:rsidP="00D34F97">
      <w:pPr>
        <w:numPr>
          <w:ilvl w:val="0"/>
          <w:numId w:val="100"/>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val="x-none" w:eastAsia="pl-PL"/>
        </w:rPr>
        <w:t xml:space="preserve">wybuch </w:t>
      </w:r>
      <w:r>
        <w:rPr>
          <w:rFonts w:ascii="Times New Roman" w:eastAsia="Calibri" w:hAnsi="Times New Roman" w:cs="Times New Roman"/>
          <w:sz w:val="24"/>
          <w:szCs w:val="24"/>
          <w:lang w:eastAsia="pl-PL"/>
        </w:rPr>
        <w:t xml:space="preserve">w trakcie </w:t>
      </w:r>
      <w:r>
        <w:rPr>
          <w:rFonts w:ascii="Times New Roman" w:eastAsia="Calibri" w:hAnsi="Times New Roman" w:cs="Times New Roman"/>
          <w:sz w:val="24"/>
          <w:szCs w:val="24"/>
          <w:lang w:val="x-none" w:eastAsia="pl-PL"/>
        </w:rPr>
        <w:t xml:space="preserve">procesu technologicznego mieszania surowców do produkcji dynamitu, w zakładzie zajmującym się dostawą materiałów wybuchowych, </w:t>
      </w:r>
    </w:p>
    <w:p w14:paraId="6E299C52" w14:textId="77777777" w:rsidR="00920E06" w:rsidRDefault="00920E06" w:rsidP="00D34F97">
      <w:pPr>
        <w:numPr>
          <w:ilvl w:val="0"/>
          <w:numId w:val="100"/>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val="x-none" w:eastAsia="pl-PL"/>
        </w:rPr>
        <w:t xml:space="preserve">wybuch i pożar </w:t>
      </w:r>
      <w:r>
        <w:rPr>
          <w:rFonts w:ascii="Times New Roman" w:eastAsia="Calibri" w:hAnsi="Times New Roman" w:cs="Times New Roman"/>
          <w:sz w:val="24"/>
          <w:szCs w:val="24"/>
          <w:lang w:eastAsia="pl-PL"/>
        </w:rPr>
        <w:t>w</w:t>
      </w:r>
      <w:r>
        <w:rPr>
          <w:rFonts w:ascii="Times New Roman" w:eastAsia="Calibri" w:hAnsi="Times New Roman" w:cs="Times New Roman"/>
          <w:sz w:val="24"/>
          <w:szCs w:val="24"/>
          <w:lang w:val="x-none" w:eastAsia="pl-PL"/>
        </w:rPr>
        <w:t xml:space="preserve"> trakcie przeładunku oleju opałowego do magazynu w</w:t>
      </w:r>
      <w:r>
        <w:rPr>
          <w:rFonts w:ascii="Times New Roman" w:eastAsia="Calibri" w:hAnsi="Times New Roman" w:cs="Times New Roman"/>
          <w:sz w:val="24"/>
          <w:szCs w:val="24"/>
          <w:lang w:eastAsia="pl-PL"/>
        </w:rPr>
        <w:t> </w:t>
      </w:r>
      <w:r>
        <w:rPr>
          <w:rFonts w:ascii="Times New Roman" w:eastAsia="Calibri" w:hAnsi="Times New Roman" w:cs="Times New Roman"/>
          <w:sz w:val="24"/>
          <w:szCs w:val="24"/>
          <w:lang w:val="x-none" w:eastAsia="pl-PL"/>
        </w:rPr>
        <w:t xml:space="preserve">pomieszczeniu kotłowni </w:t>
      </w:r>
      <w:r>
        <w:rPr>
          <w:rFonts w:ascii="Times New Roman" w:eastAsia="Calibri" w:hAnsi="Times New Roman" w:cs="Times New Roman"/>
          <w:sz w:val="24"/>
          <w:szCs w:val="24"/>
          <w:lang w:eastAsia="pl-PL"/>
        </w:rPr>
        <w:t>w zakładzie prowadzącym sprzedaż nowych i używanych pojazdów oraz części i akcesoriów dla kierowców,</w:t>
      </w:r>
    </w:p>
    <w:p w14:paraId="4D5EE43C" w14:textId="77777777" w:rsidR="00920E06" w:rsidRDefault="00920E06" w:rsidP="00D34F97">
      <w:pPr>
        <w:numPr>
          <w:ilvl w:val="0"/>
          <w:numId w:val="100"/>
        </w:numPr>
        <w:spacing w:after="120" w:line="300" w:lineRule="atLeast"/>
        <w:ind w:left="924" w:hanging="357"/>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val="x-none" w:eastAsia="pl-PL"/>
        </w:rPr>
        <w:t>wyciek gazu ziemnego z uszkodzonego gazociągu, do którego doszło podczas prowadzenia prac ziemnych przy użyciu koparki</w:t>
      </w:r>
      <w:r>
        <w:rPr>
          <w:rFonts w:ascii="Times New Roman" w:eastAsia="Calibri" w:hAnsi="Times New Roman" w:cs="Times New Roman"/>
          <w:sz w:val="24"/>
          <w:szCs w:val="24"/>
          <w:lang w:eastAsia="pl-PL"/>
        </w:rPr>
        <w:t>.</w:t>
      </w:r>
    </w:p>
    <w:p w14:paraId="252B20B9" w14:textId="4C66A1BF" w:rsidR="00895F16" w:rsidRPr="007F400A" w:rsidRDefault="00920E06" w:rsidP="00056EE7">
      <w:pPr>
        <w:tabs>
          <w:tab w:val="left" w:pos="142"/>
        </w:tabs>
        <w:spacing w:after="0" w:line="300" w:lineRule="atLeast"/>
        <w:ind w:firstLine="567"/>
        <w:jc w:val="both"/>
        <w:rPr>
          <w:rFonts w:ascii="Times New Roman" w:eastAsia="Times New Roman" w:hAnsi="Times New Roman" w:cs="Times New Roman"/>
          <w:sz w:val="24"/>
          <w:szCs w:val="24"/>
          <w:lang w:eastAsia="pl-PL"/>
        </w:rPr>
      </w:pPr>
      <w:r>
        <w:rPr>
          <w:rFonts w:ascii="Times New Roman" w:hAnsi="Times New Roman" w:cs="Times New Roman"/>
          <w:sz w:val="24"/>
          <w:szCs w:val="24"/>
        </w:rPr>
        <w:t>Przedstawiciele Inspekcji Ochrony Środowiska pobrali łącznie 66 próbek powietrza, wody, ścieków i gleby w celu przeprowadzenia analiz fizyko-chemicznych. Pobór próbek dotyczył 9 zdarzeń.</w:t>
      </w:r>
      <w:r>
        <w:rPr>
          <w:rFonts w:ascii="Times New Roman" w:hAnsi="Times New Roman" w:cs="Times New Roman"/>
          <w:noProof/>
          <w:sz w:val="24"/>
          <w:szCs w:val="24"/>
        </w:rPr>
        <w:t xml:space="preserve"> Przekroczenia stwierdzono w 53 pobranych próbkach (29 wody, 10 ścieków oraz 14 gleby)</w:t>
      </w:r>
      <w:r w:rsidR="00895F16" w:rsidRPr="007F400A">
        <w:rPr>
          <w:rFonts w:ascii="Times New Roman" w:hAnsi="Times New Roman" w:cs="Times New Roman"/>
          <w:noProof/>
          <w:sz w:val="24"/>
          <w:szCs w:val="24"/>
        </w:rPr>
        <w:t>.</w:t>
      </w:r>
      <w:r w:rsidR="00895F16" w:rsidRPr="007F400A" w:rsidDel="00534835">
        <w:rPr>
          <w:rFonts w:ascii="Times New Roman" w:eastAsia="Times New Roman" w:hAnsi="Times New Roman" w:cs="Times New Roman"/>
          <w:sz w:val="24"/>
          <w:szCs w:val="24"/>
          <w:lang w:eastAsia="pl-PL"/>
        </w:rPr>
        <w:t xml:space="preserve"> </w:t>
      </w:r>
    </w:p>
    <w:p w14:paraId="02930CD6" w14:textId="77777777" w:rsidR="00895F16" w:rsidRPr="007F400A" w:rsidRDefault="00895F16" w:rsidP="00056EE7">
      <w:pPr>
        <w:tabs>
          <w:tab w:val="left" w:pos="142"/>
        </w:tabs>
        <w:spacing w:after="0" w:line="300" w:lineRule="atLeast"/>
        <w:ind w:firstLine="709"/>
        <w:jc w:val="both"/>
        <w:rPr>
          <w:rFonts w:ascii="Times New Roman" w:eastAsia="Calibri" w:hAnsi="Times New Roman" w:cs="Times New Roman"/>
          <w:noProof/>
          <w:sz w:val="20"/>
          <w:szCs w:val="20"/>
          <w:lang w:eastAsia="pl-PL"/>
        </w:rPr>
      </w:pPr>
    </w:p>
    <w:p w14:paraId="5E6026FC" w14:textId="60F6C8FE" w:rsidR="00895F16" w:rsidRPr="007F400A" w:rsidRDefault="00895F16" w:rsidP="00EE45B1">
      <w:pPr>
        <w:keepNext/>
        <w:spacing w:after="120" w:line="300" w:lineRule="atLeast"/>
        <w:outlineLvl w:val="0"/>
        <w:rPr>
          <w:rFonts w:ascii="Times New Roman" w:eastAsia="Times New Roman" w:hAnsi="Times New Roman" w:cs="Times New Roman"/>
          <w:b/>
          <w:bCs/>
          <w:sz w:val="24"/>
          <w:szCs w:val="24"/>
          <w:lang w:val="x-none" w:eastAsia="x-none"/>
        </w:rPr>
      </w:pPr>
      <w:bookmarkStart w:id="114" w:name="_Toc5878557"/>
      <w:bookmarkStart w:id="115" w:name="_Toc36732575"/>
      <w:bookmarkStart w:id="116" w:name="_Toc135935602"/>
      <w:bookmarkEnd w:id="113"/>
      <w:r w:rsidRPr="007F400A">
        <w:rPr>
          <w:rFonts w:ascii="Times New Roman" w:eastAsia="Times New Roman" w:hAnsi="Times New Roman" w:cs="Times New Roman"/>
          <w:b/>
          <w:bCs/>
          <w:sz w:val="24"/>
          <w:szCs w:val="24"/>
          <w:lang w:val="x-none" w:eastAsia="x-none"/>
        </w:rPr>
        <w:t>3.3.1</w:t>
      </w:r>
      <w:r w:rsidR="00217FB6" w:rsidRPr="007F400A">
        <w:rPr>
          <w:rFonts w:ascii="Times New Roman" w:eastAsia="Times New Roman" w:hAnsi="Times New Roman" w:cs="Times New Roman"/>
          <w:b/>
          <w:bCs/>
          <w:sz w:val="24"/>
          <w:szCs w:val="24"/>
          <w:lang w:eastAsia="x-none"/>
        </w:rPr>
        <w:t>2</w:t>
      </w:r>
      <w:r w:rsidRPr="007F400A">
        <w:rPr>
          <w:rFonts w:ascii="Times New Roman" w:eastAsia="Times New Roman" w:hAnsi="Times New Roman" w:cs="Times New Roman"/>
          <w:b/>
          <w:bCs/>
          <w:sz w:val="24"/>
          <w:szCs w:val="24"/>
          <w:lang w:val="x-none" w:eastAsia="x-none"/>
        </w:rPr>
        <w:t xml:space="preserve"> Mikroorganizmy i organizmy genetycznie zmodyfikowane</w:t>
      </w:r>
      <w:bookmarkEnd w:id="114"/>
      <w:bookmarkEnd w:id="115"/>
      <w:bookmarkEnd w:id="116"/>
      <w:r w:rsidRPr="007F400A">
        <w:rPr>
          <w:rFonts w:ascii="Times New Roman" w:eastAsia="Times New Roman" w:hAnsi="Times New Roman" w:cs="Times New Roman"/>
          <w:b/>
          <w:bCs/>
          <w:sz w:val="24"/>
          <w:szCs w:val="24"/>
          <w:lang w:val="x-none" w:eastAsia="x-none"/>
        </w:rPr>
        <w:t xml:space="preserve"> </w:t>
      </w:r>
    </w:p>
    <w:p w14:paraId="7817D172" w14:textId="77777777" w:rsidR="00920E06" w:rsidRDefault="00920E06" w:rsidP="00056EE7">
      <w:pPr>
        <w:spacing w:after="0" w:line="300" w:lineRule="atLeast"/>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2022 r. wojewódzcy inspektorzy ochrony środowiska przeprowadzili 14 kontroli w zakresie postępowania z mikroorganizmami genetycznie zmodyfikowanymi (GMM) lub organizmami genetycznie zmodyfikowanymi (GMO)</w:t>
      </w:r>
      <w:r>
        <w:rPr>
          <w:rFonts w:ascii="Times New Roman" w:hAnsi="Times New Roman" w:cs="Times New Roman"/>
          <w:sz w:val="24"/>
          <w:szCs w:val="24"/>
          <w:vertAlign w:val="superscript"/>
        </w:rPr>
        <w:footnoteReference w:id="20"/>
      </w:r>
      <w:r>
        <w:rPr>
          <w:rFonts w:ascii="Times New Roman" w:eastAsia="Times New Roman" w:hAnsi="Times New Roman" w:cs="Times New Roman"/>
          <w:sz w:val="24"/>
          <w:szCs w:val="24"/>
        </w:rPr>
        <w:t>. W przypadku 4 kontroli ustalono, że podmioty prowadziły badania w zakresie zamkniętego użycia GMM/GMO. Natomiast podczas 10 kontroli ustalono, że podmioty nie prowadziły badań w zakresie GMM/GMO. Działania kontrolne w tym obszarze polegały przede wszystkim na sprawdzaniu wymogów formalno-prawnych związanych z prowadzeniem działalności w zakresie GMM/GMO oraz kontroli w zakresie gospodarki odpadami, w tym kontroli postępowania z odpadami, powstającymi podczas zamkniętego użycia GMO/GMM.</w:t>
      </w:r>
    </w:p>
    <w:p w14:paraId="586BD8E3" w14:textId="44CAE864" w:rsidR="00895F16" w:rsidRPr="007F400A" w:rsidRDefault="00920E06" w:rsidP="00056EE7">
      <w:pPr>
        <w:spacing w:after="0" w:line="300" w:lineRule="atLeast"/>
        <w:ind w:firstLine="567"/>
        <w:contextualSpacing/>
        <w:jc w:val="both"/>
        <w:rPr>
          <w:rFonts w:ascii="Times New Roman" w:eastAsia="Times New Roman" w:hAnsi="Times New Roman" w:cs="Times New Roman"/>
          <w:sz w:val="24"/>
          <w:szCs w:val="24"/>
          <w:lang w:val="x-none" w:eastAsia="pl-PL"/>
        </w:rPr>
      </w:pPr>
      <w:r>
        <w:rPr>
          <w:rFonts w:ascii="Times New Roman" w:eastAsia="Times New Roman" w:hAnsi="Times New Roman" w:cs="Times New Roman"/>
          <w:sz w:val="24"/>
          <w:szCs w:val="24"/>
        </w:rPr>
        <w:t>W wyniku kontroli nie stwierdzono naruszeń w zakresie wymogów formalno-prawnych oraz gospodarki odpadami wytworzonymi podczas badań zamkniętego użycia GMM/GMO</w:t>
      </w:r>
      <w:r w:rsidR="00895F16" w:rsidRPr="007F400A">
        <w:rPr>
          <w:rFonts w:ascii="Times New Roman" w:eastAsia="Times New Roman" w:hAnsi="Times New Roman" w:cs="Times New Roman"/>
          <w:sz w:val="24"/>
          <w:szCs w:val="24"/>
          <w:lang w:val="x-none" w:eastAsia="pl-PL"/>
        </w:rPr>
        <w:t>.</w:t>
      </w:r>
    </w:p>
    <w:p w14:paraId="3C6C6E5B" w14:textId="77777777" w:rsidR="00895F16" w:rsidRPr="007F400A" w:rsidRDefault="00895F16" w:rsidP="00056EE7">
      <w:pPr>
        <w:autoSpaceDE w:val="0"/>
        <w:autoSpaceDN w:val="0"/>
        <w:adjustRightInd w:val="0"/>
        <w:spacing w:after="0" w:line="300" w:lineRule="atLeast"/>
        <w:ind w:left="709"/>
        <w:jc w:val="both"/>
        <w:rPr>
          <w:rFonts w:ascii="Times New Roman" w:eastAsia="Times New Roman" w:hAnsi="Times New Roman" w:cs="Times New Roman"/>
          <w:sz w:val="24"/>
          <w:szCs w:val="24"/>
          <w:lang w:eastAsia="pl-PL"/>
        </w:rPr>
      </w:pPr>
    </w:p>
    <w:p w14:paraId="26D2767F" w14:textId="1846C23C" w:rsidR="00895F16" w:rsidRPr="007F400A" w:rsidRDefault="00895F16" w:rsidP="00EE45B1">
      <w:pPr>
        <w:keepNext/>
        <w:spacing w:after="120" w:line="300" w:lineRule="atLeast"/>
        <w:outlineLvl w:val="0"/>
        <w:rPr>
          <w:rFonts w:ascii="Times New Roman" w:eastAsia="Times New Roman" w:hAnsi="Times New Roman" w:cs="Times New Roman"/>
          <w:b/>
          <w:bCs/>
          <w:sz w:val="24"/>
          <w:szCs w:val="24"/>
          <w:lang w:val="x-none" w:eastAsia="x-none"/>
        </w:rPr>
      </w:pPr>
      <w:bookmarkStart w:id="117" w:name="_Toc5878558"/>
      <w:bookmarkStart w:id="118" w:name="_Toc36732576"/>
      <w:bookmarkStart w:id="119" w:name="_Toc135935603"/>
      <w:r w:rsidRPr="007F400A">
        <w:rPr>
          <w:rFonts w:ascii="Times New Roman" w:eastAsia="Times New Roman" w:hAnsi="Times New Roman" w:cs="Times New Roman"/>
          <w:b/>
          <w:bCs/>
          <w:sz w:val="24"/>
          <w:szCs w:val="24"/>
          <w:lang w:val="x-none" w:eastAsia="x-none"/>
        </w:rPr>
        <w:t>3.3.1</w:t>
      </w:r>
      <w:r w:rsidR="00217FB6" w:rsidRPr="007F400A">
        <w:rPr>
          <w:rFonts w:ascii="Times New Roman" w:eastAsia="Times New Roman" w:hAnsi="Times New Roman" w:cs="Times New Roman"/>
          <w:b/>
          <w:bCs/>
          <w:sz w:val="24"/>
          <w:szCs w:val="24"/>
          <w:lang w:eastAsia="x-none"/>
        </w:rPr>
        <w:t>3</w:t>
      </w:r>
      <w:r w:rsidRPr="007F400A">
        <w:rPr>
          <w:rFonts w:ascii="Times New Roman" w:eastAsia="Times New Roman" w:hAnsi="Times New Roman" w:cs="Times New Roman"/>
          <w:b/>
          <w:bCs/>
          <w:sz w:val="24"/>
          <w:szCs w:val="24"/>
          <w:lang w:val="x-none" w:eastAsia="x-none"/>
        </w:rPr>
        <w:t xml:space="preserve"> Kontrole użytkowników zasobów genetycznych i kolekcji zasobów genetycznych</w:t>
      </w:r>
      <w:bookmarkEnd w:id="117"/>
      <w:bookmarkEnd w:id="118"/>
      <w:bookmarkEnd w:id="119"/>
    </w:p>
    <w:p w14:paraId="6DB728F6" w14:textId="77777777" w:rsidR="00920E06" w:rsidRDefault="00920E06" w:rsidP="00056EE7">
      <w:pPr>
        <w:spacing w:after="0" w:line="300" w:lineRule="atLeast"/>
        <w:ind w:firstLine="567"/>
        <w:jc w:val="both"/>
        <w:rPr>
          <w:rFonts w:ascii="Times New Roman" w:eastAsia="Times New Roman" w:hAnsi="Times New Roman" w:cs="Times New Roman"/>
          <w:bCs/>
          <w:sz w:val="24"/>
          <w:szCs w:val="24"/>
          <w:lang w:eastAsia="x-none"/>
        </w:rPr>
      </w:pPr>
      <w:r>
        <w:rPr>
          <w:rFonts w:ascii="Times New Roman" w:eastAsia="Times New Roman" w:hAnsi="Times New Roman" w:cs="Times New Roman"/>
          <w:bCs/>
          <w:sz w:val="24"/>
          <w:szCs w:val="24"/>
          <w:lang w:val="x-none" w:eastAsia="x-none"/>
        </w:rPr>
        <w:t>W 202</w:t>
      </w:r>
      <w:r>
        <w:rPr>
          <w:rFonts w:ascii="Times New Roman" w:eastAsia="Times New Roman" w:hAnsi="Times New Roman" w:cs="Times New Roman"/>
          <w:bCs/>
          <w:sz w:val="24"/>
          <w:szCs w:val="24"/>
          <w:lang w:eastAsia="x-none"/>
        </w:rPr>
        <w:t>2</w:t>
      </w:r>
      <w:r>
        <w:rPr>
          <w:rFonts w:ascii="Times New Roman" w:eastAsia="Times New Roman" w:hAnsi="Times New Roman" w:cs="Times New Roman"/>
          <w:bCs/>
          <w:sz w:val="24"/>
          <w:szCs w:val="24"/>
          <w:lang w:val="x-none" w:eastAsia="x-none"/>
        </w:rPr>
        <w:t xml:space="preserve"> r. wojewódzcy inspektorzy ochrony środowiska prowadzili działania kontrolne wynikające z przepisów regulujących dostęp do zasobów genetycznych i podział korzyści z</w:t>
      </w:r>
      <w:r>
        <w:rPr>
          <w:rFonts w:ascii="Times New Roman" w:eastAsia="Times New Roman" w:hAnsi="Times New Roman" w:cs="Times New Roman"/>
          <w:bCs/>
          <w:sz w:val="24"/>
          <w:szCs w:val="24"/>
          <w:lang w:eastAsia="x-none"/>
        </w:rPr>
        <w:t> </w:t>
      </w:r>
      <w:r>
        <w:rPr>
          <w:rFonts w:ascii="Times New Roman" w:eastAsia="Times New Roman" w:hAnsi="Times New Roman" w:cs="Times New Roman"/>
          <w:bCs/>
          <w:sz w:val="24"/>
          <w:szCs w:val="24"/>
          <w:lang w:val="x-none" w:eastAsia="x-none"/>
        </w:rPr>
        <w:t>ich wykorzystania</w:t>
      </w:r>
      <w:r>
        <w:rPr>
          <w:rStyle w:val="Odwoanieprzypisudolnego"/>
          <w:bCs/>
          <w:szCs w:val="24"/>
          <w:lang w:eastAsia="x-none"/>
        </w:rPr>
        <w:footnoteReference w:id="21"/>
      </w:r>
      <w:r>
        <w:rPr>
          <w:rFonts w:ascii="Times New Roman" w:eastAsia="Times New Roman" w:hAnsi="Times New Roman" w:cs="Times New Roman"/>
          <w:bCs/>
          <w:sz w:val="24"/>
          <w:szCs w:val="24"/>
          <w:lang w:val="x-none" w:eastAsia="x-none"/>
        </w:rPr>
        <w:t xml:space="preserve">, realizując zatwierdzony przez Ministra Klimatu </w:t>
      </w:r>
      <w:r>
        <w:rPr>
          <w:rFonts w:ascii="Times New Roman" w:eastAsia="Times New Roman" w:hAnsi="Times New Roman" w:cs="Times New Roman"/>
          <w:bCs/>
          <w:sz w:val="24"/>
          <w:szCs w:val="24"/>
          <w:lang w:eastAsia="x-none"/>
        </w:rPr>
        <w:t xml:space="preserve">i Środowiska </w:t>
      </w:r>
      <w:r>
        <w:rPr>
          <w:rFonts w:ascii="Times New Roman" w:eastAsia="Times New Roman" w:hAnsi="Times New Roman" w:cs="Times New Roman"/>
          <w:bCs/>
          <w:sz w:val="24"/>
          <w:szCs w:val="24"/>
          <w:lang w:val="x-none" w:eastAsia="x-none"/>
        </w:rPr>
        <w:t>plan kontroli użytkowników zasobów genetycznych. Analogicznie jak w latach poprzednich, kontrolą objęto podmioty z następujących sektorów: nauki (uczelnie wyższe, ośrodki naukowo–badawcze) oraz przemysłu (w tym farmaceutycznego, kosmetycznego, biotechnologii, spożywczego).</w:t>
      </w:r>
    </w:p>
    <w:p w14:paraId="26AB6738" w14:textId="77777777" w:rsidR="00920E06" w:rsidRDefault="00920E06" w:rsidP="00056EE7">
      <w:pPr>
        <w:spacing w:after="0" w:line="300" w:lineRule="atLeast"/>
        <w:ind w:firstLine="567"/>
        <w:jc w:val="both"/>
        <w:rPr>
          <w:rFonts w:ascii="Times New Roman" w:eastAsia="Times New Roman" w:hAnsi="Times New Roman" w:cs="Times New Roman"/>
          <w:bCs/>
          <w:sz w:val="24"/>
          <w:szCs w:val="24"/>
          <w:lang w:val="x-none" w:eastAsia="x-none"/>
        </w:rPr>
      </w:pPr>
      <w:r>
        <w:rPr>
          <w:rFonts w:ascii="Times New Roman" w:eastAsia="Times New Roman" w:hAnsi="Times New Roman" w:cs="Times New Roman"/>
          <w:bCs/>
          <w:sz w:val="24"/>
          <w:szCs w:val="24"/>
          <w:lang w:val="x-none" w:eastAsia="x-none"/>
        </w:rPr>
        <w:lastRenderedPageBreak/>
        <w:t xml:space="preserve">Wojewódzcy inspektorzy ochrony środowiska przeprowadzili </w:t>
      </w:r>
      <w:r>
        <w:rPr>
          <w:rFonts w:ascii="Times New Roman" w:eastAsia="Times New Roman" w:hAnsi="Times New Roman" w:cs="Times New Roman"/>
          <w:bCs/>
          <w:sz w:val="24"/>
          <w:szCs w:val="24"/>
          <w:lang w:eastAsia="x-none"/>
        </w:rPr>
        <w:t>łącznie 46 kontroli, stanowiących jednocześnie instruktaż w zakresie stosowania przepisów rozporządzenia UE nr 511/2014</w:t>
      </w:r>
      <w:r>
        <w:rPr>
          <w:rStyle w:val="Odwoanieprzypisudolnego"/>
          <w:bCs/>
          <w:szCs w:val="24"/>
          <w:lang w:eastAsia="x-none"/>
        </w:rPr>
        <w:footnoteReference w:id="22"/>
      </w:r>
      <w:r>
        <w:rPr>
          <w:rFonts w:ascii="Times New Roman" w:eastAsia="Times New Roman" w:hAnsi="Times New Roman" w:cs="Times New Roman"/>
          <w:bCs/>
          <w:sz w:val="24"/>
          <w:szCs w:val="24"/>
          <w:lang w:eastAsia="x-none"/>
        </w:rPr>
        <w:t>.</w:t>
      </w:r>
    </w:p>
    <w:p w14:paraId="18A3A0F2" w14:textId="77777777" w:rsidR="00920E06" w:rsidRDefault="00920E06" w:rsidP="00056EE7">
      <w:pPr>
        <w:spacing w:after="0" w:line="300" w:lineRule="atLeast"/>
        <w:ind w:firstLine="567"/>
        <w:jc w:val="both"/>
        <w:rPr>
          <w:rFonts w:ascii="Times New Roman" w:eastAsia="Times New Roman" w:hAnsi="Times New Roman" w:cs="Times New Roman"/>
          <w:bCs/>
          <w:sz w:val="24"/>
          <w:szCs w:val="24"/>
          <w:lang w:val="x-none" w:eastAsia="x-none"/>
        </w:rPr>
      </w:pPr>
      <w:r>
        <w:rPr>
          <w:rFonts w:ascii="Times New Roman" w:eastAsia="Times New Roman" w:hAnsi="Times New Roman" w:cs="Times New Roman"/>
          <w:bCs/>
          <w:sz w:val="24"/>
          <w:szCs w:val="24"/>
          <w:lang w:val="x-none" w:eastAsia="x-none"/>
        </w:rPr>
        <w:t>Dodatkowe działania organów Inspekcji Ochrony Środowiska w zakresie realizacji obowiązków wynikających z przepisów krajowych i unijnych wdrażających postanowienia Protokołu z Nagoi o dostępie do zasobów genetycznych oraz sprawiedliwym i równym podziale korzyści wynikających z wykorzystania tych zasobów, skupiły się na dokonaniu rozpoznania rynku w zakresie identyfikacji potencjalnych użytkowników zasobów genetycznych, którzy</w:t>
      </w:r>
      <w:r>
        <w:rPr>
          <w:rFonts w:ascii="Times New Roman" w:eastAsia="Times New Roman" w:hAnsi="Times New Roman" w:cs="Times New Roman"/>
          <w:bCs/>
          <w:sz w:val="24"/>
          <w:szCs w:val="24"/>
          <w:lang w:eastAsia="x-none"/>
        </w:rPr>
        <w:t> </w:t>
      </w:r>
      <w:r>
        <w:rPr>
          <w:rFonts w:ascii="Times New Roman" w:eastAsia="Times New Roman" w:hAnsi="Times New Roman" w:cs="Times New Roman"/>
          <w:bCs/>
          <w:sz w:val="24"/>
          <w:szCs w:val="24"/>
          <w:lang w:val="x-none" w:eastAsia="x-none"/>
        </w:rPr>
        <w:t>ujęci zostaną w planach kontroli użytkowników zasobów genetycznych w kolejnych latach.</w:t>
      </w:r>
    </w:p>
    <w:p w14:paraId="1C49E80E" w14:textId="58620FF9" w:rsidR="00895F16" w:rsidRPr="007F400A" w:rsidRDefault="00920E06" w:rsidP="00056EE7">
      <w:pPr>
        <w:spacing w:after="0" w:line="300" w:lineRule="atLeast"/>
        <w:ind w:firstLine="567"/>
        <w:jc w:val="both"/>
        <w:rPr>
          <w:rFonts w:ascii="Times New Roman" w:eastAsia="Calibri" w:hAnsi="Times New Roman" w:cs="Times New Roman"/>
          <w:sz w:val="24"/>
          <w:szCs w:val="24"/>
          <w:lang w:eastAsia="pl-PL"/>
        </w:rPr>
      </w:pPr>
      <w:r>
        <w:rPr>
          <w:rFonts w:ascii="Times New Roman" w:hAnsi="Times New Roman" w:cs="Times New Roman"/>
          <w:sz w:val="24"/>
          <w:szCs w:val="24"/>
        </w:rPr>
        <w:t>Z uwagi na brak kolekcji zasobów genetycznych ujętych w rejestrze prowadzonym przez Komisję Europejską, zlokalizowanych na terenie Rzeczypospolitej Polskiej, wojewódzcy inspektorzy ochrony środowiska w 2022 r. nie prowadzili kontroli kolekcji zasobów genetycznych bądź ich części</w:t>
      </w:r>
      <w:r w:rsidR="00895F16" w:rsidRPr="007F400A">
        <w:rPr>
          <w:rFonts w:ascii="Times New Roman" w:eastAsia="Calibri" w:hAnsi="Times New Roman" w:cs="Times New Roman"/>
          <w:sz w:val="24"/>
          <w:szCs w:val="24"/>
          <w:lang w:eastAsia="pl-PL"/>
        </w:rPr>
        <w:t>.</w:t>
      </w:r>
    </w:p>
    <w:p w14:paraId="5A583155" w14:textId="77777777" w:rsidR="00895F16" w:rsidRPr="007F400A" w:rsidRDefault="00895F16" w:rsidP="00056EE7">
      <w:pPr>
        <w:spacing w:after="0" w:line="300" w:lineRule="atLeast"/>
        <w:ind w:firstLine="709"/>
        <w:jc w:val="both"/>
        <w:rPr>
          <w:rFonts w:ascii="Times New Roman" w:eastAsia="Calibri" w:hAnsi="Times New Roman" w:cs="Times New Roman"/>
          <w:sz w:val="24"/>
          <w:szCs w:val="24"/>
          <w:lang w:eastAsia="pl-PL"/>
        </w:rPr>
      </w:pPr>
    </w:p>
    <w:p w14:paraId="04697854" w14:textId="355D2A39" w:rsidR="00895F16" w:rsidRPr="007F400A" w:rsidRDefault="00895F16" w:rsidP="00056EE7">
      <w:pPr>
        <w:keepNext/>
        <w:spacing w:after="120" w:line="300" w:lineRule="atLeast"/>
        <w:outlineLvl w:val="0"/>
        <w:rPr>
          <w:rFonts w:ascii="Times New Roman" w:eastAsia="Times New Roman" w:hAnsi="Times New Roman" w:cs="Times New Roman"/>
          <w:b/>
          <w:bCs/>
          <w:sz w:val="24"/>
          <w:szCs w:val="24"/>
          <w:lang w:val="x-none" w:eastAsia="x-none"/>
        </w:rPr>
      </w:pPr>
      <w:bookmarkStart w:id="120" w:name="_Toc5878559"/>
      <w:bookmarkStart w:id="121" w:name="_Toc36732577"/>
      <w:bookmarkStart w:id="122" w:name="_Toc135935604"/>
      <w:r w:rsidRPr="007F400A">
        <w:rPr>
          <w:rFonts w:ascii="Times New Roman" w:eastAsia="Times New Roman" w:hAnsi="Times New Roman" w:cs="Times New Roman"/>
          <w:b/>
          <w:bCs/>
          <w:sz w:val="24"/>
          <w:szCs w:val="24"/>
          <w:lang w:val="x-none" w:eastAsia="x-none"/>
        </w:rPr>
        <w:t>3.3.1</w:t>
      </w:r>
      <w:r w:rsidR="00217FB6" w:rsidRPr="007F400A">
        <w:rPr>
          <w:rFonts w:ascii="Times New Roman" w:eastAsia="Times New Roman" w:hAnsi="Times New Roman" w:cs="Times New Roman"/>
          <w:b/>
          <w:bCs/>
          <w:sz w:val="24"/>
          <w:szCs w:val="24"/>
          <w:lang w:eastAsia="x-none"/>
        </w:rPr>
        <w:t>4</w:t>
      </w:r>
      <w:r w:rsidRPr="007F400A">
        <w:rPr>
          <w:rFonts w:ascii="Times New Roman" w:eastAsia="Times New Roman" w:hAnsi="Times New Roman" w:cs="Times New Roman"/>
          <w:b/>
          <w:bCs/>
          <w:sz w:val="24"/>
          <w:szCs w:val="24"/>
          <w:lang w:val="x-none" w:eastAsia="x-none"/>
        </w:rPr>
        <w:t xml:space="preserve"> Urządzenia w nadzorze rynku</w:t>
      </w:r>
      <w:bookmarkEnd w:id="120"/>
      <w:bookmarkEnd w:id="121"/>
      <w:bookmarkEnd w:id="122"/>
    </w:p>
    <w:p w14:paraId="3A715FA3" w14:textId="77777777" w:rsidR="00920E06" w:rsidRDefault="00920E06" w:rsidP="00056EE7">
      <w:pPr>
        <w:spacing w:after="0" w:line="300" w:lineRule="atLeast"/>
        <w:ind w:firstLine="567"/>
        <w:jc w:val="both"/>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W 2022 r. wojewódzcy inspektorzy ochrony środowiska przeprowadzili 24 kontrole z nadzoru rynku w zakresie emisji hałasu do środowiska przez urządzenia używane na zewnątrz pomieszczeń</w:t>
      </w:r>
      <w:r w:rsidRPr="008E01DC">
        <w:rPr>
          <w:rFonts w:ascii="Times New Roman" w:eastAsia="Times New Roman" w:hAnsi="Times New Roman" w:cs="Times New Roman"/>
          <w:bCs/>
          <w:sz w:val="24"/>
          <w:szCs w:val="24"/>
          <w:vertAlign w:val="superscript"/>
          <w:lang w:eastAsia="x-none"/>
        </w:rPr>
        <w:footnoteReference w:id="23"/>
      </w:r>
      <w:r>
        <w:rPr>
          <w:rFonts w:ascii="Times New Roman" w:eastAsia="Times New Roman" w:hAnsi="Times New Roman" w:cs="Times New Roman"/>
          <w:sz w:val="24"/>
          <w:szCs w:val="24"/>
          <w:lang w:eastAsia="pl-PL"/>
        </w:rPr>
        <w:t xml:space="preserve">, w trakcie których skontrolowali 42 urządzenia. Kontrolą objęto różnego rodzaju urządzenia używane na zewnątrz pomieszczeń, m.in. kosiarki do trawy, kosy spalinowe i pilarki łańcuchowe. W przypadku 21 kontroli nie stwierdzono nieprawidłowości. </w:t>
      </w:r>
    </w:p>
    <w:p w14:paraId="2A6ECC01" w14:textId="77777777" w:rsidR="00920E06" w:rsidRDefault="00920E06" w:rsidP="00056EE7">
      <w:pPr>
        <w:spacing w:after="0" w:line="300" w:lineRule="atLeast"/>
        <w:ind w:firstLine="567"/>
        <w:jc w:val="both"/>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W przypadku 3 kontroli stwierdzono naruszenia i zakwestionowano 3 wyroby. Wszystkie stwierdzone naruszenia to naruszenia formalne bez istotnego wpływu na środowisko, które dotyczyły: niekompletnej deklaracji zgodności WE dołączonej do urządzenia, rozbieżności pomiędzy wartością gwarantowanego poziomu mocy akustycznej LWA umieszczoną na urządzeniu a podaną w deklaracji zgodności WE oraz nieprawidłowego oznakowania CE i oznaczenia LWA na urządzeniu.</w:t>
      </w:r>
    </w:p>
    <w:p w14:paraId="1DC615F5" w14:textId="5D2077F1" w:rsidR="00895F16" w:rsidRDefault="00920E06" w:rsidP="00056EE7">
      <w:pPr>
        <w:tabs>
          <w:tab w:val="left" w:pos="567"/>
        </w:tabs>
        <w:autoSpaceDE w:val="0"/>
        <w:autoSpaceDN w:val="0"/>
        <w:adjustRightInd w:val="0"/>
        <w:spacing w:after="0" w:line="300" w:lineRule="atLeast"/>
        <w:ind w:firstLine="567"/>
        <w:jc w:val="both"/>
        <w:rPr>
          <w:rFonts w:ascii="Times New Roman" w:eastAsia="Calibri" w:hAnsi="Times New Roman" w:cs="Times New Roman"/>
          <w:sz w:val="24"/>
          <w:szCs w:val="24"/>
          <w:lang w:eastAsia="pl-PL"/>
        </w:rPr>
      </w:pPr>
      <w:r>
        <w:rPr>
          <w:rFonts w:ascii="Times New Roman" w:hAnsi="Times New Roman" w:cs="Times New Roman"/>
          <w:sz w:val="24"/>
          <w:szCs w:val="24"/>
          <w:lang w:eastAsia="pl-PL"/>
        </w:rPr>
        <w:t>W związku ze stwierdzonymi naruszeniami wydano 4 zarządzenia pokontrolne</w:t>
      </w:r>
      <w:r w:rsidR="00895F16" w:rsidRPr="007F400A">
        <w:rPr>
          <w:rFonts w:ascii="Times New Roman" w:eastAsia="Calibri" w:hAnsi="Times New Roman" w:cs="Times New Roman"/>
          <w:sz w:val="24"/>
          <w:szCs w:val="24"/>
          <w:lang w:eastAsia="pl-PL"/>
        </w:rPr>
        <w:t>.</w:t>
      </w:r>
    </w:p>
    <w:p w14:paraId="75588645" w14:textId="602409D6" w:rsidR="001633A3" w:rsidRDefault="001633A3" w:rsidP="00056EE7">
      <w:pPr>
        <w:tabs>
          <w:tab w:val="left" w:pos="567"/>
        </w:tabs>
        <w:autoSpaceDE w:val="0"/>
        <w:autoSpaceDN w:val="0"/>
        <w:adjustRightInd w:val="0"/>
        <w:spacing w:after="0" w:line="300" w:lineRule="atLeast"/>
        <w:jc w:val="both"/>
        <w:rPr>
          <w:rFonts w:ascii="Times New Roman" w:eastAsia="Calibri" w:hAnsi="Times New Roman" w:cs="Times New Roman"/>
          <w:sz w:val="24"/>
          <w:szCs w:val="24"/>
          <w:lang w:eastAsia="pl-PL"/>
        </w:rPr>
      </w:pPr>
    </w:p>
    <w:p w14:paraId="134119D8" w14:textId="77777777" w:rsidR="001633A3" w:rsidRPr="00B5252E" w:rsidRDefault="001633A3" w:rsidP="00056EE7">
      <w:pPr>
        <w:keepNext/>
        <w:spacing w:after="120" w:line="300" w:lineRule="atLeast"/>
        <w:outlineLvl w:val="0"/>
        <w:rPr>
          <w:rFonts w:ascii="Times New Roman" w:eastAsia="Times New Roman" w:hAnsi="Times New Roman" w:cs="Times New Roman"/>
          <w:b/>
          <w:bCs/>
          <w:sz w:val="24"/>
          <w:szCs w:val="24"/>
          <w:lang w:val="x-none" w:eastAsia="x-none"/>
        </w:rPr>
      </w:pPr>
      <w:bookmarkStart w:id="123" w:name="_Toc135935605"/>
      <w:r w:rsidRPr="007F400A">
        <w:rPr>
          <w:rFonts w:ascii="Times New Roman" w:eastAsia="Times New Roman" w:hAnsi="Times New Roman" w:cs="Times New Roman"/>
          <w:b/>
          <w:bCs/>
          <w:sz w:val="24"/>
          <w:szCs w:val="24"/>
          <w:lang w:val="x-none" w:eastAsia="x-none"/>
        </w:rPr>
        <w:t>3.3.</w:t>
      </w:r>
      <w:r>
        <w:rPr>
          <w:rFonts w:ascii="Times New Roman" w:eastAsia="Times New Roman" w:hAnsi="Times New Roman" w:cs="Times New Roman"/>
          <w:b/>
          <w:bCs/>
          <w:sz w:val="24"/>
          <w:szCs w:val="24"/>
          <w:lang w:eastAsia="x-none"/>
        </w:rPr>
        <w:t>15</w:t>
      </w:r>
      <w:r w:rsidRPr="007F400A">
        <w:rPr>
          <w:rFonts w:ascii="Times New Roman" w:eastAsia="Times New Roman" w:hAnsi="Times New Roman" w:cs="Times New Roman"/>
          <w:b/>
          <w:bCs/>
          <w:sz w:val="24"/>
          <w:szCs w:val="24"/>
          <w:lang w:val="x-none" w:eastAsia="x-none"/>
        </w:rPr>
        <w:t xml:space="preserve"> </w:t>
      </w:r>
      <w:r>
        <w:rPr>
          <w:rFonts w:ascii="Times New Roman" w:eastAsia="Calibri" w:hAnsi="Times New Roman" w:cs="Times New Roman"/>
          <w:b/>
          <w:sz w:val="24"/>
          <w:szCs w:val="24"/>
          <w:lang w:eastAsia="pl-PL"/>
        </w:rPr>
        <w:t>Silniki do maszyn mobilnych nieporuszających się po drogach</w:t>
      </w:r>
      <w:bookmarkEnd w:id="123"/>
      <w:r>
        <w:rPr>
          <w:rFonts w:ascii="Times New Roman" w:eastAsia="Calibri" w:hAnsi="Times New Roman" w:cs="Times New Roman"/>
          <w:b/>
          <w:sz w:val="24"/>
          <w:szCs w:val="24"/>
          <w:lang w:eastAsia="pl-PL"/>
        </w:rPr>
        <w:t xml:space="preserve"> </w:t>
      </w:r>
    </w:p>
    <w:p w14:paraId="43893B53" w14:textId="77777777" w:rsidR="001633A3" w:rsidRDefault="001633A3" w:rsidP="00056EE7">
      <w:pPr>
        <w:spacing w:after="0" w:line="300" w:lineRule="atLeast"/>
        <w:ind w:firstLine="708"/>
        <w:jc w:val="both"/>
        <w:rPr>
          <w:rFonts w:ascii="Times New Roman" w:eastAsia="Calibri" w:hAnsi="Times New Roman" w:cs="Times New Roman"/>
          <w:sz w:val="24"/>
          <w:szCs w:val="24"/>
          <w:lang w:eastAsia="pl-PL"/>
        </w:rPr>
      </w:pPr>
      <w:r>
        <w:rPr>
          <w:rFonts w:ascii="Times New Roman" w:eastAsia="Times New Roman" w:hAnsi="Times New Roman" w:cs="Times New Roman"/>
          <w:sz w:val="24"/>
          <w:szCs w:val="24"/>
          <w:lang w:eastAsia="pl-PL"/>
        </w:rPr>
        <w:t xml:space="preserve">W 2022 r. wojewódzcy inspektorzy ochrony środowiska przeprowadzili 9 kontroli </w:t>
      </w:r>
      <w:r>
        <w:rPr>
          <w:rFonts w:ascii="Times New Roman" w:eastAsia="Calibri" w:hAnsi="Times New Roman" w:cs="Times New Roman"/>
          <w:bCs/>
          <w:sz w:val="24"/>
          <w:szCs w:val="24"/>
          <w:lang w:bidi="pl-PL"/>
        </w:rPr>
        <w:t>spełniania przez silniki wymogów określonych w rozporządzeniu (UE) 2016/1628</w:t>
      </w:r>
      <w:r>
        <w:rPr>
          <w:rFonts w:ascii="Times New Roman" w:eastAsia="Calibri" w:hAnsi="Times New Roman" w:cs="Times New Roman"/>
          <w:bCs/>
          <w:sz w:val="24"/>
          <w:szCs w:val="24"/>
          <w:vertAlign w:val="superscript"/>
          <w:lang w:bidi="pl-PL"/>
        </w:rPr>
        <w:footnoteReference w:id="24"/>
      </w:r>
      <w:r>
        <w:rPr>
          <w:rFonts w:ascii="Times New Roman" w:eastAsia="Calibri" w:hAnsi="Times New Roman" w:cs="Times New Roman"/>
          <w:bCs/>
          <w:sz w:val="24"/>
          <w:szCs w:val="24"/>
          <w:lang w:bidi="pl-PL"/>
        </w:rPr>
        <w:t xml:space="preserve"> oraz aktach delegowanych i aktach wykonawczych wydanych na jego podstawie, </w:t>
      </w:r>
      <w:r>
        <w:rPr>
          <w:rFonts w:ascii="Times New Roman" w:eastAsia="Times New Roman" w:hAnsi="Times New Roman" w:cs="Times New Roman"/>
          <w:sz w:val="24"/>
          <w:szCs w:val="24"/>
          <w:lang w:eastAsia="pl-PL"/>
        </w:rPr>
        <w:t xml:space="preserve">w trakcie </w:t>
      </w:r>
      <w:r>
        <w:rPr>
          <w:rFonts w:ascii="Times New Roman" w:eastAsia="Times New Roman" w:hAnsi="Times New Roman" w:cs="Times New Roman"/>
          <w:sz w:val="24"/>
          <w:szCs w:val="24"/>
          <w:lang w:eastAsia="pl-PL"/>
        </w:rPr>
        <w:lastRenderedPageBreak/>
        <w:t>których skontrolowano 31 maszyn z silnikami spalinowymi</w:t>
      </w:r>
      <w:r>
        <w:rPr>
          <w:rFonts w:ascii="Times New Roman" w:eastAsia="Times New Roman" w:hAnsi="Times New Roman" w:cs="Times New Roman"/>
          <w:sz w:val="24"/>
          <w:szCs w:val="24"/>
          <w:vertAlign w:val="superscript"/>
          <w:lang w:eastAsia="pl-PL"/>
        </w:rPr>
        <w:footnoteReference w:id="25"/>
      </w:r>
      <w:r>
        <w:rPr>
          <w:rFonts w:ascii="Times New Roman" w:eastAsia="Times New Roman" w:hAnsi="Times New Roman" w:cs="Times New Roman"/>
          <w:sz w:val="24"/>
          <w:szCs w:val="24"/>
          <w:lang w:eastAsia="pl-PL"/>
        </w:rPr>
        <w:t>. K</w:t>
      </w:r>
      <w:r>
        <w:rPr>
          <w:rFonts w:ascii="Times New Roman" w:eastAsia="Calibri" w:hAnsi="Times New Roman" w:cs="Times New Roman"/>
          <w:sz w:val="24"/>
          <w:szCs w:val="24"/>
          <w:lang w:eastAsia="pl-PL"/>
        </w:rPr>
        <w:t>ontrolą objęto maszyny mobilne nieporuszające się po drogach, w których są zamontowane silniki podlegające homologacji typu UE, m.in. koparko-ładowarka, zacieraczka do betonu, pompa do betonu, agregat prądotwórczy.</w:t>
      </w:r>
    </w:p>
    <w:p w14:paraId="02B5C06A" w14:textId="77777777" w:rsidR="001633A3" w:rsidRPr="00B5252E" w:rsidRDefault="001633A3" w:rsidP="00056EE7">
      <w:pPr>
        <w:pStyle w:val="RYS"/>
        <w:ind w:left="0" w:firstLine="708"/>
        <w:jc w:val="both"/>
        <w:rPr>
          <w:rFonts w:ascii="Times New Roman" w:hAnsi="Times New Roman" w:cs="Times New Roman"/>
          <w:lang w:eastAsia="pl-PL"/>
        </w:rPr>
      </w:pPr>
      <w:r w:rsidRPr="00B5252E">
        <w:rPr>
          <w:rFonts w:ascii="Times New Roman" w:hAnsi="Times New Roman" w:cs="Times New Roman"/>
          <w:lang w:eastAsia="pl-PL"/>
        </w:rPr>
        <w:t xml:space="preserve">W przypadku 5 kontroli stwierdzono naruszenia i zakwestionowano 18 maszyn wyposażonych w silniki. </w:t>
      </w:r>
      <w:r w:rsidRPr="00A02608">
        <w:rPr>
          <w:rFonts w:ascii="Times New Roman" w:hAnsi="Times New Roman" w:cs="Times New Roman"/>
          <w:lang w:eastAsia="pl-PL"/>
        </w:rPr>
        <w:t>Stwierdzone naruszenia</w:t>
      </w:r>
      <w:r>
        <w:rPr>
          <w:rFonts w:ascii="Times New Roman" w:hAnsi="Times New Roman" w:cs="Times New Roman"/>
          <w:lang w:eastAsia="pl-PL"/>
        </w:rPr>
        <w:t xml:space="preserve"> </w:t>
      </w:r>
      <w:r>
        <w:rPr>
          <w:rFonts w:ascii="Times New Roman" w:hAnsi="Times New Roman" w:cs="Times New Roman"/>
        </w:rPr>
        <w:t xml:space="preserve">klasy 1 </w:t>
      </w:r>
      <w:r w:rsidRPr="007F400A">
        <w:rPr>
          <w:rFonts w:ascii="Times New Roman" w:hAnsi="Times New Roman" w:cs="Times New Roman"/>
        </w:rPr>
        <w:t>bez istotnego wpływu na środowisko</w:t>
      </w:r>
      <w:r>
        <w:rPr>
          <w:rFonts w:ascii="Times New Roman" w:hAnsi="Times New Roman" w:cs="Times New Roman"/>
        </w:rPr>
        <w:t xml:space="preserve"> dotyczyły</w:t>
      </w:r>
      <w:r w:rsidRPr="00A02608">
        <w:rPr>
          <w:rFonts w:ascii="Times New Roman" w:hAnsi="Times New Roman" w:cs="Times New Roman"/>
          <w:lang w:eastAsia="pl-PL"/>
        </w:rPr>
        <w:t xml:space="preserve"> m.in.: braku świadectwa homologacji typu UE dla silnika i nie spełniania wymagań wartości granicznych emisji spalin określonych jako Stage V „etap V”, wprowadzonych rozporządzeniem (UE) 2016/1628.</w:t>
      </w:r>
    </w:p>
    <w:p w14:paraId="619A51D9" w14:textId="77EBC99E" w:rsidR="001633A3" w:rsidRPr="00646A2B" w:rsidRDefault="001633A3" w:rsidP="00056EE7">
      <w:pPr>
        <w:tabs>
          <w:tab w:val="left" w:pos="567"/>
        </w:tabs>
        <w:autoSpaceDE w:val="0"/>
        <w:autoSpaceDN w:val="0"/>
        <w:adjustRightInd w:val="0"/>
        <w:spacing w:after="0" w:line="300" w:lineRule="atLeast"/>
        <w:jc w:val="both"/>
        <w:rPr>
          <w:rFonts w:ascii="Times New Roman" w:eastAsia="Calibri" w:hAnsi="Times New Roman" w:cs="Times New Roman"/>
          <w:color w:val="000000" w:themeColor="text1"/>
          <w:sz w:val="24"/>
          <w:szCs w:val="24"/>
          <w:lang w:eastAsia="pl-PL"/>
        </w:rPr>
      </w:pPr>
      <w:r w:rsidRPr="00646A2B">
        <w:rPr>
          <w:rFonts w:ascii="Times New Roman" w:hAnsi="Times New Roman" w:cs="Times New Roman"/>
          <w:color w:val="000000" w:themeColor="text1"/>
          <w:sz w:val="24"/>
          <w:szCs w:val="24"/>
          <w:lang w:eastAsia="pl-PL"/>
        </w:rPr>
        <w:t xml:space="preserve">W związku ze stwierdzonymi naruszeniami wydano 2 zarządzenia pokontrolne i 2 decyzje </w:t>
      </w:r>
      <w:r w:rsidR="00646A2B">
        <w:rPr>
          <w:rFonts w:ascii="Times New Roman" w:hAnsi="Times New Roman" w:cs="Times New Roman"/>
          <w:color w:val="000000" w:themeColor="text1"/>
          <w:sz w:val="24"/>
          <w:szCs w:val="24"/>
          <w:lang w:eastAsia="pl-PL"/>
        </w:rPr>
        <w:br/>
      </w:r>
      <w:r w:rsidRPr="00646A2B">
        <w:rPr>
          <w:rFonts w:ascii="Times New Roman" w:hAnsi="Times New Roman" w:cs="Times New Roman"/>
          <w:color w:val="000000" w:themeColor="text1"/>
          <w:sz w:val="24"/>
          <w:szCs w:val="24"/>
          <w:lang w:eastAsia="pl-PL"/>
        </w:rPr>
        <w:t>w sprawie nałożenia kar pieniężnych</w:t>
      </w:r>
      <w:r w:rsidR="007108E8" w:rsidRPr="00646A2B">
        <w:rPr>
          <w:rFonts w:ascii="Times New Roman" w:hAnsi="Times New Roman" w:cs="Times New Roman"/>
          <w:color w:val="000000" w:themeColor="text1"/>
          <w:sz w:val="24"/>
          <w:szCs w:val="24"/>
          <w:lang w:eastAsia="pl-PL"/>
        </w:rPr>
        <w:t>.</w:t>
      </w:r>
    </w:p>
    <w:p w14:paraId="53451A64" w14:textId="77777777" w:rsidR="00895F16" w:rsidRPr="00646A2B" w:rsidRDefault="00895F16" w:rsidP="00056EE7">
      <w:pPr>
        <w:tabs>
          <w:tab w:val="left" w:pos="567"/>
        </w:tabs>
        <w:autoSpaceDE w:val="0"/>
        <w:autoSpaceDN w:val="0"/>
        <w:adjustRightInd w:val="0"/>
        <w:spacing w:after="0" w:line="300" w:lineRule="atLeast"/>
        <w:ind w:firstLine="709"/>
        <w:jc w:val="both"/>
        <w:rPr>
          <w:rFonts w:ascii="Times New Roman" w:eastAsia="Calibri" w:hAnsi="Times New Roman" w:cs="Times New Roman"/>
          <w:b/>
          <w:color w:val="000000" w:themeColor="text1"/>
          <w:sz w:val="24"/>
          <w:szCs w:val="24"/>
          <w:lang w:eastAsia="pl-PL"/>
        </w:rPr>
      </w:pPr>
    </w:p>
    <w:p w14:paraId="1D12459F" w14:textId="4C139C53" w:rsidR="00895F16" w:rsidRPr="007F400A" w:rsidRDefault="00895F16" w:rsidP="00056EE7">
      <w:pPr>
        <w:keepNext/>
        <w:spacing w:after="120" w:line="300" w:lineRule="atLeast"/>
        <w:outlineLvl w:val="0"/>
        <w:rPr>
          <w:rFonts w:ascii="Times New Roman" w:eastAsia="Times New Roman" w:hAnsi="Times New Roman" w:cs="Times New Roman"/>
          <w:b/>
          <w:bCs/>
          <w:sz w:val="24"/>
          <w:szCs w:val="24"/>
          <w:lang w:val="x-none" w:eastAsia="x-none"/>
        </w:rPr>
      </w:pPr>
      <w:bookmarkStart w:id="124" w:name="_Toc36732578"/>
      <w:bookmarkStart w:id="125" w:name="_Toc135935606"/>
      <w:r w:rsidRPr="007F400A">
        <w:rPr>
          <w:rFonts w:ascii="Times New Roman" w:eastAsia="Times New Roman" w:hAnsi="Times New Roman" w:cs="Times New Roman"/>
          <w:b/>
          <w:bCs/>
          <w:sz w:val="24"/>
          <w:szCs w:val="24"/>
          <w:lang w:val="x-none" w:eastAsia="x-none"/>
        </w:rPr>
        <w:t>3.3.1</w:t>
      </w:r>
      <w:r w:rsidR="001633A3">
        <w:rPr>
          <w:rFonts w:ascii="Times New Roman" w:eastAsia="Times New Roman" w:hAnsi="Times New Roman" w:cs="Times New Roman"/>
          <w:b/>
          <w:bCs/>
          <w:sz w:val="24"/>
          <w:szCs w:val="24"/>
          <w:lang w:eastAsia="x-none"/>
        </w:rPr>
        <w:t>6</w:t>
      </w:r>
      <w:r w:rsidRPr="007F400A">
        <w:rPr>
          <w:rFonts w:ascii="Times New Roman" w:eastAsia="Times New Roman" w:hAnsi="Times New Roman" w:cs="Times New Roman"/>
          <w:b/>
          <w:bCs/>
          <w:sz w:val="24"/>
          <w:szCs w:val="24"/>
          <w:lang w:val="x-none" w:eastAsia="x-none"/>
        </w:rPr>
        <w:t xml:space="preserve"> Działalność kontrolna w miejscach zagrożonych wystąpieniem pożaru odpadów</w:t>
      </w:r>
      <w:bookmarkEnd w:id="124"/>
      <w:bookmarkEnd w:id="125"/>
    </w:p>
    <w:p w14:paraId="4F25901A" w14:textId="77777777" w:rsidR="001633A3" w:rsidRPr="007A0185" w:rsidRDefault="001633A3" w:rsidP="00056EE7">
      <w:pPr>
        <w:spacing w:before="240" w:after="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W 2022 r. wojewódzcy inspektorzy ochrony środowiska przeprowadzili</w:t>
      </w:r>
      <w:r w:rsidRPr="00965BA2">
        <w:rPr>
          <w:rFonts w:ascii="Times New Roman" w:eastAsia="Calibri" w:hAnsi="Times New Roman" w:cs="Times New Roman"/>
          <w:b/>
          <w:bCs/>
        </w:rPr>
        <w:t xml:space="preserve"> </w:t>
      </w:r>
      <w:r w:rsidRPr="00965BA2">
        <w:rPr>
          <w:rFonts w:ascii="Times New Roman" w:eastAsia="Calibri" w:hAnsi="Times New Roman" w:cs="Times New Roman"/>
          <w:sz w:val="24"/>
          <w:szCs w:val="24"/>
        </w:rPr>
        <w:t xml:space="preserve">łącznie </w:t>
      </w:r>
      <w:r w:rsidRPr="007A0185">
        <w:rPr>
          <w:rFonts w:ascii="Times New Roman" w:eastAsia="Calibri" w:hAnsi="Times New Roman" w:cs="Times New Roman"/>
          <w:sz w:val="24"/>
          <w:szCs w:val="24"/>
        </w:rPr>
        <w:t xml:space="preserve">1 086 kontroli miejsc zagrożonych wystąpieniem pożaru, z czego 335 kontroli przy współudziale innych organów (Policji, Państwowej Straży Pożarnej, organów samorządowych itp.). </w:t>
      </w:r>
    </w:p>
    <w:p w14:paraId="6F1626E2" w14:textId="7C2F6E6F" w:rsidR="001633A3" w:rsidRPr="007A0185" w:rsidRDefault="001633A3" w:rsidP="00056EE7">
      <w:pPr>
        <w:spacing w:before="240" w:after="0" w:line="300" w:lineRule="atLeast"/>
        <w:ind w:firstLine="567"/>
        <w:jc w:val="both"/>
        <w:rPr>
          <w:rFonts w:ascii="Times New Roman" w:eastAsia="Calibri" w:hAnsi="Times New Roman" w:cs="Times New Roman"/>
          <w:sz w:val="24"/>
          <w:szCs w:val="24"/>
        </w:rPr>
      </w:pPr>
      <w:r w:rsidRPr="007A0185">
        <w:rPr>
          <w:rFonts w:ascii="Times New Roman" w:eastAsia="Calibri" w:hAnsi="Times New Roman" w:cs="Times New Roman"/>
          <w:sz w:val="24"/>
          <w:szCs w:val="24"/>
        </w:rPr>
        <w:t xml:space="preserve">W układzie województw rozkład liczbowy kontroli przedstawia się następująco: wielkopolskie (273), mazowieckie (228), lubelskie (61), pomorskie (81), łódzkie (70), opolskie (49), śląskie (29), świętokrzyskie (61), dolnośląskie (45), podlaskie (29), kujawsko-pomorskie (36), podkarpackie (12), warmińsko-mazurskie (19), lubuskie (11), małopolskie (18), zachodniopomorskie (7). </w:t>
      </w:r>
    </w:p>
    <w:p w14:paraId="3FDEAC74" w14:textId="77777777" w:rsidR="001633A3" w:rsidRPr="00965BA2" w:rsidRDefault="001633A3" w:rsidP="00056EE7">
      <w:pPr>
        <w:spacing w:before="240" w:after="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W trakcie 447 kontroli stwierdzono naruszenia, w tym:</w:t>
      </w:r>
    </w:p>
    <w:p w14:paraId="5C8ABDD3" w14:textId="77777777" w:rsidR="001633A3" w:rsidRPr="00965BA2" w:rsidRDefault="001633A3" w:rsidP="00D34F97">
      <w:pPr>
        <w:numPr>
          <w:ilvl w:val="0"/>
          <w:numId w:val="101"/>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eastAsia="pl-PL"/>
        </w:rPr>
        <w:t xml:space="preserve">289 </w:t>
      </w:r>
      <w:r w:rsidRPr="00965BA2">
        <w:rPr>
          <w:rFonts w:ascii="Times New Roman" w:eastAsia="Calibri" w:hAnsi="Times New Roman" w:cs="Times New Roman"/>
          <w:sz w:val="24"/>
          <w:szCs w:val="24"/>
          <w:lang w:val="x-none" w:eastAsia="pl-PL"/>
        </w:rPr>
        <w:t>(6</w:t>
      </w:r>
      <w:r w:rsidRPr="00965BA2">
        <w:rPr>
          <w:rFonts w:ascii="Times New Roman" w:eastAsia="Calibri" w:hAnsi="Times New Roman" w:cs="Times New Roman"/>
          <w:sz w:val="24"/>
          <w:szCs w:val="24"/>
          <w:lang w:eastAsia="pl-PL"/>
        </w:rPr>
        <w:t>5</w:t>
      </w:r>
      <w:r w:rsidRPr="00965BA2">
        <w:rPr>
          <w:rFonts w:ascii="Times New Roman" w:eastAsia="Calibri" w:hAnsi="Times New Roman" w:cs="Times New Roman"/>
          <w:sz w:val="24"/>
          <w:szCs w:val="24"/>
          <w:lang w:val="x-none" w:eastAsia="pl-PL"/>
        </w:rPr>
        <w:t xml:space="preserve">%) </w:t>
      </w:r>
      <w:r w:rsidRPr="00965BA2">
        <w:rPr>
          <w:rFonts w:ascii="Times New Roman" w:eastAsia="Calibri" w:hAnsi="Times New Roman" w:cs="Times New Roman"/>
          <w:sz w:val="24"/>
          <w:szCs w:val="24"/>
          <w:lang w:eastAsia="pl-PL"/>
        </w:rPr>
        <w:t>naruszeń</w:t>
      </w:r>
      <w:r w:rsidRPr="00965BA2">
        <w:rPr>
          <w:rFonts w:ascii="Times New Roman" w:eastAsia="Calibri" w:hAnsi="Times New Roman" w:cs="Times New Roman"/>
          <w:sz w:val="24"/>
          <w:szCs w:val="24"/>
          <w:lang w:val="x-none" w:eastAsia="pl-PL"/>
        </w:rPr>
        <w:t xml:space="preserve"> nieposiadających istotnego wpływu na środowisko</w:t>
      </w:r>
      <w:r w:rsidRPr="00965BA2">
        <w:rPr>
          <w:rFonts w:ascii="Times New Roman" w:eastAsia="Calibri" w:hAnsi="Times New Roman" w:cs="Times New Roman"/>
          <w:sz w:val="24"/>
          <w:szCs w:val="24"/>
          <w:lang w:eastAsia="pl-PL"/>
        </w:rPr>
        <w:t>,</w:t>
      </w:r>
    </w:p>
    <w:p w14:paraId="51A11FC4" w14:textId="77777777" w:rsidR="001633A3" w:rsidRPr="00965BA2" w:rsidRDefault="001633A3" w:rsidP="00D34F97">
      <w:pPr>
        <w:numPr>
          <w:ilvl w:val="0"/>
          <w:numId w:val="101"/>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1</w:t>
      </w:r>
      <w:r w:rsidRPr="00965BA2">
        <w:rPr>
          <w:rFonts w:ascii="Times New Roman" w:eastAsia="Calibri" w:hAnsi="Times New Roman" w:cs="Times New Roman"/>
          <w:sz w:val="24"/>
          <w:szCs w:val="24"/>
          <w:lang w:eastAsia="pl-PL"/>
        </w:rPr>
        <w:t>58 (35%)</w:t>
      </w:r>
      <w:r w:rsidRPr="00965BA2">
        <w:rPr>
          <w:rFonts w:ascii="Times New Roman" w:eastAsia="Calibri" w:hAnsi="Times New Roman" w:cs="Times New Roman"/>
          <w:sz w:val="24"/>
          <w:szCs w:val="24"/>
          <w:lang w:val="x-none" w:eastAsia="pl-PL"/>
        </w:rPr>
        <w:t xml:space="preserve"> naruszeń mogących spowodować zagrożenie lub zanieczyszczenie środowiska. </w:t>
      </w:r>
    </w:p>
    <w:p w14:paraId="2D4C936C" w14:textId="77777777" w:rsidR="001633A3" w:rsidRPr="00965BA2" w:rsidRDefault="001633A3" w:rsidP="00056EE7">
      <w:pPr>
        <w:spacing w:after="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Podczas 159 kontroli (3</w:t>
      </w:r>
      <w:r>
        <w:rPr>
          <w:rFonts w:ascii="Times New Roman" w:eastAsia="Calibri" w:hAnsi="Times New Roman" w:cs="Times New Roman"/>
          <w:sz w:val="24"/>
          <w:szCs w:val="24"/>
        </w:rPr>
        <w:t>6</w:t>
      </w:r>
      <w:r w:rsidRPr="00965BA2">
        <w:rPr>
          <w:rFonts w:ascii="Times New Roman" w:eastAsia="Calibri" w:hAnsi="Times New Roman" w:cs="Times New Roman"/>
          <w:sz w:val="24"/>
          <w:szCs w:val="24"/>
        </w:rPr>
        <w:t>% kontroli z naruszeniami) stwierdzono zagrożenie wystąpienia pożaru.</w:t>
      </w:r>
    </w:p>
    <w:p w14:paraId="6DC05B51" w14:textId="77777777" w:rsidR="001633A3" w:rsidRPr="00965BA2" w:rsidRDefault="001633A3" w:rsidP="00056EE7">
      <w:pPr>
        <w:spacing w:before="240" w:after="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W związku ze stwierdzonymi nieprawidłowościami:</w:t>
      </w:r>
    </w:p>
    <w:p w14:paraId="077C1E67" w14:textId="77777777" w:rsidR="001633A3" w:rsidRPr="00965BA2" w:rsidRDefault="001633A3" w:rsidP="00D34F97">
      <w:pPr>
        <w:numPr>
          <w:ilvl w:val="0"/>
          <w:numId w:val="102"/>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udzielono 1</w:t>
      </w:r>
      <w:r w:rsidRPr="00965BA2">
        <w:rPr>
          <w:rFonts w:ascii="Times New Roman" w:eastAsia="Calibri" w:hAnsi="Times New Roman" w:cs="Times New Roman"/>
          <w:sz w:val="24"/>
          <w:szCs w:val="24"/>
          <w:lang w:eastAsia="pl-PL"/>
        </w:rPr>
        <w:t>26</w:t>
      </w:r>
      <w:r w:rsidRPr="00965BA2">
        <w:rPr>
          <w:rFonts w:ascii="Times New Roman" w:eastAsia="Calibri" w:hAnsi="Times New Roman" w:cs="Times New Roman"/>
          <w:sz w:val="24"/>
          <w:szCs w:val="24"/>
          <w:lang w:val="x-none" w:eastAsia="pl-PL"/>
        </w:rPr>
        <w:t xml:space="preserve"> pouczeń,</w:t>
      </w:r>
    </w:p>
    <w:p w14:paraId="3FA6FF27" w14:textId="77777777" w:rsidR="001633A3" w:rsidRPr="00965BA2" w:rsidRDefault="001633A3" w:rsidP="00D34F97">
      <w:pPr>
        <w:numPr>
          <w:ilvl w:val="0"/>
          <w:numId w:val="102"/>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nałożono 1</w:t>
      </w:r>
      <w:r w:rsidRPr="00965BA2">
        <w:rPr>
          <w:rFonts w:ascii="Times New Roman" w:eastAsia="Calibri" w:hAnsi="Times New Roman" w:cs="Times New Roman"/>
          <w:sz w:val="24"/>
          <w:szCs w:val="24"/>
          <w:lang w:eastAsia="pl-PL"/>
        </w:rPr>
        <w:t>18</w:t>
      </w:r>
      <w:r w:rsidRPr="00965BA2">
        <w:rPr>
          <w:rFonts w:ascii="Times New Roman" w:eastAsia="Calibri" w:hAnsi="Times New Roman" w:cs="Times New Roman"/>
          <w:sz w:val="24"/>
          <w:szCs w:val="24"/>
          <w:lang w:val="x-none" w:eastAsia="pl-PL"/>
        </w:rPr>
        <w:t xml:space="preserve"> mandatów karnych,</w:t>
      </w:r>
    </w:p>
    <w:p w14:paraId="04975BAE" w14:textId="77777777" w:rsidR="001633A3" w:rsidRPr="00965BA2" w:rsidRDefault="001633A3" w:rsidP="00D34F97">
      <w:pPr>
        <w:numPr>
          <w:ilvl w:val="0"/>
          <w:numId w:val="102"/>
        </w:numPr>
        <w:tabs>
          <w:tab w:val="left" w:pos="567"/>
        </w:tabs>
        <w:spacing w:after="0" w:line="300" w:lineRule="atLeast"/>
        <w:ind w:left="924" w:right="57"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skierowano </w:t>
      </w:r>
      <w:r w:rsidRPr="00965BA2">
        <w:rPr>
          <w:rFonts w:ascii="Times New Roman" w:eastAsia="Calibri" w:hAnsi="Times New Roman" w:cs="Times New Roman"/>
          <w:sz w:val="24"/>
          <w:szCs w:val="24"/>
          <w:lang w:eastAsia="pl-PL"/>
        </w:rPr>
        <w:t>16</w:t>
      </w:r>
      <w:r w:rsidRPr="00965BA2">
        <w:rPr>
          <w:rFonts w:ascii="Times New Roman" w:eastAsia="Calibri" w:hAnsi="Times New Roman" w:cs="Times New Roman"/>
          <w:sz w:val="24"/>
          <w:szCs w:val="24"/>
          <w:lang w:val="x-none" w:eastAsia="pl-PL"/>
        </w:rPr>
        <w:t xml:space="preserve"> wniosków do sądów o ukaranie karą grzywny,</w:t>
      </w:r>
    </w:p>
    <w:p w14:paraId="3DA4D3E4" w14:textId="77777777" w:rsidR="001633A3" w:rsidRPr="00965BA2" w:rsidRDefault="001633A3" w:rsidP="00D34F97">
      <w:pPr>
        <w:numPr>
          <w:ilvl w:val="0"/>
          <w:numId w:val="102"/>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wydano 2</w:t>
      </w:r>
      <w:r w:rsidRPr="00965BA2">
        <w:rPr>
          <w:rFonts w:ascii="Times New Roman" w:eastAsia="Calibri" w:hAnsi="Times New Roman" w:cs="Times New Roman"/>
          <w:sz w:val="24"/>
          <w:szCs w:val="24"/>
          <w:lang w:eastAsia="pl-PL"/>
        </w:rPr>
        <w:t>15</w:t>
      </w:r>
      <w:r w:rsidRPr="00965BA2">
        <w:rPr>
          <w:rFonts w:ascii="Times New Roman" w:eastAsia="Calibri" w:hAnsi="Times New Roman" w:cs="Times New Roman"/>
          <w:sz w:val="24"/>
          <w:szCs w:val="24"/>
          <w:lang w:val="x-none" w:eastAsia="pl-PL"/>
        </w:rPr>
        <w:t xml:space="preserve"> zarządzeń pokontrolnych,</w:t>
      </w:r>
    </w:p>
    <w:p w14:paraId="776195B6" w14:textId="77777777" w:rsidR="001633A3" w:rsidRPr="00965BA2" w:rsidRDefault="001633A3" w:rsidP="00D34F97">
      <w:pPr>
        <w:numPr>
          <w:ilvl w:val="0"/>
          <w:numId w:val="102"/>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skierowano </w:t>
      </w:r>
      <w:r w:rsidRPr="00965BA2">
        <w:rPr>
          <w:rFonts w:ascii="Times New Roman" w:eastAsia="Calibri" w:hAnsi="Times New Roman" w:cs="Times New Roman"/>
          <w:sz w:val="24"/>
          <w:szCs w:val="24"/>
          <w:lang w:eastAsia="pl-PL"/>
        </w:rPr>
        <w:t>42</w:t>
      </w:r>
      <w:r w:rsidRPr="00965BA2">
        <w:rPr>
          <w:rFonts w:ascii="Times New Roman" w:eastAsia="Calibri" w:hAnsi="Times New Roman" w:cs="Times New Roman"/>
          <w:sz w:val="24"/>
          <w:szCs w:val="24"/>
          <w:lang w:val="x-none" w:eastAsia="pl-PL"/>
        </w:rPr>
        <w:t xml:space="preserve"> wystąpie</w:t>
      </w:r>
      <w:r w:rsidRPr="00965BA2">
        <w:rPr>
          <w:rFonts w:ascii="Times New Roman" w:eastAsia="Calibri" w:hAnsi="Times New Roman" w:cs="Times New Roman"/>
          <w:sz w:val="24"/>
          <w:szCs w:val="24"/>
          <w:lang w:eastAsia="pl-PL"/>
        </w:rPr>
        <w:t>nia</w:t>
      </w:r>
      <w:r w:rsidRPr="00965BA2">
        <w:rPr>
          <w:rFonts w:ascii="Times New Roman" w:eastAsia="Calibri" w:hAnsi="Times New Roman" w:cs="Times New Roman"/>
          <w:sz w:val="24"/>
          <w:szCs w:val="24"/>
          <w:lang w:val="x-none" w:eastAsia="pl-PL"/>
        </w:rPr>
        <w:t xml:space="preserve"> do Państwowej Straży Pożarnej w związku</w:t>
      </w:r>
      <w:r w:rsidRPr="00965BA2">
        <w:rPr>
          <w:rFonts w:ascii="Times New Roman" w:eastAsia="Calibri" w:hAnsi="Times New Roman" w:cs="Times New Roman"/>
          <w:sz w:val="24"/>
          <w:szCs w:val="24"/>
          <w:lang w:eastAsia="pl-PL"/>
        </w:rPr>
        <w:t xml:space="preserve"> ze</w:t>
      </w:r>
      <w:r w:rsidRPr="00965BA2">
        <w:rPr>
          <w:rFonts w:ascii="Times New Roman" w:eastAsia="Calibri" w:hAnsi="Times New Roman" w:cs="Times New Roman"/>
          <w:sz w:val="24"/>
          <w:szCs w:val="24"/>
          <w:lang w:val="x-none" w:eastAsia="pl-PL"/>
        </w:rPr>
        <w:t xml:space="preserve"> stwierdzeniem zagrożenia wystąpienia pożaru,</w:t>
      </w:r>
    </w:p>
    <w:p w14:paraId="75B956AF" w14:textId="77777777" w:rsidR="001633A3" w:rsidRPr="00965BA2" w:rsidRDefault="001633A3" w:rsidP="00D34F97">
      <w:pPr>
        <w:numPr>
          <w:ilvl w:val="0"/>
          <w:numId w:val="102"/>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wydano 76 </w:t>
      </w:r>
      <w:r w:rsidRPr="00965BA2">
        <w:rPr>
          <w:rFonts w:ascii="Times New Roman" w:eastAsia="Times New Roman" w:hAnsi="Times New Roman" w:cs="Times New Roman"/>
          <w:sz w:val="24"/>
          <w:szCs w:val="24"/>
          <w:lang w:val="x-none" w:eastAsia="pl-PL"/>
        </w:rPr>
        <w:t>decyzji w sprawie nałożenia kar pieniężnych</w:t>
      </w:r>
      <w:r w:rsidRPr="00965BA2">
        <w:rPr>
          <w:rFonts w:ascii="Times New Roman" w:eastAsia="Calibri" w:hAnsi="Times New Roman" w:cs="Times New Roman"/>
          <w:sz w:val="24"/>
          <w:szCs w:val="24"/>
          <w:lang w:val="x-none" w:eastAsia="pl-PL"/>
        </w:rPr>
        <w:t>,</w:t>
      </w:r>
    </w:p>
    <w:p w14:paraId="623F633F" w14:textId="77777777" w:rsidR="001633A3" w:rsidRPr="00965BA2" w:rsidRDefault="001633A3" w:rsidP="00D34F97">
      <w:pPr>
        <w:numPr>
          <w:ilvl w:val="0"/>
          <w:numId w:val="102"/>
        </w:numPr>
        <w:spacing w:after="0" w:line="300" w:lineRule="atLeast"/>
        <w:ind w:left="924" w:hanging="357"/>
        <w:rPr>
          <w:rFonts w:ascii="Times New Roman" w:eastAsia="Calibri" w:hAnsi="Times New Roman" w:cs="Times New Roman"/>
          <w:sz w:val="24"/>
          <w:szCs w:val="24"/>
          <w:lang w:eastAsia="pl-PL"/>
        </w:rPr>
      </w:pPr>
      <w:r w:rsidRPr="00965BA2">
        <w:rPr>
          <w:rFonts w:ascii="Times New Roman" w:eastAsia="Calibri" w:hAnsi="Times New Roman" w:cs="Times New Roman"/>
          <w:sz w:val="24"/>
          <w:szCs w:val="24"/>
          <w:lang w:val="x-none" w:eastAsia="pl-PL"/>
        </w:rPr>
        <w:t xml:space="preserve">wydano </w:t>
      </w:r>
      <w:r w:rsidRPr="00965BA2">
        <w:rPr>
          <w:rFonts w:ascii="Times New Roman" w:eastAsia="Calibri" w:hAnsi="Times New Roman" w:cs="Times New Roman"/>
          <w:sz w:val="24"/>
          <w:szCs w:val="24"/>
          <w:lang w:eastAsia="pl-PL"/>
        </w:rPr>
        <w:t>9</w:t>
      </w:r>
      <w:r w:rsidRPr="00965BA2">
        <w:rPr>
          <w:rFonts w:ascii="Times New Roman" w:eastAsia="Calibri" w:hAnsi="Times New Roman" w:cs="Times New Roman"/>
          <w:sz w:val="24"/>
          <w:szCs w:val="24"/>
          <w:lang w:val="x-none" w:eastAsia="pl-PL"/>
        </w:rPr>
        <w:t xml:space="preserve"> decyzji wstrzymujących działalność podmiotu,</w:t>
      </w:r>
      <w:r w:rsidRPr="00965BA2">
        <w:rPr>
          <w:rFonts w:ascii="Times New Roman" w:eastAsia="Calibri" w:hAnsi="Times New Roman" w:cs="Times New Roman"/>
          <w:sz w:val="24"/>
          <w:szCs w:val="24"/>
          <w:lang w:eastAsia="pl-PL"/>
        </w:rPr>
        <w:t xml:space="preserve"> </w:t>
      </w:r>
    </w:p>
    <w:p w14:paraId="5288E952" w14:textId="34CF427A" w:rsidR="00895F16" w:rsidRPr="007F400A" w:rsidRDefault="001633A3" w:rsidP="00D34F97">
      <w:pPr>
        <w:numPr>
          <w:ilvl w:val="0"/>
          <w:numId w:val="102"/>
        </w:numPr>
        <w:spacing w:after="0" w:line="300" w:lineRule="atLeast"/>
        <w:ind w:left="924" w:hanging="357"/>
        <w:rPr>
          <w:rFonts w:ascii="Times New Roman" w:eastAsia="Calibri" w:hAnsi="Times New Roman" w:cs="Times New Roman"/>
          <w:sz w:val="24"/>
          <w:szCs w:val="24"/>
          <w:lang w:eastAsia="pl-PL"/>
        </w:rPr>
      </w:pPr>
      <w:r w:rsidRPr="00965BA2">
        <w:rPr>
          <w:rFonts w:ascii="Times New Roman" w:eastAsia="Calibri" w:hAnsi="Times New Roman" w:cs="Times New Roman"/>
          <w:sz w:val="24"/>
          <w:szCs w:val="24"/>
          <w:lang w:val="x-none" w:eastAsia="pl-PL"/>
        </w:rPr>
        <w:t xml:space="preserve">skierowano </w:t>
      </w:r>
      <w:r w:rsidRPr="00965BA2">
        <w:rPr>
          <w:rFonts w:ascii="Times New Roman" w:eastAsia="Calibri" w:hAnsi="Times New Roman" w:cs="Times New Roman"/>
          <w:sz w:val="24"/>
          <w:szCs w:val="24"/>
          <w:lang w:eastAsia="pl-PL"/>
        </w:rPr>
        <w:t>31</w:t>
      </w:r>
      <w:r w:rsidRPr="00965BA2">
        <w:rPr>
          <w:rFonts w:ascii="Times New Roman" w:eastAsia="Calibri" w:hAnsi="Times New Roman" w:cs="Times New Roman"/>
          <w:sz w:val="24"/>
          <w:szCs w:val="24"/>
          <w:lang w:val="x-none" w:eastAsia="pl-PL"/>
        </w:rPr>
        <w:t xml:space="preserve"> wniosków do organów ścigania</w:t>
      </w:r>
      <w:r w:rsidR="00895F16" w:rsidRPr="007F400A">
        <w:rPr>
          <w:rFonts w:ascii="Times New Roman" w:eastAsia="Calibri" w:hAnsi="Times New Roman" w:cs="Times New Roman"/>
          <w:sz w:val="24"/>
          <w:szCs w:val="24"/>
          <w:lang w:val="x-none" w:eastAsia="pl-PL"/>
        </w:rPr>
        <w:t>.</w:t>
      </w:r>
    </w:p>
    <w:p w14:paraId="696BCE52" w14:textId="77777777" w:rsidR="00895F16" w:rsidRPr="007F400A" w:rsidRDefault="00895F16" w:rsidP="00056EE7">
      <w:pPr>
        <w:spacing w:after="120" w:line="300" w:lineRule="atLeast"/>
        <w:ind w:left="993"/>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eastAsia="pl-PL"/>
        </w:rPr>
        <w:t xml:space="preserve"> </w:t>
      </w:r>
    </w:p>
    <w:p w14:paraId="67D71054" w14:textId="6FC56D71" w:rsidR="00895F16" w:rsidRPr="007F400A" w:rsidRDefault="00895F16" w:rsidP="00056EE7">
      <w:pPr>
        <w:keepNext/>
        <w:spacing w:after="120" w:line="300" w:lineRule="atLeast"/>
        <w:outlineLvl w:val="0"/>
        <w:rPr>
          <w:rFonts w:ascii="Times New Roman" w:eastAsia="Times New Roman" w:hAnsi="Times New Roman" w:cs="Times New Roman"/>
          <w:b/>
          <w:bCs/>
          <w:sz w:val="24"/>
          <w:szCs w:val="24"/>
          <w:lang w:val="x-none" w:eastAsia="x-none"/>
        </w:rPr>
      </w:pPr>
      <w:bookmarkStart w:id="126" w:name="_Toc36732579"/>
      <w:bookmarkStart w:id="127" w:name="_Toc135935607"/>
      <w:r w:rsidRPr="007F400A">
        <w:rPr>
          <w:rFonts w:ascii="Times New Roman" w:eastAsia="Times New Roman" w:hAnsi="Times New Roman" w:cs="Times New Roman"/>
          <w:b/>
          <w:bCs/>
          <w:sz w:val="24"/>
          <w:szCs w:val="24"/>
          <w:lang w:val="x-none" w:eastAsia="x-none"/>
        </w:rPr>
        <w:lastRenderedPageBreak/>
        <w:t>3.3.1</w:t>
      </w:r>
      <w:r w:rsidR="001633A3">
        <w:rPr>
          <w:rFonts w:ascii="Times New Roman" w:eastAsia="Times New Roman" w:hAnsi="Times New Roman" w:cs="Times New Roman"/>
          <w:b/>
          <w:bCs/>
          <w:sz w:val="24"/>
          <w:szCs w:val="24"/>
          <w:lang w:eastAsia="x-none"/>
        </w:rPr>
        <w:t>7</w:t>
      </w:r>
      <w:r w:rsidRPr="007F400A">
        <w:rPr>
          <w:rFonts w:ascii="Times New Roman" w:eastAsia="Times New Roman" w:hAnsi="Times New Roman" w:cs="Times New Roman"/>
          <w:b/>
          <w:bCs/>
          <w:sz w:val="24"/>
          <w:szCs w:val="24"/>
          <w:lang w:val="x-none" w:eastAsia="x-none"/>
        </w:rPr>
        <w:t xml:space="preserve"> Kontrole transportów odpadów</w:t>
      </w:r>
      <w:bookmarkEnd w:id="126"/>
      <w:bookmarkEnd w:id="127"/>
    </w:p>
    <w:p w14:paraId="0927B14E" w14:textId="77777777" w:rsidR="001633A3" w:rsidRPr="00965BA2" w:rsidRDefault="001633A3" w:rsidP="00056EE7">
      <w:pPr>
        <w:spacing w:before="240" w:after="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Wojewódzcy inspektorzy ochrony środowiska przeprowadzili w 2022 r. 1 137 kontroli środków transportu pod kątem spełniania wymogów w zakresie transportu odpadów. Najwięcej środków transportu skontrolowano w woj. mazowieckim (308), pomorskim (259) oraz podkarpackim (141).</w:t>
      </w:r>
    </w:p>
    <w:p w14:paraId="7D60BE27" w14:textId="60A68392" w:rsidR="00895F16" w:rsidRPr="007F400A" w:rsidRDefault="001633A3" w:rsidP="00056EE7">
      <w:pPr>
        <w:spacing w:after="0" w:line="300" w:lineRule="atLeast"/>
        <w:ind w:firstLine="567"/>
        <w:jc w:val="both"/>
        <w:rPr>
          <w:rFonts w:ascii="Times New Roman" w:hAnsi="Times New Roman" w:cs="Times New Roman"/>
          <w:sz w:val="24"/>
          <w:szCs w:val="24"/>
          <w:lang w:val="x-none" w:eastAsia="x-none"/>
        </w:rPr>
      </w:pPr>
      <w:r w:rsidRPr="00965BA2">
        <w:rPr>
          <w:rFonts w:ascii="Times New Roman" w:eastAsia="Calibri" w:hAnsi="Times New Roman" w:cs="Times New Roman"/>
          <w:sz w:val="24"/>
          <w:szCs w:val="24"/>
        </w:rPr>
        <w:t>Naruszenia stwierdzono w toku 95 kontroli, w tym w 33 przypadkach stwierdzono naruszenia polegające na nieprawidłowej klasyfikacji odpadów. W 15 przypadkach pojazdy wraz z odpadami skierowane zostały na wyznaczony parking (w tym w 9 przypadkach na podstawie art. 24a ust. 1 pkt 1</w:t>
      </w:r>
      <w:r w:rsidRPr="00965BA2">
        <w:rPr>
          <w:rFonts w:ascii="Times New Roman" w:eastAsia="Calibri" w:hAnsi="Times New Roman" w:cs="Times New Roman"/>
          <w:sz w:val="24"/>
          <w:szCs w:val="24"/>
          <w:vertAlign w:val="superscript"/>
        </w:rPr>
        <w:footnoteReference w:id="26"/>
      </w:r>
      <w:r w:rsidRPr="00965BA2">
        <w:rPr>
          <w:rFonts w:ascii="Times New Roman" w:eastAsia="Calibri" w:hAnsi="Times New Roman" w:cs="Times New Roman"/>
          <w:sz w:val="24"/>
          <w:szCs w:val="24"/>
        </w:rPr>
        <w:t xml:space="preserve"> ustawy z dnia 14 grudnia 2012 r. o odpadach oraz </w:t>
      </w:r>
      <w:r w:rsidR="00E26B13">
        <w:rPr>
          <w:rFonts w:ascii="Times New Roman" w:eastAsia="Calibri" w:hAnsi="Times New Roman" w:cs="Times New Roman"/>
          <w:sz w:val="24"/>
          <w:szCs w:val="24"/>
        </w:rPr>
        <w:br/>
      </w:r>
      <w:r w:rsidRPr="00965BA2">
        <w:rPr>
          <w:rFonts w:ascii="Times New Roman" w:eastAsia="Calibri" w:hAnsi="Times New Roman" w:cs="Times New Roman"/>
          <w:sz w:val="24"/>
          <w:szCs w:val="24"/>
        </w:rPr>
        <w:t>w 6 przypadkach na podstawie art. 24a ust. 1 pkt 2</w:t>
      </w:r>
      <w:r w:rsidRPr="00965BA2">
        <w:rPr>
          <w:rFonts w:ascii="Times New Roman" w:eastAsia="Calibri" w:hAnsi="Times New Roman" w:cs="Times New Roman"/>
          <w:sz w:val="24"/>
          <w:szCs w:val="24"/>
          <w:vertAlign w:val="superscript"/>
        </w:rPr>
        <w:footnoteReference w:id="27"/>
      </w:r>
      <w:r w:rsidRPr="00965BA2">
        <w:rPr>
          <w:rFonts w:ascii="Times New Roman" w:eastAsia="Calibri" w:hAnsi="Times New Roman" w:cs="Times New Roman"/>
          <w:sz w:val="24"/>
          <w:szCs w:val="24"/>
        </w:rPr>
        <w:t xml:space="preserve"> tej ustawy</w:t>
      </w:r>
      <w:r>
        <w:rPr>
          <w:rFonts w:ascii="Times New Roman" w:eastAsia="Calibri" w:hAnsi="Times New Roman" w:cs="Times New Roman"/>
          <w:sz w:val="24"/>
          <w:szCs w:val="24"/>
        </w:rPr>
        <w:t>)</w:t>
      </w:r>
      <w:r w:rsidR="00895F16" w:rsidRPr="007F400A">
        <w:rPr>
          <w:rFonts w:ascii="Times New Roman" w:hAnsi="Times New Roman" w:cs="Times New Roman"/>
          <w:sz w:val="24"/>
          <w:szCs w:val="24"/>
        </w:rPr>
        <w:t xml:space="preserve">. </w:t>
      </w:r>
    </w:p>
    <w:p w14:paraId="036BD130" w14:textId="77777777" w:rsidR="00895F16" w:rsidRPr="007F400A" w:rsidRDefault="00895F16" w:rsidP="00056EE7">
      <w:pPr>
        <w:tabs>
          <w:tab w:val="left" w:pos="567"/>
        </w:tabs>
        <w:spacing w:after="0" w:line="300" w:lineRule="atLeast"/>
        <w:ind w:right="57"/>
        <w:jc w:val="both"/>
        <w:rPr>
          <w:rFonts w:ascii="Times New Roman" w:eastAsia="Calibri" w:hAnsi="Times New Roman" w:cs="Times New Roman"/>
          <w:sz w:val="24"/>
          <w:szCs w:val="24"/>
          <w:lang w:val="x-none" w:eastAsia="pl-PL"/>
        </w:rPr>
      </w:pPr>
    </w:p>
    <w:p w14:paraId="5A44CB05" w14:textId="38F824E2" w:rsidR="00895F16" w:rsidRPr="007F400A" w:rsidRDefault="00895F16" w:rsidP="00056EE7">
      <w:pPr>
        <w:keepNext/>
        <w:spacing w:after="120" w:line="300" w:lineRule="atLeast"/>
        <w:outlineLvl w:val="0"/>
        <w:rPr>
          <w:rFonts w:ascii="Times New Roman" w:eastAsia="Times New Roman" w:hAnsi="Times New Roman" w:cs="Times New Roman"/>
          <w:b/>
          <w:bCs/>
          <w:sz w:val="24"/>
          <w:szCs w:val="24"/>
          <w:lang w:val="x-none" w:eastAsia="x-none"/>
        </w:rPr>
      </w:pPr>
      <w:bookmarkStart w:id="128" w:name="_Toc135935608"/>
      <w:bookmarkStart w:id="129" w:name="_Toc36732580"/>
      <w:r w:rsidRPr="007F400A">
        <w:rPr>
          <w:rFonts w:ascii="Times New Roman" w:eastAsia="Times New Roman" w:hAnsi="Times New Roman" w:cs="Times New Roman"/>
          <w:b/>
          <w:bCs/>
          <w:sz w:val="24"/>
          <w:szCs w:val="24"/>
          <w:lang w:val="x-none" w:eastAsia="x-none"/>
        </w:rPr>
        <w:t>3.3.1</w:t>
      </w:r>
      <w:r w:rsidR="001633A3">
        <w:rPr>
          <w:rFonts w:ascii="Times New Roman" w:eastAsia="Times New Roman" w:hAnsi="Times New Roman" w:cs="Times New Roman"/>
          <w:b/>
          <w:bCs/>
          <w:sz w:val="24"/>
          <w:szCs w:val="24"/>
          <w:lang w:eastAsia="x-none"/>
        </w:rPr>
        <w:t>8</w:t>
      </w:r>
      <w:r w:rsidRPr="007F400A">
        <w:rPr>
          <w:rFonts w:ascii="Times New Roman" w:eastAsia="Times New Roman" w:hAnsi="Times New Roman" w:cs="Times New Roman"/>
          <w:b/>
          <w:bCs/>
          <w:sz w:val="24"/>
          <w:szCs w:val="24"/>
          <w:lang w:val="x-none" w:eastAsia="x-none"/>
        </w:rPr>
        <w:t xml:space="preserve"> Biogazownie i kompostownie</w:t>
      </w:r>
      <w:bookmarkEnd w:id="128"/>
      <w:r w:rsidRPr="007F400A">
        <w:rPr>
          <w:rFonts w:ascii="Times New Roman" w:eastAsia="Times New Roman" w:hAnsi="Times New Roman" w:cs="Times New Roman"/>
          <w:b/>
          <w:bCs/>
          <w:sz w:val="24"/>
          <w:szCs w:val="24"/>
          <w:lang w:val="x-none" w:eastAsia="x-none"/>
        </w:rPr>
        <w:t xml:space="preserve"> </w:t>
      </w:r>
      <w:bookmarkEnd w:id="129"/>
    </w:p>
    <w:p w14:paraId="31C0044E" w14:textId="6789F588" w:rsidR="001633A3" w:rsidRPr="00965BA2" w:rsidRDefault="001633A3" w:rsidP="00056EE7">
      <w:pPr>
        <w:spacing w:before="240" w:line="300" w:lineRule="atLeast"/>
        <w:ind w:firstLine="709"/>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 xml:space="preserve">Zgodnie z ewidencją prowadzoną przez </w:t>
      </w:r>
      <w:proofErr w:type="spellStart"/>
      <w:r w:rsidRPr="00965BA2">
        <w:rPr>
          <w:rFonts w:ascii="Times New Roman" w:eastAsia="Calibri" w:hAnsi="Times New Roman" w:cs="Times New Roman"/>
          <w:sz w:val="24"/>
          <w:szCs w:val="24"/>
        </w:rPr>
        <w:t>wioś</w:t>
      </w:r>
      <w:proofErr w:type="spellEnd"/>
      <w:r w:rsidRPr="00965BA2">
        <w:rPr>
          <w:rFonts w:ascii="Times New Roman" w:eastAsia="Calibri" w:hAnsi="Times New Roman" w:cs="Times New Roman"/>
          <w:sz w:val="24"/>
          <w:szCs w:val="24"/>
        </w:rPr>
        <w:t xml:space="preserve"> według stanu na dzień 31 grudnia 2022 r. w Polsce w 2022 r. użytkowan</w:t>
      </w:r>
      <w:r w:rsidR="00434520">
        <w:rPr>
          <w:rFonts w:ascii="Times New Roman" w:eastAsia="Calibri" w:hAnsi="Times New Roman" w:cs="Times New Roman"/>
          <w:sz w:val="24"/>
          <w:szCs w:val="24"/>
        </w:rPr>
        <w:t>e</w:t>
      </w:r>
      <w:r w:rsidRPr="00965BA2">
        <w:rPr>
          <w:rFonts w:ascii="Times New Roman" w:eastAsia="Calibri" w:hAnsi="Times New Roman" w:cs="Times New Roman"/>
          <w:sz w:val="24"/>
          <w:szCs w:val="24"/>
        </w:rPr>
        <w:t xml:space="preserve"> był</w:t>
      </w:r>
      <w:r w:rsidR="00434520">
        <w:rPr>
          <w:rFonts w:ascii="Times New Roman" w:eastAsia="Calibri" w:hAnsi="Times New Roman" w:cs="Times New Roman"/>
          <w:sz w:val="24"/>
          <w:szCs w:val="24"/>
        </w:rPr>
        <w:t>y</w:t>
      </w:r>
      <w:r w:rsidRPr="00965BA2">
        <w:rPr>
          <w:rFonts w:ascii="Times New Roman" w:eastAsia="Calibri" w:hAnsi="Times New Roman" w:cs="Times New Roman"/>
          <w:sz w:val="24"/>
          <w:szCs w:val="24"/>
        </w:rPr>
        <w:t xml:space="preserve"> 233 kompostowni</w:t>
      </w:r>
      <w:r w:rsidR="00434520">
        <w:rPr>
          <w:rFonts w:ascii="Times New Roman" w:eastAsia="Calibri" w:hAnsi="Times New Roman" w:cs="Times New Roman"/>
          <w:sz w:val="24"/>
          <w:szCs w:val="24"/>
        </w:rPr>
        <w:t>e</w:t>
      </w:r>
      <w:r w:rsidRPr="00965BA2">
        <w:rPr>
          <w:rFonts w:ascii="Times New Roman" w:eastAsia="Calibri" w:hAnsi="Times New Roman" w:cs="Times New Roman"/>
          <w:sz w:val="24"/>
          <w:szCs w:val="24"/>
        </w:rPr>
        <w:t xml:space="preserve"> i 143 biogazowni</w:t>
      </w:r>
      <w:r w:rsidR="00434520">
        <w:rPr>
          <w:rFonts w:ascii="Times New Roman" w:eastAsia="Calibri" w:hAnsi="Times New Roman" w:cs="Times New Roman"/>
          <w:sz w:val="24"/>
          <w:szCs w:val="24"/>
        </w:rPr>
        <w:t>e</w:t>
      </w:r>
      <w:r w:rsidRPr="00965BA2">
        <w:rPr>
          <w:rFonts w:ascii="Times New Roman" w:eastAsia="Calibri" w:hAnsi="Times New Roman" w:cs="Times New Roman"/>
          <w:sz w:val="24"/>
          <w:szCs w:val="24"/>
        </w:rPr>
        <w:t>.</w:t>
      </w:r>
    </w:p>
    <w:p w14:paraId="2CCAB730" w14:textId="77777777" w:rsidR="00E26B13" w:rsidRDefault="00E26B13">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2E71F303" w14:textId="6F12516D" w:rsidR="001633A3" w:rsidRPr="00E26B13" w:rsidRDefault="001633A3" w:rsidP="00E26B13">
      <w:pPr>
        <w:spacing w:before="240" w:line="300" w:lineRule="atLeast"/>
        <w:jc w:val="center"/>
        <w:rPr>
          <w:rFonts w:ascii="Times New Roman" w:eastAsia="Calibri" w:hAnsi="Times New Roman" w:cs="Times New Roman"/>
          <w:b/>
          <w:sz w:val="24"/>
          <w:szCs w:val="24"/>
        </w:rPr>
      </w:pPr>
      <w:r w:rsidRPr="00E26B13">
        <w:rPr>
          <w:rFonts w:ascii="Times New Roman" w:eastAsia="Calibri" w:hAnsi="Times New Roman" w:cs="Times New Roman"/>
          <w:b/>
          <w:sz w:val="24"/>
          <w:szCs w:val="24"/>
        </w:rPr>
        <w:lastRenderedPageBreak/>
        <w:t xml:space="preserve">Tabela </w:t>
      </w:r>
      <w:r w:rsidR="002B5839" w:rsidRPr="00E26B13">
        <w:rPr>
          <w:rFonts w:ascii="Times New Roman" w:eastAsia="Calibri" w:hAnsi="Times New Roman" w:cs="Times New Roman"/>
          <w:b/>
          <w:sz w:val="24"/>
          <w:szCs w:val="24"/>
        </w:rPr>
        <w:t>5</w:t>
      </w:r>
      <w:r w:rsidRPr="00E26B13">
        <w:rPr>
          <w:rFonts w:ascii="Times New Roman" w:eastAsia="Calibri" w:hAnsi="Times New Roman" w:cs="Times New Roman"/>
          <w:b/>
          <w:sz w:val="24"/>
          <w:szCs w:val="24"/>
        </w:rPr>
        <w:t>. Liczba eksploatowanych kompostowni oraz biogazowni</w:t>
      </w:r>
    </w:p>
    <w:tbl>
      <w:tblPr>
        <w:tblW w:w="0" w:type="auto"/>
        <w:jc w:val="center"/>
        <w:tblCellMar>
          <w:left w:w="0" w:type="dxa"/>
          <w:right w:w="0" w:type="dxa"/>
        </w:tblCellMar>
        <w:tblLook w:val="04A0" w:firstRow="1" w:lastRow="0" w:firstColumn="1" w:lastColumn="0" w:noHBand="0" w:noVBand="1"/>
      </w:tblPr>
      <w:tblGrid>
        <w:gridCol w:w="2563"/>
        <w:gridCol w:w="2561"/>
        <w:gridCol w:w="2563"/>
      </w:tblGrid>
      <w:tr w:rsidR="001633A3" w:rsidRPr="00965BA2" w14:paraId="212B9275" w14:textId="77777777" w:rsidTr="001633A3">
        <w:trPr>
          <w:trHeight w:val="510"/>
          <w:jc w:val="center"/>
        </w:trPr>
        <w:tc>
          <w:tcPr>
            <w:tcW w:w="2563"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484894A" w14:textId="77777777" w:rsidR="001633A3" w:rsidRPr="00965BA2" w:rsidRDefault="001633A3" w:rsidP="00056EE7">
            <w:pPr>
              <w:spacing w:line="300" w:lineRule="atLeast"/>
              <w:jc w:val="center"/>
              <w:rPr>
                <w:rFonts w:ascii="Times New Roman" w:eastAsia="Calibri" w:hAnsi="Times New Roman" w:cs="Times New Roman"/>
                <w:b/>
                <w:bCs/>
                <w:sz w:val="24"/>
                <w:szCs w:val="24"/>
                <w:lang w:eastAsia="pl-PL"/>
              </w:rPr>
            </w:pPr>
            <w:bookmarkStart w:id="130" w:name="_Hlk127972905"/>
            <w:r w:rsidRPr="00965BA2">
              <w:rPr>
                <w:rFonts w:ascii="Times New Roman" w:eastAsia="Calibri" w:hAnsi="Times New Roman" w:cs="Times New Roman"/>
                <w:b/>
                <w:bCs/>
                <w:sz w:val="24"/>
                <w:szCs w:val="24"/>
                <w:lang w:eastAsia="pl-PL"/>
              </w:rPr>
              <w:t>Województwo</w:t>
            </w:r>
          </w:p>
        </w:tc>
        <w:tc>
          <w:tcPr>
            <w:tcW w:w="256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B93B57F" w14:textId="77777777" w:rsidR="001633A3" w:rsidRPr="00965BA2" w:rsidRDefault="001633A3" w:rsidP="00056EE7">
            <w:pPr>
              <w:spacing w:line="300" w:lineRule="atLeast"/>
              <w:jc w:val="center"/>
              <w:rPr>
                <w:rFonts w:ascii="Times New Roman" w:eastAsia="Calibri" w:hAnsi="Times New Roman" w:cs="Times New Roman"/>
                <w:b/>
                <w:bCs/>
                <w:sz w:val="24"/>
                <w:szCs w:val="24"/>
                <w:lang w:eastAsia="pl-PL"/>
              </w:rPr>
            </w:pPr>
            <w:r w:rsidRPr="00965BA2">
              <w:rPr>
                <w:rFonts w:ascii="Times New Roman" w:eastAsia="Calibri" w:hAnsi="Times New Roman" w:cs="Times New Roman"/>
                <w:b/>
                <w:bCs/>
                <w:sz w:val="24"/>
                <w:szCs w:val="24"/>
                <w:lang w:eastAsia="pl-PL"/>
              </w:rPr>
              <w:t>Liczba eksploatowanych kompostowni</w:t>
            </w:r>
          </w:p>
        </w:tc>
        <w:tc>
          <w:tcPr>
            <w:tcW w:w="2563"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CA6AC43" w14:textId="77777777" w:rsidR="001633A3" w:rsidRPr="00965BA2" w:rsidRDefault="001633A3" w:rsidP="00056EE7">
            <w:pPr>
              <w:spacing w:line="300" w:lineRule="atLeast"/>
              <w:jc w:val="center"/>
              <w:rPr>
                <w:rFonts w:ascii="Times New Roman" w:eastAsia="Calibri" w:hAnsi="Times New Roman" w:cs="Times New Roman"/>
                <w:b/>
                <w:bCs/>
                <w:sz w:val="24"/>
                <w:szCs w:val="24"/>
                <w:lang w:eastAsia="pl-PL"/>
              </w:rPr>
            </w:pPr>
            <w:r w:rsidRPr="00965BA2">
              <w:rPr>
                <w:rFonts w:ascii="Times New Roman" w:eastAsia="Calibri" w:hAnsi="Times New Roman" w:cs="Times New Roman"/>
                <w:b/>
                <w:bCs/>
                <w:sz w:val="24"/>
                <w:szCs w:val="24"/>
                <w:lang w:eastAsia="pl-PL"/>
              </w:rPr>
              <w:t>Liczba eksploatowanych biogazowni</w:t>
            </w:r>
          </w:p>
        </w:tc>
      </w:tr>
      <w:tr w:rsidR="001633A3" w:rsidRPr="00965BA2" w14:paraId="7B5D7740" w14:textId="77777777" w:rsidTr="001633A3">
        <w:trPr>
          <w:trHeight w:val="350"/>
          <w:jc w:val="center"/>
        </w:trPr>
        <w:tc>
          <w:tcPr>
            <w:tcW w:w="256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F9E5FC2" w14:textId="77777777" w:rsidR="001633A3" w:rsidRPr="00965BA2" w:rsidRDefault="001633A3" w:rsidP="00056EE7">
            <w:pPr>
              <w:spacing w:after="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Dolnośląskie</w:t>
            </w:r>
          </w:p>
        </w:tc>
        <w:tc>
          <w:tcPr>
            <w:tcW w:w="25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9CC535F" w14:textId="77777777" w:rsidR="001633A3" w:rsidRPr="00965BA2" w:rsidRDefault="001633A3" w:rsidP="00056EE7">
            <w:pPr>
              <w:spacing w:after="0" w:line="300" w:lineRule="atLeast"/>
              <w:jc w:val="center"/>
              <w:rPr>
                <w:rFonts w:ascii="Times New Roman" w:eastAsia="Calibri" w:hAnsi="Times New Roman" w:cs="Times New Roman"/>
                <w:sz w:val="24"/>
                <w:szCs w:val="24"/>
              </w:rPr>
            </w:pPr>
            <w:r w:rsidRPr="00965BA2">
              <w:rPr>
                <w:rFonts w:ascii="Times New Roman" w:eastAsia="Calibri" w:hAnsi="Times New Roman" w:cs="Times New Roman"/>
                <w:sz w:val="24"/>
                <w:szCs w:val="24"/>
              </w:rPr>
              <w:t>13</w:t>
            </w:r>
          </w:p>
        </w:tc>
        <w:tc>
          <w:tcPr>
            <w:tcW w:w="256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EA71856" w14:textId="77777777" w:rsidR="001633A3" w:rsidRPr="00965BA2" w:rsidRDefault="001633A3" w:rsidP="00056EE7">
            <w:pPr>
              <w:spacing w:after="0" w:line="300" w:lineRule="atLeast"/>
              <w:jc w:val="center"/>
              <w:rPr>
                <w:rFonts w:ascii="Times New Roman" w:eastAsia="Calibri" w:hAnsi="Times New Roman" w:cs="Times New Roman"/>
                <w:sz w:val="24"/>
                <w:szCs w:val="24"/>
              </w:rPr>
            </w:pPr>
            <w:r w:rsidRPr="00965BA2">
              <w:rPr>
                <w:rFonts w:ascii="Times New Roman" w:eastAsia="Calibri" w:hAnsi="Times New Roman" w:cs="Times New Roman"/>
                <w:sz w:val="24"/>
                <w:szCs w:val="24"/>
              </w:rPr>
              <w:t>10</w:t>
            </w:r>
          </w:p>
        </w:tc>
      </w:tr>
      <w:tr w:rsidR="001633A3" w:rsidRPr="00965BA2" w14:paraId="455B2795" w14:textId="77777777" w:rsidTr="001633A3">
        <w:trPr>
          <w:trHeight w:val="20"/>
          <w:jc w:val="center"/>
        </w:trPr>
        <w:tc>
          <w:tcPr>
            <w:tcW w:w="256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BB4D48D" w14:textId="77777777" w:rsidR="001633A3" w:rsidRPr="00965BA2" w:rsidRDefault="001633A3" w:rsidP="00056EE7">
            <w:pPr>
              <w:spacing w:after="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Kujawsko-pomorskie</w:t>
            </w:r>
          </w:p>
        </w:tc>
        <w:tc>
          <w:tcPr>
            <w:tcW w:w="25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4AFA43" w14:textId="619CD56A" w:rsidR="001633A3" w:rsidRPr="00965BA2" w:rsidRDefault="00434520" w:rsidP="00056EE7">
            <w:pPr>
              <w:spacing w:after="0" w:line="300" w:lineRule="atLeast"/>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1633A3" w:rsidRPr="00965BA2">
              <w:rPr>
                <w:rFonts w:ascii="Times New Roman" w:eastAsia="Calibri" w:hAnsi="Times New Roman" w:cs="Times New Roman"/>
                <w:sz w:val="24"/>
                <w:szCs w:val="24"/>
              </w:rPr>
              <w:t>9</w:t>
            </w:r>
          </w:p>
        </w:tc>
        <w:tc>
          <w:tcPr>
            <w:tcW w:w="256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E6FE2C3" w14:textId="329D3ECB" w:rsidR="001633A3" w:rsidRPr="00965BA2" w:rsidRDefault="00434520" w:rsidP="00056EE7">
            <w:pPr>
              <w:spacing w:after="0" w:line="300" w:lineRule="atLeast"/>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1633A3" w:rsidRPr="00965BA2">
              <w:rPr>
                <w:rFonts w:ascii="Times New Roman" w:eastAsia="Calibri" w:hAnsi="Times New Roman" w:cs="Times New Roman"/>
                <w:sz w:val="24"/>
                <w:szCs w:val="24"/>
              </w:rPr>
              <w:t>6</w:t>
            </w:r>
          </w:p>
        </w:tc>
      </w:tr>
      <w:tr w:rsidR="001633A3" w:rsidRPr="00965BA2" w14:paraId="68C495A9" w14:textId="77777777" w:rsidTr="001633A3">
        <w:trPr>
          <w:trHeight w:val="20"/>
          <w:jc w:val="center"/>
        </w:trPr>
        <w:tc>
          <w:tcPr>
            <w:tcW w:w="256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50A69AD" w14:textId="77777777" w:rsidR="001633A3" w:rsidRPr="00965BA2" w:rsidRDefault="001633A3" w:rsidP="00056EE7">
            <w:pPr>
              <w:spacing w:after="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Lubelskie</w:t>
            </w:r>
          </w:p>
        </w:tc>
        <w:tc>
          <w:tcPr>
            <w:tcW w:w="25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B84F6EE" w14:textId="58B42031" w:rsidR="001633A3" w:rsidRPr="00965BA2" w:rsidRDefault="00434520" w:rsidP="00056EE7">
            <w:pPr>
              <w:spacing w:after="0" w:line="300" w:lineRule="atLeast"/>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1633A3" w:rsidRPr="00965BA2">
              <w:rPr>
                <w:rFonts w:ascii="Times New Roman" w:eastAsia="Calibri" w:hAnsi="Times New Roman" w:cs="Times New Roman"/>
                <w:sz w:val="24"/>
                <w:szCs w:val="24"/>
              </w:rPr>
              <w:t>6</w:t>
            </w:r>
          </w:p>
        </w:tc>
        <w:tc>
          <w:tcPr>
            <w:tcW w:w="256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701BD37" w14:textId="557ECA29" w:rsidR="001633A3" w:rsidRPr="00965BA2" w:rsidRDefault="00434520" w:rsidP="00056EE7">
            <w:pPr>
              <w:spacing w:after="0" w:line="300" w:lineRule="atLeast"/>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1633A3" w:rsidRPr="00965BA2">
              <w:rPr>
                <w:rFonts w:ascii="Times New Roman" w:eastAsia="Calibri" w:hAnsi="Times New Roman" w:cs="Times New Roman"/>
                <w:sz w:val="24"/>
                <w:szCs w:val="24"/>
              </w:rPr>
              <w:t>9</w:t>
            </w:r>
          </w:p>
        </w:tc>
      </w:tr>
      <w:tr w:rsidR="001633A3" w:rsidRPr="00965BA2" w14:paraId="1BE5A39B" w14:textId="77777777" w:rsidTr="001633A3">
        <w:trPr>
          <w:trHeight w:val="20"/>
          <w:jc w:val="center"/>
        </w:trPr>
        <w:tc>
          <w:tcPr>
            <w:tcW w:w="256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8AE5474" w14:textId="77777777" w:rsidR="001633A3" w:rsidRPr="00965BA2" w:rsidRDefault="001633A3" w:rsidP="00056EE7">
            <w:pPr>
              <w:spacing w:after="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Lubuskie</w:t>
            </w:r>
          </w:p>
        </w:tc>
        <w:tc>
          <w:tcPr>
            <w:tcW w:w="25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2EABABC" w14:textId="77777777" w:rsidR="001633A3" w:rsidRPr="00965BA2" w:rsidRDefault="001633A3" w:rsidP="00056EE7">
            <w:pPr>
              <w:spacing w:after="0" w:line="300" w:lineRule="atLeast"/>
              <w:jc w:val="center"/>
              <w:rPr>
                <w:rFonts w:ascii="Times New Roman" w:eastAsia="Calibri" w:hAnsi="Times New Roman" w:cs="Times New Roman"/>
                <w:sz w:val="24"/>
                <w:szCs w:val="24"/>
              </w:rPr>
            </w:pPr>
            <w:r w:rsidRPr="00965BA2">
              <w:rPr>
                <w:rFonts w:ascii="Times New Roman" w:eastAsia="Calibri" w:hAnsi="Times New Roman" w:cs="Times New Roman"/>
                <w:sz w:val="24"/>
                <w:szCs w:val="24"/>
              </w:rPr>
              <w:t>13</w:t>
            </w:r>
          </w:p>
        </w:tc>
        <w:tc>
          <w:tcPr>
            <w:tcW w:w="256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20A9AE8" w14:textId="7C1E6D9E" w:rsidR="001633A3" w:rsidRPr="00965BA2" w:rsidRDefault="00434520" w:rsidP="00056EE7">
            <w:pPr>
              <w:spacing w:after="0" w:line="300" w:lineRule="atLeast"/>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1633A3" w:rsidRPr="00965BA2">
              <w:rPr>
                <w:rFonts w:ascii="Times New Roman" w:eastAsia="Calibri" w:hAnsi="Times New Roman" w:cs="Times New Roman"/>
                <w:sz w:val="24"/>
                <w:szCs w:val="24"/>
              </w:rPr>
              <w:t>6</w:t>
            </w:r>
          </w:p>
        </w:tc>
      </w:tr>
      <w:tr w:rsidR="001633A3" w:rsidRPr="00965BA2" w14:paraId="7DC27D25" w14:textId="77777777" w:rsidTr="001633A3">
        <w:trPr>
          <w:trHeight w:val="20"/>
          <w:jc w:val="center"/>
        </w:trPr>
        <w:tc>
          <w:tcPr>
            <w:tcW w:w="256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3C22562" w14:textId="77777777" w:rsidR="001633A3" w:rsidRPr="00965BA2" w:rsidRDefault="001633A3" w:rsidP="00056EE7">
            <w:pPr>
              <w:spacing w:after="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Łódzkie</w:t>
            </w:r>
          </w:p>
        </w:tc>
        <w:tc>
          <w:tcPr>
            <w:tcW w:w="25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A2103A8" w14:textId="77777777" w:rsidR="001633A3" w:rsidRPr="00965BA2" w:rsidRDefault="001633A3" w:rsidP="00056EE7">
            <w:pPr>
              <w:spacing w:after="0" w:line="300" w:lineRule="atLeast"/>
              <w:jc w:val="center"/>
              <w:rPr>
                <w:rFonts w:ascii="Times New Roman" w:eastAsia="Calibri" w:hAnsi="Times New Roman" w:cs="Times New Roman"/>
                <w:sz w:val="24"/>
                <w:szCs w:val="24"/>
              </w:rPr>
            </w:pPr>
            <w:r w:rsidRPr="00965BA2">
              <w:rPr>
                <w:rFonts w:ascii="Times New Roman" w:eastAsia="Calibri" w:hAnsi="Times New Roman" w:cs="Times New Roman"/>
                <w:sz w:val="24"/>
                <w:szCs w:val="24"/>
              </w:rPr>
              <w:t>13</w:t>
            </w:r>
          </w:p>
        </w:tc>
        <w:tc>
          <w:tcPr>
            <w:tcW w:w="256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9622D1" w14:textId="366047BA" w:rsidR="001633A3" w:rsidRPr="00965BA2" w:rsidRDefault="00434520" w:rsidP="00056EE7">
            <w:pPr>
              <w:spacing w:after="0" w:line="300" w:lineRule="atLeast"/>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1633A3" w:rsidRPr="00965BA2">
              <w:rPr>
                <w:rFonts w:ascii="Times New Roman" w:eastAsia="Calibri" w:hAnsi="Times New Roman" w:cs="Times New Roman"/>
                <w:sz w:val="24"/>
                <w:szCs w:val="24"/>
              </w:rPr>
              <w:t>5</w:t>
            </w:r>
          </w:p>
        </w:tc>
      </w:tr>
      <w:tr w:rsidR="001633A3" w:rsidRPr="00965BA2" w14:paraId="7E7B0A2B" w14:textId="77777777" w:rsidTr="001633A3">
        <w:trPr>
          <w:trHeight w:val="20"/>
          <w:jc w:val="center"/>
        </w:trPr>
        <w:tc>
          <w:tcPr>
            <w:tcW w:w="256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947F0C0" w14:textId="77777777" w:rsidR="001633A3" w:rsidRPr="00965BA2" w:rsidRDefault="001633A3" w:rsidP="00056EE7">
            <w:pPr>
              <w:spacing w:after="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Małopolskie</w:t>
            </w:r>
          </w:p>
        </w:tc>
        <w:tc>
          <w:tcPr>
            <w:tcW w:w="25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7EBB66A" w14:textId="77777777" w:rsidR="001633A3" w:rsidRPr="00965BA2" w:rsidRDefault="001633A3" w:rsidP="00056EE7">
            <w:pPr>
              <w:spacing w:after="0" w:line="300" w:lineRule="atLeast"/>
              <w:jc w:val="center"/>
              <w:rPr>
                <w:rFonts w:ascii="Times New Roman" w:eastAsia="Calibri" w:hAnsi="Times New Roman" w:cs="Times New Roman"/>
                <w:sz w:val="24"/>
                <w:szCs w:val="24"/>
              </w:rPr>
            </w:pPr>
            <w:r w:rsidRPr="00965BA2">
              <w:rPr>
                <w:rFonts w:ascii="Times New Roman" w:eastAsia="Calibri" w:hAnsi="Times New Roman" w:cs="Times New Roman"/>
                <w:sz w:val="24"/>
                <w:szCs w:val="24"/>
              </w:rPr>
              <w:t>19</w:t>
            </w:r>
          </w:p>
        </w:tc>
        <w:tc>
          <w:tcPr>
            <w:tcW w:w="256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8C1D0FB" w14:textId="26AC71D4" w:rsidR="001633A3" w:rsidRPr="00965BA2" w:rsidRDefault="00434520" w:rsidP="00056EE7">
            <w:pPr>
              <w:spacing w:after="0" w:line="300" w:lineRule="atLeast"/>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1633A3" w:rsidRPr="00965BA2">
              <w:rPr>
                <w:rFonts w:ascii="Times New Roman" w:eastAsia="Calibri" w:hAnsi="Times New Roman" w:cs="Times New Roman"/>
                <w:sz w:val="24"/>
                <w:szCs w:val="24"/>
              </w:rPr>
              <w:t>3</w:t>
            </w:r>
          </w:p>
        </w:tc>
      </w:tr>
      <w:tr w:rsidR="001633A3" w:rsidRPr="00965BA2" w14:paraId="6CBBCA3E" w14:textId="77777777" w:rsidTr="001633A3">
        <w:trPr>
          <w:trHeight w:val="20"/>
          <w:jc w:val="center"/>
        </w:trPr>
        <w:tc>
          <w:tcPr>
            <w:tcW w:w="256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141FD6B" w14:textId="77777777" w:rsidR="001633A3" w:rsidRPr="00965BA2" w:rsidRDefault="001633A3" w:rsidP="00056EE7">
            <w:pPr>
              <w:spacing w:after="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Mazowieckie</w:t>
            </w:r>
          </w:p>
        </w:tc>
        <w:tc>
          <w:tcPr>
            <w:tcW w:w="25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BA3DDFE" w14:textId="77777777" w:rsidR="001633A3" w:rsidRPr="00965BA2" w:rsidRDefault="001633A3" w:rsidP="00056EE7">
            <w:pPr>
              <w:spacing w:after="0" w:line="300" w:lineRule="atLeast"/>
              <w:jc w:val="center"/>
              <w:rPr>
                <w:rFonts w:ascii="Times New Roman" w:eastAsia="Calibri" w:hAnsi="Times New Roman" w:cs="Times New Roman"/>
                <w:sz w:val="24"/>
                <w:szCs w:val="24"/>
              </w:rPr>
            </w:pPr>
            <w:r w:rsidRPr="00965BA2">
              <w:rPr>
                <w:rFonts w:ascii="Times New Roman" w:eastAsia="Calibri" w:hAnsi="Times New Roman" w:cs="Times New Roman"/>
                <w:sz w:val="24"/>
                <w:szCs w:val="24"/>
              </w:rPr>
              <w:t>25</w:t>
            </w:r>
          </w:p>
        </w:tc>
        <w:tc>
          <w:tcPr>
            <w:tcW w:w="256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888373D" w14:textId="77777777" w:rsidR="001633A3" w:rsidRPr="00965BA2" w:rsidRDefault="001633A3" w:rsidP="00056EE7">
            <w:pPr>
              <w:spacing w:after="0" w:line="300" w:lineRule="atLeast"/>
              <w:jc w:val="center"/>
              <w:rPr>
                <w:rFonts w:ascii="Times New Roman" w:eastAsia="Calibri" w:hAnsi="Times New Roman" w:cs="Times New Roman"/>
                <w:sz w:val="24"/>
                <w:szCs w:val="24"/>
              </w:rPr>
            </w:pPr>
            <w:r w:rsidRPr="00965BA2">
              <w:rPr>
                <w:rFonts w:ascii="Times New Roman" w:eastAsia="Calibri" w:hAnsi="Times New Roman" w:cs="Times New Roman"/>
                <w:sz w:val="24"/>
                <w:szCs w:val="24"/>
              </w:rPr>
              <w:t>10</w:t>
            </w:r>
          </w:p>
        </w:tc>
      </w:tr>
      <w:tr w:rsidR="001633A3" w:rsidRPr="00965BA2" w14:paraId="5B7C552C" w14:textId="77777777" w:rsidTr="001633A3">
        <w:trPr>
          <w:trHeight w:val="20"/>
          <w:jc w:val="center"/>
        </w:trPr>
        <w:tc>
          <w:tcPr>
            <w:tcW w:w="256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B4A975E" w14:textId="77777777" w:rsidR="001633A3" w:rsidRPr="00965BA2" w:rsidRDefault="001633A3" w:rsidP="00056EE7">
            <w:pPr>
              <w:spacing w:after="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Opolskie</w:t>
            </w:r>
          </w:p>
        </w:tc>
        <w:tc>
          <w:tcPr>
            <w:tcW w:w="25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79DF23F" w14:textId="1143EC18" w:rsidR="001633A3" w:rsidRPr="00965BA2" w:rsidRDefault="00434520" w:rsidP="00056EE7">
            <w:pPr>
              <w:spacing w:after="0" w:line="300" w:lineRule="atLeast"/>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1633A3" w:rsidRPr="00965BA2">
              <w:rPr>
                <w:rFonts w:ascii="Times New Roman" w:eastAsia="Calibri" w:hAnsi="Times New Roman" w:cs="Times New Roman"/>
                <w:sz w:val="24"/>
                <w:szCs w:val="24"/>
              </w:rPr>
              <w:t>9</w:t>
            </w:r>
          </w:p>
        </w:tc>
        <w:tc>
          <w:tcPr>
            <w:tcW w:w="256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16359E5" w14:textId="4097A1E4" w:rsidR="001633A3" w:rsidRPr="00965BA2" w:rsidRDefault="00434520" w:rsidP="00056EE7">
            <w:pPr>
              <w:spacing w:after="0" w:line="300" w:lineRule="atLeast"/>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1633A3" w:rsidRPr="00965BA2">
              <w:rPr>
                <w:rFonts w:ascii="Times New Roman" w:eastAsia="Calibri" w:hAnsi="Times New Roman" w:cs="Times New Roman"/>
                <w:sz w:val="24"/>
                <w:szCs w:val="24"/>
              </w:rPr>
              <w:t>5</w:t>
            </w:r>
          </w:p>
        </w:tc>
      </w:tr>
      <w:tr w:rsidR="001633A3" w:rsidRPr="00965BA2" w14:paraId="46301F6F" w14:textId="77777777" w:rsidTr="001633A3">
        <w:trPr>
          <w:trHeight w:val="20"/>
          <w:jc w:val="center"/>
        </w:trPr>
        <w:tc>
          <w:tcPr>
            <w:tcW w:w="256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BDC4E8E" w14:textId="77777777" w:rsidR="001633A3" w:rsidRPr="00965BA2" w:rsidRDefault="001633A3" w:rsidP="00056EE7">
            <w:pPr>
              <w:spacing w:after="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Podkarpackie</w:t>
            </w:r>
          </w:p>
        </w:tc>
        <w:tc>
          <w:tcPr>
            <w:tcW w:w="25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DBE6D29" w14:textId="77777777" w:rsidR="001633A3" w:rsidRPr="00965BA2" w:rsidRDefault="001633A3" w:rsidP="00056EE7">
            <w:pPr>
              <w:spacing w:after="0" w:line="300" w:lineRule="atLeast"/>
              <w:jc w:val="center"/>
              <w:rPr>
                <w:rFonts w:ascii="Times New Roman" w:eastAsia="Calibri" w:hAnsi="Times New Roman" w:cs="Times New Roman"/>
                <w:sz w:val="24"/>
                <w:szCs w:val="24"/>
              </w:rPr>
            </w:pPr>
            <w:r w:rsidRPr="00965BA2">
              <w:rPr>
                <w:rFonts w:ascii="Times New Roman" w:eastAsia="Calibri" w:hAnsi="Times New Roman" w:cs="Times New Roman"/>
                <w:sz w:val="24"/>
                <w:szCs w:val="24"/>
              </w:rPr>
              <w:t>12</w:t>
            </w:r>
          </w:p>
        </w:tc>
        <w:tc>
          <w:tcPr>
            <w:tcW w:w="256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D6E93FC" w14:textId="142A736F" w:rsidR="001633A3" w:rsidRPr="00965BA2" w:rsidRDefault="00434520" w:rsidP="00056EE7">
            <w:pPr>
              <w:spacing w:after="0" w:line="300" w:lineRule="atLeast"/>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1633A3" w:rsidRPr="00965BA2">
              <w:rPr>
                <w:rFonts w:ascii="Times New Roman" w:eastAsia="Calibri" w:hAnsi="Times New Roman" w:cs="Times New Roman"/>
                <w:sz w:val="24"/>
                <w:szCs w:val="24"/>
              </w:rPr>
              <w:t>7</w:t>
            </w:r>
          </w:p>
        </w:tc>
      </w:tr>
      <w:tr w:rsidR="001633A3" w:rsidRPr="00965BA2" w14:paraId="1DFB6CBB" w14:textId="77777777" w:rsidTr="001633A3">
        <w:trPr>
          <w:trHeight w:val="20"/>
          <w:jc w:val="center"/>
        </w:trPr>
        <w:tc>
          <w:tcPr>
            <w:tcW w:w="256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F32CCF3" w14:textId="77777777" w:rsidR="001633A3" w:rsidRPr="00965BA2" w:rsidRDefault="001633A3" w:rsidP="00056EE7">
            <w:pPr>
              <w:spacing w:after="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Podlaskie</w:t>
            </w:r>
          </w:p>
        </w:tc>
        <w:tc>
          <w:tcPr>
            <w:tcW w:w="25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AED6823" w14:textId="75C50498" w:rsidR="001633A3" w:rsidRPr="00965BA2" w:rsidRDefault="00434520" w:rsidP="00056EE7">
            <w:pPr>
              <w:spacing w:after="0" w:line="300" w:lineRule="atLeast"/>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1633A3" w:rsidRPr="00965BA2">
              <w:rPr>
                <w:rFonts w:ascii="Times New Roman" w:eastAsia="Calibri" w:hAnsi="Times New Roman" w:cs="Times New Roman"/>
                <w:sz w:val="24"/>
                <w:szCs w:val="24"/>
              </w:rPr>
              <w:t>5</w:t>
            </w:r>
          </w:p>
        </w:tc>
        <w:tc>
          <w:tcPr>
            <w:tcW w:w="256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0C0C2BC" w14:textId="77777777" w:rsidR="001633A3" w:rsidRPr="00965BA2" w:rsidRDefault="001633A3" w:rsidP="00056EE7">
            <w:pPr>
              <w:spacing w:after="0" w:line="300" w:lineRule="atLeast"/>
              <w:jc w:val="center"/>
              <w:rPr>
                <w:rFonts w:ascii="Times New Roman" w:eastAsia="Calibri" w:hAnsi="Times New Roman" w:cs="Times New Roman"/>
                <w:sz w:val="24"/>
                <w:szCs w:val="24"/>
              </w:rPr>
            </w:pPr>
            <w:r w:rsidRPr="00965BA2">
              <w:rPr>
                <w:rFonts w:ascii="Times New Roman" w:eastAsia="Calibri" w:hAnsi="Times New Roman" w:cs="Times New Roman"/>
                <w:sz w:val="24"/>
                <w:szCs w:val="24"/>
              </w:rPr>
              <w:t>11</w:t>
            </w:r>
          </w:p>
        </w:tc>
      </w:tr>
      <w:tr w:rsidR="001633A3" w:rsidRPr="00965BA2" w14:paraId="745C1BB3" w14:textId="77777777" w:rsidTr="001633A3">
        <w:trPr>
          <w:trHeight w:val="20"/>
          <w:jc w:val="center"/>
        </w:trPr>
        <w:tc>
          <w:tcPr>
            <w:tcW w:w="256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18711E2" w14:textId="77777777" w:rsidR="001633A3" w:rsidRPr="00965BA2" w:rsidRDefault="001633A3" w:rsidP="00056EE7">
            <w:pPr>
              <w:spacing w:after="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Pomorskie</w:t>
            </w:r>
          </w:p>
        </w:tc>
        <w:tc>
          <w:tcPr>
            <w:tcW w:w="25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5C5DDAC" w14:textId="77777777" w:rsidR="001633A3" w:rsidRPr="00965BA2" w:rsidRDefault="001633A3" w:rsidP="00056EE7">
            <w:pPr>
              <w:spacing w:after="0" w:line="300" w:lineRule="atLeast"/>
              <w:jc w:val="center"/>
              <w:rPr>
                <w:rFonts w:ascii="Times New Roman" w:eastAsia="Calibri" w:hAnsi="Times New Roman" w:cs="Times New Roman"/>
                <w:sz w:val="24"/>
                <w:szCs w:val="24"/>
              </w:rPr>
            </w:pPr>
            <w:r w:rsidRPr="00965BA2">
              <w:rPr>
                <w:rFonts w:ascii="Times New Roman" w:eastAsia="Calibri" w:hAnsi="Times New Roman" w:cs="Times New Roman"/>
                <w:sz w:val="24"/>
                <w:szCs w:val="24"/>
              </w:rPr>
              <w:t>18</w:t>
            </w:r>
          </w:p>
        </w:tc>
        <w:tc>
          <w:tcPr>
            <w:tcW w:w="256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2D5EFC4" w14:textId="77777777" w:rsidR="001633A3" w:rsidRPr="00965BA2" w:rsidRDefault="001633A3" w:rsidP="00056EE7">
            <w:pPr>
              <w:spacing w:after="0" w:line="300" w:lineRule="atLeast"/>
              <w:jc w:val="center"/>
              <w:rPr>
                <w:rFonts w:ascii="Times New Roman" w:eastAsia="Calibri" w:hAnsi="Times New Roman" w:cs="Times New Roman"/>
                <w:sz w:val="24"/>
                <w:szCs w:val="24"/>
              </w:rPr>
            </w:pPr>
            <w:r w:rsidRPr="00965BA2">
              <w:rPr>
                <w:rFonts w:ascii="Times New Roman" w:eastAsia="Calibri" w:hAnsi="Times New Roman" w:cs="Times New Roman"/>
                <w:sz w:val="24"/>
                <w:szCs w:val="24"/>
              </w:rPr>
              <w:t>11</w:t>
            </w:r>
          </w:p>
        </w:tc>
      </w:tr>
      <w:tr w:rsidR="001633A3" w:rsidRPr="00965BA2" w14:paraId="0EC8CEB1" w14:textId="77777777" w:rsidTr="001633A3">
        <w:trPr>
          <w:trHeight w:val="20"/>
          <w:jc w:val="center"/>
        </w:trPr>
        <w:tc>
          <w:tcPr>
            <w:tcW w:w="256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C9F98A4" w14:textId="77777777" w:rsidR="001633A3" w:rsidRPr="00965BA2" w:rsidRDefault="001633A3" w:rsidP="00056EE7">
            <w:pPr>
              <w:spacing w:after="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Śląskie</w:t>
            </w:r>
          </w:p>
        </w:tc>
        <w:tc>
          <w:tcPr>
            <w:tcW w:w="25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1AF93BB" w14:textId="77777777" w:rsidR="001633A3" w:rsidRPr="00965BA2" w:rsidRDefault="001633A3" w:rsidP="00056EE7">
            <w:pPr>
              <w:spacing w:after="0" w:line="300" w:lineRule="atLeast"/>
              <w:jc w:val="center"/>
              <w:rPr>
                <w:rFonts w:ascii="Times New Roman" w:eastAsia="Calibri" w:hAnsi="Times New Roman" w:cs="Times New Roman"/>
                <w:sz w:val="24"/>
                <w:szCs w:val="24"/>
              </w:rPr>
            </w:pPr>
            <w:r w:rsidRPr="00965BA2">
              <w:rPr>
                <w:rFonts w:ascii="Times New Roman" w:eastAsia="Calibri" w:hAnsi="Times New Roman" w:cs="Times New Roman"/>
                <w:sz w:val="24"/>
                <w:szCs w:val="24"/>
              </w:rPr>
              <w:t>24</w:t>
            </w:r>
          </w:p>
        </w:tc>
        <w:tc>
          <w:tcPr>
            <w:tcW w:w="256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7C36A11" w14:textId="3B9B275E" w:rsidR="001633A3" w:rsidRPr="00965BA2" w:rsidRDefault="00434520" w:rsidP="00056EE7">
            <w:pPr>
              <w:spacing w:after="0" w:line="300" w:lineRule="atLeast"/>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1633A3" w:rsidRPr="00965BA2">
              <w:rPr>
                <w:rFonts w:ascii="Times New Roman" w:eastAsia="Calibri" w:hAnsi="Times New Roman" w:cs="Times New Roman"/>
                <w:sz w:val="24"/>
                <w:szCs w:val="24"/>
              </w:rPr>
              <w:t>1</w:t>
            </w:r>
          </w:p>
        </w:tc>
      </w:tr>
      <w:tr w:rsidR="001633A3" w:rsidRPr="00965BA2" w14:paraId="29D6FB3F" w14:textId="77777777" w:rsidTr="001633A3">
        <w:trPr>
          <w:trHeight w:val="20"/>
          <w:jc w:val="center"/>
        </w:trPr>
        <w:tc>
          <w:tcPr>
            <w:tcW w:w="256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8AE1ED6" w14:textId="77777777" w:rsidR="001633A3" w:rsidRPr="00965BA2" w:rsidRDefault="001633A3" w:rsidP="00056EE7">
            <w:pPr>
              <w:spacing w:after="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Świętokrzyskie</w:t>
            </w:r>
          </w:p>
        </w:tc>
        <w:tc>
          <w:tcPr>
            <w:tcW w:w="25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AE1DCF8" w14:textId="77777777" w:rsidR="001633A3" w:rsidRPr="00965BA2" w:rsidRDefault="001633A3" w:rsidP="00056EE7">
            <w:pPr>
              <w:spacing w:after="0" w:line="300" w:lineRule="atLeast"/>
              <w:jc w:val="center"/>
              <w:rPr>
                <w:rFonts w:ascii="Times New Roman" w:eastAsia="Calibri" w:hAnsi="Times New Roman" w:cs="Times New Roman"/>
                <w:sz w:val="24"/>
                <w:szCs w:val="24"/>
              </w:rPr>
            </w:pPr>
            <w:r w:rsidRPr="00965BA2">
              <w:rPr>
                <w:rFonts w:ascii="Times New Roman" w:eastAsia="Calibri" w:hAnsi="Times New Roman" w:cs="Times New Roman"/>
                <w:sz w:val="24"/>
                <w:szCs w:val="24"/>
              </w:rPr>
              <w:t>12</w:t>
            </w:r>
          </w:p>
        </w:tc>
        <w:tc>
          <w:tcPr>
            <w:tcW w:w="256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5E6FF25" w14:textId="4A4203E9" w:rsidR="001633A3" w:rsidRPr="00965BA2" w:rsidRDefault="00434520" w:rsidP="00056EE7">
            <w:pPr>
              <w:spacing w:after="0" w:line="300" w:lineRule="atLeast"/>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1633A3" w:rsidRPr="00965BA2">
              <w:rPr>
                <w:rFonts w:ascii="Times New Roman" w:eastAsia="Calibri" w:hAnsi="Times New Roman" w:cs="Times New Roman"/>
                <w:sz w:val="24"/>
                <w:szCs w:val="24"/>
              </w:rPr>
              <w:t>1</w:t>
            </w:r>
          </w:p>
        </w:tc>
      </w:tr>
      <w:tr w:rsidR="001633A3" w:rsidRPr="00965BA2" w14:paraId="38E4A746" w14:textId="77777777" w:rsidTr="001633A3">
        <w:trPr>
          <w:trHeight w:val="20"/>
          <w:jc w:val="center"/>
        </w:trPr>
        <w:tc>
          <w:tcPr>
            <w:tcW w:w="256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7715A55" w14:textId="77777777" w:rsidR="001633A3" w:rsidRPr="00965BA2" w:rsidRDefault="001633A3" w:rsidP="00056EE7">
            <w:pPr>
              <w:spacing w:after="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Warmińsko-mazurskie</w:t>
            </w:r>
          </w:p>
        </w:tc>
        <w:tc>
          <w:tcPr>
            <w:tcW w:w="25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2A33C6F" w14:textId="77777777" w:rsidR="001633A3" w:rsidRPr="00965BA2" w:rsidRDefault="001633A3" w:rsidP="00056EE7">
            <w:pPr>
              <w:spacing w:after="0" w:line="300" w:lineRule="atLeast"/>
              <w:jc w:val="center"/>
              <w:rPr>
                <w:rFonts w:ascii="Times New Roman" w:eastAsia="Calibri" w:hAnsi="Times New Roman" w:cs="Times New Roman"/>
                <w:sz w:val="24"/>
                <w:szCs w:val="24"/>
              </w:rPr>
            </w:pPr>
            <w:r w:rsidRPr="00965BA2">
              <w:rPr>
                <w:rFonts w:ascii="Times New Roman" w:eastAsia="Calibri" w:hAnsi="Times New Roman" w:cs="Times New Roman"/>
                <w:sz w:val="24"/>
                <w:szCs w:val="24"/>
              </w:rPr>
              <w:t>12</w:t>
            </w:r>
          </w:p>
        </w:tc>
        <w:tc>
          <w:tcPr>
            <w:tcW w:w="256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B5221BA" w14:textId="77777777" w:rsidR="001633A3" w:rsidRPr="00965BA2" w:rsidRDefault="001633A3" w:rsidP="00056EE7">
            <w:pPr>
              <w:spacing w:after="0" w:line="300" w:lineRule="atLeast"/>
              <w:jc w:val="center"/>
              <w:rPr>
                <w:rFonts w:ascii="Times New Roman" w:eastAsia="Calibri" w:hAnsi="Times New Roman" w:cs="Times New Roman"/>
                <w:sz w:val="24"/>
                <w:szCs w:val="24"/>
              </w:rPr>
            </w:pPr>
            <w:r w:rsidRPr="00965BA2">
              <w:rPr>
                <w:rFonts w:ascii="Times New Roman" w:eastAsia="Calibri" w:hAnsi="Times New Roman" w:cs="Times New Roman"/>
                <w:sz w:val="24"/>
                <w:szCs w:val="24"/>
              </w:rPr>
              <w:t>12</w:t>
            </w:r>
          </w:p>
        </w:tc>
      </w:tr>
      <w:tr w:rsidR="001633A3" w:rsidRPr="00965BA2" w14:paraId="37278909" w14:textId="77777777" w:rsidTr="001633A3">
        <w:trPr>
          <w:trHeight w:val="20"/>
          <w:jc w:val="center"/>
        </w:trPr>
        <w:tc>
          <w:tcPr>
            <w:tcW w:w="256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6F205F1" w14:textId="77777777" w:rsidR="001633A3" w:rsidRPr="00965BA2" w:rsidRDefault="001633A3" w:rsidP="00056EE7">
            <w:pPr>
              <w:spacing w:after="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Wielkopolskie</w:t>
            </w:r>
          </w:p>
        </w:tc>
        <w:tc>
          <w:tcPr>
            <w:tcW w:w="25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DDABC66" w14:textId="77777777" w:rsidR="001633A3" w:rsidRPr="00965BA2" w:rsidRDefault="001633A3" w:rsidP="00056EE7">
            <w:pPr>
              <w:spacing w:after="0" w:line="300" w:lineRule="atLeast"/>
              <w:jc w:val="center"/>
              <w:rPr>
                <w:rFonts w:ascii="Times New Roman" w:eastAsia="Calibri" w:hAnsi="Times New Roman" w:cs="Times New Roman"/>
                <w:sz w:val="24"/>
                <w:szCs w:val="24"/>
              </w:rPr>
            </w:pPr>
            <w:r w:rsidRPr="00965BA2">
              <w:rPr>
                <w:rFonts w:ascii="Times New Roman" w:eastAsia="Calibri" w:hAnsi="Times New Roman" w:cs="Times New Roman"/>
                <w:sz w:val="24"/>
                <w:szCs w:val="24"/>
              </w:rPr>
              <w:t>27</w:t>
            </w:r>
          </w:p>
        </w:tc>
        <w:tc>
          <w:tcPr>
            <w:tcW w:w="256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B7A8AB1" w14:textId="77777777" w:rsidR="001633A3" w:rsidRPr="00965BA2" w:rsidRDefault="001633A3" w:rsidP="00056EE7">
            <w:pPr>
              <w:spacing w:after="0" w:line="300" w:lineRule="atLeast"/>
              <w:jc w:val="center"/>
              <w:rPr>
                <w:rFonts w:ascii="Times New Roman" w:eastAsia="Calibri" w:hAnsi="Times New Roman" w:cs="Times New Roman"/>
                <w:sz w:val="24"/>
                <w:szCs w:val="24"/>
              </w:rPr>
            </w:pPr>
            <w:r w:rsidRPr="00965BA2">
              <w:rPr>
                <w:rFonts w:ascii="Times New Roman" w:eastAsia="Calibri" w:hAnsi="Times New Roman" w:cs="Times New Roman"/>
                <w:sz w:val="24"/>
                <w:szCs w:val="24"/>
              </w:rPr>
              <w:t>31</w:t>
            </w:r>
          </w:p>
        </w:tc>
      </w:tr>
      <w:tr w:rsidR="001633A3" w:rsidRPr="00965BA2" w14:paraId="253F870A" w14:textId="77777777" w:rsidTr="001633A3">
        <w:trPr>
          <w:trHeight w:val="20"/>
          <w:jc w:val="center"/>
        </w:trPr>
        <w:tc>
          <w:tcPr>
            <w:tcW w:w="256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2C0E4DB" w14:textId="77777777" w:rsidR="001633A3" w:rsidRPr="00965BA2" w:rsidRDefault="001633A3" w:rsidP="00056EE7">
            <w:pPr>
              <w:spacing w:after="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Zachodniopomorskie</w:t>
            </w:r>
          </w:p>
        </w:tc>
        <w:tc>
          <w:tcPr>
            <w:tcW w:w="25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D185D15" w14:textId="77777777" w:rsidR="001633A3" w:rsidRPr="00965BA2" w:rsidRDefault="001633A3" w:rsidP="00056EE7">
            <w:pPr>
              <w:spacing w:after="0" w:line="300" w:lineRule="atLeast"/>
              <w:jc w:val="center"/>
              <w:rPr>
                <w:rFonts w:ascii="Times New Roman" w:eastAsia="Calibri" w:hAnsi="Times New Roman" w:cs="Times New Roman"/>
                <w:sz w:val="24"/>
                <w:szCs w:val="24"/>
              </w:rPr>
            </w:pPr>
            <w:r w:rsidRPr="00965BA2">
              <w:rPr>
                <w:rFonts w:ascii="Times New Roman" w:eastAsia="Calibri" w:hAnsi="Times New Roman" w:cs="Times New Roman"/>
                <w:sz w:val="24"/>
                <w:szCs w:val="24"/>
              </w:rPr>
              <w:t>16</w:t>
            </w:r>
          </w:p>
        </w:tc>
        <w:tc>
          <w:tcPr>
            <w:tcW w:w="256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AB7B8F5" w14:textId="77777777" w:rsidR="001633A3" w:rsidRPr="00965BA2" w:rsidRDefault="001633A3" w:rsidP="00056EE7">
            <w:pPr>
              <w:spacing w:after="0" w:line="300" w:lineRule="atLeast"/>
              <w:jc w:val="center"/>
              <w:rPr>
                <w:rFonts w:ascii="Times New Roman" w:eastAsia="Calibri" w:hAnsi="Times New Roman" w:cs="Times New Roman"/>
                <w:sz w:val="24"/>
                <w:szCs w:val="24"/>
              </w:rPr>
            </w:pPr>
            <w:r w:rsidRPr="00965BA2">
              <w:rPr>
                <w:rFonts w:ascii="Times New Roman" w:eastAsia="Calibri" w:hAnsi="Times New Roman" w:cs="Times New Roman"/>
                <w:sz w:val="24"/>
                <w:szCs w:val="24"/>
              </w:rPr>
              <w:t>15</w:t>
            </w:r>
          </w:p>
        </w:tc>
      </w:tr>
      <w:tr w:rsidR="001633A3" w:rsidRPr="00965BA2" w14:paraId="427AD8D2" w14:textId="77777777" w:rsidTr="001633A3">
        <w:trPr>
          <w:trHeight w:val="20"/>
          <w:jc w:val="center"/>
        </w:trPr>
        <w:tc>
          <w:tcPr>
            <w:tcW w:w="256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12C6407" w14:textId="77777777" w:rsidR="001633A3" w:rsidRPr="00965BA2" w:rsidRDefault="001633A3" w:rsidP="00056EE7">
            <w:pPr>
              <w:spacing w:after="0" w:line="300" w:lineRule="atLeast"/>
              <w:jc w:val="both"/>
              <w:rPr>
                <w:rFonts w:ascii="Times New Roman" w:eastAsia="Calibri" w:hAnsi="Times New Roman" w:cs="Times New Roman"/>
                <w:b/>
                <w:bCs/>
                <w:sz w:val="24"/>
                <w:szCs w:val="24"/>
              </w:rPr>
            </w:pPr>
            <w:r w:rsidRPr="00965BA2">
              <w:rPr>
                <w:rFonts w:ascii="Times New Roman" w:eastAsia="Calibri" w:hAnsi="Times New Roman" w:cs="Times New Roman"/>
                <w:b/>
                <w:bCs/>
                <w:sz w:val="24"/>
                <w:szCs w:val="24"/>
              </w:rPr>
              <w:t>Polska</w:t>
            </w:r>
          </w:p>
        </w:tc>
        <w:tc>
          <w:tcPr>
            <w:tcW w:w="25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060867" w14:textId="77777777" w:rsidR="001633A3" w:rsidRPr="00965BA2" w:rsidRDefault="001633A3" w:rsidP="00056EE7">
            <w:pPr>
              <w:spacing w:after="0" w:line="300" w:lineRule="atLeast"/>
              <w:jc w:val="center"/>
              <w:rPr>
                <w:rFonts w:ascii="Times New Roman" w:eastAsia="Calibri" w:hAnsi="Times New Roman" w:cs="Times New Roman"/>
                <w:b/>
                <w:bCs/>
                <w:sz w:val="24"/>
                <w:szCs w:val="24"/>
              </w:rPr>
            </w:pPr>
            <w:r w:rsidRPr="00965BA2">
              <w:rPr>
                <w:rFonts w:ascii="Times New Roman" w:eastAsia="Calibri" w:hAnsi="Times New Roman" w:cs="Times New Roman"/>
                <w:b/>
                <w:bCs/>
                <w:sz w:val="24"/>
                <w:szCs w:val="24"/>
              </w:rPr>
              <w:t>233</w:t>
            </w:r>
          </w:p>
        </w:tc>
        <w:tc>
          <w:tcPr>
            <w:tcW w:w="256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57D4988" w14:textId="77777777" w:rsidR="001633A3" w:rsidRPr="00965BA2" w:rsidRDefault="001633A3" w:rsidP="00056EE7">
            <w:pPr>
              <w:spacing w:after="0" w:line="300" w:lineRule="atLeast"/>
              <w:jc w:val="center"/>
              <w:rPr>
                <w:rFonts w:ascii="Times New Roman" w:eastAsia="Calibri" w:hAnsi="Times New Roman" w:cs="Times New Roman"/>
                <w:b/>
                <w:bCs/>
                <w:sz w:val="24"/>
                <w:szCs w:val="24"/>
              </w:rPr>
            </w:pPr>
            <w:r w:rsidRPr="00965BA2">
              <w:rPr>
                <w:rFonts w:ascii="Times New Roman" w:eastAsia="Calibri" w:hAnsi="Times New Roman" w:cs="Times New Roman"/>
                <w:b/>
                <w:bCs/>
                <w:sz w:val="24"/>
                <w:szCs w:val="24"/>
              </w:rPr>
              <w:t>143</w:t>
            </w:r>
          </w:p>
        </w:tc>
      </w:tr>
    </w:tbl>
    <w:bookmarkEnd w:id="130"/>
    <w:p w14:paraId="7DDCD823" w14:textId="77777777" w:rsidR="001633A3" w:rsidRPr="00965BA2" w:rsidRDefault="001633A3" w:rsidP="00434520">
      <w:pPr>
        <w:spacing w:before="240" w:after="60" w:line="300" w:lineRule="atLeast"/>
        <w:ind w:firstLine="709"/>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Wojewódzcy inspektorzy ochrony środowiska w 2022 r. przeprowadzili 82 kontrole kompostowni, podczas których w 38 przypadkach stwierdzono naruszenia ochrony środowiska, w tym:</w:t>
      </w:r>
    </w:p>
    <w:p w14:paraId="2A77F76A" w14:textId="41800231" w:rsidR="001633A3" w:rsidRPr="00434520" w:rsidRDefault="001633A3" w:rsidP="00D34F97">
      <w:pPr>
        <w:numPr>
          <w:ilvl w:val="0"/>
          <w:numId w:val="166"/>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25 (66%) kontroli, w których stwierdzono naruszenia bez istotnego wpływu na</w:t>
      </w:r>
      <w:r w:rsidR="00434520">
        <w:rPr>
          <w:rFonts w:ascii="Times New Roman" w:eastAsia="Calibri" w:hAnsi="Times New Roman" w:cs="Times New Roman"/>
          <w:sz w:val="24"/>
          <w:szCs w:val="24"/>
        </w:rPr>
        <w:t xml:space="preserve"> środowisko</w:t>
      </w:r>
      <w:r w:rsidRPr="00434520">
        <w:rPr>
          <w:rFonts w:ascii="Times New Roman" w:eastAsia="Calibri" w:hAnsi="Times New Roman" w:cs="Times New Roman"/>
          <w:sz w:val="24"/>
          <w:szCs w:val="24"/>
        </w:rPr>
        <w:t>,</w:t>
      </w:r>
    </w:p>
    <w:p w14:paraId="575B6C08" w14:textId="618F4BA8" w:rsidR="001633A3" w:rsidRPr="00965BA2" w:rsidRDefault="001633A3" w:rsidP="00D34F97">
      <w:pPr>
        <w:numPr>
          <w:ilvl w:val="0"/>
          <w:numId w:val="162"/>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 xml:space="preserve">13 (34%) kontroli, w których stwierdzono naruszenia mogące spowodować </w:t>
      </w:r>
      <w:r w:rsidR="00434520">
        <w:rPr>
          <w:rFonts w:ascii="Times New Roman" w:eastAsia="Calibri" w:hAnsi="Times New Roman" w:cs="Times New Roman"/>
          <w:sz w:val="24"/>
          <w:szCs w:val="24"/>
        </w:rPr>
        <w:t>zagrożenie</w:t>
      </w:r>
    </w:p>
    <w:p w14:paraId="694C5688" w14:textId="51566198" w:rsidR="001633A3" w:rsidRPr="00965BA2" w:rsidRDefault="001633A3" w:rsidP="00056EE7">
      <w:pPr>
        <w:spacing w:line="300" w:lineRule="atLeast"/>
        <w:ind w:left="720"/>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lub zanieczyszczenie środowiska.</w:t>
      </w:r>
    </w:p>
    <w:p w14:paraId="30A08144" w14:textId="77777777" w:rsidR="001633A3" w:rsidRPr="00965BA2" w:rsidRDefault="001633A3" w:rsidP="00434520">
      <w:pPr>
        <w:spacing w:before="240" w:after="6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color w:val="FF0000"/>
          <w:sz w:val="24"/>
          <w:szCs w:val="24"/>
        </w:rPr>
        <w:tab/>
      </w:r>
      <w:r w:rsidRPr="00965BA2">
        <w:rPr>
          <w:rFonts w:ascii="Times New Roman" w:eastAsia="Calibri" w:hAnsi="Times New Roman" w:cs="Times New Roman"/>
          <w:sz w:val="24"/>
          <w:szCs w:val="24"/>
        </w:rPr>
        <w:t>W 2022 r. zaplanowano do kontroli 18 biogazowni, a skontrolowano 54. W 26 kontrolach stwierdzono naruszenia, w tym:</w:t>
      </w:r>
    </w:p>
    <w:p w14:paraId="188BC9B9" w14:textId="77777777" w:rsidR="001633A3" w:rsidRPr="00965BA2" w:rsidRDefault="001633A3" w:rsidP="00D34F97">
      <w:pPr>
        <w:numPr>
          <w:ilvl w:val="0"/>
          <w:numId w:val="161"/>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15 (58%) naruszeń bez istotnego wpływu na środowisko,</w:t>
      </w:r>
    </w:p>
    <w:p w14:paraId="45C684A4" w14:textId="77777777" w:rsidR="001633A3" w:rsidRPr="00965BA2" w:rsidRDefault="001633A3" w:rsidP="00D34F97">
      <w:pPr>
        <w:numPr>
          <w:ilvl w:val="0"/>
          <w:numId w:val="161"/>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11 (42%) naruszeń mogących spowodować zagrożenie lub zanieczyszczenie środowiska.</w:t>
      </w:r>
    </w:p>
    <w:p w14:paraId="6BDB5786" w14:textId="7C52229E" w:rsidR="001633A3" w:rsidRPr="00965BA2" w:rsidRDefault="001633A3" w:rsidP="00434520">
      <w:pPr>
        <w:spacing w:before="240" w:after="6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Najczęściej stwierdzane w kompostowniach i biogazowniach naruszenia dotyczyły:</w:t>
      </w:r>
    </w:p>
    <w:p w14:paraId="58B9A89D" w14:textId="77777777" w:rsidR="001633A3" w:rsidRPr="00965BA2" w:rsidRDefault="001633A3" w:rsidP="00D34F97">
      <w:pPr>
        <w:numPr>
          <w:ilvl w:val="0"/>
          <w:numId w:val="165"/>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braku wymaganych uregulowań formalnoprawnych (m. in. zezwolenia na zbieranie i przetwarzanie odpadów),</w:t>
      </w:r>
    </w:p>
    <w:p w14:paraId="65866F77" w14:textId="77777777" w:rsidR="001633A3" w:rsidRPr="00965BA2" w:rsidRDefault="001633A3" w:rsidP="00D34F97">
      <w:pPr>
        <w:numPr>
          <w:ilvl w:val="0"/>
          <w:numId w:val="165"/>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prowadzenia działalności niezgodnie z posiadanymi pozwoleniami i zezwoleniami (w zakresie gospodarki odpadami, gospodarki wodno-ściekowej),</w:t>
      </w:r>
    </w:p>
    <w:p w14:paraId="716F1FAA" w14:textId="77777777" w:rsidR="001633A3" w:rsidRPr="00965BA2" w:rsidRDefault="001633A3" w:rsidP="00D34F97">
      <w:pPr>
        <w:numPr>
          <w:ilvl w:val="0"/>
          <w:numId w:val="165"/>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braku lub nierzetelnego prowadzenia ewidencji lub sprawozdawczości,</w:t>
      </w:r>
    </w:p>
    <w:p w14:paraId="4F1EAB20" w14:textId="77777777" w:rsidR="001633A3" w:rsidRPr="00965BA2" w:rsidRDefault="001633A3" w:rsidP="00D34F97">
      <w:pPr>
        <w:numPr>
          <w:ilvl w:val="0"/>
          <w:numId w:val="165"/>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emisji substancji złowonnych poza teren biogazowni,</w:t>
      </w:r>
    </w:p>
    <w:p w14:paraId="6697D9E4" w14:textId="77777777" w:rsidR="001633A3" w:rsidRPr="00965BA2" w:rsidRDefault="001633A3" w:rsidP="00D34F97">
      <w:pPr>
        <w:numPr>
          <w:ilvl w:val="0"/>
          <w:numId w:val="165"/>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nieprzedkładania wyników pomiarów (np. ilości pobranej wody),</w:t>
      </w:r>
    </w:p>
    <w:p w14:paraId="6A8EF5EA" w14:textId="77777777" w:rsidR="001633A3" w:rsidRPr="00965BA2" w:rsidRDefault="001633A3" w:rsidP="00D34F97">
      <w:pPr>
        <w:numPr>
          <w:ilvl w:val="0"/>
          <w:numId w:val="165"/>
        </w:numPr>
        <w:spacing w:after="0"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lastRenderedPageBreak/>
        <w:t>prowadzenia wizyjnego systemu kontroli magazynowanych odpadów niezgodnie z przepisami ustawy o odpadach.</w:t>
      </w:r>
    </w:p>
    <w:p w14:paraId="097CF60A" w14:textId="77777777" w:rsidR="001633A3" w:rsidRPr="00965BA2" w:rsidRDefault="001633A3" w:rsidP="00434520">
      <w:pPr>
        <w:spacing w:before="240" w:after="6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W związku ze stwierdzonymi nieprawidłowościami:</w:t>
      </w:r>
    </w:p>
    <w:p w14:paraId="19F7A3EB" w14:textId="77777777" w:rsidR="001633A3" w:rsidRPr="00965BA2" w:rsidRDefault="001633A3" w:rsidP="00D34F97">
      <w:pPr>
        <w:numPr>
          <w:ilvl w:val="0"/>
          <w:numId w:val="164"/>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udzielono 24 pouczeń,</w:t>
      </w:r>
    </w:p>
    <w:p w14:paraId="4C583062" w14:textId="77777777" w:rsidR="001633A3" w:rsidRPr="00965BA2" w:rsidRDefault="001633A3" w:rsidP="00D34F97">
      <w:pPr>
        <w:numPr>
          <w:ilvl w:val="0"/>
          <w:numId w:val="164"/>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nałożono 22 mandaty karne,</w:t>
      </w:r>
    </w:p>
    <w:p w14:paraId="6E44FA6A" w14:textId="77777777" w:rsidR="001633A3" w:rsidRPr="00965BA2" w:rsidRDefault="001633A3" w:rsidP="00D34F97">
      <w:pPr>
        <w:numPr>
          <w:ilvl w:val="0"/>
          <w:numId w:val="164"/>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 xml:space="preserve">wydano 40 zarządzeń pokontrolnych, </w:t>
      </w:r>
    </w:p>
    <w:p w14:paraId="6747940A" w14:textId="77777777" w:rsidR="001633A3" w:rsidRPr="00965BA2" w:rsidRDefault="001633A3" w:rsidP="00D34F97">
      <w:pPr>
        <w:numPr>
          <w:ilvl w:val="0"/>
          <w:numId w:val="164"/>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skierowano 1 wniosek do sądu o ukaranie karą grzywny,</w:t>
      </w:r>
    </w:p>
    <w:p w14:paraId="40073440" w14:textId="77777777" w:rsidR="001633A3" w:rsidRPr="00965BA2" w:rsidRDefault="001633A3" w:rsidP="00D34F97">
      <w:pPr>
        <w:numPr>
          <w:ilvl w:val="0"/>
          <w:numId w:val="164"/>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skierowano 1 wniosek do organów ścigania,</w:t>
      </w:r>
    </w:p>
    <w:p w14:paraId="6F6C5550" w14:textId="77777777" w:rsidR="001633A3" w:rsidRPr="00965BA2" w:rsidRDefault="001633A3" w:rsidP="00D34F97">
      <w:pPr>
        <w:numPr>
          <w:ilvl w:val="0"/>
          <w:numId w:val="164"/>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 xml:space="preserve">skierowano 29 wystąpień do innych organów administracji rządowej i samorządowej, </w:t>
      </w:r>
    </w:p>
    <w:p w14:paraId="20B9EE5A" w14:textId="77777777" w:rsidR="00434520" w:rsidRDefault="001633A3" w:rsidP="00D34F97">
      <w:pPr>
        <w:numPr>
          <w:ilvl w:val="0"/>
          <w:numId w:val="164"/>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wydano 3 decyzje w sprawie nałożenia kar pieniężnych,</w:t>
      </w:r>
    </w:p>
    <w:p w14:paraId="0552DBA7" w14:textId="2E196EBC" w:rsidR="00895F16" w:rsidRPr="00434520" w:rsidRDefault="001633A3" w:rsidP="00D34F97">
      <w:pPr>
        <w:numPr>
          <w:ilvl w:val="0"/>
          <w:numId w:val="164"/>
        </w:numPr>
        <w:spacing w:line="300" w:lineRule="atLeast"/>
        <w:contextualSpacing/>
        <w:jc w:val="both"/>
        <w:rPr>
          <w:rFonts w:ascii="Times New Roman" w:eastAsia="Calibri" w:hAnsi="Times New Roman" w:cs="Times New Roman"/>
          <w:sz w:val="24"/>
          <w:szCs w:val="24"/>
        </w:rPr>
      </w:pPr>
      <w:r w:rsidRPr="00434520">
        <w:rPr>
          <w:rFonts w:ascii="Times New Roman" w:eastAsia="Calibri" w:hAnsi="Times New Roman" w:cs="Times New Roman"/>
          <w:sz w:val="24"/>
          <w:szCs w:val="24"/>
        </w:rPr>
        <w:t>wydano 2 decyzje wstrzymujące działalność podmiotu</w:t>
      </w:r>
      <w:r w:rsidR="00895F16" w:rsidRPr="00434520">
        <w:rPr>
          <w:rFonts w:ascii="Times New Roman" w:eastAsia="Calibri" w:hAnsi="Times New Roman" w:cs="Times New Roman"/>
          <w:sz w:val="24"/>
          <w:szCs w:val="24"/>
          <w:lang w:val="x-none" w:eastAsia="pl-PL"/>
        </w:rPr>
        <w:t>.</w:t>
      </w:r>
    </w:p>
    <w:p w14:paraId="56C1507C" w14:textId="77777777" w:rsidR="00895F16" w:rsidRPr="007F400A" w:rsidRDefault="00895F16" w:rsidP="00056EE7">
      <w:pPr>
        <w:autoSpaceDE w:val="0"/>
        <w:autoSpaceDN w:val="0"/>
        <w:adjustRightInd w:val="0"/>
        <w:spacing w:after="0" w:line="300" w:lineRule="atLeast"/>
        <w:jc w:val="both"/>
        <w:rPr>
          <w:rFonts w:ascii="Times New Roman" w:eastAsia="Times New Roman" w:hAnsi="Times New Roman" w:cs="Times New Roman"/>
          <w:sz w:val="24"/>
          <w:szCs w:val="24"/>
          <w:lang w:eastAsia="pl-PL"/>
        </w:rPr>
      </w:pPr>
    </w:p>
    <w:p w14:paraId="51399570" w14:textId="068AF77A" w:rsidR="00895F16" w:rsidRPr="007F400A" w:rsidRDefault="00895F16" w:rsidP="00434520">
      <w:pPr>
        <w:keepNext/>
        <w:spacing w:after="120" w:line="300" w:lineRule="atLeast"/>
        <w:jc w:val="both"/>
        <w:outlineLvl w:val="0"/>
        <w:rPr>
          <w:rFonts w:ascii="Times New Roman" w:eastAsia="Times New Roman" w:hAnsi="Times New Roman" w:cs="Times New Roman"/>
          <w:b/>
          <w:bCs/>
          <w:sz w:val="24"/>
          <w:szCs w:val="24"/>
          <w:lang w:val="x-none" w:eastAsia="x-none"/>
        </w:rPr>
      </w:pPr>
      <w:bookmarkStart w:id="131" w:name="_Toc5878560"/>
      <w:bookmarkStart w:id="132" w:name="_Toc36732581"/>
      <w:bookmarkStart w:id="133" w:name="_Toc135935609"/>
      <w:r w:rsidRPr="007F400A">
        <w:rPr>
          <w:rFonts w:ascii="Times New Roman" w:eastAsia="Times New Roman" w:hAnsi="Times New Roman" w:cs="Times New Roman"/>
          <w:b/>
          <w:bCs/>
          <w:sz w:val="24"/>
          <w:szCs w:val="24"/>
          <w:lang w:val="x-none" w:eastAsia="x-none"/>
        </w:rPr>
        <w:t>3.3.1</w:t>
      </w:r>
      <w:r w:rsidR="001633A3">
        <w:rPr>
          <w:rFonts w:ascii="Times New Roman" w:eastAsia="Times New Roman" w:hAnsi="Times New Roman" w:cs="Times New Roman"/>
          <w:b/>
          <w:bCs/>
          <w:sz w:val="24"/>
          <w:szCs w:val="24"/>
          <w:lang w:eastAsia="x-none"/>
        </w:rPr>
        <w:t>9</w:t>
      </w:r>
      <w:r w:rsidRPr="007F400A">
        <w:rPr>
          <w:rFonts w:ascii="Times New Roman" w:eastAsia="Times New Roman" w:hAnsi="Times New Roman" w:cs="Times New Roman"/>
          <w:b/>
          <w:bCs/>
          <w:sz w:val="24"/>
          <w:szCs w:val="24"/>
          <w:lang w:val="x-none" w:eastAsia="x-none"/>
        </w:rPr>
        <w:t xml:space="preserve"> Kontrole stosowania i przechowywania nawozów, środków wspomagających uprawę roślin, komunalnych osadów ściekowych oraz kontrola rolniczego wykorzystania ścieków w produkcji pierwotnej żywności pochodzenia roślinnego</w:t>
      </w:r>
      <w:bookmarkEnd w:id="131"/>
      <w:bookmarkEnd w:id="132"/>
      <w:bookmarkEnd w:id="133"/>
    </w:p>
    <w:p w14:paraId="17CDCEB8" w14:textId="77777777" w:rsidR="001633A3" w:rsidRPr="002F60C3" w:rsidRDefault="001633A3" w:rsidP="00434520">
      <w:pPr>
        <w:spacing w:after="0" w:line="300" w:lineRule="atLeast"/>
        <w:ind w:firstLine="567"/>
        <w:jc w:val="both"/>
        <w:rPr>
          <w:rFonts w:ascii="Times New Roman" w:hAnsi="Times New Roman" w:cs="Times New Roman"/>
          <w:sz w:val="24"/>
          <w:szCs w:val="24"/>
        </w:rPr>
      </w:pPr>
      <w:r w:rsidRPr="002F60C3">
        <w:rPr>
          <w:rFonts w:ascii="Times New Roman" w:hAnsi="Times New Roman" w:cs="Times New Roman"/>
          <w:sz w:val="24"/>
          <w:szCs w:val="24"/>
        </w:rPr>
        <w:t xml:space="preserve">W dniu 22 grudnia 2020 r. zawarte zostało </w:t>
      </w:r>
      <w:r w:rsidRPr="002F60C3">
        <w:rPr>
          <w:rFonts w:ascii="Times New Roman" w:hAnsi="Times New Roman" w:cs="Times New Roman"/>
          <w:i/>
          <w:sz w:val="24"/>
          <w:szCs w:val="24"/>
        </w:rPr>
        <w:t>Porozumienie w sprawie współdziałania organów Państwowej Inspekcji Sanitarnej, Państwowej Inspekcji Ochrony Roślin i</w:t>
      </w:r>
      <w:r>
        <w:rPr>
          <w:rFonts w:ascii="Times New Roman" w:hAnsi="Times New Roman" w:cs="Times New Roman"/>
          <w:i/>
          <w:sz w:val="24"/>
          <w:szCs w:val="24"/>
        </w:rPr>
        <w:t> </w:t>
      </w:r>
      <w:r w:rsidRPr="002F60C3">
        <w:rPr>
          <w:rFonts w:ascii="Times New Roman" w:hAnsi="Times New Roman" w:cs="Times New Roman"/>
          <w:i/>
          <w:sz w:val="24"/>
          <w:szCs w:val="24"/>
        </w:rPr>
        <w:t>Nasiennictwa oraz Inspekcji Ochrony Środowiska w zakresie zapewnienia bezpieczeństwa</w:t>
      </w:r>
      <w:r>
        <w:rPr>
          <w:rFonts w:ascii="Times New Roman" w:hAnsi="Times New Roman" w:cs="Times New Roman"/>
          <w:i/>
          <w:sz w:val="24"/>
          <w:szCs w:val="24"/>
        </w:rPr>
        <w:t xml:space="preserve"> </w:t>
      </w:r>
      <w:r w:rsidRPr="002F60C3">
        <w:rPr>
          <w:rFonts w:ascii="Times New Roman" w:hAnsi="Times New Roman" w:cs="Times New Roman"/>
          <w:i/>
          <w:sz w:val="24"/>
          <w:szCs w:val="24"/>
        </w:rPr>
        <w:t>produkcji pierwotnej żywności pochodzenia roślinnego</w:t>
      </w:r>
      <w:r w:rsidRPr="002F60C3">
        <w:rPr>
          <w:rFonts w:ascii="Times New Roman" w:hAnsi="Times New Roman" w:cs="Times New Roman"/>
          <w:sz w:val="24"/>
          <w:szCs w:val="24"/>
        </w:rPr>
        <w:t>.</w:t>
      </w:r>
    </w:p>
    <w:p w14:paraId="4D80272F" w14:textId="77777777" w:rsidR="001633A3" w:rsidRPr="002F60C3" w:rsidRDefault="001633A3" w:rsidP="00434520">
      <w:pPr>
        <w:spacing w:after="0" w:line="300" w:lineRule="atLeast"/>
        <w:ind w:firstLine="567"/>
        <w:jc w:val="both"/>
        <w:rPr>
          <w:rFonts w:ascii="Times New Roman" w:hAnsi="Times New Roman" w:cs="Times New Roman"/>
          <w:sz w:val="24"/>
          <w:szCs w:val="24"/>
        </w:rPr>
      </w:pPr>
      <w:r w:rsidRPr="002F60C3">
        <w:rPr>
          <w:rFonts w:ascii="Times New Roman" w:hAnsi="Times New Roman" w:cs="Times New Roman"/>
          <w:sz w:val="24"/>
          <w:szCs w:val="24"/>
        </w:rPr>
        <w:t>W 2022 r. realizacja ww. porozumienia odbywała się na podstawie Planu działania na 2022 r. i polegała na prowadzeniu kontroli, w tym wspólnych kontroli wojewódzkich inspektorów ochrony środowiska z innymi organami uczestniczącymi w porozumieniu z</w:t>
      </w:r>
      <w:r>
        <w:rPr>
          <w:rFonts w:ascii="Times New Roman" w:hAnsi="Times New Roman" w:cs="Times New Roman"/>
          <w:sz w:val="24"/>
          <w:szCs w:val="24"/>
        </w:rPr>
        <w:t> </w:t>
      </w:r>
      <w:r w:rsidRPr="002F60C3">
        <w:rPr>
          <w:rFonts w:ascii="Times New Roman" w:hAnsi="Times New Roman" w:cs="Times New Roman"/>
          <w:sz w:val="24"/>
          <w:szCs w:val="24"/>
        </w:rPr>
        <w:t>2020</w:t>
      </w:r>
      <w:r>
        <w:rPr>
          <w:rFonts w:ascii="Times New Roman" w:hAnsi="Times New Roman" w:cs="Times New Roman"/>
          <w:sz w:val="24"/>
          <w:szCs w:val="24"/>
        </w:rPr>
        <w:t> </w:t>
      </w:r>
      <w:r w:rsidRPr="002F60C3">
        <w:rPr>
          <w:rFonts w:ascii="Times New Roman" w:hAnsi="Times New Roman" w:cs="Times New Roman"/>
          <w:sz w:val="24"/>
          <w:szCs w:val="24"/>
        </w:rPr>
        <w:t>r., producentów żywności przeznaczonej do bezpośredniego spożycia na surowo.</w:t>
      </w:r>
    </w:p>
    <w:p w14:paraId="486C14B5" w14:textId="52289381" w:rsidR="001633A3" w:rsidRPr="002F60C3" w:rsidRDefault="001633A3" w:rsidP="00434520">
      <w:pPr>
        <w:spacing w:after="0" w:line="300" w:lineRule="atLeast"/>
        <w:ind w:firstLine="567"/>
        <w:jc w:val="both"/>
        <w:rPr>
          <w:rFonts w:ascii="Times New Roman" w:hAnsi="Times New Roman" w:cs="Times New Roman"/>
          <w:sz w:val="24"/>
          <w:szCs w:val="24"/>
        </w:rPr>
      </w:pPr>
      <w:r w:rsidRPr="002F60C3">
        <w:rPr>
          <w:rFonts w:ascii="Times New Roman" w:hAnsi="Times New Roman" w:cs="Times New Roman"/>
          <w:sz w:val="24"/>
          <w:szCs w:val="24"/>
        </w:rPr>
        <w:t xml:space="preserve">W 2022 r. </w:t>
      </w:r>
      <w:r>
        <w:rPr>
          <w:rFonts w:ascii="Times New Roman" w:hAnsi="Times New Roman" w:cs="Times New Roman"/>
          <w:sz w:val="24"/>
          <w:szCs w:val="24"/>
        </w:rPr>
        <w:t>wojewódzcy inspektorzy ochrony środowiska</w:t>
      </w:r>
      <w:r w:rsidRPr="002F60C3">
        <w:rPr>
          <w:rFonts w:ascii="Times New Roman" w:hAnsi="Times New Roman" w:cs="Times New Roman"/>
          <w:sz w:val="24"/>
          <w:szCs w:val="24"/>
        </w:rPr>
        <w:t xml:space="preserve"> przeprowadzili łącznie 203 kontrole planowe i pozaplanowe, przy czym 194 kontrole przeprowadzono wspólnie z innymi organami będącymi sygnatariuszami ww. porozumienia, pozostałe 5 kontroli przeprowadzi</w:t>
      </w:r>
      <w:r w:rsidR="00434520">
        <w:rPr>
          <w:rFonts w:ascii="Times New Roman" w:hAnsi="Times New Roman" w:cs="Times New Roman"/>
          <w:sz w:val="24"/>
          <w:szCs w:val="24"/>
        </w:rPr>
        <w:t>ły</w:t>
      </w:r>
      <w:r w:rsidRPr="002F60C3">
        <w:rPr>
          <w:rFonts w:ascii="Times New Roman" w:hAnsi="Times New Roman" w:cs="Times New Roman"/>
          <w:sz w:val="24"/>
          <w:szCs w:val="24"/>
        </w:rPr>
        <w:t xml:space="preserve"> wyłącznie </w:t>
      </w:r>
      <w:proofErr w:type="spellStart"/>
      <w:r>
        <w:rPr>
          <w:rFonts w:ascii="Times New Roman" w:hAnsi="Times New Roman" w:cs="Times New Roman"/>
          <w:sz w:val="24"/>
          <w:szCs w:val="24"/>
        </w:rPr>
        <w:t>wioś</w:t>
      </w:r>
      <w:proofErr w:type="spellEnd"/>
      <w:r w:rsidRPr="002F60C3">
        <w:rPr>
          <w:rFonts w:ascii="Times New Roman" w:hAnsi="Times New Roman" w:cs="Times New Roman"/>
          <w:sz w:val="24"/>
          <w:szCs w:val="24"/>
        </w:rPr>
        <w:t xml:space="preserve">, a 4 planowe kontrole nie odbyły się (np. z przyczyn likwidacji zakładu). Kontrolami objęto nie tylko producentów owoców miękkich (malin, truskawek, borówek, porzeczek, agrestu i jeżyn), kiełków przeznaczonych do bezpośredniego spożycia, warzyw liściastych jedzonych na surowo (sałaty, szpinaku, </w:t>
      </w:r>
      <w:proofErr w:type="spellStart"/>
      <w:r w:rsidRPr="002F60C3">
        <w:rPr>
          <w:rFonts w:ascii="Times New Roman" w:hAnsi="Times New Roman" w:cs="Times New Roman"/>
          <w:sz w:val="24"/>
          <w:szCs w:val="24"/>
        </w:rPr>
        <w:t>rukoli</w:t>
      </w:r>
      <w:proofErr w:type="spellEnd"/>
      <w:r w:rsidRPr="002F60C3">
        <w:rPr>
          <w:rFonts w:ascii="Times New Roman" w:hAnsi="Times New Roman" w:cs="Times New Roman"/>
          <w:sz w:val="24"/>
          <w:szCs w:val="24"/>
        </w:rPr>
        <w:t>) oraz pomidorów i ogórków wskazanych w Planie działania na 2022 r., ale także producentów innych rodzajów produkcji roślinnej, jak gryka czy proso, w związku z</w:t>
      </w:r>
      <w:r>
        <w:rPr>
          <w:rFonts w:ascii="Times New Roman" w:hAnsi="Times New Roman" w:cs="Times New Roman"/>
          <w:sz w:val="24"/>
          <w:szCs w:val="24"/>
        </w:rPr>
        <w:t xml:space="preserve"> </w:t>
      </w:r>
      <w:r w:rsidRPr="002F60C3">
        <w:rPr>
          <w:rFonts w:ascii="Times New Roman" w:hAnsi="Times New Roman" w:cs="Times New Roman"/>
          <w:sz w:val="24"/>
          <w:szCs w:val="24"/>
        </w:rPr>
        <w:t xml:space="preserve">ryzykiem wystąpienia nieprawidłowości, ze względu na pozostałości substancji czynnej </w:t>
      </w:r>
      <w:proofErr w:type="spellStart"/>
      <w:r w:rsidRPr="002F60C3">
        <w:rPr>
          <w:rFonts w:ascii="Times New Roman" w:hAnsi="Times New Roman" w:cs="Times New Roman"/>
          <w:sz w:val="24"/>
          <w:szCs w:val="24"/>
        </w:rPr>
        <w:t>glifosatu</w:t>
      </w:r>
      <w:proofErr w:type="spellEnd"/>
      <w:r w:rsidRPr="002F60C3">
        <w:rPr>
          <w:rFonts w:ascii="Times New Roman" w:hAnsi="Times New Roman" w:cs="Times New Roman"/>
          <w:sz w:val="24"/>
          <w:szCs w:val="24"/>
        </w:rPr>
        <w:t xml:space="preserve">. </w:t>
      </w:r>
    </w:p>
    <w:p w14:paraId="75634D66" w14:textId="1E99EB56" w:rsidR="001633A3" w:rsidRPr="002F60C3" w:rsidRDefault="001633A3" w:rsidP="00434520">
      <w:pPr>
        <w:spacing w:after="0" w:line="300" w:lineRule="atLeast"/>
        <w:ind w:firstLine="567"/>
        <w:jc w:val="both"/>
        <w:rPr>
          <w:rFonts w:ascii="Times New Roman" w:hAnsi="Times New Roman" w:cs="Times New Roman"/>
          <w:sz w:val="24"/>
          <w:szCs w:val="24"/>
        </w:rPr>
      </w:pPr>
      <w:r w:rsidRPr="002F60C3">
        <w:rPr>
          <w:rFonts w:ascii="Times New Roman" w:hAnsi="Times New Roman" w:cs="Times New Roman"/>
          <w:sz w:val="24"/>
          <w:szCs w:val="24"/>
        </w:rPr>
        <w:t xml:space="preserve">Z zakresu kompetencji Inspekcji Ochrony Środowiska kontrole obejmowały sprawdzenie przestrzegania warunków stosowania i przechowywania nawozów, środków wspomagających uprawę roślin oraz przestrzegania zakazów stosowania komunalnych osadów ściekowych </w:t>
      </w:r>
      <w:r w:rsidR="00434520">
        <w:rPr>
          <w:rFonts w:ascii="Times New Roman" w:hAnsi="Times New Roman" w:cs="Times New Roman"/>
          <w:sz w:val="24"/>
          <w:szCs w:val="24"/>
        </w:rPr>
        <w:br/>
      </w:r>
      <w:r w:rsidRPr="002F60C3">
        <w:rPr>
          <w:rFonts w:ascii="Times New Roman" w:hAnsi="Times New Roman" w:cs="Times New Roman"/>
          <w:sz w:val="24"/>
          <w:szCs w:val="24"/>
        </w:rPr>
        <w:t>i rolniczego wykorzystania ścieków. Podczas kontroli oceniano również przestrzeganie przepisów i decyzji administracyjnych określających warunki korzystania ze środowiska w</w:t>
      </w:r>
      <w:r>
        <w:rPr>
          <w:rFonts w:ascii="Times New Roman" w:hAnsi="Times New Roman" w:cs="Times New Roman"/>
          <w:sz w:val="24"/>
          <w:szCs w:val="24"/>
        </w:rPr>
        <w:t> </w:t>
      </w:r>
      <w:r w:rsidRPr="002F60C3">
        <w:rPr>
          <w:rFonts w:ascii="Times New Roman" w:hAnsi="Times New Roman" w:cs="Times New Roman"/>
          <w:sz w:val="24"/>
          <w:szCs w:val="24"/>
        </w:rPr>
        <w:t xml:space="preserve">zakresie pozostałych komponentów środowiska. </w:t>
      </w:r>
    </w:p>
    <w:p w14:paraId="7D9D4699" w14:textId="3DC2C902" w:rsidR="001633A3" w:rsidRPr="002F60C3" w:rsidRDefault="001633A3" w:rsidP="00434520">
      <w:pPr>
        <w:spacing w:after="0" w:line="300" w:lineRule="atLeast"/>
        <w:ind w:firstLine="567"/>
        <w:jc w:val="both"/>
        <w:rPr>
          <w:rFonts w:ascii="Times New Roman" w:hAnsi="Times New Roman" w:cs="Times New Roman"/>
          <w:sz w:val="24"/>
          <w:szCs w:val="24"/>
        </w:rPr>
      </w:pPr>
      <w:r w:rsidRPr="002F60C3">
        <w:rPr>
          <w:rFonts w:ascii="Times New Roman" w:hAnsi="Times New Roman" w:cs="Times New Roman"/>
          <w:sz w:val="24"/>
          <w:szCs w:val="24"/>
        </w:rPr>
        <w:t>Na podstawie kontroli stwierdzono, że w 2022 r. na gruntach wykorzystywanych w</w:t>
      </w:r>
      <w:r>
        <w:rPr>
          <w:rFonts w:ascii="Times New Roman" w:hAnsi="Times New Roman" w:cs="Times New Roman"/>
          <w:sz w:val="24"/>
          <w:szCs w:val="24"/>
        </w:rPr>
        <w:t> </w:t>
      </w:r>
      <w:r w:rsidRPr="002F60C3">
        <w:rPr>
          <w:rFonts w:ascii="Times New Roman" w:hAnsi="Times New Roman" w:cs="Times New Roman"/>
          <w:sz w:val="24"/>
          <w:szCs w:val="24"/>
        </w:rPr>
        <w:t>produkcji pierwotnej żywności pochodzenia roślinnego 165 podmiotów stosowało nawozy i</w:t>
      </w:r>
      <w:r>
        <w:rPr>
          <w:rFonts w:ascii="Times New Roman" w:hAnsi="Times New Roman" w:cs="Times New Roman"/>
          <w:sz w:val="24"/>
          <w:szCs w:val="24"/>
        </w:rPr>
        <w:t> </w:t>
      </w:r>
      <w:r w:rsidRPr="002F60C3">
        <w:rPr>
          <w:rFonts w:ascii="Times New Roman" w:hAnsi="Times New Roman" w:cs="Times New Roman"/>
          <w:sz w:val="24"/>
          <w:szCs w:val="24"/>
        </w:rPr>
        <w:t>środki wspomagające uprawę roślin. Żaden z podmiotów nie wykorzystywał rolniczo ścieków ani nie stosował pod uprawy komunalnych osadów ściekowych.</w:t>
      </w:r>
    </w:p>
    <w:p w14:paraId="15AA683A" w14:textId="62F83B07" w:rsidR="001633A3" w:rsidRPr="002F60C3" w:rsidRDefault="001633A3" w:rsidP="00434520">
      <w:pPr>
        <w:spacing w:after="0" w:line="300" w:lineRule="atLeast"/>
        <w:ind w:firstLine="567"/>
        <w:jc w:val="both"/>
        <w:rPr>
          <w:rFonts w:ascii="Times New Roman" w:hAnsi="Times New Roman" w:cs="Times New Roman"/>
          <w:sz w:val="24"/>
          <w:szCs w:val="24"/>
        </w:rPr>
      </w:pPr>
      <w:r w:rsidRPr="002F60C3">
        <w:rPr>
          <w:rFonts w:ascii="Times New Roman" w:hAnsi="Times New Roman" w:cs="Times New Roman"/>
          <w:sz w:val="24"/>
          <w:szCs w:val="24"/>
        </w:rPr>
        <w:t>Podczas 98 kontroli pob</w:t>
      </w:r>
      <w:r>
        <w:rPr>
          <w:rFonts w:ascii="Times New Roman" w:hAnsi="Times New Roman" w:cs="Times New Roman"/>
          <w:sz w:val="24"/>
          <w:szCs w:val="24"/>
        </w:rPr>
        <w:t>rano</w:t>
      </w:r>
      <w:r w:rsidRPr="002F60C3">
        <w:rPr>
          <w:rFonts w:ascii="Times New Roman" w:hAnsi="Times New Roman" w:cs="Times New Roman"/>
          <w:sz w:val="24"/>
          <w:szCs w:val="24"/>
        </w:rPr>
        <w:t xml:space="preserve">100 próbek </w:t>
      </w:r>
      <w:r>
        <w:rPr>
          <w:rFonts w:ascii="Times New Roman" w:hAnsi="Times New Roman" w:cs="Times New Roman"/>
          <w:sz w:val="24"/>
          <w:szCs w:val="24"/>
        </w:rPr>
        <w:t xml:space="preserve">gleby i wody </w:t>
      </w:r>
      <w:r w:rsidRPr="002F60C3">
        <w:rPr>
          <w:rFonts w:ascii="Times New Roman" w:hAnsi="Times New Roman" w:cs="Times New Roman"/>
          <w:sz w:val="24"/>
          <w:szCs w:val="24"/>
        </w:rPr>
        <w:t>do badań</w:t>
      </w:r>
      <w:r>
        <w:rPr>
          <w:rFonts w:ascii="Times New Roman" w:hAnsi="Times New Roman" w:cs="Times New Roman"/>
          <w:sz w:val="24"/>
          <w:szCs w:val="24"/>
        </w:rPr>
        <w:t xml:space="preserve"> na zawartość metali ciężkich</w:t>
      </w:r>
      <w:r w:rsidRPr="002F60C3">
        <w:rPr>
          <w:rFonts w:ascii="Times New Roman" w:hAnsi="Times New Roman" w:cs="Times New Roman"/>
          <w:sz w:val="24"/>
          <w:szCs w:val="24"/>
        </w:rPr>
        <w:t xml:space="preserve">. W 1 próbce stwierdzono przekroczenia dopuszczalnych wartości określonych </w:t>
      </w:r>
      <w:r w:rsidR="00434520">
        <w:rPr>
          <w:rFonts w:ascii="Times New Roman" w:hAnsi="Times New Roman" w:cs="Times New Roman"/>
          <w:sz w:val="24"/>
          <w:szCs w:val="24"/>
        </w:rPr>
        <w:br/>
      </w:r>
      <w:r w:rsidRPr="002F60C3">
        <w:rPr>
          <w:rFonts w:ascii="Times New Roman" w:hAnsi="Times New Roman" w:cs="Times New Roman"/>
          <w:sz w:val="24"/>
          <w:szCs w:val="24"/>
        </w:rPr>
        <w:lastRenderedPageBreak/>
        <w:t>w przepisach lub decyzjach administracyjnych.</w:t>
      </w:r>
      <w:r>
        <w:rPr>
          <w:rFonts w:ascii="Times New Roman" w:hAnsi="Times New Roman" w:cs="Times New Roman"/>
          <w:sz w:val="24"/>
          <w:szCs w:val="24"/>
        </w:rPr>
        <w:t xml:space="preserve"> S</w:t>
      </w:r>
      <w:r w:rsidRPr="00617C60">
        <w:rPr>
          <w:rFonts w:ascii="Times New Roman" w:hAnsi="Times New Roman" w:cs="Times New Roman"/>
          <w:sz w:val="24"/>
          <w:szCs w:val="24"/>
        </w:rPr>
        <w:t>twierdzono przekroczone zawartości metali</w:t>
      </w:r>
      <w:r w:rsidR="00434520">
        <w:rPr>
          <w:rFonts w:ascii="Times New Roman" w:hAnsi="Times New Roman" w:cs="Times New Roman"/>
          <w:sz w:val="24"/>
          <w:szCs w:val="24"/>
        </w:rPr>
        <w:t>,</w:t>
      </w:r>
      <w:r w:rsidRPr="00617C60">
        <w:rPr>
          <w:rFonts w:ascii="Times New Roman" w:hAnsi="Times New Roman" w:cs="Times New Roman"/>
          <w:sz w:val="24"/>
          <w:szCs w:val="24"/>
        </w:rPr>
        <w:t xml:space="preserve"> tj. kadmu w stosunku do rozporządzenia Ministra Środowiska z dnia 1</w:t>
      </w:r>
      <w:r>
        <w:rPr>
          <w:rFonts w:ascii="Times New Roman" w:hAnsi="Times New Roman" w:cs="Times New Roman"/>
          <w:sz w:val="24"/>
          <w:szCs w:val="24"/>
        </w:rPr>
        <w:t> </w:t>
      </w:r>
      <w:r w:rsidRPr="00617C60">
        <w:rPr>
          <w:rFonts w:ascii="Times New Roman" w:hAnsi="Times New Roman" w:cs="Times New Roman"/>
          <w:sz w:val="24"/>
          <w:szCs w:val="24"/>
        </w:rPr>
        <w:t>września 2016</w:t>
      </w:r>
      <w:r>
        <w:rPr>
          <w:rFonts w:ascii="Times New Roman" w:hAnsi="Times New Roman" w:cs="Times New Roman"/>
          <w:sz w:val="24"/>
          <w:szCs w:val="24"/>
        </w:rPr>
        <w:t xml:space="preserve"> </w:t>
      </w:r>
      <w:r w:rsidRPr="00617C60">
        <w:rPr>
          <w:rFonts w:ascii="Times New Roman" w:hAnsi="Times New Roman" w:cs="Times New Roman"/>
          <w:sz w:val="24"/>
          <w:szCs w:val="24"/>
        </w:rPr>
        <w:t xml:space="preserve">r. </w:t>
      </w:r>
      <w:r w:rsidR="00434520">
        <w:rPr>
          <w:rFonts w:ascii="Times New Roman" w:hAnsi="Times New Roman" w:cs="Times New Roman"/>
          <w:sz w:val="24"/>
          <w:szCs w:val="24"/>
        </w:rPr>
        <w:br/>
      </w:r>
      <w:r w:rsidRPr="00617C60">
        <w:rPr>
          <w:rFonts w:ascii="Times New Roman" w:hAnsi="Times New Roman" w:cs="Times New Roman"/>
          <w:sz w:val="24"/>
          <w:szCs w:val="24"/>
        </w:rPr>
        <w:t>w sprawie sposobu prowadzenia oceny zanieczyszczenia powierzchni ziemi</w:t>
      </w:r>
      <w:r>
        <w:rPr>
          <w:rFonts w:ascii="Times New Roman" w:hAnsi="Times New Roman" w:cs="Times New Roman"/>
          <w:sz w:val="24"/>
          <w:szCs w:val="24"/>
        </w:rPr>
        <w:t>.</w:t>
      </w:r>
      <w:r>
        <w:rPr>
          <w:rStyle w:val="Odwoanieprzypisudolnego"/>
          <w:rFonts w:cs="Times New Roman"/>
          <w:szCs w:val="24"/>
        </w:rPr>
        <w:footnoteReference w:id="28"/>
      </w:r>
      <w:r w:rsidRPr="00617C60">
        <w:rPr>
          <w:rFonts w:ascii="Times New Roman" w:hAnsi="Times New Roman" w:cs="Times New Roman"/>
          <w:sz w:val="24"/>
          <w:szCs w:val="24"/>
        </w:rPr>
        <w:t xml:space="preserve"> Wartość zbadana – 5,8 mg/kg s</w:t>
      </w:r>
      <w:r>
        <w:rPr>
          <w:rFonts w:ascii="Times New Roman" w:hAnsi="Times New Roman" w:cs="Times New Roman"/>
          <w:sz w:val="24"/>
          <w:szCs w:val="24"/>
        </w:rPr>
        <w:t xml:space="preserve">uchej </w:t>
      </w:r>
      <w:r w:rsidRPr="00617C60">
        <w:rPr>
          <w:rFonts w:ascii="Times New Roman" w:hAnsi="Times New Roman" w:cs="Times New Roman"/>
          <w:sz w:val="24"/>
          <w:szCs w:val="24"/>
        </w:rPr>
        <w:t>m</w:t>
      </w:r>
      <w:r>
        <w:rPr>
          <w:rFonts w:ascii="Times New Roman" w:hAnsi="Times New Roman" w:cs="Times New Roman"/>
          <w:sz w:val="24"/>
          <w:szCs w:val="24"/>
        </w:rPr>
        <w:t>asy</w:t>
      </w:r>
      <w:r w:rsidRPr="00617C60">
        <w:rPr>
          <w:rFonts w:ascii="Times New Roman" w:hAnsi="Times New Roman" w:cs="Times New Roman"/>
          <w:sz w:val="24"/>
          <w:szCs w:val="24"/>
        </w:rPr>
        <w:t xml:space="preserve"> przy dopuszczalnej wartości dla gleby z</w:t>
      </w:r>
      <w:r>
        <w:rPr>
          <w:rFonts w:ascii="Times New Roman" w:hAnsi="Times New Roman" w:cs="Times New Roman"/>
          <w:sz w:val="24"/>
          <w:szCs w:val="24"/>
        </w:rPr>
        <w:t> </w:t>
      </w:r>
      <w:r w:rsidRPr="00617C60">
        <w:rPr>
          <w:rFonts w:ascii="Times New Roman" w:hAnsi="Times New Roman" w:cs="Times New Roman"/>
          <w:sz w:val="24"/>
          <w:szCs w:val="24"/>
        </w:rPr>
        <w:t>grupy gruntów II-3 wynoszącej 5</w:t>
      </w:r>
      <w:r>
        <w:rPr>
          <w:rFonts w:ascii="Times New Roman" w:hAnsi="Times New Roman" w:cs="Times New Roman"/>
          <w:sz w:val="24"/>
          <w:szCs w:val="24"/>
        </w:rPr>
        <w:t xml:space="preserve"> mg/kg </w:t>
      </w:r>
      <w:proofErr w:type="spellStart"/>
      <w:r>
        <w:rPr>
          <w:rFonts w:ascii="Times New Roman" w:hAnsi="Times New Roman" w:cs="Times New Roman"/>
          <w:sz w:val="24"/>
          <w:szCs w:val="24"/>
        </w:rPr>
        <w:t>s.m</w:t>
      </w:r>
      <w:proofErr w:type="spellEnd"/>
      <w:r>
        <w:rPr>
          <w:rFonts w:ascii="Times New Roman" w:hAnsi="Times New Roman" w:cs="Times New Roman"/>
          <w:sz w:val="24"/>
          <w:szCs w:val="24"/>
        </w:rPr>
        <w:t>.</w:t>
      </w:r>
    </w:p>
    <w:p w14:paraId="456D2A4C" w14:textId="77777777" w:rsidR="001633A3" w:rsidRPr="002F60C3" w:rsidRDefault="001633A3" w:rsidP="00434520">
      <w:pPr>
        <w:spacing w:after="60" w:line="300" w:lineRule="atLeast"/>
        <w:ind w:firstLine="567"/>
        <w:jc w:val="both"/>
        <w:rPr>
          <w:rFonts w:ascii="Times New Roman" w:hAnsi="Times New Roman" w:cs="Times New Roman"/>
          <w:sz w:val="24"/>
          <w:szCs w:val="24"/>
        </w:rPr>
      </w:pPr>
      <w:r w:rsidRPr="002F60C3">
        <w:rPr>
          <w:rFonts w:ascii="Times New Roman" w:hAnsi="Times New Roman" w:cs="Times New Roman"/>
          <w:sz w:val="24"/>
          <w:szCs w:val="24"/>
        </w:rPr>
        <w:t>W wyniku przeprowadzonych czynności kontrolnych stwierdzono 16 naruszeń wymagań ochrony środowiska, w tym:</w:t>
      </w:r>
    </w:p>
    <w:p w14:paraId="07FC8C6A" w14:textId="77777777" w:rsidR="001633A3" w:rsidRPr="00B5252E" w:rsidRDefault="001633A3" w:rsidP="00D34F97">
      <w:pPr>
        <w:pStyle w:val="Akapitzlist"/>
        <w:numPr>
          <w:ilvl w:val="1"/>
          <w:numId w:val="167"/>
        </w:numPr>
        <w:spacing w:line="300" w:lineRule="atLeast"/>
        <w:ind w:left="924" w:hanging="357"/>
        <w:jc w:val="both"/>
        <w:rPr>
          <w:sz w:val="24"/>
          <w:szCs w:val="24"/>
        </w:rPr>
      </w:pPr>
      <w:r w:rsidRPr="00B5252E">
        <w:rPr>
          <w:sz w:val="24"/>
          <w:szCs w:val="24"/>
        </w:rPr>
        <w:t>7 (44%) naruszeń bez wpływu na bezpieczeństwo produkcji pierwotnej żywności,</w:t>
      </w:r>
    </w:p>
    <w:p w14:paraId="7EA37A13" w14:textId="77777777" w:rsidR="001633A3" w:rsidRPr="00B5252E" w:rsidRDefault="001633A3" w:rsidP="00D34F97">
      <w:pPr>
        <w:pStyle w:val="Akapitzlist"/>
        <w:numPr>
          <w:ilvl w:val="1"/>
          <w:numId w:val="167"/>
        </w:numPr>
        <w:spacing w:after="120" w:line="300" w:lineRule="atLeast"/>
        <w:ind w:left="924" w:hanging="357"/>
        <w:contextualSpacing w:val="0"/>
        <w:jc w:val="both"/>
        <w:rPr>
          <w:sz w:val="24"/>
          <w:szCs w:val="24"/>
        </w:rPr>
      </w:pPr>
      <w:r w:rsidRPr="00B5252E">
        <w:rPr>
          <w:sz w:val="24"/>
          <w:szCs w:val="24"/>
        </w:rPr>
        <w:t xml:space="preserve">9 (56%) naruszenia mogące mieć wpływ na bezpieczeństwo produkcji pierwotnej żywności. </w:t>
      </w:r>
    </w:p>
    <w:p w14:paraId="608F1440" w14:textId="77777777" w:rsidR="001633A3" w:rsidRPr="002F60C3" w:rsidRDefault="001633A3" w:rsidP="00434520">
      <w:pPr>
        <w:spacing w:after="60" w:line="300" w:lineRule="atLeast"/>
        <w:jc w:val="both"/>
        <w:rPr>
          <w:rFonts w:ascii="Times New Roman" w:hAnsi="Times New Roman" w:cs="Times New Roman"/>
          <w:sz w:val="24"/>
          <w:szCs w:val="24"/>
        </w:rPr>
      </w:pPr>
      <w:r w:rsidRPr="002F60C3">
        <w:rPr>
          <w:rFonts w:ascii="Times New Roman" w:hAnsi="Times New Roman" w:cs="Times New Roman"/>
          <w:sz w:val="24"/>
          <w:szCs w:val="24"/>
        </w:rPr>
        <w:t>Stwierdzone naruszenia to m.in.:</w:t>
      </w:r>
    </w:p>
    <w:p w14:paraId="6C08C413" w14:textId="77777777" w:rsidR="001633A3" w:rsidRPr="00B5252E" w:rsidRDefault="001633A3" w:rsidP="00D34F97">
      <w:pPr>
        <w:pStyle w:val="Akapitzlist"/>
        <w:numPr>
          <w:ilvl w:val="1"/>
          <w:numId w:val="168"/>
        </w:numPr>
        <w:spacing w:line="300" w:lineRule="atLeast"/>
        <w:ind w:left="924" w:hanging="357"/>
        <w:jc w:val="both"/>
        <w:rPr>
          <w:sz w:val="24"/>
          <w:szCs w:val="24"/>
        </w:rPr>
      </w:pPr>
      <w:r w:rsidRPr="00B5252E">
        <w:rPr>
          <w:sz w:val="24"/>
          <w:szCs w:val="24"/>
        </w:rPr>
        <w:t>brak planu nawożenia azotem,</w:t>
      </w:r>
    </w:p>
    <w:p w14:paraId="2756EB2A" w14:textId="77777777" w:rsidR="001633A3" w:rsidRPr="00B5252E" w:rsidRDefault="001633A3" w:rsidP="00D34F97">
      <w:pPr>
        <w:pStyle w:val="Akapitzlist"/>
        <w:numPr>
          <w:ilvl w:val="1"/>
          <w:numId w:val="168"/>
        </w:numPr>
        <w:spacing w:line="300" w:lineRule="atLeast"/>
        <w:ind w:left="924" w:hanging="357"/>
        <w:jc w:val="both"/>
        <w:rPr>
          <w:sz w:val="24"/>
          <w:szCs w:val="24"/>
        </w:rPr>
      </w:pPr>
      <w:r w:rsidRPr="00B5252E">
        <w:rPr>
          <w:sz w:val="24"/>
          <w:szCs w:val="24"/>
        </w:rPr>
        <w:t>przechowywanie nawozów naturalnych niezgodnie z przepisami Programu działań,</w:t>
      </w:r>
    </w:p>
    <w:p w14:paraId="4C887137" w14:textId="77777777" w:rsidR="001633A3" w:rsidRPr="00B5252E" w:rsidRDefault="001633A3" w:rsidP="00D34F97">
      <w:pPr>
        <w:pStyle w:val="Akapitzlist"/>
        <w:numPr>
          <w:ilvl w:val="1"/>
          <w:numId w:val="168"/>
        </w:numPr>
        <w:spacing w:line="300" w:lineRule="atLeast"/>
        <w:ind w:left="924" w:hanging="357"/>
        <w:jc w:val="both"/>
        <w:rPr>
          <w:sz w:val="24"/>
          <w:szCs w:val="24"/>
        </w:rPr>
      </w:pPr>
      <w:r w:rsidRPr="00B5252E">
        <w:rPr>
          <w:sz w:val="24"/>
          <w:szCs w:val="24"/>
        </w:rPr>
        <w:t>niewłaściwa konstrukcja miejsc do przechowywania nawozów naturalnych stałych, niezapobiegająca przedostawaniu się odcieków do wód lub do gruntu,</w:t>
      </w:r>
    </w:p>
    <w:p w14:paraId="296C2558" w14:textId="77777777" w:rsidR="001633A3" w:rsidRPr="00B5252E" w:rsidRDefault="001633A3" w:rsidP="00D34F97">
      <w:pPr>
        <w:pStyle w:val="Akapitzlist"/>
        <w:numPr>
          <w:ilvl w:val="1"/>
          <w:numId w:val="168"/>
        </w:numPr>
        <w:spacing w:line="300" w:lineRule="atLeast"/>
        <w:ind w:left="924" w:hanging="357"/>
        <w:jc w:val="both"/>
        <w:rPr>
          <w:sz w:val="24"/>
          <w:szCs w:val="24"/>
        </w:rPr>
      </w:pPr>
      <w:r w:rsidRPr="00B5252E">
        <w:rPr>
          <w:sz w:val="24"/>
          <w:szCs w:val="24"/>
        </w:rPr>
        <w:t>przechowywanie nawozów organicznych, mineralnych, w tym „nawozów WE”, w sposób niezgodny z art. 24 ustawy o nawozach i nawożeniu,</w:t>
      </w:r>
    </w:p>
    <w:p w14:paraId="34E17D0E" w14:textId="77777777" w:rsidR="001633A3" w:rsidRPr="00B5252E" w:rsidRDefault="001633A3" w:rsidP="00D34F97">
      <w:pPr>
        <w:pStyle w:val="Akapitzlist"/>
        <w:numPr>
          <w:ilvl w:val="1"/>
          <w:numId w:val="168"/>
        </w:numPr>
        <w:spacing w:line="300" w:lineRule="atLeast"/>
        <w:ind w:left="924" w:hanging="357"/>
        <w:jc w:val="both"/>
        <w:rPr>
          <w:sz w:val="24"/>
          <w:szCs w:val="24"/>
        </w:rPr>
      </w:pPr>
      <w:r w:rsidRPr="00B5252E">
        <w:rPr>
          <w:sz w:val="24"/>
          <w:szCs w:val="24"/>
        </w:rPr>
        <w:t>brak obliczeń maksymalnej dawki azotu,</w:t>
      </w:r>
    </w:p>
    <w:p w14:paraId="498764FE" w14:textId="77777777" w:rsidR="001633A3" w:rsidRPr="00B5252E" w:rsidRDefault="001633A3" w:rsidP="00D34F97">
      <w:pPr>
        <w:pStyle w:val="Akapitzlist"/>
        <w:numPr>
          <w:ilvl w:val="1"/>
          <w:numId w:val="168"/>
        </w:numPr>
        <w:spacing w:line="300" w:lineRule="atLeast"/>
        <w:ind w:left="924" w:hanging="357"/>
        <w:jc w:val="both"/>
        <w:rPr>
          <w:sz w:val="24"/>
          <w:szCs w:val="24"/>
        </w:rPr>
      </w:pPr>
      <w:r w:rsidRPr="00B5252E">
        <w:rPr>
          <w:sz w:val="24"/>
          <w:szCs w:val="24"/>
        </w:rPr>
        <w:t>stosowanie nawozów w dawkach, które powodują przekroczenie maksymalnych ilości azotu działającego ze wszystkich źródeł,</w:t>
      </w:r>
    </w:p>
    <w:p w14:paraId="6A3A351E" w14:textId="77777777" w:rsidR="001633A3" w:rsidRPr="00B5252E" w:rsidRDefault="001633A3" w:rsidP="00D34F97">
      <w:pPr>
        <w:pStyle w:val="Akapitzlist"/>
        <w:numPr>
          <w:ilvl w:val="1"/>
          <w:numId w:val="168"/>
        </w:numPr>
        <w:spacing w:line="300" w:lineRule="atLeast"/>
        <w:ind w:left="924" w:hanging="357"/>
        <w:jc w:val="both"/>
        <w:rPr>
          <w:sz w:val="24"/>
          <w:szCs w:val="24"/>
        </w:rPr>
      </w:pPr>
      <w:r w:rsidRPr="00B5252E">
        <w:rPr>
          <w:sz w:val="24"/>
          <w:szCs w:val="24"/>
        </w:rPr>
        <w:t>stosowanie nawozu organicznego w okresie niedozwolonym,</w:t>
      </w:r>
    </w:p>
    <w:p w14:paraId="5614BFBA" w14:textId="77777777" w:rsidR="001633A3" w:rsidRPr="00B5252E" w:rsidRDefault="001633A3" w:rsidP="00D34F97">
      <w:pPr>
        <w:pStyle w:val="Akapitzlist"/>
        <w:numPr>
          <w:ilvl w:val="1"/>
          <w:numId w:val="168"/>
        </w:numPr>
        <w:spacing w:line="300" w:lineRule="atLeast"/>
        <w:ind w:left="924" w:hanging="357"/>
        <w:jc w:val="both"/>
        <w:rPr>
          <w:sz w:val="24"/>
          <w:szCs w:val="24"/>
        </w:rPr>
      </w:pPr>
      <w:r w:rsidRPr="00B5252E">
        <w:rPr>
          <w:sz w:val="24"/>
          <w:szCs w:val="24"/>
        </w:rPr>
        <w:t>brak ewidencji zabiegów agrotechnicznych związanych z nawożeniem azotem,</w:t>
      </w:r>
    </w:p>
    <w:p w14:paraId="750C17C3" w14:textId="77777777" w:rsidR="001633A3" w:rsidRPr="00B5252E" w:rsidRDefault="001633A3" w:rsidP="00D34F97">
      <w:pPr>
        <w:pStyle w:val="Akapitzlist"/>
        <w:numPr>
          <w:ilvl w:val="1"/>
          <w:numId w:val="168"/>
        </w:numPr>
        <w:spacing w:line="300" w:lineRule="atLeast"/>
        <w:ind w:left="924" w:hanging="357"/>
        <w:jc w:val="both"/>
        <w:rPr>
          <w:sz w:val="24"/>
          <w:szCs w:val="24"/>
        </w:rPr>
      </w:pPr>
      <w:r w:rsidRPr="00B5252E">
        <w:rPr>
          <w:sz w:val="24"/>
          <w:szCs w:val="24"/>
        </w:rPr>
        <w:t>brak pozwolenia wodnoprawnego na szczególne korzystanie z wód,</w:t>
      </w:r>
    </w:p>
    <w:p w14:paraId="6BF881D5" w14:textId="77777777" w:rsidR="001633A3" w:rsidRPr="00B5252E" w:rsidRDefault="001633A3" w:rsidP="00D34F97">
      <w:pPr>
        <w:pStyle w:val="Akapitzlist"/>
        <w:numPr>
          <w:ilvl w:val="1"/>
          <w:numId w:val="168"/>
        </w:numPr>
        <w:spacing w:line="300" w:lineRule="atLeast"/>
        <w:ind w:left="924" w:hanging="357"/>
        <w:jc w:val="both"/>
        <w:rPr>
          <w:sz w:val="24"/>
          <w:szCs w:val="24"/>
        </w:rPr>
      </w:pPr>
      <w:r w:rsidRPr="00B5252E">
        <w:rPr>
          <w:sz w:val="24"/>
          <w:szCs w:val="24"/>
        </w:rPr>
        <w:t>brak umowy na odbiór ścieków bytowych powstających w gospodarstwie,</w:t>
      </w:r>
    </w:p>
    <w:p w14:paraId="3799BB18" w14:textId="77777777" w:rsidR="001633A3" w:rsidRPr="00B5252E" w:rsidRDefault="001633A3" w:rsidP="00D34F97">
      <w:pPr>
        <w:pStyle w:val="Akapitzlist"/>
        <w:numPr>
          <w:ilvl w:val="1"/>
          <w:numId w:val="168"/>
        </w:numPr>
        <w:spacing w:line="300" w:lineRule="atLeast"/>
        <w:ind w:left="924" w:hanging="357"/>
        <w:jc w:val="both"/>
        <w:rPr>
          <w:sz w:val="24"/>
          <w:szCs w:val="24"/>
        </w:rPr>
      </w:pPr>
      <w:r w:rsidRPr="00B5252E">
        <w:rPr>
          <w:sz w:val="24"/>
          <w:szCs w:val="24"/>
        </w:rPr>
        <w:t>brak opomiarowania ujęcia wód podziemnych,</w:t>
      </w:r>
    </w:p>
    <w:p w14:paraId="1FAB6528" w14:textId="77777777" w:rsidR="001633A3" w:rsidRPr="00B5252E" w:rsidRDefault="001633A3" w:rsidP="00D34F97">
      <w:pPr>
        <w:pStyle w:val="Akapitzlist"/>
        <w:numPr>
          <w:ilvl w:val="1"/>
          <w:numId w:val="168"/>
        </w:numPr>
        <w:spacing w:line="300" w:lineRule="atLeast"/>
        <w:ind w:left="924" w:hanging="357"/>
        <w:jc w:val="both"/>
        <w:rPr>
          <w:sz w:val="24"/>
          <w:szCs w:val="24"/>
        </w:rPr>
      </w:pPr>
      <w:r w:rsidRPr="00B5252E">
        <w:rPr>
          <w:sz w:val="24"/>
          <w:szCs w:val="24"/>
        </w:rPr>
        <w:t>brak uiszczenia opłat z tytułu poboru wód podziemnych,</w:t>
      </w:r>
    </w:p>
    <w:p w14:paraId="0D54766B" w14:textId="77777777" w:rsidR="001633A3" w:rsidRPr="00B5252E" w:rsidRDefault="001633A3" w:rsidP="00D34F97">
      <w:pPr>
        <w:pStyle w:val="Akapitzlist"/>
        <w:numPr>
          <w:ilvl w:val="1"/>
          <w:numId w:val="168"/>
        </w:numPr>
        <w:spacing w:line="300" w:lineRule="atLeast"/>
        <w:ind w:left="924" w:hanging="357"/>
        <w:jc w:val="both"/>
        <w:rPr>
          <w:sz w:val="24"/>
          <w:szCs w:val="24"/>
        </w:rPr>
      </w:pPr>
      <w:r w:rsidRPr="00B5252E">
        <w:rPr>
          <w:sz w:val="24"/>
          <w:szCs w:val="24"/>
        </w:rPr>
        <w:t>brak prowadzenia ewidencji przetwarzanych odpadów,</w:t>
      </w:r>
    </w:p>
    <w:p w14:paraId="7C4F93E6" w14:textId="77777777" w:rsidR="001633A3" w:rsidRPr="00B5252E" w:rsidRDefault="001633A3" w:rsidP="00D34F97">
      <w:pPr>
        <w:pStyle w:val="Akapitzlist"/>
        <w:numPr>
          <w:ilvl w:val="1"/>
          <w:numId w:val="168"/>
        </w:numPr>
        <w:spacing w:line="300" w:lineRule="atLeast"/>
        <w:ind w:left="924" w:hanging="357"/>
        <w:jc w:val="both"/>
        <w:rPr>
          <w:sz w:val="24"/>
          <w:szCs w:val="24"/>
        </w:rPr>
      </w:pPr>
      <w:r w:rsidRPr="00B5252E">
        <w:rPr>
          <w:sz w:val="24"/>
          <w:szCs w:val="24"/>
        </w:rPr>
        <w:t>magazynowanie odpadów niezgodnie z wymaganiami.</w:t>
      </w:r>
    </w:p>
    <w:p w14:paraId="21316890" w14:textId="77777777" w:rsidR="00434520" w:rsidRDefault="00434520" w:rsidP="00056EE7">
      <w:pPr>
        <w:spacing w:after="0" w:line="300" w:lineRule="atLeast"/>
        <w:jc w:val="both"/>
        <w:rPr>
          <w:rFonts w:ascii="Times New Roman" w:hAnsi="Times New Roman" w:cs="Times New Roman"/>
          <w:sz w:val="24"/>
          <w:szCs w:val="24"/>
        </w:rPr>
      </w:pPr>
    </w:p>
    <w:p w14:paraId="13E9E521" w14:textId="427BC495" w:rsidR="001633A3" w:rsidRPr="008520D8" w:rsidRDefault="001633A3" w:rsidP="00434520">
      <w:pPr>
        <w:spacing w:after="60" w:line="300" w:lineRule="atLeast"/>
        <w:jc w:val="both"/>
        <w:rPr>
          <w:rFonts w:ascii="Times New Roman" w:hAnsi="Times New Roman" w:cs="Times New Roman"/>
          <w:sz w:val="24"/>
          <w:szCs w:val="24"/>
        </w:rPr>
      </w:pPr>
      <w:r w:rsidRPr="008520D8">
        <w:rPr>
          <w:rFonts w:ascii="Times New Roman" w:hAnsi="Times New Roman" w:cs="Times New Roman"/>
          <w:sz w:val="24"/>
          <w:szCs w:val="24"/>
        </w:rPr>
        <w:t>W związku ze stwierdzonymi nieprawidłowościami:</w:t>
      </w:r>
    </w:p>
    <w:p w14:paraId="0F07DF29" w14:textId="77777777" w:rsidR="001633A3" w:rsidRPr="008520D8" w:rsidRDefault="001633A3" w:rsidP="00D34F97">
      <w:pPr>
        <w:pStyle w:val="Akapitzlist"/>
        <w:numPr>
          <w:ilvl w:val="0"/>
          <w:numId w:val="169"/>
        </w:numPr>
        <w:spacing w:line="300" w:lineRule="atLeast"/>
        <w:ind w:left="924" w:hanging="357"/>
        <w:jc w:val="both"/>
        <w:rPr>
          <w:sz w:val="24"/>
          <w:szCs w:val="24"/>
        </w:rPr>
      </w:pPr>
      <w:r w:rsidRPr="008520D8">
        <w:rPr>
          <w:sz w:val="24"/>
          <w:szCs w:val="24"/>
        </w:rPr>
        <w:t>udzielono 7 pouczeń,</w:t>
      </w:r>
    </w:p>
    <w:p w14:paraId="3C08D5E7" w14:textId="77777777" w:rsidR="001633A3" w:rsidRPr="008520D8" w:rsidRDefault="001633A3" w:rsidP="00D34F97">
      <w:pPr>
        <w:pStyle w:val="Akapitzlist"/>
        <w:numPr>
          <w:ilvl w:val="0"/>
          <w:numId w:val="169"/>
        </w:numPr>
        <w:spacing w:line="300" w:lineRule="atLeast"/>
        <w:ind w:left="924" w:hanging="357"/>
        <w:jc w:val="both"/>
        <w:rPr>
          <w:sz w:val="24"/>
          <w:szCs w:val="24"/>
        </w:rPr>
      </w:pPr>
      <w:r w:rsidRPr="008520D8">
        <w:rPr>
          <w:sz w:val="24"/>
          <w:szCs w:val="24"/>
        </w:rPr>
        <w:t xml:space="preserve">wydano 9 zarządzeń pokontrolnych, </w:t>
      </w:r>
    </w:p>
    <w:p w14:paraId="3A02C6A0" w14:textId="77777777" w:rsidR="001633A3" w:rsidRPr="008520D8" w:rsidRDefault="001633A3" w:rsidP="00D34F97">
      <w:pPr>
        <w:pStyle w:val="Akapitzlist"/>
        <w:numPr>
          <w:ilvl w:val="0"/>
          <w:numId w:val="169"/>
        </w:numPr>
        <w:spacing w:line="300" w:lineRule="atLeast"/>
        <w:ind w:left="924" w:hanging="357"/>
        <w:jc w:val="both"/>
        <w:rPr>
          <w:sz w:val="24"/>
          <w:szCs w:val="24"/>
        </w:rPr>
      </w:pPr>
      <w:r w:rsidRPr="008520D8">
        <w:rPr>
          <w:sz w:val="24"/>
          <w:szCs w:val="24"/>
        </w:rPr>
        <w:t>skierowano 1 wniosek do sądu o ukaranie,</w:t>
      </w:r>
    </w:p>
    <w:p w14:paraId="178ABB73" w14:textId="77777777" w:rsidR="001633A3" w:rsidRPr="008520D8" w:rsidRDefault="001633A3" w:rsidP="00D34F97">
      <w:pPr>
        <w:pStyle w:val="Akapitzlist"/>
        <w:numPr>
          <w:ilvl w:val="0"/>
          <w:numId w:val="169"/>
        </w:numPr>
        <w:spacing w:line="300" w:lineRule="atLeast"/>
        <w:ind w:left="924" w:hanging="357"/>
        <w:rPr>
          <w:sz w:val="24"/>
          <w:szCs w:val="24"/>
        </w:rPr>
      </w:pPr>
      <w:r w:rsidRPr="008520D8">
        <w:rPr>
          <w:sz w:val="24"/>
          <w:szCs w:val="24"/>
        </w:rPr>
        <w:t>skierowano 23 wystąpienia pokontrolne do innych organów,</w:t>
      </w:r>
    </w:p>
    <w:p w14:paraId="7890F28E" w14:textId="4045DDA7" w:rsidR="00895F16" w:rsidRPr="001633A3" w:rsidRDefault="001633A3" w:rsidP="00D34F97">
      <w:pPr>
        <w:numPr>
          <w:ilvl w:val="0"/>
          <w:numId w:val="103"/>
        </w:numPr>
        <w:spacing w:after="0" w:line="300" w:lineRule="atLeast"/>
        <w:ind w:left="924" w:hanging="357"/>
        <w:jc w:val="both"/>
        <w:rPr>
          <w:rFonts w:ascii="Times New Roman" w:eastAsia="Calibri" w:hAnsi="Times New Roman" w:cs="Times New Roman"/>
          <w:sz w:val="24"/>
          <w:szCs w:val="24"/>
          <w:lang w:val="x-none" w:eastAsia="pl-PL"/>
        </w:rPr>
      </w:pPr>
      <w:r w:rsidRPr="001633A3">
        <w:rPr>
          <w:rFonts w:ascii="Times New Roman" w:hAnsi="Times New Roman" w:cs="Times New Roman"/>
          <w:sz w:val="24"/>
          <w:szCs w:val="24"/>
        </w:rPr>
        <w:t>wydano 3 decyzje administracyjne na podstawie przepisów odrębnych</w:t>
      </w:r>
      <w:r w:rsidR="00895F16" w:rsidRPr="001633A3">
        <w:rPr>
          <w:rFonts w:ascii="Times New Roman" w:eastAsia="Calibri" w:hAnsi="Times New Roman" w:cs="Times New Roman"/>
          <w:sz w:val="24"/>
          <w:szCs w:val="24"/>
          <w:lang w:val="x-none" w:eastAsia="pl-PL"/>
        </w:rPr>
        <w:t>.</w:t>
      </w:r>
    </w:p>
    <w:p w14:paraId="6BB62619" w14:textId="60441BF7" w:rsidR="00895F16" w:rsidRPr="007F400A" w:rsidRDefault="00895F16" w:rsidP="00434520">
      <w:pPr>
        <w:keepNext/>
        <w:spacing w:after="120" w:line="300" w:lineRule="atLeast"/>
        <w:jc w:val="both"/>
        <w:outlineLvl w:val="0"/>
        <w:rPr>
          <w:rFonts w:ascii="Times New Roman" w:eastAsia="Times New Roman" w:hAnsi="Times New Roman" w:cs="Times New Roman"/>
          <w:b/>
          <w:bCs/>
          <w:sz w:val="24"/>
          <w:szCs w:val="24"/>
          <w:lang w:val="x-none" w:eastAsia="x-none"/>
        </w:rPr>
      </w:pPr>
      <w:bookmarkStart w:id="134" w:name="_Toc5878561"/>
      <w:bookmarkStart w:id="135" w:name="_Toc36732582"/>
      <w:bookmarkStart w:id="136" w:name="_Toc135935610"/>
      <w:r w:rsidRPr="007F400A">
        <w:rPr>
          <w:rFonts w:ascii="Times New Roman" w:eastAsia="Times New Roman" w:hAnsi="Times New Roman" w:cs="Times New Roman"/>
          <w:b/>
          <w:bCs/>
          <w:sz w:val="24"/>
          <w:szCs w:val="24"/>
          <w:lang w:val="x-none" w:eastAsia="x-none"/>
        </w:rPr>
        <w:t>3.3.</w:t>
      </w:r>
      <w:r w:rsidR="001633A3">
        <w:rPr>
          <w:rFonts w:ascii="Times New Roman" w:eastAsia="Times New Roman" w:hAnsi="Times New Roman" w:cs="Times New Roman"/>
          <w:b/>
          <w:bCs/>
          <w:sz w:val="24"/>
          <w:szCs w:val="24"/>
          <w:lang w:eastAsia="x-none"/>
        </w:rPr>
        <w:t>20</w:t>
      </w:r>
      <w:r w:rsidRPr="007F400A">
        <w:rPr>
          <w:rFonts w:ascii="Times New Roman" w:eastAsia="Times New Roman" w:hAnsi="Times New Roman" w:cs="Times New Roman"/>
          <w:b/>
          <w:bCs/>
          <w:sz w:val="24"/>
          <w:szCs w:val="24"/>
          <w:lang w:val="x-none" w:eastAsia="x-none"/>
        </w:rPr>
        <w:t xml:space="preserve"> Kontrole </w:t>
      </w:r>
      <w:r w:rsidRPr="007F400A">
        <w:rPr>
          <w:rFonts w:ascii="Times New Roman" w:eastAsia="Times New Roman" w:hAnsi="Times New Roman" w:cs="Times New Roman"/>
          <w:b/>
          <w:bCs/>
          <w:sz w:val="24"/>
          <w:szCs w:val="24"/>
          <w:lang w:eastAsia="x-none"/>
        </w:rPr>
        <w:t>oczyszczalni ścieków</w:t>
      </w:r>
      <w:bookmarkEnd w:id="134"/>
      <w:bookmarkEnd w:id="135"/>
      <w:bookmarkEnd w:id="136"/>
    </w:p>
    <w:p w14:paraId="212CCF80" w14:textId="77777777" w:rsidR="001633A3" w:rsidRDefault="001633A3" w:rsidP="00434520">
      <w:pPr>
        <w:spacing w:after="0" w:line="300" w:lineRule="atLeast"/>
        <w:ind w:firstLine="567"/>
        <w:jc w:val="both"/>
        <w:rPr>
          <w:rFonts w:ascii="Times New Roman" w:hAnsi="Times New Roman" w:cs="Times New Roman"/>
          <w:sz w:val="24"/>
          <w:szCs w:val="24"/>
        </w:rPr>
      </w:pPr>
      <w:r>
        <w:rPr>
          <w:rFonts w:ascii="Times New Roman" w:hAnsi="Times New Roman" w:cs="Times New Roman"/>
          <w:sz w:val="24"/>
          <w:szCs w:val="24"/>
        </w:rPr>
        <w:t xml:space="preserve">W 2022 r. wojewódzcy inspektorzy prowadzili kontrole podmiotów, które na podstawie pozwoleń wodnoprawnych lub zintegrowanych korzystają z usług wodnych poprzez wprowadzanie ścieków do wód lub do ziemi. </w:t>
      </w:r>
    </w:p>
    <w:p w14:paraId="4F2136C5" w14:textId="77777777" w:rsidR="001633A3" w:rsidRDefault="001633A3" w:rsidP="00056EE7">
      <w:pPr>
        <w:spacing w:after="0" w:line="300" w:lineRule="atLeast"/>
        <w:ind w:firstLine="567"/>
        <w:jc w:val="both"/>
        <w:rPr>
          <w:rFonts w:ascii="Times New Roman" w:hAnsi="Times New Roman" w:cs="Times New Roman"/>
          <w:sz w:val="24"/>
          <w:szCs w:val="24"/>
        </w:rPr>
      </w:pPr>
      <w:r>
        <w:rPr>
          <w:rFonts w:ascii="Times New Roman" w:hAnsi="Times New Roman" w:cs="Times New Roman"/>
          <w:sz w:val="24"/>
          <w:szCs w:val="24"/>
        </w:rPr>
        <w:t>Kontrolą zostały objęte oczyszczalnie ścieków:</w:t>
      </w:r>
    </w:p>
    <w:p w14:paraId="483EF22A" w14:textId="77777777" w:rsidR="001633A3" w:rsidRDefault="001633A3" w:rsidP="00D34F97">
      <w:pPr>
        <w:numPr>
          <w:ilvl w:val="0"/>
          <w:numId w:val="170"/>
        </w:numPr>
        <w:spacing w:after="0" w:line="300" w:lineRule="atLeast"/>
        <w:ind w:left="924" w:hanging="357"/>
        <w:jc w:val="both"/>
        <w:rPr>
          <w:rFonts w:ascii="Times New Roman" w:hAnsi="Times New Roman" w:cs="Times New Roman"/>
          <w:sz w:val="24"/>
          <w:szCs w:val="24"/>
        </w:rPr>
      </w:pPr>
      <w:r>
        <w:rPr>
          <w:rFonts w:ascii="Times New Roman" w:hAnsi="Times New Roman" w:cs="Times New Roman"/>
          <w:sz w:val="24"/>
          <w:szCs w:val="24"/>
        </w:rPr>
        <w:t>nieuwzględnione w Krajowym Programie Oczyszczania Ścieków Komunalnych</w:t>
      </w:r>
      <w:r>
        <w:rPr>
          <w:rFonts w:ascii="Times New Roman" w:hAnsi="Times New Roman" w:cs="Times New Roman"/>
          <w:sz w:val="24"/>
          <w:szCs w:val="24"/>
          <w:vertAlign w:val="superscript"/>
        </w:rPr>
        <w:footnoteReference w:id="29"/>
      </w:r>
      <w:r>
        <w:rPr>
          <w:rFonts w:ascii="Times New Roman" w:hAnsi="Times New Roman" w:cs="Times New Roman"/>
          <w:sz w:val="24"/>
          <w:szCs w:val="24"/>
        </w:rPr>
        <w:t xml:space="preserve"> (KPOŚK), z których odprowadzane są ścieki bytowe i komunalne, </w:t>
      </w:r>
    </w:p>
    <w:p w14:paraId="31DD23DA" w14:textId="77777777" w:rsidR="001633A3" w:rsidRDefault="001633A3" w:rsidP="00D34F97">
      <w:pPr>
        <w:numPr>
          <w:ilvl w:val="0"/>
          <w:numId w:val="170"/>
        </w:numPr>
        <w:spacing w:after="0" w:line="300" w:lineRule="atLeast"/>
        <w:ind w:left="924" w:hanging="357"/>
        <w:jc w:val="both"/>
        <w:rPr>
          <w:rFonts w:ascii="Times New Roman" w:hAnsi="Times New Roman" w:cs="Times New Roman"/>
          <w:sz w:val="24"/>
          <w:szCs w:val="24"/>
        </w:rPr>
      </w:pPr>
      <w:r>
        <w:rPr>
          <w:rFonts w:ascii="Times New Roman" w:hAnsi="Times New Roman" w:cs="Times New Roman"/>
          <w:sz w:val="24"/>
          <w:szCs w:val="24"/>
        </w:rPr>
        <w:lastRenderedPageBreak/>
        <w:t xml:space="preserve">uwzględnione w KPOŚK, z których odprowadzane są ścieki bytowe i komunalne, </w:t>
      </w:r>
    </w:p>
    <w:p w14:paraId="0BB53FEF" w14:textId="77777777" w:rsidR="001633A3" w:rsidRDefault="001633A3" w:rsidP="00D34F97">
      <w:pPr>
        <w:numPr>
          <w:ilvl w:val="0"/>
          <w:numId w:val="170"/>
        </w:numPr>
        <w:spacing w:after="0" w:line="300" w:lineRule="atLeast"/>
        <w:ind w:left="924" w:hanging="357"/>
        <w:jc w:val="both"/>
        <w:rPr>
          <w:rFonts w:ascii="Times New Roman" w:hAnsi="Times New Roman" w:cs="Times New Roman"/>
          <w:sz w:val="24"/>
          <w:szCs w:val="24"/>
        </w:rPr>
      </w:pPr>
      <w:r>
        <w:rPr>
          <w:rFonts w:ascii="Times New Roman" w:hAnsi="Times New Roman" w:cs="Times New Roman"/>
          <w:sz w:val="24"/>
          <w:szCs w:val="24"/>
        </w:rPr>
        <w:t>nieuwzględnione w KPOŚK, z których odprowadzane są ścieki przemysłowe.</w:t>
      </w:r>
    </w:p>
    <w:p w14:paraId="43627037" w14:textId="77777777" w:rsidR="001633A3" w:rsidRDefault="001633A3" w:rsidP="00056EE7">
      <w:pPr>
        <w:spacing w:after="0" w:line="300" w:lineRule="atLeast"/>
        <w:ind w:firstLine="567"/>
        <w:jc w:val="both"/>
        <w:rPr>
          <w:rFonts w:ascii="Times New Roman" w:hAnsi="Times New Roman" w:cs="Times New Roman"/>
          <w:sz w:val="24"/>
          <w:szCs w:val="24"/>
        </w:rPr>
      </w:pPr>
      <w:r>
        <w:rPr>
          <w:rFonts w:ascii="Times New Roman" w:hAnsi="Times New Roman" w:cs="Times New Roman"/>
          <w:sz w:val="24"/>
          <w:szCs w:val="24"/>
        </w:rPr>
        <w:t xml:space="preserve">Kontrole oczyszczalni były prowadzone zarówno w terenie (kontrole z wyjazdem w teren), jak i bez wyjazdu w teren (tzw. kontrole </w:t>
      </w:r>
      <w:proofErr w:type="spellStart"/>
      <w:r>
        <w:rPr>
          <w:rFonts w:ascii="Times New Roman" w:hAnsi="Times New Roman" w:cs="Times New Roman"/>
          <w:sz w:val="24"/>
          <w:szCs w:val="24"/>
        </w:rPr>
        <w:t>automonitoringowe</w:t>
      </w:r>
      <w:proofErr w:type="spellEnd"/>
      <w:r>
        <w:rPr>
          <w:rFonts w:ascii="Times New Roman" w:hAnsi="Times New Roman" w:cs="Times New Roman"/>
          <w:sz w:val="24"/>
          <w:szCs w:val="24"/>
        </w:rPr>
        <w:t>) – na podstawie wyników pomiarów jakości ścieków wykonywanych przez podmioty korzystające z usług wodnych, zobowiązane do wykonywania takich pomiarów i przedkładania ich właściwym organom, w tym wojewódzkim inspektorom ochrony środowiska.</w:t>
      </w:r>
    </w:p>
    <w:p w14:paraId="3277D742" w14:textId="77777777" w:rsidR="001633A3" w:rsidRDefault="001633A3" w:rsidP="00056EE7">
      <w:pPr>
        <w:spacing w:after="60" w:line="300" w:lineRule="atLeast"/>
        <w:ind w:firstLine="567"/>
        <w:jc w:val="both"/>
        <w:rPr>
          <w:rFonts w:ascii="Times New Roman" w:hAnsi="Times New Roman" w:cs="Times New Roman"/>
          <w:sz w:val="24"/>
          <w:szCs w:val="24"/>
        </w:rPr>
      </w:pPr>
      <w:r>
        <w:rPr>
          <w:rFonts w:ascii="Times New Roman" w:hAnsi="Times New Roman" w:cs="Times New Roman"/>
          <w:sz w:val="24"/>
          <w:szCs w:val="24"/>
        </w:rPr>
        <w:t xml:space="preserve">Łącznie w 2022 r. wykonano 3 286 kontroli oczyszczalni, z czego 986 kontroli odbyło się w terenie, a 2 300 stanowiły kontrole </w:t>
      </w:r>
      <w:proofErr w:type="spellStart"/>
      <w:r>
        <w:rPr>
          <w:rFonts w:ascii="Times New Roman" w:hAnsi="Times New Roman" w:cs="Times New Roman"/>
          <w:sz w:val="24"/>
          <w:szCs w:val="24"/>
        </w:rPr>
        <w:t>automonitoringowe</w:t>
      </w:r>
      <w:proofErr w:type="spellEnd"/>
      <w:r>
        <w:rPr>
          <w:rFonts w:ascii="Times New Roman" w:hAnsi="Times New Roman" w:cs="Times New Roman"/>
          <w:sz w:val="24"/>
          <w:szCs w:val="24"/>
        </w:rPr>
        <w:t>.</w:t>
      </w:r>
    </w:p>
    <w:p w14:paraId="3A89BA52" w14:textId="77777777" w:rsidR="001633A3" w:rsidRDefault="001633A3" w:rsidP="00434520">
      <w:pPr>
        <w:spacing w:after="60" w:line="300" w:lineRule="atLeast"/>
        <w:ind w:firstLine="567"/>
        <w:jc w:val="both"/>
        <w:rPr>
          <w:rFonts w:ascii="Times New Roman" w:hAnsi="Times New Roman" w:cs="Times New Roman"/>
          <w:sz w:val="24"/>
          <w:szCs w:val="24"/>
        </w:rPr>
      </w:pPr>
      <w:r>
        <w:rPr>
          <w:rFonts w:ascii="Times New Roman" w:hAnsi="Times New Roman" w:cs="Times New Roman"/>
          <w:sz w:val="24"/>
          <w:szCs w:val="24"/>
        </w:rPr>
        <w:t>W związku z naruszeniami stwierdzonymi podczas kontroli w terenie wojewódzcy inspektorzy ochrony środowiska, w ramach podjętych działań pokontrolnych, wydali łącznie:</w:t>
      </w:r>
    </w:p>
    <w:p w14:paraId="50BDB03C" w14:textId="77777777" w:rsidR="001633A3" w:rsidRDefault="001633A3" w:rsidP="00D34F97">
      <w:pPr>
        <w:numPr>
          <w:ilvl w:val="0"/>
          <w:numId w:val="104"/>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val="x-none" w:eastAsia="pl-PL"/>
        </w:rPr>
        <w:t>5</w:t>
      </w:r>
      <w:r>
        <w:rPr>
          <w:rFonts w:ascii="Times New Roman" w:eastAsia="Calibri" w:hAnsi="Times New Roman" w:cs="Times New Roman"/>
          <w:sz w:val="24"/>
          <w:szCs w:val="24"/>
          <w:lang w:eastAsia="pl-PL"/>
        </w:rPr>
        <w:t>26</w:t>
      </w:r>
      <w:r>
        <w:rPr>
          <w:rFonts w:ascii="Times New Roman" w:eastAsia="Calibri" w:hAnsi="Times New Roman" w:cs="Times New Roman"/>
          <w:sz w:val="24"/>
          <w:szCs w:val="24"/>
          <w:lang w:val="x-none" w:eastAsia="pl-PL"/>
        </w:rPr>
        <w:t xml:space="preserve"> zarządze</w:t>
      </w:r>
      <w:r>
        <w:rPr>
          <w:rFonts w:ascii="Times New Roman" w:eastAsia="Calibri" w:hAnsi="Times New Roman" w:cs="Times New Roman"/>
          <w:sz w:val="24"/>
          <w:szCs w:val="24"/>
          <w:lang w:eastAsia="pl-PL"/>
        </w:rPr>
        <w:t>ń</w:t>
      </w:r>
      <w:r>
        <w:rPr>
          <w:rFonts w:ascii="Times New Roman" w:eastAsia="Calibri" w:hAnsi="Times New Roman" w:cs="Times New Roman"/>
          <w:sz w:val="24"/>
          <w:szCs w:val="24"/>
          <w:lang w:val="x-none" w:eastAsia="pl-PL"/>
        </w:rPr>
        <w:t xml:space="preserve"> pokontroln</w:t>
      </w:r>
      <w:r>
        <w:rPr>
          <w:rFonts w:ascii="Times New Roman" w:eastAsia="Calibri" w:hAnsi="Times New Roman" w:cs="Times New Roman"/>
          <w:sz w:val="24"/>
          <w:szCs w:val="24"/>
          <w:lang w:eastAsia="pl-PL"/>
        </w:rPr>
        <w:t>ych</w:t>
      </w:r>
      <w:r>
        <w:rPr>
          <w:rFonts w:ascii="Times New Roman" w:eastAsia="Calibri" w:hAnsi="Times New Roman" w:cs="Times New Roman"/>
          <w:sz w:val="24"/>
          <w:szCs w:val="24"/>
          <w:lang w:val="x-none" w:eastAsia="pl-PL"/>
        </w:rPr>
        <w:t>,</w:t>
      </w:r>
    </w:p>
    <w:p w14:paraId="181EBC79" w14:textId="77777777" w:rsidR="001633A3" w:rsidRDefault="001633A3" w:rsidP="00D34F97">
      <w:pPr>
        <w:numPr>
          <w:ilvl w:val="0"/>
          <w:numId w:val="104"/>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eastAsia="pl-PL"/>
        </w:rPr>
        <w:t>70</w:t>
      </w:r>
      <w:r>
        <w:rPr>
          <w:rFonts w:ascii="Times New Roman" w:eastAsia="Calibri" w:hAnsi="Times New Roman" w:cs="Times New Roman"/>
          <w:sz w:val="24"/>
          <w:szCs w:val="24"/>
          <w:lang w:val="x-none" w:eastAsia="pl-PL"/>
        </w:rPr>
        <w:t xml:space="preserve"> decyzj</w:t>
      </w:r>
      <w:r>
        <w:rPr>
          <w:rFonts w:ascii="Times New Roman" w:eastAsia="Calibri" w:hAnsi="Times New Roman" w:cs="Times New Roman"/>
          <w:sz w:val="24"/>
          <w:szCs w:val="24"/>
          <w:lang w:eastAsia="pl-PL"/>
        </w:rPr>
        <w:t>i</w:t>
      </w:r>
      <w:r>
        <w:rPr>
          <w:rFonts w:ascii="Times New Roman" w:eastAsia="Calibri" w:hAnsi="Times New Roman" w:cs="Times New Roman"/>
          <w:sz w:val="24"/>
          <w:szCs w:val="24"/>
          <w:lang w:val="x-none" w:eastAsia="pl-PL"/>
        </w:rPr>
        <w:t xml:space="preserve"> administracyjn</w:t>
      </w:r>
      <w:r>
        <w:rPr>
          <w:rFonts w:ascii="Times New Roman" w:eastAsia="Calibri" w:hAnsi="Times New Roman" w:cs="Times New Roman"/>
          <w:sz w:val="24"/>
          <w:szCs w:val="24"/>
          <w:lang w:eastAsia="pl-PL"/>
        </w:rPr>
        <w:t>ych</w:t>
      </w:r>
      <w:r>
        <w:rPr>
          <w:rFonts w:ascii="Times New Roman" w:eastAsia="Calibri" w:hAnsi="Times New Roman" w:cs="Times New Roman"/>
          <w:sz w:val="24"/>
          <w:szCs w:val="24"/>
          <w:lang w:val="x-none" w:eastAsia="pl-PL"/>
        </w:rPr>
        <w:t xml:space="preserve"> wymierzając</w:t>
      </w:r>
      <w:r>
        <w:rPr>
          <w:rFonts w:ascii="Times New Roman" w:eastAsia="Calibri" w:hAnsi="Times New Roman" w:cs="Times New Roman"/>
          <w:sz w:val="24"/>
          <w:szCs w:val="24"/>
          <w:lang w:eastAsia="pl-PL"/>
        </w:rPr>
        <w:t>ych</w:t>
      </w:r>
      <w:r>
        <w:rPr>
          <w:rFonts w:ascii="Times New Roman" w:eastAsia="Calibri" w:hAnsi="Times New Roman" w:cs="Times New Roman"/>
          <w:sz w:val="24"/>
          <w:szCs w:val="24"/>
          <w:lang w:val="x-none" w:eastAsia="pl-PL"/>
        </w:rPr>
        <w:t xml:space="preserve"> opłaty podwyższone za wprowadzanie ścieków do wód lub do ziemi z </w:t>
      </w:r>
      <w:r>
        <w:rPr>
          <w:rFonts w:ascii="Times New Roman" w:eastAsia="Calibri" w:hAnsi="Times New Roman" w:cs="Times New Roman"/>
          <w:sz w:val="24"/>
          <w:szCs w:val="24"/>
          <w:lang w:eastAsia="pl-PL"/>
        </w:rPr>
        <w:t>przekroczeniem</w:t>
      </w:r>
      <w:r>
        <w:rPr>
          <w:rFonts w:ascii="Times New Roman" w:eastAsia="Calibri" w:hAnsi="Times New Roman" w:cs="Times New Roman"/>
          <w:sz w:val="24"/>
          <w:szCs w:val="24"/>
          <w:lang w:val="x-none" w:eastAsia="pl-PL"/>
        </w:rPr>
        <w:t xml:space="preserve"> warunków pozwolenia</w:t>
      </w:r>
      <w:r>
        <w:rPr>
          <w:rFonts w:ascii="Times New Roman" w:eastAsia="Calibri" w:hAnsi="Times New Roman" w:cs="Times New Roman"/>
          <w:sz w:val="24"/>
          <w:szCs w:val="24"/>
          <w:lang w:eastAsia="pl-PL"/>
        </w:rPr>
        <w:t>,</w:t>
      </w:r>
      <w:r>
        <w:rPr>
          <w:rFonts w:ascii="Times New Roman" w:eastAsia="Calibri" w:hAnsi="Times New Roman" w:cs="Times New Roman"/>
          <w:sz w:val="24"/>
          <w:szCs w:val="24"/>
          <w:lang w:val="x-none" w:eastAsia="pl-PL"/>
        </w:rPr>
        <w:t xml:space="preserve"> </w:t>
      </w:r>
    </w:p>
    <w:p w14:paraId="6E313D27" w14:textId="77777777" w:rsidR="001633A3" w:rsidRDefault="001633A3" w:rsidP="00D34F97">
      <w:pPr>
        <w:numPr>
          <w:ilvl w:val="0"/>
          <w:numId w:val="104"/>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eastAsia="pl-PL"/>
        </w:rPr>
        <w:t>238 wystąpień do organów Państwowego Gospodarstwa Wodnego Wody Polskie (PGW WP),</w:t>
      </w:r>
    </w:p>
    <w:p w14:paraId="72040125" w14:textId="77777777" w:rsidR="001633A3" w:rsidRDefault="001633A3" w:rsidP="00D34F97">
      <w:pPr>
        <w:numPr>
          <w:ilvl w:val="0"/>
          <w:numId w:val="104"/>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eastAsia="pl-PL"/>
        </w:rPr>
        <w:t>194</w:t>
      </w:r>
      <w:r>
        <w:rPr>
          <w:rFonts w:ascii="Times New Roman" w:eastAsia="Calibri" w:hAnsi="Times New Roman" w:cs="Times New Roman"/>
          <w:sz w:val="24"/>
          <w:szCs w:val="24"/>
          <w:lang w:val="x-none" w:eastAsia="pl-PL"/>
        </w:rPr>
        <w:t xml:space="preserve"> wystąpie</w:t>
      </w:r>
      <w:r>
        <w:rPr>
          <w:rFonts w:ascii="Times New Roman" w:eastAsia="Calibri" w:hAnsi="Times New Roman" w:cs="Times New Roman"/>
          <w:sz w:val="24"/>
          <w:szCs w:val="24"/>
          <w:lang w:eastAsia="pl-PL"/>
        </w:rPr>
        <w:t>nia</w:t>
      </w:r>
      <w:r>
        <w:rPr>
          <w:rFonts w:ascii="Times New Roman" w:eastAsia="Calibri" w:hAnsi="Times New Roman" w:cs="Times New Roman"/>
          <w:sz w:val="24"/>
          <w:szCs w:val="24"/>
          <w:lang w:val="x-none" w:eastAsia="pl-PL"/>
        </w:rPr>
        <w:t xml:space="preserve"> pokontroln</w:t>
      </w:r>
      <w:r>
        <w:rPr>
          <w:rFonts w:ascii="Times New Roman" w:eastAsia="Calibri" w:hAnsi="Times New Roman" w:cs="Times New Roman"/>
          <w:sz w:val="24"/>
          <w:szCs w:val="24"/>
          <w:lang w:eastAsia="pl-PL"/>
        </w:rPr>
        <w:t>e</w:t>
      </w:r>
      <w:r>
        <w:rPr>
          <w:rFonts w:ascii="Times New Roman" w:eastAsia="Calibri" w:hAnsi="Times New Roman" w:cs="Times New Roman"/>
          <w:sz w:val="24"/>
          <w:szCs w:val="24"/>
          <w:lang w:val="x-none" w:eastAsia="pl-PL"/>
        </w:rPr>
        <w:t xml:space="preserve"> do innych organów.</w:t>
      </w:r>
    </w:p>
    <w:p w14:paraId="1EACCB93" w14:textId="77777777" w:rsidR="001633A3" w:rsidRDefault="001633A3" w:rsidP="00056EE7">
      <w:pPr>
        <w:spacing w:line="300" w:lineRule="atLeast"/>
        <w:ind w:firstLine="567"/>
        <w:jc w:val="both"/>
        <w:rPr>
          <w:rFonts w:ascii="Times New Roman" w:hAnsi="Times New Roman" w:cs="Times New Roman"/>
          <w:sz w:val="24"/>
          <w:szCs w:val="24"/>
        </w:rPr>
      </w:pPr>
      <w:r>
        <w:rPr>
          <w:rFonts w:ascii="Times New Roman" w:hAnsi="Times New Roman" w:cs="Times New Roman"/>
          <w:sz w:val="24"/>
          <w:szCs w:val="24"/>
        </w:rPr>
        <w:t xml:space="preserve">W związku z naruszeniami stwierdzonymi podczas kontroli </w:t>
      </w:r>
      <w:proofErr w:type="spellStart"/>
      <w:r>
        <w:rPr>
          <w:rFonts w:ascii="Times New Roman" w:hAnsi="Times New Roman" w:cs="Times New Roman"/>
          <w:sz w:val="24"/>
          <w:szCs w:val="24"/>
        </w:rPr>
        <w:t>automonitoringowych</w:t>
      </w:r>
      <w:proofErr w:type="spellEnd"/>
      <w:r>
        <w:rPr>
          <w:rFonts w:ascii="Times New Roman" w:hAnsi="Times New Roman" w:cs="Times New Roman"/>
          <w:sz w:val="24"/>
          <w:szCs w:val="24"/>
        </w:rPr>
        <w:t xml:space="preserve"> wojewódzcy inspektorzy ochrony środowiska, w ramach podjętych działań pokontrolnych, wydali łącznie 153 decyzje </w:t>
      </w:r>
      <w:r>
        <w:rPr>
          <w:rFonts w:ascii="Times New Roman" w:eastAsia="Calibri" w:hAnsi="Times New Roman" w:cs="Times New Roman"/>
          <w:sz w:val="24"/>
          <w:szCs w:val="24"/>
          <w:lang w:val="x-none" w:eastAsia="pl-PL"/>
        </w:rPr>
        <w:t>administracyjn</w:t>
      </w:r>
      <w:r>
        <w:rPr>
          <w:rFonts w:ascii="Times New Roman" w:eastAsia="Calibri" w:hAnsi="Times New Roman" w:cs="Times New Roman"/>
          <w:sz w:val="24"/>
          <w:szCs w:val="24"/>
          <w:lang w:eastAsia="pl-PL"/>
        </w:rPr>
        <w:t>e</w:t>
      </w:r>
      <w:r>
        <w:rPr>
          <w:rFonts w:ascii="Times New Roman" w:eastAsia="Calibri" w:hAnsi="Times New Roman" w:cs="Times New Roman"/>
          <w:sz w:val="24"/>
          <w:szCs w:val="24"/>
          <w:lang w:val="x-none" w:eastAsia="pl-PL"/>
        </w:rPr>
        <w:t xml:space="preserve"> wymierzając</w:t>
      </w:r>
      <w:r>
        <w:rPr>
          <w:rFonts w:ascii="Times New Roman" w:eastAsia="Calibri" w:hAnsi="Times New Roman" w:cs="Times New Roman"/>
          <w:sz w:val="24"/>
          <w:szCs w:val="24"/>
          <w:lang w:eastAsia="pl-PL"/>
        </w:rPr>
        <w:t>e</w:t>
      </w:r>
      <w:r>
        <w:rPr>
          <w:rFonts w:ascii="Times New Roman" w:eastAsia="Calibri" w:hAnsi="Times New Roman" w:cs="Times New Roman"/>
          <w:sz w:val="24"/>
          <w:szCs w:val="24"/>
          <w:lang w:val="x-none" w:eastAsia="pl-PL"/>
        </w:rPr>
        <w:t xml:space="preserve"> opłaty podwyższone za wprowadzanie ścieków do wód lub do ziemi z </w:t>
      </w:r>
      <w:r>
        <w:rPr>
          <w:rFonts w:ascii="Times New Roman" w:eastAsia="Calibri" w:hAnsi="Times New Roman" w:cs="Times New Roman"/>
          <w:sz w:val="24"/>
          <w:szCs w:val="24"/>
          <w:lang w:eastAsia="pl-PL"/>
        </w:rPr>
        <w:t>przekroczeniem</w:t>
      </w:r>
      <w:r>
        <w:rPr>
          <w:rFonts w:ascii="Times New Roman" w:eastAsia="Calibri" w:hAnsi="Times New Roman" w:cs="Times New Roman"/>
          <w:sz w:val="24"/>
          <w:szCs w:val="24"/>
          <w:lang w:val="x-none" w:eastAsia="pl-PL"/>
        </w:rPr>
        <w:t xml:space="preserve"> warunków pozwolenia</w:t>
      </w:r>
      <w:r>
        <w:rPr>
          <w:rFonts w:ascii="Times New Roman" w:eastAsia="Calibri" w:hAnsi="Times New Roman" w:cs="Times New Roman"/>
          <w:sz w:val="24"/>
          <w:szCs w:val="24"/>
          <w:lang w:eastAsia="pl-PL"/>
        </w:rPr>
        <w:t xml:space="preserve">. </w:t>
      </w:r>
    </w:p>
    <w:p w14:paraId="656D43C9" w14:textId="7A77831A" w:rsidR="00434520" w:rsidRPr="007F400A" w:rsidRDefault="001633A3" w:rsidP="00741E48">
      <w:pPr>
        <w:spacing w:after="120" w:line="300" w:lineRule="atLeast"/>
        <w:jc w:val="both"/>
        <w:rPr>
          <w:rFonts w:ascii="Times New Roman" w:hAnsi="Times New Roman" w:cs="Times New Roman"/>
          <w:sz w:val="24"/>
          <w:szCs w:val="24"/>
        </w:rPr>
      </w:pPr>
      <w:r>
        <w:rPr>
          <w:rFonts w:ascii="Times New Roman" w:hAnsi="Times New Roman" w:cs="Times New Roman"/>
          <w:sz w:val="24"/>
          <w:szCs w:val="24"/>
        </w:rPr>
        <w:t>Szczegółowe informacje dotyczące poszczególnych kontrolowanych grup oczyszczalni przedstawiono poniżej</w:t>
      </w:r>
      <w:r w:rsidR="00895F16" w:rsidRPr="007F400A">
        <w:rPr>
          <w:rFonts w:ascii="Times New Roman" w:hAnsi="Times New Roman" w:cs="Times New Roman"/>
          <w:sz w:val="24"/>
          <w:szCs w:val="24"/>
        </w:rPr>
        <w:t>:</w:t>
      </w:r>
    </w:p>
    <w:p w14:paraId="74E09B96" w14:textId="128E0BF9" w:rsidR="00895F16" w:rsidRPr="007F400A" w:rsidRDefault="00895F16" w:rsidP="00434520">
      <w:pPr>
        <w:spacing w:after="60" w:line="300" w:lineRule="atLeast"/>
        <w:jc w:val="both"/>
        <w:rPr>
          <w:rFonts w:ascii="Times New Roman" w:hAnsi="Times New Roman" w:cs="Times New Roman"/>
          <w:b/>
          <w:sz w:val="24"/>
          <w:szCs w:val="24"/>
        </w:rPr>
      </w:pPr>
      <w:r w:rsidRPr="007F400A">
        <w:rPr>
          <w:rFonts w:ascii="Times New Roman" w:hAnsi="Times New Roman" w:cs="Times New Roman"/>
          <w:b/>
          <w:sz w:val="24"/>
          <w:szCs w:val="24"/>
        </w:rPr>
        <w:t>a) kontrole oczyszczalni ścieków</w:t>
      </w:r>
      <w:r w:rsidR="0039025B" w:rsidRPr="007F400A">
        <w:rPr>
          <w:rFonts w:ascii="Times New Roman" w:hAnsi="Times New Roman" w:cs="Times New Roman"/>
          <w:b/>
          <w:sz w:val="24"/>
          <w:szCs w:val="24"/>
        </w:rPr>
        <w:t xml:space="preserve"> </w:t>
      </w:r>
      <w:r w:rsidRPr="007F400A">
        <w:rPr>
          <w:rFonts w:ascii="Times New Roman" w:hAnsi="Times New Roman" w:cs="Times New Roman"/>
          <w:b/>
          <w:sz w:val="24"/>
          <w:szCs w:val="24"/>
        </w:rPr>
        <w:t>nieuwzględnionych w KPOŚK, z których odprowadzane są ścieki bytowe i komunalne</w:t>
      </w:r>
    </w:p>
    <w:p w14:paraId="171F184D" w14:textId="77777777" w:rsidR="00113E67" w:rsidRDefault="00113E67" w:rsidP="00434520">
      <w:pPr>
        <w:spacing w:after="60" w:line="300" w:lineRule="atLeast"/>
        <w:ind w:firstLine="567"/>
        <w:jc w:val="both"/>
        <w:rPr>
          <w:rFonts w:ascii="Times New Roman" w:hAnsi="Times New Roman" w:cs="Times New Roman"/>
          <w:sz w:val="24"/>
          <w:szCs w:val="24"/>
        </w:rPr>
      </w:pPr>
      <w:r>
        <w:rPr>
          <w:rFonts w:ascii="Times New Roman" w:hAnsi="Times New Roman" w:cs="Times New Roman"/>
          <w:sz w:val="24"/>
          <w:szCs w:val="24"/>
        </w:rPr>
        <w:t>W 2022 r. wojewódzcy inspektorzy ochrony środowiska przeprowadzili w terenie 297 kontroli oczyszczalni ścieków nieuwzględnionych w KPOŚK, z których odprowadzane są ścieki bytowe i komunalne. W wyniku przeprowadzonych czynności kontrolnych, podczas 251 kontroli stwierdzono naruszenia, w tym:</w:t>
      </w:r>
    </w:p>
    <w:p w14:paraId="1EF3FE5E" w14:textId="51CE694D" w:rsidR="00113E67" w:rsidRDefault="00113E67" w:rsidP="00D34F97">
      <w:pPr>
        <w:numPr>
          <w:ilvl w:val="0"/>
          <w:numId w:val="105"/>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eastAsia="pl-PL"/>
        </w:rPr>
        <w:t xml:space="preserve">w przypadku </w:t>
      </w:r>
      <w:r>
        <w:rPr>
          <w:rFonts w:ascii="Times New Roman" w:eastAsia="Calibri" w:hAnsi="Times New Roman" w:cs="Times New Roman"/>
          <w:sz w:val="24"/>
          <w:szCs w:val="24"/>
          <w:lang w:val="x-none" w:eastAsia="pl-PL"/>
        </w:rPr>
        <w:t>14</w:t>
      </w:r>
      <w:r>
        <w:rPr>
          <w:rFonts w:ascii="Times New Roman" w:eastAsia="Calibri" w:hAnsi="Times New Roman" w:cs="Times New Roman"/>
          <w:sz w:val="24"/>
          <w:szCs w:val="24"/>
          <w:lang w:eastAsia="pl-PL"/>
        </w:rPr>
        <w:t>7 kontroli (59%) stwierdzono naruszenia</w:t>
      </w:r>
      <w:r w:rsidR="00434520">
        <w:rPr>
          <w:rFonts w:ascii="Times New Roman" w:eastAsia="Calibri" w:hAnsi="Times New Roman" w:cs="Times New Roman"/>
          <w:sz w:val="24"/>
          <w:szCs w:val="24"/>
          <w:lang w:eastAsia="pl-PL"/>
        </w:rPr>
        <w:t>,</w:t>
      </w:r>
      <w:r>
        <w:rPr>
          <w:rFonts w:ascii="Times New Roman" w:eastAsia="Calibri" w:hAnsi="Times New Roman" w:cs="Times New Roman"/>
          <w:sz w:val="24"/>
          <w:szCs w:val="24"/>
          <w:lang w:eastAsia="pl-PL"/>
        </w:rPr>
        <w:t xml:space="preserve"> </w:t>
      </w:r>
      <w:r>
        <w:rPr>
          <w:rFonts w:ascii="Times New Roman" w:eastAsia="Calibri" w:hAnsi="Times New Roman" w:cs="Times New Roman"/>
          <w:sz w:val="24"/>
          <w:szCs w:val="24"/>
          <w:lang w:val="x-none" w:eastAsia="pl-PL"/>
        </w:rPr>
        <w:t>w wyniku których nie nastąpiło zagrożenie lub zanieczyszczenie środowiska</w:t>
      </w:r>
      <w:r>
        <w:rPr>
          <w:rFonts w:ascii="Times New Roman" w:eastAsia="Calibri" w:hAnsi="Times New Roman" w:cs="Times New Roman"/>
          <w:sz w:val="24"/>
          <w:szCs w:val="24"/>
          <w:lang w:eastAsia="pl-PL"/>
        </w:rPr>
        <w:t>,</w:t>
      </w:r>
    </w:p>
    <w:p w14:paraId="11721F10" w14:textId="77777777" w:rsidR="00113E67" w:rsidRDefault="00113E67" w:rsidP="00D34F97">
      <w:pPr>
        <w:numPr>
          <w:ilvl w:val="0"/>
          <w:numId w:val="105"/>
        </w:numPr>
        <w:spacing w:after="120" w:line="300" w:lineRule="atLeast"/>
        <w:ind w:left="924" w:hanging="357"/>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eastAsia="pl-PL"/>
        </w:rPr>
        <w:t xml:space="preserve">w przypadku </w:t>
      </w:r>
      <w:r>
        <w:rPr>
          <w:rFonts w:ascii="Times New Roman" w:eastAsia="Calibri" w:hAnsi="Times New Roman" w:cs="Times New Roman"/>
          <w:sz w:val="24"/>
          <w:szCs w:val="24"/>
          <w:lang w:val="x-none" w:eastAsia="pl-PL"/>
        </w:rPr>
        <w:t>1</w:t>
      </w:r>
      <w:r>
        <w:rPr>
          <w:rFonts w:ascii="Times New Roman" w:eastAsia="Calibri" w:hAnsi="Times New Roman" w:cs="Times New Roman"/>
          <w:sz w:val="24"/>
          <w:szCs w:val="24"/>
          <w:lang w:eastAsia="pl-PL"/>
        </w:rPr>
        <w:t>04 kontroli</w:t>
      </w:r>
      <w:r>
        <w:rPr>
          <w:rFonts w:ascii="Times New Roman" w:eastAsia="Calibri" w:hAnsi="Times New Roman" w:cs="Times New Roman"/>
          <w:sz w:val="24"/>
          <w:szCs w:val="24"/>
          <w:lang w:val="x-none" w:eastAsia="pl-PL"/>
        </w:rPr>
        <w:t xml:space="preserve"> </w:t>
      </w:r>
      <w:r>
        <w:rPr>
          <w:rFonts w:ascii="Times New Roman" w:eastAsia="Calibri" w:hAnsi="Times New Roman" w:cs="Times New Roman"/>
          <w:sz w:val="24"/>
          <w:szCs w:val="24"/>
          <w:lang w:eastAsia="pl-PL"/>
        </w:rPr>
        <w:t xml:space="preserve">(41%) stwierdzono naruszenia, </w:t>
      </w:r>
      <w:r>
        <w:rPr>
          <w:rFonts w:ascii="Times New Roman" w:eastAsia="Calibri" w:hAnsi="Times New Roman" w:cs="Times New Roman"/>
          <w:sz w:val="24"/>
          <w:szCs w:val="24"/>
          <w:lang w:val="x-none" w:eastAsia="pl-PL"/>
        </w:rPr>
        <w:t>w wyniku których może nastąpić lub nastąpiło zanieczyszczenie środowiska</w:t>
      </w:r>
      <w:r>
        <w:rPr>
          <w:rFonts w:ascii="Times New Roman" w:eastAsia="Calibri" w:hAnsi="Times New Roman" w:cs="Times New Roman"/>
          <w:sz w:val="24"/>
          <w:szCs w:val="24"/>
          <w:lang w:eastAsia="pl-PL"/>
        </w:rPr>
        <w:t>.</w:t>
      </w:r>
      <w:r>
        <w:rPr>
          <w:rFonts w:ascii="Times New Roman" w:eastAsia="Calibri" w:hAnsi="Times New Roman" w:cs="Times New Roman"/>
          <w:sz w:val="24"/>
          <w:szCs w:val="24"/>
          <w:lang w:val="x-none" w:eastAsia="pl-PL"/>
        </w:rPr>
        <w:t xml:space="preserve"> </w:t>
      </w:r>
    </w:p>
    <w:p w14:paraId="621E6427" w14:textId="77777777" w:rsidR="00113E67" w:rsidRDefault="00113E67" w:rsidP="00434520">
      <w:pPr>
        <w:spacing w:after="60" w:line="300" w:lineRule="atLeast"/>
        <w:jc w:val="both"/>
        <w:rPr>
          <w:rFonts w:ascii="Times New Roman" w:hAnsi="Times New Roman" w:cs="Times New Roman"/>
          <w:sz w:val="24"/>
          <w:szCs w:val="24"/>
        </w:rPr>
      </w:pPr>
      <w:r>
        <w:rPr>
          <w:rFonts w:ascii="Times New Roman" w:hAnsi="Times New Roman" w:cs="Times New Roman"/>
          <w:sz w:val="24"/>
          <w:szCs w:val="24"/>
        </w:rPr>
        <w:t>Stwierdzone naruszenia to m.in.:</w:t>
      </w:r>
    </w:p>
    <w:p w14:paraId="42F526FA" w14:textId="77777777" w:rsidR="00113E67" w:rsidRDefault="00113E67" w:rsidP="00D34F97">
      <w:pPr>
        <w:numPr>
          <w:ilvl w:val="0"/>
          <w:numId w:val="106"/>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eastAsia="pl-PL"/>
        </w:rPr>
        <w:t>wy</w:t>
      </w:r>
      <w:proofErr w:type="spellStart"/>
      <w:r w:rsidRPr="00627860">
        <w:rPr>
          <w:rFonts w:ascii="Times New Roman" w:eastAsia="Calibri" w:hAnsi="Times New Roman" w:cs="Times New Roman"/>
          <w:sz w:val="24"/>
          <w:szCs w:val="24"/>
          <w:lang w:val="x-none" w:eastAsia="pl-PL"/>
        </w:rPr>
        <w:t>konywanie</w:t>
      </w:r>
      <w:proofErr w:type="spellEnd"/>
      <w:r w:rsidRPr="00627860">
        <w:rPr>
          <w:rFonts w:ascii="Times New Roman" w:eastAsia="Calibri" w:hAnsi="Times New Roman" w:cs="Times New Roman"/>
          <w:sz w:val="24"/>
          <w:szCs w:val="24"/>
          <w:lang w:val="x-none" w:eastAsia="pl-PL"/>
        </w:rPr>
        <w:t xml:space="preserve"> badań jakości i ilości ścieków oczyszczonych z nieprawidłową częstotliwością</w:t>
      </w:r>
      <w:r>
        <w:rPr>
          <w:rFonts w:ascii="Times New Roman" w:eastAsia="Calibri" w:hAnsi="Times New Roman" w:cs="Times New Roman"/>
          <w:sz w:val="24"/>
          <w:szCs w:val="24"/>
          <w:lang w:eastAsia="pl-PL"/>
        </w:rPr>
        <w:t>,</w:t>
      </w:r>
    </w:p>
    <w:p w14:paraId="51E5137F" w14:textId="77777777" w:rsidR="00113E67" w:rsidRDefault="00113E67" w:rsidP="00D34F97">
      <w:pPr>
        <w:numPr>
          <w:ilvl w:val="0"/>
          <w:numId w:val="106"/>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val="x-none" w:eastAsia="pl-PL"/>
        </w:rPr>
        <w:t>nieterminowe przekazywanie wyników pomiarów,</w:t>
      </w:r>
    </w:p>
    <w:p w14:paraId="5C29BE56" w14:textId="77777777" w:rsidR="00113E67" w:rsidRDefault="00113E67" w:rsidP="00D34F97">
      <w:pPr>
        <w:numPr>
          <w:ilvl w:val="0"/>
          <w:numId w:val="106"/>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eastAsia="pl-PL"/>
        </w:rPr>
        <w:t>n</w:t>
      </w:r>
      <w:proofErr w:type="spellStart"/>
      <w:r w:rsidRPr="00627860">
        <w:rPr>
          <w:rFonts w:ascii="Times New Roman" w:eastAsia="Calibri" w:hAnsi="Times New Roman" w:cs="Times New Roman"/>
          <w:sz w:val="24"/>
          <w:szCs w:val="24"/>
          <w:lang w:val="x-none" w:eastAsia="pl-PL"/>
        </w:rPr>
        <w:t>ieprzedkładanie</w:t>
      </w:r>
      <w:proofErr w:type="spellEnd"/>
      <w:r w:rsidRPr="00627860">
        <w:rPr>
          <w:rFonts w:ascii="Times New Roman" w:eastAsia="Calibri" w:hAnsi="Times New Roman" w:cs="Times New Roman"/>
          <w:sz w:val="24"/>
          <w:szCs w:val="24"/>
          <w:lang w:val="x-none" w:eastAsia="pl-PL"/>
        </w:rPr>
        <w:t xml:space="preserve"> wyników pomiarów wojewódzkiemu inspektorowi ochrony środowiska</w:t>
      </w:r>
      <w:r>
        <w:rPr>
          <w:rFonts w:ascii="Times New Roman" w:eastAsia="Calibri" w:hAnsi="Times New Roman" w:cs="Times New Roman"/>
          <w:sz w:val="24"/>
          <w:szCs w:val="24"/>
          <w:lang w:eastAsia="pl-PL"/>
        </w:rPr>
        <w:t>,</w:t>
      </w:r>
    </w:p>
    <w:p w14:paraId="4877C2DB" w14:textId="77777777" w:rsidR="00113E67" w:rsidRDefault="00113E67" w:rsidP="00D34F97">
      <w:pPr>
        <w:numPr>
          <w:ilvl w:val="0"/>
          <w:numId w:val="106"/>
        </w:numPr>
        <w:spacing w:after="0" w:line="300" w:lineRule="atLeast"/>
        <w:ind w:left="924" w:hanging="357"/>
        <w:contextualSpacing/>
        <w:jc w:val="both"/>
        <w:rPr>
          <w:rFonts w:ascii="Times New Roman" w:eastAsia="Calibri" w:hAnsi="Times New Roman" w:cs="Times New Roman"/>
          <w:sz w:val="24"/>
          <w:szCs w:val="24"/>
          <w:lang w:val="x-none" w:eastAsia="pl-PL"/>
        </w:rPr>
      </w:pPr>
      <w:r w:rsidRPr="00627860">
        <w:rPr>
          <w:rFonts w:ascii="Times New Roman" w:eastAsia="Calibri" w:hAnsi="Times New Roman" w:cs="Times New Roman"/>
          <w:sz w:val="24"/>
          <w:szCs w:val="24"/>
          <w:lang w:val="x-none" w:eastAsia="pl-PL"/>
        </w:rPr>
        <w:t>nieutrzymywanie w należytym stanie technicznym odbiornika ścieków</w:t>
      </w:r>
      <w:r>
        <w:rPr>
          <w:rFonts w:ascii="Times New Roman" w:eastAsia="Calibri" w:hAnsi="Times New Roman" w:cs="Times New Roman"/>
          <w:sz w:val="24"/>
          <w:szCs w:val="24"/>
          <w:lang w:val="x-none" w:eastAsia="pl-PL"/>
        </w:rPr>
        <w:t>,</w:t>
      </w:r>
    </w:p>
    <w:p w14:paraId="357B2EB1" w14:textId="77777777" w:rsidR="00113E67" w:rsidRDefault="00113E67" w:rsidP="00D34F97">
      <w:pPr>
        <w:numPr>
          <w:ilvl w:val="0"/>
          <w:numId w:val="106"/>
        </w:numPr>
        <w:spacing w:after="0" w:line="300" w:lineRule="atLeast"/>
        <w:ind w:left="924" w:hanging="357"/>
        <w:contextualSpacing/>
        <w:jc w:val="both"/>
        <w:rPr>
          <w:rFonts w:ascii="Times New Roman" w:hAnsi="Times New Roman" w:cs="Times New Roman"/>
          <w:sz w:val="24"/>
          <w:szCs w:val="24"/>
        </w:rPr>
      </w:pPr>
      <w:r w:rsidRPr="00627860">
        <w:rPr>
          <w:rFonts w:ascii="Times New Roman" w:eastAsia="Calibri" w:hAnsi="Times New Roman" w:cs="Times New Roman"/>
          <w:sz w:val="24"/>
          <w:szCs w:val="24"/>
          <w:lang w:val="x-none" w:eastAsia="pl-PL"/>
        </w:rPr>
        <w:t>nierzetelne wypełnienie układów przekazywanych wyników pomiarów ilości i</w:t>
      </w:r>
      <w:r>
        <w:rPr>
          <w:rFonts w:ascii="Times New Roman" w:eastAsia="Calibri" w:hAnsi="Times New Roman" w:cs="Times New Roman"/>
          <w:sz w:val="24"/>
          <w:szCs w:val="24"/>
          <w:lang w:eastAsia="pl-PL"/>
        </w:rPr>
        <w:t> </w:t>
      </w:r>
      <w:r w:rsidRPr="00627860">
        <w:rPr>
          <w:rFonts w:ascii="Times New Roman" w:eastAsia="Calibri" w:hAnsi="Times New Roman" w:cs="Times New Roman"/>
          <w:sz w:val="24"/>
          <w:szCs w:val="24"/>
          <w:lang w:val="x-none" w:eastAsia="pl-PL"/>
        </w:rPr>
        <w:t>jakości ścieków wprowadzanych do wód lub do ziemi</w:t>
      </w:r>
      <w:r>
        <w:rPr>
          <w:rFonts w:ascii="Times New Roman" w:eastAsia="Calibri" w:hAnsi="Times New Roman" w:cs="Times New Roman"/>
          <w:sz w:val="24"/>
          <w:szCs w:val="24"/>
          <w:lang w:eastAsia="pl-PL"/>
        </w:rPr>
        <w:t>.</w:t>
      </w:r>
    </w:p>
    <w:p w14:paraId="51BAFBB0" w14:textId="77777777" w:rsidR="00113E67" w:rsidRDefault="00113E67" w:rsidP="00D34F97">
      <w:pPr>
        <w:numPr>
          <w:ilvl w:val="0"/>
          <w:numId w:val="107"/>
        </w:numPr>
        <w:spacing w:after="0" w:line="300" w:lineRule="atLeast"/>
        <w:ind w:left="924" w:hanging="357"/>
        <w:contextualSpacing/>
        <w:jc w:val="both"/>
        <w:rPr>
          <w:rFonts w:ascii="Times New Roman" w:eastAsia="Calibri" w:hAnsi="Times New Roman" w:cs="Times New Roman"/>
          <w:sz w:val="24"/>
          <w:szCs w:val="24"/>
          <w:lang w:val="x-none" w:eastAsia="pl-PL"/>
        </w:rPr>
      </w:pPr>
      <w:r w:rsidRPr="00CA524C">
        <w:rPr>
          <w:rFonts w:ascii="Times New Roman" w:eastAsia="Calibri" w:hAnsi="Times New Roman" w:cs="Times New Roman"/>
          <w:sz w:val="24"/>
          <w:szCs w:val="24"/>
          <w:lang w:val="x-none" w:eastAsia="pl-PL"/>
        </w:rPr>
        <w:t>wylewanie ścieków dowożonych na poletka osadowe</w:t>
      </w:r>
      <w:r>
        <w:rPr>
          <w:rFonts w:ascii="Times New Roman" w:eastAsia="Calibri" w:hAnsi="Times New Roman" w:cs="Times New Roman"/>
          <w:sz w:val="24"/>
          <w:szCs w:val="24"/>
          <w:lang w:val="x-none" w:eastAsia="pl-PL"/>
        </w:rPr>
        <w:t>,</w:t>
      </w:r>
    </w:p>
    <w:p w14:paraId="0D568268" w14:textId="77777777" w:rsidR="00113E67" w:rsidRDefault="00113E67" w:rsidP="00D34F97">
      <w:pPr>
        <w:numPr>
          <w:ilvl w:val="0"/>
          <w:numId w:val="107"/>
        </w:numPr>
        <w:spacing w:after="0" w:line="300" w:lineRule="atLeast"/>
        <w:ind w:left="924" w:hanging="357"/>
        <w:contextualSpacing/>
        <w:jc w:val="both"/>
        <w:rPr>
          <w:rFonts w:ascii="Times New Roman" w:eastAsia="Calibri" w:hAnsi="Times New Roman" w:cs="Times New Roman"/>
          <w:sz w:val="24"/>
          <w:szCs w:val="24"/>
          <w:lang w:val="x-none" w:eastAsia="pl-PL"/>
        </w:rPr>
      </w:pPr>
      <w:r w:rsidRPr="00CA524C">
        <w:rPr>
          <w:rFonts w:ascii="Times New Roman" w:eastAsia="Calibri" w:hAnsi="Times New Roman" w:cs="Times New Roman"/>
          <w:sz w:val="24"/>
          <w:szCs w:val="24"/>
          <w:lang w:val="x-none" w:eastAsia="pl-PL"/>
        </w:rPr>
        <w:lastRenderedPageBreak/>
        <w:t>niezapewnienie ochrony wód poprzez odprowadzanie do rowu melioracyjnego nieoczyszczonych ścieków</w:t>
      </w:r>
      <w:r>
        <w:rPr>
          <w:rFonts w:ascii="Times New Roman" w:eastAsia="Calibri" w:hAnsi="Times New Roman" w:cs="Times New Roman"/>
          <w:sz w:val="24"/>
          <w:szCs w:val="24"/>
          <w:lang w:val="x-none" w:eastAsia="pl-PL"/>
        </w:rPr>
        <w:t>,</w:t>
      </w:r>
    </w:p>
    <w:p w14:paraId="4AD57FBC" w14:textId="77777777" w:rsidR="00113E67" w:rsidRDefault="00113E67" w:rsidP="00D34F97">
      <w:pPr>
        <w:numPr>
          <w:ilvl w:val="0"/>
          <w:numId w:val="107"/>
        </w:numPr>
        <w:spacing w:after="0" w:line="300" w:lineRule="atLeast"/>
        <w:ind w:left="924" w:hanging="357"/>
        <w:contextualSpacing/>
        <w:jc w:val="both"/>
        <w:rPr>
          <w:rFonts w:ascii="Times New Roman" w:eastAsia="Calibri" w:hAnsi="Times New Roman" w:cs="Times New Roman"/>
          <w:sz w:val="24"/>
          <w:szCs w:val="24"/>
          <w:lang w:val="x-none" w:eastAsia="pl-PL"/>
        </w:rPr>
      </w:pPr>
      <w:r w:rsidRPr="00CA524C">
        <w:rPr>
          <w:rFonts w:ascii="Times New Roman" w:eastAsia="Calibri" w:hAnsi="Times New Roman" w:cs="Times New Roman"/>
          <w:sz w:val="24"/>
          <w:szCs w:val="24"/>
          <w:lang w:val="x-none" w:eastAsia="pl-PL"/>
        </w:rPr>
        <w:t>przekroczenie dopuszczalnych stężeń zanieczyszczeń w odprowadzanych ściekach</w:t>
      </w:r>
      <w:r>
        <w:rPr>
          <w:rFonts w:ascii="Times New Roman" w:eastAsia="Calibri" w:hAnsi="Times New Roman" w:cs="Times New Roman"/>
          <w:sz w:val="24"/>
          <w:szCs w:val="24"/>
          <w:lang w:val="x-none" w:eastAsia="pl-PL"/>
        </w:rPr>
        <w:t>,</w:t>
      </w:r>
    </w:p>
    <w:p w14:paraId="7B9232B9" w14:textId="77777777" w:rsidR="00113E67" w:rsidRDefault="00113E67" w:rsidP="00D34F97">
      <w:pPr>
        <w:numPr>
          <w:ilvl w:val="0"/>
          <w:numId w:val="107"/>
        </w:numPr>
        <w:spacing w:after="0" w:line="300" w:lineRule="atLeast"/>
        <w:ind w:left="924" w:hanging="357"/>
        <w:contextualSpacing/>
        <w:jc w:val="both"/>
        <w:rPr>
          <w:rFonts w:ascii="Times New Roman" w:eastAsia="Calibri" w:hAnsi="Times New Roman" w:cs="Times New Roman"/>
          <w:sz w:val="24"/>
          <w:szCs w:val="24"/>
          <w:lang w:val="x-none" w:eastAsia="pl-PL"/>
        </w:rPr>
      </w:pPr>
      <w:r w:rsidRPr="00CA524C">
        <w:rPr>
          <w:rFonts w:ascii="Times New Roman" w:eastAsia="Calibri" w:hAnsi="Times New Roman" w:cs="Times New Roman"/>
          <w:sz w:val="24"/>
          <w:szCs w:val="24"/>
          <w:lang w:val="x-none" w:eastAsia="pl-PL"/>
        </w:rPr>
        <w:t>nieutrzymywanie właściwego stanu technicznego urządzeń oczyszczających</w:t>
      </w:r>
      <w:r>
        <w:rPr>
          <w:rFonts w:ascii="Times New Roman" w:eastAsia="Calibri" w:hAnsi="Times New Roman" w:cs="Times New Roman"/>
          <w:sz w:val="24"/>
          <w:szCs w:val="24"/>
          <w:lang w:val="x-none" w:eastAsia="pl-PL"/>
        </w:rPr>
        <w:t>,</w:t>
      </w:r>
    </w:p>
    <w:p w14:paraId="32B0E4D6" w14:textId="77777777" w:rsidR="00113E67" w:rsidRDefault="00113E67" w:rsidP="00D34F97">
      <w:pPr>
        <w:numPr>
          <w:ilvl w:val="0"/>
          <w:numId w:val="107"/>
        </w:numPr>
        <w:spacing w:after="120" w:line="300" w:lineRule="atLeast"/>
        <w:ind w:left="924" w:hanging="357"/>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val="x-none" w:eastAsia="pl-PL"/>
        </w:rPr>
        <w:t>odprowadzanie ścieków bez wymaganego pozwolenia wodnoprawnego.</w:t>
      </w:r>
    </w:p>
    <w:p w14:paraId="4747A282" w14:textId="77777777" w:rsidR="00113E67" w:rsidRDefault="00113E67" w:rsidP="00434520">
      <w:pPr>
        <w:spacing w:after="60" w:line="300" w:lineRule="atLeast"/>
        <w:jc w:val="both"/>
        <w:rPr>
          <w:rFonts w:ascii="Times New Roman" w:hAnsi="Times New Roman" w:cs="Times New Roman"/>
          <w:sz w:val="24"/>
          <w:szCs w:val="24"/>
        </w:rPr>
      </w:pPr>
      <w:r>
        <w:rPr>
          <w:rFonts w:ascii="Times New Roman" w:hAnsi="Times New Roman" w:cs="Times New Roman"/>
          <w:sz w:val="24"/>
          <w:szCs w:val="24"/>
        </w:rPr>
        <w:t>W związku ze stwierdzonymi nieprawidłowościami:</w:t>
      </w:r>
    </w:p>
    <w:p w14:paraId="22323AFB" w14:textId="77777777" w:rsidR="00113E67" w:rsidRDefault="00113E67" w:rsidP="00D34F97">
      <w:pPr>
        <w:numPr>
          <w:ilvl w:val="0"/>
          <w:numId w:val="108"/>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val="x-none" w:eastAsia="pl-PL"/>
        </w:rPr>
        <w:t xml:space="preserve">wydano </w:t>
      </w:r>
      <w:r>
        <w:rPr>
          <w:rFonts w:ascii="Times New Roman" w:eastAsia="Calibri" w:hAnsi="Times New Roman" w:cs="Times New Roman"/>
          <w:sz w:val="24"/>
          <w:szCs w:val="24"/>
          <w:lang w:eastAsia="pl-PL"/>
        </w:rPr>
        <w:t>192</w:t>
      </w:r>
      <w:r>
        <w:rPr>
          <w:rFonts w:ascii="Times New Roman" w:eastAsia="Calibri" w:hAnsi="Times New Roman" w:cs="Times New Roman"/>
          <w:sz w:val="24"/>
          <w:szCs w:val="24"/>
          <w:lang w:val="x-none" w:eastAsia="pl-PL"/>
        </w:rPr>
        <w:t xml:space="preserve"> zarządze</w:t>
      </w:r>
      <w:r>
        <w:rPr>
          <w:rFonts w:ascii="Times New Roman" w:eastAsia="Calibri" w:hAnsi="Times New Roman" w:cs="Times New Roman"/>
          <w:sz w:val="24"/>
          <w:szCs w:val="24"/>
          <w:lang w:eastAsia="pl-PL"/>
        </w:rPr>
        <w:t>nia</w:t>
      </w:r>
      <w:r>
        <w:rPr>
          <w:rFonts w:ascii="Times New Roman" w:eastAsia="Calibri" w:hAnsi="Times New Roman" w:cs="Times New Roman"/>
          <w:sz w:val="24"/>
          <w:szCs w:val="24"/>
          <w:lang w:val="x-none" w:eastAsia="pl-PL"/>
        </w:rPr>
        <w:t xml:space="preserve"> pokontroln</w:t>
      </w:r>
      <w:r>
        <w:rPr>
          <w:rFonts w:ascii="Times New Roman" w:eastAsia="Calibri" w:hAnsi="Times New Roman" w:cs="Times New Roman"/>
          <w:sz w:val="24"/>
          <w:szCs w:val="24"/>
          <w:lang w:eastAsia="pl-PL"/>
        </w:rPr>
        <w:t>e</w:t>
      </w:r>
      <w:r>
        <w:rPr>
          <w:rFonts w:ascii="Times New Roman" w:eastAsia="Calibri" w:hAnsi="Times New Roman" w:cs="Times New Roman"/>
          <w:sz w:val="24"/>
          <w:szCs w:val="24"/>
          <w:lang w:val="x-none" w:eastAsia="pl-PL"/>
        </w:rPr>
        <w:t>,</w:t>
      </w:r>
    </w:p>
    <w:p w14:paraId="7C0D7C48" w14:textId="77777777" w:rsidR="00113E67" w:rsidRDefault="00113E67" w:rsidP="00D34F97">
      <w:pPr>
        <w:numPr>
          <w:ilvl w:val="0"/>
          <w:numId w:val="108"/>
        </w:numPr>
        <w:spacing w:after="0" w:line="300" w:lineRule="atLeast"/>
        <w:ind w:left="924" w:hanging="357"/>
        <w:contextualSpacing/>
        <w:jc w:val="both"/>
        <w:rPr>
          <w:rFonts w:ascii="Times New Roman" w:eastAsia="Calibri" w:hAnsi="Times New Roman" w:cs="Times New Roman"/>
          <w:sz w:val="24"/>
          <w:szCs w:val="24"/>
          <w:lang w:val="x-none" w:eastAsia="pl-PL"/>
        </w:rPr>
      </w:pPr>
      <w:r w:rsidRPr="00CA524C">
        <w:rPr>
          <w:rFonts w:ascii="Times New Roman" w:eastAsia="Calibri" w:hAnsi="Times New Roman" w:cs="Times New Roman"/>
          <w:sz w:val="24"/>
          <w:szCs w:val="24"/>
          <w:lang w:val="x-none" w:eastAsia="pl-PL"/>
        </w:rPr>
        <w:t>skierowano 7</w:t>
      </w:r>
      <w:r>
        <w:rPr>
          <w:rFonts w:ascii="Times New Roman" w:eastAsia="Calibri" w:hAnsi="Times New Roman" w:cs="Times New Roman"/>
          <w:sz w:val="24"/>
          <w:szCs w:val="24"/>
          <w:lang w:eastAsia="pl-PL"/>
        </w:rPr>
        <w:t>7</w:t>
      </w:r>
      <w:r w:rsidRPr="00CA524C">
        <w:rPr>
          <w:rFonts w:ascii="Times New Roman" w:eastAsia="Calibri" w:hAnsi="Times New Roman" w:cs="Times New Roman"/>
          <w:sz w:val="24"/>
          <w:szCs w:val="24"/>
          <w:lang w:val="x-none" w:eastAsia="pl-PL"/>
        </w:rPr>
        <w:t xml:space="preserve"> wystąpień pokontrolnych do</w:t>
      </w:r>
      <w:r>
        <w:rPr>
          <w:rFonts w:ascii="Times New Roman" w:eastAsia="Calibri" w:hAnsi="Times New Roman" w:cs="Times New Roman"/>
          <w:sz w:val="24"/>
          <w:szCs w:val="24"/>
          <w:lang w:eastAsia="pl-PL"/>
        </w:rPr>
        <w:t xml:space="preserve"> organów PGW WP,</w:t>
      </w:r>
    </w:p>
    <w:p w14:paraId="2C65D2D7" w14:textId="77777777" w:rsidR="00113E67" w:rsidRDefault="00113E67" w:rsidP="00D34F97">
      <w:pPr>
        <w:numPr>
          <w:ilvl w:val="0"/>
          <w:numId w:val="108"/>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val="x-none" w:eastAsia="pl-PL"/>
        </w:rPr>
        <w:t xml:space="preserve">skierowano </w:t>
      </w:r>
      <w:r>
        <w:rPr>
          <w:rFonts w:ascii="Times New Roman" w:eastAsia="Calibri" w:hAnsi="Times New Roman" w:cs="Times New Roman"/>
          <w:sz w:val="24"/>
          <w:szCs w:val="24"/>
          <w:lang w:eastAsia="pl-PL"/>
        </w:rPr>
        <w:t>51</w:t>
      </w:r>
      <w:r>
        <w:rPr>
          <w:rFonts w:ascii="Times New Roman" w:eastAsia="Calibri" w:hAnsi="Times New Roman" w:cs="Times New Roman"/>
          <w:sz w:val="24"/>
          <w:szCs w:val="24"/>
          <w:lang w:val="x-none" w:eastAsia="pl-PL"/>
        </w:rPr>
        <w:t xml:space="preserve"> wystąpień pokontrolnych do innych organów,</w:t>
      </w:r>
    </w:p>
    <w:p w14:paraId="59563F2C" w14:textId="77777777" w:rsidR="00113E67" w:rsidRDefault="00113E67" w:rsidP="00D34F97">
      <w:pPr>
        <w:numPr>
          <w:ilvl w:val="0"/>
          <w:numId w:val="108"/>
        </w:numPr>
        <w:spacing w:after="120" w:line="300" w:lineRule="atLeast"/>
        <w:ind w:left="924" w:hanging="357"/>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val="x-none" w:eastAsia="pl-PL"/>
        </w:rPr>
        <w:t xml:space="preserve">wydano </w:t>
      </w:r>
      <w:r>
        <w:rPr>
          <w:rFonts w:ascii="Times New Roman" w:eastAsia="Calibri" w:hAnsi="Times New Roman" w:cs="Times New Roman"/>
          <w:sz w:val="24"/>
          <w:szCs w:val="24"/>
          <w:lang w:eastAsia="pl-PL"/>
        </w:rPr>
        <w:t>3</w:t>
      </w:r>
      <w:r>
        <w:rPr>
          <w:rFonts w:ascii="Times New Roman" w:eastAsia="Calibri" w:hAnsi="Times New Roman" w:cs="Times New Roman"/>
          <w:sz w:val="24"/>
          <w:szCs w:val="24"/>
          <w:lang w:val="x-none" w:eastAsia="pl-PL"/>
        </w:rPr>
        <w:t>0 decyzji wymierzających opłaty podwyższone za wprowadzanie ścieków do wód lub do ziemi</w:t>
      </w:r>
      <w:r>
        <w:rPr>
          <w:rFonts w:ascii="Times New Roman" w:eastAsia="Calibri" w:hAnsi="Times New Roman" w:cs="Times New Roman"/>
          <w:sz w:val="24"/>
          <w:szCs w:val="24"/>
          <w:lang w:eastAsia="pl-PL"/>
        </w:rPr>
        <w:t xml:space="preserve"> z przekroczeniem warunków pozwolenia.</w:t>
      </w:r>
    </w:p>
    <w:p w14:paraId="5CC2563F" w14:textId="77777777" w:rsidR="00113E67" w:rsidRDefault="00113E67" w:rsidP="00434520">
      <w:pPr>
        <w:spacing w:after="0" w:line="300" w:lineRule="atLeast"/>
        <w:ind w:firstLine="567"/>
        <w:jc w:val="both"/>
        <w:rPr>
          <w:rFonts w:ascii="Times New Roman" w:hAnsi="Times New Roman" w:cs="Times New Roman"/>
          <w:sz w:val="24"/>
          <w:szCs w:val="24"/>
        </w:rPr>
      </w:pPr>
      <w:r>
        <w:rPr>
          <w:rFonts w:ascii="Times New Roman" w:hAnsi="Times New Roman" w:cs="Times New Roman"/>
          <w:sz w:val="24"/>
          <w:szCs w:val="24"/>
        </w:rPr>
        <w:t xml:space="preserve">W 2022 r. wojewódzcy inspektorzy ochrony środowiska przeprowadzili 1 118 kontroli </w:t>
      </w:r>
      <w:proofErr w:type="spellStart"/>
      <w:r>
        <w:rPr>
          <w:rFonts w:ascii="Times New Roman" w:hAnsi="Times New Roman" w:cs="Times New Roman"/>
          <w:sz w:val="24"/>
          <w:szCs w:val="24"/>
        </w:rPr>
        <w:t>automonitoringowych</w:t>
      </w:r>
      <w:proofErr w:type="spellEnd"/>
      <w:r>
        <w:rPr>
          <w:rFonts w:ascii="Times New Roman" w:hAnsi="Times New Roman" w:cs="Times New Roman"/>
          <w:sz w:val="24"/>
          <w:szCs w:val="24"/>
        </w:rPr>
        <w:t xml:space="preserve"> oczyszczalni ścieków nieuwzględnionych w KPOŚK, z których odprowadzane są ścieki bytowe i komunalne. </w:t>
      </w:r>
    </w:p>
    <w:p w14:paraId="267391DE" w14:textId="77777777" w:rsidR="00113E67" w:rsidRDefault="00113E67" w:rsidP="00056EE7">
      <w:pPr>
        <w:spacing w:after="0" w:line="300" w:lineRule="atLeast"/>
        <w:jc w:val="both"/>
        <w:rPr>
          <w:rFonts w:ascii="Times New Roman" w:hAnsi="Times New Roman" w:cs="Times New Roman"/>
          <w:sz w:val="24"/>
          <w:szCs w:val="24"/>
        </w:rPr>
      </w:pPr>
      <w:r>
        <w:rPr>
          <w:rFonts w:ascii="Times New Roman" w:hAnsi="Times New Roman" w:cs="Times New Roman"/>
          <w:sz w:val="24"/>
          <w:szCs w:val="24"/>
        </w:rPr>
        <w:t>W wyniku przeprowadzonych czynności kontrolnych stwierdzono 197 naruszeń.</w:t>
      </w:r>
    </w:p>
    <w:p w14:paraId="24CB12BE" w14:textId="4BEE1FD7" w:rsidR="00434520" w:rsidRPr="007F400A" w:rsidRDefault="00113E67" w:rsidP="00741E48">
      <w:pPr>
        <w:spacing w:after="120" w:line="300" w:lineRule="atLeast"/>
        <w:ind w:firstLine="567"/>
        <w:jc w:val="both"/>
        <w:rPr>
          <w:rFonts w:ascii="Times New Roman" w:hAnsi="Times New Roman" w:cs="Times New Roman"/>
          <w:sz w:val="24"/>
          <w:szCs w:val="24"/>
        </w:rPr>
      </w:pPr>
      <w:r>
        <w:rPr>
          <w:rFonts w:ascii="Times New Roman" w:hAnsi="Times New Roman" w:cs="Times New Roman"/>
          <w:sz w:val="24"/>
          <w:szCs w:val="24"/>
        </w:rPr>
        <w:t>W związku ze stwierdzonym przekroczeniem warunków pozwolenia w zakresie ilości i jakości ścieków wprowadzanych do wód lub do ziemi wydano 92 decyzje wymierzające opłaty podwyższone</w:t>
      </w:r>
      <w:r w:rsidR="00C337B4">
        <w:rPr>
          <w:rFonts w:ascii="Times New Roman" w:hAnsi="Times New Roman" w:cs="Times New Roman"/>
          <w:sz w:val="24"/>
          <w:szCs w:val="24"/>
        </w:rPr>
        <w:t>.</w:t>
      </w:r>
    </w:p>
    <w:p w14:paraId="73E233F8" w14:textId="77777777" w:rsidR="00895F16" w:rsidRPr="007F400A" w:rsidRDefault="00895F16" w:rsidP="00434520">
      <w:pPr>
        <w:spacing w:after="60" w:line="300" w:lineRule="atLeast"/>
        <w:jc w:val="both"/>
        <w:rPr>
          <w:rFonts w:ascii="Times New Roman" w:hAnsi="Times New Roman" w:cs="Times New Roman"/>
          <w:sz w:val="24"/>
          <w:szCs w:val="24"/>
        </w:rPr>
      </w:pPr>
      <w:r w:rsidRPr="007F400A">
        <w:rPr>
          <w:rFonts w:ascii="Times New Roman" w:hAnsi="Times New Roman" w:cs="Times New Roman"/>
          <w:b/>
          <w:sz w:val="24"/>
          <w:szCs w:val="24"/>
        </w:rPr>
        <w:t>b) kontrole oczyszczalni ścieków uwzględnionych w KPOŚK, z których odprowadzane są ścieki bytowe i komunalne</w:t>
      </w:r>
    </w:p>
    <w:p w14:paraId="02433DB5" w14:textId="77777777" w:rsidR="00113E67" w:rsidRDefault="00113E67" w:rsidP="00434520">
      <w:pPr>
        <w:spacing w:after="60" w:line="300" w:lineRule="atLeast"/>
        <w:ind w:firstLine="567"/>
        <w:jc w:val="both"/>
        <w:rPr>
          <w:rFonts w:ascii="Times New Roman" w:hAnsi="Times New Roman" w:cs="Times New Roman"/>
          <w:sz w:val="24"/>
          <w:szCs w:val="24"/>
        </w:rPr>
      </w:pPr>
      <w:r>
        <w:rPr>
          <w:rFonts w:ascii="Times New Roman" w:hAnsi="Times New Roman" w:cs="Times New Roman"/>
          <w:sz w:val="24"/>
          <w:szCs w:val="24"/>
        </w:rPr>
        <w:t>W 2022 r. wojewódzcy inspektorzy ochrony środowiska przeprowadzili w terenie 478 kontroli oczyszczalni ścieków uwzględnionych w KPOŚK, z których odprowadzane są ścieki bytowe i komunalne. W wyniku przeprowadzonych czynności kontrolnych, podczas 340 kontroli stwierdzono naruszenia, w tym:</w:t>
      </w:r>
    </w:p>
    <w:p w14:paraId="68A30CA3" w14:textId="77777777" w:rsidR="00113E67" w:rsidRDefault="00113E67" w:rsidP="00D34F97">
      <w:pPr>
        <w:numPr>
          <w:ilvl w:val="0"/>
          <w:numId w:val="109"/>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eastAsia="pl-PL"/>
        </w:rPr>
        <w:t xml:space="preserve">w przypadku </w:t>
      </w:r>
      <w:r>
        <w:rPr>
          <w:rFonts w:ascii="Times New Roman" w:eastAsia="Calibri" w:hAnsi="Times New Roman" w:cs="Times New Roman"/>
          <w:sz w:val="24"/>
          <w:szCs w:val="24"/>
          <w:lang w:val="x-none" w:eastAsia="pl-PL"/>
        </w:rPr>
        <w:t>2</w:t>
      </w:r>
      <w:r>
        <w:rPr>
          <w:rFonts w:ascii="Times New Roman" w:eastAsia="Calibri" w:hAnsi="Times New Roman" w:cs="Times New Roman"/>
          <w:sz w:val="24"/>
          <w:szCs w:val="24"/>
          <w:lang w:eastAsia="pl-PL"/>
        </w:rPr>
        <w:t>01 kontroli</w:t>
      </w:r>
      <w:r>
        <w:rPr>
          <w:rFonts w:ascii="Times New Roman" w:eastAsia="Calibri" w:hAnsi="Times New Roman" w:cs="Times New Roman"/>
          <w:sz w:val="24"/>
          <w:szCs w:val="24"/>
          <w:lang w:val="x-none" w:eastAsia="pl-PL"/>
        </w:rPr>
        <w:t xml:space="preserve"> </w:t>
      </w:r>
      <w:r>
        <w:rPr>
          <w:rFonts w:ascii="Times New Roman" w:eastAsia="Calibri" w:hAnsi="Times New Roman" w:cs="Times New Roman"/>
          <w:sz w:val="24"/>
          <w:szCs w:val="24"/>
          <w:lang w:eastAsia="pl-PL"/>
        </w:rPr>
        <w:t xml:space="preserve">(59%) stwierdzono naruszenia, </w:t>
      </w:r>
      <w:r>
        <w:rPr>
          <w:rFonts w:ascii="Times New Roman" w:eastAsia="Calibri" w:hAnsi="Times New Roman" w:cs="Times New Roman"/>
          <w:sz w:val="24"/>
          <w:szCs w:val="24"/>
          <w:lang w:val="x-none" w:eastAsia="pl-PL"/>
        </w:rPr>
        <w:t>w wyniku których nie nastąpiło zagrożenie lub zanieczyszczenie środowiska</w:t>
      </w:r>
      <w:r>
        <w:rPr>
          <w:rFonts w:ascii="Times New Roman" w:eastAsia="Calibri" w:hAnsi="Times New Roman" w:cs="Times New Roman"/>
          <w:sz w:val="24"/>
          <w:szCs w:val="24"/>
          <w:lang w:eastAsia="pl-PL"/>
        </w:rPr>
        <w:t>,</w:t>
      </w:r>
    </w:p>
    <w:p w14:paraId="5228B8C9" w14:textId="0332BF5F" w:rsidR="00113E67" w:rsidRDefault="00113E67" w:rsidP="00D34F97">
      <w:pPr>
        <w:numPr>
          <w:ilvl w:val="0"/>
          <w:numId w:val="109"/>
        </w:numPr>
        <w:spacing w:after="60" w:line="300" w:lineRule="atLeast"/>
        <w:ind w:left="924" w:hanging="357"/>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eastAsia="pl-PL"/>
        </w:rPr>
        <w:t xml:space="preserve">w przypadku </w:t>
      </w:r>
      <w:r>
        <w:rPr>
          <w:rFonts w:ascii="Times New Roman" w:eastAsia="Calibri" w:hAnsi="Times New Roman" w:cs="Times New Roman"/>
          <w:sz w:val="24"/>
          <w:szCs w:val="24"/>
          <w:lang w:val="x-none" w:eastAsia="pl-PL"/>
        </w:rPr>
        <w:t>1</w:t>
      </w:r>
      <w:r>
        <w:rPr>
          <w:rFonts w:ascii="Times New Roman" w:eastAsia="Calibri" w:hAnsi="Times New Roman" w:cs="Times New Roman"/>
          <w:sz w:val="24"/>
          <w:szCs w:val="24"/>
          <w:lang w:eastAsia="pl-PL"/>
        </w:rPr>
        <w:t>39 kontroli (41%) stwierdzono</w:t>
      </w:r>
      <w:r>
        <w:rPr>
          <w:rFonts w:ascii="Times New Roman" w:eastAsia="Calibri" w:hAnsi="Times New Roman" w:cs="Times New Roman"/>
          <w:sz w:val="24"/>
          <w:szCs w:val="24"/>
          <w:lang w:val="x-none" w:eastAsia="pl-PL"/>
        </w:rPr>
        <w:t xml:space="preserve"> </w:t>
      </w:r>
      <w:r>
        <w:rPr>
          <w:rFonts w:ascii="Times New Roman" w:eastAsia="Calibri" w:hAnsi="Times New Roman" w:cs="Times New Roman"/>
          <w:sz w:val="24"/>
          <w:szCs w:val="24"/>
          <w:lang w:eastAsia="pl-PL"/>
        </w:rPr>
        <w:t xml:space="preserve">naruszenia, </w:t>
      </w:r>
      <w:r>
        <w:rPr>
          <w:rFonts w:ascii="Times New Roman" w:eastAsia="Calibri" w:hAnsi="Times New Roman" w:cs="Times New Roman"/>
          <w:sz w:val="24"/>
          <w:szCs w:val="24"/>
          <w:lang w:val="x-none" w:eastAsia="pl-PL"/>
        </w:rPr>
        <w:t>w wyniku których mo</w:t>
      </w:r>
      <w:r w:rsidR="00434520">
        <w:rPr>
          <w:rFonts w:ascii="Times New Roman" w:eastAsia="Calibri" w:hAnsi="Times New Roman" w:cs="Times New Roman"/>
          <w:sz w:val="24"/>
          <w:szCs w:val="24"/>
          <w:lang w:eastAsia="pl-PL"/>
        </w:rPr>
        <w:t>że</w:t>
      </w:r>
      <w:r>
        <w:rPr>
          <w:rFonts w:ascii="Times New Roman" w:eastAsia="Calibri" w:hAnsi="Times New Roman" w:cs="Times New Roman"/>
          <w:sz w:val="24"/>
          <w:szCs w:val="24"/>
          <w:lang w:val="x-none" w:eastAsia="pl-PL"/>
        </w:rPr>
        <w:t xml:space="preserve"> nastąpić lub nastąpiło zanieczyszczenie środowiska</w:t>
      </w:r>
      <w:r>
        <w:rPr>
          <w:rFonts w:ascii="Times New Roman" w:eastAsia="Calibri" w:hAnsi="Times New Roman" w:cs="Times New Roman"/>
          <w:sz w:val="24"/>
          <w:szCs w:val="24"/>
          <w:lang w:eastAsia="pl-PL"/>
        </w:rPr>
        <w:t>.</w:t>
      </w:r>
    </w:p>
    <w:p w14:paraId="3FD2486F" w14:textId="77777777" w:rsidR="009653A7" w:rsidRDefault="009653A7" w:rsidP="00434520">
      <w:pPr>
        <w:spacing w:after="60" w:line="300" w:lineRule="atLeast"/>
        <w:jc w:val="both"/>
        <w:rPr>
          <w:rFonts w:ascii="Times New Roman" w:hAnsi="Times New Roman" w:cs="Times New Roman"/>
          <w:sz w:val="24"/>
          <w:szCs w:val="24"/>
        </w:rPr>
      </w:pPr>
    </w:p>
    <w:p w14:paraId="7F45D341" w14:textId="72FBC570" w:rsidR="00113E67" w:rsidRDefault="00113E67" w:rsidP="00434520">
      <w:pPr>
        <w:spacing w:after="60" w:line="300" w:lineRule="atLeast"/>
        <w:jc w:val="both"/>
        <w:rPr>
          <w:rFonts w:ascii="Times New Roman" w:hAnsi="Times New Roman" w:cs="Times New Roman"/>
          <w:sz w:val="24"/>
          <w:szCs w:val="24"/>
        </w:rPr>
      </w:pPr>
      <w:r>
        <w:rPr>
          <w:rFonts w:ascii="Times New Roman" w:hAnsi="Times New Roman" w:cs="Times New Roman"/>
          <w:sz w:val="24"/>
          <w:szCs w:val="24"/>
        </w:rPr>
        <w:t>Stwierdzone naruszenia to m.in.:</w:t>
      </w:r>
    </w:p>
    <w:p w14:paraId="34C65575" w14:textId="77777777" w:rsidR="00113E67" w:rsidRDefault="00113E67" w:rsidP="00D34F97">
      <w:pPr>
        <w:numPr>
          <w:ilvl w:val="0"/>
          <w:numId w:val="110"/>
        </w:numPr>
        <w:spacing w:after="0" w:line="300" w:lineRule="atLeast"/>
        <w:ind w:left="924" w:hanging="357"/>
        <w:contextualSpacing/>
        <w:jc w:val="both"/>
        <w:rPr>
          <w:rFonts w:ascii="Times New Roman" w:eastAsia="Calibri" w:hAnsi="Times New Roman" w:cs="Times New Roman"/>
          <w:sz w:val="24"/>
          <w:szCs w:val="24"/>
          <w:lang w:val="x-none" w:eastAsia="pl-PL"/>
        </w:rPr>
      </w:pPr>
      <w:r w:rsidRPr="002F681D">
        <w:rPr>
          <w:rFonts w:ascii="Times New Roman" w:eastAsia="Calibri" w:hAnsi="Times New Roman" w:cs="Times New Roman"/>
          <w:sz w:val="24"/>
          <w:szCs w:val="24"/>
          <w:lang w:val="x-none" w:eastAsia="pl-PL"/>
        </w:rPr>
        <w:t>pobieranie próbek ścieków do badań w nieregularnych odstępach czasu</w:t>
      </w:r>
      <w:r>
        <w:rPr>
          <w:rFonts w:ascii="Times New Roman" w:eastAsia="Calibri" w:hAnsi="Times New Roman" w:cs="Times New Roman"/>
          <w:sz w:val="24"/>
          <w:szCs w:val="24"/>
          <w:lang w:val="x-none" w:eastAsia="pl-PL"/>
        </w:rPr>
        <w:t>,</w:t>
      </w:r>
    </w:p>
    <w:p w14:paraId="37C93243" w14:textId="77777777" w:rsidR="00113E67" w:rsidRDefault="00113E67" w:rsidP="00D34F97">
      <w:pPr>
        <w:numPr>
          <w:ilvl w:val="0"/>
          <w:numId w:val="110"/>
        </w:numPr>
        <w:spacing w:after="0" w:line="300" w:lineRule="atLeast"/>
        <w:ind w:left="924" w:hanging="357"/>
        <w:contextualSpacing/>
        <w:jc w:val="both"/>
        <w:rPr>
          <w:rFonts w:ascii="Times New Roman" w:eastAsia="Calibri" w:hAnsi="Times New Roman" w:cs="Times New Roman"/>
          <w:sz w:val="24"/>
          <w:szCs w:val="24"/>
          <w:lang w:val="x-none" w:eastAsia="pl-PL"/>
        </w:rPr>
      </w:pPr>
      <w:r w:rsidRPr="002F681D">
        <w:rPr>
          <w:rFonts w:ascii="Times New Roman" w:eastAsia="Calibri" w:hAnsi="Times New Roman" w:cs="Times New Roman"/>
          <w:sz w:val="24"/>
          <w:szCs w:val="24"/>
          <w:lang w:val="x-none" w:eastAsia="pl-PL"/>
        </w:rPr>
        <w:t xml:space="preserve">nieterminowe przekazanie wyników prowadzonych pomiarów ilości i jakości ścieków komunalnych, wód </w:t>
      </w:r>
      <w:proofErr w:type="spellStart"/>
      <w:r w:rsidRPr="002F681D">
        <w:rPr>
          <w:rFonts w:ascii="Times New Roman" w:eastAsia="Calibri" w:hAnsi="Times New Roman" w:cs="Times New Roman"/>
          <w:sz w:val="24"/>
          <w:szCs w:val="24"/>
          <w:lang w:val="x-none" w:eastAsia="pl-PL"/>
        </w:rPr>
        <w:t>popłucznych</w:t>
      </w:r>
      <w:proofErr w:type="spellEnd"/>
      <w:r w:rsidRPr="002F681D">
        <w:rPr>
          <w:rFonts w:ascii="Times New Roman" w:eastAsia="Calibri" w:hAnsi="Times New Roman" w:cs="Times New Roman"/>
          <w:sz w:val="24"/>
          <w:szCs w:val="24"/>
          <w:lang w:val="x-none" w:eastAsia="pl-PL"/>
        </w:rPr>
        <w:t xml:space="preserve"> i pobieranych wód podziemnych</w:t>
      </w:r>
      <w:r>
        <w:rPr>
          <w:rFonts w:ascii="Times New Roman" w:eastAsia="Calibri" w:hAnsi="Times New Roman" w:cs="Times New Roman"/>
          <w:sz w:val="24"/>
          <w:szCs w:val="24"/>
          <w:lang w:val="x-none" w:eastAsia="pl-PL"/>
        </w:rPr>
        <w:t>,</w:t>
      </w:r>
    </w:p>
    <w:p w14:paraId="3C99F621" w14:textId="77777777" w:rsidR="00113E67" w:rsidRDefault="00113E67" w:rsidP="00D34F97">
      <w:pPr>
        <w:numPr>
          <w:ilvl w:val="0"/>
          <w:numId w:val="110"/>
        </w:numPr>
        <w:spacing w:after="0" w:line="300" w:lineRule="atLeast"/>
        <w:ind w:left="924" w:hanging="357"/>
        <w:contextualSpacing/>
        <w:jc w:val="both"/>
        <w:rPr>
          <w:rFonts w:ascii="Times New Roman" w:eastAsia="Calibri" w:hAnsi="Times New Roman" w:cs="Times New Roman"/>
          <w:sz w:val="24"/>
          <w:szCs w:val="24"/>
          <w:lang w:val="x-none" w:eastAsia="pl-PL"/>
        </w:rPr>
      </w:pPr>
      <w:r w:rsidRPr="002F681D">
        <w:rPr>
          <w:rFonts w:ascii="Times New Roman" w:eastAsia="Calibri" w:hAnsi="Times New Roman" w:cs="Times New Roman"/>
          <w:sz w:val="24"/>
          <w:szCs w:val="24"/>
          <w:lang w:val="x-none" w:eastAsia="pl-PL"/>
        </w:rPr>
        <w:t>przedkładanie wyników pomiarów w formie niezgodnej z obowiązującym układem</w:t>
      </w:r>
      <w:r>
        <w:rPr>
          <w:rFonts w:ascii="Times New Roman" w:eastAsia="Calibri" w:hAnsi="Times New Roman" w:cs="Times New Roman"/>
          <w:sz w:val="24"/>
          <w:szCs w:val="24"/>
          <w:lang w:val="x-none" w:eastAsia="pl-PL"/>
        </w:rPr>
        <w:t>,</w:t>
      </w:r>
    </w:p>
    <w:p w14:paraId="798415E5" w14:textId="77777777" w:rsidR="00113E67" w:rsidRDefault="00113E67" w:rsidP="00D34F97">
      <w:pPr>
        <w:numPr>
          <w:ilvl w:val="0"/>
          <w:numId w:val="110"/>
        </w:numPr>
        <w:spacing w:after="0" w:line="300" w:lineRule="atLeast"/>
        <w:ind w:left="924" w:hanging="357"/>
        <w:contextualSpacing/>
        <w:jc w:val="both"/>
        <w:rPr>
          <w:rFonts w:ascii="Times New Roman" w:eastAsia="Calibri" w:hAnsi="Times New Roman" w:cs="Times New Roman"/>
          <w:sz w:val="24"/>
          <w:szCs w:val="24"/>
          <w:lang w:val="x-none" w:eastAsia="pl-PL"/>
        </w:rPr>
      </w:pPr>
      <w:r w:rsidRPr="0054252F">
        <w:rPr>
          <w:rFonts w:ascii="Times New Roman" w:eastAsia="Calibri" w:hAnsi="Times New Roman" w:cs="Times New Roman"/>
          <w:sz w:val="24"/>
          <w:szCs w:val="24"/>
          <w:lang w:val="x-none" w:eastAsia="pl-PL"/>
        </w:rPr>
        <w:t>utrzymywanie odbiornika ścieków w niewłaściwym stanie technicznym</w:t>
      </w:r>
      <w:r>
        <w:rPr>
          <w:rFonts w:ascii="Times New Roman" w:eastAsia="Calibri" w:hAnsi="Times New Roman" w:cs="Times New Roman"/>
          <w:sz w:val="24"/>
          <w:szCs w:val="24"/>
          <w:lang w:val="x-none" w:eastAsia="pl-PL"/>
        </w:rPr>
        <w:t>.</w:t>
      </w:r>
    </w:p>
    <w:p w14:paraId="5B48DE16" w14:textId="77777777" w:rsidR="00113E67" w:rsidRDefault="00113E67" w:rsidP="00D34F97">
      <w:pPr>
        <w:numPr>
          <w:ilvl w:val="0"/>
          <w:numId w:val="111"/>
        </w:numPr>
        <w:spacing w:after="0" w:line="300" w:lineRule="atLeast"/>
        <w:ind w:left="924" w:hanging="357"/>
        <w:contextualSpacing/>
        <w:jc w:val="both"/>
        <w:rPr>
          <w:rFonts w:ascii="Times New Roman" w:eastAsia="Calibri" w:hAnsi="Times New Roman" w:cs="Times New Roman"/>
          <w:sz w:val="24"/>
          <w:szCs w:val="24"/>
          <w:lang w:val="x-none" w:eastAsia="pl-PL"/>
        </w:rPr>
      </w:pPr>
      <w:r w:rsidRPr="00100D07">
        <w:rPr>
          <w:rFonts w:ascii="Times New Roman" w:eastAsia="Calibri" w:hAnsi="Times New Roman" w:cs="Times New Roman"/>
          <w:sz w:val="24"/>
          <w:szCs w:val="24"/>
          <w:lang w:val="x-none" w:eastAsia="pl-PL"/>
        </w:rPr>
        <w:t>przekroczenie warunków w zakresie s</w:t>
      </w:r>
      <w:r>
        <w:rPr>
          <w:rFonts w:ascii="Times New Roman" w:eastAsia="Calibri" w:hAnsi="Times New Roman" w:cs="Times New Roman"/>
          <w:sz w:val="24"/>
          <w:szCs w:val="24"/>
          <w:lang w:eastAsia="pl-PL"/>
        </w:rPr>
        <w:t>tanu i s</w:t>
      </w:r>
      <w:r w:rsidRPr="00100D07">
        <w:rPr>
          <w:rFonts w:ascii="Times New Roman" w:eastAsia="Calibri" w:hAnsi="Times New Roman" w:cs="Times New Roman"/>
          <w:sz w:val="24"/>
          <w:szCs w:val="24"/>
          <w:lang w:val="x-none" w:eastAsia="pl-PL"/>
        </w:rPr>
        <w:t>kładu ścieków</w:t>
      </w:r>
      <w:r>
        <w:rPr>
          <w:rFonts w:ascii="Times New Roman" w:eastAsia="Calibri" w:hAnsi="Times New Roman" w:cs="Times New Roman"/>
          <w:sz w:val="24"/>
          <w:szCs w:val="24"/>
          <w:lang w:val="x-none" w:eastAsia="pl-PL"/>
        </w:rPr>
        <w:t xml:space="preserve">, </w:t>
      </w:r>
    </w:p>
    <w:p w14:paraId="157CE16A" w14:textId="77777777" w:rsidR="00113E67" w:rsidRDefault="00113E67" w:rsidP="00D34F97">
      <w:pPr>
        <w:numPr>
          <w:ilvl w:val="0"/>
          <w:numId w:val="111"/>
        </w:numPr>
        <w:spacing w:after="0" w:line="300" w:lineRule="atLeast"/>
        <w:ind w:left="924" w:hanging="357"/>
        <w:contextualSpacing/>
        <w:jc w:val="both"/>
        <w:rPr>
          <w:rFonts w:ascii="Times New Roman" w:eastAsia="Calibri" w:hAnsi="Times New Roman" w:cs="Times New Roman"/>
          <w:sz w:val="24"/>
          <w:szCs w:val="24"/>
          <w:lang w:val="x-none" w:eastAsia="pl-PL"/>
        </w:rPr>
      </w:pPr>
      <w:r w:rsidRPr="00100D07">
        <w:rPr>
          <w:rFonts w:ascii="Times New Roman" w:eastAsia="Calibri" w:hAnsi="Times New Roman" w:cs="Times New Roman"/>
          <w:sz w:val="24"/>
          <w:szCs w:val="24"/>
          <w:lang w:val="x-none" w:eastAsia="pl-PL"/>
        </w:rPr>
        <w:t>odprowadzanie ścieków bez wymaganego pozwolenia wodnoprawnego</w:t>
      </w:r>
      <w:r>
        <w:rPr>
          <w:rFonts w:ascii="Times New Roman" w:eastAsia="Calibri" w:hAnsi="Times New Roman" w:cs="Times New Roman"/>
          <w:sz w:val="24"/>
          <w:szCs w:val="24"/>
          <w:lang w:val="x-none" w:eastAsia="pl-PL"/>
        </w:rPr>
        <w:t>,</w:t>
      </w:r>
    </w:p>
    <w:p w14:paraId="72E056CD" w14:textId="77777777" w:rsidR="00113E67" w:rsidRDefault="00113E67" w:rsidP="00D34F97">
      <w:pPr>
        <w:numPr>
          <w:ilvl w:val="0"/>
          <w:numId w:val="111"/>
        </w:numPr>
        <w:spacing w:after="0" w:line="300" w:lineRule="atLeast"/>
        <w:ind w:left="924" w:hanging="357"/>
        <w:contextualSpacing/>
        <w:jc w:val="both"/>
        <w:rPr>
          <w:rFonts w:ascii="Times New Roman" w:eastAsia="Calibri" w:hAnsi="Times New Roman" w:cs="Times New Roman"/>
          <w:sz w:val="24"/>
          <w:szCs w:val="24"/>
          <w:lang w:val="x-none" w:eastAsia="pl-PL"/>
        </w:rPr>
      </w:pPr>
      <w:r w:rsidRPr="00D64864">
        <w:rPr>
          <w:rFonts w:ascii="Times New Roman" w:eastAsia="Calibri" w:hAnsi="Times New Roman" w:cs="Times New Roman"/>
          <w:sz w:val="24"/>
          <w:szCs w:val="24"/>
          <w:lang w:val="x-none" w:eastAsia="pl-PL"/>
        </w:rPr>
        <w:t>nieutrzymywanie w należytym stanie urządzeń oczyszczalni powodujące zanieczyszczenie środowiska</w:t>
      </w:r>
      <w:r>
        <w:rPr>
          <w:rFonts w:ascii="Times New Roman" w:eastAsia="Calibri" w:hAnsi="Times New Roman" w:cs="Times New Roman"/>
          <w:sz w:val="24"/>
          <w:szCs w:val="24"/>
          <w:lang w:val="x-none" w:eastAsia="pl-PL"/>
        </w:rPr>
        <w:t>,</w:t>
      </w:r>
    </w:p>
    <w:p w14:paraId="236EF8A0" w14:textId="77777777" w:rsidR="00113E67" w:rsidRDefault="00113E67" w:rsidP="00D34F97">
      <w:pPr>
        <w:numPr>
          <w:ilvl w:val="0"/>
          <w:numId w:val="111"/>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val="x-none" w:eastAsia="pl-PL"/>
        </w:rPr>
        <w:t>niewykonywanie wymaganych pomiarów,</w:t>
      </w:r>
    </w:p>
    <w:p w14:paraId="7344D93B" w14:textId="77777777" w:rsidR="00113E67" w:rsidRDefault="00113E67" w:rsidP="00D34F97">
      <w:pPr>
        <w:numPr>
          <w:ilvl w:val="0"/>
          <w:numId w:val="111"/>
        </w:numPr>
        <w:spacing w:after="0" w:line="300" w:lineRule="atLeast"/>
        <w:ind w:left="924" w:hanging="357"/>
        <w:contextualSpacing/>
        <w:jc w:val="both"/>
        <w:rPr>
          <w:rFonts w:ascii="Times New Roman" w:eastAsia="Calibri" w:hAnsi="Times New Roman" w:cs="Times New Roman"/>
          <w:sz w:val="24"/>
          <w:szCs w:val="24"/>
          <w:lang w:val="x-none" w:eastAsia="pl-PL"/>
        </w:rPr>
      </w:pPr>
      <w:r w:rsidRPr="00D35C45">
        <w:rPr>
          <w:rFonts w:ascii="Times New Roman" w:eastAsia="Calibri" w:hAnsi="Times New Roman" w:cs="Times New Roman"/>
          <w:sz w:val="24"/>
          <w:szCs w:val="24"/>
          <w:lang w:val="x-none" w:eastAsia="pl-PL"/>
        </w:rPr>
        <w:t>pogorszenie jakości wody w rowie melioracyjnym</w:t>
      </w:r>
      <w:r>
        <w:rPr>
          <w:rFonts w:ascii="Times New Roman" w:eastAsia="Calibri" w:hAnsi="Times New Roman" w:cs="Times New Roman"/>
          <w:sz w:val="24"/>
          <w:szCs w:val="24"/>
          <w:lang w:val="x-none" w:eastAsia="pl-PL"/>
        </w:rPr>
        <w:t>,</w:t>
      </w:r>
    </w:p>
    <w:p w14:paraId="334E94BC" w14:textId="77777777" w:rsidR="00113E67" w:rsidRDefault="00113E67" w:rsidP="00D34F97">
      <w:pPr>
        <w:numPr>
          <w:ilvl w:val="0"/>
          <w:numId w:val="111"/>
        </w:numPr>
        <w:spacing w:after="120" w:line="300" w:lineRule="atLeast"/>
        <w:ind w:left="924" w:hanging="357"/>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eastAsia="pl-PL"/>
        </w:rPr>
        <w:t xml:space="preserve">przekroczenie </w:t>
      </w:r>
      <w:r w:rsidRPr="00D35C45">
        <w:rPr>
          <w:rFonts w:ascii="Times New Roman" w:eastAsia="Calibri" w:hAnsi="Times New Roman" w:cs="Times New Roman"/>
          <w:sz w:val="24"/>
          <w:szCs w:val="24"/>
          <w:lang w:val="x-none" w:eastAsia="pl-PL"/>
        </w:rPr>
        <w:t>ilości ścieków oczyszczonych wprowadzanych do rzeki</w:t>
      </w:r>
      <w:r>
        <w:rPr>
          <w:rFonts w:ascii="Times New Roman" w:eastAsia="Calibri" w:hAnsi="Times New Roman" w:cs="Times New Roman"/>
          <w:sz w:val="24"/>
          <w:szCs w:val="24"/>
          <w:lang w:val="x-none" w:eastAsia="pl-PL"/>
        </w:rPr>
        <w:t>.</w:t>
      </w:r>
    </w:p>
    <w:p w14:paraId="68ACC424" w14:textId="77777777" w:rsidR="00113E67" w:rsidRDefault="00113E67" w:rsidP="00434520">
      <w:pPr>
        <w:spacing w:after="60" w:line="300" w:lineRule="atLeast"/>
        <w:jc w:val="both"/>
        <w:rPr>
          <w:rFonts w:ascii="Times New Roman" w:hAnsi="Times New Roman" w:cs="Times New Roman"/>
          <w:sz w:val="24"/>
          <w:szCs w:val="24"/>
        </w:rPr>
      </w:pPr>
      <w:r>
        <w:rPr>
          <w:rFonts w:ascii="Times New Roman" w:hAnsi="Times New Roman" w:cs="Times New Roman"/>
          <w:sz w:val="24"/>
          <w:szCs w:val="24"/>
        </w:rPr>
        <w:t>W związku ze stwierdzonymi nieprawidłowościami:</w:t>
      </w:r>
    </w:p>
    <w:p w14:paraId="46ED7CBC" w14:textId="77777777" w:rsidR="00113E67" w:rsidRDefault="00113E67" w:rsidP="00D34F97">
      <w:pPr>
        <w:numPr>
          <w:ilvl w:val="0"/>
          <w:numId w:val="112"/>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val="x-none" w:eastAsia="pl-PL"/>
        </w:rPr>
        <w:lastRenderedPageBreak/>
        <w:t>wydano 2</w:t>
      </w:r>
      <w:r>
        <w:rPr>
          <w:rFonts w:ascii="Times New Roman" w:eastAsia="Calibri" w:hAnsi="Times New Roman" w:cs="Times New Roman"/>
          <w:sz w:val="24"/>
          <w:szCs w:val="24"/>
          <w:lang w:eastAsia="pl-PL"/>
        </w:rPr>
        <w:t>29</w:t>
      </w:r>
      <w:r>
        <w:rPr>
          <w:rFonts w:ascii="Times New Roman" w:eastAsia="Calibri" w:hAnsi="Times New Roman" w:cs="Times New Roman"/>
          <w:sz w:val="24"/>
          <w:szCs w:val="24"/>
          <w:lang w:val="x-none" w:eastAsia="pl-PL"/>
        </w:rPr>
        <w:t xml:space="preserve"> zarządzeń pokontrolnych,</w:t>
      </w:r>
    </w:p>
    <w:p w14:paraId="1FD7021B" w14:textId="77777777" w:rsidR="00113E67" w:rsidRDefault="00113E67" w:rsidP="00D34F97">
      <w:pPr>
        <w:numPr>
          <w:ilvl w:val="0"/>
          <w:numId w:val="112"/>
        </w:numPr>
        <w:spacing w:after="0" w:line="300" w:lineRule="atLeast"/>
        <w:ind w:left="924" w:hanging="357"/>
        <w:contextualSpacing/>
        <w:jc w:val="both"/>
        <w:rPr>
          <w:rFonts w:ascii="Times New Roman" w:eastAsia="Calibri" w:hAnsi="Times New Roman" w:cs="Times New Roman"/>
          <w:sz w:val="24"/>
          <w:szCs w:val="24"/>
          <w:lang w:val="x-none" w:eastAsia="pl-PL"/>
        </w:rPr>
      </w:pPr>
      <w:r w:rsidRPr="004731C5">
        <w:rPr>
          <w:rFonts w:ascii="Times New Roman" w:eastAsia="Calibri" w:hAnsi="Times New Roman" w:cs="Times New Roman"/>
          <w:sz w:val="24"/>
          <w:szCs w:val="24"/>
          <w:lang w:val="x-none" w:eastAsia="pl-PL"/>
        </w:rPr>
        <w:t>skierowano 1</w:t>
      </w:r>
      <w:r>
        <w:rPr>
          <w:rFonts w:ascii="Times New Roman" w:eastAsia="Calibri" w:hAnsi="Times New Roman" w:cs="Times New Roman"/>
          <w:sz w:val="24"/>
          <w:szCs w:val="24"/>
          <w:lang w:eastAsia="pl-PL"/>
        </w:rPr>
        <w:t>03</w:t>
      </w:r>
      <w:r w:rsidRPr="004731C5">
        <w:rPr>
          <w:rFonts w:ascii="Times New Roman" w:eastAsia="Calibri" w:hAnsi="Times New Roman" w:cs="Times New Roman"/>
          <w:sz w:val="24"/>
          <w:szCs w:val="24"/>
          <w:lang w:val="x-none" w:eastAsia="pl-PL"/>
        </w:rPr>
        <w:t xml:space="preserve"> wystąpie</w:t>
      </w:r>
      <w:r>
        <w:rPr>
          <w:rFonts w:ascii="Times New Roman" w:eastAsia="Calibri" w:hAnsi="Times New Roman" w:cs="Times New Roman"/>
          <w:sz w:val="24"/>
          <w:szCs w:val="24"/>
          <w:lang w:eastAsia="pl-PL"/>
        </w:rPr>
        <w:t>nia</w:t>
      </w:r>
      <w:r w:rsidRPr="004731C5">
        <w:rPr>
          <w:rFonts w:ascii="Times New Roman" w:eastAsia="Calibri" w:hAnsi="Times New Roman" w:cs="Times New Roman"/>
          <w:sz w:val="24"/>
          <w:szCs w:val="24"/>
          <w:lang w:val="x-none" w:eastAsia="pl-PL"/>
        </w:rPr>
        <w:t xml:space="preserve"> pokontroln</w:t>
      </w:r>
      <w:r>
        <w:rPr>
          <w:rFonts w:ascii="Times New Roman" w:eastAsia="Calibri" w:hAnsi="Times New Roman" w:cs="Times New Roman"/>
          <w:sz w:val="24"/>
          <w:szCs w:val="24"/>
          <w:lang w:eastAsia="pl-PL"/>
        </w:rPr>
        <w:t>e</w:t>
      </w:r>
      <w:r w:rsidRPr="004731C5">
        <w:rPr>
          <w:rFonts w:ascii="Times New Roman" w:eastAsia="Calibri" w:hAnsi="Times New Roman" w:cs="Times New Roman"/>
          <w:sz w:val="24"/>
          <w:szCs w:val="24"/>
          <w:lang w:val="x-none" w:eastAsia="pl-PL"/>
        </w:rPr>
        <w:t xml:space="preserve"> do</w:t>
      </w:r>
      <w:r>
        <w:rPr>
          <w:rFonts w:ascii="Times New Roman" w:eastAsia="Calibri" w:hAnsi="Times New Roman" w:cs="Times New Roman"/>
          <w:sz w:val="24"/>
          <w:szCs w:val="24"/>
          <w:lang w:eastAsia="pl-PL"/>
        </w:rPr>
        <w:t xml:space="preserve"> organów PGW WP,</w:t>
      </w:r>
    </w:p>
    <w:p w14:paraId="16787611" w14:textId="77777777" w:rsidR="00113E67" w:rsidRDefault="00113E67" w:rsidP="00D34F97">
      <w:pPr>
        <w:numPr>
          <w:ilvl w:val="0"/>
          <w:numId w:val="112"/>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val="x-none" w:eastAsia="pl-PL"/>
        </w:rPr>
        <w:t xml:space="preserve">skierowano </w:t>
      </w:r>
      <w:r>
        <w:rPr>
          <w:rFonts w:ascii="Times New Roman" w:eastAsia="Calibri" w:hAnsi="Times New Roman" w:cs="Times New Roman"/>
          <w:sz w:val="24"/>
          <w:szCs w:val="24"/>
          <w:lang w:eastAsia="pl-PL"/>
        </w:rPr>
        <w:t>72</w:t>
      </w:r>
      <w:r>
        <w:rPr>
          <w:rFonts w:ascii="Times New Roman" w:eastAsia="Calibri" w:hAnsi="Times New Roman" w:cs="Times New Roman"/>
          <w:sz w:val="24"/>
          <w:szCs w:val="24"/>
          <w:lang w:val="x-none" w:eastAsia="pl-PL"/>
        </w:rPr>
        <w:t xml:space="preserve"> wystąpie</w:t>
      </w:r>
      <w:r>
        <w:rPr>
          <w:rFonts w:ascii="Times New Roman" w:eastAsia="Calibri" w:hAnsi="Times New Roman" w:cs="Times New Roman"/>
          <w:sz w:val="24"/>
          <w:szCs w:val="24"/>
          <w:lang w:eastAsia="pl-PL"/>
        </w:rPr>
        <w:t>nia</w:t>
      </w:r>
      <w:r>
        <w:rPr>
          <w:rFonts w:ascii="Times New Roman" w:eastAsia="Calibri" w:hAnsi="Times New Roman" w:cs="Times New Roman"/>
          <w:sz w:val="24"/>
          <w:szCs w:val="24"/>
          <w:lang w:val="x-none" w:eastAsia="pl-PL"/>
        </w:rPr>
        <w:t xml:space="preserve"> pokontroln</w:t>
      </w:r>
      <w:r>
        <w:rPr>
          <w:rFonts w:ascii="Times New Roman" w:eastAsia="Calibri" w:hAnsi="Times New Roman" w:cs="Times New Roman"/>
          <w:sz w:val="24"/>
          <w:szCs w:val="24"/>
          <w:lang w:eastAsia="pl-PL"/>
        </w:rPr>
        <w:t>e</w:t>
      </w:r>
      <w:r>
        <w:rPr>
          <w:rFonts w:ascii="Times New Roman" w:eastAsia="Calibri" w:hAnsi="Times New Roman" w:cs="Times New Roman"/>
          <w:sz w:val="24"/>
          <w:szCs w:val="24"/>
          <w:lang w:val="x-none" w:eastAsia="pl-PL"/>
        </w:rPr>
        <w:t xml:space="preserve"> do innych organów,</w:t>
      </w:r>
    </w:p>
    <w:p w14:paraId="26561CC1" w14:textId="77777777" w:rsidR="00113E67" w:rsidRDefault="00113E67" w:rsidP="00D34F97">
      <w:pPr>
        <w:numPr>
          <w:ilvl w:val="0"/>
          <w:numId w:val="112"/>
        </w:numPr>
        <w:spacing w:after="120" w:line="300" w:lineRule="atLeast"/>
        <w:ind w:left="924" w:hanging="357"/>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val="x-none" w:eastAsia="pl-PL"/>
        </w:rPr>
        <w:t xml:space="preserve">wydano </w:t>
      </w:r>
      <w:r>
        <w:rPr>
          <w:rFonts w:ascii="Times New Roman" w:eastAsia="Calibri" w:hAnsi="Times New Roman" w:cs="Times New Roman"/>
          <w:sz w:val="24"/>
          <w:szCs w:val="24"/>
          <w:lang w:eastAsia="pl-PL"/>
        </w:rPr>
        <w:t>30</w:t>
      </w:r>
      <w:r>
        <w:rPr>
          <w:rFonts w:ascii="Times New Roman" w:eastAsia="Calibri" w:hAnsi="Times New Roman" w:cs="Times New Roman"/>
          <w:sz w:val="24"/>
          <w:szCs w:val="24"/>
          <w:lang w:val="x-none" w:eastAsia="pl-PL"/>
        </w:rPr>
        <w:t xml:space="preserve"> decyzji wymierzających opłaty podwyższone za wprowadzanie ścieków do wód lub do ziemi</w:t>
      </w:r>
      <w:r>
        <w:rPr>
          <w:rFonts w:ascii="Times New Roman" w:eastAsia="Calibri" w:hAnsi="Times New Roman" w:cs="Times New Roman"/>
          <w:sz w:val="24"/>
          <w:szCs w:val="24"/>
          <w:lang w:eastAsia="pl-PL"/>
        </w:rPr>
        <w:t xml:space="preserve"> z przekroczeniem warunków pozwolenia</w:t>
      </w:r>
      <w:r>
        <w:rPr>
          <w:rFonts w:ascii="Times New Roman" w:eastAsia="Calibri" w:hAnsi="Times New Roman" w:cs="Times New Roman"/>
          <w:sz w:val="24"/>
          <w:szCs w:val="24"/>
          <w:lang w:val="x-none" w:eastAsia="pl-PL"/>
        </w:rPr>
        <w:t>.</w:t>
      </w:r>
    </w:p>
    <w:p w14:paraId="5099E2E4" w14:textId="77777777" w:rsidR="00113E67" w:rsidRDefault="00113E67" w:rsidP="00434520">
      <w:pPr>
        <w:spacing w:after="0" w:line="300" w:lineRule="atLeast"/>
        <w:ind w:firstLine="567"/>
        <w:jc w:val="both"/>
        <w:rPr>
          <w:rFonts w:ascii="Times New Roman" w:hAnsi="Times New Roman" w:cs="Times New Roman"/>
          <w:sz w:val="24"/>
          <w:szCs w:val="24"/>
        </w:rPr>
      </w:pPr>
      <w:r>
        <w:rPr>
          <w:rFonts w:ascii="Times New Roman" w:hAnsi="Times New Roman" w:cs="Times New Roman"/>
          <w:sz w:val="24"/>
          <w:szCs w:val="24"/>
        </w:rPr>
        <w:t xml:space="preserve">W 2022 r. wojewódzcy inspektorzy ochrony środowiska przeprowadzili 785 kontroli </w:t>
      </w:r>
      <w:proofErr w:type="spellStart"/>
      <w:r>
        <w:rPr>
          <w:rFonts w:ascii="Times New Roman" w:hAnsi="Times New Roman" w:cs="Times New Roman"/>
          <w:sz w:val="24"/>
          <w:szCs w:val="24"/>
        </w:rPr>
        <w:t>automonitoringowych</w:t>
      </w:r>
      <w:proofErr w:type="spellEnd"/>
      <w:r>
        <w:rPr>
          <w:rFonts w:ascii="Times New Roman" w:hAnsi="Times New Roman" w:cs="Times New Roman"/>
          <w:sz w:val="24"/>
          <w:szCs w:val="24"/>
        </w:rPr>
        <w:t xml:space="preserve"> oczyszczalni ścieków uwzględnionych w KPOŚK, z których odprowadzane są ścieki bytowe i komunalne. W wyniku przeprowadzonych czynności kontrolnych stwierdzono 89 naruszeń.</w:t>
      </w:r>
    </w:p>
    <w:p w14:paraId="1E8C2A4A" w14:textId="3AA2294F" w:rsidR="00895F16" w:rsidRPr="007F400A" w:rsidRDefault="00113E67" w:rsidP="00434520">
      <w:pPr>
        <w:spacing w:after="120" w:line="300" w:lineRule="atLeast"/>
        <w:ind w:firstLine="567"/>
        <w:jc w:val="both"/>
        <w:rPr>
          <w:rFonts w:ascii="Times New Roman" w:hAnsi="Times New Roman" w:cs="Times New Roman"/>
          <w:sz w:val="24"/>
          <w:szCs w:val="24"/>
        </w:rPr>
      </w:pPr>
      <w:r>
        <w:rPr>
          <w:rFonts w:ascii="Times New Roman" w:hAnsi="Times New Roman" w:cs="Times New Roman"/>
          <w:sz w:val="24"/>
          <w:szCs w:val="24"/>
        </w:rPr>
        <w:t>W związku ze stwierdzonym przekroczeniem warunków pozwolenia wodnoprawnego w zakresie ilości i jakości ścieków wprowadzanych do wód lub do ziemi wydano 43 decyzje wymierzające opłaty podwyższone</w:t>
      </w:r>
      <w:r w:rsidR="00C337B4">
        <w:rPr>
          <w:rFonts w:ascii="Times New Roman" w:hAnsi="Times New Roman" w:cs="Times New Roman"/>
          <w:sz w:val="24"/>
          <w:szCs w:val="24"/>
        </w:rPr>
        <w:t>.</w:t>
      </w:r>
    </w:p>
    <w:p w14:paraId="023F29E3" w14:textId="64FDBF41" w:rsidR="00895F16" w:rsidRPr="007F400A" w:rsidRDefault="00895F16" w:rsidP="00056EE7">
      <w:pPr>
        <w:spacing w:after="60" w:line="300" w:lineRule="atLeast"/>
        <w:jc w:val="both"/>
        <w:rPr>
          <w:rFonts w:ascii="Times New Roman" w:hAnsi="Times New Roman" w:cs="Times New Roman"/>
          <w:b/>
          <w:sz w:val="24"/>
          <w:szCs w:val="24"/>
        </w:rPr>
      </w:pPr>
      <w:r w:rsidRPr="007F400A">
        <w:rPr>
          <w:rFonts w:ascii="Times New Roman" w:hAnsi="Times New Roman" w:cs="Times New Roman"/>
          <w:b/>
          <w:sz w:val="24"/>
          <w:szCs w:val="24"/>
        </w:rPr>
        <w:t>c) kontrole oczyszczalni ścieków nieuwzględnionych w KPOŚK, z których odprowadzane są ścieki przemysłowe</w:t>
      </w:r>
    </w:p>
    <w:p w14:paraId="4BE09124" w14:textId="77777777" w:rsidR="00113E67" w:rsidRDefault="00113E67" w:rsidP="00434520">
      <w:pPr>
        <w:spacing w:after="60" w:line="300" w:lineRule="atLeast"/>
        <w:ind w:firstLine="567"/>
        <w:jc w:val="both"/>
        <w:rPr>
          <w:rFonts w:ascii="Times New Roman" w:hAnsi="Times New Roman" w:cs="Times New Roman"/>
          <w:sz w:val="24"/>
          <w:szCs w:val="24"/>
        </w:rPr>
      </w:pPr>
      <w:r>
        <w:rPr>
          <w:rFonts w:ascii="Times New Roman" w:hAnsi="Times New Roman" w:cs="Times New Roman"/>
          <w:sz w:val="24"/>
          <w:szCs w:val="24"/>
        </w:rPr>
        <w:t>W 2022 r. wojewódzcy inspektorzy ochrony środowiska przeprowadzili w terenie 211 kontroli oczyszczalni ścieków nieuwzględnionych w KPOŚK, z których odprowadzane są ścieki przemysłowe. W wyniku przeprowadzonych czynności kontrolnych, podczas 144 kontroli stwierdzono naruszenia, w tym:</w:t>
      </w:r>
    </w:p>
    <w:p w14:paraId="012CE6C0" w14:textId="77777777" w:rsidR="00113E67" w:rsidRDefault="00113E67" w:rsidP="00D34F97">
      <w:pPr>
        <w:numPr>
          <w:ilvl w:val="0"/>
          <w:numId w:val="113"/>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eastAsia="pl-PL"/>
        </w:rPr>
        <w:t xml:space="preserve">w przypadku 82 kontroli (57%) stwierdzono naruszenia, </w:t>
      </w:r>
      <w:r>
        <w:rPr>
          <w:rFonts w:ascii="Times New Roman" w:eastAsia="Calibri" w:hAnsi="Times New Roman" w:cs="Times New Roman"/>
          <w:sz w:val="24"/>
          <w:szCs w:val="24"/>
          <w:lang w:val="x-none" w:eastAsia="pl-PL"/>
        </w:rPr>
        <w:t>w wyniku których nie nastąpiło zagrożenie lub</w:t>
      </w:r>
      <w:r>
        <w:rPr>
          <w:rFonts w:ascii="Times New Roman" w:eastAsia="Calibri" w:hAnsi="Times New Roman" w:cs="Times New Roman"/>
          <w:sz w:val="24"/>
          <w:szCs w:val="24"/>
          <w:lang w:eastAsia="pl-PL"/>
        </w:rPr>
        <w:t> </w:t>
      </w:r>
      <w:r>
        <w:rPr>
          <w:rFonts w:ascii="Times New Roman" w:eastAsia="Calibri" w:hAnsi="Times New Roman" w:cs="Times New Roman"/>
          <w:sz w:val="24"/>
          <w:szCs w:val="24"/>
          <w:lang w:val="x-none" w:eastAsia="pl-PL"/>
        </w:rPr>
        <w:t>zanieczyszczenie środowiska</w:t>
      </w:r>
      <w:r>
        <w:rPr>
          <w:rFonts w:ascii="Times New Roman" w:eastAsia="Calibri" w:hAnsi="Times New Roman" w:cs="Times New Roman"/>
          <w:sz w:val="24"/>
          <w:szCs w:val="24"/>
          <w:lang w:eastAsia="pl-PL"/>
        </w:rPr>
        <w:t>,</w:t>
      </w:r>
    </w:p>
    <w:p w14:paraId="329D10F8" w14:textId="77777777" w:rsidR="00113E67" w:rsidRDefault="00113E67" w:rsidP="00D34F97">
      <w:pPr>
        <w:numPr>
          <w:ilvl w:val="0"/>
          <w:numId w:val="113"/>
        </w:numPr>
        <w:spacing w:after="60" w:line="300" w:lineRule="atLeast"/>
        <w:ind w:left="924" w:hanging="357"/>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eastAsia="pl-PL"/>
        </w:rPr>
        <w:t>w przypadku 62 kontroli</w:t>
      </w:r>
      <w:r>
        <w:rPr>
          <w:rFonts w:ascii="Times New Roman" w:eastAsia="Calibri" w:hAnsi="Times New Roman" w:cs="Times New Roman"/>
          <w:sz w:val="24"/>
          <w:szCs w:val="24"/>
          <w:lang w:val="x-none" w:eastAsia="pl-PL"/>
        </w:rPr>
        <w:t xml:space="preserve"> </w:t>
      </w:r>
      <w:r>
        <w:rPr>
          <w:rFonts w:ascii="Times New Roman" w:eastAsia="Calibri" w:hAnsi="Times New Roman" w:cs="Times New Roman"/>
          <w:sz w:val="24"/>
          <w:szCs w:val="24"/>
          <w:lang w:eastAsia="pl-PL"/>
        </w:rPr>
        <w:t xml:space="preserve">(43%) stwierdzono naruszenia, </w:t>
      </w:r>
      <w:r>
        <w:rPr>
          <w:rFonts w:ascii="Times New Roman" w:eastAsia="Calibri" w:hAnsi="Times New Roman" w:cs="Times New Roman"/>
          <w:sz w:val="24"/>
          <w:szCs w:val="24"/>
          <w:lang w:val="x-none" w:eastAsia="pl-PL"/>
        </w:rPr>
        <w:t>w wyniku których może nastąpić lub nastąpiło zanieczyszczenie środowiska</w:t>
      </w:r>
      <w:r>
        <w:rPr>
          <w:rFonts w:ascii="Times New Roman" w:eastAsia="Calibri" w:hAnsi="Times New Roman" w:cs="Times New Roman"/>
          <w:sz w:val="24"/>
          <w:szCs w:val="24"/>
          <w:lang w:eastAsia="pl-PL"/>
        </w:rPr>
        <w:t>.</w:t>
      </w:r>
    </w:p>
    <w:p w14:paraId="4EA0BCEE" w14:textId="77777777" w:rsidR="00113E67" w:rsidRDefault="00113E67" w:rsidP="00434520">
      <w:pPr>
        <w:spacing w:after="60" w:line="300" w:lineRule="atLeast"/>
        <w:jc w:val="both"/>
        <w:rPr>
          <w:rFonts w:ascii="Times New Roman" w:hAnsi="Times New Roman" w:cs="Times New Roman"/>
          <w:sz w:val="24"/>
          <w:szCs w:val="24"/>
        </w:rPr>
      </w:pPr>
      <w:r>
        <w:rPr>
          <w:rFonts w:ascii="Times New Roman" w:hAnsi="Times New Roman" w:cs="Times New Roman"/>
          <w:sz w:val="24"/>
          <w:szCs w:val="24"/>
        </w:rPr>
        <w:t>Stwierdzone naruszenia to m.in.:</w:t>
      </w:r>
    </w:p>
    <w:p w14:paraId="077CDCB4" w14:textId="77777777" w:rsidR="00113E67" w:rsidRDefault="00113E67" w:rsidP="00D34F97">
      <w:pPr>
        <w:numPr>
          <w:ilvl w:val="0"/>
          <w:numId w:val="114"/>
        </w:numPr>
        <w:spacing w:after="0" w:line="300" w:lineRule="atLeast"/>
        <w:ind w:left="924" w:hanging="357"/>
        <w:contextualSpacing/>
        <w:jc w:val="both"/>
        <w:rPr>
          <w:rFonts w:ascii="Times New Roman" w:eastAsia="Calibri" w:hAnsi="Times New Roman" w:cs="Times New Roman"/>
          <w:sz w:val="24"/>
          <w:szCs w:val="24"/>
          <w:lang w:val="x-none" w:eastAsia="pl-PL"/>
        </w:rPr>
      </w:pPr>
      <w:r w:rsidRPr="0042243B">
        <w:rPr>
          <w:rFonts w:ascii="Times New Roman" w:eastAsia="Calibri" w:hAnsi="Times New Roman" w:cs="Times New Roman"/>
          <w:sz w:val="24"/>
          <w:szCs w:val="24"/>
          <w:lang w:val="x-none" w:eastAsia="pl-PL"/>
        </w:rPr>
        <w:t>pobór próbek ścieków w miejscu innym niż określone w pozwoleniu zintegrowanym</w:t>
      </w:r>
      <w:r>
        <w:rPr>
          <w:rFonts w:ascii="Times New Roman" w:eastAsia="Calibri" w:hAnsi="Times New Roman" w:cs="Times New Roman"/>
          <w:sz w:val="24"/>
          <w:szCs w:val="24"/>
          <w:lang w:val="x-none" w:eastAsia="pl-PL"/>
        </w:rPr>
        <w:t>,</w:t>
      </w:r>
    </w:p>
    <w:p w14:paraId="5C2BA647" w14:textId="77777777" w:rsidR="00113E67" w:rsidRDefault="00113E67" w:rsidP="00D34F97">
      <w:pPr>
        <w:numPr>
          <w:ilvl w:val="0"/>
          <w:numId w:val="114"/>
        </w:numPr>
        <w:spacing w:after="0" w:line="300" w:lineRule="atLeast"/>
        <w:ind w:left="924" w:hanging="357"/>
        <w:contextualSpacing/>
        <w:jc w:val="both"/>
        <w:rPr>
          <w:rFonts w:ascii="Times New Roman" w:eastAsia="Calibri" w:hAnsi="Times New Roman" w:cs="Times New Roman"/>
          <w:sz w:val="24"/>
          <w:szCs w:val="24"/>
          <w:lang w:val="x-none" w:eastAsia="pl-PL"/>
        </w:rPr>
      </w:pPr>
      <w:r w:rsidRPr="0042243B">
        <w:rPr>
          <w:rFonts w:ascii="Times New Roman" w:eastAsia="Calibri" w:hAnsi="Times New Roman" w:cs="Times New Roman"/>
          <w:sz w:val="24"/>
          <w:szCs w:val="24"/>
          <w:lang w:val="x-none" w:eastAsia="pl-PL"/>
        </w:rPr>
        <w:t>nieprzekazywanie wyników pomiarów ilości i jakości ścieków w wymaganym terminie</w:t>
      </w:r>
      <w:r>
        <w:rPr>
          <w:rFonts w:ascii="Times New Roman" w:eastAsia="Calibri" w:hAnsi="Times New Roman" w:cs="Times New Roman"/>
          <w:sz w:val="24"/>
          <w:szCs w:val="24"/>
          <w:lang w:val="x-none" w:eastAsia="pl-PL"/>
        </w:rPr>
        <w:t>,</w:t>
      </w:r>
    </w:p>
    <w:p w14:paraId="1196D72D" w14:textId="6565D41B" w:rsidR="00113E67" w:rsidRDefault="00113E67" w:rsidP="00D34F97">
      <w:pPr>
        <w:numPr>
          <w:ilvl w:val="0"/>
          <w:numId w:val="114"/>
        </w:numPr>
        <w:spacing w:after="0" w:line="300" w:lineRule="atLeast"/>
        <w:ind w:left="924" w:hanging="357"/>
        <w:contextualSpacing/>
        <w:jc w:val="both"/>
        <w:rPr>
          <w:rFonts w:ascii="Times New Roman" w:eastAsia="Calibri" w:hAnsi="Times New Roman" w:cs="Times New Roman"/>
          <w:sz w:val="24"/>
          <w:szCs w:val="24"/>
          <w:lang w:val="x-none" w:eastAsia="pl-PL"/>
        </w:rPr>
      </w:pPr>
      <w:r w:rsidRPr="00794EA1">
        <w:rPr>
          <w:rFonts w:ascii="Times New Roman" w:eastAsia="Calibri" w:hAnsi="Times New Roman" w:cs="Times New Roman"/>
          <w:sz w:val="24"/>
          <w:szCs w:val="24"/>
          <w:lang w:val="x-none" w:eastAsia="pl-PL"/>
        </w:rPr>
        <w:t>niezapewnienie pobierania próbek przez akredytowane laboratorium</w:t>
      </w:r>
      <w:r w:rsidR="009653A7">
        <w:rPr>
          <w:rFonts w:ascii="Times New Roman" w:eastAsia="Calibri" w:hAnsi="Times New Roman" w:cs="Times New Roman"/>
          <w:sz w:val="24"/>
          <w:szCs w:val="24"/>
          <w:lang w:eastAsia="pl-PL"/>
        </w:rPr>
        <w:t>,</w:t>
      </w:r>
    </w:p>
    <w:p w14:paraId="62C9839B" w14:textId="3115FA5E" w:rsidR="00113E67" w:rsidRDefault="00113E67" w:rsidP="00D34F97">
      <w:pPr>
        <w:numPr>
          <w:ilvl w:val="0"/>
          <w:numId w:val="115"/>
        </w:numPr>
        <w:spacing w:after="0" w:line="300" w:lineRule="atLeast"/>
        <w:ind w:left="924" w:hanging="357"/>
        <w:contextualSpacing/>
        <w:jc w:val="both"/>
        <w:rPr>
          <w:rFonts w:ascii="Times New Roman" w:eastAsia="Calibri" w:hAnsi="Times New Roman" w:cs="Times New Roman"/>
          <w:sz w:val="24"/>
          <w:szCs w:val="24"/>
          <w:lang w:val="x-none" w:eastAsia="pl-PL"/>
        </w:rPr>
      </w:pPr>
      <w:r w:rsidRPr="00DF24D2">
        <w:rPr>
          <w:rFonts w:ascii="Times New Roman" w:eastAsia="Calibri" w:hAnsi="Times New Roman" w:cs="Times New Roman"/>
          <w:sz w:val="24"/>
          <w:szCs w:val="24"/>
          <w:lang w:val="x-none" w:eastAsia="pl-PL"/>
        </w:rPr>
        <w:t>odprowadzanie wylotem kanalizacji deszczowej</w:t>
      </w:r>
      <w:r w:rsidR="00434520">
        <w:rPr>
          <w:rFonts w:ascii="Times New Roman" w:eastAsia="Calibri" w:hAnsi="Times New Roman" w:cs="Times New Roman"/>
          <w:sz w:val="24"/>
          <w:szCs w:val="24"/>
          <w:lang w:eastAsia="pl-PL"/>
        </w:rPr>
        <w:t>,</w:t>
      </w:r>
      <w:r w:rsidRPr="00DF24D2">
        <w:rPr>
          <w:rFonts w:ascii="Times New Roman" w:eastAsia="Calibri" w:hAnsi="Times New Roman" w:cs="Times New Roman"/>
          <w:sz w:val="24"/>
          <w:szCs w:val="24"/>
          <w:lang w:val="x-none" w:eastAsia="pl-PL"/>
        </w:rPr>
        <w:t xml:space="preserve"> w dzień bezdeszczowy, cieczy charakteryzującej się znacząca zawartością chlorków i siarczanów</w:t>
      </w:r>
      <w:r>
        <w:rPr>
          <w:rFonts w:ascii="Times New Roman" w:eastAsia="Calibri" w:hAnsi="Times New Roman" w:cs="Times New Roman"/>
          <w:sz w:val="24"/>
          <w:szCs w:val="24"/>
          <w:lang w:val="x-none" w:eastAsia="pl-PL"/>
        </w:rPr>
        <w:t xml:space="preserve">, </w:t>
      </w:r>
    </w:p>
    <w:p w14:paraId="67CABC3B" w14:textId="77777777" w:rsidR="00113E67" w:rsidRDefault="00113E67" w:rsidP="00D34F97">
      <w:pPr>
        <w:numPr>
          <w:ilvl w:val="0"/>
          <w:numId w:val="115"/>
        </w:numPr>
        <w:spacing w:after="0" w:line="300" w:lineRule="atLeast"/>
        <w:ind w:left="924" w:hanging="357"/>
        <w:contextualSpacing/>
        <w:jc w:val="both"/>
        <w:rPr>
          <w:rFonts w:ascii="Times New Roman" w:eastAsia="Calibri" w:hAnsi="Times New Roman" w:cs="Times New Roman"/>
          <w:sz w:val="24"/>
          <w:szCs w:val="24"/>
          <w:lang w:val="x-none" w:eastAsia="pl-PL"/>
        </w:rPr>
      </w:pPr>
      <w:r w:rsidRPr="007220E4">
        <w:rPr>
          <w:rFonts w:ascii="Times New Roman" w:eastAsia="Calibri" w:hAnsi="Times New Roman" w:cs="Times New Roman"/>
          <w:sz w:val="24"/>
          <w:szCs w:val="24"/>
          <w:lang w:val="x-none" w:eastAsia="pl-PL"/>
        </w:rPr>
        <w:t>brak pozwolenia wodnoprawnego na szczególne korzystanie z wód na wprowadzanie do urządzeń kanalizacyjnych będących własnością innych podmiotów ścieków przemysłowych zawierających substancje szczególnie szkodliwe dla środowiska wodnego</w:t>
      </w:r>
      <w:r>
        <w:rPr>
          <w:rFonts w:ascii="Times New Roman" w:eastAsia="Calibri" w:hAnsi="Times New Roman" w:cs="Times New Roman"/>
          <w:sz w:val="24"/>
          <w:szCs w:val="24"/>
          <w:lang w:val="x-none" w:eastAsia="pl-PL"/>
        </w:rPr>
        <w:t>,</w:t>
      </w:r>
    </w:p>
    <w:p w14:paraId="67A404FD" w14:textId="77777777" w:rsidR="00113E67" w:rsidRDefault="00113E67" w:rsidP="00D34F97">
      <w:pPr>
        <w:numPr>
          <w:ilvl w:val="0"/>
          <w:numId w:val="115"/>
        </w:numPr>
        <w:spacing w:after="0" w:line="300" w:lineRule="atLeast"/>
        <w:ind w:left="924" w:hanging="357"/>
        <w:contextualSpacing/>
        <w:jc w:val="both"/>
        <w:rPr>
          <w:rFonts w:ascii="Times New Roman" w:eastAsia="Calibri" w:hAnsi="Times New Roman" w:cs="Times New Roman"/>
          <w:sz w:val="24"/>
          <w:szCs w:val="24"/>
          <w:lang w:val="x-none" w:eastAsia="pl-PL"/>
        </w:rPr>
      </w:pPr>
      <w:r w:rsidRPr="007220E4">
        <w:rPr>
          <w:rFonts w:ascii="Times New Roman" w:eastAsia="Calibri" w:hAnsi="Times New Roman" w:cs="Times New Roman"/>
          <w:sz w:val="24"/>
          <w:szCs w:val="24"/>
          <w:lang w:val="x-none" w:eastAsia="pl-PL"/>
        </w:rPr>
        <w:t>odprowadzanie do rzeki ścieków przemysłowych z oczyszczalni zakładowej o</w:t>
      </w:r>
      <w:r>
        <w:rPr>
          <w:rFonts w:ascii="Times New Roman" w:eastAsia="Calibri" w:hAnsi="Times New Roman" w:cs="Times New Roman"/>
          <w:sz w:val="24"/>
          <w:szCs w:val="24"/>
          <w:lang w:eastAsia="pl-PL"/>
        </w:rPr>
        <w:t> </w:t>
      </w:r>
      <w:r w:rsidRPr="007220E4">
        <w:rPr>
          <w:rFonts w:ascii="Times New Roman" w:eastAsia="Calibri" w:hAnsi="Times New Roman" w:cs="Times New Roman"/>
          <w:sz w:val="24"/>
          <w:szCs w:val="24"/>
          <w:lang w:val="x-none" w:eastAsia="pl-PL"/>
        </w:rPr>
        <w:t xml:space="preserve">stężeniach zanieczyszczeń znacznie przekraczających maksymalne wartości, </w:t>
      </w:r>
    </w:p>
    <w:p w14:paraId="1A604AC9" w14:textId="77777777" w:rsidR="00113E67" w:rsidRDefault="00113E67" w:rsidP="00D34F97">
      <w:pPr>
        <w:numPr>
          <w:ilvl w:val="0"/>
          <w:numId w:val="115"/>
        </w:numPr>
        <w:spacing w:after="0" w:line="300" w:lineRule="atLeast"/>
        <w:ind w:left="924" w:hanging="357"/>
        <w:contextualSpacing/>
        <w:jc w:val="both"/>
        <w:rPr>
          <w:rFonts w:ascii="Times New Roman" w:eastAsia="Calibri" w:hAnsi="Times New Roman" w:cs="Times New Roman"/>
          <w:sz w:val="24"/>
          <w:szCs w:val="24"/>
          <w:lang w:val="x-none" w:eastAsia="pl-PL"/>
        </w:rPr>
      </w:pPr>
      <w:r w:rsidRPr="007220E4">
        <w:rPr>
          <w:rFonts w:ascii="Times New Roman" w:eastAsia="Calibri" w:hAnsi="Times New Roman" w:cs="Times New Roman"/>
          <w:sz w:val="24"/>
          <w:szCs w:val="24"/>
          <w:lang w:val="x-none" w:eastAsia="pl-PL"/>
        </w:rPr>
        <w:t>zaniedbania w eksploatacji instalacji w tym instalacji chroniących środowisko powodujące przekroczenia warunków korzystania ze środowiska</w:t>
      </w:r>
      <w:r>
        <w:rPr>
          <w:rFonts w:ascii="Times New Roman" w:eastAsia="Calibri" w:hAnsi="Times New Roman" w:cs="Times New Roman"/>
          <w:sz w:val="24"/>
          <w:szCs w:val="24"/>
          <w:lang w:eastAsia="pl-PL"/>
        </w:rPr>
        <w:t>,</w:t>
      </w:r>
    </w:p>
    <w:p w14:paraId="7B21B192" w14:textId="77777777" w:rsidR="00113E67" w:rsidRPr="007220E4" w:rsidRDefault="00113E67" w:rsidP="00D34F97">
      <w:pPr>
        <w:numPr>
          <w:ilvl w:val="0"/>
          <w:numId w:val="115"/>
        </w:numPr>
        <w:spacing w:after="120" w:line="300" w:lineRule="atLeast"/>
        <w:ind w:left="924" w:hanging="357"/>
        <w:jc w:val="both"/>
        <w:rPr>
          <w:rFonts w:ascii="Times New Roman" w:eastAsia="Calibri" w:hAnsi="Times New Roman" w:cs="Times New Roman"/>
          <w:sz w:val="24"/>
          <w:szCs w:val="24"/>
          <w:lang w:val="x-none" w:eastAsia="pl-PL"/>
        </w:rPr>
      </w:pPr>
      <w:r w:rsidRPr="007220E4">
        <w:rPr>
          <w:rFonts w:ascii="Times New Roman" w:eastAsia="Calibri" w:hAnsi="Times New Roman" w:cs="Times New Roman"/>
          <w:sz w:val="24"/>
          <w:szCs w:val="24"/>
          <w:lang w:val="x-none" w:eastAsia="pl-PL"/>
        </w:rPr>
        <w:t>przekroczenie dopuszczalnego stanu i składu ścieków powodujące zanieczyszczenie środowiska</w:t>
      </w:r>
      <w:r w:rsidRPr="007220E4">
        <w:rPr>
          <w:rFonts w:ascii="Times New Roman" w:eastAsia="Calibri" w:hAnsi="Times New Roman" w:cs="Times New Roman"/>
          <w:sz w:val="24"/>
          <w:szCs w:val="24"/>
          <w:lang w:eastAsia="pl-PL"/>
        </w:rPr>
        <w:t>.</w:t>
      </w:r>
    </w:p>
    <w:p w14:paraId="56A622DA" w14:textId="77777777" w:rsidR="00113E67" w:rsidRDefault="00113E67" w:rsidP="00434520">
      <w:pPr>
        <w:spacing w:after="60" w:line="300" w:lineRule="atLeast"/>
        <w:jc w:val="both"/>
        <w:rPr>
          <w:rFonts w:ascii="Times New Roman" w:hAnsi="Times New Roman" w:cs="Times New Roman"/>
          <w:sz w:val="24"/>
          <w:szCs w:val="24"/>
        </w:rPr>
      </w:pPr>
      <w:r>
        <w:rPr>
          <w:rFonts w:ascii="Times New Roman" w:hAnsi="Times New Roman" w:cs="Times New Roman"/>
          <w:sz w:val="24"/>
          <w:szCs w:val="24"/>
        </w:rPr>
        <w:t>W związku ze stwierdzonymi nieprawidłowościami:</w:t>
      </w:r>
    </w:p>
    <w:p w14:paraId="3E93E5EE" w14:textId="77777777" w:rsidR="00113E67" w:rsidRDefault="00113E67" w:rsidP="00D34F97">
      <w:pPr>
        <w:numPr>
          <w:ilvl w:val="0"/>
          <w:numId w:val="116"/>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val="x-none" w:eastAsia="pl-PL"/>
        </w:rPr>
        <w:t xml:space="preserve">wydano </w:t>
      </w:r>
      <w:r>
        <w:rPr>
          <w:rFonts w:ascii="Times New Roman" w:eastAsia="Calibri" w:hAnsi="Times New Roman" w:cs="Times New Roman"/>
          <w:sz w:val="24"/>
          <w:szCs w:val="24"/>
          <w:lang w:eastAsia="pl-PL"/>
        </w:rPr>
        <w:t xml:space="preserve">105 </w:t>
      </w:r>
      <w:r>
        <w:rPr>
          <w:rFonts w:ascii="Times New Roman" w:eastAsia="Calibri" w:hAnsi="Times New Roman" w:cs="Times New Roman"/>
          <w:sz w:val="24"/>
          <w:szCs w:val="24"/>
          <w:lang w:val="x-none" w:eastAsia="pl-PL"/>
        </w:rPr>
        <w:t>zarządzeń pokontrolnych,</w:t>
      </w:r>
    </w:p>
    <w:p w14:paraId="4AE8A20B" w14:textId="77777777" w:rsidR="00113E67" w:rsidRDefault="00113E67" w:rsidP="00D34F97">
      <w:pPr>
        <w:numPr>
          <w:ilvl w:val="0"/>
          <w:numId w:val="116"/>
        </w:numPr>
        <w:spacing w:after="0" w:line="300" w:lineRule="atLeast"/>
        <w:ind w:left="924" w:hanging="357"/>
        <w:contextualSpacing/>
        <w:jc w:val="both"/>
        <w:rPr>
          <w:rFonts w:ascii="Times New Roman" w:eastAsia="Calibri" w:hAnsi="Times New Roman" w:cs="Times New Roman"/>
          <w:sz w:val="24"/>
          <w:szCs w:val="24"/>
          <w:lang w:val="x-none" w:eastAsia="pl-PL"/>
        </w:rPr>
      </w:pPr>
      <w:r w:rsidRPr="002751DE">
        <w:rPr>
          <w:rFonts w:ascii="Times New Roman" w:eastAsia="Calibri" w:hAnsi="Times New Roman" w:cs="Times New Roman"/>
          <w:sz w:val="24"/>
          <w:szCs w:val="24"/>
          <w:lang w:val="x-none" w:eastAsia="pl-PL"/>
        </w:rPr>
        <w:t xml:space="preserve">skierowano </w:t>
      </w:r>
      <w:r>
        <w:rPr>
          <w:rFonts w:ascii="Times New Roman" w:eastAsia="Calibri" w:hAnsi="Times New Roman" w:cs="Times New Roman"/>
          <w:sz w:val="24"/>
          <w:szCs w:val="24"/>
          <w:lang w:eastAsia="pl-PL"/>
        </w:rPr>
        <w:t>5</w:t>
      </w:r>
      <w:r w:rsidRPr="002751DE">
        <w:rPr>
          <w:rFonts w:ascii="Times New Roman" w:eastAsia="Calibri" w:hAnsi="Times New Roman" w:cs="Times New Roman"/>
          <w:sz w:val="24"/>
          <w:szCs w:val="24"/>
          <w:lang w:val="x-none" w:eastAsia="pl-PL"/>
        </w:rPr>
        <w:t>8 wystąpień pokontrolnych do</w:t>
      </w:r>
      <w:r>
        <w:rPr>
          <w:rFonts w:ascii="Times New Roman" w:eastAsia="Calibri" w:hAnsi="Times New Roman" w:cs="Times New Roman"/>
          <w:sz w:val="24"/>
          <w:szCs w:val="24"/>
          <w:lang w:eastAsia="pl-PL"/>
        </w:rPr>
        <w:t xml:space="preserve"> organów PGW WP,</w:t>
      </w:r>
    </w:p>
    <w:p w14:paraId="599D5DE1" w14:textId="77777777" w:rsidR="00113E67" w:rsidRDefault="00113E67" w:rsidP="00D34F97">
      <w:pPr>
        <w:numPr>
          <w:ilvl w:val="0"/>
          <w:numId w:val="116"/>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val="x-none" w:eastAsia="pl-PL"/>
        </w:rPr>
        <w:t xml:space="preserve">skierowano </w:t>
      </w:r>
      <w:r>
        <w:rPr>
          <w:rFonts w:ascii="Times New Roman" w:eastAsia="Calibri" w:hAnsi="Times New Roman" w:cs="Times New Roman"/>
          <w:sz w:val="24"/>
          <w:szCs w:val="24"/>
          <w:lang w:eastAsia="pl-PL"/>
        </w:rPr>
        <w:t>71</w:t>
      </w:r>
      <w:r>
        <w:rPr>
          <w:rFonts w:ascii="Times New Roman" w:eastAsia="Calibri" w:hAnsi="Times New Roman" w:cs="Times New Roman"/>
          <w:sz w:val="24"/>
          <w:szCs w:val="24"/>
          <w:lang w:val="x-none" w:eastAsia="pl-PL"/>
        </w:rPr>
        <w:t xml:space="preserve"> wystąpień pokontrolnych do innych organów,</w:t>
      </w:r>
    </w:p>
    <w:p w14:paraId="0527716F" w14:textId="77777777" w:rsidR="00113E67" w:rsidRDefault="00113E67" w:rsidP="00D34F97">
      <w:pPr>
        <w:numPr>
          <w:ilvl w:val="0"/>
          <w:numId w:val="116"/>
        </w:numPr>
        <w:spacing w:after="60" w:line="300" w:lineRule="atLeast"/>
        <w:ind w:left="924" w:hanging="357"/>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val="x-none" w:eastAsia="pl-PL"/>
        </w:rPr>
        <w:lastRenderedPageBreak/>
        <w:t xml:space="preserve">wydano </w:t>
      </w:r>
      <w:r>
        <w:rPr>
          <w:rFonts w:ascii="Times New Roman" w:eastAsia="Calibri" w:hAnsi="Times New Roman" w:cs="Times New Roman"/>
          <w:sz w:val="24"/>
          <w:szCs w:val="24"/>
          <w:lang w:eastAsia="pl-PL"/>
        </w:rPr>
        <w:t>10</w:t>
      </w:r>
      <w:r>
        <w:rPr>
          <w:rFonts w:ascii="Times New Roman" w:eastAsia="Calibri" w:hAnsi="Times New Roman" w:cs="Times New Roman"/>
          <w:sz w:val="24"/>
          <w:szCs w:val="24"/>
          <w:lang w:val="x-none" w:eastAsia="pl-PL"/>
        </w:rPr>
        <w:t xml:space="preserve"> decyzji wymierzających opłaty podwyższone za wprowadzanie ścieków do wód lub do ziemi</w:t>
      </w:r>
      <w:r>
        <w:rPr>
          <w:rFonts w:ascii="Times New Roman" w:eastAsia="Calibri" w:hAnsi="Times New Roman" w:cs="Times New Roman"/>
          <w:sz w:val="24"/>
          <w:szCs w:val="24"/>
          <w:lang w:eastAsia="pl-PL"/>
        </w:rPr>
        <w:t xml:space="preserve"> z przekroczeniem warunków pozwolenia</w:t>
      </w:r>
      <w:r>
        <w:rPr>
          <w:rFonts w:ascii="Times New Roman" w:eastAsia="Calibri" w:hAnsi="Times New Roman" w:cs="Times New Roman"/>
          <w:sz w:val="24"/>
          <w:szCs w:val="24"/>
          <w:lang w:val="x-none" w:eastAsia="pl-PL"/>
        </w:rPr>
        <w:t>.</w:t>
      </w:r>
    </w:p>
    <w:p w14:paraId="553769FE" w14:textId="77777777" w:rsidR="00113E67" w:rsidRDefault="00113E67" w:rsidP="00056EE7">
      <w:pPr>
        <w:spacing w:after="0" w:line="300" w:lineRule="atLeast"/>
        <w:ind w:firstLine="567"/>
        <w:jc w:val="both"/>
        <w:rPr>
          <w:rFonts w:ascii="Times New Roman" w:hAnsi="Times New Roman" w:cs="Times New Roman"/>
          <w:sz w:val="24"/>
          <w:szCs w:val="24"/>
        </w:rPr>
      </w:pPr>
      <w:r>
        <w:rPr>
          <w:rFonts w:ascii="Times New Roman" w:hAnsi="Times New Roman" w:cs="Times New Roman"/>
          <w:sz w:val="24"/>
          <w:szCs w:val="24"/>
        </w:rPr>
        <w:t xml:space="preserve">W 2022 r. wojewódzcy inspektorzy ochrony środowiska przeprowadzili 397 kontroli </w:t>
      </w:r>
      <w:proofErr w:type="spellStart"/>
      <w:r>
        <w:rPr>
          <w:rFonts w:ascii="Times New Roman" w:hAnsi="Times New Roman" w:cs="Times New Roman"/>
          <w:sz w:val="24"/>
          <w:szCs w:val="24"/>
        </w:rPr>
        <w:t>automonitoringowych</w:t>
      </w:r>
      <w:proofErr w:type="spellEnd"/>
      <w:r>
        <w:rPr>
          <w:rFonts w:ascii="Times New Roman" w:hAnsi="Times New Roman" w:cs="Times New Roman"/>
          <w:sz w:val="24"/>
          <w:szCs w:val="24"/>
        </w:rPr>
        <w:t xml:space="preserve"> oczyszczalni ścieków nieuwzględnionych w KPOŚK, z których odprowadzane są ścieki przemysłowe. W wyniku przeprowadzonych czynności kontrolnych stwierdzono 53 naruszenia.</w:t>
      </w:r>
    </w:p>
    <w:p w14:paraId="5B219208" w14:textId="349D2E56" w:rsidR="00895F16" w:rsidRDefault="00113E67" w:rsidP="00056EE7">
      <w:pPr>
        <w:spacing w:after="0" w:line="300" w:lineRule="atLeast"/>
        <w:ind w:firstLine="567"/>
        <w:contextualSpacing/>
        <w:jc w:val="both"/>
        <w:rPr>
          <w:rFonts w:ascii="Times New Roman" w:eastAsia="Calibri" w:hAnsi="Times New Roman" w:cs="Times New Roman"/>
          <w:sz w:val="24"/>
          <w:szCs w:val="24"/>
          <w:lang w:eastAsia="pl-PL"/>
        </w:rPr>
      </w:pPr>
      <w:r>
        <w:rPr>
          <w:rFonts w:ascii="Times New Roman" w:eastAsia="Calibri" w:hAnsi="Times New Roman" w:cs="Times New Roman"/>
          <w:sz w:val="24"/>
          <w:szCs w:val="24"/>
          <w:lang w:eastAsia="pl-PL"/>
        </w:rPr>
        <w:t>W związku ze stwierdzonym przekroczeniem warunków pozwolenia w zakresie ilości i jakości ścieków wprowadzanych do wód lub do ziemi wydano 18 decyzji wymierzających opłaty podwyższone</w:t>
      </w:r>
      <w:r w:rsidR="00613F64">
        <w:rPr>
          <w:rFonts w:ascii="Times New Roman" w:eastAsia="Calibri" w:hAnsi="Times New Roman" w:cs="Times New Roman"/>
          <w:sz w:val="24"/>
          <w:szCs w:val="24"/>
          <w:lang w:eastAsia="pl-PL"/>
        </w:rPr>
        <w:t>.</w:t>
      </w:r>
    </w:p>
    <w:p w14:paraId="48E00FCF" w14:textId="77777777" w:rsidR="00113E67" w:rsidRPr="007F400A" w:rsidRDefault="00113E67" w:rsidP="00056EE7">
      <w:pPr>
        <w:spacing w:after="0" w:line="300" w:lineRule="atLeast"/>
        <w:contextualSpacing/>
        <w:jc w:val="both"/>
        <w:rPr>
          <w:rFonts w:ascii="Times New Roman" w:eastAsia="Calibri" w:hAnsi="Times New Roman" w:cs="Times New Roman"/>
          <w:sz w:val="24"/>
          <w:szCs w:val="24"/>
          <w:lang w:val="x-none" w:eastAsia="pl-PL"/>
        </w:rPr>
      </w:pPr>
    </w:p>
    <w:p w14:paraId="64C0B676" w14:textId="77777777" w:rsidR="00113E67" w:rsidRPr="007F400A" w:rsidRDefault="00113E67" w:rsidP="00434520">
      <w:pPr>
        <w:keepNext/>
        <w:spacing w:after="120" w:line="300" w:lineRule="atLeast"/>
        <w:jc w:val="both"/>
        <w:outlineLvl w:val="0"/>
        <w:rPr>
          <w:rFonts w:ascii="Times New Roman" w:eastAsia="Times New Roman" w:hAnsi="Times New Roman" w:cs="Times New Roman"/>
          <w:b/>
          <w:bCs/>
          <w:sz w:val="24"/>
          <w:szCs w:val="24"/>
          <w:lang w:val="x-none" w:eastAsia="x-none"/>
        </w:rPr>
      </w:pPr>
      <w:bookmarkStart w:id="137" w:name="_Toc135935611"/>
      <w:r w:rsidRPr="007F400A">
        <w:rPr>
          <w:rFonts w:ascii="Times New Roman" w:eastAsia="Times New Roman" w:hAnsi="Times New Roman" w:cs="Times New Roman"/>
          <w:b/>
          <w:bCs/>
          <w:sz w:val="24"/>
          <w:szCs w:val="24"/>
          <w:lang w:val="x-none" w:eastAsia="x-none"/>
        </w:rPr>
        <w:t>3.3.</w:t>
      </w:r>
      <w:r>
        <w:rPr>
          <w:rFonts w:ascii="Times New Roman" w:eastAsia="Times New Roman" w:hAnsi="Times New Roman" w:cs="Times New Roman"/>
          <w:b/>
          <w:bCs/>
          <w:sz w:val="24"/>
          <w:szCs w:val="24"/>
          <w:lang w:eastAsia="x-none"/>
        </w:rPr>
        <w:t xml:space="preserve">21 </w:t>
      </w:r>
      <w:bookmarkStart w:id="138" w:name="_Hlk129241828"/>
      <w:r>
        <w:rPr>
          <w:rFonts w:ascii="Times New Roman" w:eastAsia="Times New Roman" w:hAnsi="Times New Roman" w:cs="Times New Roman"/>
          <w:b/>
          <w:bCs/>
          <w:sz w:val="24"/>
          <w:szCs w:val="24"/>
          <w:lang w:eastAsia="x-none"/>
        </w:rPr>
        <w:t>Kontrole ujęć wody</w:t>
      </w:r>
      <w:bookmarkEnd w:id="137"/>
      <w:r>
        <w:rPr>
          <w:rFonts w:ascii="Times New Roman" w:eastAsia="Times New Roman" w:hAnsi="Times New Roman" w:cs="Times New Roman"/>
          <w:b/>
          <w:bCs/>
          <w:sz w:val="24"/>
          <w:szCs w:val="24"/>
          <w:lang w:eastAsia="x-none"/>
        </w:rPr>
        <w:t xml:space="preserve"> </w:t>
      </w:r>
      <w:bookmarkEnd w:id="138"/>
    </w:p>
    <w:p w14:paraId="5024B7D4" w14:textId="77777777" w:rsidR="00113E67" w:rsidRDefault="00113E67" w:rsidP="00434520">
      <w:pPr>
        <w:spacing w:after="0" w:line="300" w:lineRule="atLeast"/>
        <w:ind w:firstLine="567"/>
        <w:jc w:val="both"/>
        <w:rPr>
          <w:rFonts w:ascii="Times New Roman" w:hAnsi="Times New Roman" w:cs="Times New Roman"/>
          <w:sz w:val="24"/>
          <w:szCs w:val="24"/>
        </w:rPr>
      </w:pPr>
      <w:r w:rsidRPr="007F400A">
        <w:rPr>
          <w:rFonts w:ascii="Times New Roman" w:hAnsi="Times New Roman" w:cs="Times New Roman"/>
          <w:sz w:val="24"/>
          <w:szCs w:val="24"/>
        </w:rPr>
        <w:t>W 202</w:t>
      </w:r>
      <w:r>
        <w:rPr>
          <w:rFonts w:ascii="Times New Roman" w:hAnsi="Times New Roman" w:cs="Times New Roman"/>
          <w:sz w:val="24"/>
          <w:szCs w:val="24"/>
        </w:rPr>
        <w:t>2</w:t>
      </w:r>
      <w:r w:rsidRPr="007F400A">
        <w:rPr>
          <w:rFonts w:ascii="Times New Roman" w:hAnsi="Times New Roman" w:cs="Times New Roman"/>
          <w:sz w:val="24"/>
          <w:szCs w:val="24"/>
        </w:rPr>
        <w:t xml:space="preserve"> r. wojewódzcy inspektorzy prowadzili kontrole podmiotów, które na podstawie pozwoleń wodnoprawnych lub zintegrowanych korzystają z usług wodnych poprzez </w:t>
      </w:r>
      <w:r>
        <w:rPr>
          <w:rFonts w:ascii="Times New Roman" w:hAnsi="Times New Roman" w:cs="Times New Roman"/>
          <w:sz w:val="24"/>
          <w:szCs w:val="24"/>
        </w:rPr>
        <w:t>pobór wód podziemnych lub powierzchniowych.</w:t>
      </w:r>
    </w:p>
    <w:p w14:paraId="2BAD11D7" w14:textId="33525F99" w:rsidR="00113E67" w:rsidRPr="007F400A" w:rsidRDefault="00113E67" w:rsidP="00434520">
      <w:pPr>
        <w:spacing w:after="0" w:line="300" w:lineRule="atLeast"/>
        <w:ind w:firstLine="567"/>
        <w:jc w:val="both"/>
        <w:rPr>
          <w:rFonts w:ascii="Times New Roman" w:hAnsi="Times New Roman" w:cs="Times New Roman"/>
          <w:sz w:val="24"/>
          <w:szCs w:val="24"/>
        </w:rPr>
      </w:pPr>
      <w:r>
        <w:rPr>
          <w:rFonts w:ascii="Times New Roman" w:hAnsi="Times New Roman" w:cs="Times New Roman"/>
          <w:sz w:val="24"/>
          <w:szCs w:val="24"/>
        </w:rPr>
        <w:t xml:space="preserve">Kontrolą objęto zarówno podmioty realizujące zadania gminne dotyczące zbiorowego zaopatrzenia w wodę </w:t>
      </w:r>
      <w:r w:rsidRPr="0051290A">
        <w:rPr>
          <w:rFonts w:ascii="Times New Roman" w:hAnsi="Times New Roman" w:cs="Times New Roman"/>
          <w:sz w:val="24"/>
          <w:szCs w:val="24"/>
        </w:rPr>
        <w:t>przeznaczoną do spożycia przez ludzi</w:t>
      </w:r>
      <w:r w:rsidR="00434520">
        <w:rPr>
          <w:rFonts w:ascii="Times New Roman" w:hAnsi="Times New Roman" w:cs="Times New Roman"/>
          <w:sz w:val="24"/>
          <w:szCs w:val="24"/>
        </w:rPr>
        <w:t>,</w:t>
      </w:r>
      <w:r>
        <w:rPr>
          <w:rFonts w:ascii="Times New Roman" w:hAnsi="Times New Roman" w:cs="Times New Roman"/>
          <w:sz w:val="24"/>
          <w:szCs w:val="24"/>
        </w:rPr>
        <w:t xml:space="preserve"> jak i zakłady przemysłowe pobierające wodę na potrzeby prowadzonej działalności.</w:t>
      </w:r>
    </w:p>
    <w:p w14:paraId="29922612" w14:textId="77777777" w:rsidR="00113E67" w:rsidRPr="007F400A" w:rsidRDefault="00113E67" w:rsidP="00434520">
      <w:pPr>
        <w:spacing w:after="0" w:line="300" w:lineRule="atLeast"/>
        <w:ind w:firstLine="567"/>
        <w:jc w:val="both"/>
        <w:rPr>
          <w:rFonts w:ascii="Times New Roman" w:hAnsi="Times New Roman" w:cs="Times New Roman"/>
          <w:sz w:val="24"/>
          <w:szCs w:val="24"/>
        </w:rPr>
      </w:pPr>
      <w:r w:rsidRPr="007F400A">
        <w:rPr>
          <w:rFonts w:ascii="Times New Roman" w:hAnsi="Times New Roman" w:cs="Times New Roman"/>
          <w:sz w:val="24"/>
          <w:szCs w:val="24"/>
        </w:rPr>
        <w:t xml:space="preserve">Kontrole </w:t>
      </w:r>
      <w:r>
        <w:rPr>
          <w:rFonts w:ascii="Times New Roman" w:hAnsi="Times New Roman" w:cs="Times New Roman"/>
          <w:sz w:val="24"/>
          <w:szCs w:val="24"/>
        </w:rPr>
        <w:t>ujęć wody</w:t>
      </w:r>
      <w:r w:rsidRPr="007F400A">
        <w:rPr>
          <w:rFonts w:ascii="Times New Roman" w:hAnsi="Times New Roman" w:cs="Times New Roman"/>
          <w:sz w:val="24"/>
          <w:szCs w:val="24"/>
        </w:rPr>
        <w:t xml:space="preserve"> były prowadzone zarówno w terenie (kontrole z wyjazdem w teren), jak i bez wyjazdu w teren (tzw. kontrole </w:t>
      </w:r>
      <w:proofErr w:type="spellStart"/>
      <w:r w:rsidRPr="007F400A">
        <w:rPr>
          <w:rFonts w:ascii="Times New Roman" w:hAnsi="Times New Roman" w:cs="Times New Roman"/>
          <w:sz w:val="24"/>
          <w:szCs w:val="24"/>
        </w:rPr>
        <w:t>automonitoringowe</w:t>
      </w:r>
      <w:proofErr w:type="spellEnd"/>
      <w:r w:rsidRPr="007F400A">
        <w:rPr>
          <w:rFonts w:ascii="Times New Roman" w:hAnsi="Times New Roman" w:cs="Times New Roman"/>
          <w:sz w:val="24"/>
          <w:szCs w:val="24"/>
        </w:rPr>
        <w:t>) – na podstawie wyników pomiarów</w:t>
      </w:r>
      <w:r>
        <w:rPr>
          <w:rFonts w:ascii="Times New Roman" w:hAnsi="Times New Roman" w:cs="Times New Roman"/>
          <w:sz w:val="24"/>
          <w:szCs w:val="24"/>
        </w:rPr>
        <w:t xml:space="preserve"> ilości pobranej wody </w:t>
      </w:r>
      <w:r w:rsidRPr="007F400A">
        <w:rPr>
          <w:rFonts w:ascii="Times New Roman" w:hAnsi="Times New Roman" w:cs="Times New Roman"/>
          <w:sz w:val="24"/>
          <w:szCs w:val="24"/>
        </w:rPr>
        <w:t xml:space="preserve">wykonywanych przez podmioty korzystające z usług wodnych, zobowiązane do </w:t>
      </w:r>
      <w:r w:rsidRPr="00E504BD">
        <w:rPr>
          <w:rFonts w:ascii="Times New Roman" w:hAnsi="Times New Roman" w:cs="Times New Roman"/>
          <w:sz w:val="24"/>
          <w:szCs w:val="24"/>
        </w:rPr>
        <w:t xml:space="preserve">wykonywania takich pomiarów i przedkładania ich </w:t>
      </w:r>
      <w:r>
        <w:rPr>
          <w:rFonts w:ascii="Times New Roman" w:hAnsi="Times New Roman" w:cs="Times New Roman"/>
          <w:sz w:val="24"/>
          <w:szCs w:val="24"/>
        </w:rPr>
        <w:t xml:space="preserve">wyników </w:t>
      </w:r>
      <w:r w:rsidRPr="00E504BD">
        <w:rPr>
          <w:rFonts w:ascii="Times New Roman" w:hAnsi="Times New Roman" w:cs="Times New Roman"/>
          <w:sz w:val="24"/>
          <w:szCs w:val="24"/>
        </w:rPr>
        <w:t>właściwym organom, w</w:t>
      </w:r>
      <w:r>
        <w:rPr>
          <w:rFonts w:ascii="Times New Roman" w:hAnsi="Times New Roman" w:cs="Times New Roman"/>
          <w:sz w:val="24"/>
          <w:szCs w:val="24"/>
        </w:rPr>
        <w:t> </w:t>
      </w:r>
      <w:r w:rsidRPr="00E504BD">
        <w:rPr>
          <w:rFonts w:ascii="Times New Roman" w:hAnsi="Times New Roman" w:cs="Times New Roman"/>
          <w:sz w:val="24"/>
          <w:szCs w:val="24"/>
        </w:rPr>
        <w:t>tym wojewódzkim inspektorom ochrony środowiska.</w:t>
      </w:r>
    </w:p>
    <w:p w14:paraId="66CB4685" w14:textId="7A85B091" w:rsidR="00113E67" w:rsidRDefault="00113E67" w:rsidP="00434520">
      <w:pPr>
        <w:spacing w:after="0" w:line="300" w:lineRule="atLeast"/>
        <w:ind w:firstLine="567"/>
        <w:jc w:val="both"/>
        <w:rPr>
          <w:rFonts w:ascii="Times New Roman" w:hAnsi="Times New Roman" w:cs="Times New Roman"/>
          <w:sz w:val="24"/>
          <w:szCs w:val="24"/>
        </w:rPr>
      </w:pPr>
      <w:r w:rsidRPr="00E504BD">
        <w:rPr>
          <w:rFonts w:ascii="Times New Roman" w:hAnsi="Times New Roman" w:cs="Times New Roman"/>
          <w:sz w:val="24"/>
          <w:szCs w:val="24"/>
        </w:rPr>
        <w:t>Łącznie w 202</w:t>
      </w:r>
      <w:r>
        <w:rPr>
          <w:rFonts w:ascii="Times New Roman" w:hAnsi="Times New Roman" w:cs="Times New Roman"/>
          <w:sz w:val="24"/>
          <w:szCs w:val="24"/>
        </w:rPr>
        <w:t>2</w:t>
      </w:r>
      <w:r w:rsidRPr="00E504BD">
        <w:rPr>
          <w:rFonts w:ascii="Times New Roman" w:hAnsi="Times New Roman" w:cs="Times New Roman"/>
          <w:sz w:val="24"/>
          <w:szCs w:val="24"/>
        </w:rPr>
        <w:t xml:space="preserve"> r. wykonano </w:t>
      </w:r>
      <w:r>
        <w:rPr>
          <w:rFonts w:ascii="Times New Roman" w:hAnsi="Times New Roman" w:cs="Times New Roman"/>
          <w:sz w:val="24"/>
          <w:szCs w:val="24"/>
        </w:rPr>
        <w:t>4 632 kontrol</w:t>
      </w:r>
      <w:r w:rsidR="00434520">
        <w:rPr>
          <w:rFonts w:ascii="Times New Roman" w:hAnsi="Times New Roman" w:cs="Times New Roman"/>
          <w:sz w:val="24"/>
          <w:szCs w:val="24"/>
        </w:rPr>
        <w:t>e</w:t>
      </w:r>
      <w:r>
        <w:rPr>
          <w:rFonts w:ascii="Times New Roman" w:hAnsi="Times New Roman" w:cs="Times New Roman"/>
          <w:sz w:val="24"/>
          <w:szCs w:val="24"/>
        </w:rPr>
        <w:t xml:space="preserve"> ujęć wody, z czego 527</w:t>
      </w:r>
      <w:r w:rsidRPr="00E504BD">
        <w:rPr>
          <w:rFonts w:ascii="Times New Roman" w:hAnsi="Times New Roman" w:cs="Times New Roman"/>
          <w:sz w:val="24"/>
          <w:szCs w:val="24"/>
        </w:rPr>
        <w:t xml:space="preserve"> kontrol</w:t>
      </w:r>
      <w:r w:rsidR="00434520">
        <w:rPr>
          <w:rFonts w:ascii="Times New Roman" w:hAnsi="Times New Roman" w:cs="Times New Roman"/>
          <w:sz w:val="24"/>
          <w:szCs w:val="24"/>
        </w:rPr>
        <w:t>i</w:t>
      </w:r>
      <w:r w:rsidRPr="00E504BD">
        <w:rPr>
          <w:rFonts w:ascii="Times New Roman" w:hAnsi="Times New Roman" w:cs="Times New Roman"/>
          <w:sz w:val="24"/>
          <w:szCs w:val="24"/>
        </w:rPr>
        <w:t xml:space="preserve"> odbył</w:t>
      </w:r>
      <w:r w:rsidR="00434520">
        <w:rPr>
          <w:rFonts w:ascii="Times New Roman" w:hAnsi="Times New Roman" w:cs="Times New Roman"/>
          <w:sz w:val="24"/>
          <w:szCs w:val="24"/>
        </w:rPr>
        <w:t>o</w:t>
      </w:r>
      <w:r w:rsidRPr="00E504BD">
        <w:rPr>
          <w:rFonts w:ascii="Times New Roman" w:hAnsi="Times New Roman" w:cs="Times New Roman"/>
          <w:sz w:val="24"/>
          <w:szCs w:val="24"/>
        </w:rPr>
        <w:t xml:space="preserve"> się </w:t>
      </w:r>
      <w:r w:rsidRPr="00E504BD">
        <w:rPr>
          <w:rFonts w:ascii="Times New Roman" w:hAnsi="Times New Roman" w:cs="Times New Roman"/>
          <w:sz w:val="24"/>
          <w:szCs w:val="24"/>
        </w:rPr>
        <w:br/>
        <w:t xml:space="preserve">w terenie, a </w:t>
      </w:r>
      <w:r>
        <w:rPr>
          <w:rFonts w:ascii="Times New Roman" w:hAnsi="Times New Roman" w:cs="Times New Roman"/>
          <w:sz w:val="24"/>
          <w:szCs w:val="24"/>
        </w:rPr>
        <w:t>4 105</w:t>
      </w:r>
      <w:r w:rsidRPr="00E504BD">
        <w:rPr>
          <w:rFonts w:ascii="Times New Roman" w:hAnsi="Times New Roman" w:cs="Times New Roman"/>
          <w:sz w:val="24"/>
          <w:szCs w:val="24"/>
        </w:rPr>
        <w:t xml:space="preserve"> stanowiły kontrole bez wyjazdu w teren (kontrole </w:t>
      </w:r>
      <w:proofErr w:type="spellStart"/>
      <w:r w:rsidRPr="00E504BD">
        <w:rPr>
          <w:rFonts w:ascii="Times New Roman" w:hAnsi="Times New Roman" w:cs="Times New Roman"/>
          <w:sz w:val="24"/>
          <w:szCs w:val="24"/>
        </w:rPr>
        <w:t>automonitoringowe</w:t>
      </w:r>
      <w:proofErr w:type="spellEnd"/>
      <w:r w:rsidRPr="00E504BD">
        <w:rPr>
          <w:rFonts w:ascii="Times New Roman" w:hAnsi="Times New Roman" w:cs="Times New Roman"/>
          <w:sz w:val="24"/>
          <w:szCs w:val="24"/>
        </w:rPr>
        <w:t>).</w:t>
      </w:r>
      <w:r>
        <w:rPr>
          <w:rFonts w:ascii="Times New Roman" w:hAnsi="Times New Roman" w:cs="Times New Roman"/>
          <w:sz w:val="24"/>
          <w:szCs w:val="24"/>
        </w:rPr>
        <w:t xml:space="preserve"> </w:t>
      </w:r>
    </w:p>
    <w:p w14:paraId="1F5D4F2F" w14:textId="77777777" w:rsidR="00113E67" w:rsidRDefault="00113E67" w:rsidP="00434520">
      <w:pPr>
        <w:spacing w:after="60" w:line="300" w:lineRule="atLeast"/>
        <w:ind w:firstLine="567"/>
        <w:jc w:val="both"/>
        <w:rPr>
          <w:rFonts w:ascii="Times New Roman" w:hAnsi="Times New Roman" w:cs="Times New Roman"/>
          <w:sz w:val="24"/>
          <w:szCs w:val="24"/>
        </w:rPr>
      </w:pPr>
      <w:r>
        <w:rPr>
          <w:rFonts w:ascii="Times New Roman" w:hAnsi="Times New Roman" w:cs="Times New Roman"/>
          <w:sz w:val="24"/>
          <w:szCs w:val="24"/>
        </w:rPr>
        <w:t>W przypadku kontroli w terenie naruszenia stwierdzono w toku 147 kontroli, w tym:</w:t>
      </w:r>
    </w:p>
    <w:p w14:paraId="59B38302" w14:textId="77777777" w:rsidR="00113E67" w:rsidRPr="00F407A5" w:rsidRDefault="00113E67" w:rsidP="00D34F97">
      <w:pPr>
        <w:pStyle w:val="Akapitzlist"/>
        <w:numPr>
          <w:ilvl w:val="0"/>
          <w:numId w:val="172"/>
        </w:numPr>
        <w:spacing w:line="300" w:lineRule="atLeast"/>
        <w:ind w:left="924" w:hanging="357"/>
        <w:jc w:val="both"/>
        <w:rPr>
          <w:sz w:val="24"/>
          <w:szCs w:val="24"/>
        </w:rPr>
      </w:pPr>
      <w:r w:rsidRPr="00F407A5">
        <w:rPr>
          <w:sz w:val="24"/>
          <w:szCs w:val="24"/>
        </w:rPr>
        <w:t>podczas 18 kontroli stwierdzono przekroczenia dopuszczalnej ilości pobranej wody, względem ustalonej w pozwoleniu,</w:t>
      </w:r>
    </w:p>
    <w:p w14:paraId="56B5C1C3" w14:textId="77777777" w:rsidR="00113E67" w:rsidRDefault="00113E67" w:rsidP="00D34F97">
      <w:pPr>
        <w:pStyle w:val="Akapitzlist"/>
        <w:numPr>
          <w:ilvl w:val="0"/>
          <w:numId w:val="172"/>
        </w:numPr>
        <w:spacing w:line="300" w:lineRule="atLeast"/>
        <w:ind w:left="924" w:hanging="357"/>
        <w:jc w:val="both"/>
        <w:rPr>
          <w:sz w:val="24"/>
          <w:szCs w:val="24"/>
        </w:rPr>
      </w:pPr>
      <w:r w:rsidRPr="00F407A5">
        <w:rPr>
          <w:sz w:val="24"/>
          <w:szCs w:val="24"/>
        </w:rPr>
        <w:t>podczas 129 kontroli stwierdzono naruszenia innych warunków pozwolenia, takich jak przykładowo:</w:t>
      </w:r>
    </w:p>
    <w:p w14:paraId="15D72E1C" w14:textId="77777777" w:rsidR="00113E67" w:rsidRDefault="00113E67" w:rsidP="00D34F97">
      <w:pPr>
        <w:pStyle w:val="Akapitzlist"/>
        <w:numPr>
          <w:ilvl w:val="0"/>
          <w:numId w:val="173"/>
        </w:numPr>
        <w:spacing w:line="300" w:lineRule="atLeast"/>
        <w:jc w:val="both"/>
        <w:rPr>
          <w:sz w:val="24"/>
          <w:szCs w:val="24"/>
        </w:rPr>
      </w:pPr>
      <w:r>
        <w:rPr>
          <w:sz w:val="24"/>
          <w:szCs w:val="24"/>
        </w:rPr>
        <w:t>niewykonywanie pomiaru zwierciadła wody w studni,</w:t>
      </w:r>
    </w:p>
    <w:p w14:paraId="7B109A98" w14:textId="77777777" w:rsidR="00113E67" w:rsidRDefault="00113E67" w:rsidP="00D34F97">
      <w:pPr>
        <w:pStyle w:val="Akapitzlist"/>
        <w:numPr>
          <w:ilvl w:val="0"/>
          <w:numId w:val="173"/>
        </w:numPr>
        <w:spacing w:line="300" w:lineRule="atLeast"/>
        <w:jc w:val="both"/>
        <w:rPr>
          <w:sz w:val="24"/>
          <w:szCs w:val="24"/>
        </w:rPr>
      </w:pPr>
      <w:r>
        <w:rPr>
          <w:sz w:val="24"/>
          <w:szCs w:val="24"/>
        </w:rPr>
        <w:t>niewykonywanie pomiaru wydajności studni,</w:t>
      </w:r>
    </w:p>
    <w:p w14:paraId="4707C2C9" w14:textId="77777777" w:rsidR="00113E67" w:rsidRPr="00F407A5" w:rsidRDefault="00113E67" w:rsidP="00D34F97">
      <w:pPr>
        <w:pStyle w:val="Akapitzlist"/>
        <w:numPr>
          <w:ilvl w:val="0"/>
          <w:numId w:val="173"/>
        </w:numPr>
        <w:spacing w:after="120" w:line="300" w:lineRule="atLeast"/>
        <w:ind w:left="1434" w:hanging="357"/>
        <w:contextualSpacing w:val="0"/>
        <w:jc w:val="both"/>
        <w:rPr>
          <w:sz w:val="24"/>
          <w:szCs w:val="24"/>
        </w:rPr>
      </w:pPr>
      <w:r>
        <w:rPr>
          <w:sz w:val="24"/>
          <w:szCs w:val="24"/>
        </w:rPr>
        <w:t>nieprowadzenie książki eksploatacji studni.</w:t>
      </w:r>
    </w:p>
    <w:p w14:paraId="0FC885BE" w14:textId="77777777" w:rsidR="00113E67" w:rsidRDefault="00113E67" w:rsidP="00434520">
      <w:pPr>
        <w:spacing w:after="60" w:line="300" w:lineRule="atLeast"/>
        <w:jc w:val="both"/>
        <w:rPr>
          <w:rFonts w:ascii="Times New Roman" w:hAnsi="Times New Roman" w:cs="Times New Roman"/>
          <w:sz w:val="24"/>
          <w:szCs w:val="24"/>
        </w:rPr>
      </w:pPr>
      <w:r w:rsidRPr="00F67772">
        <w:rPr>
          <w:rFonts w:ascii="Times New Roman" w:hAnsi="Times New Roman" w:cs="Times New Roman"/>
          <w:sz w:val="24"/>
          <w:szCs w:val="24"/>
        </w:rPr>
        <w:t xml:space="preserve">Stwierdzone naruszenia </w:t>
      </w:r>
      <w:r>
        <w:rPr>
          <w:rFonts w:ascii="Times New Roman" w:hAnsi="Times New Roman" w:cs="Times New Roman"/>
          <w:sz w:val="24"/>
          <w:szCs w:val="24"/>
        </w:rPr>
        <w:t>to m.in.:</w:t>
      </w:r>
    </w:p>
    <w:p w14:paraId="1ABF9302" w14:textId="77777777" w:rsidR="00113E67" w:rsidRDefault="00113E67" w:rsidP="00D34F97">
      <w:pPr>
        <w:pStyle w:val="Akapitzlist"/>
        <w:numPr>
          <w:ilvl w:val="0"/>
          <w:numId w:val="171"/>
        </w:numPr>
        <w:spacing w:line="300" w:lineRule="atLeast"/>
        <w:ind w:left="924" w:hanging="357"/>
        <w:jc w:val="both"/>
        <w:rPr>
          <w:sz w:val="24"/>
          <w:szCs w:val="24"/>
        </w:rPr>
      </w:pPr>
      <w:r>
        <w:rPr>
          <w:sz w:val="24"/>
          <w:szCs w:val="24"/>
        </w:rPr>
        <w:t>nieinformowanie organu ochrony środowiska o zamontowaniu przepływomierza,</w:t>
      </w:r>
    </w:p>
    <w:p w14:paraId="4277640E" w14:textId="77777777" w:rsidR="00113E67" w:rsidRDefault="00113E67" w:rsidP="00D34F97">
      <w:pPr>
        <w:pStyle w:val="Akapitzlist"/>
        <w:numPr>
          <w:ilvl w:val="0"/>
          <w:numId w:val="171"/>
        </w:numPr>
        <w:spacing w:line="300" w:lineRule="atLeast"/>
        <w:ind w:left="924" w:hanging="357"/>
        <w:jc w:val="both"/>
        <w:rPr>
          <w:sz w:val="24"/>
          <w:szCs w:val="24"/>
        </w:rPr>
      </w:pPr>
      <w:r>
        <w:rPr>
          <w:sz w:val="24"/>
          <w:szCs w:val="24"/>
        </w:rPr>
        <w:t>niewykonywanie pomiaru zwierciadła wody w studni,</w:t>
      </w:r>
    </w:p>
    <w:p w14:paraId="79464CFE" w14:textId="77777777" w:rsidR="00113E67" w:rsidRDefault="00113E67" w:rsidP="00D34F97">
      <w:pPr>
        <w:pStyle w:val="Akapitzlist"/>
        <w:numPr>
          <w:ilvl w:val="0"/>
          <w:numId w:val="171"/>
        </w:numPr>
        <w:spacing w:line="300" w:lineRule="atLeast"/>
        <w:ind w:left="924" w:hanging="357"/>
        <w:jc w:val="both"/>
        <w:rPr>
          <w:sz w:val="24"/>
          <w:szCs w:val="24"/>
        </w:rPr>
      </w:pPr>
      <w:r>
        <w:rPr>
          <w:sz w:val="24"/>
          <w:szCs w:val="24"/>
        </w:rPr>
        <w:t>niewykonywanie pomiaru wydajności studni,</w:t>
      </w:r>
    </w:p>
    <w:p w14:paraId="1904994C" w14:textId="77777777" w:rsidR="00113E67" w:rsidRPr="00740320" w:rsidRDefault="00113E67" w:rsidP="00D34F97">
      <w:pPr>
        <w:pStyle w:val="Akapitzlist"/>
        <w:numPr>
          <w:ilvl w:val="0"/>
          <w:numId w:val="171"/>
        </w:numPr>
        <w:spacing w:line="300" w:lineRule="atLeast"/>
        <w:ind w:left="924" w:hanging="357"/>
        <w:jc w:val="both"/>
        <w:rPr>
          <w:sz w:val="24"/>
          <w:szCs w:val="24"/>
        </w:rPr>
      </w:pPr>
      <w:r>
        <w:rPr>
          <w:sz w:val="24"/>
          <w:szCs w:val="24"/>
        </w:rPr>
        <w:t>nieprowadzenie książki eksploatacji studni</w:t>
      </w:r>
      <w:r>
        <w:rPr>
          <w:sz w:val="24"/>
          <w:szCs w:val="24"/>
          <w:lang w:val="pl-PL"/>
        </w:rPr>
        <w:t>,</w:t>
      </w:r>
    </w:p>
    <w:p w14:paraId="6079B72C" w14:textId="77777777" w:rsidR="00113E67" w:rsidRPr="00B5252E" w:rsidRDefault="00113E67" w:rsidP="00D34F97">
      <w:pPr>
        <w:pStyle w:val="Akapitzlist"/>
        <w:numPr>
          <w:ilvl w:val="0"/>
          <w:numId w:val="171"/>
        </w:numPr>
        <w:spacing w:after="120" w:line="300" w:lineRule="atLeast"/>
        <w:ind w:left="924" w:hanging="357"/>
        <w:contextualSpacing w:val="0"/>
        <w:jc w:val="both"/>
        <w:rPr>
          <w:sz w:val="24"/>
          <w:szCs w:val="24"/>
        </w:rPr>
      </w:pPr>
      <w:r>
        <w:rPr>
          <w:sz w:val="24"/>
          <w:szCs w:val="24"/>
        </w:rPr>
        <w:t>przekroczenie dopuszczalnej ilości pobranej wody</w:t>
      </w:r>
      <w:r>
        <w:rPr>
          <w:sz w:val="24"/>
          <w:szCs w:val="24"/>
          <w:lang w:val="pl-PL"/>
        </w:rPr>
        <w:t>.</w:t>
      </w:r>
    </w:p>
    <w:p w14:paraId="38750686" w14:textId="77777777" w:rsidR="00113E67" w:rsidRPr="00F50F3B" w:rsidRDefault="00113E67" w:rsidP="00434520">
      <w:pPr>
        <w:spacing w:after="60" w:line="300" w:lineRule="atLeast"/>
        <w:jc w:val="both"/>
        <w:rPr>
          <w:rFonts w:ascii="Times New Roman" w:hAnsi="Times New Roman" w:cs="Times New Roman"/>
          <w:sz w:val="24"/>
          <w:szCs w:val="24"/>
        </w:rPr>
      </w:pPr>
      <w:r w:rsidRPr="00E504BD">
        <w:rPr>
          <w:rFonts w:ascii="Times New Roman" w:hAnsi="Times New Roman" w:cs="Times New Roman"/>
          <w:sz w:val="24"/>
          <w:szCs w:val="24"/>
        </w:rPr>
        <w:t>W związku z</w:t>
      </w:r>
      <w:r>
        <w:rPr>
          <w:rFonts w:ascii="Times New Roman" w:hAnsi="Times New Roman" w:cs="Times New Roman"/>
          <w:sz w:val="24"/>
          <w:szCs w:val="24"/>
        </w:rPr>
        <w:t xml:space="preserve"> </w:t>
      </w:r>
      <w:r w:rsidRPr="00E504BD">
        <w:rPr>
          <w:rFonts w:ascii="Times New Roman" w:hAnsi="Times New Roman" w:cs="Times New Roman"/>
          <w:sz w:val="24"/>
          <w:szCs w:val="24"/>
        </w:rPr>
        <w:t xml:space="preserve">naruszeniami stwierdzonymi podczas kontroli w terenie </w:t>
      </w:r>
      <w:r w:rsidRPr="00F50F3B">
        <w:rPr>
          <w:rFonts w:ascii="Times New Roman" w:hAnsi="Times New Roman" w:cs="Times New Roman"/>
          <w:sz w:val="24"/>
          <w:szCs w:val="24"/>
        </w:rPr>
        <w:t>wojewódzcy inspektorzy ochrony środowiska</w:t>
      </w:r>
      <w:r>
        <w:rPr>
          <w:rFonts w:ascii="Times New Roman" w:hAnsi="Times New Roman" w:cs="Times New Roman"/>
          <w:sz w:val="24"/>
          <w:szCs w:val="24"/>
        </w:rPr>
        <w:t xml:space="preserve"> </w:t>
      </w:r>
      <w:r w:rsidRPr="00F50F3B">
        <w:rPr>
          <w:rFonts w:ascii="Times New Roman" w:hAnsi="Times New Roman" w:cs="Times New Roman"/>
          <w:sz w:val="24"/>
          <w:szCs w:val="24"/>
        </w:rPr>
        <w:t>w ramach podjętych działań pokontrolnych wydali łącznie:</w:t>
      </w:r>
    </w:p>
    <w:p w14:paraId="7C881FF6" w14:textId="77777777" w:rsidR="00113E67" w:rsidRDefault="00113E67" w:rsidP="00D34F97">
      <w:pPr>
        <w:numPr>
          <w:ilvl w:val="0"/>
          <w:numId w:val="104"/>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eastAsia="pl-PL"/>
        </w:rPr>
        <w:t>151</w:t>
      </w:r>
      <w:r w:rsidRPr="00F4328F">
        <w:rPr>
          <w:rFonts w:ascii="Times New Roman" w:eastAsia="Calibri" w:hAnsi="Times New Roman" w:cs="Times New Roman"/>
          <w:sz w:val="24"/>
          <w:szCs w:val="24"/>
          <w:lang w:val="x-none" w:eastAsia="pl-PL"/>
        </w:rPr>
        <w:t xml:space="preserve"> zarządze</w:t>
      </w:r>
      <w:r>
        <w:rPr>
          <w:rFonts w:ascii="Times New Roman" w:eastAsia="Calibri" w:hAnsi="Times New Roman" w:cs="Times New Roman"/>
          <w:sz w:val="24"/>
          <w:szCs w:val="24"/>
          <w:lang w:eastAsia="pl-PL"/>
        </w:rPr>
        <w:t>ń</w:t>
      </w:r>
      <w:r w:rsidRPr="005013E5">
        <w:rPr>
          <w:rFonts w:ascii="Times New Roman" w:eastAsia="Calibri" w:hAnsi="Times New Roman" w:cs="Times New Roman"/>
          <w:sz w:val="24"/>
          <w:szCs w:val="24"/>
          <w:lang w:val="x-none" w:eastAsia="pl-PL"/>
        </w:rPr>
        <w:t xml:space="preserve"> pokontroln</w:t>
      </w:r>
      <w:r>
        <w:rPr>
          <w:rFonts w:ascii="Times New Roman" w:eastAsia="Calibri" w:hAnsi="Times New Roman" w:cs="Times New Roman"/>
          <w:sz w:val="24"/>
          <w:szCs w:val="24"/>
          <w:lang w:eastAsia="pl-PL"/>
        </w:rPr>
        <w:t>ych</w:t>
      </w:r>
      <w:r w:rsidRPr="005013E5">
        <w:rPr>
          <w:rFonts w:ascii="Times New Roman" w:eastAsia="Calibri" w:hAnsi="Times New Roman" w:cs="Times New Roman"/>
          <w:sz w:val="24"/>
          <w:szCs w:val="24"/>
          <w:lang w:val="x-none" w:eastAsia="pl-PL"/>
        </w:rPr>
        <w:t>,</w:t>
      </w:r>
    </w:p>
    <w:p w14:paraId="0D3F260B" w14:textId="77777777" w:rsidR="00113E67" w:rsidRDefault="00113E67" w:rsidP="00D34F97">
      <w:pPr>
        <w:numPr>
          <w:ilvl w:val="0"/>
          <w:numId w:val="104"/>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eastAsia="pl-PL"/>
        </w:rPr>
        <w:t>11 decyzji administracyjnych wymierzających opłaty podwyższone za przekroczenie warunków pozwolenia w zakresie ilości pobranej wody,</w:t>
      </w:r>
    </w:p>
    <w:p w14:paraId="4AA32945" w14:textId="77777777" w:rsidR="00113E67" w:rsidRPr="007D72AD" w:rsidRDefault="00113E67" w:rsidP="00D34F97">
      <w:pPr>
        <w:numPr>
          <w:ilvl w:val="0"/>
          <w:numId w:val="104"/>
        </w:numPr>
        <w:spacing w:after="0" w:line="300" w:lineRule="atLeast"/>
        <w:ind w:left="924" w:hanging="357"/>
        <w:contextualSpacing/>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eastAsia="pl-PL"/>
        </w:rPr>
        <w:t>95 wystąpień do organów Państwowego Gospodarstwa Wodnego Wody Polskie,</w:t>
      </w:r>
    </w:p>
    <w:p w14:paraId="70731B86" w14:textId="77777777" w:rsidR="00113E67" w:rsidRPr="007D72AD" w:rsidRDefault="00113E67" w:rsidP="00D34F97">
      <w:pPr>
        <w:numPr>
          <w:ilvl w:val="0"/>
          <w:numId w:val="104"/>
        </w:numPr>
        <w:spacing w:after="120" w:line="300" w:lineRule="atLeast"/>
        <w:ind w:left="924" w:hanging="357"/>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eastAsia="pl-PL"/>
        </w:rPr>
        <w:lastRenderedPageBreak/>
        <w:t>64 wystąpienia do innych organów.</w:t>
      </w:r>
    </w:p>
    <w:p w14:paraId="31EC286E" w14:textId="0C7F0BAC" w:rsidR="00895F16" w:rsidRDefault="00113E67" w:rsidP="00056EE7">
      <w:pPr>
        <w:spacing w:after="0" w:line="300" w:lineRule="atLeast"/>
        <w:contextualSpacing/>
        <w:jc w:val="both"/>
        <w:rPr>
          <w:rFonts w:ascii="Times New Roman" w:eastAsia="Calibri" w:hAnsi="Times New Roman" w:cs="Times New Roman"/>
          <w:sz w:val="24"/>
          <w:szCs w:val="24"/>
          <w:lang w:eastAsia="pl-PL"/>
        </w:rPr>
      </w:pPr>
      <w:r w:rsidRPr="005920F9">
        <w:rPr>
          <w:rFonts w:ascii="Times New Roman" w:hAnsi="Times New Roman" w:cs="Times New Roman"/>
          <w:sz w:val="24"/>
          <w:szCs w:val="24"/>
        </w:rPr>
        <w:t xml:space="preserve">Natomiast w przypadku kontroli </w:t>
      </w:r>
      <w:proofErr w:type="spellStart"/>
      <w:r w:rsidRPr="005920F9">
        <w:rPr>
          <w:rFonts w:ascii="Times New Roman" w:hAnsi="Times New Roman" w:cs="Times New Roman"/>
          <w:sz w:val="24"/>
          <w:szCs w:val="24"/>
        </w:rPr>
        <w:t>automonitoringowych</w:t>
      </w:r>
      <w:proofErr w:type="spellEnd"/>
      <w:r w:rsidRPr="005920F9">
        <w:rPr>
          <w:rFonts w:ascii="Times New Roman" w:hAnsi="Times New Roman" w:cs="Times New Roman"/>
          <w:sz w:val="24"/>
          <w:szCs w:val="24"/>
        </w:rPr>
        <w:t xml:space="preserve"> naruszenia stwierdzono w toku 174</w:t>
      </w:r>
      <w:r>
        <w:rPr>
          <w:rFonts w:ascii="Times New Roman" w:hAnsi="Times New Roman" w:cs="Times New Roman"/>
          <w:sz w:val="24"/>
          <w:szCs w:val="24"/>
        </w:rPr>
        <w:t> </w:t>
      </w:r>
      <w:r w:rsidRPr="005920F9">
        <w:rPr>
          <w:rFonts w:ascii="Times New Roman" w:hAnsi="Times New Roman" w:cs="Times New Roman"/>
          <w:sz w:val="24"/>
          <w:szCs w:val="24"/>
        </w:rPr>
        <w:t xml:space="preserve">kontroli i dotyczyły one przekroczenia ilości pobranej wody. </w:t>
      </w:r>
      <w:r w:rsidRPr="00E504BD">
        <w:rPr>
          <w:rFonts w:ascii="Times New Roman" w:hAnsi="Times New Roman" w:cs="Times New Roman"/>
          <w:sz w:val="24"/>
          <w:szCs w:val="24"/>
        </w:rPr>
        <w:t xml:space="preserve">W związku z naruszeniami stwierdzonymi podczas kontroli </w:t>
      </w:r>
      <w:proofErr w:type="spellStart"/>
      <w:r w:rsidRPr="00A45767">
        <w:rPr>
          <w:rFonts w:ascii="Times New Roman" w:hAnsi="Times New Roman" w:cs="Times New Roman"/>
          <w:sz w:val="24"/>
          <w:szCs w:val="24"/>
        </w:rPr>
        <w:t>automonitoringowych</w:t>
      </w:r>
      <w:proofErr w:type="spellEnd"/>
      <w:r w:rsidRPr="00E504BD">
        <w:rPr>
          <w:rFonts w:ascii="Times New Roman" w:hAnsi="Times New Roman" w:cs="Times New Roman"/>
          <w:sz w:val="24"/>
          <w:szCs w:val="24"/>
        </w:rPr>
        <w:t xml:space="preserve"> wojewódzcy inspektorzy ochrony środowiska, w ramach podjętych działań pokontrolnych, wydali łącznie</w:t>
      </w:r>
      <w:r w:rsidRPr="00F50F3B">
        <w:rPr>
          <w:rFonts w:ascii="Times New Roman" w:hAnsi="Times New Roman" w:cs="Times New Roman"/>
          <w:sz w:val="24"/>
          <w:szCs w:val="24"/>
        </w:rPr>
        <w:t xml:space="preserve"> </w:t>
      </w:r>
      <w:r>
        <w:rPr>
          <w:rFonts w:ascii="Times New Roman" w:hAnsi="Times New Roman" w:cs="Times New Roman"/>
          <w:sz w:val="24"/>
          <w:szCs w:val="24"/>
        </w:rPr>
        <w:t>93</w:t>
      </w:r>
      <w:r w:rsidRPr="00F4328F">
        <w:rPr>
          <w:rFonts w:ascii="Times New Roman" w:hAnsi="Times New Roman" w:cs="Times New Roman"/>
          <w:sz w:val="24"/>
          <w:szCs w:val="24"/>
        </w:rPr>
        <w:t xml:space="preserve"> decyzj</w:t>
      </w:r>
      <w:r>
        <w:rPr>
          <w:rFonts w:ascii="Times New Roman" w:hAnsi="Times New Roman" w:cs="Times New Roman"/>
          <w:sz w:val="24"/>
          <w:szCs w:val="24"/>
        </w:rPr>
        <w:t>e</w:t>
      </w:r>
      <w:r w:rsidRPr="005013E5">
        <w:rPr>
          <w:rFonts w:ascii="Times New Roman" w:hAnsi="Times New Roman" w:cs="Times New Roman"/>
          <w:sz w:val="24"/>
          <w:szCs w:val="24"/>
        </w:rPr>
        <w:t xml:space="preserve"> </w:t>
      </w:r>
      <w:r w:rsidRPr="005013E5">
        <w:rPr>
          <w:rFonts w:ascii="Times New Roman" w:eastAsia="Calibri" w:hAnsi="Times New Roman" w:cs="Times New Roman"/>
          <w:sz w:val="24"/>
          <w:szCs w:val="24"/>
          <w:lang w:val="x-none" w:eastAsia="pl-PL"/>
        </w:rPr>
        <w:t>administracyjn</w:t>
      </w:r>
      <w:r>
        <w:rPr>
          <w:rFonts w:ascii="Times New Roman" w:eastAsia="Calibri" w:hAnsi="Times New Roman" w:cs="Times New Roman"/>
          <w:sz w:val="24"/>
          <w:szCs w:val="24"/>
          <w:lang w:eastAsia="pl-PL"/>
        </w:rPr>
        <w:t>e</w:t>
      </w:r>
      <w:r w:rsidRPr="00F16070">
        <w:rPr>
          <w:rFonts w:ascii="Times New Roman" w:eastAsia="Calibri" w:hAnsi="Times New Roman" w:cs="Times New Roman"/>
          <w:sz w:val="24"/>
          <w:szCs w:val="24"/>
          <w:lang w:val="x-none" w:eastAsia="pl-PL"/>
        </w:rPr>
        <w:t xml:space="preserve"> wymierzając</w:t>
      </w:r>
      <w:r>
        <w:rPr>
          <w:rFonts w:ascii="Times New Roman" w:eastAsia="Calibri" w:hAnsi="Times New Roman" w:cs="Times New Roman"/>
          <w:sz w:val="24"/>
          <w:szCs w:val="24"/>
          <w:lang w:eastAsia="pl-PL"/>
        </w:rPr>
        <w:t>e</w:t>
      </w:r>
      <w:r w:rsidRPr="00E37493">
        <w:rPr>
          <w:rFonts w:ascii="Times New Roman" w:eastAsia="Calibri" w:hAnsi="Times New Roman" w:cs="Times New Roman"/>
          <w:sz w:val="24"/>
          <w:szCs w:val="24"/>
          <w:lang w:val="x-none" w:eastAsia="pl-PL"/>
        </w:rPr>
        <w:t xml:space="preserve"> opłaty podwyższone</w:t>
      </w:r>
      <w:r>
        <w:rPr>
          <w:rFonts w:ascii="Times New Roman" w:eastAsia="Calibri" w:hAnsi="Times New Roman" w:cs="Times New Roman"/>
          <w:sz w:val="24"/>
          <w:szCs w:val="24"/>
          <w:lang w:eastAsia="pl-PL"/>
        </w:rPr>
        <w:t xml:space="preserve"> za przekroczenie warunków pozwolenia w zakresie ilości pobranej wody. </w:t>
      </w:r>
    </w:p>
    <w:p w14:paraId="00EF86FA" w14:textId="77777777" w:rsidR="00113E67" w:rsidRPr="007F400A" w:rsidRDefault="00113E67" w:rsidP="00056EE7">
      <w:pPr>
        <w:spacing w:after="0" w:line="300" w:lineRule="atLeast"/>
        <w:contextualSpacing/>
        <w:jc w:val="both"/>
        <w:rPr>
          <w:rFonts w:ascii="Times New Roman" w:eastAsia="Calibri" w:hAnsi="Times New Roman" w:cs="Times New Roman"/>
          <w:sz w:val="24"/>
          <w:szCs w:val="24"/>
          <w:lang w:val="x-none" w:eastAsia="pl-PL"/>
        </w:rPr>
      </w:pPr>
    </w:p>
    <w:p w14:paraId="4BD7D08A" w14:textId="407782F8" w:rsidR="00895F16" w:rsidRPr="007F400A" w:rsidRDefault="00895F16" w:rsidP="00434520">
      <w:pPr>
        <w:keepNext/>
        <w:spacing w:after="120" w:line="300" w:lineRule="atLeast"/>
        <w:jc w:val="both"/>
        <w:outlineLvl w:val="0"/>
        <w:rPr>
          <w:rFonts w:ascii="Times New Roman" w:eastAsia="Times New Roman" w:hAnsi="Times New Roman" w:cs="Times New Roman"/>
          <w:b/>
          <w:bCs/>
          <w:sz w:val="24"/>
          <w:szCs w:val="24"/>
          <w:lang w:val="x-none" w:eastAsia="x-none"/>
        </w:rPr>
      </w:pPr>
      <w:bookmarkStart w:id="139" w:name="_Toc5878562"/>
      <w:bookmarkStart w:id="140" w:name="_Toc36732583"/>
      <w:bookmarkStart w:id="141" w:name="_Toc135935612"/>
      <w:r w:rsidRPr="007F400A">
        <w:rPr>
          <w:rFonts w:ascii="Times New Roman" w:eastAsia="Times New Roman" w:hAnsi="Times New Roman" w:cs="Times New Roman"/>
          <w:b/>
          <w:bCs/>
          <w:sz w:val="24"/>
          <w:szCs w:val="24"/>
          <w:lang w:val="x-none" w:eastAsia="x-none"/>
        </w:rPr>
        <w:t>3.3.</w:t>
      </w:r>
      <w:r w:rsidR="00217FB6" w:rsidRPr="007F400A">
        <w:rPr>
          <w:rFonts w:ascii="Times New Roman" w:eastAsia="Times New Roman" w:hAnsi="Times New Roman" w:cs="Times New Roman"/>
          <w:b/>
          <w:bCs/>
          <w:sz w:val="24"/>
          <w:szCs w:val="24"/>
          <w:lang w:eastAsia="x-none"/>
        </w:rPr>
        <w:t>2</w:t>
      </w:r>
      <w:r w:rsidR="00113E67">
        <w:rPr>
          <w:rFonts w:ascii="Times New Roman" w:eastAsia="Times New Roman" w:hAnsi="Times New Roman" w:cs="Times New Roman"/>
          <w:b/>
          <w:bCs/>
          <w:sz w:val="24"/>
          <w:szCs w:val="24"/>
          <w:lang w:eastAsia="x-none"/>
        </w:rPr>
        <w:t>2</w:t>
      </w:r>
      <w:r w:rsidRPr="007F400A">
        <w:rPr>
          <w:rFonts w:ascii="Times New Roman" w:eastAsia="Times New Roman" w:hAnsi="Times New Roman" w:cs="Times New Roman"/>
          <w:b/>
          <w:bCs/>
          <w:sz w:val="24"/>
          <w:szCs w:val="24"/>
          <w:lang w:val="x-none" w:eastAsia="x-none"/>
        </w:rPr>
        <w:t xml:space="preserve"> Kontrole dotyczące ochrony wód przed zanieczyszczeniem azotanami pochodzącymi ze źródeł rolniczych</w:t>
      </w:r>
      <w:bookmarkEnd w:id="139"/>
      <w:bookmarkEnd w:id="140"/>
      <w:bookmarkEnd w:id="141"/>
    </w:p>
    <w:p w14:paraId="0DDB797F" w14:textId="77777777" w:rsidR="00113E67" w:rsidRPr="00CA2F7A" w:rsidRDefault="00113E67" w:rsidP="00434520">
      <w:pPr>
        <w:spacing w:after="60" w:line="300" w:lineRule="atLeast"/>
        <w:ind w:firstLine="567"/>
        <w:jc w:val="both"/>
        <w:rPr>
          <w:rFonts w:ascii="Times New Roman" w:eastAsia="Calibri" w:hAnsi="Times New Roman" w:cs="Times New Roman"/>
          <w:sz w:val="24"/>
          <w:szCs w:val="24"/>
          <w:lang w:eastAsia="pl-PL"/>
        </w:rPr>
      </w:pPr>
      <w:r w:rsidRPr="00CA2F7A">
        <w:rPr>
          <w:rFonts w:ascii="Times New Roman" w:eastAsia="Calibri" w:hAnsi="Times New Roman" w:cs="Times New Roman"/>
          <w:sz w:val="24"/>
          <w:szCs w:val="24"/>
          <w:lang w:eastAsia="pl-PL"/>
        </w:rPr>
        <w:t xml:space="preserve">Na podstawie ogłoszonej w dniu 23 sierpnia 2017 r. ustawy </w:t>
      </w:r>
      <w:r w:rsidRPr="00CA2F7A">
        <w:rPr>
          <w:rFonts w:ascii="Times New Roman" w:eastAsia="Calibri" w:hAnsi="Times New Roman" w:cs="Times New Roman"/>
          <w:i/>
          <w:sz w:val="24"/>
          <w:szCs w:val="24"/>
          <w:lang w:eastAsia="pl-PL"/>
        </w:rPr>
        <w:t>Prawo wodne</w:t>
      </w:r>
      <w:r w:rsidRPr="00CA2F7A">
        <w:rPr>
          <w:rFonts w:ascii="Times New Roman" w:eastAsia="Calibri" w:hAnsi="Times New Roman" w:cs="Times New Roman"/>
          <w:sz w:val="20"/>
          <w:szCs w:val="24"/>
          <w:vertAlign w:val="superscript"/>
          <w:lang w:eastAsia="pl-PL"/>
        </w:rPr>
        <w:footnoteReference w:id="30"/>
      </w:r>
      <w:r w:rsidRPr="00CA2F7A">
        <w:rPr>
          <w:rFonts w:ascii="Times New Roman" w:eastAsia="Calibri" w:hAnsi="Times New Roman" w:cs="Times New Roman"/>
          <w:sz w:val="24"/>
          <w:szCs w:val="24"/>
          <w:lang w:eastAsia="pl-PL"/>
        </w:rPr>
        <w:t xml:space="preserve"> wraz z aktualnymi zmianami na wojewódzkich inspektorów ochrony środowiska został nałożony obowiązek dokonywania kontroli związanych z wprowadzeniem </w:t>
      </w:r>
      <w:r w:rsidRPr="00CA2F7A">
        <w:rPr>
          <w:rFonts w:ascii="Times New Roman" w:eastAsia="Calibri" w:hAnsi="Times New Roman" w:cs="Times New Roman"/>
          <w:i/>
          <w:sz w:val="24"/>
          <w:szCs w:val="24"/>
          <w:lang w:eastAsia="pl-PL"/>
        </w:rPr>
        <w:t>Programu działań</w:t>
      </w:r>
      <w:r w:rsidRPr="00CA2F7A">
        <w:rPr>
          <w:rFonts w:ascii="Times New Roman" w:eastAsia="Calibri" w:hAnsi="Times New Roman" w:cs="Times New Roman"/>
          <w:sz w:val="20"/>
          <w:szCs w:val="24"/>
          <w:vertAlign w:val="superscript"/>
          <w:lang w:eastAsia="pl-PL"/>
        </w:rPr>
        <w:footnoteReference w:id="31"/>
      </w:r>
      <w:r w:rsidRPr="00CA2F7A">
        <w:rPr>
          <w:rFonts w:ascii="Times New Roman" w:eastAsia="Calibri" w:hAnsi="Times New Roman" w:cs="Times New Roman"/>
          <w:i/>
          <w:sz w:val="24"/>
          <w:szCs w:val="24"/>
          <w:lang w:eastAsia="pl-PL"/>
        </w:rPr>
        <w:t xml:space="preserve">, </w:t>
      </w:r>
      <w:r w:rsidRPr="00CA2F7A">
        <w:rPr>
          <w:rFonts w:ascii="Times New Roman" w:eastAsia="Calibri" w:hAnsi="Times New Roman" w:cs="Times New Roman"/>
          <w:sz w:val="24"/>
          <w:szCs w:val="24"/>
          <w:lang w:eastAsia="pl-PL"/>
        </w:rPr>
        <w:t>w zakresie:</w:t>
      </w:r>
    </w:p>
    <w:p w14:paraId="37D0B602" w14:textId="77777777" w:rsidR="00113E67" w:rsidRPr="00CA2F7A" w:rsidRDefault="00113E67" w:rsidP="00D34F97">
      <w:pPr>
        <w:numPr>
          <w:ilvl w:val="0"/>
          <w:numId w:val="117"/>
        </w:numPr>
        <w:spacing w:after="0" w:line="300" w:lineRule="atLeast"/>
        <w:ind w:left="924" w:hanging="357"/>
        <w:contextualSpacing/>
        <w:jc w:val="both"/>
        <w:rPr>
          <w:rFonts w:ascii="Times New Roman" w:eastAsia="Calibri" w:hAnsi="Times New Roman" w:cs="Times New Roman"/>
          <w:sz w:val="24"/>
          <w:szCs w:val="24"/>
          <w:lang w:val="x-none" w:eastAsia="pl-PL"/>
        </w:rPr>
      </w:pPr>
      <w:r w:rsidRPr="00CA2F7A">
        <w:rPr>
          <w:rFonts w:ascii="Times New Roman" w:eastAsia="Calibri" w:hAnsi="Times New Roman" w:cs="Times New Roman"/>
          <w:sz w:val="24"/>
          <w:szCs w:val="24"/>
          <w:lang w:eastAsia="pl-PL"/>
        </w:rPr>
        <w:t>stosowania programu działań,</w:t>
      </w:r>
    </w:p>
    <w:p w14:paraId="5CE33F65" w14:textId="77777777" w:rsidR="00113E67" w:rsidRPr="00CA2F7A" w:rsidRDefault="00113E67" w:rsidP="00D34F97">
      <w:pPr>
        <w:numPr>
          <w:ilvl w:val="0"/>
          <w:numId w:val="117"/>
        </w:numPr>
        <w:spacing w:after="0" w:line="300" w:lineRule="atLeast"/>
        <w:ind w:left="924" w:hanging="357"/>
        <w:contextualSpacing/>
        <w:jc w:val="both"/>
        <w:rPr>
          <w:rFonts w:ascii="Times New Roman" w:eastAsia="Calibri" w:hAnsi="Times New Roman" w:cs="Times New Roman"/>
          <w:sz w:val="24"/>
          <w:szCs w:val="24"/>
          <w:lang w:val="x-none" w:eastAsia="pl-PL"/>
        </w:rPr>
      </w:pPr>
      <w:r w:rsidRPr="00CA2F7A">
        <w:rPr>
          <w:rFonts w:ascii="Times New Roman" w:eastAsia="Calibri" w:hAnsi="Times New Roman" w:cs="Times New Roman"/>
          <w:sz w:val="24"/>
          <w:szCs w:val="24"/>
          <w:lang w:eastAsia="pl-PL"/>
        </w:rPr>
        <w:t>spełnienia obowiązku posiadania planu nawożenia azotem,</w:t>
      </w:r>
    </w:p>
    <w:p w14:paraId="1503E946" w14:textId="77777777" w:rsidR="00113E67" w:rsidRPr="00CA2F7A" w:rsidRDefault="00113E67" w:rsidP="00D34F97">
      <w:pPr>
        <w:numPr>
          <w:ilvl w:val="0"/>
          <w:numId w:val="117"/>
        </w:numPr>
        <w:spacing w:after="0" w:line="300" w:lineRule="atLeast"/>
        <w:ind w:left="924" w:hanging="357"/>
        <w:contextualSpacing/>
        <w:jc w:val="both"/>
        <w:rPr>
          <w:rFonts w:ascii="Times New Roman" w:eastAsia="Calibri" w:hAnsi="Times New Roman" w:cs="Times New Roman"/>
          <w:sz w:val="24"/>
          <w:szCs w:val="24"/>
          <w:lang w:val="x-none" w:eastAsia="pl-PL"/>
        </w:rPr>
      </w:pPr>
      <w:r w:rsidRPr="00CA2F7A">
        <w:rPr>
          <w:rFonts w:ascii="Times New Roman" w:eastAsia="Calibri" w:hAnsi="Times New Roman" w:cs="Times New Roman"/>
          <w:sz w:val="24"/>
          <w:szCs w:val="24"/>
          <w:lang w:eastAsia="pl-PL"/>
        </w:rPr>
        <w:t>stosowania nawozów zgodnie z planem nawożenia azotem,</w:t>
      </w:r>
    </w:p>
    <w:p w14:paraId="5218E544" w14:textId="77777777" w:rsidR="00113E67" w:rsidRPr="00CA2F7A" w:rsidRDefault="00113E67" w:rsidP="00056EE7">
      <w:pPr>
        <w:spacing w:after="0" w:line="300" w:lineRule="atLeast"/>
        <w:jc w:val="both"/>
        <w:rPr>
          <w:rFonts w:ascii="Times New Roman" w:eastAsia="Calibri" w:hAnsi="Times New Roman" w:cs="Times New Roman"/>
          <w:sz w:val="24"/>
          <w:szCs w:val="24"/>
          <w:lang w:eastAsia="pl-PL"/>
        </w:rPr>
      </w:pPr>
      <w:r w:rsidRPr="00CA2F7A">
        <w:rPr>
          <w:rFonts w:ascii="Times New Roman" w:eastAsia="Calibri" w:hAnsi="Times New Roman" w:cs="Times New Roman"/>
          <w:sz w:val="24"/>
          <w:szCs w:val="24"/>
          <w:lang w:eastAsia="pl-PL"/>
        </w:rPr>
        <w:t>przez podmioty prowadzące produkcję rolną, w tym działy specjalne produkcji rolnej oraz działalność, w ramach której są przechowywane nawozy naturalne lub stosowane nawozy.</w:t>
      </w:r>
    </w:p>
    <w:p w14:paraId="20203C72" w14:textId="77777777" w:rsidR="00113E67" w:rsidRPr="00CA2F7A" w:rsidRDefault="00113E67" w:rsidP="00434520">
      <w:pPr>
        <w:spacing w:after="0" w:line="300" w:lineRule="atLeast"/>
        <w:ind w:firstLine="567"/>
        <w:jc w:val="both"/>
        <w:rPr>
          <w:rFonts w:ascii="Times New Roman" w:eastAsia="Calibri" w:hAnsi="Times New Roman" w:cs="Times New Roman"/>
          <w:sz w:val="24"/>
          <w:szCs w:val="24"/>
          <w:lang w:eastAsia="pl-PL"/>
        </w:rPr>
      </w:pPr>
      <w:r w:rsidRPr="00CA2F7A">
        <w:rPr>
          <w:rFonts w:ascii="Times New Roman" w:eastAsia="Calibri" w:hAnsi="Times New Roman" w:cs="Times New Roman"/>
          <w:sz w:val="24"/>
          <w:szCs w:val="24"/>
          <w:lang w:eastAsia="pl-PL"/>
        </w:rPr>
        <w:tab/>
        <w:t xml:space="preserve">Na 2022 r. </w:t>
      </w:r>
      <w:proofErr w:type="spellStart"/>
      <w:r>
        <w:rPr>
          <w:rFonts w:ascii="Times New Roman" w:eastAsia="Calibri" w:hAnsi="Times New Roman" w:cs="Times New Roman"/>
          <w:sz w:val="24"/>
          <w:szCs w:val="24"/>
          <w:lang w:eastAsia="pl-PL"/>
        </w:rPr>
        <w:t>wioś</w:t>
      </w:r>
      <w:proofErr w:type="spellEnd"/>
      <w:r w:rsidRPr="00CA2F7A">
        <w:rPr>
          <w:rFonts w:ascii="Times New Roman" w:eastAsia="Calibri" w:hAnsi="Times New Roman" w:cs="Times New Roman"/>
          <w:sz w:val="24"/>
          <w:szCs w:val="24"/>
          <w:lang w:eastAsia="pl-PL"/>
        </w:rPr>
        <w:t xml:space="preserve"> zaplanowali 2 117 kontroli ww. podmiotów. Ostatecznie zrealizowali 1 996 kontroli planowych oraz dodatkowo 495 kontroli pozaplanowych i 2 zaległe kontrole planowe za rok 2021. </w:t>
      </w:r>
    </w:p>
    <w:p w14:paraId="0FBB939F" w14:textId="7593EB9B" w:rsidR="00113E67" w:rsidRPr="00CA2F7A" w:rsidRDefault="00113E67" w:rsidP="009653A7">
      <w:pPr>
        <w:spacing w:after="0" w:line="300" w:lineRule="atLeast"/>
        <w:ind w:firstLine="567"/>
        <w:jc w:val="both"/>
        <w:rPr>
          <w:rFonts w:ascii="Times New Roman" w:eastAsia="Calibri" w:hAnsi="Times New Roman" w:cs="Times New Roman"/>
          <w:sz w:val="24"/>
          <w:szCs w:val="24"/>
          <w:lang w:eastAsia="pl-PL"/>
        </w:rPr>
      </w:pPr>
      <w:r w:rsidRPr="00CA2F7A">
        <w:rPr>
          <w:rFonts w:ascii="Times New Roman" w:eastAsia="Calibri" w:hAnsi="Times New Roman" w:cs="Times New Roman"/>
          <w:sz w:val="24"/>
          <w:szCs w:val="24"/>
          <w:lang w:eastAsia="pl-PL"/>
        </w:rPr>
        <w:t xml:space="preserve">Podczas kontroli stosowania </w:t>
      </w:r>
      <w:r w:rsidRPr="00CA2F7A">
        <w:rPr>
          <w:rFonts w:ascii="Times New Roman" w:eastAsia="Calibri" w:hAnsi="Times New Roman" w:cs="Times New Roman"/>
          <w:i/>
          <w:sz w:val="24"/>
          <w:szCs w:val="24"/>
          <w:lang w:eastAsia="pl-PL"/>
        </w:rPr>
        <w:t>Programu działań</w:t>
      </w:r>
      <w:r w:rsidRPr="00CA2F7A">
        <w:rPr>
          <w:rFonts w:ascii="Times New Roman" w:eastAsia="Calibri" w:hAnsi="Times New Roman" w:cs="Times New Roman"/>
          <w:sz w:val="24"/>
          <w:szCs w:val="24"/>
          <w:lang w:eastAsia="pl-PL"/>
        </w:rPr>
        <w:t xml:space="preserve"> oraz spełnienia obowiązku posiadania planu nawożenia azotem i stosowania nawozów zgodnie z planem nawożenia azotem, wojewódzcy inspektorzy ochrony środowiska sprawdzali</w:t>
      </w:r>
      <w:r w:rsidR="00434520">
        <w:rPr>
          <w:rFonts w:ascii="Times New Roman" w:eastAsia="Calibri" w:hAnsi="Times New Roman" w:cs="Times New Roman"/>
          <w:sz w:val="24"/>
          <w:szCs w:val="24"/>
          <w:lang w:eastAsia="pl-PL"/>
        </w:rPr>
        <w:t xml:space="preserve"> również</w:t>
      </w:r>
      <w:r w:rsidRPr="00CA2F7A">
        <w:rPr>
          <w:rFonts w:ascii="Times New Roman" w:eastAsia="Calibri" w:hAnsi="Times New Roman" w:cs="Times New Roman"/>
          <w:sz w:val="24"/>
          <w:szCs w:val="24"/>
          <w:lang w:eastAsia="pl-PL"/>
        </w:rPr>
        <w:t xml:space="preserve">, tam gdzie było to uzasadnione, przestrzeganie przepisów ustaw odrębnych, np. ustawy o nawozach i nawożeniu, ustawy o odpadach, ale także wymagań </w:t>
      </w:r>
      <w:r w:rsidRPr="00CA2F7A">
        <w:rPr>
          <w:rFonts w:ascii="Times New Roman" w:eastAsia="Calibri" w:hAnsi="Times New Roman" w:cs="Times New Roman"/>
          <w:i/>
          <w:sz w:val="24"/>
          <w:szCs w:val="24"/>
          <w:lang w:eastAsia="pl-PL"/>
        </w:rPr>
        <w:t>cross-</w:t>
      </w:r>
      <w:proofErr w:type="spellStart"/>
      <w:r w:rsidRPr="00CA2F7A">
        <w:rPr>
          <w:rFonts w:ascii="Times New Roman" w:eastAsia="Calibri" w:hAnsi="Times New Roman" w:cs="Times New Roman"/>
          <w:i/>
          <w:sz w:val="24"/>
          <w:szCs w:val="24"/>
          <w:lang w:eastAsia="pl-PL"/>
        </w:rPr>
        <w:t>compliance</w:t>
      </w:r>
      <w:proofErr w:type="spellEnd"/>
      <w:r w:rsidRPr="00CA2F7A">
        <w:rPr>
          <w:rFonts w:ascii="Times New Roman" w:eastAsia="Calibri" w:hAnsi="Times New Roman" w:cs="Times New Roman"/>
          <w:i/>
          <w:sz w:val="24"/>
          <w:szCs w:val="24"/>
          <w:lang w:eastAsia="pl-PL"/>
        </w:rPr>
        <w:t xml:space="preserve"> </w:t>
      </w:r>
      <w:r w:rsidRPr="00CA2F7A">
        <w:rPr>
          <w:rFonts w:ascii="Times New Roman" w:eastAsia="Calibri" w:hAnsi="Times New Roman" w:cs="Times New Roman"/>
          <w:sz w:val="24"/>
          <w:szCs w:val="24"/>
          <w:lang w:eastAsia="pl-PL"/>
        </w:rPr>
        <w:t>(kontrolowanych w związku z realizacją</w:t>
      </w:r>
      <w:r w:rsidRPr="00CA2F7A">
        <w:rPr>
          <w:rFonts w:ascii="Times New Roman" w:eastAsia="Calibri" w:hAnsi="Times New Roman" w:cs="Times New Roman"/>
          <w:i/>
          <w:sz w:val="24"/>
          <w:szCs w:val="24"/>
          <w:lang w:eastAsia="pl-PL"/>
        </w:rPr>
        <w:t xml:space="preserve"> </w:t>
      </w:r>
      <w:r w:rsidRPr="00CA2F7A">
        <w:rPr>
          <w:rFonts w:ascii="Times New Roman" w:eastAsia="Calibri" w:hAnsi="Times New Roman" w:cs="Times New Roman"/>
          <w:sz w:val="24"/>
          <w:szCs w:val="24"/>
          <w:lang w:eastAsia="pl-PL"/>
        </w:rPr>
        <w:t>Porozumienia GIOŚ-ARiMR).</w:t>
      </w:r>
    </w:p>
    <w:p w14:paraId="2A1AE2B3" w14:textId="77777777" w:rsidR="00113E67" w:rsidRPr="00CA2F7A" w:rsidRDefault="00113E67" w:rsidP="009653A7">
      <w:pPr>
        <w:spacing w:after="60" w:line="300" w:lineRule="atLeast"/>
        <w:ind w:firstLine="567"/>
        <w:jc w:val="both"/>
        <w:rPr>
          <w:rFonts w:ascii="Times New Roman" w:eastAsia="Calibri" w:hAnsi="Times New Roman" w:cs="Times New Roman"/>
          <w:sz w:val="24"/>
          <w:szCs w:val="24"/>
          <w:lang w:eastAsia="pl-PL"/>
        </w:rPr>
      </w:pPr>
      <w:r w:rsidRPr="00CA2F7A">
        <w:rPr>
          <w:rFonts w:ascii="Times New Roman" w:eastAsia="Calibri" w:hAnsi="Times New Roman" w:cs="Times New Roman"/>
          <w:sz w:val="24"/>
          <w:szCs w:val="24"/>
          <w:lang w:eastAsia="pl-PL"/>
        </w:rPr>
        <w:t xml:space="preserve">Wśród skontrolowanych podmiotów, do posiadania planu nawożenia azotem było zobowiązanych: </w:t>
      </w:r>
    </w:p>
    <w:p w14:paraId="6477BFBF" w14:textId="77777777" w:rsidR="00113E67" w:rsidRPr="00CA2F7A" w:rsidRDefault="00113E67" w:rsidP="00D34F97">
      <w:pPr>
        <w:numPr>
          <w:ilvl w:val="0"/>
          <w:numId w:val="179"/>
        </w:numPr>
        <w:spacing w:after="0" w:line="300" w:lineRule="atLeast"/>
        <w:ind w:left="924" w:hanging="357"/>
        <w:contextualSpacing/>
        <w:jc w:val="both"/>
        <w:rPr>
          <w:rFonts w:ascii="Times New Roman" w:eastAsia="Calibri" w:hAnsi="Times New Roman" w:cs="Times New Roman"/>
          <w:sz w:val="24"/>
          <w:szCs w:val="24"/>
          <w:lang w:val="x-none" w:eastAsia="pl-PL"/>
        </w:rPr>
      </w:pPr>
      <w:r w:rsidRPr="00CA2F7A">
        <w:rPr>
          <w:rFonts w:ascii="Times New Roman" w:eastAsia="Calibri" w:hAnsi="Times New Roman" w:cs="Times New Roman"/>
          <w:sz w:val="24"/>
          <w:szCs w:val="24"/>
          <w:lang w:eastAsia="pl-PL"/>
        </w:rPr>
        <w:t>462</w:t>
      </w:r>
      <w:r w:rsidRPr="00CA2F7A">
        <w:rPr>
          <w:rFonts w:ascii="Times New Roman" w:eastAsia="Calibri" w:hAnsi="Times New Roman" w:cs="Times New Roman"/>
          <w:sz w:val="24"/>
          <w:szCs w:val="24"/>
          <w:lang w:val="x-none" w:eastAsia="pl-PL"/>
        </w:rPr>
        <w:t xml:space="preserve"> podmiot</w:t>
      </w:r>
      <w:r w:rsidRPr="00CA2F7A">
        <w:rPr>
          <w:rFonts w:ascii="Times New Roman" w:eastAsia="Calibri" w:hAnsi="Times New Roman" w:cs="Times New Roman"/>
          <w:sz w:val="24"/>
          <w:szCs w:val="24"/>
          <w:lang w:eastAsia="pl-PL"/>
        </w:rPr>
        <w:t>y</w:t>
      </w:r>
      <w:r w:rsidRPr="00CA2F7A">
        <w:rPr>
          <w:rFonts w:ascii="Times New Roman" w:eastAsia="Calibri" w:hAnsi="Times New Roman" w:cs="Times New Roman"/>
          <w:sz w:val="24"/>
          <w:szCs w:val="24"/>
          <w:lang w:val="x-none" w:eastAsia="pl-PL"/>
        </w:rPr>
        <w:t xml:space="preserve"> - ze względu na prowadzenie chowu lub hodowli drobiu powyżej 40</w:t>
      </w:r>
      <w:r>
        <w:rPr>
          <w:rFonts w:ascii="Times New Roman" w:eastAsia="Calibri" w:hAnsi="Times New Roman" w:cs="Times New Roman"/>
          <w:sz w:val="24"/>
          <w:szCs w:val="24"/>
          <w:lang w:eastAsia="pl-PL"/>
        </w:rPr>
        <w:t> </w:t>
      </w:r>
      <w:r w:rsidRPr="00CA2F7A">
        <w:rPr>
          <w:rFonts w:ascii="Times New Roman" w:eastAsia="Calibri" w:hAnsi="Times New Roman" w:cs="Times New Roman"/>
          <w:sz w:val="24"/>
          <w:szCs w:val="24"/>
          <w:lang w:val="x-none" w:eastAsia="pl-PL"/>
        </w:rPr>
        <w:t>000 stanowisk lub chowu lub hodowli świń powyżej 2 000 stanowisk dla świń o</w:t>
      </w:r>
      <w:r w:rsidRPr="00CA2F7A">
        <w:rPr>
          <w:rFonts w:ascii="Times New Roman" w:eastAsia="Calibri" w:hAnsi="Times New Roman" w:cs="Times New Roman"/>
          <w:sz w:val="24"/>
          <w:szCs w:val="24"/>
          <w:lang w:eastAsia="pl-PL"/>
        </w:rPr>
        <w:t> </w:t>
      </w:r>
      <w:r w:rsidRPr="00CA2F7A">
        <w:rPr>
          <w:rFonts w:ascii="Times New Roman" w:eastAsia="Calibri" w:hAnsi="Times New Roman" w:cs="Times New Roman"/>
          <w:sz w:val="24"/>
          <w:szCs w:val="24"/>
          <w:lang w:val="x-none" w:eastAsia="pl-PL"/>
        </w:rPr>
        <w:t>wadze ponad 30 kg lub 750 stanowisk dla macior</w:t>
      </w:r>
      <w:r w:rsidRPr="00CA2F7A">
        <w:rPr>
          <w:rFonts w:ascii="Times New Roman" w:eastAsia="Calibri" w:hAnsi="Times New Roman" w:cs="Times New Roman"/>
          <w:sz w:val="24"/>
          <w:szCs w:val="24"/>
          <w:lang w:eastAsia="pl-PL"/>
        </w:rPr>
        <w:t>,</w:t>
      </w:r>
    </w:p>
    <w:p w14:paraId="6103F09B" w14:textId="77777777" w:rsidR="00113E67" w:rsidRPr="00CA2F7A" w:rsidRDefault="00113E67" w:rsidP="00D34F97">
      <w:pPr>
        <w:numPr>
          <w:ilvl w:val="0"/>
          <w:numId w:val="179"/>
        </w:numPr>
        <w:spacing w:after="0" w:line="300" w:lineRule="atLeast"/>
        <w:ind w:left="924" w:hanging="357"/>
        <w:contextualSpacing/>
        <w:jc w:val="both"/>
        <w:rPr>
          <w:rFonts w:ascii="Times New Roman" w:eastAsia="Calibri" w:hAnsi="Times New Roman" w:cs="Times New Roman"/>
          <w:sz w:val="24"/>
          <w:szCs w:val="24"/>
          <w:lang w:val="x-none" w:eastAsia="pl-PL"/>
        </w:rPr>
      </w:pPr>
      <w:r w:rsidRPr="00CA2F7A">
        <w:rPr>
          <w:rFonts w:ascii="Times New Roman" w:eastAsia="Calibri" w:hAnsi="Times New Roman" w:cs="Times New Roman"/>
          <w:sz w:val="24"/>
          <w:szCs w:val="24"/>
          <w:lang w:eastAsia="pl-PL"/>
        </w:rPr>
        <w:t xml:space="preserve">797 </w:t>
      </w:r>
      <w:r w:rsidRPr="00CA2F7A">
        <w:rPr>
          <w:rFonts w:ascii="Times New Roman" w:eastAsia="Calibri" w:hAnsi="Times New Roman" w:cs="Times New Roman"/>
          <w:sz w:val="24"/>
          <w:szCs w:val="24"/>
          <w:lang w:val="x-none" w:eastAsia="pl-PL"/>
        </w:rPr>
        <w:t>podmiot</w:t>
      </w:r>
      <w:r w:rsidRPr="00CA2F7A">
        <w:rPr>
          <w:rFonts w:ascii="Times New Roman" w:eastAsia="Calibri" w:hAnsi="Times New Roman" w:cs="Times New Roman"/>
          <w:sz w:val="24"/>
          <w:szCs w:val="24"/>
          <w:lang w:eastAsia="pl-PL"/>
        </w:rPr>
        <w:t>ów</w:t>
      </w:r>
      <w:r w:rsidRPr="00CA2F7A">
        <w:rPr>
          <w:rFonts w:ascii="Times New Roman" w:eastAsia="Calibri" w:hAnsi="Times New Roman" w:cs="Times New Roman"/>
          <w:sz w:val="24"/>
          <w:szCs w:val="24"/>
          <w:lang w:val="x-none" w:eastAsia="pl-PL"/>
        </w:rPr>
        <w:t xml:space="preserve"> - ze względu na posiadanie gospodarstwa rolnego o powierzchni powyżej 100 ha użytków rolnych, uprawianie upraw intensywnych na gruntach ornych na powierzchni powyżej 50 ha lub utrzymywanie obsady większej niż</w:t>
      </w:r>
      <w:r w:rsidRPr="00CA2F7A">
        <w:rPr>
          <w:rFonts w:ascii="Times New Roman" w:eastAsia="Calibri" w:hAnsi="Times New Roman" w:cs="Times New Roman"/>
          <w:sz w:val="24"/>
          <w:szCs w:val="24"/>
          <w:lang w:eastAsia="pl-PL"/>
        </w:rPr>
        <w:t> </w:t>
      </w:r>
      <w:r w:rsidRPr="00CA2F7A">
        <w:rPr>
          <w:rFonts w:ascii="Times New Roman" w:eastAsia="Calibri" w:hAnsi="Times New Roman" w:cs="Times New Roman"/>
          <w:sz w:val="24"/>
          <w:szCs w:val="24"/>
          <w:lang w:val="x-none" w:eastAsia="pl-PL"/>
        </w:rPr>
        <w:t>60</w:t>
      </w:r>
      <w:r w:rsidRPr="00CA2F7A">
        <w:rPr>
          <w:rFonts w:ascii="Times New Roman" w:eastAsia="Calibri" w:hAnsi="Times New Roman" w:cs="Times New Roman"/>
          <w:sz w:val="24"/>
          <w:szCs w:val="24"/>
          <w:lang w:eastAsia="pl-PL"/>
        </w:rPr>
        <w:t> </w:t>
      </w:r>
      <w:r w:rsidRPr="00CA2F7A">
        <w:rPr>
          <w:rFonts w:ascii="Times New Roman" w:eastAsia="Calibri" w:hAnsi="Times New Roman" w:cs="Times New Roman"/>
          <w:sz w:val="24"/>
          <w:szCs w:val="24"/>
          <w:lang w:val="x-none" w:eastAsia="pl-PL"/>
        </w:rPr>
        <w:t>dużych jednostek przeliczeniowych (DJP) według stanu średniorocznego</w:t>
      </w:r>
      <w:r w:rsidRPr="00CA2F7A">
        <w:rPr>
          <w:rFonts w:ascii="Times New Roman" w:eastAsia="Calibri" w:hAnsi="Times New Roman" w:cs="Times New Roman"/>
          <w:sz w:val="24"/>
          <w:szCs w:val="24"/>
          <w:lang w:eastAsia="pl-PL"/>
        </w:rPr>
        <w:t>,</w:t>
      </w:r>
    </w:p>
    <w:p w14:paraId="6F324B90" w14:textId="77777777" w:rsidR="00113E67" w:rsidRPr="00CA2F7A" w:rsidRDefault="00113E67" w:rsidP="00D34F97">
      <w:pPr>
        <w:numPr>
          <w:ilvl w:val="0"/>
          <w:numId w:val="179"/>
        </w:numPr>
        <w:spacing w:after="60" w:line="300" w:lineRule="atLeast"/>
        <w:ind w:left="924" w:hanging="357"/>
        <w:jc w:val="both"/>
        <w:rPr>
          <w:rFonts w:ascii="Times New Roman" w:eastAsia="Calibri" w:hAnsi="Times New Roman" w:cs="Times New Roman"/>
          <w:sz w:val="24"/>
          <w:szCs w:val="24"/>
          <w:lang w:val="x-none" w:eastAsia="pl-PL"/>
        </w:rPr>
      </w:pPr>
      <w:r w:rsidRPr="00CA2F7A">
        <w:rPr>
          <w:rFonts w:ascii="Times New Roman" w:eastAsia="Calibri" w:hAnsi="Times New Roman" w:cs="Times New Roman"/>
          <w:sz w:val="24"/>
          <w:szCs w:val="24"/>
          <w:lang w:eastAsia="pl-PL"/>
        </w:rPr>
        <w:t>35 podmiotów - ze względu na</w:t>
      </w:r>
      <w:r w:rsidRPr="00CA2F7A">
        <w:rPr>
          <w:rFonts w:ascii="Times New Roman" w:eastAsia="Calibri" w:hAnsi="Times New Roman" w:cs="Times New Roman"/>
          <w:sz w:val="24"/>
          <w:szCs w:val="24"/>
          <w:lang w:val="x-none" w:eastAsia="pl-PL"/>
        </w:rPr>
        <w:t xml:space="preserve"> nabywanie nawozu naturalnego lub produktu pofermentacyjnego do bezpośredniego rolniczego wykorzystania w celu nawożenia lub poprawy właściwości gleby od podmiotu importującego nawóz naturalny lub produkt pofermentacyjny z terytoriów państw trzecich lub od podmiotu </w:t>
      </w:r>
      <w:r w:rsidRPr="00CA2F7A">
        <w:rPr>
          <w:rFonts w:ascii="Times New Roman" w:eastAsia="Calibri" w:hAnsi="Times New Roman" w:cs="Times New Roman"/>
          <w:sz w:val="24"/>
          <w:szCs w:val="24"/>
          <w:lang w:val="x-none" w:eastAsia="pl-PL"/>
        </w:rPr>
        <w:lastRenderedPageBreak/>
        <w:t>prowadzącego chów lub hodowlę drobiu powyżej 40 000 stanowisk lub chów lub hodowlę świń powyżej 2000 stanowisk dla świń o wadze ponad 30 kg lub 750 stanowisk dla</w:t>
      </w:r>
      <w:r w:rsidRPr="00CA2F7A">
        <w:rPr>
          <w:rFonts w:ascii="Times New Roman" w:eastAsia="Calibri" w:hAnsi="Times New Roman" w:cs="Times New Roman"/>
          <w:sz w:val="24"/>
          <w:szCs w:val="24"/>
          <w:lang w:eastAsia="pl-PL"/>
        </w:rPr>
        <w:t> </w:t>
      </w:r>
      <w:r w:rsidRPr="00CA2F7A">
        <w:rPr>
          <w:rFonts w:ascii="Times New Roman" w:eastAsia="Calibri" w:hAnsi="Times New Roman" w:cs="Times New Roman"/>
          <w:sz w:val="24"/>
          <w:szCs w:val="24"/>
          <w:lang w:val="x-none" w:eastAsia="pl-PL"/>
        </w:rPr>
        <w:t>macior.</w:t>
      </w:r>
    </w:p>
    <w:p w14:paraId="7789CAAC" w14:textId="77777777" w:rsidR="00113E67" w:rsidRPr="00CA2F7A" w:rsidRDefault="00113E67" w:rsidP="00056EE7">
      <w:pPr>
        <w:spacing w:after="0" w:line="300" w:lineRule="atLeast"/>
        <w:ind w:firstLine="709"/>
        <w:jc w:val="both"/>
        <w:rPr>
          <w:rFonts w:ascii="Times New Roman" w:eastAsia="Calibri" w:hAnsi="Times New Roman" w:cs="Times New Roman"/>
          <w:sz w:val="24"/>
          <w:szCs w:val="24"/>
          <w:lang w:eastAsia="pl-PL"/>
        </w:rPr>
      </w:pPr>
      <w:r w:rsidRPr="00CA2F7A">
        <w:rPr>
          <w:rFonts w:ascii="Times New Roman" w:eastAsia="Calibri" w:hAnsi="Times New Roman" w:cs="Times New Roman"/>
          <w:sz w:val="24"/>
          <w:szCs w:val="24"/>
          <w:lang w:eastAsia="pl-PL"/>
        </w:rPr>
        <w:t xml:space="preserve">Podczas 330 kontroli stwierdzono 443 przypadki naruszeń w stosowaniu </w:t>
      </w:r>
      <w:r w:rsidRPr="00CA2F7A">
        <w:rPr>
          <w:rFonts w:ascii="Times New Roman" w:eastAsia="Calibri" w:hAnsi="Times New Roman" w:cs="Times New Roman"/>
          <w:i/>
          <w:sz w:val="24"/>
          <w:szCs w:val="24"/>
          <w:lang w:eastAsia="pl-PL"/>
        </w:rPr>
        <w:t>Programu działań</w:t>
      </w:r>
      <w:r w:rsidRPr="00CA2F7A">
        <w:rPr>
          <w:rFonts w:ascii="Times New Roman" w:eastAsia="Calibri" w:hAnsi="Times New Roman" w:cs="Times New Roman"/>
          <w:sz w:val="24"/>
          <w:szCs w:val="24"/>
          <w:lang w:eastAsia="pl-PL"/>
        </w:rPr>
        <w:t xml:space="preserve"> i były to naruszenia dotyczące: </w:t>
      </w:r>
    </w:p>
    <w:p w14:paraId="7C310FF5" w14:textId="77777777" w:rsidR="00113E67" w:rsidRPr="00CA2F7A" w:rsidRDefault="00113E67" w:rsidP="00D34F97">
      <w:pPr>
        <w:numPr>
          <w:ilvl w:val="0"/>
          <w:numId w:val="180"/>
        </w:numPr>
        <w:spacing w:after="0" w:line="300" w:lineRule="atLeast"/>
        <w:ind w:left="924" w:hanging="357"/>
        <w:contextualSpacing/>
        <w:jc w:val="both"/>
        <w:rPr>
          <w:rFonts w:ascii="Times New Roman" w:eastAsia="Calibri" w:hAnsi="Times New Roman" w:cs="Times New Roman"/>
          <w:sz w:val="24"/>
          <w:szCs w:val="24"/>
          <w:lang w:val="x-none" w:eastAsia="pl-PL"/>
        </w:rPr>
      </w:pPr>
      <w:r w:rsidRPr="00CA2F7A">
        <w:rPr>
          <w:rFonts w:ascii="Times New Roman" w:eastAsia="Calibri" w:hAnsi="Times New Roman" w:cs="Times New Roman"/>
          <w:sz w:val="24"/>
          <w:szCs w:val="24"/>
          <w:lang w:val="x-none" w:eastAsia="pl-PL"/>
        </w:rPr>
        <w:t xml:space="preserve">wykorzystania nawozów na glebach zamarzniętych, zalanych wodą, nasyconych wodą lub przykrytych śniegiem – </w:t>
      </w:r>
      <w:r w:rsidRPr="00CA2F7A">
        <w:rPr>
          <w:rFonts w:ascii="Times New Roman" w:eastAsia="Calibri" w:hAnsi="Times New Roman" w:cs="Times New Roman"/>
          <w:sz w:val="24"/>
          <w:szCs w:val="24"/>
          <w:lang w:eastAsia="pl-PL"/>
        </w:rPr>
        <w:t>8</w:t>
      </w:r>
      <w:r w:rsidRPr="00CA2F7A">
        <w:rPr>
          <w:rFonts w:ascii="Times New Roman" w:eastAsia="Calibri" w:hAnsi="Times New Roman" w:cs="Times New Roman"/>
          <w:sz w:val="24"/>
          <w:szCs w:val="24"/>
          <w:lang w:val="x-none" w:eastAsia="pl-PL"/>
        </w:rPr>
        <w:t xml:space="preserve"> przypad</w:t>
      </w:r>
      <w:r w:rsidRPr="00CA2F7A">
        <w:rPr>
          <w:rFonts w:ascii="Times New Roman" w:eastAsia="Calibri" w:hAnsi="Times New Roman" w:cs="Times New Roman"/>
          <w:sz w:val="24"/>
          <w:szCs w:val="24"/>
          <w:lang w:eastAsia="pl-PL"/>
        </w:rPr>
        <w:t>ków,</w:t>
      </w:r>
    </w:p>
    <w:p w14:paraId="013E245E" w14:textId="77777777" w:rsidR="00113E67" w:rsidRPr="00CA2F7A" w:rsidRDefault="00113E67" w:rsidP="00D34F97">
      <w:pPr>
        <w:numPr>
          <w:ilvl w:val="0"/>
          <w:numId w:val="174"/>
        </w:numPr>
        <w:spacing w:after="0" w:line="300" w:lineRule="atLeast"/>
        <w:ind w:left="924" w:hanging="357"/>
        <w:jc w:val="both"/>
        <w:rPr>
          <w:rFonts w:ascii="Times New Roman" w:eastAsia="Calibri" w:hAnsi="Times New Roman" w:cs="Times New Roman"/>
          <w:sz w:val="24"/>
          <w:szCs w:val="24"/>
          <w:lang w:eastAsia="pl-PL"/>
        </w:rPr>
      </w:pPr>
      <w:r w:rsidRPr="00CA2F7A">
        <w:rPr>
          <w:rFonts w:ascii="Times New Roman" w:eastAsia="Calibri" w:hAnsi="Times New Roman" w:cs="Times New Roman"/>
          <w:sz w:val="24"/>
          <w:szCs w:val="24"/>
          <w:lang w:eastAsia="pl-PL"/>
        </w:rPr>
        <w:t>rolniczego wykorzystania nawozów w pobliżu wód powierzchniowych – 3 przypadki,</w:t>
      </w:r>
    </w:p>
    <w:p w14:paraId="4805CF17" w14:textId="77777777" w:rsidR="00113E67" w:rsidRPr="00CA2F7A" w:rsidRDefault="00113E67" w:rsidP="00D34F97">
      <w:pPr>
        <w:numPr>
          <w:ilvl w:val="0"/>
          <w:numId w:val="174"/>
        </w:numPr>
        <w:spacing w:after="0" w:line="300" w:lineRule="atLeast"/>
        <w:ind w:left="924" w:hanging="357"/>
        <w:jc w:val="both"/>
        <w:rPr>
          <w:rFonts w:ascii="Times New Roman" w:eastAsia="Calibri" w:hAnsi="Times New Roman" w:cs="Times New Roman"/>
          <w:sz w:val="24"/>
          <w:szCs w:val="24"/>
          <w:lang w:eastAsia="pl-PL"/>
        </w:rPr>
      </w:pPr>
      <w:r w:rsidRPr="00CA2F7A">
        <w:rPr>
          <w:rFonts w:ascii="Times New Roman" w:eastAsia="Calibri" w:hAnsi="Times New Roman" w:cs="Times New Roman"/>
          <w:sz w:val="24"/>
          <w:szCs w:val="24"/>
          <w:lang w:eastAsia="pl-PL"/>
        </w:rPr>
        <w:t>przestrzegania okresów nawożenia i terminów stosowania nawozów – 10 przypadków,</w:t>
      </w:r>
    </w:p>
    <w:p w14:paraId="21E66DE4" w14:textId="77777777" w:rsidR="00113E67" w:rsidRPr="00CA2F7A" w:rsidRDefault="00113E67" w:rsidP="00D34F97">
      <w:pPr>
        <w:numPr>
          <w:ilvl w:val="0"/>
          <w:numId w:val="174"/>
        </w:numPr>
        <w:spacing w:after="0" w:line="300" w:lineRule="atLeast"/>
        <w:ind w:left="924" w:hanging="357"/>
        <w:jc w:val="both"/>
        <w:rPr>
          <w:rFonts w:ascii="Times New Roman" w:eastAsia="Calibri" w:hAnsi="Times New Roman" w:cs="Times New Roman"/>
          <w:sz w:val="24"/>
          <w:szCs w:val="24"/>
          <w:lang w:eastAsia="pl-PL"/>
        </w:rPr>
      </w:pPr>
      <w:r w:rsidRPr="00CA2F7A">
        <w:rPr>
          <w:rFonts w:ascii="Times New Roman" w:eastAsia="Calibri" w:hAnsi="Times New Roman" w:cs="Times New Roman"/>
          <w:sz w:val="24"/>
          <w:szCs w:val="24"/>
          <w:lang w:eastAsia="pl-PL"/>
        </w:rPr>
        <w:t>warunków przechowywania nawozów naturalnych płynnych lub stałych oraz postępowania z odciekami - 193 przypadki, w tym:</w:t>
      </w:r>
    </w:p>
    <w:p w14:paraId="20127C2D" w14:textId="77777777" w:rsidR="00113E67" w:rsidRPr="00CA2F7A" w:rsidRDefault="00113E67" w:rsidP="00D34F97">
      <w:pPr>
        <w:numPr>
          <w:ilvl w:val="0"/>
          <w:numId w:val="181"/>
        </w:numPr>
        <w:spacing w:after="0" w:line="300" w:lineRule="atLeast"/>
        <w:ind w:left="1361" w:hanging="284"/>
        <w:contextualSpacing/>
        <w:jc w:val="both"/>
        <w:rPr>
          <w:rFonts w:ascii="Times New Roman" w:eastAsia="Calibri" w:hAnsi="Times New Roman" w:cs="Times New Roman"/>
          <w:sz w:val="24"/>
          <w:szCs w:val="24"/>
          <w:lang w:val="x-none" w:eastAsia="pl-PL"/>
        </w:rPr>
      </w:pPr>
      <w:r w:rsidRPr="00CA2F7A">
        <w:rPr>
          <w:rFonts w:ascii="Times New Roman" w:eastAsia="Calibri" w:hAnsi="Times New Roman" w:cs="Times New Roman"/>
          <w:sz w:val="24"/>
          <w:szCs w:val="24"/>
          <w:lang w:val="x-none" w:eastAsia="pl-PL"/>
        </w:rPr>
        <w:t>w zakresie zapewnienia miejsc do przechowywania nawozów naturalnych</w:t>
      </w:r>
      <w:r w:rsidRPr="00CA2F7A">
        <w:rPr>
          <w:rFonts w:ascii="Times New Roman" w:eastAsia="Calibri" w:hAnsi="Times New Roman" w:cs="Times New Roman"/>
          <w:sz w:val="24"/>
          <w:szCs w:val="24"/>
          <w:lang w:eastAsia="pl-PL"/>
        </w:rPr>
        <w:t xml:space="preserve"> przez podmioty, które prowadzą chów lub hodowlę zwierząt gospodarskich w liczbie mniejszej lub równej 210 DJP- 87 przypadków,</w:t>
      </w:r>
    </w:p>
    <w:p w14:paraId="0032949B" w14:textId="2BA06F3B" w:rsidR="00113E67" w:rsidRPr="00CA2F7A" w:rsidRDefault="00113E67" w:rsidP="00D34F97">
      <w:pPr>
        <w:numPr>
          <w:ilvl w:val="0"/>
          <w:numId w:val="181"/>
        </w:numPr>
        <w:spacing w:after="0" w:line="300" w:lineRule="atLeast"/>
        <w:ind w:left="1361" w:hanging="284"/>
        <w:contextualSpacing/>
        <w:jc w:val="both"/>
        <w:rPr>
          <w:rFonts w:ascii="Times New Roman" w:eastAsia="Calibri" w:hAnsi="Times New Roman" w:cs="Times New Roman"/>
          <w:sz w:val="24"/>
          <w:szCs w:val="24"/>
          <w:lang w:val="x-none" w:eastAsia="pl-PL"/>
        </w:rPr>
      </w:pPr>
      <w:r w:rsidRPr="00CA2F7A">
        <w:rPr>
          <w:rFonts w:ascii="Times New Roman" w:eastAsia="Calibri" w:hAnsi="Times New Roman" w:cs="Times New Roman"/>
          <w:sz w:val="24"/>
          <w:szCs w:val="24"/>
          <w:lang w:val="x-none" w:eastAsia="pl-PL"/>
        </w:rPr>
        <w:t>w zakresie zapewnienia miejsc do przechowywania nawozów naturalnych</w:t>
      </w:r>
      <w:r w:rsidRPr="00CA2F7A">
        <w:rPr>
          <w:rFonts w:ascii="Times New Roman" w:eastAsia="Calibri" w:hAnsi="Times New Roman" w:cs="Times New Roman"/>
          <w:sz w:val="24"/>
          <w:szCs w:val="24"/>
          <w:lang w:eastAsia="pl-PL"/>
        </w:rPr>
        <w:t xml:space="preserve"> przez podmioty, które prowadzą chów lub hodowlę zwierząt gospodarskich w liczbie większej niż 210 DJP lub prowadzą chów lub hodowlę drobiu powyżej 40 000 stanowisk lub chów lub hodowlę świń powyżej 2</w:t>
      </w:r>
      <w:r w:rsidR="00434520">
        <w:rPr>
          <w:rFonts w:ascii="Times New Roman" w:eastAsia="Calibri" w:hAnsi="Times New Roman" w:cs="Times New Roman"/>
          <w:sz w:val="24"/>
          <w:szCs w:val="24"/>
          <w:lang w:eastAsia="pl-PL"/>
        </w:rPr>
        <w:t xml:space="preserve"> </w:t>
      </w:r>
      <w:r w:rsidRPr="00CA2F7A">
        <w:rPr>
          <w:rFonts w:ascii="Times New Roman" w:eastAsia="Calibri" w:hAnsi="Times New Roman" w:cs="Times New Roman"/>
          <w:sz w:val="24"/>
          <w:szCs w:val="24"/>
          <w:lang w:eastAsia="pl-PL"/>
        </w:rPr>
        <w:t>000 stanowisk dla świń o wadze ponad 30 kg lub 750 stanowisk dla macior</w:t>
      </w:r>
      <w:r w:rsidR="00434520">
        <w:rPr>
          <w:rFonts w:ascii="Times New Roman" w:eastAsia="Calibri" w:hAnsi="Times New Roman" w:cs="Times New Roman"/>
          <w:sz w:val="24"/>
          <w:szCs w:val="24"/>
          <w:lang w:eastAsia="pl-PL"/>
        </w:rPr>
        <w:t xml:space="preserve"> </w:t>
      </w:r>
      <w:r w:rsidRPr="00CA2F7A">
        <w:rPr>
          <w:rFonts w:ascii="Times New Roman" w:eastAsia="Calibri" w:hAnsi="Times New Roman" w:cs="Times New Roman"/>
          <w:sz w:val="24"/>
          <w:szCs w:val="24"/>
          <w:lang w:eastAsia="pl-PL"/>
        </w:rPr>
        <w:t>- 24 przypadki,</w:t>
      </w:r>
    </w:p>
    <w:p w14:paraId="2F7BB203" w14:textId="77777777" w:rsidR="00113E67" w:rsidRPr="00CA2F7A" w:rsidRDefault="00113E67" w:rsidP="00D34F97">
      <w:pPr>
        <w:numPr>
          <w:ilvl w:val="0"/>
          <w:numId w:val="181"/>
        </w:numPr>
        <w:spacing w:after="0" w:line="300" w:lineRule="atLeast"/>
        <w:ind w:left="1361" w:hanging="284"/>
        <w:contextualSpacing/>
        <w:jc w:val="both"/>
        <w:rPr>
          <w:rFonts w:ascii="Times New Roman" w:eastAsia="Calibri" w:hAnsi="Times New Roman" w:cs="Times New Roman"/>
          <w:sz w:val="24"/>
          <w:szCs w:val="24"/>
          <w:lang w:val="x-none" w:eastAsia="pl-PL"/>
        </w:rPr>
      </w:pPr>
      <w:r w:rsidRPr="00CA2F7A">
        <w:rPr>
          <w:rFonts w:ascii="Times New Roman" w:eastAsia="Calibri" w:hAnsi="Times New Roman" w:cs="Times New Roman"/>
          <w:sz w:val="24"/>
          <w:szCs w:val="24"/>
          <w:lang w:val="x-none" w:eastAsia="pl-PL"/>
        </w:rPr>
        <w:t>w zakresie czasowego przechowywania obornika lub pomiotu ptasiego bezpośrednio na gruntach ornych – 4</w:t>
      </w:r>
      <w:r w:rsidRPr="00CA2F7A">
        <w:rPr>
          <w:rFonts w:ascii="Times New Roman" w:eastAsia="Calibri" w:hAnsi="Times New Roman" w:cs="Times New Roman"/>
          <w:sz w:val="24"/>
          <w:szCs w:val="24"/>
          <w:lang w:eastAsia="pl-PL"/>
        </w:rPr>
        <w:t>8</w:t>
      </w:r>
      <w:r w:rsidRPr="00CA2F7A">
        <w:rPr>
          <w:rFonts w:ascii="Times New Roman" w:eastAsia="Calibri" w:hAnsi="Times New Roman" w:cs="Times New Roman"/>
          <w:sz w:val="24"/>
          <w:szCs w:val="24"/>
          <w:lang w:val="x-none" w:eastAsia="pl-PL"/>
        </w:rPr>
        <w:t xml:space="preserve"> przypadk</w:t>
      </w:r>
      <w:r w:rsidRPr="00CA2F7A">
        <w:rPr>
          <w:rFonts w:ascii="Times New Roman" w:eastAsia="Calibri" w:hAnsi="Times New Roman" w:cs="Times New Roman"/>
          <w:sz w:val="24"/>
          <w:szCs w:val="24"/>
          <w:lang w:eastAsia="pl-PL"/>
        </w:rPr>
        <w:t>ów</w:t>
      </w:r>
      <w:r w:rsidRPr="00CA2F7A">
        <w:rPr>
          <w:rFonts w:ascii="Times New Roman" w:eastAsia="Calibri" w:hAnsi="Times New Roman" w:cs="Times New Roman"/>
          <w:sz w:val="24"/>
          <w:szCs w:val="24"/>
          <w:lang w:val="x-none" w:eastAsia="pl-PL"/>
        </w:rPr>
        <w:t>,</w:t>
      </w:r>
    </w:p>
    <w:p w14:paraId="3768DD4E" w14:textId="77777777" w:rsidR="00113E67" w:rsidRPr="00CA2F7A" w:rsidRDefault="00113E67" w:rsidP="00D34F97">
      <w:pPr>
        <w:numPr>
          <w:ilvl w:val="0"/>
          <w:numId w:val="181"/>
        </w:numPr>
        <w:spacing w:after="0" w:line="300" w:lineRule="atLeast"/>
        <w:ind w:left="1361" w:hanging="284"/>
        <w:contextualSpacing/>
        <w:jc w:val="both"/>
        <w:rPr>
          <w:rFonts w:ascii="Times New Roman" w:eastAsia="Calibri" w:hAnsi="Times New Roman" w:cs="Times New Roman"/>
          <w:sz w:val="24"/>
          <w:szCs w:val="24"/>
          <w:lang w:val="x-none" w:eastAsia="pl-PL"/>
        </w:rPr>
      </w:pPr>
      <w:r w:rsidRPr="00CA2F7A">
        <w:rPr>
          <w:rFonts w:ascii="Times New Roman" w:eastAsia="Calibri" w:hAnsi="Times New Roman" w:cs="Times New Roman"/>
          <w:sz w:val="24"/>
          <w:szCs w:val="24"/>
          <w:lang w:val="x-none" w:eastAsia="pl-PL"/>
        </w:rPr>
        <w:t>w zakresie sposobu przechowywania kiszonek</w:t>
      </w:r>
      <w:r w:rsidRPr="00CA2F7A">
        <w:rPr>
          <w:rFonts w:ascii="Times New Roman" w:eastAsia="Calibri" w:hAnsi="Times New Roman" w:cs="Times New Roman"/>
          <w:sz w:val="24"/>
          <w:szCs w:val="24"/>
          <w:lang w:eastAsia="pl-PL"/>
        </w:rPr>
        <w:t xml:space="preserve"> – 24 przypadki,</w:t>
      </w:r>
    </w:p>
    <w:p w14:paraId="4CFED4BF" w14:textId="77777777" w:rsidR="00113E67" w:rsidRPr="00CA2F7A" w:rsidRDefault="00113E67" w:rsidP="00D34F97">
      <w:pPr>
        <w:numPr>
          <w:ilvl w:val="0"/>
          <w:numId w:val="181"/>
        </w:numPr>
        <w:spacing w:after="0" w:line="300" w:lineRule="atLeast"/>
        <w:ind w:left="1361" w:hanging="284"/>
        <w:contextualSpacing/>
        <w:jc w:val="both"/>
        <w:rPr>
          <w:rFonts w:ascii="Times New Roman" w:eastAsia="Calibri" w:hAnsi="Times New Roman" w:cs="Times New Roman"/>
          <w:sz w:val="24"/>
          <w:szCs w:val="24"/>
          <w:lang w:val="x-none" w:eastAsia="pl-PL"/>
        </w:rPr>
      </w:pPr>
      <w:r w:rsidRPr="00CA2F7A">
        <w:rPr>
          <w:rFonts w:ascii="Times New Roman" w:eastAsia="Calibri" w:hAnsi="Times New Roman" w:cs="Times New Roman"/>
          <w:sz w:val="24"/>
          <w:szCs w:val="24"/>
          <w:lang w:val="x-none" w:eastAsia="pl-PL"/>
        </w:rPr>
        <w:t>w zakresie przechowywania nawozów naturalnych oraz kiszonek w pobliżu wód</w:t>
      </w:r>
      <w:r w:rsidRPr="00CA2F7A">
        <w:rPr>
          <w:rFonts w:ascii="Times New Roman" w:eastAsia="Calibri" w:hAnsi="Times New Roman" w:cs="Times New Roman"/>
          <w:sz w:val="24"/>
          <w:szCs w:val="24"/>
          <w:lang w:eastAsia="pl-PL"/>
        </w:rPr>
        <w:t xml:space="preserve"> – 10 przypadków,</w:t>
      </w:r>
    </w:p>
    <w:p w14:paraId="6734944D" w14:textId="77777777" w:rsidR="00113E67" w:rsidRPr="00CA2F7A" w:rsidRDefault="00113E67" w:rsidP="00D34F97">
      <w:pPr>
        <w:numPr>
          <w:ilvl w:val="0"/>
          <w:numId w:val="174"/>
        </w:numPr>
        <w:spacing w:after="0" w:line="300" w:lineRule="atLeast"/>
        <w:ind w:left="924" w:hanging="357"/>
        <w:jc w:val="both"/>
        <w:rPr>
          <w:rFonts w:ascii="Times New Roman" w:eastAsia="Calibri" w:hAnsi="Times New Roman" w:cs="Times New Roman"/>
          <w:sz w:val="24"/>
          <w:szCs w:val="24"/>
          <w:lang w:eastAsia="pl-PL"/>
        </w:rPr>
      </w:pPr>
      <w:r w:rsidRPr="00CA2F7A">
        <w:rPr>
          <w:rFonts w:ascii="Times New Roman" w:eastAsia="Calibri" w:hAnsi="Times New Roman" w:cs="Times New Roman"/>
          <w:sz w:val="24"/>
          <w:szCs w:val="24"/>
          <w:lang w:eastAsia="pl-PL"/>
        </w:rPr>
        <w:t>stosowanych dawek lub sposobów nawożenia azotem – 15 przypadków,</w:t>
      </w:r>
    </w:p>
    <w:p w14:paraId="672A43E8" w14:textId="77777777" w:rsidR="00113E67" w:rsidRPr="00CA2F7A" w:rsidRDefault="00113E67" w:rsidP="00D34F97">
      <w:pPr>
        <w:numPr>
          <w:ilvl w:val="0"/>
          <w:numId w:val="174"/>
        </w:numPr>
        <w:spacing w:after="0" w:line="300" w:lineRule="atLeast"/>
        <w:ind w:left="924" w:hanging="357"/>
        <w:jc w:val="both"/>
        <w:rPr>
          <w:rFonts w:ascii="Times New Roman" w:eastAsia="Calibri" w:hAnsi="Times New Roman" w:cs="Times New Roman"/>
          <w:sz w:val="24"/>
          <w:szCs w:val="24"/>
          <w:lang w:eastAsia="pl-PL"/>
        </w:rPr>
      </w:pPr>
      <w:r w:rsidRPr="00CA2F7A">
        <w:rPr>
          <w:rFonts w:ascii="Times New Roman" w:eastAsia="Calibri" w:hAnsi="Times New Roman" w:cs="Times New Roman"/>
          <w:sz w:val="24"/>
          <w:szCs w:val="24"/>
          <w:lang w:eastAsia="pl-PL"/>
        </w:rPr>
        <w:t>braku planu nawożenia azotem – 22 przypadki, w tym:</w:t>
      </w:r>
    </w:p>
    <w:p w14:paraId="5B7C17BC" w14:textId="77777777" w:rsidR="00113E67" w:rsidRPr="00CA2F7A" w:rsidRDefault="00113E67" w:rsidP="00D34F97">
      <w:pPr>
        <w:numPr>
          <w:ilvl w:val="0"/>
          <w:numId w:val="175"/>
        </w:numPr>
        <w:spacing w:after="0" w:line="300" w:lineRule="atLeast"/>
        <w:ind w:left="1361" w:hanging="284"/>
        <w:contextualSpacing/>
        <w:jc w:val="both"/>
        <w:rPr>
          <w:rFonts w:ascii="Times New Roman" w:eastAsia="Calibri" w:hAnsi="Times New Roman" w:cs="Times New Roman"/>
          <w:sz w:val="24"/>
          <w:szCs w:val="24"/>
          <w:lang w:val="x-none" w:eastAsia="pl-PL"/>
        </w:rPr>
      </w:pPr>
      <w:r w:rsidRPr="00CA2F7A">
        <w:rPr>
          <w:rFonts w:ascii="Times New Roman" w:eastAsia="Calibri" w:hAnsi="Times New Roman" w:cs="Times New Roman"/>
          <w:sz w:val="24"/>
          <w:szCs w:val="24"/>
          <w:lang w:val="x-none" w:eastAsia="pl-PL"/>
        </w:rPr>
        <w:t>wśród podmiotów prowadzących chów lub hodowlę drobiu powyżej 40 000 stanowisk lub chów lub hodowlę świń powyżej 2 000 stanowisk dla świń o</w:t>
      </w:r>
      <w:r w:rsidRPr="00CA2F7A">
        <w:rPr>
          <w:rFonts w:ascii="Times New Roman" w:eastAsia="Calibri" w:hAnsi="Times New Roman" w:cs="Times New Roman"/>
          <w:sz w:val="24"/>
          <w:szCs w:val="24"/>
          <w:lang w:eastAsia="pl-PL"/>
        </w:rPr>
        <w:t> </w:t>
      </w:r>
      <w:r w:rsidRPr="00CA2F7A">
        <w:rPr>
          <w:rFonts w:ascii="Times New Roman" w:eastAsia="Calibri" w:hAnsi="Times New Roman" w:cs="Times New Roman"/>
          <w:sz w:val="24"/>
          <w:szCs w:val="24"/>
          <w:lang w:val="x-none" w:eastAsia="pl-PL"/>
        </w:rPr>
        <w:t>wadze ponad 30 kg lub 750 stanowisk dla macior</w:t>
      </w:r>
      <w:r w:rsidRPr="00CA2F7A">
        <w:rPr>
          <w:rFonts w:ascii="Times New Roman" w:eastAsia="Calibri" w:hAnsi="Times New Roman" w:cs="Times New Roman"/>
          <w:sz w:val="24"/>
          <w:szCs w:val="24"/>
          <w:lang w:eastAsia="pl-PL"/>
        </w:rPr>
        <w:t xml:space="preserve"> –</w:t>
      </w:r>
      <w:r w:rsidRPr="00CA2F7A">
        <w:rPr>
          <w:rFonts w:ascii="Times New Roman" w:eastAsia="Calibri" w:hAnsi="Times New Roman" w:cs="Times New Roman"/>
          <w:sz w:val="24"/>
          <w:szCs w:val="24"/>
          <w:lang w:val="x-none" w:eastAsia="pl-PL"/>
        </w:rPr>
        <w:t xml:space="preserve"> 1</w:t>
      </w:r>
      <w:r w:rsidRPr="00CA2F7A">
        <w:rPr>
          <w:rFonts w:ascii="Times New Roman" w:eastAsia="Calibri" w:hAnsi="Times New Roman" w:cs="Times New Roman"/>
          <w:sz w:val="24"/>
          <w:szCs w:val="24"/>
          <w:lang w:eastAsia="pl-PL"/>
        </w:rPr>
        <w:t>2</w:t>
      </w:r>
      <w:r w:rsidRPr="00CA2F7A">
        <w:rPr>
          <w:rFonts w:ascii="Times New Roman" w:eastAsia="Calibri" w:hAnsi="Times New Roman" w:cs="Times New Roman"/>
          <w:sz w:val="24"/>
          <w:szCs w:val="24"/>
          <w:lang w:val="x-none" w:eastAsia="pl-PL"/>
        </w:rPr>
        <w:t xml:space="preserve"> przypadków</w:t>
      </w:r>
      <w:r w:rsidRPr="00CA2F7A">
        <w:rPr>
          <w:rFonts w:ascii="Times New Roman" w:eastAsia="Calibri" w:hAnsi="Times New Roman" w:cs="Times New Roman"/>
          <w:sz w:val="24"/>
          <w:szCs w:val="24"/>
          <w:lang w:eastAsia="pl-PL"/>
        </w:rPr>
        <w:t>,</w:t>
      </w:r>
      <w:r w:rsidRPr="00CA2F7A">
        <w:rPr>
          <w:rFonts w:ascii="Times New Roman" w:eastAsia="Calibri" w:hAnsi="Times New Roman" w:cs="Times New Roman"/>
          <w:sz w:val="24"/>
          <w:szCs w:val="24"/>
          <w:lang w:val="x-none" w:eastAsia="pl-PL"/>
        </w:rPr>
        <w:t xml:space="preserve"> </w:t>
      </w:r>
    </w:p>
    <w:p w14:paraId="42A77C2F" w14:textId="008B6CD5" w:rsidR="00113E67" w:rsidRPr="00CA2F7A" w:rsidRDefault="00113E67" w:rsidP="00D34F97">
      <w:pPr>
        <w:numPr>
          <w:ilvl w:val="0"/>
          <w:numId w:val="175"/>
        </w:numPr>
        <w:spacing w:after="0" w:line="300" w:lineRule="atLeast"/>
        <w:ind w:left="1361" w:hanging="284"/>
        <w:contextualSpacing/>
        <w:jc w:val="both"/>
        <w:rPr>
          <w:rFonts w:ascii="Times New Roman" w:eastAsia="Calibri" w:hAnsi="Times New Roman" w:cs="Times New Roman"/>
          <w:sz w:val="24"/>
          <w:szCs w:val="24"/>
          <w:lang w:val="x-none" w:eastAsia="pl-PL"/>
        </w:rPr>
      </w:pPr>
      <w:r w:rsidRPr="00CA2F7A">
        <w:rPr>
          <w:rFonts w:ascii="Times New Roman" w:eastAsia="Calibri" w:hAnsi="Times New Roman" w:cs="Times New Roman"/>
          <w:sz w:val="24"/>
          <w:szCs w:val="24"/>
          <w:lang w:val="x-none" w:eastAsia="pl-PL"/>
        </w:rPr>
        <w:t>wśród podmiotów posiadających gospodarstwo rolne o powierzchni powyżej 100 ha użytków rolnych, uprawiających uprawy intensywne na gruntach ornych na powierzchni powyżej 50 ha lub utrzymujących obsadę większą niż 60 dużych jednostek przeliczeniowych (DJP) według stanu średniorocznego</w:t>
      </w:r>
      <w:r w:rsidR="00434520">
        <w:rPr>
          <w:rFonts w:ascii="Times New Roman" w:eastAsia="Calibri" w:hAnsi="Times New Roman" w:cs="Times New Roman"/>
          <w:sz w:val="24"/>
          <w:szCs w:val="24"/>
          <w:lang w:eastAsia="pl-PL"/>
        </w:rPr>
        <w:t xml:space="preserve"> oraz  </w:t>
      </w:r>
      <w:r w:rsidRPr="00CA2F7A">
        <w:rPr>
          <w:rFonts w:ascii="Times New Roman" w:eastAsia="Calibri" w:hAnsi="Times New Roman" w:cs="Times New Roman"/>
          <w:sz w:val="24"/>
          <w:szCs w:val="24"/>
          <w:lang w:val="x-none" w:eastAsia="pl-PL"/>
        </w:rPr>
        <w:t xml:space="preserve">nabywających nawóz naturalny lub produkt pofermentacyjny do bezpośredniego rolniczego wykorzystania w celu nawożenia lub poprawy właściwości gleby od podmiotu importującego nawóz naturalny lub produkt pofermentacyjny </w:t>
      </w:r>
      <w:r w:rsidR="00434520">
        <w:rPr>
          <w:rFonts w:ascii="Times New Roman" w:eastAsia="Calibri" w:hAnsi="Times New Roman" w:cs="Times New Roman"/>
          <w:sz w:val="24"/>
          <w:szCs w:val="24"/>
          <w:lang w:val="x-none" w:eastAsia="pl-PL"/>
        </w:rPr>
        <w:br/>
      </w:r>
      <w:r w:rsidRPr="00CA2F7A">
        <w:rPr>
          <w:rFonts w:ascii="Times New Roman" w:eastAsia="Calibri" w:hAnsi="Times New Roman" w:cs="Times New Roman"/>
          <w:sz w:val="24"/>
          <w:szCs w:val="24"/>
          <w:lang w:val="x-none" w:eastAsia="pl-PL"/>
        </w:rPr>
        <w:t>z terytoriów państw trzecich lub od podmiotu prowadzącego chów lub hodowlę drobiu powyżej 40 000 stanowisk lub chów lub hodowlę świń powyżej 2 000 stanowisk dla świń o wadze ponad 30 kg lub 750 stanowisk dla</w:t>
      </w:r>
      <w:r w:rsidRPr="00CA2F7A">
        <w:rPr>
          <w:rFonts w:ascii="Times New Roman" w:eastAsia="Calibri" w:hAnsi="Times New Roman" w:cs="Times New Roman"/>
          <w:sz w:val="24"/>
          <w:szCs w:val="24"/>
          <w:lang w:eastAsia="pl-PL"/>
        </w:rPr>
        <w:t> </w:t>
      </w:r>
      <w:r w:rsidRPr="00CA2F7A">
        <w:rPr>
          <w:rFonts w:ascii="Times New Roman" w:eastAsia="Calibri" w:hAnsi="Times New Roman" w:cs="Times New Roman"/>
          <w:sz w:val="24"/>
          <w:szCs w:val="24"/>
          <w:lang w:val="x-none" w:eastAsia="pl-PL"/>
        </w:rPr>
        <w:t>macior</w:t>
      </w:r>
      <w:r w:rsidRPr="00CA2F7A">
        <w:rPr>
          <w:rFonts w:ascii="Times New Roman" w:eastAsia="Calibri" w:hAnsi="Times New Roman" w:cs="Times New Roman"/>
          <w:sz w:val="24"/>
          <w:szCs w:val="24"/>
          <w:lang w:eastAsia="pl-PL"/>
        </w:rPr>
        <w:t xml:space="preserve"> –</w:t>
      </w:r>
      <w:r w:rsidRPr="00CA2F7A">
        <w:rPr>
          <w:rFonts w:ascii="Times New Roman" w:eastAsia="Calibri" w:hAnsi="Times New Roman" w:cs="Times New Roman"/>
          <w:sz w:val="24"/>
          <w:szCs w:val="24"/>
          <w:lang w:val="x-none" w:eastAsia="pl-PL"/>
        </w:rPr>
        <w:t xml:space="preserve"> </w:t>
      </w:r>
      <w:r w:rsidRPr="00CA2F7A">
        <w:rPr>
          <w:rFonts w:ascii="Times New Roman" w:eastAsia="Calibri" w:hAnsi="Times New Roman" w:cs="Times New Roman"/>
          <w:sz w:val="24"/>
          <w:szCs w:val="24"/>
          <w:lang w:eastAsia="pl-PL"/>
        </w:rPr>
        <w:t>10</w:t>
      </w:r>
      <w:r w:rsidRPr="00CA2F7A">
        <w:rPr>
          <w:rFonts w:ascii="Times New Roman" w:eastAsia="Calibri" w:hAnsi="Times New Roman" w:cs="Times New Roman"/>
          <w:sz w:val="24"/>
          <w:szCs w:val="24"/>
          <w:lang w:val="x-none" w:eastAsia="pl-PL"/>
        </w:rPr>
        <w:t xml:space="preserve"> przypadków</w:t>
      </w:r>
      <w:r w:rsidRPr="00CA2F7A">
        <w:rPr>
          <w:rFonts w:ascii="Times New Roman" w:eastAsia="Calibri" w:hAnsi="Times New Roman" w:cs="Times New Roman"/>
          <w:sz w:val="24"/>
          <w:szCs w:val="24"/>
          <w:lang w:eastAsia="pl-PL"/>
        </w:rPr>
        <w:t>,</w:t>
      </w:r>
    </w:p>
    <w:p w14:paraId="2E53FEB4" w14:textId="7FDADF4F" w:rsidR="00113E67" w:rsidRPr="00CA2F7A" w:rsidRDefault="00113E67" w:rsidP="00D34F97">
      <w:pPr>
        <w:numPr>
          <w:ilvl w:val="0"/>
          <w:numId w:val="174"/>
        </w:numPr>
        <w:spacing w:after="0" w:line="300" w:lineRule="atLeast"/>
        <w:ind w:left="924" w:hanging="357"/>
        <w:jc w:val="both"/>
        <w:rPr>
          <w:rFonts w:ascii="Times New Roman" w:eastAsia="Calibri" w:hAnsi="Times New Roman" w:cs="Times New Roman"/>
          <w:sz w:val="24"/>
          <w:szCs w:val="24"/>
          <w:lang w:eastAsia="pl-PL"/>
        </w:rPr>
      </w:pPr>
      <w:r w:rsidRPr="00CA2F7A">
        <w:rPr>
          <w:rFonts w:ascii="Times New Roman" w:eastAsia="Calibri" w:hAnsi="Times New Roman" w:cs="Times New Roman"/>
          <w:sz w:val="24"/>
          <w:szCs w:val="24"/>
          <w:lang w:eastAsia="pl-PL"/>
        </w:rPr>
        <w:t>braku pozytywnej opinii okręgowej stacji chemiczno-rolniczej o planie nawożenia azotem wśród podmiotów prowadzących chów lub hodowlę drobiu powyżej 40 000 stanowisk lub chów lub hodowlę świń powyżej 2</w:t>
      </w:r>
      <w:r w:rsidR="00434520">
        <w:rPr>
          <w:rFonts w:ascii="Times New Roman" w:eastAsia="Calibri" w:hAnsi="Times New Roman" w:cs="Times New Roman"/>
          <w:sz w:val="24"/>
          <w:szCs w:val="24"/>
          <w:lang w:eastAsia="pl-PL"/>
        </w:rPr>
        <w:t xml:space="preserve"> </w:t>
      </w:r>
      <w:r w:rsidRPr="00CA2F7A">
        <w:rPr>
          <w:rFonts w:ascii="Times New Roman" w:eastAsia="Calibri" w:hAnsi="Times New Roman" w:cs="Times New Roman"/>
          <w:sz w:val="24"/>
          <w:szCs w:val="24"/>
          <w:lang w:eastAsia="pl-PL"/>
        </w:rPr>
        <w:t>000 stanowisk dla świń o wadze ponad 30 kg lub 750 stanowisk dla macior – 15 przypadków,</w:t>
      </w:r>
    </w:p>
    <w:p w14:paraId="675EFAE2" w14:textId="0AB5DD8A" w:rsidR="00113E67" w:rsidRPr="00CA2F7A" w:rsidRDefault="00113E67" w:rsidP="00D34F97">
      <w:pPr>
        <w:numPr>
          <w:ilvl w:val="0"/>
          <w:numId w:val="174"/>
        </w:numPr>
        <w:spacing w:after="0" w:line="300" w:lineRule="atLeast"/>
        <w:ind w:left="924" w:hanging="357"/>
        <w:jc w:val="both"/>
        <w:rPr>
          <w:rFonts w:ascii="Times New Roman" w:eastAsia="Calibri" w:hAnsi="Times New Roman" w:cs="Times New Roman"/>
          <w:sz w:val="24"/>
          <w:szCs w:val="24"/>
          <w:lang w:eastAsia="pl-PL"/>
        </w:rPr>
      </w:pPr>
      <w:r w:rsidRPr="00CA2F7A">
        <w:rPr>
          <w:rFonts w:ascii="Times New Roman" w:eastAsia="Calibri" w:hAnsi="Times New Roman" w:cs="Times New Roman"/>
          <w:sz w:val="24"/>
          <w:szCs w:val="24"/>
          <w:lang w:eastAsia="pl-PL"/>
        </w:rPr>
        <w:lastRenderedPageBreak/>
        <w:t>braku doręczenia kopii planu nawożenia azotem wójtowi, burmistrzowi lub prezydentowi miasta oraz właściwemu organowi IOŚ w wyznaczonym terminie wśród podmiotów prowadzących chów lub hodowlę drobiu powyżej 40 000 stanowisk lub chów lub hodowlę świń powyżej 2</w:t>
      </w:r>
      <w:r w:rsidR="00434520">
        <w:rPr>
          <w:rFonts w:ascii="Times New Roman" w:eastAsia="Calibri" w:hAnsi="Times New Roman" w:cs="Times New Roman"/>
          <w:sz w:val="24"/>
          <w:szCs w:val="24"/>
          <w:lang w:eastAsia="pl-PL"/>
        </w:rPr>
        <w:t xml:space="preserve"> </w:t>
      </w:r>
      <w:r w:rsidRPr="00CA2F7A">
        <w:rPr>
          <w:rFonts w:ascii="Times New Roman" w:eastAsia="Calibri" w:hAnsi="Times New Roman" w:cs="Times New Roman"/>
          <w:sz w:val="24"/>
          <w:szCs w:val="24"/>
          <w:lang w:eastAsia="pl-PL"/>
        </w:rPr>
        <w:t>000 stanowisk dla świń o wadze ponad 30 kg lub 750 stanowisk dla macior – 43 przypadki,</w:t>
      </w:r>
    </w:p>
    <w:p w14:paraId="41CB927C" w14:textId="77777777" w:rsidR="00113E67" w:rsidRPr="00CA2F7A" w:rsidRDefault="00113E67" w:rsidP="00D34F97">
      <w:pPr>
        <w:numPr>
          <w:ilvl w:val="0"/>
          <w:numId w:val="174"/>
        </w:numPr>
        <w:spacing w:after="0" w:line="300" w:lineRule="atLeast"/>
        <w:ind w:left="924" w:hanging="357"/>
        <w:jc w:val="both"/>
        <w:rPr>
          <w:rFonts w:ascii="Times New Roman" w:eastAsia="Calibri" w:hAnsi="Times New Roman" w:cs="Times New Roman"/>
          <w:sz w:val="24"/>
          <w:szCs w:val="24"/>
          <w:lang w:eastAsia="pl-PL"/>
        </w:rPr>
      </w:pPr>
      <w:r w:rsidRPr="00CA2F7A">
        <w:rPr>
          <w:rFonts w:ascii="Times New Roman" w:eastAsia="Calibri" w:hAnsi="Times New Roman" w:cs="Times New Roman"/>
          <w:sz w:val="24"/>
          <w:szCs w:val="24"/>
          <w:lang w:eastAsia="pl-PL"/>
        </w:rPr>
        <w:t>nieprzestrzegania planu nawożenia azotem</w:t>
      </w:r>
      <w:r>
        <w:rPr>
          <w:rFonts w:ascii="Times New Roman" w:eastAsia="Calibri" w:hAnsi="Times New Roman" w:cs="Times New Roman"/>
          <w:sz w:val="24"/>
          <w:szCs w:val="24"/>
          <w:lang w:eastAsia="pl-PL"/>
        </w:rPr>
        <w:t xml:space="preserve"> </w:t>
      </w:r>
      <w:r w:rsidRPr="00CA2F7A">
        <w:rPr>
          <w:rFonts w:ascii="Times New Roman" w:eastAsia="Calibri" w:hAnsi="Times New Roman" w:cs="Times New Roman"/>
          <w:sz w:val="24"/>
          <w:szCs w:val="24"/>
          <w:lang w:eastAsia="pl-PL"/>
        </w:rPr>
        <w:t>– 6 przypadków, w tym:</w:t>
      </w:r>
    </w:p>
    <w:p w14:paraId="39BF657B" w14:textId="7CE859F5" w:rsidR="00113E67" w:rsidRPr="00CA2F7A" w:rsidRDefault="00113E67" w:rsidP="00D34F97">
      <w:pPr>
        <w:numPr>
          <w:ilvl w:val="0"/>
          <w:numId w:val="176"/>
        </w:numPr>
        <w:spacing w:after="0" w:line="300" w:lineRule="atLeast"/>
        <w:ind w:left="1361" w:hanging="284"/>
        <w:contextualSpacing/>
        <w:jc w:val="both"/>
        <w:rPr>
          <w:rFonts w:ascii="Times New Roman" w:eastAsia="Calibri" w:hAnsi="Times New Roman" w:cs="Times New Roman"/>
          <w:sz w:val="24"/>
          <w:szCs w:val="24"/>
          <w:lang w:val="x-none" w:eastAsia="pl-PL"/>
        </w:rPr>
      </w:pPr>
      <w:r w:rsidRPr="00CA2F7A">
        <w:rPr>
          <w:rFonts w:ascii="Times New Roman" w:eastAsia="Calibri" w:hAnsi="Times New Roman" w:cs="Times New Roman"/>
          <w:sz w:val="24"/>
          <w:szCs w:val="24"/>
          <w:lang w:val="x-none" w:eastAsia="pl-PL"/>
        </w:rPr>
        <w:t>wśród podmiotów prowadzących chów lub hodowlę drobiu powyżej 40 000 stanowisk lub chów lub hodowlę świń powyżej 2</w:t>
      </w:r>
      <w:r w:rsidR="00434520">
        <w:rPr>
          <w:rFonts w:ascii="Times New Roman" w:eastAsia="Calibri" w:hAnsi="Times New Roman" w:cs="Times New Roman"/>
          <w:sz w:val="24"/>
          <w:szCs w:val="24"/>
          <w:lang w:eastAsia="pl-PL"/>
        </w:rPr>
        <w:t xml:space="preserve"> </w:t>
      </w:r>
      <w:r w:rsidRPr="00CA2F7A">
        <w:rPr>
          <w:rFonts w:ascii="Times New Roman" w:eastAsia="Calibri" w:hAnsi="Times New Roman" w:cs="Times New Roman"/>
          <w:sz w:val="24"/>
          <w:szCs w:val="24"/>
          <w:lang w:val="x-none" w:eastAsia="pl-PL"/>
        </w:rPr>
        <w:t>000 stanowisk dla świń o</w:t>
      </w:r>
      <w:r w:rsidRPr="00CA2F7A">
        <w:rPr>
          <w:rFonts w:ascii="Times New Roman" w:eastAsia="Calibri" w:hAnsi="Times New Roman" w:cs="Times New Roman"/>
          <w:sz w:val="24"/>
          <w:szCs w:val="24"/>
          <w:lang w:eastAsia="pl-PL"/>
        </w:rPr>
        <w:t> </w:t>
      </w:r>
      <w:r w:rsidRPr="00CA2F7A">
        <w:rPr>
          <w:rFonts w:ascii="Times New Roman" w:eastAsia="Calibri" w:hAnsi="Times New Roman" w:cs="Times New Roman"/>
          <w:sz w:val="24"/>
          <w:szCs w:val="24"/>
          <w:lang w:val="x-none" w:eastAsia="pl-PL"/>
        </w:rPr>
        <w:t>wadze ponad 30 kg lub 750 stanowisk dla macior</w:t>
      </w:r>
      <w:r w:rsidRPr="00CA2F7A">
        <w:rPr>
          <w:rFonts w:ascii="Times New Roman" w:eastAsia="Calibri" w:hAnsi="Times New Roman" w:cs="Times New Roman"/>
          <w:sz w:val="24"/>
          <w:szCs w:val="24"/>
          <w:lang w:eastAsia="pl-PL"/>
        </w:rPr>
        <w:t xml:space="preserve"> –</w:t>
      </w:r>
      <w:r w:rsidRPr="00CA2F7A">
        <w:rPr>
          <w:rFonts w:ascii="Times New Roman" w:eastAsia="Calibri" w:hAnsi="Times New Roman" w:cs="Times New Roman"/>
          <w:sz w:val="24"/>
          <w:szCs w:val="24"/>
          <w:lang w:val="x-none" w:eastAsia="pl-PL"/>
        </w:rPr>
        <w:t xml:space="preserve"> </w:t>
      </w:r>
      <w:r w:rsidRPr="00CA2F7A">
        <w:rPr>
          <w:rFonts w:ascii="Times New Roman" w:eastAsia="Calibri" w:hAnsi="Times New Roman" w:cs="Times New Roman"/>
          <w:sz w:val="24"/>
          <w:szCs w:val="24"/>
          <w:lang w:eastAsia="pl-PL"/>
        </w:rPr>
        <w:t>3</w:t>
      </w:r>
      <w:r w:rsidRPr="00CA2F7A">
        <w:rPr>
          <w:rFonts w:ascii="Times New Roman" w:eastAsia="Calibri" w:hAnsi="Times New Roman" w:cs="Times New Roman"/>
          <w:sz w:val="24"/>
          <w:szCs w:val="24"/>
          <w:lang w:val="x-none" w:eastAsia="pl-PL"/>
        </w:rPr>
        <w:t xml:space="preserve"> przypadki</w:t>
      </w:r>
      <w:r w:rsidRPr="00CA2F7A">
        <w:rPr>
          <w:rFonts w:ascii="Times New Roman" w:eastAsia="Calibri" w:hAnsi="Times New Roman" w:cs="Times New Roman"/>
          <w:sz w:val="24"/>
          <w:szCs w:val="24"/>
          <w:lang w:eastAsia="pl-PL"/>
        </w:rPr>
        <w:t>,</w:t>
      </w:r>
    </w:p>
    <w:p w14:paraId="7EA4EFA1" w14:textId="431D22EA" w:rsidR="00113E67" w:rsidRPr="00CA2F7A" w:rsidRDefault="00113E67" w:rsidP="00D34F97">
      <w:pPr>
        <w:numPr>
          <w:ilvl w:val="0"/>
          <w:numId w:val="176"/>
        </w:numPr>
        <w:spacing w:after="0" w:line="300" w:lineRule="atLeast"/>
        <w:ind w:left="1361" w:hanging="284"/>
        <w:contextualSpacing/>
        <w:jc w:val="both"/>
        <w:rPr>
          <w:rFonts w:ascii="Times New Roman" w:eastAsia="Calibri" w:hAnsi="Times New Roman" w:cs="Times New Roman"/>
          <w:sz w:val="24"/>
          <w:szCs w:val="24"/>
          <w:lang w:val="x-none" w:eastAsia="pl-PL"/>
        </w:rPr>
      </w:pPr>
      <w:r w:rsidRPr="00CA2F7A">
        <w:rPr>
          <w:rFonts w:ascii="Times New Roman" w:eastAsia="Calibri" w:hAnsi="Times New Roman" w:cs="Times New Roman"/>
          <w:sz w:val="24"/>
          <w:szCs w:val="24"/>
          <w:lang w:val="x-none" w:eastAsia="pl-PL"/>
        </w:rPr>
        <w:t>wśród podmiotów posiadających gospodarstwo rolne o powierzchni powyżej 100</w:t>
      </w:r>
      <w:r>
        <w:rPr>
          <w:rFonts w:ascii="Times New Roman" w:eastAsia="Calibri" w:hAnsi="Times New Roman" w:cs="Times New Roman"/>
          <w:sz w:val="24"/>
          <w:szCs w:val="24"/>
          <w:lang w:eastAsia="pl-PL"/>
        </w:rPr>
        <w:t> </w:t>
      </w:r>
      <w:r w:rsidRPr="00CA2F7A">
        <w:rPr>
          <w:rFonts w:ascii="Times New Roman" w:eastAsia="Calibri" w:hAnsi="Times New Roman" w:cs="Times New Roman"/>
          <w:sz w:val="24"/>
          <w:szCs w:val="24"/>
          <w:lang w:val="x-none" w:eastAsia="pl-PL"/>
        </w:rPr>
        <w:t>ha użytków rolnych, uprawiających uprawy intensywne na gruntach ornych na powierzchni powyżej 50 ha lub utrzymujących obsadę większą niż 60 dużych jednostek przeliczeniowych (DJP), według stanu średniorocznego</w:t>
      </w:r>
      <w:r w:rsidR="00434520">
        <w:rPr>
          <w:rFonts w:ascii="Times New Roman" w:eastAsia="Calibri" w:hAnsi="Times New Roman" w:cs="Times New Roman"/>
          <w:sz w:val="24"/>
          <w:szCs w:val="24"/>
          <w:lang w:eastAsia="pl-PL"/>
        </w:rPr>
        <w:t xml:space="preserve"> oraz </w:t>
      </w:r>
      <w:r w:rsidRPr="00CA2F7A">
        <w:rPr>
          <w:rFonts w:ascii="Times New Roman" w:eastAsia="Calibri" w:hAnsi="Times New Roman" w:cs="Times New Roman"/>
          <w:sz w:val="24"/>
          <w:szCs w:val="24"/>
          <w:lang w:val="x-none" w:eastAsia="pl-PL"/>
        </w:rPr>
        <w:t xml:space="preserve">nabywających nawóz naturalny lub produkt pofermentacyjny do bezpośredniego rolniczego wykorzystania w celu nawożenia lub poprawy właściwości gleby od podmiotu importującego nawóz naturalny lub produkt pofermentacyjny </w:t>
      </w:r>
      <w:r w:rsidR="00434520">
        <w:rPr>
          <w:rFonts w:ascii="Times New Roman" w:eastAsia="Calibri" w:hAnsi="Times New Roman" w:cs="Times New Roman"/>
          <w:sz w:val="24"/>
          <w:szCs w:val="24"/>
          <w:lang w:val="x-none" w:eastAsia="pl-PL"/>
        </w:rPr>
        <w:br/>
      </w:r>
      <w:r w:rsidRPr="00CA2F7A">
        <w:rPr>
          <w:rFonts w:ascii="Times New Roman" w:eastAsia="Calibri" w:hAnsi="Times New Roman" w:cs="Times New Roman"/>
          <w:sz w:val="24"/>
          <w:szCs w:val="24"/>
          <w:lang w:val="x-none" w:eastAsia="pl-PL"/>
        </w:rPr>
        <w:t>z terytoriów państw trzecich lub od podmiotu prowadzącego chów lub hodowlę drobiu powyżej 40 000 stanowisk lub chów lub hodowlę świń powyżej 2 000 stanowisk dla świń o wadze ponad 30 kg lub 750 stanowisk dla</w:t>
      </w:r>
      <w:r w:rsidRPr="00CA2F7A">
        <w:rPr>
          <w:rFonts w:ascii="Times New Roman" w:eastAsia="Calibri" w:hAnsi="Times New Roman" w:cs="Times New Roman"/>
          <w:sz w:val="24"/>
          <w:szCs w:val="24"/>
          <w:lang w:eastAsia="pl-PL"/>
        </w:rPr>
        <w:t> </w:t>
      </w:r>
      <w:r w:rsidRPr="00CA2F7A">
        <w:rPr>
          <w:rFonts w:ascii="Times New Roman" w:eastAsia="Calibri" w:hAnsi="Times New Roman" w:cs="Times New Roman"/>
          <w:sz w:val="24"/>
          <w:szCs w:val="24"/>
          <w:lang w:val="x-none" w:eastAsia="pl-PL"/>
        </w:rPr>
        <w:t>macior</w:t>
      </w:r>
      <w:r w:rsidRPr="00CA2F7A">
        <w:rPr>
          <w:rFonts w:ascii="Times New Roman" w:eastAsia="Calibri" w:hAnsi="Times New Roman" w:cs="Times New Roman"/>
          <w:sz w:val="24"/>
          <w:szCs w:val="24"/>
          <w:lang w:eastAsia="pl-PL"/>
        </w:rPr>
        <w:t xml:space="preserve"> </w:t>
      </w:r>
      <w:r w:rsidR="00073732">
        <w:rPr>
          <w:rFonts w:ascii="Times New Roman" w:eastAsia="Calibri" w:hAnsi="Times New Roman" w:cs="Times New Roman"/>
          <w:sz w:val="24"/>
          <w:szCs w:val="24"/>
          <w:lang w:eastAsia="pl-PL"/>
        </w:rPr>
        <w:br/>
      </w:r>
      <w:r w:rsidRPr="00CA2F7A">
        <w:rPr>
          <w:rFonts w:ascii="Times New Roman" w:eastAsia="Calibri" w:hAnsi="Times New Roman" w:cs="Times New Roman"/>
          <w:sz w:val="24"/>
          <w:szCs w:val="24"/>
          <w:lang w:val="x-none" w:eastAsia="pl-PL"/>
        </w:rPr>
        <w:t xml:space="preserve">– </w:t>
      </w:r>
      <w:r w:rsidRPr="00CA2F7A">
        <w:rPr>
          <w:rFonts w:ascii="Times New Roman" w:eastAsia="Calibri" w:hAnsi="Times New Roman" w:cs="Times New Roman"/>
          <w:sz w:val="24"/>
          <w:szCs w:val="24"/>
          <w:lang w:eastAsia="pl-PL"/>
        </w:rPr>
        <w:t xml:space="preserve">3 </w:t>
      </w:r>
      <w:r w:rsidRPr="00CA2F7A">
        <w:rPr>
          <w:rFonts w:ascii="Times New Roman" w:eastAsia="Calibri" w:hAnsi="Times New Roman" w:cs="Times New Roman"/>
          <w:sz w:val="24"/>
          <w:szCs w:val="24"/>
          <w:lang w:val="x-none" w:eastAsia="pl-PL"/>
        </w:rPr>
        <w:t>przypad</w:t>
      </w:r>
      <w:r w:rsidRPr="00CA2F7A">
        <w:rPr>
          <w:rFonts w:ascii="Times New Roman" w:eastAsia="Calibri" w:hAnsi="Times New Roman" w:cs="Times New Roman"/>
          <w:sz w:val="24"/>
          <w:szCs w:val="24"/>
          <w:lang w:eastAsia="pl-PL"/>
        </w:rPr>
        <w:t>ki,</w:t>
      </w:r>
    </w:p>
    <w:p w14:paraId="1889EC6D" w14:textId="77777777" w:rsidR="00113E67" w:rsidRPr="00CA2F7A" w:rsidRDefault="00113E67" w:rsidP="00D34F97">
      <w:pPr>
        <w:numPr>
          <w:ilvl w:val="0"/>
          <w:numId w:val="174"/>
        </w:numPr>
        <w:spacing w:after="0" w:line="300" w:lineRule="atLeast"/>
        <w:ind w:left="924" w:hanging="357"/>
        <w:jc w:val="both"/>
        <w:rPr>
          <w:rFonts w:ascii="Times New Roman" w:eastAsia="Calibri" w:hAnsi="Times New Roman" w:cs="Times New Roman"/>
          <w:sz w:val="24"/>
          <w:szCs w:val="24"/>
          <w:lang w:eastAsia="pl-PL"/>
        </w:rPr>
      </w:pPr>
      <w:r w:rsidRPr="00CA2F7A">
        <w:rPr>
          <w:rFonts w:ascii="Times New Roman" w:eastAsia="Calibri" w:hAnsi="Times New Roman" w:cs="Times New Roman"/>
          <w:sz w:val="24"/>
          <w:szCs w:val="24"/>
          <w:lang w:eastAsia="pl-PL"/>
        </w:rPr>
        <w:t xml:space="preserve">braku lub sposobu dokumentowania realizacji </w:t>
      </w:r>
      <w:r w:rsidRPr="00CA2F7A">
        <w:rPr>
          <w:rFonts w:ascii="Times New Roman" w:eastAsia="Calibri" w:hAnsi="Times New Roman" w:cs="Times New Roman"/>
          <w:i/>
          <w:sz w:val="24"/>
          <w:szCs w:val="24"/>
          <w:lang w:eastAsia="pl-PL"/>
        </w:rPr>
        <w:t>Programu działań</w:t>
      </w:r>
      <w:r w:rsidRPr="00CA2F7A">
        <w:rPr>
          <w:rFonts w:ascii="Times New Roman" w:eastAsia="Calibri" w:hAnsi="Times New Roman" w:cs="Times New Roman"/>
          <w:sz w:val="24"/>
          <w:szCs w:val="24"/>
          <w:lang w:eastAsia="pl-PL"/>
        </w:rPr>
        <w:t xml:space="preserve"> – 112 przypadków,</w:t>
      </w:r>
    </w:p>
    <w:p w14:paraId="7E3FCBAA" w14:textId="77777777" w:rsidR="00113E67" w:rsidRPr="00CA2F7A" w:rsidRDefault="00113E67" w:rsidP="00D34F97">
      <w:pPr>
        <w:numPr>
          <w:ilvl w:val="0"/>
          <w:numId w:val="174"/>
        </w:numPr>
        <w:spacing w:after="0" w:line="300" w:lineRule="atLeast"/>
        <w:ind w:left="924" w:hanging="357"/>
        <w:jc w:val="both"/>
        <w:rPr>
          <w:rFonts w:ascii="Times New Roman" w:eastAsia="Calibri" w:hAnsi="Times New Roman" w:cs="Times New Roman"/>
          <w:sz w:val="24"/>
          <w:szCs w:val="24"/>
          <w:lang w:eastAsia="pl-PL"/>
        </w:rPr>
      </w:pPr>
      <w:r w:rsidRPr="00CA2F7A">
        <w:rPr>
          <w:rFonts w:ascii="Times New Roman" w:eastAsia="Calibri" w:hAnsi="Times New Roman" w:cs="Times New Roman"/>
          <w:sz w:val="24"/>
          <w:szCs w:val="24"/>
          <w:lang w:eastAsia="pl-PL"/>
        </w:rPr>
        <w:t>nieprawidłowo opracowanego planu nawożenia azotem wśród podmiotów posiadających gospodarstwo rolne o powierzchni powyżej 100 ha użytków rolnych, uprawiających uprawy intensywne na gruntach ornych na powierzchni powyżej 50 ha lub utrzymujących obsadę większą niż 60 dużych jednostek przeliczeniowych (DJP), według stanu średniorocznego oraz nabywających nawóz naturalny lub produkt pofermentacyjny do bezpośredniego rolniczego wykorzystania w celu nawożenia lub poprawy właściwości gleby od podmiotu importującego nawóz naturalny lub produkt pofermentacyjny z terytoriów państw trzecich lub od podmiotu prowadzącego chów lub hodowlę drobiu powyżej 40 000 stanowisk lub chów lub hodowlę świń powyżej 2 000 stanowisk dla świń o wadze ponad 30 kg lub 750 stanowisk dla macior – 15</w:t>
      </w:r>
      <w:r>
        <w:rPr>
          <w:rFonts w:ascii="Times New Roman" w:eastAsia="Calibri" w:hAnsi="Times New Roman" w:cs="Times New Roman"/>
          <w:sz w:val="24"/>
          <w:szCs w:val="24"/>
          <w:lang w:eastAsia="pl-PL"/>
        </w:rPr>
        <w:t> </w:t>
      </w:r>
      <w:r w:rsidRPr="00CA2F7A">
        <w:rPr>
          <w:rFonts w:ascii="Times New Roman" w:eastAsia="Calibri" w:hAnsi="Times New Roman" w:cs="Times New Roman"/>
          <w:sz w:val="24"/>
          <w:szCs w:val="24"/>
          <w:lang w:eastAsia="pl-PL"/>
        </w:rPr>
        <w:t>przypadków,</w:t>
      </w:r>
    </w:p>
    <w:p w14:paraId="70753031" w14:textId="6F6F7112" w:rsidR="00113E67" w:rsidRPr="00CA2F7A" w:rsidRDefault="00113E67" w:rsidP="00D34F97">
      <w:pPr>
        <w:numPr>
          <w:ilvl w:val="0"/>
          <w:numId w:val="174"/>
        </w:numPr>
        <w:spacing w:after="60" w:line="300" w:lineRule="atLeast"/>
        <w:ind w:left="924" w:hanging="357"/>
        <w:jc w:val="both"/>
        <w:rPr>
          <w:rFonts w:ascii="Times New Roman" w:eastAsia="Calibri" w:hAnsi="Times New Roman" w:cs="Times New Roman"/>
          <w:sz w:val="24"/>
          <w:szCs w:val="24"/>
          <w:lang w:eastAsia="pl-PL"/>
        </w:rPr>
      </w:pPr>
      <w:r w:rsidRPr="00CA2F7A">
        <w:rPr>
          <w:rFonts w:ascii="Times New Roman" w:eastAsia="Calibri" w:hAnsi="Times New Roman" w:cs="Times New Roman"/>
          <w:sz w:val="24"/>
          <w:szCs w:val="24"/>
          <w:lang w:eastAsia="pl-PL"/>
        </w:rPr>
        <w:t>nierzetelnego sporządzenia planu nawożenia azotem wśród podmiotów nie kwalifikujących się do podmiotów posiadających gospodarstwo rolne o powierzchni powyżej 100 ha użytków rolnych, uprawiających uprawy intensywne na gruntach ornych na powierzchni powyżej 50 ha lub utrzymujących obsadę większą niż 60 dużych jednostek przeliczeniowych (DJP), według stanu średniorocznego</w:t>
      </w:r>
      <w:r w:rsidR="00434520">
        <w:rPr>
          <w:rFonts w:ascii="Times New Roman" w:eastAsia="Calibri" w:hAnsi="Times New Roman" w:cs="Times New Roman"/>
          <w:sz w:val="24"/>
          <w:szCs w:val="24"/>
          <w:lang w:eastAsia="pl-PL"/>
        </w:rPr>
        <w:t xml:space="preserve"> oraz </w:t>
      </w:r>
      <w:r w:rsidRPr="00CA2F7A">
        <w:rPr>
          <w:rFonts w:ascii="Times New Roman" w:eastAsia="Calibri" w:hAnsi="Times New Roman" w:cs="Times New Roman"/>
          <w:sz w:val="24"/>
          <w:szCs w:val="24"/>
          <w:lang w:eastAsia="pl-PL"/>
        </w:rPr>
        <w:t>nabywających nawóz naturalny lub produkt pofermentacyjny do bezpośredniego rolniczego wykorzystania w celu nawożenia lub poprawy właściwości gleby od podmiotu importującego nawóz naturalny lub produkt pofermentacyjny z terytoriów państw trzecich lub od podmiotu prowadzącego chów lub hodowlę drobiu powyżej 40 000 stanowisk lub chów lub hodowlę świń powyżej 2 000 stanowisk dla świń o</w:t>
      </w:r>
      <w:r>
        <w:rPr>
          <w:rFonts w:ascii="Times New Roman" w:eastAsia="Calibri" w:hAnsi="Times New Roman" w:cs="Times New Roman"/>
          <w:sz w:val="24"/>
          <w:szCs w:val="24"/>
          <w:lang w:eastAsia="pl-PL"/>
        </w:rPr>
        <w:t> </w:t>
      </w:r>
      <w:r w:rsidRPr="00CA2F7A">
        <w:rPr>
          <w:rFonts w:ascii="Times New Roman" w:eastAsia="Calibri" w:hAnsi="Times New Roman" w:cs="Times New Roman"/>
          <w:sz w:val="24"/>
          <w:szCs w:val="24"/>
          <w:lang w:eastAsia="pl-PL"/>
        </w:rPr>
        <w:t>wadze ponad 30 kg lub 750 stanowisk dla macior –</w:t>
      </w:r>
      <w:r w:rsidR="00DB6C50">
        <w:rPr>
          <w:rFonts w:ascii="Times New Roman" w:eastAsia="Calibri" w:hAnsi="Times New Roman" w:cs="Times New Roman"/>
          <w:sz w:val="24"/>
          <w:szCs w:val="24"/>
          <w:lang w:eastAsia="pl-PL"/>
        </w:rPr>
        <w:t xml:space="preserve"> </w:t>
      </w:r>
      <w:r w:rsidRPr="00CA2F7A">
        <w:rPr>
          <w:rFonts w:ascii="Times New Roman" w:eastAsia="Calibri" w:hAnsi="Times New Roman" w:cs="Times New Roman"/>
          <w:sz w:val="24"/>
          <w:szCs w:val="24"/>
          <w:lang w:eastAsia="pl-PL"/>
        </w:rPr>
        <w:t>1 przypadek.</w:t>
      </w:r>
    </w:p>
    <w:p w14:paraId="5AC6B652" w14:textId="77777777" w:rsidR="00113E67" w:rsidRPr="00CA2F7A" w:rsidRDefault="00113E67" w:rsidP="00DB6C50">
      <w:pPr>
        <w:spacing w:after="60" w:line="300" w:lineRule="atLeast"/>
        <w:rPr>
          <w:rFonts w:ascii="Times New Roman" w:eastAsia="Calibri" w:hAnsi="Times New Roman" w:cs="Times New Roman"/>
          <w:sz w:val="24"/>
          <w:szCs w:val="24"/>
          <w:lang w:eastAsia="pl-PL"/>
        </w:rPr>
      </w:pPr>
      <w:r w:rsidRPr="00CA2F7A">
        <w:rPr>
          <w:rFonts w:ascii="Times New Roman" w:eastAsia="Calibri" w:hAnsi="Times New Roman" w:cs="Times New Roman"/>
          <w:sz w:val="24"/>
          <w:szCs w:val="24"/>
          <w:lang w:eastAsia="pl-PL"/>
        </w:rPr>
        <w:t>W ramach działań pokontrolnych:</w:t>
      </w:r>
    </w:p>
    <w:p w14:paraId="144D3EA2" w14:textId="77777777" w:rsidR="00113E67" w:rsidRPr="00CA2F7A" w:rsidRDefault="00113E67" w:rsidP="00D34F97">
      <w:pPr>
        <w:numPr>
          <w:ilvl w:val="0"/>
          <w:numId w:val="183"/>
        </w:numPr>
        <w:spacing w:after="0" w:line="300" w:lineRule="atLeast"/>
        <w:ind w:left="924" w:hanging="357"/>
        <w:jc w:val="both"/>
        <w:rPr>
          <w:rFonts w:ascii="Times New Roman" w:eastAsia="Calibri" w:hAnsi="Times New Roman" w:cs="Times New Roman"/>
          <w:sz w:val="24"/>
          <w:szCs w:val="24"/>
          <w:lang w:eastAsia="pl-PL"/>
        </w:rPr>
      </w:pPr>
      <w:r w:rsidRPr="00CA2F7A">
        <w:rPr>
          <w:rFonts w:ascii="Times New Roman" w:eastAsia="Calibri" w:hAnsi="Times New Roman" w:cs="Times New Roman"/>
          <w:sz w:val="24"/>
          <w:szCs w:val="24"/>
          <w:lang w:eastAsia="pl-PL"/>
        </w:rPr>
        <w:t>skierowano 370 wniosków do innych organów lub właściwych instytucji,</w:t>
      </w:r>
    </w:p>
    <w:p w14:paraId="72689455" w14:textId="77777777" w:rsidR="00113E67" w:rsidRPr="00CA2F7A" w:rsidRDefault="00113E67" w:rsidP="00D34F97">
      <w:pPr>
        <w:numPr>
          <w:ilvl w:val="0"/>
          <w:numId w:val="183"/>
        </w:numPr>
        <w:spacing w:after="0" w:line="300" w:lineRule="atLeast"/>
        <w:ind w:left="924" w:hanging="357"/>
        <w:rPr>
          <w:rFonts w:ascii="Times New Roman" w:eastAsia="Calibri" w:hAnsi="Times New Roman" w:cs="Times New Roman"/>
          <w:sz w:val="24"/>
          <w:szCs w:val="24"/>
          <w:lang w:eastAsia="pl-PL"/>
        </w:rPr>
      </w:pPr>
      <w:r w:rsidRPr="00CA2F7A">
        <w:rPr>
          <w:rFonts w:ascii="Times New Roman" w:eastAsia="Calibri" w:hAnsi="Times New Roman" w:cs="Times New Roman"/>
          <w:sz w:val="24"/>
          <w:szCs w:val="24"/>
          <w:lang w:eastAsia="pl-PL"/>
        </w:rPr>
        <w:t>wydano 203 zarządzenia pokontrolne,</w:t>
      </w:r>
    </w:p>
    <w:p w14:paraId="310F65A9" w14:textId="77777777" w:rsidR="00113E67" w:rsidRPr="00CA2F7A" w:rsidRDefault="00113E67" w:rsidP="00D34F97">
      <w:pPr>
        <w:numPr>
          <w:ilvl w:val="0"/>
          <w:numId w:val="183"/>
        </w:numPr>
        <w:spacing w:after="0" w:line="300" w:lineRule="atLeast"/>
        <w:ind w:left="924" w:hanging="357"/>
        <w:jc w:val="both"/>
        <w:rPr>
          <w:rFonts w:ascii="Times New Roman" w:eastAsia="Calibri" w:hAnsi="Times New Roman" w:cs="Times New Roman"/>
          <w:sz w:val="24"/>
          <w:szCs w:val="24"/>
          <w:lang w:eastAsia="pl-PL"/>
        </w:rPr>
      </w:pPr>
      <w:r w:rsidRPr="00CA2F7A">
        <w:rPr>
          <w:rFonts w:ascii="Times New Roman" w:eastAsia="Calibri" w:hAnsi="Times New Roman" w:cs="Times New Roman"/>
          <w:sz w:val="24"/>
          <w:szCs w:val="24"/>
          <w:lang w:eastAsia="pl-PL"/>
        </w:rPr>
        <w:lastRenderedPageBreak/>
        <w:t>wydano następujące decyzje (wymienione zostały wszystkie decyzje, które stały się ostateczne w 2022 r.):</w:t>
      </w:r>
    </w:p>
    <w:p w14:paraId="36BBC3B6" w14:textId="77777777" w:rsidR="00113E67" w:rsidRPr="00CA2F7A" w:rsidRDefault="00113E67" w:rsidP="00D34F97">
      <w:pPr>
        <w:numPr>
          <w:ilvl w:val="1"/>
          <w:numId w:val="177"/>
        </w:numPr>
        <w:spacing w:after="0" w:line="300" w:lineRule="atLeast"/>
        <w:ind w:left="1276" w:hanging="283"/>
        <w:jc w:val="both"/>
        <w:rPr>
          <w:rFonts w:ascii="Times New Roman" w:eastAsia="Calibri" w:hAnsi="Times New Roman" w:cs="Times New Roman"/>
          <w:sz w:val="24"/>
          <w:szCs w:val="24"/>
          <w:lang w:eastAsia="pl-PL"/>
        </w:rPr>
      </w:pPr>
      <w:r w:rsidRPr="00CA2F7A">
        <w:rPr>
          <w:rFonts w:ascii="Times New Roman" w:eastAsia="Calibri" w:hAnsi="Times New Roman" w:cs="Times New Roman"/>
          <w:sz w:val="24"/>
          <w:szCs w:val="24"/>
          <w:lang w:eastAsia="pl-PL"/>
        </w:rPr>
        <w:t>nakazujące usunięcie w określonym terminie naruszeń stwierdzonych w trakcie kontroli – 122 decyzje,</w:t>
      </w:r>
    </w:p>
    <w:p w14:paraId="5C4FE340" w14:textId="77777777" w:rsidR="00113E67" w:rsidRPr="00CA2F7A" w:rsidRDefault="00113E67" w:rsidP="00D34F97">
      <w:pPr>
        <w:numPr>
          <w:ilvl w:val="1"/>
          <w:numId w:val="177"/>
        </w:numPr>
        <w:spacing w:after="0" w:line="300" w:lineRule="atLeast"/>
        <w:ind w:left="1276" w:hanging="283"/>
        <w:jc w:val="both"/>
        <w:rPr>
          <w:rFonts w:ascii="Times New Roman" w:eastAsia="Calibri" w:hAnsi="Times New Roman" w:cs="Times New Roman"/>
          <w:sz w:val="24"/>
          <w:szCs w:val="24"/>
          <w:lang w:eastAsia="pl-PL"/>
        </w:rPr>
      </w:pPr>
      <w:r w:rsidRPr="00CA2F7A">
        <w:rPr>
          <w:rFonts w:ascii="Times New Roman" w:eastAsia="Calibri" w:hAnsi="Times New Roman" w:cs="Times New Roman"/>
          <w:sz w:val="24"/>
          <w:szCs w:val="24"/>
          <w:lang w:eastAsia="pl-PL"/>
        </w:rPr>
        <w:t>wymierzające opłaty za:</w:t>
      </w:r>
    </w:p>
    <w:p w14:paraId="7FCDE8AF" w14:textId="77777777" w:rsidR="00113E67" w:rsidRPr="00CA2F7A" w:rsidRDefault="00113E67" w:rsidP="00D34F97">
      <w:pPr>
        <w:numPr>
          <w:ilvl w:val="0"/>
          <w:numId w:val="178"/>
        </w:numPr>
        <w:spacing w:after="0" w:line="300" w:lineRule="atLeast"/>
        <w:ind w:left="1560" w:hanging="284"/>
        <w:contextualSpacing/>
        <w:jc w:val="both"/>
        <w:rPr>
          <w:rFonts w:ascii="Times New Roman" w:eastAsia="Calibri" w:hAnsi="Times New Roman" w:cs="Times New Roman"/>
          <w:sz w:val="24"/>
          <w:szCs w:val="24"/>
          <w:lang w:val="x-none" w:eastAsia="pl-PL"/>
        </w:rPr>
      </w:pPr>
      <w:r w:rsidRPr="00CA2F7A">
        <w:rPr>
          <w:rFonts w:ascii="Times New Roman" w:eastAsia="Calibri" w:hAnsi="Times New Roman" w:cs="Times New Roman"/>
          <w:sz w:val="24"/>
          <w:szCs w:val="24"/>
          <w:lang w:val="x-none" w:eastAsia="pl-PL"/>
        </w:rPr>
        <w:t>stosowanie nawozów niezgodnie z przepisami wydanymi na podstawie art.</w:t>
      </w:r>
      <w:r w:rsidRPr="00CA2F7A">
        <w:rPr>
          <w:rFonts w:ascii="Times New Roman" w:eastAsia="Calibri" w:hAnsi="Times New Roman" w:cs="Times New Roman"/>
          <w:sz w:val="24"/>
          <w:szCs w:val="24"/>
          <w:lang w:eastAsia="pl-PL"/>
        </w:rPr>
        <w:t> </w:t>
      </w:r>
      <w:r w:rsidRPr="00CA2F7A">
        <w:rPr>
          <w:rFonts w:ascii="Times New Roman" w:eastAsia="Calibri" w:hAnsi="Times New Roman" w:cs="Times New Roman"/>
          <w:sz w:val="24"/>
          <w:szCs w:val="24"/>
          <w:lang w:val="x-none" w:eastAsia="pl-PL"/>
        </w:rPr>
        <w:t xml:space="preserve">106 ust. 4 ustawy </w:t>
      </w:r>
      <w:r w:rsidRPr="00CA2F7A">
        <w:rPr>
          <w:rFonts w:ascii="Times New Roman" w:eastAsia="Calibri" w:hAnsi="Times New Roman" w:cs="Times New Roman"/>
          <w:i/>
          <w:sz w:val="24"/>
          <w:szCs w:val="24"/>
          <w:lang w:val="x-none" w:eastAsia="pl-PL"/>
        </w:rPr>
        <w:t>Prawo wodne</w:t>
      </w:r>
      <w:r w:rsidRPr="00CA2F7A">
        <w:rPr>
          <w:rFonts w:ascii="Times New Roman" w:eastAsia="Calibri" w:hAnsi="Times New Roman" w:cs="Times New Roman"/>
          <w:sz w:val="24"/>
          <w:szCs w:val="24"/>
          <w:lang w:val="x-none" w:eastAsia="pl-PL"/>
        </w:rPr>
        <w:t xml:space="preserve"> </w:t>
      </w:r>
      <w:r w:rsidRPr="00CA2F7A">
        <w:rPr>
          <w:rFonts w:ascii="Times New Roman" w:eastAsia="Calibri" w:hAnsi="Times New Roman" w:cs="Times New Roman"/>
          <w:sz w:val="24"/>
          <w:szCs w:val="24"/>
          <w:lang w:eastAsia="pl-PL"/>
        </w:rPr>
        <w:t>–</w:t>
      </w:r>
      <w:r w:rsidRPr="00CA2F7A">
        <w:rPr>
          <w:rFonts w:ascii="Times New Roman" w:eastAsia="Calibri" w:hAnsi="Times New Roman" w:cs="Times New Roman"/>
          <w:sz w:val="24"/>
          <w:szCs w:val="24"/>
          <w:lang w:val="x-none" w:eastAsia="pl-PL"/>
        </w:rPr>
        <w:t xml:space="preserve"> </w:t>
      </w:r>
      <w:r w:rsidRPr="00CA2F7A">
        <w:rPr>
          <w:rFonts w:ascii="Times New Roman" w:eastAsia="Calibri" w:hAnsi="Times New Roman" w:cs="Times New Roman"/>
          <w:sz w:val="24"/>
          <w:szCs w:val="24"/>
          <w:lang w:eastAsia="pl-PL"/>
        </w:rPr>
        <w:t>14</w:t>
      </w:r>
      <w:r w:rsidRPr="00CA2F7A">
        <w:rPr>
          <w:rFonts w:ascii="Times New Roman" w:eastAsia="Calibri" w:hAnsi="Times New Roman" w:cs="Times New Roman"/>
          <w:sz w:val="24"/>
          <w:szCs w:val="24"/>
          <w:lang w:val="x-none" w:eastAsia="pl-PL"/>
        </w:rPr>
        <w:t xml:space="preserve"> decyzj</w:t>
      </w:r>
      <w:r w:rsidRPr="00CA2F7A">
        <w:rPr>
          <w:rFonts w:ascii="Times New Roman" w:eastAsia="Calibri" w:hAnsi="Times New Roman" w:cs="Times New Roman"/>
          <w:sz w:val="24"/>
          <w:szCs w:val="24"/>
          <w:lang w:eastAsia="pl-PL"/>
        </w:rPr>
        <w:t>i,</w:t>
      </w:r>
    </w:p>
    <w:p w14:paraId="19648AFF" w14:textId="77777777" w:rsidR="00113E67" w:rsidRPr="00CA2F7A" w:rsidRDefault="00113E67" w:rsidP="00D34F97">
      <w:pPr>
        <w:numPr>
          <w:ilvl w:val="0"/>
          <w:numId w:val="178"/>
        </w:numPr>
        <w:spacing w:after="0" w:line="300" w:lineRule="atLeast"/>
        <w:ind w:left="1560" w:hanging="284"/>
        <w:contextualSpacing/>
        <w:jc w:val="both"/>
        <w:rPr>
          <w:rFonts w:ascii="Times New Roman" w:eastAsia="Calibri" w:hAnsi="Times New Roman" w:cs="Times New Roman"/>
          <w:sz w:val="24"/>
          <w:szCs w:val="24"/>
          <w:lang w:val="x-none" w:eastAsia="pl-PL"/>
        </w:rPr>
      </w:pPr>
      <w:r w:rsidRPr="00CA2F7A">
        <w:rPr>
          <w:rFonts w:ascii="Times New Roman" w:eastAsia="Calibri" w:hAnsi="Times New Roman" w:cs="Times New Roman"/>
          <w:sz w:val="24"/>
          <w:szCs w:val="24"/>
          <w:lang w:val="x-none" w:eastAsia="pl-PL"/>
        </w:rPr>
        <w:t xml:space="preserve">stosowanie nawozów niezgodnie z planem nawożenia azotem </w:t>
      </w:r>
      <w:r w:rsidRPr="00CA2F7A">
        <w:rPr>
          <w:rFonts w:ascii="Times New Roman" w:eastAsia="Calibri" w:hAnsi="Times New Roman" w:cs="Times New Roman"/>
          <w:sz w:val="24"/>
          <w:szCs w:val="24"/>
          <w:lang w:eastAsia="pl-PL"/>
        </w:rPr>
        <w:t>–</w:t>
      </w:r>
      <w:r w:rsidRPr="00CA2F7A">
        <w:rPr>
          <w:rFonts w:ascii="Times New Roman" w:eastAsia="Calibri" w:hAnsi="Times New Roman" w:cs="Times New Roman"/>
          <w:sz w:val="24"/>
          <w:szCs w:val="24"/>
          <w:lang w:val="x-none" w:eastAsia="pl-PL"/>
        </w:rPr>
        <w:t xml:space="preserve"> </w:t>
      </w:r>
      <w:r w:rsidRPr="00CA2F7A">
        <w:rPr>
          <w:rFonts w:ascii="Times New Roman" w:eastAsia="Calibri" w:hAnsi="Times New Roman" w:cs="Times New Roman"/>
          <w:sz w:val="24"/>
          <w:szCs w:val="24"/>
          <w:lang w:eastAsia="pl-PL"/>
        </w:rPr>
        <w:t>6</w:t>
      </w:r>
      <w:r w:rsidRPr="00CA2F7A">
        <w:rPr>
          <w:rFonts w:ascii="Times New Roman" w:eastAsia="Calibri" w:hAnsi="Times New Roman" w:cs="Times New Roman"/>
          <w:sz w:val="24"/>
          <w:szCs w:val="24"/>
          <w:lang w:val="x-none" w:eastAsia="pl-PL"/>
        </w:rPr>
        <w:t xml:space="preserve"> decyzj</w:t>
      </w:r>
      <w:r w:rsidRPr="00CA2F7A">
        <w:rPr>
          <w:rFonts w:ascii="Times New Roman" w:eastAsia="Calibri" w:hAnsi="Times New Roman" w:cs="Times New Roman"/>
          <w:sz w:val="24"/>
          <w:szCs w:val="24"/>
          <w:lang w:eastAsia="pl-PL"/>
        </w:rPr>
        <w:t>i</w:t>
      </w:r>
      <w:r w:rsidRPr="00CA2F7A">
        <w:rPr>
          <w:rFonts w:ascii="Times New Roman" w:eastAsia="Calibri" w:hAnsi="Times New Roman" w:cs="Times New Roman"/>
          <w:sz w:val="24"/>
          <w:szCs w:val="24"/>
          <w:lang w:val="x-none" w:eastAsia="pl-PL"/>
        </w:rPr>
        <w:t xml:space="preserve">, </w:t>
      </w:r>
    </w:p>
    <w:p w14:paraId="41351135" w14:textId="77777777" w:rsidR="00113E67" w:rsidRPr="00CA2F7A" w:rsidRDefault="00113E67" w:rsidP="00D34F97">
      <w:pPr>
        <w:numPr>
          <w:ilvl w:val="0"/>
          <w:numId w:val="178"/>
        </w:numPr>
        <w:spacing w:after="0" w:line="300" w:lineRule="atLeast"/>
        <w:ind w:left="1560" w:hanging="284"/>
        <w:contextualSpacing/>
        <w:jc w:val="both"/>
        <w:rPr>
          <w:rFonts w:ascii="Times New Roman" w:eastAsia="Calibri" w:hAnsi="Times New Roman" w:cs="Times New Roman"/>
          <w:sz w:val="24"/>
          <w:szCs w:val="24"/>
          <w:lang w:val="x-none" w:eastAsia="pl-PL"/>
        </w:rPr>
      </w:pPr>
      <w:r w:rsidRPr="00CA2F7A">
        <w:rPr>
          <w:rFonts w:ascii="Times New Roman" w:eastAsia="Calibri" w:hAnsi="Times New Roman" w:cs="Times New Roman"/>
          <w:sz w:val="24"/>
          <w:szCs w:val="24"/>
          <w:lang w:val="x-none" w:eastAsia="pl-PL"/>
        </w:rPr>
        <w:t>przechowywanie nawozów naturalnych</w:t>
      </w:r>
      <w:r w:rsidRPr="00CA2F7A">
        <w:rPr>
          <w:rFonts w:ascii="Times New Roman" w:eastAsia="Calibri" w:hAnsi="Times New Roman" w:cs="Times New Roman"/>
          <w:sz w:val="24"/>
          <w:szCs w:val="24"/>
          <w:lang w:eastAsia="pl-PL"/>
        </w:rPr>
        <w:t xml:space="preserve"> </w:t>
      </w:r>
      <w:r w:rsidRPr="00CA2F7A">
        <w:rPr>
          <w:rFonts w:ascii="Times New Roman" w:eastAsia="Calibri" w:hAnsi="Times New Roman" w:cs="Times New Roman"/>
          <w:sz w:val="24"/>
          <w:szCs w:val="24"/>
          <w:lang w:val="x-none" w:eastAsia="pl-PL"/>
        </w:rPr>
        <w:t>niezgodnie z przepisami wydanymi na podstawie art.</w:t>
      </w:r>
      <w:r w:rsidRPr="00CA2F7A">
        <w:rPr>
          <w:rFonts w:ascii="Times New Roman" w:eastAsia="Calibri" w:hAnsi="Times New Roman" w:cs="Times New Roman"/>
          <w:sz w:val="24"/>
          <w:szCs w:val="24"/>
          <w:lang w:eastAsia="pl-PL"/>
        </w:rPr>
        <w:t> </w:t>
      </w:r>
      <w:r w:rsidRPr="00CA2F7A">
        <w:rPr>
          <w:rFonts w:ascii="Times New Roman" w:eastAsia="Calibri" w:hAnsi="Times New Roman" w:cs="Times New Roman"/>
          <w:sz w:val="24"/>
          <w:szCs w:val="24"/>
          <w:lang w:val="x-none" w:eastAsia="pl-PL"/>
        </w:rPr>
        <w:t xml:space="preserve">106 ust. 4 ustawy </w:t>
      </w:r>
      <w:r w:rsidRPr="00CA2F7A">
        <w:rPr>
          <w:rFonts w:ascii="Times New Roman" w:eastAsia="Calibri" w:hAnsi="Times New Roman" w:cs="Times New Roman"/>
          <w:i/>
          <w:sz w:val="24"/>
          <w:szCs w:val="24"/>
          <w:lang w:val="x-none" w:eastAsia="pl-PL"/>
        </w:rPr>
        <w:t>Prawo wodne</w:t>
      </w:r>
      <w:r w:rsidRPr="00CA2F7A">
        <w:rPr>
          <w:rFonts w:ascii="Times New Roman" w:eastAsia="Calibri" w:hAnsi="Times New Roman" w:cs="Times New Roman"/>
          <w:sz w:val="24"/>
          <w:szCs w:val="24"/>
          <w:lang w:val="x-none" w:eastAsia="pl-PL"/>
        </w:rPr>
        <w:t xml:space="preserve"> </w:t>
      </w:r>
      <w:r w:rsidRPr="00CA2F7A">
        <w:rPr>
          <w:rFonts w:ascii="Times New Roman" w:eastAsia="Calibri" w:hAnsi="Times New Roman" w:cs="Times New Roman"/>
          <w:sz w:val="24"/>
          <w:szCs w:val="24"/>
          <w:lang w:eastAsia="pl-PL"/>
        </w:rPr>
        <w:t>–</w:t>
      </w:r>
      <w:r w:rsidRPr="00CA2F7A">
        <w:rPr>
          <w:rFonts w:ascii="Times New Roman" w:eastAsia="Calibri" w:hAnsi="Times New Roman" w:cs="Times New Roman"/>
          <w:sz w:val="24"/>
          <w:szCs w:val="24"/>
          <w:lang w:val="x-none" w:eastAsia="pl-PL"/>
        </w:rPr>
        <w:t xml:space="preserve"> </w:t>
      </w:r>
      <w:r w:rsidRPr="00CA2F7A">
        <w:rPr>
          <w:rFonts w:ascii="Times New Roman" w:eastAsia="Calibri" w:hAnsi="Times New Roman" w:cs="Times New Roman"/>
          <w:sz w:val="24"/>
          <w:szCs w:val="24"/>
          <w:lang w:eastAsia="pl-PL"/>
        </w:rPr>
        <w:t>81</w:t>
      </w:r>
      <w:r w:rsidRPr="00CA2F7A">
        <w:rPr>
          <w:rFonts w:ascii="Times New Roman" w:eastAsia="Calibri" w:hAnsi="Times New Roman" w:cs="Times New Roman"/>
          <w:sz w:val="24"/>
          <w:szCs w:val="24"/>
          <w:lang w:val="x-none" w:eastAsia="pl-PL"/>
        </w:rPr>
        <w:t xml:space="preserve"> decyzji, </w:t>
      </w:r>
    </w:p>
    <w:p w14:paraId="2BE1FD6A" w14:textId="16B5063F" w:rsidR="00113E67" w:rsidRPr="00CA2F7A" w:rsidRDefault="00113E67" w:rsidP="00D34F97">
      <w:pPr>
        <w:numPr>
          <w:ilvl w:val="0"/>
          <w:numId w:val="178"/>
        </w:numPr>
        <w:spacing w:after="0" w:line="300" w:lineRule="atLeast"/>
        <w:ind w:left="1560" w:hanging="284"/>
        <w:contextualSpacing/>
        <w:jc w:val="both"/>
        <w:rPr>
          <w:rFonts w:ascii="Times New Roman" w:eastAsia="Calibri" w:hAnsi="Times New Roman" w:cs="Times New Roman"/>
          <w:sz w:val="24"/>
          <w:szCs w:val="24"/>
          <w:lang w:val="x-none" w:eastAsia="pl-PL"/>
        </w:rPr>
      </w:pPr>
      <w:r w:rsidRPr="00CA2F7A">
        <w:rPr>
          <w:rFonts w:ascii="Times New Roman" w:eastAsia="Calibri" w:hAnsi="Times New Roman" w:cs="Times New Roman"/>
          <w:sz w:val="24"/>
          <w:szCs w:val="24"/>
          <w:lang w:val="x-none" w:eastAsia="pl-PL"/>
        </w:rPr>
        <w:t xml:space="preserve">prowadzenie dokumentacji realizacji </w:t>
      </w:r>
      <w:r w:rsidRPr="00CA2F7A">
        <w:rPr>
          <w:rFonts w:ascii="Times New Roman" w:eastAsia="Calibri" w:hAnsi="Times New Roman" w:cs="Times New Roman"/>
          <w:i/>
          <w:sz w:val="24"/>
          <w:szCs w:val="24"/>
          <w:lang w:val="x-none" w:eastAsia="pl-PL"/>
        </w:rPr>
        <w:t>Programu działań</w:t>
      </w:r>
      <w:r w:rsidRPr="00CA2F7A">
        <w:rPr>
          <w:rFonts w:ascii="Times New Roman" w:eastAsia="Calibri" w:hAnsi="Times New Roman" w:cs="Times New Roman"/>
          <w:sz w:val="24"/>
          <w:szCs w:val="24"/>
          <w:lang w:val="x-none" w:eastAsia="pl-PL"/>
        </w:rPr>
        <w:t xml:space="preserve"> niezgodnie</w:t>
      </w:r>
      <w:r w:rsidR="00552AC0">
        <w:rPr>
          <w:rFonts w:ascii="Times New Roman" w:eastAsia="Calibri" w:hAnsi="Times New Roman" w:cs="Times New Roman"/>
          <w:sz w:val="24"/>
          <w:szCs w:val="24"/>
          <w:lang w:eastAsia="pl-PL"/>
        </w:rPr>
        <w:t xml:space="preserve"> </w:t>
      </w:r>
      <w:r w:rsidRPr="00CA2F7A">
        <w:rPr>
          <w:rFonts w:ascii="Times New Roman" w:eastAsia="Calibri" w:hAnsi="Times New Roman" w:cs="Times New Roman"/>
          <w:sz w:val="24"/>
          <w:szCs w:val="24"/>
          <w:lang w:val="x-none" w:eastAsia="pl-PL"/>
        </w:rPr>
        <w:t xml:space="preserve">z przepisami wydanymi na podstawie art. 106 ust. 4 ustawy </w:t>
      </w:r>
      <w:r w:rsidRPr="00CA2F7A">
        <w:rPr>
          <w:rFonts w:ascii="Times New Roman" w:eastAsia="Calibri" w:hAnsi="Times New Roman" w:cs="Times New Roman"/>
          <w:i/>
          <w:sz w:val="24"/>
          <w:szCs w:val="24"/>
          <w:lang w:val="x-none" w:eastAsia="pl-PL"/>
        </w:rPr>
        <w:t>Prawo wodne</w:t>
      </w:r>
      <w:r w:rsidRPr="00CA2F7A">
        <w:rPr>
          <w:rFonts w:ascii="Times New Roman" w:eastAsia="Calibri" w:hAnsi="Times New Roman" w:cs="Times New Roman"/>
          <w:sz w:val="24"/>
          <w:szCs w:val="24"/>
          <w:lang w:val="x-none" w:eastAsia="pl-PL"/>
        </w:rPr>
        <w:t xml:space="preserve"> albo za jej brak </w:t>
      </w:r>
      <w:r w:rsidRPr="00CA2F7A">
        <w:rPr>
          <w:rFonts w:ascii="Times New Roman" w:eastAsia="Calibri" w:hAnsi="Times New Roman" w:cs="Times New Roman"/>
          <w:sz w:val="24"/>
          <w:szCs w:val="24"/>
          <w:lang w:eastAsia="pl-PL"/>
        </w:rPr>
        <w:t>–</w:t>
      </w:r>
      <w:r w:rsidRPr="00CA2F7A">
        <w:rPr>
          <w:rFonts w:ascii="Times New Roman" w:eastAsia="Calibri" w:hAnsi="Times New Roman" w:cs="Times New Roman"/>
          <w:sz w:val="24"/>
          <w:szCs w:val="24"/>
          <w:lang w:val="x-none" w:eastAsia="pl-PL"/>
        </w:rPr>
        <w:t xml:space="preserve"> </w:t>
      </w:r>
      <w:r w:rsidRPr="00CA2F7A">
        <w:rPr>
          <w:rFonts w:ascii="Times New Roman" w:eastAsia="Calibri" w:hAnsi="Times New Roman" w:cs="Times New Roman"/>
          <w:sz w:val="24"/>
          <w:szCs w:val="24"/>
          <w:lang w:eastAsia="pl-PL"/>
        </w:rPr>
        <w:t>53</w:t>
      </w:r>
      <w:r w:rsidRPr="00CA2F7A">
        <w:rPr>
          <w:rFonts w:ascii="Times New Roman" w:eastAsia="Calibri" w:hAnsi="Times New Roman" w:cs="Times New Roman"/>
          <w:sz w:val="24"/>
          <w:szCs w:val="24"/>
          <w:lang w:val="x-none" w:eastAsia="pl-PL"/>
        </w:rPr>
        <w:t xml:space="preserve"> decyzj</w:t>
      </w:r>
      <w:r w:rsidRPr="00CA2F7A">
        <w:rPr>
          <w:rFonts w:ascii="Times New Roman" w:eastAsia="Calibri" w:hAnsi="Times New Roman" w:cs="Times New Roman"/>
          <w:sz w:val="24"/>
          <w:szCs w:val="24"/>
          <w:lang w:eastAsia="pl-PL"/>
        </w:rPr>
        <w:t>e</w:t>
      </w:r>
      <w:r w:rsidRPr="00CA2F7A">
        <w:rPr>
          <w:rFonts w:ascii="Times New Roman" w:eastAsia="Calibri" w:hAnsi="Times New Roman" w:cs="Times New Roman"/>
          <w:sz w:val="24"/>
          <w:szCs w:val="24"/>
          <w:lang w:val="x-none" w:eastAsia="pl-PL"/>
        </w:rPr>
        <w:t xml:space="preserve">, </w:t>
      </w:r>
    </w:p>
    <w:p w14:paraId="17C39936" w14:textId="77777777" w:rsidR="00113E67" w:rsidRPr="00CA2F7A" w:rsidRDefault="00113E67" w:rsidP="00D34F97">
      <w:pPr>
        <w:numPr>
          <w:ilvl w:val="0"/>
          <w:numId w:val="178"/>
        </w:numPr>
        <w:spacing w:after="0" w:line="300" w:lineRule="atLeast"/>
        <w:ind w:left="1560" w:hanging="284"/>
        <w:contextualSpacing/>
        <w:jc w:val="both"/>
        <w:rPr>
          <w:rFonts w:ascii="Times New Roman" w:eastAsia="Calibri" w:hAnsi="Times New Roman" w:cs="Times New Roman"/>
          <w:sz w:val="24"/>
          <w:szCs w:val="24"/>
          <w:lang w:val="x-none" w:eastAsia="pl-PL"/>
        </w:rPr>
      </w:pPr>
      <w:r w:rsidRPr="00CA2F7A">
        <w:rPr>
          <w:rFonts w:ascii="Times New Roman" w:eastAsia="Calibri" w:hAnsi="Times New Roman" w:cs="Times New Roman"/>
          <w:sz w:val="24"/>
          <w:szCs w:val="24"/>
          <w:lang w:val="x-none" w:eastAsia="pl-PL"/>
        </w:rPr>
        <w:t>brak planu nawożenia azotem</w:t>
      </w:r>
      <w:r>
        <w:rPr>
          <w:rFonts w:ascii="Times New Roman" w:eastAsia="Calibri" w:hAnsi="Times New Roman" w:cs="Times New Roman"/>
          <w:sz w:val="24"/>
          <w:szCs w:val="24"/>
          <w:lang w:eastAsia="pl-PL"/>
        </w:rPr>
        <w:t xml:space="preserve"> </w:t>
      </w:r>
      <w:r w:rsidRPr="00CA2F7A">
        <w:rPr>
          <w:rFonts w:ascii="Times New Roman" w:eastAsia="Calibri" w:hAnsi="Times New Roman" w:cs="Times New Roman"/>
          <w:sz w:val="24"/>
          <w:szCs w:val="24"/>
          <w:lang w:eastAsia="pl-PL"/>
        </w:rPr>
        <w:t>–</w:t>
      </w:r>
      <w:r w:rsidRPr="00CA2F7A">
        <w:rPr>
          <w:rFonts w:ascii="Times New Roman" w:eastAsia="Calibri" w:hAnsi="Times New Roman" w:cs="Times New Roman"/>
          <w:sz w:val="24"/>
          <w:szCs w:val="24"/>
          <w:lang w:val="x-none" w:eastAsia="pl-PL"/>
        </w:rPr>
        <w:t xml:space="preserve"> </w:t>
      </w:r>
      <w:r w:rsidRPr="00CA2F7A">
        <w:rPr>
          <w:rFonts w:ascii="Times New Roman" w:eastAsia="Calibri" w:hAnsi="Times New Roman" w:cs="Times New Roman"/>
          <w:sz w:val="24"/>
          <w:szCs w:val="24"/>
          <w:lang w:eastAsia="pl-PL"/>
        </w:rPr>
        <w:t>25</w:t>
      </w:r>
      <w:r w:rsidRPr="00CA2F7A">
        <w:rPr>
          <w:rFonts w:ascii="Times New Roman" w:eastAsia="Calibri" w:hAnsi="Times New Roman" w:cs="Times New Roman"/>
          <w:sz w:val="24"/>
          <w:szCs w:val="24"/>
          <w:lang w:val="x-none" w:eastAsia="pl-PL"/>
        </w:rPr>
        <w:t xml:space="preserve"> decyzji</w:t>
      </w:r>
      <w:r w:rsidRPr="00CA2F7A">
        <w:rPr>
          <w:rFonts w:ascii="Times New Roman" w:eastAsia="Calibri" w:hAnsi="Times New Roman" w:cs="Times New Roman"/>
          <w:sz w:val="24"/>
          <w:szCs w:val="24"/>
          <w:lang w:eastAsia="pl-PL"/>
        </w:rPr>
        <w:t>,</w:t>
      </w:r>
    </w:p>
    <w:p w14:paraId="45D96DF4" w14:textId="77777777" w:rsidR="00113E67" w:rsidRPr="00CA2F7A" w:rsidRDefault="00113E67" w:rsidP="00D34F97">
      <w:pPr>
        <w:numPr>
          <w:ilvl w:val="1"/>
          <w:numId w:val="177"/>
        </w:numPr>
        <w:spacing w:after="0" w:line="300" w:lineRule="atLeast"/>
        <w:ind w:left="1276" w:hanging="283"/>
        <w:contextualSpacing/>
        <w:jc w:val="both"/>
        <w:rPr>
          <w:rFonts w:ascii="Times New Roman" w:eastAsia="Calibri" w:hAnsi="Times New Roman" w:cs="Times New Roman"/>
          <w:sz w:val="24"/>
          <w:szCs w:val="24"/>
          <w:lang w:val="x-none" w:eastAsia="pl-PL"/>
        </w:rPr>
      </w:pPr>
      <w:r w:rsidRPr="00CA2F7A">
        <w:rPr>
          <w:rFonts w:ascii="Times New Roman" w:eastAsia="Calibri" w:hAnsi="Times New Roman" w:cs="Times New Roman"/>
          <w:sz w:val="24"/>
          <w:szCs w:val="24"/>
          <w:lang w:val="x-none" w:eastAsia="pl-PL"/>
        </w:rPr>
        <w:t xml:space="preserve">nakazujące usunięcie w wyznaczonym terminie uchybień dotyczących braku pozytywnej opinii o planie nawożenia azotem albo posiadania planu nawożenia azotem opracowanego niezgodnie z art. 105a ust. 3 ustawy </w:t>
      </w:r>
      <w:r w:rsidRPr="00CA2F7A">
        <w:rPr>
          <w:rFonts w:ascii="Times New Roman" w:eastAsia="Calibri" w:hAnsi="Times New Roman" w:cs="Times New Roman"/>
          <w:i/>
          <w:sz w:val="24"/>
          <w:szCs w:val="24"/>
          <w:lang w:val="x-none" w:eastAsia="pl-PL"/>
        </w:rPr>
        <w:t>Prawo wodne</w:t>
      </w:r>
      <w:r w:rsidRPr="00CA2F7A">
        <w:rPr>
          <w:rFonts w:ascii="Times New Roman" w:eastAsia="Calibri" w:hAnsi="Times New Roman" w:cs="Times New Roman"/>
          <w:sz w:val="24"/>
          <w:szCs w:val="24"/>
          <w:lang w:val="x-none" w:eastAsia="pl-PL"/>
        </w:rPr>
        <w:t xml:space="preserve"> – </w:t>
      </w:r>
      <w:r w:rsidRPr="00CA2F7A">
        <w:rPr>
          <w:rFonts w:ascii="Times New Roman" w:eastAsia="Calibri" w:hAnsi="Times New Roman" w:cs="Times New Roman"/>
          <w:sz w:val="24"/>
          <w:szCs w:val="24"/>
          <w:lang w:eastAsia="pl-PL"/>
        </w:rPr>
        <w:t>3</w:t>
      </w:r>
      <w:r w:rsidRPr="00CA2F7A">
        <w:rPr>
          <w:rFonts w:ascii="Times New Roman" w:eastAsia="Calibri" w:hAnsi="Times New Roman" w:cs="Times New Roman"/>
          <w:sz w:val="24"/>
          <w:szCs w:val="24"/>
          <w:lang w:val="x-none" w:eastAsia="pl-PL"/>
        </w:rPr>
        <w:t> decyzj</w:t>
      </w:r>
      <w:r w:rsidRPr="00CA2F7A">
        <w:rPr>
          <w:rFonts w:ascii="Times New Roman" w:eastAsia="Calibri" w:hAnsi="Times New Roman" w:cs="Times New Roman"/>
          <w:sz w:val="24"/>
          <w:szCs w:val="24"/>
          <w:lang w:eastAsia="pl-PL"/>
        </w:rPr>
        <w:t>e.</w:t>
      </w:r>
    </w:p>
    <w:p w14:paraId="415C1277" w14:textId="3738EF98" w:rsidR="00113E67" w:rsidRPr="00CA2F7A" w:rsidRDefault="00113E67" w:rsidP="00552AC0">
      <w:pPr>
        <w:spacing w:after="0" w:line="300" w:lineRule="atLeast"/>
        <w:ind w:firstLine="567"/>
        <w:jc w:val="both"/>
        <w:rPr>
          <w:rFonts w:ascii="Times New Roman" w:eastAsia="Calibri" w:hAnsi="Times New Roman" w:cs="Times New Roman"/>
          <w:sz w:val="24"/>
          <w:szCs w:val="24"/>
          <w:lang w:eastAsia="pl-PL"/>
        </w:rPr>
      </w:pPr>
      <w:r w:rsidRPr="00CA2F7A">
        <w:rPr>
          <w:rFonts w:ascii="Times New Roman" w:eastAsia="Calibri" w:hAnsi="Times New Roman" w:cs="Times New Roman"/>
          <w:sz w:val="24"/>
          <w:szCs w:val="24"/>
          <w:lang w:eastAsia="pl-PL"/>
        </w:rPr>
        <w:t xml:space="preserve">W 2022 r. nie wydawano decyzji zezwalających, na wniosek podmiotu prowadzącego chów lub hodowlę drobiu powyżej 40 000 stanowisk lub chów lub hodowlę świń powyżej </w:t>
      </w:r>
      <w:r w:rsidR="00E30C4C">
        <w:rPr>
          <w:rFonts w:ascii="Times New Roman" w:eastAsia="Calibri" w:hAnsi="Times New Roman" w:cs="Times New Roman"/>
          <w:sz w:val="24"/>
          <w:szCs w:val="24"/>
          <w:lang w:eastAsia="pl-PL"/>
        </w:rPr>
        <w:br/>
      </w:r>
      <w:r w:rsidRPr="00CA2F7A">
        <w:rPr>
          <w:rFonts w:ascii="Times New Roman" w:eastAsia="Calibri" w:hAnsi="Times New Roman" w:cs="Times New Roman"/>
          <w:sz w:val="24"/>
          <w:szCs w:val="24"/>
          <w:lang w:eastAsia="pl-PL"/>
        </w:rPr>
        <w:t>2</w:t>
      </w:r>
      <w:r w:rsidR="00E30C4C">
        <w:rPr>
          <w:rFonts w:ascii="Times New Roman" w:eastAsia="Calibri" w:hAnsi="Times New Roman" w:cs="Times New Roman"/>
          <w:sz w:val="24"/>
          <w:szCs w:val="24"/>
          <w:lang w:eastAsia="pl-PL"/>
        </w:rPr>
        <w:t xml:space="preserve"> </w:t>
      </w:r>
      <w:r w:rsidRPr="00CA2F7A">
        <w:rPr>
          <w:rFonts w:ascii="Times New Roman" w:eastAsia="Calibri" w:hAnsi="Times New Roman" w:cs="Times New Roman"/>
          <w:sz w:val="24"/>
          <w:szCs w:val="24"/>
          <w:lang w:eastAsia="pl-PL"/>
        </w:rPr>
        <w:t>000 stanowisk dla świń o wadze ponad 30 kg lub 750 stanowisk dla macior, na ponowne podjęcie prowadzenia chowu lub hodowli zwierząt oraz decyzji wstrzymujących prowadzenie chowu lub hodowli zwierząt, przez podmioty prowadzące chów lub hodowlę drobiu powyżej 40 000 stanowisk lub chów lub hodowlę świń powyżej 2</w:t>
      </w:r>
      <w:r w:rsidR="004E4D32">
        <w:rPr>
          <w:rFonts w:ascii="Times New Roman" w:eastAsia="Calibri" w:hAnsi="Times New Roman" w:cs="Times New Roman"/>
          <w:sz w:val="24"/>
          <w:szCs w:val="24"/>
          <w:lang w:eastAsia="pl-PL"/>
        </w:rPr>
        <w:t xml:space="preserve"> </w:t>
      </w:r>
      <w:r w:rsidRPr="00CA2F7A">
        <w:rPr>
          <w:rFonts w:ascii="Times New Roman" w:eastAsia="Calibri" w:hAnsi="Times New Roman" w:cs="Times New Roman"/>
          <w:sz w:val="24"/>
          <w:szCs w:val="24"/>
          <w:lang w:eastAsia="pl-PL"/>
        </w:rPr>
        <w:t>000 stanowisk dla świń o wadze ponad 30 kg lub 750 stanowisk dla macior.</w:t>
      </w:r>
    </w:p>
    <w:p w14:paraId="043D3D7F" w14:textId="77777777" w:rsidR="00113E67" w:rsidRPr="00CA2F7A" w:rsidRDefault="00113E67" w:rsidP="00552AC0">
      <w:pPr>
        <w:spacing w:after="0" w:line="300" w:lineRule="atLeast"/>
        <w:ind w:firstLine="567"/>
        <w:jc w:val="both"/>
        <w:rPr>
          <w:rFonts w:ascii="Times New Roman" w:eastAsia="Calibri" w:hAnsi="Times New Roman" w:cs="Times New Roman"/>
          <w:sz w:val="24"/>
          <w:szCs w:val="24"/>
          <w:lang w:eastAsia="pl-PL"/>
        </w:rPr>
      </w:pPr>
      <w:r w:rsidRPr="00CA2F7A">
        <w:rPr>
          <w:rFonts w:ascii="Times New Roman" w:eastAsia="Calibri" w:hAnsi="Times New Roman" w:cs="Times New Roman"/>
          <w:sz w:val="24"/>
          <w:szCs w:val="24"/>
          <w:lang w:eastAsia="pl-PL"/>
        </w:rPr>
        <w:t xml:space="preserve">Zgodnie z przepisami </w:t>
      </w:r>
      <w:r w:rsidRPr="00CA2F7A">
        <w:rPr>
          <w:rFonts w:ascii="Times New Roman" w:eastAsia="Calibri" w:hAnsi="Times New Roman" w:cs="Times New Roman"/>
          <w:i/>
          <w:sz w:val="24"/>
          <w:szCs w:val="24"/>
          <w:lang w:eastAsia="pl-PL"/>
        </w:rPr>
        <w:t>Programu działań</w:t>
      </w:r>
      <w:r w:rsidRPr="00CA2F7A">
        <w:rPr>
          <w:rFonts w:ascii="Times New Roman" w:eastAsia="Calibri" w:hAnsi="Times New Roman" w:cs="Times New Roman"/>
          <w:sz w:val="24"/>
          <w:szCs w:val="24"/>
          <w:lang w:eastAsia="pl-PL"/>
        </w:rPr>
        <w:t xml:space="preserve">, podmioty prowadzące chów lub hodowlę zwierząt gospodarskich w liczbie większej niż 210 DJP, w tym podmioty prowadzące chów lub hodowlę drobiu powyżej 40 000 stanowisk lub chów lub hodowlę świń powyżej 2 000 stanowisk dla świń o wadze ponad 30 kg lub 750 stanowisk dla macior były zobowiązane do dostosowania – terminie do 31 grudnia 2021 r. – pojemności zbiorników na nawozy naturalne płynne tak, żeby możliwe było ich przechowanie przez okres 6 miesięcy oraz powierzchni miejsc do przechowywania nawozów naturalnych stałych tak, żeby możliwe było ich przechowywanie przez okres 5 miesięcy. </w:t>
      </w:r>
    </w:p>
    <w:p w14:paraId="3C6CD195" w14:textId="77777777" w:rsidR="00113E67" w:rsidRPr="00CA2F7A" w:rsidRDefault="00113E67" w:rsidP="00552AC0">
      <w:pPr>
        <w:spacing w:after="0" w:line="300" w:lineRule="atLeast"/>
        <w:ind w:firstLine="567"/>
        <w:jc w:val="both"/>
        <w:rPr>
          <w:rFonts w:ascii="Times New Roman" w:eastAsia="Calibri" w:hAnsi="Times New Roman" w:cs="Times New Roman"/>
          <w:sz w:val="24"/>
          <w:szCs w:val="24"/>
          <w:lang w:eastAsia="pl-PL"/>
        </w:rPr>
      </w:pPr>
      <w:r w:rsidRPr="00CA2F7A">
        <w:rPr>
          <w:rFonts w:ascii="Times New Roman" w:eastAsia="Calibri" w:hAnsi="Times New Roman" w:cs="Times New Roman"/>
          <w:sz w:val="24"/>
          <w:szCs w:val="24"/>
          <w:lang w:eastAsia="pl-PL"/>
        </w:rPr>
        <w:t xml:space="preserve">Ustalenia </w:t>
      </w:r>
      <w:proofErr w:type="spellStart"/>
      <w:r>
        <w:rPr>
          <w:rFonts w:ascii="Times New Roman" w:eastAsia="Calibri" w:hAnsi="Times New Roman" w:cs="Times New Roman"/>
          <w:sz w:val="24"/>
          <w:szCs w:val="24"/>
          <w:lang w:eastAsia="pl-PL"/>
        </w:rPr>
        <w:t>wioś</w:t>
      </w:r>
      <w:proofErr w:type="spellEnd"/>
      <w:r w:rsidRPr="00CA2F7A">
        <w:rPr>
          <w:rFonts w:ascii="Times New Roman" w:eastAsia="Calibri" w:hAnsi="Times New Roman" w:cs="Times New Roman"/>
          <w:sz w:val="24"/>
          <w:szCs w:val="24"/>
          <w:lang w:eastAsia="pl-PL"/>
        </w:rPr>
        <w:t xml:space="preserve"> dokonane na podstawie przeprowadzonych w 2022 r. kontroli wykazały, że nie wszystkie podmioty spełniły te wymagania w wyznaczonym terminie. Spośród skontrolowanych podmiotów 393 podmioty dostosowały pojemność lub powierzchnię miejsc do przechowywania nawozów w terminie do 31 grudnia 2021 r., w tym:</w:t>
      </w:r>
    </w:p>
    <w:p w14:paraId="35B10D8F" w14:textId="1E4C64DA" w:rsidR="00113E67" w:rsidRPr="00CA2F7A" w:rsidRDefault="00113E67" w:rsidP="00D34F97">
      <w:pPr>
        <w:numPr>
          <w:ilvl w:val="0"/>
          <w:numId w:val="182"/>
        </w:numPr>
        <w:spacing w:after="120" w:line="300" w:lineRule="atLeast"/>
        <w:ind w:left="924" w:hanging="357"/>
        <w:contextualSpacing/>
        <w:jc w:val="both"/>
        <w:rPr>
          <w:rFonts w:ascii="Times New Roman" w:eastAsia="Calibri" w:hAnsi="Times New Roman" w:cs="Times New Roman"/>
          <w:sz w:val="24"/>
          <w:szCs w:val="24"/>
          <w:lang w:val="x-none" w:eastAsia="pl-PL"/>
        </w:rPr>
      </w:pPr>
      <w:r w:rsidRPr="00CA2F7A">
        <w:rPr>
          <w:rFonts w:ascii="Times New Roman" w:eastAsia="Calibri" w:hAnsi="Times New Roman" w:cs="Times New Roman"/>
          <w:sz w:val="24"/>
          <w:szCs w:val="24"/>
          <w:lang w:eastAsia="pl-PL"/>
        </w:rPr>
        <w:t xml:space="preserve">wśród </w:t>
      </w:r>
      <w:r w:rsidRPr="00CA2F7A">
        <w:rPr>
          <w:rFonts w:ascii="Times New Roman" w:eastAsia="Calibri" w:hAnsi="Times New Roman" w:cs="Times New Roman"/>
          <w:sz w:val="24"/>
          <w:szCs w:val="24"/>
          <w:lang w:val="x-none" w:eastAsia="pl-PL"/>
        </w:rPr>
        <w:t>podmiotów prowadz</w:t>
      </w:r>
      <w:r w:rsidRPr="00CA2F7A">
        <w:rPr>
          <w:rFonts w:ascii="Times New Roman" w:eastAsia="Calibri" w:hAnsi="Times New Roman" w:cs="Times New Roman"/>
          <w:sz w:val="24"/>
          <w:szCs w:val="24"/>
          <w:lang w:eastAsia="pl-PL"/>
        </w:rPr>
        <w:t>ących</w:t>
      </w:r>
      <w:r w:rsidRPr="00CA2F7A">
        <w:rPr>
          <w:rFonts w:ascii="Times New Roman" w:eastAsia="Calibri" w:hAnsi="Times New Roman" w:cs="Times New Roman"/>
          <w:sz w:val="24"/>
          <w:szCs w:val="24"/>
          <w:lang w:val="x-none" w:eastAsia="pl-PL"/>
        </w:rPr>
        <w:t xml:space="preserve"> chów lub hodowlę drobiu powyżej 40 000 stanowisk lub chów lub hodowlę świń powyżej 2</w:t>
      </w:r>
      <w:r w:rsidR="004E4D32">
        <w:rPr>
          <w:rFonts w:ascii="Times New Roman" w:eastAsia="Calibri" w:hAnsi="Times New Roman" w:cs="Times New Roman"/>
          <w:sz w:val="24"/>
          <w:szCs w:val="24"/>
          <w:lang w:eastAsia="pl-PL"/>
        </w:rPr>
        <w:t xml:space="preserve"> </w:t>
      </w:r>
      <w:r w:rsidRPr="00CA2F7A">
        <w:rPr>
          <w:rFonts w:ascii="Times New Roman" w:eastAsia="Calibri" w:hAnsi="Times New Roman" w:cs="Times New Roman"/>
          <w:sz w:val="24"/>
          <w:szCs w:val="24"/>
          <w:lang w:val="x-none" w:eastAsia="pl-PL"/>
        </w:rPr>
        <w:t>000 stanowisk dla świń o wadze ponad 30 kg lub 750 stanowisk dla macior</w:t>
      </w:r>
      <w:r w:rsidRPr="00CA2F7A">
        <w:rPr>
          <w:rFonts w:ascii="Times New Roman" w:eastAsia="Calibri" w:hAnsi="Times New Roman" w:cs="Times New Roman"/>
          <w:sz w:val="24"/>
          <w:szCs w:val="24"/>
          <w:lang w:eastAsia="pl-PL"/>
        </w:rPr>
        <w:t xml:space="preserve"> – 315 podmiotów;</w:t>
      </w:r>
    </w:p>
    <w:p w14:paraId="6461E4EA" w14:textId="73C5AF5F" w:rsidR="00113E67" w:rsidRPr="00CA2F7A" w:rsidRDefault="00113E67" w:rsidP="00D34F97">
      <w:pPr>
        <w:numPr>
          <w:ilvl w:val="0"/>
          <w:numId w:val="182"/>
        </w:numPr>
        <w:spacing w:after="120" w:line="300" w:lineRule="atLeast"/>
        <w:ind w:left="924" w:hanging="357"/>
        <w:contextualSpacing/>
        <w:jc w:val="both"/>
        <w:rPr>
          <w:rFonts w:ascii="Times New Roman" w:eastAsia="Calibri" w:hAnsi="Times New Roman" w:cs="Times New Roman"/>
          <w:sz w:val="24"/>
          <w:szCs w:val="24"/>
          <w:lang w:val="x-none" w:eastAsia="pl-PL"/>
        </w:rPr>
      </w:pPr>
      <w:r w:rsidRPr="00CA2F7A">
        <w:rPr>
          <w:rFonts w:ascii="Times New Roman" w:eastAsia="Calibri" w:hAnsi="Times New Roman" w:cs="Times New Roman"/>
          <w:sz w:val="24"/>
          <w:szCs w:val="24"/>
          <w:lang w:eastAsia="pl-PL"/>
        </w:rPr>
        <w:t xml:space="preserve">wśród podmiotów prowadzących chów lub hodowlę zwierząt gospodarskich w liczbie większej niż 210 DJP, z wyłączeniem </w:t>
      </w:r>
      <w:r w:rsidRPr="00CA2F7A">
        <w:rPr>
          <w:rFonts w:ascii="Times New Roman" w:eastAsia="Calibri" w:hAnsi="Times New Roman" w:cs="Times New Roman"/>
          <w:sz w:val="24"/>
          <w:szCs w:val="24"/>
          <w:lang w:val="x-none" w:eastAsia="pl-PL"/>
        </w:rPr>
        <w:t>podmiotów prowadz</w:t>
      </w:r>
      <w:r w:rsidRPr="00CA2F7A">
        <w:rPr>
          <w:rFonts w:ascii="Times New Roman" w:eastAsia="Calibri" w:hAnsi="Times New Roman" w:cs="Times New Roman"/>
          <w:sz w:val="24"/>
          <w:szCs w:val="24"/>
          <w:lang w:eastAsia="pl-PL"/>
        </w:rPr>
        <w:t>ących</w:t>
      </w:r>
      <w:r w:rsidRPr="00CA2F7A">
        <w:rPr>
          <w:rFonts w:ascii="Times New Roman" w:eastAsia="Calibri" w:hAnsi="Times New Roman" w:cs="Times New Roman"/>
          <w:sz w:val="24"/>
          <w:szCs w:val="24"/>
          <w:lang w:val="x-none" w:eastAsia="pl-PL"/>
        </w:rPr>
        <w:t xml:space="preserve"> chów lub hodowlę drobiu powyżej 40 000 stanowisk lub chów lub hodowlę świń powyżej 2</w:t>
      </w:r>
      <w:r w:rsidR="004E4D32">
        <w:rPr>
          <w:rFonts w:ascii="Times New Roman" w:eastAsia="Calibri" w:hAnsi="Times New Roman" w:cs="Times New Roman"/>
          <w:sz w:val="24"/>
          <w:szCs w:val="24"/>
          <w:lang w:eastAsia="pl-PL"/>
        </w:rPr>
        <w:t xml:space="preserve"> </w:t>
      </w:r>
      <w:r w:rsidRPr="00CA2F7A">
        <w:rPr>
          <w:rFonts w:ascii="Times New Roman" w:eastAsia="Calibri" w:hAnsi="Times New Roman" w:cs="Times New Roman"/>
          <w:sz w:val="24"/>
          <w:szCs w:val="24"/>
          <w:lang w:val="x-none" w:eastAsia="pl-PL"/>
        </w:rPr>
        <w:t>000 stanowisk dla świń o wadze ponad 30 kg lub 750 stanowisk dla macior</w:t>
      </w:r>
      <w:r w:rsidRPr="00CA2F7A">
        <w:rPr>
          <w:rFonts w:ascii="Times New Roman" w:eastAsia="Calibri" w:hAnsi="Times New Roman" w:cs="Times New Roman"/>
          <w:sz w:val="24"/>
          <w:szCs w:val="24"/>
          <w:lang w:eastAsia="pl-PL"/>
        </w:rPr>
        <w:t xml:space="preserve"> – 78 podmiotów.</w:t>
      </w:r>
    </w:p>
    <w:p w14:paraId="1A97C72B" w14:textId="6FF8470E" w:rsidR="00113E67" w:rsidRPr="00CA2F7A" w:rsidRDefault="00113E67" w:rsidP="004E4D32">
      <w:pPr>
        <w:spacing w:after="0" w:line="300" w:lineRule="atLeast"/>
        <w:ind w:firstLine="567"/>
        <w:jc w:val="both"/>
        <w:rPr>
          <w:rFonts w:ascii="Times New Roman" w:eastAsia="Calibri" w:hAnsi="Times New Roman" w:cs="Times New Roman"/>
          <w:sz w:val="24"/>
          <w:szCs w:val="24"/>
          <w:lang w:eastAsia="pl-PL"/>
        </w:rPr>
      </w:pPr>
      <w:r w:rsidRPr="00CA2F7A">
        <w:rPr>
          <w:rFonts w:ascii="Times New Roman" w:eastAsia="Calibri" w:hAnsi="Times New Roman" w:cs="Times New Roman"/>
          <w:sz w:val="24"/>
          <w:szCs w:val="24"/>
          <w:lang w:eastAsia="pl-PL"/>
        </w:rPr>
        <w:lastRenderedPageBreak/>
        <w:t xml:space="preserve">Jednocześnie niektóre z podmiotów, które z uwagi na wielkość prowadzonego chowu lub hodowli były zobowiązane do dostosowania wielkości miejsc do przechowywania nawozów </w:t>
      </w:r>
      <w:r w:rsidR="004E4D32">
        <w:rPr>
          <w:rFonts w:ascii="Times New Roman" w:eastAsia="Calibri" w:hAnsi="Times New Roman" w:cs="Times New Roman"/>
          <w:sz w:val="24"/>
          <w:szCs w:val="24"/>
          <w:lang w:eastAsia="pl-PL"/>
        </w:rPr>
        <w:br/>
      </w:r>
      <w:r w:rsidRPr="00CA2F7A">
        <w:rPr>
          <w:rFonts w:ascii="Times New Roman" w:eastAsia="Calibri" w:hAnsi="Times New Roman" w:cs="Times New Roman"/>
          <w:sz w:val="24"/>
          <w:szCs w:val="24"/>
          <w:lang w:eastAsia="pl-PL"/>
        </w:rPr>
        <w:t>w terminie do 31 grudnia 2021 r., skorzystały z odstępstwa przewidzianego przepisami w tym zakresie, ponieważ 100% wytworzonej ilości nawozów przekazywały podmiotom zewnętrznym –</w:t>
      </w:r>
      <w:r>
        <w:rPr>
          <w:rFonts w:ascii="Times New Roman" w:eastAsia="Calibri" w:hAnsi="Times New Roman" w:cs="Times New Roman"/>
          <w:sz w:val="24"/>
          <w:szCs w:val="24"/>
          <w:lang w:eastAsia="pl-PL"/>
        </w:rPr>
        <w:t xml:space="preserve"> </w:t>
      </w:r>
      <w:r w:rsidRPr="00CA2F7A">
        <w:rPr>
          <w:rFonts w:ascii="Times New Roman" w:eastAsia="Calibri" w:hAnsi="Times New Roman" w:cs="Times New Roman"/>
          <w:sz w:val="24"/>
          <w:szCs w:val="24"/>
          <w:lang w:eastAsia="pl-PL"/>
        </w:rPr>
        <w:t>19 podmiotów.</w:t>
      </w:r>
    </w:p>
    <w:p w14:paraId="031BB20C" w14:textId="5BE9E51C" w:rsidR="00895F16" w:rsidRPr="007F400A" w:rsidRDefault="00113E67" w:rsidP="005B5AE3">
      <w:pPr>
        <w:spacing w:after="0" w:line="300" w:lineRule="atLeast"/>
        <w:ind w:firstLine="567"/>
        <w:jc w:val="both"/>
        <w:rPr>
          <w:rFonts w:ascii="Times New Roman" w:eastAsia="Calibri" w:hAnsi="Times New Roman" w:cs="Times New Roman"/>
          <w:sz w:val="24"/>
          <w:szCs w:val="24"/>
          <w:lang w:val="x-none" w:eastAsia="pl-PL"/>
        </w:rPr>
      </w:pPr>
      <w:r w:rsidRPr="00CA2F7A">
        <w:rPr>
          <w:rFonts w:ascii="Times New Roman" w:eastAsia="Calibri" w:hAnsi="Times New Roman" w:cs="Times New Roman"/>
          <w:sz w:val="24"/>
          <w:szCs w:val="24"/>
          <w:lang w:eastAsia="pl-PL"/>
        </w:rPr>
        <w:t xml:space="preserve">W ramach przeprowadzonych kontroli, w niektórych przypadkach, tam gdzie </w:t>
      </w:r>
      <w:r w:rsidR="004E4D32">
        <w:rPr>
          <w:rFonts w:ascii="Times New Roman" w:eastAsia="Calibri" w:hAnsi="Times New Roman" w:cs="Times New Roman"/>
          <w:sz w:val="24"/>
          <w:szCs w:val="24"/>
          <w:lang w:eastAsia="pl-PL"/>
        </w:rPr>
        <w:br/>
      </w:r>
      <w:r w:rsidRPr="00CA2F7A">
        <w:rPr>
          <w:rFonts w:ascii="Times New Roman" w:eastAsia="Calibri" w:hAnsi="Times New Roman" w:cs="Times New Roman"/>
          <w:sz w:val="24"/>
          <w:szCs w:val="24"/>
          <w:lang w:eastAsia="pl-PL"/>
        </w:rPr>
        <w:t xml:space="preserve">w ocenie kontrolujących było to uzasadnione, </w:t>
      </w:r>
      <w:proofErr w:type="spellStart"/>
      <w:r>
        <w:rPr>
          <w:rFonts w:ascii="Times New Roman" w:eastAsia="Calibri" w:hAnsi="Times New Roman" w:cs="Times New Roman"/>
          <w:sz w:val="24"/>
          <w:szCs w:val="24"/>
          <w:lang w:eastAsia="pl-PL"/>
        </w:rPr>
        <w:t>wioś</w:t>
      </w:r>
      <w:proofErr w:type="spellEnd"/>
      <w:r w:rsidRPr="00CA2F7A">
        <w:rPr>
          <w:rFonts w:ascii="Times New Roman" w:eastAsia="Calibri" w:hAnsi="Times New Roman" w:cs="Times New Roman"/>
          <w:sz w:val="24"/>
          <w:szCs w:val="24"/>
          <w:lang w:eastAsia="pl-PL"/>
        </w:rPr>
        <w:t xml:space="preserve"> zlecali do CLB GIOŚ pobieranie próbek i wykonywanie badań wody, w celu stwierdzenia</w:t>
      </w:r>
      <w:r w:rsidR="004E4D32">
        <w:rPr>
          <w:rFonts w:ascii="Times New Roman" w:eastAsia="Calibri" w:hAnsi="Times New Roman" w:cs="Times New Roman"/>
          <w:sz w:val="24"/>
          <w:szCs w:val="24"/>
          <w:lang w:eastAsia="pl-PL"/>
        </w:rPr>
        <w:t>,</w:t>
      </w:r>
      <w:r w:rsidRPr="00CA2F7A">
        <w:rPr>
          <w:rFonts w:ascii="Times New Roman" w:eastAsia="Calibri" w:hAnsi="Times New Roman" w:cs="Times New Roman"/>
          <w:sz w:val="24"/>
          <w:szCs w:val="24"/>
          <w:lang w:eastAsia="pl-PL"/>
        </w:rPr>
        <w:t xml:space="preserve"> czy stosowane lub przechowywane nawozy mogły powodować zanieczyszczenie środowiska związkami azotu ze źródeł rolniczych. W 2022 r. </w:t>
      </w:r>
      <w:proofErr w:type="spellStart"/>
      <w:r>
        <w:rPr>
          <w:rFonts w:ascii="Times New Roman" w:eastAsia="Calibri" w:hAnsi="Times New Roman" w:cs="Times New Roman"/>
          <w:sz w:val="24"/>
          <w:szCs w:val="24"/>
          <w:lang w:eastAsia="pl-PL"/>
        </w:rPr>
        <w:t>wioś</w:t>
      </w:r>
      <w:proofErr w:type="spellEnd"/>
      <w:r w:rsidRPr="00CA2F7A">
        <w:rPr>
          <w:rFonts w:ascii="Times New Roman" w:eastAsia="Calibri" w:hAnsi="Times New Roman" w:cs="Times New Roman"/>
          <w:sz w:val="24"/>
          <w:szCs w:val="24"/>
          <w:lang w:eastAsia="pl-PL"/>
        </w:rPr>
        <w:t xml:space="preserve"> skierowali do CLB GIOŚ 176 zleceń. CLB GIOŚ wykonało 167 z nich, a</w:t>
      </w:r>
      <w:r>
        <w:rPr>
          <w:rFonts w:ascii="Times New Roman" w:eastAsia="Calibri" w:hAnsi="Times New Roman" w:cs="Times New Roman"/>
          <w:sz w:val="24"/>
          <w:szCs w:val="24"/>
          <w:lang w:eastAsia="pl-PL"/>
        </w:rPr>
        <w:t> </w:t>
      </w:r>
      <w:r w:rsidRPr="00CA2F7A">
        <w:rPr>
          <w:rFonts w:ascii="Times New Roman" w:eastAsia="Calibri" w:hAnsi="Times New Roman" w:cs="Times New Roman"/>
          <w:sz w:val="24"/>
          <w:szCs w:val="24"/>
          <w:lang w:eastAsia="pl-PL"/>
        </w:rPr>
        <w:t>przyczyną niewykonanych był brak wody w zbiorniku lub cieku albo ocena stanu faktycznego w terenie wykazała brak uzasadnienia do pobierania próbek do badań - lokalizacja pola w znacznej odległości od cieku</w:t>
      </w:r>
      <w:r w:rsidR="00895F16" w:rsidRPr="007F400A">
        <w:rPr>
          <w:rFonts w:ascii="Times New Roman" w:eastAsia="Calibri" w:hAnsi="Times New Roman" w:cs="Times New Roman"/>
          <w:sz w:val="24"/>
          <w:szCs w:val="24"/>
          <w:lang w:val="x-none" w:eastAsia="pl-PL"/>
        </w:rPr>
        <w:t>.</w:t>
      </w:r>
    </w:p>
    <w:p w14:paraId="44BF0795" w14:textId="20D40284" w:rsidR="00895F16" w:rsidRPr="007F400A" w:rsidRDefault="00895F16" w:rsidP="004E4D32">
      <w:pPr>
        <w:keepNext/>
        <w:spacing w:after="120" w:line="300" w:lineRule="atLeast"/>
        <w:outlineLvl w:val="0"/>
        <w:rPr>
          <w:rFonts w:ascii="Times New Roman" w:eastAsia="Times New Roman" w:hAnsi="Times New Roman" w:cs="Times New Roman"/>
          <w:b/>
          <w:bCs/>
          <w:sz w:val="24"/>
          <w:szCs w:val="24"/>
          <w:lang w:val="x-none" w:eastAsia="x-none"/>
        </w:rPr>
      </w:pPr>
      <w:bookmarkStart w:id="142" w:name="_Toc5878563"/>
      <w:bookmarkStart w:id="143" w:name="_Toc36732584"/>
      <w:bookmarkStart w:id="144" w:name="_Toc135935613"/>
      <w:r w:rsidRPr="007F400A">
        <w:rPr>
          <w:rFonts w:ascii="Times New Roman" w:eastAsia="Times New Roman" w:hAnsi="Times New Roman" w:cs="Times New Roman"/>
          <w:b/>
          <w:bCs/>
          <w:sz w:val="24"/>
          <w:szCs w:val="24"/>
          <w:lang w:val="x-none" w:eastAsia="x-none"/>
        </w:rPr>
        <w:t>3.3.2</w:t>
      </w:r>
      <w:r w:rsidR="00113E67">
        <w:rPr>
          <w:rFonts w:ascii="Times New Roman" w:eastAsia="Times New Roman" w:hAnsi="Times New Roman" w:cs="Times New Roman"/>
          <w:b/>
          <w:bCs/>
          <w:sz w:val="24"/>
          <w:szCs w:val="24"/>
          <w:lang w:eastAsia="x-none"/>
        </w:rPr>
        <w:t>3</w:t>
      </w:r>
      <w:r w:rsidRPr="007F400A">
        <w:rPr>
          <w:rFonts w:ascii="Times New Roman" w:eastAsia="Times New Roman" w:hAnsi="Times New Roman" w:cs="Times New Roman"/>
          <w:b/>
          <w:bCs/>
          <w:sz w:val="24"/>
          <w:szCs w:val="24"/>
          <w:lang w:val="x-none" w:eastAsia="x-none"/>
        </w:rPr>
        <w:t xml:space="preserve"> Kontrole w zakresie wprowadzania do obrotu drewna i produktów z drewna</w:t>
      </w:r>
      <w:bookmarkEnd w:id="142"/>
      <w:bookmarkEnd w:id="143"/>
      <w:bookmarkEnd w:id="144"/>
    </w:p>
    <w:p w14:paraId="18EB0F90" w14:textId="77777777" w:rsidR="00113E67" w:rsidRDefault="00113E67" w:rsidP="004E4D32">
      <w:pPr>
        <w:spacing w:after="0" w:line="300" w:lineRule="atLeast"/>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2022 r. wojewódzcy inspektorzy ochrony środowiska przeprowadzili 117 kontroli w zakresie obrotu drewnem</w:t>
      </w:r>
      <w:r>
        <w:rPr>
          <w:rFonts w:ascii="Times New Roman" w:eastAsia="Times New Roman" w:hAnsi="Times New Roman" w:cs="Times New Roman"/>
          <w:sz w:val="24"/>
          <w:szCs w:val="24"/>
          <w:vertAlign w:val="superscript"/>
        </w:rPr>
        <w:footnoteReference w:id="32"/>
      </w:r>
      <w:r>
        <w:rPr>
          <w:rFonts w:ascii="Times New Roman" w:eastAsia="Times New Roman" w:hAnsi="Times New Roman" w:cs="Times New Roman"/>
          <w:sz w:val="24"/>
          <w:szCs w:val="24"/>
        </w:rPr>
        <w:t xml:space="preserve"> oraz udzielili 8 instruktaży. </w:t>
      </w:r>
      <w:r>
        <w:rPr>
          <w:rFonts w:ascii="Times New Roman" w:hAnsi="Times New Roman" w:cs="Times New Roman"/>
          <w:sz w:val="24"/>
          <w:szCs w:val="24"/>
        </w:rPr>
        <w:t xml:space="preserve">Kontrolą objęto podmioty </w:t>
      </w:r>
      <w:r>
        <w:rPr>
          <w:rFonts w:ascii="Times New Roman" w:eastAsia="Times New Roman" w:hAnsi="Times New Roman" w:cs="Times New Roman"/>
          <w:sz w:val="24"/>
          <w:szCs w:val="24"/>
        </w:rPr>
        <w:t>importujące drewno i produkty z drewna do Polski spoza UE, podmioty pozyskujące drewno na terenie kraju, w tym nadleśnictwa, podmioty handlowe oraz podmioty prowadzące więcej niż jeden rodzaj działalności (np. zarówno import, jak i handel). Najważniejszym kierunkiem importu drewna w 2022 roku była Ukraina, a w dalszej kolejności m.in. Białoruś, Rosja i Chiny.</w:t>
      </w:r>
    </w:p>
    <w:p w14:paraId="0CC0D2EB" w14:textId="77777777" w:rsidR="00113E67" w:rsidRDefault="00113E67" w:rsidP="004E4D32">
      <w:pPr>
        <w:spacing w:after="0" w:line="300" w:lineRule="atLeast"/>
        <w:ind w:firstLine="567"/>
        <w:jc w:val="both"/>
        <w:rPr>
          <w:rFonts w:ascii="Times New Roman" w:eastAsia="Times New Roman" w:hAnsi="Times New Roman" w:cs="Times New Roman"/>
          <w:sz w:val="24"/>
          <w:szCs w:val="24"/>
        </w:rPr>
      </w:pPr>
      <w:r w:rsidRPr="007F400A">
        <w:rPr>
          <w:rFonts w:ascii="Times New Roman" w:eastAsia="Times New Roman" w:hAnsi="Times New Roman" w:cs="Times New Roman"/>
          <w:sz w:val="24"/>
          <w:szCs w:val="24"/>
        </w:rPr>
        <w:t xml:space="preserve">W przypadku </w:t>
      </w:r>
      <w:r>
        <w:rPr>
          <w:rFonts w:ascii="Times New Roman" w:eastAsia="Times New Roman" w:hAnsi="Times New Roman" w:cs="Times New Roman"/>
          <w:sz w:val="24"/>
          <w:szCs w:val="24"/>
        </w:rPr>
        <w:t>11</w:t>
      </w:r>
      <w:r w:rsidRPr="007F400A">
        <w:rPr>
          <w:rFonts w:ascii="Times New Roman" w:eastAsia="Times New Roman" w:hAnsi="Times New Roman" w:cs="Times New Roman"/>
          <w:sz w:val="24"/>
          <w:szCs w:val="24"/>
        </w:rPr>
        <w:t xml:space="preserve"> kontroli w zakresie przestrzegania przepisów rozporządzenia EUTR</w:t>
      </w:r>
      <w:r w:rsidRPr="007F400A">
        <w:rPr>
          <w:rFonts w:ascii="Times New Roman" w:eastAsia="Times New Roman" w:hAnsi="Times New Roman" w:cs="Times New Roman"/>
          <w:sz w:val="24"/>
          <w:szCs w:val="24"/>
          <w:vertAlign w:val="superscript"/>
        </w:rPr>
        <w:footnoteReference w:id="33"/>
      </w:r>
      <w:r>
        <w:rPr>
          <w:rFonts w:ascii="Times New Roman" w:eastAsia="Times New Roman" w:hAnsi="Times New Roman" w:cs="Times New Roman"/>
          <w:sz w:val="24"/>
          <w:szCs w:val="24"/>
        </w:rPr>
        <w:t xml:space="preserve"> stwierdzono</w:t>
      </w:r>
      <w:r w:rsidRPr="007F400A">
        <w:rPr>
          <w:rFonts w:ascii="Times New Roman" w:eastAsia="Times New Roman" w:hAnsi="Times New Roman" w:cs="Times New Roman"/>
          <w:sz w:val="24"/>
          <w:szCs w:val="24"/>
        </w:rPr>
        <w:t xml:space="preserve"> narusze</w:t>
      </w:r>
      <w:r>
        <w:rPr>
          <w:rFonts w:ascii="Times New Roman" w:eastAsia="Times New Roman" w:hAnsi="Times New Roman" w:cs="Times New Roman"/>
          <w:sz w:val="24"/>
          <w:szCs w:val="24"/>
        </w:rPr>
        <w:t>nia</w:t>
      </w:r>
      <w:r w:rsidRPr="007F400A">
        <w:rPr>
          <w:rFonts w:ascii="Times New Roman" w:eastAsia="Times New Roman" w:hAnsi="Times New Roman" w:cs="Times New Roman"/>
          <w:sz w:val="24"/>
          <w:szCs w:val="24"/>
        </w:rPr>
        <w:t xml:space="preserve"> bez istotnego wpływu na środowisko</w:t>
      </w:r>
      <w:r>
        <w:rPr>
          <w:rFonts w:ascii="Times New Roman" w:eastAsia="Times New Roman" w:hAnsi="Times New Roman" w:cs="Times New Roman"/>
          <w:sz w:val="24"/>
          <w:szCs w:val="24"/>
        </w:rPr>
        <w:t xml:space="preserve"> polegające na:</w:t>
      </w:r>
      <w:r w:rsidRPr="007F400A">
        <w:rPr>
          <w:rFonts w:ascii="Times New Roman" w:eastAsia="Times New Roman" w:hAnsi="Times New Roman" w:cs="Times New Roman"/>
          <w:sz w:val="24"/>
          <w:szCs w:val="24"/>
        </w:rPr>
        <w:t xml:space="preserve"> nieopracowani</w:t>
      </w:r>
      <w:r>
        <w:rPr>
          <w:rFonts w:ascii="Times New Roman" w:eastAsia="Times New Roman" w:hAnsi="Times New Roman" w:cs="Times New Roman"/>
          <w:sz w:val="24"/>
          <w:szCs w:val="24"/>
        </w:rPr>
        <w:t>u</w:t>
      </w:r>
      <w:r w:rsidRPr="007F400A">
        <w:rPr>
          <w:rFonts w:ascii="Times New Roman" w:eastAsia="Times New Roman" w:hAnsi="Times New Roman" w:cs="Times New Roman"/>
          <w:sz w:val="24"/>
          <w:szCs w:val="24"/>
        </w:rPr>
        <w:t xml:space="preserve"> i</w:t>
      </w:r>
      <w:r>
        <w:rPr>
          <w:rFonts w:ascii="Times New Roman" w:eastAsia="Times New Roman" w:hAnsi="Times New Roman" w:cs="Times New Roman"/>
          <w:sz w:val="24"/>
          <w:szCs w:val="24"/>
        </w:rPr>
        <w:t> </w:t>
      </w:r>
      <w:r w:rsidRPr="007F400A">
        <w:rPr>
          <w:rFonts w:ascii="Times New Roman" w:eastAsia="Times New Roman" w:hAnsi="Times New Roman" w:cs="Times New Roman"/>
          <w:sz w:val="24"/>
          <w:szCs w:val="24"/>
        </w:rPr>
        <w:t>niestosowani</w:t>
      </w:r>
      <w:r>
        <w:rPr>
          <w:rFonts w:ascii="Times New Roman" w:eastAsia="Times New Roman" w:hAnsi="Times New Roman" w:cs="Times New Roman"/>
          <w:sz w:val="24"/>
          <w:szCs w:val="24"/>
        </w:rPr>
        <w:t>u</w:t>
      </w:r>
      <w:r w:rsidRPr="007F400A">
        <w:rPr>
          <w:rFonts w:ascii="Times New Roman" w:eastAsia="Times New Roman" w:hAnsi="Times New Roman" w:cs="Times New Roman"/>
          <w:sz w:val="24"/>
          <w:szCs w:val="24"/>
        </w:rPr>
        <w:t xml:space="preserve"> systemu zasad należytej staranności (SZNS) oraz naruszeni</w:t>
      </w:r>
      <w:r>
        <w:rPr>
          <w:rFonts w:ascii="Times New Roman" w:eastAsia="Times New Roman" w:hAnsi="Times New Roman" w:cs="Times New Roman"/>
          <w:sz w:val="24"/>
          <w:szCs w:val="24"/>
        </w:rPr>
        <w:t>u</w:t>
      </w:r>
      <w:r w:rsidRPr="007F400A">
        <w:rPr>
          <w:rFonts w:ascii="Times New Roman" w:eastAsia="Times New Roman" w:hAnsi="Times New Roman" w:cs="Times New Roman"/>
          <w:sz w:val="24"/>
          <w:szCs w:val="24"/>
        </w:rPr>
        <w:t xml:space="preserve"> obowiązku</w:t>
      </w:r>
      <w:r>
        <w:rPr>
          <w:rFonts w:ascii="Times New Roman" w:eastAsia="Times New Roman" w:hAnsi="Times New Roman" w:cs="Times New Roman"/>
          <w:sz w:val="24"/>
          <w:szCs w:val="24"/>
        </w:rPr>
        <w:t xml:space="preserve"> identyfikowalności operatorów lub podmiotów handlowych dostarczających drewno i produkty z drewna. </w:t>
      </w:r>
    </w:p>
    <w:p w14:paraId="36BBCD11" w14:textId="5C683F69" w:rsidR="00895F16" w:rsidRPr="007F400A" w:rsidRDefault="00113E67" w:rsidP="004E4D32">
      <w:pPr>
        <w:autoSpaceDE w:val="0"/>
        <w:autoSpaceDN w:val="0"/>
        <w:adjustRightInd w:val="0"/>
        <w:spacing w:after="0" w:line="300" w:lineRule="atLeast"/>
        <w:ind w:firstLine="567"/>
        <w:jc w:val="both"/>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rPr>
        <w:t>W związku ze stwierdzonymi naruszeniami wydano 9 zarządzeń pokontrolnych</w:t>
      </w:r>
      <w:r>
        <w:rPr>
          <w:rFonts w:ascii="Times New Roman" w:eastAsia="Times New Roman" w:hAnsi="Times New Roman" w:cs="Times New Roman"/>
          <w:sz w:val="24"/>
          <w:szCs w:val="24"/>
          <w:lang w:eastAsia="pl-PL"/>
        </w:rPr>
        <w:t xml:space="preserve"> oraz </w:t>
      </w:r>
      <w:r>
        <w:rPr>
          <w:rFonts w:ascii="Times New Roman" w:eastAsia="Times New Roman" w:hAnsi="Times New Roman" w:cs="Times New Roman"/>
          <w:sz w:val="24"/>
          <w:szCs w:val="24"/>
        </w:rPr>
        <w:t>wydano 5 decyzji wymierzających administracyjne kary pieniężne, w tym jedną za naruszenia stwierdzone w trakcie kontroli przeprowadzonej w 2021 r</w:t>
      </w:r>
      <w:r w:rsidR="00895F16" w:rsidRPr="007F400A">
        <w:rPr>
          <w:rFonts w:ascii="Times New Roman" w:eastAsia="Times New Roman" w:hAnsi="Times New Roman" w:cs="Times New Roman"/>
          <w:sz w:val="24"/>
          <w:szCs w:val="24"/>
          <w:lang w:eastAsia="pl-PL"/>
        </w:rPr>
        <w:t>.</w:t>
      </w:r>
    </w:p>
    <w:p w14:paraId="5DB6C9BC" w14:textId="77777777" w:rsidR="00895F16" w:rsidRPr="007F400A" w:rsidRDefault="00895F16" w:rsidP="00056EE7">
      <w:pPr>
        <w:autoSpaceDE w:val="0"/>
        <w:autoSpaceDN w:val="0"/>
        <w:adjustRightInd w:val="0"/>
        <w:spacing w:after="0" w:line="300" w:lineRule="atLeast"/>
        <w:jc w:val="both"/>
        <w:rPr>
          <w:rFonts w:ascii="Times New Roman" w:eastAsia="Times New Roman" w:hAnsi="Times New Roman" w:cs="Times New Roman"/>
          <w:sz w:val="24"/>
          <w:szCs w:val="24"/>
          <w:lang w:eastAsia="pl-PL"/>
        </w:rPr>
      </w:pPr>
    </w:p>
    <w:p w14:paraId="486612DA" w14:textId="3145D789" w:rsidR="00895F16" w:rsidRPr="007F400A" w:rsidRDefault="00895F16" w:rsidP="00056EE7">
      <w:pPr>
        <w:keepNext/>
        <w:spacing w:after="120" w:line="300" w:lineRule="atLeast"/>
        <w:jc w:val="both"/>
        <w:outlineLvl w:val="0"/>
        <w:rPr>
          <w:rFonts w:ascii="Times New Roman" w:eastAsia="Times New Roman" w:hAnsi="Times New Roman" w:cs="Times New Roman"/>
          <w:b/>
          <w:bCs/>
          <w:sz w:val="24"/>
          <w:szCs w:val="24"/>
          <w:lang w:val="x-none" w:eastAsia="x-none"/>
        </w:rPr>
      </w:pPr>
      <w:bookmarkStart w:id="145" w:name="_Toc5878564"/>
      <w:bookmarkStart w:id="146" w:name="_Toc36732585"/>
      <w:bookmarkStart w:id="147" w:name="_Toc135935614"/>
      <w:r w:rsidRPr="007F400A">
        <w:rPr>
          <w:rFonts w:ascii="Times New Roman" w:eastAsia="Times New Roman" w:hAnsi="Times New Roman" w:cs="Times New Roman"/>
          <w:b/>
          <w:bCs/>
          <w:sz w:val="24"/>
          <w:szCs w:val="24"/>
          <w:lang w:val="x-none" w:eastAsia="x-none"/>
        </w:rPr>
        <w:t>3.3.2</w:t>
      </w:r>
      <w:r w:rsidR="00113E67">
        <w:rPr>
          <w:rFonts w:ascii="Times New Roman" w:eastAsia="Times New Roman" w:hAnsi="Times New Roman" w:cs="Times New Roman"/>
          <w:b/>
          <w:bCs/>
          <w:sz w:val="24"/>
          <w:szCs w:val="24"/>
          <w:lang w:eastAsia="x-none"/>
        </w:rPr>
        <w:t>4</w:t>
      </w:r>
      <w:r w:rsidRPr="007F400A">
        <w:rPr>
          <w:rFonts w:ascii="Times New Roman" w:eastAsia="Times New Roman" w:hAnsi="Times New Roman" w:cs="Times New Roman"/>
          <w:b/>
          <w:bCs/>
          <w:sz w:val="24"/>
          <w:szCs w:val="24"/>
          <w:lang w:val="x-none" w:eastAsia="x-none"/>
        </w:rPr>
        <w:t xml:space="preserve"> Kontrole w zakresie uchwalania i realizacji z</w:t>
      </w:r>
      <w:r w:rsidRPr="007F400A">
        <w:rPr>
          <w:rFonts w:ascii="Times New Roman" w:eastAsia="Times New Roman" w:hAnsi="Times New Roman" w:cs="Times New Roman"/>
          <w:b/>
          <w:bCs/>
          <w:sz w:val="24"/>
          <w:szCs w:val="24"/>
          <w:lang w:eastAsia="x-none"/>
        </w:rPr>
        <w:t>a</w:t>
      </w:r>
      <w:r w:rsidRPr="007F400A">
        <w:rPr>
          <w:rFonts w:ascii="Times New Roman" w:eastAsia="Times New Roman" w:hAnsi="Times New Roman" w:cs="Times New Roman"/>
          <w:b/>
          <w:bCs/>
          <w:sz w:val="24"/>
          <w:szCs w:val="24"/>
          <w:lang w:val="x-none" w:eastAsia="x-none"/>
        </w:rPr>
        <w:t>dań określonych w programach ochrony powietrza i planach działań krótkoterminowych</w:t>
      </w:r>
      <w:bookmarkEnd w:id="145"/>
      <w:bookmarkEnd w:id="146"/>
      <w:bookmarkEnd w:id="147"/>
    </w:p>
    <w:p w14:paraId="1166B36D" w14:textId="77777777" w:rsidR="00113E67" w:rsidRDefault="00113E67" w:rsidP="00056EE7">
      <w:pPr>
        <w:autoSpaceDE w:val="0"/>
        <w:autoSpaceDN w:val="0"/>
        <w:adjustRightInd w:val="0"/>
        <w:spacing w:after="120" w:line="300" w:lineRule="atLeast"/>
        <w:ind w:firstLine="708"/>
        <w:jc w:val="both"/>
        <w:rPr>
          <w:rFonts w:ascii="Times New Roman" w:eastAsia="Times New Roman" w:hAnsi="Times New Roman" w:cs="Times New Roman"/>
          <w:bCs/>
          <w:sz w:val="24"/>
          <w:szCs w:val="24"/>
          <w:lang w:eastAsia="pl-PL"/>
        </w:rPr>
      </w:pPr>
      <w:r>
        <w:rPr>
          <w:rFonts w:ascii="Times New Roman" w:eastAsia="Times New Roman" w:hAnsi="Times New Roman" w:cs="Times New Roman"/>
          <w:bCs/>
          <w:sz w:val="24"/>
          <w:szCs w:val="24"/>
          <w:lang w:eastAsia="pl-PL"/>
        </w:rPr>
        <w:t xml:space="preserve">W 2022 r. wojewódzcy inspektorzy </w:t>
      </w:r>
      <w:r>
        <w:rPr>
          <w:rFonts w:ascii="Times New Roman" w:eastAsia="Times New Roman" w:hAnsi="Times New Roman" w:cs="Times New Roman"/>
          <w:sz w:val="24"/>
          <w:szCs w:val="24"/>
          <w:lang w:eastAsia="pl-PL"/>
        </w:rPr>
        <w:t xml:space="preserve">ochrony środowiska </w:t>
      </w:r>
      <w:r>
        <w:rPr>
          <w:rFonts w:ascii="Times New Roman" w:eastAsia="Times New Roman" w:hAnsi="Times New Roman" w:cs="Times New Roman"/>
          <w:bCs/>
          <w:sz w:val="24"/>
          <w:szCs w:val="24"/>
          <w:lang w:eastAsia="pl-PL"/>
        </w:rPr>
        <w:t>przeprowadzili 135 kontroli podmiotów odpowiedzialnych za realizację zadań określonych w programach ochrony powietrza i planach działań krótkoterminowych, tj. wójtów, prezydentów miast, burmistrzów i starostów oraz innych podmiotów.</w:t>
      </w:r>
    </w:p>
    <w:p w14:paraId="2BFE232F" w14:textId="77777777" w:rsidR="00113E67" w:rsidRDefault="00113E67" w:rsidP="004E4D32">
      <w:pPr>
        <w:autoSpaceDE w:val="0"/>
        <w:autoSpaceDN w:val="0"/>
        <w:adjustRightInd w:val="0"/>
        <w:spacing w:after="60" w:line="300" w:lineRule="atLeast"/>
        <w:jc w:val="both"/>
        <w:rPr>
          <w:rFonts w:ascii="Times New Roman" w:eastAsia="Times New Roman" w:hAnsi="Times New Roman" w:cs="Times New Roman"/>
          <w:bCs/>
          <w:sz w:val="24"/>
          <w:szCs w:val="24"/>
          <w:lang w:eastAsia="pl-PL"/>
        </w:rPr>
      </w:pPr>
      <w:r>
        <w:rPr>
          <w:rFonts w:ascii="Times New Roman" w:eastAsia="Times New Roman" w:hAnsi="Times New Roman" w:cs="Times New Roman"/>
          <w:bCs/>
          <w:sz w:val="24"/>
          <w:szCs w:val="24"/>
          <w:lang w:eastAsia="pl-PL"/>
        </w:rPr>
        <w:t>W przypadku 95 kontroli stwierdzono nieprawidłowości polegające</w:t>
      </w:r>
      <w:r>
        <w:rPr>
          <w:rFonts w:ascii="Times New Roman" w:eastAsia="Times New Roman" w:hAnsi="Times New Roman" w:cs="Times New Roman"/>
          <w:sz w:val="24"/>
          <w:szCs w:val="24"/>
          <w:lang w:eastAsia="pl-PL"/>
        </w:rPr>
        <w:t xml:space="preserve"> na:</w:t>
      </w:r>
    </w:p>
    <w:p w14:paraId="4F987998" w14:textId="77777777" w:rsidR="00113E67" w:rsidRDefault="00113E67" w:rsidP="00D34F97">
      <w:pPr>
        <w:numPr>
          <w:ilvl w:val="0"/>
          <w:numId w:val="184"/>
        </w:numPr>
        <w:spacing w:after="0" w:line="300" w:lineRule="atLeast"/>
        <w:ind w:left="924" w:hanging="357"/>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val="x-none" w:eastAsia="pl-PL"/>
        </w:rPr>
        <w:t xml:space="preserve">niedotrzymaniu terminów realizacji zadań określonych w programie ochrony powietrza (np. </w:t>
      </w:r>
      <w:r>
        <w:rPr>
          <w:rFonts w:ascii="Times New Roman" w:eastAsia="Calibri" w:hAnsi="Times New Roman" w:cs="Times New Roman"/>
          <w:sz w:val="24"/>
          <w:szCs w:val="24"/>
          <w:lang w:eastAsia="pl-PL"/>
        </w:rPr>
        <w:t xml:space="preserve">w zakresie osiągnięcia wymaganego efektu ekologicznego emisji, wyeliminowania spalania odpadów oraz ograniczenia spalania pozostałości </w:t>
      </w:r>
      <w:r>
        <w:rPr>
          <w:rFonts w:ascii="Times New Roman" w:eastAsia="Calibri" w:hAnsi="Times New Roman" w:cs="Times New Roman"/>
          <w:sz w:val="24"/>
          <w:szCs w:val="24"/>
          <w:lang w:eastAsia="pl-PL"/>
        </w:rPr>
        <w:lastRenderedPageBreak/>
        <w:t xml:space="preserve">roślinnych na powierzchni ziemi, </w:t>
      </w:r>
      <w:r>
        <w:rPr>
          <w:rFonts w:ascii="Times New Roman" w:eastAsia="Calibri" w:hAnsi="Times New Roman" w:cs="Times New Roman"/>
          <w:sz w:val="24"/>
          <w:szCs w:val="24"/>
          <w:lang w:val="x-none" w:eastAsia="pl-PL"/>
        </w:rPr>
        <w:t>podłącz</w:t>
      </w:r>
      <w:r>
        <w:rPr>
          <w:rFonts w:ascii="Times New Roman" w:eastAsia="Calibri" w:hAnsi="Times New Roman" w:cs="Times New Roman"/>
          <w:sz w:val="24"/>
          <w:szCs w:val="24"/>
          <w:lang w:eastAsia="pl-PL"/>
        </w:rPr>
        <w:t>enia</w:t>
      </w:r>
      <w:r>
        <w:rPr>
          <w:rFonts w:ascii="Times New Roman" w:eastAsia="Calibri" w:hAnsi="Times New Roman" w:cs="Times New Roman"/>
          <w:sz w:val="24"/>
          <w:szCs w:val="24"/>
          <w:lang w:val="x-none" w:eastAsia="pl-PL"/>
        </w:rPr>
        <w:t xml:space="preserve"> do sieci ciepłowniczej oraz do sieci gazowej lokali o wymaganej wielkości powierzchni</w:t>
      </w:r>
      <w:r>
        <w:rPr>
          <w:rFonts w:ascii="Times New Roman" w:eastAsia="Calibri" w:hAnsi="Times New Roman" w:cs="Times New Roman"/>
          <w:sz w:val="24"/>
          <w:szCs w:val="24"/>
          <w:lang w:eastAsia="pl-PL"/>
        </w:rPr>
        <w:t>),</w:t>
      </w:r>
    </w:p>
    <w:p w14:paraId="277DACEA" w14:textId="77777777" w:rsidR="00113E67" w:rsidRDefault="00113E67" w:rsidP="00D34F97">
      <w:pPr>
        <w:numPr>
          <w:ilvl w:val="0"/>
          <w:numId w:val="184"/>
        </w:numPr>
        <w:spacing w:after="0" w:line="300" w:lineRule="atLeast"/>
        <w:ind w:left="924" w:hanging="357"/>
        <w:jc w:val="both"/>
        <w:rPr>
          <w:rFonts w:ascii="Times New Roman" w:eastAsia="Calibri" w:hAnsi="Times New Roman" w:cs="Times New Roman"/>
          <w:sz w:val="24"/>
          <w:szCs w:val="24"/>
          <w:lang w:val="x-none" w:eastAsia="pl-PL"/>
        </w:rPr>
      </w:pPr>
      <w:proofErr w:type="spellStart"/>
      <w:r>
        <w:rPr>
          <w:rFonts w:ascii="Times New Roman" w:eastAsia="Calibri" w:hAnsi="Times New Roman" w:cs="Times New Roman"/>
          <w:sz w:val="24"/>
          <w:szCs w:val="24"/>
          <w:lang w:val="x-none" w:eastAsia="pl-PL"/>
        </w:rPr>
        <w:t>nieprzekaz</w:t>
      </w:r>
      <w:r>
        <w:rPr>
          <w:rFonts w:ascii="Times New Roman" w:eastAsia="Calibri" w:hAnsi="Times New Roman" w:cs="Times New Roman"/>
          <w:sz w:val="24"/>
          <w:szCs w:val="24"/>
          <w:lang w:eastAsia="pl-PL"/>
        </w:rPr>
        <w:t>a</w:t>
      </w:r>
      <w:r>
        <w:rPr>
          <w:rFonts w:ascii="Times New Roman" w:eastAsia="Calibri" w:hAnsi="Times New Roman" w:cs="Times New Roman"/>
          <w:sz w:val="24"/>
          <w:szCs w:val="24"/>
          <w:lang w:val="x-none" w:eastAsia="pl-PL"/>
        </w:rPr>
        <w:t>ni</w:t>
      </w:r>
      <w:r>
        <w:rPr>
          <w:rFonts w:ascii="Times New Roman" w:eastAsia="Calibri" w:hAnsi="Times New Roman" w:cs="Times New Roman"/>
          <w:sz w:val="24"/>
          <w:szCs w:val="24"/>
          <w:lang w:eastAsia="pl-PL"/>
        </w:rPr>
        <w:t>u</w:t>
      </w:r>
      <w:proofErr w:type="spellEnd"/>
      <w:r>
        <w:rPr>
          <w:rFonts w:ascii="Times New Roman" w:eastAsia="Calibri" w:hAnsi="Times New Roman" w:cs="Times New Roman"/>
          <w:sz w:val="24"/>
          <w:szCs w:val="24"/>
          <w:lang w:val="x-none" w:eastAsia="pl-PL"/>
        </w:rPr>
        <w:t xml:space="preserve"> lub nieterminowym przekazaniu zarządowi województwa sprawdzań z realizacji działań naprawczych określonych w programie ochrony powietrza, </w:t>
      </w:r>
    </w:p>
    <w:p w14:paraId="1B5F47AE" w14:textId="77777777" w:rsidR="00113E67" w:rsidRDefault="00113E67" w:rsidP="00D34F97">
      <w:pPr>
        <w:numPr>
          <w:ilvl w:val="0"/>
          <w:numId w:val="184"/>
        </w:numPr>
        <w:spacing w:after="0" w:line="300" w:lineRule="atLeast"/>
        <w:ind w:left="924" w:hanging="357"/>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val="x-none" w:eastAsia="pl-PL"/>
        </w:rPr>
        <w:t>przekazaniu nieprawidłowych sprawdzań z realizacji działań naprawczych</w:t>
      </w:r>
      <w:r>
        <w:rPr>
          <w:rFonts w:ascii="Times New Roman" w:eastAsia="Calibri" w:hAnsi="Times New Roman" w:cs="Times New Roman"/>
          <w:sz w:val="24"/>
          <w:szCs w:val="24"/>
          <w:lang w:eastAsia="pl-PL"/>
        </w:rPr>
        <w:t>,</w:t>
      </w:r>
      <w:r>
        <w:rPr>
          <w:rFonts w:ascii="Times New Roman" w:eastAsia="Calibri" w:hAnsi="Times New Roman" w:cs="Times New Roman"/>
          <w:sz w:val="24"/>
          <w:szCs w:val="24"/>
          <w:lang w:val="x-none" w:eastAsia="pl-PL"/>
        </w:rPr>
        <w:t xml:space="preserve"> np.</w:t>
      </w:r>
      <w:r>
        <w:rPr>
          <w:rFonts w:ascii="Times New Roman" w:eastAsia="Calibri" w:hAnsi="Times New Roman" w:cs="Times New Roman"/>
          <w:sz w:val="24"/>
          <w:szCs w:val="24"/>
          <w:lang w:eastAsia="pl-PL"/>
        </w:rPr>
        <w:t> </w:t>
      </w:r>
      <w:r>
        <w:rPr>
          <w:rFonts w:ascii="Times New Roman" w:eastAsia="Calibri" w:hAnsi="Times New Roman" w:cs="Times New Roman"/>
          <w:sz w:val="24"/>
          <w:szCs w:val="24"/>
          <w:lang w:val="x-none" w:eastAsia="pl-PL"/>
        </w:rPr>
        <w:t xml:space="preserve">poprzez </w:t>
      </w:r>
      <w:r>
        <w:rPr>
          <w:rFonts w:ascii="Times New Roman" w:eastAsia="Calibri" w:hAnsi="Times New Roman" w:cs="Times New Roman"/>
          <w:sz w:val="24"/>
          <w:szCs w:val="24"/>
          <w:lang w:eastAsia="pl-PL"/>
        </w:rPr>
        <w:t>nieuwzględnienie wszystkich zrealizowanych działań,</w:t>
      </w:r>
    </w:p>
    <w:p w14:paraId="314D9A4E" w14:textId="7D639CE0" w:rsidR="00113E67" w:rsidRPr="00B5252E" w:rsidRDefault="00113E67" w:rsidP="00D34F97">
      <w:pPr>
        <w:numPr>
          <w:ilvl w:val="0"/>
          <w:numId w:val="184"/>
        </w:numPr>
        <w:spacing w:after="60" w:line="300" w:lineRule="atLeast"/>
        <w:ind w:left="924" w:hanging="357"/>
        <w:jc w:val="both"/>
        <w:rPr>
          <w:rFonts w:ascii="Times New Roman" w:eastAsia="Calibri" w:hAnsi="Times New Roman" w:cs="Times New Roman"/>
          <w:sz w:val="24"/>
          <w:szCs w:val="24"/>
          <w:lang w:val="x-none" w:eastAsia="pl-PL"/>
        </w:rPr>
      </w:pPr>
      <w:r>
        <w:rPr>
          <w:rFonts w:ascii="Times New Roman" w:eastAsia="Calibri" w:hAnsi="Times New Roman" w:cs="Times New Roman"/>
          <w:sz w:val="24"/>
          <w:szCs w:val="24"/>
          <w:lang w:eastAsia="pl-PL"/>
        </w:rPr>
        <w:t>niedotrzymani</w:t>
      </w:r>
      <w:r w:rsidR="005B5AE3">
        <w:rPr>
          <w:rFonts w:ascii="Times New Roman" w:eastAsia="Calibri" w:hAnsi="Times New Roman" w:cs="Times New Roman"/>
          <w:sz w:val="24"/>
          <w:szCs w:val="24"/>
          <w:lang w:eastAsia="pl-PL"/>
        </w:rPr>
        <w:t>u</w:t>
      </w:r>
      <w:r>
        <w:rPr>
          <w:rFonts w:ascii="Times New Roman" w:eastAsia="Calibri" w:hAnsi="Times New Roman" w:cs="Times New Roman"/>
          <w:sz w:val="24"/>
          <w:szCs w:val="24"/>
          <w:lang w:eastAsia="pl-PL"/>
        </w:rPr>
        <w:t xml:space="preserve"> terminów realizacji działań określonych w planie działań krótkoterminowych podczas wystąpienia przekroczenia poziomu stężenia pyłu PM10 w powietrzu (poziom II – ostrzegawczy, informacyjny, operacyjny i/lub poziom III – alarm smogowy).</w:t>
      </w:r>
    </w:p>
    <w:p w14:paraId="38B7CBDB" w14:textId="77777777" w:rsidR="0070253D" w:rsidRDefault="0070253D" w:rsidP="004E4D32">
      <w:pPr>
        <w:spacing w:after="60" w:line="300" w:lineRule="atLeast"/>
        <w:jc w:val="both"/>
        <w:rPr>
          <w:rFonts w:ascii="Times New Roman" w:eastAsia="Times New Roman" w:hAnsi="Times New Roman" w:cs="Times New Roman"/>
          <w:bCs/>
          <w:sz w:val="24"/>
          <w:szCs w:val="24"/>
          <w:lang w:eastAsia="pl-PL"/>
        </w:rPr>
      </w:pPr>
    </w:p>
    <w:p w14:paraId="09256FBE" w14:textId="3F764EBF" w:rsidR="00113E67" w:rsidRDefault="00113E67" w:rsidP="004E4D32">
      <w:pPr>
        <w:spacing w:after="60" w:line="300" w:lineRule="atLeast"/>
        <w:jc w:val="both"/>
        <w:rPr>
          <w:rFonts w:ascii="Times New Roman" w:eastAsia="Times New Roman" w:hAnsi="Times New Roman" w:cs="Times New Roman"/>
          <w:bCs/>
          <w:sz w:val="24"/>
          <w:szCs w:val="24"/>
          <w:lang w:eastAsia="pl-PL"/>
        </w:rPr>
      </w:pPr>
      <w:r>
        <w:rPr>
          <w:rFonts w:ascii="Times New Roman" w:eastAsia="Times New Roman" w:hAnsi="Times New Roman" w:cs="Times New Roman"/>
          <w:bCs/>
          <w:sz w:val="24"/>
          <w:szCs w:val="24"/>
          <w:lang w:eastAsia="pl-PL"/>
        </w:rPr>
        <w:t>W 2022 r. zastosowano następujące działania pokontrolne:</w:t>
      </w:r>
    </w:p>
    <w:p w14:paraId="7C3C717C" w14:textId="77777777" w:rsidR="00113E67" w:rsidRDefault="00113E67" w:rsidP="00D34F97">
      <w:pPr>
        <w:numPr>
          <w:ilvl w:val="0"/>
          <w:numId w:val="185"/>
        </w:numPr>
        <w:autoSpaceDE w:val="0"/>
        <w:autoSpaceDN w:val="0"/>
        <w:adjustRightInd w:val="0"/>
        <w:spacing w:after="0" w:line="300" w:lineRule="atLeast"/>
        <w:ind w:left="924" w:hanging="357"/>
        <w:jc w:val="both"/>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 xml:space="preserve">wydano 45 zarządzeń pokontrolnych, </w:t>
      </w:r>
    </w:p>
    <w:p w14:paraId="35DA9B5B" w14:textId="77777777" w:rsidR="00113E67" w:rsidRDefault="00113E67" w:rsidP="00D34F97">
      <w:pPr>
        <w:numPr>
          <w:ilvl w:val="0"/>
          <w:numId w:val="185"/>
        </w:numPr>
        <w:autoSpaceDE w:val="0"/>
        <w:autoSpaceDN w:val="0"/>
        <w:adjustRightInd w:val="0"/>
        <w:spacing w:after="0" w:line="300" w:lineRule="atLeast"/>
        <w:ind w:left="924" w:hanging="357"/>
        <w:jc w:val="both"/>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skierowano 6 wystąpień do innych organów,</w:t>
      </w:r>
      <w:r>
        <w:rPr>
          <w:rFonts w:ascii="Times New Roman" w:eastAsia="Calibri" w:hAnsi="Times New Roman" w:cs="Times New Roman"/>
          <w:sz w:val="24"/>
          <w:szCs w:val="24"/>
          <w:lang w:eastAsia="pl-PL"/>
        </w:rPr>
        <w:t xml:space="preserve"> </w:t>
      </w:r>
    </w:p>
    <w:p w14:paraId="5280E4E6" w14:textId="1E86CEE6" w:rsidR="00895F16" w:rsidRPr="007F400A" w:rsidRDefault="00113E67" w:rsidP="00D34F97">
      <w:pPr>
        <w:numPr>
          <w:ilvl w:val="0"/>
          <w:numId w:val="135"/>
        </w:numPr>
        <w:autoSpaceDE w:val="0"/>
        <w:autoSpaceDN w:val="0"/>
        <w:adjustRightInd w:val="0"/>
        <w:spacing w:after="0" w:line="300" w:lineRule="atLeast"/>
        <w:ind w:left="924" w:hanging="357"/>
        <w:jc w:val="both"/>
        <w:rPr>
          <w:rFonts w:ascii="Times New Roman" w:eastAsia="Times New Roman" w:hAnsi="Times New Roman" w:cs="Times New Roman"/>
          <w:sz w:val="24"/>
          <w:szCs w:val="20"/>
          <w:lang w:eastAsia="pl-PL"/>
        </w:rPr>
      </w:pPr>
      <w:r>
        <w:rPr>
          <w:rFonts w:ascii="Times New Roman" w:eastAsia="Times New Roman" w:hAnsi="Times New Roman" w:cs="Times New Roman"/>
          <w:sz w:val="24"/>
          <w:szCs w:val="24"/>
          <w:lang w:eastAsia="pl-PL"/>
        </w:rPr>
        <w:t>wydano 11 decyzji w sprawie nałożenia kar pieniężnych</w:t>
      </w:r>
      <w:r w:rsidR="00895F16" w:rsidRPr="007F400A">
        <w:rPr>
          <w:rFonts w:ascii="Times New Roman" w:eastAsia="Times New Roman" w:hAnsi="Times New Roman" w:cs="Times New Roman"/>
          <w:sz w:val="24"/>
          <w:szCs w:val="24"/>
          <w:lang w:eastAsia="pl-PL"/>
        </w:rPr>
        <w:t>.</w:t>
      </w:r>
    </w:p>
    <w:p w14:paraId="35DA2FF6" w14:textId="77777777" w:rsidR="00895F16" w:rsidRPr="007F400A" w:rsidRDefault="00895F16" w:rsidP="00056EE7">
      <w:pPr>
        <w:autoSpaceDE w:val="0"/>
        <w:autoSpaceDN w:val="0"/>
        <w:adjustRightInd w:val="0"/>
        <w:spacing w:after="0" w:line="300" w:lineRule="atLeast"/>
        <w:ind w:left="993"/>
        <w:jc w:val="both"/>
        <w:rPr>
          <w:rFonts w:ascii="Times New Roman" w:eastAsia="Times New Roman" w:hAnsi="Times New Roman" w:cs="Times New Roman"/>
          <w:sz w:val="24"/>
          <w:szCs w:val="20"/>
          <w:lang w:eastAsia="pl-PL"/>
        </w:rPr>
      </w:pPr>
    </w:p>
    <w:p w14:paraId="0E6EB322" w14:textId="1E8B7558" w:rsidR="00895F16" w:rsidRPr="007F400A" w:rsidRDefault="00895F16" w:rsidP="004E4D32">
      <w:pPr>
        <w:keepNext/>
        <w:spacing w:after="120" w:line="300" w:lineRule="atLeast"/>
        <w:outlineLvl w:val="0"/>
        <w:rPr>
          <w:rFonts w:ascii="Times New Roman" w:eastAsia="Times New Roman" w:hAnsi="Times New Roman" w:cs="Times New Roman"/>
          <w:b/>
          <w:bCs/>
          <w:sz w:val="24"/>
          <w:szCs w:val="24"/>
          <w:lang w:val="x-none" w:eastAsia="x-none"/>
        </w:rPr>
      </w:pPr>
      <w:bookmarkStart w:id="148" w:name="_Toc5878565"/>
      <w:bookmarkStart w:id="149" w:name="_Toc36732586"/>
      <w:bookmarkStart w:id="150" w:name="_Toc135935615"/>
      <w:r w:rsidRPr="007F400A">
        <w:rPr>
          <w:rFonts w:ascii="Times New Roman" w:eastAsia="Times New Roman" w:hAnsi="Times New Roman" w:cs="Times New Roman"/>
          <w:b/>
          <w:bCs/>
          <w:sz w:val="24"/>
          <w:szCs w:val="24"/>
          <w:lang w:val="x-none" w:eastAsia="x-none"/>
        </w:rPr>
        <w:t>3.3.2</w:t>
      </w:r>
      <w:r w:rsidR="00113E67">
        <w:rPr>
          <w:rFonts w:ascii="Times New Roman" w:eastAsia="Times New Roman" w:hAnsi="Times New Roman" w:cs="Times New Roman"/>
          <w:b/>
          <w:bCs/>
          <w:sz w:val="24"/>
          <w:szCs w:val="24"/>
          <w:lang w:eastAsia="x-none"/>
        </w:rPr>
        <w:t>5</w:t>
      </w:r>
      <w:r w:rsidRPr="007F400A">
        <w:rPr>
          <w:rFonts w:ascii="Times New Roman" w:eastAsia="Times New Roman" w:hAnsi="Times New Roman" w:cs="Times New Roman"/>
          <w:b/>
          <w:bCs/>
          <w:sz w:val="24"/>
          <w:szCs w:val="24"/>
          <w:lang w:val="x-none" w:eastAsia="x-none"/>
        </w:rPr>
        <w:t xml:space="preserve"> Kontrole w zakresie PEM</w:t>
      </w:r>
      <w:bookmarkEnd w:id="148"/>
      <w:bookmarkEnd w:id="149"/>
      <w:bookmarkEnd w:id="150"/>
    </w:p>
    <w:p w14:paraId="42F19497" w14:textId="0DB210E5" w:rsidR="00113E67" w:rsidRDefault="00113E67" w:rsidP="004E4D32">
      <w:pPr>
        <w:tabs>
          <w:tab w:val="left" w:pos="142"/>
        </w:tabs>
        <w:spacing w:after="0" w:line="300" w:lineRule="atLeast"/>
        <w:ind w:firstLine="567"/>
        <w:jc w:val="both"/>
        <w:rPr>
          <w:rFonts w:ascii="Times New Roman" w:hAnsi="Times New Roman" w:cs="Times New Roman"/>
          <w:sz w:val="24"/>
          <w:szCs w:val="24"/>
        </w:rPr>
      </w:pPr>
      <w:r>
        <w:rPr>
          <w:rFonts w:ascii="Times New Roman" w:hAnsi="Times New Roman" w:cs="Times New Roman"/>
          <w:sz w:val="24"/>
          <w:szCs w:val="24"/>
        </w:rPr>
        <w:t>Liczba instalacji emitujących pola elektromagnetyczne (PEM)</w:t>
      </w:r>
      <w:r>
        <w:rPr>
          <w:rFonts w:ascii="Times New Roman" w:hAnsi="Times New Roman" w:cs="Times New Roman"/>
          <w:sz w:val="24"/>
          <w:szCs w:val="24"/>
          <w:vertAlign w:val="superscript"/>
        </w:rPr>
        <w:footnoteReference w:id="34"/>
      </w:r>
      <w:r>
        <w:rPr>
          <w:rFonts w:ascii="Times New Roman" w:hAnsi="Times New Roman" w:cs="Times New Roman"/>
          <w:sz w:val="24"/>
          <w:szCs w:val="24"/>
        </w:rPr>
        <w:t>, pozostających w ewidencji wojewódzkich inspektorów ochrony środowiska, według stanu na dzień 31 grudnia 2022 r., wynosiła 32 988 obiektów, z których 30 530 to stacje bazowe telefonii komórkowych (SBTK)</w:t>
      </w:r>
      <w:r w:rsidR="0007436A">
        <w:rPr>
          <w:rFonts w:ascii="Times New Roman" w:hAnsi="Times New Roman" w:cs="Times New Roman"/>
          <w:sz w:val="24"/>
          <w:szCs w:val="24"/>
        </w:rPr>
        <w:t>,</w:t>
      </w:r>
      <w:r>
        <w:rPr>
          <w:rFonts w:ascii="Times New Roman" w:hAnsi="Times New Roman" w:cs="Times New Roman"/>
          <w:sz w:val="24"/>
          <w:szCs w:val="24"/>
        </w:rPr>
        <w:t xml:space="preserve"> a 2 458 to pozostałe obiekty.</w:t>
      </w:r>
    </w:p>
    <w:p w14:paraId="48DE388D" w14:textId="77777777" w:rsidR="00113E67" w:rsidRDefault="00113E67" w:rsidP="004E4D32">
      <w:pPr>
        <w:tabs>
          <w:tab w:val="left" w:pos="142"/>
        </w:tabs>
        <w:spacing w:after="0" w:line="300" w:lineRule="atLeast"/>
        <w:ind w:firstLine="567"/>
        <w:jc w:val="both"/>
        <w:rPr>
          <w:rFonts w:ascii="Times New Roman" w:hAnsi="Times New Roman" w:cs="Times New Roman"/>
          <w:sz w:val="24"/>
          <w:szCs w:val="24"/>
        </w:rPr>
      </w:pPr>
      <w:r>
        <w:rPr>
          <w:rFonts w:ascii="Times New Roman" w:hAnsi="Times New Roman" w:cs="Times New Roman"/>
          <w:sz w:val="24"/>
          <w:szCs w:val="24"/>
        </w:rPr>
        <w:t xml:space="preserve">W 2022 r. przeprowadzono łącznie 80 kontroli w terenie w zakresie ochrony środowiska przed polami elektromagnetycznymi, w tym 60 kontroli odbyło się z pomiarami. W ogólnej liczbie przeprowadzonych kontroli w terenie, 39 kontroli było kontrolami planowymi (w tym 32 kontrole SBTK i 7 kontroli pozostałych obiektów), a 41 kontroli to kontrole pozaplanowe interwencyjne (w tym 35 kontroli SBTK i 6 kontroli pozostałych obiektów). </w:t>
      </w:r>
      <w:r w:rsidRPr="001B43F7">
        <w:rPr>
          <w:rFonts w:ascii="Times New Roman" w:hAnsi="Times New Roman" w:cs="Times New Roman"/>
          <w:sz w:val="24"/>
          <w:szCs w:val="24"/>
        </w:rPr>
        <w:t>Podczas pomiarów elektromagnetycznego promieniowania niejonizującego, zleconych przez wojewódzkich inspektorów ochrony środowiska i wykonanych przez Centralne Laboratorium Badawcze, które funkcjonuje w strukturach Głównego Inspektoratu Ochrony Środowiska, nie stwierdzono przekroczenia wartości dopuszczalnych poziomów pól elektromagnetycznych w</w:t>
      </w:r>
      <w:r>
        <w:rPr>
          <w:rFonts w:ascii="Times New Roman" w:hAnsi="Times New Roman" w:cs="Times New Roman"/>
          <w:sz w:val="24"/>
          <w:szCs w:val="24"/>
        </w:rPr>
        <w:t> </w:t>
      </w:r>
      <w:r w:rsidRPr="001B43F7">
        <w:rPr>
          <w:rFonts w:ascii="Times New Roman" w:hAnsi="Times New Roman" w:cs="Times New Roman"/>
          <w:sz w:val="24"/>
          <w:szCs w:val="24"/>
        </w:rPr>
        <w:t>środowisku.</w:t>
      </w:r>
    </w:p>
    <w:p w14:paraId="102C4EF2" w14:textId="3A927327" w:rsidR="00113E67" w:rsidRDefault="00113E67" w:rsidP="004E4D32">
      <w:pPr>
        <w:tabs>
          <w:tab w:val="left" w:pos="709"/>
        </w:tabs>
        <w:spacing w:after="0" w:line="300" w:lineRule="atLeast"/>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 związku ze stwierdzonymi podczas kontroli w terenie naruszeniami zastosowano następujące działania: </w:t>
      </w:r>
    </w:p>
    <w:p w14:paraId="0EDD459A" w14:textId="77777777" w:rsidR="00113E67" w:rsidRDefault="00113E67" w:rsidP="00D34F97">
      <w:pPr>
        <w:numPr>
          <w:ilvl w:val="0"/>
          <w:numId w:val="118"/>
        </w:numPr>
        <w:tabs>
          <w:tab w:val="left" w:pos="142"/>
        </w:tabs>
        <w:spacing w:after="0" w:line="300" w:lineRule="atLeast"/>
        <w:ind w:left="924" w:hanging="357"/>
        <w:contextualSpacing/>
        <w:jc w:val="both"/>
        <w:rPr>
          <w:rFonts w:ascii="Times New Roman" w:hAnsi="Times New Roman" w:cs="Times New Roman"/>
          <w:sz w:val="24"/>
          <w:szCs w:val="24"/>
          <w:lang w:val="x-none"/>
        </w:rPr>
      </w:pPr>
      <w:r>
        <w:rPr>
          <w:rFonts w:ascii="Times New Roman" w:hAnsi="Times New Roman" w:cs="Times New Roman"/>
          <w:sz w:val="24"/>
          <w:szCs w:val="24"/>
        </w:rPr>
        <w:t>wydano 6 pouczeń,</w:t>
      </w:r>
    </w:p>
    <w:p w14:paraId="59C3D473" w14:textId="77777777" w:rsidR="00113E67" w:rsidRDefault="00113E67" w:rsidP="00D34F97">
      <w:pPr>
        <w:numPr>
          <w:ilvl w:val="0"/>
          <w:numId w:val="118"/>
        </w:numPr>
        <w:tabs>
          <w:tab w:val="left" w:pos="142"/>
        </w:tabs>
        <w:spacing w:after="0" w:line="300" w:lineRule="atLeast"/>
        <w:ind w:left="924" w:hanging="357"/>
        <w:contextualSpacing/>
        <w:jc w:val="both"/>
        <w:rPr>
          <w:rFonts w:ascii="Times New Roman" w:hAnsi="Times New Roman" w:cs="Times New Roman"/>
          <w:sz w:val="24"/>
          <w:szCs w:val="24"/>
          <w:lang w:val="x-none"/>
        </w:rPr>
      </w:pPr>
      <w:r>
        <w:rPr>
          <w:rFonts w:ascii="Times New Roman" w:hAnsi="Times New Roman" w:cs="Times New Roman"/>
          <w:sz w:val="24"/>
          <w:szCs w:val="24"/>
        </w:rPr>
        <w:t>wydano 4 zarządzenia pokontrolne,</w:t>
      </w:r>
    </w:p>
    <w:p w14:paraId="48BA1FC3" w14:textId="77777777" w:rsidR="00113E67" w:rsidRDefault="00113E67" w:rsidP="00D34F97">
      <w:pPr>
        <w:numPr>
          <w:ilvl w:val="0"/>
          <w:numId w:val="118"/>
        </w:numPr>
        <w:tabs>
          <w:tab w:val="left" w:pos="142"/>
        </w:tabs>
        <w:spacing w:after="0" w:line="300" w:lineRule="atLeast"/>
        <w:ind w:left="924" w:hanging="357"/>
        <w:contextualSpacing/>
        <w:jc w:val="both"/>
        <w:rPr>
          <w:rFonts w:ascii="Times New Roman" w:hAnsi="Times New Roman" w:cs="Times New Roman"/>
          <w:sz w:val="24"/>
          <w:szCs w:val="24"/>
          <w:lang w:val="x-none"/>
        </w:rPr>
      </w:pPr>
      <w:r>
        <w:rPr>
          <w:rFonts w:ascii="Times New Roman" w:hAnsi="Times New Roman" w:cs="Times New Roman"/>
          <w:sz w:val="24"/>
          <w:szCs w:val="24"/>
        </w:rPr>
        <w:t>skierowano 1 wystąpienie do organu administracji samorządowej,</w:t>
      </w:r>
    </w:p>
    <w:p w14:paraId="27614978" w14:textId="77777777" w:rsidR="00113E67" w:rsidRDefault="00113E67" w:rsidP="00D34F97">
      <w:pPr>
        <w:numPr>
          <w:ilvl w:val="0"/>
          <w:numId w:val="118"/>
        </w:numPr>
        <w:tabs>
          <w:tab w:val="left" w:pos="142"/>
        </w:tabs>
        <w:spacing w:after="60" w:line="300" w:lineRule="atLeast"/>
        <w:ind w:left="924" w:hanging="357"/>
        <w:jc w:val="both"/>
        <w:rPr>
          <w:rFonts w:ascii="Times New Roman" w:hAnsi="Times New Roman" w:cs="Times New Roman"/>
          <w:sz w:val="24"/>
          <w:szCs w:val="24"/>
          <w:lang w:val="x-none"/>
        </w:rPr>
      </w:pPr>
      <w:r>
        <w:rPr>
          <w:rFonts w:ascii="Times New Roman" w:hAnsi="Times New Roman" w:cs="Times New Roman"/>
          <w:sz w:val="24"/>
          <w:szCs w:val="24"/>
        </w:rPr>
        <w:t xml:space="preserve">wystawiono 1 mandat karny. </w:t>
      </w:r>
    </w:p>
    <w:p w14:paraId="5A4C3AF6" w14:textId="4BD7443F" w:rsidR="00113E67" w:rsidRDefault="00113E67" w:rsidP="006268AA">
      <w:pPr>
        <w:spacing w:after="0" w:line="300" w:lineRule="atLeast"/>
        <w:ind w:firstLine="567"/>
        <w:jc w:val="both"/>
        <w:rPr>
          <w:rFonts w:ascii="Times New Roman" w:eastAsia="Calibri" w:hAnsi="Times New Roman" w:cs="Times New Roman"/>
          <w:sz w:val="24"/>
          <w:szCs w:val="24"/>
          <w:lang w:eastAsia="pl-PL"/>
        </w:rPr>
      </w:pPr>
      <w:r>
        <w:rPr>
          <w:rFonts w:ascii="Times New Roman" w:hAnsi="Times New Roman" w:cs="Times New Roman"/>
          <w:sz w:val="24"/>
          <w:szCs w:val="24"/>
        </w:rPr>
        <w:t xml:space="preserve">Wyniki pomiarów PEM wykonanych przez prowadzących instalacje oraz użytkowników urządzeń emitujących pole elektromagnetyczne przekazywane są wojewódzkim inspektorom ochrony środowiska na podstawie art. 122a ust. 2 ustawy Prawo ochrony środowiska. W 2022 r. zrealizowano 7 783 kontrole dokumentacyjne z pomiarów </w:t>
      </w:r>
      <w:proofErr w:type="spellStart"/>
      <w:r>
        <w:rPr>
          <w:rFonts w:ascii="Times New Roman" w:hAnsi="Times New Roman" w:cs="Times New Roman"/>
          <w:sz w:val="24"/>
          <w:szCs w:val="24"/>
        </w:rPr>
        <w:t>automonitoringowych</w:t>
      </w:r>
      <w:proofErr w:type="spellEnd"/>
      <w:r>
        <w:rPr>
          <w:rFonts w:ascii="Times New Roman" w:hAnsi="Times New Roman" w:cs="Times New Roman"/>
          <w:sz w:val="24"/>
          <w:szCs w:val="24"/>
        </w:rPr>
        <w:t xml:space="preserve"> w zakresie </w:t>
      </w:r>
      <w:r>
        <w:rPr>
          <w:rFonts w:ascii="Times New Roman" w:hAnsi="Times New Roman" w:cs="Times New Roman"/>
          <w:sz w:val="24"/>
          <w:szCs w:val="24"/>
        </w:rPr>
        <w:lastRenderedPageBreak/>
        <w:t>weryfikacji wyników pomiarów PEM (w tym 7 518 kontroli dotyczących SBTK i 265 kontroli pozostałych obiektów). W toku wykonanych kontroli dokumentacyjnych zakwestionowano 28 wyników</w:t>
      </w:r>
      <w:r w:rsidR="006268AA">
        <w:rPr>
          <w:rFonts w:ascii="Times New Roman" w:hAnsi="Times New Roman" w:cs="Times New Roman"/>
          <w:sz w:val="24"/>
          <w:szCs w:val="24"/>
        </w:rPr>
        <w:t>,</w:t>
      </w:r>
      <w:r>
        <w:rPr>
          <w:rFonts w:ascii="Times New Roman" w:hAnsi="Times New Roman" w:cs="Times New Roman"/>
          <w:sz w:val="24"/>
          <w:szCs w:val="24"/>
        </w:rPr>
        <w:t xml:space="preserve"> m.in. z powodu wątpliwości związanych z zastosowaną metodyka pomiarową. </w:t>
      </w:r>
      <w:r w:rsidRPr="001C6EA4">
        <w:rPr>
          <w:rFonts w:ascii="Times New Roman" w:hAnsi="Times New Roman" w:cs="Times New Roman"/>
          <w:sz w:val="24"/>
          <w:szCs w:val="24"/>
        </w:rPr>
        <w:t>W</w:t>
      </w:r>
      <w:r>
        <w:rPr>
          <w:rFonts w:ascii="Times New Roman" w:hAnsi="Times New Roman" w:cs="Times New Roman"/>
          <w:sz w:val="24"/>
          <w:szCs w:val="24"/>
        </w:rPr>
        <w:t> </w:t>
      </w:r>
      <w:r w:rsidRPr="001C6EA4">
        <w:rPr>
          <w:rFonts w:ascii="Times New Roman" w:hAnsi="Times New Roman" w:cs="Times New Roman"/>
          <w:sz w:val="24"/>
          <w:szCs w:val="24"/>
        </w:rPr>
        <w:t>związku z</w:t>
      </w:r>
      <w:r>
        <w:rPr>
          <w:rFonts w:ascii="Times New Roman" w:hAnsi="Times New Roman" w:cs="Times New Roman"/>
          <w:sz w:val="24"/>
          <w:szCs w:val="24"/>
        </w:rPr>
        <w:t> </w:t>
      </w:r>
      <w:r w:rsidRPr="001C6EA4">
        <w:rPr>
          <w:rFonts w:ascii="Times New Roman" w:hAnsi="Times New Roman" w:cs="Times New Roman"/>
          <w:sz w:val="24"/>
          <w:szCs w:val="24"/>
        </w:rPr>
        <w:t>powyższym, wystąpiono do Polskiego Centrum Akredytacji (PCA)</w:t>
      </w:r>
      <w:r>
        <w:rPr>
          <w:rFonts w:ascii="Times New Roman" w:hAnsi="Times New Roman" w:cs="Times New Roman"/>
          <w:sz w:val="24"/>
          <w:szCs w:val="24"/>
        </w:rPr>
        <w:t xml:space="preserve"> w celu poinformowania o zastrzeżeniach Inspekcji Ochrony Środowiska</w:t>
      </w:r>
      <w:r w:rsidRPr="001C6EA4">
        <w:rPr>
          <w:rFonts w:ascii="Times New Roman" w:hAnsi="Times New Roman" w:cs="Times New Roman"/>
          <w:sz w:val="24"/>
          <w:szCs w:val="24"/>
        </w:rPr>
        <w:t>.</w:t>
      </w:r>
      <w:r>
        <w:rPr>
          <w:rFonts w:ascii="Times New Roman" w:hAnsi="Times New Roman" w:cs="Times New Roman"/>
          <w:sz w:val="24"/>
          <w:szCs w:val="24"/>
        </w:rPr>
        <w:t xml:space="preserve"> Uwagi zostały uznane za zasadne, czego skutkiem było ponowne wykonanie pomiarów.</w:t>
      </w:r>
    </w:p>
    <w:p w14:paraId="3AB58AB0" w14:textId="397EDC50" w:rsidR="00895F16" w:rsidRPr="007F400A" w:rsidRDefault="00113E67" w:rsidP="006268AA">
      <w:pPr>
        <w:spacing w:after="0" w:line="300" w:lineRule="atLeast"/>
        <w:ind w:firstLine="567"/>
        <w:jc w:val="both"/>
        <w:rPr>
          <w:rFonts w:ascii="Times New Roman" w:eastAsia="Calibri" w:hAnsi="Times New Roman" w:cs="Times New Roman"/>
          <w:sz w:val="24"/>
          <w:szCs w:val="24"/>
          <w:lang w:eastAsia="pl-PL"/>
        </w:rPr>
      </w:pPr>
      <w:r>
        <w:rPr>
          <w:rFonts w:ascii="Times New Roman" w:hAnsi="Times New Roman" w:cs="Times New Roman"/>
          <w:sz w:val="24"/>
          <w:szCs w:val="24"/>
        </w:rPr>
        <w:t>Wskazać należy, iż jedna kontrola dokumentacyjna wykonana przez wojewódzkiego inspektora ochrony środowiska może dotyczyć więcej niż jednego sprawozdania oraz kontrole przeprowadzone w roku 2022 dotyczą również sprawozdań, które wpłynęły w roku 2021</w:t>
      </w:r>
      <w:r w:rsidR="00895F16" w:rsidRPr="007F400A">
        <w:rPr>
          <w:rFonts w:ascii="Times New Roman" w:eastAsia="Calibri" w:hAnsi="Times New Roman" w:cs="Times New Roman"/>
          <w:sz w:val="24"/>
          <w:szCs w:val="24"/>
          <w:lang w:eastAsia="pl-PL"/>
        </w:rPr>
        <w:t>.</w:t>
      </w:r>
    </w:p>
    <w:p w14:paraId="61964E97" w14:textId="77777777" w:rsidR="00895F16" w:rsidRPr="007F400A" w:rsidRDefault="00895F16" w:rsidP="00056EE7">
      <w:pPr>
        <w:spacing w:after="0" w:line="300" w:lineRule="atLeast"/>
        <w:jc w:val="both"/>
        <w:rPr>
          <w:rFonts w:ascii="Times New Roman" w:eastAsia="Times New Roman" w:hAnsi="Times New Roman" w:cs="Times New Roman"/>
          <w:color w:val="000000"/>
          <w:sz w:val="24"/>
          <w:szCs w:val="24"/>
          <w:lang w:eastAsia="pl-PL"/>
        </w:rPr>
      </w:pPr>
    </w:p>
    <w:p w14:paraId="5E51E0BA" w14:textId="581BDF10" w:rsidR="00895F16" w:rsidRPr="007F400A" w:rsidRDefault="00895F16" w:rsidP="006268AA">
      <w:pPr>
        <w:keepNext/>
        <w:spacing w:after="120" w:line="300" w:lineRule="atLeast"/>
        <w:outlineLvl w:val="0"/>
        <w:rPr>
          <w:rFonts w:ascii="Times New Roman" w:eastAsia="Times New Roman" w:hAnsi="Times New Roman" w:cs="Times New Roman"/>
          <w:b/>
          <w:bCs/>
          <w:sz w:val="24"/>
          <w:szCs w:val="24"/>
          <w:lang w:val="x-none" w:eastAsia="x-none"/>
        </w:rPr>
      </w:pPr>
      <w:bookmarkStart w:id="151" w:name="_Toc36732587"/>
      <w:bookmarkStart w:id="152" w:name="_Toc135935616"/>
      <w:bookmarkStart w:id="153" w:name="_Toc5878566"/>
      <w:r w:rsidRPr="007F400A">
        <w:rPr>
          <w:rFonts w:ascii="Times New Roman" w:eastAsia="Times New Roman" w:hAnsi="Times New Roman" w:cs="Times New Roman"/>
          <w:b/>
          <w:bCs/>
          <w:sz w:val="24"/>
          <w:szCs w:val="24"/>
          <w:lang w:val="x-none" w:eastAsia="x-none"/>
        </w:rPr>
        <w:t>3.3.2</w:t>
      </w:r>
      <w:r w:rsidR="00F06869">
        <w:rPr>
          <w:rFonts w:ascii="Times New Roman" w:eastAsia="Times New Roman" w:hAnsi="Times New Roman" w:cs="Times New Roman"/>
          <w:b/>
          <w:bCs/>
          <w:sz w:val="24"/>
          <w:szCs w:val="24"/>
          <w:lang w:eastAsia="x-none"/>
        </w:rPr>
        <w:t>6</w:t>
      </w:r>
      <w:r w:rsidRPr="007F400A">
        <w:rPr>
          <w:rFonts w:ascii="Times New Roman" w:eastAsia="Times New Roman" w:hAnsi="Times New Roman" w:cs="Times New Roman"/>
          <w:b/>
          <w:bCs/>
          <w:sz w:val="24"/>
          <w:szCs w:val="24"/>
          <w:lang w:val="x-none" w:eastAsia="x-none"/>
        </w:rPr>
        <w:t xml:space="preserve"> Kontrole</w:t>
      </w:r>
      <w:r w:rsidRPr="007F400A">
        <w:rPr>
          <w:rFonts w:ascii="Times New Roman" w:eastAsia="Times New Roman" w:hAnsi="Times New Roman" w:cs="Times New Roman"/>
          <w:b/>
          <w:bCs/>
          <w:sz w:val="24"/>
          <w:szCs w:val="24"/>
          <w:lang w:eastAsia="x-none"/>
        </w:rPr>
        <w:t xml:space="preserve"> przestrzegania </w:t>
      </w:r>
      <w:r w:rsidRPr="007F400A">
        <w:rPr>
          <w:rFonts w:ascii="Times New Roman" w:eastAsia="Times New Roman" w:hAnsi="Times New Roman" w:cs="Times New Roman"/>
          <w:b/>
          <w:bCs/>
          <w:sz w:val="24"/>
          <w:szCs w:val="24"/>
          <w:lang w:val="x-none" w:eastAsia="pl-PL"/>
        </w:rPr>
        <w:t>decyzj</w:t>
      </w:r>
      <w:r w:rsidRPr="007F400A">
        <w:rPr>
          <w:rFonts w:ascii="Times New Roman" w:eastAsia="Times New Roman" w:hAnsi="Times New Roman" w:cs="Times New Roman"/>
          <w:b/>
          <w:bCs/>
          <w:sz w:val="24"/>
          <w:szCs w:val="24"/>
          <w:lang w:eastAsia="pl-PL"/>
        </w:rPr>
        <w:t>i</w:t>
      </w:r>
      <w:r w:rsidRPr="007F400A">
        <w:rPr>
          <w:rFonts w:ascii="Times New Roman" w:eastAsia="Times New Roman" w:hAnsi="Times New Roman" w:cs="Times New Roman"/>
          <w:b/>
          <w:bCs/>
          <w:sz w:val="24"/>
          <w:szCs w:val="24"/>
          <w:lang w:val="x-none" w:eastAsia="pl-PL"/>
        </w:rPr>
        <w:t xml:space="preserve"> o środowiskowych uwarunkowaniach</w:t>
      </w:r>
      <w:bookmarkEnd w:id="151"/>
      <w:bookmarkEnd w:id="152"/>
      <w:r w:rsidRPr="007F400A" w:rsidDel="00444AB1">
        <w:rPr>
          <w:rFonts w:ascii="Times New Roman" w:eastAsia="Times New Roman" w:hAnsi="Times New Roman" w:cs="Times New Roman"/>
          <w:b/>
          <w:bCs/>
          <w:sz w:val="24"/>
          <w:szCs w:val="24"/>
          <w:lang w:val="x-none" w:eastAsia="x-none"/>
        </w:rPr>
        <w:t xml:space="preserve"> </w:t>
      </w:r>
      <w:bookmarkEnd w:id="153"/>
    </w:p>
    <w:p w14:paraId="58E76BCD" w14:textId="77777777" w:rsidR="00F06869" w:rsidRDefault="00F06869" w:rsidP="006268AA">
      <w:pPr>
        <w:spacing w:after="0" w:line="300" w:lineRule="atLeast"/>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2022 r. wojewódzcy inspektorzy ochrony środowiska przeprowadzili łącznie 361 kontroli, w ramach których dokonali weryfikacji przestrzegania przez kontrolowane podmioty warunków, wymogów i obowiązków nałożonych na nie w decyzjach o środowiskowych uwarunkowaniach</w:t>
      </w:r>
      <w:r>
        <w:rPr>
          <w:rFonts w:ascii="Times New Roman" w:eastAsia="Times New Roman" w:hAnsi="Times New Roman" w:cs="Times New Roman"/>
          <w:sz w:val="24"/>
          <w:szCs w:val="24"/>
          <w:vertAlign w:val="superscript"/>
        </w:rPr>
        <w:footnoteReference w:id="35"/>
      </w:r>
      <w:r>
        <w:rPr>
          <w:rFonts w:ascii="Times New Roman" w:eastAsia="Times New Roman" w:hAnsi="Times New Roman" w:cs="Times New Roman"/>
          <w:sz w:val="24"/>
          <w:szCs w:val="24"/>
        </w:rPr>
        <w:t xml:space="preserve">. Przeprowadzone kontrole miały na celu weryfikację działalności podmiotów prowadzących przedsięwzięcia (będące na etapie realizacji, eksploatacji oraz likwidacji) w zakresie zgodności z warunkami, wymogami i obowiązkami nałożonymi na dane przedsięwzięcie w decyzji o środowiskowych uwarunkowaniach. </w:t>
      </w:r>
    </w:p>
    <w:p w14:paraId="411F706A" w14:textId="77777777" w:rsidR="00F06869" w:rsidRPr="007F400A" w:rsidRDefault="00F06869" w:rsidP="006268AA">
      <w:pPr>
        <w:spacing w:after="60" w:line="300" w:lineRule="atLeast"/>
        <w:ind w:firstLine="567"/>
        <w:jc w:val="both"/>
        <w:rPr>
          <w:rFonts w:ascii="Times New Roman" w:eastAsia="Times New Roman" w:hAnsi="Times New Roman" w:cs="Times New Roman"/>
          <w:sz w:val="24"/>
          <w:szCs w:val="24"/>
        </w:rPr>
      </w:pPr>
      <w:r w:rsidRPr="007F400A">
        <w:rPr>
          <w:rFonts w:ascii="Times New Roman" w:eastAsia="Times New Roman" w:hAnsi="Times New Roman" w:cs="Times New Roman"/>
          <w:sz w:val="24"/>
          <w:szCs w:val="24"/>
        </w:rPr>
        <w:t xml:space="preserve">Najczęstsze naruszenia warunków, wymogów i obowiązków określonych w decyzjach </w:t>
      </w:r>
      <w:r w:rsidRPr="007F400A">
        <w:rPr>
          <w:rFonts w:ascii="Times New Roman" w:eastAsia="Times New Roman" w:hAnsi="Times New Roman" w:cs="Times New Roman"/>
          <w:sz w:val="24"/>
          <w:szCs w:val="24"/>
        </w:rPr>
        <w:br/>
        <w:t>o środowiskowych uwarunkowaniach, stwierdzane przez wojewódzkich inspektorów ochrony środowiska dotyczyły:</w:t>
      </w:r>
    </w:p>
    <w:p w14:paraId="6E285D49" w14:textId="77777777" w:rsidR="00F06869" w:rsidRDefault="00F06869" w:rsidP="00D34F97">
      <w:pPr>
        <w:numPr>
          <w:ilvl w:val="0"/>
          <w:numId w:val="120"/>
        </w:numPr>
        <w:spacing w:after="0" w:line="300" w:lineRule="atLeast"/>
        <w:ind w:left="924" w:hanging="357"/>
        <w:contextualSpacing/>
        <w:jc w:val="both"/>
        <w:rPr>
          <w:rFonts w:ascii="Times New Roman" w:eastAsia="Times New Roman" w:hAnsi="Times New Roman" w:cs="Times New Roman"/>
          <w:sz w:val="24"/>
          <w:szCs w:val="24"/>
          <w:lang w:val="x-none" w:eastAsia="pl-PL"/>
        </w:rPr>
      </w:pPr>
      <w:r w:rsidRPr="007F400A">
        <w:rPr>
          <w:rFonts w:ascii="Times New Roman" w:eastAsia="Times New Roman" w:hAnsi="Times New Roman" w:cs="Times New Roman"/>
          <w:sz w:val="24"/>
          <w:szCs w:val="24"/>
          <w:lang w:val="x-none" w:eastAsia="pl-PL"/>
        </w:rPr>
        <w:t xml:space="preserve">braku zastosowania wszystkich wymaganych w decyzji o środowiskowych uwarunkowaniach rozwiązań technicznych i technologicznych, w tym zwłaszcza rozwiązań mających na celu minimalizację oddziaływania przedsięwzięcia </w:t>
      </w:r>
      <w:r w:rsidRPr="007F400A">
        <w:rPr>
          <w:rFonts w:ascii="Times New Roman" w:eastAsia="Times New Roman" w:hAnsi="Times New Roman" w:cs="Times New Roman"/>
          <w:sz w:val="24"/>
          <w:szCs w:val="24"/>
          <w:lang w:val="x-none" w:eastAsia="pl-PL"/>
        </w:rPr>
        <w:br/>
        <w:t>na środowisko,</w:t>
      </w:r>
    </w:p>
    <w:p w14:paraId="1D8F9E00" w14:textId="77777777" w:rsidR="00F06869" w:rsidRPr="0049550B" w:rsidRDefault="00F06869" w:rsidP="00D34F97">
      <w:pPr>
        <w:numPr>
          <w:ilvl w:val="0"/>
          <w:numId w:val="120"/>
        </w:numPr>
        <w:spacing w:after="0" w:line="300" w:lineRule="atLeast"/>
        <w:ind w:left="924" w:hanging="357"/>
        <w:contextualSpacing/>
        <w:jc w:val="both"/>
        <w:rPr>
          <w:rFonts w:ascii="Times New Roman" w:eastAsia="Times New Roman" w:hAnsi="Times New Roman" w:cs="Times New Roman"/>
          <w:sz w:val="24"/>
          <w:szCs w:val="24"/>
          <w:lang w:val="x-none" w:eastAsia="pl-PL"/>
        </w:rPr>
      </w:pPr>
      <w:r w:rsidRPr="0049550B">
        <w:rPr>
          <w:rFonts w:ascii="Times New Roman" w:eastAsia="Times New Roman" w:hAnsi="Times New Roman" w:cs="Times New Roman"/>
          <w:sz w:val="24"/>
          <w:szCs w:val="24"/>
        </w:rPr>
        <w:t xml:space="preserve">nieskładania lub nieterminowego składania właściwym organom wyników analizy </w:t>
      </w:r>
      <w:proofErr w:type="spellStart"/>
      <w:r w:rsidRPr="0049550B">
        <w:rPr>
          <w:rFonts w:ascii="Times New Roman" w:eastAsia="Times New Roman" w:hAnsi="Times New Roman" w:cs="Times New Roman"/>
          <w:sz w:val="24"/>
          <w:szCs w:val="24"/>
        </w:rPr>
        <w:t>porealizacyjnej</w:t>
      </w:r>
      <w:proofErr w:type="spellEnd"/>
      <w:r w:rsidRPr="0049550B">
        <w:rPr>
          <w:rFonts w:ascii="Times New Roman" w:eastAsia="Times New Roman" w:hAnsi="Times New Roman" w:cs="Times New Roman"/>
          <w:sz w:val="24"/>
          <w:szCs w:val="24"/>
        </w:rPr>
        <w:t xml:space="preserve"> wymaganej dla przedsięwzięcia</w:t>
      </w:r>
      <w:r w:rsidRPr="0049550B">
        <w:rPr>
          <w:rFonts w:ascii="Times New Roman" w:eastAsia="Times New Roman" w:hAnsi="Times New Roman" w:cs="Times New Roman"/>
          <w:sz w:val="24"/>
          <w:szCs w:val="24"/>
          <w:lang w:eastAsia="pl-PL"/>
        </w:rPr>
        <w:t>.</w:t>
      </w:r>
    </w:p>
    <w:p w14:paraId="29AD2FCE" w14:textId="77777777" w:rsidR="00F06869" w:rsidRPr="001C5F42" w:rsidRDefault="00F06869" w:rsidP="00D34F97">
      <w:pPr>
        <w:pStyle w:val="Akapitzlist"/>
        <w:numPr>
          <w:ilvl w:val="0"/>
          <w:numId w:val="186"/>
        </w:numPr>
        <w:spacing w:line="300" w:lineRule="atLeast"/>
        <w:ind w:left="924" w:hanging="357"/>
        <w:jc w:val="both"/>
        <w:rPr>
          <w:rFonts w:eastAsia="Times New Roman"/>
          <w:sz w:val="24"/>
          <w:szCs w:val="24"/>
        </w:rPr>
      </w:pPr>
      <w:r>
        <w:rPr>
          <w:rFonts w:eastAsia="Times New Roman"/>
          <w:sz w:val="24"/>
          <w:szCs w:val="24"/>
          <w:lang w:val="pl-PL"/>
        </w:rPr>
        <w:t>realizacji przedsięwzięcia bez uzyskania wymaganej decyzji o środowiskowych uwarunkowaniach,</w:t>
      </w:r>
    </w:p>
    <w:p w14:paraId="740FC873" w14:textId="77777777" w:rsidR="00F06869" w:rsidRPr="0049550B" w:rsidRDefault="00F06869" w:rsidP="00D34F97">
      <w:pPr>
        <w:pStyle w:val="Akapitzlist"/>
        <w:numPr>
          <w:ilvl w:val="0"/>
          <w:numId w:val="186"/>
        </w:numPr>
        <w:spacing w:line="300" w:lineRule="atLeast"/>
        <w:ind w:left="924" w:hanging="357"/>
        <w:jc w:val="both"/>
        <w:rPr>
          <w:rFonts w:eastAsia="Times New Roman"/>
          <w:sz w:val="24"/>
          <w:szCs w:val="24"/>
        </w:rPr>
      </w:pPr>
      <w:r>
        <w:rPr>
          <w:rFonts w:eastAsia="Times New Roman"/>
          <w:sz w:val="24"/>
          <w:szCs w:val="24"/>
          <w:lang w:val="pl-PL"/>
        </w:rPr>
        <w:t xml:space="preserve">niewłaściwego </w:t>
      </w:r>
      <w:r w:rsidRPr="00375477">
        <w:rPr>
          <w:rFonts w:eastAsia="Times New Roman"/>
          <w:sz w:val="24"/>
          <w:szCs w:val="24"/>
          <w:lang w:val="pl-PL"/>
        </w:rPr>
        <w:t>magazynowani</w:t>
      </w:r>
      <w:r>
        <w:rPr>
          <w:rFonts w:eastAsia="Times New Roman"/>
          <w:sz w:val="24"/>
          <w:szCs w:val="24"/>
          <w:lang w:val="pl-PL"/>
        </w:rPr>
        <w:t>a</w:t>
      </w:r>
      <w:r w:rsidRPr="00375477">
        <w:rPr>
          <w:rFonts w:eastAsia="Times New Roman"/>
          <w:sz w:val="24"/>
          <w:szCs w:val="24"/>
          <w:lang w:val="pl-PL"/>
        </w:rPr>
        <w:t xml:space="preserve"> odpadów</w:t>
      </w:r>
      <w:r>
        <w:rPr>
          <w:rFonts w:eastAsia="Times New Roman"/>
          <w:sz w:val="24"/>
          <w:szCs w:val="24"/>
          <w:lang w:val="pl-PL"/>
        </w:rPr>
        <w:t xml:space="preserve">, </w:t>
      </w:r>
      <w:r w:rsidRPr="00375477">
        <w:rPr>
          <w:rFonts w:eastAsia="Times New Roman"/>
          <w:sz w:val="24"/>
          <w:szCs w:val="24"/>
          <w:lang w:val="pl-PL"/>
        </w:rPr>
        <w:t>bez zabezpieczenia przed przedostaniem się ewentualnych zanieczyszczeń do gruntu i wód,</w:t>
      </w:r>
    </w:p>
    <w:p w14:paraId="1C89E315" w14:textId="77777777" w:rsidR="00F06869" w:rsidRPr="0049550B" w:rsidRDefault="00F06869" w:rsidP="00D34F97">
      <w:pPr>
        <w:pStyle w:val="Akapitzlist"/>
        <w:numPr>
          <w:ilvl w:val="0"/>
          <w:numId w:val="186"/>
        </w:numPr>
        <w:spacing w:after="60" w:line="300" w:lineRule="atLeast"/>
        <w:ind w:left="924" w:hanging="357"/>
        <w:contextualSpacing w:val="0"/>
        <w:jc w:val="both"/>
        <w:rPr>
          <w:rFonts w:eastAsia="Times New Roman"/>
          <w:sz w:val="24"/>
          <w:szCs w:val="24"/>
        </w:rPr>
      </w:pPr>
      <w:r w:rsidRPr="0049550B">
        <w:rPr>
          <w:rFonts w:eastAsia="Times New Roman"/>
          <w:sz w:val="24"/>
          <w:szCs w:val="24"/>
          <w:lang w:val="pl-PL"/>
        </w:rPr>
        <w:t xml:space="preserve">prowadzenia </w:t>
      </w:r>
      <w:r w:rsidRPr="0049550B">
        <w:rPr>
          <w:rFonts w:eastAsia="Times New Roman"/>
          <w:sz w:val="24"/>
          <w:szCs w:val="24"/>
        </w:rPr>
        <w:t>prac</w:t>
      </w:r>
      <w:r w:rsidRPr="0049550B">
        <w:rPr>
          <w:rFonts w:eastAsia="Times New Roman"/>
          <w:sz w:val="24"/>
          <w:szCs w:val="24"/>
          <w:lang w:val="pl-PL"/>
        </w:rPr>
        <w:t xml:space="preserve"> ziemnych i budowlanych </w:t>
      </w:r>
      <w:r w:rsidRPr="0049550B">
        <w:rPr>
          <w:rFonts w:eastAsia="Times New Roman"/>
          <w:sz w:val="24"/>
          <w:szCs w:val="24"/>
        </w:rPr>
        <w:t>w sposób niezapewniający dostateczne</w:t>
      </w:r>
      <w:r w:rsidRPr="0049550B">
        <w:rPr>
          <w:rFonts w:eastAsia="Times New Roman"/>
          <w:sz w:val="24"/>
          <w:szCs w:val="24"/>
          <w:lang w:val="pl-PL"/>
        </w:rPr>
        <w:t>go</w:t>
      </w:r>
      <w:r w:rsidRPr="0049550B">
        <w:rPr>
          <w:rFonts w:eastAsia="Times New Roman"/>
          <w:sz w:val="24"/>
          <w:szCs w:val="24"/>
        </w:rPr>
        <w:t xml:space="preserve"> zabezpieczenia przed przedostawaniem się zanieczyszczeń </w:t>
      </w:r>
      <w:r w:rsidRPr="0049550B">
        <w:rPr>
          <w:rFonts w:eastAsia="Times New Roman"/>
          <w:sz w:val="24"/>
          <w:szCs w:val="24"/>
          <w:lang w:val="pl-PL"/>
        </w:rPr>
        <w:t>do wód powierzchniowych.</w:t>
      </w:r>
    </w:p>
    <w:p w14:paraId="70D9677B" w14:textId="77777777" w:rsidR="00F06869" w:rsidRDefault="00F06869" w:rsidP="006268AA">
      <w:pPr>
        <w:tabs>
          <w:tab w:val="left" w:pos="142"/>
        </w:tabs>
        <w:spacing w:after="60" w:line="300" w:lineRule="atLeast"/>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związku ze stwierdzonymi naruszeniami podjęto następujące działania:</w:t>
      </w:r>
    </w:p>
    <w:p w14:paraId="5F63C521" w14:textId="77777777" w:rsidR="00F06869" w:rsidRDefault="00F06869" w:rsidP="00D34F97">
      <w:pPr>
        <w:numPr>
          <w:ilvl w:val="0"/>
          <w:numId w:val="119"/>
        </w:numPr>
        <w:spacing w:after="0" w:line="300" w:lineRule="atLeast"/>
        <w:ind w:left="924" w:hanging="35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wydano 23 zarządzenia pokontrolne,</w:t>
      </w:r>
    </w:p>
    <w:p w14:paraId="118E6F1D" w14:textId="411D07A1" w:rsidR="00F06869" w:rsidRDefault="00F06869" w:rsidP="00D34F97">
      <w:pPr>
        <w:numPr>
          <w:ilvl w:val="0"/>
          <w:numId w:val="119"/>
        </w:numPr>
        <w:spacing w:after="0" w:line="300" w:lineRule="atLeast"/>
        <w:ind w:left="924" w:hanging="35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wydano </w:t>
      </w:r>
      <w:r w:rsidR="00D64F33">
        <w:rPr>
          <w:rFonts w:ascii="Times New Roman" w:eastAsia="Times New Roman" w:hAnsi="Times New Roman" w:cs="Times New Roman"/>
          <w:sz w:val="24"/>
          <w:szCs w:val="24"/>
        </w:rPr>
        <w:t>11</w:t>
      </w:r>
      <w:r>
        <w:rPr>
          <w:rFonts w:ascii="Times New Roman" w:eastAsia="Times New Roman" w:hAnsi="Times New Roman" w:cs="Times New Roman"/>
          <w:sz w:val="24"/>
          <w:szCs w:val="24"/>
        </w:rPr>
        <w:t xml:space="preserve"> decyzji wymierzających administracyjne kary pieniężne,</w:t>
      </w:r>
    </w:p>
    <w:p w14:paraId="7E363E76" w14:textId="77777777" w:rsidR="00F06869" w:rsidRDefault="00F06869" w:rsidP="00D34F97">
      <w:pPr>
        <w:numPr>
          <w:ilvl w:val="0"/>
          <w:numId w:val="119"/>
        </w:numPr>
        <w:spacing w:after="0" w:line="300" w:lineRule="atLeast"/>
        <w:ind w:left="924" w:hanging="35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skierowano 26 wystąpień do innych organów (m.in. do organów samorządowych, PGW WP),</w:t>
      </w:r>
    </w:p>
    <w:p w14:paraId="4642DA56" w14:textId="77777777" w:rsidR="0007436A" w:rsidRDefault="00F06869" w:rsidP="00D34F97">
      <w:pPr>
        <w:numPr>
          <w:ilvl w:val="0"/>
          <w:numId w:val="119"/>
        </w:numPr>
        <w:spacing w:after="0" w:line="300" w:lineRule="atLeast"/>
        <w:ind w:left="924" w:hanging="357"/>
        <w:contextualSpacing/>
        <w:jc w:val="both"/>
        <w:rPr>
          <w:rFonts w:ascii="Times New Roman" w:eastAsia="Times New Roman" w:hAnsi="Times New Roman" w:cs="Times New Roman"/>
          <w:sz w:val="24"/>
          <w:szCs w:val="24"/>
        </w:rPr>
      </w:pPr>
      <w:r w:rsidRPr="00F06869">
        <w:rPr>
          <w:rFonts w:ascii="Times New Roman" w:eastAsia="Times New Roman" w:hAnsi="Times New Roman" w:cs="Times New Roman"/>
          <w:sz w:val="24"/>
          <w:szCs w:val="24"/>
        </w:rPr>
        <w:t>wydano 3 decyzje wstrzymujące użytkowanie instalacji</w:t>
      </w:r>
      <w:r w:rsidR="0007436A">
        <w:rPr>
          <w:rFonts w:ascii="Times New Roman" w:eastAsia="Times New Roman" w:hAnsi="Times New Roman" w:cs="Times New Roman"/>
          <w:sz w:val="24"/>
          <w:szCs w:val="24"/>
          <w:lang w:eastAsia="pl-PL"/>
        </w:rPr>
        <w:t xml:space="preserve">, </w:t>
      </w:r>
    </w:p>
    <w:p w14:paraId="7E2C8967" w14:textId="641A8710" w:rsidR="00895F16" w:rsidRPr="0007436A" w:rsidRDefault="0007436A" w:rsidP="00D34F97">
      <w:pPr>
        <w:numPr>
          <w:ilvl w:val="0"/>
          <w:numId w:val="119"/>
        </w:numPr>
        <w:spacing w:after="0" w:line="300" w:lineRule="atLeast"/>
        <w:ind w:left="924" w:hanging="357"/>
        <w:contextualSpacing/>
        <w:jc w:val="both"/>
        <w:rPr>
          <w:rFonts w:ascii="Times New Roman" w:eastAsia="Times New Roman" w:hAnsi="Times New Roman" w:cs="Times New Roman"/>
          <w:sz w:val="24"/>
          <w:szCs w:val="24"/>
        </w:rPr>
      </w:pPr>
      <w:r w:rsidRPr="003223B9">
        <w:rPr>
          <w:rFonts w:ascii="Times New Roman" w:eastAsia="Times New Roman" w:hAnsi="Times New Roman" w:cs="Times New Roman"/>
          <w:sz w:val="24"/>
          <w:szCs w:val="24"/>
        </w:rPr>
        <w:lastRenderedPageBreak/>
        <w:t>skierowano 1 wniosek do organów ściągania.</w:t>
      </w:r>
    </w:p>
    <w:p w14:paraId="0DA034B3" w14:textId="77777777" w:rsidR="00895F16" w:rsidRPr="007F400A" w:rsidRDefault="00895F16" w:rsidP="00056EE7">
      <w:pPr>
        <w:spacing w:after="0" w:line="300" w:lineRule="atLeast"/>
        <w:contextualSpacing/>
        <w:jc w:val="both"/>
        <w:rPr>
          <w:rFonts w:ascii="Times New Roman" w:eastAsia="Times New Roman" w:hAnsi="Times New Roman" w:cs="Times New Roman"/>
          <w:sz w:val="24"/>
          <w:szCs w:val="24"/>
          <w:lang w:eastAsia="pl-PL"/>
        </w:rPr>
      </w:pPr>
    </w:p>
    <w:p w14:paraId="5612694E" w14:textId="6AC7F70F" w:rsidR="00895F16" w:rsidRPr="007F400A" w:rsidRDefault="00895F16" w:rsidP="00056EE7">
      <w:pPr>
        <w:keepNext/>
        <w:spacing w:after="120" w:line="300" w:lineRule="atLeast"/>
        <w:jc w:val="both"/>
        <w:outlineLvl w:val="0"/>
        <w:rPr>
          <w:rFonts w:ascii="Times New Roman" w:eastAsia="Times New Roman" w:hAnsi="Times New Roman" w:cs="Times New Roman"/>
          <w:b/>
          <w:bCs/>
          <w:sz w:val="24"/>
          <w:szCs w:val="24"/>
          <w:lang w:val="x-none" w:eastAsia="x-none"/>
        </w:rPr>
      </w:pPr>
      <w:bookmarkStart w:id="154" w:name="_Toc36732588"/>
      <w:bookmarkStart w:id="155" w:name="_Toc135935617"/>
      <w:r w:rsidRPr="007F400A">
        <w:rPr>
          <w:rFonts w:ascii="Times New Roman" w:eastAsia="Times New Roman" w:hAnsi="Times New Roman" w:cs="Times New Roman"/>
          <w:b/>
          <w:bCs/>
          <w:sz w:val="24"/>
          <w:szCs w:val="24"/>
          <w:lang w:val="x-none" w:eastAsia="x-none"/>
        </w:rPr>
        <w:t>3.3.2</w:t>
      </w:r>
      <w:r w:rsidR="00F06869">
        <w:rPr>
          <w:rFonts w:ascii="Times New Roman" w:eastAsia="Times New Roman" w:hAnsi="Times New Roman" w:cs="Times New Roman"/>
          <w:b/>
          <w:bCs/>
          <w:sz w:val="24"/>
          <w:szCs w:val="24"/>
          <w:lang w:eastAsia="x-none"/>
        </w:rPr>
        <w:t>7</w:t>
      </w:r>
      <w:r w:rsidRPr="007F400A">
        <w:rPr>
          <w:rFonts w:ascii="Times New Roman" w:eastAsia="Times New Roman" w:hAnsi="Times New Roman" w:cs="Times New Roman"/>
          <w:b/>
          <w:bCs/>
          <w:sz w:val="24"/>
          <w:szCs w:val="24"/>
          <w:lang w:val="x-none" w:eastAsia="x-none"/>
        </w:rPr>
        <w:t xml:space="preserve"> Podmioty nie umieszczone w wykazie marszałka województwa, a podejrzane o prowadzenie demontażu pojazdów</w:t>
      </w:r>
      <w:bookmarkEnd w:id="154"/>
      <w:bookmarkEnd w:id="155"/>
    </w:p>
    <w:p w14:paraId="29F7914B" w14:textId="77777777" w:rsidR="00F06869" w:rsidRPr="00965BA2" w:rsidRDefault="00F06869" w:rsidP="006268AA">
      <w:pPr>
        <w:autoSpaceDE w:val="0"/>
        <w:spacing w:after="0" w:line="300" w:lineRule="atLeast"/>
        <w:ind w:firstLine="567"/>
        <w:jc w:val="both"/>
        <w:rPr>
          <w:rFonts w:ascii="Times New Roman" w:hAnsi="Times New Roman" w:cs="Times New Roman"/>
          <w:sz w:val="24"/>
          <w:szCs w:val="24"/>
        </w:rPr>
      </w:pPr>
      <w:r w:rsidRPr="00965BA2">
        <w:rPr>
          <w:rFonts w:ascii="Times New Roman" w:hAnsi="Times New Roman" w:cs="Times New Roman"/>
          <w:bCs/>
          <w:sz w:val="24"/>
          <w:szCs w:val="24"/>
        </w:rPr>
        <w:t>W 2022 r. wojewódzcy inspektorzy ochrony środowiska przeprowadzili 171 kontroli podmiotów podejrzanych o nielegalny demontaż pojazdów, w których skontrolowano 169 podmiotów. W przypadku 69 kontroli nie stwierdzono nieprawidłowości.</w:t>
      </w:r>
    </w:p>
    <w:p w14:paraId="198DBDDE" w14:textId="77777777" w:rsidR="00F06869" w:rsidRPr="00965BA2" w:rsidRDefault="00F06869" w:rsidP="006268AA">
      <w:pPr>
        <w:autoSpaceDE w:val="0"/>
        <w:spacing w:after="120" w:line="300" w:lineRule="atLeast"/>
        <w:ind w:firstLine="567"/>
        <w:jc w:val="both"/>
        <w:rPr>
          <w:rFonts w:ascii="Times New Roman" w:hAnsi="Times New Roman" w:cs="Times New Roman"/>
          <w:bCs/>
          <w:sz w:val="24"/>
          <w:szCs w:val="24"/>
        </w:rPr>
      </w:pPr>
      <w:r w:rsidRPr="00965BA2">
        <w:rPr>
          <w:rFonts w:ascii="Times New Roman" w:hAnsi="Times New Roman" w:cs="Times New Roman"/>
          <w:sz w:val="24"/>
          <w:szCs w:val="24"/>
        </w:rPr>
        <w:t>W wyniku 102 kontroli wojewódzcy inspektorzy ochrony środowiska wykryli naruszenia, w tym w 100 przypadkach potwierdzili podejrzenia o</w:t>
      </w:r>
      <w:r>
        <w:rPr>
          <w:rFonts w:ascii="Times New Roman" w:hAnsi="Times New Roman" w:cs="Times New Roman"/>
          <w:sz w:val="24"/>
          <w:szCs w:val="24"/>
        </w:rPr>
        <w:t xml:space="preserve"> </w:t>
      </w:r>
      <w:r w:rsidRPr="00965BA2">
        <w:rPr>
          <w:rFonts w:ascii="Times New Roman" w:hAnsi="Times New Roman" w:cs="Times New Roman"/>
          <w:sz w:val="24"/>
          <w:szCs w:val="24"/>
        </w:rPr>
        <w:t xml:space="preserve">nielegalne zbieranie lub demontaż pojazdów. </w:t>
      </w:r>
    </w:p>
    <w:p w14:paraId="6DB9BC65" w14:textId="77777777" w:rsidR="00F06869" w:rsidRPr="00965BA2" w:rsidRDefault="00F06869" w:rsidP="006268AA">
      <w:pPr>
        <w:autoSpaceDE w:val="0"/>
        <w:spacing w:after="60" w:line="300" w:lineRule="atLeast"/>
        <w:jc w:val="both"/>
        <w:rPr>
          <w:rFonts w:ascii="Times New Roman" w:hAnsi="Times New Roman" w:cs="Times New Roman"/>
          <w:sz w:val="24"/>
          <w:szCs w:val="24"/>
        </w:rPr>
      </w:pPr>
      <w:r w:rsidRPr="00965BA2">
        <w:rPr>
          <w:rFonts w:ascii="Times New Roman" w:hAnsi="Times New Roman" w:cs="Times New Roman"/>
          <w:bCs/>
          <w:sz w:val="24"/>
          <w:szCs w:val="24"/>
        </w:rPr>
        <w:t>W związku ze stwierdzonymi naruszeniami zastosowano następujące działania:</w:t>
      </w:r>
    </w:p>
    <w:p w14:paraId="097D6B3A" w14:textId="77777777" w:rsidR="00F06869" w:rsidRPr="00965BA2" w:rsidRDefault="00F06869" w:rsidP="00056EE7">
      <w:pPr>
        <w:numPr>
          <w:ilvl w:val="0"/>
          <w:numId w:val="26"/>
        </w:numPr>
        <w:suppressAutoHyphens/>
        <w:autoSpaceDE w:val="0"/>
        <w:spacing w:after="0" w:line="300" w:lineRule="atLeast"/>
        <w:jc w:val="both"/>
        <w:rPr>
          <w:rFonts w:ascii="Times New Roman" w:hAnsi="Times New Roman" w:cs="Times New Roman"/>
          <w:sz w:val="24"/>
          <w:szCs w:val="24"/>
        </w:rPr>
      </w:pPr>
      <w:r w:rsidRPr="00965BA2">
        <w:rPr>
          <w:rFonts w:ascii="Times New Roman" w:hAnsi="Times New Roman" w:cs="Times New Roman"/>
          <w:sz w:val="24"/>
          <w:szCs w:val="24"/>
        </w:rPr>
        <w:t>wydano 69 zarządzeń pokontrolnych,</w:t>
      </w:r>
    </w:p>
    <w:p w14:paraId="2B873F5A" w14:textId="77777777" w:rsidR="00F06869" w:rsidRPr="00965BA2" w:rsidRDefault="00F06869" w:rsidP="00056EE7">
      <w:pPr>
        <w:numPr>
          <w:ilvl w:val="0"/>
          <w:numId w:val="26"/>
        </w:numPr>
        <w:suppressAutoHyphens/>
        <w:autoSpaceDE w:val="0"/>
        <w:spacing w:after="0" w:line="300" w:lineRule="atLeast"/>
        <w:jc w:val="both"/>
        <w:rPr>
          <w:rFonts w:ascii="Times New Roman" w:hAnsi="Times New Roman" w:cs="Times New Roman"/>
          <w:sz w:val="24"/>
          <w:szCs w:val="24"/>
        </w:rPr>
      </w:pPr>
      <w:r w:rsidRPr="00965BA2">
        <w:rPr>
          <w:rFonts w:ascii="Times New Roman" w:hAnsi="Times New Roman" w:cs="Times New Roman"/>
          <w:sz w:val="24"/>
          <w:szCs w:val="24"/>
        </w:rPr>
        <w:t>udzielono 35 pouczeń,</w:t>
      </w:r>
    </w:p>
    <w:p w14:paraId="7E962AC5" w14:textId="77777777" w:rsidR="00F06869" w:rsidRPr="00965BA2" w:rsidRDefault="00F06869" w:rsidP="00056EE7">
      <w:pPr>
        <w:numPr>
          <w:ilvl w:val="0"/>
          <w:numId w:val="26"/>
        </w:numPr>
        <w:suppressAutoHyphens/>
        <w:autoSpaceDE w:val="0"/>
        <w:spacing w:after="0" w:line="300" w:lineRule="atLeast"/>
        <w:jc w:val="both"/>
        <w:rPr>
          <w:rFonts w:ascii="Times New Roman" w:hAnsi="Times New Roman" w:cs="Times New Roman"/>
          <w:sz w:val="24"/>
          <w:szCs w:val="24"/>
        </w:rPr>
      </w:pPr>
      <w:r w:rsidRPr="00965BA2">
        <w:rPr>
          <w:rFonts w:ascii="Times New Roman" w:hAnsi="Times New Roman" w:cs="Times New Roman"/>
          <w:sz w:val="24"/>
          <w:szCs w:val="24"/>
        </w:rPr>
        <w:t>nałożono 59 mandatów karnych,</w:t>
      </w:r>
    </w:p>
    <w:p w14:paraId="61F3C7EB" w14:textId="77777777" w:rsidR="00F06869" w:rsidRPr="00965BA2" w:rsidRDefault="00F06869" w:rsidP="00056EE7">
      <w:pPr>
        <w:numPr>
          <w:ilvl w:val="0"/>
          <w:numId w:val="26"/>
        </w:numPr>
        <w:suppressAutoHyphens/>
        <w:autoSpaceDE w:val="0"/>
        <w:spacing w:after="0" w:line="300" w:lineRule="atLeast"/>
        <w:jc w:val="both"/>
        <w:rPr>
          <w:rFonts w:ascii="Times New Roman" w:hAnsi="Times New Roman" w:cs="Times New Roman"/>
          <w:bCs/>
          <w:sz w:val="24"/>
          <w:szCs w:val="24"/>
        </w:rPr>
      </w:pPr>
      <w:r w:rsidRPr="00965BA2">
        <w:rPr>
          <w:rFonts w:ascii="Times New Roman" w:hAnsi="Times New Roman" w:cs="Times New Roman"/>
          <w:sz w:val="24"/>
          <w:szCs w:val="24"/>
        </w:rPr>
        <w:t>nałożono 100 kar pieniężnych, w tym:</w:t>
      </w:r>
    </w:p>
    <w:p w14:paraId="6049620E" w14:textId="77777777" w:rsidR="00F06869" w:rsidRPr="00965BA2" w:rsidRDefault="00F06869" w:rsidP="00D34F97">
      <w:pPr>
        <w:numPr>
          <w:ilvl w:val="0"/>
          <w:numId w:val="187"/>
        </w:numPr>
        <w:suppressAutoHyphens/>
        <w:autoSpaceDE w:val="0"/>
        <w:spacing w:after="0" w:line="300" w:lineRule="atLeast"/>
        <w:jc w:val="both"/>
        <w:rPr>
          <w:rFonts w:ascii="Times New Roman" w:hAnsi="Times New Roman" w:cs="Times New Roman"/>
          <w:bCs/>
          <w:sz w:val="24"/>
          <w:szCs w:val="24"/>
        </w:rPr>
      </w:pPr>
      <w:r w:rsidRPr="00965BA2">
        <w:rPr>
          <w:rFonts w:ascii="Times New Roman" w:hAnsi="Times New Roman" w:cs="Times New Roman"/>
          <w:bCs/>
          <w:sz w:val="24"/>
          <w:szCs w:val="24"/>
        </w:rPr>
        <w:t>53 decyzje w sprawie wymierzenia kary pieniężnej za naruszenie przepisów ustawy o recyklingu pojazdów wycofanych z eksploatacji,</w:t>
      </w:r>
    </w:p>
    <w:p w14:paraId="7A438B33" w14:textId="77777777" w:rsidR="00F06869" w:rsidRPr="00965BA2" w:rsidRDefault="00F06869" w:rsidP="00D34F97">
      <w:pPr>
        <w:numPr>
          <w:ilvl w:val="0"/>
          <w:numId w:val="187"/>
        </w:numPr>
        <w:suppressAutoHyphens/>
        <w:autoSpaceDE w:val="0"/>
        <w:spacing w:after="0" w:line="300" w:lineRule="atLeast"/>
        <w:jc w:val="both"/>
        <w:rPr>
          <w:rFonts w:ascii="Times New Roman" w:hAnsi="Times New Roman" w:cs="Times New Roman"/>
          <w:bCs/>
          <w:sz w:val="24"/>
          <w:szCs w:val="24"/>
        </w:rPr>
      </w:pPr>
      <w:r w:rsidRPr="00965BA2">
        <w:rPr>
          <w:rFonts w:ascii="Times New Roman" w:hAnsi="Times New Roman" w:cs="Times New Roman"/>
          <w:bCs/>
          <w:sz w:val="24"/>
          <w:szCs w:val="24"/>
        </w:rPr>
        <w:t>46 decyzji w sprawie wymierzenia kary pieniężnej za naruszenie przepisów o odpadach,</w:t>
      </w:r>
    </w:p>
    <w:p w14:paraId="0C4014BF" w14:textId="77777777" w:rsidR="00F06869" w:rsidRPr="00965BA2" w:rsidRDefault="00F06869" w:rsidP="00D34F97">
      <w:pPr>
        <w:numPr>
          <w:ilvl w:val="0"/>
          <w:numId w:val="187"/>
        </w:numPr>
        <w:suppressAutoHyphens/>
        <w:autoSpaceDE w:val="0"/>
        <w:spacing w:after="0" w:line="300" w:lineRule="atLeast"/>
        <w:ind w:left="1480" w:hanging="357"/>
        <w:jc w:val="both"/>
        <w:rPr>
          <w:rFonts w:ascii="Times New Roman" w:hAnsi="Times New Roman" w:cs="Times New Roman"/>
          <w:sz w:val="24"/>
          <w:szCs w:val="24"/>
        </w:rPr>
      </w:pPr>
      <w:r w:rsidRPr="00965BA2">
        <w:rPr>
          <w:rFonts w:ascii="Times New Roman" w:hAnsi="Times New Roman" w:cs="Times New Roman"/>
          <w:bCs/>
          <w:sz w:val="24"/>
          <w:szCs w:val="24"/>
        </w:rPr>
        <w:t>1 decyzję w sprawie wymierzenia kary pieniężnej za naruszenie przepisów ustawy o zużytym sprzęcie elektrycznym i elektronicznym</w:t>
      </w:r>
      <w:r>
        <w:rPr>
          <w:rFonts w:ascii="Times New Roman" w:hAnsi="Times New Roman" w:cs="Times New Roman"/>
          <w:bCs/>
          <w:sz w:val="24"/>
          <w:szCs w:val="24"/>
        </w:rPr>
        <w:t>,</w:t>
      </w:r>
    </w:p>
    <w:p w14:paraId="1168A88C" w14:textId="77777777" w:rsidR="00F06869" w:rsidRPr="00965BA2" w:rsidRDefault="00F06869" w:rsidP="00056EE7">
      <w:pPr>
        <w:numPr>
          <w:ilvl w:val="0"/>
          <w:numId w:val="27"/>
        </w:numPr>
        <w:suppressAutoHyphens/>
        <w:autoSpaceDE w:val="0"/>
        <w:spacing w:after="0" w:line="300" w:lineRule="atLeast"/>
        <w:jc w:val="both"/>
        <w:rPr>
          <w:rFonts w:ascii="Times New Roman" w:hAnsi="Times New Roman" w:cs="Times New Roman"/>
          <w:sz w:val="24"/>
          <w:szCs w:val="24"/>
        </w:rPr>
      </w:pPr>
      <w:r w:rsidRPr="00965BA2">
        <w:rPr>
          <w:rFonts w:ascii="Times New Roman" w:hAnsi="Times New Roman" w:cs="Times New Roman"/>
          <w:sz w:val="24"/>
          <w:szCs w:val="24"/>
        </w:rPr>
        <w:t xml:space="preserve">wydano 20 decyzji dotyczących wstrzymania nielegalnej działalności, </w:t>
      </w:r>
    </w:p>
    <w:p w14:paraId="445AACDB" w14:textId="7825CD76" w:rsidR="00F06869" w:rsidRDefault="00F06869" w:rsidP="00056EE7">
      <w:pPr>
        <w:numPr>
          <w:ilvl w:val="0"/>
          <w:numId w:val="27"/>
        </w:numPr>
        <w:suppressAutoHyphens/>
        <w:autoSpaceDE w:val="0"/>
        <w:spacing w:after="0" w:line="300" w:lineRule="atLeast"/>
        <w:jc w:val="both"/>
        <w:rPr>
          <w:rFonts w:ascii="Times New Roman" w:hAnsi="Times New Roman" w:cs="Times New Roman"/>
          <w:sz w:val="24"/>
          <w:szCs w:val="24"/>
        </w:rPr>
      </w:pPr>
      <w:r w:rsidRPr="00965BA2">
        <w:rPr>
          <w:rFonts w:ascii="Times New Roman" w:hAnsi="Times New Roman" w:cs="Times New Roman"/>
          <w:sz w:val="24"/>
          <w:szCs w:val="24"/>
        </w:rPr>
        <w:t>skierowano 132 wystąpie</w:t>
      </w:r>
      <w:r w:rsidR="006268AA">
        <w:rPr>
          <w:rFonts w:ascii="Times New Roman" w:hAnsi="Times New Roman" w:cs="Times New Roman"/>
          <w:sz w:val="24"/>
          <w:szCs w:val="24"/>
        </w:rPr>
        <w:t>nia</w:t>
      </w:r>
      <w:r w:rsidRPr="00965BA2">
        <w:rPr>
          <w:rFonts w:ascii="Times New Roman" w:hAnsi="Times New Roman" w:cs="Times New Roman"/>
          <w:sz w:val="24"/>
          <w:szCs w:val="24"/>
        </w:rPr>
        <w:t xml:space="preserve"> do innych organów, w tym w szczególności: 44 do burmistrzów/wójtów oraz starostów powiatowych, </w:t>
      </w:r>
      <w:r w:rsidRPr="00965BA2">
        <w:rPr>
          <w:rFonts w:ascii="Times New Roman" w:hAnsi="Times New Roman" w:cs="Times New Roman"/>
          <w:bCs/>
          <w:sz w:val="24"/>
          <w:szCs w:val="24"/>
        </w:rPr>
        <w:t>18</w:t>
      </w:r>
      <w:r w:rsidRPr="00965BA2">
        <w:rPr>
          <w:rFonts w:ascii="Times New Roman" w:hAnsi="Times New Roman" w:cs="Times New Roman"/>
          <w:sz w:val="24"/>
          <w:szCs w:val="24"/>
        </w:rPr>
        <w:t xml:space="preserve"> do Policji, 15 do Ubezpieczeniowego Funduszu Gwarancyjnego, 12 do Straży Pożarnej</w:t>
      </w:r>
      <w:r>
        <w:rPr>
          <w:rFonts w:ascii="Times New Roman" w:hAnsi="Times New Roman" w:cs="Times New Roman"/>
          <w:sz w:val="24"/>
          <w:szCs w:val="24"/>
        </w:rPr>
        <w:t>,</w:t>
      </w:r>
    </w:p>
    <w:p w14:paraId="5CC371B7" w14:textId="27B776F0" w:rsidR="00895F16" w:rsidRPr="00F06869" w:rsidRDefault="00F06869" w:rsidP="00056EE7">
      <w:pPr>
        <w:numPr>
          <w:ilvl w:val="0"/>
          <w:numId w:val="27"/>
        </w:numPr>
        <w:suppressAutoHyphens/>
        <w:autoSpaceDE w:val="0"/>
        <w:spacing w:after="0" w:line="300" w:lineRule="atLeast"/>
        <w:jc w:val="both"/>
        <w:rPr>
          <w:rFonts w:ascii="Times New Roman" w:hAnsi="Times New Roman" w:cs="Times New Roman"/>
          <w:sz w:val="24"/>
          <w:szCs w:val="24"/>
        </w:rPr>
      </w:pPr>
      <w:r w:rsidRPr="00F06869">
        <w:rPr>
          <w:rFonts w:ascii="Times New Roman" w:hAnsi="Times New Roman" w:cs="Times New Roman"/>
          <w:sz w:val="24"/>
          <w:szCs w:val="24"/>
        </w:rPr>
        <w:t>skierowano 17 zawiadomień do prokuratury w związku z popełnieniem przestępstwa (w szczególności nielegalny przywóz odpadów w postaci uszkodzonych pojazdów)</w:t>
      </w:r>
      <w:r w:rsidR="00895F16" w:rsidRPr="00F06869">
        <w:rPr>
          <w:rFonts w:ascii="Times New Roman" w:eastAsia="Calibri" w:hAnsi="Times New Roman" w:cs="Times New Roman"/>
          <w:sz w:val="24"/>
          <w:szCs w:val="24"/>
          <w:lang w:eastAsia="pl-PL"/>
        </w:rPr>
        <w:t>.</w:t>
      </w:r>
    </w:p>
    <w:p w14:paraId="50EE4FCC" w14:textId="77777777" w:rsidR="00895F16" w:rsidRPr="007F400A" w:rsidRDefault="00895F16" w:rsidP="00056EE7">
      <w:pPr>
        <w:tabs>
          <w:tab w:val="left" w:pos="567"/>
        </w:tabs>
        <w:autoSpaceDE w:val="0"/>
        <w:autoSpaceDN w:val="0"/>
        <w:adjustRightInd w:val="0"/>
        <w:spacing w:after="0" w:line="300" w:lineRule="atLeast"/>
        <w:ind w:left="714" w:right="57"/>
        <w:jc w:val="both"/>
        <w:rPr>
          <w:rFonts w:ascii="Times New Roman" w:eastAsia="Calibri" w:hAnsi="Times New Roman" w:cs="Times New Roman"/>
          <w:b/>
          <w:sz w:val="24"/>
          <w:szCs w:val="24"/>
          <w:lang w:eastAsia="pl-PL"/>
        </w:rPr>
      </w:pPr>
    </w:p>
    <w:p w14:paraId="6178288A" w14:textId="2F7F258B" w:rsidR="00895F16" w:rsidRPr="007F400A" w:rsidRDefault="00895F16" w:rsidP="006268AA">
      <w:pPr>
        <w:keepNext/>
        <w:spacing w:after="120" w:line="300" w:lineRule="atLeast"/>
        <w:outlineLvl w:val="0"/>
        <w:rPr>
          <w:rFonts w:ascii="Times New Roman" w:eastAsia="Times New Roman" w:hAnsi="Times New Roman" w:cs="Times New Roman"/>
          <w:b/>
          <w:bCs/>
          <w:sz w:val="24"/>
          <w:szCs w:val="24"/>
          <w:lang w:val="x-none" w:eastAsia="x-none"/>
        </w:rPr>
      </w:pPr>
      <w:bookmarkStart w:id="156" w:name="_Toc36732589"/>
      <w:bookmarkStart w:id="157" w:name="_Toc135935618"/>
      <w:r w:rsidRPr="007F400A">
        <w:rPr>
          <w:rFonts w:ascii="Times New Roman" w:eastAsia="Times New Roman" w:hAnsi="Times New Roman" w:cs="Times New Roman"/>
          <w:b/>
          <w:bCs/>
          <w:sz w:val="24"/>
          <w:szCs w:val="24"/>
          <w:lang w:val="x-none" w:eastAsia="x-none"/>
        </w:rPr>
        <w:t>3.3.2</w:t>
      </w:r>
      <w:r w:rsidR="00F06869">
        <w:rPr>
          <w:rFonts w:ascii="Times New Roman" w:eastAsia="Times New Roman" w:hAnsi="Times New Roman" w:cs="Times New Roman"/>
          <w:b/>
          <w:bCs/>
          <w:sz w:val="24"/>
          <w:szCs w:val="24"/>
          <w:lang w:eastAsia="x-none"/>
        </w:rPr>
        <w:t>8</w:t>
      </w:r>
      <w:r w:rsidRPr="007F400A">
        <w:rPr>
          <w:rFonts w:ascii="Times New Roman" w:eastAsia="Times New Roman" w:hAnsi="Times New Roman" w:cs="Times New Roman"/>
          <w:b/>
          <w:bCs/>
          <w:sz w:val="24"/>
          <w:szCs w:val="24"/>
          <w:lang w:val="x-none" w:eastAsia="x-none"/>
        </w:rPr>
        <w:t xml:space="preserve"> Punkty zbierania pojazdów</w:t>
      </w:r>
      <w:bookmarkEnd w:id="156"/>
      <w:bookmarkEnd w:id="157"/>
    </w:p>
    <w:p w14:paraId="6867BE29" w14:textId="77777777" w:rsidR="00F06869" w:rsidRPr="00965BA2" w:rsidRDefault="00F06869" w:rsidP="006268AA">
      <w:pPr>
        <w:autoSpaceDE w:val="0"/>
        <w:spacing w:after="120" w:line="300" w:lineRule="atLeast"/>
        <w:ind w:firstLine="567"/>
        <w:jc w:val="both"/>
        <w:rPr>
          <w:rFonts w:ascii="Times New Roman" w:hAnsi="Times New Roman" w:cs="Times New Roman"/>
          <w:sz w:val="24"/>
          <w:szCs w:val="24"/>
        </w:rPr>
      </w:pPr>
      <w:r w:rsidRPr="00965BA2">
        <w:rPr>
          <w:rFonts w:ascii="Times New Roman" w:hAnsi="Times New Roman" w:cs="Times New Roman"/>
          <w:bCs/>
          <w:sz w:val="24"/>
          <w:szCs w:val="24"/>
        </w:rPr>
        <w:t>Wojewódzcy inspektorzy ochrony środowiska przeprowadzili w 2022 r. 12 kontroli punktów zbierania pojazdów. W 7 kontrolach wojewódzcy inspektorzy wykryli naruszenia formalne bez istotnego wpływu na środowisko</w:t>
      </w:r>
      <w:r w:rsidRPr="00965BA2">
        <w:rPr>
          <w:rFonts w:ascii="Times New Roman" w:hAnsi="Times New Roman" w:cs="Times New Roman"/>
          <w:sz w:val="24"/>
          <w:szCs w:val="24"/>
        </w:rPr>
        <w:t xml:space="preserve">. W 1 przypadku stwierdzono naruszenia, w wyniku których może nastąpić lub nastąpiło zagrożenie lub zanieczyszczenie środowiska – brak zezwolenia na zbieranie odpadów w zakresie jednego kodu odpadu oraz brak wymaganego pozwolenia wodnoprawnego. </w:t>
      </w:r>
    </w:p>
    <w:p w14:paraId="6EF7131E" w14:textId="77777777" w:rsidR="00F06869" w:rsidRPr="00965BA2" w:rsidRDefault="00F06869" w:rsidP="006268AA">
      <w:pPr>
        <w:autoSpaceDE w:val="0"/>
        <w:spacing w:after="60" w:line="300" w:lineRule="atLeast"/>
        <w:jc w:val="both"/>
        <w:rPr>
          <w:rFonts w:ascii="Times New Roman" w:hAnsi="Times New Roman" w:cs="Times New Roman"/>
          <w:sz w:val="24"/>
          <w:szCs w:val="24"/>
        </w:rPr>
      </w:pPr>
      <w:r w:rsidRPr="00965BA2">
        <w:rPr>
          <w:rFonts w:ascii="Times New Roman" w:hAnsi="Times New Roman" w:cs="Times New Roman"/>
          <w:bCs/>
          <w:sz w:val="24"/>
          <w:szCs w:val="24"/>
        </w:rPr>
        <w:t>W związku ze stwierdzonymi naruszeniami zastosowano następujące działania:</w:t>
      </w:r>
    </w:p>
    <w:p w14:paraId="17A55924" w14:textId="77777777" w:rsidR="00F06869" w:rsidRPr="00965BA2" w:rsidRDefault="00F06869" w:rsidP="00056EE7">
      <w:pPr>
        <w:numPr>
          <w:ilvl w:val="0"/>
          <w:numId w:val="28"/>
        </w:numPr>
        <w:suppressAutoHyphens/>
        <w:autoSpaceDE w:val="0"/>
        <w:spacing w:after="0" w:line="300" w:lineRule="atLeast"/>
        <w:jc w:val="both"/>
        <w:rPr>
          <w:rFonts w:ascii="Times New Roman" w:hAnsi="Times New Roman" w:cs="Times New Roman"/>
          <w:sz w:val="24"/>
          <w:szCs w:val="24"/>
        </w:rPr>
      </w:pPr>
      <w:r w:rsidRPr="00965BA2">
        <w:rPr>
          <w:rFonts w:ascii="Times New Roman" w:hAnsi="Times New Roman" w:cs="Times New Roman"/>
          <w:sz w:val="24"/>
          <w:szCs w:val="24"/>
        </w:rPr>
        <w:t>wydano 5 zarządzeń pokontrolnych,</w:t>
      </w:r>
    </w:p>
    <w:p w14:paraId="3D597BA4" w14:textId="77777777" w:rsidR="00F06869" w:rsidRPr="00965BA2" w:rsidRDefault="00F06869" w:rsidP="00056EE7">
      <w:pPr>
        <w:numPr>
          <w:ilvl w:val="0"/>
          <w:numId w:val="28"/>
        </w:numPr>
        <w:suppressAutoHyphens/>
        <w:autoSpaceDE w:val="0"/>
        <w:spacing w:after="0" w:line="300" w:lineRule="atLeast"/>
        <w:jc w:val="both"/>
        <w:rPr>
          <w:rFonts w:ascii="Times New Roman" w:hAnsi="Times New Roman" w:cs="Times New Roman"/>
          <w:sz w:val="24"/>
          <w:szCs w:val="24"/>
        </w:rPr>
      </w:pPr>
      <w:r w:rsidRPr="00965BA2">
        <w:rPr>
          <w:rFonts w:ascii="Times New Roman" w:hAnsi="Times New Roman" w:cs="Times New Roman"/>
          <w:sz w:val="24"/>
          <w:szCs w:val="24"/>
        </w:rPr>
        <w:t>udzielono 3 pouczeń,</w:t>
      </w:r>
    </w:p>
    <w:p w14:paraId="4154613C" w14:textId="77777777" w:rsidR="00F06869" w:rsidRDefault="00F06869" w:rsidP="00056EE7">
      <w:pPr>
        <w:numPr>
          <w:ilvl w:val="0"/>
          <w:numId w:val="28"/>
        </w:numPr>
        <w:suppressAutoHyphens/>
        <w:autoSpaceDE w:val="0"/>
        <w:spacing w:after="0" w:line="300" w:lineRule="atLeast"/>
        <w:jc w:val="both"/>
        <w:rPr>
          <w:rFonts w:ascii="Times New Roman" w:hAnsi="Times New Roman" w:cs="Times New Roman"/>
          <w:sz w:val="24"/>
          <w:szCs w:val="24"/>
        </w:rPr>
      </w:pPr>
      <w:r w:rsidRPr="00965BA2">
        <w:rPr>
          <w:rFonts w:ascii="Times New Roman" w:hAnsi="Times New Roman" w:cs="Times New Roman"/>
          <w:sz w:val="24"/>
          <w:szCs w:val="24"/>
        </w:rPr>
        <w:t>nałożono 1 mandat karny oraz 6 kar pieniężnych za naruszenie przepisów ustawy o odpadach,</w:t>
      </w:r>
    </w:p>
    <w:p w14:paraId="56B3EA3D" w14:textId="0ED94C64" w:rsidR="00895F16" w:rsidRPr="00F06869" w:rsidRDefault="00F06869" w:rsidP="00056EE7">
      <w:pPr>
        <w:numPr>
          <w:ilvl w:val="0"/>
          <w:numId w:val="28"/>
        </w:numPr>
        <w:suppressAutoHyphens/>
        <w:autoSpaceDE w:val="0"/>
        <w:spacing w:after="0" w:line="300" w:lineRule="atLeast"/>
        <w:jc w:val="both"/>
        <w:rPr>
          <w:rFonts w:ascii="Times New Roman" w:hAnsi="Times New Roman" w:cs="Times New Roman"/>
          <w:sz w:val="24"/>
          <w:szCs w:val="24"/>
        </w:rPr>
      </w:pPr>
      <w:r w:rsidRPr="00F06869">
        <w:rPr>
          <w:rFonts w:ascii="Times New Roman" w:hAnsi="Times New Roman" w:cs="Times New Roman"/>
          <w:sz w:val="24"/>
          <w:szCs w:val="24"/>
        </w:rPr>
        <w:t>skierowano 2 wystąpienia do innych organów</w:t>
      </w:r>
      <w:r w:rsidR="00895F16" w:rsidRPr="00F06869">
        <w:rPr>
          <w:rFonts w:ascii="Times New Roman" w:eastAsia="Calibri" w:hAnsi="Times New Roman" w:cs="Times New Roman"/>
          <w:sz w:val="24"/>
          <w:szCs w:val="24"/>
          <w:lang w:eastAsia="pl-PL"/>
        </w:rPr>
        <w:t>.</w:t>
      </w:r>
    </w:p>
    <w:p w14:paraId="4F2DFD27" w14:textId="77777777" w:rsidR="00895F16" w:rsidRPr="007F400A" w:rsidRDefault="00895F16" w:rsidP="00056EE7">
      <w:pPr>
        <w:suppressAutoHyphens/>
        <w:autoSpaceDE w:val="0"/>
        <w:spacing w:after="0" w:line="300" w:lineRule="atLeast"/>
        <w:ind w:left="720"/>
        <w:jc w:val="both"/>
        <w:rPr>
          <w:rFonts w:ascii="Times New Roman" w:eastAsia="Calibri" w:hAnsi="Times New Roman" w:cs="Times New Roman"/>
          <w:sz w:val="24"/>
          <w:szCs w:val="24"/>
          <w:lang w:eastAsia="pl-PL"/>
        </w:rPr>
      </w:pPr>
    </w:p>
    <w:p w14:paraId="32559696" w14:textId="24577459" w:rsidR="00895F16" w:rsidRPr="007F400A" w:rsidRDefault="00895F16" w:rsidP="006268AA">
      <w:pPr>
        <w:keepNext/>
        <w:spacing w:after="120" w:line="300" w:lineRule="atLeast"/>
        <w:jc w:val="both"/>
        <w:outlineLvl w:val="0"/>
        <w:rPr>
          <w:rFonts w:ascii="Times New Roman" w:eastAsia="Times New Roman" w:hAnsi="Times New Roman" w:cs="Times New Roman"/>
          <w:b/>
          <w:bCs/>
          <w:sz w:val="24"/>
          <w:szCs w:val="24"/>
          <w:lang w:val="x-none" w:eastAsia="x-none"/>
        </w:rPr>
      </w:pPr>
      <w:bookmarkStart w:id="158" w:name="_Toc135935619"/>
      <w:r w:rsidRPr="007F400A">
        <w:rPr>
          <w:rFonts w:ascii="Times New Roman" w:eastAsia="Times New Roman" w:hAnsi="Times New Roman" w:cs="Times New Roman"/>
          <w:b/>
          <w:bCs/>
          <w:iCs/>
          <w:sz w:val="24"/>
          <w:szCs w:val="24"/>
          <w:lang w:val="x-none" w:eastAsia="x-none"/>
        </w:rPr>
        <w:lastRenderedPageBreak/>
        <w:t>3.3.2</w:t>
      </w:r>
      <w:r w:rsidR="00F06869">
        <w:rPr>
          <w:rFonts w:ascii="Times New Roman" w:eastAsia="Times New Roman" w:hAnsi="Times New Roman" w:cs="Times New Roman"/>
          <w:b/>
          <w:bCs/>
          <w:iCs/>
          <w:sz w:val="24"/>
          <w:szCs w:val="24"/>
          <w:lang w:eastAsia="x-none"/>
        </w:rPr>
        <w:t>9</w:t>
      </w:r>
      <w:r w:rsidRPr="007F400A">
        <w:rPr>
          <w:rFonts w:ascii="Times New Roman" w:eastAsia="Times New Roman" w:hAnsi="Times New Roman" w:cs="Times New Roman"/>
          <w:b/>
          <w:bCs/>
          <w:iCs/>
          <w:sz w:val="24"/>
          <w:szCs w:val="24"/>
          <w:lang w:val="x-none" w:eastAsia="x-none"/>
        </w:rPr>
        <w:t xml:space="preserve"> Postępowanie z bateriami i akumulatorami oraz zużytymi bateriami i zużytymi akumulatorami</w:t>
      </w:r>
      <w:bookmarkEnd w:id="158"/>
    </w:p>
    <w:p w14:paraId="0047F965" w14:textId="4C58F92D" w:rsidR="00F06869" w:rsidRPr="00965BA2" w:rsidRDefault="00F06869" w:rsidP="006268AA">
      <w:pPr>
        <w:spacing w:after="0" w:line="300" w:lineRule="atLeast"/>
        <w:ind w:firstLine="567"/>
        <w:jc w:val="both"/>
        <w:rPr>
          <w:rFonts w:ascii="Times New Roman" w:hAnsi="Times New Roman" w:cs="Times New Roman"/>
          <w:sz w:val="24"/>
          <w:szCs w:val="24"/>
        </w:rPr>
      </w:pPr>
      <w:r w:rsidRPr="00965BA2">
        <w:rPr>
          <w:rFonts w:ascii="Times New Roman" w:hAnsi="Times New Roman" w:cs="Times New Roman"/>
          <w:sz w:val="24"/>
          <w:szCs w:val="24"/>
        </w:rPr>
        <w:t>W 2022 r. wojewódzcy inspektorzy ochrony środowiska przeprowadzili 89 kontroli podmiotów wpisanych do rejestru</w:t>
      </w:r>
      <w:r w:rsidR="00667CE6">
        <w:rPr>
          <w:rFonts w:ascii="Times New Roman" w:hAnsi="Times New Roman" w:cs="Times New Roman"/>
          <w:sz w:val="24"/>
          <w:szCs w:val="24"/>
        </w:rPr>
        <w:t xml:space="preserve"> </w:t>
      </w:r>
      <w:r w:rsidRPr="00965BA2">
        <w:rPr>
          <w:rFonts w:ascii="Times New Roman" w:hAnsi="Times New Roman" w:cs="Times New Roman"/>
          <w:sz w:val="24"/>
          <w:szCs w:val="24"/>
        </w:rPr>
        <w:t xml:space="preserve">BDO prowadzonego przez marszałków województw, </w:t>
      </w:r>
      <w:r w:rsidRPr="00965BA2">
        <w:rPr>
          <w:rFonts w:ascii="Times New Roman" w:hAnsi="Times New Roman" w:cs="Times New Roman"/>
          <w:sz w:val="24"/>
          <w:szCs w:val="24"/>
        </w:rPr>
        <w:br/>
        <w:t xml:space="preserve">w ramach których skontrolowali: 71 podmiotów wprowadzających baterie lub akumulatory </w:t>
      </w:r>
      <w:r w:rsidRPr="00965BA2">
        <w:rPr>
          <w:rFonts w:ascii="Times New Roman" w:hAnsi="Times New Roman" w:cs="Times New Roman"/>
          <w:sz w:val="24"/>
          <w:szCs w:val="24"/>
        </w:rPr>
        <w:br/>
        <w:t xml:space="preserve">i 18 zakładów przetwarzania zużytych baterii lub zużytych akumulatorów. </w:t>
      </w:r>
    </w:p>
    <w:p w14:paraId="6437452C" w14:textId="77777777" w:rsidR="00F06869" w:rsidRPr="00965BA2" w:rsidRDefault="00F06869" w:rsidP="00667CE6">
      <w:pPr>
        <w:spacing w:after="120" w:line="300" w:lineRule="atLeast"/>
        <w:ind w:firstLine="567"/>
        <w:jc w:val="both"/>
        <w:rPr>
          <w:rFonts w:ascii="Times New Roman" w:hAnsi="Times New Roman" w:cs="Times New Roman"/>
          <w:sz w:val="24"/>
          <w:szCs w:val="24"/>
          <w:highlight w:val="yellow"/>
        </w:rPr>
      </w:pPr>
      <w:r w:rsidRPr="00965BA2">
        <w:rPr>
          <w:rFonts w:ascii="Times New Roman" w:hAnsi="Times New Roman" w:cs="Times New Roman"/>
          <w:sz w:val="24"/>
          <w:szCs w:val="24"/>
        </w:rPr>
        <w:t xml:space="preserve">Naruszenia wykryto podczas 21% przeprowadzonych kontroli (19), z których tylko </w:t>
      </w:r>
      <w:r w:rsidRPr="00965BA2">
        <w:rPr>
          <w:rFonts w:ascii="Times New Roman" w:hAnsi="Times New Roman" w:cs="Times New Roman"/>
          <w:sz w:val="24"/>
          <w:szCs w:val="24"/>
        </w:rPr>
        <w:br/>
        <w:t xml:space="preserve">2 przypadki to naruszenia, w wyniku których mogło nastąpić zagrożenie lub zanieczyszczenie środowiska dotyczące magazynowania baterii bez zabezpieczenia przed oddziaływaniem czynników atmosferycznych. Pozostałe nieprawidłowości dotyczyły naruszeń formalnych bez istotnego wpływu na środowisko, m.in.: nieskładania lub nieterminowego składania do marszałków województw sprawozdań, nierzetelnego prowadzenia ewidencji, </w:t>
      </w:r>
      <w:proofErr w:type="spellStart"/>
      <w:r w:rsidRPr="00965BA2">
        <w:rPr>
          <w:rFonts w:ascii="Times New Roman" w:hAnsi="Times New Roman" w:cs="Times New Roman"/>
          <w:sz w:val="24"/>
          <w:szCs w:val="24"/>
        </w:rPr>
        <w:t>niezawarcia</w:t>
      </w:r>
      <w:proofErr w:type="spellEnd"/>
      <w:r w:rsidRPr="00965BA2">
        <w:rPr>
          <w:rFonts w:ascii="Times New Roman" w:hAnsi="Times New Roman" w:cs="Times New Roman"/>
          <w:sz w:val="24"/>
          <w:szCs w:val="24"/>
        </w:rPr>
        <w:t xml:space="preserve"> pisemnej umowy z prowadzącym zakład przetwarzania zużytych baterii lub zużytych akumulatorów, czy nieprowadzenia publicznych kampanii edukacyjnych. </w:t>
      </w:r>
    </w:p>
    <w:p w14:paraId="37658CA4" w14:textId="77777777" w:rsidR="00F06869" w:rsidRPr="00965BA2" w:rsidRDefault="00F06869" w:rsidP="00667CE6">
      <w:pPr>
        <w:spacing w:after="60" w:line="300" w:lineRule="atLeast"/>
        <w:jc w:val="both"/>
        <w:rPr>
          <w:rFonts w:ascii="Times New Roman" w:hAnsi="Times New Roman" w:cs="Times New Roman"/>
          <w:sz w:val="24"/>
          <w:szCs w:val="24"/>
        </w:rPr>
      </w:pPr>
      <w:r w:rsidRPr="00965BA2">
        <w:rPr>
          <w:rFonts w:ascii="Times New Roman" w:hAnsi="Times New Roman" w:cs="Times New Roman"/>
          <w:sz w:val="24"/>
          <w:szCs w:val="24"/>
        </w:rPr>
        <w:t>W wyniku stwierdzonych naruszeń zastosowano następujące działania:</w:t>
      </w:r>
    </w:p>
    <w:p w14:paraId="4DD147C5" w14:textId="77777777" w:rsidR="00F06869" w:rsidRPr="00965BA2" w:rsidRDefault="00F06869" w:rsidP="00D34F97">
      <w:pPr>
        <w:pStyle w:val="Akapitzlist"/>
        <w:numPr>
          <w:ilvl w:val="0"/>
          <w:numId w:val="136"/>
        </w:numPr>
        <w:spacing w:line="300" w:lineRule="atLeast"/>
        <w:jc w:val="both"/>
        <w:rPr>
          <w:color w:val="000000"/>
          <w:sz w:val="24"/>
          <w:szCs w:val="24"/>
        </w:rPr>
      </w:pPr>
      <w:r w:rsidRPr="00965BA2">
        <w:rPr>
          <w:color w:val="000000"/>
          <w:sz w:val="24"/>
          <w:szCs w:val="24"/>
        </w:rPr>
        <w:t>wydano 21 zarządzeń pokontrolnych</w:t>
      </w:r>
      <w:r>
        <w:rPr>
          <w:color w:val="000000"/>
          <w:sz w:val="24"/>
          <w:szCs w:val="24"/>
        </w:rPr>
        <w:t>,</w:t>
      </w:r>
    </w:p>
    <w:p w14:paraId="70BB2263" w14:textId="77777777" w:rsidR="00F06869" w:rsidRPr="00965BA2" w:rsidRDefault="00F06869" w:rsidP="00D34F97">
      <w:pPr>
        <w:pStyle w:val="Akapitzlist"/>
        <w:numPr>
          <w:ilvl w:val="0"/>
          <w:numId w:val="136"/>
        </w:numPr>
        <w:spacing w:line="300" w:lineRule="atLeast"/>
        <w:jc w:val="both"/>
        <w:rPr>
          <w:color w:val="000000"/>
          <w:sz w:val="24"/>
          <w:szCs w:val="24"/>
        </w:rPr>
      </w:pPr>
      <w:r w:rsidRPr="00965BA2">
        <w:rPr>
          <w:color w:val="000000"/>
          <w:sz w:val="24"/>
          <w:szCs w:val="24"/>
        </w:rPr>
        <w:t>udzielono 11 pouczeń</w:t>
      </w:r>
      <w:r>
        <w:rPr>
          <w:color w:val="000000"/>
          <w:sz w:val="24"/>
          <w:szCs w:val="24"/>
        </w:rPr>
        <w:t>,</w:t>
      </w:r>
    </w:p>
    <w:p w14:paraId="5623174A" w14:textId="77777777" w:rsidR="00F06869" w:rsidRPr="00965BA2" w:rsidRDefault="00F06869" w:rsidP="00D34F97">
      <w:pPr>
        <w:pStyle w:val="Akapitzlist"/>
        <w:numPr>
          <w:ilvl w:val="0"/>
          <w:numId w:val="136"/>
        </w:numPr>
        <w:spacing w:line="300" w:lineRule="atLeast"/>
        <w:jc w:val="both"/>
        <w:rPr>
          <w:color w:val="000000"/>
          <w:sz w:val="24"/>
          <w:szCs w:val="24"/>
        </w:rPr>
      </w:pPr>
      <w:r w:rsidRPr="00965BA2">
        <w:rPr>
          <w:color w:val="000000"/>
          <w:sz w:val="24"/>
          <w:szCs w:val="24"/>
        </w:rPr>
        <w:t>skierowano 7 wystąpień do innych organów</w:t>
      </w:r>
      <w:r>
        <w:rPr>
          <w:color w:val="000000"/>
          <w:sz w:val="24"/>
          <w:szCs w:val="24"/>
        </w:rPr>
        <w:t>,</w:t>
      </w:r>
    </w:p>
    <w:p w14:paraId="54F4119D" w14:textId="1B415E4E" w:rsidR="00895F16" w:rsidRPr="007F400A" w:rsidRDefault="00F06869" w:rsidP="00D34F97">
      <w:pPr>
        <w:numPr>
          <w:ilvl w:val="0"/>
          <w:numId w:val="136"/>
        </w:numPr>
        <w:spacing w:after="0" w:line="300" w:lineRule="atLeast"/>
        <w:contextualSpacing/>
        <w:jc w:val="both"/>
        <w:rPr>
          <w:rFonts w:ascii="Times New Roman" w:eastAsia="Calibri" w:hAnsi="Times New Roman" w:cs="Times New Roman"/>
          <w:color w:val="000000"/>
          <w:sz w:val="24"/>
          <w:szCs w:val="24"/>
          <w:lang w:val="x-none" w:eastAsia="pl-PL"/>
        </w:rPr>
      </w:pPr>
      <w:r w:rsidRPr="00965BA2">
        <w:rPr>
          <w:rFonts w:ascii="Times New Roman" w:hAnsi="Times New Roman" w:cs="Times New Roman"/>
          <w:color w:val="000000"/>
          <w:sz w:val="24"/>
          <w:szCs w:val="24"/>
        </w:rPr>
        <w:t>nałożono 8 mandatów karnych</w:t>
      </w:r>
      <w:r w:rsidR="00895F16" w:rsidRPr="007F400A">
        <w:rPr>
          <w:rFonts w:ascii="Times New Roman" w:eastAsia="Calibri" w:hAnsi="Times New Roman" w:cs="Times New Roman"/>
          <w:color w:val="000000"/>
          <w:sz w:val="24"/>
          <w:szCs w:val="24"/>
          <w:lang w:eastAsia="pl-PL"/>
        </w:rPr>
        <w:t xml:space="preserve">. </w:t>
      </w:r>
    </w:p>
    <w:p w14:paraId="32548CFA" w14:textId="77777777" w:rsidR="00895F16" w:rsidRPr="007F400A" w:rsidRDefault="00895F16" w:rsidP="00056EE7">
      <w:pPr>
        <w:spacing w:after="120" w:line="300" w:lineRule="atLeast"/>
        <w:ind w:left="714"/>
        <w:contextualSpacing/>
        <w:jc w:val="both"/>
        <w:rPr>
          <w:rFonts w:ascii="Times New Roman" w:eastAsia="Calibri" w:hAnsi="Times New Roman" w:cs="Times New Roman"/>
          <w:color w:val="000000"/>
          <w:sz w:val="24"/>
          <w:szCs w:val="24"/>
          <w:lang w:val="x-none" w:eastAsia="pl-PL"/>
        </w:rPr>
      </w:pPr>
    </w:p>
    <w:p w14:paraId="70B11D99" w14:textId="74D21022" w:rsidR="00895F16" w:rsidRPr="007F400A" w:rsidRDefault="00895F16" w:rsidP="00056EE7">
      <w:pPr>
        <w:keepNext/>
        <w:spacing w:after="120" w:line="300" w:lineRule="atLeast"/>
        <w:outlineLvl w:val="0"/>
        <w:rPr>
          <w:rFonts w:ascii="Times New Roman" w:eastAsia="Times New Roman" w:hAnsi="Times New Roman" w:cs="Times New Roman"/>
          <w:b/>
          <w:bCs/>
          <w:color w:val="000000"/>
          <w:sz w:val="24"/>
          <w:szCs w:val="24"/>
          <w:lang w:eastAsia="x-none"/>
        </w:rPr>
      </w:pPr>
      <w:bookmarkStart w:id="159" w:name="_Toc135935620"/>
      <w:r w:rsidRPr="007F400A">
        <w:rPr>
          <w:rFonts w:ascii="Times New Roman" w:eastAsia="Times New Roman" w:hAnsi="Times New Roman" w:cs="Times New Roman"/>
          <w:b/>
          <w:bCs/>
          <w:color w:val="000000"/>
          <w:sz w:val="24"/>
          <w:szCs w:val="24"/>
          <w:lang w:val="x-none" w:eastAsia="x-none"/>
        </w:rPr>
        <w:t>3.3.</w:t>
      </w:r>
      <w:r w:rsidR="00F06869">
        <w:rPr>
          <w:rFonts w:ascii="Times New Roman" w:eastAsia="Times New Roman" w:hAnsi="Times New Roman" w:cs="Times New Roman"/>
          <w:b/>
          <w:bCs/>
          <w:color w:val="000000"/>
          <w:sz w:val="24"/>
          <w:szCs w:val="24"/>
          <w:lang w:eastAsia="x-none"/>
        </w:rPr>
        <w:t>30</w:t>
      </w:r>
      <w:r w:rsidRPr="007F400A">
        <w:rPr>
          <w:rFonts w:ascii="Times New Roman" w:eastAsia="Times New Roman" w:hAnsi="Times New Roman" w:cs="Times New Roman"/>
          <w:b/>
          <w:bCs/>
          <w:color w:val="000000"/>
          <w:sz w:val="24"/>
          <w:szCs w:val="24"/>
          <w:lang w:val="x-none" w:eastAsia="x-none"/>
        </w:rPr>
        <w:t xml:space="preserve"> Składowiska odpadów innych niż niebezpieczne</w:t>
      </w:r>
      <w:r w:rsidRPr="007F400A">
        <w:rPr>
          <w:rFonts w:ascii="Times New Roman" w:eastAsia="Times New Roman" w:hAnsi="Times New Roman" w:cs="Times New Roman"/>
          <w:b/>
          <w:bCs/>
          <w:color w:val="000000"/>
          <w:sz w:val="24"/>
          <w:szCs w:val="24"/>
          <w:lang w:eastAsia="x-none"/>
        </w:rPr>
        <w:t xml:space="preserve"> i obojętnych</w:t>
      </w:r>
      <w:bookmarkEnd w:id="159"/>
    </w:p>
    <w:p w14:paraId="5EDB2324" w14:textId="77777777" w:rsidR="00F06869" w:rsidRPr="007A0185" w:rsidRDefault="00F06869" w:rsidP="00667CE6">
      <w:pPr>
        <w:spacing w:after="0" w:line="300" w:lineRule="atLeast"/>
        <w:ind w:firstLine="567"/>
        <w:jc w:val="both"/>
        <w:rPr>
          <w:rFonts w:ascii="Times New Roman" w:eastAsia="Calibri" w:hAnsi="Times New Roman" w:cs="Times New Roman"/>
          <w:sz w:val="24"/>
          <w:szCs w:val="24"/>
        </w:rPr>
      </w:pPr>
      <w:r w:rsidRPr="007A0185">
        <w:rPr>
          <w:rFonts w:ascii="Times New Roman" w:eastAsia="Calibri" w:hAnsi="Times New Roman" w:cs="Times New Roman"/>
          <w:sz w:val="24"/>
          <w:szCs w:val="24"/>
        </w:rPr>
        <w:t>W 2022 r. eksploatowano 375 składowisk odpadów innych niż niebezpieczne i obojętnych, zlokalizowanych na terenie następujących województw: dolnośląskiego (87), kujawsko-pomorskiego (29), lubelskiego (26), lubuskiego (12), łódzkiego (25), małopolskiego (28), mazowieckiego (22), opolskiego (21), podkarpackiego (22), podlaskiego (15), pomorskiego (14), śląskiego (17), świętokrzyskiego (15), warmińsko-mazurskiego (13), wielkopolskiego (18) oraz zachodniopomorskiego (11).</w:t>
      </w:r>
    </w:p>
    <w:p w14:paraId="17E00FC5" w14:textId="77777777" w:rsidR="00F06869" w:rsidRPr="00965BA2" w:rsidRDefault="00F06869" w:rsidP="00667CE6">
      <w:pPr>
        <w:spacing w:after="6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 xml:space="preserve">W 2022 r. wojewódzcy inspektorzy ochrony środowiska przeprowadzili 238 kontroli </w:t>
      </w:r>
      <w:r w:rsidRPr="00965BA2">
        <w:rPr>
          <w:rFonts w:ascii="Times New Roman" w:eastAsia="Calibri" w:hAnsi="Times New Roman" w:cs="Times New Roman"/>
          <w:sz w:val="24"/>
          <w:szCs w:val="24"/>
        </w:rPr>
        <w:br/>
        <w:t xml:space="preserve">ww. składowisk (w tym 130 kontroli planowych oraz 108 kontroli pozaplanowych). </w:t>
      </w:r>
      <w:r w:rsidRPr="00965BA2">
        <w:rPr>
          <w:rFonts w:ascii="Times New Roman" w:eastAsia="Calibri" w:hAnsi="Times New Roman" w:cs="Times New Roman"/>
          <w:sz w:val="24"/>
          <w:szCs w:val="24"/>
        </w:rPr>
        <w:br/>
        <w:t>W przypadku 117 (49%) kontroli wykazano naruszenia, w tym:</w:t>
      </w:r>
    </w:p>
    <w:p w14:paraId="09C9BD6E" w14:textId="77777777" w:rsidR="00F06869" w:rsidRPr="00965BA2" w:rsidRDefault="00F06869" w:rsidP="00D34F97">
      <w:pPr>
        <w:numPr>
          <w:ilvl w:val="0"/>
          <w:numId w:val="121"/>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eastAsia="pl-PL"/>
        </w:rPr>
        <w:t>91 (7</w:t>
      </w:r>
      <w:r>
        <w:rPr>
          <w:rFonts w:ascii="Times New Roman" w:eastAsia="Calibri" w:hAnsi="Times New Roman" w:cs="Times New Roman"/>
          <w:sz w:val="24"/>
          <w:szCs w:val="24"/>
          <w:lang w:eastAsia="pl-PL"/>
        </w:rPr>
        <w:t>8</w:t>
      </w:r>
      <w:r w:rsidRPr="00965BA2">
        <w:rPr>
          <w:rFonts w:ascii="Times New Roman" w:eastAsia="Calibri" w:hAnsi="Times New Roman" w:cs="Times New Roman"/>
          <w:sz w:val="24"/>
          <w:szCs w:val="24"/>
          <w:lang w:eastAsia="pl-PL"/>
        </w:rPr>
        <w:t xml:space="preserve">%) kontroli wykazało naruszenia </w:t>
      </w:r>
      <w:r w:rsidRPr="00965BA2">
        <w:rPr>
          <w:rFonts w:ascii="Times New Roman" w:eastAsia="Calibri" w:hAnsi="Times New Roman" w:cs="Times New Roman"/>
          <w:sz w:val="24"/>
          <w:szCs w:val="24"/>
          <w:lang w:val="x-none" w:eastAsia="pl-PL"/>
        </w:rPr>
        <w:t>bez istotnego wpływu na środowisko</w:t>
      </w:r>
      <w:r w:rsidRPr="00965BA2">
        <w:rPr>
          <w:rFonts w:ascii="Times New Roman" w:eastAsia="Calibri" w:hAnsi="Times New Roman" w:cs="Times New Roman"/>
          <w:sz w:val="24"/>
          <w:szCs w:val="24"/>
          <w:lang w:eastAsia="pl-PL"/>
        </w:rPr>
        <w:t>,</w:t>
      </w:r>
    </w:p>
    <w:p w14:paraId="1B74D5AB" w14:textId="77777777" w:rsidR="00F06869" w:rsidRPr="00965BA2" w:rsidRDefault="00F06869" w:rsidP="00D34F97">
      <w:pPr>
        <w:numPr>
          <w:ilvl w:val="0"/>
          <w:numId w:val="121"/>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eastAsia="pl-PL"/>
        </w:rPr>
        <w:t>26 (2</w:t>
      </w:r>
      <w:r>
        <w:rPr>
          <w:rFonts w:ascii="Times New Roman" w:eastAsia="Calibri" w:hAnsi="Times New Roman" w:cs="Times New Roman"/>
          <w:sz w:val="24"/>
          <w:szCs w:val="24"/>
          <w:lang w:eastAsia="pl-PL"/>
        </w:rPr>
        <w:t>2</w:t>
      </w:r>
      <w:r w:rsidRPr="00965BA2">
        <w:rPr>
          <w:rFonts w:ascii="Times New Roman" w:eastAsia="Calibri" w:hAnsi="Times New Roman" w:cs="Times New Roman"/>
          <w:sz w:val="24"/>
          <w:szCs w:val="24"/>
          <w:lang w:eastAsia="pl-PL"/>
        </w:rPr>
        <w:t>%) kontroli wykazało naruszenia mogące spowodować zagrożenie lub zanieczyszczenie środowiska.</w:t>
      </w:r>
    </w:p>
    <w:p w14:paraId="6C35B724" w14:textId="30B1CAA4" w:rsidR="00F06869" w:rsidRPr="00965BA2" w:rsidRDefault="00F06869" w:rsidP="005D7299">
      <w:pPr>
        <w:spacing w:before="240" w:after="6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W trakcie 8 kontroli (</w:t>
      </w:r>
      <w:r>
        <w:rPr>
          <w:rFonts w:ascii="Times New Roman" w:eastAsia="Calibri" w:hAnsi="Times New Roman" w:cs="Times New Roman"/>
          <w:sz w:val="24"/>
          <w:szCs w:val="24"/>
        </w:rPr>
        <w:t>3</w:t>
      </w:r>
      <w:r w:rsidRPr="00965BA2">
        <w:rPr>
          <w:rFonts w:ascii="Times New Roman" w:eastAsia="Calibri" w:hAnsi="Times New Roman" w:cs="Times New Roman"/>
          <w:sz w:val="24"/>
          <w:szCs w:val="24"/>
        </w:rPr>
        <w:t xml:space="preserve">% przeprowadzonych kontroli) stwierdzono naruszenia wymagań zawartych w rozporządzeniu Ministra Gospodarki z dnia 16 lipca 2015 r. </w:t>
      </w:r>
      <w:r w:rsidRPr="008B0F1C">
        <w:rPr>
          <w:rFonts w:ascii="Times New Roman" w:eastAsia="Calibri" w:hAnsi="Times New Roman" w:cs="Times New Roman"/>
          <w:iCs/>
          <w:sz w:val="24"/>
          <w:szCs w:val="24"/>
        </w:rPr>
        <w:t>w sprawie dopuszczenia odpadów do składowania na składowiskach</w:t>
      </w:r>
      <w:r w:rsidRPr="00965BA2">
        <w:rPr>
          <w:rFonts w:ascii="Times New Roman" w:eastAsia="Calibri" w:hAnsi="Times New Roman" w:cs="Times New Roman"/>
          <w:sz w:val="24"/>
          <w:szCs w:val="24"/>
        </w:rPr>
        <w:t xml:space="preserve">, w zakresie przekroczenia </w:t>
      </w:r>
      <w:r w:rsidR="00667CE6">
        <w:rPr>
          <w:rFonts w:ascii="Times New Roman" w:eastAsia="Calibri" w:hAnsi="Times New Roman" w:cs="Times New Roman"/>
          <w:sz w:val="24"/>
          <w:szCs w:val="24"/>
        </w:rPr>
        <w:br/>
      </w:r>
      <w:r w:rsidRPr="00965BA2">
        <w:rPr>
          <w:rFonts w:ascii="Times New Roman" w:eastAsia="Calibri" w:hAnsi="Times New Roman" w:cs="Times New Roman"/>
          <w:sz w:val="24"/>
          <w:szCs w:val="24"/>
        </w:rPr>
        <w:t>w</w:t>
      </w:r>
      <w:r>
        <w:rPr>
          <w:rFonts w:ascii="Times New Roman" w:eastAsia="Calibri" w:hAnsi="Times New Roman" w:cs="Times New Roman"/>
          <w:sz w:val="24"/>
          <w:szCs w:val="24"/>
        </w:rPr>
        <w:t xml:space="preserve"> </w:t>
      </w:r>
      <w:r w:rsidRPr="00965BA2">
        <w:rPr>
          <w:rFonts w:ascii="Times New Roman" w:eastAsia="Calibri" w:hAnsi="Times New Roman" w:cs="Times New Roman"/>
          <w:sz w:val="24"/>
          <w:szCs w:val="24"/>
        </w:rPr>
        <w:t>składowanych odpadach dopuszczalnych wartości granicznych dla poniższych wskaźników:</w:t>
      </w:r>
    </w:p>
    <w:p w14:paraId="63BFDEDB" w14:textId="77777777" w:rsidR="00F06869" w:rsidRPr="00965BA2" w:rsidRDefault="00F06869" w:rsidP="00D34F97">
      <w:pPr>
        <w:numPr>
          <w:ilvl w:val="0"/>
          <w:numId w:val="122"/>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ciepło spalania (wartość graniczna 6MJ/kg </w:t>
      </w:r>
      <w:proofErr w:type="spellStart"/>
      <w:r w:rsidRPr="00965BA2">
        <w:rPr>
          <w:rFonts w:ascii="Times New Roman" w:eastAsia="Calibri" w:hAnsi="Times New Roman" w:cs="Times New Roman"/>
          <w:sz w:val="24"/>
          <w:szCs w:val="24"/>
          <w:lang w:val="x-none" w:eastAsia="pl-PL"/>
        </w:rPr>
        <w:t>s.m</w:t>
      </w:r>
      <w:proofErr w:type="spellEnd"/>
      <w:r w:rsidRPr="00965BA2">
        <w:rPr>
          <w:rFonts w:ascii="Times New Roman" w:eastAsia="Calibri" w:hAnsi="Times New Roman" w:cs="Times New Roman"/>
          <w:sz w:val="24"/>
          <w:szCs w:val="24"/>
          <w:lang w:val="x-none" w:eastAsia="pl-PL"/>
        </w:rPr>
        <w:t xml:space="preserve">.) – w przypadku </w:t>
      </w:r>
      <w:r w:rsidRPr="00965BA2">
        <w:rPr>
          <w:rFonts w:ascii="Times New Roman" w:eastAsia="Calibri" w:hAnsi="Times New Roman" w:cs="Times New Roman"/>
          <w:sz w:val="24"/>
          <w:szCs w:val="24"/>
          <w:lang w:eastAsia="pl-PL"/>
        </w:rPr>
        <w:t>4</w:t>
      </w:r>
      <w:r w:rsidRPr="00965BA2">
        <w:rPr>
          <w:rFonts w:ascii="Times New Roman" w:eastAsia="Calibri" w:hAnsi="Times New Roman" w:cs="Times New Roman"/>
          <w:sz w:val="24"/>
          <w:szCs w:val="24"/>
          <w:lang w:val="x-none" w:eastAsia="pl-PL"/>
        </w:rPr>
        <w:t xml:space="preserve"> kontroli,</w:t>
      </w:r>
    </w:p>
    <w:p w14:paraId="52D55E49" w14:textId="77777777" w:rsidR="00F06869" w:rsidRPr="00965BA2" w:rsidRDefault="00F06869" w:rsidP="00D34F97">
      <w:pPr>
        <w:numPr>
          <w:ilvl w:val="0"/>
          <w:numId w:val="122"/>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ogólny węgiel organiczny (wartość graniczna 5% </w:t>
      </w:r>
      <w:proofErr w:type="spellStart"/>
      <w:r w:rsidRPr="00965BA2">
        <w:rPr>
          <w:rFonts w:ascii="Times New Roman" w:eastAsia="Calibri" w:hAnsi="Times New Roman" w:cs="Times New Roman"/>
          <w:sz w:val="24"/>
          <w:szCs w:val="24"/>
          <w:lang w:val="x-none" w:eastAsia="pl-PL"/>
        </w:rPr>
        <w:t>s.m</w:t>
      </w:r>
      <w:proofErr w:type="spellEnd"/>
      <w:r w:rsidRPr="00965BA2">
        <w:rPr>
          <w:rFonts w:ascii="Times New Roman" w:eastAsia="Calibri" w:hAnsi="Times New Roman" w:cs="Times New Roman"/>
          <w:sz w:val="24"/>
          <w:szCs w:val="24"/>
          <w:lang w:val="x-none" w:eastAsia="pl-PL"/>
        </w:rPr>
        <w:t xml:space="preserve">.) – w przypadku </w:t>
      </w:r>
      <w:r w:rsidRPr="00965BA2">
        <w:rPr>
          <w:rFonts w:ascii="Times New Roman" w:eastAsia="Calibri" w:hAnsi="Times New Roman" w:cs="Times New Roman"/>
          <w:sz w:val="24"/>
          <w:szCs w:val="24"/>
          <w:lang w:eastAsia="pl-PL"/>
        </w:rPr>
        <w:t>2</w:t>
      </w:r>
      <w:r w:rsidRPr="00965BA2">
        <w:rPr>
          <w:rFonts w:ascii="Times New Roman" w:eastAsia="Calibri" w:hAnsi="Times New Roman" w:cs="Times New Roman"/>
          <w:sz w:val="24"/>
          <w:szCs w:val="24"/>
          <w:lang w:val="x-none" w:eastAsia="pl-PL"/>
        </w:rPr>
        <w:t xml:space="preserve"> kontroli,</w:t>
      </w:r>
    </w:p>
    <w:p w14:paraId="5E8EF17B" w14:textId="77777777" w:rsidR="00F06869" w:rsidRPr="00965BA2" w:rsidRDefault="00F06869" w:rsidP="00D34F97">
      <w:pPr>
        <w:numPr>
          <w:ilvl w:val="0"/>
          <w:numId w:val="122"/>
        </w:numPr>
        <w:spacing w:after="120" w:line="300" w:lineRule="atLeast"/>
        <w:ind w:left="924" w:hanging="357"/>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straty przy prażeniu (wartość graniczna 8% </w:t>
      </w:r>
      <w:proofErr w:type="spellStart"/>
      <w:r w:rsidRPr="00965BA2">
        <w:rPr>
          <w:rFonts w:ascii="Times New Roman" w:eastAsia="Calibri" w:hAnsi="Times New Roman" w:cs="Times New Roman"/>
          <w:sz w:val="24"/>
          <w:szCs w:val="24"/>
          <w:lang w:val="x-none" w:eastAsia="pl-PL"/>
        </w:rPr>
        <w:t>s.m</w:t>
      </w:r>
      <w:proofErr w:type="spellEnd"/>
      <w:r w:rsidRPr="00965BA2">
        <w:rPr>
          <w:rFonts w:ascii="Times New Roman" w:eastAsia="Calibri" w:hAnsi="Times New Roman" w:cs="Times New Roman"/>
          <w:sz w:val="24"/>
          <w:szCs w:val="24"/>
          <w:lang w:val="x-none" w:eastAsia="pl-PL"/>
        </w:rPr>
        <w:t xml:space="preserve">.) – w przypadku </w:t>
      </w:r>
      <w:r w:rsidRPr="00965BA2">
        <w:rPr>
          <w:rFonts w:ascii="Times New Roman" w:eastAsia="Calibri" w:hAnsi="Times New Roman" w:cs="Times New Roman"/>
          <w:sz w:val="24"/>
          <w:szCs w:val="24"/>
          <w:lang w:eastAsia="pl-PL"/>
        </w:rPr>
        <w:t>2</w:t>
      </w:r>
      <w:r w:rsidRPr="00965BA2">
        <w:rPr>
          <w:rFonts w:ascii="Times New Roman" w:eastAsia="Calibri" w:hAnsi="Times New Roman" w:cs="Times New Roman"/>
          <w:sz w:val="24"/>
          <w:szCs w:val="24"/>
          <w:lang w:val="x-none" w:eastAsia="pl-PL"/>
        </w:rPr>
        <w:t xml:space="preserve"> kontroli.</w:t>
      </w:r>
    </w:p>
    <w:p w14:paraId="2CD2E928" w14:textId="77777777" w:rsidR="00F06869" w:rsidRPr="00965BA2" w:rsidRDefault="00F06869" w:rsidP="00667CE6">
      <w:pPr>
        <w:tabs>
          <w:tab w:val="left" w:pos="709"/>
        </w:tabs>
        <w:spacing w:after="6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Stwierdzono też inne nieprawidłowości dotyczące:</w:t>
      </w:r>
    </w:p>
    <w:p w14:paraId="32476578" w14:textId="77777777" w:rsidR="00F06869" w:rsidRPr="00965BA2" w:rsidRDefault="00F06869" w:rsidP="00D34F97">
      <w:pPr>
        <w:numPr>
          <w:ilvl w:val="0"/>
          <w:numId w:val="123"/>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lastRenderedPageBreak/>
        <w:t>naruszenia warunków posiadanych decyzji (np. przekroczenie masy odpadów poddanych procesowi unieszkodliwiania lub przetwarzania, przetwarzanie odpadów nieujętych w decyzji),</w:t>
      </w:r>
    </w:p>
    <w:p w14:paraId="780C806F" w14:textId="77777777" w:rsidR="00F06869" w:rsidRPr="00965BA2" w:rsidRDefault="00F06869" w:rsidP="00D34F97">
      <w:pPr>
        <w:numPr>
          <w:ilvl w:val="0"/>
          <w:numId w:val="123"/>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eksploatowania składowiska niezgodnie z instrukcją prowadzenia składowiska lub bez decyzji zatwierdzającej instrukcję prowadzenia składowiska,</w:t>
      </w:r>
    </w:p>
    <w:p w14:paraId="12A82C58" w14:textId="77777777" w:rsidR="00F06869" w:rsidRPr="00965BA2" w:rsidRDefault="00F06869" w:rsidP="00D34F97">
      <w:pPr>
        <w:numPr>
          <w:ilvl w:val="0"/>
          <w:numId w:val="123"/>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braku wymaganej decyzji lub zgłoszenia określającej warunki korzystania ze środowiska (np. pozwolenia wodnoprawnego),</w:t>
      </w:r>
    </w:p>
    <w:p w14:paraId="58B9F5EC" w14:textId="77777777" w:rsidR="00F06869" w:rsidRPr="00965BA2" w:rsidRDefault="00F06869" w:rsidP="00D34F97">
      <w:pPr>
        <w:numPr>
          <w:ilvl w:val="0"/>
          <w:numId w:val="123"/>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nieprowadzenia wymaganych badań,</w:t>
      </w:r>
    </w:p>
    <w:p w14:paraId="711C4349" w14:textId="77777777" w:rsidR="00F06869" w:rsidRPr="00965BA2" w:rsidRDefault="00F06869" w:rsidP="00D34F97">
      <w:pPr>
        <w:numPr>
          <w:ilvl w:val="0"/>
          <w:numId w:val="123"/>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nieprzedkładania lub nieterminowego przedkładania wyników badań,</w:t>
      </w:r>
    </w:p>
    <w:p w14:paraId="644E3E94" w14:textId="77777777" w:rsidR="00F06869" w:rsidRPr="00965BA2" w:rsidRDefault="00F06869" w:rsidP="00D34F97">
      <w:pPr>
        <w:numPr>
          <w:ilvl w:val="0"/>
          <w:numId w:val="123"/>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braku instalacji do odgazowania składowiska,</w:t>
      </w:r>
    </w:p>
    <w:p w14:paraId="28C3A5BC" w14:textId="77777777" w:rsidR="00F06869" w:rsidRPr="00965BA2" w:rsidRDefault="00F06869" w:rsidP="00D34F97">
      <w:pPr>
        <w:numPr>
          <w:ilvl w:val="0"/>
          <w:numId w:val="123"/>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niewłaściwego nadzoru nad rodzajem przyjmowanych odpadów,</w:t>
      </w:r>
    </w:p>
    <w:p w14:paraId="74B9DB56" w14:textId="77777777" w:rsidR="00F06869" w:rsidRPr="00965BA2" w:rsidRDefault="00F06869" w:rsidP="00D34F97">
      <w:pPr>
        <w:numPr>
          <w:ilvl w:val="0"/>
          <w:numId w:val="123"/>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zanieczyszczenia terenu przylegającego do składowiska rozwiewanymi odpadami,</w:t>
      </w:r>
    </w:p>
    <w:p w14:paraId="19205B5F" w14:textId="77777777" w:rsidR="00F06869" w:rsidRPr="00965BA2" w:rsidRDefault="00F06869" w:rsidP="00D34F97">
      <w:pPr>
        <w:numPr>
          <w:ilvl w:val="0"/>
          <w:numId w:val="123"/>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bCs/>
          <w:sz w:val="24"/>
          <w:szCs w:val="24"/>
          <w:lang w:val="x-none" w:eastAsia="pl-PL"/>
        </w:rPr>
        <w:t xml:space="preserve">braku wizyjnego systemu kontroli </w:t>
      </w:r>
      <w:r w:rsidRPr="00965BA2">
        <w:rPr>
          <w:rFonts w:ascii="Times New Roman" w:eastAsia="Calibri" w:hAnsi="Times New Roman" w:cs="Times New Roman"/>
          <w:sz w:val="24"/>
          <w:szCs w:val="24"/>
          <w:lang w:val="x-none" w:eastAsia="pl-PL"/>
        </w:rPr>
        <w:t>terenu</w:t>
      </w:r>
      <w:r w:rsidRPr="00965BA2">
        <w:rPr>
          <w:rFonts w:ascii="Times New Roman" w:eastAsia="Calibri" w:hAnsi="Times New Roman" w:cs="Times New Roman"/>
          <w:bCs/>
          <w:sz w:val="24"/>
          <w:szCs w:val="24"/>
          <w:lang w:val="x-none" w:eastAsia="pl-PL"/>
        </w:rPr>
        <w:t xml:space="preserve"> </w:t>
      </w:r>
      <w:r w:rsidRPr="00965BA2">
        <w:rPr>
          <w:rFonts w:ascii="Times New Roman" w:eastAsia="Calibri" w:hAnsi="Times New Roman" w:cs="Times New Roman"/>
          <w:sz w:val="24"/>
          <w:szCs w:val="24"/>
          <w:lang w:val="x-none" w:eastAsia="pl-PL"/>
        </w:rPr>
        <w:t>składowiska lub prowadzeni</w:t>
      </w:r>
      <w:r w:rsidRPr="00965BA2">
        <w:rPr>
          <w:rFonts w:ascii="Times New Roman" w:eastAsia="Calibri" w:hAnsi="Times New Roman" w:cs="Times New Roman"/>
          <w:sz w:val="24"/>
          <w:szCs w:val="24"/>
          <w:lang w:eastAsia="pl-PL"/>
        </w:rPr>
        <w:t>a</w:t>
      </w:r>
      <w:r w:rsidRPr="00965BA2">
        <w:rPr>
          <w:rFonts w:ascii="Times New Roman" w:eastAsia="Calibri" w:hAnsi="Times New Roman" w:cs="Times New Roman"/>
          <w:sz w:val="24"/>
          <w:szCs w:val="24"/>
          <w:lang w:val="x-none" w:eastAsia="pl-PL"/>
        </w:rPr>
        <w:t xml:space="preserve"> go niezgodnie z obowiązującymi przepisami,</w:t>
      </w:r>
    </w:p>
    <w:p w14:paraId="095DF8FF" w14:textId="77777777" w:rsidR="00F06869" w:rsidRPr="00965BA2" w:rsidRDefault="00F06869" w:rsidP="00D34F97">
      <w:pPr>
        <w:numPr>
          <w:ilvl w:val="0"/>
          <w:numId w:val="123"/>
        </w:numPr>
        <w:spacing w:after="0" w:line="300" w:lineRule="atLeast"/>
        <w:ind w:left="924" w:hanging="357"/>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bCs/>
          <w:sz w:val="24"/>
          <w:szCs w:val="24"/>
          <w:lang w:val="x-none" w:eastAsia="pl-PL"/>
        </w:rPr>
        <w:t>nierzetelnego prowadzenia ewidencji odpadów.</w:t>
      </w:r>
    </w:p>
    <w:p w14:paraId="75260BED" w14:textId="77777777" w:rsidR="00F06869" w:rsidRPr="00965BA2" w:rsidRDefault="00F06869" w:rsidP="00667CE6">
      <w:pPr>
        <w:tabs>
          <w:tab w:val="num" w:pos="720"/>
        </w:tabs>
        <w:spacing w:before="120" w:after="60" w:line="300" w:lineRule="atLeast"/>
        <w:ind w:left="284" w:hanging="284"/>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 xml:space="preserve">W związku ze stwierdzonymi nieprawidłowościami: </w:t>
      </w:r>
    </w:p>
    <w:p w14:paraId="4FA47344" w14:textId="77777777" w:rsidR="00F06869" w:rsidRPr="00965BA2" w:rsidRDefault="00F06869" w:rsidP="00D34F97">
      <w:pPr>
        <w:numPr>
          <w:ilvl w:val="0"/>
          <w:numId w:val="124"/>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udzielono </w:t>
      </w:r>
      <w:r w:rsidRPr="00965BA2">
        <w:rPr>
          <w:rFonts w:ascii="Times New Roman" w:eastAsia="Calibri" w:hAnsi="Times New Roman" w:cs="Times New Roman"/>
          <w:sz w:val="24"/>
          <w:szCs w:val="24"/>
          <w:lang w:eastAsia="pl-PL"/>
        </w:rPr>
        <w:t>67</w:t>
      </w:r>
      <w:r w:rsidRPr="00965BA2">
        <w:rPr>
          <w:rFonts w:ascii="Times New Roman" w:eastAsia="Calibri" w:hAnsi="Times New Roman" w:cs="Times New Roman"/>
          <w:sz w:val="24"/>
          <w:szCs w:val="24"/>
          <w:lang w:val="x-none" w:eastAsia="pl-PL"/>
        </w:rPr>
        <w:t xml:space="preserve"> pouczeń,</w:t>
      </w:r>
    </w:p>
    <w:p w14:paraId="72E6CE64" w14:textId="77777777" w:rsidR="00F06869" w:rsidRPr="00965BA2" w:rsidRDefault="00F06869" w:rsidP="00D34F97">
      <w:pPr>
        <w:numPr>
          <w:ilvl w:val="0"/>
          <w:numId w:val="124"/>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nałożono </w:t>
      </w:r>
      <w:r w:rsidRPr="00965BA2">
        <w:rPr>
          <w:rFonts w:ascii="Times New Roman" w:eastAsia="Calibri" w:hAnsi="Times New Roman" w:cs="Times New Roman"/>
          <w:sz w:val="24"/>
          <w:szCs w:val="24"/>
          <w:lang w:eastAsia="pl-PL"/>
        </w:rPr>
        <w:t>49</w:t>
      </w:r>
      <w:r w:rsidRPr="00965BA2">
        <w:rPr>
          <w:rFonts w:ascii="Times New Roman" w:eastAsia="Calibri" w:hAnsi="Times New Roman" w:cs="Times New Roman"/>
          <w:sz w:val="24"/>
          <w:szCs w:val="24"/>
          <w:lang w:val="x-none" w:eastAsia="pl-PL"/>
        </w:rPr>
        <w:t xml:space="preserve"> mandatów karnych,</w:t>
      </w:r>
    </w:p>
    <w:p w14:paraId="1B88D89A" w14:textId="77777777" w:rsidR="00F06869" w:rsidRPr="00965BA2" w:rsidRDefault="00F06869" w:rsidP="00D34F97">
      <w:pPr>
        <w:numPr>
          <w:ilvl w:val="0"/>
          <w:numId w:val="124"/>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skierowano </w:t>
      </w:r>
      <w:r w:rsidRPr="00965BA2">
        <w:rPr>
          <w:rFonts w:ascii="Times New Roman" w:eastAsia="Calibri" w:hAnsi="Times New Roman" w:cs="Times New Roman"/>
          <w:sz w:val="24"/>
          <w:szCs w:val="24"/>
          <w:lang w:eastAsia="pl-PL"/>
        </w:rPr>
        <w:t>2</w:t>
      </w:r>
      <w:r w:rsidRPr="00965BA2">
        <w:rPr>
          <w:rFonts w:ascii="Times New Roman" w:eastAsia="Calibri" w:hAnsi="Times New Roman" w:cs="Times New Roman"/>
          <w:sz w:val="24"/>
          <w:szCs w:val="24"/>
          <w:lang w:val="x-none" w:eastAsia="pl-PL"/>
        </w:rPr>
        <w:t xml:space="preserve"> wniosk</w:t>
      </w:r>
      <w:r w:rsidRPr="00965BA2">
        <w:rPr>
          <w:rFonts w:ascii="Times New Roman" w:eastAsia="Calibri" w:hAnsi="Times New Roman" w:cs="Times New Roman"/>
          <w:sz w:val="24"/>
          <w:szCs w:val="24"/>
          <w:lang w:eastAsia="pl-PL"/>
        </w:rPr>
        <w:t>i</w:t>
      </w:r>
      <w:r w:rsidRPr="00965BA2">
        <w:rPr>
          <w:rFonts w:ascii="Times New Roman" w:eastAsia="Calibri" w:hAnsi="Times New Roman" w:cs="Times New Roman"/>
          <w:sz w:val="24"/>
          <w:szCs w:val="24"/>
          <w:lang w:val="x-none" w:eastAsia="pl-PL"/>
        </w:rPr>
        <w:t xml:space="preserve"> do sądów o ukaranie karą grzywny,</w:t>
      </w:r>
    </w:p>
    <w:p w14:paraId="6BEA529A" w14:textId="77777777" w:rsidR="00F06869" w:rsidRPr="00965BA2" w:rsidRDefault="00F06869" w:rsidP="00D34F97">
      <w:pPr>
        <w:numPr>
          <w:ilvl w:val="0"/>
          <w:numId w:val="124"/>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wydano </w:t>
      </w:r>
      <w:r w:rsidRPr="00965BA2">
        <w:rPr>
          <w:rFonts w:ascii="Times New Roman" w:eastAsia="Calibri" w:hAnsi="Times New Roman" w:cs="Times New Roman"/>
          <w:sz w:val="24"/>
          <w:szCs w:val="24"/>
          <w:lang w:eastAsia="pl-PL"/>
        </w:rPr>
        <w:t>58</w:t>
      </w:r>
      <w:r w:rsidRPr="00965BA2">
        <w:rPr>
          <w:rFonts w:ascii="Times New Roman" w:eastAsia="Calibri" w:hAnsi="Times New Roman" w:cs="Times New Roman"/>
          <w:sz w:val="24"/>
          <w:szCs w:val="24"/>
          <w:lang w:val="x-none" w:eastAsia="pl-PL"/>
        </w:rPr>
        <w:t xml:space="preserve"> zarządze</w:t>
      </w:r>
      <w:r w:rsidRPr="00965BA2">
        <w:rPr>
          <w:rFonts w:ascii="Times New Roman" w:eastAsia="Calibri" w:hAnsi="Times New Roman" w:cs="Times New Roman"/>
          <w:sz w:val="24"/>
          <w:szCs w:val="24"/>
          <w:lang w:eastAsia="pl-PL"/>
        </w:rPr>
        <w:t>ń</w:t>
      </w:r>
      <w:r w:rsidRPr="00965BA2">
        <w:rPr>
          <w:rFonts w:ascii="Times New Roman" w:eastAsia="Calibri" w:hAnsi="Times New Roman" w:cs="Times New Roman"/>
          <w:sz w:val="24"/>
          <w:szCs w:val="24"/>
          <w:lang w:val="x-none" w:eastAsia="pl-PL"/>
        </w:rPr>
        <w:t xml:space="preserve"> pokontroln</w:t>
      </w:r>
      <w:r w:rsidRPr="00965BA2">
        <w:rPr>
          <w:rFonts w:ascii="Times New Roman" w:eastAsia="Calibri" w:hAnsi="Times New Roman" w:cs="Times New Roman"/>
          <w:sz w:val="24"/>
          <w:szCs w:val="24"/>
          <w:lang w:eastAsia="pl-PL"/>
        </w:rPr>
        <w:t>ych</w:t>
      </w:r>
      <w:r w:rsidRPr="00965BA2">
        <w:rPr>
          <w:rFonts w:ascii="Times New Roman" w:eastAsia="Calibri" w:hAnsi="Times New Roman" w:cs="Times New Roman"/>
          <w:sz w:val="24"/>
          <w:szCs w:val="24"/>
          <w:lang w:val="x-none" w:eastAsia="pl-PL"/>
        </w:rPr>
        <w:t>,</w:t>
      </w:r>
    </w:p>
    <w:p w14:paraId="176FC2CD" w14:textId="77777777" w:rsidR="00F06869" w:rsidRPr="00965BA2" w:rsidRDefault="00F06869" w:rsidP="00D34F97">
      <w:pPr>
        <w:numPr>
          <w:ilvl w:val="0"/>
          <w:numId w:val="124"/>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skierowano </w:t>
      </w:r>
      <w:r w:rsidRPr="00965BA2">
        <w:rPr>
          <w:rFonts w:ascii="Times New Roman" w:eastAsia="Calibri" w:hAnsi="Times New Roman" w:cs="Times New Roman"/>
          <w:sz w:val="24"/>
          <w:szCs w:val="24"/>
          <w:lang w:eastAsia="pl-PL"/>
        </w:rPr>
        <w:t>58</w:t>
      </w:r>
      <w:r w:rsidRPr="00965BA2">
        <w:rPr>
          <w:rFonts w:ascii="Times New Roman" w:eastAsia="Calibri" w:hAnsi="Times New Roman" w:cs="Times New Roman"/>
          <w:sz w:val="24"/>
          <w:szCs w:val="24"/>
          <w:lang w:val="x-none" w:eastAsia="pl-PL"/>
        </w:rPr>
        <w:t xml:space="preserve"> wystąpień do innych organów administracji rządowej i</w:t>
      </w:r>
      <w:r w:rsidRPr="00965BA2">
        <w:rPr>
          <w:rFonts w:ascii="Times New Roman" w:eastAsia="Calibri" w:hAnsi="Times New Roman" w:cs="Times New Roman"/>
          <w:sz w:val="24"/>
          <w:szCs w:val="24"/>
          <w:lang w:eastAsia="pl-PL"/>
        </w:rPr>
        <w:t xml:space="preserve"> </w:t>
      </w:r>
      <w:r w:rsidRPr="00965BA2">
        <w:rPr>
          <w:rFonts w:ascii="Times New Roman" w:eastAsia="Calibri" w:hAnsi="Times New Roman" w:cs="Times New Roman"/>
          <w:sz w:val="24"/>
          <w:szCs w:val="24"/>
          <w:lang w:val="x-none" w:eastAsia="pl-PL"/>
        </w:rPr>
        <w:t>samorządowej,</w:t>
      </w:r>
    </w:p>
    <w:p w14:paraId="3590F8D5" w14:textId="77777777" w:rsidR="00F06869" w:rsidRPr="00965BA2" w:rsidRDefault="00F06869" w:rsidP="00D34F97">
      <w:pPr>
        <w:numPr>
          <w:ilvl w:val="0"/>
          <w:numId w:val="124"/>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skierowano </w:t>
      </w:r>
      <w:r w:rsidRPr="00965BA2">
        <w:rPr>
          <w:rFonts w:ascii="Times New Roman" w:eastAsia="Calibri" w:hAnsi="Times New Roman" w:cs="Times New Roman"/>
          <w:sz w:val="24"/>
          <w:szCs w:val="24"/>
          <w:lang w:eastAsia="pl-PL"/>
        </w:rPr>
        <w:t>2</w:t>
      </w:r>
      <w:r w:rsidRPr="00965BA2">
        <w:rPr>
          <w:rFonts w:ascii="Times New Roman" w:eastAsia="Calibri" w:hAnsi="Times New Roman" w:cs="Times New Roman"/>
          <w:sz w:val="24"/>
          <w:szCs w:val="24"/>
          <w:lang w:val="x-none" w:eastAsia="pl-PL"/>
        </w:rPr>
        <w:t xml:space="preserve"> wnios</w:t>
      </w:r>
      <w:r w:rsidRPr="00965BA2">
        <w:rPr>
          <w:rFonts w:ascii="Times New Roman" w:eastAsia="Calibri" w:hAnsi="Times New Roman" w:cs="Times New Roman"/>
          <w:sz w:val="24"/>
          <w:szCs w:val="24"/>
          <w:lang w:eastAsia="pl-PL"/>
        </w:rPr>
        <w:t xml:space="preserve">ki </w:t>
      </w:r>
      <w:r w:rsidRPr="00965BA2">
        <w:rPr>
          <w:rFonts w:ascii="Times New Roman" w:eastAsia="Calibri" w:hAnsi="Times New Roman" w:cs="Times New Roman"/>
          <w:sz w:val="24"/>
          <w:szCs w:val="24"/>
          <w:lang w:val="x-none" w:eastAsia="pl-PL"/>
        </w:rPr>
        <w:t xml:space="preserve">do organów ścigania, </w:t>
      </w:r>
    </w:p>
    <w:p w14:paraId="3A13AC37" w14:textId="15A6CC5D" w:rsidR="00895F16" w:rsidRPr="007F400A" w:rsidRDefault="00F06869" w:rsidP="00D34F97">
      <w:pPr>
        <w:numPr>
          <w:ilvl w:val="0"/>
          <w:numId w:val="124"/>
        </w:numPr>
        <w:spacing w:after="0" w:line="300" w:lineRule="atLeast"/>
        <w:ind w:left="924" w:hanging="357"/>
        <w:contextualSpacing/>
        <w:jc w:val="both"/>
        <w:rPr>
          <w:rFonts w:ascii="Times New Roman" w:eastAsia="Calibri" w:hAnsi="Times New Roman" w:cs="Times New Roman"/>
          <w:color w:val="000000" w:themeColor="text1"/>
          <w:sz w:val="24"/>
          <w:szCs w:val="24"/>
          <w:lang w:val="x-none" w:eastAsia="pl-PL"/>
        </w:rPr>
      </w:pPr>
      <w:r w:rsidRPr="00965BA2">
        <w:rPr>
          <w:rFonts w:ascii="Times New Roman" w:eastAsia="Calibri" w:hAnsi="Times New Roman" w:cs="Times New Roman"/>
          <w:sz w:val="24"/>
          <w:szCs w:val="24"/>
          <w:lang w:val="x-none" w:eastAsia="pl-PL"/>
        </w:rPr>
        <w:t xml:space="preserve">wydano </w:t>
      </w:r>
      <w:r w:rsidRPr="00965BA2">
        <w:rPr>
          <w:rFonts w:ascii="Times New Roman" w:eastAsia="Calibri" w:hAnsi="Times New Roman" w:cs="Times New Roman"/>
          <w:sz w:val="24"/>
          <w:szCs w:val="24"/>
          <w:lang w:eastAsia="pl-PL"/>
        </w:rPr>
        <w:t>40</w:t>
      </w:r>
      <w:r w:rsidRPr="00965BA2">
        <w:rPr>
          <w:rFonts w:ascii="Times New Roman" w:eastAsia="Calibri" w:hAnsi="Times New Roman" w:cs="Times New Roman"/>
          <w:sz w:val="24"/>
          <w:szCs w:val="24"/>
          <w:lang w:val="x-none" w:eastAsia="pl-PL"/>
        </w:rPr>
        <w:t xml:space="preserve"> </w:t>
      </w:r>
      <w:r w:rsidRPr="00965BA2">
        <w:rPr>
          <w:rFonts w:ascii="Times New Roman" w:eastAsia="Times New Roman" w:hAnsi="Times New Roman" w:cs="Times New Roman"/>
          <w:sz w:val="24"/>
          <w:szCs w:val="24"/>
          <w:lang w:val="x-none" w:eastAsia="pl-PL"/>
        </w:rPr>
        <w:t>decyzji w sprawie nałożenia kar pieniężnych</w:t>
      </w:r>
      <w:r w:rsidR="00895F16" w:rsidRPr="007F400A">
        <w:rPr>
          <w:rFonts w:ascii="Times New Roman" w:eastAsia="Times New Roman" w:hAnsi="Times New Roman" w:cs="Times New Roman"/>
          <w:sz w:val="24"/>
          <w:szCs w:val="24"/>
          <w:lang w:val="x-none" w:eastAsia="pl-PL"/>
        </w:rPr>
        <w:t>.</w:t>
      </w:r>
      <w:bookmarkStart w:id="160" w:name="_Hlk36797010"/>
    </w:p>
    <w:p w14:paraId="1FC293E6" w14:textId="77777777" w:rsidR="00895F16" w:rsidRPr="007F400A" w:rsidRDefault="00895F16" w:rsidP="00056EE7">
      <w:pPr>
        <w:spacing w:after="0" w:line="300" w:lineRule="atLeast"/>
        <w:ind w:left="1559"/>
        <w:jc w:val="both"/>
        <w:rPr>
          <w:rFonts w:ascii="Times New Roman" w:eastAsia="Calibri" w:hAnsi="Times New Roman" w:cs="Times New Roman"/>
          <w:sz w:val="24"/>
          <w:szCs w:val="24"/>
          <w:lang w:val="x-none" w:eastAsia="pl-PL"/>
        </w:rPr>
      </w:pPr>
    </w:p>
    <w:p w14:paraId="06B090D6" w14:textId="20332765" w:rsidR="00895F16" w:rsidRPr="007F400A" w:rsidRDefault="00895F16" w:rsidP="00056EE7">
      <w:pPr>
        <w:spacing w:after="120" w:line="300" w:lineRule="atLeast"/>
        <w:jc w:val="both"/>
        <w:outlineLvl w:val="0"/>
        <w:rPr>
          <w:rFonts w:ascii="Times New Roman" w:eastAsia="Calibri" w:hAnsi="Times New Roman" w:cs="Times New Roman"/>
          <w:b/>
          <w:sz w:val="24"/>
          <w:szCs w:val="24"/>
          <w:lang w:val="x-none" w:eastAsia="pl-PL"/>
        </w:rPr>
      </w:pPr>
      <w:bookmarkStart w:id="161" w:name="_Toc135935621"/>
      <w:bookmarkEnd w:id="160"/>
      <w:r w:rsidRPr="007F400A">
        <w:rPr>
          <w:rFonts w:ascii="Times New Roman" w:eastAsia="Calibri" w:hAnsi="Times New Roman" w:cs="Times New Roman"/>
          <w:b/>
          <w:bCs/>
          <w:color w:val="000000"/>
          <w:sz w:val="24"/>
          <w:szCs w:val="24"/>
          <w:lang w:val="x-none" w:eastAsia="pl-PL"/>
        </w:rPr>
        <w:t>3.3.</w:t>
      </w:r>
      <w:r w:rsidR="00F06869">
        <w:rPr>
          <w:rFonts w:ascii="Times New Roman" w:eastAsia="Calibri" w:hAnsi="Times New Roman" w:cs="Times New Roman"/>
          <w:b/>
          <w:bCs/>
          <w:color w:val="000000"/>
          <w:sz w:val="24"/>
          <w:szCs w:val="24"/>
          <w:lang w:eastAsia="pl-PL"/>
        </w:rPr>
        <w:t>31</w:t>
      </w:r>
      <w:r w:rsidRPr="007F400A">
        <w:rPr>
          <w:rFonts w:ascii="Times New Roman" w:eastAsia="Calibri" w:hAnsi="Times New Roman" w:cs="Times New Roman"/>
          <w:b/>
          <w:color w:val="FF0000"/>
          <w:sz w:val="24"/>
          <w:szCs w:val="24"/>
          <w:lang w:val="x-none" w:eastAsia="pl-PL"/>
        </w:rPr>
        <w:t xml:space="preserve"> </w:t>
      </w:r>
      <w:r w:rsidRPr="007F400A">
        <w:rPr>
          <w:rFonts w:ascii="Times New Roman" w:eastAsia="Calibri" w:hAnsi="Times New Roman" w:cs="Times New Roman"/>
          <w:b/>
          <w:sz w:val="24"/>
          <w:szCs w:val="24"/>
          <w:lang w:val="x-none" w:eastAsia="pl-PL"/>
        </w:rPr>
        <w:t>Działalność kontrolna w zakresie gospodarki komunalnymi osadami ściekowymi</w:t>
      </w:r>
      <w:bookmarkEnd w:id="161"/>
      <w:r w:rsidRPr="007F400A">
        <w:rPr>
          <w:rFonts w:ascii="Times New Roman" w:eastAsia="Calibri" w:hAnsi="Times New Roman" w:cs="Times New Roman"/>
          <w:b/>
          <w:sz w:val="24"/>
          <w:szCs w:val="24"/>
          <w:lang w:val="x-none" w:eastAsia="pl-PL"/>
        </w:rPr>
        <w:t xml:space="preserve"> </w:t>
      </w:r>
    </w:p>
    <w:p w14:paraId="6A2E95D0" w14:textId="77777777" w:rsidR="00F06869" w:rsidRPr="00965BA2" w:rsidRDefault="00F06869" w:rsidP="008B0F1C">
      <w:pPr>
        <w:spacing w:before="24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Działalność w zakresie gospodarki komunalnymi osadami ściekowymi prowadzona była przez 4</w:t>
      </w:r>
      <w:r>
        <w:rPr>
          <w:rFonts w:ascii="Times New Roman" w:eastAsia="Calibri" w:hAnsi="Times New Roman" w:cs="Times New Roman"/>
          <w:sz w:val="24"/>
          <w:szCs w:val="24"/>
        </w:rPr>
        <w:t xml:space="preserve"> </w:t>
      </w:r>
      <w:r w:rsidRPr="00965BA2">
        <w:rPr>
          <w:rFonts w:ascii="Times New Roman" w:eastAsia="Calibri" w:hAnsi="Times New Roman" w:cs="Times New Roman"/>
          <w:sz w:val="24"/>
          <w:szCs w:val="24"/>
        </w:rPr>
        <w:t xml:space="preserve">819 podmiotów, w tym: wytwarzających komunalne osady ściekowe (3 488), przyjmujących komunalne osady ściekowe do rolniczego wykorzystania (1 115) oraz przetwarzających komunalne osady ściekowe w procesach innych niż rolnicze wykorzystanie (216). </w:t>
      </w:r>
    </w:p>
    <w:p w14:paraId="1836329E" w14:textId="10531057" w:rsidR="00F06869" w:rsidRPr="00965BA2" w:rsidRDefault="00F06869" w:rsidP="008B0F1C">
      <w:pPr>
        <w:spacing w:after="120" w:line="300" w:lineRule="atLeast"/>
        <w:jc w:val="both"/>
        <w:rPr>
          <w:rFonts w:ascii="Times New Roman" w:eastAsia="Calibri" w:hAnsi="Times New Roman" w:cs="Times New Roman"/>
          <w:b/>
          <w:sz w:val="24"/>
          <w:szCs w:val="24"/>
        </w:rPr>
      </w:pPr>
      <w:r w:rsidRPr="00965BA2">
        <w:rPr>
          <w:rFonts w:ascii="Times New Roman" w:eastAsia="Calibri" w:hAnsi="Times New Roman" w:cs="Times New Roman"/>
          <w:b/>
          <w:sz w:val="24"/>
          <w:szCs w:val="24"/>
        </w:rPr>
        <w:t>Podmioty wytwarzające komunalne osady ściekowe</w:t>
      </w:r>
    </w:p>
    <w:p w14:paraId="72409A02" w14:textId="6F992ECB" w:rsidR="00F06869" w:rsidRPr="00965BA2" w:rsidRDefault="00F06869" w:rsidP="008B0F1C">
      <w:pPr>
        <w:spacing w:after="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 xml:space="preserve">Najwięcej podmiotów wytwarzających komunalne osady ściekowe znajduje się na terenie województw: mazowieckiego (458), lubelskiego (328), wielkopolskiego (326) i małopolskiego (320). W pozostałych województwach liczba podmiotów kształtuje się na poziomie: łódzkie (286), dolnośląskie (238), podkarpackie (195), śląskie (189), podlaskie (187), pomorskie (181), zachodniopomorskie (172), warmińsko-mazurskie (168), kujawsko-pomorskie (126), świętokrzyskie (120), lubuskie (107) i opolskie (87). </w:t>
      </w:r>
    </w:p>
    <w:p w14:paraId="33612AED" w14:textId="77777777" w:rsidR="00F06869" w:rsidRPr="00965BA2" w:rsidRDefault="00F06869" w:rsidP="008B0F1C">
      <w:pPr>
        <w:spacing w:after="12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color w:val="FF0000"/>
          <w:sz w:val="24"/>
          <w:szCs w:val="24"/>
        </w:rPr>
        <w:tab/>
      </w:r>
      <w:r w:rsidRPr="00965BA2">
        <w:rPr>
          <w:rFonts w:ascii="Times New Roman" w:eastAsia="Calibri" w:hAnsi="Times New Roman" w:cs="Times New Roman"/>
          <w:sz w:val="24"/>
          <w:szCs w:val="24"/>
        </w:rPr>
        <w:t>W 2022 r. wojewódzcy inspektorzy ochrony środowiska przeprowadzili 540 kontroli podmiotów wytwarzających komunalne osady ściekowe (w tym 424 kontrole planowe i 116 kontroli pozaplanowych</w:t>
      </w:r>
      <w:bookmarkStart w:id="162" w:name="_Hlk128058591"/>
      <w:r w:rsidRPr="00965BA2">
        <w:rPr>
          <w:rFonts w:ascii="Times New Roman" w:eastAsia="Calibri" w:hAnsi="Times New Roman" w:cs="Times New Roman"/>
          <w:sz w:val="24"/>
          <w:szCs w:val="24"/>
        </w:rPr>
        <w:t xml:space="preserve">). W prawie </w:t>
      </w:r>
      <w:r>
        <w:rPr>
          <w:rFonts w:ascii="Times New Roman" w:eastAsia="Calibri" w:hAnsi="Times New Roman" w:cs="Times New Roman"/>
          <w:sz w:val="24"/>
          <w:szCs w:val="24"/>
        </w:rPr>
        <w:t>56%</w:t>
      </w:r>
      <w:r w:rsidRPr="00965BA2">
        <w:rPr>
          <w:rFonts w:ascii="Times New Roman" w:eastAsia="Calibri" w:hAnsi="Times New Roman" w:cs="Times New Roman"/>
          <w:sz w:val="24"/>
          <w:szCs w:val="24"/>
        </w:rPr>
        <w:t xml:space="preserve"> z nich (300 kontroli) stwierdzono naruszenia wymagań ochrony środowiska, z czego 206 kontroli wykazało naruszenia bez istotnego wpływu na środowisko, a 94 kontrole wykazało naruszenia mogące spowodować zagrożenie lub zanieczyszczenie środowiska.</w:t>
      </w:r>
    </w:p>
    <w:bookmarkEnd w:id="162"/>
    <w:p w14:paraId="31B884AA" w14:textId="77777777" w:rsidR="00F06869" w:rsidRPr="00965BA2" w:rsidRDefault="00F06869" w:rsidP="008B0F1C">
      <w:pPr>
        <w:spacing w:after="6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lastRenderedPageBreak/>
        <w:t>W związku ze stwierdzonymi nieprawidłowościami:</w:t>
      </w:r>
    </w:p>
    <w:p w14:paraId="0EC63AF0" w14:textId="77777777" w:rsidR="00F06869" w:rsidRPr="00965BA2" w:rsidRDefault="00F06869" w:rsidP="00D34F97">
      <w:pPr>
        <w:numPr>
          <w:ilvl w:val="0"/>
          <w:numId w:val="188"/>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udzielono 224 pouczeń,</w:t>
      </w:r>
    </w:p>
    <w:p w14:paraId="65CFC01C" w14:textId="77777777" w:rsidR="00F06869" w:rsidRPr="00965BA2" w:rsidRDefault="00F06869" w:rsidP="00D34F97">
      <w:pPr>
        <w:numPr>
          <w:ilvl w:val="0"/>
          <w:numId w:val="188"/>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nałożono 97 mandatów karnych,</w:t>
      </w:r>
    </w:p>
    <w:p w14:paraId="6E09D17A" w14:textId="77777777" w:rsidR="00F06869" w:rsidRPr="00965BA2" w:rsidRDefault="00F06869" w:rsidP="00D34F97">
      <w:pPr>
        <w:numPr>
          <w:ilvl w:val="0"/>
          <w:numId w:val="188"/>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skierowano 13 wniosków do sądów o ukaranie karą grzywny,</w:t>
      </w:r>
    </w:p>
    <w:p w14:paraId="09B63753" w14:textId="77777777" w:rsidR="00F06869" w:rsidRPr="00965BA2" w:rsidRDefault="00F06869" w:rsidP="00D34F97">
      <w:pPr>
        <w:numPr>
          <w:ilvl w:val="0"/>
          <w:numId w:val="188"/>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wydano 237 zarządzeń pokontrolnych,</w:t>
      </w:r>
    </w:p>
    <w:p w14:paraId="2E752453" w14:textId="77777777" w:rsidR="00F06869" w:rsidRPr="00965BA2" w:rsidRDefault="00F06869" w:rsidP="00D34F97">
      <w:pPr>
        <w:numPr>
          <w:ilvl w:val="0"/>
          <w:numId w:val="188"/>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skierowano 3 wnioski do organów ścigania,</w:t>
      </w:r>
    </w:p>
    <w:p w14:paraId="5EFF4E54" w14:textId="77777777" w:rsidR="00F06869" w:rsidRPr="00965BA2" w:rsidRDefault="00F06869" w:rsidP="00D34F97">
      <w:pPr>
        <w:numPr>
          <w:ilvl w:val="0"/>
          <w:numId w:val="188"/>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wydano 42 decyzje w sprawie nałożenia kar pieniężnych,</w:t>
      </w:r>
    </w:p>
    <w:p w14:paraId="036CE5FA" w14:textId="77777777" w:rsidR="00F06869" w:rsidRPr="00965BA2" w:rsidRDefault="00F06869" w:rsidP="00D34F97">
      <w:pPr>
        <w:numPr>
          <w:ilvl w:val="0"/>
          <w:numId w:val="188"/>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nie wydano żadnej decyzji wstrzymującej działalność podmiotu.</w:t>
      </w:r>
    </w:p>
    <w:p w14:paraId="03BF6C29" w14:textId="77777777" w:rsidR="00F06869" w:rsidRPr="00965BA2" w:rsidRDefault="00F06869" w:rsidP="008B0F1C">
      <w:pPr>
        <w:spacing w:after="0" w:line="300" w:lineRule="atLeast"/>
        <w:ind w:left="720"/>
        <w:jc w:val="both"/>
        <w:rPr>
          <w:rFonts w:ascii="Times New Roman" w:eastAsia="Calibri" w:hAnsi="Times New Roman" w:cs="Times New Roman"/>
          <w:sz w:val="24"/>
          <w:szCs w:val="24"/>
        </w:rPr>
      </w:pPr>
    </w:p>
    <w:p w14:paraId="61A5072E" w14:textId="77777777" w:rsidR="00F06869" w:rsidRPr="00965BA2" w:rsidRDefault="00F06869" w:rsidP="008B0F1C">
      <w:pPr>
        <w:spacing w:after="120" w:line="300" w:lineRule="atLeast"/>
        <w:jc w:val="both"/>
        <w:rPr>
          <w:rFonts w:ascii="Times New Roman" w:eastAsia="Calibri" w:hAnsi="Times New Roman" w:cs="Times New Roman"/>
          <w:b/>
          <w:sz w:val="24"/>
          <w:szCs w:val="24"/>
        </w:rPr>
      </w:pPr>
      <w:r w:rsidRPr="00965BA2">
        <w:rPr>
          <w:rFonts w:ascii="Times New Roman" w:eastAsia="Calibri" w:hAnsi="Times New Roman" w:cs="Times New Roman"/>
          <w:b/>
          <w:sz w:val="24"/>
          <w:szCs w:val="24"/>
        </w:rPr>
        <w:t>Podmioty przyjmujące komunalne osady ściekowe do rolniczego wykorzystania</w:t>
      </w:r>
    </w:p>
    <w:p w14:paraId="131168F3" w14:textId="05324478" w:rsidR="00F06869" w:rsidRPr="00965BA2" w:rsidRDefault="00F06869" w:rsidP="008B0F1C">
      <w:pPr>
        <w:spacing w:after="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ab/>
        <w:t>Działalność w zakresie przyjmowania komunalnych osadów ściekowych do rolniczego wykorzystania prowadzona była przez 1 242 podmiot</w:t>
      </w:r>
      <w:r w:rsidR="008B0F1C">
        <w:rPr>
          <w:rFonts w:ascii="Times New Roman" w:eastAsia="Calibri" w:hAnsi="Times New Roman" w:cs="Times New Roman"/>
          <w:sz w:val="24"/>
          <w:szCs w:val="24"/>
        </w:rPr>
        <w:t>y</w:t>
      </w:r>
      <w:r w:rsidRPr="00965BA2">
        <w:rPr>
          <w:rFonts w:ascii="Times New Roman" w:eastAsia="Calibri" w:hAnsi="Times New Roman" w:cs="Times New Roman"/>
          <w:sz w:val="24"/>
          <w:szCs w:val="24"/>
        </w:rPr>
        <w:t>.</w:t>
      </w:r>
    </w:p>
    <w:p w14:paraId="1DF3E1B6" w14:textId="6E3C8DD5" w:rsidR="00F06869" w:rsidRPr="00965BA2" w:rsidRDefault="00F06869" w:rsidP="008B0F1C">
      <w:pPr>
        <w:spacing w:after="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ab/>
        <w:t>W podziale na województwa przedstawia</w:t>
      </w:r>
      <w:r w:rsidR="008B0F1C">
        <w:rPr>
          <w:rFonts w:ascii="Times New Roman" w:eastAsia="Calibri" w:hAnsi="Times New Roman" w:cs="Times New Roman"/>
          <w:sz w:val="24"/>
          <w:szCs w:val="24"/>
        </w:rPr>
        <w:t>ło</w:t>
      </w:r>
      <w:r w:rsidRPr="00965BA2">
        <w:rPr>
          <w:rFonts w:ascii="Times New Roman" w:eastAsia="Calibri" w:hAnsi="Times New Roman" w:cs="Times New Roman"/>
          <w:sz w:val="24"/>
          <w:szCs w:val="24"/>
        </w:rPr>
        <w:t xml:space="preserve"> się to następująco: łódzkie (226), kujawsko-pomorskie (132), zachodniopomorskie (127), wielkopolskie (110), świętokrzyskie (100), podlaskie (89), lubelskie (85), śląskie (73), opolskie (66), dolnośląskie (65), podkarpackie (60), lubuskie (32), mazowieckie (30), warmińsko-mazurskie (23), pomorskie (21)</w:t>
      </w:r>
      <w:r>
        <w:rPr>
          <w:rFonts w:ascii="Times New Roman" w:eastAsia="Calibri" w:hAnsi="Times New Roman" w:cs="Times New Roman"/>
          <w:sz w:val="24"/>
          <w:szCs w:val="24"/>
        </w:rPr>
        <w:t xml:space="preserve"> i</w:t>
      </w:r>
      <w:r w:rsidRPr="00965BA2">
        <w:rPr>
          <w:rFonts w:ascii="Times New Roman" w:eastAsia="Calibri" w:hAnsi="Times New Roman" w:cs="Times New Roman"/>
          <w:sz w:val="24"/>
          <w:szCs w:val="24"/>
        </w:rPr>
        <w:t xml:space="preserve"> małopolskie (3). </w:t>
      </w:r>
    </w:p>
    <w:p w14:paraId="3026B5C5" w14:textId="77777777" w:rsidR="00F06869" w:rsidRPr="00965BA2" w:rsidRDefault="00F06869" w:rsidP="008B0F1C">
      <w:pPr>
        <w:spacing w:after="12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ab/>
        <w:t>W 2022 r. wojewódzcy inspektorzy ochrony środowiska przeprowadzili 166 kontroli podmiotów przyjmujących komunalne osady ściekowe do rolniczego wykorzystania (w tym 121 kontroli planowych i 45 kontroli pozaplanowych). W przypadku 26 kontroli stwierdzono naruszenia wymagań ochrony środowiska, 22 kontrole ujawniły naruszenia bez istotnego wpływu na środowisko, natomiast w toku 4 kontroli wykazano naruszenia, które mogły spowodować zagrożenie lub zanieczyszczenie środowiska.</w:t>
      </w:r>
    </w:p>
    <w:p w14:paraId="58181850" w14:textId="77777777" w:rsidR="00F06869" w:rsidRPr="00965BA2" w:rsidRDefault="00F06869" w:rsidP="008B0F1C">
      <w:pPr>
        <w:spacing w:after="6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 xml:space="preserve">W związku ze stwierdzonymi nieprawidłowościami: </w:t>
      </w:r>
    </w:p>
    <w:p w14:paraId="2F69956C" w14:textId="77777777" w:rsidR="00F06869" w:rsidRPr="00965BA2" w:rsidRDefault="00F06869" w:rsidP="00D34F97">
      <w:pPr>
        <w:numPr>
          <w:ilvl w:val="0"/>
          <w:numId w:val="189"/>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udzielono 9 pouczeń,</w:t>
      </w:r>
    </w:p>
    <w:p w14:paraId="00961A58" w14:textId="77777777" w:rsidR="00F06869" w:rsidRPr="00965BA2" w:rsidRDefault="00F06869" w:rsidP="00D34F97">
      <w:pPr>
        <w:numPr>
          <w:ilvl w:val="0"/>
          <w:numId w:val="189"/>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nałożono 4 mandaty karne,</w:t>
      </w:r>
    </w:p>
    <w:p w14:paraId="197D47BC" w14:textId="77777777" w:rsidR="00F06869" w:rsidRPr="00965BA2" w:rsidRDefault="00F06869" w:rsidP="00D34F97">
      <w:pPr>
        <w:numPr>
          <w:ilvl w:val="0"/>
          <w:numId w:val="189"/>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wydano 15 zarządzeń pokontrolnych,</w:t>
      </w:r>
    </w:p>
    <w:p w14:paraId="7635BFC0" w14:textId="77777777" w:rsidR="00F06869" w:rsidRPr="00965BA2" w:rsidRDefault="00F06869" w:rsidP="00D34F97">
      <w:pPr>
        <w:numPr>
          <w:ilvl w:val="0"/>
          <w:numId w:val="189"/>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wydano 3 decyzje w sprawie nałożenia kar pieniężnych.</w:t>
      </w:r>
    </w:p>
    <w:p w14:paraId="070A26E5" w14:textId="77777777" w:rsidR="00F06869" w:rsidRPr="00965BA2" w:rsidRDefault="00F06869" w:rsidP="008B0F1C">
      <w:pPr>
        <w:spacing w:after="0" w:line="300" w:lineRule="atLeast"/>
        <w:ind w:left="720"/>
        <w:jc w:val="both"/>
        <w:rPr>
          <w:rFonts w:ascii="Times New Roman" w:eastAsia="Calibri" w:hAnsi="Times New Roman" w:cs="Times New Roman"/>
          <w:sz w:val="24"/>
          <w:szCs w:val="24"/>
        </w:rPr>
      </w:pPr>
    </w:p>
    <w:p w14:paraId="2B82DDE8" w14:textId="77777777" w:rsidR="00F06869" w:rsidRPr="00965BA2" w:rsidRDefault="00F06869" w:rsidP="008B0F1C">
      <w:pPr>
        <w:spacing w:after="120" w:line="300" w:lineRule="atLeast"/>
        <w:jc w:val="both"/>
        <w:rPr>
          <w:rFonts w:ascii="Times New Roman" w:eastAsia="Calibri" w:hAnsi="Times New Roman" w:cs="Times New Roman"/>
          <w:b/>
          <w:sz w:val="24"/>
          <w:szCs w:val="24"/>
        </w:rPr>
      </w:pPr>
      <w:r w:rsidRPr="00965BA2">
        <w:rPr>
          <w:rFonts w:ascii="Times New Roman" w:eastAsia="Calibri" w:hAnsi="Times New Roman" w:cs="Times New Roman"/>
          <w:b/>
          <w:sz w:val="24"/>
          <w:szCs w:val="24"/>
        </w:rPr>
        <w:t>Podmioty przetwarzające komunalne osady ściekowe w procesach innych niż rolnicze wykorzystanie</w:t>
      </w:r>
    </w:p>
    <w:p w14:paraId="5687E865" w14:textId="77777777" w:rsidR="00F06869" w:rsidRPr="00965BA2" w:rsidRDefault="00F06869" w:rsidP="008B0F1C">
      <w:pPr>
        <w:spacing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color w:val="FF0000"/>
          <w:sz w:val="24"/>
          <w:szCs w:val="24"/>
        </w:rPr>
        <w:tab/>
      </w:r>
      <w:r w:rsidRPr="00965BA2">
        <w:rPr>
          <w:rFonts w:ascii="Times New Roman" w:eastAsia="Calibri" w:hAnsi="Times New Roman" w:cs="Times New Roman"/>
          <w:sz w:val="24"/>
          <w:szCs w:val="24"/>
        </w:rPr>
        <w:t>Działalność w zakresie przetwarzania komunalnych osadów ściekowych w procesach innych niż rolnicze wykorzystanie prowadzona była przez 216 podmiotów.</w:t>
      </w:r>
    </w:p>
    <w:p w14:paraId="36EB3FBC" w14:textId="77777777" w:rsidR="00F06869" w:rsidRPr="00965BA2" w:rsidRDefault="00F06869" w:rsidP="008B0F1C">
      <w:pPr>
        <w:spacing w:after="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ab/>
        <w:t>Najwięcej było ich w województwie dolnośląskim (46). W pozostałych województwach liczba ta wynosiła: w województwie podkarpackim (22), mazowieckim (17), kujawsko-pomorskim (16), łódzkim i wielkopolskim (po 15), śląskim (14), lubelskim (12), małopolskim (10), lubuskim, świętokrzyskim i pomorskim (po 9), zachodniopomorskim (8), warmińsko-mazurskim (7), opolskim (4)</w:t>
      </w:r>
      <w:r>
        <w:rPr>
          <w:rFonts w:ascii="Times New Roman" w:eastAsia="Calibri" w:hAnsi="Times New Roman" w:cs="Times New Roman"/>
          <w:sz w:val="24"/>
          <w:szCs w:val="24"/>
        </w:rPr>
        <w:t xml:space="preserve"> i </w:t>
      </w:r>
      <w:r w:rsidRPr="00965BA2">
        <w:rPr>
          <w:rFonts w:ascii="Times New Roman" w:eastAsia="Calibri" w:hAnsi="Times New Roman" w:cs="Times New Roman"/>
          <w:sz w:val="24"/>
          <w:szCs w:val="24"/>
        </w:rPr>
        <w:t>podlaskim (3).</w:t>
      </w:r>
    </w:p>
    <w:p w14:paraId="79F8EF5A" w14:textId="77777777" w:rsidR="00F06869" w:rsidRPr="00965BA2" w:rsidRDefault="00F06869" w:rsidP="008B0F1C">
      <w:pPr>
        <w:spacing w:after="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color w:val="FF0000"/>
          <w:sz w:val="24"/>
          <w:szCs w:val="24"/>
        </w:rPr>
        <w:tab/>
      </w:r>
      <w:r w:rsidRPr="00965BA2">
        <w:rPr>
          <w:rFonts w:ascii="Times New Roman" w:eastAsia="Calibri" w:hAnsi="Times New Roman" w:cs="Times New Roman"/>
          <w:sz w:val="24"/>
          <w:szCs w:val="24"/>
        </w:rPr>
        <w:t xml:space="preserve">W 2022 r. wojewódzcy inspektorzy ochrony środowiska przeprowadzili 56 kontroli podmiotów przetwarzających komunalne osady ściekowe w procesach innych niż rolnicze wykorzystanie (w tym 35 to kontrole planowe, 21 to kontrole pozaplanowe). </w:t>
      </w:r>
    </w:p>
    <w:p w14:paraId="5E034AA7" w14:textId="15EB592B" w:rsidR="00F06869" w:rsidRPr="00965BA2" w:rsidRDefault="00F06869" w:rsidP="008B0F1C">
      <w:pPr>
        <w:spacing w:after="6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W wyniku 27 kontroli stwierdzono naruszenia wymagań ochrony środowiska, w tym:</w:t>
      </w:r>
    </w:p>
    <w:p w14:paraId="3F53C55B" w14:textId="77777777" w:rsidR="00F06869" w:rsidRPr="00965BA2" w:rsidRDefault="00F06869" w:rsidP="00D34F97">
      <w:pPr>
        <w:numPr>
          <w:ilvl w:val="0"/>
          <w:numId w:val="189"/>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 xml:space="preserve">14 (52%) kontroli wykazało naruszenia bez istotnego wpływu na środowisko, </w:t>
      </w:r>
    </w:p>
    <w:p w14:paraId="0BC701FD" w14:textId="77777777" w:rsidR="00F06869" w:rsidRPr="00965BA2" w:rsidRDefault="00F06869" w:rsidP="00D34F97">
      <w:pPr>
        <w:numPr>
          <w:ilvl w:val="0"/>
          <w:numId w:val="189"/>
        </w:numPr>
        <w:spacing w:after="120" w:line="300" w:lineRule="atLeast"/>
        <w:ind w:left="714" w:hanging="357"/>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13 (48%) kontroli wykazało naruszenia mogące spowodować zagrożenie lub zanieczyszczenie środowiska.</w:t>
      </w:r>
    </w:p>
    <w:p w14:paraId="6CA3F6C9" w14:textId="77777777" w:rsidR="00F06869" w:rsidRPr="00965BA2" w:rsidRDefault="00F06869" w:rsidP="008B0F1C">
      <w:pPr>
        <w:spacing w:after="6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lastRenderedPageBreak/>
        <w:t xml:space="preserve">W związku ze stwierdzonymi nieprawidłowościami: </w:t>
      </w:r>
    </w:p>
    <w:p w14:paraId="693F7FD8" w14:textId="77777777" w:rsidR="00F06869" w:rsidRPr="00965BA2" w:rsidRDefault="00F06869" w:rsidP="00D34F97">
      <w:pPr>
        <w:numPr>
          <w:ilvl w:val="0"/>
          <w:numId w:val="189"/>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udzielono 7 pouczeń,</w:t>
      </w:r>
    </w:p>
    <w:p w14:paraId="44186101" w14:textId="77777777" w:rsidR="00F06869" w:rsidRPr="00965BA2" w:rsidRDefault="00F06869" w:rsidP="00D34F97">
      <w:pPr>
        <w:numPr>
          <w:ilvl w:val="0"/>
          <w:numId w:val="189"/>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nałożono 4 mandaty karne,</w:t>
      </w:r>
    </w:p>
    <w:p w14:paraId="764E2D8A" w14:textId="77777777" w:rsidR="00F06869" w:rsidRPr="00965BA2" w:rsidRDefault="00F06869" w:rsidP="00D34F97">
      <w:pPr>
        <w:numPr>
          <w:ilvl w:val="0"/>
          <w:numId w:val="189"/>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wydano 12 zarządzeń pokontrolnych,</w:t>
      </w:r>
    </w:p>
    <w:p w14:paraId="30360098" w14:textId="77777777" w:rsidR="00F06869" w:rsidRPr="00965BA2" w:rsidRDefault="00F06869" w:rsidP="00D34F97">
      <w:pPr>
        <w:numPr>
          <w:ilvl w:val="0"/>
          <w:numId w:val="189"/>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skierowano 1 wniosek do sądu,</w:t>
      </w:r>
    </w:p>
    <w:p w14:paraId="17B63131" w14:textId="77777777" w:rsidR="00F06869" w:rsidRDefault="00F06869" w:rsidP="00D34F97">
      <w:pPr>
        <w:numPr>
          <w:ilvl w:val="0"/>
          <w:numId w:val="189"/>
        </w:numPr>
        <w:spacing w:line="300" w:lineRule="atLeast"/>
        <w:contextualSpacing/>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skierowano 4 wnioski do organów ścigania,</w:t>
      </w:r>
    </w:p>
    <w:p w14:paraId="58221DAE" w14:textId="098A3F97" w:rsidR="00895F16" w:rsidRPr="00F06869" w:rsidRDefault="00F06869" w:rsidP="00D34F97">
      <w:pPr>
        <w:numPr>
          <w:ilvl w:val="0"/>
          <w:numId w:val="189"/>
        </w:numPr>
        <w:spacing w:line="300" w:lineRule="atLeast"/>
        <w:contextualSpacing/>
        <w:jc w:val="both"/>
        <w:rPr>
          <w:rFonts w:ascii="Times New Roman" w:eastAsia="Calibri" w:hAnsi="Times New Roman" w:cs="Times New Roman"/>
          <w:sz w:val="24"/>
          <w:szCs w:val="24"/>
        </w:rPr>
      </w:pPr>
      <w:r w:rsidRPr="00F06869">
        <w:rPr>
          <w:rFonts w:ascii="Times New Roman" w:eastAsia="Calibri" w:hAnsi="Times New Roman" w:cs="Times New Roman"/>
          <w:sz w:val="24"/>
          <w:szCs w:val="24"/>
        </w:rPr>
        <w:t>wydano 2 decyzje w sprawie nałożenia kar pieniężnych</w:t>
      </w:r>
      <w:r w:rsidR="00895F16" w:rsidRPr="00F06869">
        <w:rPr>
          <w:rFonts w:ascii="Times New Roman" w:eastAsia="Calibri" w:hAnsi="Times New Roman" w:cs="Times New Roman"/>
          <w:color w:val="000000"/>
          <w:sz w:val="24"/>
          <w:szCs w:val="24"/>
          <w:lang w:val="x-none" w:eastAsia="pl-PL"/>
        </w:rPr>
        <w:t>.</w:t>
      </w:r>
    </w:p>
    <w:p w14:paraId="2FD972D4" w14:textId="77777777" w:rsidR="00895F16" w:rsidRPr="007F400A" w:rsidRDefault="00895F16" w:rsidP="00056EE7">
      <w:pPr>
        <w:spacing w:after="0" w:line="300" w:lineRule="atLeast"/>
        <w:contextualSpacing/>
        <w:jc w:val="both"/>
        <w:rPr>
          <w:rFonts w:ascii="Times New Roman" w:eastAsia="Calibri" w:hAnsi="Times New Roman" w:cs="Times New Roman"/>
          <w:color w:val="000000"/>
          <w:sz w:val="24"/>
          <w:szCs w:val="24"/>
          <w:lang w:val="x-none" w:eastAsia="pl-PL"/>
        </w:rPr>
      </w:pPr>
    </w:p>
    <w:p w14:paraId="441707F5" w14:textId="199CD495" w:rsidR="00895F16" w:rsidRPr="007F400A" w:rsidRDefault="00895F16" w:rsidP="008B0F1C">
      <w:pPr>
        <w:keepNext/>
        <w:spacing w:after="120" w:line="300" w:lineRule="atLeast"/>
        <w:jc w:val="both"/>
        <w:outlineLvl w:val="0"/>
        <w:rPr>
          <w:rFonts w:ascii="Times New Roman" w:eastAsia="Times New Roman" w:hAnsi="Times New Roman" w:cs="Times New Roman"/>
          <w:b/>
          <w:sz w:val="24"/>
          <w:szCs w:val="24"/>
          <w:lang w:val="x-none" w:eastAsia="x-none"/>
        </w:rPr>
      </w:pPr>
      <w:bookmarkStart w:id="163" w:name="_Toc135935622"/>
      <w:r w:rsidRPr="007F400A">
        <w:rPr>
          <w:rFonts w:ascii="Times New Roman" w:eastAsia="Times New Roman" w:hAnsi="Times New Roman" w:cs="Times New Roman"/>
          <w:b/>
          <w:color w:val="000000"/>
          <w:sz w:val="24"/>
          <w:szCs w:val="24"/>
          <w:lang w:val="x-none" w:eastAsia="x-none"/>
        </w:rPr>
        <w:t>3.3.</w:t>
      </w:r>
      <w:r w:rsidR="00217FB6" w:rsidRPr="007F400A">
        <w:rPr>
          <w:rFonts w:ascii="Times New Roman" w:eastAsia="Times New Roman" w:hAnsi="Times New Roman" w:cs="Times New Roman"/>
          <w:b/>
          <w:color w:val="000000"/>
          <w:sz w:val="24"/>
          <w:szCs w:val="24"/>
          <w:lang w:eastAsia="x-none"/>
        </w:rPr>
        <w:t>3</w:t>
      </w:r>
      <w:r w:rsidR="00F06869">
        <w:rPr>
          <w:rFonts w:ascii="Times New Roman" w:eastAsia="Times New Roman" w:hAnsi="Times New Roman" w:cs="Times New Roman"/>
          <w:b/>
          <w:color w:val="000000"/>
          <w:sz w:val="24"/>
          <w:szCs w:val="24"/>
          <w:lang w:eastAsia="x-none"/>
        </w:rPr>
        <w:t>2</w:t>
      </w:r>
      <w:r w:rsidRPr="007F400A">
        <w:rPr>
          <w:rFonts w:ascii="Times New Roman" w:eastAsia="Times New Roman" w:hAnsi="Times New Roman" w:cs="Times New Roman"/>
          <w:b/>
          <w:color w:val="000000"/>
          <w:sz w:val="24"/>
          <w:szCs w:val="24"/>
          <w:lang w:val="x-none" w:eastAsia="x-none"/>
        </w:rPr>
        <w:t xml:space="preserve"> Dz</w:t>
      </w:r>
      <w:r w:rsidRPr="007F400A">
        <w:rPr>
          <w:rFonts w:ascii="Times New Roman" w:eastAsia="Times New Roman" w:hAnsi="Times New Roman" w:cs="Times New Roman"/>
          <w:b/>
          <w:sz w:val="24"/>
          <w:szCs w:val="24"/>
          <w:lang w:val="x-none" w:eastAsia="x-none"/>
        </w:rPr>
        <w:t>iałalność kontrolna w zakresie gospodarki odpadami w postaci drewnianych podkładów kolejowych</w:t>
      </w:r>
      <w:bookmarkEnd w:id="163"/>
    </w:p>
    <w:p w14:paraId="27508B0F" w14:textId="1B377D47" w:rsidR="00124D28" w:rsidRPr="007A0185" w:rsidRDefault="00124D28" w:rsidP="008B0F1C">
      <w:pPr>
        <w:spacing w:after="0" w:line="300" w:lineRule="atLeast"/>
        <w:ind w:firstLine="567"/>
        <w:jc w:val="both"/>
        <w:rPr>
          <w:rFonts w:ascii="Times New Roman" w:eastAsia="Calibri" w:hAnsi="Times New Roman" w:cs="Times New Roman"/>
          <w:sz w:val="24"/>
          <w:szCs w:val="24"/>
        </w:rPr>
      </w:pPr>
      <w:r w:rsidRPr="007A0185">
        <w:rPr>
          <w:rFonts w:ascii="Times New Roman" w:eastAsia="Calibri" w:hAnsi="Times New Roman" w:cs="Times New Roman"/>
          <w:sz w:val="24"/>
          <w:szCs w:val="24"/>
        </w:rPr>
        <w:t>Działalność w zakresie wytwarzania odpadów w postaci drewnianych podkładów kolejowych prowadzona była przez 77 podmiotów, spośród których najwięcej znajdowało się na terenie województwa zachodniopomorskiego (18). Rozmieszczenie pozostałych podmiotów na terenie województw przedstawiało się następująco: w mazowieckim (11), lubuskim (10), opolskim (9), łódzkim (7), lubelskim (5), kujawsko-pomorskim i w podkarpackim</w:t>
      </w:r>
      <w:r w:rsidR="009A49DA">
        <w:rPr>
          <w:rFonts w:ascii="Times New Roman" w:eastAsia="Calibri" w:hAnsi="Times New Roman" w:cs="Times New Roman"/>
          <w:sz w:val="24"/>
          <w:szCs w:val="24"/>
        </w:rPr>
        <w:t xml:space="preserve"> (po 4),</w:t>
      </w:r>
      <w:r w:rsidRPr="007A0185">
        <w:rPr>
          <w:rFonts w:ascii="Times New Roman" w:eastAsia="Calibri" w:hAnsi="Times New Roman" w:cs="Times New Roman"/>
          <w:sz w:val="24"/>
          <w:szCs w:val="24"/>
        </w:rPr>
        <w:br/>
        <w:t xml:space="preserve">dolnośląskim i małopolskim (po 3), warmińsko-mazurskim (2) i w pomorskim (1). </w:t>
      </w:r>
      <w:r w:rsidR="009A49DA">
        <w:rPr>
          <w:rFonts w:ascii="Times New Roman" w:eastAsia="Calibri" w:hAnsi="Times New Roman" w:cs="Times New Roman"/>
          <w:sz w:val="24"/>
          <w:szCs w:val="24"/>
        </w:rPr>
        <w:br/>
      </w:r>
      <w:r w:rsidRPr="007A0185">
        <w:rPr>
          <w:rFonts w:ascii="Times New Roman" w:eastAsia="Calibri" w:hAnsi="Times New Roman" w:cs="Times New Roman"/>
          <w:sz w:val="24"/>
          <w:szCs w:val="24"/>
        </w:rPr>
        <w:t xml:space="preserve">W przypadku województwa śląskiego i świętokrzyskiego brak było danych o liczbie ww. podmiotów. </w:t>
      </w:r>
    </w:p>
    <w:p w14:paraId="57F386E7" w14:textId="52BB5D5F" w:rsidR="00124D28" w:rsidRPr="00965BA2" w:rsidRDefault="00124D28" w:rsidP="009A49DA">
      <w:pPr>
        <w:spacing w:after="6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W 2022 r. wojewódzcy inspektorzy ochrony środowiska przeprowadzili łącznie 23 kontrol</w:t>
      </w:r>
      <w:r w:rsidR="008B0F1C">
        <w:rPr>
          <w:rFonts w:ascii="Times New Roman" w:eastAsia="Calibri" w:hAnsi="Times New Roman" w:cs="Times New Roman"/>
          <w:sz w:val="24"/>
          <w:szCs w:val="24"/>
        </w:rPr>
        <w:t>e</w:t>
      </w:r>
      <w:r w:rsidRPr="00965BA2">
        <w:rPr>
          <w:rFonts w:ascii="Times New Roman" w:eastAsia="Calibri" w:hAnsi="Times New Roman" w:cs="Times New Roman"/>
          <w:sz w:val="24"/>
          <w:szCs w:val="24"/>
        </w:rPr>
        <w:t xml:space="preserve"> wytwórców odpadów w postaci drewnianych podkładów kolejowych (w tym 8 kontroli planowych i 15 pozaplanowych). W wyniku 15 z nich ujawniono naruszenia wymagań ochrony środowiska, w tym:</w:t>
      </w:r>
    </w:p>
    <w:p w14:paraId="348B3E8F" w14:textId="77777777" w:rsidR="00124D28" w:rsidRPr="00965BA2" w:rsidRDefault="00124D28" w:rsidP="00D34F97">
      <w:pPr>
        <w:numPr>
          <w:ilvl w:val="0"/>
          <w:numId w:val="125"/>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eastAsia="pl-PL"/>
        </w:rPr>
        <w:t>10</w:t>
      </w:r>
      <w:r w:rsidRPr="00965BA2">
        <w:rPr>
          <w:rFonts w:ascii="Times New Roman" w:eastAsia="Calibri" w:hAnsi="Times New Roman" w:cs="Times New Roman"/>
          <w:sz w:val="24"/>
          <w:szCs w:val="24"/>
          <w:lang w:val="x-none" w:eastAsia="pl-PL"/>
        </w:rPr>
        <w:t xml:space="preserve"> kontroli</w:t>
      </w:r>
      <w:r w:rsidRPr="00965BA2">
        <w:rPr>
          <w:rFonts w:ascii="Times New Roman" w:eastAsia="Calibri" w:hAnsi="Times New Roman" w:cs="Times New Roman"/>
          <w:sz w:val="24"/>
          <w:szCs w:val="24"/>
          <w:lang w:eastAsia="pl-PL"/>
        </w:rPr>
        <w:t xml:space="preserve"> z naruszeniami </w:t>
      </w:r>
      <w:r w:rsidRPr="00965BA2">
        <w:rPr>
          <w:rFonts w:ascii="Times New Roman" w:eastAsia="Calibri" w:hAnsi="Times New Roman" w:cs="Times New Roman"/>
          <w:sz w:val="24"/>
          <w:szCs w:val="24"/>
          <w:lang w:val="x-none" w:eastAsia="pl-PL"/>
        </w:rPr>
        <w:t>bez istotnego wpływu na środowisko</w:t>
      </w:r>
      <w:r w:rsidRPr="00965BA2">
        <w:rPr>
          <w:rFonts w:ascii="Times New Roman" w:eastAsia="Calibri" w:hAnsi="Times New Roman" w:cs="Times New Roman"/>
          <w:sz w:val="24"/>
          <w:szCs w:val="24"/>
          <w:lang w:eastAsia="pl-PL"/>
        </w:rPr>
        <w:t>,</w:t>
      </w:r>
    </w:p>
    <w:p w14:paraId="5CEBCA57" w14:textId="77777777" w:rsidR="00124D28" w:rsidRPr="00965BA2" w:rsidRDefault="00124D28" w:rsidP="00D34F97">
      <w:pPr>
        <w:numPr>
          <w:ilvl w:val="0"/>
          <w:numId w:val="125"/>
        </w:numPr>
        <w:spacing w:after="120" w:line="300" w:lineRule="atLeast"/>
        <w:ind w:left="924" w:hanging="357"/>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eastAsia="pl-PL"/>
        </w:rPr>
        <w:t>5</w:t>
      </w:r>
      <w:r w:rsidRPr="00965BA2">
        <w:rPr>
          <w:rFonts w:ascii="Times New Roman" w:eastAsia="Calibri" w:hAnsi="Times New Roman" w:cs="Times New Roman"/>
          <w:sz w:val="24"/>
          <w:szCs w:val="24"/>
          <w:lang w:val="x-none" w:eastAsia="pl-PL"/>
        </w:rPr>
        <w:t xml:space="preserve"> </w:t>
      </w:r>
      <w:r w:rsidRPr="00965BA2">
        <w:rPr>
          <w:rFonts w:ascii="Times New Roman" w:eastAsia="Calibri" w:hAnsi="Times New Roman" w:cs="Times New Roman"/>
          <w:sz w:val="24"/>
          <w:szCs w:val="24"/>
          <w:lang w:eastAsia="pl-PL"/>
        </w:rPr>
        <w:t xml:space="preserve">kontroli z naruszeniami, które </w:t>
      </w:r>
      <w:r w:rsidRPr="00965BA2">
        <w:rPr>
          <w:rFonts w:ascii="Times New Roman" w:eastAsia="Calibri" w:hAnsi="Times New Roman" w:cs="Times New Roman"/>
          <w:sz w:val="24"/>
          <w:szCs w:val="24"/>
          <w:lang w:val="x-none" w:eastAsia="pl-PL"/>
        </w:rPr>
        <w:t>mogły spowodować zagrożenie lub zanieczyszczenie środowiska</w:t>
      </w:r>
      <w:r w:rsidRPr="00965BA2">
        <w:rPr>
          <w:rFonts w:ascii="Times New Roman" w:eastAsia="Calibri" w:hAnsi="Times New Roman" w:cs="Times New Roman"/>
          <w:sz w:val="24"/>
          <w:szCs w:val="24"/>
          <w:lang w:eastAsia="pl-PL"/>
        </w:rPr>
        <w:t>.</w:t>
      </w:r>
    </w:p>
    <w:p w14:paraId="5CBE5601" w14:textId="77777777" w:rsidR="00124D28" w:rsidRPr="00965BA2" w:rsidRDefault="00124D28" w:rsidP="009A49DA">
      <w:pPr>
        <w:spacing w:after="6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W związku ze stwierdzonymi nieprawidłowościami:</w:t>
      </w:r>
    </w:p>
    <w:p w14:paraId="0CF63B82" w14:textId="77777777" w:rsidR="00124D28" w:rsidRPr="00965BA2" w:rsidRDefault="00124D28" w:rsidP="00D34F97">
      <w:pPr>
        <w:numPr>
          <w:ilvl w:val="0"/>
          <w:numId w:val="126"/>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udzielono 5 pouczeń,</w:t>
      </w:r>
    </w:p>
    <w:p w14:paraId="5D55A737" w14:textId="77777777" w:rsidR="00124D28" w:rsidRPr="00965BA2" w:rsidRDefault="00124D28" w:rsidP="00D34F97">
      <w:pPr>
        <w:numPr>
          <w:ilvl w:val="0"/>
          <w:numId w:val="126"/>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nałożono </w:t>
      </w:r>
      <w:r w:rsidRPr="00965BA2">
        <w:rPr>
          <w:rFonts w:ascii="Times New Roman" w:eastAsia="Calibri" w:hAnsi="Times New Roman" w:cs="Times New Roman"/>
          <w:sz w:val="24"/>
          <w:szCs w:val="24"/>
          <w:lang w:eastAsia="pl-PL"/>
        </w:rPr>
        <w:t>3</w:t>
      </w:r>
      <w:r w:rsidRPr="00965BA2">
        <w:rPr>
          <w:rFonts w:ascii="Times New Roman" w:eastAsia="Calibri" w:hAnsi="Times New Roman" w:cs="Times New Roman"/>
          <w:sz w:val="24"/>
          <w:szCs w:val="24"/>
          <w:lang w:val="x-none" w:eastAsia="pl-PL"/>
        </w:rPr>
        <w:t xml:space="preserve"> mandat</w:t>
      </w:r>
      <w:r w:rsidRPr="00965BA2">
        <w:rPr>
          <w:rFonts w:ascii="Times New Roman" w:eastAsia="Calibri" w:hAnsi="Times New Roman" w:cs="Times New Roman"/>
          <w:sz w:val="24"/>
          <w:szCs w:val="24"/>
          <w:lang w:eastAsia="pl-PL"/>
        </w:rPr>
        <w:t>y</w:t>
      </w:r>
      <w:r w:rsidRPr="00965BA2">
        <w:rPr>
          <w:rFonts w:ascii="Times New Roman" w:eastAsia="Calibri" w:hAnsi="Times New Roman" w:cs="Times New Roman"/>
          <w:sz w:val="24"/>
          <w:szCs w:val="24"/>
          <w:lang w:val="x-none" w:eastAsia="pl-PL"/>
        </w:rPr>
        <w:t xml:space="preserve"> karn</w:t>
      </w:r>
      <w:r w:rsidRPr="00965BA2">
        <w:rPr>
          <w:rFonts w:ascii="Times New Roman" w:eastAsia="Calibri" w:hAnsi="Times New Roman" w:cs="Times New Roman"/>
          <w:sz w:val="24"/>
          <w:szCs w:val="24"/>
          <w:lang w:eastAsia="pl-PL"/>
        </w:rPr>
        <w:t>e</w:t>
      </w:r>
      <w:r w:rsidRPr="00965BA2">
        <w:rPr>
          <w:rFonts w:ascii="Times New Roman" w:eastAsia="Calibri" w:hAnsi="Times New Roman" w:cs="Times New Roman"/>
          <w:sz w:val="24"/>
          <w:szCs w:val="24"/>
          <w:lang w:val="x-none" w:eastAsia="pl-PL"/>
        </w:rPr>
        <w:t>,</w:t>
      </w:r>
    </w:p>
    <w:p w14:paraId="39FCE3A4" w14:textId="77777777" w:rsidR="00124D28" w:rsidRPr="00965BA2" w:rsidRDefault="00124D28" w:rsidP="00D34F97">
      <w:pPr>
        <w:numPr>
          <w:ilvl w:val="0"/>
          <w:numId w:val="126"/>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wydano </w:t>
      </w:r>
      <w:r w:rsidRPr="00965BA2">
        <w:rPr>
          <w:rFonts w:ascii="Times New Roman" w:eastAsia="Calibri" w:hAnsi="Times New Roman" w:cs="Times New Roman"/>
          <w:sz w:val="24"/>
          <w:szCs w:val="24"/>
          <w:lang w:eastAsia="pl-PL"/>
        </w:rPr>
        <w:t>8</w:t>
      </w:r>
      <w:r w:rsidRPr="00965BA2">
        <w:rPr>
          <w:rFonts w:ascii="Times New Roman" w:eastAsia="Calibri" w:hAnsi="Times New Roman" w:cs="Times New Roman"/>
          <w:sz w:val="24"/>
          <w:szCs w:val="24"/>
          <w:lang w:val="x-none" w:eastAsia="pl-PL"/>
        </w:rPr>
        <w:t xml:space="preserve"> zarządzeń pokontrolnych,</w:t>
      </w:r>
    </w:p>
    <w:p w14:paraId="35B5CB51" w14:textId="77777777" w:rsidR="00124D28" w:rsidRPr="00965BA2" w:rsidRDefault="00124D28" w:rsidP="00D34F97">
      <w:pPr>
        <w:numPr>
          <w:ilvl w:val="0"/>
          <w:numId w:val="126"/>
        </w:numPr>
        <w:spacing w:after="0" w:line="300" w:lineRule="atLeast"/>
        <w:ind w:left="924" w:hanging="357"/>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wydano </w:t>
      </w:r>
      <w:r w:rsidRPr="00965BA2">
        <w:rPr>
          <w:rFonts w:ascii="Times New Roman" w:eastAsia="Calibri" w:hAnsi="Times New Roman" w:cs="Times New Roman"/>
          <w:sz w:val="24"/>
          <w:szCs w:val="24"/>
          <w:lang w:eastAsia="pl-PL"/>
        </w:rPr>
        <w:t>5</w:t>
      </w:r>
      <w:r w:rsidRPr="00965BA2">
        <w:rPr>
          <w:rFonts w:ascii="Times New Roman" w:eastAsia="Calibri" w:hAnsi="Times New Roman" w:cs="Times New Roman"/>
          <w:sz w:val="24"/>
          <w:szCs w:val="24"/>
          <w:lang w:val="x-none" w:eastAsia="pl-PL"/>
        </w:rPr>
        <w:t xml:space="preserve"> decyzj</w:t>
      </w:r>
      <w:r w:rsidRPr="00965BA2">
        <w:rPr>
          <w:rFonts w:ascii="Times New Roman" w:eastAsia="Calibri" w:hAnsi="Times New Roman" w:cs="Times New Roman"/>
          <w:sz w:val="24"/>
          <w:szCs w:val="24"/>
          <w:lang w:eastAsia="pl-PL"/>
        </w:rPr>
        <w:t>i</w:t>
      </w:r>
      <w:r w:rsidRPr="00965BA2">
        <w:rPr>
          <w:rFonts w:ascii="Times New Roman" w:eastAsia="Calibri" w:hAnsi="Times New Roman" w:cs="Times New Roman"/>
          <w:sz w:val="24"/>
          <w:szCs w:val="24"/>
          <w:lang w:val="x-none" w:eastAsia="pl-PL"/>
        </w:rPr>
        <w:t xml:space="preserve"> </w:t>
      </w:r>
      <w:r w:rsidRPr="00965BA2">
        <w:rPr>
          <w:rFonts w:ascii="Times New Roman" w:eastAsia="Times New Roman" w:hAnsi="Times New Roman" w:cs="Times New Roman"/>
          <w:sz w:val="24"/>
          <w:szCs w:val="24"/>
          <w:lang w:val="x-none" w:eastAsia="pl-PL"/>
        </w:rPr>
        <w:t>w sprawie nałożenia kar pieniężnych</w:t>
      </w:r>
      <w:r w:rsidRPr="00965BA2">
        <w:rPr>
          <w:rFonts w:ascii="Times New Roman" w:eastAsia="Calibri" w:hAnsi="Times New Roman" w:cs="Times New Roman"/>
          <w:sz w:val="24"/>
          <w:szCs w:val="24"/>
          <w:lang w:eastAsia="pl-PL"/>
        </w:rPr>
        <w:t>,</w:t>
      </w:r>
    </w:p>
    <w:p w14:paraId="1A45B9DF" w14:textId="77777777" w:rsidR="00124D28" w:rsidRPr="00965BA2" w:rsidRDefault="00124D28" w:rsidP="00D34F97">
      <w:pPr>
        <w:numPr>
          <w:ilvl w:val="0"/>
          <w:numId w:val="126"/>
        </w:numPr>
        <w:spacing w:after="0" w:line="300" w:lineRule="atLeast"/>
        <w:ind w:left="924" w:hanging="357"/>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skierowano </w:t>
      </w:r>
      <w:r w:rsidRPr="00965BA2">
        <w:rPr>
          <w:rFonts w:ascii="Times New Roman" w:eastAsia="Calibri" w:hAnsi="Times New Roman" w:cs="Times New Roman"/>
          <w:sz w:val="24"/>
          <w:szCs w:val="24"/>
          <w:lang w:eastAsia="pl-PL"/>
        </w:rPr>
        <w:t>1</w:t>
      </w:r>
      <w:r w:rsidRPr="00965BA2">
        <w:rPr>
          <w:rFonts w:ascii="Times New Roman" w:eastAsia="Calibri" w:hAnsi="Times New Roman" w:cs="Times New Roman"/>
          <w:sz w:val="24"/>
          <w:szCs w:val="24"/>
          <w:lang w:val="x-none" w:eastAsia="pl-PL"/>
        </w:rPr>
        <w:t xml:space="preserve"> wnios</w:t>
      </w:r>
      <w:r w:rsidRPr="00965BA2">
        <w:rPr>
          <w:rFonts w:ascii="Times New Roman" w:eastAsia="Calibri" w:hAnsi="Times New Roman" w:cs="Times New Roman"/>
          <w:sz w:val="24"/>
          <w:szCs w:val="24"/>
          <w:lang w:eastAsia="pl-PL"/>
        </w:rPr>
        <w:t>ek</w:t>
      </w:r>
      <w:r w:rsidRPr="00965BA2">
        <w:rPr>
          <w:rFonts w:ascii="Times New Roman" w:eastAsia="Calibri" w:hAnsi="Times New Roman" w:cs="Times New Roman"/>
          <w:sz w:val="24"/>
          <w:szCs w:val="24"/>
          <w:lang w:val="x-none" w:eastAsia="pl-PL"/>
        </w:rPr>
        <w:t xml:space="preserve"> do sąd</w:t>
      </w:r>
      <w:r w:rsidRPr="00965BA2">
        <w:rPr>
          <w:rFonts w:ascii="Times New Roman" w:eastAsia="Calibri" w:hAnsi="Times New Roman" w:cs="Times New Roman"/>
          <w:sz w:val="24"/>
          <w:szCs w:val="24"/>
          <w:lang w:eastAsia="pl-PL"/>
        </w:rPr>
        <w:t>u</w:t>
      </w:r>
      <w:r w:rsidRPr="00965BA2">
        <w:rPr>
          <w:rFonts w:ascii="Times New Roman" w:eastAsia="Calibri" w:hAnsi="Times New Roman" w:cs="Times New Roman"/>
          <w:sz w:val="24"/>
          <w:szCs w:val="24"/>
          <w:lang w:val="x-none" w:eastAsia="pl-PL"/>
        </w:rPr>
        <w:t xml:space="preserve"> o ukaranie karą grzywny,</w:t>
      </w:r>
    </w:p>
    <w:p w14:paraId="7FF85283" w14:textId="77777777" w:rsidR="00124D28" w:rsidRPr="00965BA2" w:rsidRDefault="00124D28" w:rsidP="00D34F97">
      <w:pPr>
        <w:numPr>
          <w:ilvl w:val="0"/>
          <w:numId w:val="126"/>
        </w:numPr>
        <w:spacing w:after="0" w:line="300" w:lineRule="atLeast"/>
        <w:ind w:left="924" w:hanging="357"/>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rPr>
        <w:t xml:space="preserve">wydano 1 decyzję wstrzymującą działalność podmiotu. </w:t>
      </w:r>
    </w:p>
    <w:p w14:paraId="748255C3" w14:textId="77777777" w:rsidR="00124D28" w:rsidRPr="00965BA2" w:rsidRDefault="00124D28" w:rsidP="00056EE7">
      <w:pPr>
        <w:spacing w:after="0" w:line="300" w:lineRule="atLeast"/>
        <w:jc w:val="both"/>
        <w:rPr>
          <w:rFonts w:ascii="Times New Roman" w:eastAsia="Calibri" w:hAnsi="Times New Roman" w:cs="Times New Roman"/>
          <w:sz w:val="24"/>
          <w:szCs w:val="24"/>
          <w:lang w:val="x-none" w:eastAsia="pl-PL"/>
        </w:rPr>
      </w:pPr>
    </w:p>
    <w:p w14:paraId="47210284" w14:textId="77777777" w:rsidR="00124D28" w:rsidRPr="00965BA2" w:rsidRDefault="00124D28" w:rsidP="009A49DA">
      <w:pPr>
        <w:spacing w:after="120" w:line="300" w:lineRule="atLeast"/>
        <w:jc w:val="both"/>
        <w:rPr>
          <w:rFonts w:ascii="Times New Roman" w:eastAsia="Calibri" w:hAnsi="Times New Roman" w:cs="Times New Roman"/>
          <w:b/>
          <w:sz w:val="24"/>
          <w:szCs w:val="24"/>
        </w:rPr>
      </w:pPr>
      <w:r w:rsidRPr="00965BA2">
        <w:rPr>
          <w:rFonts w:ascii="Times New Roman" w:eastAsia="Calibri" w:hAnsi="Times New Roman" w:cs="Times New Roman"/>
          <w:b/>
          <w:sz w:val="24"/>
          <w:szCs w:val="24"/>
        </w:rPr>
        <w:t>Zbierający oraz przetwarzający odpady podkładów kolejowych</w:t>
      </w:r>
    </w:p>
    <w:p w14:paraId="586A525A" w14:textId="1EF2B250" w:rsidR="00124D28" w:rsidRPr="00C24DEB" w:rsidRDefault="00124D28" w:rsidP="009A49DA">
      <w:pPr>
        <w:spacing w:after="0" w:line="300" w:lineRule="atLeast"/>
        <w:ind w:firstLine="567"/>
        <w:jc w:val="both"/>
        <w:rPr>
          <w:rFonts w:ascii="Times New Roman" w:eastAsia="Calibri" w:hAnsi="Times New Roman" w:cs="Times New Roman"/>
          <w:sz w:val="24"/>
          <w:szCs w:val="24"/>
        </w:rPr>
      </w:pPr>
      <w:r w:rsidRPr="00C24DEB">
        <w:rPr>
          <w:rFonts w:ascii="Times New Roman" w:eastAsia="Calibri" w:hAnsi="Times New Roman" w:cs="Times New Roman"/>
          <w:sz w:val="24"/>
          <w:szCs w:val="24"/>
        </w:rPr>
        <w:t>Działalność w zakresie zbierania odpadów w postaci drewnianych podkładów kolejowych prowadzona była przez 44 podmiot</w:t>
      </w:r>
      <w:r w:rsidR="009A49DA">
        <w:rPr>
          <w:rFonts w:ascii="Times New Roman" w:eastAsia="Calibri" w:hAnsi="Times New Roman" w:cs="Times New Roman"/>
          <w:sz w:val="24"/>
          <w:szCs w:val="24"/>
        </w:rPr>
        <w:t>y</w:t>
      </w:r>
      <w:r w:rsidRPr="00C24DEB">
        <w:rPr>
          <w:rFonts w:ascii="Times New Roman" w:eastAsia="Calibri" w:hAnsi="Times New Roman" w:cs="Times New Roman"/>
          <w:sz w:val="24"/>
          <w:szCs w:val="24"/>
        </w:rPr>
        <w:t xml:space="preserve">. Najwięcej z takich podmiotów również znajdowało się w województwie opolskim (8). W pozostałych województwach liczba ta wynosiła: w łódzkim (6), w lubuskim (5), w wielkopolskim i w dolnośląskim (po 4), </w:t>
      </w:r>
      <w:r w:rsidR="009A49DA">
        <w:rPr>
          <w:rFonts w:ascii="Times New Roman" w:eastAsia="Calibri" w:hAnsi="Times New Roman" w:cs="Times New Roman"/>
          <w:sz w:val="24"/>
          <w:szCs w:val="24"/>
        </w:rPr>
        <w:br/>
      </w:r>
      <w:r w:rsidRPr="00C24DEB">
        <w:rPr>
          <w:rFonts w:ascii="Times New Roman" w:eastAsia="Calibri" w:hAnsi="Times New Roman" w:cs="Times New Roman"/>
          <w:sz w:val="24"/>
          <w:szCs w:val="24"/>
        </w:rPr>
        <w:t xml:space="preserve">w lubelskim, w małopolskim, w podkarpackim i w podlaskim (po 3), w kujawsko-pomorskim i w mazowieckim (po 2), w warmińsko-mazurskim (1). </w:t>
      </w:r>
    </w:p>
    <w:p w14:paraId="01E61CB8" w14:textId="77777777" w:rsidR="00124D28" w:rsidRPr="00965BA2" w:rsidRDefault="00124D28" w:rsidP="009A49DA">
      <w:pPr>
        <w:spacing w:after="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 xml:space="preserve">Natomiast działalność w zakresie przetwarzania odpadów w postaci drewnianych podkładów kolejowych prowadzona była przez 24 podmioty, których rozmieszczenie na terenie województw przedstawiało się następująco: w lubuskim i w śląskim (po 4), w pomorskim </w:t>
      </w:r>
      <w:r w:rsidRPr="00965BA2">
        <w:rPr>
          <w:rFonts w:ascii="Times New Roman" w:eastAsia="Calibri" w:hAnsi="Times New Roman" w:cs="Times New Roman"/>
          <w:sz w:val="24"/>
          <w:szCs w:val="24"/>
        </w:rPr>
        <w:br/>
        <w:t xml:space="preserve">i w świętokrzyskim (po 3), w lubelskim (2), w dolnośląskim, w kujawsko-pomorskim, </w:t>
      </w:r>
      <w:r>
        <w:rPr>
          <w:rFonts w:ascii="Times New Roman" w:eastAsia="Calibri" w:hAnsi="Times New Roman" w:cs="Times New Roman"/>
          <w:sz w:val="24"/>
          <w:szCs w:val="24"/>
        </w:rPr>
        <w:br/>
      </w:r>
      <w:r w:rsidRPr="00965BA2">
        <w:rPr>
          <w:rFonts w:ascii="Times New Roman" w:eastAsia="Calibri" w:hAnsi="Times New Roman" w:cs="Times New Roman"/>
          <w:sz w:val="24"/>
          <w:szCs w:val="24"/>
        </w:rPr>
        <w:lastRenderedPageBreak/>
        <w:t xml:space="preserve">w podkarpackim, w podlaskim, w małopolskim, w wielkopolskim, w warmińsko-mazurskim </w:t>
      </w:r>
      <w:r>
        <w:rPr>
          <w:rFonts w:ascii="Times New Roman" w:eastAsia="Calibri" w:hAnsi="Times New Roman" w:cs="Times New Roman"/>
          <w:sz w:val="24"/>
          <w:szCs w:val="24"/>
        </w:rPr>
        <w:br/>
      </w:r>
      <w:r w:rsidRPr="00965BA2">
        <w:rPr>
          <w:rFonts w:ascii="Times New Roman" w:eastAsia="Calibri" w:hAnsi="Times New Roman" w:cs="Times New Roman"/>
          <w:sz w:val="24"/>
          <w:szCs w:val="24"/>
        </w:rPr>
        <w:t>i w opolskim (po 1).</w:t>
      </w:r>
    </w:p>
    <w:p w14:paraId="73E86009" w14:textId="77777777" w:rsidR="00124D28" w:rsidRPr="00965BA2" w:rsidRDefault="00124D28" w:rsidP="009A49DA">
      <w:pPr>
        <w:spacing w:before="120" w:after="6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W 2022 r. wojewódzcy inspektorzy ochrony środowiska przeprowadzili łącznie 33 kontrole podmiotów prowadzących zbieranie odpadów w postaci drewnianych podkładów kolejowych (w tym 4 kontrole planowe i 29 pozaplanowych). W wyniku 15 kontroli stwierdzono naruszenia wymagań ochrony środowiska, w tym:</w:t>
      </w:r>
    </w:p>
    <w:p w14:paraId="34B92505" w14:textId="77777777" w:rsidR="00124D28" w:rsidRPr="00965BA2" w:rsidRDefault="00124D28" w:rsidP="00D34F97">
      <w:pPr>
        <w:numPr>
          <w:ilvl w:val="0"/>
          <w:numId w:val="127"/>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eastAsia="pl-PL"/>
        </w:rPr>
        <w:t xml:space="preserve">9 (60%) </w:t>
      </w:r>
      <w:r w:rsidRPr="00965BA2">
        <w:rPr>
          <w:rFonts w:ascii="Times New Roman" w:eastAsia="Calibri" w:hAnsi="Times New Roman" w:cs="Times New Roman"/>
          <w:sz w:val="24"/>
          <w:szCs w:val="24"/>
          <w:lang w:val="x-none" w:eastAsia="pl-PL"/>
        </w:rPr>
        <w:t>kontrol</w:t>
      </w:r>
      <w:r w:rsidRPr="00965BA2">
        <w:rPr>
          <w:rFonts w:ascii="Times New Roman" w:eastAsia="Calibri" w:hAnsi="Times New Roman" w:cs="Times New Roman"/>
          <w:sz w:val="24"/>
          <w:szCs w:val="24"/>
          <w:lang w:eastAsia="pl-PL"/>
        </w:rPr>
        <w:t xml:space="preserve">i z naruszeniami </w:t>
      </w:r>
      <w:r w:rsidRPr="00965BA2">
        <w:rPr>
          <w:rFonts w:ascii="Times New Roman" w:eastAsia="Calibri" w:hAnsi="Times New Roman" w:cs="Times New Roman"/>
          <w:sz w:val="24"/>
          <w:szCs w:val="24"/>
          <w:lang w:val="x-none" w:eastAsia="pl-PL"/>
        </w:rPr>
        <w:t>bez istotnego wpływu na środowisko</w:t>
      </w:r>
      <w:r w:rsidRPr="00965BA2">
        <w:rPr>
          <w:rFonts w:ascii="Times New Roman" w:eastAsia="Calibri" w:hAnsi="Times New Roman" w:cs="Times New Roman"/>
          <w:sz w:val="24"/>
          <w:szCs w:val="24"/>
          <w:lang w:eastAsia="pl-PL"/>
        </w:rPr>
        <w:t>,</w:t>
      </w:r>
    </w:p>
    <w:p w14:paraId="3DCE0303" w14:textId="77777777" w:rsidR="00124D28" w:rsidRPr="00965BA2" w:rsidRDefault="00124D28" w:rsidP="00D34F97">
      <w:pPr>
        <w:numPr>
          <w:ilvl w:val="0"/>
          <w:numId w:val="127"/>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eastAsia="pl-PL"/>
        </w:rPr>
        <w:t xml:space="preserve">6 (40%) </w:t>
      </w:r>
      <w:r w:rsidRPr="00965BA2">
        <w:rPr>
          <w:rFonts w:ascii="Times New Roman" w:eastAsia="Calibri" w:hAnsi="Times New Roman" w:cs="Times New Roman"/>
          <w:sz w:val="24"/>
          <w:szCs w:val="24"/>
          <w:lang w:val="x-none" w:eastAsia="pl-PL"/>
        </w:rPr>
        <w:t>kontrol</w:t>
      </w:r>
      <w:r w:rsidRPr="00965BA2">
        <w:rPr>
          <w:rFonts w:ascii="Times New Roman" w:eastAsia="Calibri" w:hAnsi="Times New Roman" w:cs="Times New Roman"/>
          <w:sz w:val="24"/>
          <w:szCs w:val="24"/>
          <w:lang w:eastAsia="pl-PL"/>
        </w:rPr>
        <w:t>i</w:t>
      </w:r>
      <w:r w:rsidRPr="00965BA2">
        <w:rPr>
          <w:rFonts w:ascii="Times New Roman" w:eastAsia="Calibri" w:hAnsi="Times New Roman" w:cs="Times New Roman"/>
          <w:sz w:val="24"/>
          <w:szCs w:val="24"/>
          <w:lang w:val="x-none" w:eastAsia="pl-PL"/>
        </w:rPr>
        <w:t xml:space="preserve"> z naruszeniami</w:t>
      </w:r>
      <w:r w:rsidRPr="00965BA2">
        <w:rPr>
          <w:rFonts w:ascii="Times New Roman" w:eastAsia="Calibri" w:hAnsi="Times New Roman" w:cs="Times New Roman"/>
          <w:sz w:val="24"/>
          <w:szCs w:val="24"/>
          <w:lang w:eastAsia="pl-PL"/>
        </w:rPr>
        <w:t>,</w:t>
      </w:r>
      <w:r w:rsidRPr="00965BA2">
        <w:rPr>
          <w:rFonts w:ascii="Times New Roman" w:eastAsia="Calibri" w:hAnsi="Times New Roman" w:cs="Times New Roman"/>
          <w:sz w:val="24"/>
          <w:szCs w:val="24"/>
          <w:lang w:val="x-none" w:eastAsia="pl-PL"/>
        </w:rPr>
        <w:t xml:space="preserve"> które mogły spowodować zagrożenie lub zanieczyszczenie środowiska.</w:t>
      </w:r>
    </w:p>
    <w:p w14:paraId="23566DE5" w14:textId="77777777" w:rsidR="00124D28" w:rsidRPr="00965BA2" w:rsidRDefault="00124D28" w:rsidP="009A49DA">
      <w:pPr>
        <w:spacing w:before="120" w:after="6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Wojewódzcy inspektorzy ochrony środowiska przeprowadzili również łącznie 19</w:t>
      </w:r>
      <w:r>
        <w:rPr>
          <w:rFonts w:ascii="Times New Roman" w:eastAsia="Calibri" w:hAnsi="Times New Roman" w:cs="Times New Roman"/>
          <w:sz w:val="24"/>
          <w:szCs w:val="24"/>
        </w:rPr>
        <w:t xml:space="preserve"> </w:t>
      </w:r>
      <w:r w:rsidRPr="00965BA2">
        <w:rPr>
          <w:rFonts w:ascii="Times New Roman" w:eastAsia="Calibri" w:hAnsi="Times New Roman" w:cs="Times New Roman"/>
          <w:sz w:val="24"/>
          <w:szCs w:val="24"/>
        </w:rPr>
        <w:t>kontroli podmiotów prowadzących przetwarzanie odpadów w postaci drewnianych podkładów kolejowych (w tym 7 kontroli planowych i 12 pozaplanowych). W ponad połowie z</w:t>
      </w:r>
      <w:r>
        <w:rPr>
          <w:rFonts w:ascii="Times New Roman" w:eastAsia="Calibri" w:hAnsi="Times New Roman" w:cs="Times New Roman"/>
          <w:sz w:val="24"/>
          <w:szCs w:val="24"/>
        </w:rPr>
        <w:t xml:space="preserve"> </w:t>
      </w:r>
      <w:r w:rsidRPr="00965BA2">
        <w:rPr>
          <w:rFonts w:ascii="Times New Roman" w:eastAsia="Calibri" w:hAnsi="Times New Roman" w:cs="Times New Roman"/>
          <w:sz w:val="24"/>
          <w:szCs w:val="24"/>
        </w:rPr>
        <w:t>nich (12) ujawniono naruszenia wymagań ochrony środowiska, w tym:</w:t>
      </w:r>
    </w:p>
    <w:p w14:paraId="45C2C1EF" w14:textId="77777777" w:rsidR="00124D28" w:rsidRPr="00965BA2" w:rsidRDefault="00124D28" w:rsidP="00D34F97">
      <w:pPr>
        <w:numPr>
          <w:ilvl w:val="0"/>
          <w:numId w:val="129"/>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eastAsia="pl-PL"/>
        </w:rPr>
        <w:t>8 (</w:t>
      </w:r>
      <w:r>
        <w:rPr>
          <w:rFonts w:ascii="Times New Roman" w:eastAsia="Calibri" w:hAnsi="Times New Roman" w:cs="Times New Roman"/>
          <w:sz w:val="24"/>
          <w:szCs w:val="24"/>
          <w:lang w:eastAsia="pl-PL"/>
        </w:rPr>
        <w:t>67%</w:t>
      </w:r>
      <w:r w:rsidRPr="00965BA2">
        <w:rPr>
          <w:rFonts w:ascii="Times New Roman" w:eastAsia="Calibri" w:hAnsi="Times New Roman" w:cs="Times New Roman"/>
          <w:sz w:val="24"/>
          <w:szCs w:val="24"/>
          <w:lang w:eastAsia="pl-PL"/>
        </w:rPr>
        <w:t xml:space="preserve">) kontroli z naruszeniami </w:t>
      </w:r>
      <w:r w:rsidRPr="00965BA2">
        <w:rPr>
          <w:rFonts w:ascii="Times New Roman" w:eastAsia="Calibri" w:hAnsi="Times New Roman" w:cs="Times New Roman"/>
          <w:sz w:val="24"/>
          <w:szCs w:val="24"/>
          <w:lang w:val="x-none" w:eastAsia="pl-PL"/>
        </w:rPr>
        <w:t>bez istotnego wpływu na środowisko</w:t>
      </w:r>
      <w:r w:rsidRPr="00965BA2">
        <w:rPr>
          <w:rFonts w:ascii="Times New Roman" w:eastAsia="Calibri" w:hAnsi="Times New Roman" w:cs="Times New Roman"/>
          <w:sz w:val="24"/>
          <w:szCs w:val="24"/>
          <w:lang w:eastAsia="pl-PL"/>
        </w:rPr>
        <w:t>,</w:t>
      </w:r>
    </w:p>
    <w:p w14:paraId="5B96BC33" w14:textId="77777777" w:rsidR="00124D28" w:rsidRPr="00965BA2" w:rsidRDefault="00124D28" w:rsidP="00D34F97">
      <w:pPr>
        <w:numPr>
          <w:ilvl w:val="0"/>
          <w:numId w:val="128"/>
        </w:numPr>
        <w:spacing w:after="60" w:line="300" w:lineRule="atLeast"/>
        <w:ind w:left="924" w:hanging="357"/>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eastAsia="pl-PL"/>
        </w:rPr>
        <w:t>4 (</w:t>
      </w:r>
      <w:r>
        <w:rPr>
          <w:rFonts w:ascii="Times New Roman" w:eastAsia="Calibri" w:hAnsi="Times New Roman" w:cs="Times New Roman"/>
          <w:sz w:val="24"/>
          <w:szCs w:val="24"/>
          <w:lang w:eastAsia="pl-PL"/>
        </w:rPr>
        <w:t>33%</w:t>
      </w:r>
      <w:r w:rsidRPr="00965BA2">
        <w:rPr>
          <w:rFonts w:ascii="Times New Roman" w:eastAsia="Calibri" w:hAnsi="Times New Roman" w:cs="Times New Roman"/>
          <w:sz w:val="24"/>
          <w:szCs w:val="24"/>
          <w:lang w:eastAsia="pl-PL"/>
        </w:rPr>
        <w:t xml:space="preserve">) </w:t>
      </w:r>
      <w:r w:rsidRPr="00965BA2">
        <w:rPr>
          <w:rFonts w:ascii="Times New Roman" w:eastAsia="Calibri" w:hAnsi="Times New Roman" w:cs="Times New Roman"/>
          <w:sz w:val="24"/>
          <w:szCs w:val="24"/>
          <w:lang w:val="x-none" w:eastAsia="pl-PL"/>
        </w:rPr>
        <w:t>kontrole z naruszeniami</w:t>
      </w:r>
      <w:r w:rsidRPr="00965BA2">
        <w:rPr>
          <w:rFonts w:ascii="Times New Roman" w:eastAsia="Calibri" w:hAnsi="Times New Roman" w:cs="Times New Roman"/>
          <w:sz w:val="24"/>
          <w:szCs w:val="24"/>
          <w:lang w:eastAsia="pl-PL"/>
        </w:rPr>
        <w:t>,</w:t>
      </w:r>
      <w:r w:rsidRPr="00965BA2">
        <w:rPr>
          <w:rFonts w:ascii="Times New Roman" w:eastAsia="Calibri" w:hAnsi="Times New Roman" w:cs="Times New Roman"/>
          <w:sz w:val="24"/>
          <w:szCs w:val="24"/>
          <w:lang w:val="x-none" w:eastAsia="pl-PL"/>
        </w:rPr>
        <w:t xml:space="preserve"> które mogły spowodować zagrożenie lub zanieczyszczenie środowiska.</w:t>
      </w:r>
    </w:p>
    <w:p w14:paraId="40BECA37" w14:textId="77777777" w:rsidR="00124D28" w:rsidRPr="00965BA2" w:rsidRDefault="00124D28" w:rsidP="009A49DA">
      <w:pPr>
        <w:spacing w:before="120" w:after="6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 xml:space="preserve">W związku ze stwierdzonymi nieprawidłowościami: </w:t>
      </w:r>
    </w:p>
    <w:p w14:paraId="72608A14" w14:textId="77777777" w:rsidR="00124D28" w:rsidRPr="00965BA2" w:rsidRDefault="00124D28" w:rsidP="00D34F97">
      <w:pPr>
        <w:numPr>
          <w:ilvl w:val="0"/>
          <w:numId w:val="128"/>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udzielono </w:t>
      </w:r>
      <w:r w:rsidRPr="00965BA2">
        <w:rPr>
          <w:rFonts w:ascii="Times New Roman" w:eastAsia="Calibri" w:hAnsi="Times New Roman" w:cs="Times New Roman"/>
          <w:sz w:val="24"/>
          <w:szCs w:val="24"/>
          <w:lang w:eastAsia="pl-PL"/>
        </w:rPr>
        <w:t>4</w:t>
      </w:r>
      <w:r w:rsidRPr="00965BA2">
        <w:rPr>
          <w:rFonts w:ascii="Times New Roman" w:eastAsia="Calibri" w:hAnsi="Times New Roman" w:cs="Times New Roman"/>
          <w:sz w:val="24"/>
          <w:szCs w:val="24"/>
          <w:lang w:val="x-none" w:eastAsia="pl-PL"/>
        </w:rPr>
        <w:t xml:space="preserve"> pouczeń,</w:t>
      </w:r>
    </w:p>
    <w:p w14:paraId="7C9E02E5" w14:textId="77777777" w:rsidR="00124D28" w:rsidRPr="00965BA2" w:rsidRDefault="00124D28" w:rsidP="00D34F97">
      <w:pPr>
        <w:numPr>
          <w:ilvl w:val="0"/>
          <w:numId w:val="128"/>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nałożono </w:t>
      </w:r>
      <w:r w:rsidRPr="00965BA2">
        <w:rPr>
          <w:rFonts w:ascii="Times New Roman" w:eastAsia="Calibri" w:hAnsi="Times New Roman" w:cs="Times New Roman"/>
          <w:sz w:val="24"/>
          <w:szCs w:val="24"/>
          <w:lang w:eastAsia="pl-PL"/>
        </w:rPr>
        <w:t>1</w:t>
      </w:r>
      <w:r w:rsidRPr="00965BA2">
        <w:rPr>
          <w:rFonts w:ascii="Times New Roman" w:eastAsia="Calibri" w:hAnsi="Times New Roman" w:cs="Times New Roman"/>
          <w:sz w:val="24"/>
          <w:szCs w:val="24"/>
          <w:lang w:val="x-none" w:eastAsia="pl-PL"/>
        </w:rPr>
        <w:t xml:space="preserve"> mandat karny,</w:t>
      </w:r>
    </w:p>
    <w:p w14:paraId="54E1FF1B" w14:textId="77777777" w:rsidR="00124D28" w:rsidRPr="00965BA2" w:rsidRDefault="00124D28" w:rsidP="00D34F97">
      <w:pPr>
        <w:numPr>
          <w:ilvl w:val="0"/>
          <w:numId w:val="128"/>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wydano </w:t>
      </w:r>
      <w:r w:rsidRPr="00965BA2">
        <w:rPr>
          <w:rFonts w:ascii="Times New Roman" w:eastAsia="Calibri" w:hAnsi="Times New Roman" w:cs="Times New Roman"/>
          <w:sz w:val="24"/>
          <w:szCs w:val="24"/>
          <w:lang w:eastAsia="pl-PL"/>
        </w:rPr>
        <w:t>8</w:t>
      </w:r>
      <w:r w:rsidRPr="00965BA2">
        <w:rPr>
          <w:rFonts w:ascii="Times New Roman" w:eastAsia="Calibri" w:hAnsi="Times New Roman" w:cs="Times New Roman"/>
          <w:sz w:val="24"/>
          <w:szCs w:val="24"/>
          <w:lang w:val="x-none" w:eastAsia="pl-PL"/>
        </w:rPr>
        <w:t xml:space="preserve"> zarządzeń pokontrolnych,</w:t>
      </w:r>
    </w:p>
    <w:p w14:paraId="7D0488A5" w14:textId="77777777" w:rsidR="00124D28" w:rsidRPr="00965BA2" w:rsidRDefault="00124D28" w:rsidP="00D34F97">
      <w:pPr>
        <w:numPr>
          <w:ilvl w:val="0"/>
          <w:numId w:val="128"/>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wydano </w:t>
      </w:r>
      <w:r w:rsidRPr="00965BA2">
        <w:rPr>
          <w:rFonts w:ascii="Times New Roman" w:eastAsia="Calibri" w:hAnsi="Times New Roman" w:cs="Times New Roman"/>
          <w:sz w:val="24"/>
          <w:szCs w:val="24"/>
          <w:lang w:eastAsia="pl-PL"/>
        </w:rPr>
        <w:t>4</w:t>
      </w:r>
      <w:r w:rsidRPr="00965BA2">
        <w:rPr>
          <w:rFonts w:ascii="Times New Roman" w:eastAsia="Calibri" w:hAnsi="Times New Roman" w:cs="Times New Roman"/>
          <w:sz w:val="24"/>
          <w:szCs w:val="24"/>
          <w:lang w:val="x-none" w:eastAsia="pl-PL"/>
        </w:rPr>
        <w:t xml:space="preserve"> decyzj</w:t>
      </w:r>
      <w:r w:rsidRPr="00965BA2">
        <w:rPr>
          <w:rFonts w:ascii="Times New Roman" w:eastAsia="Calibri" w:hAnsi="Times New Roman" w:cs="Times New Roman"/>
          <w:sz w:val="24"/>
          <w:szCs w:val="24"/>
          <w:lang w:eastAsia="pl-PL"/>
        </w:rPr>
        <w:t>e</w:t>
      </w:r>
      <w:r w:rsidRPr="00965BA2">
        <w:rPr>
          <w:rFonts w:ascii="Times New Roman" w:eastAsia="Calibri" w:hAnsi="Times New Roman" w:cs="Times New Roman"/>
          <w:sz w:val="24"/>
          <w:szCs w:val="24"/>
          <w:lang w:val="x-none" w:eastAsia="pl-PL"/>
        </w:rPr>
        <w:t xml:space="preserve"> </w:t>
      </w:r>
      <w:r w:rsidRPr="00965BA2">
        <w:rPr>
          <w:rFonts w:ascii="Times New Roman" w:eastAsia="Times New Roman" w:hAnsi="Times New Roman" w:cs="Times New Roman"/>
          <w:sz w:val="24"/>
          <w:szCs w:val="24"/>
          <w:lang w:val="x-none" w:eastAsia="pl-PL"/>
        </w:rPr>
        <w:t>w sprawie nałożenia kar pieniężnych</w:t>
      </w:r>
      <w:r w:rsidRPr="00965BA2">
        <w:rPr>
          <w:rFonts w:ascii="Times New Roman" w:eastAsia="Calibri" w:hAnsi="Times New Roman" w:cs="Times New Roman"/>
          <w:sz w:val="24"/>
          <w:szCs w:val="24"/>
          <w:lang w:val="x-none" w:eastAsia="pl-PL"/>
        </w:rPr>
        <w:t>,</w:t>
      </w:r>
    </w:p>
    <w:p w14:paraId="2A19036A" w14:textId="31FB19FA" w:rsidR="00895F16" w:rsidRPr="007F400A" w:rsidRDefault="00124D28" w:rsidP="00056EE7">
      <w:pPr>
        <w:numPr>
          <w:ilvl w:val="0"/>
          <w:numId w:val="17"/>
        </w:numPr>
        <w:spacing w:after="0" w:line="300" w:lineRule="atLeast"/>
        <w:ind w:left="924" w:hanging="357"/>
        <w:jc w:val="both"/>
        <w:rPr>
          <w:rFonts w:ascii="Times New Roman" w:eastAsia="Calibri" w:hAnsi="Times New Roman" w:cs="Times New Roman"/>
          <w:color w:val="000000"/>
          <w:sz w:val="24"/>
          <w:szCs w:val="24"/>
          <w:lang w:val="x-none" w:eastAsia="pl-PL"/>
        </w:rPr>
      </w:pPr>
      <w:r w:rsidRPr="00965BA2">
        <w:rPr>
          <w:rFonts w:ascii="Times New Roman" w:eastAsia="Calibri" w:hAnsi="Times New Roman" w:cs="Times New Roman"/>
          <w:sz w:val="24"/>
          <w:szCs w:val="24"/>
        </w:rPr>
        <w:t>wydano 1 decyzję wstrzymującą działalność podmiotu</w:t>
      </w:r>
      <w:r w:rsidR="00895F16" w:rsidRPr="007F400A">
        <w:rPr>
          <w:rFonts w:ascii="Times New Roman" w:eastAsia="Times New Roman" w:hAnsi="Times New Roman" w:cs="Times New Roman"/>
          <w:sz w:val="24"/>
          <w:szCs w:val="24"/>
          <w:lang w:eastAsia="pl-PL"/>
        </w:rPr>
        <w:t>.</w:t>
      </w:r>
    </w:p>
    <w:p w14:paraId="1CA4BC32" w14:textId="77777777" w:rsidR="00895F16" w:rsidRPr="007F400A" w:rsidRDefault="00895F16" w:rsidP="00056EE7">
      <w:pPr>
        <w:spacing w:after="0" w:line="300" w:lineRule="atLeast"/>
        <w:ind w:left="1559"/>
        <w:jc w:val="both"/>
        <w:rPr>
          <w:rFonts w:ascii="Times New Roman" w:eastAsia="Calibri" w:hAnsi="Times New Roman" w:cs="Times New Roman"/>
          <w:color w:val="000000"/>
          <w:sz w:val="24"/>
          <w:szCs w:val="24"/>
          <w:lang w:val="x-none" w:eastAsia="pl-PL"/>
        </w:rPr>
      </w:pPr>
    </w:p>
    <w:p w14:paraId="76D496F6" w14:textId="3ADD5696" w:rsidR="00895F16" w:rsidRPr="007F400A" w:rsidRDefault="00895F16" w:rsidP="00056EE7">
      <w:pPr>
        <w:keepNext/>
        <w:spacing w:after="120" w:line="300" w:lineRule="atLeast"/>
        <w:jc w:val="both"/>
        <w:outlineLvl w:val="0"/>
        <w:rPr>
          <w:rFonts w:ascii="Times New Roman" w:eastAsia="Times New Roman" w:hAnsi="Times New Roman" w:cs="Times New Roman"/>
          <w:b/>
          <w:sz w:val="24"/>
          <w:szCs w:val="24"/>
          <w:lang w:eastAsia="x-none"/>
        </w:rPr>
      </w:pPr>
      <w:bookmarkStart w:id="164" w:name="_Toc135935623"/>
      <w:r w:rsidRPr="007F400A">
        <w:rPr>
          <w:rFonts w:ascii="Times New Roman" w:eastAsia="Times New Roman" w:hAnsi="Times New Roman" w:cs="Times New Roman"/>
          <w:b/>
          <w:color w:val="000000"/>
          <w:sz w:val="24"/>
          <w:szCs w:val="24"/>
          <w:lang w:val="x-none" w:eastAsia="x-none"/>
        </w:rPr>
        <w:t>3.3.3</w:t>
      </w:r>
      <w:r w:rsidR="00124D28">
        <w:rPr>
          <w:rFonts w:ascii="Times New Roman" w:eastAsia="Times New Roman" w:hAnsi="Times New Roman" w:cs="Times New Roman"/>
          <w:b/>
          <w:color w:val="000000"/>
          <w:sz w:val="24"/>
          <w:szCs w:val="24"/>
          <w:lang w:eastAsia="x-none"/>
        </w:rPr>
        <w:t>3</w:t>
      </w:r>
      <w:r w:rsidRPr="007F400A">
        <w:rPr>
          <w:rFonts w:ascii="Times New Roman" w:eastAsia="Times New Roman" w:hAnsi="Times New Roman" w:cs="Times New Roman"/>
          <w:b/>
          <w:color w:val="000000"/>
          <w:sz w:val="24"/>
          <w:szCs w:val="24"/>
          <w:lang w:val="x-none" w:eastAsia="x-none"/>
        </w:rPr>
        <w:t xml:space="preserve"> </w:t>
      </w:r>
      <w:r w:rsidRPr="007F400A">
        <w:rPr>
          <w:rFonts w:ascii="Times New Roman" w:eastAsia="Times New Roman" w:hAnsi="Times New Roman" w:cs="Times New Roman"/>
          <w:b/>
          <w:color w:val="000000"/>
          <w:sz w:val="24"/>
          <w:szCs w:val="24"/>
          <w:lang w:eastAsia="x-none"/>
        </w:rPr>
        <w:t>Kontrola pozostałych przedsiębiorców objętych przepisami ustawy o zużytym sprzęcie elektrycznym i elektronicznym</w:t>
      </w:r>
      <w:bookmarkEnd w:id="164"/>
      <w:r w:rsidRPr="007F400A">
        <w:rPr>
          <w:rFonts w:ascii="Times New Roman" w:eastAsia="Times New Roman" w:hAnsi="Times New Roman" w:cs="Times New Roman"/>
          <w:b/>
          <w:color w:val="000000"/>
          <w:sz w:val="24"/>
          <w:szCs w:val="24"/>
          <w:lang w:eastAsia="x-none"/>
        </w:rPr>
        <w:t xml:space="preserve"> </w:t>
      </w:r>
    </w:p>
    <w:p w14:paraId="2D300C62" w14:textId="50588C8D" w:rsidR="00124D28" w:rsidRPr="00965BA2" w:rsidRDefault="00124D28" w:rsidP="009A49DA">
      <w:pPr>
        <w:spacing w:after="60" w:line="300" w:lineRule="atLeast"/>
        <w:ind w:firstLine="567"/>
        <w:jc w:val="both"/>
        <w:rPr>
          <w:rFonts w:ascii="Times New Roman" w:hAnsi="Times New Roman" w:cs="Times New Roman"/>
          <w:sz w:val="24"/>
          <w:szCs w:val="24"/>
        </w:rPr>
      </w:pPr>
      <w:r w:rsidRPr="00965BA2">
        <w:rPr>
          <w:rFonts w:ascii="Times New Roman" w:hAnsi="Times New Roman" w:cs="Times New Roman"/>
          <w:sz w:val="24"/>
          <w:szCs w:val="24"/>
        </w:rPr>
        <w:t>W 2022 r. r. wojewódzcy inspektorzy ochrony środowiska skontrolowali 88</w:t>
      </w:r>
      <w:r w:rsidR="009A49DA">
        <w:rPr>
          <w:rFonts w:ascii="Times New Roman" w:hAnsi="Times New Roman" w:cs="Times New Roman"/>
          <w:sz w:val="24"/>
          <w:szCs w:val="24"/>
        </w:rPr>
        <w:t xml:space="preserve"> </w:t>
      </w:r>
      <w:r w:rsidRPr="00965BA2">
        <w:rPr>
          <w:rFonts w:ascii="Times New Roman" w:hAnsi="Times New Roman" w:cs="Times New Roman"/>
          <w:sz w:val="24"/>
          <w:szCs w:val="24"/>
        </w:rPr>
        <w:t xml:space="preserve">przedsiębiorców objętych przepisami ustawy o zużytym sprzęcie elektrycznym </w:t>
      </w:r>
      <w:r w:rsidR="00BC0D48">
        <w:rPr>
          <w:rFonts w:ascii="Times New Roman" w:hAnsi="Times New Roman" w:cs="Times New Roman"/>
          <w:sz w:val="24"/>
          <w:szCs w:val="24"/>
        </w:rPr>
        <w:br/>
      </w:r>
      <w:r w:rsidRPr="00965BA2">
        <w:rPr>
          <w:rFonts w:ascii="Times New Roman" w:hAnsi="Times New Roman" w:cs="Times New Roman"/>
          <w:sz w:val="24"/>
          <w:szCs w:val="24"/>
        </w:rPr>
        <w:t>i</w:t>
      </w:r>
      <w:r w:rsidR="009A49DA">
        <w:rPr>
          <w:rFonts w:ascii="Times New Roman" w:hAnsi="Times New Roman" w:cs="Times New Roman"/>
          <w:sz w:val="24"/>
          <w:szCs w:val="24"/>
        </w:rPr>
        <w:t xml:space="preserve"> </w:t>
      </w:r>
      <w:r w:rsidRPr="00965BA2">
        <w:rPr>
          <w:rFonts w:ascii="Times New Roman" w:hAnsi="Times New Roman" w:cs="Times New Roman"/>
          <w:sz w:val="24"/>
          <w:szCs w:val="24"/>
        </w:rPr>
        <w:t>elektronicznym (poza zakładami przetwarzania zużytego sprzętu elektrycznego</w:t>
      </w:r>
      <w:r w:rsidR="009A49DA">
        <w:rPr>
          <w:rFonts w:ascii="Times New Roman" w:hAnsi="Times New Roman" w:cs="Times New Roman"/>
          <w:sz w:val="24"/>
          <w:szCs w:val="24"/>
        </w:rPr>
        <w:t xml:space="preserve"> </w:t>
      </w:r>
      <w:r w:rsidRPr="00965BA2">
        <w:rPr>
          <w:rFonts w:ascii="Times New Roman" w:hAnsi="Times New Roman" w:cs="Times New Roman"/>
          <w:sz w:val="24"/>
          <w:szCs w:val="24"/>
        </w:rPr>
        <w:t>i elektronicznego), w tym:</w:t>
      </w:r>
    </w:p>
    <w:p w14:paraId="2757DD46" w14:textId="77777777" w:rsidR="00124D28" w:rsidRPr="00965BA2" w:rsidRDefault="00124D28" w:rsidP="00056EE7">
      <w:pPr>
        <w:numPr>
          <w:ilvl w:val="0"/>
          <w:numId w:val="23"/>
        </w:numPr>
        <w:tabs>
          <w:tab w:val="clear" w:pos="0"/>
          <w:tab w:val="num" w:pos="-143"/>
        </w:tabs>
        <w:suppressAutoHyphens/>
        <w:spacing w:after="0" w:line="300" w:lineRule="atLeast"/>
        <w:ind w:left="566" w:hanging="283"/>
        <w:jc w:val="both"/>
        <w:rPr>
          <w:rFonts w:ascii="Times New Roman" w:hAnsi="Times New Roman" w:cs="Times New Roman"/>
          <w:bCs/>
          <w:sz w:val="24"/>
          <w:szCs w:val="24"/>
        </w:rPr>
      </w:pPr>
      <w:r w:rsidRPr="00965BA2">
        <w:rPr>
          <w:rFonts w:ascii="Times New Roman" w:hAnsi="Times New Roman" w:cs="Times New Roman"/>
          <w:bCs/>
          <w:sz w:val="24"/>
          <w:szCs w:val="24"/>
        </w:rPr>
        <w:t>39 zbierających zużyty sprzęt</w:t>
      </w:r>
      <w:r>
        <w:rPr>
          <w:rFonts w:ascii="Times New Roman" w:hAnsi="Times New Roman" w:cs="Times New Roman"/>
          <w:bCs/>
          <w:sz w:val="24"/>
          <w:szCs w:val="24"/>
        </w:rPr>
        <w:t>,</w:t>
      </w:r>
    </w:p>
    <w:p w14:paraId="70D09FD1" w14:textId="77777777" w:rsidR="00124D28" w:rsidRPr="00965BA2" w:rsidRDefault="00124D28" w:rsidP="00056EE7">
      <w:pPr>
        <w:numPr>
          <w:ilvl w:val="0"/>
          <w:numId w:val="23"/>
        </w:numPr>
        <w:tabs>
          <w:tab w:val="clear" w:pos="0"/>
          <w:tab w:val="num" w:pos="-143"/>
        </w:tabs>
        <w:suppressAutoHyphens/>
        <w:spacing w:after="0" w:line="300" w:lineRule="atLeast"/>
        <w:ind w:left="566" w:hanging="283"/>
        <w:jc w:val="both"/>
        <w:rPr>
          <w:rFonts w:ascii="Times New Roman" w:hAnsi="Times New Roman" w:cs="Times New Roman"/>
          <w:bCs/>
          <w:sz w:val="24"/>
          <w:szCs w:val="24"/>
        </w:rPr>
      </w:pPr>
      <w:r w:rsidRPr="00965BA2">
        <w:rPr>
          <w:rFonts w:ascii="Times New Roman" w:hAnsi="Times New Roman" w:cs="Times New Roman"/>
          <w:bCs/>
          <w:sz w:val="24"/>
          <w:szCs w:val="24"/>
        </w:rPr>
        <w:t>38 wprowadzających sprzęt</w:t>
      </w:r>
      <w:r>
        <w:rPr>
          <w:rFonts w:ascii="Times New Roman" w:hAnsi="Times New Roman" w:cs="Times New Roman"/>
          <w:bCs/>
          <w:sz w:val="24"/>
          <w:szCs w:val="24"/>
        </w:rPr>
        <w:t>,</w:t>
      </w:r>
    </w:p>
    <w:p w14:paraId="0E900984" w14:textId="77777777" w:rsidR="00124D28" w:rsidRPr="00965BA2" w:rsidRDefault="00124D28" w:rsidP="00056EE7">
      <w:pPr>
        <w:numPr>
          <w:ilvl w:val="0"/>
          <w:numId w:val="23"/>
        </w:numPr>
        <w:tabs>
          <w:tab w:val="clear" w:pos="0"/>
          <w:tab w:val="num" w:pos="-143"/>
        </w:tabs>
        <w:suppressAutoHyphens/>
        <w:spacing w:after="0" w:line="300" w:lineRule="atLeast"/>
        <w:ind w:left="566" w:hanging="283"/>
        <w:jc w:val="both"/>
        <w:rPr>
          <w:rFonts w:ascii="Times New Roman" w:hAnsi="Times New Roman" w:cs="Times New Roman"/>
          <w:bCs/>
          <w:sz w:val="24"/>
          <w:szCs w:val="24"/>
        </w:rPr>
      </w:pPr>
      <w:r w:rsidRPr="00965BA2">
        <w:rPr>
          <w:rFonts w:ascii="Times New Roman" w:hAnsi="Times New Roman" w:cs="Times New Roman"/>
          <w:bCs/>
          <w:sz w:val="24"/>
          <w:szCs w:val="24"/>
        </w:rPr>
        <w:t>2 dystrybutorów sprzętu</w:t>
      </w:r>
      <w:r>
        <w:rPr>
          <w:rFonts w:ascii="Times New Roman" w:hAnsi="Times New Roman" w:cs="Times New Roman"/>
          <w:bCs/>
          <w:sz w:val="24"/>
          <w:szCs w:val="24"/>
        </w:rPr>
        <w:t>,</w:t>
      </w:r>
    </w:p>
    <w:p w14:paraId="46C9D8B5" w14:textId="77777777" w:rsidR="00124D28" w:rsidRPr="00965BA2" w:rsidRDefault="00124D28" w:rsidP="00056EE7">
      <w:pPr>
        <w:numPr>
          <w:ilvl w:val="0"/>
          <w:numId w:val="23"/>
        </w:numPr>
        <w:tabs>
          <w:tab w:val="clear" w:pos="0"/>
          <w:tab w:val="num" w:pos="-143"/>
        </w:tabs>
        <w:suppressAutoHyphens/>
        <w:spacing w:after="0" w:line="300" w:lineRule="atLeast"/>
        <w:ind w:left="566" w:hanging="283"/>
        <w:jc w:val="both"/>
        <w:rPr>
          <w:rFonts w:ascii="Times New Roman" w:hAnsi="Times New Roman" w:cs="Times New Roman"/>
          <w:bCs/>
          <w:sz w:val="24"/>
          <w:szCs w:val="24"/>
        </w:rPr>
      </w:pPr>
      <w:r w:rsidRPr="00965BA2">
        <w:rPr>
          <w:rFonts w:ascii="Times New Roman" w:hAnsi="Times New Roman" w:cs="Times New Roman"/>
          <w:bCs/>
          <w:sz w:val="24"/>
          <w:szCs w:val="24"/>
        </w:rPr>
        <w:t>1 przedsiębiorcę prowadząc</w:t>
      </w:r>
      <w:r>
        <w:rPr>
          <w:rFonts w:ascii="Times New Roman" w:hAnsi="Times New Roman" w:cs="Times New Roman"/>
          <w:bCs/>
          <w:sz w:val="24"/>
          <w:szCs w:val="24"/>
        </w:rPr>
        <w:t>ego</w:t>
      </w:r>
      <w:r w:rsidRPr="00965BA2">
        <w:rPr>
          <w:rFonts w:ascii="Times New Roman" w:hAnsi="Times New Roman" w:cs="Times New Roman"/>
          <w:bCs/>
          <w:sz w:val="24"/>
          <w:szCs w:val="24"/>
        </w:rPr>
        <w:t xml:space="preserve"> działalność w zakresie recyklingu</w:t>
      </w:r>
      <w:r>
        <w:rPr>
          <w:rFonts w:ascii="Times New Roman" w:hAnsi="Times New Roman" w:cs="Times New Roman"/>
          <w:bCs/>
          <w:sz w:val="24"/>
          <w:szCs w:val="24"/>
        </w:rPr>
        <w:t>,</w:t>
      </w:r>
    </w:p>
    <w:p w14:paraId="488B63BB" w14:textId="77777777" w:rsidR="00124D28" w:rsidRPr="00965BA2" w:rsidRDefault="00124D28" w:rsidP="00056EE7">
      <w:pPr>
        <w:numPr>
          <w:ilvl w:val="0"/>
          <w:numId w:val="23"/>
        </w:numPr>
        <w:tabs>
          <w:tab w:val="clear" w:pos="0"/>
          <w:tab w:val="num" w:pos="-143"/>
        </w:tabs>
        <w:suppressAutoHyphens/>
        <w:spacing w:after="0" w:line="300" w:lineRule="atLeast"/>
        <w:ind w:left="566" w:hanging="283"/>
        <w:jc w:val="both"/>
        <w:rPr>
          <w:rFonts w:ascii="Times New Roman" w:hAnsi="Times New Roman" w:cs="Times New Roman"/>
          <w:bCs/>
          <w:sz w:val="24"/>
          <w:szCs w:val="24"/>
        </w:rPr>
      </w:pPr>
      <w:r w:rsidRPr="00965BA2">
        <w:rPr>
          <w:rFonts w:ascii="Times New Roman" w:hAnsi="Times New Roman" w:cs="Times New Roman"/>
          <w:bCs/>
          <w:sz w:val="24"/>
          <w:szCs w:val="24"/>
        </w:rPr>
        <w:t>2 prowadzących punkt serwisowy</w:t>
      </w:r>
      <w:r>
        <w:rPr>
          <w:rFonts w:ascii="Times New Roman" w:hAnsi="Times New Roman" w:cs="Times New Roman"/>
          <w:bCs/>
          <w:sz w:val="24"/>
          <w:szCs w:val="24"/>
        </w:rPr>
        <w:t>,</w:t>
      </w:r>
    </w:p>
    <w:p w14:paraId="267DDDD1" w14:textId="77777777" w:rsidR="00124D28" w:rsidRPr="00965BA2" w:rsidRDefault="00124D28" w:rsidP="00056EE7">
      <w:pPr>
        <w:numPr>
          <w:ilvl w:val="0"/>
          <w:numId w:val="23"/>
        </w:numPr>
        <w:tabs>
          <w:tab w:val="clear" w:pos="0"/>
          <w:tab w:val="num" w:pos="-143"/>
        </w:tabs>
        <w:suppressAutoHyphens/>
        <w:spacing w:after="0" w:line="300" w:lineRule="atLeast"/>
        <w:ind w:left="566" w:hanging="283"/>
        <w:jc w:val="both"/>
        <w:rPr>
          <w:rFonts w:ascii="Times New Roman" w:hAnsi="Times New Roman" w:cs="Times New Roman"/>
          <w:bCs/>
          <w:sz w:val="24"/>
          <w:szCs w:val="24"/>
        </w:rPr>
      </w:pPr>
      <w:r w:rsidRPr="00965BA2">
        <w:rPr>
          <w:rFonts w:ascii="Times New Roman" w:hAnsi="Times New Roman" w:cs="Times New Roman"/>
          <w:bCs/>
          <w:sz w:val="24"/>
          <w:szCs w:val="24"/>
        </w:rPr>
        <w:t>4 producentów</w:t>
      </w:r>
      <w:r>
        <w:rPr>
          <w:rFonts w:ascii="Times New Roman" w:hAnsi="Times New Roman" w:cs="Times New Roman"/>
          <w:bCs/>
          <w:sz w:val="24"/>
          <w:szCs w:val="24"/>
        </w:rPr>
        <w:t>,</w:t>
      </w:r>
    </w:p>
    <w:p w14:paraId="45B36F72" w14:textId="77777777" w:rsidR="00124D28" w:rsidRPr="00965BA2" w:rsidRDefault="00124D28" w:rsidP="00056EE7">
      <w:pPr>
        <w:numPr>
          <w:ilvl w:val="0"/>
          <w:numId w:val="23"/>
        </w:numPr>
        <w:tabs>
          <w:tab w:val="clear" w:pos="0"/>
          <w:tab w:val="num" w:pos="-143"/>
        </w:tabs>
        <w:suppressAutoHyphens/>
        <w:spacing w:after="0" w:line="300" w:lineRule="atLeast"/>
        <w:ind w:left="566" w:hanging="283"/>
        <w:jc w:val="both"/>
        <w:rPr>
          <w:rFonts w:ascii="Times New Roman" w:hAnsi="Times New Roman" w:cs="Times New Roman"/>
          <w:bCs/>
          <w:sz w:val="24"/>
          <w:szCs w:val="24"/>
        </w:rPr>
      </w:pPr>
      <w:r w:rsidRPr="00965BA2">
        <w:rPr>
          <w:rFonts w:ascii="Times New Roman" w:hAnsi="Times New Roman" w:cs="Times New Roman"/>
          <w:bCs/>
          <w:sz w:val="24"/>
          <w:szCs w:val="24"/>
        </w:rPr>
        <w:t>1 osobę fizyczną podejrzaną o nielegalny demontaż zużytego sprzętu</w:t>
      </w:r>
      <w:r>
        <w:rPr>
          <w:rFonts w:ascii="Times New Roman" w:hAnsi="Times New Roman" w:cs="Times New Roman"/>
          <w:bCs/>
          <w:sz w:val="24"/>
          <w:szCs w:val="24"/>
        </w:rPr>
        <w:t>,</w:t>
      </w:r>
    </w:p>
    <w:p w14:paraId="0FC73E0F" w14:textId="77777777" w:rsidR="00124D28" w:rsidRPr="00965BA2" w:rsidRDefault="00124D28" w:rsidP="00056EE7">
      <w:pPr>
        <w:numPr>
          <w:ilvl w:val="0"/>
          <w:numId w:val="23"/>
        </w:numPr>
        <w:tabs>
          <w:tab w:val="clear" w:pos="0"/>
          <w:tab w:val="num" w:pos="-143"/>
        </w:tabs>
        <w:suppressAutoHyphens/>
        <w:spacing w:after="120" w:line="300" w:lineRule="atLeast"/>
        <w:ind w:left="566" w:hanging="283"/>
        <w:jc w:val="both"/>
        <w:rPr>
          <w:rFonts w:ascii="Times New Roman" w:hAnsi="Times New Roman" w:cs="Times New Roman"/>
          <w:bCs/>
          <w:sz w:val="24"/>
          <w:szCs w:val="24"/>
        </w:rPr>
      </w:pPr>
      <w:r w:rsidRPr="00965BA2">
        <w:rPr>
          <w:rFonts w:ascii="Times New Roman" w:hAnsi="Times New Roman" w:cs="Times New Roman"/>
          <w:bCs/>
          <w:sz w:val="24"/>
          <w:szCs w:val="24"/>
        </w:rPr>
        <w:t>1 organizację odzysku.</w:t>
      </w:r>
    </w:p>
    <w:p w14:paraId="69A49086" w14:textId="77777777" w:rsidR="00124D28" w:rsidRPr="00965BA2" w:rsidRDefault="00124D28" w:rsidP="009A49DA">
      <w:pPr>
        <w:spacing w:before="120" w:after="60" w:line="300" w:lineRule="atLeast"/>
        <w:jc w:val="both"/>
        <w:rPr>
          <w:rFonts w:ascii="Times New Roman" w:hAnsi="Times New Roman" w:cs="Times New Roman"/>
          <w:sz w:val="24"/>
          <w:szCs w:val="24"/>
        </w:rPr>
      </w:pPr>
      <w:r w:rsidRPr="00965BA2">
        <w:rPr>
          <w:rFonts w:ascii="Times New Roman" w:hAnsi="Times New Roman" w:cs="Times New Roman"/>
          <w:sz w:val="24"/>
          <w:szCs w:val="24"/>
        </w:rPr>
        <w:t>Stwierdzono 45 przypadków naruszeń przepisów ochrony środowiska, w tym:</w:t>
      </w:r>
    </w:p>
    <w:p w14:paraId="69496508" w14:textId="77777777" w:rsidR="00124D28" w:rsidRPr="00965BA2" w:rsidRDefault="00124D28" w:rsidP="00D34F97">
      <w:pPr>
        <w:pStyle w:val="Akapitzlist"/>
        <w:numPr>
          <w:ilvl w:val="0"/>
          <w:numId w:val="190"/>
        </w:numPr>
        <w:spacing w:line="300" w:lineRule="atLeast"/>
        <w:jc w:val="both"/>
        <w:rPr>
          <w:sz w:val="24"/>
          <w:szCs w:val="24"/>
        </w:rPr>
      </w:pPr>
      <w:r w:rsidRPr="00965BA2">
        <w:rPr>
          <w:sz w:val="24"/>
          <w:szCs w:val="24"/>
        </w:rPr>
        <w:t>41 (91%) naruszeń formalnych bez istotnego wpływu na środowisko;</w:t>
      </w:r>
    </w:p>
    <w:p w14:paraId="3FB5C384" w14:textId="77777777" w:rsidR="00124D28" w:rsidRPr="00965BA2" w:rsidRDefault="00124D28" w:rsidP="00D34F97">
      <w:pPr>
        <w:pStyle w:val="Akapitzlist"/>
        <w:numPr>
          <w:ilvl w:val="0"/>
          <w:numId w:val="190"/>
        </w:numPr>
        <w:spacing w:before="240" w:after="120" w:line="300" w:lineRule="atLeast"/>
        <w:jc w:val="both"/>
        <w:rPr>
          <w:sz w:val="24"/>
          <w:szCs w:val="24"/>
        </w:rPr>
      </w:pPr>
      <w:r w:rsidRPr="00965BA2">
        <w:rPr>
          <w:sz w:val="24"/>
          <w:szCs w:val="24"/>
        </w:rPr>
        <w:t xml:space="preserve">4 (9%) naruszenia, w wyniku których może lub nastąpiło zagrożenie lub zanieczyszczenie środowiska. </w:t>
      </w:r>
    </w:p>
    <w:p w14:paraId="3B1A701A" w14:textId="77777777" w:rsidR="00124D28" w:rsidRPr="00965BA2" w:rsidRDefault="00124D28" w:rsidP="009A49DA">
      <w:pPr>
        <w:spacing w:after="0" w:line="300" w:lineRule="atLeast"/>
        <w:ind w:firstLine="567"/>
        <w:jc w:val="both"/>
        <w:rPr>
          <w:rFonts w:ascii="Times New Roman" w:hAnsi="Times New Roman" w:cs="Times New Roman"/>
          <w:sz w:val="24"/>
          <w:szCs w:val="24"/>
        </w:rPr>
      </w:pPr>
      <w:r w:rsidRPr="00965BA2">
        <w:rPr>
          <w:rFonts w:ascii="Times New Roman" w:hAnsi="Times New Roman" w:cs="Times New Roman"/>
          <w:sz w:val="24"/>
          <w:szCs w:val="24"/>
        </w:rPr>
        <w:t>Dotyczyły one w większości zbierania niekompletnego zużytego sprzętu przez nieuprawnione podmioty – 3 przypadki oraz 1 przypadek nielegalnego demontażu.</w:t>
      </w:r>
    </w:p>
    <w:p w14:paraId="004B646D" w14:textId="77777777" w:rsidR="00124D28" w:rsidRPr="00965BA2" w:rsidRDefault="00124D28" w:rsidP="00BC0D48">
      <w:pPr>
        <w:pStyle w:val="xmsonormal"/>
        <w:spacing w:before="120" w:beforeAutospacing="0" w:after="60" w:afterAutospacing="0" w:line="300" w:lineRule="atLeast"/>
        <w:jc w:val="both"/>
      </w:pPr>
      <w:r w:rsidRPr="00965BA2">
        <w:lastRenderedPageBreak/>
        <w:t>W wyniku stwierdzonych naruszeń zastosowano następujące działania:</w:t>
      </w:r>
    </w:p>
    <w:p w14:paraId="675847F1" w14:textId="77777777" w:rsidR="00124D28" w:rsidRPr="00965BA2" w:rsidRDefault="00124D28" w:rsidP="00056EE7">
      <w:pPr>
        <w:numPr>
          <w:ilvl w:val="0"/>
          <w:numId w:val="23"/>
        </w:numPr>
        <w:tabs>
          <w:tab w:val="clear" w:pos="0"/>
          <w:tab w:val="num" w:pos="-143"/>
        </w:tabs>
        <w:suppressAutoHyphens/>
        <w:spacing w:after="0" w:line="300" w:lineRule="atLeast"/>
        <w:ind w:left="566" w:hanging="283"/>
        <w:jc w:val="both"/>
        <w:rPr>
          <w:rFonts w:ascii="Times New Roman" w:hAnsi="Times New Roman" w:cs="Times New Roman"/>
          <w:bCs/>
          <w:sz w:val="24"/>
          <w:szCs w:val="24"/>
        </w:rPr>
      </w:pPr>
      <w:r w:rsidRPr="00965BA2">
        <w:rPr>
          <w:rFonts w:ascii="Times New Roman" w:hAnsi="Times New Roman" w:cs="Times New Roman"/>
          <w:bCs/>
          <w:sz w:val="24"/>
          <w:szCs w:val="24"/>
        </w:rPr>
        <w:t>wydano 28 zarządzeń pokontrolnych</w:t>
      </w:r>
      <w:r>
        <w:rPr>
          <w:rFonts w:ascii="Times New Roman" w:hAnsi="Times New Roman" w:cs="Times New Roman"/>
          <w:bCs/>
          <w:sz w:val="24"/>
          <w:szCs w:val="24"/>
        </w:rPr>
        <w:t>,</w:t>
      </w:r>
    </w:p>
    <w:p w14:paraId="40CCD80C" w14:textId="77777777" w:rsidR="00124D28" w:rsidRPr="00965BA2" w:rsidRDefault="00124D28" w:rsidP="00056EE7">
      <w:pPr>
        <w:numPr>
          <w:ilvl w:val="0"/>
          <w:numId w:val="23"/>
        </w:numPr>
        <w:tabs>
          <w:tab w:val="clear" w:pos="0"/>
          <w:tab w:val="num" w:pos="-143"/>
        </w:tabs>
        <w:suppressAutoHyphens/>
        <w:spacing w:after="0" w:line="300" w:lineRule="atLeast"/>
        <w:ind w:left="566" w:hanging="283"/>
        <w:jc w:val="both"/>
        <w:rPr>
          <w:rFonts w:ascii="Times New Roman" w:hAnsi="Times New Roman" w:cs="Times New Roman"/>
          <w:bCs/>
          <w:sz w:val="24"/>
          <w:szCs w:val="24"/>
        </w:rPr>
      </w:pPr>
      <w:r w:rsidRPr="00965BA2">
        <w:rPr>
          <w:rFonts w:ascii="Times New Roman" w:hAnsi="Times New Roman" w:cs="Times New Roman"/>
          <w:bCs/>
          <w:sz w:val="24"/>
          <w:szCs w:val="24"/>
        </w:rPr>
        <w:t>skierowano 20 wystąpień do innych organów, w tym 7 do marszałków województw</w:t>
      </w:r>
      <w:r>
        <w:rPr>
          <w:rFonts w:ascii="Times New Roman" w:hAnsi="Times New Roman" w:cs="Times New Roman"/>
          <w:bCs/>
          <w:sz w:val="24"/>
          <w:szCs w:val="24"/>
        </w:rPr>
        <w:t>,</w:t>
      </w:r>
    </w:p>
    <w:p w14:paraId="0D891104" w14:textId="77777777" w:rsidR="00124D28" w:rsidRPr="00965BA2" w:rsidRDefault="00124D28" w:rsidP="00056EE7">
      <w:pPr>
        <w:numPr>
          <w:ilvl w:val="0"/>
          <w:numId w:val="23"/>
        </w:numPr>
        <w:tabs>
          <w:tab w:val="clear" w:pos="0"/>
          <w:tab w:val="num" w:pos="-143"/>
        </w:tabs>
        <w:suppressAutoHyphens/>
        <w:spacing w:after="0" w:line="300" w:lineRule="atLeast"/>
        <w:ind w:left="566" w:hanging="283"/>
        <w:jc w:val="both"/>
        <w:rPr>
          <w:rFonts w:ascii="Times New Roman" w:hAnsi="Times New Roman" w:cs="Times New Roman"/>
          <w:bCs/>
          <w:sz w:val="24"/>
          <w:szCs w:val="24"/>
        </w:rPr>
      </w:pPr>
      <w:r w:rsidRPr="00965BA2">
        <w:rPr>
          <w:rFonts w:ascii="Times New Roman" w:hAnsi="Times New Roman" w:cs="Times New Roman"/>
          <w:bCs/>
          <w:sz w:val="24"/>
          <w:szCs w:val="24"/>
        </w:rPr>
        <w:t>udzielono 10 pouczeń</w:t>
      </w:r>
      <w:r>
        <w:rPr>
          <w:rFonts w:ascii="Times New Roman" w:hAnsi="Times New Roman" w:cs="Times New Roman"/>
          <w:bCs/>
          <w:sz w:val="24"/>
          <w:szCs w:val="24"/>
        </w:rPr>
        <w:t>,</w:t>
      </w:r>
    </w:p>
    <w:p w14:paraId="786C2104" w14:textId="77777777" w:rsidR="00124D28" w:rsidRDefault="00124D28" w:rsidP="00056EE7">
      <w:pPr>
        <w:numPr>
          <w:ilvl w:val="0"/>
          <w:numId w:val="23"/>
        </w:numPr>
        <w:tabs>
          <w:tab w:val="clear" w:pos="0"/>
          <w:tab w:val="num" w:pos="-143"/>
        </w:tabs>
        <w:suppressAutoHyphens/>
        <w:spacing w:after="0" w:line="300" w:lineRule="atLeast"/>
        <w:ind w:left="566" w:hanging="283"/>
        <w:jc w:val="both"/>
        <w:rPr>
          <w:rFonts w:ascii="Times New Roman" w:hAnsi="Times New Roman" w:cs="Times New Roman"/>
          <w:bCs/>
          <w:sz w:val="24"/>
          <w:szCs w:val="24"/>
        </w:rPr>
      </w:pPr>
      <w:r w:rsidRPr="00965BA2">
        <w:rPr>
          <w:rFonts w:ascii="Times New Roman" w:hAnsi="Times New Roman" w:cs="Times New Roman"/>
          <w:bCs/>
          <w:sz w:val="24"/>
          <w:szCs w:val="24"/>
        </w:rPr>
        <w:t>nałożono 12 mandatów karnych</w:t>
      </w:r>
      <w:r>
        <w:rPr>
          <w:rFonts w:ascii="Times New Roman" w:hAnsi="Times New Roman" w:cs="Times New Roman"/>
          <w:bCs/>
          <w:sz w:val="24"/>
          <w:szCs w:val="24"/>
        </w:rPr>
        <w:t>,</w:t>
      </w:r>
    </w:p>
    <w:p w14:paraId="39786904" w14:textId="29AD4CE8" w:rsidR="00895F16" w:rsidRPr="00124D28" w:rsidRDefault="00124D28" w:rsidP="00056EE7">
      <w:pPr>
        <w:numPr>
          <w:ilvl w:val="0"/>
          <w:numId w:val="23"/>
        </w:numPr>
        <w:tabs>
          <w:tab w:val="clear" w:pos="0"/>
          <w:tab w:val="num" w:pos="-143"/>
        </w:tabs>
        <w:suppressAutoHyphens/>
        <w:spacing w:after="0" w:line="300" w:lineRule="atLeast"/>
        <w:ind w:left="566" w:hanging="283"/>
        <w:jc w:val="both"/>
        <w:rPr>
          <w:rFonts w:ascii="Times New Roman" w:hAnsi="Times New Roman" w:cs="Times New Roman"/>
          <w:bCs/>
          <w:sz w:val="24"/>
          <w:szCs w:val="24"/>
        </w:rPr>
      </w:pPr>
      <w:r w:rsidRPr="00124D28">
        <w:rPr>
          <w:rFonts w:ascii="Times New Roman" w:hAnsi="Times New Roman" w:cs="Times New Roman"/>
          <w:bCs/>
          <w:sz w:val="24"/>
          <w:szCs w:val="24"/>
        </w:rPr>
        <w:t>wydano 13 decyzji nakładających administracyjne kary pieniężne</w:t>
      </w:r>
      <w:r w:rsidR="00895F16" w:rsidRPr="00124D28">
        <w:rPr>
          <w:rFonts w:ascii="Times New Roman" w:eastAsia="Calibri" w:hAnsi="Times New Roman" w:cs="Times New Roman"/>
          <w:sz w:val="24"/>
          <w:szCs w:val="24"/>
          <w:lang w:val="x-none" w:eastAsia="pl-PL"/>
        </w:rPr>
        <w:t>.</w:t>
      </w:r>
    </w:p>
    <w:p w14:paraId="5B61A34E" w14:textId="77777777" w:rsidR="00895F16" w:rsidRPr="007F400A" w:rsidRDefault="00895F16" w:rsidP="00056EE7">
      <w:pPr>
        <w:spacing w:after="0" w:line="300" w:lineRule="atLeast"/>
        <w:ind w:firstLine="357"/>
        <w:jc w:val="both"/>
        <w:rPr>
          <w:rFonts w:ascii="Times New Roman" w:eastAsia="Calibri" w:hAnsi="Times New Roman" w:cs="Times New Roman"/>
          <w:sz w:val="24"/>
          <w:szCs w:val="24"/>
          <w:lang w:eastAsia="pl-PL"/>
        </w:rPr>
      </w:pPr>
    </w:p>
    <w:p w14:paraId="4BC2D3E8" w14:textId="73B380EA" w:rsidR="00895F16" w:rsidRPr="007F400A" w:rsidRDefault="00895F16" w:rsidP="00BC0D48">
      <w:pPr>
        <w:keepNext/>
        <w:spacing w:after="120" w:line="300" w:lineRule="atLeast"/>
        <w:jc w:val="both"/>
        <w:outlineLvl w:val="0"/>
        <w:rPr>
          <w:rFonts w:ascii="Times New Roman" w:eastAsia="Calibri" w:hAnsi="Times New Roman" w:cs="Times New Roman"/>
          <w:b/>
          <w:bCs/>
          <w:sz w:val="24"/>
          <w:szCs w:val="24"/>
          <w:lang w:val="x-none" w:eastAsia="pl-PL"/>
        </w:rPr>
      </w:pPr>
      <w:bookmarkStart w:id="165" w:name="_Toc135935624"/>
      <w:r w:rsidRPr="007F400A">
        <w:rPr>
          <w:rFonts w:ascii="Times New Roman" w:eastAsia="Calibri" w:hAnsi="Times New Roman" w:cs="Times New Roman"/>
          <w:b/>
          <w:bCs/>
          <w:sz w:val="24"/>
          <w:szCs w:val="24"/>
          <w:lang w:val="x-none" w:eastAsia="pl-PL"/>
        </w:rPr>
        <w:t>3.3.3</w:t>
      </w:r>
      <w:r w:rsidR="00124D28">
        <w:rPr>
          <w:rFonts w:ascii="Times New Roman" w:eastAsia="Calibri" w:hAnsi="Times New Roman" w:cs="Times New Roman"/>
          <w:b/>
          <w:bCs/>
          <w:sz w:val="24"/>
          <w:szCs w:val="24"/>
          <w:lang w:eastAsia="pl-PL"/>
        </w:rPr>
        <w:t>4</w:t>
      </w:r>
      <w:r w:rsidRPr="007F400A">
        <w:rPr>
          <w:rFonts w:ascii="Times New Roman" w:eastAsia="Calibri" w:hAnsi="Times New Roman" w:cs="Times New Roman"/>
          <w:b/>
          <w:bCs/>
          <w:sz w:val="24"/>
          <w:szCs w:val="24"/>
          <w:lang w:val="x-none" w:eastAsia="pl-PL"/>
        </w:rPr>
        <w:t xml:space="preserve"> Kontrole przestrzegania przepisów ustaw</w:t>
      </w:r>
      <w:r w:rsidRPr="007F400A">
        <w:rPr>
          <w:rFonts w:ascii="Times New Roman" w:eastAsia="Calibri" w:hAnsi="Times New Roman" w:cs="Times New Roman"/>
          <w:b/>
          <w:bCs/>
          <w:sz w:val="24"/>
          <w:szCs w:val="24"/>
          <w:lang w:eastAsia="pl-PL"/>
        </w:rPr>
        <w:t>y</w:t>
      </w:r>
      <w:r w:rsidRPr="007F400A">
        <w:rPr>
          <w:rFonts w:ascii="Times New Roman" w:eastAsia="Calibri" w:hAnsi="Times New Roman" w:cs="Times New Roman"/>
          <w:b/>
          <w:bCs/>
          <w:sz w:val="24"/>
          <w:szCs w:val="24"/>
          <w:lang w:val="x-none" w:eastAsia="pl-PL"/>
        </w:rPr>
        <w:t xml:space="preserve"> o przeciwdziałaniu marnowani</w:t>
      </w:r>
      <w:r w:rsidRPr="007F400A">
        <w:rPr>
          <w:rFonts w:ascii="Times New Roman" w:eastAsia="Calibri" w:hAnsi="Times New Roman" w:cs="Times New Roman"/>
          <w:b/>
          <w:bCs/>
          <w:sz w:val="24"/>
          <w:szCs w:val="24"/>
          <w:lang w:eastAsia="pl-PL"/>
        </w:rPr>
        <w:t>u</w:t>
      </w:r>
      <w:r w:rsidRPr="007F400A">
        <w:rPr>
          <w:rFonts w:ascii="Times New Roman" w:eastAsia="Calibri" w:hAnsi="Times New Roman" w:cs="Times New Roman"/>
          <w:b/>
          <w:bCs/>
          <w:sz w:val="24"/>
          <w:szCs w:val="24"/>
          <w:lang w:val="x-none" w:eastAsia="pl-PL"/>
        </w:rPr>
        <w:t xml:space="preserve"> żywności</w:t>
      </w:r>
      <w:bookmarkEnd w:id="165"/>
    </w:p>
    <w:p w14:paraId="6EE38BA3" w14:textId="77777777" w:rsidR="00124D28" w:rsidRPr="00965BA2" w:rsidRDefault="00124D28" w:rsidP="00BC0D48">
      <w:pPr>
        <w:spacing w:after="0" w:line="300" w:lineRule="atLeast"/>
        <w:ind w:firstLine="708"/>
        <w:jc w:val="both"/>
        <w:rPr>
          <w:rFonts w:ascii="Times New Roman" w:eastAsia="Times New Roman" w:hAnsi="Times New Roman" w:cs="Times New Roman"/>
          <w:sz w:val="24"/>
          <w:szCs w:val="24"/>
          <w:lang w:eastAsia="pl-PL"/>
        </w:rPr>
      </w:pPr>
      <w:r w:rsidRPr="00965BA2">
        <w:rPr>
          <w:rFonts w:ascii="Times New Roman" w:eastAsia="Times New Roman" w:hAnsi="Times New Roman" w:cs="Times New Roman"/>
          <w:sz w:val="24"/>
          <w:szCs w:val="24"/>
          <w:lang w:eastAsia="pl-PL"/>
        </w:rPr>
        <w:t xml:space="preserve">W 2022 r. wojewódzcy inspektorzy ochrony środowiska przeprowadzili łącznie 234 kontrole podmiotów w zakresie przestrzegania przepisów ustawy o przeciwdziałaniu marnowaniu żywności, podczas których skontrolowano 206 sprzedawców żywności oraz 28 organizacji pozarządowych. </w:t>
      </w:r>
    </w:p>
    <w:p w14:paraId="2A70E347" w14:textId="77777777" w:rsidR="00124D28" w:rsidRPr="00965BA2" w:rsidRDefault="00124D28" w:rsidP="00BC0D48">
      <w:pPr>
        <w:spacing w:after="120" w:line="300" w:lineRule="atLeast"/>
        <w:jc w:val="both"/>
        <w:rPr>
          <w:rFonts w:ascii="Times New Roman" w:eastAsia="Times New Roman" w:hAnsi="Times New Roman" w:cs="Times New Roman"/>
          <w:sz w:val="24"/>
          <w:szCs w:val="24"/>
          <w:lang w:eastAsia="pl-PL"/>
        </w:rPr>
      </w:pPr>
      <w:r w:rsidRPr="00965BA2">
        <w:rPr>
          <w:rFonts w:ascii="Times New Roman" w:eastAsia="Times New Roman" w:hAnsi="Times New Roman" w:cs="Times New Roman"/>
          <w:sz w:val="24"/>
          <w:szCs w:val="24"/>
          <w:lang w:eastAsia="pl-PL"/>
        </w:rPr>
        <w:tab/>
        <w:t xml:space="preserve">Naruszenia wykryto podczas 126 przeprowadzonych kontroli, co stanowi </w:t>
      </w:r>
      <w:r w:rsidRPr="007353AE">
        <w:rPr>
          <w:rFonts w:ascii="Times New Roman" w:eastAsia="Times New Roman" w:hAnsi="Times New Roman" w:cs="Times New Roman"/>
          <w:sz w:val="24"/>
          <w:szCs w:val="24"/>
          <w:lang w:eastAsia="pl-PL"/>
        </w:rPr>
        <w:t>54</w:t>
      </w:r>
      <w:r>
        <w:rPr>
          <w:rFonts w:ascii="Times New Roman" w:eastAsia="Times New Roman" w:hAnsi="Times New Roman" w:cs="Times New Roman"/>
          <w:sz w:val="24"/>
          <w:szCs w:val="24"/>
          <w:lang w:eastAsia="pl-PL"/>
        </w:rPr>
        <w:t xml:space="preserve"> </w:t>
      </w:r>
      <w:r w:rsidRPr="00965BA2">
        <w:rPr>
          <w:rFonts w:ascii="Times New Roman" w:eastAsia="Times New Roman" w:hAnsi="Times New Roman" w:cs="Times New Roman"/>
          <w:sz w:val="24"/>
          <w:szCs w:val="24"/>
          <w:lang w:eastAsia="pl-PL"/>
        </w:rPr>
        <w:t xml:space="preserve">% wszystkich kontroli (111 kontroli sprzedawców żywności i 15 kontroli organizacji pozarządowych). </w:t>
      </w:r>
    </w:p>
    <w:p w14:paraId="47CBE665" w14:textId="77777777" w:rsidR="00124D28" w:rsidRPr="00965BA2" w:rsidRDefault="00124D28" w:rsidP="00BC0D48">
      <w:pPr>
        <w:spacing w:after="60" w:line="300" w:lineRule="atLeast"/>
        <w:jc w:val="both"/>
        <w:rPr>
          <w:rFonts w:ascii="Times New Roman" w:eastAsia="Times New Roman" w:hAnsi="Times New Roman" w:cs="Times New Roman"/>
          <w:sz w:val="24"/>
          <w:szCs w:val="24"/>
          <w:lang w:eastAsia="pl-PL"/>
        </w:rPr>
      </w:pPr>
      <w:r w:rsidRPr="00965BA2">
        <w:rPr>
          <w:rFonts w:ascii="Times New Roman" w:eastAsia="Times New Roman" w:hAnsi="Times New Roman" w:cs="Times New Roman"/>
          <w:sz w:val="24"/>
          <w:szCs w:val="24"/>
          <w:lang w:eastAsia="pl-PL"/>
        </w:rPr>
        <w:t>Naruszenia wykazane podczas kontroli u sprzedawców żywności dotyczyły:</w:t>
      </w:r>
    </w:p>
    <w:p w14:paraId="74529518" w14:textId="2B2BF254" w:rsidR="00124D28" w:rsidRPr="00965BA2" w:rsidRDefault="00124D28" w:rsidP="00D34F97">
      <w:pPr>
        <w:numPr>
          <w:ilvl w:val="0"/>
          <w:numId w:val="52"/>
        </w:numPr>
        <w:spacing w:after="0" w:line="300" w:lineRule="atLeast"/>
        <w:ind w:left="714" w:hanging="357"/>
        <w:jc w:val="both"/>
        <w:rPr>
          <w:rFonts w:ascii="Times New Roman" w:eastAsia="Times New Roman" w:hAnsi="Times New Roman" w:cs="Times New Roman"/>
          <w:sz w:val="24"/>
          <w:szCs w:val="24"/>
          <w:lang w:eastAsia="pl-PL"/>
        </w:rPr>
      </w:pPr>
      <w:r w:rsidRPr="00965BA2">
        <w:rPr>
          <w:rFonts w:ascii="Times New Roman" w:eastAsia="Times New Roman" w:hAnsi="Times New Roman" w:cs="Times New Roman"/>
          <w:sz w:val="24"/>
          <w:szCs w:val="24"/>
          <w:lang w:eastAsia="pl-PL"/>
        </w:rPr>
        <w:t xml:space="preserve">naruszeń związanych </w:t>
      </w:r>
      <w:bookmarkStart w:id="166" w:name="_Hlk124162050"/>
      <w:r w:rsidRPr="00965BA2">
        <w:rPr>
          <w:rFonts w:ascii="Times New Roman" w:eastAsia="Times New Roman" w:hAnsi="Times New Roman" w:cs="Times New Roman"/>
          <w:sz w:val="24"/>
          <w:szCs w:val="24"/>
          <w:lang w:eastAsia="pl-PL"/>
        </w:rPr>
        <w:t>z opłatą za marnowanie żywności</w:t>
      </w:r>
      <w:bookmarkEnd w:id="166"/>
      <w:r w:rsidRPr="00965BA2">
        <w:rPr>
          <w:rFonts w:ascii="Times New Roman" w:eastAsia="Times New Roman" w:hAnsi="Times New Roman" w:cs="Times New Roman"/>
          <w:sz w:val="24"/>
          <w:szCs w:val="24"/>
          <w:lang w:eastAsia="pl-PL"/>
        </w:rPr>
        <w:t xml:space="preserve">: </w:t>
      </w:r>
      <w:bookmarkStart w:id="167" w:name="_Hlk124162143"/>
      <w:r w:rsidRPr="00965BA2">
        <w:rPr>
          <w:rFonts w:ascii="Times New Roman" w:eastAsia="Times New Roman" w:hAnsi="Times New Roman" w:cs="Times New Roman"/>
          <w:sz w:val="24"/>
          <w:szCs w:val="24"/>
          <w:lang w:eastAsia="pl-PL"/>
        </w:rPr>
        <w:t>niewniesienie opłaty, nieterminowe wniesienie opłaty, wniesienie opłaty w niepełnej wysokości, niewyliczenie opłaty za marnowanie żywności, nieprawidłowe ustalenie kwoty opłaty, nieprawidłowe ustalenie masy marnowanej żywności, część opłaty wniesiona na niewłaściwe konto</w:t>
      </w:r>
      <w:bookmarkEnd w:id="167"/>
      <w:r w:rsidRPr="00965BA2">
        <w:rPr>
          <w:rFonts w:ascii="Times New Roman" w:eastAsia="Times New Roman" w:hAnsi="Times New Roman" w:cs="Times New Roman"/>
          <w:sz w:val="24"/>
          <w:szCs w:val="24"/>
          <w:lang w:eastAsia="pl-PL"/>
        </w:rPr>
        <w:t xml:space="preserve"> (do </w:t>
      </w:r>
      <w:proofErr w:type="spellStart"/>
      <w:r w:rsidRPr="00965BA2">
        <w:rPr>
          <w:rFonts w:ascii="Times New Roman" w:eastAsia="Times New Roman" w:hAnsi="Times New Roman" w:cs="Times New Roman"/>
          <w:sz w:val="24"/>
          <w:szCs w:val="24"/>
          <w:lang w:eastAsia="pl-PL"/>
        </w:rPr>
        <w:t>WFOŚiGW</w:t>
      </w:r>
      <w:proofErr w:type="spellEnd"/>
      <w:r w:rsidRPr="00965BA2">
        <w:rPr>
          <w:rFonts w:ascii="Times New Roman" w:eastAsia="Times New Roman" w:hAnsi="Times New Roman" w:cs="Times New Roman"/>
          <w:sz w:val="24"/>
          <w:szCs w:val="24"/>
          <w:lang w:eastAsia="pl-PL"/>
        </w:rPr>
        <w:t>) – 74 przypadk</w:t>
      </w:r>
      <w:r w:rsidR="00BC0D48">
        <w:rPr>
          <w:rFonts w:ascii="Times New Roman" w:eastAsia="Times New Roman" w:hAnsi="Times New Roman" w:cs="Times New Roman"/>
          <w:sz w:val="24"/>
          <w:szCs w:val="24"/>
          <w:lang w:eastAsia="pl-PL"/>
        </w:rPr>
        <w:t>i</w:t>
      </w:r>
      <w:r>
        <w:rPr>
          <w:rFonts w:ascii="Times New Roman" w:eastAsia="Times New Roman" w:hAnsi="Times New Roman" w:cs="Times New Roman"/>
          <w:sz w:val="24"/>
          <w:szCs w:val="24"/>
          <w:lang w:eastAsia="pl-PL"/>
        </w:rPr>
        <w:t>,</w:t>
      </w:r>
    </w:p>
    <w:p w14:paraId="1F2EA2D8" w14:textId="198A3BFE" w:rsidR="00124D28" w:rsidRPr="00965BA2" w:rsidRDefault="00124D28" w:rsidP="00D34F97">
      <w:pPr>
        <w:numPr>
          <w:ilvl w:val="0"/>
          <w:numId w:val="52"/>
        </w:numPr>
        <w:spacing w:after="0" w:line="300" w:lineRule="atLeast"/>
        <w:ind w:left="714" w:hanging="357"/>
        <w:jc w:val="both"/>
        <w:rPr>
          <w:rFonts w:ascii="Times New Roman" w:eastAsia="Times New Roman" w:hAnsi="Times New Roman" w:cs="Times New Roman"/>
          <w:sz w:val="24"/>
          <w:szCs w:val="24"/>
          <w:lang w:eastAsia="pl-PL"/>
        </w:rPr>
      </w:pPr>
      <w:r w:rsidRPr="00965BA2">
        <w:rPr>
          <w:rFonts w:ascii="Times New Roman" w:eastAsia="Times New Roman" w:hAnsi="Times New Roman" w:cs="Times New Roman"/>
          <w:sz w:val="24"/>
          <w:szCs w:val="24"/>
          <w:lang w:eastAsia="pl-PL"/>
        </w:rPr>
        <w:t>naruszeń związanych ze sprawozdaniem o marnowanej żywności: niezłożenie sprawozdania, niepoprawne/nierzetelne sporządzenie sprawozdania, nieterminowe złożenie sprawozdania – 61 przypadk</w:t>
      </w:r>
      <w:r w:rsidR="00BC0D48">
        <w:rPr>
          <w:rFonts w:ascii="Times New Roman" w:eastAsia="Times New Roman" w:hAnsi="Times New Roman" w:cs="Times New Roman"/>
          <w:sz w:val="24"/>
          <w:szCs w:val="24"/>
          <w:lang w:eastAsia="pl-PL"/>
        </w:rPr>
        <w:t>ów</w:t>
      </w:r>
      <w:r>
        <w:rPr>
          <w:rFonts w:ascii="Times New Roman" w:eastAsia="Times New Roman" w:hAnsi="Times New Roman" w:cs="Times New Roman"/>
          <w:sz w:val="24"/>
          <w:szCs w:val="24"/>
          <w:lang w:eastAsia="pl-PL"/>
        </w:rPr>
        <w:t>,</w:t>
      </w:r>
    </w:p>
    <w:p w14:paraId="5B2A0C50" w14:textId="77777777" w:rsidR="00124D28" w:rsidRPr="00965BA2" w:rsidRDefault="00124D28" w:rsidP="00D34F97">
      <w:pPr>
        <w:numPr>
          <w:ilvl w:val="0"/>
          <w:numId w:val="52"/>
        </w:numPr>
        <w:spacing w:after="0" w:line="300" w:lineRule="atLeast"/>
        <w:ind w:left="714" w:hanging="357"/>
        <w:jc w:val="both"/>
        <w:rPr>
          <w:rFonts w:ascii="Times New Roman" w:eastAsia="Times New Roman" w:hAnsi="Times New Roman" w:cs="Times New Roman"/>
          <w:sz w:val="24"/>
          <w:szCs w:val="24"/>
          <w:lang w:eastAsia="pl-PL"/>
        </w:rPr>
      </w:pPr>
      <w:r w:rsidRPr="00965BA2">
        <w:rPr>
          <w:rFonts w:ascii="Times New Roman" w:eastAsia="Times New Roman" w:hAnsi="Times New Roman" w:cs="Times New Roman"/>
          <w:sz w:val="24"/>
          <w:szCs w:val="24"/>
          <w:lang w:eastAsia="pl-PL"/>
        </w:rPr>
        <w:t xml:space="preserve">naruszeń związanych z kampaniami edukacyjno-informacyjnymi: </w:t>
      </w:r>
      <w:proofErr w:type="spellStart"/>
      <w:r w:rsidRPr="00965BA2">
        <w:rPr>
          <w:rFonts w:ascii="Times New Roman" w:eastAsia="Times New Roman" w:hAnsi="Times New Roman" w:cs="Times New Roman"/>
          <w:sz w:val="24"/>
          <w:szCs w:val="24"/>
          <w:lang w:eastAsia="pl-PL"/>
        </w:rPr>
        <w:t>niezawarcie</w:t>
      </w:r>
      <w:proofErr w:type="spellEnd"/>
      <w:r w:rsidRPr="00965BA2">
        <w:rPr>
          <w:rFonts w:ascii="Times New Roman" w:eastAsia="Times New Roman" w:hAnsi="Times New Roman" w:cs="Times New Roman"/>
          <w:sz w:val="24"/>
          <w:szCs w:val="24"/>
          <w:lang w:eastAsia="pl-PL"/>
        </w:rPr>
        <w:t xml:space="preserve"> umowy, przeznaczenie na kampanię więcej niż 20% środków pochodzących z opłaty, przeprowadzanie kampanii bez udziału organizacji pozarządowej, nieprawidłowe wskazanie kosztu poniesionego na kampanię, nieprzeprowadzenie kampanii </w:t>
      </w:r>
      <w:r w:rsidRPr="00965BA2">
        <w:rPr>
          <w:rFonts w:ascii="Times New Roman" w:eastAsia="Times New Roman" w:hAnsi="Times New Roman" w:cs="Times New Roman"/>
          <w:sz w:val="24"/>
          <w:szCs w:val="24"/>
          <w:lang w:eastAsia="pl-PL"/>
        </w:rPr>
        <w:br/>
        <w:t>– 26 przypadków</w:t>
      </w:r>
      <w:r>
        <w:rPr>
          <w:rFonts w:ascii="Times New Roman" w:eastAsia="Times New Roman" w:hAnsi="Times New Roman" w:cs="Times New Roman"/>
          <w:sz w:val="24"/>
          <w:szCs w:val="24"/>
          <w:lang w:eastAsia="pl-PL"/>
        </w:rPr>
        <w:t>,</w:t>
      </w:r>
    </w:p>
    <w:p w14:paraId="77273CB7" w14:textId="77777777" w:rsidR="00124D28" w:rsidRPr="00965BA2" w:rsidRDefault="00124D28" w:rsidP="00D34F97">
      <w:pPr>
        <w:numPr>
          <w:ilvl w:val="0"/>
          <w:numId w:val="52"/>
        </w:numPr>
        <w:spacing w:after="0" w:line="300" w:lineRule="atLeast"/>
        <w:ind w:left="714" w:hanging="357"/>
        <w:jc w:val="both"/>
        <w:rPr>
          <w:rFonts w:ascii="Times New Roman" w:eastAsia="Times New Roman" w:hAnsi="Times New Roman" w:cs="Times New Roman"/>
          <w:sz w:val="24"/>
          <w:szCs w:val="24"/>
          <w:lang w:eastAsia="pl-PL"/>
        </w:rPr>
      </w:pPr>
      <w:r w:rsidRPr="00965BA2">
        <w:rPr>
          <w:rFonts w:ascii="Times New Roman" w:eastAsia="Times New Roman" w:hAnsi="Times New Roman" w:cs="Times New Roman"/>
          <w:sz w:val="24"/>
          <w:szCs w:val="24"/>
          <w:lang w:eastAsia="pl-PL"/>
        </w:rPr>
        <w:t xml:space="preserve">naruszeń związanych z umową dotyczącą nieodpłatnego przekazywania żywności: </w:t>
      </w:r>
      <w:bookmarkStart w:id="168" w:name="_Hlk124163473"/>
      <w:proofErr w:type="spellStart"/>
      <w:r w:rsidRPr="00965BA2">
        <w:rPr>
          <w:rFonts w:ascii="Times New Roman" w:eastAsia="Times New Roman" w:hAnsi="Times New Roman" w:cs="Times New Roman"/>
          <w:sz w:val="24"/>
          <w:szCs w:val="24"/>
          <w:lang w:eastAsia="pl-PL"/>
        </w:rPr>
        <w:t>niezawarcie</w:t>
      </w:r>
      <w:proofErr w:type="spellEnd"/>
      <w:r w:rsidRPr="00965BA2">
        <w:rPr>
          <w:rFonts w:ascii="Times New Roman" w:eastAsia="Times New Roman" w:hAnsi="Times New Roman" w:cs="Times New Roman"/>
          <w:sz w:val="24"/>
          <w:szCs w:val="24"/>
          <w:lang w:eastAsia="pl-PL"/>
        </w:rPr>
        <w:t xml:space="preserve"> umowy, nieterminowe zawarcie umowy, nieumieszczenie w umowie wymaganych ustawą postanowień</w:t>
      </w:r>
      <w:bookmarkEnd w:id="168"/>
      <w:r w:rsidRPr="00965BA2">
        <w:rPr>
          <w:rFonts w:ascii="Times New Roman" w:eastAsia="Times New Roman" w:hAnsi="Times New Roman" w:cs="Times New Roman"/>
          <w:sz w:val="24"/>
          <w:szCs w:val="24"/>
          <w:lang w:eastAsia="pl-PL"/>
        </w:rPr>
        <w:t xml:space="preserve"> – 34 przypadki</w:t>
      </w:r>
      <w:r>
        <w:rPr>
          <w:rFonts w:ascii="Times New Roman" w:eastAsia="Times New Roman" w:hAnsi="Times New Roman" w:cs="Times New Roman"/>
          <w:sz w:val="24"/>
          <w:szCs w:val="24"/>
          <w:lang w:eastAsia="pl-PL"/>
        </w:rPr>
        <w:t>,</w:t>
      </w:r>
    </w:p>
    <w:p w14:paraId="375128A6" w14:textId="77777777" w:rsidR="00124D28" w:rsidRPr="00965BA2" w:rsidRDefault="00124D28" w:rsidP="00D34F97">
      <w:pPr>
        <w:numPr>
          <w:ilvl w:val="0"/>
          <w:numId w:val="52"/>
        </w:numPr>
        <w:spacing w:after="120" w:line="300" w:lineRule="atLeast"/>
        <w:ind w:left="714" w:hanging="357"/>
        <w:jc w:val="both"/>
        <w:rPr>
          <w:rFonts w:ascii="Times New Roman" w:eastAsia="Times New Roman" w:hAnsi="Times New Roman" w:cs="Times New Roman"/>
          <w:sz w:val="24"/>
          <w:szCs w:val="24"/>
          <w:lang w:eastAsia="pl-PL"/>
        </w:rPr>
      </w:pPr>
      <w:r w:rsidRPr="00965BA2">
        <w:rPr>
          <w:rFonts w:ascii="Times New Roman" w:eastAsia="Times New Roman" w:hAnsi="Times New Roman" w:cs="Times New Roman"/>
          <w:sz w:val="24"/>
          <w:szCs w:val="24"/>
          <w:lang w:eastAsia="pl-PL"/>
        </w:rPr>
        <w:t xml:space="preserve">niezamieszczenia </w:t>
      </w:r>
      <w:bookmarkStart w:id="169" w:name="_Hlk124164055"/>
      <w:r w:rsidRPr="00965BA2">
        <w:rPr>
          <w:rFonts w:ascii="Times New Roman" w:eastAsia="Times New Roman" w:hAnsi="Times New Roman" w:cs="Times New Roman"/>
          <w:sz w:val="24"/>
          <w:szCs w:val="24"/>
          <w:lang w:eastAsia="pl-PL"/>
        </w:rPr>
        <w:t>informacji o wysokości należnej opłaty lub wartości żywności przekazanej organizacjom pozarządowym w sprawozdaniu finansowym oraz na stronie internetowej</w:t>
      </w:r>
      <w:bookmarkEnd w:id="169"/>
      <w:r w:rsidRPr="00965BA2">
        <w:rPr>
          <w:rFonts w:ascii="Times New Roman" w:eastAsia="Times New Roman" w:hAnsi="Times New Roman" w:cs="Times New Roman"/>
          <w:sz w:val="24"/>
          <w:szCs w:val="24"/>
          <w:lang w:eastAsia="pl-PL"/>
        </w:rPr>
        <w:t xml:space="preserve"> – 30 przypadków.</w:t>
      </w:r>
    </w:p>
    <w:p w14:paraId="3F913EFF" w14:textId="77777777" w:rsidR="00124D28" w:rsidRPr="00965BA2" w:rsidRDefault="00124D28" w:rsidP="00BC0D48">
      <w:pPr>
        <w:spacing w:after="120" w:line="300" w:lineRule="atLeast"/>
        <w:ind w:firstLine="567"/>
        <w:jc w:val="both"/>
        <w:rPr>
          <w:rFonts w:ascii="Times New Roman" w:eastAsia="Times New Roman" w:hAnsi="Times New Roman" w:cs="Times New Roman"/>
          <w:sz w:val="24"/>
          <w:szCs w:val="24"/>
          <w:lang w:eastAsia="pl-PL"/>
        </w:rPr>
      </w:pPr>
      <w:r w:rsidRPr="00965BA2">
        <w:rPr>
          <w:rFonts w:ascii="Times New Roman" w:eastAsia="Times New Roman" w:hAnsi="Times New Roman" w:cs="Times New Roman"/>
          <w:sz w:val="24"/>
          <w:szCs w:val="24"/>
          <w:lang w:eastAsia="pl-PL"/>
        </w:rPr>
        <w:tab/>
        <w:t xml:space="preserve">Ponadto podczas wykonywania kontroli u sprzedawców żywności wykryto 15 naruszeń ustawy o odpadach dotyczących nieprowadzenia ewidencji odpadów, nierzetelnego prowadzenia ewidencji odpadów, niewłaściwej klasyfikacji odpadów oraz nieprowadzenia KEO i KPO. </w:t>
      </w:r>
    </w:p>
    <w:p w14:paraId="422A9C8C" w14:textId="77777777" w:rsidR="00124D28" w:rsidRPr="00965BA2" w:rsidRDefault="00124D28" w:rsidP="00BC0D48">
      <w:pPr>
        <w:spacing w:after="60" w:line="300" w:lineRule="atLeast"/>
        <w:jc w:val="both"/>
        <w:rPr>
          <w:rFonts w:ascii="Times New Roman" w:eastAsia="Times New Roman" w:hAnsi="Times New Roman" w:cs="Times New Roman"/>
          <w:sz w:val="24"/>
          <w:szCs w:val="24"/>
          <w:lang w:eastAsia="pl-PL"/>
        </w:rPr>
      </w:pPr>
      <w:r w:rsidRPr="00965BA2">
        <w:rPr>
          <w:rFonts w:ascii="Times New Roman" w:eastAsia="Times New Roman" w:hAnsi="Times New Roman" w:cs="Times New Roman"/>
          <w:sz w:val="24"/>
          <w:szCs w:val="24"/>
          <w:lang w:eastAsia="pl-PL"/>
        </w:rPr>
        <w:t>Naruszenia wykazane podczas kontroli u organizacji pozarządowych dotyczyły:</w:t>
      </w:r>
    </w:p>
    <w:p w14:paraId="77C46D84" w14:textId="77777777" w:rsidR="00124D28" w:rsidRPr="00965BA2" w:rsidRDefault="00124D28" w:rsidP="00D34F97">
      <w:pPr>
        <w:numPr>
          <w:ilvl w:val="0"/>
          <w:numId w:val="191"/>
        </w:numPr>
        <w:spacing w:after="0" w:line="300" w:lineRule="atLeast"/>
        <w:jc w:val="both"/>
        <w:rPr>
          <w:rFonts w:ascii="Times New Roman" w:eastAsia="Times New Roman" w:hAnsi="Times New Roman" w:cs="Times New Roman"/>
          <w:sz w:val="24"/>
          <w:szCs w:val="24"/>
          <w:lang w:eastAsia="pl-PL"/>
        </w:rPr>
      </w:pPr>
      <w:bookmarkStart w:id="170" w:name="_Hlk123816541"/>
      <w:r w:rsidRPr="00965BA2">
        <w:rPr>
          <w:rFonts w:ascii="Times New Roman" w:eastAsia="Times New Roman" w:hAnsi="Times New Roman" w:cs="Times New Roman"/>
          <w:sz w:val="24"/>
          <w:szCs w:val="24"/>
          <w:lang w:eastAsia="pl-PL"/>
        </w:rPr>
        <w:t xml:space="preserve">nieterminowego złożenia sprawozdania o sposobie zagospodarowania otrzymanej żywności </w:t>
      </w:r>
      <w:bookmarkEnd w:id="170"/>
      <w:r w:rsidRPr="00965BA2">
        <w:rPr>
          <w:rFonts w:ascii="Times New Roman" w:eastAsia="Times New Roman" w:hAnsi="Times New Roman" w:cs="Times New Roman"/>
          <w:sz w:val="24"/>
          <w:szCs w:val="24"/>
          <w:lang w:eastAsia="pl-PL"/>
        </w:rPr>
        <w:t>– 13 przypadków</w:t>
      </w:r>
      <w:r>
        <w:rPr>
          <w:rFonts w:ascii="Times New Roman" w:eastAsia="Times New Roman" w:hAnsi="Times New Roman" w:cs="Times New Roman"/>
          <w:sz w:val="24"/>
          <w:szCs w:val="24"/>
          <w:lang w:eastAsia="pl-PL"/>
        </w:rPr>
        <w:t>,</w:t>
      </w:r>
    </w:p>
    <w:p w14:paraId="45AA45CE" w14:textId="77777777" w:rsidR="00124D28" w:rsidRPr="00965BA2" w:rsidRDefault="00124D28" w:rsidP="00D34F97">
      <w:pPr>
        <w:numPr>
          <w:ilvl w:val="0"/>
          <w:numId w:val="191"/>
        </w:numPr>
        <w:spacing w:after="0" w:line="300" w:lineRule="atLeast"/>
        <w:jc w:val="both"/>
        <w:rPr>
          <w:rFonts w:ascii="Times New Roman" w:eastAsia="Times New Roman" w:hAnsi="Times New Roman" w:cs="Times New Roman"/>
          <w:sz w:val="24"/>
          <w:szCs w:val="24"/>
          <w:lang w:eastAsia="pl-PL"/>
        </w:rPr>
      </w:pPr>
      <w:r w:rsidRPr="00965BA2">
        <w:rPr>
          <w:rFonts w:ascii="Times New Roman" w:eastAsia="Times New Roman" w:hAnsi="Times New Roman" w:cs="Times New Roman"/>
          <w:sz w:val="24"/>
          <w:szCs w:val="24"/>
          <w:lang w:eastAsia="pl-PL"/>
        </w:rPr>
        <w:lastRenderedPageBreak/>
        <w:t xml:space="preserve"> niezłożenia sprawozdania o sposobie zagospodarowania otrzymanej żywności – 1 przypadek</w:t>
      </w:r>
      <w:r>
        <w:rPr>
          <w:rFonts w:ascii="Times New Roman" w:eastAsia="Times New Roman" w:hAnsi="Times New Roman" w:cs="Times New Roman"/>
          <w:sz w:val="24"/>
          <w:szCs w:val="24"/>
          <w:lang w:eastAsia="pl-PL"/>
        </w:rPr>
        <w:t>,</w:t>
      </w:r>
    </w:p>
    <w:p w14:paraId="3044DC8F" w14:textId="77777777" w:rsidR="00124D28" w:rsidRPr="00965BA2" w:rsidRDefault="00124D28" w:rsidP="00D34F97">
      <w:pPr>
        <w:numPr>
          <w:ilvl w:val="0"/>
          <w:numId w:val="191"/>
        </w:numPr>
        <w:spacing w:after="120" w:line="300" w:lineRule="atLeast"/>
        <w:ind w:left="714" w:hanging="357"/>
        <w:jc w:val="both"/>
        <w:rPr>
          <w:rFonts w:ascii="Times New Roman" w:eastAsia="Times New Roman" w:hAnsi="Times New Roman" w:cs="Times New Roman"/>
          <w:sz w:val="24"/>
          <w:szCs w:val="24"/>
          <w:lang w:eastAsia="pl-PL"/>
        </w:rPr>
      </w:pPr>
      <w:r w:rsidRPr="00965BA2">
        <w:rPr>
          <w:rFonts w:ascii="Times New Roman" w:eastAsia="Times New Roman" w:hAnsi="Times New Roman" w:cs="Times New Roman"/>
          <w:sz w:val="24"/>
          <w:szCs w:val="24"/>
          <w:lang w:eastAsia="pl-PL"/>
        </w:rPr>
        <w:t>niezłożenia rocznej informacji o wykorzystaniu środków – 3 przypadki.</w:t>
      </w:r>
    </w:p>
    <w:p w14:paraId="5CCE22EE" w14:textId="77777777" w:rsidR="00124D28" w:rsidRPr="00965BA2" w:rsidRDefault="00124D28" w:rsidP="00BC0D48">
      <w:pPr>
        <w:spacing w:after="60" w:line="300" w:lineRule="atLeast"/>
        <w:jc w:val="both"/>
        <w:rPr>
          <w:rFonts w:ascii="Times New Roman" w:eastAsia="Times New Roman" w:hAnsi="Times New Roman" w:cs="Times New Roman"/>
          <w:sz w:val="24"/>
          <w:szCs w:val="24"/>
          <w:lang w:eastAsia="pl-PL"/>
        </w:rPr>
      </w:pPr>
      <w:r w:rsidRPr="00965BA2">
        <w:rPr>
          <w:rFonts w:ascii="Times New Roman" w:eastAsia="Times New Roman" w:hAnsi="Times New Roman" w:cs="Times New Roman"/>
          <w:sz w:val="24"/>
          <w:szCs w:val="24"/>
          <w:lang w:eastAsia="pl-PL"/>
        </w:rPr>
        <w:t>W wyniku stwierdzonych naruszeń zastosowano następujące działania:</w:t>
      </w:r>
    </w:p>
    <w:p w14:paraId="6B1EDB27" w14:textId="77777777" w:rsidR="00124D28" w:rsidRPr="00965BA2" w:rsidRDefault="00124D28" w:rsidP="00D34F97">
      <w:pPr>
        <w:numPr>
          <w:ilvl w:val="0"/>
          <w:numId w:val="53"/>
        </w:numPr>
        <w:spacing w:after="60" w:line="300" w:lineRule="atLeast"/>
        <w:jc w:val="both"/>
        <w:rPr>
          <w:rFonts w:ascii="Times New Roman" w:eastAsia="Times New Roman" w:hAnsi="Times New Roman" w:cs="Times New Roman"/>
          <w:sz w:val="24"/>
          <w:szCs w:val="24"/>
          <w:lang w:eastAsia="pl-PL"/>
        </w:rPr>
      </w:pPr>
      <w:r w:rsidRPr="00965BA2">
        <w:rPr>
          <w:rFonts w:ascii="Times New Roman" w:eastAsia="Times New Roman" w:hAnsi="Times New Roman" w:cs="Times New Roman"/>
          <w:color w:val="000000"/>
          <w:sz w:val="24"/>
          <w:szCs w:val="24"/>
          <w:lang w:eastAsia="pl-PL"/>
        </w:rPr>
        <w:t>wydano 112 zarządzeń pokontrolnych</w:t>
      </w:r>
      <w:r>
        <w:rPr>
          <w:rFonts w:ascii="Times New Roman" w:eastAsia="Times New Roman" w:hAnsi="Times New Roman" w:cs="Times New Roman"/>
          <w:color w:val="000000"/>
          <w:sz w:val="24"/>
          <w:szCs w:val="24"/>
          <w:lang w:eastAsia="pl-PL"/>
        </w:rPr>
        <w:t>,</w:t>
      </w:r>
    </w:p>
    <w:p w14:paraId="19CA4714" w14:textId="77777777" w:rsidR="00124D28" w:rsidRPr="00965BA2" w:rsidRDefault="00124D28" w:rsidP="00D34F97">
      <w:pPr>
        <w:numPr>
          <w:ilvl w:val="0"/>
          <w:numId w:val="53"/>
        </w:numPr>
        <w:spacing w:before="100" w:beforeAutospacing="1" w:after="60" w:line="300" w:lineRule="atLeast"/>
        <w:jc w:val="both"/>
        <w:rPr>
          <w:rFonts w:ascii="Times New Roman" w:eastAsia="Times New Roman" w:hAnsi="Times New Roman" w:cs="Times New Roman"/>
          <w:sz w:val="24"/>
          <w:szCs w:val="24"/>
          <w:lang w:eastAsia="pl-PL"/>
        </w:rPr>
      </w:pPr>
      <w:r w:rsidRPr="00965BA2">
        <w:rPr>
          <w:rFonts w:ascii="Times New Roman" w:eastAsia="Times New Roman" w:hAnsi="Times New Roman" w:cs="Times New Roman"/>
          <w:color w:val="000000"/>
          <w:sz w:val="24"/>
          <w:szCs w:val="24"/>
          <w:lang w:eastAsia="pl-PL"/>
        </w:rPr>
        <w:t>udzielono 17 pouczeń</w:t>
      </w:r>
      <w:r>
        <w:rPr>
          <w:rFonts w:ascii="Times New Roman" w:eastAsia="Times New Roman" w:hAnsi="Times New Roman" w:cs="Times New Roman"/>
          <w:color w:val="000000"/>
          <w:sz w:val="24"/>
          <w:szCs w:val="24"/>
          <w:lang w:eastAsia="pl-PL"/>
        </w:rPr>
        <w:t>,</w:t>
      </w:r>
    </w:p>
    <w:p w14:paraId="001590ED" w14:textId="77777777" w:rsidR="00124D28" w:rsidRPr="00965BA2" w:rsidRDefault="00124D28" w:rsidP="00D34F97">
      <w:pPr>
        <w:numPr>
          <w:ilvl w:val="0"/>
          <w:numId w:val="53"/>
        </w:numPr>
        <w:spacing w:before="100" w:beforeAutospacing="1" w:after="60" w:line="300" w:lineRule="atLeast"/>
        <w:jc w:val="both"/>
        <w:rPr>
          <w:rFonts w:ascii="Times New Roman" w:eastAsia="Times New Roman" w:hAnsi="Times New Roman" w:cs="Times New Roman"/>
          <w:sz w:val="24"/>
          <w:szCs w:val="24"/>
          <w:lang w:eastAsia="pl-PL"/>
        </w:rPr>
      </w:pPr>
      <w:bookmarkStart w:id="171" w:name="_Hlk124164342"/>
      <w:r w:rsidRPr="00965BA2">
        <w:rPr>
          <w:rFonts w:ascii="Times New Roman" w:eastAsia="Times New Roman" w:hAnsi="Times New Roman" w:cs="Times New Roman"/>
          <w:color w:val="000000"/>
          <w:sz w:val="14"/>
          <w:szCs w:val="14"/>
          <w:lang w:eastAsia="pl-PL"/>
        </w:rPr>
        <w:t xml:space="preserve"> </w:t>
      </w:r>
      <w:r w:rsidRPr="00965BA2">
        <w:rPr>
          <w:rFonts w:ascii="Times New Roman" w:eastAsia="Times New Roman" w:hAnsi="Times New Roman" w:cs="Times New Roman"/>
          <w:color w:val="000000"/>
          <w:sz w:val="24"/>
          <w:szCs w:val="24"/>
          <w:lang w:eastAsia="pl-PL"/>
        </w:rPr>
        <w:t>nałożono 7 grzywien na kwotę 2 000 zł</w:t>
      </w:r>
      <w:r>
        <w:rPr>
          <w:rFonts w:ascii="Times New Roman" w:eastAsia="Times New Roman" w:hAnsi="Times New Roman" w:cs="Times New Roman"/>
          <w:color w:val="000000"/>
          <w:sz w:val="24"/>
          <w:szCs w:val="24"/>
          <w:lang w:eastAsia="pl-PL"/>
        </w:rPr>
        <w:t>,</w:t>
      </w:r>
    </w:p>
    <w:p w14:paraId="56659296" w14:textId="77777777" w:rsidR="00124D28" w:rsidRPr="00965BA2" w:rsidRDefault="00124D28" w:rsidP="00D34F97">
      <w:pPr>
        <w:numPr>
          <w:ilvl w:val="0"/>
          <w:numId w:val="53"/>
        </w:numPr>
        <w:spacing w:before="100" w:beforeAutospacing="1" w:after="60" w:line="300" w:lineRule="atLeast"/>
        <w:jc w:val="both"/>
        <w:rPr>
          <w:rFonts w:ascii="Times New Roman" w:eastAsia="Times New Roman" w:hAnsi="Times New Roman" w:cs="Times New Roman"/>
          <w:sz w:val="24"/>
          <w:szCs w:val="24"/>
          <w:lang w:eastAsia="pl-PL"/>
        </w:rPr>
      </w:pPr>
      <w:bookmarkStart w:id="172" w:name="_Hlk124164230"/>
      <w:bookmarkEnd w:id="171"/>
      <w:r w:rsidRPr="00965BA2">
        <w:rPr>
          <w:rFonts w:ascii="Times New Roman" w:eastAsia="Times New Roman" w:hAnsi="Times New Roman" w:cs="Times New Roman"/>
          <w:color w:val="000000"/>
          <w:sz w:val="24"/>
          <w:szCs w:val="24"/>
          <w:lang w:eastAsia="pl-PL"/>
        </w:rPr>
        <w:t>skierowano 5 wniosków do sądu o ukaranie,</w:t>
      </w:r>
    </w:p>
    <w:p w14:paraId="11B57111" w14:textId="77777777" w:rsidR="00124D28" w:rsidRPr="00965BA2" w:rsidRDefault="00124D28" w:rsidP="00D34F97">
      <w:pPr>
        <w:numPr>
          <w:ilvl w:val="0"/>
          <w:numId w:val="53"/>
        </w:numPr>
        <w:spacing w:before="100" w:beforeAutospacing="1" w:after="60" w:line="300" w:lineRule="atLeast"/>
        <w:jc w:val="both"/>
        <w:rPr>
          <w:rFonts w:ascii="Times New Roman" w:eastAsia="Times New Roman" w:hAnsi="Times New Roman" w:cs="Times New Roman"/>
          <w:sz w:val="24"/>
          <w:szCs w:val="24"/>
          <w:lang w:eastAsia="pl-PL"/>
        </w:rPr>
      </w:pPr>
      <w:bookmarkStart w:id="173" w:name="_Hlk124164279"/>
      <w:bookmarkEnd w:id="172"/>
      <w:r w:rsidRPr="00965BA2">
        <w:rPr>
          <w:rFonts w:ascii="Times New Roman" w:eastAsia="Times New Roman" w:hAnsi="Times New Roman" w:cs="Times New Roman"/>
          <w:color w:val="000000"/>
          <w:sz w:val="24"/>
          <w:szCs w:val="24"/>
          <w:lang w:eastAsia="pl-PL"/>
        </w:rPr>
        <w:t>skierowano 1 wystąpienie do kontrolowanego podmiotu</w:t>
      </w:r>
      <w:r>
        <w:rPr>
          <w:rFonts w:ascii="Times New Roman" w:eastAsia="Times New Roman" w:hAnsi="Times New Roman" w:cs="Times New Roman"/>
          <w:color w:val="000000"/>
          <w:sz w:val="24"/>
          <w:szCs w:val="24"/>
          <w:lang w:eastAsia="pl-PL"/>
        </w:rPr>
        <w:t>,</w:t>
      </w:r>
    </w:p>
    <w:p w14:paraId="78BF61DA" w14:textId="77777777" w:rsidR="00124D28" w:rsidRPr="00965BA2" w:rsidRDefault="00124D28" w:rsidP="00D34F97">
      <w:pPr>
        <w:numPr>
          <w:ilvl w:val="0"/>
          <w:numId w:val="53"/>
        </w:numPr>
        <w:spacing w:before="100" w:beforeAutospacing="1" w:after="60" w:line="300" w:lineRule="atLeast"/>
        <w:jc w:val="both"/>
        <w:rPr>
          <w:rFonts w:ascii="Times New Roman" w:eastAsia="Times New Roman" w:hAnsi="Times New Roman" w:cs="Times New Roman"/>
          <w:sz w:val="24"/>
          <w:szCs w:val="24"/>
          <w:lang w:eastAsia="pl-PL"/>
        </w:rPr>
      </w:pPr>
      <w:bookmarkStart w:id="174" w:name="_Hlk124164256"/>
      <w:bookmarkEnd w:id="173"/>
      <w:r w:rsidRPr="00965BA2">
        <w:rPr>
          <w:rFonts w:ascii="Times New Roman" w:eastAsia="Times New Roman" w:hAnsi="Times New Roman" w:cs="Times New Roman"/>
          <w:color w:val="000000"/>
          <w:sz w:val="24"/>
          <w:szCs w:val="24"/>
          <w:lang w:eastAsia="pl-PL"/>
        </w:rPr>
        <w:t xml:space="preserve">skierowano 14 wystąpień do innych organów </w:t>
      </w:r>
      <w:bookmarkEnd w:id="174"/>
      <w:r w:rsidRPr="00965BA2">
        <w:rPr>
          <w:rFonts w:ascii="Times New Roman" w:eastAsia="Times New Roman" w:hAnsi="Times New Roman" w:cs="Times New Roman"/>
          <w:color w:val="000000"/>
          <w:sz w:val="24"/>
          <w:szCs w:val="24"/>
          <w:lang w:eastAsia="pl-PL"/>
        </w:rPr>
        <w:t xml:space="preserve">(1 do WIOŚ, 10 do </w:t>
      </w:r>
      <w:proofErr w:type="spellStart"/>
      <w:r w:rsidRPr="00965BA2">
        <w:rPr>
          <w:rFonts w:ascii="Times New Roman" w:eastAsia="Times New Roman" w:hAnsi="Times New Roman" w:cs="Times New Roman"/>
          <w:color w:val="000000"/>
          <w:sz w:val="24"/>
          <w:szCs w:val="24"/>
          <w:lang w:eastAsia="pl-PL"/>
        </w:rPr>
        <w:t>WFOŚiGW</w:t>
      </w:r>
      <w:proofErr w:type="spellEnd"/>
      <w:r w:rsidRPr="00965BA2">
        <w:rPr>
          <w:rFonts w:ascii="Times New Roman" w:eastAsia="Times New Roman" w:hAnsi="Times New Roman" w:cs="Times New Roman"/>
          <w:color w:val="000000"/>
          <w:sz w:val="24"/>
          <w:szCs w:val="24"/>
          <w:lang w:eastAsia="pl-PL"/>
        </w:rPr>
        <w:t xml:space="preserve"> oraz 3 do Powiatowego Lekarza Weterynarii)</w:t>
      </w:r>
      <w:r>
        <w:rPr>
          <w:rFonts w:ascii="Times New Roman" w:eastAsia="Times New Roman" w:hAnsi="Times New Roman" w:cs="Times New Roman"/>
          <w:color w:val="000000"/>
          <w:sz w:val="24"/>
          <w:szCs w:val="24"/>
          <w:lang w:eastAsia="pl-PL"/>
        </w:rPr>
        <w:t>,</w:t>
      </w:r>
    </w:p>
    <w:p w14:paraId="1605C37F" w14:textId="77777777" w:rsidR="00BC0D48" w:rsidRDefault="00124D28" w:rsidP="00D34F97">
      <w:pPr>
        <w:numPr>
          <w:ilvl w:val="0"/>
          <w:numId w:val="53"/>
        </w:numPr>
        <w:spacing w:before="100" w:beforeAutospacing="1" w:after="60" w:line="300" w:lineRule="atLeast"/>
        <w:jc w:val="both"/>
        <w:rPr>
          <w:rFonts w:ascii="Times New Roman" w:eastAsia="Times New Roman" w:hAnsi="Times New Roman" w:cs="Times New Roman"/>
          <w:sz w:val="24"/>
          <w:szCs w:val="24"/>
          <w:lang w:eastAsia="pl-PL"/>
        </w:rPr>
      </w:pPr>
      <w:bookmarkStart w:id="175" w:name="_Hlk124164303"/>
      <w:r w:rsidRPr="00965BA2">
        <w:rPr>
          <w:rFonts w:ascii="Times New Roman" w:eastAsia="Times New Roman" w:hAnsi="Times New Roman" w:cs="Times New Roman"/>
          <w:color w:val="000000"/>
          <w:sz w:val="24"/>
          <w:szCs w:val="24"/>
          <w:lang w:eastAsia="pl-PL"/>
        </w:rPr>
        <w:t>wydano 5 decyzji odstępujących od wymierzenia kary pieniężnej</w:t>
      </w:r>
      <w:r>
        <w:rPr>
          <w:rFonts w:ascii="Times New Roman" w:eastAsia="Times New Roman" w:hAnsi="Times New Roman" w:cs="Times New Roman"/>
          <w:color w:val="000000"/>
          <w:sz w:val="24"/>
          <w:szCs w:val="24"/>
          <w:lang w:eastAsia="pl-PL"/>
        </w:rPr>
        <w:t>,</w:t>
      </w:r>
      <w:bookmarkEnd w:id="175"/>
    </w:p>
    <w:p w14:paraId="3590AB58" w14:textId="17D9B51C" w:rsidR="00895F16" w:rsidRPr="00BC0D48" w:rsidRDefault="00124D28" w:rsidP="00D34F97">
      <w:pPr>
        <w:numPr>
          <w:ilvl w:val="0"/>
          <w:numId w:val="53"/>
        </w:numPr>
        <w:spacing w:before="100" w:beforeAutospacing="1" w:after="60" w:line="300" w:lineRule="atLeast"/>
        <w:jc w:val="both"/>
        <w:rPr>
          <w:rFonts w:ascii="Times New Roman" w:eastAsia="Times New Roman" w:hAnsi="Times New Roman" w:cs="Times New Roman"/>
          <w:sz w:val="24"/>
          <w:szCs w:val="24"/>
          <w:lang w:eastAsia="pl-PL"/>
        </w:rPr>
      </w:pPr>
      <w:r w:rsidRPr="00BC0D48">
        <w:rPr>
          <w:rFonts w:ascii="Times New Roman" w:eastAsia="Times New Roman" w:hAnsi="Times New Roman" w:cs="Times New Roman"/>
          <w:sz w:val="24"/>
          <w:szCs w:val="24"/>
          <w:lang w:eastAsia="pl-PL"/>
        </w:rPr>
        <w:t>wymierzono 16 administracyjnych kar pieniężnych na kwotę 40 500 zł</w:t>
      </w:r>
      <w:r w:rsidR="00895F16" w:rsidRPr="00BC0D48">
        <w:rPr>
          <w:rFonts w:ascii="Times New Roman" w:eastAsia="Times New Roman" w:hAnsi="Times New Roman" w:cs="Times New Roman"/>
          <w:sz w:val="24"/>
          <w:szCs w:val="24"/>
          <w:lang w:eastAsia="pl-PL"/>
        </w:rPr>
        <w:t xml:space="preserve">. </w:t>
      </w:r>
    </w:p>
    <w:p w14:paraId="0A0A1B79" w14:textId="77777777" w:rsidR="00895F16" w:rsidRPr="007F400A" w:rsidRDefault="00895F16" w:rsidP="00056EE7">
      <w:pPr>
        <w:spacing w:after="0" w:line="300" w:lineRule="atLeast"/>
        <w:ind w:left="284"/>
        <w:jc w:val="both"/>
        <w:rPr>
          <w:rFonts w:ascii="Times New Roman" w:eastAsia="Times New Roman" w:hAnsi="Times New Roman" w:cs="Times New Roman"/>
          <w:sz w:val="24"/>
          <w:szCs w:val="24"/>
          <w:lang w:eastAsia="pl-PL"/>
        </w:rPr>
      </w:pPr>
    </w:p>
    <w:p w14:paraId="40CCB5E4" w14:textId="64BCD390" w:rsidR="00895F16" w:rsidRPr="007F400A" w:rsidRDefault="00895F16" w:rsidP="00BC0D48">
      <w:pPr>
        <w:keepNext/>
        <w:spacing w:after="120" w:line="300" w:lineRule="atLeast"/>
        <w:outlineLvl w:val="0"/>
        <w:rPr>
          <w:rFonts w:ascii="Times New Roman" w:eastAsia="Times New Roman" w:hAnsi="Times New Roman" w:cs="Times New Roman"/>
          <w:b/>
          <w:bCs/>
          <w:sz w:val="24"/>
          <w:szCs w:val="24"/>
          <w:lang w:eastAsia="x-none"/>
        </w:rPr>
      </w:pPr>
      <w:bookmarkStart w:id="176" w:name="_Toc135935625"/>
      <w:r w:rsidRPr="007F400A">
        <w:rPr>
          <w:rFonts w:ascii="Times New Roman" w:eastAsia="Times New Roman" w:hAnsi="Times New Roman" w:cs="Times New Roman"/>
          <w:b/>
          <w:bCs/>
          <w:sz w:val="24"/>
          <w:szCs w:val="24"/>
          <w:lang w:val="x-none" w:eastAsia="x-none"/>
        </w:rPr>
        <w:t>3.3.</w:t>
      </w:r>
      <w:r w:rsidRPr="007F400A">
        <w:rPr>
          <w:rFonts w:ascii="Times New Roman" w:eastAsia="Times New Roman" w:hAnsi="Times New Roman" w:cs="Times New Roman"/>
          <w:b/>
          <w:bCs/>
          <w:sz w:val="24"/>
          <w:szCs w:val="24"/>
          <w:lang w:eastAsia="x-none"/>
        </w:rPr>
        <w:t>3</w:t>
      </w:r>
      <w:r w:rsidR="00124D28">
        <w:rPr>
          <w:rFonts w:ascii="Times New Roman" w:eastAsia="Times New Roman" w:hAnsi="Times New Roman" w:cs="Times New Roman"/>
          <w:b/>
          <w:bCs/>
          <w:sz w:val="24"/>
          <w:szCs w:val="24"/>
          <w:lang w:eastAsia="x-none"/>
        </w:rPr>
        <w:t>5</w:t>
      </w:r>
      <w:r w:rsidRPr="007F400A">
        <w:rPr>
          <w:rFonts w:ascii="Times New Roman" w:eastAsia="Times New Roman" w:hAnsi="Times New Roman" w:cs="Times New Roman"/>
          <w:b/>
          <w:bCs/>
          <w:sz w:val="24"/>
          <w:szCs w:val="24"/>
          <w:lang w:eastAsia="x-none"/>
        </w:rPr>
        <w:t xml:space="preserve"> Kontrole</w:t>
      </w:r>
      <w:r w:rsidRPr="007F400A">
        <w:rPr>
          <w:rFonts w:ascii="Times New Roman" w:eastAsia="Times New Roman" w:hAnsi="Times New Roman" w:cs="Times New Roman"/>
          <w:b/>
          <w:bCs/>
          <w:sz w:val="24"/>
          <w:szCs w:val="24"/>
          <w:lang w:val="x-none" w:eastAsia="x-none"/>
        </w:rPr>
        <w:t xml:space="preserve"> w zakresie</w:t>
      </w:r>
      <w:r w:rsidRPr="007F400A">
        <w:rPr>
          <w:rFonts w:ascii="Times New Roman" w:eastAsia="Times New Roman" w:hAnsi="Times New Roman" w:cs="Times New Roman"/>
          <w:b/>
          <w:bCs/>
          <w:sz w:val="24"/>
          <w:szCs w:val="24"/>
          <w:lang w:eastAsia="x-none"/>
        </w:rPr>
        <w:t xml:space="preserve"> zagospodarowania odpadów zawierających azbest</w:t>
      </w:r>
      <w:bookmarkEnd w:id="176"/>
    </w:p>
    <w:p w14:paraId="143BE0C1" w14:textId="77777777" w:rsidR="00124D28" w:rsidRPr="00965BA2" w:rsidRDefault="00124D28" w:rsidP="00BC0D48">
      <w:pPr>
        <w:spacing w:after="0" w:line="300" w:lineRule="atLeast"/>
        <w:ind w:firstLine="567"/>
        <w:jc w:val="both"/>
        <w:rPr>
          <w:rFonts w:ascii="Times New Roman" w:eastAsia="Calibri" w:hAnsi="Times New Roman" w:cs="Times New Roman"/>
          <w:sz w:val="24"/>
          <w:szCs w:val="24"/>
          <w:lang w:eastAsia="x-none"/>
        </w:rPr>
      </w:pPr>
      <w:r w:rsidRPr="00965BA2">
        <w:rPr>
          <w:rFonts w:ascii="Times New Roman" w:eastAsia="Calibri" w:hAnsi="Times New Roman" w:cs="Times New Roman"/>
          <w:sz w:val="24"/>
          <w:szCs w:val="24"/>
          <w:lang w:eastAsia="x-none"/>
        </w:rPr>
        <w:t xml:space="preserve">W 2022 r. odnotowano w kraju 113 podmiotów gospodarujących odpadami zawierającymi azbest, w tym 82 podmioty prowadzące zbieranie tych odpadów i 31 podmiotów prowadzących ich unieszkodliwianie. </w:t>
      </w:r>
    </w:p>
    <w:p w14:paraId="5829FB3E" w14:textId="77777777" w:rsidR="00124D28" w:rsidRPr="00965BA2" w:rsidRDefault="00124D28" w:rsidP="00BC0D48">
      <w:pPr>
        <w:spacing w:after="60" w:line="300" w:lineRule="atLeast"/>
        <w:ind w:firstLine="567"/>
        <w:jc w:val="both"/>
        <w:rPr>
          <w:rFonts w:ascii="Times New Roman" w:eastAsia="Times New Roman" w:hAnsi="Times New Roman" w:cs="Times New Roman"/>
          <w:sz w:val="24"/>
          <w:szCs w:val="24"/>
        </w:rPr>
      </w:pPr>
      <w:r w:rsidRPr="00965BA2">
        <w:rPr>
          <w:rFonts w:ascii="Times New Roman" w:eastAsia="Times New Roman" w:hAnsi="Times New Roman" w:cs="Times New Roman"/>
          <w:sz w:val="24"/>
          <w:szCs w:val="24"/>
        </w:rPr>
        <w:t>W 2022 r. wojewódzcy inspektorzy ochrony środowiska przeprowadzili łącznie 38 kontroli podmiotów gospodarujących odpadami zawierającymi azbest, w tym 9 kontroli podmiotów prowadzących zbieranie oraz 29 kontroli podmiotów prowadzących unieszkodliwianie. Naruszenia zostały stwierdzone w trakcie 6 kontroli, w tym:</w:t>
      </w:r>
    </w:p>
    <w:p w14:paraId="5D985D07" w14:textId="77777777" w:rsidR="00124D28" w:rsidRPr="00965BA2" w:rsidRDefault="00124D28" w:rsidP="00D34F97">
      <w:pPr>
        <w:numPr>
          <w:ilvl w:val="0"/>
          <w:numId w:val="130"/>
        </w:numPr>
        <w:spacing w:after="0" w:line="300" w:lineRule="atLeast"/>
        <w:ind w:left="924" w:hanging="357"/>
        <w:contextualSpacing/>
        <w:jc w:val="both"/>
        <w:rPr>
          <w:rFonts w:ascii="Times New Roman" w:eastAsia="Times New Roman" w:hAnsi="Times New Roman" w:cs="Times New Roman"/>
          <w:sz w:val="24"/>
          <w:szCs w:val="24"/>
          <w:lang w:val="x-none" w:eastAsia="pl-PL"/>
        </w:rPr>
      </w:pPr>
      <w:r w:rsidRPr="00965BA2">
        <w:rPr>
          <w:rFonts w:ascii="Times New Roman" w:eastAsia="Times New Roman" w:hAnsi="Times New Roman" w:cs="Times New Roman"/>
          <w:sz w:val="24"/>
          <w:szCs w:val="24"/>
          <w:lang w:eastAsia="pl-PL"/>
        </w:rPr>
        <w:t>5 (</w:t>
      </w:r>
      <w:r>
        <w:rPr>
          <w:rFonts w:ascii="Times New Roman" w:eastAsia="Times New Roman" w:hAnsi="Times New Roman" w:cs="Times New Roman"/>
          <w:sz w:val="24"/>
          <w:szCs w:val="24"/>
          <w:lang w:eastAsia="pl-PL"/>
        </w:rPr>
        <w:t>83%</w:t>
      </w:r>
      <w:r w:rsidRPr="00965BA2">
        <w:rPr>
          <w:rFonts w:ascii="Times New Roman" w:eastAsia="Times New Roman" w:hAnsi="Times New Roman" w:cs="Times New Roman"/>
          <w:sz w:val="24"/>
          <w:szCs w:val="24"/>
          <w:lang w:eastAsia="pl-PL"/>
        </w:rPr>
        <w:t xml:space="preserve">) </w:t>
      </w:r>
      <w:r w:rsidRPr="00965BA2">
        <w:rPr>
          <w:rFonts w:ascii="Times New Roman" w:eastAsia="Calibri" w:hAnsi="Times New Roman" w:cs="Times New Roman"/>
          <w:sz w:val="24"/>
          <w:szCs w:val="24"/>
          <w:lang w:val="x-none" w:eastAsia="pl-PL"/>
        </w:rPr>
        <w:t>kontrol</w:t>
      </w:r>
      <w:r w:rsidRPr="00965BA2">
        <w:rPr>
          <w:rFonts w:ascii="Times New Roman" w:eastAsia="Calibri" w:hAnsi="Times New Roman" w:cs="Times New Roman"/>
          <w:sz w:val="24"/>
          <w:szCs w:val="24"/>
          <w:lang w:eastAsia="pl-PL"/>
        </w:rPr>
        <w:t>i z naruszeniami</w:t>
      </w:r>
      <w:r w:rsidRPr="00965BA2">
        <w:rPr>
          <w:rFonts w:ascii="Times New Roman" w:eastAsia="Times New Roman" w:hAnsi="Times New Roman" w:cs="Times New Roman"/>
          <w:sz w:val="24"/>
          <w:szCs w:val="24"/>
          <w:lang w:val="x-none" w:eastAsia="pl-PL"/>
        </w:rPr>
        <w:t xml:space="preserve"> bez istotnego zagrożenia lub zanieczyszczenia środowiska</w:t>
      </w:r>
      <w:r w:rsidRPr="00965BA2">
        <w:rPr>
          <w:rFonts w:ascii="Times New Roman" w:eastAsia="Times New Roman" w:hAnsi="Times New Roman" w:cs="Times New Roman"/>
          <w:b/>
          <w:sz w:val="24"/>
          <w:szCs w:val="24"/>
          <w:lang w:val="x-none" w:eastAsia="pl-PL"/>
        </w:rPr>
        <w:t xml:space="preserve">, </w:t>
      </w:r>
    </w:p>
    <w:p w14:paraId="3935B7C6" w14:textId="77777777" w:rsidR="00124D28" w:rsidRPr="00965BA2" w:rsidRDefault="00124D28" w:rsidP="00D34F97">
      <w:pPr>
        <w:numPr>
          <w:ilvl w:val="0"/>
          <w:numId w:val="130"/>
        </w:numPr>
        <w:spacing w:after="0" w:line="300" w:lineRule="atLeast"/>
        <w:ind w:left="924" w:hanging="357"/>
        <w:jc w:val="both"/>
        <w:rPr>
          <w:rFonts w:ascii="Times New Roman" w:eastAsia="Times New Roman" w:hAnsi="Times New Roman" w:cs="Times New Roman"/>
          <w:sz w:val="24"/>
          <w:szCs w:val="24"/>
          <w:lang w:val="x-none" w:eastAsia="pl-PL"/>
        </w:rPr>
      </w:pPr>
      <w:r w:rsidRPr="00965BA2">
        <w:rPr>
          <w:rFonts w:ascii="Times New Roman" w:eastAsia="Times New Roman" w:hAnsi="Times New Roman" w:cs="Times New Roman"/>
          <w:sz w:val="24"/>
          <w:szCs w:val="24"/>
          <w:lang w:eastAsia="pl-PL"/>
        </w:rPr>
        <w:t>1</w:t>
      </w:r>
      <w:r w:rsidRPr="00965BA2">
        <w:rPr>
          <w:rFonts w:ascii="Times New Roman" w:eastAsia="Times New Roman" w:hAnsi="Times New Roman" w:cs="Times New Roman"/>
          <w:sz w:val="24"/>
          <w:szCs w:val="24"/>
          <w:lang w:val="x-none" w:eastAsia="pl-PL"/>
        </w:rPr>
        <w:t xml:space="preserve"> </w:t>
      </w:r>
      <w:r w:rsidRPr="00965BA2">
        <w:rPr>
          <w:rFonts w:ascii="Times New Roman" w:eastAsia="Times New Roman" w:hAnsi="Times New Roman" w:cs="Times New Roman"/>
          <w:sz w:val="24"/>
          <w:szCs w:val="24"/>
          <w:lang w:eastAsia="pl-PL"/>
        </w:rPr>
        <w:t>(</w:t>
      </w:r>
      <w:r>
        <w:rPr>
          <w:rFonts w:ascii="Times New Roman" w:eastAsia="Times New Roman" w:hAnsi="Times New Roman" w:cs="Times New Roman"/>
          <w:sz w:val="24"/>
          <w:szCs w:val="24"/>
          <w:lang w:eastAsia="pl-PL"/>
        </w:rPr>
        <w:t>17%</w:t>
      </w:r>
      <w:r w:rsidRPr="00965BA2">
        <w:rPr>
          <w:rFonts w:ascii="Times New Roman" w:eastAsia="Times New Roman" w:hAnsi="Times New Roman" w:cs="Times New Roman"/>
          <w:sz w:val="24"/>
          <w:szCs w:val="24"/>
          <w:lang w:eastAsia="pl-PL"/>
        </w:rPr>
        <w:t>) kontrola</w:t>
      </w:r>
      <w:r w:rsidRPr="00965BA2">
        <w:rPr>
          <w:rFonts w:ascii="Times New Roman" w:eastAsia="Times New Roman" w:hAnsi="Times New Roman" w:cs="Times New Roman"/>
          <w:sz w:val="24"/>
          <w:szCs w:val="24"/>
          <w:lang w:val="x-none" w:eastAsia="pl-PL"/>
        </w:rPr>
        <w:t xml:space="preserve"> </w:t>
      </w:r>
      <w:r w:rsidRPr="00965BA2">
        <w:rPr>
          <w:rFonts w:ascii="Times New Roman" w:eastAsia="Times New Roman" w:hAnsi="Times New Roman" w:cs="Times New Roman"/>
          <w:sz w:val="24"/>
          <w:szCs w:val="24"/>
          <w:lang w:eastAsia="pl-PL"/>
        </w:rPr>
        <w:t xml:space="preserve">z naruszeniami, które </w:t>
      </w:r>
      <w:r w:rsidRPr="00965BA2">
        <w:rPr>
          <w:rFonts w:ascii="Times New Roman" w:eastAsia="Times New Roman" w:hAnsi="Times New Roman" w:cs="Times New Roman"/>
          <w:sz w:val="24"/>
          <w:szCs w:val="24"/>
          <w:lang w:val="x-none" w:eastAsia="pl-PL"/>
        </w:rPr>
        <w:t>mogą spowodować zagrożenie lub zanieczyszczenie środowiska.</w:t>
      </w:r>
    </w:p>
    <w:p w14:paraId="5CD805CA" w14:textId="77777777" w:rsidR="00124D28" w:rsidRPr="00965BA2" w:rsidRDefault="00124D28" w:rsidP="00BC0D48">
      <w:pPr>
        <w:spacing w:before="120" w:after="6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 xml:space="preserve">W związku ze stwierdzonymi naruszeniami: </w:t>
      </w:r>
    </w:p>
    <w:p w14:paraId="6662EE92" w14:textId="77777777" w:rsidR="00124D28" w:rsidRPr="00965BA2" w:rsidRDefault="00124D28" w:rsidP="00D34F97">
      <w:pPr>
        <w:numPr>
          <w:ilvl w:val="0"/>
          <w:numId w:val="131"/>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udzielono </w:t>
      </w:r>
      <w:r w:rsidRPr="00965BA2">
        <w:rPr>
          <w:rFonts w:ascii="Times New Roman" w:eastAsia="Calibri" w:hAnsi="Times New Roman" w:cs="Times New Roman"/>
          <w:sz w:val="24"/>
          <w:szCs w:val="24"/>
          <w:lang w:eastAsia="pl-PL"/>
        </w:rPr>
        <w:t>5</w:t>
      </w:r>
      <w:r w:rsidRPr="00965BA2">
        <w:rPr>
          <w:rFonts w:ascii="Times New Roman" w:eastAsia="Calibri" w:hAnsi="Times New Roman" w:cs="Times New Roman"/>
          <w:sz w:val="24"/>
          <w:szCs w:val="24"/>
          <w:lang w:val="x-none" w:eastAsia="pl-PL"/>
        </w:rPr>
        <w:t xml:space="preserve"> pouczeń,</w:t>
      </w:r>
    </w:p>
    <w:p w14:paraId="7C674F38" w14:textId="77777777" w:rsidR="00124D28" w:rsidRPr="00965BA2" w:rsidRDefault="00124D28" w:rsidP="00D34F97">
      <w:pPr>
        <w:numPr>
          <w:ilvl w:val="0"/>
          <w:numId w:val="131"/>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nałożono </w:t>
      </w:r>
      <w:r w:rsidRPr="00965BA2">
        <w:rPr>
          <w:rFonts w:ascii="Times New Roman" w:eastAsia="Calibri" w:hAnsi="Times New Roman" w:cs="Times New Roman"/>
          <w:sz w:val="24"/>
          <w:szCs w:val="24"/>
          <w:lang w:eastAsia="pl-PL"/>
        </w:rPr>
        <w:t>2</w:t>
      </w:r>
      <w:r w:rsidRPr="00965BA2">
        <w:rPr>
          <w:rFonts w:ascii="Times New Roman" w:eastAsia="Calibri" w:hAnsi="Times New Roman" w:cs="Times New Roman"/>
          <w:sz w:val="24"/>
          <w:szCs w:val="24"/>
          <w:lang w:val="x-none" w:eastAsia="pl-PL"/>
        </w:rPr>
        <w:t xml:space="preserve"> mandat</w:t>
      </w:r>
      <w:r w:rsidRPr="00965BA2">
        <w:rPr>
          <w:rFonts w:ascii="Times New Roman" w:eastAsia="Calibri" w:hAnsi="Times New Roman" w:cs="Times New Roman"/>
          <w:sz w:val="24"/>
          <w:szCs w:val="24"/>
          <w:lang w:eastAsia="pl-PL"/>
        </w:rPr>
        <w:t>y</w:t>
      </w:r>
      <w:r w:rsidRPr="00965BA2">
        <w:rPr>
          <w:rFonts w:ascii="Times New Roman" w:eastAsia="Calibri" w:hAnsi="Times New Roman" w:cs="Times New Roman"/>
          <w:sz w:val="24"/>
          <w:szCs w:val="24"/>
          <w:lang w:val="x-none" w:eastAsia="pl-PL"/>
        </w:rPr>
        <w:t xml:space="preserve"> karn</w:t>
      </w:r>
      <w:r w:rsidRPr="00965BA2">
        <w:rPr>
          <w:rFonts w:ascii="Times New Roman" w:eastAsia="Calibri" w:hAnsi="Times New Roman" w:cs="Times New Roman"/>
          <w:sz w:val="24"/>
          <w:szCs w:val="24"/>
          <w:lang w:eastAsia="pl-PL"/>
        </w:rPr>
        <w:t>e</w:t>
      </w:r>
      <w:r w:rsidRPr="00965BA2">
        <w:rPr>
          <w:rFonts w:ascii="Times New Roman" w:eastAsia="Calibri" w:hAnsi="Times New Roman" w:cs="Times New Roman"/>
          <w:sz w:val="24"/>
          <w:szCs w:val="24"/>
          <w:lang w:val="x-none" w:eastAsia="pl-PL"/>
        </w:rPr>
        <w:t>,</w:t>
      </w:r>
    </w:p>
    <w:p w14:paraId="22572509" w14:textId="77777777" w:rsidR="00124D28" w:rsidRPr="00965BA2" w:rsidRDefault="00124D28" w:rsidP="00D34F97">
      <w:pPr>
        <w:numPr>
          <w:ilvl w:val="0"/>
          <w:numId w:val="131"/>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wydano </w:t>
      </w:r>
      <w:r w:rsidRPr="00965BA2">
        <w:rPr>
          <w:rFonts w:ascii="Times New Roman" w:eastAsia="Calibri" w:hAnsi="Times New Roman" w:cs="Times New Roman"/>
          <w:sz w:val="24"/>
          <w:szCs w:val="24"/>
          <w:lang w:eastAsia="pl-PL"/>
        </w:rPr>
        <w:t>3</w:t>
      </w:r>
      <w:r w:rsidRPr="00965BA2">
        <w:rPr>
          <w:rFonts w:ascii="Times New Roman" w:eastAsia="Calibri" w:hAnsi="Times New Roman" w:cs="Times New Roman"/>
          <w:sz w:val="24"/>
          <w:szCs w:val="24"/>
          <w:lang w:val="x-none" w:eastAsia="pl-PL"/>
        </w:rPr>
        <w:t xml:space="preserve"> zarządze</w:t>
      </w:r>
      <w:r w:rsidRPr="00965BA2">
        <w:rPr>
          <w:rFonts w:ascii="Times New Roman" w:eastAsia="Calibri" w:hAnsi="Times New Roman" w:cs="Times New Roman"/>
          <w:sz w:val="24"/>
          <w:szCs w:val="24"/>
          <w:lang w:eastAsia="pl-PL"/>
        </w:rPr>
        <w:t>nia</w:t>
      </w:r>
      <w:r w:rsidRPr="00965BA2">
        <w:rPr>
          <w:rFonts w:ascii="Times New Roman" w:eastAsia="Calibri" w:hAnsi="Times New Roman" w:cs="Times New Roman"/>
          <w:sz w:val="24"/>
          <w:szCs w:val="24"/>
          <w:lang w:val="x-none" w:eastAsia="pl-PL"/>
        </w:rPr>
        <w:t xml:space="preserve"> pokontroln</w:t>
      </w:r>
      <w:r w:rsidRPr="00965BA2">
        <w:rPr>
          <w:rFonts w:ascii="Times New Roman" w:eastAsia="Calibri" w:hAnsi="Times New Roman" w:cs="Times New Roman"/>
          <w:sz w:val="24"/>
          <w:szCs w:val="24"/>
          <w:lang w:eastAsia="pl-PL"/>
        </w:rPr>
        <w:t>e</w:t>
      </w:r>
      <w:r w:rsidRPr="00965BA2">
        <w:rPr>
          <w:rFonts w:ascii="Times New Roman" w:eastAsia="Calibri" w:hAnsi="Times New Roman" w:cs="Times New Roman"/>
          <w:sz w:val="24"/>
          <w:szCs w:val="24"/>
          <w:lang w:val="x-none" w:eastAsia="pl-PL"/>
        </w:rPr>
        <w:t>,</w:t>
      </w:r>
    </w:p>
    <w:p w14:paraId="04349055" w14:textId="77777777" w:rsidR="00124D28" w:rsidRPr="00965BA2" w:rsidRDefault="00124D28" w:rsidP="00D34F97">
      <w:pPr>
        <w:numPr>
          <w:ilvl w:val="0"/>
          <w:numId w:val="131"/>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skierowano 1 wniosek do sądu,</w:t>
      </w:r>
    </w:p>
    <w:p w14:paraId="6F91B9FC" w14:textId="77777777" w:rsidR="00124D28" w:rsidRPr="00965BA2" w:rsidRDefault="00124D28" w:rsidP="00D34F97">
      <w:pPr>
        <w:numPr>
          <w:ilvl w:val="0"/>
          <w:numId w:val="131"/>
        </w:numPr>
        <w:spacing w:after="0" w:line="300" w:lineRule="atLeast"/>
        <w:ind w:left="924" w:right="57"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wymierzono </w:t>
      </w:r>
      <w:r w:rsidRPr="00965BA2">
        <w:rPr>
          <w:rFonts w:ascii="Times New Roman" w:eastAsia="Calibri" w:hAnsi="Times New Roman" w:cs="Times New Roman"/>
          <w:sz w:val="24"/>
          <w:szCs w:val="24"/>
          <w:lang w:eastAsia="pl-PL"/>
        </w:rPr>
        <w:t>1</w:t>
      </w:r>
      <w:r w:rsidRPr="00965BA2">
        <w:rPr>
          <w:rFonts w:ascii="Times New Roman" w:eastAsia="Calibri" w:hAnsi="Times New Roman" w:cs="Times New Roman"/>
          <w:sz w:val="24"/>
          <w:szCs w:val="24"/>
          <w:lang w:val="x-none" w:eastAsia="pl-PL"/>
        </w:rPr>
        <w:t xml:space="preserve"> </w:t>
      </w:r>
      <w:r w:rsidRPr="00965BA2">
        <w:rPr>
          <w:rFonts w:ascii="Times New Roman" w:eastAsia="Times New Roman" w:hAnsi="Times New Roman" w:cs="Times New Roman"/>
          <w:sz w:val="24"/>
          <w:szCs w:val="24"/>
          <w:lang w:val="x-none" w:eastAsia="pl-PL"/>
        </w:rPr>
        <w:t>decyzj</w:t>
      </w:r>
      <w:r w:rsidRPr="00965BA2">
        <w:rPr>
          <w:rFonts w:ascii="Times New Roman" w:eastAsia="Times New Roman" w:hAnsi="Times New Roman" w:cs="Times New Roman"/>
          <w:sz w:val="24"/>
          <w:szCs w:val="24"/>
          <w:lang w:eastAsia="pl-PL"/>
        </w:rPr>
        <w:t>ę</w:t>
      </w:r>
      <w:r w:rsidRPr="00965BA2">
        <w:rPr>
          <w:rFonts w:ascii="Times New Roman" w:eastAsia="Times New Roman" w:hAnsi="Times New Roman" w:cs="Times New Roman"/>
          <w:sz w:val="24"/>
          <w:szCs w:val="24"/>
          <w:lang w:val="x-none" w:eastAsia="pl-PL"/>
        </w:rPr>
        <w:t xml:space="preserve"> w sprawie nałożenia kar</w:t>
      </w:r>
      <w:r w:rsidRPr="00965BA2">
        <w:rPr>
          <w:rFonts w:ascii="Times New Roman" w:eastAsia="Times New Roman" w:hAnsi="Times New Roman" w:cs="Times New Roman"/>
          <w:sz w:val="24"/>
          <w:szCs w:val="24"/>
          <w:lang w:eastAsia="pl-PL"/>
        </w:rPr>
        <w:t>y</w:t>
      </w:r>
      <w:r w:rsidRPr="00965BA2">
        <w:rPr>
          <w:rFonts w:ascii="Times New Roman" w:eastAsia="Times New Roman" w:hAnsi="Times New Roman" w:cs="Times New Roman"/>
          <w:sz w:val="24"/>
          <w:szCs w:val="24"/>
          <w:lang w:val="x-none" w:eastAsia="pl-PL"/>
        </w:rPr>
        <w:t xml:space="preserve"> pieniężn</w:t>
      </w:r>
      <w:r w:rsidRPr="00965BA2">
        <w:rPr>
          <w:rFonts w:ascii="Times New Roman" w:eastAsia="Times New Roman" w:hAnsi="Times New Roman" w:cs="Times New Roman"/>
          <w:sz w:val="24"/>
          <w:szCs w:val="24"/>
          <w:lang w:eastAsia="pl-PL"/>
        </w:rPr>
        <w:t>ej</w:t>
      </w:r>
      <w:r w:rsidRPr="00965BA2">
        <w:rPr>
          <w:rFonts w:ascii="Times New Roman" w:eastAsia="Times New Roman" w:hAnsi="Times New Roman" w:cs="Times New Roman"/>
          <w:sz w:val="24"/>
          <w:szCs w:val="24"/>
          <w:lang w:val="x-none" w:eastAsia="pl-PL"/>
        </w:rPr>
        <w:t>,</w:t>
      </w:r>
    </w:p>
    <w:p w14:paraId="4498DFB9" w14:textId="77777777" w:rsidR="00124D28" w:rsidRPr="00965BA2" w:rsidRDefault="00124D28" w:rsidP="00D34F97">
      <w:pPr>
        <w:numPr>
          <w:ilvl w:val="0"/>
          <w:numId w:val="131"/>
        </w:numPr>
        <w:spacing w:after="120" w:line="300" w:lineRule="atLeast"/>
        <w:ind w:left="924" w:hanging="357"/>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skierowano </w:t>
      </w:r>
      <w:r w:rsidRPr="00965BA2">
        <w:rPr>
          <w:rFonts w:ascii="Times New Roman" w:eastAsia="Calibri" w:hAnsi="Times New Roman" w:cs="Times New Roman"/>
          <w:sz w:val="24"/>
          <w:szCs w:val="24"/>
          <w:lang w:eastAsia="pl-PL"/>
        </w:rPr>
        <w:t>3</w:t>
      </w:r>
      <w:r w:rsidRPr="00965BA2">
        <w:rPr>
          <w:rFonts w:ascii="Times New Roman" w:eastAsia="Calibri" w:hAnsi="Times New Roman" w:cs="Times New Roman"/>
          <w:sz w:val="24"/>
          <w:szCs w:val="24"/>
          <w:lang w:val="x-none" w:eastAsia="pl-PL"/>
        </w:rPr>
        <w:t xml:space="preserve"> wystąpieni</w:t>
      </w:r>
      <w:r w:rsidRPr="00965BA2">
        <w:rPr>
          <w:rFonts w:ascii="Times New Roman" w:eastAsia="Calibri" w:hAnsi="Times New Roman" w:cs="Times New Roman"/>
          <w:sz w:val="24"/>
          <w:szCs w:val="24"/>
          <w:lang w:eastAsia="pl-PL"/>
        </w:rPr>
        <w:t>a</w:t>
      </w:r>
      <w:r w:rsidRPr="00965BA2">
        <w:rPr>
          <w:rFonts w:ascii="Times New Roman" w:eastAsia="Calibri" w:hAnsi="Times New Roman" w:cs="Times New Roman"/>
          <w:sz w:val="24"/>
          <w:szCs w:val="24"/>
          <w:lang w:val="x-none" w:eastAsia="pl-PL"/>
        </w:rPr>
        <w:t xml:space="preserve"> do innych organów.</w:t>
      </w:r>
    </w:p>
    <w:p w14:paraId="37CB9AB1" w14:textId="0C5BF2EB" w:rsidR="00124D28" w:rsidRPr="00C24DEB" w:rsidRDefault="00124D28" w:rsidP="00BC0D48">
      <w:pPr>
        <w:spacing w:after="0" w:line="300" w:lineRule="atLeast"/>
        <w:ind w:firstLine="567"/>
        <w:jc w:val="both"/>
        <w:rPr>
          <w:rFonts w:ascii="Times New Roman" w:eastAsia="Times New Roman" w:hAnsi="Times New Roman" w:cs="Times New Roman"/>
          <w:sz w:val="24"/>
          <w:szCs w:val="24"/>
        </w:rPr>
      </w:pPr>
      <w:r w:rsidRPr="00C24DEB">
        <w:rPr>
          <w:rFonts w:ascii="Times New Roman" w:eastAsia="Times New Roman" w:hAnsi="Times New Roman" w:cs="Times New Roman"/>
          <w:sz w:val="24"/>
          <w:szCs w:val="24"/>
        </w:rPr>
        <w:t xml:space="preserve">W 2022 r. na terenie kraju eksploatowano 32 składowiska odpadów zawierających azbest, zlokalizowanych na terenie 15 województw: śląskiego (5), pomorskiego i łódzkiego (po 4), małopolskiego (3), kujawsko-pomorskiego, lubelskiego, podlaskiego, warmińsko-mazurskiego i zachodniopomorskiego (po 2), dolnośląskiego, mazowieckiego, świętokrzyskiego, </w:t>
      </w:r>
      <w:r w:rsidR="00BC0D48">
        <w:rPr>
          <w:rFonts w:ascii="Times New Roman" w:eastAsia="Times New Roman" w:hAnsi="Times New Roman" w:cs="Times New Roman"/>
          <w:sz w:val="24"/>
          <w:szCs w:val="24"/>
        </w:rPr>
        <w:t>l</w:t>
      </w:r>
      <w:r w:rsidRPr="00C24DEB">
        <w:rPr>
          <w:rFonts w:ascii="Times New Roman" w:eastAsia="Times New Roman" w:hAnsi="Times New Roman" w:cs="Times New Roman"/>
          <w:sz w:val="24"/>
          <w:szCs w:val="24"/>
        </w:rPr>
        <w:t>ubuskiego, podkarpackiego i wielkopolskiego (po 1).</w:t>
      </w:r>
    </w:p>
    <w:p w14:paraId="18FA5404" w14:textId="77777777" w:rsidR="00124D28" w:rsidRPr="00965BA2" w:rsidRDefault="00124D28" w:rsidP="00BC0D48">
      <w:pPr>
        <w:spacing w:after="60" w:line="300" w:lineRule="atLeast"/>
        <w:ind w:firstLine="567"/>
        <w:jc w:val="both"/>
        <w:rPr>
          <w:rFonts w:ascii="Times New Roman" w:eastAsia="Calibri" w:hAnsi="Times New Roman" w:cs="Times New Roman"/>
          <w:sz w:val="24"/>
          <w:szCs w:val="24"/>
          <w:lang w:eastAsia="x-none"/>
        </w:rPr>
      </w:pPr>
      <w:r w:rsidRPr="00965BA2">
        <w:rPr>
          <w:rFonts w:ascii="Times New Roman" w:eastAsia="Calibri" w:hAnsi="Times New Roman" w:cs="Times New Roman"/>
          <w:sz w:val="24"/>
          <w:szCs w:val="24"/>
          <w:lang w:eastAsia="x-none"/>
        </w:rPr>
        <w:t>W 2022 r. stwierdzono 43 przypadków gospodarowania odpadami zawierającymi azbest niezgodnie z przepisami, w tym m.in.:</w:t>
      </w:r>
    </w:p>
    <w:p w14:paraId="5675DD84" w14:textId="77777777" w:rsidR="00124D28" w:rsidRPr="00965BA2" w:rsidRDefault="00124D28" w:rsidP="00D34F97">
      <w:pPr>
        <w:numPr>
          <w:ilvl w:val="0"/>
          <w:numId w:val="132"/>
        </w:numPr>
        <w:spacing w:after="0" w:line="300" w:lineRule="atLeast"/>
        <w:ind w:left="924" w:hanging="357"/>
        <w:contextualSpacing/>
        <w:jc w:val="both"/>
        <w:rPr>
          <w:rFonts w:ascii="Times New Roman" w:eastAsia="Calibri" w:hAnsi="Times New Roman" w:cs="Times New Roman"/>
          <w:sz w:val="24"/>
          <w:szCs w:val="24"/>
          <w:lang w:val="x-none" w:eastAsia="x-none"/>
        </w:rPr>
      </w:pPr>
      <w:r w:rsidRPr="00965BA2">
        <w:rPr>
          <w:rFonts w:ascii="Times New Roman" w:eastAsia="Calibri" w:hAnsi="Times New Roman" w:cs="Times New Roman"/>
          <w:sz w:val="24"/>
          <w:szCs w:val="24"/>
          <w:lang w:val="x-none" w:eastAsia="x-none"/>
        </w:rPr>
        <w:t xml:space="preserve">porzucenia i zakopywania odpadów, </w:t>
      </w:r>
    </w:p>
    <w:p w14:paraId="02BFF669" w14:textId="77777777" w:rsidR="00124D28" w:rsidRPr="00965BA2" w:rsidRDefault="00124D28" w:rsidP="00D34F97">
      <w:pPr>
        <w:numPr>
          <w:ilvl w:val="0"/>
          <w:numId w:val="132"/>
        </w:numPr>
        <w:spacing w:after="0" w:line="300" w:lineRule="atLeast"/>
        <w:ind w:left="924" w:hanging="357"/>
        <w:contextualSpacing/>
        <w:jc w:val="both"/>
        <w:rPr>
          <w:rFonts w:ascii="Times New Roman" w:eastAsia="Calibri" w:hAnsi="Times New Roman" w:cs="Times New Roman"/>
          <w:sz w:val="24"/>
          <w:szCs w:val="24"/>
          <w:lang w:val="x-none" w:eastAsia="x-none"/>
        </w:rPr>
      </w:pPr>
      <w:r w:rsidRPr="00965BA2">
        <w:rPr>
          <w:rFonts w:ascii="Times New Roman" w:eastAsia="Calibri" w:hAnsi="Times New Roman" w:cs="Times New Roman"/>
          <w:sz w:val="24"/>
          <w:szCs w:val="24"/>
          <w:lang w:val="x-none" w:eastAsia="x-none"/>
        </w:rPr>
        <w:t>magazynowania odpadów w miejscu do tego nieprzeznaczonym,</w:t>
      </w:r>
    </w:p>
    <w:p w14:paraId="195CCB60" w14:textId="77777777" w:rsidR="00124D28" w:rsidRPr="00965BA2" w:rsidRDefault="00124D28" w:rsidP="00D34F97">
      <w:pPr>
        <w:numPr>
          <w:ilvl w:val="0"/>
          <w:numId w:val="132"/>
        </w:numPr>
        <w:spacing w:after="0" w:line="300" w:lineRule="atLeast"/>
        <w:ind w:left="924" w:hanging="357"/>
        <w:contextualSpacing/>
        <w:jc w:val="both"/>
        <w:rPr>
          <w:rFonts w:ascii="Times New Roman" w:eastAsia="Calibri" w:hAnsi="Times New Roman" w:cs="Times New Roman"/>
          <w:sz w:val="24"/>
          <w:szCs w:val="24"/>
          <w:lang w:val="x-none" w:eastAsia="x-none"/>
        </w:rPr>
      </w:pPr>
      <w:r w:rsidRPr="00965BA2">
        <w:rPr>
          <w:rFonts w:ascii="Times New Roman" w:eastAsia="Calibri" w:hAnsi="Times New Roman" w:cs="Times New Roman"/>
          <w:sz w:val="24"/>
          <w:szCs w:val="24"/>
          <w:lang w:val="x-none" w:eastAsia="x-none"/>
        </w:rPr>
        <w:lastRenderedPageBreak/>
        <w:t>składowania odpadów niebezpiecznych z naruszeniem warunków pozwolenia zintegrowanego i decyzji zatwierdzającej instrukcję prowadzenia składowiska,</w:t>
      </w:r>
    </w:p>
    <w:p w14:paraId="17F2E252" w14:textId="77777777" w:rsidR="00124D28" w:rsidRPr="00965BA2" w:rsidRDefault="00124D28" w:rsidP="00D34F97">
      <w:pPr>
        <w:numPr>
          <w:ilvl w:val="0"/>
          <w:numId w:val="132"/>
        </w:numPr>
        <w:spacing w:after="0" w:line="300" w:lineRule="atLeast"/>
        <w:ind w:left="924" w:hanging="357"/>
        <w:contextualSpacing/>
        <w:jc w:val="both"/>
        <w:rPr>
          <w:rFonts w:ascii="Times New Roman" w:eastAsia="Calibri" w:hAnsi="Times New Roman" w:cs="Times New Roman"/>
          <w:sz w:val="24"/>
          <w:szCs w:val="24"/>
          <w:lang w:val="x-none" w:eastAsia="x-none"/>
        </w:rPr>
      </w:pPr>
      <w:r w:rsidRPr="00965BA2">
        <w:rPr>
          <w:rFonts w:ascii="Times New Roman" w:eastAsia="Calibri" w:hAnsi="Times New Roman" w:cs="Times New Roman"/>
          <w:sz w:val="24"/>
          <w:szCs w:val="24"/>
          <w:lang w:val="x-none" w:eastAsia="x-none"/>
        </w:rPr>
        <w:t>niewłaściwego zabezpieczenia odpadów zawierających azbest podczas ich tymczasowego magazynowania,</w:t>
      </w:r>
    </w:p>
    <w:p w14:paraId="5BE10FFF" w14:textId="77777777" w:rsidR="00124D28" w:rsidRPr="00965BA2" w:rsidRDefault="00124D28" w:rsidP="00D34F97">
      <w:pPr>
        <w:numPr>
          <w:ilvl w:val="0"/>
          <w:numId w:val="132"/>
        </w:numPr>
        <w:spacing w:line="300" w:lineRule="atLeast"/>
        <w:ind w:left="924" w:hanging="357"/>
        <w:jc w:val="both"/>
        <w:rPr>
          <w:rFonts w:ascii="Times New Roman" w:eastAsia="Calibri" w:hAnsi="Times New Roman" w:cs="Times New Roman"/>
          <w:sz w:val="24"/>
          <w:szCs w:val="24"/>
          <w:lang w:val="x-none" w:eastAsia="x-none"/>
        </w:rPr>
      </w:pPr>
      <w:r w:rsidRPr="00965BA2">
        <w:rPr>
          <w:rFonts w:ascii="Times New Roman" w:eastAsia="Calibri" w:hAnsi="Times New Roman" w:cs="Times New Roman"/>
          <w:sz w:val="24"/>
          <w:szCs w:val="24"/>
          <w:lang w:val="x-none" w:eastAsia="x-none"/>
        </w:rPr>
        <w:t>nielegalne</w:t>
      </w:r>
      <w:r w:rsidRPr="00965BA2">
        <w:rPr>
          <w:rFonts w:ascii="Times New Roman" w:eastAsia="Calibri" w:hAnsi="Times New Roman" w:cs="Times New Roman"/>
          <w:sz w:val="24"/>
          <w:szCs w:val="24"/>
          <w:lang w:eastAsia="x-none"/>
        </w:rPr>
        <w:t>go</w:t>
      </w:r>
      <w:r w:rsidRPr="00965BA2">
        <w:rPr>
          <w:rFonts w:ascii="Times New Roman" w:eastAsia="Calibri" w:hAnsi="Times New Roman" w:cs="Times New Roman"/>
          <w:sz w:val="24"/>
          <w:szCs w:val="24"/>
          <w:lang w:val="x-none" w:eastAsia="x-none"/>
        </w:rPr>
        <w:t xml:space="preserve"> kruszeni</w:t>
      </w:r>
      <w:r w:rsidRPr="00965BA2">
        <w:rPr>
          <w:rFonts w:ascii="Times New Roman" w:eastAsia="Calibri" w:hAnsi="Times New Roman" w:cs="Times New Roman"/>
          <w:sz w:val="24"/>
          <w:szCs w:val="24"/>
          <w:lang w:eastAsia="x-none"/>
        </w:rPr>
        <w:t>a</w:t>
      </w:r>
      <w:r w:rsidRPr="00965BA2">
        <w:rPr>
          <w:rFonts w:ascii="Times New Roman" w:eastAsia="Calibri" w:hAnsi="Times New Roman" w:cs="Times New Roman"/>
          <w:sz w:val="24"/>
          <w:szCs w:val="24"/>
          <w:lang w:val="x-none" w:eastAsia="x-none"/>
        </w:rPr>
        <w:t xml:space="preserve"> gruzu zawierającego wyroby z azbestu</w:t>
      </w:r>
      <w:r w:rsidRPr="00965BA2">
        <w:rPr>
          <w:rFonts w:ascii="Times New Roman" w:eastAsia="Calibri" w:hAnsi="Times New Roman" w:cs="Times New Roman"/>
          <w:sz w:val="24"/>
          <w:szCs w:val="24"/>
          <w:lang w:eastAsia="x-none"/>
        </w:rPr>
        <w:t>.</w:t>
      </w:r>
    </w:p>
    <w:p w14:paraId="642F89EB" w14:textId="77777777" w:rsidR="00124D28" w:rsidRPr="00965BA2" w:rsidRDefault="00124D28" w:rsidP="007F70A7">
      <w:pPr>
        <w:spacing w:before="120" w:after="6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 xml:space="preserve">W związku ze stwierdzonymi naruszeniami: </w:t>
      </w:r>
    </w:p>
    <w:p w14:paraId="0ECAE5E0" w14:textId="77777777" w:rsidR="00124D28" w:rsidRPr="00965BA2" w:rsidRDefault="00124D28" w:rsidP="00D34F97">
      <w:pPr>
        <w:numPr>
          <w:ilvl w:val="0"/>
          <w:numId w:val="133"/>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nałożono 2 mandaty karne,</w:t>
      </w:r>
    </w:p>
    <w:p w14:paraId="18E16C43" w14:textId="77777777" w:rsidR="00124D28" w:rsidRPr="00965BA2" w:rsidRDefault="00124D28" w:rsidP="00D34F97">
      <w:pPr>
        <w:numPr>
          <w:ilvl w:val="0"/>
          <w:numId w:val="133"/>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wydano </w:t>
      </w:r>
      <w:r w:rsidRPr="00965BA2">
        <w:rPr>
          <w:rFonts w:ascii="Times New Roman" w:eastAsia="Calibri" w:hAnsi="Times New Roman" w:cs="Times New Roman"/>
          <w:sz w:val="24"/>
          <w:szCs w:val="24"/>
          <w:lang w:eastAsia="pl-PL"/>
        </w:rPr>
        <w:t>9</w:t>
      </w:r>
      <w:r w:rsidRPr="00965BA2">
        <w:rPr>
          <w:rFonts w:ascii="Times New Roman" w:eastAsia="Calibri" w:hAnsi="Times New Roman" w:cs="Times New Roman"/>
          <w:sz w:val="24"/>
          <w:szCs w:val="24"/>
          <w:lang w:val="x-none" w:eastAsia="pl-PL"/>
        </w:rPr>
        <w:t xml:space="preserve"> zarządzeń pokontrolnych,</w:t>
      </w:r>
    </w:p>
    <w:p w14:paraId="1B030E6C" w14:textId="77777777" w:rsidR="00124D28" w:rsidRPr="00965BA2" w:rsidRDefault="00124D28" w:rsidP="00D34F97">
      <w:pPr>
        <w:numPr>
          <w:ilvl w:val="0"/>
          <w:numId w:val="133"/>
        </w:numPr>
        <w:spacing w:after="0" w:line="300" w:lineRule="atLeast"/>
        <w:ind w:left="924"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skierowano </w:t>
      </w:r>
      <w:r w:rsidRPr="00965BA2">
        <w:rPr>
          <w:rFonts w:ascii="Times New Roman" w:eastAsia="Calibri" w:hAnsi="Times New Roman" w:cs="Times New Roman"/>
          <w:sz w:val="24"/>
          <w:szCs w:val="24"/>
          <w:lang w:eastAsia="pl-PL"/>
        </w:rPr>
        <w:t>7</w:t>
      </w:r>
      <w:r w:rsidRPr="00965BA2">
        <w:rPr>
          <w:rFonts w:ascii="Times New Roman" w:eastAsia="Calibri" w:hAnsi="Times New Roman" w:cs="Times New Roman"/>
          <w:sz w:val="24"/>
          <w:szCs w:val="24"/>
          <w:lang w:val="x-none" w:eastAsia="pl-PL"/>
        </w:rPr>
        <w:t xml:space="preserve"> wystąpień do innych organów,</w:t>
      </w:r>
    </w:p>
    <w:p w14:paraId="376D039C" w14:textId="5F4D1508" w:rsidR="00895F16" w:rsidRPr="007F400A" w:rsidRDefault="00124D28" w:rsidP="00D34F97">
      <w:pPr>
        <w:numPr>
          <w:ilvl w:val="0"/>
          <w:numId w:val="133"/>
        </w:numPr>
        <w:spacing w:after="0" w:line="300" w:lineRule="atLeast"/>
        <w:ind w:left="924" w:right="57" w:hanging="357"/>
        <w:contextualSpacing/>
        <w:jc w:val="both"/>
        <w:rPr>
          <w:rFonts w:ascii="Times New Roman" w:eastAsia="Calibri" w:hAnsi="Times New Roman" w:cs="Times New Roman"/>
          <w:sz w:val="24"/>
          <w:szCs w:val="24"/>
          <w:lang w:val="x-none" w:eastAsia="pl-PL"/>
        </w:rPr>
      </w:pPr>
      <w:r w:rsidRPr="00965BA2">
        <w:rPr>
          <w:rFonts w:ascii="Times New Roman" w:eastAsia="Calibri" w:hAnsi="Times New Roman" w:cs="Times New Roman"/>
          <w:sz w:val="24"/>
          <w:szCs w:val="24"/>
          <w:lang w:val="x-none" w:eastAsia="pl-PL"/>
        </w:rPr>
        <w:t xml:space="preserve">wymierzono </w:t>
      </w:r>
      <w:r w:rsidRPr="00965BA2">
        <w:rPr>
          <w:rFonts w:ascii="Times New Roman" w:eastAsia="Calibri" w:hAnsi="Times New Roman" w:cs="Times New Roman"/>
          <w:sz w:val="24"/>
          <w:szCs w:val="24"/>
          <w:lang w:eastAsia="pl-PL"/>
        </w:rPr>
        <w:t>1</w:t>
      </w:r>
      <w:r w:rsidRPr="00965BA2">
        <w:rPr>
          <w:rFonts w:ascii="Times New Roman" w:eastAsia="Calibri" w:hAnsi="Times New Roman" w:cs="Times New Roman"/>
          <w:sz w:val="24"/>
          <w:szCs w:val="24"/>
          <w:lang w:val="x-none" w:eastAsia="pl-PL"/>
        </w:rPr>
        <w:t xml:space="preserve"> </w:t>
      </w:r>
      <w:r w:rsidRPr="00965BA2">
        <w:rPr>
          <w:rFonts w:ascii="Times New Roman" w:eastAsia="Times New Roman" w:hAnsi="Times New Roman" w:cs="Times New Roman"/>
          <w:sz w:val="24"/>
          <w:szCs w:val="24"/>
          <w:lang w:val="x-none" w:eastAsia="pl-PL"/>
        </w:rPr>
        <w:t>decyz</w:t>
      </w:r>
      <w:r w:rsidRPr="00965BA2">
        <w:rPr>
          <w:rFonts w:ascii="Times New Roman" w:eastAsia="Times New Roman" w:hAnsi="Times New Roman" w:cs="Times New Roman"/>
          <w:sz w:val="24"/>
          <w:szCs w:val="24"/>
          <w:lang w:eastAsia="pl-PL"/>
        </w:rPr>
        <w:t>ję</w:t>
      </w:r>
      <w:r w:rsidRPr="00965BA2">
        <w:rPr>
          <w:rFonts w:ascii="Times New Roman" w:eastAsia="Times New Roman" w:hAnsi="Times New Roman" w:cs="Times New Roman"/>
          <w:sz w:val="24"/>
          <w:szCs w:val="24"/>
          <w:lang w:val="x-none" w:eastAsia="pl-PL"/>
        </w:rPr>
        <w:t xml:space="preserve"> w sprawie nałożenia kar</w:t>
      </w:r>
      <w:r w:rsidRPr="00965BA2">
        <w:rPr>
          <w:rFonts w:ascii="Times New Roman" w:eastAsia="Times New Roman" w:hAnsi="Times New Roman" w:cs="Times New Roman"/>
          <w:sz w:val="24"/>
          <w:szCs w:val="24"/>
          <w:lang w:eastAsia="pl-PL"/>
        </w:rPr>
        <w:t>y</w:t>
      </w:r>
      <w:r w:rsidRPr="00965BA2">
        <w:rPr>
          <w:rFonts w:ascii="Times New Roman" w:eastAsia="Times New Roman" w:hAnsi="Times New Roman" w:cs="Times New Roman"/>
          <w:sz w:val="24"/>
          <w:szCs w:val="24"/>
          <w:lang w:val="x-none" w:eastAsia="pl-PL"/>
        </w:rPr>
        <w:t xml:space="preserve"> pieniężn</w:t>
      </w:r>
      <w:r w:rsidRPr="00965BA2">
        <w:rPr>
          <w:rFonts w:ascii="Times New Roman" w:eastAsia="Times New Roman" w:hAnsi="Times New Roman" w:cs="Times New Roman"/>
          <w:sz w:val="24"/>
          <w:szCs w:val="24"/>
          <w:lang w:eastAsia="pl-PL"/>
        </w:rPr>
        <w:t>ej</w:t>
      </w:r>
      <w:r w:rsidR="00895F16" w:rsidRPr="007F400A">
        <w:rPr>
          <w:rFonts w:ascii="Times New Roman" w:eastAsia="Times New Roman" w:hAnsi="Times New Roman" w:cs="Times New Roman"/>
          <w:sz w:val="24"/>
          <w:szCs w:val="24"/>
          <w:lang w:eastAsia="pl-PL"/>
        </w:rPr>
        <w:t>.</w:t>
      </w:r>
    </w:p>
    <w:p w14:paraId="6C303BEE" w14:textId="77777777" w:rsidR="00895F16" w:rsidRPr="007F400A" w:rsidRDefault="00895F16" w:rsidP="00056EE7">
      <w:pPr>
        <w:spacing w:after="120" w:line="300" w:lineRule="atLeast"/>
        <w:ind w:left="851"/>
        <w:contextualSpacing/>
        <w:jc w:val="both"/>
        <w:rPr>
          <w:rFonts w:ascii="Times New Roman" w:hAnsi="Times New Roman" w:cs="Times New Roman"/>
          <w:sz w:val="24"/>
          <w:szCs w:val="24"/>
          <w:lang w:eastAsia="x-none"/>
        </w:rPr>
      </w:pPr>
    </w:p>
    <w:p w14:paraId="11780583" w14:textId="3D5CAFE8" w:rsidR="00895F16" w:rsidRPr="007F400A" w:rsidRDefault="00895F16" w:rsidP="007F70A7">
      <w:pPr>
        <w:keepNext/>
        <w:spacing w:after="120" w:line="300" w:lineRule="atLeast"/>
        <w:outlineLvl w:val="0"/>
        <w:rPr>
          <w:rFonts w:ascii="Times New Roman" w:eastAsia="Times New Roman" w:hAnsi="Times New Roman" w:cs="Times New Roman"/>
          <w:b/>
          <w:bCs/>
          <w:sz w:val="24"/>
          <w:szCs w:val="24"/>
          <w:lang w:eastAsia="x-none"/>
        </w:rPr>
      </w:pPr>
      <w:bookmarkStart w:id="177" w:name="_Toc135935626"/>
      <w:r w:rsidRPr="007F400A">
        <w:rPr>
          <w:rFonts w:ascii="Times New Roman" w:eastAsia="Times New Roman" w:hAnsi="Times New Roman" w:cs="Times New Roman"/>
          <w:b/>
          <w:bCs/>
          <w:sz w:val="24"/>
          <w:szCs w:val="24"/>
          <w:lang w:val="x-none" w:eastAsia="x-none"/>
        </w:rPr>
        <w:t>3.3.</w:t>
      </w:r>
      <w:r w:rsidRPr="007F400A">
        <w:rPr>
          <w:rFonts w:ascii="Times New Roman" w:eastAsia="Times New Roman" w:hAnsi="Times New Roman" w:cs="Times New Roman"/>
          <w:b/>
          <w:bCs/>
          <w:sz w:val="24"/>
          <w:szCs w:val="24"/>
          <w:lang w:eastAsia="x-none"/>
        </w:rPr>
        <w:t>3</w:t>
      </w:r>
      <w:r w:rsidR="005670D3">
        <w:rPr>
          <w:rFonts w:ascii="Times New Roman" w:eastAsia="Times New Roman" w:hAnsi="Times New Roman" w:cs="Times New Roman"/>
          <w:b/>
          <w:bCs/>
          <w:sz w:val="24"/>
          <w:szCs w:val="24"/>
          <w:lang w:eastAsia="x-none"/>
        </w:rPr>
        <w:t>6</w:t>
      </w:r>
      <w:r w:rsidR="004966BE" w:rsidRPr="007F400A">
        <w:rPr>
          <w:rFonts w:ascii="Times New Roman" w:eastAsia="Times New Roman" w:hAnsi="Times New Roman" w:cs="Times New Roman"/>
          <w:b/>
          <w:bCs/>
          <w:sz w:val="24"/>
          <w:szCs w:val="24"/>
          <w:lang w:val="x-none" w:eastAsia="x-none"/>
        </w:rPr>
        <w:t xml:space="preserve"> </w:t>
      </w:r>
      <w:r w:rsidRPr="007F400A">
        <w:rPr>
          <w:rFonts w:ascii="Times New Roman" w:eastAsia="Times New Roman" w:hAnsi="Times New Roman" w:cs="Times New Roman"/>
          <w:b/>
          <w:bCs/>
          <w:sz w:val="24"/>
          <w:szCs w:val="24"/>
          <w:lang w:eastAsia="x-none"/>
        </w:rPr>
        <w:t>Kontrole w zakresie gospodarki odpadami medycznymi i weterynaryjnymi</w:t>
      </w:r>
      <w:bookmarkEnd w:id="177"/>
    </w:p>
    <w:p w14:paraId="5887FC9A" w14:textId="7CA2672C" w:rsidR="00124D28" w:rsidRPr="00965BA2" w:rsidRDefault="00124D28" w:rsidP="007F70A7">
      <w:pPr>
        <w:spacing w:after="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W 2022 r. w kraju był</w:t>
      </w:r>
      <w:r w:rsidR="00E72A65">
        <w:rPr>
          <w:rFonts w:ascii="Times New Roman" w:eastAsia="Calibri" w:hAnsi="Times New Roman" w:cs="Times New Roman"/>
          <w:sz w:val="24"/>
          <w:szCs w:val="24"/>
        </w:rPr>
        <w:t>y</w:t>
      </w:r>
      <w:r w:rsidRPr="00965BA2">
        <w:rPr>
          <w:rFonts w:ascii="Times New Roman" w:eastAsia="Calibri" w:hAnsi="Times New Roman" w:cs="Times New Roman"/>
          <w:sz w:val="24"/>
          <w:szCs w:val="24"/>
        </w:rPr>
        <w:t xml:space="preserve"> zarejestrowan</w:t>
      </w:r>
      <w:r w:rsidR="00E72A65">
        <w:rPr>
          <w:rFonts w:ascii="Times New Roman" w:eastAsia="Calibri" w:hAnsi="Times New Roman" w:cs="Times New Roman"/>
          <w:sz w:val="24"/>
          <w:szCs w:val="24"/>
        </w:rPr>
        <w:t>e</w:t>
      </w:r>
      <w:r w:rsidRPr="00965BA2">
        <w:rPr>
          <w:rFonts w:ascii="Times New Roman" w:eastAsia="Calibri" w:hAnsi="Times New Roman" w:cs="Times New Roman"/>
          <w:sz w:val="24"/>
          <w:szCs w:val="24"/>
        </w:rPr>
        <w:t xml:space="preserve"> </w:t>
      </w:r>
      <w:r w:rsidR="00E72A65">
        <w:rPr>
          <w:rFonts w:ascii="Times New Roman" w:eastAsia="Calibri" w:hAnsi="Times New Roman" w:cs="Times New Roman"/>
          <w:sz w:val="24"/>
          <w:szCs w:val="24"/>
        </w:rPr>
        <w:t xml:space="preserve">3 703 </w:t>
      </w:r>
      <w:r w:rsidRPr="00965BA2">
        <w:rPr>
          <w:rFonts w:ascii="Times New Roman" w:eastAsia="Calibri" w:hAnsi="Times New Roman" w:cs="Times New Roman"/>
          <w:sz w:val="24"/>
          <w:szCs w:val="24"/>
        </w:rPr>
        <w:t>podmiot</w:t>
      </w:r>
      <w:r w:rsidR="00E72A65">
        <w:rPr>
          <w:rFonts w:ascii="Times New Roman" w:eastAsia="Calibri" w:hAnsi="Times New Roman" w:cs="Times New Roman"/>
          <w:sz w:val="24"/>
          <w:szCs w:val="24"/>
        </w:rPr>
        <w:t>y</w:t>
      </w:r>
      <w:r w:rsidRPr="00965BA2">
        <w:rPr>
          <w:rFonts w:ascii="Times New Roman" w:eastAsia="Calibri" w:hAnsi="Times New Roman" w:cs="Times New Roman"/>
          <w:sz w:val="24"/>
          <w:szCs w:val="24"/>
        </w:rPr>
        <w:t xml:space="preserve"> gospodarując</w:t>
      </w:r>
      <w:r w:rsidR="00E72A65">
        <w:rPr>
          <w:rFonts w:ascii="Times New Roman" w:eastAsia="Calibri" w:hAnsi="Times New Roman" w:cs="Times New Roman"/>
          <w:sz w:val="24"/>
          <w:szCs w:val="24"/>
        </w:rPr>
        <w:t>e</w:t>
      </w:r>
      <w:r w:rsidRPr="00965BA2">
        <w:rPr>
          <w:rFonts w:ascii="Times New Roman" w:eastAsia="Calibri" w:hAnsi="Times New Roman" w:cs="Times New Roman"/>
          <w:sz w:val="24"/>
          <w:szCs w:val="24"/>
        </w:rPr>
        <w:t xml:space="preserve"> odpadami medycznymi i weterynaryjnymi. </w:t>
      </w:r>
    </w:p>
    <w:p w14:paraId="73F28180" w14:textId="77777777" w:rsidR="00124D28" w:rsidRPr="00965BA2" w:rsidRDefault="00124D28" w:rsidP="007F70A7">
      <w:pPr>
        <w:spacing w:after="120" w:line="300" w:lineRule="atLeast"/>
        <w:ind w:firstLine="567"/>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Wojewódzcy inspektorzy ochrony środowiska przeprowadzili</w:t>
      </w:r>
      <w:r w:rsidRPr="00965BA2">
        <w:rPr>
          <w:rFonts w:ascii="Times New Roman" w:eastAsia="Calibri" w:hAnsi="Times New Roman" w:cs="Times New Roman"/>
          <w:b/>
          <w:bCs/>
          <w:sz w:val="24"/>
          <w:szCs w:val="24"/>
        </w:rPr>
        <w:t xml:space="preserve"> </w:t>
      </w:r>
      <w:r w:rsidRPr="00965BA2">
        <w:rPr>
          <w:rFonts w:ascii="Times New Roman" w:eastAsia="Calibri" w:hAnsi="Times New Roman" w:cs="Times New Roman"/>
          <w:sz w:val="24"/>
          <w:szCs w:val="24"/>
        </w:rPr>
        <w:t xml:space="preserve">łącznie 162 kontrole podmiotów gospodarujących odpadami medycznymi i weterynaryjnymi, w tym 50 kontroli planowych i 112 kontroli pozaplanowych. </w:t>
      </w:r>
    </w:p>
    <w:p w14:paraId="395EF85F" w14:textId="77777777" w:rsidR="00124D28" w:rsidRPr="00965BA2" w:rsidRDefault="00124D28" w:rsidP="007F70A7">
      <w:pPr>
        <w:spacing w:after="60" w:line="300" w:lineRule="atLeast"/>
        <w:jc w:val="both"/>
        <w:rPr>
          <w:rFonts w:ascii="Times New Roman" w:eastAsia="Times New Roman" w:hAnsi="Times New Roman" w:cs="Times New Roman"/>
          <w:sz w:val="24"/>
          <w:szCs w:val="24"/>
        </w:rPr>
      </w:pPr>
      <w:r w:rsidRPr="00965BA2">
        <w:rPr>
          <w:rFonts w:ascii="Times New Roman" w:eastAsia="Times New Roman" w:hAnsi="Times New Roman" w:cs="Times New Roman"/>
          <w:sz w:val="24"/>
          <w:szCs w:val="24"/>
        </w:rPr>
        <w:t>Naruszenia stwierdzono w trakcie 23 kontroli, w tym:</w:t>
      </w:r>
    </w:p>
    <w:p w14:paraId="0B6B2B82" w14:textId="77777777" w:rsidR="00124D28" w:rsidRPr="00965BA2" w:rsidRDefault="00124D28" w:rsidP="00D34F97">
      <w:pPr>
        <w:numPr>
          <w:ilvl w:val="0"/>
          <w:numId w:val="134"/>
        </w:numPr>
        <w:spacing w:after="0" w:line="300" w:lineRule="atLeast"/>
        <w:ind w:left="924" w:hanging="357"/>
        <w:contextualSpacing/>
        <w:jc w:val="both"/>
        <w:rPr>
          <w:rFonts w:ascii="Times New Roman" w:eastAsia="Times New Roman" w:hAnsi="Times New Roman" w:cs="Times New Roman"/>
          <w:b/>
          <w:sz w:val="24"/>
          <w:szCs w:val="24"/>
          <w:lang w:val="x-none" w:eastAsia="pl-PL"/>
        </w:rPr>
      </w:pPr>
      <w:r w:rsidRPr="00965BA2">
        <w:rPr>
          <w:rFonts w:ascii="Times New Roman" w:eastAsia="Times New Roman" w:hAnsi="Times New Roman" w:cs="Times New Roman"/>
          <w:sz w:val="24"/>
          <w:szCs w:val="24"/>
          <w:lang w:eastAsia="pl-PL"/>
        </w:rPr>
        <w:t>17</w:t>
      </w:r>
      <w:r w:rsidRPr="00965BA2">
        <w:rPr>
          <w:rFonts w:ascii="Times New Roman" w:eastAsia="Times New Roman" w:hAnsi="Times New Roman" w:cs="Times New Roman"/>
          <w:sz w:val="24"/>
          <w:szCs w:val="24"/>
          <w:lang w:val="x-none" w:eastAsia="pl-PL"/>
        </w:rPr>
        <w:t> </w:t>
      </w:r>
      <w:r w:rsidRPr="00965BA2">
        <w:rPr>
          <w:rFonts w:ascii="Times New Roman" w:eastAsia="Times New Roman" w:hAnsi="Times New Roman" w:cs="Times New Roman"/>
          <w:sz w:val="24"/>
          <w:szCs w:val="24"/>
          <w:lang w:eastAsia="pl-PL"/>
        </w:rPr>
        <w:t xml:space="preserve">(74%) kontroli z naruszeniami </w:t>
      </w:r>
      <w:r w:rsidRPr="00965BA2">
        <w:rPr>
          <w:rFonts w:ascii="Times New Roman" w:eastAsia="Times New Roman" w:hAnsi="Times New Roman" w:cs="Times New Roman"/>
          <w:sz w:val="24"/>
          <w:szCs w:val="24"/>
          <w:lang w:val="x-none" w:eastAsia="pl-PL"/>
        </w:rPr>
        <w:t>bez istotnego zagrożenia lub zanieczyszczenia środowiska</w:t>
      </w:r>
      <w:r w:rsidRPr="00965BA2">
        <w:rPr>
          <w:rFonts w:ascii="Times New Roman" w:eastAsia="Times New Roman" w:hAnsi="Times New Roman" w:cs="Times New Roman"/>
          <w:b/>
          <w:sz w:val="24"/>
          <w:szCs w:val="24"/>
          <w:lang w:val="x-none" w:eastAsia="pl-PL"/>
        </w:rPr>
        <w:t>,</w:t>
      </w:r>
    </w:p>
    <w:p w14:paraId="2970C949" w14:textId="77777777" w:rsidR="00124D28" w:rsidRPr="00965BA2" w:rsidRDefault="00124D28" w:rsidP="00D34F97">
      <w:pPr>
        <w:numPr>
          <w:ilvl w:val="0"/>
          <w:numId w:val="134"/>
        </w:numPr>
        <w:spacing w:after="120" w:line="300" w:lineRule="atLeast"/>
        <w:ind w:left="924" w:hanging="357"/>
        <w:jc w:val="both"/>
        <w:rPr>
          <w:rFonts w:ascii="Times New Roman" w:eastAsia="Times New Roman" w:hAnsi="Times New Roman" w:cs="Times New Roman"/>
          <w:sz w:val="24"/>
          <w:szCs w:val="24"/>
          <w:lang w:val="x-none" w:eastAsia="pl-PL"/>
        </w:rPr>
      </w:pPr>
      <w:r w:rsidRPr="00965BA2">
        <w:rPr>
          <w:rFonts w:ascii="Times New Roman" w:eastAsia="Times New Roman" w:hAnsi="Times New Roman" w:cs="Times New Roman"/>
          <w:sz w:val="24"/>
          <w:szCs w:val="24"/>
          <w:lang w:eastAsia="pl-PL"/>
        </w:rPr>
        <w:t>6</w:t>
      </w:r>
      <w:r w:rsidRPr="00965BA2">
        <w:rPr>
          <w:rFonts w:ascii="Times New Roman" w:eastAsia="Times New Roman" w:hAnsi="Times New Roman" w:cs="Times New Roman"/>
          <w:sz w:val="24"/>
          <w:szCs w:val="24"/>
          <w:lang w:val="x-none" w:eastAsia="pl-PL"/>
        </w:rPr>
        <w:t xml:space="preserve"> </w:t>
      </w:r>
      <w:r w:rsidRPr="00965BA2">
        <w:rPr>
          <w:rFonts w:ascii="Times New Roman" w:eastAsia="Times New Roman" w:hAnsi="Times New Roman" w:cs="Times New Roman"/>
          <w:sz w:val="24"/>
          <w:szCs w:val="24"/>
          <w:lang w:eastAsia="pl-PL"/>
        </w:rPr>
        <w:t xml:space="preserve">(26%) kontroli z naruszeniami, które </w:t>
      </w:r>
      <w:r w:rsidRPr="00965BA2">
        <w:rPr>
          <w:rFonts w:ascii="Times New Roman" w:eastAsia="Times New Roman" w:hAnsi="Times New Roman" w:cs="Times New Roman"/>
          <w:sz w:val="24"/>
          <w:szCs w:val="24"/>
          <w:lang w:val="x-none" w:eastAsia="pl-PL"/>
        </w:rPr>
        <w:t>mogą spowodować zagrożenie lub zanieczyszczenie środowiska.</w:t>
      </w:r>
    </w:p>
    <w:p w14:paraId="66E6ABB1" w14:textId="77777777" w:rsidR="00124D28" w:rsidRPr="00965BA2" w:rsidRDefault="00124D28" w:rsidP="007F70A7">
      <w:pPr>
        <w:spacing w:after="60" w:line="300" w:lineRule="atLeast"/>
        <w:jc w:val="both"/>
        <w:rPr>
          <w:rFonts w:ascii="Times New Roman" w:eastAsia="Calibri" w:hAnsi="Times New Roman" w:cs="Times New Roman"/>
          <w:sz w:val="24"/>
          <w:szCs w:val="24"/>
        </w:rPr>
      </w:pPr>
      <w:r w:rsidRPr="00965BA2">
        <w:rPr>
          <w:rFonts w:ascii="Times New Roman" w:eastAsia="Calibri" w:hAnsi="Times New Roman" w:cs="Times New Roman"/>
          <w:sz w:val="24"/>
          <w:szCs w:val="24"/>
        </w:rPr>
        <w:t>W związku ze stwierdzonymi nieprawidłowościami:</w:t>
      </w:r>
    </w:p>
    <w:p w14:paraId="3A558BA7" w14:textId="77777777" w:rsidR="00124D28" w:rsidRPr="00965BA2" w:rsidRDefault="00124D28" w:rsidP="00056EE7">
      <w:pPr>
        <w:numPr>
          <w:ilvl w:val="0"/>
          <w:numId w:val="18"/>
        </w:numPr>
        <w:spacing w:after="0" w:line="300" w:lineRule="atLeast"/>
        <w:ind w:left="924" w:hanging="357"/>
        <w:contextualSpacing/>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lang w:val="x-none"/>
        </w:rPr>
        <w:t xml:space="preserve">udzielono </w:t>
      </w:r>
      <w:r w:rsidRPr="00965BA2">
        <w:rPr>
          <w:rFonts w:ascii="Times New Roman" w:eastAsia="Calibri" w:hAnsi="Times New Roman" w:cs="Times New Roman"/>
          <w:sz w:val="24"/>
          <w:szCs w:val="24"/>
        </w:rPr>
        <w:t>12</w:t>
      </w:r>
      <w:r w:rsidRPr="00965BA2">
        <w:rPr>
          <w:rFonts w:ascii="Times New Roman" w:eastAsia="Calibri" w:hAnsi="Times New Roman" w:cs="Times New Roman"/>
          <w:sz w:val="24"/>
          <w:szCs w:val="24"/>
          <w:lang w:val="x-none"/>
        </w:rPr>
        <w:t xml:space="preserve"> pouczeń,</w:t>
      </w:r>
    </w:p>
    <w:p w14:paraId="7EDB6426" w14:textId="77777777" w:rsidR="00124D28" w:rsidRPr="00965BA2" w:rsidRDefault="00124D28" w:rsidP="00056EE7">
      <w:pPr>
        <w:numPr>
          <w:ilvl w:val="0"/>
          <w:numId w:val="18"/>
        </w:numPr>
        <w:spacing w:after="0" w:line="300" w:lineRule="atLeast"/>
        <w:ind w:left="924" w:hanging="357"/>
        <w:contextualSpacing/>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lang w:val="x-none"/>
        </w:rPr>
        <w:t xml:space="preserve">nałożono </w:t>
      </w:r>
      <w:r w:rsidRPr="00965BA2">
        <w:rPr>
          <w:rFonts w:ascii="Times New Roman" w:eastAsia="Calibri" w:hAnsi="Times New Roman" w:cs="Times New Roman"/>
          <w:sz w:val="24"/>
          <w:szCs w:val="24"/>
        </w:rPr>
        <w:t>2</w:t>
      </w:r>
      <w:r w:rsidRPr="00965BA2">
        <w:rPr>
          <w:rFonts w:ascii="Times New Roman" w:eastAsia="Calibri" w:hAnsi="Times New Roman" w:cs="Times New Roman"/>
          <w:sz w:val="24"/>
          <w:szCs w:val="24"/>
          <w:lang w:val="x-none"/>
        </w:rPr>
        <w:t xml:space="preserve"> mandat</w:t>
      </w:r>
      <w:r w:rsidRPr="00965BA2">
        <w:rPr>
          <w:rFonts w:ascii="Times New Roman" w:eastAsia="Calibri" w:hAnsi="Times New Roman" w:cs="Times New Roman"/>
          <w:sz w:val="24"/>
          <w:szCs w:val="24"/>
        </w:rPr>
        <w:t>y</w:t>
      </w:r>
      <w:r w:rsidRPr="00965BA2">
        <w:rPr>
          <w:rFonts w:ascii="Times New Roman" w:eastAsia="Calibri" w:hAnsi="Times New Roman" w:cs="Times New Roman"/>
          <w:sz w:val="24"/>
          <w:szCs w:val="24"/>
          <w:lang w:val="x-none"/>
        </w:rPr>
        <w:t xml:space="preserve"> karn</w:t>
      </w:r>
      <w:r w:rsidRPr="00965BA2">
        <w:rPr>
          <w:rFonts w:ascii="Times New Roman" w:eastAsia="Calibri" w:hAnsi="Times New Roman" w:cs="Times New Roman"/>
          <w:sz w:val="24"/>
          <w:szCs w:val="24"/>
        </w:rPr>
        <w:t>e</w:t>
      </w:r>
      <w:r w:rsidRPr="00965BA2">
        <w:rPr>
          <w:rFonts w:ascii="Times New Roman" w:eastAsia="Calibri" w:hAnsi="Times New Roman" w:cs="Times New Roman"/>
          <w:sz w:val="24"/>
          <w:szCs w:val="24"/>
          <w:lang w:val="x-none"/>
        </w:rPr>
        <w:t>,</w:t>
      </w:r>
    </w:p>
    <w:p w14:paraId="419E07E1" w14:textId="77777777" w:rsidR="00124D28" w:rsidRPr="00965BA2" w:rsidRDefault="00124D28" w:rsidP="00056EE7">
      <w:pPr>
        <w:numPr>
          <w:ilvl w:val="0"/>
          <w:numId w:val="18"/>
        </w:numPr>
        <w:spacing w:after="0" w:line="300" w:lineRule="atLeast"/>
        <w:ind w:left="924" w:hanging="357"/>
        <w:contextualSpacing/>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lang w:val="x-none"/>
        </w:rPr>
        <w:t xml:space="preserve">wydano </w:t>
      </w:r>
      <w:r w:rsidRPr="00965BA2">
        <w:rPr>
          <w:rFonts w:ascii="Times New Roman" w:eastAsia="Calibri" w:hAnsi="Times New Roman" w:cs="Times New Roman"/>
          <w:sz w:val="24"/>
          <w:szCs w:val="24"/>
        </w:rPr>
        <w:t>10</w:t>
      </w:r>
      <w:r w:rsidRPr="00965BA2">
        <w:rPr>
          <w:rFonts w:ascii="Times New Roman" w:eastAsia="Calibri" w:hAnsi="Times New Roman" w:cs="Times New Roman"/>
          <w:sz w:val="24"/>
          <w:szCs w:val="24"/>
          <w:lang w:val="x-none"/>
        </w:rPr>
        <w:t xml:space="preserve"> zarządze</w:t>
      </w:r>
      <w:r w:rsidRPr="00965BA2">
        <w:rPr>
          <w:rFonts w:ascii="Times New Roman" w:eastAsia="Calibri" w:hAnsi="Times New Roman" w:cs="Times New Roman"/>
          <w:sz w:val="24"/>
          <w:szCs w:val="24"/>
        </w:rPr>
        <w:t>ń</w:t>
      </w:r>
      <w:r w:rsidRPr="00965BA2">
        <w:rPr>
          <w:rFonts w:ascii="Times New Roman" w:eastAsia="Calibri" w:hAnsi="Times New Roman" w:cs="Times New Roman"/>
          <w:sz w:val="24"/>
          <w:szCs w:val="24"/>
          <w:lang w:val="x-none"/>
        </w:rPr>
        <w:t xml:space="preserve"> pokontroln</w:t>
      </w:r>
      <w:r w:rsidRPr="00965BA2">
        <w:rPr>
          <w:rFonts w:ascii="Times New Roman" w:eastAsia="Calibri" w:hAnsi="Times New Roman" w:cs="Times New Roman"/>
          <w:sz w:val="24"/>
          <w:szCs w:val="24"/>
        </w:rPr>
        <w:t>ych</w:t>
      </w:r>
      <w:r w:rsidRPr="00965BA2">
        <w:rPr>
          <w:rFonts w:ascii="Times New Roman" w:eastAsia="Calibri" w:hAnsi="Times New Roman" w:cs="Times New Roman"/>
          <w:sz w:val="24"/>
          <w:szCs w:val="24"/>
          <w:lang w:val="x-none"/>
        </w:rPr>
        <w:t>,</w:t>
      </w:r>
    </w:p>
    <w:p w14:paraId="66A1292A" w14:textId="77777777" w:rsidR="00124D28" w:rsidRPr="00965BA2" w:rsidRDefault="00124D28" w:rsidP="00056EE7">
      <w:pPr>
        <w:numPr>
          <w:ilvl w:val="0"/>
          <w:numId w:val="18"/>
        </w:numPr>
        <w:tabs>
          <w:tab w:val="left" w:pos="567"/>
        </w:tabs>
        <w:spacing w:after="0" w:line="300" w:lineRule="atLeast"/>
        <w:ind w:left="924" w:right="57" w:hanging="357"/>
        <w:contextualSpacing/>
        <w:jc w:val="both"/>
        <w:rPr>
          <w:rFonts w:ascii="Times New Roman" w:eastAsia="Calibri" w:hAnsi="Times New Roman" w:cs="Times New Roman"/>
          <w:sz w:val="24"/>
          <w:szCs w:val="24"/>
          <w:lang w:val="x-none"/>
        </w:rPr>
      </w:pPr>
      <w:r w:rsidRPr="00965BA2">
        <w:rPr>
          <w:rFonts w:ascii="Times New Roman" w:eastAsia="Calibri" w:hAnsi="Times New Roman" w:cs="Times New Roman"/>
          <w:sz w:val="24"/>
          <w:szCs w:val="24"/>
        </w:rPr>
        <w:t>skierowano</w:t>
      </w:r>
      <w:r w:rsidRPr="00965BA2">
        <w:rPr>
          <w:rFonts w:ascii="Times New Roman" w:eastAsia="Calibri" w:hAnsi="Times New Roman" w:cs="Times New Roman"/>
          <w:sz w:val="24"/>
          <w:szCs w:val="24"/>
          <w:lang w:val="x-none"/>
        </w:rPr>
        <w:t xml:space="preserve"> </w:t>
      </w:r>
      <w:r w:rsidRPr="00965BA2">
        <w:rPr>
          <w:rFonts w:ascii="Times New Roman" w:eastAsia="Calibri" w:hAnsi="Times New Roman" w:cs="Times New Roman"/>
          <w:sz w:val="24"/>
          <w:szCs w:val="24"/>
        </w:rPr>
        <w:t>2</w:t>
      </w:r>
      <w:r w:rsidRPr="00965BA2">
        <w:rPr>
          <w:rFonts w:ascii="Times New Roman" w:eastAsia="Calibri" w:hAnsi="Times New Roman" w:cs="Times New Roman"/>
          <w:sz w:val="24"/>
          <w:szCs w:val="24"/>
          <w:lang w:val="x-none"/>
        </w:rPr>
        <w:t xml:space="preserve"> wniosk</w:t>
      </w:r>
      <w:r w:rsidRPr="00965BA2">
        <w:rPr>
          <w:rFonts w:ascii="Times New Roman" w:eastAsia="Calibri" w:hAnsi="Times New Roman" w:cs="Times New Roman"/>
          <w:sz w:val="24"/>
          <w:szCs w:val="24"/>
        </w:rPr>
        <w:t>i</w:t>
      </w:r>
      <w:r w:rsidRPr="00965BA2">
        <w:rPr>
          <w:rFonts w:ascii="Times New Roman" w:eastAsia="Calibri" w:hAnsi="Times New Roman" w:cs="Times New Roman"/>
          <w:sz w:val="24"/>
          <w:szCs w:val="24"/>
          <w:lang w:val="x-none"/>
        </w:rPr>
        <w:t xml:space="preserve"> do </w:t>
      </w:r>
      <w:r w:rsidRPr="00965BA2">
        <w:rPr>
          <w:rFonts w:ascii="Times New Roman" w:eastAsia="Calibri" w:hAnsi="Times New Roman" w:cs="Times New Roman"/>
          <w:sz w:val="24"/>
          <w:szCs w:val="24"/>
        </w:rPr>
        <w:t>organów ścigania,</w:t>
      </w:r>
    </w:p>
    <w:p w14:paraId="05E13EF6" w14:textId="4FB515B6" w:rsidR="00895F16" w:rsidRPr="007F400A" w:rsidRDefault="00124D28" w:rsidP="00056EE7">
      <w:pPr>
        <w:numPr>
          <w:ilvl w:val="0"/>
          <w:numId w:val="18"/>
        </w:numPr>
        <w:tabs>
          <w:tab w:val="left" w:pos="567"/>
        </w:tabs>
        <w:spacing w:after="0" w:line="300" w:lineRule="atLeast"/>
        <w:ind w:left="924" w:right="57" w:hanging="357"/>
        <w:jc w:val="both"/>
        <w:rPr>
          <w:rFonts w:ascii="Times New Roman" w:hAnsi="Times New Roman" w:cs="Times New Roman"/>
          <w:sz w:val="24"/>
          <w:szCs w:val="24"/>
          <w:lang w:val="x-none"/>
        </w:rPr>
      </w:pPr>
      <w:r w:rsidRPr="00965BA2">
        <w:rPr>
          <w:rFonts w:ascii="Times New Roman" w:eastAsia="Calibri" w:hAnsi="Times New Roman" w:cs="Times New Roman"/>
          <w:sz w:val="24"/>
          <w:szCs w:val="24"/>
        </w:rPr>
        <w:t>skierowano 3 wystąpienia do innych organów</w:t>
      </w:r>
      <w:r w:rsidR="00895F16" w:rsidRPr="007F400A">
        <w:rPr>
          <w:rFonts w:ascii="Times New Roman" w:hAnsi="Times New Roman" w:cs="Times New Roman"/>
          <w:sz w:val="24"/>
          <w:szCs w:val="24"/>
        </w:rPr>
        <w:t>.</w:t>
      </w:r>
    </w:p>
    <w:p w14:paraId="2D391E7D" w14:textId="77777777" w:rsidR="00895F16" w:rsidRPr="007F400A" w:rsidRDefault="00895F16" w:rsidP="00056EE7">
      <w:pPr>
        <w:spacing w:after="0" w:line="300" w:lineRule="atLeast"/>
        <w:ind w:firstLine="708"/>
        <w:jc w:val="both"/>
        <w:rPr>
          <w:rFonts w:ascii="Times New Roman" w:eastAsia="Calibri" w:hAnsi="Times New Roman" w:cs="Times New Roman"/>
          <w:color w:val="000000" w:themeColor="text1"/>
          <w:sz w:val="24"/>
          <w:szCs w:val="24"/>
        </w:rPr>
      </w:pPr>
    </w:p>
    <w:p w14:paraId="035360F4" w14:textId="55A46A3D" w:rsidR="00895F16" w:rsidRDefault="00895F16" w:rsidP="007F70A7">
      <w:pPr>
        <w:keepNext/>
        <w:spacing w:after="120" w:line="300" w:lineRule="atLeast"/>
        <w:outlineLvl w:val="0"/>
        <w:rPr>
          <w:rFonts w:ascii="Times New Roman" w:eastAsia="Times New Roman" w:hAnsi="Times New Roman" w:cs="Times New Roman"/>
          <w:b/>
          <w:bCs/>
          <w:sz w:val="24"/>
          <w:szCs w:val="24"/>
          <w:lang w:val="x-none" w:eastAsia="x-none"/>
        </w:rPr>
      </w:pPr>
      <w:bookmarkStart w:id="178" w:name="_Toc5878567"/>
      <w:bookmarkStart w:id="179" w:name="_Toc36732590"/>
      <w:bookmarkStart w:id="180" w:name="_Toc135935627"/>
      <w:r w:rsidRPr="007F400A">
        <w:rPr>
          <w:rFonts w:ascii="Times New Roman" w:eastAsia="Times New Roman" w:hAnsi="Times New Roman" w:cs="Times New Roman"/>
          <w:b/>
          <w:bCs/>
          <w:sz w:val="24"/>
          <w:szCs w:val="24"/>
          <w:lang w:val="x-none" w:eastAsia="x-none"/>
        </w:rPr>
        <w:t>3.</w:t>
      </w:r>
      <w:r w:rsidRPr="007F400A">
        <w:rPr>
          <w:rFonts w:ascii="Times New Roman" w:eastAsia="Times New Roman" w:hAnsi="Times New Roman" w:cs="Times New Roman"/>
          <w:b/>
          <w:bCs/>
          <w:sz w:val="24"/>
          <w:szCs w:val="24"/>
          <w:lang w:eastAsia="x-none"/>
        </w:rPr>
        <w:t>4</w:t>
      </w:r>
      <w:r w:rsidRPr="007F400A">
        <w:rPr>
          <w:rFonts w:ascii="Times New Roman" w:eastAsia="Times New Roman" w:hAnsi="Times New Roman" w:cs="Times New Roman"/>
          <w:b/>
          <w:bCs/>
          <w:sz w:val="24"/>
          <w:szCs w:val="24"/>
          <w:lang w:val="x-none" w:eastAsia="x-none"/>
        </w:rPr>
        <w:t xml:space="preserve">. </w:t>
      </w:r>
      <w:r w:rsidR="00C9272D" w:rsidRPr="00DF3899">
        <w:rPr>
          <w:rFonts w:ascii="Times New Roman" w:eastAsia="Times New Roman" w:hAnsi="Times New Roman" w:cs="Times New Roman"/>
          <w:b/>
          <w:bCs/>
          <w:sz w:val="24"/>
          <w:szCs w:val="24"/>
          <w:lang w:val="x-none" w:eastAsia="x-none"/>
        </w:rPr>
        <w:t>Kontrole prowadzone przez zespoły kontrolne powołane przez Głównego Inspektora Ochrony Środowiska</w:t>
      </w:r>
      <w:bookmarkEnd w:id="178"/>
      <w:bookmarkEnd w:id="179"/>
      <w:bookmarkEnd w:id="180"/>
    </w:p>
    <w:p w14:paraId="302B00E4" w14:textId="77777777" w:rsidR="00553F72" w:rsidRPr="00B8177D" w:rsidRDefault="00553F72" w:rsidP="007F70A7">
      <w:pPr>
        <w:spacing w:after="0" w:line="300" w:lineRule="atLeast"/>
        <w:ind w:firstLine="567"/>
        <w:jc w:val="both"/>
        <w:rPr>
          <w:rFonts w:ascii="Times New Roman" w:eastAsia="Times New Roman" w:hAnsi="Times New Roman" w:cs="Times New Roman"/>
          <w:sz w:val="24"/>
          <w:szCs w:val="24"/>
          <w:lang w:eastAsia="pl-PL"/>
        </w:rPr>
      </w:pPr>
      <w:r w:rsidRPr="00B8177D">
        <w:rPr>
          <w:rFonts w:ascii="Times New Roman" w:eastAsia="Times New Roman" w:hAnsi="Times New Roman" w:cs="Times New Roman"/>
          <w:sz w:val="24"/>
          <w:szCs w:val="24"/>
          <w:lang w:eastAsia="pl-PL"/>
        </w:rPr>
        <w:t>Zgodnie z art. 10c ust. 1 ustawy z dnia 20 lipca 1991 r. o Inspekcji Ochrony Środowiska, Główny Inspektor Ochrony Środowiska może powołać zespół kontrolny, w skład którego może powołać inspektorów Inspekcji Ochrony Środowiska zatrudnionych w wojewódzkich inspektoratach ochrony środowiska. Zespół kontrolny powołuje się w celu przeprowadzenia kontroli interwencyjnej oraz w szczególnie uzasadnionych przypadkach może być on powołany do innych kontroli pozaplanowych.</w:t>
      </w:r>
    </w:p>
    <w:p w14:paraId="7CCDFE72" w14:textId="77777777" w:rsidR="00553F72" w:rsidRPr="00B8177D" w:rsidRDefault="00553F72" w:rsidP="007F70A7">
      <w:pPr>
        <w:spacing w:after="120" w:line="300" w:lineRule="atLeast"/>
        <w:ind w:firstLine="567"/>
        <w:jc w:val="both"/>
        <w:rPr>
          <w:rFonts w:ascii="Times New Roman" w:eastAsia="Times New Roman" w:hAnsi="Times New Roman" w:cs="Times New Roman"/>
          <w:sz w:val="24"/>
          <w:szCs w:val="24"/>
          <w:lang w:eastAsia="pl-PL"/>
        </w:rPr>
      </w:pPr>
      <w:r w:rsidRPr="00B8177D">
        <w:rPr>
          <w:rFonts w:ascii="Times New Roman" w:eastAsia="Times New Roman" w:hAnsi="Times New Roman" w:cs="Times New Roman"/>
          <w:sz w:val="24"/>
          <w:szCs w:val="24"/>
          <w:lang w:eastAsia="pl-PL"/>
        </w:rPr>
        <w:t xml:space="preserve">W 2022 r. 17 zespołów kontrolnych powołanych przez GIOŚ przeprowadziło 21 kontroli interwencyjnych.  </w:t>
      </w:r>
    </w:p>
    <w:p w14:paraId="05A75088" w14:textId="77777777" w:rsidR="00553F72" w:rsidRPr="00B8177D" w:rsidRDefault="00553F72" w:rsidP="00EB698C">
      <w:pPr>
        <w:spacing w:after="60" w:line="300" w:lineRule="atLeast"/>
        <w:jc w:val="both"/>
        <w:rPr>
          <w:rFonts w:ascii="Times New Roman" w:eastAsia="Times New Roman" w:hAnsi="Times New Roman" w:cs="Times New Roman"/>
          <w:sz w:val="24"/>
          <w:szCs w:val="24"/>
          <w:lang w:eastAsia="pl-PL"/>
        </w:rPr>
      </w:pPr>
      <w:r w:rsidRPr="00B8177D">
        <w:rPr>
          <w:rFonts w:ascii="Times New Roman" w:eastAsia="Times New Roman" w:hAnsi="Times New Roman" w:cs="Times New Roman"/>
          <w:sz w:val="24"/>
          <w:szCs w:val="24"/>
          <w:lang w:eastAsia="pl-PL"/>
        </w:rPr>
        <w:t xml:space="preserve">Podczas 16 kontroli stwierdzono naruszenia przepisów ochrony środowiska, w tym: </w:t>
      </w:r>
    </w:p>
    <w:p w14:paraId="7EC92148" w14:textId="77777777" w:rsidR="00553F72" w:rsidRPr="00B8177D" w:rsidRDefault="00553F72" w:rsidP="00D34F97">
      <w:pPr>
        <w:pStyle w:val="Akapitzlist"/>
        <w:numPr>
          <w:ilvl w:val="0"/>
          <w:numId w:val="196"/>
        </w:numPr>
        <w:spacing w:line="300" w:lineRule="atLeast"/>
        <w:ind w:left="924" w:hanging="357"/>
        <w:jc w:val="both"/>
        <w:rPr>
          <w:rFonts w:eastAsia="Times New Roman"/>
          <w:sz w:val="24"/>
          <w:szCs w:val="24"/>
        </w:rPr>
      </w:pPr>
      <w:r w:rsidRPr="00B8177D">
        <w:rPr>
          <w:rFonts w:eastAsia="Times New Roman"/>
          <w:sz w:val="24"/>
          <w:szCs w:val="24"/>
          <w:lang w:val="pl-PL"/>
        </w:rPr>
        <w:t>10</w:t>
      </w:r>
      <w:r w:rsidRPr="00B8177D">
        <w:rPr>
          <w:rFonts w:eastAsia="Times New Roman"/>
          <w:sz w:val="24"/>
          <w:szCs w:val="24"/>
        </w:rPr>
        <w:t xml:space="preserve"> kontroli wykazało naruszenia w wyniku których nie nastąpiło zagrożenie lub zanieczyszczenie środowiska</w:t>
      </w:r>
      <w:r w:rsidRPr="00B8177D">
        <w:rPr>
          <w:sz w:val="24"/>
          <w:szCs w:val="24"/>
          <w:lang w:val="pl-PL"/>
        </w:rPr>
        <w:t>,</w:t>
      </w:r>
    </w:p>
    <w:p w14:paraId="050EC9FC" w14:textId="77777777" w:rsidR="00553F72" w:rsidRPr="00B8177D" w:rsidRDefault="00553F72" w:rsidP="00D34F97">
      <w:pPr>
        <w:pStyle w:val="Akapitzlist"/>
        <w:numPr>
          <w:ilvl w:val="0"/>
          <w:numId w:val="196"/>
        </w:numPr>
        <w:spacing w:after="120" w:line="300" w:lineRule="atLeast"/>
        <w:ind w:left="924" w:hanging="357"/>
        <w:contextualSpacing w:val="0"/>
        <w:jc w:val="both"/>
        <w:rPr>
          <w:rFonts w:eastAsia="Times New Roman"/>
          <w:sz w:val="24"/>
          <w:szCs w:val="24"/>
        </w:rPr>
      </w:pPr>
      <w:r w:rsidRPr="00B8177D">
        <w:rPr>
          <w:rFonts w:eastAsia="Times New Roman"/>
          <w:sz w:val="24"/>
          <w:szCs w:val="24"/>
          <w:lang w:val="pl-PL"/>
        </w:rPr>
        <w:lastRenderedPageBreak/>
        <w:t>6</w:t>
      </w:r>
      <w:r w:rsidRPr="00B8177D">
        <w:rPr>
          <w:rFonts w:eastAsia="Times New Roman"/>
          <w:sz w:val="24"/>
          <w:szCs w:val="24"/>
        </w:rPr>
        <w:t xml:space="preserve"> kontroli wykazało naruszenia w wyniku których może nastąpić lub nastąpiło zagrożenie lub zanieczyszczenie środowiska</w:t>
      </w:r>
      <w:r w:rsidRPr="00B8177D">
        <w:rPr>
          <w:rFonts w:eastAsia="Times New Roman"/>
          <w:sz w:val="24"/>
          <w:szCs w:val="24"/>
          <w:lang w:val="pl-PL"/>
        </w:rPr>
        <w:t>.</w:t>
      </w:r>
    </w:p>
    <w:p w14:paraId="236781B8" w14:textId="77777777" w:rsidR="00553F72" w:rsidRPr="00B8177D" w:rsidRDefault="00553F72" w:rsidP="00EB698C">
      <w:pPr>
        <w:spacing w:after="60" w:line="300" w:lineRule="atLeast"/>
        <w:jc w:val="both"/>
        <w:rPr>
          <w:rFonts w:ascii="Times New Roman" w:eastAsia="Times New Roman" w:hAnsi="Times New Roman" w:cs="Times New Roman"/>
          <w:sz w:val="24"/>
          <w:szCs w:val="24"/>
        </w:rPr>
      </w:pPr>
      <w:r w:rsidRPr="00B8177D">
        <w:rPr>
          <w:rFonts w:ascii="Times New Roman" w:eastAsia="Times New Roman" w:hAnsi="Times New Roman" w:cs="Times New Roman"/>
          <w:sz w:val="24"/>
          <w:szCs w:val="24"/>
        </w:rPr>
        <w:t>Stwierdzone naruszenia dotyczyły m.in.:</w:t>
      </w:r>
    </w:p>
    <w:p w14:paraId="54E83A06" w14:textId="77777777" w:rsidR="00553F72" w:rsidRPr="00B8177D" w:rsidRDefault="00553F72" w:rsidP="00D34F97">
      <w:pPr>
        <w:pStyle w:val="Akapitzlist"/>
        <w:numPr>
          <w:ilvl w:val="0"/>
          <w:numId w:val="197"/>
        </w:numPr>
        <w:spacing w:line="300" w:lineRule="atLeast"/>
        <w:ind w:left="924" w:hanging="357"/>
        <w:jc w:val="both"/>
        <w:rPr>
          <w:sz w:val="24"/>
          <w:szCs w:val="24"/>
        </w:rPr>
      </w:pPr>
      <w:r w:rsidRPr="00B8177D">
        <w:rPr>
          <w:sz w:val="24"/>
          <w:szCs w:val="24"/>
        </w:rPr>
        <w:t>przekroczenia dopuszczalnej ilości odcieków wprowadzonych do urządzeń kanalizacyjnych określonej w pozwoleniu wodnoprawnym</w:t>
      </w:r>
      <w:r w:rsidRPr="00B8177D">
        <w:rPr>
          <w:sz w:val="24"/>
          <w:szCs w:val="24"/>
          <w:lang w:val="pl-PL"/>
        </w:rPr>
        <w:t>,</w:t>
      </w:r>
    </w:p>
    <w:p w14:paraId="6C06CB46" w14:textId="77777777" w:rsidR="00553F72" w:rsidRPr="00B8177D" w:rsidRDefault="00553F72" w:rsidP="00D34F97">
      <w:pPr>
        <w:pStyle w:val="Akapitzlist"/>
        <w:numPr>
          <w:ilvl w:val="0"/>
          <w:numId w:val="197"/>
        </w:numPr>
        <w:spacing w:line="300" w:lineRule="atLeast"/>
        <w:ind w:left="924" w:hanging="357"/>
        <w:jc w:val="both"/>
        <w:rPr>
          <w:rFonts w:eastAsia="Times New Roman"/>
          <w:sz w:val="24"/>
          <w:szCs w:val="24"/>
        </w:rPr>
      </w:pPr>
      <w:r w:rsidRPr="00B8177D">
        <w:rPr>
          <w:rFonts w:eastAsia="Times New Roman"/>
          <w:sz w:val="24"/>
          <w:szCs w:val="24"/>
        </w:rPr>
        <w:t>nieprowadzenia ewidencji odpadów</w:t>
      </w:r>
      <w:r w:rsidRPr="00B8177D">
        <w:rPr>
          <w:rFonts w:eastAsia="Times New Roman"/>
          <w:sz w:val="24"/>
          <w:szCs w:val="24"/>
          <w:lang w:val="pl-PL"/>
        </w:rPr>
        <w:t>,</w:t>
      </w:r>
    </w:p>
    <w:p w14:paraId="5BB12720" w14:textId="77777777" w:rsidR="00553F72" w:rsidRPr="00B8177D" w:rsidRDefault="00553F72" w:rsidP="00D34F97">
      <w:pPr>
        <w:pStyle w:val="Akapitzlist"/>
        <w:numPr>
          <w:ilvl w:val="0"/>
          <w:numId w:val="197"/>
        </w:numPr>
        <w:spacing w:line="300" w:lineRule="atLeast"/>
        <w:ind w:left="924" w:hanging="357"/>
        <w:jc w:val="both"/>
        <w:rPr>
          <w:rFonts w:eastAsia="Times New Roman"/>
          <w:sz w:val="24"/>
          <w:szCs w:val="24"/>
        </w:rPr>
      </w:pPr>
      <w:r w:rsidRPr="00B8177D">
        <w:rPr>
          <w:rFonts w:eastAsia="Times New Roman"/>
          <w:sz w:val="24"/>
          <w:szCs w:val="24"/>
        </w:rPr>
        <w:t>przetwarzania odpadów niezgodnie z pozwoleniem zintegrowanym</w:t>
      </w:r>
      <w:r w:rsidRPr="00B8177D">
        <w:rPr>
          <w:rFonts w:eastAsia="Times New Roman"/>
          <w:sz w:val="24"/>
          <w:szCs w:val="24"/>
          <w:lang w:val="pl-PL"/>
        </w:rPr>
        <w:t>,</w:t>
      </w:r>
    </w:p>
    <w:p w14:paraId="3636E9A4" w14:textId="7C9DA025" w:rsidR="00553F72" w:rsidRPr="00B8177D" w:rsidRDefault="00553F72" w:rsidP="00D34F97">
      <w:pPr>
        <w:pStyle w:val="Akapitzlist"/>
        <w:numPr>
          <w:ilvl w:val="0"/>
          <w:numId w:val="197"/>
        </w:numPr>
        <w:spacing w:line="300" w:lineRule="atLeast"/>
        <w:ind w:left="924" w:hanging="357"/>
        <w:jc w:val="both"/>
        <w:rPr>
          <w:rFonts w:eastAsia="Times New Roman"/>
          <w:sz w:val="24"/>
          <w:szCs w:val="24"/>
        </w:rPr>
      </w:pPr>
      <w:r w:rsidRPr="00B8177D">
        <w:rPr>
          <w:rFonts w:eastAsia="Times New Roman"/>
          <w:sz w:val="24"/>
          <w:szCs w:val="24"/>
        </w:rPr>
        <w:t>niesprawdzan</w:t>
      </w:r>
      <w:r w:rsidRPr="00B8177D">
        <w:rPr>
          <w:rFonts w:eastAsia="Times New Roman"/>
          <w:sz w:val="24"/>
          <w:szCs w:val="24"/>
          <w:lang w:val="pl-PL"/>
        </w:rPr>
        <w:t>ia</w:t>
      </w:r>
      <w:r w:rsidRPr="00B8177D">
        <w:rPr>
          <w:rFonts w:eastAsia="Times New Roman"/>
          <w:sz w:val="24"/>
          <w:szCs w:val="24"/>
        </w:rPr>
        <w:t xml:space="preserve"> zgodności przyjmowanych odpadów z danymi zawartymi w karcie przekazania odpadów</w:t>
      </w:r>
      <w:r w:rsidR="00EB698C">
        <w:rPr>
          <w:rFonts w:eastAsia="Times New Roman"/>
          <w:sz w:val="24"/>
          <w:szCs w:val="24"/>
          <w:lang w:val="pl-PL"/>
        </w:rPr>
        <w:t>,</w:t>
      </w:r>
    </w:p>
    <w:p w14:paraId="73AE0B72" w14:textId="77777777" w:rsidR="00553F72" w:rsidRPr="003C3F9C" w:rsidRDefault="00553F72" w:rsidP="00D34F97">
      <w:pPr>
        <w:pStyle w:val="Akapitzlist"/>
        <w:numPr>
          <w:ilvl w:val="0"/>
          <w:numId w:val="198"/>
        </w:numPr>
        <w:spacing w:line="300" w:lineRule="atLeast"/>
        <w:ind w:left="924" w:hanging="357"/>
        <w:jc w:val="both"/>
        <w:rPr>
          <w:rFonts w:eastAsia="Times New Roman"/>
          <w:sz w:val="24"/>
          <w:szCs w:val="24"/>
        </w:rPr>
      </w:pPr>
      <w:r w:rsidRPr="00B8177D">
        <w:rPr>
          <w:rFonts w:eastAsia="Times New Roman"/>
          <w:sz w:val="24"/>
          <w:szCs w:val="24"/>
        </w:rPr>
        <w:t>przekroczeni</w:t>
      </w:r>
      <w:r w:rsidRPr="00B8177D">
        <w:rPr>
          <w:rFonts w:eastAsia="Times New Roman"/>
          <w:sz w:val="24"/>
          <w:szCs w:val="24"/>
          <w:lang w:val="pl-PL"/>
        </w:rPr>
        <w:t>a</w:t>
      </w:r>
      <w:r w:rsidRPr="00B8177D">
        <w:rPr>
          <w:rFonts w:eastAsia="Times New Roman"/>
          <w:sz w:val="24"/>
          <w:szCs w:val="24"/>
        </w:rPr>
        <w:t xml:space="preserve"> określonych w pozwoleniu wodnoprawnym dopuszczalnych stężeń cynku i azotu amonowego w ściekach przemysłowych wprowadzanych do urządzeń kanalizacyjnych będących własnością innych podmiotów</w:t>
      </w:r>
      <w:r>
        <w:rPr>
          <w:rFonts w:eastAsia="Times New Roman"/>
          <w:sz w:val="24"/>
          <w:szCs w:val="24"/>
          <w:lang w:val="pl-PL"/>
        </w:rPr>
        <w:t>,</w:t>
      </w:r>
    </w:p>
    <w:p w14:paraId="6B081216" w14:textId="77777777" w:rsidR="00553F72" w:rsidRPr="00553F72" w:rsidRDefault="00553F72" w:rsidP="00D34F97">
      <w:pPr>
        <w:pStyle w:val="Akapitzlist"/>
        <w:numPr>
          <w:ilvl w:val="0"/>
          <w:numId w:val="198"/>
        </w:numPr>
        <w:spacing w:line="300" w:lineRule="atLeast"/>
        <w:ind w:left="924" w:hanging="357"/>
        <w:jc w:val="both"/>
        <w:rPr>
          <w:rFonts w:eastAsia="Times New Roman"/>
          <w:sz w:val="24"/>
          <w:szCs w:val="24"/>
        </w:rPr>
      </w:pPr>
      <w:r w:rsidRPr="001A6D86">
        <w:rPr>
          <w:rFonts w:eastAsia="Times New Roman"/>
          <w:sz w:val="24"/>
          <w:szCs w:val="24"/>
        </w:rPr>
        <w:t>eksploatacj</w:t>
      </w:r>
      <w:r>
        <w:rPr>
          <w:rFonts w:eastAsia="Times New Roman"/>
          <w:sz w:val="24"/>
          <w:szCs w:val="24"/>
          <w:lang w:val="pl-PL"/>
        </w:rPr>
        <w:t>i</w:t>
      </w:r>
      <w:r w:rsidRPr="001A6D86">
        <w:rPr>
          <w:rFonts w:eastAsia="Times New Roman"/>
          <w:sz w:val="24"/>
          <w:szCs w:val="24"/>
        </w:rPr>
        <w:t xml:space="preserve"> składowiska odpadów innych niż niebezpieczne i obojętne z</w:t>
      </w:r>
      <w:r>
        <w:rPr>
          <w:rFonts w:eastAsia="Times New Roman"/>
          <w:sz w:val="24"/>
          <w:szCs w:val="24"/>
          <w:lang w:val="pl-PL"/>
        </w:rPr>
        <w:t> </w:t>
      </w:r>
      <w:r w:rsidRPr="001A6D86">
        <w:rPr>
          <w:rFonts w:eastAsia="Times New Roman"/>
          <w:sz w:val="24"/>
          <w:szCs w:val="24"/>
        </w:rPr>
        <w:t>naruszeniem warunków pozwolenia zintegrowanego</w:t>
      </w:r>
      <w:r>
        <w:rPr>
          <w:rFonts w:eastAsia="Times New Roman"/>
          <w:sz w:val="24"/>
          <w:szCs w:val="24"/>
          <w:lang w:val="pl-PL"/>
        </w:rPr>
        <w:t>,</w:t>
      </w:r>
    </w:p>
    <w:p w14:paraId="4A0D3F40" w14:textId="7FF01FFA" w:rsidR="00553F72" w:rsidRDefault="00553F72" w:rsidP="00D34F97">
      <w:pPr>
        <w:pStyle w:val="Akapitzlist"/>
        <w:numPr>
          <w:ilvl w:val="0"/>
          <w:numId w:val="198"/>
        </w:numPr>
        <w:spacing w:line="300" w:lineRule="atLeast"/>
        <w:ind w:left="924" w:hanging="357"/>
        <w:contextualSpacing w:val="0"/>
        <w:jc w:val="both"/>
        <w:rPr>
          <w:rFonts w:eastAsia="Times New Roman"/>
          <w:sz w:val="24"/>
          <w:szCs w:val="24"/>
        </w:rPr>
      </w:pPr>
      <w:r w:rsidRPr="00553F72">
        <w:rPr>
          <w:rFonts w:eastAsia="Times New Roman"/>
          <w:sz w:val="24"/>
          <w:szCs w:val="24"/>
          <w:lang w:val="pl-PL"/>
        </w:rPr>
        <w:t>b</w:t>
      </w:r>
      <w:r w:rsidRPr="00553F72">
        <w:rPr>
          <w:rFonts w:eastAsia="Times New Roman"/>
          <w:sz w:val="24"/>
          <w:szCs w:val="24"/>
        </w:rPr>
        <w:t>rak</w:t>
      </w:r>
      <w:r w:rsidRPr="00553F72">
        <w:rPr>
          <w:rFonts w:eastAsia="Times New Roman"/>
          <w:sz w:val="24"/>
          <w:szCs w:val="24"/>
          <w:lang w:val="pl-PL"/>
        </w:rPr>
        <w:t>u</w:t>
      </w:r>
      <w:r w:rsidRPr="00553F72">
        <w:rPr>
          <w:rFonts w:eastAsia="Times New Roman"/>
          <w:sz w:val="24"/>
          <w:szCs w:val="24"/>
        </w:rPr>
        <w:t xml:space="preserve"> pomiaru ilości ponadnormatywnego zrzutu ścieków oczyszczonych.</w:t>
      </w:r>
    </w:p>
    <w:p w14:paraId="31B9211E" w14:textId="6823FEF9" w:rsidR="00553F72" w:rsidRDefault="00553F72" w:rsidP="00A449AB">
      <w:pPr>
        <w:spacing w:after="0"/>
        <w:rPr>
          <w:rFonts w:ascii="Times New Roman" w:eastAsia="Times New Roman" w:hAnsi="Times New Roman" w:cs="Times New Roman"/>
          <w:b/>
          <w:bCs/>
          <w:sz w:val="24"/>
          <w:szCs w:val="24"/>
          <w:lang w:val="x-none" w:eastAsia="x-none"/>
        </w:rPr>
      </w:pPr>
    </w:p>
    <w:p w14:paraId="0A7C5BF6" w14:textId="77777777" w:rsidR="00C9272D" w:rsidRPr="00DC049C" w:rsidRDefault="00C9272D" w:rsidP="00C9272D">
      <w:pPr>
        <w:keepNext/>
        <w:spacing w:after="120" w:line="300" w:lineRule="atLeast"/>
        <w:outlineLvl w:val="0"/>
        <w:rPr>
          <w:rFonts w:ascii="Times New Roman" w:eastAsia="Times New Roman" w:hAnsi="Times New Roman" w:cs="Times New Roman"/>
          <w:b/>
          <w:bCs/>
          <w:sz w:val="24"/>
          <w:szCs w:val="24"/>
          <w:lang w:eastAsia="x-none"/>
        </w:rPr>
      </w:pPr>
      <w:bookmarkStart w:id="181" w:name="_Toc135935628"/>
      <w:r w:rsidRPr="007F400A">
        <w:rPr>
          <w:rFonts w:ascii="Times New Roman" w:eastAsia="Times New Roman" w:hAnsi="Times New Roman" w:cs="Times New Roman"/>
          <w:b/>
          <w:bCs/>
          <w:sz w:val="24"/>
          <w:szCs w:val="24"/>
          <w:lang w:val="x-none" w:eastAsia="x-none"/>
        </w:rPr>
        <w:t>3.</w:t>
      </w:r>
      <w:r>
        <w:rPr>
          <w:rFonts w:ascii="Times New Roman" w:eastAsia="Times New Roman" w:hAnsi="Times New Roman" w:cs="Times New Roman"/>
          <w:b/>
          <w:bCs/>
          <w:sz w:val="24"/>
          <w:szCs w:val="24"/>
          <w:lang w:eastAsia="x-none"/>
        </w:rPr>
        <w:t>5</w:t>
      </w:r>
      <w:r w:rsidRPr="007F400A">
        <w:rPr>
          <w:rFonts w:ascii="Times New Roman" w:eastAsia="Times New Roman" w:hAnsi="Times New Roman" w:cs="Times New Roman"/>
          <w:b/>
          <w:bCs/>
          <w:sz w:val="24"/>
          <w:szCs w:val="24"/>
          <w:lang w:val="x-none" w:eastAsia="x-none"/>
        </w:rPr>
        <w:t>.</w:t>
      </w:r>
      <w:r>
        <w:rPr>
          <w:rFonts w:ascii="Times New Roman" w:eastAsia="Times New Roman" w:hAnsi="Times New Roman" w:cs="Times New Roman"/>
          <w:b/>
          <w:bCs/>
          <w:sz w:val="24"/>
          <w:szCs w:val="24"/>
          <w:lang w:eastAsia="x-none"/>
        </w:rPr>
        <w:t xml:space="preserve"> Inne działania</w:t>
      </w:r>
      <w:bookmarkEnd w:id="181"/>
    </w:p>
    <w:p w14:paraId="30BB2551" w14:textId="40F5FA7A" w:rsidR="00895F16" w:rsidRPr="007F400A" w:rsidRDefault="00895F16" w:rsidP="00EB698C">
      <w:pPr>
        <w:keepNext/>
        <w:spacing w:after="120" w:line="300" w:lineRule="atLeast"/>
        <w:outlineLvl w:val="0"/>
        <w:rPr>
          <w:rFonts w:ascii="Times New Roman" w:eastAsia="Times New Roman" w:hAnsi="Times New Roman" w:cs="Times New Roman"/>
          <w:b/>
          <w:bCs/>
          <w:sz w:val="24"/>
          <w:szCs w:val="24"/>
          <w:lang w:val="x-none" w:eastAsia="x-none"/>
        </w:rPr>
      </w:pPr>
      <w:bookmarkStart w:id="182" w:name="_Toc5878568"/>
      <w:bookmarkStart w:id="183" w:name="_Toc36732591"/>
      <w:bookmarkStart w:id="184" w:name="_Toc135935629"/>
      <w:r w:rsidRPr="007F400A">
        <w:rPr>
          <w:rFonts w:ascii="Times New Roman" w:eastAsia="Times New Roman" w:hAnsi="Times New Roman" w:cs="Times New Roman"/>
          <w:b/>
          <w:bCs/>
          <w:sz w:val="24"/>
          <w:szCs w:val="24"/>
          <w:lang w:val="x-none" w:eastAsia="x-none"/>
        </w:rPr>
        <w:t>3.</w:t>
      </w:r>
      <w:r w:rsidR="00002EEF">
        <w:rPr>
          <w:rFonts w:ascii="Times New Roman" w:eastAsia="Times New Roman" w:hAnsi="Times New Roman" w:cs="Times New Roman"/>
          <w:b/>
          <w:bCs/>
          <w:sz w:val="24"/>
          <w:szCs w:val="24"/>
          <w:lang w:eastAsia="x-none"/>
        </w:rPr>
        <w:t>5</w:t>
      </w:r>
      <w:r w:rsidRPr="007F400A">
        <w:rPr>
          <w:rFonts w:ascii="Times New Roman" w:eastAsia="Times New Roman" w:hAnsi="Times New Roman" w:cs="Times New Roman"/>
          <w:b/>
          <w:bCs/>
          <w:sz w:val="24"/>
          <w:szCs w:val="24"/>
          <w:lang w:val="x-none" w:eastAsia="x-none"/>
        </w:rPr>
        <w:t>.1 Skargi</w:t>
      </w:r>
      <w:bookmarkEnd w:id="182"/>
      <w:bookmarkEnd w:id="183"/>
      <w:r w:rsidRPr="007F400A">
        <w:rPr>
          <w:rFonts w:ascii="Times New Roman" w:eastAsia="Times New Roman" w:hAnsi="Times New Roman" w:cs="Times New Roman"/>
          <w:b/>
          <w:bCs/>
          <w:sz w:val="24"/>
          <w:szCs w:val="24"/>
          <w:lang w:eastAsia="x-none"/>
        </w:rPr>
        <w:t xml:space="preserve"> i wnioski o podjęcie interwencji</w:t>
      </w:r>
      <w:bookmarkEnd w:id="184"/>
      <w:r w:rsidRPr="007F400A">
        <w:rPr>
          <w:rFonts w:ascii="Times New Roman" w:eastAsia="Times New Roman" w:hAnsi="Times New Roman" w:cs="Times New Roman"/>
          <w:b/>
          <w:bCs/>
          <w:sz w:val="24"/>
          <w:szCs w:val="24"/>
          <w:lang w:val="x-none" w:eastAsia="x-none"/>
        </w:rPr>
        <w:t xml:space="preserve"> </w:t>
      </w:r>
    </w:p>
    <w:p w14:paraId="36A83542" w14:textId="77777777" w:rsidR="00553F72" w:rsidRPr="00F751DC" w:rsidRDefault="00553F72" w:rsidP="00056EE7">
      <w:pPr>
        <w:pStyle w:val="Standard"/>
        <w:spacing w:line="300" w:lineRule="atLeast"/>
        <w:jc w:val="both"/>
      </w:pPr>
      <w:r w:rsidRPr="00F751DC">
        <w:t>Organy Inspekcji Ochrony Środowiska w 202</w:t>
      </w:r>
      <w:r>
        <w:t>2</w:t>
      </w:r>
      <w:r w:rsidRPr="00F751DC">
        <w:t xml:space="preserve"> r. rozpatrzyły łącznie </w:t>
      </w:r>
      <w:r>
        <w:t>549</w:t>
      </w:r>
      <w:r w:rsidRPr="00F751DC">
        <w:t xml:space="preserve"> skarg:</w:t>
      </w:r>
    </w:p>
    <w:p w14:paraId="6E0FED6E" w14:textId="77777777" w:rsidR="00553F72" w:rsidRPr="00F751DC" w:rsidRDefault="00553F72" w:rsidP="00056EE7">
      <w:pPr>
        <w:pStyle w:val="Standard"/>
        <w:numPr>
          <w:ilvl w:val="0"/>
          <w:numId w:val="6"/>
        </w:numPr>
        <w:spacing w:line="300" w:lineRule="atLeast"/>
        <w:jc w:val="both"/>
        <w:textAlignment w:val="auto"/>
      </w:pPr>
      <w:r w:rsidRPr="00F751DC">
        <w:t xml:space="preserve">Główny Inspektor Ochrony Środowiska rozpatrzył </w:t>
      </w:r>
      <w:r>
        <w:t>468</w:t>
      </w:r>
      <w:r w:rsidRPr="00F751DC">
        <w:t xml:space="preserve"> skarg, w tym:</w:t>
      </w:r>
    </w:p>
    <w:p w14:paraId="74148799" w14:textId="77777777" w:rsidR="00553F72" w:rsidRPr="00F751DC" w:rsidRDefault="00553F72" w:rsidP="00056EE7">
      <w:pPr>
        <w:pStyle w:val="Standard"/>
        <w:numPr>
          <w:ilvl w:val="0"/>
          <w:numId w:val="10"/>
        </w:numPr>
        <w:spacing w:line="300" w:lineRule="atLeast"/>
        <w:jc w:val="both"/>
        <w:textAlignment w:val="auto"/>
      </w:pPr>
      <w:r w:rsidRPr="00F751DC">
        <w:t>4</w:t>
      </w:r>
      <w:r>
        <w:t>50</w:t>
      </w:r>
      <w:r w:rsidRPr="00F751DC">
        <w:t xml:space="preserve"> we własnym zakresie,</w:t>
      </w:r>
    </w:p>
    <w:p w14:paraId="52A2F57D" w14:textId="77777777" w:rsidR="00553F72" w:rsidRPr="00F751DC" w:rsidRDefault="00553F72" w:rsidP="00056EE7">
      <w:pPr>
        <w:pStyle w:val="Standard"/>
        <w:numPr>
          <w:ilvl w:val="0"/>
          <w:numId w:val="10"/>
        </w:numPr>
        <w:spacing w:line="300" w:lineRule="atLeast"/>
        <w:jc w:val="both"/>
        <w:textAlignment w:val="auto"/>
      </w:pPr>
      <w:r>
        <w:t>18</w:t>
      </w:r>
      <w:r w:rsidRPr="00F751DC">
        <w:t xml:space="preserve"> przekazał zgodnie z właściwością.</w:t>
      </w:r>
    </w:p>
    <w:p w14:paraId="50B08E75" w14:textId="77777777" w:rsidR="00553F72" w:rsidRPr="00F751DC" w:rsidRDefault="00553F72" w:rsidP="00056EE7">
      <w:pPr>
        <w:pStyle w:val="Standard"/>
        <w:numPr>
          <w:ilvl w:val="0"/>
          <w:numId w:val="7"/>
        </w:numPr>
        <w:spacing w:line="300" w:lineRule="atLeast"/>
        <w:jc w:val="both"/>
        <w:textAlignment w:val="auto"/>
      </w:pPr>
      <w:r w:rsidRPr="00F751DC">
        <w:t xml:space="preserve">Wojewódzcy inspektorzy ochrony środowiska rozpatrzyli </w:t>
      </w:r>
      <w:r>
        <w:t>81</w:t>
      </w:r>
      <w:r w:rsidRPr="00F751DC">
        <w:t xml:space="preserve"> skarg, w tym:</w:t>
      </w:r>
    </w:p>
    <w:p w14:paraId="2055F460" w14:textId="77777777" w:rsidR="00553F72" w:rsidRPr="00F751DC" w:rsidRDefault="00553F72" w:rsidP="00056EE7">
      <w:pPr>
        <w:pStyle w:val="Standard"/>
        <w:numPr>
          <w:ilvl w:val="0"/>
          <w:numId w:val="11"/>
        </w:numPr>
        <w:spacing w:line="300" w:lineRule="atLeast"/>
        <w:jc w:val="both"/>
        <w:textAlignment w:val="auto"/>
      </w:pPr>
      <w:r>
        <w:t xml:space="preserve">11 </w:t>
      </w:r>
      <w:r w:rsidRPr="00F751DC">
        <w:t>we własnym zakresie,</w:t>
      </w:r>
    </w:p>
    <w:p w14:paraId="1C8CC07F" w14:textId="77777777" w:rsidR="00553F72" w:rsidRPr="00F751DC" w:rsidRDefault="00553F72" w:rsidP="00056EE7">
      <w:pPr>
        <w:pStyle w:val="Standard"/>
        <w:numPr>
          <w:ilvl w:val="0"/>
          <w:numId w:val="11"/>
        </w:numPr>
        <w:spacing w:line="300" w:lineRule="atLeast"/>
        <w:jc w:val="both"/>
        <w:textAlignment w:val="auto"/>
      </w:pPr>
      <w:r>
        <w:t>70</w:t>
      </w:r>
      <w:r w:rsidRPr="00F751DC">
        <w:t xml:space="preserve"> przekazali zgodnie z właściwością.</w:t>
      </w:r>
    </w:p>
    <w:p w14:paraId="5EC195C3" w14:textId="77777777" w:rsidR="00553F72" w:rsidRPr="00F751DC" w:rsidRDefault="00553F72" w:rsidP="00EB698C">
      <w:pPr>
        <w:pStyle w:val="Standard"/>
        <w:spacing w:line="300" w:lineRule="atLeast"/>
        <w:ind w:firstLine="567"/>
        <w:jc w:val="both"/>
      </w:pPr>
      <w:r w:rsidRPr="00F751DC">
        <w:t xml:space="preserve">Wśród </w:t>
      </w:r>
      <w:r>
        <w:t>468</w:t>
      </w:r>
      <w:r w:rsidRPr="00F751DC">
        <w:rPr>
          <w:b/>
          <w:bCs/>
        </w:rPr>
        <w:t xml:space="preserve"> </w:t>
      </w:r>
      <w:r w:rsidRPr="00F751DC">
        <w:t>skarg rozpatrzonych przez Główn</w:t>
      </w:r>
      <w:r>
        <w:t>ego</w:t>
      </w:r>
      <w:r w:rsidRPr="00F751DC">
        <w:t xml:space="preserve"> Inspektora Ochrony Środowiska w 202</w:t>
      </w:r>
      <w:r>
        <w:t>2</w:t>
      </w:r>
      <w:r w:rsidRPr="00F751DC">
        <w:t xml:space="preserve"> r. było: </w:t>
      </w:r>
      <w:r>
        <w:t xml:space="preserve">401 </w:t>
      </w:r>
      <w:r w:rsidRPr="00F751DC">
        <w:t xml:space="preserve">skarg na działalność wojewódzkich inspektorów ochrony środowiska, </w:t>
      </w:r>
      <w:r>
        <w:t>2</w:t>
      </w:r>
      <w:r w:rsidRPr="00F751DC">
        <w:t> skarg</w:t>
      </w:r>
      <w:r>
        <w:t>i</w:t>
      </w:r>
      <w:r w:rsidRPr="00F751DC">
        <w:t xml:space="preserve"> na nienależyte wykonanie zadań kontrolnych przez pracowników wojewódzkich inspektoratów ochrony środowiska, </w:t>
      </w:r>
      <w:r>
        <w:t>46</w:t>
      </w:r>
      <w:r w:rsidRPr="00F751DC">
        <w:t xml:space="preserve"> skarg na sposób rozpatrzenia lub nierozpatrzenie w terminie przez Głównego Inspektora Ochrony Środowiska skarg na działalność wojewódzkich inspektorów ochrony środowiska oraz </w:t>
      </w:r>
      <w:r>
        <w:t>19</w:t>
      </w:r>
      <w:r w:rsidRPr="00F751DC">
        <w:t xml:space="preserve"> skarg na działalność organów ochrony środowiska lub organów innych inspekcji niż Inspekcja Ochrony Środowiska. </w:t>
      </w:r>
    </w:p>
    <w:p w14:paraId="439B3A93" w14:textId="183A79B8" w:rsidR="00553F72" w:rsidRPr="0063051D" w:rsidRDefault="00553F72" w:rsidP="00EB698C">
      <w:pPr>
        <w:suppressAutoHyphens/>
        <w:spacing w:after="0" w:line="300" w:lineRule="atLeast"/>
        <w:ind w:firstLine="567"/>
        <w:jc w:val="both"/>
        <w:rPr>
          <w:rFonts w:ascii="Times New Roman" w:hAnsi="Times New Roman"/>
          <w:sz w:val="24"/>
          <w:szCs w:val="24"/>
          <w:lang w:eastAsia="ar-SA"/>
        </w:rPr>
      </w:pPr>
      <w:r w:rsidRPr="00F751DC">
        <w:rPr>
          <w:rFonts w:ascii="Times New Roman" w:hAnsi="Times New Roman"/>
          <w:sz w:val="24"/>
          <w:szCs w:val="24"/>
        </w:rPr>
        <w:t xml:space="preserve">Zarzuty podnoszone przez skarżących na działalność wojewódzkich inspektorów ochrony środowiska w </w:t>
      </w:r>
      <w:r>
        <w:rPr>
          <w:rFonts w:ascii="Times New Roman" w:hAnsi="Times New Roman"/>
          <w:sz w:val="24"/>
          <w:szCs w:val="24"/>
        </w:rPr>
        <w:t>56</w:t>
      </w:r>
      <w:r w:rsidRPr="00F751DC">
        <w:rPr>
          <w:rFonts w:ascii="Times New Roman" w:hAnsi="Times New Roman"/>
          <w:sz w:val="24"/>
          <w:szCs w:val="24"/>
        </w:rPr>
        <w:t>% skarg (22</w:t>
      </w:r>
      <w:r>
        <w:rPr>
          <w:rFonts w:ascii="Times New Roman" w:hAnsi="Times New Roman"/>
          <w:sz w:val="24"/>
          <w:szCs w:val="24"/>
        </w:rPr>
        <w:t>5</w:t>
      </w:r>
      <w:r w:rsidRPr="00F751DC">
        <w:rPr>
          <w:rFonts w:ascii="Times New Roman" w:hAnsi="Times New Roman"/>
          <w:sz w:val="24"/>
          <w:szCs w:val="24"/>
        </w:rPr>
        <w:t xml:space="preserve">) nie potwierdziły się. </w:t>
      </w:r>
      <w:r>
        <w:rPr>
          <w:rFonts w:ascii="Times New Roman" w:hAnsi="Times New Roman"/>
          <w:sz w:val="24"/>
          <w:szCs w:val="24"/>
        </w:rPr>
        <w:t>23 skargi (6</w:t>
      </w:r>
      <w:r w:rsidRPr="00F751DC">
        <w:rPr>
          <w:rFonts w:ascii="Times New Roman" w:hAnsi="Times New Roman"/>
          <w:sz w:val="24"/>
          <w:szCs w:val="24"/>
        </w:rPr>
        <w:t>%</w:t>
      </w:r>
      <w:r>
        <w:rPr>
          <w:rFonts w:ascii="Times New Roman" w:hAnsi="Times New Roman"/>
          <w:sz w:val="24"/>
          <w:szCs w:val="24"/>
        </w:rPr>
        <w:t>)</w:t>
      </w:r>
      <w:r w:rsidRPr="00F751DC">
        <w:rPr>
          <w:rFonts w:ascii="Times New Roman" w:hAnsi="Times New Roman"/>
          <w:sz w:val="24"/>
          <w:szCs w:val="24"/>
        </w:rPr>
        <w:t xml:space="preserve"> został</w:t>
      </w:r>
      <w:r>
        <w:rPr>
          <w:rFonts w:ascii="Times New Roman" w:hAnsi="Times New Roman"/>
          <w:sz w:val="24"/>
          <w:szCs w:val="24"/>
        </w:rPr>
        <w:t>y</w:t>
      </w:r>
      <w:r w:rsidRPr="00F751DC">
        <w:rPr>
          <w:rFonts w:ascii="Times New Roman" w:hAnsi="Times New Roman"/>
          <w:sz w:val="24"/>
          <w:szCs w:val="24"/>
        </w:rPr>
        <w:t xml:space="preserve"> uznane za</w:t>
      </w:r>
      <w:r>
        <w:rPr>
          <w:rFonts w:ascii="Times New Roman" w:hAnsi="Times New Roman"/>
          <w:sz w:val="24"/>
          <w:szCs w:val="24"/>
        </w:rPr>
        <w:t> </w:t>
      </w:r>
      <w:r w:rsidRPr="00F751DC">
        <w:rPr>
          <w:rFonts w:ascii="Times New Roman" w:hAnsi="Times New Roman"/>
          <w:sz w:val="24"/>
          <w:szCs w:val="24"/>
        </w:rPr>
        <w:t xml:space="preserve">zasadne, zaś sposób załatwienia </w:t>
      </w:r>
      <w:r>
        <w:rPr>
          <w:rFonts w:ascii="Times New Roman" w:hAnsi="Times New Roman"/>
          <w:sz w:val="24"/>
          <w:szCs w:val="24"/>
        </w:rPr>
        <w:t>76 skarg (19</w:t>
      </w:r>
      <w:r w:rsidRPr="00F751DC">
        <w:rPr>
          <w:rFonts w:ascii="Times New Roman" w:hAnsi="Times New Roman"/>
          <w:sz w:val="24"/>
          <w:szCs w:val="24"/>
        </w:rPr>
        <w:t>%</w:t>
      </w:r>
      <w:r>
        <w:rPr>
          <w:rFonts w:ascii="Times New Roman" w:hAnsi="Times New Roman"/>
          <w:sz w:val="24"/>
          <w:szCs w:val="24"/>
        </w:rPr>
        <w:t>)</w:t>
      </w:r>
      <w:r w:rsidRPr="00F751DC">
        <w:rPr>
          <w:rFonts w:ascii="Times New Roman" w:hAnsi="Times New Roman"/>
          <w:sz w:val="24"/>
          <w:szCs w:val="24"/>
        </w:rPr>
        <w:t xml:space="preserve"> zakwalifikowano jako inny</w:t>
      </w:r>
      <w:r w:rsidR="00EB698C">
        <w:rPr>
          <w:rFonts w:ascii="Times New Roman" w:hAnsi="Times New Roman"/>
          <w:sz w:val="24"/>
          <w:szCs w:val="24"/>
        </w:rPr>
        <w:t>,</w:t>
      </w:r>
      <w:r w:rsidRPr="00F751DC">
        <w:rPr>
          <w:rFonts w:ascii="Times New Roman" w:hAnsi="Times New Roman"/>
          <w:sz w:val="24"/>
          <w:szCs w:val="24"/>
        </w:rPr>
        <w:t xml:space="preserve"> tj. nie dający się jednoznacznie </w:t>
      </w:r>
      <w:r w:rsidRPr="00EF50AD">
        <w:rPr>
          <w:rFonts w:ascii="Times New Roman" w:hAnsi="Times New Roman"/>
          <w:sz w:val="24"/>
          <w:szCs w:val="24"/>
        </w:rPr>
        <w:t xml:space="preserve">zdefiniować jako pozytywny ani negatywny. </w:t>
      </w:r>
      <w:r w:rsidRPr="00EF50AD">
        <w:rPr>
          <w:rFonts w:ascii="Times New Roman" w:hAnsi="Times New Roman"/>
          <w:sz w:val="24"/>
          <w:szCs w:val="24"/>
          <w:lang w:eastAsia="ar-SA"/>
        </w:rPr>
        <w:t xml:space="preserve">W przypadkach uznania zarzutów skarżących za zasadne Główny Inspektor Ochrony Środowiska skierował stosowne wystąpienia do </w:t>
      </w:r>
      <w:r w:rsidRPr="00EF50AD">
        <w:rPr>
          <w:rFonts w:ascii="Times New Roman" w:hAnsi="Times New Roman"/>
          <w:sz w:val="24"/>
          <w:szCs w:val="24"/>
        </w:rPr>
        <w:t>wojewódzkich inspektorów ochrony środowiska</w:t>
      </w:r>
      <w:r w:rsidRPr="00EF50AD">
        <w:rPr>
          <w:rFonts w:ascii="Times New Roman" w:hAnsi="Times New Roman"/>
          <w:sz w:val="24"/>
          <w:szCs w:val="24"/>
          <w:lang w:eastAsia="ar-SA"/>
        </w:rPr>
        <w:t xml:space="preserve"> o podjęcie działań zapobiegawczych w celu uniknięcia podobnych nieprawidłowości w przyszłości lub przedstawił wytyczne z przeglądu przeprowadzonych czynności kontrolnych</w:t>
      </w:r>
      <w:r w:rsidRPr="00F751DC">
        <w:rPr>
          <w:rFonts w:ascii="Times New Roman" w:hAnsi="Times New Roman"/>
          <w:sz w:val="24"/>
          <w:szCs w:val="24"/>
          <w:lang w:eastAsia="ar-SA"/>
        </w:rPr>
        <w:t xml:space="preserve"> do uwzględnienia w ramach kolejnych kontroli podmiotu korzystającego ze środowiska. </w:t>
      </w:r>
      <w:r>
        <w:rPr>
          <w:rFonts w:ascii="Times New Roman" w:hAnsi="Times New Roman"/>
          <w:sz w:val="24"/>
          <w:szCs w:val="24"/>
          <w:lang w:eastAsia="ar-SA"/>
        </w:rPr>
        <w:t>77 (19%)</w:t>
      </w:r>
      <w:r w:rsidRPr="00F751DC">
        <w:rPr>
          <w:rFonts w:ascii="Times New Roman" w:hAnsi="Times New Roman"/>
          <w:sz w:val="24"/>
          <w:szCs w:val="24"/>
          <w:lang w:eastAsia="ar-SA"/>
        </w:rPr>
        <w:t xml:space="preserve"> skarg przyjęto do wiadomości do akt sprawy</w:t>
      </w:r>
      <w:r w:rsidR="00EB698C">
        <w:rPr>
          <w:rFonts w:ascii="Times New Roman" w:hAnsi="Times New Roman"/>
          <w:sz w:val="24"/>
          <w:szCs w:val="24"/>
          <w:lang w:eastAsia="ar-SA"/>
        </w:rPr>
        <w:t>,</w:t>
      </w:r>
      <w:r>
        <w:rPr>
          <w:rFonts w:ascii="Times New Roman" w:hAnsi="Times New Roman"/>
          <w:sz w:val="24"/>
          <w:szCs w:val="24"/>
          <w:lang w:eastAsia="ar-SA"/>
        </w:rPr>
        <w:t xml:space="preserve"> m.in.</w:t>
      </w:r>
      <w:r w:rsidRPr="00F751DC">
        <w:rPr>
          <w:rFonts w:ascii="Times New Roman" w:hAnsi="Times New Roman"/>
          <w:sz w:val="24"/>
          <w:szCs w:val="24"/>
          <w:lang w:eastAsia="ar-SA"/>
        </w:rPr>
        <w:t xml:space="preserve"> ze</w:t>
      </w:r>
      <w:r>
        <w:rPr>
          <w:rFonts w:ascii="Times New Roman" w:hAnsi="Times New Roman"/>
          <w:sz w:val="24"/>
          <w:szCs w:val="24"/>
          <w:lang w:eastAsia="ar-SA"/>
        </w:rPr>
        <w:t> </w:t>
      </w:r>
      <w:r w:rsidRPr="00F751DC">
        <w:rPr>
          <w:rFonts w:ascii="Times New Roman" w:hAnsi="Times New Roman"/>
          <w:sz w:val="24"/>
          <w:szCs w:val="24"/>
          <w:lang w:eastAsia="ar-SA"/>
        </w:rPr>
        <w:t xml:space="preserve">względu na ponowienie przez skarżących skargi uznanej poprzednio przez </w:t>
      </w:r>
      <w:r w:rsidRPr="00F751DC">
        <w:rPr>
          <w:rFonts w:ascii="Times New Roman" w:hAnsi="Times New Roman"/>
          <w:sz w:val="24"/>
          <w:szCs w:val="24"/>
        </w:rPr>
        <w:t>Głównego Inspektora Ochrony Środowiska</w:t>
      </w:r>
      <w:r w:rsidRPr="00F751DC">
        <w:rPr>
          <w:rFonts w:ascii="Times New Roman" w:hAnsi="Times New Roman"/>
          <w:sz w:val="24"/>
          <w:szCs w:val="24"/>
          <w:lang w:eastAsia="ar-SA"/>
        </w:rPr>
        <w:t xml:space="preserve"> za bezzasadną, bez wskazania nowych okoliczności sprawy</w:t>
      </w:r>
      <w:bookmarkStart w:id="185" w:name="_Hlk126651855"/>
      <w:r>
        <w:rPr>
          <w:rFonts w:ascii="Times New Roman" w:hAnsi="Times New Roman"/>
          <w:sz w:val="24"/>
          <w:szCs w:val="24"/>
          <w:lang w:eastAsia="ar-SA"/>
        </w:rPr>
        <w:t xml:space="preserve"> lub </w:t>
      </w:r>
      <w:r w:rsidRPr="0063051D">
        <w:rPr>
          <w:rFonts w:ascii="Times New Roman" w:hAnsi="Times New Roman"/>
          <w:sz w:val="24"/>
          <w:szCs w:val="24"/>
          <w:lang w:eastAsia="ar-SA"/>
        </w:rPr>
        <w:t>z uwagi na brak uzupełnienia braków formalnych w ska</w:t>
      </w:r>
      <w:bookmarkEnd w:id="185"/>
      <w:r>
        <w:rPr>
          <w:rFonts w:ascii="Times New Roman" w:hAnsi="Times New Roman"/>
          <w:sz w:val="24"/>
          <w:szCs w:val="24"/>
          <w:lang w:eastAsia="ar-SA"/>
        </w:rPr>
        <w:t>rdze.</w:t>
      </w:r>
    </w:p>
    <w:p w14:paraId="3522DFFC" w14:textId="3EF5DF4F" w:rsidR="00553F72" w:rsidRPr="00D30368" w:rsidRDefault="00553F72" w:rsidP="00EB698C">
      <w:pPr>
        <w:pStyle w:val="Standard"/>
        <w:spacing w:before="120" w:after="60" w:line="300" w:lineRule="atLeast"/>
        <w:ind w:firstLine="567"/>
        <w:jc w:val="both"/>
      </w:pPr>
      <w:r w:rsidRPr="00D30368">
        <w:lastRenderedPageBreak/>
        <w:t>W 202</w:t>
      </w:r>
      <w:r>
        <w:t>2</w:t>
      </w:r>
      <w:r w:rsidRPr="00D30368">
        <w:t xml:space="preserve"> r. organy Inspekcji Ochrony Środowiska rozpatrzyły łącznie </w:t>
      </w:r>
      <w:r>
        <w:t>18</w:t>
      </w:r>
      <w:r w:rsidR="00EB698C">
        <w:t xml:space="preserve"> </w:t>
      </w:r>
      <w:r>
        <w:t>130</w:t>
      </w:r>
      <w:r w:rsidRPr="00D30368">
        <w:t xml:space="preserve"> wniosków o podjęcie interwencji:</w:t>
      </w:r>
    </w:p>
    <w:p w14:paraId="15F7A46F" w14:textId="3B598259" w:rsidR="00553F72" w:rsidRPr="00D30368" w:rsidRDefault="00553F72" w:rsidP="00056EE7">
      <w:pPr>
        <w:pStyle w:val="Standard"/>
        <w:numPr>
          <w:ilvl w:val="0"/>
          <w:numId w:val="8"/>
        </w:numPr>
        <w:spacing w:line="300" w:lineRule="atLeast"/>
        <w:jc w:val="both"/>
        <w:textAlignment w:val="auto"/>
      </w:pPr>
      <w:r w:rsidRPr="00D30368">
        <w:t xml:space="preserve">Główny Inspektor Ochrony Środowiska rozpatrzył </w:t>
      </w:r>
      <w:r>
        <w:t>4</w:t>
      </w:r>
      <w:r w:rsidR="00EB698C">
        <w:t xml:space="preserve"> </w:t>
      </w:r>
      <w:r>
        <w:t xml:space="preserve">284 </w:t>
      </w:r>
      <w:r w:rsidRPr="00D30368">
        <w:t>wniosk</w:t>
      </w:r>
      <w:r>
        <w:t>i</w:t>
      </w:r>
      <w:r w:rsidRPr="00D30368">
        <w:t>, w tym:</w:t>
      </w:r>
    </w:p>
    <w:p w14:paraId="586C00A7" w14:textId="77777777" w:rsidR="00553F72" w:rsidRPr="00D30368" w:rsidRDefault="00553F72" w:rsidP="00056EE7">
      <w:pPr>
        <w:pStyle w:val="Standard"/>
        <w:numPr>
          <w:ilvl w:val="0"/>
          <w:numId w:val="12"/>
        </w:numPr>
        <w:spacing w:line="300" w:lineRule="atLeast"/>
        <w:jc w:val="both"/>
        <w:textAlignment w:val="auto"/>
      </w:pPr>
      <w:r>
        <w:t>557</w:t>
      </w:r>
      <w:r w:rsidRPr="00D30368">
        <w:t xml:space="preserve"> we własnym zakresie</w:t>
      </w:r>
      <w:r w:rsidRPr="00D30368">
        <w:rPr>
          <w:b/>
          <w:bCs/>
        </w:rPr>
        <w:t>,</w:t>
      </w:r>
    </w:p>
    <w:p w14:paraId="4261E7B3" w14:textId="73EA527E" w:rsidR="00553F72" w:rsidRPr="00D30368" w:rsidRDefault="00553F72" w:rsidP="00056EE7">
      <w:pPr>
        <w:pStyle w:val="Standard"/>
        <w:numPr>
          <w:ilvl w:val="0"/>
          <w:numId w:val="12"/>
        </w:numPr>
        <w:spacing w:line="300" w:lineRule="atLeast"/>
        <w:jc w:val="both"/>
        <w:textAlignment w:val="auto"/>
      </w:pPr>
      <w:r>
        <w:t>3</w:t>
      </w:r>
      <w:r w:rsidR="00EB698C">
        <w:t xml:space="preserve"> </w:t>
      </w:r>
      <w:r>
        <w:t>727</w:t>
      </w:r>
      <w:r w:rsidRPr="00D30368">
        <w:t xml:space="preserve"> przekazał zgodnie z właściwością,  </w:t>
      </w:r>
    </w:p>
    <w:p w14:paraId="4102A07C" w14:textId="7F6B9485" w:rsidR="00553F72" w:rsidRPr="00D30368" w:rsidRDefault="00553F72" w:rsidP="00056EE7">
      <w:pPr>
        <w:pStyle w:val="Standard"/>
        <w:numPr>
          <w:ilvl w:val="0"/>
          <w:numId w:val="9"/>
        </w:numPr>
        <w:spacing w:line="300" w:lineRule="atLeast"/>
        <w:jc w:val="both"/>
        <w:textAlignment w:val="auto"/>
      </w:pPr>
      <w:r w:rsidRPr="00D30368">
        <w:t xml:space="preserve">Wojewódzcy inspektorzy ochrony środowiska rozpatrzyli </w:t>
      </w:r>
      <w:r>
        <w:t>13</w:t>
      </w:r>
      <w:r w:rsidR="00EB698C">
        <w:t xml:space="preserve"> </w:t>
      </w:r>
      <w:r>
        <w:t>846</w:t>
      </w:r>
      <w:r w:rsidRPr="00D30368">
        <w:t xml:space="preserve"> wniosk</w:t>
      </w:r>
      <w:r>
        <w:t>ów</w:t>
      </w:r>
      <w:r w:rsidRPr="00D30368">
        <w:t>, w tym:</w:t>
      </w:r>
    </w:p>
    <w:p w14:paraId="1CD38273" w14:textId="5D2DB01F" w:rsidR="00553F72" w:rsidRPr="00D30368" w:rsidRDefault="00553F72" w:rsidP="00056EE7">
      <w:pPr>
        <w:pStyle w:val="Standard"/>
        <w:numPr>
          <w:ilvl w:val="0"/>
          <w:numId w:val="13"/>
        </w:numPr>
        <w:spacing w:line="300" w:lineRule="atLeast"/>
        <w:jc w:val="both"/>
        <w:textAlignment w:val="auto"/>
      </w:pPr>
      <w:r>
        <w:t>10</w:t>
      </w:r>
      <w:r w:rsidR="00EB698C">
        <w:t xml:space="preserve"> </w:t>
      </w:r>
      <w:r>
        <w:t>177</w:t>
      </w:r>
      <w:r w:rsidRPr="00D30368">
        <w:t xml:space="preserve"> we własnym zakresie,</w:t>
      </w:r>
    </w:p>
    <w:p w14:paraId="7940419A" w14:textId="3CCA6E34" w:rsidR="00553F72" w:rsidRPr="00D30368" w:rsidRDefault="00553F72" w:rsidP="00056EE7">
      <w:pPr>
        <w:pStyle w:val="Standard"/>
        <w:numPr>
          <w:ilvl w:val="0"/>
          <w:numId w:val="13"/>
        </w:numPr>
        <w:spacing w:line="300" w:lineRule="atLeast"/>
        <w:jc w:val="both"/>
        <w:textAlignment w:val="auto"/>
      </w:pPr>
      <w:r>
        <w:t>3</w:t>
      </w:r>
      <w:r w:rsidR="00EB698C">
        <w:t xml:space="preserve"> </w:t>
      </w:r>
      <w:r>
        <w:t>669</w:t>
      </w:r>
      <w:r w:rsidRPr="00D30368">
        <w:t xml:space="preserve"> przekazali zgodnie z właściwością.</w:t>
      </w:r>
    </w:p>
    <w:p w14:paraId="3121AA41" w14:textId="1459E127" w:rsidR="00553F72" w:rsidRPr="00D30368" w:rsidRDefault="00553F72" w:rsidP="00EB698C">
      <w:pPr>
        <w:spacing w:after="120" w:line="300" w:lineRule="atLeast"/>
        <w:ind w:firstLine="567"/>
        <w:jc w:val="both"/>
        <w:rPr>
          <w:rFonts w:ascii="Times New Roman" w:eastAsia="Times New Roman" w:hAnsi="Times New Roman"/>
          <w:color w:val="000000"/>
          <w:sz w:val="24"/>
          <w:szCs w:val="24"/>
          <w:lang w:eastAsia="pl-PL"/>
        </w:rPr>
      </w:pPr>
      <w:r w:rsidRPr="00D30368">
        <w:rPr>
          <w:rFonts w:ascii="Times New Roman" w:hAnsi="Times New Roman"/>
          <w:sz w:val="24"/>
          <w:szCs w:val="24"/>
        </w:rPr>
        <w:t xml:space="preserve">Rozpatrywane </w:t>
      </w:r>
      <w:r>
        <w:rPr>
          <w:rFonts w:ascii="Times New Roman" w:hAnsi="Times New Roman"/>
          <w:sz w:val="24"/>
          <w:szCs w:val="24"/>
        </w:rPr>
        <w:t>skargi i wnioski</w:t>
      </w:r>
      <w:r w:rsidRPr="00D30368">
        <w:rPr>
          <w:rFonts w:ascii="Times New Roman" w:hAnsi="Times New Roman"/>
          <w:sz w:val="24"/>
          <w:szCs w:val="24"/>
        </w:rPr>
        <w:t xml:space="preserve"> dotyczyły: gospodarki odpadami (</w:t>
      </w:r>
      <w:r>
        <w:rPr>
          <w:rFonts w:ascii="Times New Roman" w:hAnsi="Times New Roman"/>
          <w:sz w:val="24"/>
          <w:szCs w:val="24"/>
        </w:rPr>
        <w:t>6</w:t>
      </w:r>
      <w:r w:rsidR="00EB698C">
        <w:rPr>
          <w:rFonts w:ascii="Times New Roman" w:hAnsi="Times New Roman"/>
          <w:sz w:val="24"/>
          <w:szCs w:val="24"/>
        </w:rPr>
        <w:t xml:space="preserve"> </w:t>
      </w:r>
      <w:r>
        <w:rPr>
          <w:rFonts w:ascii="Times New Roman" w:hAnsi="Times New Roman"/>
          <w:sz w:val="24"/>
          <w:szCs w:val="24"/>
        </w:rPr>
        <w:t>455</w:t>
      </w:r>
      <w:r w:rsidRPr="00D30368">
        <w:rPr>
          <w:rFonts w:ascii="Times New Roman" w:hAnsi="Times New Roman"/>
          <w:sz w:val="24"/>
          <w:szCs w:val="24"/>
        </w:rPr>
        <w:t>), ochrony powietrza (</w:t>
      </w:r>
      <w:r>
        <w:rPr>
          <w:rFonts w:ascii="Times New Roman" w:hAnsi="Times New Roman"/>
          <w:sz w:val="24"/>
          <w:szCs w:val="24"/>
        </w:rPr>
        <w:t>4</w:t>
      </w:r>
      <w:r w:rsidR="00EB698C">
        <w:rPr>
          <w:rFonts w:ascii="Times New Roman" w:hAnsi="Times New Roman"/>
          <w:sz w:val="24"/>
          <w:szCs w:val="24"/>
        </w:rPr>
        <w:t xml:space="preserve"> </w:t>
      </w:r>
      <w:r>
        <w:rPr>
          <w:rFonts w:ascii="Times New Roman" w:hAnsi="Times New Roman"/>
          <w:sz w:val="24"/>
          <w:szCs w:val="24"/>
        </w:rPr>
        <w:t>200</w:t>
      </w:r>
      <w:r w:rsidRPr="00D30368">
        <w:rPr>
          <w:rFonts w:ascii="Times New Roman" w:hAnsi="Times New Roman"/>
          <w:sz w:val="24"/>
          <w:szCs w:val="24"/>
        </w:rPr>
        <w:t>), ochrony wód i gospodarki ściekowej (</w:t>
      </w:r>
      <w:r>
        <w:rPr>
          <w:rFonts w:ascii="Times New Roman" w:hAnsi="Times New Roman"/>
          <w:sz w:val="24"/>
          <w:szCs w:val="24"/>
        </w:rPr>
        <w:t>3</w:t>
      </w:r>
      <w:r w:rsidR="00EB698C">
        <w:rPr>
          <w:rFonts w:ascii="Times New Roman" w:hAnsi="Times New Roman"/>
          <w:sz w:val="24"/>
          <w:szCs w:val="24"/>
        </w:rPr>
        <w:t xml:space="preserve"> </w:t>
      </w:r>
      <w:r>
        <w:rPr>
          <w:rFonts w:ascii="Times New Roman" w:hAnsi="Times New Roman"/>
          <w:sz w:val="24"/>
          <w:szCs w:val="24"/>
        </w:rPr>
        <w:t>816</w:t>
      </w:r>
      <w:r w:rsidRPr="00D30368">
        <w:rPr>
          <w:rFonts w:ascii="Times New Roman" w:hAnsi="Times New Roman"/>
          <w:sz w:val="24"/>
          <w:szCs w:val="24"/>
        </w:rPr>
        <w:t xml:space="preserve">), ochrony przed hałasem </w:t>
      </w:r>
      <w:r w:rsidR="00EB698C">
        <w:rPr>
          <w:rFonts w:ascii="Times New Roman" w:hAnsi="Times New Roman"/>
          <w:sz w:val="24"/>
          <w:szCs w:val="24"/>
        </w:rPr>
        <w:br/>
      </w:r>
      <w:r w:rsidRPr="00D30368">
        <w:rPr>
          <w:rFonts w:ascii="Times New Roman" w:hAnsi="Times New Roman"/>
          <w:sz w:val="24"/>
          <w:szCs w:val="24"/>
        </w:rPr>
        <w:t>(</w:t>
      </w:r>
      <w:r>
        <w:rPr>
          <w:rFonts w:ascii="Times New Roman" w:hAnsi="Times New Roman"/>
          <w:sz w:val="24"/>
          <w:szCs w:val="24"/>
        </w:rPr>
        <w:t>1</w:t>
      </w:r>
      <w:r w:rsidR="00EB698C">
        <w:rPr>
          <w:rFonts w:ascii="Times New Roman" w:hAnsi="Times New Roman"/>
          <w:sz w:val="24"/>
          <w:szCs w:val="24"/>
        </w:rPr>
        <w:t xml:space="preserve"> </w:t>
      </w:r>
      <w:r>
        <w:rPr>
          <w:rFonts w:ascii="Times New Roman" w:hAnsi="Times New Roman"/>
          <w:sz w:val="24"/>
          <w:szCs w:val="24"/>
        </w:rPr>
        <w:t>907</w:t>
      </w:r>
      <w:r w:rsidRPr="00D30368">
        <w:rPr>
          <w:rFonts w:ascii="Times New Roman" w:hAnsi="Times New Roman"/>
          <w:sz w:val="24"/>
          <w:szCs w:val="24"/>
        </w:rPr>
        <w:t>), ochrony przyrody (</w:t>
      </w:r>
      <w:r>
        <w:rPr>
          <w:rFonts w:ascii="Times New Roman" w:hAnsi="Times New Roman"/>
          <w:sz w:val="24"/>
          <w:szCs w:val="24"/>
        </w:rPr>
        <w:t>491</w:t>
      </w:r>
      <w:r w:rsidRPr="00D30368">
        <w:rPr>
          <w:rFonts w:ascii="Times New Roman" w:hAnsi="Times New Roman"/>
          <w:sz w:val="24"/>
          <w:szCs w:val="24"/>
        </w:rPr>
        <w:t>), stosunków wodnych</w:t>
      </w:r>
      <w:r>
        <w:rPr>
          <w:rFonts w:ascii="Times New Roman" w:hAnsi="Times New Roman"/>
          <w:sz w:val="24"/>
          <w:szCs w:val="24"/>
        </w:rPr>
        <w:t xml:space="preserve"> </w:t>
      </w:r>
      <w:r w:rsidRPr="00D30368">
        <w:rPr>
          <w:rFonts w:ascii="Times New Roman" w:hAnsi="Times New Roman"/>
          <w:sz w:val="24"/>
          <w:szCs w:val="24"/>
        </w:rPr>
        <w:t>i</w:t>
      </w:r>
      <w:r>
        <w:rPr>
          <w:rFonts w:ascii="Times New Roman" w:hAnsi="Times New Roman"/>
          <w:sz w:val="24"/>
          <w:szCs w:val="24"/>
        </w:rPr>
        <w:t xml:space="preserve"> </w:t>
      </w:r>
      <w:r w:rsidRPr="00D30368">
        <w:rPr>
          <w:rFonts w:ascii="Times New Roman" w:hAnsi="Times New Roman"/>
          <w:sz w:val="24"/>
          <w:szCs w:val="24"/>
        </w:rPr>
        <w:t>podtapiania gruntów</w:t>
      </w:r>
      <w:r>
        <w:rPr>
          <w:rFonts w:ascii="Times New Roman" w:hAnsi="Times New Roman"/>
          <w:sz w:val="24"/>
          <w:szCs w:val="24"/>
        </w:rPr>
        <w:t xml:space="preserve"> </w:t>
      </w:r>
      <w:r w:rsidRPr="00D30368">
        <w:rPr>
          <w:rFonts w:ascii="Times New Roman" w:hAnsi="Times New Roman"/>
          <w:sz w:val="24"/>
          <w:szCs w:val="24"/>
        </w:rPr>
        <w:t>(1</w:t>
      </w:r>
      <w:r>
        <w:rPr>
          <w:rFonts w:ascii="Times New Roman" w:hAnsi="Times New Roman"/>
          <w:sz w:val="24"/>
          <w:szCs w:val="24"/>
        </w:rPr>
        <w:t>21</w:t>
      </w:r>
      <w:r w:rsidRPr="00D30368">
        <w:rPr>
          <w:rFonts w:ascii="Times New Roman" w:hAnsi="Times New Roman"/>
          <w:sz w:val="24"/>
          <w:szCs w:val="24"/>
        </w:rPr>
        <w:t>), ochrony przed promieniowaniem elektromagnetycznym niejonizującym (</w:t>
      </w:r>
      <w:r>
        <w:rPr>
          <w:rFonts w:ascii="Times New Roman" w:hAnsi="Times New Roman"/>
          <w:sz w:val="24"/>
          <w:szCs w:val="24"/>
        </w:rPr>
        <w:t>88</w:t>
      </w:r>
      <w:r w:rsidRPr="00D30368">
        <w:rPr>
          <w:rFonts w:ascii="Times New Roman" w:hAnsi="Times New Roman"/>
          <w:sz w:val="24"/>
          <w:szCs w:val="24"/>
        </w:rPr>
        <w:t>), działalności</w:t>
      </w:r>
      <w:r w:rsidR="00EB698C">
        <w:rPr>
          <w:rFonts w:ascii="Times New Roman" w:hAnsi="Times New Roman"/>
          <w:sz w:val="24"/>
          <w:szCs w:val="24"/>
        </w:rPr>
        <w:t xml:space="preserve"> </w:t>
      </w:r>
      <w:r w:rsidRPr="00D30368">
        <w:rPr>
          <w:rFonts w:ascii="Times New Roman" w:hAnsi="Times New Roman"/>
          <w:sz w:val="24"/>
          <w:szCs w:val="24"/>
        </w:rPr>
        <w:t>inwestycyjnej i</w:t>
      </w:r>
      <w:r>
        <w:rPr>
          <w:rFonts w:ascii="Times New Roman" w:hAnsi="Times New Roman"/>
          <w:sz w:val="24"/>
          <w:szCs w:val="24"/>
        </w:rPr>
        <w:t> </w:t>
      </w:r>
      <w:r w:rsidRPr="00D30368">
        <w:rPr>
          <w:rFonts w:ascii="Times New Roman" w:hAnsi="Times New Roman"/>
          <w:sz w:val="24"/>
          <w:szCs w:val="24"/>
        </w:rPr>
        <w:t>eksploatacji urządzeń wodnych (</w:t>
      </w:r>
      <w:r>
        <w:rPr>
          <w:rFonts w:ascii="Times New Roman" w:hAnsi="Times New Roman"/>
          <w:sz w:val="24"/>
          <w:szCs w:val="24"/>
        </w:rPr>
        <w:t>4</w:t>
      </w:r>
      <w:r w:rsidRPr="00D30368">
        <w:rPr>
          <w:rFonts w:ascii="Times New Roman" w:hAnsi="Times New Roman"/>
          <w:sz w:val="24"/>
          <w:szCs w:val="24"/>
        </w:rPr>
        <w:t>1), spraw związanych</w:t>
      </w:r>
      <w:r w:rsidR="00EB698C">
        <w:rPr>
          <w:rFonts w:ascii="Times New Roman" w:hAnsi="Times New Roman"/>
          <w:sz w:val="24"/>
          <w:szCs w:val="24"/>
        </w:rPr>
        <w:t xml:space="preserve"> </w:t>
      </w:r>
      <w:r w:rsidRPr="00D30368">
        <w:rPr>
          <w:rFonts w:ascii="Times New Roman" w:hAnsi="Times New Roman"/>
          <w:sz w:val="24"/>
          <w:szCs w:val="24"/>
        </w:rPr>
        <w:t>z bezczynnością/</w:t>
      </w:r>
      <w:r w:rsidR="00EB698C">
        <w:rPr>
          <w:rFonts w:ascii="Times New Roman" w:hAnsi="Times New Roman"/>
          <w:sz w:val="24"/>
          <w:szCs w:val="24"/>
        </w:rPr>
        <w:t xml:space="preserve"> </w:t>
      </w:r>
      <w:r w:rsidRPr="00D30368">
        <w:rPr>
          <w:rFonts w:ascii="Times New Roman" w:hAnsi="Times New Roman"/>
          <w:sz w:val="24"/>
          <w:szCs w:val="24"/>
        </w:rPr>
        <w:t>przewlekłością</w:t>
      </w:r>
      <w:r>
        <w:rPr>
          <w:rFonts w:ascii="Times New Roman" w:hAnsi="Times New Roman"/>
          <w:sz w:val="24"/>
          <w:szCs w:val="24"/>
        </w:rPr>
        <w:t xml:space="preserve"> </w:t>
      </w:r>
      <w:r w:rsidRPr="00D30368">
        <w:rPr>
          <w:rFonts w:ascii="Times New Roman" w:hAnsi="Times New Roman"/>
          <w:sz w:val="24"/>
          <w:szCs w:val="24"/>
        </w:rPr>
        <w:t>w procedowaniu spraw przez jednostki podległe/nadzorowane (</w:t>
      </w:r>
      <w:r>
        <w:rPr>
          <w:rFonts w:ascii="Times New Roman" w:hAnsi="Times New Roman"/>
          <w:sz w:val="24"/>
          <w:szCs w:val="24"/>
        </w:rPr>
        <w:t>38</w:t>
      </w:r>
      <w:r w:rsidRPr="00D30368">
        <w:rPr>
          <w:rFonts w:ascii="Times New Roman" w:hAnsi="Times New Roman"/>
          <w:sz w:val="24"/>
          <w:szCs w:val="24"/>
        </w:rPr>
        <w:t>), spraw leśnictwa (</w:t>
      </w:r>
      <w:r>
        <w:rPr>
          <w:rFonts w:ascii="Times New Roman" w:hAnsi="Times New Roman"/>
          <w:sz w:val="24"/>
          <w:szCs w:val="24"/>
        </w:rPr>
        <w:t>37</w:t>
      </w:r>
      <w:r w:rsidRPr="00D30368">
        <w:rPr>
          <w:rFonts w:ascii="Times New Roman" w:hAnsi="Times New Roman"/>
          <w:sz w:val="24"/>
          <w:szCs w:val="24"/>
        </w:rPr>
        <w:t>),</w:t>
      </w:r>
      <w:r>
        <w:rPr>
          <w:rFonts w:ascii="Times New Roman" w:hAnsi="Times New Roman"/>
          <w:sz w:val="24"/>
          <w:szCs w:val="24"/>
        </w:rPr>
        <w:t xml:space="preserve"> </w:t>
      </w:r>
      <w:r w:rsidRPr="00D30368">
        <w:rPr>
          <w:rFonts w:ascii="Times New Roman" w:hAnsi="Times New Roman"/>
          <w:sz w:val="24"/>
          <w:szCs w:val="24"/>
        </w:rPr>
        <w:t>spraw związanych z ochroną warstwy ozonowej i emisją gazów cieplarnianych (</w:t>
      </w:r>
      <w:r>
        <w:rPr>
          <w:rFonts w:ascii="Times New Roman" w:hAnsi="Times New Roman"/>
          <w:sz w:val="24"/>
          <w:szCs w:val="24"/>
        </w:rPr>
        <w:t>33</w:t>
      </w:r>
      <w:r w:rsidRPr="00D30368">
        <w:rPr>
          <w:rFonts w:ascii="Times New Roman" w:hAnsi="Times New Roman"/>
          <w:sz w:val="24"/>
          <w:szCs w:val="24"/>
        </w:rPr>
        <w:t>), stosowania prawa górniczego i geologicznego (2</w:t>
      </w:r>
      <w:r>
        <w:rPr>
          <w:rFonts w:ascii="Times New Roman" w:hAnsi="Times New Roman"/>
          <w:sz w:val="24"/>
          <w:szCs w:val="24"/>
        </w:rPr>
        <w:t>3</w:t>
      </w:r>
      <w:r w:rsidRPr="00D30368">
        <w:rPr>
          <w:rFonts w:ascii="Times New Roman" w:hAnsi="Times New Roman"/>
          <w:sz w:val="24"/>
          <w:szCs w:val="24"/>
        </w:rPr>
        <w:t>), spraw pracowniczych (</w:t>
      </w:r>
      <w:r>
        <w:rPr>
          <w:rFonts w:ascii="Times New Roman" w:hAnsi="Times New Roman"/>
          <w:sz w:val="24"/>
          <w:szCs w:val="24"/>
        </w:rPr>
        <w:t>20</w:t>
      </w:r>
      <w:r w:rsidRPr="00D30368">
        <w:rPr>
          <w:rFonts w:ascii="Times New Roman" w:hAnsi="Times New Roman"/>
          <w:sz w:val="24"/>
          <w:szCs w:val="24"/>
        </w:rPr>
        <w:t>), s</w:t>
      </w:r>
      <w:r w:rsidRPr="00D30368">
        <w:rPr>
          <w:rFonts w:ascii="Times New Roman" w:eastAsia="Times New Roman" w:hAnsi="Times New Roman"/>
          <w:color w:val="000000"/>
          <w:sz w:val="24"/>
          <w:szCs w:val="24"/>
          <w:lang w:eastAsia="ar-SA"/>
        </w:rPr>
        <w:t>praw związanych z ropą, paliwami transportowymi i paliwami i</w:t>
      </w:r>
      <w:r>
        <w:rPr>
          <w:rFonts w:ascii="Times New Roman" w:eastAsia="Times New Roman" w:hAnsi="Times New Roman"/>
          <w:color w:val="000000"/>
          <w:sz w:val="24"/>
          <w:szCs w:val="24"/>
          <w:lang w:eastAsia="ar-SA"/>
        </w:rPr>
        <w:t> </w:t>
      </w:r>
      <w:r w:rsidRPr="00D30368">
        <w:rPr>
          <w:rFonts w:ascii="Times New Roman" w:eastAsia="Times New Roman" w:hAnsi="Times New Roman"/>
          <w:color w:val="000000"/>
          <w:sz w:val="24"/>
          <w:szCs w:val="24"/>
          <w:lang w:eastAsia="ar-SA"/>
        </w:rPr>
        <w:t>biopaliwami ciekłymi (1</w:t>
      </w:r>
      <w:r>
        <w:rPr>
          <w:rFonts w:ascii="Times New Roman" w:eastAsia="Times New Roman" w:hAnsi="Times New Roman"/>
          <w:color w:val="000000"/>
          <w:sz w:val="24"/>
          <w:szCs w:val="24"/>
          <w:lang w:eastAsia="ar-SA"/>
        </w:rPr>
        <w:t>7</w:t>
      </w:r>
      <w:r w:rsidRPr="00D30368">
        <w:rPr>
          <w:rFonts w:ascii="Times New Roman" w:eastAsia="Times New Roman" w:hAnsi="Times New Roman"/>
          <w:color w:val="000000"/>
          <w:sz w:val="24"/>
          <w:szCs w:val="24"/>
          <w:lang w:eastAsia="ar-SA"/>
        </w:rPr>
        <w:t>)</w:t>
      </w:r>
      <w:r>
        <w:rPr>
          <w:rFonts w:ascii="Times New Roman" w:eastAsia="Times New Roman" w:hAnsi="Times New Roman"/>
          <w:color w:val="000000"/>
          <w:sz w:val="24"/>
          <w:szCs w:val="24"/>
          <w:lang w:eastAsia="ar-SA"/>
        </w:rPr>
        <w:t xml:space="preserve">, </w:t>
      </w:r>
      <w:r w:rsidRPr="00D30368">
        <w:rPr>
          <w:rFonts w:ascii="Times New Roman" w:hAnsi="Times New Roman"/>
          <w:sz w:val="24"/>
          <w:szCs w:val="24"/>
        </w:rPr>
        <w:t>spraw mieszkaniowych (</w:t>
      </w:r>
      <w:r>
        <w:rPr>
          <w:rFonts w:ascii="Times New Roman" w:hAnsi="Times New Roman"/>
          <w:sz w:val="24"/>
          <w:szCs w:val="24"/>
        </w:rPr>
        <w:t>6</w:t>
      </w:r>
      <w:r w:rsidRPr="00D30368">
        <w:rPr>
          <w:rFonts w:ascii="Times New Roman" w:hAnsi="Times New Roman"/>
          <w:sz w:val="24"/>
          <w:szCs w:val="24"/>
        </w:rPr>
        <w:t>),</w:t>
      </w:r>
      <w:r>
        <w:rPr>
          <w:rFonts w:ascii="Times New Roman" w:hAnsi="Times New Roman"/>
          <w:sz w:val="24"/>
          <w:szCs w:val="24"/>
        </w:rPr>
        <w:t xml:space="preserve"> spraw związanych z ciepłownictwem (4), spraw związanych z odnawialnymi źródłami energii (3)</w:t>
      </w:r>
      <w:r w:rsidRPr="00D30368">
        <w:rPr>
          <w:rFonts w:ascii="Times New Roman" w:hAnsi="Times New Roman"/>
          <w:sz w:val="24"/>
          <w:szCs w:val="24"/>
        </w:rPr>
        <w:t xml:space="preserve"> oraz</w:t>
      </w:r>
      <w:r>
        <w:rPr>
          <w:rFonts w:ascii="Times New Roman" w:hAnsi="Times New Roman"/>
          <w:sz w:val="24"/>
          <w:szCs w:val="24"/>
        </w:rPr>
        <w:t xml:space="preserve"> spraw</w:t>
      </w:r>
      <w:r w:rsidRPr="00D30368">
        <w:rPr>
          <w:rFonts w:ascii="Times New Roman" w:hAnsi="Times New Roman"/>
          <w:sz w:val="24"/>
          <w:szCs w:val="24"/>
        </w:rPr>
        <w:t xml:space="preserve"> innych (</w:t>
      </w:r>
      <w:r>
        <w:rPr>
          <w:rFonts w:ascii="Times New Roman" w:hAnsi="Times New Roman"/>
          <w:sz w:val="24"/>
          <w:szCs w:val="24"/>
        </w:rPr>
        <w:t>1</w:t>
      </w:r>
      <w:r w:rsidR="00EB698C">
        <w:rPr>
          <w:rFonts w:ascii="Times New Roman" w:hAnsi="Times New Roman"/>
          <w:sz w:val="24"/>
          <w:szCs w:val="24"/>
        </w:rPr>
        <w:t xml:space="preserve"> </w:t>
      </w:r>
      <w:r>
        <w:rPr>
          <w:rFonts w:ascii="Times New Roman" w:hAnsi="Times New Roman"/>
          <w:sz w:val="24"/>
          <w:szCs w:val="24"/>
        </w:rPr>
        <w:t>379</w:t>
      </w:r>
      <w:r w:rsidRPr="00D30368">
        <w:rPr>
          <w:rFonts w:ascii="Times New Roman" w:hAnsi="Times New Roman"/>
          <w:sz w:val="24"/>
          <w:szCs w:val="24"/>
        </w:rPr>
        <w:t>).</w:t>
      </w:r>
    </w:p>
    <w:p w14:paraId="738D5C72" w14:textId="571F5AA0" w:rsidR="00553F72" w:rsidRPr="00D30368" w:rsidRDefault="00553F72" w:rsidP="00EB698C">
      <w:pPr>
        <w:pStyle w:val="Standard"/>
        <w:spacing w:after="60" w:line="300" w:lineRule="atLeast"/>
        <w:ind w:firstLine="505"/>
        <w:jc w:val="both"/>
      </w:pPr>
      <w:r w:rsidRPr="00D30368">
        <w:t>W 202</w:t>
      </w:r>
      <w:r>
        <w:t>2</w:t>
      </w:r>
      <w:r w:rsidRPr="00D30368">
        <w:t xml:space="preserve"> r. </w:t>
      </w:r>
      <w:r>
        <w:t xml:space="preserve">w związku z rozpatrywaniem wniosków o podjęcie interwencji </w:t>
      </w:r>
      <w:r w:rsidRPr="00D30368">
        <w:t xml:space="preserve">wojewódzcy inspektorzy ochrony środowiska przeprowadzili </w:t>
      </w:r>
      <w:r w:rsidRPr="007F2592">
        <w:rPr>
          <w:rFonts w:eastAsia="Arial"/>
          <w:lang w:eastAsia="ar-SA"/>
        </w:rPr>
        <w:t>7</w:t>
      </w:r>
      <w:r w:rsidR="00EB698C">
        <w:rPr>
          <w:rFonts w:eastAsia="Arial"/>
          <w:lang w:eastAsia="ar-SA"/>
        </w:rPr>
        <w:t xml:space="preserve"> </w:t>
      </w:r>
      <w:r w:rsidRPr="007F2592">
        <w:rPr>
          <w:rFonts w:eastAsia="Arial"/>
          <w:lang w:eastAsia="ar-SA"/>
        </w:rPr>
        <w:t>288</w:t>
      </w:r>
      <w:r w:rsidRPr="00D30368">
        <w:rPr>
          <w:b/>
          <w:bCs/>
        </w:rPr>
        <w:t xml:space="preserve"> </w:t>
      </w:r>
      <w:r w:rsidRPr="00D30368">
        <w:t>kontroli, w wyniku których:</w:t>
      </w:r>
    </w:p>
    <w:p w14:paraId="112083A5" w14:textId="23B01B4E" w:rsidR="00553F72" w:rsidRPr="00D30368" w:rsidRDefault="00553F72" w:rsidP="00056EE7">
      <w:pPr>
        <w:pStyle w:val="Standard"/>
        <w:numPr>
          <w:ilvl w:val="0"/>
          <w:numId w:val="5"/>
        </w:numPr>
        <w:spacing w:line="300" w:lineRule="atLeast"/>
        <w:ind w:hanging="357"/>
        <w:textAlignment w:val="auto"/>
      </w:pPr>
      <w:r w:rsidRPr="00D30368">
        <w:t xml:space="preserve">wydano </w:t>
      </w:r>
      <w:r w:rsidRPr="007F2592">
        <w:t>1</w:t>
      </w:r>
      <w:r w:rsidR="00EB698C">
        <w:t xml:space="preserve"> </w:t>
      </w:r>
      <w:r w:rsidRPr="007F2592">
        <w:t xml:space="preserve">919 </w:t>
      </w:r>
      <w:r w:rsidRPr="00D30368">
        <w:t>zarządzeń pokontrolnych,</w:t>
      </w:r>
    </w:p>
    <w:p w14:paraId="2766F8BB" w14:textId="36145594" w:rsidR="00553F72" w:rsidRPr="00D30368" w:rsidRDefault="00553F72" w:rsidP="00056EE7">
      <w:pPr>
        <w:pStyle w:val="Standard"/>
        <w:numPr>
          <w:ilvl w:val="0"/>
          <w:numId w:val="5"/>
        </w:numPr>
        <w:spacing w:line="300" w:lineRule="atLeast"/>
        <w:ind w:hanging="357"/>
        <w:jc w:val="both"/>
        <w:textAlignment w:val="auto"/>
      </w:pPr>
      <w:r w:rsidRPr="00D30368">
        <w:t xml:space="preserve">nałożono </w:t>
      </w:r>
      <w:r w:rsidRPr="007F2592">
        <w:t>1</w:t>
      </w:r>
      <w:r w:rsidR="00EB698C">
        <w:t xml:space="preserve"> </w:t>
      </w:r>
      <w:r w:rsidRPr="007F2592">
        <w:t>334</w:t>
      </w:r>
      <w:r w:rsidRPr="00D30368">
        <w:t xml:space="preserve"> mandat</w:t>
      </w:r>
      <w:r>
        <w:t>y</w:t>
      </w:r>
      <w:r w:rsidRPr="00D30368">
        <w:t xml:space="preserve"> karn</w:t>
      </w:r>
      <w:r>
        <w:t>e</w:t>
      </w:r>
      <w:r w:rsidRPr="00D30368">
        <w:t>,</w:t>
      </w:r>
    </w:p>
    <w:p w14:paraId="3460E2B8" w14:textId="77777777" w:rsidR="00553F72" w:rsidRPr="00D30368" w:rsidRDefault="00553F72" w:rsidP="00056EE7">
      <w:pPr>
        <w:pStyle w:val="Standard"/>
        <w:numPr>
          <w:ilvl w:val="0"/>
          <w:numId w:val="5"/>
        </w:numPr>
        <w:spacing w:line="300" w:lineRule="atLeast"/>
        <w:ind w:left="504" w:hanging="357"/>
        <w:jc w:val="both"/>
        <w:textAlignment w:val="auto"/>
      </w:pPr>
      <w:r w:rsidRPr="00D30368">
        <w:t>skierowano wnioski do:</w:t>
      </w:r>
    </w:p>
    <w:p w14:paraId="03E67CF2" w14:textId="480617BF" w:rsidR="00553F72" w:rsidRPr="00D30368" w:rsidRDefault="00553F72" w:rsidP="00056EE7">
      <w:pPr>
        <w:pStyle w:val="Standard"/>
        <w:numPr>
          <w:ilvl w:val="0"/>
          <w:numId w:val="13"/>
        </w:numPr>
        <w:spacing w:line="300" w:lineRule="atLeast"/>
        <w:ind w:left="1066" w:hanging="357"/>
        <w:jc w:val="both"/>
        <w:textAlignment w:val="auto"/>
      </w:pPr>
      <w:r w:rsidRPr="00D30368">
        <w:t xml:space="preserve">organów administracji samorządowej </w:t>
      </w:r>
      <w:r w:rsidR="00EB698C">
        <w:t>–</w:t>
      </w:r>
      <w:r w:rsidRPr="00D30368">
        <w:t xml:space="preserve"> 1</w:t>
      </w:r>
      <w:r w:rsidR="00EB698C">
        <w:t xml:space="preserve"> </w:t>
      </w:r>
      <w:r>
        <w:t>441</w:t>
      </w:r>
      <w:r w:rsidRPr="00D30368">
        <w:t>,</w:t>
      </w:r>
    </w:p>
    <w:p w14:paraId="3C540A0F" w14:textId="18C1463B" w:rsidR="00553F72" w:rsidRPr="00D30368" w:rsidRDefault="00553F72" w:rsidP="00056EE7">
      <w:pPr>
        <w:pStyle w:val="Standard"/>
        <w:numPr>
          <w:ilvl w:val="0"/>
          <w:numId w:val="13"/>
        </w:numPr>
        <w:spacing w:line="300" w:lineRule="atLeast"/>
        <w:ind w:left="1066" w:hanging="357"/>
        <w:jc w:val="both"/>
        <w:textAlignment w:val="auto"/>
      </w:pPr>
      <w:r w:rsidRPr="00D30368">
        <w:t xml:space="preserve">organów administracji rządowej </w:t>
      </w:r>
      <w:r w:rsidR="00EB698C">
        <w:t>–</w:t>
      </w:r>
      <w:r w:rsidRPr="00D30368">
        <w:t xml:space="preserve"> </w:t>
      </w:r>
      <w:r>
        <w:t>1</w:t>
      </w:r>
      <w:r w:rsidR="00EB698C">
        <w:t xml:space="preserve"> </w:t>
      </w:r>
      <w:r>
        <w:t>202</w:t>
      </w:r>
      <w:r w:rsidRPr="00D30368">
        <w:t>,</w:t>
      </w:r>
    </w:p>
    <w:p w14:paraId="7F12B97D" w14:textId="77777777" w:rsidR="00553F72" w:rsidRPr="00D30368" w:rsidRDefault="00553F72" w:rsidP="00056EE7">
      <w:pPr>
        <w:pStyle w:val="Standard"/>
        <w:numPr>
          <w:ilvl w:val="0"/>
          <w:numId w:val="13"/>
        </w:numPr>
        <w:spacing w:line="300" w:lineRule="atLeast"/>
        <w:ind w:left="1066" w:hanging="357"/>
        <w:jc w:val="both"/>
        <w:textAlignment w:val="auto"/>
      </w:pPr>
      <w:r w:rsidRPr="00D30368">
        <w:t xml:space="preserve">organów ścigania - </w:t>
      </w:r>
      <w:r>
        <w:t>266</w:t>
      </w:r>
      <w:r w:rsidRPr="00D30368">
        <w:t>,</w:t>
      </w:r>
    </w:p>
    <w:p w14:paraId="0C62DAA9" w14:textId="77777777" w:rsidR="00553F72" w:rsidRPr="00D30368" w:rsidRDefault="00553F72" w:rsidP="00056EE7">
      <w:pPr>
        <w:pStyle w:val="Standard"/>
        <w:numPr>
          <w:ilvl w:val="0"/>
          <w:numId w:val="13"/>
        </w:numPr>
        <w:spacing w:line="300" w:lineRule="atLeast"/>
        <w:ind w:left="1066" w:hanging="357"/>
        <w:jc w:val="both"/>
        <w:textAlignment w:val="auto"/>
      </w:pPr>
      <w:r w:rsidRPr="00D30368">
        <w:t xml:space="preserve">sądów powszechnych – </w:t>
      </w:r>
      <w:r>
        <w:t>205</w:t>
      </w:r>
      <w:r w:rsidRPr="00D30368">
        <w:t>,</w:t>
      </w:r>
    </w:p>
    <w:p w14:paraId="6FB64AAE" w14:textId="49AFF4CA" w:rsidR="00553F72" w:rsidRDefault="00553F72" w:rsidP="00056EE7">
      <w:pPr>
        <w:pStyle w:val="Standard"/>
        <w:numPr>
          <w:ilvl w:val="0"/>
          <w:numId w:val="5"/>
        </w:numPr>
        <w:spacing w:line="300" w:lineRule="atLeast"/>
        <w:jc w:val="both"/>
        <w:textAlignment w:val="auto"/>
      </w:pPr>
      <w:r w:rsidRPr="00D30368">
        <w:t xml:space="preserve">wszczęto </w:t>
      </w:r>
      <w:r w:rsidRPr="004B1F4F">
        <w:t>2</w:t>
      </w:r>
      <w:r w:rsidR="00EB698C">
        <w:t xml:space="preserve"> </w:t>
      </w:r>
      <w:r w:rsidRPr="004B1F4F">
        <w:t>235</w:t>
      </w:r>
      <w:r w:rsidRPr="00D30368">
        <w:t xml:space="preserve"> postępowa</w:t>
      </w:r>
      <w:r>
        <w:t>ń</w:t>
      </w:r>
      <w:r w:rsidRPr="00D30368">
        <w:t xml:space="preserve"> administracyjn</w:t>
      </w:r>
      <w:r>
        <w:t>ych</w:t>
      </w:r>
      <w:r w:rsidRPr="00D30368">
        <w:t>,</w:t>
      </w:r>
    </w:p>
    <w:p w14:paraId="4A7E4F1C" w14:textId="513EC271" w:rsidR="00895F16" w:rsidRPr="00553F72" w:rsidRDefault="00553F72" w:rsidP="00056EE7">
      <w:pPr>
        <w:pStyle w:val="Standard"/>
        <w:numPr>
          <w:ilvl w:val="0"/>
          <w:numId w:val="5"/>
        </w:numPr>
        <w:spacing w:line="300" w:lineRule="atLeast"/>
        <w:jc w:val="both"/>
        <w:textAlignment w:val="auto"/>
      </w:pPr>
      <w:r w:rsidRPr="00553F72">
        <w:t>wydano 361 decyzji nakładających zobowiązania niepieniężne</w:t>
      </w:r>
      <w:r w:rsidR="00895F16" w:rsidRPr="00553F72">
        <w:t>.</w:t>
      </w:r>
    </w:p>
    <w:p w14:paraId="6AADD437" w14:textId="77777777" w:rsidR="00895F16" w:rsidRPr="007F400A" w:rsidRDefault="00895F16" w:rsidP="00056EE7">
      <w:pPr>
        <w:spacing w:after="0" w:line="300" w:lineRule="atLeast"/>
        <w:rPr>
          <w:rFonts w:ascii="Times New Roman" w:eastAsia="Times New Roman" w:hAnsi="Times New Roman" w:cs="Times New Roman"/>
          <w:sz w:val="24"/>
          <w:szCs w:val="24"/>
          <w:lang w:eastAsia="pl-PL"/>
        </w:rPr>
      </w:pPr>
    </w:p>
    <w:p w14:paraId="29B3232A" w14:textId="76CDFF11" w:rsidR="00895F16" w:rsidRPr="007F400A" w:rsidRDefault="00895F16" w:rsidP="00056EE7">
      <w:pPr>
        <w:keepNext/>
        <w:spacing w:after="60" w:line="300" w:lineRule="atLeast"/>
        <w:outlineLvl w:val="0"/>
        <w:rPr>
          <w:rFonts w:ascii="Times New Roman" w:eastAsia="Times New Roman" w:hAnsi="Times New Roman" w:cs="Times New Roman"/>
          <w:b/>
          <w:bCs/>
          <w:sz w:val="24"/>
          <w:szCs w:val="24"/>
          <w:lang w:val="x-none" w:eastAsia="x-none"/>
        </w:rPr>
      </w:pPr>
      <w:bookmarkStart w:id="186" w:name="_Toc5878569"/>
      <w:bookmarkStart w:id="187" w:name="_Toc36732592"/>
      <w:bookmarkStart w:id="188" w:name="_Toc135935630"/>
      <w:r w:rsidRPr="007F400A">
        <w:rPr>
          <w:rFonts w:ascii="Times New Roman" w:eastAsia="Times New Roman" w:hAnsi="Times New Roman" w:cs="Times New Roman"/>
          <w:b/>
          <w:bCs/>
          <w:sz w:val="24"/>
          <w:szCs w:val="24"/>
          <w:lang w:val="x-none" w:eastAsia="x-none"/>
        </w:rPr>
        <w:t>3.</w:t>
      </w:r>
      <w:r w:rsidR="00002EEF">
        <w:rPr>
          <w:rFonts w:ascii="Times New Roman" w:eastAsia="Times New Roman" w:hAnsi="Times New Roman" w:cs="Times New Roman"/>
          <w:b/>
          <w:bCs/>
          <w:sz w:val="24"/>
          <w:szCs w:val="24"/>
          <w:lang w:eastAsia="x-none"/>
        </w:rPr>
        <w:t>5</w:t>
      </w:r>
      <w:r w:rsidRPr="007F400A">
        <w:rPr>
          <w:rFonts w:ascii="Times New Roman" w:eastAsia="Times New Roman" w:hAnsi="Times New Roman" w:cs="Times New Roman"/>
          <w:b/>
          <w:bCs/>
          <w:sz w:val="24"/>
          <w:szCs w:val="24"/>
          <w:lang w:val="x-none" w:eastAsia="x-none"/>
        </w:rPr>
        <w:t>.2 Interpelacje i zapytania parlamentarzystów</w:t>
      </w:r>
      <w:bookmarkEnd w:id="186"/>
      <w:bookmarkEnd w:id="187"/>
      <w:bookmarkEnd w:id="188"/>
    </w:p>
    <w:p w14:paraId="291C8F50" w14:textId="50A92F18" w:rsidR="00553F72" w:rsidRPr="00F01477" w:rsidRDefault="00553F72" w:rsidP="00EB698C">
      <w:pPr>
        <w:suppressAutoHyphens/>
        <w:spacing w:after="0" w:line="300" w:lineRule="atLeast"/>
        <w:ind w:firstLine="567"/>
        <w:jc w:val="both"/>
        <w:rPr>
          <w:rFonts w:ascii="Times New Roman" w:hAnsi="Times New Roman"/>
          <w:sz w:val="24"/>
          <w:szCs w:val="24"/>
          <w:lang w:eastAsia="ar-SA"/>
        </w:rPr>
      </w:pPr>
      <w:bookmarkStart w:id="189" w:name="_Hlk36150654"/>
      <w:r w:rsidRPr="00F01477">
        <w:rPr>
          <w:rFonts w:ascii="Times New Roman" w:hAnsi="Times New Roman"/>
          <w:sz w:val="24"/>
          <w:szCs w:val="24"/>
          <w:lang w:eastAsia="ar-SA"/>
        </w:rPr>
        <w:t>W 2022 r. parlamentarzyści zwracali się do organów I</w:t>
      </w:r>
      <w:r>
        <w:rPr>
          <w:rFonts w:ascii="Times New Roman" w:hAnsi="Times New Roman"/>
          <w:sz w:val="24"/>
          <w:szCs w:val="24"/>
          <w:lang w:eastAsia="ar-SA"/>
        </w:rPr>
        <w:t xml:space="preserve">nspekcji </w:t>
      </w:r>
      <w:r w:rsidRPr="00F01477">
        <w:rPr>
          <w:rFonts w:ascii="Times New Roman" w:hAnsi="Times New Roman"/>
          <w:sz w:val="24"/>
          <w:szCs w:val="24"/>
          <w:lang w:eastAsia="ar-SA"/>
        </w:rPr>
        <w:t>O</w:t>
      </w:r>
      <w:r>
        <w:rPr>
          <w:rFonts w:ascii="Times New Roman" w:hAnsi="Times New Roman"/>
          <w:sz w:val="24"/>
          <w:szCs w:val="24"/>
          <w:lang w:eastAsia="ar-SA"/>
        </w:rPr>
        <w:t xml:space="preserve">chrony </w:t>
      </w:r>
      <w:r w:rsidRPr="00F01477">
        <w:rPr>
          <w:rFonts w:ascii="Times New Roman" w:hAnsi="Times New Roman"/>
          <w:sz w:val="24"/>
          <w:szCs w:val="24"/>
          <w:lang w:eastAsia="ar-SA"/>
        </w:rPr>
        <w:t>Ś</w:t>
      </w:r>
      <w:r>
        <w:rPr>
          <w:rFonts w:ascii="Times New Roman" w:hAnsi="Times New Roman"/>
          <w:sz w:val="24"/>
          <w:szCs w:val="24"/>
          <w:lang w:eastAsia="ar-SA"/>
        </w:rPr>
        <w:t>rodowiska</w:t>
      </w:r>
      <w:r w:rsidRPr="00F01477">
        <w:rPr>
          <w:rFonts w:ascii="Times New Roman" w:hAnsi="Times New Roman"/>
          <w:sz w:val="24"/>
          <w:szCs w:val="24"/>
          <w:lang w:eastAsia="ar-SA"/>
        </w:rPr>
        <w:t xml:space="preserve"> w</w:t>
      </w:r>
      <w:r>
        <w:rPr>
          <w:rFonts w:ascii="Times New Roman" w:hAnsi="Times New Roman"/>
          <w:sz w:val="24"/>
          <w:szCs w:val="24"/>
          <w:lang w:eastAsia="ar-SA"/>
        </w:rPr>
        <w:t> </w:t>
      </w:r>
      <w:r w:rsidRPr="00F01477">
        <w:rPr>
          <w:rFonts w:ascii="Times New Roman" w:hAnsi="Times New Roman"/>
          <w:sz w:val="24"/>
          <w:szCs w:val="24"/>
          <w:lang w:eastAsia="ar-SA"/>
        </w:rPr>
        <w:t>sprawach z</w:t>
      </w:r>
      <w:r w:rsidR="00006618">
        <w:rPr>
          <w:rFonts w:ascii="Times New Roman" w:hAnsi="Times New Roman"/>
          <w:sz w:val="24"/>
          <w:szCs w:val="24"/>
          <w:lang w:eastAsia="ar-SA"/>
        </w:rPr>
        <w:t xml:space="preserve"> </w:t>
      </w:r>
      <w:r w:rsidRPr="00F01477">
        <w:rPr>
          <w:rFonts w:ascii="Times New Roman" w:hAnsi="Times New Roman"/>
          <w:sz w:val="24"/>
          <w:szCs w:val="24"/>
          <w:lang w:eastAsia="ar-SA"/>
        </w:rPr>
        <w:t>zakresu ochrony środowiska dotyczących m.in. przede wszystkim sytuacji związanej z rzeką Odrą, która miała miejsce w sierpniu 2022 r. (śnięcie ryb spowodowane zakwitem tzw. złotych alg), jak też w sprawach zanieczyszczenia innych rzek, kanałów lub jezior w Polsce. Inne zagadnienia podnoszone przez parlamentarzystów dotyczyły m.in.</w:t>
      </w:r>
      <w:r>
        <w:rPr>
          <w:rFonts w:ascii="Times New Roman" w:hAnsi="Times New Roman"/>
          <w:sz w:val="24"/>
          <w:szCs w:val="24"/>
          <w:lang w:eastAsia="ar-SA"/>
        </w:rPr>
        <w:t>:</w:t>
      </w:r>
      <w:r w:rsidRPr="00F01477">
        <w:rPr>
          <w:rFonts w:ascii="Times New Roman" w:hAnsi="Times New Roman"/>
          <w:sz w:val="24"/>
          <w:szCs w:val="24"/>
          <w:lang w:eastAsia="ar-SA"/>
        </w:rPr>
        <w:t xml:space="preserve"> eksploatacji i rekultywacji składowisk odpadów, instalacji do przetwarzania</w:t>
      </w:r>
      <w:r w:rsidR="00EB698C">
        <w:rPr>
          <w:rFonts w:ascii="Times New Roman" w:hAnsi="Times New Roman"/>
          <w:sz w:val="24"/>
          <w:szCs w:val="24"/>
          <w:lang w:eastAsia="ar-SA"/>
        </w:rPr>
        <w:t xml:space="preserve"> </w:t>
      </w:r>
      <w:r w:rsidRPr="00F01477">
        <w:rPr>
          <w:rFonts w:ascii="Times New Roman" w:hAnsi="Times New Roman"/>
          <w:sz w:val="24"/>
          <w:szCs w:val="24"/>
          <w:lang w:eastAsia="ar-SA"/>
        </w:rPr>
        <w:t>i</w:t>
      </w:r>
      <w:r>
        <w:rPr>
          <w:rFonts w:ascii="Times New Roman" w:hAnsi="Times New Roman"/>
          <w:sz w:val="24"/>
          <w:szCs w:val="24"/>
          <w:lang w:eastAsia="ar-SA"/>
        </w:rPr>
        <w:t> </w:t>
      </w:r>
      <w:r w:rsidRPr="00F01477">
        <w:rPr>
          <w:rFonts w:ascii="Times New Roman" w:hAnsi="Times New Roman"/>
          <w:sz w:val="24"/>
          <w:szCs w:val="24"/>
          <w:lang w:eastAsia="ar-SA"/>
        </w:rPr>
        <w:t>unieszkodliwiania odpadów, nielegalnego magazynowania i składowania odpadów, w tym odpadów niebezpiecznych, emisji hałasu i zanieczyszczeń do</w:t>
      </w:r>
      <w:r w:rsidR="00006618">
        <w:rPr>
          <w:rFonts w:ascii="Times New Roman" w:hAnsi="Times New Roman"/>
          <w:sz w:val="24"/>
          <w:szCs w:val="24"/>
          <w:lang w:eastAsia="ar-SA"/>
        </w:rPr>
        <w:t xml:space="preserve"> </w:t>
      </w:r>
      <w:r w:rsidRPr="00F01477">
        <w:rPr>
          <w:rFonts w:ascii="Times New Roman" w:hAnsi="Times New Roman"/>
          <w:sz w:val="24"/>
          <w:szCs w:val="24"/>
          <w:lang w:eastAsia="ar-SA"/>
        </w:rPr>
        <w:t xml:space="preserve">powietrza w wyniku eksploatacji instalacji, uciążliwości zapachowej powodowanej funkcjonowaniem ferm lub zakładów produkcyjnych, planowanych lub będących w trakcie realizacji inwestycji mogących znacząco oddziaływać na środowisko, prowadzonego monitoringu jakości powietrza oraz wód,  materiałów niebezpiecznych zatopionych w Bałtyku oraz transgranicznego przemieszczania odpadów. </w:t>
      </w:r>
    </w:p>
    <w:p w14:paraId="47B2CC00" w14:textId="2EE10D00" w:rsidR="00553F72" w:rsidRPr="00825881" w:rsidRDefault="00553F72" w:rsidP="00EB698C">
      <w:pPr>
        <w:suppressAutoHyphens/>
        <w:spacing w:after="0" w:line="300" w:lineRule="atLeast"/>
        <w:ind w:firstLine="567"/>
        <w:jc w:val="both"/>
        <w:rPr>
          <w:rFonts w:ascii="Times New Roman" w:hAnsi="Times New Roman"/>
          <w:sz w:val="24"/>
          <w:szCs w:val="24"/>
          <w:lang w:eastAsia="ar-SA"/>
        </w:rPr>
      </w:pPr>
      <w:r w:rsidRPr="00825881">
        <w:rPr>
          <w:rFonts w:ascii="Times New Roman" w:hAnsi="Times New Roman"/>
          <w:sz w:val="24"/>
          <w:szCs w:val="24"/>
          <w:lang w:eastAsia="ar-SA"/>
        </w:rPr>
        <w:lastRenderedPageBreak/>
        <w:t>G</w:t>
      </w:r>
      <w:r>
        <w:rPr>
          <w:rFonts w:ascii="Times New Roman" w:hAnsi="Times New Roman"/>
          <w:sz w:val="24"/>
          <w:szCs w:val="24"/>
          <w:lang w:eastAsia="ar-SA"/>
        </w:rPr>
        <w:t xml:space="preserve">łówny </w:t>
      </w:r>
      <w:r w:rsidRPr="00825881">
        <w:rPr>
          <w:rFonts w:ascii="Times New Roman" w:hAnsi="Times New Roman"/>
          <w:sz w:val="24"/>
          <w:szCs w:val="24"/>
          <w:lang w:eastAsia="ar-SA"/>
        </w:rPr>
        <w:t>I</w:t>
      </w:r>
      <w:r>
        <w:rPr>
          <w:rFonts w:ascii="Times New Roman" w:hAnsi="Times New Roman"/>
          <w:sz w:val="24"/>
          <w:szCs w:val="24"/>
          <w:lang w:eastAsia="ar-SA"/>
        </w:rPr>
        <w:t xml:space="preserve">nspektor </w:t>
      </w:r>
      <w:r w:rsidRPr="00825881">
        <w:rPr>
          <w:rFonts w:ascii="Times New Roman" w:hAnsi="Times New Roman"/>
          <w:sz w:val="24"/>
          <w:szCs w:val="24"/>
          <w:lang w:eastAsia="ar-SA"/>
        </w:rPr>
        <w:t>O</w:t>
      </w:r>
      <w:r>
        <w:rPr>
          <w:rFonts w:ascii="Times New Roman" w:hAnsi="Times New Roman"/>
          <w:sz w:val="24"/>
          <w:szCs w:val="24"/>
          <w:lang w:eastAsia="ar-SA"/>
        </w:rPr>
        <w:t xml:space="preserve">chrony </w:t>
      </w:r>
      <w:r w:rsidRPr="00825881">
        <w:rPr>
          <w:rFonts w:ascii="Times New Roman" w:hAnsi="Times New Roman"/>
          <w:sz w:val="24"/>
          <w:szCs w:val="24"/>
          <w:lang w:eastAsia="ar-SA"/>
        </w:rPr>
        <w:t>Ś</w:t>
      </w:r>
      <w:r>
        <w:rPr>
          <w:rFonts w:ascii="Times New Roman" w:hAnsi="Times New Roman"/>
          <w:sz w:val="24"/>
          <w:szCs w:val="24"/>
          <w:lang w:eastAsia="ar-SA"/>
        </w:rPr>
        <w:t>rodowiska</w:t>
      </w:r>
      <w:r w:rsidRPr="00825881">
        <w:rPr>
          <w:rFonts w:ascii="Times New Roman" w:hAnsi="Times New Roman"/>
          <w:sz w:val="24"/>
          <w:szCs w:val="24"/>
          <w:lang w:eastAsia="ar-SA"/>
        </w:rPr>
        <w:t xml:space="preserve"> udzielił odpowiedzi </w:t>
      </w:r>
      <w:r w:rsidRPr="00F01477">
        <w:rPr>
          <w:rFonts w:ascii="Times New Roman" w:hAnsi="Times New Roman"/>
          <w:sz w:val="24"/>
          <w:szCs w:val="24"/>
          <w:lang w:eastAsia="ar-SA"/>
        </w:rPr>
        <w:t>na 28 interwencji parlamentarzystów oraz przygotował i przekazał do Ministerstwa Klimatu i</w:t>
      </w:r>
      <w:r w:rsidR="00006618">
        <w:rPr>
          <w:rFonts w:ascii="Times New Roman" w:hAnsi="Times New Roman"/>
          <w:sz w:val="24"/>
          <w:szCs w:val="24"/>
          <w:lang w:eastAsia="ar-SA"/>
        </w:rPr>
        <w:t xml:space="preserve"> </w:t>
      </w:r>
      <w:r w:rsidRPr="00F01477">
        <w:rPr>
          <w:rFonts w:ascii="Times New Roman" w:hAnsi="Times New Roman"/>
          <w:sz w:val="24"/>
          <w:szCs w:val="24"/>
          <w:lang w:eastAsia="ar-SA"/>
        </w:rPr>
        <w:t>Środowiska wkłady do odpowiedzi w zakresie posiadanych kompetencji w 94 sprawach zgłaszanych przez parlamentarzystów do Ministra Klimatu i</w:t>
      </w:r>
      <w:r>
        <w:rPr>
          <w:rFonts w:ascii="Times New Roman" w:hAnsi="Times New Roman"/>
          <w:sz w:val="24"/>
          <w:szCs w:val="24"/>
          <w:lang w:eastAsia="ar-SA"/>
        </w:rPr>
        <w:t xml:space="preserve"> </w:t>
      </w:r>
      <w:r w:rsidRPr="00F01477">
        <w:rPr>
          <w:rFonts w:ascii="Times New Roman" w:hAnsi="Times New Roman"/>
          <w:sz w:val="24"/>
          <w:szCs w:val="24"/>
          <w:lang w:eastAsia="ar-SA"/>
        </w:rPr>
        <w:t xml:space="preserve">Środowiska. Dodatkowo przeprowadzono postępowania wyjaśniające wobec 2 spraw zgłoszonych przez parlamentarzystów do właściwego wojewódzkiego inspektora ochrony środowiska, przyjętych do wiadomości </w:t>
      </w:r>
      <w:r w:rsidRPr="00825881">
        <w:rPr>
          <w:rFonts w:ascii="Times New Roman" w:hAnsi="Times New Roman"/>
          <w:sz w:val="24"/>
          <w:szCs w:val="24"/>
          <w:lang w:eastAsia="ar-SA"/>
        </w:rPr>
        <w:t>G</w:t>
      </w:r>
      <w:r>
        <w:rPr>
          <w:rFonts w:ascii="Times New Roman" w:hAnsi="Times New Roman"/>
          <w:sz w:val="24"/>
          <w:szCs w:val="24"/>
          <w:lang w:eastAsia="ar-SA"/>
        </w:rPr>
        <w:t xml:space="preserve">łównego </w:t>
      </w:r>
      <w:r w:rsidRPr="00825881">
        <w:rPr>
          <w:rFonts w:ascii="Times New Roman" w:hAnsi="Times New Roman"/>
          <w:sz w:val="24"/>
          <w:szCs w:val="24"/>
          <w:lang w:eastAsia="ar-SA"/>
        </w:rPr>
        <w:t>I</w:t>
      </w:r>
      <w:r>
        <w:rPr>
          <w:rFonts w:ascii="Times New Roman" w:hAnsi="Times New Roman"/>
          <w:sz w:val="24"/>
          <w:szCs w:val="24"/>
          <w:lang w:eastAsia="ar-SA"/>
        </w:rPr>
        <w:t xml:space="preserve">nspektora </w:t>
      </w:r>
      <w:r w:rsidRPr="00825881">
        <w:rPr>
          <w:rFonts w:ascii="Times New Roman" w:hAnsi="Times New Roman"/>
          <w:sz w:val="24"/>
          <w:szCs w:val="24"/>
          <w:lang w:eastAsia="ar-SA"/>
        </w:rPr>
        <w:t>O</w:t>
      </w:r>
      <w:r>
        <w:rPr>
          <w:rFonts w:ascii="Times New Roman" w:hAnsi="Times New Roman"/>
          <w:sz w:val="24"/>
          <w:szCs w:val="24"/>
          <w:lang w:eastAsia="ar-SA"/>
        </w:rPr>
        <w:t xml:space="preserve">chrony </w:t>
      </w:r>
      <w:r w:rsidRPr="00825881">
        <w:rPr>
          <w:rFonts w:ascii="Times New Roman" w:hAnsi="Times New Roman"/>
          <w:sz w:val="24"/>
          <w:szCs w:val="24"/>
          <w:lang w:eastAsia="ar-SA"/>
        </w:rPr>
        <w:t>Ś</w:t>
      </w:r>
      <w:r>
        <w:rPr>
          <w:rFonts w:ascii="Times New Roman" w:hAnsi="Times New Roman"/>
          <w:sz w:val="24"/>
          <w:szCs w:val="24"/>
          <w:lang w:eastAsia="ar-SA"/>
        </w:rPr>
        <w:t>rodowiska</w:t>
      </w:r>
      <w:r w:rsidRPr="00825881">
        <w:rPr>
          <w:rFonts w:ascii="Times New Roman" w:hAnsi="Times New Roman"/>
          <w:sz w:val="24"/>
          <w:szCs w:val="24"/>
          <w:lang w:eastAsia="ar-SA"/>
        </w:rPr>
        <w:t xml:space="preserve">. </w:t>
      </w:r>
    </w:p>
    <w:p w14:paraId="1DB58A93" w14:textId="3148F0F8" w:rsidR="00895F16" w:rsidRPr="007F400A" w:rsidRDefault="00553F72" w:rsidP="00EB698C">
      <w:pPr>
        <w:suppressAutoHyphens/>
        <w:autoSpaceDN w:val="0"/>
        <w:spacing w:after="0" w:line="300" w:lineRule="atLeast"/>
        <w:ind w:firstLine="567"/>
        <w:jc w:val="both"/>
        <w:textAlignment w:val="baseline"/>
        <w:rPr>
          <w:rFonts w:ascii="Times New Roman" w:eastAsia="Times New Roman" w:hAnsi="Times New Roman" w:cs="Times New Roman"/>
          <w:kern w:val="3"/>
          <w:sz w:val="24"/>
          <w:szCs w:val="24"/>
          <w:lang w:eastAsia="pl-PL"/>
        </w:rPr>
      </w:pPr>
      <w:r w:rsidRPr="00825881">
        <w:rPr>
          <w:rFonts w:ascii="Times New Roman" w:hAnsi="Times New Roman"/>
          <w:sz w:val="24"/>
          <w:szCs w:val="24"/>
          <w:lang w:eastAsia="ar-SA"/>
        </w:rPr>
        <w:t>W</w:t>
      </w:r>
      <w:r>
        <w:rPr>
          <w:rFonts w:ascii="Times New Roman" w:hAnsi="Times New Roman"/>
          <w:sz w:val="24"/>
          <w:szCs w:val="24"/>
          <w:lang w:eastAsia="ar-SA"/>
        </w:rPr>
        <w:t>ojewódzcy inspektorzy ochrony środowiska</w:t>
      </w:r>
      <w:r w:rsidRPr="00825881">
        <w:rPr>
          <w:rFonts w:ascii="Times New Roman" w:hAnsi="Times New Roman"/>
          <w:sz w:val="24"/>
          <w:szCs w:val="24"/>
          <w:lang w:eastAsia="ar-SA"/>
        </w:rPr>
        <w:t xml:space="preserve"> udzielili odpowiedzi na </w:t>
      </w:r>
      <w:r>
        <w:rPr>
          <w:rFonts w:ascii="Times New Roman" w:hAnsi="Times New Roman"/>
          <w:sz w:val="24"/>
          <w:szCs w:val="24"/>
          <w:lang w:eastAsia="ar-SA"/>
        </w:rPr>
        <w:t>48</w:t>
      </w:r>
      <w:r w:rsidRPr="00825881">
        <w:rPr>
          <w:rFonts w:ascii="Times New Roman" w:hAnsi="Times New Roman"/>
          <w:sz w:val="24"/>
          <w:szCs w:val="24"/>
          <w:lang w:eastAsia="ar-SA"/>
        </w:rPr>
        <w:t xml:space="preserve"> interwencji parlamentarzystów</w:t>
      </w:r>
      <w:r w:rsidR="00895F16" w:rsidRPr="007F400A">
        <w:rPr>
          <w:rFonts w:ascii="Times New Roman" w:hAnsi="Times New Roman"/>
          <w:sz w:val="24"/>
          <w:szCs w:val="24"/>
          <w:lang w:eastAsia="ar-SA"/>
        </w:rPr>
        <w:t>.</w:t>
      </w:r>
    </w:p>
    <w:p w14:paraId="5891F54E" w14:textId="77777777" w:rsidR="00895F16" w:rsidRPr="007F400A" w:rsidRDefault="00895F16" w:rsidP="00056EE7">
      <w:pPr>
        <w:suppressAutoHyphens/>
        <w:autoSpaceDN w:val="0"/>
        <w:spacing w:after="0" w:line="300" w:lineRule="atLeast"/>
        <w:ind w:firstLine="708"/>
        <w:jc w:val="both"/>
        <w:textAlignment w:val="baseline"/>
        <w:rPr>
          <w:rFonts w:ascii="Times New Roman" w:eastAsia="Times New Roman" w:hAnsi="Times New Roman" w:cs="Times New Roman"/>
          <w:kern w:val="3"/>
          <w:sz w:val="24"/>
          <w:szCs w:val="24"/>
          <w:lang w:eastAsia="pl-PL"/>
        </w:rPr>
      </w:pPr>
      <w:bookmarkStart w:id="190" w:name="_Toc515437531"/>
      <w:bookmarkStart w:id="191" w:name="_Toc5878570"/>
      <w:bookmarkStart w:id="192" w:name="_Toc36732593"/>
      <w:bookmarkEnd w:id="189"/>
    </w:p>
    <w:p w14:paraId="727C8B3F" w14:textId="25D8D4FA" w:rsidR="00895F16" w:rsidRPr="007F400A" w:rsidRDefault="00895F16" w:rsidP="00056EE7">
      <w:pPr>
        <w:keepNext/>
        <w:spacing w:after="120" w:line="300" w:lineRule="atLeast"/>
        <w:outlineLvl w:val="0"/>
        <w:rPr>
          <w:rFonts w:ascii="Times New Roman" w:eastAsia="Times New Roman" w:hAnsi="Times New Roman" w:cs="Times New Roman"/>
          <w:b/>
          <w:bCs/>
          <w:sz w:val="24"/>
          <w:szCs w:val="24"/>
          <w:lang w:val="x-none" w:eastAsia="x-none"/>
        </w:rPr>
      </w:pPr>
      <w:bookmarkStart w:id="193" w:name="_Toc135935631"/>
      <w:r w:rsidRPr="007F400A">
        <w:rPr>
          <w:rFonts w:ascii="Times New Roman" w:eastAsia="Times New Roman" w:hAnsi="Times New Roman" w:cs="Times New Roman"/>
          <w:b/>
          <w:bCs/>
          <w:sz w:val="24"/>
          <w:szCs w:val="24"/>
          <w:lang w:val="x-none" w:eastAsia="x-none"/>
        </w:rPr>
        <w:t>3.</w:t>
      </w:r>
      <w:r w:rsidR="00002EEF">
        <w:rPr>
          <w:rFonts w:ascii="Times New Roman" w:eastAsia="Times New Roman" w:hAnsi="Times New Roman" w:cs="Times New Roman"/>
          <w:b/>
          <w:bCs/>
          <w:sz w:val="24"/>
          <w:szCs w:val="24"/>
          <w:lang w:eastAsia="x-none"/>
        </w:rPr>
        <w:t>5</w:t>
      </w:r>
      <w:r w:rsidRPr="007F400A">
        <w:rPr>
          <w:rFonts w:ascii="Times New Roman" w:eastAsia="Times New Roman" w:hAnsi="Times New Roman" w:cs="Times New Roman"/>
          <w:b/>
          <w:bCs/>
          <w:sz w:val="24"/>
          <w:szCs w:val="24"/>
          <w:lang w:val="x-none" w:eastAsia="x-none"/>
        </w:rPr>
        <w:t>.3 Rejestry prowadzone przez Główny Inspektorat Ochrony Środowiska</w:t>
      </w:r>
      <w:bookmarkEnd w:id="190"/>
      <w:bookmarkEnd w:id="191"/>
      <w:bookmarkEnd w:id="192"/>
      <w:bookmarkEnd w:id="193"/>
    </w:p>
    <w:p w14:paraId="6A56C2DC" w14:textId="77777777" w:rsidR="002A3FE5" w:rsidRDefault="002A3FE5" w:rsidP="00EB698C">
      <w:pPr>
        <w:spacing w:after="120" w:line="300" w:lineRule="atLeast"/>
        <w:jc w:val="both"/>
        <w:rPr>
          <w:rFonts w:ascii="Times New Roman" w:hAnsi="Times New Roman" w:cs="Times New Roman"/>
          <w:b/>
          <w:sz w:val="24"/>
          <w:szCs w:val="24"/>
        </w:rPr>
      </w:pPr>
      <w:r>
        <w:rPr>
          <w:rFonts w:ascii="Times New Roman" w:hAnsi="Times New Roman" w:cs="Times New Roman"/>
          <w:b/>
          <w:sz w:val="24"/>
          <w:szCs w:val="24"/>
        </w:rPr>
        <w:t>Rejestr zakładów, których działalność może być przyczyną wystąpienia poważnej awarii, w tym zakładów o zwiększonym ryzyku wystąpienia poważnej awarii i o dużym ryzyku wystąpienia poważnej awarii</w:t>
      </w:r>
    </w:p>
    <w:p w14:paraId="1D7E5428" w14:textId="77777777" w:rsidR="002A3FE5" w:rsidRDefault="002A3FE5" w:rsidP="00056EE7">
      <w:pPr>
        <w:spacing w:after="0" w:line="300" w:lineRule="atLeast"/>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rejestrze</w:t>
      </w:r>
      <w:r>
        <w:rPr>
          <w:rFonts w:ascii="Times New Roman" w:eastAsia="Times New Roman" w:hAnsi="Times New Roman" w:cs="Times New Roman"/>
          <w:sz w:val="24"/>
          <w:szCs w:val="24"/>
          <w:vertAlign w:val="superscript"/>
        </w:rPr>
        <w:footnoteReference w:id="36"/>
      </w:r>
      <w:r>
        <w:rPr>
          <w:rFonts w:ascii="Times New Roman" w:eastAsia="Times New Roman" w:hAnsi="Times New Roman" w:cs="Times New Roman"/>
          <w:sz w:val="24"/>
          <w:szCs w:val="24"/>
        </w:rPr>
        <w:t xml:space="preserve"> gromadzone są dane na temat zakładów o dużym oraz zwiększonym ryzyku wystąpienia awarii przemysłowej, jak również zakładów, na terenie których występują substancje niebezpieczne w ilościach co najmniej 5% ilości, która kwalifikuje zakład do grupy zakładów o dużym ryzyku wystąpienia awarii przemysłowej</w:t>
      </w:r>
      <w:r>
        <w:rPr>
          <w:rFonts w:ascii="Times New Roman" w:eastAsia="Times New Roman" w:hAnsi="Times New Roman" w:cs="Times New Roman"/>
          <w:sz w:val="24"/>
          <w:szCs w:val="24"/>
          <w:vertAlign w:val="superscript"/>
        </w:rPr>
        <w:footnoteReference w:id="37"/>
      </w:r>
      <w:r>
        <w:rPr>
          <w:rFonts w:ascii="Times New Roman" w:eastAsia="Times New Roman" w:hAnsi="Times New Roman" w:cs="Times New Roman"/>
          <w:sz w:val="24"/>
          <w:szCs w:val="24"/>
        </w:rPr>
        <w:t>. W rejestrze znajdują się dane dotyczące: lokalizacji zakładów, profilu działalności, rodzaju i ilości substancji niebezpiecznych oraz informacje na temat kontroli przeprowadzonych przez wojewódzkich inspektorów ochrony środowiska.</w:t>
      </w:r>
    </w:p>
    <w:p w14:paraId="126F3B08" w14:textId="77777777" w:rsidR="002A3FE5" w:rsidRDefault="002A3FE5" w:rsidP="00056EE7">
      <w:pPr>
        <w:spacing w:after="120" w:line="300" w:lineRule="atLeast"/>
        <w:ind w:firstLine="567"/>
        <w:jc w:val="both"/>
        <w:rPr>
          <w:rFonts w:ascii="Times New Roman" w:hAnsi="Times New Roman" w:cs="Times New Roman"/>
          <w:sz w:val="24"/>
          <w:szCs w:val="24"/>
        </w:rPr>
      </w:pPr>
      <w:r>
        <w:rPr>
          <w:rFonts w:ascii="Times New Roman" w:eastAsia="Times New Roman" w:hAnsi="Times New Roman" w:cs="Times New Roman"/>
          <w:sz w:val="24"/>
          <w:szCs w:val="24"/>
        </w:rPr>
        <w:t xml:space="preserve">Według stanu na 31 grudnia 2022 r. w rejestrze znajdowało się 1 215 zakładów, w tym 210 ZDR, 269 ZZR oraz 736 zakładów należących do grupy pozostałych potencjalnych sprawców poważnych awarii. </w:t>
      </w:r>
    </w:p>
    <w:p w14:paraId="503853BC" w14:textId="77777777" w:rsidR="002A3FE5" w:rsidRDefault="002A3FE5" w:rsidP="00541939">
      <w:pPr>
        <w:spacing w:after="120" w:line="300" w:lineRule="atLeast"/>
        <w:jc w:val="both"/>
        <w:rPr>
          <w:rFonts w:ascii="Times New Roman" w:hAnsi="Times New Roman" w:cs="Times New Roman"/>
          <w:b/>
          <w:sz w:val="24"/>
          <w:szCs w:val="24"/>
        </w:rPr>
      </w:pPr>
      <w:r>
        <w:rPr>
          <w:rFonts w:ascii="Times New Roman" w:hAnsi="Times New Roman" w:cs="Times New Roman"/>
          <w:b/>
          <w:sz w:val="24"/>
          <w:szCs w:val="24"/>
        </w:rPr>
        <w:t xml:space="preserve">Rejestr poważnych awarii </w:t>
      </w:r>
    </w:p>
    <w:p w14:paraId="1BF1251F" w14:textId="77777777" w:rsidR="002A3FE5" w:rsidRDefault="002A3FE5" w:rsidP="00056EE7">
      <w:pPr>
        <w:spacing w:after="0" w:line="300" w:lineRule="atLeast"/>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rejestrze</w:t>
      </w:r>
      <w:r>
        <w:rPr>
          <w:rFonts w:ascii="Times New Roman" w:hAnsi="Times New Roman" w:cs="Times New Roman"/>
          <w:sz w:val="24"/>
          <w:szCs w:val="24"/>
          <w:vertAlign w:val="superscript"/>
        </w:rPr>
        <w:footnoteReference w:id="38"/>
      </w:r>
      <w:r>
        <w:rPr>
          <w:rFonts w:ascii="Times New Roman" w:eastAsia="Times New Roman" w:hAnsi="Times New Roman" w:cs="Times New Roman"/>
          <w:sz w:val="24"/>
          <w:szCs w:val="24"/>
        </w:rPr>
        <w:t xml:space="preserve"> gromadzone są dane na temat rozpoznawanych przez wojewódzkich inspektorów ochrony środowiska poważnych awarii oraz zdarzeń o znamionach poważnych awarii, w tym dane dotyczące miejsca i daty zdarzenia, substancji niebezpiecznych biorących udział w zdarzeniu, skutków zdarzenia oraz działań podjętych w celu ograniczenia bądź likwidacji jego skutków. </w:t>
      </w:r>
    </w:p>
    <w:p w14:paraId="0D29D73A" w14:textId="77777777" w:rsidR="002A3FE5" w:rsidRDefault="002A3FE5" w:rsidP="00056EE7">
      <w:pPr>
        <w:spacing w:line="300" w:lineRule="atLeast"/>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 2022 r. zarejestrowano w nim 29 zdarzeń, w tym 6 poważnych awarii objętych obowiązkiem zgłoszenia do Głównego Inspektora Ochrony Środowiska, tj. spełniających kryteria z rozporządzenia Ministra Środowiska z dnia 30 grudnia 2002 r. </w:t>
      </w:r>
      <w:r w:rsidRPr="00541939">
        <w:rPr>
          <w:rFonts w:ascii="Times New Roman" w:eastAsia="Times New Roman" w:hAnsi="Times New Roman" w:cs="Times New Roman"/>
          <w:sz w:val="24"/>
          <w:szCs w:val="24"/>
        </w:rPr>
        <w:t>w sprawie poważnych awarii objętych obowiązkiem zgłoszenia do Głównego Inspektora Ochrony Środowiska</w:t>
      </w:r>
      <w:r>
        <w:rPr>
          <w:rFonts w:ascii="Times New Roman" w:hAnsi="Times New Roman" w:cs="Times New Roman"/>
          <w:sz w:val="24"/>
          <w:szCs w:val="24"/>
          <w:vertAlign w:val="superscript"/>
        </w:rPr>
        <w:footnoteReference w:id="39"/>
      </w:r>
      <w:r>
        <w:rPr>
          <w:rFonts w:ascii="Times New Roman" w:eastAsia="Times New Roman" w:hAnsi="Times New Roman" w:cs="Times New Roman"/>
          <w:sz w:val="24"/>
          <w:szCs w:val="24"/>
        </w:rPr>
        <w:t>.</w:t>
      </w:r>
    </w:p>
    <w:p w14:paraId="1932920E" w14:textId="77777777" w:rsidR="002A3FE5" w:rsidRPr="007F400A" w:rsidRDefault="002A3FE5" w:rsidP="00056EE7">
      <w:pPr>
        <w:spacing w:before="120" w:after="120" w:line="300" w:lineRule="atLeast"/>
        <w:jc w:val="both"/>
        <w:outlineLvl w:val="4"/>
        <w:rPr>
          <w:rFonts w:ascii="Times New Roman" w:eastAsia="Times New Roman" w:hAnsi="Times New Roman" w:cs="Times New Roman"/>
          <w:b/>
          <w:bCs/>
          <w:iCs/>
          <w:sz w:val="24"/>
          <w:szCs w:val="24"/>
        </w:rPr>
      </w:pPr>
      <w:r w:rsidRPr="007F400A">
        <w:rPr>
          <w:rFonts w:ascii="Times New Roman" w:eastAsia="Times New Roman" w:hAnsi="Times New Roman" w:cs="Times New Roman"/>
          <w:b/>
          <w:bCs/>
          <w:iCs/>
          <w:sz w:val="24"/>
          <w:szCs w:val="24"/>
        </w:rPr>
        <w:t xml:space="preserve">Krajowy Rejestr Uwalniania i Transferu Zanieczyszczeń (PRTR) </w:t>
      </w:r>
    </w:p>
    <w:p w14:paraId="6CE2E9AD" w14:textId="4419EF96" w:rsidR="00895F16" w:rsidRPr="007F400A" w:rsidRDefault="002A3FE5" w:rsidP="00056EE7">
      <w:pPr>
        <w:spacing w:after="0" w:line="300" w:lineRule="atLeast"/>
        <w:ind w:firstLine="567"/>
        <w:jc w:val="both"/>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rPr>
        <w:t xml:space="preserve">Rejestr obejmuje dane dotyczące zakładów określonych w art. 236b ust. 1 ustawy z dnia 27 kwietnia 2001 r. Prawo ochrony środowiska, tj. prowadzących co najmniej jedną z działalności wymienionych w załączniku I do rozporządzenia (WE) Nr 166/2006. </w:t>
      </w:r>
      <w:r>
        <w:rPr>
          <w:rFonts w:ascii="Times New Roman" w:eastAsia="Times New Roman" w:hAnsi="Times New Roman" w:cs="Times New Roman"/>
          <w:sz w:val="24"/>
          <w:szCs w:val="24"/>
        </w:rPr>
        <w:lastRenderedPageBreak/>
        <w:t>Gromadzone dane obejmują, oprócz danych identyfikacyjnych wszystkich zakładów, dane dotyczące uwolnień i transferów zanieczyszczeń i odpadów w przypadku zakładów, które objęte są obowiązkiem sprawozdawczym, tj. przekroczyły wartości progowe określone w załączniku II i art. 5 rozporządzenia (WE) Nr 166/2006 dla uwolnień i transferów zanieczyszczeń i odpadów. W 2022 r. rejestr obejmował 3 812 zakładów</w:t>
      </w:r>
      <w:r w:rsidR="00895F16" w:rsidRPr="007F400A">
        <w:rPr>
          <w:rFonts w:ascii="Times New Roman" w:eastAsia="Times New Roman" w:hAnsi="Times New Roman" w:cs="Times New Roman"/>
          <w:sz w:val="24"/>
          <w:szCs w:val="24"/>
          <w:lang w:eastAsia="pl-PL"/>
        </w:rPr>
        <w:t>.</w:t>
      </w:r>
    </w:p>
    <w:p w14:paraId="582B7B0C" w14:textId="0D4CE29D" w:rsidR="00895F16" w:rsidRPr="007F400A" w:rsidRDefault="004966BE" w:rsidP="00056EE7">
      <w:pPr>
        <w:spacing w:after="0" w:line="300" w:lineRule="atLeast"/>
        <w:jc w:val="both"/>
        <w:rPr>
          <w:rFonts w:ascii="Times New Roman" w:eastAsia="Times New Roman" w:hAnsi="Times New Roman" w:cs="Times New Roman"/>
          <w:sz w:val="24"/>
          <w:szCs w:val="24"/>
          <w:lang w:eastAsia="pl-PL"/>
        </w:rPr>
      </w:pPr>
      <w:r w:rsidRPr="007F400A">
        <w:rPr>
          <w:rFonts w:ascii="Times New Roman" w:eastAsia="Times New Roman" w:hAnsi="Times New Roman" w:cs="Times New Roman"/>
          <w:sz w:val="24"/>
          <w:szCs w:val="24"/>
          <w:lang w:eastAsia="pl-PL"/>
        </w:rPr>
        <w:t xml:space="preserve">  </w:t>
      </w:r>
    </w:p>
    <w:p w14:paraId="171C561A" w14:textId="77777777" w:rsidR="00895F16" w:rsidRPr="007F400A" w:rsidRDefault="00895F16" w:rsidP="000B037C">
      <w:pPr>
        <w:keepNext/>
        <w:spacing w:after="120" w:line="300" w:lineRule="atLeast"/>
        <w:outlineLvl w:val="0"/>
        <w:rPr>
          <w:rFonts w:ascii="Times New Roman" w:eastAsia="Times New Roman" w:hAnsi="Times New Roman" w:cs="Times New Roman"/>
          <w:b/>
          <w:bCs/>
          <w:sz w:val="24"/>
          <w:szCs w:val="24"/>
          <w:lang w:val="x-none" w:eastAsia="x-none"/>
        </w:rPr>
      </w:pPr>
      <w:bookmarkStart w:id="194" w:name="_Toc515437532"/>
      <w:bookmarkStart w:id="195" w:name="_Toc5878571"/>
      <w:bookmarkStart w:id="196" w:name="_Toc36732594"/>
      <w:bookmarkStart w:id="197" w:name="_Toc135935632"/>
      <w:r w:rsidRPr="007F400A">
        <w:rPr>
          <w:rFonts w:ascii="Times New Roman" w:eastAsia="Times New Roman" w:hAnsi="Times New Roman" w:cs="Times New Roman"/>
          <w:b/>
          <w:bCs/>
          <w:sz w:val="24"/>
          <w:szCs w:val="24"/>
          <w:lang w:val="x-none" w:eastAsia="x-none"/>
        </w:rPr>
        <w:t xml:space="preserve">4. </w:t>
      </w:r>
      <w:r w:rsidRPr="007F400A">
        <w:rPr>
          <w:rFonts w:ascii="Times New Roman" w:eastAsia="Times New Roman" w:hAnsi="Times New Roman" w:cs="Times New Roman"/>
          <w:b/>
          <w:bCs/>
          <w:sz w:val="24"/>
          <w:szCs w:val="24"/>
          <w:lang w:eastAsia="x-none"/>
        </w:rPr>
        <w:t>Wybrane sankcje i d</w:t>
      </w:r>
      <w:proofErr w:type="spellStart"/>
      <w:r w:rsidRPr="007F400A">
        <w:rPr>
          <w:rFonts w:ascii="Times New Roman" w:eastAsia="Times New Roman" w:hAnsi="Times New Roman" w:cs="Times New Roman"/>
          <w:b/>
          <w:bCs/>
          <w:sz w:val="24"/>
          <w:szCs w:val="24"/>
          <w:lang w:val="x-none" w:eastAsia="x-none"/>
        </w:rPr>
        <w:t>ziałania</w:t>
      </w:r>
      <w:proofErr w:type="spellEnd"/>
      <w:r w:rsidRPr="007F400A">
        <w:rPr>
          <w:rFonts w:ascii="Times New Roman" w:eastAsia="Times New Roman" w:hAnsi="Times New Roman" w:cs="Times New Roman"/>
          <w:b/>
          <w:bCs/>
          <w:sz w:val="24"/>
          <w:szCs w:val="24"/>
          <w:lang w:val="x-none" w:eastAsia="x-none"/>
        </w:rPr>
        <w:t xml:space="preserve"> pokontrolne</w:t>
      </w:r>
      <w:bookmarkEnd w:id="194"/>
      <w:bookmarkEnd w:id="195"/>
      <w:bookmarkEnd w:id="196"/>
      <w:bookmarkEnd w:id="197"/>
    </w:p>
    <w:p w14:paraId="1D28170E" w14:textId="77777777" w:rsidR="00B72DC0" w:rsidRPr="007F400A" w:rsidRDefault="00B72DC0" w:rsidP="000B037C">
      <w:pPr>
        <w:autoSpaceDE w:val="0"/>
        <w:spacing w:after="60" w:line="300" w:lineRule="atLeast"/>
        <w:ind w:firstLine="567"/>
        <w:jc w:val="both"/>
        <w:rPr>
          <w:rFonts w:ascii="Times New Roman" w:eastAsia="Times New Roman" w:hAnsi="Times New Roman" w:cs="Times New Roman"/>
          <w:sz w:val="24"/>
          <w:szCs w:val="24"/>
        </w:rPr>
      </w:pPr>
      <w:bookmarkStart w:id="198" w:name="_Toc5878572"/>
      <w:bookmarkStart w:id="199" w:name="_Toc36732595"/>
      <w:r w:rsidRPr="007F400A">
        <w:rPr>
          <w:rFonts w:ascii="Times New Roman" w:eastAsia="Times New Roman" w:hAnsi="Times New Roman" w:cs="Times New Roman"/>
          <w:sz w:val="24"/>
          <w:szCs w:val="24"/>
        </w:rPr>
        <w:t xml:space="preserve">W </w:t>
      </w:r>
      <w:r>
        <w:rPr>
          <w:rFonts w:ascii="Times New Roman" w:eastAsia="Times New Roman" w:hAnsi="Times New Roman" w:cs="Times New Roman"/>
          <w:sz w:val="24"/>
          <w:szCs w:val="24"/>
        </w:rPr>
        <w:t>2022</w:t>
      </w:r>
      <w:r w:rsidRPr="007F400A">
        <w:rPr>
          <w:rFonts w:ascii="Times New Roman" w:eastAsia="Times New Roman" w:hAnsi="Times New Roman" w:cs="Times New Roman"/>
          <w:sz w:val="24"/>
          <w:szCs w:val="24"/>
        </w:rPr>
        <w:t xml:space="preserve"> r. wojewódzcy inspektorzy ochrony środowiska po stwierdzeniu naruszeń wymagań ochrony środowiska oraz na podstawie ustaleń kontroli:</w:t>
      </w:r>
    </w:p>
    <w:p w14:paraId="26092697" w14:textId="77777777" w:rsidR="00B72DC0" w:rsidRPr="007F400A" w:rsidRDefault="00B72DC0" w:rsidP="00D34F97">
      <w:pPr>
        <w:numPr>
          <w:ilvl w:val="0"/>
          <w:numId w:val="137"/>
        </w:numPr>
        <w:spacing w:after="0" w:line="300" w:lineRule="atLeast"/>
        <w:ind w:left="924" w:hanging="357"/>
        <w:jc w:val="both"/>
        <w:rPr>
          <w:rFonts w:ascii="Times New Roman" w:eastAsia="Times New Roman" w:hAnsi="Times New Roman" w:cs="Times New Roman"/>
          <w:sz w:val="24"/>
          <w:szCs w:val="24"/>
        </w:rPr>
      </w:pPr>
      <w:r w:rsidRPr="007F400A">
        <w:rPr>
          <w:rFonts w:ascii="Times New Roman" w:eastAsia="Times New Roman" w:hAnsi="Times New Roman" w:cs="Times New Roman"/>
          <w:sz w:val="24"/>
          <w:szCs w:val="24"/>
        </w:rPr>
        <w:t>nakładali grzywny w drodze mandatu karnego lub pouczali za wykroczenia dotyczące naruszenia przepisów ochrony środowiska,</w:t>
      </w:r>
    </w:p>
    <w:p w14:paraId="481A32AA" w14:textId="77777777" w:rsidR="00B72DC0" w:rsidRPr="007F400A" w:rsidRDefault="00B72DC0" w:rsidP="00D34F97">
      <w:pPr>
        <w:numPr>
          <w:ilvl w:val="0"/>
          <w:numId w:val="137"/>
        </w:numPr>
        <w:spacing w:after="0" w:line="300" w:lineRule="atLeast"/>
        <w:ind w:left="924" w:hanging="357"/>
        <w:jc w:val="both"/>
        <w:rPr>
          <w:rFonts w:ascii="Times New Roman" w:eastAsia="Times New Roman" w:hAnsi="Times New Roman" w:cs="Times New Roman"/>
          <w:sz w:val="24"/>
          <w:szCs w:val="24"/>
        </w:rPr>
      </w:pPr>
      <w:r w:rsidRPr="007F400A">
        <w:rPr>
          <w:rFonts w:ascii="Times New Roman" w:eastAsia="Times New Roman" w:hAnsi="Times New Roman" w:cs="Times New Roman"/>
          <w:sz w:val="24"/>
          <w:szCs w:val="24"/>
        </w:rPr>
        <w:t>wydawali zarządzenia pokontrolne zobowiązujące do usunięcia stwierdzonych naruszeń,</w:t>
      </w:r>
    </w:p>
    <w:p w14:paraId="30168C5C" w14:textId="423EA294" w:rsidR="00B72DC0" w:rsidRPr="000048B8" w:rsidRDefault="00B72DC0" w:rsidP="00D34F97">
      <w:pPr>
        <w:numPr>
          <w:ilvl w:val="0"/>
          <w:numId w:val="137"/>
        </w:numPr>
        <w:spacing w:after="0" w:line="300" w:lineRule="atLeast"/>
        <w:ind w:left="924" w:hanging="357"/>
        <w:jc w:val="both"/>
        <w:rPr>
          <w:rFonts w:ascii="Times New Roman" w:eastAsia="Times New Roman" w:hAnsi="Times New Roman" w:cs="Times New Roman"/>
          <w:sz w:val="24"/>
          <w:szCs w:val="24"/>
        </w:rPr>
      </w:pPr>
      <w:r w:rsidRPr="007F400A">
        <w:rPr>
          <w:rFonts w:ascii="Times New Roman" w:eastAsia="Times New Roman" w:hAnsi="Times New Roman" w:cs="Times New Roman"/>
          <w:sz w:val="24"/>
          <w:szCs w:val="24"/>
        </w:rPr>
        <w:t>wymierzali administracyjne kary pieniężne</w:t>
      </w:r>
      <w:r>
        <w:rPr>
          <w:rFonts w:ascii="Times New Roman" w:eastAsia="Times New Roman" w:hAnsi="Times New Roman" w:cs="Times New Roman"/>
          <w:sz w:val="24"/>
          <w:szCs w:val="24"/>
        </w:rPr>
        <w:t>, w tym opłaty podwyższone,</w:t>
      </w:r>
      <w:r w:rsidRPr="007F400A">
        <w:rPr>
          <w:rFonts w:ascii="Times New Roman" w:eastAsia="Times New Roman" w:hAnsi="Times New Roman" w:cs="Times New Roman"/>
          <w:sz w:val="24"/>
          <w:szCs w:val="24"/>
        </w:rPr>
        <w:t xml:space="preserve"> za</w:t>
      </w:r>
      <w:r>
        <w:rPr>
          <w:rFonts w:ascii="Times New Roman" w:eastAsia="Times New Roman" w:hAnsi="Times New Roman" w:cs="Times New Roman"/>
          <w:sz w:val="24"/>
          <w:szCs w:val="24"/>
        </w:rPr>
        <w:t> </w:t>
      </w:r>
      <w:r w:rsidRPr="007F400A">
        <w:rPr>
          <w:rFonts w:ascii="Times New Roman" w:eastAsia="Times New Roman" w:hAnsi="Times New Roman" w:cs="Times New Roman"/>
          <w:sz w:val="24"/>
          <w:szCs w:val="24"/>
        </w:rPr>
        <w:t xml:space="preserve">naruszenia warunków emisyjnych określonych w pozwoleniach: </w:t>
      </w:r>
      <w:r w:rsidRPr="000048B8">
        <w:rPr>
          <w:rFonts w:ascii="Times New Roman" w:eastAsia="Times New Roman" w:hAnsi="Times New Roman" w:cs="Times New Roman"/>
          <w:sz w:val="24"/>
          <w:szCs w:val="24"/>
        </w:rPr>
        <w:t>za przekroczenie dopuszczalnej ilości gazów lub pyłów wprowadzanych do powietrza,</w:t>
      </w:r>
      <w:r w:rsidR="003F21F0">
        <w:rPr>
          <w:rFonts w:ascii="Times New Roman" w:eastAsia="Times New Roman" w:hAnsi="Times New Roman" w:cs="Times New Roman"/>
          <w:sz w:val="24"/>
          <w:szCs w:val="24"/>
        </w:rPr>
        <w:t xml:space="preserve"> za </w:t>
      </w:r>
      <w:r w:rsidRPr="000048B8">
        <w:rPr>
          <w:rFonts w:ascii="Times New Roman" w:eastAsia="Times New Roman" w:hAnsi="Times New Roman" w:cs="Times New Roman"/>
          <w:sz w:val="24"/>
          <w:szCs w:val="24"/>
        </w:rPr>
        <w:t xml:space="preserve">przekroczenie dopuszczalnego poziomu hałasu, za przekroczenie warunków poboru wody, za przekroczenia warunków dotyczących wprowadzania ścieków do wód oraz do ziemi, </w:t>
      </w:r>
    </w:p>
    <w:p w14:paraId="6C136EC6" w14:textId="3CFBB786" w:rsidR="00B72DC0" w:rsidRPr="000048B8" w:rsidRDefault="00B72DC0" w:rsidP="00D34F97">
      <w:pPr>
        <w:numPr>
          <w:ilvl w:val="0"/>
          <w:numId w:val="138"/>
        </w:numPr>
        <w:spacing w:after="0" w:line="300" w:lineRule="atLeast"/>
        <w:ind w:left="924" w:hanging="357"/>
        <w:jc w:val="both"/>
        <w:rPr>
          <w:rFonts w:ascii="Times New Roman" w:eastAsia="Times New Roman" w:hAnsi="Times New Roman" w:cs="Times New Roman"/>
          <w:sz w:val="24"/>
          <w:szCs w:val="24"/>
        </w:rPr>
      </w:pPr>
      <w:r w:rsidRPr="000048B8">
        <w:rPr>
          <w:rFonts w:ascii="Times New Roman" w:eastAsia="Times New Roman" w:hAnsi="Times New Roman" w:cs="Times New Roman"/>
          <w:sz w:val="24"/>
          <w:szCs w:val="24"/>
        </w:rPr>
        <w:t>wymierzali kary pieniężne za inne działania niezgodne z przepisami: ustawy o</w:t>
      </w:r>
      <w:r>
        <w:rPr>
          <w:rFonts w:ascii="Times New Roman" w:eastAsia="Times New Roman" w:hAnsi="Times New Roman" w:cs="Times New Roman"/>
          <w:sz w:val="24"/>
          <w:szCs w:val="24"/>
        </w:rPr>
        <w:t> </w:t>
      </w:r>
      <w:r w:rsidRPr="000048B8">
        <w:rPr>
          <w:rFonts w:ascii="Times New Roman" w:eastAsia="Times New Roman" w:hAnsi="Times New Roman" w:cs="Times New Roman"/>
          <w:sz w:val="24"/>
          <w:szCs w:val="24"/>
        </w:rPr>
        <w:t>międzynarodowym przemieszczaniu odpad</w:t>
      </w:r>
      <w:r w:rsidR="003F21F0">
        <w:rPr>
          <w:rFonts w:ascii="Times New Roman" w:eastAsia="Times New Roman" w:hAnsi="Times New Roman" w:cs="Times New Roman"/>
          <w:sz w:val="24"/>
          <w:szCs w:val="24"/>
        </w:rPr>
        <w:t>ów</w:t>
      </w:r>
      <w:r w:rsidRPr="000048B8">
        <w:rPr>
          <w:rFonts w:ascii="Times New Roman" w:eastAsia="Times New Roman" w:hAnsi="Times New Roman" w:cs="Times New Roman"/>
          <w:sz w:val="24"/>
          <w:szCs w:val="24"/>
        </w:rPr>
        <w:t>, ustawy o odpadach, ustawy o utrzymaniu czystości i porządku w gminach, ustawy o zużytym sprzęcie elektrycznym i elektronicznym, ustawy o bateriach i akumulatorach, ustawy o recyklingu pojazdów wycofanych z eksploatacji, ustawy o systemie handlu uprawnieniami do emisji gazów cieplarnianych, ustawy o substancjach zubożających warstwę ozonową oraz o niektórych fluorowanych gazach cieplarnianych, ustawy o</w:t>
      </w:r>
      <w:r>
        <w:rPr>
          <w:rFonts w:ascii="Times New Roman" w:eastAsia="Times New Roman" w:hAnsi="Times New Roman" w:cs="Times New Roman"/>
          <w:sz w:val="24"/>
          <w:szCs w:val="24"/>
        </w:rPr>
        <w:t> </w:t>
      </w:r>
      <w:r w:rsidRPr="000048B8">
        <w:rPr>
          <w:rFonts w:ascii="Times New Roman" w:eastAsia="Times New Roman" w:hAnsi="Times New Roman" w:cs="Times New Roman"/>
          <w:sz w:val="24"/>
          <w:szCs w:val="24"/>
        </w:rPr>
        <w:t>przeciwdziałaniu marnowaniu żywności, ustawy o gospodarce opakowaniami i</w:t>
      </w:r>
      <w:r>
        <w:rPr>
          <w:rFonts w:ascii="Times New Roman" w:eastAsia="Times New Roman" w:hAnsi="Times New Roman" w:cs="Times New Roman"/>
          <w:sz w:val="24"/>
          <w:szCs w:val="24"/>
        </w:rPr>
        <w:t> </w:t>
      </w:r>
      <w:r w:rsidRPr="000048B8">
        <w:rPr>
          <w:rFonts w:ascii="Times New Roman" w:eastAsia="Times New Roman" w:hAnsi="Times New Roman" w:cs="Times New Roman"/>
          <w:sz w:val="24"/>
          <w:szCs w:val="24"/>
        </w:rPr>
        <w:t>odpadami opakowaniowymi, ustawy o lasach, ustawy o udostępnianiu informacji o</w:t>
      </w:r>
      <w:r>
        <w:rPr>
          <w:rFonts w:ascii="Times New Roman" w:eastAsia="Times New Roman" w:hAnsi="Times New Roman" w:cs="Times New Roman"/>
          <w:sz w:val="24"/>
          <w:szCs w:val="24"/>
        </w:rPr>
        <w:t> </w:t>
      </w:r>
      <w:r w:rsidRPr="000048B8">
        <w:rPr>
          <w:rFonts w:ascii="Times New Roman" w:eastAsia="Times New Roman" w:hAnsi="Times New Roman" w:cs="Times New Roman"/>
          <w:sz w:val="24"/>
          <w:szCs w:val="24"/>
        </w:rPr>
        <w:t>środowisku i jego ochronie, udziale społeczeństwa w ochronie środowiska oraz</w:t>
      </w:r>
      <w:r>
        <w:rPr>
          <w:rFonts w:ascii="Times New Roman" w:eastAsia="Times New Roman" w:hAnsi="Times New Roman" w:cs="Times New Roman"/>
          <w:sz w:val="24"/>
          <w:szCs w:val="24"/>
        </w:rPr>
        <w:t> </w:t>
      </w:r>
      <w:r w:rsidRPr="000048B8">
        <w:rPr>
          <w:rFonts w:ascii="Times New Roman" w:eastAsia="Times New Roman" w:hAnsi="Times New Roman" w:cs="Times New Roman"/>
          <w:sz w:val="24"/>
          <w:szCs w:val="24"/>
        </w:rPr>
        <w:t>o</w:t>
      </w:r>
      <w:r>
        <w:rPr>
          <w:rFonts w:ascii="Times New Roman" w:eastAsia="Times New Roman" w:hAnsi="Times New Roman" w:cs="Times New Roman"/>
          <w:sz w:val="24"/>
          <w:szCs w:val="24"/>
        </w:rPr>
        <w:t> </w:t>
      </w:r>
      <w:r w:rsidRPr="000048B8">
        <w:rPr>
          <w:rFonts w:ascii="Times New Roman" w:eastAsia="Times New Roman" w:hAnsi="Times New Roman" w:cs="Times New Roman"/>
          <w:sz w:val="24"/>
          <w:szCs w:val="24"/>
        </w:rPr>
        <w:t>ocenach oddziaływania na środowisko, ustawy o systemach homologacji typu UE i nadzoru rynku silników spalinowych przeznaczonych do maszyn mobilnych nieporuszających się po drogach, ustawy o Inspekcji Ochrony Środowiska, ustawy Prawo ochrony środowiska w zakresie PRTR, programów ochrony powietrza, maksymalnych emisji substancji, magazynowania lub składowania odpadów,</w:t>
      </w:r>
    </w:p>
    <w:p w14:paraId="408D9B77" w14:textId="77777777" w:rsidR="00B72DC0" w:rsidRPr="00B654A0" w:rsidRDefault="00B72DC0" w:rsidP="00D34F97">
      <w:pPr>
        <w:numPr>
          <w:ilvl w:val="0"/>
          <w:numId w:val="138"/>
        </w:numPr>
        <w:spacing w:after="0" w:line="300" w:lineRule="atLeast"/>
        <w:ind w:left="924" w:hanging="357"/>
        <w:jc w:val="both"/>
        <w:rPr>
          <w:rFonts w:ascii="Times New Roman" w:eastAsia="Times New Roman" w:hAnsi="Times New Roman" w:cs="Times New Roman"/>
          <w:sz w:val="24"/>
          <w:szCs w:val="24"/>
        </w:rPr>
      </w:pPr>
      <w:r w:rsidRPr="000048B8">
        <w:rPr>
          <w:rFonts w:ascii="Times New Roman" w:hAnsi="Times New Roman" w:cs="Times New Roman"/>
          <w:sz w:val="24"/>
          <w:szCs w:val="24"/>
        </w:rPr>
        <w:t xml:space="preserve">ustalali </w:t>
      </w:r>
      <w:r>
        <w:rPr>
          <w:rFonts w:ascii="Times New Roman" w:hAnsi="Times New Roman" w:cs="Times New Roman"/>
          <w:sz w:val="24"/>
          <w:szCs w:val="24"/>
        </w:rPr>
        <w:t xml:space="preserve">opłaty </w:t>
      </w:r>
      <w:r w:rsidRPr="00B654A0">
        <w:rPr>
          <w:rFonts w:ascii="Times New Roman" w:hAnsi="Times New Roman" w:cs="Times New Roman"/>
          <w:sz w:val="24"/>
          <w:szCs w:val="24"/>
        </w:rPr>
        <w:t>za nieprzestrzeganie</w:t>
      </w:r>
      <w:r>
        <w:rPr>
          <w:rFonts w:ascii="Times New Roman" w:hAnsi="Times New Roman" w:cs="Times New Roman"/>
          <w:sz w:val="24"/>
          <w:szCs w:val="24"/>
        </w:rPr>
        <w:t xml:space="preserve"> </w:t>
      </w:r>
      <w:r w:rsidRPr="00B654A0">
        <w:rPr>
          <w:rFonts w:ascii="Times New Roman" w:hAnsi="Times New Roman" w:cs="Times New Roman"/>
          <w:sz w:val="24"/>
          <w:szCs w:val="24"/>
        </w:rPr>
        <w:t>przepisów ustawy</w:t>
      </w:r>
      <w:r>
        <w:rPr>
          <w:rFonts w:ascii="Times New Roman" w:hAnsi="Times New Roman" w:cs="Times New Roman"/>
          <w:sz w:val="24"/>
          <w:szCs w:val="24"/>
        </w:rPr>
        <w:t xml:space="preserve"> </w:t>
      </w:r>
      <w:r w:rsidRPr="00B654A0">
        <w:rPr>
          <w:rFonts w:ascii="Times New Roman" w:hAnsi="Times New Roman" w:cs="Times New Roman"/>
          <w:sz w:val="24"/>
          <w:szCs w:val="24"/>
        </w:rPr>
        <w:t>Prawo wodne w zakresie ochrony wód</w:t>
      </w:r>
      <w:r>
        <w:rPr>
          <w:rFonts w:ascii="Times New Roman" w:hAnsi="Times New Roman" w:cs="Times New Roman"/>
          <w:sz w:val="24"/>
          <w:szCs w:val="24"/>
        </w:rPr>
        <w:t xml:space="preserve"> </w:t>
      </w:r>
      <w:r w:rsidRPr="00B654A0">
        <w:rPr>
          <w:rFonts w:ascii="Times New Roman" w:hAnsi="Times New Roman" w:cs="Times New Roman"/>
          <w:sz w:val="24"/>
          <w:szCs w:val="24"/>
        </w:rPr>
        <w:t>przed zanieczyszczeniami azotanami</w:t>
      </w:r>
      <w:r>
        <w:rPr>
          <w:rFonts w:ascii="Times New Roman" w:hAnsi="Times New Roman" w:cs="Times New Roman"/>
          <w:sz w:val="24"/>
          <w:szCs w:val="24"/>
        </w:rPr>
        <w:t xml:space="preserve"> </w:t>
      </w:r>
      <w:r w:rsidRPr="00B654A0">
        <w:rPr>
          <w:rFonts w:ascii="Times New Roman" w:hAnsi="Times New Roman" w:cs="Times New Roman"/>
          <w:sz w:val="24"/>
          <w:szCs w:val="24"/>
        </w:rPr>
        <w:t>pochodzącymi ze źródeł rolniczych</w:t>
      </w:r>
      <w:r>
        <w:rPr>
          <w:rFonts w:ascii="Times New Roman" w:hAnsi="Times New Roman" w:cs="Times New Roman"/>
          <w:sz w:val="24"/>
          <w:szCs w:val="24"/>
        </w:rPr>
        <w:t>,</w:t>
      </w:r>
    </w:p>
    <w:p w14:paraId="1391EFB0" w14:textId="77777777" w:rsidR="00B72DC0" w:rsidRPr="007F400A" w:rsidRDefault="00B72DC0" w:rsidP="00D34F97">
      <w:pPr>
        <w:numPr>
          <w:ilvl w:val="0"/>
          <w:numId w:val="138"/>
        </w:numPr>
        <w:spacing w:after="0" w:line="300" w:lineRule="atLeast"/>
        <w:ind w:left="924" w:hanging="357"/>
        <w:jc w:val="both"/>
        <w:rPr>
          <w:rFonts w:ascii="Times New Roman" w:eastAsia="Times New Roman" w:hAnsi="Times New Roman" w:cs="Times New Roman"/>
          <w:sz w:val="24"/>
          <w:szCs w:val="24"/>
        </w:rPr>
      </w:pPr>
      <w:r w:rsidRPr="00B654A0">
        <w:rPr>
          <w:rFonts w:ascii="Times New Roman" w:eastAsia="Times New Roman" w:hAnsi="Times New Roman" w:cs="Times New Roman"/>
          <w:sz w:val="24"/>
          <w:szCs w:val="24"/>
        </w:rPr>
        <w:t>ustalali</w:t>
      </w:r>
      <w:r w:rsidRPr="007F400A">
        <w:rPr>
          <w:rFonts w:ascii="Times New Roman" w:eastAsia="Times New Roman" w:hAnsi="Times New Roman" w:cs="Times New Roman"/>
          <w:sz w:val="24"/>
          <w:szCs w:val="24"/>
        </w:rPr>
        <w:t xml:space="preserve"> koszty kontroli, na podstawie których stwierdzono naruszenia wymagań ochrony środowiska,</w:t>
      </w:r>
    </w:p>
    <w:p w14:paraId="60A4E30A" w14:textId="77777777" w:rsidR="00B72DC0" w:rsidRPr="007F400A" w:rsidRDefault="00B72DC0" w:rsidP="00D34F97">
      <w:pPr>
        <w:numPr>
          <w:ilvl w:val="0"/>
          <w:numId w:val="138"/>
        </w:numPr>
        <w:spacing w:after="0" w:line="300" w:lineRule="atLeast"/>
        <w:ind w:left="924" w:hanging="357"/>
        <w:jc w:val="both"/>
        <w:rPr>
          <w:rFonts w:ascii="Times New Roman" w:eastAsia="Times New Roman" w:hAnsi="Times New Roman" w:cs="Times New Roman"/>
          <w:sz w:val="24"/>
          <w:szCs w:val="24"/>
        </w:rPr>
      </w:pPr>
      <w:r w:rsidRPr="007F400A">
        <w:rPr>
          <w:rFonts w:ascii="Times New Roman" w:eastAsia="Times New Roman" w:hAnsi="Times New Roman" w:cs="Times New Roman"/>
          <w:sz w:val="24"/>
          <w:szCs w:val="24"/>
        </w:rPr>
        <w:t>kierowali wystąpienia do organów administracji rządowej i samorządowej o</w:t>
      </w:r>
      <w:r>
        <w:rPr>
          <w:rFonts w:ascii="Times New Roman" w:eastAsia="Times New Roman" w:hAnsi="Times New Roman" w:cs="Times New Roman"/>
          <w:sz w:val="24"/>
          <w:szCs w:val="24"/>
        </w:rPr>
        <w:t xml:space="preserve"> </w:t>
      </w:r>
      <w:r w:rsidRPr="007F400A">
        <w:rPr>
          <w:rFonts w:ascii="Times New Roman" w:eastAsia="Times New Roman" w:hAnsi="Times New Roman" w:cs="Times New Roman"/>
          <w:sz w:val="24"/>
          <w:szCs w:val="24"/>
        </w:rPr>
        <w:t>podjęcie działań pozostających w kompetencji tych organów,</w:t>
      </w:r>
    </w:p>
    <w:p w14:paraId="30A6E800" w14:textId="77777777" w:rsidR="00B72DC0" w:rsidRPr="007F400A" w:rsidRDefault="00B72DC0" w:rsidP="00D34F97">
      <w:pPr>
        <w:numPr>
          <w:ilvl w:val="0"/>
          <w:numId w:val="138"/>
        </w:numPr>
        <w:spacing w:after="0" w:line="300" w:lineRule="atLeast"/>
        <w:ind w:left="924" w:hanging="357"/>
        <w:jc w:val="both"/>
        <w:rPr>
          <w:rFonts w:ascii="Times New Roman" w:eastAsia="Times New Roman" w:hAnsi="Times New Roman" w:cs="Times New Roman"/>
          <w:sz w:val="24"/>
          <w:szCs w:val="24"/>
        </w:rPr>
      </w:pPr>
      <w:r w:rsidRPr="007F400A">
        <w:rPr>
          <w:rFonts w:ascii="Times New Roman" w:eastAsia="Times New Roman" w:hAnsi="Times New Roman" w:cs="Times New Roman"/>
          <w:sz w:val="24"/>
          <w:szCs w:val="24"/>
        </w:rPr>
        <w:t>wydawali decyzje wstrzymujące działalność powodującą naruszenie wymagań ochrony środowiska lub użytkowanie instalacji albo decyzje ustalające terminy usunięcia naruszeń,</w:t>
      </w:r>
    </w:p>
    <w:p w14:paraId="0E1F1B06" w14:textId="77777777" w:rsidR="00B72DC0" w:rsidRPr="007F400A" w:rsidRDefault="00B72DC0" w:rsidP="00D34F97">
      <w:pPr>
        <w:numPr>
          <w:ilvl w:val="0"/>
          <w:numId w:val="138"/>
        </w:numPr>
        <w:spacing w:after="0" w:line="300" w:lineRule="atLeast"/>
        <w:ind w:left="924" w:hanging="357"/>
        <w:jc w:val="both"/>
        <w:rPr>
          <w:rFonts w:ascii="Times New Roman" w:eastAsia="Times New Roman" w:hAnsi="Times New Roman" w:cs="Times New Roman"/>
          <w:sz w:val="24"/>
          <w:szCs w:val="24"/>
        </w:rPr>
      </w:pPr>
      <w:r w:rsidRPr="007F400A">
        <w:rPr>
          <w:rFonts w:ascii="Times New Roman" w:eastAsia="Times New Roman" w:hAnsi="Times New Roman" w:cs="Times New Roman"/>
          <w:sz w:val="24"/>
          <w:szCs w:val="24"/>
        </w:rPr>
        <w:t>kierowali wystąpienia do organów ścigania w przypadku podejrzenia popełnienia przestępstwa lub wykroczenia.</w:t>
      </w:r>
    </w:p>
    <w:p w14:paraId="5A5C728B" w14:textId="77777777" w:rsidR="00B72DC0" w:rsidRPr="003F21F0" w:rsidRDefault="00B72DC0" w:rsidP="003F21F0">
      <w:pPr>
        <w:spacing w:after="0" w:line="300" w:lineRule="atLeast"/>
        <w:ind w:firstLine="567"/>
        <w:contextualSpacing/>
        <w:jc w:val="both"/>
        <w:rPr>
          <w:rFonts w:ascii="Times New Roman" w:hAnsi="Times New Roman" w:cs="Times New Roman"/>
          <w:sz w:val="24"/>
          <w:szCs w:val="24"/>
        </w:rPr>
      </w:pPr>
      <w:r w:rsidRPr="003F21F0">
        <w:rPr>
          <w:rFonts w:ascii="Times New Roman" w:hAnsi="Times New Roman" w:cs="Times New Roman"/>
          <w:sz w:val="24"/>
          <w:szCs w:val="24"/>
        </w:rPr>
        <w:lastRenderedPageBreak/>
        <w:t xml:space="preserve">Ponadto, w ramach działalności pokontrolnej wojewódzcy inspektorzy ochrony środowiska prowadzili postępowania egzekucyjne mające doprowadzić do wykonania obowiązków wynikających z mocy prawa lub z decyzji administracyjnych. Wojewódzcy inspektorzy ochrony środowiska w czasie kontroli udzielali też instruktażu, szczególnie w przypadku nowych obowiązków nałożonych na podmioty. </w:t>
      </w:r>
    </w:p>
    <w:p w14:paraId="27A335A2" w14:textId="77777777" w:rsidR="00B72DC0" w:rsidRPr="003F21F0" w:rsidRDefault="00B72DC0" w:rsidP="003F21F0">
      <w:pPr>
        <w:spacing w:after="0" w:line="300" w:lineRule="atLeast"/>
        <w:ind w:firstLine="567"/>
        <w:contextualSpacing/>
        <w:jc w:val="both"/>
        <w:rPr>
          <w:rFonts w:ascii="Times New Roman" w:hAnsi="Times New Roman" w:cs="Times New Roman"/>
          <w:sz w:val="24"/>
          <w:szCs w:val="24"/>
        </w:rPr>
      </w:pPr>
      <w:r w:rsidRPr="003F21F0">
        <w:rPr>
          <w:rFonts w:ascii="Times New Roman" w:hAnsi="Times New Roman" w:cs="Times New Roman"/>
          <w:sz w:val="24"/>
          <w:szCs w:val="24"/>
        </w:rPr>
        <w:t>Szczegółowe informacje o tych działaniach zawarte są w podrozdziale trzecim, opisującym wyniki kontroli i stwierdzone naruszenia w zakładach poszczególnych kategorii ryzyka. W niniejszym podrozdziale przedstawiono zbiorcze informacje o poszczególnych rodzajach sankcji i działań pokontrolnych.</w:t>
      </w:r>
    </w:p>
    <w:p w14:paraId="3B4D5A59" w14:textId="2265AE21" w:rsidR="00B72DC0" w:rsidRPr="003F21F0" w:rsidRDefault="00B72DC0" w:rsidP="003F21F0">
      <w:pPr>
        <w:spacing w:after="0" w:line="300" w:lineRule="atLeast"/>
        <w:ind w:firstLine="567"/>
        <w:jc w:val="both"/>
        <w:rPr>
          <w:rFonts w:ascii="Times New Roman" w:eastAsia="Times New Roman" w:hAnsi="Times New Roman" w:cs="Times New Roman"/>
          <w:sz w:val="24"/>
          <w:szCs w:val="24"/>
        </w:rPr>
      </w:pPr>
      <w:r w:rsidRPr="003F21F0">
        <w:rPr>
          <w:rFonts w:ascii="Times New Roman" w:eastAsia="Times New Roman" w:hAnsi="Times New Roman" w:cs="Times New Roman"/>
          <w:bCs/>
          <w:sz w:val="24"/>
          <w:szCs w:val="24"/>
        </w:rPr>
        <w:t xml:space="preserve">W związku z naruszeniami wymagań ochrony środowiska stwierdzonymi w wyniku przeprowadzonych kontroli wojewódzcy inspektorzy </w:t>
      </w:r>
      <w:r w:rsidRPr="003F21F0">
        <w:rPr>
          <w:rFonts w:ascii="Times New Roman" w:eastAsia="Times New Roman" w:hAnsi="Times New Roman" w:cs="Times New Roman"/>
          <w:sz w:val="24"/>
          <w:szCs w:val="24"/>
        </w:rPr>
        <w:t xml:space="preserve">ochrony środowiska </w:t>
      </w:r>
      <w:r w:rsidRPr="003F21F0">
        <w:rPr>
          <w:rFonts w:ascii="Times New Roman" w:eastAsia="Times New Roman" w:hAnsi="Times New Roman" w:cs="Times New Roman"/>
          <w:bCs/>
          <w:sz w:val="24"/>
          <w:szCs w:val="24"/>
        </w:rPr>
        <w:t>zastosowali 24 048 sankcj</w:t>
      </w:r>
      <w:r w:rsidR="003F21F0">
        <w:rPr>
          <w:rFonts w:ascii="Times New Roman" w:eastAsia="Times New Roman" w:hAnsi="Times New Roman" w:cs="Times New Roman"/>
          <w:bCs/>
          <w:sz w:val="24"/>
          <w:szCs w:val="24"/>
        </w:rPr>
        <w:t>i</w:t>
      </w:r>
      <w:r w:rsidRPr="003F21F0">
        <w:rPr>
          <w:rFonts w:ascii="Times New Roman" w:eastAsia="Times New Roman" w:hAnsi="Times New Roman" w:cs="Times New Roman"/>
          <w:bCs/>
          <w:sz w:val="24"/>
          <w:szCs w:val="24"/>
        </w:rPr>
        <w:t xml:space="preserve"> i działa</w:t>
      </w:r>
      <w:r w:rsidR="003F21F0">
        <w:rPr>
          <w:rFonts w:ascii="Times New Roman" w:eastAsia="Times New Roman" w:hAnsi="Times New Roman" w:cs="Times New Roman"/>
          <w:bCs/>
          <w:sz w:val="24"/>
          <w:szCs w:val="24"/>
        </w:rPr>
        <w:t>ń</w:t>
      </w:r>
      <w:r w:rsidRPr="003F21F0">
        <w:rPr>
          <w:rFonts w:ascii="Times New Roman" w:eastAsia="Times New Roman" w:hAnsi="Times New Roman" w:cs="Times New Roman"/>
          <w:bCs/>
          <w:sz w:val="24"/>
          <w:szCs w:val="24"/>
        </w:rPr>
        <w:t xml:space="preserve"> pokontroln</w:t>
      </w:r>
      <w:r w:rsidR="003F21F0">
        <w:rPr>
          <w:rFonts w:ascii="Times New Roman" w:eastAsia="Times New Roman" w:hAnsi="Times New Roman" w:cs="Times New Roman"/>
          <w:bCs/>
          <w:sz w:val="24"/>
          <w:szCs w:val="24"/>
        </w:rPr>
        <w:t>ych</w:t>
      </w:r>
      <w:r w:rsidRPr="003F21F0">
        <w:rPr>
          <w:rFonts w:ascii="Times New Roman" w:eastAsia="Times New Roman" w:hAnsi="Times New Roman" w:cs="Times New Roman"/>
          <w:bCs/>
          <w:sz w:val="24"/>
          <w:szCs w:val="24"/>
        </w:rPr>
        <w:t>.</w:t>
      </w:r>
    </w:p>
    <w:p w14:paraId="218FE1A6" w14:textId="77777777" w:rsidR="00B72DC0" w:rsidRPr="007F400A" w:rsidRDefault="00B72DC0" w:rsidP="003F21F0">
      <w:pPr>
        <w:spacing w:after="0" w:line="300" w:lineRule="atLeast"/>
        <w:ind w:firstLine="567"/>
        <w:jc w:val="both"/>
        <w:rPr>
          <w:rFonts w:ascii="Times New Roman" w:eastAsia="Times New Roman" w:hAnsi="Times New Roman" w:cs="Times New Roman"/>
          <w:sz w:val="24"/>
          <w:szCs w:val="24"/>
        </w:rPr>
      </w:pPr>
      <w:r w:rsidRPr="003F21F0">
        <w:rPr>
          <w:rFonts w:ascii="Times New Roman" w:eastAsia="Times New Roman" w:hAnsi="Times New Roman" w:cs="Times New Roman"/>
          <w:sz w:val="24"/>
          <w:szCs w:val="24"/>
        </w:rPr>
        <w:t>Najczęściej stosowanym działaniem pokontrolnym były wystąpienia do innych organów (5 256), które stanowiły 21,9% wszystkich działań pokontrolnych. Pozostałe sankcje i działania pokontrolne liczbowo przedstawiają się jak poniżej: zarządzenia pokontrolne (5 083), decyzje administracyjne</w:t>
      </w:r>
      <w:r w:rsidRPr="003F21F0">
        <w:rPr>
          <w:rFonts w:ascii="Times New Roman" w:eastAsia="Times New Roman" w:hAnsi="Times New Roman" w:cs="Times New Roman"/>
          <w:color w:val="000000"/>
          <w:sz w:val="24"/>
          <w:szCs w:val="24"/>
        </w:rPr>
        <w:t xml:space="preserve"> o charakterze pieniężnym (4 655),</w:t>
      </w:r>
      <w:r w:rsidRPr="003F21F0">
        <w:rPr>
          <w:rFonts w:ascii="Times New Roman" w:eastAsia="Times New Roman" w:hAnsi="Times New Roman" w:cs="Times New Roman"/>
          <w:sz w:val="24"/>
          <w:szCs w:val="24"/>
        </w:rPr>
        <w:t xml:space="preserve"> pouczenia (3 328), postanowienia (2 362), mandaty karne (2 305), wnioski do sądów powszechnych (400), inne decyzje</w:t>
      </w:r>
      <w:r w:rsidRPr="003F21F0">
        <w:rPr>
          <w:rStyle w:val="Odwoanieprzypisudolnego"/>
          <w:rFonts w:eastAsia="Times New Roman" w:cs="Times New Roman"/>
          <w:sz w:val="24"/>
          <w:szCs w:val="24"/>
        </w:rPr>
        <w:footnoteReference w:id="40"/>
      </w:r>
      <w:r w:rsidRPr="003F21F0">
        <w:rPr>
          <w:rFonts w:ascii="Times New Roman" w:eastAsia="Times New Roman" w:hAnsi="Times New Roman" w:cs="Times New Roman"/>
          <w:sz w:val="24"/>
          <w:szCs w:val="24"/>
        </w:rPr>
        <w:t xml:space="preserve"> (374), wnioski do organów ścigania (285).</w:t>
      </w:r>
    </w:p>
    <w:p w14:paraId="27D06490" w14:textId="77777777" w:rsidR="00B72DC0" w:rsidRPr="007F400A" w:rsidRDefault="00B72DC0" w:rsidP="00056EE7">
      <w:pPr>
        <w:spacing w:after="0" w:line="300" w:lineRule="atLeast"/>
        <w:ind w:firstLine="567"/>
        <w:jc w:val="both"/>
        <w:rPr>
          <w:rFonts w:ascii="Times New Roman" w:eastAsia="Times New Roman" w:hAnsi="Times New Roman" w:cs="Times New Roman"/>
          <w:sz w:val="24"/>
          <w:szCs w:val="24"/>
        </w:rPr>
      </w:pPr>
    </w:p>
    <w:p w14:paraId="00AEB831" w14:textId="578718AC" w:rsidR="00B72DC0" w:rsidRDefault="00B72DC0" w:rsidP="00056EE7">
      <w:pPr>
        <w:spacing w:line="300" w:lineRule="atLeast"/>
        <w:jc w:val="center"/>
        <w:rPr>
          <w:rFonts w:ascii="Times New Roman" w:hAnsi="Times New Roman" w:cs="Times New Roman"/>
          <w:b/>
        </w:rPr>
      </w:pPr>
      <w:r w:rsidRPr="007F400A">
        <w:rPr>
          <w:rFonts w:ascii="Times New Roman" w:hAnsi="Times New Roman" w:cs="Times New Roman"/>
          <w:b/>
        </w:rPr>
        <w:t xml:space="preserve">Tabela </w:t>
      </w:r>
      <w:r>
        <w:rPr>
          <w:rFonts w:ascii="Times New Roman" w:hAnsi="Times New Roman" w:cs="Times New Roman"/>
          <w:b/>
        </w:rPr>
        <w:t>6</w:t>
      </w:r>
      <w:r w:rsidRPr="007F400A">
        <w:rPr>
          <w:rFonts w:ascii="Times New Roman" w:hAnsi="Times New Roman" w:cs="Times New Roman"/>
          <w:b/>
        </w:rPr>
        <w:t>. Wybrane sankcje i działania pokontrolne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98"/>
        <w:gridCol w:w="779"/>
        <w:gridCol w:w="635"/>
        <w:gridCol w:w="546"/>
        <w:gridCol w:w="546"/>
        <w:gridCol w:w="546"/>
        <w:gridCol w:w="565"/>
        <w:gridCol w:w="936"/>
        <w:gridCol w:w="935"/>
        <w:gridCol w:w="935"/>
        <w:gridCol w:w="941"/>
      </w:tblGrid>
      <w:tr w:rsidR="002A155A" w:rsidRPr="007F400A" w14:paraId="5DEADA25" w14:textId="77777777" w:rsidTr="00D61D6A">
        <w:trPr>
          <w:trHeight w:val="990"/>
        </w:trPr>
        <w:tc>
          <w:tcPr>
            <w:tcW w:w="937" w:type="pct"/>
            <w:vMerge w:val="restart"/>
            <w:noWrap/>
            <w:vAlign w:val="center"/>
            <w:hideMark/>
          </w:tcPr>
          <w:p w14:paraId="253FDDB4" w14:textId="77777777" w:rsidR="002A155A" w:rsidRPr="007F400A" w:rsidRDefault="002A155A" w:rsidP="00D61D6A">
            <w:pPr>
              <w:spacing w:after="0" w:line="240" w:lineRule="auto"/>
              <w:jc w:val="center"/>
              <w:rPr>
                <w:rFonts w:ascii="Times New Roman" w:eastAsia="Times New Roman" w:hAnsi="Times New Roman" w:cs="Times New Roman"/>
                <w:b/>
                <w:color w:val="000000"/>
                <w:sz w:val="18"/>
                <w:szCs w:val="18"/>
              </w:rPr>
            </w:pPr>
            <w:bookmarkStart w:id="200" w:name="_Hlk134098557"/>
            <w:r w:rsidRPr="007F400A">
              <w:rPr>
                <w:rFonts w:ascii="Times New Roman" w:eastAsia="Times New Roman" w:hAnsi="Times New Roman" w:cs="Times New Roman"/>
                <w:b/>
                <w:color w:val="000000"/>
                <w:sz w:val="18"/>
                <w:szCs w:val="18"/>
              </w:rPr>
              <w:t>Województwo</w:t>
            </w:r>
          </w:p>
        </w:tc>
        <w:tc>
          <w:tcPr>
            <w:tcW w:w="430" w:type="pct"/>
            <w:vMerge w:val="restart"/>
            <w:shd w:val="clear" w:color="auto" w:fill="auto"/>
            <w:textDirection w:val="btLr"/>
            <w:vAlign w:val="center"/>
            <w:hideMark/>
          </w:tcPr>
          <w:p w14:paraId="1E290DEC" w14:textId="77777777" w:rsidR="002A155A" w:rsidRPr="007F400A" w:rsidRDefault="002A155A" w:rsidP="00D61D6A">
            <w:pPr>
              <w:spacing w:after="0" w:line="240" w:lineRule="auto"/>
              <w:jc w:val="center"/>
              <w:rPr>
                <w:rFonts w:ascii="Times New Roman" w:eastAsia="Times New Roman" w:hAnsi="Times New Roman" w:cs="Times New Roman"/>
                <w:b/>
                <w:color w:val="000000"/>
                <w:sz w:val="18"/>
                <w:szCs w:val="18"/>
              </w:rPr>
            </w:pPr>
            <w:r w:rsidRPr="007F400A">
              <w:rPr>
                <w:rFonts w:ascii="Times New Roman" w:hAnsi="Times New Roman" w:cs="Times New Roman"/>
                <w:b/>
                <w:color w:val="000000"/>
                <w:sz w:val="18"/>
                <w:szCs w:val="18"/>
              </w:rPr>
              <w:t xml:space="preserve">Liczba podmiotów </w:t>
            </w:r>
            <w:r w:rsidRPr="007F400A">
              <w:rPr>
                <w:rFonts w:ascii="Times New Roman" w:hAnsi="Times New Roman" w:cs="Times New Roman"/>
                <w:b/>
                <w:color w:val="000000"/>
                <w:sz w:val="18"/>
                <w:szCs w:val="18"/>
              </w:rPr>
              <w:br/>
              <w:t xml:space="preserve">w ewidencji </w:t>
            </w:r>
            <w:proofErr w:type="spellStart"/>
            <w:r w:rsidRPr="007F400A">
              <w:rPr>
                <w:rFonts w:ascii="Times New Roman" w:hAnsi="Times New Roman" w:cs="Times New Roman"/>
                <w:b/>
                <w:color w:val="000000"/>
                <w:sz w:val="18"/>
                <w:szCs w:val="18"/>
              </w:rPr>
              <w:t>wioś</w:t>
            </w:r>
            <w:proofErr w:type="spellEnd"/>
          </w:p>
        </w:tc>
        <w:tc>
          <w:tcPr>
            <w:tcW w:w="350" w:type="pct"/>
            <w:vMerge w:val="restart"/>
            <w:shd w:val="clear" w:color="auto" w:fill="auto"/>
            <w:textDirection w:val="btLr"/>
            <w:vAlign w:val="center"/>
            <w:hideMark/>
          </w:tcPr>
          <w:p w14:paraId="2807CDCF" w14:textId="77777777" w:rsidR="002A155A" w:rsidRPr="007F400A" w:rsidRDefault="002A155A" w:rsidP="00D61D6A">
            <w:pPr>
              <w:spacing w:after="0" w:line="240" w:lineRule="auto"/>
              <w:jc w:val="center"/>
              <w:rPr>
                <w:rFonts w:ascii="Times New Roman" w:eastAsia="Times New Roman" w:hAnsi="Times New Roman" w:cs="Times New Roman"/>
                <w:b/>
                <w:color w:val="000000"/>
                <w:sz w:val="18"/>
                <w:szCs w:val="18"/>
              </w:rPr>
            </w:pPr>
            <w:r w:rsidRPr="007F400A">
              <w:rPr>
                <w:rFonts w:ascii="Times New Roman" w:hAnsi="Times New Roman" w:cs="Times New Roman"/>
                <w:b/>
                <w:color w:val="000000"/>
                <w:sz w:val="18"/>
                <w:szCs w:val="18"/>
              </w:rPr>
              <w:t>Liczba przeprowadzonych kontroli</w:t>
            </w:r>
          </w:p>
        </w:tc>
        <w:tc>
          <w:tcPr>
            <w:tcW w:w="301" w:type="pct"/>
            <w:vMerge w:val="restart"/>
            <w:shd w:val="clear" w:color="auto" w:fill="auto"/>
            <w:textDirection w:val="btLr"/>
            <w:vAlign w:val="center"/>
            <w:hideMark/>
          </w:tcPr>
          <w:p w14:paraId="4E6F4515" w14:textId="77777777" w:rsidR="002A155A" w:rsidRPr="007F400A" w:rsidRDefault="002A155A" w:rsidP="00D61D6A">
            <w:pPr>
              <w:spacing w:after="0" w:line="240" w:lineRule="auto"/>
              <w:jc w:val="center"/>
              <w:rPr>
                <w:rFonts w:ascii="Times New Roman" w:eastAsia="Times New Roman" w:hAnsi="Times New Roman" w:cs="Times New Roman"/>
                <w:b/>
                <w:color w:val="000000"/>
                <w:sz w:val="18"/>
                <w:szCs w:val="18"/>
              </w:rPr>
            </w:pPr>
            <w:r w:rsidRPr="007F400A">
              <w:rPr>
                <w:rFonts w:ascii="Times New Roman" w:hAnsi="Times New Roman" w:cs="Times New Roman"/>
                <w:b/>
                <w:color w:val="000000"/>
                <w:sz w:val="18"/>
                <w:szCs w:val="18"/>
              </w:rPr>
              <w:t>Liczba udzielonych pouczeń</w:t>
            </w:r>
          </w:p>
        </w:tc>
        <w:tc>
          <w:tcPr>
            <w:tcW w:w="301" w:type="pct"/>
            <w:vMerge w:val="restart"/>
            <w:shd w:val="clear" w:color="auto" w:fill="auto"/>
            <w:textDirection w:val="btLr"/>
            <w:vAlign w:val="center"/>
            <w:hideMark/>
          </w:tcPr>
          <w:p w14:paraId="1DBA0A07" w14:textId="77777777" w:rsidR="002A155A" w:rsidRPr="007F400A" w:rsidRDefault="002A155A" w:rsidP="00D61D6A">
            <w:pPr>
              <w:spacing w:after="0" w:line="240" w:lineRule="auto"/>
              <w:jc w:val="center"/>
              <w:rPr>
                <w:rFonts w:ascii="Times New Roman" w:eastAsia="Times New Roman" w:hAnsi="Times New Roman" w:cs="Times New Roman"/>
                <w:b/>
                <w:color w:val="000000"/>
                <w:sz w:val="18"/>
                <w:szCs w:val="18"/>
              </w:rPr>
            </w:pPr>
            <w:r w:rsidRPr="007F400A">
              <w:rPr>
                <w:rFonts w:ascii="Times New Roman" w:hAnsi="Times New Roman" w:cs="Times New Roman"/>
                <w:b/>
                <w:color w:val="000000"/>
                <w:sz w:val="18"/>
                <w:szCs w:val="18"/>
              </w:rPr>
              <w:t>Liczba nałożonych mandatów karnych</w:t>
            </w:r>
          </w:p>
        </w:tc>
        <w:tc>
          <w:tcPr>
            <w:tcW w:w="301" w:type="pct"/>
            <w:vMerge w:val="restart"/>
            <w:shd w:val="clear" w:color="auto" w:fill="auto"/>
            <w:textDirection w:val="btLr"/>
            <w:vAlign w:val="center"/>
            <w:hideMark/>
          </w:tcPr>
          <w:p w14:paraId="051F6864" w14:textId="77777777" w:rsidR="002A155A" w:rsidRPr="007F400A" w:rsidRDefault="002A155A" w:rsidP="00D61D6A">
            <w:pPr>
              <w:spacing w:after="0" w:line="240" w:lineRule="auto"/>
              <w:jc w:val="center"/>
              <w:rPr>
                <w:rFonts w:ascii="Times New Roman" w:eastAsia="Times New Roman" w:hAnsi="Times New Roman" w:cs="Times New Roman"/>
                <w:b/>
                <w:color w:val="000000"/>
                <w:sz w:val="18"/>
                <w:szCs w:val="18"/>
              </w:rPr>
            </w:pPr>
            <w:r w:rsidRPr="007F400A">
              <w:rPr>
                <w:rFonts w:ascii="Times New Roman" w:hAnsi="Times New Roman" w:cs="Times New Roman"/>
                <w:b/>
                <w:color w:val="000000"/>
                <w:sz w:val="18"/>
                <w:szCs w:val="18"/>
              </w:rPr>
              <w:t>Liczba postanowień</w:t>
            </w:r>
            <w:r w:rsidRPr="007F400A">
              <w:rPr>
                <w:rFonts w:ascii="Times New Roman" w:hAnsi="Times New Roman" w:cs="Times New Roman"/>
                <w:b/>
                <w:color w:val="000000"/>
                <w:sz w:val="18"/>
                <w:szCs w:val="18"/>
                <w:vertAlign w:val="superscript"/>
              </w:rPr>
              <w:footnoteReference w:id="41"/>
            </w:r>
          </w:p>
        </w:tc>
        <w:tc>
          <w:tcPr>
            <w:tcW w:w="312" w:type="pct"/>
            <w:vMerge w:val="restart"/>
            <w:shd w:val="clear" w:color="auto" w:fill="auto"/>
            <w:textDirection w:val="btLr"/>
            <w:vAlign w:val="center"/>
            <w:hideMark/>
          </w:tcPr>
          <w:p w14:paraId="20F4807F" w14:textId="77777777" w:rsidR="002A155A" w:rsidRPr="007F400A" w:rsidRDefault="002A155A" w:rsidP="00D61D6A">
            <w:pPr>
              <w:spacing w:after="0" w:line="240" w:lineRule="auto"/>
              <w:jc w:val="center"/>
              <w:rPr>
                <w:rFonts w:ascii="Times New Roman" w:eastAsia="Times New Roman" w:hAnsi="Times New Roman" w:cs="Times New Roman"/>
                <w:b/>
                <w:color w:val="000000"/>
                <w:sz w:val="18"/>
                <w:szCs w:val="18"/>
              </w:rPr>
            </w:pPr>
            <w:r w:rsidRPr="007F400A">
              <w:rPr>
                <w:rFonts w:ascii="Times New Roman" w:hAnsi="Times New Roman" w:cs="Times New Roman"/>
                <w:b/>
                <w:color w:val="000000"/>
                <w:sz w:val="18"/>
                <w:szCs w:val="18"/>
              </w:rPr>
              <w:t>Liczba wydanych zarządzeń pokontrolnych</w:t>
            </w:r>
          </w:p>
        </w:tc>
        <w:tc>
          <w:tcPr>
            <w:tcW w:w="1548" w:type="pct"/>
            <w:gridSpan w:val="3"/>
            <w:noWrap/>
            <w:vAlign w:val="center"/>
            <w:hideMark/>
          </w:tcPr>
          <w:p w14:paraId="5EF25C81" w14:textId="77777777" w:rsidR="002A155A" w:rsidRPr="007F400A" w:rsidRDefault="002A155A" w:rsidP="00D61D6A">
            <w:pPr>
              <w:spacing w:after="0" w:line="240" w:lineRule="auto"/>
              <w:jc w:val="center"/>
              <w:rPr>
                <w:rFonts w:ascii="Times New Roman" w:eastAsia="Times New Roman" w:hAnsi="Times New Roman" w:cs="Times New Roman"/>
                <w:b/>
                <w:color w:val="000000"/>
                <w:sz w:val="18"/>
                <w:szCs w:val="18"/>
              </w:rPr>
            </w:pPr>
            <w:r w:rsidRPr="007F400A">
              <w:rPr>
                <w:rFonts w:ascii="Times New Roman" w:eastAsia="Times New Roman" w:hAnsi="Times New Roman" w:cs="Times New Roman"/>
                <w:b/>
                <w:color w:val="000000"/>
                <w:sz w:val="18"/>
                <w:szCs w:val="18"/>
              </w:rPr>
              <w:t>Liczba wniosków skierowanych do</w:t>
            </w:r>
          </w:p>
        </w:tc>
        <w:tc>
          <w:tcPr>
            <w:tcW w:w="519" w:type="pct"/>
            <w:vMerge w:val="restart"/>
            <w:textDirection w:val="btLr"/>
            <w:vAlign w:val="center"/>
            <w:hideMark/>
          </w:tcPr>
          <w:p w14:paraId="12D3AEF0" w14:textId="77777777" w:rsidR="002A155A" w:rsidRPr="007F400A" w:rsidRDefault="002A155A" w:rsidP="00D61D6A">
            <w:pPr>
              <w:spacing w:after="0" w:line="240" w:lineRule="auto"/>
              <w:jc w:val="center"/>
              <w:rPr>
                <w:rFonts w:ascii="Times New Roman" w:eastAsia="Times New Roman" w:hAnsi="Times New Roman" w:cs="Times New Roman"/>
                <w:b/>
                <w:color w:val="000000"/>
                <w:sz w:val="18"/>
                <w:szCs w:val="18"/>
              </w:rPr>
            </w:pPr>
            <w:r w:rsidRPr="007F400A">
              <w:rPr>
                <w:rFonts w:ascii="Times New Roman" w:eastAsia="Times New Roman" w:hAnsi="Times New Roman" w:cs="Times New Roman"/>
                <w:b/>
                <w:color w:val="000000"/>
                <w:sz w:val="18"/>
                <w:szCs w:val="18"/>
              </w:rPr>
              <w:t>Liczba wydanych decyzji ostatecznych o charakterze pieniężnym</w:t>
            </w:r>
          </w:p>
        </w:tc>
      </w:tr>
      <w:tr w:rsidR="002A155A" w:rsidRPr="007F400A" w14:paraId="01B392C2" w14:textId="77777777" w:rsidTr="00D61D6A">
        <w:trPr>
          <w:trHeight w:val="1320"/>
        </w:trPr>
        <w:tc>
          <w:tcPr>
            <w:tcW w:w="937" w:type="pct"/>
            <w:vMerge/>
            <w:vAlign w:val="center"/>
            <w:hideMark/>
          </w:tcPr>
          <w:p w14:paraId="15BF96AF" w14:textId="77777777" w:rsidR="002A155A" w:rsidRPr="007F400A" w:rsidRDefault="002A155A" w:rsidP="00D61D6A">
            <w:pPr>
              <w:spacing w:line="300" w:lineRule="atLeast"/>
              <w:rPr>
                <w:rFonts w:ascii="Times New Roman" w:eastAsia="Times New Roman" w:hAnsi="Times New Roman" w:cs="Times New Roman"/>
                <w:color w:val="000000"/>
                <w:sz w:val="18"/>
                <w:szCs w:val="18"/>
              </w:rPr>
            </w:pPr>
          </w:p>
        </w:tc>
        <w:tc>
          <w:tcPr>
            <w:tcW w:w="430" w:type="pct"/>
            <w:vMerge/>
            <w:vAlign w:val="center"/>
            <w:hideMark/>
          </w:tcPr>
          <w:p w14:paraId="720477DC" w14:textId="77777777" w:rsidR="002A155A" w:rsidRPr="007F400A" w:rsidRDefault="002A155A" w:rsidP="00D61D6A">
            <w:pPr>
              <w:spacing w:after="0" w:line="240" w:lineRule="auto"/>
              <w:jc w:val="center"/>
              <w:rPr>
                <w:rFonts w:ascii="Times New Roman" w:eastAsia="Times New Roman" w:hAnsi="Times New Roman" w:cs="Times New Roman"/>
                <w:color w:val="000000"/>
                <w:sz w:val="18"/>
                <w:szCs w:val="18"/>
              </w:rPr>
            </w:pPr>
          </w:p>
        </w:tc>
        <w:tc>
          <w:tcPr>
            <w:tcW w:w="350" w:type="pct"/>
            <w:vMerge/>
            <w:vAlign w:val="center"/>
            <w:hideMark/>
          </w:tcPr>
          <w:p w14:paraId="30772D48" w14:textId="77777777" w:rsidR="002A155A" w:rsidRPr="007F400A" w:rsidRDefault="002A155A" w:rsidP="00D61D6A">
            <w:pPr>
              <w:spacing w:after="0" w:line="240" w:lineRule="auto"/>
              <w:jc w:val="center"/>
              <w:rPr>
                <w:rFonts w:ascii="Times New Roman" w:eastAsia="Times New Roman" w:hAnsi="Times New Roman" w:cs="Times New Roman"/>
                <w:color w:val="000000"/>
                <w:sz w:val="18"/>
                <w:szCs w:val="18"/>
              </w:rPr>
            </w:pPr>
          </w:p>
        </w:tc>
        <w:tc>
          <w:tcPr>
            <w:tcW w:w="301" w:type="pct"/>
            <w:vMerge/>
            <w:vAlign w:val="center"/>
            <w:hideMark/>
          </w:tcPr>
          <w:p w14:paraId="6710EE75" w14:textId="77777777" w:rsidR="002A155A" w:rsidRPr="007F400A" w:rsidRDefault="002A155A" w:rsidP="00D61D6A">
            <w:pPr>
              <w:spacing w:after="0" w:line="240" w:lineRule="auto"/>
              <w:jc w:val="center"/>
              <w:rPr>
                <w:rFonts w:ascii="Times New Roman" w:eastAsia="Times New Roman" w:hAnsi="Times New Roman" w:cs="Times New Roman"/>
                <w:color w:val="000000"/>
                <w:sz w:val="18"/>
                <w:szCs w:val="18"/>
              </w:rPr>
            </w:pPr>
          </w:p>
        </w:tc>
        <w:tc>
          <w:tcPr>
            <w:tcW w:w="301" w:type="pct"/>
            <w:vMerge/>
            <w:vAlign w:val="center"/>
            <w:hideMark/>
          </w:tcPr>
          <w:p w14:paraId="0F98ED67" w14:textId="77777777" w:rsidR="002A155A" w:rsidRPr="007F400A" w:rsidRDefault="002A155A" w:rsidP="00D61D6A">
            <w:pPr>
              <w:spacing w:after="0" w:line="240" w:lineRule="auto"/>
              <w:jc w:val="center"/>
              <w:rPr>
                <w:rFonts w:ascii="Times New Roman" w:eastAsia="Times New Roman" w:hAnsi="Times New Roman" w:cs="Times New Roman"/>
                <w:color w:val="000000"/>
                <w:sz w:val="18"/>
                <w:szCs w:val="18"/>
              </w:rPr>
            </w:pPr>
          </w:p>
        </w:tc>
        <w:tc>
          <w:tcPr>
            <w:tcW w:w="301" w:type="pct"/>
            <w:vMerge/>
            <w:vAlign w:val="center"/>
            <w:hideMark/>
          </w:tcPr>
          <w:p w14:paraId="78D8354C" w14:textId="77777777" w:rsidR="002A155A" w:rsidRPr="007F400A" w:rsidRDefault="002A155A" w:rsidP="00D61D6A">
            <w:pPr>
              <w:spacing w:after="0" w:line="240" w:lineRule="auto"/>
              <w:jc w:val="center"/>
              <w:rPr>
                <w:rFonts w:ascii="Times New Roman" w:eastAsia="Times New Roman" w:hAnsi="Times New Roman" w:cs="Times New Roman"/>
                <w:color w:val="000000"/>
                <w:sz w:val="18"/>
                <w:szCs w:val="18"/>
              </w:rPr>
            </w:pPr>
          </w:p>
        </w:tc>
        <w:tc>
          <w:tcPr>
            <w:tcW w:w="312" w:type="pct"/>
            <w:vMerge/>
            <w:vAlign w:val="center"/>
            <w:hideMark/>
          </w:tcPr>
          <w:p w14:paraId="19819D3F" w14:textId="77777777" w:rsidR="002A155A" w:rsidRPr="007F400A" w:rsidRDefault="002A155A" w:rsidP="00D61D6A">
            <w:pPr>
              <w:spacing w:after="0" w:line="240" w:lineRule="auto"/>
              <w:jc w:val="center"/>
              <w:rPr>
                <w:rFonts w:ascii="Times New Roman" w:eastAsia="Times New Roman" w:hAnsi="Times New Roman" w:cs="Times New Roman"/>
                <w:color w:val="000000"/>
                <w:sz w:val="18"/>
                <w:szCs w:val="18"/>
              </w:rPr>
            </w:pPr>
          </w:p>
        </w:tc>
        <w:tc>
          <w:tcPr>
            <w:tcW w:w="516" w:type="pct"/>
            <w:textDirection w:val="btLr"/>
            <w:vAlign w:val="center"/>
            <w:hideMark/>
          </w:tcPr>
          <w:p w14:paraId="1C7A3E73" w14:textId="77777777" w:rsidR="002A155A" w:rsidRPr="007F400A" w:rsidRDefault="002A155A" w:rsidP="00D61D6A">
            <w:pPr>
              <w:spacing w:after="0" w:line="240" w:lineRule="auto"/>
              <w:jc w:val="center"/>
              <w:rPr>
                <w:rFonts w:ascii="Times New Roman" w:eastAsia="Times New Roman" w:hAnsi="Times New Roman" w:cs="Times New Roman"/>
                <w:b/>
                <w:color w:val="000000"/>
                <w:sz w:val="18"/>
                <w:szCs w:val="18"/>
              </w:rPr>
            </w:pPr>
            <w:r w:rsidRPr="007F400A">
              <w:rPr>
                <w:rFonts w:ascii="Times New Roman" w:eastAsia="Times New Roman" w:hAnsi="Times New Roman" w:cs="Times New Roman"/>
                <w:b/>
                <w:color w:val="000000"/>
                <w:sz w:val="18"/>
                <w:szCs w:val="18"/>
              </w:rPr>
              <w:t>organów ścigania</w:t>
            </w:r>
          </w:p>
        </w:tc>
        <w:tc>
          <w:tcPr>
            <w:tcW w:w="516" w:type="pct"/>
            <w:textDirection w:val="btLr"/>
            <w:vAlign w:val="center"/>
            <w:hideMark/>
          </w:tcPr>
          <w:p w14:paraId="18BA7CF9" w14:textId="77777777" w:rsidR="002A155A" w:rsidRPr="007F400A" w:rsidRDefault="002A155A" w:rsidP="00D61D6A">
            <w:pPr>
              <w:spacing w:after="0" w:line="240" w:lineRule="auto"/>
              <w:jc w:val="center"/>
              <w:rPr>
                <w:rFonts w:ascii="Times New Roman" w:eastAsia="Times New Roman" w:hAnsi="Times New Roman" w:cs="Times New Roman"/>
                <w:b/>
                <w:color w:val="000000"/>
                <w:sz w:val="18"/>
                <w:szCs w:val="18"/>
              </w:rPr>
            </w:pPr>
            <w:r w:rsidRPr="007F400A">
              <w:rPr>
                <w:rFonts w:ascii="Times New Roman" w:eastAsia="Times New Roman" w:hAnsi="Times New Roman" w:cs="Times New Roman"/>
                <w:b/>
                <w:color w:val="000000"/>
                <w:sz w:val="18"/>
                <w:szCs w:val="18"/>
              </w:rPr>
              <w:t>sądów powszechnych</w:t>
            </w:r>
          </w:p>
        </w:tc>
        <w:tc>
          <w:tcPr>
            <w:tcW w:w="516" w:type="pct"/>
            <w:textDirection w:val="btLr"/>
            <w:vAlign w:val="center"/>
            <w:hideMark/>
          </w:tcPr>
          <w:p w14:paraId="455922F7" w14:textId="77777777" w:rsidR="002A155A" w:rsidRPr="007F400A" w:rsidRDefault="002A155A" w:rsidP="00D61D6A">
            <w:pPr>
              <w:spacing w:after="0" w:line="240" w:lineRule="auto"/>
              <w:jc w:val="center"/>
              <w:rPr>
                <w:rFonts w:ascii="Times New Roman" w:eastAsia="Times New Roman" w:hAnsi="Times New Roman" w:cs="Times New Roman"/>
                <w:b/>
                <w:color w:val="000000"/>
                <w:sz w:val="18"/>
                <w:szCs w:val="18"/>
              </w:rPr>
            </w:pPr>
            <w:r w:rsidRPr="007F400A">
              <w:rPr>
                <w:rFonts w:ascii="Times New Roman" w:eastAsia="Times New Roman" w:hAnsi="Times New Roman" w:cs="Times New Roman"/>
                <w:b/>
                <w:color w:val="000000"/>
                <w:sz w:val="18"/>
                <w:szCs w:val="18"/>
              </w:rPr>
              <w:t>administracji publicznej i policji</w:t>
            </w:r>
            <w:r w:rsidRPr="007F400A">
              <w:rPr>
                <w:rFonts w:ascii="Times New Roman" w:hAnsi="Times New Roman" w:cs="Times New Roman"/>
                <w:b/>
                <w:color w:val="000000"/>
                <w:sz w:val="18"/>
                <w:szCs w:val="18"/>
                <w:vertAlign w:val="superscript"/>
              </w:rPr>
              <w:footnoteReference w:id="42"/>
            </w:r>
          </w:p>
        </w:tc>
        <w:tc>
          <w:tcPr>
            <w:tcW w:w="519" w:type="pct"/>
            <w:vMerge/>
            <w:vAlign w:val="center"/>
            <w:hideMark/>
          </w:tcPr>
          <w:p w14:paraId="079F34A7" w14:textId="77777777" w:rsidR="002A155A" w:rsidRPr="007F400A" w:rsidRDefault="002A155A" w:rsidP="00D61D6A">
            <w:pPr>
              <w:spacing w:line="300" w:lineRule="atLeast"/>
              <w:rPr>
                <w:rFonts w:ascii="Times New Roman" w:eastAsia="Times New Roman" w:hAnsi="Times New Roman" w:cs="Times New Roman"/>
                <w:color w:val="000000"/>
                <w:sz w:val="18"/>
                <w:szCs w:val="18"/>
              </w:rPr>
            </w:pPr>
          </w:p>
        </w:tc>
      </w:tr>
      <w:tr w:rsidR="002A155A" w:rsidRPr="007F400A" w14:paraId="0F7E9B71" w14:textId="77777777" w:rsidTr="00D61D6A">
        <w:trPr>
          <w:trHeight w:val="346"/>
        </w:trPr>
        <w:tc>
          <w:tcPr>
            <w:tcW w:w="937" w:type="pct"/>
            <w:vAlign w:val="center"/>
            <w:hideMark/>
          </w:tcPr>
          <w:p w14:paraId="6111D6C5" w14:textId="77777777" w:rsidR="002A155A" w:rsidRPr="007F400A" w:rsidRDefault="002A155A" w:rsidP="00D61D6A">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Dolnośląskie</w:t>
            </w:r>
          </w:p>
        </w:tc>
        <w:tc>
          <w:tcPr>
            <w:tcW w:w="430" w:type="pct"/>
            <w:shd w:val="clear" w:color="auto" w:fill="auto"/>
            <w:vAlign w:val="center"/>
            <w:hideMark/>
          </w:tcPr>
          <w:p w14:paraId="0469298D" w14:textId="77777777" w:rsidR="002A155A" w:rsidRPr="00D94D20" w:rsidRDefault="002A155A" w:rsidP="00D61D6A">
            <w:pPr>
              <w:spacing w:after="0" w:line="300" w:lineRule="atLeast"/>
              <w:jc w:val="center"/>
              <w:rPr>
                <w:rFonts w:ascii="Times New Roman" w:eastAsia="Times New Roman" w:hAnsi="Times New Roman" w:cs="Times New Roman"/>
                <w:bCs/>
                <w:color w:val="000000"/>
                <w:sz w:val="18"/>
                <w:szCs w:val="18"/>
              </w:rPr>
            </w:pPr>
            <w:r w:rsidRPr="002934BC">
              <w:rPr>
                <w:rFonts w:ascii="Times New Roman" w:hAnsi="Times New Roman" w:cs="Times New Roman"/>
                <w:sz w:val="18"/>
                <w:szCs w:val="18"/>
              </w:rPr>
              <w:t>11 220</w:t>
            </w:r>
          </w:p>
        </w:tc>
        <w:tc>
          <w:tcPr>
            <w:tcW w:w="350" w:type="pct"/>
            <w:shd w:val="clear" w:color="auto" w:fill="auto"/>
            <w:noWrap/>
            <w:vAlign w:val="center"/>
          </w:tcPr>
          <w:p w14:paraId="516BB281" w14:textId="77777777" w:rsidR="002A155A" w:rsidRPr="00FD2EE7" w:rsidRDefault="002A155A" w:rsidP="00D61D6A">
            <w:pPr>
              <w:spacing w:after="0" w:line="300" w:lineRule="atLeast"/>
              <w:jc w:val="center"/>
              <w:rPr>
                <w:rFonts w:ascii="Times New Roman" w:eastAsia="Times New Roman" w:hAnsi="Times New Roman" w:cs="Times New Roman"/>
                <w:bCs/>
                <w:color w:val="000000"/>
                <w:sz w:val="18"/>
                <w:szCs w:val="18"/>
              </w:rPr>
            </w:pPr>
            <w:r w:rsidRPr="00B5252E">
              <w:rPr>
                <w:rFonts w:ascii="Times New Roman" w:hAnsi="Times New Roman" w:cs="Times New Roman"/>
                <w:sz w:val="18"/>
              </w:rPr>
              <w:t>2 712</w:t>
            </w:r>
          </w:p>
        </w:tc>
        <w:tc>
          <w:tcPr>
            <w:tcW w:w="301" w:type="pct"/>
            <w:shd w:val="clear" w:color="auto" w:fill="auto"/>
            <w:noWrap/>
            <w:vAlign w:val="center"/>
            <w:hideMark/>
          </w:tcPr>
          <w:p w14:paraId="2BABE61E"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180</w:t>
            </w:r>
          </w:p>
        </w:tc>
        <w:tc>
          <w:tcPr>
            <w:tcW w:w="301" w:type="pct"/>
            <w:shd w:val="clear" w:color="auto" w:fill="auto"/>
            <w:noWrap/>
            <w:vAlign w:val="center"/>
            <w:hideMark/>
          </w:tcPr>
          <w:p w14:paraId="7CA7CBE9"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49</w:t>
            </w:r>
          </w:p>
        </w:tc>
        <w:tc>
          <w:tcPr>
            <w:tcW w:w="301" w:type="pct"/>
            <w:shd w:val="clear" w:color="auto" w:fill="auto"/>
            <w:vAlign w:val="center"/>
            <w:hideMark/>
          </w:tcPr>
          <w:p w14:paraId="4C46A0A1"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138</w:t>
            </w:r>
          </w:p>
        </w:tc>
        <w:tc>
          <w:tcPr>
            <w:tcW w:w="312" w:type="pct"/>
            <w:shd w:val="clear" w:color="auto" w:fill="auto"/>
            <w:noWrap/>
            <w:vAlign w:val="center"/>
            <w:hideMark/>
          </w:tcPr>
          <w:p w14:paraId="4C8D2B69"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191</w:t>
            </w:r>
          </w:p>
        </w:tc>
        <w:tc>
          <w:tcPr>
            <w:tcW w:w="516" w:type="pct"/>
            <w:shd w:val="clear" w:color="auto" w:fill="auto"/>
            <w:vAlign w:val="center"/>
            <w:hideMark/>
          </w:tcPr>
          <w:p w14:paraId="5EC73CB3"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5</w:t>
            </w:r>
          </w:p>
        </w:tc>
        <w:tc>
          <w:tcPr>
            <w:tcW w:w="516" w:type="pct"/>
            <w:shd w:val="clear" w:color="auto" w:fill="auto"/>
            <w:noWrap/>
            <w:vAlign w:val="center"/>
            <w:hideMark/>
          </w:tcPr>
          <w:p w14:paraId="1C708BE7"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5</w:t>
            </w:r>
          </w:p>
        </w:tc>
        <w:tc>
          <w:tcPr>
            <w:tcW w:w="516" w:type="pct"/>
            <w:shd w:val="clear" w:color="auto" w:fill="auto"/>
            <w:noWrap/>
            <w:vAlign w:val="center"/>
            <w:hideMark/>
          </w:tcPr>
          <w:p w14:paraId="24B3CD79"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934BC">
              <w:rPr>
                <w:rFonts w:ascii="Times New Roman" w:hAnsi="Times New Roman" w:cs="Times New Roman"/>
                <w:sz w:val="18"/>
                <w:szCs w:val="18"/>
              </w:rPr>
              <w:t>303</w:t>
            </w:r>
          </w:p>
        </w:tc>
        <w:tc>
          <w:tcPr>
            <w:tcW w:w="519" w:type="pct"/>
            <w:shd w:val="clear" w:color="auto" w:fill="auto"/>
            <w:noWrap/>
            <w:vAlign w:val="center"/>
            <w:hideMark/>
          </w:tcPr>
          <w:p w14:paraId="20DE6969"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221</w:t>
            </w:r>
          </w:p>
        </w:tc>
      </w:tr>
      <w:tr w:rsidR="002A155A" w:rsidRPr="007F400A" w14:paraId="5EB74642" w14:textId="77777777" w:rsidTr="00D61D6A">
        <w:trPr>
          <w:trHeight w:val="346"/>
        </w:trPr>
        <w:tc>
          <w:tcPr>
            <w:tcW w:w="937" w:type="pct"/>
            <w:vAlign w:val="center"/>
            <w:hideMark/>
          </w:tcPr>
          <w:p w14:paraId="071DFDAB" w14:textId="77777777" w:rsidR="002A155A" w:rsidRPr="007F400A" w:rsidRDefault="002A155A" w:rsidP="00D61D6A">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Kujawsko-pomorskie</w:t>
            </w:r>
          </w:p>
        </w:tc>
        <w:tc>
          <w:tcPr>
            <w:tcW w:w="430" w:type="pct"/>
            <w:shd w:val="clear" w:color="auto" w:fill="auto"/>
            <w:vAlign w:val="center"/>
            <w:hideMark/>
          </w:tcPr>
          <w:p w14:paraId="249944C4" w14:textId="77777777" w:rsidR="002A155A" w:rsidRPr="007B28EF" w:rsidRDefault="002A155A" w:rsidP="00D61D6A">
            <w:pPr>
              <w:spacing w:after="0" w:line="300" w:lineRule="atLeast"/>
              <w:jc w:val="center"/>
              <w:rPr>
                <w:rFonts w:ascii="Times New Roman" w:eastAsia="Times New Roman" w:hAnsi="Times New Roman" w:cs="Times New Roman"/>
                <w:bCs/>
                <w:color w:val="000000"/>
                <w:sz w:val="18"/>
                <w:szCs w:val="18"/>
              </w:rPr>
            </w:pPr>
            <w:r w:rsidRPr="002934BC">
              <w:rPr>
                <w:rFonts w:ascii="Times New Roman" w:hAnsi="Times New Roman" w:cs="Times New Roman"/>
                <w:sz w:val="18"/>
                <w:szCs w:val="18"/>
              </w:rPr>
              <w:t>8 587</w:t>
            </w:r>
          </w:p>
        </w:tc>
        <w:tc>
          <w:tcPr>
            <w:tcW w:w="350" w:type="pct"/>
            <w:shd w:val="clear" w:color="auto" w:fill="auto"/>
            <w:noWrap/>
            <w:vAlign w:val="center"/>
          </w:tcPr>
          <w:p w14:paraId="26EFDD29" w14:textId="77777777" w:rsidR="002A155A" w:rsidRPr="00FD2EE7" w:rsidRDefault="002A155A" w:rsidP="00D61D6A">
            <w:pPr>
              <w:spacing w:after="0" w:line="300" w:lineRule="atLeast"/>
              <w:jc w:val="center"/>
              <w:rPr>
                <w:rFonts w:ascii="Times New Roman" w:eastAsia="Times New Roman" w:hAnsi="Times New Roman" w:cs="Times New Roman"/>
                <w:bCs/>
                <w:color w:val="000000"/>
                <w:sz w:val="18"/>
                <w:szCs w:val="18"/>
              </w:rPr>
            </w:pPr>
            <w:r w:rsidRPr="002934BC">
              <w:rPr>
                <w:rFonts w:ascii="Times New Roman" w:hAnsi="Times New Roman" w:cs="Times New Roman"/>
                <w:sz w:val="18"/>
              </w:rPr>
              <w:t>2 399</w:t>
            </w:r>
          </w:p>
        </w:tc>
        <w:tc>
          <w:tcPr>
            <w:tcW w:w="301" w:type="pct"/>
            <w:shd w:val="clear" w:color="auto" w:fill="auto"/>
            <w:noWrap/>
            <w:vAlign w:val="center"/>
            <w:hideMark/>
          </w:tcPr>
          <w:p w14:paraId="5B042C15"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195</w:t>
            </w:r>
          </w:p>
        </w:tc>
        <w:tc>
          <w:tcPr>
            <w:tcW w:w="301" w:type="pct"/>
            <w:shd w:val="clear" w:color="auto" w:fill="auto"/>
            <w:noWrap/>
            <w:vAlign w:val="center"/>
            <w:hideMark/>
          </w:tcPr>
          <w:p w14:paraId="4A1C18B1"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934BC">
              <w:rPr>
                <w:rFonts w:ascii="Times New Roman" w:hAnsi="Times New Roman" w:cs="Times New Roman"/>
                <w:sz w:val="18"/>
                <w:szCs w:val="18"/>
              </w:rPr>
              <w:t>133</w:t>
            </w:r>
          </w:p>
        </w:tc>
        <w:tc>
          <w:tcPr>
            <w:tcW w:w="301" w:type="pct"/>
            <w:shd w:val="clear" w:color="auto" w:fill="auto"/>
            <w:vAlign w:val="center"/>
            <w:hideMark/>
          </w:tcPr>
          <w:p w14:paraId="32EC09D4"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934BC">
              <w:rPr>
                <w:rFonts w:ascii="Times New Roman" w:hAnsi="Times New Roman" w:cs="Times New Roman"/>
                <w:sz w:val="18"/>
                <w:szCs w:val="18"/>
              </w:rPr>
              <w:t>135</w:t>
            </w:r>
          </w:p>
        </w:tc>
        <w:tc>
          <w:tcPr>
            <w:tcW w:w="312" w:type="pct"/>
            <w:shd w:val="clear" w:color="auto" w:fill="auto"/>
            <w:noWrap/>
            <w:vAlign w:val="center"/>
            <w:hideMark/>
          </w:tcPr>
          <w:p w14:paraId="2441E774"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934BC">
              <w:rPr>
                <w:rFonts w:ascii="Times New Roman" w:hAnsi="Times New Roman" w:cs="Times New Roman"/>
                <w:sz w:val="18"/>
                <w:szCs w:val="18"/>
              </w:rPr>
              <w:t>175</w:t>
            </w:r>
          </w:p>
        </w:tc>
        <w:tc>
          <w:tcPr>
            <w:tcW w:w="516" w:type="pct"/>
            <w:shd w:val="clear" w:color="auto" w:fill="auto"/>
            <w:vAlign w:val="center"/>
            <w:hideMark/>
          </w:tcPr>
          <w:p w14:paraId="0F591407"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934BC">
              <w:rPr>
                <w:rFonts w:ascii="Times New Roman" w:hAnsi="Times New Roman" w:cs="Times New Roman"/>
                <w:sz w:val="18"/>
                <w:szCs w:val="18"/>
              </w:rPr>
              <w:t>17</w:t>
            </w:r>
          </w:p>
        </w:tc>
        <w:tc>
          <w:tcPr>
            <w:tcW w:w="516" w:type="pct"/>
            <w:shd w:val="clear" w:color="auto" w:fill="auto"/>
            <w:noWrap/>
            <w:vAlign w:val="center"/>
            <w:hideMark/>
          </w:tcPr>
          <w:p w14:paraId="6761FD93"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934BC">
              <w:rPr>
                <w:rFonts w:ascii="Times New Roman" w:hAnsi="Times New Roman" w:cs="Times New Roman"/>
                <w:sz w:val="18"/>
                <w:szCs w:val="18"/>
              </w:rPr>
              <w:t>35</w:t>
            </w:r>
          </w:p>
        </w:tc>
        <w:tc>
          <w:tcPr>
            <w:tcW w:w="516" w:type="pct"/>
            <w:shd w:val="clear" w:color="auto" w:fill="auto"/>
            <w:noWrap/>
            <w:vAlign w:val="center"/>
            <w:hideMark/>
          </w:tcPr>
          <w:p w14:paraId="3549D09C"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618</w:t>
            </w:r>
          </w:p>
        </w:tc>
        <w:tc>
          <w:tcPr>
            <w:tcW w:w="519" w:type="pct"/>
            <w:shd w:val="clear" w:color="auto" w:fill="auto"/>
            <w:noWrap/>
            <w:vAlign w:val="center"/>
            <w:hideMark/>
          </w:tcPr>
          <w:p w14:paraId="6BD4D333"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934BC">
              <w:rPr>
                <w:rFonts w:ascii="Times New Roman" w:hAnsi="Times New Roman" w:cs="Times New Roman"/>
                <w:sz w:val="18"/>
                <w:szCs w:val="18"/>
              </w:rPr>
              <w:t>280</w:t>
            </w:r>
          </w:p>
        </w:tc>
      </w:tr>
      <w:tr w:rsidR="002A155A" w:rsidRPr="007F400A" w14:paraId="2FEC01EE" w14:textId="77777777" w:rsidTr="00D61D6A">
        <w:trPr>
          <w:trHeight w:val="346"/>
        </w:trPr>
        <w:tc>
          <w:tcPr>
            <w:tcW w:w="937" w:type="pct"/>
            <w:vAlign w:val="center"/>
            <w:hideMark/>
          </w:tcPr>
          <w:p w14:paraId="380F4032" w14:textId="77777777" w:rsidR="002A155A" w:rsidRPr="007F400A" w:rsidRDefault="002A155A" w:rsidP="00D61D6A">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Lubelskie</w:t>
            </w:r>
          </w:p>
        </w:tc>
        <w:tc>
          <w:tcPr>
            <w:tcW w:w="430" w:type="pct"/>
            <w:shd w:val="clear" w:color="auto" w:fill="auto"/>
            <w:vAlign w:val="center"/>
            <w:hideMark/>
          </w:tcPr>
          <w:p w14:paraId="3C1E9F6C" w14:textId="77777777" w:rsidR="002A155A" w:rsidRPr="007B28EF" w:rsidRDefault="002A155A" w:rsidP="00D61D6A">
            <w:pPr>
              <w:spacing w:after="0" w:line="300" w:lineRule="atLeast"/>
              <w:jc w:val="center"/>
              <w:rPr>
                <w:rFonts w:ascii="Times New Roman" w:eastAsia="Times New Roman" w:hAnsi="Times New Roman" w:cs="Times New Roman"/>
                <w:bCs/>
                <w:color w:val="000000"/>
                <w:sz w:val="18"/>
                <w:szCs w:val="18"/>
              </w:rPr>
            </w:pPr>
            <w:r w:rsidRPr="002934BC">
              <w:rPr>
                <w:rFonts w:ascii="Times New Roman" w:hAnsi="Times New Roman" w:cs="Times New Roman"/>
                <w:sz w:val="18"/>
                <w:szCs w:val="18"/>
              </w:rPr>
              <w:t>9 051</w:t>
            </w:r>
          </w:p>
        </w:tc>
        <w:tc>
          <w:tcPr>
            <w:tcW w:w="350" w:type="pct"/>
            <w:shd w:val="clear" w:color="auto" w:fill="auto"/>
            <w:noWrap/>
            <w:vAlign w:val="center"/>
          </w:tcPr>
          <w:p w14:paraId="7DD6C33A" w14:textId="77777777" w:rsidR="002A155A" w:rsidRPr="00FD2EE7" w:rsidRDefault="002A155A" w:rsidP="00D61D6A">
            <w:pPr>
              <w:spacing w:after="0" w:line="300" w:lineRule="atLeast"/>
              <w:jc w:val="center"/>
              <w:rPr>
                <w:rFonts w:ascii="Times New Roman" w:eastAsia="Times New Roman" w:hAnsi="Times New Roman" w:cs="Times New Roman"/>
                <w:bCs/>
                <w:color w:val="000000"/>
                <w:sz w:val="18"/>
                <w:szCs w:val="18"/>
              </w:rPr>
            </w:pPr>
            <w:r w:rsidRPr="002E359F">
              <w:rPr>
                <w:rFonts w:ascii="Times New Roman" w:hAnsi="Times New Roman" w:cs="Times New Roman"/>
                <w:sz w:val="18"/>
              </w:rPr>
              <w:t>3 040</w:t>
            </w:r>
          </w:p>
        </w:tc>
        <w:tc>
          <w:tcPr>
            <w:tcW w:w="301" w:type="pct"/>
            <w:shd w:val="clear" w:color="auto" w:fill="auto"/>
            <w:noWrap/>
            <w:vAlign w:val="center"/>
            <w:hideMark/>
          </w:tcPr>
          <w:p w14:paraId="330C95D6"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239</w:t>
            </w:r>
          </w:p>
        </w:tc>
        <w:tc>
          <w:tcPr>
            <w:tcW w:w="301" w:type="pct"/>
            <w:shd w:val="clear" w:color="auto" w:fill="auto"/>
            <w:noWrap/>
            <w:vAlign w:val="center"/>
            <w:hideMark/>
          </w:tcPr>
          <w:p w14:paraId="04DCFFB3"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934BC">
              <w:rPr>
                <w:rFonts w:ascii="Times New Roman" w:hAnsi="Times New Roman" w:cs="Times New Roman"/>
                <w:sz w:val="18"/>
                <w:szCs w:val="18"/>
              </w:rPr>
              <w:t>125</w:t>
            </w:r>
          </w:p>
        </w:tc>
        <w:tc>
          <w:tcPr>
            <w:tcW w:w="301" w:type="pct"/>
            <w:shd w:val="clear" w:color="auto" w:fill="auto"/>
            <w:vAlign w:val="center"/>
            <w:hideMark/>
          </w:tcPr>
          <w:p w14:paraId="2D4A180C"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104</w:t>
            </w:r>
          </w:p>
        </w:tc>
        <w:tc>
          <w:tcPr>
            <w:tcW w:w="312" w:type="pct"/>
            <w:shd w:val="clear" w:color="auto" w:fill="auto"/>
            <w:noWrap/>
            <w:vAlign w:val="center"/>
            <w:hideMark/>
          </w:tcPr>
          <w:p w14:paraId="0E8949AC"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934BC">
              <w:rPr>
                <w:rFonts w:ascii="Times New Roman" w:hAnsi="Times New Roman" w:cs="Times New Roman"/>
                <w:sz w:val="18"/>
                <w:szCs w:val="18"/>
              </w:rPr>
              <w:t>356</w:t>
            </w:r>
          </w:p>
        </w:tc>
        <w:tc>
          <w:tcPr>
            <w:tcW w:w="516" w:type="pct"/>
            <w:shd w:val="clear" w:color="auto" w:fill="auto"/>
            <w:vAlign w:val="center"/>
            <w:hideMark/>
          </w:tcPr>
          <w:p w14:paraId="43DBFFA2"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5</w:t>
            </w:r>
          </w:p>
        </w:tc>
        <w:tc>
          <w:tcPr>
            <w:tcW w:w="516" w:type="pct"/>
            <w:shd w:val="clear" w:color="auto" w:fill="auto"/>
            <w:noWrap/>
            <w:vAlign w:val="center"/>
            <w:hideMark/>
          </w:tcPr>
          <w:p w14:paraId="69EAD3DF"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2</w:t>
            </w:r>
          </w:p>
        </w:tc>
        <w:tc>
          <w:tcPr>
            <w:tcW w:w="516" w:type="pct"/>
            <w:shd w:val="clear" w:color="auto" w:fill="auto"/>
            <w:noWrap/>
            <w:vAlign w:val="center"/>
            <w:hideMark/>
          </w:tcPr>
          <w:p w14:paraId="70CF1309"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934BC">
              <w:rPr>
                <w:rFonts w:ascii="Times New Roman" w:hAnsi="Times New Roman" w:cs="Times New Roman"/>
                <w:sz w:val="18"/>
                <w:szCs w:val="18"/>
              </w:rPr>
              <w:t>110</w:t>
            </w:r>
          </w:p>
        </w:tc>
        <w:tc>
          <w:tcPr>
            <w:tcW w:w="519" w:type="pct"/>
            <w:shd w:val="clear" w:color="auto" w:fill="auto"/>
            <w:noWrap/>
            <w:vAlign w:val="center"/>
            <w:hideMark/>
          </w:tcPr>
          <w:p w14:paraId="531A383B"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934BC">
              <w:rPr>
                <w:rFonts w:ascii="Times New Roman" w:hAnsi="Times New Roman" w:cs="Times New Roman"/>
                <w:sz w:val="18"/>
                <w:szCs w:val="18"/>
              </w:rPr>
              <w:t>294</w:t>
            </w:r>
          </w:p>
        </w:tc>
      </w:tr>
      <w:tr w:rsidR="002A155A" w:rsidRPr="007F400A" w14:paraId="0ABA942B" w14:textId="77777777" w:rsidTr="00D61D6A">
        <w:trPr>
          <w:trHeight w:val="346"/>
        </w:trPr>
        <w:tc>
          <w:tcPr>
            <w:tcW w:w="937" w:type="pct"/>
            <w:vAlign w:val="center"/>
            <w:hideMark/>
          </w:tcPr>
          <w:p w14:paraId="0C12E0C7" w14:textId="77777777" w:rsidR="002A155A" w:rsidRPr="007F400A" w:rsidRDefault="002A155A" w:rsidP="00D61D6A">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Lubuskie</w:t>
            </w:r>
          </w:p>
        </w:tc>
        <w:tc>
          <w:tcPr>
            <w:tcW w:w="430" w:type="pct"/>
            <w:shd w:val="clear" w:color="auto" w:fill="auto"/>
            <w:vAlign w:val="center"/>
            <w:hideMark/>
          </w:tcPr>
          <w:p w14:paraId="4B45F98D" w14:textId="77777777" w:rsidR="002A155A" w:rsidRPr="007B28EF" w:rsidRDefault="002A155A" w:rsidP="00D61D6A">
            <w:pPr>
              <w:spacing w:after="0" w:line="300" w:lineRule="atLeast"/>
              <w:jc w:val="center"/>
              <w:rPr>
                <w:rFonts w:ascii="Times New Roman" w:eastAsia="Times New Roman" w:hAnsi="Times New Roman" w:cs="Times New Roman"/>
                <w:bCs/>
                <w:color w:val="000000"/>
                <w:sz w:val="18"/>
                <w:szCs w:val="18"/>
              </w:rPr>
            </w:pPr>
            <w:r w:rsidRPr="002E359F">
              <w:rPr>
                <w:rFonts w:ascii="Times New Roman" w:hAnsi="Times New Roman" w:cs="Times New Roman"/>
                <w:sz w:val="18"/>
                <w:szCs w:val="18"/>
              </w:rPr>
              <w:t>7 045</w:t>
            </w:r>
          </w:p>
        </w:tc>
        <w:tc>
          <w:tcPr>
            <w:tcW w:w="350" w:type="pct"/>
            <w:shd w:val="clear" w:color="auto" w:fill="auto"/>
            <w:noWrap/>
            <w:vAlign w:val="center"/>
          </w:tcPr>
          <w:p w14:paraId="56836618" w14:textId="77777777" w:rsidR="002A155A" w:rsidRPr="00FD2EE7" w:rsidRDefault="002A155A" w:rsidP="00D61D6A">
            <w:pPr>
              <w:spacing w:after="0" w:line="300" w:lineRule="atLeast"/>
              <w:jc w:val="center"/>
              <w:rPr>
                <w:rFonts w:ascii="Times New Roman" w:eastAsia="Times New Roman" w:hAnsi="Times New Roman" w:cs="Times New Roman"/>
                <w:bCs/>
                <w:color w:val="000000"/>
                <w:sz w:val="18"/>
                <w:szCs w:val="18"/>
              </w:rPr>
            </w:pPr>
            <w:r w:rsidRPr="002934BC">
              <w:rPr>
                <w:rFonts w:ascii="Times New Roman" w:hAnsi="Times New Roman" w:cs="Times New Roman"/>
                <w:sz w:val="18"/>
              </w:rPr>
              <w:t>2 142</w:t>
            </w:r>
          </w:p>
        </w:tc>
        <w:tc>
          <w:tcPr>
            <w:tcW w:w="301" w:type="pct"/>
            <w:shd w:val="clear" w:color="auto" w:fill="auto"/>
            <w:noWrap/>
            <w:vAlign w:val="center"/>
            <w:hideMark/>
          </w:tcPr>
          <w:p w14:paraId="09F098B0"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934BC">
              <w:rPr>
                <w:rFonts w:ascii="Times New Roman" w:hAnsi="Times New Roman" w:cs="Times New Roman"/>
                <w:sz w:val="18"/>
                <w:szCs w:val="18"/>
              </w:rPr>
              <w:t>131</w:t>
            </w:r>
          </w:p>
        </w:tc>
        <w:tc>
          <w:tcPr>
            <w:tcW w:w="301" w:type="pct"/>
            <w:shd w:val="clear" w:color="auto" w:fill="auto"/>
            <w:noWrap/>
            <w:vAlign w:val="center"/>
            <w:hideMark/>
          </w:tcPr>
          <w:p w14:paraId="6E1E55FA"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934BC">
              <w:rPr>
                <w:rFonts w:ascii="Times New Roman" w:hAnsi="Times New Roman" w:cs="Times New Roman"/>
                <w:sz w:val="18"/>
                <w:szCs w:val="18"/>
              </w:rPr>
              <w:t>167</w:t>
            </w:r>
          </w:p>
        </w:tc>
        <w:tc>
          <w:tcPr>
            <w:tcW w:w="301" w:type="pct"/>
            <w:shd w:val="clear" w:color="auto" w:fill="auto"/>
            <w:vAlign w:val="center"/>
            <w:hideMark/>
          </w:tcPr>
          <w:p w14:paraId="1CD540F2"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88</w:t>
            </w:r>
          </w:p>
        </w:tc>
        <w:tc>
          <w:tcPr>
            <w:tcW w:w="312" w:type="pct"/>
            <w:shd w:val="clear" w:color="auto" w:fill="auto"/>
            <w:noWrap/>
            <w:vAlign w:val="center"/>
            <w:hideMark/>
          </w:tcPr>
          <w:p w14:paraId="3C2957C2"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934BC">
              <w:rPr>
                <w:rFonts w:ascii="Times New Roman" w:hAnsi="Times New Roman" w:cs="Times New Roman"/>
                <w:sz w:val="18"/>
                <w:szCs w:val="18"/>
              </w:rPr>
              <w:t>378</w:t>
            </w:r>
          </w:p>
        </w:tc>
        <w:tc>
          <w:tcPr>
            <w:tcW w:w="516" w:type="pct"/>
            <w:shd w:val="clear" w:color="auto" w:fill="auto"/>
            <w:vAlign w:val="center"/>
            <w:hideMark/>
          </w:tcPr>
          <w:p w14:paraId="19189122"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934BC">
              <w:rPr>
                <w:rFonts w:ascii="Times New Roman" w:hAnsi="Times New Roman" w:cs="Times New Roman"/>
                <w:sz w:val="18"/>
                <w:szCs w:val="18"/>
              </w:rPr>
              <w:t>7</w:t>
            </w:r>
          </w:p>
        </w:tc>
        <w:tc>
          <w:tcPr>
            <w:tcW w:w="516" w:type="pct"/>
            <w:shd w:val="clear" w:color="auto" w:fill="auto"/>
            <w:noWrap/>
            <w:vAlign w:val="center"/>
            <w:hideMark/>
          </w:tcPr>
          <w:p w14:paraId="5E848F28"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0</w:t>
            </w:r>
          </w:p>
        </w:tc>
        <w:tc>
          <w:tcPr>
            <w:tcW w:w="516" w:type="pct"/>
            <w:shd w:val="clear" w:color="auto" w:fill="auto"/>
            <w:noWrap/>
            <w:vAlign w:val="center"/>
            <w:hideMark/>
          </w:tcPr>
          <w:p w14:paraId="1E74C827"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129</w:t>
            </w:r>
          </w:p>
        </w:tc>
        <w:tc>
          <w:tcPr>
            <w:tcW w:w="519" w:type="pct"/>
            <w:shd w:val="clear" w:color="auto" w:fill="auto"/>
            <w:noWrap/>
            <w:vAlign w:val="center"/>
            <w:hideMark/>
          </w:tcPr>
          <w:p w14:paraId="012F32C0"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202</w:t>
            </w:r>
          </w:p>
        </w:tc>
      </w:tr>
      <w:tr w:rsidR="002A155A" w:rsidRPr="007F400A" w14:paraId="745FE2ED" w14:textId="77777777" w:rsidTr="00D61D6A">
        <w:trPr>
          <w:trHeight w:val="346"/>
        </w:trPr>
        <w:tc>
          <w:tcPr>
            <w:tcW w:w="937" w:type="pct"/>
            <w:vAlign w:val="center"/>
            <w:hideMark/>
          </w:tcPr>
          <w:p w14:paraId="32D2F3BD" w14:textId="77777777" w:rsidR="002A155A" w:rsidRPr="007F400A" w:rsidRDefault="002A155A" w:rsidP="00D61D6A">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Łódzkie</w:t>
            </w:r>
          </w:p>
        </w:tc>
        <w:tc>
          <w:tcPr>
            <w:tcW w:w="430" w:type="pct"/>
            <w:shd w:val="clear" w:color="auto" w:fill="auto"/>
            <w:vAlign w:val="center"/>
            <w:hideMark/>
          </w:tcPr>
          <w:p w14:paraId="61DD6EE4" w14:textId="77777777" w:rsidR="002A155A" w:rsidRPr="00D94D20" w:rsidRDefault="002A155A" w:rsidP="00D61D6A">
            <w:pPr>
              <w:spacing w:after="0" w:line="300" w:lineRule="atLeast"/>
              <w:jc w:val="center"/>
              <w:rPr>
                <w:rFonts w:ascii="Times New Roman" w:eastAsia="Times New Roman" w:hAnsi="Times New Roman" w:cs="Times New Roman"/>
                <w:bCs/>
                <w:color w:val="000000"/>
                <w:sz w:val="18"/>
                <w:szCs w:val="18"/>
              </w:rPr>
            </w:pPr>
            <w:r w:rsidRPr="002E359F">
              <w:rPr>
                <w:rFonts w:ascii="Times New Roman" w:hAnsi="Times New Roman" w:cs="Times New Roman"/>
                <w:sz w:val="18"/>
                <w:szCs w:val="18"/>
              </w:rPr>
              <w:t>11 945</w:t>
            </w:r>
          </w:p>
        </w:tc>
        <w:tc>
          <w:tcPr>
            <w:tcW w:w="350" w:type="pct"/>
            <w:shd w:val="clear" w:color="auto" w:fill="auto"/>
            <w:noWrap/>
            <w:vAlign w:val="center"/>
          </w:tcPr>
          <w:p w14:paraId="06F3FF21" w14:textId="77777777" w:rsidR="002A155A" w:rsidRPr="00FD2EE7" w:rsidRDefault="002A155A" w:rsidP="00D61D6A">
            <w:pPr>
              <w:spacing w:after="0" w:line="300" w:lineRule="atLeast"/>
              <w:jc w:val="center"/>
              <w:rPr>
                <w:rFonts w:ascii="Times New Roman" w:eastAsia="Times New Roman" w:hAnsi="Times New Roman" w:cs="Times New Roman"/>
                <w:bCs/>
                <w:color w:val="000000"/>
                <w:sz w:val="18"/>
                <w:szCs w:val="18"/>
              </w:rPr>
            </w:pPr>
            <w:r w:rsidRPr="002E359F">
              <w:rPr>
                <w:rFonts w:ascii="Times New Roman" w:hAnsi="Times New Roman" w:cs="Times New Roman"/>
                <w:sz w:val="18"/>
              </w:rPr>
              <w:t>3 812</w:t>
            </w:r>
          </w:p>
        </w:tc>
        <w:tc>
          <w:tcPr>
            <w:tcW w:w="301" w:type="pct"/>
            <w:shd w:val="clear" w:color="auto" w:fill="auto"/>
            <w:noWrap/>
            <w:vAlign w:val="center"/>
            <w:hideMark/>
          </w:tcPr>
          <w:p w14:paraId="598F4C22"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202</w:t>
            </w:r>
          </w:p>
        </w:tc>
        <w:tc>
          <w:tcPr>
            <w:tcW w:w="301" w:type="pct"/>
            <w:shd w:val="clear" w:color="auto" w:fill="auto"/>
            <w:noWrap/>
            <w:vAlign w:val="center"/>
            <w:hideMark/>
          </w:tcPr>
          <w:p w14:paraId="6968A890"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83</w:t>
            </w:r>
          </w:p>
        </w:tc>
        <w:tc>
          <w:tcPr>
            <w:tcW w:w="301" w:type="pct"/>
            <w:shd w:val="clear" w:color="auto" w:fill="auto"/>
            <w:vAlign w:val="center"/>
            <w:hideMark/>
          </w:tcPr>
          <w:p w14:paraId="6F1791F3"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195</w:t>
            </w:r>
          </w:p>
        </w:tc>
        <w:tc>
          <w:tcPr>
            <w:tcW w:w="312" w:type="pct"/>
            <w:shd w:val="clear" w:color="auto" w:fill="auto"/>
            <w:noWrap/>
            <w:vAlign w:val="center"/>
            <w:hideMark/>
          </w:tcPr>
          <w:p w14:paraId="7646F7DB"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190</w:t>
            </w:r>
          </w:p>
        </w:tc>
        <w:tc>
          <w:tcPr>
            <w:tcW w:w="516" w:type="pct"/>
            <w:shd w:val="clear" w:color="auto" w:fill="auto"/>
            <w:vAlign w:val="center"/>
            <w:hideMark/>
          </w:tcPr>
          <w:p w14:paraId="1B9F9202"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33</w:t>
            </w:r>
          </w:p>
        </w:tc>
        <w:tc>
          <w:tcPr>
            <w:tcW w:w="516" w:type="pct"/>
            <w:shd w:val="clear" w:color="auto" w:fill="auto"/>
            <w:noWrap/>
            <w:vAlign w:val="center"/>
            <w:hideMark/>
          </w:tcPr>
          <w:p w14:paraId="53B11D88"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29</w:t>
            </w:r>
          </w:p>
        </w:tc>
        <w:tc>
          <w:tcPr>
            <w:tcW w:w="516" w:type="pct"/>
            <w:shd w:val="clear" w:color="auto" w:fill="auto"/>
            <w:noWrap/>
            <w:vAlign w:val="center"/>
            <w:hideMark/>
          </w:tcPr>
          <w:p w14:paraId="4CC6DD32"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296</w:t>
            </w:r>
          </w:p>
        </w:tc>
        <w:tc>
          <w:tcPr>
            <w:tcW w:w="519" w:type="pct"/>
            <w:shd w:val="clear" w:color="auto" w:fill="auto"/>
            <w:noWrap/>
            <w:vAlign w:val="center"/>
            <w:hideMark/>
          </w:tcPr>
          <w:p w14:paraId="0420AB7F"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350</w:t>
            </w:r>
          </w:p>
        </w:tc>
      </w:tr>
      <w:tr w:rsidR="002A155A" w:rsidRPr="007F400A" w14:paraId="444EB6AE" w14:textId="77777777" w:rsidTr="00D61D6A">
        <w:trPr>
          <w:trHeight w:val="346"/>
        </w:trPr>
        <w:tc>
          <w:tcPr>
            <w:tcW w:w="937" w:type="pct"/>
            <w:vAlign w:val="center"/>
            <w:hideMark/>
          </w:tcPr>
          <w:p w14:paraId="1D919C5B" w14:textId="77777777" w:rsidR="002A155A" w:rsidRPr="007F400A" w:rsidRDefault="002A155A" w:rsidP="00D61D6A">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Małopolskie</w:t>
            </w:r>
          </w:p>
        </w:tc>
        <w:tc>
          <w:tcPr>
            <w:tcW w:w="430" w:type="pct"/>
            <w:shd w:val="clear" w:color="auto" w:fill="auto"/>
            <w:vAlign w:val="center"/>
            <w:hideMark/>
          </w:tcPr>
          <w:p w14:paraId="76280514" w14:textId="77777777" w:rsidR="002A155A" w:rsidRPr="00D94D20" w:rsidRDefault="002A155A" w:rsidP="00D61D6A">
            <w:pPr>
              <w:spacing w:after="0" w:line="300" w:lineRule="atLeast"/>
              <w:jc w:val="center"/>
              <w:rPr>
                <w:rFonts w:ascii="Times New Roman" w:eastAsia="Times New Roman" w:hAnsi="Times New Roman" w:cs="Times New Roman"/>
                <w:bCs/>
                <w:color w:val="000000"/>
                <w:sz w:val="18"/>
                <w:szCs w:val="18"/>
              </w:rPr>
            </w:pPr>
            <w:r w:rsidRPr="002E359F">
              <w:rPr>
                <w:rFonts w:ascii="Times New Roman" w:hAnsi="Times New Roman" w:cs="Times New Roman"/>
                <w:sz w:val="18"/>
                <w:szCs w:val="18"/>
              </w:rPr>
              <w:t>15 343</w:t>
            </w:r>
          </w:p>
        </w:tc>
        <w:tc>
          <w:tcPr>
            <w:tcW w:w="350" w:type="pct"/>
            <w:shd w:val="clear" w:color="auto" w:fill="auto"/>
            <w:noWrap/>
            <w:vAlign w:val="center"/>
          </w:tcPr>
          <w:p w14:paraId="7857CF0B" w14:textId="77777777" w:rsidR="002A155A" w:rsidRPr="00FD2EE7" w:rsidRDefault="002A155A" w:rsidP="00D61D6A">
            <w:pPr>
              <w:spacing w:after="0" w:line="300" w:lineRule="atLeast"/>
              <w:jc w:val="center"/>
              <w:rPr>
                <w:rFonts w:ascii="Times New Roman" w:eastAsia="Times New Roman" w:hAnsi="Times New Roman" w:cs="Times New Roman"/>
                <w:bCs/>
                <w:color w:val="000000"/>
                <w:sz w:val="18"/>
                <w:szCs w:val="18"/>
              </w:rPr>
            </w:pPr>
            <w:r w:rsidRPr="002E359F">
              <w:rPr>
                <w:rFonts w:ascii="Times New Roman" w:hAnsi="Times New Roman" w:cs="Times New Roman"/>
                <w:sz w:val="18"/>
              </w:rPr>
              <w:t>3 639</w:t>
            </w:r>
          </w:p>
        </w:tc>
        <w:tc>
          <w:tcPr>
            <w:tcW w:w="301" w:type="pct"/>
            <w:shd w:val="clear" w:color="auto" w:fill="auto"/>
            <w:noWrap/>
            <w:vAlign w:val="center"/>
            <w:hideMark/>
          </w:tcPr>
          <w:p w14:paraId="5BAEBFB9"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281</w:t>
            </w:r>
          </w:p>
        </w:tc>
        <w:tc>
          <w:tcPr>
            <w:tcW w:w="301" w:type="pct"/>
            <w:shd w:val="clear" w:color="auto" w:fill="auto"/>
            <w:noWrap/>
            <w:vAlign w:val="center"/>
            <w:hideMark/>
          </w:tcPr>
          <w:p w14:paraId="59FDF73E"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175</w:t>
            </w:r>
          </w:p>
        </w:tc>
        <w:tc>
          <w:tcPr>
            <w:tcW w:w="301" w:type="pct"/>
            <w:shd w:val="clear" w:color="auto" w:fill="auto"/>
            <w:vAlign w:val="center"/>
            <w:hideMark/>
          </w:tcPr>
          <w:p w14:paraId="7F02F9F5"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193</w:t>
            </w:r>
          </w:p>
        </w:tc>
        <w:tc>
          <w:tcPr>
            <w:tcW w:w="312" w:type="pct"/>
            <w:shd w:val="clear" w:color="auto" w:fill="auto"/>
            <w:noWrap/>
            <w:vAlign w:val="center"/>
            <w:hideMark/>
          </w:tcPr>
          <w:p w14:paraId="303C368C"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457</w:t>
            </w:r>
          </w:p>
        </w:tc>
        <w:tc>
          <w:tcPr>
            <w:tcW w:w="516" w:type="pct"/>
            <w:shd w:val="clear" w:color="auto" w:fill="auto"/>
            <w:vAlign w:val="center"/>
            <w:hideMark/>
          </w:tcPr>
          <w:p w14:paraId="11056D28"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17</w:t>
            </w:r>
          </w:p>
        </w:tc>
        <w:tc>
          <w:tcPr>
            <w:tcW w:w="516" w:type="pct"/>
            <w:shd w:val="clear" w:color="auto" w:fill="auto"/>
            <w:noWrap/>
            <w:vAlign w:val="center"/>
            <w:hideMark/>
          </w:tcPr>
          <w:p w14:paraId="18395846"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10</w:t>
            </w:r>
          </w:p>
        </w:tc>
        <w:tc>
          <w:tcPr>
            <w:tcW w:w="516" w:type="pct"/>
            <w:shd w:val="clear" w:color="auto" w:fill="auto"/>
            <w:noWrap/>
            <w:vAlign w:val="center"/>
            <w:hideMark/>
          </w:tcPr>
          <w:p w14:paraId="6AFC2681"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279</w:t>
            </w:r>
          </w:p>
        </w:tc>
        <w:tc>
          <w:tcPr>
            <w:tcW w:w="519" w:type="pct"/>
            <w:shd w:val="clear" w:color="auto" w:fill="auto"/>
            <w:noWrap/>
            <w:vAlign w:val="center"/>
            <w:hideMark/>
          </w:tcPr>
          <w:p w14:paraId="665E2217"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305</w:t>
            </w:r>
          </w:p>
        </w:tc>
      </w:tr>
      <w:tr w:rsidR="002A155A" w:rsidRPr="007F400A" w14:paraId="3833392C" w14:textId="77777777" w:rsidTr="00D61D6A">
        <w:trPr>
          <w:trHeight w:val="346"/>
        </w:trPr>
        <w:tc>
          <w:tcPr>
            <w:tcW w:w="937" w:type="pct"/>
            <w:vAlign w:val="center"/>
            <w:hideMark/>
          </w:tcPr>
          <w:p w14:paraId="1AC30163" w14:textId="77777777" w:rsidR="002A155A" w:rsidRPr="007F400A" w:rsidRDefault="002A155A" w:rsidP="00D61D6A">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Mazowieckie</w:t>
            </w:r>
          </w:p>
        </w:tc>
        <w:tc>
          <w:tcPr>
            <w:tcW w:w="430" w:type="pct"/>
            <w:shd w:val="clear" w:color="auto" w:fill="auto"/>
            <w:vAlign w:val="center"/>
            <w:hideMark/>
          </w:tcPr>
          <w:p w14:paraId="4618F414" w14:textId="77777777" w:rsidR="002A155A" w:rsidRPr="00D94D20" w:rsidRDefault="002A155A" w:rsidP="00D61D6A">
            <w:pPr>
              <w:spacing w:after="0" w:line="300" w:lineRule="atLeast"/>
              <w:jc w:val="center"/>
              <w:rPr>
                <w:rFonts w:ascii="Times New Roman" w:eastAsia="Times New Roman" w:hAnsi="Times New Roman" w:cs="Times New Roman"/>
                <w:bCs/>
                <w:color w:val="000000"/>
                <w:sz w:val="18"/>
                <w:szCs w:val="18"/>
              </w:rPr>
            </w:pPr>
            <w:r w:rsidRPr="002E359F">
              <w:rPr>
                <w:rFonts w:ascii="Times New Roman" w:hAnsi="Times New Roman" w:cs="Times New Roman"/>
                <w:sz w:val="18"/>
                <w:szCs w:val="18"/>
              </w:rPr>
              <w:t>24 328</w:t>
            </w:r>
          </w:p>
        </w:tc>
        <w:tc>
          <w:tcPr>
            <w:tcW w:w="350" w:type="pct"/>
            <w:shd w:val="clear" w:color="auto" w:fill="auto"/>
            <w:noWrap/>
            <w:vAlign w:val="center"/>
          </w:tcPr>
          <w:p w14:paraId="4658772F" w14:textId="77777777" w:rsidR="002A155A" w:rsidRPr="00FD2EE7" w:rsidRDefault="002A155A" w:rsidP="00D61D6A">
            <w:pPr>
              <w:spacing w:after="0" w:line="300" w:lineRule="atLeast"/>
              <w:jc w:val="center"/>
              <w:rPr>
                <w:rFonts w:ascii="Times New Roman" w:eastAsia="Times New Roman" w:hAnsi="Times New Roman" w:cs="Times New Roman"/>
                <w:bCs/>
                <w:color w:val="000000"/>
                <w:sz w:val="18"/>
                <w:szCs w:val="18"/>
              </w:rPr>
            </w:pPr>
            <w:r w:rsidRPr="002E359F">
              <w:rPr>
                <w:rFonts w:ascii="Times New Roman" w:hAnsi="Times New Roman" w:cs="Times New Roman"/>
                <w:sz w:val="18"/>
              </w:rPr>
              <w:t>3 889</w:t>
            </w:r>
          </w:p>
        </w:tc>
        <w:tc>
          <w:tcPr>
            <w:tcW w:w="301" w:type="pct"/>
            <w:shd w:val="clear" w:color="auto" w:fill="auto"/>
            <w:noWrap/>
            <w:vAlign w:val="center"/>
            <w:hideMark/>
          </w:tcPr>
          <w:p w14:paraId="4AE130B2"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266</w:t>
            </w:r>
          </w:p>
        </w:tc>
        <w:tc>
          <w:tcPr>
            <w:tcW w:w="301" w:type="pct"/>
            <w:shd w:val="clear" w:color="auto" w:fill="auto"/>
            <w:noWrap/>
            <w:vAlign w:val="center"/>
            <w:hideMark/>
          </w:tcPr>
          <w:p w14:paraId="3C1608B6"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128</w:t>
            </w:r>
          </w:p>
        </w:tc>
        <w:tc>
          <w:tcPr>
            <w:tcW w:w="301" w:type="pct"/>
            <w:shd w:val="clear" w:color="auto" w:fill="auto"/>
            <w:vAlign w:val="center"/>
            <w:hideMark/>
          </w:tcPr>
          <w:p w14:paraId="3459051C"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300</w:t>
            </w:r>
          </w:p>
        </w:tc>
        <w:tc>
          <w:tcPr>
            <w:tcW w:w="312" w:type="pct"/>
            <w:shd w:val="clear" w:color="auto" w:fill="auto"/>
            <w:noWrap/>
            <w:vAlign w:val="center"/>
            <w:hideMark/>
          </w:tcPr>
          <w:p w14:paraId="5625D897"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478</w:t>
            </w:r>
          </w:p>
        </w:tc>
        <w:tc>
          <w:tcPr>
            <w:tcW w:w="516" w:type="pct"/>
            <w:shd w:val="clear" w:color="auto" w:fill="auto"/>
            <w:vAlign w:val="center"/>
            <w:hideMark/>
          </w:tcPr>
          <w:p w14:paraId="04F2F565"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17</w:t>
            </w:r>
          </w:p>
        </w:tc>
        <w:tc>
          <w:tcPr>
            <w:tcW w:w="516" w:type="pct"/>
            <w:shd w:val="clear" w:color="auto" w:fill="auto"/>
            <w:noWrap/>
            <w:vAlign w:val="center"/>
            <w:hideMark/>
          </w:tcPr>
          <w:p w14:paraId="77BCE3AD"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13</w:t>
            </w:r>
          </w:p>
        </w:tc>
        <w:tc>
          <w:tcPr>
            <w:tcW w:w="516" w:type="pct"/>
            <w:shd w:val="clear" w:color="auto" w:fill="auto"/>
            <w:noWrap/>
            <w:vAlign w:val="center"/>
            <w:hideMark/>
          </w:tcPr>
          <w:p w14:paraId="247768B3"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375</w:t>
            </w:r>
          </w:p>
        </w:tc>
        <w:tc>
          <w:tcPr>
            <w:tcW w:w="519" w:type="pct"/>
            <w:shd w:val="clear" w:color="auto" w:fill="auto"/>
            <w:noWrap/>
            <w:vAlign w:val="center"/>
            <w:hideMark/>
          </w:tcPr>
          <w:p w14:paraId="13F85074"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487</w:t>
            </w:r>
          </w:p>
        </w:tc>
      </w:tr>
      <w:tr w:rsidR="002A155A" w:rsidRPr="007F400A" w14:paraId="6AA67C25" w14:textId="77777777" w:rsidTr="00D61D6A">
        <w:trPr>
          <w:trHeight w:val="346"/>
        </w:trPr>
        <w:tc>
          <w:tcPr>
            <w:tcW w:w="937" w:type="pct"/>
            <w:vAlign w:val="center"/>
            <w:hideMark/>
          </w:tcPr>
          <w:p w14:paraId="20252E52" w14:textId="77777777" w:rsidR="002A155A" w:rsidRPr="007F400A" w:rsidRDefault="002A155A" w:rsidP="00D61D6A">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lastRenderedPageBreak/>
              <w:t>Opolskie</w:t>
            </w:r>
          </w:p>
        </w:tc>
        <w:tc>
          <w:tcPr>
            <w:tcW w:w="430" w:type="pct"/>
            <w:shd w:val="clear" w:color="auto" w:fill="auto"/>
            <w:vAlign w:val="center"/>
            <w:hideMark/>
          </w:tcPr>
          <w:p w14:paraId="4D6EB164" w14:textId="77777777" w:rsidR="002A155A" w:rsidRPr="007B28EF" w:rsidRDefault="002A155A" w:rsidP="00D61D6A">
            <w:pPr>
              <w:spacing w:after="0" w:line="300" w:lineRule="atLeast"/>
              <w:jc w:val="center"/>
              <w:rPr>
                <w:rFonts w:ascii="Times New Roman" w:eastAsia="Times New Roman" w:hAnsi="Times New Roman" w:cs="Times New Roman"/>
                <w:bCs/>
                <w:color w:val="000000"/>
                <w:sz w:val="18"/>
                <w:szCs w:val="18"/>
              </w:rPr>
            </w:pPr>
            <w:r w:rsidRPr="002E359F">
              <w:rPr>
                <w:rFonts w:ascii="Times New Roman" w:hAnsi="Times New Roman" w:cs="Times New Roman"/>
                <w:sz w:val="18"/>
                <w:szCs w:val="18"/>
              </w:rPr>
              <w:t>4 651</w:t>
            </w:r>
          </w:p>
        </w:tc>
        <w:tc>
          <w:tcPr>
            <w:tcW w:w="350" w:type="pct"/>
            <w:shd w:val="clear" w:color="auto" w:fill="auto"/>
            <w:noWrap/>
            <w:vAlign w:val="center"/>
          </w:tcPr>
          <w:p w14:paraId="2A982C9C" w14:textId="77777777" w:rsidR="002A155A" w:rsidRPr="00FD2EE7" w:rsidRDefault="002A155A" w:rsidP="00D61D6A">
            <w:pPr>
              <w:spacing w:after="0" w:line="300" w:lineRule="atLeast"/>
              <w:jc w:val="center"/>
              <w:rPr>
                <w:rFonts w:ascii="Times New Roman" w:eastAsia="Times New Roman" w:hAnsi="Times New Roman" w:cs="Times New Roman"/>
                <w:bCs/>
                <w:color w:val="000000"/>
                <w:sz w:val="18"/>
                <w:szCs w:val="18"/>
              </w:rPr>
            </w:pPr>
            <w:r w:rsidRPr="002E359F">
              <w:rPr>
                <w:rFonts w:ascii="Times New Roman" w:hAnsi="Times New Roman" w:cs="Times New Roman"/>
                <w:sz w:val="18"/>
              </w:rPr>
              <w:t>1 152</w:t>
            </w:r>
          </w:p>
        </w:tc>
        <w:tc>
          <w:tcPr>
            <w:tcW w:w="301" w:type="pct"/>
            <w:shd w:val="clear" w:color="auto" w:fill="auto"/>
            <w:noWrap/>
            <w:vAlign w:val="center"/>
            <w:hideMark/>
          </w:tcPr>
          <w:p w14:paraId="2AF42A00"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111</w:t>
            </w:r>
          </w:p>
        </w:tc>
        <w:tc>
          <w:tcPr>
            <w:tcW w:w="301" w:type="pct"/>
            <w:shd w:val="clear" w:color="auto" w:fill="auto"/>
            <w:noWrap/>
            <w:vAlign w:val="center"/>
            <w:hideMark/>
          </w:tcPr>
          <w:p w14:paraId="73FC06DB"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61</w:t>
            </w:r>
          </w:p>
        </w:tc>
        <w:tc>
          <w:tcPr>
            <w:tcW w:w="301" w:type="pct"/>
            <w:shd w:val="clear" w:color="auto" w:fill="auto"/>
            <w:vAlign w:val="center"/>
            <w:hideMark/>
          </w:tcPr>
          <w:p w14:paraId="269FFCFE"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83</w:t>
            </w:r>
          </w:p>
        </w:tc>
        <w:tc>
          <w:tcPr>
            <w:tcW w:w="312" w:type="pct"/>
            <w:shd w:val="clear" w:color="auto" w:fill="auto"/>
            <w:noWrap/>
            <w:vAlign w:val="center"/>
            <w:hideMark/>
          </w:tcPr>
          <w:p w14:paraId="62B95272"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200</w:t>
            </w:r>
          </w:p>
        </w:tc>
        <w:tc>
          <w:tcPr>
            <w:tcW w:w="516" w:type="pct"/>
            <w:shd w:val="clear" w:color="auto" w:fill="auto"/>
            <w:vAlign w:val="center"/>
            <w:hideMark/>
          </w:tcPr>
          <w:p w14:paraId="7A9CC5C3"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6</w:t>
            </w:r>
          </w:p>
        </w:tc>
        <w:tc>
          <w:tcPr>
            <w:tcW w:w="516" w:type="pct"/>
            <w:shd w:val="clear" w:color="auto" w:fill="auto"/>
            <w:noWrap/>
            <w:vAlign w:val="center"/>
            <w:hideMark/>
          </w:tcPr>
          <w:p w14:paraId="6B5BCEAF"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16</w:t>
            </w:r>
          </w:p>
        </w:tc>
        <w:tc>
          <w:tcPr>
            <w:tcW w:w="516" w:type="pct"/>
            <w:shd w:val="clear" w:color="auto" w:fill="auto"/>
            <w:noWrap/>
            <w:vAlign w:val="center"/>
            <w:hideMark/>
          </w:tcPr>
          <w:p w14:paraId="3C1511BA"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392</w:t>
            </w:r>
          </w:p>
        </w:tc>
        <w:tc>
          <w:tcPr>
            <w:tcW w:w="519" w:type="pct"/>
            <w:shd w:val="clear" w:color="auto" w:fill="auto"/>
            <w:noWrap/>
            <w:vAlign w:val="center"/>
            <w:hideMark/>
          </w:tcPr>
          <w:p w14:paraId="0F55D3AE"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165</w:t>
            </w:r>
          </w:p>
        </w:tc>
      </w:tr>
      <w:tr w:rsidR="002A155A" w:rsidRPr="007F400A" w14:paraId="583D43D1" w14:textId="77777777" w:rsidTr="00D61D6A">
        <w:trPr>
          <w:trHeight w:val="346"/>
        </w:trPr>
        <w:tc>
          <w:tcPr>
            <w:tcW w:w="937" w:type="pct"/>
            <w:vAlign w:val="center"/>
            <w:hideMark/>
          </w:tcPr>
          <w:p w14:paraId="0FF591A7" w14:textId="77777777" w:rsidR="002A155A" w:rsidRPr="007F400A" w:rsidRDefault="002A155A" w:rsidP="00D61D6A">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Podkarpackie</w:t>
            </w:r>
          </w:p>
        </w:tc>
        <w:tc>
          <w:tcPr>
            <w:tcW w:w="430" w:type="pct"/>
            <w:shd w:val="clear" w:color="auto" w:fill="auto"/>
            <w:vAlign w:val="center"/>
            <w:hideMark/>
          </w:tcPr>
          <w:p w14:paraId="5AE170F5" w14:textId="77777777" w:rsidR="002A155A" w:rsidRPr="00D94D20" w:rsidRDefault="002A155A" w:rsidP="00D61D6A">
            <w:pPr>
              <w:spacing w:after="0" w:line="300" w:lineRule="atLeast"/>
              <w:jc w:val="center"/>
              <w:rPr>
                <w:rFonts w:ascii="Times New Roman" w:eastAsia="Times New Roman" w:hAnsi="Times New Roman" w:cs="Times New Roman"/>
                <w:bCs/>
                <w:color w:val="000000"/>
                <w:sz w:val="18"/>
                <w:szCs w:val="18"/>
              </w:rPr>
            </w:pPr>
            <w:r w:rsidRPr="002E359F">
              <w:rPr>
                <w:rFonts w:ascii="Times New Roman" w:hAnsi="Times New Roman" w:cs="Times New Roman"/>
                <w:sz w:val="18"/>
                <w:szCs w:val="18"/>
              </w:rPr>
              <w:t>10 642</w:t>
            </w:r>
          </w:p>
        </w:tc>
        <w:tc>
          <w:tcPr>
            <w:tcW w:w="350" w:type="pct"/>
            <w:shd w:val="clear" w:color="auto" w:fill="auto"/>
            <w:noWrap/>
            <w:vAlign w:val="center"/>
          </w:tcPr>
          <w:p w14:paraId="15B7572D" w14:textId="77777777" w:rsidR="002A155A" w:rsidRPr="00FD2EE7" w:rsidRDefault="002A155A" w:rsidP="00D61D6A">
            <w:pPr>
              <w:spacing w:after="0" w:line="300" w:lineRule="atLeast"/>
              <w:jc w:val="center"/>
              <w:rPr>
                <w:rFonts w:ascii="Times New Roman" w:eastAsia="Times New Roman" w:hAnsi="Times New Roman" w:cs="Times New Roman"/>
                <w:bCs/>
                <w:color w:val="000000"/>
                <w:sz w:val="18"/>
                <w:szCs w:val="18"/>
              </w:rPr>
            </w:pPr>
            <w:r w:rsidRPr="002E359F">
              <w:rPr>
                <w:rFonts w:ascii="Times New Roman" w:hAnsi="Times New Roman" w:cs="Times New Roman"/>
                <w:sz w:val="18"/>
              </w:rPr>
              <w:t>3 245</w:t>
            </w:r>
          </w:p>
        </w:tc>
        <w:tc>
          <w:tcPr>
            <w:tcW w:w="301" w:type="pct"/>
            <w:shd w:val="clear" w:color="auto" w:fill="auto"/>
            <w:noWrap/>
            <w:vAlign w:val="center"/>
            <w:hideMark/>
          </w:tcPr>
          <w:p w14:paraId="3598099A"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148</w:t>
            </w:r>
          </w:p>
        </w:tc>
        <w:tc>
          <w:tcPr>
            <w:tcW w:w="301" w:type="pct"/>
            <w:shd w:val="clear" w:color="auto" w:fill="auto"/>
            <w:noWrap/>
            <w:vAlign w:val="center"/>
            <w:hideMark/>
          </w:tcPr>
          <w:p w14:paraId="24B531E3"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127</w:t>
            </w:r>
          </w:p>
        </w:tc>
        <w:tc>
          <w:tcPr>
            <w:tcW w:w="301" w:type="pct"/>
            <w:shd w:val="clear" w:color="auto" w:fill="auto"/>
            <w:vAlign w:val="center"/>
            <w:hideMark/>
          </w:tcPr>
          <w:p w14:paraId="56479C3E"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136</w:t>
            </w:r>
          </w:p>
        </w:tc>
        <w:tc>
          <w:tcPr>
            <w:tcW w:w="312" w:type="pct"/>
            <w:shd w:val="clear" w:color="auto" w:fill="auto"/>
            <w:noWrap/>
            <w:vAlign w:val="center"/>
            <w:hideMark/>
          </w:tcPr>
          <w:p w14:paraId="1441DB01"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376</w:t>
            </w:r>
          </w:p>
        </w:tc>
        <w:tc>
          <w:tcPr>
            <w:tcW w:w="516" w:type="pct"/>
            <w:shd w:val="clear" w:color="auto" w:fill="auto"/>
            <w:vAlign w:val="center"/>
            <w:hideMark/>
          </w:tcPr>
          <w:p w14:paraId="3D7B7F18"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15</w:t>
            </w:r>
          </w:p>
        </w:tc>
        <w:tc>
          <w:tcPr>
            <w:tcW w:w="516" w:type="pct"/>
            <w:shd w:val="clear" w:color="auto" w:fill="auto"/>
            <w:noWrap/>
            <w:vAlign w:val="center"/>
            <w:hideMark/>
          </w:tcPr>
          <w:p w14:paraId="45C78B5E"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2</w:t>
            </w:r>
          </w:p>
        </w:tc>
        <w:tc>
          <w:tcPr>
            <w:tcW w:w="516" w:type="pct"/>
            <w:shd w:val="clear" w:color="auto" w:fill="auto"/>
            <w:noWrap/>
            <w:vAlign w:val="center"/>
            <w:hideMark/>
          </w:tcPr>
          <w:p w14:paraId="133A7236"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286</w:t>
            </w:r>
          </w:p>
        </w:tc>
        <w:tc>
          <w:tcPr>
            <w:tcW w:w="519" w:type="pct"/>
            <w:shd w:val="clear" w:color="auto" w:fill="auto"/>
            <w:noWrap/>
            <w:vAlign w:val="center"/>
            <w:hideMark/>
          </w:tcPr>
          <w:p w14:paraId="443C4C05"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375</w:t>
            </w:r>
          </w:p>
        </w:tc>
      </w:tr>
      <w:tr w:rsidR="002A155A" w:rsidRPr="007F400A" w14:paraId="541BD4DE" w14:textId="77777777" w:rsidTr="00D61D6A">
        <w:trPr>
          <w:trHeight w:val="346"/>
        </w:trPr>
        <w:tc>
          <w:tcPr>
            <w:tcW w:w="937" w:type="pct"/>
            <w:vAlign w:val="center"/>
            <w:hideMark/>
          </w:tcPr>
          <w:p w14:paraId="415F8743" w14:textId="77777777" w:rsidR="002A155A" w:rsidRPr="007F400A" w:rsidRDefault="002A155A" w:rsidP="00D61D6A">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Podlaskie</w:t>
            </w:r>
          </w:p>
        </w:tc>
        <w:tc>
          <w:tcPr>
            <w:tcW w:w="430" w:type="pct"/>
            <w:shd w:val="clear" w:color="auto" w:fill="auto"/>
            <w:vAlign w:val="center"/>
            <w:hideMark/>
          </w:tcPr>
          <w:p w14:paraId="08D4E31E"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9 101</w:t>
            </w:r>
          </w:p>
        </w:tc>
        <w:tc>
          <w:tcPr>
            <w:tcW w:w="350" w:type="pct"/>
            <w:shd w:val="clear" w:color="auto" w:fill="auto"/>
            <w:noWrap/>
            <w:vAlign w:val="center"/>
          </w:tcPr>
          <w:p w14:paraId="6A19BE34" w14:textId="77777777" w:rsidR="002A155A" w:rsidRPr="00FD2EE7" w:rsidRDefault="002A155A" w:rsidP="00D61D6A">
            <w:pPr>
              <w:spacing w:after="0" w:line="300" w:lineRule="atLeast"/>
              <w:jc w:val="center"/>
              <w:rPr>
                <w:rFonts w:ascii="Times New Roman" w:eastAsia="Times New Roman" w:hAnsi="Times New Roman" w:cs="Times New Roman"/>
                <w:bCs/>
                <w:color w:val="000000"/>
                <w:sz w:val="18"/>
                <w:szCs w:val="18"/>
              </w:rPr>
            </w:pPr>
            <w:r w:rsidRPr="002E359F">
              <w:rPr>
                <w:rFonts w:ascii="Times New Roman" w:hAnsi="Times New Roman" w:cs="Times New Roman"/>
                <w:sz w:val="18"/>
              </w:rPr>
              <w:t>1 976</w:t>
            </w:r>
          </w:p>
        </w:tc>
        <w:tc>
          <w:tcPr>
            <w:tcW w:w="301" w:type="pct"/>
            <w:shd w:val="clear" w:color="auto" w:fill="auto"/>
            <w:noWrap/>
            <w:vAlign w:val="center"/>
            <w:hideMark/>
          </w:tcPr>
          <w:p w14:paraId="78A2B597"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139</w:t>
            </w:r>
          </w:p>
        </w:tc>
        <w:tc>
          <w:tcPr>
            <w:tcW w:w="301" w:type="pct"/>
            <w:shd w:val="clear" w:color="auto" w:fill="auto"/>
            <w:noWrap/>
            <w:vAlign w:val="center"/>
            <w:hideMark/>
          </w:tcPr>
          <w:p w14:paraId="151D66DB"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68</w:t>
            </w:r>
          </w:p>
        </w:tc>
        <w:tc>
          <w:tcPr>
            <w:tcW w:w="301" w:type="pct"/>
            <w:shd w:val="clear" w:color="auto" w:fill="auto"/>
            <w:vAlign w:val="center"/>
            <w:hideMark/>
          </w:tcPr>
          <w:p w14:paraId="23FFA2EC"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51</w:t>
            </w:r>
          </w:p>
        </w:tc>
        <w:tc>
          <w:tcPr>
            <w:tcW w:w="312" w:type="pct"/>
            <w:shd w:val="clear" w:color="auto" w:fill="auto"/>
            <w:noWrap/>
            <w:vAlign w:val="center"/>
            <w:hideMark/>
          </w:tcPr>
          <w:p w14:paraId="2119F687"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szCs w:val="18"/>
              </w:rPr>
              <w:t>226</w:t>
            </w:r>
          </w:p>
        </w:tc>
        <w:tc>
          <w:tcPr>
            <w:tcW w:w="516" w:type="pct"/>
            <w:shd w:val="clear" w:color="auto" w:fill="auto"/>
            <w:vAlign w:val="center"/>
            <w:hideMark/>
          </w:tcPr>
          <w:p w14:paraId="7C1354C2"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szCs w:val="18"/>
              </w:rPr>
              <w:t>4</w:t>
            </w:r>
          </w:p>
        </w:tc>
        <w:tc>
          <w:tcPr>
            <w:tcW w:w="516" w:type="pct"/>
            <w:shd w:val="clear" w:color="auto" w:fill="auto"/>
            <w:noWrap/>
            <w:vAlign w:val="center"/>
            <w:hideMark/>
          </w:tcPr>
          <w:p w14:paraId="0CA78DC4"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25</w:t>
            </w:r>
          </w:p>
        </w:tc>
        <w:tc>
          <w:tcPr>
            <w:tcW w:w="516" w:type="pct"/>
            <w:shd w:val="clear" w:color="auto" w:fill="auto"/>
            <w:noWrap/>
            <w:vAlign w:val="center"/>
            <w:hideMark/>
          </w:tcPr>
          <w:p w14:paraId="12F65247"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szCs w:val="18"/>
              </w:rPr>
              <w:t>131</w:t>
            </w:r>
          </w:p>
        </w:tc>
        <w:tc>
          <w:tcPr>
            <w:tcW w:w="519" w:type="pct"/>
            <w:shd w:val="clear" w:color="auto" w:fill="auto"/>
            <w:noWrap/>
            <w:vAlign w:val="center"/>
            <w:hideMark/>
          </w:tcPr>
          <w:p w14:paraId="0EBF1881"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223</w:t>
            </w:r>
          </w:p>
        </w:tc>
      </w:tr>
      <w:tr w:rsidR="002A155A" w:rsidRPr="007F400A" w14:paraId="0E900810" w14:textId="77777777" w:rsidTr="00D61D6A">
        <w:trPr>
          <w:trHeight w:val="346"/>
        </w:trPr>
        <w:tc>
          <w:tcPr>
            <w:tcW w:w="937" w:type="pct"/>
            <w:vAlign w:val="center"/>
            <w:hideMark/>
          </w:tcPr>
          <w:p w14:paraId="4AC237D7" w14:textId="77777777" w:rsidR="002A155A" w:rsidRPr="007F400A" w:rsidRDefault="002A155A" w:rsidP="00D61D6A">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Pomorskie</w:t>
            </w:r>
          </w:p>
        </w:tc>
        <w:tc>
          <w:tcPr>
            <w:tcW w:w="430" w:type="pct"/>
            <w:shd w:val="clear" w:color="auto" w:fill="auto"/>
            <w:vAlign w:val="center"/>
            <w:hideMark/>
          </w:tcPr>
          <w:p w14:paraId="17E5223A" w14:textId="77777777" w:rsidR="002A155A" w:rsidRPr="007B28EF" w:rsidRDefault="002A155A" w:rsidP="00D61D6A">
            <w:pPr>
              <w:spacing w:after="0" w:line="300" w:lineRule="atLeast"/>
              <w:jc w:val="center"/>
              <w:rPr>
                <w:rFonts w:ascii="Times New Roman" w:eastAsia="Times New Roman" w:hAnsi="Times New Roman" w:cs="Times New Roman"/>
                <w:bCs/>
                <w:color w:val="000000"/>
                <w:sz w:val="18"/>
                <w:szCs w:val="18"/>
              </w:rPr>
            </w:pPr>
            <w:r w:rsidRPr="002E359F">
              <w:rPr>
                <w:rFonts w:ascii="Times New Roman" w:hAnsi="Times New Roman" w:cs="Times New Roman"/>
                <w:sz w:val="18"/>
                <w:szCs w:val="18"/>
              </w:rPr>
              <w:t>8 776</w:t>
            </w:r>
          </w:p>
        </w:tc>
        <w:tc>
          <w:tcPr>
            <w:tcW w:w="350" w:type="pct"/>
            <w:shd w:val="clear" w:color="auto" w:fill="auto"/>
            <w:noWrap/>
            <w:vAlign w:val="center"/>
          </w:tcPr>
          <w:p w14:paraId="4C5ECCDB" w14:textId="77777777" w:rsidR="002A155A" w:rsidRPr="00FD2EE7" w:rsidRDefault="002A155A" w:rsidP="00D61D6A">
            <w:pPr>
              <w:spacing w:after="0" w:line="300" w:lineRule="atLeast"/>
              <w:jc w:val="center"/>
              <w:rPr>
                <w:rFonts w:ascii="Times New Roman" w:eastAsia="Times New Roman" w:hAnsi="Times New Roman" w:cs="Times New Roman"/>
                <w:bCs/>
                <w:color w:val="000000"/>
                <w:sz w:val="18"/>
                <w:szCs w:val="18"/>
              </w:rPr>
            </w:pPr>
            <w:r w:rsidRPr="002E359F">
              <w:rPr>
                <w:rFonts w:ascii="Times New Roman" w:hAnsi="Times New Roman" w:cs="Times New Roman"/>
                <w:sz w:val="18"/>
              </w:rPr>
              <w:t>2 516</w:t>
            </w:r>
          </w:p>
        </w:tc>
        <w:tc>
          <w:tcPr>
            <w:tcW w:w="301" w:type="pct"/>
            <w:shd w:val="clear" w:color="auto" w:fill="auto"/>
            <w:noWrap/>
            <w:vAlign w:val="center"/>
            <w:hideMark/>
          </w:tcPr>
          <w:p w14:paraId="6BE5D9D4"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158</w:t>
            </w:r>
          </w:p>
        </w:tc>
        <w:tc>
          <w:tcPr>
            <w:tcW w:w="301" w:type="pct"/>
            <w:shd w:val="clear" w:color="auto" w:fill="auto"/>
            <w:noWrap/>
            <w:vAlign w:val="center"/>
            <w:hideMark/>
          </w:tcPr>
          <w:p w14:paraId="6BE285E9"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szCs w:val="18"/>
              </w:rPr>
              <w:t>149</w:t>
            </w:r>
          </w:p>
        </w:tc>
        <w:tc>
          <w:tcPr>
            <w:tcW w:w="301" w:type="pct"/>
            <w:shd w:val="clear" w:color="auto" w:fill="auto"/>
            <w:vAlign w:val="center"/>
            <w:hideMark/>
          </w:tcPr>
          <w:p w14:paraId="6C382B0F"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85</w:t>
            </w:r>
          </w:p>
        </w:tc>
        <w:tc>
          <w:tcPr>
            <w:tcW w:w="312" w:type="pct"/>
            <w:shd w:val="clear" w:color="auto" w:fill="auto"/>
            <w:noWrap/>
            <w:vAlign w:val="center"/>
            <w:hideMark/>
          </w:tcPr>
          <w:p w14:paraId="41D8E28C"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174</w:t>
            </w:r>
          </w:p>
        </w:tc>
        <w:tc>
          <w:tcPr>
            <w:tcW w:w="516" w:type="pct"/>
            <w:shd w:val="clear" w:color="auto" w:fill="auto"/>
            <w:vAlign w:val="center"/>
            <w:hideMark/>
          </w:tcPr>
          <w:p w14:paraId="3877F7B1"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15</w:t>
            </w:r>
          </w:p>
        </w:tc>
        <w:tc>
          <w:tcPr>
            <w:tcW w:w="516" w:type="pct"/>
            <w:shd w:val="clear" w:color="auto" w:fill="auto"/>
            <w:noWrap/>
            <w:vAlign w:val="center"/>
            <w:hideMark/>
          </w:tcPr>
          <w:p w14:paraId="6D660B2D"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4</w:t>
            </w:r>
          </w:p>
        </w:tc>
        <w:tc>
          <w:tcPr>
            <w:tcW w:w="516" w:type="pct"/>
            <w:shd w:val="clear" w:color="auto" w:fill="auto"/>
            <w:noWrap/>
            <w:vAlign w:val="center"/>
            <w:hideMark/>
          </w:tcPr>
          <w:p w14:paraId="7EC7C14B"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294</w:t>
            </w:r>
          </w:p>
        </w:tc>
        <w:tc>
          <w:tcPr>
            <w:tcW w:w="519" w:type="pct"/>
            <w:shd w:val="clear" w:color="auto" w:fill="auto"/>
            <w:noWrap/>
            <w:vAlign w:val="center"/>
            <w:hideMark/>
          </w:tcPr>
          <w:p w14:paraId="504F5581"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454</w:t>
            </w:r>
          </w:p>
        </w:tc>
      </w:tr>
      <w:tr w:rsidR="002A155A" w:rsidRPr="007F400A" w14:paraId="39E32BD7" w14:textId="77777777" w:rsidTr="00D61D6A">
        <w:trPr>
          <w:trHeight w:val="346"/>
        </w:trPr>
        <w:tc>
          <w:tcPr>
            <w:tcW w:w="937" w:type="pct"/>
            <w:vAlign w:val="center"/>
            <w:hideMark/>
          </w:tcPr>
          <w:p w14:paraId="46920B41" w14:textId="77777777" w:rsidR="002A155A" w:rsidRPr="007F400A" w:rsidRDefault="002A155A" w:rsidP="00D61D6A">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Śląskie</w:t>
            </w:r>
          </w:p>
        </w:tc>
        <w:tc>
          <w:tcPr>
            <w:tcW w:w="430" w:type="pct"/>
            <w:shd w:val="clear" w:color="auto" w:fill="auto"/>
            <w:vAlign w:val="center"/>
            <w:hideMark/>
          </w:tcPr>
          <w:p w14:paraId="6BC6945A" w14:textId="77777777" w:rsidR="002A155A" w:rsidRPr="00D94D20" w:rsidRDefault="002A155A" w:rsidP="00D61D6A">
            <w:pPr>
              <w:spacing w:after="0" w:line="300" w:lineRule="atLeast"/>
              <w:jc w:val="center"/>
              <w:rPr>
                <w:rFonts w:ascii="Times New Roman" w:eastAsia="Times New Roman" w:hAnsi="Times New Roman" w:cs="Times New Roman"/>
                <w:bCs/>
                <w:color w:val="000000"/>
                <w:sz w:val="18"/>
                <w:szCs w:val="18"/>
              </w:rPr>
            </w:pPr>
            <w:r w:rsidRPr="002E359F">
              <w:rPr>
                <w:rFonts w:ascii="Times New Roman" w:hAnsi="Times New Roman" w:cs="Times New Roman"/>
                <w:sz w:val="18"/>
                <w:szCs w:val="18"/>
              </w:rPr>
              <w:t>10 143</w:t>
            </w:r>
          </w:p>
        </w:tc>
        <w:tc>
          <w:tcPr>
            <w:tcW w:w="350" w:type="pct"/>
            <w:shd w:val="clear" w:color="auto" w:fill="auto"/>
            <w:noWrap/>
            <w:vAlign w:val="center"/>
          </w:tcPr>
          <w:p w14:paraId="3C36356F" w14:textId="77777777" w:rsidR="002A155A" w:rsidRPr="00FD2EE7" w:rsidRDefault="002A155A" w:rsidP="00D61D6A">
            <w:pPr>
              <w:spacing w:after="0" w:line="300" w:lineRule="atLeast"/>
              <w:jc w:val="center"/>
              <w:rPr>
                <w:rFonts w:ascii="Times New Roman" w:eastAsia="Times New Roman" w:hAnsi="Times New Roman" w:cs="Times New Roman"/>
                <w:bCs/>
                <w:color w:val="000000"/>
                <w:sz w:val="18"/>
                <w:szCs w:val="18"/>
              </w:rPr>
            </w:pPr>
            <w:r w:rsidRPr="002E359F">
              <w:rPr>
                <w:rFonts w:ascii="Times New Roman" w:hAnsi="Times New Roman" w:cs="Times New Roman"/>
                <w:sz w:val="18"/>
              </w:rPr>
              <w:t>3 920</w:t>
            </w:r>
          </w:p>
        </w:tc>
        <w:tc>
          <w:tcPr>
            <w:tcW w:w="301" w:type="pct"/>
            <w:shd w:val="clear" w:color="auto" w:fill="auto"/>
            <w:noWrap/>
            <w:vAlign w:val="center"/>
            <w:hideMark/>
          </w:tcPr>
          <w:p w14:paraId="06ACBD2B"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388</w:t>
            </w:r>
          </w:p>
        </w:tc>
        <w:tc>
          <w:tcPr>
            <w:tcW w:w="301" w:type="pct"/>
            <w:shd w:val="clear" w:color="auto" w:fill="auto"/>
            <w:noWrap/>
            <w:vAlign w:val="center"/>
            <w:hideMark/>
          </w:tcPr>
          <w:p w14:paraId="2BE1C5EE"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213</w:t>
            </w:r>
          </w:p>
        </w:tc>
        <w:tc>
          <w:tcPr>
            <w:tcW w:w="301" w:type="pct"/>
            <w:shd w:val="clear" w:color="auto" w:fill="auto"/>
            <w:vAlign w:val="center"/>
            <w:hideMark/>
          </w:tcPr>
          <w:p w14:paraId="0F7314DB"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291</w:t>
            </w:r>
          </w:p>
        </w:tc>
        <w:tc>
          <w:tcPr>
            <w:tcW w:w="312" w:type="pct"/>
            <w:shd w:val="clear" w:color="auto" w:fill="auto"/>
            <w:noWrap/>
            <w:vAlign w:val="center"/>
            <w:hideMark/>
          </w:tcPr>
          <w:p w14:paraId="4CF3BD6C"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496</w:t>
            </w:r>
          </w:p>
        </w:tc>
        <w:tc>
          <w:tcPr>
            <w:tcW w:w="516" w:type="pct"/>
            <w:shd w:val="clear" w:color="auto" w:fill="auto"/>
            <w:vAlign w:val="center"/>
            <w:hideMark/>
          </w:tcPr>
          <w:p w14:paraId="3DB6A3FD"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26</w:t>
            </w:r>
          </w:p>
        </w:tc>
        <w:tc>
          <w:tcPr>
            <w:tcW w:w="516" w:type="pct"/>
            <w:shd w:val="clear" w:color="auto" w:fill="auto"/>
            <w:noWrap/>
            <w:vAlign w:val="center"/>
            <w:hideMark/>
          </w:tcPr>
          <w:p w14:paraId="22BDECE4"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61</w:t>
            </w:r>
          </w:p>
        </w:tc>
        <w:tc>
          <w:tcPr>
            <w:tcW w:w="516" w:type="pct"/>
            <w:shd w:val="clear" w:color="auto" w:fill="auto"/>
            <w:noWrap/>
            <w:vAlign w:val="center"/>
            <w:hideMark/>
          </w:tcPr>
          <w:p w14:paraId="6B35A158"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394</w:t>
            </w:r>
          </w:p>
        </w:tc>
        <w:tc>
          <w:tcPr>
            <w:tcW w:w="519" w:type="pct"/>
            <w:shd w:val="clear" w:color="auto" w:fill="auto"/>
            <w:noWrap/>
            <w:vAlign w:val="center"/>
            <w:hideMark/>
          </w:tcPr>
          <w:p w14:paraId="037BA7DB"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934BC">
              <w:rPr>
                <w:rFonts w:ascii="Times New Roman" w:hAnsi="Times New Roman" w:cs="Times New Roman"/>
                <w:sz w:val="18"/>
                <w:szCs w:val="18"/>
              </w:rPr>
              <w:t>278</w:t>
            </w:r>
          </w:p>
        </w:tc>
      </w:tr>
      <w:tr w:rsidR="002A155A" w:rsidRPr="007F400A" w14:paraId="45003C9B" w14:textId="77777777" w:rsidTr="00D61D6A">
        <w:trPr>
          <w:trHeight w:val="346"/>
        </w:trPr>
        <w:tc>
          <w:tcPr>
            <w:tcW w:w="937" w:type="pct"/>
            <w:vAlign w:val="center"/>
            <w:hideMark/>
          </w:tcPr>
          <w:p w14:paraId="5B15A22F" w14:textId="77777777" w:rsidR="002A155A" w:rsidRPr="007F400A" w:rsidRDefault="002A155A" w:rsidP="00D61D6A">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Świętokrzyskie</w:t>
            </w:r>
          </w:p>
        </w:tc>
        <w:tc>
          <w:tcPr>
            <w:tcW w:w="430" w:type="pct"/>
            <w:shd w:val="clear" w:color="auto" w:fill="auto"/>
            <w:vAlign w:val="center"/>
            <w:hideMark/>
          </w:tcPr>
          <w:p w14:paraId="67FBBF10" w14:textId="77777777" w:rsidR="002A155A" w:rsidRPr="007B28EF" w:rsidRDefault="002A155A" w:rsidP="00D61D6A">
            <w:pPr>
              <w:spacing w:after="0" w:line="300" w:lineRule="atLeast"/>
              <w:jc w:val="center"/>
              <w:rPr>
                <w:rFonts w:ascii="Times New Roman" w:eastAsia="Times New Roman" w:hAnsi="Times New Roman" w:cs="Times New Roman"/>
                <w:bCs/>
                <w:color w:val="000000"/>
                <w:sz w:val="18"/>
                <w:szCs w:val="18"/>
              </w:rPr>
            </w:pPr>
            <w:r w:rsidRPr="002934BC">
              <w:rPr>
                <w:rFonts w:ascii="Times New Roman" w:hAnsi="Times New Roman" w:cs="Times New Roman"/>
                <w:sz w:val="18"/>
                <w:szCs w:val="18"/>
              </w:rPr>
              <w:t>3 961</w:t>
            </w:r>
          </w:p>
        </w:tc>
        <w:tc>
          <w:tcPr>
            <w:tcW w:w="350" w:type="pct"/>
            <w:shd w:val="clear" w:color="auto" w:fill="auto"/>
            <w:noWrap/>
            <w:vAlign w:val="center"/>
          </w:tcPr>
          <w:p w14:paraId="3FDDA86C" w14:textId="77777777" w:rsidR="002A155A" w:rsidRPr="00FD2EE7" w:rsidRDefault="002A155A" w:rsidP="00D61D6A">
            <w:pPr>
              <w:spacing w:after="0" w:line="300" w:lineRule="atLeast"/>
              <w:jc w:val="center"/>
              <w:rPr>
                <w:rFonts w:ascii="Times New Roman" w:eastAsia="Times New Roman" w:hAnsi="Times New Roman" w:cs="Times New Roman"/>
                <w:bCs/>
                <w:color w:val="000000"/>
                <w:sz w:val="18"/>
                <w:szCs w:val="18"/>
              </w:rPr>
            </w:pPr>
            <w:r w:rsidRPr="002E359F">
              <w:rPr>
                <w:rFonts w:ascii="Times New Roman" w:hAnsi="Times New Roman" w:cs="Times New Roman"/>
                <w:sz w:val="18"/>
              </w:rPr>
              <w:t>1 442</w:t>
            </w:r>
          </w:p>
        </w:tc>
        <w:tc>
          <w:tcPr>
            <w:tcW w:w="301" w:type="pct"/>
            <w:shd w:val="clear" w:color="auto" w:fill="auto"/>
            <w:noWrap/>
            <w:vAlign w:val="center"/>
            <w:hideMark/>
          </w:tcPr>
          <w:p w14:paraId="35930862"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szCs w:val="18"/>
              </w:rPr>
              <w:t>132</w:t>
            </w:r>
          </w:p>
        </w:tc>
        <w:tc>
          <w:tcPr>
            <w:tcW w:w="301" w:type="pct"/>
            <w:shd w:val="clear" w:color="auto" w:fill="auto"/>
            <w:noWrap/>
            <w:vAlign w:val="center"/>
            <w:hideMark/>
          </w:tcPr>
          <w:p w14:paraId="64B56693"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szCs w:val="18"/>
              </w:rPr>
              <w:t>70</w:t>
            </w:r>
          </w:p>
        </w:tc>
        <w:tc>
          <w:tcPr>
            <w:tcW w:w="301" w:type="pct"/>
            <w:shd w:val="clear" w:color="auto" w:fill="auto"/>
            <w:vAlign w:val="center"/>
            <w:hideMark/>
          </w:tcPr>
          <w:p w14:paraId="1E2D007A"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76</w:t>
            </w:r>
          </w:p>
        </w:tc>
        <w:tc>
          <w:tcPr>
            <w:tcW w:w="312" w:type="pct"/>
            <w:shd w:val="clear" w:color="auto" w:fill="auto"/>
            <w:noWrap/>
            <w:vAlign w:val="center"/>
            <w:hideMark/>
          </w:tcPr>
          <w:p w14:paraId="3F781173"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166</w:t>
            </w:r>
          </w:p>
        </w:tc>
        <w:tc>
          <w:tcPr>
            <w:tcW w:w="516" w:type="pct"/>
            <w:shd w:val="clear" w:color="auto" w:fill="auto"/>
            <w:vAlign w:val="center"/>
            <w:hideMark/>
          </w:tcPr>
          <w:p w14:paraId="7C424D67"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E359F">
              <w:rPr>
                <w:rFonts w:ascii="Times New Roman" w:hAnsi="Times New Roman" w:cs="Times New Roman"/>
                <w:sz w:val="18"/>
                <w:szCs w:val="18"/>
              </w:rPr>
              <w:t>12</w:t>
            </w:r>
          </w:p>
        </w:tc>
        <w:tc>
          <w:tcPr>
            <w:tcW w:w="516" w:type="pct"/>
            <w:shd w:val="clear" w:color="auto" w:fill="auto"/>
            <w:noWrap/>
            <w:vAlign w:val="center"/>
            <w:hideMark/>
          </w:tcPr>
          <w:p w14:paraId="16A06673"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744A58">
              <w:rPr>
                <w:rFonts w:ascii="Times New Roman" w:hAnsi="Times New Roman" w:cs="Times New Roman"/>
                <w:sz w:val="18"/>
                <w:szCs w:val="18"/>
              </w:rPr>
              <w:t>22</w:t>
            </w:r>
          </w:p>
        </w:tc>
        <w:tc>
          <w:tcPr>
            <w:tcW w:w="516" w:type="pct"/>
            <w:shd w:val="clear" w:color="auto" w:fill="auto"/>
            <w:noWrap/>
            <w:vAlign w:val="center"/>
            <w:hideMark/>
          </w:tcPr>
          <w:p w14:paraId="22871156"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szCs w:val="18"/>
              </w:rPr>
              <w:t>314</w:t>
            </w:r>
          </w:p>
        </w:tc>
        <w:tc>
          <w:tcPr>
            <w:tcW w:w="519" w:type="pct"/>
            <w:shd w:val="clear" w:color="auto" w:fill="auto"/>
            <w:noWrap/>
            <w:vAlign w:val="center"/>
            <w:hideMark/>
          </w:tcPr>
          <w:p w14:paraId="32B0D5A0"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szCs w:val="18"/>
              </w:rPr>
              <w:t>114</w:t>
            </w:r>
          </w:p>
        </w:tc>
      </w:tr>
      <w:tr w:rsidR="002A155A" w:rsidRPr="007F400A" w14:paraId="565507A0" w14:textId="77777777" w:rsidTr="00D61D6A">
        <w:trPr>
          <w:trHeight w:val="346"/>
        </w:trPr>
        <w:tc>
          <w:tcPr>
            <w:tcW w:w="937" w:type="pct"/>
            <w:vAlign w:val="center"/>
            <w:hideMark/>
          </w:tcPr>
          <w:p w14:paraId="3521EC36" w14:textId="77777777" w:rsidR="002A155A" w:rsidRPr="007F400A" w:rsidRDefault="002A155A" w:rsidP="00D61D6A">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Warmińsko-mazurskie</w:t>
            </w:r>
          </w:p>
        </w:tc>
        <w:tc>
          <w:tcPr>
            <w:tcW w:w="430" w:type="pct"/>
            <w:shd w:val="clear" w:color="auto" w:fill="auto"/>
            <w:vAlign w:val="center"/>
            <w:hideMark/>
          </w:tcPr>
          <w:p w14:paraId="716FAEA7" w14:textId="77777777" w:rsidR="002A155A" w:rsidRPr="007B28EF" w:rsidRDefault="002A155A" w:rsidP="00D61D6A">
            <w:pPr>
              <w:spacing w:after="0" w:line="300" w:lineRule="atLeast"/>
              <w:jc w:val="center"/>
              <w:rPr>
                <w:rFonts w:ascii="Times New Roman" w:eastAsia="Times New Roman" w:hAnsi="Times New Roman" w:cs="Times New Roman"/>
                <w:bCs/>
                <w:color w:val="000000"/>
                <w:sz w:val="18"/>
                <w:szCs w:val="18"/>
              </w:rPr>
            </w:pPr>
            <w:r w:rsidRPr="002A4E93">
              <w:rPr>
                <w:rFonts w:ascii="Times New Roman" w:hAnsi="Times New Roman" w:cs="Times New Roman"/>
                <w:sz w:val="18"/>
                <w:szCs w:val="18"/>
              </w:rPr>
              <w:t>7 132</w:t>
            </w:r>
          </w:p>
        </w:tc>
        <w:tc>
          <w:tcPr>
            <w:tcW w:w="350" w:type="pct"/>
            <w:shd w:val="clear" w:color="auto" w:fill="auto"/>
            <w:noWrap/>
            <w:vAlign w:val="center"/>
          </w:tcPr>
          <w:p w14:paraId="648C311B" w14:textId="77777777" w:rsidR="002A155A" w:rsidRPr="00FD2EE7" w:rsidRDefault="002A155A" w:rsidP="00D61D6A">
            <w:pPr>
              <w:spacing w:after="0" w:line="300" w:lineRule="atLeast"/>
              <w:jc w:val="center"/>
              <w:rPr>
                <w:rFonts w:ascii="Times New Roman" w:eastAsia="Times New Roman" w:hAnsi="Times New Roman" w:cs="Times New Roman"/>
                <w:bCs/>
                <w:color w:val="000000"/>
                <w:sz w:val="18"/>
                <w:szCs w:val="18"/>
              </w:rPr>
            </w:pPr>
            <w:r w:rsidRPr="002A4E93">
              <w:rPr>
                <w:rFonts w:ascii="Times New Roman" w:hAnsi="Times New Roman" w:cs="Times New Roman"/>
                <w:sz w:val="18"/>
              </w:rPr>
              <w:t>2 332</w:t>
            </w:r>
          </w:p>
        </w:tc>
        <w:tc>
          <w:tcPr>
            <w:tcW w:w="301" w:type="pct"/>
            <w:shd w:val="clear" w:color="auto" w:fill="auto"/>
            <w:noWrap/>
            <w:vAlign w:val="center"/>
            <w:hideMark/>
          </w:tcPr>
          <w:p w14:paraId="7144BD23"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szCs w:val="18"/>
              </w:rPr>
              <w:t>252</w:t>
            </w:r>
          </w:p>
        </w:tc>
        <w:tc>
          <w:tcPr>
            <w:tcW w:w="301" w:type="pct"/>
            <w:shd w:val="clear" w:color="auto" w:fill="auto"/>
            <w:noWrap/>
            <w:vAlign w:val="center"/>
            <w:hideMark/>
          </w:tcPr>
          <w:p w14:paraId="7518C9DE"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szCs w:val="18"/>
              </w:rPr>
              <w:t>215</w:t>
            </w:r>
          </w:p>
        </w:tc>
        <w:tc>
          <w:tcPr>
            <w:tcW w:w="301" w:type="pct"/>
            <w:shd w:val="clear" w:color="auto" w:fill="auto"/>
            <w:vAlign w:val="center"/>
            <w:hideMark/>
          </w:tcPr>
          <w:p w14:paraId="5305480D"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szCs w:val="18"/>
              </w:rPr>
              <w:t>74</w:t>
            </w:r>
          </w:p>
        </w:tc>
        <w:tc>
          <w:tcPr>
            <w:tcW w:w="312" w:type="pct"/>
            <w:shd w:val="clear" w:color="auto" w:fill="auto"/>
            <w:noWrap/>
            <w:vAlign w:val="center"/>
            <w:hideMark/>
          </w:tcPr>
          <w:p w14:paraId="0CAA050D"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szCs w:val="18"/>
              </w:rPr>
              <w:t>372</w:t>
            </w:r>
          </w:p>
        </w:tc>
        <w:tc>
          <w:tcPr>
            <w:tcW w:w="516" w:type="pct"/>
            <w:shd w:val="clear" w:color="auto" w:fill="auto"/>
            <w:vAlign w:val="center"/>
            <w:hideMark/>
          </w:tcPr>
          <w:p w14:paraId="71906D88"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szCs w:val="18"/>
              </w:rPr>
              <w:t>12</w:t>
            </w:r>
          </w:p>
        </w:tc>
        <w:tc>
          <w:tcPr>
            <w:tcW w:w="516" w:type="pct"/>
            <w:shd w:val="clear" w:color="auto" w:fill="auto"/>
            <w:noWrap/>
            <w:vAlign w:val="center"/>
            <w:hideMark/>
          </w:tcPr>
          <w:p w14:paraId="4CC6E1E2"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szCs w:val="18"/>
              </w:rPr>
              <w:t>5</w:t>
            </w:r>
          </w:p>
        </w:tc>
        <w:tc>
          <w:tcPr>
            <w:tcW w:w="516" w:type="pct"/>
            <w:shd w:val="clear" w:color="auto" w:fill="auto"/>
            <w:noWrap/>
            <w:vAlign w:val="center"/>
            <w:hideMark/>
          </w:tcPr>
          <w:p w14:paraId="04D46F1A"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szCs w:val="18"/>
              </w:rPr>
              <w:t>260</w:t>
            </w:r>
          </w:p>
        </w:tc>
        <w:tc>
          <w:tcPr>
            <w:tcW w:w="519" w:type="pct"/>
            <w:shd w:val="clear" w:color="auto" w:fill="auto"/>
            <w:noWrap/>
            <w:vAlign w:val="center"/>
            <w:hideMark/>
          </w:tcPr>
          <w:p w14:paraId="64B6DD4F"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szCs w:val="18"/>
              </w:rPr>
              <w:t>203</w:t>
            </w:r>
          </w:p>
        </w:tc>
      </w:tr>
      <w:tr w:rsidR="002A155A" w:rsidRPr="007F400A" w14:paraId="435FA9C9" w14:textId="77777777" w:rsidTr="00D61D6A">
        <w:trPr>
          <w:trHeight w:val="346"/>
        </w:trPr>
        <w:tc>
          <w:tcPr>
            <w:tcW w:w="937" w:type="pct"/>
            <w:vAlign w:val="center"/>
            <w:hideMark/>
          </w:tcPr>
          <w:p w14:paraId="17125C7F" w14:textId="77777777" w:rsidR="002A155A" w:rsidRPr="007F400A" w:rsidRDefault="002A155A" w:rsidP="00D61D6A">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Wielkopolskie</w:t>
            </w:r>
          </w:p>
        </w:tc>
        <w:tc>
          <w:tcPr>
            <w:tcW w:w="430" w:type="pct"/>
            <w:shd w:val="clear" w:color="auto" w:fill="auto"/>
            <w:vAlign w:val="center"/>
            <w:hideMark/>
          </w:tcPr>
          <w:p w14:paraId="36731FAC" w14:textId="77777777" w:rsidR="002A155A" w:rsidRPr="00D94D20" w:rsidRDefault="002A155A" w:rsidP="00D61D6A">
            <w:pPr>
              <w:spacing w:after="0" w:line="300" w:lineRule="atLeast"/>
              <w:jc w:val="center"/>
              <w:rPr>
                <w:rFonts w:ascii="Times New Roman" w:eastAsia="Times New Roman" w:hAnsi="Times New Roman" w:cs="Times New Roman"/>
                <w:bCs/>
                <w:color w:val="000000"/>
                <w:sz w:val="18"/>
                <w:szCs w:val="18"/>
              </w:rPr>
            </w:pPr>
            <w:r w:rsidRPr="002A4E93">
              <w:rPr>
                <w:rFonts w:ascii="Times New Roman" w:hAnsi="Times New Roman" w:cs="Times New Roman"/>
                <w:sz w:val="18"/>
                <w:szCs w:val="18"/>
              </w:rPr>
              <w:t>15 221</w:t>
            </w:r>
          </w:p>
        </w:tc>
        <w:tc>
          <w:tcPr>
            <w:tcW w:w="350" w:type="pct"/>
            <w:shd w:val="clear" w:color="auto" w:fill="auto"/>
            <w:noWrap/>
            <w:vAlign w:val="center"/>
          </w:tcPr>
          <w:p w14:paraId="7992D16A" w14:textId="77777777" w:rsidR="002A155A" w:rsidRPr="00FD2EE7" w:rsidRDefault="002A155A" w:rsidP="00D61D6A">
            <w:pPr>
              <w:spacing w:after="0" w:line="300" w:lineRule="atLeast"/>
              <w:jc w:val="center"/>
              <w:rPr>
                <w:rFonts w:ascii="Times New Roman" w:eastAsia="Times New Roman" w:hAnsi="Times New Roman" w:cs="Times New Roman"/>
                <w:bCs/>
                <w:color w:val="000000"/>
                <w:sz w:val="18"/>
                <w:szCs w:val="18"/>
              </w:rPr>
            </w:pPr>
            <w:r w:rsidRPr="002A4E93">
              <w:rPr>
                <w:rFonts w:ascii="Times New Roman" w:hAnsi="Times New Roman" w:cs="Times New Roman"/>
                <w:sz w:val="18"/>
              </w:rPr>
              <w:t>3 133</w:t>
            </w:r>
          </w:p>
        </w:tc>
        <w:tc>
          <w:tcPr>
            <w:tcW w:w="301" w:type="pct"/>
            <w:shd w:val="clear" w:color="auto" w:fill="auto"/>
            <w:noWrap/>
            <w:vAlign w:val="center"/>
            <w:hideMark/>
          </w:tcPr>
          <w:p w14:paraId="1078B7BC"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szCs w:val="18"/>
              </w:rPr>
              <w:t>360</w:t>
            </w:r>
          </w:p>
        </w:tc>
        <w:tc>
          <w:tcPr>
            <w:tcW w:w="301" w:type="pct"/>
            <w:shd w:val="clear" w:color="auto" w:fill="auto"/>
            <w:noWrap/>
            <w:vAlign w:val="center"/>
            <w:hideMark/>
          </w:tcPr>
          <w:p w14:paraId="022D7441"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szCs w:val="18"/>
              </w:rPr>
              <w:t>466</w:t>
            </w:r>
          </w:p>
        </w:tc>
        <w:tc>
          <w:tcPr>
            <w:tcW w:w="301" w:type="pct"/>
            <w:shd w:val="clear" w:color="auto" w:fill="auto"/>
            <w:vAlign w:val="center"/>
            <w:hideMark/>
          </w:tcPr>
          <w:p w14:paraId="24D183A2"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szCs w:val="18"/>
              </w:rPr>
              <w:t>279</w:t>
            </w:r>
          </w:p>
        </w:tc>
        <w:tc>
          <w:tcPr>
            <w:tcW w:w="312" w:type="pct"/>
            <w:shd w:val="clear" w:color="auto" w:fill="auto"/>
            <w:noWrap/>
            <w:vAlign w:val="center"/>
            <w:hideMark/>
          </w:tcPr>
          <w:p w14:paraId="14B3A32A"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szCs w:val="18"/>
              </w:rPr>
              <w:t>648</w:t>
            </w:r>
          </w:p>
        </w:tc>
        <w:tc>
          <w:tcPr>
            <w:tcW w:w="516" w:type="pct"/>
            <w:shd w:val="clear" w:color="auto" w:fill="auto"/>
            <w:vAlign w:val="center"/>
            <w:hideMark/>
          </w:tcPr>
          <w:p w14:paraId="4A874D69"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szCs w:val="18"/>
              </w:rPr>
              <w:t>92</w:t>
            </w:r>
          </w:p>
        </w:tc>
        <w:tc>
          <w:tcPr>
            <w:tcW w:w="516" w:type="pct"/>
            <w:shd w:val="clear" w:color="auto" w:fill="auto"/>
            <w:noWrap/>
            <w:vAlign w:val="center"/>
            <w:hideMark/>
          </w:tcPr>
          <w:p w14:paraId="43B1961A"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szCs w:val="18"/>
              </w:rPr>
              <w:t>171</w:t>
            </w:r>
          </w:p>
        </w:tc>
        <w:tc>
          <w:tcPr>
            <w:tcW w:w="516" w:type="pct"/>
            <w:shd w:val="clear" w:color="auto" w:fill="auto"/>
            <w:noWrap/>
            <w:vAlign w:val="center"/>
            <w:hideMark/>
          </w:tcPr>
          <w:p w14:paraId="0ED83EF0"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szCs w:val="18"/>
              </w:rPr>
              <w:t>846</w:t>
            </w:r>
          </w:p>
        </w:tc>
        <w:tc>
          <w:tcPr>
            <w:tcW w:w="519" w:type="pct"/>
            <w:shd w:val="clear" w:color="auto" w:fill="auto"/>
            <w:noWrap/>
            <w:vAlign w:val="center"/>
            <w:hideMark/>
          </w:tcPr>
          <w:p w14:paraId="18F32859"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szCs w:val="18"/>
              </w:rPr>
              <w:t>513</w:t>
            </w:r>
          </w:p>
        </w:tc>
      </w:tr>
      <w:tr w:rsidR="002A155A" w:rsidRPr="007F400A" w14:paraId="03CC6CE0" w14:textId="77777777" w:rsidTr="00D61D6A">
        <w:trPr>
          <w:trHeight w:val="346"/>
        </w:trPr>
        <w:tc>
          <w:tcPr>
            <w:tcW w:w="937" w:type="pct"/>
            <w:vAlign w:val="center"/>
            <w:hideMark/>
          </w:tcPr>
          <w:p w14:paraId="48015A7D" w14:textId="77777777" w:rsidR="002A155A" w:rsidRPr="007F400A" w:rsidRDefault="002A155A" w:rsidP="00D61D6A">
            <w:pPr>
              <w:spacing w:after="0" w:line="300" w:lineRule="atLeast"/>
              <w:rPr>
                <w:rFonts w:ascii="Times New Roman" w:eastAsia="Times New Roman" w:hAnsi="Times New Roman" w:cs="Times New Roman"/>
                <w:color w:val="000000"/>
                <w:sz w:val="18"/>
                <w:szCs w:val="18"/>
              </w:rPr>
            </w:pPr>
            <w:r w:rsidRPr="007F400A">
              <w:rPr>
                <w:rFonts w:ascii="Times New Roman" w:eastAsia="Times New Roman" w:hAnsi="Times New Roman" w:cs="Times New Roman"/>
                <w:color w:val="000000"/>
                <w:sz w:val="18"/>
                <w:szCs w:val="18"/>
              </w:rPr>
              <w:t>Zachodniopomorskie</w:t>
            </w:r>
          </w:p>
        </w:tc>
        <w:tc>
          <w:tcPr>
            <w:tcW w:w="430" w:type="pct"/>
            <w:shd w:val="clear" w:color="auto" w:fill="auto"/>
            <w:vAlign w:val="center"/>
            <w:hideMark/>
          </w:tcPr>
          <w:p w14:paraId="76F93869" w14:textId="77777777" w:rsidR="002A155A" w:rsidRPr="007B28EF" w:rsidRDefault="002A155A" w:rsidP="00D61D6A">
            <w:pPr>
              <w:spacing w:after="0" w:line="300" w:lineRule="atLeast"/>
              <w:jc w:val="center"/>
              <w:rPr>
                <w:rFonts w:ascii="Times New Roman" w:eastAsia="Times New Roman" w:hAnsi="Times New Roman" w:cs="Times New Roman"/>
                <w:bCs/>
                <w:color w:val="000000"/>
                <w:sz w:val="18"/>
                <w:szCs w:val="18"/>
              </w:rPr>
            </w:pPr>
            <w:r w:rsidRPr="002A4E93">
              <w:rPr>
                <w:rFonts w:ascii="Times New Roman" w:hAnsi="Times New Roman" w:cs="Times New Roman"/>
                <w:sz w:val="18"/>
                <w:szCs w:val="18"/>
              </w:rPr>
              <w:t>6 806</w:t>
            </w:r>
          </w:p>
        </w:tc>
        <w:tc>
          <w:tcPr>
            <w:tcW w:w="350" w:type="pct"/>
            <w:shd w:val="clear" w:color="auto" w:fill="auto"/>
            <w:noWrap/>
            <w:vAlign w:val="center"/>
          </w:tcPr>
          <w:p w14:paraId="51F60D87" w14:textId="77777777" w:rsidR="002A155A" w:rsidRPr="00FD2EE7" w:rsidRDefault="002A155A" w:rsidP="00D61D6A">
            <w:pPr>
              <w:spacing w:after="0" w:line="300" w:lineRule="atLeast"/>
              <w:jc w:val="center"/>
              <w:rPr>
                <w:rFonts w:ascii="Times New Roman" w:eastAsia="Times New Roman" w:hAnsi="Times New Roman" w:cs="Times New Roman"/>
                <w:bCs/>
                <w:color w:val="000000"/>
                <w:sz w:val="18"/>
                <w:szCs w:val="18"/>
              </w:rPr>
            </w:pPr>
            <w:r w:rsidRPr="002A4E93">
              <w:rPr>
                <w:rFonts w:ascii="Times New Roman" w:hAnsi="Times New Roman" w:cs="Times New Roman"/>
                <w:sz w:val="18"/>
              </w:rPr>
              <w:t>1 985</w:t>
            </w:r>
          </w:p>
        </w:tc>
        <w:tc>
          <w:tcPr>
            <w:tcW w:w="301" w:type="pct"/>
            <w:shd w:val="clear" w:color="auto" w:fill="auto"/>
            <w:noWrap/>
            <w:vAlign w:val="center"/>
            <w:hideMark/>
          </w:tcPr>
          <w:p w14:paraId="6771D7C5"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szCs w:val="18"/>
              </w:rPr>
              <w:t>146</w:t>
            </w:r>
          </w:p>
        </w:tc>
        <w:tc>
          <w:tcPr>
            <w:tcW w:w="301" w:type="pct"/>
            <w:shd w:val="clear" w:color="auto" w:fill="auto"/>
            <w:noWrap/>
            <w:vAlign w:val="center"/>
            <w:hideMark/>
          </w:tcPr>
          <w:p w14:paraId="156F97B5"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szCs w:val="18"/>
              </w:rPr>
              <w:t>76</w:t>
            </w:r>
          </w:p>
        </w:tc>
        <w:tc>
          <w:tcPr>
            <w:tcW w:w="301" w:type="pct"/>
            <w:shd w:val="clear" w:color="auto" w:fill="auto"/>
            <w:vAlign w:val="center"/>
            <w:hideMark/>
          </w:tcPr>
          <w:p w14:paraId="751BA6E2"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szCs w:val="18"/>
              </w:rPr>
              <w:t>134</w:t>
            </w:r>
          </w:p>
        </w:tc>
        <w:tc>
          <w:tcPr>
            <w:tcW w:w="312" w:type="pct"/>
            <w:shd w:val="clear" w:color="auto" w:fill="auto"/>
            <w:noWrap/>
            <w:vAlign w:val="center"/>
            <w:hideMark/>
          </w:tcPr>
          <w:p w14:paraId="40DE2BC8"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szCs w:val="18"/>
              </w:rPr>
              <w:t>200</w:t>
            </w:r>
          </w:p>
        </w:tc>
        <w:tc>
          <w:tcPr>
            <w:tcW w:w="516" w:type="pct"/>
            <w:shd w:val="clear" w:color="auto" w:fill="auto"/>
            <w:vAlign w:val="center"/>
            <w:hideMark/>
          </w:tcPr>
          <w:p w14:paraId="26425EEA"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szCs w:val="18"/>
              </w:rPr>
              <w:t>2</w:t>
            </w:r>
          </w:p>
        </w:tc>
        <w:tc>
          <w:tcPr>
            <w:tcW w:w="516" w:type="pct"/>
            <w:shd w:val="clear" w:color="auto" w:fill="auto"/>
            <w:noWrap/>
            <w:vAlign w:val="center"/>
            <w:hideMark/>
          </w:tcPr>
          <w:p w14:paraId="5B4006E1"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szCs w:val="18"/>
              </w:rPr>
              <w:t>0</w:t>
            </w:r>
          </w:p>
        </w:tc>
        <w:tc>
          <w:tcPr>
            <w:tcW w:w="516" w:type="pct"/>
            <w:shd w:val="clear" w:color="auto" w:fill="auto"/>
            <w:noWrap/>
            <w:vAlign w:val="center"/>
            <w:hideMark/>
          </w:tcPr>
          <w:p w14:paraId="4254D7B4"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szCs w:val="18"/>
              </w:rPr>
              <w:t>229</w:t>
            </w:r>
          </w:p>
        </w:tc>
        <w:tc>
          <w:tcPr>
            <w:tcW w:w="519" w:type="pct"/>
            <w:shd w:val="clear" w:color="auto" w:fill="auto"/>
            <w:noWrap/>
            <w:vAlign w:val="center"/>
            <w:hideMark/>
          </w:tcPr>
          <w:p w14:paraId="4BE3F8CB" w14:textId="77777777" w:rsidR="002A155A" w:rsidRPr="007B28EF" w:rsidRDefault="002A155A" w:rsidP="00D61D6A">
            <w:pPr>
              <w:spacing w:after="0" w:line="300" w:lineRule="atLeast"/>
              <w:jc w:val="center"/>
              <w:rPr>
                <w:rFonts w:ascii="Times New Roman" w:eastAsia="Times New Roman" w:hAnsi="Times New Roman" w:cs="Times New Roman"/>
                <w:color w:val="000000"/>
                <w:sz w:val="18"/>
                <w:szCs w:val="18"/>
              </w:rPr>
            </w:pPr>
            <w:r w:rsidRPr="002A4E93">
              <w:rPr>
                <w:rFonts w:ascii="Times New Roman" w:hAnsi="Times New Roman" w:cs="Times New Roman"/>
                <w:sz w:val="18"/>
                <w:szCs w:val="18"/>
              </w:rPr>
              <w:t>191</w:t>
            </w:r>
          </w:p>
        </w:tc>
      </w:tr>
      <w:tr w:rsidR="002A155A" w:rsidRPr="007F400A" w14:paraId="33060629" w14:textId="77777777" w:rsidTr="00D61D6A">
        <w:trPr>
          <w:trHeight w:val="346"/>
        </w:trPr>
        <w:tc>
          <w:tcPr>
            <w:tcW w:w="937" w:type="pct"/>
            <w:vAlign w:val="center"/>
            <w:hideMark/>
          </w:tcPr>
          <w:p w14:paraId="54797AC8" w14:textId="77777777" w:rsidR="002A155A" w:rsidRPr="007F400A" w:rsidRDefault="002A155A" w:rsidP="00D61D6A">
            <w:pPr>
              <w:spacing w:after="0" w:line="300" w:lineRule="atLeast"/>
              <w:rPr>
                <w:rFonts w:ascii="Times New Roman" w:eastAsia="Times New Roman" w:hAnsi="Times New Roman" w:cs="Times New Roman"/>
                <w:b/>
                <w:bCs/>
                <w:color w:val="000000"/>
                <w:sz w:val="18"/>
                <w:szCs w:val="18"/>
              </w:rPr>
            </w:pPr>
            <w:r w:rsidRPr="007F400A">
              <w:rPr>
                <w:rFonts w:ascii="Times New Roman" w:eastAsia="Times New Roman" w:hAnsi="Times New Roman" w:cs="Times New Roman"/>
                <w:b/>
                <w:bCs/>
                <w:color w:val="000000"/>
                <w:sz w:val="18"/>
                <w:szCs w:val="18"/>
              </w:rPr>
              <w:t>Polska</w:t>
            </w:r>
          </w:p>
        </w:tc>
        <w:tc>
          <w:tcPr>
            <w:tcW w:w="430" w:type="pct"/>
            <w:shd w:val="clear" w:color="auto" w:fill="auto"/>
            <w:noWrap/>
            <w:vAlign w:val="center"/>
            <w:hideMark/>
          </w:tcPr>
          <w:p w14:paraId="53682757" w14:textId="77777777" w:rsidR="002A155A" w:rsidRPr="007F400A" w:rsidRDefault="002A155A" w:rsidP="00D61D6A">
            <w:pPr>
              <w:spacing w:after="0" w:line="300" w:lineRule="atLeast"/>
              <w:jc w:val="center"/>
              <w:rPr>
                <w:rFonts w:ascii="Times New Roman" w:eastAsia="Times New Roman" w:hAnsi="Times New Roman" w:cs="Times New Roman"/>
                <w:b/>
                <w:bCs/>
                <w:color w:val="000000"/>
                <w:sz w:val="18"/>
                <w:szCs w:val="18"/>
              </w:rPr>
            </w:pPr>
            <w:r w:rsidRPr="00D94D20">
              <w:rPr>
                <w:rFonts w:ascii="Times New Roman" w:hAnsi="Times New Roman" w:cs="Times New Roman"/>
                <w:b/>
                <w:sz w:val="18"/>
                <w:szCs w:val="18"/>
              </w:rPr>
              <w:t>163 952</w:t>
            </w:r>
          </w:p>
        </w:tc>
        <w:tc>
          <w:tcPr>
            <w:tcW w:w="350" w:type="pct"/>
            <w:shd w:val="clear" w:color="auto" w:fill="auto"/>
            <w:noWrap/>
            <w:vAlign w:val="center"/>
          </w:tcPr>
          <w:p w14:paraId="5DBA28E5" w14:textId="77777777" w:rsidR="002A155A" w:rsidRPr="007F400A" w:rsidRDefault="002A155A" w:rsidP="00D61D6A">
            <w:pPr>
              <w:spacing w:after="0" w:line="300" w:lineRule="atLeast"/>
              <w:jc w:val="center"/>
              <w:rPr>
                <w:rFonts w:ascii="Times New Roman" w:eastAsia="Times New Roman" w:hAnsi="Times New Roman" w:cs="Times New Roman"/>
                <w:b/>
                <w:bCs/>
                <w:color w:val="000000"/>
                <w:sz w:val="18"/>
                <w:szCs w:val="18"/>
              </w:rPr>
            </w:pPr>
            <w:r w:rsidRPr="00FD2EE7">
              <w:rPr>
                <w:rFonts w:ascii="Times New Roman" w:hAnsi="Times New Roman" w:cs="Times New Roman"/>
                <w:b/>
                <w:sz w:val="18"/>
                <w:szCs w:val="18"/>
              </w:rPr>
              <w:t>43 334</w:t>
            </w:r>
          </w:p>
        </w:tc>
        <w:tc>
          <w:tcPr>
            <w:tcW w:w="301" w:type="pct"/>
            <w:shd w:val="clear" w:color="auto" w:fill="auto"/>
            <w:noWrap/>
            <w:vAlign w:val="center"/>
            <w:hideMark/>
          </w:tcPr>
          <w:p w14:paraId="49BFAF6F" w14:textId="77777777" w:rsidR="002A155A" w:rsidRPr="007F400A" w:rsidRDefault="002A155A" w:rsidP="00D61D6A">
            <w:pPr>
              <w:spacing w:after="0" w:line="300" w:lineRule="atLeast"/>
              <w:jc w:val="center"/>
              <w:rPr>
                <w:rFonts w:ascii="Times New Roman" w:eastAsia="Times New Roman" w:hAnsi="Times New Roman" w:cs="Times New Roman"/>
                <w:b/>
                <w:bCs/>
                <w:color w:val="000000"/>
                <w:sz w:val="18"/>
                <w:szCs w:val="18"/>
              </w:rPr>
            </w:pPr>
            <w:r w:rsidRPr="00FD2EE7">
              <w:rPr>
                <w:rFonts w:ascii="Times New Roman" w:hAnsi="Times New Roman" w:cs="Times New Roman"/>
                <w:b/>
                <w:sz w:val="18"/>
                <w:szCs w:val="18"/>
              </w:rPr>
              <w:t>3 328</w:t>
            </w:r>
          </w:p>
        </w:tc>
        <w:tc>
          <w:tcPr>
            <w:tcW w:w="301" w:type="pct"/>
            <w:shd w:val="clear" w:color="auto" w:fill="auto"/>
            <w:noWrap/>
            <w:vAlign w:val="center"/>
            <w:hideMark/>
          </w:tcPr>
          <w:p w14:paraId="59BA11C9" w14:textId="77777777" w:rsidR="002A155A" w:rsidRPr="007F400A" w:rsidRDefault="002A155A" w:rsidP="00D61D6A">
            <w:pPr>
              <w:spacing w:after="0" w:line="300" w:lineRule="atLeast"/>
              <w:jc w:val="center"/>
              <w:rPr>
                <w:rFonts w:ascii="Times New Roman" w:eastAsia="Times New Roman" w:hAnsi="Times New Roman" w:cs="Times New Roman"/>
                <w:b/>
                <w:bCs/>
                <w:color w:val="000000"/>
                <w:sz w:val="18"/>
                <w:szCs w:val="18"/>
              </w:rPr>
            </w:pPr>
            <w:r w:rsidRPr="00FD2EE7">
              <w:rPr>
                <w:rFonts w:ascii="Times New Roman" w:hAnsi="Times New Roman" w:cs="Times New Roman"/>
                <w:b/>
                <w:sz w:val="18"/>
                <w:szCs w:val="18"/>
              </w:rPr>
              <w:t>2 305</w:t>
            </w:r>
          </w:p>
        </w:tc>
        <w:tc>
          <w:tcPr>
            <w:tcW w:w="301" w:type="pct"/>
            <w:shd w:val="clear" w:color="auto" w:fill="auto"/>
            <w:noWrap/>
            <w:vAlign w:val="center"/>
            <w:hideMark/>
          </w:tcPr>
          <w:p w14:paraId="52492B67" w14:textId="77777777" w:rsidR="002A155A" w:rsidRPr="007F400A" w:rsidRDefault="002A155A" w:rsidP="00D61D6A">
            <w:pPr>
              <w:spacing w:after="0" w:line="300" w:lineRule="atLeast"/>
              <w:jc w:val="center"/>
              <w:rPr>
                <w:rFonts w:ascii="Times New Roman" w:eastAsia="Times New Roman" w:hAnsi="Times New Roman" w:cs="Times New Roman"/>
                <w:b/>
                <w:bCs/>
                <w:color w:val="000000"/>
                <w:sz w:val="18"/>
                <w:szCs w:val="18"/>
              </w:rPr>
            </w:pPr>
            <w:r w:rsidRPr="00FD2EE7">
              <w:rPr>
                <w:rFonts w:ascii="Times New Roman" w:hAnsi="Times New Roman" w:cs="Times New Roman"/>
                <w:b/>
                <w:sz w:val="18"/>
                <w:szCs w:val="18"/>
              </w:rPr>
              <w:t>2 362</w:t>
            </w:r>
          </w:p>
        </w:tc>
        <w:tc>
          <w:tcPr>
            <w:tcW w:w="312" w:type="pct"/>
            <w:shd w:val="clear" w:color="auto" w:fill="auto"/>
            <w:noWrap/>
            <w:vAlign w:val="center"/>
            <w:hideMark/>
          </w:tcPr>
          <w:p w14:paraId="5C12F106" w14:textId="77777777" w:rsidR="002A155A" w:rsidRPr="007F400A" w:rsidRDefault="002A155A" w:rsidP="00D61D6A">
            <w:pPr>
              <w:spacing w:after="0" w:line="300" w:lineRule="atLeast"/>
              <w:jc w:val="center"/>
              <w:rPr>
                <w:rFonts w:ascii="Times New Roman" w:eastAsia="Times New Roman" w:hAnsi="Times New Roman" w:cs="Times New Roman"/>
                <w:b/>
                <w:bCs/>
                <w:color w:val="000000"/>
                <w:sz w:val="18"/>
                <w:szCs w:val="18"/>
              </w:rPr>
            </w:pPr>
            <w:r w:rsidRPr="00501962">
              <w:rPr>
                <w:rFonts w:ascii="Times New Roman" w:hAnsi="Times New Roman" w:cs="Times New Roman"/>
                <w:b/>
                <w:sz w:val="18"/>
                <w:szCs w:val="18"/>
              </w:rPr>
              <w:t>5 083</w:t>
            </w:r>
          </w:p>
        </w:tc>
        <w:tc>
          <w:tcPr>
            <w:tcW w:w="516" w:type="pct"/>
            <w:shd w:val="clear" w:color="auto" w:fill="auto"/>
            <w:noWrap/>
            <w:vAlign w:val="center"/>
            <w:hideMark/>
          </w:tcPr>
          <w:p w14:paraId="5DB54E84" w14:textId="77777777" w:rsidR="002A155A" w:rsidRPr="007F400A" w:rsidRDefault="002A155A" w:rsidP="00D61D6A">
            <w:pPr>
              <w:spacing w:after="0" w:line="300" w:lineRule="atLeast"/>
              <w:jc w:val="center"/>
              <w:rPr>
                <w:rFonts w:ascii="Times New Roman" w:eastAsia="Times New Roman" w:hAnsi="Times New Roman" w:cs="Times New Roman"/>
                <w:b/>
                <w:bCs/>
                <w:color w:val="000000"/>
                <w:sz w:val="18"/>
                <w:szCs w:val="18"/>
              </w:rPr>
            </w:pPr>
            <w:r w:rsidRPr="00501962">
              <w:rPr>
                <w:rFonts w:ascii="Times New Roman" w:hAnsi="Times New Roman" w:cs="Times New Roman"/>
                <w:b/>
                <w:bCs/>
                <w:color w:val="000000"/>
                <w:sz w:val="18"/>
                <w:szCs w:val="18"/>
              </w:rPr>
              <w:t>285</w:t>
            </w:r>
          </w:p>
        </w:tc>
        <w:tc>
          <w:tcPr>
            <w:tcW w:w="516" w:type="pct"/>
            <w:shd w:val="clear" w:color="auto" w:fill="auto"/>
            <w:noWrap/>
            <w:vAlign w:val="center"/>
            <w:hideMark/>
          </w:tcPr>
          <w:p w14:paraId="0F9207E8" w14:textId="77777777" w:rsidR="002A155A" w:rsidRPr="007F400A" w:rsidRDefault="002A155A" w:rsidP="00D61D6A">
            <w:pPr>
              <w:spacing w:after="0" w:line="300" w:lineRule="atLeast"/>
              <w:jc w:val="center"/>
              <w:rPr>
                <w:rFonts w:ascii="Times New Roman" w:eastAsia="Times New Roman" w:hAnsi="Times New Roman" w:cs="Times New Roman"/>
                <w:b/>
                <w:bCs/>
                <w:color w:val="000000"/>
                <w:sz w:val="18"/>
                <w:szCs w:val="18"/>
              </w:rPr>
            </w:pPr>
            <w:r>
              <w:rPr>
                <w:rFonts w:ascii="Times New Roman" w:hAnsi="Times New Roman" w:cs="Times New Roman"/>
                <w:b/>
                <w:sz w:val="18"/>
                <w:szCs w:val="18"/>
              </w:rPr>
              <w:t>400</w:t>
            </w:r>
          </w:p>
        </w:tc>
        <w:tc>
          <w:tcPr>
            <w:tcW w:w="516" w:type="pct"/>
            <w:shd w:val="clear" w:color="auto" w:fill="auto"/>
            <w:noWrap/>
            <w:vAlign w:val="center"/>
            <w:hideMark/>
          </w:tcPr>
          <w:p w14:paraId="7045FC9C" w14:textId="77777777" w:rsidR="002A155A" w:rsidRPr="007F400A" w:rsidRDefault="002A155A" w:rsidP="00D61D6A">
            <w:pPr>
              <w:spacing w:after="0" w:line="300" w:lineRule="atLeast"/>
              <w:jc w:val="center"/>
              <w:rPr>
                <w:rFonts w:ascii="Times New Roman" w:eastAsia="Times New Roman" w:hAnsi="Times New Roman" w:cs="Times New Roman"/>
                <w:b/>
                <w:bCs/>
                <w:color w:val="000000"/>
                <w:sz w:val="18"/>
                <w:szCs w:val="18"/>
              </w:rPr>
            </w:pPr>
            <w:r w:rsidRPr="008413CD">
              <w:rPr>
                <w:rFonts w:ascii="Times New Roman" w:hAnsi="Times New Roman" w:cs="Times New Roman"/>
                <w:b/>
                <w:sz w:val="18"/>
                <w:szCs w:val="18"/>
              </w:rPr>
              <w:t>5 256</w:t>
            </w:r>
          </w:p>
        </w:tc>
        <w:tc>
          <w:tcPr>
            <w:tcW w:w="519" w:type="pct"/>
            <w:shd w:val="clear" w:color="auto" w:fill="auto"/>
            <w:noWrap/>
            <w:vAlign w:val="center"/>
            <w:hideMark/>
          </w:tcPr>
          <w:p w14:paraId="47F8E8C1" w14:textId="77777777" w:rsidR="002A155A" w:rsidRPr="007F400A" w:rsidRDefault="002A155A" w:rsidP="00D61D6A">
            <w:pPr>
              <w:spacing w:after="0" w:line="300" w:lineRule="atLeast"/>
              <w:jc w:val="center"/>
              <w:rPr>
                <w:rFonts w:ascii="Times New Roman" w:eastAsia="Times New Roman" w:hAnsi="Times New Roman" w:cs="Times New Roman"/>
                <w:b/>
                <w:bCs/>
                <w:color w:val="000000"/>
                <w:sz w:val="18"/>
                <w:szCs w:val="18"/>
              </w:rPr>
            </w:pPr>
            <w:r w:rsidRPr="008413CD">
              <w:rPr>
                <w:rFonts w:ascii="Times New Roman" w:hAnsi="Times New Roman" w:cs="Times New Roman"/>
                <w:b/>
                <w:sz w:val="18"/>
                <w:szCs w:val="18"/>
              </w:rPr>
              <w:t>4 655</w:t>
            </w:r>
          </w:p>
        </w:tc>
      </w:tr>
      <w:bookmarkEnd w:id="200"/>
    </w:tbl>
    <w:p w14:paraId="66453F91" w14:textId="77777777" w:rsidR="00B72DC0" w:rsidRPr="007F400A" w:rsidRDefault="00B72DC0" w:rsidP="00056EE7">
      <w:pPr>
        <w:spacing w:after="0" w:line="300" w:lineRule="atLeast"/>
        <w:rPr>
          <w:rFonts w:ascii="Times New Roman" w:eastAsia="Times New Roman" w:hAnsi="Times New Roman" w:cs="Times New Roman"/>
          <w:sz w:val="20"/>
          <w:szCs w:val="20"/>
          <w:lang w:eastAsia="pl-PL"/>
        </w:rPr>
      </w:pPr>
    </w:p>
    <w:p w14:paraId="18EFC111" w14:textId="77777777" w:rsidR="00895F16" w:rsidRPr="007F400A" w:rsidRDefault="00895F16" w:rsidP="003F21F0">
      <w:pPr>
        <w:keepNext/>
        <w:spacing w:after="120" w:line="300" w:lineRule="atLeast"/>
        <w:outlineLvl w:val="0"/>
        <w:rPr>
          <w:rFonts w:ascii="Times New Roman" w:eastAsia="Times New Roman" w:hAnsi="Times New Roman" w:cs="Times New Roman"/>
          <w:b/>
          <w:bCs/>
          <w:sz w:val="24"/>
          <w:szCs w:val="24"/>
          <w:lang w:val="x-none" w:eastAsia="x-none"/>
        </w:rPr>
      </w:pPr>
      <w:bookmarkStart w:id="201" w:name="_Toc135935633"/>
      <w:r w:rsidRPr="007F400A">
        <w:rPr>
          <w:rFonts w:ascii="Times New Roman" w:eastAsia="Times New Roman" w:hAnsi="Times New Roman" w:cs="Times New Roman"/>
          <w:b/>
          <w:bCs/>
          <w:sz w:val="24"/>
          <w:szCs w:val="24"/>
          <w:lang w:val="x-none" w:eastAsia="x-none"/>
        </w:rPr>
        <w:t>4.1 Wnioski do organów ścigania</w:t>
      </w:r>
      <w:bookmarkEnd w:id="198"/>
      <w:bookmarkEnd w:id="199"/>
      <w:bookmarkEnd w:id="201"/>
    </w:p>
    <w:p w14:paraId="52950FAB" w14:textId="77777777" w:rsidR="00BE7003" w:rsidRPr="007F400A" w:rsidRDefault="00BE7003" w:rsidP="003F21F0">
      <w:pPr>
        <w:spacing w:after="0" w:line="300" w:lineRule="atLeast"/>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 2022 r. wojewódzcy inspektorzy ochrony środowiska, w przypadku podejrzenia popełnienia przestępstwa </w:t>
      </w:r>
      <w:r w:rsidRPr="007F400A">
        <w:rPr>
          <w:rFonts w:ascii="Times New Roman" w:eastAsia="Times New Roman" w:hAnsi="Times New Roman" w:cs="Times New Roman"/>
          <w:sz w:val="24"/>
          <w:szCs w:val="24"/>
        </w:rPr>
        <w:t xml:space="preserve">skierowali </w:t>
      </w:r>
      <w:r>
        <w:rPr>
          <w:rFonts w:ascii="Times New Roman" w:eastAsia="Times New Roman" w:hAnsi="Times New Roman" w:cs="Times New Roman"/>
          <w:sz w:val="24"/>
          <w:szCs w:val="24"/>
        </w:rPr>
        <w:t>285</w:t>
      </w:r>
      <w:r w:rsidRPr="007F400A">
        <w:rPr>
          <w:rFonts w:ascii="Times New Roman" w:eastAsia="Times New Roman" w:hAnsi="Times New Roman" w:cs="Times New Roman"/>
          <w:sz w:val="24"/>
          <w:szCs w:val="24"/>
        </w:rPr>
        <w:t xml:space="preserve"> wniosków do organów ścigania.</w:t>
      </w:r>
      <w:r w:rsidRPr="007F400A">
        <w:rPr>
          <w:rFonts w:ascii="Times New Roman" w:hAnsi="Times New Roman" w:cs="Times New Roman"/>
        </w:rPr>
        <w:t xml:space="preserve"> </w:t>
      </w:r>
      <w:r w:rsidRPr="007F400A">
        <w:rPr>
          <w:rFonts w:ascii="Times New Roman" w:eastAsia="Times New Roman" w:hAnsi="Times New Roman" w:cs="Times New Roman"/>
          <w:sz w:val="24"/>
          <w:szCs w:val="24"/>
        </w:rPr>
        <w:t>W</w:t>
      </w:r>
      <w:r>
        <w:rPr>
          <w:rFonts w:ascii="Times New Roman" w:eastAsia="Times New Roman" w:hAnsi="Times New Roman" w:cs="Times New Roman"/>
          <w:sz w:val="24"/>
          <w:szCs w:val="24"/>
        </w:rPr>
        <w:t xml:space="preserve"> </w:t>
      </w:r>
      <w:r w:rsidRPr="007F400A">
        <w:rPr>
          <w:rFonts w:ascii="Times New Roman" w:eastAsia="Times New Roman" w:hAnsi="Times New Roman" w:cs="Times New Roman"/>
          <w:sz w:val="24"/>
          <w:szCs w:val="24"/>
        </w:rPr>
        <w:t>6</w:t>
      </w:r>
      <w:r>
        <w:rPr>
          <w:rFonts w:ascii="Times New Roman" w:eastAsia="Times New Roman" w:hAnsi="Times New Roman" w:cs="Times New Roman"/>
          <w:sz w:val="24"/>
          <w:szCs w:val="24"/>
        </w:rPr>
        <w:t xml:space="preserve">1 </w:t>
      </w:r>
      <w:r w:rsidRPr="007F400A">
        <w:rPr>
          <w:rFonts w:ascii="Times New Roman" w:eastAsia="Times New Roman" w:hAnsi="Times New Roman" w:cs="Times New Roman"/>
          <w:sz w:val="24"/>
          <w:szCs w:val="24"/>
        </w:rPr>
        <w:t>przypadkach prokuratorzy umorzyli śledztwo,</w:t>
      </w:r>
      <w:r w:rsidRPr="007F400A">
        <w:rPr>
          <w:rFonts w:ascii="Times New Roman" w:hAnsi="Times New Roman" w:cs="Times New Roman"/>
          <w:sz w:val="24"/>
          <w:szCs w:val="24"/>
        </w:rPr>
        <w:t xml:space="preserve"> </w:t>
      </w:r>
      <w:r w:rsidRPr="007F400A">
        <w:rPr>
          <w:rFonts w:ascii="Times New Roman" w:eastAsia="Times New Roman" w:hAnsi="Times New Roman" w:cs="Times New Roman"/>
          <w:sz w:val="24"/>
          <w:szCs w:val="24"/>
        </w:rPr>
        <w:t xml:space="preserve">w </w:t>
      </w:r>
      <w:r>
        <w:rPr>
          <w:rFonts w:ascii="Times New Roman" w:eastAsia="Times New Roman" w:hAnsi="Times New Roman" w:cs="Times New Roman"/>
          <w:sz w:val="24"/>
          <w:szCs w:val="24"/>
        </w:rPr>
        <w:t>35</w:t>
      </w:r>
      <w:r w:rsidRPr="007F400A">
        <w:rPr>
          <w:rFonts w:ascii="Times New Roman" w:eastAsia="Times New Roman" w:hAnsi="Times New Roman" w:cs="Times New Roman"/>
          <w:sz w:val="24"/>
          <w:szCs w:val="24"/>
        </w:rPr>
        <w:t xml:space="preserve"> odmówili wszczęcia postępowania, a w </w:t>
      </w:r>
      <w:r>
        <w:rPr>
          <w:rFonts w:ascii="Times New Roman" w:eastAsia="Times New Roman" w:hAnsi="Times New Roman" w:cs="Times New Roman"/>
          <w:sz w:val="24"/>
          <w:szCs w:val="24"/>
        </w:rPr>
        <w:t>1</w:t>
      </w:r>
      <w:r w:rsidRPr="007F400A">
        <w:rPr>
          <w:rFonts w:ascii="Times New Roman" w:eastAsia="Times New Roman" w:hAnsi="Times New Roman" w:cs="Times New Roman"/>
          <w:sz w:val="24"/>
          <w:szCs w:val="24"/>
        </w:rPr>
        <w:t>5</w:t>
      </w:r>
      <w:r>
        <w:rPr>
          <w:rFonts w:ascii="Times New Roman" w:eastAsia="Times New Roman" w:hAnsi="Times New Roman" w:cs="Times New Roman"/>
          <w:sz w:val="24"/>
          <w:szCs w:val="24"/>
        </w:rPr>
        <w:t xml:space="preserve"> </w:t>
      </w:r>
      <w:r w:rsidRPr="007F400A">
        <w:rPr>
          <w:rFonts w:ascii="Times New Roman" w:eastAsia="Times New Roman" w:hAnsi="Times New Roman" w:cs="Times New Roman"/>
          <w:sz w:val="24"/>
          <w:szCs w:val="24"/>
        </w:rPr>
        <w:t xml:space="preserve">przypadkach skierowali sprawę do sądów. </w:t>
      </w:r>
      <w:r>
        <w:rPr>
          <w:rFonts w:ascii="Times New Roman" w:eastAsia="Times New Roman" w:hAnsi="Times New Roman" w:cs="Times New Roman"/>
          <w:sz w:val="24"/>
          <w:szCs w:val="24"/>
        </w:rPr>
        <w:t>Ponadto w</w:t>
      </w:r>
      <w:r w:rsidRPr="007F400A">
        <w:rPr>
          <w:rFonts w:ascii="Times New Roman" w:eastAsia="Times New Roman" w:hAnsi="Times New Roman" w:cs="Times New Roman"/>
          <w:sz w:val="24"/>
          <w:szCs w:val="24"/>
        </w:rPr>
        <w:t xml:space="preserve"> 202</w:t>
      </w:r>
      <w:r>
        <w:rPr>
          <w:rFonts w:ascii="Times New Roman" w:eastAsia="Times New Roman" w:hAnsi="Times New Roman" w:cs="Times New Roman"/>
          <w:sz w:val="24"/>
          <w:szCs w:val="24"/>
        </w:rPr>
        <w:t>2</w:t>
      </w:r>
      <w:r w:rsidRPr="007F400A">
        <w:rPr>
          <w:rFonts w:ascii="Times New Roman" w:eastAsia="Times New Roman" w:hAnsi="Times New Roman" w:cs="Times New Roman"/>
          <w:sz w:val="24"/>
          <w:szCs w:val="24"/>
        </w:rPr>
        <w:t xml:space="preserve"> r. zapadł</w:t>
      </w:r>
      <w:r>
        <w:rPr>
          <w:rFonts w:ascii="Times New Roman" w:eastAsia="Times New Roman" w:hAnsi="Times New Roman" w:cs="Times New Roman"/>
          <w:sz w:val="24"/>
          <w:szCs w:val="24"/>
        </w:rPr>
        <w:t>o</w:t>
      </w:r>
      <w:r w:rsidRPr="007F400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12</w:t>
      </w:r>
      <w:r w:rsidRPr="007F400A">
        <w:rPr>
          <w:rFonts w:ascii="Times New Roman" w:eastAsia="Times New Roman" w:hAnsi="Times New Roman" w:cs="Times New Roman"/>
          <w:sz w:val="24"/>
          <w:szCs w:val="24"/>
        </w:rPr>
        <w:t xml:space="preserve"> wyrok</w:t>
      </w:r>
      <w:r>
        <w:rPr>
          <w:rFonts w:ascii="Times New Roman" w:eastAsia="Times New Roman" w:hAnsi="Times New Roman" w:cs="Times New Roman"/>
          <w:sz w:val="24"/>
          <w:szCs w:val="24"/>
        </w:rPr>
        <w:t>ów</w:t>
      </w:r>
      <w:r w:rsidRPr="007F400A">
        <w:rPr>
          <w:rFonts w:ascii="Times New Roman" w:eastAsia="Times New Roman" w:hAnsi="Times New Roman" w:cs="Times New Roman"/>
          <w:sz w:val="24"/>
          <w:szCs w:val="24"/>
        </w:rPr>
        <w:t>, w których orzeczono winę.</w:t>
      </w:r>
    </w:p>
    <w:p w14:paraId="3B86EFF5" w14:textId="77777777" w:rsidR="00BE7003" w:rsidRPr="007F400A" w:rsidRDefault="00BE7003" w:rsidP="003F21F0">
      <w:pPr>
        <w:spacing w:after="60" w:line="300" w:lineRule="atLeast"/>
        <w:ind w:firstLine="567"/>
        <w:jc w:val="both"/>
        <w:rPr>
          <w:rFonts w:ascii="Times New Roman" w:eastAsia="Times New Roman" w:hAnsi="Times New Roman" w:cs="Times New Roman"/>
          <w:sz w:val="24"/>
          <w:szCs w:val="24"/>
        </w:rPr>
      </w:pPr>
      <w:r w:rsidRPr="007F400A">
        <w:rPr>
          <w:rFonts w:ascii="Times New Roman" w:eastAsia="Times New Roman" w:hAnsi="Times New Roman" w:cs="Times New Roman"/>
          <w:sz w:val="24"/>
          <w:szCs w:val="24"/>
        </w:rPr>
        <w:t>Podobnie jak w latach poprzednich, jako przyczyny umorzenia spraw przez prokuratorów należy wskazać:</w:t>
      </w:r>
    </w:p>
    <w:p w14:paraId="42B065DE" w14:textId="77777777" w:rsidR="00BE7003" w:rsidRPr="00695754" w:rsidRDefault="00BE7003" w:rsidP="00D34F97">
      <w:pPr>
        <w:numPr>
          <w:ilvl w:val="0"/>
          <w:numId w:val="139"/>
        </w:numPr>
        <w:spacing w:after="0" w:line="300" w:lineRule="atLeast"/>
        <w:contextualSpacing/>
        <w:jc w:val="both"/>
        <w:rPr>
          <w:rFonts w:ascii="Times New Roman" w:hAnsi="Times New Roman" w:cs="Times New Roman"/>
          <w:sz w:val="24"/>
          <w:szCs w:val="24"/>
        </w:rPr>
      </w:pPr>
      <w:r w:rsidRPr="00695754">
        <w:rPr>
          <w:rFonts w:ascii="Times New Roman" w:hAnsi="Times New Roman" w:cs="Times New Roman"/>
          <w:sz w:val="24"/>
          <w:szCs w:val="24"/>
        </w:rPr>
        <w:t xml:space="preserve">brak danych dostatecznie uzasadniających popełnienie przestępstwa, </w:t>
      </w:r>
    </w:p>
    <w:p w14:paraId="0440C3A7" w14:textId="77777777" w:rsidR="00BE7003" w:rsidRPr="00695754" w:rsidRDefault="00BE7003" w:rsidP="00D34F97">
      <w:pPr>
        <w:numPr>
          <w:ilvl w:val="0"/>
          <w:numId w:val="139"/>
        </w:numPr>
        <w:spacing w:after="0" w:line="300" w:lineRule="atLeast"/>
        <w:contextualSpacing/>
        <w:jc w:val="both"/>
        <w:rPr>
          <w:rFonts w:ascii="Times New Roman" w:hAnsi="Times New Roman" w:cs="Times New Roman"/>
          <w:sz w:val="24"/>
          <w:szCs w:val="24"/>
        </w:rPr>
      </w:pPr>
      <w:r w:rsidRPr="00695754">
        <w:rPr>
          <w:rFonts w:ascii="Times New Roman" w:hAnsi="Times New Roman" w:cs="Times New Roman"/>
          <w:sz w:val="24"/>
          <w:szCs w:val="24"/>
        </w:rPr>
        <w:t>niewykrycie sprawców czynu zabronionego,</w:t>
      </w:r>
    </w:p>
    <w:p w14:paraId="439E9484" w14:textId="77777777" w:rsidR="00BE7003" w:rsidRPr="00744A58" w:rsidRDefault="00BE7003" w:rsidP="00D34F97">
      <w:pPr>
        <w:numPr>
          <w:ilvl w:val="0"/>
          <w:numId w:val="139"/>
        </w:numPr>
        <w:spacing w:after="0" w:line="300" w:lineRule="atLeast"/>
        <w:ind w:hanging="340"/>
        <w:jc w:val="both"/>
        <w:rPr>
          <w:rFonts w:ascii="Times New Roman" w:eastAsia="Calibri" w:hAnsi="Times New Roman" w:cs="Times New Roman"/>
          <w:sz w:val="24"/>
          <w:szCs w:val="24"/>
          <w:lang w:eastAsia="pl-PL"/>
        </w:rPr>
      </w:pPr>
      <w:r w:rsidRPr="00695754">
        <w:rPr>
          <w:rFonts w:ascii="Times New Roman" w:hAnsi="Times New Roman" w:cs="Times New Roman"/>
          <w:sz w:val="24"/>
          <w:szCs w:val="24"/>
        </w:rPr>
        <w:t>brak znamion czynu zabronionego w zakresie składowania odpadów oraz ich usuwania, z uwagi na brak dowodów dokonania tego w</w:t>
      </w:r>
      <w:r>
        <w:rPr>
          <w:rFonts w:ascii="Times New Roman" w:hAnsi="Times New Roman" w:cs="Times New Roman"/>
          <w:sz w:val="24"/>
          <w:szCs w:val="24"/>
        </w:rPr>
        <w:t xml:space="preserve"> </w:t>
      </w:r>
      <w:r w:rsidRPr="00695754">
        <w:rPr>
          <w:rFonts w:ascii="Times New Roman" w:hAnsi="Times New Roman" w:cs="Times New Roman"/>
          <w:sz w:val="24"/>
          <w:szCs w:val="24"/>
        </w:rPr>
        <w:t>sposób mogący zagrażać życiu lub zdrowiu człowieka lub spowodować istotne obniżenie jakości wody, powietrza lub powierzchni ziemi</w:t>
      </w:r>
      <w:r>
        <w:rPr>
          <w:rFonts w:ascii="Times New Roman" w:hAnsi="Times New Roman" w:cs="Times New Roman"/>
          <w:sz w:val="24"/>
          <w:szCs w:val="24"/>
        </w:rPr>
        <w:t>,</w:t>
      </w:r>
    </w:p>
    <w:p w14:paraId="49B25F38" w14:textId="35B4644B" w:rsidR="00895F16" w:rsidRPr="007F400A" w:rsidRDefault="00BE7003" w:rsidP="00D34F97">
      <w:pPr>
        <w:numPr>
          <w:ilvl w:val="0"/>
          <w:numId w:val="139"/>
        </w:numPr>
        <w:spacing w:after="0" w:line="300" w:lineRule="atLeast"/>
        <w:ind w:hanging="340"/>
        <w:jc w:val="both"/>
        <w:rPr>
          <w:rFonts w:ascii="Times New Roman" w:eastAsia="Calibri" w:hAnsi="Times New Roman" w:cs="Times New Roman"/>
          <w:sz w:val="24"/>
          <w:szCs w:val="24"/>
          <w:lang w:eastAsia="pl-PL"/>
        </w:rPr>
      </w:pPr>
      <w:r>
        <w:rPr>
          <w:rFonts w:ascii="Times New Roman" w:eastAsia="Calibri" w:hAnsi="Times New Roman" w:cs="Times New Roman"/>
          <w:sz w:val="24"/>
          <w:szCs w:val="24"/>
          <w:lang w:eastAsia="pl-PL"/>
        </w:rPr>
        <w:t xml:space="preserve">brak znamion </w:t>
      </w:r>
      <w:r w:rsidRPr="00060A92">
        <w:rPr>
          <w:rFonts w:ascii="Times New Roman" w:eastAsia="Calibri" w:hAnsi="Times New Roman" w:cs="Times New Roman"/>
          <w:sz w:val="24"/>
          <w:szCs w:val="24"/>
          <w:lang w:eastAsia="pl-PL"/>
        </w:rPr>
        <w:t>czyn</w:t>
      </w:r>
      <w:r>
        <w:rPr>
          <w:rFonts w:ascii="Times New Roman" w:eastAsia="Calibri" w:hAnsi="Times New Roman" w:cs="Times New Roman"/>
          <w:sz w:val="24"/>
          <w:szCs w:val="24"/>
          <w:lang w:eastAsia="pl-PL"/>
        </w:rPr>
        <w:t>u</w:t>
      </w:r>
      <w:r w:rsidRPr="00060A92">
        <w:rPr>
          <w:rFonts w:ascii="Times New Roman" w:eastAsia="Calibri" w:hAnsi="Times New Roman" w:cs="Times New Roman"/>
          <w:sz w:val="24"/>
          <w:szCs w:val="24"/>
          <w:lang w:eastAsia="pl-PL"/>
        </w:rPr>
        <w:t xml:space="preserve"> zabronionego, z uwagi na jednorazowy charakter zdarzenia oraz </w:t>
      </w:r>
      <w:r>
        <w:rPr>
          <w:rFonts w:ascii="Times New Roman" w:eastAsia="Calibri" w:hAnsi="Times New Roman" w:cs="Times New Roman"/>
          <w:sz w:val="24"/>
          <w:szCs w:val="24"/>
          <w:lang w:eastAsia="pl-PL"/>
        </w:rPr>
        <w:t>stwierdzenie</w:t>
      </w:r>
      <w:r w:rsidRPr="00060A92">
        <w:rPr>
          <w:rFonts w:ascii="Times New Roman" w:eastAsia="Calibri" w:hAnsi="Times New Roman" w:cs="Times New Roman"/>
          <w:sz w:val="24"/>
          <w:szCs w:val="24"/>
          <w:lang w:eastAsia="pl-PL"/>
        </w:rPr>
        <w:t>, iż działalność nie spowodowała bezpośredniego obniżenia jakości wody i</w:t>
      </w:r>
      <w:r>
        <w:rPr>
          <w:rFonts w:ascii="Times New Roman" w:eastAsia="Calibri" w:hAnsi="Times New Roman" w:cs="Times New Roman"/>
          <w:sz w:val="24"/>
          <w:szCs w:val="24"/>
          <w:lang w:eastAsia="pl-PL"/>
        </w:rPr>
        <w:t> </w:t>
      </w:r>
      <w:r w:rsidRPr="00060A92">
        <w:rPr>
          <w:rFonts w:ascii="Times New Roman" w:eastAsia="Calibri" w:hAnsi="Times New Roman" w:cs="Times New Roman"/>
          <w:sz w:val="24"/>
          <w:szCs w:val="24"/>
          <w:lang w:eastAsia="pl-PL"/>
        </w:rPr>
        <w:t>powierzchni ziemi, a także nie spowodowała zniszczenia w</w:t>
      </w:r>
      <w:r>
        <w:rPr>
          <w:rFonts w:ascii="Times New Roman" w:eastAsia="Calibri" w:hAnsi="Times New Roman" w:cs="Times New Roman"/>
          <w:sz w:val="24"/>
          <w:szCs w:val="24"/>
          <w:lang w:eastAsia="pl-PL"/>
        </w:rPr>
        <w:t> </w:t>
      </w:r>
      <w:r w:rsidRPr="00060A92">
        <w:rPr>
          <w:rFonts w:ascii="Times New Roman" w:eastAsia="Calibri" w:hAnsi="Times New Roman" w:cs="Times New Roman"/>
          <w:sz w:val="24"/>
          <w:szCs w:val="24"/>
          <w:lang w:eastAsia="pl-PL"/>
        </w:rPr>
        <w:t>świecie roślinnym i</w:t>
      </w:r>
      <w:r>
        <w:rPr>
          <w:rFonts w:ascii="Times New Roman" w:eastAsia="Calibri" w:hAnsi="Times New Roman" w:cs="Times New Roman"/>
          <w:sz w:val="24"/>
          <w:szCs w:val="24"/>
          <w:lang w:eastAsia="pl-PL"/>
        </w:rPr>
        <w:t> </w:t>
      </w:r>
      <w:r w:rsidRPr="00060A92">
        <w:rPr>
          <w:rFonts w:ascii="Times New Roman" w:eastAsia="Calibri" w:hAnsi="Times New Roman" w:cs="Times New Roman"/>
          <w:sz w:val="24"/>
          <w:szCs w:val="24"/>
          <w:lang w:eastAsia="pl-PL"/>
        </w:rPr>
        <w:t>zwierzęcym</w:t>
      </w:r>
      <w:r w:rsidR="00895F16" w:rsidRPr="007F400A">
        <w:rPr>
          <w:rFonts w:ascii="Times New Roman" w:eastAsia="Calibri" w:hAnsi="Times New Roman" w:cs="Times New Roman"/>
          <w:sz w:val="24"/>
          <w:szCs w:val="24"/>
          <w:lang w:eastAsia="pl-PL"/>
        </w:rPr>
        <w:t>.</w:t>
      </w:r>
    </w:p>
    <w:p w14:paraId="2F695B92" w14:textId="77777777" w:rsidR="000C5409" w:rsidRDefault="000C5409" w:rsidP="00056EE7">
      <w:pPr>
        <w:spacing w:after="0" w:line="300" w:lineRule="atLeast"/>
        <w:rPr>
          <w:rFonts w:ascii="Times New Roman" w:eastAsia="Times New Roman" w:hAnsi="Times New Roman" w:cs="Times New Roman"/>
          <w:b/>
          <w:bCs/>
          <w:sz w:val="24"/>
          <w:szCs w:val="24"/>
          <w:lang w:val="x-none" w:eastAsia="x-none"/>
        </w:rPr>
      </w:pPr>
      <w:bookmarkStart w:id="202" w:name="_Toc5878573"/>
      <w:bookmarkStart w:id="203" w:name="_Toc36732596"/>
    </w:p>
    <w:p w14:paraId="093FE1F4" w14:textId="283414A8" w:rsidR="00895F16" w:rsidRPr="007F400A" w:rsidRDefault="00895F16" w:rsidP="00056EE7">
      <w:pPr>
        <w:keepNext/>
        <w:spacing w:after="60" w:line="300" w:lineRule="atLeast"/>
        <w:outlineLvl w:val="0"/>
        <w:rPr>
          <w:rFonts w:ascii="Times New Roman" w:eastAsia="Times New Roman" w:hAnsi="Times New Roman" w:cs="Times New Roman"/>
          <w:b/>
          <w:bCs/>
          <w:sz w:val="24"/>
          <w:szCs w:val="24"/>
          <w:lang w:eastAsia="x-none"/>
        </w:rPr>
      </w:pPr>
      <w:bookmarkStart w:id="204" w:name="_Toc135935634"/>
      <w:r w:rsidRPr="007F400A">
        <w:rPr>
          <w:rFonts w:ascii="Times New Roman" w:eastAsia="Times New Roman" w:hAnsi="Times New Roman" w:cs="Times New Roman"/>
          <w:b/>
          <w:bCs/>
          <w:sz w:val="24"/>
          <w:szCs w:val="24"/>
          <w:lang w:val="x-none" w:eastAsia="x-none"/>
        </w:rPr>
        <w:t>4.2 Wymierzanie kar</w:t>
      </w:r>
      <w:bookmarkEnd w:id="202"/>
      <w:bookmarkEnd w:id="203"/>
      <w:r w:rsidRPr="007F400A">
        <w:rPr>
          <w:rFonts w:ascii="Times New Roman" w:eastAsia="Times New Roman" w:hAnsi="Times New Roman" w:cs="Times New Roman"/>
          <w:b/>
          <w:bCs/>
          <w:sz w:val="24"/>
          <w:szCs w:val="24"/>
          <w:lang w:eastAsia="x-none"/>
        </w:rPr>
        <w:t xml:space="preserve"> i opłat/opłat podwyższonych</w:t>
      </w:r>
      <w:bookmarkEnd w:id="204"/>
    </w:p>
    <w:p w14:paraId="72CC09A8" w14:textId="29A43CB2" w:rsidR="00895F16" w:rsidRPr="007F400A" w:rsidRDefault="00895F16" w:rsidP="00056EE7">
      <w:pPr>
        <w:keepNext/>
        <w:spacing w:after="120" w:line="300" w:lineRule="atLeast"/>
        <w:outlineLvl w:val="0"/>
        <w:rPr>
          <w:rFonts w:ascii="Times New Roman" w:eastAsia="Times New Roman" w:hAnsi="Times New Roman" w:cs="Times New Roman"/>
          <w:b/>
          <w:bCs/>
          <w:sz w:val="24"/>
          <w:szCs w:val="24"/>
          <w:lang w:eastAsia="x-none"/>
        </w:rPr>
      </w:pPr>
      <w:bookmarkStart w:id="205" w:name="_Toc5878574"/>
      <w:bookmarkStart w:id="206" w:name="_Toc36732597"/>
      <w:bookmarkStart w:id="207" w:name="_Toc135935635"/>
      <w:r w:rsidRPr="007F400A">
        <w:rPr>
          <w:rFonts w:ascii="Times New Roman" w:eastAsia="Times New Roman" w:hAnsi="Times New Roman" w:cs="Times New Roman"/>
          <w:b/>
          <w:bCs/>
          <w:sz w:val="24"/>
          <w:szCs w:val="24"/>
          <w:lang w:val="x-none" w:eastAsia="x-none"/>
        </w:rPr>
        <w:t>4.2.1 Wydane decyzje</w:t>
      </w:r>
      <w:bookmarkEnd w:id="205"/>
      <w:bookmarkEnd w:id="206"/>
      <w:r w:rsidR="004966BE" w:rsidRPr="007F400A">
        <w:rPr>
          <w:rFonts w:ascii="Times New Roman" w:eastAsia="Times New Roman" w:hAnsi="Times New Roman" w:cs="Times New Roman"/>
          <w:b/>
          <w:bCs/>
          <w:sz w:val="24"/>
          <w:szCs w:val="24"/>
          <w:lang w:val="x-none" w:eastAsia="x-none"/>
        </w:rPr>
        <w:t xml:space="preserve"> </w:t>
      </w:r>
      <w:r w:rsidRPr="007F400A">
        <w:rPr>
          <w:rFonts w:ascii="Times New Roman" w:eastAsia="Times New Roman" w:hAnsi="Times New Roman" w:cs="Times New Roman"/>
          <w:b/>
          <w:bCs/>
          <w:sz w:val="24"/>
          <w:szCs w:val="24"/>
          <w:lang w:eastAsia="x-none"/>
        </w:rPr>
        <w:t>o karach i opłatach/opłatach podwyższonych</w:t>
      </w:r>
      <w:bookmarkEnd w:id="207"/>
    </w:p>
    <w:p w14:paraId="61158E9D" w14:textId="77777777" w:rsidR="00BE7003" w:rsidRPr="007F400A" w:rsidRDefault="00BE7003" w:rsidP="00056EE7">
      <w:pPr>
        <w:spacing w:line="300" w:lineRule="atLeast"/>
        <w:jc w:val="center"/>
        <w:rPr>
          <w:rFonts w:ascii="Times New Roman" w:hAnsi="Times New Roman" w:cs="Times New Roman"/>
          <w:b/>
        </w:rPr>
      </w:pPr>
      <w:r w:rsidRPr="007F400A">
        <w:rPr>
          <w:rFonts w:ascii="Times New Roman" w:hAnsi="Times New Roman" w:cs="Times New Roman"/>
          <w:b/>
        </w:rPr>
        <w:t xml:space="preserve">Tabela </w:t>
      </w:r>
      <w:r>
        <w:rPr>
          <w:rFonts w:ascii="Times New Roman" w:hAnsi="Times New Roman" w:cs="Times New Roman"/>
          <w:b/>
        </w:rPr>
        <w:t>7</w:t>
      </w:r>
      <w:r w:rsidRPr="007F400A">
        <w:rPr>
          <w:rFonts w:ascii="Times New Roman" w:hAnsi="Times New Roman" w:cs="Times New Roman"/>
          <w:b/>
        </w:rPr>
        <w:t>. Wydane decyzje ogółem</w:t>
      </w:r>
      <w:r w:rsidRPr="007F400A">
        <w:rPr>
          <w:rFonts w:ascii="Times New Roman" w:hAnsi="Times New Roman" w:cs="Times New Roman"/>
          <w:b/>
          <w:vertAlign w:val="superscript"/>
        </w:rPr>
        <w:footnoteReference w:id="43"/>
      </w:r>
    </w:p>
    <w:tbl>
      <w:tblPr>
        <w:tblW w:w="5000" w:type="pct"/>
        <w:tblCellMar>
          <w:left w:w="70" w:type="dxa"/>
          <w:right w:w="70" w:type="dxa"/>
        </w:tblCellMar>
        <w:tblLook w:val="04A0" w:firstRow="1" w:lastRow="0" w:firstColumn="1" w:lastColumn="0" w:noHBand="0" w:noVBand="1"/>
      </w:tblPr>
      <w:tblGrid>
        <w:gridCol w:w="7220"/>
        <w:gridCol w:w="1832"/>
      </w:tblGrid>
      <w:tr w:rsidR="00BE7003" w:rsidRPr="006B7992" w14:paraId="4DC97D4B" w14:textId="77777777" w:rsidTr="00BE7003">
        <w:tc>
          <w:tcPr>
            <w:tcW w:w="398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30D0F62" w14:textId="77777777" w:rsidR="00BE7003" w:rsidRPr="00F52240" w:rsidRDefault="00BE7003" w:rsidP="00056EE7">
            <w:pPr>
              <w:spacing w:after="0" w:line="300" w:lineRule="atLeast"/>
              <w:contextualSpacing/>
              <w:rPr>
                <w:rFonts w:ascii="Times New Roman" w:eastAsia="Times New Roman" w:hAnsi="Times New Roman" w:cs="Times New Roman"/>
                <w:b/>
                <w:bCs/>
                <w:color w:val="000000"/>
                <w:sz w:val="18"/>
                <w:szCs w:val="18"/>
                <w:lang w:eastAsia="pl-PL"/>
              </w:rPr>
            </w:pPr>
            <w:r w:rsidRPr="00F52240">
              <w:rPr>
                <w:rFonts w:ascii="Times New Roman" w:eastAsia="Times New Roman" w:hAnsi="Times New Roman" w:cs="Times New Roman"/>
                <w:b/>
                <w:bCs/>
                <w:color w:val="000000"/>
                <w:sz w:val="18"/>
                <w:szCs w:val="18"/>
                <w:lang w:eastAsia="pl-PL"/>
              </w:rPr>
              <w:lastRenderedPageBreak/>
              <w:t>Kary za:</w:t>
            </w:r>
          </w:p>
        </w:tc>
        <w:tc>
          <w:tcPr>
            <w:tcW w:w="1012" w:type="pct"/>
            <w:tcBorders>
              <w:top w:val="single" w:sz="8" w:space="0" w:color="auto"/>
              <w:left w:val="nil"/>
              <w:bottom w:val="single" w:sz="8" w:space="0" w:color="auto"/>
              <w:right w:val="single" w:sz="8" w:space="0" w:color="auto"/>
            </w:tcBorders>
            <w:shd w:val="clear" w:color="auto" w:fill="auto"/>
            <w:vAlign w:val="center"/>
            <w:hideMark/>
          </w:tcPr>
          <w:p w14:paraId="7713CDC2" w14:textId="77777777" w:rsidR="00BE7003" w:rsidRPr="00F52240" w:rsidRDefault="00BE7003" w:rsidP="00056EE7">
            <w:pPr>
              <w:spacing w:after="0" w:line="300" w:lineRule="atLeast"/>
              <w:contextualSpacing/>
              <w:jc w:val="center"/>
              <w:rPr>
                <w:rFonts w:ascii="Times New Roman" w:eastAsia="Times New Roman" w:hAnsi="Times New Roman" w:cs="Times New Roman"/>
                <w:b/>
                <w:bCs/>
                <w:color w:val="000000"/>
                <w:sz w:val="18"/>
                <w:szCs w:val="18"/>
                <w:lang w:eastAsia="pl-PL"/>
              </w:rPr>
            </w:pPr>
            <w:r w:rsidRPr="00F52240">
              <w:rPr>
                <w:rFonts w:ascii="Times New Roman" w:eastAsia="Times New Roman" w:hAnsi="Times New Roman" w:cs="Times New Roman"/>
                <w:b/>
                <w:bCs/>
                <w:color w:val="000000"/>
                <w:sz w:val="18"/>
                <w:szCs w:val="18"/>
                <w:lang w:eastAsia="pl-PL"/>
              </w:rPr>
              <w:t>Liczba wydanych decyzji</w:t>
            </w:r>
          </w:p>
        </w:tc>
      </w:tr>
      <w:tr w:rsidR="00BE7003" w:rsidRPr="006B7992" w14:paraId="0DB128F6" w14:textId="77777777" w:rsidTr="00BE7003">
        <w:tc>
          <w:tcPr>
            <w:tcW w:w="3988" w:type="pct"/>
            <w:tcBorders>
              <w:top w:val="nil"/>
              <w:left w:val="single" w:sz="8" w:space="0" w:color="auto"/>
              <w:bottom w:val="single" w:sz="8" w:space="0" w:color="auto"/>
              <w:right w:val="single" w:sz="8" w:space="0" w:color="auto"/>
            </w:tcBorders>
            <w:shd w:val="clear" w:color="auto" w:fill="auto"/>
            <w:vAlign w:val="center"/>
            <w:hideMark/>
          </w:tcPr>
          <w:p w14:paraId="45D87CCA" w14:textId="77777777" w:rsidR="00BE7003" w:rsidRPr="00F52240" w:rsidRDefault="00BE7003" w:rsidP="00056EE7">
            <w:pPr>
              <w:spacing w:after="0" w:line="300" w:lineRule="atLeast"/>
              <w:contextualSpacing/>
              <w:rPr>
                <w:rFonts w:ascii="Times New Roman" w:eastAsia="Times New Roman" w:hAnsi="Times New Roman" w:cs="Times New Roman"/>
                <w:color w:val="000000"/>
                <w:sz w:val="18"/>
                <w:szCs w:val="18"/>
                <w:lang w:eastAsia="pl-PL"/>
              </w:rPr>
            </w:pPr>
            <w:r w:rsidRPr="00F52240">
              <w:rPr>
                <w:rFonts w:ascii="Times New Roman" w:eastAsia="Times New Roman" w:hAnsi="Times New Roman" w:cs="Times New Roman"/>
                <w:color w:val="000000"/>
                <w:sz w:val="18"/>
                <w:szCs w:val="18"/>
                <w:lang w:eastAsia="pl-PL"/>
              </w:rPr>
              <w:t>nieprzestrzeganie przepisów ustawy o odpadach</w:t>
            </w:r>
            <w:r w:rsidRPr="00F52240">
              <w:rPr>
                <w:rStyle w:val="Odwoanieprzypisudolnego"/>
                <w:rFonts w:cs="Times New Roman"/>
                <w:color w:val="000000"/>
                <w:sz w:val="18"/>
                <w:szCs w:val="18"/>
                <w:lang w:eastAsia="pl-PL"/>
              </w:rPr>
              <w:footnoteReference w:id="44"/>
            </w:r>
          </w:p>
        </w:tc>
        <w:tc>
          <w:tcPr>
            <w:tcW w:w="1012" w:type="pct"/>
            <w:tcBorders>
              <w:top w:val="nil"/>
              <w:left w:val="nil"/>
              <w:bottom w:val="single" w:sz="8" w:space="0" w:color="auto"/>
              <w:right w:val="single" w:sz="8" w:space="0" w:color="auto"/>
            </w:tcBorders>
            <w:shd w:val="clear" w:color="auto" w:fill="auto"/>
            <w:vAlign w:val="center"/>
            <w:hideMark/>
          </w:tcPr>
          <w:p w14:paraId="1D38235B" w14:textId="77777777" w:rsidR="00BE7003" w:rsidRPr="001611DE" w:rsidRDefault="00BE7003" w:rsidP="00056EE7">
            <w:pPr>
              <w:spacing w:after="0" w:line="300" w:lineRule="atLeast"/>
              <w:contextualSpacing/>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1</w:t>
            </w:r>
            <w:r>
              <w:rPr>
                <w:rFonts w:ascii="Times New Roman" w:eastAsia="Times New Roman" w:hAnsi="Times New Roman" w:cs="Times New Roman"/>
                <w:color w:val="000000"/>
                <w:sz w:val="18"/>
                <w:szCs w:val="18"/>
                <w:lang w:eastAsia="pl-PL"/>
              </w:rPr>
              <w:t> </w:t>
            </w:r>
            <w:r w:rsidRPr="001611DE">
              <w:rPr>
                <w:rFonts w:ascii="Times New Roman" w:eastAsia="Times New Roman" w:hAnsi="Times New Roman" w:cs="Times New Roman"/>
                <w:color w:val="000000"/>
                <w:sz w:val="18"/>
                <w:szCs w:val="18"/>
                <w:lang w:eastAsia="pl-PL"/>
              </w:rPr>
              <w:t>515</w:t>
            </w:r>
          </w:p>
        </w:tc>
      </w:tr>
      <w:tr w:rsidR="00BE7003" w:rsidRPr="006B7992" w14:paraId="383B317D" w14:textId="77777777" w:rsidTr="00BE7003">
        <w:tc>
          <w:tcPr>
            <w:tcW w:w="3988" w:type="pct"/>
            <w:tcBorders>
              <w:top w:val="nil"/>
              <w:left w:val="single" w:sz="8" w:space="0" w:color="auto"/>
              <w:bottom w:val="single" w:sz="8" w:space="0" w:color="auto"/>
              <w:right w:val="single" w:sz="8" w:space="0" w:color="auto"/>
            </w:tcBorders>
            <w:shd w:val="clear" w:color="auto" w:fill="auto"/>
            <w:vAlign w:val="center"/>
            <w:hideMark/>
          </w:tcPr>
          <w:p w14:paraId="607D231B" w14:textId="77777777" w:rsidR="00BE7003" w:rsidRPr="00F52240" w:rsidRDefault="00BE7003" w:rsidP="00056EE7">
            <w:pPr>
              <w:spacing w:after="0" w:line="300" w:lineRule="atLeast"/>
              <w:contextualSpacing/>
              <w:rPr>
                <w:rFonts w:ascii="Times New Roman" w:eastAsia="Times New Roman" w:hAnsi="Times New Roman" w:cs="Times New Roman"/>
                <w:color w:val="000000"/>
                <w:sz w:val="18"/>
                <w:szCs w:val="18"/>
                <w:lang w:eastAsia="pl-PL"/>
              </w:rPr>
            </w:pPr>
            <w:r w:rsidRPr="00F52240">
              <w:rPr>
                <w:rFonts w:ascii="Times New Roman" w:eastAsia="Times New Roman" w:hAnsi="Times New Roman" w:cs="Times New Roman"/>
                <w:color w:val="000000"/>
                <w:sz w:val="18"/>
                <w:szCs w:val="18"/>
                <w:lang w:eastAsia="pl-PL"/>
              </w:rPr>
              <w:t>nieprzestrzeganie przepisów w zakresie ustawy o utrzymaniu czystości i porządku w gminach</w:t>
            </w:r>
          </w:p>
        </w:tc>
        <w:tc>
          <w:tcPr>
            <w:tcW w:w="1012" w:type="pct"/>
            <w:tcBorders>
              <w:top w:val="nil"/>
              <w:left w:val="nil"/>
              <w:bottom w:val="single" w:sz="8" w:space="0" w:color="auto"/>
              <w:right w:val="single" w:sz="8" w:space="0" w:color="auto"/>
            </w:tcBorders>
            <w:shd w:val="clear" w:color="auto" w:fill="auto"/>
            <w:vAlign w:val="center"/>
            <w:hideMark/>
          </w:tcPr>
          <w:p w14:paraId="3BB8B66C" w14:textId="77777777" w:rsidR="00BE7003" w:rsidRPr="001611DE" w:rsidRDefault="00BE7003" w:rsidP="00056EE7">
            <w:pPr>
              <w:spacing w:after="0" w:line="300" w:lineRule="atLeast"/>
              <w:contextualSpacing/>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1</w:t>
            </w:r>
            <w:r>
              <w:rPr>
                <w:rFonts w:ascii="Times New Roman" w:eastAsia="Times New Roman" w:hAnsi="Times New Roman" w:cs="Times New Roman"/>
                <w:color w:val="000000"/>
                <w:sz w:val="18"/>
                <w:szCs w:val="18"/>
                <w:lang w:eastAsia="pl-PL"/>
              </w:rPr>
              <w:t> </w:t>
            </w:r>
            <w:r w:rsidRPr="001611DE">
              <w:rPr>
                <w:rFonts w:ascii="Times New Roman" w:eastAsia="Times New Roman" w:hAnsi="Times New Roman" w:cs="Times New Roman"/>
                <w:color w:val="000000"/>
                <w:sz w:val="18"/>
                <w:szCs w:val="18"/>
                <w:lang w:eastAsia="pl-PL"/>
              </w:rPr>
              <w:t>122</w:t>
            </w:r>
          </w:p>
        </w:tc>
      </w:tr>
      <w:tr w:rsidR="00BE7003" w:rsidRPr="006B7992" w14:paraId="08F46329" w14:textId="77777777" w:rsidTr="00BE7003">
        <w:tc>
          <w:tcPr>
            <w:tcW w:w="3988" w:type="pct"/>
            <w:tcBorders>
              <w:top w:val="nil"/>
              <w:left w:val="single" w:sz="8" w:space="0" w:color="auto"/>
              <w:bottom w:val="single" w:sz="8" w:space="0" w:color="auto"/>
              <w:right w:val="single" w:sz="8" w:space="0" w:color="auto"/>
            </w:tcBorders>
            <w:shd w:val="clear" w:color="auto" w:fill="auto"/>
            <w:vAlign w:val="center"/>
          </w:tcPr>
          <w:p w14:paraId="51E66399" w14:textId="77777777" w:rsidR="00BE7003" w:rsidRPr="00F52240" w:rsidRDefault="00BE7003" w:rsidP="00056EE7">
            <w:pPr>
              <w:spacing w:after="0" w:line="300" w:lineRule="atLeast"/>
              <w:contextualSpacing/>
              <w:rPr>
                <w:rFonts w:ascii="Times New Roman" w:eastAsia="Times New Roman" w:hAnsi="Times New Roman" w:cs="Times New Roman"/>
                <w:color w:val="000000"/>
                <w:sz w:val="18"/>
                <w:szCs w:val="18"/>
                <w:lang w:eastAsia="pl-PL"/>
              </w:rPr>
            </w:pPr>
            <w:r w:rsidRPr="00F52240">
              <w:rPr>
                <w:rFonts w:ascii="Times New Roman" w:eastAsia="Times New Roman" w:hAnsi="Times New Roman" w:cs="Times New Roman"/>
                <w:color w:val="000000"/>
                <w:sz w:val="18"/>
                <w:szCs w:val="18"/>
                <w:lang w:eastAsia="pl-PL"/>
              </w:rPr>
              <w:t>przekroczenie dopuszczalnego poziomu hałasu</w:t>
            </w:r>
          </w:p>
        </w:tc>
        <w:tc>
          <w:tcPr>
            <w:tcW w:w="1012" w:type="pct"/>
            <w:tcBorders>
              <w:top w:val="nil"/>
              <w:left w:val="nil"/>
              <w:bottom w:val="single" w:sz="8" w:space="0" w:color="auto"/>
              <w:right w:val="single" w:sz="8" w:space="0" w:color="auto"/>
            </w:tcBorders>
            <w:shd w:val="clear" w:color="auto" w:fill="auto"/>
            <w:vAlign w:val="center"/>
          </w:tcPr>
          <w:p w14:paraId="0E87C099" w14:textId="77777777" w:rsidR="00BE7003" w:rsidRPr="001611DE" w:rsidRDefault="00BE7003" w:rsidP="00056EE7">
            <w:pPr>
              <w:spacing w:after="0" w:line="300" w:lineRule="atLeast"/>
              <w:contextualSpacing/>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353</w:t>
            </w:r>
          </w:p>
        </w:tc>
      </w:tr>
      <w:tr w:rsidR="00BE7003" w:rsidRPr="006B7992" w14:paraId="7E7C9E91" w14:textId="77777777" w:rsidTr="00BE7003">
        <w:tc>
          <w:tcPr>
            <w:tcW w:w="3988" w:type="pct"/>
            <w:tcBorders>
              <w:top w:val="nil"/>
              <w:left w:val="single" w:sz="8" w:space="0" w:color="auto"/>
              <w:bottom w:val="single" w:sz="8" w:space="0" w:color="auto"/>
              <w:right w:val="single" w:sz="8" w:space="0" w:color="auto"/>
            </w:tcBorders>
            <w:shd w:val="clear" w:color="auto" w:fill="auto"/>
            <w:vAlign w:val="center"/>
            <w:hideMark/>
          </w:tcPr>
          <w:p w14:paraId="228CCA81" w14:textId="77777777" w:rsidR="00BE7003" w:rsidRPr="00F52240" w:rsidRDefault="00BE7003" w:rsidP="00056EE7">
            <w:pPr>
              <w:spacing w:after="0" w:line="300" w:lineRule="atLeast"/>
              <w:contextualSpacing/>
              <w:rPr>
                <w:rFonts w:ascii="Times New Roman" w:eastAsia="Times New Roman" w:hAnsi="Times New Roman" w:cs="Times New Roman"/>
                <w:color w:val="000000"/>
                <w:sz w:val="18"/>
                <w:szCs w:val="18"/>
                <w:lang w:eastAsia="pl-PL"/>
              </w:rPr>
            </w:pPr>
            <w:r w:rsidRPr="00F52240">
              <w:rPr>
                <w:rFonts w:ascii="Times New Roman" w:eastAsia="Times New Roman" w:hAnsi="Times New Roman" w:cs="Times New Roman"/>
                <w:color w:val="000000"/>
                <w:sz w:val="18"/>
                <w:szCs w:val="18"/>
                <w:lang w:eastAsia="pl-PL"/>
              </w:rPr>
              <w:t>nieprzestrzeganie przepisów o substancjach zubożających warstwę ozonową oraz o niektórych fluorowanych gazach cieplarnianych</w:t>
            </w:r>
            <w:r w:rsidRPr="00F52240">
              <w:rPr>
                <w:rStyle w:val="Odwoanieprzypisudolnego"/>
                <w:rFonts w:cs="Times New Roman"/>
                <w:color w:val="000000"/>
                <w:sz w:val="18"/>
                <w:szCs w:val="18"/>
                <w:lang w:eastAsia="pl-PL"/>
              </w:rPr>
              <w:footnoteReference w:id="45"/>
            </w:r>
          </w:p>
        </w:tc>
        <w:tc>
          <w:tcPr>
            <w:tcW w:w="1012" w:type="pct"/>
            <w:tcBorders>
              <w:top w:val="nil"/>
              <w:left w:val="nil"/>
              <w:bottom w:val="single" w:sz="8" w:space="0" w:color="auto"/>
              <w:right w:val="single" w:sz="8" w:space="0" w:color="auto"/>
            </w:tcBorders>
            <w:shd w:val="clear" w:color="auto" w:fill="auto"/>
            <w:vAlign w:val="center"/>
            <w:hideMark/>
          </w:tcPr>
          <w:p w14:paraId="0E416998" w14:textId="77777777" w:rsidR="00BE7003" w:rsidRPr="001611DE" w:rsidRDefault="00BE7003" w:rsidP="00056EE7">
            <w:pPr>
              <w:spacing w:after="0" w:line="300" w:lineRule="atLeast"/>
              <w:contextualSpacing/>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338</w:t>
            </w:r>
          </w:p>
        </w:tc>
      </w:tr>
      <w:tr w:rsidR="00BE7003" w:rsidRPr="006B7992" w14:paraId="719F96E7" w14:textId="77777777" w:rsidTr="00BE7003">
        <w:tc>
          <w:tcPr>
            <w:tcW w:w="3988" w:type="pct"/>
            <w:tcBorders>
              <w:top w:val="nil"/>
              <w:left w:val="single" w:sz="8" w:space="0" w:color="auto"/>
              <w:bottom w:val="single" w:sz="8" w:space="0" w:color="auto"/>
              <w:right w:val="single" w:sz="8" w:space="0" w:color="auto"/>
            </w:tcBorders>
            <w:shd w:val="clear" w:color="auto" w:fill="auto"/>
            <w:vAlign w:val="center"/>
          </w:tcPr>
          <w:p w14:paraId="0DDC2347" w14:textId="77777777" w:rsidR="00BE7003" w:rsidRPr="00F52240" w:rsidRDefault="00BE7003" w:rsidP="00056EE7">
            <w:pPr>
              <w:spacing w:after="0" w:line="300" w:lineRule="atLeast"/>
              <w:contextualSpacing/>
              <w:rPr>
                <w:rFonts w:ascii="Times New Roman" w:eastAsia="Times New Roman" w:hAnsi="Times New Roman" w:cs="Times New Roman"/>
                <w:color w:val="000000"/>
                <w:sz w:val="18"/>
                <w:szCs w:val="18"/>
                <w:lang w:eastAsia="pl-PL"/>
              </w:rPr>
            </w:pPr>
            <w:r w:rsidRPr="00F52240">
              <w:rPr>
                <w:rFonts w:ascii="Times New Roman" w:eastAsia="Times New Roman" w:hAnsi="Times New Roman" w:cs="Times New Roman"/>
                <w:color w:val="000000"/>
                <w:sz w:val="18"/>
                <w:szCs w:val="18"/>
                <w:lang w:eastAsia="pl-PL"/>
              </w:rPr>
              <w:t>nieprzestrzeganie przepisów w zakresie recyklingu pojazdów wycofanych z eksploatacji</w:t>
            </w:r>
          </w:p>
        </w:tc>
        <w:tc>
          <w:tcPr>
            <w:tcW w:w="1012" w:type="pct"/>
            <w:tcBorders>
              <w:top w:val="nil"/>
              <w:left w:val="nil"/>
              <w:bottom w:val="single" w:sz="8" w:space="0" w:color="auto"/>
              <w:right w:val="single" w:sz="8" w:space="0" w:color="auto"/>
            </w:tcBorders>
            <w:shd w:val="clear" w:color="auto" w:fill="auto"/>
            <w:vAlign w:val="center"/>
          </w:tcPr>
          <w:p w14:paraId="51422559" w14:textId="77777777" w:rsidR="00BE7003" w:rsidRPr="001611DE" w:rsidRDefault="00BE7003" w:rsidP="00056EE7">
            <w:pPr>
              <w:spacing w:after="0" w:line="300" w:lineRule="atLeast"/>
              <w:contextualSpacing/>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111</w:t>
            </w:r>
          </w:p>
        </w:tc>
      </w:tr>
      <w:tr w:rsidR="00BE7003" w:rsidRPr="006B7992" w14:paraId="67A5B58D" w14:textId="77777777" w:rsidTr="00BE7003">
        <w:tc>
          <w:tcPr>
            <w:tcW w:w="3988" w:type="pct"/>
            <w:tcBorders>
              <w:top w:val="nil"/>
              <w:left w:val="single" w:sz="8" w:space="0" w:color="auto"/>
              <w:bottom w:val="single" w:sz="8" w:space="0" w:color="auto"/>
              <w:right w:val="single" w:sz="8" w:space="0" w:color="auto"/>
            </w:tcBorders>
            <w:shd w:val="clear" w:color="auto" w:fill="auto"/>
            <w:vAlign w:val="center"/>
            <w:hideMark/>
          </w:tcPr>
          <w:p w14:paraId="126D1861" w14:textId="77777777" w:rsidR="00BE7003" w:rsidRPr="00F52240" w:rsidRDefault="00BE7003" w:rsidP="00056EE7">
            <w:pPr>
              <w:spacing w:after="0" w:line="300" w:lineRule="atLeast"/>
              <w:contextualSpacing/>
              <w:rPr>
                <w:rFonts w:ascii="Times New Roman" w:eastAsia="Times New Roman" w:hAnsi="Times New Roman" w:cs="Times New Roman"/>
                <w:color w:val="000000"/>
                <w:sz w:val="18"/>
                <w:szCs w:val="18"/>
                <w:lang w:eastAsia="pl-PL"/>
              </w:rPr>
            </w:pPr>
            <w:r w:rsidRPr="00F52240">
              <w:rPr>
                <w:rFonts w:ascii="Times New Roman" w:eastAsia="Times New Roman" w:hAnsi="Times New Roman" w:cs="Times New Roman"/>
                <w:color w:val="000000"/>
                <w:sz w:val="18"/>
                <w:szCs w:val="18"/>
                <w:lang w:eastAsia="pl-PL"/>
              </w:rPr>
              <w:t>wprowadzanie do wód lub ziemi ścieków nieodpowiadających wymaganym warunkom</w:t>
            </w:r>
          </w:p>
        </w:tc>
        <w:tc>
          <w:tcPr>
            <w:tcW w:w="1012" w:type="pct"/>
            <w:tcBorders>
              <w:top w:val="nil"/>
              <w:left w:val="nil"/>
              <w:bottom w:val="single" w:sz="8" w:space="0" w:color="auto"/>
              <w:right w:val="single" w:sz="8" w:space="0" w:color="auto"/>
            </w:tcBorders>
            <w:shd w:val="clear" w:color="auto" w:fill="auto"/>
            <w:vAlign w:val="center"/>
            <w:hideMark/>
          </w:tcPr>
          <w:p w14:paraId="7E4CE979" w14:textId="77777777" w:rsidR="00BE7003" w:rsidRPr="001611DE" w:rsidRDefault="00BE7003" w:rsidP="00056EE7">
            <w:pPr>
              <w:spacing w:after="0" w:line="300" w:lineRule="atLeast"/>
              <w:contextualSpacing/>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110</w:t>
            </w:r>
          </w:p>
        </w:tc>
      </w:tr>
      <w:tr w:rsidR="00BE7003" w:rsidRPr="006B7992" w14:paraId="6BBF87C0" w14:textId="77777777" w:rsidTr="00BE7003">
        <w:tc>
          <w:tcPr>
            <w:tcW w:w="3988" w:type="pct"/>
            <w:tcBorders>
              <w:top w:val="nil"/>
              <w:left w:val="single" w:sz="8" w:space="0" w:color="auto"/>
              <w:bottom w:val="single" w:sz="8" w:space="0" w:color="auto"/>
              <w:right w:val="single" w:sz="8" w:space="0" w:color="auto"/>
            </w:tcBorders>
            <w:shd w:val="clear" w:color="auto" w:fill="auto"/>
            <w:vAlign w:val="center"/>
            <w:hideMark/>
          </w:tcPr>
          <w:p w14:paraId="5B32BFF5" w14:textId="77777777" w:rsidR="00BE7003" w:rsidRPr="00F52240" w:rsidRDefault="00BE7003" w:rsidP="00056EE7">
            <w:pPr>
              <w:spacing w:after="0" w:line="300" w:lineRule="atLeast"/>
              <w:contextualSpacing/>
              <w:rPr>
                <w:rFonts w:ascii="Times New Roman" w:eastAsia="Times New Roman" w:hAnsi="Times New Roman" w:cs="Times New Roman"/>
                <w:color w:val="000000"/>
                <w:sz w:val="18"/>
                <w:szCs w:val="18"/>
                <w:lang w:eastAsia="pl-PL"/>
              </w:rPr>
            </w:pPr>
            <w:r w:rsidRPr="00F52240">
              <w:rPr>
                <w:rFonts w:ascii="Times New Roman" w:eastAsia="Times New Roman" w:hAnsi="Times New Roman" w:cs="Times New Roman"/>
                <w:color w:val="000000"/>
                <w:sz w:val="18"/>
                <w:szCs w:val="18"/>
                <w:lang w:eastAsia="pl-PL"/>
              </w:rPr>
              <w:t>przekroczenie dopuszczalnej ilości lub rodzaju gazów i pyłów wprowadzanych do powietrza</w:t>
            </w:r>
          </w:p>
        </w:tc>
        <w:tc>
          <w:tcPr>
            <w:tcW w:w="1012" w:type="pct"/>
            <w:tcBorders>
              <w:top w:val="nil"/>
              <w:left w:val="nil"/>
              <w:bottom w:val="single" w:sz="8" w:space="0" w:color="auto"/>
              <w:right w:val="single" w:sz="8" w:space="0" w:color="auto"/>
            </w:tcBorders>
            <w:shd w:val="clear" w:color="auto" w:fill="auto"/>
            <w:vAlign w:val="center"/>
            <w:hideMark/>
          </w:tcPr>
          <w:p w14:paraId="44FAFCC2" w14:textId="77777777" w:rsidR="00BE7003" w:rsidRPr="001611DE" w:rsidRDefault="00BE7003" w:rsidP="00056EE7">
            <w:pPr>
              <w:spacing w:after="0" w:line="300" w:lineRule="atLeast"/>
              <w:contextualSpacing/>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108</w:t>
            </w:r>
          </w:p>
        </w:tc>
      </w:tr>
      <w:tr w:rsidR="00BE7003" w:rsidRPr="006B7992" w14:paraId="251566F4" w14:textId="77777777" w:rsidTr="00BE7003">
        <w:tc>
          <w:tcPr>
            <w:tcW w:w="3988" w:type="pct"/>
            <w:tcBorders>
              <w:top w:val="nil"/>
              <w:left w:val="single" w:sz="8" w:space="0" w:color="auto"/>
              <w:bottom w:val="single" w:sz="8" w:space="0" w:color="auto"/>
              <w:right w:val="single" w:sz="8" w:space="0" w:color="auto"/>
            </w:tcBorders>
            <w:shd w:val="clear" w:color="auto" w:fill="auto"/>
            <w:vAlign w:val="center"/>
          </w:tcPr>
          <w:p w14:paraId="2DC7B275" w14:textId="77777777" w:rsidR="00BE7003" w:rsidRPr="00F52240" w:rsidRDefault="00BE7003" w:rsidP="00056EE7">
            <w:pPr>
              <w:spacing w:after="0" w:line="300" w:lineRule="atLeast"/>
              <w:contextualSpacing/>
              <w:rPr>
                <w:rFonts w:ascii="Times New Roman" w:eastAsia="Times New Roman" w:hAnsi="Times New Roman" w:cs="Times New Roman"/>
                <w:color w:val="000000"/>
                <w:sz w:val="18"/>
                <w:szCs w:val="18"/>
                <w:lang w:eastAsia="pl-PL"/>
              </w:rPr>
            </w:pPr>
            <w:r w:rsidRPr="00F52240">
              <w:rPr>
                <w:rFonts w:ascii="Times New Roman" w:eastAsia="Times New Roman" w:hAnsi="Times New Roman" w:cs="Times New Roman"/>
                <w:color w:val="000000"/>
                <w:sz w:val="18"/>
                <w:szCs w:val="18"/>
                <w:lang w:eastAsia="pl-PL"/>
              </w:rPr>
              <w:t>nieprzestrzeganie przepisów w zakresie zużytego sprzętu elektrycznego i elektronicznego</w:t>
            </w:r>
            <w:r w:rsidRPr="00F52240">
              <w:rPr>
                <w:rStyle w:val="Odwoanieprzypisudolnego"/>
                <w:rFonts w:cs="Times New Roman"/>
                <w:color w:val="000000"/>
                <w:sz w:val="18"/>
                <w:szCs w:val="18"/>
                <w:lang w:eastAsia="pl-PL"/>
              </w:rPr>
              <w:footnoteReference w:id="46"/>
            </w:r>
          </w:p>
        </w:tc>
        <w:tc>
          <w:tcPr>
            <w:tcW w:w="1012" w:type="pct"/>
            <w:tcBorders>
              <w:top w:val="nil"/>
              <w:left w:val="nil"/>
              <w:bottom w:val="single" w:sz="8" w:space="0" w:color="auto"/>
              <w:right w:val="single" w:sz="8" w:space="0" w:color="auto"/>
            </w:tcBorders>
            <w:shd w:val="clear" w:color="auto" w:fill="auto"/>
            <w:vAlign w:val="center"/>
          </w:tcPr>
          <w:p w14:paraId="611606F2" w14:textId="77777777" w:rsidR="00BE7003" w:rsidRPr="001611DE" w:rsidRDefault="00BE7003" w:rsidP="00056EE7">
            <w:pPr>
              <w:spacing w:after="0" w:line="300" w:lineRule="atLeast"/>
              <w:contextualSpacing/>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32</w:t>
            </w:r>
          </w:p>
        </w:tc>
      </w:tr>
      <w:tr w:rsidR="00BE7003" w:rsidRPr="006B7992" w14:paraId="5C0F37F9" w14:textId="77777777" w:rsidTr="00BE7003">
        <w:tc>
          <w:tcPr>
            <w:tcW w:w="3988" w:type="pct"/>
            <w:tcBorders>
              <w:top w:val="nil"/>
              <w:left w:val="single" w:sz="8" w:space="0" w:color="auto"/>
              <w:bottom w:val="nil"/>
              <w:right w:val="single" w:sz="8" w:space="0" w:color="auto"/>
            </w:tcBorders>
            <w:shd w:val="clear" w:color="auto" w:fill="auto"/>
            <w:vAlign w:val="center"/>
          </w:tcPr>
          <w:p w14:paraId="411B6DD7" w14:textId="77777777" w:rsidR="00BE7003" w:rsidRPr="00F52240" w:rsidRDefault="00BE7003" w:rsidP="00056EE7">
            <w:pPr>
              <w:spacing w:after="0" w:line="300" w:lineRule="atLeast"/>
              <w:contextualSpacing/>
              <w:rPr>
                <w:rFonts w:ascii="Times New Roman" w:eastAsia="Times New Roman" w:hAnsi="Times New Roman" w:cs="Times New Roman"/>
                <w:color w:val="000000"/>
                <w:sz w:val="18"/>
                <w:szCs w:val="18"/>
                <w:lang w:eastAsia="pl-PL"/>
              </w:rPr>
            </w:pPr>
            <w:r w:rsidRPr="00F52240">
              <w:rPr>
                <w:rFonts w:ascii="Times New Roman" w:eastAsia="Times New Roman" w:hAnsi="Times New Roman" w:cs="Times New Roman"/>
                <w:color w:val="000000"/>
                <w:sz w:val="18"/>
                <w:szCs w:val="18"/>
                <w:lang w:eastAsia="pl-PL"/>
              </w:rPr>
              <w:t>uniemożliwianie lub utrudnianie organowi Inspekcji Ochrony Środowiska przeprowadzanie kontroli</w:t>
            </w:r>
          </w:p>
        </w:tc>
        <w:tc>
          <w:tcPr>
            <w:tcW w:w="1012" w:type="pct"/>
            <w:tcBorders>
              <w:top w:val="nil"/>
              <w:left w:val="nil"/>
              <w:bottom w:val="nil"/>
              <w:right w:val="single" w:sz="8" w:space="0" w:color="auto"/>
            </w:tcBorders>
            <w:shd w:val="clear" w:color="auto" w:fill="auto"/>
            <w:vAlign w:val="center"/>
          </w:tcPr>
          <w:p w14:paraId="5451AAB8" w14:textId="77777777" w:rsidR="00BE7003" w:rsidRPr="001611DE" w:rsidRDefault="00BE7003" w:rsidP="00056EE7">
            <w:pPr>
              <w:spacing w:after="0" w:line="300" w:lineRule="atLeast"/>
              <w:contextualSpacing/>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27</w:t>
            </w:r>
          </w:p>
        </w:tc>
      </w:tr>
      <w:tr w:rsidR="00BE7003" w:rsidRPr="006B7992" w14:paraId="4625B629" w14:textId="77777777" w:rsidTr="00BE7003">
        <w:tc>
          <w:tcPr>
            <w:tcW w:w="3988" w:type="pct"/>
            <w:tcBorders>
              <w:top w:val="single" w:sz="8" w:space="0" w:color="auto"/>
              <w:left w:val="single" w:sz="8" w:space="0" w:color="auto"/>
              <w:bottom w:val="single" w:sz="8" w:space="0" w:color="auto"/>
              <w:right w:val="single" w:sz="8" w:space="0" w:color="auto"/>
            </w:tcBorders>
            <w:shd w:val="clear" w:color="auto" w:fill="auto"/>
            <w:vAlign w:val="center"/>
          </w:tcPr>
          <w:p w14:paraId="4EE33136" w14:textId="77777777" w:rsidR="00BE7003" w:rsidRPr="00F52240" w:rsidRDefault="00BE7003" w:rsidP="00056EE7">
            <w:pPr>
              <w:spacing w:after="0" w:line="300" w:lineRule="atLeast"/>
              <w:contextualSpacing/>
              <w:rPr>
                <w:rFonts w:ascii="Times New Roman" w:eastAsia="Times New Roman" w:hAnsi="Times New Roman" w:cs="Times New Roman"/>
                <w:color w:val="000000"/>
                <w:sz w:val="18"/>
                <w:szCs w:val="18"/>
                <w:lang w:eastAsia="pl-PL"/>
              </w:rPr>
            </w:pPr>
            <w:r w:rsidRPr="00F52240">
              <w:rPr>
                <w:rFonts w:ascii="Times New Roman" w:eastAsia="Times New Roman" w:hAnsi="Times New Roman" w:cs="Times New Roman"/>
                <w:color w:val="000000"/>
                <w:sz w:val="18"/>
                <w:szCs w:val="18"/>
                <w:lang w:eastAsia="pl-PL"/>
              </w:rPr>
              <w:t>nieprzestrzeganie przepisów z zakresu gospodarki opakowaniami i odpadami opakowaniowymi</w:t>
            </w:r>
          </w:p>
        </w:tc>
        <w:tc>
          <w:tcPr>
            <w:tcW w:w="1012" w:type="pct"/>
            <w:tcBorders>
              <w:top w:val="single" w:sz="8" w:space="0" w:color="auto"/>
              <w:left w:val="nil"/>
              <w:bottom w:val="nil"/>
              <w:right w:val="single" w:sz="8" w:space="0" w:color="auto"/>
            </w:tcBorders>
            <w:shd w:val="clear" w:color="auto" w:fill="auto"/>
            <w:vAlign w:val="center"/>
          </w:tcPr>
          <w:p w14:paraId="7CE3B1B7" w14:textId="77777777" w:rsidR="00BE7003" w:rsidRPr="001611DE" w:rsidRDefault="00BE7003" w:rsidP="00056EE7">
            <w:pPr>
              <w:spacing w:after="0" w:line="300" w:lineRule="atLeast"/>
              <w:contextualSpacing/>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20</w:t>
            </w:r>
          </w:p>
        </w:tc>
      </w:tr>
      <w:tr w:rsidR="00BE7003" w:rsidRPr="006B7992" w14:paraId="5234DA7D" w14:textId="77777777" w:rsidTr="00BE7003">
        <w:tc>
          <w:tcPr>
            <w:tcW w:w="3988" w:type="pct"/>
            <w:tcBorders>
              <w:top w:val="nil"/>
              <w:left w:val="single" w:sz="8" w:space="0" w:color="auto"/>
              <w:bottom w:val="single" w:sz="8" w:space="0" w:color="auto"/>
              <w:right w:val="single" w:sz="8" w:space="0" w:color="auto"/>
            </w:tcBorders>
            <w:shd w:val="clear" w:color="auto" w:fill="auto"/>
            <w:vAlign w:val="center"/>
          </w:tcPr>
          <w:p w14:paraId="2FCA2653" w14:textId="77777777" w:rsidR="00BE7003" w:rsidRPr="00F52240" w:rsidRDefault="00BE7003" w:rsidP="00056EE7">
            <w:pPr>
              <w:spacing w:after="0" w:line="300" w:lineRule="atLeast"/>
              <w:contextualSpacing/>
              <w:rPr>
                <w:rFonts w:ascii="Times New Roman" w:eastAsia="Times New Roman" w:hAnsi="Times New Roman" w:cs="Times New Roman"/>
                <w:color w:val="000000"/>
                <w:sz w:val="18"/>
                <w:szCs w:val="18"/>
                <w:lang w:eastAsia="pl-PL"/>
              </w:rPr>
            </w:pPr>
            <w:r w:rsidRPr="00F52240">
              <w:rPr>
                <w:rFonts w:ascii="Times New Roman" w:eastAsia="Times New Roman" w:hAnsi="Times New Roman" w:cs="Times New Roman"/>
                <w:color w:val="000000"/>
                <w:sz w:val="18"/>
                <w:szCs w:val="18"/>
                <w:lang w:eastAsia="pl-PL"/>
              </w:rPr>
              <w:t>nieprzestrzeganie przepisów ustawy o przeciwdziałaniu marnowaniu żywności</w:t>
            </w:r>
          </w:p>
        </w:tc>
        <w:tc>
          <w:tcPr>
            <w:tcW w:w="1012" w:type="pct"/>
            <w:tcBorders>
              <w:top w:val="single" w:sz="8" w:space="0" w:color="auto"/>
              <w:left w:val="nil"/>
              <w:bottom w:val="single" w:sz="8" w:space="0" w:color="auto"/>
              <w:right w:val="single" w:sz="8" w:space="0" w:color="auto"/>
            </w:tcBorders>
            <w:shd w:val="clear" w:color="auto" w:fill="auto"/>
            <w:vAlign w:val="center"/>
          </w:tcPr>
          <w:p w14:paraId="792D1969" w14:textId="77777777" w:rsidR="00BE7003" w:rsidRPr="001611DE" w:rsidRDefault="00BE7003" w:rsidP="00056EE7">
            <w:pPr>
              <w:spacing w:after="0" w:line="300" w:lineRule="atLeast"/>
              <w:contextualSpacing/>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14</w:t>
            </w:r>
          </w:p>
        </w:tc>
      </w:tr>
      <w:tr w:rsidR="00BE7003" w:rsidRPr="006B7992" w14:paraId="6DC27CF7" w14:textId="77777777" w:rsidTr="00BE7003">
        <w:tc>
          <w:tcPr>
            <w:tcW w:w="3988" w:type="pct"/>
            <w:tcBorders>
              <w:top w:val="nil"/>
              <w:left w:val="single" w:sz="8" w:space="0" w:color="auto"/>
              <w:bottom w:val="single" w:sz="8" w:space="0" w:color="auto"/>
              <w:right w:val="single" w:sz="8" w:space="0" w:color="auto"/>
            </w:tcBorders>
            <w:shd w:val="clear" w:color="auto" w:fill="auto"/>
            <w:vAlign w:val="center"/>
          </w:tcPr>
          <w:p w14:paraId="50AEC54D" w14:textId="77777777" w:rsidR="00BE7003" w:rsidRPr="00F52240" w:rsidRDefault="00BE7003" w:rsidP="00056EE7">
            <w:pPr>
              <w:spacing w:after="0" w:line="300" w:lineRule="atLeast"/>
              <w:contextualSpacing/>
              <w:rPr>
                <w:rFonts w:ascii="Times New Roman" w:eastAsia="Times New Roman" w:hAnsi="Times New Roman" w:cs="Times New Roman"/>
                <w:color w:val="000000"/>
                <w:sz w:val="18"/>
                <w:szCs w:val="18"/>
                <w:lang w:eastAsia="pl-PL"/>
              </w:rPr>
            </w:pPr>
            <w:r w:rsidRPr="00F52240">
              <w:rPr>
                <w:rFonts w:ascii="Times New Roman" w:eastAsia="Times New Roman" w:hAnsi="Times New Roman" w:cs="Times New Roman"/>
                <w:color w:val="000000"/>
                <w:sz w:val="18"/>
                <w:szCs w:val="18"/>
                <w:lang w:eastAsia="pl-PL"/>
              </w:rPr>
              <w:t>nieprzestrzeganie przepisów w zakresie przygotowania i realizacji programów ochrony powietrza oraz planów działań krótkoterminowych</w:t>
            </w:r>
          </w:p>
        </w:tc>
        <w:tc>
          <w:tcPr>
            <w:tcW w:w="1012" w:type="pct"/>
            <w:tcBorders>
              <w:top w:val="single" w:sz="8" w:space="0" w:color="auto"/>
              <w:left w:val="nil"/>
              <w:bottom w:val="single" w:sz="8" w:space="0" w:color="auto"/>
              <w:right w:val="single" w:sz="8" w:space="0" w:color="auto"/>
            </w:tcBorders>
            <w:shd w:val="clear" w:color="auto" w:fill="auto"/>
            <w:vAlign w:val="center"/>
          </w:tcPr>
          <w:p w14:paraId="5BD3F748" w14:textId="77777777" w:rsidR="00BE7003" w:rsidRPr="001611DE" w:rsidRDefault="00BE7003" w:rsidP="00056EE7">
            <w:pPr>
              <w:spacing w:after="0" w:line="300" w:lineRule="atLeast"/>
              <w:contextualSpacing/>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11</w:t>
            </w:r>
          </w:p>
        </w:tc>
      </w:tr>
      <w:tr w:rsidR="00BE7003" w:rsidRPr="006B7992" w14:paraId="3CA05F6E" w14:textId="77777777" w:rsidTr="00BE7003">
        <w:tc>
          <w:tcPr>
            <w:tcW w:w="3988" w:type="pct"/>
            <w:tcBorders>
              <w:top w:val="nil"/>
              <w:left w:val="single" w:sz="8" w:space="0" w:color="auto"/>
              <w:bottom w:val="single" w:sz="8" w:space="0" w:color="auto"/>
              <w:right w:val="single" w:sz="8" w:space="0" w:color="auto"/>
            </w:tcBorders>
            <w:shd w:val="clear" w:color="auto" w:fill="auto"/>
            <w:vAlign w:val="center"/>
          </w:tcPr>
          <w:p w14:paraId="5940FA94" w14:textId="77777777" w:rsidR="00BE7003" w:rsidRPr="00F52240" w:rsidRDefault="00BE7003" w:rsidP="00056EE7">
            <w:pPr>
              <w:spacing w:after="0" w:line="300" w:lineRule="atLeast"/>
              <w:contextualSpacing/>
              <w:rPr>
                <w:rFonts w:ascii="Times New Roman" w:eastAsia="Times New Roman" w:hAnsi="Times New Roman" w:cs="Times New Roman"/>
                <w:color w:val="000000"/>
                <w:sz w:val="18"/>
                <w:szCs w:val="18"/>
                <w:lang w:eastAsia="pl-PL"/>
              </w:rPr>
            </w:pPr>
            <w:r w:rsidRPr="00F52240">
              <w:rPr>
                <w:rFonts w:ascii="Times New Roman" w:eastAsia="Times New Roman" w:hAnsi="Times New Roman" w:cs="Times New Roman"/>
                <w:color w:val="000000"/>
                <w:sz w:val="18"/>
                <w:szCs w:val="18"/>
                <w:lang w:eastAsia="pl-PL"/>
              </w:rPr>
              <w:t>nieprzestrzeganie przepisów o udostępnianiu informacji o środowisku i jego ochronie, udziale społeczeństwa w ochronie środowiska oraz o ocenach oddziaływania na środowisko</w:t>
            </w:r>
          </w:p>
        </w:tc>
        <w:tc>
          <w:tcPr>
            <w:tcW w:w="1012" w:type="pct"/>
            <w:tcBorders>
              <w:top w:val="single" w:sz="8" w:space="0" w:color="auto"/>
              <w:left w:val="nil"/>
              <w:bottom w:val="single" w:sz="8" w:space="0" w:color="auto"/>
              <w:right w:val="single" w:sz="8" w:space="0" w:color="auto"/>
            </w:tcBorders>
            <w:shd w:val="clear" w:color="auto" w:fill="auto"/>
            <w:vAlign w:val="center"/>
          </w:tcPr>
          <w:p w14:paraId="2CD9DA81" w14:textId="77777777" w:rsidR="00BE7003" w:rsidRPr="001611DE" w:rsidRDefault="00BE7003" w:rsidP="00056EE7">
            <w:pPr>
              <w:spacing w:after="0" w:line="300" w:lineRule="atLeast"/>
              <w:contextualSpacing/>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11</w:t>
            </w:r>
          </w:p>
        </w:tc>
      </w:tr>
      <w:tr w:rsidR="00BE7003" w:rsidRPr="006B7992" w14:paraId="3D266BAB" w14:textId="77777777" w:rsidTr="00BE7003">
        <w:tc>
          <w:tcPr>
            <w:tcW w:w="3988" w:type="pct"/>
            <w:tcBorders>
              <w:top w:val="nil"/>
              <w:left w:val="single" w:sz="8" w:space="0" w:color="auto"/>
              <w:bottom w:val="single" w:sz="4" w:space="0" w:color="auto"/>
              <w:right w:val="single" w:sz="8" w:space="0" w:color="auto"/>
            </w:tcBorders>
            <w:shd w:val="clear" w:color="auto" w:fill="auto"/>
            <w:vAlign w:val="center"/>
          </w:tcPr>
          <w:p w14:paraId="6F79CD42" w14:textId="77777777" w:rsidR="00BE7003" w:rsidRPr="00F52240" w:rsidRDefault="00BE7003" w:rsidP="00056EE7">
            <w:pPr>
              <w:spacing w:after="0" w:line="300" w:lineRule="atLeast"/>
              <w:contextualSpacing/>
              <w:rPr>
                <w:rFonts w:ascii="Times New Roman" w:eastAsia="Times New Roman" w:hAnsi="Times New Roman" w:cs="Times New Roman"/>
                <w:color w:val="000000"/>
                <w:sz w:val="18"/>
                <w:szCs w:val="18"/>
                <w:lang w:eastAsia="pl-PL"/>
              </w:rPr>
            </w:pPr>
            <w:r w:rsidRPr="00F52240">
              <w:rPr>
                <w:rFonts w:ascii="Times New Roman" w:eastAsia="Times New Roman" w:hAnsi="Times New Roman" w:cs="Times New Roman"/>
                <w:color w:val="000000"/>
                <w:sz w:val="18"/>
                <w:szCs w:val="18"/>
                <w:lang w:eastAsia="pl-PL"/>
              </w:rPr>
              <w:t>nieterminowe przedkładanie sprawozdania lub niezapewnienie jakości przekazywanych danych – PRTR</w:t>
            </w:r>
          </w:p>
        </w:tc>
        <w:tc>
          <w:tcPr>
            <w:tcW w:w="1012" w:type="pct"/>
            <w:tcBorders>
              <w:top w:val="nil"/>
              <w:left w:val="nil"/>
              <w:bottom w:val="single" w:sz="4" w:space="0" w:color="auto"/>
              <w:right w:val="single" w:sz="8" w:space="0" w:color="auto"/>
            </w:tcBorders>
            <w:shd w:val="clear" w:color="auto" w:fill="auto"/>
            <w:vAlign w:val="center"/>
          </w:tcPr>
          <w:p w14:paraId="2EC45610" w14:textId="77777777" w:rsidR="00BE7003" w:rsidRPr="001611DE" w:rsidRDefault="00BE7003" w:rsidP="00056EE7">
            <w:pPr>
              <w:spacing w:after="0" w:line="300" w:lineRule="atLeast"/>
              <w:contextualSpacing/>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11</w:t>
            </w:r>
          </w:p>
        </w:tc>
      </w:tr>
      <w:tr w:rsidR="00BE7003" w:rsidRPr="006B7992" w14:paraId="6731F732" w14:textId="77777777" w:rsidTr="00BE7003">
        <w:tc>
          <w:tcPr>
            <w:tcW w:w="39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FD6062" w14:textId="77777777" w:rsidR="00BE7003" w:rsidRPr="00F52240" w:rsidRDefault="00BE7003" w:rsidP="00056EE7">
            <w:pPr>
              <w:spacing w:after="0" w:line="300" w:lineRule="atLeast"/>
              <w:contextualSpacing/>
              <w:rPr>
                <w:rFonts w:ascii="Times New Roman" w:eastAsia="Times New Roman" w:hAnsi="Times New Roman" w:cs="Times New Roman"/>
                <w:color w:val="000000"/>
                <w:sz w:val="18"/>
                <w:szCs w:val="18"/>
                <w:lang w:eastAsia="pl-PL"/>
              </w:rPr>
            </w:pPr>
            <w:r w:rsidRPr="00F52240">
              <w:rPr>
                <w:rFonts w:ascii="Times New Roman" w:eastAsia="Times New Roman" w:hAnsi="Times New Roman" w:cs="Times New Roman"/>
                <w:color w:val="000000"/>
                <w:sz w:val="18"/>
                <w:szCs w:val="18"/>
                <w:lang w:eastAsia="pl-PL"/>
              </w:rPr>
              <w:t>nieprzestrzeganie przepisów w zakresie międzynarodowego przemieszczania odpadów</w:t>
            </w: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673A3C" w14:textId="77777777" w:rsidR="00BE7003" w:rsidRPr="001611DE" w:rsidRDefault="00BE7003" w:rsidP="00056EE7">
            <w:pPr>
              <w:spacing w:after="0" w:line="300" w:lineRule="atLeast"/>
              <w:contextualSpacing/>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10</w:t>
            </w:r>
          </w:p>
        </w:tc>
      </w:tr>
      <w:tr w:rsidR="00BE7003" w:rsidRPr="006B7992" w14:paraId="62FBD87C" w14:textId="77777777" w:rsidTr="00BE7003">
        <w:tc>
          <w:tcPr>
            <w:tcW w:w="3988" w:type="pct"/>
            <w:tcBorders>
              <w:top w:val="single" w:sz="4" w:space="0" w:color="auto"/>
              <w:left w:val="single" w:sz="4" w:space="0" w:color="auto"/>
              <w:bottom w:val="single" w:sz="4" w:space="0" w:color="auto"/>
              <w:right w:val="single" w:sz="4" w:space="0" w:color="auto"/>
            </w:tcBorders>
            <w:shd w:val="clear" w:color="auto" w:fill="auto"/>
            <w:vAlign w:val="center"/>
          </w:tcPr>
          <w:p w14:paraId="02E52C7C" w14:textId="77777777" w:rsidR="00BE7003" w:rsidRPr="00F52240" w:rsidRDefault="00BE7003" w:rsidP="00056EE7">
            <w:pPr>
              <w:spacing w:after="0" w:line="300" w:lineRule="atLeast"/>
              <w:contextualSpacing/>
              <w:rPr>
                <w:rFonts w:ascii="Times New Roman" w:eastAsia="Times New Roman" w:hAnsi="Times New Roman" w:cs="Times New Roman"/>
                <w:color w:val="000000"/>
                <w:sz w:val="18"/>
                <w:szCs w:val="18"/>
                <w:lang w:eastAsia="pl-PL"/>
              </w:rPr>
            </w:pPr>
            <w:r w:rsidRPr="00F52240">
              <w:rPr>
                <w:rFonts w:ascii="Times New Roman" w:eastAsia="Times New Roman" w:hAnsi="Times New Roman" w:cs="Times New Roman"/>
                <w:color w:val="000000"/>
                <w:sz w:val="18"/>
                <w:szCs w:val="18"/>
                <w:lang w:eastAsia="pl-PL"/>
              </w:rPr>
              <w:t>przekroczenie ustalonych warunków poboru wody</w:t>
            </w: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2CE83311" w14:textId="77777777" w:rsidR="00BE7003" w:rsidRPr="001611DE" w:rsidRDefault="00BE7003" w:rsidP="00056EE7">
            <w:pPr>
              <w:spacing w:after="0" w:line="300" w:lineRule="atLeast"/>
              <w:contextualSpacing/>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10</w:t>
            </w:r>
          </w:p>
        </w:tc>
      </w:tr>
      <w:tr w:rsidR="00BE7003" w:rsidRPr="006B7992" w14:paraId="575321B4" w14:textId="77777777" w:rsidTr="00BE7003">
        <w:tc>
          <w:tcPr>
            <w:tcW w:w="3988" w:type="pct"/>
            <w:tcBorders>
              <w:top w:val="single" w:sz="4" w:space="0" w:color="auto"/>
              <w:left w:val="single" w:sz="8" w:space="0" w:color="auto"/>
              <w:bottom w:val="single" w:sz="4" w:space="0" w:color="auto"/>
              <w:right w:val="single" w:sz="8" w:space="0" w:color="auto"/>
            </w:tcBorders>
            <w:shd w:val="clear" w:color="auto" w:fill="auto"/>
            <w:vAlign w:val="center"/>
          </w:tcPr>
          <w:p w14:paraId="72ACFE8F" w14:textId="77777777" w:rsidR="00BE7003" w:rsidRPr="00F52240" w:rsidRDefault="00BE7003" w:rsidP="00056EE7">
            <w:pPr>
              <w:spacing w:after="0" w:line="300" w:lineRule="atLeast"/>
              <w:contextualSpacing/>
              <w:rPr>
                <w:rFonts w:ascii="Times New Roman" w:eastAsia="Times New Roman" w:hAnsi="Times New Roman" w:cs="Times New Roman"/>
                <w:color w:val="000000"/>
                <w:sz w:val="18"/>
                <w:szCs w:val="18"/>
                <w:lang w:eastAsia="pl-PL"/>
              </w:rPr>
            </w:pPr>
            <w:r w:rsidRPr="00F52240">
              <w:rPr>
                <w:rFonts w:ascii="Times New Roman" w:eastAsia="Times New Roman" w:hAnsi="Times New Roman" w:cs="Times New Roman"/>
                <w:color w:val="000000"/>
                <w:sz w:val="18"/>
                <w:szCs w:val="18"/>
                <w:lang w:eastAsia="pl-PL"/>
              </w:rPr>
              <w:t>składowanie i magazynowanie odpadów</w:t>
            </w:r>
          </w:p>
        </w:tc>
        <w:tc>
          <w:tcPr>
            <w:tcW w:w="1012" w:type="pct"/>
            <w:tcBorders>
              <w:top w:val="single" w:sz="4" w:space="0" w:color="auto"/>
              <w:left w:val="nil"/>
              <w:bottom w:val="single" w:sz="4" w:space="0" w:color="auto"/>
              <w:right w:val="single" w:sz="8" w:space="0" w:color="auto"/>
            </w:tcBorders>
            <w:shd w:val="clear" w:color="auto" w:fill="auto"/>
            <w:vAlign w:val="center"/>
          </w:tcPr>
          <w:p w14:paraId="71AEBB44" w14:textId="77777777" w:rsidR="00BE7003" w:rsidRPr="001611DE" w:rsidRDefault="00BE7003" w:rsidP="00056EE7">
            <w:pPr>
              <w:spacing w:after="0" w:line="300" w:lineRule="atLeast"/>
              <w:contextualSpacing/>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9</w:t>
            </w:r>
          </w:p>
        </w:tc>
      </w:tr>
      <w:tr w:rsidR="00BE7003" w:rsidRPr="006B7992" w14:paraId="656009E3" w14:textId="77777777" w:rsidTr="00BE7003">
        <w:tc>
          <w:tcPr>
            <w:tcW w:w="3988" w:type="pct"/>
            <w:tcBorders>
              <w:top w:val="single" w:sz="4" w:space="0" w:color="auto"/>
              <w:left w:val="single" w:sz="4" w:space="0" w:color="auto"/>
              <w:bottom w:val="single" w:sz="4" w:space="0" w:color="auto"/>
              <w:right w:val="single" w:sz="4" w:space="0" w:color="auto"/>
            </w:tcBorders>
            <w:shd w:val="clear" w:color="auto" w:fill="auto"/>
            <w:vAlign w:val="center"/>
          </w:tcPr>
          <w:p w14:paraId="2B40D5ED" w14:textId="77777777" w:rsidR="00BE7003" w:rsidRPr="00F52240" w:rsidRDefault="00BE7003" w:rsidP="00056EE7">
            <w:pPr>
              <w:spacing w:after="0" w:line="300" w:lineRule="atLeast"/>
              <w:contextualSpacing/>
              <w:rPr>
                <w:rFonts w:ascii="Times New Roman" w:eastAsia="Times New Roman" w:hAnsi="Times New Roman" w:cs="Times New Roman"/>
                <w:color w:val="000000"/>
                <w:sz w:val="18"/>
                <w:szCs w:val="18"/>
                <w:lang w:eastAsia="pl-PL"/>
              </w:rPr>
            </w:pPr>
            <w:r w:rsidRPr="00F52240">
              <w:rPr>
                <w:rFonts w:ascii="Times New Roman" w:eastAsia="Times New Roman" w:hAnsi="Times New Roman" w:cs="Times New Roman"/>
                <w:color w:val="000000"/>
                <w:sz w:val="18"/>
                <w:szCs w:val="18"/>
                <w:lang w:eastAsia="pl-PL"/>
              </w:rPr>
              <w:t>nieprzestrzeganie przepisów ustawy o lasach</w:t>
            </w: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715BAF46" w14:textId="77777777" w:rsidR="00BE7003" w:rsidRPr="001611DE" w:rsidRDefault="00BE7003" w:rsidP="00056EE7">
            <w:pPr>
              <w:spacing w:after="0" w:line="300" w:lineRule="atLeast"/>
              <w:contextualSpacing/>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8</w:t>
            </w:r>
          </w:p>
        </w:tc>
      </w:tr>
      <w:tr w:rsidR="00BE7003" w:rsidRPr="006B7992" w14:paraId="71045667" w14:textId="77777777" w:rsidTr="00BE7003">
        <w:tc>
          <w:tcPr>
            <w:tcW w:w="3988" w:type="pct"/>
            <w:tcBorders>
              <w:top w:val="single" w:sz="4" w:space="0" w:color="auto"/>
              <w:left w:val="single" w:sz="8" w:space="0" w:color="auto"/>
              <w:bottom w:val="single" w:sz="8" w:space="0" w:color="auto"/>
              <w:right w:val="single" w:sz="8" w:space="0" w:color="auto"/>
            </w:tcBorders>
            <w:shd w:val="clear" w:color="auto" w:fill="auto"/>
            <w:vAlign w:val="center"/>
          </w:tcPr>
          <w:p w14:paraId="3068343D" w14:textId="77777777" w:rsidR="00BE7003" w:rsidRPr="00F52240" w:rsidRDefault="00BE7003" w:rsidP="00056EE7">
            <w:pPr>
              <w:spacing w:after="0" w:line="300" w:lineRule="atLeast"/>
              <w:contextualSpacing/>
              <w:rPr>
                <w:rFonts w:ascii="Times New Roman" w:eastAsia="Times New Roman" w:hAnsi="Times New Roman" w:cs="Times New Roman"/>
                <w:color w:val="000000"/>
                <w:sz w:val="18"/>
                <w:szCs w:val="18"/>
                <w:lang w:eastAsia="pl-PL"/>
              </w:rPr>
            </w:pPr>
            <w:r w:rsidRPr="00F52240">
              <w:rPr>
                <w:rFonts w:ascii="Times New Roman" w:eastAsia="Times New Roman" w:hAnsi="Times New Roman" w:cs="Times New Roman"/>
                <w:color w:val="000000"/>
                <w:sz w:val="18"/>
                <w:szCs w:val="18"/>
                <w:lang w:eastAsia="pl-PL"/>
              </w:rPr>
              <w:t>nieprzestrzeganie przepisów o systemie handlu uprawnieniami do emisji gazów cieplarnianych</w:t>
            </w:r>
            <w:r w:rsidRPr="00F52240">
              <w:rPr>
                <w:rStyle w:val="Odwoanieprzypisudolnego"/>
                <w:rFonts w:cs="Times New Roman"/>
                <w:color w:val="000000"/>
                <w:sz w:val="18"/>
                <w:szCs w:val="18"/>
                <w:lang w:eastAsia="pl-PL"/>
              </w:rPr>
              <w:footnoteReference w:id="47"/>
            </w:r>
          </w:p>
        </w:tc>
        <w:tc>
          <w:tcPr>
            <w:tcW w:w="1012" w:type="pct"/>
            <w:tcBorders>
              <w:top w:val="single" w:sz="4" w:space="0" w:color="auto"/>
              <w:left w:val="nil"/>
              <w:bottom w:val="single" w:sz="8" w:space="0" w:color="auto"/>
              <w:right w:val="single" w:sz="8" w:space="0" w:color="auto"/>
            </w:tcBorders>
            <w:shd w:val="clear" w:color="auto" w:fill="auto"/>
            <w:vAlign w:val="center"/>
          </w:tcPr>
          <w:p w14:paraId="28A8DBC8" w14:textId="77777777" w:rsidR="00BE7003" w:rsidRPr="001611DE" w:rsidRDefault="00BE7003" w:rsidP="00056EE7">
            <w:pPr>
              <w:spacing w:after="0" w:line="300" w:lineRule="atLeast"/>
              <w:contextualSpacing/>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6</w:t>
            </w:r>
          </w:p>
        </w:tc>
      </w:tr>
      <w:tr w:rsidR="00BE7003" w:rsidRPr="006B7992" w14:paraId="5F02BCD0" w14:textId="77777777" w:rsidTr="00BE7003">
        <w:tc>
          <w:tcPr>
            <w:tcW w:w="3988" w:type="pct"/>
            <w:tcBorders>
              <w:top w:val="nil"/>
              <w:left w:val="single" w:sz="8" w:space="0" w:color="auto"/>
              <w:bottom w:val="nil"/>
              <w:right w:val="single" w:sz="8" w:space="0" w:color="auto"/>
            </w:tcBorders>
            <w:shd w:val="clear" w:color="auto" w:fill="auto"/>
            <w:vAlign w:val="center"/>
          </w:tcPr>
          <w:p w14:paraId="4E73A9F3" w14:textId="77777777" w:rsidR="00BE7003" w:rsidRPr="00F52240" w:rsidRDefault="00BE7003" w:rsidP="00056EE7">
            <w:pPr>
              <w:spacing w:after="0" w:line="300" w:lineRule="atLeast"/>
              <w:contextualSpacing/>
              <w:rPr>
                <w:rFonts w:ascii="Times New Roman" w:eastAsia="Times New Roman" w:hAnsi="Times New Roman" w:cs="Times New Roman"/>
                <w:color w:val="000000"/>
                <w:sz w:val="18"/>
                <w:szCs w:val="18"/>
                <w:lang w:eastAsia="pl-PL"/>
              </w:rPr>
            </w:pPr>
            <w:r w:rsidRPr="00F52240">
              <w:rPr>
                <w:rFonts w:ascii="Times New Roman" w:eastAsia="Times New Roman" w:hAnsi="Times New Roman" w:cs="Times New Roman"/>
                <w:color w:val="000000"/>
                <w:sz w:val="18"/>
                <w:szCs w:val="18"/>
                <w:lang w:eastAsia="pl-PL"/>
              </w:rPr>
              <w:t>nieprzestrzeganie przepisów ustawy o bateriach i akumulatorach</w:t>
            </w:r>
          </w:p>
        </w:tc>
        <w:tc>
          <w:tcPr>
            <w:tcW w:w="1012" w:type="pct"/>
            <w:tcBorders>
              <w:top w:val="nil"/>
              <w:left w:val="nil"/>
              <w:bottom w:val="nil"/>
              <w:right w:val="single" w:sz="8" w:space="0" w:color="auto"/>
            </w:tcBorders>
            <w:shd w:val="clear" w:color="auto" w:fill="auto"/>
            <w:vAlign w:val="center"/>
          </w:tcPr>
          <w:p w14:paraId="464BA4EC" w14:textId="77777777" w:rsidR="00BE7003" w:rsidRPr="001611DE" w:rsidRDefault="00BE7003" w:rsidP="00056EE7">
            <w:pPr>
              <w:spacing w:after="0" w:line="300" w:lineRule="atLeast"/>
              <w:contextualSpacing/>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4</w:t>
            </w:r>
          </w:p>
        </w:tc>
      </w:tr>
      <w:tr w:rsidR="00BE7003" w:rsidRPr="006B7992" w14:paraId="04B55588" w14:textId="77777777" w:rsidTr="00BE7003">
        <w:tc>
          <w:tcPr>
            <w:tcW w:w="3988" w:type="pct"/>
            <w:tcBorders>
              <w:top w:val="single" w:sz="8" w:space="0" w:color="auto"/>
              <w:left w:val="single" w:sz="8" w:space="0" w:color="auto"/>
              <w:bottom w:val="single" w:sz="8" w:space="0" w:color="auto"/>
              <w:right w:val="single" w:sz="8" w:space="0" w:color="auto"/>
            </w:tcBorders>
            <w:shd w:val="clear" w:color="auto" w:fill="auto"/>
            <w:vAlign w:val="center"/>
          </w:tcPr>
          <w:p w14:paraId="0712518E" w14:textId="77777777" w:rsidR="00BE7003" w:rsidRPr="00F52240" w:rsidRDefault="00BE7003" w:rsidP="00056EE7">
            <w:pPr>
              <w:spacing w:after="0" w:line="300" w:lineRule="atLeast"/>
              <w:contextualSpacing/>
              <w:rPr>
                <w:rFonts w:ascii="Times New Roman" w:eastAsia="Times New Roman" w:hAnsi="Times New Roman" w:cs="Times New Roman"/>
                <w:color w:val="000000"/>
                <w:sz w:val="18"/>
                <w:szCs w:val="18"/>
                <w:lang w:eastAsia="pl-PL"/>
              </w:rPr>
            </w:pPr>
            <w:bookmarkStart w:id="208" w:name="_Hlk128648631"/>
            <w:r w:rsidRPr="00F52240">
              <w:rPr>
                <w:rFonts w:ascii="Times New Roman" w:eastAsia="Times New Roman" w:hAnsi="Times New Roman" w:cs="Times New Roman"/>
                <w:color w:val="000000"/>
                <w:sz w:val="18"/>
                <w:szCs w:val="18"/>
                <w:lang w:eastAsia="pl-PL"/>
              </w:rPr>
              <w:t>nieprzestrzeganie przepisów w zakresie przekazywania danych identyfikujących i strategicznych map hałasu oraz dotyczących programu ochrony środowiska przed hałasem</w:t>
            </w:r>
            <w:bookmarkEnd w:id="208"/>
          </w:p>
        </w:tc>
        <w:tc>
          <w:tcPr>
            <w:tcW w:w="1012" w:type="pct"/>
            <w:tcBorders>
              <w:top w:val="single" w:sz="8" w:space="0" w:color="auto"/>
              <w:left w:val="nil"/>
              <w:bottom w:val="single" w:sz="8" w:space="0" w:color="auto"/>
              <w:right w:val="single" w:sz="8" w:space="0" w:color="auto"/>
            </w:tcBorders>
            <w:shd w:val="clear" w:color="auto" w:fill="auto"/>
            <w:vAlign w:val="center"/>
          </w:tcPr>
          <w:p w14:paraId="64CF6DD4" w14:textId="77777777" w:rsidR="00BE7003" w:rsidRPr="001611DE" w:rsidRDefault="00BE7003" w:rsidP="00056EE7">
            <w:pPr>
              <w:spacing w:after="0" w:line="300" w:lineRule="atLeast"/>
              <w:contextualSpacing/>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2</w:t>
            </w:r>
          </w:p>
        </w:tc>
      </w:tr>
      <w:tr w:rsidR="00BE7003" w:rsidRPr="006B7992" w14:paraId="68E77B2C" w14:textId="77777777" w:rsidTr="00BE7003">
        <w:tc>
          <w:tcPr>
            <w:tcW w:w="3988" w:type="pct"/>
            <w:tcBorders>
              <w:top w:val="nil"/>
              <w:left w:val="single" w:sz="8" w:space="0" w:color="auto"/>
              <w:bottom w:val="single" w:sz="8" w:space="0" w:color="auto"/>
              <w:right w:val="single" w:sz="8" w:space="0" w:color="auto"/>
            </w:tcBorders>
            <w:shd w:val="clear" w:color="auto" w:fill="auto"/>
            <w:vAlign w:val="center"/>
            <w:hideMark/>
          </w:tcPr>
          <w:p w14:paraId="3B9EEB05" w14:textId="77777777" w:rsidR="00BE7003" w:rsidRPr="00F52240" w:rsidRDefault="00BE7003" w:rsidP="00056EE7">
            <w:pPr>
              <w:spacing w:after="0" w:line="300" w:lineRule="atLeast"/>
              <w:contextualSpacing/>
              <w:rPr>
                <w:rFonts w:ascii="Times New Roman" w:eastAsia="Times New Roman" w:hAnsi="Times New Roman" w:cs="Times New Roman"/>
                <w:color w:val="000000"/>
                <w:sz w:val="18"/>
                <w:szCs w:val="18"/>
                <w:lang w:eastAsia="pl-PL"/>
              </w:rPr>
            </w:pPr>
            <w:r w:rsidRPr="00F52240">
              <w:rPr>
                <w:rFonts w:ascii="Times New Roman" w:eastAsia="Times New Roman" w:hAnsi="Times New Roman" w:cs="Times New Roman"/>
                <w:color w:val="000000"/>
                <w:sz w:val="18"/>
                <w:szCs w:val="18"/>
                <w:lang w:eastAsia="pl-PL"/>
              </w:rPr>
              <w:t>nieprzestrzeganie przepisów ustawy o systemach homologacji typu UE i nadzoru rynku silników spalinowych przeznaczonych do maszyn mobilnych nieporuszających się po drogach</w:t>
            </w:r>
          </w:p>
        </w:tc>
        <w:tc>
          <w:tcPr>
            <w:tcW w:w="1012" w:type="pct"/>
            <w:tcBorders>
              <w:top w:val="nil"/>
              <w:left w:val="nil"/>
              <w:bottom w:val="single" w:sz="8" w:space="0" w:color="auto"/>
              <w:right w:val="single" w:sz="8" w:space="0" w:color="auto"/>
            </w:tcBorders>
            <w:shd w:val="clear" w:color="auto" w:fill="auto"/>
            <w:vAlign w:val="center"/>
            <w:hideMark/>
          </w:tcPr>
          <w:p w14:paraId="5AAAE386" w14:textId="77777777" w:rsidR="00BE7003" w:rsidRPr="001611DE" w:rsidRDefault="00BE7003" w:rsidP="00056EE7">
            <w:pPr>
              <w:spacing w:after="0" w:line="300" w:lineRule="atLeast"/>
              <w:contextualSpacing/>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2</w:t>
            </w:r>
          </w:p>
        </w:tc>
      </w:tr>
      <w:tr w:rsidR="00BE7003" w:rsidRPr="006B7992" w14:paraId="4BC7A9CC" w14:textId="77777777" w:rsidTr="00BE7003">
        <w:tc>
          <w:tcPr>
            <w:tcW w:w="3988" w:type="pct"/>
            <w:tcBorders>
              <w:top w:val="single" w:sz="4" w:space="0" w:color="auto"/>
              <w:left w:val="single" w:sz="8" w:space="0" w:color="auto"/>
              <w:bottom w:val="single" w:sz="8" w:space="0" w:color="auto"/>
              <w:right w:val="single" w:sz="8" w:space="0" w:color="auto"/>
            </w:tcBorders>
            <w:shd w:val="clear" w:color="auto" w:fill="auto"/>
            <w:vAlign w:val="center"/>
            <w:hideMark/>
          </w:tcPr>
          <w:p w14:paraId="136D2B9E" w14:textId="4AF778C2" w:rsidR="00BE7003" w:rsidRPr="00F52240" w:rsidRDefault="00BE7003" w:rsidP="00056EE7">
            <w:pPr>
              <w:spacing w:after="0" w:line="300" w:lineRule="atLeast"/>
              <w:contextualSpacing/>
              <w:rPr>
                <w:rFonts w:ascii="Times New Roman" w:eastAsia="Times New Roman" w:hAnsi="Times New Roman" w:cs="Times New Roman"/>
                <w:b/>
                <w:bCs/>
                <w:color w:val="000000"/>
                <w:sz w:val="18"/>
                <w:szCs w:val="18"/>
                <w:lang w:eastAsia="pl-PL"/>
              </w:rPr>
            </w:pPr>
            <w:r w:rsidRPr="00F52240">
              <w:rPr>
                <w:rFonts w:ascii="Times New Roman" w:eastAsia="Times New Roman" w:hAnsi="Times New Roman" w:cs="Times New Roman"/>
                <w:b/>
                <w:bCs/>
                <w:color w:val="000000"/>
                <w:sz w:val="18"/>
                <w:szCs w:val="18"/>
                <w:lang w:eastAsia="pl-PL"/>
              </w:rPr>
              <w:t xml:space="preserve">Ogółem </w:t>
            </w:r>
            <w:r w:rsidR="009345B1">
              <w:rPr>
                <w:rFonts w:ascii="Times New Roman" w:eastAsia="Times New Roman" w:hAnsi="Times New Roman" w:cs="Times New Roman"/>
                <w:b/>
                <w:bCs/>
                <w:color w:val="000000"/>
                <w:sz w:val="18"/>
                <w:szCs w:val="18"/>
                <w:lang w:eastAsia="pl-PL"/>
              </w:rPr>
              <w:t>–</w:t>
            </w:r>
            <w:r w:rsidRPr="00F52240">
              <w:rPr>
                <w:rFonts w:ascii="Times New Roman" w:eastAsia="Times New Roman" w:hAnsi="Times New Roman" w:cs="Times New Roman"/>
                <w:b/>
                <w:bCs/>
                <w:color w:val="000000"/>
                <w:sz w:val="18"/>
                <w:szCs w:val="18"/>
                <w:lang w:eastAsia="pl-PL"/>
              </w:rPr>
              <w:t xml:space="preserve"> kary</w:t>
            </w:r>
          </w:p>
        </w:tc>
        <w:tc>
          <w:tcPr>
            <w:tcW w:w="1012" w:type="pct"/>
            <w:tcBorders>
              <w:top w:val="single" w:sz="4" w:space="0" w:color="auto"/>
              <w:left w:val="nil"/>
              <w:bottom w:val="single" w:sz="8" w:space="0" w:color="auto"/>
              <w:right w:val="single" w:sz="8" w:space="0" w:color="auto"/>
            </w:tcBorders>
            <w:shd w:val="clear" w:color="auto" w:fill="auto"/>
            <w:vAlign w:val="center"/>
            <w:hideMark/>
          </w:tcPr>
          <w:p w14:paraId="5E2EFDB3" w14:textId="77777777" w:rsidR="00BE7003" w:rsidRPr="00F52240" w:rsidRDefault="00BE7003" w:rsidP="00056EE7">
            <w:pPr>
              <w:spacing w:after="0" w:line="300" w:lineRule="atLeast"/>
              <w:contextualSpacing/>
              <w:jc w:val="center"/>
              <w:rPr>
                <w:rFonts w:ascii="Times New Roman" w:eastAsia="Times New Roman" w:hAnsi="Times New Roman" w:cs="Times New Roman"/>
                <w:b/>
                <w:bCs/>
                <w:color w:val="000000"/>
                <w:sz w:val="18"/>
                <w:szCs w:val="18"/>
                <w:lang w:eastAsia="pl-PL"/>
              </w:rPr>
            </w:pPr>
            <w:r w:rsidRPr="00F52240">
              <w:rPr>
                <w:rFonts w:ascii="Times New Roman" w:eastAsia="Times New Roman" w:hAnsi="Times New Roman" w:cs="Times New Roman"/>
                <w:b/>
                <w:bCs/>
                <w:color w:val="000000"/>
                <w:sz w:val="18"/>
                <w:szCs w:val="18"/>
                <w:lang w:eastAsia="pl-PL"/>
              </w:rPr>
              <w:t>3</w:t>
            </w:r>
            <w:r>
              <w:rPr>
                <w:rFonts w:ascii="Times New Roman" w:eastAsia="Times New Roman" w:hAnsi="Times New Roman" w:cs="Times New Roman"/>
                <w:b/>
                <w:bCs/>
                <w:color w:val="000000"/>
                <w:sz w:val="18"/>
                <w:szCs w:val="18"/>
                <w:lang w:eastAsia="pl-PL"/>
              </w:rPr>
              <w:t> </w:t>
            </w:r>
            <w:r w:rsidRPr="00F52240">
              <w:rPr>
                <w:rFonts w:ascii="Times New Roman" w:eastAsia="Times New Roman" w:hAnsi="Times New Roman" w:cs="Times New Roman"/>
                <w:b/>
                <w:bCs/>
                <w:color w:val="000000"/>
                <w:sz w:val="18"/>
                <w:szCs w:val="18"/>
                <w:lang w:eastAsia="pl-PL"/>
              </w:rPr>
              <w:t>834</w:t>
            </w:r>
          </w:p>
        </w:tc>
      </w:tr>
      <w:tr w:rsidR="00BE7003" w:rsidRPr="006B7992" w14:paraId="196DEEE0" w14:textId="77777777" w:rsidTr="00BE7003">
        <w:tc>
          <w:tcPr>
            <w:tcW w:w="3988" w:type="pct"/>
            <w:tcBorders>
              <w:top w:val="nil"/>
              <w:left w:val="single" w:sz="8" w:space="0" w:color="auto"/>
              <w:bottom w:val="single" w:sz="4" w:space="0" w:color="auto"/>
              <w:right w:val="single" w:sz="8" w:space="0" w:color="auto"/>
            </w:tcBorders>
            <w:shd w:val="clear" w:color="auto" w:fill="auto"/>
            <w:vAlign w:val="center"/>
            <w:hideMark/>
          </w:tcPr>
          <w:p w14:paraId="45C9D4EB" w14:textId="77777777" w:rsidR="00BE7003" w:rsidRPr="00F52240" w:rsidRDefault="00BE7003" w:rsidP="00056EE7">
            <w:pPr>
              <w:spacing w:after="0" w:line="300" w:lineRule="atLeast"/>
              <w:contextualSpacing/>
              <w:rPr>
                <w:rFonts w:ascii="Times New Roman" w:eastAsia="Times New Roman" w:hAnsi="Times New Roman" w:cs="Times New Roman"/>
                <w:b/>
                <w:bCs/>
                <w:color w:val="000000"/>
                <w:sz w:val="18"/>
                <w:szCs w:val="18"/>
                <w:lang w:eastAsia="pl-PL"/>
              </w:rPr>
            </w:pPr>
            <w:r w:rsidRPr="00F52240">
              <w:rPr>
                <w:rFonts w:ascii="Times New Roman" w:eastAsia="Times New Roman" w:hAnsi="Times New Roman" w:cs="Times New Roman"/>
                <w:b/>
                <w:bCs/>
                <w:color w:val="000000"/>
                <w:sz w:val="18"/>
                <w:szCs w:val="18"/>
                <w:lang w:eastAsia="pl-PL"/>
              </w:rPr>
              <w:t>Opłaty</w:t>
            </w:r>
            <w:r>
              <w:rPr>
                <w:rFonts w:ascii="Times New Roman" w:eastAsia="Times New Roman" w:hAnsi="Times New Roman" w:cs="Times New Roman"/>
                <w:b/>
                <w:bCs/>
                <w:color w:val="000000"/>
                <w:sz w:val="18"/>
                <w:szCs w:val="18"/>
                <w:lang w:eastAsia="pl-PL"/>
              </w:rPr>
              <w:t xml:space="preserve"> oraz </w:t>
            </w:r>
            <w:r w:rsidRPr="00F52240">
              <w:rPr>
                <w:rFonts w:ascii="Times New Roman" w:eastAsia="Times New Roman" w:hAnsi="Times New Roman" w:cs="Times New Roman"/>
                <w:b/>
                <w:bCs/>
                <w:color w:val="000000"/>
                <w:sz w:val="18"/>
                <w:szCs w:val="18"/>
                <w:lang w:eastAsia="pl-PL"/>
              </w:rPr>
              <w:t>opłaty podwyższone za:</w:t>
            </w:r>
          </w:p>
        </w:tc>
        <w:tc>
          <w:tcPr>
            <w:tcW w:w="1012" w:type="pct"/>
            <w:tcBorders>
              <w:top w:val="nil"/>
              <w:left w:val="nil"/>
              <w:bottom w:val="single" w:sz="4" w:space="0" w:color="auto"/>
              <w:right w:val="single" w:sz="8" w:space="0" w:color="auto"/>
            </w:tcBorders>
            <w:shd w:val="clear" w:color="auto" w:fill="auto"/>
            <w:vAlign w:val="center"/>
            <w:hideMark/>
          </w:tcPr>
          <w:p w14:paraId="6AFA2518" w14:textId="77777777" w:rsidR="00BE7003" w:rsidRPr="00F52240" w:rsidRDefault="00BE7003" w:rsidP="00056EE7">
            <w:pPr>
              <w:spacing w:after="0" w:line="300" w:lineRule="atLeast"/>
              <w:contextualSpacing/>
              <w:jc w:val="center"/>
              <w:rPr>
                <w:rFonts w:ascii="Times New Roman" w:eastAsia="Times New Roman" w:hAnsi="Times New Roman" w:cs="Times New Roman"/>
                <w:b/>
                <w:bCs/>
                <w:color w:val="000000"/>
                <w:sz w:val="18"/>
                <w:szCs w:val="18"/>
                <w:lang w:eastAsia="pl-PL"/>
              </w:rPr>
            </w:pPr>
          </w:p>
        </w:tc>
      </w:tr>
      <w:tr w:rsidR="00BE7003" w:rsidRPr="006B7992" w14:paraId="408787CB" w14:textId="77777777" w:rsidTr="00BE7003">
        <w:tc>
          <w:tcPr>
            <w:tcW w:w="3988" w:type="pct"/>
            <w:tcBorders>
              <w:top w:val="single" w:sz="4" w:space="0" w:color="auto"/>
              <w:left w:val="single" w:sz="4" w:space="0" w:color="auto"/>
              <w:bottom w:val="single" w:sz="4" w:space="0" w:color="auto"/>
              <w:right w:val="single" w:sz="4" w:space="0" w:color="auto"/>
            </w:tcBorders>
            <w:shd w:val="clear" w:color="auto" w:fill="auto"/>
            <w:vAlign w:val="center"/>
          </w:tcPr>
          <w:p w14:paraId="2971C33F" w14:textId="77777777" w:rsidR="00BE7003" w:rsidRPr="00F52240" w:rsidRDefault="00BE7003" w:rsidP="00056EE7">
            <w:pPr>
              <w:spacing w:after="0" w:line="300" w:lineRule="atLeast"/>
              <w:contextualSpacing/>
              <w:rPr>
                <w:rFonts w:ascii="Times New Roman" w:eastAsia="Times New Roman" w:hAnsi="Times New Roman" w:cs="Times New Roman"/>
                <w:color w:val="000000"/>
                <w:sz w:val="18"/>
                <w:szCs w:val="18"/>
                <w:lang w:eastAsia="pl-PL"/>
              </w:rPr>
            </w:pPr>
            <w:r w:rsidRPr="00F52240">
              <w:rPr>
                <w:rFonts w:ascii="Times New Roman" w:eastAsia="Times New Roman" w:hAnsi="Times New Roman" w:cs="Times New Roman"/>
                <w:color w:val="000000"/>
                <w:sz w:val="18"/>
                <w:szCs w:val="18"/>
                <w:lang w:eastAsia="pl-PL"/>
              </w:rPr>
              <w:t>wprowadzanie do wód lub do ziemi ścieków z przekroczeniem warunków określonych w pozwoleniu</w:t>
            </w: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0C5C0063" w14:textId="77777777" w:rsidR="00BE7003" w:rsidRPr="001611DE" w:rsidRDefault="00BE7003" w:rsidP="00056EE7">
            <w:pPr>
              <w:spacing w:after="0" w:line="300" w:lineRule="atLeast"/>
              <w:contextualSpacing/>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519</w:t>
            </w:r>
          </w:p>
        </w:tc>
      </w:tr>
      <w:tr w:rsidR="00BE7003" w:rsidRPr="006B7992" w14:paraId="47C74E59" w14:textId="77777777" w:rsidTr="00BE7003">
        <w:tc>
          <w:tcPr>
            <w:tcW w:w="3988" w:type="pct"/>
            <w:tcBorders>
              <w:top w:val="single" w:sz="4" w:space="0" w:color="auto"/>
              <w:left w:val="single" w:sz="4" w:space="0" w:color="auto"/>
              <w:bottom w:val="single" w:sz="4" w:space="0" w:color="auto"/>
              <w:right w:val="single" w:sz="4" w:space="0" w:color="auto"/>
            </w:tcBorders>
            <w:shd w:val="clear" w:color="auto" w:fill="auto"/>
            <w:vAlign w:val="center"/>
          </w:tcPr>
          <w:p w14:paraId="2A714892" w14:textId="77777777" w:rsidR="00BE7003" w:rsidRPr="00F52240" w:rsidRDefault="00BE7003" w:rsidP="00056EE7">
            <w:pPr>
              <w:spacing w:after="0" w:line="300" w:lineRule="atLeast"/>
              <w:contextualSpacing/>
              <w:rPr>
                <w:rFonts w:ascii="Times New Roman" w:eastAsia="Times New Roman" w:hAnsi="Times New Roman" w:cs="Times New Roman"/>
                <w:color w:val="000000"/>
                <w:sz w:val="18"/>
                <w:szCs w:val="18"/>
                <w:lang w:eastAsia="pl-PL"/>
              </w:rPr>
            </w:pPr>
            <w:r w:rsidRPr="00F52240">
              <w:rPr>
                <w:rFonts w:ascii="Times New Roman" w:eastAsia="Times New Roman" w:hAnsi="Times New Roman" w:cs="Times New Roman"/>
                <w:color w:val="000000"/>
                <w:sz w:val="18"/>
                <w:szCs w:val="18"/>
                <w:lang w:eastAsia="pl-PL"/>
              </w:rPr>
              <w:lastRenderedPageBreak/>
              <w:t>nieprzestrzeganie przepisów w zakresie ochrony wód przed zanieczyszczeniami azotanami pochodzącymi ze źródeł rolniczych</w:t>
            </w: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56F9CA00" w14:textId="77777777" w:rsidR="00BE7003" w:rsidRPr="001611DE" w:rsidRDefault="00BE7003" w:rsidP="00056EE7">
            <w:pPr>
              <w:spacing w:after="0" w:line="300" w:lineRule="atLeast"/>
              <w:contextualSpacing/>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160</w:t>
            </w:r>
          </w:p>
        </w:tc>
      </w:tr>
      <w:tr w:rsidR="00BE7003" w:rsidRPr="006B7992" w14:paraId="78A7C0E1" w14:textId="77777777" w:rsidTr="00BE7003">
        <w:tc>
          <w:tcPr>
            <w:tcW w:w="39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1578D5" w14:textId="77777777" w:rsidR="00BE7003" w:rsidRPr="00F52240" w:rsidRDefault="00BE7003" w:rsidP="00056EE7">
            <w:pPr>
              <w:spacing w:after="0" w:line="300" w:lineRule="atLeast"/>
              <w:contextualSpacing/>
              <w:rPr>
                <w:rFonts w:ascii="Times New Roman" w:eastAsia="Times New Roman" w:hAnsi="Times New Roman" w:cs="Times New Roman"/>
                <w:color w:val="000000"/>
                <w:sz w:val="18"/>
                <w:szCs w:val="18"/>
                <w:lang w:eastAsia="pl-PL"/>
              </w:rPr>
            </w:pPr>
            <w:r w:rsidRPr="00F52240">
              <w:rPr>
                <w:rFonts w:ascii="Times New Roman" w:eastAsia="Times New Roman" w:hAnsi="Times New Roman" w:cs="Times New Roman"/>
                <w:color w:val="000000"/>
                <w:sz w:val="18"/>
                <w:szCs w:val="18"/>
                <w:lang w:eastAsia="pl-PL"/>
              </w:rPr>
              <w:t>przekroczenie określonych warunków poboru wody</w:t>
            </w: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C96EAE" w14:textId="77777777" w:rsidR="00BE7003" w:rsidRPr="001611DE" w:rsidRDefault="00BE7003" w:rsidP="00056EE7">
            <w:pPr>
              <w:spacing w:after="0" w:line="300" w:lineRule="atLeast"/>
              <w:contextualSpacing/>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142</w:t>
            </w:r>
          </w:p>
        </w:tc>
      </w:tr>
      <w:tr w:rsidR="00BE7003" w:rsidRPr="006B7992" w14:paraId="3AA4B622" w14:textId="77777777" w:rsidTr="00BE7003">
        <w:tc>
          <w:tcPr>
            <w:tcW w:w="39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9F765E" w14:textId="77777777" w:rsidR="00BE7003" w:rsidRPr="00F52240" w:rsidRDefault="00BE7003" w:rsidP="00056EE7">
            <w:pPr>
              <w:spacing w:after="0" w:line="300" w:lineRule="atLeast"/>
              <w:contextualSpacing/>
              <w:rPr>
                <w:rFonts w:ascii="Times New Roman" w:eastAsia="Times New Roman" w:hAnsi="Times New Roman" w:cs="Times New Roman"/>
                <w:b/>
                <w:bCs/>
                <w:color w:val="000000"/>
                <w:sz w:val="18"/>
                <w:szCs w:val="18"/>
                <w:lang w:eastAsia="pl-PL"/>
              </w:rPr>
            </w:pPr>
            <w:r w:rsidRPr="00F52240">
              <w:rPr>
                <w:rFonts w:ascii="Times New Roman" w:eastAsia="Times New Roman" w:hAnsi="Times New Roman" w:cs="Times New Roman"/>
                <w:b/>
                <w:bCs/>
                <w:color w:val="000000"/>
                <w:sz w:val="18"/>
                <w:szCs w:val="18"/>
                <w:lang w:eastAsia="pl-PL"/>
              </w:rPr>
              <w:t xml:space="preserve">Ogółem </w:t>
            </w:r>
            <w:r>
              <w:rPr>
                <w:rFonts w:ascii="Times New Roman" w:eastAsia="Times New Roman" w:hAnsi="Times New Roman" w:cs="Times New Roman"/>
                <w:b/>
                <w:bCs/>
                <w:color w:val="000000"/>
                <w:sz w:val="18"/>
                <w:szCs w:val="18"/>
                <w:lang w:eastAsia="pl-PL"/>
              </w:rPr>
              <w:t>–</w:t>
            </w:r>
            <w:r w:rsidRPr="00F52240">
              <w:rPr>
                <w:rFonts w:ascii="Times New Roman" w:eastAsia="Times New Roman" w:hAnsi="Times New Roman" w:cs="Times New Roman"/>
                <w:b/>
                <w:bCs/>
                <w:color w:val="000000"/>
                <w:sz w:val="18"/>
                <w:szCs w:val="18"/>
                <w:lang w:eastAsia="pl-PL"/>
              </w:rPr>
              <w:t xml:space="preserve"> opłaty</w:t>
            </w:r>
            <w:r>
              <w:rPr>
                <w:rFonts w:ascii="Times New Roman" w:eastAsia="Times New Roman" w:hAnsi="Times New Roman" w:cs="Times New Roman"/>
                <w:b/>
                <w:bCs/>
                <w:color w:val="000000"/>
                <w:sz w:val="18"/>
                <w:szCs w:val="18"/>
                <w:lang w:eastAsia="pl-PL"/>
              </w:rPr>
              <w:t xml:space="preserve"> oraz </w:t>
            </w:r>
            <w:r w:rsidRPr="00F52240">
              <w:rPr>
                <w:rFonts w:ascii="Times New Roman" w:eastAsia="Times New Roman" w:hAnsi="Times New Roman" w:cs="Times New Roman"/>
                <w:b/>
                <w:bCs/>
                <w:color w:val="000000"/>
                <w:sz w:val="18"/>
                <w:szCs w:val="18"/>
                <w:lang w:eastAsia="pl-PL"/>
              </w:rPr>
              <w:t>opłaty podwyższone</w:t>
            </w: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8CCD17" w14:textId="77777777" w:rsidR="00BE7003" w:rsidRPr="001611DE" w:rsidRDefault="00BE7003" w:rsidP="00056EE7">
            <w:pPr>
              <w:spacing w:after="0" w:line="300" w:lineRule="atLeast"/>
              <w:contextualSpacing/>
              <w:jc w:val="center"/>
              <w:rPr>
                <w:rFonts w:ascii="Times New Roman" w:eastAsia="Times New Roman" w:hAnsi="Times New Roman" w:cs="Times New Roman"/>
                <w:b/>
                <w:bCs/>
                <w:color w:val="000000"/>
                <w:sz w:val="18"/>
                <w:szCs w:val="18"/>
                <w:lang w:eastAsia="pl-PL"/>
              </w:rPr>
            </w:pPr>
            <w:r w:rsidRPr="001611DE">
              <w:rPr>
                <w:rFonts w:ascii="Times New Roman" w:eastAsia="Times New Roman" w:hAnsi="Times New Roman" w:cs="Times New Roman"/>
                <w:b/>
                <w:bCs/>
                <w:color w:val="000000"/>
                <w:sz w:val="18"/>
                <w:szCs w:val="18"/>
                <w:lang w:eastAsia="pl-PL"/>
              </w:rPr>
              <w:t>821</w:t>
            </w:r>
          </w:p>
        </w:tc>
      </w:tr>
      <w:tr w:rsidR="00BE7003" w:rsidRPr="006B7992" w14:paraId="7EBF2CD1" w14:textId="77777777" w:rsidTr="00BE7003">
        <w:tc>
          <w:tcPr>
            <w:tcW w:w="3988" w:type="pct"/>
            <w:tcBorders>
              <w:top w:val="single" w:sz="4" w:space="0" w:color="auto"/>
              <w:left w:val="single" w:sz="8" w:space="0" w:color="auto"/>
              <w:bottom w:val="single" w:sz="8" w:space="0" w:color="auto"/>
              <w:right w:val="single" w:sz="8" w:space="0" w:color="auto"/>
            </w:tcBorders>
            <w:shd w:val="clear" w:color="auto" w:fill="auto"/>
            <w:vAlign w:val="center"/>
            <w:hideMark/>
          </w:tcPr>
          <w:p w14:paraId="5BEC1AD4" w14:textId="77777777" w:rsidR="00BE7003" w:rsidRPr="00F52240" w:rsidRDefault="00BE7003" w:rsidP="00056EE7">
            <w:pPr>
              <w:spacing w:after="0" w:line="300" w:lineRule="atLeast"/>
              <w:contextualSpacing/>
              <w:rPr>
                <w:rFonts w:ascii="Times New Roman" w:eastAsia="Times New Roman" w:hAnsi="Times New Roman" w:cs="Times New Roman"/>
                <w:b/>
                <w:bCs/>
                <w:color w:val="000000"/>
                <w:sz w:val="18"/>
                <w:szCs w:val="18"/>
                <w:lang w:eastAsia="pl-PL"/>
              </w:rPr>
            </w:pPr>
            <w:r w:rsidRPr="00F52240">
              <w:rPr>
                <w:rFonts w:ascii="Times New Roman" w:eastAsia="Times New Roman" w:hAnsi="Times New Roman" w:cs="Times New Roman"/>
                <w:b/>
                <w:bCs/>
                <w:color w:val="000000"/>
                <w:sz w:val="18"/>
                <w:szCs w:val="18"/>
                <w:lang w:eastAsia="pl-PL"/>
              </w:rPr>
              <w:t>Ogółem – decyzje</w:t>
            </w:r>
          </w:p>
        </w:tc>
        <w:tc>
          <w:tcPr>
            <w:tcW w:w="1012" w:type="pct"/>
            <w:tcBorders>
              <w:top w:val="single" w:sz="4" w:space="0" w:color="auto"/>
              <w:left w:val="nil"/>
              <w:bottom w:val="single" w:sz="8" w:space="0" w:color="auto"/>
              <w:right w:val="single" w:sz="8" w:space="0" w:color="auto"/>
            </w:tcBorders>
            <w:shd w:val="clear" w:color="auto" w:fill="auto"/>
            <w:vAlign w:val="center"/>
            <w:hideMark/>
          </w:tcPr>
          <w:p w14:paraId="0BCE271D" w14:textId="77777777" w:rsidR="00BE7003" w:rsidRPr="00F52240" w:rsidRDefault="00BE7003" w:rsidP="00056EE7">
            <w:pPr>
              <w:spacing w:after="0" w:line="300" w:lineRule="atLeast"/>
              <w:contextualSpacing/>
              <w:jc w:val="center"/>
              <w:rPr>
                <w:rFonts w:ascii="Times New Roman" w:eastAsia="Times New Roman" w:hAnsi="Times New Roman" w:cs="Times New Roman"/>
                <w:b/>
                <w:bCs/>
                <w:color w:val="000000"/>
                <w:sz w:val="18"/>
                <w:szCs w:val="18"/>
                <w:lang w:eastAsia="pl-PL"/>
              </w:rPr>
            </w:pPr>
            <w:r w:rsidRPr="00F52240">
              <w:rPr>
                <w:rFonts w:ascii="Times New Roman" w:eastAsia="Times New Roman" w:hAnsi="Times New Roman" w:cs="Times New Roman"/>
                <w:b/>
                <w:bCs/>
                <w:color w:val="000000"/>
                <w:sz w:val="18"/>
                <w:szCs w:val="18"/>
                <w:lang w:eastAsia="pl-PL"/>
              </w:rPr>
              <w:t>4</w:t>
            </w:r>
            <w:r>
              <w:rPr>
                <w:rFonts w:ascii="Times New Roman" w:eastAsia="Times New Roman" w:hAnsi="Times New Roman" w:cs="Times New Roman"/>
                <w:b/>
                <w:bCs/>
                <w:color w:val="000000"/>
                <w:sz w:val="18"/>
                <w:szCs w:val="18"/>
                <w:lang w:eastAsia="pl-PL"/>
              </w:rPr>
              <w:t> </w:t>
            </w:r>
            <w:r w:rsidRPr="00F52240">
              <w:rPr>
                <w:rFonts w:ascii="Times New Roman" w:eastAsia="Times New Roman" w:hAnsi="Times New Roman" w:cs="Times New Roman"/>
                <w:b/>
                <w:bCs/>
                <w:color w:val="000000"/>
                <w:sz w:val="18"/>
                <w:szCs w:val="18"/>
                <w:lang w:eastAsia="pl-PL"/>
              </w:rPr>
              <w:t>655</w:t>
            </w:r>
          </w:p>
        </w:tc>
      </w:tr>
    </w:tbl>
    <w:p w14:paraId="0727515B" w14:textId="71049A70" w:rsidR="00BE7003" w:rsidRPr="007F400A" w:rsidRDefault="00BE7003" w:rsidP="00E3329A">
      <w:pPr>
        <w:tabs>
          <w:tab w:val="left" w:pos="142"/>
        </w:tabs>
        <w:spacing w:line="300" w:lineRule="atLeast"/>
        <w:ind w:firstLine="567"/>
        <w:contextualSpacing/>
        <w:jc w:val="both"/>
        <w:rPr>
          <w:rFonts w:ascii="Times New Roman" w:hAnsi="Times New Roman" w:cs="Times New Roman"/>
          <w:color w:val="000000"/>
          <w:sz w:val="24"/>
          <w:szCs w:val="24"/>
        </w:rPr>
      </w:pPr>
      <w:r w:rsidRPr="007F400A">
        <w:rPr>
          <w:rFonts w:ascii="Times New Roman" w:eastAsia="Times New Roman" w:hAnsi="Times New Roman" w:cs="Times New Roman"/>
          <w:sz w:val="24"/>
          <w:szCs w:val="24"/>
        </w:rPr>
        <w:t xml:space="preserve">Na </w:t>
      </w:r>
      <w:r>
        <w:rPr>
          <w:rFonts w:ascii="Times New Roman" w:eastAsia="Times New Roman" w:hAnsi="Times New Roman" w:cs="Times New Roman"/>
          <w:sz w:val="24"/>
          <w:szCs w:val="24"/>
        </w:rPr>
        <w:t>4 655</w:t>
      </w:r>
      <w:r w:rsidRPr="007F400A">
        <w:rPr>
          <w:rFonts w:ascii="Times New Roman" w:eastAsia="Times New Roman" w:hAnsi="Times New Roman" w:cs="Times New Roman"/>
          <w:sz w:val="24"/>
          <w:szCs w:val="24"/>
        </w:rPr>
        <w:t xml:space="preserve"> decyzji </w:t>
      </w:r>
      <w:r w:rsidRPr="007F400A">
        <w:rPr>
          <w:rFonts w:ascii="Times New Roman" w:eastAsia="Times New Roman" w:hAnsi="Times New Roman" w:cs="Times New Roman"/>
          <w:sz w:val="24"/>
        </w:rPr>
        <w:t>o karach</w:t>
      </w:r>
      <w:r>
        <w:rPr>
          <w:rFonts w:ascii="Times New Roman" w:eastAsia="Times New Roman" w:hAnsi="Times New Roman" w:cs="Times New Roman"/>
          <w:sz w:val="24"/>
        </w:rPr>
        <w:t>,</w:t>
      </w:r>
      <w:r w:rsidRPr="007F400A">
        <w:rPr>
          <w:rFonts w:ascii="Times New Roman" w:eastAsia="Times New Roman" w:hAnsi="Times New Roman" w:cs="Times New Roman"/>
          <w:sz w:val="24"/>
        </w:rPr>
        <w:t xml:space="preserve"> opłatach</w:t>
      </w:r>
      <w:r>
        <w:rPr>
          <w:rFonts w:ascii="Times New Roman" w:eastAsia="Times New Roman" w:hAnsi="Times New Roman" w:cs="Times New Roman"/>
          <w:sz w:val="24"/>
        </w:rPr>
        <w:t xml:space="preserve"> oraz </w:t>
      </w:r>
      <w:r w:rsidRPr="007F400A">
        <w:rPr>
          <w:rFonts w:ascii="Times New Roman" w:eastAsia="Times New Roman" w:hAnsi="Times New Roman" w:cs="Times New Roman"/>
          <w:sz w:val="24"/>
        </w:rPr>
        <w:t xml:space="preserve">opłatach podwyższonych </w:t>
      </w:r>
      <w:r w:rsidRPr="007F400A">
        <w:rPr>
          <w:rFonts w:ascii="Times New Roman" w:eastAsia="Times New Roman" w:hAnsi="Times New Roman" w:cs="Times New Roman"/>
          <w:sz w:val="24"/>
          <w:szCs w:val="24"/>
        </w:rPr>
        <w:t>w 202</w:t>
      </w:r>
      <w:r>
        <w:rPr>
          <w:rFonts w:ascii="Times New Roman" w:eastAsia="Times New Roman" w:hAnsi="Times New Roman" w:cs="Times New Roman"/>
          <w:sz w:val="24"/>
          <w:szCs w:val="24"/>
        </w:rPr>
        <w:t>2</w:t>
      </w:r>
      <w:r w:rsidRPr="007F400A">
        <w:rPr>
          <w:rFonts w:ascii="Times New Roman" w:eastAsia="Times New Roman" w:hAnsi="Times New Roman" w:cs="Times New Roman"/>
          <w:sz w:val="24"/>
          <w:szCs w:val="24"/>
        </w:rPr>
        <w:t xml:space="preserve"> r. najwięcej – </w:t>
      </w:r>
      <w:r>
        <w:rPr>
          <w:rFonts w:ascii="Times New Roman" w:eastAsia="Times New Roman" w:hAnsi="Times New Roman" w:cs="Times New Roman"/>
          <w:sz w:val="24"/>
          <w:szCs w:val="24"/>
        </w:rPr>
        <w:t>1 515</w:t>
      </w:r>
      <w:r w:rsidRPr="007F400A">
        <w:rPr>
          <w:rFonts w:ascii="Times New Roman" w:eastAsia="Times New Roman" w:hAnsi="Times New Roman" w:cs="Times New Roman"/>
          <w:sz w:val="24"/>
          <w:szCs w:val="24"/>
        </w:rPr>
        <w:t> (</w:t>
      </w:r>
      <w:r>
        <w:rPr>
          <w:rFonts w:ascii="Times New Roman" w:eastAsia="Times New Roman" w:hAnsi="Times New Roman" w:cs="Times New Roman"/>
          <w:sz w:val="24"/>
          <w:szCs w:val="24"/>
        </w:rPr>
        <w:t>32</w:t>
      </w:r>
      <w:r w:rsidRPr="007F400A">
        <w:rPr>
          <w:rFonts w:ascii="Times New Roman" w:eastAsia="Times New Roman" w:hAnsi="Times New Roman" w:cs="Times New Roman"/>
          <w:sz w:val="24"/>
          <w:szCs w:val="24"/>
        </w:rPr>
        <w:t xml:space="preserve">,5%) wymierzono za nieprzestrzeganie przepisów ustawy o odpadach, najmniej – </w:t>
      </w:r>
      <w:r>
        <w:rPr>
          <w:rFonts w:ascii="Times New Roman" w:eastAsia="Times New Roman" w:hAnsi="Times New Roman" w:cs="Times New Roman"/>
          <w:sz w:val="24"/>
          <w:szCs w:val="24"/>
        </w:rPr>
        <w:t>2</w:t>
      </w:r>
      <w:r w:rsidRPr="007F400A">
        <w:rPr>
          <w:rFonts w:ascii="Times New Roman" w:eastAsia="Times New Roman" w:hAnsi="Times New Roman" w:cs="Times New Roman"/>
          <w:sz w:val="24"/>
          <w:szCs w:val="24"/>
        </w:rPr>
        <w:t> za </w:t>
      </w:r>
      <w:r w:rsidRPr="00D60A04">
        <w:rPr>
          <w:rFonts w:ascii="Times New Roman" w:eastAsia="Times New Roman" w:hAnsi="Times New Roman" w:cs="Times New Roman"/>
          <w:sz w:val="24"/>
          <w:szCs w:val="24"/>
        </w:rPr>
        <w:t>nieprzestrzeganie przepisów w zakresie przekazywania danych identyfikujących i</w:t>
      </w:r>
      <w:r>
        <w:rPr>
          <w:rFonts w:ascii="Times New Roman" w:eastAsia="Times New Roman" w:hAnsi="Times New Roman" w:cs="Times New Roman"/>
          <w:sz w:val="24"/>
          <w:szCs w:val="24"/>
        </w:rPr>
        <w:t> </w:t>
      </w:r>
      <w:r w:rsidRPr="00D60A04">
        <w:rPr>
          <w:rFonts w:ascii="Times New Roman" w:eastAsia="Times New Roman" w:hAnsi="Times New Roman" w:cs="Times New Roman"/>
          <w:sz w:val="24"/>
          <w:szCs w:val="24"/>
        </w:rPr>
        <w:t>strategicznych map hałasu oraz dotyczących programu ochrony środowiska przed hałasem</w:t>
      </w:r>
      <w:r>
        <w:rPr>
          <w:rFonts w:ascii="Times New Roman" w:eastAsia="Times New Roman" w:hAnsi="Times New Roman" w:cs="Times New Roman"/>
          <w:sz w:val="24"/>
          <w:szCs w:val="24"/>
        </w:rPr>
        <w:t xml:space="preserve">, a także 2 za </w:t>
      </w:r>
      <w:r w:rsidRPr="00D60A04">
        <w:rPr>
          <w:rFonts w:ascii="Times New Roman" w:eastAsia="Times New Roman" w:hAnsi="Times New Roman" w:cs="Times New Roman"/>
          <w:sz w:val="24"/>
          <w:szCs w:val="24"/>
        </w:rPr>
        <w:t>nieprzestrzeganie przepisów ustawy o systemach homologacji typu UE i nadzoru rynku silników spalinowych przeznaczonych do maszyn mobilnych nieporuszających się po</w:t>
      </w:r>
      <w:r>
        <w:rPr>
          <w:rFonts w:ascii="Times New Roman" w:eastAsia="Times New Roman" w:hAnsi="Times New Roman" w:cs="Times New Roman"/>
          <w:sz w:val="24"/>
          <w:szCs w:val="24"/>
        </w:rPr>
        <w:t> </w:t>
      </w:r>
      <w:r w:rsidRPr="00D60A04">
        <w:rPr>
          <w:rFonts w:ascii="Times New Roman" w:eastAsia="Times New Roman" w:hAnsi="Times New Roman" w:cs="Times New Roman"/>
          <w:sz w:val="24"/>
          <w:szCs w:val="24"/>
        </w:rPr>
        <w:t>drogach</w:t>
      </w:r>
      <w:r w:rsidRPr="007F400A">
        <w:rPr>
          <w:rFonts w:ascii="Times New Roman" w:hAnsi="Times New Roman" w:cs="Times New Roman"/>
          <w:color w:val="000000"/>
          <w:sz w:val="24"/>
          <w:szCs w:val="24"/>
        </w:rPr>
        <w:t>.</w:t>
      </w:r>
    </w:p>
    <w:p w14:paraId="431D6739" w14:textId="0A68B441" w:rsidR="00895F16" w:rsidRPr="007F400A" w:rsidRDefault="00BE7003" w:rsidP="00E3329A">
      <w:pPr>
        <w:spacing w:after="0" w:line="300" w:lineRule="atLeast"/>
        <w:ind w:firstLine="567"/>
        <w:jc w:val="both"/>
        <w:rPr>
          <w:rFonts w:ascii="Times New Roman" w:eastAsia="Times New Roman" w:hAnsi="Times New Roman" w:cs="Times New Roman"/>
          <w:sz w:val="24"/>
          <w:szCs w:val="24"/>
          <w:lang w:eastAsia="pl-PL"/>
        </w:rPr>
      </w:pPr>
      <w:r w:rsidRPr="007F400A">
        <w:rPr>
          <w:rFonts w:ascii="Times New Roman" w:eastAsia="Times New Roman" w:hAnsi="Times New Roman" w:cs="Times New Roman"/>
          <w:sz w:val="24"/>
          <w:szCs w:val="24"/>
        </w:rPr>
        <w:t>Liczba wydanych decyzji ostatecznych za przekroczenia ustalonych warunków korzystania ze środowiska w 202</w:t>
      </w:r>
      <w:r>
        <w:rPr>
          <w:rFonts w:ascii="Times New Roman" w:eastAsia="Times New Roman" w:hAnsi="Times New Roman" w:cs="Times New Roman"/>
          <w:sz w:val="24"/>
          <w:szCs w:val="24"/>
        </w:rPr>
        <w:t>2</w:t>
      </w:r>
      <w:r w:rsidRPr="007F400A">
        <w:rPr>
          <w:rFonts w:ascii="Times New Roman" w:eastAsia="Times New Roman" w:hAnsi="Times New Roman" w:cs="Times New Roman"/>
          <w:sz w:val="24"/>
          <w:szCs w:val="24"/>
        </w:rPr>
        <w:t xml:space="preserve"> r. (</w:t>
      </w:r>
      <w:r>
        <w:rPr>
          <w:rFonts w:ascii="Times New Roman" w:eastAsia="Times New Roman" w:hAnsi="Times New Roman" w:cs="Times New Roman"/>
          <w:sz w:val="24"/>
          <w:szCs w:val="24"/>
        </w:rPr>
        <w:t>4 655</w:t>
      </w:r>
      <w:r w:rsidRPr="007F400A">
        <w:rPr>
          <w:rFonts w:ascii="Times New Roman" w:eastAsia="Times New Roman" w:hAnsi="Times New Roman" w:cs="Times New Roman"/>
          <w:sz w:val="24"/>
          <w:szCs w:val="24"/>
        </w:rPr>
        <w:t xml:space="preserve">) wzrosła o </w:t>
      </w:r>
      <w:r>
        <w:rPr>
          <w:rFonts w:ascii="Times New Roman" w:eastAsia="Times New Roman" w:hAnsi="Times New Roman" w:cs="Times New Roman"/>
          <w:sz w:val="24"/>
          <w:szCs w:val="24"/>
        </w:rPr>
        <w:t>1 205</w:t>
      </w:r>
      <w:r w:rsidRPr="007F400A">
        <w:rPr>
          <w:rFonts w:ascii="Times New Roman" w:eastAsia="Times New Roman" w:hAnsi="Times New Roman" w:cs="Times New Roman"/>
          <w:sz w:val="24"/>
          <w:szCs w:val="24"/>
        </w:rPr>
        <w:t xml:space="preserve"> w porównaniu do 202</w:t>
      </w:r>
      <w:r>
        <w:rPr>
          <w:rFonts w:ascii="Times New Roman" w:eastAsia="Times New Roman" w:hAnsi="Times New Roman" w:cs="Times New Roman"/>
          <w:sz w:val="24"/>
          <w:szCs w:val="24"/>
        </w:rPr>
        <w:t>1</w:t>
      </w:r>
      <w:r w:rsidRPr="007F400A">
        <w:rPr>
          <w:rFonts w:ascii="Times New Roman" w:eastAsia="Times New Roman" w:hAnsi="Times New Roman" w:cs="Times New Roman"/>
          <w:sz w:val="24"/>
          <w:szCs w:val="24"/>
        </w:rPr>
        <w:t xml:space="preserve"> roku</w:t>
      </w:r>
      <w:r w:rsidR="00895F16" w:rsidRPr="007F400A">
        <w:rPr>
          <w:rFonts w:ascii="Times New Roman" w:eastAsia="Times New Roman" w:hAnsi="Times New Roman" w:cs="Times New Roman"/>
          <w:sz w:val="24"/>
          <w:szCs w:val="24"/>
          <w:lang w:eastAsia="pl-PL"/>
        </w:rPr>
        <w:t>.</w:t>
      </w:r>
    </w:p>
    <w:p w14:paraId="5A0DD730" w14:textId="77777777" w:rsidR="00895F16" w:rsidRPr="007F400A" w:rsidRDefault="00895F16" w:rsidP="00056EE7">
      <w:pPr>
        <w:spacing w:after="0" w:line="300" w:lineRule="atLeast"/>
        <w:ind w:firstLine="708"/>
        <w:jc w:val="both"/>
        <w:rPr>
          <w:rFonts w:ascii="Times New Roman" w:eastAsia="Times New Roman" w:hAnsi="Times New Roman" w:cs="Times New Roman"/>
          <w:sz w:val="24"/>
          <w:szCs w:val="24"/>
          <w:lang w:eastAsia="pl-PL"/>
        </w:rPr>
      </w:pPr>
    </w:p>
    <w:p w14:paraId="60053257" w14:textId="77777777" w:rsidR="00895F16" w:rsidRPr="007F400A" w:rsidRDefault="00895F16" w:rsidP="00056EE7">
      <w:pPr>
        <w:keepNext/>
        <w:spacing w:after="120" w:line="300" w:lineRule="atLeast"/>
        <w:outlineLvl w:val="0"/>
        <w:rPr>
          <w:rFonts w:ascii="Times New Roman" w:eastAsia="Times New Roman" w:hAnsi="Times New Roman" w:cs="Times New Roman"/>
          <w:b/>
          <w:bCs/>
          <w:sz w:val="24"/>
          <w:szCs w:val="24"/>
          <w:lang w:val="x-none" w:eastAsia="x-none"/>
        </w:rPr>
      </w:pPr>
      <w:bookmarkStart w:id="209" w:name="_Toc5878575"/>
      <w:bookmarkStart w:id="210" w:name="_Toc36732598"/>
      <w:bookmarkStart w:id="211" w:name="_Toc135935636"/>
      <w:r w:rsidRPr="007F400A">
        <w:rPr>
          <w:rFonts w:ascii="Times New Roman" w:eastAsia="Times New Roman" w:hAnsi="Times New Roman" w:cs="Times New Roman"/>
          <w:b/>
          <w:bCs/>
          <w:sz w:val="24"/>
          <w:szCs w:val="24"/>
          <w:lang w:val="x-none" w:eastAsia="x-none"/>
        </w:rPr>
        <w:t xml:space="preserve">4.2.2 </w:t>
      </w:r>
      <w:r w:rsidRPr="007F400A">
        <w:rPr>
          <w:rFonts w:ascii="Times New Roman" w:eastAsia="Times New Roman" w:hAnsi="Times New Roman" w:cs="Times New Roman"/>
          <w:b/>
          <w:bCs/>
          <w:sz w:val="24"/>
          <w:szCs w:val="24"/>
          <w:lang w:eastAsia="x-none"/>
        </w:rPr>
        <w:t>K</w:t>
      </w:r>
      <w:r w:rsidRPr="007F400A">
        <w:rPr>
          <w:rFonts w:ascii="Times New Roman" w:eastAsia="Times New Roman" w:hAnsi="Times New Roman" w:cs="Times New Roman"/>
          <w:b/>
          <w:bCs/>
          <w:sz w:val="24"/>
          <w:szCs w:val="24"/>
          <w:lang w:val="x-none" w:eastAsia="x-none"/>
        </w:rPr>
        <w:t>ar</w:t>
      </w:r>
      <w:r w:rsidRPr="007F400A">
        <w:rPr>
          <w:rFonts w:ascii="Times New Roman" w:eastAsia="Times New Roman" w:hAnsi="Times New Roman" w:cs="Times New Roman"/>
          <w:b/>
          <w:bCs/>
          <w:sz w:val="24"/>
          <w:szCs w:val="24"/>
          <w:lang w:eastAsia="x-none"/>
        </w:rPr>
        <w:t>y</w:t>
      </w:r>
      <w:r w:rsidRPr="007F400A">
        <w:rPr>
          <w:rFonts w:ascii="Times New Roman" w:eastAsia="Times New Roman" w:hAnsi="Times New Roman" w:cs="Times New Roman"/>
          <w:b/>
          <w:bCs/>
          <w:sz w:val="24"/>
          <w:szCs w:val="24"/>
          <w:lang w:val="x-none" w:eastAsia="x-none"/>
        </w:rPr>
        <w:t xml:space="preserve"> biegnąc</w:t>
      </w:r>
      <w:r w:rsidRPr="007F400A">
        <w:rPr>
          <w:rFonts w:ascii="Times New Roman" w:eastAsia="Times New Roman" w:hAnsi="Times New Roman" w:cs="Times New Roman"/>
          <w:b/>
          <w:bCs/>
          <w:sz w:val="24"/>
          <w:szCs w:val="24"/>
          <w:lang w:eastAsia="x-none"/>
        </w:rPr>
        <w:t>e</w:t>
      </w:r>
      <w:bookmarkEnd w:id="209"/>
      <w:bookmarkEnd w:id="210"/>
      <w:bookmarkEnd w:id="211"/>
    </w:p>
    <w:p w14:paraId="5C613B69" w14:textId="77777777" w:rsidR="00BE7003" w:rsidRPr="007F400A" w:rsidRDefault="00BE7003" w:rsidP="00056EE7">
      <w:pPr>
        <w:spacing w:line="300" w:lineRule="atLeast"/>
        <w:jc w:val="center"/>
        <w:rPr>
          <w:rFonts w:ascii="Times New Roman" w:hAnsi="Times New Roman" w:cs="Times New Roman"/>
          <w:b/>
        </w:rPr>
      </w:pPr>
      <w:r w:rsidRPr="007F400A">
        <w:rPr>
          <w:rFonts w:ascii="Times New Roman" w:hAnsi="Times New Roman" w:cs="Times New Roman"/>
          <w:b/>
        </w:rPr>
        <w:t xml:space="preserve">Tabela </w:t>
      </w:r>
      <w:r>
        <w:rPr>
          <w:rFonts w:ascii="Times New Roman" w:hAnsi="Times New Roman" w:cs="Times New Roman"/>
          <w:b/>
        </w:rPr>
        <w:t>8</w:t>
      </w:r>
      <w:r w:rsidRPr="007F400A">
        <w:rPr>
          <w:rFonts w:ascii="Times New Roman" w:hAnsi="Times New Roman" w:cs="Times New Roman"/>
          <w:b/>
        </w:rPr>
        <w:t>. Kary biegnące</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25"/>
        <w:gridCol w:w="1842"/>
      </w:tblGrid>
      <w:tr w:rsidR="00BE7003" w:rsidRPr="00417B22" w14:paraId="17003BB3" w14:textId="77777777" w:rsidTr="00BE7003">
        <w:tc>
          <w:tcPr>
            <w:tcW w:w="7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311625" w14:textId="77777777" w:rsidR="00BE7003" w:rsidRPr="00B7658E" w:rsidRDefault="00BE7003" w:rsidP="00056EE7">
            <w:pPr>
              <w:spacing w:after="0" w:line="300" w:lineRule="atLeast"/>
              <w:rPr>
                <w:rFonts w:ascii="Times New Roman" w:eastAsia="Times New Roman" w:hAnsi="Times New Roman" w:cs="Times New Roman"/>
                <w:b/>
                <w:bCs/>
                <w:sz w:val="18"/>
                <w:szCs w:val="18"/>
              </w:rPr>
            </w:pPr>
            <w:r w:rsidRPr="00B7658E">
              <w:rPr>
                <w:rFonts w:ascii="Times New Roman" w:eastAsia="Times New Roman" w:hAnsi="Times New Roman" w:cs="Times New Roman"/>
                <w:b/>
                <w:bCs/>
                <w:sz w:val="18"/>
                <w:szCs w:val="18"/>
              </w:rPr>
              <w:t>Kary za:</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2B4B9B" w14:textId="77777777" w:rsidR="00BE7003" w:rsidRPr="00B7658E" w:rsidRDefault="00BE7003" w:rsidP="00056EE7">
            <w:pPr>
              <w:spacing w:after="0" w:line="300" w:lineRule="atLeast"/>
              <w:jc w:val="center"/>
              <w:rPr>
                <w:rFonts w:ascii="Times New Roman" w:hAnsi="Times New Roman" w:cs="Times New Roman"/>
                <w:b/>
                <w:sz w:val="18"/>
                <w:szCs w:val="18"/>
              </w:rPr>
            </w:pPr>
            <w:r w:rsidRPr="00B7658E">
              <w:rPr>
                <w:rFonts w:ascii="Times New Roman" w:hAnsi="Times New Roman" w:cs="Times New Roman"/>
                <w:b/>
                <w:sz w:val="18"/>
                <w:szCs w:val="18"/>
              </w:rPr>
              <w:t>Liczba wydanych decyzji</w:t>
            </w:r>
          </w:p>
        </w:tc>
      </w:tr>
      <w:tr w:rsidR="00BE7003" w:rsidRPr="00417B22" w14:paraId="52287BE0" w14:textId="77777777" w:rsidTr="00BE7003">
        <w:tc>
          <w:tcPr>
            <w:tcW w:w="7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FEF2F4" w14:textId="77777777" w:rsidR="00BE7003" w:rsidRPr="003D4F33" w:rsidRDefault="00BE7003" w:rsidP="00056EE7">
            <w:pPr>
              <w:spacing w:after="0" w:line="300" w:lineRule="atLeast"/>
              <w:rPr>
                <w:rFonts w:ascii="Times New Roman" w:eastAsia="Times New Roman" w:hAnsi="Times New Roman" w:cs="Times New Roman"/>
                <w:bCs/>
                <w:sz w:val="18"/>
                <w:szCs w:val="18"/>
              </w:rPr>
            </w:pPr>
            <w:r w:rsidRPr="003D4F33">
              <w:rPr>
                <w:rFonts w:ascii="Times New Roman" w:eastAsia="Times New Roman" w:hAnsi="Times New Roman" w:cs="Times New Roman"/>
                <w:bCs/>
                <w:sz w:val="18"/>
                <w:szCs w:val="18"/>
              </w:rPr>
              <w:t>przekroczenie dopuszczalnego poziomu hałasu</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BB6BEF" w14:textId="77777777" w:rsidR="00BE7003" w:rsidRPr="001611DE" w:rsidRDefault="00BE7003" w:rsidP="00056EE7">
            <w:pPr>
              <w:spacing w:after="0" w:line="300" w:lineRule="atLeast"/>
              <w:jc w:val="center"/>
              <w:rPr>
                <w:rFonts w:ascii="Times New Roman" w:hAnsi="Times New Roman" w:cs="Times New Roman"/>
                <w:sz w:val="18"/>
                <w:szCs w:val="18"/>
              </w:rPr>
            </w:pPr>
            <w:r w:rsidRPr="001611DE">
              <w:rPr>
                <w:rFonts w:ascii="Times New Roman" w:hAnsi="Times New Roman" w:cs="Times New Roman"/>
                <w:sz w:val="18"/>
                <w:szCs w:val="18"/>
              </w:rPr>
              <w:t>132</w:t>
            </w:r>
          </w:p>
        </w:tc>
      </w:tr>
      <w:tr w:rsidR="00BE7003" w:rsidRPr="00417B22" w14:paraId="2CC916B0" w14:textId="77777777" w:rsidTr="00BE7003">
        <w:tc>
          <w:tcPr>
            <w:tcW w:w="7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252839" w14:textId="77777777" w:rsidR="00BE7003" w:rsidRPr="003D4F33" w:rsidRDefault="00BE7003" w:rsidP="00056EE7">
            <w:pPr>
              <w:spacing w:after="0" w:line="300" w:lineRule="atLeast"/>
              <w:rPr>
                <w:rFonts w:ascii="Times New Roman" w:eastAsia="Times New Roman" w:hAnsi="Times New Roman" w:cs="Times New Roman"/>
                <w:bCs/>
                <w:sz w:val="18"/>
                <w:szCs w:val="18"/>
              </w:rPr>
            </w:pPr>
            <w:r w:rsidRPr="003D4F33">
              <w:rPr>
                <w:rFonts w:ascii="Times New Roman" w:eastAsia="Times New Roman" w:hAnsi="Times New Roman" w:cs="Times New Roman"/>
                <w:bCs/>
                <w:sz w:val="18"/>
                <w:szCs w:val="18"/>
              </w:rPr>
              <w:t>przekroczenie dopuszczalnej ilości lub rodzaju gazów i pyłów wprowadzanych do</w:t>
            </w:r>
            <w:r>
              <w:rPr>
                <w:rFonts w:ascii="Times New Roman" w:eastAsia="Times New Roman" w:hAnsi="Times New Roman" w:cs="Times New Roman"/>
                <w:bCs/>
                <w:sz w:val="18"/>
                <w:szCs w:val="18"/>
              </w:rPr>
              <w:t xml:space="preserve"> </w:t>
            </w:r>
            <w:r w:rsidRPr="003D4F33">
              <w:rPr>
                <w:rFonts w:ascii="Times New Roman" w:eastAsia="Times New Roman" w:hAnsi="Times New Roman" w:cs="Times New Roman"/>
                <w:bCs/>
                <w:sz w:val="18"/>
                <w:szCs w:val="18"/>
              </w:rPr>
              <w:t>powietrza</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850979" w14:textId="77777777" w:rsidR="00BE7003" w:rsidRPr="001611DE" w:rsidRDefault="00BE7003" w:rsidP="00056EE7">
            <w:pPr>
              <w:spacing w:after="0" w:line="300" w:lineRule="atLeast"/>
              <w:jc w:val="center"/>
              <w:rPr>
                <w:rFonts w:ascii="Times New Roman" w:hAnsi="Times New Roman" w:cs="Times New Roman"/>
                <w:sz w:val="18"/>
                <w:szCs w:val="18"/>
              </w:rPr>
            </w:pPr>
            <w:r w:rsidRPr="001611DE">
              <w:rPr>
                <w:rFonts w:ascii="Times New Roman" w:hAnsi="Times New Roman" w:cs="Times New Roman"/>
                <w:sz w:val="18"/>
                <w:szCs w:val="18"/>
              </w:rPr>
              <w:t>28</w:t>
            </w:r>
          </w:p>
        </w:tc>
      </w:tr>
      <w:tr w:rsidR="00BE7003" w:rsidRPr="00417B22" w14:paraId="2B56CDA2" w14:textId="77777777" w:rsidTr="00BE7003">
        <w:tc>
          <w:tcPr>
            <w:tcW w:w="7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782C77" w14:textId="77777777" w:rsidR="00BE7003" w:rsidRPr="003D4F33" w:rsidRDefault="00BE7003" w:rsidP="00056EE7">
            <w:pPr>
              <w:spacing w:after="0" w:line="300" w:lineRule="atLeast"/>
              <w:rPr>
                <w:rFonts w:ascii="Times New Roman" w:eastAsia="Times New Roman" w:hAnsi="Times New Roman" w:cs="Times New Roman"/>
                <w:bCs/>
                <w:sz w:val="18"/>
                <w:szCs w:val="18"/>
              </w:rPr>
            </w:pPr>
            <w:r w:rsidRPr="003D4F33">
              <w:rPr>
                <w:rFonts w:ascii="Times New Roman" w:eastAsia="Times New Roman" w:hAnsi="Times New Roman" w:cs="Times New Roman"/>
                <w:bCs/>
                <w:sz w:val="18"/>
                <w:szCs w:val="18"/>
              </w:rPr>
              <w:t>składowanie i magazynowanie odpadów</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4E927E" w14:textId="77777777" w:rsidR="00BE7003" w:rsidRPr="001611DE" w:rsidRDefault="00BE7003" w:rsidP="00056EE7">
            <w:pPr>
              <w:spacing w:after="0" w:line="300" w:lineRule="atLeast"/>
              <w:jc w:val="center"/>
              <w:rPr>
                <w:rFonts w:ascii="Times New Roman" w:hAnsi="Times New Roman" w:cs="Times New Roman"/>
                <w:sz w:val="18"/>
                <w:szCs w:val="18"/>
              </w:rPr>
            </w:pPr>
            <w:r w:rsidRPr="001611DE">
              <w:rPr>
                <w:rFonts w:ascii="Times New Roman" w:hAnsi="Times New Roman" w:cs="Times New Roman"/>
                <w:sz w:val="18"/>
                <w:szCs w:val="18"/>
              </w:rPr>
              <w:t>4</w:t>
            </w:r>
          </w:p>
        </w:tc>
      </w:tr>
      <w:tr w:rsidR="00BE7003" w:rsidRPr="00417B22" w14:paraId="168E455E" w14:textId="77777777" w:rsidTr="00BE7003">
        <w:tc>
          <w:tcPr>
            <w:tcW w:w="7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1B7BDF" w14:textId="77777777" w:rsidR="00BE7003" w:rsidRPr="00B7658E" w:rsidRDefault="00BE7003" w:rsidP="00056EE7">
            <w:pPr>
              <w:spacing w:after="0" w:line="300" w:lineRule="atLeast"/>
              <w:rPr>
                <w:rFonts w:ascii="Times New Roman" w:eastAsia="Times New Roman" w:hAnsi="Times New Roman" w:cs="Times New Roman"/>
                <w:b/>
                <w:bCs/>
                <w:sz w:val="18"/>
                <w:szCs w:val="18"/>
              </w:rPr>
            </w:pPr>
            <w:r w:rsidRPr="00B7658E">
              <w:rPr>
                <w:rFonts w:ascii="Times New Roman" w:eastAsia="Times New Roman" w:hAnsi="Times New Roman" w:cs="Times New Roman"/>
                <w:b/>
                <w:bCs/>
                <w:sz w:val="18"/>
                <w:szCs w:val="18"/>
              </w:rPr>
              <w:t>Ogółem</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6BE073" w14:textId="77777777" w:rsidR="00BE7003" w:rsidRPr="00B7658E" w:rsidRDefault="00BE7003" w:rsidP="00056EE7">
            <w:pPr>
              <w:spacing w:after="0" w:line="300" w:lineRule="atLeast"/>
              <w:jc w:val="center"/>
              <w:rPr>
                <w:rFonts w:ascii="Times New Roman" w:hAnsi="Times New Roman" w:cs="Times New Roman"/>
                <w:b/>
                <w:sz w:val="18"/>
                <w:szCs w:val="18"/>
              </w:rPr>
            </w:pPr>
            <w:r w:rsidRPr="00B7658E">
              <w:rPr>
                <w:rFonts w:ascii="Times New Roman" w:hAnsi="Times New Roman" w:cs="Times New Roman"/>
                <w:b/>
                <w:sz w:val="18"/>
                <w:szCs w:val="18"/>
              </w:rPr>
              <w:t>164</w:t>
            </w:r>
          </w:p>
        </w:tc>
      </w:tr>
    </w:tbl>
    <w:p w14:paraId="643307CA" w14:textId="6B07D35B" w:rsidR="00895F16" w:rsidRPr="007F400A" w:rsidRDefault="00BE7003" w:rsidP="00056EE7">
      <w:pPr>
        <w:tabs>
          <w:tab w:val="left" w:pos="142"/>
        </w:tabs>
        <w:spacing w:before="120" w:after="200" w:line="300" w:lineRule="atLeast"/>
        <w:ind w:firstLine="567"/>
        <w:contextualSpacing/>
        <w:jc w:val="both"/>
        <w:rPr>
          <w:rFonts w:ascii="Times New Roman" w:eastAsia="Times New Roman" w:hAnsi="Times New Roman" w:cs="Times New Roman"/>
          <w:bCs/>
          <w:sz w:val="24"/>
          <w:szCs w:val="20"/>
          <w:lang w:eastAsia="pl-PL"/>
        </w:rPr>
      </w:pPr>
      <w:r w:rsidRPr="007F400A">
        <w:rPr>
          <w:rFonts w:ascii="Times New Roman" w:hAnsi="Times New Roman" w:cs="Times New Roman"/>
          <w:sz w:val="24"/>
          <w:szCs w:val="24"/>
        </w:rPr>
        <w:t xml:space="preserve">Na </w:t>
      </w:r>
      <w:r>
        <w:rPr>
          <w:rFonts w:ascii="Times New Roman" w:hAnsi="Times New Roman" w:cs="Times New Roman"/>
          <w:sz w:val="24"/>
          <w:szCs w:val="24"/>
        </w:rPr>
        <w:t>164</w:t>
      </w:r>
      <w:r w:rsidRPr="007F400A">
        <w:rPr>
          <w:rFonts w:ascii="Times New Roman" w:hAnsi="Times New Roman" w:cs="Times New Roman"/>
          <w:sz w:val="24"/>
          <w:szCs w:val="24"/>
        </w:rPr>
        <w:t xml:space="preserve"> decyzj</w:t>
      </w:r>
      <w:r>
        <w:rPr>
          <w:rFonts w:ascii="Times New Roman" w:hAnsi="Times New Roman" w:cs="Times New Roman"/>
          <w:sz w:val="24"/>
          <w:szCs w:val="24"/>
        </w:rPr>
        <w:t>e</w:t>
      </w:r>
      <w:r w:rsidRPr="007F400A">
        <w:rPr>
          <w:rFonts w:ascii="Times New Roman" w:hAnsi="Times New Roman" w:cs="Times New Roman"/>
          <w:sz w:val="24"/>
          <w:szCs w:val="24"/>
        </w:rPr>
        <w:t xml:space="preserve"> dotycząc</w:t>
      </w:r>
      <w:r>
        <w:rPr>
          <w:rFonts w:ascii="Times New Roman" w:hAnsi="Times New Roman" w:cs="Times New Roman"/>
          <w:sz w:val="24"/>
          <w:szCs w:val="24"/>
        </w:rPr>
        <w:t>e</w:t>
      </w:r>
      <w:r w:rsidRPr="007F400A">
        <w:rPr>
          <w:rFonts w:ascii="Times New Roman" w:hAnsi="Times New Roman" w:cs="Times New Roman"/>
          <w:sz w:val="24"/>
          <w:szCs w:val="24"/>
        </w:rPr>
        <w:t xml:space="preserve"> kar biegnących - </w:t>
      </w:r>
      <w:r>
        <w:rPr>
          <w:rFonts w:ascii="Times New Roman" w:hAnsi="Times New Roman" w:cs="Times New Roman"/>
          <w:sz w:val="24"/>
          <w:szCs w:val="24"/>
        </w:rPr>
        <w:t>132</w:t>
      </w:r>
      <w:r w:rsidRPr="007F400A">
        <w:rPr>
          <w:rFonts w:ascii="Times New Roman" w:hAnsi="Times New Roman" w:cs="Times New Roman"/>
          <w:sz w:val="24"/>
          <w:szCs w:val="24"/>
        </w:rPr>
        <w:t xml:space="preserve"> (</w:t>
      </w:r>
      <w:r>
        <w:rPr>
          <w:rFonts w:ascii="Times New Roman" w:hAnsi="Times New Roman" w:cs="Times New Roman"/>
          <w:sz w:val="24"/>
          <w:szCs w:val="24"/>
        </w:rPr>
        <w:t>80</w:t>
      </w:r>
      <w:r w:rsidRPr="007F400A">
        <w:rPr>
          <w:rFonts w:ascii="Times New Roman" w:hAnsi="Times New Roman" w:cs="Times New Roman"/>
          <w:sz w:val="24"/>
          <w:szCs w:val="24"/>
        </w:rPr>
        <w:t xml:space="preserve">%) wydano za przekroczenie dopuszczalnego poziomu emisji hałasu, a tylko </w:t>
      </w:r>
      <w:r>
        <w:rPr>
          <w:rFonts w:ascii="Times New Roman" w:hAnsi="Times New Roman" w:cs="Times New Roman"/>
          <w:sz w:val="24"/>
          <w:szCs w:val="24"/>
        </w:rPr>
        <w:t>4</w:t>
      </w:r>
      <w:r w:rsidRPr="007F400A">
        <w:rPr>
          <w:rFonts w:ascii="Times New Roman" w:hAnsi="Times New Roman" w:cs="Times New Roman"/>
          <w:sz w:val="24"/>
          <w:szCs w:val="24"/>
        </w:rPr>
        <w:t xml:space="preserve"> decyzje za </w:t>
      </w:r>
      <w:r w:rsidRPr="007F400A">
        <w:rPr>
          <w:rFonts w:ascii="Times New Roman" w:eastAsia="Times New Roman" w:hAnsi="Times New Roman" w:cs="Times New Roman"/>
          <w:bCs/>
          <w:sz w:val="24"/>
          <w:szCs w:val="24"/>
        </w:rPr>
        <w:t>składowanie lub magazynowanie odpadów</w:t>
      </w:r>
      <w:r w:rsidRPr="007F400A">
        <w:rPr>
          <w:rFonts w:ascii="Times New Roman" w:hAnsi="Times New Roman" w:cs="Times New Roman"/>
          <w:sz w:val="24"/>
          <w:szCs w:val="24"/>
        </w:rPr>
        <w:t>.</w:t>
      </w:r>
      <w:r w:rsidRPr="007F400A">
        <w:rPr>
          <w:rFonts w:ascii="Times New Roman" w:eastAsia="Times New Roman" w:hAnsi="Times New Roman" w:cs="Times New Roman"/>
          <w:bCs/>
          <w:sz w:val="24"/>
        </w:rPr>
        <w:t xml:space="preserve"> Liczba wydanych decyzji dotyczących kar biegnących w porównaniu do 202</w:t>
      </w:r>
      <w:r>
        <w:rPr>
          <w:rFonts w:ascii="Times New Roman" w:eastAsia="Times New Roman" w:hAnsi="Times New Roman" w:cs="Times New Roman"/>
          <w:bCs/>
          <w:sz w:val="24"/>
        </w:rPr>
        <w:t>1</w:t>
      </w:r>
      <w:r w:rsidRPr="007F400A">
        <w:rPr>
          <w:rFonts w:ascii="Times New Roman" w:eastAsia="Times New Roman" w:hAnsi="Times New Roman" w:cs="Times New Roman"/>
          <w:bCs/>
          <w:sz w:val="24"/>
        </w:rPr>
        <w:t xml:space="preserve"> r. </w:t>
      </w:r>
      <w:r>
        <w:rPr>
          <w:rFonts w:ascii="Times New Roman" w:eastAsia="Times New Roman" w:hAnsi="Times New Roman" w:cs="Times New Roman"/>
          <w:bCs/>
          <w:sz w:val="24"/>
        </w:rPr>
        <w:t>wzrosła</w:t>
      </w:r>
      <w:r w:rsidRPr="007F400A">
        <w:rPr>
          <w:rFonts w:ascii="Times New Roman" w:eastAsia="Times New Roman" w:hAnsi="Times New Roman" w:cs="Times New Roman"/>
          <w:bCs/>
          <w:sz w:val="24"/>
        </w:rPr>
        <w:t xml:space="preserve"> o </w:t>
      </w:r>
      <w:r>
        <w:rPr>
          <w:rFonts w:ascii="Times New Roman" w:eastAsia="Times New Roman" w:hAnsi="Times New Roman" w:cs="Times New Roman"/>
          <w:bCs/>
          <w:color w:val="000000" w:themeColor="text1"/>
          <w:sz w:val="24"/>
        </w:rPr>
        <w:t>55</w:t>
      </w:r>
      <w:r w:rsidR="00895F16" w:rsidRPr="007F400A">
        <w:rPr>
          <w:rFonts w:ascii="Times New Roman" w:eastAsia="Times New Roman" w:hAnsi="Times New Roman" w:cs="Times New Roman"/>
          <w:bCs/>
          <w:color w:val="000000" w:themeColor="text1"/>
          <w:sz w:val="24"/>
          <w:szCs w:val="20"/>
          <w:lang w:eastAsia="pl-PL"/>
        </w:rPr>
        <w:t>.</w:t>
      </w:r>
      <w:bookmarkStart w:id="212" w:name="_Toc5878576"/>
      <w:bookmarkStart w:id="213" w:name="_Toc36732599"/>
    </w:p>
    <w:p w14:paraId="14BEADE5" w14:textId="7FDDA150" w:rsidR="000C5409" w:rsidRDefault="000C5409" w:rsidP="00056EE7">
      <w:pPr>
        <w:spacing w:after="0" w:line="300" w:lineRule="atLeast"/>
        <w:rPr>
          <w:rFonts w:ascii="Times New Roman" w:eastAsia="Times New Roman" w:hAnsi="Times New Roman" w:cs="Times New Roman"/>
          <w:bCs/>
          <w:sz w:val="24"/>
          <w:szCs w:val="20"/>
          <w:lang w:eastAsia="pl-PL"/>
        </w:rPr>
      </w:pPr>
    </w:p>
    <w:p w14:paraId="7221F80A" w14:textId="457373F3" w:rsidR="00895F16" w:rsidRPr="007F400A" w:rsidRDefault="00895F16" w:rsidP="00056EE7">
      <w:pPr>
        <w:keepNext/>
        <w:spacing w:after="120" w:line="300" w:lineRule="atLeast"/>
        <w:jc w:val="both"/>
        <w:outlineLvl w:val="0"/>
        <w:rPr>
          <w:rFonts w:ascii="Times New Roman" w:eastAsia="Times New Roman" w:hAnsi="Times New Roman" w:cs="Times New Roman"/>
          <w:b/>
          <w:sz w:val="24"/>
          <w:szCs w:val="24"/>
          <w:lang w:val="x-none" w:eastAsia="x-none"/>
        </w:rPr>
      </w:pPr>
      <w:bookmarkStart w:id="214" w:name="_Toc135935637"/>
      <w:r w:rsidRPr="007F400A">
        <w:rPr>
          <w:rFonts w:ascii="Times New Roman" w:eastAsia="Times New Roman" w:hAnsi="Times New Roman" w:cs="Times New Roman"/>
          <w:b/>
          <w:sz w:val="24"/>
          <w:szCs w:val="24"/>
          <w:lang w:val="x-none" w:eastAsia="x-none"/>
        </w:rPr>
        <w:t>4.2.3 Kary za okres trwania naruszenia, kary za inne naruszenia</w:t>
      </w:r>
      <w:bookmarkEnd w:id="212"/>
      <w:bookmarkEnd w:id="213"/>
      <w:r w:rsidR="00BE7003">
        <w:rPr>
          <w:rFonts w:ascii="Times New Roman" w:eastAsia="Times New Roman" w:hAnsi="Times New Roman" w:cs="Times New Roman"/>
          <w:b/>
          <w:sz w:val="24"/>
          <w:szCs w:val="24"/>
          <w:lang w:eastAsia="x-none"/>
        </w:rPr>
        <w:t>,</w:t>
      </w:r>
      <w:r w:rsidRPr="007F400A">
        <w:rPr>
          <w:rFonts w:ascii="Times New Roman" w:eastAsia="Times New Roman" w:hAnsi="Times New Roman" w:cs="Times New Roman"/>
          <w:b/>
          <w:sz w:val="24"/>
          <w:szCs w:val="24"/>
          <w:lang w:val="x-none" w:eastAsia="x-none"/>
        </w:rPr>
        <w:t xml:space="preserve"> opłaty</w:t>
      </w:r>
      <w:r w:rsidR="00BE7003">
        <w:rPr>
          <w:rFonts w:ascii="Times New Roman" w:eastAsia="Times New Roman" w:hAnsi="Times New Roman" w:cs="Times New Roman"/>
          <w:b/>
          <w:sz w:val="24"/>
          <w:szCs w:val="24"/>
          <w:lang w:eastAsia="x-none"/>
        </w:rPr>
        <w:t xml:space="preserve"> oraz </w:t>
      </w:r>
      <w:r w:rsidRPr="007F400A">
        <w:rPr>
          <w:rFonts w:ascii="Times New Roman" w:eastAsia="Times New Roman" w:hAnsi="Times New Roman" w:cs="Times New Roman"/>
          <w:b/>
          <w:sz w:val="24"/>
          <w:szCs w:val="24"/>
          <w:lang w:eastAsia="x-none"/>
        </w:rPr>
        <w:t>opłaty</w:t>
      </w:r>
      <w:r w:rsidRPr="007F400A">
        <w:rPr>
          <w:rFonts w:ascii="Times New Roman" w:eastAsia="Times New Roman" w:hAnsi="Times New Roman" w:cs="Times New Roman"/>
          <w:b/>
          <w:sz w:val="24"/>
          <w:szCs w:val="24"/>
          <w:lang w:val="x-none" w:eastAsia="x-none"/>
        </w:rPr>
        <w:t xml:space="preserve"> podwyższone</w:t>
      </w:r>
      <w:bookmarkEnd w:id="214"/>
    </w:p>
    <w:p w14:paraId="16EAB1C3" w14:textId="77777777" w:rsidR="00BE7003" w:rsidRDefault="00BE7003" w:rsidP="00056EE7">
      <w:pPr>
        <w:spacing w:line="300" w:lineRule="atLeast"/>
        <w:jc w:val="center"/>
        <w:rPr>
          <w:rFonts w:ascii="Times New Roman" w:hAnsi="Times New Roman" w:cs="Times New Roman"/>
          <w:b/>
        </w:rPr>
      </w:pPr>
      <w:r w:rsidRPr="007F400A">
        <w:rPr>
          <w:rFonts w:ascii="Times New Roman" w:hAnsi="Times New Roman" w:cs="Times New Roman"/>
          <w:b/>
        </w:rPr>
        <w:t xml:space="preserve">Tabela </w:t>
      </w:r>
      <w:r>
        <w:rPr>
          <w:rFonts w:ascii="Times New Roman" w:hAnsi="Times New Roman" w:cs="Times New Roman"/>
          <w:b/>
        </w:rPr>
        <w:t>9</w:t>
      </w:r>
      <w:r w:rsidRPr="007F400A">
        <w:rPr>
          <w:rFonts w:ascii="Times New Roman" w:hAnsi="Times New Roman" w:cs="Times New Roman"/>
          <w:b/>
        </w:rPr>
        <w:t>. Kary za okres trwania naruszenia, kary za inne naruszenia</w:t>
      </w:r>
      <w:r>
        <w:rPr>
          <w:rFonts w:ascii="Times New Roman" w:hAnsi="Times New Roman" w:cs="Times New Roman"/>
          <w:b/>
        </w:rPr>
        <w:t>,</w:t>
      </w:r>
      <w:r w:rsidRPr="007F400A">
        <w:rPr>
          <w:rFonts w:ascii="Times New Roman" w:hAnsi="Times New Roman" w:cs="Times New Roman"/>
          <w:b/>
        </w:rPr>
        <w:t xml:space="preserve"> opłaty</w:t>
      </w:r>
      <w:r>
        <w:rPr>
          <w:rFonts w:ascii="Times New Roman" w:hAnsi="Times New Roman" w:cs="Times New Roman"/>
          <w:b/>
        </w:rPr>
        <w:t xml:space="preserve"> oraz </w:t>
      </w:r>
      <w:r w:rsidRPr="007F400A">
        <w:rPr>
          <w:rFonts w:ascii="Times New Roman" w:hAnsi="Times New Roman" w:cs="Times New Roman"/>
          <w:b/>
        </w:rPr>
        <w:t>opłaty podwyższone</w:t>
      </w:r>
      <w:r w:rsidRPr="007F400A">
        <w:rPr>
          <w:rFonts w:ascii="Times New Roman" w:hAnsi="Times New Roman" w:cs="Times New Roman"/>
          <w:b/>
          <w:vertAlign w:val="superscript"/>
        </w:rPr>
        <w:footnoteReference w:id="48"/>
      </w:r>
    </w:p>
    <w:tbl>
      <w:tblPr>
        <w:tblW w:w="5008" w:type="pct"/>
        <w:tblInd w:w="-5" w:type="dxa"/>
        <w:tblCellMar>
          <w:left w:w="70" w:type="dxa"/>
          <w:right w:w="70" w:type="dxa"/>
        </w:tblCellMar>
        <w:tblLook w:val="04A0" w:firstRow="1" w:lastRow="0" w:firstColumn="1" w:lastColumn="0" w:noHBand="0" w:noVBand="1"/>
      </w:tblPr>
      <w:tblGrid>
        <w:gridCol w:w="5937"/>
        <w:gridCol w:w="1316"/>
        <w:gridCol w:w="1813"/>
      </w:tblGrid>
      <w:tr w:rsidR="00BE7003" w:rsidRPr="00DB7C69" w14:paraId="146253A4" w14:textId="77777777" w:rsidTr="009001FB">
        <w:tc>
          <w:tcPr>
            <w:tcW w:w="3274"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4B245AE" w14:textId="77777777" w:rsidR="00BE7003" w:rsidRPr="00DB7C69" w:rsidRDefault="00BE7003" w:rsidP="00056EE7">
            <w:pPr>
              <w:spacing w:after="0" w:line="300" w:lineRule="atLeast"/>
              <w:rPr>
                <w:rFonts w:ascii="Times New Roman" w:eastAsia="Times New Roman" w:hAnsi="Times New Roman" w:cs="Times New Roman"/>
                <w:b/>
                <w:bCs/>
                <w:color w:val="000000"/>
                <w:sz w:val="18"/>
                <w:szCs w:val="18"/>
                <w:lang w:eastAsia="pl-PL"/>
              </w:rPr>
            </w:pPr>
            <w:r w:rsidRPr="00DB7C69">
              <w:rPr>
                <w:rFonts w:ascii="Times New Roman" w:eastAsia="Times New Roman" w:hAnsi="Times New Roman" w:cs="Times New Roman"/>
                <w:b/>
                <w:bCs/>
                <w:color w:val="000000"/>
                <w:sz w:val="18"/>
                <w:szCs w:val="18"/>
                <w:lang w:eastAsia="pl-PL"/>
              </w:rPr>
              <w:t>Kary za:</w:t>
            </w:r>
          </w:p>
        </w:tc>
        <w:tc>
          <w:tcPr>
            <w:tcW w:w="726" w:type="pct"/>
            <w:tcBorders>
              <w:top w:val="single" w:sz="8" w:space="0" w:color="auto"/>
              <w:left w:val="nil"/>
              <w:bottom w:val="single" w:sz="8" w:space="0" w:color="auto"/>
              <w:right w:val="single" w:sz="8" w:space="0" w:color="auto"/>
            </w:tcBorders>
            <w:shd w:val="clear" w:color="auto" w:fill="auto"/>
            <w:vAlign w:val="center"/>
            <w:hideMark/>
          </w:tcPr>
          <w:p w14:paraId="0627F4C3" w14:textId="77777777" w:rsidR="00BE7003" w:rsidRPr="00DB7C69" w:rsidRDefault="00BE7003" w:rsidP="00056EE7">
            <w:pPr>
              <w:spacing w:after="0" w:line="300" w:lineRule="atLeast"/>
              <w:jc w:val="center"/>
              <w:rPr>
                <w:rFonts w:ascii="Times New Roman" w:eastAsia="Times New Roman" w:hAnsi="Times New Roman" w:cs="Times New Roman"/>
                <w:b/>
                <w:bCs/>
                <w:color w:val="000000"/>
                <w:sz w:val="18"/>
                <w:szCs w:val="18"/>
                <w:lang w:eastAsia="pl-PL"/>
              </w:rPr>
            </w:pPr>
            <w:r w:rsidRPr="00DB7C69">
              <w:rPr>
                <w:rFonts w:ascii="Times New Roman" w:eastAsia="Times New Roman" w:hAnsi="Times New Roman" w:cs="Times New Roman"/>
                <w:b/>
                <w:bCs/>
                <w:color w:val="000000"/>
                <w:sz w:val="18"/>
                <w:szCs w:val="18"/>
                <w:lang w:eastAsia="pl-PL"/>
              </w:rPr>
              <w:t>Liczba wydanych decyzji</w:t>
            </w:r>
          </w:p>
        </w:tc>
        <w:tc>
          <w:tcPr>
            <w:tcW w:w="1000" w:type="pct"/>
            <w:tcBorders>
              <w:top w:val="single" w:sz="8" w:space="0" w:color="auto"/>
              <w:left w:val="nil"/>
              <w:bottom w:val="single" w:sz="8" w:space="0" w:color="auto"/>
              <w:right w:val="single" w:sz="8" w:space="0" w:color="auto"/>
            </w:tcBorders>
            <w:shd w:val="clear" w:color="auto" w:fill="auto"/>
            <w:vAlign w:val="center"/>
            <w:hideMark/>
          </w:tcPr>
          <w:p w14:paraId="45E59A6E" w14:textId="77777777" w:rsidR="00BE7003" w:rsidRPr="00DB7C69" w:rsidRDefault="00BE7003" w:rsidP="00056EE7">
            <w:pPr>
              <w:spacing w:after="0" w:line="300" w:lineRule="atLeast"/>
              <w:jc w:val="center"/>
              <w:rPr>
                <w:rFonts w:ascii="Times New Roman" w:eastAsia="Times New Roman" w:hAnsi="Times New Roman" w:cs="Times New Roman"/>
                <w:b/>
                <w:bCs/>
                <w:color w:val="000000"/>
                <w:sz w:val="18"/>
                <w:szCs w:val="18"/>
                <w:lang w:eastAsia="pl-PL"/>
              </w:rPr>
            </w:pPr>
            <w:r w:rsidRPr="00DB7C69">
              <w:rPr>
                <w:rFonts w:ascii="Times New Roman" w:eastAsia="Times New Roman" w:hAnsi="Times New Roman" w:cs="Times New Roman"/>
                <w:b/>
                <w:bCs/>
                <w:color w:val="000000"/>
                <w:sz w:val="18"/>
                <w:szCs w:val="18"/>
                <w:lang w:eastAsia="pl-PL"/>
              </w:rPr>
              <w:t>Kwota [zł]</w:t>
            </w:r>
          </w:p>
        </w:tc>
      </w:tr>
      <w:tr w:rsidR="00BE7003" w:rsidRPr="00DB7C69" w14:paraId="7ED9545C" w14:textId="77777777" w:rsidTr="009001FB">
        <w:tc>
          <w:tcPr>
            <w:tcW w:w="3274" w:type="pct"/>
            <w:tcBorders>
              <w:top w:val="nil"/>
              <w:left w:val="single" w:sz="8" w:space="0" w:color="auto"/>
              <w:bottom w:val="single" w:sz="8" w:space="0" w:color="auto"/>
              <w:right w:val="single" w:sz="8" w:space="0" w:color="auto"/>
            </w:tcBorders>
            <w:shd w:val="clear" w:color="auto" w:fill="auto"/>
            <w:vAlign w:val="center"/>
            <w:hideMark/>
          </w:tcPr>
          <w:p w14:paraId="1B2F80B7" w14:textId="77777777" w:rsidR="00BE7003" w:rsidRPr="00DB7C69" w:rsidRDefault="00BE7003" w:rsidP="00056EE7">
            <w:pPr>
              <w:spacing w:after="0" w:line="300" w:lineRule="atLeast"/>
              <w:rPr>
                <w:rFonts w:ascii="Times New Roman" w:eastAsia="Times New Roman" w:hAnsi="Times New Roman" w:cs="Times New Roman"/>
                <w:color w:val="000000"/>
                <w:sz w:val="18"/>
                <w:szCs w:val="18"/>
                <w:lang w:eastAsia="pl-PL"/>
              </w:rPr>
            </w:pPr>
            <w:r w:rsidRPr="00DB7C69">
              <w:rPr>
                <w:rFonts w:ascii="Times New Roman" w:eastAsia="Times New Roman" w:hAnsi="Times New Roman" w:cs="Times New Roman"/>
                <w:color w:val="000000"/>
                <w:sz w:val="18"/>
                <w:szCs w:val="18"/>
                <w:lang w:eastAsia="pl-PL"/>
              </w:rPr>
              <w:t>nieprzestrzeganie przepisów ustawy o odpadach</w:t>
            </w:r>
            <w:r>
              <w:rPr>
                <w:rStyle w:val="Odwoanieprzypisudolnego"/>
                <w:color w:val="000000"/>
                <w:sz w:val="18"/>
                <w:szCs w:val="18"/>
                <w:lang w:eastAsia="pl-PL"/>
              </w:rPr>
              <w:footnoteReference w:id="49"/>
            </w:r>
          </w:p>
        </w:tc>
        <w:tc>
          <w:tcPr>
            <w:tcW w:w="726" w:type="pct"/>
            <w:tcBorders>
              <w:top w:val="nil"/>
              <w:left w:val="nil"/>
              <w:bottom w:val="single" w:sz="8" w:space="0" w:color="auto"/>
              <w:right w:val="single" w:sz="8" w:space="0" w:color="auto"/>
            </w:tcBorders>
            <w:shd w:val="clear" w:color="auto" w:fill="auto"/>
            <w:vAlign w:val="center"/>
            <w:hideMark/>
          </w:tcPr>
          <w:p w14:paraId="0869A08F" w14:textId="77777777" w:rsidR="00BE7003" w:rsidRPr="001611DE" w:rsidRDefault="00BE7003"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1</w:t>
            </w:r>
            <w:r>
              <w:rPr>
                <w:rFonts w:ascii="Times New Roman" w:eastAsia="Times New Roman" w:hAnsi="Times New Roman" w:cs="Times New Roman"/>
                <w:color w:val="000000"/>
                <w:sz w:val="18"/>
                <w:szCs w:val="18"/>
                <w:lang w:eastAsia="pl-PL"/>
              </w:rPr>
              <w:t> </w:t>
            </w:r>
            <w:r w:rsidRPr="001611DE">
              <w:rPr>
                <w:rFonts w:ascii="Times New Roman" w:eastAsia="Times New Roman" w:hAnsi="Times New Roman" w:cs="Times New Roman"/>
                <w:color w:val="000000"/>
                <w:sz w:val="18"/>
                <w:szCs w:val="18"/>
                <w:lang w:eastAsia="pl-PL"/>
              </w:rPr>
              <w:t>493</w:t>
            </w:r>
          </w:p>
        </w:tc>
        <w:tc>
          <w:tcPr>
            <w:tcW w:w="1000" w:type="pct"/>
            <w:tcBorders>
              <w:top w:val="nil"/>
              <w:left w:val="nil"/>
              <w:bottom w:val="single" w:sz="8" w:space="0" w:color="auto"/>
              <w:right w:val="single" w:sz="8" w:space="0" w:color="auto"/>
            </w:tcBorders>
            <w:shd w:val="clear" w:color="auto" w:fill="auto"/>
            <w:vAlign w:val="center"/>
            <w:hideMark/>
          </w:tcPr>
          <w:p w14:paraId="57414AA4" w14:textId="77777777" w:rsidR="00BE7003" w:rsidRPr="00D53600" w:rsidRDefault="00BE7003" w:rsidP="00056EE7">
            <w:pPr>
              <w:spacing w:after="0" w:line="300" w:lineRule="atLeast"/>
              <w:jc w:val="right"/>
              <w:rPr>
                <w:rFonts w:ascii="Times New Roman" w:eastAsia="Times New Roman" w:hAnsi="Times New Roman" w:cs="Times New Roman"/>
                <w:color w:val="000000"/>
                <w:sz w:val="18"/>
                <w:szCs w:val="18"/>
                <w:lang w:eastAsia="pl-PL"/>
              </w:rPr>
            </w:pPr>
            <w:r w:rsidRPr="00D53600">
              <w:rPr>
                <w:rFonts w:ascii="Times New Roman" w:eastAsia="Times New Roman" w:hAnsi="Times New Roman" w:cs="Times New Roman"/>
                <w:color w:val="000000"/>
                <w:sz w:val="18"/>
                <w:szCs w:val="18"/>
                <w:lang w:eastAsia="pl-PL"/>
              </w:rPr>
              <w:t>11 890 339,60 zł</w:t>
            </w:r>
          </w:p>
        </w:tc>
      </w:tr>
      <w:tr w:rsidR="00BE7003" w:rsidRPr="00DB7C69" w14:paraId="7F0C9846" w14:textId="77777777" w:rsidTr="009001FB">
        <w:tc>
          <w:tcPr>
            <w:tcW w:w="3274" w:type="pct"/>
            <w:tcBorders>
              <w:top w:val="nil"/>
              <w:left w:val="single" w:sz="8" w:space="0" w:color="auto"/>
              <w:bottom w:val="single" w:sz="8" w:space="0" w:color="auto"/>
              <w:right w:val="single" w:sz="8" w:space="0" w:color="auto"/>
            </w:tcBorders>
            <w:shd w:val="clear" w:color="auto" w:fill="auto"/>
            <w:vAlign w:val="center"/>
          </w:tcPr>
          <w:p w14:paraId="72864501" w14:textId="77777777" w:rsidR="00BE7003" w:rsidRPr="00DB7C69" w:rsidRDefault="00BE7003" w:rsidP="00056EE7">
            <w:pPr>
              <w:spacing w:after="0" w:line="300" w:lineRule="atLeast"/>
              <w:rPr>
                <w:rFonts w:ascii="Times New Roman" w:eastAsia="Times New Roman" w:hAnsi="Times New Roman" w:cs="Times New Roman"/>
                <w:color w:val="000000"/>
                <w:sz w:val="18"/>
                <w:szCs w:val="18"/>
                <w:lang w:eastAsia="pl-PL"/>
              </w:rPr>
            </w:pPr>
            <w:bookmarkStart w:id="215" w:name="_Hlk128649177"/>
            <w:r w:rsidRPr="00DB7C69">
              <w:rPr>
                <w:rFonts w:ascii="Times New Roman" w:eastAsia="Times New Roman" w:hAnsi="Times New Roman" w:cs="Times New Roman"/>
                <w:color w:val="000000"/>
                <w:sz w:val="18"/>
                <w:szCs w:val="18"/>
                <w:lang w:eastAsia="pl-PL"/>
              </w:rPr>
              <w:lastRenderedPageBreak/>
              <w:t>nieprzestrzeganie przepisów w zakresie ustawy o utrzymaniu czystości i</w:t>
            </w:r>
            <w:r>
              <w:rPr>
                <w:rFonts w:ascii="Times New Roman" w:eastAsia="Times New Roman" w:hAnsi="Times New Roman" w:cs="Times New Roman"/>
                <w:color w:val="000000"/>
                <w:sz w:val="18"/>
                <w:szCs w:val="18"/>
                <w:lang w:eastAsia="pl-PL"/>
              </w:rPr>
              <w:t> </w:t>
            </w:r>
            <w:r w:rsidRPr="00DB7C69">
              <w:rPr>
                <w:rFonts w:ascii="Times New Roman" w:eastAsia="Times New Roman" w:hAnsi="Times New Roman" w:cs="Times New Roman"/>
                <w:color w:val="000000"/>
                <w:sz w:val="18"/>
                <w:szCs w:val="18"/>
                <w:lang w:eastAsia="pl-PL"/>
              </w:rPr>
              <w:t>porządku w gminach</w:t>
            </w:r>
            <w:bookmarkEnd w:id="215"/>
          </w:p>
        </w:tc>
        <w:tc>
          <w:tcPr>
            <w:tcW w:w="726" w:type="pct"/>
            <w:tcBorders>
              <w:top w:val="nil"/>
              <w:left w:val="nil"/>
              <w:bottom w:val="single" w:sz="8" w:space="0" w:color="auto"/>
              <w:right w:val="single" w:sz="8" w:space="0" w:color="auto"/>
            </w:tcBorders>
            <w:shd w:val="clear" w:color="auto" w:fill="auto"/>
            <w:vAlign w:val="center"/>
          </w:tcPr>
          <w:p w14:paraId="241233AC" w14:textId="77777777" w:rsidR="00BE7003" w:rsidRPr="001611DE" w:rsidRDefault="00BE7003"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823</w:t>
            </w:r>
          </w:p>
        </w:tc>
        <w:tc>
          <w:tcPr>
            <w:tcW w:w="1000" w:type="pct"/>
            <w:tcBorders>
              <w:top w:val="nil"/>
              <w:left w:val="nil"/>
              <w:bottom w:val="single" w:sz="8" w:space="0" w:color="auto"/>
              <w:right w:val="single" w:sz="8" w:space="0" w:color="auto"/>
            </w:tcBorders>
            <w:shd w:val="clear" w:color="auto" w:fill="auto"/>
            <w:vAlign w:val="center"/>
          </w:tcPr>
          <w:p w14:paraId="69550E25" w14:textId="77777777" w:rsidR="00BE7003" w:rsidRPr="00D53600" w:rsidRDefault="00BE7003" w:rsidP="00056EE7">
            <w:pPr>
              <w:spacing w:after="0" w:line="300" w:lineRule="atLeast"/>
              <w:jc w:val="right"/>
              <w:rPr>
                <w:rFonts w:ascii="Times New Roman" w:eastAsia="Times New Roman" w:hAnsi="Times New Roman" w:cs="Times New Roman"/>
                <w:color w:val="000000"/>
                <w:sz w:val="18"/>
                <w:szCs w:val="18"/>
                <w:lang w:eastAsia="pl-PL"/>
              </w:rPr>
            </w:pPr>
            <w:bookmarkStart w:id="216" w:name="_Hlk128649156"/>
            <w:r w:rsidRPr="00D53600">
              <w:rPr>
                <w:rFonts w:ascii="Times New Roman" w:eastAsia="Times New Roman" w:hAnsi="Times New Roman" w:cs="Times New Roman"/>
                <w:color w:val="000000"/>
                <w:sz w:val="18"/>
                <w:szCs w:val="18"/>
                <w:lang w:eastAsia="pl-PL"/>
              </w:rPr>
              <w:t>13 989 310,00 zł</w:t>
            </w:r>
            <w:bookmarkEnd w:id="216"/>
          </w:p>
        </w:tc>
      </w:tr>
      <w:tr w:rsidR="00BE7003" w:rsidRPr="00DB7C69" w14:paraId="1F8AEA2C" w14:textId="77777777" w:rsidTr="009001FB">
        <w:tc>
          <w:tcPr>
            <w:tcW w:w="3274" w:type="pct"/>
            <w:tcBorders>
              <w:top w:val="nil"/>
              <w:left w:val="single" w:sz="8" w:space="0" w:color="auto"/>
              <w:bottom w:val="single" w:sz="8" w:space="0" w:color="auto"/>
              <w:right w:val="single" w:sz="8" w:space="0" w:color="auto"/>
            </w:tcBorders>
            <w:shd w:val="clear" w:color="auto" w:fill="auto"/>
            <w:vAlign w:val="center"/>
            <w:hideMark/>
          </w:tcPr>
          <w:p w14:paraId="213AB8C8" w14:textId="77777777" w:rsidR="00BE7003" w:rsidRPr="00DB7C69" w:rsidRDefault="00BE7003" w:rsidP="00056EE7">
            <w:pPr>
              <w:spacing w:after="0" w:line="300" w:lineRule="atLeast"/>
              <w:rPr>
                <w:rFonts w:ascii="Times New Roman" w:eastAsia="Times New Roman" w:hAnsi="Times New Roman" w:cs="Times New Roman"/>
                <w:color w:val="000000"/>
                <w:sz w:val="18"/>
                <w:szCs w:val="18"/>
                <w:lang w:eastAsia="pl-PL"/>
              </w:rPr>
            </w:pPr>
            <w:r w:rsidRPr="00DB7C69">
              <w:rPr>
                <w:rFonts w:ascii="Times New Roman" w:eastAsia="Times New Roman" w:hAnsi="Times New Roman" w:cs="Times New Roman"/>
                <w:color w:val="000000"/>
                <w:sz w:val="18"/>
                <w:szCs w:val="18"/>
                <w:lang w:eastAsia="pl-PL"/>
              </w:rPr>
              <w:t>nieprzestrzeganie przepisów o substancjach zubożających warstwę ozonową oraz o niektórych fluorowanych gazach cieplarnianych</w:t>
            </w:r>
            <w:r w:rsidRPr="005D2B3D">
              <w:rPr>
                <w:rStyle w:val="Odwoanieprzypisudolnego"/>
                <w:color w:val="000000"/>
                <w:sz w:val="18"/>
                <w:szCs w:val="18"/>
                <w:lang w:eastAsia="pl-PL"/>
              </w:rPr>
              <w:footnoteReference w:id="50"/>
            </w:r>
          </w:p>
        </w:tc>
        <w:tc>
          <w:tcPr>
            <w:tcW w:w="726" w:type="pct"/>
            <w:tcBorders>
              <w:top w:val="nil"/>
              <w:left w:val="nil"/>
              <w:bottom w:val="single" w:sz="8" w:space="0" w:color="auto"/>
              <w:right w:val="single" w:sz="8" w:space="0" w:color="auto"/>
            </w:tcBorders>
            <w:shd w:val="clear" w:color="auto" w:fill="auto"/>
            <w:vAlign w:val="center"/>
            <w:hideMark/>
          </w:tcPr>
          <w:p w14:paraId="64CF942A" w14:textId="77777777" w:rsidR="00BE7003" w:rsidRPr="001611DE" w:rsidRDefault="00BE7003"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336</w:t>
            </w:r>
          </w:p>
        </w:tc>
        <w:tc>
          <w:tcPr>
            <w:tcW w:w="1000" w:type="pct"/>
            <w:tcBorders>
              <w:top w:val="nil"/>
              <w:left w:val="nil"/>
              <w:bottom w:val="single" w:sz="8" w:space="0" w:color="auto"/>
              <w:right w:val="single" w:sz="8" w:space="0" w:color="auto"/>
            </w:tcBorders>
            <w:shd w:val="clear" w:color="auto" w:fill="auto"/>
            <w:vAlign w:val="center"/>
            <w:hideMark/>
          </w:tcPr>
          <w:p w14:paraId="0A74025A" w14:textId="77777777" w:rsidR="00BE7003" w:rsidRPr="00D53600" w:rsidRDefault="00BE7003" w:rsidP="00056EE7">
            <w:pPr>
              <w:spacing w:after="0" w:line="300" w:lineRule="atLeast"/>
              <w:jc w:val="right"/>
              <w:rPr>
                <w:rFonts w:ascii="Times New Roman" w:eastAsia="Times New Roman" w:hAnsi="Times New Roman" w:cs="Times New Roman"/>
                <w:color w:val="000000"/>
                <w:sz w:val="18"/>
                <w:szCs w:val="18"/>
                <w:lang w:eastAsia="pl-PL"/>
              </w:rPr>
            </w:pPr>
            <w:r w:rsidRPr="00D53600">
              <w:rPr>
                <w:rFonts w:ascii="Times New Roman" w:eastAsia="Times New Roman" w:hAnsi="Times New Roman" w:cs="Times New Roman"/>
                <w:color w:val="000000"/>
                <w:sz w:val="18"/>
                <w:szCs w:val="18"/>
                <w:lang w:eastAsia="pl-PL"/>
              </w:rPr>
              <w:t>1 122 050,00 zł</w:t>
            </w:r>
          </w:p>
        </w:tc>
      </w:tr>
      <w:tr w:rsidR="00BE7003" w:rsidRPr="00DB7C69" w14:paraId="4075309F" w14:textId="77777777" w:rsidTr="009001FB">
        <w:tc>
          <w:tcPr>
            <w:tcW w:w="3274" w:type="pct"/>
            <w:tcBorders>
              <w:top w:val="nil"/>
              <w:left w:val="single" w:sz="8" w:space="0" w:color="auto"/>
              <w:bottom w:val="single" w:sz="8" w:space="0" w:color="auto"/>
              <w:right w:val="single" w:sz="8" w:space="0" w:color="auto"/>
            </w:tcBorders>
            <w:shd w:val="clear" w:color="auto" w:fill="auto"/>
            <w:vAlign w:val="center"/>
          </w:tcPr>
          <w:p w14:paraId="2F466BA8" w14:textId="77777777" w:rsidR="00BE7003" w:rsidRPr="00DB7C69" w:rsidRDefault="00BE7003" w:rsidP="00056EE7">
            <w:pPr>
              <w:spacing w:after="0" w:line="300" w:lineRule="atLeast"/>
              <w:rPr>
                <w:rFonts w:ascii="Times New Roman" w:eastAsia="Times New Roman" w:hAnsi="Times New Roman" w:cs="Times New Roman"/>
                <w:color w:val="000000"/>
                <w:sz w:val="18"/>
                <w:szCs w:val="18"/>
                <w:lang w:eastAsia="pl-PL"/>
              </w:rPr>
            </w:pPr>
            <w:r w:rsidRPr="00DB7C69">
              <w:rPr>
                <w:rFonts w:ascii="Times New Roman" w:eastAsia="Times New Roman" w:hAnsi="Times New Roman" w:cs="Times New Roman"/>
                <w:color w:val="000000"/>
                <w:sz w:val="18"/>
                <w:szCs w:val="18"/>
                <w:lang w:eastAsia="pl-PL"/>
              </w:rPr>
              <w:t>przekroczenie dopuszczalnego poziomu hałasu</w:t>
            </w:r>
          </w:p>
        </w:tc>
        <w:tc>
          <w:tcPr>
            <w:tcW w:w="726" w:type="pct"/>
            <w:tcBorders>
              <w:top w:val="nil"/>
              <w:left w:val="nil"/>
              <w:bottom w:val="single" w:sz="8" w:space="0" w:color="auto"/>
              <w:right w:val="single" w:sz="8" w:space="0" w:color="auto"/>
            </w:tcBorders>
            <w:shd w:val="clear" w:color="auto" w:fill="auto"/>
            <w:vAlign w:val="center"/>
          </w:tcPr>
          <w:p w14:paraId="3B9CE56C" w14:textId="77777777" w:rsidR="00BE7003" w:rsidRPr="001611DE" w:rsidRDefault="00BE7003"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109</w:t>
            </w:r>
          </w:p>
        </w:tc>
        <w:tc>
          <w:tcPr>
            <w:tcW w:w="1000" w:type="pct"/>
            <w:tcBorders>
              <w:top w:val="nil"/>
              <w:left w:val="nil"/>
              <w:bottom w:val="single" w:sz="8" w:space="0" w:color="auto"/>
              <w:right w:val="single" w:sz="8" w:space="0" w:color="auto"/>
            </w:tcBorders>
            <w:shd w:val="clear" w:color="auto" w:fill="auto"/>
            <w:vAlign w:val="center"/>
          </w:tcPr>
          <w:p w14:paraId="0D1A2E77" w14:textId="77777777" w:rsidR="00BE7003" w:rsidRPr="00D53600" w:rsidRDefault="00BE7003" w:rsidP="00056EE7">
            <w:pPr>
              <w:spacing w:after="0" w:line="300" w:lineRule="atLeast"/>
              <w:jc w:val="right"/>
              <w:rPr>
                <w:rFonts w:ascii="Times New Roman" w:eastAsia="Times New Roman" w:hAnsi="Times New Roman" w:cs="Times New Roman"/>
                <w:color w:val="000000"/>
                <w:sz w:val="18"/>
                <w:szCs w:val="18"/>
                <w:lang w:eastAsia="pl-PL"/>
              </w:rPr>
            </w:pPr>
            <w:r w:rsidRPr="00D53600">
              <w:rPr>
                <w:rFonts w:ascii="Times New Roman" w:eastAsia="Times New Roman" w:hAnsi="Times New Roman" w:cs="Times New Roman"/>
                <w:color w:val="000000"/>
                <w:sz w:val="18"/>
                <w:szCs w:val="18"/>
                <w:lang w:eastAsia="pl-PL"/>
              </w:rPr>
              <w:t xml:space="preserve">2 131 372,37 zł </w:t>
            </w:r>
          </w:p>
        </w:tc>
      </w:tr>
      <w:tr w:rsidR="00BE7003" w:rsidRPr="00DB7C69" w14:paraId="374C09F8" w14:textId="77777777" w:rsidTr="009001FB">
        <w:tc>
          <w:tcPr>
            <w:tcW w:w="3274" w:type="pct"/>
            <w:tcBorders>
              <w:top w:val="nil"/>
              <w:left w:val="single" w:sz="8" w:space="0" w:color="auto"/>
              <w:bottom w:val="single" w:sz="8" w:space="0" w:color="auto"/>
              <w:right w:val="single" w:sz="8" w:space="0" w:color="auto"/>
            </w:tcBorders>
            <w:shd w:val="clear" w:color="auto" w:fill="auto"/>
            <w:vAlign w:val="center"/>
          </w:tcPr>
          <w:p w14:paraId="6AD70FBD" w14:textId="77777777" w:rsidR="00BE7003" w:rsidRPr="00DB7C69" w:rsidRDefault="00BE7003" w:rsidP="00056EE7">
            <w:pPr>
              <w:spacing w:after="0" w:line="300" w:lineRule="atLeast"/>
              <w:rPr>
                <w:rFonts w:ascii="Times New Roman" w:eastAsia="Times New Roman" w:hAnsi="Times New Roman" w:cs="Times New Roman"/>
                <w:color w:val="000000"/>
                <w:sz w:val="18"/>
                <w:szCs w:val="18"/>
                <w:lang w:eastAsia="pl-PL"/>
              </w:rPr>
            </w:pPr>
            <w:r w:rsidRPr="00DB7C69">
              <w:rPr>
                <w:rFonts w:ascii="Times New Roman" w:eastAsia="Times New Roman" w:hAnsi="Times New Roman" w:cs="Times New Roman"/>
                <w:color w:val="000000"/>
                <w:sz w:val="18"/>
                <w:szCs w:val="18"/>
                <w:lang w:eastAsia="pl-PL"/>
              </w:rPr>
              <w:t>nieprzestrzeganie przepisów w zakresie recyklingu pojazdów wycofanych z</w:t>
            </w:r>
            <w:r>
              <w:rPr>
                <w:rFonts w:ascii="Times New Roman" w:eastAsia="Times New Roman" w:hAnsi="Times New Roman" w:cs="Times New Roman"/>
                <w:color w:val="000000"/>
                <w:sz w:val="18"/>
                <w:szCs w:val="18"/>
                <w:lang w:eastAsia="pl-PL"/>
              </w:rPr>
              <w:t> </w:t>
            </w:r>
            <w:r w:rsidRPr="00DB7C69">
              <w:rPr>
                <w:rFonts w:ascii="Times New Roman" w:eastAsia="Times New Roman" w:hAnsi="Times New Roman" w:cs="Times New Roman"/>
                <w:color w:val="000000"/>
                <w:sz w:val="18"/>
                <w:szCs w:val="18"/>
                <w:lang w:eastAsia="pl-PL"/>
              </w:rPr>
              <w:t>eksploatacji</w:t>
            </w:r>
          </w:p>
        </w:tc>
        <w:tc>
          <w:tcPr>
            <w:tcW w:w="726" w:type="pct"/>
            <w:tcBorders>
              <w:top w:val="nil"/>
              <w:left w:val="nil"/>
              <w:bottom w:val="single" w:sz="8" w:space="0" w:color="auto"/>
              <w:right w:val="single" w:sz="8" w:space="0" w:color="auto"/>
            </w:tcBorders>
            <w:shd w:val="clear" w:color="auto" w:fill="auto"/>
            <w:vAlign w:val="center"/>
          </w:tcPr>
          <w:p w14:paraId="5783A68B" w14:textId="77777777" w:rsidR="00BE7003" w:rsidRPr="001611DE" w:rsidRDefault="00BE7003"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91</w:t>
            </w:r>
          </w:p>
        </w:tc>
        <w:tc>
          <w:tcPr>
            <w:tcW w:w="1000" w:type="pct"/>
            <w:tcBorders>
              <w:top w:val="nil"/>
              <w:left w:val="nil"/>
              <w:bottom w:val="single" w:sz="8" w:space="0" w:color="auto"/>
              <w:right w:val="single" w:sz="8" w:space="0" w:color="auto"/>
            </w:tcBorders>
            <w:shd w:val="clear" w:color="auto" w:fill="auto"/>
            <w:vAlign w:val="center"/>
          </w:tcPr>
          <w:p w14:paraId="7098F716" w14:textId="77777777" w:rsidR="00BE7003" w:rsidRPr="00D53600" w:rsidRDefault="00BE7003" w:rsidP="00056EE7">
            <w:pPr>
              <w:spacing w:after="0" w:line="300" w:lineRule="atLeast"/>
              <w:jc w:val="right"/>
              <w:rPr>
                <w:rFonts w:ascii="Times New Roman" w:eastAsia="Times New Roman" w:hAnsi="Times New Roman" w:cs="Times New Roman"/>
                <w:color w:val="000000"/>
                <w:sz w:val="18"/>
                <w:szCs w:val="18"/>
                <w:lang w:eastAsia="pl-PL"/>
              </w:rPr>
            </w:pPr>
            <w:r w:rsidRPr="00D53600">
              <w:rPr>
                <w:rFonts w:ascii="Times New Roman" w:eastAsia="Times New Roman" w:hAnsi="Times New Roman" w:cs="Times New Roman"/>
                <w:color w:val="000000"/>
                <w:sz w:val="18"/>
                <w:szCs w:val="18"/>
                <w:lang w:eastAsia="pl-PL"/>
              </w:rPr>
              <w:t xml:space="preserve">2 354 500,00 zł </w:t>
            </w:r>
          </w:p>
        </w:tc>
      </w:tr>
      <w:tr w:rsidR="00BE7003" w:rsidRPr="00DB7C69" w14:paraId="00D02CEB" w14:textId="77777777" w:rsidTr="009001FB">
        <w:tc>
          <w:tcPr>
            <w:tcW w:w="3274" w:type="pct"/>
            <w:tcBorders>
              <w:top w:val="nil"/>
              <w:left w:val="single" w:sz="8" w:space="0" w:color="auto"/>
              <w:bottom w:val="single" w:sz="8" w:space="0" w:color="auto"/>
              <w:right w:val="single" w:sz="8" w:space="0" w:color="auto"/>
            </w:tcBorders>
            <w:shd w:val="clear" w:color="auto" w:fill="auto"/>
            <w:vAlign w:val="center"/>
          </w:tcPr>
          <w:p w14:paraId="7B27360C" w14:textId="77777777" w:rsidR="00BE7003" w:rsidRPr="00DB7C69" w:rsidRDefault="00BE7003" w:rsidP="00056EE7">
            <w:pPr>
              <w:spacing w:after="0" w:line="300" w:lineRule="atLeast"/>
              <w:rPr>
                <w:rFonts w:ascii="Times New Roman" w:eastAsia="Times New Roman" w:hAnsi="Times New Roman" w:cs="Times New Roman"/>
                <w:color w:val="000000"/>
                <w:sz w:val="18"/>
                <w:szCs w:val="18"/>
                <w:lang w:eastAsia="pl-PL"/>
              </w:rPr>
            </w:pPr>
            <w:r w:rsidRPr="00DB7C69">
              <w:rPr>
                <w:rFonts w:ascii="Times New Roman" w:eastAsia="Times New Roman" w:hAnsi="Times New Roman" w:cs="Times New Roman"/>
                <w:color w:val="000000"/>
                <w:sz w:val="18"/>
                <w:szCs w:val="18"/>
                <w:lang w:eastAsia="pl-PL"/>
              </w:rPr>
              <w:t>przekroczenie dopuszczalnej ilości lub rodzaju gazów i pyłów wprowadzanych do powietrza</w:t>
            </w:r>
          </w:p>
        </w:tc>
        <w:tc>
          <w:tcPr>
            <w:tcW w:w="726" w:type="pct"/>
            <w:tcBorders>
              <w:top w:val="nil"/>
              <w:left w:val="nil"/>
              <w:bottom w:val="single" w:sz="8" w:space="0" w:color="auto"/>
              <w:right w:val="single" w:sz="8" w:space="0" w:color="auto"/>
            </w:tcBorders>
            <w:shd w:val="clear" w:color="auto" w:fill="auto"/>
            <w:vAlign w:val="center"/>
          </w:tcPr>
          <w:p w14:paraId="2A516B16" w14:textId="77777777" w:rsidR="00BE7003" w:rsidRPr="001611DE" w:rsidRDefault="00BE7003"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38</w:t>
            </w:r>
          </w:p>
        </w:tc>
        <w:tc>
          <w:tcPr>
            <w:tcW w:w="1000" w:type="pct"/>
            <w:tcBorders>
              <w:top w:val="nil"/>
              <w:left w:val="nil"/>
              <w:bottom w:val="single" w:sz="8" w:space="0" w:color="auto"/>
              <w:right w:val="single" w:sz="8" w:space="0" w:color="auto"/>
            </w:tcBorders>
            <w:shd w:val="clear" w:color="auto" w:fill="auto"/>
            <w:vAlign w:val="center"/>
          </w:tcPr>
          <w:p w14:paraId="1086073B" w14:textId="77777777" w:rsidR="00BE7003" w:rsidRPr="00D53600" w:rsidRDefault="00BE7003" w:rsidP="00056EE7">
            <w:pPr>
              <w:spacing w:after="0" w:line="300" w:lineRule="atLeast"/>
              <w:jc w:val="right"/>
              <w:rPr>
                <w:rFonts w:ascii="Times New Roman" w:eastAsia="Times New Roman" w:hAnsi="Times New Roman" w:cs="Times New Roman"/>
                <w:color w:val="000000"/>
                <w:sz w:val="18"/>
                <w:szCs w:val="18"/>
                <w:lang w:eastAsia="pl-PL"/>
              </w:rPr>
            </w:pPr>
            <w:r w:rsidRPr="00D53600">
              <w:rPr>
                <w:rFonts w:ascii="Times New Roman" w:eastAsia="Times New Roman" w:hAnsi="Times New Roman" w:cs="Times New Roman"/>
                <w:color w:val="000000"/>
                <w:sz w:val="18"/>
                <w:szCs w:val="18"/>
                <w:lang w:eastAsia="pl-PL"/>
              </w:rPr>
              <w:t xml:space="preserve">7 148 734,45 zł </w:t>
            </w:r>
          </w:p>
        </w:tc>
      </w:tr>
      <w:tr w:rsidR="00BE7003" w:rsidRPr="00DB7C69" w14:paraId="0141036B" w14:textId="77777777" w:rsidTr="009001FB">
        <w:tc>
          <w:tcPr>
            <w:tcW w:w="3274" w:type="pct"/>
            <w:tcBorders>
              <w:top w:val="nil"/>
              <w:left w:val="single" w:sz="8" w:space="0" w:color="auto"/>
              <w:bottom w:val="single" w:sz="8" w:space="0" w:color="auto"/>
              <w:right w:val="single" w:sz="8" w:space="0" w:color="auto"/>
            </w:tcBorders>
            <w:shd w:val="clear" w:color="auto" w:fill="auto"/>
            <w:vAlign w:val="center"/>
          </w:tcPr>
          <w:p w14:paraId="4D57D59D" w14:textId="77777777" w:rsidR="00BE7003" w:rsidRPr="00DB7C69" w:rsidRDefault="00BE7003" w:rsidP="00056EE7">
            <w:pPr>
              <w:spacing w:after="0" w:line="300" w:lineRule="atLeast"/>
              <w:rPr>
                <w:rFonts w:ascii="Times New Roman" w:eastAsia="Times New Roman" w:hAnsi="Times New Roman" w:cs="Times New Roman"/>
                <w:color w:val="000000"/>
                <w:sz w:val="18"/>
                <w:szCs w:val="18"/>
                <w:lang w:eastAsia="pl-PL"/>
              </w:rPr>
            </w:pPr>
            <w:r w:rsidRPr="00DB7C69">
              <w:rPr>
                <w:rFonts w:ascii="Times New Roman" w:eastAsia="Times New Roman" w:hAnsi="Times New Roman" w:cs="Times New Roman"/>
                <w:color w:val="000000"/>
                <w:sz w:val="18"/>
                <w:szCs w:val="18"/>
                <w:lang w:eastAsia="pl-PL"/>
              </w:rPr>
              <w:t>nieprzestrzeganie przepisów w zakresie zużytego sprzętu elektrycznego i</w:t>
            </w:r>
            <w:r>
              <w:rPr>
                <w:rFonts w:ascii="Times New Roman" w:eastAsia="Times New Roman" w:hAnsi="Times New Roman" w:cs="Times New Roman"/>
                <w:color w:val="000000"/>
                <w:sz w:val="18"/>
                <w:szCs w:val="18"/>
                <w:lang w:eastAsia="pl-PL"/>
              </w:rPr>
              <w:t> </w:t>
            </w:r>
            <w:r w:rsidRPr="00DB7C69">
              <w:rPr>
                <w:rFonts w:ascii="Times New Roman" w:eastAsia="Times New Roman" w:hAnsi="Times New Roman" w:cs="Times New Roman"/>
                <w:color w:val="000000"/>
                <w:sz w:val="18"/>
                <w:szCs w:val="18"/>
                <w:lang w:eastAsia="pl-PL"/>
              </w:rPr>
              <w:t>elektronicznego</w:t>
            </w:r>
            <w:r>
              <w:rPr>
                <w:rStyle w:val="Odwoanieprzypisudolnego"/>
                <w:color w:val="000000"/>
                <w:sz w:val="18"/>
                <w:szCs w:val="18"/>
                <w:lang w:eastAsia="pl-PL"/>
              </w:rPr>
              <w:footnoteReference w:id="51"/>
            </w:r>
          </w:p>
        </w:tc>
        <w:tc>
          <w:tcPr>
            <w:tcW w:w="726" w:type="pct"/>
            <w:tcBorders>
              <w:top w:val="nil"/>
              <w:left w:val="nil"/>
              <w:bottom w:val="single" w:sz="8" w:space="0" w:color="auto"/>
              <w:right w:val="single" w:sz="8" w:space="0" w:color="auto"/>
            </w:tcBorders>
            <w:shd w:val="clear" w:color="auto" w:fill="auto"/>
            <w:vAlign w:val="center"/>
          </w:tcPr>
          <w:p w14:paraId="3DAAC240" w14:textId="77777777" w:rsidR="00BE7003" w:rsidRPr="001611DE" w:rsidRDefault="00BE7003"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26</w:t>
            </w:r>
          </w:p>
        </w:tc>
        <w:tc>
          <w:tcPr>
            <w:tcW w:w="1000" w:type="pct"/>
            <w:tcBorders>
              <w:top w:val="nil"/>
              <w:left w:val="nil"/>
              <w:bottom w:val="single" w:sz="8" w:space="0" w:color="auto"/>
              <w:right w:val="single" w:sz="8" w:space="0" w:color="auto"/>
            </w:tcBorders>
            <w:shd w:val="clear" w:color="auto" w:fill="auto"/>
            <w:vAlign w:val="center"/>
          </w:tcPr>
          <w:p w14:paraId="5AEAEADD" w14:textId="77777777" w:rsidR="00BE7003" w:rsidRPr="00D53600" w:rsidRDefault="00BE7003" w:rsidP="00056EE7">
            <w:pPr>
              <w:spacing w:after="0" w:line="300" w:lineRule="atLeast"/>
              <w:jc w:val="right"/>
              <w:rPr>
                <w:rFonts w:ascii="Times New Roman" w:eastAsia="Times New Roman" w:hAnsi="Times New Roman" w:cs="Times New Roman"/>
                <w:color w:val="000000"/>
                <w:sz w:val="18"/>
                <w:szCs w:val="18"/>
                <w:lang w:eastAsia="pl-PL"/>
              </w:rPr>
            </w:pPr>
            <w:r w:rsidRPr="00D53600">
              <w:rPr>
                <w:rFonts w:ascii="Times New Roman" w:eastAsia="Times New Roman" w:hAnsi="Times New Roman" w:cs="Times New Roman"/>
                <w:color w:val="000000"/>
                <w:sz w:val="18"/>
                <w:szCs w:val="18"/>
                <w:lang w:eastAsia="pl-PL"/>
              </w:rPr>
              <w:t xml:space="preserve">387 000,00 zł </w:t>
            </w:r>
          </w:p>
        </w:tc>
      </w:tr>
      <w:tr w:rsidR="00BE7003" w:rsidRPr="00DB7C69" w14:paraId="56A380DE" w14:textId="77777777" w:rsidTr="009001FB">
        <w:tc>
          <w:tcPr>
            <w:tcW w:w="3274" w:type="pct"/>
            <w:tcBorders>
              <w:top w:val="nil"/>
              <w:left w:val="single" w:sz="8" w:space="0" w:color="auto"/>
              <w:bottom w:val="single" w:sz="8" w:space="0" w:color="auto"/>
              <w:right w:val="single" w:sz="8" w:space="0" w:color="auto"/>
            </w:tcBorders>
            <w:shd w:val="clear" w:color="auto" w:fill="auto"/>
            <w:vAlign w:val="center"/>
          </w:tcPr>
          <w:p w14:paraId="362CDF43" w14:textId="77777777" w:rsidR="00BE7003" w:rsidRPr="00DB7C69" w:rsidRDefault="00BE7003" w:rsidP="00056EE7">
            <w:pPr>
              <w:spacing w:after="0" w:line="300" w:lineRule="atLeast"/>
              <w:rPr>
                <w:rFonts w:ascii="Times New Roman" w:eastAsia="Times New Roman" w:hAnsi="Times New Roman" w:cs="Times New Roman"/>
                <w:color w:val="000000"/>
                <w:sz w:val="18"/>
                <w:szCs w:val="18"/>
                <w:lang w:eastAsia="pl-PL"/>
              </w:rPr>
            </w:pPr>
            <w:r w:rsidRPr="00DB7C69">
              <w:rPr>
                <w:rFonts w:ascii="Times New Roman" w:eastAsia="Times New Roman" w:hAnsi="Times New Roman" w:cs="Times New Roman"/>
                <w:color w:val="000000"/>
                <w:sz w:val="18"/>
                <w:szCs w:val="18"/>
                <w:lang w:eastAsia="pl-PL"/>
              </w:rPr>
              <w:t>uniemożliwianie lub utrudnianie organowi Inspekcji Ochrony Środowiska przeprowadzanie kontroli</w:t>
            </w:r>
          </w:p>
        </w:tc>
        <w:tc>
          <w:tcPr>
            <w:tcW w:w="726" w:type="pct"/>
            <w:tcBorders>
              <w:top w:val="nil"/>
              <w:left w:val="nil"/>
              <w:bottom w:val="single" w:sz="8" w:space="0" w:color="auto"/>
              <w:right w:val="single" w:sz="8" w:space="0" w:color="auto"/>
            </w:tcBorders>
            <w:shd w:val="clear" w:color="auto" w:fill="auto"/>
            <w:vAlign w:val="center"/>
          </w:tcPr>
          <w:p w14:paraId="727DDA71" w14:textId="77777777" w:rsidR="00BE7003" w:rsidRPr="001611DE" w:rsidRDefault="00BE7003"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26</w:t>
            </w:r>
          </w:p>
        </w:tc>
        <w:tc>
          <w:tcPr>
            <w:tcW w:w="1000" w:type="pct"/>
            <w:tcBorders>
              <w:top w:val="nil"/>
              <w:left w:val="nil"/>
              <w:bottom w:val="single" w:sz="8" w:space="0" w:color="auto"/>
              <w:right w:val="single" w:sz="8" w:space="0" w:color="auto"/>
            </w:tcBorders>
            <w:shd w:val="clear" w:color="auto" w:fill="auto"/>
            <w:vAlign w:val="center"/>
          </w:tcPr>
          <w:p w14:paraId="613202D5" w14:textId="77777777" w:rsidR="00BE7003" w:rsidRPr="00D53600" w:rsidRDefault="00BE7003" w:rsidP="00056EE7">
            <w:pPr>
              <w:spacing w:after="0" w:line="300" w:lineRule="atLeast"/>
              <w:jc w:val="right"/>
              <w:rPr>
                <w:rFonts w:ascii="Times New Roman" w:eastAsia="Times New Roman" w:hAnsi="Times New Roman" w:cs="Times New Roman"/>
                <w:color w:val="000000"/>
                <w:sz w:val="18"/>
                <w:szCs w:val="18"/>
                <w:lang w:eastAsia="pl-PL"/>
              </w:rPr>
            </w:pPr>
            <w:r w:rsidRPr="00D53600">
              <w:rPr>
                <w:rFonts w:ascii="Times New Roman" w:eastAsia="Times New Roman" w:hAnsi="Times New Roman" w:cs="Times New Roman"/>
                <w:color w:val="000000"/>
                <w:sz w:val="18"/>
                <w:szCs w:val="18"/>
                <w:lang w:eastAsia="pl-PL"/>
              </w:rPr>
              <w:t xml:space="preserve">367 000,00 zł </w:t>
            </w:r>
          </w:p>
        </w:tc>
      </w:tr>
      <w:tr w:rsidR="00BE7003" w:rsidRPr="00DB7C69" w14:paraId="78D13588" w14:textId="77777777" w:rsidTr="009001FB">
        <w:tc>
          <w:tcPr>
            <w:tcW w:w="3274" w:type="pct"/>
            <w:tcBorders>
              <w:top w:val="nil"/>
              <w:left w:val="single" w:sz="8" w:space="0" w:color="auto"/>
              <w:bottom w:val="single" w:sz="8" w:space="0" w:color="auto"/>
              <w:right w:val="single" w:sz="8" w:space="0" w:color="auto"/>
            </w:tcBorders>
            <w:shd w:val="clear" w:color="auto" w:fill="auto"/>
            <w:vAlign w:val="center"/>
          </w:tcPr>
          <w:p w14:paraId="5993962B" w14:textId="77777777" w:rsidR="00BE7003" w:rsidRPr="00DB7C69" w:rsidRDefault="00BE7003" w:rsidP="00056EE7">
            <w:pPr>
              <w:spacing w:after="0" w:line="300" w:lineRule="atLeast"/>
              <w:rPr>
                <w:rFonts w:ascii="Times New Roman" w:eastAsia="Times New Roman" w:hAnsi="Times New Roman" w:cs="Times New Roman"/>
                <w:color w:val="000000"/>
                <w:sz w:val="18"/>
                <w:szCs w:val="18"/>
                <w:lang w:eastAsia="pl-PL"/>
              </w:rPr>
            </w:pPr>
            <w:r w:rsidRPr="00DB7C69">
              <w:rPr>
                <w:rFonts w:ascii="Times New Roman" w:eastAsia="Times New Roman" w:hAnsi="Times New Roman" w:cs="Times New Roman"/>
                <w:color w:val="000000"/>
                <w:sz w:val="18"/>
                <w:szCs w:val="18"/>
                <w:lang w:eastAsia="pl-PL"/>
              </w:rPr>
              <w:t>wprowadzanie do wód lub ziemi ścieków nieodpowiadających wymaganym warunkom</w:t>
            </w:r>
          </w:p>
        </w:tc>
        <w:tc>
          <w:tcPr>
            <w:tcW w:w="726" w:type="pct"/>
            <w:tcBorders>
              <w:top w:val="nil"/>
              <w:left w:val="nil"/>
              <w:bottom w:val="single" w:sz="8" w:space="0" w:color="auto"/>
              <w:right w:val="single" w:sz="8" w:space="0" w:color="auto"/>
            </w:tcBorders>
            <w:shd w:val="clear" w:color="auto" w:fill="auto"/>
            <w:vAlign w:val="center"/>
          </w:tcPr>
          <w:p w14:paraId="0DF4E171" w14:textId="77777777" w:rsidR="00BE7003" w:rsidRPr="001611DE" w:rsidRDefault="00BE7003"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24</w:t>
            </w:r>
          </w:p>
        </w:tc>
        <w:tc>
          <w:tcPr>
            <w:tcW w:w="1000" w:type="pct"/>
            <w:tcBorders>
              <w:top w:val="nil"/>
              <w:left w:val="nil"/>
              <w:bottom w:val="single" w:sz="8" w:space="0" w:color="auto"/>
              <w:right w:val="single" w:sz="8" w:space="0" w:color="auto"/>
            </w:tcBorders>
            <w:shd w:val="clear" w:color="auto" w:fill="auto"/>
            <w:vAlign w:val="center"/>
          </w:tcPr>
          <w:p w14:paraId="06795C29" w14:textId="77777777" w:rsidR="00BE7003" w:rsidRPr="00D53600" w:rsidRDefault="00BE7003" w:rsidP="00056EE7">
            <w:pPr>
              <w:spacing w:after="0" w:line="300" w:lineRule="atLeast"/>
              <w:jc w:val="right"/>
              <w:rPr>
                <w:rFonts w:ascii="Times New Roman" w:eastAsia="Times New Roman" w:hAnsi="Times New Roman" w:cs="Times New Roman"/>
                <w:color w:val="000000"/>
                <w:sz w:val="18"/>
                <w:szCs w:val="18"/>
                <w:lang w:eastAsia="pl-PL"/>
              </w:rPr>
            </w:pPr>
            <w:r w:rsidRPr="00D53600">
              <w:rPr>
                <w:rFonts w:ascii="Times New Roman" w:eastAsia="Times New Roman" w:hAnsi="Times New Roman" w:cs="Times New Roman"/>
                <w:color w:val="000000"/>
                <w:sz w:val="18"/>
                <w:szCs w:val="18"/>
                <w:lang w:eastAsia="pl-PL"/>
              </w:rPr>
              <w:t xml:space="preserve">1 080 953,00 zł </w:t>
            </w:r>
          </w:p>
        </w:tc>
      </w:tr>
      <w:tr w:rsidR="00BE7003" w:rsidRPr="00DB7C69" w14:paraId="78A8C631" w14:textId="77777777" w:rsidTr="009001FB">
        <w:tc>
          <w:tcPr>
            <w:tcW w:w="3274" w:type="pct"/>
            <w:tcBorders>
              <w:top w:val="nil"/>
              <w:left w:val="single" w:sz="8" w:space="0" w:color="auto"/>
              <w:bottom w:val="single" w:sz="8" w:space="0" w:color="auto"/>
              <w:right w:val="single" w:sz="8" w:space="0" w:color="auto"/>
            </w:tcBorders>
            <w:shd w:val="clear" w:color="auto" w:fill="auto"/>
            <w:vAlign w:val="center"/>
          </w:tcPr>
          <w:p w14:paraId="0CFF9BCB" w14:textId="77777777" w:rsidR="00BE7003" w:rsidRPr="00DB7C69" w:rsidRDefault="00BE7003" w:rsidP="00056EE7">
            <w:pPr>
              <w:spacing w:after="0" w:line="300" w:lineRule="atLeast"/>
              <w:rPr>
                <w:rFonts w:ascii="Times New Roman" w:eastAsia="Times New Roman" w:hAnsi="Times New Roman" w:cs="Times New Roman"/>
                <w:color w:val="000000"/>
                <w:sz w:val="18"/>
                <w:szCs w:val="18"/>
                <w:lang w:eastAsia="pl-PL"/>
              </w:rPr>
            </w:pPr>
            <w:r w:rsidRPr="00DB7C69">
              <w:rPr>
                <w:rFonts w:ascii="Times New Roman" w:eastAsia="Times New Roman" w:hAnsi="Times New Roman" w:cs="Times New Roman"/>
                <w:color w:val="000000"/>
                <w:sz w:val="18"/>
                <w:szCs w:val="18"/>
                <w:lang w:eastAsia="pl-PL"/>
              </w:rPr>
              <w:t>nieprzestrzeganie przepisów z zakresu gospodarki opakowaniami i odpadami opakowaniowymi</w:t>
            </w:r>
          </w:p>
        </w:tc>
        <w:tc>
          <w:tcPr>
            <w:tcW w:w="726" w:type="pct"/>
            <w:tcBorders>
              <w:top w:val="nil"/>
              <w:left w:val="nil"/>
              <w:bottom w:val="single" w:sz="8" w:space="0" w:color="auto"/>
              <w:right w:val="single" w:sz="8" w:space="0" w:color="auto"/>
            </w:tcBorders>
            <w:shd w:val="clear" w:color="auto" w:fill="auto"/>
            <w:vAlign w:val="center"/>
          </w:tcPr>
          <w:p w14:paraId="4508781D" w14:textId="77777777" w:rsidR="00BE7003" w:rsidRPr="001611DE" w:rsidRDefault="00BE7003"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15</w:t>
            </w:r>
          </w:p>
        </w:tc>
        <w:tc>
          <w:tcPr>
            <w:tcW w:w="1000" w:type="pct"/>
            <w:tcBorders>
              <w:top w:val="nil"/>
              <w:left w:val="nil"/>
              <w:bottom w:val="single" w:sz="8" w:space="0" w:color="auto"/>
              <w:right w:val="single" w:sz="8" w:space="0" w:color="auto"/>
            </w:tcBorders>
            <w:shd w:val="clear" w:color="auto" w:fill="auto"/>
            <w:vAlign w:val="center"/>
          </w:tcPr>
          <w:p w14:paraId="70F4C14E" w14:textId="77777777" w:rsidR="00BE7003" w:rsidRPr="00D53600" w:rsidRDefault="00BE7003" w:rsidP="00056EE7">
            <w:pPr>
              <w:spacing w:after="0" w:line="300" w:lineRule="atLeast"/>
              <w:jc w:val="right"/>
              <w:rPr>
                <w:rFonts w:ascii="Times New Roman" w:eastAsia="Times New Roman" w:hAnsi="Times New Roman" w:cs="Times New Roman"/>
                <w:color w:val="000000"/>
                <w:sz w:val="18"/>
                <w:szCs w:val="18"/>
                <w:lang w:eastAsia="pl-PL"/>
              </w:rPr>
            </w:pPr>
            <w:r w:rsidRPr="00D53600">
              <w:rPr>
                <w:rFonts w:ascii="Times New Roman" w:eastAsia="Times New Roman" w:hAnsi="Times New Roman" w:cs="Times New Roman"/>
                <w:color w:val="000000"/>
                <w:sz w:val="18"/>
                <w:szCs w:val="18"/>
                <w:lang w:eastAsia="pl-PL"/>
              </w:rPr>
              <w:t xml:space="preserve">210 000,00 zł </w:t>
            </w:r>
          </w:p>
        </w:tc>
      </w:tr>
      <w:tr w:rsidR="00BE7003" w:rsidRPr="00DB7C69" w14:paraId="5B19CA2A" w14:textId="77777777" w:rsidTr="009001FB">
        <w:tc>
          <w:tcPr>
            <w:tcW w:w="3274" w:type="pct"/>
            <w:tcBorders>
              <w:top w:val="nil"/>
              <w:left w:val="single" w:sz="8" w:space="0" w:color="auto"/>
              <w:bottom w:val="single" w:sz="8" w:space="0" w:color="auto"/>
              <w:right w:val="single" w:sz="8" w:space="0" w:color="auto"/>
            </w:tcBorders>
            <w:shd w:val="clear" w:color="auto" w:fill="auto"/>
            <w:vAlign w:val="center"/>
          </w:tcPr>
          <w:p w14:paraId="7DC8458D" w14:textId="77777777" w:rsidR="00BE7003" w:rsidRPr="00DB7C69" w:rsidRDefault="00BE7003" w:rsidP="00056EE7">
            <w:pPr>
              <w:spacing w:after="0" w:line="300" w:lineRule="atLeast"/>
              <w:rPr>
                <w:rFonts w:ascii="Times New Roman" w:eastAsia="Times New Roman" w:hAnsi="Times New Roman" w:cs="Times New Roman"/>
                <w:color w:val="000000"/>
                <w:sz w:val="18"/>
                <w:szCs w:val="18"/>
                <w:lang w:eastAsia="pl-PL"/>
              </w:rPr>
            </w:pPr>
            <w:r w:rsidRPr="00DB7C69">
              <w:rPr>
                <w:rFonts w:ascii="Times New Roman" w:eastAsia="Times New Roman" w:hAnsi="Times New Roman" w:cs="Times New Roman"/>
                <w:color w:val="000000"/>
                <w:sz w:val="18"/>
                <w:szCs w:val="18"/>
                <w:lang w:eastAsia="pl-PL"/>
              </w:rPr>
              <w:t>nieprzestrzeganie przepisów ustawy o przeciwdziałaniu marnowaniu żywności</w:t>
            </w:r>
          </w:p>
        </w:tc>
        <w:tc>
          <w:tcPr>
            <w:tcW w:w="726" w:type="pct"/>
            <w:tcBorders>
              <w:top w:val="nil"/>
              <w:left w:val="nil"/>
              <w:bottom w:val="single" w:sz="8" w:space="0" w:color="auto"/>
              <w:right w:val="single" w:sz="8" w:space="0" w:color="auto"/>
            </w:tcBorders>
            <w:shd w:val="clear" w:color="auto" w:fill="auto"/>
            <w:vAlign w:val="center"/>
          </w:tcPr>
          <w:p w14:paraId="072126E4" w14:textId="77777777" w:rsidR="00BE7003" w:rsidRPr="001611DE" w:rsidRDefault="00BE7003"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14</w:t>
            </w:r>
          </w:p>
        </w:tc>
        <w:tc>
          <w:tcPr>
            <w:tcW w:w="1000" w:type="pct"/>
            <w:tcBorders>
              <w:top w:val="nil"/>
              <w:left w:val="nil"/>
              <w:bottom w:val="single" w:sz="8" w:space="0" w:color="auto"/>
              <w:right w:val="single" w:sz="8" w:space="0" w:color="auto"/>
            </w:tcBorders>
            <w:shd w:val="clear" w:color="auto" w:fill="auto"/>
            <w:vAlign w:val="center"/>
          </w:tcPr>
          <w:p w14:paraId="1DDDA543" w14:textId="77777777" w:rsidR="00BE7003" w:rsidRPr="00D53600" w:rsidRDefault="00BE7003" w:rsidP="00056EE7">
            <w:pPr>
              <w:spacing w:after="0" w:line="300" w:lineRule="atLeast"/>
              <w:jc w:val="right"/>
              <w:rPr>
                <w:rFonts w:ascii="Times New Roman" w:eastAsia="Times New Roman" w:hAnsi="Times New Roman" w:cs="Times New Roman"/>
                <w:color w:val="000000"/>
                <w:sz w:val="18"/>
                <w:szCs w:val="18"/>
                <w:lang w:eastAsia="pl-PL"/>
              </w:rPr>
            </w:pPr>
            <w:r w:rsidRPr="00D53600">
              <w:rPr>
                <w:rFonts w:ascii="Times New Roman" w:eastAsia="Times New Roman" w:hAnsi="Times New Roman" w:cs="Times New Roman"/>
                <w:color w:val="000000"/>
                <w:sz w:val="18"/>
                <w:szCs w:val="18"/>
                <w:lang w:eastAsia="pl-PL"/>
              </w:rPr>
              <w:t xml:space="preserve">21 700,00 zł </w:t>
            </w:r>
          </w:p>
        </w:tc>
      </w:tr>
      <w:tr w:rsidR="00BE7003" w:rsidRPr="00DB7C69" w14:paraId="23953003" w14:textId="77777777" w:rsidTr="009001FB">
        <w:tc>
          <w:tcPr>
            <w:tcW w:w="3274" w:type="pct"/>
            <w:tcBorders>
              <w:top w:val="nil"/>
              <w:left w:val="single" w:sz="8" w:space="0" w:color="auto"/>
              <w:bottom w:val="single" w:sz="8" w:space="0" w:color="auto"/>
              <w:right w:val="single" w:sz="8" w:space="0" w:color="auto"/>
            </w:tcBorders>
            <w:shd w:val="clear" w:color="auto" w:fill="auto"/>
            <w:vAlign w:val="center"/>
          </w:tcPr>
          <w:p w14:paraId="076D8A66" w14:textId="77777777" w:rsidR="00BE7003" w:rsidRPr="00DB7C69" w:rsidRDefault="00BE7003" w:rsidP="00056EE7">
            <w:pPr>
              <w:spacing w:after="0" w:line="300" w:lineRule="atLeast"/>
              <w:rPr>
                <w:rFonts w:ascii="Times New Roman" w:eastAsia="Times New Roman" w:hAnsi="Times New Roman" w:cs="Times New Roman"/>
                <w:color w:val="000000"/>
                <w:sz w:val="18"/>
                <w:szCs w:val="18"/>
                <w:lang w:eastAsia="pl-PL"/>
              </w:rPr>
            </w:pPr>
            <w:r w:rsidRPr="00DB7C69">
              <w:rPr>
                <w:rFonts w:ascii="Times New Roman" w:eastAsia="Times New Roman" w:hAnsi="Times New Roman" w:cs="Times New Roman"/>
                <w:color w:val="000000"/>
                <w:sz w:val="18"/>
                <w:szCs w:val="18"/>
                <w:lang w:eastAsia="pl-PL"/>
              </w:rPr>
              <w:t>nieprzestrzeganie przepisów w zakresie przygotowania i realizacji programów ochrony powietrza oraz planów działań krótkoterminowych</w:t>
            </w:r>
          </w:p>
        </w:tc>
        <w:tc>
          <w:tcPr>
            <w:tcW w:w="726" w:type="pct"/>
            <w:tcBorders>
              <w:top w:val="nil"/>
              <w:left w:val="nil"/>
              <w:bottom w:val="single" w:sz="8" w:space="0" w:color="auto"/>
              <w:right w:val="single" w:sz="8" w:space="0" w:color="auto"/>
            </w:tcBorders>
            <w:shd w:val="clear" w:color="auto" w:fill="auto"/>
            <w:vAlign w:val="center"/>
          </w:tcPr>
          <w:p w14:paraId="10631611" w14:textId="77777777" w:rsidR="00BE7003" w:rsidRPr="001611DE" w:rsidRDefault="00BE7003"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11</w:t>
            </w:r>
          </w:p>
        </w:tc>
        <w:tc>
          <w:tcPr>
            <w:tcW w:w="1000" w:type="pct"/>
            <w:tcBorders>
              <w:top w:val="nil"/>
              <w:left w:val="nil"/>
              <w:bottom w:val="single" w:sz="8" w:space="0" w:color="auto"/>
              <w:right w:val="single" w:sz="8" w:space="0" w:color="auto"/>
            </w:tcBorders>
            <w:shd w:val="clear" w:color="auto" w:fill="auto"/>
            <w:vAlign w:val="center"/>
          </w:tcPr>
          <w:p w14:paraId="445247B1" w14:textId="77777777" w:rsidR="00BE7003" w:rsidRPr="00D53600" w:rsidRDefault="00BE7003" w:rsidP="00056EE7">
            <w:pPr>
              <w:spacing w:after="0" w:line="300" w:lineRule="atLeast"/>
              <w:jc w:val="right"/>
              <w:rPr>
                <w:rFonts w:ascii="Times New Roman" w:eastAsia="Times New Roman" w:hAnsi="Times New Roman" w:cs="Times New Roman"/>
                <w:color w:val="000000"/>
                <w:sz w:val="18"/>
                <w:szCs w:val="18"/>
                <w:lang w:eastAsia="pl-PL"/>
              </w:rPr>
            </w:pPr>
            <w:r w:rsidRPr="00D53600">
              <w:rPr>
                <w:rFonts w:ascii="Times New Roman" w:eastAsia="Times New Roman" w:hAnsi="Times New Roman" w:cs="Times New Roman"/>
                <w:color w:val="000000"/>
                <w:sz w:val="18"/>
                <w:szCs w:val="18"/>
                <w:lang w:eastAsia="pl-PL"/>
              </w:rPr>
              <w:t xml:space="preserve">385 000,00 zł </w:t>
            </w:r>
          </w:p>
        </w:tc>
      </w:tr>
      <w:tr w:rsidR="00BE7003" w:rsidRPr="00DB7C69" w14:paraId="36CEB213" w14:textId="77777777" w:rsidTr="009001FB">
        <w:tc>
          <w:tcPr>
            <w:tcW w:w="3274" w:type="pct"/>
            <w:tcBorders>
              <w:top w:val="nil"/>
              <w:left w:val="single" w:sz="8" w:space="0" w:color="auto"/>
              <w:bottom w:val="single" w:sz="8" w:space="0" w:color="auto"/>
              <w:right w:val="single" w:sz="8" w:space="0" w:color="auto"/>
            </w:tcBorders>
            <w:shd w:val="clear" w:color="auto" w:fill="auto"/>
            <w:vAlign w:val="center"/>
          </w:tcPr>
          <w:p w14:paraId="2D5FAD58" w14:textId="77777777" w:rsidR="00BE7003" w:rsidRPr="00DB7C69" w:rsidRDefault="00BE7003" w:rsidP="00056EE7">
            <w:pPr>
              <w:spacing w:after="0" w:line="300" w:lineRule="atLeast"/>
              <w:rPr>
                <w:rFonts w:ascii="Times New Roman" w:eastAsia="Times New Roman" w:hAnsi="Times New Roman" w:cs="Times New Roman"/>
                <w:color w:val="000000"/>
                <w:sz w:val="18"/>
                <w:szCs w:val="18"/>
                <w:lang w:eastAsia="pl-PL"/>
              </w:rPr>
            </w:pPr>
            <w:r w:rsidRPr="00DB7C69">
              <w:rPr>
                <w:rFonts w:ascii="Times New Roman" w:eastAsia="Times New Roman" w:hAnsi="Times New Roman" w:cs="Times New Roman"/>
                <w:color w:val="000000"/>
                <w:sz w:val="18"/>
                <w:szCs w:val="18"/>
                <w:lang w:eastAsia="pl-PL"/>
              </w:rPr>
              <w:t>nieprzestrzeganie przepisów o udostępnianiu informacji o środowisku i jego ochronie, udziale społeczeństwa w ochronie środowiska oraz o ocenach oddziaływania na środowisko</w:t>
            </w:r>
          </w:p>
        </w:tc>
        <w:tc>
          <w:tcPr>
            <w:tcW w:w="726" w:type="pct"/>
            <w:tcBorders>
              <w:top w:val="nil"/>
              <w:left w:val="nil"/>
              <w:bottom w:val="single" w:sz="8" w:space="0" w:color="auto"/>
              <w:right w:val="single" w:sz="8" w:space="0" w:color="auto"/>
            </w:tcBorders>
            <w:shd w:val="clear" w:color="auto" w:fill="auto"/>
            <w:noWrap/>
            <w:vAlign w:val="center"/>
          </w:tcPr>
          <w:p w14:paraId="4A89E308" w14:textId="77777777" w:rsidR="00BE7003" w:rsidRPr="001611DE" w:rsidRDefault="00BE7003"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11</w:t>
            </w:r>
          </w:p>
        </w:tc>
        <w:tc>
          <w:tcPr>
            <w:tcW w:w="1000" w:type="pct"/>
            <w:tcBorders>
              <w:top w:val="nil"/>
              <w:left w:val="nil"/>
              <w:bottom w:val="single" w:sz="8" w:space="0" w:color="auto"/>
              <w:right w:val="single" w:sz="8" w:space="0" w:color="auto"/>
            </w:tcBorders>
            <w:shd w:val="clear" w:color="auto" w:fill="auto"/>
            <w:noWrap/>
            <w:vAlign w:val="center"/>
          </w:tcPr>
          <w:p w14:paraId="26D7907C" w14:textId="77777777" w:rsidR="00BE7003" w:rsidRPr="00D53600" w:rsidRDefault="00BE7003" w:rsidP="00056EE7">
            <w:pPr>
              <w:spacing w:after="0" w:line="300" w:lineRule="atLeast"/>
              <w:jc w:val="right"/>
              <w:rPr>
                <w:rFonts w:ascii="Times New Roman" w:eastAsia="Times New Roman" w:hAnsi="Times New Roman" w:cs="Times New Roman"/>
                <w:color w:val="000000"/>
                <w:sz w:val="18"/>
                <w:szCs w:val="18"/>
                <w:lang w:eastAsia="pl-PL"/>
              </w:rPr>
            </w:pPr>
            <w:r w:rsidRPr="00D53600">
              <w:rPr>
                <w:rFonts w:ascii="Times New Roman" w:eastAsia="Times New Roman" w:hAnsi="Times New Roman" w:cs="Times New Roman"/>
                <w:color w:val="000000"/>
                <w:sz w:val="18"/>
                <w:szCs w:val="18"/>
                <w:lang w:eastAsia="pl-PL"/>
              </w:rPr>
              <w:t xml:space="preserve">90 000,00 zł </w:t>
            </w:r>
          </w:p>
        </w:tc>
      </w:tr>
      <w:tr w:rsidR="00BE7003" w:rsidRPr="00DB7C69" w14:paraId="365B9EED" w14:textId="77777777" w:rsidTr="009001FB">
        <w:tc>
          <w:tcPr>
            <w:tcW w:w="3274" w:type="pct"/>
            <w:tcBorders>
              <w:top w:val="nil"/>
              <w:left w:val="single" w:sz="8" w:space="0" w:color="auto"/>
              <w:bottom w:val="single" w:sz="4" w:space="0" w:color="auto"/>
              <w:right w:val="single" w:sz="8" w:space="0" w:color="auto"/>
            </w:tcBorders>
            <w:shd w:val="clear" w:color="auto" w:fill="auto"/>
            <w:vAlign w:val="center"/>
          </w:tcPr>
          <w:p w14:paraId="32925241" w14:textId="77777777" w:rsidR="00BE7003" w:rsidRPr="00DB7C69" w:rsidRDefault="00BE7003" w:rsidP="00056EE7">
            <w:pPr>
              <w:spacing w:after="0" w:line="300" w:lineRule="atLeast"/>
              <w:rPr>
                <w:rFonts w:ascii="Times New Roman" w:eastAsia="Times New Roman" w:hAnsi="Times New Roman" w:cs="Times New Roman"/>
                <w:color w:val="000000"/>
                <w:sz w:val="18"/>
                <w:szCs w:val="18"/>
                <w:lang w:eastAsia="pl-PL"/>
              </w:rPr>
            </w:pPr>
            <w:r w:rsidRPr="00DB7C69">
              <w:rPr>
                <w:rFonts w:ascii="Times New Roman" w:eastAsia="Times New Roman" w:hAnsi="Times New Roman" w:cs="Times New Roman"/>
                <w:color w:val="000000"/>
                <w:sz w:val="18"/>
                <w:szCs w:val="18"/>
                <w:lang w:eastAsia="pl-PL"/>
              </w:rPr>
              <w:t>nieterminowe przedkładanie sprawozdania lub niezapewnienie jakości przekazywanych danych – PRTR</w:t>
            </w:r>
          </w:p>
        </w:tc>
        <w:tc>
          <w:tcPr>
            <w:tcW w:w="726" w:type="pct"/>
            <w:tcBorders>
              <w:top w:val="nil"/>
              <w:left w:val="nil"/>
              <w:bottom w:val="single" w:sz="4" w:space="0" w:color="auto"/>
              <w:right w:val="single" w:sz="8" w:space="0" w:color="auto"/>
            </w:tcBorders>
            <w:shd w:val="clear" w:color="auto" w:fill="auto"/>
            <w:vAlign w:val="center"/>
          </w:tcPr>
          <w:p w14:paraId="326A48CD" w14:textId="77777777" w:rsidR="00BE7003" w:rsidRPr="001611DE" w:rsidRDefault="00BE7003"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9</w:t>
            </w:r>
          </w:p>
        </w:tc>
        <w:tc>
          <w:tcPr>
            <w:tcW w:w="1000" w:type="pct"/>
            <w:tcBorders>
              <w:top w:val="nil"/>
              <w:left w:val="nil"/>
              <w:bottom w:val="single" w:sz="4" w:space="0" w:color="auto"/>
              <w:right w:val="single" w:sz="8" w:space="0" w:color="auto"/>
            </w:tcBorders>
            <w:shd w:val="clear" w:color="auto" w:fill="auto"/>
            <w:vAlign w:val="center"/>
          </w:tcPr>
          <w:p w14:paraId="3277BB5D" w14:textId="77777777" w:rsidR="00BE7003" w:rsidRPr="00D53600" w:rsidRDefault="00BE7003" w:rsidP="00056EE7">
            <w:pPr>
              <w:spacing w:after="0" w:line="300" w:lineRule="atLeast"/>
              <w:jc w:val="right"/>
              <w:rPr>
                <w:rFonts w:ascii="Times New Roman" w:eastAsia="Times New Roman" w:hAnsi="Times New Roman" w:cs="Times New Roman"/>
                <w:color w:val="000000"/>
                <w:sz w:val="18"/>
                <w:szCs w:val="18"/>
                <w:lang w:eastAsia="pl-PL"/>
              </w:rPr>
            </w:pPr>
            <w:r w:rsidRPr="00D53600">
              <w:rPr>
                <w:rFonts w:ascii="Times New Roman" w:eastAsia="Times New Roman" w:hAnsi="Times New Roman" w:cs="Times New Roman"/>
                <w:color w:val="000000"/>
                <w:sz w:val="18"/>
                <w:szCs w:val="18"/>
                <w:lang w:eastAsia="pl-PL"/>
              </w:rPr>
              <w:t xml:space="preserve">258 900,00 zł </w:t>
            </w:r>
          </w:p>
        </w:tc>
      </w:tr>
      <w:tr w:rsidR="00BE7003" w:rsidRPr="00DB7C69" w14:paraId="6B03997F" w14:textId="77777777" w:rsidTr="009001FB">
        <w:tc>
          <w:tcPr>
            <w:tcW w:w="3274" w:type="pct"/>
            <w:tcBorders>
              <w:top w:val="single" w:sz="4" w:space="0" w:color="auto"/>
              <w:left w:val="single" w:sz="4" w:space="0" w:color="auto"/>
              <w:bottom w:val="single" w:sz="4" w:space="0" w:color="auto"/>
              <w:right w:val="single" w:sz="4" w:space="0" w:color="auto"/>
            </w:tcBorders>
            <w:shd w:val="clear" w:color="auto" w:fill="auto"/>
            <w:vAlign w:val="center"/>
          </w:tcPr>
          <w:p w14:paraId="73ECB027" w14:textId="77777777" w:rsidR="00BE7003" w:rsidRPr="00DB7C69" w:rsidRDefault="00BE7003" w:rsidP="00056EE7">
            <w:pPr>
              <w:spacing w:after="0" w:line="300" w:lineRule="atLeast"/>
              <w:rPr>
                <w:rFonts w:ascii="Times New Roman" w:eastAsia="Times New Roman" w:hAnsi="Times New Roman" w:cs="Times New Roman"/>
                <w:color w:val="000000"/>
                <w:sz w:val="18"/>
                <w:szCs w:val="18"/>
                <w:lang w:eastAsia="pl-PL"/>
              </w:rPr>
            </w:pPr>
            <w:r w:rsidRPr="00DB7C69">
              <w:rPr>
                <w:rFonts w:ascii="Times New Roman" w:eastAsia="Times New Roman" w:hAnsi="Times New Roman" w:cs="Times New Roman"/>
                <w:color w:val="000000"/>
                <w:sz w:val="18"/>
                <w:szCs w:val="18"/>
                <w:lang w:eastAsia="pl-PL"/>
              </w:rPr>
              <w:t>nieprzestrzeganie przepisów ustawy o lasach</w:t>
            </w:r>
          </w:p>
        </w:tc>
        <w:tc>
          <w:tcPr>
            <w:tcW w:w="726" w:type="pct"/>
            <w:tcBorders>
              <w:top w:val="single" w:sz="4" w:space="0" w:color="auto"/>
              <w:left w:val="single" w:sz="4" w:space="0" w:color="auto"/>
              <w:bottom w:val="single" w:sz="4" w:space="0" w:color="auto"/>
              <w:right w:val="single" w:sz="4" w:space="0" w:color="auto"/>
            </w:tcBorders>
            <w:shd w:val="clear" w:color="auto" w:fill="auto"/>
            <w:vAlign w:val="center"/>
          </w:tcPr>
          <w:p w14:paraId="5A2EC200" w14:textId="77777777" w:rsidR="00BE7003" w:rsidRPr="001611DE" w:rsidRDefault="00BE7003"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7</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center"/>
          </w:tcPr>
          <w:p w14:paraId="4ED56153" w14:textId="77777777" w:rsidR="00BE7003" w:rsidRPr="00D53600" w:rsidRDefault="00BE7003" w:rsidP="00056EE7">
            <w:pPr>
              <w:spacing w:after="0" w:line="300" w:lineRule="atLeast"/>
              <w:jc w:val="right"/>
              <w:rPr>
                <w:rFonts w:ascii="Times New Roman" w:eastAsia="Times New Roman" w:hAnsi="Times New Roman" w:cs="Times New Roman"/>
                <w:color w:val="000000"/>
                <w:sz w:val="18"/>
                <w:szCs w:val="18"/>
                <w:lang w:eastAsia="pl-PL"/>
              </w:rPr>
            </w:pPr>
            <w:r w:rsidRPr="00D53600">
              <w:rPr>
                <w:rFonts w:ascii="Times New Roman" w:eastAsia="Times New Roman" w:hAnsi="Times New Roman" w:cs="Times New Roman"/>
                <w:color w:val="000000"/>
                <w:sz w:val="18"/>
                <w:szCs w:val="18"/>
                <w:lang w:eastAsia="pl-PL"/>
              </w:rPr>
              <w:t xml:space="preserve">40 000,00 zł </w:t>
            </w:r>
          </w:p>
        </w:tc>
      </w:tr>
      <w:tr w:rsidR="00BE7003" w:rsidRPr="00DB7C69" w14:paraId="6BBBEC18" w14:textId="77777777" w:rsidTr="009001FB">
        <w:tc>
          <w:tcPr>
            <w:tcW w:w="3274" w:type="pct"/>
            <w:tcBorders>
              <w:top w:val="single" w:sz="4" w:space="0" w:color="auto"/>
              <w:left w:val="single" w:sz="8" w:space="0" w:color="auto"/>
              <w:bottom w:val="single" w:sz="8" w:space="0" w:color="auto"/>
              <w:right w:val="single" w:sz="8" w:space="0" w:color="auto"/>
            </w:tcBorders>
            <w:shd w:val="clear" w:color="auto" w:fill="auto"/>
            <w:vAlign w:val="center"/>
          </w:tcPr>
          <w:p w14:paraId="04249001" w14:textId="77777777" w:rsidR="00BE7003" w:rsidRPr="00DB7C69" w:rsidRDefault="00BE7003" w:rsidP="00056EE7">
            <w:pPr>
              <w:spacing w:after="0" w:line="300" w:lineRule="atLeast"/>
              <w:rPr>
                <w:rFonts w:ascii="Times New Roman" w:eastAsia="Times New Roman" w:hAnsi="Times New Roman" w:cs="Times New Roman"/>
                <w:color w:val="000000"/>
                <w:sz w:val="18"/>
                <w:szCs w:val="18"/>
                <w:lang w:eastAsia="pl-PL"/>
              </w:rPr>
            </w:pPr>
            <w:r w:rsidRPr="00DB7C69">
              <w:rPr>
                <w:rFonts w:ascii="Times New Roman" w:eastAsia="Times New Roman" w:hAnsi="Times New Roman" w:cs="Times New Roman"/>
                <w:color w:val="000000"/>
                <w:sz w:val="18"/>
                <w:szCs w:val="18"/>
                <w:lang w:eastAsia="pl-PL"/>
              </w:rPr>
              <w:t>nieprzestrzeganie przepisów w zakresie międzynarodowego przemieszczania odpadów</w:t>
            </w:r>
          </w:p>
        </w:tc>
        <w:tc>
          <w:tcPr>
            <w:tcW w:w="726" w:type="pct"/>
            <w:tcBorders>
              <w:top w:val="single" w:sz="4" w:space="0" w:color="auto"/>
              <w:left w:val="nil"/>
              <w:bottom w:val="single" w:sz="8" w:space="0" w:color="auto"/>
              <w:right w:val="single" w:sz="8" w:space="0" w:color="auto"/>
            </w:tcBorders>
            <w:shd w:val="clear" w:color="auto" w:fill="auto"/>
            <w:vAlign w:val="center"/>
          </w:tcPr>
          <w:p w14:paraId="09B53B60" w14:textId="77777777" w:rsidR="00BE7003" w:rsidRPr="001611DE" w:rsidRDefault="00BE7003"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7</w:t>
            </w:r>
          </w:p>
        </w:tc>
        <w:tc>
          <w:tcPr>
            <w:tcW w:w="1000" w:type="pct"/>
            <w:tcBorders>
              <w:top w:val="single" w:sz="4" w:space="0" w:color="auto"/>
              <w:left w:val="nil"/>
              <w:bottom w:val="single" w:sz="8" w:space="0" w:color="auto"/>
              <w:right w:val="single" w:sz="8" w:space="0" w:color="auto"/>
            </w:tcBorders>
            <w:shd w:val="clear" w:color="auto" w:fill="auto"/>
            <w:vAlign w:val="center"/>
          </w:tcPr>
          <w:p w14:paraId="08B39085" w14:textId="77777777" w:rsidR="00BE7003" w:rsidRPr="00D53600" w:rsidRDefault="00BE7003" w:rsidP="00056EE7">
            <w:pPr>
              <w:spacing w:after="0" w:line="300" w:lineRule="atLeast"/>
              <w:jc w:val="right"/>
              <w:rPr>
                <w:rFonts w:ascii="Times New Roman" w:eastAsia="Times New Roman" w:hAnsi="Times New Roman" w:cs="Times New Roman"/>
                <w:color w:val="000000"/>
                <w:sz w:val="18"/>
                <w:szCs w:val="18"/>
                <w:lang w:eastAsia="pl-PL"/>
              </w:rPr>
            </w:pPr>
            <w:r w:rsidRPr="00D53600">
              <w:rPr>
                <w:rFonts w:ascii="Times New Roman" w:eastAsia="Times New Roman" w:hAnsi="Times New Roman" w:cs="Times New Roman"/>
                <w:color w:val="000000"/>
                <w:sz w:val="18"/>
                <w:szCs w:val="18"/>
                <w:lang w:eastAsia="pl-PL"/>
              </w:rPr>
              <w:t xml:space="preserve">360 000,00 zł </w:t>
            </w:r>
          </w:p>
        </w:tc>
      </w:tr>
      <w:tr w:rsidR="00BE7003" w:rsidRPr="00DB7C69" w14:paraId="3EBA462B" w14:textId="77777777" w:rsidTr="009001FB">
        <w:tc>
          <w:tcPr>
            <w:tcW w:w="3274" w:type="pct"/>
            <w:tcBorders>
              <w:top w:val="nil"/>
              <w:left w:val="single" w:sz="8" w:space="0" w:color="auto"/>
              <w:bottom w:val="single" w:sz="4" w:space="0" w:color="auto"/>
              <w:right w:val="single" w:sz="8" w:space="0" w:color="auto"/>
            </w:tcBorders>
            <w:shd w:val="clear" w:color="auto" w:fill="auto"/>
            <w:vAlign w:val="center"/>
          </w:tcPr>
          <w:p w14:paraId="235D5440" w14:textId="77777777" w:rsidR="00BE7003" w:rsidRPr="00DB7C69" w:rsidRDefault="00BE7003" w:rsidP="00056EE7">
            <w:pPr>
              <w:spacing w:after="0" w:line="300" w:lineRule="atLeast"/>
              <w:rPr>
                <w:rFonts w:ascii="Times New Roman" w:eastAsia="Times New Roman" w:hAnsi="Times New Roman" w:cs="Times New Roman"/>
                <w:color w:val="000000"/>
                <w:sz w:val="18"/>
                <w:szCs w:val="18"/>
                <w:lang w:eastAsia="pl-PL"/>
              </w:rPr>
            </w:pPr>
            <w:r w:rsidRPr="00DB7C69">
              <w:rPr>
                <w:rFonts w:ascii="Times New Roman" w:eastAsia="Times New Roman" w:hAnsi="Times New Roman" w:cs="Times New Roman"/>
                <w:color w:val="000000"/>
                <w:sz w:val="18"/>
                <w:szCs w:val="18"/>
                <w:lang w:eastAsia="pl-PL"/>
              </w:rPr>
              <w:t>nieprzestrzeganie przepisów o systemie handlu uprawnieniami do emisji gazów cieplarnianych</w:t>
            </w:r>
            <w:r w:rsidRPr="005D2B3D">
              <w:rPr>
                <w:rStyle w:val="Odwoanieprzypisudolnego"/>
                <w:color w:val="000000"/>
                <w:sz w:val="18"/>
                <w:szCs w:val="18"/>
                <w:lang w:eastAsia="pl-PL"/>
              </w:rPr>
              <w:footnoteReference w:id="52"/>
            </w:r>
          </w:p>
        </w:tc>
        <w:tc>
          <w:tcPr>
            <w:tcW w:w="726" w:type="pct"/>
            <w:tcBorders>
              <w:top w:val="nil"/>
              <w:left w:val="nil"/>
              <w:bottom w:val="single" w:sz="4" w:space="0" w:color="auto"/>
              <w:right w:val="single" w:sz="8" w:space="0" w:color="auto"/>
            </w:tcBorders>
            <w:shd w:val="clear" w:color="auto" w:fill="auto"/>
            <w:vAlign w:val="center"/>
          </w:tcPr>
          <w:p w14:paraId="4E75D4B8" w14:textId="77777777" w:rsidR="00BE7003" w:rsidRPr="001611DE" w:rsidRDefault="00BE7003"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5</w:t>
            </w:r>
          </w:p>
        </w:tc>
        <w:tc>
          <w:tcPr>
            <w:tcW w:w="1000" w:type="pct"/>
            <w:tcBorders>
              <w:top w:val="nil"/>
              <w:left w:val="nil"/>
              <w:bottom w:val="single" w:sz="4" w:space="0" w:color="auto"/>
              <w:right w:val="single" w:sz="8" w:space="0" w:color="auto"/>
            </w:tcBorders>
            <w:shd w:val="clear" w:color="auto" w:fill="auto"/>
            <w:vAlign w:val="center"/>
          </w:tcPr>
          <w:p w14:paraId="196E7CE6" w14:textId="77777777" w:rsidR="00BE7003" w:rsidRPr="00D53600" w:rsidRDefault="00BE7003" w:rsidP="00056EE7">
            <w:pPr>
              <w:spacing w:after="0" w:line="300" w:lineRule="atLeast"/>
              <w:jc w:val="right"/>
              <w:rPr>
                <w:rFonts w:ascii="Times New Roman" w:eastAsia="Times New Roman" w:hAnsi="Times New Roman" w:cs="Times New Roman"/>
                <w:color w:val="000000"/>
                <w:sz w:val="18"/>
                <w:szCs w:val="18"/>
                <w:lang w:eastAsia="pl-PL"/>
              </w:rPr>
            </w:pPr>
            <w:r w:rsidRPr="00D53600">
              <w:rPr>
                <w:rFonts w:ascii="Times New Roman" w:eastAsia="Times New Roman" w:hAnsi="Times New Roman" w:cs="Times New Roman"/>
                <w:color w:val="000000"/>
                <w:sz w:val="18"/>
                <w:szCs w:val="18"/>
                <w:lang w:eastAsia="pl-PL"/>
              </w:rPr>
              <w:t>210 000,00 zł</w:t>
            </w:r>
          </w:p>
        </w:tc>
      </w:tr>
      <w:tr w:rsidR="00BE7003" w:rsidRPr="00DB7C69" w14:paraId="226964C5" w14:textId="77777777" w:rsidTr="009001FB">
        <w:tc>
          <w:tcPr>
            <w:tcW w:w="3274" w:type="pct"/>
            <w:tcBorders>
              <w:top w:val="single" w:sz="4" w:space="0" w:color="auto"/>
              <w:left w:val="single" w:sz="4" w:space="0" w:color="auto"/>
              <w:bottom w:val="single" w:sz="4" w:space="0" w:color="auto"/>
              <w:right w:val="single" w:sz="4" w:space="0" w:color="auto"/>
            </w:tcBorders>
            <w:shd w:val="clear" w:color="auto" w:fill="auto"/>
            <w:vAlign w:val="center"/>
          </w:tcPr>
          <w:p w14:paraId="0B22A575" w14:textId="77777777" w:rsidR="00BE7003" w:rsidRPr="00DB7C69" w:rsidRDefault="00BE7003" w:rsidP="00056EE7">
            <w:pPr>
              <w:spacing w:after="0" w:line="300" w:lineRule="atLeast"/>
              <w:rPr>
                <w:rFonts w:ascii="Times New Roman" w:eastAsia="Times New Roman" w:hAnsi="Times New Roman" w:cs="Times New Roman"/>
                <w:color w:val="000000"/>
                <w:sz w:val="18"/>
                <w:szCs w:val="18"/>
                <w:lang w:eastAsia="pl-PL"/>
              </w:rPr>
            </w:pPr>
            <w:r w:rsidRPr="00DB7C69">
              <w:rPr>
                <w:rFonts w:ascii="Times New Roman" w:eastAsia="Times New Roman" w:hAnsi="Times New Roman" w:cs="Times New Roman"/>
                <w:color w:val="000000"/>
                <w:sz w:val="18"/>
                <w:szCs w:val="18"/>
                <w:lang w:eastAsia="pl-PL"/>
              </w:rPr>
              <w:t>nieprzestrzeganie przepisów ustawy o bateriach i akumulatorach</w:t>
            </w:r>
          </w:p>
        </w:tc>
        <w:tc>
          <w:tcPr>
            <w:tcW w:w="726" w:type="pct"/>
            <w:tcBorders>
              <w:top w:val="single" w:sz="4" w:space="0" w:color="auto"/>
              <w:left w:val="single" w:sz="4" w:space="0" w:color="auto"/>
              <w:bottom w:val="single" w:sz="4" w:space="0" w:color="auto"/>
              <w:right w:val="single" w:sz="4" w:space="0" w:color="auto"/>
            </w:tcBorders>
            <w:shd w:val="clear" w:color="auto" w:fill="auto"/>
            <w:vAlign w:val="center"/>
          </w:tcPr>
          <w:p w14:paraId="4B323812" w14:textId="77777777" w:rsidR="00BE7003" w:rsidRPr="001611DE" w:rsidRDefault="00BE7003"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4</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center"/>
          </w:tcPr>
          <w:p w14:paraId="609DD7B7" w14:textId="77777777" w:rsidR="00BE7003" w:rsidRPr="00D53600" w:rsidRDefault="00BE7003" w:rsidP="00056EE7">
            <w:pPr>
              <w:spacing w:after="0" w:line="300" w:lineRule="atLeast"/>
              <w:jc w:val="right"/>
              <w:rPr>
                <w:rFonts w:ascii="Times New Roman" w:eastAsia="Times New Roman" w:hAnsi="Times New Roman" w:cs="Times New Roman"/>
                <w:color w:val="000000"/>
                <w:sz w:val="18"/>
                <w:szCs w:val="18"/>
                <w:lang w:eastAsia="pl-PL"/>
              </w:rPr>
            </w:pPr>
            <w:r w:rsidRPr="00D53600">
              <w:rPr>
                <w:rFonts w:ascii="Times New Roman" w:eastAsia="Times New Roman" w:hAnsi="Times New Roman" w:cs="Times New Roman"/>
                <w:color w:val="000000"/>
                <w:sz w:val="18"/>
                <w:szCs w:val="18"/>
                <w:lang w:eastAsia="pl-PL"/>
              </w:rPr>
              <w:t xml:space="preserve">55 000,00 zł </w:t>
            </w:r>
          </w:p>
        </w:tc>
      </w:tr>
      <w:tr w:rsidR="009001FB" w:rsidRPr="00DB7C69" w14:paraId="52AB739E" w14:textId="77777777" w:rsidTr="009001FB">
        <w:tc>
          <w:tcPr>
            <w:tcW w:w="3274" w:type="pct"/>
            <w:tcBorders>
              <w:top w:val="single" w:sz="4" w:space="0" w:color="auto"/>
              <w:left w:val="single" w:sz="8" w:space="0" w:color="auto"/>
              <w:bottom w:val="single" w:sz="4" w:space="0" w:color="auto"/>
              <w:right w:val="single" w:sz="8" w:space="0" w:color="auto"/>
            </w:tcBorders>
            <w:shd w:val="clear" w:color="auto" w:fill="auto"/>
            <w:vAlign w:val="center"/>
          </w:tcPr>
          <w:p w14:paraId="404B9283" w14:textId="77777777" w:rsidR="009001FB" w:rsidRPr="00DB7C69" w:rsidRDefault="009001FB" w:rsidP="009001FB">
            <w:pPr>
              <w:spacing w:after="0" w:line="300" w:lineRule="atLeast"/>
              <w:rPr>
                <w:rFonts w:ascii="Times New Roman" w:eastAsia="Times New Roman" w:hAnsi="Times New Roman" w:cs="Times New Roman"/>
                <w:color w:val="000000"/>
                <w:sz w:val="18"/>
                <w:szCs w:val="18"/>
                <w:lang w:eastAsia="pl-PL"/>
              </w:rPr>
            </w:pPr>
            <w:r w:rsidRPr="00DB7C69">
              <w:rPr>
                <w:rFonts w:ascii="Times New Roman" w:eastAsia="Times New Roman" w:hAnsi="Times New Roman" w:cs="Times New Roman"/>
                <w:color w:val="000000"/>
                <w:sz w:val="18"/>
                <w:szCs w:val="18"/>
                <w:lang w:eastAsia="pl-PL"/>
              </w:rPr>
              <w:t>składowanie i magazynowanie odpadów</w:t>
            </w:r>
          </w:p>
        </w:tc>
        <w:tc>
          <w:tcPr>
            <w:tcW w:w="726" w:type="pct"/>
            <w:tcBorders>
              <w:top w:val="single" w:sz="4" w:space="0" w:color="auto"/>
              <w:left w:val="nil"/>
              <w:bottom w:val="single" w:sz="4" w:space="0" w:color="auto"/>
              <w:right w:val="single" w:sz="8" w:space="0" w:color="auto"/>
            </w:tcBorders>
            <w:shd w:val="clear" w:color="auto" w:fill="auto"/>
            <w:vAlign w:val="center"/>
          </w:tcPr>
          <w:p w14:paraId="2E40873B" w14:textId="661F1B4C" w:rsidR="009001FB" w:rsidRPr="001611DE" w:rsidRDefault="009001FB" w:rsidP="009001FB">
            <w:pPr>
              <w:spacing w:after="0" w:line="300" w:lineRule="atLeast"/>
              <w:jc w:val="center"/>
              <w:rPr>
                <w:rFonts w:ascii="Times New Roman" w:eastAsia="Times New Roman" w:hAnsi="Times New Roman" w:cs="Times New Roman"/>
                <w:color w:val="000000"/>
                <w:sz w:val="18"/>
                <w:szCs w:val="18"/>
                <w:lang w:eastAsia="pl-PL"/>
              </w:rPr>
            </w:pPr>
            <w:r>
              <w:rPr>
                <w:rFonts w:ascii="Times New Roman" w:eastAsia="Times New Roman" w:hAnsi="Times New Roman" w:cs="Times New Roman"/>
                <w:color w:val="000000"/>
                <w:sz w:val="18"/>
                <w:szCs w:val="18"/>
                <w:lang w:eastAsia="pl-PL"/>
              </w:rPr>
              <w:t>3</w:t>
            </w:r>
          </w:p>
        </w:tc>
        <w:tc>
          <w:tcPr>
            <w:tcW w:w="1000" w:type="pct"/>
            <w:tcBorders>
              <w:top w:val="single" w:sz="4" w:space="0" w:color="auto"/>
              <w:left w:val="nil"/>
              <w:bottom w:val="single" w:sz="4" w:space="0" w:color="auto"/>
              <w:right w:val="single" w:sz="8" w:space="0" w:color="auto"/>
            </w:tcBorders>
            <w:shd w:val="clear" w:color="auto" w:fill="auto"/>
            <w:vAlign w:val="center"/>
          </w:tcPr>
          <w:p w14:paraId="7C909B87" w14:textId="52671597" w:rsidR="009001FB" w:rsidRPr="00D53600" w:rsidRDefault="009001FB" w:rsidP="009001FB">
            <w:pPr>
              <w:spacing w:after="0" w:line="300" w:lineRule="atLeast"/>
              <w:jc w:val="right"/>
              <w:rPr>
                <w:rFonts w:ascii="Times New Roman" w:eastAsia="Times New Roman" w:hAnsi="Times New Roman" w:cs="Times New Roman"/>
                <w:color w:val="000000"/>
                <w:sz w:val="18"/>
                <w:szCs w:val="18"/>
                <w:lang w:eastAsia="pl-PL"/>
              </w:rPr>
            </w:pPr>
            <w:r>
              <w:rPr>
                <w:rFonts w:ascii="Times New Roman" w:eastAsia="Times New Roman" w:hAnsi="Times New Roman" w:cs="Times New Roman"/>
                <w:color w:val="000000"/>
                <w:sz w:val="18"/>
                <w:szCs w:val="18"/>
                <w:lang w:eastAsia="pl-PL"/>
              </w:rPr>
              <w:t>1 932 555,00</w:t>
            </w:r>
            <w:r w:rsidRPr="00D53600">
              <w:rPr>
                <w:rFonts w:ascii="Times New Roman" w:eastAsia="Times New Roman" w:hAnsi="Times New Roman" w:cs="Times New Roman"/>
                <w:color w:val="000000"/>
                <w:sz w:val="18"/>
                <w:szCs w:val="18"/>
                <w:lang w:eastAsia="pl-PL"/>
              </w:rPr>
              <w:t xml:space="preserve"> zł </w:t>
            </w:r>
          </w:p>
        </w:tc>
      </w:tr>
      <w:tr w:rsidR="00BE7003" w:rsidRPr="00DB7C69" w14:paraId="23EDC3E6" w14:textId="77777777" w:rsidTr="009001FB">
        <w:tc>
          <w:tcPr>
            <w:tcW w:w="3274" w:type="pct"/>
            <w:tcBorders>
              <w:top w:val="single" w:sz="4" w:space="0" w:color="auto"/>
              <w:left w:val="single" w:sz="4" w:space="0" w:color="auto"/>
              <w:bottom w:val="single" w:sz="4" w:space="0" w:color="auto"/>
              <w:right w:val="single" w:sz="4" w:space="0" w:color="auto"/>
            </w:tcBorders>
            <w:shd w:val="clear" w:color="auto" w:fill="auto"/>
            <w:vAlign w:val="center"/>
          </w:tcPr>
          <w:p w14:paraId="167F4BB1" w14:textId="77777777" w:rsidR="00BE7003" w:rsidRPr="00DB7C69" w:rsidRDefault="00BE7003" w:rsidP="00056EE7">
            <w:pPr>
              <w:spacing w:after="0" w:line="300" w:lineRule="atLeast"/>
              <w:rPr>
                <w:rFonts w:ascii="Times New Roman" w:eastAsia="Times New Roman" w:hAnsi="Times New Roman" w:cs="Times New Roman"/>
                <w:color w:val="000000"/>
                <w:sz w:val="18"/>
                <w:szCs w:val="18"/>
                <w:lang w:eastAsia="pl-PL"/>
              </w:rPr>
            </w:pPr>
            <w:r w:rsidRPr="00DB7C69">
              <w:rPr>
                <w:rFonts w:ascii="Times New Roman" w:eastAsia="Times New Roman" w:hAnsi="Times New Roman" w:cs="Times New Roman"/>
                <w:color w:val="000000"/>
                <w:sz w:val="18"/>
                <w:szCs w:val="18"/>
                <w:lang w:eastAsia="pl-PL"/>
              </w:rPr>
              <w:t>nieprzestrzeganie przepisów ustawy o systemach homologacji typu UE i</w:t>
            </w:r>
            <w:r>
              <w:rPr>
                <w:rFonts w:ascii="Times New Roman" w:eastAsia="Times New Roman" w:hAnsi="Times New Roman" w:cs="Times New Roman"/>
                <w:color w:val="000000"/>
                <w:sz w:val="18"/>
                <w:szCs w:val="18"/>
                <w:lang w:eastAsia="pl-PL"/>
              </w:rPr>
              <w:t> </w:t>
            </w:r>
            <w:r w:rsidRPr="00DB7C69">
              <w:rPr>
                <w:rFonts w:ascii="Times New Roman" w:eastAsia="Times New Roman" w:hAnsi="Times New Roman" w:cs="Times New Roman"/>
                <w:color w:val="000000"/>
                <w:sz w:val="18"/>
                <w:szCs w:val="18"/>
                <w:lang w:eastAsia="pl-PL"/>
              </w:rPr>
              <w:t>nadzoru rynku silników spalinowych przeznaczonych do maszyn mobilnych nieporuszających się po drogach</w:t>
            </w:r>
          </w:p>
        </w:tc>
        <w:tc>
          <w:tcPr>
            <w:tcW w:w="726" w:type="pct"/>
            <w:tcBorders>
              <w:top w:val="single" w:sz="4" w:space="0" w:color="auto"/>
              <w:left w:val="single" w:sz="4" w:space="0" w:color="auto"/>
              <w:bottom w:val="single" w:sz="4" w:space="0" w:color="auto"/>
              <w:right w:val="single" w:sz="4" w:space="0" w:color="auto"/>
            </w:tcBorders>
            <w:shd w:val="clear" w:color="auto" w:fill="auto"/>
            <w:vAlign w:val="center"/>
          </w:tcPr>
          <w:p w14:paraId="2C87903B" w14:textId="77777777" w:rsidR="00BE7003" w:rsidRPr="001611DE" w:rsidRDefault="00BE7003"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2</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center"/>
          </w:tcPr>
          <w:p w14:paraId="67B4F37C" w14:textId="77777777" w:rsidR="00BE7003" w:rsidRPr="0069458A" w:rsidRDefault="00BE7003"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2 000,00 zł </w:t>
            </w:r>
          </w:p>
        </w:tc>
      </w:tr>
      <w:tr w:rsidR="00BE7003" w:rsidRPr="00DB7C69" w14:paraId="66F17406" w14:textId="77777777" w:rsidTr="009001FB">
        <w:tc>
          <w:tcPr>
            <w:tcW w:w="32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811EF3" w14:textId="77777777" w:rsidR="00BE7003" w:rsidRPr="00DB7C69" w:rsidRDefault="00BE7003" w:rsidP="00056EE7">
            <w:pPr>
              <w:spacing w:after="0" w:line="300" w:lineRule="atLeast"/>
              <w:rPr>
                <w:rFonts w:ascii="Times New Roman" w:eastAsia="Times New Roman" w:hAnsi="Times New Roman" w:cs="Times New Roman"/>
                <w:color w:val="000000"/>
                <w:sz w:val="18"/>
                <w:szCs w:val="18"/>
                <w:lang w:eastAsia="pl-PL"/>
              </w:rPr>
            </w:pPr>
            <w:r w:rsidRPr="00DB7C69">
              <w:rPr>
                <w:rFonts w:ascii="Times New Roman" w:eastAsia="Times New Roman" w:hAnsi="Times New Roman" w:cs="Times New Roman"/>
                <w:color w:val="000000"/>
                <w:sz w:val="18"/>
                <w:szCs w:val="18"/>
                <w:lang w:eastAsia="pl-PL"/>
              </w:rPr>
              <w:t xml:space="preserve">nieprzestrzeganie przepisów w zakresie przekazywania danych identyfikujących i strategicznych map hałasu oraz dotyczących programu ochrony środowiska przed hałasem </w:t>
            </w:r>
          </w:p>
        </w:tc>
        <w:tc>
          <w:tcPr>
            <w:tcW w:w="7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8D4CA9" w14:textId="77777777" w:rsidR="00BE7003" w:rsidRPr="001611DE" w:rsidRDefault="00BE7003"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1</w:t>
            </w:r>
          </w:p>
        </w:tc>
        <w:tc>
          <w:tcPr>
            <w:tcW w:w="1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C2B6F4" w14:textId="77777777" w:rsidR="00BE7003" w:rsidRPr="0069458A" w:rsidRDefault="00BE7003"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500 000,00 zł </w:t>
            </w:r>
          </w:p>
        </w:tc>
      </w:tr>
      <w:tr w:rsidR="00BE7003" w:rsidRPr="00DB7C69" w14:paraId="1CC88C62" w14:textId="77777777" w:rsidTr="009001FB">
        <w:tc>
          <w:tcPr>
            <w:tcW w:w="3274" w:type="pct"/>
            <w:tcBorders>
              <w:top w:val="single" w:sz="4" w:space="0" w:color="auto"/>
              <w:left w:val="single" w:sz="4" w:space="0" w:color="auto"/>
              <w:bottom w:val="single" w:sz="4" w:space="0" w:color="auto"/>
              <w:right w:val="single" w:sz="4" w:space="0" w:color="auto"/>
            </w:tcBorders>
            <w:shd w:val="clear" w:color="auto" w:fill="auto"/>
            <w:vAlign w:val="center"/>
          </w:tcPr>
          <w:p w14:paraId="57FCEBA9" w14:textId="77777777" w:rsidR="00BE7003" w:rsidRPr="00DB7C69" w:rsidRDefault="00BE7003" w:rsidP="00056EE7">
            <w:pPr>
              <w:spacing w:after="0" w:line="300" w:lineRule="atLeast"/>
              <w:rPr>
                <w:rFonts w:ascii="Times New Roman" w:eastAsia="Times New Roman" w:hAnsi="Times New Roman" w:cs="Times New Roman"/>
                <w:color w:val="000000"/>
                <w:sz w:val="18"/>
                <w:szCs w:val="18"/>
                <w:lang w:eastAsia="pl-PL"/>
              </w:rPr>
            </w:pPr>
            <w:r w:rsidRPr="00DB7C69">
              <w:rPr>
                <w:rFonts w:ascii="Times New Roman" w:eastAsia="Times New Roman" w:hAnsi="Times New Roman" w:cs="Times New Roman"/>
                <w:color w:val="000000"/>
                <w:sz w:val="18"/>
                <w:szCs w:val="18"/>
                <w:lang w:eastAsia="pl-PL"/>
              </w:rPr>
              <w:t>przekroczenie ustalonych warunków poboru wody</w:t>
            </w:r>
          </w:p>
        </w:tc>
        <w:tc>
          <w:tcPr>
            <w:tcW w:w="72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E9984D" w14:textId="77777777" w:rsidR="00BE7003" w:rsidRPr="001611DE" w:rsidRDefault="00BE7003"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1</w:t>
            </w:r>
          </w:p>
        </w:tc>
        <w:tc>
          <w:tcPr>
            <w:tcW w:w="10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8476A6" w14:textId="77777777" w:rsidR="00BE7003" w:rsidRPr="0069458A" w:rsidRDefault="00BE7003"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1 083,00 zł </w:t>
            </w:r>
          </w:p>
        </w:tc>
      </w:tr>
      <w:tr w:rsidR="00633E13" w:rsidRPr="00DB7C69" w14:paraId="53CB52F9" w14:textId="77777777" w:rsidTr="009001FB">
        <w:tc>
          <w:tcPr>
            <w:tcW w:w="32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BE496B" w14:textId="32AECB01" w:rsidR="00633E13" w:rsidRPr="00DB7C69" w:rsidRDefault="00633E13" w:rsidP="00633E13">
            <w:pPr>
              <w:spacing w:after="0" w:line="300" w:lineRule="atLeast"/>
              <w:rPr>
                <w:rFonts w:ascii="Times New Roman" w:eastAsia="Times New Roman" w:hAnsi="Times New Roman" w:cs="Times New Roman"/>
                <w:b/>
                <w:bCs/>
                <w:color w:val="000000"/>
                <w:sz w:val="18"/>
                <w:szCs w:val="18"/>
                <w:lang w:eastAsia="pl-PL"/>
              </w:rPr>
            </w:pPr>
            <w:r w:rsidRPr="00DB7C69">
              <w:rPr>
                <w:rFonts w:ascii="Times New Roman" w:eastAsia="Times New Roman" w:hAnsi="Times New Roman" w:cs="Times New Roman"/>
                <w:b/>
                <w:bCs/>
                <w:color w:val="000000"/>
                <w:sz w:val="18"/>
                <w:szCs w:val="18"/>
                <w:lang w:eastAsia="pl-PL"/>
              </w:rPr>
              <w:t xml:space="preserve">Ogółem </w:t>
            </w:r>
            <w:r>
              <w:rPr>
                <w:rFonts w:ascii="Times New Roman" w:eastAsia="Times New Roman" w:hAnsi="Times New Roman" w:cs="Times New Roman"/>
                <w:b/>
                <w:bCs/>
                <w:color w:val="000000"/>
                <w:sz w:val="18"/>
                <w:szCs w:val="18"/>
                <w:lang w:eastAsia="pl-PL"/>
              </w:rPr>
              <w:t>–</w:t>
            </w:r>
            <w:r w:rsidRPr="00DB7C69">
              <w:rPr>
                <w:rFonts w:ascii="Times New Roman" w:eastAsia="Times New Roman" w:hAnsi="Times New Roman" w:cs="Times New Roman"/>
                <w:b/>
                <w:bCs/>
                <w:color w:val="000000"/>
                <w:sz w:val="18"/>
                <w:szCs w:val="18"/>
                <w:lang w:eastAsia="pl-PL"/>
              </w:rPr>
              <w:t xml:space="preserve"> kary</w:t>
            </w:r>
          </w:p>
        </w:tc>
        <w:tc>
          <w:tcPr>
            <w:tcW w:w="7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136218" w14:textId="03629A19" w:rsidR="00633E13" w:rsidRPr="001611DE" w:rsidRDefault="00633E13" w:rsidP="00633E13">
            <w:pPr>
              <w:spacing w:after="0" w:line="300" w:lineRule="atLeast"/>
              <w:jc w:val="center"/>
              <w:rPr>
                <w:rFonts w:ascii="Times New Roman" w:eastAsia="Times New Roman" w:hAnsi="Times New Roman" w:cs="Times New Roman"/>
                <w:b/>
                <w:bCs/>
                <w:color w:val="000000"/>
                <w:sz w:val="18"/>
                <w:szCs w:val="18"/>
                <w:lang w:eastAsia="pl-PL"/>
              </w:rPr>
            </w:pPr>
            <w:r w:rsidRPr="001611DE">
              <w:rPr>
                <w:rFonts w:ascii="Times New Roman" w:eastAsia="Times New Roman" w:hAnsi="Times New Roman" w:cs="Times New Roman"/>
                <w:b/>
                <w:bCs/>
                <w:color w:val="000000"/>
                <w:sz w:val="18"/>
                <w:szCs w:val="18"/>
                <w:lang w:eastAsia="pl-PL"/>
              </w:rPr>
              <w:t>3 05</w:t>
            </w:r>
            <w:r>
              <w:rPr>
                <w:rFonts w:ascii="Times New Roman" w:eastAsia="Times New Roman" w:hAnsi="Times New Roman" w:cs="Times New Roman"/>
                <w:b/>
                <w:bCs/>
                <w:color w:val="000000"/>
                <w:sz w:val="18"/>
                <w:szCs w:val="18"/>
                <w:lang w:eastAsia="pl-PL"/>
              </w:rPr>
              <w:t>6</w:t>
            </w:r>
          </w:p>
        </w:tc>
        <w:tc>
          <w:tcPr>
            <w:tcW w:w="1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A6EC7D" w14:textId="3ABFF826" w:rsidR="00633E13" w:rsidRPr="0069458A" w:rsidRDefault="00633E13" w:rsidP="00633E13">
            <w:pPr>
              <w:spacing w:after="0" w:line="300" w:lineRule="atLeast"/>
              <w:jc w:val="right"/>
              <w:rPr>
                <w:rFonts w:ascii="Times New Roman" w:eastAsia="Times New Roman" w:hAnsi="Times New Roman" w:cs="Times New Roman"/>
                <w:b/>
                <w:bCs/>
                <w:color w:val="000000"/>
                <w:sz w:val="18"/>
                <w:szCs w:val="18"/>
                <w:lang w:eastAsia="pl-PL"/>
              </w:rPr>
            </w:pPr>
            <w:r>
              <w:rPr>
                <w:rFonts w:ascii="Times New Roman" w:eastAsia="Times New Roman" w:hAnsi="Times New Roman" w:cs="Times New Roman"/>
                <w:b/>
                <w:bCs/>
                <w:color w:val="000000"/>
                <w:sz w:val="18"/>
                <w:szCs w:val="18"/>
                <w:lang w:eastAsia="pl-PL"/>
              </w:rPr>
              <w:t>44 537 497,42</w:t>
            </w:r>
            <w:r w:rsidRPr="0069458A">
              <w:rPr>
                <w:rFonts w:ascii="Times New Roman" w:eastAsia="Times New Roman" w:hAnsi="Times New Roman" w:cs="Times New Roman"/>
                <w:b/>
                <w:bCs/>
                <w:color w:val="000000"/>
                <w:sz w:val="18"/>
                <w:szCs w:val="18"/>
                <w:lang w:eastAsia="pl-PL"/>
              </w:rPr>
              <w:t xml:space="preserve"> zł</w:t>
            </w:r>
          </w:p>
        </w:tc>
      </w:tr>
      <w:tr w:rsidR="00BE7003" w:rsidRPr="00DB7C69" w14:paraId="3775BD70" w14:textId="77777777" w:rsidTr="009001FB">
        <w:tc>
          <w:tcPr>
            <w:tcW w:w="3274" w:type="pct"/>
            <w:tcBorders>
              <w:top w:val="single" w:sz="4" w:space="0" w:color="auto"/>
              <w:left w:val="single" w:sz="8" w:space="0" w:color="auto"/>
              <w:bottom w:val="single" w:sz="8" w:space="0" w:color="auto"/>
              <w:right w:val="single" w:sz="8" w:space="0" w:color="auto"/>
            </w:tcBorders>
            <w:shd w:val="clear" w:color="auto" w:fill="auto"/>
            <w:vAlign w:val="center"/>
            <w:hideMark/>
          </w:tcPr>
          <w:p w14:paraId="3A3AF2F3" w14:textId="77777777" w:rsidR="00BE7003" w:rsidRPr="00DB7C69" w:rsidRDefault="00BE7003" w:rsidP="00056EE7">
            <w:pPr>
              <w:spacing w:after="0" w:line="300" w:lineRule="atLeast"/>
              <w:rPr>
                <w:rFonts w:ascii="Times New Roman" w:eastAsia="Times New Roman" w:hAnsi="Times New Roman" w:cs="Times New Roman"/>
                <w:b/>
                <w:bCs/>
                <w:color w:val="000000"/>
                <w:sz w:val="18"/>
                <w:szCs w:val="18"/>
                <w:lang w:eastAsia="pl-PL"/>
              </w:rPr>
            </w:pPr>
            <w:r w:rsidRPr="00DB7C69">
              <w:rPr>
                <w:rFonts w:ascii="Times New Roman" w:eastAsia="Times New Roman" w:hAnsi="Times New Roman" w:cs="Times New Roman"/>
                <w:b/>
                <w:bCs/>
                <w:color w:val="000000"/>
                <w:sz w:val="18"/>
                <w:szCs w:val="18"/>
                <w:lang w:eastAsia="pl-PL"/>
              </w:rPr>
              <w:lastRenderedPageBreak/>
              <w:t>Opłaty</w:t>
            </w:r>
            <w:r>
              <w:rPr>
                <w:rFonts w:ascii="Times New Roman" w:eastAsia="Times New Roman" w:hAnsi="Times New Roman" w:cs="Times New Roman"/>
                <w:b/>
                <w:bCs/>
                <w:color w:val="000000"/>
                <w:sz w:val="18"/>
                <w:szCs w:val="18"/>
                <w:lang w:eastAsia="pl-PL"/>
              </w:rPr>
              <w:t xml:space="preserve"> oraz </w:t>
            </w:r>
            <w:r w:rsidRPr="00DB7C69">
              <w:rPr>
                <w:rFonts w:ascii="Times New Roman" w:eastAsia="Times New Roman" w:hAnsi="Times New Roman" w:cs="Times New Roman"/>
                <w:b/>
                <w:bCs/>
                <w:color w:val="000000"/>
                <w:sz w:val="18"/>
                <w:szCs w:val="18"/>
                <w:lang w:eastAsia="pl-PL"/>
              </w:rPr>
              <w:t>opłaty podwyższone za:</w:t>
            </w:r>
          </w:p>
        </w:tc>
        <w:tc>
          <w:tcPr>
            <w:tcW w:w="726" w:type="pct"/>
            <w:tcBorders>
              <w:top w:val="single" w:sz="4" w:space="0" w:color="auto"/>
              <w:left w:val="nil"/>
              <w:bottom w:val="single" w:sz="8" w:space="0" w:color="auto"/>
              <w:right w:val="single" w:sz="8" w:space="0" w:color="auto"/>
            </w:tcBorders>
            <w:shd w:val="clear" w:color="auto" w:fill="auto"/>
            <w:vAlign w:val="center"/>
            <w:hideMark/>
          </w:tcPr>
          <w:p w14:paraId="02871B9D" w14:textId="77777777" w:rsidR="00BE7003" w:rsidRPr="001611DE" w:rsidRDefault="00BE7003" w:rsidP="00056EE7">
            <w:pPr>
              <w:spacing w:after="0" w:line="300" w:lineRule="atLeast"/>
              <w:jc w:val="center"/>
              <w:rPr>
                <w:rFonts w:ascii="Times New Roman" w:eastAsia="Times New Roman" w:hAnsi="Times New Roman" w:cs="Times New Roman"/>
                <w:b/>
                <w:bCs/>
                <w:color w:val="000000"/>
                <w:sz w:val="18"/>
                <w:szCs w:val="18"/>
                <w:lang w:eastAsia="pl-PL"/>
              </w:rPr>
            </w:pPr>
            <w:r w:rsidRPr="001611DE">
              <w:rPr>
                <w:rFonts w:ascii="Times New Roman" w:eastAsia="Times New Roman" w:hAnsi="Times New Roman" w:cs="Times New Roman"/>
                <w:b/>
                <w:bCs/>
                <w:color w:val="000000"/>
                <w:sz w:val="18"/>
                <w:szCs w:val="18"/>
                <w:lang w:eastAsia="pl-PL"/>
              </w:rPr>
              <w:t> </w:t>
            </w:r>
          </w:p>
        </w:tc>
        <w:tc>
          <w:tcPr>
            <w:tcW w:w="1000" w:type="pct"/>
            <w:tcBorders>
              <w:top w:val="single" w:sz="4" w:space="0" w:color="auto"/>
              <w:left w:val="nil"/>
              <w:bottom w:val="single" w:sz="8" w:space="0" w:color="auto"/>
              <w:right w:val="single" w:sz="8" w:space="0" w:color="auto"/>
            </w:tcBorders>
            <w:shd w:val="clear" w:color="auto" w:fill="auto"/>
            <w:noWrap/>
            <w:vAlign w:val="center"/>
            <w:hideMark/>
          </w:tcPr>
          <w:p w14:paraId="143B0684" w14:textId="77777777" w:rsidR="00BE7003" w:rsidRPr="0069458A" w:rsidRDefault="00BE7003" w:rsidP="00056EE7">
            <w:pPr>
              <w:spacing w:after="0" w:line="300" w:lineRule="atLeast"/>
              <w:jc w:val="center"/>
              <w:rPr>
                <w:rFonts w:ascii="Times New Roman" w:eastAsia="Times New Roman" w:hAnsi="Times New Roman" w:cs="Times New Roman"/>
                <w:b/>
                <w:bCs/>
                <w:color w:val="000000"/>
                <w:sz w:val="18"/>
                <w:szCs w:val="18"/>
                <w:lang w:eastAsia="pl-PL"/>
              </w:rPr>
            </w:pPr>
            <w:r w:rsidRPr="0069458A">
              <w:rPr>
                <w:rFonts w:ascii="Times New Roman" w:eastAsia="Times New Roman" w:hAnsi="Times New Roman" w:cs="Times New Roman"/>
                <w:b/>
                <w:bCs/>
                <w:color w:val="000000"/>
                <w:sz w:val="18"/>
                <w:szCs w:val="18"/>
                <w:lang w:eastAsia="pl-PL"/>
              </w:rPr>
              <w:t> </w:t>
            </w:r>
          </w:p>
        </w:tc>
      </w:tr>
      <w:tr w:rsidR="00633E13" w:rsidRPr="00DB7C69" w14:paraId="5193B146" w14:textId="77777777" w:rsidTr="009001FB">
        <w:tc>
          <w:tcPr>
            <w:tcW w:w="3274" w:type="pct"/>
            <w:tcBorders>
              <w:top w:val="nil"/>
              <w:left w:val="single" w:sz="8" w:space="0" w:color="auto"/>
              <w:bottom w:val="single" w:sz="8" w:space="0" w:color="auto"/>
              <w:right w:val="single" w:sz="8" w:space="0" w:color="auto"/>
            </w:tcBorders>
            <w:shd w:val="clear" w:color="auto" w:fill="auto"/>
            <w:vAlign w:val="center"/>
          </w:tcPr>
          <w:p w14:paraId="3AF1471B" w14:textId="77777777" w:rsidR="00633E13" w:rsidRPr="00DB7C69" w:rsidRDefault="00633E13" w:rsidP="00633E13">
            <w:pPr>
              <w:spacing w:after="0" w:line="300" w:lineRule="atLeast"/>
              <w:rPr>
                <w:rFonts w:ascii="Times New Roman" w:eastAsia="Times New Roman" w:hAnsi="Times New Roman" w:cs="Times New Roman"/>
                <w:color w:val="000000"/>
                <w:sz w:val="18"/>
                <w:szCs w:val="18"/>
                <w:lang w:eastAsia="pl-PL"/>
              </w:rPr>
            </w:pPr>
            <w:r w:rsidRPr="00DB7C69">
              <w:rPr>
                <w:rFonts w:ascii="Times New Roman" w:eastAsia="Times New Roman" w:hAnsi="Times New Roman" w:cs="Times New Roman"/>
                <w:color w:val="000000"/>
                <w:sz w:val="18"/>
                <w:szCs w:val="18"/>
                <w:lang w:eastAsia="pl-PL"/>
              </w:rPr>
              <w:t>wprowadzanie do wód lub do ziemi ścieków z przekroczeniem warunków określonych w pozwoleniu</w:t>
            </w:r>
          </w:p>
        </w:tc>
        <w:tc>
          <w:tcPr>
            <w:tcW w:w="726" w:type="pct"/>
            <w:tcBorders>
              <w:top w:val="nil"/>
              <w:left w:val="nil"/>
              <w:bottom w:val="single" w:sz="8" w:space="0" w:color="auto"/>
              <w:right w:val="single" w:sz="8" w:space="0" w:color="auto"/>
            </w:tcBorders>
            <w:shd w:val="clear" w:color="auto" w:fill="auto"/>
            <w:noWrap/>
            <w:vAlign w:val="center"/>
          </w:tcPr>
          <w:p w14:paraId="5541B358" w14:textId="40505168" w:rsidR="00633E13" w:rsidRPr="001611DE" w:rsidRDefault="00633E13" w:rsidP="00633E13">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345</w:t>
            </w:r>
          </w:p>
        </w:tc>
        <w:tc>
          <w:tcPr>
            <w:tcW w:w="1000" w:type="pct"/>
            <w:tcBorders>
              <w:top w:val="nil"/>
              <w:left w:val="nil"/>
              <w:bottom w:val="single" w:sz="8" w:space="0" w:color="auto"/>
              <w:right w:val="single" w:sz="8" w:space="0" w:color="auto"/>
            </w:tcBorders>
            <w:shd w:val="clear" w:color="auto" w:fill="auto"/>
            <w:noWrap/>
            <w:vAlign w:val="center"/>
          </w:tcPr>
          <w:p w14:paraId="548A1D52" w14:textId="644FC76A" w:rsidR="00633E13" w:rsidRPr="0069458A" w:rsidRDefault="00633E13" w:rsidP="00633E13">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17</w:t>
            </w:r>
            <w:r>
              <w:rPr>
                <w:rFonts w:ascii="Times New Roman" w:eastAsia="Times New Roman" w:hAnsi="Times New Roman" w:cs="Times New Roman"/>
                <w:color w:val="000000"/>
                <w:sz w:val="18"/>
                <w:szCs w:val="18"/>
                <w:lang w:eastAsia="pl-PL"/>
              </w:rPr>
              <w:t> </w:t>
            </w:r>
            <w:r w:rsidRPr="0069458A">
              <w:rPr>
                <w:rFonts w:ascii="Times New Roman" w:eastAsia="Times New Roman" w:hAnsi="Times New Roman" w:cs="Times New Roman"/>
                <w:color w:val="000000"/>
                <w:sz w:val="18"/>
                <w:szCs w:val="18"/>
                <w:lang w:eastAsia="pl-PL"/>
              </w:rPr>
              <w:t>6</w:t>
            </w:r>
            <w:r>
              <w:rPr>
                <w:rFonts w:ascii="Times New Roman" w:eastAsia="Times New Roman" w:hAnsi="Times New Roman" w:cs="Times New Roman"/>
                <w:color w:val="000000"/>
                <w:sz w:val="18"/>
                <w:szCs w:val="18"/>
                <w:lang w:eastAsia="pl-PL"/>
              </w:rPr>
              <w:t>67 363,00</w:t>
            </w:r>
            <w:r w:rsidRPr="0069458A">
              <w:rPr>
                <w:rFonts w:ascii="Times New Roman" w:eastAsia="Times New Roman" w:hAnsi="Times New Roman" w:cs="Times New Roman"/>
                <w:color w:val="000000"/>
                <w:sz w:val="18"/>
                <w:szCs w:val="18"/>
                <w:lang w:eastAsia="pl-PL"/>
              </w:rPr>
              <w:t xml:space="preserve"> zł </w:t>
            </w:r>
          </w:p>
        </w:tc>
      </w:tr>
      <w:tr w:rsidR="00BE7003" w:rsidRPr="00DB7C69" w14:paraId="3BED2E04" w14:textId="77777777" w:rsidTr="009001FB">
        <w:tc>
          <w:tcPr>
            <w:tcW w:w="3274" w:type="pct"/>
            <w:tcBorders>
              <w:top w:val="nil"/>
              <w:left w:val="single" w:sz="8" w:space="0" w:color="auto"/>
              <w:bottom w:val="single" w:sz="8" w:space="0" w:color="auto"/>
              <w:right w:val="single" w:sz="8" w:space="0" w:color="auto"/>
            </w:tcBorders>
            <w:shd w:val="clear" w:color="auto" w:fill="auto"/>
            <w:vAlign w:val="center"/>
            <w:hideMark/>
          </w:tcPr>
          <w:p w14:paraId="2A04A625" w14:textId="77777777" w:rsidR="00BE7003" w:rsidRPr="00DB7C69" w:rsidRDefault="00BE7003" w:rsidP="00056EE7">
            <w:pPr>
              <w:spacing w:after="0" w:line="300" w:lineRule="atLeast"/>
              <w:rPr>
                <w:rFonts w:ascii="Times New Roman" w:eastAsia="Times New Roman" w:hAnsi="Times New Roman" w:cs="Times New Roman"/>
                <w:color w:val="000000"/>
                <w:sz w:val="18"/>
                <w:szCs w:val="18"/>
                <w:lang w:eastAsia="pl-PL"/>
              </w:rPr>
            </w:pPr>
            <w:r w:rsidRPr="00DB7C69">
              <w:rPr>
                <w:rFonts w:ascii="Times New Roman" w:eastAsia="Times New Roman" w:hAnsi="Times New Roman" w:cs="Times New Roman"/>
                <w:color w:val="000000"/>
                <w:sz w:val="18"/>
                <w:szCs w:val="18"/>
                <w:lang w:eastAsia="pl-PL"/>
              </w:rPr>
              <w:t>nieprzestrzeganie przepisów w zakresie ochrony wód przed zanieczyszczeniami azotanami pochodzącymi ze źródeł rolniczych</w:t>
            </w:r>
          </w:p>
        </w:tc>
        <w:tc>
          <w:tcPr>
            <w:tcW w:w="726" w:type="pct"/>
            <w:tcBorders>
              <w:top w:val="nil"/>
              <w:left w:val="nil"/>
              <w:bottom w:val="single" w:sz="8" w:space="0" w:color="auto"/>
              <w:right w:val="single" w:sz="8" w:space="0" w:color="auto"/>
            </w:tcBorders>
            <w:shd w:val="clear" w:color="auto" w:fill="auto"/>
            <w:noWrap/>
            <w:vAlign w:val="center"/>
            <w:hideMark/>
          </w:tcPr>
          <w:p w14:paraId="0F669982" w14:textId="77777777" w:rsidR="00BE7003" w:rsidRPr="001611DE" w:rsidRDefault="00BE7003"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159</w:t>
            </w:r>
          </w:p>
        </w:tc>
        <w:tc>
          <w:tcPr>
            <w:tcW w:w="1000" w:type="pct"/>
            <w:tcBorders>
              <w:top w:val="nil"/>
              <w:left w:val="nil"/>
              <w:bottom w:val="single" w:sz="8" w:space="0" w:color="auto"/>
              <w:right w:val="single" w:sz="8" w:space="0" w:color="auto"/>
            </w:tcBorders>
            <w:shd w:val="clear" w:color="auto" w:fill="auto"/>
            <w:noWrap/>
            <w:vAlign w:val="center"/>
            <w:hideMark/>
          </w:tcPr>
          <w:p w14:paraId="6E1BCF50" w14:textId="77777777" w:rsidR="00BE7003" w:rsidRPr="0069458A" w:rsidRDefault="00BE7003"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128 411,20 zł </w:t>
            </w:r>
          </w:p>
        </w:tc>
      </w:tr>
      <w:tr w:rsidR="00BE7003" w:rsidRPr="00DB7C69" w14:paraId="42572559" w14:textId="77777777" w:rsidTr="009001FB">
        <w:tc>
          <w:tcPr>
            <w:tcW w:w="3274" w:type="pct"/>
            <w:tcBorders>
              <w:top w:val="nil"/>
              <w:left w:val="single" w:sz="8" w:space="0" w:color="auto"/>
              <w:bottom w:val="single" w:sz="8" w:space="0" w:color="auto"/>
              <w:right w:val="single" w:sz="8" w:space="0" w:color="auto"/>
            </w:tcBorders>
            <w:shd w:val="clear" w:color="auto" w:fill="auto"/>
            <w:vAlign w:val="center"/>
            <w:hideMark/>
          </w:tcPr>
          <w:p w14:paraId="150B3655" w14:textId="77777777" w:rsidR="00BE7003" w:rsidRPr="00DB7C69" w:rsidRDefault="00BE7003" w:rsidP="00056EE7">
            <w:pPr>
              <w:spacing w:after="0" w:line="300" w:lineRule="atLeast"/>
              <w:rPr>
                <w:rFonts w:ascii="Times New Roman" w:eastAsia="Times New Roman" w:hAnsi="Times New Roman" w:cs="Times New Roman"/>
                <w:color w:val="000000"/>
                <w:sz w:val="18"/>
                <w:szCs w:val="18"/>
                <w:lang w:eastAsia="pl-PL"/>
              </w:rPr>
            </w:pPr>
            <w:r w:rsidRPr="00DB7C69">
              <w:rPr>
                <w:rFonts w:ascii="Times New Roman" w:eastAsia="Times New Roman" w:hAnsi="Times New Roman" w:cs="Times New Roman"/>
                <w:color w:val="000000"/>
                <w:sz w:val="18"/>
                <w:szCs w:val="18"/>
                <w:lang w:eastAsia="pl-PL"/>
              </w:rPr>
              <w:t>przekroczenie określonych warunków poboru wody</w:t>
            </w:r>
          </w:p>
        </w:tc>
        <w:tc>
          <w:tcPr>
            <w:tcW w:w="726" w:type="pct"/>
            <w:tcBorders>
              <w:top w:val="nil"/>
              <w:left w:val="nil"/>
              <w:bottom w:val="single" w:sz="8" w:space="0" w:color="auto"/>
              <w:right w:val="single" w:sz="8" w:space="0" w:color="auto"/>
            </w:tcBorders>
            <w:shd w:val="clear" w:color="auto" w:fill="auto"/>
            <w:noWrap/>
            <w:vAlign w:val="center"/>
            <w:hideMark/>
          </w:tcPr>
          <w:p w14:paraId="6A301D6A" w14:textId="77777777" w:rsidR="00BE7003" w:rsidRPr="001611DE" w:rsidRDefault="00BE7003"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112</w:t>
            </w:r>
          </w:p>
        </w:tc>
        <w:tc>
          <w:tcPr>
            <w:tcW w:w="1000" w:type="pct"/>
            <w:tcBorders>
              <w:top w:val="nil"/>
              <w:left w:val="nil"/>
              <w:bottom w:val="single" w:sz="8" w:space="0" w:color="auto"/>
              <w:right w:val="single" w:sz="8" w:space="0" w:color="auto"/>
            </w:tcBorders>
            <w:shd w:val="clear" w:color="auto" w:fill="auto"/>
            <w:noWrap/>
            <w:vAlign w:val="center"/>
            <w:hideMark/>
          </w:tcPr>
          <w:p w14:paraId="52E550BC" w14:textId="77777777" w:rsidR="00BE7003" w:rsidRPr="0069458A" w:rsidRDefault="00BE7003"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1 134 622,00 zł </w:t>
            </w:r>
          </w:p>
        </w:tc>
      </w:tr>
      <w:tr w:rsidR="00BE7003" w:rsidRPr="00DB7C69" w14:paraId="32C03E2E" w14:textId="77777777" w:rsidTr="009001FB">
        <w:tc>
          <w:tcPr>
            <w:tcW w:w="3274" w:type="pct"/>
            <w:tcBorders>
              <w:top w:val="nil"/>
              <w:left w:val="single" w:sz="8" w:space="0" w:color="auto"/>
              <w:bottom w:val="single" w:sz="8" w:space="0" w:color="auto"/>
              <w:right w:val="single" w:sz="8" w:space="0" w:color="auto"/>
            </w:tcBorders>
            <w:shd w:val="clear" w:color="auto" w:fill="auto"/>
            <w:vAlign w:val="center"/>
            <w:hideMark/>
          </w:tcPr>
          <w:p w14:paraId="24409423" w14:textId="77777777" w:rsidR="00BE7003" w:rsidRPr="00DB7C69" w:rsidRDefault="00BE7003" w:rsidP="00056EE7">
            <w:pPr>
              <w:spacing w:after="0" w:line="300" w:lineRule="atLeast"/>
              <w:rPr>
                <w:rFonts w:ascii="Times New Roman" w:eastAsia="Times New Roman" w:hAnsi="Times New Roman" w:cs="Times New Roman"/>
                <w:b/>
                <w:bCs/>
                <w:color w:val="000000"/>
                <w:sz w:val="18"/>
                <w:szCs w:val="18"/>
                <w:lang w:eastAsia="pl-PL"/>
              </w:rPr>
            </w:pPr>
            <w:r w:rsidRPr="00DB7C69">
              <w:rPr>
                <w:rFonts w:ascii="Times New Roman" w:eastAsia="Times New Roman" w:hAnsi="Times New Roman" w:cs="Times New Roman"/>
                <w:b/>
                <w:bCs/>
                <w:color w:val="000000"/>
                <w:sz w:val="18"/>
                <w:szCs w:val="18"/>
                <w:lang w:eastAsia="pl-PL"/>
              </w:rPr>
              <w:t xml:space="preserve">Ogółem </w:t>
            </w:r>
            <w:r>
              <w:rPr>
                <w:rFonts w:ascii="Times New Roman" w:eastAsia="Times New Roman" w:hAnsi="Times New Roman" w:cs="Times New Roman"/>
                <w:b/>
                <w:bCs/>
                <w:color w:val="000000"/>
                <w:sz w:val="18"/>
                <w:szCs w:val="18"/>
                <w:lang w:eastAsia="pl-PL"/>
              </w:rPr>
              <w:t>–</w:t>
            </w:r>
            <w:r w:rsidRPr="00DB7C69">
              <w:rPr>
                <w:rFonts w:ascii="Times New Roman" w:eastAsia="Times New Roman" w:hAnsi="Times New Roman" w:cs="Times New Roman"/>
                <w:b/>
                <w:bCs/>
                <w:color w:val="000000"/>
                <w:sz w:val="18"/>
                <w:szCs w:val="18"/>
                <w:lang w:eastAsia="pl-PL"/>
              </w:rPr>
              <w:t xml:space="preserve"> opłaty</w:t>
            </w:r>
            <w:r>
              <w:rPr>
                <w:rFonts w:ascii="Times New Roman" w:eastAsia="Times New Roman" w:hAnsi="Times New Roman" w:cs="Times New Roman"/>
                <w:b/>
                <w:bCs/>
                <w:color w:val="000000"/>
                <w:sz w:val="18"/>
                <w:szCs w:val="18"/>
                <w:lang w:eastAsia="pl-PL"/>
              </w:rPr>
              <w:t xml:space="preserve"> oraz </w:t>
            </w:r>
            <w:r w:rsidRPr="00DB7C69">
              <w:rPr>
                <w:rFonts w:ascii="Times New Roman" w:eastAsia="Times New Roman" w:hAnsi="Times New Roman" w:cs="Times New Roman"/>
                <w:b/>
                <w:bCs/>
                <w:color w:val="000000"/>
                <w:sz w:val="18"/>
                <w:szCs w:val="18"/>
                <w:lang w:eastAsia="pl-PL"/>
              </w:rPr>
              <w:t>opłaty podwyższone</w:t>
            </w:r>
          </w:p>
        </w:tc>
        <w:tc>
          <w:tcPr>
            <w:tcW w:w="726" w:type="pct"/>
            <w:tcBorders>
              <w:top w:val="nil"/>
              <w:left w:val="nil"/>
              <w:bottom w:val="single" w:sz="8" w:space="0" w:color="auto"/>
              <w:right w:val="single" w:sz="8" w:space="0" w:color="auto"/>
            </w:tcBorders>
            <w:shd w:val="clear" w:color="auto" w:fill="auto"/>
            <w:vAlign w:val="center"/>
            <w:hideMark/>
          </w:tcPr>
          <w:p w14:paraId="5C7FBD28" w14:textId="77777777" w:rsidR="00BE7003" w:rsidRPr="001611DE" w:rsidRDefault="00BE7003" w:rsidP="00056EE7">
            <w:pPr>
              <w:spacing w:after="0" w:line="300" w:lineRule="atLeast"/>
              <w:jc w:val="center"/>
              <w:rPr>
                <w:rFonts w:ascii="Times New Roman" w:eastAsia="Times New Roman" w:hAnsi="Times New Roman" w:cs="Times New Roman"/>
                <w:b/>
                <w:bCs/>
                <w:color w:val="000000"/>
                <w:sz w:val="18"/>
                <w:szCs w:val="18"/>
                <w:lang w:eastAsia="pl-PL"/>
              </w:rPr>
            </w:pPr>
            <w:r w:rsidRPr="001611DE">
              <w:rPr>
                <w:rFonts w:ascii="Times New Roman" w:eastAsia="Times New Roman" w:hAnsi="Times New Roman" w:cs="Times New Roman"/>
                <w:b/>
                <w:bCs/>
                <w:color w:val="000000"/>
                <w:sz w:val="18"/>
                <w:szCs w:val="18"/>
                <w:lang w:eastAsia="pl-PL"/>
              </w:rPr>
              <w:t>616</w:t>
            </w:r>
          </w:p>
        </w:tc>
        <w:tc>
          <w:tcPr>
            <w:tcW w:w="1000" w:type="pct"/>
            <w:tcBorders>
              <w:top w:val="nil"/>
              <w:left w:val="nil"/>
              <w:bottom w:val="single" w:sz="8" w:space="0" w:color="auto"/>
              <w:right w:val="single" w:sz="8" w:space="0" w:color="auto"/>
            </w:tcBorders>
            <w:shd w:val="clear" w:color="auto" w:fill="auto"/>
            <w:noWrap/>
            <w:vAlign w:val="center"/>
            <w:hideMark/>
          </w:tcPr>
          <w:p w14:paraId="2B889B72" w14:textId="4B4378B9" w:rsidR="00BE7003" w:rsidRPr="0069458A" w:rsidRDefault="00633E13" w:rsidP="00056EE7">
            <w:pPr>
              <w:spacing w:after="0" w:line="300" w:lineRule="atLeast"/>
              <w:jc w:val="right"/>
              <w:rPr>
                <w:rFonts w:ascii="Times New Roman" w:eastAsia="Times New Roman" w:hAnsi="Times New Roman" w:cs="Times New Roman"/>
                <w:b/>
                <w:bCs/>
                <w:color w:val="000000"/>
                <w:sz w:val="18"/>
                <w:szCs w:val="18"/>
                <w:lang w:eastAsia="pl-PL"/>
              </w:rPr>
            </w:pPr>
            <w:bookmarkStart w:id="217" w:name="_Hlk128649227"/>
            <w:r w:rsidRPr="0069458A">
              <w:rPr>
                <w:rFonts w:ascii="Times New Roman" w:eastAsia="Times New Roman" w:hAnsi="Times New Roman" w:cs="Times New Roman"/>
                <w:b/>
                <w:bCs/>
                <w:color w:val="000000"/>
                <w:sz w:val="18"/>
                <w:szCs w:val="18"/>
                <w:lang w:eastAsia="pl-PL"/>
              </w:rPr>
              <w:t>18</w:t>
            </w:r>
            <w:r>
              <w:rPr>
                <w:rFonts w:ascii="Times New Roman" w:eastAsia="Times New Roman" w:hAnsi="Times New Roman" w:cs="Times New Roman"/>
                <w:b/>
                <w:bCs/>
                <w:color w:val="000000"/>
                <w:sz w:val="18"/>
                <w:szCs w:val="18"/>
                <w:lang w:eastAsia="pl-PL"/>
              </w:rPr>
              <w:t> </w:t>
            </w:r>
            <w:r w:rsidRPr="0069458A">
              <w:rPr>
                <w:rFonts w:ascii="Times New Roman" w:eastAsia="Times New Roman" w:hAnsi="Times New Roman" w:cs="Times New Roman"/>
                <w:b/>
                <w:bCs/>
                <w:color w:val="000000"/>
                <w:sz w:val="18"/>
                <w:szCs w:val="18"/>
                <w:lang w:eastAsia="pl-PL"/>
              </w:rPr>
              <w:t>9</w:t>
            </w:r>
            <w:r>
              <w:rPr>
                <w:rFonts w:ascii="Times New Roman" w:eastAsia="Times New Roman" w:hAnsi="Times New Roman" w:cs="Times New Roman"/>
                <w:b/>
                <w:bCs/>
                <w:color w:val="000000"/>
                <w:sz w:val="18"/>
                <w:szCs w:val="18"/>
                <w:lang w:eastAsia="pl-PL"/>
              </w:rPr>
              <w:t>30 396,20</w:t>
            </w:r>
            <w:r w:rsidRPr="0069458A">
              <w:rPr>
                <w:rFonts w:ascii="Times New Roman" w:eastAsia="Times New Roman" w:hAnsi="Times New Roman" w:cs="Times New Roman"/>
                <w:b/>
                <w:bCs/>
                <w:color w:val="000000"/>
                <w:sz w:val="18"/>
                <w:szCs w:val="18"/>
                <w:lang w:eastAsia="pl-PL"/>
              </w:rPr>
              <w:t xml:space="preserve"> zł</w:t>
            </w:r>
            <w:bookmarkEnd w:id="217"/>
          </w:p>
        </w:tc>
      </w:tr>
      <w:tr w:rsidR="00633E13" w:rsidRPr="00DB7C69" w14:paraId="62527165" w14:textId="77777777" w:rsidTr="009001FB">
        <w:tc>
          <w:tcPr>
            <w:tcW w:w="3274" w:type="pct"/>
            <w:tcBorders>
              <w:top w:val="nil"/>
              <w:left w:val="single" w:sz="8" w:space="0" w:color="auto"/>
              <w:bottom w:val="single" w:sz="8" w:space="0" w:color="auto"/>
              <w:right w:val="single" w:sz="8" w:space="0" w:color="auto"/>
            </w:tcBorders>
            <w:shd w:val="clear" w:color="auto" w:fill="auto"/>
            <w:vAlign w:val="center"/>
            <w:hideMark/>
          </w:tcPr>
          <w:p w14:paraId="141E356B" w14:textId="0B17F587" w:rsidR="00633E13" w:rsidRPr="00DB7C69" w:rsidRDefault="00633E13" w:rsidP="00633E13">
            <w:pPr>
              <w:spacing w:after="0" w:line="300" w:lineRule="atLeast"/>
              <w:rPr>
                <w:rFonts w:ascii="Times New Roman" w:eastAsia="Times New Roman" w:hAnsi="Times New Roman" w:cs="Times New Roman"/>
                <w:b/>
                <w:bCs/>
                <w:color w:val="000000"/>
                <w:sz w:val="18"/>
                <w:szCs w:val="18"/>
                <w:lang w:eastAsia="pl-PL"/>
              </w:rPr>
            </w:pPr>
            <w:r w:rsidRPr="00DB7C69">
              <w:rPr>
                <w:rFonts w:ascii="Times New Roman" w:eastAsia="Times New Roman" w:hAnsi="Times New Roman" w:cs="Times New Roman"/>
                <w:b/>
                <w:bCs/>
                <w:color w:val="000000"/>
                <w:sz w:val="18"/>
                <w:szCs w:val="18"/>
                <w:lang w:eastAsia="pl-PL"/>
              </w:rPr>
              <w:t xml:space="preserve">Ogółem </w:t>
            </w:r>
            <w:r w:rsidR="00E72A65">
              <w:rPr>
                <w:rFonts w:ascii="Times New Roman" w:eastAsia="Times New Roman" w:hAnsi="Times New Roman" w:cs="Times New Roman"/>
                <w:b/>
                <w:bCs/>
                <w:color w:val="000000"/>
                <w:sz w:val="18"/>
                <w:szCs w:val="18"/>
                <w:lang w:eastAsia="pl-PL"/>
              </w:rPr>
              <w:t>–</w:t>
            </w:r>
            <w:r w:rsidRPr="00DB7C69">
              <w:rPr>
                <w:rFonts w:ascii="Times New Roman" w:eastAsia="Times New Roman" w:hAnsi="Times New Roman" w:cs="Times New Roman"/>
                <w:b/>
                <w:bCs/>
                <w:color w:val="000000"/>
                <w:sz w:val="18"/>
                <w:szCs w:val="18"/>
                <w:lang w:eastAsia="pl-PL"/>
              </w:rPr>
              <w:t xml:space="preserve"> decyzje</w:t>
            </w:r>
          </w:p>
        </w:tc>
        <w:tc>
          <w:tcPr>
            <w:tcW w:w="726" w:type="pct"/>
            <w:tcBorders>
              <w:top w:val="nil"/>
              <w:left w:val="nil"/>
              <w:bottom w:val="single" w:sz="8" w:space="0" w:color="auto"/>
              <w:right w:val="single" w:sz="8" w:space="0" w:color="auto"/>
            </w:tcBorders>
            <w:shd w:val="clear" w:color="auto" w:fill="auto"/>
            <w:vAlign w:val="center"/>
            <w:hideMark/>
          </w:tcPr>
          <w:p w14:paraId="65F40104" w14:textId="243546F3" w:rsidR="00633E13" w:rsidRPr="001611DE" w:rsidRDefault="00633E13" w:rsidP="00633E13">
            <w:pPr>
              <w:spacing w:after="0" w:line="300" w:lineRule="atLeast"/>
              <w:jc w:val="center"/>
              <w:rPr>
                <w:rFonts w:ascii="Times New Roman" w:eastAsia="Times New Roman" w:hAnsi="Times New Roman" w:cs="Times New Roman"/>
                <w:b/>
                <w:bCs/>
                <w:color w:val="000000"/>
                <w:sz w:val="18"/>
                <w:szCs w:val="18"/>
                <w:lang w:eastAsia="pl-PL"/>
              </w:rPr>
            </w:pPr>
            <w:r w:rsidRPr="001611DE">
              <w:rPr>
                <w:rFonts w:ascii="Times New Roman" w:eastAsia="Times New Roman" w:hAnsi="Times New Roman" w:cs="Times New Roman"/>
                <w:b/>
                <w:bCs/>
                <w:color w:val="000000"/>
                <w:sz w:val="18"/>
                <w:szCs w:val="18"/>
                <w:lang w:eastAsia="pl-PL"/>
              </w:rPr>
              <w:t>3 67</w:t>
            </w:r>
            <w:r>
              <w:rPr>
                <w:rFonts w:ascii="Times New Roman" w:eastAsia="Times New Roman" w:hAnsi="Times New Roman" w:cs="Times New Roman"/>
                <w:b/>
                <w:bCs/>
                <w:color w:val="000000"/>
                <w:sz w:val="18"/>
                <w:szCs w:val="18"/>
                <w:lang w:eastAsia="pl-PL"/>
              </w:rPr>
              <w:t>2</w:t>
            </w:r>
          </w:p>
        </w:tc>
        <w:tc>
          <w:tcPr>
            <w:tcW w:w="1000" w:type="pct"/>
            <w:tcBorders>
              <w:top w:val="nil"/>
              <w:left w:val="nil"/>
              <w:bottom w:val="single" w:sz="8" w:space="0" w:color="auto"/>
              <w:right w:val="single" w:sz="8" w:space="0" w:color="auto"/>
            </w:tcBorders>
            <w:shd w:val="clear" w:color="auto" w:fill="auto"/>
            <w:vAlign w:val="center"/>
            <w:hideMark/>
          </w:tcPr>
          <w:p w14:paraId="5CD7EAAA" w14:textId="2AEF96EB" w:rsidR="00633E13" w:rsidRPr="0069458A" w:rsidRDefault="00633E13" w:rsidP="00633E13">
            <w:pPr>
              <w:spacing w:after="0" w:line="300" w:lineRule="atLeast"/>
              <w:jc w:val="right"/>
              <w:rPr>
                <w:rFonts w:ascii="Times New Roman" w:eastAsia="Times New Roman" w:hAnsi="Times New Roman" w:cs="Times New Roman"/>
                <w:b/>
                <w:bCs/>
                <w:color w:val="000000"/>
                <w:sz w:val="18"/>
                <w:szCs w:val="18"/>
                <w:lang w:eastAsia="pl-PL"/>
              </w:rPr>
            </w:pPr>
            <w:r w:rsidRPr="0069458A">
              <w:rPr>
                <w:rFonts w:ascii="Times New Roman" w:eastAsia="Times New Roman" w:hAnsi="Times New Roman" w:cs="Times New Roman"/>
                <w:b/>
                <w:bCs/>
                <w:color w:val="000000"/>
                <w:sz w:val="18"/>
                <w:szCs w:val="18"/>
                <w:lang w:eastAsia="pl-PL"/>
              </w:rPr>
              <w:t>6</w:t>
            </w:r>
            <w:r>
              <w:rPr>
                <w:rFonts w:ascii="Times New Roman" w:eastAsia="Times New Roman" w:hAnsi="Times New Roman" w:cs="Times New Roman"/>
                <w:b/>
                <w:bCs/>
                <w:color w:val="000000"/>
                <w:sz w:val="18"/>
                <w:szCs w:val="18"/>
                <w:lang w:eastAsia="pl-PL"/>
              </w:rPr>
              <w:t>3 467 893,62</w:t>
            </w:r>
            <w:r w:rsidRPr="0069458A">
              <w:rPr>
                <w:rFonts w:ascii="Times New Roman" w:eastAsia="Times New Roman" w:hAnsi="Times New Roman" w:cs="Times New Roman"/>
                <w:b/>
                <w:bCs/>
                <w:color w:val="000000"/>
                <w:sz w:val="18"/>
                <w:szCs w:val="18"/>
                <w:lang w:eastAsia="pl-PL"/>
              </w:rPr>
              <w:t xml:space="preserve"> zł</w:t>
            </w:r>
          </w:p>
        </w:tc>
      </w:tr>
    </w:tbl>
    <w:p w14:paraId="0FD51047" w14:textId="3938A6F3" w:rsidR="00BE7003" w:rsidRPr="007F400A" w:rsidRDefault="00633E13" w:rsidP="00E3329A">
      <w:pPr>
        <w:spacing w:after="0" w:line="300" w:lineRule="atLeast"/>
        <w:ind w:firstLine="567"/>
        <w:jc w:val="both"/>
        <w:rPr>
          <w:rFonts w:ascii="Times New Roman" w:hAnsi="Times New Roman" w:cs="Times New Roman"/>
          <w:color w:val="000000"/>
          <w:sz w:val="24"/>
          <w:szCs w:val="24"/>
        </w:rPr>
      </w:pPr>
      <w:r w:rsidRPr="007F400A">
        <w:rPr>
          <w:rFonts w:ascii="Times New Roman" w:eastAsia="Times New Roman" w:hAnsi="Times New Roman" w:cs="Times New Roman"/>
          <w:sz w:val="24"/>
        </w:rPr>
        <w:t xml:space="preserve">Na </w:t>
      </w:r>
      <w:r>
        <w:rPr>
          <w:rFonts w:ascii="Times New Roman" w:eastAsia="Times New Roman" w:hAnsi="Times New Roman" w:cs="Times New Roman"/>
          <w:sz w:val="24"/>
        </w:rPr>
        <w:t>3 672</w:t>
      </w:r>
      <w:r w:rsidRPr="007F400A">
        <w:rPr>
          <w:rFonts w:ascii="Times New Roman" w:eastAsia="Times New Roman" w:hAnsi="Times New Roman" w:cs="Times New Roman"/>
          <w:sz w:val="24"/>
        </w:rPr>
        <w:t> decyzj</w:t>
      </w:r>
      <w:r>
        <w:rPr>
          <w:rFonts w:ascii="Times New Roman" w:eastAsia="Times New Roman" w:hAnsi="Times New Roman" w:cs="Times New Roman"/>
          <w:sz w:val="24"/>
        </w:rPr>
        <w:t>e</w:t>
      </w:r>
      <w:r w:rsidRPr="007F400A">
        <w:rPr>
          <w:rFonts w:ascii="Times New Roman" w:eastAsia="Times New Roman" w:hAnsi="Times New Roman" w:cs="Times New Roman"/>
          <w:sz w:val="24"/>
        </w:rPr>
        <w:t xml:space="preserve"> o karach</w:t>
      </w:r>
      <w:r>
        <w:rPr>
          <w:rFonts w:ascii="Times New Roman" w:eastAsia="Times New Roman" w:hAnsi="Times New Roman" w:cs="Times New Roman"/>
          <w:sz w:val="24"/>
        </w:rPr>
        <w:t>,</w:t>
      </w:r>
      <w:r w:rsidRPr="007F400A">
        <w:rPr>
          <w:rFonts w:ascii="Times New Roman" w:eastAsia="Times New Roman" w:hAnsi="Times New Roman" w:cs="Times New Roman"/>
          <w:sz w:val="24"/>
        </w:rPr>
        <w:t xml:space="preserve"> opłatach</w:t>
      </w:r>
      <w:r>
        <w:rPr>
          <w:rFonts w:ascii="Times New Roman" w:eastAsia="Times New Roman" w:hAnsi="Times New Roman" w:cs="Times New Roman"/>
          <w:sz w:val="24"/>
        </w:rPr>
        <w:t xml:space="preserve"> oraz </w:t>
      </w:r>
      <w:r w:rsidRPr="007F400A">
        <w:rPr>
          <w:rFonts w:ascii="Times New Roman" w:eastAsia="Times New Roman" w:hAnsi="Times New Roman" w:cs="Times New Roman"/>
          <w:sz w:val="24"/>
        </w:rPr>
        <w:t xml:space="preserve">opłatach podwyższonych najwięcej </w:t>
      </w:r>
      <w:r>
        <w:rPr>
          <w:rFonts w:ascii="Times New Roman" w:eastAsia="Calibri" w:hAnsi="Times New Roman" w:cs="Times New Roman"/>
          <w:sz w:val="24"/>
          <w:szCs w:val="24"/>
          <w:lang w:eastAsia="pl-PL"/>
        </w:rPr>
        <w:t>–</w:t>
      </w:r>
      <w:r w:rsidRPr="007F400A">
        <w:rPr>
          <w:rFonts w:ascii="Times New Roman" w:eastAsia="Times New Roman" w:hAnsi="Times New Roman" w:cs="Times New Roman"/>
          <w:bCs/>
          <w:sz w:val="24"/>
        </w:rPr>
        <w:t xml:space="preserve"> </w:t>
      </w:r>
      <w:r>
        <w:rPr>
          <w:rFonts w:ascii="Times New Roman" w:eastAsia="Times New Roman" w:hAnsi="Times New Roman" w:cs="Times New Roman"/>
          <w:bCs/>
          <w:sz w:val="24"/>
        </w:rPr>
        <w:t>1 493</w:t>
      </w:r>
      <w:r w:rsidRPr="007F400A">
        <w:rPr>
          <w:rFonts w:ascii="Times New Roman" w:eastAsia="Times New Roman" w:hAnsi="Times New Roman" w:cs="Times New Roman"/>
          <w:sz w:val="24"/>
        </w:rPr>
        <w:t xml:space="preserve"> </w:t>
      </w:r>
      <w:r w:rsidRPr="007F400A">
        <w:rPr>
          <w:rFonts w:ascii="Times New Roman" w:eastAsia="Times New Roman" w:hAnsi="Times New Roman" w:cs="Times New Roman"/>
          <w:bCs/>
          <w:sz w:val="24"/>
        </w:rPr>
        <w:t>nałożono za </w:t>
      </w:r>
      <w:r w:rsidRPr="007F400A">
        <w:rPr>
          <w:rFonts w:ascii="Times New Roman" w:eastAsia="Times New Roman" w:hAnsi="Times New Roman" w:cs="Times New Roman"/>
          <w:sz w:val="24"/>
        </w:rPr>
        <w:t>nieprzestrzeganie przepisów ustawy o odpadach. Najwyższe kary wymierzono za </w:t>
      </w:r>
      <w:r w:rsidRPr="00B7658E">
        <w:rPr>
          <w:rFonts w:ascii="Times New Roman" w:eastAsia="Times New Roman" w:hAnsi="Times New Roman" w:cs="Times New Roman"/>
          <w:sz w:val="24"/>
        </w:rPr>
        <w:t>nieprzestrzeganie przepisów w zakresie ustawy o utrzymaniu czystości i porządku w</w:t>
      </w:r>
      <w:r>
        <w:rPr>
          <w:rFonts w:ascii="Times New Roman" w:eastAsia="Times New Roman" w:hAnsi="Times New Roman" w:cs="Times New Roman"/>
          <w:sz w:val="24"/>
        </w:rPr>
        <w:t> </w:t>
      </w:r>
      <w:r w:rsidRPr="00B7658E">
        <w:rPr>
          <w:rFonts w:ascii="Times New Roman" w:eastAsia="Times New Roman" w:hAnsi="Times New Roman" w:cs="Times New Roman"/>
          <w:sz w:val="24"/>
        </w:rPr>
        <w:t>gminach</w:t>
      </w:r>
      <w:r w:rsidRPr="00B7658E" w:rsidDel="00B7658E">
        <w:rPr>
          <w:rFonts w:ascii="Times New Roman" w:eastAsia="Times New Roman" w:hAnsi="Times New Roman" w:cs="Times New Roman"/>
          <w:sz w:val="24"/>
        </w:rPr>
        <w:t xml:space="preserve"> </w:t>
      </w:r>
      <w:r>
        <w:rPr>
          <w:rFonts w:ascii="Times New Roman" w:eastAsia="Times New Roman" w:hAnsi="Times New Roman" w:cs="Times New Roman"/>
          <w:sz w:val="24"/>
        </w:rPr>
        <w:t>–</w:t>
      </w:r>
      <w:r w:rsidRPr="007F400A">
        <w:rPr>
          <w:rFonts w:ascii="Times New Roman" w:eastAsia="Times New Roman" w:hAnsi="Times New Roman" w:cs="Times New Roman"/>
          <w:sz w:val="24"/>
        </w:rPr>
        <w:t xml:space="preserve"> </w:t>
      </w:r>
      <w:r w:rsidRPr="00B7658E">
        <w:rPr>
          <w:rFonts w:ascii="Times New Roman" w:eastAsia="Times New Roman" w:hAnsi="Times New Roman" w:cs="Times New Roman"/>
          <w:sz w:val="24"/>
        </w:rPr>
        <w:t>13 989 310,00 zł</w:t>
      </w:r>
      <w:r w:rsidRPr="007F400A">
        <w:rPr>
          <w:rFonts w:ascii="Times New Roman" w:eastAsia="Times New Roman" w:hAnsi="Times New Roman" w:cs="Times New Roman"/>
          <w:sz w:val="24"/>
        </w:rPr>
        <w:t>.</w:t>
      </w:r>
      <w:r w:rsidRPr="007F400A">
        <w:rPr>
          <w:rFonts w:ascii="Times New Roman" w:hAnsi="Times New Roman" w:cs="Times New Roman"/>
          <w:color w:val="000000"/>
          <w:sz w:val="24"/>
          <w:szCs w:val="24"/>
        </w:rPr>
        <w:t xml:space="preserve"> Opłaty i opłaty podwyższone wymierzono na łączną kwotę </w:t>
      </w:r>
      <w:r w:rsidRPr="00B7658E">
        <w:rPr>
          <w:rFonts w:ascii="Times New Roman" w:hAnsi="Times New Roman" w:cs="Times New Roman"/>
          <w:color w:val="000000"/>
          <w:sz w:val="24"/>
          <w:szCs w:val="24"/>
        </w:rPr>
        <w:t>18</w:t>
      </w:r>
      <w:r>
        <w:rPr>
          <w:rFonts w:ascii="Times New Roman" w:hAnsi="Times New Roman" w:cs="Times New Roman"/>
          <w:color w:val="000000"/>
          <w:sz w:val="24"/>
          <w:szCs w:val="24"/>
        </w:rPr>
        <w:t> </w:t>
      </w:r>
      <w:r w:rsidRPr="00B7658E">
        <w:rPr>
          <w:rFonts w:ascii="Times New Roman" w:hAnsi="Times New Roman" w:cs="Times New Roman"/>
          <w:color w:val="000000"/>
          <w:sz w:val="24"/>
          <w:szCs w:val="24"/>
        </w:rPr>
        <w:t>9</w:t>
      </w:r>
      <w:r>
        <w:rPr>
          <w:rFonts w:ascii="Times New Roman" w:hAnsi="Times New Roman" w:cs="Times New Roman"/>
          <w:color w:val="000000"/>
          <w:sz w:val="24"/>
          <w:szCs w:val="24"/>
        </w:rPr>
        <w:t>30 396,20</w:t>
      </w:r>
      <w:r w:rsidRPr="00B7658E">
        <w:rPr>
          <w:rFonts w:ascii="Times New Roman" w:hAnsi="Times New Roman" w:cs="Times New Roman"/>
          <w:color w:val="000000"/>
          <w:sz w:val="24"/>
          <w:szCs w:val="24"/>
        </w:rPr>
        <w:t xml:space="preserve"> zł</w:t>
      </w:r>
      <w:r>
        <w:rPr>
          <w:rFonts w:ascii="Times New Roman" w:hAnsi="Times New Roman" w:cs="Times New Roman"/>
          <w:color w:val="000000"/>
          <w:sz w:val="24"/>
          <w:szCs w:val="24"/>
        </w:rPr>
        <w:t xml:space="preserve">, z tego aż </w:t>
      </w:r>
      <w:r w:rsidRPr="00B7658E">
        <w:rPr>
          <w:rFonts w:ascii="Times New Roman" w:hAnsi="Times New Roman" w:cs="Times New Roman"/>
          <w:color w:val="000000"/>
          <w:sz w:val="24"/>
          <w:szCs w:val="24"/>
        </w:rPr>
        <w:t>17</w:t>
      </w:r>
      <w:r>
        <w:rPr>
          <w:rFonts w:ascii="Times New Roman" w:hAnsi="Times New Roman" w:cs="Times New Roman"/>
          <w:color w:val="000000"/>
          <w:sz w:val="24"/>
          <w:szCs w:val="24"/>
        </w:rPr>
        <w:t> </w:t>
      </w:r>
      <w:r w:rsidRPr="00B7658E">
        <w:rPr>
          <w:rFonts w:ascii="Times New Roman" w:hAnsi="Times New Roman" w:cs="Times New Roman"/>
          <w:color w:val="000000"/>
          <w:sz w:val="24"/>
          <w:szCs w:val="24"/>
        </w:rPr>
        <w:t>6</w:t>
      </w:r>
      <w:r>
        <w:rPr>
          <w:rFonts w:ascii="Times New Roman" w:hAnsi="Times New Roman" w:cs="Times New Roman"/>
          <w:color w:val="000000"/>
          <w:sz w:val="24"/>
          <w:szCs w:val="24"/>
        </w:rPr>
        <w:t>67 363,00</w:t>
      </w:r>
      <w:r w:rsidRPr="00B7658E">
        <w:rPr>
          <w:rFonts w:ascii="Times New Roman" w:hAnsi="Times New Roman" w:cs="Times New Roman"/>
          <w:color w:val="000000"/>
          <w:sz w:val="24"/>
          <w:szCs w:val="24"/>
        </w:rPr>
        <w:t xml:space="preserve"> zł </w:t>
      </w:r>
      <w:r>
        <w:rPr>
          <w:rFonts w:ascii="Times New Roman" w:hAnsi="Times New Roman" w:cs="Times New Roman"/>
          <w:color w:val="000000"/>
          <w:sz w:val="24"/>
          <w:szCs w:val="24"/>
        </w:rPr>
        <w:t xml:space="preserve">za </w:t>
      </w:r>
      <w:r w:rsidRPr="00B7658E">
        <w:rPr>
          <w:rFonts w:ascii="Times New Roman" w:hAnsi="Times New Roman" w:cs="Times New Roman"/>
          <w:color w:val="000000"/>
          <w:sz w:val="24"/>
          <w:szCs w:val="24"/>
        </w:rPr>
        <w:t>wprowadzanie do wód lub do ziemi ścieków z</w:t>
      </w:r>
      <w:r>
        <w:rPr>
          <w:rFonts w:ascii="Times New Roman" w:hAnsi="Times New Roman" w:cs="Times New Roman"/>
          <w:color w:val="000000"/>
          <w:sz w:val="24"/>
          <w:szCs w:val="24"/>
        </w:rPr>
        <w:t> </w:t>
      </w:r>
      <w:r w:rsidRPr="00B7658E">
        <w:rPr>
          <w:rFonts w:ascii="Times New Roman" w:hAnsi="Times New Roman" w:cs="Times New Roman"/>
          <w:color w:val="000000"/>
          <w:sz w:val="24"/>
          <w:szCs w:val="24"/>
        </w:rPr>
        <w:t>przekroczeniem warunków określonych w pozwoleniu</w:t>
      </w:r>
      <w:r w:rsidR="00BE7003" w:rsidRPr="007F400A">
        <w:rPr>
          <w:rFonts w:ascii="Times New Roman" w:hAnsi="Times New Roman" w:cs="Times New Roman"/>
          <w:color w:val="000000"/>
          <w:sz w:val="24"/>
          <w:szCs w:val="24"/>
        </w:rPr>
        <w:t>.</w:t>
      </w:r>
    </w:p>
    <w:p w14:paraId="700C5D17" w14:textId="13EA01D0" w:rsidR="00895F16" w:rsidRPr="007F400A" w:rsidRDefault="00633E13" w:rsidP="00E3329A">
      <w:pPr>
        <w:spacing w:after="0" w:line="300" w:lineRule="atLeast"/>
        <w:ind w:firstLine="567"/>
        <w:jc w:val="both"/>
        <w:rPr>
          <w:rFonts w:ascii="Times New Roman" w:eastAsia="Times New Roman" w:hAnsi="Times New Roman" w:cs="Times New Roman"/>
          <w:sz w:val="24"/>
          <w:szCs w:val="20"/>
          <w:lang w:eastAsia="pl-PL"/>
        </w:rPr>
      </w:pPr>
      <w:r w:rsidRPr="007F400A">
        <w:rPr>
          <w:rFonts w:ascii="Times New Roman" w:eastAsia="Times New Roman" w:hAnsi="Times New Roman" w:cs="Times New Roman"/>
          <w:sz w:val="24"/>
        </w:rPr>
        <w:t>W 202</w:t>
      </w:r>
      <w:r>
        <w:rPr>
          <w:rFonts w:ascii="Times New Roman" w:eastAsia="Times New Roman" w:hAnsi="Times New Roman" w:cs="Times New Roman"/>
          <w:sz w:val="24"/>
        </w:rPr>
        <w:t>2</w:t>
      </w:r>
      <w:r w:rsidRPr="007F400A">
        <w:rPr>
          <w:rFonts w:ascii="Times New Roman" w:eastAsia="Times New Roman" w:hAnsi="Times New Roman" w:cs="Times New Roman"/>
          <w:sz w:val="24"/>
        </w:rPr>
        <w:t xml:space="preserve"> r. wydano o </w:t>
      </w:r>
      <w:r>
        <w:rPr>
          <w:rFonts w:ascii="Times New Roman" w:eastAsia="Times New Roman" w:hAnsi="Times New Roman" w:cs="Times New Roman"/>
          <w:sz w:val="24"/>
        </w:rPr>
        <w:t>1 155</w:t>
      </w:r>
      <w:r w:rsidRPr="007F400A">
        <w:rPr>
          <w:rFonts w:ascii="Times New Roman" w:eastAsia="Times New Roman" w:hAnsi="Times New Roman" w:cs="Times New Roman"/>
          <w:sz w:val="24"/>
        </w:rPr>
        <w:t xml:space="preserve"> decyzj</w:t>
      </w:r>
      <w:r>
        <w:rPr>
          <w:rFonts w:ascii="Times New Roman" w:eastAsia="Times New Roman" w:hAnsi="Times New Roman" w:cs="Times New Roman"/>
          <w:sz w:val="24"/>
        </w:rPr>
        <w:t>i</w:t>
      </w:r>
      <w:r w:rsidRPr="007F400A">
        <w:rPr>
          <w:rFonts w:ascii="Times New Roman" w:eastAsia="Times New Roman" w:hAnsi="Times New Roman" w:cs="Times New Roman"/>
          <w:sz w:val="24"/>
        </w:rPr>
        <w:t xml:space="preserve"> o karach</w:t>
      </w:r>
      <w:r>
        <w:rPr>
          <w:rFonts w:ascii="Times New Roman" w:eastAsia="Times New Roman" w:hAnsi="Times New Roman" w:cs="Times New Roman"/>
          <w:sz w:val="24"/>
        </w:rPr>
        <w:t>,</w:t>
      </w:r>
      <w:r w:rsidRPr="007F400A">
        <w:rPr>
          <w:rFonts w:ascii="Times New Roman" w:eastAsia="Times New Roman" w:hAnsi="Times New Roman" w:cs="Times New Roman"/>
          <w:sz w:val="24"/>
        </w:rPr>
        <w:t xml:space="preserve"> opłatach</w:t>
      </w:r>
      <w:r>
        <w:rPr>
          <w:rFonts w:ascii="Times New Roman" w:eastAsia="Times New Roman" w:hAnsi="Times New Roman" w:cs="Times New Roman"/>
          <w:sz w:val="24"/>
        </w:rPr>
        <w:t xml:space="preserve"> oraz </w:t>
      </w:r>
      <w:r w:rsidRPr="007F400A">
        <w:rPr>
          <w:rFonts w:ascii="Times New Roman" w:eastAsia="Times New Roman" w:hAnsi="Times New Roman" w:cs="Times New Roman"/>
          <w:sz w:val="24"/>
        </w:rPr>
        <w:t xml:space="preserve">opłatach podwyższonych więcej niż w roku poprzednim. Łączna kwota wymierzonych kar i opłat/opłat podwyższonych była </w:t>
      </w:r>
      <w:r>
        <w:rPr>
          <w:rFonts w:ascii="Times New Roman" w:eastAsia="Times New Roman" w:hAnsi="Times New Roman" w:cs="Times New Roman"/>
          <w:sz w:val="24"/>
        </w:rPr>
        <w:t>natomiast niższa</w:t>
      </w:r>
      <w:r w:rsidRPr="007F400A">
        <w:rPr>
          <w:rFonts w:ascii="Times New Roman" w:eastAsia="Times New Roman" w:hAnsi="Times New Roman" w:cs="Times New Roman"/>
          <w:sz w:val="24"/>
        </w:rPr>
        <w:t xml:space="preserve">, </w:t>
      </w:r>
      <w:r>
        <w:rPr>
          <w:rFonts w:ascii="Times New Roman" w:eastAsia="Times New Roman" w:hAnsi="Times New Roman" w:cs="Times New Roman"/>
          <w:sz w:val="24"/>
        </w:rPr>
        <w:t>spadła</w:t>
      </w:r>
      <w:r w:rsidRPr="007F400A" w:rsidDel="00394E73">
        <w:rPr>
          <w:rFonts w:ascii="Times New Roman" w:eastAsia="Times New Roman" w:hAnsi="Times New Roman" w:cs="Times New Roman"/>
          <w:sz w:val="24"/>
        </w:rPr>
        <w:t xml:space="preserve"> </w:t>
      </w:r>
      <w:r w:rsidRPr="007F400A">
        <w:rPr>
          <w:rFonts w:ascii="Times New Roman" w:eastAsia="Times New Roman" w:hAnsi="Times New Roman" w:cs="Times New Roman"/>
          <w:sz w:val="24"/>
        </w:rPr>
        <w:t xml:space="preserve">o </w:t>
      </w:r>
      <w:r>
        <w:rPr>
          <w:rFonts w:ascii="Times New Roman" w:eastAsia="Times New Roman" w:hAnsi="Times New Roman" w:cs="Times New Roman"/>
          <w:sz w:val="24"/>
        </w:rPr>
        <w:t>35,8</w:t>
      </w:r>
      <w:r w:rsidRPr="007F400A">
        <w:rPr>
          <w:rFonts w:ascii="Times New Roman" w:eastAsia="Times New Roman" w:hAnsi="Times New Roman" w:cs="Times New Roman"/>
          <w:sz w:val="24"/>
        </w:rPr>
        <w:t xml:space="preserve"> mln zł (z </w:t>
      </w:r>
      <w:r>
        <w:rPr>
          <w:rFonts w:ascii="Times New Roman" w:eastAsia="Times New Roman" w:hAnsi="Times New Roman" w:cs="Times New Roman"/>
          <w:sz w:val="24"/>
        </w:rPr>
        <w:t>98,0</w:t>
      </w:r>
      <w:r w:rsidRPr="007F400A">
        <w:rPr>
          <w:rFonts w:ascii="Times New Roman" w:eastAsia="Times New Roman" w:hAnsi="Times New Roman" w:cs="Times New Roman"/>
          <w:sz w:val="24"/>
        </w:rPr>
        <w:t xml:space="preserve"> mln zł do </w:t>
      </w:r>
      <w:r>
        <w:rPr>
          <w:rFonts w:ascii="Times New Roman" w:eastAsia="Times New Roman" w:hAnsi="Times New Roman" w:cs="Times New Roman"/>
          <w:sz w:val="24"/>
        </w:rPr>
        <w:t>62,2</w:t>
      </w:r>
      <w:r w:rsidRPr="007F400A">
        <w:rPr>
          <w:rFonts w:ascii="Times New Roman" w:eastAsia="Times New Roman" w:hAnsi="Times New Roman" w:cs="Times New Roman"/>
          <w:sz w:val="24"/>
        </w:rPr>
        <w:t xml:space="preserve"> mln zł) czyli o </w:t>
      </w:r>
      <w:r>
        <w:rPr>
          <w:rFonts w:ascii="Times New Roman" w:eastAsia="Times New Roman" w:hAnsi="Times New Roman" w:cs="Times New Roman"/>
          <w:sz w:val="24"/>
        </w:rPr>
        <w:t>36,5</w:t>
      </w:r>
      <w:r w:rsidRPr="007F400A">
        <w:rPr>
          <w:rFonts w:ascii="Times New Roman" w:eastAsia="Times New Roman" w:hAnsi="Times New Roman" w:cs="Times New Roman"/>
          <w:sz w:val="24"/>
        </w:rPr>
        <w:t xml:space="preserve"> %</w:t>
      </w:r>
      <w:r w:rsidR="00895F16" w:rsidRPr="007F400A">
        <w:rPr>
          <w:rFonts w:ascii="Times New Roman" w:eastAsia="Times New Roman" w:hAnsi="Times New Roman" w:cs="Times New Roman"/>
          <w:sz w:val="24"/>
          <w:szCs w:val="20"/>
          <w:lang w:eastAsia="pl-PL"/>
        </w:rPr>
        <w:t>.</w:t>
      </w:r>
    </w:p>
    <w:p w14:paraId="255C3783" w14:textId="77777777" w:rsidR="00895F16" w:rsidRPr="007F400A" w:rsidRDefault="00895F16" w:rsidP="00056EE7">
      <w:pPr>
        <w:spacing w:after="0" w:line="300" w:lineRule="atLeast"/>
        <w:jc w:val="both"/>
        <w:rPr>
          <w:rFonts w:ascii="Times New Roman" w:eastAsia="Times New Roman" w:hAnsi="Times New Roman" w:cs="Times New Roman"/>
          <w:sz w:val="24"/>
          <w:szCs w:val="20"/>
          <w:lang w:eastAsia="pl-PL"/>
        </w:rPr>
      </w:pPr>
    </w:p>
    <w:p w14:paraId="5DCA75AE" w14:textId="0EB7376A" w:rsidR="00895F16" w:rsidRPr="007F400A" w:rsidRDefault="00895F16" w:rsidP="00E3329A">
      <w:pPr>
        <w:keepNext/>
        <w:spacing w:after="120" w:line="300" w:lineRule="atLeast"/>
        <w:outlineLvl w:val="0"/>
        <w:rPr>
          <w:rFonts w:ascii="Times New Roman" w:eastAsia="Times New Roman" w:hAnsi="Times New Roman" w:cs="Times New Roman"/>
          <w:b/>
          <w:bCs/>
          <w:sz w:val="24"/>
          <w:szCs w:val="24"/>
          <w:lang w:val="x-none" w:eastAsia="x-none"/>
        </w:rPr>
      </w:pPr>
      <w:bookmarkStart w:id="218" w:name="_Toc5878577"/>
      <w:bookmarkStart w:id="219" w:name="_Toc36732600"/>
      <w:bookmarkStart w:id="220" w:name="_Toc135935638"/>
      <w:r w:rsidRPr="007F400A">
        <w:rPr>
          <w:rFonts w:ascii="Times New Roman" w:eastAsia="Times New Roman" w:hAnsi="Times New Roman" w:cs="Times New Roman"/>
          <w:b/>
          <w:bCs/>
          <w:sz w:val="24"/>
          <w:szCs w:val="24"/>
          <w:lang w:val="x-none" w:eastAsia="x-none"/>
        </w:rPr>
        <w:t>4.2.4 Kary</w:t>
      </w:r>
      <w:r w:rsidR="00BE7003">
        <w:rPr>
          <w:rFonts w:ascii="Times New Roman" w:eastAsia="Times New Roman" w:hAnsi="Times New Roman" w:cs="Times New Roman"/>
          <w:b/>
          <w:bCs/>
          <w:sz w:val="24"/>
          <w:szCs w:val="24"/>
          <w:lang w:eastAsia="x-none"/>
        </w:rPr>
        <w:t xml:space="preserve">, opłaty oraz </w:t>
      </w:r>
      <w:r w:rsidRPr="007F400A">
        <w:rPr>
          <w:rFonts w:ascii="Times New Roman" w:eastAsia="Times New Roman" w:hAnsi="Times New Roman" w:cs="Times New Roman"/>
          <w:b/>
          <w:bCs/>
          <w:sz w:val="24"/>
          <w:szCs w:val="24"/>
          <w:lang w:eastAsia="x-none"/>
        </w:rPr>
        <w:t xml:space="preserve">opłaty </w:t>
      </w:r>
      <w:r w:rsidR="00BE7003">
        <w:rPr>
          <w:rFonts w:ascii="Times New Roman" w:eastAsia="Times New Roman" w:hAnsi="Times New Roman" w:cs="Times New Roman"/>
          <w:b/>
          <w:bCs/>
          <w:sz w:val="24"/>
          <w:szCs w:val="24"/>
          <w:lang w:eastAsia="x-none"/>
        </w:rPr>
        <w:t xml:space="preserve">odroczone, </w:t>
      </w:r>
      <w:r w:rsidRPr="007F400A">
        <w:rPr>
          <w:rFonts w:ascii="Times New Roman" w:eastAsia="Times New Roman" w:hAnsi="Times New Roman" w:cs="Times New Roman"/>
          <w:b/>
          <w:bCs/>
          <w:sz w:val="24"/>
          <w:szCs w:val="24"/>
          <w:lang w:val="x-none" w:eastAsia="x-none"/>
        </w:rPr>
        <w:t>zawieszone</w:t>
      </w:r>
      <w:r w:rsidRPr="007F400A">
        <w:rPr>
          <w:rFonts w:ascii="Times New Roman" w:eastAsia="Times New Roman" w:hAnsi="Times New Roman" w:cs="Times New Roman"/>
          <w:b/>
          <w:bCs/>
          <w:sz w:val="24"/>
          <w:szCs w:val="24"/>
          <w:lang w:eastAsia="x-none"/>
        </w:rPr>
        <w:t>, umorzone</w:t>
      </w:r>
      <w:r w:rsidRPr="007F400A">
        <w:rPr>
          <w:rFonts w:ascii="Times New Roman" w:eastAsia="Times New Roman" w:hAnsi="Times New Roman" w:cs="Times New Roman"/>
          <w:b/>
          <w:bCs/>
          <w:sz w:val="24"/>
          <w:szCs w:val="24"/>
          <w:lang w:val="x-none" w:eastAsia="x-none"/>
        </w:rPr>
        <w:t xml:space="preserve"> lub rozłożone na raty</w:t>
      </w:r>
      <w:bookmarkEnd w:id="218"/>
      <w:bookmarkEnd w:id="219"/>
      <w:bookmarkEnd w:id="220"/>
    </w:p>
    <w:p w14:paraId="4A46D4AA" w14:textId="09EA993C" w:rsidR="00BE7003" w:rsidRDefault="00633E13" w:rsidP="00E3329A">
      <w:pPr>
        <w:spacing w:after="0" w:line="300" w:lineRule="atLeast"/>
        <w:ind w:firstLine="567"/>
        <w:jc w:val="both"/>
        <w:rPr>
          <w:rFonts w:ascii="Times New Roman" w:eastAsia="Times New Roman" w:hAnsi="Times New Roman" w:cs="Times New Roman"/>
          <w:sz w:val="24"/>
          <w:szCs w:val="20"/>
          <w:lang w:eastAsia="pl-PL"/>
        </w:rPr>
      </w:pPr>
      <w:bookmarkStart w:id="221" w:name="_Toc5878578"/>
      <w:r w:rsidRPr="007F400A">
        <w:rPr>
          <w:rFonts w:ascii="Times New Roman" w:eastAsia="Times New Roman" w:hAnsi="Times New Roman" w:cs="Times New Roman"/>
          <w:sz w:val="24"/>
        </w:rPr>
        <w:t>W 202</w:t>
      </w:r>
      <w:r>
        <w:rPr>
          <w:rFonts w:ascii="Times New Roman" w:eastAsia="Times New Roman" w:hAnsi="Times New Roman" w:cs="Times New Roman"/>
          <w:sz w:val="24"/>
        </w:rPr>
        <w:t>2</w:t>
      </w:r>
      <w:r w:rsidRPr="007F400A">
        <w:rPr>
          <w:rFonts w:ascii="Times New Roman" w:eastAsia="Times New Roman" w:hAnsi="Times New Roman" w:cs="Times New Roman"/>
          <w:sz w:val="24"/>
        </w:rPr>
        <w:t xml:space="preserve"> r. wojewódzcy inspektorzy ochrony środowiska wydali </w:t>
      </w:r>
      <w:r>
        <w:rPr>
          <w:rFonts w:ascii="Times New Roman" w:eastAsia="Times New Roman" w:hAnsi="Times New Roman" w:cs="Times New Roman"/>
          <w:sz w:val="24"/>
        </w:rPr>
        <w:t>546</w:t>
      </w:r>
      <w:r w:rsidRPr="007F400A">
        <w:rPr>
          <w:rFonts w:ascii="Times New Roman" w:eastAsia="Times New Roman" w:hAnsi="Times New Roman" w:cs="Times New Roman"/>
          <w:sz w:val="24"/>
        </w:rPr>
        <w:t xml:space="preserve"> decyzji odraczających, zawieszających, umarzających lub rozkładających kary na raty na kwotę </w:t>
      </w:r>
      <w:r>
        <w:rPr>
          <w:rFonts w:ascii="Times New Roman" w:eastAsia="Times New Roman" w:hAnsi="Times New Roman" w:cs="Times New Roman"/>
          <w:sz w:val="24"/>
        </w:rPr>
        <w:t>41 827 696,11</w:t>
      </w:r>
      <w:r w:rsidRPr="007F400A">
        <w:rPr>
          <w:rFonts w:ascii="Times New Roman" w:eastAsia="Times New Roman" w:hAnsi="Times New Roman" w:cs="Times New Roman"/>
          <w:sz w:val="24"/>
        </w:rPr>
        <w:t xml:space="preserve"> zł. Decyzje odraczające wydane w 202</w:t>
      </w:r>
      <w:r>
        <w:rPr>
          <w:rFonts w:ascii="Times New Roman" w:eastAsia="Times New Roman" w:hAnsi="Times New Roman" w:cs="Times New Roman"/>
          <w:sz w:val="24"/>
        </w:rPr>
        <w:t xml:space="preserve">2 </w:t>
      </w:r>
      <w:r w:rsidRPr="007F400A">
        <w:rPr>
          <w:rFonts w:ascii="Times New Roman" w:eastAsia="Times New Roman" w:hAnsi="Times New Roman" w:cs="Times New Roman"/>
          <w:sz w:val="24"/>
        </w:rPr>
        <w:t>r. dotyczyły kar pieniężnych wymierzonych w 202</w:t>
      </w:r>
      <w:r>
        <w:rPr>
          <w:rFonts w:ascii="Times New Roman" w:eastAsia="Times New Roman" w:hAnsi="Times New Roman" w:cs="Times New Roman"/>
          <w:sz w:val="24"/>
        </w:rPr>
        <w:t>2</w:t>
      </w:r>
      <w:r w:rsidRPr="007F400A">
        <w:rPr>
          <w:rFonts w:ascii="Times New Roman" w:eastAsia="Times New Roman" w:hAnsi="Times New Roman" w:cs="Times New Roman"/>
          <w:sz w:val="24"/>
        </w:rPr>
        <w:t xml:space="preserve"> r. oraz w latach ubiegłych</w:t>
      </w:r>
      <w:r w:rsidR="00BE7003" w:rsidRPr="007F400A">
        <w:rPr>
          <w:rFonts w:ascii="Times New Roman" w:eastAsia="Times New Roman" w:hAnsi="Times New Roman" w:cs="Times New Roman"/>
          <w:sz w:val="24"/>
          <w:szCs w:val="20"/>
          <w:lang w:eastAsia="pl-PL"/>
        </w:rPr>
        <w:t>.</w:t>
      </w:r>
    </w:p>
    <w:p w14:paraId="1A596C94" w14:textId="77777777" w:rsidR="00BE7003" w:rsidRPr="007F400A" w:rsidRDefault="00BE7003" w:rsidP="00056EE7">
      <w:pPr>
        <w:spacing w:after="0" w:line="300" w:lineRule="atLeast"/>
        <w:ind w:firstLine="709"/>
        <w:jc w:val="both"/>
        <w:rPr>
          <w:rFonts w:ascii="Times New Roman" w:eastAsia="Times New Roman" w:hAnsi="Times New Roman" w:cs="Times New Roman"/>
          <w:sz w:val="24"/>
          <w:szCs w:val="20"/>
          <w:lang w:eastAsia="pl-PL"/>
        </w:rPr>
      </w:pPr>
    </w:p>
    <w:p w14:paraId="73A7360A" w14:textId="77777777" w:rsidR="00BE7003" w:rsidRDefault="00BE7003" w:rsidP="00056EE7">
      <w:pPr>
        <w:spacing w:line="300" w:lineRule="atLeast"/>
        <w:jc w:val="center"/>
        <w:rPr>
          <w:rFonts w:ascii="Times New Roman" w:hAnsi="Times New Roman" w:cs="Times New Roman"/>
          <w:b/>
        </w:rPr>
      </w:pPr>
      <w:r w:rsidRPr="007F400A">
        <w:rPr>
          <w:rFonts w:ascii="Times New Roman" w:hAnsi="Times New Roman" w:cs="Times New Roman"/>
          <w:b/>
        </w:rPr>
        <w:t>Tabela 1</w:t>
      </w:r>
      <w:r>
        <w:rPr>
          <w:rFonts w:ascii="Times New Roman" w:hAnsi="Times New Roman" w:cs="Times New Roman"/>
          <w:b/>
        </w:rPr>
        <w:t>0</w:t>
      </w:r>
      <w:r w:rsidRPr="007F400A">
        <w:rPr>
          <w:rFonts w:ascii="Times New Roman" w:hAnsi="Times New Roman" w:cs="Times New Roman"/>
          <w:b/>
        </w:rPr>
        <w:t>. Kary</w:t>
      </w:r>
      <w:r>
        <w:rPr>
          <w:rFonts w:ascii="Times New Roman" w:hAnsi="Times New Roman" w:cs="Times New Roman"/>
          <w:b/>
        </w:rPr>
        <w:t>,</w:t>
      </w:r>
      <w:r w:rsidRPr="007F400A">
        <w:rPr>
          <w:rFonts w:ascii="Times New Roman" w:hAnsi="Times New Roman" w:cs="Times New Roman"/>
          <w:b/>
        </w:rPr>
        <w:t xml:space="preserve"> opłaty</w:t>
      </w:r>
      <w:r>
        <w:rPr>
          <w:rFonts w:ascii="Times New Roman" w:hAnsi="Times New Roman" w:cs="Times New Roman"/>
          <w:b/>
        </w:rPr>
        <w:t xml:space="preserve"> oraz </w:t>
      </w:r>
      <w:r w:rsidRPr="007F400A">
        <w:rPr>
          <w:rFonts w:ascii="Times New Roman" w:hAnsi="Times New Roman" w:cs="Times New Roman"/>
          <w:b/>
        </w:rPr>
        <w:t>opłaty podwyższone odroczone</w:t>
      </w:r>
    </w:p>
    <w:tbl>
      <w:tblPr>
        <w:tblW w:w="92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949"/>
        <w:gridCol w:w="1412"/>
        <w:gridCol w:w="1843"/>
      </w:tblGrid>
      <w:tr w:rsidR="00BE7003" w:rsidRPr="00A13488" w14:paraId="5F86E136" w14:textId="77777777" w:rsidTr="00BE7003">
        <w:trPr>
          <w:jc w:val="center"/>
        </w:trPr>
        <w:tc>
          <w:tcPr>
            <w:tcW w:w="59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D11A63" w14:textId="77777777" w:rsidR="00BE7003" w:rsidRPr="00A13488" w:rsidRDefault="00BE7003" w:rsidP="00056EE7">
            <w:pPr>
              <w:spacing w:after="0" w:line="300" w:lineRule="atLeast"/>
              <w:rPr>
                <w:rFonts w:ascii="Times New Roman" w:eastAsia="Times New Roman" w:hAnsi="Times New Roman" w:cs="Times New Roman"/>
                <w:b/>
                <w:bCs/>
                <w:color w:val="000000"/>
                <w:sz w:val="18"/>
                <w:szCs w:val="18"/>
              </w:rPr>
            </w:pPr>
            <w:r w:rsidRPr="00A13488">
              <w:rPr>
                <w:rFonts w:ascii="Times New Roman" w:eastAsia="Times New Roman" w:hAnsi="Times New Roman" w:cs="Times New Roman"/>
                <w:b/>
                <w:bCs/>
                <w:color w:val="000000"/>
                <w:sz w:val="18"/>
                <w:szCs w:val="18"/>
              </w:rPr>
              <w:t>Kary za:</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EE3271" w14:textId="77777777" w:rsidR="00BE7003" w:rsidRPr="00A13488" w:rsidRDefault="00BE7003" w:rsidP="00056EE7">
            <w:pPr>
              <w:spacing w:after="0" w:line="300" w:lineRule="atLeast"/>
              <w:jc w:val="center"/>
              <w:rPr>
                <w:rFonts w:ascii="Times New Roman" w:eastAsia="Times New Roman" w:hAnsi="Times New Roman" w:cs="Times New Roman"/>
                <w:b/>
                <w:bCs/>
                <w:color w:val="000000"/>
                <w:sz w:val="18"/>
                <w:szCs w:val="18"/>
              </w:rPr>
            </w:pPr>
            <w:r w:rsidRPr="00A13488">
              <w:rPr>
                <w:rFonts w:ascii="Times New Roman" w:eastAsia="Times New Roman" w:hAnsi="Times New Roman" w:cs="Times New Roman"/>
                <w:b/>
                <w:bCs/>
                <w:color w:val="000000"/>
                <w:sz w:val="18"/>
                <w:szCs w:val="18"/>
              </w:rPr>
              <w:t>Liczba wydanych decyzji</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11D0DF" w14:textId="77777777" w:rsidR="00BE7003" w:rsidRPr="00A13488" w:rsidRDefault="00BE7003" w:rsidP="00056EE7">
            <w:pPr>
              <w:spacing w:after="0" w:line="300" w:lineRule="atLeast"/>
              <w:jc w:val="center"/>
              <w:rPr>
                <w:rFonts w:ascii="Times New Roman" w:eastAsia="Times New Roman" w:hAnsi="Times New Roman" w:cs="Times New Roman"/>
                <w:b/>
                <w:bCs/>
                <w:color w:val="000000"/>
                <w:sz w:val="18"/>
                <w:szCs w:val="18"/>
              </w:rPr>
            </w:pPr>
            <w:r w:rsidRPr="00A13488">
              <w:rPr>
                <w:rFonts w:ascii="Times New Roman" w:eastAsia="Times New Roman" w:hAnsi="Times New Roman" w:cs="Times New Roman"/>
                <w:b/>
                <w:bCs/>
                <w:color w:val="000000"/>
                <w:sz w:val="18"/>
                <w:szCs w:val="18"/>
              </w:rPr>
              <w:t>Kwota [zł]</w:t>
            </w:r>
          </w:p>
        </w:tc>
      </w:tr>
      <w:tr w:rsidR="00BE7003" w:rsidRPr="00A13488" w14:paraId="1AF69A90" w14:textId="77777777" w:rsidTr="00BE7003">
        <w:trPr>
          <w:jc w:val="center"/>
        </w:trPr>
        <w:tc>
          <w:tcPr>
            <w:tcW w:w="59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7ACB87" w14:textId="77777777" w:rsidR="00BE7003" w:rsidRPr="003D4F33" w:rsidRDefault="00BE7003" w:rsidP="00056EE7">
            <w:pPr>
              <w:spacing w:after="0" w:line="300" w:lineRule="atLeast"/>
              <w:rPr>
                <w:rFonts w:ascii="Times New Roman" w:eastAsia="Times New Roman" w:hAnsi="Times New Roman" w:cs="Times New Roman"/>
                <w:bCs/>
                <w:color w:val="000000"/>
                <w:sz w:val="18"/>
                <w:szCs w:val="18"/>
              </w:rPr>
            </w:pPr>
            <w:r w:rsidRPr="003D4F33">
              <w:rPr>
                <w:rFonts w:ascii="Times New Roman" w:eastAsia="Times New Roman" w:hAnsi="Times New Roman" w:cs="Times New Roman"/>
                <w:bCs/>
                <w:color w:val="000000"/>
                <w:sz w:val="18"/>
                <w:szCs w:val="18"/>
              </w:rPr>
              <w:t>przekroczenie dopuszczalnego poziomu hałasu</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DEDE00" w14:textId="77777777" w:rsidR="00BE7003" w:rsidRPr="001611DE" w:rsidRDefault="00BE7003" w:rsidP="00056EE7">
            <w:pPr>
              <w:spacing w:after="0" w:line="300" w:lineRule="atLeast"/>
              <w:jc w:val="center"/>
              <w:rPr>
                <w:rFonts w:ascii="Times New Roman" w:eastAsia="Times New Roman" w:hAnsi="Times New Roman" w:cs="Times New Roman"/>
                <w:bCs/>
                <w:color w:val="000000"/>
                <w:sz w:val="18"/>
                <w:szCs w:val="18"/>
              </w:rPr>
            </w:pPr>
            <w:r w:rsidRPr="001611DE">
              <w:rPr>
                <w:rFonts w:ascii="Times New Roman" w:eastAsia="Times New Roman" w:hAnsi="Times New Roman" w:cs="Times New Roman"/>
                <w:bCs/>
                <w:color w:val="000000"/>
                <w:sz w:val="18"/>
                <w:szCs w:val="18"/>
              </w:rPr>
              <w:t>30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F76550" w14:textId="77777777" w:rsidR="00BE7003" w:rsidRPr="001611DE" w:rsidRDefault="00BE7003" w:rsidP="00056EE7">
            <w:pPr>
              <w:spacing w:after="0" w:line="300" w:lineRule="atLeast"/>
              <w:jc w:val="right"/>
              <w:rPr>
                <w:rFonts w:ascii="Times New Roman" w:eastAsia="Times New Roman" w:hAnsi="Times New Roman" w:cs="Times New Roman"/>
                <w:bCs/>
                <w:color w:val="000000"/>
                <w:sz w:val="18"/>
                <w:szCs w:val="18"/>
              </w:rPr>
            </w:pPr>
            <w:r w:rsidRPr="001611DE">
              <w:rPr>
                <w:rFonts w:ascii="Times New Roman" w:eastAsia="Times New Roman" w:hAnsi="Times New Roman" w:cs="Times New Roman"/>
                <w:bCs/>
                <w:color w:val="000000"/>
                <w:sz w:val="18"/>
                <w:szCs w:val="18"/>
              </w:rPr>
              <w:t>681 169,00 zł</w:t>
            </w:r>
          </w:p>
        </w:tc>
      </w:tr>
      <w:tr w:rsidR="00BE7003" w:rsidRPr="00A13488" w14:paraId="5F18B9AB" w14:textId="77777777" w:rsidTr="00BE7003">
        <w:trPr>
          <w:jc w:val="center"/>
        </w:trPr>
        <w:tc>
          <w:tcPr>
            <w:tcW w:w="59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943A64" w14:textId="77777777" w:rsidR="00BE7003" w:rsidRPr="003D4F33" w:rsidRDefault="00BE7003" w:rsidP="00056EE7">
            <w:pPr>
              <w:spacing w:after="0" w:line="300" w:lineRule="atLeast"/>
              <w:rPr>
                <w:rFonts w:ascii="Times New Roman" w:eastAsia="Times New Roman" w:hAnsi="Times New Roman" w:cs="Times New Roman"/>
                <w:bCs/>
                <w:color w:val="000000"/>
                <w:sz w:val="18"/>
                <w:szCs w:val="18"/>
              </w:rPr>
            </w:pPr>
            <w:r w:rsidRPr="003D4F33">
              <w:rPr>
                <w:rFonts w:ascii="Times New Roman" w:eastAsia="Times New Roman" w:hAnsi="Times New Roman" w:cs="Times New Roman"/>
                <w:bCs/>
                <w:color w:val="000000"/>
                <w:sz w:val="18"/>
                <w:szCs w:val="18"/>
              </w:rPr>
              <w:t>wprowadzanie do wód lub ziemi ścieków nieodpowiadających wymaganym warunkom</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90CB05" w14:textId="77777777" w:rsidR="00BE7003" w:rsidRPr="001611DE" w:rsidRDefault="00BE7003" w:rsidP="00056EE7">
            <w:pPr>
              <w:spacing w:after="0" w:line="300" w:lineRule="atLeast"/>
              <w:jc w:val="center"/>
              <w:rPr>
                <w:rFonts w:ascii="Times New Roman" w:eastAsia="Times New Roman" w:hAnsi="Times New Roman" w:cs="Times New Roman"/>
                <w:bCs/>
                <w:color w:val="000000"/>
                <w:sz w:val="18"/>
                <w:szCs w:val="18"/>
              </w:rPr>
            </w:pPr>
            <w:r w:rsidRPr="001611DE">
              <w:rPr>
                <w:rFonts w:ascii="Times New Roman" w:eastAsia="Times New Roman" w:hAnsi="Times New Roman" w:cs="Times New Roman"/>
                <w:bCs/>
                <w:color w:val="000000"/>
                <w:sz w:val="18"/>
                <w:szCs w:val="18"/>
              </w:rPr>
              <w:t>15</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C95D9B" w14:textId="77777777" w:rsidR="00BE7003" w:rsidRPr="001611DE" w:rsidRDefault="00BE7003" w:rsidP="00056EE7">
            <w:pPr>
              <w:spacing w:after="0" w:line="300" w:lineRule="atLeast"/>
              <w:jc w:val="right"/>
              <w:rPr>
                <w:rFonts w:ascii="Times New Roman" w:eastAsia="Times New Roman" w:hAnsi="Times New Roman" w:cs="Times New Roman"/>
                <w:bCs/>
                <w:color w:val="000000"/>
                <w:sz w:val="18"/>
                <w:szCs w:val="18"/>
              </w:rPr>
            </w:pPr>
            <w:r w:rsidRPr="001611DE">
              <w:rPr>
                <w:rFonts w:ascii="Times New Roman" w:eastAsia="Times New Roman" w:hAnsi="Times New Roman" w:cs="Times New Roman"/>
                <w:bCs/>
                <w:color w:val="000000"/>
                <w:sz w:val="18"/>
                <w:szCs w:val="18"/>
              </w:rPr>
              <w:t>3 673 697,00 zł</w:t>
            </w:r>
          </w:p>
        </w:tc>
      </w:tr>
      <w:tr w:rsidR="00BE7003" w:rsidRPr="00A13488" w14:paraId="01000074" w14:textId="77777777" w:rsidTr="00BE7003">
        <w:trPr>
          <w:jc w:val="center"/>
        </w:trPr>
        <w:tc>
          <w:tcPr>
            <w:tcW w:w="59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97B9B6" w14:textId="77777777" w:rsidR="00BE7003" w:rsidRPr="003D4F33" w:rsidRDefault="00BE7003" w:rsidP="00056EE7">
            <w:pPr>
              <w:spacing w:after="0" w:line="300" w:lineRule="atLeast"/>
              <w:rPr>
                <w:rFonts w:ascii="Times New Roman" w:eastAsia="Times New Roman" w:hAnsi="Times New Roman" w:cs="Times New Roman"/>
                <w:bCs/>
                <w:color w:val="000000"/>
                <w:sz w:val="18"/>
                <w:szCs w:val="18"/>
              </w:rPr>
            </w:pPr>
            <w:r w:rsidRPr="003D4F33">
              <w:rPr>
                <w:rFonts w:ascii="Times New Roman" w:eastAsia="Times New Roman" w:hAnsi="Times New Roman" w:cs="Times New Roman"/>
                <w:bCs/>
                <w:color w:val="000000"/>
                <w:sz w:val="18"/>
                <w:szCs w:val="18"/>
              </w:rPr>
              <w:t>przekroczenie dopuszczalnej ilości lub rodzaju gazów i pyłów wprowadzanych do powietrza</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BC6285" w14:textId="77777777" w:rsidR="00BE7003" w:rsidRPr="001611DE" w:rsidRDefault="00BE7003" w:rsidP="00056EE7">
            <w:pPr>
              <w:spacing w:after="0" w:line="300" w:lineRule="atLeast"/>
              <w:jc w:val="center"/>
              <w:rPr>
                <w:rFonts w:ascii="Times New Roman" w:eastAsia="Times New Roman" w:hAnsi="Times New Roman" w:cs="Times New Roman"/>
                <w:bCs/>
                <w:color w:val="000000"/>
                <w:sz w:val="18"/>
                <w:szCs w:val="18"/>
              </w:rPr>
            </w:pPr>
            <w:r w:rsidRPr="001611DE">
              <w:rPr>
                <w:rFonts w:ascii="Times New Roman" w:eastAsia="Times New Roman" w:hAnsi="Times New Roman" w:cs="Times New Roman"/>
                <w:bCs/>
                <w:color w:val="000000"/>
                <w:sz w:val="18"/>
                <w:szCs w:val="18"/>
              </w:rPr>
              <w:t>12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1C5544" w14:textId="77777777" w:rsidR="00BE7003" w:rsidRPr="001611DE" w:rsidRDefault="00BE7003" w:rsidP="00056EE7">
            <w:pPr>
              <w:spacing w:after="0" w:line="300" w:lineRule="atLeast"/>
              <w:jc w:val="right"/>
              <w:rPr>
                <w:rFonts w:ascii="Times New Roman" w:eastAsia="Times New Roman" w:hAnsi="Times New Roman" w:cs="Times New Roman"/>
                <w:bCs/>
                <w:color w:val="000000"/>
                <w:sz w:val="18"/>
                <w:szCs w:val="18"/>
              </w:rPr>
            </w:pPr>
            <w:r w:rsidRPr="001611DE">
              <w:rPr>
                <w:rFonts w:ascii="Times New Roman" w:eastAsia="Times New Roman" w:hAnsi="Times New Roman" w:cs="Times New Roman"/>
                <w:bCs/>
                <w:color w:val="000000"/>
                <w:sz w:val="18"/>
                <w:szCs w:val="18"/>
              </w:rPr>
              <w:t>7 202 737,00 zł</w:t>
            </w:r>
          </w:p>
        </w:tc>
      </w:tr>
      <w:tr w:rsidR="00BE7003" w:rsidRPr="00A13488" w14:paraId="50D0E01A" w14:textId="77777777" w:rsidTr="00BE7003">
        <w:trPr>
          <w:jc w:val="center"/>
        </w:trPr>
        <w:tc>
          <w:tcPr>
            <w:tcW w:w="59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8BB6BF" w14:textId="77777777" w:rsidR="00BE7003" w:rsidRPr="001611DE" w:rsidRDefault="00BE7003" w:rsidP="00056EE7">
            <w:pPr>
              <w:spacing w:after="0" w:line="300" w:lineRule="atLeast"/>
              <w:rPr>
                <w:rFonts w:ascii="Times New Roman" w:eastAsia="Times New Roman" w:hAnsi="Times New Roman" w:cs="Times New Roman"/>
                <w:bCs/>
                <w:color w:val="000000"/>
                <w:sz w:val="18"/>
                <w:szCs w:val="18"/>
              </w:rPr>
            </w:pPr>
            <w:r w:rsidRPr="001611DE">
              <w:rPr>
                <w:rFonts w:ascii="Times New Roman" w:eastAsia="Times New Roman" w:hAnsi="Times New Roman" w:cs="Times New Roman"/>
                <w:bCs/>
                <w:color w:val="000000"/>
                <w:sz w:val="18"/>
                <w:szCs w:val="18"/>
              </w:rPr>
              <w:t>nieprzestrzeganie przepisów w zakresie przekazywania danych identyfikujących i strategicznych map hałasu oraz dotyczących programu ochrony środowiska przed hałasem</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EEA323" w14:textId="77777777" w:rsidR="00BE7003" w:rsidRPr="001611DE" w:rsidRDefault="00BE7003" w:rsidP="00056EE7">
            <w:pPr>
              <w:spacing w:after="0" w:line="300" w:lineRule="atLeast"/>
              <w:jc w:val="center"/>
              <w:rPr>
                <w:rFonts w:ascii="Times New Roman" w:eastAsia="Times New Roman" w:hAnsi="Times New Roman" w:cs="Times New Roman"/>
                <w:bCs/>
                <w:color w:val="000000"/>
                <w:sz w:val="18"/>
                <w:szCs w:val="18"/>
              </w:rPr>
            </w:pPr>
            <w:r w:rsidRPr="001611DE">
              <w:rPr>
                <w:rFonts w:ascii="Times New Roman" w:eastAsia="Times New Roman" w:hAnsi="Times New Roman" w:cs="Times New Roman"/>
                <w:bCs/>
                <w:color w:val="000000"/>
                <w:sz w:val="18"/>
                <w:szCs w:val="18"/>
              </w:rPr>
              <w:t>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F5692E" w14:textId="77777777" w:rsidR="00BE7003" w:rsidRPr="001611DE" w:rsidRDefault="00BE7003" w:rsidP="00056EE7">
            <w:pPr>
              <w:spacing w:after="0" w:line="300" w:lineRule="atLeast"/>
              <w:jc w:val="right"/>
              <w:rPr>
                <w:rFonts w:ascii="Times New Roman" w:eastAsia="Times New Roman" w:hAnsi="Times New Roman" w:cs="Times New Roman"/>
                <w:bCs/>
                <w:color w:val="000000"/>
                <w:sz w:val="18"/>
                <w:szCs w:val="18"/>
              </w:rPr>
            </w:pPr>
            <w:r w:rsidRPr="001611DE">
              <w:rPr>
                <w:rFonts w:ascii="Times New Roman" w:eastAsia="Times New Roman" w:hAnsi="Times New Roman" w:cs="Times New Roman"/>
                <w:bCs/>
                <w:color w:val="000000"/>
                <w:sz w:val="18"/>
                <w:szCs w:val="18"/>
              </w:rPr>
              <w:t>500 000,00 zł</w:t>
            </w:r>
          </w:p>
        </w:tc>
      </w:tr>
      <w:tr w:rsidR="00BE7003" w:rsidRPr="00A13488" w14:paraId="65A7FCB5" w14:textId="77777777" w:rsidTr="00BE7003">
        <w:trPr>
          <w:jc w:val="center"/>
        </w:trPr>
        <w:tc>
          <w:tcPr>
            <w:tcW w:w="59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322FD7" w14:textId="77777777" w:rsidR="00BE7003" w:rsidRPr="001611DE" w:rsidRDefault="00BE7003" w:rsidP="00056EE7">
            <w:pPr>
              <w:spacing w:after="0" w:line="300" w:lineRule="atLeast"/>
              <w:rPr>
                <w:rFonts w:ascii="Times New Roman" w:eastAsia="Times New Roman" w:hAnsi="Times New Roman" w:cs="Times New Roman"/>
                <w:bCs/>
                <w:color w:val="000000"/>
                <w:sz w:val="18"/>
                <w:szCs w:val="18"/>
              </w:rPr>
            </w:pPr>
            <w:r w:rsidRPr="001611DE">
              <w:rPr>
                <w:rFonts w:ascii="Times New Roman" w:eastAsia="Times New Roman" w:hAnsi="Times New Roman" w:cs="Times New Roman"/>
                <w:bCs/>
                <w:color w:val="000000"/>
                <w:sz w:val="18"/>
                <w:szCs w:val="18"/>
              </w:rPr>
              <w:t>przekroczenie ustalonych warunków poboru wody</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62489C" w14:textId="77777777" w:rsidR="00BE7003" w:rsidRPr="001611DE" w:rsidRDefault="00BE7003" w:rsidP="00056EE7">
            <w:pPr>
              <w:spacing w:after="0" w:line="300" w:lineRule="atLeast"/>
              <w:jc w:val="center"/>
              <w:rPr>
                <w:rFonts w:ascii="Times New Roman" w:eastAsia="Times New Roman" w:hAnsi="Times New Roman" w:cs="Times New Roman"/>
                <w:bCs/>
                <w:color w:val="000000"/>
                <w:sz w:val="18"/>
                <w:szCs w:val="18"/>
              </w:rPr>
            </w:pPr>
            <w:r w:rsidRPr="001611DE">
              <w:rPr>
                <w:rFonts w:ascii="Times New Roman" w:eastAsia="Times New Roman" w:hAnsi="Times New Roman" w:cs="Times New Roman"/>
                <w:bCs/>
                <w:color w:val="000000"/>
                <w:sz w:val="18"/>
                <w:szCs w:val="18"/>
              </w:rPr>
              <w:t>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886C1A" w14:textId="77777777" w:rsidR="00BE7003" w:rsidRPr="001611DE" w:rsidRDefault="00BE7003" w:rsidP="00056EE7">
            <w:pPr>
              <w:spacing w:after="0" w:line="300" w:lineRule="atLeast"/>
              <w:jc w:val="right"/>
              <w:rPr>
                <w:rFonts w:ascii="Times New Roman" w:eastAsia="Times New Roman" w:hAnsi="Times New Roman" w:cs="Times New Roman"/>
                <w:bCs/>
                <w:color w:val="000000"/>
                <w:sz w:val="18"/>
                <w:szCs w:val="18"/>
              </w:rPr>
            </w:pPr>
            <w:r w:rsidRPr="001611DE">
              <w:rPr>
                <w:rFonts w:ascii="Times New Roman" w:eastAsia="Times New Roman" w:hAnsi="Times New Roman" w:cs="Times New Roman"/>
                <w:bCs/>
                <w:color w:val="000000"/>
                <w:sz w:val="18"/>
                <w:szCs w:val="18"/>
              </w:rPr>
              <w:t>39 402,00 zł</w:t>
            </w:r>
          </w:p>
        </w:tc>
      </w:tr>
      <w:tr w:rsidR="00BE7003" w:rsidRPr="00A13488" w14:paraId="1822D04F" w14:textId="77777777" w:rsidTr="00BE7003">
        <w:trPr>
          <w:jc w:val="center"/>
        </w:trPr>
        <w:tc>
          <w:tcPr>
            <w:tcW w:w="59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968EBB" w14:textId="77777777" w:rsidR="00BE7003" w:rsidRPr="001611DE" w:rsidRDefault="00BE7003" w:rsidP="00056EE7">
            <w:pPr>
              <w:spacing w:after="0" w:line="300" w:lineRule="atLeast"/>
              <w:rPr>
                <w:rFonts w:ascii="Times New Roman" w:eastAsia="Times New Roman" w:hAnsi="Times New Roman" w:cs="Times New Roman"/>
                <w:bCs/>
                <w:color w:val="000000"/>
                <w:sz w:val="18"/>
                <w:szCs w:val="18"/>
              </w:rPr>
            </w:pPr>
            <w:r w:rsidRPr="001611DE">
              <w:rPr>
                <w:rFonts w:ascii="Times New Roman" w:eastAsia="Times New Roman" w:hAnsi="Times New Roman" w:cs="Times New Roman"/>
                <w:bCs/>
                <w:color w:val="000000"/>
                <w:sz w:val="18"/>
                <w:szCs w:val="18"/>
              </w:rPr>
              <w:t>nieprzestrzeganie przepisów w zakresie ustawy o utrzymaniu czystości i porządku w gminach</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EE9A1D" w14:textId="77777777" w:rsidR="00BE7003" w:rsidRPr="001611DE" w:rsidRDefault="00BE7003" w:rsidP="00056EE7">
            <w:pPr>
              <w:spacing w:after="0" w:line="300" w:lineRule="atLeast"/>
              <w:jc w:val="center"/>
              <w:rPr>
                <w:rFonts w:ascii="Times New Roman" w:eastAsia="Times New Roman" w:hAnsi="Times New Roman" w:cs="Times New Roman"/>
                <w:bCs/>
                <w:color w:val="000000"/>
                <w:sz w:val="18"/>
                <w:szCs w:val="18"/>
              </w:rPr>
            </w:pPr>
            <w:r w:rsidRPr="001611DE">
              <w:rPr>
                <w:rFonts w:ascii="Times New Roman" w:eastAsia="Times New Roman" w:hAnsi="Times New Roman" w:cs="Times New Roman"/>
                <w:bCs/>
                <w:color w:val="000000"/>
                <w:sz w:val="18"/>
                <w:szCs w:val="18"/>
              </w:rPr>
              <w:t>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9B1FE1" w14:textId="77777777" w:rsidR="00BE7003" w:rsidRPr="001611DE" w:rsidRDefault="00BE7003" w:rsidP="00056EE7">
            <w:pPr>
              <w:spacing w:after="0" w:line="300" w:lineRule="atLeast"/>
              <w:jc w:val="right"/>
              <w:rPr>
                <w:rFonts w:ascii="Times New Roman" w:eastAsia="Times New Roman" w:hAnsi="Times New Roman" w:cs="Times New Roman"/>
                <w:bCs/>
                <w:color w:val="000000"/>
                <w:sz w:val="18"/>
                <w:szCs w:val="18"/>
              </w:rPr>
            </w:pPr>
            <w:r w:rsidRPr="001611DE">
              <w:rPr>
                <w:rFonts w:ascii="Times New Roman" w:eastAsia="Times New Roman" w:hAnsi="Times New Roman" w:cs="Times New Roman"/>
                <w:bCs/>
                <w:color w:val="000000"/>
                <w:sz w:val="18"/>
                <w:szCs w:val="18"/>
              </w:rPr>
              <w:t>17 414,00 zł</w:t>
            </w:r>
          </w:p>
        </w:tc>
      </w:tr>
      <w:tr w:rsidR="00BE7003" w:rsidRPr="00A13488" w14:paraId="1AFB7392" w14:textId="77777777" w:rsidTr="00BE7003">
        <w:trPr>
          <w:jc w:val="center"/>
        </w:trPr>
        <w:tc>
          <w:tcPr>
            <w:tcW w:w="59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9E2AD0" w14:textId="77777777" w:rsidR="00BE7003" w:rsidRPr="001611DE" w:rsidRDefault="00BE7003" w:rsidP="00056EE7">
            <w:pPr>
              <w:spacing w:after="0" w:line="300" w:lineRule="atLeast"/>
              <w:rPr>
                <w:rFonts w:ascii="Times New Roman" w:eastAsia="Times New Roman" w:hAnsi="Times New Roman" w:cs="Times New Roman"/>
                <w:bCs/>
                <w:color w:val="000000"/>
                <w:sz w:val="18"/>
                <w:szCs w:val="18"/>
              </w:rPr>
            </w:pPr>
            <w:r w:rsidRPr="001611DE">
              <w:rPr>
                <w:rFonts w:ascii="Times New Roman" w:eastAsia="Times New Roman" w:hAnsi="Times New Roman" w:cs="Times New Roman"/>
                <w:bCs/>
                <w:color w:val="000000"/>
                <w:sz w:val="18"/>
                <w:szCs w:val="18"/>
              </w:rPr>
              <w:t>nieprzestrzeganie przepisów w zakresie recyklingu pojazdów wycofanych z eksploatacji</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DD254E" w14:textId="77777777" w:rsidR="00BE7003" w:rsidRPr="001611DE" w:rsidRDefault="00BE7003" w:rsidP="00056EE7">
            <w:pPr>
              <w:spacing w:after="0" w:line="300" w:lineRule="atLeast"/>
              <w:jc w:val="center"/>
              <w:rPr>
                <w:rFonts w:ascii="Times New Roman" w:eastAsia="Times New Roman" w:hAnsi="Times New Roman" w:cs="Times New Roman"/>
                <w:bCs/>
                <w:color w:val="000000"/>
                <w:sz w:val="18"/>
                <w:szCs w:val="18"/>
              </w:rPr>
            </w:pPr>
            <w:r w:rsidRPr="001611DE">
              <w:rPr>
                <w:rFonts w:ascii="Times New Roman" w:eastAsia="Times New Roman" w:hAnsi="Times New Roman" w:cs="Times New Roman"/>
                <w:bCs/>
                <w:color w:val="000000"/>
                <w:sz w:val="18"/>
                <w:szCs w:val="18"/>
              </w:rPr>
              <w:t>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ED26EE" w14:textId="77777777" w:rsidR="00BE7003" w:rsidRPr="001611DE" w:rsidRDefault="00BE7003" w:rsidP="00056EE7">
            <w:pPr>
              <w:spacing w:after="0" w:line="300" w:lineRule="atLeast"/>
              <w:jc w:val="right"/>
              <w:rPr>
                <w:rFonts w:ascii="Times New Roman" w:eastAsia="Times New Roman" w:hAnsi="Times New Roman" w:cs="Times New Roman"/>
                <w:bCs/>
                <w:color w:val="000000"/>
                <w:sz w:val="18"/>
                <w:szCs w:val="18"/>
              </w:rPr>
            </w:pPr>
            <w:r w:rsidRPr="001611DE">
              <w:rPr>
                <w:rFonts w:ascii="Times New Roman" w:eastAsia="Times New Roman" w:hAnsi="Times New Roman" w:cs="Times New Roman"/>
                <w:bCs/>
                <w:color w:val="000000"/>
                <w:sz w:val="18"/>
                <w:szCs w:val="18"/>
              </w:rPr>
              <w:t>15 000,00 zł</w:t>
            </w:r>
          </w:p>
        </w:tc>
      </w:tr>
      <w:tr w:rsidR="00633E13" w:rsidRPr="00A13488" w14:paraId="70015298" w14:textId="77777777" w:rsidTr="00BE7003">
        <w:trPr>
          <w:jc w:val="center"/>
        </w:trPr>
        <w:tc>
          <w:tcPr>
            <w:tcW w:w="59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8D6C4D" w14:textId="0287CA2A" w:rsidR="00633E13" w:rsidRPr="002221BE" w:rsidRDefault="00633E13" w:rsidP="00633E13">
            <w:pPr>
              <w:spacing w:after="0" w:line="300" w:lineRule="atLeast"/>
              <w:rPr>
                <w:rFonts w:ascii="Times New Roman" w:eastAsia="Times New Roman" w:hAnsi="Times New Roman" w:cs="Times New Roman"/>
                <w:b/>
                <w:bCs/>
                <w:color w:val="000000"/>
                <w:sz w:val="18"/>
                <w:szCs w:val="18"/>
              </w:rPr>
            </w:pPr>
            <w:r w:rsidRPr="002221BE">
              <w:rPr>
                <w:rFonts w:ascii="Times New Roman" w:eastAsia="Times New Roman" w:hAnsi="Times New Roman" w:cs="Times New Roman"/>
                <w:b/>
                <w:bCs/>
                <w:color w:val="000000"/>
                <w:sz w:val="18"/>
                <w:szCs w:val="18"/>
              </w:rPr>
              <w:t xml:space="preserve">Ogółem </w:t>
            </w:r>
            <w:r>
              <w:rPr>
                <w:rFonts w:ascii="Times New Roman" w:eastAsia="Times New Roman" w:hAnsi="Times New Roman" w:cs="Times New Roman"/>
                <w:b/>
                <w:bCs/>
                <w:color w:val="000000"/>
                <w:sz w:val="18"/>
                <w:szCs w:val="18"/>
              </w:rPr>
              <w:t>–</w:t>
            </w:r>
            <w:r w:rsidRPr="002221BE">
              <w:rPr>
                <w:rFonts w:ascii="Times New Roman" w:eastAsia="Times New Roman" w:hAnsi="Times New Roman" w:cs="Times New Roman"/>
                <w:b/>
                <w:bCs/>
                <w:color w:val="000000"/>
                <w:sz w:val="18"/>
                <w:szCs w:val="18"/>
              </w:rPr>
              <w:t xml:space="preserve"> kary</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808BA8" w14:textId="7E0E00F6" w:rsidR="00633E13" w:rsidRPr="002221BE" w:rsidRDefault="00633E13" w:rsidP="00633E13">
            <w:pPr>
              <w:spacing w:after="0" w:line="300" w:lineRule="atLeast"/>
              <w:jc w:val="center"/>
              <w:rPr>
                <w:rFonts w:ascii="Times New Roman" w:eastAsia="Times New Roman" w:hAnsi="Times New Roman" w:cs="Times New Roman"/>
                <w:b/>
                <w:bCs/>
                <w:color w:val="000000"/>
                <w:sz w:val="18"/>
                <w:szCs w:val="18"/>
              </w:rPr>
            </w:pPr>
            <w:r w:rsidRPr="002221BE">
              <w:rPr>
                <w:rFonts w:ascii="Times New Roman" w:eastAsia="Times New Roman" w:hAnsi="Times New Roman" w:cs="Times New Roman"/>
                <w:b/>
                <w:bCs/>
                <w:color w:val="000000"/>
                <w:sz w:val="18"/>
                <w:szCs w:val="18"/>
              </w:rPr>
              <w:t>6</w:t>
            </w:r>
            <w:r>
              <w:rPr>
                <w:rFonts w:ascii="Times New Roman" w:eastAsia="Times New Roman" w:hAnsi="Times New Roman" w:cs="Times New Roman"/>
                <w:b/>
                <w:bCs/>
                <w:color w:val="000000"/>
                <w:sz w:val="18"/>
                <w:szCs w:val="18"/>
              </w:rPr>
              <w:t>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7A8306" w14:textId="7A47CFC8" w:rsidR="00633E13" w:rsidRPr="002221BE" w:rsidRDefault="00633E13" w:rsidP="00633E13">
            <w:pPr>
              <w:spacing w:after="0" w:line="300" w:lineRule="atLeast"/>
              <w:jc w:val="right"/>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12 129 419</w:t>
            </w:r>
            <w:r w:rsidRPr="002221BE">
              <w:rPr>
                <w:rFonts w:ascii="Times New Roman" w:eastAsia="Times New Roman" w:hAnsi="Times New Roman" w:cs="Times New Roman"/>
                <w:b/>
                <w:bCs/>
                <w:color w:val="000000"/>
                <w:sz w:val="18"/>
                <w:szCs w:val="18"/>
              </w:rPr>
              <w:t>,00 zł</w:t>
            </w:r>
          </w:p>
        </w:tc>
      </w:tr>
      <w:tr w:rsidR="00BE7003" w:rsidRPr="00A13488" w14:paraId="5DC703C5" w14:textId="77777777" w:rsidTr="00BE7003">
        <w:trPr>
          <w:jc w:val="center"/>
        </w:trPr>
        <w:tc>
          <w:tcPr>
            <w:tcW w:w="59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CA941D" w14:textId="77777777" w:rsidR="00BE7003" w:rsidRPr="002A42BF" w:rsidRDefault="00BE7003" w:rsidP="00056EE7">
            <w:pPr>
              <w:spacing w:after="0" w:line="300" w:lineRule="atLeast"/>
              <w:rPr>
                <w:rFonts w:ascii="Times New Roman" w:eastAsia="Times New Roman" w:hAnsi="Times New Roman" w:cs="Times New Roman"/>
                <w:b/>
                <w:bCs/>
                <w:color w:val="000000"/>
                <w:sz w:val="18"/>
                <w:szCs w:val="18"/>
              </w:rPr>
            </w:pPr>
            <w:r w:rsidRPr="002A42BF">
              <w:rPr>
                <w:rFonts w:ascii="Times New Roman" w:eastAsia="Times New Roman" w:hAnsi="Times New Roman" w:cs="Times New Roman"/>
                <w:b/>
                <w:bCs/>
                <w:color w:val="000000"/>
                <w:sz w:val="18"/>
                <w:szCs w:val="18"/>
              </w:rPr>
              <w:t>Opłaty podwyższone za:</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A12953" w14:textId="77777777" w:rsidR="00BE7003" w:rsidRPr="001611DE" w:rsidRDefault="00BE7003" w:rsidP="00056EE7">
            <w:pPr>
              <w:spacing w:after="0" w:line="300" w:lineRule="atLeast"/>
              <w:jc w:val="center"/>
              <w:rPr>
                <w:rFonts w:ascii="Times New Roman" w:eastAsia="Times New Roman" w:hAnsi="Times New Roman" w:cs="Times New Roman"/>
                <w:bCs/>
                <w:color w:val="000000"/>
                <w:sz w:val="18"/>
                <w:szCs w:val="18"/>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BB3AAE" w14:textId="77777777" w:rsidR="00BE7003" w:rsidRPr="001611DE" w:rsidRDefault="00BE7003" w:rsidP="00056EE7">
            <w:pPr>
              <w:spacing w:after="0" w:line="300" w:lineRule="atLeast"/>
              <w:jc w:val="right"/>
              <w:rPr>
                <w:rFonts w:ascii="Times New Roman" w:eastAsia="Times New Roman" w:hAnsi="Times New Roman" w:cs="Times New Roman"/>
                <w:bCs/>
                <w:color w:val="000000"/>
                <w:sz w:val="18"/>
                <w:szCs w:val="18"/>
              </w:rPr>
            </w:pPr>
          </w:p>
        </w:tc>
      </w:tr>
      <w:tr w:rsidR="00BE7003" w:rsidRPr="00A13488" w14:paraId="021DC390" w14:textId="77777777" w:rsidTr="00BE7003">
        <w:trPr>
          <w:jc w:val="center"/>
        </w:trPr>
        <w:tc>
          <w:tcPr>
            <w:tcW w:w="59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E87F3F" w14:textId="77777777" w:rsidR="00BE7003" w:rsidRPr="001611DE" w:rsidRDefault="00BE7003" w:rsidP="00056EE7">
            <w:pPr>
              <w:spacing w:after="0" w:line="300" w:lineRule="atLeast"/>
              <w:rPr>
                <w:rFonts w:ascii="Times New Roman" w:eastAsia="Times New Roman" w:hAnsi="Times New Roman" w:cs="Times New Roman"/>
                <w:bCs/>
                <w:color w:val="000000"/>
                <w:sz w:val="18"/>
                <w:szCs w:val="18"/>
              </w:rPr>
            </w:pPr>
            <w:r w:rsidRPr="001611DE">
              <w:rPr>
                <w:rFonts w:ascii="Times New Roman" w:eastAsia="Times New Roman" w:hAnsi="Times New Roman" w:cs="Times New Roman"/>
                <w:bCs/>
                <w:color w:val="000000"/>
                <w:sz w:val="18"/>
                <w:szCs w:val="18"/>
              </w:rPr>
              <w:lastRenderedPageBreak/>
              <w:t>wprowadzanie do wód lub do ziemi ścieków z przekroczeniem warunków określonych w pozwoleniu</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667632" w14:textId="77777777" w:rsidR="00BE7003" w:rsidRPr="001611DE" w:rsidRDefault="00BE7003" w:rsidP="00056EE7">
            <w:pPr>
              <w:spacing w:after="0" w:line="300" w:lineRule="atLeast"/>
              <w:jc w:val="center"/>
              <w:rPr>
                <w:rFonts w:ascii="Times New Roman" w:eastAsia="Times New Roman" w:hAnsi="Times New Roman" w:cs="Times New Roman"/>
                <w:bCs/>
                <w:color w:val="000000"/>
                <w:sz w:val="18"/>
                <w:szCs w:val="18"/>
              </w:rPr>
            </w:pPr>
            <w:r w:rsidRPr="001611DE">
              <w:rPr>
                <w:rFonts w:ascii="Times New Roman" w:eastAsia="Times New Roman" w:hAnsi="Times New Roman" w:cs="Times New Roman"/>
                <w:bCs/>
                <w:color w:val="000000"/>
                <w:sz w:val="18"/>
                <w:szCs w:val="18"/>
              </w:rPr>
              <w:t>93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D11BA1" w14:textId="77777777" w:rsidR="00BE7003" w:rsidRPr="001611DE" w:rsidRDefault="00BE7003" w:rsidP="00056EE7">
            <w:pPr>
              <w:spacing w:after="0" w:line="300" w:lineRule="atLeast"/>
              <w:jc w:val="right"/>
              <w:rPr>
                <w:rFonts w:ascii="Times New Roman" w:eastAsia="Times New Roman" w:hAnsi="Times New Roman" w:cs="Times New Roman"/>
                <w:bCs/>
                <w:color w:val="000000"/>
                <w:sz w:val="18"/>
                <w:szCs w:val="18"/>
              </w:rPr>
            </w:pPr>
            <w:r w:rsidRPr="001611DE">
              <w:rPr>
                <w:rFonts w:ascii="Times New Roman" w:eastAsia="Times New Roman" w:hAnsi="Times New Roman" w:cs="Times New Roman"/>
                <w:bCs/>
                <w:color w:val="000000"/>
                <w:sz w:val="18"/>
                <w:szCs w:val="18"/>
              </w:rPr>
              <w:t>19 625 484,00 zł</w:t>
            </w:r>
          </w:p>
        </w:tc>
      </w:tr>
      <w:tr w:rsidR="00BE7003" w:rsidRPr="00A13488" w14:paraId="1038292A" w14:textId="77777777" w:rsidTr="00BE7003">
        <w:trPr>
          <w:jc w:val="center"/>
        </w:trPr>
        <w:tc>
          <w:tcPr>
            <w:tcW w:w="59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E41725" w14:textId="77777777" w:rsidR="00BE7003" w:rsidRPr="001611DE" w:rsidRDefault="00BE7003" w:rsidP="00056EE7">
            <w:pPr>
              <w:spacing w:after="0" w:line="300" w:lineRule="atLeast"/>
              <w:rPr>
                <w:rFonts w:ascii="Times New Roman" w:eastAsia="Times New Roman" w:hAnsi="Times New Roman" w:cs="Times New Roman"/>
                <w:bCs/>
                <w:color w:val="000000"/>
                <w:sz w:val="18"/>
                <w:szCs w:val="18"/>
              </w:rPr>
            </w:pPr>
            <w:r w:rsidRPr="001611DE">
              <w:rPr>
                <w:rFonts w:ascii="Times New Roman" w:eastAsia="Times New Roman" w:hAnsi="Times New Roman" w:cs="Times New Roman"/>
                <w:bCs/>
                <w:color w:val="000000"/>
                <w:sz w:val="18"/>
                <w:szCs w:val="18"/>
              </w:rPr>
              <w:t>przekroczenie określonych warunków poboru wody</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58CA40" w14:textId="77777777" w:rsidR="00BE7003" w:rsidRPr="001611DE" w:rsidRDefault="00BE7003" w:rsidP="00056EE7">
            <w:pPr>
              <w:spacing w:after="0" w:line="300" w:lineRule="atLeast"/>
              <w:jc w:val="center"/>
              <w:rPr>
                <w:rFonts w:ascii="Times New Roman" w:eastAsia="Times New Roman" w:hAnsi="Times New Roman" w:cs="Times New Roman"/>
                <w:bCs/>
                <w:color w:val="000000"/>
                <w:sz w:val="18"/>
                <w:szCs w:val="18"/>
              </w:rPr>
            </w:pPr>
            <w:r w:rsidRPr="001611DE">
              <w:rPr>
                <w:rFonts w:ascii="Times New Roman" w:eastAsia="Times New Roman" w:hAnsi="Times New Roman" w:cs="Times New Roman"/>
                <w:bCs/>
                <w:color w:val="000000"/>
                <w:sz w:val="18"/>
                <w:szCs w:val="18"/>
              </w:rPr>
              <w:t>16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53C1A2" w14:textId="77777777" w:rsidR="00BE7003" w:rsidRPr="001611DE" w:rsidRDefault="00BE7003" w:rsidP="00056EE7">
            <w:pPr>
              <w:spacing w:after="0" w:line="300" w:lineRule="atLeast"/>
              <w:jc w:val="right"/>
              <w:rPr>
                <w:rFonts w:ascii="Times New Roman" w:eastAsia="Times New Roman" w:hAnsi="Times New Roman" w:cs="Times New Roman"/>
                <w:bCs/>
                <w:color w:val="000000"/>
                <w:sz w:val="18"/>
                <w:szCs w:val="18"/>
              </w:rPr>
            </w:pPr>
            <w:r w:rsidRPr="001611DE">
              <w:rPr>
                <w:rFonts w:ascii="Times New Roman" w:eastAsia="Times New Roman" w:hAnsi="Times New Roman" w:cs="Times New Roman"/>
                <w:bCs/>
                <w:color w:val="000000"/>
                <w:sz w:val="18"/>
                <w:szCs w:val="18"/>
              </w:rPr>
              <w:t>676 111,00 zł</w:t>
            </w:r>
          </w:p>
        </w:tc>
      </w:tr>
      <w:tr w:rsidR="00BE7003" w:rsidRPr="00A13488" w14:paraId="0D8A601A" w14:textId="77777777" w:rsidTr="00BE7003">
        <w:trPr>
          <w:jc w:val="center"/>
        </w:trPr>
        <w:tc>
          <w:tcPr>
            <w:tcW w:w="59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8FE468" w14:textId="77777777" w:rsidR="00BE7003" w:rsidRPr="001611DE" w:rsidRDefault="00BE7003" w:rsidP="00056EE7">
            <w:pPr>
              <w:spacing w:after="0" w:line="300" w:lineRule="atLeast"/>
              <w:rPr>
                <w:rFonts w:ascii="Times New Roman" w:eastAsia="Times New Roman" w:hAnsi="Times New Roman" w:cs="Times New Roman"/>
                <w:b/>
                <w:bCs/>
                <w:color w:val="000000"/>
                <w:sz w:val="18"/>
                <w:szCs w:val="18"/>
              </w:rPr>
            </w:pPr>
            <w:r w:rsidRPr="001611DE">
              <w:rPr>
                <w:rFonts w:ascii="Times New Roman" w:eastAsia="Times New Roman" w:hAnsi="Times New Roman" w:cs="Times New Roman"/>
                <w:b/>
                <w:bCs/>
                <w:color w:val="000000"/>
                <w:sz w:val="18"/>
                <w:szCs w:val="18"/>
              </w:rPr>
              <w:t>Ogółem - opłaty podwyższone</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3A53CF" w14:textId="77777777" w:rsidR="00BE7003" w:rsidRPr="001611DE" w:rsidRDefault="00BE7003" w:rsidP="00056EE7">
            <w:pPr>
              <w:spacing w:after="0" w:line="300" w:lineRule="atLeast"/>
              <w:jc w:val="center"/>
              <w:rPr>
                <w:rFonts w:ascii="Times New Roman" w:eastAsia="Times New Roman" w:hAnsi="Times New Roman" w:cs="Times New Roman"/>
                <w:b/>
                <w:bCs/>
                <w:color w:val="000000"/>
                <w:sz w:val="18"/>
                <w:szCs w:val="18"/>
              </w:rPr>
            </w:pPr>
            <w:r w:rsidRPr="001611DE">
              <w:rPr>
                <w:rFonts w:ascii="Times New Roman" w:eastAsia="Times New Roman" w:hAnsi="Times New Roman" w:cs="Times New Roman"/>
                <w:b/>
                <w:bCs/>
                <w:color w:val="000000"/>
                <w:sz w:val="18"/>
                <w:szCs w:val="18"/>
              </w:rPr>
              <w:t>109</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ADE080" w14:textId="77777777" w:rsidR="00BE7003" w:rsidRPr="001611DE" w:rsidRDefault="00BE7003" w:rsidP="00056EE7">
            <w:pPr>
              <w:spacing w:after="0" w:line="300" w:lineRule="atLeast"/>
              <w:jc w:val="right"/>
              <w:rPr>
                <w:rFonts w:ascii="Times New Roman" w:eastAsia="Times New Roman" w:hAnsi="Times New Roman" w:cs="Times New Roman"/>
                <w:b/>
                <w:bCs/>
                <w:color w:val="000000"/>
                <w:sz w:val="18"/>
                <w:szCs w:val="18"/>
              </w:rPr>
            </w:pPr>
            <w:r w:rsidRPr="001611DE">
              <w:rPr>
                <w:rFonts w:ascii="Times New Roman" w:eastAsia="Times New Roman" w:hAnsi="Times New Roman" w:cs="Times New Roman"/>
                <w:b/>
                <w:bCs/>
                <w:color w:val="000000"/>
                <w:sz w:val="18"/>
                <w:szCs w:val="18"/>
              </w:rPr>
              <w:t>20 301 595,00 zł</w:t>
            </w:r>
          </w:p>
        </w:tc>
      </w:tr>
      <w:tr w:rsidR="00633E13" w:rsidRPr="00A13488" w14:paraId="6391F422" w14:textId="77777777" w:rsidTr="00BE7003">
        <w:trPr>
          <w:jc w:val="center"/>
        </w:trPr>
        <w:tc>
          <w:tcPr>
            <w:tcW w:w="59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957182" w14:textId="77777777" w:rsidR="00633E13" w:rsidRPr="001611DE" w:rsidRDefault="00633E13" w:rsidP="00633E13">
            <w:pPr>
              <w:spacing w:after="0" w:line="300" w:lineRule="atLeast"/>
              <w:rPr>
                <w:rFonts w:ascii="Times New Roman" w:eastAsia="Times New Roman" w:hAnsi="Times New Roman" w:cs="Times New Roman"/>
                <w:b/>
                <w:bCs/>
                <w:color w:val="000000"/>
                <w:sz w:val="18"/>
                <w:szCs w:val="18"/>
              </w:rPr>
            </w:pPr>
            <w:r w:rsidRPr="001611DE">
              <w:rPr>
                <w:rFonts w:ascii="Times New Roman" w:eastAsia="Times New Roman" w:hAnsi="Times New Roman" w:cs="Times New Roman"/>
                <w:b/>
                <w:bCs/>
                <w:color w:val="000000"/>
                <w:sz w:val="18"/>
                <w:szCs w:val="18"/>
              </w:rPr>
              <w:t>Ogółem</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303435" w14:textId="6207BA8D" w:rsidR="00633E13" w:rsidRPr="001611DE" w:rsidRDefault="00633E13" w:rsidP="00633E13">
            <w:pPr>
              <w:spacing w:after="0" w:line="300" w:lineRule="atLeast"/>
              <w:jc w:val="center"/>
              <w:rPr>
                <w:rFonts w:ascii="Times New Roman" w:eastAsia="Times New Roman" w:hAnsi="Times New Roman" w:cs="Times New Roman"/>
                <w:b/>
                <w:bCs/>
                <w:color w:val="000000"/>
                <w:sz w:val="18"/>
                <w:szCs w:val="18"/>
              </w:rPr>
            </w:pPr>
            <w:r w:rsidRPr="001611DE">
              <w:rPr>
                <w:rFonts w:ascii="Times New Roman" w:eastAsia="Times New Roman" w:hAnsi="Times New Roman" w:cs="Times New Roman"/>
                <w:b/>
                <w:bCs/>
                <w:color w:val="000000"/>
                <w:sz w:val="18"/>
                <w:szCs w:val="18"/>
              </w:rPr>
              <w:t>17</w:t>
            </w:r>
            <w:r>
              <w:rPr>
                <w:rFonts w:ascii="Times New Roman" w:eastAsia="Times New Roman" w:hAnsi="Times New Roman" w:cs="Times New Roman"/>
                <w:b/>
                <w:bCs/>
                <w:color w:val="000000"/>
                <w:sz w:val="18"/>
                <w:szCs w:val="18"/>
              </w:rPr>
              <w:t>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4FC6FE" w14:textId="5D8CAF14" w:rsidR="00633E13" w:rsidRPr="001611DE" w:rsidRDefault="00633E13" w:rsidP="00633E13">
            <w:pPr>
              <w:spacing w:after="0" w:line="300" w:lineRule="atLeast"/>
              <w:jc w:val="right"/>
              <w:rPr>
                <w:rFonts w:ascii="Times New Roman" w:eastAsia="Times New Roman" w:hAnsi="Times New Roman" w:cs="Times New Roman"/>
                <w:b/>
                <w:bCs/>
                <w:color w:val="000000"/>
                <w:sz w:val="18"/>
                <w:szCs w:val="18"/>
              </w:rPr>
            </w:pPr>
            <w:r w:rsidRPr="001611DE">
              <w:rPr>
                <w:rFonts w:ascii="Times New Roman" w:eastAsia="Times New Roman" w:hAnsi="Times New Roman" w:cs="Times New Roman"/>
                <w:b/>
                <w:bCs/>
                <w:color w:val="000000"/>
                <w:sz w:val="18"/>
                <w:szCs w:val="18"/>
              </w:rPr>
              <w:t>3</w:t>
            </w:r>
            <w:r>
              <w:rPr>
                <w:rFonts w:ascii="Times New Roman" w:eastAsia="Times New Roman" w:hAnsi="Times New Roman" w:cs="Times New Roman"/>
                <w:b/>
                <w:bCs/>
                <w:color w:val="000000"/>
                <w:sz w:val="18"/>
                <w:szCs w:val="18"/>
              </w:rPr>
              <w:t>2 431 014</w:t>
            </w:r>
            <w:r w:rsidRPr="001611DE">
              <w:rPr>
                <w:rFonts w:ascii="Times New Roman" w:eastAsia="Times New Roman" w:hAnsi="Times New Roman" w:cs="Times New Roman"/>
                <w:b/>
                <w:bCs/>
                <w:color w:val="000000"/>
                <w:sz w:val="18"/>
                <w:szCs w:val="18"/>
              </w:rPr>
              <w:t>,00 zł</w:t>
            </w:r>
          </w:p>
        </w:tc>
      </w:tr>
    </w:tbl>
    <w:p w14:paraId="714FB1D6" w14:textId="59E68FC7" w:rsidR="00BE7003" w:rsidRPr="007F400A" w:rsidRDefault="00633E13" w:rsidP="00E3329A">
      <w:pPr>
        <w:spacing w:before="120" w:after="0" w:line="300" w:lineRule="atLeast"/>
        <w:ind w:firstLine="567"/>
        <w:jc w:val="both"/>
        <w:rPr>
          <w:rFonts w:ascii="Times New Roman" w:eastAsia="Times New Roman" w:hAnsi="Times New Roman" w:cs="Times New Roman"/>
          <w:sz w:val="24"/>
        </w:rPr>
      </w:pPr>
      <w:r w:rsidRPr="007F400A">
        <w:rPr>
          <w:rFonts w:ascii="Times New Roman" w:eastAsia="Times New Roman" w:hAnsi="Times New Roman" w:cs="Times New Roman"/>
          <w:sz w:val="24"/>
        </w:rPr>
        <w:t xml:space="preserve">Na </w:t>
      </w:r>
      <w:r>
        <w:rPr>
          <w:rFonts w:ascii="Times New Roman" w:eastAsia="Times New Roman" w:hAnsi="Times New Roman" w:cs="Times New Roman"/>
          <w:sz w:val="24"/>
        </w:rPr>
        <w:t>61</w:t>
      </w:r>
      <w:r w:rsidRPr="007F400A">
        <w:rPr>
          <w:rFonts w:ascii="Times New Roman" w:eastAsia="Times New Roman" w:hAnsi="Times New Roman" w:cs="Times New Roman"/>
          <w:sz w:val="24"/>
        </w:rPr>
        <w:t xml:space="preserve"> decyzj</w:t>
      </w:r>
      <w:r>
        <w:rPr>
          <w:rFonts w:ascii="Times New Roman" w:eastAsia="Times New Roman" w:hAnsi="Times New Roman" w:cs="Times New Roman"/>
          <w:sz w:val="24"/>
        </w:rPr>
        <w:t>i</w:t>
      </w:r>
      <w:r w:rsidRPr="007F400A">
        <w:rPr>
          <w:rFonts w:ascii="Times New Roman" w:eastAsia="Times New Roman" w:hAnsi="Times New Roman" w:cs="Times New Roman"/>
          <w:sz w:val="24"/>
        </w:rPr>
        <w:t xml:space="preserve"> odraczając</w:t>
      </w:r>
      <w:r>
        <w:rPr>
          <w:rFonts w:ascii="Times New Roman" w:eastAsia="Times New Roman" w:hAnsi="Times New Roman" w:cs="Times New Roman"/>
          <w:sz w:val="24"/>
        </w:rPr>
        <w:t>ych</w:t>
      </w:r>
      <w:r w:rsidRPr="007F400A">
        <w:rPr>
          <w:rFonts w:ascii="Times New Roman" w:eastAsia="Times New Roman" w:hAnsi="Times New Roman" w:cs="Times New Roman"/>
          <w:sz w:val="24"/>
        </w:rPr>
        <w:t xml:space="preserve"> termin płatności kary najwięcej (</w:t>
      </w:r>
      <w:r>
        <w:rPr>
          <w:rFonts w:ascii="Times New Roman" w:eastAsia="Times New Roman" w:hAnsi="Times New Roman" w:cs="Times New Roman"/>
          <w:sz w:val="24"/>
        </w:rPr>
        <w:t>49</w:t>
      </w:r>
      <w:r w:rsidRPr="007F400A">
        <w:rPr>
          <w:rFonts w:ascii="Times New Roman" w:eastAsia="Times New Roman" w:hAnsi="Times New Roman" w:cs="Times New Roman"/>
          <w:sz w:val="24"/>
        </w:rPr>
        <w:t>%</w:t>
      </w:r>
      <w:r w:rsidRPr="007F400A">
        <w:rPr>
          <w:rFonts w:ascii="Times New Roman" w:eastAsia="Times New Roman" w:hAnsi="Times New Roman" w:cs="Times New Roman"/>
          <w:bCs/>
          <w:sz w:val="24"/>
        </w:rPr>
        <w:t>)</w:t>
      </w:r>
      <w:r w:rsidRPr="007F400A">
        <w:rPr>
          <w:rFonts w:ascii="Times New Roman" w:eastAsia="Times New Roman" w:hAnsi="Times New Roman" w:cs="Times New Roman"/>
          <w:sz w:val="24"/>
        </w:rPr>
        <w:t xml:space="preserve"> decyzji dotyczyło</w:t>
      </w:r>
      <w:r w:rsidRPr="007F400A">
        <w:rPr>
          <w:rFonts w:ascii="Times New Roman" w:eastAsia="Times New Roman" w:hAnsi="Times New Roman" w:cs="Times New Roman"/>
          <w:bCs/>
          <w:sz w:val="24"/>
        </w:rPr>
        <w:t xml:space="preserve"> </w:t>
      </w:r>
      <w:r w:rsidRPr="006143A9">
        <w:rPr>
          <w:rFonts w:ascii="Times New Roman" w:eastAsia="Times New Roman" w:hAnsi="Times New Roman" w:cs="Times New Roman"/>
          <w:bCs/>
          <w:sz w:val="24"/>
        </w:rPr>
        <w:t>przekr</w:t>
      </w:r>
      <w:r>
        <w:rPr>
          <w:rFonts w:ascii="Times New Roman" w:eastAsia="Times New Roman" w:hAnsi="Times New Roman" w:cs="Times New Roman"/>
          <w:bCs/>
          <w:sz w:val="24"/>
        </w:rPr>
        <w:t>a</w:t>
      </w:r>
      <w:r w:rsidRPr="006143A9">
        <w:rPr>
          <w:rFonts w:ascii="Times New Roman" w:eastAsia="Times New Roman" w:hAnsi="Times New Roman" w:cs="Times New Roman"/>
          <w:bCs/>
          <w:sz w:val="24"/>
        </w:rPr>
        <w:t>cz</w:t>
      </w:r>
      <w:r>
        <w:rPr>
          <w:rFonts w:ascii="Times New Roman" w:eastAsia="Times New Roman" w:hAnsi="Times New Roman" w:cs="Times New Roman"/>
          <w:bCs/>
          <w:sz w:val="24"/>
        </w:rPr>
        <w:t>a</w:t>
      </w:r>
      <w:r w:rsidRPr="006143A9">
        <w:rPr>
          <w:rFonts w:ascii="Times New Roman" w:eastAsia="Times New Roman" w:hAnsi="Times New Roman" w:cs="Times New Roman"/>
          <w:bCs/>
          <w:sz w:val="24"/>
        </w:rPr>
        <w:t>ni</w:t>
      </w:r>
      <w:r>
        <w:rPr>
          <w:rFonts w:ascii="Times New Roman" w:eastAsia="Times New Roman" w:hAnsi="Times New Roman" w:cs="Times New Roman"/>
          <w:bCs/>
          <w:sz w:val="24"/>
        </w:rPr>
        <w:t>a</w:t>
      </w:r>
      <w:r w:rsidRPr="006143A9">
        <w:rPr>
          <w:rFonts w:ascii="Times New Roman" w:eastAsia="Times New Roman" w:hAnsi="Times New Roman" w:cs="Times New Roman"/>
          <w:bCs/>
          <w:sz w:val="24"/>
        </w:rPr>
        <w:t xml:space="preserve"> dopuszczalnego poziomu hałasu </w:t>
      </w:r>
      <w:r>
        <w:rPr>
          <w:rFonts w:ascii="Times New Roman" w:eastAsia="Times New Roman" w:hAnsi="Times New Roman" w:cs="Times New Roman"/>
          <w:bCs/>
          <w:sz w:val="24"/>
        </w:rPr>
        <w:t>określonego w decyzji lub pozwoleniu</w:t>
      </w:r>
      <w:r w:rsidRPr="007F400A">
        <w:rPr>
          <w:rFonts w:ascii="Times New Roman" w:eastAsia="Times New Roman" w:hAnsi="Times New Roman" w:cs="Times New Roman"/>
          <w:sz w:val="24"/>
        </w:rPr>
        <w:t xml:space="preserve">. </w:t>
      </w:r>
      <w:r>
        <w:rPr>
          <w:rFonts w:ascii="Times New Roman" w:eastAsia="Times New Roman" w:hAnsi="Times New Roman" w:cs="Times New Roman"/>
          <w:sz w:val="24"/>
        </w:rPr>
        <w:t>Natomiast w</w:t>
      </w:r>
      <w:r w:rsidRPr="007F400A">
        <w:rPr>
          <w:rFonts w:ascii="Times New Roman" w:eastAsia="Times New Roman" w:hAnsi="Times New Roman" w:cs="Times New Roman"/>
          <w:sz w:val="24"/>
        </w:rPr>
        <w:t xml:space="preserve"> przypadku opłat podwyższonych </w:t>
      </w:r>
      <w:r>
        <w:rPr>
          <w:rFonts w:ascii="Times New Roman" w:eastAsia="Times New Roman" w:hAnsi="Times New Roman" w:cs="Times New Roman"/>
          <w:sz w:val="24"/>
        </w:rPr>
        <w:t>93</w:t>
      </w:r>
      <w:r w:rsidRPr="007F400A">
        <w:rPr>
          <w:rFonts w:ascii="Times New Roman" w:eastAsia="Times New Roman" w:hAnsi="Times New Roman" w:cs="Times New Roman"/>
          <w:sz w:val="24"/>
        </w:rPr>
        <w:t xml:space="preserve"> decyzj</w:t>
      </w:r>
      <w:r>
        <w:rPr>
          <w:rFonts w:ascii="Times New Roman" w:eastAsia="Times New Roman" w:hAnsi="Times New Roman" w:cs="Times New Roman"/>
          <w:sz w:val="24"/>
        </w:rPr>
        <w:t>e</w:t>
      </w:r>
      <w:r w:rsidRPr="007F400A">
        <w:rPr>
          <w:rFonts w:ascii="Times New Roman" w:eastAsia="Times New Roman" w:hAnsi="Times New Roman" w:cs="Times New Roman"/>
          <w:sz w:val="24"/>
        </w:rPr>
        <w:t xml:space="preserve"> odraczając</w:t>
      </w:r>
      <w:r>
        <w:rPr>
          <w:rFonts w:ascii="Times New Roman" w:eastAsia="Times New Roman" w:hAnsi="Times New Roman" w:cs="Times New Roman"/>
          <w:sz w:val="24"/>
        </w:rPr>
        <w:t>e</w:t>
      </w:r>
      <w:r w:rsidRPr="007F400A">
        <w:rPr>
          <w:rFonts w:ascii="Times New Roman" w:eastAsia="Times New Roman" w:hAnsi="Times New Roman" w:cs="Times New Roman"/>
          <w:sz w:val="24"/>
        </w:rPr>
        <w:t xml:space="preserve"> (</w:t>
      </w:r>
      <w:r>
        <w:rPr>
          <w:rFonts w:ascii="Times New Roman" w:eastAsia="Times New Roman" w:hAnsi="Times New Roman" w:cs="Times New Roman"/>
          <w:sz w:val="24"/>
        </w:rPr>
        <w:t>85</w:t>
      </w:r>
      <w:r w:rsidRPr="007F400A">
        <w:rPr>
          <w:rFonts w:ascii="Times New Roman" w:eastAsia="Times New Roman" w:hAnsi="Times New Roman" w:cs="Times New Roman"/>
          <w:sz w:val="24"/>
        </w:rPr>
        <w:t>%) dotyczył</w:t>
      </w:r>
      <w:r>
        <w:rPr>
          <w:rFonts w:ascii="Times New Roman" w:eastAsia="Times New Roman" w:hAnsi="Times New Roman" w:cs="Times New Roman"/>
          <w:sz w:val="24"/>
        </w:rPr>
        <w:t>y</w:t>
      </w:r>
      <w:r w:rsidRPr="007F400A">
        <w:rPr>
          <w:rFonts w:ascii="Times New Roman" w:eastAsia="Times New Roman" w:hAnsi="Times New Roman" w:cs="Times New Roman"/>
          <w:sz w:val="24"/>
        </w:rPr>
        <w:t xml:space="preserve"> wprowadzania do wód lub ziemi ścieków nieodpowiadających wymaganym warunkom</w:t>
      </w:r>
      <w:r w:rsidR="00BE7003" w:rsidRPr="007F400A">
        <w:rPr>
          <w:rFonts w:ascii="Times New Roman" w:eastAsia="Times New Roman" w:hAnsi="Times New Roman" w:cs="Times New Roman"/>
          <w:sz w:val="24"/>
        </w:rPr>
        <w:t>.</w:t>
      </w:r>
    </w:p>
    <w:p w14:paraId="196657C1" w14:textId="77777777" w:rsidR="00BE7003" w:rsidRPr="007F400A" w:rsidRDefault="00BE7003" w:rsidP="00E3329A">
      <w:pPr>
        <w:spacing w:after="0" w:line="300" w:lineRule="atLeast"/>
        <w:ind w:firstLine="567"/>
        <w:jc w:val="both"/>
        <w:rPr>
          <w:rFonts w:ascii="Times New Roman" w:eastAsia="Times New Roman" w:hAnsi="Times New Roman" w:cs="Times New Roman"/>
          <w:bCs/>
          <w:sz w:val="24"/>
        </w:rPr>
      </w:pPr>
      <w:r w:rsidRPr="007F400A">
        <w:rPr>
          <w:rFonts w:ascii="Times New Roman" w:eastAsia="Times New Roman" w:hAnsi="Times New Roman" w:cs="Times New Roman"/>
          <w:bCs/>
          <w:sz w:val="24"/>
        </w:rPr>
        <w:t>W 202</w:t>
      </w:r>
      <w:r>
        <w:rPr>
          <w:rFonts w:ascii="Times New Roman" w:eastAsia="Times New Roman" w:hAnsi="Times New Roman" w:cs="Times New Roman"/>
          <w:bCs/>
          <w:sz w:val="24"/>
        </w:rPr>
        <w:t xml:space="preserve">2 </w:t>
      </w:r>
      <w:r w:rsidRPr="007F400A">
        <w:rPr>
          <w:rFonts w:ascii="Times New Roman" w:eastAsia="Times New Roman" w:hAnsi="Times New Roman" w:cs="Times New Roman"/>
          <w:bCs/>
          <w:sz w:val="24"/>
        </w:rPr>
        <w:t xml:space="preserve">r. wojewódzcy inspektorzy </w:t>
      </w:r>
      <w:r w:rsidRPr="007F400A">
        <w:rPr>
          <w:rFonts w:ascii="Times New Roman" w:eastAsia="Times New Roman" w:hAnsi="Times New Roman" w:cs="Times New Roman"/>
          <w:sz w:val="24"/>
        </w:rPr>
        <w:t xml:space="preserve">ochrony środowiska </w:t>
      </w:r>
      <w:r w:rsidRPr="007F400A">
        <w:rPr>
          <w:rFonts w:ascii="Times New Roman" w:eastAsia="Times New Roman" w:hAnsi="Times New Roman" w:cs="Times New Roman"/>
          <w:bCs/>
          <w:sz w:val="24"/>
        </w:rPr>
        <w:t xml:space="preserve">wydali </w:t>
      </w:r>
      <w:r>
        <w:rPr>
          <w:rFonts w:ascii="Times New Roman" w:eastAsia="Times New Roman" w:hAnsi="Times New Roman" w:cs="Times New Roman"/>
          <w:sz w:val="24"/>
        </w:rPr>
        <w:t>189</w:t>
      </w:r>
      <w:r w:rsidRPr="007F400A">
        <w:rPr>
          <w:rFonts w:ascii="Times New Roman" w:eastAsia="Times New Roman" w:hAnsi="Times New Roman" w:cs="Times New Roman"/>
          <w:sz w:val="24"/>
        </w:rPr>
        <w:t xml:space="preserve"> </w:t>
      </w:r>
      <w:r w:rsidRPr="007F400A">
        <w:rPr>
          <w:rFonts w:ascii="Times New Roman" w:eastAsia="Times New Roman" w:hAnsi="Times New Roman" w:cs="Times New Roman"/>
          <w:bCs/>
          <w:sz w:val="24"/>
        </w:rPr>
        <w:t xml:space="preserve">decyzji zawieszających wymiar kary na podstawie ustawy o utrzymaniu czystości i porządku w gminach na kwotę </w:t>
      </w:r>
      <w:r>
        <w:rPr>
          <w:rFonts w:ascii="Times New Roman" w:eastAsia="Times New Roman" w:hAnsi="Times New Roman" w:cs="Times New Roman"/>
          <w:bCs/>
          <w:sz w:val="24"/>
        </w:rPr>
        <w:t>4 533 474,00</w:t>
      </w:r>
      <w:r w:rsidRPr="007F400A">
        <w:rPr>
          <w:rFonts w:ascii="Times New Roman" w:eastAsia="Times New Roman" w:hAnsi="Times New Roman" w:cs="Times New Roman"/>
          <w:bCs/>
          <w:sz w:val="24"/>
        </w:rPr>
        <w:t> zł.</w:t>
      </w:r>
    </w:p>
    <w:p w14:paraId="23D726D8" w14:textId="06414814" w:rsidR="00895F16" w:rsidRPr="007F400A" w:rsidRDefault="00BE7003" w:rsidP="00E3329A">
      <w:pPr>
        <w:spacing w:after="0" w:line="300" w:lineRule="atLeast"/>
        <w:ind w:firstLine="567"/>
        <w:jc w:val="both"/>
        <w:rPr>
          <w:rFonts w:ascii="Times New Roman" w:eastAsia="Times New Roman" w:hAnsi="Times New Roman" w:cs="Times New Roman"/>
          <w:bCs/>
          <w:sz w:val="24"/>
          <w:szCs w:val="20"/>
          <w:lang w:eastAsia="pl-PL"/>
        </w:rPr>
      </w:pPr>
      <w:r w:rsidRPr="007F400A">
        <w:rPr>
          <w:rFonts w:ascii="Times New Roman" w:eastAsia="Times New Roman" w:hAnsi="Times New Roman" w:cs="Times New Roman"/>
          <w:bCs/>
          <w:sz w:val="24"/>
        </w:rPr>
        <w:t>Wojewódzcy inspektorzy ochrony środowiska w 202</w:t>
      </w:r>
      <w:r>
        <w:rPr>
          <w:rFonts w:ascii="Times New Roman" w:eastAsia="Times New Roman" w:hAnsi="Times New Roman" w:cs="Times New Roman"/>
          <w:bCs/>
          <w:sz w:val="24"/>
        </w:rPr>
        <w:t>2</w:t>
      </w:r>
      <w:r w:rsidRPr="007F400A">
        <w:rPr>
          <w:rFonts w:ascii="Times New Roman" w:eastAsia="Times New Roman" w:hAnsi="Times New Roman" w:cs="Times New Roman"/>
          <w:bCs/>
          <w:sz w:val="24"/>
        </w:rPr>
        <w:t xml:space="preserve"> r. umorzyli </w:t>
      </w:r>
      <w:r>
        <w:rPr>
          <w:rFonts w:ascii="Times New Roman" w:eastAsia="Times New Roman" w:hAnsi="Times New Roman" w:cs="Times New Roman"/>
          <w:bCs/>
          <w:sz w:val="24"/>
        </w:rPr>
        <w:t>135</w:t>
      </w:r>
      <w:r w:rsidRPr="007F400A">
        <w:rPr>
          <w:rFonts w:ascii="Times New Roman" w:eastAsia="Times New Roman" w:hAnsi="Times New Roman" w:cs="Times New Roman"/>
          <w:bCs/>
          <w:sz w:val="24"/>
        </w:rPr>
        <w:t xml:space="preserve"> kar</w:t>
      </w:r>
      <w:r>
        <w:rPr>
          <w:rFonts w:ascii="Times New Roman" w:eastAsia="Times New Roman" w:hAnsi="Times New Roman" w:cs="Times New Roman"/>
          <w:bCs/>
          <w:sz w:val="24"/>
        </w:rPr>
        <w:t>, opłat oraz opłat podwyższonych</w:t>
      </w:r>
      <w:r w:rsidRPr="007F400A">
        <w:rPr>
          <w:rFonts w:ascii="Times New Roman" w:eastAsia="Times New Roman" w:hAnsi="Times New Roman" w:cs="Times New Roman"/>
          <w:bCs/>
          <w:sz w:val="24"/>
        </w:rPr>
        <w:t xml:space="preserve"> na łączną kwotę </w:t>
      </w:r>
      <w:r>
        <w:rPr>
          <w:rFonts w:ascii="Times New Roman" w:eastAsia="Times New Roman" w:hAnsi="Times New Roman" w:cs="Times New Roman"/>
          <w:bCs/>
          <w:sz w:val="24"/>
        </w:rPr>
        <w:t>2 186 337,63</w:t>
      </w:r>
      <w:r w:rsidRPr="007F400A">
        <w:rPr>
          <w:rFonts w:ascii="Times New Roman" w:eastAsia="Times New Roman" w:hAnsi="Times New Roman" w:cs="Times New Roman"/>
          <w:bCs/>
          <w:sz w:val="24"/>
        </w:rPr>
        <w:t xml:space="preserve"> zł oraz </w:t>
      </w:r>
      <w:r w:rsidRPr="007F400A">
        <w:rPr>
          <w:rFonts w:ascii="Times New Roman" w:eastAsia="Times New Roman" w:hAnsi="Times New Roman" w:cs="Times New Roman"/>
          <w:sz w:val="24"/>
        </w:rPr>
        <w:t xml:space="preserve">wydali </w:t>
      </w:r>
      <w:r>
        <w:rPr>
          <w:rFonts w:ascii="Times New Roman" w:eastAsia="Times New Roman" w:hAnsi="Times New Roman" w:cs="Times New Roman"/>
          <w:sz w:val="24"/>
        </w:rPr>
        <w:t>52</w:t>
      </w:r>
      <w:r w:rsidRPr="007F400A">
        <w:rPr>
          <w:rFonts w:ascii="Times New Roman" w:eastAsia="Times New Roman" w:hAnsi="Times New Roman" w:cs="Times New Roman"/>
          <w:sz w:val="24"/>
        </w:rPr>
        <w:t xml:space="preserve"> decyzj</w:t>
      </w:r>
      <w:r>
        <w:rPr>
          <w:rFonts w:ascii="Times New Roman" w:eastAsia="Times New Roman" w:hAnsi="Times New Roman" w:cs="Times New Roman"/>
          <w:sz w:val="24"/>
        </w:rPr>
        <w:t>e</w:t>
      </w:r>
      <w:r w:rsidRPr="007F400A">
        <w:rPr>
          <w:rFonts w:ascii="Times New Roman" w:eastAsia="Times New Roman" w:hAnsi="Times New Roman" w:cs="Times New Roman"/>
          <w:sz w:val="24"/>
        </w:rPr>
        <w:t xml:space="preserve"> o </w:t>
      </w:r>
      <w:r w:rsidRPr="007F400A">
        <w:rPr>
          <w:rFonts w:ascii="Times New Roman" w:eastAsia="Times New Roman" w:hAnsi="Times New Roman" w:cs="Times New Roman"/>
          <w:bCs/>
          <w:sz w:val="24"/>
        </w:rPr>
        <w:t>rozłożeniu kary</w:t>
      </w:r>
      <w:r>
        <w:rPr>
          <w:rFonts w:ascii="Times New Roman" w:eastAsia="Times New Roman" w:hAnsi="Times New Roman" w:cs="Times New Roman"/>
          <w:bCs/>
          <w:sz w:val="24"/>
        </w:rPr>
        <w:t xml:space="preserve"> albo opłaty podwyższonej</w:t>
      </w:r>
      <w:r w:rsidRPr="007F400A">
        <w:rPr>
          <w:rFonts w:ascii="Times New Roman" w:eastAsia="Times New Roman" w:hAnsi="Times New Roman" w:cs="Times New Roman"/>
          <w:bCs/>
          <w:sz w:val="24"/>
        </w:rPr>
        <w:t xml:space="preserve"> na raty na</w:t>
      </w:r>
      <w:r>
        <w:rPr>
          <w:rFonts w:ascii="Times New Roman" w:eastAsia="Times New Roman" w:hAnsi="Times New Roman" w:cs="Times New Roman"/>
          <w:bCs/>
          <w:sz w:val="24"/>
        </w:rPr>
        <w:t xml:space="preserve"> </w:t>
      </w:r>
      <w:r w:rsidRPr="007F400A">
        <w:rPr>
          <w:rFonts w:ascii="Times New Roman" w:eastAsia="Times New Roman" w:hAnsi="Times New Roman" w:cs="Times New Roman"/>
          <w:bCs/>
          <w:sz w:val="24"/>
        </w:rPr>
        <w:t xml:space="preserve">łączną kwotę </w:t>
      </w:r>
      <w:r>
        <w:rPr>
          <w:rFonts w:ascii="Times New Roman" w:eastAsia="Times New Roman" w:hAnsi="Times New Roman" w:cs="Times New Roman"/>
          <w:bCs/>
          <w:sz w:val="24"/>
        </w:rPr>
        <w:t>2 676 870,48</w:t>
      </w:r>
      <w:r w:rsidRPr="007F400A">
        <w:rPr>
          <w:rFonts w:ascii="Times New Roman" w:eastAsia="Times New Roman" w:hAnsi="Times New Roman" w:cs="Times New Roman"/>
          <w:bCs/>
          <w:sz w:val="24"/>
        </w:rPr>
        <w:t> zł, w trybie ustawy Ordynacja podatkowa</w:t>
      </w:r>
      <w:r w:rsidR="00895F16" w:rsidRPr="007F400A">
        <w:rPr>
          <w:rFonts w:ascii="Times New Roman" w:eastAsia="Times New Roman" w:hAnsi="Times New Roman" w:cs="Times New Roman"/>
          <w:bCs/>
          <w:sz w:val="24"/>
          <w:szCs w:val="20"/>
          <w:lang w:eastAsia="pl-PL"/>
        </w:rPr>
        <w:t>.</w:t>
      </w:r>
    </w:p>
    <w:p w14:paraId="497375EC" w14:textId="77777777" w:rsidR="00E3329A" w:rsidRPr="007F400A" w:rsidRDefault="00E3329A" w:rsidP="003E4058">
      <w:pPr>
        <w:spacing w:after="0" w:line="300" w:lineRule="atLeast"/>
        <w:jc w:val="both"/>
        <w:rPr>
          <w:rFonts w:ascii="Times New Roman" w:eastAsia="Times New Roman" w:hAnsi="Times New Roman" w:cs="Times New Roman"/>
          <w:bCs/>
          <w:sz w:val="24"/>
          <w:szCs w:val="20"/>
          <w:lang w:eastAsia="pl-PL"/>
        </w:rPr>
      </w:pPr>
    </w:p>
    <w:p w14:paraId="029D9B3C" w14:textId="2F509900" w:rsidR="00895F16" w:rsidRPr="007F400A" w:rsidRDefault="00895F16" w:rsidP="00056EE7">
      <w:pPr>
        <w:keepNext/>
        <w:spacing w:after="120" w:line="300" w:lineRule="atLeast"/>
        <w:jc w:val="both"/>
        <w:outlineLvl w:val="0"/>
        <w:rPr>
          <w:rFonts w:ascii="Times New Roman" w:eastAsia="Times New Roman" w:hAnsi="Times New Roman" w:cs="Times New Roman"/>
          <w:b/>
          <w:bCs/>
          <w:sz w:val="24"/>
          <w:szCs w:val="24"/>
          <w:lang w:eastAsia="x-none"/>
        </w:rPr>
      </w:pPr>
      <w:bookmarkStart w:id="222" w:name="_Toc36732601"/>
      <w:bookmarkStart w:id="223" w:name="_Toc135935639"/>
      <w:r w:rsidRPr="007F400A">
        <w:rPr>
          <w:rFonts w:ascii="Times New Roman" w:eastAsia="Times New Roman" w:hAnsi="Times New Roman" w:cs="Times New Roman"/>
          <w:b/>
          <w:bCs/>
          <w:sz w:val="24"/>
          <w:szCs w:val="24"/>
          <w:lang w:val="x-none" w:eastAsia="x-none"/>
        </w:rPr>
        <w:t xml:space="preserve">4.2.5 </w:t>
      </w:r>
      <w:bookmarkEnd w:id="221"/>
      <w:bookmarkEnd w:id="222"/>
      <w:r w:rsidR="00BE7003" w:rsidRPr="007F400A">
        <w:rPr>
          <w:rFonts w:ascii="Times New Roman" w:eastAsia="Times New Roman" w:hAnsi="Times New Roman" w:cs="Times New Roman"/>
          <w:b/>
          <w:bCs/>
          <w:sz w:val="24"/>
          <w:szCs w:val="24"/>
          <w:lang w:val="x-none" w:eastAsia="x-none"/>
        </w:rPr>
        <w:t>Kary</w:t>
      </w:r>
      <w:r w:rsidR="00BE7003">
        <w:rPr>
          <w:rFonts w:ascii="Times New Roman" w:eastAsia="Times New Roman" w:hAnsi="Times New Roman" w:cs="Times New Roman"/>
          <w:b/>
          <w:bCs/>
          <w:sz w:val="24"/>
          <w:szCs w:val="24"/>
          <w:lang w:eastAsia="x-none"/>
        </w:rPr>
        <w:t xml:space="preserve"> </w:t>
      </w:r>
      <w:r w:rsidR="00BE7003" w:rsidRPr="007F400A">
        <w:rPr>
          <w:rFonts w:ascii="Times New Roman" w:eastAsia="Times New Roman" w:hAnsi="Times New Roman" w:cs="Times New Roman"/>
          <w:b/>
          <w:bCs/>
          <w:sz w:val="24"/>
          <w:szCs w:val="24"/>
          <w:lang w:eastAsia="x-none"/>
        </w:rPr>
        <w:t xml:space="preserve">i opłaty podwyższone </w:t>
      </w:r>
      <w:r w:rsidR="00BE7003" w:rsidRPr="007F400A">
        <w:rPr>
          <w:rFonts w:ascii="Times New Roman" w:eastAsia="Times New Roman" w:hAnsi="Times New Roman" w:cs="Times New Roman"/>
          <w:b/>
          <w:bCs/>
          <w:sz w:val="24"/>
          <w:szCs w:val="24"/>
          <w:lang w:val="x-none" w:eastAsia="x-none"/>
        </w:rPr>
        <w:t xml:space="preserve">rozliczone w związku z terminową realizacją przedsięwzięcia, które usunęło przyczynę </w:t>
      </w:r>
      <w:r w:rsidR="00BE7003" w:rsidRPr="007F400A">
        <w:rPr>
          <w:rFonts w:ascii="Times New Roman" w:eastAsia="Times New Roman" w:hAnsi="Times New Roman" w:cs="Times New Roman"/>
          <w:b/>
          <w:bCs/>
          <w:sz w:val="24"/>
          <w:szCs w:val="24"/>
          <w:lang w:eastAsia="x-none"/>
        </w:rPr>
        <w:t xml:space="preserve">wymierzenia </w:t>
      </w:r>
      <w:r w:rsidR="00BE7003" w:rsidRPr="007F400A">
        <w:rPr>
          <w:rFonts w:ascii="Times New Roman" w:eastAsia="Times New Roman" w:hAnsi="Times New Roman" w:cs="Times New Roman"/>
          <w:b/>
          <w:bCs/>
          <w:sz w:val="24"/>
          <w:szCs w:val="24"/>
          <w:lang w:val="x-none" w:eastAsia="x-none"/>
        </w:rPr>
        <w:t>kar</w:t>
      </w:r>
      <w:r w:rsidR="00BE7003" w:rsidRPr="007F400A">
        <w:rPr>
          <w:rFonts w:ascii="Times New Roman" w:eastAsia="Times New Roman" w:hAnsi="Times New Roman" w:cs="Times New Roman"/>
          <w:b/>
          <w:bCs/>
          <w:sz w:val="24"/>
          <w:szCs w:val="24"/>
          <w:lang w:eastAsia="x-none"/>
        </w:rPr>
        <w:t xml:space="preserve"> oraz kary i opłaty podwyższone wymierzone w związku z niezrealizowaniem przedsięwzięcia w terminie lub</w:t>
      </w:r>
      <w:r w:rsidR="00BE7003">
        <w:rPr>
          <w:rFonts w:ascii="Times New Roman" w:eastAsia="Times New Roman" w:hAnsi="Times New Roman" w:cs="Times New Roman"/>
          <w:b/>
          <w:bCs/>
          <w:sz w:val="24"/>
          <w:szCs w:val="24"/>
          <w:lang w:eastAsia="x-none"/>
        </w:rPr>
        <w:t> </w:t>
      </w:r>
      <w:r w:rsidR="00BE7003" w:rsidRPr="007F400A">
        <w:rPr>
          <w:rFonts w:ascii="Times New Roman" w:eastAsia="Times New Roman" w:hAnsi="Times New Roman" w:cs="Times New Roman"/>
          <w:b/>
          <w:bCs/>
          <w:sz w:val="24"/>
          <w:szCs w:val="24"/>
          <w:lang w:eastAsia="x-none"/>
        </w:rPr>
        <w:t>nieusunięciem przyczyn wymierzenia odroczonej kary lub opłaty podwyższonej</w:t>
      </w:r>
      <w:bookmarkEnd w:id="223"/>
    </w:p>
    <w:p w14:paraId="7358F10F" w14:textId="58740333" w:rsidR="00895F16" w:rsidRDefault="00BE7003" w:rsidP="00056EE7">
      <w:pPr>
        <w:spacing w:after="0" w:line="300" w:lineRule="atLeast"/>
        <w:ind w:firstLine="567"/>
        <w:jc w:val="both"/>
        <w:rPr>
          <w:rFonts w:ascii="Times New Roman" w:eastAsia="Calibri" w:hAnsi="Times New Roman" w:cs="Times New Roman"/>
          <w:sz w:val="24"/>
          <w:szCs w:val="24"/>
          <w:lang w:eastAsia="pl-PL"/>
        </w:rPr>
      </w:pPr>
      <w:r w:rsidRPr="007F400A">
        <w:rPr>
          <w:rFonts w:ascii="Times New Roman" w:eastAsia="Times New Roman" w:hAnsi="Times New Roman" w:cs="Times New Roman"/>
          <w:bCs/>
          <w:sz w:val="24"/>
        </w:rPr>
        <w:t>W 202</w:t>
      </w:r>
      <w:r>
        <w:rPr>
          <w:rFonts w:ascii="Times New Roman" w:eastAsia="Times New Roman" w:hAnsi="Times New Roman" w:cs="Times New Roman"/>
          <w:bCs/>
          <w:sz w:val="24"/>
        </w:rPr>
        <w:t>2</w:t>
      </w:r>
      <w:r w:rsidRPr="007F400A">
        <w:rPr>
          <w:rFonts w:ascii="Times New Roman" w:eastAsia="Times New Roman" w:hAnsi="Times New Roman" w:cs="Times New Roman"/>
          <w:bCs/>
          <w:sz w:val="24"/>
        </w:rPr>
        <w:t xml:space="preserve"> r. wojewódzcy inspektorzy ochrony środowiska wydali </w:t>
      </w:r>
      <w:r>
        <w:rPr>
          <w:rFonts w:ascii="Times New Roman" w:eastAsia="Times New Roman" w:hAnsi="Times New Roman" w:cs="Times New Roman"/>
          <w:bCs/>
          <w:sz w:val="24"/>
        </w:rPr>
        <w:t>184</w:t>
      </w:r>
      <w:r w:rsidRPr="007F400A">
        <w:rPr>
          <w:rFonts w:ascii="Times New Roman" w:eastAsia="Times New Roman" w:hAnsi="Times New Roman" w:cs="Times New Roman"/>
          <w:bCs/>
          <w:sz w:val="24"/>
        </w:rPr>
        <w:t xml:space="preserve"> decyzj</w:t>
      </w:r>
      <w:r>
        <w:rPr>
          <w:rFonts w:ascii="Times New Roman" w:eastAsia="Times New Roman" w:hAnsi="Times New Roman" w:cs="Times New Roman"/>
          <w:bCs/>
          <w:sz w:val="24"/>
        </w:rPr>
        <w:t>e</w:t>
      </w:r>
      <w:r w:rsidRPr="007F400A">
        <w:rPr>
          <w:rFonts w:ascii="Times New Roman" w:eastAsia="Times New Roman" w:hAnsi="Times New Roman" w:cs="Times New Roman"/>
          <w:bCs/>
          <w:sz w:val="24"/>
        </w:rPr>
        <w:t xml:space="preserve"> w związku z terminową realizacją przedsięwzięć, które usunęły przyczyny wymierzenia kar bądź opłat podwyższonych oraz </w:t>
      </w:r>
      <w:r>
        <w:rPr>
          <w:rFonts w:ascii="Times New Roman" w:eastAsia="Times New Roman" w:hAnsi="Times New Roman" w:cs="Times New Roman"/>
          <w:bCs/>
          <w:sz w:val="24"/>
        </w:rPr>
        <w:t>21</w:t>
      </w:r>
      <w:r w:rsidRPr="007F400A">
        <w:rPr>
          <w:rFonts w:ascii="Times New Roman" w:eastAsia="Times New Roman" w:hAnsi="Times New Roman" w:cs="Times New Roman"/>
          <w:bCs/>
          <w:sz w:val="24"/>
        </w:rPr>
        <w:t xml:space="preserve"> decyzji </w:t>
      </w:r>
      <w:r>
        <w:rPr>
          <w:rFonts w:ascii="Times New Roman" w:eastAsia="Times New Roman" w:hAnsi="Times New Roman" w:cs="Times New Roman"/>
          <w:bCs/>
          <w:sz w:val="24"/>
        </w:rPr>
        <w:t xml:space="preserve">na kwotę 1 084 394,48 zł </w:t>
      </w:r>
      <w:r w:rsidRPr="007F400A">
        <w:rPr>
          <w:rFonts w:ascii="Times New Roman" w:eastAsia="Times New Roman" w:hAnsi="Times New Roman" w:cs="Times New Roman"/>
          <w:bCs/>
          <w:sz w:val="24"/>
        </w:rPr>
        <w:t xml:space="preserve">wymierzających kary i opłaty podwyższone </w:t>
      </w:r>
      <w:r w:rsidRPr="007F400A">
        <w:rPr>
          <w:rFonts w:ascii="Times New Roman" w:eastAsia="Times New Roman" w:hAnsi="Times New Roman" w:cs="Times New Roman"/>
          <w:bCs/>
          <w:sz w:val="24"/>
          <w:szCs w:val="24"/>
          <w:lang w:eastAsia="x-none"/>
        </w:rPr>
        <w:t>w związku z niezrealizowaniem przedsięwzięcia w terminie lub nieusunięciem przyczyn wymierzenia odroczonej kary</w:t>
      </w:r>
      <w:r w:rsidRPr="007F400A">
        <w:rPr>
          <w:rFonts w:ascii="Times New Roman" w:hAnsi="Times New Roman" w:cs="Times New Roman"/>
          <w:sz w:val="24"/>
          <w:szCs w:val="24"/>
        </w:rPr>
        <w:t xml:space="preserve"> lub </w:t>
      </w:r>
      <w:r w:rsidRPr="007F400A">
        <w:rPr>
          <w:rFonts w:ascii="Times New Roman" w:eastAsia="Times New Roman" w:hAnsi="Times New Roman" w:cs="Times New Roman"/>
          <w:bCs/>
          <w:sz w:val="24"/>
          <w:szCs w:val="24"/>
          <w:lang w:eastAsia="x-none"/>
        </w:rPr>
        <w:t>opłaty podwyższonej</w:t>
      </w:r>
      <w:r w:rsidR="00895F16" w:rsidRPr="007F400A">
        <w:rPr>
          <w:rFonts w:ascii="Times New Roman" w:eastAsia="Calibri" w:hAnsi="Times New Roman" w:cs="Times New Roman"/>
          <w:sz w:val="24"/>
          <w:szCs w:val="24"/>
          <w:lang w:eastAsia="pl-PL"/>
        </w:rPr>
        <w:t>.</w:t>
      </w:r>
      <w:bookmarkStart w:id="224" w:name="_Toc515437535"/>
      <w:bookmarkStart w:id="225" w:name="_Toc5878579"/>
      <w:bookmarkStart w:id="226" w:name="_Toc36732602"/>
    </w:p>
    <w:p w14:paraId="75ABA818" w14:textId="77777777" w:rsidR="00BE7003" w:rsidRPr="007F400A" w:rsidRDefault="00BE7003" w:rsidP="00056EE7">
      <w:pPr>
        <w:spacing w:after="0" w:line="300" w:lineRule="atLeast"/>
        <w:ind w:firstLine="567"/>
        <w:jc w:val="both"/>
        <w:rPr>
          <w:rFonts w:ascii="Times New Roman" w:eastAsia="Calibri" w:hAnsi="Times New Roman" w:cs="Times New Roman"/>
          <w:sz w:val="24"/>
          <w:szCs w:val="24"/>
          <w:lang w:eastAsia="pl-PL"/>
        </w:rPr>
      </w:pPr>
    </w:p>
    <w:p w14:paraId="3C4D9109" w14:textId="77777777" w:rsidR="00895F16" w:rsidRPr="007F400A" w:rsidRDefault="00895F16" w:rsidP="00E3329A">
      <w:pPr>
        <w:keepNext/>
        <w:spacing w:after="120" w:line="300" w:lineRule="atLeast"/>
        <w:jc w:val="both"/>
        <w:outlineLvl w:val="0"/>
        <w:rPr>
          <w:rFonts w:ascii="Times New Roman" w:eastAsia="Times New Roman" w:hAnsi="Times New Roman" w:cs="Times New Roman"/>
          <w:b/>
          <w:bCs/>
          <w:sz w:val="24"/>
          <w:szCs w:val="24"/>
          <w:lang w:val="x-none" w:eastAsia="x-none"/>
        </w:rPr>
      </w:pPr>
      <w:bookmarkStart w:id="227" w:name="_Toc135935640"/>
      <w:r w:rsidRPr="007F400A">
        <w:rPr>
          <w:rFonts w:ascii="Times New Roman" w:eastAsia="Times New Roman" w:hAnsi="Times New Roman" w:cs="Times New Roman"/>
          <w:b/>
          <w:bCs/>
          <w:sz w:val="24"/>
          <w:szCs w:val="24"/>
          <w:lang w:val="x-none" w:eastAsia="x-none"/>
        </w:rPr>
        <w:t>4.2.6 Decyzje ustalające koszty ponoszone w związku z prowadzeniem kontroli przestrzegania wymagań ochrony środowiska</w:t>
      </w:r>
      <w:bookmarkEnd w:id="224"/>
      <w:bookmarkEnd w:id="225"/>
      <w:bookmarkEnd w:id="226"/>
      <w:bookmarkEnd w:id="227"/>
    </w:p>
    <w:p w14:paraId="15F9EC7D" w14:textId="77777777" w:rsidR="000B7108" w:rsidRPr="007F400A" w:rsidRDefault="000B7108" w:rsidP="00E3329A">
      <w:pPr>
        <w:spacing w:after="0" w:line="300" w:lineRule="atLeast"/>
        <w:ind w:firstLine="567"/>
        <w:jc w:val="both"/>
        <w:rPr>
          <w:rFonts w:ascii="Times New Roman" w:eastAsia="Times New Roman" w:hAnsi="Times New Roman" w:cs="Times New Roman"/>
          <w:bCs/>
          <w:sz w:val="24"/>
        </w:rPr>
      </w:pPr>
      <w:r w:rsidRPr="007F400A">
        <w:rPr>
          <w:rFonts w:ascii="Times New Roman" w:eastAsia="Times New Roman" w:hAnsi="Times New Roman" w:cs="Times New Roman"/>
          <w:sz w:val="24"/>
        </w:rPr>
        <w:t>W 202</w:t>
      </w:r>
      <w:r>
        <w:rPr>
          <w:rFonts w:ascii="Times New Roman" w:eastAsia="Times New Roman" w:hAnsi="Times New Roman" w:cs="Times New Roman"/>
          <w:sz w:val="24"/>
        </w:rPr>
        <w:t>2</w:t>
      </w:r>
      <w:r w:rsidRPr="007F400A">
        <w:rPr>
          <w:rFonts w:ascii="Times New Roman" w:eastAsia="Times New Roman" w:hAnsi="Times New Roman" w:cs="Times New Roman"/>
          <w:sz w:val="24"/>
        </w:rPr>
        <w:t xml:space="preserve"> r. wojewódzcy inspektorzy ochrony środowiska wydali </w:t>
      </w:r>
      <w:r>
        <w:rPr>
          <w:rFonts w:ascii="Times New Roman" w:eastAsia="Times New Roman" w:hAnsi="Times New Roman" w:cs="Times New Roman"/>
          <w:sz w:val="24"/>
        </w:rPr>
        <w:t>68</w:t>
      </w:r>
      <w:r w:rsidRPr="007F400A">
        <w:rPr>
          <w:rFonts w:ascii="Times New Roman" w:eastAsia="Times New Roman" w:hAnsi="Times New Roman" w:cs="Times New Roman"/>
          <w:bCs/>
          <w:sz w:val="24"/>
        </w:rPr>
        <w:t xml:space="preserve"> </w:t>
      </w:r>
      <w:r w:rsidRPr="007F400A">
        <w:rPr>
          <w:rFonts w:ascii="Times New Roman" w:eastAsia="Times New Roman" w:hAnsi="Times New Roman" w:cs="Times New Roman"/>
          <w:sz w:val="24"/>
        </w:rPr>
        <w:t xml:space="preserve">decyzji ustalających wysokość kosztów za pobieranie próbek oraz wykonywanie pomiarów i analiz, na podstawie których stwierdzono naruszenie wymagań ochrony środowiska na łączną kwotę </w:t>
      </w:r>
      <w:r>
        <w:rPr>
          <w:rFonts w:ascii="Times New Roman" w:eastAsia="Times New Roman" w:hAnsi="Times New Roman" w:cs="Times New Roman"/>
          <w:sz w:val="24"/>
        </w:rPr>
        <w:t>164 742,81</w:t>
      </w:r>
      <w:r w:rsidRPr="007F400A">
        <w:rPr>
          <w:rFonts w:ascii="Times New Roman" w:eastAsia="Times New Roman" w:hAnsi="Times New Roman" w:cs="Times New Roman"/>
          <w:bCs/>
          <w:sz w:val="24"/>
        </w:rPr>
        <w:t xml:space="preserve"> zł.</w:t>
      </w:r>
    </w:p>
    <w:p w14:paraId="53BFE65F" w14:textId="2FF22CAF" w:rsidR="00895F16" w:rsidRPr="007F400A" w:rsidRDefault="000B7108" w:rsidP="00056EE7">
      <w:pPr>
        <w:spacing w:after="0" w:line="300" w:lineRule="atLeast"/>
        <w:ind w:firstLine="567"/>
        <w:jc w:val="both"/>
        <w:rPr>
          <w:rFonts w:ascii="Times New Roman" w:eastAsia="Times New Roman" w:hAnsi="Times New Roman" w:cs="Times New Roman"/>
          <w:bCs/>
          <w:sz w:val="24"/>
          <w:szCs w:val="20"/>
          <w:lang w:eastAsia="pl-PL"/>
        </w:rPr>
      </w:pPr>
      <w:r w:rsidRPr="007F400A">
        <w:rPr>
          <w:rFonts w:ascii="Times New Roman" w:eastAsia="Times New Roman" w:hAnsi="Times New Roman" w:cs="Times New Roman"/>
          <w:bCs/>
          <w:sz w:val="24"/>
        </w:rPr>
        <w:t>W porównaniu z 202</w:t>
      </w:r>
      <w:r>
        <w:rPr>
          <w:rFonts w:ascii="Times New Roman" w:eastAsia="Times New Roman" w:hAnsi="Times New Roman" w:cs="Times New Roman"/>
          <w:bCs/>
          <w:sz w:val="24"/>
        </w:rPr>
        <w:t>1</w:t>
      </w:r>
      <w:r w:rsidRPr="007F400A">
        <w:rPr>
          <w:rFonts w:ascii="Times New Roman" w:eastAsia="Times New Roman" w:hAnsi="Times New Roman" w:cs="Times New Roman"/>
          <w:bCs/>
          <w:sz w:val="24"/>
        </w:rPr>
        <w:t xml:space="preserve"> r. liczba decyzji ustalających wysokość kosztów za pobieranie próbek oraz wykonywanie pomiarów i analiz </w:t>
      </w:r>
      <w:r>
        <w:rPr>
          <w:rFonts w:ascii="Times New Roman" w:eastAsia="Times New Roman" w:hAnsi="Times New Roman" w:cs="Times New Roman"/>
          <w:bCs/>
          <w:sz w:val="24"/>
        </w:rPr>
        <w:t>zwiększyła</w:t>
      </w:r>
      <w:r w:rsidRPr="007F400A">
        <w:rPr>
          <w:rFonts w:ascii="Times New Roman" w:eastAsia="Times New Roman" w:hAnsi="Times New Roman" w:cs="Times New Roman"/>
          <w:bCs/>
          <w:sz w:val="24"/>
        </w:rPr>
        <w:t xml:space="preserve"> się o </w:t>
      </w:r>
      <w:r>
        <w:rPr>
          <w:rFonts w:ascii="Times New Roman" w:eastAsia="Times New Roman" w:hAnsi="Times New Roman" w:cs="Times New Roman"/>
          <w:bCs/>
          <w:sz w:val="24"/>
        </w:rPr>
        <w:t>9</w:t>
      </w:r>
      <w:r w:rsidR="00895F16" w:rsidRPr="007F400A">
        <w:rPr>
          <w:rFonts w:ascii="Times New Roman" w:eastAsia="Times New Roman" w:hAnsi="Times New Roman" w:cs="Times New Roman"/>
          <w:bCs/>
          <w:sz w:val="24"/>
          <w:szCs w:val="20"/>
          <w:lang w:eastAsia="pl-PL"/>
        </w:rPr>
        <w:t>.</w:t>
      </w:r>
      <w:r w:rsidR="00895F16" w:rsidRPr="007F400A">
        <w:rPr>
          <w:rFonts w:ascii="Times New Roman" w:eastAsia="Times New Roman" w:hAnsi="Times New Roman" w:cs="Times New Roman"/>
          <w:sz w:val="24"/>
          <w:szCs w:val="20"/>
          <w:lang w:eastAsia="pl-PL"/>
        </w:rPr>
        <w:t xml:space="preserve"> </w:t>
      </w:r>
    </w:p>
    <w:p w14:paraId="03F5BE0E" w14:textId="77777777" w:rsidR="00895F16" w:rsidRPr="007F400A" w:rsidRDefault="00895F16" w:rsidP="00056EE7">
      <w:pPr>
        <w:spacing w:after="0" w:line="300" w:lineRule="atLeast"/>
        <w:ind w:firstLine="709"/>
        <w:jc w:val="both"/>
        <w:rPr>
          <w:rFonts w:ascii="Times New Roman" w:eastAsia="Times New Roman" w:hAnsi="Times New Roman" w:cs="Times New Roman"/>
          <w:bCs/>
          <w:sz w:val="24"/>
          <w:szCs w:val="20"/>
          <w:lang w:eastAsia="pl-PL"/>
        </w:rPr>
      </w:pPr>
    </w:p>
    <w:p w14:paraId="0588D603" w14:textId="77777777" w:rsidR="00895F16" w:rsidRPr="007F400A" w:rsidRDefault="00895F16" w:rsidP="00056EE7">
      <w:pPr>
        <w:keepNext/>
        <w:spacing w:after="120" w:line="300" w:lineRule="atLeast"/>
        <w:outlineLvl w:val="0"/>
        <w:rPr>
          <w:rFonts w:ascii="Times New Roman" w:eastAsia="Times New Roman" w:hAnsi="Times New Roman" w:cs="Times New Roman"/>
          <w:b/>
          <w:bCs/>
          <w:sz w:val="24"/>
          <w:szCs w:val="24"/>
          <w:lang w:val="x-none" w:eastAsia="x-none"/>
        </w:rPr>
      </w:pPr>
      <w:bookmarkStart w:id="228" w:name="_Toc5878580"/>
      <w:bookmarkStart w:id="229" w:name="_Toc36732603"/>
      <w:bookmarkStart w:id="230" w:name="_Toc135935641"/>
      <w:r w:rsidRPr="007F400A">
        <w:rPr>
          <w:rFonts w:ascii="Times New Roman" w:eastAsia="Times New Roman" w:hAnsi="Times New Roman" w:cs="Times New Roman"/>
          <w:b/>
          <w:bCs/>
          <w:sz w:val="24"/>
          <w:szCs w:val="24"/>
          <w:lang w:val="x-none" w:eastAsia="x-none"/>
        </w:rPr>
        <w:t>4.2.7 Stan zadłużenia z tytułu nieściągniętych kar</w:t>
      </w:r>
      <w:bookmarkEnd w:id="228"/>
      <w:bookmarkEnd w:id="229"/>
      <w:bookmarkEnd w:id="230"/>
    </w:p>
    <w:p w14:paraId="3D577945" w14:textId="018916B1" w:rsidR="000B7108" w:rsidRDefault="00895F16" w:rsidP="00FE6A46">
      <w:pPr>
        <w:spacing w:after="120" w:line="300" w:lineRule="atLeast"/>
        <w:ind w:firstLine="567"/>
        <w:jc w:val="both"/>
        <w:rPr>
          <w:rFonts w:ascii="Times New Roman" w:eastAsia="Times New Roman" w:hAnsi="Times New Roman" w:cs="Times New Roman"/>
          <w:bCs/>
          <w:sz w:val="24"/>
        </w:rPr>
      </w:pPr>
      <w:r w:rsidRPr="007F400A">
        <w:rPr>
          <w:rFonts w:ascii="Times New Roman" w:eastAsia="Times New Roman" w:hAnsi="Times New Roman" w:cs="Times New Roman"/>
          <w:bCs/>
          <w:sz w:val="24"/>
        </w:rPr>
        <w:t>Kwota niewyegzekwowanych należności na koniec 2021 r. wyniosła ponad 201,1 </w:t>
      </w:r>
      <w:r w:rsidR="00FE6A46">
        <w:rPr>
          <w:rFonts w:ascii="Times New Roman" w:eastAsia="Times New Roman" w:hAnsi="Times New Roman" w:cs="Times New Roman"/>
          <w:bCs/>
          <w:sz w:val="24"/>
        </w:rPr>
        <w:t>mln zł.</w:t>
      </w:r>
      <w:r w:rsidR="00E3329A">
        <w:rPr>
          <w:rFonts w:ascii="Times New Roman" w:eastAsia="Times New Roman" w:hAnsi="Times New Roman" w:cs="Times New Roman"/>
          <w:bCs/>
          <w:sz w:val="24"/>
        </w:rPr>
        <w:t xml:space="preserve"> </w:t>
      </w:r>
      <w:r w:rsidR="000B7108" w:rsidRPr="007F400A">
        <w:rPr>
          <w:rFonts w:ascii="Times New Roman" w:eastAsia="Times New Roman" w:hAnsi="Times New Roman" w:cs="Times New Roman"/>
          <w:bCs/>
          <w:sz w:val="24"/>
        </w:rPr>
        <w:t>Kwota niewyegzekwowanych należności na koniec 202</w:t>
      </w:r>
      <w:r w:rsidR="000B7108">
        <w:rPr>
          <w:rFonts w:ascii="Times New Roman" w:eastAsia="Times New Roman" w:hAnsi="Times New Roman" w:cs="Times New Roman"/>
          <w:bCs/>
          <w:sz w:val="24"/>
        </w:rPr>
        <w:t>2</w:t>
      </w:r>
      <w:r w:rsidR="000B7108" w:rsidRPr="007F400A">
        <w:rPr>
          <w:rFonts w:ascii="Times New Roman" w:eastAsia="Times New Roman" w:hAnsi="Times New Roman" w:cs="Times New Roman"/>
          <w:bCs/>
          <w:sz w:val="24"/>
        </w:rPr>
        <w:t> r. wyniosła p</w:t>
      </w:r>
      <w:r w:rsidR="000B7108">
        <w:rPr>
          <w:rFonts w:ascii="Times New Roman" w:eastAsia="Times New Roman" w:hAnsi="Times New Roman" w:cs="Times New Roman"/>
          <w:bCs/>
          <w:sz w:val="24"/>
        </w:rPr>
        <w:t>rawie 189</w:t>
      </w:r>
      <w:r w:rsidR="000B7108" w:rsidRPr="007F400A">
        <w:rPr>
          <w:rFonts w:ascii="Times New Roman" w:eastAsia="Times New Roman" w:hAnsi="Times New Roman" w:cs="Times New Roman"/>
          <w:bCs/>
          <w:sz w:val="24"/>
        </w:rPr>
        <w:t> </w:t>
      </w:r>
      <w:r w:rsidR="000B7108" w:rsidRPr="007F400A">
        <w:rPr>
          <w:rFonts w:ascii="Times New Roman" w:eastAsia="Times New Roman" w:hAnsi="Times New Roman" w:cs="Times New Roman"/>
          <w:sz w:val="24"/>
        </w:rPr>
        <w:t>mln zł</w:t>
      </w:r>
      <w:r w:rsidR="000B7108">
        <w:rPr>
          <w:rFonts w:ascii="Times New Roman" w:eastAsia="Times New Roman" w:hAnsi="Times New Roman" w:cs="Times New Roman"/>
          <w:sz w:val="24"/>
        </w:rPr>
        <w:t xml:space="preserve"> (spadek o 12,2 mln zł w porównaniu do 2021 r.)</w:t>
      </w:r>
      <w:r w:rsidR="000B7108" w:rsidRPr="007F400A">
        <w:rPr>
          <w:rFonts w:ascii="Times New Roman" w:eastAsia="Times New Roman" w:hAnsi="Times New Roman" w:cs="Times New Roman"/>
          <w:sz w:val="24"/>
        </w:rPr>
        <w:t xml:space="preserve">, w tym </w:t>
      </w:r>
      <w:r w:rsidR="003E4058">
        <w:rPr>
          <w:rFonts w:ascii="Times New Roman" w:eastAsia="Times New Roman" w:hAnsi="Times New Roman" w:cs="Times New Roman"/>
          <w:sz w:val="24"/>
        </w:rPr>
        <w:t xml:space="preserve">prawie </w:t>
      </w:r>
      <w:r w:rsidR="000B7108">
        <w:rPr>
          <w:rFonts w:ascii="Times New Roman" w:eastAsia="Times New Roman" w:hAnsi="Times New Roman" w:cs="Times New Roman"/>
          <w:sz w:val="24"/>
        </w:rPr>
        <w:t>24,5</w:t>
      </w:r>
      <w:r w:rsidR="000B7108" w:rsidRPr="007F400A">
        <w:rPr>
          <w:rFonts w:ascii="Times New Roman" w:eastAsia="Times New Roman" w:hAnsi="Times New Roman" w:cs="Times New Roman"/>
          <w:sz w:val="24"/>
        </w:rPr>
        <w:t xml:space="preserve"> mln zł dotyczyło </w:t>
      </w:r>
      <w:r w:rsidR="000B7108" w:rsidRPr="007F400A">
        <w:rPr>
          <w:rFonts w:ascii="Times New Roman" w:eastAsia="Times New Roman" w:hAnsi="Times New Roman" w:cs="Times New Roman"/>
          <w:bCs/>
          <w:sz w:val="24"/>
        </w:rPr>
        <w:t>kar</w:t>
      </w:r>
      <w:r w:rsidR="000B7108">
        <w:rPr>
          <w:rFonts w:ascii="Times New Roman" w:eastAsia="Times New Roman" w:hAnsi="Times New Roman" w:cs="Times New Roman"/>
          <w:bCs/>
          <w:sz w:val="24"/>
        </w:rPr>
        <w:t>, opłat oraz opłat podwyższonych</w:t>
      </w:r>
      <w:r w:rsidR="000B7108" w:rsidRPr="007F400A">
        <w:rPr>
          <w:rFonts w:ascii="Times New Roman" w:eastAsia="Times New Roman" w:hAnsi="Times New Roman" w:cs="Times New Roman"/>
          <w:bCs/>
          <w:sz w:val="24"/>
        </w:rPr>
        <w:t xml:space="preserve"> niewyegzekwowanych w okresie sprawozdawczym.</w:t>
      </w:r>
    </w:p>
    <w:p w14:paraId="03382E90" w14:textId="1D5F0EE0" w:rsidR="00F13EDA" w:rsidRDefault="00F13EDA">
      <w:pPr>
        <w:rPr>
          <w:rFonts w:ascii="Times New Roman" w:eastAsia="Times New Roman" w:hAnsi="Times New Roman" w:cs="Times New Roman"/>
          <w:bCs/>
          <w:sz w:val="24"/>
        </w:rPr>
      </w:pPr>
      <w:r>
        <w:rPr>
          <w:rFonts w:ascii="Times New Roman" w:eastAsia="Times New Roman" w:hAnsi="Times New Roman" w:cs="Times New Roman"/>
          <w:bCs/>
          <w:sz w:val="24"/>
        </w:rPr>
        <w:br w:type="page"/>
      </w:r>
    </w:p>
    <w:p w14:paraId="5FD4283A" w14:textId="77777777" w:rsidR="000B7108" w:rsidRDefault="000B7108" w:rsidP="00056EE7">
      <w:pPr>
        <w:spacing w:line="300" w:lineRule="atLeast"/>
        <w:jc w:val="center"/>
        <w:rPr>
          <w:rFonts w:ascii="Times New Roman" w:hAnsi="Times New Roman" w:cs="Times New Roman"/>
          <w:b/>
        </w:rPr>
      </w:pPr>
      <w:r w:rsidRPr="007F400A">
        <w:rPr>
          <w:rFonts w:ascii="Times New Roman" w:hAnsi="Times New Roman" w:cs="Times New Roman"/>
          <w:b/>
        </w:rPr>
        <w:lastRenderedPageBreak/>
        <w:t>Tabela 1</w:t>
      </w:r>
      <w:r>
        <w:rPr>
          <w:rFonts w:ascii="Times New Roman" w:hAnsi="Times New Roman" w:cs="Times New Roman"/>
          <w:b/>
        </w:rPr>
        <w:t>1</w:t>
      </w:r>
      <w:r w:rsidRPr="007F400A">
        <w:rPr>
          <w:rFonts w:ascii="Times New Roman" w:hAnsi="Times New Roman" w:cs="Times New Roman"/>
          <w:b/>
        </w:rPr>
        <w:t>. Stan zadłużenia z tytułu nieściągniętych kar</w:t>
      </w:r>
      <w:r>
        <w:rPr>
          <w:rFonts w:ascii="Times New Roman" w:hAnsi="Times New Roman" w:cs="Times New Roman"/>
          <w:b/>
        </w:rPr>
        <w:t>, opłat oraz opłat podwyższonych</w:t>
      </w:r>
    </w:p>
    <w:tbl>
      <w:tblPr>
        <w:tblW w:w="5000" w:type="pct"/>
        <w:tblLayout w:type="fixed"/>
        <w:tblCellMar>
          <w:left w:w="70" w:type="dxa"/>
          <w:right w:w="70" w:type="dxa"/>
        </w:tblCellMar>
        <w:tblLook w:val="04A0" w:firstRow="1" w:lastRow="0" w:firstColumn="1" w:lastColumn="0" w:noHBand="0" w:noVBand="1"/>
      </w:tblPr>
      <w:tblGrid>
        <w:gridCol w:w="2413"/>
        <w:gridCol w:w="1405"/>
        <w:gridCol w:w="1914"/>
        <w:gridCol w:w="1488"/>
        <w:gridCol w:w="1832"/>
      </w:tblGrid>
      <w:tr w:rsidR="000B7108" w:rsidRPr="00C01883" w14:paraId="7641AD8A" w14:textId="77777777" w:rsidTr="007B13BE">
        <w:trPr>
          <w:cantSplit/>
        </w:trPr>
        <w:tc>
          <w:tcPr>
            <w:tcW w:w="1333"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91822F1" w14:textId="77777777" w:rsidR="000B7108" w:rsidRPr="00C01883" w:rsidRDefault="000B7108" w:rsidP="00056EE7">
            <w:pPr>
              <w:spacing w:after="0" w:line="300" w:lineRule="atLeast"/>
              <w:rPr>
                <w:rFonts w:ascii="Times New Roman" w:eastAsia="Times New Roman" w:hAnsi="Times New Roman" w:cs="Times New Roman"/>
                <w:b/>
                <w:bCs/>
                <w:color w:val="000000"/>
                <w:sz w:val="18"/>
                <w:szCs w:val="18"/>
                <w:lang w:eastAsia="pl-PL"/>
              </w:rPr>
            </w:pPr>
            <w:r w:rsidRPr="00C01883">
              <w:rPr>
                <w:rFonts w:ascii="Times New Roman" w:eastAsia="Times New Roman" w:hAnsi="Times New Roman" w:cs="Times New Roman"/>
                <w:b/>
                <w:bCs/>
                <w:color w:val="000000"/>
                <w:sz w:val="18"/>
                <w:szCs w:val="18"/>
                <w:lang w:eastAsia="pl-PL"/>
              </w:rPr>
              <w:t>Kary niewyegzekwowane za:</w:t>
            </w:r>
          </w:p>
        </w:tc>
        <w:tc>
          <w:tcPr>
            <w:tcW w:w="1833" w:type="pct"/>
            <w:gridSpan w:val="2"/>
            <w:tcBorders>
              <w:top w:val="single" w:sz="8" w:space="0" w:color="auto"/>
              <w:left w:val="nil"/>
              <w:bottom w:val="single" w:sz="4" w:space="0" w:color="auto"/>
              <w:right w:val="single" w:sz="8" w:space="0" w:color="000000"/>
            </w:tcBorders>
            <w:shd w:val="clear" w:color="auto" w:fill="auto"/>
            <w:noWrap/>
            <w:vAlign w:val="center"/>
            <w:hideMark/>
          </w:tcPr>
          <w:p w14:paraId="5E016AA4" w14:textId="77777777" w:rsidR="000B7108" w:rsidRPr="00C01883" w:rsidRDefault="000B7108" w:rsidP="00056EE7">
            <w:pPr>
              <w:spacing w:after="0" w:line="300" w:lineRule="atLeast"/>
              <w:jc w:val="center"/>
              <w:rPr>
                <w:rFonts w:ascii="Times New Roman" w:eastAsia="Times New Roman" w:hAnsi="Times New Roman" w:cs="Times New Roman"/>
                <w:b/>
                <w:bCs/>
                <w:color w:val="000000"/>
                <w:sz w:val="18"/>
                <w:szCs w:val="18"/>
                <w:lang w:eastAsia="pl-PL"/>
              </w:rPr>
            </w:pPr>
            <w:r w:rsidRPr="00C01883">
              <w:rPr>
                <w:rFonts w:ascii="Times New Roman" w:eastAsia="Times New Roman" w:hAnsi="Times New Roman" w:cs="Times New Roman"/>
                <w:b/>
                <w:bCs/>
                <w:color w:val="000000"/>
                <w:sz w:val="18"/>
                <w:szCs w:val="18"/>
                <w:lang w:eastAsia="pl-PL"/>
              </w:rPr>
              <w:t>Ogółem</w:t>
            </w:r>
          </w:p>
        </w:tc>
        <w:tc>
          <w:tcPr>
            <w:tcW w:w="1834" w:type="pct"/>
            <w:gridSpan w:val="2"/>
            <w:tcBorders>
              <w:top w:val="single" w:sz="8" w:space="0" w:color="auto"/>
              <w:left w:val="nil"/>
              <w:bottom w:val="single" w:sz="4" w:space="0" w:color="auto"/>
              <w:right w:val="single" w:sz="8" w:space="0" w:color="000000"/>
            </w:tcBorders>
            <w:shd w:val="clear" w:color="auto" w:fill="auto"/>
            <w:noWrap/>
            <w:vAlign w:val="center"/>
            <w:hideMark/>
          </w:tcPr>
          <w:p w14:paraId="7764EF6A" w14:textId="77777777" w:rsidR="000B7108" w:rsidRPr="00C01883" w:rsidRDefault="000B7108" w:rsidP="00056EE7">
            <w:pPr>
              <w:spacing w:after="0" w:line="300" w:lineRule="atLeast"/>
              <w:jc w:val="center"/>
              <w:rPr>
                <w:rFonts w:ascii="Times New Roman" w:eastAsia="Times New Roman" w:hAnsi="Times New Roman" w:cs="Times New Roman"/>
                <w:b/>
                <w:bCs/>
                <w:color w:val="000000"/>
                <w:sz w:val="18"/>
                <w:szCs w:val="18"/>
                <w:lang w:eastAsia="pl-PL"/>
              </w:rPr>
            </w:pPr>
            <w:r w:rsidRPr="00C01883">
              <w:rPr>
                <w:rFonts w:ascii="Times New Roman" w:eastAsia="Times New Roman" w:hAnsi="Times New Roman" w:cs="Times New Roman"/>
                <w:b/>
                <w:bCs/>
                <w:color w:val="000000"/>
                <w:sz w:val="18"/>
                <w:szCs w:val="18"/>
                <w:lang w:eastAsia="pl-PL"/>
              </w:rPr>
              <w:t>W okresie sprawozdawczym</w:t>
            </w:r>
          </w:p>
        </w:tc>
      </w:tr>
      <w:tr w:rsidR="000B7108" w:rsidRPr="00C01883" w14:paraId="3B07335E" w14:textId="77777777" w:rsidTr="007B13BE">
        <w:trPr>
          <w:cantSplit/>
        </w:trPr>
        <w:tc>
          <w:tcPr>
            <w:tcW w:w="1333"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50AB8709" w14:textId="77777777" w:rsidR="000B7108" w:rsidRPr="00C01883" w:rsidRDefault="000B7108" w:rsidP="00056EE7">
            <w:pPr>
              <w:spacing w:after="0" w:line="300" w:lineRule="atLeast"/>
              <w:rPr>
                <w:rFonts w:ascii="Times New Roman" w:eastAsia="Times New Roman" w:hAnsi="Times New Roman" w:cs="Times New Roman"/>
                <w:b/>
                <w:bCs/>
                <w:color w:val="000000"/>
                <w:sz w:val="18"/>
                <w:szCs w:val="18"/>
                <w:lang w:eastAsia="pl-PL"/>
              </w:rPr>
            </w:pP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684081" w14:textId="77777777" w:rsidR="000B7108" w:rsidRPr="00C01883" w:rsidRDefault="000B7108" w:rsidP="00056EE7">
            <w:pPr>
              <w:spacing w:after="0" w:line="300" w:lineRule="atLeast"/>
              <w:jc w:val="center"/>
              <w:rPr>
                <w:rFonts w:ascii="Times New Roman" w:eastAsia="Times New Roman" w:hAnsi="Times New Roman" w:cs="Times New Roman"/>
                <w:b/>
                <w:bCs/>
                <w:color w:val="000000"/>
                <w:sz w:val="18"/>
                <w:szCs w:val="18"/>
                <w:lang w:eastAsia="pl-PL"/>
              </w:rPr>
            </w:pPr>
            <w:r w:rsidRPr="00C01883">
              <w:rPr>
                <w:rFonts w:ascii="Times New Roman" w:eastAsia="Times New Roman" w:hAnsi="Times New Roman" w:cs="Times New Roman"/>
                <w:b/>
                <w:bCs/>
                <w:color w:val="000000"/>
                <w:sz w:val="18"/>
                <w:szCs w:val="18"/>
                <w:lang w:eastAsia="pl-PL"/>
              </w:rPr>
              <w:t>Liczba decyzji</w:t>
            </w:r>
          </w:p>
        </w:tc>
        <w:tc>
          <w:tcPr>
            <w:tcW w:w="105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7F85B5" w14:textId="77777777" w:rsidR="000B7108" w:rsidRPr="00C01883" w:rsidRDefault="000B7108" w:rsidP="00056EE7">
            <w:pPr>
              <w:spacing w:after="0" w:line="300" w:lineRule="atLeast"/>
              <w:jc w:val="center"/>
              <w:rPr>
                <w:rFonts w:ascii="Times New Roman" w:eastAsia="Times New Roman" w:hAnsi="Times New Roman" w:cs="Times New Roman"/>
                <w:b/>
                <w:bCs/>
                <w:color w:val="000000"/>
                <w:sz w:val="18"/>
                <w:szCs w:val="18"/>
                <w:lang w:eastAsia="pl-PL"/>
              </w:rPr>
            </w:pPr>
            <w:r w:rsidRPr="00C01883">
              <w:rPr>
                <w:rFonts w:ascii="Times New Roman" w:eastAsia="Times New Roman" w:hAnsi="Times New Roman" w:cs="Times New Roman"/>
                <w:b/>
                <w:bCs/>
                <w:color w:val="000000"/>
                <w:sz w:val="18"/>
                <w:szCs w:val="18"/>
                <w:lang w:eastAsia="pl-PL"/>
              </w:rPr>
              <w:t>Kwota niewyegzekwowanych należności [zł]</w:t>
            </w:r>
          </w:p>
        </w:tc>
        <w:tc>
          <w:tcPr>
            <w:tcW w:w="8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39395C" w14:textId="77777777" w:rsidR="000B7108" w:rsidRPr="00C01883" w:rsidRDefault="000B7108" w:rsidP="00056EE7">
            <w:pPr>
              <w:spacing w:after="0" w:line="300" w:lineRule="atLeast"/>
              <w:jc w:val="center"/>
              <w:rPr>
                <w:rFonts w:ascii="Times New Roman" w:eastAsia="Times New Roman" w:hAnsi="Times New Roman" w:cs="Times New Roman"/>
                <w:b/>
                <w:bCs/>
                <w:color w:val="000000"/>
                <w:sz w:val="18"/>
                <w:szCs w:val="18"/>
                <w:lang w:eastAsia="pl-PL"/>
              </w:rPr>
            </w:pPr>
            <w:r w:rsidRPr="00C01883">
              <w:rPr>
                <w:rFonts w:ascii="Times New Roman" w:eastAsia="Times New Roman" w:hAnsi="Times New Roman" w:cs="Times New Roman"/>
                <w:b/>
                <w:bCs/>
                <w:color w:val="000000"/>
                <w:sz w:val="18"/>
                <w:szCs w:val="18"/>
                <w:lang w:eastAsia="pl-PL"/>
              </w:rPr>
              <w:t>Liczba decyzji</w:t>
            </w: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5A58A4" w14:textId="77777777" w:rsidR="000B7108" w:rsidRPr="00C01883" w:rsidRDefault="000B7108" w:rsidP="00056EE7">
            <w:pPr>
              <w:spacing w:after="0" w:line="300" w:lineRule="atLeast"/>
              <w:jc w:val="center"/>
              <w:rPr>
                <w:rFonts w:ascii="Times New Roman" w:eastAsia="Times New Roman" w:hAnsi="Times New Roman" w:cs="Times New Roman"/>
                <w:b/>
                <w:bCs/>
                <w:color w:val="000000"/>
                <w:sz w:val="18"/>
                <w:szCs w:val="18"/>
                <w:lang w:eastAsia="pl-PL"/>
              </w:rPr>
            </w:pPr>
            <w:r w:rsidRPr="00C01883">
              <w:rPr>
                <w:rFonts w:ascii="Times New Roman" w:eastAsia="Times New Roman" w:hAnsi="Times New Roman" w:cs="Times New Roman"/>
                <w:b/>
                <w:bCs/>
                <w:color w:val="000000"/>
                <w:sz w:val="18"/>
                <w:szCs w:val="18"/>
                <w:lang w:eastAsia="pl-PL"/>
              </w:rPr>
              <w:t>Kwota niewyegzekwowanych należności [zł]</w:t>
            </w:r>
          </w:p>
        </w:tc>
      </w:tr>
      <w:tr w:rsidR="003E4058" w:rsidRPr="00C01883" w14:paraId="3C647885" w14:textId="77777777" w:rsidTr="007B13BE">
        <w:trPr>
          <w:cantSplit/>
        </w:trPr>
        <w:tc>
          <w:tcPr>
            <w:tcW w:w="1333" w:type="pct"/>
            <w:tcBorders>
              <w:top w:val="nil"/>
              <w:left w:val="single" w:sz="8" w:space="0" w:color="auto"/>
              <w:bottom w:val="single" w:sz="8" w:space="0" w:color="auto"/>
              <w:right w:val="single" w:sz="8" w:space="0" w:color="auto"/>
            </w:tcBorders>
            <w:shd w:val="clear" w:color="auto" w:fill="auto"/>
            <w:vAlign w:val="center"/>
            <w:hideMark/>
          </w:tcPr>
          <w:p w14:paraId="1E4A61EF" w14:textId="77777777" w:rsidR="003E4058" w:rsidRPr="00C01883" w:rsidRDefault="003E4058" w:rsidP="003E4058">
            <w:pPr>
              <w:spacing w:after="0" w:line="300" w:lineRule="atLeast"/>
              <w:rPr>
                <w:rFonts w:ascii="Times New Roman" w:eastAsia="Times New Roman" w:hAnsi="Times New Roman" w:cs="Times New Roman"/>
                <w:color w:val="000000"/>
                <w:sz w:val="18"/>
                <w:szCs w:val="18"/>
                <w:lang w:eastAsia="pl-PL"/>
              </w:rPr>
            </w:pPr>
            <w:r w:rsidRPr="00C01883">
              <w:rPr>
                <w:rFonts w:ascii="Times New Roman" w:eastAsia="Times New Roman" w:hAnsi="Times New Roman" w:cs="Times New Roman"/>
                <w:color w:val="000000"/>
                <w:sz w:val="18"/>
                <w:szCs w:val="18"/>
                <w:lang w:eastAsia="pl-PL"/>
              </w:rPr>
              <w:t>nieprzestrzeganie przepisów ustawy o odpadach</w:t>
            </w:r>
            <w:r>
              <w:rPr>
                <w:rStyle w:val="Odwoanieprzypisudolnego"/>
                <w:color w:val="000000"/>
                <w:sz w:val="18"/>
                <w:szCs w:val="18"/>
                <w:lang w:eastAsia="pl-PL"/>
              </w:rPr>
              <w:footnoteReference w:id="53"/>
            </w:r>
          </w:p>
        </w:tc>
        <w:tc>
          <w:tcPr>
            <w:tcW w:w="776" w:type="pct"/>
            <w:tcBorders>
              <w:top w:val="single" w:sz="4" w:space="0" w:color="auto"/>
              <w:left w:val="nil"/>
              <w:bottom w:val="single" w:sz="8" w:space="0" w:color="auto"/>
              <w:right w:val="single" w:sz="8" w:space="0" w:color="auto"/>
            </w:tcBorders>
            <w:shd w:val="clear" w:color="auto" w:fill="auto"/>
            <w:vAlign w:val="center"/>
            <w:hideMark/>
          </w:tcPr>
          <w:p w14:paraId="269BDDED" w14:textId="29D956A0" w:rsidR="003E4058" w:rsidRPr="001611DE" w:rsidRDefault="003E4058" w:rsidP="003E4058">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1</w:t>
            </w:r>
            <w:r>
              <w:rPr>
                <w:rFonts w:ascii="Times New Roman" w:eastAsia="Times New Roman" w:hAnsi="Times New Roman" w:cs="Times New Roman"/>
                <w:color w:val="000000"/>
                <w:sz w:val="18"/>
                <w:szCs w:val="18"/>
                <w:lang w:eastAsia="pl-PL"/>
              </w:rPr>
              <w:t> </w:t>
            </w:r>
            <w:r w:rsidRPr="001611DE">
              <w:rPr>
                <w:rFonts w:ascii="Times New Roman" w:eastAsia="Times New Roman" w:hAnsi="Times New Roman" w:cs="Times New Roman"/>
                <w:color w:val="000000"/>
                <w:sz w:val="18"/>
                <w:szCs w:val="18"/>
                <w:lang w:eastAsia="pl-PL"/>
              </w:rPr>
              <w:t>23</w:t>
            </w:r>
            <w:r>
              <w:rPr>
                <w:rFonts w:ascii="Times New Roman" w:eastAsia="Times New Roman" w:hAnsi="Times New Roman" w:cs="Times New Roman"/>
                <w:color w:val="000000"/>
                <w:sz w:val="18"/>
                <w:szCs w:val="18"/>
                <w:lang w:eastAsia="pl-PL"/>
              </w:rPr>
              <w:t>3</w:t>
            </w:r>
          </w:p>
        </w:tc>
        <w:tc>
          <w:tcPr>
            <w:tcW w:w="1057" w:type="pct"/>
            <w:tcBorders>
              <w:top w:val="single" w:sz="4" w:space="0" w:color="auto"/>
              <w:left w:val="nil"/>
              <w:bottom w:val="single" w:sz="8" w:space="0" w:color="auto"/>
              <w:right w:val="single" w:sz="8" w:space="0" w:color="auto"/>
            </w:tcBorders>
            <w:shd w:val="clear" w:color="auto" w:fill="auto"/>
            <w:vAlign w:val="center"/>
            <w:hideMark/>
          </w:tcPr>
          <w:p w14:paraId="449D873E" w14:textId="11DD02AF" w:rsidR="003E4058" w:rsidRPr="0069458A" w:rsidRDefault="003E4058" w:rsidP="003E4058">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44 28</w:t>
            </w:r>
            <w:r>
              <w:rPr>
                <w:rFonts w:ascii="Times New Roman" w:eastAsia="Times New Roman" w:hAnsi="Times New Roman" w:cs="Times New Roman"/>
                <w:color w:val="000000"/>
                <w:sz w:val="18"/>
                <w:szCs w:val="18"/>
                <w:lang w:eastAsia="pl-PL"/>
              </w:rPr>
              <w:t>4</w:t>
            </w:r>
            <w:r w:rsidRPr="0069458A">
              <w:rPr>
                <w:rFonts w:ascii="Times New Roman" w:eastAsia="Times New Roman" w:hAnsi="Times New Roman" w:cs="Times New Roman"/>
                <w:color w:val="000000"/>
                <w:sz w:val="18"/>
                <w:szCs w:val="18"/>
                <w:lang w:eastAsia="pl-PL"/>
              </w:rPr>
              <w:t xml:space="preserve"> 742,69 zł </w:t>
            </w:r>
          </w:p>
        </w:tc>
        <w:tc>
          <w:tcPr>
            <w:tcW w:w="822" w:type="pct"/>
            <w:tcBorders>
              <w:top w:val="single" w:sz="4" w:space="0" w:color="auto"/>
              <w:left w:val="nil"/>
              <w:bottom w:val="single" w:sz="8" w:space="0" w:color="auto"/>
              <w:right w:val="single" w:sz="8" w:space="0" w:color="auto"/>
            </w:tcBorders>
            <w:shd w:val="clear" w:color="auto" w:fill="auto"/>
            <w:noWrap/>
            <w:vAlign w:val="center"/>
            <w:hideMark/>
          </w:tcPr>
          <w:p w14:paraId="6A5A2D90" w14:textId="66BC9CC8" w:rsidR="003E4058" w:rsidRPr="0069458A" w:rsidRDefault="003E4058" w:rsidP="003E4058">
            <w:pPr>
              <w:spacing w:after="0" w:line="300" w:lineRule="atLeast"/>
              <w:jc w:val="center"/>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24</w:t>
            </w:r>
            <w:r>
              <w:rPr>
                <w:rFonts w:ascii="Times New Roman" w:eastAsia="Times New Roman" w:hAnsi="Times New Roman" w:cs="Times New Roman"/>
                <w:color w:val="000000"/>
                <w:sz w:val="18"/>
                <w:szCs w:val="18"/>
                <w:lang w:eastAsia="pl-PL"/>
              </w:rPr>
              <w:t>6</w:t>
            </w:r>
          </w:p>
        </w:tc>
        <w:tc>
          <w:tcPr>
            <w:tcW w:w="1012" w:type="pct"/>
            <w:tcBorders>
              <w:top w:val="single" w:sz="4" w:space="0" w:color="auto"/>
              <w:left w:val="nil"/>
              <w:bottom w:val="single" w:sz="8" w:space="0" w:color="auto"/>
              <w:right w:val="single" w:sz="8" w:space="0" w:color="auto"/>
            </w:tcBorders>
            <w:shd w:val="clear" w:color="auto" w:fill="auto"/>
            <w:vAlign w:val="center"/>
            <w:hideMark/>
          </w:tcPr>
          <w:p w14:paraId="2092D790" w14:textId="6CD7A11C" w:rsidR="003E4058" w:rsidRPr="0069458A" w:rsidRDefault="003E4058" w:rsidP="003E4058">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8 25</w:t>
            </w:r>
            <w:r>
              <w:rPr>
                <w:rFonts w:ascii="Times New Roman" w:eastAsia="Times New Roman" w:hAnsi="Times New Roman" w:cs="Times New Roman"/>
                <w:color w:val="000000"/>
                <w:sz w:val="18"/>
                <w:szCs w:val="18"/>
                <w:lang w:eastAsia="pl-PL"/>
              </w:rPr>
              <w:t>9</w:t>
            </w:r>
            <w:r w:rsidRPr="0069458A">
              <w:rPr>
                <w:rFonts w:ascii="Times New Roman" w:eastAsia="Times New Roman" w:hAnsi="Times New Roman" w:cs="Times New Roman"/>
                <w:color w:val="000000"/>
                <w:sz w:val="18"/>
                <w:szCs w:val="18"/>
                <w:lang w:eastAsia="pl-PL"/>
              </w:rPr>
              <w:t xml:space="preserve"> 412,19 zł </w:t>
            </w:r>
          </w:p>
        </w:tc>
      </w:tr>
      <w:tr w:rsidR="000B7108" w:rsidRPr="00C01883" w14:paraId="4BEB34DC" w14:textId="77777777" w:rsidTr="007B13BE">
        <w:trPr>
          <w:cantSplit/>
        </w:trPr>
        <w:tc>
          <w:tcPr>
            <w:tcW w:w="1333" w:type="pct"/>
            <w:tcBorders>
              <w:top w:val="nil"/>
              <w:left w:val="single" w:sz="8" w:space="0" w:color="auto"/>
              <w:bottom w:val="single" w:sz="8" w:space="0" w:color="auto"/>
              <w:right w:val="single" w:sz="8" w:space="0" w:color="auto"/>
            </w:tcBorders>
            <w:shd w:val="clear" w:color="auto" w:fill="auto"/>
            <w:vAlign w:val="center"/>
            <w:hideMark/>
          </w:tcPr>
          <w:p w14:paraId="75704B8C" w14:textId="77777777" w:rsidR="000B7108" w:rsidRPr="00C01883" w:rsidRDefault="000B7108" w:rsidP="00056EE7">
            <w:pPr>
              <w:spacing w:after="0" w:line="300" w:lineRule="atLeast"/>
              <w:rPr>
                <w:rFonts w:ascii="Times New Roman" w:eastAsia="Times New Roman" w:hAnsi="Times New Roman" w:cs="Times New Roman"/>
                <w:color w:val="000000"/>
                <w:sz w:val="18"/>
                <w:szCs w:val="18"/>
                <w:lang w:eastAsia="pl-PL"/>
              </w:rPr>
            </w:pPr>
            <w:r w:rsidRPr="00C01883">
              <w:rPr>
                <w:rFonts w:ascii="Times New Roman" w:eastAsia="Times New Roman" w:hAnsi="Times New Roman" w:cs="Times New Roman"/>
                <w:color w:val="000000"/>
                <w:sz w:val="18"/>
                <w:szCs w:val="18"/>
                <w:lang w:eastAsia="pl-PL"/>
              </w:rPr>
              <w:t>nieprzestrzeganie przepisów w</w:t>
            </w:r>
            <w:r>
              <w:rPr>
                <w:rFonts w:ascii="Times New Roman" w:eastAsia="Times New Roman" w:hAnsi="Times New Roman" w:cs="Times New Roman"/>
                <w:color w:val="000000"/>
                <w:sz w:val="18"/>
                <w:szCs w:val="18"/>
                <w:lang w:eastAsia="pl-PL"/>
              </w:rPr>
              <w:t> </w:t>
            </w:r>
            <w:r w:rsidRPr="00C01883">
              <w:rPr>
                <w:rFonts w:ascii="Times New Roman" w:eastAsia="Times New Roman" w:hAnsi="Times New Roman" w:cs="Times New Roman"/>
                <w:color w:val="000000"/>
                <w:sz w:val="18"/>
                <w:szCs w:val="18"/>
                <w:lang w:eastAsia="pl-PL"/>
              </w:rPr>
              <w:t>zakresie recyklingu pojazdów wycofanych z</w:t>
            </w:r>
            <w:r>
              <w:rPr>
                <w:rFonts w:ascii="Times New Roman" w:eastAsia="Times New Roman" w:hAnsi="Times New Roman" w:cs="Times New Roman"/>
                <w:color w:val="000000"/>
                <w:sz w:val="18"/>
                <w:szCs w:val="18"/>
                <w:lang w:eastAsia="pl-PL"/>
              </w:rPr>
              <w:t> </w:t>
            </w:r>
            <w:r w:rsidRPr="00C01883">
              <w:rPr>
                <w:rFonts w:ascii="Times New Roman" w:eastAsia="Times New Roman" w:hAnsi="Times New Roman" w:cs="Times New Roman"/>
                <w:color w:val="000000"/>
                <w:sz w:val="18"/>
                <w:szCs w:val="18"/>
                <w:lang w:eastAsia="pl-PL"/>
              </w:rPr>
              <w:t>eksploatacji</w:t>
            </w:r>
          </w:p>
        </w:tc>
        <w:tc>
          <w:tcPr>
            <w:tcW w:w="776" w:type="pct"/>
            <w:tcBorders>
              <w:top w:val="nil"/>
              <w:left w:val="nil"/>
              <w:bottom w:val="single" w:sz="8" w:space="0" w:color="auto"/>
              <w:right w:val="single" w:sz="8" w:space="0" w:color="auto"/>
            </w:tcBorders>
            <w:shd w:val="clear" w:color="auto" w:fill="auto"/>
            <w:vAlign w:val="center"/>
            <w:hideMark/>
          </w:tcPr>
          <w:p w14:paraId="700F33C4" w14:textId="77777777" w:rsidR="000B7108" w:rsidRPr="001611DE"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270</w:t>
            </w:r>
          </w:p>
        </w:tc>
        <w:tc>
          <w:tcPr>
            <w:tcW w:w="1057" w:type="pct"/>
            <w:tcBorders>
              <w:top w:val="nil"/>
              <w:left w:val="nil"/>
              <w:bottom w:val="single" w:sz="8" w:space="0" w:color="auto"/>
              <w:right w:val="single" w:sz="8" w:space="0" w:color="auto"/>
            </w:tcBorders>
            <w:shd w:val="clear" w:color="auto" w:fill="auto"/>
            <w:vAlign w:val="center"/>
            <w:hideMark/>
          </w:tcPr>
          <w:p w14:paraId="1241D46D"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5 754 021,55 zł </w:t>
            </w:r>
          </w:p>
        </w:tc>
        <w:tc>
          <w:tcPr>
            <w:tcW w:w="822" w:type="pct"/>
            <w:tcBorders>
              <w:top w:val="nil"/>
              <w:left w:val="nil"/>
              <w:bottom w:val="single" w:sz="8" w:space="0" w:color="auto"/>
              <w:right w:val="single" w:sz="8" w:space="0" w:color="auto"/>
            </w:tcBorders>
            <w:shd w:val="clear" w:color="auto" w:fill="auto"/>
            <w:noWrap/>
            <w:vAlign w:val="center"/>
            <w:hideMark/>
          </w:tcPr>
          <w:p w14:paraId="027F1492" w14:textId="77777777" w:rsidR="000B7108" w:rsidRPr="0069458A"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71</w:t>
            </w:r>
          </w:p>
        </w:tc>
        <w:tc>
          <w:tcPr>
            <w:tcW w:w="1012" w:type="pct"/>
            <w:tcBorders>
              <w:top w:val="nil"/>
              <w:left w:val="nil"/>
              <w:bottom w:val="single" w:sz="8" w:space="0" w:color="auto"/>
              <w:right w:val="single" w:sz="8" w:space="0" w:color="auto"/>
            </w:tcBorders>
            <w:shd w:val="clear" w:color="auto" w:fill="auto"/>
            <w:noWrap/>
            <w:vAlign w:val="center"/>
            <w:hideMark/>
          </w:tcPr>
          <w:p w14:paraId="6044D6A4"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1 850 163,88 zł </w:t>
            </w:r>
          </w:p>
        </w:tc>
      </w:tr>
      <w:tr w:rsidR="000B7108" w:rsidRPr="00C01883" w14:paraId="6281056F" w14:textId="77777777" w:rsidTr="007B13BE">
        <w:trPr>
          <w:cantSplit/>
        </w:trPr>
        <w:tc>
          <w:tcPr>
            <w:tcW w:w="1333" w:type="pct"/>
            <w:tcBorders>
              <w:top w:val="nil"/>
              <w:left w:val="single" w:sz="8" w:space="0" w:color="auto"/>
              <w:bottom w:val="single" w:sz="8" w:space="0" w:color="auto"/>
              <w:right w:val="single" w:sz="8" w:space="0" w:color="auto"/>
            </w:tcBorders>
            <w:shd w:val="clear" w:color="auto" w:fill="auto"/>
            <w:vAlign w:val="center"/>
            <w:hideMark/>
          </w:tcPr>
          <w:p w14:paraId="1957C041" w14:textId="77777777" w:rsidR="000B7108" w:rsidRPr="00C01883" w:rsidRDefault="000B7108" w:rsidP="00056EE7">
            <w:pPr>
              <w:spacing w:after="0" w:line="300" w:lineRule="atLeast"/>
              <w:rPr>
                <w:rFonts w:ascii="Times New Roman" w:eastAsia="Times New Roman" w:hAnsi="Times New Roman" w:cs="Times New Roman"/>
                <w:color w:val="000000"/>
                <w:sz w:val="18"/>
                <w:szCs w:val="18"/>
                <w:lang w:eastAsia="pl-PL"/>
              </w:rPr>
            </w:pPr>
            <w:r w:rsidRPr="00C01883">
              <w:rPr>
                <w:rFonts w:ascii="Times New Roman" w:eastAsia="Times New Roman" w:hAnsi="Times New Roman" w:cs="Times New Roman"/>
                <w:color w:val="000000"/>
                <w:sz w:val="18"/>
                <w:szCs w:val="18"/>
                <w:lang w:eastAsia="pl-PL"/>
              </w:rPr>
              <w:t>wprowadzanie do wód lub</w:t>
            </w:r>
            <w:r>
              <w:rPr>
                <w:rFonts w:ascii="Times New Roman" w:eastAsia="Times New Roman" w:hAnsi="Times New Roman" w:cs="Times New Roman"/>
                <w:color w:val="000000"/>
                <w:sz w:val="18"/>
                <w:szCs w:val="18"/>
                <w:lang w:eastAsia="pl-PL"/>
              </w:rPr>
              <w:t> </w:t>
            </w:r>
            <w:r w:rsidRPr="00C01883">
              <w:rPr>
                <w:rFonts w:ascii="Times New Roman" w:eastAsia="Times New Roman" w:hAnsi="Times New Roman" w:cs="Times New Roman"/>
                <w:color w:val="000000"/>
                <w:sz w:val="18"/>
                <w:szCs w:val="18"/>
                <w:lang w:eastAsia="pl-PL"/>
              </w:rPr>
              <w:t>ziemi ścieków nieodpowiadających wymaganym warunkom</w:t>
            </w:r>
          </w:p>
        </w:tc>
        <w:tc>
          <w:tcPr>
            <w:tcW w:w="776" w:type="pct"/>
            <w:tcBorders>
              <w:top w:val="nil"/>
              <w:left w:val="nil"/>
              <w:bottom w:val="single" w:sz="8" w:space="0" w:color="auto"/>
              <w:right w:val="single" w:sz="8" w:space="0" w:color="auto"/>
            </w:tcBorders>
            <w:shd w:val="clear" w:color="auto" w:fill="auto"/>
            <w:vAlign w:val="center"/>
            <w:hideMark/>
          </w:tcPr>
          <w:p w14:paraId="56773968" w14:textId="77777777" w:rsidR="000B7108" w:rsidRPr="001611DE"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103</w:t>
            </w:r>
          </w:p>
        </w:tc>
        <w:tc>
          <w:tcPr>
            <w:tcW w:w="1057" w:type="pct"/>
            <w:tcBorders>
              <w:top w:val="nil"/>
              <w:left w:val="nil"/>
              <w:bottom w:val="single" w:sz="8" w:space="0" w:color="auto"/>
              <w:right w:val="single" w:sz="8" w:space="0" w:color="auto"/>
            </w:tcBorders>
            <w:shd w:val="clear" w:color="auto" w:fill="auto"/>
            <w:vAlign w:val="center"/>
            <w:hideMark/>
          </w:tcPr>
          <w:p w14:paraId="36E222AC"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26 667 630,48 zł </w:t>
            </w:r>
          </w:p>
        </w:tc>
        <w:tc>
          <w:tcPr>
            <w:tcW w:w="822" w:type="pct"/>
            <w:tcBorders>
              <w:top w:val="nil"/>
              <w:left w:val="nil"/>
              <w:bottom w:val="single" w:sz="8" w:space="0" w:color="auto"/>
              <w:right w:val="single" w:sz="8" w:space="0" w:color="auto"/>
            </w:tcBorders>
            <w:shd w:val="clear" w:color="auto" w:fill="auto"/>
            <w:noWrap/>
            <w:vAlign w:val="center"/>
            <w:hideMark/>
          </w:tcPr>
          <w:p w14:paraId="1C58FCCC" w14:textId="77777777" w:rsidR="000B7108" w:rsidRPr="0069458A"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19</w:t>
            </w:r>
          </w:p>
        </w:tc>
        <w:tc>
          <w:tcPr>
            <w:tcW w:w="1012" w:type="pct"/>
            <w:tcBorders>
              <w:top w:val="nil"/>
              <w:left w:val="nil"/>
              <w:bottom w:val="single" w:sz="8" w:space="0" w:color="auto"/>
              <w:right w:val="single" w:sz="8" w:space="0" w:color="auto"/>
            </w:tcBorders>
            <w:shd w:val="clear" w:color="auto" w:fill="auto"/>
            <w:noWrap/>
            <w:vAlign w:val="center"/>
            <w:hideMark/>
          </w:tcPr>
          <w:p w14:paraId="1CE6EF8F"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2 105 417,40 zł </w:t>
            </w:r>
          </w:p>
        </w:tc>
      </w:tr>
      <w:tr w:rsidR="000B7108" w:rsidRPr="00C01883" w14:paraId="0D0AE857" w14:textId="77777777" w:rsidTr="007B13BE">
        <w:trPr>
          <w:cantSplit/>
        </w:trPr>
        <w:tc>
          <w:tcPr>
            <w:tcW w:w="1333" w:type="pct"/>
            <w:tcBorders>
              <w:top w:val="nil"/>
              <w:left w:val="single" w:sz="8" w:space="0" w:color="auto"/>
              <w:bottom w:val="single" w:sz="8" w:space="0" w:color="auto"/>
              <w:right w:val="single" w:sz="8" w:space="0" w:color="auto"/>
            </w:tcBorders>
            <w:shd w:val="clear" w:color="auto" w:fill="auto"/>
            <w:vAlign w:val="center"/>
            <w:hideMark/>
          </w:tcPr>
          <w:p w14:paraId="0ABA4DEB" w14:textId="77777777" w:rsidR="000B7108" w:rsidRPr="00C01883" w:rsidRDefault="000B7108" w:rsidP="00056EE7">
            <w:pPr>
              <w:spacing w:after="0" w:line="300" w:lineRule="atLeast"/>
              <w:rPr>
                <w:rFonts w:ascii="Times New Roman" w:eastAsia="Times New Roman" w:hAnsi="Times New Roman" w:cs="Times New Roman"/>
                <w:color w:val="000000"/>
                <w:sz w:val="18"/>
                <w:szCs w:val="18"/>
                <w:lang w:eastAsia="pl-PL"/>
              </w:rPr>
            </w:pPr>
            <w:r w:rsidRPr="00C01883">
              <w:rPr>
                <w:rFonts w:ascii="Times New Roman" w:eastAsia="Times New Roman" w:hAnsi="Times New Roman" w:cs="Times New Roman"/>
                <w:color w:val="000000"/>
                <w:sz w:val="18"/>
                <w:szCs w:val="18"/>
                <w:lang w:eastAsia="pl-PL"/>
              </w:rPr>
              <w:t>nieprzestrzeganie przepisów w</w:t>
            </w:r>
            <w:r>
              <w:rPr>
                <w:rFonts w:ascii="Times New Roman" w:eastAsia="Times New Roman" w:hAnsi="Times New Roman" w:cs="Times New Roman"/>
                <w:color w:val="000000"/>
                <w:sz w:val="18"/>
                <w:szCs w:val="18"/>
                <w:lang w:eastAsia="pl-PL"/>
              </w:rPr>
              <w:t> </w:t>
            </w:r>
            <w:r w:rsidRPr="00C01883">
              <w:rPr>
                <w:rFonts w:ascii="Times New Roman" w:eastAsia="Times New Roman" w:hAnsi="Times New Roman" w:cs="Times New Roman"/>
                <w:color w:val="000000"/>
                <w:sz w:val="18"/>
                <w:szCs w:val="18"/>
                <w:lang w:eastAsia="pl-PL"/>
              </w:rPr>
              <w:t>zakresie międzynarodowego przemieszczania odpadów</w:t>
            </w:r>
          </w:p>
        </w:tc>
        <w:tc>
          <w:tcPr>
            <w:tcW w:w="776" w:type="pct"/>
            <w:tcBorders>
              <w:top w:val="nil"/>
              <w:left w:val="nil"/>
              <w:bottom w:val="single" w:sz="8" w:space="0" w:color="auto"/>
              <w:right w:val="single" w:sz="8" w:space="0" w:color="auto"/>
            </w:tcBorders>
            <w:shd w:val="clear" w:color="auto" w:fill="auto"/>
            <w:vAlign w:val="center"/>
            <w:hideMark/>
          </w:tcPr>
          <w:p w14:paraId="284BD4A3" w14:textId="77777777" w:rsidR="000B7108" w:rsidRPr="001611DE"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89</w:t>
            </w:r>
          </w:p>
        </w:tc>
        <w:tc>
          <w:tcPr>
            <w:tcW w:w="1057" w:type="pct"/>
            <w:tcBorders>
              <w:top w:val="nil"/>
              <w:left w:val="nil"/>
              <w:bottom w:val="single" w:sz="8" w:space="0" w:color="auto"/>
              <w:right w:val="single" w:sz="8" w:space="0" w:color="auto"/>
            </w:tcBorders>
            <w:shd w:val="clear" w:color="auto" w:fill="auto"/>
            <w:vAlign w:val="center"/>
            <w:hideMark/>
          </w:tcPr>
          <w:p w14:paraId="002947C3"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5 147 370,16 zł </w:t>
            </w:r>
          </w:p>
        </w:tc>
        <w:tc>
          <w:tcPr>
            <w:tcW w:w="822" w:type="pct"/>
            <w:tcBorders>
              <w:top w:val="nil"/>
              <w:left w:val="nil"/>
              <w:bottom w:val="single" w:sz="8" w:space="0" w:color="auto"/>
              <w:right w:val="single" w:sz="8" w:space="0" w:color="auto"/>
            </w:tcBorders>
            <w:shd w:val="clear" w:color="auto" w:fill="auto"/>
            <w:noWrap/>
            <w:vAlign w:val="center"/>
            <w:hideMark/>
          </w:tcPr>
          <w:p w14:paraId="4AB2AF73" w14:textId="77777777" w:rsidR="000B7108" w:rsidRPr="0069458A"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6</w:t>
            </w:r>
          </w:p>
        </w:tc>
        <w:tc>
          <w:tcPr>
            <w:tcW w:w="1012" w:type="pct"/>
            <w:tcBorders>
              <w:top w:val="nil"/>
              <w:left w:val="nil"/>
              <w:bottom w:val="single" w:sz="8" w:space="0" w:color="auto"/>
              <w:right w:val="single" w:sz="8" w:space="0" w:color="auto"/>
            </w:tcBorders>
            <w:shd w:val="clear" w:color="auto" w:fill="auto"/>
            <w:noWrap/>
            <w:vAlign w:val="center"/>
            <w:hideMark/>
          </w:tcPr>
          <w:p w14:paraId="44019DAE"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510 000,00 zł </w:t>
            </w:r>
          </w:p>
        </w:tc>
      </w:tr>
      <w:tr w:rsidR="000B7108" w:rsidRPr="00C01883" w14:paraId="1553E3BC" w14:textId="77777777" w:rsidTr="007B13BE">
        <w:trPr>
          <w:cantSplit/>
        </w:trPr>
        <w:tc>
          <w:tcPr>
            <w:tcW w:w="1333" w:type="pct"/>
            <w:tcBorders>
              <w:top w:val="nil"/>
              <w:left w:val="single" w:sz="8" w:space="0" w:color="auto"/>
              <w:bottom w:val="single" w:sz="8" w:space="0" w:color="auto"/>
              <w:right w:val="single" w:sz="8" w:space="0" w:color="auto"/>
            </w:tcBorders>
            <w:shd w:val="clear" w:color="auto" w:fill="auto"/>
            <w:vAlign w:val="center"/>
          </w:tcPr>
          <w:p w14:paraId="76801A0F" w14:textId="77777777" w:rsidR="000B7108" w:rsidRPr="00C01883" w:rsidRDefault="000B7108" w:rsidP="00056EE7">
            <w:pPr>
              <w:spacing w:after="0" w:line="300" w:lineRule="atLeast"/>
              <w:rPr>
                <w:rFonts w:ascii="Times New Roman" w:eastAsia="Times New Roman" w:hAnsi="Times New Roman" w:cs="Times New Roman"/>
                <w:color w:val="000000"/>
                <w:sz w:val="18"/>
                <w:szCs w:val="18"/>
                <w:lang w:eastAsia="pl-PL"/>
              </w:rPr>
            </w:pPr>
            <w:r w:rsidRPr="00C01883">
              <w:rPr>
                <w:rFonts w:ascii="Times New Roman" w:eastAsia="Times New Roman" w:hAnsi="Times New Roman" w:cs="Times New Roman"/>
                <w:color w:val="000000"/>
                <w:sz w:val="18"/>
                <w:szCs w:val="18"/>
                <w:lang w:eastAsia="pl-PL"/>
              </w:rPr>
              <w:t>uniemożliwianie lub</w:t>
            </w:r>
            <w:r>
              <w:rPr>
                <w:rFonts w:ascii="Times New Roman" w:eastAsia="Times New Roman" w:hAnsi="Times New Roman" w:cs="Times New Roman"/>
                <w:color w:val="000000"/>
                <w:sz w:val="18"/>
                <w:szCs w:val="18"/>
                <w:lang w:eastAsia="pl-PL"/>
              </w:rPr>
              <w:t> </w:t>
            </w:r>
            <w:r w:rsidRPr="00C01883">
              <w:rPr>
                <w:rFonts w:ascii="Times New Roman" w:eastAsia="Times New Roman" w:hAnsi="Times New Roman" w:cs="Times New Roman"/>
                <w:color w:val="000000"/>
                <w:sz w:val="18"/>
                <w:szCs w:val="18"/>
                <w:lang w:eastAsia="pl-PL"/>
              </w:rPr>
              <w:t>utrudnianie organowi Inspekcji Ochrony Środowiska przeprowadzanie kontroli</w:t>
            </w:r>
          </w:p>
        </w:tc>
        <w:tc>
          <w:tcPr>
            <w:tcW w:w="776" w:type="pct"/>
            <w:tcBorders>
              <w:top w:val="nil"/>
              <w:left w:val="nil"/>
              <w:bottom w:val="single" w:sz="8" w:space="0" w:color="auto"/>
              <w:right w:val="single" w:sz="8" w:space="0" w:color="auto"/>
            </w:tcBorders>
            <w:shd w:val="clear" w:color="auto" w:fill="auto"/>
            <w:vAlign w:val="center"/>
          </w:tcPr>
          <w:p w14:paraId="2B74A417" w14:textId="77777777" w:rsidR="000B7108" w:rsidRPr="001611DE"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58</w:t>
            </w:r>
          </w:p>
        </w:tc>
        <w:tc>
          <w:tcPr>
            <w:tcW w:w="1057" w:type="pct"/>
            <w:tcBorders>
              <w:top w:val="nil"/>
              <w:left w:val="nil"/>
              <w:bottom w:val="single" w:sz="8" w:space="0" w:color="auto"/>
              <w:right w:val="single" w:sz="8" w:space="0" w:color="auto"/>
            </w:tcBorders>
            <w:shd w:val="clear" w:color="auto" w:fill="auto"/>
            <w:vAlign w:val="center"/>
          </w:tcPr>
          <w:p w14:paraId="34C7DCE6"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778 458,69 zł </w:t>
            </w:r>
          </w:p>
        </w:tc>
        <w:tc>
          <w:tcPr>
            <w:tcW w:w="822" w:type="pct"/>
            <w:tcBorders>
              <w:top w:val="nil"/>
              <w:left w:val="nil"/>
              <w:bottom w:val="single" w:sz="8" w:space="0" w:color="auto"/>
              <w:right w:val="single" w:sz="8" w:space="0" w:color="auto"/>
            </w:tcBorders>
            <w:shd w:val="clear" w:color="auto" w:fill="auto"/>
            <w:noWrap/>
            <w:vAlign w:val="center"/>
          </w:tcPr>
          <w:p w14:paraId="72723586" w14:textId="77777777" w:rsidR="000B7108" w:rsidRPr="0069458A"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18</w:t>
            </w:r>
          </w:p>
        </w:tc>
        <w:tc>
          <w:tcPr>
            <w:tcW w:w="1012" w:type="pct"/>
            <w:tcBorders>
              <w:top w:val="nil"/>
              <w:left w:val="nil"/>
              <w:bottom w:val="single" w:sz="8" w:space="0" w:color="auto"/>
              <w:right w:val="single" w:sz="8" w:space="0" w:color="auto"/>
            </w:tcBorders>
            <w:shd w:val="clear" w:color="auto" w:fill="auto"/>
            <w:noWrap/>
            <w:vAlign w:val="center"/>
          </w:tcPr>
          <w:p w14:paraId="227C4AF2"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267 000,00 zł </w:t>
            </w:r>
          </w:p>
        </w:tc>
      </w:tr>
      <w:tr w:rsidR="000B7108" w:rsidRPr="00C01883" w14:paraId="5BC81853" w14:textId="77777777" w:rsidTr="007B13BE">
        <w:trPr>
          <w:cantSplit/>
        </w:trPr>
        <w:tc>
          <w:tcPr>
            <w:tcW w:w="1333" w:type="pct"/>
            <w:tcBorders>
              <w:top w:val="nil"/>
              <w:left w:val="single" w:sz="8" w:space="0" w:color="auto"/>
              <w:bottom w:val="single" w:sz="8" w:space="0" w:color="auto"/>
              <w:right w:val="single" w:sz="8" w:space="0" w:color="auto"/>
            </w:tcBorders>
            <w:shd w:val="clear" w:color="auto" w:fill="auto"/>
            <w:vAlign w:val="center"/>
          </w:tcPr>
          <w:p w14:paraId="4E545127" w14:textId="77777777" w:rsidR="000B7108" w:rsidRPr="00C01883" w:rsidRDefault="000B7108" w:rsidP="00056EE7">
            <w:pPr>
              <w:spacing w:after="0" w:line="300" w:lineRule="atLeast"/>
              <w:rPr>
                <w:rFonts w:ascii="Times New Roman" w:eastAsia="Times New Roman" w:hAnsi="Times New Roman" w:cs="Times New Roman"/>
                <w:color w:val="000000"/>
                <w:sz w:val="18"/>
                <w:szCs w:val="18"/>
                <w:lang w:eastAsia="pl-PL"/>
              </w:rPr>
            </w:pPr>
            <w:r w:rsidRPr="00C01883">
              <w:rPr>
                <w:rFonts w:ascii="Times New Roman" w:eastAsia="Times New Roman" w:hAnsi="Times New Roman" w:cs="Times New Roman"/>
                <w:color w:val="000000"/>
                <w:sz w:val="18"/>
                <w:szCs w:val="18"/>
                <w:lang w:eastAsia="pl-PL"/>
              </w:rPr>
              <w:t>nieprzestrzeganie przepisów w</w:t>
            </w:r>
            <w:r>
              <w:rPr>
                <w:rFonts w:ascii="Times New Roman" w:eastAsia="Times New Roman" w:hAnsi="Times New Roman" w:cs="Times New Roman"/>
                <w:color w:val="000000"/>
                <w:sz w:val="18"/>
                <w:szCs w:val="18"/>
                <w:lang w:eastAsia="pl-PL"/>
              </w:rPr>
              <w:t> </w:t>
            </w:r>
            <w:r w:rsidRPr="00C01883">
              <w:rPr>
                <w:rFonts w:ascii="Times New Roman" w:eastAsia="Times New Roman" w:hAnsi="Times New Roman" w:cs="Times New Roman"/>
                <w:color w:val="000000"/>
                <w:sz w:val="18"/>
                <w:szCs w:val="18"/>
                <w:lang w:eastAsia="pl-PL"/>
              </w:rPr>
              <w:t>zakresie ustawy o</w:t>
            </w:r>
            <w:r>
              <w:rPr>
                <w:rFonts w:ascii="Times New Roman" w:eastAsia="Times New Roman" w:hAnsi="Times New Roman" w:cs="Times New Roman"/>
                <w:color w:val="000000"/>
                <w:sz w:val="18"/>
                <w:szCs w:val="18"/>
                <w:lang w:eastAsia="pl-PL"/>
              </w:rPr>
              <w:t> </w:t>
            </w:r>
            <w:r w:rsidRPr="00C01883">
              <w:rPr>
                <w:rFonts w:ascii="Times New Roman" w:eastAsia="Times New Roman" w:hAnsi="Times New Roman" w:cs="Times New Roman"/>
                <w:color w:val="000000"/>
                <w:sz w:val="18"/>
                <w:szCs w:val="18"/>
                <w:lang w:eastAsia="pl-PL"/>
              </w:rPr>
              <w:t>utrzymaniu czystości i</w:t>
            </w:r>
            <w:r>
              <w:rPr>
                <w:rFonts w:ascii="Times New Roman" w:eastAsia="Times New Roman" w:hAnsi="Times New Roman" w:cs="Times New Roman"/>
                <w:color w:val="000000"/>
                <w:sz w:val="18"/>
                <w:szCs w:val="18"/>
                <w:lang w:eastAsia="pl-PL"/>
              </w:rPr>
              <w:t> </w:t>
            </w:r>
            <w:r w:rsidRPr="00C01883">
              <w:rPr>
                <w:rFonts w:ascii="Times New Roman" w:eastAsia="Times New Roman" w:hAnsi="Times New Roman" w:cs="Times New Roman"/>
                <w:color w:val="000000"/>
                <w:sz w:val="18"/>
                <w:szCs w:val="18"/>
                <w:lang w:eastAsia="pl-PL"/>
              </w:rPr>
              <w:t>porządku w gminach</w:t>
            </w:r>
          </w:p>
        </w:tc>
        <w:tc>
          <w:tcPr>
            <w:tcW w:w="776" w:type="pct"/>
            <w:tcBorders>
              <w:top w:val="nil"/>
              <w:left w:val="nil"/>
              <w:bottom w:val="single" w:sz="8" w:space="0" w:color="auto"/>
              <w:right w:val="single" w:sz="8" w:space="0" w:color="auto"/>
            </w:tcBorders>
            <w:shd w:val="clear" w:color="auto" w:fill="auto"/>
            <w:vAlign w:val="center"/>
          </w:tcPr>
          <w:p w14:paraId="13BA254E" w14:textId="77777777" w:rsidR="000B7108" w:rsidRPr="001611DE"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53</w:t>
            </w:r>
          </w:p>
        </w:tc>
        <w:tc>
          <w:tcPr>
            <w:tcW w:w="1057" w:type="pct"/>
            <w:tcBorders>
              <w:top w:val="nil"/>
              <w:left w:val="nil"/>
              <w:bottom w:val="single" w:sz="8" w:space="0" w:color="auto"/>
              <w:right w:val="single" w:sz="8" w:space="0" w:color="auto"/>
            </w:tcBorders>
            <w:shd w:val="clear" w:color="auto" w:fill="auto"/>
            <w:vAlign w:val="center"/>
          </w:tcPr>
          <w:p w14:paraId="6735D688"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1 353 291,00 zł </w:t>
            </w:r>
          </w:p>
        </w:tc>
        <w:tc>
          <w:tcPr>
            <w:tcW w:w="822" w:type="pct"/>
            <w:tcBorders>
              <w:top w:val="nil"/>
              <w:left w:val="nil"/>
              <w:bottom w:val="single" w:sz="8" w:space="0" w:color="auto"/>
              <w:right w:val="single" w:sz="8" w:space="0" w:color="auto"/>
            </w:tcBorders>
            <w:shd w:val="clear" w:color="auto" w:fill="auto"/>
            <w:noWrap/>
            <w:vAlign w:val="center"/>
          </w:tcPr>
          <w:p w14:paraId="17741E43" w14:textId="77777777" w:rsidR="000B7108" w:rsidRPr="0069458A"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26</w:t>
            </w:r>
          </w:p>
        </w:tc>
        <w:tc>
          <w:tcPr>
            <w:tcW w:w="1012" w:type="pct"/>
            <w:tcBorders>
              <w:top w:val="nil"/>
              <w:left w:val="nil"/>
              <w:bottom w:val="single" w:sz="8" w:space="0" w:color="auto"/>
              <w:right w:val="single" w:sz="8" w:space="0" w:color="auto"/>
            </w:tcBorders>
            <w:shd w:val="clear" w:color="auto" w:fill="auto"/>
            <w:noWrap/>
            <w:vAlign w:val="center"/>
          </w:tcPr>
          <w:p w14:paraId="5CB9B7AC"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1 007 496,00 zł </w:t>
            </w:r>
          </w:p>
        </w:tc>
      </w:tr>
      <w:tr w:rsidR="000B7108" w:rsidRPr="00C01883" w14:paraId="53721D2C" w14:textId="77777777" w:rsidTr="007B13BE">
        <w:trPr>
          <w:cantSplit/>
        </w:trPr>
        <w:tc>
          <w:tcPr>
            <w:tcW w:w="1333" w:type="pct"/>
            <w:tcBorders>
              <w:top w:val="nil"/>
              <w:left w:val="single" w:sz="8" w:space="0" w:color="auto"/>
              <w:bottom w:val="single" w:sz="8" w:space="0" w:color="auto"/>
              <w:right w:val="single" w:sz="8" w:space="0" w:color="auto"/>
            </w:tcBorders>
            <w:shd w:val="clear" w:color="auto" w:fill="auto"/>
            <w:vAlign w:val="center"/>
          </w:tcPr>
          <w:p w14:paraId="265A1600" w14:textId="77777777" w:rsidR="000B7108" w:rsidRPr="00C01883" w:rsidRDefault="000B7108" w:rsidP="00056EE7">
            <w:pPr>
              <w:spacing w:after="0" w:line="300" w:lineRule="atLeast"/>
              <w:rPr>
                <w:rFonts w:ascii="Times New Roman" w:eastAsia="Times New Roman" w:hAnsi="Times New Roman" w:cs="Times New Roman"/>
                <w:color w:val="000000"/>
                <w:sz w:val="18"/>
                <w:szCs w:val="18"/>
                <w:lang w:eastAsia="pl-PL"/>
              </w:rPr>
            </w:pPr>
            <w:r w:rsidRPr="00C01883">
              <w:rPr>
                <w:rFonts w:ascii="Times New Roman" w:eastAsia="Times New Roman" w:hAnsi="Times New Roman" w:cs="Times New Roman"/>
                <w:color w:val="000000"/>
                <w:sz w:val="18"/>
                <w:szCs w:val="18"/>
                <w:lang w:eastAsia="pl-PL"/>
              </w:rPr>
              <w:t>przekroczenie dopuszczalnego poziomu hałasu</w:t>
            </w:r>
          </w:p>
        </w:tc>
        <w:tc>
          <w:tcPr>
            <w:tcW w:w="776" w:type="pct"/>
            <w:tcBorders>
              <w:top w:val="nil"/>
              <w:left w:val="nil"/>
              <w:bottom w:val="single" w:sz="8" w:space="0" w:color="auto"/>
              <w:right w:val="single" w:sz="8" w:space="0" w:color="auto"/>
            </w:tcBorders>
            <w:shd w:val="clear" w:color="auto" w:fill="auto"/>
            <w:vAlign w:val="center"/>
          </w:tcPr>
          <w:p w14:paraId="690ABC6A" w14:textId="77777777" w:rsidR="000B7108" w:rsidRPr="001611DE"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50</w:t>
            </w:r>
          </w:p>
        </w:tc>
        <w:tc>
          <w:tcPr>
            <w:tcW w:w="1057" w:type="pct"/>
            <w:tcBorders>
              <w:top w:val="nil"/>
              <w:left w:val="nil"/>
              <w:bottom w:val="single" w:sz="8" w:space="0" w:color="auto"/>
              <w:right w:val="single" w:sz="8" w:space="0" w:color="auto"/>
            </w:tcBorders>
            <w:shd w:val="clear" w:color="auto" w:fill="auto"/>
            <w:vAlign w:val="center"/>
          </w:tcPr>
          <w:p w14:paraId="5BEB141C"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1 513 998,25 zł </w:t>
            </w:r>
          </w:p>
        </w:tc>
        <w:tc>
          <w:tcPr>
            <w:tcW w:w="822" w:type="pct"/>
            <w:tcBorders>
              <w:top w:val="nil"/>
              <w:left w:val="nil"/>
              <w:bottom w:val="single" w:sz="8" w:space="0" w:color="auto"/>
              <w:right w:val="single" w:sz="8" w:space="0" w:color="auto"/>
            </w:tcBorders>
            <w:shd w:val="clear" w:color="auto" w:fill="auto"/>
            <w:noWrap/>
            <w:vAlign w:val="center"/>
          </w:tcPr>
          <w:p w14:paraId="646F5BB3" w14:textId="77777777" w:rsidR="000B7108" w:rsidRPr="0069458A"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7</w:t>
            </w:r>
          </w:p>
        </w:tc>
        <w:tc>
          <w:tcPr>
            <w:tcW w:w="1012" w:type="pct"/>
            <w:tcBorders>
              <w:top w:val="nil"/>
              <w:left w:val="nil"/>
              <w:bottom w:val="single" w:sz="8" w:space="0" w:color="auto"/>
              <w:right w:val="single" w:sz="8" w:space="0" w:color="auto"/>
            </w:tcBorders>
            <w:shd w:val="clear" w:color="auto" w:fill="auto"/>
            <w:noWrap/>
            <w:vAlign w:val="center"/>
          </w:tcPr>
          <w:p w14:paraId="1F1DC097"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431 917,33 zł </w:t>
            </w:r>
          </w:p>
        </w:tc>
      </w:tr>
      <w:tr w:rsidR="000B7108" w:rsidRPr="00C01883" w14:paraId="0A35A6C7" w14:textId="77777777" w:rsidTr="007B13BE">
        <w:trPr>
          <w:cantSplit/>
        </w:trPr>
        <w:tc>
          <w:tcPr>
            <w:tcW w:w="1333" w:type="pct"/>
            <w:tcBorders>
              <w:top w:val="nil"/>
              <w:left w:val="single" w:sz="8" w:space="0" w:color="auto"/>
              <w:bottom w:val="single" w:sz="8" w:space="0" w:color="auto"/>
              <w:right w:val="single" w:sz="8" w:space="0" w:color="auto"/>
            </w:tcBorders>
            <w:shd w:val="clear" w:color="auto" w:fill="auto"/>
            <w:vAlign w:val="center"/>
          </w:tcPr>
          <w:p w14:paraId="5BD6034A" w14:textId="77777777" w:rsidR="000B7108" w:rsidRPr="00C01883" w:rsidRDefault="000B7108" w:rsidP="00056EE7">
            <w:pPr>
              <w:spacing w:after="0" w:line="300" w:lineRule="atLeast"/>
              <w:rPr>
                <w:rFonts w:ascii="Times New Roman" w:eastAsia="Times New Roman" w:hAnsi="Times New Roman" w:cs="Times New Roman"/>
                <w:color w:val="000000"/>
                <w:sz w:val="18"/>
                <w:szCs w:val="18"/>
                <w:lang w:eastAsia="pl-PL"/>
              </w:rPr>
            </w:pPr>
            <w:r w:rsidRPr="00C01883">
              <w:rPr>
                <w:rFonts w:ascii="Times New Roman" w:eastAsia="Times New Roman" w:hAnsi="Times New Roman" w:cs="Times New Roman"/>
                <w:color w:val="000000"/>
                <w:sz w:val="18"/>
                <w:szCs w:val="18"/>
                <w:lang w:eastAsia="pl-PL"/>
              </w:rPr>
              <w:t>nieprzestrzeganie przepisów w</w:t>
            </w:r>
            <w:r>
              <w:rPr>
                <w:rFonts w:ascii="Times New Roman" w:eastAsia="Times New Roman" w:hAnsi="Times New Roman" w:cs="Times New Roman"/>
                <w:color w:val="000000"/>
                <w:sz w:val="18"/>
                <w:szCs w:val="18"/>
                <w:lang w:eastAsia="pl-PL"/>
              </w:rPr>
              <w:t> </w:t>
            </w:r>
            <w:r w:rsidRPr="00C01883">
              <w:rPr>
                <w:rFonts w:ascii="Times New Roman" w:eastAsia="Times New Roman" w:hAnsi="Times New Roman" w:cs="Times New Roman"/>
                <w:color w:val="000000"/>
                <w:sz w:val="18"/>
                <w:szCs w:val="18"/>
                <w:lang w:eastAsia="pl-PL"/>
              </w:rPr>
              <w:t>zakresie zużytego sprzętu elektrycznego i</w:t>
            </w:r>
            <w:r>
              <w:rPr>
                <w:rFonts w:ascii="Times New Roman" w:eastAsia="Times New Roman" w:hAnsi="Times New Roman" w:cs="Times New Roman"/>
                <w:color w:val="000000"/>
                <w:sz w:val="18"/>
                <w:szCs w:val="18"/>
                <w:lang w:eastAsia="pl-PL"/>
              </w:rPr>
              <w:t> </w:t>
            </w:r>
            <w:r w:rsidRPr="00C01883">
              <w:rPr>
                <w:rFonts w:ascii="Times New Roman" w:eastAsia="Times New Roman" w:hAnsi="Times New Roman" w:cs="Times New Roman"/>
                <w:color w:val="000000"/>
                <w:sz w:val="18"/>
                <w:szCs w:val="18"/>
                <w:lang w:eastAsia="pl-PL"/>
              </w:rPr>
              <w:t>elektronicznego</w:t>
            </w:r>
            <w:r>
              <w:rPr>
                <w:rStyle w:val="Odwoanieprzypisudolnego"/>
                <w:color w:val="000000"/>
                <w:sz w:val="18"/>
                <w:szCs w:val="18"/>
                <w:lang w:eastAsia="pl-PL"/>
              </w:rPr>
              <w:footnoteReference w:id="54"/>
            </w:r>
          </w:p>
        </w:tc>
        <w:tc>
          <w:tcPr>
            <w:tcW w:w="776" w:type="pct"/>
            <w:tcBorders>
              <w:top w:val="nil"/>
              <w:left w:val="nil"/>
              <w:bottom w:val="single" w:sz="8" w:space="0" w:color="auto"/>
              <w:right w:val="single" w:sz="8" w:space="0" w:color="auto"/>
            </w:tcBorders>
            <w:shd w:val="clear" w:color="auto" w:fill="auto"/>
            <w:vAlign w:val="center"/>
          </w:tcPr>
          <w:p w14:paraId="3C4913B6" w14:textId="77777777" w:rsidR="000B7108" w:rsidRPr="001611DE"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34</w:t>
            </w:r>
          </w:p>
        </w:tc>
        <w:tc>
          <w:tcPr>
            <w:tcW w:w="1057" w:type="pct"/>
            <w:tcBorders>
              <w:top w:val="nil"/>
              <w:left w:val="nil"/>
              <w:bottom w:val="single" w:sz="8" w:space="0" w:color="auto"/>
              <w:right w:val="single" w:sz="8" w:space="0" w:color="auto"/>
            </w:tcBorders>
            <w:shd w:val="clear" w:color="auto" w:fill="auto"/>
            <w:vAlign w:val="center"/>
          </w:tcPr>
          <w:p w14:paraId="5A86012F"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 422 914,35 zł</w:t>
            </w:r>
          </w:p>
        </w:tc>
        <w:tc>
          <w:tcPr>
            <w:tcW w:w="822" w:type="pct"/>
            <w:tcBorders>
              <w:top w:val="nil"/>
              <w:left w:val="nil"/>
              <w:bottom w:val="single" w:sz="8" w:space="0" w:color="auto"/>
              <w:right w:val="single" w:sz="8" w:space="0" w:color="auto"/>
            </w:tcBorders>
            <w:shd w:val="clear" w:color="auto" w:fill="auto"/>
            <w:noWrap/>
            <w:vAlign w:val="center"/>
          </w:tcPr>
          <w:p w14:paraId="61E860A2" w14:textId="77777777" w:rsidR="000B7108" w:rsidRPr="0069458A"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7</w:t>
            </w:r>
          </w:p>
        </w:tc>
        <w:tc>
          <w:tcPr>
            <w:tcW w:w="1012" w:type="pct"/>
            <w:tcBorders>
              <w:top w:val="nil"/>
              <w:left w:val="nil"/>
              <w:bottom w:val="single" w:sz="8" w:space="0" w:color="auto"/>
              <w:right w:val="single" w:sz="8" w:space="0" w:color="auto"/>
            </w:tcBorders>
            <w:shd w:val="clear" w:color="auto" w:fill="auto"/>
            <w:noWrap/>
            <w:vAlign w:val="center"/>
          </w:tcPr>
          <w:p w14:paraId="2AD00AA8"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80 863,14 zł </w:t>
            </w:r>
          </w:p>
        </w:tc>
      </w:tr>
      <w:tr w:rsidR="000B7108" w:rsidRPr="00C01883" w14:paraId="3DDBB1B3" w14:textId="77777777" w:rsidTr="007B13BE">
        <w:trPr>
          <w:cantSplit/>
        </w:trPr>
        <w:tc>
          <w:tcPr>
            <w:tcW w:w="1333" w:type="pct"/>
            <w:tcBorders>
              <w:top w:val="nil"/>
              <w:left w:val="single" w:sz="8" w:space="0" w:color="auto"/>
              <w:bottom w:val="single" w:sz="4" w:space="0" w:color="auto"/>
              <w:right w:val="single" w:sz="8" w:space="0" w:color="auto"/>
            </w:tcBorders>
            <w:shd w:val="clear" w:color="auto" w:fill="auto"/>
            <w:vAlign w:val="center"/>
          </w:tcPr>
          <w:p w14:paraId="474BC84E" w14:textId="77777777" w:rsidR="000B7108" w:rsidRPr="00C01883" w:rsidRDefault="000B7108" w:rsidP="00056EE7">
            <w:pPr>
              <w:spacing w:after="0" w:line="300" w:lineRule="atLeast"/>
              <w:rPr>
                <w:rFonts w:ascii="Times New Roman" w:eastAsia="Times New Roman" w:hAnsi="Times New Roman" w:cs="Times New Roman"/>
                <w:color w:val="000000"/>
                <w:sz w:val="18"/>
                <w:szCs w:val="18"/>
                <w:lang w:eastAsia="pl-PL"/>
              </w:rPr>
            </w:pPr>
            <w:r w:rsidRPr="00C01883">
              <w:rPr>
                <w:rFonts w:ascii="Times New Roman" w:eastAsia="Times New Roman" w:hAnsi="Times New Roman" w:cs="Times New Roman"/>
                <w:color w:val="000000"/>
                <w:sz w:val="18"/>
                <w:szCs w:val="18"/>
                <w:lang w:eastAsia="pl-PL"/>
              </w:rPr>
              <w:t>nieprzestrzeganie przepisów o</w:t>
            </w:r>
            <w:r>
              <w:rPr>
                <w:rFonts w:ascii="Times New Roman" w:eastAsia="Times New Roman" w:hAnsi="Times New Roman" w:cs="Times New Roman"/>
                <w:color w:val="000000"/>
                <w:sz w:val="18"/>
                <w:szCs w:val="18"/>
                <w:lang w:eastAsia="pl-PL"/>
              </w:rPr>
              <w:t> </w:t>
            </w:r>
            <w:r w:rsidRPr="00C01883">
              <w:rPr>
                <w:rFonts w:ascii="Times New Roman" w:eastAsia="Times New Roman" w:hAnsi="Times New Roman" w:cs="Times New Roman"/>
                <w:color w:val="000000"/>
                <w:sz w:val="18"/>
                <w:szCs w:val="18"/>
                <w:lang w:eastAsia="pl-PL"/>
              </w:rPr>
              <w:t>substancjach zubożających warstwę ozonową oraz</w:t>
            </w:r>
            <w:r>
              <w:rPr>
                <w:rFonts w:ascii="Times New Roman" w:eastAsia="Times New Roman" w:hAnsi="Times New Roman" w:cs="Times New Roman"/>
                <w:color w:val="000000"/>
                <w:sz w:val="18"/>
                <w:szCs w:val="18"/>
                <w:lang w:eastAsia="pl-PL"/>
              </w:rPr>
              <w:t> </w:t>
            </w:r>
            <w:r w:rsidRPr="00C01883">
              <w:rPr>
                <w:rFonts w:ascii="Times New Roman" w:eastAsia="Times New Roman" w:hAnsi="Times New Roman" w:cs="Times New Roman"/>
                <w:color w:val="000000"/>
                <w:sz w:val="18"/>
                <w:szCs w:val="18"/>
                <w:lang w:eastAsia="pl-PL"/>
              </w:rPr>
              <w:t>o</w:t>
            </w:r>
            <w:r>
              <w:rPr>
                <w:rFonts w:ascii="Times New Roman" w:eastAsia="Times New Roman" w:hAnsi="Times New Roman" w:cs="Times New Roman"/>
                <w:color w:val="000000"/>
                <w:sz w:val="18"/>
                <w:szCs w:val="18"/>
                <w:lang w:eastAsia="pl-PL"/>
              </w:rPr>
              <w:t> </w:t>
            </w:r>
            <w:r w:rsidRPr="00C01883">
              <w:rPr>
                <w:rFonts w:ascii="Times New Roman" w:eastAsia="Times New Roman" w:hAnsi="Times New Roman" w:cs="Times New Roman"/>
                <w:color w:val="000000"/>
                <w:sz w:val="18"/>
                <w:szCs w:val="18"/>
                <w:lang w:eastAsia="pl-PL"/>
              </w:rPr>
              <w:t>niektórych fluorowanych gazach cieplarnianych</w:t>
            </w:r>
            <w:r>
              <w:rPr>
                <w:rStyle w:val="Odwoanieprzypisudolnego"/>
                <w:color w:val="000000"/>
                <w:sz w:val="18"/>
                <w:szCs w:val="18"/>
                <w:lang w:eastAsia="pl-PL"/>
              </w:rPr>
              <w:footnoteReference w:id="55"/>
            </w:r>
          </w:p>
        </w:tc>
        <w:tc>
          <w:tcPr>
            <w:tcW w:w="776" w:type="pct"/>
            <w:tcBorders>
              <w:top w:val="nil"/>
              <w:left w:val="nil"/>
              <w:bottom w:val="single" w:sz="4" w:space="0" w:color="auto"/>
              <w:right w:val="single" w:sz="8" w:space="0" w:color="auto"/>
            </w:tcBorders>
            <w:shd w:val="clear" w:color="auto" w:fill="auto"/>
            <w:vAlign w:val="center"/>
          </w:tcPr>
          <w:p w14:paraId="41503206" w14:textId="77777777" w:rsidR="000B7108" w:rsidRPr="001611DE"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29</w:t>
            </w:r>
          </w:p>
        </w:tc>
        <w:tc>
          <w:tcPr>
            <w:tcW w:w="1057" w:type="pct"/>
            <w:tcBorders>
              <w:top w:val="nil"/>
              <w:left w:val="nil"/>
              <w:bottom w:val="single" w:sz="4" w:space="0" w:color="auto"/>
              <w:right w:val="single" w:sz="8" w:space="0" w:color="auto"/>
            </w:tcBorders>
            <w:shd w:val="clear" w:color="auto" w:fill="auto"/>
            <w:vAlign w:val="center"/>
          </w:tcPr>
          <w:p w14:paraId="3C9BFA47"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133 975,73 zł </w:t>
            </w:r>
          </w:p>
        </w:tc>
        <w:tc>
          <w:tcPr>
            <w:tcW w:w="822" w:type="pct"/>
            <w:tcBorders>
              <w:top w:val="nil"/>
              <w:left w:val="nil"/>
              <w:bottom w:val="single" w:sz="4" w:space="0" w:color="auto"/>
              <w:right w:val="single" w:sz="8" w:space="0" w:color="auto"/>
            </w:tcBorders>
            <w:shd w:val="clear" w:color="auto" w:fill="auto"/>
            <w:noWrap/>
            <w:vAlign w:val="center"/>
          </w:tcPr>
          <w:p w14:paraId="46DD576D" w14:textId="77777777" w:rsidR="000B7108" w:rsidRPr="0069458A"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13</w:t>
            </w:r>
          </w:p>
        </w:tc>
        <w:tc>
          <w:tcPr>
            <w:tcW w:w="1012" w:type="pct"/>
            <w:tcBorders>
              <w:top w:val="nil"/>
              <w:left w:val="nil"/>
              <w:bottom w:val="single" w:sz="4" w:space="0" w:color="auto"/>
              <w:right w:val="single" w:sz="8" w:space="0" w:color="auto"/>
            </w:tcBorders>
            <w:shd w:val="clear" w:color="auto" w:fill="auto"/>
            <w:noWrap/>
            <w:vAlign w:val="center"/>
          </w:tcPr>
          <w:p w14:paraId="346FBE13"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 69 200,00 zł </w:t>
            </w:r>
          </w:p>
        </w:tc>
      </w:tr>
      <w:tr w:rsidR="000B7108" w:rsidRPr="00C01883" w14:paraId="6D79E447" w14:textId="77777777" w:rsidTr="007B13BE">
        <w:trPr>
          <w:cantSplit/>
        </w:trPr>
        <w:tc>
          <w:tcPr>
            <w:tcW w:w="13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3CEEDA" w14:textId="77777777" w:rsidR="000B7108" w:rsidRPr="00C01883" w:rsidRDefault="000B7108" w:rsidP="00056EE7">
            <w:pPr>
              <w:spacing w:after="0" w:line="300" w:lineRule="atLeast"/>
              <w:rPr>
                <w:rFonts w:ascii="Times New Roman" w:eastAsia="Times New Roman" w:hAnsi="Times New Roman" w:cs="Times New Roman"/>
                <w:color w:val="000000"/>
                <w:sz w:val="18"/>
                <w:szCs w:val="18"/>
                <w:lang w:eastAsia="pl-PL"/>
              </w:rPr>
            </w:pPr>
            <w:r w:rsidRPr="00C01883">
              <w:rPr>
                <w:rFonts w:ascii="Times New Roman" w:eastAsia="Times New Roman" w:hAnsi="Times New Roman" w:cs="Times New Roman"/>
                <w:color w:val="000000"/>
                <w:sz w:val="18"/>
                <w:szCs w:val="18"/>
                <w:lang w:eastAsia="pl-PL"/>
              </w:rPr>
              <w:lastRenderedPageBreak/>
              <w:t>składowanie i magazynowanie odpadów</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A3FE55" w14:textId="77777777" w:rsidR="000B7108" w:rsidRPr="001611DE"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27</w:t>
            </w:r>
          </w:p>
        </w:tc>
        <w:tc>
          <w:tcPr>
            <w:tcW w:w="105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60D441"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16 273 021,61 zł </w:t>
            </w:r>
          </w:p>
        </w:tc>
        <w:tc>
          <w:tcPr>
            <w:tcW w:w="8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BB7F21" w14:textId="77777777" w:rsidR="000B7108" w:rsidRPr="0069458A"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1</w:t>
            </w:r>
          </w:p>
        </w:tc>
        <w:tc>
          <w:tcPr>
            <w:tcW w:w="10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08F3B3"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2 163 840,00 zł </w:t>
            </w:r>
          </w:p>
        </w:tc>
      </w:tr>
      <w:tr w:rsidR="000B7108" w:rsidRPr="00C01883" w14:paraId="205D6FE9" w14:textId="77777777" w:rsidTr="007B13BE">
        <w:trPr>
          <w:cantSplit/>
        </w:trPr>
        <w:tc>
          <w:tcPr>
            <w:tcW w:w="1333" w:type="pct"/>
            <w:tcBorders>
              <w:top w:val="single" w:sz="4" w:space="0" w:color="auto"/>
              <w:left w:val="single" w:sz="8" w:space="0" w:color="auto"/>
              <w:bottom w:val="single" w:sz="8" w:space="0" w:color="auto"/>
              <w:right w:val="single" w:sz="8" w:space="0" w:color="auto"/>
            </w:tcBorders>
            <w:shd w:val="clear" w:color="auto" w:fill="auto"/>
            <w:vAlign w:val="center"/>
          </w:tcPr>
          <w:p w14:paraId="78377838" w14:textId="77777777" w:rsidR="000B7108" w:rsidRPr="00C01883" w:rsidRDefault="000B7108" w:rsidP="00056EE7">
            <w:pPr>
              <w:spacing w:after="0" w:line="300" w:lineRule="atLeast"/>
              <w:rPr>
                <w:rFonts w:ascii="Times New Roman" w:eastAsia="Times New Roman" w:hAnsi="Times New Roman" w:cs="Times New Roman"/>
                <w:color w:val="000000"/>
                <w:sz w:val="18"/>
                <w:szCs w:val="18"/>
                <w:lang w:eastAsia="pl-PL"/>
              </w:rPr>
            </w:pPr>
            <w:r w:rsidRPr="00C01883">
              <w:rPr>
                <w:rFonts w:ascii="Times New Roman" w:eastAsia="Times New Roman" w:hAnsi="Times New Roman" w:cs="Times New Roman"/>
                <w:color w:val="000000"/>
                <w:sz w:val="18"/>
                <w:szCs w:val="18"/>
                <w:lang w:eastAsia="pl-PL"/>
              </w:rPr>
              <w:t>nieprzestrzeganie przepisów o</w:t>
            </w:r>
            <w:r>
              <w:rPr>
                <w:rFonts w:ascii="Times New Roman" w:eastAsia="Times New Roman" w:hAnsi="Times New Roman" w:cs="Times New Roman"/>
                <w:color w:val="000000"/>
                <w:sz w:val="18"/>
                <w:szCs w:val="18"/>
                <w:lang w:eastAsia="pl-PL"/>
              </w:rPr>
              <w:t> </w:t>
            </w:r>
            <w:r w:rsidRPr="00C01883">
              <w:rPr>
                <w:rFonts w:ascii="Times New Roman" w:eastAsia="Times New Roman" w:hAnsi="Times New Roman" w:cs="Times New Roman"/>
                <w:color w:val="000000"/>
                <w:sz w:val="18"/>
                <w:szCs w:val="18"/>
                <w:lang w:eastAsia="pl-PL"/>
              </w:rPr>
              <w:t>systemie handlu uprawnieniami do emisji gazów cieplarnianych</w:t>
            </w:r>
            <w:r>
              <w:rPr>
                <w:rStyle w:val="Odwoanieprzypisudolnego"/>
                <w:color w:val="000000"/>
                <w:sz w:val="18"/>
                <w:szCs w:val="18"/>
                <w:lang w:eastAsia="pl-PL"/>
              </w:rPr>
              <w:footnoteReference w:id="56"/>
            </w:r>
          </w:p>
        </w:tc>
        <w:tc>
          <w:tcPr>
            <w:tcW w:w="776" w:type="pct"/>
            <w:tcBorders>
              <w:top w:val="single" w:sz="4" w:space="0" w:color="auto"/>
              <w:left w:val="nil"/>
              <w:bottom w:val="single" w:sz="8" w:space="0" w:color="auto"/>
              <w:right w:val="single" w:sz="8" w:space="0" w:color="auto"/>
            </w:tcBorders>
            <w:shd w:val="clear" w:color="auto" w:fill="auto"/>
            <w:vAlign w:val="center"/>
          </w:tcPr>
          <w:p w14:paraId="030BE313" w14:textId="77777777" w:rsidR="000B7108" w:rsidRPr="001611DE"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24</w:t>
            </w:r>
          </w:p>
        </w:tc>
        <w:tc>
          <w:tcPr>
            <w:tcW w:w="1057" w:type="pct"/>
            <w:tcBorders>
              <w:top w:val="single" w:sz="4" w:space="0" w:color="auto"/>
              <w:left w:val="nil"/>
              <w:bottom w:val="single" w:sz="8" w:space="0" w:color="auto"/>
              <w:right w:val="single" w:sz="8" w:space="0" w:color="auto"/>
            </w:tcBorders>
            <w:shd w:val="clear" w:color="auto" w:fill="auto"/>
            <w:vAlign w:val="center"/>
          </w:tcPr>
          <w:p w14:paraId="7A130493"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59 875 397,22 zł</w:t>
            </w:r>
          </w:p>
        </w:tc>
        <w:tc>
          <w:tcPr>
            <w:tcW w:w="822" w:type="pct"/>
            <w:tcBorders>
              <w:top w:val="single" w:sz="4" w:space="0" w:color="auto"/>
              <w:left w:val="nil"/>
              <w:bottom w:val="single" w:sz="8" w:space="0" w:color="auto"/>
              <w:right w:val="single" w:sz="8" w:space="0" w:color="auto"/>
            </w:tcBorders>
            <w:shd w:val="clear" w:color="auto" w:fill="auto"/>
            <w:noWrap/>
            <w:vAlign w:val="center"/>
          </w:tcPr>
          <w:p w14:paraId="46A36FD8" w14:textId="77777777" w:rsidR="000B7108" w:rsidRPr="0069458A"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4</w:t>
            </w:r>
          </w:p>
        </w:tc>
        <w:tc>
          <w:tcPr>
            <w:tcW w:w="1012" w:type="pct"/>
            <w:tcBorders>
              <w:top w:val="single" w:sz="4" w:space="0" w:color="auto"/>
              <w:left w:val="nil"/>
              <w:bottom w:val="single" w:sz="8" w:space="0" w:color="auto"/>
              <w:right w:val="single" w:sz="8" w:space="0" w:color="auto"/>
            </w:tcBorders>
            <w:shd w:val="clear" w:color="auto" w:fill="auto"/>
            <w:noWrap/>
            <w:vAlign w:val="center"/>
          </w:tcPr>
          <w:p w14:paraId="0706865E"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205 000,00 zł </w:t>
            </w:r>
          </w:p>
        </w:tc>
      </w:tr>
      <w:tr w:rsidR="000B7108" w:rsidRPr="00C01883" w14:paraId="66EC66F6" w14:textId="77777777" w:rsidTr="007B13BE">
        <w:trPr>
          <w:cantSplit/>
        </w:trPr>
        <w:tc>
          <w:tcPr>
            <w:tcW w:w="1333" w:type="pct"/>
            <w:tcBorders>
              <w:top w:val="nil"/>
              <w:left w:val="single" w:sz="8" w:space="0" w:color="auto"/>
              <w:bottom w:val="single" w:sz="8" w:space="0" w:color="auto"/>
              <w:right w:val="single" w:sz="8" w:space="0" w:color="auto"/>
            </w:tcBorders>
            <w:shd w:val="clear" w:color="auto" w:fill="auto"/>
            <w:vAlign w:val="center"/>
          </w:tcPr>
          <w:p w14:paraId="3B9AF41E" w14:textId="77777777" w:rsidR="000B7108" w:rsidRPr="00C01883" w:rsidRDefault="000B7108" w:rsidP="00056EE7">
            <w:pPr>
              <w:spacing w:after="0" w:line="300" w:lineRule="atLeast"/>
              <w:rPr>
                <w:rFonts w:ascii="Times New Roman" w:eastAsia="Times New Roman" w:hAnsi="Times New Roman" w:cs="Times New Roman"/>
                <w:color w:val="000000"/>
                <w:sz w:val="18"/>
                <w:szCs w:val="18"/>
                <w:lang w:eastAsia="pl-PL"/>
              </w:rPr>
            </w:pPr>
            <w:r w:rsidRPr="00C01883">
              <w:rPr>
                <w:rFonts w:ascii="Times New Roman" w:eastAsia="Times New Roman" w:hAnsi="Times New Roman" w:cs="Times New Roman"/>
                <w:color w:val="000000"/>
                <w:sz w:val="18"/>
                <w:szCs w:val="18"/>
                <w:lang w:eastAsia="pl-PL"/>
              </w:rPr>
              <w:t>przekroczenie dopuszczalnej ilości lub rodzaju gazów i</w:t>
            </w:r>
            <w:r>
              <w:rPr>
                <w:rFonts w:ascii="Times New Roman" w:eastAsia="Times New Roman" w:hAnsi="Times New Roman" w:cs="Times New Roman"/>
                <w:color w:val="000000"/>
                <w:sz w:val="18"/>
                <w:szCs w:val="18"/>
                <w:lang w:eastAsia="pl-PL"/>
              </w:rPr>
              <w:t> </w:t>
            </w:r>
            <w:r w:rsidRPr="00C01883">
              <w:rPr>
                <w:rFonts w:ascii="Times New Roman" w:eastAsia="Times New Roman" w:hAnsi="Times New Roman" w:cs="Times New Roman"/>
                <w:color w:val="000000"/>
                <w:sz w:val="18"/>
                <w:szCs w:val="18"/>
                <w:lang w:eastAsia="pl-PL"/>
              </w:rPr>
              <w:t>pyłów wprowadzanych do powietrza</w:t>
            </w:r>
          </w:p>
        </w:tc>
        <w:tc>
          <w:tcPr>
            <w:tcW w:w="776" w:type="pct"/>
            <w:tcBorders>
              <w:top w:val="nil"/>
              <w:left w:val="nil"/>
              <w:bottom w:val="single" w:sz="8" w:space="0" w:color="auto"/>
              <w:right w:val="single" w:sz="8" w:space="0" w:color="auto"/>
            </w:tcBorders>
            <w:shd w:val="clear" w:color="auto" w:fill="auto"/>
            <w:vAlign w:val="center"/>
          </w:tcPr>
          <w:p w14:paraId="4293FEC3" w14:textId="77777777" w:rsidR="000B7108" w:rsidRPr="001611DE"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21</w:t>
            </w:r>
          </w:p>
        </w:tc>
        <w:tc>
          <w:tcPr>
            <w:tcW w:w="1057" w:type="pct"/>
            <w:tcBorders>
              <w:top w:val="nil"/>
              <w:left w:val="nil"/>
              <w:bottom w:val="single" w:sz="8" w:space="0" w:color="auto"/>
              <w:right w:val="single" w:sz="8" w:space="0" w:color="auto"/>
            </w:tcBorders>
            <w:shd w:val="clear" w:color="auto" w:fill="auto"/>
            <w:vAlign w:val="center"/>
          </w:tcPr>
          <w:p w14:paraId="42A14CD7"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20 780 263,03 zł </w:t>
            </w:r>
          </w:p>
        </w:tc>
        <w:tc>
          <w:tcPr>
            <w:tcW w:w="822" w:type="pct"/>
            <w:tcBorders>
              <w:top w:val="nil"/>
              <w:left w:val="nil"/>
              <w:bottom w:val="single" w:sz="8" w:space="0" w:color="auto"/>
              <w:right w:val="single" w:sz="8" w:space="0" w:color="auto"/>
            </w:tcBorders>
            <w:shd w:val="clear" w:color="auto" w:fill="auto"/>
            <w:noWrap/>
            <w:vAlign w:val="center"/>
          </w:tcPr>
          <w:p w14:paraId="410DB151" w14:textId="77777777" w:rsidR="000B7108" w:rsidRPr="0069458A"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9</w:t>
            </w:r>
          </w:p>
        </w:tc>
        <w:tc>
          <w:tcPr>
            <w:tcW w:w="1012" w:type="pct"/>
            <w:tcBorders>
              <w:top w:val="nil"/>
              <w:left w:val="nil"/>
              <w:bottom w:val="single" w:sz="8" w:space="0" w:color="auto"/>
              <w:right w:val="single" w:sz="8" w:space="0" w:color="auto"/>
            </w:tcBorders>
            <w:shd w:val="clear" w:color="auto" w:fill="auto"/>
            <w:noWrap/>
            <w:vAlign w:val="center"/>
          </w:tcPr>
          <w:p w14:paraId="455848C4"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6 976 187,00 zł </w:t>
            </w:r>
          </w:p>
        </w:tc>
      </w:tr>
      <w:tr w:rsidR="000B7108" w:rsidRPr="00C01883" w14:paraId="71DFBE98" w14:textId="77777777" w:rsidTr="007B13BE">
        <w:trPr>
          <w:cantSplit/>
        </w:trPr>
        <w:tc>
          <w:tcPr>
            <w:tcW w:w="1333" w:type="pct"/>
            <w:tcBorders>
              <w:top w:val="nil"/>
              <w:left w:val="single" w:sz="8" w:space="0" w:color="auto"/>
              <w:bottom w:val="single" w:sz="8" w:space="0" w:color="auto"/>
              <w:right w:val="single" w:sz="8" w:space="0" w:color="auto"/>
            </w:tcBorders>
            <w:shd w:val="clear" w:color="auto" w:fill="auto"/>
            <w:vAlign w:val="center"/>
          </w:tcPr>
          <w:p w14:paraId="1636CA74" w14:textId="77777777" w:rsidR="000B7108" w:rsidRPr="00C01883" w:rsidRDefault="000B7108" w:rsidP="00056EE7">
            <w:pPr>
              <w:spacing w:after="0" w:line="300" w:lineRule="atLeast"/>
              <w:rPr>
                <w:rFonts w:ascii="Times New Roman" w:eastAsia="Times New Roman" w:hAnsi="Times New Roman" w:cs="Times New Roman"/>
                <w:color w:val="000000"/>
                <w:sz w:val="18"/>
                <w:szCs w:val="18"/>
                <w:lang w:eastAsia="pl-PL"/>
              </w:rPr>
            </w:pPr>
            <w:r w:rsidRPr="00C01883">
              <w:rPr>
                <w:rFonts w:ascii="Times New Roman" w:eastAsia="Times New Roman" w:hAnsi="Times New Roman" w:cs="Times New Roman"/>
                <w:color w:val="000000"/>
                <w:sz w:val="18"/>
                <w:szCs w:val="18"/>
                <w:lang w:eastAsia="pl-PL"/>
              </w:rPr>
              <w:t>nieprzestrzeganie przepisów z</w:t>
            </w:r>
            <w:r>
              <w:rPr>
                <w:rFonts w:ascii="Times New Roman" w:eastAsia="Times New Roman" w:hAnsi="Times New Roman" w:cs="Times New Roman"/>
                <w:color w:val="000000"/>
                <w:sz w:val="18"/>
                <w:szCs w:val="18"/>
                <w:lang w:eastAsia="pl-PL"/>
              </w:rPr>
              <w:t> </w:t>
            </w:r>
            <w:r w:rsidRPr="00C01883">
              <w:rPr>
                <w:rFonts w:ascii="Times New Roman" w:eastAsia="Times New Roman" w:hAnsi="Times New Roman" w:cs="Times New Roman"/>
                <w:color w:val="000000"/>
                <w:sz w:val="18"/>
                <w:szCs w:val="18"/>
                <w:lang w:eastAsia="pl-PL"/>
              </w:rPr>
              <w:t>zakresu gospodarki opakowaniami i odpadami opakowaniowymi</w:t>
            </w:r>
          </w:p>
        </w:tc>
        <w:tc>
          <w:tcPr>
            <w:tcW w:w="776" w:type="pct"/>
            <w:tcBorders>
              <w:top w:val="nil"/>
              <w:left w:val="nil"/>
              <w:bottom w:val="single" w:sz="8" w:space="0" w:color="auto"/>
              <w:right w:val="single" w:sz="8" w:space="0" w:color="auto"/>
            </w:tcBorders>
            <w:shd w:val="clear" w:color="auto" w:fill="auto"/>
            <w:vAlign w:val="center"/>
          </w:tcPr>
          <w:p w14:paraId="4F018ADF" w14:textId="77777777" w:rsidR="000B7108" w:rsidRPr="001611DE"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9</w:t>
            </w:r>
          </w:p>
        </w:tc>
        <w:tc>
          <w:tcPr>
            <w:tcW w:w="1057" w:type="pct"/>
            <w:tcBorders>
              <w:top w:val="nil"/>
              <w:left w:val="nil"/>
              <w:bottom w:val="single" w:sz="8" w:space="0" w:color="auto"/>
              <w:right w:val="single" w:sz="8" w:space="0" w:color="auto"/>
            </w:tcBorders>
            <w:shd w:val="clear" w:color="auto" w:fill="auto"/>
            <w:vAlign w:val="center"/>
          </w:tcPr>
          <w:p w14:paraId="093978D6"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231 516,58 zł </w:t>
            </w:r>
          </w:p>
        </w:tc>
        <w:tc>
          <w:tcPr>
            <w:tcW w:w="822" w:type="pct"/>
            <w:tcBorders>
              <w:top w:val="nil"/>
              <w:left w:val="nil"/>
              <w:bottom w:val="single" w:sz="8" w:space="0" w:color="auto"/>
              <w:right w:val="single" w:sz="8" w:space="0" w:color="auto"/>
            </w:tcBorders>
            <w:shd w:val="clear" w:color="auto" w:fill="auto"/>
            <w:noWrap/>
            <w:vAlign w:val="center"/>
          </w:tcPr>
          <w:p w14:paraId="7CDD6BD3" w14:textId="77777777" w:rsidR="000B7108" w:rsidRPr="0069458A"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4</w:t>
            </w:r>
          </w:p>
        </w:tc>
        <w:tc>
          <w:tcPr>
            <w:tcW w:w="1012" w:type="pct"/>
            <w:tcBorders>
              <w:top w:val="nil"/>
              <w:left w:val="nil"/>
              <w:bottom w:val="single" w:sz="8" w:space="0" w:color="auto"/>
              <w:right w:val="single" w:sz="8" w:space="0" w:color="auto"/>
            </w:tcBorders>
            <w:shd w:val="clear" w:color="auto" w:fill="auto"/>
            <w:noWrap/>
            <w:vAlign w:val="center"/>
          </w:tcPr>
          <w:p w14:paraId="557E85CC"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101 516,58 zł </w:t>
            </w:r>
          </w:p>
        </w:tc>
      </w:tr>
      <w:tr w:rsidR="000B7108" w:rsidRPr="00C01883" w14:paraId="76396F5F" w14:textId="77777777" w:rsidTr="007B13BE">
        <w:trPr>
          <w:cantSplit/>
        </w:trPr>
        <w:tc>
          <w:tcPr>
            <w:tcW w:w="1333" w:type="pct"/>
            <w:tcBorders>
              <w:top w:val="nil"/>
              <w:left w:val="single" w:sz="8" w:space="0" w:color="auto"/>
              <w:bottom w:val="single" w:sz="8" w:space="0" w:color="auto"/>
              <w:right w:val="single" w:sz="8" w:space="0" w:color="auto"/>
            </w:tcBorders>
            <w:shd w:val="clear" w:color="auto" w:fill="auto"/>
            <w:vAlign w:val="center"/>
          </w:tcPr>
          <w:p w14:paraId="2F9FC51B" w14:textId="77777777" w:rsidR="000B7108" w:rsidRPr="00C01883" w:rsidRDefault="000B7108" w:rsidP="00056EE7">
            <w:pPr>
              <w:spacing w:after="0" w:line="300" w:lineRule="atLeast"/>
              <w:rPr>
                <w:rFonts w:ascii="Times New Roman" w:eastAsia="Times New Roman" w:hAnsi="Times New Roman" w:cs="Times New Roman"/>
                <w:color w:val="000000"/>
                <w:sz w:val="18"/>
                <w:szCs w:val="18"/>
                <w:lang w:eastAsia="pl-PL"/>
              </w:rPr>
            </w:pPr>
            <w:r w:rsidRPr="00C01883">
              <w:rPr>
                <w:rFonts w:ascii="Times New Roman" w:eastAsia="Times New Roman" w:hAnsi="Times New Roman" w:cs="Times New Roman"/>
                <w:color w:val="000000"/>
                <w:sz w:val="18"/>
                <w:szCs w:val="18"/>
                <w:lang w:eastAsia="pl-PL"/>
              </w:rPr>
              <w:t>nieterminowe przedkładanie sprawozdania lub</w:t>
            </w:r>
            <w:r>
              <w:rPr>
                <w:rFonts w:ascii="Times New Roman" w:eastAsia="Times New Roman" w:hAnsi="Times New Roman" w:cs="Times New Roman"/>
                <w:color w:val="000000"/>
                <w:sz w:val="18"/>
                <w:szCs w:val="18"/>
                <w:lang w:eastAsia="pl-PL"/>
              </w:rPr>
              <w:t> </w:t>
            </w:r>
            <w:r w:rsidRPr="00C01883">
              <w:rPr>
                <w:rFonts w:ascii="Times New Roman" w:eastAsia="Times New Roman" w:hAnsi="Times New Roman" w:cs="Times New Roman"/>
                <w:color w:val="000000"/>
                <w:sz w:val="18"/>
                <w:szCs w:val="18"/>
                <w:lang w:eastAsia="pl-PL"/>
              </w:rPr>
              <w:t>niezapewnienie jakości przekazywanych danych – PRTR</w:t>
            </w:r>
          </w:p>
        </w:tc>
        <w:tc>
          <w:tcPr>
            <w:tcW w:w="776" w:type="pct"/>
            <w:tcBorders>
              <w:top w:val="nil"/>
              <w:left w:val="nil"/>
              <w:bottom w:val="single" w:sz="8" w:space="0" w:color="auto"/>
              <w:right w:val="single" w:sz="8" w:space="0" w:color="auto"/>
            </w:tcBorders>
            <w:shd w:val="clear" w:color="auto" w:fill="auto"/>
            <w:vAlign w:val="center"/>
          </w:tcPr>
          <w:p w14:paraId="1F596844" w14:textId="77777777" w:rsidR="000B7108" w:rsidRPr="001611DE"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5</w:t>
            </w:r>
          </w:p>
        </w:tc>
        <w:tc>
          <w:tcPr>
            <w:tcW w:w="1057" w:type="pct"/>
            <w:tcBorders>
              <w:top w:val="nil"/>
              <w:left w:val="nil"/>
              <w:bottom w:val="single" w:sz="8" w:space="0" w:color="auto"/>
              <w:right w:val="single" w:sz="8" w:space="0" w:color="auto"/>
            </w:tcBorders>
            <w:shd w:val="clear" w:color="auto" w:fill="auto"/>
            <w:vAlign w:val="center"/>
          </w:tcPr>
          <w:p w14:paraId="4401A8CF"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113 421,86 zł </w:t>
            </w:r>
          </w:p>
        </w:tc>
        <w:tc>
          <w:tcPr>
            <w:tcW w:w="822" w:type="pct"/>
            <w:tcBorders>
              <w:top w:val="nil"/>
              <w:left w:val="nil"/>
              <w:bottom w:val="single" w:sz="8" w:space="0" w:color="auto"/>
              <w:right w:val="single" w:sz="8" w:space="0" w:color="auto"/>
            </w:tcBorders>
            <w:shd w:val="clear" w:color="auto" w:fill="auto"/>
            <w:noWrap/>
            <w:vAlign w:val="center"/>
          </w:tcPr>
          <w:p w14:paraId="0EB5D835" w14:textId="77777777" w:rsidR="000B7108" w:rsidRPr="0069458A"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2</w:t>
            </w:r>
          </w:p>
        </w:tc>
        <w:tc>
          <w:tcPr>
            <w:tcW w:w="1012" w:type="pct"/>
            <w:tcBorders>
              <w:top w:val="nil"/>
              <w:left w:val="nil"/>
              <w:bottom w:val="single" w:sz="8" w:space="0" w:color="auto"/>
              <w:right w:val="single" w:sz="8" w:space="0" w:color="auto"/>
            </w:tcBorders>
            <w:shd w:val="clear" w:color="auto" w:fill="auto"/>
            <w:noWrap/>
            <w:vAlign w:val="center"/>
          </w:tcPr>
          <w:p w14:paraId="713415E9"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48 651,37 zł</w:t>
            </w:r>
          </w:p>
        </w:tc>
      </w:tr>
      <w:tr w:rsidR="000B7108" w:rsidRPr="00C01883" w14:paraId="2908E005" w14:textId="77777777" w:rsidTr="007B13BE">
        <w:trPr>
          <w:cantSplit/>
        </w:trPr>
        <w:tc>
          <w:tcPr>
            <w:tcW w:w="1333" w:type="pct"/>
            <w:tcBorders>
              <w:top w:val="nil"/>
              <w:left w:val="single" w:sz="8" w:space="0" w:color="auto"/>
              <w:bottom w:val="single" w:sz="8" w:space="0" w:color="auto"/>
              <w:right w:val="single" w:sz="8" w:space="0" w:color="auto"/>
            </w:tcBorders>
            <w:shd w:val="clear" w:color="auto" w:fill="auto"/>
            <w:vAlign w:val="center"/>
          </w:tcPr>
          <w:p w14:paraId="147286BA" w14:textId="77777777" w:rsidR="000B7108" w:rsidRPr="00C01883" w:rsidRDefault="000B7108" w:rsidP="00056EE7">
            <w:pPr>
              <w:spacing w:after="0" w:line="300" w:lineRule="atLeast"/>
              <w:rPr>
                <w:rFonts w:ascii="Times New Roman" w:eastAsia="Times New Roman" w:hAnsi="Times New Roman" w:cs="Times New Roman"/>
                <w:color w:val="000000"/>
                <w:sz w:val="18"/>
                <w:szCs w:val="18"/>
                <w:lang w:eastAsia="pl-PL"/>
              </w:rPr>
            </w:pPr>
            <w:r w:rsidRPr="00C01883">
              <w:rPr>
                <w:rFonts w:ascii="Times New Roman" w:eastAsia="Times New Roman" w:hAnsi="Times New Roman" w:cs="Times New Roman"/>
                <w:color w:val="000000"/>
                <w:sz w:val="18"/>
                <w:szCs w:val="18"/>
                <w:lang w:eastAsia="pl-PL"/>
              </w:rPr>
              <w:t>nieprzestrzeganie przepisów ustawy o bateriach i</w:t>
            </w:r>
            <w:r>
              <w:rPr>
                <w:rFonts w:ascii="Times New Roman" w:eastAsia="Times New Roman" w:hAnsi="Times New Roman" w:cs="Times New Roman"/>
                <w:color w:val="000000"/>
                <w:sz w:val="18"/>
                <w:szCs w:val="18"/>
                <w:lang w:eastAsia="pl-PL"/>
              </w:rPr>
              <w:t> </w:t>
            </w:r>
            <w:r w:rsidRPr="00C01883">
              <w:rPr>
                <w:rFonts w:ascii="Times New Roman" w:eastAsia="Times New Roman" w:hAnsi="Times New Roman" w:cs="Times New Roman"/>
                <w:color w:val="000000"/>
                <w:sz w:val="18"/>
                <w:szCs w:val="18"/>
                <w:lang w:eastAsia="pl-PL"/>
              </w:rPr>
              <w:t>akumulatorach</w:t>
            </w:r>
          </w:p>
        </w:tc>
        <w:tc>
          <w:tcPr>
            <w:tcW w:w="776" w:type="pct"/>
            <w:tcBorders>
              <w:top w:val="nil"/>
              <w:left w:val="nil"/>
              <w:bottom w:val="single" w:sz="8" w:space="0" w:color="auto"/>
              <w:right w:val="single" w:sz="8" w:space="0" w:color="auto"/>
            </w:tcBorders>
            <w:shd w:val="clear" w:color="auto" w:fill="auto"/>
            <w:noWrap/>
            <w:vAlign w:val="center"/>
          </w:tcPr>
          <w:p w14:paraId="08A740C0" w14:textId="77777777" w:rsidR="000B7108" w:rsidRPr="001611DE"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2</w:t>
            </w:r>
          </w:p>
        </w:tc>
        <w:tc>
          <w:tcPr>
            <w:tcW w:w="1057" w:type="pct"/>
            <w:tcBorders>
              <w:top w:val="nil"/>
              <w:left w:val="nil"/>
              <w:bottom w:val="single" w:sz="8" w:space="0" w:color="auto"/>
              <w:right w:val="single" w:sz="8" w:space="0" w:color="auto"/>
            </w:tcBorders>
            <w:shd w:val="clear" w:color="auto" w:fill="auto"/>
            <w:vAlign w:val="center"/>
          </w:tcPr>
          <w:p w14:paraId="136BBB8D"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4 549 266,90 zł </w:t>
            </w:r>
          </w:p>
        </w:tc>
        <w:tc>
          <w:tcPr>
            <w:tcW w:w="822" w:type="pct"/>
            <w:tcBorders>
              <w:top w:val="nil"/>
              <w:left w:val="nil"/>
              <w:bottom w:val="single" w:sz="8" w:space="0" w:color="auto"/>
              <w:right w:val="single" w:sz="8" w:space="0" w:color="auto"/>
            </w:tcBorders>
            <w:shd w:val="clear" w:color="auto" w:fill="auto"/>
            <w:noWrap/>
            <w:vAlign w:val="center"/>
          </w:tcPr>
          <w:p w14:paraId="2706D3BC" w14:textId="77777777" w:rsidR="000B7108" w:rsidRPr="0069458A"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0</w:t>
            </w:r>
          </w:p>
        </w:tc>
        <w:tc>
          <w:tcPr>
            <w:tcW w:w="1012" w:type="pct"/>
            <w:tcBorders>
              <w:top w:val="nil"/>
              <w:left w:val="nil"/>
              <w:bottom w:val="single" w:sz="8" w:space="0" w:color="auto"/>
              <w:right w:val="single" w:sz="8" w:space="0" w:color="auto"/>
            </w:tcBorders>
            <w:shd w:val="clear" w:color="auto" w:fill="auto"/>
            <w:vAlign w:val="center"/>
          </w:tcPr>
          <w:p w14:paraId="4BF5A006"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0,00 zł</w:t>
            </w:r>
          </w:p>
        </w:tc>
      </w:tr>
      <w:tr w:rsidR="000B7108" w:rsidRPr="00C01883" w14:paraId="4250D89B" w14:textId="77777777" w:rsidTr="007B13BE">
        <w:trPr>
          <w:cantSplit/>
        </w:trPr>
        <w:tc>
          <w:tcPr>
            <w:tcW w:w="1333" w:type="pct"/>
            <w:tcBorders>
              <w:top w:val="nil"/>
              <w:left w:val="single" w:sz="8" w:space="0" w:color="auto"/>
              <w:bottom w:val="single" w:sz="8" w:space="0" w:color="auto"/>
              <w:right w:val="single" w:sz="8" w:space="0" w:color="auto"/>
            </w:tcBorders>
            <w:shd w:val="clear" w:color="auto" w:fill="auto"/>
            <w:vAlign w:val="center"/>
          </w:tcPr>
          <w:p w14:paraId="5486F17D" w14:textId="77777777" w:rsidR="000B7108" w:rsidRPr="00C01883" w:rsidRDefault="000B7108" w:rsidP="00056EE7">
            <w:pPr>
              <w:spacing w:after="0" w:line="300" w:lineRule="atLeast"/>
              <w:rPr>
                <w:rFonts w:ascii="Times New Roman" w:eastAsia="Times New Roman" w:hAnsi="Times New Roman" w:cs="Times New Roman"/>
                <w:color w:val="000000"/>
                <w:sz w:val="18"/>
                <w:szCs w:val="18"/>
                <w:lang w:eastAsia="pl-PL"/>
              </w:rPr>
            </w:pPr>
            <w:r w:rsidRPr="00C01883">
              <w:rPr>
                <w:rFonts w:ascii="Times New Roman" w:eastAsia="Times New Roman" w:hAnsi="Times New Roman" w:cs="Times New Roman"/>
                <w:color w:val="000000"/>
                <w:sz w:val="18"/>
                <w:szCs w:val="18"/>
                <w:lang w:eastAsia="pl-PL"/>
              </w:rPr>
              <w:t>nieprzestrzeganie przepisów ustawy o lasach</w:t>
            </w:r>
          </w:p>
        </w:tc>
        <w:tc>
          <w:tcPr>
            <w:tcW w:w="776" w:type="pct"/>
            <w:tcBorders>
              <w:top w:val="nil"/>
              <w:left w:val="nil"/>
              <w:bottom w:val="single" w:sz="8" w:space="0" w:color="auto"/>
              <w:right w:val="single" w:sz="8" w:space="0" w:color="auto"/>
            </w:tcBorders>
            <w:shd w:val="clear" w:color="auto" w:fill="auto"/>
            <w:vAlign w:val="center"/>
          </w:tcPr>
          <w:p w14:paraId="57EB21CC" w14:textId="77777777" w:rsidR="000B7108" w:rsidRPr="001611DE"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1</w:t>
            </w:r>
          </w:p>
        </w:tc>
        <w:tc>
          <w:tcPr>
            <w:tcW w:w="1057" w:type="pct"/>
            <w:tcBorders>
              <w:top w:val="nil"/>
              <w:left w:val="nil"/>
              <w:bottom w:val="single" w:sz="8" w:space="0" w:color="auto"/>
              <w:right w:val="single" w:sz="8" w:space="0" w:color="auto"/>
            </w:tcBorders>
            <w:shd w:val="clear" w:color="auto" w:fill="auto"/>
            <w:vAlign w:val="center"/>
          </w:tcPr>
          <w:p w14:paraId="727C83B2"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5 000,00 zł </w:t>
            </w:r>
          </w:p>
        </w:tc>
        <w:tc>
          <w:tcPr>
            <w:tcW w:w="822" w:type="pct"/>
            <w:tcBorders>
              <w:top w:val="nil"/>
              <w:left w:val="nil"/>
              <w:bottom w:val="single" w:sz="8" w:space="0" w:color="auto"/>
              <w:right w:val="single" w:sz="8" w:space="0" w:color="auto"/>
            </w:tcBorders>
            <w:shd w:val="clear" w:color="auto" w:fill="auto"/>
            <w:noWrap/>
            <w:vAlign w:val="center"/>
          </w:tcPr>
          <w:p w14:paraId="2DD535C8" w14:textId="77777777" w:rsidR="000B7108" w:rsidRPr="0069458A"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0</w:t>
            </w:r>
          </w:p>
        </w:tc>
        <w:tc>
          <w:tcPr>
            <w:tcW w:w="1012" w:type="pct"/>
            <w:tcBorders>
              <w:top w:val="nil"/>
              <w:left w:val="nil"/>
              <w:bottom w:val="single" w:sz="8" w:space="0" w:color="auto"/>
              <w:right w:val="single" w:sz="8" w:space="0" w:color="auto"/>
            </w:tcBorders>
            <w:shd w:val="clear" w:color="auto" w:fill="auto"/>
            <w:noWrap/>
            <w:vAlign w:val="center"/>
          </w:tcPr>
          <w:p w14:paraId="677D05B5"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0,00 zł </w:t>
            </w:r>
          </w:p>
        </w:tc>
      </w:tr>
      <w:tr w:rsidR="003E4058" w:rsidRPr="00C01883" w14:paraId="1372AE0D" w14:textId="77777777" w:rsidTr="007B13BE">
        <w:trPr>
          <w:cantSplit/>
        </w:trPr>
        <w:tc>
          <w:tcPr>
            <w:tcW w:w="1333" w:type="pct"/>
            <w:tcBorders>
              <w:top w:val="nil"/>
              <w:left w:val="single" w:sz="8" w:space="0" w:color="auto"/>
              <w:bottom w:val="single" w:sz="8" w:space="0" w:color="auto"/>
              <w:right w:val="single" w:sz="8" w:space="0" w:color="auto"/>
            </w:tcBorders>
            <w:shd w:val="clear" w:color="auto" w:fill="auto"/>
            <w:vAlign w:val="center"/>
            <w:hideMark/>
          </w:tcPr>
          <w:p w14:paraId="329282B5" w14:textId="1C46B16C" w:rsidR="003E4058" w:rsidRPr="00B0406C" w:rsidRDefault="003E4058" w:rsidP="003E4058">
            <w:pPr>
              <w:spacing w:after="0" w:line="300" w:lineRule="atLeast"/>
              <w:rPr>
                <w:rFonts w:ascii="Times New Roman" w:eastAsia="Times New Roman" w:hAnsi="Times New Roman" w:cs="Times New Roman"/>
                <w:b/>
                <w:bCs/>
                <w:color w:val="000000"/>
                <w:sz w:val="18"/>
                <w:szCs w:val="18"/>
                <w:lang w:eastAsia="pl-PL"/>
              </w:rPr>
            </w:pPr>
            <w:r w:rsidRPr="00B0406C">
              <w:rPr>
                <w:rFonts w:ascii="Times New Roman" w:eastAsia="Times New Roman" w:hAnsi="Times New Roman" w:cs="Times New Roman"/>
                <w:b/>
                <w:bCs/>
                <w:color w:val="000000"/>
                <w:sz w:val="18"/>
                <w:szCs w:val="18"/>
                <w:lang w:eastAsia="pl-PL"/>
              </w:rPr>
              <w:t xml:space="preserve">Ogółem </w:t>
            </w:r>
            <w:r w:rsidR="00E72A65">
              <w:rPr>
                <w:rFonts w:ascii="Times New Roman" w:eastAsia="Times New Roman" w:hAnsi="Times New Roman" w:cs="Times New Roman"/>
                <w:b/>
                <w:bCs/>
                <w:color w:val="000000"/>
                <w:sz w:val="18"/>
                <w:szCs w:val="18"/>
                <w:lang w:eastAsia="pl-PL"/>
              </w:rPr>
              <w:t>–</w:t>
            </w:r>
            <w:r w:rsidRPr="00B0406C">
              <w:rPr>
                <w:rFonts w:ascii="Times New Roman" w:eastAsia="Times New Roman" w:hAnsi="Times New Roman" w:cs="Times New Roman"/>
                <w:b/>
                <w:bCs/>
                <w:color w:val="000000"/>
                <w:sz w:val="18"/>
                <w:szCs w:val="18"/>
                <w:lang w:eastAsia="pl-PL"/>
              </w:rPr>
              <w:t xml:space="preserve"> kary</w:t>
            </w:r>
          </w:p>
        </w:tc>
        <w:tc>
          <w:tcPr>
            <w:tcW w:w="776" w:type="pct"/>
            <w:tcBorders>
              <w:top w:val="nil"/>
              <w:left w:val="nil"/>
              <w:bottom w:val="single" w:sz="8" w:space="0" w:color="auto"/>
              <w:right w:val="single" w:sz="8" w:space="0" w:color="auto"/>
            </w:tcBorders>
            <w:shd w:val="clear" w:color="auto" w:fill="auto"/>
            <w:noWrap/>
            <w:vAlign w:val="center"/>
            <w:hideMark/>
          </w:tcPr>
          <w:p w14:paraId="39AD2FC6" w14:textId="3DE607AA" w:rsidR="003E4058" w:rsidRPr="001611DE" w:rsidRDefault="003E4058" w:rsidP="003E4058">
            <w:pPr>
              <w:spacing w:after="0" w:line="300" w:lineRule="atLeast"/>
              <w:jc w:val="center"/>
              <w:rPr>
                <w:rFonts w:ascii="Times New Roman" w:eastAsia="Times New Roman" w:hAnsi="Times New Roman" w:cs="Times New Roman"/>
                <w:b/>
                <w:color w:val="000000"/>
                <w:sz w:val="18"/>
                <w:szCs w:val="18"/>
                <w:lang w:eastAsia="pl-PL"/>
              </w:rPr>
            </w:pPr>
            <w:r w:rsidRPr="001611DE">
              <w:rPr>
                <w:rFonts w:ascii="Times New Roman" w:eastAsia="Times New Roman" w:hAnsi="Times New Roman" w:cs="Times New Roman"/>
                <w:b/>
                <w:color w:val="000000"/>
                <w:sz w:val="18"/>
                <w:szCs w:val="18"/>
                <w:lang w:eastAsia="pl-PL"/>
              </w:rPr>
              <w:t>2</w:t>
            </w:r>
            <w:r>
              <w:rPr>
                <w:rFonts w:ascii="Times New Roman" w:eastAsia="Times New Roman" w:hAnsi="Times New Roman" w:cs="Times New Roman"/>
                <w:b/>
                <w:color w:val="000000"/>
                <w:sz w:val="18"/>
                <w:szCs w:val="18"/>
                <w:lang w:eastAsia="pl-PL"/>
              </w:rPr>
              <w:t> </w:t>
            </w:r>
            <w:r w:rsidRPr="001611DE">
              <w:rPr>
                <w:rFonts w:ascii="Times New Roman" w:eastAsia="Times New Roman" w:hAnsi="Times New Roman" w:cs="Times New Roman"/>
                <w:b/>
                <w:color w:val="000000"/>
                <w:sz w:val="18"/>
                <w:szCs w:val="18"/>
                <w:lang w:eastAsia="pl-PL"/>
              </w:rPr>
              <w:t>00</w:t>
            </w:r>
            <w:r>
              <w:rPr>
                <w:rFonts w:ascii="Times New Roman" w:eastAsia="Times New Roman" w:hAnsi="Times New Roman" w:cs="Times New Roman"/>
                <w:b/>
                <w:color w:val="000000"/>
                <w:sz w:val="18"/>
                <w:szCs w:val="18"/>
                <w:lang w:eastAsia="pl-PL"/>
              </w:rPr>
              <w:t>8</w:t>
            </w:r>
          </w:p>
        </w:tc>
        <w:tc>
          <w:tcPr>
            <w:tcW w:w="1057" w:type="pct"/>
            <w:tcBorders>
              <w:top w:val="nil"/>
              <w:left w:val="nil"/>
              <w:bottom w:val="single" w:sz="8" w:space="0" w:color="auto"/>
              <w:right w:val="single" w:sz="8" w:space="0" w:color="auto"/>
            </w:tcBorders>
            <w:shd w:val="clear" w:color="auto" w:fill="auto"/>
            <w:noWrap/>
            <w:vAlign w:val="center"/>
            <w:hideMark/>
          </w:tcPr>
          <w:p w14:paraId="440E867C" w14:textId="3CC0D934" w:rsidR="003E4058" w:rsidRPr="001611DE" w:rsidRDefault="003E4058" w:rsidP="003E4058">
            <w:pPr>
              <w:spacing w:after="0" w:line="300" w:lineRule="atLeast"/>
              <w:jc w:val="right"/>
              <w:rPr>
                <w:rFonts w:ascii="Times New Roman" w:eastAsia="Times New Roman" w:hAnsi="Times New Roman" w:cs="Times New Roman"/>
                <w:b/>
                <w:color w:val="000000"/>
                <w:sz w:val="18"/>
                <w:szCs w:val="18"/>
                <w:lang w:eastAsia="pl-PL"/>
              </w:rPr>
            </w:pPr>
            <w:r w:rsidRPr="001611DE">
              <w:rPr>
                <w:rFonts w:ascii="Times New Roman" w:eastAsia="Times New Roman" w:hAnsi="Times New Roman" w:cs="Times New Roman"/>
                <w:b/>
                <w:color w:val="000000"/>
                <w:sz w:val="18"/>
                <w:szCs w:val="18"/>
                <w:lang w:eastAsia="pl-PL"/>
              </w:rPr>
              <w:t>187 88</w:t>
            </w:r>
            <w:r>
              <w:rPr>
                <w:rFonts w:ascii="Times New Roman" w:eastAsia="Times New Roman" w:hAnsi="Times New Roman" w:cs="Times New Roman"/>
                <w:b/>
                <w:color w:val="000000"/>
                <w:sz w:val="18"/>
                <w:szCs w:val="18"/>
                <w:lang w:eastAsia="pl-PL"/>
              </w:rPr>
              <w:t>4</w:t>
            </w:r>
            <w:r w:rsidRPr="001611DE">
              <w:rPr>
                <w:rFonts w:ascii="Times New Roman" w:eastAsia="Times New Roman" w:hAnsi="Times New Roman" w:cs="Times New Roman"/>
                <w:b/>
                <w:color w:val="000000"/>
                <w:sz w:val="18"/>
                <w:szCs w:val="18"/>
                <w:lang w:eastAsia="pl-PL"/>
              </w:rPr>
              <w:t xml:space="preserve"> 290,10 zł </w:t>
            </w:r>
          </w:p>
        </w:tc>
        <w:tc>
          <w:tcPr>
            <w:tcW w:w="822" w:type="pct"/>
            <w:tcBorders>
              <w:top w:val="nil"/>
              <w:left w:val="nil"/>
              <w:bottom w:val="single" w:sz="8" w:space="0" w:color="auto"/>
              <w:right w:val="single" w:sz="8" w:space="0" w:color="auto"/>
            </w:tcBorders>
            <w:shd w:val="clear" w:color="auto" w:fill="auto"/>
            <w:noWrap/>
            <w:vAlign w:val="center"/>
            <w:hideMark/>
          </w:tcPr>
          <w:p w14:paraId="7C4A2ECA" w14:textId="4D596E91" w:rsidR="003E4058" w:rsidRPr="001611DE" w:rsidRDefault="003E4058" w:rsidP="003E4058">
            <w:pPr>
              <w:spacing w:after="0" w:line="300" w:lineRule="atLeast"/>
              <w:jc w:val="center"/>
              <w:rPr>
                <w:rFonts w:ascii="Times New Roman" w:eastAsia="Times New Roman" w:hAnsi="Times New Roman" w:cs="Times New Roman"/>
                <w:b/>
                <w:color w:val="000000"/>
                <w:sz w:val="18"/>
                <w:szCs w:val="18"/>
                <w:lang w:eastAsia="pl-PL"/>
              </w:rPr>
            </w:pPr>
            <w:r w:rsidRPr="001611DE">
              <w:rPr>
                <w:rFonts w:ascii="Times New Roman" w:eastAsia="Times New Roman" w:hAnsi="Times New Roman" w:cs="Times New Roman"/>
                <w:b/>
                <w:color w:val="000000"/>
                <w:sz w:val="18"/>
                <w:szCs w:val="18"/>
                <w:lang w:eastAsia="pl-PL"/>
              </w:rPr>
              <w:t>43</w:t>
            </w:r>
            <w:r>
              <w:rPr>
                <w:rFonts w:ascii="Times New Roman" w:eastAsia="Times New Roman" w:hAnsi="Times New Roman" w:cs="Times New Roman"/>
                <w:b/>
                <w:color w:val="000000"/>
                <w:sz w:val="18"/>
                <w:szCs w:val="18"/>
                <w:lang w:eastAsia="pl-PL"/>
              </w:rPr>
              <w:t>3</w:t>
            </w:r>
          </w:p>
        </w:tc>
        <w:tc>
          <w:tcPr>
            <w:tcW w:w="1012" w:type="pct"/>
            <w:tcBorders>
              <w:top w:val="nil"/>
              <w:left w:val="nil"/>
              <w:bottom w:val="single" w:sz="8" w:space="0" w:color="auto"/>
              <w:right w:val="single" w:sz="8" w:space="0" w:color="auto"/>
            </w:tcBorders>
            <w:shd w:val="clear" w:color="auto" w:fill="auto"/>
            <w:noWrap/>
            <w:vAlign w:val="center"/>
            <w:hideMark/>
          </w:tcPr>
          <w:p w14:paraId="44F2033A" w14:textId="7AF37FDF" w:rsidR="003E4058" w:rsidRPr="001611DE" w:rsidRDefault="003E4058" w:rsidP="003E4058">
            <w:pPr>
              <w:spacing w:after="0" w:line="300" w:lineRule="atLeast"/>
              <w:jc w:val="right"/>
              <w:rPr>
                <w:rFonts w:ascii="Times New Roman" w:eastAsia="Times New Roman" w:hAnsi="Times New Roman" w:cs="Times New Roman"/>
                <w:b/>
                <w:color w:val="000000"/>
                <w:sz w:val="18"/>
                <w:szCs w:val="18"/>
                <w:lang w:eastAsia="pl-PL"/>
              </w:rPr>
            </w:pPr>
            <w:r w:rsidRPr="001611DE">
              <w:rPr>
                <w:rFonts w:ascii="Times New Roman" w:eastAsia="Times New Roman" w:hAnsi="Times New Roman" w:cs="Times New Roman"/>
                <w:b/>
                <w:color w:val="000000"/>
                <w:sz w:val="18"/>
                <w:szCs w:val="18"/>
                <w:lang w:eastAsia="pl-PL"/>
              </w:rPr>
              <w:t>24 07</w:t>
            </w:r>
            <w:r>
              <w:rPr>
                <w:rFonts w:ascii="Times New Roman" w:eastAsia="Times New Roman" w:hAnsi="Times New Roman" w:cs="Times New Roman"/>
                <w:b/>
                <w:color w:val="000000"/>
                <w:sz w:val="18"/>
                <w:szCs w:val="18"/>
                <w:lang w:eastAsia="pl-PL"/>
              </w:rPr>
              <w:t>6</w:t>
            </w:r>
            <w:r w:rsidRPr="001611DE">
              <w:rPr>
                <w:rFonts w:ascii="Times New Roman" w:eastAsia="Times New Roman" w:hAnsi="Times New Roman" w:cs="Times New Roman"/>
                <w:b/>
                <w:color w:val="000000"/>
                <w:sz w:val="18"/>
                <w:szCs w:val="18"/>
                <w:lang w:eastAsia="pl-PL"/>
              </w:rPr>
              <w:t xml:space="preserve"> 664,89 zł </w:t>
            </w:r>
          </w:p>
        </w:tc>
      </w:tr>
      <w:tr w:rsidR="000B7108" w:rsidRPr="00C01883" w14:paraId="62C0C105" w14:textId="77777777" w:rsidTr="007B13BE">
        <w:trPr>
          <w:cantSplit/>
        </w:trPr>
        <w:tc>
          <w:tcPr>
            <w:tcW w:w="13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18BE45E" w14:textId="77777777" w:rsidR="000B7108" w:rsidRPr="00C01883" w:rsidRDefault="000B7108" w:rsidP="00056EE7">
            <w:pPr>
              <w:spacing w:after="0" w:line="300" w:lineRule="atLeast"/>
              <w:rPr>
                <w:rFonts w:ascii="Times New Roman" w:eastAsia="Times New Roman" w:hAnsi="Times New Roman" w:cs="Times New Roman"/>
                <w:b/>
                <w:bCs/>
                <w:color w:val="000000"/>
                <w:sz w:val="18"/>
                <w:szCs w:val="18"/>
                <w:lang w:eastAsia="pl-PL"/>
              </w:rPr>
            </w:pPr>
            <w:r w:rsidRPr="00C01883">
              <w:rPr>
                <w:rFonts w:ascii="Times New Roman" w:eastAsia="Times New Roman" w:hAnsi="Times New Roman" w:cs="Times New Roman"/>
                <w:b/>
                <w:bCs/>
                <w:color w:val="000000"/>
                <w:sz w:val="18"/>
                <w:szCs w:val="18"/>
                <w:lang w:eastAsia="pl-PL"/>
              </w:rPr>
              <w:t>Opłaty</w:t>
            </w:r>
            <w:r>
              <w:rPr>
                <w:rFonts w:ascii="Times New Roman" w:eastAsia="Times New Roman" w:hAnsi="Times New Roman" w:cs="Times New Roman"/>
                <w:b/>
                <w:bCs/>
                <w:color w:val="000000"/>
                <w:sz w:val="18"/>
                <w:szCs w:val="18"/>
                <w:lang w:eastAsia="pl-PL"/>
              </w:rPr>
              <w:t xml:space="preserve"> oraz </w:t>
            </w:r>
            <w:r w:rsidRPr="00C01883">
              <w:rPr>
                <w:rFonts w:ascii="Times New Roman" w:eastAsia="Times New Roman" w:hAnsi="Times New Roman" w:cs="Times New Roman"/>
                <w:b/>
                <w:bCs/>
                <w:color w:val="000000"/>
                <w:sz w:val="18"/>
                <w:szCs w:val="18"/>
                <w:lang w:eastAsia="pl-PL"/>
              </w:rPr>
              <w:t>opłaty podwyższone niewyegzekwowane za:</w:t>
            </w:r>
          </w:p>
        </w:tc>
        <w:tc>
          <w:tcPr>
            <w:tcW w:w="776" w:type="pct"/>
            <w:tcBorders>
              <w:top w:val="nil"/>
              <w:left w:val="nil"/>
              <w:bottom w:val="single" w:sz="8" w:space="0" w:color="auto"/>
              <w:right w:val="single" w:sz="8" w:space="0" w:color="auto"/>
            </w:tcBorders>
            <w:shd w:val="clear" w:color="auto" w:fill="auto"/>
            <w:noWrap/>
            <w:vAlign w:val="center"/>
            <w:hideMark/>
          </w:tcPr>
          <w:p w14:paraId="5EC4B41A" w14:textId="77777777" w:rsidR="000B7108" w:rsidRPr="001611DE" w:rsidRDefault="000B7108" w:rsidP="00056EE7">
            <w:pPr>
              <w:spacing w:after="0" w:line="300" w:lineRule="atLeast"/>
              <w:jc w:val="center"/>
              <w:rPr>
                <w:rFonts w:ascii="Calibri" w:eastAsia="Times New Roman" w:hAnsi="Calibri" w:cs="Calibri"/>
                <w:color w:val="000000"/>
                <w:lang w:eastAsia="pl-PL"/>
              </w:rPr>
            </w:pPr>
            <w:r w:rsidRPr="001611DE">
              <w:rPr>
                <w:rFonts w:ascii="Calibri" w:eastAsia="Times New Roman" w:hAnsi="Calibri" w:cs="Calibri"/>
                <w:color w:val="000000"/>
                <w:lang w:eastAsia="pl-PL"/>
              </w:rPr>
              <w:t> </w:t>
            </w:r>
          </w:p>
        </w:tc>
        <w:tc>
          <w:tcPr>
            <w:tcW w:w="1057" w:type="pct"/>
            <w:tcBorders>
              <w:top w:val="nil"/>
              <w:left w:val="nil"/>
              <w:bottom w:val="single" w:sz="8" w:space="0" w:color="auto"/>
              <w:right w:val="single" w:sz="8" w:space="0" w:color="auto"/>
            </w:tcBorders>
            <w:shd w:val="clear" w:color="auto" w:fill="auto"/>
            <w:noWrap/>
            <w:vAlign w:val="center"/>
            <w:hideMark/>
          </w:tcPr>
          <w:p w14:paraId="3B3E2E00" w14:textId="77777777" w:rsidR="000B7108" w:rsidRPr="0069458A" w:rsidRDefault="000B7108" w:rsidP="00056EE7">
            <w:pPr>
              <w:spacing w:after="0" w:line="300" w:lineRule="atLeast"/>
              <w:jc w:val="right"/>
              <w:rPr>
                <w:rFonts w:ascii="Calibri" w:eastAsia="Times New Roman" w:hAnsi="Calibri" w:cs="Calibri"/>
                <w:color w:val="000000"/>
                <w:lang w:eastAsia="pl-PL"/>
              </w:rPr>
            </w:pPr>
            <w:r w:rsidRPr="0069458A">
              <w:rPr>
                <w:rFonts w:ascii="Calibri" w:eastAsia="Times New Roman" w:hAnsi="Calibri" w:cs="Calibri"/>
                <w:color w:val="000000"/>
                <w:lang w:eastAsia="pl-PL"/>
              </w:rPr>
              <w:t> </w:t>
            </w:r>
          </w:p>
        </w:tc>
        <w:tc>
          <w:tcPr>
            <w:tcW w:w="822" w:type="pct"/>
            <w:tcBorders>
              <w:top w:val="nil"/>
              <w:left w:val="nil"/>
              <w:bottom w:val="single" w:sz="8" w:space="0" w:color="auto"/>
              <w:right w:val="single" w:sz="8" w:space="0" w:color="auto"/>
            </w:tcBorders>
            <w:shd w:val="clear" w:color="auto" w:fill="auto"/>
            <w:noWrap/>
            <w:vAlign w:val="center"/>
            <w:hideMark/>
          </w:tcPr>
          <w:p w14:paraId="5B7786B2" w14:textId="77777777" w:rsidR="000B7108" w:rsidRPr="0069458A" w:rsidRDefault="000B7108" w:rsidP="00056EE7">
            <w:pPr>
              <w:spacing w:after="0" w:line="300" w:lineRule="atLeast"/>
              <w:jc w:val="center"/>
              <w:rPr>
                <w:rFonts w:ascii="Calibri" w:eastAsia="Times New Roman" w:hAnsi="Calibri" w:cs="Calibri"/>
                <w:color w:val="000000"/>
                <w:lang w:eastAsia="pl-PL"/>
              </w:rPr>
            </w:pPr>
            <w:r w:rsidRPr="0069458A">
              <w:rPr>
                <w:rFonts w:ascii="Calibri" w:eastAsia="Times New Roman" w:hAnsi="Calibri" w:cs="Calibri"/>
                <w:color w:val="000000"/>
                <w:lang w:eastAsia="pl-PL"/>
              </w:rPr>
              <w:t> </w:t>
            </w:r>
          </w:p>
        </w:tc>
        <w:tc>
          <w:tcPr>
            <w:tcW w:w="1012" w:type="pct"/>
            <w:tcBorders>
              <w:top w:val="nil"/>
              <w:left w:val="nil"/>
              <w:bottom w:val="single" w:sz="8" w:space="0" w:color="auto"/>
              <w:right w:val="single" w:sz="8" w:space="0" w:color="auto"/>
            </w:tcBorders>
            <w:shd w:val="clear" w:color="auto" w:fill="auto"/>
            <w:noWrap/>
            <w:vAlign w:val="center"/>
            <w:hideMark/>
          </w:tcPr>
          <w:p w14:paraId="13774C8F" w14:textId="77777777" w:rsidR="000B7108" w:rsidRPr="0069458A" w:rsidRDefault="000B7108" w:rsidP="00056EE7">
            <w:pPr>
              <w:spacing w:after="0" w:line="300" w:lineRule="atLeast"/>
              <w:jc w:val="right"/>
              <w:rPr>
                <w:rFonts w:ascii="Calibri" w:eastAsia="Times New Roman" w:hAnsi="Calibri" w:cs="Calibri"/>
                <w:color w:val="000000"/>
                <w:lang w:eastAsia="pl-PL"/>
              </w:rPr>
            </w:pPr>
            <w:r w:rsidRPr="0069458A">
              <w:rPr>
                <w:rFonts w:ascii="Calibri" w:eastAsia="Times New Roman" w:hAnsi="Calibri" w:cs="Calibri"/>
                <w:color w:val="000000"/>
                <w:lang w:eastAsia="pl-PL"/>
              </w:rPr>
              <w:t> </w:t>
            </w:r>
          </w:p>
        </w:tc>
      </w:tr>
      <w:tr w:rsidR="000B7108" w:rsidRPr="00C01883" w14:paraId="44131F4E" w14:textId="77777777" w:rsidTr="007B13BE">
        <w:trPr>
          <w:cantSplit/>
        </w:trPr>
        <w:tc>
          <w:tcPr>
            <w:tcW w:w="1333" w:type="pct"/>
            <w:tcBorders>
              <w:top w:val="nil"/>
              <w:left w:val="single" w:sz="8" w:space="0" w:color="auto"/>
              <w:bottom w:val="single" w:sz="8" w:space="0" w:color="auto"/>
              <w:right w:val="single" w:sz="8" w:space="0" w:color="auto"/>
            </w:tcBorders>
            <w:shd w:val="clear" w:color="auto" w:fill="auto"/>
            <w:vAlign w:val="center"/>
          </w:tcPr>
          <w:p w14:paraId="17B9CA11" w14:textId="77777777" w:rsidR="000B7108" w:rsidRPr="00C01883" w:rsidRDefault="000B7108" w:rsidP="00056EE7">
            <w:pPr>
              <w:spacing w:after="0" w:line="300" w:lineRule="atLeast"/>
              <w:rPr>
                <w:rFonts w:ascii="Times New Roman" w:eastAsia="Times New Roman" w:hAnsi="Times New Roman" w:cs="Times New Roman"/>
                <w:color w:val="000000"/>
                <w:sz w:val="18"/>
                <w:szCs w:val="18"/>
                <w:lang w:eastAsia="pl-PL"/>
              </w:rPr>
            </w:pPr>
            <w:r w:rsidRPr="00C01883">
              <w:rPr>
                <w:rFonts w:ascii="Times New Roman" w:eastAsia="Times New Roman" w:hAnsi="Times New Roman" w:cs="Times New Roman"/>
                <w:color w:val="000000"/>
                <w:sz w:val="18"/>
                <w:szCs w:val="18"/>
                <w:lang w:eastAsia="pl-PL"/>
              </w:rPr>
              <w:t>wprowadzanie do wód lub</w:t>
            </w:r>
            <w:r>
              <w:rPr>
                <w:rFonts w:ascii="Times New Roman" w:eastAsia="Times New Roman" w:hAnsi="Times New Roman" w:cs="Times New Roman"/>
                <w:color w:val="000000"/>
                <w:sz w:val="18"/>
                <w:szCs w:val="18"/>
                <w:lang w:eastAsia="pl-PL"/>
              </w:rPr>
              <w:t> </w:t>
            </w:r>
            <w:r w:rsidRPr="00C01883">
              <w:rPr>
                <w:rFonts w:ascii="Times New Roman" w:eastAsia="Times New Roman" w:hAnsi="Times New Roman" w:cs="Times New Roman"/>
                <w:color w:val="000000"/>
                <w:sz w:val="18"/>
                <w:szCs w:val="18"/>
                <w:lang w:eastAsia="pl-PL"/>
              </w:rPr>
              <w:t>do</w:t>
            </w:r>
            <w:r>
              <w:rPr>
                <w:rFonts w:ascii="Times New Roman" w:eastAsia="Times New Roman" w:hAnsi="Times New Roman" w:cs="Times New Roman"/>
                <w:color w:val="000000"/>
                <w:sz w:val="18"/>
                <w:szCs w:val="18"/>
                <w:lang w:eastAsia="pl-PL"/>
              </w:rPr>
              <w:t> </w:t>
            </w:r>
            <w:r w:rsidRPr="00C01883">
              <w:rPr>
                <w:rFonts w:ascii="Times New Roman" w:eastAsia="Times New Roman" w:hAnsi="Times New Roman" w:cs="Times New Roman"/>
                <w:color w:val="000000"/>
                <w:sz w:val="18"/>
                <w:szCs w:val="18"/>
                <w:lang w:eastAsia="pl-PL"/>
              </w:rPr>
              <w:t>ziemi ścieków z</w:t>
            </w:r>
            <w:r>
              <w:rPr>
                <w:rFonts w:ascii="Times New Roman" w:eastAsia="Times New Roman" w:hAnsi="Times New Roman" w:cs="Times New Roman"/>
                <w:color w:val="000000"/>
                <w:sz w:val="18"/>
                <w:szCs w:val="18"/>
                <w:lang w:eastAsia="pl-PL"/>
              </w:rPr>
              <w:t> </w:t>
            </w:r>
            <w:r w:rsidRPr="00C01883">
              <w:rPr>
                <w:rFonts w:ascii="Times New Roman" w:eastAsia="Times New Roman" w:hAnsi="Times New Roman" w:cs="Times New Roman"/>
                <w:color w:val="000000"/>
                <w:sz w:val="18"/>
                <w:szCs w:val="18"/>
                <w:lang w:eastAsia="pl-PL"/>
              </w:rPr>
              <w:t>przekroczeniem warunków określonych w pozwoleniu</w:t>
            </w:r>
          </w:p>
        </w:tc>
        <w:tc>
          <w:tcPr>
            <w:tcW w:w="776" w:type="pct"/>
            <w:tcBorders>
              <w:top w:val="nil"/>
              <w:left w:val="nil"/>
              <w:bottom w:val="single" w:sz="8" w:space="0" w:color="auto"/>
              <w:right w:val="single" w:sz="8" w:space="0" w:color="auto"/>
            </w:tcBorders>
            <w:shd w:val="clear" w:color="auto" w:fill="auto"/>
            <w:vAlign w:val="center"/>
          </w:tcPr>
          <w:p w14:paraId="4D899B35" w14:textId="77777777" w:rsidR="000B7108" w:rsidRPr="001611DE"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25</w:t>
            </w:r>
          </w:p>
        </w:tc>
        <w:tc>
          <w:tcPr>
            <w:tcW w:w="1057" w:type="pct"/>
            <w:tcBorders>
              <w:top w:val="nil"/>
              <w:left w:val="nil"/>
              <w:bottom w:val="single" w:sz="8" w:space="0" w:color="auto"/>
              <w:right w:val="single" w:sz="8" w:space="0" w:color="auto"/>
            </w:tcBorders>
            <w:shd w:val="clear" w:color="auto" w:fill="auto"/>
            <w:vAlign w:val="center"/>
          </w:tcPr>
          <w:p w14:paraId="33142077"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853 594,31 zł </w:t>
            </w:r>
          </w:p>
        </w:tc>
        <w:tc>
          <w:tcPr>
            <w:tcW w:w="822" w:type="pct"/>
            <w:tcBorders>
              <w:top w:val="nil"/>
              <w:left w:val="nil"/>
              <w:bottom w:val="single" w:sz="8" w:space="0" w:color="auto"/>
              <w:right w:val="single" w:sz="8" w:space="0" w:color="auto"/>
            </w:tcBorders>
            <w:shd w:val="clear" w:color="auto" w:fill="auto"/>
            <w:noWrap/>
            <w:vAlign w:val="center"/>
          </w:tcPr>
          <w:p w14:paraId="262E3166" w14:textId="77777777" w:rsidR="000B7108" w:rsidRPr="0069458A"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11</w:t>
            </w:r>
          </w:p>
        </w:tc>
        <w:tc>
          <w:tcPr>
            <w:tcW w:w="1012" w:type="pct"/>
            <w:tcBorders>
              <w:top w:val="nil"/>
              <w:left w:val="nil"/>
              <w:bottom w:val="single" w:sz="8" w:space="0" w:color="auto"/>
              <w:right w:val="single" w:sz="8" w:space="0" w:color="auto"/>
            </w:tcBorders>
            <w:shd w:val="clear" w:color="auto" w:fill="auto"/>
            <w:noWrap/>
            <w:vAlign w:val="center"/>
          </w:tcPr>
          <w:p w14:paraId="5529EA6C"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383 099,01 zł </w:t>
            </w:r>
          </w:p>
        </w:tc>
      </w:tr>
      <w:tr w:rsidR="000B7108" w:rsidRPr="00C01883" w14:paraId="7F7036CD" w14:textId="77777777" w:rsidTr="007B13BE">
        <w:trPr>
          <w:cantSplit/>
        </w:trPr>
        <w:tc>
          <w:tcPr>
            <w:tcW w:w="1333" w:type="pct"/>
            <w:tcBorders>
              <w:top w:val="nil"/>
              <w:left w:val="single" w:sz="8" w:space="0" w:color="auto"/>
              <w:bottom w:val="single" w:sz="8" w:space="0" w:color="auto"/>
              <w:right w:val="single" w:sz="8" w:space="0" w:color="auto"/>
            </w:tcBorders>
            <w:shd w:val="clear" w:color="auto" w:fill="auto"/>
            <w:vAlign w:val="center"/>
            <w:hideMark/>
          </w:tcPr>
          <w:p w14:paraId="2CA4C6A8" w14:textId="77777777" w:rsidR="000B7108" w:rsidRPr="00C01883" w:rsidRDefault="000B7108" w:rsidP="00056EE7">
            <w:pPr>
              <w:spacing w:after="0" w:line="300" w:lineRule="atLeast"/>
              <w:rPr>
                <w:rFonts w:ascii="Times New Roman" w:eastAsia="Times New Roman" w:hAnsi="Times New Roman" w:cs="Times New Roman"/>
                <w:color w:val="000000"/>
                <w:sz w:val="18"/>
                <w:szCs w:val="18"/>
                <w:lang w:eastAsia="pl-PL"/>
              </w:rPr>
            </w:pPr>
            <w:r w:rsidRPr="00C01883">
              <w:rPr>
                <w:rFonts w:ascii="Times New Roman" w:eastAsia="Times New Roman" w:hAnsi="Times New Roman" w:cs="Times New Roman"/>
                <w:color w:val="000000"/>
                <w:sz w:val="18"/>
                <w:szCs w:val="18"/>
                <w:lang w:eastAsia="pl-PL"/>
              </w:rPr>
              <w:t>nieprzestrzeganie przepisów w</w:t>
            </w:r>
            <w:r>
              <w:rPr>
                <w:rFonts w:ascii="Times New Roman" w:eastAsia="Times New Roman" w:hAnsi="Times New Roman" w:cs="Times New Roman"/>
                <w:color w:val="000000"/>
                <w:sz w:val="18"/>
                <w:szCs w:val="18"/>
                <w:lang w:eastAsia="pl-PL"/>
              </w:rPr>
              <w:t> </w:t>
            </w:r>
            <w:r w:rsidRPr="00C01883">
              <w:rPr>
                <w:rFonts w:ascii="Times New Roman" w:eastAsia="Times New Roman" w:hAnsi="Times New Roman" w:cs="Times New Roman"/>
                <w:color w:val="000000"/>
                <w:sz w:val="18"/>
                <w:szCs w:val="18"/>
                <w:lang w:eastAsia="pl-PL"/>
              </w:rPr>
              <w:t>zakresie ochrony wód przed zanieczyszczeniami azotanami pochodzącymi ze źródeł rolniczych</w:t>
            </w:r>
          </w:p>
        </w:tc>
        <w:tc>
          <w:tcPr>
            <w:tcW w:w="776" w:type="pct"/>
            <w:tcBorders>
              <w:top w:val="nil"/>
              <w:left w:val="nil"/>
              <w:bottom w:val="single" w:sz="8" w:space="0" w:color="auto"/>
              <w:right w:val="single" w:sz="8" w:space="0" w:color="auto"/>
            </w:tcBorders>
            <w:shd w:val="clear" w:color="auto" w:fill="auto"/>
            <w:vAlign w:val="center"/>
            <w:hideMark/>
          </w:tcPr>
          <w:p w14:paraId="4865F445" w14:textId="77777777" w:rsidR="000B7108" w:rsidRPr="001611DE"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19</w:t>
            </w:r>
          </w:p>
        </w:tc>
        <w:tc>
          <w:tcPr>
            <w:tcW w:w="1057" w:type="pct"/>
            <w:tcBorders>
              <w:top w:val="nil"/>
              <w:left w:val="nil"/>
              <w:bottom w:val="single" w:sz="8" w:space="0" w:color="auto"/>
              <w:right w:val="single" w:sz="8" w:space="0" w:color="auto"/>
            </w:tcBorders>
            <w:shd w:val="clear" w:color="auto" w:fill="auto"/>
            <w:vAlign w:val="center"/>
            <w:hideMark/>
          </w:tcPr>
          <w:p w14:paraId="0A58E1B9"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20 049,19 zł </w:t>
            </w:r>
          </w:p>
        </w:tc>
        <w:tc>
          <w:tcPr>
            <w:tcW w:w="822" w:type="pct"/>
            <w:tcBorders>
              <w:top w:val="nil"/>
              <w:left w:val="nil"/>
              <w:bottom w:val="single" w:sz="8" w:space="0" w:color="auto"/>
              <w:right w:val="single" w:sz="8" w:space="0" w:color="auto"/>
            </w:tcBorders>
            <w:shd w:val="clear" w:color="auto" w:fill="auto"/>
            <w:noWrap/>
            <w:vAlign w:val="center"/>
            <w:hideMark/>
          </w:tcPr>
          <w:p w14:paraId="0ED823D7" w14:textId="77777777" w:rsidR="000B7108" w:rsidRPr="0069458A"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11</w:t>
            </w:r>
          </w:p>
        </w:tc>
        <w:tc>
          <w:tcPr>
            <w:tcW w:w="1012" w:type="pct"/>
            <w:tcBorders>
              <w:top w:val="nil"/>
              <w:left w:val="nil"/>
              <w:bottom w:val="single" w:sz="8" w:space="0" w:color="auto"/>
              <w:right w:val="single" w:sz="8" w:space="0" w:color="auto"/>
            </w:tcBorders>
            <w:shd w:val="clear" w:color="auto" w:fill="auto"/>
            <w:noWrap/>
            <w:vAlign w:val="center"/>
            <w:hideMark/>
          </w:tcPr>
          <w:p w14:paraId="14E3BA56"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12 390,64 zł </w:t>
            </w:r>
          </w:p>
        </w:tc>
      </w:tr>
      <w:tr w:rsidR="000B7108" w:rsidRPr="00C01883" w14:paraId="76F34DFD" w14:textId="77777777" w:rsidTr="007B13BE">
        <w:trPr>
          <w:cantSplit/>
        </w:trPr>
        <w:tc>
          <w:tcPr>
            <w:tcW w:w="1333" w:type="pct"/>
            <w:tcBorders>
              <w:top w:val="nil"/>
              <w:left w:val="single" w:sz="8" w:space="0" w:color="auto"/>
              <w:bottom w:val="single" w:sz="8" w:space="0" w:color="auto"/>
              <w:right w:val="single" w:sz="8" w:space="0" w:color="auto"/>
            </w:tcBorders>
            <w:shd w:val="clear" w:color="auto" w:fill="auto"/>
            <w:vAlign w:val="center"/>
            <w:hideMark/>
          </w:tcPr>
          <w:p w14:paraId="0EF35435" w14:textId="77777777" w:rsidR="000B7108" w:rsidRPr="00C01883" w:rsidRDefault="000B7108" w:rsidP="00056EE7">
            <w:pPr>
              <w:spacing w:after="0" w:line="300" w:lineRule="atLeast"/>
              <w:rPr>
                <w:rFonts w:ascii="Times New Roman" w:eastAsia="Times New Roman" w:hAnsi="Times New Roman" w:cs="Times New Roman"/>
                <w:color w:val="000000"/>
                <w:sz w:val="18"/>
                <w:szCs w:val="18"/>
                <w:lang w:eastAsia="pl-PL"/>
              </w:rPr>
            </w:pPr>
            <w:r w:rsidRPr="00C01883">
              <w:rPr>
                <w:rFonts w:ascii="Times New Roman" w:eastAsia="Times New Roman" w:hAnsi="Times New Roman" w:cs="Times New Roman"/>
                <w:color w:val="000000"/>
                <w:sz w:val="18"/>
                <w:szCs w:val="18"/>
                <w:lang w:eastAsia="pl-PL"/>
              </w:rPr>
              <w:t>przekroczenie określonych warunków poboru wody</w:t>
            </w:r>
          </w:p>
        </w:tc>
        <w:tc>
          <w:tcPr>
            <w:tcW w:w="776" w:type="pct"/>
            <w:tcBorders>
              <w:top w:val="nil"/>
              <w:left w:val="nil"/>
              <w:bottom w:val="single" w:sz="8" w:space="0" w:color="auto"/>
              <w:right w:val="single" w:sz="8" w:space="0" w:color="auto"/>
            </w:tcBorders>
            <w:shd w:val="clear" w:color="auto" w:fill="auto"/>
            <w:vAlign w:val="center"/>
            <w:hideMark/>
          </w:tcPr>
          <w:p w14:paraId="27F220F0" w14:textId="77777777" w:rsidR="000B7108" w:rsidRPr="001611DE"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1611DE">
              <w:rPr>
                <w:rFonts w:ascii="Times New Roman" w:eastAsia="Times New Roman" w:hAnsi="Times New Roman" w:cs="Times New Roman"/>
                <w:color w:val="000000"/>
                <w:sz w:val="18"/>
                <w:szCs w:val="18"/>
                <w:lang w:eastAsia="pl-PL"/>
              </w:rPr>
              <w:t>5</w:t>
            </w:r>
          </w:p>
        </w:tc>
        <w:tc>
          <w:tcPr>
            <w:tcW w:w="1057" w:type="pct"/>
            <w:tcBorders>
              <w:top w:val="nil"/>
              <w:left w:val="nil"/>
              <w:bottom w:val="single" w:sz="8" w:space="0" w:color="auto"/>
              <w:right w:val="single" w:sz="8" w:space="0" w:color="auto"/>
            </w:tcBorders>
            <w:shd w:val="clear" w:color="auto" w:fill="auto"/>
            <w:vAlign w:val="center"/>
            <w:hideMark/>
          </w:tcPr>
          <w:p w14:paraId="0EE66D0F"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151 254,00 zł </w:t>
            </w:r>
          </w:p>
        </w:tc>
        <w:tc>
          <w:tcPr>
            <w:tcW w:w="822" w:type="pct"/>
            <w:tcBorders>
              <w:top w:val="nil"/>
              <w:left w:val="nil"/>
              <w:bottom w:val="single" w:sz="8" w:space="0" w:color="auto"/>
              <w:right w:val="single" w:sz="8" w:space="0" w:color="auto"/>
            </w:tcBorders>
            <w:shd w:val="clear" w:color="auto" w:fill="auto"/>
            <w:noWrap/>
            <w:vAlign w:val="center"/>
            <w:hideMark/>
          </w:tcPr>
          <w:p w14:paraId="38F29212" w14:textId="77777777" w:rsidR="000B7108" w:rsidRPr="0069458A" w:rsidRDefault="000B7108" w:rsidP="00056EE7">
            <w:pPr>
              <w:spacing w:after="0" w:line="300" w:lineRule="atLeast"/>
              <w:jc w:val="center"/>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0</w:t>
            </w:r>
          </w:p>
        </w:tc>
        <w:tc>
          <w:tcPr>
            <w:tcW w:w="1012" w:type="pct"/>
            <w:tcBorders>
              <w:top w:val="nil"/>
              <w:left w:val="nil"/>
              <w:bottom w:val="single" w:sz="8" w:space="0" w:color="auto"/>
              <w:right w:val="single" w:sz="8" w:space="0" w:color="auto"/>
            </w:tcBorders>
            <w:shd w:val="clear" w:color="auto" w:fill="auto"/>
            <w:noWrap/>
            <w:vAlign w:val="center"/>
            <w:hideMark/>
          </w:tcPr>
          <w:p w14:paraId="4CDA8A2A" w14:textId="77777777" w:rsidR="000B7108" w:rsidRPr="0069458A" w:rsidRDefault="000B7108" w:rsidP="00056EE7">
            <w:pPr>
              <w:spacing w:after="0" w:line="300" w:lineRule="atLeast"/>
              <w:jc w:val="right"/>
              <w:rPr>
                <w:rFonts w:ascii="Times New Roman" w:eastAsia="Times New Roman" w:hAnsi="Times New Roman" w:cs="Times New Roman"/>
                <w:color w:val="000000"/>
                <w:sz w:val="18"/>
                <w:szCs w:val="18"/>
                <w:lang w:eastAsia="pl-PL"/>
              </w:rPr>
            </w:pPr>
            <w:r w:rsidRPr="0069458A">
              <w:rPr>
                <w:rFonts w:ascii="Times New Roman" w:eastAsia="Times New Roman" w:hAnsi="Times New Roman" w:cs="Times New Roman"/>
                <w:color w:val="000000"/>
                <w:sz w:val="18"/>
                <w:szCs w:val="18"/>
                <w:lang w:eastAsia="pl-PL"/>
              </w:rPr>
              <w:t xml:space="preserve">0,00 zł </w:t>
            </w:r>
          </w:p>
        </w:tc>
      </w:tr>
      <w:tr w:rsidR="000B7108" w:rsidRPr="00C01883" w14:paraId="1D813E02" w14:textId="77777777" w:rsidTr="007B13BE">
        <w:trPr>
          <w:cantSplit/>
        </w:trPr>
        <w:tc>
          <w:tcPr>
            <w:tcW w:w="1333" w:type="pct"/>
            <w:tcBorders>
              <w:top w:val="nil"/>
              <w:left w:val="single" w:sz="8" w:space="0" w:color="auto"/>
              <w:bottom w:val="single" w:sz="8" w:space="0" w:color="auto"/>
              <w:right w:val="single" w:sz="8" w:space="0" w:color="auto"/>
            </w:tcBorders>
            <w:shd w:val="clear" w:color="auto" w:fill="auto"/>
            <w:vAlign w:val="center"/>
            <w:hideMark/>
          </w:tcPr>
          <w:p w14:paraId="6F03CFDA" w14:textId="77777777" w:rsidR="000B7108" w:rsidRPr="00C01883" w:rsidRDefault="000B7108" w:rsidP="00056EE7">
            <w:pPr>
              <w:spacing w:after="0" w:line="300" w:lineRule="atLeast"/>
              <w:rPr>
                <w:rFonts w:ascii="Times New Roman" w:eastAsia="Times New Roman" w:hAnsi="Times New Roman" w:cs="Times New Roman"/>
                <w:b/>
                <w:bCs/>
                <w:color w:val="000000"/>
                <w:sz w:val="18"/>
                <w:szCs w:val="18"/>
                <w:lang w:eastAsia="pl-PL"/>
              </w:rPr>
            </w:pPr>
            <w:r w:rsidRPr="00C01883">
              <w:rPr>
                <w:rFonts w:ascii="Times New Roman" w:eastAsia="Times New Roman" w:hAnsi="Times New Roman" w:cs="Times New Roman"/>
                <w:b/>
                <w:bCs/>
                <w:color w:val="000000"/>
                <w:sz w:val="18"/>
                <w:szCs w:val="18"/>
                <w:lang w:eastAsia="pl-PL"/>
              </w:rPr>
              <w:lastRenderedPageBreak/>
              <w:t xml:space="preserve">Ogółem </w:t>
            </w:r>
            <w:r>
              <w:rPr>
                <w:rFonts w:ascii="Times New Roman" w:eastAsia="Times New Roman" w:hAnsi="Times New Roman" w:cs="Times New Roman"/>
                <w:b/>
                <w:bCs/>
                <w:color w:val="000000"/>
                <w:sz w:val="18"/>
                <w:szCs w:val="18"/>
                <w:lang w:eastAsia="pl-PL"/>
              </w:rPr>
              <w:t>–</w:t>
            </w:r>
            <w:r w:rsidRPr="00C01883">
              <w:rPr>
                <w:rFonts w:ascii="Times New Roman" w:eastAsia="Times New Roman" w:hAnsi="Times New Roman" w:cs="Times New Roman"/>
                <w:b/>
                <w:bCs/>
                <w:color w:val="000000"/>
                <w:sz w:val="18"/>
                <w:szCs w:val="18"/>
                <w:lang w:eastAsia="pl-PL"/>
              </w:rPr>
              <w:t xml:space="preserve"> opłaty</w:t>
            </w:r>
            <w:r>
              <w:rPr>
                <w:rFonts w:ascii="Times New Roman" w:eastAsia="Times New Roman" w:hAnsi="Times New Roman" w:cs="Times New Roman"/>
                <w:b/>
                <w:bCs/>
                <w:color w:val="000000"/>
                <w:sz w:val="18"/>
                <w:szCs w:val="18"/>
                <w:lang w:eastAsia="pl-PL"/>
              </w:rPr>
              <w:t xml:space="preserve"> oraz </w:t>
            </w:r>
            <w:r w:rsidRPr="00C01883">
              <w:rPr>
                <w:rFonts w:ascii="Times New Roman" w:eastAsia="Times New Roman" w:hAnsi="Times New Roman" w:cs="Times New Roman"/>
                <w:b/>
                <w:bCs/>
                <w:color w:val="000000"/>
                <w:sz w:val="18"/>
                <w:szCs w:val="18"/>
                <w:lang w:eastAsia="pl-PL"/>
              </w:rPr>
              <w:t>opłaty podwyższone</w:t>
            </w:r>
          </w:p>
        </w:tc>
        <w:tc>
          <w:tcPr>
            <w:tcW w:w="776" w:type="pct"/>
            <w:tcBorders>
              <w:top w:val="nil"/>
              <w:left w:val="nil"/>
              <w:bottom w:val="single" w:sz="8" w:space="0" w:color="auto"/>
              <w:right w:val="single" w:sz="8" w:space="0" w:color="auto"/>
            </w:tcBorders>
            <w:shd w:val="clear" w:color="auto" w:fill="auto"/>
            <w:noWrap/>
            <w:vAlign w:val="center"/>
            <w:hideMark/>
          </w:tcPr>
          <w:p w14:paraId="0049E299" w14:textId="77777777" w:rsidR="000B7108" w:rsidRPr="001611DE" w:rsidRDefault="000B7108" w:rsidP="00056EE7">
            <w:pPr>
              <w:spacing w:after="0" w:line="300" w:lineRule="atLeast"/>
              <w:jc w:val="center"/>
              <w:rPr>
                <w:rFonts w:ascii="Times New Roman" w:eastAsia="Times New Roman" w:hAnsi="Times New Roman" w:cs="Times New Roman"/>
                <w:b/>
                <w:color w:val="000000"/>
                <w:sz w:val="18"/>
                <w:szCs w:val="18"/>
                <w:lang w:eastAsia="pl-PL"/>
              </w:rPr>
            </w:pPr>
            <w:r w:rsidRPr="001611DE">
              <w:rPr>
                <w:rFonts w:ascii="Times New Roman" w:eastAsia="Times New Roman" w:hAnsi="Times New Roman" w:cs="Times New Roman"/>
                <w:b/>
                <w:color w:val="000000"/>
                <w:sz w:val="18"/>
                <w:szCs w:val="18"/>
                <w:lang w:eastAsia="pl-PL"/>
              </w:rPr>
              <w:t>49</w:t>
            </w:r>
          </w:p>
        </w:tc>
        <w:tc>
          <w:tcPr>
            <w:tcW w:w="1057" w:type="pct"/>
            <w:tcBorders>
              <w:top w:val="nil"/>
              <w:left w:val="nil"/>
              <w:bottom w:val="single" w:sz="8" w:space="0" w:color="auto"/>
              <w:right w:val="single" w:sz="8" w:space="0" w:color="auto"/>
            </w:tcBorders>
            <w:shd w:val="clear" w:color="auto" w:fill="auto"/>
            <w:noWrap/>
            <w:vAlign w:val="center"/>
            <w:hideMark/>
          </w:tcPr>
          <w:p w14:paraId="2D86B990" w14:textId="77777777" w:rsidR="000B7108" w:rsidRPr="001611DE" w:rsidRDefault="000B7108" w:rsidP="00056EE7">
            <w:pPr>
              <w:spacing w:after="0" w:line="300" w:lineRule="atLeast"/>
              <w:jc w:val="right"/>
              <w:rPr>
                <w:rFonts w:ascii="Times New Roman" w:eastAsia="Times New Roman" w:hAnsi="Times New Roman" w:cs="Times New Roman"/>
                <w:b/>
                <w:color w:val="000000"/>
                <w:sz w:val="18"/>
                <w:szCs w:val="18"/>
                <w:lang w:eastAsia="pl-PL"/>
              </w:rPr>
            </w:pPr>
            <w:r w:rsidRPr="001611DE">
              <w:rPr>
                <w:rFonts w:ascii="Times New Roman" w:eastAsia="Times New Roman" w:hAnsi="Times New Roman" w:cs="Times New Roman"/>
                <w:b/>
                <w:color w:val="000000"/>
                <w:sz w:val="18"/>
                <w:szCs w:val="18"/>
                <w:lang w:eastAsia="pl-PL"/>
              </w:rPr>
              <w:t>1 024 897,50 zł</w:t>
            </w:r>
          </w:p>
        </w:tc>
        <w:tc>
          <w:tcPr>
            <w:tcW w:w="822" w:type="pct"/>
            <w:tcBorders>
              <w:top w:val="nil"/>
              <w:left w:val="nil"/>
              <w:bottom w:val="single" w:sz="8" w:space="0" w:color="auto"/>
              <w:right w:val="single" w:sz="8" w:space="0" w:color="auto"/>
            </w:tcBorders>
            <w:shd w:val="clear" w:color="auto" w:fill="auto"/>
            <w:noWrap/>
            <w:vAlign w:val="center"/>
            <w:hideMark/>
          </w:tcPr>
          <w:p w14:paraId="248982B6" w14:textId="77777777" w:rsidR="000B7108" w:rsidRPr="001611DE" w:rsidRDefault="000B7108" w:rsidP="00056EE7">
            <w:pPr>
              <w:spacing w:after="0" w:line="300" w:lineRule="atLeast"/>
              <w:jc w:val="center"/>
              <w:rPr>
                <w:rFonts w:ascii="Times New Roman" w:eastAsia="Times New Roman" w:hAnsi="Times New Roman" w:cs="Times New Roman"/>
                <w:b/>
                <w:color w:val="000000"/>
                <w:sz w:val="18"/>
                <w:szCs w:val="18"/>
                <w:lang w:eastAsia="pl-PL"/>
              </w:rPr>
            </w:pPr>
            <w:r w:rsidRPr="001611DE">
              <w:rPr>
                <w:rFonts w:ascii="Times New Roman" w:eastAsia="Times New Roman" w:hAnsi="Times New Roman" w:cs="Times New Roman"/>
                <w:b/>
                <w:color w:val="000000"/>
                <w:sz w:val="18"/>
                <w:szCs w:val="18"/>
                <w:lang w:eastAsia="pl-PL"/>
              </w:rPr>
              <w:t>22</w:t>
            </w:r>
          </w:p>
        </w:tc>
        <w:tc>
          <w:tcPr>
            <w:tcW w:w="1012" w:type="pct"/>
            <w:tcBorders>
              <w:top w:val="nil"/>
              <w:left w:val="nil"/>
              <w:bottom w:val="single" w:sz="8" w:space="0" w:color="auto"/>
              <w:right w:val="single" w:sz="8" w:space="0" w:color="auto"/>
            </w:tcBorders>
            <w:shd w:val="clear" w:color="auto" w:fill="auto"/>
            <w:noWrap/>
            <w:vAlign w:val="center"/>
            <w:hideMark/>
          </w:tcPr>
          <w:p w14:paraId="4A684739" w14:textId="77777777" w:rsidR="000B7108" w:rsidRPr="001611DE" w:rsidRDefault="000B7108" w:rsidP="00056EE7">
            <w:pPr>
              <w:spacing w:after="0" w:line="300" w:lineRule="atLeast"/>
              <w:jc w:val="right"/>
              <w:rPr>
                <w:rFonts w:ascii="Times New Roman" w:eastAsia="Times New Roman" w:hAnsi="Times New Roman" w:cs="Times New Roman"/>
                <w:b/>
                <w:color w:val="000000"/>
                <w:sz w:val="18"/>
                <w:szCs w:val="18"/>
                <w:lang w:eastAsia="pl-PL"/>
              </w:rPr>
            </w:pPr>
            <w:r w:rsidRPr="001611DE">
              <w:rPr>
                <w:rFonts w:ascii="Times New Roman" w:eastAsia="Times New Roman" w:hAnsi="Times New Roman" w:cs="Times New Roman"/>
                <w:b/>
                <w:color w:val="000000"/>
                <w:sz w:val="18"/>
                <w:szCs w:val="18"/>
                <w:lang w:eastAsia="pl-PL"/>
              </w:rPr>
              <w:t>395 489,65 zł</w:t>
            </w:r>
          </w:p>
        </w:tc>
      </w:tr>
      <w:tr w:rsidR="00F04AEC" w:rsidRPr="00C01883" w14:paraId="50E44729" w14:textId="77777777" w:rsidTr="007B13BE">
        <w:trPr>
          <w:cantSplit/>
        </w:trPr>
        <w:tc>
          <w:tcPr>
            <w:tcW w:w="1333" w:type="pct"/>
            <w:tcBorders>
              <w:top w:val="nil"/>
              <w:left w:val="single" w:sz="8" w:space="0" w:color="auto"/>
              <w:bottom w:val="single" w:sz="8" w:space="0" w:color="auto"/>
              <w:right w:val="single" w:sz="8" w:space="0" w:color="auto"/>
            </w:tcBorders>
            <w:shd w:val="clear" w:color="auto" w:fill="auto"/>
            <w:vAlign w:val="center"/>
            <w:hideMark/>
          </w:tcPr>
          <w:p w14:paraId="0234A693" w14:textId="77777777" w:rsidR="00F04AEC" w:rsidRPr="00C01883" w:rsidRDefault="00F04AEC" w:rsidP="00F04AEC">
            <w:pPr>
              <w:spacing w:after="0" w:line="300" w:lineRule="atLeast"/>
              <w:rPr>
                <w:rFonts w:ascii="Times New Roman" w:eastAsia="Times New Roman" w:hAnsi="Times New Roman" w:cs="Times New Roman"/>
                <w:b/>
                <w:bCs/>
                <w:color w:val="000000"/>
                <w:sz w:val="18"/>
                <w:szCs w:val="18"/>
                <w:lang w:eastAsia="pl-PL"/>
              </w:rPr>
            </w:pPr>
            <w:r w:rsidRPr="00C01883">
              <w:rPr>
                <w:rFonts w:ascii="Times New Roman" w:eastAsia="Times New Roman" w:hAnsi="Times New Roman" w:cs="Times New Roman"/>
                <w:b/>
                <w:bCs/>
                <w:color w:val="000000"/>
                <w:sz w:val="18"/>
                <w:szCs w:val="18"/>
                <w:lang w:eastAsia="pl-PL"/>
              </w:rPr>
              <w:t>Ogółem</w:t>
            </w:r>
          </w:p>
        </w:tc>
        <w:tc>
          <w:tcPr>
            <w:tcW w:w="776" w:type="pct"/>
            <w:tcBorders>
              <w:top w:val="nil"/>
              <w:left w:val="nil"/>
              <w:bottom w:val="single" w:sz="8" w:space="0" w:color="auto"/>
              <w:right w:val="single" w:sz="8" w:space="0" w:color="auto"/>
            </w:tcBorders>
            <w:shd w:val="clear" w:color="auto" w:fill="auto"/>
            <w:noWrap/>
            <w:vAlign w:val="center"/>
            <w:hideMark/>
          </w:tcPr>
          <w:p w14:paraId="38E712B2" w14:textId="4FA6B948" w:rsidR="00F04AEC" w:rsidRPr="001611DE" w:rsidRDefault="00F04AEC" w:rsidP="00F04AEC">
            <w:pPr>
              <w:spacing w:after="0" w:line="300" w:lineRule="atLeast"/>
              <w:jc w:val="center"/>
              <w:rPr>
                <w:rFonts w:ascii="Times New Roman" w:eastAsia="Times New Roman" w:hAnsi="Times New Roman" w:cs="Times New Roman"/>
                <w:b/>
                <w:color w:val="000000"/>
                <w:sz w:val="18"/>
                <w:szCs w:val="18"/>
                <w:lang w:eastAsia="pl-PL"/>
              </w:rPr>
            </w:pPr>
            <w:r w:rsidRPr="001611DE">
              <w:rPr>
                <w:rFonts w:ascii="Times New Roman" w:eastAsia="Times New Roman" w:hAnsi="Times New Roman" w:cs="Times New Roman"/>
                <w:b/>
                <w:color w:val="000000"/>
                <w:sz w:val="18"/>
                <w:szCs w:val="18"/>
                <w:lang w:eastAsia="pl-PL"/>
              </w:rPr>
              <w:t>2</w:t>
            </w:r>
            <w:r>
              <w:rPr>
                <w:rFonts w:ascii="Times New Roman" w:eastAsia="Times New Roman" w:hAnsi="Times New Roman" w:cs="Times New Roman"/>
                <w:b/>
                <w:color w:val="000000"/>
                <w:sz w:val="18"/>
                <w:szCs w:val="18"/>
                <w:lang w:eastAsia="pl-PL"/>
              </w:rPr>
              <w:t> </w:t>
            </w:r>
            <w:r w:rsidRPr="001611DE">
              <w:rPr>
                <w:rFonts w:ascii="Times New Roman" w:eastAsia="Times New Roman" w:hAnsi="Times New Roman" w:cs="Times New Roman"/>
                <w:b/>
                <w:color w:val="000000"/>
                <w:sz w:val="18"/>
                <w:szCs w:val="18"/>
                <w:lang w:eastAsia="pl-PL"/>
              </w:rPr>
              <w:t>05</w:t>
            </w:r>
            <w:r>
              <w:rPr>
                <w:rFonts w:ascii="Times New Roman" w:eastAsia="Times New Roman" w:hAnsi="Times New Roman" w:cs="Times New Roman"/>
                <w:b/>
                <w:color w:val="000000"/>
                <w:sz w:val="18"/>
                <w:szCs w:val="18"/>
                <w:lang w:eastAsia="pl-PL"/>
              </w:rPr>
              <w:t>7</w:t>
            </w:r>
          </w:p>
        </w:tc>
        <w:tc>
          <w:tcPr>
            <w:tcW w:w="1057" w:type="pct"/>
            <w:tcBorders>
              <w:top w:val="nil"/>
              <w:left w:val="nil"/>
              <w:bottom w:val="single" w:sz="8" w:space="0" w:color="auto"/>
              <w:right w:val="single" w:sz="8" w:space="0" w:color="auto"/>
            </w:tcBorders>
            <w:shd w:val="clear" w:color="auto" w:fill="auto"/>
            <w:noWrap/>
            <w:vAlign w:val="center"/>
            <w:hideMark/>
          </w:tcPr>
          <w:p w14:paraId="13C50079" w14:textId="0B928F72" w:rsidR="00F04AEC" w:rsidRPr="001611DE" w:rsidRDefault="00F04AEC" w:rsidP="00F04AEC">
            <w:pPr>
              <w:spacing w:after="0" w:line="300" w:lineRule="atLeast"/>
              <w:jc w:val="right"/>
              <w:rPr>
                <w:rFonts w:ascii="Times New Roman" w:eastAsia="Times New Roman" w:hAnsi="Times New Roman" w:cs="Times New Roman"/>
                <w:b/>
                <w:color w:val="000000"/>
                <w:sz w:val="18"/>
                <w:szCs w:val="18"/>
                <w:lang w:eastAsia="pl-PL"/>
              </w:rPr>
            </w:pPr>
            <w:r w:rsidRPr="001611DE">
              <w:rPr>
                <w:rFonts w:ascii="Times New Roman" w:eastAsia="Times New Roman" w:hAnsi="Times New Roman" w:cs="Times New Roman"/>
                <w:b/>
                <w:color w:val="000000"/>
                <w:sz w:val="18"/>
                <w:szCs w:val="18"/>
                <w:lang w:eastAsia="pl-PL"/>
              </w:rPr>
              <w:t>188 90</w:t>
            </w:r>
            <w:r>
              <w:rPr>
                <w:rFonts w:ascii="Times New Roman" w:eastAsia="Times New Roman" w:hAnsi="Times New Roman" w:cs="Times New Roman"/>
                <w:b/>
                <w:color w:val="000000"/>
                <w:sz w:val="18"/>
                <w:szCs w:val="18"/>
                <w:lang w:eastAsia="pl-PL"/>
              </w:rPr>
              <w:t>9</w:t>
            </w:r>
            <w:r w:rsidRPr="001611DE">
              <w:rPr>
                <w:rFonts w:ascii="Times New Roman" w:eastAsia="Times New Roman" w:hAnsi="Times New Roman" w:cs="Times New Roman"/>
                <w:b/>
                <w:color w:val="000000"/>
                <w:sz w:val="18"/>
                <w:szCs w:val="18"/>
                <w:lang w:eastAsia="pl-PL"/>
              </w:rPr>
              <w:t xml:space="preserve"> 187,60 zł </w:t>
            </w:r>
          </w:p>
        </w:tc>
        <w:tc>
          <w:tcPr>
            <w:tcW w:w="822" w:type="pct"/>
            <w:tcBorders>
              <w:top w:val="nil"/>
              <w:left w:val="nil"/>
              <w:bottom w:val="single" w:sz="8" w:space="0" w:color="auto"/>
              <w:right w:val="single" w:sz="8" w:space="0" w:color="auto"/>
            </w:tcBorders>
            <w:shd w:val="clear" w:color="auto" w:fill="auto"/>
            <w:noWrap/>
            <w:vAlign w:val="center"/>
            <w:hideMark/>
          </w:tcPr>
          <w:p w14:paraId="07AFE938" w14:textId="5CCE7A8F" w:rsidR="00F04AEC" w:rsidRPr="001611DE" w:rsidRDefault="00F04AEC" w:rsidP="00F04AEC">
            <w:pPr>
              <w:spacing w:after="0" w:line="300" w:lineRule="atLeast"/>
              <w:jc w:val="center"/>
              <w:rPr>
                <w:rFonts w:ascii="Times New Roman" w:eastAsia="Times New Roman" w:hAnsi="Times New Roman" w:cs="Times New Roman"/>
                <w:b/>
                <w:color w:val="000000"/>
                <w:sz w:val="18"/>
                <w:szCs w:val="18"/>
                <w:lang w:eastAsia="pl-PL"/>
              </w:rPr>
            </w:pPr>
            <w:r w:rsidRPr="001611DE">
              <w:rPr>
                <w:rFonts w:ascii="Times New Roman" w:eastAsia="Times New Roman" w:hAnsi="Times New Roman" w:cs="Times New Roman"/>
                <w:b/>
                <w:color w:val="000000"/>
                <w:sz w:val="18"/>
                <w:szCs w:val="18"/>
                <w:lang w:eastAsia="pl-PL"/>
              </w:rPr>
              <w:t>45</w:t>
            </w:r>
            <w:r>
              <w:rPr>
                <w:rFonts w:ascii="Times New Roman" w:eastAsia="Times New Roman" w:hAnsi="Times New Roman" w:cs="Times New Roman"/>
                <w:b/>
                <w:color w:val="000000"/>
                <w:sz w:val="18"/>
                <w:szCs w:val="18"/>
                <w:lang w:eastAsia="pl-PL"/>
              </w:rPr>
              <w:t>5</w:t>
            </w:r>
          </w:p>
        </w:tc>
        <w:tc>
          <w:tcPr>
            <w:tcW w:w="1012" w:type="pct"/>
            <w:tcBorders>
              <w:top w:val="nil"/>
              <w:left w:val="nil"/>
              <w:bottom w:val="single" w:sz="8" w:space="0" w:color="auto"/>
              <w:right w:val="single" w:sz="8" w:space="0" w:color="auto"/>
            </w:tcBorders>
            <w:shd w:val="clear" w:color="auto" w:fill="auto"/>
            <w:noWrap/>
            <w:vAlign w:val="center"/>
            <w:hideMark/>
          </w:tcPr>
          <w:p w14:paraId="0292B2DC" w14:textId="1BF9A541" w:rsidR="00F04AEC" w:rsidRPr="001611DE" w:rsidRDefault="00F04AEC" w:rsidP="00F04AEC">
            <w:pPr>
              <w:spacing w:after="0" w:line="300" w:lineRule="atLeast"/>
              <w:jc w:val="right"/>
              <w:rPr>
                <w:rFonts w:ascii="Times New Roman" w:eastAsia="Times New Roman" w:hAnsi="Times New Roman" w:cs="Times New Roman"/>
                <w:b/>
                <w:color w:val="000000"/>
                <w:sz w:val="18"/>
                <w:szCs w:val="18"/>
                <w:lang w:eastAsia="pl-PL"/>
              </w:rPr>
            </w:pPr>
            <w:r w:rsidRPr="001611DE">
              <w:rPr>
                <w:rFonts w:ascii="Times New Roman" w:eastAsia="Times New Roman" w:hAnsi="Times New Roman" w:cs="Times New Roman"/>
                <w:b/>
                <w:color w:val="000000"/>
                <w:sz w:val="18"/>
                <w:szCs w:val="18"/>
                <w:lang w:eastAsia="pl-PL"/>
              </w:rPr>
              <w:t>24 47</w:t>
            </w:r>
            <w:r>
              <w:rPr>
                <w:rFonts w:ascii="Times New Roman" w:eastAsia="Times New Roman" w:hAnsi="Times New Roman" w:cs="Times New Roman"/>
                <w:b/>
                <w:color w:val="000000"/>
                <w:sz w:val="18"/>
                <w:szCs w:val="18"/>
                <w:lang w:eastAsia="pl-PL"/>
              </w:rPr>
              <w:t>2</w:t>
            </w:r>
            <w:r w:rsidRPr="001611DE">
              <w:rPr>
                <w:rFonts w:ascii="Times New Roman" w:eastAsia="Times New Roman" w:hAnsi="Times New Roman" w:cs="Times New Roman"/>
                <w:b/>
                <w:color w:val="000000"/>
                <w:sz w:val="18"/>
                <w:szCs w:val="18"/>
                <w:lang w:eastAsia="pl-PL"/>
              </w:rPr>
              <w:t xml:space="preserve"> 154,54 zł </w:t>
            </w:r>
          </w:p>
        </w:tc>
      </w:tr>
    </w:tbl>
    <w:p w14:paraId="4120D118" w14:textId="48FF67BD" w:rsidR="00895F16" w:rsidRPr="007F400A" w:rsidRDefault="000B7108" w:rsidP="00FE6A46">
      <w:pPr>
        <w:spacing w:before="120" w:after="0" w:line="300" w:lineRule="atLeast"/>
        <w:ind w:firstLine="567"/>
        <w:jc w:val="both"/>
        <w:rPr>
          <w:rFonts w:ascii="Times New Roman" w:eastAsia="Calibri" w:hAnsi="Times New Roman" w:cs="Times New Roman"/>
          <w:bCs/>
          <w:sz w:val="24"/>
          <w:szCs w:val="20"/>
          <w:lang w:eastAsia="pl-PL"/>
        </w:rPr>
      </w:pPr>
      <w:r w:rsidRPr="007F400A">
        <w:rPr>
          <w:rFonts w:ascii="Times New Roman" w:hAnsi="Times New Roman" w:cs="Times New Roman"/>
          <w:bCs/>
          <w:sz w:val="24"/>
        </w:rPr>
        <w:t>Główną przyczyną nieskutecznej egzekucji administracyjnych kar pieniężnych nakładanych przez Inspekcję Ochrony Środowiska jest ogłoszenie upadłości przez dłużników</w:t>
      </w:r>
      <w:r w:rsidR="00895F16" w:rsidRPr="007F400A">
        <w:rPr>
          <w:rFonts w:ascii="Times New Roman" w:eastAsia="Calibri" w:hAnsi="Times New Roman" w:cs="Times New Roman"/>
          <w:bCs/>
          <w:sz w:val="24"/>
          <w:szCs w:val="20"/>
          <w:lang w:eastAsia="pl-PL"/>
        </w:rPr>
        <w:t>.</w:t>
      </w:r>
    </w:p>
    <w:p w14:paraId="23025765" w14:textId="77777777" w:rsidR="00895F16" w:rsidRPr="007F400A" w:rsidRDefault="00895F16" w:rsidP="00056EE7">
      <w:pPr>
        <w:tabs>
          <w:tab w:val="left" w:pos="142"/>
        </w:tabs>
        <w:spacing w:before="120" w:after="0" w:line="300" w:lineRule="atLeast"/>
        <w:contextualSpacing/>
        <w:jc w:val="both"/>
        <w:rPr>
          <w:rFonts w:ascii="Times New Roman" w:eastAsia="Times New Roman" w:hAnsi="Times New Roman" w:cs="Times New Roman"/>
          <w:bCs/>
          <w:sz w:val="28"/>
          <w:szCs w:val="20"/>
          <w:lang w:eastAsia="pl-PL"/>
        </w:rPr>
      </w:pPr>
    </w:p>
    <w:p w14:paraId="2BDF70B8" w14:textId="77777777" w:rsidR="00895F16" w:rsidRPr="007F400A" w:rsidRDefault="00895F16" w:rsidP="00056EE7">
      <w:pPr>
        <w:keepNext/>
        <w:spacing w:after="120" w:line="300" w:lineRule="atLeast"/>
        <w:outlineLvl w:val="0"/>
        <w:rPr>
          <w:rFonts w:ascii="Times New Roman" w:eastAsia="Times New Roman" w:hAnsi="Times New Roman" w:cs="Times New Roman"/>
          <w:b/>
          <w:bCs/>
          <w:sz w:val="24"/>
          <w:szCs w:val="24"/>
          <w:lang w:val="x-none" w:eastAsia="x-none"/>
        </w:rPr>
      </w:pPr>
      <w:bookmarkStart w:id="231" w:name="_Toc515437533"/>
      <w:bookmarkStart w:id="232" w:name="_Toc5878581"/>
      <w:bookmarkStart w:id="233" w:name="_Toc36732604"/>
      <w:bookmarkStart w:id="234" w:name="_Toc135935642"/>
      <w:r w:rsidRPr="007F400A">
        <w:rPr>
          <w:rFonts w:ascii="Times New Roman" w:eastAsia="Times New Roman" w:hAnsi="Times New Roman" w:cs="Times New Roman"/>
          <w:b/>
          <w:bCs/>
          <w:sz w:val="24"/>
          <w:szCs w:val="24"/>
          <w:lang w:val="x-none" w:eastAsia="x-none"/>
        </w:rPr>
        <w:t>4.3 Przyczyny niskiej efektywności i nieściągalności kar</w:t>
      </w:r>
      <w:bookmarkEnd w:id="231"/>
      <w:bookmarkEnd w:id="232"/>
      <w:bookmarkEnd w:id="233"/>
      <w:bookmarkEnd w:id="234"/>
    </w:p>
    <w:p w14:paraId="6295F3B0" w14:textId="77777777" w:rsidR="00F96A4A" w:rsidRPr="007F400A" w:rsidRDefault="00F96A4A" w:rsidP="00FE6A46">
      <w:pPr>
        <w:spacing w:after="60" w:line="300" w:lineRule="atLeast"/>
        <w:ind w:firstLine="567"/>
        <w:jc w:val="both"/>
        <w:rPr>
          <w:rFonts w:ascii="Times New Roman" w:eastAsia="Times New Roman" w:hAnsi="Times New Roman" w:cs="Times New Roman"/>
          <w:sz w:val="24"/>
          <w:szCs w:val="24"/>
        </w:rPr>
      </w:pPr>
      <w:r w:rsidRPr="007F400A">
        <w:rPr>
          <w:rFonts w:ascii="Times New Roman" w:eastAsia="Times New Roman" w:hAnsi="Times New Roman" w:cs="Times New Roman"/>
          <w:sz w:val="24"/>
          <w:szCs w:val="24"/>
        </w:rPr>
        <w:t>Wojewódzki inspektor ochrony środowiska w celu wyegzekwowania należności z tytułu kar pieniężnych podejmuje następujące działania:</w:t>
      </w:r>
    </w:p>
    <w:p w14:paraId="2DB2A172" w14:textId="77777777" w:rsidR="00F96A4A" w:rsidRPr="007F400A" w:rsidRDefault="00F96A4A" w:rsidP="00D34F97">
      <w:pPr>
        <w:numPr>
          <w:ilvl w:val="0"/>
          <w:numId w:val="140"/>
        </w:numPr>
        <w:spacing w:after="0" w:line="300" w:lineRule="atLeast"/>
        <w:ind w:left="924" w:hanging="357"/>
        <w:contextualSpacing/>
        <w:jc w:val="both"/>
        <w:rPr>
          <w:rFonts w:ascii="Times New Roman" w:hAnsi="Times New Roman" w:cs="Times New Roman"/>
          <w:sz w:val="24"/>
        </w:rPr>
      </w:pPr>
      <w:r w:rsidRPr="007F400A">
        <w:rPr>
          <w:rFonts w:ascii="Times New Roman" w:hAnsi="Times New Roman" w:cs="Times New Roman"/>
          <w:sz w:val="24"/>
        </w:rPr>
        <w:t>wystawienie upomnienia do dłużnika,</w:t>
      </w:r>
    </w:p>
    <w:p w14:paraId="38E86B94" w14:textId="77777777" w:rsidR="00F96A4A" w:rsidRPr="007F400A" w:rsidRDefault="00F96A4A" w:rsidP="00D34F97">
      <w:pPr>
        <w:numPr>
          <w:ilvl w:val="0"/>
          <w:numId w:val="140"/>
        </w:numPr>
        <w:spacing w:after="0" w:line="300" w:lineRule="atLeast"/>
        <w:ind w:left="924" w:hanging="357"/>
        <w:contextualSpacing/>
        <w:jc w:val="both"/>
        <w:rPr>
          <w:rFonts w:ascii="Times New Roman" w:eastAsia="Times New Roman" w:hAnsi="Times New Roman" w:cs="Times New Roman"/>
          <w:sz w:val="24"/>
          <w:szCs w:val="24"/>
        </w:rPr>
      </w:pPr>
      <w:r w:rsidRPr="007F400A">
        <w:rPr>
          <w:rFonts w:ascii="Times New Roman" w:eastAsia="Times New Roman" w:hAnsi="Times New Roman" w:cs="Times New Roman"/>
          <w:sz w:val="24"/>
          <w:szCs w:val="24"/>
        </w:rPr>
        <w:t>wystawienie tytułu wykonawczego do właściwego miejscowo Urzędu Skarbowego,</w:t>
      </w:r>
    </w:p>
    <w:p w14:paraId="4773EC73" w14:textId="77777777" w:rsidR="00F96A4A" w:rsidRPr="007F400A" w:rsidRDefault="00F96A4A" w:rsidP="00D34F97">
      <w:pPr>
        <w:numPr>
          <w:ilvl w:val="0"/>
          <w:numId w:val="140"/>
        </w:numPr>
        <w:spacing w:after="0" w:line="300" w:lineRule="atLeast"/>
        <w:ind w:left="924" w:hanging="357"/>
        <w:contextualSpacing/>
        <w:jc w:val="both"/>
        <w:rPr>
          <w:rFonts w:ascii="Times New Roman" w:eastAsia="Times New Roman" w:hAnsi="Times New Roman" w:cs="Times New Roman"/>
          <w:sz w:val="24"/>
          <w:szCs w:val="24"/>
        </w:rPr>
      </w:pPr>
      <w:r w:rsidRPr="007F400A">
        <w:rPr>
          <w:rFonts w:ascii="Times New Roman" w:eastAsia="Times New Roman" w:hAnsi="Times New Roman" w:cs="Times New Roman"/>
          <w:sz w:val="24"/>
          <w:szCs w:val="24"/>
        </w:rPr>
        <w:t>zgłoszenie wierzytelności do organu prowadzącego egzekucję. W przypadku długotrwałego postępowania egzekucyjnego, wojewódzki inspektor ochrony środowiska występuje (kilka razy w roku) do właściwego organu egzekucyjnego, z prośbą o udzielenie informacji na temat etapu zaawansowania ściągania należności.</w:t>
      </w:r>
    </w:p>
    <w:p w14:paraId="4542CFE5" w14:textId="77777777" w:rsidR="00F96A4A" w:rsidRDefault="00F96A4A" w:rsidP="00D34F97">
      <w:pPr>
        <w:numPr>
          <w:ilvl w:val="0"/>
          <w:numId w:val="140"/>
        </w:numPr>
        <w:spacing w:after="0" w:line="300" w:lineRule="atLeast"/>
        <w:ind w:left="924" w:hanging="357"/>
        <w:contextualSpacing/>
        <w:jc w:val="both"/>
        <w:rPr>
          <w:rFonts w:ascii="Times New Roman" w:eastAsia="Times New Roman" w:hAnsi="Times New Roman" w:cs="Times New Roman"/>
          <w:sz w:val="24"/>
          <w:szCs w:val="24"/>
        </w:rPr>
      </w:pPr>
      <w:r w:rsidRPr="007F400A">
        <w:rPr>
          <w:rFonts w:ascii="Times New Roman" w:eastAsia="Times New Roman" w:hAnsi="Times New Roman" w:cs="Times New Roman"/>
          <w:sz w:val="24"/>
          <w:szCs w:val="24"/>
        </w:rPr>
        <w:t>w przypadku umorzenia prowadzonego postępowania z powodu braku majątku, podejmowane są działania mające na celu wyjawienie majątku dłużnika, w tym wystąpienia do sądu, pozyskiwanie informacji z urzędów, rejestrów lub wezwanie zobowiązanego do złożenia oświadczenia o posiadanym majątku i źródłach dochodu</w:t>
      </w:r>
      <w:r>
        <w:rPr>
          <w:rFonts w:ascii="Times New Roman" w:eastAsia="Times New Roman" w:hAnsi="Times New Roman" w:cs="Times New Roman"/>
          <w:sz w:val="24"/>
          <w:szCs w:val="24"/>
        </w:rPr>
        <w:t>, a następnie w przypadku nieujawnienia majątku dłużnika – wszczęcie postępowania w sprawie odpowiedzialności osoby trzeciej,</w:t>
      </w:r>
    </w:p>
    <w:p w14:paraId="2F2E4F0C" w14:textId="77777777" w:rsidR="00F96A4A" w:rsidRDefault="00F96A4A" w:rsidP="00D34F97">
      <w:pPr>
        <w:numPr>
          <w:ilvl w:val="0"/>
          <w:numId w:val="140"/>
        </w:numPr>
        <w:spacing w:after="120" w:line="300" w:lineRule="atLeast"/>
        <w:ind w:left="924" w:hanging="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wystąpienie do sądu o wpis hipoteki przymusowej na nieruchomości należącej do zobowiązanego w celu zabezpieczenia należności.</w:t>
      </w:r>
    </w:p>
    <w:p w14:paraId="1E9B4472" w14:textId="77777777" w:rsidR="00F96A4A" w:rsidRPr="007F400A" w:rsidRDefault="00F96A4A" w:rsidP="00FE6A46">
      <w:pPr>
        <w:spacing w:after="60" w:line="300" w:lineRule="atLeast"/>
        <w:jc w:val="both"/>
        <w:rPr>
          <w:rFonts w:ascii="Times New Roman" w:eastAsia="Times New Roman" w:hAnsi="Times New Roman" w:cs="Times New Roman"/>
          <w:sz w:val="24"/>
          <w:szCs w:val="24"/>
        </w:rPr>
      </w:pPr>
      <w:r w:rsidRPr="007F400A">
        <w:rPr>
          <w:rFonts w:ascii="Times New Roman" w:eastAsia="Times New Roman" w:hAnsi="Times New Roman" w:cs="Times New Roman"/>
          <w:sz w:val="24"/>
          <w:szCs w:val="24"/>
        </w:rPr>
        <w:t>Problemy mające istotne znaczenie przy egzekucji kar:</w:t>
      </w:r>
    </w:p>
    <w:p w14:paraId="459D8F06" w14:textId="77777777" w:rsidR="00F96A4A" w:rsidRPr="007F400A" w:rsidRDefault="00F96A4A" w:rsidP="00D34F97">
      <w:pPr>
        <w:numPr>
          <w:ilvl w:val="0"/>
          <w:numId w:val="141"/>
        </w:numPr>
        <w:spacing w:after="0" w:line="300" w:lineRule="atLeast"/>
        <w:ind w:left="924" w:hanging="357"/>
        <w:contextualSpacing/>
        <w:jc w:val="both"/>
        <w:rPr>
          <w:rFonts w:ascii="Times New Roman" w:hAnsi="Times New Roman" w:cs="Times New Roman"/>
          <w:sz w:val="24"/>
        </w:rPr>
      </w:pPr>
      <w:r w:rsidRPr="007F400A">
        <w:rPr>
          <w:rFonts w:ascii="Times New Roman" w:hAnsi="Times New Roman" w:cs="Times New Roman"/>
          <w:sz w:val="24"/>
        </w:rPr>
        <w:t>wieloetapowość w procesie egzekwowania kar pieniężnych, co przekłada się na długi czas spłaty kary, a w konsekwencji może doprowadzić do jej przedawnienia,</w:t>
      </w:r>
    </w:p>
    <w:p w14:paraId="4884A934" w14:textId="77777777" w:rsidR="00F96A4A" w:rsidRPr="007F400A" w:rsidRDefault="00F96A4A" w:rsidP="00D34F97">
      <w:pPr>
        <w:numPr>
          <w:ilvl w:val="0"/>
          <w:numId w:val="141"/>
        </w:numPr>
        <w:spacing w:after="0" w:line="300" w:lineRule="atLeast"/>
        <w:ind w:left="924" w:hanging="357"/>
        <w:contextualSpacing/>
        <w:jc w:val="both"/>
        <w:rPr>
          <w:rFonts w:ascii="Times New Roman" w:hAnsi="Times New Roman" w:cs="Times New Roman"/>
          <w:sz w:val="24"/>
        </w:rPr>
      </w:pPr>
      <w:r w:rsidRPr="007F400A">
        <w:rPr>
          <w:rFonts w:ascii="Times New Roman" w:hAnsi="Times New Roman" w:cs="Times New Roman"/>
          <w:sz w:val="24"/>
        </w:rPr>
        <w:t xml:space="preserve">ograniczenie działań </w:t>
      </w:r>
      <w:proofErr w:type="spellStart"/>
      <w:r w:rsidRPr="007F400A">
        <w:rPr>
          <w:rFonts w:ascii="Times New Roman" w:hAnsi="Times New Roman" w:cs="Times New Roman"/>
          <w:sz w:val="24"/>
        </w:rPr>
        <w:t>wioś</w:t>
      </w:r>
      <w:proofErr w:type="spellEnd"/>
      <w:r w:rsidRPr="007F400A">
        <w:rPr>
          <w:rFonts w:ascii="Times New Roman" w:hAnsi="Times New Roman" w:cs="Times New Roman"/>
          <w:sz w:val="24"/>
        </w:rPr>
        <w:t xml:space="preserve"> do wystawienia tytułu wykonawczego i przekazania do miejscowego organu egzekucyjnego lub do komornika sądowego,</w:t>
      </w:r>
    </w:p>
    <w:p w14:paraId="245C096F" w14:textId="77777777" w:rsidR="00F96A4A" w:rsidRPr="007F400A" w:rsidRDefault="00F96A4A" w:rsidP="00D34F97">
      <w:pPr>
        <w:numPr>
          <w:ilvl w:val="0"/>
          <w:numId w:val="141"/>
        </w:numPr>
        <w:spacing w:after="0" w:line="300" w:lineRule="atLeast"/>
        <w:ind w:left="924" w:hanging="357"/>
        <w:contextualSpacing/>
        <w:jc w:val="both"/>
        <w:rPr>
          <w:rFonts w:ascii="Times New Roman" w:hAnsi="Times New Roman" w:cs="Times New Roman"/>
          <w:sz w:val="24"/>
        </w:rPr>
      </w:pPr>
      <w:r w:rsidRPr="007F400A">
        <w:rPr>
          <w:rFonts w:ascii="Times New Roman" w:hAnsi="Times New Roman" w:cs="Times New Roman"/>
          <w:sz w:val="24"/>
        </w:rPr>
        <w:t>umarzanie postępowań egzekucyjnych przez naczelników urzędów skarbowych z uwagi na brak możliwości realizacji tytułu wykonawczego, z powodu braku majątku i źródeł dochodu po stronie dłużników,</w:t>
      </w:r>
    </w:p>
    <w:p w14:paraId="79E29D1F" w14:textId="77777777" w:rsidR="00F96A4A" w:rsidRPr="007F400A" w:rsidRDefault="00F96A4A" w:rsidP="00D34F97">
      <w:pPr>
        <w:numPr>
          <w:ilvl w:val="0"/>
          <w:numId w:val="141"/>
        </w:numPr>
        <w:spacing w:after="0" w:line="300" w:lineRule="atLeast"/>
        <w:ind w:left="924" w:hanging="357"/>
        <w:contextualSpacing/>
        <w:jc w:val="both"/>
        <w:rPr>
          <w:rFonts w:ascii="Times New Roman" w:hAnsi="Times New Roman" w:cs="Times New Roman"/>
          <w:sz w:val="24"/>
        </w:rPr>
      </w:pPr>
      <w:r w:rsidRPr="007F400A">
        <w:rPr>
          <w:rFonts w:ascii="Times New Roman" w:hAnsi="Times New Roman" w:cs="Times New Roman"/>
          <w:sz w:val="24"/>
        </w:rPr>
        <w:t>bezskuteczne próby zajęcia rachunków bankowych przez naczelników urzędów skarbowych oraz komorników sądowych,</w:t>
      </w:r>
    </w:p>
    <w:p w14:paraId="05B29824" w14:textId="77777777" w:rsidR="00F96A4A" w:rsidRPr="007F400A" w:rsidRDefault="00F96A4A" w:rsidP="00D34F97">
      <w:pPr>
        <w:numPr>
          <w:ilvl w:val="0"/>
          <w:numId w:val="142"/>
        </w:numPr>
        <w:spacing w:after="0" w:line="300" w:lineRule="atLeast"/>
        <w:ind w:left="924" w:hanging="357"/>
        <w:contextualSpacing/>
        <w:jc w:val="both"/>
        <w:rPr>
          <w:rFonts w:ascii="Times New Roman" w:hAnsi="Times New Roman" w:cs="Times New Roman"/>
          <w:sz w:val="24"/>
        </w:rPr>
      </w:pPr>
      <w:r w:rsidRPr="007F400A">
        <w:rPr>
          <w:rFonts w:ascii="Times New Roman" w:hAnsi="Times New Roman" w:cs="Times New Roman"/>
          <w:sz w:val="24"/>
        </w:rPr>
        <w:t>brak ekonomicznego uzasadnienia podjęcia działań</w:t>
      </w:r>
      <w:r>
        <w:rPr>
          <w:rFonts w:ascii="Times New Roman" w:hAnsi="Times New Roman" w:cs="Times New Roman"/>
          <w:sz w:val="24"/>
        </w:rPr>
        <w:t>,</w:t>
      </w:r>
      <w:r w:rsidRPr="007F400A">
        <w:rPr>
          <w:rFonts w:ascii="Times New Roman" w:hAnsi="Times New Roman" w:cs="Times New Roman"/>
          <w:sz w:val="24"/>
        </w:rPr>
        <w:t xml:space="preserve"> koszty postępowania egzekucyjnego przewyższają wysokość kary albo są porównywalne,</w:t>
      </w:r>
    </w:p>
    <w:p w14:paraId="2F834385" w14:textId="77777777" w:rsidR="00F96A4A" w:rsidRPr="007F400A" w:rsidRDefault="00F96A4A" w:rsidP="00D34F97">
      <w:pPr>
        <w:numPr>
          <w:ilvl w:val="0"/>
          <w:numId w:val="142"/>
        </w:numPr>
        <w:spacing w:after="0" w:line="300" w:lineRule="atLeast"/>
        <w:ind w:left="924" w:hanging="357"/>
        <w:contextualSpacing/>
        <w:jc w:val="both"/>
        <w:rPr>
          <w:rFonts w:ascii="Times New Roman" w:hAnsi="Times New Roman" w:cs="Times New Roman"/>
          <w:color w:val="000000"/>
          <w:sz w:val="24"/>
        </w:rPr>
      </w:pPr>
      <w:r w:rsidRPr="007F400A">
        <w:rPr>
          <w:rFonts w:ascii="Times New Roman" w:hAnsi="Times New Roman" w:cs="Times New Roman"/>
          <w:bCs/>
          <w:color w:val="000000"/>
          <w:sz w:val="24"/>
        </w:rPr>
        <w:t>stosowanie procedury upadłościowej przez dłużników,</w:t>
      </w:r>
    </w:p>
    <w:p w14:paraId="56BC3578" w14:textId="59C1FFC2" w:rsidR="00895F16" w:rsidRPr="007F400A" w:rsidRDefault="00F96A4A" w:rsidP="00D34F97">
      <w:pPr>
        <w:numPr>
          <w:ilvl w:val="0"/>
          <w:numId w:val="142"/>
        </w:numPr>
        <w:spacing w:after="0" w:line="300" w:lineRule="atLeast"/>
        <w:ind w:left="924" w:hanging="357"/>
        <w:jc w:val="both"/>
        <w:rPr>
          <w:rFonts w:ascii="Times New Roman" w:eastAsia="Calibri" w:hAnsi="Times New Roman" w:cs="Times New Roman"/>
          <w:color w:val="000000"/>
          <w:sz w:val="24"/>
          <w:szCs w:val="20"/>
          <w:lang w:eastAsia="pl-PL"/>
        </w:rPr>
      </w:pPr>
      <w:r w:rsidRPr="007F400A">
        <w:rPr>
          <w:rFonts w:ascii="Times New Roman" w:hAnsi="Times New Roman" w:cs="Times New Roman"/>
          <w:bCs/>
          <w:color w:val="000000"/>
          <w:sz w:val="24"/>
        </w:rPr>
        <w:t>brak możliwości ustalenia adresu zobowiązanego lub organów uprawnionych do</w:t>
      </w:r>
      <w:r>
        <w:rPr>
          <w:rFonts w:ascii="Times New Roman" w:hAnsi="Times New Roman" w:cs="Times New Roman"/>
          <w:bCs/>
          <w:color w:val="000000"/>
          <w:sz w:val="24"/>
        </w:rPr>
        <w:t> </w:t>
      </w:r>
      <w:r w:rsidRPr="007F400A">
        <w:rPr>
          <w:rFonts w:ascii="Times New Roman" w:hAnsi="Times New Roman" w:cs="Times New Roman"/>
          <w:bCs/>
          <w:color w:val="000000"/>
          <w:sz w:val="24"/>
        </w:rPr>
        <w:t>reprezentowania osoby prawnej</w:t>
      </w:r>
      <w:r w:rsidR="00895F16" w:rsidRPr="007F400A">
        <w:rPr>
          <w:rFonts w:ascii="Times New Roman" w:eastAsia="Calibri" w:hAnsi="Times New Roman" w:cs="Times New Roman"/>
          <w:bCs/>
          <w:color w:val="000000"/>
          <w:sz w:val="24"/>
          <w:szCs w:val="20"/>
          <w:lang w:eastAsia="pl-PL"/>
        </w:rPr>
        <w:t>.</w:t>
      </w:r>
    </w:p>
    <w:p w14:paraId="0D5C26FF" w14:textId="77777777" w:rsidR="00895F16" w:rsidRPr="007F400A" w:rsidRDefault="00895F16" w:rsidP="00056EE7">
      <w:pPr>
        <w:spacing w:after="0" w:line="300" w:lineRule="atLeast"/>
        <w:ind w:left="720"/>
        <w:contextualSpacing/>
        <w:jc w:val="both"/>
        <w:rPr>
          <w:rFonts w:ascii="Times New Roman" w:eastAsia="Calibri" w:hAnsi="Times New Roman" w:cs="Times New Roman"/>
          <w:sz w:val="24"/>
          <w:szCs w:val="20"/>
          <w:lang w:eastAsia="pl-PL"/>
        </w:rPr>
      </w:pPr>
    </w:p>
    <w:p w14:paraId="2350B56B" w14:textId="77777777" w:rsidR="00895F16" w:rsidRPr="007F400A" w:rsidRDefault="00895F16" w:rsidP="00FE6A46">
      <w:pPr>
        <w:keepNext/>
        <w:spacing w:after="120" w:line="300" w:lineRule="atLeast"/>
        <w:outlineLvl w:val="0"/>
        <w:rPr>
          <w:rFonts w:ascii="Times New Roman" w:eastAsia="Times New Roman" w:hAnsi="Times New Roman" w:cs="Times New Roman"/>
          <w:b/>
          <w:bCs/>
          <w:sz w:val="24"/>
          <w:szCs w:val="24"/>
          <w:lang w:val="x-none" w:eastAsia="x-none"/>
        </w:rPr>
      </w:pPr>
      <w:bookmarkStart w:id="235" w:name="_Toc515437534"/>
      <w:bookmarkStart w:id="236" w:name="_Toc5878582"/>
      <w:bookmarkStart w:id="237" w:name="_Toc36732605"/>
      <w:bookmarkStart w:id="238" w:name="_Toc135935643"/>
      <w:r w:rsidRPr="007F400A">
        <w:rPr>
          <w:rFonts w:ascii="Times New Roman" w:eastAsia="Times New Roman" w:hAnsi="Times New Roman" w:cs="Times New Roman"/>
          <w:b/>
          <w:bCs/>
          <w:sz w:val="24"/>
          <w:szCs w:val="24"/>
          <w:lang w:val="x-none" w:eastAsia="x-none"/>
        </w:rPr>
        <w:t>4.4 Podział środków uzyskanych z tytułu nałożonych kar pieniężnych</w:t>
      </w:r>
      <w:bookmarkEnd w:id="235"/>
      <w:bookmarkEnd w:id="236"/>
      <w:bookmarkEnd w:id="237"/>
      <w:bookmarkEnd w:id="238"/>
    </w:p>
    <w:p w14:paraId="730D10F3" w14:textId="77777777" w:rsidR="00D539AA" w:rsidRPr="007F400A" w:rsidRDefault="00D539AA" w:rsidP="00FE6A46">
      <w:pPr>
        <w:widowControl w:val="0"/>
        <w:spacing w:after="60" w:line="300" w:lineRule="atLeast"/>
        <w:ind w:firstLine="567"/>
        <w:jc w:val="both"/>
        <w:rPr>
          <w:rFonts w:ascii="Times New Roman" w:eastAsia="Times New Roman" w:hAnsi="Times New Roman" w:cs="Times New Roman"/>
          <w:bCs/>
          <w:sz w:val="24"/>
        </w:rPr>
      </w:pPr>
      <w:r w:rsidRPr="007F400A">
        <w:rPr>
          <w:rFonts w:ascii="Times New Roman" w:eastAsia="Times New Roman" w:hAnsi="Times New Roman" w:cs="Times New Roman"/>
          <w:bCs/>
          <w:sz w:val="24"/>
        </w:rPr>
        <w:t xml:space="preserve">Środki uzyskane z tytułu kar pieniężnych wpłacone w </w:t>
      </w:r>
      <w:r>
        <w:rPr>
          <w:rFonts w:ascii="Times New Roman" w:eastAsia="Times New Roman" w:hAnsi="Times New Roman" w:cs="Times New Roman"/>
          <w:bCs/>
          <w:sz w:val="24"/>
        </w:rPr>
        <w:t>2022</w:t>
      </w:r>
      <w:r w:rsidRPr="007F400A">
        <w:rPr>
          <w:rFonts w:ascii="Times New Roman" w:eastAsia="Times New Roman" w:hAnsi="Times New Roman" w:cs="Times New Roman"/>
          <w:bCs/>
          <w:sz w:val="24"/>
        </w:rPr>
        <w:t xml:space="preserve"> r. były przekazywane przez wojewódzkich inspektorów ochrony środowiska na konta funduszy ekologicznych, budżetów samorządów oraz budżetu państwa. Środki uzyskane z tytułu opłat podwyższonych były przekazywane na konto </w:t>
      </w:r>
      <w:r w:rsidRPr="007F400A">
        <w:rPr>
          <w:rFonts w:ascii="Times New Roman" w:eastAsia="Times New Roman" w:hAnsi="Times New Roman" w:cs="Times New Roman"/>
          <w:sz w:val="24"/>
        </w:rPr>
        <w:t>Państwowego Gospodarstwa Wodnego Wody Polskie.</w:t>
      </w:r>
      <w:r w:rsidRPr="007F400A">
        <w:rPr>
          <w:rFonts w:ascii="Times New Roman" w:eastAsia="Times New Roman" w:hAnsi="Times New Roman" w:cs="Times New Roman"/>
          <w:bCs/>
          <w:sz w:val="24"/>
        </w:rPr>
        <w:t xml:space="preserve"> W </w:t>
      </w:r>
      <w:r>
        <w:rPr>
          <w:rFonts w:ascii="Times New Roman" w:eastAsia="Times New Roman" w:hAnsi="Times New Roman" w:cs="Times New Roman"/>
          <w:bCs/>
          <w:sz w:val="24"/>
        </w:rPr>
        <w:t>2022</w:t>
      </w:r>
      <w:r w:rsidRPr="007F400A">
        <w:rPr>
          <w:rFonts w:ascii="Times New Roman" w:eastAsia="Times New Roman" w:hAnsi="Times New Roman" w:cs="Times New Roman"/>
          <w:bCs/>
          <w:sz w:val="24"/>
        </w:rPr>
        <w:t xml:space="preserve"> r. </w:t>
      </w:r>
      <w:r w:rsidRPr="007F400A">
        <w:rPr>
          <w:rFonts w:ascii="Times New Roman" w:eastAsia="Times New Roman" w:hAnsi="Times New Roman" w:cs="Times New Roman"/>
          <w:bCs/>
          <w:sz w:val="24"/>
        </w:rPr>
        <w:lastRenderedPageBreak/>
        <w:t xml:space="preserve">przekazano ogółem </w:t>
      </w:r>
      <w:r w:rsidRPr="0023143F">
        <w:rPr>
          <w:rFonts w:ascii="Times New Roman" w:eastAsia="Times New Roman" w:hAnsi="Times New Roman" w:cs="Times New Roman"/>
          <w:bCs/>
          <w:sz w:val="24"/>
        </w:rPr>
        <w:t xml:space="preserve">18 016 125,02 </w:t>
      </w:r>
      <w:r w:rsidRPr="007F400A">
        <w:rPr>
          <w:rFonts w:ascii="Times New Roman" w:eastAsia="Times New Roman" w:hAnsi="Times New Roman" w:cs="Times New Roman"/>
          <w:bCs/>
          <w:sz w:val="24"/>
        </w:rPr>
        <w:t>zł</w:t>
      </w:r>
      <w:r w:rsidRPr="007F400A">
        <w:rPr>
          <w:rFonts w:ascii="Times New Roman" w:eastAsia="Times New Roman" w:hAnsi="Times New Roman" w:cs="Times New Roman"/>
          <w:sz w:val="24"/>
          <w:vertAlign w:val="superscript"/>
        </w:rPr>
        <w:footnoteReference w:id="57"/>
      </w:r>
      <w:r w:rsidRPr="007F400A">
        <w:rPr>
          <w:rFonts w:ascii="Times New Roman" w:eastAsia="Times New Roman" w:hAnsi="Times New Roman" w:cs="Times New Roman"/>
          <w:bCs/>
          <w:sz w:val="24"/>
        </w:rPr>
        <w:t xml:space="preserve">, w tym do: </w:t>
      </w:r>
    </w:p>
    <w:p w14:paraId="575030AA" w14:textId="77777777" w:rsidR="00D539AA" w:rsidRPr="007F400A" w:rsidRDefault="00D539AA" w:rsidP="00D34F97">
      <w:pPr>
        <w:widowControl w:val="0"/>
        <w:numPr>
          <w:ilvl w:val="0"/>
          <w:numId w:val="143"/>
        </w:numPr>
        <w:suppressAutoHyphens/>
        <w:spacing w:after="0" w:line="300" w:lineRule="atLeast"/>
        <w:jc w:val="both"/>
        <w:rPr>
          <w:rFonts w:ascii="Times New Roman" w:eastAsia="Times New Roman" w:hAnsi="Times New Roman" w:cs="Times New Roman"/>
          <w:sz w:val="24"/>
        </w:rPr>
      </w:pPr>
      <w:r w:rsidRPr="007F400A">
        <w:rPr>
          <w:rFonts w:ascii="Times New Roman" w:eastAsia="Times New Roman" w:hAnsi="Times New Roman" w:cs="Times New Roman"/>
          <w:sz w:val="24"/>
        </w:rPr>
        <w:t xml:space="preserve">budżetu państwa – </w:t>
      </w:r>
      <w:r w:rsidRPr="0023143F">
        <w:rPr>
          <w:rFonts w:ascii="Times New Roman" w:eastAsia="Times New Roman" w:hAnsi="Times New Roman" w:cs="Times New Roman"/>
          <w:sz w:val="24"/>
        </w:rPr>
        <w:t>6 034 496,81</w:t>
      </w:r>
      <w:r>
        <w:rPr>
          <w:rFonts w:ascii="Times New Roman" w:eastAsia="Times New Roman" w:hAnsi="Times New Roman" w:cs="Times New Roman"/>
          <w:sz w:val="24"/>
        </w:rPr>
        <w:t xml:space="preserve"> </w:t>
      </w:r>
      <w:r w:rsidRPr="007F400A">
        <w:rPr>
          <w:rFonts w:ascii="Times New Roman" w:eastAsia="Times New Roman" w:hAnsi="Times New Roman" w:cs="Times New Roman"/>
          <w:sz w:val="24"/>
        </w:rPr>
        <w:t>zł,</w:t>
      </w:r>
    </w:p>
    <w:p w14:paraId="3A67C34C" w14:textId="77777777" w:rsidR="00D539AA" w:rsidRPr="007F400A" w:rsidRDefault="00D539AA" w:rsidP="00D34F97">
      <w:pPr>
        <w:widowControl w:val="0"/>
        <w:numPr>
          <w:ilvl w:val="0"/>
          <w:numId w:val="143"/>
        </w:numPr>
        <w:suppressAutoHyphens/>
        <w:spacing w:after="0" w:line="300" w:lineRule="atLeast"/>
        <w:jc w:val="both"/>
        <w:rPr>
          <w:rFonts w:ascii="Times New Roman" w:eastAsia="Times New Roman" w:hAnsi="Times New Roman" w:cs="Times New Roman"/>
          <w:sz w:val="24"/>
        </w:rPr>
      </w:pPr>
      <w:r w:rsidRPr="007F400A">
        <w:rPr>
          <w:rFonts w:ascii="Times New Roman" w:eastAsia="Times New Roman" w:hAnsi="Times New Roman" w:cs="Times New Roman"/>
          <w:sz w:val="24"/>
        </w:rPr>
        <w:t xml:space="preserve">budżetów powiatów – </w:t>
      </w:r>
      <w:r w:rsidRPr="0023143F">
        <w:rPr>
          <w:rFonts w:ascii="Times New Roman" w:eastAsia="Times New Roman" w:hAnsi="Times New Roman" w:cs="Times New Roman"/>
          <w:sz w:val="24"/>
        </w:rPr>
        <w:t>537 520,77</w:t>
      </w:r>
      <w:r>
        <w:rPr>
          <w:rFonts w:ascii="Times New Roman" w:eastAsia="Times New Roman" w:hAnsi="Times New Roman" w:cs="Times New Roman"/>
          <w:sz w:val="24"/>
        </w:rPr>
        <w:t xml:space="preserve"> </w:t>
      </w:r>
      <w:r w:rsidRPr="007F400A">
        <w:rPr>
          <w:rFonts w:ascii="Times New Roman" w:eastAsia="Times New Roman" w:hAnsi="Times New Roman" w:cs="Times New Roman"/>
          <w:sz w:val="24"/>
        </w:rPr>
        <w:t>zł,</w:t>
      </w:r>
    </w:p>
    <w:p w14:paraId="39BC16C6" w14:textId="77777777" w:rsidR="00D539AA" w:rsidRPr="007F400A" w:rsidRDefault="00D539AA" w:rsidP="00D34F97">
      <w:pPr>
        <w:widowControl w:val="0"/>
        <w:numPr>
          <w:ilvl w:val="0"/>
          <w:numId w:val="143"/>
        </w:numPr>
        <w:suppressAutoHyphens/>
        <w:spacing w:after="0" w:line="300" w:lineRule="atLeast"/>
        <w:jc w:val="both"/>
        <w:rPr>
          <w:rFonts w:ascii="Times New Roman" w:eastAsia="Times New Roman" w:hAnsi="Times New Roman" w:cs="Times New Roman"/>
          <w:sz w:val="24"/>
        </w:rPr>
      </w:pPr>
      <w:r w:rsidRPr="007F400A">
        <w:rPr>
          <w:rFonts w:ascii="Times New Roman" w:eastAsia="Times New Roman" w:hAnsi="Times New Roman" w:cs="Times New Roman"/>
          <w:sz w:val="24"/>
        </w:rPr>
        <w:t xml:space="preserve">budżetów gmin – </w:t>
      </w:r>
      <w:r w:rsidRPr="0023143F">
        <w:rPr>
          <w:rFonts w:ascii="Times New Roman" w:eastAsia="Times New Roman" w:hAnsi="Times New Roman" w:cs="Times New Roman"/>
          <w:sz w:val="24"/>
        </w:rPr>
        <w:t>1 284 677,64</w:t>
      </w:r>
      <w:r>
        <w:rPr>
          <w:rFonts w:ascii="Times New Roman" w:eastAsia="Times New Roman" w:hAnsi="Times New Roman" w:cs="Times New Roman"/>
          <w:sz w:val="24"/>
        </w:rPr>
        <w:t xml:space="preserve"> </w:t>
      </w:r>
      <w:r w:rsidRPr="007F400A">
        <w:rPr>
          <w:rFonts w:ascii="Times New Roman" w:eastAsia="Times New Roman" w:hAnsi="Times New Roman" w:cs="Times New Roman"/>
          <w:sz w:val="24"/>
        </w:rPr>
        <w:t>zł,</w:t>
      </w:r>
    </w:p>
    <w:p w14:paraId="7FC26D70" w14:textId="77777777" w:rsidR="00D539AA" w:rsidRPr="007F400A" w:rsidRDefault="00D539AA" w:rsidP="00D34F97">
      <w:pPr>
        <w:widowControl w:val="0"/>
        <w:numPr>
          <w:ilvl w:val="0"/>
          <w:numId w:val="143"/>
        </w:numPr>
        <w:suppressAutoHyphens/>
        <w:spacing w:after="0" w:line="300" w:lineRule="atLeast"/>
        <w:jc w:val="both"/>
        <w:rPr>
          <w:rFonts w:ascii="Times New Roman" w:eastAsia="Times New Roman" w:hAnsi="Times New Roman" w:cs="Times New Roman"/>
          <w:sz w:val="24"/>
        </w:rPr>
      </w:pPr>
      <w:r w:rsidRPr="007F400A">
        <w:rPr>
          <w:rFonts w:ascii="Times New Roman" w:eastAsia="Times New Roman" w:hAnsi="Times New Roman" w:cs="Times New Roman"/>
          <w:sz w:val="24"/>
        </w:rPr>
        <w:t xml:space="preserve">Narodowego Funduszu Ochrony Środowiska i Gospodarki Wodnej – </w:t>
      </w:r>
      <w:r w:rsidRPr="0023143F">
        <w:rPr>
          <w:rFonts w:ascii="Times New Roman" w:eastAsia="Times New Roman" w:hAnsi="Times New Roman" w:cs="Times New Roman"/>
          <w:sz w:val="24"/>
        </w:rPr>
        <w:t>5 346 359,65</w:t>
      </w:r>
      <w:r>
        <w:rPr>
          <w:rFonts w:ascii="Times New Roman" w:eastAsia="Times New Roman" w:hAnsi="Times New Roman" w:cs="Times New Roman"/>
          <w:sz w:val="24"/>
        </w:rPr>
        <w:t xml:space="preserve"> </w:t>
      </w:r>
      <w:r w:rsidRPr="007F400A">
        <w:rPr>
          <w:rFonts w:ascii="Times New Roman" w:eastAsia="Times New Roman" w:hAnsi="Times New Roman" w:cs="Times New Roman"/>
          <w:sz w:val="24"/>
        </w:rPr>
        <w:t>zł,</w:t>
      </w:r>
    </w:p>
    <w:p w14:paraId="60ED54C7" w14:textId="77777777" w:rsidR="00D539AA" w:rsidRPr="007F400A" w:rsidRDefault="00D539AA" w:rsidP="00D34F97">
      <w:pPr>
        <w:widowControl w:val="0"/>
        <w:numPr>
          <w:ilvl w:val="0"/>
          <w:numId w:val="143"/>
        </w:numPr>
        <w:suppressAutoHyphens/>
        <w:spacing w:after="0" w:line="300" w:lineRule="atLeast"/>
        <w:jc w:val="both"/>
        <w:rPr>
          <w:rFonts w:ascii="Times New Roman" w:eastAsia="Times New Roman" w:hAnsi="Times New Roman" w:cs="Times New Roman"/>
          <w:sz w:val="24"/>
        </w:rPr>
      </w:pPr>
      <w:r w:rsidRPr="007F400A">
        <w:rPr>
          <w:rFonts w:ascii="Times New Roman" w:eastAsia="Times New Roman" w:hAnsi="Times New Roman" w:cs="Times New Roman"/>
          <w:sz w:val="24"/>
        </w:rPr>
        <w:t xml:space="preserve">wojewódzkich funduszy ochrony środowiska i gospodarki wodnej – </w:t>
      </w:r>
      <w:r w:rsidRPr="0023143F">
        <w:rPr>
          <w:rFonts w:ascii="Times New Roman" w:eastAsia="Times New Roman" w:hAnsi="Times New Roman" w:cs="Times New Roman"/>
          <w:sz w:val="24"/>
        </w:rPr>
        <w:t>4 111 749,89</w:t>
      </w:r>
      <w:r>
        <w:rPr>
          <w:rFonts w:ascii="Times New Roman" w:eastAsia="Times New Roman" w:hAnsi="Times New Roman" w:cs="Times New Roman"/>
          <w:sz w:val="24"/>
        </w:rPr>
        <w:t xml:space="preserve"> </w:t>
      </w:r>
      <w:r w:rsidRPr="007F400A">
        <w:rPr>
          <w:rFonts w:ascii="Times New Roman" w:eastAsia="Times New Roman" w:hAnsi="Times New Roman" w:cs="Times New Roman"/>
          <w:sz w:val="24"/>
        </w:rPr>
        <w:t>zł,</w:t>
      </w:r>
    </w:p>
    <w:p w14:paraId="0BDA3023" w14:textId="77777777" w:rsidR="00D539AA" w:rsidRPr="007F400A" w:rsidRDefault="00D539AA" w:rsidP="00D34F97">
      <w:pPr>
        <w:widowControl w:val="0"/>
        <w:numPr>
          <w:ilvl w:val="0"/>
          <w:numId w:val="143"/>
        </w:numPr>
        <w:suppressAutoHyphens/>
        <w:spacing w:after="0" w:line="300" w:lineRule="atLeast"/>
        <w:jc w:val="both"/>
        <w:rPr>
          <w:rFonts w:ascii="Times New Roman" w:eastAsia="Times New Roman" w:hAnsi="Times New Roman" w:cs="Times New Roman"/>
          <w:sz w:val="24"/>
        </w:rPr>
      </w:pPr>
      <w:r w:rsidRPr="007F400A">
        <w:rPr>
          <w:rFonts w:ascii="Times New Roman" w:eastAsia="Times New Roman" w:hAnsi="Times New Roman" w:cs="Times New Roman"/>
          <w:sz w:val="24"/>
        </w:rPr>
        <w:t xml:space="preserve">Państwowego Gospodarstwa Wodnego Wody Polskie – </w:t>
      </w:r>
      <w:r w:rsidRPr="0023143F">
        <w:rPr>
          <w:rFonts w:ascii="Times New Roman" w:eastAsia="Times New Roman" w:hAnsi="Times New Roman" w:cs="Times New Roman"/>
          <w:sz w:val="24"/>
        </w:rPr>
        <w:t>701 320,26</w:t>
      </w:r>
      <w:r>
        <w:rPr>
          <w:rFonts w:ascii="Times New Roman" w:eastAsia="Times New Roman" w:hAnsi="Times New Roman" w:cs="Times New Roman"/>
          <w:sz w:val="24"/>
        </w:rPr>
        <w:t xml:space="preserve"> </w:t>
      </w:r>
      <w:r w:rsidRPr="007F400A">
        <w:rPr>
          <w:rFonts w:ascii="Times New Roman" w:eastAsia="Times New Roman" w:hAnsi="Times New Roman" w:cs="Times New Roman"/>
          <w:sz w:val="24"/>
        </w:rPr>
        <w:t>zł.</w:t>
      </w:r>
    </w:p>
    <w:p w14:paraId="4D0B7192" w14:textId="27C801E2" w:rsidR="00D539AA" w:rsidRPr="007F400A" w:rsidRDefault="00D539AA" w:rsidP="00512029">
      <w:pPr>
        <w:widowControl w:val="0"/>
        <w:suppressAutoHyphens/>
        <w:spacing w:line="300" w:lineRule="atLeast"/>
        <w:jc w:val="center"/>
        <w:rPr>
          <w:rFonts w:ascii="Times New Roman" w:eastAsia="Times New Roman" w:hAnsi="Times New Roman" w:cs="Times New Roman"/>
          <w:noProof/>
          <w:sz w:val="24"/>
        </w:rPr>
      </w:pPr>
      <w:r>
        <w:rPr>
          <w:noProof/>
          <w:lang w:eastAsia="pl-PL"/>
        </w:rPr>
        <w:drawing>
          <wp:inline distT="0" distB="0" distL="0" distR="0" wp14:anchorId="5C134874" wp14:editId="6F269622">
            <wp:extent cx="5819775" cy="2867025"/>
            <wp:effectExtent l="0" t="0" r="9525" b="9525"/>
            <wp:docPr id="4" name="Wykres 4" descr="Procentowy podział środków przekazanych z tytułu nałożonych kar, opłat oraz opłat podwyższonych">
              <a:extLst xmlns:a="http://schemas.openxmlformats.org/drawingml/2006/main">
                <a:ext uri="{FF2B5EF4-FFF2-40B4-BE49-F238E27FC236}">
                  <a16:creationId xmlns:a16="http://schemas.microsoft.com/office/drawing/2014/main" id="{019F32CE-4D46-411C-BB8B-814A1FDB8D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B10BC44" w14:textId="77777777" w:rsidR="00D539AA" w:rsidRPr="007F400A" w:rsidRDefault="00D539AA" w:rsidP="00056EE7">
      <w:pPr>
        <w:widowControl w:val="0"/>
        <w:suppressAutoHyphens/>
        <w:spacing w:after="0" w:line="300" w:lineRule="atLeast"/>
        <w:jc w:val="both"/>
        <w:rPr>
          <w:rFonts w:ascii="Times New Roman" w:eastAsia="Times New Roman" w:hAnsi="Times New Roman" w:cs="Times New Roman"/>
          <w:b/>
        </w:rPr>
      </w:pPr>
      <w:r w:rsidRPr="007F400A">
        <w:rPr>
          <w:rFonts w:ascii="Times New Roman" w:eastAsia="Times New Roman" w:hAnsi="Times New Roman" w:cs="Times New Roman"/>
          <w:b/>
        </w:rPr>
        <w:t>Wykres 7. Procentowy podział środków przekazanych z tytułu nałożonych kar</w:t>
      </w:r>
      <w:r>
        <w:rPr>
          <w:rFonts w:ascii="Times New Roman" w:eastAsia="Times New Roman" w:hAnsi="Times New Roman" w:cs="Times New Roman"/>
          <w:b/>
        </w:rPr>
        <w:t>, opłat</w:t>
      </w:r>
      <w:r w:rsidRPr="007F400A">
        <w:rPr>
          <w:rFonts w:ascii="Times New Roman" w:eastAsia="Times New Roman" w:hAnsi="Times New Roman" w:cs="Times New Roman"/>
          <w:b/>
        </w:rPr>
        <w:t xml:space="preserve"> oraz opłat podwyższonych</w:t>
      </w:r>
    </w:p>
    <w:p w14:paraId="0081D184" w14:textId="77777777" w:rsidR="00895F16" w:rsidRPr="007F400A" w:rsidRDefault="00895F16" w:rsidP="00056EE7">
      <w:pPr>
        <w:widowControl w:val="0"/>
        <w:suppressAutoHyphens/>
        <w:spacing w:after="0" w:line="300" w:lineRule="atLeast"/>
        <w:jc w:val="both"/>
        <w:rPr>
          <w:rFonts w:ascii="Times New Roman" w:eastAsia="Times New Roman" w:hAnsi="Times New Roman" w:cs="Times New Roman"/>
          <w:b/>
          <w:color w:val="FF0000"/>
          <w:sz w:val="24"/>
          <w:szCs w:val="24"/>
          <w:lang w:eastAsia="pl-PL"/>
        </w:rPr>
      </w:pPr>
    </w:p>
    <w:p w14:paraId="0F4F5720" w14:textId="77777777" w:rsidR="00895F16" w:rsidRPr="007F400A" w:rsidRDefault="00895F16" w:rsidP="00FE6A46">
      <w:pPr>
        <w:keepNext/>
        <w:spacing w:after="120" w:line="300" w:lineRule="atLeast"/>
        <w:jc w:val="both"/>
        <w:outlineLvl w:val="0"/>
        <w:rPr>
          <w:rFonts w:ascii="Times New Roman" w:eastAsia="Times New Roman" w:hAnsi="Times New Roman" w:cs="Times New Roman"/>
          <w:b/>
          <w:bCs/>
          <w:sz w:val="24"/>
          <w:szCs w:val="24"/>
          <w:lang w:val="x-none" w:eastAsia="x-none"/>
        </w:rPr>
      </w:pPr>
      <w:bookmarkStart w:id="239" w:name="_Toc515437536"/>
      <w:bookmarkStart w:id="240" w:name="_Toc5878583"/>
      <w:bookmarkStart w:id="241" w:name="_Toc36732606"/>
      <w:bookmarkStart w:id="242" w:name="_Toc135935644"/>
      <w:r w:rsidRPr="007F400A">
        <w:rPr>
          <w:rFonts w:ascii="Times New Roman" w:eastAsia="Times New Roman" w:hAnsi="Times New Roman" w:cs="Times New Roman"/>
          <w:b/>
          <w:bCs/>
          <w:color w:val="000000"/>
          <w:sz w:val="24"/>
          <w:szCs w:val="24"/>
          <w:lang w:val="x-none" w:eastAsia="x-none"/>
        </w:rPr>
        <w:t>4.5</w:t>
      </w:r>
      <w:r w:rsidRPr="007F400A">
        <w:rPr>
          <w:rFonts w:ascii="Times New Roman" w:eastAsia="Times New Roman" w:hAnsi="Times New Roman" w:cs="Times New Roman"/>
          <w:b/>
          <w:bCs/>
          <w:sz w:val="24"/>
          <w:szCs w:val="24"/>
          <w:lang w:val="x-none" w:eastAsia="x-none"/>
        </w:rPr>
        <w:t xml:space="preserve"> Decyzje wstrzymujące działalność lub użytkowanie instalacji</w:t>
      </w:r>
      <w:bookmarkEnd w:id="239"/>
      <w:r w:rsidRPr="007F400A">
        <w:rPr>
          <w:rFonts w:ascii="Times New Roman" w:eastAsia="Times New Roman" w:hAnsi="Times New Roman" w:cs="Times New Roman"/>
          <w:b/>
          <w:bCs/>
          <w:sz w:val="24"/>
          <w:szCs w:val="24"/>
          <w:lang w:val="x-none" w:eastAsia="x-none"/>
        </w:rPr>
        <w:t xml:space="preserve"> (w tym oddanie </w:t>
      </w:r>
      <w:r w:rsidRPr="007F400A">
        <w:rPr>
          <w:rFonts w:ascii="Times New Roman" w:eastAsia="Times New Roman" w:hAnsi="Times New Roman" w:cs="Times New Roman"/>
          <w:b/>
          <w:bCs/>
          <w:sz w:val="24"/>
          <w:szCs w:val="24"/>
          <w:lang w:eastAsia="x-none"/>
        </w:rPr>
        <w:br/>
      </w:r>
      <w:r w:rsidRPr="007F400A">
        <w:rPr>
          <w:rFonts w:ascii="Times New Roman" w:eastAsia="Times New Roman" w:hAnsi="Times New Roman" w:cs="Times New Roman"/>
          <w:b/>
          <w:bCs/>
          <w:sz w:val="24"/>
          <w:szCs w:val="24"/>
          <w:lang w:val="x-none" w:eastAsia="x-none"/>
        </w:rPr>
        <w:t>do użytkowania)</w:t>
      </w:r>
      <w:bookmarkEnd w:id="240"/>
      <w:bookmarkEnd w:id="241"/>
      <w:bookmarkEnd w:id="242"/>
    </w:p>
    <w:p w14:paraId="142EC2D2" w14:textId="77777777" w:rsidR="00D539AA" w:rsidRPr="007F400A" w:rsidRDefault="00D539AA" w:rsidP="00FE6A46">
      <w:pPr>
        <w:spacing w:after="60" w:line="300" w:lineRule="atLeast"/>
        <w:ind w:firstLine="567"/>
        <w:jc w:val="both"/>
        <w:rPr>
          <w:rFonts w:ascii="Times New Roman" w:hAnsi="Times New Roman" w:cs="Times New Roman"/>
          <w:bCs/>
          <w:sz w:val="24"/>
          <w:szCs w:val="24"/>
        </w:rPr>
      </w:pPr>
      <w:bookmarkStart w:id="243" w:name="_Toc36732607"/>
      <w:r w:rsidRPr="007F400A">
        <w:rPr>
          <w:rFonts w:ascii="Times New Roman" w:hAnsi="Times New Roman" w:cs="Times New Roman"/>
          <w:bCs/>
          <w:sz w:val="24"/>
          <w:szCs w:val="24"/>
        </w:rPr>
        <w:t>W 202</w:t>
      </w:r>
      <w:r>
        <w:rPr>
          <w:rFonts w:ascii="Times New Roman" w:hAnsi="Times New Roman" w:cs="Times New Roman"/>
          <w:bCs/>
          <w:sz w:val="24"/>
          <w:szCs w:val="24"/>
        </w:rPr>
        <w:t>2</w:t>
      </w:r>
      <w:r w:rsidRPr="007F400A">
        <w:rPr>
          <w:rFonts w:ascii="Times New Roman" w:hAnsi="Times New Roman" w:cs="Times New Roman"/>
          <w:bCs/>
          <w:sz w:val="24"/>
          <w:szCs w:val="24"/>
        </w:rPr>
        <w:t xml:space="preserve"> r. wojewódzcy inspektorzy ochrony środowiska wydali 2</w:t>
      </w:r>
      <w:r>
        <w:rPr>
          <w:rFonts w:ascii="Times New Roman" w:hAnsi="Times New Roman" w:cs="Times New Roman"/>
          <w:bCs/>
          <w:sz w:val="24"/>
          <w:szCs w:val="24"/>
        </w:rPr>
        <w:t>27</w:t>
      </w:r>
      <w:r w:rsidRPr="007F400A">
        <w:rPr>
          <w:rFonts w:ascii="Times New Roman" w:hAnsi="Times New Roman" w:cs="Times New Roman"/>
          <w:bCs/>
          <w:sz w:val="24"/>
          <w:szCs w:val="24"/>
        </w:rPr>
        <w:t xml:space="preserve"> decyzje wstrzymujące, w tym:</w:t>
      </w:r>
    </w:p>
    <w:p w14:paraId="60F4A7C9" w14:textId="77777777" w:rsidR="00D539AA" w:rsidRPr="007F400A" w:rsidRDefault="00D539AA" w:rsidP="00D34F97">
      <w:pPr>
        <w:numPr>
          <w:ilvl w:val="0"/>
          <w:numId w:val="144"/>
        </w:numPr>
        <w:spacing w:after="0" w:line="300" w:lineRule="atLeast"/>
        <w:ind w:left="924" w:hanging="357"/>
        <w:jc w:val="both"/>
        <w:rPr>
          <w:rFonts w:ascii="Times New Roman" w:hAnsi="Times New Roman" w:cs="Times New Roman"/>
          <w:sz w:val="24"/>
          <w:szCs w:val="24"/>
          <w:lang w:eastAsia="x-none"/>
        </w:rPr>
      </w:pPr>
      <w:r>
        <w:rPr>
          <w:rFonts w:ascii="Times New Roman" w:hAnsi="Times New Roman" w:cs="Times New Roman"/>
          <w:sz w:val="24"/>
          <w:szCs w:val="24"/>
          <w:lang w:eastAsia="x-none"/>
        </w:rPr>
        <w:t>190</w:t>
      </w:r>
      <w:r w:rsidRPr="007F400A">
        <w:rPr>
          <w:rFonts w:ascii="Times New Roman" w:hAnsi="Times New Roman" w:cs="Times New Roman"/>
          <w:sz w:val="24"/>
          <w:szCs w:val="24"/>
          <w:lang w:eastAsia="x-none"/>
        </w:rPr>
        <w:t xml:space="preserve"> decyzji wstrzymujących działalność</w:t>
      </w:r>
      <w:r w:rsidRPr="007F400A">
        <w:rPr>
          <w:rFonts w:ascii="Times New Roman" w:hAnsi="Times New Roman" w:cs="Times New Roman"/>
          <w:sz w:val="24"/>
          <w:szCs w:val="24"/>
          <w:vertAlign w:val="superscript"/>
          <w:lang w:eastAsia="x-none"/>
        </w:rPr>
        <w:footnoteReference w:id="58"/>
      </w:r>
      <w:r w:rsidRPr="007F400A">
        <w:rPr>
          <w:rFonts w:ascii="Times New Roman" w:hAnsi="Times New Roman" w:cs="Times New Roman"/>
          <w:sz w:val="24"/>
          <w:szCs w:val="24"/>
          <w:lang w:eastAsia="x-none"/>
        </w:rPr>
        <w:t>,</w:t>
      </w:r>
    </w:p>
    <w:p w14:paraId="6ED71318" w14:textId="4AB9599E" w:rsidR="00895F16" w:rsidRPr="007F400A" w:rsidRDefault="00D539AA" w:rsidP="00F13EDA">
      <w:pPr>
        <w:numPr>
          <w:ilvl w:val="0"/>
          <w:numId w:val="144"/>
        </w:numPr>
        <w:autoSpaceDE w:val="0"/>
        <w:spacing w:after="0" w:line="300" w:lineRule="atLeast"/>
        <w:ind w:left="924" w:hanging="357"/>
        <w:jc w:val="both"/>
        <w:rPr>
          <w:rFonts w:ascii="Times New Roman" w:eastAsia="Times New Roman" w:hAnsi="Times New Roman" w:cs="Times New Roman"/>
          <w:bCs/>
          <w:sz w:val="24"/>
        </w:rPr>
      </w:pPr>
      <w:r w:rsidRPr="007F400A">
        <w:rPr>
          <w:rFonts w:ascii="Times New Roman" w:hAnsi="Times New Roman" w:cs="Times New Roman"/>
          <w:sz w:val="24"/>
          <w:szCs w:val="24"/>
          <w:lang w:eastAsia="x-none"/>
        </w:rPr>
        <w:t>3</w:t>
      </w:r>
      <w:r>
        <w:rPr>
          <w:rFonts w:ascii="Times New Roman" w:hAnsi="Times New Roman" w:cs="Times New Roman"/>
          <w:sz w:val="24"/>
          <w:szCs w:val="24"/>
          <w:lang w:eastAsia="x-none"/>
        </w:rPr>
        <w:t>7 </w:t>
      </w:r>
      <w:r w:rsidRPr="007F400A">
        <w:rPr>
          <w:rFonts w:ascii="Times New Roman" w:hAnsi="Times New Roman" w:cs="Times New Roman"/>
          <w:sz w:val="24"/>
          <w:szCs w:val="24"/>
          <w:lang w:eastAsia="x-none"/>
        </w:rPr>
        <w:t>decyzji wstrzymujących użytkowanie instalacji (w tym oddanie</w:t>
      </w:r>
      <w:r w:rsidR="00FE6A46">
        <w:rPr>
          <w:rFonts w:ascii="Times New Roman" w:hAnsi="Times New Roman" w:cs="Times New Roman"/>
          <w:sz w:val="24"/>
          <w:szCs w:val="24"/>
          <w:lang w:eastAsia="x-none"/>
        </w:rPr>
        <w:t xml:space="preserve"> do użytkowania</w:t>
      </w:r>
      <w:r w:rsidR="00A06B27">
        <w:rPr>
          <w:rFonts w:ascii="Times New Roman" w:hAnsi="Times New Roman" w:cs="Times New Roman"/>
          <w:sz w:val="24"/>
          <w:szCs w:val="24"/>
          <w:lang w:eastAsia="x-none"/>
        </w:rPr>
        <w:t>)</w:t>
      </w:r>
      <w:r w:rsidRPr="007F400A">
        <w:rPr>
          <w:rFonts w:ascii="Times New Roman" w:hAnsi="Times New Roman" w:cs="Times New Roman"/>
          <w:sz w:val="24"/>
          <w:szCs w:val="24"/>
          <w:vertAlign w:val="superscript"/>
          <w:lang w:eastAsia="x-none"/>
        </w:rPr>
        <w:footnoteReference w:id="59"/>
      </w:r>
      <w:r w:rsidR="00895F16" w:rsidRPr="007F400A">
        <w:rPr>
          <w:rFonts w:ascii="Times New Roman" w:hAnsi="Times New Roman" w:cs="Times New Roman"/>
          <w:sz w:val="24"/>
          <w:szCs w:val="24"/>
          <w:lang w:eastAsia="x-none"/>
        </w:rPr>
        <w:t>.</w:t>
      </w:r>
    </w:p>
    <w:bookmarkEnd w:id="243"/>
    <w:p w14:paraId="4C046A6B" w14:textId="77777777" w:rsidR="00895F16" w:rsidRPr="007F400A" w:rsidRDefault="00895F16" w:rsidP="00F13EDA">
      <w:pPr>
        <w:autoSpaceDE w:val="0"/>
        <w:spacing w:after="0" w:line="300" w:lineRule="atLeast"/>
        <w:jc w:val="both"/>
        <w:rPr>
          <w:rFonts w:ascii="Times New Roman" w:eastAsia="Times New Roman" w:hAnsi="Times New Roman" w:cs="Times New Roman"/>
          <w:bCs/>
          <w:sz w:val="24"/>
          <w:szCs w:val="20"/>
          <w:lang w:eastAsia="pl-PL"/>
        </w:rPr>
      </w:pPr>
    </w:p>
    <w:p w14:paraId="60735785" w14:textId="77777777" w:rsidR="00895F16" w:rsidRPr="007F400A" w:rsidRDefault="00895F16" w:rsidP="00056EE7">
      <w:pPr>
        <w:keepNext/>
        <w:spacing w:after="120" w:line="300" w:lineRule="atLeast"/>
        <w:outlineLvl w:val="0"/>
        <w:rPr>
          <w:rFonts w:ascii="Times New Roman" w:eastAsia="Times New Roman" w:hAnsi="Times New Roman" w:cs="Times New Roman"/>
          <w:b/>
          <w:bCs/>
          <w:sz w:val="24"/>
          <w:szCs w:val="24"/>
          <w:lang w:val="x-none" w:eastAsia="x-none"/>
        </w:rPr>
      </w:pPr>
      <w:bookmarkStart w:id="244" w:name="_Toc515437537"/>
      <w:bookmarkStart w:id="245" w:name="_Toc5878584"/>
      <w:bookmarkStart w:id="246" w:name="_Toc36732608"/>
      <w:bookmarkStart w:id="247" w:name="_Toc135935645"/>
      <w:r w:rsidRPr="007F400A">
        <w:rPr>
          <w:rFonts w:ascii="Times New Roman" w:eastAsia="Times New Roman" w:hAnsi="Times New Roman" w:cs="Times New Roman"/>
          <w:b/>
          <w:bCs/>
          <w:sz w:val="24"/>
          <w:szCs w:val="24"/>
          <w:lang w:val="x-none" w:eastAsia="x-none"/>
        </w:rPr>
        <w:lastRenderedPageBreak/>
        <w:t>4.6 Postępowanie egzekucyjne w sprawie decyzji o charakterze niepieniężnym</w:t>
      </w:r>
      <w:bookmarkEnd w:id="244"/>
      <w:bookmarkEnd w:id="245"/>
      <w:bookmarkEnd w:id="246"/>
      <w:bookmarkEnd w:id="247"/>
    </w:p>
    <w:p w14:paraId="2AEE8EFB" w14:textId="77777777" w:rsidR="00AD504A" w:rsidRPr="007F400A" w:rsidRDefault="00AD504A" w:rsidP="00AD504A">
      <w:pPr>
        <w:spacing w:after="0" w:line="300" w:lineRule="atLeast"/>
        <w:ind w:firstLine="567"/>
        <w:jc w:val="both"/>
        <w:rPr>
          <w:rFonts w:ascii="Times New Roman" w:eastAsia="Times New Roman" w:hAnsi="Times New Roman" w:cs="Times New Roman"/>
          <w:bCs/>
          <w:sz w:val="24"/>
        </w:rPr>
      </w:pPr>
      <w:r w:rsidRPr="007F400A">
        <w:rPr>
          <w:rFonts w:ascii="Times New Roman" w:eastAsia="Times New Roman" w:hAnsi="Times New Roman" w:cs="Times New Roman"/>
          <w:sz w:val="24"/>
        </w:rPr>
        <w:t>W 202</w:t>
      </w:r>
      <w:r>
        <w:rPr>
          <w:rFonts w:ascii="Times New Roman" w:eastAsia="Times New Roman" w:hAnsi="Times New Roman" w:cs="Times New Roman"/>
          <w:sz w:val="24"/>
        </w:rPr>
        <w:t>2</w:t>
      </w:r>
      <w:r w:rsidRPr="007F400A">
        <w:rPr>
          <w:rFonts w:ascii="Times New Roman" w:eastAsia="Times New Roman" w:hAnsi="Times New Roman" w:cs="Times New Roman"/>
          <w:sz w:val="24"/>
        </w:rPr>
        <w:t xml:space="preserve"> r. w związku z niewykonaniem obowiązków nałożonych </w:t>
      </w:r>
      <w:r w:rsidRPr="007F400A">
        <w:rPr>
          <w:rFonts w:ascii="Times New Roman" w:eastAsia="Times New Roman" w:hAnsi="Times New Roman" w:cs="Times New Roman"/>
          <w:bCs/>
          <w:sz w:val="24"/>
        </w:rPr>
        <w:t>decyzjami o charakterze niepieniężnym</w:t>
      </w:r>
      <w:r w:rsidRPr="007F400A">
        <w:rPr>
          <w:rFonts w:ascii="Times New Roman" w:eastAsia="Times New Roman" w:hAnsi="Times New Roman" w:cs="Times New Roman"/>
          <w:sz w:val="24"/>
        </w:rPr>
        <w:t xml:space="preserve">, wojewódzcy inspektorzy ochrony środowiska </w:t>
      </w:r>
      <w:r w:rsidRPr="007F400A">
        <w:rPr>
          <w:rFonts w:ascii="Times New Roman" w:eastAsia="Times New Roman" w:hAnsi="Times New Roman" w:cs="Times New Roman"/>
          <w:bCs/>
          <w:sz w:val="24"/>
        </w:rPr>
        <w:t xml:space="preserve">prowadzili </w:t>
      </w:r>
      <w:r>
        <w:rPr>
          <w:rFonts w:ascii="Times New Roman" w:eastAsia="Times New Roman" w:hAnsi="Times New Roman" w:cs="Times New Roman"/>
          <w:bCs/>
          <w:sz w:val="24"/>
        </w:rPr>
        <w:t>18</w:t>
      </w:r>
      <w:r w:rsidRPr="007F400A">
        <w:rPr>
          <w:rFonts w:ascii="Times New Roman" w:eastAsia="Times New Roman" w:hAnsi="Times New Roman" w:cs="Times New Roman"/>
          <w:bCs/>
          <w:sz w:val="24"/>
        </w:rPr>
        <w:t> postępowa</w:t>
      </w:r>
      <w:r>
        <w:rPr>
          <w:rFonts w:ascii="Times New Roman" w:eastAsia="Times New Roman" w:hAnsi="Times New Roman" w:cs="Times New Roman"/>
          <w:bCs/>
          <w:sz w:val="24"/>
        </w:rPr>
        <w:t>ń</w:t>
      </w:r>
      <w:r w:rsidRPr="007F400A">
        <w:rPr>
          <w:rFonts w:ascii="Times New Roman" w:eastAsia="Times New Roman" w:hAnsi="Times New Roman" w:cs="Times New Roman"/>
          <w:bCs/>
          <w:sz w:val="24"/>
        </w:rPr>
        <w:t xml:space="preserve"> egzekucyjn</w:t>
      </w:r>
      <w:r>
        <w:rPr>
          <w:rFonts w:ascii="Times New Roman" w:eastAsia="Times New Roman" w:hAnsi="Times New Roman" w:cs="Times New Roman"/>
          <w:bCs/>
          <w:sz w:val="24"/>
        </w:rPr>
        <w:t>ych</w:t>
      </w:r>
      <w:r w:rsidRPr="007F400A">
        <w:rPr>
          <w:rFonts w:ascii="Times New Roman" w:eastAsia="Times New Roman" w:hAnsi="Times New Roman" w:cs="Times New Roman"/>
          <w:bCs/>
          <w:sz w:val="24"/>
        </w:rPr>
        <w:t xml:space="preserve">. </w:t>
      </w:r>
    </w:p>
    <w:p w14:paraId="232A3105" w14:textId="24DFD97D" w:rsidR="00895F16" w:rsidRDefault="00AD504A" w:rsidP="00056EE7">
      <w:pPr>
        <w:spacing w:after="0" w:line="300" w:lineRule="atLeast"/>
        <w:ind w:firstLine="567"/>
        <w:jc w:val="both"/>
        <w:rPr>
          <w:rFonts w:ascii="Times New Roman" w:eastAsia="Times New Roman" w:hAnsi="Times New Roman" w:cs="Times New Roman"/>
          <w:bCs/>
          <w:sz w:val="24"/>
        </w:rPr>
      </w:pPr>
      <w:r w:rsidRPr="007F400A">
        <w:rPr>
          <w:rFonts w:ascii="Times New Roman" w:eastAsia="Times New Roman" w:hAnsi="Times New Roman" w:cs="Times New Roman"/>
          <w:bCs/>
          <w:sz w:val="24"/>
        </w:rPr>
        <w:t xml:space="preserve">W ramach prowadzonych postępowań </w:t>
      </w:r>
      <w:r w:rsidRPr="007F400A">
        <w:rPr>
          <w:rFonts w:ascii="Times New Roman" w:eastAsia="Times New Roman" w:hAnsi="Times New Roman" w:cs="Times New Roman"/>
          <w:sz w:val="24"/>
        </w:rPr>
        <w:t xml:space="preserve">wojewódzcy inspektorzy ochrony środowiska </w:t>
      </w:r>
      <w:r w:rsidRPr="007F400A">
        <w:rPr>
          <w:rFonts w:ascii="Times New Roman" w:eastAsia="Times New Roman" w:hAnsi="Times New Roman" w:cs="Times New Roman"/>
          <w:bCs/>
          <w:sz w:val="24"/>
        </w:rPr>
        <w:t xml:space="preserve">wystosowali </w:t>
      </w:r>
      <w:r w:rsidRPr="007F400A">
        <w:rPr>
          <w:rFonts w:ascii="Times New Roman" w:eastAsia="Times New Roman" w:hAnsi="Times New Roman" w:cs="Times New Roman"/>
          <w:sz w:val="24"/>
        </w:rPr>
        <w:t>1</w:t>
      </w:r>
      <w:r>
        <w:rPr>
          <w:rFonts w:ascii="Times New Roman" w:eastAsia="Times New Roman" w:hAnsi="Times New Roman" w:cs="Times New Roman"/>
          <w:sz w:val="24"/>
        </w:rPr>
        <w:t>6</w:t>
      </w:r>
      <w:r w:rsidRPr="007F400A">
        <w:rPr>
          <w:rFonts w:ascii="Times New Roman" w:eastAsia="Times New Roman" w:hAnsi="Times New Roman" w:cs="Times New Roman"/>
          <w:sz w:val="24"/>
        </w:rPr>
        <w:t xml:space="preserve"> upomnień, 1</w:t>
      </w:r>
      <w:r>
        <w:rPr>
          <w:rFonts w:ascii="Times New Roman" w:eastAsia="Times New Roman" w:hAnsi="Times New Roman" w:cs="Times New Roman"/>
          <w:sz w:val="24"/>
        </w:rPr>
        <w:t>0</w:t>
      </w:r>
      <w:r w:rsidRPr="007F400A">
        <w:rPr>
          <w:rFonts w:ascii="Times New Roman" w:eastAsia="Times New Roman" w:hAnsi="Times New Roman" w:cs="Times New Roman"/>
          <w:sz w:val="24"/>
        </w:rPr>
        <w:t xml:space="preserve"> tytułów wykonawczych oraz nałożyli </w:t>
      </w:r>
      <w:r>
        <w:rPr>
          <w:rFonts w:ascii="Times New Roman" w:eastAsia="Times New Roman" w:hAnsi="Times New Roman" w:cs="Times New Roman"/>
          <w:sz w:val="24"/>
        </w:rPr>
        <w:t>11</w:t>
      </w:r>
      <w:r w:rsidRPr="007F400A">
        <w:rPr>
          <w:rFonts w:ascii="Times New Roman" w:eastAsia="Times New Roman" w:hAnsi="Times New Roman" w:cs="Times New Roman"/>
          <w:sz w:val="24"/>
        </w:rPr>
        <w:t xml:space="preserve"> grzywien w celu przymuszenia na łączną kwotę </w:t>
      </w:r>
      <w:r>
        <w:rPr>
          <w:rFonts w:ascii="Times New Roman" w:eastAsia="Times New Roman" w:hAnsi="Times New Roman" w:cs="Times New Roman"/>
          <w:sz w:val="24"/>
        </w:rPr>
        <w:t>224 000,00 </w:t>
      </w:r>
      <w:r w:rsidRPr="007F400A">
        <w:rPr>
          <w:rFonts w:ascii="Times New Roman" w:eastAsia="Times New Roman" w:hAnsi="Times New Roman" w:cs="Times New Roman"/>
          <w:sz w:val="24"/>
        </w:rPr>
        <w:t xml:space="preserve">zł, z czego </w:t>
      </w:r>
      <w:r>
        <w:rPr>
          <w:rFonts w:ascii="Times New Roman" w:eastAsia="Times New Roman" w:hAnsi="Times New Roman" w:cs="Times New Roman"/>
          <w:sz w:val="24"/>
        </w:rPr>
        <w:t xml:space="preserve">90 000,00 zł </w:t>
      </w:r>
      <w:r w:rsidRPr="007F400A">
        <w:rPr>
          <w:rFonts w:ascii="Times New Roman" w:eastAsia="Times New Roman" w:hAnsi="Times New Roman" w:cs="Times New Roman"/>
          <w:sz w:val="24"/>
        </w:rPr>
        <w:t>w woj. mazowieckim</w:t>
      </w:r>
      <w:r>
        <w:rPr>
          <w:rFonts w:ascii="Times New Roman" w:eastAsia="Times New Roman" w:hAnsi="Times New Roman" w:cs="Times New Roman"/>
          <w:sz w:val="24"/>
        </w:rPr>
        <w:t>, 60</w:t>
      </w:r>
      <w:r w:rsidRPr="007F400A">
        <w:rPr>
          <w:rFonts w:ascii="Times New Roman" w:eastAsia="Times New Roman" w:hAnsi="Times New Roman" w:cs="Times New Roman"/>
          <w:sz w:val="24"/>
        </w:rPr>
        <w:t> 000,00</w:t>
      </w:r>
      <w:r>
        <w:rPr>
          <w:rFonts w:ascii="Times New Roman" w:eastAsia="Times New Roman" w:hAnsi="Times New Roman" w:cs="Times New Roman"/>
          <w:sz w:val="24"/>
        </w:rPr>
        <w:t> </w:t>
      </w:r>
      <w:r w:rsidRPr="007F400A">
        <w:rPr>
          <w:rFonts w:ascii="Times New Roman" w:eastAsia="Times New Roman" w:hAnsi="Times New Roman" w:cs="Times New Roman"/>
          <w:sz w:val="24"/>
        </w:rPr>
        <w:t xml:space="preserve">zł w woj. pomorskim, </w:t>
      </w:r>
      <w:r>
        <w:rPr>
          <w:rFonts w:ascii="Times New Roman" w:eastAsia="Times New Roman" w:hAnsi="Times New Roman" w:cs="Times New Roman"/>
          <w:sz w:val="24"/>
        </w:rPr>
        <w:t>50</w:t>
      </w:r>
      <w:r w:rsidRPr="007F400A">
        <w:rPr>
          <w:rFonts w:ascii="Times New Roman" w:eastAsia="Times New Roman" w:hAnsi="Times New Roman" w:cs="Times New Roman"/>
          <w:sz w:val="24"/>
        </w:rPr>
        <w:t> 000,00</w:t>
      </w:r>
      <w:r>
        <w:rPr>
          <w:rFonts w:ascii="Times New Roman" w:eastAsia="Times New Roman" w:hAnsi="Times New Roman" w:cs="Times New Roman"/>
          <w:sz w:val="24"/>
        </w:rPr>
        <w:t> </w:t>
      </w:r>
      <w:r w:rsidRPr="007F400A">
        <w:rPr>
          <w:rFonts w:ascii="Times New Roman" w:eastAsia="Times New Roman" w:hAnsi="Times New Roman" w:cs="Times New Roman"/>
          <w:sz w:val="24"/>
        </w:rPr>
        <w:t xml:space="preserve">zł w woj. </w:t>
      </w:r>
      <w:r>
        <w:rPr>
          <w:rFonts w:ascii="Times New Roman" w:eastAsia="Times New Roman" w:hAnsi="Times New Roman" w:cs="Times New Roman"/>
          <w:sz w:val="24"/>
        </w:rPr>
        <w:t>łódzkim</w:t>
      </w:r>
      <w:r w:rsidRPr="007F400A">
        <w:rPr>
          <w:rFonts w:ascii="Times New Roman" w:eastAsia="Times New Roman" w:hAnsi="Times New Roman" w:cs="Times New Roman"/>
          <w:sz w:val="24"/>
        </w:rPr>
        <w:t xml:space="preserve">, </w:t>
      </w:r>
      <w:r>
        <w:rPr>
          <w:rFonts w:ascii="Times New Roman" w:eastAsia="Times New Roman" w:hAnsi="Times New Roman" w:cs="Times New Roman"/>
          <w:sz w:val="24"/>
        </w:rPr>
        <w:t>2</w:t>
      </w:r>
      <w:r w:rsidRPr="007F400A">
        <w:rPr>
          <w:rFonts w:ascii="Times New Roman" w:eastAsia="Times New Roman" w:hAnsi="Times New Roman" w:cs="Times New Roman"/>
          <w:sz w:val="24"/>
        </w:rPr>
        <w:t>0 000,00</w:t>
      </w:r>
      <w:r>
        <w:rPr>
          <w:rFonts w:ascii="Times New Roman" w:eastAsia="Times New Roman" w:hAnsi="Times New Roman" w:cs="Times New Roman"/>
          <w:sz w:val="24"/>
        </w:rPr>
        <w:t> </w:t>
      </w:r>
      <w:r w:rsidRPr="007F400A">
        <w:rPr>
          <w:rFonts w:ascii="Times New Roman" w:eastAsia="Times New Roman" w:hAnsi="Times New Roman" w:cs="Times New Roman"/>
          <w:sz w:val="24"/>
        </w:rPr>
        <w:t xml:space="preserve">zł </w:t>
      </w:r>
      <w:r>
        <w:rPr>
          <w:rFonts w:ascii="Times New Roman" w:eastAsia="Times New Roman" w:hAnsi="Times New Roman" w:cs="Times New Roman"/>
          <w:sz w:val="24"/>
        </w:rPr>
        <w:t>w woj. wielkopolskim</w:t>
      </w:r>
      <w:r w:rsidRPr="007F400A">
        <w:rPr>
          <w:rFonts w:ascii="Times New Roman" w:eastAsia="Times New Roman" w:hAnsi="Times New Roman" w:cs="Times New Roman"/>
          <w:sz w:val="24"/>
        </w:rPr>
        <w:t xml:space="preserve"> </w:t>
      </w:r>
      <w:r>
        <w:rPr>
          <w:rFonts w:ascii="Times New Roman" w:eastAsia="Times New Roman" w:hAnsi="Times New Roman" w:cs="Times New Roman"/>
          <w:sz w:val="24"/>
        </w:rPr>
        <w:t>i</w:t>
      </w:r>
      <w:r w:rsidRPr="007F400A">
        <w:rPr>
          <w:rFonts w:ascii="Times New Roman" w:eastAsia="Times New Roman" w:hAnsi="Times New Roman" w:cs="Times New Roman"/>
          <w:sz w:val="24"/>
        </w:rPr>
        <w:t xml:space="preserve"> </w:t>
      </w:r>
      <w:r>
        <w:rPr>
          <w:rFonts w:ascii="Times New Roman" w:eastAsia="Times New Roman" w:hAnsi="Times New Roman" w:cs="Times New Roman"/>
          <w:sz w:val="24"/>
        </w:rPr>
        <w:t>4 000</w:t>
      </w:r>
      <w:r w:rsidRPr="007F400A">
        <w:rPr>
          <w:rFonts w:ascii="Times New Roman" w:eastAsia="Times New Roman" w:hAnsi="Times New Roman" w:cs="Times New Roman"/>
          <w:sz w:val="24"/>
        </w:rPr>
        <w:t>,00</w:t>
      </w:r>
      <w:r>
        <w:rPr>
          <w:rFonts w:ascii="Times New Roman" w:eastAsia="Times New Roman" w:hAnsi="Times New Roman" w:cs="Times New Roman"/>
          <w:sz w:val="24"/>
        </w:rPr>
        <w:t> </w:t>
      </w:r>
      <w:r w:rsidRPr="007F400A">
        <w:rPr>
          <w:rFonts w:ascii="Times New Roman" w:eastAsia="Times New Roman" w:hAnsi="Times New Roman" w:cs="Times New Roman"/>
          <w:sz w:val="24"/>
        </w:rPr>
        <w:t>zł w woj. podlaskim</w:t>
      </w:r>
      <w:r w:rsidR="00895F16" w:rsidRPr="007F400A">
        <w:rPr>
          <w:rFonts w:ascii="Times New Roman" w:eastAsia="Times New Roman" w:hAnsi="Times New Roman" w:cs="Times New Roman"/>
          <w:bCs/>
          <w:sz w:val="24"/>
        </w:rPr>
        <w:t>.</w:t>
      </w:r>
    </w:p>
    <w:p w14:paraId="3AA74D2D" w14:textId="77777777" w:rsidR="00F13EDA" w:rsidRPr="007F400A" w:rsidRDefault="00F13EDA" w:rsidP="00056EE7">
      <w:pPr>
        <w:spacing w:after="0" w:line="300" w:lineRule="atLeast"/>
        <w:ind w:firstLine="567"/>
        <w:jc w:val="both"/>
        <w:rPr>
          <w:rFonts w:ascii="Times New Roman" w:eastAsia="Times New Roman" w:hAnsi="Times New Roman" w:cs="Times New Roman"/>
          <w:bCs/>
          <w:sz w:val="24"/>
          <w:szCs w:val="20"/>
          <w:lang w:eastAsia="pl-PL"/>
        </w:rPr>
      </w:pPr>
    </w:p>
    <w:p w14:paraId="3F3AB057" w14:textId="13603D8B" w:rsidR="00895F16" w:rsidRPr="007F400A" w:rsidRDefault="00895F16" w:rsidP="00A06B27">
      <w:pPr>
        <w:keepNext/>
        <w:spacing w:after="120" w:line="300" w:lineRule="atLeast"/>
        <w:outlineLvl w:val="0"/>
        <w:rPr>
          <w:rFonts w:ascii="Times New Roman" w:eastAsia="Times New Roman" w:hAnsi="Times New Roman" w:cs="Times New Roman"/>
          <w:b/>
          <w:bCs/>
          <w:sz w:val="24"/>
          <w:szCs w:val="24"/>
          <w:lang w:val="x-none" w:eastAsia="x-none"/>
        </w:rPr>
      </w:pPr>
      <w:bookmarkStart w:id="248" w:name="_Toc36732610"/>
      <w:bookmarkStart w:id="249" w:name="_Toc135935646"/>
      <w:r w:rsidRPr="007F400A">
        <w:rPr>
          <w:rFonts w:ascii="Times New Roman" w:eastAsia="Times New Roman" w:hAnsi="Times New Roman" w:cs="Times New Roman"/>
          <w:b/>
          <w:bCs/>
          <w:sz w:val="24"/>
          <w:szCs w:val="24"/>
          <w:lang w:val="x-none" w:eastAsia="x-none"/>
        </w:rPr>
        <w:t>4.</w:t>
      </w:r>
      <w:r w:rsidR="00DF4AA4" w:rsidRPr="007F400A">
        <w:rPr>
          <w:rFonts w:ascii="Times New Roman" w:eastAsia="Times New Roman" w:hAnsi="Times New Roman" w:cs="Times New Roman"/>
          <w:b/>
          <w:bCs/>
          <w:sz w:val="24"/>
          <w:szCs w:val="24"/>
          <w:lang w:eastAsia="x-none"/>
        </w:rPr>
        <w:t>7</w:t>
      </w:r>
      <w:r w:rsidRPr="007F400A">
        <w:rPr>
          <w:rFonts w:ascii="Times New Roman" w:eastAsia="Times New Roman" w:hAnsi="Times New Roman" w:cs="Times New Roman"/>
          <w:b/>
          <w:bCs/>
          <w:sz w:val="24"/>
          <w:szCs w:val="24"/>
          <w:lang w:val="x-none" w:eastAsia="x-none"/>
        </w:rPr>
        <w:t xml:space="preserve"> Realizacja zadań organu II instancji</w:t>
      </w:r>
      <w:bookmarkEnd w:id="248"/>
      <w:bookmarkEnd w:id="249"/>
    </w:p>
    <w:p w14:paraId="541190B8" w14:textId="77A6B5EB" w:rsidR="00D539AA" w:rsidRPr="00A55FC3" w:rsidRDefault="00A06B27" w:rsidP="00A06B27">
      <w:pPr>
        <w:pStyle w:val="Akapitzlist"/>
        <w:tabs>
          <w:tab w:val="left" w:pos="142"/>
          <w:tab w:val="left" w:pos="709"/>
        </w:tabs>
        <w:spacing w:line="300" w:lineRule="atLeast"/>
        <w:ind w:left="0" w:firstLine="567"/>
        <w:jc w:val="both"/>
        <w:rPr>
          <w:color w:val="FF0000"/>
          <w:sz w:val="24"/>
          <w:szCs w:val="24"/>
        </w:rPr>
      </w:pPr>
      <w:r>
        <w:rPr>
          <w:sz w:val="24"/>
          <w:szCs w:val="24"/>
        </w:rPr>
        <w:tab/>
      </w:r>
      <w:r w:rsidR="00D539AA" w:rsidRPr="00A55FC3">
        <w:rPr>
          <w:sz w:val="24"/>
          <w:szCs w:val="24"/>
        </w:rPr>
        <w:t>W 20</w:t>
      </w:r>
      <w:r w:rsidR="00D539AA">
        <w:rPr>
          <w:sz w:val="24"/>
          <w:szCs w:val="24"/>
        </w:rPr>
        <w:t>22</w:t>
      </w:r>
      <w:r w:rsidR="00D539AA" w:rsidRPr="00A55FC3">
        <w:rPr>
          <w:sz w:val="24"/>
          <w:szCs w:val="24"/>
        </w:rPr>
        <w:t xml:space="preserve"> r. do Głównego Inspektor</w:t>
      </w:r>
      <w:r w:rsidR="00D539AA">
        <w:rPr>
          <w:sz w:val="24"/>
          <w:szCs w:val="24"/>
        </w:rPr>
        <w:t>atu</w:t>
      </w:r>
      <w:r w:rsidR="00D539AA" w:rsidRPr="00A55FC3">
        <w:rPr>
          <w:sz w:val="24"/>
          <w:szCs w:val="24"/>
        </w:rPr>
        <w:t xml:space="preserve"> Ochrony Środowiska wpłynęło </w:t>
      </w:r>
      <w:r w:rsidR="00D539AA" w:rsidRPr="00ED7E44">
        <w:rPr>
          <w:b/>
          <w:sz w:val="24"/>
          <w:szCs w:val="24"/>
        </w:rPr>
        <w:t>1</w:t>
      </w:r>
      <w:r w:rsidR="00AD504A">
        <w:rPr>
          <w:b/>
          <w:sz w:val="24"/>
          <w:szCs w:val="24"/>
          <w:lang w:val="pl-PL"/>
        </w:rPr>
        <w:t xml:space="preserve"> </w:t>
      </w:r>
      <w:r w:rsidR="00D539AA" w:rsidRPr="00ED7E44">
        <w:rPr>
          <w:b/>
          <w:sz w:val="24"/>
          <w:szCs w:val="24"/>
        </w:rPr>
        <w:t>86</w:t>
      </w:r>
      <w:r w:rsidR="00D539AA">
        <w:rPr>
          <w:b/>
          <w:sz w:val="24"/>
          <w:szCs w:val="24"/>
        </w:rPr>
        <w:t>6</w:t>
      </w:r>
      <w:r w:rsidR="00D539AA">
        <w:rPr>
          <w:sz w:val="24"/>
          <w:szCs w:val="24"/>
        </w:rPr>
        <w:t xml:space="preserve"> </w:t>
      </w:r>
      <w:r w:rsidR="00D539AA" w:rsidRPr="00A55FC3">
        <w:rPr>
          <w:sz w:val="24"/>
          <w:szCs w:val="24"/>
        </w:rPr>
        <w:t>spraw dotyczących</w:t>
      </w:r>
      <w:r w:rsidR="00D539AA">
        <w:rPr>
          <w:sz w:val="24"/>
          <w:szCs w:val="24"/>
        </w:rPr>
        <w:t xml:space="preserve">: </w:t>
      </w:r>
      <w:proofErr w:type="spellStart"/>
      <w:r w:rsidR="00D539AA">
        <w:rPr>
          <w:sz w:val="24"/>
          <w:szCs w:val="24"/>
        </w:rPr>
        <w:t>odwołań</w:t>
      </w:r>
      <w:proofErr w:type="spellEnd"/>
      <w:r w:rsidR="00D539AA" w:rsidRPr="00A55FC3">
        <w:rPr>
          <w:sz w:val="24"/>
          <w:szCs w:val="24"/>
        </w:rPr>
        <w:t xml:space="preserve"> od decyzji wojewódzkich inspektorów ochrony środowiska, zażale</w:t>
      </w:r>
      <w:r w:rsidR="00D539AA">
        <w:rPr>
          <w:sz w:val="24"/>
          <w:szCs w:val="24"/>
        </w:rPr>
        <w:t>ń</w:t>
      </w:r>
      <w:r w:rsidR="00D539AA" w:rsidRPr="00A55FC3">
        <w:rPr>
          <w:sz w:val="24"/>
          <w:szCs w:val="24"/>
        </w:rPr>
        <w:t xml:space="preserve"> na postanowieni</w:t>
      </w:r>
      <w:r w:rsidR="00D539AA">
        <w:rPr>
          <w:sz w:val="24"/>
          <w:szCs w:val="24"/>
        </w:rPr>
        <w:t>a</w:t>
      </w:r>
      <w:r w:rsidR="00D539AA" w:rsidRPr="00A55FC3">
        <w:rPr>
          <w:sz w:val="24"/>
          <w:szCs w:val="24"/>
        </w:rPr>
        <w:t xml:space="preserve"> wojewódzkich inspektorów ochrony środowiska, wniosk</w:t>
      </w:r>
      <w:r>
        <w:rPr>
          <w:sz w:val="24"/>
          <w:szCs w:val="24"/>
          <w:lang w:val="pl-PL"/>
        </w:rPr>
        <w:t>ów</w:t>
      </w:r>
      <w:r w:rsidR="00D539AA" w:rsidRPr="00A55FC3">
        <w:rPr>
          <w:sz w:val="24"/>
          <w:szCs w:val="24"/>
        </w:rPr>
        <w:t xml:space="preserve"> o stwierdzenie nieważności decyzji wojewódzkich inspektorów ochrony środowiska, wniosk</w:t>
      </w:r>
      <w:r>
        <w:rPr>
          <w:sz w:val="24"/>
          <w:szCs w:val="24"/>
          <w:lang w:val="pl-PL"/>
        </w:rPr>
        <w:t>ów</w:t>
      </w:r>
      <w:r w:rsidR="00D539AA" w:rsidRPr="00A55FC3">
        <w:rPr>
          <w:sz w:val="24"/>
          <w:szCs w:val="24"/>
        </w:rPr>
        <w:t xml:space="preserve"> o ponowne rozpatrzenie spraw zakończonych decyzją lub postanowieniem</w:t>
      </w:r>
      <w:r w:rsidR="00D539AA">
        <w:rPr>
          <w:sz w:val="24"/>
          <w:szCs w:val="24"/>
        </w:rPr>
        <w:t xml:space="preserve"> </w:t>
      </w:r>
      <w:r w:rsidR="00D539AA" w:rsidRPr="00A55FC3">
        <w:rPr>
          <w:sz w:val="24"/>
          <w:szCs w:val="24"/>
        </w:rPr>
        <w:t>Głównego Inspektora Ochrony Środowiska</w:t>
      </w:r>
      <w:r>
        <w:rPr>
          <w:sz w:val="24"/>
          <w:szCs w:val="24"/>
          <w:lang w:val="pl-PL"/>
        </w:rPr>
        <w:t>,</w:t>
      </w:r>
      <w:r w:rsidR="00D539AA">
        <w:rPr>
          <w:sz w:val="24"/>
          <w:szCs w:val="24"/>
        </w:rPr>
        <w:t xml:space="preserve"> ponagle</w:t>
      </w:r>
      <w:r>
        <w:rPr>
          <w:sz w:val="24"/>
          <w:szCs w:val="24"/>
          <w:lang w:val="pl-PL"/>
        </w:rPr>
        <w:t>ń</w:t>
      </w:r>
      <w:r w:rsidR="00D539AA">
        <w:rPr>
          <w:sz w:val="24"/>
          <w:szCs w:val="24"/>
        </w:rPr>
        <w:t xml:space="preserve"> na działanie </w:t>
      </w:r>
      <w:proofErr w:type="spellStart"/>
      <w:r w:rsidR="00D539AA">
        <w:rPr>
          <w:sz w:val="24"/>
          <w:szCs w:val="24"/>
        </w:rPr>
        <w:t>wioś</w:t>
      </w:r>
      <w:proofErr w:type="spellEnd"/>
      <w:r w:rsidR="00D539AA" w:rsidRPr="00A55FC3">
        <w:rPr>
          <w:sz w:val="24"/>
          <w:szCs w:val="24"/>
        </w:rPr>
        <w:t>, skarg do Wojewódzkiego Sądu Administracyjnego w Warszawie na decyzje lub postanowienia Głównego Inspektora Ochrony Środowiska oraz skarg kasacyjn</w:t>
      </w:r>
      <w:r>
        <w:rPr>
          <w:sz w:val="24"/>
          <w:szCs w:val="24"/>
          <w:lang w:val="pl-PL"/>
        </w:rPr>
        <w:t>ych</w:t>
      </w:r>
      <w:r w:rsidR="00D539AA" w:rsidRPr="00A55FC3">
        <w:rPr>
          <w:sz w:val="24"/>
          <w:szCs w:val="24"/>
        </w:rPr>
        <w:t xml:space="preserve"> złożon</w:t>
      </w:r>
      <w:r>
        <w:rPr>
          <w:sz w:val="24"/>
          <w:szCs w:val="24"/>
          <w:lang w:val="pl-PL"/>
        </w:rPr>
        <w:t>ych</w:t>
      </w:r>
      <w:r w:rsidR="00D539AA" w:rsidRPr="00A55FC3">
        <w:rPr>
          <w:sz w:val="24"/>
          <w:szCs w:val="24"/>
        </w:rPr>
        <w:t xml:space="preserve"> do Naczelnego Sądu Administracyjnego od wyrok</w:t>
      </w:r>
      <w:r w:rsidR="00D539AA">
        <w:rPr>
          <w:sz w:val="24"/>
          <w:szCs w:val="24"/>
        </w:rPr>
        <w:t>ów</w:t>
      </w:r>
      <w:r w:rsidR="00D539AA" w:rsidRPr="00A55FC3">
        <w:rPr>
          <w:sz w:val="24"/>
          <w:szCs w:val="24"/>
        </w:rPr>
        <w:t xml:space="preserve"> Wojewódzkiego Sądu Administracyjnego w Warszawie, zażale</w:t>
      </w:r>
      <w:r>
        <w:rPr>
          <w:sz w:val="24"/>
          <w:szCs w:val="24"/>
          <w:lang w:val="pl-PL"/>
        </w:rPr>
        <w:t>ń</w:t>
      </w:r>
      <w:r w:rsidR="00D539AA" w:rsidRPr="00A55FC3">
        <w:rPr>
          <w:sz w:val="24"/>
          <w:szCs w:val="24"/>
        </w:rPr>
        <w:t xml:space="preserve"> do Naczelnego Sądu Administracyjnego na postanowienia Wojewódzkiego Sądu Administracyjnego w Warszawie</w:t>
      </w:r>
      <w:r>
        <w:rPr>
          <w:sz w:val="24"/>
          <w:szCs w:val="24"/>
          <w:lang w:val="pl-PL"/>
        </w:rPr>
        <w:t>, a także</w:t>
      </w:r>
      <w:r w:rsidR="00D539AA" w:rsidRPr="00A55FC3">
        <w:rPr>
          <w:sz w:val="24"/>
          <w:szCs w:val="24"/>
        </w:rPr>
        <w:t xml:space="preserve"> </w:t>
      </w:r>
      <w:r w:rsidR="00D539AA">
        <w:rPr>
          <w:sz w:val="24"/>
          <w:szCs w:val="24"/>
        </w:rPr>
        <w:t>sprzeciw</w:t>
      </w:r>
      <w:r>
        <w:rPr>
          <w:sz w:val="24"/>
          <w:szCs w:val="24"/>
          <w:lang w:val="pl-PL"/>
        </w:rPr>
        <w:t>ów</w:t>
      </w:r>
      <w:r w:rsidR="00D539AA">
        <w:rPr>
          <w:sz w:val="24"/>
          <w:szCs w:val="24"/>
        </w:rPr>
        <w:t xml:space="preserve"> do Wojewódzkiego Są</w:t>
      </w:r>
      <w:r w:rsidR="00D539AA" w:rsidRPr="00A55FC3">
        <w:rPr>
          <w:sz w:val="24"/>
          <w:szCs w:val="24"/>
        </w:rPr>
        <w:t>du Administracyjnego w Warszawie od decyzji Głównego Inspektora Ochrony Środowiska</w:t>
      </w:r>
      <w:r w:rsidR="00D539AA">
        <w:rPr>
          <w:sz w:val="24"/>
          <w:szCs w:val="24"/>
        </w:rPr>
        <w:t xml:space="preserve">, skarg na bezczynność lub przewlekłe prowadzenie sprawy przez Głównego Inspektora Ochrony Środowiska. </w:t>
      </w:r>
    </w:p>
    <w:p w14:paraId="60E463A9" w14:textId="33D4ED65" w:rsidR="00D539AA" w:rsidRDefault="00D539AA" w:rsidP="00A06B27">
      <w:pPr>
        <w:spacing w:after="60" w:line="300" w:lineRule="atLeast"/>
        <w:ind w:firstLine="567"/>
        <w:jc w:val="both"/>
        <w:rPr>
          <w:rFonts w:ascii="Times New Roman" w:hAnsi="Times New Roman"/>
          <w:sz w:val="24"/>
          <w:szCs w:val="24"/>
        </w:rPr>
      </w:pPr>
      <w:r>
        <w:rPr>
          <w:rFonts w:ascii="Times New Roman" w:hAnsi="Times New Roman"/>
          <w:sz w:val="24"/>
          <w:szCs w:val="24"/>
        </w:rPr>
        <w:t>Sprawy</w:t>
      </w:r>
      <w:r w:rsidR="00A06B27">
        <w:rPr>
          <w:rFonts w:ascii="Times New Roman" w:hAnsi="Times New Roman"/>
          <w:sz w:val="24"/>
          <w:szCs w:val="24"/>
        </w:rPr>
        <w:t>,</w:t>
      </w:r>
      <w:r>
        <w:rPr>
          <w:rFonts w:ascii="Times New Roman" w:hAnsi="Times New Roman"/>
          <w:sz w:val="24"/>
          <w:szCs w:val="24"/>
        </w:rPr>
        <w:t xml:space="preserve"> jakie wpłynęły do Głównego Inspektoratu Ochrony Środowiska</w:t>
      </w:r>
      <w:r w:rsidR="00A06B27">
        <w:rPr>
          <w:rFonts w:ascii="Times New Roman" w:hAnsi="Times New Roman"/>
          <w:sz w:val="24"/>
          <w:szCs w:val="24"/>
        </w:rPr>
        <w:t>,</w:t>
      </w:r>
      <w:r>
        <w:rPr>
          <w:rFonts w:ascii="Times New Roman" w:hAnsi="Times New Roman"/>
          <w:sz w:val="24"/>
          <w:szCs w:val="24"/>
        </w:rPr>
        <w:t xml:space="preserve"> w</w:t>
      </w:r>
      <w:r w:rsidRPr="00A55FC3">
        <w:rPr>
          <w:rFonts w:ascii="Times New Roman" w:hAnsi="Times New Roman"/>
          <w:sz w:val="24"/>
          <w:szCs w:val="24"/>
        </w:rPr>
        <w:t xml:space="preserve"> podziale </w:t>
      </w:r>
      <w:r>
        <w:rPr>
          <w:rFonts w:ascii="Times New Roman" w:hAnsi="Times New Roman"/>
          <w:sz w:val="24"/>
          <w:szCs w:val="24"/>
        </w:rPr>
        <w:br/>
      </w:r>
      <w:r w:rsidRPr="00A55FC3">
        <w:rPr>
          <w:rFonts w:ascii="Times New Roman" w:hAnsi="Times New Roman"/>
          <w:sz w:val="24"/>
          <w:szCs w:val="24"/>
        </w:rPr>
        <w:t xml:space="preserve">na </w:t>
      </w:r>
      <w:r>
        <w:rPr>
          <w:rFonts w:ascii="Times New Roman" w:hAnsi="Times New Roman"/>
          <w:sz w:val="24"/>
          <w:szCs w:val="24"/>
        </w:rPr>
        <w:t>komponenty przedstawiają się następująco:</w:t>
      </w:r>
    </w:p>
    <w:p w14:paraId="34D02FC6" w14:textId="77777777" w:rsidR="00D539AA" w:rsidRPr="00DD5B8A" w:rsidRDefault="00D539AA" w:rsidP="00D34F97">
      <w:pPr>
        <w:numPr>
          <w:ilvl w:val="2"/>
          <w:numId w:val="199"/>
        </w:numPr>
        <w:spacing w:after="0" w:line="300" w:lineRule="atLeast"/>
        <w:ind w:left="0" w:firstLine="426"/>
        <w:jc w:val="both"/>
        <w:rPr>
          <w:rFonts w:ascii="Times New Roman" w:hAnsi="Times New Roman"/>
          <w:sz w:val="24"/>
          <w:szCs w:val="24"/>
        </w:rPr>
      </w:pPr>
      <w:r w:rsidRPr="00AE4CB7">
        <w:rPr>
          <w:rFonts w:ascii="Times New Roman" w:hAnsi="Times New Roman"/>
          <w:sz w:val="24"/>
          <w:szCs w:val="24"/>
        </w:rPr>
        <w:t>gospodarka odpadami –</w:t>
      </w:r>
      <w:r>
        <w:rPr>
          <w:rFonts w:ascii="Times New Roman" w:hAnsi="Times New Roman"/>
          <w:b/>
          <w:sz w:val="24"/>
          <w:szCs w:val="24"/>
        </w:rPr>
        <w:t xml:space="preserve"> </w:t>
      </w:r>
      <w:r w:rsidRPr="00DD5B8A">
        <w:rPr>
          <w:rFonts w:ascii="Times New Roman" w:hAnsi="Times New Roman"/>
          <w:sz w:val="24"/>
          <w:szCs w:val="24"/>
        </w:rPr>
        <w:t>575</w:t>
      </w:r>
      <w:r>
        <w:rPr>
          <w:rFonts w:ascii="Times New Roman" w:hAnsi="Times New Roman"/>
          <w:sz w:val="24"/>
          <w:szCs w:val="24"/>
        </w:rPr>
        <w:t>,</w:t>
      </w:r>
      <w:r w:rsidRPr="00DD5B8A">
        <w:rPr>
          <w:rFonts w:ascii="Times New Roman" w:hAnsi="Times New Roman"/>
          <w:sz w:val="24"/>
          <w:szCs w:val="24"/>
        </w:rPr>
        <w:t xml:space="preserve"> </w:t>
      </w:r>
    </w:p>
    <w:p w14:paraId="31C58F8E" w14:textId="77777777" w:rsidR="00D539AA" w:rsidRPr="00703421" w:rsidRDefault="00D539AA" w:rsidP="00D34F97">
      <w:pPr>
        <w:numPr>
          <w:ilvl w:val="2"/>
          <w:numId w:val="199"/>
        </w:numPr>
        <w:spacing w:after="0" w:line="300" w:lineRule="atLeast"/>
        <w:ind w:left="0" w:firstLine="426"/>
        <w:jc w:val="both"/>
        <w:rPr>
          <w:rFonts w:ascii="Times New Roman" w:hAnsi="Times New Roman"/>
          <w:sz w:val="24"/>
          <w:szCs w:val="24"/>
        </w:rPr>
      </w:pPr>
      <w:r w:rsidRPr="00703421">
        <w:rPr>
          <w:rFonts w:ascii="Times New Roman" w:hAnsi="Times New Roman"/>
          <w:sz w:val="24"/>
          <w:szCs w:val="24"/>
        </w:rPr>
        <w:t>wydanie opinii odnośnie produktu ubocznego -2</w:t>
      </w:r>
      <w:r>
        <w:rPr>
          <w:rFonts w:ascii="Times New Roman" w:hAnsi="Times New Roman"/>
          <w:sz w:val="24"/>
          <w:szCs w:val="24"/>
        </w:rPr>
        <w:t>1</w:t>
      </w:r>
      <w:r w:rsidRPr="00703421">
        <w:rPr>
          <w:rFonts w:ascii="Times New Roman" w:hAnsi="Times New Roman"/>
          <w:sz w:val="24"/>
          <w:szCs w:val="24"/>
        </w:rPr>
        <w:t>,</w:t>
      </w:r>
    </w:p>
    <w:p w14:paraId="0320FF26" w14:textId="77777777" w:rsidR="00D539AA" w:rsidRPr="00703421" w:rsidRDefault="00D539AA" w:rsidP="00D34F97">
      <w:pPr>
        <w:pStyle w:val="Akapitzlist"/>
        <w:numPr>
          <w:ilvl w:val="0"/>
          <w:numId w:val="199"/>
        </w:numPr>
        <w:tabs>
          <w:tab w:val="left" w:pos="142"/>
        </w:tabs>
        <w:spacing w:line="300" w:lineRule="atLeast"/>
        <w:ind w:left="714" w:hanging="357"/>
        <w:contextualSpacing w:val="0"/>
        <w:jc w:val="both"/>
        <w:rPr>
          <w:sz w:val="24"/>
          <w:szCs w:val="24"/>
        </w:rPr>
      </w:pPr>
      <w:r w:rsidRPr="00703421">
        <w:rPr>
          <w:sz w:val="24"/>
          <w:szCs w:val="24"/>
        </w:rPr>
        <w:t>gospodarka wodno-ściekowa – 1</w:t>
      </w:r>
      <w:r>
        <w:rPr>
          <w:sz w:val="24"/>
          <w:szCs w:val="24"/>
        </w:rPr>
        <w:t>23</w:t>
      </w:r>
      <w:r w:rsidRPr="00703421">
        <w:rPr>
          <w:sz w:val="24"/>
          <w:szCs w:val="24"/>
        </w:rPr>
        <w:t xml:space="preserve">, </w:t>
      </w:r>
    </w:p>
    <w:p w14:paraId="23E91000" w14:textId="77777777" w:rsidR="00D539AA" w:rsidRPr="00703421" w:rsidRDefault="00D539AA" w:rsidP="00D34F97">
      <w:pPr>
        <w:pStyle w:val="Akapitzlist"/>
        <w:numPr>
          <w:ilvl w:val="0"/>
          <w:numId w:val="199"/>
        </w:numPr>
        <w:tabs>
          <w:tab w:val="left" w:pos="142"/>
        </w:tabs>
        <w:spacing w:line="300" w:lineRule="atLeast"/>
        <w:ind w:left="714" w:hanging="357"/>
        <w:contextualSpacing w:val="0"/>
        <w:jc w:val="both"/>
        <w:rPr>
          <w:sz w:val="24"/>
          <w:szCs w:val="24"/>
        </w:rPr>
      </w:pPr>
      <w:r w:rsidRPr="00703421">
        <w:rPr>
          <w:sz w:val="24"/>
          <w:szCs w:val="24"/>
        </w:rPr>
        <w:t>nadmierny pobór wody – 18,</w:t>
      </w:r>
    </w:p>
    <w:p w14:paraId="3F179683" w14:textId="77777777" w:rsidR="00D539AA" w:rsidRPr="00DD5B8A" w:rsidRDefault="00D539AA" w:rsidP="00D34F97">
      <w:pPr>
        <w:pStyle w:val="Akapitzlist"/>
        <w:numPr>
          <w:ilvl w:val="0"/>
          <w:numId w:val="199"/>
        </w:numPr>
        <w:tabs>
          <w:tab w:val="left" w:pos="142"/>
        </w:tabs>
        <w:spacing w:line="300" w:lineRule="atLeast"/>
        <w:ind w:left="714" w:hanging="357"/>
        <w:contextualSpacing w:val="0"/>
        <w:jc w:val="both"/>
        <w:rPr>
          <w:sz w:val="24"/>
          <w:szCs w:val="24"/>
        </w:rPr>
      </w:pPr>
      <w:r w:rsidRPr="00930D9F">
        <w:rPr>
          <w:sz w:val="24"/>
          <w:szCs w:val="24"/>
        </w:rPr>
        <w:t xml:space="preserve">międzynarodowe przemieszczanie odpadów – </w:t>
      </w:r>
      <w:r w:rsidRPr="00930D9F">
        <w:rPr>
          <w:b/>
          <w:sz w:val="24"/>
          <w:szCs w:val="24"/>
        </w:rPr>
        <w:t xml:space="preserve"> </w:t>
      </w:r>
      <w:r w:rsidRPr="00DD5B8A">
        <w:rPr>
          <w:sz w:val="24"/>
          <w:szCs w:val="24"/>
        </w:rPr>
        <w:t>82,</w:t>
      </w:r>
    </w:p>
    <w:p w14:paraId="06F5E726" w14:textId="77777777" w:rsidR="00D539AA" w:rsidRPr="00DD5B8A" w:rsidRDefault="00D539AA" w:rsidP="00D34F97">
      <w:pPr>
        <w:pStyle w:val="Akapitzlist"/>
        <w:numPr>
          <w:ilvl w:val="0"/>
          <w:numId w:val="199"/>
        </w:numPr>
        <w:tabs>
          <w:tab w:val="left" w:pos="142"/>
        </w:tabs>
        <w:spacing w:line="300" w:lineRule="atLeast"/>
        <w:ind w:left="714" w:hanging="357"/>
        <w:contextualSpacing w:val="0"/>
        <w:jc w:val="both"/>
        <w:rPr>
          <w:sz w:val="24"/>
          <w:szCs w:val="24"/>
        </w:rPr>
      </w:pPr>
      <w:r w:rsidRPr="00DD5B8A">
        <w:rPr>
          <w:sz w:val="24"/>
          <w:szCs w:val="24"/>
        </w:rPr>
        <w:t>recykling pojazdów wycofanych z eksploatacji – 86,</w:t>
      </w:r>
    </w:p>
    <w:p w14:paraId="22B16231" w14:textId="77777777" w:rsidR="00D539AA" w:rsidRPr="008D68B9" w:rsidRDefault="00D539AA" w:rsidP="00D34F97">
      <w:pPr>
        <w:pStyle w:val="Akapitzlist"/>
        <w:numPr>
          <w:ilvl w:val="0"/>
          <w:numId w:val="199"/>
        </w:numPr>
        <w:tabs>
          <w:tab w:val="left" w:pos="142"/>
        </w:tabs>
        <w:spacing w:line="300" w:lineRule="atLeast"/>
        <w:ind w:left="714" w:hanging="357"/>
        <w:contextualSpacing w:val="0"/>
        <w:jc w:val="both"/>
        <w:rPr>
          <w:sz w:val="24"/>
          <w:szCs w:val="24"/>
        </w:rPr>
      </w:pPr>
      <w:r w:rsidRPr="008D68B9">
        <w:rPr>
          <w:sz w:val="24"/>
          <w:szCs w:val="24"/>
        </w:rPr>
        <w:t xml:space="preserve">zużyty sprzęt elektryczny i elektroniczny –  </w:t>
      </w:r>
      <w:r>
        <w:rPr>
          <w:sz w:val="24"/>
          <w:szCs w:val="24"/>
        </w:rPr>
        <w:t>21</w:t>
      </w:r>
      <w:r w:rsidRPr="008D68B9">
        <w:rPr>
          <w:sz w:val="24"/>
          <w:szCs w:val="24"/>
        </w:rPr>
        <w:t>,</w:t>
      </w:r>
    </w:p>
    <w:p w14:paraId="0A10ACEC" w14:textId="77777777" w:rsidR="00D539AA" w:rsidRPr="008D68B9" w:rsidRDefault="00D539AA" w:rsidP="00D34F97">
      <w:pPr>
        <w:pStyle w:val="Akapitzlist"/>
        <w:numPr>
          <w:ilvl w:val="0"/>
          <w:numId w:val="199"/>
        </w:numPr>
        <w:tabs>
          <w:tab w:val="left" w:pos="142"/>
        </w:tabs>
        <w:spacing w:line="300" w:lineRule="atLeast"/>
        <w:ind w:left="714" w:hanging="357"/>
        <w:contextualSpacing w:val="0"/>
        <w:jc w:val="both"/>
        <w:rPr>
          <w:sz w:val="24"/>
          <w:szCs w:val="24"/>
        </w:rPr>
      </w:pPr>
      <w:r w:rsidRPr="008D68B9">
        <w:rPr>
          <w:sz w:val="24"/>
          <w:szCs w:val="24"/>
        </w:rPr>
        <w:t xml:space="preserve">brak wpisu do BDO – </w:t>
      </w:r>
      <w:r>
        <w:rPr>
          <w:sz w:val="24"/>
          <w:szCs w:val="24"/>
        </w:rPr>
        <w:t>30</w:t>
      </w:r>
      <w:r w:rsidRPr="008D68B9">
        <w:rPr>
          <w:sz w:val="24"/>
          <w:szCs w:val="24"/>
        </w:rPr>
        <w:t xml:space="preserve">, </w:t>
      </w:r>
    </w:p>
    <w:p w14:paraId="3CC69946" w14:textId="77777777" w:rsidR="00D539AA" w:rsidRPr="008D68B9" w:rsidRDefault="00D539AA" w:rsidP="00D34F97">
      <w:pPr>
        <w:pStyle w:val="Akapitzlist"/>
        <w:numPr>
          <w:ilvl w:val="0"/>
          <w:numId w:val="199"/>
        </w:numPr>
        <w:tabs>
          <w:tab w:val="left" w:pos="142"/>
        </w:tabs>
        <w:spacing w:line="300" w:lineRule="atLeast"/>
        <w:ind w:left="714" w:hanging="357"/>
        <w:contextualSpacing w:val="0"/>
        <w:jc w:val="both"/>
        <w:rPr>
          <w:sz w:val="24"/>
          <w:szCs w:val="24"/>
        </w:rPr>
      </w:pPr>
      <w:r w:rsidRPr="008D68B9">
        <w:rPr>
          <w:sz w:val="24"/>
          <w:szCs w:val="24"/>
        </w:rPr>
        <w:t xml:space="preserve">ochrona przed hałasem – </w:t>
      </w:r>
      <w:r>
        <w:rPr>
          <w:sz w:val="24"/>
          <w:szCs w:val="24"/>
        </w:rPr>
        <w:t>42</w:t>
      </w:r>
      <w:r w:rsidRPr="008D68B9">
        <w:rPr>
          <w:sz w:val="24"/>
          <w:szCs w:val="24"/>
        </w:rPr>
        <w:t>,</w:t>
      </w:r>
    </w:p>
    <w:p w14:paraId="29F2ED78" w14:textId="77777777" w:rsidR="00D539AA" w:rsidRPr="008D68B9" w:rsidRDefault="00D539AA" w:rsidP="00D34F97">
      <w:pPr>
        <w:pStyle w:val="Akapitzlist"/>
        <w:numPr>
          <w:ilvl w:val="0"/>
          <w:numId w:val="199"/>
        </w:numPr>
        <w:tabs>
          <w:tab w:val="left" w:pos="142"/>
        </w:tabs>
        <w:spacing w:line="300" w:lineRule="atLeast"/>
        <w:ind w:left="714" w:hanging="357"/>
        <w:contextualSpacing w:val="0"/>
        <w:jc w:val="both"/>
        <w:rPr>
          <w:sz w:val="24"/>
          <w:szCs w:val="24"/>
        </w:rPr>
      </w:pPr>
      <w:r w:rsidRPr="008D68B9">
        <w:rPr>
          <w:sz w:val="24"/>
          <w:szCs w:val="24"/>
        </w:rPr>
        <w:t xml:space="preserve">wstrzymanie użytkowania lub oddania do użytkowania – </w:t>
      </w:r>
      <w:r>
        <w:rPr>
          <w:sz w:val="24"/>
          <w:szCs w:val="24"/>
        </w:rPr>
        <w:t>27</w:t>
      </w:r>
      <w:r w:rsidRPr="008D68B9">
        <w:rPr>
          <w:sz w:val="24"/>
          <w:szCs w:val="24"/>
        </w:rPr>
        <w:t>,</w:t>
      </w:r>
    </w:p>
    <w:p w14:paraId="678CE2AB" w14:textId="77777777" w:rsidR="00D539AA" w:rsidRPr="008D68B9" w:rsidRDefault="00D539AA" w:rsidP="00D34F97">
      <w:pPr>
        <w:pStyle w:val="Akapitzlist"/>
        <w:numPr>
          <w:ilvl w:val="0"/>
          <w:numId w:val="199"/>
        </w:numPr>
        <w:tabs>
          <w:tab w:val="left" w:pos="142"/>
        </w:tabs>
        <w:spacing w:line="300" w:lineRule="atLeast"/>
        <w:ind w:left="714" w:hanging="357"/>
        <w:contextualSpacing w:val="0"/>
        <w:jc w:val="both"/>
        <w:rPr>
          <w:sz w:val="24"/>
          <w:szCs w:val="24"/>
        </w:rPr>
      </w:pPr>
      <w:r w:rsidRPr="008D68B9">
        <w:rPr>
          <w:sz w:val="24"/>
          <w:szCs w:val="24"/>
        </w:rPr>
        <w:t>wstrzymanie działalności –</w:t>
      </w:r>
      <w:r>
        <w:rPr>
          <w:sz w:val="24"/>
          <w:szCs w:val="24"/>
        </w:rPr>
        <w:t xml:space="preserve">84, </w:t>
      </w:r>
    </w:p>
    <w:p w14:paraId="22E09E4D" w14:textId="33F9F54A" w:rsidR="00D539AA" w:rsidRPr="008D68B9" w:rsidRDefault="00D539AA" w:rsidP="00D34F97">
      <w:pPr>
        <w:pStyle w:val="Akapitzlist"/>
        <w:numPr>
          <w:ilvl w:val="0"/>
          <w:numId w:val="199"/>
        </w:numPr>
        <w:tabs>
          <w:tab w:val="left" w:pos="142"/>
        </w:tabs>
        <w:spacing w:line="300" w:lineRule="atLeast"/>
        <w:ind w:left="714" w:hanging="357"/>
        <w:contextualSpacing w:val="0"/>
        <w:jc w:val="both"/>
        <w:rPr>
          <w:sz w:val="24"/>
          <w:szCs w:val="24"/>
        </w:rPr>
      </w:pPr>
      <w:r w:rsidRPr="008D68B9">
        <w:rPr>
          <w:sz w:val="24"/>
          <w:szCs w:val="24"/>
        </w:rPr>
        <w:t xml:space="preserve">uwalnianie i transfer zanieczyszczeń (PRTR) – </w:t>
      </w:r>
      <w:r>
        <w:rPr>
          <w:sz w:val="24"/>
          <w:szCs w:val="24"/>
        </w:rPr>
        <w:t>19</w:t>
      </w:r>
      <w:r w:rsidRPr="008D68B9">
        <w:rPr>
          <w:sz w:val="24"/>
          <w:szCs w:val="24"/>
        </w:rPr>
        <w:t>,</w:t>
      </w:r>
    </w:p>
    <w:p w14:paraId="1E25C432" w14:textId="77777777" w:rsidR="00D539AA" w:rsidRPr="008D68B9" w:rsidRDefault="00D539AA" w:rsidP="00D34F97">
      <w:pPr>
        <w:pStyle w:val="Akapitzlist"/>
        <w:numPr>
          <w:ilvl w:val="0"/>
          <w:numId w:val="199"/>
        </w:numPr>
        <w:tabs>
          <w:tab w:val="left" w:pos="142"/>
        </w:tabs>
        <w:spacing w:line="300" w:lineRule="atLeast"/>
        <w:ind w:left="714" w:hanging="357"/>
        <w:contextualSpacing w:val="0"/>
        <w:jc w:val="both"/>
        <w:rPr>
          <w:sz w:val="24"/>
          <w:szCs w:val="24"/>
        </w:rPr>
      </w:pPr>
      <w:r w:rsidRPr="008D68B9">
        <w:rPr>
          <w:sz w:val="24"/>
          <w:szCs w:val="24"/>
        </w:rPr>
        <w:t>baterie i akumulatory – 2,</w:t>
      </w:r>
    </w:p>
    <w:p w14:paraId="29E46BEF" w14:textId="77777777" w:rsidR="00D539AA" w:rsidRPr="00112A2E" w:rsidRDefault="00D539AA" w:rsidP="00D34F97">
      <w:pPr>
        <w:pStyle w:val="Akapitzlist"/>
        <w:numPr>
          <w:ilvl w:val="0"/>
          <w:numId w:val="199"/>
        </w:numPr>
        <w:tabs>
          <w:tab w:val="left" w:pos="142"/>
        </w:tabs>
        <w:spacing w:line="300" w:lineRule="atLeast"/>
        <w:ind w:left="714" w:hanging="357"/>
        <w:contextualSpacing w:val="0"/>
        <w:jc w:val="both"/>
        <w:rPr>
          <w:sz w:val="24"/>
          <w:szCs w:val="24"/>
        </w:rPr>
      </w:pPr>
      <w:r w:rsidRPr="00112A2E">
        <w:rPr>
          <w:sz w:val="24"/>
          <w:szCs w:val="24"/>
        </w:rPr>
        <w:t xml:space="preserve">opakowania i odpady opakowaniowe – </w:t>
      </w:r>
      <w:r>
        <w:rPr>
          <w:sz w:val="24"/>
          <w:szCs w:val="24"/>
        </w:rPr>
        <w:t>84</w:t>
      </w:r>
      <w:r w:rsidRPr="00112A2E">
        <w:rPr>
          <w:sz w:val="24"/>
          <w:szCs w:val="24"/>
        </w:rPr>
        <w:t>,</w:t>
      </w:r>
    </w:p>
    <w:p w14:paraId="3B0D8B63" w14:textId="77777777" w:rsidR="00D539AA" w:rsidRPr="008D68B9" w:rsidRDefault="00D539AA" w:rsidP="00D34F97">
      <w:pPr>
        <w:pStyle w:val="Akapitzlist"/>
        <w:numPr>
          <w:ilvl w:val="0"/>
          <w:numId w:val="199"/>
        </w:numPr>
        <w:tabs>
          <w:tab w:val="left" w:pos="142"/>
        </w:tabs>
        <w:spacing w:line="300" w:lineRule="atLeast"/>
        <w:ind w:left="714" w:hanging="357"/>
        <w:contextualSpacing w:val="0"/>
        <w:jc w:val="both"/>
        <w:rPr>
          <w:sz w:val="24"/>
          <w:szCs w:val="24"/>
        </w:rPr>
      </w:pPr>
      <w:r w:rsidRPr="008D68B9">
        <w:rPr>
          <w:sz w:val="24"/>
          <w:szCs w:val="24"/>
        </w:rPr>
        <w:t xml:space="preserve">ustawa o utrzymaniu czystości i porządku w gminach – </w:t>
      </w:r>
      <w:r>
        <w:rPr>
          <w:sz w:val="24"/>
          <w:szCs w:val="24"/>
        </w:rPr>
        <w:t>253</w:t>
      </w:r>
      <w:r w:rsidRPr="008D68B9">
        <w:rPr>
          <w:sz w:val="24"/>
          <w:szCs w:val="24"/>
        </w:rPr>
        <w:t>,</w:t>
      </w:r>
    </w:p>
    <w:p w14:paraId="11A92D75" w14:textId="77777777" w:rsidR="00D539AA" w:rsidRPr="008D68B9" w:rsidRDefault="00D539AA" w:rsidP="00D34F97">
      <w:pPr>
        <w:pStyle w:val="Akapitzlist"/>
        <w:numPr>
          <w:ilvl w:val="0"/>
          <w:numId w:val="199"/>
        </w:numPr>
        <w:tabs>
          <w:tab w:val="left" w:pos="142"/>
        </w:tabs>
        <w:spacing w:line="300" w:lineRule="atLeast"/>
        <w:ind w:left="714" w:hanging="357"/>
        <w:contextualSpacing w:val="0"/>
        <w:jc w:val="both"/>
        <w:rPr>
          <w:sz w:val="24"/>
          <w:szCs w:val="24"/>
        </w:rPr>
      </w:pPr>
      <w:r w:rsidRPr="008D68B9">
        <w:rPr>
          <w:sz w:val="24"/>
          <w:szCs w:val="24"/>
        </w:rPr>
        <w:t xml:space="preserve">ustawa o przeciwdziałaniu marnowania żywności - </w:t>
      </w:r>
      <w:r>
        <w:rPr>
          <w:sz w:val="24"/>
          <w:szCs w:val="24"/>
        </w:rPr>
        <w:t>15</w:t>
      </w:r>
    </w:p>
    <w:p w14:paraId="2241A8D6" w14:textId="77777777" w:rsidR="00D539AA" w:rsidRPr="008D68B9" w:rsidRDefault="00D539AA" w:rsidP="00D34F97">
      <w:pPr>
        <w:pStyle w:val="Akapitzlist"/>
        <w:numPr>
          <w:ilvl w:val="0"/>
          <w:numId w:val="199"/>
        </w:numPr>
        <w:tabs>
          <w:tab w:val="left" w:pos="142"/>
        </w:tabs>
        <w:spacing w:line="300" w:lineRule="atLeast"/>
        <w:ind w:left="714" w:hanging="357"/>
        <w:contextualSpacing w:val="0"/>
        <w:jc w:val="both"/>
        <w:rPr>
          <w:sz w:val="24"/>
          <w:szCs w:val="24"/>
        </w:rPr>
      </w:pPr>
      <w:r w:rsidRPr="008D68B9">
        <w:rPr>
          <w:sz w:val="24"/>
          <w:szCs w:val="24"/>
        </w:rPr>
        <w:t xml:space="preserve">ochrona powietrza – </w:t>
      </w:r>
      <w:r>
        <w:rPr>
          <w:sz w:val="24"/>
          <w:szCs w:val="24"/>
        </w:rPr>
        <w:t>75</w:t>
      </w:r>
      <w:r w:rsidRPr="008D68B9">
        <w:rPr>
          <w:sz w:val="24"/>
          <w:szCs w:val="24"/>
        </w:rPr>
        <w:t xml:space="preserve">, </w:t>
      </w:r>
    </w:p>
    <w:p w14:paraId="4BF6F095" w14:textId="77777777" w:rsidR="00D539AA" w:rsidRPr="008D68B9" w:rsidRDefault="00D539AA" w:rsidP="00D34F97">
      <w:pPr>
        <w:pStyle w:val="Akapitzlist"/>
        <w:numPr>
          <w:ilvl w:val="0"/>
          <w:numId w:val="199"/>
        </w:numPr>
        <w:tabs>
          <w:tab w:val="left" w:pos="142"/>
        </w:tabs>
        <w:spacing w:line="300" w:lineRule="atLeast"/>
        <w:ind w:left="714" w:hanging="357"/>
        <w:contextualSpacing w:val="0"/>
        <w:jc w:val="both"/>
        <w:rPr>
          <w:sz w:val="24"/>
          <w:szCs w:val="24"/>
        </w:rPr>
      </w:pPr>
      <w:r w:rsidRPr="008D68B9">
        <w:rPr>
          <w:sz w:val="24"/>
          <w:szCs w:val="24"/>
        </w:rPr>
        <w:t xml:space="preserve">handel </w:t>
      </w:r>
      <w:r>
        <w:rPr>
          <w:sz w:val="24"/>
          <w:szCs w:val="24"/>
        </w:rPr>
        <w:t xml:space="preserve">uprawnieniami do emisji gazów cieplarnianych </w:t>
      </w:r>
      <w:r w:rsidRPr="008D68B9">
        <w:rPr>
          <w:sz w:val="24"/>
          <w:szCs w:val="24"/>
        </w:rPr>
        <w:t xml:space="preserve"> – </w:t>
      </w:r>
      <w:r>
        <w:rPr>
          <w:sz w:val="24"/>
          <w:szCs w:val="24"/>
        </w:rPr>
        <w:t>9</w:t>
      </w:r>
      <w:r w:rsidRPr="008D68B9">
        <w:rPr>
          <w:sz w:val="24"/>
          <w:szCs w:val="24"/>
        </w:rPr>
        <w:t xml:space="preserve">, </w:t>
      </w:r>
    </w:p>
    <w:p w14:paraId="5B7871F9" w14:textId="77777777" w:rsidR="00D539AA" w:rsidRPr="008D68B9" w:rsidRDefault="00D539AA" w:rsidP="00D34F97">
      <w:pPr>
        <w:pStyle w:val="Akapitzlist"/>
        <w:numPr>
          <w:ilvl w:val="0"/>
          <w:numId w:val="199"/>
        </w:numPr>
        <w:tabs>
          <w:tab w:val="left" w:pos="142"/>
        </w:tabs>
        <w:spacing w:line="300" w:lineRule="atLeast"/>
        <w:ind w:left="714" w:hanging="357"/>
        <w:contextualSpacing w:val="0"/>
        <w:jc w:val="both"/>
        <w:rPr>
          <w:sz w:val="24"/>
          <w:szCs w:val="24"/>
        </w:rPr>
      </w:pPr>
      <w:r w:rsidRPr="00A55FC3">
        <w:rPr>
          <w:sz w:val="24"/>
          <w:szCs w:val="24"/>
        </w:rPr>
        <w:lastRenderedPageBreak/>
        <w:t>dostęp do informacji publicznej oraz udostępnienie informacji o śr</w:t>
      </w:r>
      <w:r>
        <w:rPr>
          <w:sz w:val="24"/>
          <w:szCs w:val="24"/>
        </w:rPr>
        <w:t>odowisku i jego ochronie – 30,</w:t>
      </w:r>
    </w:p>
    <w:p w14:paraId="36B9423D" w14:textId="77777777" w:rsidR="00D539AA" w:rsidRPr="008D68B9" w:rsidRDefault="00D539AA" w:rsidP="00D34F97">
      <w:pPr>
        <w:pStyle w:val="Akapitzlist"/>
        <w:numPr>
          <w:ilvl w:val="0"/>
          <w:numId w:val="199"/>
        </w:numPr>
        <w:tabs>
          <w:tab w:val="left" w:pos="142"/>
        </w:tabs>
        <w:spacing w:line="300" w:lineRule="atLeast"/>
        <w:ind w:left="714" w:hanging="357"/>
        <w:contextualSpacing w:val="0"/>
        <w:jc w:val="both"/>
        <w:rPr>
          <w:sz w:val="24"/>
          <w:szCs w:val="24"/>
        </w:rPr>
      </w:pPr>
      <w:r w:rsidRPr="008D68B9">
        <w:rPr>
          <w:sz w:val="24"/>
          <w:szCs w:val="24"/>
        </w:rPr>
        <w:t>postępowanie egzekucyjne w administracji – 2</w:t>
      </w:r>
      <w:r>
        <w:rPr>
          <w:sz w:val="24"/>
          <w:szCs w:val="24"/>
        </w:rPr>
        <w:t>4</w:t>
      </w:r>
      <w:r w:rsidRPr="008D68B9">
        <w:rPr>
          <w:sz w:val="24"/>
          <w:szCs w:val="24"/>
        </w:rPr>
        <w:t>,</w:t>
      </w:r>
    </w:p>
    <w:p w14:paraId="7C2EDD65" w14:textId="77777777" w:rsidR="00D539AA" w:rsidRPr="008D68B9" w:rsidRDefault="00D539AA" w:rsidP="00D34F97">
      <w:pPr>
        <w:pStyle w:val="Akapitzlist"/>
        <w:numPr>
          <w:ilvl w:val="0"/>
          <w:numId w:val="199"/>
        </w:numPr>
        <w:tabs>
          <w:tab w:val="left" w:pos="142"/>
        </w:tabs>
        <w:spacing w:line="300" w:lineRule="atLeast"/>
        <w:ind w:left="714" w:hanging="357"/>
        <w:contextualSpacing w:val="0"/>
        <w:jc w:val="both"/>
        <w:rPr>
          <w:sz w:val="24"/>
          <w:szCs w:val="24"/>
        </w:rPr>
      </w:pPr>
      <w:r w:rsidRPr="008D68B9">
        <w:rPr>
          <w:sz w:val="24"/>
          <w:szCs w:val="24"/>
        </w:rPr>
        <w:t xml:space="preserve">ordynacja podatkowa – </w:t>
      </w:r>
      <w:r>
        <w:rPr>
          <w:sz w:val="24"/>
          <w:szCs w:val="24"/>
        </w:rPr>
        <w:t>39</w:t>
      </w:r>
      <w:r w:rsidRPr="008D68B9">
        <w:rPr>
          <w:sz w:val="24"/>
          <w:szCs w:val="24"/>
        </w:rPr>
        <w:t>,</w:t>
      </w:r>
    </w:p>
    <w:p w14:paraId="2CF07796" w14:textId="77777777" w:rsidR="00D539AA" w:rsidRPr="00F300EE" w:rsidRDefault="00D539AA" w:rsidP="00D34F97">
      <w:pPr>
        <w:pStyle w:val="Akapitzlist"/>
        <w:numPr>
          <w:ilvl w:val="0"/>
          <w:numId w:val="199"/>
        </w:numPr>
        <w:tabs>
          <w:tab w:val="left" w:pos="142"/>
        </w:tabs>
        <w:spacing w:line="300" w:lineRule="atLeast"/>
        <w:ind w:left="714" w:hanging="357"/>
        <w:contextualSpacing w:val="0"/>
        <w:jc w:val="both"/>
        <w:rPr>
          <w:sz w:val="24"/>
          <w:szCs w:val="24"/>
        </w:rPr>
      </w:pPr>
      <w:r w:rsidRPr="00F300EE">
        <w:rPr>
          <w:sz w:val="24"/>
          <w:szCs w:val="24"/>
        </w:rPr>
        <w:t xml:space="preserve">rozpatrzenie sprzeciwu i wydanie postanowienia o odstąpieniu od czynności kontrolnych lub kontynuowaniu czynności kontrolnych – </w:t>
      </w:r>
      <w:r>
        <w:rPr>
          <w:sz w:val="24"/>
          <w:szCs w:val="24"/>
        </w:rPr>
        <w:t>8</w:t>
      </w:r>
      <w:r w:rsidRPr="00F300EE">
        <w:rPr>
          <w:sz w:val="24"/>
          <w:szCs w:val="24"/>
        </w:rPr>
        <w:t>,</w:t>
      </w:r>
    </w:p>
    <w:p w14:paraId="20286DC4" w14:textId="77777777" w:rsidR="00D539AA" w:rsidRPr="00F300EE" w:rsidRDefault="00D539AA" w:rsidP="00D34F97">
      <w:pPr>
        <w:pStyle w:val="Akapitzlist"/>
        <w:numPr>
          <w:ilvl w:val="0"/>
          <w:numId w:val="199"/>
        </w:numPr>
        <w:tabs>
          <w:tab w:val="left" w:pos="142"/>
        </w:tabs>
        <w:spacing w:line="300" w:lineRule="atLeast"/>
        <w:ind w:left="714" w:hanging="357"/>
        <w:contextualSpacing w:val="0"/>
        <w:jc w:val="both"/>
        <w:rPr>
          <w:sz w:val="24"/>
          <w:szCs w:val="24"/>
        </w:rPr>
      </w:pPr>
      <w:r w:rsidRPr="00F300EE">
        <w:rPr>
          <w:sz w:val="24"/>
          <w:szCs w:val="24"/>
        </w:rPr>
        <w:t>utrudnianie przeprowadzenia kontroli – 2</w:t>
      </w:r>
      <w:r>
        <w:rPr>
          <w:sz w:val="24"/>
          <w:szCs w:val="24"/>
        </w:rPr>
        <w:t>3</w:t>
      </w:r>
      <w:r w:rsidRPr="00F300EE">
        <w:rPr>
          <w:sz w:val="24"/>
          <w:szCs w:val="24"/>
        </w:rPr>
        <w:t>,</w:t>
      </w:r>
    </w:p>
    <w:p w14:paraId="4A07BB7D" w14:textId="77777777" w:rsidR="00D539AA" w:rsidRPr="00F300EE" w:rsidRDefault="00D539AA" w:rsidP="00D34F97">
      <w:pPr>
        <w:pStyle w:val="Akapitzlist"/>
        <w:numPr>
          <w:ilvl w:val="0"/>
          <w:numId w:val="199"/>
        </w:numPr>
        <w:tabs>
          <w:tab w:val="left" w:pos="142"/>
        </w:tabs>
        <w:spacing w:line="300" w:lineRule="atLeast"/>
        <w:ind w:left="714" w:hanging="357"/>
        <w:contextualSpacing w:val="0"/>
        <w:jc w:val="both"/>
        <w:rPr>
          <w:sz w:val="24"/>
          <w:szCs w:val="24"/>
        </w:rPr>
      </w:pPr>
      <w:r w:rsidRPr="00F300EE">
        <w:rPr>
          <w:sz w:val="24"/>
          <w:szCs w:val="24"/>
        </w:rPr>
        <w:t xml:space="preserve">substancje zubożające warstwę ozonowa – </w:t>
      </w:r>
      <w:r>
        <w:rPr>
          <w:sz w:val="24"/>
          <w:szCs w:val="24"/>
        </w:rPr>
        <w:t>97</w:t>
      </w:r>
      <w:r w:rsidRPr="00F300EE">
        <w:rPr>
          <w:sz w:val="24"/>
          <w:szCs w:val="24"/>
        </w:rPr>
        <w:t>,</w:t>
      </w:r>
    </w:p>
    <w:p w14:paraId="25B08899" w14:textId="77777777" w:rsidR="00D539AA" w:rsidRPr="00F300EE" w:rsidRDefault="00D539AA" w:rsidP="00D34F97">
      <w:pPr>
        <w:pStyle w:val="Akapitzlist"/>
        <w:numPr>
          <w:ilvl w:val="0"/>
          <w:numId w:val="199"/>
        </w:numPr>
        <w:tabs>
          <w:tab w:val="left" w:pos="142"/>
        </w:tabs>
        <w:spacing w:line="300" w:lineRule="atLeast"/>
        <w:ind w:left="714" w:hanging="357"/>
        <w:contextualSpacing w:val="0"/>
        <w:jc w:val="both"/>
        <w:rPr>
          <w:sz w:val="24"/>
          <w:szCs w:val="24"/>
        </w:rPr>
      </w:pPr>
      <w:r w:rsidRPr="00F300EE">
        <w:rPr>
          <w:sz w:val="24"/>
          <w:szCs w:val="24"/>
        </w:rPr>
        <w:t xml:space="preserve">naruszenie warunków, wymogów i obowiązków określonych w decyzjach </w:t>
      </w:r>
      <w:r w:rsidRPr="00F300EE">
        <w:rPr>
          <w:sz w:val="24"/>
          <w:szCs w:val="24"/>
        </w:rPr>
        <w:br/>
        <w:t>o środowiskowych uwarunkowaniach  – 6</w:t>
      </w:r>
      <w:r>
        <w:rPr>
          <w:sz w:val="24"/>
          <w:szCs w:val="24"/>
        </w:rPr>
        <w:t>7,</w:t>
      </w:r>
    </w:p>
    <w:p w14:paraId="0075156D" w14:textId="77777777" w:rsidR="00D539AA" w:rsidRPr="00F300EE" w:rsidRDefault="00D539AA" w:rsidP="00D34F97">
      <w:pPr>
        <w:pStyle w:val="Akapitzlist"/>
        <w:numPr>
          <w:ilvl w:val="0"/>
          <w:numId w:val="199"/>
        </w:numPr>
        <w:tabs>
          <w:tab w:val="left" w:pos="142"/>
        </w:tabs>
        <w:spacing w:line="300" w:lineRule="atLeast"/>
        <w:ind w:left="714" w:hanging="357"/>
        <w:contextualSpacing w:val="0"/>
        <w:jc w:val="both"/>
        <w:rPr>
          <w:sz w:val="24"/>
          <w:szCs w:val="24"/>
        </w:rPr>
      </w:pPr>
      <w:r w:rsidRPr="00F300EE">
        <w:rPr>
          <w:sz w:val="24"/>
          <w:szCs w:val="24"/>
        </w:rPr>
        <w:t xml:space="preserve">poważne awarie – </w:t>
      </w:r>
      <w:r>
        <w:rPr>
          <w:sz w:val="24"/>
          <w:szCs w:val="24"/>
        </w:rPr>
        <w:t>2</w:t>
      </w:r>
      <w:r w:rsidRPr="00F300EE">
        <w:rPr>
          <w:sz w:val="24"/>
          <w:szCs w:val="24"/>
        </w:rPr>
        <w:t>,</w:t>
      </w:r>
    </w:p>
    <w:p w14:paraId="26C3A0C9" w14:textId="77777777" w:rsidR="00D539AA" w:rsidRDefault="00D539AA" w:rsidP="00D34F97">
      <w:pPr>
        <w:pStyle w:val="Akapitzlist"/>
        <w:numPr>
          <w:ilvl w:val="0"/>
          <w:numId w:val="199"/>
        </w:numPr>
        <w:tabs>
          <w:tab w:val="left" w:pos="142"/>
        </w:tabs>
        <w:spacing w:line="300" w:lineRule="atLeast"/>
        <w:ind w:left="714" w:hanging="357"/>
        <w:contextualSpacing w:val="0"/>
        <w:jc w:val="both"/>
        <w:rPr>
          <w:sz w:val="24"/>
          <w:szCs w:val="24"/>
        </w:rPr>
      </w:pPr>
      <w:r w:rsidRPr="00F300EE">
        <w:rPr>
          <w:sz w:val="24"/>
          <w:szCs w:val="24"/>
        </w:rPr>
        <w:t xml:space="preserve">Prawo wodne – nawozy – </w:t>
      </w:r>
      <w:r>
        <w:rPr>
          <w:sz w:val="24"/>
          <w:szCs w:val="24"/>
        </w:rPr>
        <w:t>19,</w:t>
      </w:r>
    </w:p>
    <w:p w14:paraId="39FBFC9D" w14:textId="0AA40ABF" w:rsidR="00D539AA" w:rsidRPr="00F300EE" w:rsidRDefault="00D539AA" w:rsidP="00D34F97">
      <w:pPr>
        <w:pStyle w:val="Akapitzlist"/>
        <w:numPr>
          <w:ilvl w:val="0"/>
          <w:numId w:val="199"/>
        </w:numPr>
        <w:tabs>
          <w:tab w:val="left" w:pos="142"/>
        </w:tabs>
        <w:spacing w:line="300" w:lineRule="atLeast"/>
        <w:ind w:left="714" w:hanging="357"/>
        <w:contextualSpacing w:val="0"/>
        <w:jc w:val="both"/>
        <w:rPr>
          <w:sz w:val="24"/>
          <w:szCs w:val="24"/>
        </w:rPr>
      </w:pPr>
      <w:r>
        <w:rPr>
          <w:sz w:val="24"/>
          <w:szCs w:val="24"/>
        </w:rPr>
        <w:t>POŚ</w:t>
      </w:r>
      <w:r w:rsidR="00A06B27">
        <w:rPr>
          <w:sz w:val="24"/>
          <w:szCs w:val="24"/>
          <w:lang w:val="pl-PL"/>
        </w:rPr>
        <w:t xml:space="preserve"> </w:t>
      </w:r>
      <w:r>
        <w:rPr>
          <w:sz w:val="24"/>
          <w:szCs w:val="24"/>
        </w:rPr>
        <w:t>- dane identyfikacyjne</w:t>
      </w:r>
      <w:r w:rsidRPr="00F300EE">
        <w:rPr>
          <w:sz w:val="24"/>
          <w:szCs w:val="24"/>
        </w:rPr>
        <w:t>,</w:t>
      </w:r>
    </w:p>
    <w:p w14:paraId="1316DDDB" w14:textId="77777777" w:rsidR="00D539AA" w:rsidRPr="00930D9F" w:rsidRDefault="00D539AA" w:rsidP="00D34F97">
      <w:pPr>
        <w:pStyle w:val="Akapitzlist"/>
        <w:numPr>
          <w:ilvl w:val="0"/>
          <w:numId w:val="199"/>
        </w:numPr>
        <w:tabs>
          <w:tab w:val="left" w:pos="142"/>
        </w:tabs>
        <w:spacing w:line="300" w:lineRule="atLeast"/>
        <w:ind w:left="714" w:hanging="357"/>
        <w:contextualSpacing w:val="0"/>
        <w:jc w:val="both"/>
        <w:rPr>
          <w:sz w:val="24"/>
          <w:szCs w:val="24"/>
        </w:rPr>
      </w:pPr>
      <w:r w:rsidRPr="00930D9F">
        <w:rPr>
          <w:sz w:val="24"/>
          <w:szCs w:val="24"/>
        </w:rPr>
        <w:t xml:space="preserve">art. 189k § 1 kpa, ulga w wykonaniu administracyjnej kary pieniężnej  – 9, </w:t>
      </w:r>
    </w:p>
    <w:p w14:paraId="6F49C903" w14:textId="77777777" w:rsidR="00D539AA" w:rsidRPr="00930D9F" w:rsidRDefault="00D539AA" w:rsidP="00D34F97">
      <w:pPr>
        <w:pStyle w:val="Akapitzlist"/>
        <w:numPr>
          <w:ilvl w:val="0"/>
          <w:numId w:val="199"/>
        </w:numPr>
        <w:tabs>
          <w:tab w:val="left" w:pos="142"/>
        </w:tabs>
        <w:spacing w:line="300" w:lineRule="atLeast"/>
        <w:ind w:left="714" w:hanging="357"/>
        <w:contextualSpacing w:val="0"/>
        <w:jc w:val="both"/>
        <w:rPr>
          <w:sz w:val="24"/>
          <w:szCs w:val="24"/>
        </w:rPr>
      </w:pPr>
      <w:r w:rsidRPr="00930D9F">
        <w:rPr>
          <w:sz w:val="24"/>
          <w:szCs w:val="24"/>
        </w:rPr>
        <w:t>art. 61a kpa odmowa wszczęcia postępowania – 19,</w:t>
      </w:r>
    </w:p>
    <w:p w14:paraId="7CB1699A" w14:textId="77777777" w:rsidR="00D539AA" w:rsidRDefault="00D539AA" w:rsidP="00D34F97">
      <w:pPr>
        <w:pStyle w:val="Akapitzlist"/>
        <w:numPr>
          <w:ilvl w:val="0"/>
          <w:numId w:val="199"/>
        </w:numPr>
        <w:tabs>
          <w:tab w:val="left" w:pos="142"/>
        </w:tabs>
        <w:spacing w:line="300" w:lineRule="atLeast"/>
        <w:ind w:left="714" w:hanging="357"/>
        <w:contextualSpacing w:val="0"/>
        <w:jc w:val="both"/>
        <w:rPr>
          <w:sz w:val="24"/>
          <w:szCs w:val="24"/>
        </w:rPr>
      </w:pPr>
      <w:r>
        <w:rPr>
          <w:sz w:val="24"/>
          <w:szCs w:val="24"/>
        </w:rPr>
        <w:t>pozostałe –</w:t>
      </w:r>
      <w:r>
        <w:rPr>
          <w:color w:val="FF0000"/>
          <w:sz w:val="24"/>
          <w:szCs w:val="24"/>
        </w:rPr>
        <w:t xml:space="preserve"> </w:t>
      </w:r>
      <w:r w:rsidRPr="00930D9F">
        <w:rPr>
          <w:sz w:val="24"/>
          <w:szCs w:val="24"/>
        </w:rPr>
        <w:t>18</w:t>
      </w:r>
      <w:r>
        <w:rPr>
          <w:sz w:val="24"/>
          <w:szCs w:val="24"/>
        </w:rPr>
        <w:t xml:space="preserve">, </w:t>
      </w:r>
      <w:r w:rsidRPr="00A55FC3">
        <w:rPr>
          <w:sz w:val="24"/>
          <w:szCs w:val="24"/>
        </w:rPr>
        <w:t>(np.</w:t>
      </w:r>
      <w:r>
        <w:rPr>
          <w:sz w:val="24"/>
          <w:szCs w:val="24"/>
        </w:rPr>
        <w:t xml:space="preserve"> prawo przedsiębiorców).</w:t>
      </w:r>
    </w:p>
    <w:p w14:paraId="3D2D4057" w14:textId="77777777" w:rsidR="00D539AA" w:rsidRDefault="00D539AA" w:rsidP="00056EE7">
      <w:pPr>
        <w:pStyle w:val="Akapitzlist"/>
        <w:tabs>
          <w:tab w:val="left" w:pos="142"/>
          <w:tab w:val="left" w:pos="709"/>
        </w:tabs>
        <w:spacing w:after="120" w:line="300" w:lineRule="atLeast"/>
        <w:ind w:left="0"/>
        <w:jc w:val="both"/>
        <w:rPr>
          <w:sz w:val="24"/>
        </w:rPr>
      </w:pPr>
    </w:p>
    <w:p w14:paraId="0C0A2C24" w14:textId="24808DA0" w:rsidR="00D539AA" w:rsidRDefault="00D539AA" w:rsidP="00512029">
      <w:pPr>
        <w:pStyle w:val="Akapitzlist"/>
        <w:tabs>
          <w:tab w:val="left" w:pos="142"/>
          <w:tab w:val="left" w:pos="709"/>
        </w:tabs>
        <w:spacing w:after="120" w:line="300" w:lineRule="atLeast"/>
        <w:ind w:left="0"/>
        <w:jc w:val="center"/>
        <w:rPr>
          <w:sz w:val="24"/>
        </w:rPr>
      </w:pPr>
      <w:r w:rsidRPr="004C4499">
        <w:rPr>
          <w:noProof/>
          <w:lang w:val="pl-PL"/>
        </w:rPr>
        <w:drawing>
          <wp:inline distT="0" distB="0" distL="0" distR="0" wp14:anchorId="4946D180" wp14:editId="729EE2D0">
            <wp:extent cx="5772150" cy="2857500"/>
            <wp:effectExtent l="0" t="0" r="0" b="0"/>
            <wp:docPr id="7" name="Wykres 7" descr="Liczba spraw jakie wpłynęły do GIOŚ jako organu II instancji w poszczególnych latach"/>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D4C0F15" w14:textId="77777777" w:rsidR="00D539AA" w:rsidRDefault="00D539AA" w:rsidP="00056EE7">
      <w:pPr>
        <w:pStyle w:val="Akapitzlist"/>
        <w:tabs>
          <w:tab w:val="left" w:pos="142"/>
        </w:tabs>
        <w:spacing w:line="300" w:lineRule="atLeast"/>
        <w:ind w:left="0"/>
        <w:rPr>
          <w:noProof/>
        </w:rPr>
      </w:pPr>
    </w:p>
    <w:p w14:paraId="69EB86B2" w14:textId="51333DF2" w:rsidR="00D539AA" w:rsidRDefault="001653EC" w:rsidP="00056EE7">
      <w:pPr>
        <w:pStyle w:val="Legenda"/>
        <w:spacing w:line="300" w:lineRule="atLeast"/>
        <w:rPr>
          <w:color w:val="auto"/>
          <w:sz w:val="22"/>
          <w:szCs w:val="22"/>
        </w:rPr>
      </w:pPr>
      <w:r>
        <w:rPr>
          <w:color w:val="auto"/>
          <w:sz w:val="22"/>
          <w:szCs w:val="22"/>
          <w:lang w:val="pl-PL"/>
        </w:rPr>
        <w:t xml:space="preserve">Wykres 8. </w:t>
      </w:r>
      <w:r w:rsidR="00D539AA">
        <w:rPr>
          <w:color w:val="auto"/>
          <w:sz w:val="22"/>
          <w:szCs w:val="22"/>
        </w:rPr>
        <w:t>Liczba spraw jakie wpłynęły do GIOŚ jako organu II instancji w poszczególnych latach</w:t>
      </w:r>
    </w:p>
    <w:p w14:paraId="35DC3FDC" w14:textId="77777777" w:rsidR="001653EC" w:rsidRPr="001653EC" w:rsidRDefault="001653EC" w:rsidP="001653EC">
      <w:pPr>
        <w:spacing w:after="0"/>
        <w:rPr>
          <w:lang w:val="x-none" w:eastAsia="pl-PL"/>
        </w:rPr>
      </w:pPr>
    </w:p>
    <w:p w14:paraId="61029371" w14:textId="4B0825EB" w:rsidR="00D539AA" w:rsidRDefault="00D539AA" w:rsidP="00A06B27">
      <w:pPr>
        <w:spacing w:after="60" w:line="300" w:lineRule="atLeast"/>
        <w:jc w:val="both"/>
        <w:rPr>
          <w:rFonts w:ascii="Times New Roman" w:hAnsi="Times New Roman"/>
          <w:sz w:val="24"/>
        </w:rPr>
      </w:pPr>
      <w:r>
        <w:rPr>
          <w:rFonts w:ascii="Times New Roman" w:hAnsi="Times New Roman"/>
          <w:sz w:val="24"/>
        </w:rPr>
        <w:t>Główny Inspektor Ochrony Środowiska w 2022 r. wydał  1080 orzeczeń</w:t>
      </w:r>
      <w:r w:rsidR="00496FD6">
        <w:rPr>
          <w:rFonts w:ascii="Times New Roman" w:hAnsi="Times New Roman"/>
          <w:sz w:val="24"/>
        </w:rPr>
        <w:t>,</w:t>
      </w:r>
      <w:r>
        <w:rPr>
          <w:rFonts w:ascii="Times New Roman" w:hAnsi="Times New Roman"/>
          <w:sz w:val="24"/>
        </w:rPr>
        <w:t xml:space="preserve"> z czego:</w:t>
      </w:r>
    </w:p>
    <w:p w14:paraId="208A8080" w14:textId="66DFAD94" w:rsidR="00D539AA" w:rsidRPr="00376A16" w:rsidRDefault="00D539AA" w:rsidP="00D34F97">
      <w:pPr>
        <w:numPr>
          <w:ilvl w:val="0"/>
          <w:numId w:val="200"/>
        </w:numPr>
        <w:tabs>
          <w:tab w:val="left" w:pos="900"/>
        </w:tabs>
        <w:spacing w:after="0" w:line="300" w:lineRule="atLeast"/>
        <w:jc w:val="both"/>
        <w:rPr>
          <w:rFonts w:ascii="Times New Roman" w:hAnsi="Times New Roman"/>
          <w:sz w:val="24"/>
        </w:rPr>
      </w:pPr>
      <w:r w:rsidRPr="00376A16">
        <w:rPr>
          <w:rFonts w:ascii="Times New Roman" w:hAnsi="Times New Roman"/>
          <w:sz w:val="24"/>
        </w:rPr>
        <w:t>utrzymał w mocy 373 rozstrzygnię</w:t>
      </w:r>
      <w:r w:rsidR="00A06B27">
        <w:rPr>
          <w:rFonts w:ascii="Times New Roman" w:hAnsi="Times New Roman"/>
          <w:sz w:val="24"/>
        </w:rPr>
        <w:t>cia</w:t>
      </w:r>
      <w:r w:rsidRPr="00376A16">
        <w:rPr>
          <w:rFonts w:ascii="Times New Roman" w:hAnsi="Times New Roman"/>
          <w:sz w:val="24"/>
        </w:rPr>
        <w:t xml:space="preserve"> organu I instancji,</w:t>
      </w:r>
    </w:p>
    <w:p w14:paraId="7C707634" w14:textId="77777777" w:rsidR="00D539AA" w:rsidRPr="00025E2F" w:rsidRDefault="00D539AA" w:rsidP="00D34F97">
      <w:pPr>
        <w:numPr>
          <w:ilvl w:val="0"/>
          <w:numId w:val="200"/>
        </w:numPr>
        <w:tabs>
          <w:tab w:val="left" w:pos="900"/>
        </w:tabs>
        <w:spacing w:after="0" w:line="300" w:lineRule="atLeast"/>
        <w:jc w:val="both"/>
        <w:rPr>
          <w:rFonts w:ascii="Times New Roman" w:hAnsi="Times New Roman"/>
          <w:sz w:val="24"/>
        </w:rPr>
      </w:pPr>
      <w:r w:rsidRPr="00025E2F">
        <w:rPr>
          <w:rFonts w:ascii="Times New Roman" w:hAnsi="Times New Roman"/>
          <w:sz w:val="24"/>
        </w:rPr>
        <w:t>uchylił 14</w:t>
      </w:r>
      <w:r>
        <w:rPr>
          <w:rFonts w:ascii="Times New Roman" w:hAnsi="Times New Roman"/>
          <w:sz w:val="24"/>
        </w:rPr>
        <w:t>9</w:t>
      </w:r>
      <w:r w:rsidRPr="00025E2F">
        <w:rPr>
          <w:rFonts w:ascii="Times New Roman" w:hAnsi="Times New Roman"/>
          <w:sz w:val="24"/>
        </w:rPr>
        <w:t xml:space="preserve"> rozstrzygnięć organu I instancji i umorzył postępowanie organu I instancji</w:t>
      </w:r>
      <w:r w:rsidRPr="00025E2F">
        <w:rPr>
          <w:rFonts w:ascii="Times New Roman" w:hAnsi="Times New Roman"/>
          <w:bCs/>
          <w:sz w:val="24"/>
        </w:rPr>
        <w:t>,</w:t>
      </w:r>
    </w:p>
    <w:p w14:paraId="0173A294" w14:textId="7891571B" w:rsidR="00D539AA" w:rsidRPr="009D4175" w:rsidRDefault="00D539AA" w:rsidP="00D34F97">
      <w:pPr>
        <w:numPr>
          <w:ilvl w:val="0"/>
          <w:numId w:val="200"/>
        </w:numPr>
        <w:tabs>
          <w:tab w:val="left" w:pos="900"/>
        </w:tabs>
        <w:spacing w:after="0" w:line="300" w:lineRule="atLeast"/>
        <w:jc w:val="both"/>
        <w:rPr>
          <w:rFonts w:ascii="Times New Roman" w:hAnsi="Times New Roman"/>
          <w:sz w:val="24"/>
        </w:rPr>
      </w:pPr>
      <w:bookmarkStart w:id="250" w:name="_Hlk34657645"/>
      <w:r w:rsidRPr="009D4175">
        <w:rPr>
          <w:rFonts w:ascii="Times New Roman" w:hAnsi="Times New Roman"/>
          <w:sz w:val="24"/>
        </w:rPr>
        <w:t xml:space="preserve">uchylił </w:t>
      </w:r>
      <w:r w:rsidRPr="00C312C1">
        <w:rPr>
          <w:rFonts w:ascii="Times New Roman" w:hAnsi="Times New Roman"/>
          <w:sz w:val="24"/>
        </w:rPr>
        <w:t>5</w:t>
      </w:r>
      <w:r>
        <w:rPr>
          <w:rFonts w:ascii="Times New Roman" w:hAnsi="Times New Roman"/>
          <w:sz w:val="24"/>
        </w:rPr>
        <w:t>2</w:t>
      </w:r>
      <w:r>
        <w:rPr>
          <w:rFonts w:ascii="Times New Roman" w:hAnsi="Times New Roman"/>
          <w:color w:val="FF0000"/>
          <w:sz w:val="24"/>
        </w:rPr>
        <w:t xml:space="preserve"> </w:t>
      </w:r>
      <w:r w:rsidRPr="009D4175">
        <w:rPr>
          <w:rFonts w:ascii="Times New Roman" w:hAnsi="Times New Roman"/>
          <w:sz w:val="24"/>
        </w:rPr>
        <w:t>rozstrzygnię</w:t>
      </w:r>
      <w:r w:rsidR="00A06B27">
        <w:rPr>
          <w:rFonts w:ascii="Times New Roman" w:hAnsi="Times New Roman"/>
          <w:sz w:val="24"/>
        </w:rPr>
        <w:t>cia</w:t>
      </w:r>
      <w:r w:rsidRPr="009D4175">
        <w:rPr>
          <w:rFonts w:ascii="Times New Roman" w:hAnsi="Times New Roman"/>
          <w:sz w:val="24"/>
        </w:rPr>
        <w:t xml:space="preserve"> organu I instancji i przekazał sprawy do ponownego rozpatrzenia</w:t>
      </w:r>
      <w:bookmarkEnd w:id="250"/>
      <w:r w:rsidRPr="009D4175">
        <w:rPr>
          <w:rFonts w:ascii="Times New Roman" w:hAnsi="Times New Roman"/>
          <w:bCs/>
          <w:sz w:val="24"/>
        </w:rPr>
        <w:t>,</w:t>
      </w:r>
    </w:p>
    <w:p w14:paraId="4C30BAA4" w14:textId="77777777" w:rsidR="00D539AA" w:rsidRPr="00862889" w:rsidRDefault="00D539AA" w:rsidP="00D34F97">
      <w:pPr>
        <w:numPr>
          <w:ilvl w:val="0"/>
          <w:numId w:val="200"/>
        </w:numPr>
        <w:tabs>
          <w:tab w:val="left" w:pos="900"/>
        </w:tabs>
        <w:spacing w:after="0" w:line="300" w:lineRule="atLeast"/>
        <w:jc w:val="both"/>
        <w:rPr>
          <w:rFonts w:ascii="Times New Roman" w:hAnsi="Times New Roman"/>
          <w:sz w:val="24"/>
        </w:rPr>
      </w:pPr>
      <w:r w:rsidRPr="00862889">
        <w:rPr>
          <w:rFonts w:ascii="Times New Roman" w:hAnsi="Times New Roman"/>
          <w:sz w:val="24"/>
        </w:rPr>
        <w:t xml:space="preserve">uchylił  </w:t>
      </w:r>
      <w:r>
        <w:rPr>
          <w:rFonts w:ascii="Times New Roman" w:hAnsi="Times New Roman"/>
          <w:sz w:val="24"/>
        </w:rPr>
        <w:t xml:space="preserve">185 </w:t>
      </w:r>
      <w:r w:rsidRPr="00862889">
        <w:rPr>
          <w:rFonts w:ascii="Times New Roman" w:hAnsi="Times New Roman"/>
          <w:sz w:val="24"/>
        </w:rPr>
        <w:t>rozstrzygnięć organu I instancji i orzekł,</w:t>
      </w:r>
    </w:p>
    <w:p w14:paraId="04750C3C" w14:textId="410E866E" w:rsidR="00D539AA" w:rsidRPr="005444E2" w:rsidRDefault="00D539AA" w:rsidP="00D34F97">
      <w:pPr>
        <w:numPr>
          <w:ilvl w:val="0"/>
          <w:numId w:val="200"/>
        </w:numPr>
        <w:tabs>
          <w:tab w:val="left" w:pos="900"/>
        </w:tabs>
        <w:spacing w:after="0" w:line="300" w:lineRule="atLeast"/>
        <w:jc w:val="both"/>
        <w:rPr>
          <w:rFonts w:ascii="Times New Roman" w:hAnsi="Times New Roman"/>
          <w:sz w:val="24"/>
        </w:rPr>
      </w:pPr>
      <w:bookmarkStart w:id="251" w:name="_Hlk126664940"/>
      <w:r w:rsidRPr="005444E2">
        <w:rPr>
          <w:rFonts w:ascii="Times New Roman" w:hAnsi="Times New Roman"/>
          <w:sz w:val="24"/>
        </w:rPr>
        <w:t>uchylił w części  2 rozstrzygnię</w:t>
      </w:r>
      <w:r w:rsidR="00A06B27">
        <w:rPr>
          <w:rFonts w:ascii="Times New Roman" w:hAnsi="Times New Roman"/>
          <w:sz w:val="24"/>
        </w:rPr>
        <w:t>cia</w:t>
      </w:r>
      <w:r w:rsidRPr="005444E2">
        <w:rPr>
          <w:rFonts w:ascii="Times New Roman" w:hAnsi="Times New Roman"/>
          <w:sz w:val="24"/>
        </w:rPr>
        <w:t xml:space="preserve"> organu I instancji i orzekł,</w:t>
      </w:r>
    </w:p>
    <w:bookmarkEnd w:id="251"/>
    <w:p w14:paraId="196312E5" w14:textId="012BE0CF" w:rsidR="00D539AA" w:rsidRPr="005444E2" w:rsidRDefault="00D539AA" w:rsidP="00D34F97">
      <w:pPr>
        <w:numPr>
          <w:ilvl w:val="0"/>
          <w:numId w:val="200"/>
        </w:numPr>
        <w:tabs>
          <w:tab w:val="left" w:pos="900"/>
        </w:tabs>
        <w:spacing w:after="0" w:line="300" w:lineRule="atLeast"/>
        <w:jc w:val="both"/>
        <w:rPr>
          <w:rFonts w:ascii="Times New Roman" w:hAnsi="Times New Roman"/>
          <w:sz w:val="24"/>
        </w:rPr>
      </w:pPr>
      <w:r w:rsidRPr="005444E2">
        <w:rPr>
          <w:rFonts w:ascii="Times New Roman" w:hAnsi="Times New Roman"/>
          <w:sz w:val="24"/>
        </w:rPr>
        <w:t xml:space="preserve">uchylił </w:t>
      </w:r>
      <w:r>
        <w:rPr>
          <w:rFonts w:ascii="Times New Roman" w:hAnsi="Times New Roman"/>
          <w:sz w:val="24"/>
        </w:rPr>
        <w:t xml:space="preserve">5 </w:t>
      </w:r>
      <w:r w:rsidRPr="005444E2">
        <w:rPr>
          <w:rFonts w:ascii="Times New Roman" w:hAnsi="Times New Roman"/>
          <w:sz w:val="24"/>
        </w:rPr>
        <w:t>decyzj</w:t>
      </w:r>
      <w:r>
        <w:rPr>
          <w:rFonts w:ascii="Times New Roman" w:hAnsi="Times New Roman"/>
          <w:sz w:val="24"/>
        </w:rPr>
        <w:t>i</w:t>
      </w:r>
      <w:r w:rsidRPr="005444E2">
        <w:rPr>
          <w:rFonts w:ascii="Times New Roman" w:hAnsi="Times New Roman"/>
          <w:sz w:val="24"/>
        </w:rPr>
        <w:t xml:space="preserve"> organu I instancji i umorz</w:t>
      </w:r>
      <w:r>
        <w:rPr>
          <w:rFonts w:ascii="Times New Roman" w:hAnsi="Times New Roman"/>
          <w:sz w:val="24"/>
        </w:rPr>
        <w:t>ył</w:t>
      </w:r>
      <w:r w:rsidRPr="005444E2">
        <w:rPr>
          <w:rFonts w:ascii="Times New Roman" w:hAnsi="Times New Roman"/>
          <w:sz w:val="24"/>
        </w:rPr>
        <w:t xml:space="preserve"> postępowanie w danym punkcie </w:t>
      </w:r>
      <w:r w:rsidR="00A06B27">
        <w:rPr>
          <w:rFonts w:ascii="Times New Roman" w:hAnsi="Times New Roman"/>
          <w:sz w:val="24"/>
        </w:rPr>
        <w:br/>
      </w:r>
      <w:r w:rsidRPr="005444E2">
        <w:rPr>
          <w:rFonts w:ascii="Times New Roman" w:hAnsi="Times New Roman"/>
          <w:sz w:val="24"/>
        </w:rPr>
        <w:t xml:space="preserve">w pozostałej części utrzymane w mocy, </w:t>
      </w:r>
    </w:p>
    <w:p w14:paraId="08D89E68" w14:textId="0F1D14EE" w:rsidR="00D539AA" w:rsidRPr="00025E2F" w:rsidRDefault="00D539AA" w:rsidP="00D34F97">
      <w:pPr>
        <w:numPr>
          <w:ilvl w:val="0"/>
          <w:numId w:val="200"/>
        </w:numPr>
        <w:tabs>
          <w:tab w:val="left" w:pos="900"/>
        </w:tabs>
        <w:spacing w:after="0" w:line="300" w:lineRule="atLeast"/>
        <w:jc w:val="both"/>
        <w:rPr>
          <w:rFonts w:ascii="Times New Roman" w:hAnsi="Times New Roman"/>
          <w:sz w:val="24"/>
        </w:rPr>
      </w:pPr>
      <w:r>
        <w:rPr>
          <w:rFonts w:ascii="Times New Roman" w:hAnsi="Times New Roman"/>
          <w:sz w:val="24"/>
        </w:rPr>
        <w:t xml:space="preserve">2 </w:t>
      </w:r>
      <w:r w:rsidRPr="00025E2F">
        <w:rPr>
          <w:rFonts w:ascii="Times New Roman" w:hAnsi="Times New Roman"/>
          <w:sz w:val="24"/>
        </w:rPr>
        <w:t>decyzj</w:t>
      </w:r>
      <w:r>
        <w:rPr>
          <w:rFonts w:ascii="Times New Roman" w:hAnsi="Times New Roman"/>
          <w:sz w:val="24"/>
        </w:rPr>
        <w:t>e</w:t>
      </w:r>
      <w:r w:rsidRPr="00025E2F">
        <w:rPr>
          <w:rFonts w:ascii="Times New Roman" w:hAnsi="Times New Roman"/>
          <w:sz w:val="24"/>
        </w:rPr>
        <w:t xml:space="preserve"> GIOŚ</w:t>
      </w:r>
      <w:r w:rsidR="00A06B27">
        <w:rPr>
          <w:rFonts w:ascii="Times New Roman" w:hAnsi="Times New Roman"/>
          <w:sz w:val="24"/>
        </w:rPr>
        <w:t xml:space="preserve"> zostały uchylone</w:t>
      </w:r>
      <w:r w:rsidRPr="00025E2F">
        <w:rPr>
          <w:rFonts w:ascii="Times New Roman" w:hAnsi="Times New Roman"/>
          <w:sz w:val="24"/>
        </w:rPr>
        <w:t>,</w:t>
      </w:r>
    </w:p>
    <w:p w14:paraId="7941ACA2" w14:textId="4835AD0C" w:rsidR="00D539AA" w:rsidRPr="00862889" w:rsidRDefault="00D539AA" w:rsidP="00D34F97">
      <w:pPr>
        <w:numPr>
          <w:ilvl w:val="0"/>
          <w:numId w:val="200"/>
        </w:numPr>
        <w:tabs>
          <w:tab w:val="left" w:pos="900"/>
        </w:tabs>
        <w:spacing w:after="0" w:line="300" w:lineRule="atLeast"/>
        <w:jc w:val="both"/>
        <w:rPr>
          <w:rFonts w:ascii="Times New Roman" w:hAnsi="Times New Roman"/>
          <w:sz w:val="24"/>
        </w:rPr>
      </w:pPr>
      <w:r>
        <w:rPr>
          <w:rFonts w:ascii="Times New Roman" w:hAnsi="Times New Roman"/>
          <w:sz w:val="24"/>
        </w:rPr>
        <w:lastRenderedPageBreak/>
        <w:t xml:space="preserve">2 </w:t>
      </w:r>
      <w:r w:rsidRPr="00862889">
        <w:rPr>
          <w:rFonts w:ascii="Times New Roman" w:hAnsi="Times New Roman"/>
          <w:sz w:val="24"/>
        </w:rPr>
        <w:t>postanowieni</w:t>
      </w:r>
      <w:r>
        <w:rPr>
          <w:rFonts w:ascii="Times New Roman" w:hAnsi="Times New Roman"/>
          <w:sz w:val="24"/>
        </w:rPr>
        <w:t>a</w:t>
      </w:r>
      <w:r w:rsidRPr="00862889">
        <w:rPr>
          <w:rFonts w:ascii="Times New Roman" w:hAnsi="Times New Roman"/>
          <w:sz w:val="24"/>
        </w:rPr>
        <w:t xml:space="preserve"> GIOŚ </w:t>
      </w:r>
      <w:r w:rsidR="00A06B27">
        <w:rPr>
          <w:rFonts w:ascii="Times New Roman" w:hAnsi="Times New Roman"/>
          <w:sz w:val="24"/>
        </w:rPr>
        <w:t xml:space="preserve">zostały uchylone </w:t>
      </w:r>
      <w:r w:rsidRPr="00862889">
        <w:rPr>
          <w:rFonts w:ascii="Times New Roman" w:hAnsi="Times New Roman"/>
          <w:sz w:val="24"/>
        </w:rPr>
        <w:t>i uznane za produkt uboczn</w:t>
      </w:r>
      <w:r>
        <w:rPr>
          <w:rFonts w:ascii="Times New Roman" w:hAnsi="Times New Roman"/>
          <w:sz w:val="24"/>
        </w:rPr>
        <w:t>y</w:t>
      </w:r>
      <w:r w:rsidRPr="00862889">
        <w:rPr>
          <w:rFonts w:ascii="Times New Roman" w:hAnsi="Times New Roman"/>
          <w:sz w:val="24"/>
        </w:rPr>
        <w:t>,</w:t>
      </w:r>
    </w:p>
    <w:p w14:paraId="6788AD2C" w14:textId="5191CB7A" w:rsidR="00D539AA" w:rsidRPr="007B3AB9" w:rsidRDefault="00496FD6" w:rsidP="00D34F97">
      <w:pPr>
        <w:numPr>
          <w:ilvl w:val="0"/>
          <w:numId w:val="200"/>
        </w:numPr>
        <w:tabs>
          <w:tab w:val="left" w:pos="900"/>
        </w:tabs>
        <w:spacing w:after="0" w:line="300" w:lineRule="atLeast"/>
        <w:jc w:val="both"/>
        <w:rPr>
          <w:rFonts w:ascii="Times New Roman" w:hAnsi="Times New Roman"/>
          <w:sz w:val="24"/>
        </w:rPr>
      </w:pPr>
      <w:r>
        <w:rPr>
          <w:rFonts w:ascii="Times New Roman" w:hAnsi="Times New Roman"/>
          <w:sz w:val="24"/>
        </w:rPr>
        <w:t xml:space="preserve">nastąpiła </w:t>
      </w:r>
      <w:r w:rsidR="00D539AA" w:rsidRPr="007B3AB9">
        <w:rPr>
          <w:rFonts w:ascii="Times New Roman" w:hAnsi="Times New Roman"/>
          <w:sz w:val="24"/>
        </w:rPr>
        <w:t xml:space="preserve">odmowa uchylenia decyzji dotychczasowej GIOŚ </w:t>
      </w:r>
      <w:r w:rsidR="00D539AA">
        <w:rPr>
          <w:rFonts w:ascii="Times New Roman" w:hAnsi="Times New Roman"/>
          <w:sz w:val="24"/>
        </w:rPr>
        <w:t>-</w:t>
      </w:r>
      <w:r w:rsidR="00D539AA" w:rsidRPr="007B3AB9">
        <w:rPr>
          <w:rFonts w:ascii="Times New Roman" w:hAnsi="Times New Roman"/>
          <w:sz w:val="24"/>
        </w:rPr>
        <w:t xml:space="preserve"> 1, </w:t>
      </w:r>
    </w:p>
    <w:p w14:paraId="0168679A" w14:textId="66B605C0" w:rsidR="00D539AA" w:rsidRPr="003D2265" w:rsidRDefault="00D539AA" w:rsidP="00D34F97">
      <w:pPr>
        <w:numPr>
          <w:ilvl w:val="0"/>
          <w:numId w:val="200"/>
        </w:numPr>
        <w:tabs>
          <w:tab w:val="left" w:pos="900"/>
        </w:tabs>
        <w:spacing w:after="0" w:line="300" w:lineRule="atLeast"/>
        <w:jc w:val="both"/>
        <w:rPr>
          <w:rFonts w:ascii="Times New Roman" w:hAnsi="Times New Roman"/>
          <w:sz w:val="24"/>
        </w:rPr>
      </w:pPr>
      <w:bookmarkStart w:id="252" w:name="_Hlk126664693"/>
      <w:r>
        <w:rPr>
          <w:rFonts w:ascii="Times New Roman" w:hAnsi="Times New Roman"/>
          <w:sz w:val="24"/>
        </w:rPr>
        <w:t xml:space="preserve">1 </w:t>
      </w:r>
      <w:r w:rsidRPr="003D2265">
        <w:rPr>
          <w:rFonts w:ascii="Times New Roman" w:hAnsi="Times New Roman"/>
          <w:sz w:val="24"/>
        </w:rPr>
        <w:t xml:space="preserve">decyzja GIOŚ </w:t>
      </w:r>
      <w:r w:rsidR="00496FD6">
        <w:rPr>
          <w:rFonts w:ascii="Times New Roman" w:hAnsi="Times New Roman"/>
          <w:sz w:val="24"/>
        </w:rPr>
        <w:t xml:space="preserve">została uchylona, a postępowanie </w:t>
      </w:r>
      <w:r w:rsidRPr="003D2265">
        <w:rPr>
          <w:rFonts w:ascii="Times New Roman" w:hAnsi="Times New Roman"/>
          <w:sz w:val="24"/>
        </w:rPr>
        <w:t>umorzone,</w:t>
      </w:r>
    </w:p>
    <w:p w14:paraId="1D5B20AA" w14:textId="28B21F9D" w:rsidR="00D539AA" w:rsidRPr="003D2265" w:rsidRDefault="00D539AA" w:rsidP="00D34F97">
      <w:pPr>
        <w:numPr>
          <w:ilvl w:val="0"/>
          <w:numId w:val="200"/>
        </w:numPr>
        <w:tabs>
          <w:tab w:val="left" w:pos="900"/>
        </w:tabs>
        <w:spacing w:after="0" w:line="300" w:lineRule="atLeast"/>
        <w:jc w:val="both"/>
        <w:rPr>
          <w:rFonts w:ascii="Times New Roman" w:hAnsi="Times New Roman"/>
          <w:sz w:val="24"/>
        </w:rPr>
      </w:pPr>
      <w:r>
        <w:rPr>
          <w:rFonts w:ascii="Times New Roman" w:hAnsi="Times New Roman"/>
          <w:sz w:val="24"/>
        </w:rPr>
        <w:t xml:space="preserve">1 </w:t>
      </w:r>
      <w:r w:rsidRPr="003D2265">
        <w:rPr>
          <w:rFonts w:ascii="Times New Roman" w:hAnsi="Times New Roman"/>
          <w:sz w:val="24"/>
        </w:rPr>
        <w:t xml:space="preserve"> decyzja GIOŚ i WIOŚ </w:t>
      </w:r>
      <w:r w:rsidR="00496FD6">
        <w:rPr>
          <w:rFonts w:ascii="Times New Roman" w:hAnsi="Times New Roman"/>
          <w:sz w:val="24"/>
        </w:rPr>
        <w:t>została uchylona, a postępowanie</w:t>
      </w:r>
      <w:r w:rsidRPr="003D2265">
        <w:rPr>
          <w:rFonts w:ascii="Times New Roman" w:hAnsi="Times New Roman"/>
          <w:sz w:val="24"/>
        </w:rPr>
        <w:t xml:space="preserve"> umorzone,</w:t>
      </w:r>
    </w:p>
    <w:bookmarkEnd w:id="252"/>
    <w:p w14:paraId="4C00E98F" w14:textId="77777777" w:rsidR="00D539AA" w:rsidRPr="00BF6F1E" w:rsidRDefault="00D539AA" w:rsidP="00D34F97">
      <w:pPr>
        <w:numPr>
          <w:ilvl w:val="0"/>
          <w:numId w:val="200"/>
        </w:numPr>
        <w:tabs>
          <w:tab w:val="left" w:pos="900"/>
        </w:tabs>
        <w:spacing w:after="0" w:line="300" w:lineRule="atLeast"/>
        <w:jc w:val="both"/>
        <w:rPr>
          <w:rFonts w:ascii="Times New Roman" w:hAnsi="Times New Roman"/>
          <w:sz w:val="24"/>
        </w:rPr>
      </w:pPr>
      <w:r w:rsidRPr="00BF6F1E">
        <w:rPr>
          <w:rFonts w:ascii="Times New Roman" w:hAnsi="Times New Roman"/>
          <w:sz w:val="24"/>
        </w:rPr>
        <w:t>stwierdził w 70  sprawach  uchybienie terminu do wniesienia odwołania, zażalenia czy wniosku o ponowne rozpatrzenie sprawy,</w:t>
      </w:r>
    </w:p>
    <w:p w14:paraId="5A0CE315" w14:textId="77777777" w:rsidR="00D539AA" w:rsidRPr="00D126FC" w:rsidRDefault="00D539AA" w:rsidP="00D34F97">
      <w:pPr>
        <w:numPr>
          <w:ilvl w:val="0"/>
          <w:numId w:val="200"/>
        </w:numPr>
        <w:tabs>
          <w:tab w:val="left" w:pos="900"/>
        </w:tabs>
        <w:spacing w:after="0" w:line="300" w:lineRule="atLeast"/>
        <w:jc w:val="both"/>
        <w:rPr>
          <w:rFonts w:ascii="Times New Roman" w:hAnsi="Times New Roman"/>
          <w:sz w:val="24"/>
        </w:rPr>
      </w:pPr>
      <w:r w:rsidRPr="00D126FC">
        <w:rPr>
          <w:rFonts w:ascii="Times New Roman" w:hAnsi="Times New Roman"/>
          <w:sz w:val="24"/>
        </w:rPr>
        <w:t xml:space="preserve">umorzył  </w:t>
      </w:r>
      <w:r>
        <w:rPr>
          <w:rFonts w:ascii="Times New Roman" w:hAnsi="Times New Roman"/>
          <w:sz w:val="24"/>
        </w:rPr>
        <w:t xml:space="preserve">8 </w:t>
      </w:r>
      <w:r w:rsidRPr="00D126FC">
        <w:rPr>
          <w:rFonts w:ascii="Times New Roman" w:hAnsi="Times New Roman"/>
          <w:sz w:val="24"/>
        </w:rPr>
        <w:t xml:space="preserve">postępowań odwoławczych, </w:t>
      </w:r>
    </w:p>
    <w:p w14:paraId="3B7093C4" w14:textId="77777777" w:rsidR="00D539AA" w:rsidRPr="007B3AB9" w:rsidRDefault="00D539AA" w:rsidP="00D34F97">
      <w:pPr>
        <w:numPr>
          <w:ilvl w:val="0"/>
          <w:numId w:val="200"/>
        </w:numPr>
        <w:tabs>
          <w:tab w:val="left" w:pos="900"/>
        </w:tabs>
        <w:spacing w:after="0" w:line="300" w:lineRule="atLeast"/>
        <w:jc w:val="both"/>
        <w:rPr>
          <w:rFonts w:ascii="Times New Roman" w:hAnsi="Times New Roman"/>
          <w:sz w:val="24"/>
        </w:rPr>
      </w:pPr>
      <w:r w:rsidRPr="007B3AB9">
        <w:rPr>
          <w:rFonts w:ascii="Times New Roman" w:hAnsi="Times New Roman"/>
          <w:sz w:val="24"/>
        </w:rPr>
        <w:t xml:space="preserve">odmówił </w:t>
      </w:r>
      <w:r>
        <w:rPr>
          <w:rFonts w:ascii="Times New Roman" w:hAnsi="Times New Roman"/>
          <w:sz w:val="24"/>
        </w:rPr>
        <w:t xml:space="preserve">w 47 sprawach </w:t>
      </w:r>
      <w:r w:rsidRPr="007B3AB9">
        <w:rPr>
          <w:rFonts w:ascii="Times New Roman" w:hAnsi="Times New Roman"/>
          <w:sz w:val="24"/>
        </w:rPr>
        <w:t>wstrzymania wykonania zaskarżonych decyzji,</w:t>
      </w:r>
    </w:p>
    <w:p w14:paraId="68E198B2" w14:textId="54739A36" w:rsidR="00D539AA" w:rsidRPr="009D4175" w:rsidRDefault="00D539AA" w:rsidP="00D34F97">
      <w:pPr>
        <w:numPr>
          <w:ilvl w:val="0"/>
          <w:numId w:val="200"/>
        </w:numPr>
        <w:tabs>
          <w:tab w:val="left" w:pos="900"/>
        </w:tabs>
        <w:spacing w:after="0" w:line="300" w:lineRule="atLeast"/>
        <w:jc w:val="both"/>
        <w:rPr>
          <w:rFonts w:ascii="Times New Roman" w:hAnsi="Times New Roman"/>
          <w:sz w:val="24"/>
        </w:rPr>
      </w:pPr>
      <w:r>
        <w:rPr>
          <w:rFonts w:ascii="Times New Roman" w:hAnsi="Times New Roman"/>
          <w:sz w:val="24"/>
        </w:rPr>
        <w:t xml:space="preserve">wydał w 15 sprawach postanowienia o </w:t>
      </w:r>
      <w:r w:rsidRPr="009D4175">
        <w:rPr>
          <w:rFonts w:ascii="Times New Roman" w:hAnsi="Times New Roman"/>
          <w:sz w:val="24"/>
        </w:rPr>
        <w:t>wstrzyma</w:t>
      </w:r>
      <w:r>
        <w:rPr>
          <w:rFonts w:ascii="Times New Roman" w:hAnsi="Times New Roman"/>
          <w:sz w:val="24"/>
        </w:rPr>
        <w:t>niu</w:t>
      </w:r>
      <w:r w:rsidRPr="009D4175">
        <w:rPr>
          <w:rFonts w:ascii="Times New Roman" w:hAnsi="Times New Roman"/>
          <w:sz w:val="24"/>
        </w:rPr>
        <w:t xml:space="preserve"> wykonanie zaskarżonej decyzji,</w:t>
      </w:r>
    </w:p>
    <w:p w14:paraId="31ABE458" w14:textId="7B130153" w:rsidR="00D539AA" w:rsidRPr="007B3AB9" w:rsidRDefault="00D539AA" w:rsidP="00D34F97">
      <w:pPr>
        <w:numPr>
          <w:ilvl w:val="0"/>
          <w:numId w:val="200"/>
        </w:numPr>
        <w:tabs>
          <w:tab w:val="left" w:pos="900"/>
        </w:tabs>
        <w:spacing w:after="0" w:line="300" w:lineRule="atLeast"/>
        <w:jc w:val="both"/>
        <w:rPr>
          <w:rFonts w:ascii="Times New Roman" w:hAnsi="Times New Roman"/>
          <w:sz w:val="24"/>
        </w:rPr>
      </w:pPr>
      <w:r w:rsidRPr="007B3AB9">
        <w:rPr>
          <w:rFonts w:ascii="Times New Roman" w:hAnsi="Times New Roman"/>
          <w:sz w:val="24"/>
        </w:rPr>
        <w:t xml:space="preserve">stwierdził </w:t>
      </w:r>
      <w:r>
        <w:rPr>
          <w:rFonts w:ascii="Times New Roman" w:hAnsi="Times New Roman"/>
          <w:sz w:val="24"/>
        </w:rPr>
        <w:t xml:space="preserve">w 20 sprawach </w:t>
      </w:r>
      <w:r w:rsidRPr="007B3AB9">
        <w:rPr>
          <w:rFonts w:ascii="Times New Roman" w:hAnsi="Times New Roman"/>
          <w:sz w:val="24"/>
        </w:rPr>
        <w:t>niedopuszczalnoś</w:t>
      </w:r>
      <w:r w:rsidR="00496FD6">
        <w:rPr>
          <w:rFonts w:ascii="Times New Roman" w:hAnsi="Times New Roman"/>
          <w:sz w:val="24"/>
        </w:rPr>
        <w:t>ć</w:t>
      </w:r>
      <w:r w:rsidRPr="007B3AB9">
        <w:rPr>
          <w:rFonts w:ascii="Times New Roman" w:hAnsi="Times New Roman"/>
          <w:sz w:val="24"/>
        </w:rPr>
        <w:t xml:space="preserve"> wniesionych  </w:t>
      </w:r>
      <w:proofErr w:type="spellStart"/>
      <w:r w:rsidRPr="007B3AB9">
        <w:rPr>
          <w:rFonts w:ascii="Times New Roman" w:hAnsi="Times New Roman"/>
          <w:sz w:val="24"/>
        </w:rPr>
        <w:t>odwołań</w:t>
      </w:r>
      <w:proofErr w:type="spellEnd"/>
      <w:r w:rsidRPr="007B3AB9">
        <w:rPr>
          <w:rFonts w:ascii="Times New Roman" w:hAnsi="Times New Roman"/>
          <w:sz w:val="24"/>
        </w:rPr>
        <w:t xml:space="preserve"> lub zażaleń</w:t>
      </w:r>
      <w:r>
        <w:rPr>
          <w:rFonts w:ascii="Times New Roman" w:hAnsi="Times New Roman"/>
          <w:sz w:val="24"/>
        </w:rPr>
        <w:t>,</w:t>
      </w:r>
    </w:p>
    <w:p w14:paraId="2A63CB3A" w14:textId="64E8F3B6" w:rsidR="00D539AA" w:rsidRPr="007B3AB9" w:rsidRDefault="00D539AA" w:rsidP="00D34F97">
      <w:pPr>
        <w:numPr>
          <w:ilvl w:val="0"/>
          <w:numId w:val="200"/>
        </w:numPr>
        <w:tabs>
          <w:tab w:val="left" w:pos="900"/>
        </w:tabs>
        <w:spacing w:after="0" w:line="300" w:lineRule="atLeast"/>
        <w:jc w:val="both"/>
        <w:rPr>
          <w:rFonts w:ascii="Times New Roman" w:hAnsi="Times New Roman"/>
          <w:sz w:val="24"/>
        </w:rPr>
      </w:pPr>
      <w:r w:rsidRPr="007B3AB9">
        <w:rPr>
          <w:rFonts w:ascii="Times New Roman" w:hAnsi="Times New Roman"/>
          <w:sz w:val="24"/>
        </w:rPr>
        <w:t>stwierdz</w:t>
      </w:r>
      <w:r w:rsidR="00496FD6">
        <w:rPr>
          <w:rFonts w:ascii="Times New Roman" w:hAnsi="Times New Roman"/>
          <w:sz w:val="24"/>
        </w:rPr>
        <w:t>ona</w:t>
      </w:r>
      <w:r w:rsidRPr="007B3AB9">
        <w:rPr>
          <w:rFonts w:ascii="Times New Roman" w:hAnsi="Times New Roman"/>
          <w:sz w:val="24"/>
        </w:rPr>
        <w:t xml:space="preserve"> </w:t>
      </w:r>
      <w:r w:rsidR="00496FD6">
        <w:rPr>
          <w:rFonts w:ascii="Times New Roman" w:hAnsi="Times New Roman"/>
          <w:sz w:val="24"/>
        </w:rPr>
        <w:t xml:space="preserve">została </w:t>
      </w:r>
      <w:r w:rsidRPr="007B3AB9">
        <w:rPr>
          <w:rFonts w:ascii="Times New Roman" w:hAnsi="Times New Roman"/>
          <w:sz w:val="24"/>
        </w:rPr>
        <w:t xml:space="preserve">nieważność  </w:t>
      </w:r>
      <w:r w:rsidR="00496FD6">
        <w:rPr>
          <w:rFonts w:ascii="Times New Roman" w:hAnsi="Times New Roman"/>
          <w:sz w:val="24"/>
        </w:rPr>
        <w:t xml:space="preserve">5 </w:t>
      </w:r>
      <w:r w:rsidRPr="007B3AB9">
        <w:rPr>
          <w:rFonts w:ascii="Times New Roman" w:hAnsi="Times New Roman"/>
          <w:sz w:val="24"/>
        </w:rPr>
        <w:t>decyzji organu I instancji,</w:t>
      </w:r>
    </w:p>
    <w:p w14:paraId="51783FF1" w14:textId="161D5E88" w:rsidR="00D539AA" w:rsidRPr="00021555" w:rsidRDefault="00D539AA" w:rsidP="00D34F97">
      <w:pPr>
        <w:numPr>
          <w:ilvl w:val="0"/>
          <w:numId w:val="200"/>
        </w:numPr>
        <w:tabs>
          <w:tab w:val="left" w:pos="900"/>
        </w:tabs>
        <w:spacing w:after="0" w:line="300" w:lineRule="atLeast"/>
        <w:jc w:val="both"/>
        <w:rPr>
          <w:rFonts w:ascii="Times New Roman" w:hAnsi="Times New Roman"/>
          <w:sz w:val="24"/>
        </w:rPr>
      </w:pPr>
      <w:r w:rsidRPr="00021555">
        <w:rPr>
          <w:rFonts w:ascii="Times New Roman" w:hAnsi="Times New Roman"/>
          <w:sz w:val="24"/>
        </w:rPr>
        <w:t>stwierdz</w:t>
      </w:r>
      <w:r w:rsidR="00496FD6">
        <w:rPr>
          <w:rFonts w:ascii="Times New Roman" w:hAnsi="Times New Roman"/>
          <w:sz w:val="24"/>
        </w:rPr>
        <w:t>ona została</w:t>
      </w:r>
      <w:r w:rsidRPr="00021555">
        <w:rPr>
          <w:rFonts w:ascii="Times New Roman" w:hAnsi="Times New Roman"/>
          <w:sz w:val="24"/>
        </w:rPr>
        <w:t xml:space="preserve"> nieważnoś</w:t>
      </w:r>
      <w:r w:rsidR="00496FD6">
        <w:rPr>
          <w:rFonts w:ascii="Times New Roman" w:hAnsi="Times New Roman"/>
          <w:sz w:val="24"/>
        </w:rPr>
        <w:t>ć</w:t>
      </w:r>
      <w:r w:rsidRPr="00021555">
        <w:rPr>
          <w:rFonts w:ascii="Times New Roman" w:hAnsi="Times New Roman"/>
          <w:sz w:val="24"/>
        </w:rPr>
        <w:t xml:space="preserve"> </w:t>
      </w:r>
      <w:r w:rsidR="00496FD6">
        <w:rPr>
          <w:rFonts w:ascii="Times New Roman" w:hAnsi="Times New Roman"/>
          <w:sz w:val="24"/>
        </w:rPr>
        <w:t xml:space="preserve">5 </w:t>
      </w:r>
      <w:r w:rsidRPr="00021555">
        <w:rPr>
          <w:rFonts w:ascii="Times New Roman" w:hAnsi="Times New Roman"/>
          <w:sz w:val="24"/>
        </w:rPr>
        <w:t xml:space="preserve"> decyzji GIOŚ, </w:t>
      </w:r>
    </w:p>
    <w:p w14:paraId="0D39F285" w14:textId="5E8CBDC2" w:rsidR="00D539AA" w:rsidRPr="00021555" w:rsidRDefault="00496FD6" w:rsidP="00D34F97">
      <w:pPr>
        <w:numPr>
          <w:ilvl w:val="0"/>
          <w:numId w:val="200"/>
        </w:numPr>
        <w:tabs>
          <w:tab w:val="left" w:pos="900"/>
        </w:tabs>
        <w:spacing w:after="0" w:line="300" w:lineRule="atLeast"/>
        <w:jc w:val="both"/>
        <w:rPr>
          <w:rFonts w:ascii="Times New Roman" w:hAnsi="Times New Roman"/>
          <w:sz w:val="24"/>
        </w:rPr>
      </w:pPr>
      <w:bookmarkStart w:id="253" w:name="_Hlk126662911"/>
      <w:r>
        <w:rPr>
          <w:rFonts w:ascii="Times New Roman" w:hAnsi="Times New Roman"/>
          <w:sz w:val="24"/>
        </w:rPr>
        <w:t xml:space="preserve">uznał, że </w:t>
      </w:r>
      <w:r w:rsidR="00D539AA" w:rsidRPr="00021555">
        <w:rPr>
          <w:rFonts w:ascii="Times New Roman" w:hAnsi="Times New Roman"/>
          <w:sz w:val="24"/>
        </w:rPr>
        <w:t>brak podstaw do stwierdzenia nieważnoś</w:t>
      </w:r>
      <w:r>
        <w:rPr>
          <w:rFonts w:ascii="Times New Roman" w:hAnsi="Times New Roman"/>
          <w:sz w:val="24"/>
        </w:rPr>
        <w:t>ci</w:t>
      </w:r>
      <w:r w:rsidR="00D539AA" w:rsidRPr="00021555">
        <w:rPr>
          <w:rFonts w:ascii="Times New Roman" w:hAnsi="Times New Roman"/>
          <w:sz w:val="24"/>
        </w:rPr>
        <w:t xml:space="preserve"> decyzji GIOŚ - 1,</w:t>
      </w:r>
    </w:p>
    <w:p w14:paraId="0319965C" w14:textId="55DB2281" w:rsidR="00D539AA" w:rsidRPr="00AD3D3A" w:rsidRDefault="00496FD6" w:rsidP="00D34F97">
      <w:pPr>
        <w:numPr>
          <w:ilvl w:val="0"/>
          <w:numId w:val="200"/>
        </w:numPr>
        <w:tabs>
          <w:tab w:val="left" w:pos="900"/>
        </w:tabs>
        <w:spacing w:after="0" w:line="300" w:lineRule="atLeast"/>
        <w:jc w:val="both"/>
        <w:rPr>
          <w:rFonts w:ascii="Times New Roman" w:hAnsi="Times New Roman"/>
          <w:sz w:val="24"/>
        </w:rPr>
      </w:pPr>
      <w:r>
        <w:rPr>
          <w:rFonts w:ascii="Times New Roman" w:hAnsi="Times New Roman"/>
          <w:sz w:val="24"/>
        </w:rPr>
        <w:t xml:space="preserve">uznał, że </w:t>
      </w:r>
      <w:r w:rsidR="00D539AA" w:rsidRPr="00AD3D3A">
        <w:rPr>
          <w:rFonts w:ascii="Times New Roman" w:hAnsi="Times New Roman"/>
          <w:sz w:val="24"/>
        </w:rPr>
        <w:t>brak podstaw do stwierdzenia nieważnoś</w:t>
      </w:r>
      <w:r>
        <w:rPr>
          <w:rFonts w:ascii="Times New Roman" w:hAnsi="Times New Roman"/>
          <w:sz w:val="24"/>
        </w:rPr>
        <w:t>ci</w:t>
      </w:r>
      <w:r w:rsidR="00D539AA" w:rsidRPr="00AD3D3A">
        <w:rPr>
          <w:rFonts w:ascii="Times New Roman" w:hAnsi="Times New Roman"/>
          <w:sz w:val="24"/>
        </w:rPr>
        <w:t xml:space="preserve"> decyzji organu I instancji - 3,</w:t>
      </w:r>
    </w:p>
    <w:bookmarkEnd w:id="253"/>
    <w:p w14:paraId="07AA0A30" w14:textId="2099E58D" w:rsidR="00D539AA" w:rsidRPr="00AD3D3A" w:rsidRDefault="00496FD6" w:rsidP="00D34F97">
      <w:pPr>
        <w:numPr>
          <w:ilvl w:val="0"/>
          <w:numId w:val="200"/>
        </w:numPr>
        <w:tabs>
          <w:tab w:val="left" w:pos="900"/>
        </w:tabs>
        <w:spacing w:after="0" w:line="300" w:lineRule="atLeast"/>
        <w:jc w:val="both"/>
        <w:rPr>
          <w:rFonts w:ascii="Times New Roman" w:hAnsi="Times New Roman"/>
          <w:sz w:val="24"/>
        </w:rPr>
      </w:pPr>
      <w:r>
        <w:rPr>
          <w:rFonts w:ascii="Times New Roman" w:hAnsi="Times New Roman"/>
          <w:sz w:val="24"/>
        </w:rPr>
        <w:t xml:space="preserve">nastąpiła </w:t>
      </w:r>
      <w:r w:rsidR="00D539AA" w:rsidRPr="00AD3D3A">
        <w:rPr>
          <w:rFonts w:ascii="Times New Roman" w:hAnsi="Times New Roman"/>
          <w:sz w:val="24"/>
        </w:rPr>
        <w:t>odmowa stwierdzenia nieważnoś</w:t>
      </w:r>
      <w:r>
        <w:rPr>
          <w:rFonts w:ascii="Times New Roman" w:hAnsi="Times New Roman"/>
          <w:sz w:val="24"/>
        </w:rPr>
        <w:t>ci</w:t>
      </w:r>
      <w:r w:rsidR="00D539AA" w:rsidRPr="00AD3D3A">
        <w:rPr>
          <w:rFonts w:ascii="Times New Roman" w:hAnsi="Times New Roman"/>
          <w:sz w:val="24"/>
        </w:rPr>
        <w:t xml:space="preserve"> decyzji organu I instancji -5,</w:t>
      </w:r>
    </w:p>
    <w:p w14:paraId="215580D9" w14:textId="77777777" w:rsidR="00D539AA" w:rsidRPr="00B966E0" w:rsidRDefault="00D539AA" w:rsidP="00D34F97">
      <w:pPr>
        <w:numPr>
          <w:ilvl w:val="0"/>
          <w:numId w:val="200"/>
        </w:numPr>
        <w:tabs>
          <w:tab w:val="left" w:pos="900"/>
        </w:tabs>
        <w:spacing w:after="0" w:line="300" w:lineRule="atLeast"/>
        <w:jc w:val="both"/>
        <w:rPr>
          <w:rFonts w:ascii="Times New Roman" w:hAnsi="Times New Roman"/>
          <w:sz w:val="24"/>
        </w:rPr>
      </w:pPr>
      <w:r w:rsidRPr="00B966E0">
        <w:rPr>
          <w:rFonts w:ascii="Times New Roman" w:hAnsi="Times New Roman"/>
          <w:sz w:val="24"/>
        </w:rPr>
        <w:t xml:space="preserve">odmówił </w:t>
      </w:r>
      <w:r>
        <w:rPr>
          <w:rFonts w:ascii="Times New Roman" w:hAnsi="Times New Roman"/>
          <w:sz w:val="24"/>
        </w:rPr>
        <w:t xml:space="preserve">w 35 sprawach </w:t>
      </w:r>
      <w:r w:rsidRPr="00B966E0">
        <w:rPr>
          <w:rFonts w:ascii="Times New Roman" w:hAnsi="Times New Roman"/>
          <w:sz w:val="24"/>
        </w:rPr>
        <w:t>przywrócenia terminu do wniesienia odwołania czy też zażalenia,</w:t>
      </w:r>
    </w:p>
    <w:p w14:paraId="683CD226" w14:textId="51E5903D" w:rsidR="00D539AA" w:rsidRPr="007B3AB9" w:rsidRDefault="00D539AA" w:rsidP="00D34F97">
      <w:pPr>
        <w:numPr>
          <w:ilvl w:val="0"/>
          <w:numId w:val="200"/>
        </w:numPr>
        <w:tabs>
          <w:tab w:val="left" w:pos="900"/>
        </w:tabs>
        <w:spacing w:after="0" w:line="300" w:lineRule="atLeast"/>
        <w:jc w:val="both"/>
        <w:rPr>
          <w:rFonts w:ascii="Times New Roman" w:hAnsi="Times New Roman"/>
          <w:sz w:val="24"/>
        </w:rPr>
      </w:pPr>
      <w:r>
        <w:rPr>
          <w:rFonts w:ascii="Times New Roman" w:hAnsi="Times New Roman"/>
          <w:sz w:val="24"/>
        </w:rPr>
        <w:t xml:space="preserve">w 4 sprawach </w:t>
      </w:r>
      <w:r w:rsidR="00496FD6">
        <w:rPr>
          <w:rFonts w:ascii="Times New Roman" w:hAnsi="Times New Roman"/>
          <w:sz w:val="24"/>
        </w:rPr>
        <w:t xml:space="preserve">przywrócony został </w:t>
      </w:r>
      <w:r w:rsidRPr="007B3AB9">
        <w:rPr>
          <w:rFonts w:ascii="Times New Roman" w:hAnsi="Times New Roman"/>
          <w:sz w:val="24"/>
        </w:rPr>
        <w:t>termin do złożenia odwołania lub zażalenia,</w:t>
      </w:r>
    </w:p>
    <w:p w14:paraId="0056D7C9" w14:textId="77777777" w:rsidR="00D539AA" w:rsidRPr="009D4175" w:rsidRDefault="00D539AA" w:rsidP="00D34F97">
      <w:pPr>
        <w:numPr>
          <w:ilvl w:val="0"/>
          <w:numId w:val="200"/>
        </w:numPr>
        <w:tabs>
          <w:tab w:val="left" w:pos="900"/>
        </w:tabs>
        <w:spacing w:after="0" w:line="300" w:lineRule="atLeast"/>
        <w:jc w:val="both"/>
        <w:rPr>
          <w:rFonts w:ascii="Times New Roman" w:hAnsi="Times New Roman"/>
          <w:sz w:val="24"/>
        </w:rPr>
      </w:pPr>
      <w:bookmarkStart w:id="254" w:name="_Hlk126665527"/>
      <w:r w:rsidRPr="009D4175">
        <w:rPr>
          <w:rFonts w:ascii="Times New Roman" w:hAnsi="Times New Roman"/>
          <w:sz w:val="24"/>
        </w:rPr>
        <w:t xml:space="preserve">w  </w:t>
      </w:r>
      <w:r>
        <w:rPr>
          <w:rFonts w:ascii="Times New Roman" w:hAnsi="Times New Roman"/>
          <w:sz w:val="24"/>
        </w:rPr>
        <w:t xml:space="preserve">11 </w:t>
      </w:r>
      <w:r w:rsidRPr="009D4175">
        <w:rPr>
          <w:rFonts w:ascii="Times New Roman" w:hAnsi="Times New Roman"/>
          <w:sz w:val="24"/>
        </w:rPr>
        <w:t>sprawach stwierdzono, że WIOŚ nie pozostawał w bezczynności ani nie dopuścił się przewlekłego prowadzenia sprawy,</w:t>
      </w:r>
      <w:bookmarkEnd w:id="254"/>
    </w:p>
    <w:p w14:paraId="1EA0D8E4" w14:textId="77777777" w:rsidR="00D539AA" w:rsidRPr="009D4175" w:rsidRDefault="00D539AA" w:rsidP="00D34F97">
      <w:pPr>
        <w:numPr>
          <w:ilvl w:val="0"/>
          <w:numId w:val="200"/>
        </w:numPr>
        <w:tabs>
          <w:tab w:val="left" w:pos="900"/>
        </w:tabs>
        <w:spacing w:after="0" w:line="300" w:lineRule="atLeast"/>
        <w:jc w:val="both"/>
        <w:rPr>
          <w:rFonts w:ascii="Times New Roman" w:hAnsi="Times New Roman"/>
          <w:sz w:val="24"/>
        </w:rPr>
      </w:pPr>
      <w:r>
        <w:rPr>
          <w:rFonts w:ascii="Times New Roman" w:hAnsi="Times New Roman"/>
          <w:sz w:val="24"/>
        </w:rPr>
        <w:t xml:space="preserve">w 1 sprawie </w:t>
      </w:r>
      <w:r w:rsidRPr="009D4175">
        <w:rPr>
          <w:rFonts w:ascii="Times New Roman" w:hAnsi="Times New Roman"/>
          <w:sz w:val="24"/>
        </w:rPr>
        <w:t>stwierdzono, że WIOŚ dopuścił się przewlekłego prowadzenia sprawy,</w:t>
      </w:r>
    </w:p>
    <w:p w14:paraId="1BAD7661" w14:textId="234C455B" w:rsidR="00D539AA" w:rsidRPr="00844CAB" w:rsidRDefault="00496FD6" w:rsidP="00D34F97">
      <w:pPr>
        <w:numPr>
          <w:ilvl w:val="0"/>
          <w:numId w:val="200"/>
        </w:numPr>
        <w:tabs>
          <w:tab w:val="left" w:pos="900"/>
        </w:tabs>
        <w:spacing w:after="0" w:line="300" w:lineRule="atLeast"/>
        <w:jc w:val="both"/>
        <w:rPr>
          <w:rFonts w:ascii="Times New Roman" w:hAnsi="Times New Roman"/>
          <w:sz w:val="24"/>
          <w:szCs w:val="24"/>
        </w:rPr>
      </w:pPr>
      <w:r>
        <w:rPr>
          <w:rFonts w:ascii="Times New Roman" w:hAnsi="Times New Roman"/>
          <w:sz w:val="24"/>
          <w:szCs w:val="24"/>
        </w:rPr>
        <w:t xml:space="preserve">nastąpiło </w:t>
      </w:r>
      <w:r w:rsidR="00D539AA" w:rsidRPr="00844CAB">
        <w:rPr>
          <w:rFonts w:ascii="Times New Roman" w:hAnsi="Times New Roman"/>
          <w:sz w:val="24"/>
          <w:szCs w:val="24"/>
        </w:rPr>
        <w:t xml:space="preserve">uchylenie </w:t>
      </w:r>
      <w:r w:rsidR="00D539AA">
        <w:rPr>
          <w:rFonts w:ascii="Times New Roman" w:hAnsi="Times New Roman"/>
          <w:sz w:val="24"/>
          <w:szCs w:val="24"/>
        </w:rPr>
        <w:t xml:space="preserve">40 </w:t>
      </w:r>
      <w:r w:rsidR="00D539AA" w:rsidRPr="00844CAB">
        <w:rPr>
          <w:rFonts w:ascii="Times New Roman" w:hAnsi="Times New Roman"/>
          <w:sz w:val="24"/>
          <w:szCs w:val="24"/>
        </w:rPr>
        <w:t>decyzji w całości, odstąpienie od nałożenia administracyjnej kary pieniężnej i poprzestanie na pouczeniu (art. 189f k.p.a.),</w:t>
      </w:r>
    </w:p>
    <w:p w14:paraId="68A3170A" w14:textId="1FC2CEC5" w:rsidR="00D539AA" w:rsidRPr="007B3AB9" w:rsidRDefault="00496FD6" w:rsidP="00D34F97">
      <w:pPr>
        <w:numPr>
          <w:ilvl w:val="0"/>
          <w:numId w:val="200"/>
        </w:numPr>
        <w:tabs>
          <w:tab w:val="left" w:pos="900"/>
        </w:tabs>
        <w:spacing w:after="0" w:line="300" w:lineRule="atLeast"/>
        <w:jc w:val="both"/>
        <w:rPr>
          <w:rFonts w:ascii="Times New Roman" w:hAnsi="Times New Roman"/>
          <w:sz w:val="24"/>
          <w:szCs w:val="24"/>
        </w:rPr>
      </w:pPr>
      <w:r>
        <w:rPr>
          <w:rFonts w:ascii="Times New Roman" w:hAnsi="Times New Roman"/>
          <w:sz w:val="24"/>
          <w:szCs w:val="24"/>
        </w:rPr>
        <w:t xml:space="preserve">nastąpiła </w:t>
      </w:r>
      <w:r w:rsidR="00D539AA" w:rsidRPr="007B3AB9">
        <w:rPr>
          <w:rFonts w:ascii="Times New Roman" w:hAnsi="Times New Roman"/>
          <w:sz w:val="24"/>
          <w:szCs w:val="24"/>
        </w:rPr>
        <w:t xml:space="preserve">odmowa </w:t>
      </w:r>
      <w:r w:rsidR="00D539AA">
        <w:rPr>
          <w:rFonts w:ascii="Times New Roman" w:hAnsi="Times New Roman"/>
          <w:sz w:val="24"/>
          <w:szCs w:val="24"/>
        </w:rPr>
        <w:t xml:space="preserve">w 6 sprawach </w:t>
      </w:r>
      <w:r>
        <w:rPr>
          <w:rFonts w:ascii="Times New Roman" w:hAnsi="Times New Roman"/>
          <w:sz w:val="24"/>
          <w:szCs w:val="24"/>
        </w:rPr>
        <w:t xml:space="preserve">dotyczących </w:t>
      </w:r>
      <w:r w:rsidR="00D539AA" w:rsidRPr="007B3AB9">
        <w:rPr>
          <w:rFonts w:ascii="Times New Roman" w:hAnsi="Times New Roman"/>
          <w:sz w:val="24"/>
          <w:szCs w:val="24"/>
        </w:rPr>
        <w:t xml:space="preserve">zawieszenia postępowania, </w:t>
      </w:r>
    </w:p>
    <w:p w14:paraId="53B7D67D" w14:textId="576CF290" w:rsidR="00D539AA" w:rsidRPr="009D4175" w:rsidRDefault="00D539AA" w:rsidP="00D34F97">
      <w:pPr>
        <w:numPr>
          <w:ilvl w:val="0"/>
          <w:numId w:val="200"/>
        </w:numPr>
        <w:tabs>
          <w:tab w:val="left" w:pos="900"/>
        </w:tabs>
        <w:spacing w:after="0" w:line="300" w:lineRule="atLeast"/>
        <w:jc w:val="both"/>
        <w:rPr>
          <w:rFonts w:ascii="Times New Roman" w:hAnsi="Times New Roman"/>
          <w:sz w:val="24"/>
          <w:szCs w:val="24"/>
        </w:rPr>
      </w:pPr>
      <w:r w:rsidRPr="009D4175">
        <w:rPr>
          <w:rFonts w:ascii="Times New Roman" w:hAnsi="Times New Roman"/>
          <w:sz w:val="24"/>
          <w:szCs w:val="24"/>
        </w:rPr>
        <w:t>zawiesz</w:t>
      </w:r>
      <w:r w:rsidR="00496FD6">
        <w:rPr>
          <w:rFonts w:ascii="Times New Roman" w:hAnsi="Times New Roman"/>
          <w:sz w:val="24"/>
          <w:szCs w:val="24"/>
        </w:rPr>
        <w:t>one zostało</w:t>
      </w:r>
      <w:r w:rsidRPr="009D4175">
        <w:rPr>
          <w:rFonts w:ascii="Times New Roman" w:hAnsi="Times New Roman"/>
          <w:sz w:val="24"/>
          <w:szCs w:val="24"/>
        </w:rPr>
        <w:t xml:space="preserve"> </w:t>
      </w:r>
      <w:r>
        <w:rPr>
          <w:rFonts w:ascii="Times New Roman" w:hAnsi="Times New Roman"/>
          <w:sz w:val="24"/>
          <w:szCs w:val="24"/>
        </w:rPr>
        <w:t xml:space="preserve">8 </w:t>
      </w:r>
      <w:r w:rsidRPr="009D4175">
        <w:rPr>
          <w:rFonts w:ascii="Times New Roman" w:hAnsi="Times New Roman"/>
          <w:sz w:val="24"/>
          <w:szCs w:val="24"/>
        </w:rPr>
        <w:t>postępowa</w:t>
      </w:r>
      <w:r>
        <w:rPr>
          <w:rFonts w:ascii="Times New Roman" w:hAnsi="Times New Roman"/>
          <w:sz w:val="24"/>
          <w:szCs w:val="24"/>
        </w:rPr>
        <w:t>ń</w:t>
      </w:r>
      <w:r w:rsidRPr="009D4175">
        <w:rPr>
          <w:rFonts w:ascii="Times New Roman" w:hAnsi="Times New Roman"/>
          <w:sz w:val="24"/>
          <w:szCs w:val="24"/>
        </w:rPr>
        <w:t>,</w:t>
      </w:r>
    </w:p>
    <w:p w14:paraId="4EAC5CEA" w14:textId="07AFA6C9" w:rsidR="00D539AA" w:rsidRPr="007B3AB9" w:rsidRDefault="00D539AA" w:rsidP="00D34F97">
      <w:pPr>
        <w:numPr>
          <w:ilvl w:val="0"/>
          <w:numId w:val="200"/>
        </w:numPr>
        <w:tabs>
          <w:tab w:val="left" w:pos="900"/>
        </w:tabs>
        <w:spacing w:after="0" w:line="300" w:lineRule="atLeast"/>
        <w:jc w:val="both"/>
        <w:rPr>
          <w:rFonts w:ascii="Times New Roman" w:hAnsi="Times New Roman"/>
          <w:sz w:val="24"/>
          <w:szCs w:val="24"/>
        </w:rPr>
      </w:pPr>
      <w:r w:rsidRPr="007B3AB9">
        <w:rPr>
          <w:rFonts w:ascii="Times New Roman" w:hAnsi="Times New Roman"/>
          <w:sz w:val="24"/>
        </w:rPr>
        <w:t>podję</w:t>
      </w:r>
      <w:r w:rsidR="00496FD6">
        <w:rPr>
          <w:rFonts w:ascii="Times New Roman" w:hAnsi="Times New Roman"/>
          <w:sz w:val="24"/>
        </w:rPr>
        <w:t>te zostały</w:t>
      </w:r>
      <w:r w:rsidRPr="007B3AB9">
        <w:rPr>
          <w:rFonts w:ascii="Times New Roman" w:hAnsi="Times New Roman"/>
          <w:sz w:val="24"/>
        </w:rPr>
        <w:t xml:space="preserve"> </w:t>
      </w:r>
      <w:r>
        <w:rPr>
          <w:rFonts w:ascii="Times New Roman" w:hAnsi="Times New Roman"/>
          <w:sz w:val="24"/>
        </w:rPr>
        <w:t xml:space="preserve">3 </w:t>
      </w:r>
      <w:r w:rsidRPr="007B3AB9">
        <w:rPr>
          <w:rFonts w:ascii="Times New Roman" w:hAnsi="Times New Roman"/>
          <w:sz w:val="24"/>
        </w:rPr>
        <w:t>z</w:t>
      </w:r>
      <w:r w:rsidR="00496FD6">
        <w:rPr>
          <w:rFonts w:ascii="Times New Roman" w:hAnsi="Times New Roman"/>
          <w:sz w:val="24"/>
        </w:rPr>
        <w:t>a</w:t>
      </w:r>
      <w:r w:rsidRPr="007B3AB9">
        <w:rPr>
          <w:rFonts w:ascii="Times New Roman" w:hAnsi="Times New Roman"/>
          <w:sz w:val="24"/>
        </w:rPr>
        <w:t xml:space="preserve">wieszone postępowania, </w:t>
      </w:r>
    </w:p>
    <w:p w14:paraId="45755F3D" w14:textId="5C98CC35" w:rsidR="00D539AA" w:rsidRDefault="00496FD6" w:rsidP="00D34F97">
      <w:pPr>
        <w:numPr>
          <w:ilvl w:val="0"/>
          <w:numId w:val="200"/>
        </w:numPr>
        <w:tabs>
          <w:tab w:val="left" w:pos="900"/>
        </w:tabs>
        <w:spacing w:after="0" w:line="300" w:lineRule="atLeast"/>
        <w:jc w:val="both"/>
        <w:rPr>
          <w:rFonts w:ascii="Times New Roman" w:hAnsi="Times New Roman"/>
          <w:sz w:val="24"/>
          <w:szCs w:val="24"/>
        </w:rPr>
      </w:pPr>
      <w:r>
        <w:rPr>
          <w:rFonts w:ascii="Times New Roman" w:hAnsi="Times New Roman"/>
          <w:sz w:val="24"/>
          <w:szCs w:val="24"/>
        </w:rPr>
        <w:t xml:space="preserve">nastąpiło </w:t>
      </w:r>
      <w:r w:rsidR="00D539AA" w:rsidRPr="007B3AB9">
        <w:rPr>
          <w:rFonts w:ascii="Times New Roman" w:hAnsi="Times New Roman"/>
          <w:sz w:val="24"/>
          <w:szCs w:val="24"/>
        </w:rPr>
        <w:t>sprostowanie z urzędu omyłki pisarskiej – 5,</w:t>
      </w:r>
    </w:p>
    <w:p w14:paraId="42D38605" w14:textId="7514D789" w:rsidR="00D539AA" w:rsidRPr="003807B2" w:rsidRDefault="00496FD6" w:rsidP="00D34F97">
      <w:pPr>
        <w:numPr>
          <w:ilvl w:val="0"/>
          <w:numId w:val="200"/>
        </w:numPr>
        <w:tabs>
          <w:tab w:val="left" w:pos="900"/>
        </w:tabs>
        <w:spacing w:after="0" w:line="300" w:lineRule="atLeast"/>
        <w:jc w:val="both"/>
        <w:rPr>
          <w:rFonts w:ascii="Times New Roman" w:hAnsi="Times New Roman"/>
          <w:sz w:val="24"/>
          <w:szCs w:val="24"/>
        </w:rPr>
      </w:pPr>
      <w:r>
        <w:rPr>
          <w:rFonts w:ascii="Times New Roman" w:hAnsi="Times New Roman"/>
          <w:sz w:val="24"/>
        </w:rPr>
        <w:t xml:space="preserve">podjęte zostały </w:t>
      </w:r>
      <w:r w:rsidR="00D539AA" w:rsidRPr="00FD71C9">
        <w:rPr>
          <w:rFonts w:ascii="Times New Roman" w:hAnsi="Times New Roman"/>
          <w:sz w:val="24"/>
        </w:rPr>
        <w:t>inn</w:t>
      </w:r>
      <w:r>
        <w:rPr>
          <w:rFonts w:ascii="Times New Roman" w:hAnsi="Times New Roman"/>
          <w:sz w:val="24"/>
        </w:rPr>
        <w:t>e</w:t>
      </w:r>
      <w:r w:rsidR="00D539AA" w:rsidRPr="00FD71C9">
        <w:rPr>
          <w:rFonts w:ascii="Times New Roman" w:hAnsi="Times New Roman"/>
          <w:sz w:val="24"/>
        </w:rPr>
        <w:t xml:space="preserve"> rozstrzygnię</w:t>
      </w:r>
      <w:r>
        <w:rPr>
          <w:rFonts w:ascii="Times New Roman" w:hAnsi="Times New Roman"/>
          <w:sz w:val="24"/>
        </w:rPr>
        <w:t>cia</w:t>
      </w:r>
      <w:r w:rsidR="00D539AA" w:rsidRPr="00FD71C9">
        <w:rPr>
          <w:rFonts w:ascii="Times New Roman" w:hAnsi="Times New Roman"/>
          <w:sz w:val="24"/>
        </w:rPr>
        <w:t xml:space="preserve"> -  15 (np. wznowienie postępowania, odmowa wznowienia postępowania</w:t>
      </w:r>
      <w:r w:rsidR="00D539AA">
        <w:rPr>
          <w:rFonts w:ascii="Times New Roman" w:hAnsi="Times New Roman"/>
          <w:sz w:val="24"/>
        </w:rPr>
        <w:t>,</w:t>
      </w:r>
      <w:r w:rsidR="00D539AA" w:rsidRPr="00FD71C9">
        <w:rPr>
          <w:rFonts w:ascii="Times New Roman" w:hAnsi="Times New Roman"/>
          <w:sz w:val="24"/>
        </w:rPr>
        <w:t xml:space="preserve"> niedopuszczalność wniosku o ponowne rozpatrzenie sprawy</w:t>
      </w:r>
      <w:r w:rsidR="00D539AA">
        <w:rPr>
          <w:rFonts w:ascii="Times New Roman" w:hAnsi="Times New Roman"/>
          <w:sz w:val="24"/>
        </w:rPr>
        <w:t>)</w:t>
      </w:r>
      <w:r>
        <w:rPr>
          <w:rFonts w:ascii="Times New Roman" w:hAnsi="Times New Roman"/>
          <w:sz w:val="24"/>
        </w:rPr>
        <w:t>.</w:t>
      </w:r>
    </w:p>
    <w:p w14:paraId="47C94602" w14:textId="77777777" w:rsidR="00D539AA" w:rsidRPr="00FD71C9" w:rsidRDefault="00D539AA" w:rsidP="00056EE7">
      <w:pPr>
        <w:tabs>
          <w:tab w:val="left" w:pos="900"/>
        </w:tabs>
        <w:spacing w:line="300" w:lineRule="atLeast"/>
        <w:ind w:left="720"/>
        <w:jc w:val="both"/>
        <w:rPr>
          <w:rFonts w:ascii="Times New Roman" w:hAnsi="Times New Roman"/>
          <w:sz w:val="24"/>
          <w:szCs w:val="24"/>
        </w:rPr>
      </w:pPr>
    </w:p>
    <w:p w14:paraId="0F8F8C8D" w14:textId="62D40B9D" w:rsidR="00D539AA" w:rsidRPr="009A4C2C" w:rsidRDefault="00D539AA" w:rsidP="00512029">
      <w:pPr>
        <w:tabs>
          <w:tab w:val="left" w:pos="900"/>
        </w:tabs>
        <w:spacing w:line="300" w:lineRule="atLeast"/>
        <w:ind w:left="720"/>
        <w:jc w:val="center"/>
        <w:rPr>
          <w:rFonts w:ascii="Times New Roman" w:hAnsi="Times New Roman"/>
          <w:sz w:val="24"/>
          <w:szCs w:val="24"/>
        </w:rPr>
      </w:pPr>
      <w:r w:rsidRPr="00544423">
        <w:rPr>
          <w:noProof/>
          <w:lang w:eastAsia="pl-PL"/>
        </w:rPr>
        <w:drawing>
          <wp:inline distT="0" distB="0" distL="0" distR="0" wp14:anchorId="3CDFFDE2" wp14:editId="4D4FEC18">
            <wp:extent cx="5772150" cy="2647950"/>
            <wp:effectExtent l="0" t="0" r="0" b="0"/>
            <wp:docPr id="6" name="Wykres 6" descr="Liczba wydanych orzeczeń przez GIOŚ jako organ II instancji"/>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10FBE30" w14:textId="3CDEB4CF" w:rsidR="00D539AA" w:rsidRPr="00496FD6" w:rsidRDefault="001653EC" w:rsidP="00056EE7">
      <w:pPr>
        <w:spacing w:after="120" w:line="300" w:lineRule="atLeast"/>
        <w:ind w:firstLine="709"/>
        <w:jc w:val="both"/>
        <w:rPr>
          <w:rFonts w:ascii="Times New Roman" w:hAnsi="Times New Roman"/>
          <w:b/>
          <w:noProof/>
          <w:lang w:eastAsia="pl-PL"/>
        </w:rPr>
      </w:pPr>
      <w:r>
        <w:rPr>
          <w:rFonts w:ascii="Times New Roman" w:hAnsi="Times New Roman"/>
          <w:b/>
          <w:noProof/>
          <w:lang w:eastAsia="pl-PL"/>
        </w:rPr>
        <w:lastRenderedPageBreak/>
        <w:t xml:space="preserve">Wykres 9. </w:t>
      </w:r>
      <w:r w:rsidR="00D539AA" w:rsidRPr="00496FD6">
        <w:rPr>
          <w:rFonts w:ascii="Times New Roman" w:hAnsi="Times New Roman"/>
          <w:b/>
          <w:noProof/>
          <w:lang w:eastAsia="pl-PL"/>
        </w:rPr>
        <w:t>Liczba wydanych orzeczeń przez GIOŚ jako organ II instancji</w:t>
      </w:r>
    </w:p>
    <w:p w14:paraId="2EA9E4BD" w14:textId="1AB236B6" w:rsidR="00D539AA" w:rsidRDefault="00D539AA" w:rsidP="001653EC">
      <w:pPr>
        <w:spacing w:after="0" w:line="300" w:lineRule="atLeast"/>
        <w:ind w:firstLine="567"/>
        <w:jc w:val="both"/>
        <w:rPr>
          <w:rFonts w:ascii="Times New Roman" w:hAnsi="Times New Roman"/>
          <w:sz w:val="24"/>
        </w:rPr>
      </w:pPr>
      <w:r>
        <w:rPr>
          <w:rFonts w:ascii="Times New Roman" w:hAnsi="Times New Roman"/>
          <w:sz w:val="24"/>
        </w:rPr>
        <w:t>Do Wojewódzkiego Sądu Administracyjnego w Warszawie w 2022 r. został</w:t>
      </w:r>
      <w:r w:rsidR="001653EC">
        <w:rPr>
          <w:rFonts w:ascii="Times New Roman" w:hAnsi="Times New Roman"/>
          <w:sz w:val="24"/>
        </w:rPr>
        <w:t>o</w:t>
      </w:r>
      <w:r>
        <w:rPr>
          <w:rFonts w:ascii="Times New Roman" w:hAnsi="Times New Roman"/>
          <w:sz w:val="24"/>
        </w:rPr>
        <w:t xml:space="preserve"> złożon</w:t>
      </w:r>
      <w:r w:rsidR="001653EC">
        <w:rPr>
          <w:rFonts w:ascii="Times New Roman" w:hAnsi="Times New Roman"/>
          <w:sz w:val="24"/>
        </w:rPr>
        <w:t>ych</w:t>
      </w:r>
      <w:r>
        <w:rPr>
          <w:rFonts w:ascii="Times New Roman" w:hAnsi="Times New Roman"/>
          <w:sz w:val="24"/>
        </w:rPr>
        <w:t xml:space="preserve"> </w:t>
      </w:r>
      <w:r w:rsidR="001653EC">
        <w:rPr>
          <w:rFonts w:ascii="Times New Roman" w:hAnsi="Times New Roman"/>
          <w:sz w:val="24"/>
        </w:rPr>
        <w:t xml:space="preserve">198 </w:t>
      </w:r>
      <w:r>
        <w:rPr>
          <w:rFonts w:ascii="Times New Roman" w:hAnsi="Times New Roman"/>
          <w:sz w:val="24"/>
        </w:rPr>
        <w:t xml:space="preserve">skarg na decyzje i 59 postanowień </w:t>
      </w:r>
      <w:r w:rsidR="001653EC">
        <w:rPr>
          <w:rFonts w:ascii="Times New Roman" w:hAnsi="Times New Roman"/>
          <w:sz w:val="24"/>
        </w:rPr>
        <w:t xml:space="preserve">oraz </w:t>
      </w:r>
      <w:r>
        <w:rPr>
          <w:rFonts w:ascii="Times New Roman" w:hAnsi="Times New Roman"/>
          <w:sz w:val="24"/>
        </w:rPr>
        <w:t>1 zawiadomienie Głównego Inspektora Ochrony Środowisk</w:t>
      </w:r>
      <w:r w:rsidR="001653EC">
        <w:rPr>
          <w:rFonts w:ascii="Times New Roman" w:hAnsi="Times New Roman"/>
          <w:sz w:val="24"/>
        </w:rPr>
        <w:t>a</w:t>
      </w:r>
      <w:r>
        <w:rPr>
          <w:rFonts w:ascii="Times New Roman" w:hAnsi="Times New Roman"/>
          <w:sz w:val="24"/>
        </w:rPr>
        <w:t xml:space="preserve">, </w:t>
      </w:r>
      <w:r w:rsidRPr="006E55F6">
        <w:rPr>
          <w:rFonts w:ascii="Times New Roman" w:hAnsi="Times New Roman"/>
          <w:sz w:val="24"/>
        </w:rPr>
        <w:t>3</w:t>
      </w:r>
      <w:r>
        <w:rPr>
          <w:rFonts w:ascii="Times New Roman" w:hAnsi="Times New Roman"/>
          <w:sz w:val="24"/>
        </w:rPr>
        <w:t xml:space="preserve"> sprzeci</w:t>
      </w:r>
      <w:r w:rsidR="001653EC">
        <w:rPr>
          <w:rFonts w:ascii="Times New Roman" w:hAnsi="Times New Roman"/>
          <w:sz w:val="24"/>
        </w:rPr>
        <w:t>w</w:t>
      </w:r>
      <w:r>
        <w:rPr>
          <w:rFonts w:ascii="Times New Roman" w:hAnsi="Times New Roman"/>
          <w:sz w:val="24"/>
        </w:rPr>
        <w:t xml:space="preserve">y od decyzji GIOŚ oraz </w:t>
      </w:r>
      <w:r w:rsidRPr="00D46E2E">
        <w:rPr>
          <w:rFonts w:ascii="Times New Roman" w:hAnsi="Times New Roman"/>
          <w:sz w:val="24"/>
        </w:rPr>
        <w:t>5</w:t>
      </w:r>
      <w:r>
        <w:rPr>
          <w:rFonts w:ascii="Times New Roman" w:hAnsi="Times New Roman"/>
          <w:sz w:val="24"/>
        </w:rPr>
        <w:t xml:space="preserve"> skarg na bezczynność organu.  </w:t>
      </w:r>
    </w:p>
    <w:p w14:paraId="46B8EB98" w14:textId="77777777" w:rsidR="00D539AA" w:rsidRDefault="00D539AA" w:rsidP="001653EC">
      <w:pPr>
        <w:spacing w:after="60" w:line="300" w:lineRule="atLeast"/>
        <w:ind w:firstLine="567"/>
        <w:jc w:val="both"/>
        <w:rPr>
          <w:rFonts w:ascii="Times New Roman" w:hAnsi="Times New Roman"/>
          <w:sz w:val="24"/>
        </w:rPr>
      </w:pPr>
      <w:r>
        <w:rPr>
          <w:rFonts w:ascii="Times New Roman" w:hAnsi="Times New Roman"/>
          <w:sz w:val="24"/>
        </w:rPr>
        <w:t xml:space="preserve">Wojewódzki Sąd Administracyjny w Warszawie w 2022 roku rozpatrzył 246 skarg (skargi złożone w 2022 roku jak i z lat ubiegłych) i podjął następujące rozstrzygnięcia w: </w:t>
      </w:r>
    </w:p>
    <w:p w14:paraId="3F330441" w14:textId="213C91EA" w:rsidR="00D539AA" w:rsidRPr="00F459DE" w:rsidRDefault="00D539AA" w:rsidP="00D34F97">
      <w:pPr>
        <w:numPr>
          <w:ilvl w:val="0"/>
          <w:numId w:val="201"/>
        </w:numPr>
        <w:spacing w:after="0" w:line="300" w:lineRule="atLeast"/>
        <w:jc w:val="both"/>
        <w:rPr>
          <w:rFonts w:ascii="Times New Roman" w:hAnsi="Times New Roman"/>
          <w:sz w:val="24"/>
        </w:rPr>
      </w:pPr>
      <w:r w:rsidRPr="000B096D">
        <w:rPr>
          <w:rFonts w:ascii="Times New Roman" w:hAnsi="Times New Roman"/>
          <w:sz w:val="24"/>
        </w:rPr>
        <w:t>153</w:t>
      </w:r>
      <w:r w:rsidR="001653EC">
        <w:rPr>
          <w:rFonts w:ascii="Times New Roman" w:hAnsi="Times New Roman"/>
          <w:sz w:val="24"/>
        </w:rPr>
        <w:t xml:space="preserve"> – </w:t>
      </w:r>
      <w:r w:rsidRPr="00F459DE">
        <w:rPr>
          <w:rFonts w:ascii="Times New Roman" w:hAnsi="Times New Roman"/>
          <w:sz w:val="24"/>
        </w:rPr>
        <w:t>sprawach oddalił skargę na rozstrzygnięcia GIOŚ,</w:t>
      </w:r>
    </w:p>
    <w:p w14:paraId="233709E2" w14:textId="6ADB57EC" w:rsidR="00D539AA" w:rsidRPr="007A3F1D" w:rsidRDefault="00D539AA" w:rsidP="00D34F97">
      <w:pPr>
        <w:numPr>
          <w:ilvl w:val="0"/>
          <w:numId w:val="201"/>
        </w:numPr>
        <w:spacing w:after="0" w:line="300" w:lineRule="atLeast"/>
        <w:jc w:val="both"/>
        <w:rPr>
          <w:rFonts w:ascii="Times New Roman" w:hAnsi="Times New Roman"/>
          <w:sz w:val="24"/>
        </w:rPr>
      </w:pPr>
      <w:r w:rsidRPr="007A3F1D">
        <w:rPr>
          <w:rFonts w:ascii="Times New Roman" w:hAnsi="Times New Roman"/>
          <w:sz w:val="24"/>
        </w:rPr>
        <w:t xml:space="preserve">  </w:t>
      </w:r>
      <w:r w:rsidRPr="00FB01F2">
        <w:rPr>
          <w:rFonts w:ascii="Times New Roman" w:hAnsi="Times New Roman"/>
          <w:sz w:val="24"/>
        </w:rPr>
        <w:t>44</w:t>
      </w:r>
      <w:r w:rsidR="001653EC">
        <w:rPr>
          <w:rFonts w:ascii="Times New Roman" w:hAnsi="Times New Roman"/>
          <w:sz w:val="24"/>
        </w:rPr>
        <w:t xml:space="preserve"> – </w:t>
      </w:r>
      <w:r w:rsidRPr="007A3F1D">
        <w:rPr>
          <w:rFonts w:ascii="Times New Roman" w:hAnsi="Times New Roman"/>
          <w:sz w:val="24"/>
        </w:rPr>
        <w:t xml:space="preserve">sprawach odrzucił skargę,  </w:t>
      </w:r>
    </w:p>
    <w:p w14:paraId="1182D588" w14:textId="6795A5D9" w:rsidR="00D539AA" w:rsidRDefault="00D539AA" w:rsidP="00D34F97">
      <w:pPr>
        <w:numPr>
          <w:ilvl w:val="0"/>
          <w:numId w:val="201"/>
        </w:numPr>
        <w:spacing w:after="0" w:line="300" w:lineRule="atLeast"/>
        <w:jc w:val="both"/>
        <w:rPr>
          <w:rFonts w:ascii="Times New Roman" w:hAnsi="Times New Roman"/>
          <w:sz w:val="24"/>
        </w:rPr>
      </w:pPr>
      <w:r w:rsidRPr="007A3F1D">
        <w:rPr>
          <w:rFonts w:ascii="Times New Roman" w:hAnsi="Times New Roman"/>
          <w:sz w:val="24"/>
        </w:rPr>
        <w:t xml:space="preserve">  </w:t>
      </w:r>
      <w:r>
        <w:rPr>
          <w:rFonts w:ascii="Times New Roman" w:hAnsi="Times New Roman"/>
          <w:sz w:val="24"/>
        </w:rPr>
        <w:t xml:space="preserve">26 </w:t>
      </w:r>
      <w:r w:rsidR="001653EC">
        <w:rPr>
          <w:rFonts w:ascii="Times New Roman" w:hAnsi="Times New Roman"/>
          <w:sz w:val="24"/>
        </w:rPr>
        <w:t>–</w:t>
      </w:r>
      <w:r w:rsidRPr="007A3F1D">
        <w:rPr>
          <w:rFonts w:ascii="Times New Roman" w:hAnsi="Times New Roman"/>
          <w:sz w:val="24"/>
        </w:rPr>
        <w:t xml:space="preserve"> sprawach uchylił rozstrzygnięcia GIOŚ,</w:t>
      </w:r>
    </w:p>
    <w:p w14:paraId="63467F3F" w14:textId="7FA3D287" w:rsidR="00D539AA" w:rsidRDefault="00D539AA" w:rsidP="00D34F97">
      <w:pPr>
        <w:numPr>
          <w:ilvl w:val="0"/>
          <w:numId w:val="201"/>
        </w:numPr>
        <w:spacing w:after="0" w:line="300" w:lineRule="atLeast"/>
        <w:jc w:val="both"/>
        <w:rPr>
          <w:rFonts w:ascii="Times New Roman" w:hAnsi="Times New Roman"/>
          <w:sz w:val="24"/>
        </w:rPr>
      </w:pPr>
      <w:r>
        <w:rPr>
          <w:rFonts w:ascii="Times New Roman" w:hAnsi="Times New Roman"/>
          <w:sz w:val="24"/>
        </w:rPr>
        <w:t xml:space="preserve">  13 – sprawach uchyl</w:t>
      </w:r>
      <w:r w:rsidR="001653EC">
        <w:rPr>
          <w:rFonts w:ascii="Times New Roman" w:hAnsi="Times New Roman"/>
          <w:sz w:val="24"/>
        </w:rPr>
        <w:t>ił</w:t>
      </w:r>
      <w:r>
        <w:rPr>
          <w:rFonts w:ascii="Times New Roman" w:hAnsi="Times New Roman"/>
          <w:sz w:val="24"/>
        </w:rPr>
        <w:t xml:space="preserve"> rozstrzygnięcie GIOŚ i WIOŚ i umorz</w:t>
      </w:r>
      <w:r w:rsidR="001653EC">
        <w:rPr>
          <w:rFonts w:ascii="Times New Roman" w:hAnsi="Times New Roman"/>
          <w:sz w:val="24"/>
        </w:rPr>
        <w:t>ył</w:t>
      </w:r>
      <w:r>
        <w:rPr>
          <w:rFonts w:ascii="Times New Roman" w:hAnsi="Times New Roman"/>
          <w:sz w:val="24"/>
        </w:rPr>
        <w:t xml:space="preserve"> postępowanie, </w:t>
      </w:r>
    </w:p>
    <w:p w14:paraId="228C809C" w14:textId="225AFA59" w:rsidR="00D539AA" w:rsidRDefault="00D539AA" w:rsidP="00D34F97">
      <w:pPr>
        <w:numPr>
          <w:ilvl w:val="0"/>
          <w:numId w:val="201"/>
        </w:numPr>
        <w:spacing w:after="0" w:line="300" w:lineRule="atLeast"/>
        <w:jc w:val="both"/>
        <w:rPr>
          <w:rFonts w:ascii="Times New Roman" w:hAnsi="Times New Roman"/>
          <w:sz w:val="24"/>
        </w:rPr>
      </w:pPr>
      <w:r>
        <w:rPr>
          <w:rFonts w:ascii="Times New Roman" w:hAnsi="Times New Roman"/>
          <w:sz w:val="24"/>
        </w:rPr>
        <w:t xml:space="preserve">    5 </w:t>
      </w:r>
      <w:r w:rsidRPr="007A3F1D">
        <w:rPr>
          <w:rFonts w:ascii="Times New Roman" w:hAnsi="Times New Roman"/>
          <w:sz w:val="24"/>
        </w:rPr>
        <w:t xml:space="preserve"> </w:t>
      </w:r>
      <w:r w:rsidR="001653EC">
        <w:rPr>
          <w:rFonts w:ascii="Times New Roman" w:hAnsi="Times New Roman"/>
          <w:sz w:val="24"/>
        </w:rPr>
        <w:t>–</w:t>
      </w:r>
      <w:r w:rsidRPr="007A3F1D">
        <w:rPr>
          <w:rFonts w:ascii="Times New Roman" w:hAnsi="Times New Roman"/>
          <w:sz w:val="24"/>
        </w:rPr>
        <w:t xml:space="preserve"> sprawach uchylił decyzję GIOŚ i WIOŚ,    </w:t>
      </w:r>
    </w:p>
    <w:p w14:paraId="032EA9A8" w14:textId="7EE21963" w:rsidR="00D539AA" w:rsidRPr="00E80F18" w:rsidRDefault="00D539AA" w:rsidP="00D34F97">
      <w:pPr>
        <w:numPr>
          <w:ilvl w:val="0"/>
          <w:numId w:val="201"/>
        </w:numPr>
        <w:spacing w:after="120" w:line="300" w:lineRule="atLeast"/>
        <w:ind w:left="714" w:hanging="357"/>
        <w:jc w:val="both"/>
        <w:rPr>
          <w:rFonts w:ascii="Times New Roman" w:hAnsi="Times New Roman"/>
          <w:sz w:val="24"/>
        </w:rPr>
      </w:pPr>
      <w:r>
        <w:rPr>
          <w:rFonts w:ascii="Times New Roman" w:hAnsi="Times New Roman"/>
          <w:sz w:val="24"/>
        </w:rPr>
        <w:t xml:space="preserve">    </w:t>
      </w:r>
      <w:r w:rsidRPr="00E80F18">
        <w:rPr>
          <w:rFonts w:ascii="Times New Roman" w:hAnsi="Times New Roman"/>
          <w:sz w:val="24"/>
        </w:rPr>
        <w:t xml:space="preserve">5 </w:t>
      </w:r>
      <w:r w:rsidR="001653EC">
        <w:rPr>
          <w:rFonts w:ascii="Times New Roman" w:hAnsi="Times New Roman"/>
          <w:sz w:val="24"/>
        </w:rPr>
        <w:t xml:space="preserve">– </w:t>
      </w:r>
      <w:r w:rsidR="00F13EDA">
        <w:rPr>
          <w:rFonts w:ascii="Times New Roman" w:hAnsi="Times New Roman"/>
          <w:sz w:val="24"/>
        </w:rPr>
        <w:t xml:space="preserve">sprawach </w:t>
      </w:r>
      <w:r w:rsidRPr="00E80F18">
        <w:rPr>
          <w:rFonts w:ascii="Times New Roman" w:hAnsi="Times New Roman"/>
          <w:sz w:val="24"/>
        </w:rPr>
        <w:t>umorz</w:t>
      </w:r>
      <w:r w:rsidR="001653EC">
        <w:rPr>
          <w:rFonts w:ascii="Times New Roman" w:hAnsi="Times New Roman"/>
          <w:sz w:val="24"/>
        </w:rPr>
        <w:t>ył</w:t>
      </w:r>
      <w:r w:rsidRPr="00E80F18">
        <w:rPr>
          <w:rFonts w:ascii="Times New Roman" w:hAnsi="Times New Roman"/>
          <w:sz w:val="24"/>
        </w:rPr>
        <w:t xml:space="preserve"> postępowanie sądowe</w:t>
      </w:r>
      <w:r w:rsidR="001653EC">
        <w:rPr>
          <w:rFonts w:ascii="Times New Roman" w:hAnsi="Times New Roman"/>
          <w:sz w:val="24"/>
        </w:rPr>
        <w:t xml:space="preserve">. </w:t>
      </w:r>
    </w:p>
    <w:p w14:paraId="2011A356" w14:textId="223BB5B3" w:rsidR="00D539AA" w:rsidRDefault="00D539AA" w:rsidP="001653EC">
      <w:pPr>
        <w:spacing w:after="120" w:line="300" w:lineRule="atLeast"/>
        <w:ind w:firstLine="567"/>
        <w:jc w:val="both"/>
        <w:rPr>
          <w:rFonts w:ascii="Times New Roman" w:hAnsi="Times New Roman"/>
          <w:sz w:val="24"/>
        </w:rPr>
      </w:pPr>
      <w:r>
        <w:rPr>
          <w:rFonts w:ascii="Times New Roman" w:hAnsi="Times New Roman"/>
          <w:sz w:val="24"/>
        </w:rPr>
        <w:t>Podsumowując</w:t>
      </w:r>
      <w:r w:rsidR="001653EC">
        <w:rPr>
          <w:rFonts w:ascii="Times New Roman" w:hAnsi="Times New Roman"/>
          <w:sz w:val="24"/>
        </w:rPr>
        <w:t>,</w:t>
      </w:r>
      <w:r>
        <w:rPr>
          <w:rFonts w:ascii="Times New Roman" w:hAnsi="Times New Roman"/>
          <w:sz w:val="24"/>
        </w:rPr>
        <w:t xml:space="preserve"> Wojewódzki Sąd Administracyjny w Warszawie w 202 sprawach wydał rozstrzygnięcia korzystne dla Głównego Inspektora Ochrony Środowiska, co stanowi  82% zaskarżonych spraw.</w:t>
      </w:r>
    </w:p>
    <w:p w14:paraId="107A76EC" w14:textId="3381C08E" w:rsidR="00D539AA" w:rsidRDefault="00D539AA" w:rsidP="001653EC">
      <w:pPr>
        <w:spacing w:after="60" w:line="300" w:lineRule="atLeast"/>
        <w:jc w:val="both"/>
        <w:rPr>
          <w:rFonts w:ascii="Times New Roman" w:hAnsi="Times New Roman"/>
          <w:sz w:val="24"/>
        </w:rPr>
      </w:pPr>
      <w:r>
        <w:rPr>
          <w:rFonts w:ascii="Times New Roman" w:hAnsi="Times New Roman"/>
          <w:sz w:val="24"/>
        </w:rPr>
        <w:t>Ponadto Wojewódzki Sąd Administracyjny wydał:</w:t>
      </w:r>
    </w:p>
    <w:p w14:paraId="453102C4" w14:textId="77777777" w:rsidR="00D539AA" w:rsidRDefault="00D539AA" w:rsidP="00D34F97">
      <w:pPr>
        <w:numPr>
          <w:ilvl w:val="0"/>
          <w:numId w:val="202"/>
        </w:numPr>
        <w:spacing w:after="0" w:line="300" w:lineRule="atLeast"/>
        <w:ind w:left="714" w:hanging="357"/>
        <w:jc w:val="both"/>
        <w:rPr>
          <w:rFonts w:ascii="Times New Roman" w:hAnsi="Times New Roman"/>
          <w:sz w:val="24"/>
        </w:rPr>
      </w:pPr>
      <w:r>
        <w:rPr>
          <w:rFonts w:ascii="Times New Roman" w:hAnsi="Times New Roman"/>
          <w:sz w:val="24"/>
        </w:rPr>
        <w:t xml:space="preserve">33 </w:t>
      </w:r>
      <w:r w:rsidRPr="00081946">
        <w:rPr>
          <w:rFonts w:ascii="Times New Roman" w:hAnsi="Times New Roman"/>
          <w:sz w:val="24"/>
        </w:rPr>
        <w:t xml:space="preserve">- </w:t>
      </w:r>
      <w:r>
        <w:rPr>
          <w:rFonts w:ascii="Times New Roman" w:hAnsi="Times New Roman"/>
          <w:sz w:val="24"/>
        </w:rPr>
        <w:t xml:space="preserve">postanowienia o </w:t>
      </w:r>
      <w:r w:rsidRPr="00081946">
        <w:rPr>
          <w:rFonts w:ascii="Times New Roman" w:hAnsi="Times New Roman"/>
          <w:sz w:val="24"/>
        </w:rPr>
        <w:t>oddaleni</w:t>
      </w:r>
      <w:r>
        <w:rPr>
          <w:rFonts w:ascii="Times New Roman" w:hAnsi="Times New Roman"/>
          <w:sz w:val="24"/>
        </w:rPr>
        <w:t>u</w:t>
      </w:r>
      <w:r w:rsidRPr="00081946">
        <w:rPr>
          <w:rFonts w:ascii="Times New Roman" w:hAnsi="Times New Roman"/>
          <w:sz w:val="24"/>
        </w:rPr>
        <w:t xml:space="preserve"> wniosku o wstrzymaniu wykonania zaskarżonych </w:t>
      </w:r>
      <w:r>
        <w:rPr>
          <w:rFonts w:ascii="Times New Roman" w:hAnsi="Times New Roman"/>
          <w:sz w:val="24"/>
        </w:rPr>
        <w:t xml:space="preserve">  </w:t>
      </w:r>
      <w:r w:rsidRPr="00081946">
        <w:rPr>
          <w:rFonts w:ascii="Times New Roman" w:hAnsi="Times New Roman"/>
          <w:sz w:val="24"/>
        </w:rPr>
        <w:t>decyzji do WSA,</w:t>
      </w:r>
    </w:p>
    <w:p w14:paraId="0443FA8A" w14:textId="77777777" w:rsidR="00D539AA" w:rsidRDefault="00D539AA" w:rsidP="00D34F97">
      <w:pPr>
        <w:numPr>
          <w:ilvl w:val="0"/>
          <w:numId w:val="202"/>
        </w:numPr>
        <w:spacing w:after="0" w:line="300" w:lineRule="atLeast"/>
        <w:ind w:left="714" w:hanging="357"/>
        <w:jc w:val="both"/>
        <w:rPr>
          <w:rFonts w:ascii="Times New Roman" w:hAnsi="Times New Roman"/>
          <w:sz w:val="24"/>
        </w:rPr>
      </w:pPr>
      <w:r w:rsidRPr="00FB01F2">
        <w:rPr>
          <w:rFonts w:ascii="Times New Roman" w:hAnsi="Times New Roman"/>
          <w:sz w:val="24"/>
        </w:rPr>
        <w:t xml:space="preserve">7 </w:t>
      </w:r>
      <w:bookmarkStart w:id="255" w:name="_Hlk127439579"/>
      <w:r w:rsidRPr="00FB01F2">
        <w:rPr>
          <w:rFonts w:ascii="Times New Roman" w:hAnsi="Times New Roman"/>
          <w:sz w:val="24"/>
        </w:rPr>
        <w:t>–</w:t>
      </w:r>
      <w:bookmarkEnd w:id="255"/>
      <w:r w:rsidRPr="00FB01F2">
        <w:rPr>
          <w:rFonts w:ascii="Times New Roman" w:hAnsi="Times New Roman"/>
          <w:sz w:val="24"/>
        </w:rPr>
        <w:t xml:space="preserve">  postanowień wstrzymujących wykonanie zaskarżonej decyzji do WSA,</w:t>
      </w:r>
      <w:bookmarkStart w:id="256" w:name="_Hlk127439420"/>
    </w:p>
    <w:p w14:paraId="3EEF31BC" w14:textId="77777777" w:rsidR="00D539AA" w:rsidRDefault="00D539AA" w:rsidP="00D34F97">
      <w:pPr>
        <w:numPr>
          <w:ilvl w:val="0"/>
          <w:numId w:val="202"/>
        </w:numPr>
        <w:spacing w:after="0" w:line="300" w:lineRule="atLeast"/>
        <w:ind w:left="714" w:hanging="357"/>
        <w:jc w:val="both"/>
        <w:rPr>
          <w:rFonts w:ascii="Times New Roman" w:hAnsi="Times New Roman"/>
          <w:sz w:val="24"/>
        </w:rPr>
      </w:pPr>
      <w:r w:rsidRPr="00FB01F2">
        <w:rPr>
          <w:rFonts w:ascii="Times New Roman" w:hAnsi="Times New Roman"/>
          <w:sz w:val="24"/>
        </w:rPr>
        <w:t xml:space="preserve">1  </w:t>
      </w:r>
      <w:bookmarkStart w:id="257" w:name="_Hlk127439451"/>
      <w:r w:rsidRPr="00FB01F2">
        <w:rPr>
          <w:rFonts w:ascii="Times New Roman" w:hAnsi="Times New Roman"/>
          <w:sz w:val="24"/>
        </w:rPr>
        <w:t xml:space="preserve">– </w:t>
      </w:r>
      <w:bookmarkEnd w:id="256"/>
      <w:bookmarkEnd w:id="257"/>
      <w:r w:rsidRPr="00FB01F2">
        <w:rPr>
          <w:rFonts w:ascii="Times New Roman" w:hAnsi="Times New Roman"/>
          <w:sz w:val="24"/>
        </w:rPr>
        <w:t xml:space="preserve"> postanowienie o odmowie przywrócenia terminu do wniesienia skargi,</w:t>
      </w:r>
    </w:p>
    <w:p w14:paraId="7953DC93" w14:textId="77777777" w:rsidR="00D539AA" w:rsidRDefault="00D539AA" w:rsidP="00D34F97">
      <w:pPr>
        <w:numPr>
          <w:ilvl w:val="0"/>
          <w:numId w:val="202"/>
        </w:numPr>
        <w:spacing w:after="0" w:line="300" w:lineRule="atLeast"/>
        <w:ind w:left="714" w:hanging="357"/>
        <w:jc w:val="both"/>
        <w:rPr>
          <w:rFonts w:ascii="Times New Roman" w:hAnsi="Times New Roman"/>
          <w:sz w:val="24"/>
        </w:rPr>
      </w:pPr>
      <w:r w:rsidRPr="00FB01F2">
        <w:rPr>
          <w:rFonts w:ascii="Times New Roman" w:hAnsi="Times New Roman"/>
          <w:sz w:val="24"/>
        </w:rPr>
        <w:t>1 – postanowienie o odmowie przywrócenia terminu do uzupełnienie braków formalnych skargi,</w:t>
      </w:r>
    </w:p>
    <w:p w14:paraId="2141E718" w14:textId="77777777" w:rsidR="00D539AA" w:rsidRPr="00FB01F2" w:rsidRDefault="00D539AA" w:rsidP="00D34F97">
      <w:pPr>
        <w:numPr>
          <w:ilvl w:val="0"/>
          <w:numId w:val="202"/>
        </w:numPr>
        <w:spacing w:after="0" w:line="300" w:lineRule="atLeast"/>
        <w:ind w:left="714" w:hanging="357"/>
        <w:jc w:val="both"/>
        <w:rPr>
          <w:rFonts w:ascii="Times New Roman" w:hAnsi="Times New Roman"/>
          <w:sz w:val="24"/>
        </w:rPr>
      </w:pPr>
      <w:r w:rsidRPr="00FB01F2">
        <w:rPr>
          <w:rFonts w:ascii="Times New Roman" w:hAnsi="Times New Roman"/>
          <w:sz w:val="24"/>
        </w:rPr>
        <w:t>1</w:t>
      </w:r>
      <w:r>
        <w:rPr>
          <w:rFonts w:ascii="Times New Roman" w:hAnsi="Times New Roman"/>
          <w:sz w:val="24"/>
        </w:rPr>
        <w:t xml:space="preserve"> </w:t>
      </w:r>
      <w:r w:rsidRPr="00FB01F2">
        <w:rPr>
          <w:rFonts w:ascii="Times New Roman" w:hAnsi="Times New Roman"/>
          <w:sz w:val="24"/>
        </w:rPr>
        <w:t>– postanowienie o odmowie zawieszenia postępowania sądowego,</w:t>
      </w:r>
    </w:p>
    <w:p w14:paraId="784B4893" w14:textId="77777777" w:rsidR="00D539AA" w:rsidRDefault="00D539AA" w:rsidP="00D34F97">
      <w:pPr>
        <w:numPr>
          <w:ilvl w:val="0"/>
          <w:numId w:val="202"/>
        </w:numPr>
        <w:spacing w:after="0" w:line="300" w:lineRule="atLeast"/>
        <w:jc w:val="both"/>
        <w:rPr>
          <w:rFonts w:ascii="Times New Roman" w:hAnsi="Times New Roman"/>
          <w:sz w:val="24"/>
        </w:rPr>
      </w:pPr>
      <w:r>
        <w:rPr>
          <w:rFonts w:ascii="Times New Roman" w:hAnsi="Times New Roman"/>
          <w:sz w:val="24"/>
        </w:rPr>
        <w:t xml:space="preserve">1 </w:t>
      </w:r>
      <w:r w:rsidRPr="00FB01F2">
        <w:rPr>
          <w:rFonts w:ascii="Times New Roman" w:hAnsi="Times New Roman"/>
          <w:sz w:val="24"/>
        </w:rPr>
        <w:t>–</w:t>
      </w:r>
      <w:r>
        <w:rPr>
          <w:rFonts w:ascii="Times New Roman" w:hAnsi="Times New Roman"/>
          <w:sz w:val="24"/>
        </w:rPr>
        <w:t xml:space="preserve"> postanowienie o odrzuceniu skargi kasacyjnej, </w:t>
      </w:r>
    </w:p>
    <w:p w14:paraId="7B2C2CD4" w14:textId="77777777" w:rsidR="00D539AA" w:rsidRDefault="00D539AA" w:rsidP="00D34F97">
      <w:pPr>
        <w:numPr>
          <w:ilvl w:val="0"/>
          <w:numId w:val="202"/>
        </w:numPr>
        <w:spacing w:after="0" w:line="300" w:lineRule="atLeast"/>
        <w:jc w:val="both"/>
        <w:rPr>
          <w:rFonts w:ascii="Times New Roman" w:hAnsi="Times New Roman"/>
          <w:sz w:val="24"/>
        </w:rPr>
      </w:pPr>
      <w:r>
        <w:rPr>
          <w:rFonts w:ascii="Times New Roman" w:hAnsi="Times New Roman"/>
          <w:sz w:val="24"/>
        </w:rPr>
        <w:t xml:space="preserve">1 </w:t>
      </w:r>
      <w:r w:rsidRPr="00FB01F2">
        <w:rPr>
          <w:rFonts w:ascii="Times New Roman" w:hAnsi="Times New Roman"/>
          <w:sz w:val="24"/>
        </w:rPr>
        <w:t>–</w:t>
      </w:r>
      <w:r>
        <w:rPr>
          <w:rFonts w:ascii="Times New Roman" w:hAnsi="Times New Roman"/>
          <w:sz w:val="24"/>
        </w:rPr>
        <w:t xml:space="preserve"> postanowienie o podjęciu zawieszonego postępowania,</w:t>
      </w:r>
    </w:p>
    <w:p w14:paraId="5861D013" w14:textId="3FC95F9C" w:rsidR="001E7956" w:rsidRPr="00F13EDA" w:rsidRDefault="00D539AA" w:rsidP="00F13EDA">
      <w:pPr>
        <w:numPr>
          <w:ilvl w:val="0"/>
          <w:numId w:val="202"/>
        </w:numPr>
        <w:spacing w:after="120" w:line="300" w:lineRule="atLeast"/>
        <w:ind w:left="714" w:hanging="357"/>
        <w:jc w:val="both"/>
        <w:rPr>
          <w:rFonts w:ascii="Times New Roman" w:hAnsi="Times New Roman"/>
          <w:sz w:val="24"/>
        </w:rPr>
      </w:pPr>
      <w:r>
        <w:rPr>
          <w:rFonts w:ascii="Times New Roman" w:hAnsi="Times New Roman"/>
          <w:sz w:val="24"/>
        </w:rPr>
        <w:t xml:space="preserve">1 – postanowienie o przywróceniu terminu do wniesienia skargi. </w:t>
      </w:r>
    </w:p>
    <w:p w14:paraId="26845DC7" w14:textId="5F112BE3" w:rsidR="00D539AA" w:rsidRPr="00EA1743" w:rsidRDefault="00D539AA" w:rsidP="001E7956">
      <w:pPr>
        <w:spacing w:after="60" w:line="300" w:lineRule="atLeast"/>
        <w:ind w:firstLine="567"/>
        <w:jc w:val="both"/>
        <w:rPr>
          <w:rFonts w:ascii="Times New Roman" w:hAnsi="Times New Roman"/>
          <w:sz w:val="24"/>
          <w:szCs w:val="24"/>
        </w:rPr>
      </w:pPr>
      <w:r w:rsidRPr="00EA1743">
        <w:rPr>
          <w:rFonts w:ascii="Times New Roman" w:hAnsi="Times New Roman"/>
          <w:sz w:val="24"/>
          <w:szCs w:val="24"/>
        </w:rPr>
        <w:t xml:space="preserve">W skargach na bezczynność organu Wojewódzki Sąd Administracyjny w Warszawie </w:t>
      </w:r>
      <w:r w:rsidR="00E72A65">
        <w:rPr>
          <w:rFonts w:ascii="Times New Roman" w:hAnsi="Times New Roman"/>
          <w:sz w:val="24"/>
          <w:szCs w:val="24"/>
        </w:rPr>
        <w:br/>
      </w:r>
      <w:r w:rsidRPr="00EA1743">
        <w:rPr>
          <w:rFonts w:ascii="Times New Roman" w:hAnsi="Times New Roman"/>
          <w:sz w:val="24"/>
          <w:szCs w:val="24"/>
        </w:rPr>
        <w:t>w 2022 r. podjął następujące rozstrzygnięcia:</w:t>
      </w:r>
    </w:p>
    <w:p w14:paraId="3F0E72E2" w14:textId="77777777" w:rsidR="00D539AA" w:rsidRPr="00C91352" w:rsidRDefault="00D539AA" w:rsidP="00D34F97">
      <w:pPr>
        <w:numPr>
          <w:ilvl w:val="0"/>
          <w:numId w:val="201"/>
        </w:numPr>
        <w:spacing w:after="0" w:line="300" w:lineRule="atLeast"/>
        <w:jc w:val="both"/>
        <w:rPr>
          <w:rFonts w:ascii="Times New Roman" w:hAnsi="Times New Roman"/>
          <w:sz w:val="24"/>
          <w:szCs w:val="24"/>
        </w:rPr>
      </w:pPr>
      <w:r w:rsidRPr="00C91352">
        <w:rPr>
          <w:rFonts w:ascii="Times New Roman" w:hAnsi="Times New Roman"/>
          <w:sz w:val="24"/>
          <w:szCs w:val="24"/>
        </w:rPr>
        <w:t>1 skarga - zobowiązano Głównego Inspektora Ochrony Środowiska do rozpatrzenia wniosku i stwierdzono bezczynność organu oraz wymierzono grzywnę</w:t>
      </w:r>
      <w:r>
        <w:rPr>
          <w:rFonts w:ascii="Times New Roman" w:hAnsi="Times New Roman"/>
          <w:sz w:val="24"/>
          <w:szCs w:val="24"/>
        </w:rPr>
        <w:t>,</w:t>
      </w:r>
      <w:r w:rsidRPr="00C91352">
        <w:rPr>
          <w:rFonts w:ascii="Times New Roman" w:hAnsi="Times New Roman"/>
          <w:sz w:val="24"/>
          <w:szCs w:val="24"/>
        </w:rPr>
        <w:t xml:space="preserve"> (sk</w:t>
      </w:r>
      <w:r>
        <w:rPr>
          <w:rFonts w:ascii="Times New Roman" w:hAnsi="Times New Roman"/>
          <w:sz w:val="24"/>
          <w:szCs w:val="24"/>
        </w:rPr>
        <w:t>a</w:t>
      </w:r>
      <w:r w:rsidRPr="00C91352">
        <w:rPr>
          <w:rFonts w:ascii="Times New Roman" w:hAnsi="Times New Roman"/>
          <w:sz w:val="24"/>
          <w:szCs w:val="24"/>
        </w:rPr>
        <w:t>rga</w:t>
      </w:r>
      <w:r>
        <w:rPr>
          <w:rFonts w:ascii="Times New Roman" w:hAnsi="Times New Roman"/>
          <w:sz w:val="24"/>
          <w:szCs w:val="24"/>
        </w:rPr>
        <w:t xml:space="preserve"> </w:t>
      </w:r>
      <w:r w:rsidRPr="00C91352">
        <w:rPr>
          <w:rFonts w:ascii="Times New Roman" w:hAnsi="Times New Roman"/>
          <w:sz w:val="24"/>
          <w:szCs w:val="24"/>
        </w:rPr>
        <w:t>złożona w 2021 r.)</w:t>
      </w:r>
    </w:p>
    <w:p w14:paraId="285A2EE8" w14:textId="100B5AEA" w:rsidR="00D539AA" w:rsidRPr="00EA1743" w:rsidRDefault="00D539AA" w:rsidP="00D34F97">
      <w:pPr>
        <w:numPr>
          <w:ilvl w:val="0"/>
          <w:numId w:val="201"/>
        </w:numPr>
        <w:spacing w:after="0" w:line="300" w:lineRule="atLeast"/>
        <w:jc w:val="both"/>
        <w:rPr>
          <w:rFonts w:ascii="Times New Roman" w:hAnsi="Times New Roman"/>
          <w:sz w:val="24"/>
          <w:szCs w:val="24"/>
        </w:rPr>
      </w:pPr>
      <w:r w:rsidRPr="00EA1743">
        <w:rPr>
          <w:rFonts w:ascii="Times New Roman" w:hAnsi="Times New Roman"/>
          <w:sz w:val="24"/>
          <w:szCs w:val="24"/>
        </w:rPr>
        <w:t xml:space="preserve">1 skarga - </w:t>
      </w:r>
      <w:r w:rsidRPr="00EA1743">
        <w:rPr>
          <w:rFonts w:ascii="Times New Roman" w:hAnsi="Times New Roman"/>
          <w:color w:val="000000"/>
          <w:sz w:val="24"/>
          <w:szCs w:val="24"/>
          <w:shd w:val="clear" w:color="auto" w:fill="FFFFFF"/>
        </w:rPr>
        <w:t>WSA stwierdził, że Główny Inspektor Ochrony Środowiska dopuścił się bezczynności w rozpatrzeniu odwołania, że bezczynność nie miała miejsca  rażącego naruszeniem prawa</w:t>
      </w:r>
      <w:r w:rsidR="001E7956">
        <w:rPr>
          <w:rFonts w:ascii="Times New Roman" w:hAnsi="Times New Roman"/>
          <w:color w:val="000000"/>
          <w:sz w:val="24"/>
          <w:szCs w:val="24"/>
          <w:shd w:val="clear" w:color="auto" w:fill="FFFFFF"/>
        </w:rPr>
        <w:t>,</w:t>
      </w:r>
      <w:r w:rsidRPr="00EA1743">
        <w:rPr>
          <w:rFonts w:ascii="Times New Roman" w:hAnsi="Times New Roman"/>
          <w:color w:val="000000"/>
          <w:sz w:val="24"/>
          <w:szCs w:val="24"/>
          <w:shd w:val="clear" w:color="auto" w:fill="FFFFFF"/>
        </w:rPr>
        <w:t xml:space="preserve">  a w pozostałej części oddalił skargę</w:t>
      </w:r>
      <w:r w:rsidR="001E7956">
        <w:rPr>
          <w:rFonts w:ascii="Times New Roman" w:hAnsi="Times New Roman"/>
          <w:color w:val="000000"/>
          <w:sz w:val="24"/>
          <w:szCs w:val="24"/>
          <w:shd w:val="clear" w:color="auto" w:fill="FFFFFF"/>
        </w:rPr>
        <w:t xml:space="preserve"> </w:t>
      </w:r>
      <w:r>
        <w:rPr>
          <w:rFonts w:ascii="Times New Roman" w:hAnsi="Times New Roman"/>
          <w:color w:val="000000"/>
          <w:sz w:val="24"/>
          <w:szCs w:val="24"/>
          <w:shd w:val="clear" w:color="auto" w:fill="FFFFFF"/>
        </w:rPr>
        <w:t>(skarga z 2021 r.),</w:t>
      </w:r>
    </w:p>
    <w:p w14:paraId="26C635DA" w14:textId="72D94A1C" w:rsidR="00D539AA" w:rsidRDefault="00D539AA" w:rsidP="00F13EDA">
      <w:pPr>
        <w:numPr>
          <w:ilvl w:val="0"/>
          <w:numId w:val="201"/>
        </w:numPr>
        <w:spacing w:after="60" w:line="300" w:lineRule="atLeast"/>
        <w:ind w:left="714" w:hanging="357"/>
        <w:jc w:val="both"/>
        <w:rPr>
          <w:rFonts w:ascii="Times New Roman" w:hAnsi="Times New Roman"/>
          <w:sz w:val="24"/>
          <w:szCs w:val="24"/>
        </w:rPr>
      </w:pPr>
      <w:r w:rsidRPr="00EA1743">
        <w:rPr>
          <w:rFonts w:ascii="Times New Roman" w:hAnsi="Times New Roman"/>
          <w:sz w:val="24"/>
          <w:szCs w:val="24"/>
        </w:rPr>
        <w:t>1 skarga – odrzucona skarga na bezczynność GIOŚ</w:t>
      </w:r>
      <w:r w:rsidR="001E7956">
        <w:rPr>
          <w:rFonts w:ascii="Times New Roman" w:hAnsi="Times New Roman"/>
          <w:sz w:val="24"/>
          <w:szCs w:val="24"/>
        </w:rPr>
        <w:t xml:space="preserve"> </w:t>
      </w:r>
      <w:r>
        <w:rPr>
          <w:rFonts w:ascii="Times New Roman" w:hAnsi="Times New Roman"/>
          <w:sz w:val="24"/>
          <w:szCs w:val="24"/>
        </w:rPr>
        <w:t>(skarga z 2022 r.).</w:t>
      </w:r>
    </w:p>
    <w:p w14:paraId="44E630DF" w14:textId="5A405410" w:rsidR="00D539AA" w:rsidRDefault="00D539AA" w:rsidP="00056EE7">
      <w:pPr>
        <w:spacing w:line="300" w:lineRule="atLeast"/>
      </w:pPr>
      <w:r w:rsidRPr="004C4499">
        <w:rPr>
          <w:noProof/>
          <w:lang w:eastAsia="pl-PL"/>
        </w:rPr>
        <w:lastRenderedPageBreak/>
        <w:drawing>
          <wp:inline distT="0" distB="0" distL="0" distR="0" wp14:anchorId="781B8D88" wp14:editId="7B538BAE">
            <wp:extent cx="5772150" cy="3295650"/>
            <wp:effectExtent l="0" t="0" r="0" b="0"/>
            <wp:docPr id="5" name="Wykres 5" descr="Liczba skarg złożonych do WSA na rozstrzygnięcie GIOŚ oraz wydanych rozstrzygnięć przez WSA"/>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DEDC004" w14:textId="64C3A02F" w:rsidR="00D539AA" w:rsidRPr="00AA44D9" w:rsidRDefault="001653EC" w:rsidP="001653EC">
      <w:pPr>
        <w:spacing w:line="300" w:lineRule="atLeast"/>
        <w:jc w:val="both"/>
        <w:rPr>
          <w:rFonts w:ascii="Times New Roman" w:hAnsi="Times New Roman"/>
          <w:b/>
          <w:sz w:val="24"/>
        </w:rPr>
      </w:pPr>
      <w:r w:rsidRPr="001653EC">
        <w:rPr>
          <w:rFonts w:ascii="Times New Roman" w:hAnsi="Times New Roman" w:cs="Times New Roman"/>
          <w:b/>
        </w:rPr>
        <w:t xml:space="preserve">Wykres 10. </w:t>
      </w:r>
      <w:r w:rsidR="00D539AA" w:rsidRPr="00AA44D9">
        <w:rPr>
          <w:rFonts w:ascii="Times New Roman" w:hAnsi="Times New Roman"/>
          <w:b/>
        </w:rPr>
        <w:t>Liczba skarg złożonych do WSA na rozstrzygnięcie GIOŚ oraz wydanych rozstrzygnięć przez WSA</w:t>
      </w:r>
    </w:p>
    <w:p w14:paraId="639E1FBF" w14:textId="32958455" w:rsidR="00D539AA" w:rsidRDefault="00D539AA" w:rsidP="001E7956">
      <w:pPr>
        <w:spacing w:after="0" w:line="300" w:lineRule="atLeast"/>
        <w:ind w:firstLine="567"/>
        <w:jc w:val="both"/>
        <w:rPr>
          <w:rFonts w:ascii="Times New Roman" w:hAnsi="Times New Roman"/>
          <w:sz w:val="24"/>
        </w:rPr>
      </w:pPr>
      <w:r>
        <w:rPr>
          <w:rFonts w:ascii="Times New Roman" w:hAnsi="Times New Roman"/>
          <w:sz w:val="24"/>
        </w:rPr>
        <w:t xml:space="preserve">W </w:t>
      </w:r>
      <w:r w:rsidRPr="00C91352">
        <w:rPr>
          <w:rFonts w:ascii="Times New Roman" w:hAnsi="Times New Roman"/>
          <w:sz w:val="24"/>
        </w:rPr>
        <w:t>12</w:t>
      </w:r>
      <w:r w:rsidRPr="004D3827">
        <w:rPr>
          <w:rFonts w:ascii="Times New Roman" w:hAnsi="Times New Roman"/>
          <w:color w:val="FF0000"/>
          <w:sz w:val="24"/>
        </w:rPr>
        <w:t xml:space="preserve"> </w:t>
      </w:r>
      <w:r>
        <w:rPr>
          <w:rFonts w:ascii="Times New Roman" w:hAnsi="Times New Roman"/>
          <w:sz w:val="24"/>
        </w:rPr>
        <w:t xml:space="preserve">sprawach Główny Inspektor Ochrony Środowiska złożył skargi kasacyjne do Naczelnego Sądu Administracyjnego od wyroków Wojewódzkiego Sądu Administracyjnego oraz </w:t>
      </w:r>
      <w:r w:rsidRPr="00C91352">
        <w:rPr>
          <w:rFonts w:ascii="Times New Roman" w:hAnsi="Times New Roman"/>
          <w:sz w:val="24"/>
        </w:rPr>
        <w:t>1</w:t>
      </w:r>
      <w:r>
        <w:rPr>
          <w:rFonts w:ascii="Times New Roman" w:hAnsi="Times New Roman"/>
          <w:sz w:val="24"/>
        </w:rPr>
        <w:t xml:space="preserve"> zażalenie na postanowienie Wojewódzkiego Sądu Administracyjnego. </w:t>
      </w:r>
    </w:p>
    <w:p w14:paraId="4434C212" w14:textId="2D02895F" w:rsidR="00D539AA" w:rsidRDefault="00D539AA" w:rsidP="001E7956">
      <w:pPr>
        <w:spacing w:after="0" w:line="300" w:lineRule="atLeast"/>
        <w:ind w:firstLine="567"/>
        <w:jc w:val="both"/>
        <w:rPr>
          <w:rFonts w:ascii="Times New Roman" w:hAnsi="Times New Roman"/>
          <w:sz w:val="24"/>
        </w:rPr>
      </w:pPr>
      <w:r>
        <w:rPr>
          <w:rFonts w:ascii="Times New Roman" w:hAnsi="Times New Roman"/>
          <w:sz w:val="24"/>
        </w:rPr>
        <w:t xml:space="preserve">Strony postępowania wniosły </w:t>
      </w:r>
      <w:r w:rsidRPr="00C91352">
        <w:rPr>
          <w:rFonts w:ascii="Times New Roman" w:hAnsi="Times New Roman"/>
          <w:sz w:val="24"/>
        </w:rPr>
        <w:t>67</w:t>
      </w:r>
      <w:r>
        <w:rPr>
          <w:rFonts w:ascii="Times New Roman" w:hAnsi="Times New Roman"/>
          <w:color w:val="FF0000"/>
          <w:sz w:val="24"/>
        </w:rPr>
        <w:t xml:space="preserve"> </w:t>
      </w:r>
      <w:r>
        <w:rPr>
          <w:rFonts w:ascii="Times New Roman" w:hAnsi="Times New Roman"/>
          <w:sz w:val="24"/>
        </w:rPr>
        <w:t>skarg kasacyjnych do Naczelnego Sądu Administracyjnego od wyroków Wojewódzkiego Sądu Administracyjnego w Warszawie</w:t>
      </w:r>
      <w:r w:rsidRPr="006065D6">
        <w:rPr>
          <w:rFonts w:ascii="Times New Roman" w:hAnsi="Times New Roman"/>
          <w:sz w:val="24"/>
        </w:rPr>
        <w:t xml:space="preserve"> </w:t>
      </w:r>
      <w:r>
        <w:rPr>
          <w:rFonts w:ascii="Times New Roman" w:hAnsi="Times New Roman"/>
          <w:sz w:val="24"/>
        </w:rPr>
        <w:t xml:space="preserve">oraz </w:t>
      </w:r>
      <w:r w:rsidRPr="00C91352">
        <w:rPr>
          <w:rFonts w:ascii="Times New Roman" w:hAnsi="Times New Roman"/>
          <w:sz w:val="24"/>
        </w:rPr>
        <w:t>11</w:t>
      </w:r>
      <w:r>
        <w:rPr>
          <w:rFonts w:ascii="Times New Roman" w:hAnsi="Times New Roman"/>
          <w:sz w:val="24"/>
        </w:rPr>
        <w:t xml:space="preserve"> zażaleń na postanowienia Wojewódzkiego Sądu Administracyjnego. </w:t>
      </w:r>
    </w:p>
    <w:p w14:paraId="370604A8" w14:textId="2BED714E" w:rsidR="00D539AA" w:rsidRDefault="00D539AA" w:rsidP="007C33A0">
      <w:pPr>
        <w:spacing w:after="60" w:line="300" w:lineRule="atLeast"/>
        <w:ind w:firstLine="567"/>
        <w:jc w:val="both"/>
        <w:rPr>
          <w:rFonts w:ascii="Times New Roman" w:hAnsi="Times New Roman"/>
          <w:sz w:val="24"/>
        </w:rPr>
      </w:pPr>
      <w:r>
        <w:rPr>
          <w:rFonts w:ascii="Times New Roman" w:hAnsi="Times New Roman"/>
          <w:sz w:val="24"/>
        </w:rPr>
        <w:t xml:space="preserve">Naczelny Sąd Administracyjny rozpatrzył  w 2022 r.  </w:t>
      </w:r>
      <w:r w:rsidRPr="0097059A">
        <w:rPr>
          <w:rFonts w:ascii="Times New Roman" w:hAnsi="Times New Roman"/>
          <w:sz w:val="24"/>
        </w:rPr>
        <w:t>32</w:t>
      </w:r>
      <w:r>
        <w:rPr>
          <w:rFonts w:ascii="Times New Roman" w:hAnsi="Times New Roman"/>
          <w:sz w:val="24"/>
        </w:rPr>
        <w:t xml:space="preserve"> skarg kasacyjnych od wyroków WSA  oraz  rozpatrzył 10 zażaleń na postanowienia WSA: </w:t>
      </w:r>
    </w:p>
    <w:p w14:paraId="3B50A88D" w14:textId="14B10ABC" w:rsidR="00D539AA" w:rsidRPr="007A3F1D" w:rsidRDefault="00D539AA" w:rsidP="00056EE7">
      <w:pPr>
        <w:numPr>
          <w:ilvl w:val="0"/>
          <w:numId w:val="1"/>
        </w:numPr>
        <w:spacing w:after="0" w:line="300" w:lineRule="atLeast"/>
        <w:jc w:val="both"/>
        <w:rPr>
          <w:rFonts w:ascii="Times New Roman" w:hAnsi="Times New Roman"/>
          <w:noProof/>
          <w:sz w:val="24"/>
        </w:rPr>
      </w:pPr>
      <w:r w:rsidRPr="007A3F1D">
        <w:rPr>
          <w:rFonts w:ascii="Times New Roman" w:hAnsi="Times New Roman"/>
          <w:sz w:val="24"/>
        </w:rPr>
        <w:t>oddalon</w:t>
      </w:r>
      <w:r w:rsidR="007C33A0">
        <w:rPr>
          <w:rFonts w:ascii="Times New Roman" w:hAnsi="Times New Roman"/>
          <w:sz w:val="24"/>
        </w:rPr>
        <w:t>e</w:t>
      </w:r>
      <w:r w:rsidRPr="007A3F1D">
        <w:rPr>
          <w:rFonts w:ascii="Times New Roman" w:hAnsi="Times New Roman"/>
          <w:sz w:val="24"/>
        </w:rPr>
        <w:t xml:space="preserve"> </w:t>
      </w:r>
      <w:r w:rsidR="007C33A0">
        <w:rPr>
          <w:rFonts w:ascii="Times New Roman" w:hAnsi="Times New Roman"/>
          <w:sz w:val="24"/>
        </w:rPr>
        <w:t xml:space="preserve">22 </w:t>
      </w:r>
      <w:r w:rsidRPr="007A3F1D">
        <w:rPr>
          <w:rFonts w:ascii="Times New Roman" w:hAnsi="Times New Roman"/>
          <w:sz w:val="24"/>
        </w:rPr>
        <w:t>skarg</w:t>
      </w:r>
      <w:r w:rsidR="007C33A0">
        <w:rPr>
          <w:rFonts w:ascii="Times New Roman" w:hAnsi="Times New Roman"/>
          <w:sz w:val="24"/>
        </w:rPr>
        <w:t>i</w:t>
      </w:r>
      <w:r w:rsidRPr="007A3F1D">
        <w:rPr>
          <w:rFonts w:ascii="Times New Roman" w:hAnsi="Times New Roman"/>
          <w:sz w:val="24"/>
        </w:rPr>
        <w:t xml:space="preserve"> - kasacyjne złożone przez stronę,</w:t>
      </w:r>
    </w:p>
    <w:p w14:paraId="205EEEFC" w14:textId="0BAEF366" w:rsidR="00D539AA" w:rsidRPr="007A3F1D" w:rsidRDefault="00D539AA" w:rsidP="00056EE7">
      <w:pPr>
        <w:numPr>
          <w:ilvl w:val="0"/>
          <w:numId w:val="1"/>
        </w:numPr>
        <w:spacing w:after="0" w:line="300" w:lineRule="atLeast"/>
        <w:jc w:val="both"/>
        <w:rPr>
          <w:rFonts w:ascii="Times New Roman" w:hAnsi="Times New Roman"/>
          <w:noProof/>
          <w:sz w:val="24"/>
        </w:rPr>
      </w:pPr>
      <w:r w:rsidRPr="007A3F1D">
        <w:rPr>
          <w:rFonts w:ascii="Times New Roman" w:hAnsi="Times New Roman"/>
          <w:sz w:val="24"/>
        </w:rPr>
        <w:t xml:space="preserve">oddalone </w:t>
      </w:r>
      <w:r>
        <w:rPr>
          <w:rFonts w:ascii="Times New Roman" w:hAnsi="Times New Roman"/>
          <w:sz w:val="24"/>
        </w:rPr>
        <w:t xml:space="preserve">5 </w:t>
      </w:r>
      <w:r w:rsidRPr="007A3F1D">
        <w:rPr>
          <w:rFonts w:ascii="Times New Roman" w:hAnsi="Times New Roman"/>
          <w:sz w:val="24"/>
        </w:rPr>
        <w:t>skarg kasacyjn</w:t>
      </w:r>
      <w:r w:rsidR="007C33A0">
        <w:rPr>
          <w:rFonts w:ascii="Times New Roman" w:hAnsi="Times New Roman"/>
          <w:sz w:val="24"/>
        </w:rPr>
        <w:t>ych</w:t>
      </w:r>
      <w:r w:rsidRPr="007A3F1D">
        <w:rPr>
          <w:rFonts w:ascii="Times New Roman" w:hAnsi="Times New Roman"/>
          <w:sz w:val="24"/>
        </w:rPr>
        <w:t xml:space="preserve"> złożon</w:t>
      </w:r>
      <w:r w:rsidR="007C33A0">
        <w:rPr>
          <w:rFonts w:ascii="Times New Roman" w:hAnsi="Times New Roman"/>
          <w:sz w:val="24"/>
        </w:rPr>
        <w:t>ych</w:t>
      </w:r>
      <w:r w:rsidRPr="007A3F1D">
        <w:rPr>
          <w:rFonts w:ascii="Times New Roman" w:hAnsi="Times New Roman"/>
          <w:sz w:val="24"/>
        </w:rPr>
        <w:t xml:space="preserve"> przez GIOŚ,</w:t>
      </w:r>
    </w:p>
    <w:p w14:paraId="7502F124" w14:textId="51BC4C72" w:rsidR="00D539AA" w:rsidRPr="007A3F1D" w:rsidRDefault="00D539AA" w:rsidP="00056EE7">
      <w:pPr>
        <w:numPr>
          <w:ilvl w:val="0"/>
          <w:numId w:val="1"/>
        </w:numPr>
        <w:spacing w:after="0" w:line="300" w:lineRule="atLeast"/>
        <w:jc w:val="both"/>
        <w:rPr>
          <w:rFonts w:ascii="Times New Roman" w:hAnsi="Times New Roman"/>
          <w:noProof/>
          <w:sz w:val="24"/>
        </w:rPr>
      </w:pPr>
      <w:r w:rsidRPr="007A3F1D">
        <w:rPr>
          <w:rFonts w:ascii="Times New Roman" w:hAnsi="Times New Roman"/>
          <w:sz w:val="24"/>
        </w:rPr>
        <w:t xml:space="preserve">uchylony </w:t>
      </w:r>
      <w:r w:rsidRPr="00C91352">
        <w:rPr>
          <w:rFonts w:ascii="Times New Roman" w:hAnsi="Times New Roman"/>
          <w:sz w:val="24"/>
        </w:rPr>
        <w:t>1</w:t>
      </w:r>
      <w:r>
        <w:rPr>
          <w:rFonts w:ascii="Times New Roman" w:hAnsi="Times New Roman"/>
          <w:sz w:val="24"/>
        </w:rPr>
        <w:t xml:space="preserve"> </w:t>
      </w:r>
      <w:r w:rsidRPr="007A3F1D">
        <w:rPr>
          <w:rFonts w:ascii="Times New Roman" w:hAnsi="Times New Roman"/>
          <w:sz w:val="24"/>
        </w:rPr>
        <w:t xml:space="preserve">wyrok WSA i oddalona skarga – </w:t>
      </w:r>
      <w:r w:rsidRPr="007A3F1D">
        <w:rPr>
          <w:rFonts w:ascii="Times New Roman" w:hAnsi="Times New Roman"/>
          <w:sz w:val="24"/>
          <w:szCs w:val="24"/>
        </w:rPr>
        <w:t>kasacja złożone przez GIOŚ</w:t>
      </w:r>
      <w:r w:rsidRPr="007A3F1D">
        <w:rPr>
          <w:rFonts w:ascii="Times New Roman" w:hAnsi="Times New Roman"/>
          <w:sz w:val="24"/>
        </w:rPr>
        <w:t>,</w:t>
      </w:r>
    </w:p>
    <w:p w14:paraId="0CE9E9BE" w14:textId="3FCD9AB0" w:rsidR="00D539AA" w:rsidRPr="00C91352" w:rsidRDefault="00D539AA" w:rsidP="00056EE7">
      <w:pPr>
        <w:numPr>
          <w:ilvl w:val="0"/>
          <w:numId w:val="1"/>
        </w:numPr>
        <w:spacing w:after="0" w:line="300" w:lineRule="atLeast"/>
        <w:jc w:val="both"/>
        <w:rPr>
          <w:rFonts w:ascii="Times New Roman" w:hAnsi="Times New Roman"/>
          <w:noProof/>
          <w:sz w:val="24"/>
        </w:rPr>
      </w:pPr>
      <w:r w:rsidRPr="007A3F1D">
        <w:rPr>
          <w:rFonts w:ascii="Times New Roman" w:hAnsi="Times New Roman"/>
          <w:sz w:val="24"/>
        </w:rPr>
        <w:t xml:space="preserve">uchylony </w:t>
      </w:r>
      <w:r w:rsidRPr="00C91352">
        <w:rPr>
          <w:rFonts w:ascii="Times New Roman" w:hAnsi="Times New Roman"/>
          <w:sz w:val="24"/>
        </w:rPr>
        <w:t xml:space="preserve">1 wyrok WSA oraz orzeczenie GIOŚ – kasacja złożona przez stronę, </w:t>
      </w:r>
    </w:p>
    <w:p w14:paraId="04B8D4A6" w14:textId="23F745A4" w:rsidR="00D539AA" w:rsidRPr="00C91352" w:rsidRDefault="00D539AA" w:rsidP="00056EE7">
      <w:pPr>
        <w:numPr>
          <w:ilvl w:val="0"/>
          <w:numId w:val="1"/>
        </w:numPr>
        <w:spacing w:after="0" w:line="300" w:lineRule="atLeast"/>
        <w:jc w:val="both"/>
        <w:rPr>
          <w:rFonts w:ascii="Times New Roman" w:hAnsi="Times New Roman"/>
          <w:noProof/>
          <w:sz w:val="24"/>
        </w:rPr>
      </w:pPr>
      <w:r w:rsidRPr="00C91352">
        <w:rPr>
          <w:rFonts w:ascii="Times New Roman" w:hAnsi="Times New Roman"/>
          <w:noProof/>
          <w:sz w:val="24"/>
        </w:rPr>
        <w:t>uchylone 2 wyroki WSA i skargę  przekazano do ponownego rozpatrzenia przez WSA – kasacja zło</w:t>
      </w:r>
      <w:r w:rsidR="007C33A0">
        <w:rPr>
          <w:rFonts w:ascii="Times New Roman" w:hAnsi="Times New Roman"/>
          <w:noProof/>
          <w:sz w:val="24"/>
        </w:rPr>
        <w:t>ż</w:t>
      </w:r>
      <w:r w:rsidRPr="00C91352">
        <w:rPr>
          <w:rFonts w:ascii="Times New Roman" w:hAnsi="Times New Roman"/>
          <w:noProof/>
          <w:sz w:val="24"/>
        </w:rPr>
        <w:t>ona przez GIOŚ,</w:t>
      </w:r>
    </w:p>
    <w:p w14:paraId="41C2A7BE" w14:textId="603773C7" w:rsidR="00D539AA" w:rsidRPr="00C91352" w:rsidRDefault="00D539AA" w:rsidP="00056EE7">
      <w:pPr>
        <w:numPr>
          <w:ilvl w:val="0"/>
          <w:numId w:val="1"/>
        </w:numPr>
        <w:spacing w:after="0" w:line="300" w:lineRule="atLeast"/>
        <w:jc w:val="both"/>
        <w:rPr>
          <w:rFonts w:ascii="Times New Roman" w:hAnsi="Times New Roman"/>
          <w:noProof/>
          <w:sz w:val="24"/>
        </w:rPr>
      </w:pPr>
      <w:r w:rsidRPr="00C91352">
        <w:rPr>
          <w:rFonts w:ascii="Times New Roman" w:hAnsi="Times New Roman"/>
          <w:sz w:val="24"/>
        </w:rPr>
        <w:t xml:space="preserve">uchylone 1 zaskarżone postanowienia WSA – zażalenie złożone przez GIOS, </w:t>
      </w:r>
    </w:p>
    <w:p w14:paraId="63A9E9C8" w14:textId="540C9AA2" w:rsidR="00D539AA" w:rsidRPr="00C91352" w:rsidRDefault="00D539AA" w:rsidP="00056EE7">
      <w:pPr>
        <w:numPr>
          <w:ilvl w:val="0"/>
          <w:numId w:val="1"/>
        </w:numPr>
        <w:spacing w:after="0" w:line="300" w:lineRule="atLeast"/>
        <w:jc w:val="both"/>
        <w:rPr>
          <w:rFonts w:ascii="Times New Roman" w:hAnsi="Times New Roman"/>
          <w:noProof/>
          <w:sz w:val="24"/>
        </w:rPr>
      </w:pPr>
      <w:r w:rsidRPr="00C91352">
        <w:rPr>
          <w:rFonts w:ascii="Times New Roman" w:hAnsi="Times New Roman"/>
          <w:sz w:val="24"/>
        </w:rPr>
        <w:t>oddal</w:t>
      </w:r>
      <w:r w:rsidR="007C33A0">
        <w:rPr>
          <w:rFonts w:ascii="Times New Roman" w:hAnsi="Times New Roman"/>
          <w:sz w:val="24"/>
        </w:rPr>
        <w:t>one</w:t>
      </w:r>
      <w:r w:rsidRPr="00C91352">
        <w:rPr>
          <w:rFonts w:ascii="Times New Roman" w:hAnsi="Times New Roman"/>
          <w:sz w:val="24"/>
        </w:rPr>
        <w:t xml:space="preserve"> 8 zażaleń strony na postanowienia WSA,</w:t>
      </w:r>
    </w:p>
    <w:p w14:paraId="7C246331" w14:textId="77777777" w:rsidR="00D539AA" w:rsidRDefault="00D539AA" w:rsidP="00056EE7">
      <w:pPr>
        <w:numPr>
          <w:ilvl w:val="0"/>
          <w:numId w:val="1"/>
        </w:numPr>
        <w:spacing w:after="0" w:line="300" w:lineRule="atLeast"/>
        <w:jc w:val="both"/>
        <w:rPr>
          <w:rFonts w:ascii="Times New Roman" w:hAnsi="Times New Roman"/>
          <w:noProof/>
          <w:sz w:val="24"/>
        </w:rPr>
      </w:pPr>
      <w:r w:rsidRPr="00C91352">
        <w:rPr>
          <w:rFonts w:ascii="Times New Roman" w:hAnsi="Times New Roman"/>
          <w:noProof/>
          <w:sz w:val="24"/>
        </w:rPr>
        <w:t>wydane 1 postastanowienie o umorzeniu postępowania zażaleniowego – zażalenie strony</w:t>
      </w:r>
      <w:r>
        <w:rPr>
          <w:rFonts w:ascii="Times New Roman" w:hAnsi="Times New Roman"/>
          <w:noProof/>
          <w:sz w:val="24"/>
        </w:rPr>
        <w:t>,</w:t>
      </w:r>
    </w:p>
    <w:p w14:paraId="1F6D4F97" w14:textId="012A18AD" w:rsidR="00895F16" w:rsidRPr="00D539AA" w:rsidRDefault="00D539AA" w:rsidP="00056EE7">
      <w:pPr>
        <w:numPr>
          <w:ilvl w:val="0"/>
          <w:numId w:val="1"/>
        </w:numPr>
        <w:spacing w:after="0" w:line="300" w:lineRule="atLeast"/>
        <w:jc w:val="both"/>
        <w:rPr>
          <w:rFonts w:ascii="Times New Roman" w:hAnsi="Times New Roman"/>
          <w:noProof/>
          <w:sz w:val="24"/>
        </w:rPr>
      </w:pPr>
      <w:r w:rsidRPr="00D539AA">
        <w:rPr>
          <w:rFonts w:ascii="Times New Roman" w:hAnsi="Times New Roman"/>
          <w:noProof/>
          <w:sz w:val="24"/>
        </w:rPr>
        <w:t>wyd</w:t>
      </w:r>
      <w:r w:rsidR="00DB2E04">
        <w:rPr>
          <w:rFonts w:ascii="Times New Roman" w:hAnsi="Times New Roman"/>
          <w:noProof/>
          <w:sz w:val="24"/>
        </w:rPr>
        <w:t>a</w:t>
      </w:r>
      <w:r w:rsidRPr="00D539AA">
        <w:rPr>
          <w:rFonts w:ascii="Times New Roman" w:hAnsi="Times New Roman"/>
          <w:noProof/>
          <w:sz w:val="24"/>
        </w:rPr>
        <w:t>ne 5 postanowi</w:t>
      </w:r>
      <w:r w:rsidR="00DB2E04">
        <w:rPr>
          <w:rFonts w:ascii="Times New Roman" w:hAnsi="Times New Roman"/>
          <w:noProof/>
          <w:sz w:val="24"/>
        </w:rPr>
        <w:t>eń</w:t>
      </w:r>
      <w:r w:rsidRPr="00D539AA">
        <w:rPr>
          <w:rFonts w:ascii="Times New Roman" w:hAnsi="Times New Roman"/>
          <w:noProof/>
          <w:sz w:val="24"/>
        </w:rPr>
        <w:t xml:space="preserve"> o odmowie wstrzymaniu wykonania zaskarżonej decyzji</w:t>
      </w:r>
      <w:r w:rsidR="00895F16" w:rsidRPr="00D539AA">
        <w:rPr>
          <w:rFonts w:ascii="Times New Roman" w:hAnsi="Times New Roman"/>
          <w:noProof/>
          <w:sz w:val="24"/>
        </w:rPr>
        <w:t>.</w:t>
      </w:r>
    </w:p>
    <w:p w14:paraId="3F9308D5" w14:textId="77777777" w:rsidR="00895F16" w:rsidRPr="007F400A" w:rsidRDefault="00895F16" w:rsidP="00056EE7">
      <w:pPr>
        <w:spacing w:after="0" w:line="300" w:lineRule="atLeast"/>
        <w:ind w:left="720"/>
        <w:jc w:val="both"/>
        <w:rPr>
          <w:rFonts w:ascii="Times New Roman" w:hAnsi="Times New Roman"/>
          <w:noProof/>
          <w:sz w:val="24"/>
        </w:rPr>
      </w:pPr>
    </w:p>
    <w:p w14:paraId="06C696F8" w14:textId="77777777" w:rsidR="00895F16" w:rsidRPr="007F400A" w:rsidRDefault="00895F16" w:rsidP="00056EE7">
      <w:pPr>
        <w:tabs>
          <w:tab w:val="left" w:pos="142"/>
          <w:tab w:val="left" w:pos="709"/>
        </w:tabs>
        <w:spacing w:after="120" w:line="300" w:lineRule="atLeast"/>
        <w:contextualSpacing/>
        <w:jc w:val="both"/>
        <w:rPr>
          <w:rFonts w:ascii="Times New Roman" w:eastAsia="Calibri" w:hAnsi="Times New Roman" w:cs="Times New Roman"/>
          <w:noProof/>
          <w:sz w:val="24"/>
          <w:szCs w:val="20"/>
          <w:lang w:eastAsia="pl-PL"/>
        </w:rPr>
      </w:pPr>
      <w:r w:rsidRPr="007F400A">
        <w:rPr>
          <w:rFonts w:ascii="Times New Roman" w:eastAsia="Calibri" w:hAnsi="Times New Roman" w:cs="Times New Roman"/>
          <w:noProof/>
          <w:sz w:val="24"/>
          <w:szCs w:val="20"/>
          <w:lang w:eastAsia="pl-PL"/>
        </w:rPr>
        <w:br w:type="page"/>
      </w:r>
    </w:p>
    <w:p w14:paraId="0B9A556E" w14:textId="56F79DC9" w:rsidR="00895F16" w:rsidRPr="007F400A" w:rsidRDefault="00895F16" w:rsidP="00056EE7">
      <w:pPr>
        <w:keepNext/>
        <w:spacing w:after="0" w:line="300" w:lineRule="atLeast"/>
        <w:outlineLvl w:val="0"/>
        <w:rPr>
          <w:rFonts w:ascii="Times New Roman" w:eastAsia="Times New Roman" w:hAnsi="Times New Roman" w:cs="Times New Roman"/>
          <w:b/>
          <w:bCs/>
          <w:sz w:val="24"/>
          <w:szCs w:val="24"/>
          <w:lang w:val="x-none" w:eastAsia="x-none"/>
        </w:rPr>
      </w:pPr>
      <w:bookmarkStart w:id="258" w:name="_Toc36732611"/>
      <w:bookmarkStart w:id="259" w:name="_Toc135935647"/>
      <w:r w:rsidRPr="007F400A">
        <w:rPr>
          <w:rFonts w:ascii="Times New Roman" w:eastAsia="Times New Roman" w:hAnsi="Times New Roman" w:cs="Times New Roman"/>
          <w:b/>
          <w:bCs/>
          <w:sz w:val="24"/>
          <w:szCs w:val="24"/>
          <w:lang w:val="x-none" w:eastAsia="x-none"/>
        </w:rPr>
        <w:lastRenderedPageBreak/>
        <w:t>III.</w:t>
      </w:r>
      <w:r w:rsidRPr="007F400A">
        <w:rPr>
          <w:rFonts w:ascii="Times New Roman" w:eastAsia="Times New Roman" w:hAnsi="Times New Roman" w:cs="Times New Roman"/>
          <w:b/>
          <w:bCs/>
          <w:sz w:val="24"/>
          <w:szCs w:val="24"/>
          <w:lang w:val="x-none" w:eastAsia="x-none"/>
        </w:rPr>
        <w:tab/>
        <w:t>TRANSGRANICZNE PRZEMIESZCZANIE ODPADÓW</w:t>
      </w:r>
      <w:bookmarkEnd w:id="258"/>
      <w:bookmarkEnd w:id="259"/>
      <w:r w:rsidRPr="007F400A">
        <w:rPr>
          <w:rFonts w:ascii="Times New Roman" w:eastAsia="Times New Roman" w:hAnsi="Times New Roman" w:cs="Times New Roman"/>
          <w:b/>
          <w:bCs/>
          <w:sz w:val="24"/>
          <w:szCs w:val="24"/>
          <w:lang w:val="x-none" w:eastAsia="x-none"/>
        </w:rPr>
        <w:t xml:space="preserve"> </w:t>
      </w:r>
    </w:p>
    <w:p w14:paraId="3ACC0C51" w14:textId="77777777" w:rsidR="00895F16" w:rsidRPr="007F400A" w:rsidRDefault="00895F16" w:rsidP="00056EE7">
      <w:pPr>
        <w:spacing w:after="0" w:line="300" w:lineRule="atLeast"/>
        <w:ind w:right="57" w:firstLine="1134"/>
        <w:jc w:val="both"/>
        <w:rPr>
          <w:rFonts w:ascii="Times New Roman" w:eastAsia="Times New Roman" w:hAnsi="Times New Roman" w:cs="Times New Roman"/>
          <w:sz w:val="24"/>
          <w:szCs w:val="24"/>
          <w:lang w:eastAsia="pl-PL"/>
        </w:rPr>
      </w:pPr>
    </w:p>
    <w:p w14:paraId="07D22192" w14:textId="319201A6" w:rsidR="007B13BE" w:rsidRPr="0045427B" w:rsidRDefault="007B13BE" w:rsidP="007C33A0">
      <w:pPr>
        <w:spacing w:after="0" w:line="300" w:lineRule="atLeast"/>
        <w:ind w:firstLine="567"/>
        <w:jc w:val="both"/>
        <w:rPr>
          <w:rFonts w:ascii="Times New Roman" w:eastAsia="Calibri" w:hAnsi="Times New Roman" w:cs="Times New Roman"/>
          <w:color w:val="000000" w:themeColor="text1"/>
          <w:sz w:val="24"/>
          <w:szCs w:val="24"/>
        </w:rPr>
      </w:pPr>
      <w:r w:rsidRPr="0045427B">
        <w:rPr>
          <w:rFonts w:ascii="Times New Roman" w:eastAsia="Calibri" w:hAnsi="Times New Roman" w:cs="Times New Roman"/>
          <w:color w:val="000000" w:themeColor="text1"/>
          <w:sz w:val="24"/>
          <w:szCs w:val="24"/>
        </w:rPr>
        <w:t xml:space="preserve">W 2022 r. </w:t>
      </w:r>
      <w:r w:rsidR="007C33A0" w:rsidRPr="0045427B">
        <w:rPr>
          <w:rFonts w:ascii="Times New Roman" w:eastAsia="Calibri" w:hAnsi="Times New Roman" w:cs="Times New Roman"/>
          <w:color w:val="000000" w:themeColor="text1"/>
          <w:sz w:val="24"/>
          <w:szCs w:val="24"/>
        </w:rPr>
        <w:t xml:space="preserve">do </w:t>
      </w:r>
      <w:r w:rsidRPr="0045427B">
        <w:rPr>
          <w:rFonts w:ascii="Times New Roman" w:eastAsia="Calibri" w:hAnsi="Times New Roman" w:cs="Times New Roman"/>
          <w:color w:val="000000" w:themeColor="text1"/>
          <w:sz w:val="24"/>
          <w:szCs w:val="24"/>
        </w:rPr>
        <w:t>najważniejsz</w:t>
      </w:r>
      <w:r w:rsidR="007C33A0" w:rsidRPr="0045427B">
        <w:rPr>
          <w:rFonts w:ascii="Times New Roman" w:eastAsia="Calibri" w:hAnsi="Times New Roman" w:cs="Times New Roman"/>
          <w:color w:val="000000" w:themeColor="text1"/>
          <w:sz w:val="24"/>
          <w:szCs w:val="24"/>
        </w:rPr>
        <w:t>ych</w:t>
      </w:r>
      <w:r w:rsidRPr="0045427B">
        <w:rPr>
          <w:rFonts w:ascii="Times New Roman" w:eastAsia="Calibri" w:hAnsi="Times New Roman" w:cs="Times New Roman"/>
          <w:color w:val="000000" w:themeColor="text1"/>
          <w:sz w:val="24"/>
          <w:szCs w:val="24"/>
        </w:rPr>
        <w:t xml:space="preserve"> zada</w:t>
      </w:r>
      <w:r w:rsidR="007C33A0" w:rsidRPr="0045427B">
        <w:rPr>
          <w:rFonts w:ascii="Times New Roman" w:eastAsia="Calibri" w:hAnsi="Times New Roman" w:cs="Times New Roman"/>
          <w:color w:val="000000" w:themeColor="text1"/>
          <w:sz w:val="24"/>
          <w:szCs w:val="24"/>
        </w:rPr>
        <w:t>ń</w:t>
      </w:r>
      <w:r w:rsidRPr="0045427B">
        <w:rPr>
          <w:rFonts w:ascii="Times New Roman" w:eastAsia="Calibri" w:hAnsi="Times New Roman" w:cs="Times New Roman"/>
          <w:color w:val="000000" w:themeColor="text1"/>
          <w:sz w:val="24"/>
          <w:szCs w:val="24"/>
        </w:rPr>
        <w:t xml:space="preserve"> Inspekcji Ochrony Środowiska w zakresie transgranicznego przemieszczania odpadów </w:t>
      </w:r>
      <w:r w:rsidR="007C33A0" w:rsidRPr="0045427B">
        <w:rPr>
          <w:rFonts w:ascii="Times New Roman" w:eastAsia="Calibri" w:hAnsi="Times New Roman" w:cs="Times New Roman"/>
          <w:color w:val="000000" w:themeColor="text1"/>
          <w:sz w:val="24"/>
          <w:szCs w:val="24"/>
        </w:rPr>
        <w:t>należało:</w:t>
      </w:r>
      <w:r w:rsidRPr="0045427B">
        <w:rPr>
          <w:rFonts w:ascii="Times New Roman" w:eastAsia="Calibri" w:hAnsi="Times New Roman" w:cs="Times New Roman"/>
          <w:color w:val="000000" w:themeColor="text1"/>
          <w:sz w:val="24"/>
          <w:szCs w:val="24"/>
        </w:rPr>
        <w:t xml:space="preserve"> kontrola </w:t>
      </w:r>
      <w:r w:rsidRPr="0045427B">
        <w:rPr>
          <w:rFonts w:ascii="Times New Roman" w:eastAsia="Calibri" w:hAnsi="Times New Roman" w:cs="Times New Roman"/>
          <w:bCs/>
          <w:color w:val="000000" w:themeColor="text1"/>
          <w:sz w:val="24"/>
          <w:szCs w:val="24"/>
        </w:rPr>
        <w:t xml:space="preserve">prawidłowości realizacji transgranicznego przemieszczania odpadów, w tym odpadów niebezpiecznych, </w:t>
      </w:r>
      <w:r w:rsidR="00F13EDA">
        <w:rPr>
          <w:rFonts w:ascii="Times New Roman" w:eastAsia="Calibri" w:hAnsi="Times New Roman" w:cs="Times New Roman"/>
          <w:bCs/>
          <w:color w:val="000000" w:themeColor="text1"/>
          <w:sz w:val="24"/>
          <w:szCs w:val="24"/>
        </w:rPr>
        <w:br/>
      </w:r>
      <w:r w:rsidRPr="0045427B">
        <w:rPr>
          <w:rFonts w:ascii="Times New Roman" w:eastAsia="Calibri" w:hAnsi="Times New Roman" w:cs="Times New Roman"/>
          <w:bCs/>
          <w:color w:val="000000" w:themeColor="text1"/>
          <w:sz w:val="24"/>
          <w:szCs w:val="24"/>
        </w:rPr>
        <w:t xml:space="preserve">w szczególności poprzez kontrolę instalacji wytwarzających lub przetwarzających te odpady, </w:t>
      </w:r>
      <w:r w:rsidRPr="0045427B">
        <w:rPr>
          <w:rFonts w:ascii="Times New Roman" w:eastAsia="Calibri" w:hAnsi="Times New Roman" w:cs="Times New Roman"/>
          <w:bCs/>
          <w:color w:val="000000" w:themeColor="text1"/>
          <w:sz w:val="24"/>
          <w:szCs w:val="24"/>
        </w:rPr>
        <w:br/>
        <w:t>a także prowadzenie wspólnych akcji inspekcyjnych z Krajową Administracją Skarbową, Strażą Graniczną, Inspekcją Transportu Drogowego i Policją.</w:t>
      </w:r>
    </w:p>
    <w:p w14:paraId="6A9F64D3" w14:textId="235E8B86" w:rsidR="00895F16" w:rsidRPr="0045427B" w:rsidRDefault="007B13BE" w:rsidP="007C33A0">
      <w:pPr>
        <w:spacing w:after="0" w:line="300" w:lineRule="atLeast"/>
        <w:ind w:firstLine="567"/>
        <w:jc w:val="both"/>
        <w:rPr>
          <w:rFonts w:ascii="Times New Roman" w:eastAsia="Times New Roman" w:hAnsi="Times New Roman" w:cs="Times New Roman"/>
          <w:color w:val="000000" w:themeColor="text1"/>
          <w:sz w:val="24"/>
          <w:szCs w:val="24"/>
          <w:lang w:eastAsia="pl-PL"/>
        </w:rPr>
      </w:pPr>
      <w:r w:rsidRPr="0045427B">
        <w:rPr>
          <w:rFonts w:ascii="Times New Roman" w:hAnsi="Times New Roman" w:cs="Times New Roman"/>
          <w:color w:val="000000" w:themeColor="text1"/>
          <w:sz w:val="24"/>
          <w:szCs w:val="24"/>
        </w:rPr>
        <w:t>Ponadto, Główny Inspektor Ochrony Środowiska wydawał decyzje na przywóz odpadów do kraju, ich wywóz za granicę oraz tranzyt przez Polskę, jak również prowadził postępowania w celu zwrotu odpadów nielegalnie przywiezionych do Polski lub zagospodarowania w kraju. Inspekcja Ochrony Środowiska współpracowała z właściwymi organami innych państw oraz organizacjami międzynarodowymi w zakresie transgranicznego przemieszczania odpadów, realizowała zadania wynikające z udziału Polski w Konwencji Bazylejskiej, w tym prowadziła Krajowy Sekretariat Konwencji Bazylejskiej</w:t>
      </w:r>
      <w:r w:rsidR="00895F16" w:rsidRPr="0045427B">
        <w:rPr>
          <w:rFonts w:ascii="Times New Roman" w:eastAsia="Times New Roman" w:hAnsi="Times New Roman" w:cs="Times New Roman"/>
          <w:color w:val="000000" w:themeColor="text1"/>
          <w:sz w:val="24"/>
          <w:szCs w:val="24"/>
          <w:lang w:eastAsia="pl-PL"/>
        </w:rPr>
        <w:t>.</w:t>
      </w:r>
    </w:p>
    <w:p w14:paraId="7FEBD2A2" w14:textId="77777777" w:rsidR="00895F16" w:rsidRPr="0045427B" w:rsidRDefault="00895F16" w:rsidP="00056EE7">
      <w:pPr>
        <w:spacing w:after="0" w:line="300" w:lineRule="atLeast"/>
        <w:ind w:firstLine="709"/>
        <w:jc w:val="both"/>
        <w:rPr>
          <w:rFonts w:ascii="Times New Roman" w:eastAsia="Times New Roman" w:hAnsi="Times New Roman" w:cs="Times New Roman"/>
          <w:color w:val="000000" w:themeColor="text1"/>
          <w:sz w:val="24"/>
          <w:szCs w:val="24"/>
          <w:lang w:eastAsia="pl-PL"/>
        </w:rPr>
      </w:pPr>
    </w:p>
    <w:p w14:paraId="14FC84D8" w14:textId="77777777" w:rsidR="00895F16" w:rsidRPr="0045427B" w:rsidRDefault="00895F16" w:rsidP="007C33A0">
      <w:pPr>
        <w:keepNext/>
        <w:numPr>
          <w:ilvl w:val="3"/>
          <w:numId w:val="4"/>
        </w:numPr>
        <w:tabs>
          <w:tab w:val="num" w:pos="426"/>
        </w:tabs>
        <w:spacing w:after="120" w:line="300" w:lineRule="atLeast"/>
        <w:ind w:left="357" w:hanging="357"/>
        <w:jc w:val="both"/>
        <w:outlineLvl w:val="0"/>
        <w:rPr>
          <w:rFonts w:ascii="Times New Roman" w:eastAsia="Times New Roman" w:hAnsi="Times New Roman" w:cs="Times New Roman"/>
          <w:b/>
          <w:bCs/>
          <w:color w:val="000000" w:themeColor="text1"/>
          <w:sz w:val="24"/>
          <w:szCs w:val="24"/>
          <w:lang w:eastAsia="pl-PL"/>
        </w:rPr>
      </w:pPr>
      <w:bookmarkStart w:id="260" w:name="_Toc8899806"/>
      <w:bookmarkStart w:id="261" w:name="_Toc36732612"/>
      <w:bookmarkStart w:id="262" w:name="_Toc135935648"/>
      <w:r w:rsidRPr="0045427B">
        <w:rPr>
          <w:rFonts w:ascii="Times New Roman" w:eastAsia="Times New Roman" w:hAnsi="Times New Roman" w:cs="Times New Roman"/>
          <w:b/>
          <w:bCs/>
          <w:color w:val="000000" w:themeColor="text1"/>
          <w:sz w:val="24"/>
          <w:szCs w:val="24"/>
          <w:lang w:eastAsia="pl-PL"/>
        </w:rPr>
        <w:t>Decyzje w zakresie transgranicznego przemieszczania odpadów</w:t>
      </w:r>
      <w:bookmarkEnd w:id="260"/>
      <w:bookmarkEnd w:id="261"/>
      <w:bookmarkEnd w:id="262"/>
    </w:p>
    <w:p w14:paraId="36810CD7" w14:textId="291F2044" w:rsidR="00895F16" w:rsidRPr="0045427B" w:rsidRDefault="007B13BE" w:rsidP="007C33A0">
      <w:pPr>
        <w:spacing w:after="0" w:line="300" w:lineRule="atLeast"/>
        <w:ind w:firstLine="567"/>
        <w:jc w:val="both"/>
        <w:rPr>
          <w:rFonts w:ascii="Times New Roman" w:eastAsia="Times New Roman" w:hAnsi="Times New Roman" w:cs="Times New Roman"/>
          <w:color w:val="000000" w:themeColor="text1"/>
          <w:sz w:val="24"/>
          <w:szCs w:val="24"/>
        </w:rPr>
      </w:pPr>
      <w:r w:rsidRPr="0045427B">
        <w:rPr>
          <w:rFonts w:ascii="Times New Roman" w:hAnsi="Times New Roman" w:cs="Times New Roman"/>
          <w:bCs/>
          <w:color w:val="000000" w:themeColor="text1"/>
          <w:sz w:val="24"/>
          <w:szCs w:val="24"/>
        </w:rPr>
        <w:t>Główny Inspektor Ochrony Środowiska jest organem właściwym w sprawach udzielania zezwoleń na przywóz, wywóz i tranzyt odpadów, a także w sprawach udzielania zezwoleń wstępnych polskim instalacjom odzysku odpadów, przetwarzającym odpady z zagranicy. Większość zezwoleń na transgraniczne przemieszczanie odpadów przeznaczonych do odzysku, wydawanych przez GIOŚ, związana jest z zapotrzebowaniem rynku na odpady stosowane jako surowce wtórne przy produkcji lub wykorzystywane jako źródło energii</w:t>
      </w:r>
      <w:r w:rsidR="00895F16" w:rsidRPr="0045427B">
        <w:rPr>
          <w:rFonts w:ascii="Times New Roman" w:eastAsia="Times New Roman" w:hAnsi="Times New Roman" w:cs="Times New Roman"/>
          <w:color w:val="000000" w:themeColor="text1"/>
          <w:sz w:val="24"/>
          <w:szCs w:val="24"/>
        </w:rPr>
        <w:t xml:space="preserve">. </w:t>
      </w:r>
    </w:p>
    <w:p w14:paraId="0FD65AB1" w14:textId="65363C3B" w:rsidR="00895F16" w:rsidRPr="0045427B" w:rsidRDefault="007B13BE" w:rsidP="007C33A0">
      <w:pPr>
        <w:spacing w:after="0" w:line="300" w:lineRule="atLeast"/>
        <w:ind w:firstLine="567"/>
        <w:jc w:val="both"/>
        <w:rPr>
          <w:rFonts w:ascii="Times New Roman" w:eastAsia="Times New Roman" w:hAnsi="Times New Roman" w:cs="Times New Roman"/>
          <w:color w:val="000000" w:themeColor="text1"/>
          <w:sz w:val="24"/>
          <w:szCs w:val="24"/>
        </w:rPr>
      </w:pPr>
      <w:r w:rsidRPr="0045427B">
        <w:rPr>
          <w:rFonts w:ascii="Times New Roman" w:hAnsi="Times New Roman" w:cs="Times New Roman"/>
          <w:bCs/>
          <w:color w:val="000000" w:themeColor="text1"/>
          <w:sz w:val="24"/>
          <w:szCs w:val="24"/>
        </w:rPr>
        <w:t>W 2022 r. wydano ogółem 202 decyzj</w:t>
      </w:r>
      <w:r w:rsidR="007C33A0" w:rsidRPr="0045427B">
        <w:rPr>
          <w:rFonts w:ascii="Times New Roman" w:hAnsi="Times New Roman" w:cs="Times New Roman"/>
          <w:bCs/>
          <w:color w:val="000000" w:themeColor="text1"/>
          <w:sz w:val="24"/>
          <w:szCs w:val="24"/>
        </w:rPr>
        <w:t>e</w:t>
      </w:r>
      <w:r w:rsidRPr="0045427B">
        <w:rPr>
          <w:rFonts w:ascii="Times New Roman" w:hAnsi="Times New Roman" w:cs="Times New Roman"/>
          <w:bCs/>
          <w:color w:val="000000" w:themeColor="text1"/>
          <w:sz w:val="24"/>
          <w:szCs w:val="24"/>
        </w:rPr>
        <w:t xml:space="preserve"> (w 2021 r. – 209 decyzji), z których 143 </w:t>
      </w:r>
      <w:r w:rsidR="007C33A0" w:rsidRPr="0045427B">
        <w:rPr>
          <w:rFonts w:ascii="Times New Roman" w:hAnsi="Times New Roman" w:cs="Times New Roman"/>
          <w:bCs/>
          <w:color w:val="000000" w:themeColor="text1"/>
          <w:sz w:val="24"/>
          <w:szCs w:val="24"/>
        </w:rPr>
        <w:br/>
      </w:r>
      <w:r w:rsidRPr="0045427B">
        <w:rPr>
          <w:rFonts w:ascii="Times New Roman" w:hAnsi="Times New Roman" w:cs="Times New Roman"/>
          <w:bCs/>
          <w:color w:val="000000" w:themeColor="text1"/>
          <w:sz w:val="24"/>
          <w:szCs w:val="24"/>
        </w:rPr>
        <w:t>(w 2021 r. – 157) dotyczył</w:t>
      </w:r>
      <w:r w:rsidR="007C33A0" w:rsidRPr="0045427B">
        <w:rPr>
          <w:rFonts w:ascii="Times New Roman" w:hAnsi="Times New Roman" w:cs="Times New Roman"/>
          <w:bCs/>
          <w:color w:val="000000" w:themeColor="text1"/>
          <w:sz w:val="24"/>
          <w:szCs w:val="24"/>
        </w:rPr>
        <w:t>y</w:t>
      </w:r>
      <w:r w:rsidRPr="0045427B">
        <w:rPr>
          <w:rFonts w:ascii="Times New Roman" w:hAnsi="Times New Roman" w:cs="Times New Roman"/>
          <w:bCs/>
          <w:color w:val="000000" w:themeColor="text1"/>
          <w:sz w:val="24"/>
          <w:szCs w:val="24"/>
        </w:rPr>
        <w:t xml:space="preserve"> przemieszczania odpadów niebezpiecznych</w:t>
      </w:r>
      <w:r w:rsidR="00895F16" w:rsidRPr="0045427B">
        <w:rPr>
          <w:rFonts w:ascii="Times New Roman" w:eastAsia="Times New Roman" w:hAnsi="Times New Roman" w:cs="Times New Roman"/>
          <w:color w:val="000000" w:themeColor="text1"/>
          <w:sz w:val="24"/>
          <w:szCs w:val="24"/>
        </w:rPr>
        <w:t>.</w:t>
      </w:r>
    </w:p>
    <w:p w14:paraId="2D61EFD3" w14:textId="05A5CAB2" w:rsidR="00895F16" w:rsidRPr="0045427B" w:rsidRDefault="008F7A87" w:rsidP="007C33A0">
      <w:pPr>
        <w:autoSpaceDE w:val="0"/>
        <w:autoSpaceDN w:val="0"/>
        <w:adjustRightInd w:val="0"/>
        <w:spacing w:after="0" w:line="300" w:lineRule="atLeast"/>
        <w:ind w:firstLine="567"/>
        <w:jc w:val="both"/>
        <w:rPr>
          <w:rFonts w:ascii="Times New Roman" w:eastAsia="Times New Roman" w:hAnsi="Times New Roman" w:cs="Times New Roman"/>
          <w:color w:val="000000" w:themeColor="text1"/>
          <w:sz w:val="24"/>
          <w:szCs w:val="24"/>
        </w:rPr>
      </w:pPr>
      <w:r>
        <w:rPr>
          <w:rFonts w:ascii="Times New Roman" w:hAnsi="Times New Roman" w:cs="Times New Roman"/>
          <w:bCs/>
          <w:color w:val="000000" w:themeColor="text1"/>
          <w:sz w:val="24"/>
          <w:szCs w:val="24"/>
        </w:rPr>
        <w:t xml:space="preserve">W roku 2022 </w:t>
      </w:r>
      <w:r w:rsidR="007C33A0" w:rsidRPr="0045427B">
        <w:rPr>
          <w:rFonts w:ascii="Times New Roman" w:hAnsi="Times New Roman" w:cs="Times New Roman"/>
          <w:bCs/>
          <w:color w:val="000000" w:themeColor="text1"/>
          <w:sz w:val="24"/>
          <w:szCs w:val="24"/>
        </w:rPr>
        <w:t>liczb</w:t>
      </w:r>
      <w:r>
        <w:rPr>
          <w:rFonts w:ascii="Times New Roman" w:hAnsi="Times New Roman" w:cs="Times New Roman"/>
          <w:bCs/>
          <w:color w:val="000000" w:themeColor="text1"/>
          <w:sz w:val="24"/>
          <w:szCs w:val="24"/>
        </w:rPr>
        <w:t>a</w:t>
      </w:r>
      <w:r w:rsidR="007C33A0" w:rsidRPr="0045427B">
        <w:rPr>
          <w:rFonts w:ascii="Times New Roman" w:hAnsi="Times New Roman" w:cs="Times New Roman"/>
          <w:bCs/>
          <w:color w:val="000000" w:themeColor="text1"/>
          <w:sz w:val="24"/>
          <w:szCs w:val="24"/>
        </w:rPr>
        <w:t xml:space="preserve"> wydanych decyzji (202) był</w:t>
      </w:r>
      <w:r>
        <w:rPr>
          <w:rFonts w:ascii="Times New Roman" w:hAnsi="Times New Roman" w:cs="Times New Roman"/>
          <w:bCs/>
          <w:color w:val="000000" w:themeColor="text1"/>
          <w:sz w:val="24"/>
          <w:szCs w:val="24"/>
        </w:rPr>
        <w:t>a</w:t>
      </w:r>
      <w:r w:rsidR="007C33A0" w:rsidRPr="0045427B">
        <w:rPr>
          <w:rFonts w:ascii="Times New Roman" w:hAnsi="Times New Roman" w:cs="Times New Roman"/>
          <w:bCs/>
          <w:color w:val="000000" w:themeColor="text1"/>
          <w:sz w:val="24"/>
          <w:szCs w:val="24"/>
        </w:rPr>
        <w:t xml:space="preserve"> </w:t>
      </w:r>
      <w:r>
        <w:rPr>
          <w:rFonts w:ascii="Times New Roman" w:hAnsi="Times New Roman" w:cs="Times New Roman"/>
          <w:bCs/>
          <w:color w:val="000000" w:themeColor="text1"/>
          <w:sz w:val="24"/>
          <w:szCs w:val="24"/>
        </w:rPr>
        <w:t xml:space="preserve">zbliżona </w:t>
      </w:r>
      <w:r w:rsidR="007C33A0" w:rsidRPr="0045427B">
        <w:rPr>
          <w:rFonts w:ascii="Times New Roman" w:hAnsi="Times New Roman" w:cs="Times New Roman"/>
          <w:bCs/>
          <w:color w:val="000000" w:themeColor="text1"/>
          <w:sz w:val="24"/>
          <w:szCs w:val="24"/>
        </w:rPr>
        <w:t xml:space="preserve">do </w:t>
      </w:r>
      <w:r>
        <w:rPr>
          <w:rFonts w:ascii="Times New Roman" w:hAnsi="Times New Roman" w:cs="Times New Roman"/>
          <w:bCs/>
          <w:color w:val="000000" w:themeColor="text1"/>
          <w:sz w:val="24"/>
          <w:szCs w:val="24"/>
        </w:rPr>
        <w:t xml:space="preserve">liczby decyzji wydanych w </w:t>
      </w:r>
      <w:r w:rsidR="007C33A0" w:rsidRPr="0045427B">
        <w:rPr>
          <w:rFonts w:ascii="Times New Roman" w:hAnsi="Times New Roman" w:cs="Times New Roman"/>
          <w:bCs/>
          <w:color w:val="000000" w:themeColor="text1"/>
          <w:sz w:val="24"/>
          <w:szCs w:val="24"/>
        </w:rPr>
        <w:t>roku 2021 (20</w:t>
      </w:r>
      <w:r w:rsidR="0045427B" w:rsidRPr="0045427B">
        <w:rPr>
          <w:rFonts w:ascii="Times New Roman" w:hAnsi="Times New Roman" w:cs="Times New Roman"/>
          <w:bCs/>
          <w:color w:val="000000" w:themeColor="text1"/>
          <w:sz w:val="24"/>
          <w:szCs w:val="24"/>
        </w:rPr>
        <w:t>9)</w:t>
      </w:r>
      <w:r>
        <w:rPr>
          <w:rFonts w:ascii="Times New Roman" w:hAnsi="Times New Roman" w:cs="Times New Roman"/>
          <w:bCs/>
          <w:color w:val="000000" w:themeColor="text1"/>
          <w:sz w:val="24"/>
          <w:szCs w:val="24"/>
        </w:rPr>
        <w:t>.</w:t>
      </w:r>
      <w:r w:rsidR="00895F16" w:rsidRPr="0045427B">
        <w:rPr>
          <w:rFonts w:ascii="Times New Roman" w:eastAsia="Times New Roman" w:hAnsi="Times New Roman" w:cs="Times New Roman"/>
          <w:color w:val="000000" w:themeColor="text1"/>
          <w:sz w:val="24"/>
          <w:szCs w:val="24"/>
        </w:rPr>
        <w:t xml:space="preserve"> </w:t>
      </w:r>
    </w:p>
    <w:p w14:paraId="213A3BFC" w14:textId="39621A4E" w:rsidR="00895F16" w:rsidRPr="0045427B" w:rsidRDefault="007B13BE" w:rsidP="007C33A0">
      <w:pPr>
        <w:autoSpaceDE w:val="0"/>
        <w:autoSpaceDN w:val="0"/>
        <w:adjustRightInd w:val="0"/>
        <w:spacing w:after="0" w:line="300" w:lineRule="atLeast"/>
        <w:ind w:firstLine="567"/>
        <w:jc w:val="both"/>
        <w:rPr>
          <w:rFonts w:ascii="Times New Roman" w:eastAsia="Times New Roman" w:hAnsi="Times New Roman" w:cs="Times New Roman"/>
          <w:color w:val="000000" w:themeColor="text1"/>
          <w:sz w:val="24"/>
          <w:szCs w:val="24"/>
        </w:rPr>
      </w:pPr>
      <w:r w:rsidRPr="0045427B">
        <w:rPr>
          <w:rFonts w:ascii="Times New Roman" w:hAnsi="Times New Roman" w:cs="Times New Roman"/>
          <w:bCs/>
          <w:color w:val="000000" w:themeColor="text1"/>
          <w:sz w:val="24"/>
          <w:szCs w:val="24"/>
        </w:rPr>
        <w:t>Decyzje zezwalające na międzynarodowe przemieszczanie odpadów mają charakter koncesji, tzn. podmiot otrzymujący zezwolenie na przemieszczanie określonej ilości odpadów nie ma obowiązku realizacji tego zezwolenia, a także może je zrealizować w części, przy czym nie może przekroczyć ilości odpadów określonej w decyzji GIOŚ</w:t>
      </w:r>
      <w:r w:rsidR="00895F16" w:rsidRPr="0045427B">
        <w:rPr>
          <w:rFonts w:ascii="Times New Roman" w:eastAsia="Times New Roman" w:hAnsi="Times New Roman" w:cs="Times New Roman"/>
          <w:color w:val="000000" w:themeColor="text1"/>
          <w:sz w:val="24"/>
          <w:szCs w:val="24"/>
        </w:rPr>
        <w:t>.</w:t>
      </w:r>
    </w:p>
    <w:p w14:paraId="521BED37" w14:textId="1DB415C0" w:rsidR="00895F16" w:rsidRPr="0045427B" w:rsidRDefault="007B13BE" w:rsidP="007C33A0">
      <w:pPr>
        <w:spacing w:after="0" w:line="300" w:lineRule="atLeast"/>
        <w:ind w:firstLine="567"/>
        <w:jc w:val="both"/>
        <w:rPr>
          <w:rFonts w:ascii="Times New Roman" w:eastAsia="Times New Roman" w:hAnsi="Times New Roman" w:cs="Times New Roman"/>
          <w:color w:val="000000" w:themeColor="text1"/>
          <w:sz w:val="24"/>
          <w:szCs w:val="24"/>
        </w:rPr>
      </w:pPr>
      <w:r w:rsidRPr="0045427B">
        <w:rPr>
          <w:rFonts w:ascii="Times New Roman" w:hAnsi="Times New Roman" w:cs="Times New Roman"/>
          <w:bCs/>
          <w:color w:val="000000" w:themeColor="text1"/>
          <w:sz w:val="24"/>
          <w:szCs w:val="24"/>
        </w:rPr>
        <w:t>W 2022 r. obowiązywało 5 zezwoleń wstępnych wydanych dla instalacji odzysku odpadów, w przypadku których GIOŚ stosował uproszczoną procedurę wydawania zezwoleń na przywóz odpadów</w:t>
      </w:r>
      <w:r w:rsidR="00895F16" w:rsidRPr="0045427B">
        <w:rPr>
          <w:rFonts w:ascii="Times New Roman" w:eastAsia="Times New Roman" w:hAnsi="Times New Roman" w:cs="Times New Roman"/>
          <w:color w:val="000000" w:themeColor="text1"/>
          <w:sz w:val="24"/>
          <w:szCs w:val="24"/>
        </w:rPr>
        <w:t xml:space="preserve">. </w:t>
      </w:r>
    </w:p>
    <w:p w14:paraId="14683970" w14:textId="5FE9DE87" w:rsidR="00895F16" w:rsidRPr="0045427B" w:rsidRDefault="00D53250" w:rsidP="007C33A0">
      <w:pPr>
        <w:spacing w:after="0" w:line="300" w:lineRule="atLeast"/>
        <w:ind w:firstLine="567"/>
        <w:jc w:val="both"/>
        <w:rPr>
          <w:rFonts w:ascii="Times New Roman" w:eastAsia="Times New Roman" w:hAnsi="Times New Roman" w:cs="Times New Roman"/>
          <w:color w:val="000000" w:themeColor="text1"/>
          <w:sz w:val="24"/>
          <w:szCs w:val="24"/>
        </w:rPr>
      </w:pPr>
      <w:r w:rsidRPr="0045427B">
        <w:rPr>
          <w:rFonts w:ascii="Times New Roman" w:hAnsi="Times New Roman" w:cs="Times New Roman"/>
          <w:bCs/>
          <w:color w:val="000000" w:themeColor="text1"/>
          <w:sz w:val="24"/>
          <w:szCs w:val="24"/>
        </w:rPr>
        <w:t xml:space="preserve">Informacje o zgłoszeniach i wydanych decyzjach, a także instalacjach, które uzyskały zezwolenia wstępne, zawiera rejestr zgłoszeń i decyzji w zakresie międzynarodowego przemieszczania odpadów oraz rejestr instalacji, którym udzielono zezwolenia wstępnego, prowadzony przez Głównego Inspektora Ochrony Środowiska. Oba rejestry są udostępnione na stronie internetowej GIOŚ </w:t>
      </w:r>
      <w:hyperlink r:id="rId26" w:history="1">
        <w:r w:rsidRPr="0045427B">
          <w:rPr>
            <w:rStyle w:val="Hipercze"/>
            <w:rFonts w:ascii="Times New Roman" w:hAnsi="Times New Roman" w:cs="Times New Roman"/>
            <w:bCs/>
            <w:color w:val="000000" w:themeColor="text1"/>
            <w:sz w:val="24"/>
            <w:szCs w:val="24"/>
          </w:rPr>
          <w:t>https://www.gov.pl/web/gios</w:t>
        </w:r>
      </w:hyperlink>
      <w:r w:rsidR="00895F16" w:rsidRPr="0045427B">
        <w:rPr>
          <w:rFonts w:ascii="Times New Roman" w:eastAsia="Times New Roman" w:hAnsi="Times New Roman" w:cs="Times New Roman"/>
          <w:color w:val="000000" w:themeColor="text1"/>
          <w:sz w:val="24"/>
          <w:szCs w:val="24"/>
        </w:rPr>
        <w:t xml:space="preserve">. </w:t>
      </w:r>
    </w:p>
    <w:p w14:paraId="7B0C9564" w14:textId="77777777" w:rsidR="00772F63" w:rsidRPr="007F400A" w:rsidRDefault="00772F63" w:rsidP="00056EE7">
      <w:pPr>
        <w:spacing w:after="0" w:line="300" w:lineRule="atLeast"/>
        <w:ind w:left="644"/>
        <w:contextualSpacing/>
        <w:jc w:val="both"/>
        <w:rPr>
          <w:rFonts w:ascii="Times New Roman" w:eastAsia="Times New Roman" w:hAnsi="Times New Roman" w:cs="Times New Roman"/>
          <w:sz w:val="24"/>
          <w:szCs w:val="24"/>
          <w:lang w:val="x-none" w:eastAsia="pl-PL"/>
        </w:rPr>
      </w:pPr>
    </w:p>
    <w:p w14:paraId="62DA60AA" w14:textId="205B0825" w:rsidR="00D53250" w:rsidRDefault="00D53250" w:rsidP="00056EE7">
      <w:pPr>
        <w:spacing w:line="300" w:lineRule="atLeast"/>
        <w:ind w:firstLine="426"/>
        <w:jc w:val="both"/>
        <w:rPr>
          <w:bCs/>
          <w:sz w:val="24"/>
          <w:szCs w:val="24"/>
        </w:rPr>
      </w:pPr>
    </w:p>
    <w:p w14:paraId="5F54312E" w14:textId="77777777" w:rsidR="0045427B" w:rsidRPr="00D914B4" w:rsidRDefault="0045427B" w:rsidP="00056EE7">
      <w:pPr>
        <w:spacing w:line="300" w:lineRule="atLeast"/>
        <w:ind w:firstLine="426"/>
        <w:jc w:val="both"/>
        <w:rPr>
          <w:bCs/>
          <w:sz w:val="24"/>
          <w:szCs w:val="24"/>
        </w:rPr>
      </w:pP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68"/>
        <w:gridCol w:w="1701"/>
        <w:gridCol w:w="1842"/>
        <w:gridCol w:w="2127"/>
        <w:gridCol w:w="1984"/>
      </w:tblGrid>
      <w:tr w:rsidR="00D53250" w:rsidRPr="0044743B" w14:paraId="76AAA3C7" w14:textId="77777777" w:rsidTr="003045CE">
        <w:tc>
          <w:tcPr>
            <w:tcW w:w="1668" w:type="dxa"/>
            <w:tcBorders>
              <w:top w:val="single" w:sz="8" w:space="0" w:color="000000"/>
              <w:left w:val="single" w:sz="8" w:space="0" w:color="000000"/>
              <w:bottom w:val="single" w:sz="8" w:space="0" w:color="000000"/>
              <w:right w:val="single" w:sz="8" w:space="0" w:color="000000"/>
            </w:tcBorders>
          </w:tcPr>
          <w:p w14:paraId="6EBB4414" w14:textId="77777777" w:rsidR="00D53250" w:rsidRDefault="00D53250" w:rsidP="00056EE7">
            <w:pPr>
              <w:pStyle w:val="Tekstpodstawowy21"/>
              <w:spacing w:line="300" w:lineRule="atLeast"/>
              <w:ind w:firstLine="0"/>
              <w:rPr>
                <w:b/>
                <w:bCs/>
                <w:sz w:val="20"/>
              </w:rPr>
            </w:pPr>
            <w:r>
              <w:rPr>
                <w:b/>
                <w:bCs/>
                <w:sz w:val="20"/>
              </w:rPr>
              <w:t>Rodzaje</w:t>
            </w:r>
          </w:p>
          <w:p w14:paraId="212FA9CE" w14:textId="77777777" w:rsidR="00D53250" w:rsidRDefault="00D53250" w:rsidP="00056EE7">
            <w:pPr>
              <w:pStyle w:val="Tekstpodstawowy21"/>
              <w:spacing w:line="300" w:lineRule="atLeast"/>
              <w:ind w:firstLine="0"/>
              <w:rPr>
                <w:b/>
                <w:bCs/>
                <w:sz w:val="20"/>
              </w:rPr>
            </w:pPr>
            <w:r>
              <w:rPr>
                <w:b/>
                <w:bCs/>
                <w:sz w:val="20"/>
              </w:rPr>
              <w:t>rozstrzygnięć</w:t>
            </w:r>
          </w:p>
          <w:p w14:paraId="3C920519" w14:textId="77777777" w:rsidR="00D53250" w:rsidRDefault="00D53250" w:rsidP="00056EE7">
            <w:pPr>
              <w:pStyle w:val="Tekstpodstawowy21"/>
              <w:spacing w:line="300" w:lineRule="atLeast"/>
              <w:ind w:firstLine="0"/>
              <w:rPr>
                <w:b/>
                <w:bCs/>
                <w:sz w:val="20"/>
              </w:rPr>
            </w:pPr>
          </w:p>
          <w:p w14:paraId="48DA71F0" w14:textId="77777777" w:rsidR="00D53250" w:rsidRPr="0044743B" w:rsidRDefault="00D53250" w:rsidP="00056EE7">
            <w:pPr>
              <w:pStyle w:val="Tekstpodstawowy21"/>
              <w:spacing w:line="300" w:lineRule="atLeast"/>
              <w:ind w:firstLine="0"/>
              <w:rPr>
                <w:b/>
                <w:sz w:val="20"/>
              </w:rPr>
            </w:pPr>
            <w:r>
              <w:rPr>
                <w:b/>
                <w:bCs/>
                <w:sz w:val="20"/>
              </w:rPr>
              <w:lastRenderedPageBreak/>
              <w:t>Liczba decyzji</w:t>
            </w:r>
          </w:p>
        </w:tc>
        <w:tc>
          <w:tcPr>
            <w:tcW w:w="1701" w:type="dxa"/>
            <w:tcBorders>
              <w:top w:val="single" w:sz="8" w:space="0" w:color="000000"/>
              <w:left w:val="nil"/>
              <w:bottom w:val="single" w:sz="8" w:space="0" w:color="000000"/>
              <w:right w:val="single" w:sz="8" w:space="0" w:color="000000"/>
            </w:tcBorders>
          </w:tcPr>
          <w:p w14:paraId="7F51E691" w14:textId="77777777" w:rsidR="00D53250" w:rsidRDefault="00D53250" w:rsidP="00056EE7">
            <w:pPr>
              <w:pStyle w:val="Tekstpodstawowy21"/>
              <w:spacing w:line="300" w:lineRule="atLeast"/>
              <w:ind w:firstLine="0"/>
              <w:rPr>
                <w:b/>
                <w:bCs/>
                <w:sz w:val="20"/>
              </w:rPr>
            </w:pPr>
          </w:p>
          <w:p w14:paraId="0407357A" w14:textId="77777777" w:rsidR="00D53250" w:rsidRDefault="00D53250" w:rsidP="00056EE7">
            <w:pPr>
              <w:pStyle w:val="Tekstpodstawowy21"/>
              <w:spacing w:line="300" w:lineRule="atLeast"/>
              <w:ind w:firstLine="0"/>
              <w:jc w:val="center"/>
              <w:rPr>
                <w:b/>
                <w:bCs/>
                <w:sz w:val="20"/>
              </w:rPr>
            </w:pPr>
            <w:r>
              <w:rPr>
                <w:b/>
                <w:bCs/>
                <w:sz w:val="20"/>
              </w:rPr>
              <w:t>Rozstrzygnięcia</w:t>
            </w:r>
          </w:p>
          <w:p w14:paraId="239B32E8" w14:textId="1B49E6F2" w:rsidR="00D53250" w:rsidRPr="0044743B" w:rsidRDefault="00DB2E04" w:rsidP="00056EE7">
            <w:pPr>
              <w:pStyle w:val="Tekstpodstawowy21"/>
              <w:spacing w:line="300" w:lineRule="atLeast"/>
              <w:ind w:firstLine="0"/>
              <w:jc w:val="center"/>
              <w:rPr>
                <w:b/>
                <w:sz w:val="20"/>
              </w:rPr>
            </w:pPr>
            <w:r>
              <w:rPr>
                <w:b/>
                <w:bCs/>
                <w:sz w:val="20"/>
              </w:rPr>
              <w:t>O</w:t>
            </w:r>
            <w:r w:rsidR="00D53250">
              <w:rPr>
                <w:b/>
                <w:bCs/>
                <w:sz w:val="20"/>
              </w:rPr>
              <w:t>gółem</w:t>
            </w:r>
          </w:p>
        </w:tc>
        <w:tc>
          <w:tcPr>
            <w:tcW w:w="1842" w:type="dxa"/>
            <w:tcBorders>
              <w:top w:val="single" w:sz="8" w:space="0" w:color="000000"/>
              <w:left w:val="nil"/>
              <w:bottom w:val="single" w:sz="8" w:space="0" w:color="000000"/>
              <w:right w:val="single" w:sz="8" w:space="0" w:color="000000"/>
            </w:tcBorders>
          </w:tcPr>
          <w:p w14:paraId="13FCC0DB" w14:textId="77777777" w:rsidR="00D53250" w:rsidRPr="0044743B" w:rsidRDefault="00D53250" w:rsidP="00056EE7">
            <w:pPr>
              <w:pStyle w:val="Tekstpodstawowy21"/>
              <w:spacing w:line="300" w:lineRule="atLeast"/>
              <w:ind w:firstLine="0"/>
              <w:jc w:val="center"/>
              <w:rPr>
                <w:b/>
                <w:sz w:val="20"/>
              </w:rPr>
            </w:pPr>
            <w:r>
              <w:rPr>
                <w:b/>
                <w:bCs/>
                <w:sz w:val="20"/>
              </w:rPr>
              <w:t xml:space="preserve">Decyzje zezwalające na </w:t>
            </w:r>
            <w:r>
              <w:rPr>
                <w:b/>
                <w:bCs/>
                <w:sz w:val="20"/>
              </w:rPr>
              <w:lastRenderedPageBreak/>
              <w:t>przemieszczanie odpadów</w:t>
            </w:r>
          </w:p>
        </w:tc>
        <w:tc>
          <w:tcPr>
            <w:tcW w:w="2127" w:type="dxa"/>
            <w:tcBorders>
              <w:top w:val="single" w:sz="8" w:space="0" w:color="000000"/>
              <w:left w:val="nil"/>
              <w:bottom w:val="single" w:sz="8" w:space="0" w:color="000000"/>
              <w:right w:val="single" w:sz="8" w:space="0" w:color="000000"/>
            </w:tcBorders>
          </w:tcPr>
          <w:p w14:paraId="627F4B7A" w14:textId="77777777" w:rsidR="00D53250" w:rsidRPr="0044743B" w:rsidRDefault="00D53250" w:rsidP="00056EE7">
            <w:pPr>
              <w:pStyle w:val="Tekstpodstawowy21"/>
              <w:spacing w:line="300" w:lineRule="atLeast"/>
              <w:ind w:firstLine="0"/>
              <w:jc w:val="center"/>
              <w:rPr>
                <w:b/>
                <w:sz w:val="20"/>
              </w:rPr>
            </w:pPr>
            <w:r>
              <w:rPr>
                <w:b/>
                <w:bCs/>
                <w:sz w:val="20"/>
              </w:rPr>
              <w:lastRenderedPageBreak/>
              <w:t xml:space="preserve">Decyzje sprzeciwiające się </w:t>
            </w:r>
            <w:r>
              <w:rPr>
                <w:b/>
                <w:bCs/>
                <w:sz w:val="20"/>
              </w:rPr>
              <w:lastRenderedPageBreak/>
              <w:t>przemieszczaniu odpadów</w:t>
            </w:r>
          </w:p>
        </w:tc>
        <w:tc>
          <w:tcPr>
            <w:tcW w:w="1984" w:type="dxa"/>
            <w:tcBorders>
              <w:top w:val="single" w:sz="8" w:space="0" w:color="000000"/>
              <w:left w:val="nil"/>
              <w:bottom w:val="single" w:sz="8" w:space="0" w:color="000000"/>
              <w:right w:val="single" w:sz="8" w:space="0" w:color="000000"/>
            </w:tcBorders>
          </w:tcPr>
          <w:p w14:paraId="487F70D2" w14:textId="77777777" w:rsidR="00D53250" w:rsidRDefault="00D53250" w:rsidP="00056EE7">
            <w:pPr>
              <w:pStyle w:val="Tekstpodstawowy21"/>
              <w:spacing w:line="300" w:lineRule="atLeast"/>
              <w:ind w:firstLine="0"/>
              <w:jc w:val="center"/>
              <w:rPr>
                <w:b/>
                <w:bCs/>
                <w:sz w:val="20"/>
              </w:rPr>
            </w:pPr>
            <w:r>
              <w:rPr>
                <w:b/>
                <w:bCs/>
                <w:sz w:val="20"/>
              </w:rPr>
              <w:lastRenderedPageBreak/>
              <w:t xml:space="preserve">Milczące </w:t>
            </w:r>
          </w:p>
          <w:p w14:paraId="5C17F889" w14:textId="77777777" w:rsidR="00D53250" w:rsidRDefault="00D53250" w:rsidP="00056EE7">
            <w:pPr>
              <w:pStyle w:val="Tekstpodstawowy21"/>
              <w:spacing w:line="300" w:lineRule="atLeast"/>
              <w:ind w:firstLine="0"/>
              <w:jc w:val="center"/>
              <w:rPr>
                <w:b/>
                <w:bCs/>
                <w:sz w:val="20"/>
              </w:rPr>
            </w:pPr>
            <w:r>
              <w:rPr>
                <w:b/>
                <w:bCs/>
                <w:sz w:val="20"/>
              </w:rPr>
              <w:t xml:space="preserve">zgody </w:t>
            </w:r>
          </w:p>
          <w:p w14:paraId="1EA68E37" w14:textId="77777777" w:rsidR="00D53250" w:rsidRPr="0044743B" w:rsidRDefault="00D53250" w:rsidP="00056EE7">
            <w:pPr>
              <w:pStyle w:val="Tekstpodstawowy21"/>
              <w:spacing w:line="300" w:lineRule="atLeast"/>
              <w:ind w:firstLine="0"/>
              <w:jc w:val="center"/>
              <w:rPr>
                <w:b/>
                <w:sz w:val="20"/>
              </w:rPr>
            </w:pPr>
          </w:p>
        </w:tc>
      </w:tr>
      <w:tr w:rsidR="00D53250" w:rsidRPr="0044743B" w14:paraId="28F60D0F" w14:textId="77777777" w:rsidTr="003045CE">
        <w:tc>
          <w:tcPr>
            <w:tcW w:w="1668" w:type="dxa"/>
            <w:tcBorders>
              <w:top w:val="nil"/>
              <w:left w:val="single" w:sz="8" w:space="0" w:color="000000"/>
              <w:bottom w:val="single" w:sz="8" w:space="0" w:color="000000"/>
              <w:right w:val="single" w:sz="8" w:space="0" w:color="000000"/>
            </w:tcBorders>
          </w:tcPr>
          <w:p w14:paraId="0B59F44B" w14:textId="77777777" w:rsidR="00D53250" w:rsidRPr="0044743B" w:rsidRDefault="00D53250" w:rsidP="00056EE7">
            <w:pPr>
              <w:pStyle w:val="Tekstpodstawowy21"/>
              <w:spacing w:line="300" w:lineRule="atLeast"/>
              <w:ind w:firstLine="0"/>
              <w:rPr>
                <w:sz w:val="20"/>
              </w:rPr>
            </w:pPr>
            <w:r>
              <w:rPr>
                <w:sz w:val="20"/>
              </w:rPr>
              <w:t>Ogółem</w:t>
            </w:r>
          </w:p>
        </w:tc>
        <w:tc>
          <w:tcPr>
            <w:tcW w:w="1701" w:type="dxa"/>
            <w:tcBorders>
              <w:top w:val="nil"/>
              <w:left w:val="nil"/>
              <w:bottom w:val="single" w:sz="8" w:space="0" w:color="000000"/>
              <w:right w:val="single" w:sz="8" w:space="0" w:color="000000"/>
            </w:tcBorders>
          </w:tcPr>
          <w:p w14:paraId="14FDA369" w14:textId="77777777" w:rsidR="00D53250" w:rsidRPr="0044743B" w:rsidRDefault="00D53250" w:rsidP="00056EE7">
            <w:pPr>
              <w:pStyle w:val="Tekstpodstawowy21"/>
              <w:spacing w:line="300" w:lineRule="atLeast"/>
              <w:ind w:firstLine="0"/>
              <w:jc w:val="center"/>
              <w:rPr>
                <w:szCs w:val="22"/>
              </w:rPr>
            </w:pPr>
            <w:r>
              <w:t>202 (209)</w:t>
            </w:r>
          </w:p>
        </w:tc>
        <w:tc>
          <w:tcPr>
            <w:tcW w:w="1842" w:type="dxa"/>
            <w:tcBorders>
              <w:top w:val="nil"/>
              <w:left w:val="nil"/>
              <w:bottom w:val="single" w:sz="8" w:space="0" w:color="000000"/>
              <w:right w:val="single" w:sz="8" w:space="0" w:color="000000"/>
            </w:tcBorders>
          </w:tcPr>
          <w:p w14:paraId="6172B587" w14:textId="77777777" w:rsidR="00D53250" w:rsidRPr="0044743B" w:rsidRDefault="00D53250" w:rsidP="00056EE7">
            <w:pPr>
              <w:pStyle w:val="Tekstpodstawowy21"/>
              <w:spacing w:line="300" w:lineRule="atLeast"/>
              <w:ind w:firstLine="0"/>
              <w:jc w:val="center"/>
              <w:rPr>
                <w:szCs w:val="22"/>
              </w:rPr>
            </w:pPr>
            <w:r>
              <w:t>189 (198)</w:t>
            </w:r>
          </w:p>
        </w:tc>
        <w:tc>
          <w:tcPr>
            <w:tcW w:w="2127" w:type="dxa"/>
            <w:tcBorders>
              <w:top w:val="nil"/>
              <w:left w:val="nil"/>
              <w:bottom w:val="single" w:sz="8" w:space="0" w:color="000000"/>
              <w:right w:val="single" w:sz="8" w:space="0" w:color="000000"/>
            </w:tcBorders>
          </w:tcPr>
          <w:p w14:paraId="08AAF9B4" w14:textId="77777777" w:rsidR="00D53250" w:rsidRPr="0044743B" w:rsidRDefault="00D53250" w:rsidP="00056EE7">
            <w:pPr>
              <w:pStyle w:val="Tekstpodstawowy21"/>
              <w:spacing w:line="300" w:lineRule="atLeast"/>
              <w:ind w:firstLine="0"/>
              <w:jc w:val="center"/>
              <w:rPr>
                <w:szCs w:val="22"/>
              </w:rPr>
            </w:pPr>
            <w:r>
              <w:t>5 (10)</w:t>
            </w:r>
          </w:p>
        </w:tc>
        <w:tc>
          <w:tcPr>
            <w:tcW w:w="1984" w:type="dxa"/>
            <w:tcBorders>
              <w:top w:val="nil"/>
              <w:left w:val="nil"/>
              <w:bottom w:val="single" w:sz="8" w:space="0" w:color="000000"/>
              <w:right w:val="single" w:sz="8" w:space="0" w:color="000000"/>
            </w:tcBorders>
          </w:tcPr>
          <w:p w14:paraId="223A12F5" w14:textId="77777777" w:rsidR="00D53250" w:rsidRPr="0044743B" w:rsidRDefault="00D53250" w:rsidP="00056EE7">
            <w:pPr>
              <w:pStyle w:val="Tekstpodstawowy21"/>
              <w:spacing w:line="300" w:lineRule="atLeast"/>
              <w:ind w:firstLine="0"/>
              <w:jc w:val="center"/>
              <w:rPr>
                <w:szCs w:val="22"/>
              </w:rPr>
            </w:pPr>
            <w:r>
              <w:t>8 (1)</w:t>
            </w:r>
          </w:p>
        </w:tc>
      </w:tr>
      <w:tr w:rsidR="00D53250" w:rsidRPr="0044743B" w14:paraId="7B6A0759" w14:textId="77777777" w:rsidTr="003045CE">
        <w:tc>
          <w:tcPr>
            <w:tcW w:w="1668" w:type="dxa"/>
            <w:tcBorders>
              <w:top w:val="nil"/>
              <w:left w:val="single" w:sz="8" w:space="0" w:color="000000"/>
              <w:bottom w:val="single" w:sz="8" w:space="0" w:color="000000"/>
              <w:right w:val="single" w:sz="8" w:space="0" w:color="000000"/>
            </w:tcBorders>
          </w:tcPr>
          <w:p w14:paraId="025FB9F1" w14:textId="77777777" w:rsidR="00D53250" w:rsidRPr="0044743B" w:rsidRDefault="00D53250" w:rsidP="00056EE7">
            <w:pPr>
              <w:pStyle w:val="Tekstpodstawowy21"/>
              <w:spacing w:line="300" w:lineRule="atLeast"/>
              <w:ind w:firstLine="0"/>
              <w:jc w:val="left"/>
              <w:rPr>
                <w:sz w:val="20"/>
              </w:rPr>
            </w:pPr>
            <w:r>
              <w:rPr>
                <w:sz w:val="20"/>
              </w:rPr>
              <w:t>Przywóz do kraju</w:t>
            </w:r>
          </w:p>
        </w:tc>
        <w:tc>
          <w:tcPr>
            <w:tcW w:w="1701" w:type="dxa"/>
            <w:tcBorders>
              <w:top w:val="nil"/>
              <w:left w:val="nil"/>
              <w:bottom w:val="single" w:sz="8" w:space="0" w:color="000000"/>
              <w:right w:val="single" w:sz="8" w:space="0" w:color="000000"/>
            </w:tcBorders>
          </w:tcPr>
          <w:p w14:paraId="2D6CFC96" w14:textId="77777777" w:rsidR="00D53250" w:rsidRPr="0044743B" w:rsidRDefault="00D53250" w:rsidP="00056EE7">
            <w:pPr>
              <w:pStyle w:val="Tekstpodstawowy21"/>
              <w:spacing w:line="300" w:lineRule="atLeast"/>
              <w:ind w:firstLine="0"/>
              <w:jc w:val="center"/>
              <w:rPr>
                <w:szCs w:val="22"/>
              </w:rPr>
            </w:pPr>
            <w:r>
              <w:t>59 (74)</w:t>
            </w:r>
          </w:p>
        </w:tc>
        <w:tc>
          <w:tcPr>
            <w:tcW w:w="1842" w:type="dxa"/>
            <w:tcBorders>
              <w:top w:val="nil"/>
              <w:left w:val="nil"/>
              <w:bottom w:val="single" w:sz="8" w:space="0" w:color="000000"/>
              <w:right w:val="single" w:sz="8" w:space="0" w:color="000000"/>
            </w:tcBorders>
          </w:tcPr>
          <w:p w14:paraId="4922DC83" w14:textId="77777777" w:rsidR="00D53250" w:rsidRPr="0044743B" w:rsidRDefault="00D53250" w:rsidP="00056EE7">
            <w:pPr>
              <w:pStyle w:val="Tekstpodstawowy21"/>
              <w:spacing w:line="300" w:lineRule="atLeast"/>
              <w:ind w:firstLine="0"/>
              <w:jc w:val="center"/>
              <w:rPr>
                <w:szCs w:val="22"/>
              </w:rPr>
            </w:pPr>
            <w:r>
              <w:t>55 (65)</w:t>
            </w:r>
          </w:p>
        </w:tc>
        <w:tc>
          <w:tcPr>
            <w:tcW w:w="2127" w:type="dxa"/>
            <w:tcBorders>
              <w:top w:val="nil"/>
              <w:left w:val="nil"/>
              <w:bottom w:val="single" w:sz="8" w:space="0" w:color="000000"/>
              <w:right w:val="single" w:sz="8" w:space="0" w:color="000000"/>
            </w:tcBorders>
          </w:tcPr>
          <w:p w14:paraId="59726C26" w14:textId="77777777" w:rsidR="00D53250" w:rsidRPr="0044743B" w:rsidRDefault="00D53250" w:rsidP="00056EE7">
            <w:pPr>
              <w:pStyle w:val="Tekstpodstawowy21"/>
              <w:spacing w:line="300" w:lineRule="atLeast"/>
              <w:ind w:firstLine="0"/>
              <w:jc w:val="center"/>
              <w:rPr>
                <w:szCs w:val="22"/>
              </w:rPr>
            </w:pPr>
            <w:r>
              <w:t>4 (9)</w:t>
            </w:r>
          </w:p>
        </w:tc>
        <w:tc>
          <w:tcPr>
            <w:tcW w:w="1984" w:type="dxa"/>
            <w:tcBorders>
              <w:top w:val="nil"/>
              <w:left w:val="nil"/>
              <w:bottom w:val="single" w:sz="8" w:space="0" w:color="000000"/>
              <w:right w:val="single" w:sz="8" w:space="0" w:color="000000"/>
            </w:tcBorders>
          </w:tcPr>
          <w:p w14:paraId="15ABD07D" w14:textId="77777777" w:rsidR="00D53250" w:rsidRPr="0044743B" w:rsidRDefault="00D53250" w:rsidP="00056EE7">
            <w:pPr>
              <w:pStyle w:val="Tekstpodstawowy21"/>
              <w:spacing w:line="300" w:lineRule="atLeast"/>
              <w:ind w:firstLine="0"/>
              <w:jc w:val="center"/>
              <w:rPr>
                <w:szCs w:val="22"/>
              </w:rPr>
            </w:pPr>
            <w:r>
              <w:t>0 (0)</w:t>
            </w:r>
          </w:p>
        </w:tc>
      </w:tr>
      <w:tr w:rsidR="00D53250" w:rsidRPr="0044743B" w14:paraId="02FE053D" w14:textId="77777777" w:rsidTr="003045CE">
        <w:tc>
          <w:tcPr>
            <w:tcW w:w="1668" w:type="dxa"/>
            <w:tcBorders>
              <w:top w:val="nil"/>
              <w:left w:val="single" w:sz="8" w:space="0" w:color="000000"/>
              <w:bottom w:val="single" w:sz="8" w:space="0" w:color="000000"/>
              <w:right w:val="single" w:sz="8" w:space="0" w:color="000000"/>
            </w:tcBorders>
          </w:tcPr>
          <w:p w14:paraId="2DA8ED86" w14:textId="77777777" w:rsidR="00D53250" w:rsidRPr="0044743B" w:rsidRDefault="00D53250" w:rsidP="00056EE7">
            <w:pPr>
              <w:pStyle w:val="Tekstpodstawowy21"/>
              <w:spacing w:line="300" w:lineRule="atLeast"/>
              <w:ind w:firstLine="0"/>
              <w:rPr>
                <w:sz w:val="20"/>
              </w:rPr>
            </w:pPr>
            <w:r>
              <w:rPr>
                <w:sz w:val="20"/>
              </w:rPr>
              <w:t>Wywóz z kraju</w:t>
            </w:r>
          </w:p>
        </w:tc>
        <w:tc>
          <w:tcPr>
            <w:tcW w:w="1701" w:type="dxa"/>
            <w:tcBorders>
              <w:top w:val="nil"/>
              <w:left w:val="nil"/>
              <w:bottom w:val="single" w:sz="8" w:space="0" w:color="000000"/>
              <w:right w:val="single" w:sz="8" w:space="0" w:color="000000"/>
            </w:tcBorders>
          </w:tcPr>
          <w:p w14:paraId="44AD01D3" w14:textId="77777777" w:rsidR="00D53250" w:rsidRPr="0044743B" w:rsidRDefault="00D53250" w:rsidP="00056EE7">
            <w:pPr>
              <w:pStyle w:val="Tekstpodstawowy21"/>
              <w:spacing w:line="300" w:lineRule="atLeast"/>
              <w:ind w:firstLine="0"/>
              <w:jc w:val="center"/>
              <w:rPr>
                <w:szCs w:val="22"/>
              </w:rPr>
            </w:pPr>
            <w:r>
              <w:t>109 (103)</w:t>
            </w:r>
          </w:p>
        </w:tc>
        <w:tc>
          <w:tcPr>
            <w:tcW w:w="1842" w:type="dxa"/>
            <w:tcBorders>
              <w:top w:val="nil"/>
              <w:left w:val="nil"/>
              <w:bottom w:val="single" w:sz="8" w:space="0" w:color="000000"/>
              <w:right w:val="single" w:sz="8" w:space="0" w:color="000000"/>
            </w:tcBorders>
          </w:tcPr>
          <w:p w14:paraId="3C2BD4D1" w14:textId="77777777" w:rsidR="00D53250" w:rsidRPr="0044743B" w:rsidRDefault="00D53250" w:rsidP="00056EE7">
            <w:pPr>
              <w:pStyle w:val="Tekstpodstawowy21"/>
              <w:spacing w:line="300" w:lineRule="atLeast"/>
              <w:ind w:firstLine="0"/>
              <w:jc w:val="center"/>
              <w:rPr>
                <w:szCs w:val="22"/>
              </w:rPr>
            </w:pPr>
            <w:r>
              <w:t>109 (102)</w:t>
            </w:r>
          </w:p>
        </w:tc>
        <w:tc>
          <w:tcPr>
            <w:tcW w:w="2127" w:type="dxa"/>
            <w:tcBorders>
              <w:top w:val="nil"/>
              <w:left w:val="nil"/>
              <w:bottom w:val="single" w:sz="8" w:space="0" w:color="000000"/>
              <w:right w:val="single" w:sz="8" w:space="0" w:color="000000"/>
            </w:tcBorders>
          </w:tcPr>
          <w:p w14:paraId="7890359B" w14:textId="77777777" w:rsidR="00D53250" w:rsidRPr="0044743B" w:rsidRDefault="00D53250" w:rsidP="00056EE7">
            <w:pPr>
              <w:pStyle w:val="Tekstpodstawowy21"/>
              <w:spacing w:line="300" w:lineRule="atLeast"/>
              <w:ind w:firstLine="0"/>
              <w:jc w:val="center"/>
              <w:rPr>
                <w:szCs w:val="22"/>
              </w:rPr>
            </w:pPr>
            <w:r>
              <w:t>0 (1)</w:t>
            </w:r>
          </w:p>
        </w:tc>
        <w:tc>
          <w:tcPr>
            <w:tcW w:w="1984" w:type="dxa"/>
            <w:tcBorders>
              <w:top w:val="nil"/>
              <w:left w:val="nil"/>
              <w:bottom w:val="single" w:sz="8" w:space="0" w:color="000000"/>
              <w:right w:val="single" w:sz="8" w:space="0" w:color="000000"/>
            </w:tcBorders>
          </w:tcPr>
          <w:p w14:paraId="4F6579C9" w14:textId="77777777" w:rsidR="00D53250" w:rsidRPr="0044743B" w:rsidRDefault="00D53250" w:rsidP="00056EE7">
            <w:pPr>
              <w:pStyle w:val="Tekstpodstawowy21"/>
              <w:spacing w:line="300" w:lineRule="atLeast"/>
              <w:ind w:firstLine="0"/>
              <w:jc w:val="center"/>
              <w:rPr>
                <w:szCs w:val="22"/>
              </w:rPr>
            </w:pPr>
            <w:r>
              <w:t>0 (0)</w:t>
            </w:r>
          </w:p>
        </w:tc>
      </w:tr>
      <w:tr w:rsidR="00D53250" w:rsidRPr="0044743B" w14:paraId="20FC612C" w14:textId="77777777" w:rsidTr="003045CE">
        <w:tc>
          <w:tcPr>
            <w:tcW w:w="1668" w:type="dxa"/>
            <w:tcBorders>
              <w:top w:val="nil"/>
              <w:left w:val="single" w:sz="8" w:space="0" w:color="000000"/>
              <w:bottom w:val="single" w:sz="8" w:space="0" w:color="000000"/>
              <w:right w:val="single" w:sz="8" w:space="0" w:color="000000"/>
            </w:tcBorders>
          </w:tcPr>
          <w:p w14:paraId="661BBA3E" w14:textId="77777777" w:rsidR="00D53250" w:rsidRPr="0044743B" w:rsidRDefault="00D53250" w:rsidP="00056EE7">
            <w:pPr>
              <w:pStyle w:val="Tekstpodstawowy21"/>
              <w:spacing w:line="300" w:lineRule="atLeast"/>
              <w:ind w:firstLine="0"/>
              <w:rPr>
                <w:sz w:val="20"/>
              </w:rPr>
            </w:pPr>
            <w:r>
              <w:rPr>
                <w:sz w:val="20"/>
              </w:rPr>
              <w:t xml:space="preserve">Tranzyt </w:t>
            </w:r>
          </w:p>
        </w:tc>
        <w:tc>
          <w:tcPr>
            <w:tcW w:w="1701" w:type="dxa"/>
            <w:tcBorders>
              <w:top w:val="nil"/>
              <w:left w:val="nil"/>
              <w:bottom w:val="single" w:sz="8" w:space="0" w:color="000000"/>
              <w:right w:val="single" w:sz="8" w:space="0" w:color="000000"/>
            </w:tcBorders>
          </w:tcPr>
          <w:p w14:paraId="50C4C87F" w14:textId="77777777" w:rsidR="00D53250" w:rsidRPr="0044743B" w:rsidRDefault="00D53250" w:rsidP="00056EE7">
            <w:pPr>
              <w:pStyle w:val="Tekstpodstawowy21"/>
              <w:spacing w:line="300" w:lineRule="atLeast"/>
              <w:ind w:firstLine="0"/>
              <w:jc w:val="center"/>
              <w:rPr>
                <w:szCs w:val="22"/>
              </w:rPr>
            </w:pPr>
            <w:r>
              <w:t>34 (32)</w:t>
            </w:r>
          </w:p>
        </w:tc>
        <w:tc>
          <w:tcPr>
            <w:tcW w:w="1842" w:type="dxa"/>
            <w:tcBorders>
              <w:top w:val="nil"/>
              <w:left w:val="nil"/>
              <w:bottom w:val="single" w:sz="8" w:space="0" w:color="000000"/>
              <w:right w:val="single" w:sz="8" w:space="0" w:color="000000"/>
            </w:tcBorders>
          </w:tcPr>
          <w:p w14:paraId="284C972A" w14:textId="77777777" w:rsidR="00D53250" w:rsidRPr="0044743B" w:rsidRDefault="00D53250" w:rsidP="00056EE7">
            <w:pPr>
              <w:pStyle w:val="Tekstpodstawowy21"/>
              <w:spacing w:line="300" w:lineRule="atLeast"/>
              <w:ind w:firstLine="0"/>
              <w:jc w:val="center"/>
              <w:rPr>
                <w:szCs w:val="22"/>
              </w:rPr>
            </w:pPr>
            <w:r>
              <w:t>25 (31)</w:t>
            </w:r>
          </w:p>
        </w:tc>
        <w:tc>
          <w:tcPr>
            <w:tcW w:w="2127" w:type="dxa"/>
            <w:tcBorders>
              <w:top w:val="nil"/>
              <w:left w:val="nil"/>
              <w:bottom w:val="single" w:sz="8" w:space="0" w:color="000000"/>
              <w:right w:val="single" w:sz="8" w:space="0" w:color="000000"/>
            </w:tcBorders>
          </w:tcPr>
          <w:p w14:paraId="1D4FF6BC" w14:textId="77777777" w:rsidR="00D53250" w:rsidRPr="0044743B" w:rsidRDefault="00D53250" w:rsidP="00056EE7">
            <w:pPr>
              <w:pStyle w:val="Tekstpodstawowy21"/>
              <w:spacing w:line="300" w:lineRule="atLeast"/>
              <w:ind w:firstLine="0"/>
              <w:jc w:val="center"/>
              <w:rPr>
                <w:szCs w:val="22"/>
              </w:rPr>
            </w:pPr>
            <w:r>
              <w:t>1 (0)</w:t>
            </w:r>
          </w:p>
        </w:tc>
        <w:tc>
          <w:tcPr>
            <w:tcW w:w="1984" w:type="dxa"/>
            <w:tcBorders>
              <w:top w:val="nil"/>
              <w:left w:val="nil"/>
              <w:bottom w:val="single" w:sz="8" w:space="0" w:color="000000"/>
              <w:right w:val="single" w:sz="8" w:space="0" w:color="000000"/>
            </w:tcBorders>
          </w:tcPr>
          <w:p w14:paraId="1FB940EC" w14:textId="77777777" w:rsidR="00D53250" w:rsidRPr="0044743B" w:rsidRDefault="00D53250" w:rsidP="00056EE7">
            <w:pPr>
              <w:pStyle w:val="Tekstpodstawowy21"/>
              <w:spacing w:line="300" w:lineRule="atLeast"/>
              <w:ind w:firstLine="0"/>
              <w:jc w:val="center"/>
              <w:rPr>
                <w:szCs w:val="22"/>
              </w:rPr>
            </w:pPr>
            <w:r>
              <w:t>8 (1)</w:t>
            </w:r>
          </w:p>
        </w:tc>
      </w:tr>
    </w:tbl>
    <w:p w14:paraId="7FB9042E" w14:textId="606AEF77" w:rsidR="00772F63" w:rsidRPr="0045427B" w:rsidRDefault="0045427B" w:rsidP="00056EE7">
      <w:pPr>
        <w:suppressAutoHyphens/>
        <w:autoSpaceDN w:val="0"/>
        <w:spacing w:before="120" w:after="0" w:line="300" w:lineRule="atLeast"/>
        <w:ind w:left="646"/>
        <w:jc w:val="center"/>
        <w:textAlignment w:val="baseline"/>
        <w:rPr>
          <w:rFonts w:ascii="Times New Roman" w:eastAsia="Calibri" w:hAnsi="Times New Roman" w:cs="Times New Roman"/>
          <w:b/>
          <w:lang w:val="x-none" w:eastAsia="pl-PL"/>
        </w:rPr>
      </w:pPr>
      <w:r w:rsidRPr="0045427B">
        <w:rPr>
          <w:rFonts w:ascii="Times New Roman" w:hAnsi="Times New Roman" w:cs="Times New Roman"/>
          <w:b/>
          <w:lang w:eastAsia="x-none"/>
        </w:rPr>
        <w:t xml:space="preserve">Tabela 12. </w:t>
      </w:r>
      <w:r w:rsidR="00D53250" w:rsidRPr="0045427B">
        <w:rPr>
          <w:rFonts w:ascii="Times New Roman" w:hAnsi="Times New Roman" w:cs="Times New Roman"/>
          <w:b/>
          <w:lang w:val="x-none" w:eastAsia="x-none"/>
        </w:rPr>
        <w:t>Zestawienie liczby ostatecznych decyzji wydanych w 202</w:t>
      </w:r>
      <w:r w:rsidR="00D53250" w:rsidRPr="0045427B">
        <w:rPr>
          <w:rFonts w:ascii="Times New Roman" w:hAnsi="Times New Roman" w:cs="Times New Roman"/>
          <w:b/>
          <w:lang w:eastAsia="x-none"/>
        </w:rPr>
        <w:t>2</w:t>
      </w:r>
      <w:r w:rsidR="00D53250" w:rsidRPr="0045427B">
        <w:rPr>
          <w:rFonts w:ascii="Times New Roman" w:hAnsi="Times New Roman" w:cs="Times New Roman"/>
          <w:b/>
          <w:lang w:val="x-none" w:eastAsia="x-none"/>
        </w:rPr>
        <w:t xml:space="preserve"> r. w rozbiciu na rodzaje przemieszczeń (w nawiasach wartości z roku 202</w:t>
      </w:r>
      <w:r w:rsidR="00D53250" w:rsidRPr="0045427B">
        <w:rPr>
          <w:rFonts w:ascii="Times New Roman" w:hAnsi="Times New Roman" w:cs="Times New Roman"/>
          <w:b/>
          <w:lang w:eastAsia="x-none"/>
        </w:rPr>
        <w:t>1</w:t>
      </w:r>
      <w:r w:rsidR="00D53250" w:rsidRPr="0045427B">
        <w:rPr>
          <w:rFonts w:ascii="Times New Roman" w:hAnsi="Times New Roman" w:cs="Times New Roman"/>
          <w:b/>
          <w:lang w:val="x-none" w:eastAsia="x-none"/>
        </w:rPr>
        <w:t>)</w:t>
      </w:r>
    </w:p>
    <w:p w14:paraId="41DD1D8A" w14:textId="49560C0E" w:rsidR="00D53250" w:rsidRDefault="00D53250" w:rsidP="00056EE7">
      <w:pPr>
        <w:pStyle w:val="Akapitzlist"/>
        <w:spacing w:line="300" w:lineRule="atLeast"/>
        <w:ind w:left="360"/>
        <w:jc w:val="both"/>
        <w:rPr>
          <w:b/>
          <w:sz w:val="24"/>
          <w:szCs w:val="24"/>
        </w:rPr>
      </w:pPr>
      <w:bookmarkStart w:id="263" w:name="_Toc36732613"/>
    </w:p>
    <w:p w14:paraId="05194B42" w14:textId="77777777" w:rsidR="00F13EDA" w:rsidRPr="00D53250" w:rsidRDefault="00F13EDA" w:rsidP="00056EE7">
      <w:pPr>
        <w:pStyle w:val="Akapitzlist"/>
        <w:spacing w:line="300" w:lineRule="atLeast"/>
        <w:ind w:left="360"/>
        <w:jc w:val="both"/>
        <w:rPr>
          <w:b/>
          <w:sz w:val="24"/>
          <w:szCs w:val="24"/>
        </w:rPr>
      </w:pPr>
    </w:p>
    <w:p w14:paraId="5AC30116" w14:textId="56DABFB0" w:rsidR="00D53250" w:rsidRPr="00D53250" w:rsidRDefault="00D53250" w:rsidP="00512029">
      <w:pPr>
        <w:pStyle w:val="Akapitzlist"/>
        <w:spacing w:line="300" w:lineRule="atLeast"/>
        <w:ind w:left="360"/>
        <w:jc w:val="center"/>
        <w:rPr>
          <w:b/>
          <w:sz w:val="24"/>
          <w:szCs w:val="24"/>
        </w:rPr>
      </w:pPr>
      <w:r>
        <w:rPr>
          <w:noProof/>
          <w:lang w:val="pl-PL"/>
        </w:rPr>
        <w:drawing>
          <wp:inline distT="0" distB="0" distL="0" distR="0" wp14:anchorId="5E829906" wp14:editId="3E259FEE">
            <wp:extent cx="4010025" cy="3333115"/>
            <wp:effectExtent l="0" t="0" r="9525" b="635"/>
            <wp:docPr id="12" name="Obraz 12" descr="Przemieszczanie odpadów w 2022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Przemieszczanie odpadów w 2022 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24818" cy="3345411"/>
                    </a:xfrm>
                    <a:prstGeom prst="rect">
                      <a:avLst/>
                    </a:prstGeom>
                    <a:noFill/>
                  </pic:spPr>
                </pic:pic>
              </a:graphicData>
            </a:graphic>
          </wp:inline>
        </w:drawing>
      </w:r>
    </w:p>
    <w:p w14:paraId="060D8D8D" w14:textId="1B72D3A0" w:rsidR="00D53250" w:rsidRPr="00DC1AC2" w:rsidRDefault="007C33A0" w:rsidP="007C33A0">
      <w:pPr>
        <w:spacing w:line="300" w:lineRule="atLeast"/>
        <w:jc w:val="center"/>
        <w:rPr>
          <w:rFonts w:ascii="Times New Roman" w:hAnsi="Times New Roman" w:cs="Times New Roman"/>
          <w:b/>
        </w:rPr>
      </w:pPr>
      <w:r w:rsidRPr="00DC1AC2">
        <w:rPr>
          <w:rFonts w:ascii="Times New Roman" w:hAnsi="Times New Roman" w:cs="Times New Roman"/>
          <w:b/>
        </w:rPr>
        <w:t xml:space="preserve">Wykres 11. </w:t>
      </w:r>
      <w:r w:rsidR="00D53250" w:rsidRPr="00DC1AC2">
        <w:rPr>
          <w:rFonts w:ascii="Times New Roman" w:hAnsi="Times New Roman" w:cs="Times New Roman"/>
          <w:b/>
        </w:rPr>
        <w:t>Przemieszczanie odpadów w 2022 r.</w:t>
      </w:r>
    </w:p>
    <w:p w14:paraId="3EDA84BC" w14:textId="77777777" w:rsidR="00D53250" w:rsidRPr="00D53250" w:rsidRDefault="00D53250" w:rsidP="00056EE7">
      <w:pPr>
        <w:pStyle w:val="Akapitzlist"/>
        <w:spacing w:line="300" w:lineRule="atLeast"/>
        <w:ind w:left="360"/>
        <w:rPr>
          <w:b/>
          <w:sz w:val="24"/>
          <w:szCs w:val="24"/>
        </w:rPr>
      </w:pPr>
    </w:p>
    <w:p w14:paraId="5EE2663E" w14:textId="77777777" w:rsidR="00895F16" w:rsidRPr="007F400A" w:rsidRDefault="00895F16" w:rsidP="00056EE7">
      <w:pPr>
        <w:keepNext/>
        <w:numPr>
          <w:ilvl w:val="1"/>
          <w:numId w:val="22"/>
        </w:numPr>
        <w:spacing w:after="120" w:line="300" w:lineRule="atLeast"/>
        <w:ind w:left="357" w:hanging="357"/>
        <w:outlineLvl w:val="0"/>
        <w:rPr>
          <w:rFonts w:ascii="Times New Roman" w:eastAsia="Times New Roman" w:hAnsi="Times New Roman" w:cs="Times New Roman"/>
          <w:b/>
          <w:bCs/>
          <w:sz w:val="24"/>
          <w:szCs w:val="24"/>
          <w:u w:color="000000"/>
          <w:lang w:val="x-none" w:eastAsia="x-none"/>
        </w:rPr>
      </w:pPr>
      <w:bookmarkStart w:id="264" w:name="_Toc135935649"/>
      <w:r w:rsidRPr="007F400A">
        <w:rPr>
          <w:rFonts w:ascii="Times New Roman" w:eastAsia="Times New Roman" w:hAnsi="Times New Roman" w:cs="Times New Roman"/>
          <w:b/>
          <w:bCs/>
          <w:sz w:val="24"/>
          <w:szCs w:val="24"/>
          <w:u w:color="000000"/>
          <w:lang w:val="x-none" w:eastAsia="x-none"/>
        </w:rPr>
        <w:t>Przywóz odpadów do Polski</w:t>
      </w:r>
      <w:bookmarkEnd w:id="263"/>
      <w:bookmarkEnd w:id="264"/>
    </w:p>
    <w:p w14:paraId="2E794373" w14:textId="572E1467" w:rsidR="00895F16" w:rsidRPr="00D53250" w:rsidRDefault="00D53250" w:rsidP="00056EE7">
      <w:pPr>
        <w:spacing w:after="0" w:line="300" w:lineRule="atLeast"/>
        <w:ind w:firstLine="567"/>
        <w:jc w:val="both"/>
        <w:rPr>
          <w:rFonts w:ascii="Times New Roman" w:hAnsi="Times New Roman" w:cs="Times New Roman"/>
          <w:color w:val="000000"/>
          <w:sz w:val="24"/>
          <w:szCs w:val="24"/>
        </w:rPr>
      </w:pPr>
      <w:bookmarkStart w:id="265" w:name="_Toc36732614"/>
      <w:r w:rsidRPr="00D53250">
        <w:rPr>
          <w:rFonts w:ascii="Times New Roman" w:hAnsi="Times New Roman" w:cs="Times New Roman"/>
          <w:bCs/>
          <w:sz w:val="24"/>
          <w:szCs w:val="24"/>
        </w:rPr>
        <w:t>Główny Inspektor Ochrony Środowiska w 2022 r. wydał 59 decyzji dotyczących przywozu odpadów do instalacji zlokalizowanych na terenie Polski, w tym 55 zezwoleń na przywóz odpadów, z których 48 dotyczyło odpadów niebezpiecznych oraz 4 decyzje sprzeciwiające się przywozowi odpadów. Zezwolenia oraz sprzeciwy dotyczyły głównie przywozu odpadów z krajów Unii Europejskiej</w:t>
      </w:r>
      <w:r w:rsidR="00895F16" w:rsidRPr="00D53250">
        <w:rPr>
          <w:rFonts w:ascii="Times New Roman" w:hAnsi="Times New Roman" w:cs="Times New Roman"/>
          <w:color w:val="000000"/>
          <w:sz w:val="24"/>
          <w:szCs w:val="24"/>
        </w:rPr>
        <w:t xml:space="preserve">. </w:t>
      </w:r>
    </w:p>
    <w:p w14:paraId="6AFB0CDC" w14:textId="0EA9E2C9" w:rsidR="00D53250" w:rsidRDefault="00D53250" w:rsidP="00056EE7">
      <w:pPr>
        <w:spacing w:line="300" w:lineRule="atLeast"/>
        <w:ind w:firstLine="426"/>
        <w:jc w:val="center"/>
        <w:rPr>
          <w:bCs/>
          <w:sz w:val="24"/>
          <w:szCs w:val="24"/>
        </w:rPr>
      </w:pPr>
      <w:r>
        <w:rPr>
          <w:bCs/>
          <w:noProof/>
          <w:sz w:val="24"/>
          <w:szCs w:val="24"/>
          <w:lang w:eastAsia="pl-PL"/>
        </w:rPr>
        <w:lastRenderedPageBreak/>
        <w:drawing>
          <wp:inline distT="0" distB="0" distL="0" distR="0" wp14:anchorId="5EB71232" wp14:editId="18A9574A">
            <wp:extent cx="4590415" cy="2761615"/>
            <wp:effectExtent l="0" t="0" r="635" b="635"/>
            <wp:docPr id="13" name="Obraz 13" descr="Wykres - Liczba zezwoleń wg kraju pochodzenia odpad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descr="Wykres - Liczba zezwoleń wg kraju pochodzenia odpadów"/>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90415" cy="2761615"/>
                    </a:xfrm>
                    <a:prstGeom prst="rect">
                      <a:avLst/>
                    </a:prstGeom>
                    <a:noFill/>
                  </pic:spPr>
                </pic:pic>
              </a:graphicData>
            </a:graphic>
          </wp:inline>
        </w:drawing>
      </w:r>
    </w:p>
    <w:p w14:paraId="3C294849" w14:textId="1EE121EC" w:rsidR="00D53250" w:rsidRPr="00DC1AC2" w:rsidRDefault="00D53250" w:rsidP="00056EE7">
      <w:pPr>
        <w:spacing w:after="120" w:line="300" w:lineRule="atLeast"/>
        <w:jc w:val="center"/>
        <w:rPr>
          <w:rFonts w:ascii="Times New Roman" w:hAnsi="Times New Roman" w:cs="Times New Roman"/>
          <w:b/>
          <w:noProof/>
          <w:lang w:val="x-none" w:eastAsia="x-none"/>
        </w:rPr>
      </w:pPr>
      <w:r w:rsidRPr="00DC1AC2">
        <w:rPr>
          <w:rFonts w:ascii="Times New Roman" w:hAnsi="Times New Roman" w:cs="Times New Roman"/>
          <w:b/>
          <w:noProof/>
          <w:lang w:eastAsia="x-none"/>
        </w:rPr>
        <w:t xml:space="preserve">Wykres 12 </w:t>
      </w:r>
      <w:r w:rsidRPr="00DC1AC2">
        <w:rPr>
          <w:rFonts w:ascii="Times New Roman" w:hAnsi="Times New Roman" w:cs="Times New Roman"/>
          <w:b/>
          <w:noProof/>
          <w:lang w:val="x-none" w:eastAsia="x-none"/>
        </w:rPr>
        <w:t>Liczba zezwoleń wg kraju pochodzenia odpadów</w:t>
      </w:r>
    </w:p>
    <w:p w14:paraId="1CB48596" w14:textId="77777777" w:rsidR="00D53250" w:rsidRPr="00210DA8" w:rsidRDefault="00D53250" w:rsidP="00056EE7">
      <w:pPr>
        <w:spacing w:after="120" w:line="300" w:lineRule="atLeast"/>
        <w:jc w:val="center"/>
        <w:rPr>
          <w:b/>
          <w:noProof/>
          <w:sz w:val="36"/>
          <w:lang w:val="x-none" w:eastAsia="x-none"/>
        </w:rPr>
      </w:pPr>
    </w:p>
    <w:p w14:paraId="54757D78" w14:textId="5BAEEB86" w:rsidR="00D53250" w:rsidRPr="00210DA8" w:rsidRDefault="00D53250" w:rsidP="00512029">
      <w:pPr>
        <w:spacing w:line="300" w:lineRule="atLeast"/>
        <w:jc w:val="center"/>
        <w:rPr>
          <w:bCs/>
          <w:sz w:val="24"/>
          <w:szCs w:val="24"/>
          <w:lang w:val="x-none"/>
        </w:rPr>
      </w:pPr>
      <w:r>
        <w:rPr>
          <w:bCs/>
          <w:noProof/>
          <w:sz w:val="24"/>
          <w:szCs w:val="24"/>
          <w:lang w:eastAsia="pl-PL"/>
        </w:rPr>
        <w:drawing>
          <wp:inline distT="0" distB="0" distL="0" distR="0" wp14:anchorId="32A17571" wp14:editId="5812528A">
            <wp:extent cx="5793105" cy="2952750"/>
            <wp:effectExtent l="0" t="0" r="0" b="0"/>
            <wp:docPr id="14" name="Obraz 14" descr="Główne rodzaje odpadów w zezwoleniach na przywóz odpadów w 2022 r. &#10;(w % mas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Główne rodzaje odpadów w zezwoleniach na przywóz odpadów w 2022 r. &#10;(w % masy)&#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93105" cy="2952750"/>
                    </a:xfrm>
                    <a:prstGeom prst="rect">
                      <a:avLst/>
                    </a:prstGeom>
                    <a:noFill/>
                  </pic:spPr>
                </pic:pic>
              </a:graphicData>
            </a:graphic>
          </wp:inline>
        </w:drawing>
      </w:r>
    </w:p>
    <w:p w14:paraId="3A5B445A" w14:textId="65C86B5E" w:rsidR="00D53250" w:rsidRPr="00DC1AC2" w:rsidRDefault="00D53250" w:rsidP="00056EE7">
      <w:pPr>
        <w:spacing w:after="120" w:line="300" w:lineRule="atLeast"/>
        <w:jc w:val="center"/>
        <w:rPr>
          <w:rFonts w:ascii="Times New Roman" w:hAnsi="Times New Roman" w:cs="Times New Roman"/>
          <w:b/>
          <w:noProof/>
          <w:lang w:val="x-none" w:eastAsia="x-none"/>
        </w:rPr>
      </w:pPr>
      <w:r w:rsidRPr="00DC1AC2">
        <w:rPr>
          <w:rFonts w:ascii="Times New Roman" w:hAnsi="Times New Roman" w:cs="Times New Roman"/>
          <w:b/>
          <w:lang w:eastAsia="x-none"/>
        </w:rPr>
        <w:t xml:space="preserve">Wykres 13. </w:t>
      </w:r>
      <w:r w:rsidRPr="00DC1AC2">
        <w:rPr>
          <w:rFonts w:ascii="Times New Roman" w:hAnsi="Times New Roman" w:cs="Times New Roman"/>
          <w:b/>
          <w:lang w:val="x-none" w:eastAsia="x-none"/>
        </w:rPr>
        <w:t>Główne rodzaje odpadów w zezwoleniach na przywóz odpadów w 202</w:t>
      </w:r>
      <w:r w:rsidRPr="00DC1AC2">
        <w:rPr>
          <w:rFonts w:ascii="Times New Roman" w:hAnsi="Times New Roman" w:cs="Times New Roman"/>
          <w:b/>
          <w:lang w:eastAsia="x-none"/>
        </w:rPr>
        <w:t>2</w:t>
      </w:r>
      <w:r w:rsidRPr="00DC1AC2">
        <w:rPr>
          <w:rFonts w:ascii="Times New Roman" w:hAnsi="Times New Roman" w:cs="Times New Roman"/>
          <w:b/>
          <w:lang w:val="x-none" w:eastAsia="x-none"/>
        </w:rPr>
        <w:t xml:space="preserve"> r. </w:t>
      </w:r>
      <w:r w:rsidRPr="00DC1AC2">
        <w:rPr>
          <w:rFonts w:ascii="Times New Roman" w:hAnsi="Times New Roman" w:cs="Times New Roman"/>
          <w:b/>
          <w:lang w:val="x-none" w:eastAsia="x-none"/>
        </w:rPr>
        <w:br/>
        <w:t>(w % masy)</w:t>
      </w:r>
    </w:p>
    <w:p w14:paraId="0485BBBF" w14:textId="77777777" w:rsidR="00895F16" w:rsidRPr="00D53250" w:rsidRDefault="00895F16" w:rsidP="00056EE7">
      <w:pPr>
        <w:spacing w:after="0" w:line="300" w:lineRule="atLeast"/>
        <w:ind w:firstLine="567"/>
        <w:jc w:val="center"/>
        <w:rPr>
          <w:color w:val="000000"/>
          <w:sz w:val="24"/>
          <w:szCs w:val="24"/>
          <w:lang w:val="x-none"/>
        </w:rPr>
      </w:pPr>
    </w:p>
    <w:p w14:paraId="1BB0447B" w14:textId="77777777" w:rsidR="00D53250" w:rsidRPr="00D53250" w:rsidRDefault="00D53250" w:rsidP="00056EE7">
      <w:pPr>
        <w:spacing w:after="0" w:line="300" w:lineRule="atLeast"/>
        <w:ind w:firstLine="425"/>
        <w:jc w:val="both"/>
        <w:rPr>
          <w:rFonts w:ascii="Times New Roman" w:hAnsi="Times New Roman" w:cs="Times New Roman"/>
          <w:bCs/>
          <w:sz w:val="24"/>
          <w:szCs w:val="24"/>
          <w:lang w:val="x-none"/>
        </w:rPr>
      </w:pPr>
      <w:r w:rsidRPr="00D53250">
        <w:rPr>
          <w:rFonts w:ascii="Times New Roman" w:hAnsi="Times New Roman" w:cs="Times New Roman"/>
          <w:bCs/>
          <w:sz w:val="24"/>
          <w:szCs w:val="24"/>
          <w:lang w:val="x-none"/>
        </w:rPr>
        <w:t>W ramach realizacji zezwoleń GIOŚ na przywóz odpadów, w 2022 r. przywieziono do Polski ok. 333 tys. Mg odpadów. Po raz czwarty od 2013 r. zaobserwowano spadek ilości sprowadzanych odpadów w stosunku do roku poprzedniego (o 9,4%).</w:t>
      </w:r>
    </w:p>
    <w:p w14:paraId="681550D6" w14:textId="1213908A" w:rsidR="00895F16" w:rsidRPr="007F400A" w:rsidRDefault="00D53250" w:rsidP="00056EE7">
      <w:pPr>
        <w:spacing w:after="0" w:line="300" w:lineRule="atLeast"/>
        <w:ind w:firstLine="567"/>
        <w:jc w:val="both"/>
        <w:rPr>
          <w:rFonts w:ascii="Times New Roman" w:hAnsi="Times New Roman" w:cs="Times New Roman"/>
          <w:color w:val="000000"/>
          <w:sz w:val="24"/>
          <w:szCs w:val="24"/>
        </w:rPr>
      </w:pPr>
      <w:r w:rsidRPr="00D53250">
        <w:rPr>
          <w:rFonts w:ascii="Times New Roman" w:hAnsi="Times New Roman" w:cs="Times New Roman"/>
          <w:bCs/>
          <w:sz w:val="24"/>
          <w:szCs w:val="24"/>
          <w:lang w:val="x-none"/>
        </w:rPr>
        <w:t xml:space="preserve">Biorąc pod uwagę rodzaje odpadów, na przywóz których GIOŚ wydał zgodę, największy udział miały odpady w postaci popiołów lotnych z drewna i słomy do produkcji nawozów </w:t>
      </w:r>
      <w:r w:rsidR="000A69C9">
        <w:rPr>
          <w:rFonts w:ascii="Times New Roman" w:hAnsi="Times New Roman" w:cs="Times New Roman"/>
          <w:bCs/>
          <w:sz w:val="24"/>
          <w:szCs w:val="24"/>
          <w:lang w:val="x-none"/>
        </w:rPr>
        <w:br/>
      </w:r>
      <w:r w:rsidRPr="00D53250">
        <w:rPr>
          <w:rFonts w:ascii="Times New Roman" w:hAnsi="Times New Roman" w:cs="Times New Roman"/>
          <w:bCs/>
          <w:sz w:val="24"/>
          <w:szCs w:val="24"/>
          <w:lang w:val="x-none"/>
        </w:rPr>
        <w:t>i środków polepszających właściwości gleby,</w:t>
      </w:r>
      <w:r w:rsidRPr="00D53250">
        <w:rPr>
          <w:rFonts w:ascii="Times New Roman" w:hAnsi="Times New Roman" w:cs="Times New Roman"/>
          <w:bCs/>
          <w:sz w:val="24"/>
          <w:szCs w:val="24"/>
        </w:rPr>
        <w:t xml:space="preserve"> </w:t>
      </w:r>
      <w:r w:rsidRPr="00D53250">
        <w:rPr>
          <w:rFonts w:ascii="Times New Roman" w:hAnsi="Times New Roman" w:cs="Times New Roman"/>
          <w:bCs/>
          <w:sz w:val="24"/>
          <w:szCs w:val="24"/>
          <w:lang w:val="x-none"/>
        </w:rPr>
        <w:t>odpady stałe z oczyszczania gazów odlotowych wykorzystywane w Polsce do odzysku metali w hutach</w:t>
      </w:r>
      <w:r w:rsidRPr="00D53250">
        <w:rPr>
          <w:rFonts w:ascii="Times New Roman" w:hAnsi="Times New Roman" w:cs="Times New Roman"/>
          <w:bCs/>
          <w:sz w:val="24"/>
          <w:szCs w:val="24"/>
        </w:rPr>
        <w:t>,</w:t>
      </w:r>
      <w:r w:rsidRPr="00D53250">
        <w:rPr>
          <w:rFonts w:ascii="Times New Roman" w:hAnsi="Times New Roman" w:cs="Times New Roman"/>
          <w:bCs/>
          <w:sz w:val="24"/>
          <w:szCs w:val="24"/>
          <w:lang w:val="x-none"/>
        </w:rPr>
        <w:t xml:space="preserve"> odpady w postaci minerałów, zmieszane odpady betonu, gruzu ceglanego i odpadowych materiałów ceramicznych oraz gleba </w:t>
      </w:r>
      <w:r w:rsidRPr="00D53250">
        <w:rPr>
          <w:rFonts w:ascii="Times New Roman" w:hAnsi="Times New Roman" w:cs="Times New Roman"/>
          <w:bCs/>
          <w:sz w:val="24"/>
          <w:szCs w:val="24"/>
          <w:lang w:val="x-none"/>
        </w:rPr>
        <w:lastRenderedPageBreak/>
        <w:t>i kamienie przeznaczone do procesu odzysku, jakim jest rekultywacja (wypełnienie) wyrobiska położonego w pobliżu granicy z Niemcami oraz odpady akumulatorów ołowiowych, z których w hutach odzyskuje się ołów</w:t>
      </w:r>
      <w:r w:rsidR="00895F16" w:rsidRPr="00D53250">
        <w:rPr>
          <w:rFonts w:ascii="Times New Roman" w:hAnsi="Times New Roman" w:cs="Times New Roman"/>
          <w:sz w:val="24"/>
          <w:szCs w:val="24"/>
        </w:rPr>
        <w:t>.</w:t>
      </w:r>
    </w:p>
    <w:p w14:paraId="77D582BE" w14:textId="77777777" w:rsidR="00D53250" w:rsidRPr="00D53250" w:rsidRDefault="00D53250" w:rsidP="00056EE7">
      <w:pPr>
        <w:spacing w:after="0" w:line="300" w:lineRule="atLeast"/>
        <w:ind w:firstLine="425"/>
        <w:jc w:val="both"/>
        <w:rPr>
          <w:rFonts w:ascii="Times New Roman" w:hAnsi="Times New Roman" w:cs="Times New Roman"/>
          <w:bCs/>
          <w:sz w:val="24"/>
          <w:szCs w:val="24"/>
          <w:lang w:val="x-none"/>
        </w:rPr>
      </w:pPr>
      <w:r w:rsidRPr="00D53250">
        <w:rPr>
          <w:rFonts w:ascii="Times New Roman" w:hAnsi="Times New Roman" w:cs="Times New Roman"/>
          <w:bCs/>
          <w:sz w:val="24"/>
          <w:szCs w:val="24"/>
          <w:lang w:val="x-none"/>
        </w:rPr>
        <w:t>Analizując dane dotyczące rzeczywistej ilości przywożonych odpadów, należy wziąć pod uwagę, że GIOŚ wydaje zezwolenia przez cały rok. Ważność zezwoleń to zazwyczaj jeden rok kalendarzowy. Dlatego część odpadów przywiezionych do Polski w 2022 r. odnosi się do zezwoleń wydanych w latach poprzednich i podobnie zezwolenia wydane w 2022 r. realizowane mogą być w części w kolejnych latach.</w:t>
      </w:r>
    </w:p>
    <w:p w14:paraId="4B58C6D5" w14:textId="7D56B704" w:rsidR="00895F16" w:rsidRPr="00D53250" w:rsidRDefault="00D53250" w:rsidP="00056EE7">
      <w:pPr>
        <w:spacing w:after="0" w:line="300" w:lineRule="atLeast"/>
        <w:ind w:firstLine="567"/>
        <w:jc w:val="both"/>
        <w:rPr>
          <w:rFonts w:ascii="Times New Roman" w:hAnsi="Times New Roman" w:cs="Times New Roman"/>
          <w:sz w:val="24"/>
          <w:szCs w:val="24"/>
        </w:rPr>
      </w:pPr>
      <w:r w:rsidRPr="00D53250">
        <w:rPr>
          <w:rFonts w:ascii="Times New Roman" w:hAnsi="Times New Roman" w:cs="Times New Roman"/>
          <w:bCs/>
          <w:sz w:val="24"/>
          <w:szCs w:val="24"/>
          <w:lang w:val="x-none"/>
        </w:rPr>
        <w:t>Ponadto, Główny Inspektor wyraził sprzeciw wobec przywozu do Polski odpadów drewna z Niemiec na łączną masę 34 tys. Mg. Przyczyną zgłoszenia sprzeciwów wobec wysyłki ww. odpadów do Polski było nieprzestrzeganie przez odbiorcę odpadów</w:t>
      </w:r>
      <w:r w:rsidRPr="00D53250">
        <w:rPr>
          <w:rFonts w:ascii="Times New Roman" w:hAnsi="Times New Roman" w:cs="Times New Roman"/>
          <w:bCs/>
          <w:sz w:val="24"/>
          <w:szCs w:val="24"/>
        </w:rPr>
        <w:t>,</w:t>
      </w:r>
      <w:r w:rsidRPr="00D53250">
        <w:rPr>
          <w:rFonts w:ascii="Times New Roman" w:hAnsi="Times New Roman" w:cs="Times New Roman"/>
          <w:bCs/>
          <w:sz w:val="24"/>
          <w:szCs w:val="24"/>
          <w:lang w:val="x-none"/>
        </w:rPr>
        <w:t xml:space="preserve"> w okresie poprzedzającym przywóz odpadów</w:t>
      </w:r>
      <w:r w:rsidRPr="00D53250">
        <w:rPr>
          <w:rFonts w:ascii="Times New Roman" w:hAnsi="Times New Roman" w:cs="Times New Roman"/>
          <w:bCs/>
          <w:sz w:val="24"/>
          <w:szCs w:val="24"/>
        </w:rPr>
        <w:t>,</w:t>
      </w:r>
      <w:r w:rsidRPr="00D53250">
        <w:rPr>
          <w:rFonts w:ascii="Times New Roman" w:hAnsi="Times New Roman" w:cs="Times New Roman"/>
          <w:bCs/>
          <w:sz w:val="24"/>
          <w:szCs w:val="24"/>
          <w:lang w:val="x-none"/>
        </w:rPr>
        <w:t xml:space="preserve"> przepisów ochrony środowiska</w:t>
      </w:r>
      <w:r w:rsidR="003E0809">
        <w:rPr>
          <w:rFonts w:ascii="Times New Roman" w:hAnsi="Times New Roman" w:cs="Times New Roman"/>
          <w:bCs/>
          <w:sz w:val="24"/>
          <w:szCs w:val="24"/>
        </w:rPr>
        <w:t>,</w:t>
      </w:r>
      <w:r w:rsidRPr="00D53250">
        <w:rPr>
          <w:rFonts w:ascii="Times New Roman" w:hAnsi="Times New Roman" w:cs="Times New Roman"/>
          <w:bCs/>
          <w:sz w:val="24"/>
          <w:szCs w:val="24"/>
          <w:lang w:val="x-none"/>
        </w:rPr>
        <w:t xml:space="preserve"> a także warunków posiadanych decyzji administracyjnych</w:t>
      </w:r>
      <w:r w:rsidR="00895F16" w:rsidRPr="00D53250">
        <w:rPr>
          <w:rFonts w:ascii="Times New Roman" w:hAnsi="Times New Roman" w:cs="Times New Roman"/>
          <w:sz w:val="24"/>
          <w:szCs w:val="24"/>
        </w:rPr>
        <w:t>.</w:t>
      </w:r>
    </w:p>
    <w:p w14:paraId="0EB1636A" w14:textId="77777777" w:rsidR="00895F16" w:rsidRPr="003E0809" w:rsidRDefault="00895F16" w:rsidP="00056EE7">
      <w:pPr>
        <w:spacing w:after="0" w:line="300" w:lineRule="atLeast"/>
        <w:ind w:left="360"/>
        <w:contextualSpacing/>
        <w:jc w:val="both"/>
        <w:rPr>
          <w:rFonts w:ascii="Times New Roman" w:eastAsia="Times New Roman" w:hAnsi="Times New Roman" w:cs="Times New Roman"/>
          <w:color w:val="000000"/>
          <w:sz w:val="24"/>
          <w:szCs w:val="24"/>
          <w:lang w:eastAsia="pl-PL"/>
        </w:rPr>
      </w:pPr>
    </w:p>
    <w:p w14:paraId="463F8232" w14:textId="77777777" w:rsidR="00895F16" w:rsidRPr="007F400A" w:rsidRDefault="00895F16" w:rsidP="003E0809">
      <w:pPr>
        <w:keepNext/>
        <w:spacing w:after="120" w:line="300" w:lineRule="atLeast"/>
        <w:outlineLvl w:val="0"/>
        <w:rPr>
          <w:rFonts w:ascii="Times New Roman" w:eastAsia="Times New Roman" w:hAnsi="Times New Roman" w:cs="Times New Roman"/>
          <w:b/>
          <w:bCs/>
          <w:sz w:val="24"/>
          <w:szCs w:val="24"/>
          <w:lang w:val="x-none" w:eastAsia="x-none"/>
        </w:rPr>
      </w:pPr>
      <w:bookmarkStart w:id="266" w:name="_Toc135935650"/>
      <w:r w:rsidRPr="007F400A">
        <w:rPr>
          <w:rFonts w:ascii="Times New Roman" w:eastAsia="Times New Roman" w:hAnsi="Times New Roman" w:cs="Times New Roman"/>
          <w:b/>
          <w:bCs/>
          <w:sz w:val="24"/>
          <w:szCs w:val="24"/>
          <w:lang w:val="x-none" w:eastAsia="x-none"/>
        </w:rPr>
        <w:t>1.2 Wywóz odpadów z Polski</w:t>
      </w:r>
      <w:bookmarkEnd w:id="265"/>
      <w:bookmarkEnd w:id="266"/>
    </w:p>
    <w:p w14:paraId="18FACFA5" w14:textId="77777777" w:rsidR="00D53250" w:rsidRPr="00D53250" w:rsidRDefault="00D53250" w:rsidP="003E0809">
      <w:pPr>
        <w:spacing w:after="0" w:line="300" w:lineRule="atLeast"/>
        <w:ind w:left="68" w:firstLine="567"/>
        <w:jc w:val="both"/>
        <w:rPr>
          <w:rFonts w:ascii="Times New Roman" w:hAnsi="Times New Roman" w:cs="Times New Roman"/>
          <w:bCs/>
          <w:sz w:val="24"/>
          <w:szCs w:val="24"/>
        </w:rPr>
      </w:pPr>
      <w:r w:rsidRPr="00D53250">
        <w:rPr>
          <w:rFonts w:ascii="Times New Roman" w:hAnsi="Times New Roman" w:cs="Times New Roman"/>
          <w:bCs/>
          <w:sz w:val="24"/>
          <w:szCs w:val="24"/>
        </w:rPr>
        <w:t>W 2022 r. Główny Inspektor Ochrony Środowiska wydał 102 zezwolenia dotyczące wywozu odpadów z kraju, z których 76 dotyczyło odpadów niebezpiecznych.</w:t>
      </w:r>
    </w:p>
    <w:p w14:paraId="68FCA0CA" w14:textId="77777777" w:rsidR="00D53250" w:rsidRPr="00D53250" w:rsidRDefault="00D53250" w:rsidP="003E0809">
      <w:pPr>
        <w:spacing w:after="0" w:line="300" w:lineRule="atLeast"/>
        <w:ind w:left="68" w:firstLine="567"/>
        <w:jc w:val="both"/>
        <w:rPr>
          <w:rFonts w:ascii="Times New Roman" w:hAnsi="Times New Roman" w:cs="Times New Roman"/>
          <w:bCs/>
          <w:sz w:val="24"/>
          <w:szCs w:val="24"/>
        </w:rPr>
      </w:pPr>
      <w:r w:rsidRPr="00D53250">
        <w:rPr>
          <w:rFonts w:ascii="Times New Roman" w:hAnsi="Times New Roman" w:cs="Times New Roman"/>
          <w:bCs/>
          <w:sz w:val="24"/>
          <w:szCs w:val="24"/>
        </w:rPr>
        <w:t xml:space="preserve">Najwięcej wydanych zezwoleń dotyczyło wywozu odpadów do Republiki Federalnej Niemiec (66 zezwoleń) na łączną masę ok. 500 tys. Mg, m.in. drewnianych podkładów kolejowych (152 tys. Mg) i paliwa alternatywnego (128 tys. Mg). </w:t>
      </w:r>
    </w:p>
    <w:p w14:paraId="3EB159E6" w14:textId="77777777" w:rsidR="00D53250" w:rsidRPr="00D53250" w:rsidRDefault="00D53250" w:rsidP="003E0809">
      <w:pPr>
        <w:spacing w:after="0" w:line="300" w:lineRule="atLeast"/>
        <w:ind w:left="68" w:firstLine="567"/>
        <w:jc w:val="both"/>
        <w:rPr>
          <w:rFonts w:ascii="Times New Roman" w:hAnsi="Times New Roman" w:cs="Times New Roman"/>
          <w:bCs/>
          <w:sz w:val="24"/>
          <w:szCs w:val="24"/>
        </w:rPr>
      </w:pPr>
      <w:r w:rsidRPr="00D53250">
        <w:rPr>
          <w:rFonts w:ascii="Times New Roman" w:hAnsi="Times New Roman" w:cs="Times New Roman"/>
          <w:bCs/>
          <w:sz w:val="24"/>
          <w:szCs w:val="24"/>
        </w:rPr>
        <w:t>W dalszej kolejności zezwolenia dotyczyły wysyłki odpadów do Szwecji – 10 decyzji na łączną masę 61,8 tys. Mg odpadów, m.in. 40 tys. Mg odpadów palnych i 14 tys. Mg siarczanu żelaza.</w:t>
      </w:r>
    </w:p>
    <w:p w14:paraId="0EF6A74D" w14:textId="74865C83" w:rsidR="00895F16" w:rsidRPr="00D53250" w:rsidRDefault="00D53250" w:rsidP="00512029">
      <w:pPr>
        <w:spacing w:after="120" w:line="300" w:lineRule="atLeast"/>
        <w:ind w:firstLine="567"/>
        <w:jc w:val="both"/>
        <w:rPr>
          <w:rFonts w:ascii="Times New Roman" w:eastAsia="Times New Roman" w:hAnsi="Times New Roman" w:cs="Times New Roman"/>
          <w:color w:val="000000"/>
          <w:sz w:val="24"/>
          <w:szCs w:val="24"/>
          <w:lang w:eastAsia="pl-PL"/>
        </w:rPr>
      </w:pPr>
      <w:r w:rsidRPr="00D53250">
        <w:rPr>
          <w:rFonts w:ascii="Times New Roman" w:hAnsi="Times New Roman" w:cs="Times New Roman"/>
          <w:bCs/>
          <w:sz w:val="24"/>
          <w:szCs w:val="24"/>
        </w:rPr>
        <w:t>W ramach realizacji zezwoleń GIOŚ na wywóz odpadów, w 2022 r. wywieziono z Polski ok. 3</w:t>
      </w:r>
      <w:r w:rsidR="003463FC">
        <w:rPr>
          <w:rFonts w:ascii="Times New Roman" w:hAnsi="Times New Roman" w:cs="Times New Roman"/>
          <w:bCs/>
          <w:sz w:val="24"/>
          <w:szCs w:val="24"/>
        </w:rPr>
        <w:t>50</w:t>
      </w:r>
      <w:r w:rsidRPr="00D53250">
        <w:rPr>
          <w:rFonts w:ascii="Times New Roman" w:hAnsi="Times New Roman" w:cs="Times New Roman"/>
          <w:bCs/>
          <w:sz w:val="24"/>
          <w:szCs w:val="24"/>
        </w:rPr>
        <w:t xml:space="preserve"> tys. Mg odpadów. W stosunku do roku poprzedniego nastąpił wzrost o ponad </w:t>
      </w:r>
      <w:r w:rsidR="003463FC">
        <w:rPr>
          <w:rFonts w:ascii="Times New Roman" w:hAnsi="Times New Roman" w:cs="Times New Roman"/>
          <w:bCs/>
          <w:sz w:val="24"/>
          <w:szCs w:val="24"/>
        </w:rPr>
        <w:t>5</w:t>
      </w:r>
      <w:r w:rsidRPr="00D53250">
        <w:rPr>
          <w:rFonts w:ascii="Times New Roman" w:hAnsi="Times New Roman" w:cs="Times New Roman"/>
          <w:bCs/>
          <w:sz w:val="24"/>
          <w:szCs w:val="24"/>
        </w:rPr>
        <w:t>6% (w 2021 r. – ok. 223,5 tys. Mg odpadów)</w:t>
      </w:r>
      <w:r w:rsidR="00895F16" w:rsidRPr="00D53250">
        <w:rPr>
          <w:rFonts w:ascii="Times New Roman" w:eastAsia="Times New Roman" w:hAnsi="Times New Roman" w:cs="Times New Roman"/>
          <w:sz w:val="24"/>
          <w:szCs w:val="24"/>
          <w:lang w:eastAsia="pl-PL"/>
        </w:rPr>
        <w:t>.</w:t>
      </w:r>
    </w:p>
    <w:p w14:paraId="1E616232" w14:textId="78ED1420" w:rsidR="000B51CF" w:rsidRDefault="00547ABC" w:rsidP="00512029">
      <w:pPr>
        <w:spacing w:line="300" w:lineRule="atLeast"/>
        <w:ind w:left="66"/>
        <w:jc w:val="center"/>
        <w:rPr>
          <w:b/>
          <w:sz w:val="24"/>
          <w:szCs w:val="24"/>
        </w:rPr>
      </w:pPr>
      <w:r>
        <w:rPr>
          <w:noProof/>
        </w:rPr>
        <w:drawing>
          <wp:inline distT="0" distB="0" distL="0" distR="0" wp14:anchorId="3A2A0C88" wp14:editId="1B4C784C">
            <wp:extent cx="4362450" cy="2476500"/>
            <wp:effectExtent l="0" t="0" r="0" b="0"/>
            <wp:docPr id="49" name="Wykres 49" descr="Struktura decyzji zezwalających na wywóz odpadów z Polski">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900D888" w14:textId="5571056C" w:rsidR="000B51CF" w:rsidRPr="00DC1AC2" w:rsidRDefault="000B51CF" w:rsidP="00056EE7">
      <w:pPr>
        <w:spacing w:line="300" w:lineRule="atLeast"/>
        <w:ind w:left="66"/>
        <w:jc w:val="center"/>
        <w:rPr>
          <w:rFonts w:ascii="Times New Roman" w:hAnsi="Times New Roman" w:cs="Times New Roman"/>
          <w:b/>
        </w:rPr>
      </w:pPr>
      <w:r w:rsidRPr="00DC1AC2">
        <w:rPr>
          <w:rFonts w:ascii="Times New Roman" w:hAnsi="Times New Roman" w:cs="Times New Roman"/>
          <w:b/>
        </w:rPr>
        <w:t>Wykres 14. Struktura decyzji zezwalających na wywóz odpadów z Polski</w:t>
      </w:r>
    </w:p>
    <w:p w14:paraId="507F8E01" w14:textId="77777777" w:rsidR="000B51CF" w:rsidRDefault="000B51CF" w:rsidP="00056EE7">
      <w:pPr>
        <w:spacing w:line="300" w:lineRule="atLeast"/>
        <w:ind w:left="66"/>
        <w:rPr>
          <w:b/>
          <w:sz w:val="24"/>
          <w:szCs w:val="24"/>
        </w:rPr>
      </w:pPr>
    </w:p>
    <w:p w14:paraId="140268DD" w14:textId="6A85E1AF" w:rsidR="000B51CF" w:rsidRPr="00210DA8" w:rsidRDefault="000B51CF" w:rsidP="00512029">
      <w:pPr>
        <w:spacing w:line="300" w:lineRule="atLeast"/>
        <w:ind w:left="66"/>
        <w:jc w:val="center"/>
        <w:rPr>
          <w:bCs/>
          <w:sz w:val="24"/>
          <w:szCs w:val="24"/>
        </w:rPr>
      </w:pPr>
      <w:r>
        <w:rPr>
          <w:noProof/>
          <w:lang w:eastAsia="pl-PL"/>
        </w:rPr>
        <w:lastRenderedPageBreak/>
        <w:drawing>
          <wp:inline distT="0" distB="0" distL="0" distR="0" wp14:anchorId="0E653709" wp14:editId="3D3EB628">
            <wp:extent cx="5864225" cy="3200400"/>
            <wp:effectExtent l="0" t="0" r="3175" b="0"/>
            <wp:docPr id="463" name="Obraz 463" descr="Główne rodzaje odpadów w zezwoleniach na wywóz odpadów w 2022 r. &#10;(w % ma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Obraz 463" descr="Główne rodzaje odpadów w zezwoleniach na wywóz odpadów w 2022 r. &#10;(w % masy)"/>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64225" cy="3200400"/>
                    </a:xfrm>
                    <a:prstGeom prst="rect">
                      <a:avLst/>
                    </a:prstGeom>
                    <a:noFill/>
                  </pic:spPr>
                </pic:pic>
              </a:graphicData>
            </a:graphic>
          </wp:inline>
        </w:drawing>
      </w:r>
    </w:p>
    <w:p w14:paraId="17E76A2A" w14:textId="51C1FCF3" w:rsidR="00895F16" w:rsidRPr="00DC1AC2" w:rsidRDefault="000B51CF" w:rsidP="00056EE7">
      <w:pPr>
        <w:tabs>
          <w:tab w:val="left" w:pos="3641"/>
        </w:tabs>
        <w:spacing w:after="0" w:line="300" w:lineRule="atLeast"/>
        <w:jc w:val="center"/>
        <w:rPr>
          <w:rFonts w:ascii="Times New Roman" w:hAnsi="Times New Roman" w:cs="Times New Roman"/>
          <w:b/>
        </w:rPr>
      </w:pPr>
      <w:r w:rsidRPr="00DC1AC2">
        <w:rPr>
          <w:rFonts w:ascii="Times New Roman" w:hAnsi="Times New Roman" w:cs="Times New Roman"/>
          <w:b/>
        </w:rPr>
        <w:t xml:space="preserve">Wykres 15. Główne rodzaje odpadów w zezwoleniach na wywóz odpadów w 2022 r. </w:t>
      </w:r>
      <w:r w:rsidRPr="00DC1AC2">
        <w:rPr>
          <w:rFonts w:ascii="Times New Roman" w:hAnsi="Times New Roman" w:cs="Times New Roman"/>
          <w:b/>
        </w:rPr>
        <w:br/>
        <w:t>(w % masy)</w:t>
      </w:r>
    </w:p>
    <w:p w14:paraId="22B971E0" w14:textId="77777777" w:rsidR="000B51CF" w:rsidRPr="00DC1AC2" w:rsidRDefault="000B51CF" w:rsidP="00056EE7">
      <w:pPr>
        <w:tabs>
          <w:tab w:val="left" w:pos="3641"/>
        </w:tabs>
        <w:spacing w:after="0" w:line="300" w:lineRule="atLeast"/>
        <w:jc w:val="center"/>
        <w:rPr>
          <w:rFonts w:ascii="Times New Roman" w:eastAsia="Calibri" w:hAnsi="Times New Roman" w:cs="Times New Roman"/>
          <w:b/>
          <w:noProof/>
          <w:lang w:eastAsia="pl-PL"/>
        </w:rPr>
      </w:pPr>
    </w:p>
    <w:p w14:paraId="23E08767" w14:textId="77777777" w:rsidR="00895F16" w:rsidRPr="007F400A" w:rsidRDefault="00895F16" w:rsidP="00056EE7">
      <w:pPr>
        <w:keepNext/>
        <w:spacing w:after="120" w:line="300" w:lineRule="atLeast"/>
        <w:outlineLvl w:val="0"/>
        <w:rPr>
          <w:rFonts w:ascii="Times New Roman" w:eastAsia="Times New Roman" w:hAnsi="Times New Roman" w:cs="Times New Roman"/>
          <w:b/>
          <w:bCs/>
          <w:sz w:val="24"/>
          <w:szCs w:val="24"/>
          <w:lang w:val="x-none" w:eastAsia="x-none"/>
        </w:rPr>
      </w:pPr>
      <w:bookmarkStart w:id="267" w:name="_Toc36732615"/>
      <w:bookmarkStart w:id="268" w:name="_Toc135935651"/>
      <w:r w:rsidRPr="007F400A">
        <w:rPr>
          <w:rFonts w:ascii="Times New Roman" w:eastAsia="Times New Roman" w:hAnsi="Times New Roman" w:cs="Times New Roman"/>
          <w:b/>
          <w:bCs/>
          <w:sz w:val="24"/>
          <w:szCs w:val="24"/>
          <w:lang w:val="x-none" w:eastAsia="x-none"/>
        </w:rPr>
        <w:t>1.3 Tranzyt odpadów przez terytorium kraju</w:t>
      </w:r>
      <w:bookmarkEnd w:id="267"/>
      <w:bookmarkEnd w:id="268"/>
    </w:p>
    <w:p w14:paraId="77B75275" w14:textId="22307644" w:rsidR="00895F16" w:rsidRPr="000B51CF" w:rsidRDefault="000B51CF" w:rsidP="003E0809">
      <w:pPr>
        <w:spacing w:after="0" w:line="300" w:lineRule="atLeast"/>
        <w:ind w:firstLine="567"/>
        <w:jc w:val="both"/>
        <w:rPr>
          <w:rFonts w:ascii="Times New Roman" w:eastAsia="Calibri" w:hAnsi="Times New Roman" w:cs="Times New Roman"/>
          <w:sz w:val="24"/>
          <w:szCs w:val="24"/>
        </w:rPr>
      </w:pPr>
      <w:r w:rsidRPr="000B51CF">
        <w:rPr>
          <w:rFonts w:ascii="Times New Roman" w:hAnsi="Times New Roman" w:cs="Times New Roman"/>
          <w:sz w:val="24"/>
          <w:szCs w:val="14"/>
        </w:rPr>
        <w:t>W 2022 r. Główny Inspektor Ochrony Środowiska wydał 25 decyzji zezwalających na przewóz ponad 476,7 tys. Mg odpadów przez terytorium Polski, w tym 19 zezwoleń na przewóz ok. 38 tys. Mg odpadów niebezpiecznych oraz udzielił 8 milczących zgód</w:t>
      </w:r>
      <w:r w:rsidR="00895F16" w:rsidRPr="000B51CF">
        <w:rPr>
          <w:rFonts w:ascii="Times New Roman" w:eastAsia="Calibri" w:hAnsi="Times New Roman" w:cs="Times New Roman"/>
          <w:sz w:val="24"/>
          <w:szCs w:val="24"/>
        </w:rPr>
        <w:t>.</w:t>
      </w:r>
    </w:p>
    <w:p w14:paraId="4EE33CC0" w14:textId="77777777" w:rsidR="00895F16" w:rsidRPr="007F400A" w:rsidRDefault="00895F16" w:rsidP="00056EE7">
      <w:pPr>
        <w:spacing w:after="60" w:line="300" w:lineRule="atLeast"/>
        <w:jc w:val="both"/>
        <w:rPr>
          <w:rFonts w:ascii="Times New Roman" w:eastAsia="Times New Roman" w:hAnsi="Times New Roman" w:cs="Times New Roman"/>
          <w:sz w:val="24"/>
          <w:szCs w:val="24"/>
          <w:lang w:eastAsia="pl-PL"/>
        </w:rPr>
      </w:pPr>
      <w:r w:rsidRPr="007F400A">
        <w:rPr>
          <w:rFonts w:ascii="Times New Roman" w:eastAsia="Times New Roman" w:hAnsi="Times New Roman" w:cs="Times New Roman"/>
          <w:sz w:val="24"/>
          <w:szCs w:val="24"/>
          <w:lang w:eastAsia="pl-PL"/>
        </w:rPr>
        <w:t>Największe ilości przewożonych odpadów przez terytorium Polski zgłosiły:</w:t>
      </w:r>
    </w:p>
    <w:p w14:paraId="7E9E8177" w14:textId="3316DFD4" w:rsidR="00895F16" w:rsidRPr="000B51CF" w:rsidRDefault="000B51CF" w:rsidP="00D34F97">
      <w:pPr>
        <w:numPr>
          <w:ilvl w:val="0"/>
          <w:numId w:val="54"/>
        </w:numPr>
        <w:spacing w:after="60" w:line="300" w:lineRule="atLeast"/>
        <w:ind w:left="721" w:hanging="284"/>
        <w:jc w:val="both"/>
        <w:rPr>
          <w:rFonts w:ascii="Times New Roman" w:eastAsia="Times New Roman" w:hAnsi="Times New Roman" w:cs="Times New Roman"/>
          <w:color w:val="000000"/>
          <w:sz w:val="24"/>
          <w:szCs w:val="24"/>
          <w:lang w:val="x-none" w:eastAsia="pl-PL"/>
        </w:rPr>
      </w:pPr>
      <w:r w:rsidRPr="000B51CF">
        <w:rPr>
          <w:rFonts w:ascii="Times New Roman" w:hAnsi="Times New Roman" w:cs="Times New Roman"/>
          <w:sz w:val="24"/>
          <w:szCs w:val="14"/>
        </w:rPr>
        <w:t>Wielka Brytania (400 tys. Mg paliwa alternatywnego do Szwecji)</w:t>
      </w:r>
      <w:r w:rsidR="00895F16" w:rsidRPr="000B51CF">
        <w:rPr>
          <w:rFonts w:ascii="Times New Roman" w:eastAsia="Times New Roman" w:hAnsi="Times New Roman" w:cs="Times New Roman"/>
          <w:color w:val="000000"/>
          <w:sz w:val="24"/>
          <w:szCs w:val="24"/>
          <w:lang w:val="x-none" w:eastAsia="pl-PL"/>
        </w:rPr>
        <w:t>;</w:t>
      </w:r>
    </w:p>
    <w:p w14:paraId="21D9ABC4" w14:textId="50B6EA94" w:rsidR="00895F16" w:rsidRPr="000B51CF" w:rsidRDefault="000B51CF" w:rsidP="00D34F97">
      <w:pPr>
        <w:numPr>
          <w:ilvl w:val="0"/>
          <w:numId w:val="54"/>
        </w:numPr>
        <w:spacing w:after="60" w:line="300" w:lineRule="atLeast"/>
        <w:ind w:left="721" w:hanging="284"/>
        <w:jc w:val="both"/>
        <w:rPr>
          <w:rFonts w:ascii="Times New Roman" w:eastAsia="Times New Roman" w:hAnsi="Times New Roman" w:cs="Times New Roman"/>
          <w:color w:val="000000"/>
          <w:sz w:val="24"/>
          <w:szCs w:val="24"/>
          <w:lang w:val="x-none" w:eastAsia="pl-PL"/>
        </w:rPr>
      </w:pPr>
      <w:r w:rsidRPr="000B51CF">
        <w:rPr>
          <w:rFonts w:ascii="Times New Roman" w:hAnsi="Times New Roman" w:cs="Times New Roman"/>
          <w:sz w:val="24"/>
          <w:szCs w:val="14"/>
        </w:rPr>
        <w:t>Królestwa Belgii (ok. 23 tys. Mg odpadów w postaci paliwa alternatywnego na Słowację)</w:t>
      </w:r>
      <w:r w:rsidR="00895F16" w:rsidRPr="000B51CF">
        <w:rPr>
          <w:rFonts w:ascii="Times New Roman" w:eastAsia="Calibri" w:hAnsi="Times New Roman" w:cs="Times New Roman"/>
          <w:sz w:val="24"/>
          <w:szCs w:val="24"/>
          <w:lang w:val="x-none" w:eastAsia="pl-PL"/>
        </w:rPr>
        <w:t>;</w:t>
      </w:r>
    </w:p>
    <w:p w14:paraId="369F49A8" w14:textId="1D7FD7D0" w:rsidR="00895F16" w:rsidRPr="000B51CF" w:rsidRDefault="000B51CF" w:rsidP="00D34F97">
      <w:pPr>
        <w:numPr>
          <w:ilvl w:val="0"/>
          <w:numId w:val="54"/>
        </w:numPr>
        <w:spacing w:after="0" w:line="300" w:lineRule="atLeast"/>
        <w:ind w:hanging="284"/>
        <w:jc w:val="both"/>
        <w:rPr>
          <w:rFonts w:ascii="Times New Roman" w:eastAsia="Times New Roman" w:hAnsi="Times New Roman" w:cs="Times New Roman"/>
          <w:color w:val="000000"/>
          <w:sz w:val="24"/>
          <w:szCs w:val="24"/>
          <w:lang w:val="x-none" w:eastAsia="pl-PL"/>
        </w:rPr>
      </w:pPr>
      <w:r w:rsidRPr="000B51CF">
        <w:rPr>
          <w:rFonts w:ascii="Times New Roman" w:hAnsi="Times New Roman" w:cs="Times New Roman"/>
          <w:sz w:val="24"/>
          <w:szCs w:val="14"/>
        </w:rPr>
        <w:t>Litwy (15 tys. Mg odpadów tworzyw sztucznych do Ukrainy).</w:t>
      </w:r>
    </w:p>
    <w:p w14:paraId="0F566182" w14:textId="77777777" w:rsidR="00895F16" w:rsidRPr="007F400A" w:rsidRDefault="00895F16" w:rsidP="00056EE7">
      <w:pPr>
        <w:spacing w:after="0" w:line="300" w:lineRule="atLeast"/>
        <w:ind w:firstLine="709"/>
        <w:jc w:val="both"/>
        <w:rPr>
          <w:rFonts w:ascii="Times New Roman" w:eastAsia="Calibri" w:hAnsi="Times New Roman" w:cs="Times New Roman"/>
          <w:sz w:val="24"/>
          <w:szCs w:val="24"/>
          <w:lang w:eastAsia="pl-PL"/>
        </w:rPr>
      </w:pPr>
    </w:p>
    <w:p w14:paraId="7FE764E1" w14:textId="77777777" w:rsidR="00895F16" w:rsidRPr="007F400A" w:rsidRDefault="00895F16" w:rsidP="00056EE7">
      <w:pPr>
        <w:keepNext/>
        <w:spacing w:after="120" w:line="300" w:lineRule="atLeast"/>
        <w:jc w:val="both"/>
        <w:outlineLvl w:val="0"/>
        <w:rPr>
          <w:rFonts w:ascii="Times New Roman" w:eastAsia="Times New Roman" w:hAnsi="Times New Roman" w:cs="Times New Roman"/>
          <w:b/>
          <w:bCs/>
          <w:sz w:val="24"/>
          <w:szCs w:val="24"/>
          <w:lang w:eastAsia="x-none"/>
        </w:rPr>
      </w:pPr>
      <w:bookmarkStart w:id="269" w:name="_Toc36732616"/>
      <w:bookmarkStart w:id="270" w:name="_Toc135935652"/>
      <w:r w:rsidRPr="007F400A">
        <w:rPr>
          <w:rFonts w:ascii="Times New Roman" w:eastAsia="Times New Roman" w:hAnsi="Times New Roman" w:cs="Times New Roman"/>
          <w:b/>
          <w:bCs/>
          <w:sz w:val="24"/>
          <w:szCs w:val="24"/>
          <w:lang w:val="x-none" w:eastAsia="x-none"/>
        </w:rPr>
        <w:t>2. Wzmocnienie kontroli i nadzoru nad transgranicznym przemieszczaniem odpadów</w:t>
      </w:r>
      <w:r w:rsidRPr="007F400A">
        <w:rPr>
          <w:rFonts w:ascii="Times New Roman" w:eastAsia="Times New Roman" w:hAnsi="Times New Roman" w:cs="Times New Roman"/>
          <w:b/>
          <w:bCs/>
          <w:sz w:val="24"/>
          <w:szCs w:val="24"/>
          <w:lang w:eastAsia="x-none"/>
        </w:rPr>
        <w:t xml:space="preserve"> –Współpraca z innymi organami w zakresie międzynarodowego przemieszczania odpadów</w:t>
      </w:r>
      <w:bookmarkEnd w:id="269"/>
      <w:bookmarkEnd w:id="270"/>
      <w:r w:rsidRPr="007F400A">
        <w:rPr>
          <w:rFonts w:ascii="Times New Roman" w:eastAsia="Times New Roman" w:hAnsi="Times New Roman" w:cs="Times New Roman"/>
          <w:b/>
          <w:bCs/>
          <w:sz w:val="24"/>
          <w:szCs w:val="24"/>
          <w:lang w:eastAsia="x-none"/>
        </w:rPr>
        <w:t xml:space="preserve"> </w:t>
      </w:r>
    </w:p>
    <w:p w14:paraId="6F4465B5" w14:textId="6C1FF8A5" w:rsidR="000B51CF" w:rsidRPr="000B51CF" w:rsidRDefault="000B51CF" w:rsidP="003E0809">
      <w:pPr>
        <w:spacing w:after="0" w:line="300" w:lineRule="atLeast"/>
        <w:ind w:firstLine="567"/>
        <w:jc w:val="both"/>
        <w:rPr>
          <w:rFonts w:ascii="Times New Roman" w:hAnsi="Times New Roman" w:cs="Times New Roman"/>
          <w:bCs/>
          <w:sz w:val="24"/>
          <w:szCs w:val="24"/>
        </w:rPr>
      </w:pPr>
      <w:r w:rsidRPr="000B51CF">
        <w:rPr>
          <w:rFonts w:ascii="Times New Roman" w:hAnsi="Times New Roman" w:cs="Times New Roman"/>
          <w:bCs/>
          <w:sz w:val="24"/>
          <w:szCs w:val="24"/>
        </w:rPr>
        <w:t>Inspektorzy WIOŚ, podobnie jak w latach ubiegłych, uczestniczyli w kontrolach transportów odpadów wspólnie z przedstawicielami Krajowej Administracji Skarbowej, Straży Granicznej, Inspekcji Transportu Drogowego i Policji. W 2022 r. podczas wspólnych akcji kontrolnych, łącznie skontrolowano 5</w:t>
      </w:r>
      <w:r w:rsidR="003E0809">
        <w:rPr>
          <w:rFonts w:ascii="Times New Roman" w:hAnsi="Times New Roman" w:cs="Times New Roman"/>
          <w:bCs/>
          <w:sz w:val="24"/>
          <w:szCs w:val="24"/>
        </w:rPr>
        <w:t xml:space="preserve"> </w:t>
      </w:r>
      <w:r w:rsidRPr="000B51CF">
        <w:rPr>
          <w:rFonts w:ascii="Times New Roman" w:hAnsi="Times New Roman" w:cs="Times New Roman"/>
          <w:bCs/>
          <w:sz w:val="24"/>
          <w:szCs w:val="24"/>
        </w:rPr>
        <w:t>834 transporty, w tym ujawniono 24 przypadki nielegalnego transgranicznego przemieszczania odpadów oraz 9 przypadków naruszeń decyzji GIOŚ oraz przepisów o transgranicznym przemieszczaniu odpadów.</w:t>
      </w:r>
    </w:p>
    <w:p w14:paraId="2DFEC32C" w14:textId="2192B320" w:rsidR="000B51CF" w:rsidRPr="000B51CF" w:rsidRDefault="000B51CF" w:rsidP="003E0809">
      <w:pPr>
        <w:spacing w:after="0" w:line="300" w:lineRule="atLeast"/>
        <w:ind w:firstLine="567"/>
        <w:jc w:val="both"/>
        <w:rPr>
          <w:rFonts w:ascii="Times New Roman" w:hAnsi="Times New Roman" w:cs="Times New Roman"/>
          <w:bCs/>
          <w:sz w:val="24"/>
          <w:szCs w:val="24"/>
        </w:rPr>
      </w:pPr>
      <w:r w:rsidRPr="000B51CF">
        <w:rPr>
          <w:rFonts w:ascii="Times New Roman" w:hAnsi="Times New Roman" w:cs="Times New Roman"/>
          <w:bCs/>
          <w:sz w:val="24"/>
          <w:szCs w:val="24"/>
        </w:rPr>
        <w:t xml:space="preserve">Ponadto, w ramach współpracy ze służbami zaangażowanymi w kontrole transgranicznego przemieszczania odpadów, wojewódzcy inspektorzy ochrony środowiska wspierali inne służby kontrolujące poprzez dokonywanie, na wniosek służb, oceny towarów, </w:t>
      </w:r>
      <w:r w:rsidR="003E0809">
        <w:rPr>
          <w:rFonts w:ascii="Times New Roman" w:hAnsi="Times New Roman" w:cs="Times New Roman"/>
          <w:bCs/>
          <w:sz w:val="24"/>
          <w:szCs w:val="24"/>
        </w:rPr>
        <w:br/>
      </w:r>
      <w:r w:rsidRPr="000B51CF">
        <w:rPr>
          <w:rFonts w:ascii="Times New Roman" w:hAnsi="Times New Roman" w:cs="Times New Roman"/>
          <w:bCs/>
          <w:sz w:val="24"/>
          <w:szCs w:val="24"/>
        </w:rPr>
        <w:t>w stosunku do których istniało podejrzenie, że stanowią odpady.</w:t>
      </w:r>
    </w:p>
    <w:p w14:paraId="2B15539C" w14:textId="2192308C" w:rsidR="00895F16" w:rsidRPr="00DE1433" w:rsidRDefault="000B51CF" w:rsidP="003E0809">
      <w:pPr>
        <w:spacing w:after="0" w:line="300" w:lineRule="atLeast"/>
        <w:ind w:firstLine="567"/>
        <w:jc w:val="both"/>
        <w:rPr>
          <w:rFonts w:ascii="Times New Roman" w:hAnsi="Times New Roman" w:cs="Times New Roman"/>
          <w:sz w:val="24"/>
          <w:szCs w:val="24"/>
        </w:rPr>
      </w:pPr>
      <w:r w:rsidRPr="00DE1433">
        <w:rPr>
          <w:rFonts w:ascii="Times New Roman" w:hAnsi="Times New Roman" w:cs="Times New Roman"/>
          <w:bCs/>
          <w:sz w:val="24"/>
          <w:szCs w:val="24"/>
        </w:rPr>
        <w:t>W 2022 r. inspektorzy WIOŚ udzielili 487 odpowiedzi na 492 wnioski o ocenę towaru</w:t>
      </w:r>
      <w:r w:rsidRPr="00DE1433">
        <w:rPr>
          <w:rFonts w:ascii="Times New Roman" w:hAnsi="Times New Roman" w:cs="Times New Roman"/>
          <w:sz w:val="24"/>
          <w:szCs w:val="24"/>
        </w:rPr>
        <w:t xml:space="preserve"> </w:t>
      </w:r>
      <w:r w:rsidRPr="00DE1433">
        <w:rPr>
          <w:rFonts w:ascii="Times New Roman" w:hAnsi="Times New Roman" w:cs="Times New Roman"/>
          <w:bCs/>
          <w:sz w:val="24"/>
          <w:szCs w:val="24"/>
        </w:rPr>
        <w:t>oraz przeprowadzili 73 oględziny towarów, głównie na wniosek KAS</w:t>
      </w:r>
      <w:r w:rsidR="00895F16" w:rsidRPr="00DE1433">
        <w:rPr>
          <w:rFonts w:ascii="Times New Roman" w:hAnsi="Times New Roman" w:cs="Times New Roman"/>
          <w:sz w:val="24"/>
          <w:szCs w:val="24"/>
        </w:rPr>
        <w:t xml:space="preserve">. </w:t>
      </w:r>
    </w:p>
    <w:p w14:paraId="21422805" w14:textId="51975FD0" w:rsidR="00DE1433" w:rsidRPr="00DE1433" w:rsidRDefault="00DE1433" w:rsidP="003E0809">
      <w:pPr>
        <w:spacing w:after="0" w:line="300" w:lineRule="atLeast"/>
        <w:ind w:firstLine="567"/>
        <w:jc w:val="both"/>
        <w:rPr>
          <w:rFonts w:ascii="Times New Roman" w:hAnsi="Times New Roman" w:cs="Times New Roman"/>
          <w:bCs/>
          <w:sz w:val="24"/>
          <w:szCs w:val="24"/>
        </w:rPr>
      </w:pPr>
      <w:r w:rsidRPr="00DE1433">
        <w:rPr>
          <w:rFonts w:ascii="Times New Roman" w:hAnsi="Times New Roman" w:cs="Times New Roman"/>
          <w:bCs/>
          <w:sz w:val="24"/>
          <w:szCs w:val="24"/>
        </w:rPr>
        <w:lastRenderedPageBreak/>
        <w:t xml:space="preserve">W zakresie współpracy międzynarodowej, w dniu 5 października 2022 r. Lubuski </w:t>
      </w:r>
      <w:r w:rsidR="00E72A65">
        <w:rPr>
          <w:rFonts w:ascii="Times New Roman" w:hAnsi="Times New Roman" w:cs="Times New Roman"/>
          <w:bCs/>
          <w:sz w:val="24"/>
          <w:szCs w:val="24"/>
        </w:rPr>
        <w:br/>
      </w:r>
      <w:r w:rsidR="008747A4">
        <w:rPr>
          <w:rFonts w:ascii="Times New Roman" w:hAnsi="Times New Roman" w:cs="Times New Roman"/>
          <w:bCs/>
          <w:sz w:val="24"/>
          <w:szCs w:val="24"/>
        </w:rPr>
        <w:t xml:space="preserve">i Zachodniopomorski </w:t>
      </w:r>
      <w:r w:rsidRPr="00DE1433">
        <w:rPr>
          <w:rFonts w:ascii="Times New Roman" w:hAnsi="Times New Roman" w:cs="Times New Roman"/>
          <w:bCs/>
          <w:sz w:val="24"/>
          <w:szCs w:val="24"/>
        </w:rPr>
        <w:t xml:space="preserve">WIOŚ  </w:t>
      </w:r>
      <w:r w:rsidR="008747A4">
        <w:rPr>
          <w:rFonts w:ascii="Times New Roman" w:hAnsi="Times New Roman" w:cs="Times New Roman"/>
          <w:bCs/>
          <w:sz w:val="24"/>
          <w:szCs w:val="24"/>
        </w:rPr>
        <w:t xml:space="preserve">wzięły </w:t>
      </w:r>
      <w:r w:rsidRPr="00DE1433">
        <w:rPr>
          <w:rFonts w:ascii="Times New Roman" w:hAnsi="Times New Roman" w:cs="Times New Roman"/>
          <w:bCs/>
          <w:sz w:val="24"/>
          <w:szCs w:val="24"/>
        </w:rPr>
        <w:t xml:space="preserve">udział we wspólnej akcji kontrolnej w Niemczech wraz </w:t>
      </w:r>
      <w:r w:rsidR="00E72A65">
        <w:rPr>
          <w:rFonts w:ascii="Times New Roman" w:hAnsi="Times New Roman" w:cs="Times New Roman"/>
          <w:bCs/>
          <w:sz w:val="24"/>
          <w:szCs w:val="24"/>
        </w:rPr>
        <w:br/>
      </w:r>
      <w:r w:rsidRPr="00DE1433">
        <w:rPr>
          <w:rFonts w:ascii="Times New Roman" w:hAnsi="Times New Roman" w:cs="Times New Roman"/>
          <w:bCs/>
          <w:sz w:val="24"/>
          <w:szCs w:val="24"/>
        </w:rPr>
        <w:t xml:space="preserve">z </w:t>
      </w:r>
      <w:proofErr w:type="spellStart"/>
      <w:r w:rsidRPr="00DE1433">
        <w:rPr>
          <w:rFonts w:ascii="Times New Roman" w:hAnsi="Times New Roman" w:cs="Times New Roman"/>
          <w:bCs/>
          <w:sz w:val="24"/>
          <w:szCs w:val="24"/>
        </w:rPr>
        <w:t>Sonderabfallgesellschaft</w:t>
      </w:r>
      <w:proofErr w:type="spellEnd"/>
      <w:r w:rsidRPr="00DE1433">
        <w:rPr>
          <w:rFonts w:ascii="Times New Roman" w:hAnsi="Times New Roman" w:cs="Times New Roman"/>
          <w:bCs/>
          <w:sz w:val="24"/>
          <w:szCs w:val="24"/>
        </w:rPr>
        <w:t xml:space="preserve"> Brandenburg/Berlin </w:t>
      </w:r>
      <w:proofErr w:type="spellStart"/>
      <w:r w:rsidRPr="00DE1433">
        <w:rPr>
          <w:rFonts w:ascii="Times New Roman" w:hAnsi="Times New Roman" w:cs="Times New Roman"/>
          <w:bCs/>
          <w:sz w:val="24"/>
          <w:szCs w:val="24"/>
        </w:rPr>
        <w:t>mbH</w:t>
      </w:r>
      <w:proofErr w:type="spellEnd"/>
      <w:r w:rsidRPr="00DE1433">
        <w:rPr>
          <w:rFonts w:ascii="Times New Roman" w:hAnsi="Times New Roman" w:cs="Times New Roman"/>
          <w:bCs/>
          <w:sz w:val="24"/>
          <w:szCs w:val="24"/>
        </w:rPr>
        <w:t xml:space="preserve"> (SBB) oraz innymi organami niemieckimi. W trakcie tej akcji kontrolnej nie stwierdzono przypadków nielegalnego transgranicznego przemieszczania odpadów.</w:t>
      </w:r>
    </w:p>
    <w:p w14:paraId="6C3563D5" w14:textId="7E90EBFF" w:rsidR="00895F16" w:rsidRPr="00DE1433" w:rsidRDefault="00DE1433" w:rsidP="003E0809">
      <w:pPr>
        <w:spacing w:after="0" w:line="300" w:lineRule="atLeast"/>
        <w:ind w:firstLine="567"/>
        <w:jc w:val="both"/>
        <w:rPr>
          <w:rFonts w:ascii="Times New Roman" w:eastAsia="Times New Roman" w:hAnsi="Times New Roman" w:cs="Times New Roman"/>
          <w:sz w:val="24"/>
          <w:szCs w:val="24"/>
          <w:lang w:eastAsia="pl-PL"/>
        </w:rPr>
      </w:pPr>
      <w:r w:rsidRPr="00DE1433">
        <w:rPr>
          <w:rFonts w:ascii="Times New Roman" w:hAnsi="Times New Roman" w:cs="Times New Roman"/>
          <w:bCs/>
          <w:sz w:val="24"/>
          <w:szCs w:val="24"/>
        </w:rPr>
        <w:t xml:space="preserve">We współpracy ze Światową Organizacją Celną (WCO), Inspekcja Ochrony Środowiska wzięła udział w operacji DEMETER VIII, której celem było przeciwdziałanie nielegalnemu międzynarodowemu przemieszczaniu odpadów, substancji zubożających warstwę ozonową, fluoryzowanych gazów cieplarnianych w obrocie lotniczym, morskim oraz ruchu lądowym. </w:t>
      </w:r>
      <w:r>
        <w:rPr>
          <w:rFonts w:ascii="Times New Roman" w:hAnsi="Times New Roman" w:cs="Times New Roman"/>
          <w:bCs/>
          <w:sz w:val="24"/>
          <w:szCs w:val="24"/>
        </w:rPr>
        <w:br/>
      </w:r>
      <w:r w:rsidRPr="00DE1433">
        <w:rPr>
          <w:rFonts w:ascii="Times New Roman" w:hAnsi="Times New Roman" w:cs="Times New Roman"/>
          <w:bCs/>
          <w:sz w:val="24"/>
          <w:szCs w:val="24"/>
        </w:rPr>
        <w:t>W Polsce nadzór nad akcją objęła Krajowa Administracja Skarbowa. W akcji, która trwała od 1 do 31 października 2022 r. udział wzięli funkcjonariusze administracji celno-skarbowej, Policji, Straży Granicznej i Inspekcji Transportu Drogowego oraz inspektorzy wojewódzkich inspektoratów ochrony środowiska</w:t>
      </w:r>
      <w:r w:rsidR="00895F16" w:rsidRPr="00DE1433">
        <w:rPr>
          <w:rFonts w:ascii="Times New Roman" w:eastAsia="Times New Roman" w:hAnsi="Times New Roman" w:cs="Times New Roman"/>
          <w:sz w:val="24"/>
          <w:szCs w:val="24"/>
          <w:lang w:eastAsia="pl-PL"/>
        </w:rPr>
        <w:t>.</w:t>
      </w:r>
    </w:p>
    <w:p w14:paraId="5743CC40" w14:textId="77777777" w:rsidR="00895F16" w:rsidRPr="00DE1433" w:rsidRDefault="00895F16" w:rsidP="00056EE7">
      <w:pPr>
        <w:spacing w:after="0" w:line="300" w:lineRule="atLeast"/>
        <w:ind w:firstLine="357"/>
        <w:jc w:val="both"/>
        <w:rPr>
          <w:rFonts w:ascii="Times New Roman" w:eastAsia="Times New Roman" w:hAnsi="Times New Roman" w:cs="Times New Roman"/>
          <w:sz w:val="24"/>
          <w:szCs w:val="24"/>
          <w:lang w:eastAsia="pl-PL"/>
        </w:rPr>
      </w:pPr>
    </w:p>
    <w:p w14:paraId="5EFFA66A" w14:textId="77777777" w:rsidR="00895F16" w:rsidRPr="007F400A" w:rsidRDefault="00895F16" w:rsidP="003E0809">
      <w:pPr>
        <w:keepNext/>
        <w:spacing w:after="120" w:line="300" w:lineRule="atLeast"/>
        <w:outlineLvl w:val="0"/>
        <w:rPr>
          <w:rFonts w:ascii="Times New Roman" w:eastAsia="Times New Roman" w:hAnsi="Times New Roman" w:cs="Times New Roman"/>
          <w:b/>
          <w:bCs/>
          <w:sz w:val="24"/>
          <w:szCs w:val="24"/>
          <w:lang w:val="x-none" w:eastAsia="x-none"/>
        </w:rPr>
      </w:pPr>
      <w:bookmarkStart w:id="271" w:name="_Toc36732617"/>
      <w:bookmarkStart w:id="272" w:name="_Toc135935653"/>
      <w:r w:rsidRPr="007F400A">
        <w:rPr>
          <w:rFonts w:ascii="Times New Roman" w:eastAsia="Times New Roman" w:hAnsi="Times New Roman" w:cs="Times New Roman"/>
          <w:b/>
          <w:bCs/>
          <w:sz w:val="24"/>
          <w:szCs w:val="24"/>
          <w:lang w:val="x-none" w:eastAsia="x-none"/>
        </w:rPr>
        <w:t>3</w:t>
      </w:r>
      <w:r w:rsidRPr="007F400A">
        <w:rPr>
          <w:rFonts w:ascii="Times New Roman" w:eastAsia="Times New Roman" w:hAnsi="Times New Roman" w:cs="Times New Roman"/>
          <w:b/>
          <w:bCs/>
          <w:sz w:val="24"/>
          <w:szCs w:val="24"/>
          <w:lang w:eastAsia="x-none"/>
        </w:rPr>
        <w:t>.</w:t>
      </w:r>
      <w:r w:rsidRPr="007F400A">
        <w:rPr>
          <w:rFonts w:ascii="Times New Roman" w:eastAsia="Times New Roman" w:hAnsi="Times New Roman" w:cs="Times New Roman"/>
          <w:b/>
          <w:bCs/>
          <w:sz w:val="24"/>
          <w:szCs w:val="24"/>
          <w:lang w:val="x-none" w:eastAsia="x-none"/>
        </w:rPr>
        <w:t xml:space="preserve"> Kontrole krajowych instalacji przetwarzania odpadów</w:t>
      </w:r>
      <w:bookmarkEnd w:id="271"/>
      <w:bookmarkEnd w:id="272"/>
    </w:p>
    <w:p w14:paraId="633BD54A" w14:textId="37439477" w:rsidR="00D90602" w:rsidRPr="00D90602" w:rsidRDefault="00D90602" w:rsidP="003E0809">
      <w:pPr>
        <w:spacing w:after="0" w:line="300" w:lineRule="atLeast"/>
        <w:ind w:firstLine="567"/>
        <w:jc w:val="both"/>
        <w:rPr>
          <w:rFonts w:ascii="Times New Roman" w:hAnsi="Times New Roman" w:cs="Times New Roman"/>
          <w:bCs/>
          <w:sz w:val="24"/>
          <w:szCs w:val="24"/>
        </w:rPr>
      </w:pPr>
      <w:r w:rsidRPr="00D90602">
        <w:rPr>
          <w:rFonts w:ascii="Times New Roman" w:hAnsi="Times New Roman" w:cs="Times New Roman"/>
          <w:bCs/>
          <w:sz w:val="24"/>
          <w:szCs w:val="24"/>
        </w:rPr>
        <w:t xml:space="preserve">W </w:t>
      </w:r>
      <w:r w:rsidR="00C95978" w:rsidRPr="00D90602">
        <w:rPr>
          <w:rFonts w:ascii="Times New Roman" w:hAnsi="Times New Roman" w:cs="Times New Roman"/>
          <w:bCs/>
          <w:sz w:val="24"/>
          <w:szCs w:val="24"/>
        </w:rPr>
        <w:t>202</w:t>
      </w:r>
      <w:r w:rsidR="00C95978">
        <w:rPr>
          <w:rFonts w:ascii="Times New Roman" w:hAnsi="Times New Roman" w:cs="Times New Roman"/>
          <w:bCs/>
          <w:sz w:val="24"/>
          <w:szCs w:val="24"/>
        </w:rPr>
        <w:t>2</w:t>
      </w:r>
      <w:r w:rsidR="00C95978" w:rsidRPr="00D90602">
        <w:rPr>
          <w:rFonts w:ascii="Times New Roman" w:hAnsi="Times New Roman" w:cs="Times New Roman"/>
          <w:bCs/>
          <w:sz w:val="24"/>
          <w:szCs w:val="24"/>
        </w:rPr>
        <w:t xml:space="preserve"> </w:t>
      </w:r>
      <w:r w:rsidRPr="00D90602">
        <w:rPr>
          <w:rFonts w:ascii="Times New Roman" w:hAnsi="Times New Roman" w:cs="Times New Roman"/>
          <w:bCs/>
          <w:sz w:val="24"/>
          <w:szCs w:val="24"/>
        </w:rPr>
        <w:t xml:space="preserve">r. inspektorzy z wojewódzkich inspektoratów ochrony środowiska przeprowadzili 149 kontroli w zakresie międzynarodowego przemieszczania odpadów, </w:t>
      </w:r>
      <w:r w:rsidR="00512029">
        <w:rPr>
          <w:rFonts w:ascii="Times New Roman" w:hAnsi="Times New Roman" w:cs="Times New Roman"/>
          <w:bCs/>
          <w:sz w:val="24"/>
          <w:szCs w:val="24"/>
        </w:rPr>
        <w:br/>
      </w:r>
      <w:r w:rsidRPr="00D90602">
        <w:rPr>
          <w:rFonts w:ascii="Times New Roman" w:hAnsi="Times New Roman" w:cs="Times New Roman"/>
          <w:bCs/>
          <w:sz w:val="24"/>
          <w:szCs w:val="24"/>
        </w:rPr>
        <w:t>w instalacjach odzysku odpadów.</w:t>
      </w:r>
    </w:p>
    <w:p w14:paraId="67C51DF9" w14:textId="09725DF0" w:rsidR="00895F16" w:rsidRPr="00D90602" w:rsidRDefault="00D90602" w:rsidP="00056EE7">
      <w:pPr>
        <w:spacing w:after="0" w:line="300" w:lineRule="atLeast"/>
        <w:jc w:val="both"/>
        <w:rPr>
          <w:rFonts w:ascii="Times New Roman" w:eastAsia="Times New Roman" w:hAnsi="Times New Roman" w:cs="Times New Roman"/>
          <w:sz w:val="24"/>
          <w:szCs w:val="24"/>
          <w:lang w:eastAsia="pl-PL"/>
        </w:rPr>
      </w:pPr>
      <w:r w:rsidRPr="00D90602">
        <w:rPr>
          <w:rFonts w:ascii="Times New Roman" w:hAnsi="Times New Roman" w:cs="Times New Roman"/>
          <w:bCs/>
          <w:sz w:val="24"/>
          <w:szCs w:val="24"/>
        </w:rPr>
        <w:t>W ramach ww. kontroli zrealizowano m.in.</w:t>
      </w:r>
      <w:r w:rsidR="00895F16" w:rsidRPr="00D90602">
        <w:rPr>
          <w:rFonts w:ascii="Times New Roman" w:eastAsia="Times New Roman" w:hAnsi="Times New Roman" w:cs="Times New Roman"/>
          <w:sz w:val="24"/>
          <w:szCs w:val="24"/>
          <w:lang w:eastAsia="pl-PL"/>
        </w:rPr>
        <w:t xml:space="preserve">: </w:t>
      </w:r>
    </w:p>
    <w:p w14:paraId="587F7909" w14:textId="77777777" w:rsidR="00D90602" w:rsidRPr="00D90602" w:rsidRDefault="00D90602" w:rsidP="00056EE7">
      <w:pPr>
        <w:numPr>
          <w:ilvl w:val="0"/>
          <w:numId w:val="19"/>
        </w:numPr>
        <w:spacing w:after="0" w:line="300" w:lineRule="atLeast"/>
        <w:contextualSpacing/>
        <w:jc w:val="both"/>
        <w:rPr>
          <w:rFonts w:ascii="Times New Roman" w:hAnsi="Times New Roman" w:cs="Times New Roman"/>
          <w:bCs/>
          <w:sz w:val="24"/>
          <w:szCs w:val="24"/>
        </w:rPr>
      </w:pPr>
      <w:r w:rsidRPr="00D90602">
        <w:rPr>
          <w:rFonts w:ascii="Times New Roman" w:hAnsi="Times New Roman" w:cs="Times New Roman"/>
          <w:bCs/>
          <w:sz w:val="24"/>
          <w:szCs w:val="24"/>
        </w:rPr>
        <w:t>1 kontrolę przed wydaniem zezwolenia wstępnego;</w:t>
      </w:r>
    </w:p>
    <w:p w14:paraId="2D532962" w14:textId="77777777" w:rsidR="00D90602" w:rsidRPr="00D90602" w:rsidRDefault="00D90602" w:rsidP="00056EE7">
      <w:pPr>
        <w:numPr>
          <w:ilvl w:val="0"/>
          <w:numId w:val="19"/>
        </w:numPr>
        <w:spacing w:after="0" w:line="300" w:lineRule="atLeast"/>
        <w:contextualSpacing/>
        <w:jc w:val="both"/>
        <w:rPr>
          <w:rFonts w:ascii="Times New Roman" w:hAnsi="Times New Roman" w:cs="Times New Roman"/>
          <w:bCs/>
          <w:sz w:val="24"/>
          <w:szCs w:val="24"/>
        </w:rPr>
      </w:pPr>
      <w:r w:rsidRPr="00D90602">
        <w:rPr>
          <w:rFonts w:ascii="Times New Roman" w:hAnsi="Times New Roman" w:cs="Times New Roman"/>
          <w:bCs/>
          <w:sz w:val="24"/>
          <w:szCs w:val="24"/>
        </w:rPr>
        <w:t>8 kontroli sprawdzających przestrzeganie warunków decyzji Głównego Inspektora Ochrony Środowiska;</w:t>
      </w:r>
    </w:p>
    <w:p w14:paraId="17771A33" w14:textId="7002515C" w:rsidR="00895F16" w:rsidRPr="00D90602" w:rsidRDefault="00D90602" w:rsidP="00056EE7">
      <w:pPr>
        <w:numPr>
          <w:ilvl w:val="0"/>
          <w:numId w:val="19"/>
        </w:numPr>
        <w:spacing w:after="0" w:line="300" w:lineRule="atLeast"/>
        <w:jc w:val="both"/>
        <w:rPr>
          <w:rFonts w:ascii="Times New Roman" w:eastAsia="Times New Roman" w:hAnsi="Times New Roman" w:cs="Times New Roman"/>
          <w:sz w:val="24"/>
          <w:szCs w:val="24"/>
          <w:lang w:eastAsia="pl-PL"/>
        </w:rPr>
      </w:pPr>
      <w:r w:rsidRPr="00D90602">
        <w:rPr>
          <w:rFonts w:ascii="Times New Roman" w:hAnsi="Times New Roman" w:cs="Times New Roman"/>
          <w:bCs/>
          <w:sz w:val="24"/>
          <w:szCs w:val="24"/>
        </w:rPr>
        <w:t xml:space="preserve">10 kontroli przed sporządzeniem opinii WIOŚ na podstawie art. 5 ust. 1 pkt 1 ustawy </w:t>
      </w:r>
      <w:r w:rsidR="003E0809">
        <w:rPr>
          <w:rFonts w:ascii="Times New Roman" w:hAnsi="Times New Roman" w:cs="Times New Roman"/>
          <w:bCs/>
          <w:sz w:val="24"/>
          <w:szCs w:val="24"/>
        </w:rPr>
        <w:br/>
      </w:r>
      <w:r w:rsidRPr="00D90602">
        <w:rPr>
          <w:rFonts w:ascii="Times New Roman" w:hAnsi="Times New Roman" w:cs="Times New Roman"/>
          <w:bCs/>
          <w:sz w:val="24"/>
          <w:szCs w:val="24"/>
        </w:rPr>
        <w:t>o międzynarodowym przemieszczaniu odpadów</w:t>
      </w:r>
      <w:r w:rsidR="00895F16" w:rsidRPr="00D90602">
        <w:rPr>
          <w:rFonts w:ascii="Times New Roman" w:eastAsia="Times New Roman" w:hAnsi="Times New Roman" w:cs="Times New Roman"/>
          <w:sz w:val="24"/>
          <w:szCs w:val="24"/>
          <w:lang w:eastAsia="pl-PL"/>
        </w:rPr>
        <w:t>.</w:t>
      </w:r>
    </w:p>
    <w:p w14:paraId="4F34CDAD" w14:textId="77777777" w:rsidR="00895F16" w:rsidRPr="007F400A" w:rsidRDefault="00895F16" w:rsidP="00056EE7">
      <w:pPr>
        <w:spacing w:after="0" w:line="300" w:lineRule="atLeast"/>
        <w:jc w:val="both"/>
        <w:rPr>
          <w:rFonts w:ascii="Times New Roman" w:eastAsia="Times New Roman" w:hAnsi="Times New Roman" w:cs="Times New Roman"/>
          <w:sz w:val="24"/>
          <w:szCs w:val="24"/>
          <w:lang w:eastAsia="pl-PL"/>
        </w:rPr>
      </w:pPr>
      <w:r w:rsidRPr="007F400A">
        <w:rPr>
          <w:rFonts w:ascii="Times New Roman" w:eastAsia="Times New Roman" w:hAnsi="Times New Roman" w:cs="Times New Roman"/>
          <w:sz w:val="24"/>
          <w:szCs w:val="24"/>
          <w:lang w:eastAsia="pl-PL"/>
        </w:rPr>
        <w:t>W wyniku kontroli stwierdzono:</w:t>
      </w:r>
    </w:p>
    <w:p w14:paraId="4C24C626" w14:textId="77777777" w:rsidR="00CB6E36" w:rsidRPr="00CB6E36" w:rsidRDefault="00CB6E36" w:rsidP="00D34F97">
      <w:pPr>
        <w:numPr>
          <w:ilvl w:val="0"/>
          <w:numId w:val="55"/>
        </w:numPr>
        <w:spacing w:after="0" w:line="300" w:lineRule="atLeast"/>
        <w:contextualSpacing/>
        <w:jc w:val="both"/>
        <w:rPr>
          <w:rFonts w:ascii="Times New Roman" w:hAnsi="Times New Roman" w:cs="Times New Roman"/>
          <w:bCs/>
          <w:sz w:val="24"/>
          <w:szCs w:val="24"/>
        </w:rPr>
      </w:pPr>
      <w:r w:rsidRPr="00CB6E36">
        <w:rPr>
          <w:rFonts w:ascii="Times New Roman" w:hAnsi="Times New Roman" w:cs="Times New Roman"/>
          <w:bCs/>
          <w:sz w:val="24"/>
          <w:szCs w:val="24"/>
        </w:rPr>
        <w:t>52 przypadki nielegalnie przemieszczanych odpadów;</w:t>
      </w:r>
    </w:p>
    <w:p w14:paraId="39D27E84" w14:textId="77777777" w:rsidR="00CB6E36" w:rsidRPr="00CB6E36" w:rsidRDefault="00CB6E36" w:rsidP="00D34F97">
      <w:pPr>
        <w:numPr>
          <w:ilvl w:val="0"/>
          <w:numId w:val="55"/>
        </w:numPr>
        <w:spacing w:after="0" w:line="300" w:lineRule="atLeast"/>
        <w:contextualSpacing/>
        <w:jc w:val="both"/>
        <w:rPr>
          <w:rFonts w:ascii="Times New Roman" w:hAnsi="Times New Roman" w:cs="Times New Roman"/>
          <w:bCs/>
          <w:sz w:val="24"/>
          <w:szCs w:val="24"/>
        </w:rPr>
      </w:pPr>
      <w:r w:rsidRPr="00CB6E36">
        <w:rPr>
          <w:rFonts w:ascii="Times New Roman" w:hAnsi="Times New Roman" w:cs="Times New Roman"/>
          <w:bCs/>
          <w:sz w:val="24"/>
          <w:szCs w:val="24"/>
        </w:rPr>
        <w:t>1 naruszenie przestrzegania warunków decyzji Głównego Inspektora Ochrony Środowiska w zakresie międzynarodowego przemieszczania odpadów;</w:t>
      </w:r>
    </w:p>
    <w:p w14:paraId="5B4C5835" w14:textId="77777777" w:rsidR="00CB6E36" w:rsidRPr="00CB6E36" w:rsidRDefault="00CB6E36" w:rsidP="00D34F97">
      <w:pPr>
        <w:numPr>
          <w:ilvl w:val="0"/>
          <w:numId w:val="55"/>
        </w:numPr>
        <w:spacing w:after="0" w:line="300" w:lineRule="atLeast"/>
        <w:contextualSpacing/>
        <w:jc w:val="both"/>
        <w:rPr>
          <w:rFonts w:ascii="Times New Roman" w:hAnsi="Times New Roman" w:cs="Times New Roman"/>
          <w:bCs/>
          <w:sz w:val="24"/>
          <w:szCs w:val="24"/>
        </w:rPr>
      </w:pPr>
      <w:r w:rsidRPr="00CB6E36">
        <w:rPr>
          <w:rFonts w:ascii="Times New Roman" w:hAnsi="Times New Roman" w:cs="Times New Roman"/>
          <w:bCs/>
          <w:sz w:val="24"/>
          <w:szCs w:val="24"/>
        </w:rPr>
        <w:t>95 naruszeń przepisów dotyczących gospodarowania odpadami oraz warunków posiadanych decyzji w zakresie gospodarki odpadami;</w:t>
      </w:r>
    </w:p>
    <w:p w14:paraId="251CD999" w14:textId="1AE0C352" w:rsidR="00895F16" w:rsidRPr="007F400A" w:rsidRDefault="00CB6E36" w:rsidP="00D34F97">
      <w:pPr>
        <w:numPr>
          <w:ilvl w:val="0"/>
          <w:numId w:val="55"/>
        </w:numPr>
        <w:spacing w:after="0" w:line="300" w:lineRule="atLeast"/>
        <w:ind w:left="714" w:hanging="357"/>
        <w:jc w:val="both"/>
        <w:rPr>
          <w:rFonts w:ascii="Times New Roman" w:eastAsia="Times New Roman" w:hAnsi="Times New Roman" w:cs="Times New Roman"/>
          <w:sz w:val="24"/>
          <w:szCs w:val="24"/>
          <w:lang w:eastAsia="pl-PL"/>
        </w:rPr>
      </w:pPr>
      <w:r w:rsidRPr="00CB6E36">
        <w:rPr>
          <w:rFonts w:ascii="Times New Roman" w:hAnsi="Times New Roman" w:cs="Times New Roman"/>
          <w:bCs/>
          <w:sz w:val="24"/>
          <w:szCs w:val="24"/>
        </w:rPr>
        <w:t>117 naruszeń przepisów dotyczących międzynarodowego przemieszczania odpadów</w:t>
      </w:r>
      <w:r w:rsidR="00895F16" w:rsidRPr="007F400A">
        <w:rPr>
          <w:rFonts w:ascii="Times New Roman" w:eastAsia="Times New Roman" w:hAnsi="Times New Roman" w:cs="Times New Roman"/>
          <w:sz w:val="24"/>
          <w:szCs w:val="24"/>
          <w:lang w:eastAsia="pl-PL"/>
        </w:rPr>
        <w:t>.</w:t>
      </w:r>
    </w:p>
    <w:p w14:paraId="5ED48258" w14:textId="77777777" w:rsidR="00895F16" w:rsidRPr="007F400A" w:rsidRDefault="00895F16" w:rsidP="003E0809">
      <w:pPr>
        <w:spacing w:after="0" w:line="300" w:lineRule="atLeast"/>
        <w:ind w:firstLine="567"/>
        <w:jc w:val="both"/>
        <w:rPr>
          <w:rFonts w:ascii="Times New Roman" w:eastAsia="Times New Roman" w:hAnsi="Times New Roman" w:cs="Times New Roman"/>
          <w:sz w:val="24"/>
          <w:szCs w:val="24"/>
          <w:lang w:eastAsia="pl-PL"/>
        </w:rPr>
      </w:pPr>
      <w:r w:rsidRPr="007F400A">
        <w:rPr>
          <w:rFonts w:ascii="Times New Roman" w:eastAsia="Times New Roman" w:hAnsi="Times New Roman" w:cs="Times New Roman"/>
          <w:sz w:val="24"/>
          <w:szCs w:val="24"/>
          <w:lang w:eastAsia="pl-PL"/>
        </w:rPr>
        <w:t xml:space="preserve">W wyniku stwierdzonych nieprawidłowości, wojewódzcy inspektorzy ochrony środowiska, w ramach działań pokontrolnych: </w:t>
      </w:r>
    </w:p>
    <w:p w14:paraId="4690EB8F" w14:textId="77777777" w:rsidR="00CB6E36" w:rsidRPr="00CB6E36" w:rsidRDefault="00CB6E36" w:rsidP="00D34F97">
      <w:pPr>
        <w:numPr>
          <w:ilvl w:val="0"/>
          <w:numId w:val="56"/>
        </w:numPr>
        <w:spacing w:after="0" w:line="300" w:lineRule="atLeast"/>
        <w:ind w:left="714" w:hanging="357"/>
        <w:contextualSpacing/>
        <w:jc w:val="both"/>
        <w:rPr>
          <w:rFonts w:ascii="Times New Roman" w:hAnsi="Times New Roman" w:cs="Times New Roman"/>
          <w:bCs/>
          <w:sz w:val="24"/>
          <w:szCs w:val="24"/>
        </w:rPr>
      </w:pPr>
      <w:r w:rsidRPr="00CB6E36">
        <w:rPr>
          <w:rFonts w:ascii="Times New Roman" w:hAnsi="Times New Roman" w:cs="Times New Roman"/>
          <w:bCs/>
          <w:sz w:val="24"/>
          <w:szCs w:val="24"/>
        </w:rPr>
        <w:t>wydali 89 zarządzeń pokontrolnych;</w:t>
      </w:r>
    </w:p>
    <w:p w14:paraId="40A9A883" w14:textId="77777777" w:rsidR="00CB6E36" w:rsidRPr="00CB6E36" w:rsidRDefault="00CB6E36" w:rsidP="00D34F97">
      <w:pPr>
        <w:numPr>
          <w:ilvl w:val="0"/>
          <w:numId w:val="56"/>
        </w:numPr>
        <w:spacing w:after="0" w:line="300" w:lineRule="atLeast"/>
        <w:ind w:left="714" w:hanging="357"/>
        <w:contextualSpacing/>
        <w:jc w:val="both"/>
        <w:rPr>
          <w:rFonts w:ascii="Times New Roman" w:hAnsi="Times New Roman" w:cs="Times New Roman"/>
          <w:bCs/>
          <w:sz w:val="24"/>
          <w:szCs w:val="24"/>
        </w:rPr>
      </w:pPr>
      <w:r w:rsidRPr="00CB6E36">
        <w:rPr>
          <w:rFonts w:ascii="Times New Roman" w:hAnsi="Times New Roman" w:cs="Times New Roman"/>
          <w:bCs/>
          <w:sz w:val="24"/>
          <w:szCs w:val="24"/>
        </w:rPr>
        <w:t>skierowali 60 wniosków do innych organów (m.in. skierowano wystąpienia do urzędów celno-skarbowych, GIOŚ, Inspekcji Nadzoru Budowlanego, marszałków województw, starostów, wójtów gmin, Regionalnego Zarządu Gospodarki Wodnej);</w:t>
      </w:r>
    </w:p>
    <w:p w14:paraId="47B28214" w14:textId="77777777" w:rsidR="00CB6E36" w:rsidRPr="00CB6E36" w:rsidRDefault="00CB6E36" w:rsidP="00D34F97">
      <w:pPr>
        <w:numPr>
          <w:ilvl w:val="0"/>
          <w:numId w:val="56"/>
        </w:numPr>
        <w:spacing w:after="0" w:line="300" w:lineRule="atLeast"/>
        <w:ind w:left="714" w:hanging="357"/>
        <w:contextualSpacing/>
        <w:jc w:val="both"/>
        <w:rPr>
          <w:rFonts w:ascii="Times New Roman" w:hAnsi="Times New Roman" w:cs="Times New Roman"/>
          <w:bCs/>
          <w:sz w:val="24"/>
          <w:szCs w:val="24"/>
        </w:rPr>
      </w:pPr>
      <w:r w:rsidRPr="00CB6E36">
        <w:rPr>
          <w:rFonts w:ascii="Times New Roman" w:hAnsi="Times New Roman" w:cs="Times New Roman"/>
          <w:bCs/>
          <w:sz w:val="24"/>
          <w:szCs w:val="24"/>
        </w:rPr>
        <w:t>skierowali 22 wnioski do prokuratury;</w:t>
      </w:r>
    </w:p>
    <w:p w14:paraId="77B2B275" w14:textId="263526F6" w:rsidR="00895F16" w:rsidRPr="00CB6E36" w:rsidRDefault="00CB6E36" w:rsidP="00D34F97">
      <w:pPr>
        <w:numPr>
          <w:ilvl w:val="0"/>
          <w:numId w:val="56"/>
        </w:numPr>
        <w:spacing w:after="0" w:line="300" w:lineRule="atLeast"/>
        <w:jc w:val="both"/>
        <w:rPr>
          <w:rFonts w:ascii="Times New Roman" w:eastAsia="Times New Roman" w:hAnsi="Times New Roman" w:cs="Times New Roman"/>
          <w:sz w:val="24"/>
          <w:szCs w:val="24"/>
          <w:lang w:eastAsia="pl-PL"/>
        </w:rPr>
      </w:pPr>
      <w:r w:rsidRPr="00CB6E36">
        <w:rPr>
          <w:rFonts w:ascii="Times New Roman" w:hAnsi="Times New Roman" w:cs="Times New Roman"/>
          <w:bCs/>
          <w:sz w:val="24"/>
          <w:szCs w:val="24"/>
        </w:rPr>
        <w:t>w 63 przypadkach podjęto inne działania pokontrolne, takie jak wystawienie mandatów, wystosowanie pouczeń, wszczęcie postępowań, nałożenie kary pieniężnej, powiadomienia do GIOŚ</w:t>
      </w:r>
      <w:r w:rsidR="00895F16" w:rsidRPr="00CB6E36">
        <w:rPr>
          <w:rFonts w:ascii="Times New Roman" w:eastAsia="Times New Roman" w:hAnsi="Times New Roman" w:cs="Times New Roman"/>
          <w:sz w:val="24"/>
          <w:szCs w:val="24"/>
          <w:lang w:eastAsia="pl-PL"/>
        </w:rPr>
        <w:t>.</w:t>
      </w:r>
    </w:p>
    <w:p w14:paraId="1D75218D" w14:textId="77777777" w:rsidR="00895F16" w:rsidRPr="007F400A" w:rsidRDefault="00895F16" w:rsidP="00056EE7">
      <w:pPr>
        <w:spacing w:after="0" w:line="300" w:lineRule="atLeast"/>
        <w:ind w:left="714"/>
        <w:jc w:val="both"/>
        <w:rPr>
          <w:rFonts w:ascii="Times New Roman" w:eastAsia="Times New Roman" w:hAnsi="Times New Roman" w:cs="Times New Roman"/>
          <w:sz w:val="24"/>
          <w:szCs w:val="24"/>
          <w:lang w:eastAsia="pl-PL"/>
        </w:rPr>
      </w:pPr>
    </w:p>
    <w:p w14:paraId="3194D931" w14:textId="77777777" w:rsidR="00895F16" w:rsidRPr="007F400A" w:rsidRDefault="00895F16" w:rsidP="00056EE7">
      <w:pPr>
        <w:keepNext/>
        <w:spacing w:after="60" w:line="300" w:lineRule="atLeast"/>
        <w:outlineLvl w:val="0"/>
        <w:rPr>
          <w:rFonts w:ascii="Times New Roman" w:eastAsia="Times New Roman" w:hAnsi="Times New Roman" w:cs="Times New Roman"/>
          <w:b/>
          <w:bCs/>
          <w:sz w:val="24"/>
          <w:szCs w:val="24"/>
          <w:lang w:val="x-none" w:eastAsia="x-none"/>
        </w:rPr>
      </w:pPr>
      <w:bookmarkStart w:id="273" w:name="_Toc36732618"/>
      <w:bookmarkStart w:id="274" w:name="_Toc135935654"/>
      <w:r w:rsidRPr="007F400A">
        <w:rPr>
          <w:rFonts w:ascii="Times New Roman" w:eastAsia="Times New Roman" w:hAnsi="Times New Roman" w:cs="Times New Roman"/>
          <w:b/>
          <w:bCs/>
          <w:sz w:val="24"/>
          <w:szCs w:val="24"/>
          <w:lang w:val="x-none" w:eastAsia="x-none"/>
        </w:rPr>
        <w:lastRenderedPageBreak/>
        <w:t>4 Nielegalne transgraniczne przemieszczanie odpadów</w:t>
      </w:r>
      <w:bookmarkEnd w:id="273"/>
      <w:bookmarkEnd w:id="274"/>
    </w:p>
    <w:p w14:paraId="365D04C4" w14:textId="009E19B9" w:rsidR="00895F16" w:rsidRPr="007F400A" w:rsidRDefault="00895F16" w:rsidP="003E0809">
      <w:pPr>
        <w:keepNext/>
        <w:spacing w:after="120" w:line="300" w:lineRule="atLeast"/>
        <w:outlineLvl w:val="0"/>
        <w:rPr>
          <w:rFonts w:ascii="Times New Roman" w:eastAsia="Times New Roman" w:hAnsi="Times New Roman" w:cs="Times New Roman"/>
          <w:b/>
          <w:bCs/>
          <w:sz w:val="24"/>
          <w:szCs w:val="24"/>
          <w:lang w:val="x-none" w:eastAsia="x-none"/>
        </w:rPr>
      </w:pPr>
      <w:bookmarkStart w:id="275" w:name="_Toc36732619"/>
      <w:bookmarkStart w:id="276" w:name="_Toc135935655"/>
      <w:r w:rsidRPr="007F400A">
        <w:rPr>
          <w:rFonts w:ascii="Times New Roman" w:eastAsia="Times New Roman" w:hAnsi="Times New Roman" w:cs="Times New Roman"/>
          <w:b/>
          <w:bCs/>
          <w:sz w:val="24"/>
          <w:szCs w:val="24"/>
          <w:lang w:val="x-none" w:eastAsia="x-none"/>
        </w:rPr>
        <w:t xml:space="preserve">4.1. Odpady w postaci </w:t>
      </w:r>
      <w:r w:rsidR="00CB6E36">
        <w:rPr>
          <w:rFonts w:ascii="Times New Roman" w:eastAsia="Times New Roman" w:hAnsi="Times New Roman" w:cs="Times New Roman"/>
          <w:b/>
          <w:bCs/>
          <w:sz w:val="24"/>
          <w:szCs w:val="24"/>
          <w:lang w:eastAsia="x-none"/>
        </w:rPr>
        <w:t xml:space="preserve">uszkodzonych </w:t>
      </w:r>
      <w:r w:rsidRPr="007F400A">
        <w:rPr>
          <w:rFonts w:ascii="Times New Roman" w:eastAsia="Times New Roman" w:hAnsi="Times New Roman" w:cs="Times New Roman"/>
          <w:b/>
          <w:bCs/>
          <w:sz w:val="24"/>
          <w:szCs w:val="24"/>
          <w:lang w:val="x-none" w:eastAsia="x-none"/>
        </w:rPr>
        <w:t>pojazdów</w:t>
      </w:r>
      <w:bookmarkEnd w:id="275"/>
      <w:bookmarkEnd w:id="276"/>
    </w:p>
    <w:p w14:paraId="298CB67C" w14:textId="4711ECB6" w:rsidR="00895F16" w:rsidRPr="00D80274" w:rsidRDefault="00CB6E36" w:rsidP="003E0809">
      <w:pPr>
        <w:spacing w:after="0" w:line="300" w:lineRule="atLeast"/>
        <w:ind w:firstLine="567"/>
        <w:jc w:val="both"/>
        <w:rPr>
          <w:rFonts w:ascii="Times New Roman" w:hAnsi="Times New Roman" w:cs="Times New Roman"/>
          <w:sz w:val="24"/>
          <w:szCs w:val="24"/>
        </w:rPr>
      </w:pPr>
      <w:r w:rsidRPr="00D80274">
        <w:rPr>
          <w:rFonts w:ascii="Times New Roman" w:hAnsi="Times New Roman" w:cs="Times New Roman"/>
          <w:sz w:val="24"/>
          <w:szCs w:val="24"/>
        </w:rPr>
        <w:t xml:space="preserve">W 2022 r. Główny Inspektor Ochrony Środowiska otrzymał 422 zgłoszenia dotyczące nielegalnego międzynarodowego przemieszczania odpadów w postaci pojazdów, w tym </w:t>
      </w:r>
      <w:r w:rsidRPr="00D80274">
        <w:rPr>
          <w:rFonts w:ascii="Times New Roman" w:hAnsi="Times New Roman" w:cs="Times New Roman"/>
          <w:sz w:val="24"/>
          <w:szCs w:val="24"/>
        </w:rPr>
        <w:br/>
        <w:t xml:space="preserve">w 34 przypadkach ww. zgłoszeń dokonali wojewódzcy inspektorzy ochrony środowiska </w:t>
      </w:r>
      <w:r w:rsidRPr="00D80274">
        <w:rPr>
          <w:rFonts w:ascii="Times New Roman" w:hAnsi="Times New Roman" w:cs="Times New Roman"/>
          <w:sz w:val="24"/>
          <w:szCs w:val="24"/>
        </w:rPr>
        <w:br/>
        <w:t>w wyniku przeprowadzanych kontroli podmiotów gospodarczych</w:t>
      </w:r>
      <w:r w:rsidR="00895F16" w:rsidRPr="00D80274">
        <w:rPr>
          <w:rFonts w:ascii="Times New Roman" w:hAnsi="Times New Roman" w:cs="Times New Roman"/>
          <w:sz w:val="24"/>
          <w:szCs w:val="24"/>
        </w:rPr>
        <w:t xml:space="preserve">. </w:t>
      </w:r>
    </w:p>
    <w:p w14:paraId="057FABCE" w14:textId="77777777" w:rsidR="00CB6E36" w:rsidRDefault="00CB6E36" w:rsidP="00056EE7">
      <w:pPr>
        <w:spacing w:line="300" w:lineRule="atLeast"/>
        <w:ind w:firstLine="567"/>
        <w:jc w:val="both"/>
        <w:rPr>
          <w:sz w:val="24"/>
          <w:szCs w:val="24"/>
        </w:rPr>
      </w:pPr>
    </w:p>
    <w:p w14:paraId="0DEEB73C" w14:textId="333BBD83" w:rsidR="00CB6E36" w:rsidRDefault="00CB6E36" w:rsidP="00056EE7">
      <w:pPr>
        <w:spacing w:line="300" w:lineRule="atLeast"/>
        <w:jc w:val="both"/>
        <w:rPr>
          <w:sz w:val="24"/>
          <w:szCs w:val="24"/>
        </w:rPr>
      </w:pPr>
      <w:r>
        <w:rPr>
          <w:noProof/>
          <w:lang w:eastAsia="pl-PL"/>
        </w:rPr>
        <w:drawing>
          <wp:inline distT="0" distB="0" distL="0" distR="0" wp14:anchorId="2B95C1D7" wp14:editId="4B3553F5">
            <wp:extent cx="2800350" cy="2105025"/>
            <wp:effectExtent l="38100" t="38100" r="38100" b="47625"/>
            <wp:docPr id="493" name="Obraz 493" descr="Zdjęcie - Odpady w postaci uszkodzonych pojazdów i części pojazdów&#10;ujawnione przez służby kontrolne w 2022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Obraz 493" descr="Zdjęcie - Odpady w postaci uszkodzonych pojazdów i części pojazdów&#10;ujawnione przez służby kontrolne w 2022 r.&#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00350" cy="2105025"/>
                    </a:xfrm>
                    <a:prstGeom prst="rect">
                      <a:avLst/>
                    </a:prstGeom>
                    <a:noFill/>
                    <a:ln w="28575" cmpd="sng">
                      <a:solidFill>
                        <a:srgbClr val="000000"/>
                      </a:solidFill>
                      <a:miter lim="800000"/>
                      <a:headEnd/>
                      <a:tailEnd/>
                    </a:ln>
                    <a:effectLst/>
                  </pic:spPr>
                </pic:pic>
              </a:graphicData>
            </a:graphic>
          </wp:inline>
        </w:drawing>
      </w:r>
      <w:r>
        <w:rPr>
          <w:noProof/>
        </w:rPr>
        <w:t xml:space="preserve"> </w:t>
      </w:r>
      <w:r>
        <w:rPr>
          <w:noProof/>
          <w:lang w:eastAsia="pl-PL"/>
        </w:rPr>
        <w:drawing>
          <wp:inline distT="0" distB="0" distL="0" distR="0" wp14:anchorId="2B3A30F8" wp14:editId="5C8767B5">
            <wp:extent cx="2781300" cy="2105025"/>
            <wp:effectExtent l="38100" t="38100" r="38100" b="47625"/>
            <wp:docPr id="472" name="Obraz 472" descr="Zdjęcie - Odpady w postaci uszkodzonych pojazdów i części pojazdów&#10;ujawnione przez służby kontrolne w 2022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Obraz 472" descr="Zdjęcie - Odpady w postaci uszkodzonych pojazdów i części pojazdów&#10;ujawnione przez służby kontrolne w 2022 r.&#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81300" cy="2105025"/>
                    </a:xfrm>
                    <a:prstGeom prst="rect">
                      <a:avLst/>
                    </a:prstGeom>
                    <a:noFill/>
                    <a:ln w="28575" cmpd="sng">
                      <a:solidFill>
                        <a:srgbClr val="000000"/>
                      </a:solidFill>
                      <a:miter lim="800000"/>
                      <a:headEnd/>
                      <a:tailEnd/>
                    </a:ln>
                    <a:effectLst/>
                  </pic:spPr>
                </pic:pic>
              </a:graphicData>
            </a:graphic>
          </wp:inline>
        </w:drawing>
      </w:r>
    </w:p>
    <w:p w14:paraId="078C9F8A" w14:textId="16558959" w:rsidR="00CB6E36" w:rsidRDefault="00CB6E36" w:rsidP="00056EE7">
      <w:pPr>
        <w:spacing w:after="0" w:line="300" w:lineRule="atLeast"/>
        <w:jc w:val="both"/>
        <w:rPr>
          <w:rFonts w:ascii="Times New Roman" w:hAnsi="Times New Roman" w:cs="Times New Roman"/>
          <w:sz w:val="24"/>
          <w:szCs w:val="24"/>
        </w:rPr>
      </w:pPr>
      <w:r>
        <w:rPr>
          <w:noProof/>
          <w:lang w:eastAsia="pl-PL"/>
        </w:rPr>
        <w:drawing>
          <wp:inline distT="0" distB="0" distL="0" distR="0" wp14:anchorId="03F28DB2" wp14:editId="419339EC">
            <wp:extent cx="2762250" cy="2076450"/>
            <wp:effectExtent l="38100" t="38100" r="38100" b="38100"/>
            <wp:docPr id="506" name="Obraz 506" descr="Zdjęcie - Odpady w postaci uszkodzonych pojazdów i części pojazdów&#10;ujawnione przez służby kontrolne w 2022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Obraz 506" descr="Zdjęcie - Odpady w postaci uszkodzonych pojazdów i części pojazdów&#10;ujawnione przez służby kontrolne w 2022 r.&#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62250" cy="2076450"/>
                    </a:xfrm>
                    <a:prstGeom prst="rect">
                      <a:avLst/>
                    </a:prstGeom>
                    <a:noFill/>
                    <a:ln w="28575" cmpd="sng">
                      <a:solidFill>
                        <a:srgbClr val="000000"/>
                      </a:solidFill>
                      <a:miter lim="800000"/>
                      <a:headEnd/>
                      <a:tailEnd/>
                    </a:ln>
                    <a:effectLst/>
                  </pic:spPr>
                </pic:pic>
              </a:graphicData>
            </a:graphic>
          </wp:inline>
        </w:drawing>
      </w:r>
      <w:r>
        <w:rPr>
          <w:noProof/>
        </w:rPr>
        <w:t xml:space="preserve"> </w:t>
      </w:r>
      <w:r w:rsidR="00D80274">
        <w:rPr>
          <w:noProof/>
          <w:lang w:eastAsia="pl-PL"/>
        </w:rPr>
        <w:drawing>
          <wp:inline distT="0" distB="0" distL="0" distR="0" wp14:anchorId="194CAA5C" wp14:editId="28EF71A9">
            <wp:extent cx="2809875" cy="2076450"/>
            <wp:effectExtent l="38100" t="38100" r="47625" b="38100"/>
            <wp:docPr id="507" name="Obraz 507" descr="Zdjęcie - Odpady w postaci uszkodzonych pojazdów i części pojazdów&#10;ujawnione przez służby kontrolne w 2022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Obraz 507" descr="Zdjęcie - Odpady w postaci uszkodzonych pojazdów i części pojazdów&#10;ujawnione przez służby kontrolne w 2022 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09875" cy="2076450"/>
                    </a:xfrm>
                    <a:prstGeom prst="rect">
                      <a:avLst/>
                    </a:prstGeom>
                    <a:noFill/>
                    <a:ln w="28575" cmpd="sng">
                      <a:solidFill>
                        <a:srgbClr val="000000"/>
                      </a:solidFill>
                      <a:miter lim="800000"/>
                      <a:headEnd/>
                      <a:tailEnd/>
                    </a:ln>
                    <a:effectLst/>
                  </pic:spPr>
                </pic:pic>
              </a:graphicData>
            </a:graphic>
          </wp:inline>
        </w:drawing>
      </w:r>
    </w:p>
    <w:p w14:paraId="48991BD0" w14:textId="34CCCD82" w:rsidR="00CB6E36" w:rsidRDefault="00CB6E36" w:rsidP="00056EE7">
      <w:pPr>
        <w:spacing w:after="0" w:line="300" w:lineRule="atLeast"/>
        <w:ind w:firstLine="567"/>
        <w:jc w:val="both"/>
        <w:rPr>
          <w:rFonts w:ascii="Times New Roman" w:hAnsi="Times New Roman" w:cs="Times New Roman"/>
          <w:sz w:val="24"/>
          <w:szCs w:val="24"/>
        </w:rPr>
      </w:pPr>
    </w:p>
    <w:p w14:paraId="0E1A5248" w14:textId="3EA546C3" w:rsidR="00D80274" w:rsidRPr="00D80274" w:rsidRDefault="00D80274" w:rsidP="00056EE7">
      <w:pPr>
        <w:spacing w:after="0" w:line="300" w:lineRule="atLeast"/>
        <w:jc w:val="center"/>
        <w:rPr>
          <w:rFonts w:ascii="Times New Roman" w:hAnsi="Times New Roman" w:cs="Times New Roman"/>
          <w:b/>
        </w:rPr>
      </w:pPr>
      <w:r>
        <w:rPr>
          <w:rFonts w:ascii="Times New Roman" w:hAnsi="Times New Roman" w:cs="Times New Roman"/>
          <w:b/>
        </w:rPr>
        <w:t xml:space="preserve">Zdjęcia </w:t>
      </w:r>
      <w:r w:rsidR="00DC1AC2">
        <w:rPr>
          <w:rFonts w:ascii="Times New Roman" w:hAnsi="Times New Roman" w:cs="Times New Roman"/>
          <w:b/>
        </w:rPr>
        <w:t>10</w:t>
      </w:r>
      <w:r>
        <w:rPr>
          <w:rFonts w:ascii="Times New Roman" w:hAnsi="Times New Roman" w:cs="Times New Roman"/>
          <w:b/>
        </w:rPr>
        <w:t>-1</w:t>
      </w:r>
      <w:r w:rsidR="00DC1AC2">
        <w:rPr>
          <w:rFonts w:ascii="Times New Roman" w:hAnsi="Times New Roman" w:cs="Times New Roman"/>
          <w:b/>
        </w:rPr>
        <w:t>3</w:t>
      </w:r>
      <w:r>
        <w:rPr>
          <w:rFonts w:ascii="Times New Roman" w:hAnsi="Times New Roman" w:cs="Times New Roman"/>
          <w:b/>
        </w:rPr>
        <w:t xml:space="preserve">. </w:t>
      </w:r>
      <w:r w:rsidRPr="00D80274">
        <w:rPr>
          <w:rFonts w:ascii="Times New Roman" w:hAnsi="Times New Roman" w:cs="Times New Roman"/>
          <w:b/>
        </w:rPr>
        <w:t>Odpady w postaci uszkodzonych pojazdów i części pojazdów</w:t>
      </w:r>
    </w:p>
    <w:p w14:paraId="2FF4D0FD" w14:textId="520AF960" w:rsidR="00CB6E36" w:rsidRPr="00D80274" w:rsidRDefault="00D80274" w:rsidP="00056EE7">
      <w:pPr>
        <w:spacing w:after="0" w:line="300" w:lineRule="atLeast"/>
        <w:ind w:firstLine="567"/>
        <w:jc w:val="center"/>
        <w:rPr>
          <w:rFonts w:ascii="Times New Roman" w:hAnsi="Times New Roman" w:cs="Times New Roman"/>
          <w:sz w:val="24"/>
          <w:szCs w:val="24"/>
        </w:rPr>
      </w:pPr>
      <w:r w:rsidRPr="00D80274">
        <w:rPr>
          <w:rFonts w:ascii="Times New Roman" w:hAnsi="Times New Roman" w:cs="Times New Roman"/>
          <w:b/>
        </w:rPr>
        <w:t>ujawnione przez służby kontrolne w 2022 r</w:t>
      </w:r>
      <w:r>
        <w:rPr>
          <w:rFonts w:ascii="Times New Roman" w:hAnsi="Times New Roman" w:cs="Times New Roman"/>
          <w:b/>
        </w:rPr>
        <w:t>.</w:t>
      </w:r>
    </w:p>
    <w:p w14:paraId="199606F6" w14:textId="77777777" w:rsidR="00CB6E36" w:rsidRPr="007F400A" w:rsidRDefault="00CB6E36" w:rsidP="00056EE7">
      <w:pPr>
        <w:spacing w:after="0" w:line="300" w:lineRule="atLeast"/>
        <w:ind w:firstLine="567"/>
        <w:jc w:val="center"/>
        <w:rPr>
          <w:rFonts w:ascii="Times New Roman" w:hAnsi="Times New Roman" w:cs="Times New Roman"/>
          <w:sz w:val="24"/>
          <w:szCs w:val="24"/>
        </w:rPr>
      </w:pPr>
    </w:p>
    <w:p w14:paraId="69E6A7BB" w14:textId="3CE9EDAC" w:rsidR="00895F16" w:rsidRPr="007F400A" w:rsidRDefault="00895F16" w:rsidP="00056EE7">
      <w:pPr>
        <w:spacing w:line="300" w:lineRule="atLeast"/>
        <w:jc w:val="both"/>
        <w:rPr>
          <w:sz w:val="24"/>
          <w:szCs w:val="24"/>
        </w:rPr>
      </w:pPr>
      <w:r w:rsidRPr="007F400A">
        <w:rPr>
          <w:noProof/>
        </w:rPr>
        <w:t xml:space="preserve"> </w:t>
      </w:r>
    </w:p>
    <w:p w14:paraId="50BDAE5D" w14:textId="24CD0862" w:rsidR="00895F16" w:rsidRPr="007F400A" w:rsidRDefault="00895F16" w:rsidP="00056EE7">
      <w:pPr>
        <w:spacing w:line="300" w:lineRule="atLeast"/>
        <w:jc w:val="both"/>
        <w:rPr>
          <w:sz w:val="24"/>
          <w:szCs w:val="24"/>
        </w:rPr>
      </w:pPr>
      <w:r w:rsidRPr="007F400A">
        <w:rPr>
          <w:sz w:val="24"/>
          <w:szCs w:val="24"/>
        </w:rPr>
        <w:t xml:space="preserve"> </w:t>
      </w:r>
    </w:p>
    <w:p w14:paraId="74808ADB" w14:textId="77777777" w:rsidR="00D80274" w:rsidRPr="00D80274" w:rsidRDefault="00D80274" w:rsidP="00DC1AC2">
      <w:pPr>
        <w:spacing w:after="0" w:line="300" w:lineRule="atLeast"/>
        <w:ind w:firstLine="567"/>
        <w:jc w:val="both"/>
        <w:rPr>
          <w:rFonts w:ascii="Times New Roman" w:hAnsi="Times New Roman" w:cs="Times New Roman"/>
          <w:color w:val="000000" w:themeColor="text1"/>
          <w:sz w:val="24"/>
          <w:szCs w:val="24"/>
        </w:rPr>
      </w:pPr>
      <w:r w:rsidRPr="00D80274">
        <w:rPr>
          <w:rFonts w:ascii="Times New Roman" w:hAnsi="Times New Roman" w:cs="Times New Roman"/>
          <w:color w:val="000000" w:themeColor="text1"/>
          <w:sz w:val="24"/>
          <w:szCs w:val="24"/>
        </w:rPr>
        <w:t xml:space="preserve">Liczba zawiadomień o nielegalnym przemieszczaniu odpadów, w odniesieniu do poprzedniego okresu sprawozdawczego, spadła z 535 zgłoszeń w 2021 r. do 422 w roku 2022. W 192 przypadkach Główny Inspektor podjął z urzędu czynności dotyczące określenia sposobu gospodarowania nielegalnie przemieszczonymi odpadami lub zwrotu odpadów do państwa wysyłki i czynności te dotyczyły 703 sztuk pojazdów oraz ok. 216 Mg części samochodowych.  </w:t>
      </w:r>
    </w:p>
    <w:p w14:paraId="6617E09E" w14:textId="025BD8B7" w:rsidR="00895F16" w:rsidRPr="00D80274" w:rsidRDefault="00D80274" w:rsidP="00056EE7">
      <w:pPr>
        <w:spacing w:after="0" w:line="300" w:lineRule="atLeast"/>
        <w:ind w:firstLine="567"/>
        <w:jc w:val="both"/>
        <w:rPr>
          <w:rFonts w:ascii="Times New Roman" w:hAnsi="Times New Roman" w:cs="Times New Roman"/>
          <w:color w:val="000000" w:themeColor="text1"/>
          <w:sz w:val="24"/>
          <w:szCs w:val="24"/>
        </w:rPr>
      </w:pPr>
      <w:r w:rsidRPr="00D80274">
        <w:rPr>
          <w:rFonts w:ascii="Times New Roman" w:hAnsi="Times New Roman" w:cs="Times New Roman"/>
          <w:color w:val="000000" w:themeColor="text1"/>
          <w:sz w:val="24"/>
          <w:szCs w:val="24"/>
        </w:rPr>
        <w:t xml:space="preserve">Najwięcej przypadków nielegalnego przemieszczania dotyczyło przywozu odpadów. Liczba tych przypadków wyniosła 171 i objęła 695 sztuk pojazdów oraz ok. 50 Mg części </w:t>
      </w:r>
      <w:r w:rsidRPr="00D80274">
        <w:rPr>
          <w:rFonts w:ascii="Times New Roman" w:hAnsi="Times New Roman" w:cs="Times New Roman"/>
          <w:color w:val="000000" w:themeColor="text1"/>
          <w:sz w:val="24"/>
          <w:szCs w:val="24"/>
        </w:rPr>
        <w:lastRenderedPageBreak/>
        <w:t>samochodowych. Najwięcej odpadów w postaci pojazdów zostało sprowadzonych z USA, Wielkiej Brytanii oraz Niemiec</w:t>
      </w:r>
      <w:r w:rsidR="00895F16" w:rsidRPr="00D80274">
        <w:rPr>
          <w:rFonts w:ascii="Times New Roman" w:hAnsi="Times New Roman" w:cs="Times New Roman"/>
          <w:color w:val="000000" w:themeColor="text1"/>
          <w:sz w:val="24"/>
          <w:szCs w:val="24"/>
        </w:rPr>
        <w:t>.</w:t>
      </w:r>
    </w:p>
    <w:p w14:paraId="3D10FADF" w14:textId="38DDDC3D" w:rsidR="00895F16" w:rsidRPr="007F400A" w:rsidRDefault="00D80274" w:rsidP="00056EE7">
      <w:pPr>
        <w:spacing w:after="0" w:line="300" w:lineRule="atLeast"/>
        <w:ind w:firstLine="567"/>
        <w:jc w:val="both"/>
        <w:rPr>
          <w:rFonts w:ascii="Times New Roman" w:hAnsi="Times New Roman" w:cs="Times New Roman"/>
          <w:sz w:val="24"/>
          <w:szCs w:val="24"/>
        </w:rPr>
      </w:pPr>
      <w:r w:rsidRPr="00D80274">
        <w:rPr>
          <w:rFonts w:ascii="Times New Roman" w:hAnsi="Times New Roman" w:cs="Times New Roman"/>
          <w:sz w:val="24"/>
          <w:szCs w:val="24"/>
        </w:rPr>
        <w:t>Wywóz odpadów ujawniono w 11 przypadkach, które dotyczyły ok. 128 ton części samochodowych. W przypadku tranzytu przez terytorium RP ujawniono 10 nielegalnych transportów, obejmujących 8 sztuk pojazdów oraz ok. 38 Mg części samochodowych</w:t>
      </w:r>
      <w:r w:rsidR="00895F16" w:rsidRPr="007F400A">
        <w:rPr>
          <w:rFonts w:ascii="Times New Roman" w:hAnsi="Times New Roman" w:cs="Times New Roman"/>
          <w:sz w:val="24"/>
          <w:szCs w:val="24"/>
        </w:rPr>
        <w:t>.</w:t>
      </w:r>
      <w:r w:rsidR="004966BE" w:rsidRPr="007F400A">
        <w:rPr>
          <w:rFonts w:ascii="Times New Roman" w:hAnsi="Times New Roman" w:cs="Times New Roman"/>
          <w:sz w:val="24"/>
          <w:szCs w:val="24"/>
        </w:rPr>
        <w:t xml:space="preserve"> </w:t>
      </w:r>
    </w:p>
    <w:p w14:paraId="4F74FEF3" w14:textId="77777777" w:rsidR="00895F16" w:rsidRPr="007F400A" w:rsidRDefault="00895F16" w:rsidP="00056EE7">
      <w:pPr>
        <w:spacing w:after="0" w:line="300" w:lineRule="atLeast"/>
        <w:ind w:firstLine="567"/>
        <w:jc w:val="both"/>
        <w:rPr>
          <w:rFonts w:ascii="Times New Roman" w:hAnsi="Times New Roman" w:cs="Times New Roman"/>
          <w:sz w:val="24"/>
          <w:szCs w:val="24"/>
        </w:rPr>
      </w:pPr>
    </w:p>
    <w:p w14:paraId="5665841F" w14:textId="31DE9118" w:rsidR="00895F16" w:rsidRPr="007F400A" w:rsidRDefault="00D80274" w:rsidP="00056EE7">
      <w:pPr>
        <w:spacing w:after="0" w:line="300" w:lineRule="atLeast"/>
        <w:jc w:val="both"/>
        <w:rPr>
          <w:rFonts w:ascii="Times New Roman" w:hAnsi="Times New Roman" w:cs="Times New Roman"/>
          <w:sz w:val="24"/>
          <w:szCs w:val="24"/>
        </w:rPr>
      </w:pPr>
      <w:r w:rsidRPr="00ED7017">
        <w:rPr>
          <w:noProof/>
          <w:lang w:eastAsia="pl-PL"/>
        </w:rPr>
        <w:drawing>
          <wp:inline distT="0" distB="0" distL="0" distR="0" wp14:anchorId="541EC317" wp14:editId="455CB615">
            <wp:extent cx="2524125" cy="1628775"/>
            <wp:effectExtent l="0" t="0" r="0" b="0"/>
            <wp:docPr id="508" name="Wykres 508" descr="Wykres - Udział procentowy przypadków wywozu, przywozu i tranzytu odpadów w postaci pojazdów w ogólnej liczbie ujawnionych nielegalnych międzynarodowych przemieszczeń"/>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Pr="00D830BB">
        <w:rPr>
          <w:noProof/>
          <w:lang w:eastAsia="pl-PL"/>
        </w:rPr>
        <w:drawing>
          <wp:inline distT="0" distB="0" distL="0" distR="0" wp14:anchorId="125991CA" wp14:editId="256E728E">
            <wp:extent cx="3062605" cy="1593850"/>
            <wp:effectExtent l="38100" t="57150" r="42545" b="44450"/>
            <wp:docPr id="509" name="Wykres 509" descr="Wykres - Udział procentowy przypadków wywozu, przywozu i tranzytu odpadów w postaci pojazdów w ogólnej liczbie ujawnionych nielegalnych międzynarodowych przemieszczeń&#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F8A7CEB" w14:textId="44CC53C3" w:rsidR="00895F16" w:rsidRPr="007F400A" w:rsidRDefault="004966BE" w:rsidP="00056EE7">
      <w:pPr>
        <w:spacing w:after="0" w:line="300" w:lineRule="atLeast"/>
        <w:ind w:firstLine="567"/>
        <w:rPr>
          <w:rFonts w:ascii="Times New Roman" w:hAnsi="Times New Roman" w:cs="Times New Roman"/>
          <w:noProof/>
          <w:sz w:val="24"/>
          <w:szCs w:val="24"/>
        </w:rPr>
      </w:pPr>
      <w:r w:rsidRPr="007F400A">
        <w:rPr>
          <w:rFonts w:ascii="Times New Roman" w:hAnsi="Times New Roman" w:cs="Times New Roman"/>
          <w:sz w:val="24"/>
          <w:szCs w:val="24"/>
        </w:rPr>
        <w:t xml:space="preserve">  </w:t>
      </w:r>
      <w:r w:rsidRPr="007F400A">
        <w:rPr>
          <w:rFonts w:ascii="Times New Roman" w:hAnsi="Times New Roman" w:cs="Times New Roman"/>
          <w:noProof/>
          <w:sz w:val="24"/>
          <w:szCs w:val="24"/>
        </w:rPr>
        <w:t xml:space="preserve"> </w:t>
      </w:r>
    </w:p>
    <w:p w14:paraId="10F14DF8" w14:textId="3952C1DE" w:rsidR="00895F16" w:rsidRPr="00D80274" w:rsidRDefault="00C17019" w:rsidP="00056EE7">
      <w:pPr>
        <w:spacing w:after="0" w:line="300" w:lineRule="atLeast"/>
        <w:jc w:val="center"/>
        <w:rPr>
          <w:rFonts w:ascii="Times New Roman" w:hAnsi="Times New Roman" w:cs="Times New Roman"/>
          <w:b/>
          <w:sz w:val="20"/>
          <w:szCs w:val="20"/>
        </w:rPr>
      </w:pPr>
      <w:r w:rsidRPr="00DC1AC2">
        <w:rPr>
          <w:rFonts w:ascii="Times New Roman" w:hAnsi="Times New Roman" w:cs="Times New Roman"/>
          <w:b/>
        </w:rPr>
        <w:t xml:space="preserve">Wykres 16. </w:t>
      </w:r>
      <w:r w:rsidR="00D80274" w:rsidRPr="00DC1AC2">
        <w:rPr>
          <w:rFonts w:ascii="Times New Roman" w:hAnsi="Times New Roman" w:cs="Times New Roman"/>
          <w:b/>
        </w:rPr>
        <w:t>Udział procentowy przypadków wywozu, przywozu i tranzytu odpadów w postaci pojazdów</w:t>
      </w:r>
      <w:r w:rsidR="00DC1AC2">
        <w:rPr>
          <w:rFonts w:ascii="Times New Roman" w:hAnsi="Times New Roman" w:cs="Times New Roman"/>
          <w:b/>
        </w:rPr>
        <w:t xml:space="preserve"> </w:t>
      </w:r>
      <w:r w:rsidR="00D80274" w:rsidRPr="00DC1AC2">
        <w:rPr>
          <w:rFonts w:ascii="Times New Roman" w:hAnsi="Times New Roman" w:cs="Times New Roman"/>
          <w:b/>
        </w:rPr>
        <w:t>w ogólnej liczbie ujawnionych nielegalnych międzynarodowych przemieszczeń</w:t>
      </w:r>
      <w:r w:rsidR="00895F16" w:rsidRPr="00D80274">
        <w:rPr>
          <w:rFonts w:ascii="Times New Roman" w:hAnsi="Times New Roman" w:cs="Times New Roman"/>
          <w:b/>
          <w:sz w:val="20"/>
          <w:szCs w:val="20"/>
        </w:rPr>
        <w:t>.</w:t>
      </w:r>
    </w:p>
    <w:p w14:paraId="1448D5AC" w14:textId="77777777" w:rsidR="00895F16" w:rsidRPr="007F400A" w:rsidRDefault="00895F16" w:rsidP="00056EE7">
      <w:pPr>
        <w:spacing w:after="0" w:line="300" w:lineRule="atLeast"/>
        <w:ind w:firstLine="567"/>
        <w:jc w:val="both"/>
        <w:rPr>
          <w:rFonts w:ascii="Times New Roman" w:hAnsi="Times New Roman" w:cs="Times New Roman"/>
          <w:b/>
          <w:sz w:val="24"/>
          <w:szCs w:val="24"/>
        </w:rPr>
      </w:pPr>
    </w:p>
    <w:p w14:paraId="76439861" w14:textId="77777777" w:rsidR="00324F6D" w:rsidRPr="00324F6D" w:rsidRDefault="00324F6D" w:rsidP="00056EE7">
      <w:pPr>
        <w:spacing w:after="0" w:line="300" w:lineRule="atLeast"/>
        <w:ind w:firstLine="708"/>
        <w:jc w:val="both"/>
        <w:rPr>
          <w:rFonts w:ascii="Times New Roman" w:hAnsi="Times New Roman" w:cs="Times New Roman"/>
          <w:sz w:val="24"/>
          <w:szCs w:val="24"/>
        </w:rPr>
      </w:pPr>
      <w:r w:rsidRPr="00324F6D">
        <w:rPr>
          <w:rFonts w:ascii="Times New Roman" w:hAnsi="Times New Roman" w:cs="Times New Roman"/>
          <w:sz w:val="24"/>
          <w:szCs w:val="24"/>
        </w:rPr>
        <w:t xml:space="preserve">W 46 przypadkach Główny Inspektor wszczął z urzędu postępowanie administracyjne w sprawie określenia sposobu zagospodarowania odpadów na terenie kraju. Postępowania te objęły 54 sztuki pojazdów  oraz ok. 97 Mg części pojazdów. 22 sztuki pojazdów oraz ok. 1,2 Mg części ujawnili wojewódzcy inspektorzy ochrony środowiska w wyniku przeprowadzonych kontroli. </w:t>
      </w:r>
    </w:p>
    <w:p w14:paraId="4F0FD8D1" w14:textId="1A39C4BD" w:rsidR="00895F16" w:rsidRPr="00324F6D" w:rsidRDefault="00324F6D" w:rsidP="00056EE7">
      <w:pPr>
        <w:spacing w:after="0" w:line="300" w:lineRule="atLeast"/>
        <w:ind w:firstLine="567"/>
        <w:jc w:val="both"/>
        <w:rPr>
          <w:rFonts w:ascii="Times New Roman" w:eastAsia="Calibri" w:hAnsi="Times New Roman" w:cs="Times New Roman"/>
          <w:sz w:val="24"/>
          <w:szCs w:val="24"/>
          <w:lang w:eastAsia="pl-PL"/>
        </w:rPr>
      </w:pPr>
      <w:r w:rsidRPr="00324F6D">
        <w:rPr>
          <w:rFonts w:ascii="Times New Roman" w:hAnsi="Times New Roman" w:cs="Times New Roman"/>
          <w:sz w:val="24"/>
          <w:szCs w:val="24"/>
        </w:rPr>
        <w:t>W 151 przypadkach z ogólnej liczby zawiadomień Główny Inspektor prowadził czynności wyjaśniające, z których część pozostaje w toku, a w odniesieniu do pozostałych brak było możliwości wszczęcia postępowania. Natomiast w 225 przypadkach z ogólnej liczby zawiadomień Główny Inspektor stwierdził brak podstaw do uznania pojazdów za odpady</w:t>
      </w:r>
      <w:r w:rsidR="00895F16" w:rsidRPr="00324F6D">
        <w:rPr>
          <w:rFonts w:ascii="Times New Roman" w:eastAsia="Times New Roman" w:hAnsi="Times New Roman" w:cs="Times New Roman"/>
          <w:sz w:val="24"/>
          <w:szCs w:val="24"/>
          <w:lang w:eastAsia="pl-PL"/>
        </w:rPr>
        <w:t>.</w:t>
      </w:r>
    </w:p>
    <w:p w14:paraId="2DFDBA05" w14:textId="77777777" w:rsidR="00895F16" w:rsidRPr="007F400A" w:rsidRDefault="00895F16" w:rsidP="00056EE7">
      <w:pPr>
        <w:spacing w:after="0" w:line="300" w:lineRule="atLeast"/>
        <w:ind w:left="720"/>
        <w:jc w:val="both"/>
        <w:rPr>
          <w:rFonts w:ascii="Times New Roman" w:eastAsia="Calibri" w:hAnsi="Times New Roman" w:cs="Times New Roman"/>
          <w:sz w:val="24"/>
          <w:szCs w:val="24"/>
          <w:lang w:eastAsia="pl-PL"/>
        </w:rPr>
      </w:pPr>
    </w:p>
    <w:p w14:paraId="79D62176" w14:textId="77777777" w:rsidR="00895F16" w:rsidRPr="007F400A" w:rsidRDefault="00895F16" w:rsidP="00056EE7">
      <w:pPr>
        <w:keepNext/>
        <w:spacing w:after="120" w:line="300" w:lineRule="atLeast"/>
        <w:outlineLvl w:val="0"/>
        <w:rPr>
          <w:rFonts w:ascii="Times New Roman" w:eastAsia="Times New Roman" w:hAnsi="Times New Roman" w:cs="Times New Roman"/>
          <w:b/>
          <w:bCs/>
          <w:sz w:val="24"/>
          <w:szCs w:val="24"/>
          <w:lang w:val="x-none" w:eastAsia="x-none"/>
        </w:rPr>
      </w:pPr>
      <w:bookmarkStart w:id="277" w:name="_Toc36732620"/>
      <w:bookmarkStart w:id="278" w:name="_Toc135935656"/>
      <w:r w:rsidRPr="007F400A">
        <w:rPr>
          <w:rFonts w:ascii="Times New Roman" w:eastAsia="Times New Roman" w:hAnsi="Times New Roman" w:cs="Times New Roman"/>
          <w:b/>
          <w:bCs/>
          <w:sz w:val="24"/>
          <w:szCs w:val="24"/>
          <w:lang w:val="x-none" w:eastAsia="x-none"/>
        </w:rPr>
        <w:t>4.2 Pozostałe odpady</w:t>
      </w:r>
      <w:bookmarkEnd w:id="277"/>
      <w:bookmarkEnd w:id="278"/>
    </w:p>
    <w:p w14:paraId="26CEAF4B" w14:textId="7A59D54C" w:rsidR="00895F16" w:rsidRPr="00324F6D" w:rsidRDefault="00324F6D" w:rsidP="00DC1AC2">
      <w:pPr>
        <w:spacing w:after="0" w:line="300" w:lineRule="atLeast"/>
        <w:ind w:firstLine="567"/>
        <w:jc w:val="both"/>
        <w:rPr>
          <w:rFonts w:ascii="Times New Roman" w:eastAsia="Times New Roman" w:hAnsi="Times New Roman" w:cs="Times New Roman"/>
          <w:sz w:val="24"/>
          <w:szCs w:val="24"/>
          <w:lang w:eastAsia="pl-PL"/>
        </w:rPr>
      </w:pPr>
      <w:r w:rsidRPr="00324F6D">
        <w:rPr>
          <w:rFonts w:ascii="Times New Roman" w:hAnsi="Times New Roman" w:cs="Times New Roman"/>
          <w:bCs/>
          <w:sz w:val="24"/>
          <w:szCs w:val="24"/>
        </w:rPr>
        <w:t xml:space="preserve">W 2022 r. ujawniono 130 przypadków nielegalnego przemieszczania odpadów o łącznej masie 10 882,375 Mg, w tym </w:t>
      </w:r>
      <w:r w:rsidRPr="00324F6D">
        <w:rPr>
          <w:rFonts w:ascii="Times New Roman" w:eastAsia="Calibri" w:hAnsi="Times New Roman" w:cs="Times New Roman"/>
          <w:color w:val="000000"/>
          <w:sz w:val="24"/>
          <w:szCs w:val="24"/>
        </w:rPr>
        <w:t>6 248,044 Mg przywieziono w 2022 r., 3 826,768 Mg w 2021 r. i 807,559 Mg w 2020 r</w:t>
      </w:r>
      <w:r w:rsidR="00895F16" w:rsidRPr="00324F6D">
        <w:rPr>
          <w:rFonts w:ascii="Times New Roman" w:eastAsia="Times New Roman" w:hAnsi="Times New Roman" w:cs="Times New Roman"/>
          <w:sz w:val="24"/>
          <w:szCs w:val="24"/>
          <w:lang w:eastAsia="pl-PL"/>
        </w:rPr>
        <w:t>.</w:t>
      </w:r>
    </w:p>
    <w:p w14:paraId="62279ACC" w14:textId="350F9F6E" w:rsidR="00895F16" w:rsidRPr="00324F6D" w:rsidRDefault="00324F6D" w:rsidP="00056EE7">
      <w:pPr>
        <w:spacing w:after="0" w:line="300" w:lineRule="atLeast"/>
        <w:ind w:firstLine="567"/>
        <w:jc w:val="both"/>
        <w:rPr>
          <w:rFonts w:ascii="Times New Roman" w:eastAsia="Times New Roman" w:hAnsi="Times New Roman" w:cs="Times New Roman"/>
          <w:sz w:val="24"/>
          <w:szCs w:val="24"/>
          <w:lang w:eastAsia="pl-PL"/>
        </w:rPr>
      </w:pPr>
      <w:r w:rsidRPr="00324F6D">
        <w:rPr>
          <w:rFonts w:ascii="Times New Roman" w:hAnsi="Times New Roman" w:cs="Times New Roman"/>
          <w:bCs/>
          <w:sz w:val="24"/>
          <w:szCs w:val="24"/>
        </w:rPr>
        <w:t>Wśród ww. 130 przypadków nielegalnego przemieszczania odpadów odnotowano 89 przypadków nielegalnego przywozu odpadów do Polski, na łączną masę 8 676,34 Mg, w tym</w:t>
      </w:r>
      <w:r w:rsidR="00895F16" w:rsidRPr="00324F6D">
        <w:rPr>
          <w:rFonts w:ascii="Times New Roman" w:eastAsia="Times New Roman" w:hAnsi="Times New Roman" w:cs="Times New Roman"/>
          <w:sz w:val="24"/>
          <w:szCs w:val="24"/>
          <w:lang w:eastAsia="pl-PL"/>
        </w:rPr>
        <w:t>:</w:t>
      </w:r>
    </w:p>
    <w:p w14:paraId="38E8FDF7" w14:textId="77777777" w:rsidR="00AE4D16" w:rsidRDefault="00AE4D16" w:rsidP="00D34F97">
      <w:pPr>
        <w:pStyle w:val="Akapitzlist"/>
        <w:numPr>
          <w:ilvl w:val="0"/>
          <w:numId w:val="203"/>
        </w:numPr>
        <w:spacing w:line="300" w:lineRule="atLeast"/>
        <w:ind w:left="714" w:hanging="357"/>
        <w:jc w:val="both"/>
        <w:rPr>
          <w:rFonts w:eastAsia="Times New Roman"/>
          <w:sz w:val="24"/>
          <w:szCs w:val="24"/>
        </w:rPr>
      </w:pPr>
      <w:r w:rsidRPr="00AE4D16">
        <w:rPr>
          <w:bCs/>
          <w:sz w:val="24"/>
          <w:szCs w:val="24"/>
        </w:rPr>
        <w:t>49 przypadków nielegalnego przywozu odpadów z listy zielonej o łącznej masie                7 437,58 Mg. Odpady z listy zielonej zostały przywiezione do Polski bez prawidłowo wypełnionego załącznika VII do rozporządzenia (WE) nr 1013/2006</w:t>
      </w:r>
      <w:r w:rsidRPr="00AE4D16">
        <w:rPr>
          <w:sz w:val="24"/>
          <w:szCs w:val="24"/>
        </w:rPr>
        <w:t xml:space="preserve"> </w:t>
      </w:r>
      <w:r w:rsidRPr="00AE4D16">
        <w:rPr>
          <w:bCs/>
          <w:sz w:val="24"/>
          <w:szCs w:val="24"/>
        </w:rPr>
        <w:t>Parlamentu Europejskiego i Rady z dnia 14 czerwca 2006 r. w sprawie przemieszczania odpadów lub zostały wysłane do odbiorców, którzy nie mieli zezwolenia na odzysk odpadów</w:t>
      </w:r>
      <w:r w:rsidR="005E799B" w:rsidRPr="00AE4D16">
        <w:rPr>
          <w:rFonts w:eastAsia="Times New Roman"/>
          <w:sz w:val="24"/>
          <w:szCs w:val="24"/>
        </w:rPr>
        <w:t>,</w:t>
      </w:r>
    </w:p>
    <w:p w14:paraId="37359E03" w14:textId="77777777" w:rsidR="00AE4D16" w:rsidRDefault="00AE4D16" w:rsidP="00D34F97">
      <w:pPr>
        <w:pStyle w:val="Akapitzlist"/>
        <w:numPr>
          <w:ilvl w:val="0"/>
          <w:numId w:val="203"/>
        </w:numPr>
        <w:spacing w:line="300" w:lineRule="atLeast"/>
        <w:ind w:left="714" w:hanging="357"/>
        <w:jc w:val="both"/>
        <w:rPr>
          <w:rFonts w:eastAsia="Times New Roman"/>
          <w:sz w:val="24"/>
          <w:szCs w:val="24"/>
        </w:rPr>
      </w:pPr>
      <w:r w:rsidRPr="00AE4D16">
        <w:rPr>
          <w:bCs/>
          <w:sz w:val="24"/>
          <w:szCs w:val="24"/>
        </w:rPr>
        <w:t>16 przypadków nielegalnego przywozu odpadów zaklasyfikowanych jako odpady spoza listy o masie 330,416 Mg</w:t>
      </w:r>
      <w:r w:rsidR="005E799B" w:rsidRPr="00AE4D16">
        <w:rPr>
          <w:rFonts w:eastAsia="Times New Roman"/>
          <w:sz w:val="24"/>
          <w:szCs w:val="24"/>
        </w:rPr>
        <w:t>,</w:t>
      </w:r>
    </w:p>
    <w:p w14:paraId="1C00645C" w14:textId="670D8D59" w:rsidR="00AE4D16" w:rsidRPr="00AE4D16" w:rsidRDefault="00AE4D16" w:rsidP="00D34F97">
      <w:pPr>
        <w:pStyle w:val="Akapitzlist"/>
        <w:numPr>
          <w:ilvl w:val="0"/>
          <w:numId w:val="203"/>
        </w:numPr>
        <w:spacing w:line="300" w:lineRule="atLeast"/>
        <w:ind w:left="714" w:hanging="357"/>
        <w:jc w:val="both"/>
        <w:rPr>
          <w:rFonts w:eastAsia="Times New Roman"/>
          <w:sz w:val="24"/>
          <w:szCs w:val="24"/>
        </w:rPr>
      </w:pPr>
      <w:r w:rsidRPr="00AE4D16">
        <w:rPr>
          <w:bCs/>
          <w:sz w:val="24"/>
          <w:szCs w:val="24"/>
        </w:rPr>
        <w:t xml:space="preserve">23 przypadki przywozu odpadów z listy bursztynowej o łącznej masie 907,339 Mg. </w:t>
      </w:r>
      <w:r>
        <w:rPr>
          <w:bCs/>
          <w:sz w:val="24"/>
          <w:szCs w:val="24"/>
        </w:rPr>
        <w:br/>
      </w:r>
      <w:r w:rsidRPr="00AE4D16">
        <w:rPr>
          <w:bCs/>
          <w:sz w:val="24"/>
          <w:szCs w:val="24"/>
        </w:rPr>
        <w:t xml:space="preserve">W większości </w:t>
      </w:r>
      <w:r w:rsidR="00DC1AC2">
        <w:rPr>
          <w:bCs/>
          <w:sz w:val="24"/>
          <w:szCs w:val="24"/>
          <w:lang w:val="pl-PL"/>
        </w:rPr>
        <w:t xml:space="preserve">były </w:t>
      </w:r>
      <w:r w:rsidRPr="00AE4D16">
        <w:rPr>
          <w:bCs/>
          <w:sz w:val="24"/>
          <w:szCs w:val="24"/>
        </w:rPr>
        <w:t xml:space="preserve">to odpady rozdrobnionych płyt drewnopochodnych, przerobionego drewna, </w:t>
      </w:r>
      <w:proofErr w:type="spellStart"/>
      <w:r w:rsidRPr="00AE4D16">
        <w:rPr>
          <w:bCs/>
          <w:sz w:val="24"/>
          <w:szCs w:val="24"/>
        </w:rPr>
        <w:t>pelletów</w:t>
      </w:r>
      <w:proofErr w:type="spellEnd"/>
      <w:r w:rsidRPr="00AE4D16">
        <w:rPr>
          <w:bCs/>
          <w:sz w:val="24"/>
          <w:szCs w:val="24"/>
        </w:rPr>
        <w:t xml:space="preserve"> i brykietów z ligniny </w:t>
      </w:r>
      <w:proofErr w:type="spellStart"/>
      <w:r w:rsidRPr="00AE4D16">
        <w:rPr>
          <w:bCs/>
          <w:sz w:val="24"/>
          <w:szCs w:val="24"/>
        </w:rPr>
        <w:t>pohydrolitycznej</w:t>
      </w:r>
      <w:proofErr w:type="spellEnd"/>
      <w:r w:rsidRPr="00AE4D16">
        <w:rPr>
          <w:bCs/>
          <w:sz w:val="24"/>
          <w:szCs w:val="24"/>
        </w:rPr>
        <w:t xml:space="preserve"> klasyfikowane pod kodem AC170</w:t>
      </w:r>
      <w:r>
        <w:rPr>
          <w:bCs/>
          <w:sz w:val="24"/>
          <w:szCs w:val="24"/>
          <w:lang w:val="pl-PL"/>
        </w:rPr>
        <w:t xml:space="preserve">, </w:t>
      </w:r>
    </w:p>
    <w:p w14:paraId="4DB96562" w14:textId="4C87FFFF" w:rsidR="00895F16" w:rsidRPr="00AE4D16" w:rsidRDefault="00AE4D16" w:rsidP="00D34F97">
      <w:pPr>
        <w:pStyle w:val="Akapitzlist"/>
        <w:numPr>
          <w:ilvl w:val="0"/>
          <w:numId w:val="203"/>
        </w:numPr>
        <w:spacing w:after="120" w:line="300" w:lineRule="atLeast"/>
        <w:ind w:left="714" w:hanging="357"/>
        <w:contextualSpacing w:val="0"/>
        <w:jc w:val="both"/>
        <w:rPr>
          <w:rFonts w:eastAsia="Times New Roman"/>
          <w:sz w:val="24"/>
          <w:szCs w:val="24"/>
        </w:rPr>
      </w:pPr>
      <w:r w:rsidRPr="00AE4D16">
        <w:rPr>
          <w:bCs/>
          <w:sz w:val="24"/>
          <w:szCs w:val="24"/>
        </w:rPr>
        <w:lastRenderedPageBreak/>
        <w:t>1 przypadek przywozu odpadów niebezpiecznych w postaci przeterminowanych środków ochrony roślin, w ilości 1 Mg</w:t>
      </w:r>
      <w:r>
        <w:rPr>
          <w:bCs/>
          <w:sz w:val="24"/>
          <w:szCs w:val="24"/>
          <w:lang w:val="pl-PL"/>
        </w:rPr>
        <w:t>.</w:t>
      </w:r>
    </w:p>
    <w:p w14:paraId="5C734275" w14:textId="77777777" w:rsidR="00895F16" w:rsidRPr="007F400A" w:rsidRDefault="00895F16" w:rsidP="00DC1AC2">
      <w:pPr>
        <w:spacing w:after="60" w:line="300" w:lineRule="atLeast"/>
        <w:jc w:val="both"/>
        <w:rPr>
          <w:rFonts w:ascii="Times New Roman" w:eastAsia="Times New Roman" w:hAnsi="Times New Roman" w:cs="Times New Roman"/>
          <w:sz w:val="24"/>
          <w:szCs w:val="24"/>
          <w:lang w:eastAsia="pl-PL"/>
        </w:rPr>
      </w:pPr>
      <w:r w:rsidRPr="007F400A">
        <w:rPr>
          <w:rFonts w:ascii="Times New Roman" w:eastAsia="Times New Roman" w:hAnsi="Times New Roman" w:cs="Times New Roman"/>
          <w:sz w:val="24"/>
          <w:szCs w:val="24"/>
          <w:lang w:eastAsia="pl-PL"/>
        </w:rPr>
        <w:t>Ponadto stwierdzono:</w:t>
      </w:r>
    </w:p>
    <w:p w14:paraId="7FAA80B6" w14:textId="77777777" w:rsidR="00AE4D16" w:rsidRDefault="00AE4D16" w:rsidP="00D34F97">
      <w:pPr>
        <w:numPr>
          <w:ilvl w:val="0"/>
          <w:numId w:val="57"/>
        </w:numPr>
        <w:spacing w:after="0" w:line="300" w:lineRule="atLeast"/>
        <w:ind w:left="714" w:hanging="357"/>
        <w:jc w:val="both"/>
        <w:rPr>
          <w:rFonts w:ascii="Times New Roman" w:eastAsia="Times New Roman" w:hAnsi="Times New Roman" w:cs="Times New Roman"/>
          <w:sz w:val="24"/>
          <w:szCs w:val="24"/>
          <w:lang w:eastAsia="pl-PL"/>
        </w:rPr>
      </w:pPr>
      <w:r w:rsidRPr="00AE4D16">
        <w:rPr>
          <w:rFonts w:ascii="Times New Roman" w:hAnsi="Times New Roman" w:cs="Times New Roman"/>
          <w:bCs/>
          <w:sz w:val="24"/>
          <w:szCs w:val="24"/>
        </w:rPr>
        <w:t>27 przypadków nielegalnej wysyłki odpadów z Polski o łącznej masie 1 873,643 Mg</w:t>
      </w:r>
      <w:r w:rsidR="005E799B" w:rsidRPr="00AE4D16">
        <w:rPr>
          <w:rFonts w:ascii="Times New Roman" w:eastAsia="Times New Roman" w:hAnsi="Times New Roman" w:cs="Times New Roman"/>
          <w:sz w:val="24"/>
          <w:szCs w:val="24"/>
          <w:lang w:eastAsia="pl-PL"/>
        </w:rPr>
        <w:t>,</w:t>
      </w:r>
    </w:p>
    <w:p w14:paraId="65301EE5" w14:textId="05D29230" w:rsidR="00895F16" w:rsidRDefault="00AE4D16" w:rsidP="00D34F97">
      <w:pPr>
        <w:numPr>
          <w:ilvl w:val="0"/>
          <w:numId w:val="57"/>
        </w:numPr>
        <w:spacing w:after="0" w:line="300" w:lineRule="atLeast"/>
        <w:ind w:left="714" w:hanging="357"/>
        <w:jc w:val="both"/>
        <w:rPr>
          <w:rFonts w:ascii="Times New Roman" w:eastAsia="Times New Roman" w:hAnsi="Times New Roman" w:cs="Times New Roman"/>
          <w:sz w:val="24"/>
          <w:szCs w:val="24"/>
          <w:lang w:eastAsia="pl-PL"/>
        </w:rPr>
      </w:pPr>
      <w:r w:rsidRPr="00AE4D16">
        <w:rPr>
          <w:rFonts w:ascii="Times New Roman" w:hAnsi="Times New Roman" w:cs="Times New Roman"/>
          <w:bCs/>
          <w:sz w:val="24"/>
          <w:szCs w:val="24"/>
        </w:rPr>
        <w:t>14 przypadków nielegalnego tranzytu odpadów przez terytorium Polski o łącznej masie 332,392 Mg</w:t>
      </w:r>
      <w:r w:rsidR="00895F16" w:rsidRPr="00AE4D16">
        <w:rPr>
          <w:rFonts w:ascii="Times New Roman" w:eastAsia="Times New Roman" w:hAnsi="Times New Roman" w:cs="Times New Roman"/>
          <w:sz w:val="24"/>
          <w:szCs w:val="24"/>
          <w:lang w:eastAsia="pl-PL"/>
        </w:rPr>
        <w:t>.</w:t>
      </w:r>
    </w:p>
    <w:p w14:paraId="7A3F022B" w14:textId="77777777" w:rsidR="00B94059" w:rsidRPr="00AE4D16" w:rsidRDefault="00B94059" w:rsidP="00056EE7">
      <w:pPr>
        <w:spacing w:after="0" w:line="300" w:lineRule="atLeast"/>
        <w:ind w:left="714"/>
        <w:jc w:val="both"/>
        <w:rPr>
          <w:rFonts w:ascii="Times New Roman" w:eastAsia="Times New Roman" w:hAnsi="Times New Roman" w:cs="Times New Roman"/>
          <w:sz w:val="24"/>
          <w:szCs w:val="24"/>
          <w:lang w:eastAsia="pl-PL"/>
        </w:rPr>
      </w:pPr>
    </w:p>
    <w:p w14:paraId="401476CC" w14:textId="64932CD7" w:rsidR="00B94059" w:rsidRPr="00B94059" w:rsidRDefault="00B94059" w:rsidP="00DC1AC2">
      <w:pPr>
        <w:spacing w:after="0" w:line="300" w:lineRule="atLeast"/>
        <w:ind w:firstLine="567"/>
        <w:jc w:val="both"/>
        <w:rPr>
          <w:rFonts w:ascii="Times New Roman" w:hAnsi="Times New Roman" w:cs="Times New Roman"/>
          <w:bCs/>
          <w:sz w:val="24"/>
          <w:szCs w:val="24"/>
        </w:rPr>
      </w:pPr>
      <w:r w:rsidRPr="00B94059">
        <w:rPr>
          <w:rFonts w:ascii="Times New Roman" w:hAnsi="Times New Roman" w:cs="Times New Roman"/>
          <w:bCs/>
          <w:sz w:val="24"/>
          <w:szCs w:val="24"/>
        </w:rPr>
        <w:t xml:space="preserve">W 2022 r. odnotowano spadek masy nielegalnie przemieszczonych odpadów z 129 706 Mg w 2021 r. do 10 882,375 Mg w 2022 r. Spadek ten związany jest w głównej mierze </w:t>
      </w:r>
      <w:r w:rsidR="00DC1AC2">
        <w:rPr>
          <w:rFonts w:ascii="Times New Roman" w:hAnsi="Times New Roman" w:cs="Times New Roman"/>
          <w:bCs/>
          <w:sz w:val="24"/>
          <w:szCs w:val="24"/>
        </w:rPr>
        <w:br/>
      </w:r>
      <w:r w:rsidRPr="00B94059">
        <w:rPr>
          <w:rFonts w:ascii="Times New Roman" w:hAnsi="Times New Roman" w:cs="Times New Roman"/>
          <w:bCs/>
          <w:sz w:val="24"/>
          <w:szCs w:val="24"/>
        </w:rPr>
        <w:t>z wykryciem w 2021 r. nielegalnych wysyłek zmieszanych odpadów ziemi, kamieni i odpadów budowlanych z Niemiec do Polski o łącznej masie 109 914 Mg.</w:t>
      </w:r>
    </w:p>
    <w:p w14:paraId="5AC4806F" w14:textId="6C1E3C29" w:rsidR="00895F16" w:rsidRPr="00B94059" w:rsidRDefault="00B94059" w:rsidP="00DC1AC2">
      <w:pPr>
        <w:spacing w:after="0" w:line="300" w:lineRule="atLeast"/>
        <w:ind w:firstLine="567"/>
        <w:jc w:val="both"/>
        <w:rPr>
          <w:rFonts w:ascii="Times New Roman" w:eastAsia="Times New Roman" w:hAnsi="Times New Roman" w:cs="Times New Roman"/>
          <w:sz w:val="24"/>
          <w:szCs w:val="24"/>
          <w:lang w:eastAsia="pl-PL"/>
        </w:rPr>
      </w:pPr>
      <w:r w:rsidRPr="00B94059">
        <w:rPr>
          <w:rFonts w:ascii="Times New Roman" w:hAnsi="Times New Roman" w:cs="Times New Roman"/>
          <w:bCs/>
          <w:sz w:val="24"/>
          <w:szCs w:val="24"/>
        </w:rPr>
        <w:t>Wśród 89 przypadków nielegalnego przywozu odpadów do Polski istotna część pochodziła z Niemiec, tj. 28 przypadków o łącznej masie 4 799,639 Mg</w:t>
      </w:r>
      <w:r w:rsidR="00895F16" w:rsidRPr="00B94059">
        <w:rPr>
          <w:rFonts w:ascii="Times New Roman" w:eastAsia="Times New Roman" w:hAnsi="Times New Roman" w:cs="Times New Roman"/>
          <w:sz w:val="24"/>
          <w:szCs w:val="24"/>
          <w:lang w:eastAsia="pl-PL"/>
        </w:rPr>
        <w:t xml:space="preserve">. </w:t>
      </w:r>
    </w:p>
    <w:p w14:paraId="3F80029C" w14:textId="2DBFDB9A" w:rsidR="00895F16" w:rsidRPr="00B94059" w:rsidRDefault="00B94059" w:rsidP="00DC1AC2">
      <w:pPr>
        <w:spacing w:after="0" w:line="300" w:lineRule="atLeast"/>
        <w:ind w:firstLine="567"/>
        <w:jc w:val="both"/>
        <w:rPr>
          <w:rFonts w:ascii="Times New Roman" w:eastAsia="Times New Roman" w:hAnsi="Times New Roman" w:cs="Times New Roman"/>
          <w:color w:val="000000"/>
          <w:sz w:val="24"/>
          <w:szCs w:val="24"/>
          <w:lang w:eastAsia="pl-PL"/>
        </w:rPr>
      </w:pPr>
      <w:r w:rsidRPr="00B94059">
        <w:rPr>
          <w:rFonts w:ascii="Times New Roman" w:hAnsi="Times New Roman" w:cs="Times New Roman"/>
          <w:bCs/>
          <w:sz w:val="24"/>
          <w:szCs w:val="24"/>
        </w:rPr>
        <w:t xml:space="preserve">W odniesieniu do nielegalnych wysyłek odpadów do Polski należy zauważyć, że w wielu przypadkach odpady były wysyłane do nieuprawnionych odbiorców. Podmioty z terenu Polski, które były wskazane w dokumentach transportowych jako odbiorcy odpadów, często nie posiadały wymaganych zezwoleń na gospodarowanie odpadami, ani instalacji do odzysku przywiezionych odpadów. Inne nieprawidłowości dotyczyły przypadków, w których dokumentacja dołączana do transportów wysyłanych do Polski była, albo niepełna, albo zawierała nieprawdziwe informacje odnośnie do charakteru wysłanych do Polski odpadów. </w:t>
      </w:r>
      <w:r w:rsidRPr="00B94059">
        <w:rPr>
          <w:rFonts w:ascii="Times New Roman" w:hAnsi="Times New Roman" w:cs="Times New Roman"/>
          <w:sz w:val="24"/>
          <w:szCs w:val="24"/>
        </w:rPr>
        <w:t>Nieprawidłowością było</w:t>
      </w:r>
      <w:r w:rsidRPr="00B94059">
        <w:rPr>
          <w:rFonts w:ascii="Times New Roman" w:hAnsi="Times New Roman" w:cs="Times New Roman"/>
          <w:bCs/>
          <w:sz w:val="24"/>
          <w:szCs w:val="24"/>
        </w:rPr>
        <w:t xml:space="preserve"> klasyfikowanie odpadów jako odpady tworzyw sztucznych, podczas gdy faktycznie były to odpady przeznaczone do produkcji paliwa alternatywnego lub o składzie zbliżonym do komunalnych, których przywóz do Polski wymaga uzyskania zezwolenia właściwych organów</w:t>
      </w:r>
      <w:r w:rsidR="00895F16" w:rsidRPr="00B94059">
        <w:rPr>
          <w:rFonts w:ascii="Times New Roman" w:eastAsia="Times New Roman" w:hAnsi="Times New Roman" w:cs="Times New Roman"/>
          <w:color w:val="000000"/>
          <w:sz w:val="24"/>
          <w:szCs w:val="24"/>
          <w:lang w:eastAsia="pl-PL"/>
        </w:rPr>
        <w:t>.</w:t>
      </w:r>
    </w:p>
    <w:p w14:paraId="2CF0F4D0" w14:textId="55D14B5B" w:rsidR="00895F16" w:rsidRDefault="00895F16" w:rsidP="00056EE7">
      <w:pPr>
        <w:spacing w:after="0" w:line="300" w:lineRule="atLeast"/>
        <w:ind w:firstLine="567"/>
        <w:jc w:val="both"/>
        <w:rPr>
          <w:rFonts w:ascii="Times New Roman" w:eastAsia="Times New Roman" w:hAnsi="Times New Roman" w:cs="Times New Roman"/>
          <w:sz w:val="24"/>
          <w:szCs w:val="24"/>
          <w:lang w:eastAsia="pl-PL"/>
        </w:rPr>
      </w:pPr>
    </w:p>
    <w:p w14:paraId="5824C42E" w14:textId="77777777" w:rsidR="00B94059" w:rsidRDefault="00B94059" w:rsidP="00056EE7">
      <w:pPr>
        <w:spacing w:line="300" w:lineRule="atLeast"/>
        <w:jc w:val="both"/>
        <w:rPr>
          <w:bCs/>
          <w:sz w:val="24"/>
          <w:szCs w:val="24"/>
        </w:rPr>
      </w:pPr>
    </w:p>
    <w:p w14:paraId="1586F3E7" w14:textId="751BDABD" w:rsidR="00B94059" w:rsidRDefault="00B94059" w:rsidP="00512029">
      <w:pPr>
        <w:pStyle w:val="Tekstpodstawowy21"/>
        <w:spacing w:after="120" w:line="300" w:lineRule="atLeast"/>
        <w:ind w:firstLine="0"/>
        <w:jc w:val="center"/>
        <w:rPr>
          <w:noProof/>
        </w:rPr>
      </w:pPr>
      <w:r w:rsidRPr="00B020B5">
        <w:rPr>
          <w:noProof/>
        </w:rPr>
        <w:drawing>
          <wp:inline distT="0" distB="0" distL="0" distR="0" wp14:anchorId="3A75E6D1" wp14:editId="2F4C494A">
            <wp:extent cx="5762625" cy="3238500"/>
            <wp:effectExtent l="0" t="0" r="9525" b="0"/>
            <wp:docPr id="510" name="Obraz 510" descr="Zdjęcie Nielegalny tranzyt odpadów komunalnych przez terytorium Polski z Niemiec na Litw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Obraz 510" descr="Zdjęcie Nielegalny tranzyt odpadów komunalnych przez terytorium Polski z Niemiec na Litwę"/>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2625" cy="3238500"/>
                    </a:xfrm>
                    <a:prstGeom prst="rect">
                      <a:avLst/>
                    </a:prstGeom>
                    <a:noFill/>
                    <a:ln>
                      <a:noFill/>
                    </a:ln>
                  </pic:spPr>
                </pic:pic>
              </a:graphicData>
            </a:graphic>
          </wp:inline>
        </w:drawing>
      </w:r>
    </w:p>
    <w:p w14:paraId="75479A90" w14:textId="1C3F5638" w:rsidR="00B94059" w:rsidRPr="00B94059" w:rsidRDefault="00B94059" w:rsidP="00056EE7">
      <w:pPr>
        <w:spacing w:line="300" w:lineRule="atLeast"/>
        <w:jc w:val="center"/>
        <w:rPr>
          <w:rFonts w:ascii="Times New Roman" w:hAnsi="Times New Roman" w:cs="Times New Roman"/>
          <w:b/>
        </w:rPr>
      </w:pPr>
      <w:r w:rsidRPr="00B94059">
        <w:rPr>
          <w:rFonts w:ascii="Times New Roman" w:hAnsi="Times New Roman" w:cs="Times New Roman"/>
          <w:b/>
        </w:rPr>
        <w:t xml:space="preserve">Zdjęcie </w:t>
      </w:r>
      <w:r w:rsidR="00535853">
        <w:rPr>
          <w:rFonts w:ascii="Times New Roman" w:hAnsi="Times New Roman" w:cs="Times New Roman"/>
          <w:b/>
        </w:rPr>
        <w:t>8</w:t>
      </w:r>
      <w:r w:rsidRPr="00B94059">
        <w:rPr>
          <w:rFonts w:ascii="Times New Roman" w:hAnsi="Times New Roman" w:cs="Times New Roman"/>
          <w:b/>
        </w:rPr>
        <w:t>. Nielegalny tranzyt odpadów komunalnych przez terytorium Polski z Niemiec na Litwę</w:t>
      </w:r>
    </w:p>
    <w:p w14:paraId="228EC7A4" w14:textId="340EC0C1" w:rsidR="00B94059" w:rsidRDefault="00B94059" w:rsidP="00056EE7">
      <w:pPr>
        <w:spacing w:after="0" w:line="300" w:lineRule="atLeast"/>
        <w:jc w:val="both"/>
        <w:rPr>
          <w:rFonts w:ascii="Times New Roman" w:eastAsia="Times New Roman" w:hAnsi="Times New Roman" w:cs="Times New Roman"/>
          <w:sz w:val="24"/>
          <w:szCs w:val="24"/>
          <w:lang w:eastAsia="pl-PL"/>
        </w:rPr>
      </w:pPr>
    </w:p>
    <w:p w14:paraId="35058A4D" w14:textId="35EB1F1D" w:rsidR="00B94059" w:rsidRPr="00B94059" w:rsidRDefault="00B94059" w:rsidP="00056EE7">
      <w:pPr>
        <w:spacing w:after="0" w:line="300" w:lineRule="atLeast"/>
        <w:ind w:firstLine="708"/>
        <w:jc w:val="both"/>
        <w:rPr>
          <w:rFonts w:ascii="Times New Roman" w:eastAsia="Times New Roman" w:hAnsi="Times New Roman" w:cs="Times New Roman"/>
          <w:sz w:val="24"/>
          <w:szCs w:val="24"/>
          <w:lang w:eastAsia="pl-PL"/>
        </w:rPr>
      </w:pPr>
      <w:r w:rsidRPr="00B94059">
        <w:rPr>
          <w:rFonts w:ascii="Times New Roman" w:hAnsi="Times New Roman" w:cs="Times New Roman"/>
          <w:bCs/>
          <w:sz w:val="24"/>
          <w:szCs w:val="24"/>
        </w:rPr>
        <w:t xml:space="preserve">W 2022 r. Wojewódzcy Inspektorzy Ochrony Środowiska </w:t>
      </w:r>
      <w:r w:rsidRPr="00B94059">
        <w:rPr>
          <w:rFonts w:ascii="Times New Roman" w:hAnsi="Times New Roman" w:cs="Times New Roman"/>
          <w:color w:val="000000"/>
          <w:sz w:val="24"/>
          <w:szCs w:val="24"/>
          <w:shd w:val="clear" w:color="auto" w:fill="FFFFFF"/>
        </w:rPr>
        <w:t xml:space="preserve">przeprowadzili „Cykl kontrolny w zakresie kontroli podmiotów przyjmujących odpady pochodzące </w:t>
      </w:r>
      <w:r w:rsidR="009F2788">
        <w:rPr>
          <w:rFonts w:ascii="Times New Roman" w:hAnsi="Times New Roman" w:cs="Times New Roman"/>
          <w:color w:val="000000"/>
          <w:sz w:val="24"/>
          <w:szCs w:val="24"/>
          <w:shd w:val="clear" w:color="auto" w:fill="FFFFFF"/>
        </w:rPr>
        <w:br/>
      </w:r>
      <w:r w:rsidRPr="00B94059">
        <w:rPr>
          <w:rFonts w:ascii="Times New Roman" w:hAnsi="Times New Roman" w:cs="Times New Roman"/>
          <w:color w:val="000000"/>
          <w:sz w:val="24"/>
          <w:szCs w:val="24"/>
          <w:shd w:val="clear" w:color="auto" w:fill="FFFFFF"/>
        </w:rPr>
        <w:t>z transgranicznego przemieszczania odpadów”. Celem cyklu kontrolnego była weryfikacja przestrzegania przepisów w zakresie transgranicznego przemieszczania odpadów przez podmioty deklarujące odbiór z zagranicy odpadów niewymagających przy przywozie uzyskania zezwolenia Głównego Inspektora Ochrony Środowiska. Kontrolą zostały objęte 164 krajowe podmioty, które w latach 2021 - 2022 przyjęły odpady z zagranicy</w:t>
      </w:r>
      <w:r>
        <w:rPr>
          <w:rFonts w:ascii="Times New Roman" w:hAnsi="Times New Roman" w:cs="Times New Roman"/>
          <w:color w:val="000000"/>
          <w:sz w:val="24"/>
          <w:szCs w:val="24"/>
          <w:shd w:val="clear" w:color="auto" w:fill="FFFFFF"/>
        </w:rPr>
        <w:t>.</w:t>
      </w:r>
    </w:p>
    <w:p w14:paraId="77D0001F" w14:textId="77777777" w:rsidR="00895F16" w:rsidRPr="00B94059" w:rsidRDefault="00895F16" w:rsidP="00056EE7">
      <w:pPr>
        <w:spacing w:line="300" w:lineRule="atLeast"/>
        <w:rPr>
          <w:rFonts w:ascii="Times New Roman" w:hAnsi="Times New Roman" w:cs="Times New Roman"/>
          <w:sz w:val="24"/>
          <w:szCs w:val="24"/>
        </w:rPr>
      </w:pPr>
      <w:r w:rsidRPr="00B94059">
        <w:rPr>
          <w:rFonts w:ascii="Times New Roman" w:hAnsi="Times New Roman" w:cs="Times New Roman"/>
          <w:sz w:val="24"/>
          <w:szCs w:val="24"/>
        </w:rPr>
        <w:br w:type="page"/>
      </w:r>
    </w:p>
    <w:p w14:paraId="3F160447" w14:textId="77777777" w:rsidR="00A22034" w:rsidRPr="007F400A" w:rsidRDefault="00A22034" w:rsidP="00A22034">
      <w:pPr>
        <w:pStyle w:val="Nagwek1"/>
        <w:rPr>
          <w:b w:val="0"/>
        </w:rPr>
      </w:pPr>
      <w:bookmarkStart w:id="279" w:name="_Toc99469597"/>
      <w:bookmarkStart w:id="280" w:name="_Toc135935657"/>
      <w:bookmarkStart w:id="281" w:name="_Hlk132371759"/>
      <w:r w:rsidRPr="007F400A">
        <w:lastRenderedPageBreak/>
        <w:t>IV. Z</w:t>
      </w:r>
      <w:bookmarkEnd w:id="279"/>
      <w:r w:rsidRPr="007F400A">
        <w:t>WALCZANIE PRZESTĘPCZOŚCI ŚRODOWISKOWEJ</w:t>
      </w:r>
      <w:bookmarkEnd w:id="280"/>
    </w:p>
    <w:p w14:paraId="4AAEF0F5" w14:textId="77777777" w:rsidR="00A22034" w:rsidRPr="007F400A" w:rsidRDefault="00A22034" w:rsidP="008A56CA">
      <w:pPr>
        <w:spacing w:after="0" w:line="300" w:lineRule="atLeast"/>
        <w:jc w:val="both"/>
        <w:rPr>
          <w:rFonts w:ascii="Times New Roman" w:hAnsi="Times New Roman" w:cs="Times New Roman"/>
          <w:bCs/>
          <w:color w:val="000000"/>
          <w:sz w:val="24"/>
          <w:szCs w:val="24"/>
        </w:rPr>
      </w:pPr>
    </w:p>
    <w:p w14:paraId="345EC6B0" w14:textId="6BBFC5C3" w:rsidR="00A22034" w:rsidRPr="007F400A" w:rsidRDefault="00A22034" w:rsidP="002443A9">
      <w:pPr>
        <w:pStyle w:val="Nagwek1"/>
        <w:spacing w:line="300" w:lineRule="atLeast"/>
        <w:jc w:val="both"/>
        <w:rPr>
          <w:color w:val="000000"/>
        </w:rPr>
      </w:pPr>
      <w:bookmarkStart w:id="282" w:name="_Toc99469598"/>
      <w:bookmarkStart w:id="283" w:name="_Toc135935658"/>
      <w:r w:rsidRPr="007F400A">
        <w:rPr>
          <w:color w:val="000000"/>
        </w:rPr>
        <w:t>1. Funkcjonowanie i działania</w:t>
      </w:r>
      <w:r w:rsidR="004966BE" w:rsidRPr="007F400A">
        <w:rPr>
          <w:color w:val="000000"/>
        </w:rPr>
        <w:t xml:space="preserve"> </w:t>
      </w:r>
      <w:r w:rsidRPr="007F400A">
        <w:rPr>
          <w:color w:val="000000"/>
        </w:rPr>
        <w:t>podejmowane</w:t>
      </w:r>
      <w:r w:rsidR="004966BE" w:rsidRPr="007F400A">
        <w:rPr>
          <w:color w:val="000000"/>
        </w:rPr>
        <w:t xml:space="preserve"> </w:t>
      </w:r>
      <w:r w:rsidRPr="007F400A">
        <w:rPr>
          <w:color w:val="000000"/>
        </w:rPr>
        <w:t>przez Departament Zwalczania Przestępczości Środowiskowej</w:t>
      </w:r>
      <w:bookmarkEnd w:id="282"/>
      <w:r w:rsidRPr="007F400A">
        <w:rPr>
          <w:color w:val="000000"/>
        </w:rPr>
        <w:t xml:space="preserve"> GIOŚ</w:t>
      </w:r>
      <w:bookmarkEnd w:id="283"/>
    </w:p>
    <w:p w14:paraId="32F9260E" w14:textId="77777777" w:rsidR="00A22034" w:rsidRPr="007F400A" w:rsidRDefault="00A22034" w:rsidP="002443A9">
      <w:pPr>
        <w:spacing w:after="0" w:line="300" w:lineRule="atLeast"/>
        <w:jc w:val="both"/>
        <w:rPr>
          <w:rFonts w:ascii="Times New Roman" w:hAnsi="Times New Roman" w:cs="Times New Roman"/>
          <w:sz w:val="24"/>
          <w:szCs w:val="24"/>
          <w:u w:val="single"/>
        </w:rPr>
      </w:pPr>
    </w:p>
    <w:p w14:paraId="1B35B1F1" w14:textId="77777777" w:rsidR="00A22034" w:rsidRPr="007F400A" w:rsidRDefault="00A22034" w:rsidP="002443A9">
      <w:pPr>
        <w:pStyle w:val="Nagwek1"/>
        <w:spacing w:after="120"/>
      </w:pPr>
      <w:bookmarkStart w:id="284" w:name="_Toc135935659"/>
      <w:r w:rsidRPr="007F400A">
        <w:t>1.1 Działalność Departamentu Zwalczania Przestępczości Środowiskowej</w:t>
      </w:r>
      <w:bookmarkEnd w:id="284"/>
    </w:p>
    <w:p w14:paraId="75F82FA2" w14:textId="62884BA9" w:rsidR="00A22034" w:rsidRPr="007F400A" w:rsidRDefault="00A22034" w:rsidP="00740C77">
      <w:pPr>
        <w:spacing w:after="0" w:line="300" w:lineRule="atLeast"/>
        <w:ind w:firstLine="567"/>
        <w:jc w:val="both"/>
        <w:rPr>
          <w:rFonts w:ascii="Times New Roman" w:hAnsi="Times New Roman" w:cs="Times New Roman"/>
          <w:sz w:val="24"/>
          <w:szCs w:val="24"/>
        </w:rPr>
      </w:pPr>
      <w:r w:rsidRPr="007F400A">
        <w:rPr>
          <w:rFonts w:ascii="Times New Roman" w:hAnsi="Times New Roman" w:cs="Times New Roman"/>
          <w:sz w:val="24"/>
          <w:szCs w:val="24"/>
        </w:rPr>
        <w:t>W ostatnich latach</w:t>
      </w:r>
      <w:r w:rsidR="004966BE" w:rsidRPr="007F400A">
        <w:rPr>
          <w:rFonts w:ascii="Times New Roman" w:hAnsi="Times New Roman" w:cs="Times New Roman"/>
          <w:sz w:val="24"/>
          <w:szCs w:val="24"/>
        </w:rPr>
        <w:t xml:space="preserve"> </w:t>
      </w:r>
      <w:r w:rsidRPr="007F400A">
        <w:rPr>
          <w:rFonts w:ascii="Times New Roman" w:hAnsi="Times New Roman" w:cs="Times New Roman"/>
          <w:sz w:val="24"/>
          <w:szCs w:val="24"/>
        </w:rPr>
        <w:t xml:space="preserve">zaobserwowano wzrastającą skalę przestępstw środowiskowych, m.in., wzrost ujawnianych miejsc nielegalnego porzucenia odpadów, w tym odpadów niebezpiecznych, przetwarzania odpadów bez zezwolenia czy wzrost ujawnianych miejsc nielegalnego składowania odpadów w sposób zagrażający życiu i zdrowiu ludzi. </w:t>
      </w:r>
    </w:p>
    <w:p w14:paraId="68AB7FC0" w14:textId="22CD0366" w:rsidR="00A22034" w:rsidRPr="007F400A" w:rsidRDefault="00A22034" w:rsidP="00740C77">
      <w:pPr>
        <w:spacing w:after="0" w:line="300" w:lineRule="atLeast"/>
        <w:ind w:firstLine="567"/>
        <w:jc w:val="both"/>
        <w:rPr>
          <w:rFonts w:ascii="Times New Roman" w:hAnsi="Times New Roman" w:cs="Times New Roman"/>
          <w:sz w:val="24"/>
          <w:szCs w:val="24"/>
        </w:rPr>
      </w:pPr>
      <w:r w:rsidRPr="007F400A">
        <w:rPr>
          <w:rFonts w:ascii="Times New Roman" w:hAnsi="Times New Roman" w:cs="Times New Roman"/>
          <w:sz w:val="24"/>
          <w:szCs w:val="24"/>
        </w:rPr>
        <w:t>Z uwagi na powyższe, 7 października 2020 r. w strukturach G</w:t>
      </w:r>
      <w:r w:rsidR="00F54A47">
        <w:rPr>
          <w:rFonts w:ascii="Times New Roman" w:hAnsi="Times New Roman" w:cs="Times New Roman"/>
          <w:sz w:val="24"/>
          <w:szCs w:val="24"/>
        </w:rPr>
        <w:t xml:space="preserve">łównego </w:t>
      </w:r>
      <w:r w:rsidRPr="007F400A">
        <w:rPr>
          <w:rFonts w:ascii="Times New Roman" w:hAnsi="Times New Roman" w:cs="Times New Roman"/>
          <w:sz w:val="24"/>
          <w:szCs w:val="24"/>
        </w:rPr>
        <w:t>I</w:t>
      </w:r>
      <w:r w:rsidR="00F54A47">
        <w:rPr>
          <w:rFonts w:ascii="Times New Roman" w:hAnsi="Times New Roman" w:cs="Times New Roman"/>
          <w:sz w:val="24"/>
          <w:szCs w:val="24"/>
        </w:rPr>
        <w:t xml:space="preserve">nspektoratu </w:t>
      </w:r>
      <w:r w:rsidRPr="007F400A">
        <w:rPr>
          <w:rFonts w:ascii="Times New Roman" w:hAnsi="Times New Roman" w:cs="Times New Roman"/>
          <w:sz w:val="24"/>
          <w:szCs w:val="24"/>
        </w:rPr>
        <w:t>O</w:t>
      </w:r>
      <w:r w:rsidR="00F54A47">
        <w:rPr>
          <w:rFonts w:ascii="Times New Roman" w:hAnsi="Times New Roman" w:cs="Times New Roman"/>
          <w:sz w:val="24"/>
          <w:szCs w:val="24"/>
        </w:rPr>
        <w:t xml:space="preserve">chrony </w:t>
      </w:r>
      <w:r w:rsidRPr="007F400A">
        <w:rPr>
          <w:rFonts w:ascii="Times New Roman" w:hAnsi="Times New Roman" w:cs="Times New Roman"/>
          <w:sz w:val="24"/>
          <w:szCs w:val="24"/>
        </w:rPr>
        <w:t>Ś</w:t>
      </w:r>
      <w:r w:rsidR="00F54A47">
        <w:rPr>
          <w:rFonts w:ascii="Times New Roman" w:hAnsi="Times New Roman" w:cs="Times New Roman"/>
          <w:sz w:val="24"/>
          <w:szCs w:val="24"/>
        </w:rPr>
        <w:t>rodowiska powołano</w:t>
      </w:r>
      <w:r w:rsidRPr="007F400A">
        <w:rPr>
          <w:rFonts w:ascii="Times New Roman" w:hAnsi="Times New Roman" w:cs="Times New Roman"/>
          <w:sz w:val="24"/>
          <w:szCs w:val="24"/>
        </w:rPr>
        <w:t xml:space="preserve"> Departament Zwalczania Przestępczości Środowiskowej, którego głównym zadaniem jest koordynacja działań Inspekcji w zakresie zwalczania przestępczości środowiskowej, wspieranie (w tym techniczne) działań wojewódzkich inspektoratów ochrony środowiska w zakresie ujawniania i przeciwdziałania przestępstwom </w:t>
      </w:r>
      <w:r w:rsidR="00F54A47">
        <w:rPr>
          <w:rFonts w:ascii="Times New Roman" w:hAnsi="Times New Roman" w:cs="Times New Roman"/>
          <w:sz w:val="24"/>
          <w:szCs w:val="24"/>
        </w:rPr>
        <w:br/>
      </w:r>
      <w:r w:rsidRPr="007F400A">
        <w:rPr>
          <w:rFonts w:ascii="Times New Roman" w:hAnsi="Times New Roman" w:cs="Times New Roman"/>
          <w:sz w:val="24"/>
          <w:szCs w:val="24"/>
        </w:rPr>
        <w:t>i wykroczeniom przeciwko środowisku oraz współpraca z organami ścigania.</w:t>
      </w:r>
    </w:p>
    <w:p w14:paraId="1650C943" w14:textId="77777777" w:rsidR="00A22034" w:rsidRPr="007F400A" w:rsidRDefault="00A22034" w:rsidP="002443A9">
      <w:pPr>
        <w:spacing w:after="0" w:line="300" w:lineRule="atLeast"/>
        <w:jc w:val="both"/>
        <w:rPr>
          <w:rFonts w:ascii="Times New Roman" w:hAnsi="Times New Roman" w:cs="Times New Roman"/>
          <w:sz w:val="24"/>
          <w:szCs w:val="24"/>
        </w:rPr>
      </w:pPr>
      <w:r w:rsidRPr="007F400A">
        <w:rPr>
          <w:rFonts w:ascii="Times New Roman" w:hAnsi="Times New Roman" w:cs="Times New Roman"/>
          <w:sz w:val="24"/>
          <w:szCs w:val="24"/>
        </w:rPr>
        <w:t xml:space="preserve"> </w:t>
      </w:r>
    </w:p>
    <w:p w14:paraId="3445C105" w14:textId="762F67AD" w:rsidR="00A22034" w:rsidRPr="007F400A" w:rsidRDefault="00A22034" w:rsidP="00740C77">
      <w:pPr>
        <w:spacing w:after="60" w:line="300" w:lineRule="atLeast"/>
        <w:jc w:val="both"/>
        <w:rPr>
          <w:rFonts w:ascii="Times New Roman" w:hAnsi="Times New Roman" w:cs="Times New Roman"/>
          <w:sz w:val="24"/>
          <w:szCs w:val="24"/>
        </w:rPr>
      </w:pPr>
      <w:r w:rsidRPr="007F400A">
        <w:rPr>
          <w:rFonts w:ascii="Times New Roman" w:hAnsi="Times New Roman" w:cs="Times New Roman"/>
          <w:sz w:val="24"/>
          <w:szCs w:val="24"/>
        </w:rPr>
        <w:t xml:space="preserve">Do głównych zadań Departamentu należy </w:t>
      </w:r>
      <w:r w:rsidR="00740C77">
        <w:rPr>
          <w:rFonts w:ascii="Times New Roman" w:hAnsi="Times New Roman" w:cs="Times New Roman"/>
          <w:sz w:val="24"/>
          <w:szCs w:val="24"/>
        </w:rPr>
        <w:t>prowadzenie spraw</w:t>
      </w:r>
      <w:r w:rsidRPr="007F400A">
        <w:rPr>
          <w:rFonts w:ascii="Times New Roman" w:hAnsi="Times New Roman" w:cs="Times New Roman"/>
          <w:sz w:val="24"/>
          <w:szCs w:val="24"/>
        </w:rPr>
        <w:t>:</w:t>
      </w:r>
    </w:p>
    <w:p w14:paraId="48E6C1A4" w14:textId="40D90196" w:rsidR="00B17DCD" w:rsidRPr="00B17DCD" w:rsidRDefault="00B17DCD" w:rsidP="00D34F97">
      <w:pPr>
        <w:pStyle w:val="Akapitzlist"/>
        <w:numPr>
          <w:ilvl w:val="0"/>
          <w:numId w:val="147"/>
        </w:numPr>
        <w:spacing w:line="300" w:lineRule="atLeast"/>
        <w:ind w:left="641" w:hanging="357"/>
        <w:jc w:val="both"/>
        <w:rPr>
          <w:sz w:val="24"/>
          <w:szCs w:val="24"/>
        </w:rPr>
      </w:pPr>
      <w:r w:rsidRPr="00B17DCD">
        <w:rPr>
          <w:sz w:val="24"/>
          <w:szCs w:val="24"/>
        </w:rPr>
        <w:t>z zakresu przeciwdziałania i wykrywania przestępstw i wykroczeń przeciwko środowisku</w:t>
      </w:r>
      <w:r w:rsidR="00740C77">
        <w:rPr>
          <w:sz w:val="24"/>
          <w:szCs w:val="24"/>
          <w:lang w:val="pl-PL"/>
        </w:rPr>
        <w:t>:</w:t>
      </w:r>
      <w:r w:rsidRPr="00B17DCD">
        <w:rPr>
          <w:sz w:val="24"/>
          <w:szCs w:val="24"/>
        </w:rPr>
        <w:t xml:space="preserve"> wykonywanie kontroli pozaplanowych interwencyjnych, wspieranie działalności wojewódzkich inspektorów ochrony środowiska,</w:t>
      </w:r>
    </w:p>
    <w:p w14:paraId="5033C830" w14:textId="14635D1B" w:rsidR="00B17DCD" w:rsidRDefault="00B17DCD" w:rsidP="00D34F97">
      <w:pPr>
        <w:pStyle w:val="Akapitzlist"/>
        <w:numPr>
          <w:ilvl w:val="0"/>
          <w:numId w:val="147"/>
        </w:numPr>
        <w:spacing w:line="300" w:lineRule="atLeast"/>
        <w:ind w:left="641" w:hanging="357"/>
        <w:contextualSpacing w:val="0"/>
        <w:jc w:val="both"/>
        <w:rPr>
          <w:sz w:val="24"/>
          <w:szCs w:val="24"/>
        </w:rPr>
      </w:pPr>
      <w:r w:rsidRPr="00B17DCD">
        <w:rPr>
          <w:sz w:val="24"/>
          <w:szCs w:val="24"/>
        </w:rPr>
        <w:t>w zakresie przeciwdziałania i wykrywania przestępstw i wykroczeń przeciwko środowisku</w:t>
      </w:r>
      <w:r w:rsidR="00740C77">
        <w:rPr>
          <w:sz w:val="24"/>
          <w:szCs w:val="24"/>
          <w:lang w:val="pl-PL"/>
        </w:rPr>
        <w:t>:</w:t>
      </w:r>
      <w:r w:rsidRPr="00B17DCD">
        <w:rPr>
          <w:sz w:val="24"/>
          <w:szCs w:val="24"/>
        </w:rPr>
        <w:t xml:space="preserve"> prowadzenie baz danych oraz analiz niezbędnych do ujawniania </w:t>
      </w:r>
      <w:r>
        <w:rPr>
          <w:sz w:val="24"/>
          <w:szCs w:val="24"/>
        </w:rPr>
        <w:br/>
      </w:r>
      <w:r w:rsidRPr="00B17DCD">
        <w:rPr>
          <w:sz w:val="24"/>
          <w:szCs w:val="24"/>
        </w:rPr>
        <w:t xml:space="preserve">i przeciwdziałania przestępstwom i wykroczeniom przeciwko środowisku, </w:t>
      </w:r>
      <w:r>
        <w:rPr>
          <w:sz w:val="24"/>
          <w:szCs w:val="24"/>
        </w:rPr>
        <w:br/>
      </w:r>
      <w:r w:rsidRPr="00B17DCD">
        <w:rPr>
          <w:sz w:val="24"/>
          <w:szCs w:val="24"/>
        </w:rPr>
        <w:t>w szczególności w zakresie ograniczenia tzw. „szarej strefy” występującej na rynku gospodarowania odpadami, realizacja działań prewencyjnych mających na celu ograniczenie działalności przestępczej,</w:t>
      </w:r>
    </w:p>
    <w:p w14:paraId="1CC3D094" w14:textId="28048374" w:rsidR="00A22034" w:rsidRPr="00B17DCD" w:rsidRDefault="00B17DCD" w:rsidP="00D34F97">
      <w:pPr>
        <w:pStyle w:val="Akapitzlist"/>
        <w:numPr>
          <w:ilvl w:val="0"/>
          <w:numId w:val="147"/>
        </w:numPr>
        <w:spacing w:line="300" w:lineRule="atLeast"/>
        <w:ind w:left="641" w:hanging="357"/>
        <w:contextualSpacing w:val="0"/>
        <w:jc w:val="both"/>
        <w:rPr>
          <w:sz w:val="24"/>
          <w:szCs w:val="24"/>
        </w:rPr>
      </w:pPr>
      <w:r w:rsidRPr="00B17DCD">
        <w:rPr>
          <w:sz w:val="24"/>
          <w:szCs w:val="24"/>
        </w:rPr>
        <w:t>w zakresie korzystania ze środowiska, a także prowadzenie działań informacyjnych</w:t>
      </w:r>
      <w:r w:rsidR="00A22034" w:rsidRPr="00B17DCD">
        <w:rPr>
          <w:sz w:val="24"/>
          <w:szCs w:val="24"/>
        </w:rPr>
        <w:t xml:space="preserve">. </w:t>
      </w:r>
    </w:p>
    <w:p w14:paraId="1F2574EA" w14:textId="77777777" w:rsidR="00A22034" w:rsidRPr="007F400A" w:rsidRDefault="00A22034" w:rsidP="002443A9">
      <w:pPr>
        <w:spacing w:after="0" w:line="300" w:lineRule="atLeast"/>
        <w:jc w:val="both"/>
        <w:rPr>
          <w:rFonts w:ascii="Times New Roman" w:hAnsi="Times New Roman" w:cs="Times New Roman"/>
          <w:sz w:val="24"/>
          <w:szCs w:val="24"/>
        </w:rPr>
      </w:pPr>
    </w:p>
    <w:p w14:paraId="12163BE6" w14:textId="171767D8" w:rsidR="00A22034" w:rsidRPr="007F400A" w:rsidRDefault="00A22034" w:rsidP="00740C77">
      <w:pPr>
        <w:spacing w:after="60" w:line="300" w:lineRule="atLeast"/>
        <w:jc w:val="both"/>
        <w:rPr>
          <w:rFonts w:ascii="Times New Roman" w:hAnsi="Times New Roman" w:cs="Times New Roman"/>
          <w:sz w:val="24"/>
          <w:szCs w:val="24"/>
        </w:rPr>
      </w:pPr>
      <w:r w:rsidRPr="007F400A">
        <w:rPr>
          <w:rFonts w:ascii="Times New Roman" w:hAnsi="Times New Roman" w:cs="Times New Roman"/>
          <w:sz w:val="24"/>
          <w:szCs w:val="24"/>
        </w:rPr>
        <w:t>W skład Departamentu wchodzą następujące wydziały</w:t>
      </w:r>
      <w:r w:rsidR="004966BE" w:rsidRPr="007F400A">
        <w:rPr>
          <w:rFonts w:ascii="Times New Roman" w:hAnsi="Times New Roman" w:cs="Times New Roman"/>
          <w:sz w:val="24"/>
          <w:szCs w:val="24"/>
        </w:rPr>
        <w:t xml:space="preserve"> </w:t>
      </w:r>
      <w:r w:rsidRPr="007F400A">
        <w:rPr>
          <w:rFonts w:ascii="Times New Roman" w:hAnsi="Times New Roman" w:cs="Times New Roman"/>
          <w:sz w:val="24"/>
          <w:szCs w:val="24"/>
        </w:rPr>
        <w:t>i zespoły:</w:t>
      </w:r>
      <w:r w:rsidR="00740C77">
        <w:rPr>
          <w:rFonts w:ascii="Times New Roman" w:hAnsi="Times New Roman" w:cs="Times New Roman"/>
          <w:sz w:val="24"/>
          <w:szCs w:val="24"/>
        </w:rPr>
        <w:t xml:space="preserve"> </w:t>
      </w:r>
    </w:p>
    <w:p w14:paraId="7A04AD22" w14:textId="77777777" w:rsidR="00A22034" w:rsidRPr="007F400A" w:rsidRDefault="00A22034" w:rsidP="00D34F97">
      <w:pPr>
        <w:pStyle w:val="Akapitzlist"/>
        <w:numPr>
          <w:ilvl w:val="0"/>
          <w:numId w:val="148"/>
        </w:numPr>
        <w:spacing w:line="300" w:lineRule="atLeast"/>
        <w:ind w:left="0" w:firstLine="283"/>
        <w:jc w:val="both"/>
        <w:rPr>
          <w:sz w:val="24"/>
          <w:szCs w:val="24"/>
        </w:rPr>
      </w:pPr>
      <w:r w:rsidRPr="007F400A">
        <w:rPr>
          <w:sz w:val="24"/>
          <w:szCs w:val="24"/>
        </w:rPr>
        <w:t>Zespół ds. analiz i organizacyjno-finansowy.</w:t>
      </w:r>
    </w:p>
    <w:p w14:paraId="2072F59A" w14:textId="77777777" w:rsidR="00A22034" w:rsidRPr="007F400A" w:rsidRDefault="00A22034" w:rsidP="00D34F97">
      <w:pPr>
        <w:pStyle w:val="Akapitzlist"/>
        <w:numPr>
          <w:ilvl w:val="0"/>
          <w:numId w:val="148"/>
        </w:numPr>
        <w:spacing w:line="300" w:lineRule="atLeast"/>
        <w:ind w:left="0" w:firstLine="283"/>
        <w:jc w:val="both"/>
        <w:rPr>
          <w:sz w:val="24"/>
          <w:szCs w:val="24"/>
        </w:rPr>
      </w:pPr>
      <w:r w:rsidRPr="007F400A">
        <w:rPr>
          <w:sz w:val="24"/>
          <w:szCs w:val="24"/>
        </w:rPr>
        <w:t xml:space="preserve">Wydział postępowania i prewencji. </w:t>
      </w:r>
    </w:p>
    <w:p w14:paraId="7544DF59" w14:textId="77777777" w:rsidR="00A22034" w:rsidRPr="007F400A" w:rsidRDefault="00A22034" w:rsidP="00D34F97">
      <w:pPr>
        <w:pStyle w:val="Akapitzlist"/>
        <w:numPr>
          <w:ilvl w:val="0"/>
          <w:numId w:val="148"/>
        </w:numPr>
        <w:spacing w:line="300" w:lineRule="atLeast"/>
        <w:ind w:left="0" w:firstLine="283"/>
        <w:jc w:val="both"/>
        <w:rPr>
          <w:sz w:val="24"/>
          <w:szCs w:val="24"/>
        </w:rPr>
      </w:pPr>
      <w:r w:rsidRPr="007F400A">
        <w:rPr>
          <w:sz w:val="24"/>
          <w:szCs w:val="24"/>
        </w:rPr>
        <w:t xml:space="preserve">Zespół ds. stosowania techniki specjalnej. </w:t>
      </w:r>
    </w:p>
    <w:p w14:paraId="2E30EBA1" w14:textId="77777777" w:rsidR="002443A9" w:rsidRPr="007F400A" w:rsidRDefault="00A22034" w:rsidP="00D34F97">
      <w:pPr>
        <w:pStyle w:val="Akapitzlist"/>
        <w:numPr>
          <w:ilvl w:val="0"/>
          <w:numId w:val="148"/>
        </w:numPr>
        <w:spacing w:line="300" w:lineRule="atLeast"/>
        <w:ind w:left="0" w:firstLine="284"/>
        <w:jc w:val="both"/>
        <w:rPr>
          <w:sz w:val="24"/>
          <w:szCs w:val="24"/>
        </w:rPr>
      </w:pPr>
      <w:r w:rsidRPr="007F400A">
        <w:rPr>
          <w:sz w:val="24"/>
          <w:szCs w:val="24"/>
        </w:rPr>
        <w:t>Wydział Interwencyjno-Operacyjny.</w:t>
      </w:r>
    </w:p>
    <w:p w14:paraId="6E394154" w14:textId="3CA55815" w:rsidR="00A22034" w:rsidRPr="007F400A" w:rsidRDefault="00A22034" w:rsidP="002443A9">
      <w:pPr>
        <w:pStyle w:val="Akapitzlist"/>
        <w:spacing w:line="300" w:lineRule="atLeast"/>
        <w:ind w:left="284"/>
        <w:jc w:val="both"/>
        <w:rPr>
          <w:sz w:val="24"/>
          <w:szCs w:val="24"/>
        </w:rPr>
      </w:pPr>
      <w:r w:rsidRPr="007F400A">
        <w:rPr>
          <w:sz w:val="24"/>
          <w:szCs w:val="24"/>
        </w:rPr>
        <w:t xml:space="preserve"> </w:t>
      </w:r>
    </w:p>
    <w:p w14:paraId="0F5563D6" w14:textId="77777777" w:rsidR="00A22034" w:rsidRPr="007F400A" w:rsidRDefault="00A22034" w:rsidP="00953874">
      <w:pPr>
        <w:pStyle w:val="Nagwek1"/>
        <w:spacing w:after="120" w:line="300" w:lineRule="atLeast"/>
        <w:rPr>
          <w:color w:val="000000" w:themeColor="text1"/>
        </w:rPr>
      </w:pPr>
      <w:bookmarkStart w:id="285" w:name="_Toc99469600"/>
      <w:bookmarkStart w:id="286" w:name="_Toc135935660"/>
      <w:r w:rsidRPr="007F400A">
        <w:rPr>
          <w:color w:val="000000" w:themeColor="text1"/>
        </w:rPr>
        <w:t>1.2. Zespół do spraw analiz i organizacyjno-finansowy</w:t>
      </w:r>
      <w:bookmarkEnd w:id="285"/>
      <w:r w:rsidRPr="007F400A">
        <w:rPr>
          <w:color w:val="000000" w:themeColor="text1"/>
        </w:rPr>
        <w:t>ch</w:t>
      </w:r>
      <w:bookmarkEnd w:id="286"/>
    </w:p>
    <w:p w14:paraId="627E0D4D" w14:textId="23C6A1ED" w:rsidR="00B17DCD" w:rsidRPr="00B17DCD" w:rsidRDefault="00B17DCD" w:rsidP="00740C77">
      <w:pPr>
        <w:spacing w:line="300" w:lineRule="atLeast"/>
        <w:ind w:firstLine="567"/>
        <w:contextualSpacing/>
        <w:jc w:val="both"/>
        <w:rPr>
          <w:rFonts w:ascii="Times New Roman" w:hAnsi="Times New Roman" w:cs="Times New Roman"/>
          <w:sz w:val="24"/>
          <w:szCs w:val="24"/>
          <w:lang w:val="en-GB"/>
        </w:rPr>
      </w:pPr>
      <w:bookmarkStart w:id="287" w:name="_Toc99469601"/>
      <w:r w:rsidRPr="00B17DCD">
        <w:rPr>
          <w:rFonts w:ascii="Times New Roman" w:hAnsi="Times New Roman" w:cs="Times New Roman"/>
          <w:sz w:val="24"/>
          <w:szCs w:val="24"/>
        </w:rPr>
        <w:t xml:space="preserve">Zespół odpowiedzialny jest za prowadzenie baz danych oraz analiz w celu przeciwdziałania i wykrywania przestępstw i wykroczeń przeciwko środowisku, sporządzania analiz wspomagających proces </w:t>
      </w:r>
      <w:proofErr w:type="spellStart"/>
      <w:r w:rsidRPr="00B17DCD">
        <w:rPr>
          <w:rFonts w:ascii="Times New Roman" w:hAnsi="Times New Roman" w:cs="Times New Roman"/>
          <w:sz w:val="24"/>
          <w:szCs w:val="24"/>
        </w:rPr>
        <w:t>wykrywczy</w:t>
      </w:r>
      <w:proofErr w:type="spellEnd"/>
      <w:r w:rsidRPr="00B17DCD">
        <w:rPr>
          <w:rFonts w:ascii="Times New Roman" w:hAnsi="Times New Roman" w:cs="Times New Roman"/>
          <w:sz w:val="24"/>
          <w:szCs w:val="24"/>
        </w:rPr>
        <w:t xml:space="preserve"> w zakresie przestępstw i wykroczeń przeciwko środowisku, prowadzenie bieżącej analizy stanu zagrożenia w kierunku typowania obszarów szczególnie zagrożonych, a także prowadzenie zestawień i baz danych w zakresie realizacji zadań będących we właściwości Departamentu. W Zespole zatrudnione zostały osoby posiadające wiedzę z zakresu ochrony środowiska oraz byli funkcjonariusze Policji posiadający wiedzę i doświadczenie w opracowywaniu analiz kryminalnych. Analizy realizowane przez Zespół sporządzane są dla potrzeb własnych DZPŚ oraz innych departamentów GIOŚ,  </w:t>
      </w:r>
      <w:r>
        <w:rPr>
          <w:rFonts w:ascii="Times New Roman" w:hAnsi="Times New Roman" w:cs="Times New Roman"/>
          <w:sz w:val="24"/>
          <w:szCs w:val="24"/>
        </w:rPr>
        <w:br/>
      </w:r>
      <w:r w:rsidRPr="00B17DCD">
        <w:rPr>
          <w:rFonts w:ascii="Times New Roman" w:hAnsi="Times New Roman" w:cs="Times New Roman"/>
          <w:sz w:val="24"/>
          <w:szCs w:val="24"/>
        </w:rPr>
        <w:lastRenderedPageBreak/>
        <w:t xml:space="preserve">a przede wszystkim na wniosek wojewódzkich inspektorów ochrony środowiska. Ponadto Zespół realizuje również szereg działań analitycznych dla potrzeb Prokuratury i Policji. Opracowane analizy są bardzo wysoko oceniane przez organy ścigania i stają się istotnym materiałem dowodowym w zakresie zwalczania przestępczości środowiskowej. Coraz częściej wykazywane jest, że mamy </w:t>
      </w:r>
      <w:r w:rsidR="00953874">
        <w:rPr>
          <w:rFonts w:ascii="Times New Roman" w:hAnsi="Times New Roman" w:cs="Times New Roman"/>
          <w:sz w:val="24"/>
          <w:szCs w:val="24"/>
        </w:rPr>
        <w:t xml:space="preserve">do </w:t>
      </w:r>
      <w:r w:rsidRPr="00B17DCD">
        <w:rPr>
          <w:rFonts w:ascii="Times New Roman" w:hAnsi="Times New Roman" w:cs="Times New Roman"/>
          <w:sz w:val="24"/>
          <w:szCs w:val="24"/>
        </w:rPr>
        <w:t>czynienia z fikcyjnym obrotem odpadami w celu wyłudzenia m.in. podatku VAT. W 2022</w:t>
      </w:r>
      <w:r w:rsidR="00953874">
        <w:rPr>
          <w:rFonts w:ascii="Times New Roman" w:hAnsi="Times New Roman" w:cs="Times New Roman"/>
          <w:sz w:val="24"/>
          <w:szCs w:val="24"/>
        </w:rPr>
        <w:t xml:space="preserve"> </w:t>
      </w:r>
      <w:r w:rsidRPr="00B17DCD">
        <w:rPr>
          <w:rFonts w:ascii="Times New Roman" w:hAnsi="Times New Roman" w:cs="Times New Roman"/>
          <w:sz w:val="24"/>
          <w:szCs w:val="24"/>
        </w:rPr>
        <w:t xml:space="preserve">r. wykonanych zostało </w:t>
      </w:r>
      <w:r w:rsidRPr="00B17DCD">
        <w:rPr>
          <w:rFonts w:ascii="Times New Roman" w:hAnsi="Times New Roman" w:cs="Times New Roman"/>
          <w:b/>
          <w:sz w:val="24"/>
          <w:szCs w:val="24"/>
        </w:rPr>
        <w:t>218 analiz</w:t>
      </w:r>
      <w:r w:rsidR="00953874" w:rsidRPr="00953874">
        <w:rPr>
          <w:rFonts w:ascii="Times New Roman" w:hAnsi="Times New Roman" w:cs="Times New Roman"/>
          <w:sz w:val="24"/>
          <w:szCs w:val="24"/>
        </w:rPr>
        <w:t>;</w:t>
      </w:r>
      <w:r w:rsidRPr="00B17DCD">
        <w:rPr>
          <w:rFonts w:ascii="Times New Roman" w:hAnsi="Times New Roman" w:cs="Times New Roman"/>
          <w:sz w:val="24"/>
          <w:szCs w:val="24"/>
        </w:rPr>
        <w:t xml:space="preserve"> część z nich polegała na ściągnięciu danych i zestawieni</w:t>
      </w:r>
      <w:r w:rsidR="00953874">
        <w:rPr>
          <w:rFonts w:ascii="Times New Roman" w:hAnsi="Times New Roman" w:cs="Times New Roman"/>
          <w:sz w:val="24"/>
          <w:szCs w:val="24"/>
        </w:rPr>
        <w:t>u</w:t>
      </w:r>
      <w:r w:rsidRPr="00B17DCD">
        <w:rPr>
          <w:rFonts w:ascii="Times New Roman" w:hAnsi="Times New Roman" w:cs="Times New Roman"/>
          <w:sz w:val="24"/>
          <w:szCs w:val="24"/>
        </w:rPr>
        <w:t xml:space="preserve"> ich w arkuszu kalkulacyjnym Excel, a niektóre obejmowały również weryfikację przepływu strumienia odpadów i powiązań kapitałowo osobowych pomiędzy uczestnikami tego przepływu. Pracownicy zespołu do realizowania ww. zadań wykorzystują narzędzia analityczne</w:t>
      </w:r>
      <w:r w:rsidR="00953874">
        <w:rPr>
          <w:rFonts w:ascii="Times New Roman" w:hAnsi="Times New Roman" w:cs="Times New Roman"/>
          <w:sz w:val="24"/>
          <w:szCs w:val="24"/>
        </w:rPr>
        <w:t>,</w:t>
      </w:r>
      <w:r w:rsidRPr="00B17DCD">
        <w:rPr>
          <w:rFonts w:ascii="Times New Roman" w:hAnsi="Times New Roman" w:cs="Times New Roman"/>
          <w:sz w:val="24"/>
          <w:szCs w:val="24"/>
        </w:rPr>
        <w:t xml:space="preserve"> tj. </w:t>
      </w:r>
      <w:r w:rsidRPr="00B17DCD">
        <w:rPr>
          <w:rFonts w:ascii="Times New Roman" w:hAnsi="Times New Roman" w:cs="Times New Roman"/>
          <w:sz w:val="24"/>
          <w:szCs w:val="24"/>
          <w:lang w:val="en-GB"/>
        </w:rPr>
        <w:t xml:space="preserve">MS SQL Server, a </w:t>
      </w:r>
      <w:proofErr w:type="spellStart"/>
      <w:r w:rsidRPr="00B17DCD">
        <w:rPr>
          <w:rFonts w:ascii="Times New Roman" w:hAnsi="Times New Roman" w:cs="Times New Roman"/>
          <w:sz w:val="24"/>
          <w:szCs w:val="24"/>
          <w:lang w:val="en-GB"/>
        </w:rPr>
        <w:t>także</w:t>
      </w:r>
      <w:proofErr w:type="spellEnd"/>
      <w:r w:rsidRPr="00B17DCD">
        <w:rPr>
          <w:rFonts w:ascii="Times New Roman" w:hAnsi="Times New Roman" w:cs="Times New Roman"/>
          <w:sz w:val="24"/>
          <w:szCs w:val="24"/>
          <w:lang w:val="en-GB"/>
        </w:rPr>
        <w:t xml:space="preserve"> </w:t>
      </w:r>
      <w:proofErr w:type="spellStart"/>
      <w:r w:rsidRPr="00B17DCD">
        <w:rPr>
          <w:rFonts w:ascii="Times New Roman" w:hAnsi="Times New Roman" w:cs="Times New Roman"/>
          <w:sz w:val="24"/>
          <w:szCs w:val="24"/>
          <w:lang w:val="en-GB"/>
        </w:rPr>
        <w:t>programy</w:t>
      </w:r>
      <w:proofErr w:type="spellEnd"/>
      <w:r w:rsidRPr="00B17DCD">
        <w:rPr>
          <w:rFonts w:ascii="Times New Roman" w:hAnsi="Times New Roman" w:cs="Times New Roman"/>
          <w:sz w:val="24"/>
          <w:szCs w:val="24"/>
          <w:lang w:val="en-GB"/>
        </w:rPr>
        <w:t xml:space="preserve"> i2 Analyst’s </w:t>
      </w:r>
      <w:proofErr w:type="spellStart"/>
      <w:r w:rsidRPr="00B17DCD">
        <w:rPr>
          <w:rFonts w:ascii="Times New Roman" w:hAnsi="Times New Roman" w:cs="Times New Roman"/>
          <w:sz w:val="24"/>
          <w:szCs w:val="24"/>
          <w:lang w:val="en-GB"/>
        </w:rPr>
        <w:t>oraz</w:t>
      </w:r>
      <w:proofErr w:type="spellEnd"/>
      <w:r w:rsidRPr="00B17DCD">
        <w:rPr>
          <w:rFonts w:ascii="Times New Roman" w:hAnsi="Times New Roman" w:cs="Times New Roman"/>
          <w:sz w:val="24"/>
          <w:szCs w:val="24"/>
          <w:lang w:val="en-GB"/>
        </w:rPr>
        <w:t xml:space="preserve"> i2 </w:t>
      </w:r>
      <w:proofErr w:type="spellStart"/>
      <w:r w:rsidRPr="00B17DCD">
        <w:rPr>
          <w:rFonts w:ascii="Times New Roman" w:hAnsi="Times New Roman" w:cs="Times New Roman"/>
          <w:sz w:val="24"/>
          <w:szCs w:val="24"/>
          <w:lang w:val="en-GB"/>
        </w:rPr>
        <w:t>iBase</w:t>
      </w:r>
      <w:proofErr w:type="spellEnd"/>
      <w:r w:rsidRPr="00B17DCD">
        <w:rPr>
          <w:rFonts w:ascii="Times New Roman" w:hAnsi="Times New Roman" w:cs="Times New Roman"/>
          <w:sz w:val="24"/>
          <w:szCs w:val="24"/>
          <w:lang w:val="en-GB"/>
        </w:rPr>
        <w:t xml:space="preserve"> Designer.</w:t>
      </w:r>
    </w:p>
    <w:p w14:paraId="18D12B20" w14:textId="5E82352B" w:rsidR="00B17DCD" w:rsidRDefault="00B17DCD" w:rsidP="00740C77">
      <w:pPr>
        <w:spacing w:line="300" w:lineRule="atLeast"/>
        <w:ind w:firstLine="567"/>
        <w:contextualSpacing/>
        <w:jc w:val="both"/>
        <w:rPr>
          <w:rFonts w:ascii="Times New Roman" w:hAnsi="Times New Roman" w:cs="Times New Roman"/>
          <w:sz w:val="24"/>
          <w:szCs w:val="24"/>
        </w:rPr>
      </w:pPr>
      <w:r w:rsidRPr="00B17DCD">
        <w:rPr>
          <w:rFonts w:ascii="Times New Roman" w:hAnsi="Times New Roman" w:cs="Times New Roman"/>
          <w:sz w:val="24"/>
          <w:szCs w:val="24"/>
        </w:rPr>
        <w:t>Zespół uczestniczy również w analizowaniu zestawienia miejsc z ujawnionymi odpadami niebezpiecznymi i dzięki temu tworzone są mapy ujawnionych miejsc nielegalnego składowania i porzucenia odpadów, miejsc składowania odpadów niebezpiecznych oraz niebezpiecznych połączonych z innymi. W 2022 r ujawniono łącznie 463 lokalizacje, w tym 142 miejsca</w:t>
      </w:r>
      <w:r w:rsidR="00953874">
        <w:rPr>
          <w:rFonts w:ascii="Times New Roman" w:hAnsi="Times New Roman" w:cs="Times New Roman"/>
          <w:sz w:val="24"/>
          <w:szCs w:val="24"/>
        </w:rPr>
        <w:t>,</w:t>
      </w:r>
      <w:r w:rsidRPr="00B17DCD">
        <w:rPr>
          <w:rFonts w:ascii="Times New Roman" w:hAnsi="Times New Roman" w:cs="Times New Roman"/>
          <w:sz w:val="24"/>
          <w:szCs w:val="24"/>
        </w:rPr>
        <w:t xml:space="preserve"> w których wykryto wyłącznie odpady niebezpieczne oraz 341 miejsca z odpadami niebezpiecznymi i innymi frakcjami odpadów.</w:t>
      </w:r>
    </w:p>
    <w:p w14:paraId="136944C4" w14:textId="77777777" w:rsidR="00953874" w:rsidRPr="00B17DCD" w:rsidRDefault="00953874" w:rsidP="00740C77">
      <w:pPr>
        <w:spacing w:line="300" w:lineRule="atLeast"/>
        <w:ind w:firstLine="567"/>
        <w:contextualSpacing/>
        <w:jc w:val="both"/>
        <w:rPr>
          <w:rFonts w:ascii="Times New Roman" w:hAnsi="Times New Roman" w:cs="Times New Roman"/>
          <w:sz w:val="24"/>
          <w:szCs w:val="24"/>
        </w:rPr>
      </w:pPr>
    </w:p>
    <w:p w14:paraId="2B703089" w14:textId="4C3C7E95" w:rsidR="00B17DCD" w:rsidRPr="000C0753" w:rsidRDefault="00B17DCD" w:rsidP="00512029">
      <w:pPr>
        <w:keepNext/>
        <w:spacing w:line="300" w:lineRule="atLeast"/>
        <w:ind w:left="708" w:firstLine="708"/>
        <w:contextualSpacing/>
        <w:jc w:val="center"/>
      </w:pPr>
      <w:r w:rsidRPr="000C0753">
        <w:rPr>
          <w:noProof/>
          <w:lang w:eastAsia="pl-PL"/>
        </w:rPr>
        <w:drawing>
          <wp:inline distT="0" distB="0" distL="0" distR="0" wp14:anchorId="4A9F75FB" wp14:editId="46BB4521">
            <wp:extent cx="3638658" cy="3238500"/>
            <wp:effectExtent l="0" t="0" r="0" b="0"/>
            <wp:docPr id="2" name="Obraz 2" descr="Mapa ujawnionych miejsc nielegalnego składowania i porzucania odpadów (stan na dzień 31.12.2022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Mapa ujawnionych miejsc nielegalnego składowania i porzucania odpadów (stan na dzień 31.12.2022 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48562" cy="3336318"/>
                    </a:xfrm>
                    <a:prstGeom prst="rect">
                      <a:avLst/>
                    </a:prstGeom>
                    <a:noFill/>
                    <a:ln>
                      <a:noFill/>
                    </a:ln>
                  </pic:spPr>
                </pic:pic>
              </a:graphicData>
            </a:graphic>
          </wp:inline>
        </w:drawing>
      </w:r>
    </w:p>
    <w:p w14:paraId="0A02BD4E" w14:textId="3474AB77" w:rsidR="00B17DCD" w:rsidRPr="0003077C" w:rsidRDefault="00B17DCD" w:rsidP="00512029">
      <w:pPr>
        <w:pStyle w:val="Legenda"/>
        <w:spacing w:line="300" w:lineRule="atLeast"/>
        <w:contextualSpacing/>
        <w:jc w:val="center"/>
        <w:rPr>
          <w:noProof/>
          <w:color w:val="auto"/>
        </w:rPr>
      </w:pPr>
      <w:r w:rsidRPr="0003077C">
        <w:rPr>
          <w:noProof/>
          <w:color w:val="auto"/>
        </w:rPr>
        <w:fldChar w:fldCharType="begin"/>
      </w:r>
      <w:r w:rsidRPr="0003077C">
        <w:rPr>
          <w:noProof/>
          <w:color w:val="auto"/>
        </w:rPr>
        <w:instrText xml:space="preserve"> SEQ Rysunek \* ARABIC </w:instrText>
      </w:r>
      <w:r w:rsidRPr="0003077C">
        <w:rPr>
          <w:noProof/>
          <w:color w:val="auto"/>
        </w:rPr>
        <w:fldChar w:fldCharType="separate"/>
      </w:r>
      <w:r w:rsidR="00D61CF7">
        <w:rPr>
          <w:noProof/>
          <w:color w:val="auto"/>
        </w:rPr>
        <w:t>1</w:t>
      </w:r>
      <w:r w:rsidRPr="0003077C">
        <w:rPr>
          <w:noProof/>
          <w:color w:val="auto"/>
        </w:rPr>
        <w:fldChar w:fldCharType="end"/>
      </w:r>
      <w:r w:rsidRPr="0003077C">
        <w:rPr>
          <w:color w:val="auto"/>
        </w:rPr>
        <w:t>. Mapa ujawnionych miejsc nielegalnego składowania i porzucania odpadów (</w:t>
      </w:r>
      <w:r w:rsidRPr="0003077C">
        <w:rPr>
          <w:i/>
          <w:color w:val="auto"/>
        </w:rPr>
        <w:t>stan na dzień 31.12.2022 r.)</w:t>
      </w:r>
    </w:p>
    <w:p w14:paraId="26252265" w14:textId="77777777" w:rsidR="00B17DCD" w:rsidRPr="000C0753" w:rsidRDefault="00B17DCD" w:rsidP="00B17DCD">
      <w:pPr>
        <w:spacing w:line="300" w:lineRule="atLeast"/>
        <w:ind w:left="708" w:firstLine="708"/>
        <w:contextualSpacing/>
        <w:jc w:val="both"/>
      </w:pPr>
    </w:p>
    <w:p w14:paraId="79A533FC" w14:textId="237ACD33" w:rsidR="00B17DCD" w:rsidRPr="00953874" w:rsidRDefault="00B17DCD" w:rsidP="00B17DCD">
      <w:pPr>
        <w:spacing w:line="300" w:lineRule="atLeast"/>
        <w:ind w:left="708" w:firstLine="708"/>
        <w:contextualSpacing/>
        <w:jc w:val="both"/>
        <w:rPr>
          <w:rFonts w:ascii="Times New Roman" w:hAnsi="Times New Roman" w:cs="Times New Roman"/>
        </w:rPr>
      </w:pPr>
      <w:r w:rsidRPr="00953874">
        <w:rPr>
          <w:rFonts w:ascii="Times New Roman" w:hAnsi="Times New Roman" w:cs="Times New Roman"/>
          <w:noProof/>
          <w:lang w:eastAsia="pl-PL"/>
        </w:rPr>
        <mc:AlternateContent>
          <mc:Choice Requires="wps">
            <w:drawing>
              <wp:inline distT="0" distB="0" distL="0" distR="0" wp14:anchorId="3F42A785" wp14:editId="0B24082C">
                <wp:extent cx="200660" cy="121285"/>
                <wp:effectExtent l="0" t="0" r="27940" b="12065"/>
                <wp:docPr id="72" name="Prostokąt 72" descr="legenda: czerwony prostoką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660" cy="121285"/>
                        </a:xfrm>
                        <a:prstGeom prst="rect">
                          <a:avLst/>
                        </a:prstGeom>
                        <a:solidFill>
                          <a:srgbClr val="FF0000"/>
                        </a:solidFill>
                        <a:ln w="9525">
                          <a:solidFill>
                            <a:srgbClr val="FF0000"/>
                          </a:solidFill>
                          <a:miter lim="800000"/>
                          <a:headEnd/>
                          <a:tailEnd/>
                        </a:ln>
                      </wps:spPr>
                      <wps:txbx>
                        <w:txbxContent>
                          <w:p w14:paraId="2CE6E65D" w14:textId="625E47D3" w:rsidR="0003077C" w:rsidRDefault="0003077C" w:rsidP="0003077C">
                            <w:pPr>
                              <w:jc w:val="center"/>
                            </w:pPr>
                            <w:r>
                              <w:t>Czerwony pe</w:t>
                            </w:r>
                          </w:p>
                        </w:txbxContent>
                      </wps:txbx>
                      <wps:bodyPr rot="0" vert="horz" wrap="square" lIns="91440" tIns="45720" rIns="91440" bIns="45720" anchor="t" anchorCtr="0" upright="1">
                        <a:noAutofit/>
                      </wps:bodyPr>
                    </wps:wsp>
                  </a:graphicData>
                </a:graphic>
              </wp:inline>
            </w:drawing>
          </mc:Choice>
          <mc:Fallback>
            <w:pict>
              <v:rect w14:anchorId="3F42A785" id="Prostokąt 72" o:spid="_x0000_s1026" alt="legenda: czerwony prostokąt" style="width:15.8pt;height: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Q7EQAIAAG4EAAAOAAAAZHJzL2Uyb0RvYy54bWysVMtu2zAQvBfoPxC817IEOw8hchAkdVEg&#10;bQOk/QCaoiQiFJdd0pade/+sH5YlpaROeymK6kBwueRwOLOri8t9b9hOoddgK57P5pwpK6HWtq34&#10;t6/rd2ec+SBsLQxYVfGD8vxy9fbNxeBKVUAHplbICMT6cnAV70JwZZZ52ale+Bk4ZSnZAPYiUIht&#10;VqMYCL03WTGfn2QDYO0QpPKeVm/GJF8l/KZRMnxpGq8CMxUnbiGNmMZNHLPVhShbFK7TcqIh/oFF&#10;L7SlS1+gbkQQbIv6D6heSwQPTZhJ6DNoGi1VegO9Jp//9pr7TjiV3kLiePcik/9/sPLz7g6Zrit+&#10;WnBmRU8e3RHDAA8/fwQWF2vlJSlmVKvIxpLJR4UD2AMj2ad9UcbB+ZLQ7t0dRiG8uwX54JmF607Y&#10;Vl0hwtApURP5PO7PXh2IgaejbDN8gppIiG2ApOi+wT4CklZsn4w7vBin9oFJWoyVcEL2SkrlRV6c&#10;LdMNonw+7NCHDwp64uypBpDqIoGL3a0PkYwon7ck8mB0vdbGpADbzbVBthNUQ+v1nL4J3R9vM5YN&#10;FT9fFsuE/Crn/w6i14Gawei+4mfxmqk8o2rvbZ1KNQhtxjlRNnaSMSo3OhD2m/1kxgbqAwmKMBY9&#10;NSlNOsBHzgYq+Ir771uBijPz0ZIp5/liETskBYvlaUEBHmc2xxlhJUFVPHA2Tq/D2FVbh7rt6KY8&#10;yWDhioxsdBI5mjyymnhTUSftpwaMXXMcp12/fhOrJwAAAP//AwBQSwMEFAAGAAgAAAAhAIoEjE/b&#10;AAAAAwEAAA8AAABkcnMvZG93bnJldi54bWxMj0FLw0AQhe+C/2EZwZvdxGDRNJsi1oBFKNjofZOd&#10;JrHZ2ZDdpvHfO3rRy4PhPd77JlvPthcTjr5zpCBeRCCQamc6ahS8l8XNPQgfNBndO0IFX+hhnV9e&#10;ZDo17kxvOO1DI7iEfKoVtCEMqZS+btFqv3ADEnsHN1od+BwbaUZ95nLby9soWkqrO+KFVg/41GJ9&#10;3J+sgpfP7XFTFNNrlZTl+LF93t1tkp1S11fz4wpEwDn8heEHn9EhZ6bKnch40SvgR8KvspfESxAV&#10;Zx5ikHkm/7Pn3wAAAP//AwBQSwECLQAUAAYACAAAACEAtoM4kv4AAADhAQAAEwAAAAAAAAAAAAAA&#10;AAAAAAAAW0NvbnRlbnRfVHlwZXNdLnhtbFBLAQItABQABgAIAAAAIQA4/SH/1gAAAJQBAAALAAAA&#10;AAAAAAAAAAAAAC8BAABfcmVscy8ucmVsc1BLAQItABQABgAIAAAAIQC6XQ7EQAIAAG4EAAAOAAAA&#10;AAAAAAAAAAAAAC4CAABkcnMvZTJvRG9jLnhtbFBLAQItABQABgAIAAAAIQCKBIxP2wAAAAMBAAAP&#10;AAAAAAAAAAAAAAAAAJoEAABkcnMvZG93bnJldi54bWxQSwUGAAAAAAQABADzAAAAogUAAAAA&#10;" fillcolor="red" strokecolor="red">
                <v:textbox>
                  <w:txbxContent>
                    <w:p w14:paraId="2CE6E65D" w14:textId="625E47D3" w:rsidR="0003077C" w:rsidRDefault="0003077C" w:rsidP="0003077C">
                      <w:pPr>
                        <w:jc w:val="center"/>
                      </w:pPr>
                      <w:r>
                        <w:t>Czerwony pe</w:t>
                      </w:r>
                    </w:p>
                  </w:txbxContent>
                </v:textbox>
                <w10:anchorlock/>
              </v:rect>
            </w:pict>
          </mc:Fallback>
        </mc:AlternateContent>
      </w:r>
      <w:r w:rsidR="0003077C">
        <w:rPr>
          <w:rFonts w:ascii="Times New Roman" w:hAnsi="Times New Roman" w:cs="Times New Roman"/>
        </w:rPr>
        <w:t xml:space="preserve"> </w:t>
      </w:r>
      <w:r w:rsidRPr="00953874">
        <w:rPr>
          <w:rFonts w:ascii="Times New Roman" w:hAnsi="Times New Roman" w:cs="Times New Roman"/>
        </w:rPr>
        <w:t xml:space="preserve">miejsca, w których wykryto wyłącznie odpady niebezpieczne, </w:t>
      </w:r>
    </w:p>
    <w:p w14:paraId="51C84CB2" w14:textId="5A0D6DAA" w:rsidR="00B17DCD" w:rsidRPr="00953874" w:rsidRDefault="0003077C" w:rsidP="00B17DCD">
      <w:pPr>
        <w:spacing w:line="300" w:lineRule="atLeast"/>
        <w:ind w:left="708" w:firstLine="708"/>
        <w:contextualSpacing/>
        <w:jc w:val="both"/>
        <w:rPr>
          <w:rFonts w:ascii="Times New Roman" w:hAnsi="Times New Roman" w:cs="Times New Roman"/>
        </w:rPr>
      </w:pPr>
      <w:r w:rsidRPr="00953874">
        <w:rPr>
          <w:rFonts w:ascii="Times New Roman" w:hAnsi="Times New Roman" w:cs="Times New Roman"/>
          <w:noProof/>
          <w:lang w:eastAsia="pl-PL"/>
        </w:rPr>
        <mc:AlternateContent>
          <mc:Choice Requires="wps">
            <w:drawing>
              <wp:inline distT="0" distB="0" distL="0" distR="0" wp14:anchorId="09F87B8B" wp14:editId="719244B9">
                <wp:extent cx="200660" cy="121285"/>
                <wp:effectExtent l="0" t="0" r="8890" b="0"/>
                <wp:docPr id="17" name="Prostokąt 17" descr="legenda: niebieski prostoką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660" cy="121285"/>
                        </a:xfrm>
                        <a:prstGeom prst="rect">
                          <a:avLst/>
                        </a:prstGeom>
                        <a:solidFill>
                          <a:srgbClr val="00B0F0"/>
                        </a:solidFill>
                        <a:ln w="9525">
                          <a:noFill/>
                          <a:miter lim="800000"/>
                          <a:headEnd/>
                          <a:tailEnd/>
                        </a:ln>
                      </wps:spPr>
                      <wps:bodyPr rot="0" vert="horz" wrap="square" lIns="91440" tIns="45720" rIns="91440" bIns="45720" anchor="t" anchorCtr="0" upright="1">
                        <a:noAutofit/>
                      </wps:bodyPr>
                    </wps:wsp>
                  </a:graphicData>
                </a:graphic>
              </wp:inline>
            </w:drawing>
          </mc:Choice>
          <mc:Fallback>
            <w:pict>
              <v:rect w14:anchorId="2608D5AD" id="Prostokąt 17" o:spid="_x0000_s1026" alt="legenda: niebieski prostokąt" style="width:15.8pt;height: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TmeOQIAADsEAAAOAAAAZHJzL2Uyb0RvYy54bWysU9uO0zAQfUfiHyy/0yRVu5eo6Wrpsghp&#10;gUoLH+A6TmLV8Zix23R558/2wxg73VLgDZEHK+MZH585c7y4OfSG7RV6DbbixSTnTFkJtbZtxb9+&#10;uX9zxZkPwtbCgFUVf1Ke3yxfv1oMrlRT6MDUChmBWF8OruJdCK7MMi871Qs/AacsJRvAXgQKsc1q&#10;FAOh9yab5vlFNgDWDkEq72n3bkzyZcJvGiXD56bxKjBTceIW0opp3cQ1Wy5E2aJwnZZHGuIfWPRC&#10;W7r0BHUngmA71H9B9VoieGjCREKfQdNoqVIP1E2R/9HNYyecSr2QON6dZPL/D1Z+2q+R6Zpmd8mZ&#10;FT3NaE0MA2yffwQWN2vlJSlmVKtojCWzWm208lvNSPdjYdRxcL4kuEe3xqiEdw8gt55ZWHXCtuoW&#10;EYZOiZrYF7E+++1ADDwdZZvhI9TEQuwCJEkPDfYRkMRihzS5p9Pk1CEwSZvRChc0X0mpYlpMr+bp&#10;BlG+HHbow3sFPXH2ZAIkYyRwsX/wIZIR5UtJIg9G1/famBRgu1kZZHsRTZS/ze+Tb+iIPy8zlg0V&#10;v55P5wnZQjyf/NXrQCY3uq/4VR6/0XZRjHe2TiVBaDP+E6yxR3WiIKOwG6ifSByE0cH04uinA/zO&#10;2UDurbj/thOoODMfLAl8Xcxm0e4pmM0vpxTgeWZznhFWElTFA2fj7yqMT2TnULcd3VQcW7qloTQ6&#10;CRYHNrI6kiWHJh2Pryk+gfM4Vf1688ufAAAA//8DAFBLAwQUAAYACAAAACEAFDQoxtkAAAADAQAA&#10;DwAAAGRycy9kb3ducmV2LnhtbEyPwUrEQBBE74L/MLTgzZ1EZXFjJssiBBc8BFc/oJNpk2imJ2Ym&#10;u/Hvbb3opaCpoup1vl3coI40hd6zgXSVgCJuvO25NfD6Ul7dgQoR2eLgmQx8UYBtcX6WY2b9iZ/p&#10;eIitkhIOGRroYhwzrUPTkcOw8iOxeG9+chjlnFptJzxJuRv0dZKstcOeZaHDkR46aj4OszMw78fS&#10;Lu98Wz65qv4Mm2q/e6yMubxYdvegIi3xLww/+IIOhTDVfmYb1GBAHom/Kt5NugZVS2aTgi5y/Z+9&#10;+AYAAP//AwBQSwECLQAUAAYACAAAACEAtoM4kv4AAADhAQAAEwAAAAAAAAAAAAAAAAAAAAAAW0Nv&#10;bnRlbnRfVHlwZXNdLnhtbFBLAQItABQABgAIAAAAIQA4/SH/1gAAAJQBAAALAAAAAAAAAAAAAAAA&#10;AC8BAABfcmVscy8ucmVsc1BLAQItABQABgAIAAAAIQCcQTmeOQIAADsEAAAOAAAAAAAAAAAAAAAA&#10;AC4CAABkcnMvZTJvRG9jLnhtbFBLAQItABQABgAIAAAAIQAUNCjG2QAAAAMBAAAPAAAAAAAAAAAA&#10;AAAAAJMEAABkcnMvZG93bnJldi54bWxQSwUGAAAAAAQABADzAAAAmQUAAAAA&#10;" fillcolor="#00b0f0" stroked="f">
                <w10:anchorlock/>
              </v:rect>
            </w:pict>
          </mc:Fallback>
        </mc:AlternateContent>
      </w:r>
      <w:r>
        <w:rPr>
          <w:rFonts w:ascii="Times New Roman" w:hAnsi="Times New Roman" w:cs="Times New Roman"/>
        </w:rPr>
        <w:t xml:space="preserve"> </w:t>
      </w:r>
      <w:r w:rsidR="00B17DCD" w:rsidRPr="00953874">
        <w:rPr>
          <w:rFonts w:ascii="Times New Roman" w:hAnsi="Times New Roman" w:cs="Times New Roman"/>
        </w:rPr>
        <w:t>miejsca z odpadami niebezpiecznymi i innymi frakcjami odpadów.</w:t>
      </w:r>
    </w:p>
    <w:p w14:paraId="0C333623" w14:textId="05984A70" w:rsidR="00B17DCD" w:rsidRPr="000C0753" w:rsidRDefault="00B17DCD" w:rsidP="00B17DCD">
      <w:pPr>
        <w:spacing w:line="300" w:lineRule="atLeast"/>
        <w:ind w:left="708" w:firstLine="708"/>
        <w:contextualSpacing/>
        <w:jc w:val="both"/>
      </w:pPr>
    </w:p>
    <w:p w14:paraId="49C34083" w14:textId="77777777" w:rsidR="00B17DCD" w:rsidRPr="00B17DCD" w:rsidRDefault="00B17DCD" w:rsidP="00953874">
      <w:pPr>
        <w:spacing w:line="300" w:lineRule="atLeast"/>
        <w:ind w:firstLine="567"/>
        <w:contextualSpacing/>
        <w:jc w:val="both"/>
        <w:rPr>
          <w:rFonts w:ascii="Times New Roman" w:hAnsi="Times New Roman" w:cs="Times New Roman"/>
          <w:sz w:val="24"/>
          <w:szCs w:val="24"/>
        </w:rPr>
      </w:pPr>
      <w:r w:rsidRPr="00B17DCD">
        <w:rPr>
          <w:rFonts w:ascii="Times New Roman" w:hAnsi="Times New Roman" w:cs="Times New Roman"/>
          <w:sz w:val="24"/>
          <w:szCs w:val="24"/>
        </w:rPr>
        <w:t xml:space="preserve">Analizy prowadzonych spraw w zakresie ustalonych miejsc nielegalnego magazynowania lub porzucenia odpadów wskazały jednoznacznie, że identyfikowany proceder jest realizowany przez członków zorganizowanych grup przestępczych, mających na celu popełnianie przestępstw przeciwko mieniu, środowisku i bezpieczeństwu powszechnemu poprzez porzucanie odpadów niebezpiecznych. Jednocześnie wykazano rozwojową tendencję oraz metodyczną modyfikację i profesjonalizację w obszarze nowej przestępczości. </w:t>
      </w:r>
    </w:p>
    <w:p w14:paraId="4A050978" w14:textId="530CA33B" w:rsidR="00A22034" w:rsidRPr="007F400A" w:rsidRDefault="00B17DCD" w:rsidP="00953874">
      <w:pPr>
        <w:ind w:firstLine="567"/>
        <w:jc w:val="both"/>
        <w:rPr>
          <w:rFonts w:eastAsiaTheme="majorEastAsia"/>
          <w:b/>
        </w:rPr>
      </w:pPr>
      <w:r w:rsidRPr="00B17DCD">
        <w:rPr>
          <w:rFonts w:ascii="Times New Roman" w:hAnsi="Times New Roman" w:cs="Times New Roman"/>
          <w:sz w:val="24"/>
          <w:szCs w:val="24"/>
        </w:rPr>
        <w:lastRenderedPageBreak/>
        <w:t>W wyniku przeprowadzonych czynności służbowych we współpracy z Wydziałem Interwencyjno-Operacyjnym (analizy posiadanych materiałów, baz danych, informacji</w:t>
      </w:r>
      <w:r>
        <w:rPr>
          <w:rFonts w:ascii="Times New Roman" w:hAnsi="Times New Roman" w:cs="Times New Roman"/>
          <w:sz w:val="24"/>
          <w:szCs w:val="24"/>
        </w:rPr>
        <w:t xml:space="preserve"> </w:t>
      </w:r>
      <w:r w:rsidRPr="00B17DCD">
        <w:rPr>
          <w:rFonts w:ascii="Times New Roman" w:hAnsi="Times New Roman" w:cs="Times New Roman"/>
          <w:sz w:val="24"/>
          <w:szCs w:val="24"/>
        </w:rPr>
        <w:t>pozyskiwanych z WIOŚ oraz pochodzących z tzw. źródeł otwartych) pozyskano informacje na temat ewentualnej niezgodnej z prawem działalności podatkowej podmiotów zaangażowanych w obrót odpadami na terenie Polski, które mogą skutkować stratami Skarbu Państwa</w:t>
      </w:r>
      <w:r>
        <w:rPr>
          <w:rFonts w:ascii="Times New Roman" w:hAnsi="Times New Roman" w:cs="Times New Roman"/>
          <w:sz w:val="24"/>
          <w:szCs w:val="24"/>
        </w:rPr>
        <w:t xml:space="preserve">. </w:t>
      </w:r>
    </w:p>
    <w:p w14:paraId="16B2D88D" w14:textId="77777777" w:rsidR="00A22034" w:rsidRPr="007F400A" w:rsidRDefault="00A22034" w:rsidP="00953874">
      <w:pPr>
        <w:pStyle w:val="Nagwek1"/>
        <w:spacing w:after="120"/>
        <w:rPr>
          <w:color w:val="000000" w:themeColor="text1"/>
        </w:rPr>
      </w:pPr>
      <w:bookmarkStart w:id="288" w:name="_Toc135935661"/>
      <w:r w:rsidRPr="007F400A">
        <w:rPr>
          <w:color w:val="000000" w:themeColor="text1"/>
        </w:rPr>
        <w:t>1.3. Wydział ds. postępowań i prewencji</w:t>
      </w:r>
      <w:bookmarkEnd w:id="287"/>
      <w:bookmarkEnd w:id="288"/>
    </w:p>
    <w:p w14:paraId="6DECBE84" w14:textId="77777777" w:rsidR="00B17DCD" w:rsidRPr="000C0753" w:rsidRDefault="00B17DCD" w:rsidP="00953874">
      <w:pPr>
        <w:pStyle w:val="Bezodstpw"/>
        <w:spacing w:line="300" w:lineRule="atLeast"/>
        <w:ind w:firstLine="567"/>
        <w:contextualSpacing/>
        <w:jc w:val="both"/>
        <w:rPr>
          <w:rFonts w:ascii="Times New Roman" w:hAnsi="Times New Roman"/>
          <w:sz w:val="24"/>
          <w:szCs w:val="24"/>
        </w:rPr>
      </w:pPr>
      <w:r w:rsidRPr="000C0753">
        <w:rPr>
          <w:rFonts w:ascii="Times New Roman" w:hAnsi="Times New Roman"/>
          <w:sz w:val="24"/>
          <w:szCs w:val="24"/>
        </w:rPr>
        <w:t xml:space="preserve">Do zadań Wydziału ds. Postępowań i Prewencji należy: prowadzenie działań prewencyjnych w zakresie eliminowania przestępstw i wykroczeń przeciwko środowisku, współpraca w zakresie przeciwdziałania i wykrywania przestępstw przeciwko środowisku </w:t>
      </w:r>
      <w:r w:rsidRPr="000C0753">
        <w:rPr>
          <w:rFonts w:ascii="Times New Roman" w:hAnsi="Times New Roman"/>
          <w:sz w:val="24"/>
          <w:szCs w:val="24"/>
        </w:rPr>
        <w:br/>
        <w:t xml:space="preserve">z innymi organami administracji państwowej, organami samorządowymi, prokuraturą, inspekcjami i służbami uprawnionymi do ścigania przestępstw i wykroczeń oraz organizacjami społecznymi, opracowywanie materiałów pokontrolnych, współpraca z wojewódzkimi inspektorami ochrony środowiska w zakresie wniosków i zawiadomień o możliwości popełnienia przestępstwa przeciwko środowisku, a także prowadzenie postępowań w zakresie zidentyfikowanych przestępstw i wykroczeń przeciwko środowisku. </w:t>
      </w:r>
    </w:p>
    <w:p w14:paraId="2E55C790" w14:textId="72FDD8C5" w:rsidR="00B17DCD" w:rsidRPr="000C0753" w:rsidRDefault="00B17DCD" w:rsidP="00953874">
      <w:pPr>
        <w:pStyle w:val="Bezodstpw"/>
        <w:spacing w:line="300" w:lineRule="atLeast"/>
        <w:ind w:firstLine="567"/>
        <w:contextualSpacing/>
        <w:jc w:val="both"/>
        <w:rPr>
          <w:rFonts w:ascii="Times New Roman" w:hAnsi="Times New Roman"/>
          <w:sz w:val="24"/>
          <w:szCs w:val="24"/>
        </w:rPr>
      </w:pPr>
      <w:r w:rsidRPr="000C0753">
        <w:rPr>
          <w:rFonts w:ascii="Times New Roman" w:hAnsi="Times New Roman"/>
          <w:sz w:val="24"/>
          <w:szCs w:val="24"/>
        </w:rPr>
        <w:t>W ramach realizacji ww. zadań w 2022</w:t>
      </w:r>
      <w:r>
        <w:rPr>
          <w:rFonts w:ascii="Times New Roman" w:hAnsi="Times New Roman"/>
          <w:sz w:val="24"/>
          <w:szCs w:val="24"/>
        </w:rPr>
        <w:t xml:space="preserve"> </w:t>
      </w:r>
      <w:r w:rsidRPr="000C0753">
        <w:rPr>
          <w:rFonts w:ascii="Times New Roman" w:hAnsi="Times New Roman"/>
          <w:sz w:val="24"/>
          <w:szCs w:val="24"/>
        </w:rPr>
        <w:t>r. podpisane zostało porozumienie o współpracy Wyższego Urzędu Górniczego z Głównym Inspektoratem Ochrony Środowiska. Wydział realizuje również zadania w zakresie sporządzania zawiadomień o możliwości popełnienia przestępstw przeciwko środowisku, podejmuje działania legislacyjne, organizuje i koordynuje działania prewencyjne oraz odpowiada za współpracę z organami ścigania w zakresie spraw związanych z przestępstwami środowiskowymi. Jednym z tych działań jest ogólnopolska akcja prewencyjnej kontroli transportów odpadów, rozpoczęta w 2021</w:t>
      </w:r>
      <w:r>
        <w:rPr>
          <w:rFonts w:ascii="Times New Roman" w:hAnsi="Times New Roman"/>
          <w:sz w:val="24"/>
          <w:szCs w:val="24"/>
        </w:rPr>
        <w:t xml:space="preserve"> </w:t>
      </w:r>
      <w:r w:rsidRPr="000C0753">
        <w:rPr>
          <w:rFonts w:ascii="Times New Roman" w:hAnsi="Times New Roman"/>
          <w:sz w:val="24"/>
          <w:szCs w:val="24"/>
        </w:rPr>
        <w:t xml:space="preserve">r. i kontynuowana również </w:t>
      </w:r>
      <w:r w:rsidR="009F53C5">
        <w:rPr>
          <w:rFonts w:ascii="Times New Roman" w:hAnsi="Times New Roman"/>
          <w:sz w:val="24"/>
          <w:szCs w:val="24"/>
        </w:rPr>
        <w:br/>
      </w:r>
      <w:r w:rsidRPr="000C0753">
        <w:rPr>
          <w:rFonts w:ascii="Times New Roman" w:hAnsi="Times New Roman"/>
          <w:sz w:val="24"/>
          <w:szCs w:val="24"/>
        </w:rPr>
        <w:t>w 2022</w:t>
      </w:r>
      <w:r>
        <w:rPr>
          <w:rFonts w:ascii="Times New Roman" w:hAnsi="Times New Roman"/>
          <w:sz w:val="24"/>
          <w:szCs w:val="24"/>
        </w:rPr>
        <w:t xml:space="preserve"> </w:t>
      </w:r>
      <w:r w:rsidRPr="000C0753">
        <w:rPr>
          <w:rFonts w:ascii="Times New Roman" w:hAnsi="Times New Roman"/>
          <w:sz w:val="24"/>
          <w:szCs w:val="24"/>
        </w:rPr>
        <w:t>r. Dane dotyczące kontroli pojazdów przedstawione są w tabeli poniżej.</w:t>
      </w:r>
    </w:p>
    <w:p w14:paraId="2BD5B1A9" w14:textId="78F05664" w:rsidR="00B17DCD" w:rsidRPr="00EB593F" w:rsidRDefault="00EB593F" w:rsidP="00B17DCD">
      <w:pPr>
        <w:pStyle w:val="Bezodstpw"/>
        <w:spacing w:line="300" w:lineRule="atLeast"/>
        <w:contextualSpacing/>
        <w:jc w:val="both"/>
        <w:rPr>
          <w:rFonts w:ascii="Times New Roman" w:hAnsi="Times New Roman"/>
          <w:b/>
          <w:sz w:val="24"/>
          <w:szCs w:val="24"/>
        </w:rPr>
      </w:pPr>
      <w:r w:rsidRPr="00EB593F">
        <w:rPr>
          <w:rFonts w:ascii="Times New Roman" w:hAnsi="Times New Roman"/>
          <w:b/>
          <w:sz w:val="24"/>
          <w:szCs w:val="24"/>
        </w:rPr>
        <w:t xml:space="preserve">Tabela 13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85" w:type="dxa"/>
          <w:left w:w="57" w:type="dxa"/>
          <w:bottom w:w="85" w:type="dxa"/>
          <w:right w:w="57" w:type="dxa"/>
        </w:tblCellMar>
        <w:tblLook w:val="04A0" w:firstRow="1" w:lastRow="0" w:firstColumn="1" w:lastColumn="0" w:noHBand="0" w:noVBand="1"/>
      </w:tblPr>
      <w:tblGrid>
        <w:gridCol w:w="679"/>
        <w:gridCol w:w="3886"/>
        <w:gridCol w:w="4496"/>
      </w:tblGrid>
      <w:tr w:rsidR="00B17DCD" w:rsidRPr="00B17DCD" w14:paraId="5DEC5A6D" w14:textId="77777777" w:rsidTr="00740B87">
        <w:tc>
          <w:tcPr>
            <w:tcW w:w="9061" w:type="dxa"/>
            <w:gridSpan w:val="3"/>
            <w:tcBorders>
              <w:top w:val="single" w:sz="4" w:space="0" w:color="000000"/>
              <w:left w:val="single" w:sz="4" w:space="0" w:color="000000"/>
              <w:bottom w:val="single" w:sz="4" w:space="0" w:color="000000"/>
              <w:right w:val="single" w:sz="4" w:space="0" w:color="000000"/>
            </w:tcBorders>
            <w:hideMark/>
          </w:tcPr>
          <w:p w14:paraId="400D6BC6" w14:textId="5D7AACE9" w:rsidR="00B17DCD" w:rsidRPr="00B17DCD" w:rsidRDefault="00B17DCD" w:rsidP="00740B87">
            <w:pPr>
              <w:tabs>
                <w:tab w:val="left" w:pos="3974"/>
              </w:tabs>
              <w:spacing w:line="300" w:lineRule="atLeast"/>
              <w:contextualSpacing/>
              <w:jc w:val="center"/>
              <w:rPr>
                <w:rFonts w:ascii="Times New Roman" w:hAnsi="Times New Roman" w:cs="Times New Roman"/>
                <w:b/>
                <w:strike/>
              </w:rPr>
            </w:pPr>
            <w:r w:rsidRPr="00B17DCD">
              <w:rPr>
                <w:rFonts w:ascii="Times New Roman" w:hAnsi="Times New Roman" w:cs="Times New Roman"/>
                <w:b/>
              </w:rPr>
              <w:t>Dane po zakończeniu akcji</w:t>
            </w:r>
            <w:r w:rsidRPr="009F53C5">
              <w:rPr>
                <w:rFonts w:ascii="Times New Roman" w:hAnsi="Times New Roman" w:cs="Times New Roman"/>
                <w:b/>
              </w:rPr>
              <w:t xml:space="preserve"> za</w:t>
            </w:r>
            <w:r w:rsidRPr="00B17DCD">
              <w:rPr>
                <w:rFonts w:ascii="Times New Roman" w:hAnsi="Times New Roman" w:cs="Times New Roman"/>
                <w:b/>
              </w:rPr>
              <w:t xml:space="preserve"> rok 2022 r. </w:t>
            </w:r>
          </w:p>
        </w:tc>
      </w:tr>
      <w:tr w:rsidR="00B17DCD" w:rsidRPr="00B17DCD" w14:paraId="66FBDA4B" w14:textId="77777777" w:rsidTr="00740B87">
        <w:tc>
          <w:tcPr>
            <w:tcW w:w="679" w:type="dxa"/>
            <w:tcBorders>
              <w:top w:val="single" w:sz="4" w:space="0" w:color="000000"/>
              <w:left w:val="single" w:sz="4" w:space="0" w:color="000000"/>
              <w:bottom w:val="single" w:sz="4" w:space="0" w:color="000000"/>
              <w:right w:val="single" w:sz="4" w:space="0" w:color="000000"/>
            </w:tcBorders>
            <w:vAlign w:val="center"/>
            <w:hideMark/>
          </w:tcPr>
          <w:p w14:paraId="4F55FD16" w14:textId="77777777" w:rsidR="00B17DCD" w:rsidRPr="00B17DCD" w:rsidRDefault="00B17DCD" w:rsidP="00740B87">
            <w:pPr>
              <w:spacing w:line="300" w:lineRule="atLeast"/>
              <w:contextualSpacing/>
              <w:jc w:val="center"/>
              <w:rPr>
                <w:rFonts w:ascii="Times New Roman" w:hAnsi="Times New Roman" w:cs="Times New Roman"/>
                <w:b/>
              </w:rPr>
            </w:pPr>
            <w:r w:rsidRPr="00B17DCD">
              <w:rPr>
                <w:rFonts w:ascii="Times New Roman" w:hAnsi="Times New Roman" w:cs="Times New Roman"/>
                <w:b/>
              </w:rPr>
              <w:t>Lp.</w:t>
            </w:r>
          </w:p>
        </w:tc>
        <w:tc>
          <w:tcPr>
            <w:tcW w:w="3886" w:type="dxa"/>
            <w:tcBorders>
              <w:top w:val="single" w:sz="4" w:space="0" w:color="000000"/>
              <w:left w:val="single" w:sz="4" w:space="0" w:color="000000"/>
              <w:bottom w:val="single" w:sz="4" w:space="0" w:color="000000"/>
              <w:right w:val="single" w:sz="4" w:space="0" w:color="000000"/>
            </w:tcBorders>
            <w:vAlign w:val="center"/>
            <w:hideMark/>
          </w:tcPr>
          <w:p w14:paraId="30DB07A4" w14:textId="77777777" w:rsidR="00B17DCD" w:rsidRPr="00B17DCD" w:rsidRDefault="00B17DCD" w:rsidP="00740B87">
            <w:pPr>
              <w:spacing w:line="300" w:lineRule="atLeast"/>
              <w:contextualSpacing/>
              <w:jc w:val="center"/>
              <w:rPr>
                <w:rFonts w:ascii="Times New Roman" w:hAnsi="Times New Roman" w:cs="Times New Roman"/>
                <w:b/>
              </w:rPr>
            </w:pPr>
            <w:r w:rsidRPr="00B17DCD">
              <w:rPr>
                <w:rFonts w:ascii="Times New Roman" w:hAnsi="Times New Roman" w:cs="Times New Roman"/>
                <w:b/>
              </w:rPr>
              <w:t>Jednostka, komórka organizacyjna, dane kontaktowe</w:t>
            </w:r>
          </w:p>
        </w:tc>
        <w:tc>
          <w:tcPr>
            <w:tcW w:w="4496" w:type="dxa"/>
            <w:tcBorders>
              <w:top w:val="single" w:sz="4" w:space="0" w:color="000000"/>
              <w:left w:val="single" w:sz="4" w:space="0" w:color="000000"/>
              <w:bottom w:val="single" w:sz="4" w:space="0" w:color="000000"/>
              <w:right w:val="single" w:sz="4" w:space="0" w:color="000000"/>
            </w:tcBorders>
            <w:vAlign w:val="center"/>
          </w:tcPr>
          <w:p w14:paraId="5DC0DF77" w14:textId="77777777" w:rsidR="00B17DCD" w:rsidRPr="00B17DCD" w:rsidRDefault="00B17DCD" w:rsidP="00740B87">
            <w:pPr>
              <w:tabs>
                <w:tab w:val="left" w:pos="4560"/>
              </w:tabs>
              <w:spacing w:line="300" w:lineRule="atLeast"/>
              <w:contextualSpacing/>
              <w:jc w:val="center"/>
              <w:rPr>
                <w:rFonts w:ascii="Times New Roman" w:hAnsi="Times New Roman" w:cs="Times New Roman"/>
                <w:b/>
              </w:rPr>
            </w:pPr>
            <w:r w:rsidRPr="00B17DCD">
              <w:rPr>
                <w:rFonts w:ascii="Times New Roman" w:hAnsi="Times New Roman" w:cs="Times New Roman"/>
              </w:rPr>
              <w:t>Dane przekazane przez wszystkie WIOŚ biorące udział w działaniach</w:t>
            </w:r>
            <w:r w:rsidRPr="00B17DCD">
              <w:rPr>
                <w:rFonts w:ascii="Times New Roman" w:hAnsi="Times New Roman" w:cs="Times New Roman"/>
                <w:b/>
              </w:rPr>
              <w:t xml:space="preserve">. </w:t>
            </w:r>
          </w:p>
          <w:p w14:paraId="4B49BD9C" w14:textId="77777777" w:rsidR="00B17DCD" w:rsidRPr="00B17DCD" w:rsidRDefault="00B17DCD" w:rsidP="00740B87">
            <w:pPr>
              <w:tabs>
                <w:tab w:val="left" w:pos="4560"/>
              </w:tabs>
              <w:spacing w:line="300" w:lineRule="atLeast"/>
              <w:contextualSpacing/>
              <w:jc w:val="center"/>
              <w:rPr>
                <w:rFonts w:ascii="Times New Roman" w:hAnsi="Times New Roman" w:cs="Times New Roman"/>
              </w:rPr>
            </w:pPr>
          </w:p>
        </w:tc>
      </w:tr>
      <w:tr w:rsidR="00B17DCD" w:rsidRPr="00B17DCD" w14:paraId="571B4756" w14:textId="77777777" w:rsidTr="00740B87">
        <w:trPr>
          <w:trHeight w:val="449"/>
        </w:trPr>
        <w:tc>
          <w:tcPr>
            <w:tcW w:w="679" w:type="dxa"/>
            <w:tcBorders>
              <w:top w:val="single" w:sz="4" w:space="0" w:color="000000"/>
              <w:left w:val="single" w:sz="4" w:space="0" w:color="000000"/>
              <w:bottom w:val="single" w:sz="4" w:space="0" w:color="000000"/>
              <w:right w:val="single" w:sz="4" w:space="0" w:color="000000"/>
            </w:tcBorders>
            <w:vAlign w:val="center"/>
            <w:hideMark/>
          </w:tcPr>
          <w:p w14:paraId="66F25A2B" w14:textId="77777777" w:rsidR="00B17DCD" w:rsidRPr="00B17DCD" w:rsidRDefault="00B17DCD" w:rsidP="00740B87">
            <w:pPr>
              <w:spacing w:line="300" w:lineRule="atLeast"/>
              <w:contextualSpacing/>
              <w:jc w:val="center"/>
              <w:rPr>
                <w:rFonts w:ascii="Times New Roman" w:hAnsi="Times New Roman" w:cs="Times New Roman"/>
                <w:b/>
              </w:rPr>
            </w:pPr>
            <w:r w:rsidRPr="00B17DCD">
              <w:rPr>
                <w:rFonts w:ascii="Times New Roman" w:hAnsi="Times New Roman" w:cs="Times New Roman"/>
                <w:b/>
              </w:rPr>
              <w:t>1.1</w:t>
            </w:r>
          </w:p>
        </w:tc>
        <w:tc>
          <w:tcPr>
            <w:tcW w:w="3886" w:type="dxa"/>
            <w:tcBorders>
              <w:top w:val="single" w:sz="4" w:space="0" w:color="000000"/>
              <w:left w:val="single" w:sz="4" w:space="0" w:color="000000"/>
              <w:bottom w:val="single" w:sz="4" w:space="0" w:color="000000"/>
              <w:right w:val="single" w:sz="4" w:space="0" w:color="000000"/>
            </w:tcBorders>
            <w:hideMark/>
          </w:tcPr>
          <w:p w14:paraId="7A7A052D" w14:textId="0F71ECEA" w:rsidR="00B17DCD" w:rsidRPr="00B17DCD" w:rsidRDefault="00B17DCD" w:rsidP="00740B87">
            <w:pPr>
              <w:spacing w:line="300" w:lineRule="atLeast"/>
              <w:contextualSpacing/>
              <w:jc w:val="center"/>
              <w:rPr>
                <w:rFonts w:ascii="Times New Roman" w:hAnsi="Times New Roman" w:cs="Times New Roman"/>
                <w:b/>
              </w:rPr>
            </w:pPr>
            <w:r w:rsidRPr="00B17DCD">
              <w:rPr>
                <w:rFonts w:ascii="Times New Roman" w:hAnsi="Times New Roman" w:cs="Times New Roman"/>
                <w:b/>
              </w:rPr>
              <w:t xml:space="preserve">Liczba </w:t>
            </w:r>
            <w:r w:rsidRPr="00B17DCD">
              <w:rPr>
                <w:rFonts w:ascii="Times New Roman" w:hAnsi="Times New Roman" w:cs="Times New Roman"/>
                <w:b/>
                <w:u w:val="single"/>
              </w:rPr>
              <w:t xml:space="preserve">wszystkich </w:t>
            </w:r>
            <w:r w:rsidRPr="00B17DCD">
              <w:rPr>
                <w:rFonts w:ascii="Times New Roman" w:hAnsi="Times New Roman" w:cs="Times New Roman"/>
                <w:b/>
              </w:rPr>
              <w:t>skontrolowanych pojazdów w województwie</w:t>
            </w:r>
          </w:p>
        </w:tc>
        <w:tc>
          <w:tcPr>
            <w:tcW w:w="4496" w:type="dxa"/>
            <w:tcBorders>
              <w:top w:val="single" w:sz="4" w:space="0" w:color="000000"/>
              <w:left w:val="single" w:sz="4" w:space="0" w:color="000000"/>
              <w:bottom w:val="single" w:sz="4" w:space="0" w:color="000000"/>
              <w:right w:val="single" w:sz="4" w:space="0" w:color="000000"/>
            </w:tcBorders>
            <w:vAlign w:val="center"/>
            <w:hideMark/>
          </w:tcPr>
          <w:p w14:paraId="36257C38" w14:textId="209A7D7D" w:rsidR="00B17DCD" w:rsidRPr="00B17DCD" w:rsidRDefault="00B17DCD" w:rsidP="00740B87">
            <w:pPr>
              <w:spacing w:line="300" w:lineRule="atLeast"/>
              <w:contextualSpacing/>
              <w:jc w:val="center"/>
              <w:rPr>
                <w:rFonts w:ascii="Times New Roman" w:hAnsi="Times New Roman" w:cs="Times New Roman"/>
                <w:b/>
              </w:rPr>
            </w:pPr>
            <w:r w:rsidRPr="00B17DCD">
              <w:rPr>
                <w:rFonts w:ascii="Times New Roman" w:hAnsi="Times New Roman" w:cs="Times New Roman"/>
                <w:b/>
              </w:rPr>
              <w:t>3</w:t>
            </w:r>
            <w:r w:rsidR="009F53C5">
              <w:rPr>
                <w:rFonts w:ascii="Times New Roman" w:hAnsi="Times New Roman" w:cs="Times New Roman"/>
                <w:b/>
              </w:rPr>
              <w:t xml:space="preserve"> </w:t>
            </w:r>
            <w:r w:rsidRPr="00B17DCD">
              <w:rPr>
                <w:rFonts w:ascii="Times New Roman" w:hAnsi="Times New Roman" w:cs="Times New Roman"/>
                <w:b/>
              </w:rPr>
              <w:t>690</w:t>
            </w:r>
          </w:p>
        </w:tc>
      </w:tr>
      <w:tr w:rsidR="00B17DCD" w:rsidRPr="00B17DCD" w14:paraId="01F4D00D" w14:textId="77777777" w:rsidTr="00740B87">
        <w:tc>
          <w:tcPr>
            <w:tcW w:w="679" w:type="dxa"/>
            <w:tcBorders>
              <w:top w:val="single" w:sz="4" w:space="0" w:color="000000"/>
              <w:left w:val="single" w:sz="4" w:space="0" w:color="000000"/>
              <w:bottom w:val="single" w:sz="4" w:space="0" w:color="000000"/>
              <w:right w:val="single" w:sz="4" w:space="0" w:color="000000"/>
            </w:tcBorders>
            <w:vAlign w:val="center"/>
            <w:hideMark/>
          </w:tcPr>
          <w:p w14:paraId="4C8C83A9" w14:textId="77777777" w:rsidR="00B17DCD" w:rsidRPr="00B17DCD" w:rsidRDefault="00B17DCD" w:rsidP="00740B87">
            <w:pPr>
              <w:spacing w:line="300" w:lineRule="atLeast"/>
              <w:contextualSpacing/>
              <w:jc w:val="center"/>
              <w:rPr>
                <w:rFonts w:ascii="Times New Roman" w:hAnsi="Times New Roman" w:cs="Times New Roman"/>
                <w:b/>
              </w:rPr>
            </w:pPr>
            <w:r w:rsidRPr="00B17DCD">
              <w:rPr>
                <w:rFonts w:ascii="Times New Roman" w:hAnsi="Times New Roman" w:cs="Times New Roman"/>
                <w:b/>
              </w:rPr>
              <w:t>1.2</w:t>
            </w:r>
          </w:p>
        </w:tc>
        <w:tc>
          <w:tcPr>
            <w:tcW w:w="3886" w:type="dxa"/>
            <w:tcBorders>
              <w:top w:val="single" w:sz="4" w:space="0" w:color="000000"/>
              <w:left w:val="single" w:sz="4" w:space="0" w:color="000000"/>
              <w:bottom w:val="single" w:sz="4" w:space="0" w:color="000000"/>
              <w:right w:val="single" w:sz="4" w:space="0" w:color="000000"/>
            </w:tcBorders>
            <w:hideMark/>
          </w:tcPr>
          <w:p w14:paraId="45A3C6EE" w14:textId="77777777" w:rsidR="00B17DCD" w:rsidRPr="00B17DCD" w:rsidRDefault="00B17DCD" w:rsidP="00740B87">
            <w:pPr>
              <w:spacing w:line="300" w:lineRule="atLeast"/>
              <w:contextualSpacing/>
              <w:jc w:val="center"/>
              <w:rPr>
                <w:rFonts w:ascii="Times New Roman" w:hAnsi="Times New Roman" w:cs="Times New Roman"/>
                <w:b/>
              </w:rPr>
            </w:pPr>
            <w:r w:rsidRPr="00B17DCD">
              <w:rPr>
                <w:rFonts w:ascii="Times New Roman" w:hAnsi="Times New Roman" w:cs="Times New Roman"/>
                <w:b/>
              </w:rPr>
              <w:t xml:space="preserve">Liczba skontrolowanych pojazdów w województwie </w:t>
            </w:r>
            <w:r w:rsidRPr="00B17DCD">
              <w:rPr>
                <w:rFonts w:ascii="Times New Roman" w:hAnsi="Times New Roman" w:cs="Times New Roman"/>
                <w:b/>
                <w:u w:val="single"/>
              </w:rPr>
              <w:t>przewożących odpady</w:t>
            </w:r>
          </w:p>
        </w:tc>
        <w:tc>
          <w:tcPr>
            <w:tcW w:w="4496" w:type="dxa"/>
            <w:tcBorders>
              <w:top w:val="single" w:sz="4" w:space="0" w:color="000000"/>
              <w:left w:val="single" w:sz="4" w:space="0" w:color="000000"/>
              <w:bottom w:val="single" w:sz="4" w:space="0" w:color="000000"/>
              <w:right w:val="single" w:sz="4" w:space="0" w:color="000000"/>
            </w:tcBorders>
            <w:vAlign w:val="center"/>
            <w:hideMark/>
          </w:tcPr>
          <w:p w14:paraId="37137ED0" w14:textId="61CCEBE4" w:rsidR="00B17DCD" w:rsidRPr="00B17DCD" w:rsidRDefault="00B17DCD" w:rsidP="00740B87">
            <w:pPr>
              <w:spacing w:line="300" w:lineRule="atLeast"/>
              <w:contextualSpacing/>
              <w:jc w:val="center"/>
              <w:rPr>
                <w:rFonts w:ascii="Times New Roman" w:hAnsi="Times New Roman" w:cs="Times New Roman"/>
                <w:b/>
              </w:rPr>
            </w:pPr>
            <w:r w:rsidRPr="00B17DCD">
              <w:rPr>
                <w:rFonts w:ascii="Times New Roman" w:hAnsi="Times New Roman" w:cs="Times New Roman"/>
                <w:b/>
              </w:rPr>
              <w:t>1</w:t>
            </w:r>
            <w:r w:rsidR="009F53C5">
              <w:rPr>
                <w:rFonts w:ascii="Times New Roman" w:hAnsi="Times New Roman" w:cs="Times New Roman"/>
                <w:b/>
              </w:rPr>
              <w:t xml:space="preserve"> </w:t>
            </w:r>
            <w:r w:rsidRPr="00B17DCD">
              <w:rPr>
                <w:rFonts w:ascii="Times New Roman" w:hAnsi="Times New Roman" w:cs="Times New Roman"/>
                <w:b/>
              </w:rPr>
              <w:t>074</w:t>
            </w:r>
          </w:p>
        </w:tc>
      </w:tr>
      <w:tr w:rsidR="00B17DCD" w:rsidRPr="00B17DCD" w14:paraId="1DCB6FF7" w14:textId="77777777" w:rsidTr="00740B87">
        <w:tc>
          <w:tcPr>
            <w:tcW w:w="679" w:type="dxa"/>
            <w:tcBorders>
              <w:top w:val="single" w:sz="4" w:space="0" w:color="000000"/>
              <w:left w:val="single" w:sz="4" w:space="0" w:color="000000"/>
              <w:bottom w:val="single" w:sz="4" w:space="0" w:color="000000"/>
              <w:right w:val="single" w:sz="4" w:space="0" w:color="000000"/>
            </w:tcBorders>
            <w:vAlign w:val="center"/>
            <w:hideMark/>
          </w:tcPr>
          <w:p w14:paraId="27DE3813" w14:textId="77777777" w:rsidR="00B17DCD" w:rsidRPr="00B17DCD" w:rsidRDefault="00B17DCD" w:rsidP="00740B87">
            <w:pPr>
              <w:spacing w:line="300" w:lineRule="atLeast"/>
              <w:contextualSpacing/>
              <w:jc w:val="center"/>
              <w:rPr>
                <w:rFonts w:ascii="Times New Roman" w:hAnsi="Times New Roman" w:cs="Times New Roman"/>
                <w:b/>
              </w:rPr>
            </w:pPr>
            <w:r w:rsidRPr="00B17DCD">
              <w:rPr>
                <w:rFonts w:ascii="Times New Roman" w:hAnsi="Times New Roman" w:cs="Times New Roman"/>
                <w:b/>
              </w:rPr>
              <w:t>1.3</w:t>
            </w:r>
          </w:p>
        </w:tc>
        <w:tc>
          <w:tcPr>
            <w:tcW w:w="3886" w:type="dxa"/>
            <w:tcBorders>
              <w:top w:val="single" w:sz="4" w:space="0" w:color="000000"/>
              <w:left w:val="single" w:sz="4" w:space="0" w:color="000000"/>
              <w:bottom w:val="single" w:sz="4" w:space="0" w:color="000000"/>
              <w:right w:val="single" w:sz="4" w:space="0" w:color="000000"/>
            </w:tcBorders>
            <w:hideMark/>
          </w:tcPr>
          <w:p w14:paraId="1319F0F9" w14:textId="77777777" w:rsidR="00B17DCD" w:rsidRPr="00B17DCD" w:rsidRDefault="00B17DCD" w:rsidP="00740B87">
            <w:pPr>
              <w:spacing w:line="300" w:lineRule="atLeast"/>
              <w:contextualSpacing/>
              <w:jc w:val="center"/>
              <w:rPr>
                <w:rFonts w:ascii="Times New Roman" w:hAnsi="Times New Roman" w:cs="Times New Roman"/>
                <w:b/>
              </w:rPr>
            </w:pPr>
            <w:r w:rsidRPr="00B17DCD">
              <w:rPr>
                <w:rFonts w:ascii="Times New Roman" w:hAnsi="Times New Roman" w:cs="Times New Roman"/>
                <w:b/>
              </w:rPr>
              <w:t xml:space="preserve">Liczba ujawnionych </w:t>
            </w:r>
            <w:r w:rsidRPr="00B17DCD">
              <w:rPr>
                <w:rFonts w:ascii="Times New Roman" w:hAnsi="Times New Roman" w:cs="Times New Roman"/>
                <w:b/>
                <w:u w:val="single"/>
              </w:rPr>
              <w:t>nielegalnych</w:t>
            </w:r>
            <w:r w:rsidRPr="00B17DCD">
              <w:rPr>
                <w:rFonts w:ascii="Times New Roman" w:hAnsi="Times New Roman" w:cs="Times New Roman"/>
                <w:b/>
              </w:rPr>
              <w:t xml:space="preserve"> transportów odpadów na terenie całego województwa, w tym:</w:t>
            </w:r>
          </w:p>
        </w:tc>
        <w:tc>
          <w:tcPr>
            <w:tcW w:w="4496" w:type="dxa"/>
            <w:tcBorders>
              <w:top w:val="single" w:sz="4" w:space="0" w:color="000000"/>
              <w:left w:val="single" w:sz="4" w:space="0" w:color="000000"/>
              <w:bottom w:val="single" w:sz="4" w:space="0" w:color="000000"/>
              <w:right w:val="single" w:sz="4" w:space="0" w:color="000000"/>
            </w:tcBorders>
            <w:vAlign w:val="center"/>
            <w:hideMark/>
          </w:tcPr>
          <w:p w14:paraId="653E302F" w14:textId="77777777" w:rsidR="00B17DCD" w:rsidRPr="00B17DCD" w:rsidRDefault="00B17DCD" w:rsidP="00740B87">
            <w:pPr>
              <w:spacing w:line="300" w:lineRule="atLeast"/>
              <w:contextualSpacing/>
              <w:jc w:val="center"/>
              <w:rPr>
                <w:rFonts w:ascii="Times New Roman" w:hAnsi="Times New Roman" w:cs="Times New Roman"/>
                <w:b/>
              </w:rPr>
            </w:pPr>
            <w:r w:rsidRPr="00B17DCD">
              <w:rPr>
                <w:rFonts w:ascii="Times New Roman" w:hAnsi="Times New Roman" w:cs="Times New Roman"/>
                <w:b/>
              </w:rPr>
              <w:t>42</w:t>
            </w:r>
          </w:p>
        </w:tc>
      </w:tr>
      <w:tr w:rsidR="00B17DCD" w:rsidRPr="00B17DCD" w14:paraId="1D8E7BF2" w14:textId="77777777" w:rsidTr="00740B87">
        <w:tc>
          <w:tcPr>
            <w:tcW w:w="679" w:type="dxa"/>
            <w:tcBorders>
              <w:top w:val="single" w:sz="4" w:space="0" w:color="000000"/>
              <w:left w:val="single" w:sz="4" w:space="0" w:color="000000"/>
              <w:bottom w:val="single" w:sz="4" w:space="0" w:color="000000"/>
              <w:right w:val="single" w:sz="4" w:space="0" w:color="000000"/>
            </w:tcBorders>
            <w:vAlign w:val="center"/>
            <w:hideMark/>
          </w:tcPr>
          <w:p w14:paraId="209317FF" w14:textId="77777777" w:rsidR="00B17DCD" w:rsidRPr="00B17DCD" w:rsidRDefault="00B17DCD" w:rsidP="00740B87">
            <w:pPr>
              <w:spacing w:line="300" w:lineRule="atLeast"/>
              <w:contextualSpacing/>
              <w:jc w:val="center"/>
              <w:rPr>
                <w:rFonts w:ascii="Times New Roman" w:hAnsi="Times New Roman" w:cs="Times New Roman"/>
                <w:b/>
              </w:rPr>
            </w:pPr>
            <w:r w:rsidRPr="00B17DCD">
              <w:rPr>
                <w:rFonts w:ascii="Times New Roman" w:hAnsi="Times New Roman" w:cs="Times New Roman"/>
                <w:b/>
              </w:rPr>
              <w:t>1.3.1</w:t>
            </w:r>
          </w:p>
        </w:tc>
        <w:tc>
          <w:tcPr>
            <w:tcW w:w="3886" w:type="dxa"/>
            <w:tcBorders>
              <w:top w:val="single" w:sz="4" w:space="0" w:color="000000"/>
              <w:left w:val="single" w:sz="4" w:space="0" w:color="000000"/>
              <w:bottom w:val="single" w:sz="4" w:space="0" w:color="000000"/>
              <w:right w:val="single" w:sz="4" w:space="0" w:color="000000"/>
            </w:tcBorders>
            <w:hideMark/>
          </w:tcPr>
          <w:p w14:paraId="460C4D21" w14:textId="77777777" w:rsidR="00B17DCD" w:rsidRPr="00B17DCD" w:rsidRDefault="00B17DCD" w:rsidP="00740B87">
            <w:pPr>
              <w:spacing w:line="300" w:lineRule="atLeast"/>
              <w:contextualSpacing/>
              <w:jc w:val="center"/>
              <w:rPr>
                <w:rFonts w:ascii="Times New Roman" w:hAnsi="Times New Roman" w:cs="Times New Roman"/>
                <w:b/>
              </w:rPr>
            </w:pPr>
            <w:r w:rsidRPr="00B17DCD">
              <w:rPr>
                <w:rFonts w:ascii="Times New Roman" w:hAnsi="Times New Roman" w:cs="Times New Roman"/>
                <w:b/>
              </w:rPr>
              <w:t xml:space="preserve">Liczba ujawnionych </w:t>
            </w:r>
            <w:r w:rsidRPr="00B17DCD">
              <w:rPr>
                <w:rFonts w:ascii="Times New Roman" w:hAnsi="Times New Roman" w:cs="Times New Roman"/>
                <w:b/>
                <w:u w:val="single"/>
              </w:rPr>
              <w:t>nielegalnych TPO</w:t>
            </w:r>
          </w:p>
        </w:tc>
        <w:tc>
          <w:tcPr>
            <w:tcW w:w="4496" w:type="dxa"/>
            <w:tcBorders>
              <w:top w:val="single" w:sz="4" w:space="0" w:color="000000"/>
              <w:left w:val="single" w:sz="4" w:space="0" w:color="000000"/>
              <w:bottom w:val="single" w:sz="4" w:space="0" w:color="000000"/>
              <w:right w:val="single" w:sz="4" w:space="0" w:color="000000"/>
            </w:tcBorders>
            <w:vAlign w:val="center"/>
            <w:hideMark/>
          </w:tcPr>
          <w:p w14:paraId="60F7CD5E" w14:textId="77777777" w:rsidR="00B17DCD" w:rsidRPr="00B17DCD" w:rsidRDefault="00B17DCD" w:rsidP="00740B87">
            <w:pPr>
              <w:spacing w:line="300" w:lineRule="atLeast"/>
              <w:contextualSpacing/>
              <w:jc w:val="center"/>
              <w:rPr>
                <w:rFonts w:ascii="Times New Roman" w:hAnsi="Times New Roman" w:cs="Times New Roman"/>
                <w:b/>
              </w:rPr>
            </w:pPr>
            <w:r w:rsidRPr="00B17DCD">
              <w:rPr>
                <w:rFonts w:ascii="Times New Roman" w:hAnsi="Times New Roman" w:cs="Times New Roman"/>
                <w:b/>
              </w:rPr>
              <w:t>13</w:t>
            </w:r>
          </w:p>
        </w:tc>
      </w:tr>
      <w:tr w:rsidR="00B17DCD" w:rsidRPr="00B17DCD" w14:paraId="70F0686B" w14:textId="77777777" w:rsidTr="00740B87">
        <w:tc>
          <w:tcPr>
            <w:tcW w:w="679" w:type="dxa"/>
            <w:tcBorders>
              <w:top w:val="single" w:sz="4" w:space="0" w:color="000000"/>
              <w:left w:val="single" w:sz="4" w:space="0" w:color="000000"/>
              <w:bottom w:val="single" w:sz="4" w:space="0" w:color="000000"/>
              <w:right w:val="single" w:sz="4" w:space="0" w:color="000000"/>
            </w:tcBorders>
            <w:vAlign w:val="center"/>
            <w:hideMark/>
          </w:tcPr>
          <w:p w14:paraId="7E35C2DC" w14:textId="77777777" w:rsidR="00B17DCD" w:rsidRPr="00B17DCD" w:rsidRDefault="00B17DCD" w:rsidP="00740B87">
            <w:pPr>
              <w:spacing w:line="300" w:lineRule="atLeast"/>
              <w:contextualSpacing/>
              <w:jc w:val="center"/>
              <w:rPr>
                <w:rFonts w:ascii="Times New Roman" w:hAnsi="Times New Roman" w:cs="Times New Roman"/>
                <w:b/>
              </w:rPr>
            </w:pPr>
            <w:r w:rsidRPr="00B17DCD">
              <w:rPr>
                <w:rFonts w:ascii="Times New Roman" w:hAnsi="Times New Roman" w:cs="Times New Roman"/>
                <w:b/>
              </w:rPr>
              <w:t>1.3.2</w:t>
            </w:r>
          </w:p>
        </w:tc>
        <w:tc>
          <w:tcPr>
            <w:tcW w:w="3886" w:type="dxa"/>
            <w:tcBorders>
              <w:top w:val="single" w:sz="4" w:space="0" w:color="000000"/>
              <w:left w:val="single" w:sz="4" w:space="0" w:color="000000"/>
              <w:bottom w:val="single" w:sz="4" w:space="0" w:color="000000"/>
              <w:right w:val="single" w:sz="4" w:space="0" w:color="000000"/>
            </w:tcBorders>
            <w:vAlign w:val="center"/>
            <w:hideMark/>
          </w:tcPr>
          <w:p w14:paraId="6F816ADB" w14:textId="0D826E9C" w:rsidR="00B17DCD" w:rsidRPr="00B17DCD" w:rsidRDefault="00B17DCD" w:rsidP="00740B87">
            <w:pPr>
              <w:spacing w:line="300" w:lineRule="atLeast"/>
              <w:contextualSpacing/>
              <w:jc w:val="center"/>
              <w:rPr>
                <w:rFonts w:ascii="Times New Roman" w:hAnsi="Times New Roman" w:cs="Times New Roman"/>
                <w:b/>
              </w:rPr>
            </w:pPr>
            <w:r w:rsidRPr="00B17DCD">
              <w:rPr>
                <w:rFonts w:ascii="Times New Roman" w:hAnsi="Times New Roman" w:cs="Times New Roman"/>
                <w:b/>
              </w:rPr>
              <w:t xml:space="preserve">Liczba ujawnionych </w:t>
            </w:r>
            <w:r w:rsidRPr="00B17DCD">
              <w:rPr>
                <w:rFonts w:ascii="Times New Roman" w:hAnsi="Times New Roman" w:cs="Times New Roman"/>
                <w:b/>
                <w:u w:val="single"/>
              </w:rPr>
              <w:t xml:space="preserve">nielegalnych </w:t>
            </w:r>
            <w:r w:rsidR="009F53C5">
              <w:rPr>
                <w:rFonts w:ascii="Times New Roman" w:hAnsi="Times New Roman" w:cs="Times New Roman"/>
                <w:b/>
                <w:u w:val="single"/>
              </w:rPr>
              <w:br/>
            </w:r>
            <w:r w:rsidRPr="00B17DCD">
              <w:rPr>
                <w:rFonts w:ascii="Times New Roman" w:hAnsi="Times New Roman" w:cs="Times New Roman"/>
                <w:b/>
                <w:u w:val="single"/>
              </w:rPr>
              <w:t>w strumieniu krajowym</w:t>
            </w:r>
          </w:p>
        </w:tc>
        <w:tc>
          <w:tcPr>
            <w:tcW w:w="4496" w:type="dxa"/>
            <w:tcBorders>
              <w:top w:val="single" w:sz="4" w:space="0" w:color="000000"/>
              <w:left w:val="single" w:sz="4" w:space="0" w:color="000000"/>
              <w:bottom w:val="single" w:sz="4" w:space="0" w:color="000000"/>
              <w:right w:val="single" w:sz="4" w:space="0" w:color="000000"/>
            </w:tcBorders>
            <w:vAlign w:val="center"/>
            <w:hideMark/>
          </w:tcPr>
          <w:p w14:paraId="52ED33FE" w14:textId="77777777" w:rsidR="00B17DCD" w:rsidRPr="00B17DCD" w:rsidRDefault="00B17DCD" w:rsidP="00740B87">
            <w:pPr>
              <w:spacing w:line="300" w:lineRule="atLeast"/>
              <w:contextualSpacing/>
              <w:jc w:val="center"/>
              <w:rPr>
                <w:rFonts w:ascii="Times New Roman" w:hAnsi="Times New Roman" w:cs="Times New Roman"/>
                <w:b/>
              </w:rPr>
            </w:pPr>
            <w:r w:rsidRPr="00B17DCD">
              <w:rPr>
                <w:rFonts w:ascii="Times New Roman" w:hAnsi="Times New Roman" w:cs="Times New Roman"/>
                <w:b/>
              </w:rPr>
              <w:t>29</w:t>
            </w:r>
          </w:p>
        </w:tc>
      </w:tr>
      <w:tr w:rsidR="00B17DCD" w:rsidRPr="00B17DCD" w14:paraId="57EE8F5A" w14:textId="77777777" w:rsidTr="00740B87">
        <w:tc>
          <w:tcPr>
            <w:tcW w:w="679" w:type="dxa"/>
            <w:tcBorders>
              <w:top w:val="single" w:sz="4" w:space="0" w:color="000000"/>
              <w:left w:val="single" w:sz="4" w:space="0" w:color="000000"/>
              <w:bottom w:val="single" w:sz="4" w:space="0" w:color="000000"/>
              <w:right w:val="single" w:sz="4" w:space="0" w:color="000000"/>
            </w:tcBorders>
            <w:vAlign w:val="center"/>
            <w:hideMark/>
          </w:tcPr>
          <w:p w14:paraId="51E2C635" w14:textId="77777777" w:rsidR="00B17DCD" w:rsidRPr="00B17DCD" w:rsidRDefault="00B17DCD" w:rsidP="00740B87">
            <w:pPr>
              <w:spacing w:line="300" w:lineRule="atLeast"/>
              <w:contextualSpacing/>
              <w:jc w:val="center"/>
              <w:rPr>
                <w:rFonts w:ascii="Times New Roman" w:hAnsi="Times New Roman" w:cs="Times New Roman"/>
                <w:b/>
              </w:rPr>
            </w:pPr>
            <w:r w:rsidRPr="00B17DCD">
              <w:rPr>
                <w:rFonts w:ascii="Times New Roman" w:hAnsi="Times New Roman" w:cs="Times New Roman"/>
                <w:b/>
              </w:rPr>
              <w:t xml:space="preserve">1.4 </w:t>
            </w:r>
          </w:p>
        </w:tc>
        <w:tc>
          <w:tcPr>
            <w:tcW w:w="3886" w:type="dxa"/>
            <w:tcBorders>
              <w:top w:val="single" w:sz="4" w:space="0" w:color="000000"/>
              <w:left w:val="single" w:sz="4" w:space="0" w:color="000000"/>
              <w:bottom w:val="single" w:sz="4" w:space="0" w:color="000000"/>
              <w:right w:val="single" w:sz="4" w:space="0" w:color="000000"/>
            </w:tcBorders>
            <w:vAlign w:val="center"/>
            <w:hideMark/>
          </w:tcPr>
          <w:p w14:paraId="03DACA7B" w14:textId="77777777" w:rsidR="00B17DCD" w:rsidRPr="00B17DCD" w:rsidRDefault="00B17DCD" w:rsidP="00740B87">
            <w:pPr>
              <w:spacing w:line="300" w:lineRule="atLeast"/>
              <w:contextualSpacing/>
              <w:jc w:val="center"/>
              <w:rPr>
                <w:rFonts w:ascii="Times New Roman" w:hAnsi="Times New Roman" w:cs="Times New Roman"/>
                <w:b/>
              </w:rPr>
            </w:pPr>
            <w:r w:rsidRPr="00B17DCD">
              <w:rPr>
                <w:rFonts w:ascii="Times New Roman" w:hAnsi="Times New Roman" w:cs="Times New Roman"/>
                <w:b/>
              </w:rPr>
              <w:t xml:space="preserve">Liczba transportów </w:t>
            </w:r>
            <w:r w:rsidRPr="00B17DCD">
              <w:rPr>
                <w:rFonts w:ascii="Times New Roman" w:hAnsi="Times New Roman" w:cs="Times New Roman"/>
                <w:b/>
                <w:u w:val="single"/>
              </w:rPr>
              <w:t>skierowanych na parkingi</w:t>
            </w:r>
          </w:p>
        </w:tc>
        <w:tc>
          <w:tcPr>
            <w:tcW w:w="4496" w:type="dxa"/>
            <w:tcBorders>
              <w:top w:val="single" w:sz="4" w:space="0" w:color="000000"/>
              <w:left w:val="single" w:sz="4" w:space="0" w:color="000000"/>
              <w:bottom w:val="single" w:sz="4" w:space="0" w:color="000000"/>
              <w:right w:val="single" w:sz="4" w:space="0" w:color="000000"/>
            </w:tcBorders>
            <w:vAlign w:val="center"/>
            <w:hideMark/>
          </w:tcPr>
          <w:p w14:paraId="7B968162" w14:textId="77777777" w:rsidR="00B17DCD" w:rsidRPr="00B17DCD" w:rsidRDefault="00B17DCD" w:rsidP="00740B87">
            <w:pPr>
              <w:spacing w:line="300" w:lineRule="atLeast"/>
              <w:contextualSpacing/>
              <w:jc w:val="center"/>
              <w:rPr>
                <w:rFonts w:ascii="Times New Roman" w:hAnsi="Times New Roman" w:cs="Times New Roman"/>
                <w:b/>
              </w:rPr>
            </w:pPr>
            <w:r w:rsidRPr="00B17DCD">
              <w:rPr>
                <w:rFonts w:ascii="Times New Roman" w:hAnsi="Times New Roman" w:cs="Times New Roman"/>
                <w:b/>
              </w:rPr>
              <w:t>19</w:t>
            </w:r>
          </w:p>
        </w:tc>
      </w:tr>
      <w:tr w:rsidR="00B17DCD" w:rsidRPr="00B17DCD" w14:paraId="1A250FA1" w14:textId="77777777" w:rsidTr="00740B87">
        <w:tc>
          <w:tcPr>
            <w:tcW w:w="679" w:type="dxa"/>
            <w:tcBorders>
              <w:top w:val="single" w:sz="4" w:space="0" w:color="000000"/>
              <w:left w:val="single" w:sz="4" w:space="0" w:color="000000"/>
              <w:bottom w:val="single" w:sz="4" w:space="0" w:color="000000"/>
              <w:right w:val="single" w:sz="4" w:space="0" w:color="000000"/>
            </w:tcBorders>
            <w:vAlign w:val="center"/>
            <w:hideMark/>
          </w:tcPr>
          <w:p w14:paraId="75FE482F" w14:textId="77777777" w:rsidR="00B17DCD" w:rsidRPr="00B17DCD" w:rsidRDefault="00B17DCD" w:rsidP="00740B87">
            <w:pPr>
              <w:spacing w:line="300" w:lineRule="atLeast"/>
              <w:contextualSpacing/>
              <w:jc w:val="center"/>
              <w:rPr>
                <w:rFonts w:ascii="Times New Roman" w:hAnsi="Times New Roman" w:cs="Times New Roman"/>
                <w:b/>
              </w:rPr>
            </w:pPr>
            <w:r w:rsidRPr="00B17DCD">
              <w:rPr>
                <w:rFonts w:ascii="Times New Roman" w:hAnsi="Times New Roman" w:cs="Times New Roman"/>
                <w:b/>
              </w:rPr>
              <w:lastRenderedPageBreak/>
              <w:t>1.5</w:t>
            </w:r>
          </w:p>
        </w:tc>
        <w:tc>
          <w:tcPr>
            <w:tcW w:w="3886" w:type="dxa"/>
            <w:tcBorders>
              <w:top w:val="single" w:sz="4" w:space="0" w:color="000000"/>
              <w:left w:val="single" w:sz="4" w:space="0" w:color="000000"/>
              <w:bottom w:val="single" w:sz="4" w:space="0" w:color="000000"/>
              <w:right w:val="single" w:sz="4" w:space="0" w:color="000000"/>
            </w:tcBorders>
            <w:hideMark/>
          </w:tcPr>
          <w:p w14:paraId="372420C5" w14:textId="59BA1C6B" w:rsidR="00B17DCD" w:rsidRPr="00B17DCD" w:rsidRDefault="00B17DCD" w:rsidP="00740B87">
            <w:pPr>
              <w:spacing w:line="300" w:lineRule="atLeast"/>
              <w:contextualSpacing/>
              <w:jc w:val="center"/>
              <w:rPr>
                <w:rFonts w:ascii="Times New Roman" w:hAnsi="Times New Roman" w:cs="Times New Roman"/>
                <w:b/>
              </w:rPr>
            </w:pPr>
            <w:r w:rsidRPr="00B17DCD">
              <w:rPr>
                <w:rFonts w:ascii="Times New Roman" w:hAnsi="Times New Roman" w:cs="Times New Roman"/>
                <w:b/>
              </w:rPr>
              <w:t xml:space="preserve">Liczba </w:t>
            </w:r>
            <w:r w:rsidRPr="00B17DCD">
              <w:rPr>
                <w:rFonts w:ascii="Times New Roman" w:hAnsi="Times New Roman" w:cs="Times New Roman"/>
                <w:b/>
                <w:u w:val="single"/>
              </w:rPr>
              <w:t>inspektorów i funkcjonariuszy służb</w:t>
            </w:r>
            <w:r w:rsidRPr="00B17DCD">
              <w:rPr>
                <w:rFonts w:ascii="Times New Roman" w:hAnsi="Times New Roman" w:cs="Times New Roman"/>
                <w:b/>
              </w:rPr>
              <w:t xml:space="preserve"> biorących udział we wspólnych działaniach</w:t>
            </w:r>
          </w:p>
        </w:tc>
        <w:tc>
          <w:tcPr>
            <w:tcW w:w="4496" w:type="dxa"/>
            <w:tcBorders>
              <w:top w:val="single" w:sz="4" w:space="0" w:color="000000"/>
              <w:left w:val="single" w:sz="4" w:space="0" w:color="000000"/>
              <w:bottom w:val="single" w:sz="4" w:space="0" w:color="000000"/>
              <w:right w:val="single" w:sz="4" w:space="0" w:color="000000"/>
            </w:tcBorders>
            <w:vAlign w:val="center"/>
            <w:hideMark/>
          </w:tcPr>
          <w:p w14:paraId="0009FC6A" w14:textId="5FDA15E9" w:rsidR="00B17DCD" w:rsidRPr="00B17DCD" w:rsidRDefault="00B17DCD" w:rsidP="00740B87">
            <w:pPr>
              <w:spacing w:line="300" w:lineRule="atLeast"/>
              <w:contextualSpacing/>
              <w:jc w:val="center"/>
              <w:rPr>
                <w:rFonts w:ascii="Times New Roman" w:hAnsi="Times New Roman" w:cs="Times New Roman"/>
                <w:b/>
              </w:rPr>
            </w:pPr>
            <w:r w:rsidRPr="00B17DCD">
              <w:rPr>
                <w:rFonts w:ascii="Times New Roman" w:hAnsi="Times New Roman" w:cs="Times New Roman"/>
                <w:b/>
              </w:rPr>
              <w:t>1</w:t>
            </w:r>
            <w:r w:rsidR="009F53C5">
              <w:rPr>
                <w:rFonts w:ascii="Times New Roman" w:hAnsi="Times New Roman" w:cs="Times New Roman"/>
                <w:b/>
              </w:rPr>
              <w:t xml:space="preserve"> </w:t>
            </w:r>
            <w:r w:rsidRPr="00B17DCD">
              <w:rPr>
                <w:rFonts w:ascii="Times New Roman" w:hAnsi="Times New Roman" w:cs="Times New Roman"/>
                <w:b/>
              </w:rPr>
              <w:t>884</w:t>
            </w:r>
          </w:p>
        </w:tc>
      </w:tr>
      <w:tr w:rsidR="00B17DCD" w:rsidRPr="00B17DCD" w14:paraId="70837EA2" w14:textId="77777777" w:rsidTr="00740B87">
        <w:tc>
          <w:tcPr>
            <w:tcW w:w="679" w:type="dxa"/>
            <w:tcBorders>
              <w:top w:val="single" w:sz="4" w:space="0" w:color="000000"/>
              <w:left w:val="single" w:sz="4" w:space="0" w:color="000000"/>
              <w:bottom w:val="single" w:sz="4" w:space="0" w:color="000000"/>
              <w:right w:val="single" w:sz="4" w:space="0" w:color="000000"/>
            </w:tcBorders>
            <w:vAlign w:val="center"/>
            <w:hideMark/>
          </w:tcPr>
          <w:p w14:paraId="1AD551E8" w14:textId="77777777" w:rsidR="00B17DCD" w:rsidRPr="00B17DCD" w:rsidRDefault="00B17DCD" w:rsidP="00740B87">
            <w:pPr>
              <w:spacing w:line="300" w:lineRule="atLeast"/>
              <w:contextualSpacing/>
              <w:jc w:val="center"/>
              <w:rPr>
                <w:rFonts w:ascii="Times New Roman" w:hAnsi="Times New Roman" w:cs="Times New Roman"/>
                <w:b/>
              </w:rPr>
            </w:pPr>
            <w:r w:rsidRPr="00B17DCD">
              <w:rPr>
                <w:rFonts w:ascii="Times New Roman" w:hAnsi="Times New Roman" w:cs="Times New Roman"/>
                <w:b/>
              </w:rPr>
              <w:t>1.6</w:t>
            </w:r>
          </w:p>
        </w:tc>
        <w:tc>
          <w:tcPr>
            <w:tcW w:w="3886" w:type="dxa"/>
            <w:tcBorders>
              <w:top w:val="single" w:sz="4" w:space="0" w:color="000000"/>
              <w:left w:val="single" w:sz="4" w:space="0" w:color="000000"/>
              <w:bottom w:val="single" w:sz="4" w:space="0" w:color="000000"/>
              <w:right w:val="single" w:sz="4" w:space="0" w:color="000000"/>
            </w:tcBorders>
            <w:hideMark/>
          </w:tcPr>
          <w:p w14:paraId="04B3FE2E" w14:textId="53E1232A" w:rsidR="00B17DCD" w:rsidRPr="00B17DCD" w:rsidRDefault="00B17DCD" w:rsidP="00740B87">
            <w:pPr>
              <w:spacing w:line="300" w:lineRule="atLeast"/>
              <w:contextualSpacing/>
              <w:jc w:val="center"/>
              <w:rPr>
                <w:rFonts w:ascii="Times New Roman" w:hAnsi="Times New Roman" w:cs="Times New Roman"/>
                <w:b/>
                <w:bCs/>
              </w:rPr>
            </w:pPr>
            <w:r w:rsidRPr="00B17DCD">
              <w:rPr>
                <w:rFonts w:ascii="Times New Roman" w:hAnsi="Times New Roman" w:cs="Times New Roman"/>
                <w:b/>
                <w:bCs/>
              </w:rPr>
              <w:t xml:space="preserve">Ilość </w:t>
            </w:r>
            <w:r w:rsidRPr="00B17DCD">
              <w:rPr>
                <w:rFonts w:ascii="Times New Roman" w:hAnsi="Times New Roman" w:cs="Times New Roman"/>
                <w:b/>
                <w:bCs/>
                <w:u w:val="single"/>
              </w:rPr>
              <w:t xml:space="preserve">załączników do tabeli w postaci „Kart ujawnionego przez IOŚ zdarzenia nielegalnego postępowania </w:t>
            </w:r>
            <w:r w:rsidR="009F53C5">
              <w:rPr>
                <w:rFonts w:ascii="Times New Roman" w:hAnsi="Times New Roman" w:cs="Times New Roman"/>
                <w:b/>
                <w:bCs/>
                <w:u w:val="single"/>
              </w:rPr>
              <w:br/>
            </w:r>
            <w:r w:rsidRPr="00B17DCD">
              <w:rPr>
                <w:rFonts w:ascii="Times New Roman" w:hAnsi="Times New Roman" w:cs="Times New Roman"/>
                <w:b/>
                <w:bCs/>
                <w:u w:val="single"/>
              </w:rPr>
              <w:t>z odpadami”</w:t>
            </w:r>
            <w:r w:rsidRPr="00B17DCD">
              <w:rPr>
                <w:rFonts w:ascii="Times New Roman" w:hAnsi="Times New Roman" w:cs="Times New Roman"/>
                <w:b/>
                <w:bCs/>
              </w:rPr>
              <w:t>. Ich przesłanie do GIOŚ powinno nastąpić najpóźniej w ciągu doby od zakończenia akcji.</w:t>
            </w:r>
          </w:p>
        </w:tc>
        <w:tc>
          <w:tcPr>
            <w:tcW w:w="4496" w:type="dxa"/>
            <w:tcBorders>
              <w:top w:val="single" w:sz="4" w:space="0" w:color="000000"/>
              <w:left w:val="single" w:sz="4" w:space="0" w:color="000000"/>
              <w:bottom w:val="single" w:sz="4" w:space="0" w:color="000000"/>
              <w:right w:val="single" w:sz="4" w:space="0" w:color="000000"/>
            </w:tcBorders>
            <w:vAlign w:val="center"/>
            <w:hideMark/>
          </w:tcPr>
          <w:p w14:paraId="082AE442" w14:textId="77777777" w:rsidR="00B17DCD" w:rsidRPr="00B17DCD" w:rsidRDefault="00B17DCD" w:rsidP="00740B87">
            <w:pPr>
              <w:spacing w:line="300" w:lineRule="atLeast"/>
              <w:contextualSpacing/>
              <w:jc w:val="center"/>
              <w:rPr>
                <w:rFonts w:ascii="Times New Roman" w:hAnsi="Times New Roman" w:cs="Times New Roman"/>
                <w:b/>
              </w:rPr>
            </w:pPr>
            <w:r w:rsidRPr="00B17DCD">
              <w:rPr>
                <w:rFonts w:ascii="Times New Roman" w:hAnsi="Times New Roman" w:cs="Times New Roman"/>
                <w:b/>
              </w:rPr>
              <w:t>21</w:t>
            </w:r>
          </w:p>
        </w:tc>
      </w:tr>
      <w:tr w:rsidR="00B17DCD" w:rsidRPr="00B17DCD" w14:paraId="61E991BD" w14:textId="77777777" w:rsidTr="00740B87">
        <w:tc>
          <w:tcPr>
            <w:tcW w:w="679" w:type="dxa"/>
            <w:tcBorders>
              <w:top w:val="single" w:sz="4" w:space="0" w:color="000000"/>
              <w:left w:val="single" w:sz="4" w:space="0" w:color="000000"/>
              <w:bottom w:val="single" w:sz="4" w:space="0" w:color="000000"/>
              <w:right w:val="single" w:sz="4" w:space="0" w:color="000000"/>
            </w:tcBorders>
            <w:vAlign w:val="center"/>
            <w:hideMark/>
          </w:tcPr>
          <w:p w14:paraId="7F9DF1B4" w14:textId="77777777" w:rsidR="00B17DCD" w:rsidRPr="00B17DCD" w:rsidRDefault="00B17DCD" w:rsidP="00740B87">
            <w:pPr>
              <w:spacing w:line="300" w:lineRule="atLeast"/>
              <w:contextualSpacing/>
              <w:jc w:val="center"/>
              <w:rPr>
                <w:rFonts w:ascii="Times New Roman" w:hAnsi="Times New Roman" w:cs="Times New Roman"/>
                <w:b/>
              </w:rPr>
            </w:pPr>
            <w:r w:rsidRPr="00B17DCD">
              <w:rPr>
                <w:rFonts w:ascii="Times New Roman" w:hAnsi="Times New Roman" w:cs="Times New Roman"/>
                <w:b/>
              </w:rPr>
              <w:t xml:space="preserve">1.7 </w:t>
            </w:r>
          </w:p>
        </w:tc>
        <w:tc>
          <w:tcPr>
            <w:tcW w:w="3886" w:type="dxa"/>
            <w:tcBorders>
              <w:top w:val="single" w:sz="4" w:space="0" w:color="000000"/>
              <w:left w:val="single" w:sz="4" w:space="0" w:color="000000"/>
              <w:bottom w:val="single" w:sz="4" w:space="0" w:color="000000"/>
              <w:right w:val="single" w:sz="4" w:space="0" w:color="000000"/>
            </w:tcBorders>
            <w:hideMark/>
          </w:tcPr>
          <w:p w14:paraId="01A2E898" w14:textId="4901F4E0" w:rsidR="00B17DCD" w:rsidRPr="00B17DCD" w:rsidRDefault="00B17DCD" w:rsidP="009F53C5">
            <w:pPr>
              <w:spacing w:line="300" w:lineRule="atLeast"/>
              <w:contextualSpacing/>
              <w:jc w:val="center"/>
              <w:rPr>
                <w:rFonts w:ascii="Times New Roman" w:hAnsi="Times New Roman" w:cs="Times New Roman"/>
                <w:b/>
                <w:bCs/>
              </w:rPr>
            </w:pPr>
            <w:r w:rsidRPr="00B17DCD">
              <w:rPr>
                <w:rFonts w:ascii="Times New Roman" w:hAnsi="Times New Roman" w:cs="Times New Roman"/>
                <w:b/>
                <w:bCs/>
              </w:rPr>
              <w:t>Ilość</w:t>
            </w:r>
            <w:r w:rsidR="009F53C5">
              <w:rPr>
                <w:rFonts w:ascii="Times New Roman" w:hAnsi="Times New Roman" w:cs="Times New Roman"/>
                <w:b/>
                <w:bCs/>
              </w:rPr>
              <w:t xml:space="preserve"> stacjonarnych i mobilnych</w:t>
            </w:r>
            <w:r w:rsidRPr="00B17DCD">
              <w:rPr>
                <w:rFonts w:ascii="Times New Roman" w:hAnsi="Times New Roman" w:cs="Times New Roman"/>
                <w:b/>
                <w:bCs/>
              </w:rPr>
              <w:t xml:space="preserve"> </w:t>
            </w:r>
            <w:r w:rsidRPr="00B17DCD">
              <w:rPr>
                <w:rFonts w:ascii="Times New Roman" w:hAnsi="Times New Roman" w:cs="Times New Roman"/>
                <w:b/>
                <w:bCs/>
                <w:u w:val="single"/>
              </w:rPr>
              <w:t>punktów kontrolnych z udziałem IOŚ</w:t>
            </w:r>
          </w:p>
        </w:tc>
        <w:tc>
          <w:tcPr>
            <w:tcW w:w="4496" w:type="dxa"/>
            <w:tcBorders>
              <w:top w:val="single" w:sz="4" w:space="0" w:color="000000"/>
              <w:left w:val="single" w:sz="4" w:space="0" w:color="000000"/>
              <w:bottom w:val="single" w:sz="4" w:space="0" w:color="000000"/>
              <w:right w:val="single" w:sz="4" w:space="0" w:color="000000"/>
            </w:tcBorders>
            <w:vAlign w:val="center"/>
            <w:hideMark/>
          </w:tcPr>
          <w:p w14:paraId="61C1C684" w14:textId="77777777" w:rsidR="00B17DCD" w:rsidRPr="00B17DCD" w:rsidRDefault="00B17DCD" w:rsidP="00740B87">
            <w:pPr>
              <w:spacing w:line="300" w:lineRule="atLeast"/>
              <w:contextualSpacing/>
              <w:jc w:val="center"/>
              <w:rPr>
                <w:rFonts w:ascii="Times New Roman" w:hAnsi="Times New Roman" w:cs="Times New Roman"/>
                <w:b/>
              </w:rPr>
            </w:pPr>
            <w:r w:rsidRPr="00B17DCD">
              <w:rPr>
                <w:rFonts w:ascii="Times New Roman" w:hAnsi="Times New Roman" w:cs="Times New Roman"/>
                <w:b/>
              </w:rPr>
              <w:t>430</w:t>
            </w:r>
          </w:p>
        </w:tc>
      </w:tr>
      <w:tr w:rsidR="00B17DCD" w:rsidRPr="00B17DCD" w14:paraId="14AF2F0C" w14:textId="77777777" w:rsidTr="00740B87">
        <w:tc>
          <w:tcPr>
            <w:tcW w:w="679" w:type="dxa"/>
            <w:tcBorders>
              <w:top w:val="single" w:sz="4" w:space="0" w:color="000000"/>
              <w:left w:val="single" w:sz="4" w:space="0" w:color="000000"/>
              <w:bottom w:val="single" w:sz="4" w:space="0" w:color="000000"/>
              <w:right w:val="single" w:sz="4" w:space="0" w:color="000000"/>
            </w:tcBorders>
            <w:vAlign w:val="center"/>
            <w:hideMark/>
          </w:tcPr>
          <w:p w14:paraId="5888F885" w14:textId="77777777" w:rsidR="00B17DCD" w:rsidRPr="00B17DCD" w:rsidRDefault="00B17DCD" w:rsidP="00740B87">
            <w:pPr>
              <w:spacing w:line="300" w:lineRule="atLeast"/>
              <w:contextualSpacing/>
              <w:jc w:val="center"/>
              <w:rPr>
                <w:rFonts w:ascii="Times New Roman" w:hAnsi="Times New Roman" w:cs="Times New Roman"/>
                <w:b/>
              </w:rPr>
            </w:pPr>
            <w:r w:rsidRPr="00B17DCD">
              <w:rPr>
                <w:rFonts w:ascii="Times New Roman" w:hAnsi="Times New Roman" w:cs="Times New Roman"/>
                <w:b/>
              </w:rPr>
              <w:t>1.8</w:t>
            </w:r>
          </w:p>
        </w:tc>
        <w:tc>
          <w:tcPr>
            <w:tcW w:w="3886" w:type="dxa"/>
            <w:tcBorders>
              <w:top w:val="single" w:sz="4" w:space="0" w:color="000000"/>
              <w:left w:val="single" w:sz="4" w:space="0" w:color="000000"/>
              <w:bottom w:val="single" w:sz="4" w:space="0" w:color="000000"/>
              <w:right w:val="single" w:sz="4" w:space="0" w:color="000000"/>
            </w:tcBorders>
            <w:hideMark/>
          </w:tcPr>
          <w:p w14:paraId="19B2DFA2" w14:textId="77777777" w:rsidR="00B17DCD" w:rsidRPr="00B17DCD" w:rsidRDefault="00B17DCD" w:rsidP="00740B87">
            <w:pPr>
              <w:spacing w:line="300" w:lineRule="atLeast"/>
              <w:contextualSpacing/>
              <w:jc w:val="center"/>
              <w:rPr>
                <w:rFonts w:ascii="Times New Roman" w:hAnsi="Times New Roman" w:cs="Times New Roman"/>
                <w:b/>
                <w:bCs/>
              </w:rPr>
            </w:pPr>
            <w:r w:rsidRPr="00B17DCD">
              <w:rPr>
                <w:rFonts w:ascii="Times New Roman" w:hAnsi="Times New Roman" w:cs="Times New Roman"/>
                <w:b/>
                <w:bCs/>
                <w:u w:val="single"/>
              </w:rPr>
              <w:t>Dodatkowe uwagi</w:t>
            </w:r>
            <w:r w:rsidRPr="00B17DCD">
              <w:rPr>
                <w:rFonts w:ascii="Times New Roman" w:hAnsi="Times New Roman" w:cs="Times New Roman"/>
                <w:b/>
                <w:bCs/>
              </w:rPr>
              <w:t xml:space="preserve"> (krótki opis szczególnych okoliczności podczas kontroli, efektywność czynności, tj. ilość MK, decyzji o wszczęciu postępowań administracyjnych, dalszych czynności kontrolnych i in.)</w:t>
            </w:r>
          </w:p>
        </w:tc>
        <w:tc>
          <w:tcPr>
            <w:tcW w:w="4496" w:type="dxa"/>
            <w:tcBorders>
              <w:top w:val="single" w:sz="4" w:space="0" w:color="000000"/>
              <w:left w:val="single" w:sz="4" w:space="0" w:color="000000"/>
              <w:bottom w:val="single" w:sz="4" w:space="0" w:color="000000"/>
              <w:right w:val="single" w:sz="4" w:space="0" w:color="000000"/>
            </w:tcBorders>
            <w:vAlign w:val="center"/>
          </w:tcPr>
          <w:p w14:paraId="7E3A111B" w14:textId="77777777" w:rsidR="00B17DCD" w:rsidRPr="00B17DCD" w:rsidRDefault="00B17DCD" w:rsidP="00740B87">
            <w:pPr>
              <w:spacing w:line="300" w:lineRule="atLeast"/>
              <w:contextualSpacing/>
              <w:jc w:val="center"/>
              <w:rPr>
                <w:rFonts w:ascii="Times New Roman" w:hAnsi="Times New Roman" w:cs="Times New Roman"/>
              </w:rPr>
            </w:pPr>
          </w:p>
        </w:tc>
      </w:tr>
    </w:tbl>
    <w:p w14:paraId="1FACAB1D" w14:textId="77777777" w:rsidR="00B17DCD" w:rsidRPr="00B17DCD" w:rsidRDefault="00B17DCD" w:rsidP="00B17DCD">
      <w:pPr>
        <w:pStyle w:val="Bezodstpw"/>
        <w:spacing w:line="300" w:lineRule="atLeast"/>
        <w:contextualSpacing/>
        <w:jc w:val="both"/>
        <w:rPr>
          <w:rFonts w:ascii="Times New Roman" w:hAnsi="Times New Roman"/>
          <w:sz w:val="24"/>
          <w:szCs w:val="24"/>
        </w:rPr>
      </w:pPr>
    </w:p>
    <w:p w14:paraId="3E2D4383" w14:textId="77777777" w:rsidR="00B17DCD" w:rsidRPr="00B17DCD" w:rsidRDefault="00B17DCD" w:rsidP="009F53C5">
      <w:pPr>
        <w:spacing w:line="300" w:lineRule="atLeast"/>
        <w:ind w:firstLine="567"/>
        <w:contextualSpacing/>
        <w:jc w:val="both"/>
        <w:rPr>
          <w:rFonts w:ascii="Times New Roman" w:hAnsi="Times New Roman" w:cs="Times New Roman"/>
          <w:sz w:val="24"/>
          <w:szCs w:val="24"/>
        </w:rPr>
      </w:pPr>
      <w:r w:rsidRPr="00B17DCD">
        <w:rPr>
          <w:rFonts w:ascii="Times New Roman" w:hAnsi="Times New Roman" w:cs="Times New Roman"/>
          <w:sz w:val="24"/>
          <w:szCs w:val="24"/>
        </w:rPr>
        <w:t xml:space="preserve">Wydział zajmuje się również obsługą formularza „zgłoś interwencję” działającego na stronie Głównego Inspektoratu Ochrony Środowiska. Celem formularza jest rozpropagowanie zgłaszania niepokojących sytuacji związanych z odpadami dziejących się w okolicy mieszkańców m.in. nagły wzrost transportów ciężarowych przyjeżdzających na teren nieruchomości położonych z dala od gęstej zabudowy mieszkalnej, porzucone odpady </w:t>
      </w:r>
      <w:r w:rsidRPr="00B17DCD">
        <w:rPr>
          <w:rFonts w:ascii="Times New Roman" w:hAnsi="Times New Roman" w:cs="Times New Roman"/>
          <w:sz w:val="24"/>
          <w:szCs w:val="24"/>
        </w:rPr>
        <w:br/>
        <w:t xml:space="preserve">w pobliskim lesie, składowanie różnego rodzaju beczek i pojemników. W formularzu wystarczy wskazać lokalizacje i dodać krótki opis. Możliwe jest również dodanie zdjęć. Zgłoszenie można dodać w sposób anonimowy. Od niedawna posiada opcję pobierania danych </w:t>
      </w:r>
      <w:proofErr w:type="spellStart"/>
      <w:r w:rsidRPr="00B17DCD">
        <w:rPr>
          <w:rFonts w:ascii="Times New Roman" w:hAnsi="Times New Roman" w:cs="Times New Roman"/>
          <w:sz w:val="24"/>
          <w:szCs w:val="24"/>
        </w:rPr>
        <w:t>geolokalizacyjnych</w:t>
      </w:r>
      <w:proofErr w:type="spellEnd"/>
      <w:r w:rsidRPr="00B17DCD">
        <w:rPr>
          <w:rFonts w:ascii="Times New Roman" w:hAnsi="Times New Roman" w:cs="Times New Roman"/>
          <w:sz w:val="24"/>
          <w:szCs w:val="24"/>
        </w:rPr>
        <w:t xml:space="preserve"> w celu określenia konkretnego miejsca zdarzenia bez konieczności wpisywania adresu. </w:t>
      </w:r>
    </w:p>
    <w:p w14:paraId="6983D978" w14:textId="66C3179B" w:rsidR="00B17DCD" w:rsidRDefault="00B17DCD" w:rsidP="009F53C5">
      <w:pPr>
        <w:spacing w:line="300" w:lineRule="atLeast"/>
        <w:ind w:firstLine="567"/>
        <w:contextualSpacing/>
        <w:jc w:val="both"/>
        <w:rPr>
          <w:rFonts w:ascii="Times New Roman" w:hAnsi="Times New Roman" w:cs="Times New Roman"/>
          <w:sz w:val="24"/>
          <w:szCs w:val="24"/>
        </w:rPr>
      </w:pPr>
      <w:r w:rsidRPr="00B17DCD">
        <w:rPr>
          <w:rFonts w:ascii="Times New Roman" w:hAnsi="Times New Roman" w:cs="Times New Roman"/>
          <w:sz w:val="24"/>
          <w:szCs w:val="24"/>
        </w:rPr>
        <w:t xml:space="preserve">W 2022 r. do Departamentu Zwalczania Przestępczości Środowiskowej wpłynęło łącznie  </w:t>
      </w:r>
      <w:r w:rsidRPr="00B17DCD">
        <w:rPr>
          <w:rFonts w:ascii="Times New Roman" w:hAnsi="Times New Roman" w:cs="Times New Roman"/>
          <w:b/>
          <w:sz w:val="24"/>
          <w:szCs w:val="24"/>
        </w:rPr>
        <w:t>3</w:t>
      </w:r>
      <w:r w:rsidR="009F53C5">
        <w:rPr>
          <w:rFonts w:ascii="Times New Roman" w:hAnsi="Times New Roman" w:cs="Times New Roman"/>
          <w:b/>
          <w:sz w:val="24"/>
          <w:szCs w:val="24"/>
        </w:rPr>
        <w:t xml:space="preserve"> </w:t>
      </w:r>
      <w:r w:rsidRPr="00B17DCD">
        <w:rPr>
          <w:rFonts w:ascii="Times New Roman" w:hAnsi="Times New Roman" w:cs="Times New Roman"/>
          <w:b/>
          <w:sz w:val="24"/>
          <w:szCs w:val="24"/>
        </w:rPr>
        <w:t xml:space="preserve">288 </w:t>
      </w:r>
      <w:r w:rsidRPr="00B17DCD">
        <w:rPr>
          <w:rFonts w:ascii="Times New Roman" w:hAnsi="Times New Roman" w:cs="Times New Roman"/>
          <w:sz w:val="24"/>
          <w:szCs w:val="24"/>
        </w:rPr>
        <w:t>zgłoszeń</w:t>
      </w:r>
      <w:r w:rsidR="009F53C5">
        <w:rPr>
          <w:rFonts w:ascii="Times New Roman" w:hAnsi="Times New Roman" w:cs="Times New Roman"/>
          <w:sz w:val="24"/>
          <w:szCs w:val="24"/>
        </w:rPr>
        <w:t>,</w:t>
      </w:r>
      <w:r w:rsidRPr="00B17DCD">
        <w:rPr>
          <w:rFonts w:ascii="Times New Roman" w:hAnsi="Times New Roman" w:cs="Times New Roman"/>
          <w:sz w:val="24"/>
          <w:szCs w:val="24"/>
        </w:rPr>
        <w:t xml:space="preserve"> </w:t>
      </w:r>
      <w:r w:rsidR="009F53C5">
        <w:rPr>
          <w:rFonts w:ascii="Times New Roman" w:hAnsi="Times New Roman" w:cs="Times New Roman"/>
          <w:sz w:val="24"/>
          <w:szCs w:val="24"/>
        </w:rPr>
        <w:t>w</w:t>
      </w:r>
      <w:r w:rsidRPr="00B17DCD">
        <w:rPr>
          <w:rFonts w:ascii="Times New Roman" w:hAnsi="Times New Roman" w:cs="Times New Roman"/>
          <w:sz w:val="24"/>
          <w:szCs w:val="24"/>
        </w:rPr>
        <w:t xml:space="preserve"> tym  </w:t>
      </w:r>
      <w:r w:rsidRPr="00B17DCD">
        <w:rPr>
          <w:rFonts w:ascii="Times New Roman" w:hAnsi="Times New Roman" w:cs="Times New Roman"/>
          <w:b/>
          <w:sz w:val="24"/>
          <w:szCs w:val="24"/>
        </w:rPr>
        <w:t>2</w:t>
      </w:r>
      <w:r w:rsidR="009F53C5">
        <w:rPr>
          <w:rFonts w:ascii="Times New Roman" w:hAnsi="Times New Roman" w:cs="Times New Roman"/>
          <w:b/>
          <w:sz w:val="24"/>
          <w:szCs w:val="24"/>
        </w:rPr>
        <w:t xml:space="preserve"> </w:t>
      </w:r>
      <w:r w:rsidRPr="00B17DCD">
        <w:rPr>
          <w:rFonts w:ascii="Times New Roman" w:hAnsi="Times New Roman" w:cs="Times New Roman"/>
          <w:b/>
          <w:sz w:val="24"/>
          <w:szCs w:val="24"/>
        </w:rPr>
        <w:t>126</w:t>
      </w:r>
      <w:r w:rsidRPr="00B17DCD">
        <w:rPr>
          <w:rFonts w:ascii="Times New Roman" w:hAnsi="Times New Roman" w:cs="Times New Roman"/>
          <w:sz w:val="24"/>
          <w:szCs w:val="24"/>
        </w:rPr>
        <w:t xml:space="preserve"> przez formularz elektroniczny, </w:t>
      </w:r>
      <w:r w:rsidRPr="00B17DCD">
        <w:rPr>
          <w:rFonts w:ascii="Times New Roman" w:hAnsi="Times New Roman" w:cs="Times New Roman"/>
          <w:b/>
          <w:sz w:val="24"/>
          <w:szCs w:val="24"/>
        </w:rPr>
        <w:t>841</w:t>
      </w:r>
      <w:r w:rsidRPr="00B17DCD">
        <w:rPr>
          <w:rFonts w:ascii="Times New Roman" w:hAnsi="Times New Roman" w:cs="Times New Roman"/>
          <w:sz w:val="24"/>
          <w:szCs w:val="24"/>
        </w:rPr>
        <w:t xml:space="preserve"> przesłanych zostało przez aplikację </w:t>
      </w:r>
      <w:proofErr w:type="spellStart"/>
      <w:r w:rsidRPr="00B17DCD">
        <w:rPr>
          <w:rFonts w:ascii="Times New Roman" w:hAnsi="Times New Roman" w:cs="Times New Roman"/>
          <w:sz w:val="24"/>
          <w:szCs w:val="24"/>
        </w:rPr>
        <w:t>mObywatel</w:t>
      </w:r>
      <w:proofErr w:type="spellEnd"/>
      <w:r w:rsidRPr="00B17DCD">
        <w:rPr>
          <w:rFonts w:ascii="Times New Roman" w:hAnsi="Times New Roman" w:cs="Times New Roman"/>
          <w:sz w:val="24"/>
          <w:szCs w:val="24"/>
        </w:rPr>
        <w:t xml:space="preserve">, natomiast pozostałe pocztą elektroniczną lub tradycyjną. </w:t>
      </w:r>
      <w:r w:rsidRPr="00B17DCD">
        <w:rPr>
          <w:rFonts w:ascii="Times New Roman" w:hAnsi="Times New Roman" w:cs="Times New Roman"/>
          <w:b/>
          <w:sz w:val="24"/>
          <w:szCs w:val="24"/>
        </w:rPr>
        <w:t>1</w:t>
      </w:r>
      <w:r w:rsidR="00EB593F">
        <w:rPr>
          <w:rFonts w:ascii="Times New Roman" w:hAnsi="Times New Roman" w:cs="Times New Roman"/>
          <w:b/>
          <w:sz w:val="24"/>
          <w:szCs w:val="24"/>
        </w:rPr>
        <w:t xml:space="preserve"> </w:t>
      </w:r>
      <w:r w:rsidRPr="00B17DCD">
        <w:rPr>
          <w:rFonts w:ascii="Times New Roman" w:hAnsi="Times New Roman" w:cs="Times New Roman"/>
          <w:b/>
          <w:sz w:val="24"/>
          <w:szCs w:val="24"/>
        </w:rPr>
        <w:t>541</w:t>
      </w:r>
      <w:r w:rsidRPr="00B17DCD">
        <w:rPr>
          <w:rFonts w:ascii="Times New Roman" w:hAnsi="Times New Roman" w:cs="Times New Roman"/>
          <w:sz w:val="24"/>
          <w:szCs w:val="24"/>
        </w:rPr>
        <w:t xml:space="preserve"> zgłoszeń dotyczyło odpadów, </w:t>
      </w:r>
      <w:r w:rsidRPr="00B17DCD">
        <w:rPr>
          <w:rFonts w:ascii="Times New Roman" w:hAnsi="Times New Roman" w:cs="Times New Roman"/>
          <w:b/>
          <w:sz w:val="24"/>
          <w:szCs w:val="24"/>
        </w:rPr>
        <w:t>1</w:t>
      </w:r>
      <w:r w:rsidR="00EB593F">
        <w:rPr>
          <w:rFonts w:ascii="Times New Roman" w:hAnsi="Times New Roman" w:cs="Times New Roman"/>
          <w:b/>
          <w:sz w:val="24"/>
          <w:szCs w:val="24"/>
        </w:rPr>
        <w:t xml:space="preserve"> </w:t>
      </w:r>
      <w:r w:rsidRPr="00B17DCD">
        <w:rPr>
          <w:rFonts w:ascii="Times New Roman" w:hAnsi="Times New Roman" w:cs="Times New Roman"/>
          <w:b/>
          <w:sz w:val="24"/>
          <w:szCs w:val="24"/>
        </w:rPr>
        <w:t>498</w:t>
      </w:r>
      <w:r w:rsidRPr="00B17DCD">
        <w:rPr>
          <w:rFonts w:ascii="Times New Roman" w:hAnsi="Times New Roman" w:cs="Times New Roman"/>
          <w:sz w:val="24"/>
          <w:szCs w:val="24"/>
        </w:rPr>
        <w:t xml:space="preserve"> zanieczyszczeń powietrza, wody lub powierzchni ziemi, </w:t>
      </w:r>
      <w:r w:rsidRPr="00B17DCD">
        <w:rPr>
          <w:rFonts w:ascii="Times New Roman" w:hAnsi="Times New Roman" w:cs="Times New Roman"/>
          <w:sz w:val="24"/>
          <w:szCs w:val="24"/>
        </w:rPr>
        <w:br/>
        <w:t xml:space="preserve">a </w:t>
      </w:r>
      <w:r w:rsidRPr="00B17DCD">
        <w:rPr>
          <w:rFonts w:ascii="Times New Roman" w:hAnsi="Times New Roman" w:cs="Times New Roman"/>
          <w:b/>
          <w:sz w:val="24"/>
          <w:szCs w:val="24"/>
        </w:rPr>
        <w:t xml:space="preserve">285 </w:t>
      </w:r>
      <w:r w:rsidRPr="00B17DCD">
        <w:rPr>
          <w:rFonts w:ascii="Times New Roman" w:hAnsi="Times New Roman" w:cs="Times New Roman"/>
          <w:sz w:val="24"/>
          <w:szCs w:val="24"/>
        </w:rPr>
        <w:t xml:space="preserve">dotyczyło innych komponentów. Aż </w:t>
      </w:r>
      <w:r w:rsidRPr="00B17DCD">
        <w:rPr>
          <w:rFonts w:ascii="Times New Roman" w:hAnsi="Times New Roman" w:cs="Times New Roman"/>
          <w:b/>
          <w:sz w:val="24"/>
          <w:szCs w:val="24"/>
        </w:rPr>
        <w:t>1</w:t>
      </w:r>
      <w:r w:rsidR="00EB593F">
        <w:rPr>
          <w:rFonts w:ascii="Times New Roman" w:hAnsi="Times New Roman" w:cs="Times New Roman"/>
          <w:b/>
          <w:sz w:val="24"/>
          <w:szCs w:val="24"/>
        </w:rPr>
        <w:t xml:space="preserve"> </w:t>
      </w:r>
      <w:r w:rsidRPr="00B17DCD">
        <w:rPr>
          <w:rFonts w:ascii="Times New Roman" w:hAnsi="Times New Roman" w:cs="Times New Roman"/>
          <w:b/>
          <w:sz w:val="24"/>
          <w:szCs w:val="24"/>
        </w:rPr>
        <w:t>122</w:t>
      </w:r>
      <w:r w:rsidRPr="00B17DCD">
        <w:rPr>
          <w:rFonts w:ascii="Times New Roman" w:hAnsi="Times New Roman" w:cs="Times New Roman"/>
          <w:sz w:val="24"/>
          <w:szCs w:val="24"/>
        </w:rPr>
        <w:t xml:space="preserve"> zgłoszenia </w:t>
      </w:r>
      <w:r w:rsidR="00EB593F">
        <w:rPr>
          <w:rFonts w:ascii="Times New Roman" w:hAnsi="Times New Roman" w:cs="Times New Roman"/>
          <w:sz w:val="24"/>
          <w:szCs w:val="24"/>
        </w:rPr>
        <w:t xml:space="preserve">zostały </w:t>
      </w:r>
      <w:r w:rsidRPr="00B17DCD">
        <w:rPr>
          <w:rFonts w:ascii="Times New Roman" w:hAnsi="Times New Roman" w:cs="Times New Roman"/>
          <w:sz w:val="24"/>
          <w:szCs w:val="24"/>
        </w:rPr>
        <w:t xml:space="preserve">przesłane w formie anonimowej. Jak dotąd potwierdzono </w:t>
      </w:r>
      <w:r w:rsidRPr="00B17DCD">
        <w:rPr>
          <w:rFonts w:ascii="Times New Roman" w:hAnsi="Times New Roman" w:cs="Times New Roman"/>
          <w:b/>
          <w:sz w:val="24"/>
          <w:szCs w:val="24"/>
        </w:rPr>
        <w:t xml:space="preserve">723 </w:t>
      </w:r>
      <w:r w:rsidRPr="00B17DCD">
        <w:rPr>
          <w:rFonts w:ascii="Times New Roman" w:hAnsi="Times New Roman" w:cs="Times New Roman"/>
          <w:sz w:val="24"/>
          <w:szCs w:val="24"/>
        </w:rPr>
        <w:t xml:space="preserve">zgłoszenia. Podlegają one dalszym procedurom administracyjnym w celu usunięcia nieprawidłowości. </w:t>
      </w:r>
      <w:r w:rsidRPr="00B17DCD">
        <w:rPr>
          <w:rFonts w:ascii="Times New Roman" w:hAnsi="Times New Roman" w:cs="Times New Roman"/>
          <w:b/>
          <w:sz w:val="24"/>
          <w:szCs w:val="24"/>
        </w:rPr>
        <w:t>531</w:t>
      </w:r>
      <w:r w:rsidRPr="00B17DCD">
        <w:rPr>
          <w:rFonts w:ascii="Times New Roman" w:hAnsi="Times New Roman" w:cs="Times New Roman"/>
          <w:sz w:val="24"/>
          <w:szCs w:val="24"/>
        </w:rPr>
        <w:t xml:space="preserve"> zgłoszeń nie został</w:t>
      </w:r>
      <w:r w:rsidR="00EB593F">
        <w:rPr>
          <w:rFonts w:ascii="Times New Roman" w:hAnsi="Times New Roman" w:cs="Times New Roman"/>
          <w:sz w:val="24"/>
          <w:szCs w:val="24"/>
        </w:rPr>
        <w:t>o</w:t>
      </w:r>
      <w:r w:rsidRPr="00B17DCD">
        <w:rPr>
          <w:rFonts w:ascii="Times New Roman" w:hAnsi="Times New Roman" w:cs="Times New Roman"/>
          <w:sz w:val="24"/>
          <w:szCs w:val="24"/>
        </w:rPr>
        <w:t xml:space="preserve"> potwierdzonych, a</w:t>
      </w:r>
      <w:r w:rsidRPr="00B17DCD">
        <w:rPr>
          <w:rFonts w:ascii="Times New Roman" w:hAnsi="Times New Roman" w:cs="Times New Roman"/>
          <w:b/>
          <w:sz w:val="24"/>
          <w:szCs w:val="24"/>
        </w:rPr>
        <w:t xml:space="preserve"> 2</w:t>
      </w:r>
      <w:r w:rsidR="00EB593F">
        <w:rPr>
          <w:rFonts w:ascii="Times New Roman" w:hAnsi="Times New Roman" w:cs="Times New Roman"/>
          <w:b/>
          <w:sz w:val="24"/>
          <w:szCs w:val="24"/>
        </w:rPr>
        <w:t xml:space="preserve"> </w:t>
      </w:r>
      <w:r w:rsidRPr="00B17DCD">
        <w:rPr>
          <w:rFonts w:ascii="Times New Roman" w:hAnsi="Times New Roman" w:cs="Times New Roman"/>
          <w:b/>
          <w:sz w:val="24"/>
          <w:szCs w:val="24"/>
        </w:rPr>
        <w:t>083</w:t>
      </w:r>
      <w:r w:rsidRPr="00B17DCD">
        <w:rPr>
          <w:rFonts w:ascii="Times New Roman" w:hAnsi="Times New Roman" w:cs="Times New Roman"/>
          <w:sz w:val="24"/>
          <w:szCs w:val="24"/>
        </w:rPr>
        <w:t xml:space="preserve"> </w:t>
      </w:r>
      <w:r w:rsidR="00EB593F">
        <w:rPr>
          <w:rFonts w:ascii="Times New Roman" w:hAnsi="Times New Roman" w:cs="Times New Roman"/>
          <w:sz w:val="24"/>
          <w:szCs w:val="24"/>
        </w:rPr>
        <w:t xml:space="preserve">są </w:t>
      </w:r>
      <w:r w:rsidRPr="00B17DCD">
        <w:rPr>
          <w:rFonts w:ascii="Times New Roman" w:hAnsi="Times New Roman" w:cs="Times New Roman"/>
          <w:sz w:val="24"/>
          <w:szCs w:val="24"/>
        </w:rPr>
        <w:t>w trakcie weryfikacji. Po szczegółowej analizie zgłoszenia przekierowywano do jednostek właściwych merytorycznie i miejscowo, w przeważającej części do samorządów i jednostek WIOŚ.</w:t>
      </w:r>
      <w:r w:rsidR="005C3309">
        <w:rPr>
          <w:rFonts w:ascii="Times New Roman" w:hAnsi="Times New Roman" w:cs="Times New Roman"/>
          <w:sz w:val="24"/>
          <w:szCs w:val="24"/>
        </w:rPr>
        <w:t xml:space="preserve"> </w:t>
      </w:r>
    </w:p>
    <w:p w14:paraId="7159592A" w14:textId="77777777" w:rsidR="005C3309" w:rsidRPr="00B17DCD" w:rsidRDefault="005C3309" w:rsidP="005C3309">
      <w:pPr>
        <w:spacing w:line="300" w:lineRule="atLeast"/>
        <w:contextualSpacing/>
        <w:jc w:val="both"/>
        <w:rPr>
          <w:rFonts w:ascii="Times New Roman" w:hAnsi="Times New Roman" w:cs="Times New Roman"/>
          <w:sz w:val="24"/>
          <w:szCs w:val="24"/>
        </w:rPr>
      </w:pPr>
    </w:p>
    <w:p w14:paraId="023ACB7B" w14:textId="76A5A0DC" w:rsidR="00B17DCD" w:rsidRPr="00EB593F" w:rsidRDefault="00EB593F" w:rsidP="00B17DCD">
      <w:pPr>
        <w:spacing w:line="300" w:lineRule="atLeast"/>
        <w:contextualSpacing/>
        <w:jc w:val="both"/>
        <w:rPr>
          <w:rFonts w:ascii="Times New Roman" w:hAnsi="Times New Roman" w:cs="Times New Roman"/>
          <w:b/>
        </w:rPr>
      </w:pPr>
      <w:r w:rsidRPr="00EB593F">
        <w:rPr>
          <w:rFonts w:ascii="Times New Roman" w:hAnsi="Times New Roman" w:cs="Times New Roman"/>
          <w:b/>
        </w:rPr>
        <w:t xml:space="preserve">Tabela 14. </w:t>
      </w:r>
      <w:r w:rsidR="00B17DCD" w:rsidRPr="00EB593F">
        <w:rPr>
          <w:rFonts w:ascii="Times New Roman" w:hAnsi="Times New Roman" w:cs="Times New Roman"/>
          <w:b/>
        </w:rPr>
        <w:t>Kategorie zgłoszeń interwencyjnych w 2022</w:t>
      </w:r>
      <w:r w:rsidR="005C3309" w:rsidRPr="00EB593F">
        <w:rPr>
          <w:rFonts w:ascii="Times New Roman" w:hAnsi="Times New Roman" w:cs="Times New Roman"/>
          <w:b/>
        </w:rPr>
        <w:t xml:space="preserve"> </w:t>
      </w:r>
      <w:r w:rsidR="00B17DCD" w:rsidRPr="00EB593F">
        <w:rPr>
          <w:rFonts w:ascii="Times New Roman" w:hAnsi="Times New Roman" w:cs="Times New Roman"/>
          <w:b/>
        </w:rPr>
        <w:t>r.</w:t>
      </w:r>
    </w:p>
    <w:p w14:paraId="249CDCF7" w14:textId="77777777" w:rsidR="00B17DCD" w:rsidRPr="005C3309" w:rsidRDefault="00B17DCD" w:rsidP="00B17DCD">
      <w:pPr>
        <w:spacing w:line="300" w:lineRule="atLeast"/>
        <w:contextualSpacing/>
        <w:jc w:val="both"/>
        <w:rPr>
          <w:rFonts w:ascii="Times New Roman" w:hAnsi="Times New Roman" w:cs="Times New Roman"/>
        </w:rPr>
      </w:pPr>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7508"/>
        <w:gridCol w:w="1310"/>
      </w:tblGrid>
      <w:tr w:rsidR="00B17DCD" w:rsidRPr="005C3309" w14:paraId="68B19657" w14:textId="77777777" w:rsidTr="00740B87">
        <w:tc>
          <w:tcPr>
            <w:tcW w:w="7508" w:type="dxa"/>
            <w:tcBorders>
              <w:top w:val="single" w:sz="4" w:space="0" w:color="70AD47"/>
              <w:left w:val="single" w:sz="4" w:space="0" w:color="70AD47"/>
              <w:bottom w:val="single" w:sz="4" w:space="0" w:color="70AD47"/>
              <w:right w:val="nil"/>
            </w:tcBorders>
            <w:shd w:val="clear" w:color="auto" w:fill="70AD47"/>
            <w:hideMark/>
          </w:tcPr>
          <w:p w14:paraId="30D5BAD0" w14:textId="77777777" w:rsidR="00B17DCD" w:rsidRPr="005C3309" w:rsidRDefault="00B17DCD" w:rsidP="00740B87">
            <w:pPr>
              <w:spacing w:line="300" w:lineRule="atLeast"/>
              <w:contextualSpacing/>
              <w:jc w:val="both"/>
              <w:rPr>
                <w:rFonts w:ascii="Times New Roman" w:eastAsia="Calibri" w:hAnsi="Times New Roman" w:cs="Times New Roman"/>
                <w:bCs/>
                <w:color w:val="000000"/>
              </w:rPr>
            </w:pPr>
            <w:r w:rsidRPr="005C3309">
              <w:rPr>
                <w:rFonts w:ascii="Times New Roman" w:eastAsia="Calibri" w:hAnsi="Times New Roman" w:cs="Times New Roman"/>
                <w:b/>
                <w:bCs/>
                <w:color w:val="000000"/>
              </w:rPr>
              <w:t xml:space="preserve">Kategoria zgłoszenia </w:t>
            </w:r>
          </w:p>
        </w:tc>
        <w:tc>
          <w:tcPr>
            <w:tcW w:w="1310" w:type="dxa"/>
            <w:tcBorders>
              <w:top w:val="single" w:sz="4" w:space="0" w:color="70AD47"/>
              <w:left w:val="nil"/>
              <w:bottom w:val="single" w:sz="4" w:space="0" w:color="70AD47"/>
              <w:right w:val="single" w:sz="4" w:space="0" w:color="70AD47"/>
            </w:tcBorders>
            <w:shd w:val="clear" w:color="auto" w:fill="70AD47"/>
            <w:hideMark/>
          </w:tcPr>
          <w:p w14:paraId="126C8832" w14:textId="77777777" w:rsidR="00B17DCD" w:rsidRPr="005C3309" w:rsidRDefault="00B17DCD" w:rsidP="00740B87">
            <w:pPr>
              <w:spacing w:line="300" w:lineRule="atLeast"/>
              <w:ind w:left="274" w:hanging="274"/>
              <w:contextualSpacing/>
              <w:jc w:val="both"/>
              <w:rPr>
                <w:rFonts w:ascii="Times New Roman" w:eastAsia="Calibri" w:hAnsi="Times New Roman" w:cs="Times New Roman"/>
                <w:b/>
                <w:bCs/>
                <w:color w:val="000000"/>
              </w:rPr>
            </w:pPr>
            <w:r w:rsidRPr="005C3309">
              <w:rPr>
                <w:rFonts w:ascii="Times New Roman" w:eastAsia="Calibri" w:hAnsi="Times New Roman" w:cs="Times New Roman"/>
                <w:b/>
                <w:bCs/>
                <w:color w:val="000000"/>
              </w:rPr>
              <w:t>Formularz</w:t>
            </w:r>
          </w:p>
        </w:tc>
      </w:tr>
      <w:tr w:rsidR="00B17DCD" w:rsidRPr="005C3309" w14:paraId="62BB92F4" w14:textId="77777777" w:rsidTr="00740B87">
        <w:trPr>
          <w:trHeight w:val="290"/>
        </w:trPr>
        <w:tc>
          <w:tcPr>
            <w:tcW w:w="7508" w:type="dxa"/>
            <w:tcBorders>
              <w:top w:val="single" w:sz="4" w:space="0" w:color="A8D08D"/>
              <w:left w:val="single" w:sz="4" w:space="0" w:color="A8D08D"/>
              <w:bottom w:val="single" w:sz="4" w:space="0" w:color="A8D08D"/>
              <w:right w:val="single" w:sz="4" w:space="0" w:color="A8D08D"/>
            </w:tcBorders>
            <w:shd w:val="clear" w:color="auto" w:fill="E2EFD9"/>
            <w:noWrap/>
            <w:hideMark/>
          </w:tcPr>
          <w:p w14:paraId="7FE17FF0" w14:textId="77777777" w:rsidR="00B17DCD" w:rsidRPr="005C3309" w:rsidRDefault="00B17DCD" w:rsidP="00740B87">
            <w:pPr>
              <w:spacing w:line="300" w:lineRule="atLeast"/>
              <w:contextualSpacing/>
              <w:rPr>
                <w:rFonts w:ascii="Times New Roman" w:eastAsia="Calibri" w:hAnsi="Times New Roman" w:cs="Times New Roman"/>
                <w:bCs/>
                <w:color w:val="000000"/>
              </w:rPr>
            </w:pPr>
            <w:r w:rsidRPr="005C3309">
              <w:rPr>
                <w:rFonts w:ascii="Times New Roman" w:eastAsia="Calibri" w:hAnsi="Times New Roman" w:cs="Times New Roman"/>
                <w:bCs/>
                <w:color w:val="000000"/>
              </w:rPr>
              <w:t>nielegalne przetwarzanie/odzysk/unieszkodliwianie/zakopywanie odpadów innych</w:t>
            </w:r>
          </w:p>
        </w:tc>
        <w:tc>
          <w:tcPr>
            <w:tcW w:w="1310" w:type="dxa"/>
            <w:tcBorders>
              <w:top w:val="single" w:sz="4" w:space="0" w:color="A8D08D"/>
              <w:left w:val="single" w:sz="4" w:space="0" w:color="A8D08D"/>
              <w:bottom w:val="single" w:sz="4" w:space="0" w:color="A8D08D"/>
              <w:right w:val="single" w:sz="4" w:space="0" w:color="A8D08D"/>
            </w:tcBorders>
            <w:shd w:val="clear" w:color="auto" w:fill="E2EFD9"/>
            <w:noWrap/>
            <w:hideMark/>
          </w:tcPr>
          <w:p w14:paraId="08F60F74" w14:textId="77777777" w:rsidR="00B17DCD" w:rsidRPr="005C3309" w:rsidRDefault="00B17DCD" w:rsidP="005C3309">
            <w:pPr>
              <w:spacing w:line="300" w:lineRule="atLeast"/>
              <w:ind w:left="274" w:hanging="274"/>
              <w:contextualSpacing/>
              <w:jc w:val="right"/>
              <w:rPr>
                <w:rFonts w:ascii="Times New Roman" w:eastAsia="Calibri" w:hAnsi="Times New Roman" w:cs="Times New Roman"/>
                <w:color w:val="000000"/>
              </w:rPr>
            </w:pPr>
            <w:r w:rsidRPr="005C3309">
              <w:rPr>
                <w:rFonts w:ascii="Times New Roman" w:eastAsia="Calibri" w:hAnsi="Times New Roman" w:cs="Times New Roman"/>
                <w:color w:val="000000"/>
              </w:rPr>
              <w:t>67</w:t>
            </w:r>
          </w:p>
        </w:tc>
      </w:tr>
      <w:tr w:rsidR="00B17DCD" w:rsidRPr="005C3309" w14:paraId="0FEF92AC" w14:textId="77777777" w:rsidTr="00740B87">
        <w:trPr>
          <w:trHeight w:val="290"/>
        </w:trPr>
        <w:tc>
          <w:tcPr>
            <w:tcW w:w="7508" w:type="dxa"/>
            <w:tcBorders>
              <w:top w:val="single" w:sz="4" w:space="0" w:color="A8D08D"/>
              <w:left w:val="single" w:sz="4" w:space="0" w:color="A8D08D"/>
              <w:bottom w:val="single" w:sz="4" w:space="0" w:color="A8D08D"/>
              <w:right w:val="single" w:sz="4" w:space="0" w:color="A8D08D"/>
            </w:tcBorders>
            <w:shd w:val="clear" w:color="auto" w:fill="auto"/>
            <w:noWrap/>
            <w:hideMark/>
          </w:tcPr>
          <w:p w14:paraId="51019539" w14:textId="77777777" w:rsidR="00B17DCD" w:rsidRPr="005C3309" w:rsidRDefault="00B17DCD" w:rsidP="00740B87">
            <w:pPr>
              <w:spacing w:line="300" w:lineRule="atLeast"/>
              <w:contextualSpacing/>
              <w:rPr>
                <w:rFonts w:ascii="Times New Roman" w:eastAsia="Calibri" w:hAnsi="Times New Roman" w:cs="Times New Roman"/>
                <w:bCs/>
                <w:color w:val="000000"/>
              </w:rPr>
            </w:pPr>
            <w:r w:rsidRPr="005C3309">
              <w:rPr>
                <w:rFonts w:ascii="Times New Roman" w:eastAsia="Calibri" w:hAnsi="Times New Roman" w:cs="Times New Roman"/>
                <w:bCs/>
                <w:color w:val="000000"/>
              </w:rPr>
              <w:lastRenderedPageBreak/>
              <w:t>nielegalne przetwarzanie/odzysk/unieszkodliwianie/zakopywanie odpadów komunalnych</w:t>
            </w:r>
          </w:p>
        </w:tc>
        <w:tc>
          <w:tcPr>
            <w:tcW w:w="1310" w:type="dxa"/>
            <w:tcBorders>
              <w:top w:val="single" w:sz="4" w:space="0" w:color="A8D08D"/>
              <w:left w:val="single" w:sz="4" w:space="0" w:color="A8D08D"/>
              <w:bottom w:val="single" w:sz="4" w:space="0" w:color="A8D08D"/>
              <w:right w:val="single" w:sz="4" w:space="0" w:color="A8D08D"/>
            </w:tcBorders>
            <w:shd w:val="clear" w:color="auto" w:fill="auto"/>
            <w:noWrap/>
            <w:hideMark/>
          </w:tcPr>
          <w:p w14:paraId="44C68BD7" w14:textId="77777777" w:rsidR="00B17DCD" w:rsidRPr="005C3309" w:rsidRDefault="00B17DCD" w:rsidP="005C3309">
            <w:pPr>
              <w:spacing w:line="300" w:lineRule="atLeast"/>
              <w:ind w:left="274" w:hanging="274"/>
              <w:contextualSpacing/>
              <w:jc w:val="right"/>
              <w:rPr>
                <w:rFonts w:ascii="Times New Roman" w:eastAsia="Calibri" w:hAnsi="Times New Roman" w:cs="Times New Roman"/>
                <w:color w:val="000000"/>
              </w:rPr>
            </w:pPr>
            <w:r w:rsidRPr="005C3309">
              <w:rPr>
                <w:rFonts w:ascii="Times New Roman" w:eastAsia="Calibri" w:hAnsi="Times New Roman" w:cs="Times New Roman"/>
                <w:color w:val="000000"/>
              </w:rPr>
              <w:t>24</w:t>
            </w:r>
          </w:p>
        </w:tc>
      </w:tr>
      <w:tr w:rsidR="00B17DCD" w:rsidRPr="005C3309" w14:paraId="6A6954FD" w14:textId="77777777" w:rsidTr="00740B87">
        <w:trPr>
          <w:trHeight w:val="290"/>
        </w:trPr>
        <w:tc>
          <w:tcPr>
            <w:tcW w:w="7508" w:type="dxa"/>
            <w:tcBorders>
              <w:top w:val="single" w:sz="4" w:space="0" w:color="A8D08D"/>
              <w:left w:val="single" w:sz="4" w:space="0" w:color="A8D08D"/>
              <w:bottom w:val="single" w:sz="4" w:space="0" w:color="A8D08D"/>
              <w:right w:val="single" w:sz="4" w:space="0" w:color="A8D08D"/>
            </w:tcBorders>
            <w:shd w:val="clear" w:color="auto" w:fill="E2EFD9"/>
            <w:noWrap/>
            <w:hideMark/>
          </w:tcPr>
          <w:p w14:paraId="74DA829C" w14:textId="77777777" w:rsidR="00B17DCD" w:rsidRPr="005C3309" w:rsidRDefault="00B17DCD" w:rsidP="00740B87">
            <w:pPr>
              <w:spacing w:line="300" w:lineRule="atLeast"/>
              <w:contextualSpacing/>
              <w:rPr>
                <w:rFonts w:ascii="Times New Roman" w:eastAsia="Calibri" w:hAnsi="Times New Roman" w:cs="Times New Roman"/>
                <w:bCs/>
                <w:color w:val="000000"/>
              </w:rPr>
            </w:pPr>
            <w:r w:rsidRPr="005C3309">
              <w:rPr>
                <w:rFonts w:ascii="Times New Roman" w:eastAsia="Calibri" w:hAnsi="Times New Roman" w:cs="Times New Roman"/>
                <w:bCs/>
                <w:color w:val="000000"/>
              </w:rPr>
              <w:t>nielegalne przetwarzanie/odzysk/unieszkodliwianie/zakopywanie odpadów niebezpiecznych</w:t>
            </w:r>
          </w:p>
        </w:tc>
        <w:tc>
          <w:tcPr>
            <w:tcW w:w="1310" w:type="dxa"/>
            <w:tcBorders>
              <w:top w:val="single" w:sz="4" w:space="0" w:color="A8D08D"/>
              <w:left w:val="single" w:sz="4" w:space="0" w:color="A8D08D"/>
              <w:bottom w:val="single" w:sz="4" w:space="0" w:color="A8D08D"/>
              <w:right w:val="single" w:sz="4" w:space="0" w:color="A8D08D"/>
            </w:tcBorders>
            <w:shd w:val="clear" w:color="auto" w:fill="E2EFD9"/>
            <w:noWrap/>
            <w:hideMark/>
          </w:tcPr>
          <w:p w14:paraId="7DD1885D" w14:textId="77777777" w:rsidR="00B17DCD" w:rsidRPr="005C3309" w:rsidRDefault="00B17DCD" w:rsidP="005C3309">
            <w:pPr>
              <w:spacing w:line="300" w:lineRule="atLeast"/>
              <w:ind w:left="274" w:hanging="274"/>
              <w:contextualSpacing/>
              <w:jc w:val="right"/>
              <w:rPr>
                <w:rFonts w:ascii="Times New Roman" w:eastAsia="Calibri" w:hAnsi="Times New Roman" w:cs="Times New Roman"/>
                <w:color w:val="000000"/>
              </w:rPr>
            </w:pPr>
            <w:r w:rsidRPr="005C3309">
              <w:rPr>
                <w:rFonts w:ascii="Times New Roman" w:eastAsia="Calibri" w:hAnsi="Times New Roman" w:cs="Times New Roman"/>
                <w:color w:val="000000"/>
              </w:rPr>
              <w:t>39</w:t>
            </w:r>
          </w:p>
        </w:tc>
      </w:tr>
      <w:tr w:rsidR="00B17DCD" w:rsidRPr="005C3309" w14:paraId="02DA7D53" w14:textId="77777777" w:rsidTr="00740B87">
        <w:trPr>
          <w:trHeight w:val="290"/>
        </w:trPr>
        <w:tc>
          <w:tcPr>
            <w:tcW w:w="7508" w:type="dxa"/>
            <w:tcBorders>
              <w:top w:val="single" w:sz="4" w:space="0" w:color="A8D08D"/>
              <w:left w:val="single" w:sz="4" w:space="0" w:color="A8D08D"/>
              <w:bottom w:val="single" w:sz="4" w:space="0" w:color="A8D08D"/>
              <w:right w:val="single" w:sz="4" w:space="0" w:color="A8D08D"/>
            </w:tcBorders>
            <w:shd w:val="clear" w:color="auto" w:fill="auto"/>
            <w:noWrap/>
            <w:hideMark/>
          </w:tcPr>
          <w:p w14:paraId="65EE5BD4" w14:textId="77777777" w:rsidR="00B17DCD" w:rsidRPr="005C3309" w:rsidRDefault="00B17DCD" w:rsidP="00740B87">
            <w:pPr>
              <w:spacing w:line="300" w:lineRule="atLeast"/>
              <w:contextualSpacing/>
              <w:rPr>
                <w:rFonts w:ascii="Times New Roman" w:eastAsia="Calibri" w:hAnsi="Times New Roman" w:cs="Times New Roman"/>
                <w:bCs/>
                <w:color w:val="000000"/>
              </w:rPr>
            </w:pPr>
            <w:r w:rsidRPr="005C3309">
              <w:rPr>
                <w:rFonts w:ascii="Times New Roman" w:eastAsia="Calibri" w:hAnsi="Times New Roman" w:cs="Times New Roman"/>
                <w:bCs/>
                <w:color w:val="000000"/>
              </w:rPr>
              <w:t>nielegalne przewiezienie z zagranicy odpadów</w:t>
            </w:r>
          </w:p>
        </w:tc>
        <w:tc>
          <w:tcPr>
            <w:tcW w:w="1310" w:type="dxa"/>
            <w:tcBorders>
              <w:top w:val="single" w:sz="4" w:space="0" w:color="A8D08D"/>
              <w:left w:val="single" w:sz="4" w:space="0" w:color="A8D08D"/>
              <w:bottom w:val="single" w:sz="4" w:space="0" w:color="A8D08D"/>
              <w:right w:val="single" w:sz="4" w:space="0" w:color="A8D08D"/>
            </w:tcBorders>
            <w:shd w:val="clear" w:color="auto" w:fill="auto"/>
            <w:noWrap/>
            <w:hideMark/>
          </w:tcPr>
          <w:p w14:paraId="0445BFC4" w14:textId="77777777" w:rsidR="00B17DCD" w:rsidRPr="005C3309" w:rsidRDefault="00B17DCD" w:rsidP="005C3309">
            <w:pPr>
              <w:spacing w:line="300" w:lineRule="atLeast"/>
              <w:ind w:left="274" w:hanging="274"/>
              <w:contextualSpacing/>
              <w:jc w:val="right"/>
              <w:rPr>
                <w:rFonts w:ascii="Times New Roman" w:eastAsia="Calibri" w:hAnsi="Times New Roman" w:cs="Times New Roman"/>
                <w:color w:val="000000"/>
              </w:rPr>
            </w:pPr>
            <w:r w:rsidRPr="005C3309">
              <w:rPr>
                <w:rFonts w:ascii="Times New Roman" w:eastAsia="Calibri" w:hAnsi="Times New Roman" w:cs="Times New Roman"/>
                <w:color w:val="000000"/>
              </w:rPr>
              <w:t>20</w:t>
            </w:r>
          </w:p>
        </w:tc>
      </w:tr>
      <w:tr w:rsidR="00B17DCD" w:rsidRPr="005C3309" w14:paraId="073383B0" w14:textId="77777777" w:rsidTr="00740B87">
        <w:trPr>
          <w:trHeight w:val="290"/>
        </w:trPr>
        <w:tc>
          <w:tcPr>
            <w:tcW w:w="7508" w:type="dxa"/>
            <w:tcBorders>
              <w:top w:val="single" w:sz="4" w:space="0" w:color="A8D08D"/>
              <w:left w:val="single" w:sz="4" w:space="0" w:color="A8D08D"/>
              <w:bottom w:val="single" w:sz="4" w:space="0" w:color="A8D08D"/>
              <w:right w:val="single" w:sz="4" w:space="0" w:color="A8D08D"/>
            </w:tcBorders>
            <w:shd w:val="clear" w:color="auto" w:fill="E2EFD9"/>
            <w:noWrap/>
            <w:hideMark/>
          </w:tcPr>
          <w:p w14:paraId="130698B2" w14:textId="77777777" w:rsidR="00B17DCD" w:rsidRPr="005C3309" w:rsidRDefault="00B17DCD" w:rsidP="00740B87">
            <w:pPr>
              <w:spacing w:line="300" w:lineRule="atLeast"/>
              <w:contextualSpacing/>
              <w:rPr>
                <w:rFonts w:ascii="Times New Roman" w:eastAsia="Calibri" w:hAnsi="Times New Roman" w:cs="Times New Roman"/>
                <w:bCs/>
                <w:color w:val="000000"/>
              </w:rPr>
            </w:pPr>
            <w:r w:rsidRPr="005C3309">
              <w:rPr>
                <w:rFonts w:ascii="Times New Roman" w:eastAsia="Calibri" w:hAnsi="Times New Roman" w:cs="Times New Roman"/>
                <w:bCs/>
                <w:color w:val="000000"/>
              </w:rPr>
              <w:t>nielegalny transport odpadów innych</w:t>
            </w:r>
          </w:p>
        </w:tc>
        <w:tc>
          <w:tcPr>
            <w:tcW w:w="1310" w:type="dxa"/>
            <w:tcBorders>
              <w:top w:val="single" w:sz="4" w:space="0" w:color="A8D08D"/>
              <w:left w:val="single" w:sz="4" w:space="0" w:color="A8D08D"/>
              <w:bottom w:val="single" w:sz="4" w:space="0" w:color="A8D08D"/>
              <w:right w:val="single" w:sz="4" w:space="0" w:color="A8D08D"/>
            </w:tcBorders>
            <w:shd w:val="clear" w:color="auto" w:fill="E2EFD9"/>
            <w:noWrap/>
            <w:hideMark/>
          </w:tcPr>
          <w:p w14:paraId="7F1C9956" w14:textId="77777777" w:rsidR="00B17DCD" w:rsidRPr="005C3309" w:rsidRDefault="00B17DCD" w:rsidP="005C3309">
            <w:pPr>
              <w:spacing w:line="300" w:lineRule="atLeast"/>
              <w:ind w:left="274" w:hanging="274"/>
              <w:contextualSpacing/>
              <w:jc w:val="right"/>
              <w:rPr>
                <w:rFonts w:ascii="Times New Roman" w:eastAsia="Calibri" w:hAnsi="Times New Roman" w:cs="Times New Roman"/>
                <w:color w:val="000000"/>
              </w:rPr>
            </w:pPr>
            <w:r w:rsidRPr="005C3309">
              <w:rPr>
                <w:rFonts w:ascii="Times New Roman" w:eastAsia="Calibri" w:hAnsi="Times New Roman" w:cs="Times New Roman"/>
                <w:color w:val="000000"/>
              </w:rPr>
              <w:t>11</w:t>
            </w:r>
          </w:p>
        </w:tc>
      </w:tr>
      <w:tr w:rsidR="00B17DCD" w:rsidRPr="005C3309" w14:paraId="2B3B0E22" w14:textId="77777777" w:rsidTr="00740B87">
        <w:trPr>
          <w:trHeight w:val="290"/>
        </w:trPr>
        <w:tc>
          <w:tcPr>
            <w:tcW w:w="7508" w:type="dxa"/>
            <w:tcBorders>
              <w:top w:val="single" w:sz="4" w:space="0" w:color="A8D08D"/>
              <w:left w:val="single" w:sz="4" w:space="0" w:color="A8D08D"/>
              <w:bottom w:val="single" w:sz="4" w:space="0" w:color="A8D08D"/>
              <w:right w:val="single" w:sz="4" w:space="0" w:color="A8D08D"/>
            </w:tcBorders>
            <w:shd w:val="clear" w:color="auto" w:fill="auto"/>
            <w:noWrap/>
            <w:hideMark/>
          </w:tcPr>
          <w:p w14:paraId="5E4FABC3" w14:textId="77777777" w:rsidR="00B17DCD" w:rsidRPr="005C3309" w:rsidRDefault="00B17DCD" w:rsidP="00740B87">
            <w:pPr>
              <w:spacing w:line="300" w:lineRule="atLeast"/>
              <w:contextualSpacing/>
              <w:rPr>
                <w:rFonts w:ascii="Times New Roman" w:eastAsia="Calibri" w:hAnsi="Times New Roman" w:cs="Times New Roman"/>
                <w:bCs/>
                <w:color w:val="000000"/>
              </w:rPr>
            </w:pPr>
            <w:r w:rsidRPr="005C3309">
              <w:rPr>
                <w:rFonts w:ascii="Times New Roman" w:eastAsia="Calibri" w:hAnsi="Times New Roman" w:cs="Times New Roman"/>
                <w:bCs/>
                <w:color w:val="000000"/>
              </w:rPr>
              <w:t>nielegalny transport odpadów komunalnych</w:t>
            </w:r>
          </w:p>
        </w:tc>
        <w:tc>
          <w:tcPr>
            <w:tcW w:w="1310" w:type="dxa"/>
            <w:tcBorders>
              <w:top w:val="single" w:sz="4" w:space="0" w:color="A8D08D"/>
              <w:left w:val="single" w:sz="4" w:space="0" w:color="A8D08D"/>
              <w:bottom w:val="single" w:sz="4" w:space="0" w:color="A8D08D"/>
              <w:right w:val="single" w:sz="4" w:space="0" w:color="A8D08D"/>
            </w:tcBorders>
            <w:shd w:val="clear" w:color="auto" w:fill="auto"/>
            <w:noWrap/>
            <w:hideMark/>
          </w:tcPr>
          <w:p w14:paraId="317D33DA" w14:textId="77777777" w:rsidR="00B17DCD" w:rsidRPr="005C3309" w:rsidRDefault="00B17DCD" w:rsidP="005C3309">
            <w:pPr>
              <w:spacing w:line="300" w:lineRule="atLeast"/>
              <w:ind w:left="274" w:hanging="274"/>
              <w:contextualSpacing/>
              <w:jc w:val="right"/>
              <w:rPr>
                <w:rFonts w:ascii="Times New Roman" w:eastAsia="Calibri" w:hAnsi="Times New Roman" w:cs="Times New Roman"/>
                <w:color w:val="000000"/>
              </w:rPr>
            </w:pPr>
            <w:r w:rsidRPr="005C3309">
              <w:rPr>
                <w:rFonts w:ascii="Times New Roman" w:eastAsia="Calibri" w:hAnsi="Times New Roman" w:cs="Times New Roman"/>
                <w:color w:val="000000"/>
              </w:rPr>
              <w:t>11</w:t>
            </w:r>
          </w:p>
        </w:tc>
      </w:tr>
      <w:tr w:rsidR="00B17DCD" w:rsidRPr="005C3309" w14:paraId="037F4575" w14:textId="77777777" w:rsidTr="00740B87">
        <w:trPr>
          <w:trHeight w:val="290"/>
        </w:trPr>
        <w:tc>
          <w:tcPr>
            <w:tcW w:w="7508" w:type="dxa"/>
            <w:tcBorders>
              <w:top w:val="single" w:sz="4" w:space="0" w:color="A8D08D"/>
              <w:left w:val="single" w:sz="4" w:space="0" w:color="A8D08D"/>
              <w:bottom w:val="single" w:sz="4" w:space="0" w:color="A8D08D"/>
              <w:right w:val="single" w:sz="4" w:space="0" w:color="A8D08D"/>
            </w:tcBorders>
            <w:shd w:val="clear" w:color="auto" w:fill="E2EFD9"/>
            <w:noWrap/>
            <w:hideMark/>
          </w:tcPr>
          <w:p w14:paraId="139A0353" w14:textId="77777777" w:rsidR="00B17DCD" w:rsidRPr="005C3309" w:rsidRDefault="00B17DCD" w:rsidP="00740B87">
            <w:pPr>
              <w:spacing w:line="300" w:lineRule="atLeast"/>
              <w:contextualSpacing/>
              <w:rPr>
                <w:rFonts w:ascii="Times New Roman" w:eastAsia="Calibri" w:hAnsi="Times New Roman" w:cs="Times New Roman"/>
                <w:bCs/>
                <w:color w:val="000000"/>
              </w:rPr>
            </w:pPr>
            <w:r w:rsidRPr="005C3309">
              <w:rPr>
                <w:rFonts w:ascii="Times New Roman" w:eastAsia="Calibri" w:hAnsi="Times New Roman" w:cs="Times New Roman"/>
                <w:bCs/>
                <w:color w:val="000000"/>
              </w:rPr>
              <w:t>nielegalny transport odpadów niebezpiecznych</w:t>
            </w:r>
          </w:p>
        </w:tc>
        <w:tc>
          <w:tcPr>
            <w:tcW w:w="1310" w:type="dxa"/>
            <w:tcBorders>
              <w:top w:val="single" w:sz="4" w:space="0" w:color="A8D08D"/>
              <w:left w:val="single" w:sz="4" w:space="0" w:color="A8D08D"/>
              <w:bottom w:val="single" w:sz="4" w:space="0" w:color="A8D08D"/>
              <w:right w:val="single" w:sz="4" w:space="0" w:color="A8D08D"/>
            </w:tcBorders>
            <w:shd w:val="clear" w:color="auto" w:fill="E2EFD9"/>
            <w:noWrap/>
            <w:hideMark/>
          </w:tcPr>
          <w:p w14:paraId="167E39E2" w14:textId="77777777" w:rsidR="00B17DCD" w:rsidRPr="005C3309" w:rsidRDefault="00B17DCD" w:rsidP="005C3309">
            <w:pPr>
              <w:spacing w:line="300" w:lineRule="atLeast"/>
              <w:ind w:left="274" w:hanging="274"/>
              <w:contextualSpacing/>
              <w:jc w:val="right"/>
              <w:rPr>
                <w:rFonts w:ascii="Times New Roman" w:eastAsia="Calibri" w:hAnsi="Times New Roman" w:cs="Times New Roman"/>
                <w:color w:val="000000"/>
              </w:rPr>
            </w:pPr>
            <w:r w:rsidRPr="005C3309">
              <w:rPr>
                <w:rFonts w:ascii="Times New Roman" w:eastAsia="Calibri" w:hAnsi="Times New Roman" w:cs="Times New Roman"/>
                <w:color w:val="000000"/>
              </w:rPr>
              <w:t>9</w:t>
            </w:r>
          </w:p>
        </w:tc>
      </w:tr>
      <w:tr w:rsidR="00B17DCD" w:rsidRPr="005C3309" w14:paraId="41508973" w14:textId="77777777" w:rsidTr="00740B87">
        <w:trPr>
          <w:trHeight w:val="290"/>
        </w:trPr>
        <w:tc>
          <w:tcPr>
            <w:tcW w:w="7508" w:type="dxa"/>
            <w:tcBorders>
              <w:top w:val="single" w:sz="4" w:space="0" w:color="A8D08D"/>
              <w:left w:val="single" w:sz="4" w:space="0" w:color="A8D08D"/>
              <w:bottom w:val="single" w:sz="4" w:space="0" w:color="A8D08D"/>
              <w:right w:val="single" w:sz="4" w:space="0" w:color="A8D08D"/>
            </w:tcBorders>
            <w:shd w:val="clear" w:color="auto" w:fill="auto"/>
            <w:noWrap/>
            <w:hideMark/>
          </w:tcPr>
          <w:p w14:paraId="44984F61" w14:textId="77777777" w:rsidR="00B17DCD" w:rsidRPr="005C3309" w:rsidRDefault="00B17DCD" w:rsidP="00740B87">
            <w:pPr>
              <w:spacing w:line="300" w:lineRule="atLeast"/>
              <w:contextualSpacing/>
              <w:rPr>
                <w:rFonts w:ascii="Times New Roman" w:eastAsia="Calibri" w:hAnsi="Times New Roman" w:cs="Times New Roman"/>
                <w:bCs/>
                <w:color w:val="000000"/>
              </w:rPr>
            </w:pPr>
            <w:r w:rsidRPr="005C3309">
              <w:rPr>
                <w:rFonts w:ascii="Times New Roman" w:eastAsia="Calibri" w:hAnsi="Times New Roman" w:cs="Times New Roman"/>
                <w:bCs/>
                <w:color w:val="000000"/>
              </w:rPr>
              <w:t>porzucenie/nielegalne zdeponowanie/składowanie/zakopywanie odpadów innych</w:t>
            </w:r>
          </w:p>
        </w:tc>
        <w:tc>
          <w:tcPr>
            <w:tcW w:w="1310" w:type="dxa"/>
            <w:tcBorders>
              <w:top w:val="single" w:sz="4" w:space="0" w:color="A8D08D"/>
              <w:left w:val="single" w:sz="4" w:space="0" w:color="A8D08D"/>
              <w:bottom w:val="single" w:sz="4" w:space="0" w:color="A8D08D"/>
              <w:right w:val="single" w:sz="4" w:space="0" w:color="A8D08D"/>
            </w:tcBorders>
            <w:shd w:val="clear" w:color="auto" w:fill="auto"/>
            <w:noWrap/>
            <w:hideMark/>
          </w:tcPr>
          <w:p w14:paraId="222A06B8" w14:textId="77777777" w:rsidR="00B17DCD" w:rsidRPr="005C3309" w:rsidRDefault="00B17DCD" w:rsidP="005C3309">
            <w:pPr>
              <w:spacing w:line="300" w:lineRule="atLeast"/>
              <w:ind w:left="274" w:hanging="274"/>
              <w:contextualSpacing/>
              <w:jc w:val="right"/>
              <w:rPr>
                <w:rFonts w:ascii="Times New Roman" w:eastAsia="Calibri" w:hAnsi="Times New Roman" w:cs="Times New Roman"/>
                <w:color w:val="000000"/>
              </w:rPr>
            </w:pPr>
            <w:r w:rsidRPr="005C3309">
              <w:rPr>
                <w:rFonts w:ascii="Times New Roman" w:eastAsia="Calibri" w:hAnsi="Times New Roman" w:cs="Times New Roman"/>
                <w:color w:val="000000"/>
              </w:rPr>
              <w:t>477</w:t>
            </w:r>
          </w:p>
        </w:tc>
      </w:tr>
      <w:tr w:rsidR="00B17DCD" w:rsidRPr="005C3309" w14:paraId="5145EA62" w14:textId="77777777" w:rsidTr="00740B87">
        <w:trPr>
          <w:trHeight w:val="290"/>
        </w:trPr>
        <w:tc>
          <w:tcPr>
            <w:tcW w:w="7508" w:type="dxa"/>
            <w:tcBorders>
              <w:top w:val="single" w:sz="4" w:space="0" w:color="A8D08D"/>
              <w:left w:val="single" w:sz="4" w:space="0" w:color="A8D08D"/>
              <w:bottom w:val="single" w:sz="4" w:space="0" w:color="A8D08D"/>
              <w:right w:val="single" w:sz="4" w:space="0" w:color="A8D08D"/>
            </w:tcBorders>
            <w:shd w:val="clear" w:color="auto" w:fill="E2EFD9"/>
            <w:noWrap/>
            <w:hideMark/>
          </w:tcPr>
          <w:p w14:paraId="49B5DAFE" w14:textId="77777777" w:rsidR="00B17DCD" w:rsidRPr="005C3309" w:rsidRDefault="00B17DCD" w:rsidP="00740B87">
            <w:pPr>
              <w:spacing w:line="300" w:lineRule="atLeast"/>
              <w:contextualSpacing/>
              <w:rPr>
                <w:rFonts w:ascii="Times New Roman" w:eastAsia="Calibri" w:hAnsi="Times New Roman" w:cs="Times New Roman"/>
                <w:bCs/>
                <w:color w:val="000000"/>
              </w:rPr>
            </w:pPr>
            <w:r w:rsidRPr="005C3309">
              <w:rPr>
                <w:rFonts w:ascii="Times New Roman" w:eastAsia="Calibri" w:hAnsi="Times New Roman" w:cs="Times New Roman"/>
                <w:bCs/>
                <w:color w:val="000000"/>
              </w:rPr>
              <w:t>porzucenie/nielegalne zdeponowanie/składowanie/zakopywanie odpadów komunalnych</w:t>
            </w:r>
          </w:p>
        </w:tc>
        <w:tc>
          <w:tcPr>
            <w:tcW w:w="1310" w:type="dxa"/>
            <w:tcBorders>
              <w:top w:val="single" w:sz="4" w:space="0" w:color="A8D08D"/>
              <w:left w:val="single" w:sz="4" w:space="0" w:color="A8D08D"/>
              <w:bottom w:val="single" w:sz="4" w:space="0" w:color="A8D08D"/>
              <w:right w:val="single" w:sz="4" w:space="0" w:color="A8D08D"/>
            </w:tcBorders>
            <w:shd w:val="clear" w:color="auto" w:fill="E2EFD9"/>
            <w:noWrap/>
            <w:hideMark/>
          </w:tcPr>
          <w:p w14:paraId="609F106C" w14:textId="77777777" w:rsidR="00B17DCD" w:rsidRPr="005C3309" w:rsidRDefault="00B17DCD" w:rsidP="005C3309">
            <w:pPr>
              <w:spacing w:line="300" w:lineRule="atLeast"/>
              <w:contextualSpacing/>
              <w:jc w:val="right"/>
              <w:rPr>
                <w:rFonts w:ascii="Times New Roman" w:eastAsia="Calibri" w:hAnsi="Times New Roman" w:cs="Times New Roman"/>
                <w:color w:val="000000"/>
              </w:rPr>
            </w:pPr>
            <w:r w:rsidRPr="005C3309">
              <w:rPr>
                <w:rFonts w:ascii="Times New Roman" w:eastAsia="Calibri" w:hAnsi="Times New Roman" w:cs="Times New Roman"/>
                <w:color w:val="000000"/>
              </w:rPr>
              <w:t>334</w:t>
            </w:r>
          </w:p>
        </w:tc>
      </w:tr>
      <w:tr w:rsidR="00B17DCD" w:rsidRPr="005C3309" w14:paraId="46A6AFD0" w14:textId="77777777" w:rsidTr="00740B87">
        <w:trPr>
          <w:trHeight w:val="290"/>
        </w:trPr>
        <w:tc>
          <w:tcPr>
            <w:tcW w:w="7508" w:type="dxa"/>
            <w:tcBorders>
              <w:top w:val="single" w:sz="4" w:space="0" w:color="A8D08D"/>
              <w:left w:val="single" w:sz="4" w:space="0" w:color="A8D08D"/>
              <w:bottom w:val="single" w:sz="4" w:space="0" w:color="A8D08D"/>
              <w:right w:val="single" w:sz="4" w:space="0" w:color="A8D08D"/>
            </w:tcBorders>
            <w:shd w:val="clear" w:color="auto" w:fill="auto"/>
            <w:noWrap/>
            <w:hideMark/>
          </w:tcPr>
          <w:p w14:paraId="023D81B4" w14:textId="77777777" w:rsidR="00B17DCD" w:rsidRPr="005C3309" w:rsidRDefault="00B17DCD" w:rsidP="00740B87">
            <w:pPr>
              <w:spacing w:line="300" w:lineRule="atLeast"/>
              <w:contextualSpacing/>
              <w:rPr>
                <w:rFonts w:ascii="Times New Roman" w:eastAsia="Calibri" w:hAnsi="Times New Roman" w:cs="Times New Roman"/>
                <w:bCs/>
                <w:color w:val="000000"/>
              </w:rPr>
            </w:pPr>
            <w:r w:rsidRPr="005C3309">
              <w:rPr>
                <w:rFonts w:ascii="Times New Roman" w:eastAsia="Calibri" w:hAnsi="Times New Roman" w:cs="Times New Roman"/>
                <w:bCs/>
                <w:color w:val="000000"/>
              </w:rPr>
              <w:t>porzucenie/nielegalne zdeponowanie/składowanie/zakopywanie odpadów niebezpiecznych</w:t>
            </w:r>
          </w:p>
        </w:tc>
        <w:tc>
          <w:tcPr>
            <w:tcW w:w="1310" w:type="dxa"/>
            <w:tcBorders>
              <w:top w:val="single" w:sz="4" w:space="0" w:color="A8D08D"/>
              <w:left w:val="single" w:sz="4" w:space="0" w:color="A8D08D"/>
              <w:bottom w:val="single" w:sz="4" w:space="0" w:color="A8D08D"/>
              <w:right w:val="single" w:sz="4" w:space="0" w:color="A8D08D"/>
            </w:tcBorders>
            <w:shd w:val="clear" w:color="auto" w:fill="auto"/>
            <w:noWrap/>
            <w:hideMark/>
          </w:tcPr>
          <w:p w14:paraId="0CA5908A" w14:textId="77777777" w:rsidR="00B17DCD" w:rsidRPr="005C3309" w:rsidRDefault="00B17DCD" w:rsidP="005C3309">
            <w:pPr>
              <w:spacing w:line="300" w:lineRule="atLeast"/>
              <w:contextualSpacing/>
              <w:jc w:val="right"/>
              <w:rPr>
                <w:rFonts w:ascii="Times New Roman" w:eastAsia="Calibri" w:hAnsi="Times New Roman" w:cs="Times New Roman"/>
                <w:color w:val="000000"/>
              </w:rPr>
            </w:pPr>
            <w:r w:rsidRPr="005C3309">
              <w:rPr>
                <w:rFonts w:ascii="Times New Roman" w:eastAsia="Calibri" w:hAnsi="Times New Roman" w:cs="Times New Roman"/>
                <w:color w:val="000000"/>
              </w:rPr>
              <w:t>493</w:t>
            </w:r>
          </w:p>
        </w:tc>
      </w:tr>
      <w:tr w:rsidR="00B17DCD" w:rsidRPr="005C3309" w14:paraId="07442A08" w14:textId="77777777" w:rsidTr="00740B87">
        <w:trPr>
          <w:trHeight w:val="290"/>
        </w:trPr>
        <w:tc>
          <w:tcPr>
            <w:tcW w:w="7508" w:type="dxa"/>
            <w:tcBorders>
              <w:top w:val="single" w:sz="4" w:space="0" w:color="A8D08D"/>
              <w:left w:val="single" w:sz="4" w:space="0" w:color="A8D08D"/>
              <w:bottom w:val="single" w:sz="4" w:space="0" w:color="A8D08D"/>
              <w:right w:val="single" w:sz="4" w:space="0" w:color="A8D08D"/>
            </w:tcBorders>
            <w:shd w:val="clear" w:color="auto" w:fill="E2EFD9"/>
            <w:noWrap/>
            <w:hideMark/>
          </w:tcPr>
          <w:p w14:paraId="03B39972" w14:textId="77777777" w:rsidR="00B17DCD" w:rsidRPr="005C3309" w:rsidRDefault="00B17DCD" w:rsidP="00740B87">
            <w:pPr>
              <w:spacing w:line="300" w:lineRule="atLeast"/>
              <w:contextualSpacing/>
              <w:rPr>
                <w:rFonts w:ascii="Times New Roman" w:eastAsia="Calibri" w:hAnsi="Times New Roman" w:cs="Times New Roman"/>
                <w:bCs/>
                <w:color w:val="000000"/>
              </w:rPr>
            </w:pPr>
            <w:r w:rsidRPr="005C3309">
              <w:rPr>
                <w:rFonts w:ascii="Times New Roman" w:eastAsia="Calibri" w:hAnsi="Times New Roman" w:cs="Times New Roman"/>
                <w:bCs/>
                <w:color w:val="000000"/>
              </w:rPr>
              <w:t>zanieczyszczenie wody, powietrza lub ziemi substancjami</w:t>
            </w:r>
          </w:p>
        </w:tc>
        <w:tc>
          <w:tcPr>
            <w:tcW w:w="1310" w:type="dxa"/>
            <w:tcBorders>
              <w:top w:val="single" w:sz="4" w:space="0" w:color="A8D08D"/>
              <w:left w:val="single" w:sz="4" w:space="0" w:color="A8D08D"/>
              <w:bottom w:val="single" w:sz="4" w:space="0" w:color="A8D08D"/>
              <w:right w:val="single" w:sz="4" w:space="0" w:color="A8D08D"/>
            </w:tcBorders>
            <w:shd w:val="clear" w:color="auto" w:fill="E2EFD9"/>
            <w:noWrap/>
            <w:hideMark/>
          </w:tcPr>
          <w:p w14:paraId="1C125B45" w14:textId="77777777" w:rsidR="00B17DCD" w:rsidRPr="005C3309" w:rsidRDefault="00B17DCD" w:rsidP="005C3309">
            <w:pPr>
              <w:spacing w:line="300" w:lineRule="atLeast"/>
              <w:ind w:left="274" w:hanging="274"/>
              <w:contextualSpacing/>
              <w:jc w:val="right"/>
              <w:rPr>
                <w:rFonts w:ascii="Times New Roman" w:eastAsia="Calibri" w:hAnsi="Times New Roman" w:cs="Times New Roman"/>
                <w:color w:val="000000"/>
              </w:rPr>
            </w:pPr>
            <w:r w:rsidRPr="005C3309">
              <w:rPr>
                <w:rFonts w:ascii="Times New Roman" w:eastAsia="Calibri" w:hAnsi="Times New Roman" w:cs="Times New Roman"/>
                <w:color w:val="000000"/>
              </w:rPr>
              <w:t>1496</w:t>
            </w:r>
          </w:p>
        </w:tc>
      </w:tr>
      <w:tr w:rsidR="00B17DCD" w:rsidRPr="005C3309" w14:paraId="159C3FED" w14:textId="77777777" w:rsidTr="00740B87">
        <w:trPr>
          <w:trHeight w:val="290"/>
        </w:trPr>
        <w:tc>
          <w:tcPr>
            <w:tcW w:w="7508" w:type="dxa"/>
            <w:tcBorders>
              <w:top w:val="single" w:sz="4" w:space="0" w:color="A8D08D"/>
              <w:left w:val="single" w:sz="4" w:space="0" w:color="A8D08D"/>
              <w:bottom w:val="single" w:sz="4" w:space="0" w:color="A8D08D"/>
              <w:right w:val="single" w:sz="4" w:space="0" w:color="A8D08D"/>
            </w:tcBorders>
            <w:shd w:val="clear" w:color="auto" w:fill="auto"/>
            <w:noWrap/>
            <w:hideMark/>
          </w:tcPr>
          <w:p w14:paraId="5D0D1EB7" w14:textId="77777777" w:rsidR="00B17DCD" w:rsidRPr="005C3309" w:rsidRDefault="00B17DCD" w:rsidP="00740B87">
            <w:pPr>
              <w:spacing w:line="300" w:lineRule="atLeast"/>
              <w:contextualSpacing/>
              <w:rPr>
                <w:rFonts w:ascii="Times New Roman" w:eastAsia="Calibri" w:hAnsi="Times New Roman" w:cs="Times New Roman"/>
                <w:bCs/>
                <w:color w:val="000000"/>
              </w:rPr>
            </w:pPr>
            <w:r w:rsidRPr="005C3309">
              <w:rPr>
                <w:rFonts w:ascii="Times New Roman" w:eastAsia="Calibri" w:hAnsi="Times New Roman" w:cs="Times New Roman"/>
                <w:bCs/>
              </w:rPr>
              <w:t>Inna</w:t>
            </w:r>
          </w:p>
        </w:tc>
        <w:tc>
          <w:tcPr>
            <w:tcW w:w="1310" w:type="dxa"/>
            <w:tcBorders>
              <w:top w:val="single" w:sz="4" w:space="0" w:color="A8D08D"/>
              <w:left w:val="single" w:sz="4" w:space="0" w:color="A8D08D"/>
              <w:bottom w:val="single" w:sz="4" w:space="0" w:color="A8D08D"/>
              <w:right w:val="single" w:sz="4" w:space="0" w:color="A8D08D"/>
            </w:tcBorders>
            <w:shd w:val="clear" w:color="auto" w:fill="auto"/>
            <w:noWrap/>
            <w:hideMark/>
          </w:tcPr>
          <w:p w14:paraId="5B6039F5" w14:textId="77777777" w:rsidR="00B17DCD" w:rsidRPr="005C3309" w:rsidRDefault="00B17DCD" w:rsidP="005C3309">
            <w:pPr>
              <w:spacing w:line="300" w:lineRule="atLeast"/>
              <w:ind w:left="274" w:hanging="274"/>
              <w:contextualSpacing/>
              <w:jc w:val="right"/>
              <w:rPr>
                <w:rFonts w:ascii="Times New Roman" w:eastAsia="Calibri" w:hAnsi="Times New Roman" w:cs="Times New Roman"/>
                <w:color w:val="000000"/>
              </w:rPr>
            </w:pPr>
            <w:r w:rsidRPr="005C3309">
              <w:rPr>
                <w:rFonts w:ascii="Times New Roman" w:eastAsia="Calibri" w:hAnsi="Times New Roman" w:cs="Times New Roman"/>
                <w:color w:val="000000"/>
              </w:rPr>
              <w:t>293</w:t>
            </w:r>
          </w:p>
        </w:tc>
      </w:tr>
    </w:tbl>
    <w:p w14:paraId="264D2B5C" w14:textId="77777777" w:rsidR="00B17DCD" w:rsidRPr="005C3309" w:rsidRDefault="00B17DCD" w:rsidP="00B17DCD">
      <w:pPr>
        <w:spacing w:line="300" w:lineRule="atLeast"/>
        <w:contextualSpacing/>
        <w:jc w:val="both"/>
        <w:rPr>
          <w:rFonts w:ascii="Times New Roman" w:hAnsi="Times New Roman" w:cs="Times New Roman"/>
        </w:rPr>
      </w:pPr>
    </w:p>
    <w:p w14:paraId="79852E1A" w14:textId="2AD8C90F" w:rsidR="00B17DCD" w:rsidRPr="00EB593F" w:rsidRDefault="00EB593F" w:rsidP="00B17DCD">
      <w:pPr>
        <w:spacing w:line="300" w:lineRule="atLeast"/>
        <w:contextualSpacing/>
        <w:jc w:val="both"/>
        <w:rPr>
          <w:rFonts w:ascii="Times New Roman" w:hAnsi="Times New Roman" w:cs="Times New Roman"/>
          <w:b/>
          <w:color w:val="000000"/>
        </w:rPr>
      </w:pPr>
      <w:r w:rsidRPr="00EB593F">
        <w:rPr>
          <w:rFonts w:ascii="Times New Roman" w:hAnsi="Times New Roman" w:cs="Times New Roman"/>
          <w:b/>
          <w:color w:val="000000"/>
        </w:rPr>
        <w:t xml:space="preserve">Tabela 15. </w:t>
      </w:r>
      <w:r w:rsidR="00B17DCD" w:rsidRPr="00EB593F">
        <w:rPr>
          <w:rFonts w:ascii="Times New Roman" w:hAnsi="Times New Roman" w:cs="Times New Roman"/>
          <w:b/>
          <w:color w:val="000000"/>
        </w:rPr>
        <w:t>Rodzaj podejmowanych czynności w sprawach wniosków o interwencję w 2022</w:t>
      </w:r>
      <w:r w:rsidR="005C3309" w:rsidRPr="00EB593F">
        <w:rPr>
          <w:rFonts w:ascii="Times New Roman" w:hAnsi="Times New Roman" w:cs="Times New Roman"/>
          <w:b/>
          <w:color w:val="000000"/>
        </w:rPr>
        <w:t xml:space="preserve"> </w:t>
      </w:r>
      <w:r w:rsidR="00B17DCD" w:rsidRPr="00EB593F">
        <w:rPr>
          <w:rFonts w:ascii="Times New Roman" w:hAnsi="Times New Roman" w:cs="Times New Roman"/>
          <w:b/>
          <w:color w:val="000000"/>
        </w:rPr>
        <w:t>r.</w:t>
      </w:r>
    </w:p>
    <w:p w14:paraId="054698CE" w14:textId="77777777" w:rsidR="00B17DCD" w:rsidRPr="005C3309" w:rsidRDefault="00B17DCD" w:rsidP="00B17DCD">
      <w:pPr>
        <w:spacing w:line="300" w:lineRule="atLeast"/>
        <w:contextualSpacing/>
        <w:jc w:val="both"/>
        <w:rPr>
          <w:rFonts w:ascii="Times New Roman" w:hAnsi="Times New Roman" w:cs="Times New Roman"/>
          <w:color w:val="000000"/>
        </w:rPr>
      </w:pPr>
    </w:p>
    <w:tbl>
      <w:tblPr>
        <w:tblW w:w="8816"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7507"/>
        <w:gridCol w:w="1309"/>
      </w:tblGrid>
      <w:tr w:rsidR="00B17DCD" w:rsidRPr="005C3309" w14:paraId="1CEC7808" w14:textId="77777777" w:rsidTr="00740B87">
        <w:trPr>
          <w:trHeight w:val="281"/>
        </w:trPr>
        <w:tc>
          <w:tcPr>
            <w:tcW w:w="7507" w:type="dxa"/>
            <w:tcBorders>
              <w:top w:val="single" w:sz="4" w:space="0" w:color="70AD47"/>
              <w:left w:val="single" w:sz="4" w:space="0" w:color="70AD47"/>
              <w:bottom w:val="single" w:sz="4" w:space="0" w:color="70AD47"/>
              <w:right w:val="nil"/>
            </w:tcBorders>
            <w:shd w:val="clear" w:color="auto" w:fill="70AD47"/>
            <w:noWrap/>
            <w:hideMark/>
          </w:tcPr>
          <w:p w14:paraId="0060C5F8" w14:textId="77777777" w:rsidR="00B17DCD" w:rsidRPr="005C3309" w:rsidRDefault="00B17DCD" w:rsidP="00740B87">
            <w:pPr>
              <w:spacing w:line="300" w:lineRule="atLeast"/>
              <w:contextualSpacing/>
              <w:jc w:val="both"/>
              <w:rPr>
                <w:rFonts w:ascii="Times New Roman" w:eastAsia="Calibri" w:hAnsi="Times New Roman" w:cs="Times New Roman"/>
                <w:bCs/>
                <w:color w:val="000000"/>
              </w:rPr>
            </w:pPr>
            <w:r w:rsidRPr="005C3309">
              <w:rPr>
                <w:rFonts w:ascii="Times New Roman" w:eastAsia="Calibri" w:hAnsi="Times New Roman" w:cs="Times New Roman"/>
                <w:b/>
                <w:bCs/>
                <w:color w:val="000000"/>
              </w:rPr>
              <w:t>Rodzaj podejmowanych czynności</w:t>
            </w:r>
          </w:p>
        </w:tc>
        <w:tc>
          <w:tcPr>
            <w:tcW w:w="1309" w:type="dxa"/>
            <w:tcBorders>
              <w:top w:val="single" w:sz="4" w:space="0" w:color="70AD47"/>
              <w:left w:val="nil"/>
              <w:bottom w:val="single" w:sz="4" w:space="0" w:color="70AD47"/>
              <w:right w:val="single" w:sz="4" w:space="0" w:color="70AD47"/>
            </w:tcBorders>
            <w:shd w:val="clear" w:color="auto" w:fill="70AD47"/>
            <w:noWrap/>
            <w:hideMark/>
          </w:tcPr>
          <w:p w14:paraId="1B97783D" w14:textId="77777777" w:rsidR="00B17DCD" w:rsidRPr="005C3309" w:rsidRDefault="00B17DCD" w:rsidP="00740B87">
            <w:pPr>
              <w:spacing w:line="300" w:lineRule="atLeast"/>
              <w:contextualSpacing/>
              <w:jc w:val="both"/>
              <w:rPr>
                <w:rFonts w:ascii="Times New Roman" w:eastAsia="Calibri" w:hAnsi="Times New Roman" w:cs="Times New Roman"/>
                <w:b/>
                <w:bCs/>
                <w:color w:val="000000"/>
              </w:rPr>
            </w:pPr>
            <w:r w:rsidRPr="005C3309">
              <w:rPr>
                <w:rFonts w:ascii="Times New Roman" w:eastAsia="Calibri" w:hAnsi="Times New Roman" w:cs="Times New Roman"/>
                <w:b/>
                <w:bCs/>
                <w:color w:val="000000"/>
              </w:rPr>
              <w:t>Formularz</w:t>
            </w:r>
          </w:p>
        </w:tc>
      </w:tr>
      <w:tr w:rsidR="00B17DCD" w:rsidRPr="005C3309" w14:paraId="6B8E4380" w14:textId="77777777" w:rsidTr="00740B87">
        <w:trPr>
          <w:trHeight w:val="281"/>
        </w:trPr>
        <w:tc>
          <w:tcPr>
            <w:tcW w:w="7507" w:type="dxa"/>
            <w:tcBorders>
              <w:top w:val="single" w:sz="4" w:space="0" w:color="A8D08D"/>
              <w:left w:val="single" w:sz="4" w:space="0" w:color="A8D08D"/>
              <w:bottom w:val="single" w:sz="4" w:space="0" w:color="A8D08D"/>
              <w:right w:val="single" w:sz="4" w:space="0" w:color="A8D08D"/>
            </w:tcBorders>
            <w:shd w:val="clear" w:color="auto" w:fill="E2EFD9"/>
            <w:noWrap/>
            <w:hideMark/>
          </w:tcPr>
          <w:p w14:paraId="36C591CA" w14:textId="77777777" w:rsidR="00B17DCD" w:rsidRPr="005C3309" w:rsidRDefault="00B17DCD" w:rsidP="00740B87">
            <w:pPr>
              <w:spacing w:line="300" w:lineRule="atLeast"/>
              <w:contextualSpacing/>
              <w:jc w:val="both"/>
              <w:rPr>
                <w:rFonts w:ascii="Times New Roman" w:eastAsia="Calibri" w:hAnsi="Times New Roman" w:cs="Times New Roman"/>
                <w:bCs/>
                <w:color w:val="000000"/>
              </w:rPr>
            </w:pPr>
            <w:r w:rsidRPr="005C3309">
              <w:rPr>
                <w:rFonts w:ascii="Times New Roman" w:eastAsia="Calibri" w:hAnsi="Times New Roman" w:cs="Times New Roman"/>
                <w:bCs/>
                <w:color w:val="000000"/>
              </w:rPr>
              <w:t>Przekazane do Generalnej Dyrekcji Dróg Krajowych i Autostrad</w:t>
            </w:r>
          </w:p>
        </w:tc>
        <w:tc>
          <w:tcPr>
            <w:tcW w:w="1309" w:type="dxa"/>
            <w:tcBorders>
              <w:top w:val="single" w:sz="4" w:space="0" w:color="A8D08D"/>
              <w:left w:val="single" w:sz="4" w:space="0" w:color="A8D08D"/>
              <w:bottom w:val="single" w:sz="4" w:space="0" w:color="A8D08D"/>
              <w:right w:val="single" w:sz="4" w:space="0" w:color="A8D08D"/>
            </w:tcBorders>
            <w:shd w:val="clear" w:color="auto" w:fill="E2EFD9"/>
            <w:noWrap/>
            <w:hideMark/>
          </w:tcPr>
          <w:p w14:paraId="5476C5C7" w14:textId="77777777" w:rsidR="00B17DCD" w:rsidRPr="005C3309" w:rsidRDefault="00B17DCD" w:rsidP="00740B87">
            <w:pPr>
              <w:spacing w:line="300" w:lineRule="atLeast"/>
              <w:contextualSpacing/>
              <w:jc w:val="both"/>
              <w:rPr>
                <w:rFonts w:ascii="Times New Roman" w:eastAsia="Calibri" w:hAnsi="Times New Roman" w:cs="Times New Roman"/>
                <w:color w:val="000000"/>
              </w:rPr>
            </w:pPr>
            <w:r w:rsidRPr="005C3309">
              <w:rPr>
                <w:rFonts w:ascii="Times New Roman" w:eastAsia="Calibri" w:hAnsi="Times New Roman" w:cs="Times New Roman"/>
                <w:color w:val="000000"/>
              </w:rPr>
              <w:t>15</w:t>
            </w:r>
          </w:p>
        </w:tc>
      </w:tr>
      <w:tr w:rsidR="00B17DCD" w:rsidRPr="005C3309" w14:paraId="23167E5F" w14:textId="77777777" w:rsidTr="00740B87">
        <w:trPr>
          <w:trHeight w:val="281"/>
        </w:trPr>
        <w:tc>
          <w:tcPr>
            <w:tcW w:w="7507" w:type="dxa"/>
            <w:tcBorders>
              <w:top w:val="single" w:sz="4" w:space="0" w:color="A8D08D"/>
              <w:left w:val="single" w:sz="4" w:space="0" w:color="A8D08D"/>
              <w:bottom w:val="single" w:sz="4" w:space="0" w:color="A8D08D"/>
              <w:right w:val="single" w:sz="4" w:space="0" w:color="A8D08D"/>
            </w:tcBorders>
            <w:shd w:val="clear" w:color="auto" w:fill="auto"/>
            <w:noWrap/>
            <w:hideMark/>
          </w:tcPr>
          <w:p w14:paraId="4BC06808" w14:textId="77777777" w:rsidR="00B17DCD" w:rsidRPr="005C3309" w:rsidRDefault="00B17DCD" w:rsidP="00740B87">
            <w:pPr>
              <w:spacing w:line="300" w:lineRule="atLeast"/>
              <w:contextualSpacing/>
              <w:jc w:val="both"/>
              <w:rPr>
                <w:rFonts w:ascii="Times New Roman" w:eastAsia="Calibri" w:hAnsi="Times New Roman" w:cs="Times New Roman"/>
                <w:bCs/>
                <w:color w:val="000000"/>
              </w:rPr>
            </w:pPr>
            <w:r w:rsidRPr="005C3309">
              <w:rPr>
                <w:rFonts w:ascii="Times New Roman" w:eastAsia="Calibri" w:hAnsi="Times New Roman" w:cs="Times New Roman"/>
                <w:bCs/>
                <w:color w:val="000000"/>
              </w:rPr>
              <w:t>Przekazane do Lasów Państwowych</w:t>
            </w:r>
          </w:p>
        </w:tc>
        <w:tc>
          <w:tcPr>
            <w:tcW w:w="1309" w:type="dxa"/>
            <w:tcBorders>
              <w:top w:val="single" w:sz="4" w:space="0" w:color="A8D08D"/>
              <w:left w:val="single" w:sz="4" w:space="0" w:color="A8D08D"/>
              <w:bottom w:val="single" w:sz="4" w:space="0" w:color="A8D08D"/>
              <w:right w:val="single" w:sz="4" w:space="0" w:color="A8D08D"/>
            </w:tcBorders>
            <w:shd w:val="clear" w:color="auto" w:fill="auto"/>
            <w:noWrap/>
            <w:hideMark/>
          </w:tcPr>
          <w:p w14:paraId="2F63CF5A" w14:textId="77777777" w:rsidR="00B17DCD" w:rsidRPr="005C3309" w:rsidRDefault="00B17DCD" w:rsidP="00740B87">
            <w:pPr>
              <w:spacing w:line="300" w:lineRule="atLeast"/>
              <w:contextualSpacing/>
              <w:jc w:val="both"/>
              <w:rPr>
                <w:rFonts w:ascii="Times New Roman" w:eastAsia="Calibri" w:hAnsi="Times New Roman" w:cs="Times New Roman"/>
                <w:color w:val="000000"/>
              </w:rPr>
            </w:pPr>
            <w:r w:rsidRPr="005C3309">
              <w:rPr>
                <w:rFonts w:ascii="Times New Roman" w:eastAsia="Calibri" w:hAnsi="Times New Roman" w:cs="Times New Roman"/>
                <w:color w:val="000000"/>
              </w:rPr>
              <w:t>45</w:t>
            </w:r>
          </w:p>
        </w:tc>
      </w:tr>
      <w:tr w:rsidR="00B17DCD" w:rsidRPr="005C3309" w14:paraId="7D91450F" w14:textId="77777777" w:rsidTr="00740B87">
        <w:trPr>
          <w:trHeight w:val="281"/>
        </w:trPr>
        <w:tc>
          <w:tcPr>
            <w:tcW w:w="7507" w:type="dxa"/>
            <w:tcBorders>
              <w:top w:val="single" w:sz="4" w:space="0" w:color="A8D08D"/>
              <w:left w:val="single" w:sz="4" w:space="0" w:color="A8D08D"/>
              <w:bottom w:val="single" w:sz="4" w:space="0" w:color="A8D08D"/>
              <w:right w:val="single" w:sz="4" w:space="0" w:color="A8D08D"/>
            </w:tcBorders>
            <w:shd w:val="clear" w:color="auto" w:fill="E2EFD9"/>
            <w:noWrap/>
            <w:hideMark/>
          </w:tcPr>
          <w:p w14:paraId="30FAD1B6" w14:textId="77777777" w:rsidR="00B17DCD" w:rsidRPr="005C3309" w:rsidRDefault="00B17DCD" w:rsidP="00740B87">
            <w:pPr>
              <w:spacing w:line="300" w:lineRule="atLeast"/>
              <w:contextualSpacing/>
              <w:jc w:val="both"/>
              <w:rPr>
                <w:rFonts w:ascii="Times New Roman" w:eastAsia="Calibri" w:hAnsi="Times New Roman" w:cs="Times New Roman"/>
                <w:bCs/>
                <w:color w:val="000000"/>
              </w:rPr>
            </w:pPr>
            <w:r w:rsidRPr="005C3309">
              <w:rPr>
                <w:rFonts w:ascii="Times New Roman" w:eastAsia="Calibri" w:hAnsi="Times New Roman" w:cs="Times New Roman"/>
                <w:bCs/>
                <w:color w:val="000000"/>
              </w:rPr>
              <w:t>Przekazane do Powiatowego Inspektoratu Nadzoru Budowlanego</w:t>
            </w:r>
          </w:p>
        </w:tc>
        <w:tc>
          <w:tcPr>
            <w:tcW w:w="1309" w:type="dxa"/>
            <w:tcBorders>
              <w:top w:val="single" w:sz="4" w:space="0" w:color="A8D08D"/>
              <w:left w:val="single" w:sz="4" w:space="0" w:color="A8D08D"/>
              <w:bottom w:val="single" w:sz="4" w:space="0" w:color="A8D08D"/>
              <w:right w:val="single" w:sz="4" w:space="0" w:color="A8D08D"/>
            </w:tcBorders>
            <w:shd w:val="clear" w:color="auto" w:fill="E2EFD9"/>
            <w:noWrap/>
            <w:hideMark/>
          </w:tcPr>
          <w:p w14:paraId="214C0CBC" w14:textId="77777777" w:rsidR="00B17DCD" w:rsidRPr="005C3309" w:rsidRDefault="00B17DCD" w:rsidP="00740B87">
            <w:pPr>
              <w:spacing w:line="300" w:lineRule="atLeast"/>
              <w:contextualSpacing/>
              <w:jc w:val="both"/>
              <w:rPr>
                <w:rFonts w:ascii="Times New Roman" w:eastAsia="Calibri" w:hAnsi="Times New Roman" w:cs="Times New Roman"/>
                <w:color w:val="000000"/>
              </w:rPr>
            </w:pPr>
            <w:r w:rsidRPr="005C3309">
              <w:rPr>
                <w:rFonts w:ascii="Times New Roman" w:eastAsia="Calibri" w:hAnsi="Times New Roman" w:cs="Times New Roman"/>
                <w:color w:val="000000"/>
              </w:rPr>
              <w:t>21</w:t>
            </w:r>
          </w:p>
        </w:tc>
      </w:tr>
      <w:tr w:rsidR="00B17DCD" w:rsidRPr="005C3309" w14:paraId="65E4AF5A" w14:textId="77777777" w:rsidTr="00740B87">
        <w:trPr>
          <w:trHeight w:val="281"/>
        </w:trPr>
        <w:tc>
          <w:tcPr>
            <w:tcW w:w="7507" w:type="dxa"/>
            <w:tcBorders>
              <w:top w:val="single" w:sz="4" w:space="0" w:color="A8D08D"/>
              <w:left w:val="single" w:sz="4" w:space="0" w:color="A8D08D"/>
              <w:bottom w:val="single" w:sz="4" w:space="0" w:color="A8D08D"/>
              <w:right w:val="single" w:sz="4" w:space="0" w:color="A8D08D"/>
            </w:tcBorders>
            <w:shd w:val="clear" w:color="auto" w:fill="auto"/>
            <w:noWrap/>
            <w:hideMark/>
          </w:tcPr>
          <w:p w14:paraId="49135C91" w14:textId="77777777" w:rsidR="00B17DCD" w:rsidRPr="005C3309" w:rsidRDefault="00B17DCD" w:rsidP="00740B87">
            <w:pPr>
              <w:spacing w:line="300" w:lineRule="atLeast"/>
              <w:contextualSpacing/>
              <w:jc w:val="both"/>
              <w:rPr>
                <w:rFonts w:ascii="Times New Roman" w:eastAsia="Calibri" w:hAnsi="Times New Roman" w:cs="Times New Roman"/>
                <w:bCs/>
                <w:color w:val="000000"/>
              </w:rPr>
            </w:pPr>
            <w:r w:rsidRPr="005C3309">
              <w:rPr>
                <w:rFonts w:ascii="Times New Roman" w:eastAsia="Calibri" w:hAnsi="Times New Roman" w:cs="Times New Roman"/>
                <w:bCs/>
                <w:color w:val="000000"/>
              </w:rPr>
              <w:t>Przekazane do Policji</w:t>
            </w:r>
          </w:p>
        </w:tc>
        <w:tc>
          <w:tcPr>
            <w:tcW w:w="1309" w:type="dxa"/>
            <w:tcBorders>
              <w:top w:val="single" w:sz="4" w:space="0" w:color="A8D08D"/>
              <w:left w:val="single" w:sz="4" w:space="0" w:color="A8D08D"/>
              <w:bottom w:val="single" w:sz="4" w:space="0" w:color="A8D08D"/>
              <w:right w:val="single" w:sz="4" w:space="0" w:color="A8D08D"/>
            </w:tcBorders>
            <w:shd w:val="clear" w:color="auto" w:fill="auto"/>
            <w:noWrap/>
            <w:hideMark/>
          </w:tcPr>
          <w:p w14:paraId="06D2F3EE" w14:textId="77777777" w:rsidR="00B17DCD" w:rsidRPr="005C3309" w:rsidRDefault="00B17DCD" w:rsidP="00740B87">
            <w:pPr>
              <w:spacing w:line="300" w:lineRule="atLeast"/>
              <w:contextualSpacing/>
              <w:jc w:val="both"/>
              <w:rPr>
                <w:rFonts w:ascii="Times New Roman" w:eastAsia="Calibri" w:hAnsi="Times New Roman" w:cs="Times New Roman"/>
                <w:color w:val="000000"/>
              </w:rPr>
            </w:pPr>
            <w:r w:rsidRPr="005C3309">
              <w:rPr>
                <w:rFonts w:ascii="Times New Roman" w:eastAsia="Calibri" w:hAnsi="Times New Roman" w:cs="Times New Roman"/>
                <w:color w:val="000000"/>
              </w:rPr>
              <w:t>16</w:t>
            </w:r>
          </w:p>
        </w:tc>
      </w:tr>
      <w:tr w:rsidR="00B17DCD" w:rsidRPr="005C3309" w14:paraId="70BF8078" w14:textId="77777777" w:rsidTr="00740B87">
        <w:trPr>
          <w:trHeight w:val="281"/>
        </w:trPr>
        <w:tc>
          <w:tcPr>
            <w:tcW w:w="7507" w:type="dxa"/>
            <w:tcBorders>
              <w:top w:val="single" w:sz="4" w:space="0" w:color="A8D08D"/>
              <w:left w:val="single" w:sz="4" w:space="0" w:color="A8D08D"/>
              <w:bottom w:val="single" w:sz="4" w:space="0" w:color="A8D08D"/>
              <w:right w:val="single" w:sz="4" w:space="0" w:color="A8D08D"/>
            </w:tcBorders>
            <w:shd w:val="clear" w:color="auto" w:fill="E2EFD9"/>
            <w:noWrap/>
            <w:hideMark/>
          </w:tcPr>
          <w:p w14:paraId="1127EAE3" w14:textId="77777777" w:rsidR="00B17DCD" w:rsidRPr="005C3309" w:rsidRDefault="00B17DCD" w:rsidP="00740B87">
            <w:pPr>
              <w:spacing w:line="300" w:lineRule="atLeast"/>
              <w:contextualSpacing/>
              <w:jc w:val="both"/>
              <w:rPr>
                <w:rFonts w:ascii="Times New Roman" w:eastAsia="Calibri" w:hAnsi="Times New Roman" w:cs="Times New Roman"/>
                <w:bCs/>
                <w:color w:val="000000"/>
              </w:rPr>
            </w:pPr>
            <w:r w:rsidRPr="005C3309">
              <w:rPr>
                <w:rFonts w:ascii="Times New Roman" w:eastAsia="Calibri" w:hAnsi="Times New Roman" w:cs="Times New Roman"/>
                <w:bCs/>
                <w:color w:val="000000"/>
              </w:rPr>
              <w:t>Przekazane do Regionalnej Dyrekcji Ochrony Środowiska</w:t>
            </w:r>
          </w:p>
        </w:tc>
        <w:tc>
          <w:tcPr>
            <w:tcW w:w="1309" w:type="dxa"/>
            <w:tcBorders>
              <w:top w:val="single" w:sz="4" w:space="0" w:color="A8D08D"/>
              <w:left w:val="single" w:sz="4" w:space="0" w:color="A8D08D"/>
              <w:bottom w:val="single" w:sz="4" w:space="0" w:color="A8D08D"/>
              <w:right w:val="single" w:sz="4" w:space="0" w:color="A8D08D"/>
            </w:tcBorders>
            <w:shd w:val="clear" w:color="auto" w:fill="E2EFD9"/>
            <w:noWrap/>
            <w:hideMark/>
          </w:tcPr>
          <w:p w14:paraId="436ABC1D" w14:textId="77777777" w:rsidR="00B17DCD" w:rsidRPr="005C3309" w:rsidRDefault="00B17DCD" w:rsidP="00740B87">
            <w:pPr>
              <w:spacing w:line="300" w:lineRule="atLeast"/>
              <w:contextualSpacing/>
              <w:jc w:val="both"/>
              <w:rPr>
                <w:rFonts w:ascii="Times New Roman" w:eastAsia="Calibri" w:hAnsi="Times New Roman" w:cs="Times New Roman"/>
                <w:color w:val="000000"/>
              </w:rPr>
            </w:pPr>
            <w:r w:rsidRPr="005C3309">
              <w:rPr>
                <w:rFonts w:ascii="Times New Roman" w:eastAsia="Calibri" w:hAnsi="Times New Roman" w:cs="Times New Roman"/>
                <w:color w:val="000000"/>
              </w:rPr>
              <w:t>20</w:t>
            </w:r>
          </w:p>
        </w:tc>
      </w:tr>
      <w:tr w:rsidR="00B17DCD" w:rsidRPr="005C3309" w14:paraId="2A2438F8" w14:textId="77777777" w:rsidTr="00740B87">
        <w:trPr>
          <w:trHeight w:val="281"/>
        </w:trPr>
        <w:tc>
          <w:tcPr>
            <w:tcW w:w="7507" w:type="dxa"/>
            <w:tcBorders>
              <w:top w:val="single" w:sz="4" w:space="0" w:color="A8D08D"/>
              <w:left w:val="single" w:sz="4" w:space="0" w:color="A8D08D"/>
              <w:bottom w:val="single" w:sz="4" w:space="0" w:color="A8D08D"/>
              <w:right w:val="single" w:sz="4" w:space="0" w:color="A8D08D"/>
            </w:tcBorders>
            <w:shd w:val="clear" w:color="auto" w:fill="auto"/>
            <w:noWrap/>
            <w:hideMark/>
          </w:tcPr>
          <w:p w14:paraId="7DB076EC" w14:textId="77777777" w:rsidR="00B17DCD" w:rsidRPr="005C3309" w:rsidRDefault="00B17DCD" w:rsidP="00740B87">
            <w:pPr>
              <w:spacing w:line="300" w:lineRule="atLeast"/>
              <w:contextualSpacing/>
              <w:jc w:val="both"/>
              <w:rPr>
                <w:rFonts w:ascii="Times New Roman" w:eastAsia="Calibri" w:hAnsi="Times New Roman" w:cs="Times New Roman"/>
                <w:bCs/>
                <w:color w:val="000000"/>
              </w:rPr>
            </w:pPr>
            <w:r w:rsidRPr="005C3309">
              <w:rPr>
                <w:rFonts w:ascii="Times New Roman" w:eastAsia="Calibri" w:hAnsi="Times New Roman" w:cs="Times New Roman"/>
                <w:bCs/>
                <w:color w:val="000000"/>
              </w:rPr>
              <w:t xml:space="preserve">Przekazane do samorządu </w:t>
            </w:r>
          </w:p>
        </w:tc>
        <w:tc>
          <w:tcPr>
            <w:tcW w:w="1309" w:type="dxa"/>
            <w:tcBorders>
              <w:top w:val="single" w:sz="4" w:space="0" w:color="A8D08D"/>
              <w:left w:val="single" w:sz="4" w:space="0" w:color="A8D08D"/>
              <w:bottom w:val="single" w:sz="4" w:space="0" w:color="A8D08D"/>
              <w:right w:val="single" w:sz="4" w:space="0" w:color="A8D08D"/>
            </w:tcBorders>
            <w:shd w:val="clear" w:color="auto" w:fill="auto"/>
            <w:noWrap/>
            <w:hideMark/>
          </w:tcPr>
          <w:p w14:paraId="75CF3B56" w14:textId="77777777" w:rsidR="00B17DCD" w:rsidRPr="005C3309" w:rsidRDefault="00B17DCD" w:rsidP="00740B87">
            <w:pPr>
              <w:spacing w:line="300" w:lineRule="atLeast"/>
              <w:contextualSpacing/>
              <w:jc w:val="both"/>
              <w:rPr>
                <w:rFonts w:ascii="Times New Roman" w:eastAsia="Calibri" w:hAnsi="Times New Roman" w:cs="Times New Roman"/>
                <w:color w:val="000000"/>
              </w:rPr>
            </w:pPr>
            <w:r w:rsidRPr="005C3309">
              <w:rPr>
                <w:rFonts w:ascii="Times New Roman" w:eastAsia="Calibri" w:hAnsi="Times New Roman" w:cs="Times New Roman"/>
                <w:color w:val="000000"/>
              </w:rPr>
              <w:t>1672</w:t>
            </w:r>
          </w:p>
        </w:tc>
      </w:tr>
      <w:tr w:rsidR="00B17DCD" w:rsidRPr="005C3309" w14:paraId="622DCCC6" w14:textId="77777777" w:rsidTr="00740B87">
        <w:trPr>
          <w:trHeight w:val="281"/>
        </w:trPr>
        <w:tc>
          <w:tcPr>
            <w:tcW w:w="7507" w:type="dxa"/>
            <w:tcBorders>
              <w:top w:val="single" w:sz="4" w:space="0" w:color="A8D08D"/>
              <w:left w:val="single" w:sz="4" w:space="0" w:color="A8D08D"/>
              <w:bottom w:val="single" w:sz="4" w:space="0" w:color="A8D08D"/>
              <w:right w:val="single" w:sz="4" w:space="0" w:color="A8D08D"/>
            </w:tcBorders>
            <w:shd w:val="clear" w:color="auto" w:fill="E2EFD9"/>
            <w:noWrap/>
            <w:hideMark/>
          </w:tcPr>
          <w:p w14:paraId="4AAA5D22" w14:textId="77777777" w:rsidR="00B17DCD" w:rsidRPr="005C3309" w:rsidRDefault="00B17DCD" w:rsidP="00740B87">
            <w:pPr>
              <w:spacing w:line="300" w:lineRule="atLeast"/>
              <w:contextualSpacing/>
              <w:jc w:val="both"/>
              <w:rPr>
                <w:rFonts w:ascii="Times New Roman" w:eastAsia="Calibri" w:hAnsi="Times New Roman" w:cs="Times New Roman"/>
                <w:bCs/>
                <w:color w:val="000000"/>
              </w:rPr>
            </w:pPr>
            <w:r w:rsidRPr="005C3309">
              <w:rPr>
                <w:rFonts w:ascii="Times New Roman" w:eastAsia="Calibri" w:hAnsi="Times New Roman" w:cs="Times New Roman"/>
                <w:bCs/>
                <w:color w:val="000000"/>
              </w:rPr>
              <w:t>Przekazane do SANEPID</w:t>
            </w:r>
          </w:p>
        </w:tc>
        <w:tc>
          <w:tcPr>
            <w:tcW w:w="1309" w:type="dxa"/>
            <w:tcBorders>
              <w:top w:val="single" w:sz="4" w:space="0" w:color="A8D08D"/>
              <w:left w:val="single" w:sz="4" w:space="0" w:color="A8D08D"/>
              <w:bottom w:val="single" w:sz="4" w:space="0" w:color="A8D08D"/>
              <w:right w:val="single" w:sz="4" w:space="0" w:color="A8D08D"/>
            </w:tcBorders>
            <w:shd w:val="clear" w:color="auto" w:fill="E2EFD9"/>
            <w:noWrap/>
            <w:hideMark/>
          </w:tcPr>
          <w:p w14:paraId="04C3AF6E" w14:textId="77777777" w:rsidR="00B17DCD" w:rsidRPr="005C3309" w:rsidRDefault="00B17DCD" w:rsidP="00740B87">
            <w:pPr>
              <w:spacing w:line="300" w:lineRule="atLeast"/>
              <w:contextualSpacing/>
              <w:jc w:val="both"/>
              <w:rPr>
                <w:rFonts w:ascii="Times New Roman" w:eastAsia="Calibri" w:hAnsi="Times New Roman" w:cs="Times New Roman"/>
                <w:color w:val="000000"/>
              </w:rPr>
            </w:pPr>
            <w:r w:rsidRPr="005C3309">
              <w:rPr>
                <w:rFonts w:ascii="Times New Roman" w:eastAsia="Calibri" w:hAnsi="Times New Roman" w:cs="Times New Roman"/>
                <w:color w:val="000000"/>
              </w:rPr>
              <w:t>31</w:t>
            </w:r>
          </w:p>
        </w:tc>
      </w:tr>
      <w:tr w:rsidR="00B17DCD" w:rsidRPr="005C3309" w14:paraId="4A6CC3C5" w14:textId="77777777" w:rsidTr="00740B87">
        <w:trPr>
          <w:trHeight w:val="281"/>
        </w:trPr>
        <w:tc>
          <w:tcPr>
            <w:tcW w:w="7507" w:type="dxa"/>
            <w:tcBorders>
              <w:top w:val="single" w:sz="4" w:space="0" w:color="A8D08D"/>
              <w:left w:val="single" w:sz="4" w:space="0" w:color="A8D08D"/>
              <w:bottom w:val="single" w:sz="4" w:space="0" w:color="A8D08D"/>
              <w:right w:val="single" w:sz="4" w:space="0" w:color="A8D08D"/>
            </w:tcBorders>
            <w:shd w:val="clear" w:color="auto" w:fill="auto"/>
            <w:noWrap/>
            <w:hideMark/>
          </w:tcPr>
          <w:p w14:paraId="1215C284" w14:textId="77777777" w:rsidR="00B17DCD" w:rsidRPr="005C3309" w:rsidRDefault="00B17DCD" w:rsidP="00740B87">
            <w:pPr>
              <w:spacing w:line="300" w:lineRule="atLeast"/>
              <w:contextualSpacing/>
              <w:jc w:val="both"/>
              <w:rPr>
                <w:rFonts w:ascii="Times New Roman" w:eastAsia="Calibri" w:hAnsi="Times New Roman" w:cs="Times New Roman"/>
                <w:bCs/>
                <w:color w:val="000000"/>
              </w:rPr>
            </w:pPr>
            <w:r w:rsidRPr="005C3309">
              <w:rPr>
                <w:rFonts w:ascii="Times New Roman" w:eastAsia="Calibri" w:hAnsi="Times New Roman" w:cs="Times New Roman"/>
                <w:bCs/>
                <w:color w:val="000000"/>
              </w:rPr>
              <w:t>Przekazane do Wojewódzkiego Inspektoratu Ochrony Środowiska</w:t>
            </w:r>
          </w:p>
        </w:tc>
        <w:tc>
          <w:tcPr>
            <w:tcW w:w="1309" w:type="dxa"/>
            <w:tcBorders>
              <w:top w:val="single" w:sz="4" w:space="0" w:color="A8D08D"/>
              <w:left w:val="single" w:sz="4" w:space="0" w:color="A8D08D"/>
              <w:bottom w:val="single" w:sz="4" w:space="0" w:color="A8D08D"/>
              <w:right w:val="single" w:sz="4" w:space="0" w:color="A8D08D"/>
            </w:tcBorders>
            <w:shd w:val="clear" w:color="auto" w:fill="auto"/>
            <w:noWrap/>
            <w:hideMark/>
          </w:tcPr>
          <w:p w14:paraId="67D3FBB9" w14:textId="77777777" w:rsidR="00B17DCD" w:rsidRPr="005C3309" w:rsidRDefault="00B17DCD" w:rsidP="00740B87">
            <w:pPr>
              <w:spacing w:line="300" w:lineRule="atLeast"/>
              <w:contextualSpacing/>
              <w:jc w:val="both"/>
              <w:rPr>
                <w:rFonts w:ascii="Times New Roman" w:eastAsia="Calibri" w:hAnsi="Times New Roman" w:cs="Times New Roman"/>
                <w:color w:val="000000"/>
              </w:rPr>
            </w:pPr>
            <w:r w:rsidRPr="005C3309">
              <w:rPr>
                <w:rFonts w:ascii="Times New Roman" w:eastAsia="Calibri" w:hAnsi="Times New Roman" w:cs="Times New Roman"/>
                <w:color w:val="000000"/>
              </w:rPr>
              <w:t>1112</w:t>
            </w:r>
          </w:p>
        </w:tc>
      </w:tr>
      <w:tr w:rsidR="00B17DCD" w:rsidRPr="005C3309" w14:paraId="0DA59A80" w14:textId="77777777" w:rsidTr="00740B87">
        <w:trPr>
          <w:trHeight w:val="281"/>
        </w:trPr>
        <w:tc>
          <w:tcPr>
            <w:tcW w:w="7507" w:type="dxa"/>
            <w:tcBorders>
              <w:top w:val="single" w:sz="4" w:space="0" w:color="A8D08D"/>
              <w:left w:val="single" w:sz="4" w:space="0" w:color="A8D08D"/>
              <w:bottom w:val="single" w:sz="4" w:space="0" w:color="A8D08D"/>
              <w:right w:val="single" w:sz="4" w:space="0" w:color="A8D08D"/>
            </w:tcBorders>
            <w:shd w:val="clear" w:color="auto" w:fill="E2EFD9"/>
            <w:noWrap/>
            <w:hideMark/>
          </w:tcPr>
          <w:p w14:paraId="499F350E" w14:textId="77777777" w:rsidR="00B17DCD" w:rsidRPr="005C3309" w:rsidRDefault="00B17DCD" w:rsidP="00740B87">
            <w:pPr>
              <w:spacing w:line="300" w:lineRule="atLeast"/>
              <w:contextualSpacing/>
              <w:jc w:val="both"/>
              <w:rPr>
                <w:rFonts w:ascii="Times New Roman" w:eastAsia="Calibri" w:hAnsi="Times New Roman" w:cs="Times New Roman"/>
                <w:bCs/>
                <w:color w:val="000000"/>
              </w:rPr>
            </w:pPr>
            <w:r w:rsidRPr="005C3309">
              <w:rPr>
                <w:rFonts w:ascii="Times New Roman" w:eastAsia="Calibri" w:hAnsi="Times New Roman" w:cs="Times New Roman"/>
                <w:bCs/>
                <w:color w:val="000000"/>
              </w:rPr>
              <w:t xml:space="preserve">Przekazane do Wód Polskich </w:t>
            </w:r>
          </w:p>
        </w:tc>
        <w:tc>
          <w:tcPr>
            <w:tcW w:w="1309" w:type="dxa"/>
            <w:tcBorders>
              <w:top w:val="single" w:sz="4" w:space="0" w:color="A8D08D"/>
              <w:left w:val="single" w:sz="4" w:space="0" w:color="A8D08D"/>
              <w:bottom w:val="single" w:sz="4" w:space="0" w:color="A8D08D"/>
              <w:right w:val="single" w:sz="4" w:space="0" w:color="A8D08D"/>
            </w:tcBorders>
            <w:shd w:val="clear" w:color="auto" w:fill="E2EFD9"/>
            <w:noWrap/>
            <w:hideMark/>
          </w:tcPr>
          <w:p w14:paraId="7BC347C7" w14:textId="77777777" w:rsidR="00B17DCD" w:rsidRPr="005C3309" w:rsidRDefault="00B17DCD" w:rsidP="00740B87">
            <w:pPr>
              <w:spacing w:line="300" w:lineRule="atLeast"/>
              <w:contextualSpacing/>
              <w:jc w:val="both"/>
              <w:rPr>
                <w:rFonts w:ascii="Times New Roman" w:eastAsia="Calibri" w:hAnsi="Times New Roman" w:cs="Times New Roman"/>
                <w:color w:val="000000"/>
              </w:rPr>
            </w:pPr>
            <w:r w:rsidRPr="005C3309">
              <w:rPr>
                <w:rFonts w:ascii="Times New Roman" w:eastAsia="Calibri" w:hAnsi="Times New Roman" w:cs="Times New Roman"/>
                <w:color w:val="000000"/>
              </w:rPr>
              <w:t>30</w:t>
            </w:r>
          </w:p>
        </w:tc>
      </w:tr>
      <w:tr w:rsidR="00B17DCD" w:rsidRPr="005C3309" w14:paraId="2B7B68DD" w14:textId="77777777" w:rsidTr="00740B87">
        <w:trPr>
          <w:trHeight w:val="281"/>
        </w:trPr>
        <w:tc>
          <w:tcPr>
            <w:tcW w:w="7507" w:type="dxa"/>
            <w:tcBorders>
              <w:top w:val="single" w:sz="4" w:space="0" w:color="A8D08D"/>
              <w:left w:val="single" w:sz="4" w:space="0" w:color="A8D08D"/>
              <w:bottom w:val="single" w:sz="4" w:space="0" w:color="A8D08D"/>
              <w:right w:val="single" w:sz="4" w:space="0" w:color="A8D08D"/>
            </w:tcBorders>
            <w:shd w:val="clear" w:color="auto" w:fill="auto"/>
            <w:noWrap/>
            <w:hideMark/>
          </w:tcPr>
          <w:p w14:paraId="2524E80F" w14:textId="77777777" w:rsidR="00B17DCD" w:rsidRPr="005C3309" w:rsidRDefault="00B17DCD" w:rsidP="00740B87">
            <w:pPr>
              <w:spacing w:line="300" w:lineRule="atLeast"/>
              <w:contextualSpacing/>
              <w:jc w:val="both"/>
              <w:rPr>
                <w:rFonts w:ascii="Times New Roman" w:eastAsia="Calibri" w:hAnsi="Times New Roman" w:cs="Times New Roman"/>
                <w:bCs/>
                <w:color w:val="000000"/>
              </w:rPr>
            </w:pPr>
            <w:r w:rsidRPr="005C3309">
              <w:rPr>
                <w:rFonts w:ascii="Times New Roman" w:eastAsia="Calibri" w:hAnsi="Times New Roman" w:cs="Times New Roman"/>
                <w:bCs/>
                <w:color w:val="000000"/>
              </w:rPr>
              <w:t>Załatwione we własnym zakresie</w:t>
            </w:r>
          </w:p>
        </w:tc>
        <w:tc>
          <w:tcPr>
            <w:tcW w:w="1309" w:type="dxa"/>
            <w:tcBorders>
              <w:top w:val="single" w:sz="4" w:space="0" w:color="A8D08D"/>
              <w:left w:val="single" w:sz="4" w:space="0" w:color="A8D08D"/>
              <w:bottom w:val="single" w:sz="4" w:space="0" w:color="A8D08D"/>
              <w:right w:val="single" w:sz="4" w:space="0" w:color="A8D08D"/>
            </w:tcBorders>
            <w:shd w:val="clear" w:color="auto" w:fill="auto"/>
            <w:noWrap/>
            <w:hideMark/>
          </w:tcPr>
          <w:p w14:paraId="13E74CD6" w14:textId="77777777" w:rsidR="00B17DCD" w:rsidRPr="005C3309" w:rsidRDefault="00B17DCD" w:rsidP="00740B87">
            <w:pPr>
              <w:spacing w:line="300" w:lineRule="atLeast"/>
              <w:contextualSpacing/>
              <w:jc w:val="both"/>
              <w:rPr>
                <w:rFonts w:ascii="Times New Roman" w:eastAsia="Calibri" w:hAnsi="Times New Roman" w:cs="Times New Roman"/>
                <w:color w:val="000000"/>
              </w:rPr>
            </w:pPr>
            <w:r w:rsidRPr="005C3309">
              <w:rPr>
                <w:rFonts w:ascii="Times New Roman" w:eastAsia="Calibri" w:hAnsi="Times New Roman" w:cs="Times New Roman"/>
                <w:color w:val="000000"/>
              </w:rPr>
              <w:t>28</w:t>
            </w:r>
          </w:p>
        </w:tc>
      </w:tr>
    </w:tbl>
    <w:p w14:paraId="3872A5D3" w14:textId="77777777" w:rsidR="00B17DCD" w:rsidRPr="005C3309" w:rsidRDefault="00B17DCD" w:rsidP="00B17DCD">
      <w:pPr>
        <w:spacing w:line="300" w:lineRule="atLeast"/>
        <w:contextualSpacing/>
        <w:jc w:val="both"/>
        <w:rPr>
          <w:rFonts w:ascii="Times New Roman" w:hAnsi="Times New Roman" w:cs="Times New Roman"/>
          <w:color w:val="000000"/>
        </w:rPr>
      </w:pPr>
    </w:p>
    <w:p w14:paraId="5207CF88" w14:textId="77777777" w:rsidR="00EB593F" w:rsidRDefault="00EB593F" w:rsidP="00B17DCD">
      <w:pPr>
        <w:spacing w:line="300" w:lineRule="atLeast"/>
        <w:contextualSpacing/>
        <w:jc w:val="both"/>
        <w:rPr>
          <w:rFonts w:ascii="Times New Roman" w:hAnsi="Times New Roman" w:cs="Times New Roman"/>
          <w:color w:val="000000"/>
        </w:rPr>
      </w:pPr>
    </w:p>
    <w:p w14:paraId="21506AB1" w14:textId="54B1F6F8" w:rsidR="00B17DCD" w:rsidRPr="00EF0CC7" w:rsidRDefault="00EB593F" w:rsidP="00983762">
      <w:pPr>
        <w:spacing w:line="300" w:lineRule="atLeast"/>
        <w:contextualSpacing/>
        <w:jc w:val="center"/>
        <w:rPr>
          <w:rFonts w:ascii="Times New Roman" w:hAnsi="Times New Roman" w:cs="Times New Roman"/>
          <w:b/>
          <w:color w:val="000000"/>
        </w:rPr>
      </w:pPr>
      <w:r w:rsidRPr="00EF0CC7">
        <w:rPr>
          <w:rFonts w:ascii="Times New Roman" w:hAnsi="Times New Roman" w:cs="Times New Roman"/>
          <w:b/>
          <w:color w:val="000000"/>
        </w:rPr>
        <w:t xml:space="preserve">Wykres 17. </w:t>
      </w:r>
      <w:r w:rsidR="00B17DCD" w:rsidRPr="00EF0CC7">
        <w:rPr>
          <w:rFonts w:ascii="Times New Roman" w:hAnsi="Times New Roman" w:cs="Times New Roman"/>
          <w:b/>
          <w:color w:val="000000"/>
        </w:rPr>
        <w:t>Status zgłoszonych wniosków o interwencję w 2022</w:t>
      </w:r>
      <w:r w:rsidRPr="00EF0CC7">
        <w:rPr>
          <w:rFonts w:ascii="Times New Roman" w:hAnsi="Times New Roman" w:cs="Times New Roman"/>
          <w:b/>
          <w:color w:val="000000"/>
        </w:rPr>
        <w:t xml:space="preserve"> </w:t>
      </w:r>
      <w:r w:rsidR="00B17DCD" w:rsidRPr="00EF0CC7">
        <w:rPr>
          <w:rFonts w:ascii="Times New Roman" w:hAnsi="Times New Roman" w:cs="Times New Roman"/>
          <w:b/>
          <w:color w:val="000000"/>
        </w:rPr>
        <w:t>r</w:t>
      </w:r>
      <w:r w:rsidR="00EF0CC7">
        <w:rPr>
          <w:rFonts w:ascii="Times New Roman" w:hAnsi="Times New Roman" w:cs="Times New Roman"/>
          <w:b/>
          <w:color w:val="000000"/>
        </w:rPr>
        <w:t>.</w:t>
      </w:r>
    </w:p>
    <w:p w14:paraId="040FBF58" w14:textId="77777777" w:rsidR="00EB593F" w:rsidRPr="005C3309" w:rsidRDefault="00EB593F" w:rsidP="00B17DCD">
      <w:pPr>
        <w:spacing w:line="300" w:lineRule="atLeast"/>
        <w:contextualSpacing/>
        <w:jc w:val="both"/>
        <w:rPr>
          <w:rFonts w:ascii="Times New Roman" w:hAnsi="Times New Roman" w:cs="Times New Roman"/>
          <w:color w:val="000000"/>
        </w:rPr>
      </w:pPr>
    </w:p>
    <w:p w14:paraId="2519D661" w14:textId="04118597" w:rsidR="00B17DCD" w:rsidRPr="005C3309" w:rsidRDefault="00B17DCD" w:rsidP="00512029">
      <w:pPr>
        <w:spacing w:line="300" w:lineRule="atLeast"/>
        <w:contextualSpacing/>
        <w:jc w:val="center"/>
        <w:rPr>
          <w:rFonts w:ascii="Times New Roman" w:hAnsi="Times New Roman" w:cs="Times New Roman"/>
          <w:color w:val="000000"/>
        </w:rPr>
      </w:pPr>
      <w:r w:rsidRPr="005C3309">
        <w:rPr>
          <w:rFonts w:ascii="Times New Roman" w:hAnsi="Times New Roman" w:cs="Times New Roman"/>
          <w:noProof/>
          <w:color w:val="000000"/>
          <w:lang w:eastAsia="pl-PL"/>
        </w:rPr>
        <w:lastRenderedPageBreak/>
        <w:drawing>
          <wp:inline distT="0" distB="0" distL="0" distR="0" wp14:anchorId="610398EE" wp14:editId="724ECEAB">
            <wp:extent cx="4884420" cy="2598420"/>
            <wp:effectExtent l="0" t="0" r="0" b="0"/>
            <wp:docPr id="73" name="Obraz 73" descr="Wykres 17. Status zgłoszonych wniosków o interwencję w 2022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Obraz 73" descr="Wykres 17. Status zgłoszonych wniosków o interwencję w 2022 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84420" cy="2598420"/>
                    </a:xfrm>
                    <a:prstGeom prst="rect">
                      <a:avLst/>
                    </a:prstGeom>
                    <a:noFill/>
                  </pic:spPr>
                </pic:pic>
              </a:graphicData>
            </a:graphic>
          </wp:inline>
        </w:drawing>
      </w:r>
    </w:p>
    <w:p w14:paraId="025D0AB3" w14:textId="5F675526" w:rsidR="00A22034" w:rsidRPr="007F400A" w:rsidRDefault="00A22034" w:rsidP="005C3309">
      <w:pPr>
        <w:spacing w:after="0" w:line="300" w:lineRule="atLeast"/>
        <w:jc w:val="both"/>
        <w:rPr>
          <w:rFonts w:ascii="Times New Roman" w:hAnsi="Times New Roman" w:cs="Times New Roman"/>
          <w:sz w:val="24"/>
          <w:szCs w:val="24"/>
        </w:rPr>
      </w:pPr>
    </w:p>
    <w:p w14:paraId="4670201C" w14:textId="77777777" w:rsidR="00A22034" w:rsidRPr="007F400A" w:rsidRDefault="00A22034" w:rsidP="003718AF">
      <w:pPr>
        <w:spacing w:after="0" w:line="300" w:lineRule="atLeast"/>
        <w:jc w:val="both"/>
        <w:rPr>
          <w:b/>
          <w:u w:val="single"/>
        </w:rPr>
      </w:pPr>
    </w:p>
    <w:p w14:paraId="568CBD05" w14:textId="77777777" w:rsidR="00A22034" w:rsidRPr="007F400A" w:rsidRDefault="00A22034" w:rsidP="00EF0CC7">
      <w:pPr>
        <w:pStyle w:val="Nagwek1"/>
        <w:spacing w:after="120"/>
        <w:rPr>
          <w:color w:val="000000" w:themeColor="text1"/>
        </w:rPr>
      </w:pPr>
      <w:bookmarkStart w:id="289" w:name="_Toc99469602"/>
      <w:bookmarkStart w:id="290" w:name="_Toc135935662"/>
      <w:r w:rsidRPr="007F400A">
        <w:rPr>
          <w:color w:val="000000" w:themeColor="text1"/>
        </w:rPr>
        <w:t>1.4. Zespół do spraw stosowania techniki specjalnej</w:t>
      </w:r>
      <w:bookmarkEnd w:id="289"/>
      <w:bookmarkEnd w:id="290"/>
    </w:p>
    <w:p w14:paraId="1EC43A8D" w14:textId="77777777" w:rsidR="00EF0CC7" w:rsidRDefault="00FE10E1" w:rsidP="00EF0CC7">
      <w:pPr>
        <w:spacing w:line="300" w:lineRule="atLeast"/>
        <w:ind w:firstLine="567"/>
        <w:contextualSpacing/>
        <w:jc w:val="both"/>
        <w:rPr>
          <w:rFonts w:ascii="Times New Roman" w:hAnsi="Times New Roman" w:cs="Times New Roman"/>
          <w:sz w:val="24"/>
          <w:szCs w:val="24"/>
        </w:rPr>
      </w:pPr>
      <w:r w:rsidRPr="00D646FC">
        <w:rPr>
          <w:rFonts w:ascii="Times New Roman" w:hAnsi="Times New Roman" w:cs="Times New Roman"/>
          <w:sz w:val="24"/>
          <w:szCs w:val="24"/>
        </w:rPr>
        <w:t xml:space="preserve">Zespół ten został utworzony w celu stałego udzielania wsparcia IOŚ oraz innym służbom prowadzącym działania w zakresie ścigania przestępstw i wykroczeń przeciwko środowisku. </w:t>
      </w:r>
    </w:p>
    <w:p w14:paraId="5D04D80B" w14:textId="6907050B" w:rsidR="00FE10E1" w:rsidRPr="00D646FC" w:rsidRDefault="00FE10E1" w:rsidP="00EF0CC7">
      <w:pPr>
        <w:spacing w:line="300" w:lineRule="atLeast"/>
        <w:ind w:firstLine="567"/>
        <w:contextualSpacing/>
        <w:jc w:val="both"/>
        <w:rPr>
          <w:rFonts w:ascii="Times New Roman" w:hAnsi="Times New Roman" w:cs="Times New Roman"/>
          <w:sz w:val="24"/>
          <w:szCs w:val="24"/>
        </w:rPr>
      </w:pPr>
      <w:r w:rsidRPr="00D646FC">
        <w:rPr>
          <w:rFonts w:ascii="Times New Roman" w:hAnsi="Times New Roman" w:cs="Times New Roman"/>
          <w:sz w:val="24"/>
          <w:szCs w:val="24"/>
        </w:rPr>
        <w:t xml:space="preserve">W skład zespołu wchodzą wyspecjalizowane grupy Inspektorów posiadających uprawnienia pilotów bezzałogowych statków powietrznych oraz umiejętności posługiwania się specjalistycznym sprzętem obserwacyjnym. </w:t>
      </w:r>
    </w:p>
    <w:p w14:paraId="1DE0F61D" w14:textId="413D0B38" w:rsidR="00FE10E1" w:rsidRPr="00D646FC" w:rsidRDefault="00FE10E1" w:rsidP="00EF0CC7">
      <w:pPr>
        <w:spacing w:line="300" w:lineRule="atLeast"/>
        <w:ind w:firstLine="567"/>
        <w:contextualSpacing/>
        <w:jc w:val="both"/>
        <w:rPr>
          <w:rFonts w:ascii="Times New Roman" w:hAnsi="Times New Roman" w:cs="Times New Roman"/>
          <w:sz w:val="24"/>
          <w:szCs w:val="24"/>
        </w:rPr>
      </w:pPr>
      <w:r w:rsidRPr="00D646FC">
        <w:rPr>
          <w:rFonts w:ascii="Times New Roman" w:hAnsi="Times New Roman" w:cs="Times New Roman"/>
          <w:sz w:val="24"/>
          <w:szCs w:val="24"/>
        </w:rPr>
        <w:t xml:space="preserve">Zespół korzysta z nowych technologii w celu zbierania materiału dowodowego na potwierdzenie podejrzenia popełnienia przestępstwa oraz typowania podmiotów, które powinny zostać objęte np. kontrolami krzyżowymi. Są to m.in. </w:t>
      </w:r>
      <w:proofErr w:type="spellStart"/>
      <w:r w:rsidRPr="00D646FC">
        <w:rPr>
          <w:rFonts w:ascii="Times New Roman" w:hAnsi="Times New Roman" w:cs="Times New Roman"/>
          <w:sz w:val="24"/>
          <w:szCs w:val="24"/>
        </w:rPr>
        <w:t>georadary</w:t>
      </w:r>
      <w:proofErr w:type="spellEnd"/>
      <w:r w:rsidRPr="00D646FC">
        <w:rPr>
          <w:rFonts w:ascii="Times New Roman" w:hAnsi="Times New Roman" w:cs="Times New Roman"/>
          <w:sz w:val="24"/>
          <w:szCs w:val="24"/>
        </w:rPr>
        <w:t xml:space="preserve">, drony, </w:t>
      </w:r>
      <w:proofErr w:type="spellStart"/>
      <w:r w:rsidRPr="00D646FC">
        <w:rPr>
          <w:rFonts w:ascii="Times New Roman" w:hAnsi="Times New Roman" w:cs="Times New Roman"/>
          <w:sz w:val="24"/>
          <w:szCs w:val="24"/>
        </w:rPr>
        <w:t>fotopułapki</w:t>
      </w:r>
      <w:proofErr w:type="spellEnd"/>
      <w:r w:rsidRPr="00D646FC">
        <w:rPr>
          <w:rFonts w:ascii="Times New Roman" w:hAnsi="Times New Roman" w:cs="Times New Roman"/>
          <w:sz w:val="24"/>
          <w:szCs w:val="24"/>
        </w:rPr>
        <w:t>, specjalistyczne oprogramowanie i aplikacje do przetwarzania materiałów oraz urządzenia teleinformatyczne służące transmisji danych</w:t>
      </w:r>
      <w:r w:rsidR="00EF0CC7">
        <w:rPr>
          <w:rFonts w:ascii="Times New Roman" w:hAnsi="Times New Roman" w:cs="Times New Roman"/>
          <w:sz w:val="24"/>
          <w:szCs w:val="24"/>
        </w:rPr>
        <w:t>,</w:t>
      </w:r>
      <w:r w:rsidRPr="00D646FC">
        <w:rPr>
          <w:rFonts w:ascii="Times New Roman" w:hAnsi="Times New Roman" w:cs="Times New Roman"/>
          <w:sz w:val="24"/>
          <w:szCs w:val="24"/>
        </w:rPr>
        <w:t xml:space="preserve"> w tym obrazu w trybie online  oraz pakietów graficznych zarejestrowanych podczas czynności kontrolnych. </w:t>
      </w:r>
    </w:p>
    <w:p w14:paraId="5A4E8163" w14:textId="404E823F" w:rsidR="00FE10E1" w:rsidRPr="00D646FC" w:rsidRDefault="00FE10E1" w:rsidP="00EF0CC7">
      <w:pPr>
        <w:spacing w:line="300" w:lineRule="atLeast"/>
        <w:ind w:firstLine="567"/>
        <w:contextualSpacing/>
        <w:jc w:val="both"/>
        <w:rPr>
          <w:rFonts w:ascii="Times New Roman" w:hAnsi="Times New Roman" w:cs="Times New Roman"/>
          <w:sz w:val="24"/>
          <w:szCs w:val="24"/>
        </w:rPr>
      </w:pPr>
      <w:r w:rsidRPr="00D646FC">
        <w:rPr>
          <w:rFonts w:ascii="Times New Roman" w:hAnsi="Times New Roman" w:cs="Times New Roman"/>
          <w:sz w:val="24"/>
          <w:szCs w:val="24"/>
        </w:rPr>
        <w:t xml:space="preserve">BSP będące na wyposażeniu Zespołu wyposażone są m.in. w sensory umożliwiające </w:t>
      </w:r>
      <w:r w:rsidR="00EF0CC7">
        <w:rPr>
          <w:rFonts w:ascii="Times New Roman" w:hAnsi="Times New Roman" w:cs="Times New Roman"/>
          <w:sz w:val="24"/>
          <w:szCs w:val="24"/>
        </w:rPr>
        <w:t xml:space="preserve">prowadzenie </w:t>
      </w:r>
      <w:r w:rsidRPr="00D646FC">
        <w:rPr>
          <w:rFonts w:ascii="Times New Roman" w:hAnsi="Times New Roman" w:cs="Times New Roman"/>
          <w:sz w:val="24"/>
          <w:szCs w:val="24"/>
        </w:rPr>
        <w:t xml:space="preserve">obserwacji przy użyciu termowizji i noktowizji. </w:t>
      </w:r>
    </w:p>
    <w:p w14:paraId="10C69E6A" w14:textId="59E84188" w:rsidR="00FE10E1" w:rsidRPr="00D646FC" w:rsidRDefault="00FE10E1" w:rsidP="00EF0CC7">
      <w:pPr>
        <w:spacing w:line="300" w:lineRule="atLeast"/>
        <w:ind w:firstLine="567"/>
        <w:contextualSpacing/>
        <w:jc w:val="both"/>
        <w:rPr>
          <w:rFonts w:ascii="Times New Roman" w:hAnsi="Times New Roman" w:cs="Times New Roman"/>
          <w:sz w:val="24"/>
          <w:szCs w:val="24"/>
        </w:rPr>
      </w:pPr>
      <w:r w:rsidRPr="00D646FC">
        <w:rPr>
          <w:rFonts w:ascii="Times New Roman" w:hAnsi="Times New Roman" w:cs="Times New Roman"/>
          <w:sz w:val="24"/>
          <w:szCs w:val="24"/>
        </w:rPr>
        <w:t xml:space="preserve">Ponadto Zespół wykonuje również szereg działań na potrzeby kontroli prowadzonych przez IOŚ, m.in. </w:t>
      </w:r>
      <w:r w:rsidR="00EF0CC7">
        <w:rPr>
          <w:rFonts w:ascii="Times New Roman" w:hAnsi="Times New Roman" w:cs="Times New Roman"/>
          <w:sz w:val="24"/>
          <w:szCs w:val="24"/>
        </w:rPr>
        <w:t xml:space="preserve">realizuje </w:t>
      </w:r>
      <w:r w:rsidRPr="00D646FC">
        <w:rPr>
          <w:rFonts w:ascii="Times New Roman" w:hAnsi="Times New Roman" w:cs="Times New Roman"/>
          <w:sz w:val="24"/>
          <w:szCs w:val="24"/>
        </w:rPr>
        <w:t>identyfikacj</w:t>
      </w:r>
      <w:r w:rsidR="00EF0CC7">
        <w:rPr>
          <w:rFonts w:ascii="Times New Roman" w:hAnsi="Times New Roman" w:cs="Times New Roman"/>
          <w:sz w:val="24"/>
          <w:szCs w:val="24"/>
        </w:rPr>
        <w:t>ę</w:t>
      </w:r>
      <w:r w:rsidRPr="00D646FC">
        <w:rPr>
          <w:rFonts w:ascii="Times New Roman" w:hAnsi="Times New Roman" w:cs="Times New Roman"/>
          <w:sz w:val="24"/>
          <w:szCs w:val="24"/>
        </w:rPr>
        <w:t xml:space="preserve"> kontrolowanego obszaru (wizualizacje 3D) i pomiary przy użyciu dronów RTK. </w:t>
      </w:r>
    </w:p>
    <w:p w14:paraId="2EB80E1E" w14:textId="77777777" w:rsidR="00FE10E1" w:rsidRPr="00D646FC" w:rsidRDefault="00FE10E1" w:rsidP="00FE10E1">
      <w:pPr>
        <w:spacing w:line="300" w:lineRule="atLeast"/>
        <w:ind w:firstLine="708"/>
        <w:contextualSpacing/>
        <w:jc w:val="both"/>
        <w:rPr>
          <w:rFonts w:ascii="Times New Roman" w:hAnsi="Times New Roman" w:cs="Times New Roman"/>
          <w:sz w:val="24"/>
          <w:szCs w:val="24"/>
        </w:rPr>
      </w:pPr>
    </w:p>
    <w:p w14:paraId="660264EB" w14:textId="7FDDBBE0" w:rsidR="00FE10E1" w:rsidRPr="000C0753" w:rsidRDefault="00FE10E1" w:rsidP="004E02FB">
      <w:pPr>
        <w:spacing w:line="300" w:lineRule="atLeast"/>
        <w:ind w:firstLine="708"/>
        <w:contextualSpacing/>
        <w:jc w:val="center"/>
      </w:pPr>
      <w:r w:rsidRPr="000C0753">
        <w:rPr>
          <w:noProof/>
          <w:lang w:eastAsia="pl-PL"/>
        </w:rPr>
        <w:lastRenderedPageBreak/>
        <w:drawing>
          <wp:inline distT="0" distB="0" distL="0" distR="0" wp14:anchorId="0DD21C4B" wp14:editId="4450D3A9">
            <wp:extent cx="5124450" cy="2876550"/>
            <wp:effectExtent l="0" t="0" r="0" b="0"/>
            <wp:docPr id="75" name="Obraz 75" descr="Zdjęcie 9. Obraz uzyskany podczas nalotu B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Obraz 75" descr="Zdjęcie 9. Obraz uzyskany podczas nalotu BSP"/>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24450" cy="2876550"/>
                    </a:xfrm>
                    <a:prstGeom prst="rect">
                      <a:avLst/>
                    </a:prstGeom>
                    <a:noFill/>
                    <a:ln>
                      <a:noFill/>
                    </a:ln>
                  </pic:spPr>
                </pic:pic>
              </a:graphicData>
            </a:graphic>
          </wp:inline>
        </w:drawing>
      </w:r>
    </w:p>
    <w:p w14:paraId="2C7702BB" w14:textId="03653535" w:rsidR="00FE10E1" w:rsidRPr="00EF0CC7" w:rsidRDefault="00FE10E1" w:rsidP="004E02FB">
      <w:pPr>
        <w:spacing w:line="300" w:lineRule="atLeast"/>
        <w:ind w:right="-142"/>
        <w:contextualSpacing/>
        <w:jc w:val="center"/>
        <w:rPr>
          <w:rFonts w:ascii="Times New Roman" w:hAnsi="Times New Roman" w:cs="Times New Roman"/>
          <w:b/>
        </w:rPr>
      </w:pPr>
      <w:r w:rsidRPr="00EF0CC7">
        <w:rPr>
          <w:rFonts w:ascii="Times New Roman" w:hAnsi="Times New Roman" w:cs="Times New Roman"/>
          <w:b/>
        </w:rPr>
        <w:t xml:space="preserve">Zdjęcie </w:t>
      </w:r>
      <w:r w:rsidR="00535853">
        <w:rPr>
          <w:rFonts w:ascii="Times New Roman" w:hAnsi="Times New Roman" w:cs="Times New Roman"/>
          <w:b/>
        </w:rPr>
        <w:t>9</w:t>
      </w:r>
      <w:r w:rsidRPr="00EF0CC7">
        <w:rPr>
          <w:rFonts w:ascii="Times New Roman" w:hAnsi="Times New Roman" w:cs="Times New Roman"/>
          <w:b/>
        </w:rPr>
        <w:t>. Obraz uzyskany podczas nalotu BSP</w:t>
      </w:r>
    </w:p>
    <w:p w14:paraId="6CB08CA8" w14:textId="77777777" w:rsidR="00FE10E1" w:rsidRPr="00D646FC" w:rsidRDefault="00FE10E1" w:rsidP="00FE10E1">
      <w:pPr>
        <w:spacing w:line="300" w:lineRule="atLeast"/>
        <w:ind w:left="4248" w:right="-142"/>
        <w:contextualSpacing/>
        <w:rPr>
          <w:rFonts w:ascii="Times New Roman" w:hAnsi="Times New Roman" w:cs="Times New Roman"/>
          <w:sz w:val="24"/>
          <w:szCs w:val="24"/>
        </w:rPr>
      </w:pPr>
    </w:p>
    <w:p w14:paraId="4C11093C" w14:textId="6F574459" w:rsidR="00FE10E1" w:rsidRPr="00D646FC" w:rsidRDefault="00FE10E1" w:rsidP="00EF0CC7">
      <w:pPr>
        <w:spacing w:after="0" w:line="300" w:lineRule="atLeast"/>
        <w:ind w:firstLine="567"/>
        <w:jc w:val="both"/>
        <w:rPr>
          <w:rFonts w:ascii="Times New Roman" w:hAnsi="Times New Roman" w:cs="Times New Roman"/>
          <w:sz w:val="24"/>
          <w:szCs w:val="24"/>
        </w:rPr>
      </w:pPr>
      <w:r w:rsidRPr="00D646FC">
        <w:rPr>
          <w:rFonts w:ascii="Times New Roman" w:hAnsi="Times New Roman" w:cs="Times New Roman"/>
          <w:sz w:val="24"/>
          <w:szCs w:val="24"/>
        </w:rPr>
        <w:t>Zgodnie ze specyfiką zadań przypisanych Departamentowi ich realizacja finansowana był</w:t>
      </w:r>
      <w:r w:rsidR="00EF0CC7">
        <w:rPr>
          <w:rFonts w:ascii="Times New Roman" w:hAnsi="Times New Roman" w:cs="Times New Roman"/>
          <w:sz w:val="24"/>
          <w:szCs w:val="24"/>
        </w:rPr>
        <w:t>a</w:t>
      </w:r>
      <w:r w:rsidRPr="00D646FC">
        <w:rPr>
          <w:rFonts w:ascii="Times New Roman" w:hAnsi="Times New Roman" w:cs="Times New Roman"/>
          <w:sz w:val="24"/>
          <w:szCs w:val="24"/>
        </w:rPr>
        <w:t xml:space="preserve"> z budżetu GIOŚ, tj. działania 12.1.3.2.W – Działalność kontrolna w zakresie ochrony środowiska, którego głównym celem jest zapewnienie przestrzegania i stosowania prawa </w:t>
      </w:r>
      <w:r w:rsidR="00EF0CC7">
        <w:rPr>
          <w:rFonts w:ascii="Times New Roman" w:hAnsi="Times New Roman" w:cs="Times New Roman"/>
          <w:sz w:val="24"/>
          <w:szCs w:val="24"/>
        </w:rPr>
        <w:br/>
      </w:r>
      <w:r w:rsidRPr="00D646FC">
        <w:rPr>
          <w:rFonts w:ascii="Times New Roman" w:hAnsi="Times New Roman" w:cs="Times New Roman"/>
          <w:sz w:val="24"/>
          <w:szCs w:val="24"/>
        </w:rPr>
        <w:t xml:space="preserve">w ochronie środowiska. </w:t>
      </w:r>
    </w:p>
    <w:p w14:paraId="32CCF8DB" w14:textId="77777777" w:rsidR="00FE10E1" w:rsidRPr="00D646FC" w:rsidRDefault="00FE10E1" w:rsidP="00EF0CC7">
      <w:pPr>
        <w:spacing w:after="60" w:line="300" w:lineRule="atLeast"/>
        <w:ind w:firstLine="567"/>
        <w:jc w:val="both"/>
        <w:rPr>
          <w:rFonts w:ascii="Times New Roman" w:hAnsi="Times New Roman" w:cs="Times New Roman"/>
          <w:sz w:val="24"/>
          <w:szCs w:val="24"/>
        </w:rPr>
      </w:pPr>
      <w:r w:rsidRPr="00D646FC">
        <w:rPr>
          <w:rFonts w:ascii="Times New Roman" w:hAnsi="Times New Roman" w:cs="Times New Roman"/>
          <w:sz w:val="24"/>
          <w:szCs w:val="24"/>
        </w:rPr>
        <w:t xml:space="preserve">Ponadto, mając na uwadze, że w zakresie zadań Departamentu mieści się również realizacja czynności w zakresie ochrony wód przed zanieczyszczeniem i określonych w: </w:t>
      </w:r>
    </w:p>
    <w:p w14:paraId="7C73B3A9" w14:textId="77777777" w:rsidR="00FE10E1" w:rsidRPr="00D646FC" w:rsidRDefault="00FE10E1" w:rsidP="00D34F97">
      <w:pPr>
        <w:pStyle w:val="Akapitzlist"/>
        <w:numPr>
          <w:ilvl w:val="0"/>
          <w:numId w:val="149"/>
        </w:numPr>
        <w:spacing w:line="300" w:lineRule="atLeast"/>
        <w:jc w:val="both"/>
        <w:rPr>
          <w:sz w:val="24"/>
          <w:szCs w:val="24"/>
        </w:rPr>
      </w:pPr>
      <w:r w:rsidRPr="00D646FC">
        <w:rPr>
          <w:sz w:val="24"/>
          <w:szCs w:val="24"/>
        </w:rPr>
        <w:t xml:space="preserve">dyrektywie 91/676/EWG dotyczącej ochrony wód przed zanieczyszczeniami powodowanymi przez azotany pochodzenia rolniczego (Dyrektywa azotanowa), </w:t>
      </w:r>
    </w:p>
    <w:p w14:paraId="7DC04CE2" w14:textId="77777777" w:rsidR="00FE10E1" w:rsidRPr="00D646FC" w:rsidRDefault="00FE10E1" w:rsidP="00D34F97">
      <w:pPr>
        <w:pStyle w:val="Akapitzlist"/>
        <w:numPr>
          <w:ilvl w:val="0"/>
          <w:numId w:val="149"/>
        </w:numPr>
        <w:spacing w:line="300" w:lineRule="atLeast"/>
        <w:jc w:val="both"/>
        <w:rPr>
          <w:sz w:val="24"/>
          <w:szCs w:val="24"/>
        </w:rPr>
      </w:pPr>
      <w:r w:rsidRPr="00D646FC">
        <w:rPr>
          <w:sz w:val="24"/>
          <w:szCs w:val="24"/>
        </w:rPr>
        <w:t>ustawie z dnia 20 lipca 2017 r. Prawo wodne,</w:t>
      </w:r>
    </w:p>
    <w:p w14:paraId="555268EB" w14:textId="47D824D0" w:rsidR="00FE10E1" w:rsidRPr="00D646FC" w:rsidRDefault="00FE10E1" w:rsidP="00D34F97">
      <w:pPr>
        <w:pStyle w:val="Akapitzlist"/>
        <w:numPr>
          <w:ilvl w:val="0"/>
          <w:numId w:val="149"/>
        </w:numPr>
        <w:spacing w:line="300" w:lineRule="atLeast"/>
        <w:jc w:val="both"/>
        <w:rPr>
          <w:sz w:val="24"/>
          <w:szCs w:val="24"/>
        </w:rPr>
      </w:pPr>
      <w:r w:rsidRPr="00D646FC">
        <w:rPr>
          <w:sz w:val="24"/>
          <w:szCs w:val="24"/>
        </w:rPr>
        <w:t>rozporządzeniu Rady Ministrów z dnia 12 lutego 2020 r. w sprawie przyjęcia Programu działań mających na celu zmniejszenie zanieczyszczenia wód azotanami pochodzącymi ze źródeł rolniczych oraz zapobieganie dalszemu zanieczyszczeniu,</w:t>
      </w:r>
    </w:p>
    <w:p w14:paraId="558FF216" w14:textId="77777777" w:rsidR="00FE10E1" w:rsidRPr="00D646FC" w:rsidRDefault="00FE10E1" w:rsidP="00D34F97">
      <w:pPr>
        <w:pStyle w:val="Akapitzlist"/>
        <w:numPr>
          <w:ilvl w:val="0"/>
          <w:numId w:val="149"/>
        </w:numPr>
        <w:spacing w:after="120" w:line="300" w:lineRule="atLeast"/>
        <w:ind w:left="714" w:hanging="357"/>
        <w:contextualSpacing w:val="0"/>
        <w:jc w:val="both"/>
        <w:rPr>
          <w:sz w:val="24"/>
          <w:szCs w:val="24"/>
        </w:rPr>
      </w:pPr>
      <w:r w:rsidRPr="00D646FC">
        <w:rPr>
          <w:sz w:val="24"/>
          <w:szCs w:val="24"/>
        </w:rPr>
        <w:t>ustawie z dnia 6 czerwca 1997 r. Kodeks Karny art. 182 i 183.</w:t>
      </w:r>
    </w:p>
    <w:p w14:paraId="0E47135B" w14:textId="2FE8C215" w:rsidR="00FE10E1" w:rsidRPr="00D646FC" w:rsidRDefault="00FE10E1" w:rsidP="00616D79">
      <w:pPr>
        <w:spacing w:line="300" w:lineRule="atLeast"/>
        <w:ind w:firstLine="567"/>
        <w:contextualSpacing/>
        <w:jc w:val="both"/>
        <w:rPr>
          <w:rFonts w:ascii="Times New Roman" w:hAnsi="Times New Roman" w:cs="Times New Roman"/>
          <w:sz w:val="24"/>
          <w:szCs w:val="24"/>
        </w:rPr>
      </w:pPr>
      <w:r w:rsidRPr="00D646FC">
        <w:rPr>
          <w:rFonts w:ascii="Times New Roman" w:hAnsi="Times New Roman" w:cs="Times New Roman"/>
          <w:sz w:val="24"/>
          <w:szCs w:val="24"/>
        </w:rPr>
        <w:t xml:space="preserve">Część zakupu wyposażenia niezbędnego do ich realizacji m. in. oprogramowania do wykonywania analiz, </w:t>
      </w:r>
      <w:proofErr w:type="spellStart"/>
      <w:r w:rsidRPr="00D646FC">
        <w:rPr>
          <w:rFonts w:ascii="Times New Roman" w:hAnsi="Times New Roman" w:cs="Times New Roman"/>
          <w:sz w:val="24"/>
          <w:szCs w:val="24"/>
        </w:rPr>
        <w:t>georadaru</w:t>
      </w:r>
      <w:proofErr w:type="spellEnd"/>
      <w:r w:rsidRPr="00D646FC">
        <w:rPr>
          <w:rFonts w:ascii="Times New Roman" w:hAnsi="Times New Roman" w:cs="Times New Roman"/>
          <w:sz w:val="24"/>
          <w:szCs w:val="24"/>
        </w:rPr>
        <w:t xml:space="preserve">, </w:t>
      </w:r>
      <w:proofErr w:type="spellStart"/>
      <w:r w:rsidRPr="00D646FC">
        <w:rPr>
          <w:rFonts w:ascii="Times New Roman" w:hAnsi="Times New Roman" w:cs="Times New Roman"/>
          <w:sz w:val="24"/>
          <w:szCs w:val="24"/>
        </w:rPr>
        <w:t>drona</w:t>
      </w:r>
      <w:proofErr w:type="spellEnd"/>
      <w:r w:rsidRPr="00D646FC">
        <w:rPr>
          <w:rFonts w:ascii="Times New Roman" w:hAnsi="Times New Roman" w:cs="Times New Roman"/>
          <w:sz w:val="24"/>
          <w:szCs w:val="24"/>
        </w:rPr>
        <w:t xml:space="preserve"> RTK oraz pojazdów specjalistycznych zrealizowana została w ramach środków pochodzących z umowy zawartej przez GIOŚ z PGW Wody Polskie KZGW/KZ/2021/78 z dnia 22 czerwca 2021 r. (aneksowanej w dniu 27 sierpnia 2021 r. – aneks nr 1/2021)</w:t>
      </w:r>
      <w:r w:rsidR="00616D79">
        <w:rPr>
          <w:rFonts w:ascii="Times New Roman" w:hAnsi="Times New Roman" w:cs="Times New Roman"/>
          <w:sz w:val="24"/>
          <w:szCs w:val="24"/>
        </w:rPr>
        <w:t>.</w:t>
      </w:r>
    </w:p>
    <w:p w14:paraId="57BE49F9" w14:textId="7AB82DD7" w:rsidR="00FE10E1" w:rsidRPr="00D646FC" w:rsidRDefault="00FE10E1" w:rsidP="00FE10E1">
      <w:pPr>
        <w:spacing w:line="300" w:lineRule="atLeast"/>
        <w:contextualSpacing/>
        <w:jc w:val="center"/>
        <w:rPr>
          <w:rFonts w:ascii="Times New Roman" w:hAnsi="Times New Roman" w:cs="Times New Roman"/>
          <w:sz w:val="24"/>
          <w:szCs w:val="24"/>
        </w:rPr>
      </w:pPr>
      <w:r w:rsidRPr="00D646FC">
        <w:rPr>
          <w:rFonts w:ascii="Times New Roman" w:hAnsi="Times New Roman" w:cs="Times New Roman"/>
          <w:noProof/>
          <w:sz w:val="24"/>
          <w:szCs w:val="24"/>
          <w:lang w:eastAsia="pl-PL"/>
        </w:rPr>
        <w:lastRenderedPageBreak/>
        <w:drawing>
          <wp:inline distT="0" distB="0" distL="0" distR="0" wp14:anchorId="50941C0C" wp14:editId="1F10FBE3">
            <wp:extent cx="4638675" cy="3716262"/>
            <wp:effectExtent l="0" t="0" r="0" b="0"/>
            <wp:docPr id="74" name="Obraz 74" descr="Zdjęcie 10. Obraz uzyskany z kamery termowiz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Obraz 74" descr="Zdjęcie 10. Obraz uzyskany z kamery termowizyjnej."/>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46132" cy="3722236"/>
                    </a:xfrm>
                    <a:prstGeom prst="rect">
                      <a:avLst/>
                    </a:prstGeom>
                    <a:noFill/>
                    <a:ln>
                      <a:noFill/>
                    </a:ln>
                  </pic:spPr>
                </pic:pic>
              </a:graphicData>
            </a:graphic>
          </wp:inline>
        </w:drawing>
      </w:r>
    </w:p>
    <w:p w14:paraId="3A28ACF9" w14:textId="7080DE21" w:rsidR="00FE10E1" w:rsidRPr="00D646FC" w:rsidRDefault="00FE10E1" w:rsidP="00412B7C">
      <w:pPr>
        <w:spacing w:line="300" w:lineRule="atLeast"/>
        <w:ind w:firstLine="426"/>
        <w:contextualSpacing/>
        <w:jc w:val="center"/>
        <w:rPr>
          <w:rFonts w:ascii="Times New Roman" w:hAnsi="Times New Roman" w:cs="Times New Roman"/>
          <w:sz w:val="24"/>
          <w:szCs w:val="24"/>
        </w:rPr>
      </w:pPr>
      <w:r w:rsidRPr="00616D79">
        <w:rPr>
          <w:rFonts w:ascii="Times New Roman" w:hAnsi="Times New Roman" w:cs="Times New Roman"/>
          <w:b/>
          <w:color w:val="000000" w:themeColor="text1"/>
        </w:rPr>
        <w:t xml:space="preserve">Zdjęcie </w:t>
      </w:r>
      <w:r w:rsidR="00616D79" w:rsidRPr="00616D79">
        <w:rPr>
          <w:rFonts w:ascii="Times New Roman" w:hAnsi="Times New Roman" w:cs="Times New Roman"/>
          <w:b/>
          <w:color w:val="000000" w:themeColor="text1"/>
        </w:rPr>
        <w:t>1</w:t>
      </w:r>
      <w:r w:rsidR="00535853">
        <w:rPr>
          <w:rFonts w:ascii="Times New Roman" w:hAnsi="Times New Roman" w:cs="Times New Roman"/>
          <w:b/>
          <w:color w:val="000000" w:themeColor="text1"/>
        </w:rPr>
        <w:t>0</w:t>
      </w:r>
      <w:r w:rsidRPr="00616D79">
        <w:rPr>
          <w:rFonts w:ascii="Times New Roman" w:hAnsi="Times New Roman" w:cs="Times New Roman"/>
          <w:b/>
          <w:color w:val="000000" w:themeColor="text1"/>
        </w:rPr>
        <w:t>. Obraz uzyskany z kamery termowizyjnej</w:t>
      </w:r>
      <w:r w:rsidRPr="00D646FC">
        <w:rPr>
          <w:rFonts w:ascii="Times New Roman" w:hAnsi="Times New Roman" w:cs="Times New Roman"/>
          <w:sz w:val="24"/>
          <w:szCs w:val="24"/>
        </w:rPr>
        <w:t>.</w:t>
      </w:r>
    </w:p>
    <w:p w14:paraId="4580AC4A" w14:textId="77777777" w:rsidR="00FE10E1" w:rsidRPr="00D646FC" w:rsidRDefault="00FE10E1" w:rsidP="00FE10E1">
      <w:pPr>
        <w:spacing w:line="300" w:lineRule="atLeast"/>
        <w:contextualSpacing/>
        <w:jc w:val="both"/>
        <w:rPr>
          <w:rFonts w:ascii="Times New Roman" w:hAnsi="Times New Roman" w:cs="Times New Roman"/>
          <w:sz w:val="24"/>
          <w:szCs w:val="24"/>
        </w:rPr>
      </w:pPr>
    </w:p>
    <w:p w14:paraId="745E78EF" w14:textId="7217D5D0" w:rsidR="00FE10E1" w:rsidRPr="00D646FC" w:rsidRDefault="00FE10E1" w:rsidP="00616D79">
      <w:pPr>
        <w:spacing w:after="0" w:line="300" w:lineRule="atLeast"/>
        <w:ind w:firstLine="425"/>
        <w:contextualSpacing/>
        <w:jc w:val="both"/>
        <w:rPr>
          <w:rFonts w:ascii="Times New Roman" w:hAnsi="Times New Roman" w:cs="Times New Roman"/>
          <w:sz w:val="24"/>
          <w:szCs w:val="24"/>
        </w:rPr>
      </w:pPr>
      <w:r w:rsidRPr="00D646FC">
        <w:rPr>
          <w:rFonts w:ascii="Times New Roman" w:hAnsi="Times New Roman" w:cs="Times New Roman"/>
          <w:sz w:val="24"/>
          <w:szCs w:val="24"/>
        </w:rPr>
        <w:t>Zespół Stosowania Techniki Specjalnej Departamentu Zwalczania Przestępczości Środowiskowej Głównego Inspektoratu Ochrony Środowiska, według stanu na dzień 31 grudnia 2022 r. liczy</w:t>
      </w:r>
      <w:r w:rsidR="00616D79">
        <w:rPr>
          <w:rFonts w:ascii="Times New Roman" w:hAnsi="Times New Roman" w:cs="Times New Roman"/>
          <w:sz w:val="24"/>
          <w:szCs w:val="24"/>
        </w:rPr>
        <w:t>ł</w:t>
      </w:r>
      <w:r w:rsidRPr="00D646FC">
        <w:rPr>
          <w:rFonts w:ascii="Times New Roman" w:hAnsi="Times New Roman" w:cs="Times New Roman"/>
          <w:sz w:val="24"/>
          <w:szCs w:val="24"/>
        </w:rPr>
        <w:t xml:space="preserve"> czterech pracowników oraz czterech współpracujących pracowników CLB. W skład zespołu wchodzi</w:t>
      </w:r>
      <w:r w:rsidR="00616D79">
        <w:rPr>
          <w:rFonts w:ascii="Times New Roman" w:hAnsi="Times New Roman" w:cs="Times New Roman"/>
          <w:sz w:val="24"/>
          <w:szCs w:val="24"/>
        </w:rPr>
        <w:t>ły</w:t>
      </w:r>
      <w:r w:rsidRPr="00D646FC">
        <w:rPr>
          <w:rFonts w:ascii="Times New Roman" w:hAnsi="Times New Roman" w:cs="Times New Roman"/>
          <w:sz w:val="24"/>
          <w:szCs w:val="24"/>
        </w:rPr>
        <w:t xml:space="preserve">:  </w:t>
      </w:r>
    </w:p>
    <w:p w14:paraId="0B194641" w14:textId="77777777" w:rsidR="00616D79" w:rsidRDefault="00FE10E1" w:rsidP="00D34F97">
      <w:pPr>
        <w:pStyle w:val="Akapitzlist"/>
        <w:numPr>
          <w:ilvl w:val="0"/>
          <w:numId w:val="217"/>
        </w:numPr>
        <w:spacing w:line="300" w:lineRule="atLeast"/>
        <w:jc w:val="both"/>
        <w:rPr>
          <w:sz w:val="24"/>
          <w:szCs w:val="24"/>
        </w:rPr>
      </w:pPr>
      <w:r w:rsidRPr="00616D79">
        <w:rPr>
          <w:sz w:val="24"/>
          <w:szCs w:val="24"/>
        </w:rPr>
        <w:t>centralny oddział w Warszawie, liczący 4 pracowników, w tym Kierownik Zespołu;</w:t>
      </w:r>
    </w:p>
    <w:p w14:paraId="0F6F2A62" w14:textId="77777777" w:rsidR="009F2788" w:rsidRDefault="00FE10E1" w:rsidP="00D34F97">
      <w:pPr>
        <w:pStyle w:val="Akapitzlist"/>
        <w:numPr>
          <w:ilvl w:val="0"/>
          <w:numId w:val="217"/>
        </w:numPr>
        <w:spacing w:line="300" w:lineRule="atLeast"/>
        <w:jc w:val="both"/>
        <w:rPr>
          <w:sz w:val="24"/>
          <w:szCs w:val="24"/>
        </w:rPr>
      </w:pPr>
      <w:r w:rsidRPr="00616D79">
        <w:rPr>
          <w:sz w:val="24"/>
          <w:szCs w:val="24"/>
        </w:rPr>
        <w:t xml:space="preserve">zespół BSP GIOŚ w Pile </w:t>
      </w:r>
      <w:r w:rsidR="00616D79">
        <w:rPr>
          <w:sz w:val="24"/>
          <w:szCs w:val="24"/>
          <w:lang w:val="pl-PL"/>
        </w:rPr>
        <w:t>(</w:t>
      </w:r>
      <w:r w:rsidRPr="00616D79">
        <w:rPr>
          <w:sz w:val="24"/>
          <w:szCs w:val="24"/>
        </w:rPr>
        <w:t>2 pracowników</w:t>
      </w:r>
      <w:r w:rsidR="00616D79">
        <w:rPr>
          <w:sz w:val="24"/>
          <w:szCs w:val="24"/>
          <w:lang w:val="pl-PL"/>
        </w:rPr>
        <w:t>)</w:t>
      </w:r>
      <w:r w:rsidRPr="00616D79">
        <w:rPr>
          <w:sz w:val="24"/>
          <w:szCs w:val="24"/>
        </w:rPr>
        <w:t>;</w:t>
      </w:r>
    </w:p>
    <w:p w14:paraId="2473B769" w14:textId="7FAF9EE1" w:rsidR="00A22034" w:rsidRPr="009F2788" w:rsidRDefault="00FE10E1" w:rsidP="00D34F97">
      <w:pPr>
        <w:pStyle w:val="Akapitzlist"/>
        <w:numPr>
          <w:ilvl w:val="0"/>
          <w:numId w:val="217"/>
        </w:numPr>
        <w:spacing w:line="300" w:lineRule="atLeast"/>
        <w:jc w:val="both"/>
        <w:rPr>
          <w:sz w:val="24"/>
          <w:szCs w:val="24"/>
        </w:rPr>
      </w:pPr>
      <w:r w:rsidRPr="009F2788">
        <w:rPr>
          <w:sz w:val="24"/>
          <w:szCs w:val="24"/>
        </w:rPr>
        <w:t xml:space="preserve">zespół BSP GIOŚ w Kaliszu </w:t>
      </w:r>
      <w:r w:rsidR="00616D79" w:rsidRPr="009F2788">
        <w:rPr>
          <w:sz w:val="24"/>
          <w:szCs w:val="24"/>
        </w:rPr>
        <w:t>(</w:t>
      </w:r>
      <w:r w:rsidRPr="009F2788">
        <w:rPr>
          <w:sz w:val="24"/>
          <w:szCs w:val="24"/>
        </w:rPr>
        <w:t>2 pracowników</w:t>
      </w:r>
      <w:r w:rsidR="00616D79" w:rsidRPr="009F2788">
        <w:rPr>
          <w:sz w:val="24"/>
          <w:szCs w:val="24"/>
        </w:rPr>
        <w:t>)</w:t>
      </w:r>
      <w:r w:rsidR="00A22034" w:rsidRPr="009F2788">
        <w:rPr>
          <w:sz w:val="24"/>
          <w:szCs w:val="24"/>
        </w:rPr>
        <w:t>.</w:t>
      </w:r>
    </w:p>
    <w:p w14:paraId="064FFD0E" w14:textId="77777777" w:rsidR="00A22034" w:rsidRPr="007F400A" w:rsidRDefault="00A22034" w:rsidP="003718AF">
      <w:pPr>
        <w:spacing w:after="0" w:line="300" w:lineRule="atLeast"/>
        <w:ind w:firstLine="567"/>
        <w:jc w:val="both"/>
        <w:rPr>
          <w:rFonts w:ascii="Times New Roman" w:hAnsi="Times New Roman" w:cs="Times New Roman"/>
          <w:sz w:val="24"/>
          <w:szCs w:val="24"/>
        </w:rPr>
      </w:pPr>
    </w:p>
    <w:p w14:paraId="45ABC79F" w14:textId="77777777" w:rsidR="00A22034" w:rsidRPr="007F400A" w:rsidRDefault="00A22034" w:rsidP="00616D79">
      <w:pPr>
        <w:pStyle w:val="Nagwek1"/>
        <w:spacing w:after="120"/>
        <w:rPr>
          <w:color w:val="000000" w:themeColor="text1"/>
        </w:rPr>
      </w:pPr>
      <w:bookmarkStart w:id="291" w:name="_Toc99469603"/>
      <w:bookmarkStart w:id="292" w:name="_Toc135935663"/>
      <w:r w:rsidRPr="007F400A">
        <w:rPr>
          <w:color w:val="000000" w:themeColor="text1"/>
        </w:rPr>
        <w:t>1.5. Wydział Interwencyjno-Operacyjny</w:t>
      </w:r>
      <w:bookmarkEnd w:id="291"/>
      <w:bookmarkEnd w:id="292"/>
    </w:p>
    <w:p w14:paraId="7B5C2A6B" w14:textId="77777777" w:rsidR="004A0EAC" w:rsidRPr="004A0EAC" w:rsidRDefault="004A0EAC" w:rsidP="00616D79">
      <w:pPr>
        <w:spacing w:after="0" w:line="300" w:lineRule="atLeast"/>
        <w:ind w:firstLine="567"/>
        <w:jc w:val="both"/>
        <w:rPr>
          <w:rFonts w:ascii="Times New Roman" w:hAnsi="Times New Roman" w:cs="Times New Roman"/>
          <w:sz w:val="24"/>
          <w:szCs w:val="24"/>
        </w:rPr>
      </w:pPr>
      <w:r w:rsidRPr="004A0EAC">
        <w:rPr>
          <w:rFonts w:ascii="Times New Roman" w:hAnsi="Times New Roman" w:cs="Times New Roman"/>
          <w:sz w:val="24"/>
          <w:szCs w:val="24"/>
        </w:rPr>
        <w:t>Wydział Interwencyjno-Operacyjny w szczególności prowadzi działania w zakresie przeciwdziałania i wykrywania przestępstw i wykroczeń przeciwko środowisku. W tym celu Inspektorzy wykonują kontrole pozaplanowe interwencyjne oraz biorą udział w kontrolach prowadzonych przez inne instytucje, m.in. Krajową Administrację Skarbową, Policję oraz Wojewódzkie Inspektoraty Ochrony Środowiska. Na bieżąco są również typowane potencjalne miejsca nielegalnego postępowania odpadami np. miejsca porzucania czy zakopywania odpadów, w tym odpadów niebezpiecznych. Wydział ściśle współpracuje z organami ścigania w zakresie nielegalnego transgranicznego przemieszczania odpadów.</w:t>
      </w:r>
    </w:p>
    <w:p w14:paraId="7F093864" w14:textId="77777777" w:rsidR="004A0EAC" w:rsidRPr="004A0EAC" w:rsidRDefault="004A0EAC" w:rsidP="00616D79">
      <w:pPr>
        <w:spacing w:after="0" w:line="300" w:lineRule="atLeast"/>
        <w:ind w:firstLine="567"/>
        <w:jc w:val="both"/>
        <w:rPr>
          <w:rFonts w:ascii="Times New Roman" w:hAnsi="Times New Roman" w:cs="Times New Roman"/>
          <w:sz w:val="24"/>
          <w:szCs w:val="24"/>
        </w:rPr>
      </w:pPr>
      <w:r w:rsidRPr="004A0EAC">
        <w:rPr>
          <w:rFonts w:ascii="Times New Roman" w:hAnsi="Times New Roman" w:cs="Times New Roman"/>
          <w:sz w:val="24"/>
          <w:szCs w:val="24"/>
        </w:rPr>
        <w:t>Wydział Interwencyjno-Operacyjny w Departamencie Zwalczania Przestępczości Środowiskowej na dzień 31 grudnia 2022 r. liczy 9 pracowników. W skład zespołu wchodzi:</w:t>
      </w:r>
    </w:p>
    <w:p w14:paraId="31684F2C" w14:textId="77777777" w:rsidR="00616D79" w:rsidRDefault="004A0EAC" w:rsidP="00D34F97">
      <w:pPr>
        <w:pStyle w:val="Akapitzlist"/>
        <w:numPr>
          <w:ilvl w:val="0"/>
          <w:numId w:val="218"/>
        </w:numPr>
        <w:spacing w:line="300" w:lineRule="atLeast"/>
        <w:jc w:val="both"/>
        <w:rPr>
          <w:sz w:val="24"/>
          <w:szCs w:val="24"/>
        </w:rPr>
      </w:pPr>
      <w:r w:rsidRPr="00616D79">
        <w:rPr>
          <w:sz w:val="24"/>
          <w:szCs w:val="24"/>
        </w:rPr>
        <w:t>centralny oddział w Warszawie, liczący 6 pracowników, w tym Naczelnik Wydziału</w:t>
      </w:r>
    </w:p>
    <w:p w14:paraId="6CED3DBE" w14:textId="755DFAB8" w:rsidR="004A0EAC" w:rsidRPr="00616D79" w:rsidRDefault="004A0EAC" w:rsidP="00616D79">
      <w:pPr>
        <w:spacing w:line="300" w:lineRule="atLeast"/>
        <w:jc w:val="both"/>
        <w:rPr>
          <w:sz w:val="24"/>
          <w:szCs w:val="24"/>
        </w:rPr>
      </w:pPr>
      <w:r w:rsidRPr="00616D79">
        <w:rPr>
          <w:sz w:val="24"/>
          <w:szCs w:val="24"/>
        </w:rPr>
        <w:t xml:space="preserve"> </w:t>
      </w:r>
    </w:p>
    <w:p w14:paraId="6466A658" w14:textId="77777777" w:rsidR="004A0EAC" w:rsidRPr="004A0EAC" w:rsidRDefault="004A0EAC" w:rsidP="004A0EAC">
      <w:pPr>
        <w:spacing w:after="60" w:line="300" w:lineRule="atLeast"/>
        <w:jc w:val="both"/>
        <w:rPr>
          <w:rFonts w:ascii="Times New Roman" w:hAnsi="Times New Roman" w:cs="Times New Roman"/>
          <w:i/>
          <w:color w:val="4472C4"/>
          <w:sz w:val="24"/>
          <w:szCs w:val="24"/>
        </w:rPr>
      </w:pPr>
      <w:r w:rsidRPr="004A0EAC">
        <w:rPr>
          <w:rFonts w:ascii="Times New Roman" w:hAnsi="Times New Roman" w:cs="Times New Roman"/>
          <w:i/>
          <w:color w:val="4472C4"/>
          <w:sz w:val="24"/>
          <w:szCs w:val="24"/>
        </w:rPr>
        <w:t>Wojewódzki Inspektorat Ochrony Środowiska w Białymstoku:</w:t>
      </w:r>
    </w:p>
    <w:p w14:paraId="510875C7" w14:textId="745DCE26" w:rsidR="004A0EAC" w:rsidRDefault="004A0EAC" w:rsidP="0061266E">
      <w:pPr>
        <w:spacing w:line="300" w:lineRule="atLeast"/>
        <w:contextualSpacing/>
        <w:jc w:val="both"/>
        <w:rPr>
          <w:rFonts w:ascii="Times New Roman" w:hAnsi="Times New Roman" w:cs="Times New Roman"/>
          <w:iCs/>
          <w:sz w:val="24"/>
          <w:szCs w:val="24"/>
        </w:rPr>
      </w:pPr>
      <w:r w:rsidRPr="004A0EAC">
        <w:rPr>
          <w:rFonts w:ascii="Times New Roman" w:hAnsi="Times New Roman" w:cs="Times New Roman"/>
          <w:iCs/>
          <w:sz w:val="24"/>
          <w:szCs w:val="24"/>
        </w:rPr>
        <w:t xml:space="preserve">Ogółem w grupie zadaniowej (stan do 30.11.2022 r.) – 10 osób, w tym: </w:t>
      </w:r>
    </w:p>
    <w:p w14:paraId="4C9B3E24" w14:textId="08646369" w:rsidR="004A0EAC" w:rsidRPr="004A0EAC" w:rsidRDefault="004A0EAC" w:rsidP="0061266E">
      <w:pPr>
        <w:spacing w:after="0" w:line="300" w:lineRule="atLeast"/>
        <w:ind w:firstLine="567"/>
        <w:jc w:val="both"/>
        <w:rPr>
          <w:rFonts w:ascii="Times New Roman" w:hAnsi="Times New Roman" w:cs="Times New Roman"/>
          <w:iCs/>
          <w:sz w:val="24"/>
          <w:szCs w:val="24"/>
        </w:rPr>
      </w:pPr>
      <w:r w:rsidRPr="004A0EAC">
        <w:rPr>
          <w:rFonts w:ascii="Times New Roman" w:hAnsi="Times New Roman" w:cs="Times New Roman"/>
          <w:iCs/>
          <w:sz w:val="24"/>
          <w:szCs w:val="24"/>
        </w:rPr>
        <w:t>WIOŚ Białystok – 5 osób (Zastępca Naczelnika, 1 St</w:t>
      </w:r>
      <w:r w:rsidR="0061266E">
        <w:rPr>
          <w:rFonts w:ascii="Times New Roman" w:hAnsi="Times New Roman" w:cs="Times New Roman"/>
          <w:iCs/>
          <w:sz w:val="24"/>
          <w:szCs w:val="24"/>
        </w:rPr>
        <w:t>.</w:t>
      </w:r>
      <w:r w:rsidRPr="004A0EAC">
        <w:rPr>
          <w:rFonts w:ascii="Times New Roman" w:hAnsi="Times New Roman" w:cs="Times New Roman"/>
          <w:iCs/>
          <w:sz w:val="24"/>
          <w:szCs w:val="24"/>
        </w:rPr>
        <w:t xml:space="preserve"> </w:t>
      </w:r>
      <w:r w:rsidR="0061266E">
        <w:rPr>
          <w:rFonts w:ascii="Times New Roman" w:hAnsi="Times New Roman" w:cs="Times New Roman"/>
          <w:iCs/>
          <w:sz w:val="24"/>
          <w:szCs w:val="24"/>
        </w:rPr>
        <w:t>S</w:t>
      </w:r>
      <w:r w:rsidRPr="004A0EAC">
        <w:rPr>
          <w:rFonts w:ascii="Times New Roman" w:hAnsi="Times New Roman" w:cs="Times New Roman"/>
          <w:iCs/>
          <w:sz w:val="24"/>
          <w:szCs w:val="24"/>
        </w:rPr>
        <w:t xml:space="preserve">pecjalista </w:t>
      </w:r>
      <w:r w:rsidR="0061266E">
        <w:rPr>
          <w:rFonts w:ascii="Times New Roman" w:hAnsi="Times New Roman" w:cs="Times New Roman"/>
          <w:iCs/>
          <w:sz w:val="24"/>
          <w:szCs w:val="24"/>
        </w:rPr>
        <w:t xml:space="preserve">i </w:t>
      </w:r>
      <w:r w:rsidRPr="004A0EAC">
        <w:rPr>
          <w:rFonts w:ascii="Times New Roman" w:hAnsi="Times New Roman" w:cs="Times New Roman"/>
          <w:iCs/>
          <w:sz w:val="24"/>
          <w:szCs w:val="24"/>
        </w:rPr>
        <w:t>3 Specjalistów)</w:t>
      </w:r>
      <w:r w:rsidR="0061266E">
        <w:rPr>
          <w:rFonts w:ascii="Times New Roman" w:hAnsi="Times New Roman" w:cs="Times New Roman"/>
          <w:iCs/>
          <w:sz w:val="24"/>
          <w:szCs w:val="24"/>
        </w:rPr>
        <w:t>,</w:t>
      </w:r>
    </w:p>
    <w:p w14:paraId="7AABC5AA" w14:textId="12401D44" w:rsidR="004A0EAC" w:rsidRPr="0061266E" w:rsidRDefault="004A0EAC" w:rsidP="0061266E">
      <w:pPr>
        <w:pStyle w:val="Akapitzlist"/>
        <w:spacing w:line="300" w:lineRule="atLeast"/>
        <w:ind w:left="0" w:firstLine="567"/>
        <w:jc w:val="both"/>
        <w:rPr>
          <w:iCs/>
          <w:sz w:val="24"/>
          <w:szCs w:val="24"/>
          <w:lang w:val="pl-PL"/>
        </w:rPr>
      </w:pPr>
      <w:r w:rsidRPr="004A0EAC">
        <w:rPr>
          <w:iCs/>
          <w:sz w:val="24"/>
          <w:szCs w:val="24"/>
        </w:rPr>
        <w:lastRenderedPageBreak/>
        <w:t>Delegatura Łomża – 2 osoby (2 Specjalistów)</w:t>
      </w:r>
      <w:r w:rsidR="0061266E">
        <w:rPr>
          <w:iCs/>
          <w:sz w:val="24"/>
          <w:szCs w:val="24"/>
          <w:lang w:val="pl-PL"/>
        </w:rPr>
        <w:t>,</w:t>
      </w:r>
    </w:p>
    <w:p w14:paraId="2ACAFBC0" w14:textId="0E467310" w:rsidR="004A0EAC" w:rsidRPr="0061266E" w:rsidRDefault="004A0EAC" w:rsidP="0061266E">
      <w:pPr>
        <w:pStyle w:val="Akapitzlist"/>
        <w:spacing w:after="60" w:line="300" w:lineRule="atLeast"/>
        <w:ind w:left="0" w:firstLine="567"/>
        <w:contextualSpacing w:val="0"/>
        <w:jc w:val="both"/>
        <w:rPr>
          <w:iCs/>
          <w:sz w:val="24"/>
          <w:szCs w:val="24"/>
          <w:lang w:val="pl-PL"/>
        </w:rPr>
      </w:pPr>
      <w:r w:rsidRPr="004A0EAC">
        <w:rPr>
          <w:iCs/>
          <w:sz w:val="24"/>
          <w:szCs w:val="24"/>
        </w:rPr>
        <w:t xml:space="preserve">Delegatura Suwałki – 3 osoby (1 </w:t>
      </w:r>
      <w:r w:rsidR="0061266E">
        <w:rPr>
          <w:iCs/>
          <w:sz w:val="24"/>
          <w:szCs w:val="24"/>
          <w:lang w:val="pl-PL"/>
        </w:rPr>
        <w:t xml:space="preserve">St. Specjalista i </w:t>
      </w:r>
      <w:r w:rsidRPr="004A0EAC">
        <w:rPr>
          <w:iCs/>
          <w:sz w:val="24"/>
          <w:szCs w:val="24"/>
        </w:rPr>
        <w:t>2 Specjalistów)</w:t>
      </w:r>
      <w:r w:rsidR="0061266E">
        <w:rPr>
          <w:iCs/>
          <w:sz w:val="24"/>
          <w:szCs w:val="24"/>
          <w:lang w:val="pl-PL"/>
        </w:rPr>
        <w:t>.</w:t>
      </w:r>
    </w:p>
    <w:p w14:paraId="600BCE37" w14:textId="77777777" w:rsidR="004A0EAC" w:rsidRPr="004A0EAC" w:rsidRDefault="004A0EAC" w:rsidP="0061266E">
      <w:pPr>
        <w:pStyle w:val="Akapitzlist"/>
        <w:spacing w:line="300" w:lineRule="atLeast"/>
        <w:ind w:left="0" w:firstLine="567"/>
        <w:jc w:val="both"/>
        <w:rPr>
          <w:iCs/>
          <w:sz w:val="24"/>
          <w:szCs w:val="24"/>
        </w:rPr>
      </w:pPr>
      <w:r w:rsidRPr="004A0EAC">
        <w:rPr>
          <w:iCs/>
          <w:sz w:val="24"/>
          <w:szCs w:val="24"/>
        </w:rPr>
        <w:t>Stan od 01.12.2022 r., tj. od dnia utworzenia Wydziału Zwalczania Przestępczości Środowiskowej w WIOŚ w Białymstoku – 5 osób, w tym:</w:t>
      </w:r>
    </w:p>
    <w:p w14:paraId="3FF3093E" w14:textId="457CC9D1" w:rsidR="004A0EAC" w:rsidRPr="0061266E" w:rsidRDefault="004A0EAC" w:rsidP="0061266E">
      <w:pPr>
        <w:pStyle w:val="Akapitzlist"/>
        <w:spacing w:line="300" w:lineRule="atLeast"/>
        <w:ind w:left="0" w:firstLine="567"/>
        <w:jc w:val="both"/>
        <w:rPr>
          <w:iCs/>
          <w:sz w:val="24"/>
          <w:szCs w:val="24"/>
          <w:lang w:val="pl-PL"/>
        </w:rPr>
      </w:pPr>
      <w:r w:rsidRPr="004A0EAC">
        <w:rPr>
          <w:iCs/>
          <w:sz w:val="24"/>
          <w:szCs w:val="24"/>
        </w:rPr>
        <w:t>WIOŚ Białystok – 5 osób (Naczelnik, 1 St</w:t>
      </w:r>
      <w:r w:rsidR="0061266E">
        <w:rPr>
          <w:iCs/>
          <w:sz w:val="24"/>
          <w:szCs w:val="24"/>
          <w:lang w:val="pl-PL"/>
        </w:rPr>
        <w:t xml:space="preserve">. </w:t>
      </w:r>
      <w:r w:rsidRPr="004A0EAC">
        <w:rPr>
          <w:iCs/>
          <w:sz w:val="24"/>
          <w:szCs w:val="24"/>
        </w:rPr>
        <w:t xml:space="preserve">Specjalista </w:t>
      </w:r>
      <w:r w:rsidR="0061266E">
        <w:rPr>
          <w:iCs/>
          <w:sz w:val="24"/>
          <w:szCs w:val="24"/>
          <w:lang w:val="pl-PL"/>
        </w:rPr>
        <w:t xml:space="preserve">i </w:t>
      </w:r>
      <w:r w:rsidRPr="004A0EAC">
        <w:rPr>
          <w:iCs/>
          <w:sz w:val="24"/>
          <w:szCs w:val="24"/>
        </w:rPr>
        <w:t>3 Specjalistów)</w:t>
      </w:r>
      <w:r w:rsidR="0061266E">
        <w:rPr>
          <w:iCs/>
          <w:sz w:val="24"/>
          <w:szCs w:val="24"/>
          <w:lang w:val="pl-PL"/>
        </w:rPr>
        <w:t>,</w:t>
      </w:r>
    </w:p>
    <w:p w14:paraId="69B673A0" w14:textId="7B62CB77" w:rsidR="004A0EAC" w:rsidRPr="0061266E" w:rsidRDefault="004A0EAC" w:rsidP="0061266E">
      <w:pPr>
        <w:pStyle w:val="Akapitzlist"/>
        <w:spacing w:line="300" w:lineRule="atLeast"/>
        <w:ind w:left="0" w:firstLine="567"/>
        <w:jc w:val="both"/>
        <w:rPr>
          <w:iCs/>
          <w:sz w:val="24"/>
          <w:szCs w:val="24"/>
          <w:lang w:val="pl-PL"/>
        </w:rPr>
      </w:pPr>
      <w:r w:rsidRPr="004A0EAC">
        <w:rPr>
          <w:iCs/>
          <w:sz w:val="24"/>
          <w:szCs w:val="24"/>
        </w:rPr>
        <w:t xml:space="preserve">Delegatura Łomża </w:t>
      </w:r>
      <w:r w:rsidR="0061266E">
        <w:rPr>
          <w:iCs/>
          <w:sz w:val="24"/>
          <w:szCs w:val="24"/>
          <w:lang w:val="pl-PL"/>
        </w:rPr>
        <w:t xml:space="preserve">i Delegatura Suwałki </w:t>
      </w:r>
      <w:r w:rsidRPr="004A0EAC">
        <w:rPr>
          <w:iCs/>
          <w:sz w:val="24"/>
          <w:szCs w:val="24"/>
        </w:rPr>
        <w:t xml:space="preserve">– brak (zasięg działania WZPŚ utworzonego </w:t>
      </w:r>
      <w:r w:rsidR="0061266E">
        <w:rPr>
          <w:iCs/>
          <w:sz w:val="24"/>
          <w:szCs w:val="24"/>
        </w:rPr>
        <w:br/>
      </w:r>
      <w:r w:rsidRPr="004A0EAC">
        <w:rPr>
          <w:iCs/>
          <w:sz w:val="24"/>
          <w:szCs w:val="24"/>
        </w:rPr>
        <w:t>w WIOŚ w Białymstoku obejmuje teren całego woj. podlaskiego)</w:t>
      </w:r>
      <w:r w:rsidR="0061266E">
        <w:rPr>
          <w:iCs/>
          <w:sz w:val="24"/>
          <w:szCs w:val="24"/>
          <w:lang w:val="pl-PL"/>
        </w:rPr>
        <w:t>.</w:t>
      </w:r>
    </w:p>
    <w:p w14:paraId="72E89AE9" w14:textId="77777777" w:rsidR="004A0EAC" w:rsidRPr="004A0EAC" w:rsidRDefault="004A0EAC" w:rsidP="004A0EAC">
      <w:pPr>
        <w:spacing w:line="300" w:lineRule="atLeast"/>
        <w:contextualSpacing/>
        <w:jc w:val="both"/>
        <w:rPr>
          <w:rFonts w:ascii="Times New Roman" w:hAnsi="Times New Roman" w:cs="Times New Roman"/>
          <w:sz w:val="24"/>
          <w:szCs w:val="24"/>
        </w:rPr>
      </w:pPr>
    </w:p>
    <w:p w14:paraId="608BDE32" w14:textId="77777777" w:rsidR="004A0EAC" w:rsidRPr="004A0EAC" w:rsidRDefault="004A0EAC" w:rsidP="00C7781C">
      <w:pPr>
        <w:spacing w:after="60" w:line="300" w:lineRule="atLeast"/>
        <w:jc w:val="both"/>
        <w:rPr>
          <w:rFonts w:ascii="Times New Roman" w:hAnsi="Times New Roman" w:cs="Times New Roman"/>
          <w:i/>
          <w:color w:val="4472C4"/>
          <w:sz w:val="24"/>
          <w:szCs w:val="24"/>
        </w:rPr>
      </w:pPr>
      <w:r w:rsidRPr="004A0EAC">
        <w:rPr>
          <w:rFonts w:ascii="Times New Roman" w:hAnsi="Times New Roman" w:cs="Times New Roman"/>
          <w:i/>
          <w:color w:val="4472C4"/>
          <w:sz w:val="24"/>
          <w:szCs w:val="24"/>
        </w:rPr>
        <w:t>Wojewódzki Inspektorat Ochrony Środowiska w Bydgoszczy</w:t>
      </w:r>
    </w:p>
    <w:p w14:paraId="70D80040" w14:textId="18249AE1" w:rsidR="004A0EAC" w:rsidRPr="004A0EAC" w:rsidRDefault="004A0EAC" w:rsidP="0061266E">
      <w:pPr>
        <w:pStyle w:val="Akapitzlist"/>
        <w:spacing w:line="300" w:lineRule="atLeast"/>
        <w:ind w:left="0" w:firstLine="567"/>
        <w:jc w:val="both"/>
        <w:rPr>
          <w:iCs/>
          <w:sz w:val="24"/>
          <w:szCs w:val="24"/>
        </w:rPr>
      </w:pPr>
      <w:r w:rsidRPr="004A0EAC">
        <w:rPr>
          <w:iCs/>
          <w:sz w:val="24"/>
          <w:szCs w:val="24"/>
        </w:rPr>
        <w:t xml:space="preserve">W WIOŚ w Bydgoszczy funkcjonuje grupa zadaniowa złożona z 12 inspektorów </w:t>
      </w:r>
      <w:r w:rsidR="0061266E">
        <w:rPr>
          <w:iCs/>
          <w:sz w:val="24"/>
          <w:szCs w:val="24"/>
        </w:rPr>
        <w:br/>
      </w:r>
      <w:r w:rsidRPr="004A0EAC">
        <w:rPr>
          <w:iCs/>
          <w:sz w:val="24"/>
          <w:szCs w:val="24"/>
        </w:rPr>
        <w:t>(4 w każdej jednostce). W razie potrzeby w działania włączani są również pozostali inspektorzy.</w:t>
      </w:r>
    </w:p>
    <w:p w14:paraId="298E7A28" w14:textId="77777777" w:rsidR="004A0EAC" w:rsidRPr="004A0EAC" w:rsidRDefault="004A0EAC" w:rsidP="004A0EAC">
      <w:pPr>
        <w:spacing w:line="300" w:lineRule="atLeast"/>
        <w:contextualSpacing/>
        <w:jc w:val="both"/>
        <w:rPr>
          <w:rFonts w:ascii="Times New Roman" w:hAnsi="Times New Roman" w:cs="Times New Roman"/>
          <w:i/>
          <w:color w:val="4472C4"/>
          <w:sz w:val="24"/>
          <w:szCs w:val="24"/>
        </w:rPr>
      </w:pPr>
    </w:p>
    <w:p w14:paraId="59F12161" w14:textId="77777777" w:rsidR="004A0EAC" w:rsidRPr="004A0EAC" w:rsidRDefault="004A0EAC" w:rsidP="00C7781C">
      <w:pPr>
        <w:spacing w:after="60" w:line="300" w:lineRule="atLeast"/>
        <w:jc w:val="both"/>
        <w:rPr>
          <w:rFonts w:ascii="Times New Roman" w:hAnsi="Times New Roman" w:cs="Times New Roman"/>
          <w:i/>
          <w:color w:val="4472C4"/>
          <w:sz w:val="24"/>
          <w:szCs w:val="24"/>
        </w:rPr>
      </w:pPr>
      <w:r w:rsidRPr="004A0EAC">
        <w:rPr>
          <w:rFonts w:ascii="Times New Roman" w:hAnsi="Times New Roman" w:cs="Times New Roman"/>
          <w:i/>
          <w:color w:val="4472C4"/>
          <w:sz w:val="24"/>
          <w:szCs w:val="24"/>
        </w:rPr>
        <w:t>Wojewódzki Inspektorat Ochrony Środowiska w Gdańsku</w:t>
      </w:r>
    </w:p>
    <w:p w14:paraId="7267434B" w14:textId="77777777" w:rsidR="00C7781C" w:rsidRDefault="004A0EAC" w:rsidP="0061266E">
      <w:pPr>
        <w:autoSpaceDE w:val="0"/>
        <w:autoSpaceDN w:val="0"/>
        <w:adjustRightInd w:val="0"/>
        <w:spacing w:after="0" w:line="300" w:lineRule="atLeast"/>
        <w:ind w:firstLine="567"/>
        <w:jc w:val="both"/>
        <w:rPr>
          <w:rFonts w:ascii="Times New Roman" w:hAnsi="Times New Roman" w:cs="Times New Roman"/>
          <w:sz w:val="24"/>
          <w:szCs w:val="24"/>
        </w:rPr>
      </w:pPr>
      <w:r w:rsidRPr="004A0EAC">
        <w:rPr>
          <w:rFonts w:ascii="Times New Roman" w:hAnsi="Times New Roman" w:cs="Times New Roman"/>
          <w:sz w:val="24"/>
          <w:szCs w:val="24"/>
        </w:rPr>
        <w:t xml:space="preserve">W Wojewódzkim Inspektoracie Ochrony Środowiska w Gdańsku </w:t>
      </w:r>
      <w:r w:rsidR="00C7781C">
        <w:rPr>
          <w:rFonts w:ascii="Times New Roman" w:hAnsi="Times New Roman" w:cs="Times New Roman"/>
          <w:sz w:val="24"/>
          <w:szCs w:val="24"/>
        </w:rPr>
        <w:t>w dniu 0</w:t>
      </w:r>
      <w:r w:rsidRPr="004A0EAC">
        <w:rPr>
          <w:rFonts w:ascii="Times New Roman" w:hAnsi="Times New Roman" w:cs="Times New Roman"/>
          <w:sz w:val="24"/>
          <w:szCs w:val="24"/>
        </w:rPr>
        <w:t>3</w:t>
      </w:r>
      <w:r w:rsidR="00C7781C">
        <w:rPr>
          <w:rFonts w:ascii="Times New Roman" w:hAnsi="Times New Roman" w:cs="Times New Roman"/>
          <w:sz w:val="24"/>
          <w:szCs w:val="24"/>
        </w:rPr>
        <w:t>.02.</w:t>
      </w:r>
      <w:r w:rsidRPr="004A0EAC">
        <w:rPr>
          <w:rFonts w:ascii="Times New Roman" w:hAnsi="Times New Roman" w:cs="Times New Roman"/>
          <w:sz w:val="24"/>
          <w:szCs w:val="24"/>
        </w:rPr>
        <w:t>2021 r</w:t>
      </w:r>
      <w:r w:rsidR="00C7781C">
        <w:rPr>
          <w:rFonts w:ascii="Times New Roman" w:hAnsi="Times New Roman" w:cs="Times New Roman"/>
          <w:sz w:val="24"/>
          <w:szCs w:val="24"/>
        </w:rPr>
        <w:t>.</w:t>
      </w:r>
      <w:r w:rsidRPr="004A0EAC">
        <w:rPr>
          <w:rFonts w:ascii="Times New Roman" w:hAnsi="Times New Roman" w:cs="Times New Roman"/>
          <w:sz w:val="24"/>
          <w:szCs w:val="24"/>
        </w:rPr>
        <w:t xml:space="preserve"> została utworzona Grupa Interwencyjno-Wyjazdowa (GIW) funkcjonująca w strukturach Wydziału Inspekcji oraz Działu Inspekcji Delegatury w Słupsku. Grupa ta funkcjonowała do końca czerwca 2022 r. </w:t>
      </w:r>
    </w:p>
    <w:p w14:paraId="129A5FB5" w14:textId="1770DDF1" w:rsidR="004A0EAC" w:rsidRDefault="004A0EAC" w:rsidP="0061266E">
      <w:pPr>
        <w:autoSpaceDE w:val="0"/>
        <w:autoSpaceDN w:val="0"/>
        <w:adjustRightInd w:val="0"/>
        <w:spacing w:after="0" w:line="300" w:lineRule="atLeast"/>
        <w:ind w:firstLine="567"/>
        <w:jc w:val="both"/>
        <w:rPr>
          <w:rFonts w:ascii="Times New Roman" w:hAnsi="Times New Roman" w:cs="Times New Roman"/>
          <w:sz w:val="24"/>
          <w:szCs w:val="24"/>
        </w:rPr>
      </w:pPr>
      <w:r w:rsidRPr="004A0EAC">
        <w:rPr>
          <w:rFonts w:ascii="Times New Roman" w:hAnsi="Times New Roman" w:cs="Times New Roman"/>
          <w:sz w:val="24"/>
          <w:szCs w:val="24"/>
        </w:rPr>
        <w:t xml:space="preserve">Z dniem </w:t>
      </w:r>
      <w:r w:rsidR="00C7781C">
        <w:rPr>
          <w:rFonts w:ascii="Times New Roman" w:hAnsi="Times New Roman" w:cs="Times New Roman"/>
          <w:sz w:val="24"/>
          <w:szCs w:val="24"/>
        </w:rPr>
        <w:t>0</w:t>
      </w:r>
      <w:r w:rsidRPr="004A0EAC">
        <w:rPr>
          <w:rFonts w:ascii="Times New Roman" w:hAnsi="Times New Roman" w:cs="Times New Roman"/>
          <w:sz w:val="24"/>
          <w:szCs w:val="24"/>
        </w:rPr>
        <w:t>1</w:t>
      </w:r>
      <w:r w:rsidR="00C7781C">
        <w:rPr>
          <w:rFonts w:ascii="Times New Roman" w:hAnsi="Times New Roman" w:cs="Times New Roman"/>
          <w:sz w:val="24"/>
          <w:szCs w:val="24"/>
        </w:rPr>
        <w:t>.07.</w:t>
      </w:r>
      <w:r w:rsidRPr="004A0EAC">
        <w:rPr>
          <w:rFonts w:ascii="Times New Roman" w:hAnsi="Times New Roman" w:cs="Times New Roman"/>
          <w:sz w:val="24"/>
          <w:szCs w:val="24"/>
        </w:rPr>
        <w:t xml:space="preserve">2022 r. w struktury WIOŚ w Gdańsku został wprowadzony Wydział Zwalczania Przestępczości Środowiskowej (WZPŚ) oraz odpowiedni Dział Zwalczania Przestępczości Środowiskowej w Delegaturze w Słupsku (DZPŚ). Jednostkami tymi kierują odpowiednio Naczelnik WZPŚ oraz Kierownik Działu, którzy podlegają bezpośrednio odpowiednio Zastępcy Pomorskiego Wojewódzkiego Inspektora Ochrony Środowiska oraz Kierownikowi Delegatury. Pomiędzy WZPŚ i DZPŚ istnieje zależność merytoryczna, obejmująca w szczególności: formułowanie przez Naczelnika wytycznych dot. realizacji działań o zakresie międzywojewódzkim, dbanie o jednolitość metodyki zbierania danych na potrzeby sprawozdawcze, przekazywanie bieżących wskazań, co do stosowanych </w:t>
      </w:r>
      <w:r w:rsidR="00C7781C">
        <w:rPr>
          <w:rFonts w:ascii="Times New Roman" w:hAnsi="Times New Roman" w:cs="Times New Roman"/>
          <w:sz w:val="24"/>
          <w:szCs w:val="24"/>
        </w:rPr>
        <w:br/>
      </w:r>
      <w:r w:rsidRPr="004A0EAC">
        <w:rPr>
          <w:rFonts w:ascii="Times New Roman" w:hAnsi="Times New Roman" w:cs="Times New Roman"/>
          <w:sz w:val="24"/>
          <w:szCs w:val="24"/>
        </w:rPr>
        <w:t>w Inspektoracie procedur. Według stanu na dzień 31.12.2022 r. w skład WZPŚ wchodził</w:t>
      </w:r>
      <w:r w:rsidR="00C7781C">
        <w:rPr>
          <w:rFonts w:ascii="Times New Roman" w:hAnsi="Times New Roman" w:cs="Times New Roman"/>
          <w:sz w:val="24"/>
          <w:szCs w:val="24"/>
        </w:rPr>
        <w:t>o:</w:t>
      </w:r>
      <w:r w:rsidRPr="004A0EAC">
        <w:rPr>
          <w:rFonts w:ascii="Times New Roman" w:hAnsi="Times New Roman" w:cs="Times New Roman"/>
          <w:sz w:val="24"/>
          <w:szCs w:val="24"/>
        </w:rPr>
        <w:t xml:space="preserve"> 10 inspektorów (w tym 4 współtworzących wcześniej GIW), natomiast w DZPŚ – 5 inspektorów (w tym 5 współtworzących wcześniej GIW).</w:t>
      </w:r>
    </w:p>
    <w:p w14:paraId="1124F7E5" w14:textId="77777777" w:rsidR="00C7781C" w:rsidRDefault="00C7781C" w:rsidP="0061266E">
      <w:pPr>
        <w:autoSpaceDE w:val="0"/>
        <w:autoSpaceDN w:val="0"/>
        <w:adjustRightInd w:val="0"/>
        <w:spacing w:after="0" w:line="300" w:lineRule="atLeast"/>
        <w:ind w:firstLine="567"/>
        <w:jc w:val="both"/>
        <w:rPr>
          <w:rFonts w:ascii="Times New Roman" w:hAnsi="Times New Roman" w:cs="Times New Roman"/>
          <w:sz w:val="24"/>
          <w:szCs w:val="24"/>
        </w:rPr>
      </w:pPr>
    </w:p>
    <w:p w14:paraId="5584AF1F" w14:textId="6F2EF262" w:rsidR="004A0EAC" w:rsidRPr="004A0EAC" w:rsidRDefault="004A0EAC" w:rsidP="004A0EAC">
      <w:pPr>
        <w:spacing w:after="60" w:line="300" w:lineRule="atLeast"/>
        <w:jc w:val="both"/>
        <w:rPr>
          <w:rFonts w:ascii="Times New Roman" w:hAnsi="Times New Roman" w:cs="Times New Roman"/>
          <w:i/>
          <w:color w:val="4472C4"/>
          <w:sz w:val="24"/>
          <w:szCs w:val="24"/>
        </w:rPr>
      </w:pPr>
      <w:r w:rsidRPr="004A0EAC">
        <w:rPr>
          <w:rFonts w:ascii="Times New Roman" w:hAnsi="Times New Roman" w:cs="Times New Roman"/>
          <w:i/>
          <w:color w:val="4472C4"/>
          <w:sz w:val="24"/>
          <w:szCs w:val="24"/>
        </w:rPr>
        <w:t>Wojewódzki Inspektorat Ochrony Środowiska w Katowicach</w:t>
      </w:r>
    </w:p>
    <w:p w14:paraId="5E3F2AFA" w14:textId="437C1A84" w:rsidR="004A0EAC" w:rsidRPr="004A0EAC" w:rsidRDefault="004A0EAC" w:rsidP="00C7781C">
      <w:pPr>
        <w:spacing w:after="0" w:line="300" w:lineRule="atLeast"/>
        <w:ind w:firstLine="567"/>
        <w:jc w:val="both"/>
        <w:rPr>
          <w:rFonts w:ascii="Times New Roman" w:hAnsi="Times New Roman" w:cs="Times New Roman"/>
          <w:bCs/>
          <w:sz w:val="24"/>
          <w:szCs w:val="24"/>
        </w:rPr>
      </w:pPr>
      <w:r w:rsidRPr="004A0EAC">
        <w:rPr>
          <w:rFonts w:ascii="Times New Roman" w:hAnsi="Times New Roman" w:cs="Times New Roman"/>
          <w:bCs/>
          <w:sz w:val="24"/>
          <w:szCs w:val="24"/>
        </w:rPr>
        <w:t>Do 14</w:t>
      </w:r>
      <w:r w:rsidR="00C7781C">
        <w:rPr>
          <w:rFonts w:ascii="Times New Roman" w:hAnsi="Times New Roman" w:cs="Times New Roman"/>
          <w:bCs/>
          <w:sz w:val="24"/>
          <w:szCs w:val="24"/>
        </w:rPr>
        <w:t>.10.</w:t>
      </w:r>
      <w:r w:rsidRPr="004A0EAC">
        <w:rPr>
          <w:rFonts w:ascii="Times New Roman" w:hAnsi="Times New Roman" w:cs="Times New Roman"/>
          <w:bCs/>
          <w:sz w:val="24"/>
          <w:szCs w:val="24"/>
        </w:rPr>
        <w:t xml:space="preserve">2022 r. Wydziału Inspekcji WIOŚ w Katowicach funkcjonowała Grupa Interwencyjno-Wyjazdowa utworzona została w siedzibie Inspektoratu w Katowicach. W skład Grupy Interwencyjno-Wyjazdowej wchodziło 14 inspektorów, w tym trzech głównych specjalistów. Grupa pracowała systemie zmianowym przez 7 dni w tygodniu. Dodatkowo </w:t>
      </w:r>
      <w:r w:rsidR="00C7781C">
        <w:rPr>
          <w:rFonts w:ascii="Times New Roman" w:hAnsi="Times New Roman" w:cs="Times New Roman"/>
          <w:bCs/>
          <w:sz w:val="24"/>
          <w:szCs w:val="24"/>
        </w:rPr>
        <w:br/>
      </w:r>
      <w:r w:rsidRPr="004A0EAC">
        <w:rPr>
          <w:rFonts w:ascii="Times New Roman" w:hAnsi="Times New Roman" w:cs="Times New Roman"/>
          <w:bCs/>
          <w:sz w:val="24"/>
          <w:szCs w:val="24"/>
        </w:rPr>
        <w:t xml:space="preserve">w ramach potrzeb, w dni robocze, w godzinach pracy Inspektoratu tj. od 7.30 do 15.30, interwencje na terenie Delegatury w Bielsku-Białej i Częstochowie podejmowane były  przez wyznaczonych inspektorów tych jednostek. </w:t>
      </w:r>
    </w:p>
    <w:p w14:paraId="3B559404" w14:textId="67625C4E" w:rsidR="004A0EAC" w:rsidRPr="004A0EAC" w:rsidRDefault="004A0EAC" w:rsidP="00C7781C">
      <w:pPr>
        <w:spacing w:after="0" w:line="300" w:lineRule="atLeast"/>
        <w:ind w:firstLine="567"/>
        <w:jc w:val="both"/>
        <w:rPr>
          <w:rFonts w:ascii="Times New Roman" w:hAnsi="Times New Roman" w:cs="Times New Roman"/>
          <w:bCs/>
          <w:sz w:val="24"/>
          <w:szCs w:val="24"/>
        </w:rPr>
      </w:pPr>
      <w:r w:rsidRPr="004A0EAC">
        <w:rPr>
          <w:rFonts w:ascii="Times New Roman" w:hAnsi="Times New Roman" w:cs="Times New Roman"/>
          <w:bCs/>
          <w:sz w:val="24"/>
          <w:szCs w:val="24"/>
        </w:rPr>
        <w:t>Z dniem 15</w:t>
      </w:r>
      <w:r w:rsidR="00C7781C">
        <w:rPr>
          <w:rFonts w:ascii="Times New Roman" w:hAnsi="Times New Roman" w:cs="Times New Roman"/>
          <w:bCs/>
          <w:sz w:val="24"/>
          <w:szCs w:val="24"/>
        </w:rPr>
        <w:t>.10.</w:t>
      </w:r>
      <w:r w:rsidRPr="004A0EAC">
        <w:rPr>
          <w:rFonts w:ascii="Times New Roman" w:hAnsi="Times New Roman" w:cs="Times New Roman"/>
          <w:bCs/>
          <w:sz w:val="24"/>
          <w:szCs w:val="24"/>
        </w:rPr>
        <w:t xml:space="preserve">2022 r. w WIOŚ Katowice utworzony został Wydział Zwalczania Przestępczości Środowiskowej. W skład wydziału weszła dotychczasowa Grupa Interwencyjno-Wyjazdowa oraz utworzony został zespół inspektorów współpracujących </w:t>
      </w:r>
      <w:r w:rsidR="00C7781C">
        <w:rPr>
          <w:rFonts w:ascii="Times New Roman" w:hAnsi="Times New Roman" w:cs="Times New Roman"/>
          <w:bCs/>
          <w:sz w:val="24"/>
          <w:szCs w:val="24"/>
        </w:rPr>
        <w:br/>
      </w:r>
      <w:r w:rsidRPr="004A0EAC">
        <w:rPr>
          <w:rFonts w:ascii="Times New Roman" w:hAnsi="Times New Roman" w:cs="Times New Roman"/>
          <w:bCs/>
          <w:sz w:val="24"/>
          <w:szCs w:val="24"/>
        </w:rPr>
        <w:t>z organami ścigania oraz prokuraturą.</w:t>
      </w:r>
      <w:r w:rsidR="00C7781C">
        <w:rPr>
          <w:rFonts w:ascii="Times New Roman" w:hAnsi="Times New Roman" w:cs="Times New Roman"/>
          <w:bCs/>
          <w:sz w:val="24"/>
          <w:szCs w:val="24"/>
        </w:rPr>
        <w:t xml:space="preserve"> Obecnie </w:t>
      </w:r>
      <w:r w:rsidRPr="004A0EAC">
        <w:rPr>
          <w:rFonts w:ascii="Times New Roman" w:hAnsi="Times New Roman" w:cs="Times New Roman"/>
          <w:bCs/>
          <w:sz w:val="24"/>
          <w:szCs w:val="24"/>
        </w:rPr>
        <w:t>część Wydziału pracuje w systemie zmianowym przez 24 godziny 7 dni w tygodniu. Inspektorzy nie biorący udziału w zmianowym systemie pracują przez 8 godzin w systemie pracy dziennej. Wydział znajduje się w struktura</w:t>
      </w:r>
      <w:r w:rsidR="00C7781C">
        <w:rPr>
          <w:rFonts w:ascii="Times New Roman" w:hAnsi="Times New Roman" w:cs="Times New Roman"/>
          <w:bCs/>
          <w:sz w:val="24"/>
          <w:szCs w:val="24"/>
        </w:rPr>
        <w:t>ch</w:t>
      </w:r>
      <w:r w:rsidRPr="004A0EAC">
        <w:rPr>
          <w:rFonts w:ascii="Times New Roman" w:hAnsi="Times New Roman" w:cs="Times New Roman"/>
          <w:bCs/>
          <w:sz w:val="24"/>
          <w:szCs w:val="24"/>
        </w:rPr>
        <w:t xml:space="preserve"> </w:t>
      </w:r>
      <w:r w:rsidRPr="004A0EAC">
        <w:rPr>
          <w:rFonts w:ascii="Times New Roman" w:hAnsi="Times New Roman" w:cs="Times New Roman"/>
          <w:bCs/>
          <w:sz w:val="24"/>
          <w:szCs w:val="24"/>
        </w:rPr>
        <w:lastRenderedPageBreak/>
        <w:t>Inspektoratu w Katowicach.</w:t>
      </w:r>
      <w:r w:rsidR="00C7781C">
        <w:rPr>
          <w:rFonts w:ascii="Times New Roman" w:hAnsi="Times New Roman" w:cs="Times New Roman"/>
          <w:bCs/>
          <w:sz w:val="24"/>
          <w:szCs w:val="24"/>
        </w:rPr>
        <w:t xml:space="preserve"> W 2022 r., </w:t>
      </w:r>
      <w:r w:rsidRPr="004A0EAC">
        <w:rPr>
          <w:rFonts w:ascii="Times New Roman" w:hAnsi="Times New Roman" w:cs="Times New Roman"/>
          <w:bCs/>
          <w:sz w:val="24"/>
          <w:szCs w:val="24"/>
        </w:rPr>
        <w:t xml:space="preserve">w miarę potrzeb, w dni robocze, w godzinach pracy Inspektoratu tj. od 7.30 do 15.30, interwencje na terenie Delegatury w Bielsku-Białej </w:t>
      </w:r>
      <w:r w:rsidR="00C7781C">
        <w:rPr>
          <w:rFonts w:ascii="Times New Roman" w:hAnsi="Times New Roman" w:cs="Times New Roman"/>
          <w:bCs/>
          <w:sz w:val="24"/>
          <w:szCs w:val="24"/>
        </w:rPr>
        <w:br/>
      </w:r>
      <w:r w:rsidRPr="004A0EAC">
        <w:rPr>
          <w:rFonts w:ascii="Times New Roman" w:hAnsi="Times New Roman" w:cs="Times New Roman"/>
          <w:bCs/>
          <w:sz w:val="24"/>
          <w:szCs w:val="24"/>
        </w:rPr>
        <w:t xml:space="preserve">i Częstochowie podejmowane </w:t>
      </w:r>
      <w:r w:rsidR="00C7781C">
        <w:rPr>
          <w:rFonts w:ascii="Times New Roman" w:hAnsi="Times New Roman" w:cs="Times New Roman"/>
          <w:bCs/>
          <w:sz w:val="24"/>
          <w:szCs w:val="24"/>
        </w:rPr>
        <w:t xml:space="preserve">były </w:t>
      </w:r>
      <w:r w:rsidRPr="004A0EAC">
        <w:rPr>
          <w:rFonts w:ascii="Times New Roman" w:hAnsi="Times New Roman" w:cs="Times New Roman"/>
          <w:bCs/>
          <w:sz w:val="24"/>
          <w:szCs w:val="24"/>
        </w:rPr>
        <w:t>dodatkowo przez wyznaczonych inspektorów tych jednostek.</w:t>
      </w:r>
    </w:p>
    <w:p w14:paraId="5D1C2010" w14:textId="77777777" w:rsidR="004A0EAC" w:rsidRPr="004A0EAC" w:rsidRDefault="004A0EAC" w:rsidP="004A0EAC">
      <w:pPr>
        <w:spacing w:line="300" w:lineRule="atLeast"/>
        <w:contextualSpacing/>
        <w:jc w:val="both"/>
        <w:rPr>
          <w:rFonts w:ascii="Times New Roman" w:hAnsi="Times New Roman" w:cs="Times New Roman"/>
          <w:i/>
          <w:color w:val="4472C4"/>
          <w:sz w:val="24"/>
          <w:szCs w:val="24"/>
        </w:rPr>
      </w:pPr>
    </w:p>
    <w:p w14:paraId="1B06F203" w14:textId="77777777" w:rsidR="004A0EAC" w:rsidRPr="004A0EAC" w:rsidRDefault="004A0EAC" w:rsidP="00C7781C">
      <w:pPr>
        <w:spacing w:after="60" w:line="300" w:lineRule="atLeast"/>
        <w:jc w:val="both"/>
        <w:rPr>
          <w:rFonts w:ascii="Times New Roman" w:hAnsi="Times New Roman" w:cs="Times New Roman"/>
          <w:i/>
          <w:color w:val="4472C4"/>
          <w:sz w:val="24"/>
          <w:szCs w:val="24"/>
        </w:rPr>
      </w:pPr>
      <w:r w:rsidRPr="004A0EAC">
        <w:rPr>
          <w:rFonts w:ascii="Times New Roman" w:hAnsi="Times New Roman" w:cs="Times New Roman"/>
          <w:i/>
          <w:color w:val="4472C4"/>
          <w:sz w:val="24"/>
          <w:szCs w:val="24"/>
        </w:rPr>
        <w:t>Wojewódzki Inspektorat Ochrony Środowiska w Kielcach</w:t>
      </w:r>
    </w:p>
    <w:p w14:paraId="6AA3AD8D" w14:textId="77777777" w:rsidR="00C7781C" w:rsidRDefault="004A0EAC" w:rsidP="005F41C9">
      <w:pPr>
        <w:spacing w:after="0" w:line="300" w:lineRule="atLeast"/>
        <w:ind w:firstLine="567"/>
        <w:jc w:val="both"/>
        <w:rPr>
          <w:rFonts w:ascii="Times New Roman" w:hAnsi="Times New Roman" w:cs="Times New Roman"/>
          <w:sz w:val="24"/>
          <w:szCs w:val="24"/>
        </w:rPr>
      </w:pPr>
      <w:r w:rsidRPr="004A0EAC">
        <w:rPr>
          <w:rFonts w:ascii="Times New Roman" w:hAnsi="Times New Roman" w:cs="Times New Roman"/>
          <w:sz w:val="24"/>
          <w:szCs w:val="24"/>
        </w:rPr>
        <w:t xml:space="preserve">W Wojewódzkim Inspektoracie Ochrony Środowiska w Kielcach „grupę zadaniową dedykowaną przeciwdziałaniu i wykrywaniu przestępstw przeciwko środowisku” do 30.09.2022 r. tworzyli pracownicy Działu do Walki z Szarą Strefą w Wydziale Inspekcji. </w:t>
      </w:r>
    </w:p>
    <w:p w14:paraId="4B54C935" w14:textId="727FCE76" w:rsidR="004A0EAC" w:rsidRPr="004A0EAC" w:rsidRDefault="004A0EAC" w:rsidP="005F41C9">
      <w:pPr>
        <w:spacing w:after="0" w:line="300" w:lineRule="atLeast"/>
        <w:ind w:firstLine="567"/>
        <w:jc w:val="both"/>
        <w:rPr>
          <w:rFonts w:ascii="Times New Roman" w:hAnsi="Times New Roman" w:cs="Times New Roman"/>
          <w:sz w:val="24"/>
          <w:szCs w:val="24"/>
        </w:rPr>
      </w:pPr>
      <w:r w:rsidRPr="004A0EAC">
        <w:rPr>
          <w:rFonts w:ascii="Times New Roman" w:hAnsi="Times New Roman" w:cs="Times New Roman"/>
          <w:sz w:val="24"/>
          <w:szCs w:val="24"/>
        </w:rPr>
        <w:t>Z dniem 01.10.2022 r. został utworzony Wydział Zwalczania Przestępczości Środowiskowej (WZPŚ), w struktury którego zostali wcieleni wszyscy pracownicy dotychczasowego Działu do Walki z Szarą Strefą. W 2022 r. (stan na 31.12.2022 r.) w WZPŚ zatrudni</w:t>
      </w:r>
      <w:r w:rsidR="00C7781C">
        <w:rPr>
          <w:rFonts w:ascii="Times New Roman" w:hAnsi="Times New Roman" w:cs="Times New Roman"/>
          <w:sz w:val="24"/>
          <w:szCs w:val="24"/>
        </w:rPr>
        <w:t>eni</w:t>
      </w:r>
      <w:r w:rsidRPr="004A0EAC">
        <w:rPr>
          <w:rFonts w:ascii="Times New Roman" w:hAnsi="Times New Roman" w:cs="Times New Roman"/>
          <w:sz w:val="24"/>
          <w:szCs w:val="24"/>
        </w:rPr>
        <w:t xml:space="preserve"> by</w:t>
      </w:r>
      <w:r w:rsidR="00C7781C">
        <w:rPr>
          <w:rFonts w:ascii="Times New Roman" w:hAnsi="Times New Roman" w:cs="Times New Roman"/>
          <w:sz w:val="24"/>
          <w:szCs w:val="24"/>
        </w:rPr>
        <w:t>li</w:t>
      </w:r>
      <w:r w:rsidRPr="004A0EAC">
        <w:rPr>
          <w:rFonts w:ascii="Times New Roman" w:hAnsi="Times New Roman" w:cs="Times New Roman"/>
          <w:sz w:val="24"/>
          <w:szCs w:val="24"/>
        </w:rPr>
        <w:t xml:space="preserve">: Naczelnik, 4 inspektorów posiadających uprawnienia, 3 pracowników </w:t>
      </w:r>
      <w:r w:rsidR="00C7781C">
        <w:rPr>
          <w:rFonts w:ascii="Times New Roman" w:hAnsi="Times New Roman" w:cs="Times New Roman"/>
          <w:sz w:val="24"/>
          <w:szCs w:val="24"/>
        </w:rPr>
        <w:br/>
      </w:r>
      <w:r w:rsidRPr="004A0EAC">
        <w:rPr>
          <w:rFonts w:ascii="Times New Roman" w:hAnsi="Times New Roman" w:cs="Times New Roman"/>
          <w:sz w:val="24"/>
          <w:szCs w:val="24"/>
        </w:rPr>
        <w:t>w trakcie uzyskiwania uprawnień, 2 osoby na długoterminowych zwolnieniach lekarskich, zastępowane przez pracowników zatrudnionych na umowę o zastępstwo (bez uprawnień). Z wszystkich powyższych osób, 7 mogło podejmować działania w systemie 24 godzinnym przez 7 dni w tygodniu.</w:t>
      </w:r>
    </w:p>
    <w:p w14:paraId="0EB7D3B1" w14:textId="77777777" w:rsidR="004A0EAC" w:rsidRPr="004A0EAC" w:rsidRDefault="004A0EAC" w:rsidP="005F41C9">
      <w:pPr>
        <w:spacing w:after="0" w:line="300" w:lineRule="atLeast"/>
        <w:jc w:val="both"/>
        <w:rPr>
          <w:rFonts w:ascii="Times New Roman" w:hAnsi="Times New Roman" w:cs="Times New Roman"/>
          <w:i/>
          <w:color w:val="4472C4"/>
          <w:sz w:val="24"/>
          <w:szCs w:val="24"/>
        </w:rPr>
      </w:pPr>
    </w:p>
    <w:p w14:paraId="3D40F42F" w14:textId="77777777" w:rsidR="004A0EAC" w:rsidRPr="004A0EAC" w:rsidRDefault="004A0EAC" w:rsidP="00867537">
      <w:pPr>
        <w:spacing w:after="60" w:line="300" w:lineRule="atLeast"/>
        <w:jc w:val="both"/>
        <w:rPr>
          <w:rFonts w:ascii="Times New Roman" w:hAnsi="Times New Roman" w:cs="Times New Roman"/>
          <w:i/>
          <w:color w:val="4472C4"/>
          <w:sz w:val="24"/>
          <w:szCs w:val="24"/>
        </w:rPr>
      </w:pPr>
      <w:r w:rsidRPr="004A0EAC">
        <w:rPr>
          <w:rFonts w:ascii="Times New Roman" w:hAnsi="Times New Roman" w:cs="Times New Roman"/>
          <w:i/>
          <w:color w:val="4472C4"/>
          <w:sz w:val="24"/>
          <w:szCs w:val="24"/>
        </w:rPr>
        <w:t>Wojewódzki Inspektorat Ochrony Środowiska w Krakowie</w:t>
      </w:r>
    </w:p>
    <w:p w14:paraId="7FE48277" w14:textId="5DDAF9EC" w:rsidR="004A0EAC" w:rsidRPr="004A0EAC" w:rsidRDefault="004A0EAC" w:rsidP="004A0EAC">
      <w:pPr>
        <w:autoSpaceDE w:val="0"/>
        <w:autoSpaceDN w:val="0"/>
        <w:adjustRightInd w:val="0"/>
        <w:spacing w:line="300" w:lineRule="atLeast"/>
        <w:contextualSpacing/>
        <w:rPr>
          <w:rFonts w:ascii="Times New Roman" w:hAnsi="Times New Roman" w:cs="Times New Roman"/>
          <w:b/>
          <w:bCs/>
          <w:sz w:val="24"/>
          <w:szCs w:val="24"/>
        </w:rPr>
      </w:pPr>
      <w:r w:rsidRPr="004A0EAC">
        <w:rPr>
          <w:rFonts w:ascii="Times New Roman" w:hAnsi="Times New Roman" w:cs="Times New Roman"/>
          <w:sz w:val="24"/>
          <w:szCs w:val="24"/>
        </w:rPr>
        <w:t xml:space="preserve">Łączna </w:t>
      </w:r>
      <w:r w:rsidR="005F41C9">
        <w:rPr>
          <w:rFonts w:ascii="Times New Roman" w:hAnsi="Times New Roman" w:cs="Times New Roman"/>
          <w:sz w:val="24"/>
          <w:szCs w:val="24"/>
        </w:rPr>
        <w:t>liczba i</w:t>
      </w:r>
      <w:r w:rsidRPr="004A0EAC">
        <w:rPr>
          <w:rFonts w:ascii="Times New Roman" w:hAnsi="Times New Roman" w:cs="Times New Roman"/>
          <w:sz w:val="24"/>
          <w:szCs w:val="24"/>
        </w:rPr>
        <w:t xml:space="preserve">nspektorów: </w:t>
      </w:r>
      <w:r w:rsidRPr="004A0EAC">
        <w:rPr>
          <w:rFonts w:ascii="Times New Roman" w:hAnsi="Times New Roman" w:cs="Times New Roman"/>
          <w:b/>
          <w:bCs/>
          <w:sz w:val="24"/>
          <w:szCs w:val="24"/>
        </w:rPr>
        <w:t>16</w:t>
      </w:r>
    </w:p>
    <w:p w14:paraId="7C6E15CC" w14:textId="65AD80B2" w:rsidR="004A0EAC" w:rsidRPr="004A0EAC" w:rsidRDefault="005F41C9" w:rsidP="004A0EAC">
      <w:pPr>
        <w:autoSpaceDE w:val="0"/>
        <w:autoSpaceDN w:val="0"/>
        <w:adjustRightInd w:val="0"/>
        <w:spacing w:line="300" w:lineRule="atLeast"/>
        <w:contextualSpacing/>
        <w:rPr>
          <w:rFonts w:ascii="Times New Roman" w:hAnsi="Times New Roman" w:cs="Times New Roman"/>
          <w:b/>
          <w:bCs/>
          <w:sz w:val="24"/>
          <w:szCs w:val="24"/>
        </w:rPr>
      </w:pPr>
      <w:r>
        <w:rPr>
          <w:rFonts w:ascii="Times New Roman" w:hAnsi="Times New Roman" w:cs="Times New Roman"/>
          <w:sz w:val="24"/>
          <w:szCs w:val="24"/>
        </w:rPr>
        <w:t>Liczba i</w:t>
      </w:r>
      <w:r w:rsidR="004A0EAC" w:rsidRPr="004A0EAC">
        <w:rPr>
          <w:rFonts w:ascii="Times New Roman" w:hAnsi="Times New Roman" w:cs="Times New Roman"/>
          <w:sz w:val="24"/>
          <w:szCs w:val="24"/>
        </w:rPr>
        <w:t xml:space="preserve">nspektorów w Wydziale Inspekcji: </w:t>
      </w:r>
      <w:r w:rsidR="004A0EAC" w:rsidRPr="004A0EAC">
        <w:rPr>
          <w:rFonts w:ascii="Times New Roman" w:hAnsi="Times New Roman" w:cs="Times New Roman"/>
          <w:b/>
          <w:bCs/>
          <w:sz w:val="24"/>
          <w:szCs w:val="24"/>
        </w:rPr>
        <w:t>8</w:t>
      </w:r>
    </w:p>
    <w:p w14:paraId="26473C01" w14:textId="578D41C7" w:rsidR="004A0EAC" w:rsidRPr="004A0EAC" w:rsidRDefault="005F41C9" w:rsidP="004A0EAC">
      <w:pPr>
        <w:autoSpaceDE w:val="0"/>
        <w:autoSpaceDN w:val="0"/>
        <w:adjustRightInd w:val="0"/>
        <w:spacing w:line="300" w:lineRule="atLeast"/>
        <w:contextualSpacing/>
        <w:rPr>
          <w:rFonts w:ascii="Times New Roman" w:hAnsi="Times New Roman" w:cs="Times New Roman"/>
          <w:b/>
          <w:bCs/>
          <w:sz w:val="24"/>
          <w:szCs w:val="24"/>
        </w:rPr>
      </w:pPr>
      <w:r>
        <w:rPr>
          <w:rFonts w:ascii="Times New Roman" w:hAnsi="Times New Roman" w:cs="Times New Roman"/>
          <w:sz w:val="24"/>
          <w:szCs w:val="24"/>
        </w:rPr>
        <w:t>Liczba i</w:t>
      </w:r>
      <w:r w:rsidR="004A0EAC" w:rsidRPr="004A0EAC">
        <w:rPr>
          <w:rFonts w:ascii="Times New Roman" w:hAnsi="Times New Roman" w:cs="Times New Roman"/>
          <w:sz w:val="24"/>
          <w:szCs w:val="24"/>
        </w:rPr>
        <w:t xml:space="preserve">nspektorów w Delegaturze w Tarnowie: </w:t>
      </w:r>
      <w:r w:rsidR="004A0EAC" w:rsidRPr="004A0EAC">
        <w:rPr>
          <w:rFonts w:ascii="Times New Roman" w:hAnsi="Times New Roman" w:cs="Times New Roman"/>
          <w:b/>
          <w:bCs/>
          <w:sz w:val="24"/>
          <w:szCs w:val="24"/>
        </w:rPr>
        <w:t>4</w:t>
      </w:r>
    </w:p>
    <w:p w14:paraId="15D5C6CF" w14:textId="2EFCA451" w:rsidR="004A0EAC" w:rsidRPr="004A0EAC" w:rsidRDefault="005F41C9" w:rsidP="004A0EAC">
      <w:pPr>
        <w:spacing w:line="300" w:lineRule="atLeast"/>
        <w:contextualSpacing/>
        <w:jc w:val="both"/>
        <w:rPr>
          <w:rFonts w:ascii="Times New Roman" w:hAnsi="Times New Roman" w:cs="Times New Roman"/>
          <w:b/>
          <w:bCs/>
          <w:sz w:val="24"/>
          <w:szCs w:val="24"/>
        </w:rPr>
      </w:pPr>
      <w:r>
        <w:rPr>
          <w:rFonts w:ascii="Times New Roman" w:hAnsi="Times New Roman" w:cs="Times New Roman"/>
          <w:sz w:val="24"/>
          <w:szCs w:val="24"/>
        </w:rPr>
        <w:t>Liczba i</w:t>
      </w:r>
      <w:r w:rsidR="004A0EAC" w:rsidRPr="004A0EAC">
        <w:rPr>
          <w:rFonts w:ascii="Times New Roman" w:hAnsi="Times New Roman" w:cs="Times New Roman"/>
          <w:sz w:val="24"/>
          <w:szCs w:val="24"/>
        </w:rPr>
        <w:t xml:space="preserve">nspektorów w Delegaturze w Nowym Sączu: </w:t>
      </w:r>
      <w:r w:rsidR="004A0EAC" w:rsidRPr="004A0EAC">
        <w:rPr>
          <w:rFonts w:ascii="Times New Roman" w:hAnsi="Times New Roman" w:cs="Times New Roman"/>
          <w:b/>
          <w:bCs/>
          <w:sz w:val="24"/>
          <w:szCs w:val="24"/>
        </w:rPr>
        <w:t>4</w:t>
      </w:r>
    </w:p>
    <w:p w14:paraId="4538C1E0" w14:textId="77777777" w:rsidR="004A0EAC" w:rsidRPr="004A0EAC" w:rsidRDefault="004A0EAC" w:rsidP="004A0EAC">
      <w:pPr>
        <w:spacing w:line="300" w:lineRule="atLeast"/>
        <w:contextualSpacing/>
        <w:jc w:val="both"/>
        <w:rPr>
          <w:rFonts w:ascii="Times New Roman" w:hAnsi="Times New Roman" w:cs="Times New Roman"/>
          <w:i/>
          <w:color w:val="4472C4"/>
          <w:sz w:val="24"/>
          <w:szCs w:val="24"/>
        </w:rPr>
      </w:pPr>
    </w:p>
    <w:p w14:paraId="2D727D93" w14:textId="77777777" w:rsidR="004A0EAC" w:rsidRPr="004A0EAC" w:rsidRDefault="004A0EAC" w:rsidP="00867537">
      <w:pPr>
        <w:spacing w:after="60" w:line="300" w:lineRule="atLeast"/>
        <w:jc w:val="both"/>
        <w:rPr>
          <w:rFonts w:ascii="Times New Roman" w:hAnsi="Times New Roman" w:cs="Times New Roman"/>
          <w:i/>
          <w:color w:val="4472C4"/>
          <w:sz w:val="24"/>
          <w:szCs w:val="24"/>
        </w:rPr>
      </w:pPr>
      <w:r w:rsidRPr="004A0EAC">
        <w:rPr>
          <w:rFonts w:ascii="Times New Roman" w:hAnsi="Times New Roman" w:cs="Times New Roman"/>
          <w:i/>
          <w:color w:val="4472C4"/>
          <w:sz w:val="24"/>
          <w:szCs w:val="24"/>
        </w:rPr>
        <w:t>Wojewódzki Inspektorat Ochrony Środowiska w Lublinie</w:t>
      </w:r>
    </w:p>
    <w:p w14:paraId="1C484A05" w14:textId="3E4BF4F1" w:rsidR="004A0EAC" w:rsidRPr="004A0EAC" w:rsidRDefault="004A0EAC" w:rsidP="005F41C9">
      <w:pPr>
        <w:pStyle w:val="Akapitzlist"/>
        <w:spacing w:line="300" w:lineRule="atLeast"/>
        <w:ind w:left="0" w:firstLine="708"/>
        <w:jc w:val="both"/>
        <w:rPr>
          <w:sz w:val="24"/>
          <w:szCs w:val="24"/>
        </w:rPr>
      </w:pPr>
      <w:r w:rsidRPr="004A0EAC">
        <w:rPr>
          <w:sz w:val="24"/>
          <w:szCs w:val="24"/>
        </w:rPr>
        <w:t>W WIOŚ w Lublinie utworzona została grupa zadaniowa</w:t>
      </w:r>
      <w:r w:rsidR="005F41C9">
        <w:rPr>
          <w:sz w:val="24"/>
          <w:szCs w:val="24"/>
          <w:lang w:val="pl-PL"/>
        </w:rPr>
        <w:t>,</w:t>
      </w:r>
      <w:r w:rsidRPr="004A0EAC">
        <w:rPr>
          <w:sz w:val="24"/>
          <w:szCs w:val="24"/>
        </w:rPr>
        <w:t xml:space="preserve"> w skład której wchodzi 11 inspektorów (5 inspektorów w WIOŚ Lublin i po 2 inspektorów w Delegaturach).</w:t>
      </w:r>
    </w:p>
    <w:p w14:paraId="73FF9788" w14:textId="77777777" w:rsidR="00867537" w:rsidRPr="004A0EAC" w:rsidRDefault="00867537" w:rsidP="004A0EAC">
      <w:pPr>
        <w:spacing w:line="300" w:lineRule="atLeast"/>
        <w:contextualSpacing/>
        <w:jc w:val="both"/>
        <w:rPr>
          <w:rFonts w:ascii="Times New Roman" w:hAnsi="Times New Roman" w:cs="Times New Roman"/>
          <w:i/>
          <w:color w:val="4472C4"/>
          <w:sz w:val="24"/>
          <w:szCs w:val="24"/>
        </w:rPr>
      </w:pPr>
    </w:p>
    <w:p w14:paraId="38D55FE2" w14:textId="77777777" w:rsidR="004A0EAC" w:rsidRPr="004A0EAC" w:rsidRDefault="004A0EAC" w:rsidP="005F41C9">
      <w:pPr>
        <w:spacing w:after="60" w:line="300" w:lineRule="atLeast"/>
        <w:jc w:val="both"/>
        <w:rPr>
          <w:rFonts w:ascii="Times New Roman" w:hAnsi="Times New Roman" w:cs="Times New Roman"/>
          <w:i/>
          <w:color w:val="4472C4"/>
          <w:sz w:val="24"/>
          <w:szCs w:val="24"/>
        </w:rPr>
      </w:pPr>
      <w:r w:rsidRPr="004A0EAC">
        <w:rPr>
          <w:rFonts w:ascii="Times New Roman" w:hAnsi="Times New Roman" w:cs="Times New Roman"/>
          <w:i/>
          <w:color w:val="4472C4"/>
          <w:sz w:val="24"/>
          <w:szCs w:val="24"/>
        </w:rPr>
        <w:t>Wojewódzki Inspektorat Ochrony Środowiska w Łodzi</w:t>
      </w:r>
    </w:p>
    <w:p w14:paraId="6CCC2E33" w14:textId="61E3168D" w:rsidR="004A0EAC" w:rsidRPr="004A0EAC" w:rsidRDefault="004A0EAC" w:rsidP="005F41C9">
      <w:pPr>
        <w:pStyle w:val="Akapitzlist"/>
        <w:spacing w:line="300" w:lineRule="atLeast"/>
        <w:ind w:left="0" w:firstLine="567"/>
        <w:jc w:val="both"/>
        <w:rPr>
          <w:sz w:val="24"/>
          <w:szCs w:val="24"/>
        </w:rPr>
      </w:pPr>
      <w:r w:rsidRPr="004A0EAC">
        <w:rPr>
          <w:sz w:val="24"/>
          <w:szCs w:val="24"/>
        </w:rPr>
        <w:t>W skład grupy zadaniowej w WIOŚ w Łodzi wchodzi 9 inspektorów</w:t>
      </w:r>
      <w:r w:rsidR="005F41C9">
        <w:rPr>
          <w:sz w:val="24"/>
          <w:szCs w:val="24"/>
          <w:lang w:val="pl-PL"/>
        </w:rPr>
        <w:t>:</w:t>
      </w:r>
      <w:r w:rsidRPr="004A0EAC">
        <w:rPr>
          <w:sz w:val="24"/>
          <w:szCs w:val="24"/>
        </w:rPr>
        <w:t xml:space="preserve"> </w:t>
      </w:r>
      <w:r w:rsidR="005F41C9">
        <w:rPr>
          <w:sz w:val="24"/>
          <w:szCs w:val="24"/>
          <w:lang w:val="pl-PL"/>
        </w:rPr>
        <w:t>p</w:t>
      </w:r>
      <w:r w:rsidRPr="004A0EAC">
        <w:rPr>
          <w:sz w:val="24"/>
          <w:szCs w:val="24"/>
        </w:rPr>
        <w:t xml:space="preserve">o dwóch </w:t>
      </w:r>
      <w:r w:rsidR="005F41C9">
        <w:rPr>
          <w:sz w:val="24"/>
          <w:szCs w:val="24"/>
        </w:rPr>
        <w:br/>
      </w:r>
      <w:r w:rsidRPr="004A0EAC">
        <w:rPr>
          <w:sz w:val="24"/>
          <w:szCs w:val="24"/>
        </w:rPr>
        <w:t>w trzech delegaturach – w Sieradzu, Skierniewicach i Piotrkowie Trybunalskim oraz trzy osoby</w:t>
      </w:r>
      <w:r w:rsidR="005F41C9">
        <w:rPr>
          <w:sz w:val="24"/>
          <w:szCs w:val="24"/>
          <w:lang w:val="pl-PL"/>
        </w:rPr>
        <w:t>,</w:t>
      </w:r>
      <w:r w:rsidRPr="004A0EAC">
        <w:rPr>
          <w:sz w:val="24"/>
          <w:szCs w:val="24"/>
        </w:rPr>
        <w:t xml:space="preserve"> wliczając koordynatora grupy w siedzibie WIOŚ w Łodzi. </w:t>
      </w:r>
    </w:p>
    <w:p w14:paraId="7DBF6FAE" w14:textId="1C07EF11" w:rsidR="004A0EAC" w:rsidRPr="004A0EAC" w:rsidRDefault="004A0EAC" w:rsidP="005F41C9">
      <w:pPr>
        <w:pStyle w:val="Akapitzlist"/>
        <w:spacing w:line="300" w:lineRule="atLeast"/>
        <w:ind w:left="0" w:firstLine="567"/>
        <w:jc w:val="both"/>
        <w:rPr>
          <w:sz w:val="24"/>
          <w:szCs w:val="24"/>
        </w:rPr>
      </w:pPr>
      <w:r w:rsidRPr="004A0EAC">
        <w:rPr>
          <w:sz w:val="24"/>
          <w:szCs w:val="24"/>
        </w:rPr>
        <w:t>Działalność grupy opiera się jednak w głównej mierze na kadrze złożonej z trzech inspektorów zatrudnionych w siedzibie WIOŚ w Łodzi, którzy podejmują największą liczbę działań we współpracy z innymi służbami.</w:t>
      </w:r>
      <w:r w:rsidR="005F41C9">
        <w:rPr>
          <w:sz w:val="24"/>
          <w:szCs w:val="24"/>
          <w:lang w:val="pl-PL"/>
        </w:rPr>
        <w:t xml:space="preserve"> </w:t>
      </w:r>
      <w:r w:rsidRPr="004A0EAC">
        <w:rPr>
          <w:sz w:val="24"/>
          <w:szCs w:val="24"/>
        </w:rPr>
        <w:t xml:space="preserve">Osoby wybrane do grupy to inspektorzy posiadający dużą wiedzę i doświadczenie z zakresu gospodarki odpadami oraz kilkuletni staż pracy </w:t>
      </w:r>
      <w:r w:rsidR="005F41C9">
        <w:rPr>
          <w:sz w:val="24"/>
          <w:szCs w:val="24"/>
        </w:rPr>
        <w:br/>
      </w:r>
      <w:r w:rsidRPr="004A0EAC">
        <w:rPr>
          <w:sz w:val="24"/>
          <w:szCs w:val="24"/>
        </w:rPr>
        <w:t>w wydziale inspekcji. Należy tu zaznaczyć, że osoby te wykonują kontrole w pełnym zakresie oraz wynikające z tego działania pokontrolne. Zadania ww. grupy inspektorów nie ograniczają się wyłącznie do czynności w grupie.</w:t>
      </w:r>
    </w:p>
    <w:p w14:paraId="342C67EA" w14:textId="77777777" w:rsidR="004A0EAC" w:rsidRPr="004A0EAC" w:rsidRDefault="004A0EAC" w:rsidP="004A0EAC">
      <w:pPr>
        <w:spacing w:line="300" w:lineRule="atLeast"/>
        <w:contextualSpacing/>
        <w:jc w:val="both"/>
        <w:rPr>
          <w:rFonts w:ascii="Times New Roman" w:hAnsi="Times New Roman" w:cs="Times New Roman"/>
          <w:i/>
          <w:sz w:val="24"/>
          <w:szCs w:val="24"/>
        </w:rPr>
      </w:pPr>
    </w:p>
    <w:p w14:paraId="269B3FAC" w14:textId="77777777" w:rsidR="004A0EAC" w:rsidRPr="004A0EAC" w:rsidRDefault="004A0EAC" w:rsidP="005F41C9">
      <w:pPr>
        <w:spacing w:after="60" w:line="300" w:lineRule="atLeast"/>
        <w:jc w:val="both"/>
        <w:rPr>
          <w:rFonts w:ascii="Times New Roman" w:hAnsi="Times New Roman" w:cs="Times New Roman"/>
          <w:i/>
          <w:color w:val="4472C4"/>
          <w:sz w:val="24"/>
          <w:szCs w:val="24"/>
        </w:rPr>
      </w:pPr>
      <w:r w:rsidRPr="004A0EAC">
        <w:rPr>
          <w:rFonts w:ascii="Times New Roman" w:hAnsi="Times New Roman" w:cs="Times New Roman"/>
          <w:i/>
          <w:color w:val="4472C4"/>
          <w:sz w:val="24"/>
          <w:szCs w:val="24"/>
        </w:rPr>
        <w:t>Wojewódzki Inspektorat Ochrony Środowiska w Olsztynie</w:t>
      </w:r>
    </w:p>
    <w:p w14:paraId="2CE65DC9" w14:textId="53CC7420" w:rsidR="004A0EAC" w:rsidRPr="004A0EAC" w:rsidRDefault="004A0EAC" w:rsidP="00F34026">
      <w:pPr>
        <w:pStyle w:val="Akapitzlist"/>
        <w:spacing w:line="300" w:lineRule="atLeast"/>
        <w:ind w:left="0" w:firstLine="567"/>
        <w:contextualSpacing w:val="0"/>
        <w:jc w:val="both"/>
        <w:rPr>
          <w:sz w:val="24"/>
          <w:szCs w:val="24"/>
        </w:rPr>
      </w:pPr>
      <w:r w:rsidRPr="004A0EAC">
        <w:rPr>
          <w:sz w:val="24"/>
          <w:szCs w:val="24"/>
        </w:rPr>
        <w:t xml:space="preserve">W skład grupy zadaniowej wchodzi 11 inspektorów, w tym 4 osoby w Delegaturze </w:t>
      </w:r>
      <w:r w:rsidR="005F41C9">
        <w:rPr>
          <w:sz w:val="24"/>
          <w:szCs w:val="24"/>
        </w:rPr>
        <w:br/>
      </w:r>
      <w:r w:rsidRPr="004A0EAC">
        <w:rPr>
          <w:sz w:val="24"/>
          <w:szCs w:val="24"/>
        </w:rPr>
        <w:t>w Elblągu, 4 osoby w Delegaturze w Giżycku i 3 osoby w Olsztynie.</w:t>
      </w:r>
    </w:p>
    <w:p w14:paraId="1CA8B99E" w14:textId="77777777" w:rsidR="004A0EAC" w:rsidRPr="004A0EAC" w:rsidRDefault="004A0EAC" w:rsidP="004A0EAC">
      <w:pPr>
        <w:spacing w:line="300" w:lineRule="atLeast"/>
        <w:contextualSpacing/>
        <w:jc w:val="both"/>
        <w:rPr>
          <w:rFonts w:ascii="Times New Roman" w:hAnsi="Times New Roman" w:cs="Times New Roman"/>
          <w:i/>
          <w:color w:val="4472C4"/>
          <w:sz w:val="24"/>
          <w:szCs w:val="24"/>
        </w:rPr>
      </w:pPr>
    </w:p>
    <w:p w14:paraId="0FE5B4D3" w14:textId="77777777" w:rsidR="004A0EAC" w:rsidRPr="004A0EAC" w:rsidRDefault="004A0EAC" w:rsidP="005F41C9">
      <w:pPr>
        <w:spacing w:after="60" w:line="300" w:lineRule="atLeast"/>
        <w:jc w:val="both"/>
        <w:rPr>
          <w:rFonts w:ascii="Times New Roman" w:hAnsi="Times New Roman" w:cs="Times New Roman"/>
          <w:i/>
          <w:color w:val="4472C4"/>
          <w:sz w:val="24"/>
          <w:szCs w:val="24"/>
        </w:rPr>
      </w:pPr>
      <w:r w:rsidRPr="004A0EAC">
        <w:rPr>
          <w:rFonts w:ascii="Times New Roman" w:hAnsi="Times New Roman" w:cs="Times New Roman"/>
          <w:i/>
          <w:color w:val="4472C4"/>
          <w:sz w:val="24"/>
          <w:szCs w:val="24"/>
        </w:rPr>
        <w:t>Wojewódzki Inspektorat Ochrony Środowiska w Opolu</w:t>
      </w:r>
    </w:p>
    <w:p w14:paraId="7A56AEA2" w14:textId="53FCC0FA" w:rsidR="004A0EAC" w:rsidRPr="004A0EAC" w:rsidRDefault="004A0EAC" w:rsidP="00F34026">
      <w:pPr>
        <w:pStyle w:val="Akapitzlist"/>
        <w:spacing w:line="300" w:lineRule="atLeast"/>
        <w:ind w:left="0" w:firstLine="567"/>
        <w:jc w:val="both"/>
        <w:rPr>
          <w:iCs/>
          <w:sz w:val="24"/>
          <w:szCs w:val="24"/>
        </w:rPr>
      </w:pPr>
      <w:r w:rsidRPr="004A0EAC">
        <w:rPr>
          <w:iCs/>
          <w:sz w:val="24"/>
          <w:szCs w:val="24"/>
        </w:rPr>
        <w:lastRenderedPageBreak/>
        <w:t>W 2021 r. w Wojewódzkim Inspektoracie Ochrony Środowiska w Opolu utworzono grupę zadaniową w celu przeciwdziałania i wykrywania przestępstw i wykroczeń przeciwko środowisku. W skład utworzonej grupy wchodziło dwóch wyznaczonych przez O</w:t>
      </w:r>
      <w:r w:rsidR="005F41C9">
        <w:rPr>
          <w:iCs/>
          <w:sz w:val="24"/>
          <w:szCs w:val="24"/>
          <w:lang w:val="pl-PL"/>
        </w:rPr>
        <w:t xml:space="preserve">polskiego </w:t>
      </w:r>
      <w:r w:rsidRPr="004A0EAC">
        <w:rPr>
          <w:iCs/>
          <w:sz w:val="24"/>
          <w:szCs w:val="24"/>
        </w:rPr>
        <w:t xml:space="preserve">WIOŚ inspektorów oraz koordynator grupy. Wszyscy pracownicy wchodzący w skład grupy zatrudnieni byli w Wydziale Inspekcji na stanowiskach inspektorów. Z dniem </w:t>
      </w:r>
      <w:r w:rsidR="005F41C9">
        <w:rPr>
          <w:iCs/>
          <w:sz w:val="24"/>
          <w:szCs w:val="24"/>
          <w:lang w:val="pl-PL"/>
        </w:rPr>
        <w:t>0</w:t>
      </w:r>
      <w:r w:rsidRPr="004A0EAC">
        <w:rPr>
          <w:iCs/>
          <w:sz w:val="24"/>
          <w:szCs w:val="24"/>
        </w:rPr>
        <w:t>1</w:t>
      </w:r>
      <w:r w:rsidR="005F41C9">
        <w:rPr>
          <w:iCs/>
          <w:sz w:val="24"/>
          <w:szCs w:val="24"/>
          <w:lang w:val="pl-PL"/>
        </w:rPr>
        <w:t>.12.</w:t>
      </w:r>
      <w:r w:rsidRPr="004A0EAC">
        <w:rPr>
          <w:iCs/>
          <w:sz w:val="24"/>
          <w:szCs w:val="24"/>
        </w:rPr>
        <w:t>2022</w:t>
      </w:r>
      <w:r w:rsidR="005F41C9">
        <w:rPr>
          <w:iCs/>
          <w:sz w:val="24"/>
          <w:szCs w:val="24"/>
          <w:lang w:val="pl-PL"/>
        </w:rPr>
        <w:t xml:space="preserve"> </w:t>
      </w:r>
      <w:r w:rsidRPr="004A0EAC">
        <w:rPr>
          <w:iCs/>
          <w:sz w:val="24"/>
          <w:szCs w:val="24"/>
        </w:rPr>
        <w:t xml:space="preserve">r. </w:t>
      </w:r>
      <w:r w:rsidR="005F41C9">
        <w:rPr>
          <w:iCs/>
          <w:sz w:val="24"/>
          <w:szCs w:val="24"/>
        </w:rPr>
        <w:br/>
      </w:r>
      <w:r w:rsidRPr="004A0EAC">
        <w:rPr>
          <w:iCs/>
          <w:sz w:val="24"/>
          <w:szCs w:val="24"/>
        </w:rPr>
        <w:t>w</w:t>
      </w:r>
      <w:r w:rsidRPr="004A0EAC">
        <w:rPr>
          <w:sz w:val="24"/>
          <w:szCs w:val="24"/>
        </w:rPr>
        <w:t xml:space="preserve"> </w:t>
      </w:r>
      <w:r w:rsidRPr="004A0EAC">
        <w:rPr>
          <w:iCs/>
          <w:sz w:val="24"/>
          <w:szCs w:val="24"/>
        </w:rPr>
        <w:t>WIOŚ w Opolu powstał Wydział Zwalczania Przestępczości Środowiskowej</w:t>
      </w:r>
      <w:r w:rsidR="00F34026">
        <w:rPr>
          <w:iCs/>
          <w:sz w:val="24"/>
          <w:szCs w:val="24"/>
          <w:lang w:val="pl-PL"/>
        </w:rPr>
        <w:t>, w</w:t>
      </w:r>
      <w:r w:rsidRPr="004A0EAC">
        <w:rPr>
          <w:iCs/>
          <w:sz w:val="24"/>
          <w:szCs w:val="24"/>
        </w:rPr>
        <w:t xml:space="preserve"> skład </w:t>
      </w:r>
      <w:r w:rsidR="00F34026">
        <w:rPr>
          <w:iCs/>
          <w:sz w:val="24"/>
          <w:szCs w:val="24"/>
          <w:lang w:val="pl-PL"/>
        </w:rPr>
        <w:t xml:space="preserve">którego </w:t>
      </w:r>
      <w:r w:rsidRPr="004A0EAC">
        <w:rPr>
          <w:iCs/>
          <w:sz w:val="24"/>
          <w:szCs w:val="24"/>
        </w:rPr>
        <w:t>włączeni zostali Inspektorzy działający w ramach Grupy Interwencyjno-Wyjazdowej oraz Naczelnik Wydziału.</w:t>
      </w:r>
    </w:p>
    <w:p w14:paraId="6A766E97" w14:textId="77777777" w:rsidR="004A0EAC" w:rsidRPr="004A0EAC" w:rsidRDefault="004A0EAC" w:rsidP="004A0EAC">
      <w:pPr>
        <w:spacing w:line="300" w:lineRule="atLeast"/>
        <w:contextualSpacing/>
        <w:jc w:val="both"/>
        <w:rPr>
          <w:rFonts w:ascii="Times New Roman" w:hAnsi="Times New Roman" w:cs="Times New Roman"/>
          <w:i/>
          <w:color w:val="4472C4"/>
          <w:sz w:val="24"/>
          <w:szCs w:val="24"/>
        </w:rPr>
      </w:pPr>
    </w:p>
    <w:p w14:paraId="5C7D8CDE" w14:textId="77777777" w:rsidR="004A0EAC" w:rsidRPr="004A0EAC" w:rsidRDefault="004A0EAC" w:rsidP="00F34026">
      <w:pPr>
        <w:spacing w:after="60" w:line="300" w:lineRule="atLeast"/>
        <w:jc w:val="both"/>
        <w:rPr>
          <w:rFonts w:ascii="Times New Roman" w:hAnsi="Times New Roman" w:cs="Times New Roman"/>
          <w:i/>
          <w:color w:val="4472C4"/>
          <w:sz w:val="24"/>
          <w:szCs w:val="24"/>
        </w:rPr>
      </w:pPr>
      <w:r w:rsidRPr="004A0EAC">
        <w:rPr>
          <w:rFonts w:ascii="Times New Roman" w:hAnsi="Times New Roman" w:cs="Times New Roman"/>
          <w:i/>
          <w:color w:val="4472C4"/>
          <w:sz w:val="24"/>
          <w:szCs w:val="24"/>
        </w:rPr>
        <w:t>Wojewódzki Inspektorat Ochrony Środowiska w Poznaniu</w:t>
      </w:r>
    </w:p>
    <w:p w14:paraId="4A97E3DB" w14:textId="1C46DB9F" w:rsidR="004A0EAC" w:rsidRPr="004A0EAC" w:rsidRDefault="004A0EAC" w:rsidP="00F34026">
      <w:pPr>
        <w:pStyle w:val="Akapitzlist"/>
        <w:spacing w:line="300" w:lineRule="atLeast"/>
        <w:ind w:left="0" w:firstLine="567"/>
        <w:jc w:val="both"/>
        <w:rPr>
          <w:sz w:val="24"/>
          <w:szCs w:val="24"/>
        </w:rPr>
      </w:pPr>
      <w:r w:rsidRPr="004A0EAC">
        <w:rPr>
          <w:sz w:val="24"/>
          <w:szCs w:val="24"/>
        </w:rPr>
        <w:t>W skład grup zadaniowych wchodzi łącznie 14 inspektorów, z czego:</w:t>
      </w:r>
      <w:r w:rsidR="00F34026">
        <w:rPr>
          <w:sz w:val="24"/>
          <w:szCs w:val="24"/>
          <w:lang w:val="pl-PL"/>
        </w:rPr>
        <w:t xml:space="preserve"> 2 osoby zatrudnieni były w </w:t>
      </w:r>
      <w:r w:rsidRPr="004A0EAC">
        <w:rPr>
          <w:sz w:val="24"/>
          <w:szCs w:val="24"/>
        </w:rPr>
        <w:t>Wydzia</w:t>
      </w:r>
      <w:r w:rsidR="00F34026">
        <w:rPr>
          <w:sz w:val="24"/>
          <w:szCs w:val="24"/>
          <w:lang w:val="pl-PL"/>
        </w:rPr>
        <w:t>le</w:t>
      </w:r>
      <w:r w:rsidRPr="004A0EAC">
        <w:rPr>
          <w:sz w:val="24"/>
          <w:szCs w:val="24"/>
        </w:rPr>
        <w:t xml:space="preserve"> Inspekcji WIOŚ w Poznaniu</w:t>
      </w:r>
      <w:r w:rsidR="00F34026">
        <w:rPr>
          <w:sz w:val="24"/>
          <w:szCs w:val="24"/>
          <w:lang w:val="pl-PL"/>
        </w:rPr>
        <w:t xml:space="preserve"> oraz po 3 osoby w </w:t>
      </w:r>
      <w:r w:rsidRPr="004A0EAC">
        <w:rPr>
          <w:sz w:val="24"/>
          <w:szCs w:val="24"/>
        </w:rPr>
        <w:t>Delegatur</w:t>
      </w:r>
      <w:r w:rsidR="00F34026">
        <w:rPr>
          <w:sz w:val="24"/>
          <w:szCs w:val="24"/>
          <w:lang w:val="pl-PL"/>
        </w:rPr>
        <w:t>ze</w:t>
      </w:r>
      <w:r w:rsidRPr="004A0EAC">
        <w:rPr>
          <w:sz w:val="24"/>
          <w:szCs w:val="24"/>
        </w:rPr>
        <w:t xml:space="preserve"> </w:t>
      </w:r>
      <w:r w:rsidR="00F34026">
        <w:rPr>
          <w:sz w:val="24"/>
          <w:szCs w:val="24"/>
        </w:rPr>
        <w:br/>
      </w:r>
      <w:r w:rsidRPr="004A0EAC">
        <w:rPr>
          <w:sz w:val="24"/>
          <w:szCs w:val="24"/>
        </w:rPr>
        <w:t>w Kaliszu,</w:t>
      </w:r>
      <w:r w:rsidR="00F34026">
        <w:rPr>
          <w:sz w:val="24"/>
          <w:szCs w:val="24"/>
          <w:lang w:val="pl-PL"/>
        </w:rPr>
        <w:t xml:space="preserve"> </w:t>
      </w:r>
      <w:r w:rsidRPr="004A0EAC">
        <w:rPr>
          <w:sz w:val="24"/>
          <w:szCs w:val="24"/>
        </w:rPr>
        <w:t>Delegatur</w:t>
      </w:r>
      <w:r w:rsidR="00F34026">
        <w:rPr>
          <w:sz w:val="24"/>
          <w:szCs w:val="24"/>
          <w:lang w:val="pl-PL"/>
        </w:rPr>
        <w:t>ze</w:t>
      </w:r>
      <w:r w:rsidRPr="004A0EAC">
        <w:rPr>
          <w:sz w:val="24"/>
          <w:szCs w:val="24"/>
        </w:rPr>
        <w:t xml:space="preserve"> w Koninie,</w:t>
      </w:r>
      <w:r w:rsidR="00F34026">
        <w:rPr>
          <w:sz w:val="24"/>
          <w:szCs w:val="24"/>
          <w:lang w:val="pl-PL"/>
        </w:rPr>
        <w:t xml:space="preserve"> </w:t>
      </w:r>
      <w:r w:rsidRPr="004A0EAC">
        <w:rPr>
          <w:sz w:val="24"/>
          <w:szCs w:val="24"/>
        </w:rPr>
        <w:t>Delegatur</w:t>
      </w:r>
      <w:r w:rsidR="00F34026">
        <w:rPr>
          <w:sz w:val="24"/>
          <w:szCs w:val="24"/>
          <w:lang w:val="pl-PL"/>
        </w:rPr>
        <w:t xml:space="preserve">ze </w:t>
      </w:r>
      <w:r w:rsidRPr="004A0EAC">
        <w:rPr>
          <w:sz w:val="24"/>
          <w:szCs w:val="24"/>
        </w:rPr>
        <w:t>w Pile</w:t>
      </w:r>
      <w:r w:rsidR="00F34026">
        <w:rPr>
          <w:sz w:val="24"/>
          <w:szCs w:val="24"/>
          <w:lang w:val="pl-PL"/>
        </w:rPr>
        <w:t xml:space="preserve"> i </w:t>
      </w:r>
      <w:r w:rsidRPr="004A0EAC">
        <w:rPr>
          <w:sz w:val="24"/>
          <w:szCs w:val="24"/>
        </w:rPr>
        <w:t>Delegatur</w:t>
      </w:r>
      <w:r w:rsidR="00F34026">
        <w:rPr>
          <w:sz w:val="24"/>
          <w:szCs w:val="24"/>
          <w:lang w:val="pl-PL"/>
        </w:rPr>
        <w:t>ze</w:t>
      </w:r>
      <w:r w:rsidRPr="004A0EAC">
        <w:rPr>
          <w:sz w:val="24"/>
          <w:szCs w:val="24"/>
        </w:rPr>
        <w:t xml:space="preserve"> w Lesznie.</w:t>
      </w:r>
    </w:p>
    <w:p w14:paraId="50E52C22" w14:textId="77777777" w:rsidR="004A0EAC" w:rsidRPr="004A0EAC" w:rsidRDefault="004A0EAC" w:rsidP="00F34026">
      <w:pPr>
        <w:pStyle w:val="Akapitzlist"/>
        <w:spacing w:line="300" w:lineRule="atLeast"/>
        <w:ind w:left="0" w:firstLine="567"/>
        <w:jc w:val="both"/>
        <w:rPr>
          <w:sz w:val="24"/>
          <w:szCs w:val="24"/>
        </w:rPr>
      </w:pPr>
      <w:r w:rsidRPr="004A0EAC">
        <w:rPr>
          <w:sz w:val="24"/>
          <w:szCs w:val="24"/>
        </w:rPr>
        <w:t>Dodatkowo od 01.07.2022 r. 6 osób tworzy Wydział Zwalczania Przestępczości Środowiskowej.</w:t>
      </w:r>
    </w:p>
    <w:p w14:paraId="02DAFEC1" w14:textId="77777777" w:rsidR="004A0EAC" w:rsidRPr="004A0EAC" w:rsidRDefault="004A0EAC" w:rsidP="004A0EAC">
      <w:pPr>
        <w:spacing w:line="300" w:lineRule="atLeast"/>
        <w:contextualSpacing/>
        <w:jc w:val="both"/>
        <w:rPr>
          <w:rFonts w:ascii="Times New Roman" w:hAnsi="Times New Roman" w:cs="Times New Roman"/>
          <w:i/>
          <w:color w:val="4472C4"/>
          <w:sz w:val="24"/>
          <w:szCs w:val="24"/>
        </w:rPr>
      </w:pPr>
    </w:p>
    <w:p w14:paraId="266BE2E5" w14:textId="77777777" w:rsidR="004A0EAC" w:rsidRPr="004A0EAC" w:rsidRDefault="004A0EAC" w:rsidP="00867537">
      <w:pPr>
        <w:spacing w:after="60" w:line="300" w:lineRule="atLeast"/>
        <w:jc w:val="both"/>
        <w:rPr>
          <w:rFonts w:ascii="Times New Roman" w:hAnsi="Times New Roman" w:cs="Times New Roman"/>
          <w:i/>
          <w:color w:val="4472C4"/>
          <w:sz w:val="24"/>
          <w:szCs w:val="24"/>
        </w:rPr>
      </w:pPr>
      <w:r w:rsidRPr="004A0EAC">
        <w:rPr>
          <w:rFonts w:ascii="Times New Roman" w:hAnsi="Times New Roman" w:cs="Times New Roman"/>
          <w:i/>
          <w:color w:val="4472C4"/>
          <w:sz w:val="24"/>
          <w:szCs w:val="24"/>
        </w:rPr>
        <w:t>Wojewódzki Inspektorat Ochrony Środowiska w Rzeszowie</w:t>
      </w:r>
    </w:p>
    <w:p w14:paraId="13EC2830" w14:textId="77777777" w:rsidR="004A0EAC" w:rsidRPr="004A0EAC" w:rsidRDefault="004A0EAC" w:rsidP="00F34026">
      <w:pPr>
        <w:pStyle w:val="Akapitzlist"/>
        <w:spacing w:line="300" w:lineRule="atLeast"/>
        <w:ind w:left="0" w:firstLine="567"/>
        <w:jc w:val="both"/>
        <w:rPr>
          <w:sz w:val="24"/>
          <w:szCs w:val="24"/>
        </w:rPr>
      </w:pPr>
      <w:r w:rsidRPr="004A0EAC">
        <w:rPr>
          <w:sz w:val="24"/>
          <w:szCs w:val="24"/>
        </w:rPr>
        <w:t>Wg stanu na dzień 31.12.2022 r. w skład Zespołów wchodziło łącznie 11 inspektorów. W ramach Grupy wyodrębnione zostały 4 Zespoły Interwencyjno-Wyjazdowe:</w:t>
      </w:r>
    </w:p>
    <w:p w14:paraId="65CE7E5F" w14:textId="77777777" w:rsidR="004A0EAC" w:rsidRPr="004A0EAC" w:rsidRDefault="004A0EAC" w:rsidP="00D34F97">
      <w:pPr>
        <w:pStyle w:val="Akapitzlist"/>
        <w:numPr>
          <w:ilvl w:val="0"/>
          <w:numId w:val="216"/>
        </w:numPr>
        <w:spacing w:line="300" w:lineRule="atLeast"/>
        <w:jc w:val="both"/>
        <w:rPr>
          <w:sz w:val="24"/>
          <w:szCs w:val="24"/>
        </w:rPr>
      </w:pPr>
      <w:r w:rsidRPr="004A0EAC">
        <w:rPr>
          <w:sz w:val="24"/>
          <w:szCs w:val="24"/>
        </w:rPr>
        <w:t>WIOŚ Delegatura Jasło - 3 inspektorów,</w:t>
      </w:r>
    </w:p>
    <w:p w14:paraId="3DD2E08C" w14:textId="77777777" w:rsidR="004A0EAC" w:rsidRPr="004A0EAC" w:rsidRDefault="004A0EAC" w:rsidP="00D34F97">
      <w:pPr>
        <w:pStyle w:val="Akapitzlist"/>
        <w:numPr>
          <w:ilvl w:val="0"/>
          <w:numId w:val="216"/>
        </w:numPr>
        <w:spacing w:line="300" w:lineRule="atLeast"/>
        <w:jc w:val="both"/>
        <w:rPr>
          <w:sz w:val="24"/>
          <w:szCs w:val="24"/>
        </w:rPr>
      </w:pPr>
      <w:r w:rsidRPr="004A0EAC">
        <w:rPr>
          <w:sz w:val="24"/>
          <w:szCs w:val="24"/>
        </w:rPr>
        <w:t>WIOŚ Delegatura Tarnobrzeg - 3 inspektorów,</w:t>
      </w:r>
    </w:p>
    <w:p w14:paraId="5DFD3320" w14:textId="77777777" w:rsidR="004A0EAC" w:rsidRPr="004A0EAC" w:rsidRDefault="004A0EAC" w:rsidP="00D34F97">
      <w:pPr>
        <w:pStyle w:val="Akapitzlist"/>
        <w:numPr>
          <w:ilvl w:val="0"/>
          <w:numId w:val="216"/>
        </w:numPr>
        <w:spacing w:line="300" w:lineRule="atLeast"/>
        <w:jc w:val="both"/>
        <w:rPr>
          <w:sz w:val="24"/>
          <w:szCs w:val="24"/>
        </w:rPr>
      </w:pPr>
      <w:r w:rsidRPr="004A0EAC">
        <w:rPr>
          <w:sz w:val="24"/>
          <w:szCs w:val="24"/>
        </w:rPr>
        <w:t>WIOŚ Delegatura Przemyśl - 2 inspektorów,</w:t>
      </w:r>
    </w:p>
    <w:p w14:paraId="559F2B6A" w14:textId="77777777" w:rsidR="004A0EAC" w:rsidRPr="004A0EAC" w:rsidRDefault="004A0EAC" w:rsidP="00D34F97">
      <w:pPr>
        <w:pStyle w:val="Akapitzlist"/>
        <w:numPr>
          <w:ilvl w:val="0"/>
          <w:numId w:val="216"/>
        </w:numPr>
        <w:spacing w:line="300" w:lineRule="atLeast"/>
        <w:jc w:val="both"/>
        <w:rPr>
          <w:sz w:val="24"/>
          <w:szCs w:val="24"/>
        </w:rPr>
      </w:pPr>
      <w:r w:rsidRPr="004A0EAC">
        <w:rPr>
          <w:sz w:val="24"/>
          <w:szCs w:val="24"/>
        </w:rPr>
        <w:t>WIOŚ Rzeszów - 3 inspektorów.</w:t>
      </w:r>
    </w:p>
    <w:p w14:paraId="565164B6" w14:textId="77777777" w:rsidR="004A0EAC" w:rsidRPr="004A0EAC" w:rsidRDefault="004A0EAC" w:rsidP="004A0EAC">
      <w:pPr>
        <w:spacing w:line="300" w:lineRule="atLeast"/>
        <w:contextualSpacing/>
        <w:jc w:val="both"/>
        <w:rPr>
          <w:rFonts w:ascii="Times New Roman" w:hAnsi="Times New Roman" w:cs="Times New Roman"/>
          <w:i/>
          <w:color w:val="4472C4"/>
          <w:sz w:val="24"/>
          <w:szCs w:val="24"/>
        </w:rPr>
      </w:pPr>
    </w:p>
    <w:p w14:paraId="0B9186D7" w14:textId="77777777" w:rsidR="004A0EAC" w:rsidRPr="004A0EAC" w:rsidRDefault="004A0EAC" w:rsidP="00867537">
      <w:pPr>
        <w:spacing w:after="60" w:line="300" w:lineRule="atLeast"/>
        <w:jc w:val="both"/>
        <w:rPr>
          <w:rFonts w:ascii="Times New Roman" w:hAnsi="Times New Roman" w:cs="Times New Roman"/>
          <w:i/>
          <w:color w:val="4472C4"/>
          <w:sz w:val="24"/>
          <w:szCs w:val="24"/>
        </w:rPr>
      </w:pPr>
      <w:r w:rsidRPr="004A0EAC">
        <w:rPr>
          <w:rFonts w:ascii="Times New Roman" w:hAnsi="Times New Roman" w:cs="Times New Roman"/>
          <w:i/>
          <w:color w:val="4472C4"/>
          <w:sz w:val="24"/>
          <w:szCs w:val="24"/>
        </w:rPr>
        <w:t>Wojewódzki Inspektorat Ochrony Środowiska w Szczecinie</w:t>
      </w:r>
    </w:p>
    <w:p w14:paraId="68EEAF15" w14:textId="6E513950" w:rsidR="004A0EAC" w:rsidRPr="004A0EAC" w:rsidRDefault="00F34026" w:rsidP="00F34026">
      <w:pPr>
        <w:autoSpaceDE w:val="0"/>
        <w:autoSpaceDN w:val="0"/>
        <w:adjustRightInd w:val="0"/>
        <w:spacing w:after="0" w:line="300" w:lineRule="atLeast"/>
        <w:ind w:firstLine="567"/>
        <w:jc w:val="both"/>
        <w:rPr>
          <w:rFonts w:ascii="Times New Roman" w:hAnsi="Times New Roman" w:cs="Times New Roman"/>
          <w:sz w:val="24"/>
          <w:szCs w:val="24"/>
        </w:rPr>
      </w:pPr>
      <w:r>
        <w:rPr>
          <w:rFonts w:ascii="Times New Roman" w:hAnsi="Times New Roman" w:cs="Times New Roman"/>
          <w:sz w:val="24"/>
          <w:szCs w:val="24"/>
        </w:rPr>
        <w:t xml:space="preserve">W </w:t>
      </w:r>
      <w:r w:rsidR="004A0EAC" w:rsidRPr="004A0EAC">
        <w:rPr>
          <w:rFonts w:ascii="Times New Roman" w:hAnsi="Times New Roman" w:cs="Times New Roman"/>
          <w:sz w:val="24"/>
          <w:szCs w:val="24"/>
        </w:rPr>
        <w:t xml:space="preserve">ramach Wydziału Inspekcji została utworzona Grupa </w:t>
      </w:r>
      <w:proofErr w:type="spellStart"/>
      <w:r w:rsidR="004A0EAC" w:rsidRPr="004A0EAC">
        <w:rPr>
          <w:rFonts w:ascii="Times New Roman" w:hAnsi="Times New Roman" w:cs="Times New Roman"/>
          <w:sz w:val="24"/>
          <w:szCs w:val="24"/>
        </w:rPr>
        <w:t>Interwencyjno</w:t>
      </w:r>
      <w:proofErr w:type="spellEnd"/>
      <w:r w:rsidR="004A0EAC" w:rsidRPr="004A0EAC">
        <w:rPr>
          <w:rFonts w:ascii="Times New Roman" w:hAnsi="Times New Roman" w:cs="Times New Roman"/>
          <w:sz w:val="24"/>
          <w:szCs w:val="24"/>
        </w:rPr>
        <w:t xml:space="preserve">–Wyjazdowa (GIW), której zadania szczegółowo opisano odrębnym zarządzeniem Zachodniopomorskiego WIOŚ. Godziny pracy inspektorów w roku 2022 zostały opracowane w oparciu o analizę liczby i rodzajów zgłoszeń wpływających do Inspektoratu. Zmodyfikowano system pracy GIW w ten sposób, że praca zmianowa odbywała się w godzinach 6.00 – 22.00, 7 dni w tygodniu, natomiast w porze nocnej prowadzone były dyżury telefoniczne, z możliwością podjęcia działań w terenie w uzasadnionych przypadkach. Grupa wchodziła w skład Wydziału Inspekcji, jednakże </w:t>
      </w:r>
      <w:r w:rsidR="00F13EDA">
        <w:rPr>
          <w:rFonts w:ascii="Times New Roman" w:hAnsi="Times New Roman" w:cs="Times New Roman"/>
          <w:sz w:val="24"/>
          <w:szCs w:val="24"/>
        </w:rPr>
        <w:br/>
      </w:r>
      <w:r w:rsidR="004A0EAC" w:rsidRPr="004A0EAC">
        <w:rPr>
          <w:rFonts w:ascii="Times New Roman" w:hAnsi="Times New Roman" w:cs="Times New Roman"/>
          <w:sz w:val="24"/>
          <w:szCs w:val="24"/>
        </w:rPr>
        <w:t xml:space="preserve">w uzasadnionych przypadkach wykonywała także zadania z terenu Delegatury WIOŚ </w:t>
      </w:r>
      <w:r w:rsidR="00F13EDA">
        <w:rPr>
          <w:rFonts w:ascii="Times New Roman" w:hAnsi="Times New Roman" w:cs="Times New Roman"/>
          <w:sz w:val="24"/>
          <w:szCs w:val="24"/>
        </w:rPr>
        <w:br/>
      </w:r>
      <w:r w:rsidR="004A0EAC" w:rsidRPr="004A0EAC">
        <w:rPr>
          <w:rFonts w:ascii="Times New Roman" w:hAnsi="Times New Roman" w:cs="Times New Roman"/>
          <w:sz w:val="24"/>
          <w:szCs w:val="24"/>
        </w:rPr>
        <w:t xml:space="preserve">w Koszalinie. </w:t>
      </w:r>
    </w:p>
    <w:p w14:paraId="27BFB5B0" w14:textId="36A37445" w:rsidR="004A0EAC" w:rsidRPr="004A0EAC" w:rsidRDefault="00F34026" w:rsidP="00E6191A">
      <w:pPr>
        <w:autoSpaceDE w:val="0"/>
        <w:autoSpaceDN w:val="0"/>
        <w:adjustRightInd w:val="0"/>
        <w:spacing w:after="0" w:line="300" w:lineRule="atLeast"/>
        <w:ind w:firstLine="567"/>
        <w:jc w:val="both"/>
        <w:rPr>
          <w:rFonts w:ascii="Times New Roman" w:hAnsi="Times New Roman" w:cs="Times New Roman"/>
          <w:sz w:val="24"/>
          <w:szCs w:val="24"/>
        </w:rPr>
      </w:pPr>
      <w:r>
        <w:rPr>
          <w:rFonts w:ascii="Times New Roman" w:hAnsi="Times New Roman" w:cs="Times New Roman"/>
          <w:sz w:val="24"/>
          <w:szCs w:val="24"/>
        </w:rPr>
        <w:t xml:space="preserve">Z dniem </w:t>
      </w:r>
      <w:r w:rsidR="004A0EAC" w:rsidRPr="004A0EAC">
        <w:rPr>
          <w:rFonts w:ascii="Times New Roman" w:hAnsi="Times New Roman" w:cs="Times New Roman"/>
          <w:sz w:val="24"/>
          <w:szCs w:val="24"/>
        </w:rPr>
        <w:t>28</w:t>
      </w:r>
      <w:r>
        <w:rPr>
          <w:rFonts w:ascii="Times New Roman" w:hAnsi="Times New Roman" w:cs="Times New Roman"/>
          <w:sz w:val="24"/>
          <w:szCs w:val="24"/>
        </w:rPr>
        <w:t>.11.</w:t>
      </w:r>
      <w:r w:rsidR="004A0EAC" w:rsidRPr="004A0EAC">
        <w:rPr>
          <w:rFonts w:ascii="Times New Roman" w:hAnsi="Times New Roman" w:cs="Times New Roman"/>
          <w:sz w:val="24"/>
          <w:szCs w:val="24"/>
        </w:rPr>
        <w:t xml:space="preserve">2022 r. w strukturze WIOŚ Szczecin został utworzony Wydział Zwalczania Przestępczości Środowiskowej, w którego skład weszła część inspektorów z GIW. Na koniec 2022 r. w skład Wydziału wchodziło 8 inspektorów wykonujących pracę w siedzibie WIOŚ położonej w Szczecinie. W Wojewódzkim Inspektoracie Ochrony Środowiska </w:t>
      </w:r>
      <w:r>
        <w:rPr>
          <w:rFonts w:ascii="Times New Roman" w:hAnsi="Times New Roman" w:cs="Times New Roman"/>
          <w:sz w:val="24"/>
          <w:szCs w:val="24"/>
        </w:rPr>
        <w:br/>
      </w:r>
      <w:r w:rsidR="004A0EAC" w:rsidRPr="004A0EAC">
        <w:rPr>
          <w:rFonts w:ascii="Times New Roman" w:hAnsi="Times New Roman" w:cs="Times New Roman"/>
          <w:sz w:val="24"/>
          <w:szCs w:val="24"/>
        </w:rPr>
        <w:t xml:space="preserve">w Szczecinie Delegaturze w Koszalinie nie tworzono odrębnej grupy zadaniowej do spraw zwalczania przestępczości środowiskowej. W okresie sprawozdawczym na obszarze Delegatury przedmiotowe zadania realizowali inspektorzy zatrudnieni w Dziale Inspekcji. </w:t>
      </w:r>
      <w:r>
        <w:rPr>
          <w:rFonts w:ascii="Times New Roman" w:hAnsi="Times New Roman" w:cs="Times New Roman"/>
          <w:sz w:val="24"/>
          <w:szCs w:val="24"/>
        </w:rPr>
        <w:br/>
      </w:r>
      <w:r w:rsidR="004A0EAC" w:rsidRPr="004A0EAC">
        <w:rPr>
          <w:rFonts w:ascii="Times New Roman" w:hAnsi="Times New Roman" w:cs="Times New Roman"/>
          <w:sz w:val="24"/>
          <w:szCs w:val="24"/>
        </w:rPr>
        <w:t xml:space="preserve">W 2022 r. w Wojewódzkim Inspektoracie Ochrony Środowiska w Szczecinie Delegaturze </w:t>
      </w:r>
      <w:r>
        <w:rPr>
          <w:rFonts w:ascii="Times New Roman" w:hAnsi="Times New Roman" w:cs="Times New Roman"/>
          <w:sz w:val="24"/>
          <w:szCs w:val="24"/>
        </w:rPr>
        <w:br/>
      </w:r>
      <w:r w:rsidR="004A0EAC" w:rsidRPr="004A0EAC">
        <w:rPr>
          <w:rFonts w:ascii="Times New Roman" w:hAnsi="Times New Roman" w:cs="Times New Roman"/>
          <w:sz w:val="24"/>
          <w:szCs w:val="24"/>
        </w:rPr>
        <w:t xml:space="preserve">w Koszalinie inspektorzy Działu Inspekcji pełnili dyżur w dni powszednie, w godz. 16.00 – 22.00 oraz w wyznaczonych terminach, zgodnie z ustalonym harmonogramem, dyżury nocne od godziny 22.00 do </w:t>
      </w:r>
      <w:r w:rsidR="006F5CCB">
        <w:rPr>
          <w:rFonts w:ascii="Times New Roman" w:hAnsi="Times New Roman" w:cs="Times New Roman"/>
          <w:sz w:val="24"/>
          <w:szCs w:val="24"/>
        </w:rPr>
        <w:t>6</w:t>
      </w:r>
      <w:r w:rsidR="004A0EAC" w:rsidRPr="004A0EAC">
        <w:rPr>
          <w:rFonts w:ascii="Times New Roman" w:hAnsi="Times New Roman" w:cs="Times New Roman"/>
          <w:sz w:val="24"/>
          <w:szCs w:val="24"/>
        </w:rPr>
        <w:t>.00 rano.</w:t>
      </w:r>
    </w:p>
    <w:p w14:paraId="00A9DA7D" w14:textId="77777777" w:rsidR="004A0EAC" w:rsidRPr="004A0EAC" w:rsidRDefault="004A0EAC" w:rsidP="004A0EAC">
      <w:pPr>
        <w:spacing w:line="300" w:lineRule="atLeast"/>
        <w:contextualSpacing/>
        <w:jc w:val="both"/>
        <w:rPr>
          <w:rFonts w:ascii="Times New Roman" w:hAnsi="Times New Roman" w:cs="Times New Roman"/>
          <w:i/>
          <w:color w:val="4472C4"/>
          <w:sz w:val="24"/>
          <w:szCs w:val="24"/>
        </w:rPr>
      </w:pPr>
    </w:p>
    <w:p w14:paraId="2E5C173F" w14:textId="6F36CD98" w:rsidR="004A0EAC" w:rsidRPr="004A0EAC" w:rsidRDefault="004A0EAC" w:rsidP="00867537">
      <w:pPr>
        <w:spacing w:after="60" w:line="300" w:lineRule="atLeast"/>
        <w:jc w:val="both"/>
        <w:rPr>
          <w:rFonts w:ascii="Times New Roman" w:hAnsi="Times New Roman" w:cs="Times New Roman"/>
          <w:i/>
          <w:color w:val="4472C4"/>
          <w:sz w:val="24"/>
          <w:szCs w:val="24"/>
        </w:rPr>
      </w:pPr>
      <w:r w:rsidRPr="004A0EAC">
        <w:rPr>
          <w:rFonts w:ascii="Times New Roman" w:hAnsi="Times New Roman" w:cs="Times New Roman"/>
          <w:i/>
          <w:color w:val="4472C4"/>
          <w:sz w:val="24"/>
          <w:szCs w:val="24"/>
        </w:rPr>
        <w:lastRenderedPageBreak/>
        <w:t>Wojewódzki Inspektorat Ochrony Środowiska w Warszawie</w:t>
      </w:r>
    </w:p>
    <w:p w14:paraId="1DF49D99" w14:textId="56DA2110" w:rsidR="004A0EAC" w:rsidRPr="004A0EAC" w:rsidRDefault="00F34026" w:rsidP="00867537">
      <w:pPr>
        <w:spacing w:after="60" w:line="300" w:lineRule="atLeast"/>
        <w:ind w:firstLine="567"/>
        <w:jc w:val="both"/>
        <w:rPr>
          <w:rFonts w:ascii="Times New Roman" w:hAnsi="Times New Roman" w:cs="Times New Roman"/>
          <w:sz w:val="24"/>
          <w:szCs w:val="24"/>
        </w:rPr>
      </w:pPr>
      <w:r>
        <w:rPr>
          <w:rFonts w:ascii="Times New Roman" w:hAnsi="Times New Roman" w:cs="Times New Roman"/>
          <w:sz w:val="24"/>
          <w:szCs w:val="24"/>
        </w:rPr>
        <w:t>W roku 2020</w:t>
      </w:r>
      <w:r w:rsidR="004A0EAC" w:rsidRPr="004A0EAC">
        <w:rPr>
          <w:rFonts w:ascii="Times New Roman" w:hAnsi="Times New Roman" w:cs="Times New Roman"/>
          <w:sz w:val="24"/>
          <w:szCs w:val="24"/>
        </w:rPr>
        <w:t xml:space="preserve"> </w:t>
      </w:r>
      <w:r w:rsidR="00E6191A">
        <w:rPr>
          <w:rFonts w:ascii="Times New Roman" w:hAnsi="Times New Roman" w:cs="Times New Roman"/>
          <w:sz w:val="24"/>
          <w:szCs w:val="24"/>
        </w:rPr>
        <w:t xml:space="preserve">w </w:t>
      </w:r>
      <w:r w:rsidR="004A0EAC" w:rsidRPr="004A0EAC">
        <w:rPr>
          <w:rFonts w:ascii="Times New Roman" w:hAnsi="Times New Roman" w:cs="Times New Roman"/>
          <w:sz w:val="24"/>
          <w:szCs w:val="24"/>
        </w:rPr>
        <w:t>Wojewódzkim Inspektoracie Ochrony Środowiska w Warszawie utworzona została Grupa Interwencyjno-Wyjazdowa będąc</w:t>
      </w:r>
      <w:r w:rsidR="00E6191A">
        <w:rPr>
          <w:rFonts w:ascii="Times New Roman" w:hAnsi="Times New Roman" w:cs="Times New Roman"/>
          <w:sz w:val="24"/>
          <w:szCs w:val="24"/>
        </w:rPr>
        <w:t>a</w:t>
      </w:r>
      <w:r w:rsidR="004A0EAC" w:rsidRPr="004A0EAC">
        <w:rPr>
          <w:rFonts w:ascii="Times New Roman" w:hAnsi="Times New Roman" w:cs="Times New Roman"/>
          <w:sz w:val="24"/>
          <w:szCs w:val="24"/>
        </w:rPr>
        <w:t xml:space="preserve"> grupą o charakterze zadaniowym, która wykonuje czynności zmierzające do ujawniania i eliminowania przestępstw i wykroczeń przeciwko środowisku</w:t>
      </w:r>
      <w:r w:rsidR="00E6191A">
        <w:rPr>
          <w:rFonts w:ascii="Times New Roman" w:hAnsi="Times New Roman" w:cs="Times New Roman"/>
          <w:sz w:val="24"/>
          <w:szCs w:val="24"/>
        </w:rPr>
        <w:t xml:space="preserve">. </w:t>
      </w:r>
    </w:p>
    <w:p w14:paraId="3059E6FE" w14:textId="77777777" w:rsidR="004A0EAC" w:rsidRPr="004A0EAC" w:rsidRDefault="004A0EAC" w:rsidP="004A0EAC">
      <w:pPr>
        <w:spacing w:line="300" w:lineRule="atLeast"/>
        <w:ind w:firstLine="360"/>
        <w:contextualSpacing/>
        <w:jc w:val="both"/>
        <w:rPr>
          <w:rFonts w:ascii="Times New Roman" w:hAnsi="Times New Roman" w:cs="Times New Roman"/>
          <w:sz w:val="24"/>
          <w:szCs w:val="24"/>
        </w:rPr>
      </w:pPr>
      <w:r w:rsidRPr="004A0EAC">
        <w:rPr>
          <w:rFonts w:ascii="Times New Roman" w:hAnsi="Times New Roman" w:cs="Times New Roman"/>
          <w:sz w:val="24"/>
          <w:szCs w:val="24"/>
        </w:rPr>
        <w:t>W skład Grupy wchodzą pracownicy zatrudnienia na stanowiskach interwencyjnych. W ramach Grupy wyodrębnia się Zespoły Interwencyjno-Wyjazdowe utworzone odrębnie dla każdej Delegatury i siedziby WIOŚ w Warszawie, w których strukturze Działu lub Wydziału Inspekcji funkcjonują pracownicy interwencyjni. Osoby pracujące w ramach Zespołów są pracownikami odpowiednio Działów lub Wydziału Inspekcji i podlegają bezpośrednio kierownikom komórek organizacyjnych, w których są zatrudnione. Działania Grupy koordynuje pracownik zwany „Koordynatorem Grupy” i wyznaczany jest przez MWIOŚ lub I Z-</w:t>
      </w:r>
      <w:proofErr w:type="spellStart"/>
      <w:r w:rsidRPr="004A0EAC">
        <w:rPr>
          <w:rFonts w:ascii="Times New Roman" w:hAnsi="Times New Roman" w:cs="Times New Roman"/>
          <w:sz w:val="24"/>
          <w:szCs w:val="24"/>
        </w:rPr>
        <w:t>cę</w:t>
      </w:r>
      <w:proofErr w:type="spellEnd"/>
      <w:r w:rsidRPr="004A0EAC">
        <w:rPr>
          <w:rFonts w:ascii="Times New Roman" w:hAnsi="Times New Roman" w:cs="Times New Roman"/>
          <w:sz w:val="24"/>
          <w:szCs w:val="24"/>
        </w:rPr>
        <w:t xml:space="preserve"> MWIOŚ, wskazując cele i zadania jakie będą realizowane w danym roku.  Bezpośredni przełożony w uzgodnieniu z Koordynatorem Grupy wskazuje Koordynatora Zespołu, który odpowiada za organizację pracy i zadania powierzone Zespołowi. Wszystkie decyzje związane z działaniem Zespołu Koordynator Zespołu przedstawia i ustala z bezpośrednim przełożonym. </w:t>
      </w:r>
    </w:p>
    <w:p w14:paraId="767A5270" w14:textId="38BC4B4C" w:rsidR="004A0EAC" w:rsidRPr="004A0EAC" w:rsidRDefault="004A0EAC" w:rsidP="00E6191A">
      <w:pPr>
        <w:spacing w:line="300" w:lineRule="atLeast"/>
        <w:ind w:firstLine="360"/>
        <w:contextualSpacing/>
        <w:jc w:val="both"/>
        <w:rPr>
          <w:rFonts w:ascii="Times New Roman" w:hAnsi="Times New Roman" w:cs="Times New Roman"/>
          <w:sz w:val="24"/>
          <w:szCs w:val="24"/>
        </w:rPr>
      </w:pPr>
      <w:r w:rsidRPr="004A0EAC">
        <w:rPr>
          <w:rFonts w:ascii="Times New Roman" w:hAnsi="Times New Roman" w:cs="Times New Roman"/>
          <w:sz w:val="24"/>
          <w:szCs w:val="24"/>
        </w:rPr>
        <w:t xml:space="preserve">Wg stanu na dzień: 31.12.2022 r. w WIOŚ w Warszawie w skład Grupy Interwencyjno-Wyjazdowej (łącznie z koordynatorem grupy) wchodziło 14 </w:t>
      </w:r>
      <w:r w:rsidR="00E6191A">
        <w:rPr>
          <w:rFonts w:ascii="Times New Roman" w:hAnsi="Times New Roman" w:cs="Times New Roman"/>
          <w:sz w:val="24"/>
          <w:szCs w:val="24"/>
        </w:rPr>
        <w:t xml:space="preserve">pełnoetatowych </w:t>
      </w:r>
      <w:r w:rsidRPr="004A0EAC">
        <w:rPr>
          <w:rFonts w:ascii="Times New Roman" w:hAnsi="Times New Roman" w:cs="Times New Roman"/>
          <w:sz w:val="24"/>
          <w:szCs w:val="24"/>
        </w:rPr>
        <w:t>pracowników</w:t>
      </w:r>
      <w:r w:rsidR="00E6191A">
        <w:rPr>
          <w:rFonts w:ascii="Times New Roman" w:hAnsi="Times New Roman" w:cs="Times New Roman"/>
          <w:sz w:val="24"/>
          <w:szCs w:val="24"/>
        </w:rPr>
        <w:t>:</w:t>
      </w:r>
      <w:r w:rsidRPr="004A0EAC">
        <w:rPr>
          <w:rFonts w:ascii="Times New Roman" w:hAnsi="Times New Roman" w:cs="Times New Roman"/>
          <w:sz w:val="24"/>
          <w:szCs w:val="24"/>
        </w:rPr>
        <w:t xml:space="preserve"> </w:t>
      </w:r>
    </w:p>
    <w:p w14:paraId="4E6D98B9" w14:textId="12F8C46F" w:rsidR="004A0EAC" w:rsidRPr="00CA257E" w:rsidRDefault="00E6191A" w:rsidP="00CA257E">
      <w:pPr>
        <w:spacing w:line="300" w:lineRule="atLeast"/>
        <w:contextualSpacing/>
        <w:jc w:val="both"/>
        <w:rPr>
          <w:rFonts w:ascii="Times New Roman" w:hAnsi="Times New Roman" w:cs="Times New Roman"/>
          <w:sz w:val="24"/>
          <w:szCs w:val="24"/>
        </w:rPr>
      </w:pPr>
      <w:r>
        <w:rPr>
          <w:rFonts w:ascii="Times New Roman" w:hAnsi="Times New Roman" w:cs="Times New Roman"/>
          <w:sz w:val="24"/>
          <w:szCs w:val="24"/>
        </w:rPr>
        <w:t xml:space="preserve">3 </w:t>
      </w:r>
      <w:r w:rsidRPr="00E6191A">
        <w:rPr>
          <w:rFonts w:ascii="Times New Roman" w:hAnsi="Times New Roman" w:cs="Times New Roman"/>
          <w:sz w:val="24"/>
          <w:szCs w:val="24"/>
        </w:rPr>
        <w:t>w Zespole Interwencyjno-Wyjazdowym w Wydziale Inspekcji</w:t>
      </w:r>
      <w:r>
        <w:rPr>
          <w:rFonts w:ascii="Times New Roman" w:hAnsi="Times New Roman" w:cs="Times New Roman"/>
          <w:sz w:val="24"/>
          <w:szCs w:val="24"/>
        </w:rPr>
        <w:t xml:space="preserve"> (w tym Koordynator Grupy), 3 w </w:t>
      </w:r>
      <w:r w:rsidRPr="00E6191A">
        <w:rPr>
          <w:rFonts w:ascii="Times New Roman" w:hAnsi="Times New Roman" w:cs="Times New Roman"/>
          <w:sz w:val="24"/>
          <w:szCs w:val="24"/>
        </w:rPr>
        <w:t>Zespole Interwencyjno-Wyjazdowym w </w:t>
      </w:r>
      <w:r>
        <w:rPr>
          <w:rFonts w:ascii="Times New Roman" w:hAnsi="Times New Roman" w:cs="Times New Roman"/>
          <w:sz w:val="24"/>
          <w:szCs w:val="24"/>
        </w:rPr>
        <w:t>Dziale</w:t>
      </w:r>
      <w:r w:rsidRPr="00E6191A">
        <w:rPr>
          <w:rFonts w:ascii="Times New Roman" w:hAnsi="Times New Roman" w:cs="Times New Roman"/>
          <w:sz w:val="24"/>
          <w:szCs w:val="24"/>
        </w:rPr>
        <w:t xml:space="preserve"> Inspekcji</w:t>
      </w:r>
      <w:r>
        <w:rPr>
          <w:rFonts w:ascii="Times New Roman" w:hAnsi="Times New Roman" w:cs="Times New Roman"/>
          <w:sz w:val="24"/>
          <w:szCs w:val="24"/>
        </w:rPr>
        <w:t xml:space="preserve"> </w:t>
      </w:r>
      <w:r w:rsidRPr="00E6191A">
        <w:rPr>
          <w:rFonts w:ascii="Times New Roman" w:hAnsi="Times New Roman" w:cs="Times New Roman"/>
          <w:sz w:val="24"/>
          <w:szCs w:val="24"/>
        </w:rPr>
        <w:t>w Delegaturze WIOŚ</w:t>
      </w:r>
      <w:r w:rsidR="00CA257E">
        <w:rPr>
          <w:rFonts w:ascii="Times New Roman" w:hAnsi="Times New Roman" w:cs="Times New Roman"/>
          <w:sz w:val="24"/>
          <w:szCs w:val="24"/>
        </w:rPr>
        <w:t xml:space="preserve"> </w:t>
      </w:r>
      <w:r w:rsidRPr="00E6191A">
        <w:rPr>
          <w:rFonts w:ascii="Times New Roman" w:hAnsi="Times New Roman" w:cs="Times New Roman"/>
          <w:sz w:val="24"/>
          <w:szCs w:val="24"/>
        </w:rPr>
        <w:t>w Ostrołęce</w:t>
      </w:r>
      <w:r>
        <w:rPr>
          <w:rFonts w:ascii="Times New Roman" w:hAnsi="Times New Roman" w:cs="Times New Roman"/>
          <w:sz w:val="24"/>
          <w:szCs w:val="24"/>
        </w:rPr>
        <w:t xml:space="preserve"> oraz po 2 </w:t>
      </w:r>
      <w:r w:rsidR="00CA257E">
        <w:rPr>
          <w:rFonts w:ascii="Times New Roman" w:hAnsi="Times New Roman" w:cs="Times New Roman"/>
          <w:sz w:val="24"/>
          <w:szCs w:val="24"/>
        </w:rPr>
        <w:t xml:space="preserve">osoby </w:t>
      </w:r>
      <w:r>
        <w:rPr>
          <w:rFonts w:ascii="Times New Roman" w:hAnsi="Times New Roman" w:cs="Times New Roman"/>
          <w:sz w:val="24"/>
          <w:szCs w:val="24"/>
        </w:rPr>
        <w:t xml:space="preserve">w </w:t>
      </w:r>
      <w:r w:rsidRPr="00E6191A">
        <w:rPr>
          <w:rFonts w:ascii="Times New Roman" w:hAnsi="Times New Roman" w:cs="Times New Roman"/>
          <w:sz w:val="24"/>
          <w:szCs w:val="24"/>
        </w:rPr>
        <w:t>Zespo</w:t>
      </w:r>
      <w:r>
        <w:rPr>
          <w:rFonts w:ascii="Times New Roman" w:hAnsi="Times New Roman" w:cs="Times New Roman"/>
          <w:sz w:val="24"/>
          <w:szCs w:val="24"/>
        </w:rPr>
        <w:t>łach</w:t>
      </w:r>
      <w:r w:rsidRPr="00E6191A">
        <w:rPr>
          <w:rFonts w:ascii="Times New Roman" w:hAnsi="Times New Roman" w:cs="Times New Roman"/>
          <w:sz w:val="24"/>
          <w:szCs w:val="24"/>
        </w:rPr>
        <w:t xml:space="preserve"> Interwencyjno-Wyjazdowy</w:t>
      </w:r>
      <w:r>
        <w:rPr>
          <w:rFonts w:ascii="Times New Roman" w:hAnsi="Times New Roman" w:cs="Times New Roman"/>
          <w:sz w:val="24"/>
          <w:szCs w:val="24"/>
        </w:rPr>
        <w:t>ch</w:t>
      </w:r>
      <w:r w:rsidRPr="00E6191A">
        <w:rPr>
          <w:rFonts w:ascii="Times New Roman" w:hAnsi="Times New Roman" w:cs="Times New Roman"/>
          <w:sz w:val="24"/>
          <w:szCs w:val="24"/>
        </w:rPr>
        <w:t xml:space="preserve"> w </w:t>
      </w:r>
      <w:r w:rsidR="00CA257E">
        <w:rPr>
          <w:rFonts w:ascii="Times New Roman" w:hAnsi="Times New Roman" w:cs="Times New Roman"/>
          <w:sz w:val="24"/>
          <w:szCs w:val="24"/>
        </w:rPr>
        <w:t>D</w:t>
      </w:r>
      <w:r w:rsidRPr="00E6191A">
        <w:rPr>
          <w:rFonts w:ascii="Times New Roman" w:hAnsi="Times New Roman" w:cs="Times New Roman"/>
          <w:sz w:val="24"/>
          <w:szCs w:val="24"/>
        </w:rPr>
        <w:t>zia</w:t>
      </w:r>
      <w:r w:rsidR="00CA257E">
        <w:rPr>
          <w:rFonts w:ascii="Times New Roman" w:hAnsi="Times New Roman" w:cs="Times New Roman"/>
          <w:sz w:val="24"/>
          <w:szCs w:val="24"/>
        </w:rPr>
        <w:t>łach</w:t>
      </w:r>
      <w:r w:rsidRPr="00E6191A">
        <w:rPr>
          <w:rFonts w:ascii="Times New Roman" w:hAnsi="Times New Roman" w:cs="Times New Roman"/>
          <w:sz w:val="24"/>
          <w:szCs w:val="24"/>
        </w:rPr>
        <w:t xml:space="preserve"> Inspekcji</w:t>
      </w:r>
      <w:r w:rsidR="00CA257E">
        <w:rPr>
          <w:rFonts w:ascii="Times New Roman" w:hAnsi="Times New Roman" w:cs="Times New Roman"/>
          <w:sz w:val="24"/>
          <w:szCs w:val="24"/>
        </w:rPr>
        <w:t xml:space="preserve"> w Delegaturach WIOŚ </w:t>
      </w:r>
      <w:r w:rsidR="004A0EAC" w:rsidRPr="00CA257E">
        <w:rPr>
          <w:rFonts w:ascii="Times New Roman" w:hAnsi="Times New Roman" w:cs="Times New Roman"/>
          <w:sz w:val="24"/>
          <w:szCs w:val="24"/>
        </w:rPr>
        <w:t>w Ciechanowie</w:t>
      </w:r>
      <w:r w:rsidR="00CA257E" w:rsidRPr="00CA257E">
        <w:rPr>
          <w:rFonts w:ascii="Times New Roman" w:hAnsi="Times New Roman" w:cs="Times New Roman"/>
          <w:sz w:val="24"/>
          <w:szCs w:val="24"/>
        </w:rPr>
        <w:t>,</w:t>
      </w:r>
      <w:r w:rsidR="004A0EAC" w:rsidRPr="00CA257E">
        <w:rPr>
          <w:rFonts w:ascii="Times New Roman" w:hAnsi="Times New Roman" w:cs="Times New Roman"/>
          <w:sz w:val="24"/>
          <w:szCs w:val="24"/>
        </w:rPr>
        <w:t> Mińsku Mazowieckim</w:t>
      </w:r>
      <w:r w:rsidR="00CA257E" w:rsidRPr="00CA257E">
        <w:rPr>
          <w:rFonts w:ascii="Times New Roman" w:hAnsi="Times New Roman" w:cs="Times New Roman"/>
          <w:sz w:val="24"/>
          <w:szCs w:val="24"/>
        </w:rPr>
        <w:t>,</w:t>
      </w:r>
      <w:r w:rsidR="004A0EAC" w:rsidRPr="00CA257E">
        <w:rPr>
          <w:rFonts w:ascii="Times New Roman" w:hAnsi="Times New Roman" w:cs="Times New Roman"/>
          <w:sz w:val="24"/>
          <w:szCs w:val="24"/>
        </w:rPr>
        <w:t xml:space="preserve"> </w:t>
      </w:r>
      <w:r w:rsidR="00CA257E" w:rsidRPr="00CA257E">
        <w:rPr>
          <w:rFonts w:ascii="Times New Roman" w:hAnsi="Times New Roman" w:cs="Times New Roman"/>
          <w:sz w:val="24"/>
          <w:szCs w:val="24"/>
        </w:rPr>
        <w:t>P</w:t>
      </w:r>
      <w:r w:rsidR="004A0EAC" w:rsidRPr="00CA257E">
        <w:rPr>
          <w:rFonts w:ascii="Times New Roman" w:hAnsi="Times New Roman" w:cs="Times New Roman"/>
          <w:sz w:val="24"/>
          <w:szCs w:val="24"/>
        </w:rPr>
        <w:t xml:space="preserve">łocku </w:t>
      </w:r>
      <w:r w:rsidR="00CA257E" w:rsidRPr="00CA257E">
        <w:rPr>
          <w:rFonts w:ascii="Times New Roman" w:hAnsi="Times New Roman" w:cs="Times New Roman"/>
          <w:sz w:val="24"/>
          <w:szCs w:val="24"/>
        </w:rPr>
        <w:t xml:space="preserve">i </w:t>
      </w:r>
      <w:r w:rsidR="004A0EAC" w:rsidRPr="00CA257E">
        <w:rPr>
          <w:rFonts w:ascii="Times New Roman" w:hAnsi="Times New Roman" w:cs="Times New Roman"/>
          <w:sz w:val="24"/>
          <w:szCs w:val="24"/>
        </w:rPr>
        <w:t>Radomiu</w:t>
      </w:r>
      <w:r w:rsidR="00CA257E" w:rsidRPr="00CA257E">
        <w:rPr>
          <w:rFonts w:ascii="Times New Roman" w:hAnsi="Times New Roman" w:cs="Times New Roman"/>
          <w:sz w:val="24"/>
          <w:szCs w:val="24"/>
        </w:rPr>
        <w:t>.</w:t>
      </w:r>
      <w:r w:rsidR="004A0EAC" w:rsidRPr="00CA257E">
        <w:rPr>
          <w:rFonts w:ascii="Times New Roman" w:hAnsi="Times New Roman" w:cs="Times New Roman"/>
          <w:sz w:val="24"/>
          <w:szCs w:val="24"/>
        </w:rPr>
        <w:t xml:space="preserve"> </w:t>
      </w:r>
    </w:p>
    <w:p w14:paraId="5D88CBCB" w14:textId="77777777" w:rsidR="004A0EAC" w:rsidRPr="004A0EAC" w:rsidRDefault="004A0EAC" w:rsidP="004A0EAC">
      <w:pPr>
        <w:spacing w:line="300" w:lineRule="atLeast"/>
        <w:contextualSpacing/>
        <w:jc w:val="both"/>
        <w:rPr>
          <w:rFonts w:ascii="Times New Roman" w:hAnsi="Times New Roman" w:cs="Times New Roman"/>
          <w:i/>
          <w:color w:val="4472C4"/>
          <w:sz w:val="24"/>
          <w:szCs w:val="24"/>
        </w:rPr>
      </w:pPr>
    </w:p>
    <w:p w14:paraId="63FF1BBC" w14:textId="77777777" w:rsidR="004A0EAC" w:rsidRPr="004A0EAC" w:rsidRDefault="004A0EAC" w:rsidP="00CA257E">
      <w:pPr>
        <w:spacing w:after="60" w:line="300" w:lineRule="atLeast"/>
        <w:rPr>
          <w:rFonts w:ascii="Times New Roman" w:hAnsi="Times New Roman" w:cs="Times New Roman"/>
          <w:i/>
          <w:color w:val="4472C4"/>
          <w:sz w:val="24"/>
          <w:szCs w:val="24"/>
        </w:rPr>
      </w:pPr>
      <w:r w:rsidRPr="004A0EAC">
        <w:rPr>
          <w:rFonts w:ascii="Times New Roman" w:hAnsi="Times New Roman" w:cs="Times New Roman"/>
          <w:i/>
          <w:color w:val="4472C4"/>
          <w:sz w:val="24"/>
          <w:szCs w:val="24"/>
        </w:rPr>
        <w:t>Wojewódzki Inspektorat Ochrony Środowiska we Wrocławiu</w:t>
      </w:r>
    </w:p>
    <w:p w14:paraId="1459B4DD" w14:textId="314688EA" w:rsidR="004A0EAC" w:rsidRPr="004A0EAC" w:rsidRDefault="004A0EAC" w:rsidP="0026447A">
      <w:pPr>
        <w:pStyle w:val="Akapitzlist"/>
        <w:spacing w:line="300" w:lineRule="atLeast"/>
        <w:ind w:left="0" w:firstLine="567"/>
        <w:jc w:val="both"/>
        <w:rPr>
          <w:sz w:val="24"/>
          <w:szCs w:val="24"/>
        </w:rPr>
      </w:pPr>
      <w:r w:rsidRPr="004A0EAC">
        <w:rPr>
          <w:sz w:val="24"/>
          <w:szCs w:val="24"/>
        </w:rPr>
        <w:t>Do maja 2022 roku w Wojewódzkim Inspektoracie Ochrony Środowiska we Wrocławiu działała grupa zadaniowa pod nazwą Grupa Interwencyjno-Wyjazdowa (GIW)</w:t>
      </w:r>
      <w:r w:rsidR="0026447A">
        <w:rPr>
          <w:sz w:val="24"/>
          <w:szCs w:val="24"/>
          <w:lang w:val="pl-PL"/>
        </w:rPr>
        <w:t>, w skład której</w:t>
      </w:r>
      <w:r w:rsidRPr="004A0EAC">
        <w:rPr>
          <w:sz w:val="24"/>
          <w:szCs w:val="24"/>
        </w:rPr>
        <w:t xml:space="preserve"> wchodziło 8 inspektorów z uwzględnieniem delegatur, tj.: Wydział Inspekcji we Wrocławiu -  4 inspektorów IOŚ, Dział Inspekcji w Jeleniej Górze -  1 inspektor IOŚ, Dział Inspekcji </w:t>
      </w:r>
      <w:r w:rsidR="0026447A">
        <w:rPr>
          <w:sz w:val="24"/>
          <w:szCs w:val="24"/>
        </w:rPr>
        <w:br/>
      </w:r>
      <w:r w:rsidRPr="004A0EAC">
        <w:rPr>
          <w:sz w:val="24"/>
          <w:szCs w:val="24"/>
        </w:rPr>
        <w:t xml:space="preserve">w Wałbrzychu – 2 inspektorów IOŚ, Dział Inspekcji w Legnica -  1. </w:t>
      </w:r>
    </w:p>
    <w:p w14:paraId="507C512F" w14:textId="77777777" w:rsidR="004A0EAC" w:rsidRPr="004A0EAC" w:rsidRDefault="004A0EAC" w:rsidP="0026447A">
      <w:pPr>
        <w:pStyle w:val="Akapitzlist"/>
        <w:spacing w:line="300" w:lineRule="atLeast"/>
        <w:ind w:left="0" w:firstLine="567"/>
        <w:jc w:val="both"/>
        <w:rPr>
          <w:sz w:val="24"/>
          <w:szCs w:val="24"/>
        </w:rPr>
      </w:pPr>
      <w:r w:rsidRPr="004A0EAC">
        <w:rPr>
          <w:sz w:val="24"/>
          <w:szCs w:val="24"/>
        </w:rPr>
        <w:t xml:space="preserve">Z dniem 01.05.2022 r. wyodrębniony został nowy Wydział Zwalczania Przestępczości Środowiskowej (WZPŚ), którego zadaniem jest wykrywanie przestępstw i wykroczeń przeciwko środowisku, polegających głównie na nielegalnym postępowaniu z odpadami. W skład wydziału weszło 7 inspektorów, którzy tworzyli Grupę Interwencyjno- Wyjazdową działającą w ramach Wydziału/Działów Inspekcji oraz czterech inspektorów Wydziału Inspekcji. </w:t>
      </w:r>
    </w:p>
    <w:p w14:paraId="4C435C2E" w14:textId="77777777" w:rsidR="004A0EAC" w:rsidRPr="004A0EAC" w:rsidRDefault="004A0EAC" w:rsidP="004A0EAC">
      <w:pPr>
        <w:spacing w:line="300" w:lineRule="atLeast"/>
        <w:contextualSpacing/>
        <w:rPr>
          <w:rFonts w:ascii="Times New Roman" w:hAnsi="Times New Roman" w:cs="Times New Roman"/>
          <w:i/>
          <w:color w:val="4472C4"/>
          <w:sz w:val="24"/>
          <w:szCs w:val="24"/>
        </w:rPr>
      </w:pPr>
    </w:p>
    <w:p w14:paraId="4F341DF6" w14:textId="77777777" w:rsidR="004A0EAC" w:rsidRPr="004A0EAC" w:rsidRDefault="004A0EAC" w:rsidP="0026447A">
      <w:pPr>
        <w:spacing w:after="60" w:line="300" w:lineRule="atLeast"/>
        <w:rPr>
          <w:rFonts w:ascii="Times New Roman" w:hAnsi="Times New Roman" w:cs="Times New Roman"/>
          <w:i/>
          <w:color w:val="4472C4"/>
          <w:sz w:val="24"/>
          <w:szCs w:val="24"/>
        </w:rPr>
      </w:pPr>
      <w:r w:rsidRPr="004A0EAC">
        <w:rPr>
          <w:rFonts w:ascii="Times New Roman" w:hAnsi="Times New Roman" w:cs="Times New Roman"/>
          <w:i/>
          <w:color w:val="4472C4"/>
          <w:sz w:val="24"/>
          <w:szCs w:val="24"/>
        </w:rPr>
        <w:t>Wojewódzki Inspektorat Ochrony Środowiska w Zielonej Górze</w:t>
      </w:r>
    </w:p>
    <w:p w14:paraId="656B1A96" w14:textId="7F625FCC" w:rsidR="00A22034" w:rsidRDefault="004A0EAC" w:rsidP="004A0EAC">
      <w:pPr>
        <w:spacing w:after="0" w:line="300" w:lineRule="atLeast"/>
        <w:ind w:firstLine="567"/>
        <w:jc w:val="both"/>
        <w:rPr>
          <w:rFonts w:ascii="Times New Roman" w:hAnsi="Times New Roman" w:cs="Times New Roman"/>
          <w:sz w:val="24"/>
          <w:szCs w:val="24"/>
        </w:rPr>
      </w:pPr>
      <w:r w:rsidRPr="004A0EAC">
        <w:rPr>
          <w:rFonts w:ascii="Times New Roman" w:hAnsi="Times New Roman" w:cs="Times New Roman"/>
          <w:sz w:val="24"/>
          <w:szCs w:val="24"/>
        </w:rPr>
        <w:t>Liczba inspektorów – 4 – Wydział Zwalczania Przestępczości Środowiskowej WIOŚ w Zielonej Górze (</w:t>
      </w:r>
      <w:r w:rsidR="0026447A">
        <w:rPr>
          <w:rFonts w:ascii="Times New Roman" w:hAnsi="Times New Roman" w:cs="Times New Roman"/>
          <w:sz w:val="24"/>
          <w:szCs w:val="24"/>
        </w:rPr>
        <w:t xml:space="preserve">działający </w:t>
      </w:r>
      <w:r w:rsidRPr="004A0EAC">
        <w:rPr>
          <w:rFonts w:ascii="Times New Roman" w:hAnsi="Times New Roman" w:cs="Times New Roman"/>
          <w:sz w:val="24"/>
          <w:szCs w:val="24"/>
        </w:rPr>
        <w:t xml:space="preserve">od </w:t>
      </w:r>
      <w:r w:rsidR="0026447A">
        <w:rPr>
          <w:rFonts w:ascii="Times New Roman" w:hAnsi="Times New Roman" w:cs="Times New Roman"/>
          <w:sz w:val="24"/>
          <w:szCs w:val="24"/>
        </w:rPr>
        <w:t>0</w:t>
      </w:r>
      <w:r w:rsidRPr="004A0EAC">
        <w:rPr>
          <w:rFonts w:ascii="Times New Roman" w:hAnsi="Times New Roman" w:cs="Times New Roman"/>
          <w:sz w:val="24"/>
          <w:szCs w:val="24"/>
        </w:rPr>
        <w:t>1</w:t>
      </w:r>
      <w:r w:rsidR="0026447A">
        <w:rPr>
          <w:rFonts w:ascii="Times New Roman" w:hAnsi="Times New Roman" w:cs="Times New Roman"/>
          <w:sz w:val="24"/>
          <w:szCs w:val="24"/>
        </w:rPr>
        <w:t>.07.</w:t>
      </w:r>
      <w:r w:rsidRPr="004A0EAC">
        <w:rPr>
          <w:rFonts w:ascii="Times New Roman" w:hAnsi="Times New Roman" w:cs="Times New Roman"/>
          <w:sz w:val="24"/>
          <w:szCs w:val="24"/>
        </w:rPr>
        <w:t>2022 r</w:t>
      </w:r>
      <w:r w:rsidR="0026447A">
        <w:rPr>
          <w:rFonts w:ascii="Times New Roman" w:hAnsi="Times New Roman" w:cs="Times New Roman"/>
          <w:sz w:val="24"/>
          <w:szCs w:val="24"/>
        </w:rPr>
        <w:t xml:space="preserve">., </w:t>
      </w:r>
      <w:r w:rsidRPr="004A0EAC">
        <w:rPr>
          <w:rFonts w:ascii="Times New Roman" w:hAnsi="Times New Roman" w:cs="Times New Roman"/>
          <w:sz w:val="24"/>
          <w:szCs w:val="24"/>
        </w:rPr>
        <w:t>wcześniej zespół w ramach Wydziału i Działu Inspekcji)</w:t>
      </w:r>
      <w:r w:rsidR="00A22034" w:rsidRPr="007F400A">
        <w:rPr>
          <w:rFonts w:ascii="Times New Roman" w:hAnsi="Times New Roman" w:cs="Times New Roman"/>
          <w:sz w:val="24"/>
          <w:szCs w:val="24"/>
        </w:rPr>
        <w:t>.</w:t>
      </w:r>
    </w:p>
    <w:p w14:paraId="7EA4E9CB" w14:textId="77777777" w:rsidR="00613EB9" w:rsidRPr="007F400A" w:rsidRDefault="00613EB9" w:rsidP="00A22034">
      <w:pPr>
        <w:pStyle w:val="Akapitzlist"/>
        <w:spacing w:line="300" w:lineRule="atLeast"/>
        <w:ind w:left="0"/>
        <w:jc w:val="both"/>
        <w:rPr>
          <w:bCs/>
          <w:sz w:val="24"/>
          <w:szCs w:val="24"/>
        </w:rPr>
      </w:pPr>
    </w:p>
    <w:p w14:paraId="3242700B" w14:textId="77777777" w:rsidR="00A22034" w:rsidRPr="007F400A" w:rsidRDefault="00A22034" w:rsidP="00613EB9">
      <w:pPr>
        <w:pStyle w:val="Nagwek1"/>
        <w:rPr>
          <w:color w:val="000000"/>
        </w:rPr>
      </w:pPr>
      <w:bookmarkStart w:id="293" w:name="_Toc99469605"/>
      <w:bookmarkStart w:id="294" w:name="_Toc135935664"/>
      <w:r w:rsidRPr="007F400A">
        <w:rPr>
          <w:color w:val="000000"/>
        </w:rPr>
        <w:t>2. Zasady funkcjonowania utworzonych grup zadaniowych</w:t>
      </w:r>
      <w:bookmarkEnd w:id="293"/>
      <w:bookmarkEnd w:id="294"/>
    </w:p>
    <w:p w14:paraId="39D13754" w14:textId="6D5A57A4" w:rsidR="00A22034" w:rsidRDefault="00A22034" w:rsidP="007D7061">
      <w:pPr>
        <w:spacing w:after="0" w:line="300" w:lineRule="atLeast"/>
        <w:rPr>
          <w:rFonts w:ascii="Times New Roman" w:hAnsi="Times New Roman" w:cs="Times New Roman"/>
        </w:rPr>
      </w:pPr>
    </w:p>
    <w:p w14:paraId="3DE12F61" w14:textId="77F17B6C" w:rsidR="0026447A" w:rsidRPr="009868D5" w:rsidRDefault="0026447A" w:rsidP="009868D5">
      <w:pPr>
        <w:spacing w:after="120" w:line="300" w:lineRule="atLeast"/>
        <w:rPr>
          <w:rFonts w:ascii="Times New Roman" w:hAnsi="Times New Roman" w:cs="Times New Roman"/>
          <w:b/>
          <w:sz w:val="24"/>
          <w:szCs w:val="24"/>
        </w:rPr>
      </w:pPr>
      <w:r w:rsidRPr="009868D5">
        <w:rPr>
          <w:rFonts w:ascii="Times New Roman" w:hAnsi="Times New Roman" w:cs="Times New Roman"/>
          <w:b/>
          <w:sz w:val="24"/>
          <w:szCs w:val="24"/>
        </w:rPr>
        <w:t xml:space="preserve">2.1. Doświadczenie w służbach mundurowych i </w:t>
      </w:r>
      <w:r w:rsidR="008F7951">
        <w:rPr>
          <w:rFonts w:ascii="Times New Roman" w:hAnsi="Times New Roman" w:cs="Times New Roman"/>
          <w:b/>
          <w:sz w:val="24"/>
          <w:szCs w:val="24"/>
        </w:rPr>
        <w:t xml:space="preserve">system </w:t>
      </w:r>
      <w:r w:rsidR="009868D5" w:rsidRPr="009868D5">
        <w:rPr>
          <w:rFonts w:ascii="Times New Roman" w:hAnsi="Times New Roman" w:cs="Times New Roman"/>
          <w:b/>
          <w:sz w:val="24"/>
          <w:szCs w:val="24"/>
        </w:rPr>
        <w:t>czas</w:t>
      </w:r>
      <w:r w:rsidR="008F7951">
        <w:rPr>
          <w:rFonts w:ascii="Times New Roman" w:hAnsi="Times New Roman" w:cs="Times New Roman"/>
          <w:b/>
          <w:sz w:val="24"/>
          <w:szCs w:val="24"/>
        </w:rPr>
        <w:t>u</w:t>
      </w:r>
      <w:r w:rsidR="009868D5" w:rsidRPr="009868D5">
        <w:rPr>
          <w:rFonts w:ascii="Times New Roman" w:hAnsi="Times New Roman" w:cs="Times New Roman"/>
          <w:b/>
          <w:sz w:val="24"/>
          <w:szCs w:val="24"/>
        </w:rPr>
        <w:t xml:space="preserve"> pracy</w:t>
      </w:r>
    </w:p>
    <w:p w14:paraId="5E4A1462" w14:textId="5A657D2E" w:rsidR="009868D5" w:rsidRPr="009868D5" w:rsidRDefault="009868D5" w:rsidP="009868D5">
      <w:pPr>
        <w:pStyle w:val="Akapitzlist"/>
        <w:spacing w:line="300" w:lineRule="atLeast"/>
        <w:ind w:left="0" w:firstLine="567"/>
        <w:jc w:val="both"/>
        <w:rPr>
          <w:sz w:val="24"/>
          <w:szCs w:val="24"/>
        </w:rPr>
      </w:pPr>
      <w:r>
        <w:rPr>
          <w:sz w:val="24"/>
          <w:szCs w:val="24"/>
          <w:lang w:val="pl-PL"/>
        </w:rPr>
        <w:lastRenderedPageBreak/>
        <w:t>W Departamencie Zwalczania Przestępczości Środowiskowej GIOŚ, w</w:t>
      </w:r>
      <w:r w:rsidRPr="009868D5">
        <w:rPr>
          <w:sz w:val="24"/>
          <w:szCs w:val="24"/>
        </w:rPr>
        <w:t xml:space="preserve"> Zespole Stosowania Techniki Specjalnej zatrudnionych jest dwóch byłych funkcjonariuszy Agencji Bezpieczeństwa Wewnętrznego oraz jeden były funkcjonariusz Policji. </w:t>
      </w:r>
    </w:p>
    <w:p w14:paraId="5AFCD59B" w14:textId="77777777" w:rsidR="009868D5" w:rsidRPr="009868D5" w:rsidRDefault="009868D5" w:rsidP="009868D5">
      <w:pPr>
        <w:pStyle w:val="Akapitzlist"/>
        <w:spacing w:line="300" w:lineRule="atLeast"/>
        <w:ind w:left="0" w:firstLine="567"/>
        <w:jc w:val="both"/>
        <w:rPr>
          <w:sz w:val="24"/>
          <w:szCs w:val="24"/>
        </w:rPr>
      </w:pPr>
      <w:r w:rsidRPr="009868D5">
        <w:rPr>
          <w:sz w:val="24"/>
          <w:szCs w:val="24"/>
        </w:rPr>
        <w:t>W Wydziale Interwencyjno-Operacyjnym zatrudnionych jest 6 byłych funkcjonariuszy służb, takich jak Policja (4 osoby) oraz CBŚP (2 osoby).</w:t>
      </w:r>
    </w:p>
    <w:p w14:paraId="309B8BA1" w14:textId="0D319317" w:rsidR="009868D5" w:rsidRPr="009868D5" w:rsidRDefault="009868D5" w:rsidP="009868D5">
      <w:pPr>
        <w:pStyle w:val="Akapitzlist"/>
        <w:spacing w:line="300" w:lineRule="atLeast"/>
        <w:ind w:left="0" w:firstLine="567"/>
        <w:jc w:val="both"/>
        <w:rPr>
          <w:sz w:val="24"/>
          <w:szCs w:val="24"/>
        </w:rPr>
      </w:pPr>
      <w:r w:rsidRPr="009868D5">
        <w:rPr>
          <w:sz w:val="24"/>
          <w:szCs w:val="24"/>
        </w:rPr>
        <w:t>Wydział Interwencyjno-Operacyjny wraz z Zespołem terenowym w Krakowie funkcjonuj</w:t>
      </w:r>
      <w:r>
        <w:rPr>
          <w:sz w:val="24"/>
          <w:szCs w:val="24"/>
          <w:lang w:val="pl-PL"/>
        </w:rPr>
        <w:t>ą</w:t>
      </w:r>
      <w:r w:rsidRPr="009868D5">
        <w:rPr>
          <w:sz w:val="24"/>
          <w:szCs w:val="24"/>
        </w:rPr>
        <w:t xml:space="preserve"> w ramach określonych godzin pracy, ale w przypadku potrzeby podjęcia czynności pozostaje dyspozycyjny całą dobę, 7 dni w tygodniu.</w:t>
      </w:r>
    </w:p>
    <w:p w14:paraId="74511A22" w14:textId="66648B27" w:rsidR="0026447A" w:rsidRPr="009868D5" w:rsidRDefault="0026447A" w:rsidP="009868D5">
      <w:pPr>
        <w:spacing w:after="0" w:line="300" w:lineRule="atLeast"/>
        <w:ind w:firstLine="567"/>
        <w:rPr>
          <w:rFonts w:ascii="Times New Roman" w:hAnsi="Times New Roman" w:cs="Times New Roman"/>
          <w:sz w:val="24"/>
          <w:szCs w:val="24"/>
          <w:lang w:val="x-none"/>
        </w:rPr>
      </w:pPr>
    </w:p>
    <w:p w14:paraId="0068F0B8" w14:textId="2EC9555F" w:rsidR="009868D5" w:rsidRPr="009868D5" w:rsidRDefault="009868D5" w:rsidP="009868D5">
      <w:pPr>
        <w:jc w:val="both"/>
        <w:rPr>
          <w:rFonts w:ascii="Times New Roman" w:hAnsi="Times New Roman" w:cs="Times New Roman"/>
        </w:rPr>
      </w:pPr>
      <w:r w:rsidRPr="009868D5">
        <w:rPr>
          <w:rFonts w:ascii="Times New Roman" w:hAnsi="Times New Roman" w:cs="Times New Roman"/>
          <w:b/>
          <w:color w:val="000000"/>
        </w:rPr>
        <w:t xml:space="preserve">Tabela 16. Liczba inspektorów wchodzących w skład Grup Zadaniowych funkcjonujących </w:t>
      </w:r>
      <w:r>
        <w:rPr>
          <w:rFonts w:ascii="Times New Roman" w:hAnsi="Times New Roman" w:cs="Times New Roman"/>
          <w:b/>
          <w:color w:val="000000"/>
        </w:rPr>
        <w:br/>
      </w:r>
      <w:r w:rsidRPr="009868D5">
        <w:rPr>
          <w:rFonts w:ascii="Times New Roman" w:hAnsi="Times New Roman" w:cs="Times New Roman"/>
          <w:b/>
          <w:color w:val="000000"/>
        </w:rPr>
        <w:t>w strukturach inspektoratów wojewódzkich, ze wskazaniem inspektorów z doświadczeniem nabytym w służbach mundurowych oraz z uwzględnieniem gotowości do podejmowania działań w systemie 24 godzinnym przez 7 dni w tygodniu</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92"/>
        <w:gridCol w:w="1367"/>
        <w:gridCol w:w="1673"/>
        <w:gridCol w:w="1272"/>
        <w:gridCol w:w="1521"/>
        <w:gridCol w:w="1837"/>
      </w:tblGrid>
      <w:tr w:rsidR="009868D5" w:rsidRPr="009868D5" w14:paraId="2B2500F6" w14:textId="77777777" w:rsidTr="008F7951">
        <w:tc>
          <w:tcPr>
            <w:tcW w:w="1392" w:type="dxa"/>
            <w:shd w:val="clear" w:color="auto" w:fill="auto"/>
            <w:vAlign w:val="center"/>
          </w:tcPr>
          <w:p w14:paraId="4DD8834A" w14:textId="77777777" w:rsidR="009868D5" w:rsidRPr="009868D5" w:rsidRDefault="009868D5" w:rsidP="008F7951">
            <w:pPr>
              <w:spacing w:after="0" w:line="240" w:lineRule="auto"/>
              <w:jc w:val="center"/>
              <w:rPr>
                <w:rFonts w:ascii="Times New Roman" w:eastAsia="Calibri" w:hAnsi="Times New Roman" w:cs="Times New Roman"/>
                <w:sz w:val="20"/>
                <w:szCs w:val="20"/>
              </w:rPr>
            </w:pPr>
          </w:p>
        </w:tc>
        <w:tc>
          <w:tcPr>
            <w:tcW w:w="3040" w:type="dxa"/>
            <w:gridSpan w:val="2"/>
            <w:shd w:val="clear" w:color="auto" w:fill="auto"/>
            <w:vAlign w:val="center"/>
          </w:tcPr>
          <w:p w14:paraId="06319BF5" w14:textId="77777777" w:rsidR="009868D5" w:rsidRPr="009868D5" w:rsidRDefault="009868D5" w:rsidP="008F7951">
            <w:pPr>
              <w:spacing w:after="0" w:line="240" w:lineRule="auto"/>
              <w:jc w:val="center"/>
              <w:rPr>
                <w:rFonts w:ascii="Times New Roman" w:eastAsia="Calibri" w:hAnsi="Times New Roman" w:cs="Times New Roman"/>
                <w:b/>
                <w:sz w:val="20"/>
                <w:szCs w:val="20"/>
              </w:rPr>
            </w:pPr>
            <w:r w:rsidRPr="009868D5">
              <w:rPr>
                <w:rFonts w:ascii="Times New Roman" w:eastAsia="Calibri" w:hAnsi="Times New Roman" w:cs="Times New Roman"/>
                <w:b/>
                <w:sz w:val="20"/>
                <w:szCs w:val="20"/>
              </w:rPr>
              <w:t>Inspektorzy</w:t>
            </w:r>
          </w:p>
        </w:tc>
        <w:tc>
          <w:tcPr>
            <w:tcW w:w="2793" w:type="dxa"/>
            <w:gridSpan w:val="2"/>
            <w:shd w:val="clear" w:color="auto" w:fill="auto"/>
            <w:vAlign w:val="center"/>
          </w:tcPr>
          <w:p w14:paraId="3838B2F6" w14:textId="40B16FE8" w:rsidR="009868D5" w:rsidRPr="009868D5" w:rsidRDefault="009868D5" w:rsidP="008F7951">
            <w:pPr>
              <w:spacing w:after="0" w:line="240" w:lineRule="auto"/>
              <w:jc w:val="center"/>
              <w:rPr>
                <w:rFonts w:ascii="Times New Roman" w:eastAsia="Calibri" w:hAnsi="Times New Roman" w:cs="Times New Roman"/>
                <w:b/>
                <w:sz w:val="20"/>
                <w:szCs w:val="20"/>
              </w:rPr>
            </w:pPr>
            <w:r w:rsidRPr="009868D5">
              <w:rPr>
                <w:rFonts w:ascii="Times New Roman" w:eastAsia="Calibri" w:hAnsi="Times New Roman" w:cs="Times New Roman"/>
                <w:b/>
                <w:sz w:val="20"/>
                <w:szCs w:val="20"/>
              </w:rPr>
              <w:t>Inspektorzy z doświadczeniem w służbach mundurowych</w:t>
            </w:r>
          </w:p>
        </w:tc>
        <w:tc>
          <w:tcPr>
            <w:tcW w:w="1837" w:type="dxa"/>
            <w:vMerge w:val="restart"/>
            <w:shd w:val="clear" w:color="auto" w:fill="auto"/>
            <w:vAlign w:val="center"/>
          </w:tcPr>
          <w:p w14:paraId="7236609B" w14:textId="77777777" w:rsidR="009868D5" w:rsidRPr="009868D5" w:rsidRDefault="009868D5" w:rsidP="008F7951">
            <w:pPr>
              <w:spacing w:after="0" w:line="240" w:lineRule="auto"/>
              <w:jc w:val="center"/>
              <w:rPr>
                <w:rFonts w:ascii="Times New Roman" w:eastAsia="Calibri" w:hAnsi="Times New Roman" w:cs="Times New Roman"/>
                <w:b/>
                <w:sz w:val="20"/>
                <w:szCs w:val="20"/>
              </w:rPr>
            </w:pPr>
            <w:r w:rsidRPr="009868D5">
              <w:rPr>
                <w:rFonts w:ascii="Times New Roman" w:eastAsia="Calibri" w:hAnsi="Times New Roman" w:cs="Times New Roman"/>
                <w:b/>
                <w:sz w:val="20"/>
                <w:szCs w:val="20"/>
              </w:rPr>
              <w:t>Gotowość do pracy w systemie 24/7</w:t>
            </w:r>
          </w:p>
        </w:tc>
      </w:tr>
      <w:tr w:rsidR="009868D5" w:rsidRPr="009868D5" w14:paraId="0DF1F0D6" w14:textId="77777777" w:rsidTr="008F7951">
        <w:tc>
          <w:tcPr>
            <w:tcW w:w="1392" w:type="dxa"/>
            <w:shd w:val="clear" w:color="auto" w:fill="auto"/>
          </w:tcPr>
          <w:p w14:paraId="45A2B183" w14:textId="77777777" w:rsidR="009868D5" w:rsidRPr="009868D5" w:rsidRDefault="009868D5" w:rsidP="008F7951">
            <w:pPr>
              <w:spacing w:after="0" w:line="240" w:lineRule="auto"/>
              <w:rPr>
                <w:rFonts w:ascii="Times New Roman" w:eastAsia="Calibri" w:hAnsi="Times New Roman" w:cs="Times New Roman"/>
                <w:sz w:val="20"/>
                <w:szCs w:val="20"/>
              </w:rPr>
            </w:pPr>
          </w:p>
        </w:tc>
        <w:tc>
          <w:tcPr>
            <w:tcW w:w="1367" w:type="dxa"/>
            <w:shd w:val="clear" w:color="auto" w:fill="auto"/>
          </w:tcPr>
          <w:p w14:paraId="0D80C7C2" w14:textId="77777777" w:rsidR="009868D5" w:rsidRPr="009868D5" w:rsidRDefault="009868D5" w:rsidP="008F7951">
            <w:pPr>
              <w:spacing w:after="0" w:line="240" w:lineRule="auto"/>
              <w:rPr>
                <w:rFonts w:ascii="Times New Roman" w:eastAsia="Calibri" w:hAnsi="Times New Roman" w:cs="Times New Roman"/>
                <w:b/>
                <w:sz w:val="20"/>
                <w:szCs w:val="20"/>
              </w:rPr>
            </w:pPr>
            <w:r w:rsidRPr="009868D5">
              <w:rPr>
                <w:rFonts w:ascii="Times New Roman" w:eastAsia="Calibri" w:hAnsi="Times New Roman" w:cs="Times New Roman"/>
                <w:b/>
                <w:sz w:val="20"/>
                <w:szCs w:val="20"/>
              </w:rPr>
              <w:t>Liczba inspektorów</w:t>
            </w:r>
          </w:p>
        </w:tc>
        <w:tc>
          <w:tcPr>
            <w:tcW w:w="1673" w:type="dxa"/>
            <w:shd w:val="clear" w:color="auto" w:fill="auto"/>
          </w:tcPr>
          <w:p w14:paraId="207C16CD" w14:textId="77777777" w:rsidR="009868D5" w:rsidRPr="009868D5" w:rsidRDefault="009868D5" w:rsidP="008F7951">
            <w:pPr>
              <w:spacing w:after="0" w:line="240" w:lineRule="auto"/>
              <w:rPr>
                <w:rFonts w:ascii="Times New Roman" w:eastAsia="Calibri" w:hAnsi="Times New Roman" w:cs="Times New Roman"/>
                <w:b/>
                <w:sz w:val="20"/>
                <w:szCs w:val="20"/>
              </w:rPr>
            </w:pPr>
            <w:r w:rsidRPr="009868D5">
              <w:rPr>
                <w:rFonts w:ascii="Times New Roman" w:eastAsia="Calibri" w:hAnsi="Times New Roman" w:cs="Times New Roman"/>
                <w:b/>
                <w:sz w:val="20"/>
                <w:szCs w:val="20"/>
              </w:rPr>
              <w:t>Umiejscowienie w strukturach</w:t>
            </w:r>
          </w:p>
        </w:tc>
        <w:tc>
          <w:tcPr>
            <w:tcW w:w="1272" w:type="dxa"/>
            <w:shd w:val="clear" w:color="auto" w:fill="auto"/>
          </w:tcPr>
          <w:p w14:paraId="53836839" w14:textId="77777777" w:rsidR="009868D5" w:rsidRPr="009868D5" w:rsidRDefault="009868D5" w:rsidP="008F7951">
            <w:pPr>
              <w:spacing w:after="0" w:line="240" w:lineRule="auto"/>
              <w:rPr>
                <w:rFonts w:ascii="Times New Roman" w:eastAsia="Calibri" w:hAnsi="Times New Roman" w:cs="Times New Roman"/>
                <w:b/>
                <w:sz w:val="20"/>
                <w:szCs w:val="20"/>
              </w:rPr>
            </w:pPr>
            <w:r w:rsidRPr="009868D5">
              <w:rPr>
                <w:rFonts w:ascii="Times New Roman" w:eastAsia="Calibri" w:hAnsi="Times New Roman" w:cs="Times New Roman"/>
                <w:b/>
                <w:sz w:val="20"/>
                <w:szCs w:val="20"/>
              </w:rPr>
              <w:t>Liczba inspektorów</w:t>
            </w:r>
          </w:p>
        </w:tc>
        <w:tc>
          <w:tcPr>
            <w:tcW w:w="1521" w:type="dxa"/>
            <w:shd w:val="clear" w:color="auto" w:fill="auto"/>
          </w:tcPr>
          <w:p w14:paraId="734243EC" w14:textId="77777777" w:rsidR="009868D5" w:rsidRPr="009868D5" w:rsidRDefault="009868D5" w:rsidP="008F7951">
            <w:pPr>
              <w:spacing w:after="0" w:line="240" w:lineRule="auto"/>
              <w:rPr>
                <w:rFonts w:ascii="Times New Roman" w:eastAsia="Calibri" w:hAnsi="Times New Roman" w:cs="Times New Roman"/>
                <w:b/>
                <w:sz w:val="20"/>
                <w:szCs w:val="20"/>
              </w:rPr>
            </w:pPr>
            <w:r w:rsidRPr="009868D5">
              <w:rPr>
                <w:rFonts w:ascii="Times New Roman" w:eastAsia="Calibri" w:hAnsi="Times New Roman" w:cs="Times New Roman"/>
                <w:b/>
                <w:sz w:val="20"/>
                <w:szCs w:val="20"/>
              </w:rPr>
              <w:t>Rodzaj służb mundurowych</w:t>
            </w:r>
          </w:p>
        </w:tc>
        <w:tc>
          <w:tcPr>
            <w:tcW w:w="1837" w:type="dxa"/>
            <w:vMerge/>
            <w:shd w:val="clear" w:color="auto" w:fill="auto"/>
          </w:tcPr>
          <w:p w14:paraId="5034A02E" w14:textId="77777777" w:rsidR="009868D5" w:rsidRPr="009868D5" w:rsidRDefault="009868D5" w:rsidP="008F7951">
            <w:pPr>
              <w:spacing w:after="0" w:line="240" w:lineRule="auto"/>
              <w:rPr>
                <w:rFonts w:ascii="Times New Roman" w:eastAsia="Calibri" w:hAnsi="Times New Roman" w:cs="Times New Roman"/>
                <w:sz w:val="20"/>
                <w:szCs w:val="20"/>
              </w:rPr>
            </w:pPr>
          </w:p>
        </w:tc>
      </w:tr>
      <w:tr w:rsidR="009868D5" w:rsidRPr="009868D5" w14:paraId="43E344DA" w14:textId="77777777" w:rsidTr="008F7951">
        <w:tc>
          <w:tcPr>
            <w:tcW w:w="1392" w:type="dxa"/>
            <w:shd w:val="clear" w:color="auto" w:fill="auto"/>
          </w:tcPr>
          <w:p w14:paraId="15B0F958" w14:textId="77777777" w:rsidR="009868D5" w:rsidRPr="009868D5" w:rsidRDefault="009868D5" w:rsidP="008F7951">
            <w:pPr>
              <w:spacing w:after="0" w:line="240" w:lineRule="auto"/>
              <w:rPr>
                <w:rFonts w:ascii="Times New Roman" w:eastAsia="Calibri" w:hAnsi="Times New Roman" w:cs="Times New Roman"/>
                <w:b/>
                <w:sz w:val="20"/>
                <w:szCs w:val="20"/>
              </w:rPr>
            </w:pPr>
            <w:r w:rsidRPr="009868D5">
              <w:rPr>
                <w:rFonts w:ascii="Times New Roman" w:eastAsia="Calibri" w:hAnsi="Times New Roman" w:cs="Times New Roman"/>
                <w:b/>
                <w:sz w:val="20"/>
                <w:szCs w:val="20"/>
              </w:rPr>
              <w:t>WIOŚ w Białymstoku</w:t>
            </w:r>
          </w:p>
        </w:tc>
        <w:tc>
          <w:tcPr>
            <w:tcW w:w="1367" w:type="dxa"/>
            <w:shd w:val="clear" w:color="auto" w:fill="auto"/>
          </w:tcPr>
          <w:p w14:paraId="415A4FE7"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10 (do 30.11.2022 r.)</w:t>
            </w:r>
          </w:p>
          <w:p w14:paraId="40B82DD4" w14:textId="77777777" w:rsidR="009868D5" w:rsidRPr="009868D5" w:rsidRDefault="009868D5" w:rsidP="008F7951">
            <w:pPr>
              <w:spacing w:after="0" w:line="240" w:lineRule="auto"/>
              <w:rPr>
                <w:rFonts w:ascii="Times New Roman" w:eastAsia="Calibri" w:hAnsi="Times New Roman" w:cs="Times New Roman"/>
                <w:sz w:val="20"/>
                <w:szCs w:val="20"/>
              </w:rPr>
            </w:pPr>
          </w:p>
          <w:p w14:paraId="74C300D8"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5 (od 01.12.2022 r.)</w:t>
            </w:r>
          </w:p>
        </w:tc>
        <w:tc>
          <w:tcPr>
            <w:tcW w:w="1673" w:type="dxa"/>
            <w:shd w:val="clear" w:color="auto" w:fill="auto"/>
          </w:tcPr>
          <w:p w14:paraId="78044EB5"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Grupa zadaniowa</w:t>
            </w:r>
          </w:p>
          <w:p w14:paraId="584C79DA" w14:textId="77777777" w:rsidR="009868D5" w:rsidRPr="009868D5" w:rsidRDefault="009868D5" w:rsidP="008F7951">
            <w:pPr>
              <w:spacing w:after="0" w:line="240" w:lineRule="auto"/>
              <w:rPr>
                <w:rFonts w:ascii="Times New Roman" w:eastAsia="Calibri" w:hAnsi="Times New Roman" w:cs="Times New Roman"/>
                <w:sz w:val="20"/>
                <w:szCs w:val="20"/>
              </w:rPr>
            </w:pPr>
          </w:p>
          <w:p w14:paraId="4E0E6D6C"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Wydział Zwalczania</w:t>
            </w:r>
          </w:p>
          <w:p w14:paraId="1A88A5D3"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Przestępczości Środowiskowej</w:t>
            </w:r>
          </w:p>
          <w:p w14:paraId="074E3E1D" w14:textId="77777777" w:rsidR="009868D5" w:rsidRPr="009868D5" w:rsidRDefault="009868D5" w:rsidP="008F7951">
            <w:pPr>
              <w:spacing w:after="0" w:line="240" w:lineRule="auto"/>
              <w:rPr>
                <w:rFonts w:ascii="Times New Roman" w:eastAsia="Calibri" w:hAnsi="Times New Roman" w:cs="Times New Roman"/>
                <w:sz w:val="20"/>
                <w:szCs w:val="20"/>
              </w:rPr>
            </w:pPr>
          </w:p>
        </w:tc>
        <w:tc>
          <w:tcPr>
            <w:tcW w:w="1272" w:type="dxa"/>
            <w:shd w:val="clear" w:color="auto" w:fill="auto"/>
          </w:tcPr>
          <w:p w14:paraId="5FB18353"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w:t>
            </w:r>
          </w:p>
          <w:p w14:paraId="3807E81C" w14:textId="77777777" w:rsidR="009868D5" w:rsidRPr="009868D5" w:rsidRDefault="009868D5" w:rsidP="008F7951">
            <w:pPr>
              <w:spacing w:after="0" w:line="240" w:lineRule="auto"/>
              <w:rPr>
                <w:rFonts w:ascii="Times New Roman" w:eastAsia="Calibri" w:hAnsi="Times New Roman" w:cs="Times New Roman"/>
                <w:sz w:val="20"/>
                <w:szCs w:val="20"/>
              </w:rPr>
            </w:pPr>
          </w:p>
          <w:p w14:paraId="226055A9" w14:textId="77777777" w:rsidR="009868D5" w:rsidRPr="009868D5" w:rsidRDefault="009868D5" w:rsidP="008F7951">
            <w:pPr>
              <w:spacing w:after="0" w:line="240" w:lineRule="auto"/>
              <w:rPr>
                <w:rFonts w:ascii="Times New Roman" w:eastAsia="Calibri" w:hAnsi="Times New Roman" w:cs="Times New Roman"/>
                <w:sz w:val="20"/>
                <w:szCs w:val="20"/>
              </w:rPr>
            </w:pPr>
          </w:p>
          <w:p w14:paraId="64C305EA"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2</w:t>
            </w:r>
          </w:p>
        </w:tc>
        <w:tc>
          <w:tcPr>
            <w:tcW w:w="1521" w:type="dxa"/>
            <w:shd w:val="clear" w:color="auto" w:fill="auto"/>
          </w:tcPr>
          <w:p w14:paraId="28C6D3D3"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 – Policja</w:t>
            </w:r>
          </w:p>
          <w:p w14:paraId="6EB91C1E" w14:textId="77777777" w:rsidR="009868D5" w:rsidRPr="009868D5" w:rsidRDefault="009868D5" w:rsidP="008F7951">
            <w:pPr>
              <w:spacing w:after="0" w:line="240" w:lineRule="auto"/>
              <w:rPr>
                <w:rFonts w:ascii="Times New Roman" w:eastAsia="Calibri" w:hAnsi="Times New Roman" w:cs="Times New Roman"/>
                <w:sz w:val="20"/>
                <w:szCs w:val="20"/>
              </w:rPr>
            </w:pPr>
          </w:p>
          <w:p w14:paraId="4E789C44" w14:textId="77777777" w:rsidR="009868D5" w:rsidRPr="009868D5" w:rsidRDefault="009868D5" w:rsidP="008F7951">
            <w:pPr>
              <w:spacing w:after="0" w:line="240" w:lineRule="auto"/>
              <w:rPr>
                <w:rFonts w:ascii="Times New Roman" w:eastAsia="Calibri" w:hAnsi="Times New Roman" w:cs="Times New Roman"/>
                <w:sz w:val="20"/>
                <w:szCs w:val="20"/>
              </w:rPr>
            </w:pPr>
          </w:p>
          <w:p w14:paraId="040FAFCD"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2 - Policja</w:t>
            </w:r>
          </w:p>
        </w:tc>
        <w:tc>
          <w:tcPr>
            <w:tcW w:w="1837" w:type="dxa"/>
            <w:shd w:val="clear" w:color="auto" w:fill="auto"/>
          </w:tcPr>
          <w:p w14:paraId="59B6DD24" w14:textId="77777777" w:rsidR="008F7951"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 xml:space="preserve">Gotowość do podejmowania działań w systemie 24 godzinnym przez 7 dni </w:t>
            </w:r>
            <w:r w:rsidR="008F7951">
              <w:rPr>
                <w:rFonts w:ascii="Times New Roman" w:eastAsia="Calibri" w:hAnsi="Times New Roman" w:cs="Times New Roman"/>
                <w:sz w:val="20"/>
                <w:szCs w:val="20"/>
              </w:rPr>
              <w:br/>
            </w:r>
            <w:r w:rsidRPr="009868D5">
              <w:rPr>
                <w:rFonts w:ascii="Times New Roman" w:eastAsia="Calibri" w:hAnsi="Times New Roman" w:cs="Times New Roman"/>
                <w:sz w:val="20"/>
                <w:szCs w:val="20"/>
              </w:rPr>
              <w:t xml:space="preserve">w tygodniu przez wszystkich pracowników Wydziału Inspekcji i WZPŚ. </w:t>
            </w:r>
          </w:p>
          <w:p w14:paraId="68D80FCE" w14:textId="3AC7B48A"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Dyżury w Inspektoracie do godziny 22.00., w godzinach nocnych, weekendy i święta telefony alarmowe.</w:t>
            </w:r>
          </w:p>
        </w:tc>
      </w:tr>
      <w:tr w:rsidR="009868D5" w:rsidRPr="009868D5" w14:paraId="506232E2" w14:textId="77777777" w:rsidTr="008F7951">
        <w:tc>
          <w:tcPr>
            <w:tcW w:w="1392" w:type="dxa"/>
            <w:shd w:val="clear" w:color="auto" w:fill="auto"/>
          </w:tcPr>
          <w:p w14:paraId="00D53212" w14:textId="0A3C271F" w:rsidR="009868D5" w:rsidRPr="009868D5" w:rsidRDefault="009868D5" w:rsidP="008F7951">
            <w:pPr>
              <w:spacing w:after="0" w:line="240" w:lineRule="auto"/>
              <w:rPr>
                <w:rFonts w:ascii="Times New Roman" w:eastAsia="Calibri" w:hAnsi="Times New Roman" w:cs="Times New Roman"/>
                <w:b/>
                <w:sz w:val="20"/>
                <w:szCs w:val="20"/>
              </w:rPr>
            </w:pPr>
            <w:r w:rsidRPr="009868D5">
              <w:rPr>
                <w:rFonts w:ascii="Times New Roman" w:eastAsia="Calibri" w:hAnsi="Times New Roman" w:cs="Times New Roman"/>
                <w:b/>
                <w:sz w:val="20"/>
                <w:szCs w:val="20"/>
              </w:rPr>
              <w:t xml:space="preserve">WIOŚ </w:t>
            </w:r>
            <w:r w:rsidRPr="009868D5">
              <w:rPr>
                <w:rFonts w:ascii="Times New Roman" w:eastAsia="Calibri" w:hAnsi="Times New Roman" w:cs="Times New Roman"/>
                <w:b/>
                <w:sz w:val="20"/>
                <w:szCs w:val="20"/>
              </w:rPr>
              <w:br/>
              <w:t xml:space="preserve">w </w:t>
            </w:r>
            <w:r w:rsidR="008F7951">
              <w:rPr>
                <w:rFonts w:ascii="Times New Roman" w:eastAsia="Calibri" w:hAnsi="Times New Roman" w:cs="Times New Roman"/>
                <w:b/>
                <w:sz w:val="20"/>
                <w:szCs w:val="20"/>
              </w:rPr>
              <w:t>B</w:t>
            </w:r>
            <w:r w:rsidRPr="009868D5">
              <w:rPr>
                <w:rFonts w:ascii="Times New Roman" w:eastAsia="Calibri" w:hAnsi="Times New Roman" w:cs="Times New Roman"/>
                <w:b/>
                <w:sz w:val="20"/>
                <w:szCs w:val="20"/>
              </w:rPr>
              <w:t xml:space="preserve">ydgoszczy </w:t>
            </w:r>
          </w:p>
        </w:tc>
        <w:tc>
          <w:tcPr>
            <w:tcW w:w="1367" w:type="dxa"/>
            <w:shd w:val="clear" w:color="auto" w:fill="auto"/>
          </w:tcPr>
          <w:p w14:paraId="0DEE8BF9"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12</w:t>
            </w:r>
          </w:p>
        </w:tc>
        <w:tc>
          <w:tcPr>
            <w:tcW w:w="1673" w:type="dxa"/>
            <w:shd w:val="clear" w:color="auto" w:fill="auto"/>
          </w:tcPr>
          <w:p w14:paraId="137C821D"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Grupa zadaniowa</w:t>
            </w:r>
          </w:p>
        </w:tc>
        <w:tc>
          <w:tcPr>
            <w:tcW w:w="1272" w:type="dxa"/>
            <w:shd w:val="clear" w:color="auto" w:fill="auto"/>
          </w:tcPr>
          <w:p w14:paraId="2A98496C"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4</w:t>
            </w:r>
          </w:p>
        </w:tc>
        <w:tc>
          <w:tcPr>
            <w:tcW w:w="1521" w:type="dxa"/>
            <w:shd w:val="clear" w:color="auto" w:fill="auto"/>
          </w:tcPr>
          <w:p w14:paraId="2F457CE1"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4 – Policja</w:t>
            </w:r>
          </w:p>
        </w:tc>
        <w:tc>
          <w:tcPr>
            <w:tcW w:w="1837" w:type="dxa"/>
            <w:shd w:val="clear" w:color="auto" w:fill="auto"/>
          </w:tcPr>
          <w:p w14:paraId="17D48E42"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Gotowość do podejmowania działań przez cały tydzień, przez całą dobę</w:t>
            </w:r>
          </w:p>
        </w:tc>
      </w:tr>
      <w:tr w:rsidR="009868D5" w:rsidRPr="009868D5" w14:paraId="73F13A73" w14:textId="77777777" w:rsidTr="008F7951">
        <w:tc>
          <w:tcPr>
            <w:tcW w:w="1392" w:type="dxa"/>
            <w:shd w:val="clear" w:color="auto" w:fill="auto"/>
          </w:tcPr>
          <w:p w14:paraId="6246F36F" w14:textId="77777777" w:rsidR="009868D5" w:rsidRPr="009868D5" w:rsidRDefault="009868D5" w:rsidP="008F7951">
            <w:pPr>
              <w:spacing w:after="0" w:line="240" w:lineRule="auto"/>
              <w:rPr>
                <w:rFonts w:ascii="Times New Roman" w:eastAsia="Calibri" w:hAnsi="Times New Roman" w:cs="Times New Roman"/>
                <w:b/>
                <w:sz w:val="20"/>
                <w:szCs w:val="20"/>
              </w:rPr>
            </w:pPr>
            <w:r w:rsidRPr="009868D5">
              <w:rPr>
                <w:rFonts w:ascii="Times New Roman" w:eastAsia="Calibri" w:hAnsi="Times New Roman" w:cs="Times New Roman"/>
                <w:b/>
                <w:sz w:val="20"/>
                <w:szCs w:val="20"/>
              </w:rPr>
              <w:t xml:space="preserve">WIOŚ </w:t>
            </w:r>
            <w:r w:rsidRPr="009868D5">
              <w:rPr>
                <w:rFonts w:ascii="Times New Roman" w:eastAsia="Calibri" w:hAnsi="Times New Roman" w:cs="Times New Roman"/>
                <w:b/>
                <w:sz w:val="20"/>
                <w:szCs w:val="20"/>
              </w:rPr>
              <w:br/>
              <w:t>w Gdańsku</w:t>
            </w:r>
          </w:p>
        </w:tc>
        <w:tc>
          <w:tcPr>
            <w:tcW w:w="1367" w:type="dxa"/>
            <w:shd w:val="clear" w:color="auto" w:fill="auto"/>
          </w:tcPr>
          <w:p w14:paraId="56F5DE10"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11</w:t>
            </w:r>
          </w:p>
          <w:p w14:paraId="3154E581" w14:textId="77777777" w:rsidR="009868D5" w:rsidRPr="009868D5" w:rsidRDefault="009868D5" w:rsidP="008F7951">
            <w:pPr>
              <w:spacing w:after="0" w:line="240" w:lineRule="auto"/>
              <w:rPr>
                <w:rFonts w:ascii="Times New Roman" w:eastAsia="Calibri" w:hAnsi="Times New Roman" w:cs="Times New Roman"/>
                <w:sz w:val="20"/>
                <w:szCs w:val="20"/>
              </w:rPr>
            </w:pPr>
          </w:p>
          <w:p w14:paraId="20F5499A" w14:textId="77777777" w:rsidR="009868D5" w:rsidRPr="009868D5" w:rsidRDefault="009868D5" w:rsidP="008F7951">
            <w:pPr>
              <w:spacing w:after="0" w:line="240" w:lineRule="auto"/>
              <w:rPr>
                <w:rFonts w:ascii="Times New Roman" w:eastAsia="Calibri" w:hAnsi="Times New Roman" w:cs="Times New Roman"/>
                <w:sz w:val="20"/>
                <w:szCs w:val="20"/>
              </w:rPr>
            </w:pPr>
          </w:p>
          <w:p w14:paraId="7D155436" w14:textId="77777777" w:rsidR="009868D5" w:rsidRPr="009868D5" w:rsidRDefault="009868D5" w:rsidP="008F7951">
            <w:pPr>
              <w:spacing w:after="0" w:line="240" w:lineRule="auto"/>
              <w:rPr>
                <w:rFonts w:ascii="Times New Roman" w:eastAsia="Calibri" w:hAnsi="Times New Roman" w:cs="Times New Roman"/>
                <w:sz w:val="20"/>
                <w:szCs w:val="20"/>
              </w:rPr>
            </w:pPr>
          </w:p>
          <w:p w14:paraId="364C8F75" w14:textId="77777777" w:rsidR="009868D5" w:rsidRPr="009868D5" w:rsidRDefault="009868D5" w:rsidP="008F7951">
            <w:pPr>
              <w:spacing w:after="0" w:line="240" w:lineRule="auto"/>
              <w:rPr>
                <w:rFonts w:ascii="Times New Roman" w:eastAsia="Calibri" w:hAnsi="Times New Roman" w:cs="Times New Roman"/>
                <w:sz w:val="20"/>
                <w:szCs w:val="20"/>
              </w:rPr>
            </w:pPr>
          </w:p>
          <w:p w14:paraId="32284E73"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10</w:t>
            </w:r>
          </w:p>
          <w:p w14:paraId="4F566E8A" w14:textId="77777777" w:rsidR="009868D5" w:rsidRPr="009868D5" w:rsidRDefault="009868D5" w:rsidP="008F7951">
            <w:pPr>
              <w:spacing w:after="0" w:line="240" w:lineRule="auto"/>
              <w:rPr>
                <w:rFonts w:ascii="Times New Roman" w:eastAsia="Calibri" w:hAnsi="Times New Roman" w:cs="Times New Roman"/>
                <w:sz w:val="20"/>
                <w:szCs w:val="20"/>
              </w:rPr>
            </w:pPr>
          </w:p>
          <w:p w14:paraId="41DB7907" w14:textId="77777777" w:rsidR="009868D5" w:rsidRPr="009868D5" w:rsidRDefault="009868D5" w:rsidP="008F7951">
            <w:pPr>
              <w:spacing w:after="0" w:line="240" w:lineRule="auto"/>
              <w:rPr>
                <w:rFonts w:ascii="Times New Roman" w:eastAsia="Calibri" w:hAnsi="Times New Roman" w:cs="Times New Roman"/>
                <w:sz w:val="20"/>
                <w:szCs w:val="20"/>
              </w:rPr>
            </w:pPr>
          </w:p>
          <w:p w14:paraId="1BBED3AB" w14:textId="77777777" w:rsidR="009868D5" w:rsidRPr="009868D5" w:rsidRDefault="009868D5" w:rsidP="008F7951">
            <w:pPr>
              <w:spacing w:after="0" w:line="240" w:lineRule="auto"/>
              <w:rPr>
                <w:rFonts w:ascii="Times New Roman" w:eastAsia="Calibri" w:hAnsi="Times New Roman" w:cs="Times New Roman"/>
                <w:sz w:val="20"/>
                <w:szCs w:val="20"/>
              </w:rPr>
            </w:pPr>
          </w:p>
          <w:p w14:paraId="02CAFD99" w14:textId="77777777" w:rsidR="009868D5" w:rsidRPr="009868D5" w:rsidRDefault="009868D5" w:rsidP="008F7951">
            <w:pPr>
              <w:spacing w:after="0" w:line="240" w:lineRule="auto"/>
              <w:rPr>
                <w:rFonts w:ascii="Times New Roman" w:eastAsia="Calibri" w:hAnsi="Times New Roman" w:cs="Times New Roman"/>
                <w:sz w:val="20"/>
                <w:szCs w:val="20"/>
              </w:rPr>
            </w:pPr>
          </w:p>
          <w:p w14:paraId="406F8C15"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 xml:space="preserve">5 </w:t>
            </w:r>
          </w:p>
          <w:p w14:paraId="125DCFA2" w14:textId="77777777" w:rsidR="009868D5" w:rsidRPr="009868D5" w:rsidRDefault="009868D5" w:rsidP="008F7951">
            <w:pPr>
              <w:spacing w:after="0" w:line="240" w:lineRule="auto"/>
              <w:rPr>
                <w:rFonts w:ascii="Times New Roman" w:eastAsia="Calibri" w:hAnsi="Times New Roman" w:cs="Times New Roman"/>
                <w:sz w:val="20"/>
                <w:szCs w:val="20"/>
              </w:rPr>
            </w:pPr>
          </w:p>
          <w:p w14:paraId="33F347B4" w14:textId="77777777" w:rsidR="009868D5" w:rsidRPr="009868D5" w:rsidRDefault="009868D5" w:rsidP="008F7951">
            <w:pPr>
              <w:spacing w:after="0" w:line="240" w:lineRule="auto"/>
              <w:rPr>
                <w:rFonts w:ascii="Times New Roman" w:eastAsia="Calibri" w:hAnsi="Times New Roman" w:cs="Times New Roman"/>
                <w:sz w:val="20"/>
                <w:szCs w:val="20"/>
              </w:rPr>
            </w:pPr>
          </w:p>
        </w:tc>
        <w:tc>
          <w:tcPr>
            <w:tcW w:w="1673" w:type="dxa"/>
            <w:shd w:val="clear" w:color="auto" w:fill="auto"/>
          </w:tcPr>
          <w:p w14:paraId="171293AB"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Grupa interwencyjno-wyjazdowa</w:t>
            </w:r>
          </w:p>
          <w:p w14:paraId="3EB7C157"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(do 30.06.2022 r.)</w:t>
            </w:r>
          </w:p>
          <w:p w14:paraId="2A81059E" w14:textId="77777777" w:rsidR="009868D5" w:rsidRPr="009868D5" w:rsidRDefault="009868D5" w:rsidP="008F7951">
            <w:pPr>
              <w:spacing w:after="0" w:line="240" w:lineRule="auto"/>
              <w:rPr>
                <w:rFonts w:ascii="Times New Roman" w:eastAsia="Calibri" w:hAnsi="Times New Roman" w:cs="Times New Roman"/>
                <w:sz w:val="20"/>
                <w:szCs w:val="20"/>
              </w:rPr>
            </w:pPr>
          </w:p>
          <w:p w14:paraId="32C13E2A"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Wydział Zwalczania</w:t>
            </w:r>
          </w:p>
          <w:p w14:paraId="3A7A9AD7"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Przestępczości Środowiskowej</w:t>
            </w:r>
          </w:p>
          <w:p w14:paraId="0C92EBD2" w14:textId="77777777" w:rsidR="009868D5" w:rsidRPr="009868D5" w:rsidRDefault="009868D5" w:rsidP="008F7951">
            <w:pPr>
              <w:spacing w:after="0" w:line="240" w:lineRule="auto"/>
              <w:rPr>
                <w:rFonts w:ascii="Times New Roman" w:eastAsia="Calibri" w:hAnsi="Times New Roman" w:cs="Times New Roman"/>
                <w:sz w:val="20"/>
                <w:szCs w:val="20"/>
              </w:rPr>
            </w:pPr>
          </w:p>
          <w:p w14:paraId="0F50E14F" w14:textId="77777777" w:rsidR="009868D5" w:rsidRDefault="009868D5" w:rsidP="008F7951">
            <w:pPr>
              <w:spacing w:after="0" w:line="240" w:lineRule="auto"/>
              <w:rPr>
                <w:rFonts w:ascii="Times New Roman" w:eastAsia="Calibri" w:hAnsi="Times New Roman" w:cs="Times New Roman"/>
                <w:sz w:val="20"/>
                <w:szCs w:val="20"/>
              </w:rPr>
            </w:pPr>
          </w:p>
          <w:p w14:paraId="363C36CF" w14:textId="77777777" w:rsidR="009868D5" w:rsidRDefault="009868D5" w:rsidP="008F7951">
            <w:pPr>
              <w:spacing w:after="0" w:line="240" w:lineRule="auto"/>
              <w:rPr>
                <w:rFonts w:ascii="Times New Roman" w:eastAsia="Calibri" w:hAnsi="Times New Roman" w:cs="Times New Roman"/>
                <w:sz w:val="20"/>
                <w:szCs w:val="20"/>
              </w:rPr>
            </w:pPr>
          </w:p>
          <w:p w14:paraId="7B6D963A" w14:textId="2CE05C28"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Dział Zwalczania</w:t>
            </w:r>
          </w:p>
          <w:p w14:paraId="36291F17"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Przestępczości Środowiskowej</w:t>
            </w:r>
          </w:p>
          <w:p w14:paraId="629A7E1C"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(Del. w Słupsku)</w:t>
            </w:r>
          </w:p>
        </w:tc>
        <w:tc>
          <w:tcPr>
            <w:tcW w:w="1272" w:type="dxa"/>
            <w:shd w:val="clear" w:color="auto" w:fill="auto"/>
          </w:tcPr>
          <w:p w14:paraId="5BE4E052"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w:t>
            </w:r>
          </w:p>
          <w:p w14:paraId="767E960F" w14:textId="77777777" w:rsidR="009868D5" w:rsidRPr="009868D5" w:rsidRDefault="009868D5" w:rsidP="008F7951">
            <w:pPr>
              <w:spacing w:after="0" w:line="240" w:lineRule="auto"/>
              <w:rPr>
                <w:rFonts w:ascii="Times New Roman" w:eastAsia="Calibri" w:hAnsi="Times New Roman" w:cs="Times New Roman"/>
                <w:sz w:val="20"/>
                <w:szCs w:val="20"/>
              </w:rPr>
            </w:pPr>
          </w:p>
          <w:p w14:paraId="714FA958" w14:textId="77777777" w:rsidR="009868D5" w:rsidRPr="009868D5" w:rsidRDefault="009868D5" w:rsidP="008F7951">
            <w:pPr>
              <w:spacing w:after="0" w:line="240" w:lineRule="auto"/>
              <w:rPr>
                <w:rFonts w:ascii="Times New Roman" w:eastAsia="Calibri" w:hAnsi="Times New Roman" w:cs="Times New Roman"/>
                <w:sz w:val="20"/>
                <w:szCs w:val="20"/>
              </w:rPr>
            </w:pPr>
          </w:p>
          <w:p w14:paraId="18208464" w14:textId="77777777" w:rsidR="009868D5" w:rsidRPr="009868D5" w:rsidRDefault="009868D5" w:rsidP="008F7951">
            <w:pPr>
              <w:spacing w:after="0" w:line="240" w:lineRule="auto"/>
              <w:rPr>
                <w:rFonts w:ascii="Times New Roman" w:eastAsia="Calibri" w:hAnsi="Times New Roman" w:cs="Times New Roman"/>
                <w:sz w:val="20"/>
                <w:szCs w:val="20"/>
              </w:rPr>
            </w:pPr>
          </w:p>
          <w:p w14:paraId="3283A7B4" w14:textId="77777777" w:rsidR="009868D5" w:rsidRPr="009868D5" w:rsidRDefault="009868D5" w:rsidP="008F7951">
            <w:pPr>
              <w:spacing w:after="0" w:line="240" w:lineRule="auto"/>
              <w:rPr>
                <w:rFonts w:ascii="Times New Roman" w:eastAsia="Calibri" w:hAnsi="Times New Roman" w:cs="Times New Roman"/>
                <w:sz w:val="20"/>
                <w:szCs w:val="20"/>
              </w:rPr>
            </w:pPr>
          </w:p>
          <w:p w14:paraId="7FC560C7"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w:t>
            </w:r>
          </w:p>
          <w:p w14:paraId="521EC1EE" w14:textId="77777777" w:rsidR="009868D5" w:rsidRPr="009868D5" w:rsidRDefault="009868D5" w:rsidP="008F7951">
            <w:pPr>
              <w:spacing w:after="0" w:line="240" w:lineRule="auto"/>
              <w:rPr>
                <w:rFonts w:ascii="Times New Roman" w:eastAsia="Calibri" w:hAnsi="Times New Roman" w:cs="Times New Roman"/>
                <w:sz w:val="20"/>
                <w:szCs w:val="20"/>
              </w:rPr>
            </w:pPr>
          </w:p>
          <w:p w14:paraId="0102A93F" w14:textId="77777777" w:rsidR="009868D5" w:rsidRPr="009868D5" w:rsidRDefault="009868D5" w:rsidP="008F7951">
            <w:pPr>
              <w:spacing w:after="0" w:line="240" w:lineRule="auto"/>
              <w:rPr>
                <w:rFonts w:ascii="Times New Roman" w:eastAsia="Calibri" w:hAnsi="Times New Roman" w:cs="Times New Roman"/>
                <w:sz w:val="20"/>
                <w:szCs w:val="20"/>
              </w:rPr>
            </w:pPr>
          </w:p>
          <w:p w14:paraId="5E238AEF" w14:textId="77777777" w:rsidR="009868D5" w:rsidRPr="009868D5" w:rsidRDefault="009868D5" w:rsidP="008F7951">
            <w:pPr>
              <w:spacing w:after="0" w:line="240" w:lineRule="auto"/>
              <w:rPr>
                <w:rFonts w:ascii="Times New Roman" w:eastAsia="Calibri" w:hAnsi="Times New Roman" w:cs="Times New Roman"/>
                <w:sz w:val="20"/>
                <w:szCs w:val="20"/>
              </w:rPr>
            </w:pPr>
          </w:p>
          <w:p w14:paraId="1495E3BF" w14:textId="77777777" w:rsidR="009868D5" w:rsidRPr="009868D5" w:rsidRDefault="009868D5" w:rsidP="008F7951">
            <w:pPr>
              <w:spacing w:after="0" w:line="240" w:lineRule="auto"/>
              <w:rPr>
                <w:rFonts w:ascii="Times New Roman" w:eastAsia="Calibri" w:hAnsi="Times New Roman" w:cs="Times New Roman"/>
                <w:sz w:val="20"/>
                <w:szCs w:val="20"/>
              </w:rPr>
            </w:pPr>
          </w:p>
          <w:p w14:paraId="554ECB0F"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w:t>
            </w:r>
          </w:p>
        </w:tc>
        <w:tc>
          <w:tcPr>
            <w:tcW w:w="1521" w:type="dxa"/>
            <w:shd w:val="clear" w:color="auto" w:fill="auto"/>
          </w:tcPr>
          <w:p w14:paraId="4AD0F2E3"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 – Policja</w:t>
            </w:r>
          </w:p>
          <w:p w14:paraId="4D02D2A5" w14:textId="77777777" w:rsidR="009868D5" w:rsidRPr="009868D5" w:rsidRDefault="009868D5" w:rsidP="008F7951">
            <w:pPr>
              <w:spacing w:after="0" w:line="240" w:lineRule="auto"/>
              <w:rPr>
                <w:rFonts w:ascii="Times New Roman" w:eastAsia="Calibri" w:hAnsi="Times New Roman" w:cs="Times New Roman"/>
                <w:sz w:val="20"/>
                <w:szCs w:val="20"/>
              </w:rPr>
            </w:pPr>
          </w:p>
          <w:p w14:paraId="0057D82A" w14:textId="77777777" w:rsidR="009868D5" w:rsidRPr="009868D5" w:rsidRDefault="009868D5" w:rsidP="008F7951">
            <w:pPr>
              <w:spacing w:after="0" w:line="240" w:lineRule="auto"/>
              <w:rPr>
                <w:rFonts w:ascii="Times New Roman" w:eastAsia="Calibri" w:hAnsi="Times New Roman" w:cs="Times New Roman"/>
                <w:sz w:val="20"/>
                <w:szCs w:val="20"/>
              </w:rPr>
            </w:pPr>
          </w:p>
          <w:p w14:paraId="450C7D07" w14:textId="77777777" w:rsidR="009868D5" w:rsidRPr="009868D5" w:rsidRDefault="009868D5" w:rsidP="008F7951">
            <w:pPr>
              <w:spacing w:after="0" w:line="240" w:lineRule="auto"/>
              <w:rPr>
                <w:rFonts w:ascii="Times New Roman" w:eastAsia="Calibri" w:hAnsi="Times New Roman" w:cs="Times New Roman"/>
                <w:sz w:val="20"/>
                <w:szCs w:val="20"/>
              </w:rPr>
            </w:pPr>
          </w:p>
          <w:p w14:paraId="0B25511C" w14:textId="77777777" w:rsidR="009868D5" w:rsidRPr="009868D5" w:rsidRDefault="009868D5" w:rsidP="008F7951">
            <w:pPr>
              <w:spacing w:after="0" w:line="240" w:lineRule="auto"/>
              <w:rPr>
                <w:rFonts w:ascii="Times New Roman" w:eastAsia="Calibri" w:hAnsi="Times New Roman" w:cs="Times New Roman"/>
                <w:sz w:val="20"/>
                <w:szCs w:val="20"/>
              </w:rPr>
            </w:pPr>
          </w:p>
          <w:p w14:paraId="31A55FB0"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 – Policja</w:t>
            </w:r>
          </w:p>
          <w:p w14:paraId="3054A57A" w14:textId="77777777" w:rsidR="009868D5" w:rsidRPr="009868D5" w:rsidRDefault="009868D5" w:rsidP="008F7951">
            <w:pPr>
              <w:spacing w:after="0" w:line="240" w:lineRule="auto"/>
              <w:rPr>
                <w:rFonts w:ascii="Times New Roman" w:eastAsia="Calibri" w:hAnsi="Times New Roman" w:cs="Times New Roman"/>
                <w:sz w:val="20"/>
                <w:szCs w:val="20"/>
              </w:rPr>
            </w:pPr>
          </w:p>
          <w:p w14:paraId="3A5CF830" w14:textId="77777777" w:rsidR="009868D5" w:rsidRPr="009868D5" w:rsidRDefault="009868D5" w:rsidP="008F7951">
            <w:pPr>
              <w:spacing w:after="0" w:line="240" w:lineRule="auto"/>
              <w:rPr>
                <w:rFonts w:ascii="Times New Roman" w:eastAsia="Calibri" w:hAnsi="Times New Roman" w:cs="Times New Roman"/>
                <w:sz w:val="20"/>
                <w:szCs w:val="20"/>
              </w:rPr>
            </w:pPr>
          </w:p>
          <w:p w14:paraId="1BAA0C20" w14:textId="77777777" w:rsidR="009868D5" w:rsidRPr="009868D5" w:rsidRDefault="009868D5" w:rsidP="008F7951">
            <w:pPr>
              <w:spacing w:after="0" w:line="240" w:lineRule="auto"/>
              <w:rPr>
                <w:rFonts w:ascii="Times New Roman" w:eastAsia="Calibri" w:hAnsi="Times New Roman" w:cs="Times New Roman"/>
                <w:sz w:val="20"/>
                <w:szCs w:val="20"/>
              </w:rPr>
            </w:pPr>
          </w:p>
          <w:p w14:paraId="659FF46D" w14:textId="77777777" w:rsidR="009868D5" w:rsidRPr="009868D5" w:rsidRDefault="009868D5" w:rsidP="008F7951">
            <w:pPr>
              <w:spacing w:after="0" w:line="240" w:lineRule="auto"/>
              <w:rPr>
                <w:rFonts w:ascii="Times New Roman" w:eastAsia="Calibri" w:hAnsi="Times New Roman" w:cs="Times New Roman"/>
                <w:sz w:val="20"/>
                <w:szCs w:val="20"/>
              </w:rPr>
            </w:pPr>
          </w:p>
          <w:p w14:paraId="4470DA68"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1 - Policja</w:t>
            </w:r>
          </w:p>
        </w:tc>
        <w:tc>
          <w:tcPr>
            <w:tcW w:w="1837" w:type="dxa"/>
            <w:shd w:val="clear" w:color="auto" w:fill="auto"/>
          </w:tcPr>
          <w:p w14:paraId="38779555"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Pracownicy wszystkich jednostek kontrolnych (Wydział i Dział Inspekcji, Wydział i Dział Zwalczania Przestępczości Środowiskowej) pełnią po godzinach pracy Inspektoratu dyżur z telefonem alarmowym</w:t>
            </w:r>
          </w:p>
          <w:p w14:paraId="5EA8B7A4" w14:textId="77777777" w:rsidR="009868D5" w:rsidRPr="009868D5" w:rsidRDefault="009868D5" w:rsidP="008F7951">
            <w:pPr>
              <w:autoSpaceDE w:val="0"/>
              <w:autoSpaceDN w:val="0"/>
              <w:adjustRightInd w:val="0"/>
              <w:spacing w:after="0" w:line="240" w:lineRule="auto"/>
              <w:contextualSpacing/>
              <w:rPr>
                <w:rFonts w:ascii="Times New Roman" w:eastAsia="Calibri" w:hAnsi="Times New Roman" w:cs="Times New Roman"/>
                <w:sz w:val="20"/>
                <w:szCs w:val="20"/>
              </w:rPr>
            </w:pPr>
            <w:r w:rsidRPr="009868D5">
              <w:rPr>
                <w:rFonts w:ascii="Times New Roman" w:eastAsia="Calibri" w:hAnsi="Times New Roman" w:cs="Times New Roman"/>
                <w:sz w:val="20"/>
                <w:szCs w:val="20"/>
              </w:rPr>
              <w:t xml:space="preserve">Każdorazowo dyżur pełni 2 inspektorów. </w:t>
            </w:r>
          </w:p>
          <w:p w14:paraId="0999FFA6"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lastRenderedPageBreak/>
              <w:t xml:space="preserve">W okresie wiosenno-letnim praca w WIOŚ w Gdańsku prowadzona była na dwie zmiany (I zmiana: godz. </w:t>
            </w:r>
            <w:r w:rsidRPr="009868D5">
              <w:rPr>
                <w:rFonts w:ascii="Times New Roman" w:eastAsia="Calibri" w:hAnsi="Times New Roman" w:cs="Times New Roman"/>
                <w:sz w:val="20"/>
                <w:szCs w:val="20"/>
              </w:rPr>
              <w:br/>
              <w:t>7-15, II zmiana: godz. 13-21)</w:t>
            </w:r>
          </w:p>
        </w:tc>
      </w:tr>
      <w:tr w:rsidR="009868D5" w:rsidRPr="009868D5" w14:paraId="2ED3566A" w14:textId="77777777" w:rsidTr="008F7951">
        <w:tc>
          <w:tcPr>
            <w:tcW w:w="1392" w:type="dxa"/>
            <w:shd w:val="clear" w:color="auto" w:fill="auto"/>
          </w:tcPr>
          <w:p w14:paraId="085C41FF" w14:textId="40B57B92" w:rsidR="009868D5" w:rsidRPr="009868D5" w:rsidRDefault="009868D5" w:rsidP="008F7951">
            <w:pPr>
              <w:spacing w:after="0" w:line="240" w:lineRule="auto"/>
              <w:rPr>
                <w:rFonts w:ascii="Times New Roman" w:eastAsia="Calibri" w:hAnsi="Times New Roman" w:cs="Times New Roman"/>
                <w:b/>
                <w:sz w:val="20"/>
                <w:szCs w:val="20"/>
              </w:rPr>
            </w:pPr>
            <w:r w:rsidRPr="009868D5">
              <w:rPr>
                <w:rFonts w:ascii="Times New Roman" w:eastAsia="Calibri" w:hAnsi="Times New Roman" w:cs="Times New Roman"/>
                <w:b/>
                <w:sz w:val="20"/>
                <w:szCs w:val="20"/>
              </w:rPr>
              <w:lastRenderedPageBreak/>
              <w:t xml:space="preserve">WIOŚ </w:t>
            </w:r>
            <w:r w:rsidR="008F7951">
              <w:rPr>
                <w:rFonts w:ascii="Times New Roman" w:eastAsia="Calibri" w:hAnsi="Times New Roman" w:cs="Times New Roman"/>
                <w:b/>
                <w:sz w:val="20"/>
                <w:szCs w:val="20"/>
              </w:rPr>
              <w:br/>
            </w:r>
            <w:r w:rsidRPr="009868D5">
              <w:rPr>
                <w:rFonts w:ascii="Times New Roman" w:eastAsia="Calibri" w:hAnsi="Times New Roman" w:cs="Times New Roman"/>
                <w:b/>
                <w:sz w:val="20"/>
                <w:szCs w:val="20"/>
              </w:rPr>
              <w:t>w Katowicach</w:t>
            </w:r>
          </w:p>
        </w:tc>
        <w:tc>
          <w:tcPr>
            <w:tcW w:w="1367" w:type="dxa"/>
            <w:shd w:val="clear" w:color="auto" w:fill="auto"/>
          </w:tcPr>
          <w:p w14:paraId="565C7C9F"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14</w:t>
            </w:r>
          </w:p>
          <w:p w14:paraId="3525C750" w14:textId="77777777" w:rsidR="009868D5" w:rsidRPr="009868D5" w:rsidRDefault="009868D5" w:rsidP="008F7951">
            <w:pPr>
              <w:spacing w:after="0" w:line="240" w:lineRule="auto"/>
              <w:rPr>
                <w:rFonts w:ascii="Times New Roman" w:eastAsia="Calibri" w:hAnsi="Times New Roman" w:cs="Times New Roman"/>
                <w:sz w:val="20"/>
                <w:szCs w:val="20"/>
              </w:rPr>
            </w:pPr>
          </w:p>
          <w:p w14:paraId="055C22F4" w14:textId="77777777" w:rsidR="009868D5" w:rsidRPr="009868D5" w:rsidRDefault="009868D5" w:rsidP="008F7951">
            <w:pPr>
              <w:spacing w:after="0" w:line="240" w:lineRule="auto"/>
              <w:rPr>
                <w:rFonts w:ascii="Times New Roman" w:eastAsia="Calibri" w:hAnsi="Times New Roman" w:cs="Times New Roman"/>
                <w:sz w:val="20"/>
                <w:szCs w:val="20"/>
              </w:rPr>
            </w:pPr>
          </w:p>
          <w:p w14:paraId="3AB5AAC8" w14:textId="77777777" w:rsidR="009868D5" w:rsidRPr="009868D5" w:rsidRDefault="009868D5" w:rsidP="008F7951">
            <w:pPr>
              <w:spacing w:after="0" w:line="240" w:lineRule="auto"/>
              <w:rPr>
                <w:rFonts w:ascii="Times New Roman" w:eastAsia="Calibri" w:hAnsi="Times New Roman" w:cs="Times New Roman"/>
                <w:sz w:val="20"/>
                <w:szCs w:val="20"/>
              </w:rPr>
            </w:pPr>
          </w:p>
          <w:p w14:paraId="666580B6" w14:textId="77777777" w:rsidR="009868D5" w:rsidRPr="009868D5" w:rsidRDefault="009868D5" w:rsidP="008F7951">
            <w:pPr>
              <w:spacing w:after="0" w:line="240" w:lineRule="auto"/>
              <w:rPr>
                <w:rFonts w:ascii="Times New Roman" w:eastAsia="Calibri" w:hAnsi="Times New Roman" w:cs="Times New Roman"/>
                <w:sz w:val="20"/>
                <w:szCs w:val="20"/>
              </w:rPr>
            </w:pPr>
          </w:p>
          <w:p w14:paraId="5F07BFF3"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14</w:t>
            </w:r>
          </w:p>
        </w:tc>
        <w:tc>
          <w:tcPr>
            <w:tcW w:w="1673" w:type="dxa"/>
            <w:shd w:val="clear" w:color="auto" w:fill="auto"/>
          </w:tcPr>
          <w:p w14:paraId="475BB474"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Grupa interwencyjno-wyjazdowa</w:t>
            </w:r>
          </w:p>
          <w:p w14:paraId="2426A48D"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(do 14.10.2022 r.)</w:t>
            </w:r>
          </w:p>
          <w:p w14:paraId="798389F7" w14:textId="77777777" w:rsidR="009868D5" w:rsidRPr="009868D5" w:rsidRDefault="009868D5" w:rsidP="008F7951">
            <w:pPr>
              <w:spacing w:after="0" w:line="240" w:lineRule="auto"/>
              <w:rPr>
                <w:rFonts w:ascii="Times New Roman" w:eastAsia="Calibri" w:hAnsi="Times New Roman" w:cs="Times New Roman"/>
                <w:sz w:val="20"/>
                <w:szCs w:val="20"/>
              </w:rPr>
            </w:pPr>
          </w:p>
          <w:p w14:paraId="3C9073D7" w14:textId="77777777" w:rsid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Wydział Zwalczania</w:t>
            </w:r>
          </w:p>
          <w:p w14:paraId="20FA9006" w14:textId="2B281A94"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Przestępczości Środowiskowej</w:t>
            </w:r>
          </w:p>
        </w:tc>
        <w:tc>
          <w:tcPr>
            <w:tcW w:w="1272" w:type="dxa"/>
            <w:shd w:val="clear" w:color="auto" w:fill="auto"/>
          </w:tcPr>
          <w:p w14:paraId="4773F8DE"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w:t>
            </w:r>
          </w:p>
          <w:p w14:paraId="471F2973" w14:textId="77777777" w:rsidR="009868D5" w:rsidRPr="009868D5" w:rsidRDefault="009868D5" w:rsidP="008F7951">
            <w:pPr>
              <w:spacing w:after="0" w:line="240" w:lineRule="auto"/>
              <w:rPr>
                <w:rFonts w:ascii="Times New Roman" w:eastAsia="Calibri" w:hAnsi="Times New Roman" w:cs="Times New Roman"/>
                <w:sz w:val="20"/>
                <w:szCs w:val="20"/>
              </w:rPr>
            </w:pPr>
          </w:p>
          <w:p w14:paraId="11860196" w14:textId="77777777" w:rsidR="009868D5" w:rsidRPr="009868D5" w:rsidRDefault="009868D5" w:rsidP="008F7951">
            <w:pPr>
              <w:spacing w:after="0" w:line="240" w:lineRule="auto"/>
              <w:rPr>
                <w:rFonts w:ascii="Times New Roman" w:eastAsia="Calibri" w:hAnsi="Times New Roman" w:cs="Times New Roman"/>
                <w:sz w:val="20"/>
                <w:szCs w:val="20"/>
              </w:rPr>
            </w:pPr>
          </w:p>
          <w:p w14:paraId="5CF7A50B" w14:textId="77777777" w:rsidR="009868D5" w:rsidRPr="009868D5" w:rsidRDefault="009868D5" w:rsidP="008F7951">
            <w:pPr>
              <w:spacing w:after="0" w:line="240" w:lineRule="auto"/>
              <w:rPr>
                <w:rFonts w:ascii="Times New Roman" w:eastAsia="Calibri" w:hAnsi="Times New Roman" w:cs="Times New Roman"/>
                <w:sz w:val="20"/>
                <w:szCs w:val="20"/>
              </w:rPr>
            </w:pPr>
          </w:p>
          <w:p w14:paraId="238370C3" w14:textId="77777777" w:rsidR="009868D5" w:rsidRPr="009868D5" w:rsidRDefault="009868D5" w:rsidP="008F7951">
            <w:pPr>
              <w:spacing w:after="0" w:line="240" w:lineRule="auto"/>
              <w:rPr>
                <w:rFonts w:ascii="Times New Roman" w:eastAsia="Calibri" w:hAnsi="Times New Roman" w:cs="Times New Roman"/>
                <w:sz w:val="20"/>
                <w:szCs w:val="20"/>
              </w:rPr>
            </w:pPr>
          </w:p>
          <w:p w14:paraId="0489B38C"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2</w:t>
            </w:r>
          </w:p>
        </w:tc>
        <w:tc>
          <w:tcPr>
            <w:tcW w:w="1521" w:type="dxa"/>
            <w:shd w:val="clear" w:color="auto" w:fill="auto"/>
          </w:tcPr>
          <w:p w14:paraId="31B9B902"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 – CBA</w:t>
            </w:r>
          </w:p>
          <w:p w14:paraId="3CFB4F94" w14:textId="77777777" w:rsidR="009868D5" w:rsidRPr="009868D5" w:rsidRDefault="009868D5" w:rsidP="008F7951">
            <w:pPr>
              <w:spacing w:after="0" w:line="240" w:lineRule="auto"/>
              <w:rPr>
                <w:rFonts w:ascii="Times New Roman" w:eastAsia="Calibri" w:hAnsi="Times New Roman" w:cs="Times New Roman"/>
                <w:sz w:val="20"/>
                <w:szCs w:val="20"/>
              </w:rPr>
            </w:pPr>
          </w:p>
          <w:p w14:paraId="1028B00B" w14:textId="77777777" w:rsidR="009868D5" w:rsidRPr="009868D5" w:rsidRDefault="009868D5" w:rsidP="008F7951">
            <w:pPr>
              <w:spacing w:after="0" w:line="240" w:lineRule="auto"/>
              <w:rPr>
                <w:rFonts w:ascii="Times New Roman" w:eastAsia="Calibri" w:hAnsi="Times New Roman" w:cs="Times New Roman"/>
                <w:sz w:val="20"/>
                <w:szCs w:val="20"/>
              </w:rPr>
            </w:pPr>
          </w:p>
          <w:p w14:paraId="03F65038" w14:textId="77777777" w:rsidR="009868D5" w:rsidRPr="009868D5" w:rsidRDefault="009868D5" w:rsidP="008F7951">
            <w:pPr>
              <w:spacing w:after="0" w:line="240" w:lineRule="auto"/>
              <w:rPr>
                <w:rFonts w:ascii="Times New Roman" w:eastAsia="Calibri" w:hAnsi="Times New Roman" w:cs="Times New Roman"/>
                <w:sz w:val="20"/>
                <w:szCs w:val="20"/>
              </w:rPr>
            </w:pPr>
          </w:p>
          <w:p w14:paraId="1B702CFE" w14:textId="77777777" w:rsidR="009868D5" w:rsidRPr="009868D5" w:rsidRDefault="009868D5" w:rsidP="008F7951">
            <w:pPr>
              <w:spacing w:after="0" w:line="240" w:lineRule="auto"/>
              <w:rPr>
                <w:rFonts w:ascii="Times New Roman" w:eastAsia="Calibri" w:hAnsi="Times New Roman" w:cs="Times New Roman"/>
                <w:sz w:val="20"/>
                <w:szCs w:val="20"/>
              </w:rPr>
            </w:pPr>
          </w:p>
          <w:p w14:paraId="397ACC0A"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 – CBŚ</w:t>
            </w:r>
          </w:p>
          <w:p w14:paraId="36F26537"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 xml:space="preserve">1 –Policja </w:t>
            </w:r>
          </w:p>
          <w:p w14:paraId="0C21B0B2" w14:textId="77777777" w:rsidR="009868D5" w:rsidRPr="009868D5" w:rsidRDefault="009868D5" w:rsidP="008F7951">
            <w:pPr>
              <w:spacing w:after="0" w:line="240" w:lineRule="auto"/>
              <w:rPr>
                <w:rFonts w:ascii="Times New Roman" w:eastAsia="Calibri" w:hAnsi="Times New Roman" w:cs="Times New Roman"/>
                <w:sz w:val="20"/>
                <w:szCs w:val="20"/>
              </w:rPr>
            </w:pPr>
          </w:p>
          <w:p w14:paraId="03845B9C" w14:textId="77777777" w:rsidR="009868D5" w:rsidRPr="009868D5" w:rsidRDefault="009868D5" w:rsidP="008F7951">
            <w:pPr>
              <w:spacing w:after="0" w:line="240" w:lineRule="auto"/>
              <w:rPr>
                <w:rFonts w:ascii="Times New Roman" w:eastAsia="Calibri" w:hAnsi="Times New Roman" w:cs="Times New Roman"/>
                <w:sz w:val="20"/>
                <w:szCs w:val="20"/>
              </w:rPr>
            </w:pPr>
          </w:p>
        </w:tc>
        <w:tc>
          <w:tcPr>
            <w:tcW w:w="1837" w:type="dxa"/>
            <w:shd w:val="clear" w:color="auto" w:fill="auto"/>
          </w:tcPr>
          <w:p w14:paraId="07BB12F8"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 xml:space="preserve">W ramach Wydziału </w:t>
            </w:r>
            <w:r w:rsidRPr="009868D5">
              <w:rPr>
                <w:rFonts w:ascii="Times New Roman" w:eastAsia="Calibri" w:hAnsi="Times New Roman" w:cs="Times New Roman"/>
                <w:bCs/>
                <w:sz w:val="20"/>
                <w:szCs w:val="20"/>
              </w:rPr>
              <w:t>Zwalczania Przestępczości Środowiskowej</w:t>
            </w:r>
            <w:r w:rsidRPr="009868D5">
              <w:rPr>
                <w:rFonts w:ascii="Times New Roman" w:eastAsia="Calibri" w:hAnsi="Times New Roman" w:cs="Times New Roman"/>
                <w:sz w:val="20"/>
                <w:szCs w:val="20"/>
              </w:rPr>
              <w:t xml:space="preserve"> 12 Inspektorów pracuje w systemie zmianowym 12 h. Praca odbywa się w systemie ciągłym przez 24 h na dobę i 7 dni w tygodniu</w:t>
            </w:r>
          </w:p>
        </w:tc>
      </w:tr>
      <w:tr w:rsidR="009868D5" w:rsidRPr="009868D5" w14:paraId="1718C366" w14:textId="77777777" w:rsidTr="008F7951">
        <w:tc>
          <w:tcPr>
            <w:tcW w:w="1392" w:type="dxa"/>
            <w:shd w:val="clear" w:color="auto" w:fill="auto"/>
          </w:tcPr>
          <w:p w14:paraId="7CA6DB53" w14:textId="77777777" w:rsidR="009868D5" w:rsidRPr="009868D5" w:rsidRDefault="009868D5" w:rsidP="008F7951">
            <w:pPr>
              <w:spacing w:after="0" w:line="240" w:lineRule="auto"/>
              <w:rPr>
                <w:rFonts w:ascii="Times New Roman" w:eastAsia="Calibri" w:hAnsi="Times New Roman" w:cs="Times New Roman"/>
                <w:b/>
                <w:sz w:val="20"/>
                <w:szCs w:val="20"/>
              </w:rPr>
            </w:pPr>
            <w:r w:rsidRPr="009868D5">
              <w:rPr>
                <w:rFonts w:ascii="Times New Roman" w:eastAsia="Calibri" w:hAnsi="Times New Roman" w:cs="Times New Roman"/>
                <w:b/>
                <w:sz w:val="20"/>
                <w:szCs w:val="20"/>
              </w:rPr>
              <w:t xml:space="preserve">WIOŚ </w:t>
            </w:r>
          </w:p>
          <w:p w14:paraId="2838EF8C" w14:textId="77777777" w:rsidR="009868D5" w:rsidRPr="009868D5" w:rsidRDefault="009868D5" w:rsidP="008F7951">
            <w:pPr>
              <w:spacing w:after="0" w:line="240" w:lineRule="auto"/>
              <w:rPr>
                <w:rFonts w:ascii="Times New Roman" w:eastAsia="Calibri" w:hAnsi="Times New Roman" w:cs="Times New Roman"/>
                <w:b/>
                <w:sz w:val="20"/>
                <w:szCs w:val="20"/>
              </w:rPr>
            </w:pPr>
            <w:r w:rsidRPr="009868D5">
              <w:rPr>
                <w:rFonts w:ascii="Times New Roman" w:eastAsia="Calibri" w:hAnsi="Times New Roman" w:cs="Times New Roman"/>
                <w:b/>
                <w:sz w:val="20"/>
                <w:szCs w:val="20"/>
              </w:rPr>
              <w:t>w Kielcach</w:t>
            </w:r>
          </w:p>
        </w:tc>
        <w:tc>
          <w:tcPr>
            <w:tcW w:w="1367" w:type="dxa"/>
            <w:shd w:val="clear" w:color="auto" w:fill="auto"/>
          </w:tcPr>
          <w:p w14:paraId="2B4A9305"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8</w:t>
            </w:r>
          </w:p>
          <w:p w14:paraId="66F6F364" w14:textId="77777777" w:rsidR="009868D5" w:rsidRPr="009868D5" w:rsidRDefault="009868D5" w:rsidP="008F7951">
            <w:pPr>
              <w:spacing w:after="0" w:line="240" w:lineRule="auto"/>
              <w:rPr>
                <w:rFonts w:ascii="Times New Roman" w:eastAsia="Calibri" w:hAnsi="Times New Roman" w:cs="Times New Roman"/>
                <w:sz w:val="20"/>
                <w:szCs w:val="20"/>
              </w:rPr>
            </w:pPr>
          </w:p>
          <w:p w14:paraId="2AE43598" w14:textId="77777777" w:rsidR="009868D5" w:rsidRPr="009868D5" w:rsidRDefault="009868D5" w:rsidP="008F7951">
            <w:pPr>
              <w:spacing w:after="0" w:line="240" w:lineRule="auto"/>
              <w:rPr>
                <w:rFonts w:ascii="Times New Roman" w:eastAsia="Calibri" w:hAnsi="Times New Roman" w:cs="Times New Roman"/>
                <w:sz w:val="20"/>
                <w:szCs w:val="20"/>
              </w:rPr>
            </w:pPr>
          </w:p>
          <w:p w14:paraId="0FE8E223" w14:textId="77777777" w:rsidR="009868D5" w:rsidRPr="009868D5" w:rsidRDefault="009868D5" w:rsidP="008F7951">
            <w:pPr>
              <w:spacing w:after="0" w:line="240" w:lineRule="auto"/>
              <w:rPr>
                <w:rFonts w:ascii="Times New Roman" w:eastAsia="Calibri" w:hAnsi="Times New Roman" w:cs="Times New Roman"/>
                <w:sz w:val="20"/>
                <w:szCs w:val="20"/>
              </w:rPr>
            </w:pPr>
          </w:p>
          <w:p w14:paraId="74380AFD"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8</w:t>
            </w:r>
          </w:p>
        </w:tc>
        <w:tc>
          <w:tcPr>
            <w:tcW w:w="1673" w:type="dxa"/>
            <w:shd w:val="clear" w:color="auto" w:fill="auto"/>
          </w:tcPr>
          <w:p w14:paraId="250A878B"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 xml:space="preserve">Dział do Walki </w:t>
            </w:r>
            <w:r w:rsidRPr="009868D5">
              <w:rPr>
                <w:rFonts w:ascii="Times New Roman" w:eastAsia="Calibri" w:hAnsi="Times New Roman" w:cs="Times New Roman"/>
                <w:sz w:val="20"/>
                <w:szCs w:val="20"/>
              </w:rPr>
              <w:br/>
              <w:t>z Szarą Strefą</w:t>
            </w:r>
          </w:p>
          <w:p w14:paraId="1FFEAE3F"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(do 30.09.2022 r.)</w:t>
            </w:r>
          </w:p>
          <w:p w14:paraId="086F7D0F" w14:textId="77777777" w:rsidR="009868D5" w:rsidRPr="009868D5" w:rsidRDefault="009868D5" w:rsidP="008F7951">
            <w:pPr>
              <w:spacing w:after="0" w:line="240" w:lineRule="auto"/>
              <w:rPr>
                <w:rFonts w:ascii="Times New Roman" w:eastAsia="Calibri" w:hAnsi="Times New Roman" w:cs="Times New Roman"/>
                <w:sz w:val="20"/>
                <w:szCs w:val="20"/>
              </w:rPr>
            </w:pPr>
          </w:p>
          <w:p w14:paraId="381D5794"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Wydział Zwalczania</w:t>
            </w:r>
          </w:p>
          <w:p w14:paraId="58B5AC45"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Przestępczości Środowiskowej</w:t>
            </w:r>
          </w:p>
        </w:tc>
        <w:tc>
          <w:tcPr>
            <w:tcW w:w="1272" w:type="dxa"/>
            <w:shd w:val="clear" w:color="auto" w:fill="auto"/>
          </w:tcPr>
          <w:p w14:paraId="4C9EB54C"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w:t>
            </w:r>
          </w:p>
          <w:p w14:paraId="7F9E0377" w14:textId="77777777" w:rsidR="009868D5" w:rsidRPr="009868D5" w:rsidRDefault="009868D5" w:rsidP="008F7951">
            <w:pPr>
              <w:spacing w:after="0" w:line="240" w:lineRule="auto"/>
              <w:rPr>
                <w:rFonts w:ascii="Times New Roman" w:eastAsia="Calibri" w:hAnsi="Times New Roman" w:cs="Times New Roman"/>
                <w:sz w:val="20"/>
                <w:szCs w:val="20"/>
              </w:rPr>
            </w:pPr>
          </w:p>
          <w:p w14:paraId="6BF7EAC8" w14:textId="77777777" w:rsidR="009868D5" w:rsidRPr="009868D5" w:rsidRDefault="009868D5" w:rsidP="008F7951">
            <w:pPr>
              <w:spacing w:after="0" w:line="240" w:lineRule="auto"/>
              <w:rPr>
                <w:rFonts w:ascii="Times New Roman" w:eastAsia="Calibri" w:hAnsi="Times New Roman" w:cs="Times New Roman"/>
                <w:sz w:val="20"/>
                <w:szCs w:val="20"/>
              </w:rPr>
            </w:pPr>
          </w:p>
          <w:p w14:paraId="20F6F2EB" w14:textId="77777777" w:rsidR="009868D5" w:rsidRPr="009868D5" w:rsidRDefault="009868D5" w:rsidP="008F7951">
            <w:pPr>
              <w:spacing w:after="0" w:line="240" w:lineRule="auto"/>
              <w:rPr>
                <w:rFonts w:ascii="Times New Roman" w:eastAsia="Calibri" w:hAnsi="Times New Roman" w:cs="Times New Roman"/>
                <w:sz w:val="20"/>
                <w:szCs w:val="20"/>
              </w:rPr>
            </w:pPr>
          </w:p>
          <w:p w14:paraId="3CD1E961"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0</w:t>
            </w:r>
          </w:p>
        </w:tc>
        <w:tc>
          <w:tcPr>
            <w:tcW w:w="1521" w:type="dxa"/>
            <w:shd w:val="clear" w:color="auto" w:fill="auto"/>
          </w:tcPr>
          <w:p w14:paraId="5BF2F711"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 – Policja</w:t>
            </w:r>
          </w:p>
        </w:tc>
        <w:tc>
          <w:tcPr>
            <w:tcW w:w="1837" w:type="dxa"/>
            <w:shd w:val="clear" w:color="auto" w:fill="auto"/>
          </w:tcPr>
          <w:p w14:paraId="12FD364C"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Tak</w:t>
            </w:r>
          </w:p>
        </w:tc>
      </w:tr>
      <w:tr w:rsidR="009868D5" w:rsidRPr="009868D5" w14:paraId="708AD685" w14:textId="77777777" w:rsidTr="008F7951">
        <w:tc>
          <w:tcPr>
            <w:tcW w:w="1392" w:type="dxa"/>
            <w:shd w:val="clear" w:color="auto" w:fill="auto"/>
          </w:tcPr>
          <w:p w14:paraId="2C0CE5F7" w14:textId="77777777" w:rsidR="009868D5" w:rsidRPr="009868D5" w:rsidRDefault="009868D5" w:rsidP="008F7951">
            <w:pPr>
              <w:spacing w:after="0" w:line="240" w:lineRule="auto"/>
              <w:rPr>
                <w:rFonts w:ascii="Times New Roman" w:eastAsia="Calibri" w:hAnsi="Times New Roman" w:cs="Times New Roman"/>
                <w:b/>
                <w:sz w:val="20"/>
                <w:szCs w:val="20"/>
              </w:rPr>
            </w:pPr>
            <w:r w:rsidRPr="009868D5">
              <w:rPr>
                <w:rFonts w:ascii="Times New Roman" w:eastAsia="Calibri" w:hAnsi="Times New Roman" w:cs="Times New Roman"/>
                <w:b/>
                <w:sz w:val="20"/>
                <w:szCs w:val="20"/>
              </w:rPr>
              <w:t xml:space="preserve">WIOŚ </w:t>
            </w:r>
            <w:r w:rsidRPr="009868D5">
              <w:rPr>
                <w:rFonts w:ascii="Times New Roman" w:eastAsia="Calibri" w:hAnsi="Times New Roman" w:cs="Times New Roman"/>
                <w:b/>
                <w:sz w:val="20"/>
                <w:szCs w:val="20"/>
              </w:rPr>
              <w:br/>
              <w:t>w Krakowie</w:t>
            </w:r>
          </w:p>
        </w:tc>
        <w:tc>
          <w:tcPr>
            <w:tcW w:w="1367" w:type="dxa"/>
            <w:shd w:val="clear" w:color="auto" w:fill="auto"/>
          </w:tcPr>
          <w:p w14:paraId="05DEFA45"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16</w:t>
            </w:r>
          </w:p>
        </w:tc>
        <w:tc>
          <w:tcPr>
            <w:tcW w:w="1673" w:type="dxa"/>
            <w:shd w:val="clear" w:color="auto" w:fill="auto"/>
          </w:tcPr>
          <w:p w14:paraId="5633CBC2"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Grupa Interwencyjno-Wyjazdowa</w:t>
            </w:r>
          </w:p>
        </w:tc>
        <w:tc>
          <w:tcPr>
            <w:tcW w:w="1272" w:type="dxa"/>
            <w:shd w:val="clear" w:color="auto" w:fill="auto"/>
          </w:tcPr>
          <w:p w14:paraId="1C1CAF24"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2</w:t>
            </w:r>
          </w:p>
        </w:tc>
        <w:tc>
          <w:tcPr>
            <w:tcW w:w="1521" w:type="dxa"/>
            <w:shd w:val="clear" w:color="auto" w:fill="auto"/>
          </w:tcPr>
          <w:p w14:paraId="1377AD81"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 xml:space="preserve">2- Policja </w:t>
            </w:r>
            <w:r w:rsidRPr="009868D5">
              <w:rPr>
                <w:rFonts w:ascii="Times New Roman" w:eastAsia="Calibri" w:hAnsi="Times New Roman" w:cs="Times New Roman"/>
                <w:sz w:val="20"/>
                <w:szCs w:val="20"/>
              </w:rPr>
              <w:br/>
              <w:t>(w tym 1 osoba niebędąca inspektorem)</w:t>
            </w:r>
          </w:p>
        </w:tc>
        <w:tc>
          <w:tcPr>
            <w:tcW w:w="1837" w:type="dxa"/>
            <w:shd w:val="clear" w:color="auto" w:fill="auto"/>
          </w:tcPr>
          <w:p w14:paraId="7147F4E5"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Od 2019 roku w całym WIOŚ prowadzona jest praca w systemie zmianowym, który zapewnia gotowość do podejmowania działań w terenie przez 24 godziny na dobę, 7 dni w tygodniu</w:t>
            </w:r>
          </w:p>
        </w:tc>
      </w:tr>
      <w:tr w:rsidR="009868D5" w:rsidRPr="009868D5" w14:paraId="103BE952" w14:textId="77777777" w:rsidTr="008F7951">
        <w:tc>
          <w:tcPr>
            <w:tcW w:w="1392" w:type="dxa"/>
            <w:shd w:val="clear" w:color="auto" w:fill="auto"/>
          </w:tcPr>
          <w:p w14:paraId="1954AAB9" w14:textId="77777777" w:rsidR="009868D5" w:rsidRPr="009868D5" w:rsidRDefault="009868D5" w:rsidP="008F7951">
            <w:pPr>
              <w:spacing w:after="0" w:line="240" w:lineRule="auto"/>
              <w:rPr>
                <w:rFonts w:ascii="Times New Roman" w:eastAsia="Calibri" w:hAnsi="Times New Roman" w:cs="Times New Roman"/>
                <w:b/>
                <w:sz w:val="20"/>
                <w:szCs w:val="20"/>
              </w:rPr>
            </w:pPr>
            <w:r w:rsidRPr="009868D5">
              <w:rPr>
                <w:rFonts w:ascii="Times New Roman" w:eastAsia="Calibri" w:hAnsi="Times New Roman" w:cs="Times New Roman"/>
                <w:b/>
                <w:sz w:val="20"/>
                <w:szCs w:val="20"/>
              </w:rPr>
              <w:t xml:space="preserve">WIOŚ </w:t>
            </w:r>
            <w:r w:rsidRPr="009868D5">
              <w:rPr>
                <w:rFonts w:ascii="Times New Roman" w:eastAsia="Calibri" w:hAnsi="Times New Roman" w:cs="Times New Roman"/>
                <w:b/>
                <w:sz w:val="20"/>
                <w:szCs w:val="20"/>
              </w:rPr>
              <w:br/>
              <w:t>w Lublinie</w:t>
            </w:r>
          </w:p>
        </w:tc>
        <w:tc>
          <w:tcPr>
            <w:tcW w:w="1367" w:type="dxa"/>
            <w:shd w:val="clear" w:color="auto" w:fill="auto"/>
          </w:tcPr>
          <w:p w14:paraId="60263F2A"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11</w:t>
            </w:r>
          </w:p>
        </w:tc>
        <w:tc>
          <w:tcPr>
            <w:tcW w:w="1673" w:type="dxa"/>
            <w:shd w:val="clear" w:color="auto" w:fill="auto"/>
          </w:tcPr>
          <w:p w14:paraId="365224CC"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Grupa Interwencyjno-Wyjazdowa</w:t>
            </w:r>
          </w:p>
        </w:tc>
        <w:tc>
          <w:tcPr>
            <w:tcW w:w="1272" w:type="dxa"/>
            <w:shd w:val="clear" w:color="auto" w:fill="auto"/>
          </w:tcPr>
          <w:p w14:paraId="085A673A"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3</w:t>
            </w:r>
          </w:p>
        </w:tc>
        <w:tc>
          <w:tcPr>
            <w:tcW w:w="1521" w:type="dxa"/>
            <w:shd w:val="clear" w:color="auto" w:fill="auto"/>
          </w:tcPr>
          <w:p w14:paraId="0F36C9A1"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2 – Policja</w:t>
            </w:r>
          </w:p>
          <w:p w14:paraId="43E1E9BF"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  – KAS</w:t>
            </w:r>
          </w:p>
        </w:tc>
        <w:tc>
          <w:tcPr>
            <w:tcW w:w="1837" w:type="dxa"/>
            <w:shd w:val="clear" w:color="auto" w:fill="auto"/>
          </w:tcPr>
          <w:p w14:paraId="4CD1306F"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Od 2019 roku w całym WIOŚ prowadzona jest praca w systemie zmianowym, przez 24 godziny na dobę, 7 dni w tygodniu</w:t>
            </w:r>
          </w:p>
        </w:tc>
      </w:tr>
      <w:tr w:rsidR="009868D5" w:rsidRPr="009868D5" w14:paraId="5E00782D" w14:textId="77777777" w:rsidTr="008F7951">
        <w:tc>
          <w:tcPr>
            <w:tcW w:w="1392" w:type="dxa"/>
            <w:shd w:val="clear" w:color="auto" w:fill="auto"/>
          </w:tcPr>
          <w:p w14:paraId="65729DD8" w14:textId="77777777" w:rsidR="009868D5" w:rsidRPr="009868D5" w:rsidRDefault="009868D5" w:rsidP="008F7951">
            <w:pPr>
              <w:spacing w:after="0" w:line="240" w:lineRule="auto"/>
              <w:rPr>
                <w:rFonts w:ascii="Times New Roman" w:eastAsia="Calibri" w:hAnsi="Times New Roman" w:cs="Times New Roman"/>
                <w:b/>
                <w:sz w:val="20"/>
                <w:szCs w:val="20"/>
              </w:rPr>
            </w:pPr>
            <w:r w:rsidRPr="009868D5">
              <w:rPr>
                <w:rFonts w:ascii="Times New Roman" w:eastAsia="Calibri" w:hAnsi="Times New Roman" w:cs="Times New Roman"/>
                <w:b/>
                <w:sz w:val="20"/>
                <w:szCs w:val="20"/>
              </w:rPr>
              <w:t xml:space="preserve">WIOŚ </w:t>
            </w:r>
            <w:r w:rsidRPr="009868D5">
              <w:rPr>
                <w:rFonts w:ascii="Times New Roman" w:eastAsia="Calibri" w:hAnsi="Times New Roman" w:cs="Times New Roman"/>
                <w:b/>
                <w:sz w:val="20"/>
                <w:szCs w:val="20"/>
              </w:rPr>
              <w:br/>
              <w:t>w Łodzi</w:t>
            </w:r>
          </w:p>
        </w:tc>
        <w:tc>
          <w:tcPr>
            <w:tcW w:w="1367" w:type="dxa"/>
            <w:shd w:val="clear" w:color="auto" w:fill="auto"/>
          </w:tcPr>
          <w:p w14:paraId="791E4401"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9</w:t>
            </w:r>
          </w:p>
        </w:tc>
        <w:tc>
          <w:tcPr>
            <w:tcW w:w="1673" w:type="dxa"/>
            <w:shd w:val="clear" w:color="auto" w:fill="auto"/>
          </w:tcPr>
          <w:p w14:paraId="1923C0B8"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Grupa Interwencyjno-Wyjazdowa</w:t>
            </w:r>
          </w:p>
        </w:tc>
        <w:tc>
          <w:tcPr>
            <w:tcW w:w="1272" w:type="dxa"/>
            <w:shd w:val="clear" w:color="auto" w:fill="auto"/>
          </w:tcPr>
          <w:p w14:paraId="0BA50B1E"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0</w:t>
            </w:r>
          </w:p>
        </w:tc>
        <w:tc>
          <w:tcPr>
            <w:tcW w:w="1521" w:type="dxa"/>
            <w:shd w:val="clear" w:color="auto" w:fill="auto"/>
          </w:tcPr>
          <w:p w14:paraId="55A8412F" w14:textId="77777777" w:rsidR="009868D5" w:rsidRPr="009868D5" w:rsidRDefault="009868D5" w:rsidP="008F7951">
            <w:pPr>
              <w:spacing w:after="0" w:line="240" w:lineRule="auto"/>
              <w:rPr>
                <w:rFonts w:ascii="Times New Roman" w:eastAsia="Calibri" w:hAnsi="Times New Roman" w:cs="Times New Roman"/>
                <w:sz w:val="20"/>
                <w:szCs w:val="20"/>
              </w:rPr>
            </w:pPr>
          </w:p>
        </w:tc>
        <w:tc>
          <w:tcPr>
            <w:tcW w:w="1837" w:type="dxa"/>
            <w:shd w:val="clear" w:color="auto" w:fill="auto"/>
          </w:tcPr>
          <w:p w14:paraId="32D98643"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Od czerwca 2020 r. gotowość do podejmowania działań w systemie 24 godzinnym przez 7 dni w tygodniu</w:t>
            </w:r>
          </w:p>
        </w:tc>
      </w:tr>
      <w:tr w:rsidR="009868D5" w:rsidRPr="009868D5" w14:paraId="73D8F8DC" w14:textId="77777777" w:rsidTr="008F7951">
        <w:trPr>
          <w:trHeight w:val="801"/>
        </w:trPr>
        <w:tc>
          <w:tcPr>
            <w:tcW w:w="1392" w:type="dxa"/>
            <w:shd w:val="clear" w:color="auto" w:fill="auto"/>
          </w:tcPr>
          <w:p w14:paraId="530F4D42" w14:textId="77777777" w:rsidR="009868D5" w:rsidRPr="009868D5" w:rsidRDefault="009868D5" w:rsidP="008F7951">
            <w:pPr>
              <w:spacing w:after="0" w:line="240" w:lineRule="auto"/>
              <w:rPr>
                <w:rFonts w:ascii="Times New Roman" w:eastAsia="Calibri" w:hAnsi="Times New Roman" w:cs="Times New Roman"/>
                <w:b/>
                <w:sz w:val="20"/>
                <w:szCs w:val="20"/>
              </w:rPr>
            </w:pPr>
            <w:bookmarkStart w:id="295" w:name="_Hlk98419236"/>
            <w:r w:rsidRPr="009868D5">
              <w:rPr>
                <w:rFonts w:ascii="Times New Roman" w:eastAsia="Calibri" w:hAnsi="Times New Roman" w:cs="Times New Roman"/>
                <w:b/>
                <w:sz w:val="20"/>
                <w:szCs w:val="20"/>
              </w:rPr>
              <w:t xml:space="preserve">WIOŚ </w:t>
            </w:r>
            <w:r w:rsidRPr="009868D5">
              <w:rPr>
                <w:rFonts w:ascii="Times New Roman" w:eastAsia="Calibri" w:hAnsi="Times New Roman" w:cs="Times New Roman"/>
                <w:b/>
                <w:sz w:val="20"/>
                <w:szCs w:val="20"/>
              </w:rPr>
              <w:br/>
              <w:t>w Olsztynie</w:t>
            </w:r>
          </w:p>
        </w:tc>
        <w:tc>
          <w:tcPr>
            <w:tcW w:w="1367" w:type="dxa"/>
            <w:shd w:val="clear" w:color="auto" w:fill="auto"/>
          </w:tcPr>
          <w:p w14:paraId="0D13C0EF"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11</w:t>
            </w:r>
          </w:p>
        </w:tc>
        <w:tc>
          <w:tcPr>
            <w:tcW w:w="1673" w:type="dxa"/>
            <w:shd w:val="clear" w:color="auto" w:fill="auto"/>
          </w:tcPr>
          <w:p w14:paraId="49DD5023"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Grupa Interwencyjno-Wyjazdowa</w:t>
            </w:r>
          </w:p>
        </w:tc>
        <w:tc>
          <w:tcPr>
            <w:tcW w:w="1272" w:type="dxa"/>
            <w:shd w:val="clear" w:color="auto" w:fill="auto"/>
          </w:tcPr>
          <w:p w14:paraId="4A583B36"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0</w:t>
            </w:r>
          </w:p>
        </w:tc>
        <w:tc>
          <w:tcPr>
            <w:tcW w:w="1521" w:type="dxa"/>
            <w:shd w:val="clear" w:color="auto" w:fill="auto"/>
          </w:tcPr>
          <w:p w14:paraId="35E4610E" w14:textId="77777777" w:rsidR="009868D5" w:rsidRPr="009868D5" w:rsidRDefault="009868D5" w:rsidP="008F7951">
            <w:pPr>
              <w:spacing w:after="0" w:line="240" w:lineRule="auto"/>
              <w:rPr>
                <w:rFonts w:ascii="Times New Roman" w:eastAsia="Calibri" w:hAnsi="Times New Roman" w:cs="Times New Roman"/>
                <w:sz w:val="20"/>
                <w:szCs w:val="20"/>
              </w:rPr>
            </w:pPr>
          </w:p>
        </w:tc>
        <w:tc>
          <w:tcPr>
            <w:tcW w:w="1837" w:type="dxa"/>
            <w:shd w:val="clear" w:color="auto" w:fill="auto"/>
          </w:tcPr>
          <w:p w14:paraId="156C3925"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 xml:space="preserve">Gotowość do podejmowania działań w systemie </w:t>
            </w:r>
            <w:r w:rsidRPr="009868D5">
              <w:rPr>
                <w:rFonts w:ascii="Times New Roman" w:eastAsia="Calibri" w:hAnsi="Times New Roman" w:cs="Times New Roman"/>
                <w:sz w:val="20"/>
                <w:szCs w:val="20"/>
              </w:rPr>
              <w:br/>
              <w:t xml:space="preserve">24 godzinnym </w:t>
            </w:r>
            <w:r w:rsidRPr="009868D5">
              <w:rPr>
                <w:rFonts w:ascii="Times New Roman" w:eastAsia="Calibri" w:hAnsi="Times New Roman" w:cs="Times New Roman"/>
                <w:sz w:val="20"/>
                <w:szCs w:val="20"/>
              </w:rPr>
              <w:lastRenderedPageBreak/>
              <w:t>przez 7 dni w tygodniu</w:t>
            </w:r>
          </w:p>
        </w:tc>
      </w:tr>
      <w:tr w:rsidR="009868D5" w:rsidRPr="009868D5" w14:paraId="2301CB9F" w14:textId="77777777" w:rsidTr="008F7951">
        <w:trPr>
          <w:trHeight w:val="3809"/>
        </w:trPr>
        <w:tc>
          <w:tcPr>
            <w:tcW w:w="1392" w:type="dxa"/>
            <w:shd w:val="clear" w:color="auto" w:fill="auto"/>
          </w:tcPr>
          <w:p w14:paraId="65D00781" w14:textId="77777777" w:rsidR="009868D5" w:rsidRPr="009868D5" w:rsidRDefault="009868D5" w:rsidP="008F7951">
            <w:pPr>
              <w:spacing w:after="0" w:line="240" w:lineRule="auto"/>
              <w:rPr>
                <w:rFonts w:ascii="Times New Roman" w:eastAsia="Calibri" w:hAnsi="Times New Roman" w:cs="Times New Roman"/>
                <w:b/>
                <w:sz w:val="20"/>
                <w:szCs w:val="20"/>
              </w:rPr>
            </w:pPr>
            <w:r w:rsidRPr="009868D5">
              <w:rPr>
                <w:rFonts w:ascii="Times New Roman" w:eastAsia="Calibri" w:hAnsi="Times New Roman" w:cs="Times New Roman"/>
                <w:b/>
                <w:sz w:val="20"/>
                <w:szCs w:val="20"/>
              </w:rPr>
              <w:lastRenderedPageBreak/>
              <w:t xml:space="preserve">WIOŚ </w:t>
            </w:r>
            <w:r w:rsidRPr="009868D5">
              <w:rPr>
                <w:rFonts w:ascii="Times New Roman" w:eastAsia="Calibri" w:hAnsi="Times New Roman" w:cs="Times New Roman"/>
                <w:b/>
                <w:sz w:val="20"/>
                <w:szCs w:val="20"/>
              </w:rPr>
              <w:br/>
              <w:t>w Opolu</w:t>
            </w:r>
          </w:p>
        </w:tc>
        <w:tc>
          <w:tcPr>
            <w:tcW w:w="1367" w:type="dxa"/>
            <w:shd w:val="clear" w:color="auto" w:fill="auto"/>
          </w:tcPr>
          <w:p w14:paraId="6121F39F" w14:textId="77777777" w:rsid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3</w:t>
            </w:r>
          </w:p>
          <w:p w14:paraId="0DCB603C" w14:textId="77777777" w:rsidR="006F5CCB" w:rsidRDefault="006F5CCB" w:rsidP="008F7951">
            <w:pPr>
              <w:spacing w:after="0" w:line="240" w:lineRule="auto"/>
              <w:rPr>
                <w:rFonts w:ascii="Times New Roman" w:eastAsia="Calibri" w:hAnsi="Times New Roman" w:cs="Times New Roman"/>
                <w:sz w:val="20"/>
                <w:szCs w:val="20"/>
              </w:rPr>
            </w:pPr>
          </w:p>
          <w:p w14:paraId="4859533C" w14:textId="77777777" w:rsidR="006F5CCB" w:rsidRDefault="006F5CCB" w:rsidP="008F7951">
            <w:pPr>
              <w:spacing w:after="0" w:line="240" w:lineRule="auto"/>
              <w:rPr>
                <w:rFonts w:ascii="Times New Roman" w:eastAsia="Calibri" w:hAnsi="Times New Roman" w:cs="Times New Roman"/>
                <w:sz w:val="20"/>
                <w:szCs w:val="20"/>
              </w:rPr>
            </w:pPr>
          </w:p>
          <w:p w14:paraId="5DA6C20A" w14:textId="77777777" w:rsidR="006F5CCB" w:rsidRDefault="006F5CCB" w:rsidP="008F7951">
            <w:pPr>
              <w:spacing w:after="0" w:line="240" w:lineRule="auto"/>
              <w:rPr>
                <w:rFonts w:ascii="Times New Roman" w:eastAsia="Calibri" w:hAnsi="Times New Roman" w:cs="Times New Roman"/>
                <w:sz w:val="20"/>
                <w:szCs w:val="20"/>
              </w:rPr>
            </w:pPr>
          </w:p>
          <w:p w14:paraId="774B713E" w14:textId="77777777" w:rsidR="006F5CCB" w:rsidRDefault="006F5CCB" w:rsidP="008F7951">
            <w:pPr>
              <w:spacing w:after="0" w:line="240" w:lineRule="auto"/>
              <w:rPr>
                <w:rFonts w:ascii="Times New Roman" w:eastAsia="Calibri" w:hAnsi="Times New Roman" w:cs="Times New Roman"/>
                <w:sz w:val="20"/>
                <w:szCs w:val="20"/>
              </w:rPr>
            </w:pPr>
          </w:p>
          <w:p w14:paraId="78BCDC2B" w14:textId="0F94B96F" w:rsidR="006F5CCB" w:rsidRPr="009868D5" w:rsidRDefault="006F5CCB" w:rsidP="008F7951">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3</w:t>
            </w:r>
          </w:p>
        </w:tc>
        <w:tc>
          <w:tcPr>
            <w:tcW w:w="1673" w:type="dxa"/>
            <w:shd w:val="clear" w:color="auto" w:fill="auto"/>
          </w:tcPr>
          <w:p w14:paraId="5CCF02C0" w14:textId="77777777" w:rsidR="006F5CCB"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 xml:space="preserve">Grupa Interwencyjno-Wyjazdowa (od 01.12.2022 r. </w:t>
            </w:r>
          </w:p>
          <w:p w14:paraId="5B6B1EA9" w14:textId="77777777" w:rsidR="006F5CCB" w:rsidRDefault="006F5CCB" w:rsidP="008F7951">
            <w:pPr>
              <w:spacing w:after="0" w:line="240" w:lineRule="auto"/>
              <w:rPr>
                <w:rFonts w:ascii="Times New Roman" w:eastAsia="Calibri" w:hAnsi="Times New Roman" w:cs="Times New Roman"/>
                <w:sz w:val="20"/>
                <w:szCs w:val="20"/>
              </w:rPr>
            </w:pPr>
          </w:p>
          <w:p w14:paraId="00574494" w14:textId="0CA97145"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Wydział Zwalczania</w:t>
            </w:r>
          </w:p>
          <w:p w14:paraId="2EEE850F"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Przestępczości Środowiskowej)</w:t>
            </w:r>
          </w:p>
        </w:tc>
        <w:tc>
          <w:tcPr>
            <w:tcW w:w="1272" w:type="dxa"/>
            <w:shd w:val="clear" w:color="auto" w:fill="auto"/>
          </w:tcPr>
          <w:p w14:paraId="028EA82C" w14:textId="4B515A6C" w:rsidR="009868D5" w:rsidRDefault="006F5CCB" w:rsidP="008F7951">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1</w:t>
            </w:r>
          </w:p>
          <w:p w14:paraId="7B0D3EE0" w14:textId="77777777" w:rsidR="006F5CCB" w:rsidRDefault="006F5CCB" w:rsidP="008F7951">
            <w:pPr>
              <w:spacing w:after="0" w:line="240" w:lineRule="auto"/>
              <w:rPr>
                <w:rFonts w:ascii="Times New Roman" w:eastAsia="Calibri" w:hAnsi="Times New Roman" w:cs="Times New Roman"/>
                <w:sz w:val="20"/>
                <w:szCs w:val="20"/>
              </w:rPr>
            </w:pPr>
          </w:p>
          <w:p w14:paraId="073E82DE" w14:textId="77777777" w:rsidR="006F5CCB" w:rsidRDefault="006F5CCB" w:rsidP="008F7951">
            <w:pPr>
              <w:spacing w:after="0" w:line="240" w:lineRule="auto"/>
              <w:rPr>
                <w:rFonts w:ascii="Times New Roman" w:eastAsia="Calibri" w:hAnsi="Times New Roman" w:cs="Times New Roman"/>
                <w:sz w:val="20"/>
                <w:szCs w:val="20"/>
              </w:rPr>
            </w:pPr>
          </w:p>
          <w:p w14:paraId="1FD3FC1F" w14:textId="77777777" w:rsidR="006F5CCB" w:rsidRDefault="006F5CCB" w:rsidP="008F7951">
            <w:pPr>
              <w:spacing w:after="0" w:line="240" w:lineRule="auto"/>
              <w:rPr>
                <w:rFonts w:ascii="Times New Roman" w:eastAsia="Calibri" w:hAnsi="Times New Roman" w:cs="Times New Roman"/>
                <w:sz w:val="20"/>
                <w:szCs w:val="20"/>
              </w:rPr>
            </w:pPr>
          </w:p>
          <w:p w14:paraId="07A3C595" w14:textId="77777777" w:rsidR="006F5CCB" w:rsidRDefault="006F5CCB" w:rsidP="008F7951">
            <w:pPr>
              <w:spacing w:after="0" w:line="240" w:lineRule="auto"/>
              <w:rPr>
                <w:rFonts w:ascii="Times New Roman" w:eastAsia="Calibri" w:hAnsi="Times New Roman" w:cs="Times New Roman"/>
                <w:sz w:val="20"/>
                <w:szCs w:val="20"/>
              </w:rPr>
            </w:pPr>
          </w:p>
          <w:p w14:paraId="0F735922" w14:textId="30DFA86A" w:rsidR="006F5CCB" w:rsidRPr="009868D5" w:rsidRDefault="006F5CCB" w:rsidP="008F7951">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1</w:t>
            </w:r>
          </w:p>
        </w:tc>
        <w:tc>
          <w:tcPr>
            <w:tcW w:w="1521" w:type="dxa"/>
            <w:shd w:val="clear" w:color="auto" w:fill="auto"/>
          </w:tcPr>
          <w:p w14:paraId="0FBC1482" w14:textId="5CB7C519" w:rsidR="009868D5" w:rsidRDefault="006F5CCB" w:rsidP="008F7951">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1 – Policja</w:t>
            </w:r>
          </w:p>
          <w:p w14:paraId="5C483FF9" w14:textId="77777777" w:rsidR="006F5CCB" w:rsidRDefault="006F5CCB" w:rsidP="008F7951">
            <w:pPr>
              <w:spacing w:after="0" w:line="240" w:lineRule="auto"/>
              <w:rPr>
                <w:rFonts w:ascii="Times New Roman" w:eastAsia="Calibri" w:hAnsi="Times New Roman" w:cs="Times New Roman"/>
                <w:sz w:val="20"/>
                <w:szCs w:val="20"/>
              </w:rPr>
            </w:pPr>
          </w:p>
          <w:p w14:paraId="3AE0ED3F" w14:textId="77777777" w:rsidR="006F5CCB" w:rsidRDefault="006F5CCB" w:rsidP="008F7951">
            <w:pPr>
              <w:spacing w:after="0" w:line="240" w:lineRule="auto"/>
              <w:rPr>
                <w:rFonts w:ascii="Times New Roman" w:eastAsia="Calibri" w:hAnsi="Times New Roman" w:cs="Times New Roman"/>
                <w:sz w:val="20"/>
                <w:szCs w:val="20"/>
              </w:rPr>
            </w:pPr>
          </w:p>
          <w:p w14:paraId="5E8E5FB5" w14:textId="77777777" w:rsidR="006F5CCB" w:rsidRDefault="006F5CCB" w:rsidP="008F7951">
            <w:pPr>
              <w:spacing w:after="0" w:line="240" w:lineRule="auto"/>
              <w:rPr>
                <w:rFonts w:ascii="Times New Roman" w:eastAsia="Calibri" w:hAnsi="Times New Roman" w:cs="Times New Roman"/>
                <w:sz w:val="20"/>
                <w:szCs w:val="20"/>
              </w:rPr>
            </w:pPr>
          </w:p>
          <w:p w14:paraId="21F52B9E" w14:textId="77777777" w:rsidR="006F5CCB" w:rsidRDefault="006F5CCB" w:rsidP="008F7951">
            <w:pPr>
              <w:spacing w:after="0" w:line="240" w:lineRule="auto"/>
              <w:rPr>
                <w:rFonts w:ascii="Times New Roman" w:eastAsia="Calibri" w:hAnsi="Times New Roman" w:cs="Times New Roman"/>
                <w:sz w:val="20"/>
                <w:szCs w:val="20"/>
              </w:rPr>
            </w:pPr>
          </w:p>
          <w:p w14:paraId="572F368E" w14:textId="57E1FD08" w:rsidR="006F5CCB" w:rsidRPr="009868D5" w:rsidRDefault="006F5CCB" w:rsidP="008F7951">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1 - Policja</w:t>
            </w:r>
          </w:p>
        </w:tc>
        <w:tc>
          <w:tcPr>
            <w:tcW w:w="1837" w:type="dxa"/>
            <w:shd w:val="clear" w:color="auto" w:fill="auto"/>
          </w:tcPr>
          <w:p w14:paraId="494CD12F"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Gotowość do podejmowania działań w systemie 24-godzinnym przez 7 dni w tygodniu realizowana jest poprzez pracę w układzie dwuzmianowym (od poniedziałku do piątku) w godz. od 7 do 22, natomiast poza tymi godzinami oraz w dni wolne od pracy poprzez dyżur telefoniczny</w:t>
            </w:r>
          </w:p>
        </w:tc>
      </w:tr>
      <w:tr w:rsidR="009868D5" w:rsidRPr="009868D5" w14:paraId="4D2EB171" w14:textId="77777777" w:rsidTr="008F7951">
        <w:tc>
          <w:tcPr>
            <w:tcW w:w="1392" w:type="dxa"/>
            <w:shd w:val="clear" w:color="auto" w:fill="auto"/>
          </w:tcPr>
          <w:p w14:paraId="16ED5A8C" w14:textId="77777777" w:rsidR="009868D5" w:rsidRPr="009868D5" w:rsidRDefault="009868D5" w:rsidP="008F7951">
            <w:pPr>
              <w:spacing w:after="0" w:line="240" w:lineRule="auto"/>
              <w:rPr>
                <w:rFonts w:ascii="Times New Roman" w:eastAsia="Calibri" w:hAnsi="Times New Roman" w:cs="Times New Roman"/>
                <w:b/>
                <w:sz w:val="20"/>
                <w:szCs w:val="20"/>
              </w:rPr>
            </w:pPr>
            <w:r w:rsidRPr="009868D5">
              <w:rPr>
                <w:rFonts w:ascii="Times New Roman" w:eastAsia="Calibri" w:hAnsi="Times New Roman" w:cs="Times New Roman"/>
                <w:b/>
                <w:sz w:val="20"/>
                <w:szCs w:val="20"/>
              </w:rPr>
              <w:t xml:space="preserve">WIOŚ </w:t>
            </w:r>
            <w:r w:rsidRPr="009868D5">
              <w:rPr>
                <w:rFonts w:ascii="Times New Roman" w:eastAsia="Calibri" w:hAnsi="Times New Roman" w:cs="Times New Roman"/>
                <w:b/>
                <w:sz w:val="20"/>
                <w:szCs w:val="20"/>
              </w:rPr>
              <w:br/>
              <w:t>w Poznaniu</w:t>
            </w:r>
          </w:p>
        </w:tc>
        <w:tc>
          <w:tcPr>
            <w:tcW w:w="1367" w:type="dxa"/>
            <w:shd w:val="clear" w:color="auto" w:fill="auto"/>
          </w:tcPr>
          <w:p w14:paraId="2AB760C9" w14:textId="0B06BC0D"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 xml:space="preserve">20 (w tym 14 w GIW i </w:t>
            </w:r>
            <w:r w:rsidR="00222619">
              <w:rPr>
                <w:rFonts w:ascii="Times New Roman" w:eastAsia="Calibri" w:hAnsi="Times New Roman" w:cs="Times New Roman"/>
                <w:sz w:val="20"/>
                <w:szCs w:val="20"/>
              </w:rPr>
              <w:t>6</w:t>
            </w:r>
            <w:r w:rsidRPr="009868D5">
              <w:rPr>
                <w:rFonts w:ascii="Times New Roman" w:eastAsia="Calibri" w:hAnsi="Times New Roman" w:cs="Times New Roman"/>
                <w:sz w:val="20"/>
                <w:szCs w:val="20"/>
              </w:rPr>
              <w:t xml:space="preserve"> WZPŚ) </w:t>
            </w:r>
          </w:p>
        </w:tc>
        <w:tc>
          <w:tcPr>
            <w:tcW w:w="1673" w:type="dxa"/>
            <w:shd w:val="clear" w:color="auto" w:fill="auto"/>
          </w:tcPr>
          <w:p w14:paraId="5808D423" w14:textId="77777777" w:rsidR="009868D5" w:rsidRPr="009868D5" w:rsidRDefault="009868D5" w:rsidP="008F7951">
            <w:pPr>
              <w:spacing w:after="0" w:line="240" w:lineRule="auto"/>
              <w:rPr>
                <w:rFonts w:ascii="Times New Roman" w:eastAsia="Calibri" w:hAnsi="Times New Roman" w:cs="Times New Roman"/>
                <w:sz w:val="20"/>
                <w:szCs w:val="20"/>
              </w:rPr>
            </w:pPr>
          </w:p>
        </w:tc>
        <w:tc>
          <w:tcPr>
            <w:tcW w:w="1272" w:type="dxa"/>
            <w:shd w:val="clear" w:color="auto" w:fill="auto"/>
          </w:tcPr>
          <w:p w14:paraId="65BF29BD"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2</w:t>
            </w:r>
          </w:p>
        </w:tc>
        <w:tc>
          <w:tcPr>
            <w:tcW w:w="1521" w:type="dxa"/>
            <w:shd w:val="clear" w:color="auto" w:fill="auto"/>
          </w:tcPr>
          <w:p w14:paraId="71B12E7E"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1 - Policja</w:t>
            </w:r>
          </w:p>
          <w:p w14:paraId="35519B20"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1 - Straż Miejska</w:t>
            </w:r>
          </w:p>
        </w:tc>
        <w:tc>
          <w:tcPr>
            <w:tcW w:w="1837" w:type="dxa"/>
            <w:shd w:val="clear" w:color="auto" w:fill="auto"/>
          </w:tcPr>
          <w:p w14:paraId="16B8DE23"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Tak</w:t>
            </w:r>
          </w:p>
        </w:tc>
      </w:tr>
      <w:tr w:rsidR="009868D5" w:rsidRPr="009868D5" w14:paraId="0F4D67F3" w14:textId="77777777" w:rsidTr="008F7951">
        <w:tc>
          <w:tcPr>
            <w:tcW w:w="1392" w:type="dxa"/>
            <w:shd w:val="clear" w:color="auto" w:fill="auto"/>
          </w:tcPr>
          <w:p w14:paraId="135A15E5" w14:textId="77777777" w:rsidR="009868D5" w:rsidRPr="009868D5" w:rsidRDefault="009868D5" w:rsidP="008F7951">
            <w:pPr>
              <w:spacing w:after="0" w:line="240" w:lineRule="auto"/>
              <w:rPr>
                <w:rFonts w:ascii="Times New Roman" w:eastAsia="Calibri" w:hAnsi="Times New Roman" w:cs="Times New Roman"/>
                <w:b/>
                <w:sz w:val="20"/>
                <w:szCs w:val="20"/>
              </w:rPr>
            </w:pPr>
            <w:r w:rsidRPr="009868D5">
              <w:rPr>
                <w:rFonts w:ascii="Times New Roman" w:eastAsia="Calibri" w:hAnsi="Times New Roman" w:cs="Times New Roman"/>
                <w:b/>
                <w:sz w:val="20"/>
                <w:szCs w:val="20"/>
              </w:rPr>
              <w:t xml:space="preserve">WIOŚ </w:t>
            </w:r>
            <w:r w:rsidRPr="009868D5">
              <w:rPr>
                <w:rFonts w:ascii="Times New Roman" w:eastAsia="Calibri" w:hAnsi="Times New Roman" w:cs="Times New Roman"/>
                <w:b/>
                <w:sz w:val="20"/>
                <w:szCs w:val="20"/>
              </w:rPr>
              <w:br/>
              <w:t>w Rzeszowie</w:t>
            </w:r>
          </w:p>
        </w:tc>
        <w:tc>
          <w:tcPr>
            <w:tcW w:w="1367" w:type="dxa"/>
            <w:shd w:val="clear" w:color="auto" w:fill="auto"/>
          </w:tcPr>
          <w:p w14:paraId="02069D81"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11</w:t>
            </w:r>
          </w:p>
        </w:tc>
        <w:tc>
          <w:tcPr>
            <w:tcW w:w="1673" w:type="dxa"/>
            <w:shd w:val="clear" w:color="auto" w:fill="auto"/>
          </w:tcPr>
          <w:p w14:paraId="52D510E3" w14:textId="77777777" w:rsidR="009868D5" w:rsidRPr="009868D5" w:rsidRDefault="009868D5" w:rsidP="008F7951">
            <w:pPr>
              <w:spacing w:after="0" w:line="240" w:lineRule="auto"/>
              <w:rPr>
                <w:rFonts w:ascii="Times New Roman" w:eastAsia="Calibri" w:hAnsi="Times New Roman" w:cs="Times New Roman"/>
                <w:sz w:val="20"/>
                <w:szCs w:val="20"/>
              </w:rPr>
            </w:pPr>
          </w:p>
        </w:tc>
        <w:tc>
          <w:tcPr>
            <w:tcW w:w="1272" w:type="dxa"/>
            <w:shd w:val="clear" w:color="auto" w:fill="auto"/>
          </w:tcPr>
          <w:p w14:paraId="52F5C90E"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0</w:t>
            </w:r>
          </w:p>
        </w:tc>
        <w:tc>
          <w:tcPr>
            <w:tcW w:w="1521" w:type="dxa"/>
            <w:shd w:val="clear" w:color="auto" w:fill="auto"/>
          </w:tcPr>
          <w:p w14:paraId="3A2F00D8" w14:textId="77777777" w:rsidR="009868D5" w:rsidRPr="009868D5" w:rsidRDefault="009868D5" w:rsidP="008F7951">
            <w:pPr>
              <w:spacing w:after="0" w:line="240" w:lineRule="auto"/>
              <w:rPr>
                <w:rFonts w:ascii="Times New Roman" w:eastAsia="Calibri" w:hAnsi="Times New Roman" w:cs="Times New Roman"/>
                <w:sz w:val="20"/>
                <w:szCs w:val="20"/>
              </w:rPr>
            </w:pPr>
          </w:p>
        </w:tc>
        <w:tc>
          <w:tcPr>
            <w:tcW w:w="1837" w:type="dxa"/>
            <w:shd w:val="clear" w:color="auto" w:fill="auto"/>
          </w:tcPr>
          <w:p w14:paraId="38402161"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Czynności mogą być podejmowane są przez członków Grupy oraz w miarę potrzeby przez innych inspektorów w dniach od poniedziałku do niedzieli w systemie całodobowym</w:t>
            </w:r>
          </w:p>
        </w:tc>
      </w:tr>
      <w:tr w:rsidR="009868D5" w:rsidRPr="009868D5" w14:paraId="27D91184" w14:textId="77777777" w:rsidTr="008F7951">
        <w:trPr>
          <w:trHeight w:val="1275"/>
        </w:trPr>
        <w:tc>
          <w:tcPr>
            <w:tcW w:w="1392" w:type="dxa"/>
            <w:shd w:val="clear" w:color="auto" w:fill="auto"/>
          </w:tcPr>
          <w:p w14:paraId="2799835C" w14:textId="77777777" w:rsidR="009868D5" w:rsidRPr="009868D5" w:rsidRDefault="009868D5" w:rsidP="008F7951">
            <w:pPr>
              <w:spacing w:after="0" w:line="240" w:lineRule="auto"/>
              <w:rPr>
                <w:rFonts w:ascii="Times New Roman" w:eastAsia="Calibri" w:hAnsi="Times New Roman" w:cs="Times New Roman"/>
                <w:b/>
                <w:sz w:val="20"/>
                <w:szCs w:val="20"/>
              </w:rPr>
            </w:pPr>
            <w:r w:rsidRPr="009868D5">
              <w:rPr>
                <w:rFonts w:ascii="Times New Roman" w:eastAsia="Calibri" w:hAnsi="Times New Roman" w:cs="Times New Roman"/>
                <w:b/>
                <w:sz w:val="20"/>
                <w:szCs w:val="20"/>
              </w:rPr>
              <w:t xml:space="preserve">WIOŚ </w:t>
            </w:r>
            <w:r w:rsidRPr="009868D5">
              <w:rPr>
                <w:rFonts w:ascii="Times New Roman" w:eastAsia="Calibri" w:hAnsi="Times New Roman" w:cs="Times New Roman"/>
                <w:b/>
                <w:sz w:val="20"/>
                <w:szCs w:val="20"/>
              </w:rPr>
              <w:br/>
              <w:t>w Szczecinie</w:t>
            </w:r>
          </w:p>
        </w:tc>
        <w:tc>
          <w:tcPr>
            <w:tcW w:w="1367" w:type="dxa"/>
            <w:shd w:val="clear" w:color="auto" w:fill="auto"/>
          </w:tcPr>
          <w:p w14:paraId="47512F19"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8</w:t>
            </w:r>
          </w:p>
        </w:tc>
        <w:tc>
          <w:tcPr>
            <w:tcW w:w="1673" w:type="dxa"/>
            <w:shd w:val="clear" w:color="auto" w:fill="auto"/>
          </w:tcPr>
          <w:p w14:paraId="1088A149"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Grupa Interwencyjno-Wyjazdowa (od 28.11.2022 r. Wydział Zwalczania</w:t>
            </w:r>
          </w:p>
          <w:p w14:paraId="64A020C5"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Przestępczości Środowiskowej)</w:t>
            </w:r>
          </w:p>
        </w:tc>
        <w:tc>
          <w:tcPr>
            <w:tcW w:w="1272" w:type="dxa"/>
            <w:shd w:val="clear" w:color="auto" w:fill="auto"/>
          </w:tcPr>
          <w:p w14:paraId="6E1608B2"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3</w:t>
            </w:r>
          </w:p>
        </w:tc>
        <w:tc>
          <w:tcPr>
            <w:tcW w:w="1521" w:type="dxa"/>
            <w:shd w:val="clear" w:color="auto" w:fill="auto"/>
          </w:tcPr>
          <w:p w14:paraId="5E587A6A"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3 – Straż Graniczna</w:t>
            </w:r>
          </w:p>
        </w:tc>
        <w:tc>
          <w:tcPr>
            <w:tcW w:w="1837" w:type="dxa"/>
            <w:shd w:val="clear" w:color="auto" w:fill="auto"/>
          </w:tcPr>
          <w:p w14:paraId="035D2820"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Praca zmianowa w godzinach 6.00 – 22.00, 7 dni w tygodniu. W godzinach 22.00-06.00 zgłoszenia interwencyjne odbierane były telefonicznie przez zespół dwuosobowy (inspektorzy IOŚ) pełniący dyżur, pozostający w gotowości do podjęcia wyjazdu interwencyjnego</w:t>
            </w:r>
          </w:p>
        </w:tc>
      </w:tr>
      <w:tr w:rsidR="009868D5" w:rsidRPr="009868D5" w14:paraId="53570DB9" w14:textId="77777777" w:rsidTr="008F7951">
        <w:tc>
          <w:tcPr>
            <w:tcW w:w="1392" w:type="dxa"/>
            <w:shd w:val="clear" w:color="auto" w:fill="auto"/>
          </w:tcPr>
          <w:p w14:paraId="4D81D024" w14:textId="77777777" w:rsidR="009868D5" w:rsidRPr="009868D5" w:rsidRDefault="009868D5" w:rsidP="008F7951">
            <w:pPr>
              <w:spacing w:after="0" w:line="240" w:lineRule="auto"/>
              <w:rPr>
                <w:rFonts w:ascii="Times New Roman" w:eastAsia="Calibri" w:hAnsi="Times New Roman" w:cs="Times New Roman"/>
                <w:b/>
                <w:sz w:val="20"/>
                <w:szCs w:val="20"/>
              </w:rPr>
            </w:pPr>
            <w:r w:rsidRPr="009868D5">
              <w:rPr>
                <w:rFonts w:ascii="Times New Roman" w:eastAsia="Calibri" w:hAnsi="Times New Roman" w:cs="Times New Roman"/>
                <w:b/>
                <w:sz w:val="20"/>
                <w:szCs w:val="20"/>
              </w:rPr>
              <w:t xml:space="preserve">WIOŚ </w:t>
            </w:r>
            <w:r w:rsidRPr="009868D5">
              <w:rPr>
                <w:rFonts w:ascii="Times New Roman" w:eastAsia="Calibri" w:hAnsi="Times New Roman" w:cs="Times New Roman"/>
                <w:b/>
                <w:sz w:val="20"/>
                <w:szCs w:val="20"/>
              </w:rPr>
              <w:br/>
              <w:t>w Warszawie</w:t>
            </w:r>
          </w:p>
        </w:tc>
        <w:tc>
          <w:tcPr>
            <w:tcW w:w="1367" w:type="dxa"/>
            <w:shd w:val="clear" w:color="auto" w:fill="auto"/>
          </w:tcPr>
          <w:p w14:paraId="081AD118"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15</w:t>
            </w:r>
          </w:p>
        </w:tc>
        <w:tc>
          <w:tcPr>
            <w:tcW w:w="1673" w:type="dxa"/>
            <w:shd w:val="clear" w:color="auto" w:fill="auto"/>
          </w:tcPr>
          <w:p w14:paraId="07D43B4C"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Grupa Interwencyjno-Wyjazdowa</w:t>
            </w:r>
          </w:p>
        </w:tc>
        <w:tc>
          <w:tcPr>
            <w:tcW w:w="1272" w:type="dxa"/>
            <w:shd w:val="clear" w:color="auto" w:fill="auto"/>
          </w:tcPr>
          <w:p w14:paraId="73F38136"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10</w:t>
            </w:r>
          </w:p>
        </w:tc>
        <w:tc>
          <w:tcPr>
            <w:tcW w:w="1521" w:type="dxa"/>
            <w:shd w:val="clear" w:color="auto" w:fill="auto"/>
          </w:tcPr>
          <w:p w14:paraId="5FB0F412"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6 – Policja</w:t>
            </w:r>
          </w:p>
          <w:p w14:paraId="22902F55"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2 – Straż Miejska</w:t>
            </w:r>
          </w:p>
          <w:p w14:paraId="10748CB9"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 – WP</w:t>
            </w:r>
          </w:p>
          <w:p w14:paraId="62475B90"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 – ITD.</w:t>
            </w:r>
          </w:p>
        </w:tc>
        <w:tc>
          <w:tcPr>
            <w:tcW w:w="1837" w:type="dxa"/>
            <w:shd w:val="clear" w:color="auto" w:fill="auto"/>
          </w:tcPr>
          <w:p w14:paraId="669092A7"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Gotowość do podejmowania działań w systemie 24 godzinnym przez 7 dni w tygodniu</w:t>
            </w:r>
          </w:p>
        </w:tc>
      </w:tr>
      <w:tr w:rsidR="009868D5" w:rsidRPr="009868D5" w14:paraId="1C2EEB0A" w14:textId="77777777" w:rsidTr="008F7951">
        <w:tc>
          <w:tcPr>
            <w:tcW w:w="1392" w:type="dxa"/>
            <w:shd w:val="clear" w:color="auto" w:fill="auto"/>
          </w:tcPr>
          <w:p w14:paraId="4DB6521D" w14:textId="77777777" w:rsidR="009868D5" w:rsidRPr="009868D5" w:rsidRDefault="009868D5" w:rsidP="008F7951">
            <w:pPr>
              <w:spacing w:after="0" w:line="240" w:lineRule="auto"/>
              <w:rPr>
                <w:rFonts w:ascii="Times New Roman" w:eastAsia="Calibri" w:hAnsi="Times New Roman" w:cs="Times New Roman"/>
                <w:b/>
                <w:sz w:val="20"/>
                <w:szCs w:val="20"/>
              </w:rPr>
            </w:pPr>
            <w:r w:rsidRPr="009868D5">
              <w:rPr>
                <w:rFonts w:ascii="Times New Roman" w:eastAsia="Calibri" w:hAnsi="Times New Roman" w:cs="Times New Roman"/>
                <w:b/>
                <w:sz w:val="20"/>
                <w:szCs w:val="20"/>
              </w:rPr>
              <w:lastRenderedPageBreak/>
              <w:t>WIOŚ we Wrocławiu</w:t>
            </w:r>
          </w:p>
        </w:tc>
        <w:tc>
          <w:tcPr>
            <w:tcW w:w="1367" w:type="dxa"/>
            <w:shd w:val="clear" w:color="auto" w:fill="auto"/>
          </w:tcPr>
          <w:p w14:paraId="66790F8E"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8</w:t>
            </w:r>
          </w:p>
          <w:p w14:paraId="4D569F70" w14:textId="77777777" w:rsidR="009868D5" w:rsidRPr="009868D5" w:rsidRDefault="009868D5" w:rsidP="008F7951">
            <w:pPr>
              <w:spacing w:after="0" w:line="240" w:lineRule="auto"/>
              <w:rPr>
                <w:rFonts w:ascii="Times New Roman" w:eastAsia="Calibri" w:hAnsi="Times New Roman" w:cs="Times New Roman"/>
                <w:sz w:val="20"/>
                <w:szCs w:val="20"/>
              </w:rPr>
            </w:pPr>
          </w:p>
          <w:p w14:paraId="0F2F7843" w14:textId="77777777" w:rsidR="009868D5" w:rsidRPr="009868D5" w:rsidRDefault="009868D5" w:rsidP="008F7951">
            <w:pPr>
              <w:spacing w:after="0" w:line="240" w:lineRule="auto"/>
              <w:rPr>
                <w:rFonts w:ascii="Times New Roman" w:eastAsia="Calibri" w:hAnsi="Times New Roman" w:cs="Times New Roman"/>
                <w:sz w:val="20"/>
                <w:szCs w:val="20"/>
              </w:rPr>
            </w:pPr>
          </w:p>
          <w:p w14:paraId="2B255D63" w14:textId="77777777" w:rsidR="009868D5" w:rsidRPr="009868D5" w:rsidRDefault="009868D5" w:rsidP="008F7951">
            <w:pPr>
              <w:spacing w:after="0" w:line="240" w:lineRule="auto"/>
              <w:rPr>
                <w:rFonts w:ascii="Times New Roman" w:eastAsia="Calibri" w:hAnsi="Times New Roman" w:cs="Times New Roman"/>
                <w:sz w:val="20"/>
                <w:szCs w:val="20"/>
              </w:rPr>
            </w:pPr>
          </w:p>
          <w:p w14:paraId="537C5789" w14:textId="77777777" w:rsidR="009868D5" w:rsidRPr="009868D5" w:rsidRDefault="009868D5" w:rsidP="008F7951">
            <w:pPr>
              <w:spacing w:after="0" w:line="240" w:lineRule="auto"/>
              <w:rPr>
                <w:rFonts w:ascii="Times New Roman" w:eastAsia="Calibri" w:hAnsi="Times New Roman" w:cs="Times New Roman"/>
                <w:sz w:val="20"/>
                <w:szCs w:val="20"/>
              </w:rPr>
            </w:pPr>
          </w:p>
          <w:p w14:paraId="643701ED" w14:textId="77777777" w:rsidR="009868D5" w:rsidRPr="009868D5" w:rsidRDefault="009868D5" w:rsidP="008F7951">
            <w:pPr>
              <w:spacing w:after="0" w:line="240" w:lineRule="auto"/>
              <w:rPr>
                <w:rFonts w:ascii="Times New Roman" w:eastAsia="Calibri" w:hAnsi="Times New Roman" w:cs="Times New Roman"/>
                <w:sz w:val="20"/>
                <w:szCs w:val="20"/>
              </w:rPr>
            </w:pPr>
          </w:p>
          <w:p w14:paraId="2D51D52A"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17</w:t>
            </w:r>
          </w:p>
        </w:tc>
        <w:tc>
          <w:tcPr>
            <w:tcW w:w="1673" w:type="dxa"/>
            <w:shd w:val="clear" w:color="auto" w:fill="auto"/>
          </w:tcPr>
          <w:p w14:paraId="376B6D99"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Grupa Interwencyjno-Wyjazdowa</w:t>
            </w:r>
          </w:p>
          <w:p w14:paraId="2F58490B"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(do 30.04.2022 r.)</w:t>
            </w:r>
          </w:p>
          <w:p w14:paraId="68F70941" w14:textId="77777777" w:rsidR="009868D5" w:rsidRPr="009868D5" w:rsidRDefault="009868D5" w:rsidP="008F7951">
            <w:pPr>
              <w:spacing w:after="0" w:line="240" w:lineRule="auto"/>
              <w:rPr>
                <w:rFonts w:ascii="Times New Roman" w:eastAsia="Calibri" w:hAnsi="Times New Roman" w:cs="Times New Roman"/>
                <w:sz w:val="20"/>
                <w:szCs w:val="20"/>
              </w:rPr>
            </w:pPr>
          </w:p>
          <w:p w14:paraId="682AEFC8" w14:textId="77777777" w:rsidR="009868D5" w:rsidRPr="009868D5" w:rsidRDefault="009868D5" w:rsidP="008F7951">
            <w:pPr>
              <w:spacing w:after="0" w:line="240" w:lineRule="auto"/>
              <w:rPr>
                <w:rFonts w:ascii="Times New Roman" w:eastAsia="Calibri" w:hAnsi="Times New Roman" w:cs="Times New Roman"/>
                <w:sz w:val="20"/>
                <w:szCs w:val="20"/>
              </w:rPr>
            </w:pPr>
          </w:p>
          <w:p w14:paraId="523DBE72"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Wydział Zwalczania</w:t>
            </w:r>
          </w:p>
          <w:p w14:paraId="25BFFFBF"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Przestępczości Środowiskowej</w:t>
            </w:r>
          </w:p>
        </w:tc>
        <w:tc>
          <w:tcPr>
            <w:tcW w:w="1272" w:type="dxa"/>
            <w:shd w:val="clear" w:color="auto" w:fill="auto"/>
          </w:tcPr>
          <w:p w14:paraId="51C2FE2E"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5</w:t>
            </w:r>
          </w:p>
          <w:p w14:paraId="409E029A" w14:textId="77777777" w:rsidR="009868D5" w:rsidRPr="009868D5" w:rsidRDefault="009868D5" w:rsidP="008F7951">
            <w:pPr>
              <w:spacing w:after="0" w:line="240" w:lineRule="auto"/>
              <w:rPr>
                <w:rFonts w:ascii="Times New Roman" w:eastAsia="Calibri" w:hAnsi="Times New Roman" w:cs="Times New Roman"/>
                <w:sz w:val="20"/>
                <w:szCs w:val="20"/>
              </w:rPr>
            </w:pPr>
          </w:p>
          <w:p w14:paraId="08D6AA43" w14:textId="77777777" w:rsidR="009868D5" w:rsidRPr="009868D5" w:rsidRDefault="009868D5" w:rsidP="008F7951">
            <w:pPr>
              <w:spacing w:after="0" w:line="240" w:lineRule="auto"/>
              <w:rPr>
                <w:rFonts w:ascii="Times New Roman" w:eastAsia="Calibri" w:hAnsi="Times New Roman" w:cs="Times New Roman"/>
                <w:sz w:val="20"/>
                <w:szCs w:val="20"/>
              </w:rPr>
            </w:pPr>
          </w:p>
          <w:p w14:paraId="2E4E776D" w14:textId="77777777" w:rsidR="009868D5" w:rsidRPr="009868D5" w:rsidRDefault="009868D5" w:rsidP="008F7951">
            <w:pPr>
              <w:spacing w:after="0" w:line="240" w:lineRule="auto"/>
              <w:rPr>
                <w:rFonts w:ascii="Times New Roman" w:eastAsia="Calibri" w:hAnsi="Times New Roman" w:cs="Times New Roman"/>
                <w:sz w:val="20"/>
                <w:szCs w:val="20"/>
              </w:rPr>
            </w:pPr>
          </w:p>
          <w:p w14:paraId="13485516" w14:textId="77777777" w:rsidR="009868D5" w:rsidRPr="009868D5" w:rsidRDefault="009868D5" w:rsidP="008F7951">
            <w:pPr>
              <w:spacing w:after="0" w:line="240" w:lineRule="auto"/>
              <w:rPr>
                <w:rFonts w:ascii="Times New Roman" w:eastAsia="Calibri" w:hAnsi="Times New Roman" w:cs="Times New Roman"/>
                <w:sz w:val="20"/>
                <w:szCs w:val="20"/>
              </w:rPr>
            </w:pPr>
          </w:p>
          <w:p w14:paraId="58F4E137" w14:textId="77777777" w:rsidR="009868D5" w:rsidRPr="009868D5" w:rsidRDefault="009868D5" w:rsidP="008F7951">
            <w:pPr>
              <w:spacing w:after="0" w:line="240" w:lineRule="auto"/>
              <w:rPr>
                <w:rFonts w:ascii="Times New Roman" w:eastAsia="Calibri" w:hAnsi="Times New Roman" w:cs="Times New Roman"/>
                <w:sz w:val="20"/>
                <w:szCs w:val="20"/>
              </w:rPr>
            </w:pPr>
          </w:p>
          <w:p w14:paraId="4570EBF9"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8</w:t>
            </w:r>
          </w:p>
        </w:tc>
        <w:tc>
          <w:tcPr>
            <w:tcW w:w="1521" w:type="dxa"/>
            <w:shd w:val="clear" w:color="auto" w:fill="auto"/>
          </w:tcPr>
          <w:p w14:paraId="18198601"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2 – Policja</w:t>
            </w:r>
          </w:p>
          <w:p w14:paraId="26367FF9"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 – Straż Graniczna</w:t>
            </w:r>
          </w:p>
          <w:p w14:paraId="13D8425C"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 – CBA</w:t>
            </w:r>
          </w:p>
          <w:p w14:paraId="6A768129"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 – PSP</w:t>
            </w:r>
          </w:p>
          <w:p w14:paraId="5F45F582" w14:textId="77777777" w:rsidR="009868D5" w:rsidRPr="009868D5" w:rsidRDefault="009868D5" w:rsidP="008F7951">
            <w:pPr>
              <w:spacing w:after="0" w:line="240" w:lineRule="auto"/>
              <w:rPr>
                <w:rFonts w:ascii="Times New Roman" w:eastAsia="Calibri" w:hAnsi="Times New Roman" w:cs="Times New Roman"/>
                <w:sz w:val="20"/>
                <w:szCs w:val="20"/>
              </w:rPr>
            </w:pPr>
          </w:p>
          <w:p w14:paraId="19E8607C"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4 – Policja</w:t>
            </w:r>
          </w:p>
          <w:p w14:paraId="02CA29E0"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2 – Straż Graniczna</w:t>
            </w:r>
          </w:p>
          <w:p w14:paraId="20B52C07"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 – CBA</w:t>
            </w:r>
          </w:p>
          <w:p w14:paraId="6166BE1E"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1 – PSP</w:t>
            </w:r>
          </w:p>
        </w:tc>
        <w:tc>
          <w:tcPr>
            <w:tcW w:w="1837" w:type="dxa"/>
            <w:shd w:val="clear" w:color="auto" w:fill="auto"/>
          </w:tcPr>
          <w:p w14:paraId="3D9870DF"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Gotowość do podejmowania działań w systemie 24 godzinnym przez 7 dni w tygodniu</w:t>
            </w:r>
          </w:p>
        </w:tc>
      </w:tr>
      <w:tr w:rsidR="009868D5" w:rsidRPr="009868D5" w14:paraId="2BD1B0D8" w14:textId="77777777" w:rsidTr="008F7951">
        <w:tc>
          <w:tcPr>
            <w:tcW w:w="1392" w:type="dxa"/>
            <w:shd w:val="clear" w:color="auto" w:fill="auto"/>
          </w:tcPr>
          <w:p w14:paraId="4EFB91CF" w14:textId="77777777" w:rsidR="009868D5" w:rsidRPr="009868D5" w:rsidRDefault="009868D5" w:rsidP="008F7951">
            <w:pPr>
              <w:spacing w:after="0" w:line="240" w:lineRule="auto"/>
              <w:rPr>
                <w:rFonts w:ascii="Times New Roman" w:eastAsia="Calibri" w:hAnsi="Times New Roman" w:cs="Times New Roman"/>
                <w:b/>
                <w:sz w:val="20"/>
                <w:szCs w:val="20"/>
              </w:rPr>
            </w:pPr>
            <w:r w:rsidRPr="009868D5">
              <w:rPr>
                <w:rFonts w:ascii="Times New Roman" w:eastAsia="Calibri" w:hAnsi="Times New Roman" w:cs="Times New Roman"/>
                <w:b/>
                <w:sz w:val="20"/>
                <w:szCs w:val="20"/>
              </w:rPr>
              <w:t xml:space="preserve">WIOŚ </w:t>
            </w:r>
            <w:r w:rsidRPr="009868D5">
              <w:rPr>
                <w:rFonts w:ascii="Times New Roman" w:eastAsia="Calibri" w:hAnsi="Times New Roman" w:cs="Times New Roman"/>
                <w:b/>
                <w:sz w:val="20"/>
                <w:szCs w:val="20"/>
              </w:rPr>
              <w:br/>
              <w:t>w Zielonej Górze</w:t>
            </w:r>
          </w:p>
        </w:tc>
        <w:tc>
          <w:tcPr>
            <w:tcW w:w="1367" w:type="dxa"/>
            <w:shd w:val="clear" w:color="auto" w:fill="auto"/>
          </w:tcPr>
          <w:p w14:paraId="24158E5D"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4</w:t>
            </w:r>
          </w:p>
        </w:tc>
        <w:tc>
          <w:tcPr>
            <w:tcW w:w="1673" w:type="dxa"/>
            <w:shd w:val="clear" w:color="auto" w:fill="auto"/>
          </w:tcPr>
          <w:p w14:paraId="6A03494B"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Wydział Zwalczania</w:t>
            </w:r>
          </w:p>
          <w:p w14:paraId="1B1FB557"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Przestępczości Środowiskowej</w:t>
            </w:r>
          </w:p>
          <w:p w14:paraId="2A7C7E15"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(od 01.07.2022 r.)</w:t>
            </w:r>
          </w:p>
        </w:tc>
        <w:tc>
          <w:tcPr>
            <w:tcW w:w="1272" w:type="dxa"/>
            <w:shd w:val="clear" w:color="auto" w:fill="auto"/>
          </w:tcPr>
          <w:p w14:paraId="04FDBD4E"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4</w:t>
            </w:r>
          </w:p>
        </w:tc>
        <w:tc>
          <w:tcPr>
            <w:tcW w:w="1521" w:type="dxa"/>
            <w:shd w:val="clear" w:color="auto" w:fill="auto"/>
          </w:tcPr>
          <w:p w14:paraId="15540C5D" w14:textId="77777777"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4 – Policja</w:t>
            </w:r>
          </w:p>
        </w:tc>
        <w:tc>
          <w:tcPr>
            <w:tcW w:w="1837" w:type="dxa"/>
            <w:shd w:val="clear" w:color="auto" w:fill="auto"/>
          </w:tcPr>
          <w:p w14:paraId="546B1A02" w14:textId="0D52696F" w:rsidR="009868D5" w:rsidRPr="009868D5" w:rsidRDefault="009868D5" w:rsidP="008F7951">
            <w:pPr>
              <w:spacing w:after="0" w:line="240" w:lineRule="auto"/>
              <w:rPr>
                <w:rFonts w:ascii="Times New Roman" w:eastAsia="Calibri" w:hAnsi="Times New Roman" w:cs="Times New Roman"/>
                <w:sz w:val="20"/>
                <w:szCs w:val="20"/>
              </w:rPr>
            </w:pPr>
            <w:r w:rsidRPr="009868D5">
              <w:rPr>
                <w:rFonts w:ascii="Times New Roman" w:eastAsia="Calibri" w:hAnsi="Times New Roman" w:cs="Times New Roman"/>
                <w:sz w:val="20"/>
                <w:szCs w:val="20"/>
              </w:rPr>
              <w:t xml:space="preserve">Dyżury pełnione </w:t>
            </w:r>
            <w:r w:rsidR="008F7951">
              <w:rPr>
                <w:rFonts w:ascii="Times New Roman" w:eastAsia="Calibri" w:hAnsi="Times New Roman" w:cs="Times New Roman"/>
                <w:sz w:val="20"/>
                <w:szCs w:val="20"/>
              </w:rPr>
              <w:br/>
            </w:r>
            <w:r w:rsidRPr="009868D5">
              <w:rPr>
                <w:rFonts w:ascii="Times New Roman" w:eastAsia="Calibri" w:hAnsi="Times New Roman" w:cs="Times New Roman"/>
                <w:sz w:val="20"/>
                <w:szCs w:val="20"/>
              </w:rPr>
              <w:t xml:space="preserve">w systemie 7.00-20.00, </w:t>
            </w:r>
            <w:r>
              <w:rPr>
                <w:rFonts w:ascii="Times New Roman" w:eastAsia="Calibri" w:hAnsi="Times New Roman" w:cs="Times New Roman"/>
                <w:sz w:val="20"/>
                <w:szCs w:val="20"/>
              </w:rPr>
              <w:br/>
            </w:r>
            <w:r w:rsidRPr="009868D5">
              <w:rPr>
                <w:rFonts w:ascii="Times New Roman" w:eastAsia="Calibri" w:hAnsi="Times New Roman" w:cs="Times New Roman"/>
                <w:sz w:val="20"/>
                <w:szCs w:val="20"/>
              </w:rPr>
              <w:t xml:space="preserve">w godzinach nocnych w ramach dyżuru telefonicznego </w:t>
            </w:r>
            <w:r>
              <w:rPr>
                <w:rFonts w:ascii="Times New Roman" w:eastAsia="Calibri" w:hAnsi="Times New Roman" w:cs="Times New Roman"/>
                <w:sz w:val="20"/>
                <w:szCs w:val="20"/>
              </w:rPr>
              <w:br/>
            </w:r>
            <w:r w:rsidRPr="009868D5">
              <w:rPr>
                <w:rFonts w:ascii="Times New Roman" w:eastAsia="Calibri" w:hAnsi="Times New Roman" w:cs="Times New Roman"/>
                <w:sz w:val="20"/>
                <w:szCs w:val="20"/>
              </w:rPr>
              <w:t xml:space="preserve">w razie zaistnienia konieczności podjęcia czynności </w:t>
            </w:r>
            <w:r w:rsidR="008F7951">
              <w:rPr>
                <w:rFonts w:ascii="Times New Roman" w:eastAsia="Calibri" w:hAnsi="Times New Roman" w:cs="Times New Roman"/>
                <w:sz w:val="20"/>
                <w:szCs w:val="20"/>
              </w:rPr>
              <w:br/>
            </w:r>
            <w:r w:rsidRPr="009868D5">
              <w:rPr>
                <w:rFonts w:ascii="Times New Roman" w:eastAsia="Calibri" w:hAnsi="Times New Roman" w:cs="Times New Roman"/>
                <w:sz w:val="20"/>
                <w:szCs w:val="20"/>
              </w:rPr>
              <w:t>w nagłych przypadkach.</w:t>
            </w:r>
          </w:p>
        </w:tc>
      </w:tr>
      <w:bookmarkEnd w:id="295"/>
    </w:tbl>
    <w:p w14:paraId="267A1A73" w14:textId="382A33C7" w:rsidR="009868D5" w:rsidRDefault="009868D5" w:rsidP="009868D5">
      <w:pPr>
        <w:spacing w:line="300" w:lineRule="atLeast"/>
      </w:pPr>
    </w:p>
    <w:p w14:paraId="46113A53" w14:textId="4320AE2E" w:rsidR="008F7951" w:rsidRPr="001F39DF" w:rsidRDefault="008F7951" w:rsidP="001F39DF">
      <w:pPr>
        <w:pStyle w:val="Nagwek1"/>
        <w:spacing w:after="120"/>
        <w:jc w:val="both"/>
      </w:pPr>
      <w:bookmarkStart w:id="296" w:name="_Toc135935665"/>
      <w:r w:rsidRPr="001F39DF">
        <w:t>2.2. Wyposażenie w specjalistyczne urządzenia techniczne oraz dedykowane środki transportu</w:t>
      </w:r>
      <w:bookmarkEnd w:id="296"/>
      <w:r w:rsidRPr="001F39DF">
        <w:t xml:space="preserve"> </w:t>
      </w:r>
    </w:p>
    <w:p w14:paraId="0AB5D29D" w14:textId="5EBB5C81" w:rsidR="008F7951" w:rsidRPr="008F7951" w:rsidRDefault="00722EFA" w:rsidP="001F39DF">
      <w:pPr>
        <w:pStyle w:val="Akapitzlist"/>
        <w:spacing w:after="60" w:line="300" w:lineRule="atLeast"/>
        <w:ind w:left="0"/>
        <w:contextualSpacing w:val="0"/>
        <w:jc w:val="both"/>
        <w:rPr>
          <w:sz w:val="24"/>
          <w:szCs w:val="24"/>
        </w:rPr>
      </w:pPr>
      <w:bookmarkStart w:id="297" w:name="_Toc99469606"/>
      <w:r>
        <w:rPr>
          <w:b/>
          <w:sz w:val="24"/>
          <w:szCs w:val="24"/>
          <w:u w:val="single"/>
          <w:lang w:val="pl-PL"/>
        </w:rPr>
        <w:t xml:space="preserve">Sprzęt na wyposażeniu </w:t>
      </w:r>
      <w:r w:rsidR="008F7951" w:rsidRPr="001F39DF">
        <w:rPr>
          <w:b/>
          <w:sz w:val="24"/>
          <w:szCs w:val="24"/>
          <w:u w:val="single"/>
        </w:rPr>
        <w:t>Departament</w:t>
      </w:r>
      <w:r>
        <w:rPr>
          <w:b/>
          <w:sz w:val="24"/>
          <w:szCs w:val="24"/>
          <w:u w:val="single"/>
          <w:lang w:val="pl-PL"/>
        </w:rPr>
        <w:t>u</w:t>
      </w:r>
      <w:r w:rsidR="008F7951" w:rsidRPr="001F39DF">
        <w:rPr>
          <w:b/>
          <w:sz w:val="24"/>
          <w:szCs w:val="24"/>
          <w:u w:val="single"/>
        </w:rPr>
        <w:t xml:space="preserve"> Zwalczania Przestępczości Środowiskowej </w:t>
      </w:r>
      <w:r w:rsidR="001F39DF" w:rsidRPr="001F39DF">
        <w:rPr>
          <w:b/>
          <w:sz w:val="24"/>
          <w:szCs w:val="24"/>
          <w:u w:val="single"/>
          <w:lang w:val="pl-PL"/>
        </w:rPr>
        <w:t>GIOŚ</w:t>
      </w:r>
      <w:r w:rsidR="001F39DF">
        <w:rPr>
          <w:sz w:val="24"/>
          <w:szCs w:val="24"/>
          <w:lang w:val="pl-PL"/>
        </w:rPr>
        <w:t xml:space="preserve"> </w:t>
      </w:r>
    </w:p>
    <w:p w14:paraId="7C5D8BA0" w14:textId="77777777" w:rsidR="008F7951" w:rsidRPr="008F7951" w:rsidRDefault="008F7951" w:rsidP="008F7951">
      <w:pPr>
        <w:spacing w:line="300" w:lineRule="atLeast"/>
        <w:contextualSpacing/>
        <w:jc w:val="both"/>
        <w:rPr>
          <w:rFonts w:ascii="Times New Roman" w:hAnsi="Times New Roman" w:cs="Times New Roman"/>
          <w:b/>
          <w:sz w:val="24"/>
          <w:szCs w:val="24"/>
        </w:rPr>
      </w:pPr>
      <w:r w:rsidRPr="008F7951">
        <w:rPr>
          <w:rFonts w:ascii="Times New Roman" w:hAnsi="Times New Roman" w:cs="Times New Roman"/>
          <w:b/>
          <w:sz w:val="24"/>
          <w:szCs w:val="24"/>
        </w:rPr>
        <w:t>Drony:</w:t>
      </w:r>
    </w:p>
    <w:p w14:paraId="2BC27AFA" w14:textId="3DFF38F7" w:rsidR="008F7951" w:rsidRPr="008F7951" w:rsidRDefault="001F39DF" w:rsidP="001F39DF">
      <w:pPr>
        <w:spacing w:line="300" w:lineRule="atLeast"/>
        <w:ind w:left="284" w:hanging="284"/>
        <w:contextualSpacing/>
        <w:jc w:val="both"/>
        <w:rPr>
          <w:rFonts w:ascii="Times New Roman" w:hAnsi="Times New Roman" w:cs="Times New Roman"/>
          <w:sz w:val="24"/>
          <w:szCs w:val="24"/>
        </w:rPr>
      </w:pPr>
      <w:r>
        <w:rPr>
          <w:rFonts w:ascii="Times New Roman" w:hAnsi="Times New Roman" w:cs="Times New Roman"/>
          <w:sz w:val="24"/>
          <w:szCs w:val="24"/>
        </w:rPr>
        <w:t xml:space="preserve">1. </w:t>
      </w:r>
      <w:r w:rsidR="008F7951" w:rsidRPr="008F7951">
        <w:rPr>
          <w:rFonts w:ascii="Times New Roman" w:hAnsi="Times New Roman" w:cs="Times New Roman"/>
          <w:sz w:val="24"/>
          <w:szCs w:val="24"/>
        </w:rPr>
        <w:t xml:space="preserve">DJI </w:t>
      </w:r>
      <w:proofErr w:type="spellStart"/>
      <w:r w:rsidR="008F7951" w:rsidRPr="008F7951">
        <w:rPr>
          <w:rFonts w:ascii="Times New Roman" w:hAnsi="Times New Roman" w:cs="Times New Roman"/>
          <w:sz w:val="24"/>
          <w:szCs w:val="24"/>
        </w:rPr>
        <w:t>Matrice</w:t>
      </w:r>
      <w:proofErr w:type="spellEnd"/>
      <w:r w:rsidR="008F7951" w:rsidRPr="008F7951">
        <w:rPr>
          <w:rFonts w:ascii="Times New Roman" w:hAnsi="Times New Roman" w:cs="Times New Roman"/>
          <w:sz w:val="24"/>
          <w:szCs w:val="24"/>
        </w:rPr>
        <w:t xml:space="preserve"> M210 v.2 – 3 zestawy </w:t>
      </w:r>
      <w:r>
        <w:rPr>
          <w:rFonts w:ascii="Times New Roman" w:hAnsi="Times New Roman" w:cs="Times New Roman"/>
          <w:sz w:val="24"/>
          <w:szCs w:val="24"/>
        </w:rPr>
        <w:t>(</w:t>
      </w:r>
      <w:r w:rsidR="008F7951" w:rsidRPr="008F7951">
        <w:rPr>
          <w:rFonts w:ascii="Times New Roman" w:hAnsi="Times New Roman" w:cs="Times New Roman"/>
          <w:sz w:val="24"/>
          <w:szCs w:val="24"/>
        </w:rPr>
        <w:t>w każdym zestawie 2 szt. – razem 6 szt.) – Warszawa, Kalisz, Piła – w zestawach dedykowane kamery.</w:t>
      </w:r>
    </w:p>
    <w:p w14:paraId="5EF49A6A" w14:textId="77777777" w:rsidR="008F7951" w:rsidRPr="008F7951" w:rsidRDefault="008F7951" w:rsidP="001F39DF">
      <w:pPr>
        <w:spacing w:after="0" w:line="300" w:lineRule="atLeast"/>
        <w:jc w:val="both"/>
        <w:rPr>
          <w:rFonts w:ascii="Times New Roman" w:hAnsi="Times New Roman" w:cs="Times New Roman"/>
          <w:sz w:val="24"/>
          <w:szCs w:val="24"/>
        </w:rPr>
      </w:pPr>
      <w:r w:rsidRPr="008F7951">
        <w:rPr>
          <w:rFonts w:ascii="Times New Roman" w:hAnsi="Times New Roman" w:cs="Times New Roman"/>
          <w:sz w:val="24"/>
          <w:szCs w:val="24"/>
        </w:rPr>
        <w:t xml:space="preserve">Kamery do DJI </w:t>
      </w:r>
      <w:proofErr w:type="spellStart"/>
      <w:r w:rsidRPr="008F7951">
        <w:rPr>
          <w:rFonts w:ascii="Times New Roman" w:hAnsi="Times New Roman" w:cs="Times New Roman"/>
          <w:sz w:val="24"/>
          <w:szCs w:val="24"/>
        </w:rPr>
        <w:t>Matrice</w:t>
      </w:r>
      <w:proofErr w:type="spellEnd"/>
      <w:r w:rsidRPr="008F7951">
        <w:rPr>
          <w:rFonts w:ascii="Times New Roman" w:hAnsi="Times New Roman" w:cs="Times New Roman"/>
          <w:sz w:val="24"/>
          <w:szCs w:val="24"/>
        </w:rPr>
        <w:t xml:space="preserve"> M210 v.2:</w:t>
      </w:r>
    </w:p>
    <w:p w14:paraId="68D4CD4A" w14:textId="5C77B43F" w:rsidR="008F7951" w:rsidRPr="001F39DF" w:rsidRDefault="008F7951" w:rsidP="00D34F97">
      <w:pPr>
        <w:pStyle w:val="Akapitzlist"/>
        <w:numPr>
          <w:ilvl w:val="0"/>
          <w:numId w:val="220"/>
        </w:numPr>
        <w:spacing w:line="300" w:lineRule="atLeast"/>
        <w:ind w:left="357" w:hanging="357"/>
        <w:contextualSpacing w:val="0"/>
        <w:jc w:val="both"/>
        <w:rPr>
          <w:sz w:val="24"/>
          <w:szCs w:val="24"/>
        </w:rPr>
      </w:pPr>
      <w:proofErr w:type="spellStart"/>
      <w:r w:rsidRPr="001F39DF">
        <w:rPr>
          <w:sz w:val="24"/>
          <w:szCs w:val="24"/>
        </w:rPr>
        <w:t>Zenmuse</w:t>
      </w:r>
      <w:proofErr w:type="spellEnd"/>
      <w:r w:rsidRPr="001F39DF">
        <w:rPr>
          <w:sz w:val="24"/>
          <w:szCs w:val="24"/>
        </w:rPr>
        <w:t xml:space="preserve"> Z30 – kamera dalekiego zasięgu 30x zoom – 3 szt.</w:t>
      </w:r>
    </w:p>
    <w:p w14:paraId="46D48898" w14:textId="404124D4" w:rsidR="008F7951" w:rsidRPr="001F39DF" w:rsidRDefault="008F7951" w:rsidP="00D34F97">
      <w:pPr>
        <w:pStyle w:val="Akapitzlist"/>
        <w:numPr>
          <w:ilvl w:val="0"/>
          <w:numId w:val="220"/>
        </w:numPr>
        <w:spacing w:line="300" w:lineRule="atLeast"/>
        <w:ind w:left="357" w:hanging="357"/>
        <w:contextualSpacing w:val="0"/>
        <w:jc w:val="both"/>
        <w:rPr>
          <w:sz w:val="24"/>
          <w:szCs w:val="24"/>
        </w:rPr>
      </w:pPr>
      <w:proofErr w:type="spellStart"/>
      <w:r w:rsidRPr="001F39DF">
        <w:rPr>
          <w:sz w:val="24"/>
          <w:szCs w:val="24"/>
        </w:rPr>
        <w:t>Zenmuse</w:t>
      </w:r>
      <w:proofErr w:type="spellEnd"/>
      <w:r w:rsidRPr="001F39DF">
        <w:rPr>
          <w:sz w:val="24"/>
          <w:szCs w:val="24"/>
        </w:rPr>
        <w:t xml:space="preserve"> Xt2 – kamera wieloobiektywowa: termowizyjna i światła widzialnego – 3 szt.</w:t>
      </w:r>
    </w:p>
    <w:p w14:paraId="6288FA98" w14:textId="009EAC97" w:rsidR="008F7951" w:rsidRPr="001F39DF" w:rsidRDefault="008F7951" w:rsidP="00D34F97">
      <w:pPr>
        <w:pStyle w:val="Akapitzlist"/>
        <w:numPr>
          <w:ilvl w:val="0"/>
          <w:numId w:val="220"/>
        </w:numPr>
        <w:spacing w:line="300" w:lineRule="atLeast"/>
        <w:ind w:left="357" w:hanging="357"/>
        <w:contextualSpacing w:val="0"/>
        <w:jc w:val="both"/>
        <w:rPr>
          <w:sz w:val="24"/>
          <w:szCs w:val="24"/>
        </w:rPr>
      </w:pPr>
      <w:r w:rsidRPr="001F39DF">
        <w:rPr>
          <w:sz w:val="24"/>
          <w:szCs w:val="24"/>
        </w:rPr>
        <w:t xml:space="preserve">X5S – kamera z wymiennymi obiektywami </w:t>
      </w:r>
      <w:proofErr w:type="spellStart"/>
      <w:r w:rsidRPr="001F39DF">
        <w:rPr>
          <w:sz w:val="24"/>
          <w:szCs w:val="24"/>
        </w:rPr>
        <w:t>stałoogniskowymi</w:t>
      </w:r>
      <w:proofErr w:type="spellEnd"/>
      <w:r w:rsidRPr="001F39DF">
        <w:rPr>
          <w:sz w:val="24"/>
          <w:szCs w:val="24"/>
        </w:rPr>
        <w:t xml:space="preserve"> – do mapowań fotogrametrycznych niskiego pułapu – 3 szt.</w:t>
      </w:r>
    </w:p>
    <w:p w14:paraId="3C028F15" w14:textId="1B097CA5" w:rsidR="008F7951" w:rsidRPr="001F39DF" w:rsidRDefault="008F7951" w:rsidP="00D34F97">
      <w:pPr>
        <w:pStyle w:val="Akapitzlist"/>
        <w:numPr>
          <w:ilvl w:val="0"/>
          <w:numId w:val="220"/>
        </w:numPr>
        <w:spacing w:line="300" w:lineRule="atLeast"/>
        <w:ind w:left="357" w:hanging="357"/>
        <w:contextualSpacing w:val="0"/>
        <w:jc w:val="both"/>
        <w:rPr>
          <w:sz w:val="24"/>
          <w:szCs w:val="24"/>
        </w:rPr>
      </w:pPr>
      <w:proofErr w:type="spellStart"/>
      <w:r w:rsidRPr="001F39DF">
        <w:rPr>
          <w:sz w:val="24"/>
          <w:szCs w:val="24"/>
        </w:rPr>
        <w:t>Mcasense</w:t>
      </w:r>
      <w:proofErr w:type="spellEnd"/>
      <w:r w:rsidRPr="001F39DF">
        <w:rPr>
          <w:sz w:val="24"/>
          <w:szCs w:val="24"/>
        </w:rPr>
        <w:t xml:space="preserve"> </w:t>
      </w:r>
      <w:proofErr w:type="spellStart"/>
      <w:r w:rsidRPr="001F39DF">
        <w:rPr>
          <w:sz w:val="24"/>
          <w:szCs w:val="24"/>
        </w:rPr>
        <w:t>RedEdge</w:t>
      </w:r>
      <w:proofErr w:type="spellEnd"/>
      <w:r w:rsidRPr="001F39DF">
        <w:rPr>
          <w:sz w:val="24"/>
          <w:szCs w:val="24"/>
        </w:rPr>
        <w:t xml:space="preserve"> – kamera </w:t>
      </w:r>
      <w:proofErr w:type="spellStart"/>
      <w:r w:rsidRPr="001F39DF">
        <w:rPr>
          <w:sz w:val="24"/>
          <w:szCs w:val="24"/>
        </w:rPr>
        <w:t>wielospektralna</w:t>
      </w:r>
      <w:proofErr w:type="spellEnd"/>
      <w:r w:rsidRPr="001F39DF">
        <w:rPr>
          <w:sz w:val="24"/>
          <w:szCs w:val="24"/>
        </w:rPr>
        <w:t xml:space="preserve"> – 3 szt.</w:t>
      </w:r>
    </w:p>
    <w:p w14:paraId="4937E7C1" w14:textId="707378E7" w:rsidR="008F7951" w:rsidRPr="008F7951" w:rsidRDefault="008F7951" w:rsidP="001F39DF">
      <w:pPr>
        <w:spacing w:line="300" w:lineRule="atLeast"/>
        <w:ind w:left="284" w:hanging="284"/>
        <w:contextualSpacing/>
        <w:jc w:val="both"/>
        <w:rPr>
          <w:rFonts w:ascii="Times New Roman" w:hAnsi="Times New Roman" w:cs="Times New Roman"/>
          <w:sz w:val="24"/>
          <w:szCs w:val="24"/>
        </w:rPr>
      </w:pPr>
      <w:r w:rsidRPr="008F7951">
        <w:rPr>
          <w:rFonts w:ascii="Times New Roman" w:hAnsi="Times New Roman" w:cs="Times New Roman"/>
          <w:sz w:val="24"/>
          <w:szCs w:val="24"/>
        </w:rPr>
        <w:t xml:space="preserve">2. DJI </w:t>
      </w:r>
      <w:proofErr w:type="spellStart"/>
      <w:r w:rsidRPr="008F7951">
        <w:rPr>
          <w:rFonts w:ascii="Times New Roman" w:hAnsi="Times New Roman" w:cs="Times New Roman"/>
          <w:sz w:val="24"/>
          <w:szCs w:val="24"/>
        </w:rPr>
        <w:t>Mavic</w:t>
      </w:r>
      <w:proofErr w:type="spellEnd"/>
      <w:r w:rsidRPr="008F7951">
        <w:rPr>
          <w:rFonts w:ascii="Times New Roman" w:hAnsi="Times New Roman" w:cs="Times New Roman"/>
          <w:sz w:val="24"/>
          <w:szCs w:val="24"/>
        </w:rPr>
        <w:t xml:space="preserve"> 2 Enterprise – 4 szt. (Warszawa 2 szt. WIO i STS, Piła 1 szt., Kalisz 1 szt.) – wbudowana kamera światła widzialnego</w:t>
      </w:r>
      <w:r w:rsidR="001F39DF">
        <w:rPr>
          <w:rFonts w:ascii="Times New Roman" w:hAnsi="Times New Roman" w:cs="Times New Roman"/>
          <w:sz w:val="24"/>
          <w:szCs w:val="24"/>
        </w:rPr>
        <w:t>.</w:t>
      </w:r>
    </w:p>
    <w:p w14:paraId="00C2A9C3" w14:textId="18F23825" w:rsidR="008F7951" w:rsidRPr="008F7951" w:rsidRDefault="008F7951" w:rsidP="008F7951">
      <w:pPr>
        <w:spacing w:line="300" w:lineRule="atLeast"/>
        <w:contextualSpacing/>
        <w:jc w:val="both"/>
        <w:rPr>
          <w:rFonts w:ascii="Times New Roman" w:hAnsi="Times New Roman" w:cs="Times New Roman"/>
          <w:sz w:val="24"/>
          <w:szCs w:val="24"/>
        </w:rPr>
      </w:pPr>
      <w:r w:rsidRPr="008F7951">
        <w:rPr>
          <w:rFonts w:ascii="Times New Roman" w:hAnsi="Times New Roman" w:cs="Times New Roman"/>
          <w:sz w:val="24"/>
          <w:szCs w:val="24"/>
        </w:rPr>
        <w:t>3. DJI Phantom 3 – 1 szt. – Warszawa WIO – wbudowana kamera światła widzialnego</w:t>
      </w:r>
      <w:r w:rsidR="001F39DF">
        <w:rPr>
          <w:rFonts w:ascii="Times New Roman" w:hAnsi="Times New Roman" w:cs="Times New Roman"/>
          <w:sz w:val="24"/>
          <w:szCs w:val="24"/>
        </w:rPr>
        <w:t>.</w:t>
      </w:r>
    </w:p>
    <w:p w14:paraId="46F75EBA" w14:textId="77777777" w:rsidR="008F7951" w:rsidRPr="008F7951" w:rsidRDefault="008F7951" w:rsidP="001F39DF">
      <w:pPr>
        <w:spacing w:line="300" w:lineRule="atLeast"/>
        <w:ind w:left="284" w:hanging="284"/>
        <w:contextualSpacing/>
        <w:jc w:val="both"/>
        <w:rPr>
          <w:rFonts w:ascii="Times New Roman" w:hAnsi="Times New Roman" w:cs="Times New Roman"/>
          <w:sz w:val="24"/>
          <w:szCs w:val="24"/>
        </w:rPr>
      </w:pPr>
      <w:r w:rsidRPr="008F7951">
        <w:rPr>
          <w:rFonts w:ascii="Times New Roman" w:hAnsi="Times New Roman" w:cs="Times New Roman"/>
          <w:sz w:val="24"/>
          <w:szCs w:val="24"/>
        </w:rPr>
        <w:t>4. DJI Phantom 4 RTK – 4 szt. (Warszawa 2 szt., Piła 1 szt., Kalisz 1 szt.) – drony wyposażone w odbiorniki GNSS do prowadzenia precyzyjnych nalotów geodezyjnych i mapowań fotogrametrycznych niskiego pułapu, wbudowana kamera światła widzialnego</w:t>
      </w:r>
    </w:p>
    <w:p w14:paraId="1AF9EAF4" w14:textId="77777777" w:rsidR="008F7951" w:rsidRPr="008F7951" w:rsidRDefault="008F7951" w:rsidP="00760CA1">
      <w:pPr>
        <w:spacing w:after="0" w:line="300" w:lineRule="atLeast"/>
        <w:ind w:left="284" w:hanging="284"/>
        <w:jc w:val="both"/>
        <w:rPr>
          <w:rFonts w:ascii="Times New Roman" w:hAnsi="Times New Roman" w:cs="Times New Roman"/>
          <w:sz w:val="24"/>
          <w:szCs w:val="24"/>
        </w:rPr>
      </w:pPr>
      <w:r w:rsidRPr="008F7951">
        <w:rPr>
          <w:rFonts w:ascii="Times New Roman" w:hAnsi="Times New Roman" w:cs="Times New Roman"/>
          <w:sz w:val="24"/>
          <w:szCs w:val="24"/>
        </w:rPr>
        <w:t xml:space="preserve">5. DJI </w:t>
      </w:r>
      <w:proofErr w:type="spellStart"/>
      <w:r w:rsidRPr="008F7951">
        <w:rPr>
          <w:rFonts w:ascii="Times New Roman" w:hAnsi="Times New Roman" w:cs="Times New Roman"/>
          <w:sz w:val="24"/>
          <w:szCs w:val="24"/>
        </w:rPr>
        <w:t>Matrice</w:t>
      </w:r>
      <w:proofErr w:type="spellEnd"/>
      <w:r w:rsidRPr="008F7951">
        <w:rPr>
          <w:rFonts w:ascii="Times New Roman" w:hAnsi="Times New Roman" w:cs="Times New Roman"/>
          <w:sz w:val="24"/>
          <w:szCs w:val="24"/>
        </w:rPr>
        <w:t xml:space="preserve"> 300 – 1 szt. Warszawa – największy dron, posiada odbiornik GNSS oraz dedykowaną kamerę</w:t>
      </w:r>
    </w:p>
    <w:p w14:paraId="00B7485E" w14:textId="134B3C0B" w:rsidR="008F7951" w:rsidRPr="00760CA1" w:rsidRDefault="008F7951" w:rsidP="00D34F97">
      <w:pPr>
        <w:pStyle w:val="Akapitzlist"/>
        <w:numPr>
          <w:ilvl w:val="0"/>
          <w:numId w:val="221"/>
        </w:numPr>
        <w:spacing w:line="300" w:lineRule="atLeast"/>
        <w:ind w:left="357" w:hanging="357"/>
        <w:jc w:val="both"/>
        <w:rPr>
          <w:sz w:val="24"/>
          <w:szCs w:val="24"/>
        </w:rPr>
      </w:pPr>
      <w:proofErr w:type="spellStart"/>
      <w:r w:rsidRPr="00760CA1">
        <w:rPr>
          <w:sz w:val="24"/>
          <w:szCs w:val="24"/>
        </w:rPr>
        <w:t>Zenmuse</w:t>
      </w:r>
      <w:proofErr w:type="spellEnd"/>
      <w:r w:rsidRPr="00760CA1">
        <w:rPr>
          <w:sz w:val="24"/>
          <w:szCs w:val="24"/>
        </w:rPr>
        <w:t xml:space="preserve"> H20T – wieloobiektywowa kamera: szeroki kąt, dalmierz laserowy, termowizja oraz kamera dalekiego zasięgu 30X zoom</w:t>
      </w:r>
    </w:p>
    <w:p w14:paraId="125FFAB2" w14:textId="77777777" w:rsidR="008F7951" w:rsidRPr="008F7951" w:rsidRDefault="008F7951" w:rsidP="00760CA1">
      <w:pPr>
        <w:spacing w:line="300" w:lineRule="atLeast"/>
        <w:ind w:left="284" w:hanging="284"/>
        <w:contextualSpacing/>
        <w:jc w:val="both"/>
        <w:rPr>
          <w:rFonts w:ascii="Times New Roman" w:hAnsi="Times New Roman" w:cs="Times New Roman"/>
          <w:sz w:val="24"/>
          <w:szCs w:val="24"/>
        </w:rPr>
      </w:pPr>
      <w:r w:rsidRPr="008F7951">
        <w:rPr>
          <w:rFonts w:ascii="Times New Roman" w:hAnsi="Times New Roman" w:cs="Times New Roman"/>
          <w:sz w:val="24"/>
          <w:szCs w:val="24"/>
        </w:rPr>
        <w:t xml:space="preserve">6. DJI </w:t>
      </w:r>
      <w:proofErr w:type="spellStart"/>
      <w:r w:rsidRPr="008F7951">
        <w:rPr>
          <w:rFonts w:ascii="Times New Roman" w:hAnsi="Times New Roman" w:cs="Times New Roman"/>
          <w:sz w:val="24"/>
          <w:szCs w:val="24"/>
        </w:rPr>
        <w:t>Mavic</w:t>
      </w:r>
      <w:proofErr w:type="spellEnd"/>
      <w:r w:rsidRPr="008F7951">
        <w:rPr>
          <w:rFonts w:ascii="Times New Roman" w:hAnsi="Times New Roman" w:cs="Times New Roman"/>
          <w:sz w:val="24"/>
          <w:szCs w:val="24"/>
        </w:rPr>
        <w:t xml:space="preserve"> 3 mini – 1 szt. Warszawa WIO – najmniejszy dron rozpoznawczy z kamerą światła widzialnego – waga 249 g.</w:t>
      </w:r>
    </w:p>
    <w:p w14:paraId="07212927" w14:textId="77777777" w:rsidR="008F7951" w:rsidRPr="008F7951" w:rsidRDefault="008F7951" w:rsidP="00760CA1">
      <w:pPr>
        <w:spacing w:line="300" w:lineRule="atLeast"/>
        <w:ind w:left="284" w:hanging="284"/>
        <w:contextualSpacing/>
        <w:jc w:val="both"/>
        <w:rPr>
          <w:rFonts w:ascii="Times New Roman" w:hAnsi="Times New Roman" w:cs="Times New Roman"/>
          <w:sz w:val="24"/>
          <w:szCs w:val="24"/>
        </w:rPr>
      </w:pPr>
      <w:r w:rsidRPr="008F7951">
        <w:rPr>
          <w:rFonts w:ascii="Times New Roman" w:hAnsi="Times New Roman" w:cs="Times New Roman"/>
          <w:sz w:val="24"/>
          <w:szCs w:val="24"/>
        </w:rPr>
        <w:lastRenderedPageBreak/>
        <w:t>7. Odbiorniki/anteny GNSS – 4 szt. – odbiorniki do wykonywania precyzyjnych, punktowych pomiarów geodezyjnych (w tym np. rzędnych składowisk, granic działek itp.) – 2 szt. Warszawa, 1 szt. Kalisz, 1 szt. Piła</w:t>
      </w:r>
    </w:p>
    <w:p w14:paraId="1E347BC6" w14:textId="77777777" w:rsidR="008F7951" w:rsidRPr="008F7951" w:rsidRDefault="008F7951" w:rsidP="00F13EDA">
      <w:pPr>
        <w:spacing w:after="120" w:line="300" w:lineRule="atLeast"/>
        <w:jc w:val="both"/>
        <w:rPr>
          <w:rFonts w:ascii="Times New Roman" w:hAnsi="Times New Roman" w:cs="Times New Roman"/>
          <w:sz w:val="24"/>
          <w:szCs w:val="24"/>
        </w:rPr>
      </w:pPr>
      <w:r w:rsidRPr="008F7951">
        <w:rPr>
          <w:rFonts w:ascii="Times New Roman" w:hAnsi="Times New Roman" w:cs="Times New Roman"/>
          <w:sz w:val="24"/>
          <w:szCs w:val="24"/>
        </w:rPr>
        <w:t xml:space="preserve">8. System zasilania </w:t>
      </w:r>
      <w:proofErr w:type="spellStart"/>
      <w:r w:rsidRPr="008F7951">
        <w:rPr>
          <w:rFonts w:ascii="Times New Roman" w:hAnsi="Times New Roman" w:cs="Times New Roman"/>
          <w:sz w:val="24"/>
          <w:szCs w:val="24"/>
        </w:rPr>
        <w:t>drona</w:t>
      </w:r>
      <w:proofErr w:type="spellEnd"/>
      <w:r w:rsidRPr="008F7951">
        <w:rPr>
          <w:rFonts w:ascii="Times New Roman" w:hAnsi="Times New Roman" w:cs="Times New Roman"/>
          <w:sz w:val="24"/>
          <w:szCs w:val="24"/>
        </w:rPr>
        <w:t xml:space="preserve"> na uwięzi – 1 szt. Warszawa.</w:t>
      </w:r>
    </w:p>
    <w:p w14:paraId="001E3C31" w14:textId="77777777" w:rsidR="008F7951" w:rsidRPr="008F7951" w:rsidRDefault="008F7951" w:rsidP="008F7951">
      <w:pPr>
        <w:spacing w:line="300" w:lineRule="atLeast"/>
        <w:contextualSpacing/>
        <w:jc w:val="both"/>
        <w:rPr>
          <w:rFonts w:ascii="Times New Roman" w:hAnsi="Times New Roman" w:cs="Times New Roman"/>
          <w:b/>
          <w:sz w:val="24"/>
          <w:szCs w:val="24"/>
        </w:rPr>
      </w:pPr>
      <w:r w:rsidRPr="008F7951">
        <w:rPr>
          <w:rFonts w:ascii="Times New Roman" w:hAnsi="Times New Roman" w:cs="Times New Roman"/>
          <w:b/>
          <w:sz w:val="24"/>
          <w:szCs w:val="24"/>
        </w:rPr>
        <w:t>Samochody:</w:t>
      </w:r>
    </w:p>
    <w:p w14:paraId="22F7DCE6" w14:textId="77777777" w:rsidR="008F7951" w:rsidRPr="008F7951" w:rsidRDefault="008F7951" w:rsidP="00760CA1">
      <w:pPr>
        <w:spacing w:line="300" w:lineRule="atLeast"/>
        <w:ind w:left="284" w:hanging="284"/>
        <w:contextualSpacing/>
        <w:jc w:val="both"/>
        <w:rPr>
          <w:rFonts w:ascii="Times New Roman" w:hAnsi="Times New Roman" w:cs="Times New Roman"/>
          <w:sz w:val="24"/>
          <w:szCs w:val="24"/>
        </w:rPr>
      </w:pPr>
      <w:r w:rsidRPr="008F7951">
        <w:rPr>
          <w:rFonts w:ascii="Times New Roman" w:hAnsi="Times New Roman" w:cs="Times New Roman"/>
          <w:sz w:val="24"/>
          <w:szCs w:val="24"/>
        </w:rPr>
        <w:t>9. Samochody typu furgon z napędem 4X4 – 3 szt. – pojazdy dostosowane do działań inspekcyjnych z wykorzystaniem dronów (podział zabudowy: przestrzeń biurowa, magazynowa, dodatkowe zasilanie elektryczne i oświetlenia) – Warszawa 1 szt., Piła 1 szt., Kalisz 1 szt.</w:t>
      </w:r>
    </w:p>
    <w:p w14:paraId="19E226C5" w14:textId="77777777" w:rsidR="008F7951" w:rsidRPr="008F7951" w:rsidRDefault="008F7951" w:rsidP="00F13EDA">
      <w:pPr>
        <w:spacing w:after="120" w:line="300" w:lineRule="atLeast"/>
        <w:jc w:val="both"/>
        <w:rPr>
          <w:rFonts w:ascii="Times New Roman" w:hAnsi="Times New Roman" w:cs="Times New Roman"/>
          <w:sz w:val="24"/>
          <w:szCs w:val="24"/>
        </w:rPr>
      </w:pPr>
      <w:r w:rsidRPr="008F7951">
        <w:rPr>
          <w:rFonts w:ascii="Times New Roman" w:hAnsi="Times New Roman" w:cs="Times New Roman"/>
          <w:sz w:val="24"/>
          <w:szCs w:val="24"/>
        </w:rPr>
        <w:t xml:space="preserve">10. Samochody WIO – 4 samochody Ford </w:t>
      </w:r>
      <w:proofErr w:type="spellStart"/>
      <w:r w:rsidRPr="008F7951">
        <w:rPr>
          <w:rFonts w:ascii="Times New Roman" w:hAnsi="Times New Roman" w:cs="Times New Roman"/>
          <w:sz w:val="24"/>
          <w:szCs w:val="24"/>
        </w:rPr>
        <w:t>Ranger</w:t>
      </w:r>
      <w:proofErr w:type="spellEnd"/>
      <w:r w:rsidRPr="008F7951">
        <w:rPr>
          <w:rFonts w:ascii="Times New Roman" w:hAnsi="Times New Roman" w:cs="Times New Roman"/>
          <w:sz w:val="24"/>
          <w:szCs w:val="24"/>
        </w:rPr>
        <w:t xml:space="preserve"> z zabudową dodatkową.</w:t>
      </w:r>
    </w:p>
    <w:p w14:paraId="623C4E5D" w14:textId="77777777" w:rsidR="008F7951" w:rsidRPr="008F7951" w:rsidRDefault="008F7951" w:rsidP="008F7951">
      <w:pPr>
        <w:spacing w:line="300" w:lineRule="atLeast"/>
        <w:contextualSpacing/>
        <w:jc w:val="both"/>
        <w:rPr>
          <w:rFonts w:ascii="Times New Roman" w:hAnsi="Times New Roman" w:cs="Times New Roman"/>
          <w:b/>
          <w:sz w:val="24"/>
          <w:szCs w:val="24"/>
        </w:rPr>
      </w:pPr>
      <w:r w:rsidRPr="008F7951">
        <w:rPr>
          <w:rFonts w:ascii="Times New Roman" w:hAnsi="Times New Roman" w:cs="Times New Roman"/>
          <w:b/>
          <w:sz w:val="24"/>
          <w:szCs w:val="24"/>
        </w:rPr>
        <w:t>Komputery:</w:t>
      </w:r>
    </w:p>
    <w:p w14:paraId="3E972458" w14:textId="77777777" w:rsidR="008F7951" w:rsidRPr="008F7951" w:rsidRDefault="008F7951" w:rsidP="00760CA1">
      <w:pPr>
        <w:spacing w:line="300" w:lineRule="atLeast"/>
        <w:ind w:left="284" w:hanging="284"/>
        <w:contextualSpacing/>
        <w:jc w:val="both"/>
        <w:rPr>
          <w:rFonts w:ascii="Times New Roman" w:hAnsi="Times New Roman" w:cs="Times New Roman"/>
          <w:sz w:val="24"/>
          <w:szCs w:val="24"/>
        </w:rPr>
      </w:pPr>
      <w:r w:rsidRPr="008F7951">
        <w:rPr>
          <w:rFonts w:ascii="Times New Roman" w:hAnsi="Times New Roman" w:cs="Times New Roman"/>
          <w:sz w:val="24"/>
          <w:szCs w:val="24"/>
        </w:rPr>
        <w:t>11. Stacja graficzna z oprogramowaniem – 1 szt. komputer o wysokiej mocy obliczeniowej do przetwarzania dokumentacji fotogrametrycznej – Warszawa.</w:t>
      </w:r>
    </w:p>
    <w:p w14:paraId="475A26A6" w14:textId="77777777" w:rsidR="008F7951" w:rsidRPr="008F7951" w:rsidRDefault="008F7951" w:rsidP="00F13EDA">
      <w:pPr>
        <w:spacing w:after="120" w:line="300" w:lineRule="atLeast"/>
        <w:ind w:left="284" w:hanging="284"/>
        <w:jc w:val="both"/>
        <w:rPr>
          <w:rFonts w:ascii="Times New Roman" w:hAnsi="Times New Roman" w:cs="Times New Roman"/>
          <w:sz w:val="24"/>
          <w:szCs w:val="24"/>
        </w:rPr>
      </w:pPr>
      <w:r w:rsidRPr="008F7951">
        <w:rPr>
          <w:rFonts w:ascii="Times New Roman" w:hAnsi="Times New Roman" w:cs="Times New Roman"/>
          <w:sz w:val="24"/>
          <w:szCs w:val="24"/>
        </w:rPr>
        <w:t>12. Laptop z oprogramowaniem – 3 szt. do przetwarzania dokumentacji fotogrametrycznej – Warszawa 1 szt., Piła 1 szt., Kalisz 1 szt.</w:t>
      </w:r>
    </w:p>
    <w:p w14:paraId="007D9681" w14:textId="77777777" w:rsidR="008F7951" w:rsidRPr="008F7951" w:rsidRDefault="008F7951" w:rsidP="008F7951">
      <w:pPr>
        <w:spacing w:line="300" w:lineRule="atLeast"/>
        <w:contextualSpacing/>
        <w:jc w:val="both"/>
        <w:rPr>
          <w:rFonts w:ascii="Times New Roman" w:hAnsi="Times New Roman" w:cs="Times New Roman"/>
          <w:b/>
          <w:sz w:val="24"/>
          <w:szCs w:val="24"/>
        </w:rPr>
      </w:pPr>
      <w:proofErr w:type="spellStart"/>
      <w:r w:rsidRPr="008F7951">
        <w:rPr>
          <w:rFonts w:ascii="Times New Roman" w:hAnsi="Times New Roman" w:cs="Times New Roman"/>
          <w:b/>
          <w:sz w:val="24"/>
          <w:szCs w:val="24"/>
        </w:rPr>
        <w:t>Georadar</w:t>
      </w:r>
      <w:proofErr w:type="spellEnd"/>
      <w:r w:rsidRPr="008F7951">
        <w:rPr>
          <w:rFonts w:ascii="Times New Roman" w:hAnsi="Times New Roman" w:cs="Times New Roman"/>
          <w:b/>
          <w:sz w:val="24"/>
          <w:szCs w:val="24"/>
        </w:rPr>
        <w:t>:</w:t>
      </w:r>
    </w:p>
    <w:p w14:paraId="6D038091" w14:textId="77777777" w:rsidR="008F7951" w:rsidRPr="008F7951" w:rsidRDefault="008F7951" w:rsidP="00F13EDA">
      <w:pPr>
        <w:spacing w:after="120" w:line="300" w:lineRule="atLeast"/>
        <w:ind w:left="284" w:hanging="284"/>
        <w:jc w:val="both"/>
        <w:rPr>
          <w:rFonts w:ascii="Times New Roman" w:hAnsi="Times New Roman" w:cs="Times New Roman"/>
          <w:sz w:val="24"/>
          <w:szCs w:val="24"/>
        </w:rPr>
      </w:pPr>
      <w:r w:rsidRPr="008F7951">
        <w:rPr>
          <w:rFonts w:ascii="Times New Roman" w:hAnsi="Times New Roman" w:cs="Times New Roman"/>
          <w:sz w:val="24"/>
          <w:szCs w:val="24"/>
        </w:rPr>
        <w:t xml:space="preserve">13. </w:t>
      </w:r>
      <w:proofErr w:type="spellStart"/>
      <w:r w:rsidRPr="008F7951">
        <w:rPr>
          <w:rFonts w:ascii="Times New Roman" w:hAnsi="Times New Roman" w:cs="Times New Roman"/>
          <w:sz w:val="24"/>
          <w:szCs w:val="24"/>
        </w:rPr>
        <w:t>Georadar</w:t>
      </w:r>
      <w:proofErr w:type="spellEnd"/>
      <w:r w:rsidRPr="008F7951">
        <w:rPr>
          <w:rFonts w:ascii="Times New Roman" w:hAnsi="Times New Roman" w:cs="Times New Roman"/>
          <w:sz w:val="24"/>
          <w:szCs w:val="24"/>
        </w:rPr>
        <w:t xml:space="preserve"> – zestaw anten do prowadzenia nieinwazyjnych badań geofizycznych (zasięg penetracji ośrodka geologicznego w zależności od anteny do 15 m, do 25 m).</w:t>
      </w:r>
    </w:p>
    <w:p w14:paraId="4A827437" w14:textId="77777777" w:rsidR="008F7951" w:rsidRPr="008F7951" w:rsidRDefault="008F7951" w:rsidP="008F7951">
      <w:pPr>
        <w:spacing w:line="300" w:lineRule="atLeast"/>
        <w:contextualSpacing/>
        <w:jc w:val="both"/>
        <w:rPr>
          <w:rFonts w:ascii="Times New Roman" w:hAnsi="Times New Roman" w:cs="Times New Roman"/>
          <w:b/>
          <w:sz w:val="24"/>
          <w:szCs w:val="24"/>
        </w:rPr>
      </w:pPr>
      <w:r w:rsidRPr="008F7951">
        <w:rPr>
          <w:rFonts w:ascii="Times New Roman" w:hAnsi="Times New Roman" w:cs="Times New Roman"/>
          <w:b/>
          <w:sz w:val="24"/>
          <w:szCs w:val="24"/>
        </w:rPr>
        <w:t>Wyposażenie indywidualne:</w:t>
      </w:r>
    </w:p>
    <w:p w14:paraId="09B13FA5" w14:textId="77777777" w:rsidR="008F7951" w:rsidRPr="008F7951" w:rsidRDefault="008F7951" w:rsidP="008F7951">
      <w:pPr>
        <w:spacing w:line="300" w:lineRule="atLeast"/>
        <w:contextualSpacing/>
        <w:jc w:val="both"/>
        <w:rPr>
          <w:rFonts w:ascii="Times New Roman" w:hAnsi="Times New Roman" w:cs="Times New Roman"/>
          <w:sz w:val="24"/>
          <w:szCs w:val="24"/>
        </w:rPr>
      </w:pPr>
      <w:r w:rsidRPr="008F7951">
        <w:rPr>
          <w:rFonts w:ascii="Times New Roman" w:hAnsi="Times New Roman" w:cs="Times New Roman"/>
          <w:sz w:val="24"/>
          <w:szCs w:val="24"/>
        </w:rPr>
        <w:t xml:space="preserve">14. </w:t>
      </w:r>
      <w:proofErr w:type="spellStart"/>
      <w:r w:rsidRPr="008F7951">
        <w:rPr>
          <w:rFonts w:ascii="Times New Roman" w:hAnsi="Times New Roman" w:cs="Times New Roman"/>
          <w:sz w:val="24"/>
          <w:szCs w:val="24"/>
        </w:rPr>
        <w:t>Fotopułapki</w:t>
      </w:r>
      <w:proofErr w:type="spellEnd"/>
      <w:r w:rsidRPr="008F7951">
        <w:rPr>
          <w:rFonts w:ascii="Times New Roman" w:hAnsi="Times New Roman" w:cs="Times New Roman"/>
          <w:sz w:val="24"/>
          <w:szCs w:val="24"/>
        </w:rPr>
        <w:t xml:space="preserve"> – akwizycja obrazu, podgląd online oraz eksport zdjęć i filmów -   6szt.</w:t>
      </w:r>
    </w:p>
    <w:p w14:paraId="6FE3525D" w14:textId="77777777" w:rsidR="008F7951" w:rsidRPr="008F7951" w:rsidRDefault="008F7951" w:rsidP="008F7951">
      <w:pPr>
        <w:spacing w:line="300" w:lineRule="atLeast"/>
        <w:contextualSpacing/>
        <w:jc w:val="both"/>
        <w:rPr>
          <w:rFonts w:ascii="Times New Roman" w:hAnsi="Times New Roman" w:cs="Times New Roman"/>
          <w:sz w:val="24"/>
          <w:szCs w:val="24"/>
        </w:rPr>
      </w:pPr>
      <w:r w:rsidRPr="008F7951">
        <w:rPr>
          <w:rFonts w:ascii="Times New Roman" w:hAnsi="Times New Roman" w:cs="Times New Roman"/>
          <w:sz w:val="24"/>
          <w:szCs w:val="24"/>
        </w:rPr>
        <w:t xml:space="preserve">15. </w:t>
      </w:r>
      <w:proofErr w:type="spellStart"/>
      <w:r w:rsidRPr="008F7951">
        <w:rPr>
          <w:rFonts w:ascii="Times New Roman" w:hAnsi="Times New Roman" w:cs="Times New Roman"/>
          <w:sz w:val="24"/>
          <w:szCs w:val="24"/>
        </w:rPr>
        <w:t>Fotopułapki</w:t>
      </w:r>
      <w:proofErr w:type="spellEnd"/>
      <w:r w:rsidRPr="008F7951">
        <w:rPr>
          <w:rFonts w:ascii="Times New Roman" w:hAnsi="Times New Roman" w:cs="Times New Roman"/>
          <w:sz w:val="24"/>
          <w:szCs w:val="24"/>
        </w:rPr>
        <w:t xml:space="preserve"> – akwizycja obrazu i eksport zdjęć i filmów - 6 szt.</w:t>
      </w:r>
    </w:p>
    <w:p w14:paraId="7EDBA72D" w14:textId="77777777" w:rsidR="008F7951" w:rsidRPr="008F7951" w:rsidRDefault="008F7951" w:rsidP="008F7951">
      <w:pPr>
        <w:spacing w:line="300" w:lineRule="atLeast"/>
        <w:contextualSpacing/>
        <w:jc w:val="both"/>
        <w:rPr>
          <w:rFonts w:ascii="Times New Roman" w:hAnsi="Times New Roman" w:cs="Times New Roman"/>
          <w:sz w:val="24"/>
          <w:szCs w:val="24"/>
        </w:rPr>
      </w:pPr>
      <w:r w:rsidRPr="008F7951">
        <w:rPr>
          <w:rFonts w:ascii="Times New Roman" w:hAnsi="Times New Roman" w:cs="Times New Roman"/>
          <w:sz w:val="24"/>
          <w:szCs w:val="24"/>
        </w:rPr>
        <w:t>16. Lornetki.</w:t>
      </w:r>
    </w:p>
    <w:p w14:paraId="4BA9710B" w14:textId="77777777" w:rsidR="008F7951" w:rsidRPr="008F7951" w:rsidRDefault="008F7951" w:rsidP="008F7951">
      <w:pPr>
        <w:spacing w:line="300" w:lineRule="atLeast"/>
        <w:contextualSpacing/>
        <w:jc w:val="both"/>
        <w:rPr>
          <w:rFonts w:ascii="Times New Roman" w:hAnsi="Times New Roman" w:cs="Times New Roman"/>
          <w:sz w:val="24"/>
          <w:szCs w:val="24"/>
        </w:rPr>
      </w:pPr>
      <w:r w:rsidRPr="008F7951">
        <w:rPr>
          <w:rFonts w:ascii="Times New Roman" w:hAnsi="Times New Roman" w:cs="Times New Roman"/>
          <w:sz w:val="24"/>
          <w:szCs w:val="24"/>
        </w:rPr>
        <w:t>17. Luneta noktowizyjna.</w:t>
      </w:r>
    </w:p>
    <w:p w14:paraId="3E628B0A" w14:textId="77777777" w:rsidR="008F7951" w:rsidRPr="008F7951" w:rsidRDefault="008F7951" w:rsidP="008F7951">
      <w:pPr>
        <w:spacing w:line="300" w:lineRule="atLeast"/>
        <w:contextualSpacing/>
        <w:jc w:val="both"/>
        <w:rPr>
          <w:rFonts w:ascii="Times New Roman" w:hAnsi="Times New Roman" w:cs="Times New Roman"/>
          <w:sz w:val="24"/>
          <w:szCs w:val="24"/>
        </w:rPr>
      </w:pPr>
      <w:r w:rsidRPr="008F7951">
        <w:rPr>
          <w:rFonts w:ascii="Times New Roman" w:hAnsi="Times New Roman" w:cs="Times New Roman"/>
          <w:sz w:val="24"/>
          <w:szCs w:val="24"/>
        </w:rPr>
        <w:t>18. Aparaty fotograficzne.</w:t>
      </w:r>
    </w:p>
    <w:p w14:paraId="657CC284" w14:textId="77777777" w:rsidR="008F7951" w:rsidRPr="008F7951" w:rsidRDefault="008F7951" w:rsidP="008F7951">
      <w:pPr>
        <w:pStyle w:val="Akapitzlist"/>
        <w:spacing w:line="300" w:lineRule="atLeast"/>
        <w:ind w:left="0"/>
        <w:jc w:val="both"/>
        <w:rPr>
          <w:sz w:val="24"/>
          <w:szCs w:val="24"/>
        </w:rPr>
      </w:pPr>
    </w:p>
    <w:p w14:paraId="7E3F3185" w14:textId="36080E55" w:rsidR="008F7951" w:rsidRPr="008F7951" w:rsidRDefault="008F7951" w:rsidP="00760CA1">
      <w:pPr>
        <w:spacing w:after="60" w:line="300" w:lineRule="atLeast"/>
        <w:jc w:val="both"/>
        <w:rPr>
          <w:rFonts w:ascii="Times New Roman" w:hAnsi="Times New Roman" w:cs="Times New Roman"/>
          <w:i/>
          <w:color w:val="4472C4"/>
          <w:sz w:val="24"/>
          <w:szCs w:val="24"/>
        </w:rPr>
      </w:pPr>
      <w:r w:rsidRPr="008F7951">
        <w:rPr>
          <w:rFonts w:ascii="Times New Roman" w:hAnsi="Times New Roman" w:cs="Times New Roman"/>
          <w:i/>
          <w:color w:val="4472C4"/>
          <w:sz w:val="24"/>
          <w:szCs w:val="24"/>
        </w:rPr>
        <w:t>Wojewódzki Inspektorat Ochrony Środowiska w Białymstoku</w:t>
      </w:r>
    </w:p>
    <w:p w14:paraId="595BA6EA" w14:textId="77777777" w:rsidR="008F7951" w:rsidRPr="008F7951" w:rsidRDefault="008F7951" w:rsidP="008F7951">
      <w:pPr>
        <w:pStyle w:val="Akapitzlist"/>
        <w:spacing w:line="300" w:lineRule="atLeast"/>
        <w:ind w:left="0"/>
        <w:jc w:val="both"/>
        <w:rPr>
          <w:sz w:val="24"/>
          <w:szCs w:val="24"/>
        </w:rPr>
      </w:pPr>
      <w:r w:rsidRPr="008F7951">
        <w:rPr>
          <w:sz w:val="24"/>
          <w:szCs w:val="24"/>
        </w:rPr>
        <w:t xml:space="preserve">Na wyposażeniu WIOŚ znajdują się: laptopy, tablety, drony, </w:t>
      </w:r>
      <w:proofErr w:type="spellStart"/>
      <w:r w:rsidRPr="008F7951">
        <w:rPr>
          <w:sz w:val="24"/>
          <w:szCs w:val="24"/>
        </w:rPr>
        <w:t>fotopułapki</w:t>
      </w:r>
      <w:proofErr w:type="spellEnd"/>
      <w:r w:rsidRPr="008F7951">
        <w:rPr>
          <w:sz w:val="24"/>
          <w:szCs w:val="24"/>
        </w:rPr>
        <w:t xml:space="preserve">, </w:t>
      </w:r>
      <w:proofErr w:type="spellStart"/>
      <w:r w:rsidRPr="008F7951">
        <w:rPr>
          <w:sz w:val="24"/>
          <w:szCs w:val="24"/>
        </w:rPr>
        <w:t>wideorejestrator</w:t>
      </w:r>
      <w:proofErr w:type="spellEnd"/>
      <w:r w:rsidRPr="008F7951">
        <w:rPr>
          <w:sz w:val="24"/>
          <w:szCs w:val="24"/>
        </w:rPr>
        <w:t>.</w:t>
      </w:r>
    </w:p>
    <w:p w14:paraId="2C1F328E" w14:textId="77777777" w:rsidR="008F7951" w:rsidRPr="008F7951" w:rsidRDefault="008F7951" w:rsidP="008F7951">
      <w:pPr>
        <w:pStyle w:val="Akapitzlist"/>
        <w:spacing w:line="300" w:lineRule="atLeast"/>
        <w:ind w:left="0"/>
        <w:jc w:val="both"/>
        <w:rPr>
          <w:sz w:val="24"/>
          <w:szCs w:val="24"/>
        </w:rPr>
      </w:pPr>
    </w:p>
    <w:p w14:paraId="43E3395E" w14:textId="77777777" w:rsidR="008F7951" w:rsidRPr="008F7951" w:rsidRDefault="008F7951" w:rsidP="00760CA1">
      <w:pPr>
        <w:spacing w:after="60" w:line="300" w:lineRule="atLeast"/>
        <w:jc w:val="both"/>
        <w:rPr>
          <w:rFonts w:ascii="Times New Roman" w:hAnsi="Times New Roman" w:cs="Times New Roman"/>
          <w:i/>
          <w:color w:val="4472C4"/>
          <w:sz w:val="24"/>
          <w:szCs w:val="24"/>
        </w:rPr>
      </w:pPr>
      <w:r w:rsidRPr="008F7951">
        <w:rPr>
          <w:rFonts w:ascii="Times New Roman" w:hAnsi="Times New Roman" w:cs="Times New Roman"/>
          <w:i/>
          <w:color w:val="4472C4"/>
          <w:sz w:val="24"/>
          <w:szCs w:val="24"/>
        </w:rPr>
        <w:t>Wojewódzki Inspektorat Ochrony Środowiska w Bydgoszczy</w:t>
      </w:r>
    </w:p>
    <w:p w14:paraId="7F1CA56F" w14:textId="77777777" w:rsidR="008F7951" w:rsidRPr="008F7951" w:rsidRDefault="008F7951" w:rsidP="00760CA1">
      <w:pPr>
        <w:pStyle w:val="Akapitzlist"/>
        <w:spacing w:line="300" w:lineRule="atLeast"/>
        <w:ind w:left="0" w:firstLine="567"/>
        <w:jc w:val="both"/>
        <w:rPr>
          <w:sz w:val="24"/>
          <w:szCs w:val="24"/>
        </w:rPr>
      </w:pPr>
      <w:r w:rsidRPr="008F7951">
        <w:rPr>
          <w:sz w:val="24"/>
          <w:szCs w:val="24"/>
        </w:rPr>
        <w:t xml:space="preserve">Do podejmowania działań interwencyjnych przeznaczony jest samochód dyżurny, który jest odpowiednio wyposażony w m.in. skaner, drukarkę, latarkę, lornetkę, </w:t>
      </w:r>
      <w:proofErr w:type="spellStart"/>
      <w:r w:rsidRPr="008F7951">
        <w:rPr>
          <w:sz w:val="24"/>
          <w:szCs w:val="24"/>
        </w:rPr>
        <w:t>powerbank</w:t>
      </w:r>
      <w:proofErr w:type="spellEnd"/>
      <w:r w:rsidRPr="008F7951">
        <w:rPr>
          <w:sz w:val="24"/>
          <w:szCs w:val="24"/>
        </w:rPr>
        <w:t>, zestaw do poboru prób, drabinę, szelki bezpieczeństwa, radiotelefony.</w:t>
      </w:r>
    </w:p>
    <w:p w14:paraId="09038ECF" w14:textId="77777777" w:rsidR="008F7951" w:rsidRPr="008F7951" w:rsidRDefault="008F7951" w:rsidP="00760CA1">
      <w:pPr>
        <w:pStyle w:val="Akapitzlist"/>
        <w:spacing w:line="300" w:lineRule="atLeast"/>
        <w:ind w:left="0" w:firstLine="567"/>
        <w:jc w:val="both"/>
        <w:rPr>
          <w:sz w:val="24"/>
          <w:szCs w:val="24"/>
        </w:rPr>
      </w:pPr>
      <w:r w:rsidRPr="008F7951">
        <w:rPr>
          <w:sz w:val="24"/>
          <w:szCs w:val="24"/>
        </w:rPr>
        <w:t xml:space="preserve">Ponadto grupa zadaniowa ma do dyspozycji kamery sferyczne, kamery nasobne, kamery termowizyjne, </w:t>
      </w:r>
      <w:proofErr w:type="spellStart"/>
      <w:r w:rsidRPr="008F7951">
        <w:rPr>
          <w:sz w:val="24"/>
          <w:szCs w:val="24"/>
        </w:rPr>
        <w:t>fotopułapkę</w:t>
      </w:r>
      <w:proofErr w:type="spellEnd"/>
      <w:r w:rsidRPr="008F7951">
        <w:rPr>
          <w:sz w:val="24"/>
          <w:szCs w:val="24"/>
        </w:rPr>
        <w:t>, wiertnicę spalinową  i BSP (</w:t>
      </w:r>
      <w:proofErr w:type="spellStart"/>
      <w:r w:rsidRPr="008F7951">
        <w:rPr>
          <w:sz w:val="24"/>
          <w:szCs w:val="24"/>
        </w:rPr>
        <w:t>drona</w:t>
      </w:r>
      <w:proofErr w:type="spellEnd"/>
      <w:r w:rsidRPr="008F7951">
        <w:rPr>
          <w:sz w:val="24"/>
          <w:szCs w:val="24"/>
        </w:rPr>
        <w:t>). Trzech członków grupy zadaniowej ma uprawnienia operatora BSP.</w:t>
      </w:r>
    </w:p>
    <w:p w14:paraId="688A5BDC" w14:textId="77777777" w:rsidR="008F7951" w:rsidRPr="008F7951" w:rsidRDefault="008F7951" w:rsidP="008F7951">
      <w:pPr>
        <w:spacing w:line="300" w:lineRule="atLeast"/>
        <w:contextualSpacing/>
        <w:jc w:val="both"/>
        <w:rPr>
          <w:rFonts w:ascii="Times New Roman" w:hAnsi="Times New Roman" w:cs="Times New Roman"/>
          <w:i/>
          <w:color w:val="4472C4"/>
          <w:sz w:val="24"/>
          <w:szCs w:val="24"/>
        </w:rPr>
      </w:pPr>
    </w:p>
    <w:p w14:paraId="1EF2FDC3" w14:textId="77777777" w:rsidR="008F7951" w:rsidRPr="008F7951" w:rsidRDefault="008F7951" w:rsidP="00760CA1">
      <w:pPr>
        <w:spacing w:after="60" w:line="300" w:lineRule="atLeast"/>
        <w:jc w:val="both"/>
        <w:rPr>
          <w:rFonts w:ascii="Times New Roman" w:hAnsi="Times New Roman" w:cs="Times New Roman"/>
          <w:i/>
          <w:color w:val="4472C4"/>
          <w:sz w:val="24"/>
          <w:szCs w:val="24"/>
        </w:rPr>
      </w:pPr>
      <w:r w:rsidRPr="008F7951">
        <w:rPr>
          <w:rFonts w:ascii="Times New Roman" w:hAnsi="Times New Roman" w:cs="Times New Roman"/>
          <w:i/>
          <w:color w:val="4472C4"/>
          <w:sz w:val="24"/>
          <w:szCs w:val="24"/>
        </w:rPr>
        <w:t>Wojewódzki Inspektorat Ochrony Środowiska w Gdańsku</w:t>
      </w:r>
    </w:p>
    <w:p w14:paraId="6AFDD876" w14:textId="3452DDA9" w:rsidR="008F7951" w:rsidRPr="008F7951" w:rsidRDefault="008F7951" w:rsidP="00760CA1">
      <w:pPr>
        <w:autoSpaceDE w:val="0"/>
        <w:autoSpaceDN w:val="0"/>
        <w:adjustRightInd w:val="0"/>
        <w:spacing w:line="300" w:lineRule="atLeast"/>
        <w:ind w:firstLine="360"/>
        <w:contextualSpacing/>
        <w:jc w:val="both"/>
        <w:rPr>
          <w:rFonts w:ascii="Times New Roman" w:hAnsi="Times New Roman" w:cs="Times New Roman"/>
          <w:sz w:val="24"/>
          <w:szCs w:val="24"/>
        </w:rPr>
      </w:pPr>
      <w:r w:rsidRPr="008F7951">
        <w:rPr>
          <w:rFonts w:ascii="Times New Roman" w:hAnsi="Times New Roman" w:cs="Times New Roman"/>
          <w:sz w:val="24"/>
          <w:szCs w:val="24"/>
        </w:rPr>
        <w:t xml:space="preserve">5 bezzałogowych statków powietrznych (2x. 2 DJI </w:t>
      </w:r>
      <w:proofErr w:type="spellStart"/>
      <w:r w:rsidRPr="008F7951">
        <w:rPr>
          <w:rFonts w:ascii="Times New Roman" w:hAnsi="Times New Roman" w:cs="Times New Roman"/>
          <w:sz w:val="24"/>
          <w:szCs w:val="24"/>
        </w:rPr>
        <w:t>Mavic</w:t>
      </w:r>
      <w:proofErr w:type="spellEnd"/>
      <w:r w:rsidRPr="008F7951">
        <w:rPr>
          <w:rFonts w:ascii="Times New Roman" w:hAnsi="Times New Roman" w:cs="Times New Roman"/>
          <w:sz w:val="24"/>
          <w:szCs w:val="24"/>
        </w:rPr>
        <w:t xml:space="preserve"> </w:t>
      </w:r>
      <w:proofErr w:type="spellStart"/>
      <w:r w:rsidRPr="008F7951">
        <w:rPr>
          <w:rFonts w:ascii="Times New Roman" w:hAnsi="Times New Roman" w:cs="Times New Roman"/>
          <w:sz w:val="24"/>
          <w:szCs w:val="24"/>
        </w:rPr>
        <w:t>Air</w:t>
      </w:r>
      <w:proofErr w:type="spellEnd"/>
      <w:r w:rsidRPr="008F7951">
        <w:rPr>
          <w:rFonts w:ascii="Times New Roman" w:hAnsi="Times New Roman" w:cs="Times New Roman"/>
          <w:sz w:val="24"/>
          <w:szCs w:val="24"/>
        </w:rPr>
        <w:t xml:space="preserve"> 2, 2 </w:t>
      </w:r>
      <w:proofErr w:type="spellStart"/>
      <w:r w:rsidRPr="008F7951">
        <w:rPr>
          <w:rFonts w:ascii="Times New Roman" w:hAnsi="Times New Roman" w:cs="Times New Roman"/>
          <w:sz w:val="24"/>
          <w:szCs w:val="24"/>
        </w:rPr>
        <w:t>xDJI</w:t>
      </w:r>
      <w:proofErr w:type="spellEnd"/>
      <w:r w:rsidRPr="008F7951">
        <w:rPr>
          <w:rFonts w:ascii="Times New Roman" w:hAnsi="Times New Roman" w:cs="Times New Roman"/>
          <w:sz w:val="24"/>
          <w:szCs w:val="24"/>
        </w:rPr>
        <w:t xml:space="preserve"> </w:t>
      </w:r>
      <w:proofErr w:type="spellStart"/>
      <w:r w:rsidRPr="008F7951">
        <w:rPr>
          <w:rFonts w:ascii="Times New Roman" w:hAnsi="Times New Roman" w:cs="Times New Roman"/>
          <w:sz w:val="24"/>
          <w:szCs w:val="24"/>
        </w:rPr>
        <w:t>Mavic</w:t>
      </w:r>
      <w:proofErr w:type="spellEnd"/>
      <w:r w:rsidRPr="008F7951">
        <w:rPr>
          <w:rFonts w:ascii="Times New Roman" w:hAnsi="Times New Roman" w:cs="Times New Roman"/>
          <w:sz w:val="24"/>
          <w:szCs w:val="24"/>
        </w:rPr>
        <w:t xml:space="preserve"> 3 i 1 x </w:t>
      </w:r>
      <w:proofErr w:type="spellStart"/>
      <w:r w:rsidRPr="008F7951">
        <w:rPr>
          <w:rFonts w:ascii="Times New Roman" w:hAnsi="Times New Roman" w:cs="Times New Roman"/>
          <w:sz w:val="24"/>
          <w:szCs w:val="24"/>
        </w:rPr>
        <w:t>Yunnec</w:t>
      </w:r>
      <w:proofErr w:type="spellEnd"/>
      <w:r w:rsidRPr="008F7951">
        <w:rPr>
          <w:rFonts w:ascii="Times New Roman" w:hAnsi="Times New Roman" w:cs="Times New Roman"/>
          <w:sz w:val="24"/>
          <w:szCs w:val="24"/>
        </w:rPr>
        <w:t xml:space="preserve"> H520) oraz 9 pracowników z uprawnieniami do wykonywania lotów BST (stan na  31.12.2022 r.),</w:t>
      </w:r>
    </w:p>
    <w:p w14:paraId="276610AB" w14:textId="44DB3000" w:rsidR="008F7951" w:rsidRPr="008F7951" w:rsidRDefault="008F7951" w:rsidP="00D34F97">
      <w:pPr>
        <w:numPr>
          <w:ilvl w:val="0"/>
          <w:numId w:val="219"/>
        </w:numPr>
        <w:autoSpaceDE w:val="0"/>
        <w:autoSpaceDN w:val="0"/>
        <w:adjustRightInd w:val="0"/>
        <w:spacing w:after="0" w:line="300" w:lineRule="atLeast"/>
        <w:contextualSpacing/>
        <w:rPr>
          <w:rFonts w:ascii="Times New Roman" w:hAnsi="Times New Roman" w:cs="Times New Roman"/>
          <w:sz w:val="24"/>
          <w:szCs w:val="24"/>
        </w:rPr>
      </w:pPr>
      <w:r w:rsidRPr="008F7951">
        <w:rPr>
          <w:rFonts w:ascii="Times New Roman" w:hAnsi="Times New Roman" w:cs="Times New Roman"/>
          <w:sz w:val="24"/>
          <w:szCs w:val="24"/>
        </w:rPr>
        <w:t xml:space="preserve">4 mobilne systemy monitoringu (tzw. </w:t>
      </w:r>
      <w:proofErr w:type="spellStart"/>
      <w:r w:rsidRPr="008F7951">
        <w:rPr>
          <w:rFonts w:ascii="Times New Roman" w:hAnsi="Times New Roman" w:cs="Times New Roman"/>
          <w:sz w:val="24"/>
          <w:szCs w:val="24"/>
        </w:rPr>
        <w:t>fotopułapki</w:t>
      </w:r>
      <w:proofErr w:type="spellEnd"/>
      <w:r w:rsidRPr="008F7951">
        <w:rPr>
          <w:rFonts w:ascii="Times New Roman" w:hAnsi="Times New Roman" w:cs="Times New Roman"/>
          <w:sz w:val="24"/>
          <w:szCs w:val="24"/>
        </w:rPr>
        <w:t>),</w:t>
      </w:r>
    </w:p>
    <w:p w14:paraId="119A35E2" w14:textId="07B0C4A3" w:rsidR="008F7951" w:rsidRPr="008F7951" w:rsidRDefault="008F7951" w:rsidP="00D34F97">
      <w:pPr>
        <w:numPr>
          <w:ilvl w:val="0"/>
          <w:numId w:val="219"/>
        </w:numPr>
        <w:autoSpaceDE w:val="0"/>
        <w:autoSpaceDN w:val="0"/>
        <w:adjustRightInd w:val="0"/>
        <w:spacing w:after="0" w:line="300" w:lineRule="atLeast"/>
        <w:contextualSpacing/>
        <w:rPr>
          <w:rFonts w:ascii="Times New Roman" w:hAnsi="Times New Roman" w:cs="Times New Roman"/>
          <w:sz w:val="24"/>
          <w:szCs w:val="24"/>
        </w:rPr>
      </w:pPr>
      <w:r w:rsidRPr="008F7951">
        <w:rPr>
          <w:rFonts w:ascii="Times New Roman" w:hAnsi="Times New Roman" w:cs="Times New Roman"/>
          <w:sz w:val="24"/>
          <w:szCs w:val="24"/>
        </w:rPr>
        <w:t>prosty sprzęt pomiarowy (dalmierze, taśmy miernicze, koła pomiarowe), aparaty</w:t>
      </w:r>
    </w:p>
    <w:p w14:paraId="6411D6B2" w14:textId="77777777" w:rsidR="008F7951" w:rsidRPr="008F7951" w:rsidRDefault="008F7951" w:rsidP="00D34F97">
      <w:pPr>
        <w:numPr>
          <w:ilvl w:val="0"/>
          <w:numId w:val="219"/>
        </w:numPr>
        <w:autoSpaceDE w:val="0"/>
        <w:autoSpaceDN w:val="0"/>
        <w:adjustRightInd w:val="0"/>
        <w:spacing w:after="0" w:line="300" w:lineRule="atLeast"/>
        <w:contextualSpacing/>
        <w:rPr>
          <w:rFonts w:ascii="Times New Roman" w:hAnsi="Times New Roman" w:cs="Times New Roman"/>
          <w:sz w:val="24"/>
          <w:szCs w:val="24"/>
        </w:rPr>
      </w:pPr>
      <w:r w:rsidRPr="008F7951">
        <w:rPr>
          <w:rFonts w:ascii="Times New Roman" w:hAnsi="Times New Roman" w:cs="Times New Roman"/>
          <w:sz w:val="24"/>
          <w:szCs w:val="24"/>
        </w:rPr>
        <w:t>fotograficzne, tablet i drukarkę przenośną.</w:t>
      </w:r>
    </w:p>
    <w:p w14:paraId="41D6E710" w14:textId="77777777" w:rsidR="008F7951" w:rsidRPr="008F7951" w:rsidRDefault="008F7951" w:rsidP="008F7951">
      <w:pPr>
        <w:spacing w:line="300" w:lineRule="atLeast"/>
        <w:contextualSpacing/>
        <w:jc w:val="both"/>
        <w:rPr>
          <w:rFonts w:ascii="Times New Roman" w:hAnsi="Times New Roman" w:cs="Times New Roman"/>
          <w:i/>
          <w:color w:val="4472C4"/>
          <w:sz w:val="24"/>
          <w:szCs w:val="24"/>
        </w:rPr>
      </w:pPr>
    </w:p>
    <w:p w14:paraId="6C6B33A4" w14:textId="77777777" w:rsidR="008F7951" w:rsidRPr="008F7951" w:rsidRDefault="008F7951" w:rsidP="00760CA1">
      <w:pPr>
        <w:spacing w:after="60" w:line="300" w:lineRule="atLeast"/>
        <w:jc w:val="both"/>
        <w:rPr>
          <w:rFonts w:ascii="Times New Roman" w:hAnsi="Times New Roman" w:cs="Times New Roman"/>
          <w:i/>
          <w:color w:val="4472C4"/>
          <w:sz w:val="24"/>
          <w:szCs w:val="24"/>
        </w:rPr>
      </w:pPr>
      <w:r w:rsidRPr="008F7951">
        <w:rPr>
          <w:rFonts w:ascii="Times New Roman" w:hAnsi="Times New Roman" w:cs="Times New Roman"/>
          <w:i/>
          <w:color w:val="4472C4"/>
          <w:sz w:val="24"/>
          <w:szCs w:val="24"/>
        </w:rPr>
        <w:t>Wojewódzki Inspektorat Ochrony Środowiska w Katowicach</w:t>
      </w:r>
    </w:p>
    <w:p w14:paraId="67A90AD2" w14:textId="7735E82C" w:rsidR="008F7951" w:rsidRPr="008F7951" w:rsidRDefault="008F7951" w:rsidP="00760CA1">
      <w:pPr>
        <w:spacing w:line="300" w:lineRule="atLeast"/>
        <w:ind w:firstLine="567"/>
        <w:contextualSpacing/>
        <w:jc w:val="both"/>
        <w:rPr>
          <w:rFonts w:ascii="Times New Roman" w:hAnsi="Times New Roman" w:cs="Times New Roman"/>
          <w:sz w:val="24"/>
          <w:szCs w:val="24"/>
        </w:rPr>
      </w:pPr>
      <w:r w:rsidRPr="008F7951">
        <w:rPr>
          <w:rFonts w:ascii="Times New Roman" w:hAnsi="Times New Roman" w:cs="Times New Roman"/>
          <w:sz w:val="24"/>
          <w:szCs w:val="24"/>
        </w:rPr>
        <w:t xml:space="preserve">Każdy z Inspektorów posiada laptop umożliwiający pracę w terenie. Ponadto Grupa dysponuje dwoma drukarkami mobilnymi, skanerem mobilnym, lornetkami noktowizyjnymi, lornetkami termowizyjnymi. Od grudnia 2022 r. WIOŚ dysponuje czterema dronami w tym DJI PHANTOM 4 PRO oraz DJI Mini (2 sztuki) oraz DJI </w:t>
      </w:r>
      <w:proofErr w:type="spellStart"/>
      <w:r w:rsidRPr="008F7951">
        <w:rPr>
          <w:rFonts w:ascii="Times New Roman" w:hAnsi="Times New Roman" w:cs="Times New Roman"/>
          <w:sz w:val="24"/>
          <w:szCs w:val="24"/>
        </w:rPr>
        <w:t>Termal</w:t>
      </w:r>
      <w:proofErr w:type="spellEnd"/>
      <w:r w:rsidRPr="008F7951">
        <w:rPr>
          <w:rFonts w:ascii="Times New Roman" w:hAnsi="Times New Roman" w:cs="Times New Roman"/>
          <w:sz w:val="24"/>
          <w:szCs w:val="24"/>
        </w:rPr>
        <w:t xml:space="preserve"> w zamian za dotychczasowe dwa BSP (DJI PHANTOM 4 PRO oraz DJI Mini). W grudniu 2022 r. zwiększono również ilość inspektorów posiadających możliwość obsługi BSP do 7</w:t>
      </w:r>
      <w:r w:rsidR="000121B3">
        <w:rPr>
          <w:rFonts w:ascii="Times New Roman" w:hAnsi="Times New Roman" w:cs="Times New Roman"/>
          <w:sz w:val="24"/>
          <w:szCs w:val="24"/>
        </w:rPr>
        <w:t>.</w:t>
      </w:r>
      <w:r w:rsidRPr="008F7951">
        <w:rPr>
          <w:rFonts w:ascii="Times New Roman" w:hAnsi="Times New Roman" w:cs="Times New Roman"/>
          <w:sz w:val="24"/>
          <w:szCs w:val="24"/>
        </w:rPr>
        <w:t xml:space="preserve"> w tym 4 w Wydziale ZPŚ.</w:t>
      </w:r>
    </w:p>
    <w:p w14:paraId="5B10F806" w14:textId="77777777" w:rsidR="008F7951" w:rsidRPr="008F7951" w:rsidRDefault="008F7951" w:rsidP="00760CA1">
      <w:pPr>
        <w:spacing w:line="300" w:lineRule="atLeast"/>
        <w:ind w:firstLine="567"/>
        <w:contextualSpacing/>
        <w:jc w:val="both"/>
        <w:rPr>
          <w:rFonts w:ascii="Times New Roman" w:hAnsi="Times New Roman" w:cs="Times New Roman"/>
          <w:sz w:val="24"/>
          <w:szCs w:val="24"/>
        </w:rPr>
      </w:pPr>
      <w:r w:rsidRPr="008F7951">
        <w:rPr>
          <w:rFonts w:ascii="Times New Roman" w:hAnsi="Times New Roman" w:cs="Times New Roman"/>
          <w:sz w:val="24"/>
          <w:szCs w:val="24"/>
        </w:rPr>
        <w:t>Dla potrzeb Wydziału ZPŚ wydzielono dwa samochody typu Dacia DUSTER  oraz samochód opel astra. Niedobory w środkach transportu uzupełniane są doraźnie poprzez inne samochody znajdujące się w flocie WIOŚ Katowice.</w:t>
      </w:r>
    </w:p>
    <w:p w14:paraId="3507E0F0" w14:textId="77777777" w:rsidR="008F7951" w:rsidRPr="008F7951" w:rsidRDefault="008F7951" w:rsidP="008F7951">
      <w:pPr>
        <w:spacing w:line="300" w:lineRule="atLeast"/>
        <w:contextualSpacing/>
        <w:jc w:val="both"/>
        <w:rPr>
          <w:rFonts w:ascii="Times New Roman" w:hAnsi="Times New Roman" w:cs="Times New Roman"/>
          <w:i/>
          <w:color w:val="4472C4"/>
          <w:sz w:val="24"/>
          <w:szCs w:val="24"/>
        </w:rPr>
      </w:pPr>
    </w:p>
    <w:p w14:paraId="0A4D1A1A" w14:textId="77777777" w:rsidR="008F7951" w:rsidRPr="008F7951" w:rsidRDefault="008F7951" w:rsidP="000121B3">
      <w:pPr>
        <w:spacing w:after="60" w:line="300" w:lineRule="atLeast"/>
        <w:jc w:val="both"/>
        <w:rPr>
          <w:rFonts w:ascii="Times New Roman" w:hAnsi="Times New Roman" w:cs="Times New Roman"/>
          <w:i/>
          <w:color w:val="4472C4"/>
          <w:sz w:val="24"/>
          <w:szCs w:val="24"/>
        </w:rPr>
      </w:pPr>
      <w:r w:rsidRPr="008F7951">
        <w:rPr>
          <w:rFonts w:ascii="Times New Roman" w:hAnsi="Times New Roman" w:cs="Times New Roman"/>
          <w:i/>
          <w:color w:val="4472C4"/>
          <w:sz w:val="24"/>
          <w:szCs w:val="24"/>
        </w:rPr>
        <w:t>Wojewódzki Inspektorat Ochrony Środowiska w Kielcach</w:t>
      </w:r>
    </w:p>
    <w:p w14:paraId="4AEF12CA" w14:textId="77777777" w:rsidR="008F7951" w:rsidRPr="008F7951" w:rsidRDefault="008F7951" w:rsidP="000121B3">
      <w:pPr>
        <w:pStyle w:val="Akapitzlist"/>
        <w:spacing w:line="300" w:lineRule="atLeast"/>
        <w:ind w:left="0" w:firstLine="567"/>
        <w:jc w:val="both"/>
        <w:rPr>
          <w:sz w:val="24"/>
          <w:szCs w:val="24"/>
        </w:rPr>
      </w:pPr>
      <w:r w:rsidRPr="008F7951">
        <w:rPr>
          <w:sz w:val="24"/>
          <w:szCs w:val="24"/>
        </w:rPr>
        <w:t>WZPŚ w WIOŚ w Kielcach wyposażony jest w następujące urządzenia techniczne wspomagające realizację zadań oraz dedykowane środki transportu:</w:t>
      </w:r>
    </w:p>
    <w:p w14:paraId="50B0A3D4" w14:textId="77777777" w:rsidR="008F7951" w:rsidRPr="008F7951" w:rsidRDefault="008F7951" w:rsidP="00D34F97">
      <w:pPr>
        <w:pStyle w:val="Akapitzlist"/>
        <w:numPr>
          <w:ilvl w:val="0"/>
          <w:numId w:val="222"/>
        </w:numPr>
        <w:spacing w:line="300" w:lineRule="atLeast"/>
        <w:ind w:left="641" w:hanging="357"/>
        <w:jc w:val="both"/>
        <w:rPr>
          <w:sz w:val="24"/>
          <w:szCs w:val="24"/>
        </w:rPr>
      </w:pPr>
      <w:r w:rsidRPr="008F7951">
        <w:rPr>
          <w:sz w:val="24"/>
          <w:szCs w:val="24"/>
        </w:rPr>
        <w:t>mobilne biuro (Fiat Ducato z 2014 r. pozyskany z WITD w Kielcach),</w:t>
      </w:r>
    </w:p>
    <w:p w14:paraId="2389CAB1" w14:textId="77777777" w:rsidR="008F7951" w:rsidRPr="008F7951" w:rsidRDefault="008F7951" w:rsidP="00D34F97">
      <w:pPr>
        <w:pStyle w:val="Akapitzlist"/>
        <w:numPr>
          <w:ilvl w:val="0"/>
          <w:numId w:val="222"/>
        </w:numPr>
        <w:spacing w:line="300" w:lineRule="atLeast"/>
        <w:ind w:left="641" w:hanging="357"/>
        <w:jc w:val="both"/>
        <w:rPr>
          <w:sz w:val="24"/>
          <w:szCs w:val="24"/>
        </w:rPr>
      </w:pPr>
      <w:r w:rsidRPr="008F7951">
        <w:rPr>
          <w:sz w:val="24"/>
          <w:szCs w:val="24"/>
        </w:rPr>
        <w:t>samochód terenowy Toyota HILUX,</w:t>
      </w:r>
    </w:p>
    <w:p w14:paraId="7831B77F" w14:textId="77777777" w:rsidR="008F7951" w:rsidRPr="008F7951" w:rsidRDefault="008F7951" w:rsidP="00D34F97">
      <w:pPr>
        <w:pStyle w:val="Akapitzlist"/>
        <w:numPr>
          <w:ilvl w:val="0"/>
          <w:numId w:val="222"/>
        </w:numPr>
        <w:spacing w:line="300" w:lineRule="atLeast"/>
        <w:ind w:left="641" w:hanging="357"/>
        <w:jc w:val="both"/>
        <w:rPr>
          <w:sz w:val="24"/>
          <w:szCs w:val="24"/>
        </w:rPr>
      </w:pPr>
      <w:r w:rsidRPr="008F7951">
        <w:rPr>
          <w:sz w:val="24"/>
          <w:szCs w:val="24"/>
        </w:rPr>
        <w:t>bezzałogowe statki powietrzne (6 szt. – dostępne dla wszystkich pracowników Inspekcji posiadających stosowne uprawnienia),</w:t>
      </w:r>
    </w:p>
    <w:p w14:paraId="2659831E" w14:textId="77777777" w:rsidR="008F7951" w:rsidRPr="008F7951" w:rsidRDefault="008F7951" w:rsidP="00D34F97">
      <w:pPr>
        <w:pStyle w:val="Akapitzlist"/>
        <w:numPr>
          <w:ilvl w:val="0"/>
          <w:numId w:val="222"/>
        </w:numPr>
        <w:spacing w:line="300" w:lineRule="atLeast"/>
        <w:ind w:left="641" w:hanging="357"/>
        <w:jc w:val="both"/>
        <w:rPr>
          <w:sz w:val="24"/>
          <w:szCs w:val="24"/>
        </w:rPr>
      </w:pPr>
      <w:proofErr w:type="spellStart"/>
      <w:r w:rsidRPr="008F7951">
        <w:rPr>
          <w:sz w:val="24"/>
          <w:szCs w:val="24"/>
        </w:rPr>
        <w:t>fotopułapka</w:t>
      </w:r>
      <w:proofErr w:type="spellEnd"/>
      <w:r w:rsidRPr="008F7951">
        <w:rPr>
          <w:sz w:val="24"/>
          <w:szCs w:val="24"/>
        </w:rPr>
        <w:t>,</w:t>
      </w:r>
    </w:p>
    <w:p w14:paraId="5307D2AA" w14:textId="77777777" w:rsidR="008F7951" w:rsidRPr="008F7951" w:rsidRDefault="008F7951" w:rsidP="00D34F97">
      <w:pPr>
        <w:pStyle w:val="Akapitzlist"/>
        <w:numPr>
          <w:ilvl w:val="0"/>
          <w:numId w:val="222"/>
        </w:numPr>
        <w:spacing w:line="300" w:lineRule="atLeast"/>
        <w:ind w:left="641" w:hanging="357"/>
        <w:jc w:val="both"/>
        <w:rPr>
          <w:sz w:val="24"/>
          <w:szCs w:val="24"/>
        </w:rPr>
      </w:pPr>
      <w:r w:rsidRPr="008F7951">
        <w:rPr>
          <w:sz w:val="24"/>
          <w:szCs w:val="24"/>
        </w:rPr>
        <w:t>zestawy obserwator,</w:t>
      </w:r>
    </w:p>
    <w:p w14:paraId="6E29A982" w14:textId="77777777" w:rsidR="008F7951" w:rsidRPr="008F7951" w:rsidRDefault="008F7951" w:rsidP="00D34F97">
      <w:pPr>
        <w:pStyle w:val="Akapitzlist"/>
        <w:numPr>
          <w:ilvl w:val="0"/>
          <w:numId w:val="222"/>
        </w:numPr>
        <w:spacing w:line="300" w:lineRule="atLeast"/>
        <w:ind w:left="641" w:hanging="357"/>
        <w:jc w:val="both"/>
        <w:rPr>
          <w:sz w:val="24"/>
          <w:szCs w:val="24"/>
        </w:rPr>
      </w:pPr>
      <w:r w:rsidRPr="008F7951">
        <w:rPr>
          <w:sz w:val="24"/>
          <w:szCs w:val="24"/>
        </w:rPr>
        <w:t>kamera inspekcyjna,</w:t>
      </w:r>
    </w:p>
    <w:p w14:paraId="4F58D3B1" w14:textId="77777777" w:rsidR="008F7951" w:rsidRPr="008F7951" w:rsidRDefault="008F7951" w:rsidP="00D34F97">
      <w:pPr>
        <w:pStyle w:val="Akapitzlist"/>
        <w:numPr>
          <w:ilvl w:val="0"/>
          <w:numId w:val="222"/>
        </w:numPr>
        <w:spacing w:line="300" w:lineRule="atLeast"/>
        <w:ind w:left="641" w:hanging="357"/>
        <w:jc w:val="both"/>
        <w:rPr>
          <w:sz w:val="24"/>
          <w:szCs w:val="24"/>
        </w:rPr>
      </w:pPr>
      <w:r w:rsidRPr="008F7951">
        <w:rPr>
          <w:sz w:val="24"/>
          <w:szCs w:val="24"/>
        </w:rPr>
        <w:t>lornetki (2 szt.),</w:t>
      </w:r>
    </w:p>
    <w:p w14:paraId="1DBE03B2" w14:textId="77777777" w:rsidR="008F7951" w:rsidRPr="008F7951" w:rsidRDefault="008F7951" w:rsidP="00D34F97">
      <w:pPr>
        <w:pStyle w:val="Akapitzlist"/>
        <w:numPr>
          <w:ilvl w:val="0"/>
          <w:numId w:val="222"/>
        </w:numPr>
        <w:spacing w:line="300" w:lineRule="atLeast"/>
        <w:ind w:left="641" w:hanging="357"/>
        <w:jc w:val="both"/>
        <w:rPr>
          <w:sz w:val="24"/>
          <w:szCs w:val="24"/>
        </w:rPr>
      </w:pPr>
      <w:r w:rsidRPr="008F7951">
        <w:rPr>
          <w:sz w:val="24"/>
          <w:szCs w:val="24"/>
        </w:rPr>
        <w:t>kamera termowizyjna,</w:t>
      </w:r>
    </w:p>
    <w:p w14:paraId="1DA087B4" w14:textId="77777777" w:rsidR="008F7951" w:rsidRPr="008F7951" w:rsidRDefault="008F7951" w:rsidP="00D34F97">
      <w:pPr>
        <w:pStyle w:val="Akapitzlist"/>
        <w:numPr>
          <w:ilvl w:val="0"/>
          <w:numId w:val="222"/>
        </w:numPr>
        <w:spacing w:line="300" w:lineRule="atLeast"/>
        <w:ind w:left="641" w:hanging="357"/>
        <w:jc w:val="both"/>
        <w:rPr>
          <w:sz w:val="24"/>
          <w:szCs w:val="24"/>
        </w:rPr>
      </w:pPr>
      <w:r w:rsidRPr="008F7951">
        <w:rPr>
          <w:sz w:val="24"/>
          <w:szCs w:val="24"/>
        </w:rPr>
        <w:t xml:space="preserve">lampa </w:t>
      </w:r>
      <w:proofErr w:type="spellStart"/>
      <w:r w:rsidRPr="008F7951">
        <w:rPr>
          <w:sz w:val="24"/>
          <w:szCs w:val="24"/>
        </w:rPr>
        <w:t>ledowa</w:t>
      </w:r>
      <w:proofErr w:type="spellEnd"/>
      <w:r w:rsidRPr="008F7951">
        <w:rPr>
          <w:sz w:val="24"/>
          <w:szCs w:val="24"/>
        </w:rPr>
        <w:t>,</w:t>
      </w:r>
    </w:p>
    <w:p w14:paraId="3282B52C" w14:textId="77777777" w:rsidR="008F7951" w:rsidRPr="008F7951" w:rsidRDefault="008F7951" w:rsidP="00D34F97">
      <w:pPr>
        <w:pStyle w:val="Akapitzlist"/>
        <w:numPr>
          <w:ilvl w:val="0"/>
          <w:numId w:val="222"/>
        </w:numPr>
        <w:spacing w:line="300" w:lineRule="atLeast"/>
        <w:ind w:left="641" w:hanging="357"/>
        <w:jc w:val="both"/>
        <w:rPr>
          <w:sz w:val="24"/>
          <w:szCs w:val="24"/>
        </w:rPr>
      </w:pPr>
      <w:r w:rsidRPr="008F7951">
        <w:rPr>
          <w:sz w:val="24"/>
          <w:szCs w:val="24"/>
        </w:rPr>
        <w:t>latarki ręczne i czołowe,</w:t>
      </w:r>
    </w:p>
    <w:p w14:paraId="5B6D15FA" w14:textId="77777777" w:rsidR="008F7951" w:rsidRPr="008F7951" w:rsidRDefault="008F7951" w:rsidP="00D34F97">
      <w:pPr>
        <w:pStyle w:val="Akapitzlist"/>
        <w:numPr>
          <w:ilvl w:val="0"/>
          <w:numId w:val="222"/>
        </w:numPr>
        <w:spacing w:line="300" w:lineRule="atLeast"/>
        <w:ind w:left="641" w:hanging="357"/>
        <w:jc w:val="both"/>
        <w:rPr>
          <w:sz w:val="24"/>
          <w:szCs w:val="24"/>
        </w:rPr>
      </w:pPr>
      <w:r w:rsidRPr="008F7951">
        <w:rPr>
          <w:sz w:val="24"/>
          <w:szCs w:val="24"/>
        </w:rPr>
        <w:t>narzędzia wielofunkcyjne (multitool)</w:t>
      </w:r>
    </w:p>
    <w:p w14:paraId="02F0EC1E" w14:textId="77777777" w:rsidR="008F7951" w:rsidRPr="008F7951" w:rsidRDefault="008F7951" w:rsidP="00D34F97">
      <w:pPr>
        <w:pStyle w:val="Akapitzlist"/>
        <w:numPr>
          <w:ilvl w:val="0"/>
          <w:numId w:val="222"/>
        </w:numPr>
        <w:spacing w:line="300" w:lineRule="atLeast"/>
        <w:ind w:left="641" w:hanging="357"/>
        <w:jc w:val="both"/>
        <w:rPr>
          <w:sz w:val="24"/>
          <w:szCs w:val="24"/>
        </w:rPr>
      </w:pPr>
      <w:r w:rsidRPr="008F7951">
        <w:rPr>
          <w:sz w:val="24"/>
          <w:szCs w:val="24"/>
        </w:rPr>
        <w:t>kamera nasobna (2 szt.),</w:t>
      </w:r>
    </w:p>
    <w:p w14:paraId="6F9EFBA2" w14:textId="77777777" w:rsidR="008F7951" w:rsidRPr="008F7951" w:rsidRDefault="008F7951" w:rsidP="00D34F97">
      <w:pPr>
        <w:pStyle w:val="Akapitzlist"/>
        <w:numPr>
          <w:ilvl w:val="0"/>
          <w:numId w:val="222"/>
        </w:numPr>
        <w:spacing w:line="300" w:lineRule="atLeast"/>
        <w:ind w:left="641" w:hanging="357"/>
        <w:jc w:val="both"/>
        <w:rPr>
          <w:sz w:val="24"/>
          <w:szCs w:val="24"/>
        </w:rPr>
      </w:pPr>
      <w:r w:rsidRPr="008F7951">
        <w:rPr>
          <w:sz w:val="24"/>
          <w:szCs w:val="24"/>
        </w:rPr>
        <w:t>dalmierz laserowy (2 szt.),</w:t>
      </w:r>
    </w:p>
    <w:p w14:paraId="412873A9" w14:textId="77777777" w:rsidR="008F7951" w:rsidRPr="008F7951" w:rsidRDefault="008F7951" w:rsidP="00D34F97">
      <w:pPr>
        <w:pStyle w:val="Akapitzlist"/>
        <w:numPr>
          <w:ilvl w:val="0"/>
          <w:numId w:val="222"/>
        </w:numPr>
        <w:spacing w:line="300" w:lineRule="atLeast"/>
        <w:ind w:left="641" w:hanging="357"/>
        <w:jc w:val="both"/>
        <w:rPr>
          <w:sz w:val="24"/>
          <w:szCs w:val="24"/>
        </w:rPr>
      </w:pPr>
      <w:r w:rsidRPr="008F7951">
        <w:rPr>
          <w:sz w:val="24"/>
          <w:szCs w:val="24"/>
        </w:rPr>
        <w:t>drogomierz kołowy,</w:t>
      </w:r>
    </w:p>
    <w:p w14:paraId="47E9E3E6" w14:textId="77777777" w:rsidR="008F7951" w:rsidRPr="008F7951" w:rsidRDefault="008F7951" w:rsidP="00D34F97">
      <w:pPr>
        <w:pStyle w:val="Akapitzlist"/>
        <w:numPr>
          <w:ilvl w:val="0"/>
          <w:numId w:val="222"/>
        </w:numPr>
        <w:spacing w:line="300" w:lineRule="atLeast"/>
        <w:ind w:left="641" w:hanging="357"/>
        <w:jc w:val="both"/>
        <w:rPr>
          <w:sz w:val="24"/>
          <w:szCs w:val="24"/>
        </w:rPr>
      </w:pPr>
      <w:proofErr w:type="spellStart"/>
      <w:r w:rsidRPr="008F7951">
        <w:rPr>
          <w:sz w:val="24"/>
          <w:szCs w:val="24"/>
        </w:rPr>
        <w:t>zadymiarka</w:t>
      </w:r>
      <w:proofErr w:type="spellEnd"/>
      <w:r w:rsidRPr="008F7951">
        <w:rPr>
          <w:sz w:val="24"/>
          <w:szCs w:val="24"/>
        </w:rPr>
        <w:t xml:space="preserve"> kanałowa,</w:t>
      </w:r>
    </w:p>
    <w:p w14:paraId="72D8CFA9" w14:textId="77777777" w:rsidR="008F7951" w:rsidRPr="008F7951" w:rsidRDefault="008F7951" w:rsidP="00D34F97">
      <w:pPr>
        <w:pStyle w:val="Akapitzlist"/>
        <w:numPr>
          <w:ilvl w:val="0"/>
          <w:numId w:val="222"/>
        </w:numPr>
        <w:spacing w:line="300" w:lineRule="atLeast"/>
        <w:ind w:left="641" w:hanging="357"/>
        <w:jc w:val="both"/>
        <w:rPr>
          <w:sz w:val="24"/>
          <w:szCs w:val="24"/>
        </w:rPr>
      </w:pPr>
      <w:r w:rsidRPr="008F7951">
        <w:rPr>
          <w:sz w:val="24"/>
          <w:szCs w:val="24"/>
        </w:rPr>
        <w:t>aparaty fotograficzne, w tym 2 z dużym zoomem,</w:t>
      </w:r>
    </w:p>
    <w:p w14:paraId="02A36FD3" w14:textId="77777777" w:rsidR="008F7951" w:rsidRPr="008F7951" w:rsidRDefault="008F7951" w:rsidP="00D34F97">
      <w:pPr>
        <w:pStyle w:val="Akapitzlist"/>
        <w:numPr>
          <w:ilvl w:val="0"/>
          <w:numId w:val="222"/>
        </w:numPr>
        <w:spacing w:line="300" w:lineRule="atLeast"/>
        <w:ind w:left="641" w:hanging="357"/>
        <w:jc w:val="both"/>
        <w:rPr>
          <w:sz w:val="24"/>
          <w:szCs w:val="24"/>
        </w:rPr>
      </w:pPr>
      <w:r w:rsidRPr="008F7951">
        <w:rPr>
          <w:sz w:val="24"/>
          <w:szCs w:val="24"/>
        </w:rPr>
        <w:t>drabina teleskopowa.</w:t>
      </w:r>
    </w:p>
    <w:p w14:paraId="530594A5" w14:textId="77777777" w:rsidR="008F7951" w:rsidRPr="008F7951" w:rsidRDefault="008F7951" w:rsidP="008F7951">
      <w:pPr>
        <w:spacing w:line="300" w:lineRule="atLeast"/>
        <w:contextualSpacing/>
        <w:jc w:val="both"/>
        <w:rPr>
          <w:rFonts w:ascii="Times New Roman" w:hAnsi="Times New Roman" w:cs="Times New Roman"/>
          <w:i/>
          <w:color w:val="4472C4"/>
          <w:sz w:val="24"/>
          <w:szCs w:val="24"/>
        </w:rPr>
      </w:pPr>
    </w:p>
    <w:p w14:paraId="1824511E" w14:textId="77777777" w:rsidR="008F7951" w:rsidRPr="008F7951" w:rsidRDefault="008F7951" w:rsidP="000121B3">
      <w:pPr>
        <w:spacing w:after="60" w:line="300" w:lineRule="atLeast"/>
        <w:jc w:val="both"/>
        <w:rPr>
          <w:rFonts w:ascii="Times New Roman" w:hAnsi="Times New Roman" w:cs="Times New Roman"/>
          <w:i/>
          <w:color w:val="4472C4"/>
          <w:sz w:val="24"/>
          <w:szCs w:val="24"/>
        </w:rPr>
      </w:pPr>
      <w:r w:rsidRPr="008F7951">
        <w:rPr>
          <w:rFonts w:ascii="Times New Roman" w:hAnsi="Times New Roman" w:cs="Times New Roman"/>
          <w:i/>
          <w:color w:val="4472C4"/>
          <w:sz w:val="24"/>
          <w:szCs w:val="24"/>
        </w:rPr>
        <w:t>Wojewódzki Inspektorat Ochrony Środowiska w Krakowie</w:t>
      </w:r>
    </w:p>
    <w:p w14:paraId="4448A7D7" w14:textId="77777777" w:rsidR="008F7951" w:rsidRPr="008F7951" w:rsidRDefault="008F7951" w:rsidP="008F7951">
      <w:pPr>
        <w:autoSpaceDE w:val="0"/>
        <w:autoSpaceDN w:val="0"/>
        <w:adjustRightInd w:val="0"/>
        <w:spacing w:line="300" w:lineRule="atLeast"/>
        <w:contextualSpacing/>
        <w:jc w:val="both"/>
        <w:rPr>
          <w:rFonts w:ascii="Times New Roman" w:hAnsi="Times New Roman" w:cs="Times New Roman"/>
          <w:sz w:val="24"/>
          <w:szCs w:val="24"/>
        </w:rPr>
      </w:pPr>
      <w:r w:rsidRPr="008F7951">
        <w:rPr>
          <w:rFonts w:ascii="Times New Roman" w:hAnsi="Times New Roman" w:cs="Times New Roman"/>
          <w:sz w:val="24"/>
          <w:szCs w:val="24"/>
        </w:rPr>
        <w:t>Na wyposażeniu Inspektoratu znajdują się:</w:t>
      </w:r>
    </w:p>
    <w:p w14:paraId="325BC8EF" w14:textId="3D8937B0" w:rsidR="008F7951" w:rsidRPr="008F7951" w:rsidRDefault="008F7951" w:rsidP="00D34F97">
      <w:pPr>
        <w:numPr>
          <w:ilvl w:val="0"/>
          <w:numId w:val="223"/>
        </w:numPr>
        <w:autoSpaceDE w:val="0"/>
        <w:autoSpaceDN w:val="0"/>
        <w:adjustRightInd w:val="0"/>
        <w:spacing w:after="0" w:line="300" w:lineRule="atLeast"/>
        <w:ind w:left="641" w:hanging="357"/>
        <w:contextualSpacing/>
        <w:jc w:val="both"/>
        <w:rPr>
          <w:rFonts w:ascii="Times New Roman" w:hAnsi="Times New Roman" w:cs="Times New Roman"/>
          <w:sz w:val="24"/>
          <w:szCs w:val="24"/>
        </w:rPr>
      </w:pPr>
      <w:r w:rsidRPr="008F7951">
        <w:rPr>
          <w:rFonts w:ascii="Times New Roman" w:hAnsi="Times New Roman" w:cs="Times New Roman"/>
          <w:sz w:val="24"/>
          <w:szCs w:val="24"/>
        </w:rPr>
        <w:t xml:space="preserve">pojazdy służbowe – tabor samochodowy WIOŚ jest stale rozwijany w związku ze zwiększaniem ilości i skomplikowania działań oraz rozwojem Inspekcji. WIOŚ </w:t>
      </w:r>
      <w:r w:rsidR="000121B3">
        <w:rPr>
          <w:rFonts w:ascii="Times New Roman" w:hAnsi="Times New Roman" w:cs="Times New Roman"/>
          <w:sz w:val="24"/>
          <w:szCs w:val="24"/>
        </w:rPr>
        <w:br/>
      </w:r>
      <w:r w:rsidRPr="008F7951">
        <w:rPr>
          <w:rFonts w:ascii="Times New Roman" w:hAnsi="Times New Roman" w:cs="Times New Roman"/>
          <w:sz w:val="24"/>
          <w:szCs w:val="24"/>
        </w:rPr>
        <w:t xml:space="preserve">w Krakowie obecnie nie posiada specjalistycznych samochodów typu biuro mobilne – zostało zgłoszone zapotrzebowanie na takie środki transportu, </w:t>
      </w:r>
    </w:p>
    <w:p w14:paraId="06384CE6" w14:textId="77777777" w:rsidR="008F7951" w:rsidRPr="008F7951" w:rsidRDefault="008F7951" w:rsidP="00D34F97">
      <w:pPr>
        <w:numPr>
          <w:ilvl w:val="0"/>
          <w:numId w:val="223"/>
        </w:numPr>
        <w:autoSpaceDE w:val="0"/>
        <w:autoSpaceDN w:val="0"/>
        <w:adjustRightInd w:val="0"/>
        <w:spacing w:after="0" w:line="300" w:lineRule="atLeast"/>
        <w:ind w:left="641" w:hanging="357"/>
        <w:contextualSpacing/>
        <w:jc w:val="both"/>
        <w:rPr>
          <w:rFonts w:ascii="Times New Roman" w:hAnsi="Times New Roman" w:cs="Times New Roman"/>
          <w:sz w:val="24"/>
          <w:szCs w:val="24"/>
        </w:rPr>
      </w:pPr>
      <w:r w:rsidRPr="008F7951">
        <w:rPr>
          <w:rFonts w:ascii="Times New Roman" w:hAnsi="Times New Roman" w:cs="Times New Roman"/>
          <w:sz w:val="24"/>
          <w:szCs w:val="24"/>
        </w:rPr>
        <w:t xml:space="preserve">Bezzałogowe statki powietrzne, </w:t>
      </w:r>
    </w:p>
    <w:p w14:paraId="38EABF63" w14:textId="77777777" w:rsidR="008F7951" w:rsidRPr="008F7951" w:rsidRDefault="008F7951" w:rsidP="00D34F97">
      <w:pPr>
        <w:numPr>
          <w:ilvl w:val="0"/>
          <w:numId w:val="223"/>
        </w:numPr>
        <w:autoSpaceDE w:val="0"/>
        <w:autoSpaceDN w:val="0"/>
        <w:adjustRightInd w:val="0"/>
        <w:spacing w:after="0" w:line="300" w:lineRule="atLeast"/>
        <w:ind w:left="641" w:hanging="357"/>
        <w:contextualSpacing/>
        <w:jc w:val="both"/>
        <w:rPr>
          <w:rFonts w:ascii="Times New Roman" w:hAnsi="Times New Roman" w:cs="Times New Roman"/>
          <w:sz w:val="24"/>
          <w:szCs w:val="24"/>
        </w:rPr>
      </w:pPr>
      <w:r w:rsidRPr="008F7951">
        <w:rPr>
          <w:rFonts w:ascii="Times New Roman" w:hAnsi="Times New Roman" w:cs="Times New Roman"/>
          <w:sz w:val="24"/>
          <w:szCs w:val="24"/>
        </w:rPr>
        <w:t>Wykrywacz metali,</w:t>
      </w:r>
    </w:p>
    <w:p w14:paraId="20BD1CC6" w14:textId="77777777" w:rsidR="008F7951" w:rsidRPr="008F7951" w:rsidRDefault="008F7951" w:rsidP="00D34F97">
      <w:pPr>
        <w:numPr>
          <w:ilvl w:val="0"/>
          <w:numId w:val="223"/>
        </w:numPr>
        <w:autoSpaceDE w:val="0"/>
        <w:autoSpaceDN w:val="0"/>
        <w:adjustRightInd w:val="0"/>
        <w:spacing w:after="0" w:line="300" w:lineRule="atLeast"/>
        <w:ind w:left="641" w:hanging="357"/>
        <w:contextualSpacing/>
        <w:jc w:val="both"/>
        <w:rPr>
          <w:rFonts w:ascii="Times New Roman" w:hAnsi="Times New Roman" w:cs="Times New Roman"/>
          <w:sz w:val="24"/>
          <w:szCs w:val="24"/>
        </w:rPr>
      </w:pPr>
      <w:r w:rsidRPr="008F7951">
        <w:rPr>
          <w:rFonts w:ascii="Times New Roman" w:hAnsi="Times New Roman" w:cs="Times New Roman"/>
          <w:sz w:val="24"/>
          <w:szCs w:val="24"/>
        </w:rPr>
        <w:t>Obserwator,</w:t>
      </w:r>
    </w:p>
    <w:p w14:paraId="12058950" w14:textId="77777777" w:rsidR="008F7951" w:rsidRPr="008F7951" w:rsidRDefault="008F7951" w:rsidP="00D34F97">
      <w:pPr>
        <w:numPr>
          <w:ilvl w:val="0"/>
          <w:numId w:val="223"/>
        </w:numPr>
        <w:autoSpaceDE w:val="0"/>
        <w:autoSpaceDN w:val="0"/>
        <w:adjustRightInd w:val="0"/>
        <w:spacing w:after="0" w:line="300" w:lineRule="atLeast"/>
        <w:ind w:left="641" w:hanging="357"/>
        <w:contextualSpacing/>
        <w:jc w:val="both"/>
        <w:rPr>
          <w:rFonts w:ascii="Times New Roman" w:hAnsi="Times New Roman" w:cs="Times New Roman"/>
          <w:sz w:val="24"/>
          <w:szCs w:val="24"/>
        </w:rPr>
      </w:pPr>
      <w:r w:rsidRPr="008F7951">
        <w:rPr>
          <w:rFonts w:ascii="Times New Roman" w:hAnsi="Times New Roman" w:cs="Times New Roman"/>
          <w:sz w:val="24"/>
          <w:szCs w:val="24"/>
        </w:rPr>
        <w:t>Kamery, w tym kamera termowizyjna oraz kamera szperacz,</w:t>
      </w:r>
    </w:p>
    <w:p w14:paraId="79716A12" w14:textId="77777777" w:rsidR="008F7951" w:rsidRPr="008F7951" w:rsidRDefault="008F7951" w:rsidP="00D34F97">
      <w:pPr>
        <w:numPr>
          <w:ilvl w:val="0"/>
          <w:numId w:val="223"/>
        </w:numPr>
        <w:autoSpaceDE w:val="0"/>
        <w:autoSpaceDN w:val="0"/>
        <w:adjustRightInd w:val="0"/>
        <w:spacing w:after="0" w:line="300" w:lineRule="atLeast"/>
        <w:ind w:left="641" w:hanging="357"/>
        <w:contextualSpacing/>
        <w:jc w:val="both"/>
        <w:rPr>
          <w:rFonts w:ascii="Times New Roman" w:hAnsi="Times New Roman" w:cs="Times New Roman"/>
          <w:sz w:val="24"/>
          <w:szCs w:val="24"/>
        </w:rPr>
      </w:pPr>
      <w:r w:rsidRPr="008F7951">
        <w:rPr>
          <w:rFonts w:ascii="Times New Roman" w:hAnsi="Times New Roman" w:cs="Times New Roman"/>
          <w:sz w:val="24"/>
          <w:szCs w:val="24"/>
        </w:rPr>
        <w:t>Aparaty fotograficzne,</w:t>
      </w:r>
    </w:p>
    <w:p w14:paraId="0EFF3498" w14:textId="77777777" w:rsidR="008F7951" w:rsidRPr="008F7951" w:rsidRDefault="008F7951" w:rsidP="00D34F97">
      <w:pPr>
        <w:numPr>
          <w:ilvl w:val="0"/>
          <w:numId w:val="223"/>
        </w:numPr>
        <w:autoSpaceDE w:val="0"/>
        <w:autoSpaceDN w:val="0"/>
        <w:adjustRightInd w:val="0"/>
        <w:spacing w:after="0" w:line="300" w:lineRule="atLeast"/>
        <w:ind w:left="641" w:hanging="357"/>
        <w:contextualSpacing/>
        <w:jc w:val="both"/>
        <w:rPr>
          <w:rFonts w:ascii="Times New Roman" w:hAnsi="Times New Roman" w:cs="Times New Roman"/>
          <w:sz w:val="24"/>
          <w:szCs w:val="24"/>
        </w:rPr>
      </w:pPr>
      <w:r w:rsidRPr="008F7951">
        <w:rPr>
          <w:rFonts w:ascii="Times New Roman" w:hAnsi="Times New Roman" w:cs="Times New Roman"/>
          <w:sz w:val="24"/>
          <w:szCs w:val="24"/>
        </w:rPr>
        <w:t xml:space="preserve">Lustra inspekcyjne oraz selfie </w:t>
      </w:r>
      <w:proofErr w:type="spellStart"/>
      <w:r w:rsidRPr="008F7951">
        <w:rPr>
          <w:rFonts w:ascii="Times New Roman" w:hAnsi="Times New Roman" w:cs="Times New Roman"/>
          <w:sz w:val="24"/>
          <w:szCs w:val="24"/>
        </w:rPr>
        <w:t>sticki</w:t>
      </w:r>
      <w:proofErr w:type="spellEnd"/>
      <w:r w:rsidRPr="008F7951">
        <w:rPr>
          <w:rFonts w:ascii="Times New Roman" w:hAnsi="Times New Roman" w:cs="Times New Roman"/>
          <w:sz w:val="24"/>
          <w:szCs w:val="24"/>
        </w:rPr>
        <w:t>,</w:t>
      </w:r>
    </w:p>
    <w:p w14:paraId="6F916F07" w14:textId="77777777" w:rsidR="008F7951" w:rsidRPr="008F7951" w:rsidRDefault="008F7951" w:rsidP="00D34F97">
      <w:pPr>
        <w:numPr>
          <w:ilvl w:val="0"/>
          <w:numId w:val="223"/>
        </w:numPr>
        <w:autoSpaceDE w:val="0"/>
        <w:autoSpaceDN w:val="0"/>
        <w:adjustRightInd w:val="0"/>
        <w:spacing w:after="0" w:line="300" w:lineRule="atLeast"/>
        <w:ind w:left="641" w:hanging="357"/>
        <w:contextualSpacing/>
        <w:jc w:val="both"/>
        <w:rPr>
          <w:rFonts w:ascii="Times New Roman" w:hAnsi="Times New Roman" w:cs="Times New Roman"/>
          <w:sz w:val="24"/>
          <w:szCs w:val="24"/>
        </w:rPr>
      </w:pPr>
      <w:r w:rsidRPr="008F7951">
        <w:rPr>
          <w:rFonts w:ascii="Times New Roman" w:hAnsi="Times New Roman" w:cs="Times New Roman"/>
          <w:sz w:val="24"/>
          <w:szCs w:val="24"/>
        </w:rPr>
        <w:lastRenderedPageBreak/>
        <w:t>Lornetki oraz luneta,</w:t>
      </w:r>
    </w:p>
    <w:p w14:paraId="395D4825" w14:textId="77777777" w:rsidR="008F7951" w:rsidRPr="008F7951" w:rsidRDefault="008F7951" w:rsidP="00D34F97">
      <w:pPr>
        <w:numPr>
          <w:ilvl w:val="0"/>
          <w:numId w:val="223"/>
        </w:numPr>
        <w:autoSpaceDE w:val="0"/>
        <w:autoSpaceDN w:val="0"/>
        <w:adjustRightInd w:val="0"/>
        <w:spacing w:after="0" w:line="300" w:lineRule="atLeast"/>
        <w:ind w:left="641" w:hanging="357"/>
        <w:contextualSpacing/>
        <w:jc w:val="both"/>
        <w:rPr>
          <w:rFonts w:ascii="Times New Roman" w:hAnsi="Times New Roman" w:cs="Times New Roman"/>
          <w:sz w:val="24"/>
          <w:szCs w:val="24"/>
        </w:rPr>
      </w:pPr>
      <w:r w:rsidRPr="008F7951">
        <w:rPr>
          <w:rFonts w:ascii="Times New Roman" w:hAnsi="Times New Roman" w:cs="Times New Roman"/>
          <w:sz w:val="24"/>
          <w:szCs w:val="24"/>
        </w:rPr>
        <w:t>Dalmierze oraz taśmy miernicze i metry,</w:t>
      </w:r>
    </w:p>
    <w:p w14:paraId="4AA57CCC" w14:textId="77777777" w:rsidR="008F7951" w:rsidRPr="008F7951" w:rsidRDefault="008F7951" w:rsidP="00D34F97">
      <w:pPr>
        <w:numPr>
          <w:ilvl w:val="0"/>
          <w:numId w:val="223"/>
        </w:numPr>
        <w:autoSpaceDE w:val="0"/>
        <w:autoSpaceDN w:val="0"/>
        <w:adjustRightInd w:val="0"/>
        <w:spacing w:after="0" w:line="300" w:lineRule="atLeast"/>
        <w:ind w:left="641" w:hanging="357"/>
        <w:contextualSpacing/>
        <w:jc w:val="both"/>
        <w:rPr>
          <w:rFonts w:ascii="Times New Roman" w:hAnsi="Times New Roman" w:cs="Times New Roman"/>
          <w:sz w:val="24"/>
          <w:szCs w:val="24"/>
        </w:rPr>
      </w:pPr>
      <w:r w:rsidRPr="008F7951">
        <w:rPr>
          <w:rFonts w:ascii="Times New Roman" w:hAnsi="Times New Roman" w:cs="Times New Roman"/>
          <w:sz w:val="24"/>
          <w:szCs w:val="24"/>
        </w:rPr>
        <w:t xml:space="preserve">Urządzenia do pomiaru podstawowych parametrów ścieków (multimetr – </w:t>
      </w:r>
      <w:proofErr w:type="spellStart"/>
      <w:r w:rsidRPr="008F7951">
        <w:rPr>
          <w:rFonts w:ascii="Times New Roman" w:hAnsi="Times New Roman" w:cs="Times New Roman"/>
          <w:sz w:val="24"/>
          <w:szCs w:val="24"/>
        </w:rPr>
        <w:t>pH</w:t>
      </w:r>
      <w:proofErr w:type="spellEnd"/>
      <w:r w:rsidRPr="008F7951">
        <w:rPr>
          <w:rFonts w:ascii="Times New Roman" w:hAnsi="Times New Roman" w:cs="Times New Roman"/>
          <w:sz w:val="24"/>
          <w:szCs w:val="24"/>
        </w:rPr>
        <w:t>, przewodnictwo elektryczne właściwe i tlen rozpuszczony),</w:t>
      </w:r>
    </w:p>
    <w:p w14:paraId="49B17148" w14:textId="77777777" w:rsidR="008F7951" w:rsidRPr="008F7951" w:rsidRDefault="008F7951" w:rsidP="00D34F97">
      <w:pPr>
        <w:numPr>
          <w:ilvl w:val="0"/>
          <w:numId w:val="223"/>
        </w:numPr>
        <w:autoSpaceDE w:val="0"/>
        <w:autoSpaceDN w:val="0"/>
        <w:adjustRightInd w:val="0"/>
        <w:spacing w:after="0" w:line="300" w:lineRule="atLeast"/>
        <w:ind w:left="641" w:hanging="357"/>
        <w:contextualSpacing/>
        <w:jc w:val="both"/>
        <w:rPr>
          <w:rFonts w:ascii="Times New Roman" w:hAnsi="Times New Roman" w:cs="Times New Roman"/>
          <w:sz w:val="24"/>
          <w:szCs w:val="24"/>
        </w:rPr>
      </w:pPr>
      <w:r w:rsidRPr="008F7951">
        <w:rPr>
          <w:rFonts w:ascii="Times New Roman" w:hAnsi="Times New Roman" w:cs="Times New Roman"/>
          <w:sz w:val="24"/>
          <w:szCs w:val="24"/>
        </w:rPr>
        <w:t>Czujnik dwufunkcyjny gazowy,</w:t>
      </w:r>
    </w:p>
    <w:p w14:paraId="3753A276" w14:textId="77777777" w:rsidR="008F7951" w:rsidRPr="008F7951" w:rsidRDefault="008F7951" w:rsidP="00D34F97">
      <w:pPr>
        <w:numPr>
          <w:ilvl w:val="0"/>
          <w:numId w:val="223"/>
        </w:numPr>
        <w:spacing w:after="0" w:line="300" w:lineRule="atLeast"/>
        <w:ind w:left="641" w:hanging="357"/>
        <w:contextualSpacing/>
        <w:jc w:val="both"/>
        <w:rPr>
          <w:rFonts w:ascii="Times New Roman" w:hAnsi="Times New Roman" w:cs="Times New Roman"/>
          <w:sz w:val="24"/>
          <w:szCs w:val="24"/>
        </w:rPr>
      </w:pPr>
      <w:proofErr w:type="spellStart"/>
      <w:r w:rsidRPr="008F7951">
        <w:rPr>
          <w:rFonts w:ascii="Times New Roman" w:hAnsi="Times New Roman" w:cs="Times New Roman"/>
          <w:sz w:val="24"/>
          <w:szCs w:val="24"/>
        </w:rPr>
        <w:t>Zadymiarki</w:t>
      </w:r>
      <w:proofErr w:type="spellEnd"/>
      <w:r w:rsidRPr="008F7951">
        <w:rPr>
          <w:rFonts w:ascii="Times New Roman" w:hAnsi="Times New Roman" w:cs="Times New Roman"/>
          <w:sz w:val="24"/>
          <w:szCs w:val="24"/>
        </w:rPr>
        <w:t>.</w:t>
      </w:r>
    </w:p>
    <w:p w14:paraId="1E8C5166" w14:textId="77777777" w:rsidR="008F7951" w:rsidRPr="008F7951" w:rsidRDefault="008F7951" w:rsidP="008F7951">
      <w:pPr>
        <w:spacing w:line="300" w:lineRule="atLeast"/>
        <w:contextualSpacing/>
        <w:jc w:val="both"/>
        <w:rPr>
          <w:rFonts w:ascii="Times New Roman" w:hAnsi="Times New Roman" w:cs="Times New Roman"/>
          <w:i/>
          <w:color w:val="4472C4"/>
          <w:sz w:val="24"/>
          <w:szCs w:val="24"/>
        </w:rPr>
      </w:pPr>
    </w:p>
    <w:p w14:paraId="081B894E" w14:textId="77777777" w:rsidR="008F7951" w:rsidRPr="008F7951" w:rsidRDefault="008F7951" w:rsidP="000121B3">
      <w:pPr>
        <w:spacing w:after="60" w:line="300" w:lineRule="atLeast"/>
        <w:jc w:val="both"/>
        <w:rPr>
          <w:rFonts w:ascii="Times New Roman" w:hAnsi="Times New Roman" w:cs="Times New Roman"/>
          <w:i/>
          <w:color w:val="4472C4"/>
          <w:sz w:val="24"/>
          <w:szCs w:val="24"/>
        </w:rPr>
      </w:pPr>
      <w:r w:rsidRPr="008F7951">
        <w:rPr>
          <w:rFonts w:ascii="Times New Roman" w:hAnsi="Times New Roman" w:cs="Times New Roman"/>
          <w:i/>
          <w:color w:val="4472C4"/>
          <w:sz w:val="24"/>
          <w:szCs w:val="24"/>
        </w:rPr>
        <w:t>Wojewódzki Inspektorat Ochrony Środowiska w Lublinie</w:t>
      </w:r>
    </w:p>
    <w:p w14:paraId="236F213F" w14:textId="77777777" w:rsidR="008F7951" w:rsidRPr="008F7951" w:rsidRDefault="008F7951" w:rsidP="000121B3">
      <w:pPr>
        <w:pStyle w:val="Akapitzlist"/>
        <w:spacing w:line="300" w:lineRule="atLeast"/>
        <w:ind w:left="0" w:firstLine="567"/>
        <w:contextualSpacing w:val="0"/>
        <w:jc w:val="both"/>
        <w:rPr>
          <w:sz w:val="24"/>
          <w:szCs w:val="24"/>
        </w:rPr>
      </w:pPr>
      <w:r w:rsidRPr="008F7951">
        <w:rPr>
          <w:sz w:val="24"/>
          <w:szCs w:val="24"/>
        </w:rPr>
        <w:t>Wszyscy inspektorzy WIOŚ w Lublinie posiadają służbowe laptopy. WIOŚ w Lublinie nie posiada mobilnych biur.</w:t>
      </w:r>
    </w:p>
    <w:p w14:paraId="795B324B" w14:textId="77777777" w:rsidR="008F7951" w:rsidRPr="008F7951" w:rsidRDefault="008F7951" w:rsidP="008F7951">
      <w:pPr>
        <w:spacing w:line="300" w:lineRule="atLeast"/>
        <w:contextualSpacing/>
        <w:jc w:val="both"/>
        <w:rPr>
          <w:rFonts w:ascii="Times New Roman" w:hAnsi="Times New Roman" w:cs="Times New Roman"/>
          <w:i/>
          <w:color w:val="4472C4"/>
          <w:sz w:val="24"/>
          <w:szCs w:val="24"/>
        </w:rPr>
      </w:pPr>
      <w:r w:rsidRPr="008F7951">
        <w:rPr>
          <w:rFonts w:ascii="Times New Roman" w:hAnsi="Times New Roman" w:cs="Times New Roman"/>
          <w:i/>
          <w:color w:val="4472C4"/>
          <w:sz w:val="24"/>
          <w:szCs w:val="24"/>
        </w:rPr>
        <w:t xml:space="preserve"> </w:t>
      </w:r>
    </w:p>
    <w:p w14:paraId="3AA5613B" w14:textId="77777777" w:rsidR="008F7951" w:rsidRPr="008F7951" w:rsidRDefault="008F7951" w:rsidP="000121B3">
      <w:pPr>
        <w:spacing w:after="60" w:line="300" w:lineRule="atLeast"/>
        <w:jc w:val="both"/>
        <w:rPr>
          <w:rFonts w:ascii="Times New Roman" w:hAnsi="Times New Roman" w:cs="Times New Roman"/>
          <w:i/>
          <w:color w:val="4472C4"/>
          <w:sz w:val="24"/>
          <w:szCs w:val="24"/>
        </w:rPr>
      </w:pPr>
      <w:r w:rsidRPr="008F7951">
        <w:rPr>
          <w:rFonts w:ascii="Times New Roman" w:hAnsi="Times New Roman" w:cs="Times New Roman"/>
          <w:i/>
          <w:color w:val="4472C4"/>
          <w:sz w:val="24"/>
          <w:szCs w:val="24"/>
        </w:rPr>
        <w:t>Wojewódzki Inspektorat Ochrony Środowiska w Łodzi</w:t>
      </w:r>
    </w:p>
    <w:p w14:paraId="758FE32E" w14:textId="77777777" w:rsidR="008F7951" w:rsidRPr="008F7951" w:rsidRDefault="008F7951" w:rsidP="000121B3">
      <w:pPr>
        <w:pStyle w:val="Akapitzlist"/>
        <w:spacing w:line="300" w:lineRule="atLeast"/>
        <w:ind w:left="0" w:firstLine="708"/>
        <w:jc w:val="both"/>
        <w:rPr>
          <w:sz w:val="24"/>
          <w:szCs w:val="24"/>
        </w:rPr>
      </w:pPr>
      <w:r w:rsidRPr="008F7951">
        <w:rPr>
          <w:sz w:val="24"/>
          <w:szCs w:val="24"/>
        </w:rPr>
        <w:t xml:space="preserve">Grupa zadaniowa działająca w WIOŚ w Łodzi korzysta z urządzeń technicznych </w:t>
      </w:r>
      <w:r w:rsidRPr="008F7951">
        <w:rPr>
          <w:sz w:val="24"/>
          <w:szCs w:val="24"/>
        </w:rPr>
        <w:br/>
        <w:t xml:space="preserve">i pojazdów w ramach funkcjonowania Wydziału Inspekcji. Od połowy 2022 r. Wydział Inspekcji dysponuje bezzałogowym statkiem powietrznym, który służy również wykonywaniu zadań przez grupę zadaniową. </w:t>
      </w:r>
    </w:p>
    <w:p w14:paraId="2C0B583E" w14:textId="77777777" w:rsidR="008F7951" w:rsidRPr="008F7951" w:rsidRDefault="008F7951" w:rsidP="008F7951">
      <w:pPr>
        <w:spacing w:line="300" w:lineRule="atLeast"/>
        <w:contextualSpacing/>
        <w:jc w:val="both"/>
        <w:rPr>
          <w:rFonts w:ascii="Times New Roman" w:hAnsi="Times New Roman" w:cs="Times New Roman"/>
          <w:sz w:val="24"/>
          <w:szCs w:val="24"/>
        </w:rPr>
      </w:pPr>
    </w:p>
    <w:p w14:paraId="4A45182B" w14:textId="77777777" w:rsidR="008F7951" w:rsidRPr="008F7951" w:rsidRDefault="008F7951" w:rsidP="000121B3">
      <w:pPr>
        <w:spacing w:after="60" w:line="300" w:lineRule="atLeast"/>
        <w:jc w:val="both"/>
        <w:rPr>
          <w:rFonts w:ascii="Times New Roman" w:hAnsi="Times New Roman" w:cs="Times New Roman"/>
          <w:i/>
          <w:color w:val="4472C4"/>
          <w:sz w:val="24"/>
          <w:szCs w:val="24"/>
        </w:rPr>
      </w:pPr>
      <w:r w:rsidRPr="008F7951">
        <w:rPr>
          <w:rFonts w:ascii="Times New Roman" w:hAnsi="Times New Roman" w:cs="Times New Roman"/>
          <w:i/>
          <w:color w:val="4472C4"/>
          <w:sz w:val="24"/>
          <w:szCs w:val="24"/>
        </w:rPr>
        <w:t>Wojewódzki Inspektorat Ochrony Środowiska w Olsztynie</w:t>
      </w:r>
    </w:p>
    <w:p w14:paraId="57BCF4B3" w14:textId="77777777" w:rsidR="008F7951" w:rsidRPr="008F7951" w:rsidRDefault="008F7951" w:rsidP="008F7951">
      <w:pPr>
        <w:pStyle w:val="Akapitzlist"/>
        <w:spacing w:line="300" w:lineRule="atLeast"/>
        <w:ind w:left="0"/>
        <w:jc w:val="both"/>
        <w:rPr>
          <w:sz w:val="24"/>
          <w:szCs w:val="24"/>
        </w:rPr>
      </w:pPr>
      <w:r w:rsidRPr="008F7951">
        <w:rPr>
          <w:sz w:val="24"/>
          <w:szCs w:val="24"/>
        </w:rPr>
        <w:t>Inspektorzy wchodzący w skład grupy zadaniowej dysponują m.in.:</w:t>
      </w:r>
    </w:p>
    <w:p w14:paraId="07045105" w14:textId="213D856F" w:rsidR="008F7951" w:rsidRPr="008F7951" w:rsidRDefault="008F7951" w:rsidP="00D34F97">
      <w:pPr>
        <w:pStyle w:val="Akapitzlist"/>
        <w:numPr>
          <w:ilvl w:val="0"/>
          <w:numId w:val="224"/>
        </w:numPr>
        <w:spacing w:line="300" w:lineRule="atLeast"/>
        <w:jc w:val="both"/>
        <w:rPr>
          <w:sz w:val="24"/>
          <w:szCs w:val="24"/>
        </w:rPr>
      </w:pPr>
      <w:r w:rsidRPr="008F7951">
        <w:rPr>
          <w:sz w:val="24"/>
          <w:szCs w:val="24"/>
        </w:rPr>
        <w:t>aparatami fotograficznymi,</w:t>
      </w:r>
    </w:p>
    <w:p w14:paraId="4BA4E610" w14:textId="30BB0AB1" w:rsidR="008F7951" w:rsidRPr="008F7951" w:rsidRDefault="008F7951" w:rsidP="00D34F97">
      <w:pPr>
        <w:pStyle w:val="Akapitzlist"/>
        <w:numPr>
          <w:ilvl w:val="0"/>
          <w:numId w:val="224"/>
        </w:numPr>
        <w:spacing w:line="300" w:lineRule="atLeast"/>
        <w:jc w:val="both"/>
        <w:rPr>
          <w:sz w:val="24"/>
          <w:szCs w:val="24"/>
        </w:rPr>
      </w:pPr>
      <w:r w:rsidRPr="008F7951">
        <w:rPr>
          <w:sz w:val="24"/>
          <w:szCs w:val="24"/>
        </w:rPr>
        <w:t>laptopami,</w:t>
      </w:r>
    </w:p>
    <w:p w14:paraId="101AC4F7" w14:textId="12960717" w:rsidR="008F7951" w:rsidRPr="008F7951" w:rsidRDefault="008F7951" w:rsidP="00D34F97">
      <w:pPr>
        <w:pStyle w:val="Akapitzlist"/>
        <w:numPr>
          <w:ilvl w:val="0"/>
          <w:numId w:val="224"/>
        </w:numPr>
        <w:spacing w:line="300" w:lineRule="atLeast"/>
        <w:jc w:val="both"/>
        <w:rPr>
          <w:sz w:val="24"/>
          <w:szCs w:val="24"/>
        </w:rPr>
      </w:pPr>
      <w:r w:rsidRPr="008F7951">
        <w:rPr>
          <w:sz w:val="24"/>
          <w:szCs w:val="24"/>
        </w:rPr>
        <w:t>przenośną drukarką,</w:t>
      </w:r>
    </w:p>
    <w:p w14:paraId="6E02E057" w14:textId="209AA837" w:rsidR="008F7951" w:rsidRPr="008F7951" w:rsidRDefault="008F7951" w:rsidP="00D34F97">
      <w:pPr>
        <w:pStyle w:val="Akapitzlist"/>
        <w:numPr>
          <w:ilvl w:val="0"/>
          <w:numId w:val="224"/>
        </w:numPr>
        <w:spacing w:line="300" w:lineRule="atLeast"/>
        <w:jc w:val="both"/>
        <w:rPr>
          <w:sz w:val="24"/>
          <w:szCs w:val="24"/>
        </w:rPr>
      </w:pPr>
      <w:r w:rsidRPr="008F7951">
        <w:rPr>
          <w:sz w:val="24"/>
          <w:szCs w:val="24"/>
        </w:rPr>
        <w:t>przenośnym skanerem,</w:t>
      </w:r>
    </w:p>
    <w:p w14:paraId="7F6554AD" w14:textId="68341BEC" w:rsidR="008F7951" w:rsidRPr="008F7951" w:rsidRDefault="008F7951" w:rsidP="00D34F97">
      <w:pPr>
        <w:pStyle w:val="Akapitzlist"/>
        <w:numPr>
          <w:ilvl w:val="0"/>
          <w:numId w:val="224"/>
        </w:numPr>
        <w:spacing w:line="300" w:lineRule="atLeast"/>
        <w:jc w:val="both"/>
        <w:rPr>
          <w:sz w:val="24"/>
          <w:szCs w:val="24"/>
        </w:rPr>
      </w:pPr>
      <w:r w:rsidRPr="008F7951">
        <w:rPr>
          <w:sz w:val="24"/>
          <w:szCs w:val="24"/>
        </w:rPr>
        <w:t>dalmierzem,</w:t>
      </w:r>
    </w:p>
    <w:p w14:paraId="6D6E606A" w14:textId="322013B0" w:rsidR="008F7951" w:rsidRPr="008F7951" w:rsidRDefault="008F7951" w:rsidP="00D34F97">
      <w:pPr>
        <w:pStyle w:val="Akapitzlist"/>
        <w:numPr>
          <w:ilvl w:val="0"/>
          <w:numId w:val="224"/>
        </w:numPr>
        <w:spacing w:line="300" w:lineRule="atLeast"/>
        <w:jc w:val="both"/>
        <w:rPr>
          <w:sz w:val="24"/>
          <w:szCs w:val="24"/>
        </w:rPr>
      </w:pPr>
      <w:r w:rsidRPr="008F7951">
        <w:rPr>
          <w:sz w:val="24"/>
          <w:szCs w:val="24"/>
        </w:rPr>
        <w:t>latarką,</w:t>
      </w:r>
    </w:p>
    <w:p w14:paraId="3E75AE2E" w14:textId="13A01072" w:rsidR="008F7951" w:rsidRPr="008F7951" w:rsidRDefault="008F7951" w:rsidP="00D34F97">
      <w:pPr>
        <w:pStyle w:val="Akapitzlist"/>
        <w:numPr>
          <w:ilvl w:val="0"/>
          <w:numId w:val="224"/>
        </w:numPr>
        <w:spacing w:line="300" w:lineRule="atLeast"/>
        <w:jc w:val="both"/>
        <w:rPr>
          <w:sz w:val="24"/>
          <w:szCs w:val="24"/>
        </w:rPr>
      </w:pPr>
      <w:r w:rsidRPr="008F7951">
        <w:rPr>
          <w:sz w:val="24"/>
          <w:szCs w:val="24"/>
        </w:rPr>
        <w:t>tabletami,</w:t>
      </w:r>
    </w:p>
    <w:p w14:paraId="43A7F54D" w14:textId="7EA3A028" w:rsidR="008F7951" w:rsidRPr="008F7951" w:rsidRDefault="008F7951" w:rsidP="00D34F97">
      <w:pPr>
        <w:pStyle w:val="Akapitzlist"/>
        <w:numPr>
          <w:ilvl w:val="0"/>
          <w:numId w:val="224"/>
        </w:numPr>
        <w:spacing w:line="300" w:lineRule="atLeast"/>
        <w:jc w:val="both"/>
        <w:rPr>
          <w:sz w:val="24"/>
          <w:szCs w:val="24"/>
        </w:rPr>
      </w:pPr>
      <w:r w:rsidRPr="008F7951">
        <w:rPr>
          <w:sz w:val="24"/>
          <w:szCs w:val="24"/>
        </w:rPr>
        <w:t>kołem mierniczym,</w:t>
      </w:r>
    </w:p>
    <w:p w14:paraId="1D7A559B" w14:textId="664407F4" w:rsidR="008F7951" w:rsidRPr="008F7951" w:rsidRDefault="008F7951" w:rsidP="00D34F97">
      <w:pPr>
        <w:pStyle w:val="Akapitzlist"/>
        <w:numPr>
          <w:ilvl w:val="0"/>
          <w:numId w:val="224"/>
        </w:numPr>
        <w:spacing w:line="300" w:lineRule="atLeast"/>
        <w:jc w:val="both"/>
        <w:rPr>
          <w:sz w:val="24"/>
          <w:szCs w:val="24"/>
        </w:rPr>
      </w:pPr>
      <w:r w:rsidRPr="008F7951">
        <w:rPr>
          <w:sz w:val="24"/>
          <w:szCs w:val="24"/>
        </w:rPr>
        <w:t>bezzałogowym statkiem powietrznym.</w:t>
      </w:r>
    </w:p>
    <w:p w14:paraId="7932CB7C" w14:textId="77777777" w:rsidR="008F7951" w:rsidRPr="008F7951" w:rsidRDefault="008F7951" w:rsidP="008F7951">
      <w:pPr>
        <w:spacing w:line="300" w:lineRule="atLeast"/>
        <w:contextualSpacing/>
        <w:jc w:val="both"/>
        <w:rPr>
          <w:rFonts w:ascii="Times New Roman" w:hAnsi="Times New Roman" w:cs="Times New Roman"/>
          <w:i/>
          <w:color w:val="4472C4"/>
          <w:sz w:val="24"/>
          <w:szCs w:val="24"/>
        </w:rPr>
      </w:pPr>
    </w:p>
    <w:p w14:paraId="2CB54C62" w14:textId="77777777" w:rsidR="008F7951" w:rsidRPr="008F7951" w:rsidRDefault="008F7951" w:rsidP="000121B3">
      <w:pPr>
        <w:spacing w:after="60" w:line="300" w:lineRule="atLeast"/>
        <w:jc w:val="both"/>
        <w:rPr>
          <w:rFonts w:ascii="Times New Roman" w:hAnsi="Times New Roman" w:cs="Times New Roman"/>
          <w:i/>
          <w:color w:val="4472C4"/>
          <w:sz w:val="24"/>
          <w:szCs w:val="24"/>
        </w:rPr>
      </w:pPr>
      <w:r w:rsidRPr="008F7951">
        <w:rPr>
          <w:rFonts w:ascii="Times New Roman" w:hAnsi="Times New Roman" w:cs="Times New Roman"/>
          <w:i/>
          <w:color w:val="4472C4"/>
          <w:sz w:val="24"/>
          <w:szCs w:val="24"/>
        </w:rPr>
        <w:t>Wojewódzki Inspektorat Ochrony Środowiska w Opolu</w:t>
      </w:r>
    </w:p>
    <w:p w14:paraId="42401AA7" w14:textId="77777777" w:rsidR="008F7951" w:rsidRPr="008F7951" w:rsidRDefault="008F7951" w:rsidP="000121B3">
      <w:pPr>
        <w:pStyle w:val="Akapitzlist"/>
        <w:spacing w:line="300" w:lineRule="atLeast"/>
        <w:ind w:left="0" w:firstLine="567"/>
        <w:jc w:val="both"/>
        <w:rPr>
          <w:sz w:val="24"/>
          <w:szCs w:val="24"/>
        </w:rPr>
      </w:pPr>
      <w:r w:rsidRPr="008F7951">
        <w:rPr>
          <w:sz w:val="24"/>
          <w:szCs w:val="24"/>
        </w:rPr>
        <w:t>Wojewódzki Inspektorat Ochrony Środowiska w Opolu dysponuje następującym wyposażeniem technicznym umożliwiającym prowadzenie działań operacyjnych mających na celu przeciwdziałanie i wykrywanie przestępstw i wykroczeń przeciwko środowisko:</w:t>
      </w:r>
    </w:p>
    <w:p w14:paraId="304B4459" w14:textId="7C5E3822" w:rsidR="008F7951" w:rsidRPr="008F7951" w:rsidRDefault="008F7951" w:rsidP="00D34F97">
      <w:pPr>
        <w:pStyle w:val="Akapitzlist"/>
        <w:numPr>
          <w:ilvl w:val="0"/>
          <w:numId w:val="225"/>
        </w:numPr>
        <w:spacing w:line="300" w:lineRule="atLeast"/>
        <w:jc w:val="both"/>
        <w:rPr>
          <w:sz w:val="24"/>
          <w:szCs w:val="24"/>
        </w:rPr>
      </w:pPr>
      <w:r w:rsidRPr="008F7951">
        <w:rPr>
          <w:sz w:val="24"/>
          <w:szCs w:val="24"/>
        </w:rPr>
        <w:t>samochody terenowe z napędem na 4 koła,</w:t>
      </w:r>
    </w:p>
    <w:p w14:paraId="5289CF57" w14:textId="4A4F259B" w:rsidR="008F7951" w:rsidRPr="008F7951" w:rsidRDefault="008F7951" w:rsidP="00D34F97">
      <w:pPr>
        <w:pStyle w:val="Akapitzlist"/>
        <w:numPr>
          <w:ilvl w:val="0"/>
          <w:numId w:val="225"/>
        </w:numPr>
        <w:spacing w:line="300" w:lineRule="atLeast"/>
        <w:jc w:val="both"/>
        <w:rPr>
          <w:sz w:val="24"/>
          <w:szCs w:val="24"/>
        </w:rPr>
      </w:pPr>
      <w:r w:rsidRPr="008F7951">
        <w:rPr>
          <w:sz w:val="24"/>
          <w:szCs w:val="24"/>
        </w:rPr>
        <w:t>bezzałogowy statek powietrzny (dron) z kamerą termowizyjną,</w:t>
      </w:r>
    </w:p>
    <w:p w14:paraId="0BE4219D" w14:textId="59629794" w:rsidR="008F7951" w:rsidRPr="008F7951" w:rsidRDefault="008F7951" w:rsidP="00D34F97">
      <w:pPr>
        <w:pStyle w:val="Akapitzlist"/>
        <w:numPr>
          <w:ilvl w:val="0"/>
          <w:numId w:val="225"/>
        </w:numPr>
        <w:spacing w:line="300" w:lineRule="atLeast"/>
        <w:jc w:val="both"/>
        <w:rPr>
          <w:sz w:val="24"/>
          <w:szCs w:val="24"/>
        </w:rPr>
      </w:pPr>
      <w:proofErr w:type="spellStart"/>
      <w:r w:rsidRPr="008F7951">
        <w:rPr>
          <w:sz w:val="24"/>
          <w:szCs w:val="24"/>
        </w:rPr>
        <w:t>fotopułapki</w:t>
      </w:r>
      <w:proofErr w:type="spellEnd"/>
      <w:r w:rsidRPr="008F7951">
        <w:rPr>
          <w:sz w:val="24"/>
          <w:szCs w:val="24"/>
        </w:rPr>
        <w:t>,</w:t>
      </w:r>
    </w:p>
    <w:p w14:paraId="49EA31D1" w14:textId="365DF4AA" w:rsidR="008F7951" w:rsidRPr="008F7951" w:rsidRDefault="008F7951" w:rsidP="00D34F97">
      <w:pPr>
        <w:pStyle w:val="Akapitzlist"/>
        <w:numPr>
          <w:ilvl w:val="0"/>
          <w:numId w:val="225"/>
        </w:numPr>
        <w:spacing w:line="300" w:lineRule="atLeast"/>
        <w:jc w:val="both"/>
        <w:rPr>
          <w:sz w:val="24"/>
          <w:szCs w:val="24"/>
        </w:rPr>
      </w:pPr>
      <w:r w:rsidRPr="008F7951">
        <w:rPr>
          <w:sz w:val="24"/>
          <w:szCs w:val="24"/>
        </w:rPr>
        <w:t>aparaty fotograficzne,</w:t>
      </w:r>
    </w:p>
    <w:p w14:paraId="3885F817" w14:textId="4D7FE6D0" w:rsidR="008F7951" w:rsidRPr="008F7951" w:rsidRDefault="008F7951" w:rsidP="00D34F97">
      <w:pPr>
        <w:pStyle w:val="Akapitzlist"/>
        <w:numPr>
          <w:ilvl w:val="0"/>
          <w:numId w:val="225"/>
        </w:numPr>
        <w:spacing w:line="300" w:lineRule="atLeast"/>
        <w:jc w:val="both"/>
        <w:rPr>
          <w:sz w:val="24"/>
          <w:szCs w:val="24"/>
        </w:rPr>
      </w:pPr>
      <w:r w:rsidRPr="008F7951">
        <w:rPr>
          <w:sz w:val="24"/>
          <w:szCs w:val="24"/>
        </w:rPr>
        <w:t>kamera termowizyjna,</w:t>
      </w:r>
    </w:p>
    <w:p w14:paraId="068B6A0B" w14:textId="3EC69739" w:rsidR="008F7951" w:rsidRPr="008F7951" w:rsidRDefault="008F7951" w:rsidP="00D34F97">
      <w:pPr>
        <w:pStyle w:val="Akapitzlist"/>
        <w:numPr>
          <w:ilvl w:val="0"/>
          <w:numId w:val="225"/>
        </w:numPr>
        <w:spacing w:line="300" w:lineRule="atLeast"/>
        <w:jc w:val="both"/>
        <w:rPr>
          <w:sz w:val="24"/>
          <w:szCs w:val="24"/>
        </w:rPr>
      </w:pPr>
      <w:r w:rsidRPr="008F7951">
        <w:rPr>
          <w:sz w:val="24"/>
          <w:szCs w:val="24"/>
        </w:rPr>
        <w:t>lornetki,</w:t>
      </w:r>
    </w:p>
    <w:p w14:paraId="2D6FD9C0" w14:textId="63A4417E" w:rsidR="008F7951" w:rsidRPr="008F7951" w:rsidRDefault="008F7951" w:rsidP="00D34F97">
      <w:pPr>
        <w:pStyle w:val="Akapitzlist"/>
        <w:numPr>
          <w:ilvl w:val="0"/>
          <w:numId w:val="225"/>
        </w:numPr>
        <w:spacing w:line="300" w:lineRule="atLeast"/>
        <w:jc w:val="both"/>
        <w:rPr>
          <w:sz w:val="24"/>
          <w:szCs w:val="24"/>
        </w:rPr>
      </w:pPr>
      <w:r w:rsidRPr="008F7951">
        <w:rPr>
          <w:sz w:val="24"/>
          <w:szCs w:val="24"/>
        </w:rPr>
        <w:t>kamery cyfrowe,</w:t>
      </w:r>
    </w:p>
    <w:p w14:paraId="3701659B" w14:textId="2F716C2C" w:rsidR="008F7951" w:rsidRPr="008F7951" w:rsidRDefault="008F7951" w:rsidP="00D34F97">
      <w:pPr>
        <w:pStyle w:val="Akapitzlist"/>
        <w:numPr>
          <w:ilvl w:val="0"/>
          <w:numId w:val="225"/>
        </w:numPr>
        <w:spacing w:line="300" w:lineRule="atLeast"/>
        <w:jc w:val="both"/>
        <w:rPr>
          <w:sz w:val="24"/>
          <w:szCs w:val="24"/>
        </w:rPr>
      </w:pPr>
      <w:r w:rsidRPr="008F7951">
        <w:rPr>
          <w:sz w:val="24"/>
          <w:szCs w:val="24"/>
        </w:rPr>
        <w:t>noktowizory,</w:t>
      </w:r>
    </w:p>
    <w:p w14:paraId="4BA3B064" w14:textId="2D4F8EF4" w:rsidR="008F7951" w:rsidRPr="008F7951" w:rsidRDefault="008F7951" w:rsidP="00D34F97">
      <w:pPr>
        <w:pStyle w:val="Akapitzlist"/>
        <w:numPr>
          <w:ilvl w:val="0"/>
          <w:numId w:val="225"/>
        </w:numPr>
        <w:spacing w:line="300" w:lineRule="atLeast"/>
        <w:jc w:val="both"/>
        <w:rPr>
          <w:sz w:val="24"/>
          <w:szCs w:val="24"/>
        </w:rPr>
      </w:pPr>
      <w:r w:rsidRPr="008F7951">
        <w:rPr>
          <w:sz w:val="24"/>
          <w:szCs w:val="24"/>
        </w:rPr>
        <w:t>przenośne detektory gazów (lotnych związków organicznych),</w:t>
      </w:r>
    </w:p>
    <w:p w14:paraId="61B2D84C" w14:textId="602BFE9B" w:rsidR="008F7951" w:rsidRPr="008F7951" w:rsidRDefault="008F7951" w:rsidP="00D34F97">
      <w:pPr>
        <w:pStyle w:val="Akapitzlist"/>
        <w:numPr>
          <w:ilvl w:val="0"/>
          <w:numId w:val="225"/>
        </w:numPr>
        <w:spacing w:line="300" w:lineRule="atLeast"/>
        <w:jc w:val="both"/>
        <w:rPr>
          <w:sz w:val="24"/>
          <w:szCs w:val="24"/>
        </w:rPr>
      </w:pPr>
      <w:r w:rsidRPr="008F7951">
        <w:rPr>
          <w:sz w:val="24"/>
          <w:szCs w:val="24"/>
        </w:rPr>
        <w:t>multimetry (mierniki jakości wody).</w:t>
      </w:r>
    </w:p>
    <w:p w14:paraId="2520D1FF" w14:textId="77777777" w:rsidR="008F7951" w:rsidRPr="008F7951" w:rsidRDefault="008F7951" w:rsidP="008F7951">
      <w:pPr>
        <w:spacing w:line="300" w:lineRule="atLeast"/>
        <w:contextualSpacing/>
        <w:jc w:val="both"/>
        <w:rPr>
          <w:rFonts w:ascii="Times New Roman" w:hAnsi="Times New Roman" w:cs="Times New Roman"/>
          <w:i/>
          <w:color w:val="4472C4"/>
          <w:sz w:val="24"/>
          <w:szCs w:val="24"/>
        </w:rPr>
      </w:pPr>
    </w:p>
    <w:p w14:paraId="7724FD2C" w14:textId="77777777" w:rsidR="008F7951" w:rsidRPr="008F7951" w:rsidRDefault="008F7951" w:rsidP="000121B3">
      <w:pPr>
        <w:spacing w:after="60" w:line="300" w:lineRule="atLeast"/>
        <w:jc w:val="both"/>
        <w:rPr>
          <w:rFonts w:ascii="Times New Roman" w:hAnsi="Times New Roman" w:cs="Times New Roman"/>
          <w:i/>
          <w:color w:val="4472C4"/>
          <w:sz w:val="24"/>
          <w:szCs w:val="24"/>
        </w:rPr>
      </w:pPr>
      <w:r w:rsidRPr="008F7951">
        <w:rPr>
          <w:rFonts w:ascii="Times New Roman" w:hAnsi="Times New Roman" w:cs="Times New Roman"/>
          <w:i/>
          <w:color w:val="4472C4"/>
          <w:sz w:val="24"/>
          <w:szCs w:val="24"/>
        </w:rPr>
        <w:t>Wojewódzki Inspektorat Ochrony Środowiska w Poznaniu</w:t>
      </w:r>
    </w:p>
    <w:p w14:paraId="61118382" w14:textId="77777777" w:rsidR="008F7951" w:rsidRPr="008F7951" w:rsidRDefault="008F7951" w:rsidP="000121B3">
      <w:pPr>
        <w:pStyle w:val="Akapitzlist"/>
        <w:spacing w:line="300" w:lineRule="atLeast"/>
        <w:ind w:left="0" w:firstLine="567"/>
        <w:jc w:val="both"/>
        <w:rPr>
          <w:sz w:val="24"/>
          <w:szCs w:val="24"/>
        </w:rPr>
      </w:pPr>
      <w:r w:rsidRPr="008F7951">
        <w:rPr>
          <w:sz w:val="24"/>
          <w:szCs w:val="24"/>
        </w:rPr>
        <w:lastRenderedPageBreak/>
        <w:t xml:space="preserve">Samochody terenowe (brak mobilnego biura), laptopy, tablety, aparaty fotograficzne, latarki, lornetki, noktowizory, kamery nasobne, dalmierze, miernik wieloparametrowy WTW (pomiar </w:t>
      </w:r>
      <w:proofErr w:type="spellStart"/>
      <w:r w:rsidRPr="008F7951">
        <w:rPr>
          <w:sz w:val="24"/>
          <w:szCs w:val="24"/>
        </w:rPr>
        <w:t>pH</w:t>
      </w:r>
      <w:proofErr w:type="spellEnd"/>
      <w:r w:rsidRPr="008F7951">
        <w:rPr>
          <w:sz w:val="24"/>
          <w:szCs w:val="24"/>
        </w:rPr>
        <w:t>, przewodność elektryczna, tlen rozpuszczony).</w:t>
      </w:r>
    </w:p>
    <w:p w14:paraId="77EEFC3F" w14:textId="77777777" w:rsidR="008F7951" w:rsidRPr="008F7951" w:rsidRDefault="008F7951" w:rsidP="000121B3">
      <w:pPr>
        <w:pStyle w:val="Akapitzlist"/>
        <w:spacing w:line="300" w:lineRule="atLeast"/>
        <w:ind w:left="0" w:firstLine="567"/>
        <w:jc w:val="both"/>
        <w:rPr>
          <w:sz w:val="24"/>
          <w:szCs w:val="24"/>
        </w:rPr>
      </w:pPr>
      <w:r w:rsidRPr="008F7951">
        <w:rPr>
          <w:sz w:val="24"/>
          <w:szCs w:val="24"/>
        </w:rPr>
        <w:t xml:space="preserve">Ponadto WIOŚ na zlecenie ma możliwość korzystania z </w:t>
      </w:r>
      <w:proofErr w:type="spellStart"/>
      <w:r w:rsidRPr="008F7951">
        <w:rPr>
          <w:sz w:val="24"/>
          <w:szCs w:val="24"/>
        </w:rPr>
        <w:t>georadaru</w:t>
      </w:r>
      <w:proofErr w:type="spellEnd"/>
      <w:r w:rsidRPr="008F7951">
        <w:rPr>
          <w:sz w:val="24"/>
          <w:szCs w:val="24"/>
        </w:rPr>
        <w:t xml:space="preserve">, </w:t>
      </w:r>
      <w:proofErr w:type="spellStart"/>
      <w:r w:rsidRPr="008F7951">
        <w:rPr>
          <w:sz w:val="24"/>
          <w:szCs w:val="24"/>
        </w:rPr>
        <w:t>drona</w:t>
      </w:r>
      <w:proofErr w:type="spellEnd"/>
      <w:r w:rsidRPr="008F7951">
        <w:rPr>
          <w:sz w:val="24"/>
          <w:szCs w:val="24"/>
        </w:rPr>
        <w:t>, wiertni spalinowej będących na wyposażeniu GIOŚ.</w:t>
      </w:r>
    </w:p>
    <w:p w14:paraId="264FFDEA" w14:textId="77777777" w:rsidR="008F7951" w:rsidRPr="008F7951" w:rsidRDefault="008F7951" w:rsidP="008F7951">
      <w:pPr>
        <w:spacing w:line="300" w:lineRule="atLeast"/>
        <w:contextualSpacing/>
        <w:jc w:val="both"/>
        <w:rPr>
          <w:rFonts w:ascii="Times New Roman" w:hAnsi="Times New Roman" w:cs="Times New Roman"/>
          <w:i/>
          <w:color w:val="4472C4"/>
          <w:sz w:val="24"/>
          <w:szCs w:val="24"/>
        </w:rPr>
      </w:pPr>
    </w:p>
    <w:p w14:paraId="65CCCBC1" w14:textId="77777777" w:rsidR="008F7951" w:rsidRPr="008F7951" w:rsidRDefault="008F7951" w:rsidP="000121B3">
      <w:pPr>
        <w:spacing w:after="60" w:line="300" w:lineRule="atLeast"/>
        <w:jc w:val="both"/>
        <w:rPr>
          <w:rFonts w:ascii="Times New Roman" w:hAnsi="Times New Roman" w:cs="Times New Roman"/>
          <w:i/>
          <w:color w:val="4472C4"/>
          <w:sz w:val="24"/>
          <w:szCs w:val="24"/>
        </w:rPr>
      </w:pPr>
      <w:r w:rsidRPr="008F7951">
        <w:rPr>
          <w:rFonts w:ascii="Times New Roman" w:hAnsi="Times New Roman" w:cs="Times New Roman"/>
          <w:i/>
          <w:color w:val="4472C4"/>
          <w:sz w:val="24"/>
          <w:szCs w:val="24"/>
        </w:rPr>
        <w:t>Wojewódzki Inspektorat Ochrony Środowiska w Rzeszowie</w:t>
      </w:r>
    </w:p>
    <w:p w14:paraId="7CB18B78" w14:textId="77777777" w:rsidR="008F7951" w:rsidRPr="008F7951" w:rsidRDefault="008F7951" w:rsidP="000121B3">
      <w:pPr>
        <w:autoSpaceDE w:val="0"/>
        <w:autoSpaceDN w:val="0"/>
        <w:adjustRightInd w:val="0"/>
        <w:spacing w:line="300" w:lineRule="atLeast"/>
        <w:ind w:firstLine="567"/>
        <w:contextualSpacing/>
        <w:jc w:val="both"/>
        <w:rPr>
          <w:rFonts w:ascii="Times New Roman" w:hAnsi="Times New Roman" w:cs="Times New Roman"/>
          <w:sz w:val="24"/>
          <w:szCs w:val="24"/>
        </w:rPr>
      </w:pPr>
      <w:r w:rsidRPr="008F7951">
        <w:rPr>
          <w:rFonts w:ascii="Times New Roman" w:hAnsi="Times New Roman" w:cs="Times New Roman"/>
          <w:sz w:val="24"/>
          <w:szCs w:val="24"/>
        </w:rPr>
        <w:t>Inspektorzy wykonujący zadania w ramach powołanej Grupy, wyposażeni są w aparaty fotograficzne, telefony oraz tablety z dostępem do Internetu. Grupa nie dysponuje specjalnie dedykowanymi środkami transportu.</w:t>
      </w:r>
    </w:p>
    <w:p w14:paraId="42406B10" w14:textId="77777777" w:rsidR="008F7951" w:rsidRPr="008F7951" w:rsidRDefault="008F7951" w:rsidP="008F7951">
      <w:pPr>
        <w:spacing w:line="300" w:lineRule="atLeast"/>
        <w:contextualSpacing/>
        <w:jc w:val="both"/>
        <w:rPr>
          <w:rFonts w:ascii="Times New Roman" w:hAnsi="Times New Roman" w:cs="Times New Roman"/>
          <w:i/>
          <w:color w:val="4472C4"/>
          <w:sz w:val="24"/>
          <w:szCs w:val="24"/>
        </w:rPr>
      </w:pPr>
    </w:p>
    <w:p w14:paraId="3C581104" w14:textId="77777777" w:rsidR="008F7951" w:rsidRPr="008F7951" w:rsidRDefault="008F7951" w:rsidP="000121B3">
      <w:pPr>
        <w:spacing w:after="60" w:line="300" w:lineRule="atLeast"/>
        <w:jc w:val="both"/>
        <w:rPr>
          <w:rFonts w:ascii="Times New Roman" w:hAnsi="Times New Roman" w:cs="Times New Roman"/>
          <w:i/>
          <w:color w:val="4472C4"/>
          <w:sz w:val="24"/>
          <w:szCs w:val="24"/>
        </w:rPr>
      </w:pPr>
      <w:r w:rsidRPr="008F7951">
        <w:rPr>
          <w:rFonts w:ascii="Times New Roman" w:hAnsi="Times New Roman" w:cs="Times New Roman"/>
          <w:i/>
          <w:color w:val="4472C4"/>
          <w:sz w:val="24"/>
          <w:szCs w:val="24"/>
        </w:rPr>
        <w:t>Wojewódzki Inspektorat Ochrony Środowiska w Szczecinie</w:t>
      </w:r>
    </w:p>
    <w:p w14:paraId="199195E1" w14:textId="3C46A2D2" w:rsidR="008F7951" w:rsidRPr="008F7951" w:rsidRDefault="008F7951" w:rsidP="000121B3">
      <w:pPr>
        <w:autoSpaceDE w:val="0"/>
        <w:autoSpaceDN w:val="0"/>
        <w:adjustRightInd w:val="0"/>
        <w:spacing w:line="300" w:lineRule="atLeast"/>
        <w:ind w:firstLine="360"/>
        <w:contextualSpacing/>
        <w:jc w:val="both"/>
        <w:rPr>
          <w:rFonts w:ascii="Times New Roman" w:hAnsi="Times New Roman" w:cs="Times New Roman"/>
          <w:sz w:val="24"/>
          <w:szCs w:val="24"/>
        </w:rPr>
      </w:pPr>
      <w:r w:rsidRPr="008F7951">
        <w:rPr>
          <w:rFonts w:ascii="Times New Roman" w:hAnsi="Times New Roman" w:cs="Times New Roman"/>
          <w:sz w:val="24"/>
          <w:szCs w:val="24"/>
        </w:rPr>
        <w:t xml:space="preserve">Inspektorzy Wydziału Inspekcji, Wydziału Zwalczania Przestępczości Środowiskowej oraz Działu Inspekcji, w tym zespoły pełniące dyżury nocne korzystają z floty pojazdów służbowych WIOŚ w Szczecinie, mają dostęp do specjalistycznego sprzętu, co umożliwia szybką reakcję na ewentualne zdarzenia interwencyjne. Do dyspozycji inspektorów pozostają różnorodne pojazdy służbowe, w tym samochody terenowe oraz pojazd pełniący funkcję mobilnego biura. Ponadto, na wyposażeniu znajdują się   cztery bezzałogowe statki powietrzne (drony): </w:t>
      </w:r>
    </w:p>
    <w:p w14:paraId="012FA0E6" w14:textId="77777777" w:rsidR="008F7951" w:rsidRPr="008F7951" w:rsidRDefault="008F7951" w:rsidP="00D34F97">
      <w:pPr>
        <w:numPr>
          <w:ilvl w:val="0"/>
          <w:numId w:val="226"/>
        </w:numPr>
        <w:autoSpaceDE w:val="0"/>
        <w:autoSpaceDN w:val="0"/>
        <w:adjustRightInd w:val="0"/>
        <w:spacing w:after="0" w:line="300" w:lineRule="atLeast"/>
        <w:contextualSpacing/>
        <w:rPr>
          <w:rFonts w:ascii="Times New Roman" w:hAnsi="Times New Roman" w:cs="Times New Roman"/>
          <w:sz w:val="24"/>
          <w:szCs w:val="24"/>
        </w:rPr>
      </w:pPr>
      <w:proofErr w:type="spellStart"/>
      <w:r w:rsidRPr="008F7951">
        <w:rPr>
          <w:rFonts w:ascii="Times New Roman" w:hAnsi="Times New Roman" w:cs="Times New Roman"/>
          <w:sz w:val="24"/>
          <w:szCs w:val="24"/>
        </w:rPr>
        <w:t>Yuneec</w:t>
      </w:r>
      <w:proofErr w:type="spellEnd"/>
      <w:r w:rsidRPr="008F7951">
        <w:rPr>
          <w:rFonts w:ascii="Times New Roman" w:hAnsi="Times New Roman" w:cs="Times New Roman"/>
          <w:sz w:val="24"/>
          <w:szCs w:val="24"/>
        </w:rPr>
        <w:t xml:space="preserve"> H520 wyposażony w kamerę termowizyjną oraz kamerę z zoomem 30x, </w:t>
      </w:r>
    </w:p>
    <w:p w14:paraId="1B3C47F6" w14:textId="77777777" w:rsidR="008F7951" w:rsidRPr="008F7951" w:rsidRDefault="008F7951" w:rsidP="00D34F97">
      <w:pPr>
        <w:numPr>
          <w:ilvl w:val="0"/>
          <w:numId w:val="226"/>
        </w:numPr>
        <w:autoSpaceDE w:val="0"/>
        <w:autoSpaceDN w:val="0"/>
        <w:adjustRightInd w:val="0"/>
        <w:spacing w:after="0" w:line="300" w:lineRule="atLeast"/>
        <w:contextualSpacing/>
        <w:rPr>
          <w:rFonts w:ascii="Times New Roman" w:hAnsi="Times New Roman" w:cs="Times New Roman"/>
          <w:sz w:val="24"/>
          <w:szCs w:val="24"/>
        </w:rPr>
      </w:pPr>
      <w:proofErr w:type="spellStart"/>
      <w:r w:rsidRPr="008F7951">
        <w:rPr>
          <w:rFonts w:ascii="Times New Roman" w:hAnsi="Times New Roman" w:cs="Times New Roman"/>
          <w:sz w:val="24"/>
          <w:szCs w:val="24"/>
        </w:rPr>
        <w:t>Yuneec</w:t>
      </w:r>
      <w:proofErr w:type="spellEnd"/>
      <w:r w:rsidRPr="008F7951">
        <w:rPr>
          <w:rFonts w:ascii="Times New Roman" w:hAnsi="Times New Roman" w:cs="Times New Roman"/>
          <w:sz w:val="24"/>
          <w:szCs w:val="24"/>
        </w:rPr>
        <w:t xml:space="preserve"> H520E wyposażony w kamerę oraz miernik zanieczyszczeń powietrza </w:t>
      </w:r>
      <w:proofErr w:type="spellStart"/>
      <w:r w:rsidRPr="008F7951">
        <w:rPr>
          <w:rFonts w:ascii="Times New Roman" w:hAnsi="Times New Roman" w:cs="Times New Roman"/>
          <w:sz w:val="24"/>
          <w:szCs w:val="24"/>
        </w:rPr>
        <w:t>Atmon</w:t>
      </w:r>
      <w:proofErr w:type="spellEnd"/>
      <w:r w:rsidRPr="008F7951">
        <w:rPr>
          <w:rFonts w:ascii="Times New Roman" w:hAnsi="Times New Roman" w:cs="Times New Roman"/>
          <w:sz w:val="24"/>
          <w:szCs w:val="24"/>
        </w:rPr>
        <w:t xml:space="preserve">, </w:t>
      </w:r>
    </w:p>
    <w:p w14:paraId="72A168E1" w14:textId="77777777" w:rsidR="008F7951" w:rsidRPr="008F7951" w:rsidRDefault="008F7951" w:rsidP="00D34F97">
      <w:pPr>
        <w:numPr>
          <w:ilvl w:val="0"/>
          <w:numId w:val="226"/>
        </w:numPr>
        <w:autoSpaceDE w:val="0"/>
        <w:autoSpaceDN w:val="0"/>
        <w:adjustRightInd w:val="0"/>
        <w:spacing w:after="0" w:line="300" w:lineRule="atLeast"/>
        <w:contextualSpacing/>
        <w:rPr>
          <w:rFonts w:ascii="Times New Roman" w:hAnsi="Times New Roman" w:cs="Times New Roman"/>
          <w:sz w:val="24"/>
          <w:szCs w:val="24"/>
        </w:rPr>
      </w:pPr>
      <w:r w:rsidRPr="008F7951">
        <w:rPr>
          <w:rFonts w:ascii="Times New Roman" w:hAnsi="Times New Roman" w:cs="Times New Roman"/>
          <w:sz w:val="24"/>
          <w:szCs w:val="24"/>
        </w:rPr>
        <w:t xml:space="preserve">DJI 2 mini  </w:t>
      </w:r>
    </w:p>
    <w:p w14:paraId="35417424" w14:textId="77777777" w:rsidR="008F7951" w:rsidRPr="008F7951" w:rsidRDefault="008F7951" w:rsidP="00D34F97">
      <w:pPr>
        <w:numPr>
          <w:ilvl w:val="0"/>
          <w:numId w:val="226"/>
        </w:numPr>
        <w:autoSpaceDE w:val="0"/>
        <w:autoSpaceDN w:val="0"/>
        <w:adjustRightInd w:val="0"/>
        <w:spacing w:after="0" w:line="300" w:lineRule="atLeast"/>
        <w:contextualSpacing/>
        <w:rPr>
          <w:rFonts w:ascii="Times New Roman" w:hAnsi="Times New Roman" w:cs="Times New Roman"/>
          <w:sz w:val="24"/>
          <w:szCs w:val="24"/>
        </w:rPr>
      </w:pPr>
      <w:r w:rsidRPr="008F7951">
        <w:rPr>
          <w:rFonts w:ascii="Times New Roman" w:hAnsi="Times New Roman" w:cs="Times New Roman"/>
          <w:sz w:val="24"/>
          <w:szCs w:val="24"/>
        </w:rPr>
        <w:t xml:space="preserve">DJI Mini 3 Pro. </w:t>
      </w:r>
    </w:p>
    <w:p w14:paraId="2B1156A1" w14:textId="77777777" w:rsidR="008F7951" w:rsidRPr="008F7951" w:rsidRDefault="008F7951" w:rsidP="008F7951">
      <w:pPr>
        <w:autoSpaceDE w:val="0"/>
        <w:autoSpaceDN w:val="0"/>
        <w:adjustRightInd w:val="0"/>
        <w:spacing w:line="300" w:lineRule="atLeast"/>
        <w:contextualSpacing/>
        <w:rPr>
          <w:rFonts w:ascii="Times New Roman" w:hAnsi="Times New Roman" w:cs="Times New Roman"/>
          <w:sz w:val="24"/>
          <w:szCs w:val="24"/>
        </w:rPr>
      </w:pPr>
    </w:p>
    <w:p w14:paraId="53353840" w14:textId="77777777" w:rsidR="008F7951" w:rsidRPr="008F7951" w:rsidRDefault="008F7951" w:rsidP="008F7951">
      <w:pPr>
        <w:autoSpaceDE w:val="0"/>
        <w:autoSpaceDN w:val="0"/>
        <w:adjustRightInd w:val="0"/>
        <w:spacing w:line="300" w:lineRule="atLeast"/>
        <w:contextualSpacing/>
        <w:jc w:val="both"/>
        <w:rPr>
          <w:rFonts w:ascii="Times New Roman" w:hAnsi="Times New Roman" w:cs="Times New Roman"/>
          <w:sz w:val="24"/>
          <w:szCs w:val="24"/>
        </w:rPr>
      </w:pPr>
      <w:r w:rsidRPr="008F7951">
        <w:rPr>
          <w:rFonts w:ascii="Times New Roman" w:hAnsi="Times New Roman" w:cs="Times New Roman"/>
          <w:sz w:val="24"/>
          <w:szCs w:val="24"/>
        </w:rPr>
        <w:t>Dodatkowo użytkowane są:</w:t>
      </w:r>
    </w:p>
    <w:p w14:paraId="3BBBE051" w14:textId="1CF47D9A" w:rsidR="008F7951" w:rsidRPr="008F7951" w:rsidRDefault="008F7951" w:rsidP="008F7951">
      <w:pPr>
        <w:autoSpaceDE w:val="0"/>
        <w:autoSpaceDN w:val="0"/>
        <w:adjustRightInd w:val="0"/>
        <w:spacing w:line="300" w:lineRule="atLeast"/>
        <w:contextualSpacing/>
        <w:jc w:val="both"/>
        <w:rPr>
          <w:rFonts w:ascii="Times New Roman" w:hAnsi="Times New Roman" w:cs="Times New Roman"/>
          <w:sz w:val="24"/>
          <w:szCs w:val="24"/>
        </w:rPr>
      </w:pPr>
      <w:r w:rsidRPr="008F7951">
        <w:rPr>
          <w:rFonts w:ascii="Times New Roman" w:hAnsi="Times New Roman" w:cs="Times New Roman"/>
          <w:sz w:val="24"/>
          <w:szCs w:val="24"/>
        </w:rPr>
        <w:t>aparaty fotograficzne Nikon z teleobiektywami o ogniskowej 150-500, lornetka optyczna,</w:t>
      </w:r>
      <w:r w:rsidR="000121B3">
        <w:rPr>
          <w:rFonts w:ascii="Times New Roman" w:hAnsi="Times New Roman" w:cs="Times New Roman"/>
          <w:sz w:val="24"/>
          <w:szCs w:val="24"/>
        </w:rPr>
        <w:br/>
      </w:r>
      <w:r w:rsidRPr="008F7951">
        <w:rPr>
          <w:rFonts w:ascii="Times New Roman" w:hAnsi="Times New Roman" w:cs="Times New Roman"/>
          <w:sz w:val="24"/>
          <w:szCs w:val="24"/>
        </w:rPr>
        <w:t>3 lornetk</w:t>
      </w:r>
      <w:r w:rsidR="000121B3">
        <w:rPr>
          <w:rFonts w:ascii="Times New Roman" w:hAnsi="Times New Roman" w:cs="Times New Roman"/>
          <w:sz w:val="24"/>
          <w:szCs w:val="24"/>
        </w:rPr>
        <w:t>i</w:t>
      </w:r>
      <w:r w:rsidRPr="008F7951">
        <w:rPr>
          <w:rFonts w:ascii="Times New Roman" w:hAnsi="Times New Roman" w:cs="Times New Roman"/>
          <w:sz w:val="24"/>
          <w:szCs w:val="24"/>
        </w:rPr>
        <w:t xml:space="preserve"> noktowizyjn</w:t>
      </w:r>
      <w:r w:rsidR="000121B3">
        <w:rPr>
          <w:rFonts w:ascii="Times New Roman" w:hAnsi="Times New Roman" w:cs="Times New Roman"/>
          <w:sz w:val="24"/>
          <w:szCs w:val="24"/>
        </w:rPr>
        <w:t>e</w:t>
      </w:r>
      <w:r w:rsidRPr="008F7951">
        <w:rPr>
          <w:rFonts w:ascii="Times New Roman" w:hAnsi="Times New Roman" w:cs="Times New Roman"/>
          <w:sz w:val="24"/>
          <w:szCs w:val="24"/>
        </w:rPr>
        <w:t xml:space="preserve">, kamery termowizyjne, odbiorniki GPS ręczne oraz samochodowe, wielogazowe mierniki powietrza </w:t>
      </w:r>
      <w:proofErr w:type="spellStart"/>
      <w:r w:rsidRPr="008F7951">
        <w:rPr>
          <w:rFonts w:ascii="Times New Roman" w:hAnsi="Times New Roman" w:cs="Times New Roman"/>
          <w:sz w:val="24"/>
          <w:szCs w:val="24"/>
        </w:rPr>
        <w:t>MultiRae</w:t>
      </w:r>
      <w:proofErr w:type="spellEnd"/>
      <w:r w:rsidRPr="008F7951">
        <w:rPr>
          <w:rFonts w:ascii="Times New Roman" w:hAnsi="Times New Roman" w:cs="Times New Roman"/>
          <w:sz w:val="24"/>
          <w:szCs w:val="24"/>
        </w:rPr>
        <w:t xml:space="preserve">, dyktafony, kamery samochodowe, </w:t>
      </w:r>
      <w:proofErr w:type="spellStart"/>
      <w:r w:rsidRPr="008F7951">
        <w:rPr>
          <w:rFonts w:ascii="Times New Roman" w:hAnsi="Times New Roman" w:cs="Times New Roman"/>
          <w:sz w:val="24"/>
          <w:szCs w:val="24"/>
        </w:rPr>
        <w:t>fotopułapki</w:t>
      </w:r>
      <w:proofErr w:type="spellEnd"/>
      <w:r w:rsidRPr="008F7951">
        <w:rPr>
          <w:rFonts w:ascii="Times New Roman" w:hAnsi="Times New Roman" w:cs="Times New Roman"/>
          <w:sz w:val="24"/>
          <w:szCs w:val="24"/>
        </w:rPr>
        <w:t xml:space="preserve"> </w:t>
      </w:r>
      <w:r w:rsidR="000121B3">
        <w:rPr>
          <w:rFonts w:ascii="Times New Roman" w:hAnsi="Times New Roman" w:cs="Times New Roman"/>
          <w:sz w:val="24"/>
          <w:szCs w:val="24"/>
        </w:rPr>
        <w:br/>
      </w:r>
      <w:r w:rsidRPr="008F7951">
        <w:rPr>
          <w:rFonts w:ascii="Times New Roman" w:hAnsi="Times New Roman" w:cs="Times New Roman"/>
          <w:sz w:val="24"/>
          <w:szCs w:val="24"/>
        </w:rPr>
        <w:t xml:space="preserve">i </w:t>
      </w:r>
      <w:proofErr w:type="spellStart"/>
      <w:r w:rsidRPr="008F7951">
        <w:rPr>
          <w:rFonts w:ascii="Times New Roman" w:hAnsi="Times New Roman" w:cs="Times New Roman"/>
          <w:sz w:val="24"/>
          <w:szCs w:val="24"/>
        </w:rPr>
        <w:t>georadar</w:t>
      </w:r>
      <w:proofErr w:type="spellEnd"/>
      <w:r w:rsidRPr="008F7951">
        <w:rPr>
          <w:rFonts w:ascii="Times New Roman" w:hAnsi="Times New Roman" w:cs="Times New Roman"/>
          <w:sz w:val="24"/>
          <w:szCs w:val="24"/>
        </w:rPr>
        <w:t xml:space="preserve"> </w:t>
      </w:r>
      <w:proofErr w:type="spellStart"/>
      <w:r w:rsidRPr="008F7951">
        <w:rPr>
          <w:rFonts w:ascii="Times New Roman" w:hAnsi="Times New Roman" w:cs="Times New Roman"/>
          <w:sz w:val="24"/>
          <w:szCs w:val="24"/>
        </w:rPr>
        <w:t>Leica</w:t>
      </w:r>
      <w:proofErr w:type="spellEnd"/>
      <w:r w:rsidRPr="008F7951">
        <w:rPr>
          <w:rFonts w:ascii="Times New Roman" w:hAnsi="Times New Roman" w:cs="Times New Roman"/>
          <w:sz w:val="24"/>
          <w:szCs w:val="24"/>
        </w:rPr>
        <w:t xml:space="preserve">. W roku 2021 zakupiono jeden system monitoringu zdalnego Obserwator oraz analizator gazów </w:t>
      </w:r>
      <w:proofErr w:type="spellStart"/>
      <w:r w:rsidRPr="008F7951">
        <w:rPr>
          <w:rFonts w:ascii="Times New Roman" w:hAnsi="Times New Roman" w:cs="Times New Roman"/>
          <w:sz w:val="24"/>
          <w:szCs w:val="24"/>
        </w:rPr>
        <w:t>Gasmet</w:t>
      </w:r>
      <w:proofErr w:type="spellEnd"/>
      <w:r w:rsidRPr="008F7951">
        <w:rPr>
          <w:rFonts w:ascii="Times New Roman" w:hAnsi="Times New Roman" w:cs="Times New Roman"/>
          <w:sz w:val="24"/>
          <w:szCs w:val="24"/>
        </w:rPr>
        <w:t xml:space="preserve"> Terra 5000. W roku 2022 zakupiono kolejne dwa system</w:t>
      </w:r>
      <w:r w:rsidR="000121B3">
        <w:rPr>
          <w:rFonts w:ascii="Times New Roman" w:hAnsi="Times New Roman" w:cs="Times New Roman"/>
          <w:sz w:val="24"/>
          <w:szCs w:val="24"/>
        </w:rPr>
        <w:t>y</w:t>
      </w:r>
      <w:r w:rsidRPr="008F7951">
        <w:rPr>
          <w:rFonts w:ascii="Times New Roman" w:hAnsi="Times New Roman" w:cs="Times New Roman"/>
          <w:sz w:val="24"/>
          <w:szCs w:val="24"/>
        </w:rPr>
        <w:t xml:space="preserve"> monitoringu zdalnego Obserwator. </w:t>
      </w:r>
    </w:p>
    <w:p w14:paraId="319960F0" w14:textId="77777777" w:rsidR="008F7951" w:rsidRPr="008F7951" w:rsidRDefault="008F7951" w:rsidP="008F7951">
      <w:pPr>
        <w:spacing w:line="300" w:lineRule="atLeast"/>
        <w:contextualSpacing/>
        <w:jc w:val="both"/>
        <w:rPr>
          <w:rFonts w:ascii="Times New Roman" w:hAnsi="Times New Roman" w:cs="Times New Roman"/>
          <w:i/>
          <w:color w:val="4472C4"/>
          <w:sz w:val="24"/>
          <w:szCs w:val="24"/>
        </w:rPr>
      </w:pPr>
    </w:p>
    <w:p w14:paraId="6428A509" w14:textId="77777777" w:rsidR="008F7951" w:rsidRPr="008F7951" w:rsidRDefault="008F7951" w:rsidP="008F7951">
      <w:pPr>
        <w:spacing w:line="300" w:lineRule="atLeast"/>
        <w:contextualSpacing/>
        <w:jc w:val="both"/>
        <w:rPr>
          <w:rFonts w:ascii="Times New Roman" w:hAnsi="Times New Roman" w:cs="Times New Roman"/>
          <w:i/>
          <w:color w:val="4472C4"/>
          <w:sz w:val="24"/>
          <w:szCs w:val="24"/>
        </w:rPr>
      </w:pPr>
      <w:r w:rsidRPr="008F7951">
        <w:rPr>
          <w:rFonts w:ascii="Times New Roman" w:hAnsi="Times New Roman" w:cs="Times New Roman"/>
          <w:i/>
          <w:color w:val="4472C4"/>
          <w:sz w:val="24"/>
          <w:szCs w:val="24"/>
        </w:rPr>
        <w:t>Wojewódzki Inspektorat Ochrony Środowiska w Warszawie</w:t>
      </w:r>
    </w:p>
    <w:p w14:paraId="06503FE9" w14:textId="6397BB03" w:rsidR="008F7951" w:rsidRPr="000121B3" w:rsidRDefault="008F7951" w:rsidP="008F7951">
      <w:pPr>
        <w:pStyle w:val="Akapitzlist"/>
        <w:spacing w:line="300" w:lineRule="atLeast"/>
        <w:ind w:left="0"/>
        <w:jc w:val="center"/>
        <w:rPr>
          <w:b/>
          <w:sz w:val="24"/>
          <w:szCs w:val="24"/>
        </w:rPr>
      </w:pPr>
      <w:r w:rsidRPr="000121B3">
        <w:rPr>
          <w:b/>
          <w:sz w:val="24"/>
          <w:szCs w:val="24"/>
        </w:rPr>
        <w:t xml:space="preserve">Tabela </w:t>
      </w:r>
      <w:r w:rsidR="000121B3" w:rsidRPr="000121B3">
        <w:rPr>
          <w:b/>
          <w:sz w:val="24"/>
          <w:szCs w:val="24"/>
          <w:lang w:val="pl-PL"/>
        </w:rPr>
        <w:t>17</w:t>
      </w:r>
      <w:r w:rsidRPr="000121B3">
        <w:rPr>
          <w:b/>
          <w:sz w:val="24"/>
          <w:szCs w:val="24"/>
        </w:rPr>
        <w:t xml:space="preserve"> - wyposażenie grupy interwencyjno-wyjazdowej</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3"/>
        <w:gridCol w:w="1422"/>
        <w:gridCol w:w="1371"/>
        <w:gridCol w:w="1569"/>
        <w:gridCol w:w="1421"/>
        <w:gridCol w:w="1616"/>
      </w:tblGrid>
      <w:tr w:rsidR="008F7951" w:rsidRPr="008F7951" w14:paraId="4259084B" w14:textId="77777777" w:rsidTr="00A64784">
        <w:tc>
          <w:tcPr>
            <w:tcW w:w="5000" w:type="pct"/>
            <w:gridSpan w:val="6"/>
            <w:tcBorders>
              <w:top w:val="single" w:sz="4" w:space="0" w:color="000000"/>
              <w:left w:val="single" w:sz="4" w:space="0" w:color="000000"/>
              <w:bottom w:val="single" w:sz="4" w:space="0" w:color="000000"/>
              <w:right w:val="single" w:sz="4" w:space="0" w:color="000000"/>
            </w:tcBorders>
            <w:shd w:val="clear" w:color="auto" w:fill="D9D9D9"/>
            <w:hideMark/>
          </w:tcPr>
          <w:p w14:paraId="4FB087DD" w14:textId="77777777" w:rsidR="008F7951" w:rsidRPr="00DD24CE" w:rsidRDefault="008F7951" w:rsidP="00A64784">
            <w:pPr>
              <w:spacing w:line="300" w:lineRule="atLeast"/>
              <w:contextualSpacing/>
              <w:jc w:val="center"/>
              <w:rPr>
                <w:rFonts w:ascii="Times New Roman" w:eastAsia="Calibri" w:hAnsi="Times New Roman" w:cs="Times New Roman"/>
                <w:b/>
                <w:bCs/>
                <w:sz w:val="21"/>
                <w:szCs w:val="21"/>
              </w:rPr>
            </w:pPr>
            <w:r w:rsidRPr="00DD24CE">
              <w:rPr>
                <w:rFonts w:ascii="Times New Roman" w:eastAsia="Calibri" w:hAnsi="Times New Roman" w:cs="Times New Roman"/>
                <w:b/>
                <w:bCs/>
                <w:sz w:val="21"/>
                <w:szCs w:val="21"/>
              </w:rPr>
              <w:t>Komórka organizacyjna WIOŚ w Warszawie</w:t>
            </w:r>
          </w:p>
        </w:tc>
      </w:tr>
      <w:tr w:rsidR="008F7951" w:rsidRPr="008F7951" w14:paraId="5A9F3169" w14:textId="77777777" w:rsidTr="00A64784">
        <w:tc>
          <w:tcPr>
            <w:tcW w:w="928" w:type="pct"/>
            <w:tcBorders>
              <w:top w:val="single" w:sz="4" w:space="0" w:color="000000"/>
              <w:left w:val="single" w:sz="4" w:space="0" w:color="000000"/>
              <w:bottom w:val="single" w:sz="4" w:space="0" w:color="000000"/>
              <w:right w:val="single" w:sz="4" w:space="0" w:color="000000"/>
            </w:tcBorders>
            <w:vAlign w:val="center"/>
            <w:hideMark/>
          </w:tcPr>
          <w:p w14:paraId="6CA00B5F" w14:textId="290A16C2" w:rsidR="008F7951" w:rsidRPr="00DD24CE" w:rsidRDefault="008F7951" w:rsidP="00A64784">
            <w:pPr>
              <w:spacing w:line="300" w:lineRule="atLeast"/>
              <w:contextualSpacing/>
              <w:jc w:val="center"/>
              <w:rPr>
                <w:rFonts w:ascii="Times New Roman" w:eastAsia="Calibri" w:hAnsi="Times New Roman" w:cs="Times New Roman"/>
                <w:b/>
                <w:bCs/>
                <w:sz w:val="21"/>
                <w:szCs w:val="21"/>
              </w:rPr>
            </w:pPr>
            <w:r w:rsidRPr="00DD24CE">
              <w:rPr>
                <w:rFonts w:ascii="Times New Roman" w:eastAsia="Calibri" w:hAnsi="Times New Roman" w:cs="Times New Roman"/>
                <w:b/>
                <w:bCs/>
                <w:sz w:val="21"/>
                <w:szCs w:val="21"/>
              </w:rPr>
              <w:t>Del. w </w:t>
            </w:r>
          </w:p>
          <w:p w14:paraId="52E12B74" w14:textId="77777777" w:rsidR="008F7951" w:rsidRPr="00DD24CE" w:rsidRDefault="008F7951" w:rsidP="00A64784">
            <w:pPr>
              <w:spacing w:line="300" w:lineRule="atLeast"/>
              <w:contextualSpacing/>
              <w:jc w:val="center"/>
              <w:rPr>
                <w:rFonts w:ascii="Times New Roman" w:eastAsia="Calibri" w:hAnsi="Times New Roman" w:cs="Times New Roman"/>
                <w:b/>
                <w:bCs/>
                <w:sz w:val="21"/>
                <w:szCs w:val="21"/>
              </w:rPr>
            </w:pPr>
            <w:r w:rsidRPr="00DD24CE">
              <w:rPr>
                <w:rFonts w:ascii="Times New Roman" w:eastAsia="Calibri" w:hAnsi="Times New Roman" w:cs="Times New Roman"/>
                <w:b/>
                <w:bCs/>
                <w:sz w:val="21"/>
                <w:szCs w:val="21"/>
              </w:rPr>
              <w:t>Ciechanowie</w:t>
            </w:r>
          </w:p>
        </w:tc>
        <w:tc>
          <w:tcPr>
            <w:tcW w:w="795" w:type="pct"/>
            <w:tcBorders>
              <w:top w:val="single" w:sz="4" w:space="0" w:color="000000"/>
              <w:left w:val="single" w:sz="4" w:space="0" w:color="000000"/>
              <w:bottom w:val="single" w:sz="4" w:space="0" w:color="000000"/>
              <w:right w:val="single" w:sz="4" w:space="0" w:color="000000"/>
            </w:tcBorders>
            <w:vAlign w:val="center"/>
            <w:hideMark/>
          </w:tcPr>
          <w:p w14:paraId="234CE95E" w14:textId="77777777" w:rsidR="008F7951" w:rsidRPr="00DD24CE" w:rsidRDefault="008F7951" w:rsidP="00A64784">
            <w:pPr>
              <w:spacing w:line="300" w:lineRule="atLeast"/>
              <w:contextualSpacing/>
              <w:jc w:val="center"/>
              <w:rPr>
                <w:rFonts w:ascii="Times New Roman" w:eastAsia="Calibri" w:hAnsi="Times New Roman" w:cs="Times New Roman"/>
                <w:b/>
                <w:bCs/>
                <w:sz w:val="21"/>
                <w:szCs w:val="21"/>
              </w:rPr>
            </w:pPr>
            <w:r w:rsidRPr="00DD24CE">
              <w:rPr>
                <w:rFonts w:ascii="Times New Roman" w:eastAsia="Calibri" w:hAnsi="Times New Roman" w:cs="Times New Roman"/>
                <w:b/>
                <w:bCs/>
                <w:sz w:val="21"/>
                <w:szCs w:val="21"/>
              </w:rPr>
              <w:t xml:space="preserve">Del. w Mińsku </w:t>
            </w:r>
            <w:proofErr w:type="spellStart"/>
            <w:r w:rsidRPr="00DD24CE">
              <w:rPr>
                <w:rFonts w:ascii="Times New Roman" w:eastAsia="Calibri" w:hAnsi="Times New Roman" w:cs="Times New Roman"/>
                <w:b/>
                <w:bCs/>
                <w:sz w:val="21"/>
                <w:szCs w:val="21"/>
              </w:rPr>
              <w:t>Mazow</w:t>
            </w:r>
            <w:proofErr w:type="spellEnd"/>
            <w:r w:rsidRPr="00DD24CE">
              <w:rPr>
                <w:rFonts w:ascii="Times New Roman" w:eastAsia="Calibri" w:hAnsi="Times New Roman" w:cs="Times New Roman"/>
                <w:b/>
                <w:bCs/>
                <w:sz w:val="21"/>
                <w:szCs w:val="21"/>
              </w:rPr>
              <w:t>.</w:t>
            </w:r>
          </w:p>
        </w:tc>
        <w:tc>
          <w:tcPr>
            <w:tcW w:w="742" w:type="pct"/>
            <w:tcBorders>
              <w:top w:val="single" w:sz="4" w:space="0" w:color="000000"/>
              <w:left w:val="single" w:sz="4" w:space="0" w:color="000000"/>
              <w:bottom w:val="single" w:sz="4" w:space="0" w:color="000000"/>
              <w:right w:val="single" w:sz="4" w:space="0" w:color="000000"/>
            </w:tcBorders>
            <w:vAlign w:val="center"/>
            <w:hideMark/>
          </w:tcPr>
          <w:p w14:paraId="58A18806" w14:textId="5D5DAAC8" w:rsidR="008F7951" w:rsidRPr="00DD24CE" w:rsidRDefault="008F7951" w:rsidP="00A64784">
            <w:pPr>
              <w:spacing w:line="300" w:lineRule="atLeast"/>
              <w:contextualSpacing/>
              <w:jc w:val="center"/>
              <w:rPr>
                <w:rFonts w:ascii="Times New Roman" w:eastAsia="Calibri" w:hAnsi="Times New Roman" w:cs="Times New Roman"/>
                <w:b/>
                <w:bCs/>
                <w:sz w:val="21"/>
                <w:szCs w:val="21"/>
              </w:rPr>
            </w:pPr>
            <w:r w:rsidRPr="00DD24CE">
              <w:rPr>
                <w:rFonts w:ascii="Times New Roman" w:eastAsia="Calibri" w:hAnsi="Times New Roman" w:cs="Times New Roman"/>
                <w:b/>
                <w:bCs/>
                <w:sz w:val="21"/>
                <w:szCs w:val="21"/>
              </w:rPr>
              <w:t>Del.</w:t>
            </w:r>
            <w:r w:rsidR="000121B3" w:rsidRPr="00DD24CE">
              <w:rPr>
                <w:rFonts w:ascii="Times New Roman" w:eastAsia="Calibri" w:hAnsi="Times New Roman" w:cs="Times New Roman"/>
                <w:b/>
                <w:bCs/>
                <w:sz w:val="21"/>
                <w:szCs w:val="21"/>
              </w:rPr>
              <w:t xml:space="preserve"> w </w:t>
            </w:r>
            <w:r w:rsidRPr="00DD24CE">
              <w:rPr>
                <w:rFonts w:ascii="Times New Roman" w:eastAsia="Calibri" w:hAnsi="Times New Roman" w:cs="Times New Roman"/>
                <w:b/>
                <w:bCs/>
                <w:sz w:val="21"/>
                <w:szCs w:val="21"/>
              </w:rPr>
              <w:t>Ostrołęce</w:t>
            </w:r>
          </w:p>
        </w:tc>
        <w:tc>
          <w:tcPr>
            <w:tcW w:w="872" w:type="pct"/>
            <w:tcBorders>
              <w:top w:val="single" w:sz="4" w:space="0" w:color="000000"/>
              <w:left w:val="single" w:sz="4" w:space="0" w:color="000000"/>
              <w:bottom w:val="single" w:sz="4" w:space="0" w:color="000000"/>
              <w:right w:val="single" w:sz="4" w:space="0" w:color="000000"/>
            </w:tcBorders>
            <w:vAlign w:val="center"/>
            <w:hideMark/>
          </w:tcPr>
          <w:p w14:paraId="47EC35F5" w14:textId="77777777" w:rsidR="008F7951" w:rsidRPr="00DD24CE" w:rsidRDefault="008F7951" w:rsidP="00A64784">
            <w:pPr>
              <w:spacing w:line="300" w:lineRule="atLeast"/>
              <w:contextualSpacing/>
              <w:jc w:val="center"/>
              <w:rPr>
                <w:rFonts w:ascii="Times New Roman" w:eastAsia="Calibri" w:hAnsi="Times New Roman" w:cs="Times New Roman"/>
                <w:b/>
                <w:bCs/>
                <w:sz w:val="21"/>
                <w:szCs w:val="21"/>
              </w:rPr>
            </w:pPr>
            <w:r w:rsidRPr="00DD24CE">
              <w:rPr>
                <w:rFonts w:ascii="Times New Roman" w:eastAsia="Calibri" w:hAnsi="Times New Roman" w:cs="Times New Roman"/>
                <w:b/>
                <w:bCs/>
                <w:sz w:val="21"/>
                <w:szCs w:val="21"/>
              </w:rPr>
              <w:t>Del. w Płocku</w:t>
            </w:r>
          </w:p>
        </w:tc>
        <w:tc>
          <w:tcPr>
            <w:tcW w:w="798" w:type="pct"/>
            <w:tcBorders>
              <w:top w:val="single" w:sz="4" w:space="0" w:color="000000"/>
              <w:left w:val="single" w:sz="4" w:space="0" w:color="000000"/>
              <w:bottom w:val="single" w:sz="4" w:space="0" w:color="000000"/>
              <w:right w:val="single" w:sz="4" w:space="0" w:color="000000"/>
            </w:tcBorders>
            <w:vAlign w:val="center"/>
            <w:hideMark/>
          </w:tcPr>
          <w:p w14:paraId="4BDEC16F" w14:textId="77777777" w:rsidR="008F7951" w:rsidRPr="00DD24CE" w:rsidRDefault="008F7951" w:rsidP="00A64784">
            <w:pPr>
              <w:spacing w:line="300" w:lineRule="atLeast"/>
              <w:contextualSpacing/>
              <w:jc w:val="center"/>
              <w:rPr>
                <w:rFonts w:ascii="Times New Roman" w:eastAsia="Calibri" w:hAnsi="Times New Roman" w:cs="Times New Roman"/>
                <w:b/>
                <w:bCs/>
                <w:sz w:val="21"/>
                <w:szCs w:val="21"/>
              </w:rPr>
            </w:pPr>
            <w:r w:rsidRPr="00DD24CE">
              <w:rPr>
                <w:rFonts w:ascii="Times New Roman" w:eastAsia="Calibri" w:hAnsi="Times New Roman" w:cs="Times New Roman"/>
                <w:b/>
                <w:bCs/>
                <w:sz w:val="21"/>
                <w:szCs w:val="21"/>
              </w:rPr>
              <w:t>Del. w Radomiu</w:t>
            </w:r>
          </w:p>
        </w:tc>
        <w:tc>
          <w:tcPr>
            <w:tcW w:w="866" w:type="pct"/>
            <w:tcBorders>
              <w:top w:val="single" w:sz="4" w:space="0" w:color="000000"/>
              <w:left w:val="single" w:sz="4" w:space="0" w:color="000000"/>
              <w:bottom w:val="single" w:sz="4" w:space="0" w:color="000000"/>
              <w:right w:val="single" w:sz="4" w:space="0" w:color="000000"/>
            </w:tcBorders>
            <w:vAlign w:val="center"/>
            <w:hideMark/>
          </w:tcPr>
          <w:p w14:paraId="3BAF9977" w14:textId="77777777" w:rsidR="008F7951" w:rsidRPr="00DD24CE" w:rsidRDefault="008F7951" w:rsidP="00A64784">
            <w:pPr>
              <w:spacing w:line="300" w:lineRule="atLeast"/>
              <w:contextualSpacing/>
              <w:jc w:val="center"/>
              <w:rPr>
                <w:rFonts w:ascii="Times New Roman" w:eastAsia="Calibri" w:hAnsi="Times New Roman" w:cs="Times New Roman"/>
                <w:b/>
                <w:bCs/>
                <w:sz w:val="21"/>
                <w:szCs w:val="21"/>
              </w:rPr>
            </w:pPr>
            <w:r w:rsidRPr="00DD24CE">
              <w:rPr>
                <w:rFonts w:ascii="Times New Roman" w:eastAsia="Calibri" w:hAnsi="Times New Roman" w:cs="Times New Roman"/>
                <w:b/>
                <w:bCs/>
                <w:sz w:val="21"/>
                <w:szCs w:val="21"/>
              </w:rPr>
              <w:t>WIOŚ w Warszawie</w:t>
            </w:r>
          </w:p>
        </w:tc>
      </w:tr>
      <w:tr w:rsidR="008F7951" w:rsidRPr="008F7951" w14:paraId="5B152EF9" w14:textId="77777777" w:rsidTr="00A64784">
        <w:tc>
          <w:tcPr>
            <w:tcW w:w="928" w:type="pct"/>
            <w:tcBorders>
              <w:top w:val="single" w:sz="4" w:space="0" w:color="000000"/>
              <w:left w:val="single" w:sz="4" w:space="0" w:color="000000"/>
              <w:bottom w:val="single" w:sz="4" w:space="0" w:color="000000"/>
              <w:right w:val="single" w:sz="4" w:space="0" w:color="000000"/>
            </w:tcBorders>
            <w:hideMark/>
          </w:tcPr>
          <w:p w14:paraId="2837786A" w14:textId="77777777" w:rsidR="008F7951" w:rsidRPr="00DD24CE" w:rsidRDefault="008F7951" w:rsidP="00A64784">
            <w:pPr>
              <w:spacing w:line="300" w:lineRule="atLeast"/>
              <w:contextualSpacing/>
              <w:rPr>
                <w:rFonts w:ascii="Times New Roman" w:eastAsia="Calibri" w:hAnsi="Times New Roman" w:cs="Times New Roman"/>
                <w:sz w:val="21"/>
                <w:szCs w:val="21"/>
              </w:rPr>
            </w:pPr>
            <w:proofErr w:type="spellStart"/>
            <w:r w:rsidRPr="00DD24CE">
              <w:rPr>
                <w:rFonts w:ascii="Times New Roman" w:eastAsia="Calibri" w:hAnsi="Times New Roman" w:cs="Times New Roman"/>
                <w:sz w:val="21"/>
                <w:szCs w:val="21"/>
              </w:rPr>
              <w:t>fotopułapka</w:t>
            </w:r>
            <w:proofErr w:type="spellEnd"/>
            <w:r w:rsidRPr="00DD24CE">
              <w:rPr>
                <w:rFonts w:ascii="Times New Roman" w:eastAsia="Calibri" w:hAnsi="Times New Roman" w:cs="Times New Roman"/>
                <w:sz w:val="21"/>
                <w:szCs w:val="21"/>
              </w:rPr>
              <w:t xml:space="preserve"> GSM-BL480,</w:t>
            </w:r>
          </w:p>
        </w:tc>
        <w:tc>
          <w:tcPr>
            <w:tcW w:w="795" w:type="pct"/>
            <w:tcBorders>
              <w:top w:val="single" w:sz="4" w:space="0" w:color="000000"/>
              <w:left w:val="single" w:sz="4" w:space="0" w:color="000000"/>
              <w:bottom w:val="single" w:sz="4" w:space="0" w:color="000000"/>
              <w:right w:val="single" w:sz="4" w:space="0" w:color="000000"/>
            </w:tcBorders>
            <w:hideMark/>
          </w:tcPr>
          <w:p w14:paraId="73134A3B"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pojazd terenowy</w:t>
            </w:r>
          </w:p>
        </w:tc>
        <w:tc>
          <w:tcPr>
            <w:tcW w:w="742" w:type="pct"/>
            <w:tcBorders>
              <w:top w:val="single" w:sz="4" w:space="0" w:color="000000"/>
              <w:left w:val="single" w:sz="4" w:space="0" w:color="000000"/>
              <w:bottom w:val="single" w:sz="4" w:space="0" w:color="000000"/>
              <w:right w:val="single" w:sz="4" w:space="0" w:color="000000"/>
            </w:tcBorders>
            <w:hideMark/>
          </w:tcPr>
          <w:p w14:paraId="46139D76" w14:textId="7F3823CA" w:rsidR="008F7951" w:rsidRPr="00DD24CE" w:rsidRDefault="00F27A74" w:rsidP="00A64784">
            <w:pPr>
              <w:spacing w:line="300" w:lineRule="atLeast"/>
              <w:contextualSpacing/>
              <w:jc w:val="both"/>
              <w:rPr>
                <w:rFonts w:ascii="Times New Roman" w:eastAsia="Calibri" w:hAnsi="Times New Roman" w:cs="Times New Roman"/>
                <w:sz w:val="21"/>
                <w:szCs w:val="21"/>
              </w:rPr>
            </w:pPr>
            <w:proofErr w:type="spellStart"/>
            <w:r w:rsidRPr="00DD24CE">
              <w:rPr>
                <w:rFonts w:ascii="Times New Roman" w:eastAsia="Calibri" w:hAnsi="Times New Roman" w:cs="Times New Roman"/>
                <w:sz w:val="21"/>
                <w:szCs w:val="21"/>
              </w:rPr>
              <w:t>F</w:t>
            </w:r>
            <w:r w:rsidR="008F7951" w:rsidRPr="00DD24CE">
              <w:rPr>
                <w:rFonts w:ascii="Times New Roman" w:eastAsia="Calibri" w:hAnsi="Times New Roman" w:cs="Times New Roman"/>
                <w:sz w:val="21"/>
                <w:szCs w:val="21"/>
              </w:rPr>
              <w:t>otopułapka</w:t>
            </w:r>
            <w:proofErr w:type="spellEnd"/>
          </w:p>
        </w:tc>
        <w:tc>
          <w:tcPr>
            <w:tcW w:w="872" w:type="pct"/>
            <w:tcBorders>
              <w:top w:val="single" w:sz="4" w:space="0" w:color="000000"/>
              <w:left w:val="single" w:sz="4" w:space="0" w:color="000000"/>
              <w:bottom w:val="single" w:sz="4" w:space="0" w:color="000000"/>
              <w:right w:val="single" w:sz="4" w:space="0" w:color="000000"/>
            </w:tcBorders>
            <w:hideMark/>
          </w:tcPr>
          <w:p w14:paraId="798CA496"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aparat fotograficzny – 1</w:t>
            </w:r>
          </w:p>
        </w:tc>
        <w:tc>
          <w:tcPr>
            <w:tcW w:w="798" w:type="pct"/>
            <w:tcBorders>
              <w:top w:val="single" w:sz="4" w:space="0" w:color="000000"/>
              <w:left w:val="single" w:sz="4" w:space="0" w:color="000000"/>
              <w:bottom w:val="single" w:sz="4" w:space="0" w:color="000000"/>
              <w:right w:val="single" w:sz="4" w:space="0" w:color="000000"/>
            </w:tcBorders>
            <w:hideMark/>
          </w:tcPr>
          <w:p w14:paraId="2392FDD6" w14:textId="49FBC1D5" w:rsidR="008F7951" w:rsidRPr="00DD24CE" w:rsidRDefault="008F7951" w:rsidP="00A64784">
            <w:pPr>
              <w:spacing w:line="300" w:lineRule="atLeast"/>
              <w:contextualSpacing/>
              <w:rPr>
                <w:rFonts w:ascii="Times New Roman" w:eastAsia="Calibri" w:hAnsi="Times New Roman" w:cs="Times New Roman"/>
                <w:sz w:val="21"/>
                <w:szCs w:val="21"/>
              </w:rPr>
            </w:pPr>
            <w:r w:rsidRPr="00DD24CE">
              <w:rPr>
                <w:rFonts w:ascii="Times New Roman" w:eastAsia="Calibri" w:hAnsi="Times New Roman" w:cs="Times New Roman"/>
                <w:sz w:val="21"/>
                <w:szCs w:val="21"/>
              </w:rPr>
              <w:t xml:space="preserve">pojazdy służbowe </w:t>
            </w:r>
            <w:r w:rsidR="000121B3" w:rsidRPr="00DD24CE">
              <w:rPr>
                <w:rFonts w:ascii="Times New Roman" w:eastAsia="Calibri" w:hAnsi="Times New Roman" w:cs="Times New Roman"/>
                <w:sz w:val="21"/>
                <w:szCs w:val="21"/>
              </w:rPr>
              <w:t>–</w:t>
            </w:r>
            <w:r w:rsidRPr="00DD24CE">
              <w:rPr>
                <w:rFonts w:ascii="Times New Roman" w:eastAsia="Calibri" w:hAnsi="Times New Roman" w:cs="Times New Roman"/>
                <w:sz w:val="21"/>
                <w:szCs w:val="21"/>
              </w:rPr>
              <w:t xml:space="preserve"> 3</w:t>
            </w:r>
          </w:p>
        </w:tc>
        <w:tc>
          <w:tcPr>
            <w:tcW w:w="866" w:type="pct"/>
            <w:tcBorders>
              <w:top w:val="single" w:sz="4" w:space="0" w:color="000000"/>
              <w:left w:val="single" w:sz="4" w:space="0" w:color="000000"/>
              <w:bottom w:val="single" w:sz="4" w:space="0" w:color="000000"/>
              <w:right w:val="single" w:sz="4" w:space="0" w:color="000000"/>
            </w:tcBorders>
            <w:hideMark/>
          </w:tcPr>
          <w:p w14:paraId="5920D195" w14:textId="77777777" w:rsidR="008F7951" w:rsidRPr="00DD24CE" w:rsidRDefault="008F7951" w:rsidP="00A64784">
            <w:pPr>
              <w:spacing w:line="300" w:lineRule="atLeast"/>
              <w:contextualSpacing/>
              <w:rPr>
                <w:rFonts w:ascii="Times New Roman" w:eastAsia="Calibri" w:hAnsi="Times New Roman" w:cs="Times New Roman"/>
                <w:sz w:val="21"/>
                <w:szCs w:val="21"/>
              </w:rPr>
            </w:pPr>
            <w:r w:rsidRPr="00DD24CE">
              <w:rPr>
                <w:rFonts w:ascii="Times New Roman" w:eastAsia="Calibri" w:hAnsi="Times New Roman" w:cs="Times New Roman"/>
                <w:sz w:val="21"/>
                <w:szCs w:val="21"/>
              </w:rPr>
              <w:t>pojazdy służbowe - 1</w:t>
            </w:r>
          </w:p>
        </w:tc>
      </w:tr>
      <w:tr w:rsidR="008F7951" w:rsidRPr="008F7951" w14:paraId="535A262A" w14:textId="77777777" w:rsidTr="00A64784">
        <w:tc>
          <w:tcPr>
            <w:tcW w:w="928" w:type="pct"/>
            <w:tcBorders>
              <w:top w:val="single" w:sz="4" w:space="0" w:color="000000"/>
              <w:left w:val="single" w:sz="4" w:space="0" w:color="000000"/>
              <w:bottom w:val="single" w:sz="4" w:space="0" w:color="000000"/>
              <w:right w:val="single" w:sz="4" w:space="0" w:color="000000"/>
            </w:tcBorders>
            <w:hideMark/>
          </w:tcPr>
          <w:p w14:paraId="56B7EB3C" w14:textId="77777777" w:rsidR="008F7951" w:rsidRPr="00DD24CE" w:rsidRDefault="008F7951" w:rsidP="00A64784">
            <w:pPr>
              <w:spacing w:line="300" w:lineRule="atLeast"/>
              <w:contextualSpacing/>
              <w:rPr>
                <w:rFonts w:ascii="Times New Roman" w:eastAsia="Calibri" w:hAnsi="Times New Roman" w:cs="Times New Roman"/>
                <w:sz w:val="21"/>
                <w:szCs w:val="21"/>
              </w:rPr>
            </w:pPr>
            <w:r w:rsidRPr="00DD24CE">
              <w:rPr>
                <w:rFonts w:ascii="Times New Roman" w:eastAsia="Calibri" w:hAnsi="Times New Roman" w:cs="Times New Roman"/>
                <w:sz w:val="21"/>
                <w:szCs w:val="21"/>
              </w:rPr>
              <w:t>dalmierz ręczny</w:t>
            </w:r>
          </w:p>
        </w:tc>
        <w:tc>
          <w:tcPr>
            <w:tcW w:w="795" w:type="pct"/>
            <w:tcBorders>
              <w:top w:val="single" w:sz="4" w:space="0" w:color="000000"/>
              <w:left w:val="single" w:sz="4" w:space="0" w:color="000000"/>
              <w:bottom w:val="single" w:sz="4" w:space="0" w:color="000000"/>
              <w:right w:val="single" w:sz="4" w:space="0" w:color="000000"/>
            </w:tcBorders>
            <w:hideMark/>
          </w:tcPr>
          <w:p w14:paraId="68C84266"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aparat fotograficzny</w:t>
            </w:r>
          </w:p>
        </w:tc>
        <w:tc>
          <w:tcPr>
            <w:tcW w:w="742" w:type="pct"/>
            <w:tcBorders>
              <w:top w:val="single" w:sz="4" w:space="0" w:color="000000"/>
              <w:left w:val="single" w:sz="4" w:space="0" w:color="000000"/>
              <w:bottom w:val="single" w:sz="4" w:space="0" w:color="000000"/>
              <w:right w:val="single" w:sz="4" w:space="0" w:color="000000"/>
            </w:tcBorders>
            <w:hideMark/>
          </w:tcPr>
          <w:p w14:paraId="65A82895"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noktowizor,</w:t>
            </w:r>
          </w:p>
        </w:tc>
        <w:tc>
          <w:tcPr>
            <w:tcW w:w="872" w:type="pct"/>
            <w:tcBorders>
              <w:top w:val="single" w:sz="4" w:space="0" w:color="000000"/>
              <w:left w:val="single" w:sz="4" w:space="0" w:color="000000"/>
              <w:bottom w:val="single" w:sz="4" w:space="0" w:color="000000"/>
              <w:right w:val="single" w:sz="4" w:space="0" w:color="000000"/>
            </w:tcBorders>
            <w:hideMark/>
          </w:tcPr>
          <w:p w14:paraId="7F29BAAF" w14:textId="41606FF6"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 xml:space="preserve">kamera </w:t>
            </w:r>
            <w:r w:rsidR="009345B1" w:rsidRPr="00DD24CE">
              <w:rPr>
                <w:rFonts w:ascii="Times New Roman" w:eastAsia="Calibri" w:hAnsi="Times New Roman" w:cs="Times New Roman"/>
                <w:sz w:val="21"/>
                <w:szCs w:val="21"/>
              </w:rPr>
              <w:t>–</w:t>
            </w:r>
            <w:r w:rsidRPr="00DD24CE">
              <w:rPr>
                <w:rFonts w:ascii="Times New Roman" w:eastAsia="Calibri" w:hAnsi="Times New Roman" w:cs="Times New Roman"/>
                <w:sz w:val="21"/>
                <w:szCs w:val="21"/>
              </w:rPr>
              <w:t xml:space="preserve"> 1 </w:t>
            </w:r>
          </w:p>
        </w:tc>
        <w:tc>
          <w:tcPr>
            <w:tcW w:w="798" w:type="pct"/>
            <w:tcBorders>
              <w:top w:val="single" w:sz="4" w:space="0" w:color="000000"/>
              <w:left w:val="single" w:sz="4" w:space="0" w:color="000000"/>
              <w:bottom w:val="single" w:sz="4" w:space="0" w:color="000000"/>
              <w:right w:val="single" w:sz="4" w:space="0" w:color="000000"/>
            </w:tcBorders>
            <w:hideMark/>
          </w:tcPr>
          <w:p w14:paraId="7EEBD49D" w14:textId="12179785" w:rsidR="008F7951" w:rsidRPr="00DD24CE" w:rsidRDefault="008F7951" w:rsidP="00A64784">
            <w:pPr>
              <w:spacing w:line="300" w:lineRule="atLeast"/>
              <w:contextualSpacing/>
              <w:rPr>
                <w:rFonts w:ascii="Times New Roman" w:eastAsia="Calibri" w:hAnsi="Times New Roman" w:cs="Times New Roman"/>
                <w:sz w:val="21"/>
                <w:szCs w:val="21"/>
              </w:rPr>
            </w:pPr>
            <w:proofErr w:type="spellStart"/>
            <w:r w:rsidRPr="00DD24CE">
              <w:rPr>
                <w:rFonts w:ascii="Times New Roman" w:eastAsia="Calibri" w:hAnsi="Times New Roman" w:cs="Times New Roman"/>
                <w:sz w:val="21"/>
                <w:szCs w:val="21"/>
              </w:rPr>
              <w:t>fotopułapki</w:t>
            </w:r>
            <w:proofErr w:type="spellEnd"/>
            <w:r w:rsidRPr="00DD24CE">
              <w:rPr>
                <w:rFonts w:ascii="Times New Roman" w:eastAsia="Calibri" w:hAnsi="Times New Roman" w:cs="Times New Roman"/>
                <w:sz w:val="21"/>
                <w:szCs w:val="21"/>
              </w:rPr>
              <w:t xml:space="preserve"> </w:t>
            </w:r>
            <w:r w:rsidR="000121B3" w:rsidRPr="00DD24CE">
              <w:rPr>
                <w:rFonts w:ascii="Times New Roman" w:eastAsia="Calibri" w:hAnsi="Times New Roman" w:cs="Times New Roman"/>
                <w:sz w:val="21"/>
                <w:szCs w:val="21"/>
              </w:rPr>
              <w:t>–</w:t>
            </w:r>
            <w:r w:rsidRPr="00DD24CE">
              <w:rPr>
                <w:rFonts w:ascii="Times New Roman" w:eastAsia="Calibri" w:hAnsi="Times New Roman" w:cs="Times New Roman"/>
                <w:sz w:val="21"/>
                <w:szCs w:val="21"/>
              </w:rPr>
              <w:t xml:space="preserve"> 3</w:t>
            </w:r>
          </w:p>
        </w:tc>
        <w:tc>
          <w:tcPr>
            <w:tcW w:w="866" w:type="pct"/>
            <w:tcBorders>
              <w:top w:val="single" w:sz="4" w:space="0" w:color="000000"/>
              <w:left w:val="single" w:sz="4" w:space="0" w:color="000000"/>
              <w:bottom w:val="single" w:sz="4" w:space="0" w:color="000000"/>
              <w:right w:val="single" w:sz="4" w:space="0" w:color="000000"/>
            </w:tcBorders>
            <w:hideMark/>
          </w:tcPr>
          <w:p w14:paraId="384893C8"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aparat fotograficzny - 2</w:t>
            </w:r>
          </w:p>
        </w:tc>
      </w:tr>
      <w:tr w:rsidR="008F7951" w:rsidRPr="008F7951" w14:paraId="670F398D" w14:textId="77777777" w:rsidTr="00A64784">
        <w:tc>
          <w:tcPr>
            <w:tcW w:w="928" w:type="pct"/>
            <w:tcBorders>
              <w:top w:val="single" w:sz="4" w:space="0" w:color="000000"/>
              <w:left w:val="single" w:sz="4" w:space="0" w:color="000000"/>
              <w:bottom w:val="single" w:sz="4" w:space="0" w:color="000000"/>
              <w:right w:val="single" w:sz="4" w:space="0" w:color="000000"/>
            </w:tcBorders>
            <w:hideMark/>
          </w:tcPr>
          <w:p w14:paraId="4476F02D" w14:textId="77777777" w:rsidR="008F7951" w:rsidRPr="00DD24CE" w:rsidRDefault="008F7951" w:rsidP="00A64784">
            <w:pPr>
              <w:spacing w:line="300" w:lineRule="atLeast"/>
              <w:contextualSpacing/>
              <w:rPr>
                <w:rFonts w:ascii="Times New Roman" w:eastAsia="Calibri" w:hAnsi="Times New Roman" w:cs="Times New Roman"/>
                <w:sz w:val="21"/>
                <w:szCs w:val="21"/>
              </w:rPr>
            </w:pPr>
            <w:r w:rsidRPr="00DD24CE">
              <w:rPr>
                <w:rFonts w:ascii="Times New Roman" w:eastAsia="Calibri" w:hAnsi="Times New Roman" w:cs="Times New Roman"/>
                <w:sz w:val="21"/>
                <w:szCs w:val="21"/>
              </w:rPr>
              <w:t>rejestrator jazdy – 2</w:t>
            </w:r>
          </w:p>
        </w:tc>
        <w:tc>
          <w:tcPr>
            <w:tcW w:w="795" w:type="pct"/>
            <w:tcBorders>
              <w:top w:val="single" w:sz="4" w:space="0" w:color="000000"/>
              <w:left w:val="single" w:sz="4" w:space="0" w:color="000000"/>
              <w:bottom w:val="single" w:sz="4" w:space="0" w:color="000000"/>
              <w:right w:val="single" w:sz="4" w:space="0" w:color="000000"/>
            </w:tcBorders>
            <w:hideMark/>
          </w:tcPr>
          <w:p w14:paraId="21E8BCCD"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noktowizor,</w:t>
            </w:r>
          </w:p>
        </w:tc>
        <w:tc>
          <w:tcPr>
            <w:tcW w:w="742" w:type="pct"/>
            <w:tcBorders>
              <w:top w:val="single" w:sz="4" w:space="0" w:color="000000"/>
              <w:left w:val="single" w:sz="4" w:space="0" w:color="000000"/>
              <w:bottom w:val="single" w:sz="4" w:space="0" w:color="000000"/>
              <w:right w:val="single" w:sz="4" w:space="0" w:color="000000"/>
            </w:tcBorders>
            <w:hideMark/>
          </w:tcPr>
          <w:p w14:paraId="789FBEC4"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Tablet</w:t>
            </w:r>
          </w:p>
        </w:tc>
        <w:tc>
          <w:tcPr>
            <w:tcW w:w="872" w:type="pct"/>
            <w:tcBorders>
              <w:top w:val="single" w:sz="4" w:space="0" w:color="000000"/>
              <w:left w:val="single" w:sz="4" w:space="0" w:color="000000"/>
              <w:bottom w:val="single" w:sz="4" w:space="0" w:color="000000"/>
              <w:right w:val="single" w:sz="4" w:space="0" w:color="000000"/>
            </w:tcBorders>
            <w:hideMark/>
          </w:tcPr>
          <w:p w14:paraId="23664B2F" w14:textId="2BB3F7B3" w:rsidR="008F7951" w:rsidRPr="00DD24CE" w:rsidRDefault="008F7951" w:rsidP="00A64784">
            <w:pPr>
              <w:spacing w:line="300" w:lineRule="atLeast"/>
              <w:contextualSpacing/>
              <w:jc w:val="both"/>
              <w:rPr>
                <w:rFonts w:ascii="Times New Roman" w:eastAsia="Calibri" w:hAnsi="Times New Roman" w:cs="Times New Roman"/>
                <w:sz w:val="21"/>
                <w:szCs w:val="21"/>
              </w:rPr>
            </w:pPr>
            <w:proofErr w:type="spellStart"/>
            <w:r w:rsidRPr="00DD24CE">
              <w:rPr>
                <w:rFonts w:ascii="Times New Roman" w:eastAsia="Calibri" w:hAnsi="Times New Roman" w:cs="Times New Roman"/>
                <w:sz w:val="21"/>
                <w:szCs w:val="21"/>
              </w:rPr>
              <w:t>fotopułapki</w:t>
            </w:r>
            <w:proofErr w:type="spellEnd"/>
            <w:r w:rsidRPr="00DD24CE">
              <w:rPr>
                <w:rFonts w:ascii="Times New Roman" w:eastAsia="Calibri" w:hAnsi="Times New Roman" w:cs="Times New Roman"/>
                <w:sz w:val="21"/>
                <w:szCs w:val="21"/>
              </w:rPr>
              <w:t xml:space="preserve"> </w:t>
            </w:r>
            <w:r w:rsidR="009345B1" w:rsidRPr="00DD24CE">
              <w:rPr>
                <w:rFonts w:ascii="Times New Roman" w:eastAsia="Calibri" w:hAnsi="Times New Roman" w:cs="Times New Roman"/>
                <w:sz w:val="21"/>
                <w:szCs w:val="21"/>
              </w:rPr>
              <w:t>–</w:t>
            </w:r>
            <w:r w:rsidRPr="00DD24CE">
              <w:rPr>
                <w:rFonts w:ascii="Times New Roman" w:eastAsia="Calibri" w:hAnsi="Times New Roman" w:cs="Times New Roman"/>
                <w:sz w:val="21"/>
                <w:szCs w:val="21"/>
              </w:rPr>
              <w:t xml:space="preserve"> 2</w:t>
            </w:r>
          </w:p>
        </w:tc>
        <w:tc>
          <w:tcPr>
            <w:tcW w:w="798" w:type="pct"/>
            <w:tcBorders>
              <w:top w:val="single" w:sz="4" w:space="0" w:color="000000"/>
              <w:left w:val="single" w:sz="4" w:space="0" w:color="000000"/>
              <w:bottom w:val="single" w:sz="4" w:space="0" w:color="000000"/>
              <w:right w:val="single" w:sz="4" w:space="0" w:color="000000"/>
            </w:tcBorders>
            <w:hideMark/>
          </w:tcPr>
          <w:p w14:paraId="265F05CB" w14:textId="77777777" w:rsidR="008F7951" w:rsidRPr="00DD24CE" w:rsidRDefault="008F7951" w:rsidP="00A64784">
            <w:pPr>
              <w:spacing w:line="300" w:lineRule="atLeast"/>
              <w:contextualSpacing/>
              <w:rPr>
                <w:rFonts w:ascii="Times New Roman" w:eastAsia="Calibri" w:hAnsi="Times New Roman" w:cs="Times New Roman"/>
                <w:sz w:val="21"/>
                <w:szCs w:val="21"/>
              </w:rPr>
            </w:pPr>
            <w:r w:rsidRPr="00DD24CE">
              <w:rPr>
                <w:rFonts w:ascii="Times New Roman" w:eastAsia="Calibri" w:hAnsi="Times New Roman" w:cs="Times New Roman"/>
                <w:sz w:val="21"/>
                <w:szCs w:val="21"/>
              </w:rPr>
              <w:t>noktowizor,</w:t>
            </w:r>
          </w:p>
        </w:tc>
        <w:tc>
          <w:tcPr>
            <w:tcW w:w="866" w:type="pct"/>
            <w:tcBorders>
              <w:top w:val="single" w:sz="4" w:space="0" w:color="000000"/>
              <w:left w:val="single" w:sz="4" w:space="0" w:color="000000"/>
              <w:bottom w:val="single" w:sz="4" w:space="0" w:color="000000"/>
              <w:right w:val="single" w:sz="4" w:space="0" w:color="000000"/>
            </w:tcBorders>
            <w:hideMark/>
          </w:tcPr>
          <w:p w14:paraId="266E0DAC"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noktowizor - 1</w:t>
            </w:r>
          </w:p>
        </w:tc>
      </w:tr>
      <w:tr w:rsidR="008F7951" w:rsidRPr="008F7951" w14:paraId="2D4CB6E5" w14:textId="77777777" w:rsidTr="00A64784">
        <w:tc>
          <w:tcPr>
            <w:tcW w:w="928" w:type="pct"/>
            <w:tcBorders>
              <w:top w:val="single" w:sz="4" w:space="0" w:color="000000"/>
              <w:left w:val="single" w:sz="4" w:space="0" w:color="000000"/>
              <w:bottom w:val="single" w:sz="4" w:space="0" w:color="000000"/>
              <w:right w:val="single" w:sz="4" w:space="0" w:color="000000"/>
            </w:tcBorders>
            <w:hideMark/>
          </w:tcPr>
          <w:p w14:paraId="4E1FCDA8" w14:textId="77777777" w:rsidR="008F7951" w:rsidRPr="00DD24CE" w:rsidRDefault="008F7951" w:rsidP="00A64784">
            <w:pPr>
              <w:spacing w:line="300" w:lineRule="atLeast"/>
              <w:contextualSpacing/>
              <w:rPr>
                <w:rFonts w:ascii="Times New Roman" w:eastAsia="Calibri" w:hAnsi="Times New Roman" w:cs="Times New Roman"/>
                <w:sz w:val="21"/>
                <w:szCs w:val="21"/>
              </w:rPr>
            </w:pPr>
            <w:r w:rsidRPr="00DD24CE">
              <w:rPr>
                <w:rFonts w:ascii="Times New Roman" w:eastAsia="Calibri" w:hAnsi="Times New Roman" w:cs="Times New Roman"/>
                <w:sz w:val="21"/>
                <w:szCs w:val="21"/>
              </w:rPr>
              <w:lastRenderedPageBreak/>
              <w:t>lornetka – 4</w:t>
            </w:r>
          </w:p>
        </w:tc>
        <w:tc>
          <w:tcPr>
            <w:tcW w:w="795" w:type="pct"/>
            <w:tcBorders>
              <w:top w:val="single" w:sz="4" w:space="0" w:color="000000"/>
              <w:left w:val="single" w:sz="4" w:space="0" w:color="000000"/>
              <w:bottom w:val="single" w:sz="4" w:space="0" w:color="000000"/>
              <w:right w:val="single" w:sz="4" w:space="0" w:color="000000"/>
            </w:tcBorders>
            <w:hideMark/>
          </w:tcPr>
          <w:p w14:paraId="35219467" w14:textId="323264DF"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 xml:space="preserve">lornetki </w:t>
            </w:r>
            <w:r w:rsidR="00D12D0D">
              <w:rPr>
                <w:rFonts w:ascii="Times New Roman" w:eastAsia="Calibri" w:hAnsi="Times New Roman" w:cs="Times New Roman"/>
                <w:sz w:val="21"/>
                <w:szCs w:val="21"/>
              </w:rPr>
              <w:t>–</w:t>
            </w:r>
            <w:r w:rsidRPr="00DD24CE">
              <w:rPr>
                <w:rFonts w:ascii="Times New Roman" w:eastAsia="Calibri" w:hAnsi="Times New Roman" w:cs="Times New Roman"/>
                <w:sz w:val="21"/>
                <w:szCs w:val="21"/>
              </w:rPr>
              <w:t xml:space="preserve"> 3</w:t>
            </w:r>
          </w:p>
        </w:tc>
        <w:tc>
          <w:tcPr>
            <w:tcW w:w="742" w:type="pct"/>
            <w:tcBorders>
              <w:top w:val="single" w:sz="4" w:space="0" w:color="000000"/>
              <w:left w:val="single" w:sz="4" w:space="0" w:color="000000"/>
              <w:bottom w:val="single" w:sz="4" w:space="0" w:color="000000"/>
              <w:right w:val="single" w:sz="4" w:space="0" w:color="000000"/>
            </w:tcBorders>
            <w:hideMark/>
          </w:tcPr>
          <w:p w14:paraId="6446FC3F"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aparat fotograficzny</w:t>
            </w:r>
          </w:p>
        </w:tc>
        <w:tc>
          <w:tcPr>
            <w:tcW w:w="872" w:type="pct"/>
            <w:tcBorders>
              <w:top w:val="single" w:sz="4" w:space="0" w:color="000000"/>
              <w:left w:val="single" w:sz="4" w:space="0" w:color="000000"/>
              <w:bottom w:val="single" w:sz="4" w:space="0" w:color="000000"/>
              <w:right w:val="single" w:sz="4" w:space="0" w:color="000000"/>
            </w:tcBorders>
            <w:hideMark/>
          </w:tcPr>
          <w:p w14:paraId="1247EC02" w14:textId="5254867E"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 xml:space="preserve">rejestrator jazdy </w:t>
            </w:r>
            <w:r w:rsidR="009345B1" w:rsidRPr="00DD24CE">
              <w:rPr>
                <w:rFonts w:ascii="Times New Roman" w:eastAsia="Calibri" w:hAnsi="Times New Roman" w:cs="Times New Roman"/>
                <w:sz w:val="21"/>
                <w:szCs w:val="21"/>
              </w:rPr>
              <w:t>–</w:t>
            </w:r>
            <w:r w:rsidRPr="00DD24CE">
              <w:rPr>
                <w:rFonts w:ascii="Times New Roman" w:eastAsia="Calibri" w:hAnsi="Times New Roman" w:cs="Times New Roman"/>
                <w:sz w:val="21"/>
                <w:szCs w:val="21"/>
              </w:rPr>
              <w:t xml:space="preserve"> 2</w:t>
            </w:r>
          </w:p>
        </w:tc>
        <w:tc>
          <w:tcPr>
            <w:tcW w:w="798" w:type="pct"/>
            <w:tcBorders>
              <w:top w:val="single" w:sz="4" w:space="0" w:color="000000"/>
              <w:left w:val="single" w:sz="4" w:space="0" w:color="000000"/>
              <w:bottom w:val="single" w:sz="4" w:space="0" w:color="000000"/>
              <w:right w:val="single" w:sz="4" w:space="0" w:color="000000"/>
            </w:tcBorders>
            <w:hideMark/>
          </w:tcPr>
          <w:p w14:paraId="6C35CA83" w14:textId="77777777" w:rsidR="008F7951" w:rsidRPr="00DD24CE" w:rsidRDefault="008F7951" w:rsidP="00A64784">
            <w:pPr>
              <w:spacing w:line="300" w:lineRule="atLeast"/>
              <w:contextualSpacing/>
              <w:rPr>
                <w:rFonts w:ascii="Times New Roman" w:eastAsia="Calibri" w:hAnsi="Times New Roman" w:cs="Times New Roman"/>
                <w:sz w:val="21"/>
                <w:szCs w:val="21"/>
              </w:rPr>
            </w:pPr>
            <w:r w:rsidRPr="00DD24CE">
              <w:rPr>
                <w:rFonts w:ascii="Times New Roman" w:eastAsia="Calibri" w:hAnsi="Times New Roman" w:cs="Times New Roman"/>
                <w:sz w:val="21"/>
                <w:szCs w:val="21"/>
              </w:rPr>
              <w:t>tablet</w:t>
            </w:r>
          </w:p>
        </w:tc>
        <w:tc>
          <w:tcPr>
            <w:tcW w:w="866" w:type="pct"/>
            <w:tcBorders>
              <w:top w:val="single" w:sz="4" w:space="0" w:color="000000"/>
              <w:left w:val="single" w:sz="4" w:space="0" w:color="000000"/>
              <w:bottom w:val="single" w:sz="4" w:space="0" w:color="000000"/>
              <w:right w:val="single" w:sz="4" w:space="0" w:color="000000"/>
            </w:tcBorders>
            <w:hideMark/>
          </w:tcPr>
          <w:p w14:paraId="66A6EFDC"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kamera - 1</w:t>
            </w:r>
          </w:p>
        </w:tc>
      </w:tr>
      <w:tr w:rsidR="008F7951" w:rsidRPr="008F7951" w14:paraId="53563D2E" w14:textId="77777777" w:rsidTr="00A64784">
        <w:tc>
          <w:tcPr>
            <w:tcW w:w="928" w:type="pct"/>
            <w:tcBorders>
              <w:top w:val="single" w:sz="4" w:space="0" w:color="000000"/>
              <w:left w:val="single" w:sz="4" w:space="0" w:color="000000"/>
              <w:bottom w:val="single" w:sz="4" w:space="0" w:color="000000"/>
              <w:right w:val="single" w:sz="4" w:space="0" w:color="000000"/>
            </w:tcBorders>
            <w:hideMark/>
          </w:tcPr>
          <w:p w14:paraId="73113F36" w14:textId="77777777" w:rsidR="008F7951" w:rsidRPr="00DD24CE" w:rsidRDefault="008F7951" w:rsidP="00A64784">
            <w:pPr>
              <w:spacing w:line="300" w:lineRule="atLeast"/>
              <w:contextualSpacing/>
              <w:rPr>
                <w:rFonts w:ascii="Times New Roman" w:eastAsia="Calibri" w:hAnsi="Times New Roman" w:cs="Times New Roman"/>
                <w:sz w:val="21"/>
                <w:szCs w:val="21"/>
              </w:rPr>
            </w:pPr>
            <w:r w:rsidRPr="00DD24CE">
              <w:rPr>
                <w:rFonts w:ascii="Times New Roman" w:eastAsia="Calibri" w:hAnsi="Times New Roman" w:cs="Times New Roman"/>
                <w:sz w:val="21"/>
                <w:szCs w:val="21"/>
              </w:rPr>
              <w:t>aparat cyfrowy</w:t>
            </w:r>
          </w:p>
        </w:tc>
        <w:tc>
          <w:tcPr>
            <w:tcW w:w="795" w:type="pct"/>
            <w:tcBorders>
              <w:top w:val="single" w:sz="4" w:space="0" w:color="000000"/>
              <w:left w:val="single" w:sz="4" w:space="0" w:color="000000"/>
              <w:bottom w:val="single" w:sz="4" w:space="0" w:color="000000"/>
              <w:right w:val="single" w:sz="4" w:space="0" w:color="000000"/>
            </w:tcBorders>
            <w:hideMark/>
          </w:tcPr>
          <w:p w14:paraId="77B2FA84"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proofErr w:type="spellStart"/>
            <w:r w:rsidRPr="00DD24CE">
              <w:rPr>
                <w:rFonts w:ascii="Times New Roman" w:eastAsia="Calibri" w:hAnsi="Times New Roman" w:cs="Times New Roman"/>
                <w:sz w:val="21"/>
                <w:szCs w:val="21"/>
              </w:rPr>
              <w:t>fotopułapka</w:t>
            </w:r>
            <w:proofErr w:type="spellEnd"/>
            <w:r w:rsidRPr="00DD24CE">
              <w:rPr>
                <w:rFonts w:ascii="Times New Roman" w:eastAsia="Calibri" w:hAnsi="Times New Roman" w:cs="Times New Roman"/>
                <w:sz w:val="21"/>
                <w:szCs w:val="21"/>
              </w:rPr>
              <w:t xml:space="preserve"> - 2 </w:t>
            </w:r>
          </w:p>
        </w:tc>
        <w:tc>
          <w:tcPr>
            <w:tcW w:w="742" w:type="pct"/>
            <w:tcBorders>
              <w:top w:val="single" w:sz="4" w:space="0" w:color="000000"/>
              <w:left w:val="single" w:sz="4" w:space="0" w:color="000000"/>
              <w:bottom w:val="single" w:sz="4" w:space="0" w:color="000000"/>
              <w:right w:val="single" w:sz="4" w:space="0" w:color="000000"/>
            </w:tcBorders>
            <w:hideMark/>
          </w:tcPr>
          <w:p w14:paraId="28419C8E"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Kamera</w:t>
            </w:r>
          </w:p>
        </w:tc>
        <w:tc>
          <w:tcPr>
            <w:tcW w:w="872" w:type="pct"/>
            <w:tcBorders>
              <w:top w:val="single" w:sz="4" w:space="0" w:color="000000"/>
              <w:left w:val="single" w:sz="4" w:space="0" w:color="000000"/>
              <w:bottom w:val="single" w:sz="4" w:space="0" w:color="000000"/>
              <w:right w:val="single" w:sz="4" w:space="0" w:color="000000"/>
            </w:tcBorders>
            <w:hideMark/>
          </w:tcPr>
          <w:p w14:paraId="781FBE23"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 xml:space="preserve">urządzenie krótkofalarskie - 1 </w:t>
            </w:r>
            <w:proofErr w:type="spellStart"/>
            <w:r w:rsidRPr="00DD24CE">
              <w:rPr>
                <w:rFonts w:ascii="Times New Roman" w:eastAsia="Calibri" w:hAnsi="Times New Roman" w:cs="Times New Roman"/>
                <w:sz w:val="21"/>
                <w:szCs w:val="21"/>
              </w:rPr>
              <w:t>kpl</w:t>
            </w:r>
            <w:proofErr w:type="spellEnd"/>
            <w:r w:rsidRPr="00DD24CE">
              <w:rPr>
                <w:rFonts w:ascii="Times New Roman" w:eastAsia="Calibri" w:hAnsi="Times New Roman" w:cs="Times New Roman"/>
                <w:sz w:val="21"/>
                <w:szCs w:val="21"/>
              </w:rPr>
              <w:t>.</w:t>
            </w:r>
          </w:p>
        </w:tc>
        <w:tc>
          <w:tcPr>
            <w:tcW w:w="798" w:type="pct"/>
            <w:tcBorders>
              <w:top w:val="single" w:sz="4" w:space="0" w:color="000000"/>
              <w:left w:val="single" w:sz="4" w:space="0" w:color="000000"/>
              <w:bottom w:val="single" w:sz="4" w:space="0" w:color="000000"/>
              <w:right w:val="single" w:sz="4" w:space="0" w:color="000000"/>
            </w:tcBorders>
            <w:hideMark/>
          </w:tcPr>
          <w:p w14:paraId="74CE3AA6" w14:textId="77777777" w:rsidR="008F7951" w:rsidRPr="00DD24CE" w:rsidRDefault="008F7951" w:rsidP="00A64784">
            <w:pPr>
              <w:spacing w:line="300" w:lineRule="atLeast"/>
              <w:contextualSpacing/>
              <w:rPr>
                <w:rFonts w:ascii="Times New Roman" w:eastAsia="Calibri" w:hAnsi="Times New Roman" w:cs="Times New Roman"/>
                <w:sz w:val="21"/>
                <w:szCs w:val="21"/>
              </w:rPr>
            </w:pPr>
            <w:r w:rsidRPr="00DD24CE">
              <w:rPr>
                <w:rFonts w:ascii="Times New Roman" w:eastAsia="Calibri" w:hAnsi="Times New Roman" w:cs="Times New Roman"/>
                <w:sz w:val="21"/>
                <w:szCs w:val="21"/>
              </w:rPr>
              <w:t>aparat fotograficzny</w:t>
            </w:r>
          </w:p>
        </w:tc>
        <w:tc>
          <w:tcPr>
            <w:tcW w:w="866" w:type="pct"/>
            <w:tcBorders>
              <w:top w:val="single" w:sz="4" w:space="0" w:color="000000"/>
              <w:left w:val="single" w:sz="4" w:space="0" w:color="000000"/>
              <w:bottom w:val="single" w:sz="4" w:space="0" w:color="000000"/>
              <w:right w:val="single" w:sz="4" w:space="0" w:color="000000"/>
            </w:tcBorders>
            <w:hideMark/>
          </w:tcPr>
          <w:p w14:paraId="26ACEEEA"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proofErr w:type="spellStart"/>
            <w:r w:rsidRPr="00DD24CE">
              <w:rPr>
                <w:rFonts w:ascii="Times New Roman" w:eastAsia="Calibri" w:hAnsi="Times New Roman" w:cs="Times New Roman"/>
                <w:sz w:val="21"/>
                <w:szCs w:val="21"/>
              </w:rPr>
              <w:t>fotopułapki</w:t>
            </w:r>
            <w:proofErr w:type="spellEnd"/>
            <w:r w:rsidRPr="00DD24CE">
              <w:rPr>
                <w:rFonts w:ascii="Times New Roman" w:eastAsia="Calibri" w:hAnsi="Times New Roman" w:cs="Times New Roman"/>
                <w:sz w:val="21"/>
                <w:szCs w:val="21"/>
              </w:rPr>
              <w:t xml:space="preserve"> - 2</w:t>
            </w:r>
          </w:p>
        </w:tc>
      </w:tr>
      <w:tr w:rsidR="008F7951" w:rsidRPr="008F7951" w14:paraId="74494E8C" w14:textId="77777777" w:rsidTr="00A64784">
        <w:tc>
          <w:tcPr>
            <w:tcW w:w="928" w:type="pct"/>
            <w:tcBorders>
              <w:top w:val="single" w:sz="4" w:space="0" w:color="000000"/>
              <w:left w:val="single" w:sz="4" w:space="0" w:color="000000"/>
              <w:bottom w:val="single" w:sz="4" w:space="0" w:color="000000"/>
              <w:right w:val="single" w:sz="4" w:space="0" w:color="000000"/>
            </w:tcBorders>
            <w:hideMark/>
          </w:tcPr>
          <w:p w14:paraId="2E75F410" w14:textId="77777777" w:rsidR="008F7951" w:rsidRPr="00DD24CE" w:rsidRDefault="008F7951" w:rsidP="00A64784">
            <w:pPr>
              <w:spacing w:line="300" w:lineRule="atLeast"/>
              <w:contextualSpacing/>
              <w:rPr>
                <w:rFonts w:ascii="Times New Roman" w:eastAsia="Calibri" w:hAnsi="Times New Roman" w:cs="Times New Roman"/>
                <w:sz w:val="21"/>
                <w:szCs w:val="21"/>
              </w:rPr>
            </w:pPr>
            <w:r w:rsidRPr="00DD24CE">
              <w:rPr>
                <w:rFonts w:ascii="Times New Roman" w:eastAsia="Calibri" w:hAnsi="Times New Roman" w:cs="Times New Roman"/>
                <w:sz w:val="21"/>
                <w:szCs w:val="21"/>
              </w:rPr>
              <w:t>Noktowizor</w:t>
            </w:r>
          </w:p>
        </w:tc>
        <w:tc>
          <w:tcPr>
            <w:tcW w:w="795" w:type="pct"/>
            <w:tcBorders>
              <w:top w:val="single" w:sz="4" w:space="0" w:color="000000"/>
              <w:left w:val="single" w:sz="4" w:space="0" w:color="000000"/>
              <w:bottom w:val="single" w:sz="4" w:space="0" w:color="000000"/>
              <w:right w:val="single" w:sz="4" w:space="0" w:color="000000"/>
            </w:tcBorders>
            <w:hideMark/>
          </w:tcPr>
          <w:p w14:paraId="7E20E84B" w14:textId="1C68F7E5"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 xml:space="preserve">tablet </w:t>
            </w:r>
            <w:r w:rsidR="00D12D0D">
              <w:rPr>
                <w:rFonts w:ascii="Times New Roman" w:eastAsia="Calibri" w:hAnsi="Times New Roman" w:cs="Times New Roman"/>
                <w:sz w:val="21"/>
                <w:szCs w:val="21"/>
              </w:rPr>
              <w:t>–</w:t>
            </w:r>
            <w:r w:rsidRPr="00DD24CE">
              <w:rPr>
                <w:rFonts w:ascii="Times New Roman" w:eastAsia="Calibri" w:hAnsi="Times New Roman" w:cs="Times New Roman"/>
                <w:sz w:val="21"/>
                <w:szCs w:val="21"/>
              </w:rPr>
              <w:t xml:space="preserve"> 2</w:t>
            </w:r>
          </w:p>
        </w:tc>
        <w:tc>
          <w:tcPr>
            <w:tcW w:w="742" w:type="pct"/>
            <w:tcBorders>
              <w:top w:val="single" w:sz="4" w:space="0" w:color="000000"/>
              <w:left w:val="single" w:sz="4" w:space="0" w:color="000000"/>
              <w:bottom w:val="single" w:sz="4" w:space="0" w:color="000000"/>
              <w:right w:val="single" w:sz="4" w:space="0" w:color="000000"/>
            </w:tcBorders>
            <w:hideMark/>
          </w:tcPr>
          <w:p w14:paraId="4F7C8752"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rejestrator jazdy</w:t>
            </w:r>
          </w:p>
        </w:tc>
        <w:tc>
          <w:tcPr>
            <w:tcW w:w="872" w:type="pct"/>
            <w:tcBorders>
              <w:top w:val="single" w:sz="4" w:space="0" w:color="000000"/>
              <w:left w:val="single" w:sz="4" w:space="0" w:color="000000"/>
              <w:bottom w:val="single" w:sz="4" w:space="0" w:color="000000"/>
              <w:right w:val="single" w:sz="4" w:space="0" w:color="000000"/>
            </w:tcBorders>
            <w:hideMark/>
          </w:tcPr>
          <w:p w14:paraId="77603B37"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noktowizor - 2</w:t>
            </w:r>
          </w:p>
        </w:tc>
        <w:tc>
          <w:tcPr>
            <w:tcW w:w="798" w:type="pct"/>
            <w:tcBorders>
              <w:top w:val="single" w:sz="4" w:space="0" w:color="000000"/>
              <w:left w:val="single" w:sz="4" w:space="0" w:color="000000"/>
              <w:bottom w:val="single" w:sz="4" w:space="0" w:color="000000"/>
              <w:right w:val="single" w:sz="4" w:space="0" w:color="000000"/>
            </w:tcBorders>
            <w:hideMark/>
          </w:tcPr>
          <w:p w14:paraId="41CC926F" w14:textId="77777777" w:rsidR="008F7951" w:rsidRPr="00DD24CE" w:rsidRDefault="008F7951" w:rsidP="00A64784">
            <w:pPr>
              <w:spacing w:line="300" w:lineRule="atLeast"/>
              <w:contextualSpacing/>
              <w:rPr>
                <w:rFonts w:ascii="Times New Roman" w:eastAsia="Calibri" w:hAnsi="Times New Roman" w:cs="Times New Roman"/>
                <w:sz w:val="21"/>
                <w:szCs w:val="21"/>
              </w:rPr>
            </w:pPr>
            <w:r w:rsidRPr="00DD24CE">
              <w:rPr>
                <w:rFonts w:ascii="Times New Roman" w:eastAsia="Calibri" w:hAnsi="Times New Roman" w:cs="Times New Roman"/>
                <w:sz w:val="21"/>
                <w:szCs w:val="21"/>
              </w:rPr>
              <w:t>kamera</w:t>
            </w:r>
          </w:p>
        </w:tc>
        <w:tc>
          <w:tcPr>
            <w:tcW w:w="866" w:type="pct"/>
            <w:tcBorders>
              <w:top w:val="single" w:sz="4" w:space="0" w:color="000000"/>
              <w:left w:val="single" w:sz="4" w:space="0" w:color="000000"/>
              <w:bottom w:val="single" w:sz="4" w:space="0" w:color="000000"/>
              <w:right w:val="single" w:sz="4" w:space="0" w:color="000000"/>
            </w:tcBorders>
            <w:hideMark/>
          </w:tcPr>
          <w:p w14:paraId="601A8410"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proofErr w:type="spellStart"/>
            <w:r w:rsidRPr="00DD24CE">
              <w:rPr>
                <w:rFonts w:ascii="Times New Roman" w:eastAsia="Calibri" w:hAnsi="Times New Roman" w:cs="Times New Roman"/>
                <w:sz w:val="21"/>
                <w:szCs w:val="21"/>
              </w:rPr>
              <w:t>termowizor</w:t>
            </w:r>
            <w:proofErr w:type="spellEnd"/>
            <w:r w:rsidRPr="00DD24CE">
              <w:rPr>
                <w:rFonts w:ascii="Times New Roman" w:eastAsia="Calibri" w:hAnsi="Times New Roman" w:cs="Times New Roman"/>
                <w:sz w:val="21"/>
                <w:szCs w:val="21"/>
              </w:rPr>
              <w:t xml:space="preserve"> - 1</w:t>
            </w:r>
          </w:p>
        </w:tc>
      </w:tr>
      <w:tr w:rsidR="008F7951" w:rsidRPr="008F7951" w14:paraId="18C3B569" w14:textId="77777777" w:rsidTr="00A64784">
        <w:tc>
          <w:tcPr>
            <w:tcW w:w="928" w:type="pct"/>
            <w:tcBorders>
              <w:top w:val="single" w:sz="4" w:space="0" w:color="000000"/>
              <w:left w:val="single" w:sz="4" w:space="0" w:color="000000"/>
              <w:bottom w:val="single" w:sz="4" w:space="0" w:color="000000"/>
              <w:right w:val="single" w:sz="4" w:space="0" w:color="000000"/>
            </w:tcBorders>
            <w:hideMark/>
          </w:tcPr>
          <w:p w14:paraId="3B5750EA" w14:textId="77777777" w:rsidR="008F7951" w:rsidRPr="00DD24CE" w:rsidRDefault="008F7951" w:rsidP="00A64784">
            <w:pPr>
              <w:spacing w:line="300" w:lineRule="atLeast"/>
              <w:contextualSpacing/>
              <w:rPr>
                <w:rFonts w:ascii="Times New Roman" w:eastAsia="Calibri" w:hAnsi="Times New Roman" w:cs="Times New Roman"/>
                <w:sz w:val="21"/>
                <w:szCs w:val="21"/>
              </w:rPr>
            </w:pPr>
            <w:r w:rsidRPr="00DD24CE">
              <w:rPr>
                <w:rFonts w:ascii="Times New Roman" w:eastAsia="Calibri" w:hAnsi="Times New Roman" w:cs="Times New Roman"/>
                <w:sz w:val="21"/>
                <w:szCs w:val="21"/>
              </w:rPr>
              <w:t xml:space="preserve">ultradźwiękowy </w:t>
            </w:r>
            <w:proofErr w:type="spellStart"/>
            <w:r w:rsidRPr="00DD24CE">
              <w:rPr>
                <w:rFonts w:ascii="Times New Roman" w:eastAsia="Calibri" w:hAnsi="Times New Roman" w:cs="Times New Roman"/>
                <w:sz w:val="21"/>
                <w:szCs w:val="21"/>
              </w:rPr>
              <w:t>odstraszacz</w:t>
            </w:r>
            <w:proofErr w:type="spellEnd"/>
            <w:r w:rsidRPr="00DD24CE">
              <w:rPr>
                <w:rFonts w:ascii="Times New Roman" w:eastAsia="Calibri" w:hAnsi="Times New Roman" w:cs="Times New Roman"/>
                <w:sz w:val="21"/>
                <w:szCs w:val="21"/>
              </w:rPr>
              <w:t xml:space="preserve"> psów.</w:t>
            </w:r>
          </w:p>
        </w:tc>
        <w:tc>
          <w:tcPr>
            <w:tcW w:w="795" w:type="pct"/>
            <w:tcBorders>
              <w:top w:val="single" w:sz="4" w:space="0" w:color="000000"/>
              <w:left w:val="single" w:sz="4" w:space="0" w:color="000000"/>
              <w:bottom w:val="single" w:sz="4" w:space="0" w:color="000000"/>
              <w:right w:val="single" w:sz="4" w:space="0" w:color="000000"/>
            </w:tcBorders>
            <w:hideMark/>
          </w:tcPr>
          <w:p w14:paraId="1FC7E4D2"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dalmierz ręczny,</w:t>
            </w:r>
          </w:p>
        </w:tc>
        <w:tc>
          <w:tcPr>
            <w:tcW w:w="742" w:type="pct"/>
            <w:tcBorders>
              <w:top w:val="single" w:sz="4" w:space="0" w:color="000000"/>
              <w:left w:val="single" w:sz="4" w:space="0" w:color="000000"/>
              <w:bottom w:val="single" w:sz="4" w:space="0" w:color="000000"/>
              <w:right w:val="single" w:sz="4" w:space="0" w:color="000000"/>
            </w:tcBorders>
            <w:hideMark/>
          </w:tcPr>
          <w:p w14:paraId="52A20E86"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Lornetki</w:t>
            </w:r>
          </w:p>
        </w:tc>
        <w:tc>
          <w:tcPr>
            <w:tcW w:w="872" w:type="pct"/>
            <w:tcBorders>
              <w:top w:val="single" w:sz="4" w:space="0" w:color="000000"/>
              <w:left w:val="single" w:sz="4" w:space="0" w:color="000000"/>
              <w:bottom w:val="single" w:sz="4" w:space="0" w:color="000000"/>
              <w:right w:val="single" w:sz="4" w:space="0" w:color="000000"/>
            </w:tcBorders>
            <w:hideMark/>
          </w:tcPr>
          <w:p w14:paraId="2E141A66"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dalmierz - szt. 2</w:t>
            </w:r>
          </w:p>
        </w:tc>
        <w:tc>
          <w:tcPr>
            <w:tcW w:w="798" w:type="pct"/>
            <w:tcBorders>
              <w:top w:val="single" w:sz="4" w:space="0" w:color="000000"/>
              <w:left w:val="single" w:sz="4" w:space="0" w:color="000000"/>
              <w:bottom w:val="single" w:sz="4" w:space="0" w:color="000000"/>
              <w:right w:val="single" w:sz="4" w:space="0" w:color="000000"/>
            </w:tcBorders>
            <w:hideMark/>
          </w:tcPr>
          <w:p w14:paraId="54458E39" w14:textId="77777777" w:rsidR="008F7951" w:rsidRPr="00DD24CE" w:rsidRDefault="008F7951" w:rsidP="00A64784">
            <w:pPr>
              <w:spacing w:line="300" w:lineRule="atLeast"/>
              <w:contextualSpacing/>
              <w:rPr>
                <w:rFonts w:ascii="Times New Roman" w:eastAsia="Calibri" w:hAnsi="Times New Roman" w:cs="Times New Roman"/>
                <w:sz w:val="21"/>
                <w:szCs w:val="21"/>
              </w:rPr>
            </w:pPr>
            <w:r w:rsidRPr="00DD24CE">
              <w:rPr>
                <w:rFonts w:ascii="Times New Roman" w:eastAsia="Calibri" w:hAnsi="Times New Roman" w:cs="Times New Roman"/>
                <w:sz w:val="21"/>
                <w:szCs w:val="21"/>
              </w:rPr>
              <w:t>rejestrator jazdy</w:t>
            </w:r>
          </w:p>
        </w:tc>
        <w:tc>
          <w:tcPr>
            <w:tcW w:w="866" w:type="pct"/>
            <w:tcBorders>
              <w:top w:val="single" w:sz="4" w:space="0" w:color="000000"/>
              <w:left w:val="single" w:sz="4" w:space="0" w:color="000000"/>
              <w:bottom w:val="single" w:sz="4" w:space="0" w:color="000000"/>
              <w:right w:val="single" w:sz="4" w:space="0" w:color="000000"/>
            </w:tcBorders>
            <w:hideMark/>
          </w:tcPr>
          <w:p w14:paraId="0B6E1260"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 xml:space="preserve">rejestrator jazdy -1 </w:t>
            </w:r>
          </w:p>
        </w:tc>
      </w:tr>
      <w:tr w:rsidR="008F7951" w:rsidRPr="008F7951" w14:paraId="3BAFCA0D" w14:textId="77777777" w:rsidTr="00A64784">
        <w:tc>
          <w:tcPr>
            <w:tcW w:w="928" w:type="pct"/>
            <w:tcBorders>
              <w:top w:val="single" w:sz="4" w:space="0" w:color="000000"/>
              <w:left w:val="single" w:sz="4" w:space="0" w:color="000000"/>
              <w:bottom w:val="single" w:sz="4" w:space="0" w:color="000000"/>
              <w:right w:val="single" w:sz="4" w:space="0" w:color="000000"/>
            </w:tcBorders>
          </w:tcPr>
          <w:p w14:paraId="27132A07" w14:textId="77777777" w:rsidR="008F7951" w:rsidRPr="00DD24CE" w:rsidRDefault="008F7951" w:rsidP="00A64784">
            <w:pPr>
              <w:spacing w:line="300" w:lineRule="atLeast"/>
              <w:contextualSpacing/>
              <w:rPr>
                <w:rFonts w:ascii="Times New Roman" w:eastAsia="Calibri" w:hAnsi="Times New Roman" w:cs="Times New Roman"/>
                <w:sz w:val="21"/>
                <w:szCs w:val="21"/>
              </w:rPr>
            </w:pPr>
          </w:p>
        </w:tc>
        <w:tc>
          <w:tcPr>
            <w:tcW w:w="795" w:type="pct"/>
            <w:tcBorders>
              <w:top w:val="single" w:sz="4" w:space="0" w:color="000000"/>
              <w:left w:val="single" w:sz="4" w:space="0" w:color="000000"/>
              <w:bottom w:val="single" w:sz="4" w:space="0" w:color="000000"/>
              <w:right w:val="single" w:sz="4" w:space="0" w:color="000000"/>
            </w:tcBorders>
            <w:hideMark/>
          </w:tcPr>
          <w:p w14:paraId="254020D1"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rejestrator jazdy</w:t>
            </w:r>
          </w:p>
        </w:tc>
        <w:tc>
          <w:tcPr>
            <w:tcW w:w="742" w:type="pct"/>
            <w:tcBorders>
              <w:top w:val="single" w:sz="4" w:space="0" w:color="000000"/>
              <w:left w:val="single" w:sz="4" w:space="0" w:color="000000"/>
              <w:bottom w:val="single" w:sz="4" w:space="0" w:color="000000"/>
              <w:right w:val="single" w:sz="4" w:space="0" w:color="000000"/>
            </w:tcBorders>
            <w:hideMark/>
          </w:tcPr>
          <w:p w14:paraId="2837B656"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proofErr w:type="spellStart"/>
            <w:r w:rsidRPr="00DD24CE">
              <w:rPr>
                <w:rFonts w:ascii="Times New Roman" w:eastAsia="Calibri" w:hAnsi="Times New Roman" w:cs="Times New Roman"/>
                <w:sz w:val="21"/>
                <w:szCs w:val="21"/>
              </w:rPr>
              <w:t>Dazery</w:t>
            </w:r>
            <w:proofErr w:type="spellEnd"/>
          </w:p>
        </w:tc>
        <w:tc>
          <w:tcPr>
            <w:tcW w:w="872" w:type="pct"/>
            <w:tcBorders>
              <w:top w:val="single" w:sz="4" w:space="0" w:color="000000"/>
              <w:left w:val="single" w:sz="4" w:space="0" w:color="000000"/>
              <w:bottom w:val="single" w:sz="4" w:space="0" w:color="000000"/>
              <w:right w:val="single" w:sz="4" w:space="0" w:color="000000"/>
            </w:tcBorders>
            <w:hideMark/>
          </w:tcPr>
          <w:p w14:paraId="7C5AD4DC"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 xml:space="preserve">ultradźwiękowy </w:t>
            </w:r>
            <w:proofErr w:type="spellStart"/>
            <w:r w:rsidRPr="00DD24CE">
              <w:rPr>
                <w:rFonts w:ascii="Times New Roman" w:eastAsia="Calibri" w:hAnsi="Times New Roman" w:cs="Times New Roman"/>
                <w:sz w:val="21"/>
                <w:szCs w:val="21"/>
              </w:rPr>
              <w:t>odstraszacz</w:t>
            </w:r>
            <w:proofErr w:type="spellEnd"/>
            <w:r w:rsidRPr="00DD24CE">
              <w:rPr>
                <w:rFonts w:ascii="Times New Roman" w:eastAsia="Calibri" w:hAnsi="Times New Roman" w:cs="Times New Roman"/>
                <w:sz w:val="21"/>
                <w:szCs w:val="21"/>
              </w:rPr>
              <w:t xml:space="preserve"> psów - szt. 1</w:t>
            </w:r>
          </w:p>
        </w:tc>
        <w:tc>
          <w:tcPr>
            <w:tcW w:w="798" w:type="pct"/>
            <w:tcBorders>
              <w:top w:val="single" w:sz="4" w:space="0" w:color="000000"/>
              <w:left w:val="single" w:sz="4" w:space="0" w:color="000000"/>
              <w:bottom w:val="single" w:sz="4" w:space="0" w:color="000000"/>
              <w:right w:val="single" w:sz="4" w:space="0" w:color="000000"/>
            </w:tcBorders>
            <w:hideMark/>
          </w:tcPr>
          <w:p w14:paraId="43A4F109" w14:textId="77777777" w:rsidR="008F7951" w:rsidRPr="00DD24CE" w:rsidRDefault="008F7951" w:rsidP="00A64784">
            <w:pPr>
              <w:spacing w:line="300" w:lineRule="atLeast"/>
              <w:contextualSpacing/>
              <w:rPr>
                <w:rFonts w:ascii="Times New Roman" w:eastAsia="Calibri" w:hAnsi="Times New Roman" w:cs="Times New Roman"/>
                <w:sz w:val="21"/>
                <w:szCs w:val="21"/>
              </w:rPr>
            </w:pPr>
            <w:r w:rsidRPr="00DD24CE">
              <w:rPr>
                <w:rFonts w:ascii="Times New Roman" w:eastAsia="Calibri" w:hAnsi="Times New Roman" w:cs="Times New Roman"/>
                <w:sz w:val="21"/>
                <w:szCs w:val="21"/>
              </w:rPr>
              <w:t>lornetki</w:t>
            </w:r>
          </w:p>
        </w:tc>
        <w:tc>
          <w:tcPr>
            <w:tcW w:w="866" w:type="pct"/>
            <w:tcBorders>
              <w:top w:val="single" w:sz="4" w:space="0" w:color="000000"/>
              <w:left w:val="single" w:sz="4" w:space="0" w:color="000000"/>
              <w:bottom w:val="single" w:sz="4" w:space="0" w:color="000000"/>
              <w:right w:val="single" w:sz="4" w:space="0" w:color="000000"/>
            </w:tcBorders>
            <w:hideMark/>
          </w:tcPr>
          <w:p w14:paraId="29BFBC84"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dalmierz szt. 2</w:t>
            </w:r>
          </w:p>
        </w:tc>
      </w:tr>
      <w:tr w:rsidR="008F7951" w:rsidRPr="008F7951" w14:paraId="195D2FAF" w14:textId="77777777" w:rsidTr="00A64784">
        <w:tc>
          <w:tcPr>
            <w:tcW w:w="928" w:type="pct"/>
            <w:tcBorders>
              <w:top w:val="single" w:sz="4" w:space="0" w:color="000000"/>
              <w:left w:val="single" w:sz="4" w:space="0" w:color="000000"/>
              <w:bottom w:val="single" w:sz="4" w:space="0" w:color="000000"/>
              <w:right w:val="single" w:sz="4" w:space="0" w:color="000000"/>
            </w:tcBorders>
          </w:tcPr>
          <w:p w14:paraId="61E7341B" w14:textId="77777777" w:rsidR="008F7951" w:rsidRPr="00DD24CE" w:rsidRDefault="008F7951" w:rsidP="00A64784">
            <w:pPr>
              <w:spacing w:line="300" w:lineRule="atLeast"/>
              <w:contextualSpacing/>
              <w:rPr>
                <w:rFonts w:ascii="Times New Roman" w:eastAsia="Calibri" w:hAnsi="Times New Roman" w:cs="Times New Roman"/>
                <w:sz w:val="21"/>
                <w:szCs w:val="21"/>
              </w:rPr>
            </w:pPr>
          </w:p>
        </w:tc>
        <w:tc>
          <w:tcPr>
            <w:tcW w:w="795" w:type="pct"/>
            <w:tcBorders>
              <w:top w:val="single" w:sz="4" w:space="0" w:color="000000"/>
              <w:left w:val="single" w:sz="4" w:space="0" w:color="000000"/>
              <w:bottom w:val="single" w:sz="4" w:space="0" w:color="000000"/>
              <w:right w:val="single" w:sz="4" w:space="0" w:color="000000"/>
            </w:tcBorders>
          </w:tcPr>
          <w:p w14:paraId="7DC6D269"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p>
        </w:tc>
        <w:tc>
          <w:tcPr>
            <w:tcW w:w="742" w:type="pct"/>
            <w:tcBorders>
              <w:top w:val="single" w:sz="4" w:space="0" w:color="000000"/>
              <w:left w:val="single" w:sz="4" w:space="0" w:color="000000"/>
              <w:bottom w:val="single" w:sz="4" w:space="0" w:color="000000"/>
              <w:right w:val="single" w:sz="4" w:space="0" w:color="000000"/>
            </w:tcBorders>
            <w:hideMark/>
          </w:tcPr>
          <w:p w14:paraId="4F8307D8"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Latarki</w:t>
            </w:r>
          </w:p>
        </w:tc>
        <w:tc>
          <w:tcPr>
            <w:tcW w:w="872" w:type="pct"/>
            <w:tcBorders>
              <w:top w:val="single" w:sz="4" w:space="0" w:color="000000"/>
              <w:left w:val="single" w:sz="4" w:space="0" w:color="000000"/>
              <w:bottom w:val="single" w:sz="4" w:space="0" w:color="000000"/>
              <w:right w:val="single" w:sz="4" w:space="0" w:color="000000"/>
            </w:tcBorders>
            <w:hideMark/>
          </w:tcPr>
          <w:p w14:paraId="70D0D37D"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lornetki - szt. 5</w:t>
            </w:r>
          </w:p>
        </w:tc>
        <w:tc>
          <w:tcPr>
            <w:tcW w:w="798" w:type="pct"/>
            <w:tcBorders>
              <w:top w:val="single" w:sz="4" w:space="0" w:color="000000"/>
              <w:left w:val="single" w:sz="4" w:space="0" w:color="000000"/>
              <w:bottom w:val="single" w:sz="4" w:space="0" w:color="000000"/>
              <w:right w:val="single" w:sz="4" w:space="0" w:color="000000"/>
            </w:tcBorders>
            <w:hideMark/>
          </w:tcPr>
          <w:p w14:paraId="164E6371" w14:textId="77777777" w:rsidR="008F7951" w:rsidRPr="00DD24CE" w:rsidRDefault="008F7951" w:rsidP="00A64784">
            <w:pPr>
              <w:spacing w:line="300" w:lineRule="atLeast"/>
              <w:contextualSpacing/>
              <w:rPr>
                <w:rFonts w:ascii="Times New Roman" w:eastAsia="Calibri" w:hAnsi="Times New Roman" w:cs="Times New Roman"/>
                <w:sz w:val="21"/>
                <w:szCs w:val="21"/>
              </w:rPr>
            </w:pPr>
            <w:proofErr w:type="spellStart"/>
            <w:r w:rsidRPr="00DD24CE">
              <w:rPr>
                <w:rFonts w:ascii="Times New Roman" w:eastAsia="Calibri" w:hAnsi="Times New Roman" w:cs="Times New Roman"/>
                <w:sz w:val="21"/>
                <w:szCs w:val="21"/>
              </w:rPr>
              <w:t>dazery</w:t>
            </w:r>
            <w:proofErr w:type="spellEnd"/>
          </w:p>
        </w:tc>
        <w:tc>
          <w:tcPr>
            <w:tcW w:w="866" w:type="pct"/>
            <w:tcBorders>
              <w:top w:val="single" w:sz="4" w:space="0" w:color="000000"/>
              <w:left w:val="single" w:sz="4" w:space="0" w:color="000000"/>
              <w:bottom w:val="single" w:sz="4" w:space="0" w:color="000000"/>
              <w:right w:val="single" w:sz="4" w:space="0" w:color="000000"/>
            </w:tcBorders>
            <w:hideMark/>
          </w:tcPr>
          <w:p w14:paraId="5849916F"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agregat prądotwórczy</w:t>
            </w:r>
          </w:p>
        </w:tc>
      </w:tr>
      <w:tr w:rsidR="008F7951" w:rsidRPr="008F7951" w14:paraId="7F9C4829" w14:textId="77777777" w:rsidTr="00A64784">
        <w:tc>
          <w:tcPr>
            <w:tcW w:w="928" w:type="pct"/>
            <w:tcBorders>
              <w:top w:val="single" w:sz="4" w:space="0" w:color="000000"/>
              <w:left w:val="single" w:sz="4" w:space="0" w:color="000000"/>
              <w:bottom w:val="single" w:sz="4" w:space="0" w:color="000000"/>
              <w:right w:val="single" w:sz="4" w:space="0" w:color="000000"/>
            </w:tcBorders>
          </w:tcPr>
          <w:p w14:paraId="26FB16AE" w14:textId="77777777" w:rsidR="008F7951" w:rsidRPr="00DD24CE" w:rsidRDefault="008F7951" w:rsidP="00A64784">
            <w:pPr>
              <w:spacing w:line="300" w:lineRule="atLeast"/>
              <w:contextualSpacing/>
              <w:rPr>
                <w:rFonts w:ascii="Times New Roman" w:eastAsia="Calibri" w:hAnsi="Times New Roman" w:cs="Times New Roman"/>
                <w:sz w:val="21"/>
                <w:szCs w:val="21"/>
              </w:rPr>
            </w:pPr>
          </w:p>
        </w:tc>
        <w:tc>
          <w:tcPr>
            <w:tcW w:w="795" w:type="pct"/>
            <w:tcBorders>
              <w:top w:val="single" w:sz="4" w:space="0" w:color="000000"/>
              <w:left w:val="single" w:sz="4" w:space="0" w:color="000000"/>
              <w:bottom w:val="single" w:sz="4" w:space="0" w:color="000000"/>
              <w:right w:val="single" w:sz="4" w:space="0" w:color="000000"/>
            </w:tcBorders>
          </w:tcPr>
          <w:p w14:paraId="09A1DD57"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p>
        </w:tc>
        <w:tc>
          <w:tcPr>
            <w:tcW w:w="742" w:type="pct"/>
            <w:tcBorders>
              <w:top w:val="single" w:sz="4" w:space="0" w:color="000000"/>
              <w:left w:val="single" w:sz="4" w:space="0" w:color="000000"/>
              <w:bottom w:val="single" w:sz="4" w:space="0" w:color="000000"/>
              <w:right w:val="single" w:sz="4" w:space="0" w:color="000000"/>
            </w:tcBorders>
            <w:hideMark/>
          </w:tcPr>
          <w:p w14:paraId="21B51B10"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agregat prądotwórczy</w:t>
            </w:r>
          </w:p>
        </w:tc>
        <w:tc>
          <w:tcPr>
            <w:tcW w:w="872" w:type="pct"/>
            <w:tcBorders>
              <w:top w:val="single" w:sz="4" w:space="0" w:color="000000"/>
              <w:left w:val="single" w:sz="4" w:space="0" w:color="000000"/>
              <w:bottom w:val="single" w:sz="4" w:space="0" w:color="000000"/>
              <w:right w:val="single" w:sz="4" w:space="0" w:color="000000"/>
            </w:tcBorders>
          </w:tcPr>
          <w:p w14:paraId="3BDC0117"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p>
        </w:tc>
        <w:tc>
          <w:tcPr>
            <w:tcW w:w="798" w:type="pct"/>
            <w:tcBorders>
              <w:top w:val="single" w:sz="4" w:space="0" w:color="000000"/>
              <w:left w:val="single" w:sz="4" w:space="0" w:color="000000"/>
              <w:bottom w:val="single" w:sz="4" w:space="0" w:color="000000"/>
              <w:right w:val="single" w:sz="4" w:space="0" w:color="000000"/>
            </w:tcBorders>
            <w:hideMark/>
          </w:tcPr>
          <w:p w14:paraId="0222A5C0" w14:textId="77777777" w:rsidR="008F7951" w:rsidRPr="00DD24CE" w:rsidRDefault="008F7951" w:rsidP="00A64784">
            <w:pPr>
              <w:spacing w:line="300" w:lineRule="atLeast"/>
              <w:contextualSpacing/>
              <w:rPr>
                <w:rFonts w:ascii="Times New Roman" w:eastAsia="Calibri" w:hAnsi="Times New Roman" w:cs="Times New Roman"/>
                <w:sz w:val="21"/>
                <w:szCs w:val="21"/>
              </w:rPr>
            </w:pPr>
            <w:r w:rsidRPr="00DD24CE">
              <w:rPr>
                <w:rFonts w:ascii="Times New Roman" w:eastAsia="Calibri" w:hAnsi="Times New Roman" w:cs="Times New Roman"/>
                <w:sz w:val="21"/>
                <w:szCs w:val="21"/>
              </w:rPr>
              <w:t>latarki</w:t>
            </w:r>
          </w:p>
        </w:tc>
        <w:tc>
          <w:tcPr>
            <w:tcW w:w="866" w:type="pct"/>
            <w:tcBorders>
              <w:top w:val="single" w:sz="4" w:space="0" w:color="000000"/>
              <w:left w:val="single" w:sz="4" w:space="0" w:color="000000"/>
              <w:bottom w:val="single" w:sz="4" w:space="0" w:color="000000"/>
              <w:right w:val="single" w:sz="4" w:space="0" w:color="000000"/>
            </w:tcBorders>
            <w:hideMark/>
          </w:tcPr>
          <w:p w14:paraId="063D7ACA"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 xml:space="preserve">Lornetki – 6 </w:t>
            </w:r>
          </w:p>
        </w:tc>
      </w:tr>
      <w:tr w:rsidR="008F7951" w:rsidRPr="008F7951" w14:paraId="4067A583" w14:textId="77777777" w:rsidTr="00A64784">
        <w:tc>
          <w:tcPr>
            <w:tcW w:w="928" w:type="pct"/>
            <w:tcBorders>
              <w:top w:val="single" w:sz="4" w:space="0" w:color="000000"/>
              <w:left w:val="single" w:sz="4" w:space="0" w:color="000000"/>
              <w:bottom w:val="single" w:sz="4" w:space="0" w:color="000000"/>
              <w:right w:val="single" w:sz="4" w:space="0" w:color="000000"/>
            </w:tcBorders>
          </w:tcPr>
          <w:p w14:paraId="2989473F" w14:textId="77777777" w:rsidR="008F7951" w:rsidRPr="00DD24CE" w:rsidRDefault="008F7951" w:rsidP="00A64784">
            <w:pPr>
              <w:spacing w:line="300" w:lineRule="atLeast"/>
              <w:contextualSpacing/>
              <w:rPr>
                <w:rFonts w:ascii="Times New Roman" w:eastAsia="Calibri" w:hAnsi="Times New Roman" w:cs="Times New Roman"/>
                <w:sz w:val="21"/>
                <w:szCs w:val="21"/>
              </w:rPr>
            </w:pPr>
          </w:p>
        </w:tc>
        <w:tc>
          <w:tcPr>
            <w:tcW w:w="795" w:type="pct"/>
            <w:tcBorders>
              <w:top w:val="single" w:sz="4" w:space="0" w:color="000000"/>
              <w:left w:val="single" w:sz="4" w:space="0" w:color="000000"/>
              <w:bottom w:val="single" w:sz="4" w:space="0" w:color="000000"/>
              <w:right w:val="single" w:sz="4" w:space="0" w:color="000000"/>
            </w:tcBorders>
          </w:tcPr>
          <w:p w14:paraId="127EF7E8"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p>
        </w:tc>
        <w:tc>
          <w:tcPr>
            <w:tcW w:w="742" w:type="pct"/>
            <w:tcBorders>
              <w:top w:val="single" w:sz="4" w:space="0" w:color="000000"/>
              <w:left w:val="single" w:sz="4" w:space="0" w:color="000000"/>
              <w:bottom w:val="single" w:sz="4" w:space="0" w:color="000000"/>
              <w:right w:val="single" w:sz="4" w:space="0" w:color="000000"/>
            </w:tcBorders>
            <w:hideMark/>
          </w:tcPr>
          <w:p w14:paraId="2BF945B7"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inne (karty pamięci, ładowarki, itp.)</w:t>
            </w:r>
          </w:p>
        </w:tc>
        <w:tc>
          <w:tcPr>
            <w:tcW w:w="872" w:type="pct"/>
            <w:tcBorders>
              <w:top w:val="single" w:sz="4" w:space="0" w:color="000000"/>
              <w:left w:val="single" w:sz="4" w:space="0" w:color="000000"/>
              <w:bottom w:val="single" w:sz="4" w:space="0" w:color="000000"/>
              <w:right w:val="single" w:sz="4" w:space="0" w:color="000000"/>
            </w:tcBorders>
          </w:tcPr>
          <w:p w14:paraId="14F44D6F"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p>
        </w:tc>
        <w:tc>
          <w:tcPr>
            <w:tcW w:w="798" w:type="pct"/>
            <w:tcBorders>
              <w:top w:val="single" w:sz="4" w:space="0" w:color="000000"/>
              <w:left w:val="single" w:sz="4" w:space="0" w:color="000000"/>
              <w:bottom w:val="single" w:sz="4" w:space="0" w:color="000000"/>
              <w:right w:val="single" w:sz="4" w:space="0" w:color="000000"/>
            </w:tcBorders>
            <w:hideMark/>
          </w:tcPr>
          <w:p w14:paraId="7B4B4787" w14:textId="77777777" w:rsidR="008F7951" w:rsidRPr="00DD24CE" w:rsidRDefault="008F7951" w:rsidP="00A64784">
            <w:pPr>
              <w:spacing w:line="300" w:lineRule="atLeast"/>
              <w:contextualSpacing/>
              <w:rPr>
                <w:rFonts w:ascii="Times New Roman" w:eastAsia="Calibri" w:hAnsi="Times New Roman" w:cs="Times New Roman"/>
                <w:sz w:val="21"/>
                <w:szCs w:val="21"/>
              </w:rPr>
            </w:pPr>
            <w:r w:rsidRPr="00DD24CE">
              <w:rPr>
                <w:rFonts w:ascii="Times New Roman" w:eastAsia="Calibri" w:hAnsi="Times New Roman" w:cs="Times New Roman"/>
                <w:sz w:val="21"/>
                <w:szCs w:val="21"/>
              </w:rPr>
              <w:t>agregat prądotwórczy</w:t>
            </w:r>
          </w:p>
        </w:tc>
        <w:tc>
          <w:tcPr>
            <w:tcW w:w="866" w:type="pct"/>
            <w:tcBorders>
              <w:top w:val="single" w:sz="4" w:space="0" w:color="000000"/>
              <w:left w:val="single" w:sz="4" w:space="0" w:color="000000"/>
              <w:bottom w:val="single" w:sz="4" w:space="0" w:color="000000"/>
              <w:right w:val="single" w:sz="4" w:space="0" w:color="000000"/>
            </w:tcBorders>
            <w:hideMark/>
          </w:tcPr>
          <w:p w14:paraId="12040CB1"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 xml:space="preserve">Ultradźwiękowy </w:t>
            </w:r>
            <w:proofErr w:type="spellStart"/>
            <w:r w:rsidRPr="00DD24CE">
              <w:rPr>
                <w:rFonts w:ascii="Times New Roman" w:eastAsia="Calibri" w:hAnsi="Times New Roman" w:cs="Times New Roman"/>
                <w:sz w:val="21"/>
                <w:szCs w:val="21"/>
              </w:rPr>
              <w:t>odstraszacz</w:t>
            </w:r>
            <w:proofErr w:type="spellEnd"/>
            <w:r w:rsidRPr="00DD24CE">
              <w:rPr>
                <w:rFonts w:ascii="Times New Roman" w:eastAsia="Calibri" w:hAnsi="Times New Roman" w:cs="Times New Roman"/>
                <w:sz w:val="21"/>
                <w:szCs w:val="21"/>
              </w:rPr>
              <w:t xml:space="preserve"> psów</w:t>
            </w:r>
          </w:p>
        </w:tc>
      </w:tr>
      <w:tr w:rsidR="008F7951" w:rsidRPr="008F7951" w14:paraId="7755962C" w14:textId="77777777" w:rsidTr="00A64784">
        <w:tc>
          <w:tcPr>
            <w:tcW w:w="928" w:type="pct"/>
            <w:tcBorders>
              <w:top w:val="single" w:sz="4" w:space="0" w:color="000000"/>
              <w:left w:val="single" w:sz="4" w:space="0" w:color="000000"/>
              <w:bottom w:val="single" w:sz="4" w:space="0" w:color="000000"/>
              <w:right w:val="single" w:sz="4" w:space="0" w:color="000000"/>
            </w:tcBorders>
          </w:tcPr>
          <w:p w14:paraId="634569CE" w14:textId="77777777" w:rsidR="008F7951" w:rsidRPr="00DD24CE" w:rsidRDefault="008F7951" w:rsidP="00A64784">
            <w:pPr>
              <w:spacing w:line="300" w:lineRule="atLeast"/>
              <w:contextualSpacing/>
              <w:rPr>
                <w:rFonts w:ascii="Times New Roman" w:eastAsia="Calibri" w:hAnsi="Times New Roman" w:cs="Times New Roman"/>
                <w:sz w:val="21"/>
                <w:szCs w:val="21"/>
              </w:rPr>
            </w:pPr>
          </w:p>
        </w:tc>
        <w:tc>
          <w:tcPr>
            <w:tcW w:w="795" w:type="pct"/>
            <w:tcBorders>
              <w:top w:val="single" w:sz="4" w:space="0" w:color="000000"/>
              <w:left w:val="single" w:sz="4" w:space="0" w:color="000000"/>
              <w:bottom w:val="single" w:sz="4" w:space="0" w:color="000000"/>
              <w:right w:val="single" w:sz="4" w:space="0" w:color="000000"/>
            </w:tcBorders>
          </w:tcPr>
          <w:p w14:paraId="78F8EE28"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p>
        </w:tc>
        <w:tc>
          <w:tcPr>
            <w:tcW w:w="742" w:type="pct"/>
            <w:tcBorders>
              <w:top w:val="single" w:sz="4" w:space="0" w:color="000000"/>
              <w:left w:val="single" w:sz="4" w:space="0" w:color="000000"/>
              <w:bottom w:val="single" w:sz="4" w:space="0" w:color="000000"/>
              <w:right w:val="single" w:sz="4" w:space="0" w:color="000000"/>
            </w:tcBorders>
            <w:hideMark/>
          </w:tcPr>
          <w:p w14:paraId="00D56B12" w14:textId="77777777" w:rsidR="008F7951" w:rsidRPr="00DD24CE" w:rsidRDefault="008F7951" w:rsidP="00A64784">
            <w:pPr>
              <w:spacing w:line="300" w:lineRule="atLeast"/>
              <w:contextualSpacing/>
              <w:rPr>
                <w:rFonts w:ascii="Times New Roman" w:eastAsia="Calibri" w:hAnsi="Times New Roman" w:cs="Times New Roman"/>
                <w:sz w:val="21"/>
                <w:szCs w:val="21"/>
              </w:rPr>
            </w:pPr>
            <w:r w:rsidRPr="00DD24CE">
              <w:rPr>
                <w:rFonts w:ascii="Times New Roman" w:eastAsia="Calibri" w:hAnsi="Times New Roman" w:cs="Times New Roman"/>
                <w:sz w:val="21"/>
                <w:szCs w:val="21"/>
              </w:rPr>
              <w:t>oświetlenie Led na statywie</w:t>
            </w:r>
          </w:p>
        </w:tc>
        <w:tc>
          <w:tcPr>
            <w:tcW w:w="872" w:type="pct"/>
            <w:tcBorders>
              <w:top w:val="single" w:sz="4" w:space="0" w:color="000000"/>
              <w:left w:val="single" w:sz="4" w:space="0" w:color="000000"/>
              <w:bottom w:val="single" w:sz="4" w:space="0" w:color="000000"/>
              <w:right w:val="single" w:sz="4" w:space="0" w:color="000000"/>
            </w:tcBorders>
          </w:tcPr>
          <w:p w14:paraId="167952CE"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p>
        </w:tc>
        <w:tc>
          <w:tcPr>
            <w:tcW w:w="798" w:type="pct"/>
            <w:tcBorders>
              <w:top w:val="single" w:sz="4" w:space="0" w:color="000000"/>
              <w:left w:val="single" w:sz="4" w:space="0" w:color="000000"/>
              <w:bottom w:val="single" w:sz="4" w:space="0" w:color="000000"/>
              <w:right w:val="single" w:sz="4" w:space="0" w:color="000000"/>
            </w:tcBorders>
            <w:hideMark/>
          </w:tcPr>
          <w:p w14:paraId="476A6454" w14:textId="77777777" w:rsidR="008F7951" w:rsidRPr="00DD24CE" w:rsidRDefault="008F7951" w:rsidP="00A64784">
            <w:pPr>
              <w:spacing w:line="300" w:lineRule="atLeast"/>
              <w:contextualSpacing/>
              <w:rPr>
                <w:rFonts w:ascii="Times New Roman" w:eastAsia="Calibri" w:hAnsi="Times New Roman" w:cs="Times New Roman"/>
                <w:sz w:val="21"/>
                <w:szCs w:val="21"/>
              </w:rPr>
            </w:pPr>
            <w:r w:rsidRPr="00DD24CE">
              <w:rPr>
                <w:rFonts w:ascii="Times New Roman" w:eastAsia="Calibri" w:hAnsi="Times New Roman" w:cs="Times New Roman"/>
                <w:sz w:val="21"/>
                <w:szCs w:val="21"/>
              </w:rPr>
              <w:t>inne (karty pamięci, ładowarki, itp.)</w:t>
            </w:r>
          </w:p>
        </w:tc>
        <w:tc>
          <w:tcPr>
            <w:tcW w:w="866" w:type="pct"/>
            <w:tcBorders>
              <w:top w:val="single" w:sz="4" w:space="0" w:color="000000"/>
              <w:left w:val="single" w:sz="4" w:space="0" w:color="000000"/>
              <w:bottom w:val="single" w:sz="4" w:space="0" w:color="000000"/>
              <w:right w:val="single" w:sz="4" w:space="0" w:color="000000"/>
            </w:tcBorders>
            <w:hideMark/>
          </w:tcPr>
          <w:p w14:paraId="5797D866"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 xml:space="preserve">oświetlenie </w:t>
            </w:r>
            <w:proofErr w:type="spellStart"/>
            <w:r w:rsidRPr="00DD24CE">
              <w:rPr>
                <w:rFonts w:ascii="Times New Roman" w:eastAsia="Calibri" w:hAnsi="Times New Roman" w:cs="Times New Roman"/>
                <w:sz w:val="21"/>
                <w:szCs w:val="21"/>
              </w:rPr>
              <w:t>led</w:t>
            </w:r>
            <w:proofErr w:type="spellEnd"/>
            <w:r w:rsidRPr="00DD24CE">
              <w:rPr>
                <w:rFonts w:ascii="Times New Roman" w:eastAsia="Calibri" w:hAnsi="Times New Roman" w:cs="Times New Roman"/>
                <w:sz w:val="21"/>
                <w:szCs w:val="21"/>
              </w:rPr>
              <w:t xml:space="preserve"> na statywie</w:t>
            </w:r>
          </w:p>
        </w:tc>
      </w:tr>
      <w:tr w:rsidR="008F7951" w:rsidRPr="008F7951" w14:paraId="7DCD41F0" w14:textId="77777777" w:rsidTr="00A64784">
        <w:tc>
          <w:tcPr>
            <w:tcW w:w="928" w:type="pct"/>
            <w:tcBorders>
              <w:top w:val="single" w:sz="4" w:space="0" w:color="000000"/>
              <w:left w:val="single" w:sz="4" w:space="0" w:color="000000"/>
              <w:bottom w:val="single" w:sz="4" w:space="0" w:color="000000"/>
              <w:right w:val="single" w:sz="4" w:space="0" w:color="000000"/>
            </w:tcBorders>
          </w:tcPr>
          <w:p w14:paraId="296EFD03" w14:textId="77777777" w:rsidR="008F7951" w:rsidRPr="00DD24CE" w:rsidRDefault="008F7951" w:rsidP="00A64784">
            <w:pPr>
              <w:spacing w:line="300" w:lineRule="atLeast"/>
              <w:contextualSpacing/>
              <w:rPr>
                <w:rFonts w:ascii="Times New Roman" w:eastAsia="Calibri" w:hAnsi="Times New Roman" w:cs="Times New Roman"/>
                <w:sz w:val="21"/>
                <w:szCs w:val="21"/>
              </w:rPr>
            </w:pPr>
          </w:p>
        </w:tc>
        <w:tc>
          <w:tcPr>
            <w:tcW w:w="795" w:type="pct"/>
            <w:tcBorders>
              <w:top w:val="single" w:sz="4" w:space="0" w:color="000000"/>
              <w:left w:val="single" w:sz="4" w:space="0" w:color="000000"/>
              <w:bottom w:val="single" w:sz="4" w:space="0" w:color="000000"/>
              <w:right w:val="single" w:sz="4" w:space="0" w:color="000000"/>
            </w:tcBorders>
          </w:tcPr>
          <w:p w14:paraId="21ED2CA4"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p>
        </w:tc>
        <w:tc>
          <w:tcPr>
            <w:tcW w:w="742" w:type="pct"/>
            <w:tcBorders>
              <w:top w:val="single" w:sz="4" w:space="0" w:color="000000"/>
              <w:left w:val="single" w:sz="4" w:space="0" w:color="000000"/>
              <w:bottom w:val="single" w:sz="4" w:space="0" w:color="000000"/>
              <w:right w:val="single" w:sz="4" w:space="0" w:color="000000"/>
            </w:tcBorders>
            <w:hideMark/>
          </w:tcPr>
          <w:p w14:paraId="22D64D2C"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Dalmierz laserowy</w:t>
            </w:r>
          </w:p>
        </w:tc>
        <w:tc>
          <w:tcPr>
            <w:tcW w:w="872" w:type="pct"/>
            <w:tcBorders>
              <w:top w:val="single" w:sz="4" w:space="0" w:color="000000"/>
              <w:left w:val="single" w:sz="4" w:space="0" w:color="000000"/>
              <w:bottom w:val="single" w:sz="4" w:space="0" w:color="000000"/>
              <w:right w:val="single" w:sz="4" w:space="0" w:color="000000"/>
            </w:tcBorders>
          </w:tcPr>
          <w:p w14:paraId="125B504D"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p>
        </w:tc>
        <w:tc>
          <w:tcPr>
            <w:tcW w:w="798" w:type="pct"/>
            <w:tcBorders>
              <w:top w:val="single" w:sz="4" w:space="0" w:color="000000"/>
              <w:left w:val="single" w:sz="4" w:space="0" w:color="000000"/>
              <w:bottom w:val="single" w:sz="4" w:space="0" w:color="000000"/>
              <w:right w:val="single" w:sz="4" w:space="0" w:color="000000"/>
            </w:tcBorders>
            <w:hideMark/>
          </w:tcPr>
          <w:p w14:paraId="5424601B" w14:textId="77777777" w:rsidR="008F7951" w:rsidRPr="00DD24CE" w:rsidRDefault="008F7951" w:rsidP="00A64784">
            <w:pPr>
              <w:spacing w:line="300" w:lineRule="atLeast"/>
              <w:contextualSpacing/>
              <w:rPr>
                <w:rFonts w:ascii="Times New Roman" w:eastAsia="Calibri" w:hAnsi="Times New Roman" w:cs="Times New Roman"/>
                <w:sz w:val="21"/>
                <w:szCs w:val="21"/>
              </w:rPr>
            </w:pPr>
            <w:r w:rsidRPr="00DD24CE">
              <w:rPr>
                <w:rFonts w:ascii="Times New Roman" w:eastAsia="Calibri" w:hAnsi="Times New Roman" w:cs="Times New Roman"/>
                <w:sz w:val="21"/>
                <w:szCs w:val="21"/>
              </w:rPr>
              <w:t>zestaw łączności</w:t>
            </w:r>
          </w:p>
        </w:tc>
        <w:tc>
          <w:tcPr>
            <w:tcW w:w="866" w:type="pct"/>
            <w:tcBorders>
              <w:top w:val="single" w:sz="4" w:space="0" w:color="000000"/>
              <w:left w:val="single" w:sz="4" w:space="0" w:color="000000"/>
              <w:bottom w:val="single" w:sz="4" w:space="0" w:color="000000"/>
              <w:right w:val="single" w:sz="4" w:space="0" w:color="000000"/>
            </w:tcBorders>
            <w:hideMark/>
          </w:tcPr>
          <w:p w14:paraId="1287C640" w14:textId="77777777" w:rsidR="008F7951" w:rsidRPr="00DD24CE" w:rsidRDefault="008F7951" w:rsidP="00A64784">
            <w:pPr>
              <w:spacing w:line="300" w:lineRule="atLeast"/>
              <w:contextualSpacing/>
              <w:jc w:val="both"/>
              <w:rPr>
                <w:rFonts w:ascii="Times New Roman" w:eastAsia="Calibri" w:hAnsi="Times New Roman" w:cs="Times New Roman"/>
                <w:sz w:val="21"/>
                <w:szCs w:val="21"/>
              </w:rPr>
            </w:pPr>
            <w:r w:rsidRPr="00DD24CE">
              <w:rPr>
                <w:rFonts w:ascii="Times New Roman" w:eastAsia="Calibri" w:hAnsi="Times New Roman" w:cs="Times New Roman"/>
                <w:sz w:val="21"/>
                <w:szCs w:val="21"/>
              </w:rPr>
              <w:t xml:space="preserve">urządzenie krótkofalarskie - 1 </w:t>
            </w:r>
            <w:proofErr w:type="spellStart"/>
            <w:r w:rsidRPr="00DD24CE">
              <w:rPr>
                <w:rFonts w:ascii="Times New Roman" w:eastAsia="Calibri" w:hAnsi="Times New Roman" w:cs="Times New Roman"/>
                <w:sz w:val="21"/>
                <w:szCs w:val="21"/>
              </w:rPr>
              <w:t>kpl</w:t>
            </w:r>
            <w:proofErr w:type="spellEnd"/>
            <w:r w:rsidRPr="00DD24CE">
              <w:rPr>
                <w:rFonts w:ascii="Times New Roman" w:eastAsia="Calibri" w:hAnsi="Times New Roman" w:cs="Times New Roman"/>
                <w:sz w:val="21"/>
                <w:szCs w:val="21"/>
              </w:rPr>
              <w:t>.</w:t>
            </w:r>
          </w:p>
        </w:tc>
      </w:tr>
    </w:tbl>
    <w:p w14:paraId="46679956" w14:textId="77777777" w:rsidR="008F7951" w:rsidRPr="008F7951" w:rsidRDefault="008F7951" w:rsidP="008F7951">
      <w:pPr>
        <w:spacing w:line="300" w:lineRule="atLeast"/>
        <w:contextualSpacing/>
        <w:rPr>
          <w:rFonts w:ascii="Times New Roman" w:hAnsi="Times New Roman" w:cs="Times New Roman"/>
          <w:sz w:val="24"/>
          <w:szCs w:val="24"/>
        </w:rPr>
      </w:pPr>
    </w:p>
    <w:p w14:paraId="0F72498B" w14:textId="25C23F2C" w:rsidR="008F7951" w:rsidRPr="008F7951" w:rsidRDefault="008F7951" w:rsidP="00CA09A8">
      <w:pPr>
        <w:spacing w:line="300" w:lineRule="atLeast"/>
        <w:ind w:firstLine="708"/>
        <w:contextualSpacing/>
        <w:jc w:val="both"/>
        <w:rPr>
          <w:rFonts w:ascii="Times New Roman" w:hAnsi="Times New Roman" w:cs="Times New Roman"/>
          <w:sz w:val="24"/>
          <w:szCs w:val="24"/>
        </w:rPr>
      </w:pPr>
      <w:r w:rsidRPr="008F7951">
        <w:rPr>
          <w:rFonts w:ascii="Times New Roman" w:hAnsi="Times New Roman" w:cs="Times New Roman"/>
          <w:sz w:val="24"/>
          <w:szCs w:val="24"/>
        </w:rPr>
        <w:t xml:space="preserve">Wg stanu na dzień 31 grudnia 2022 r., WIOŚ w Warszawie dysponował </w:t>
      </w:r>
      <w:r w:rsidR="00CA09A8">
        <w:rPr>
          <w:rFonts w:ascii="Times New Roman" w:hAnsi="Times New Roman" w:cs="Times New Roman"/>
          <w:sz w:val="24"/>
          <w:szCs w:val="24"/>
        </w:rPr>
        <w:br/>
      </w:r>
      <w:r w:rsidRPr="008F7951">
        <w:rPr>
          <w:rFonts w:ascii="Times New Roman" w:hAnsi="Times New Roman" w:cs="Times New Roman"/>
          <w:sz w:val="24"/>
          <w:szCs w:val="24"/>
        </w:rPr>
        <w:t xml:space="preserve">3 bezzałogowymi statkami powietrznymi, w tym 1 dron był wykorzystywany przez cały rok, </w:t>
      </w:r>
      <w:r w:rsidR="00CA09A8">
        <w:rPr>
          <w:rFonts w:ascii="Times New Roman" w:hAnsi="Times New Roman" w:cs="Times New Roman"/>
          <w:sz w:val="24"/>
          <w:szCs w:val="24"/>
        </w:rPr>
        <w:br/>
      </w:r>
      <w:r w:rsidRPr="008F7951">
        <w:rPr>
          <w:rFonts w:ascii="Times New Roman" w:hAnsi="Times New Roman" w:cs="Times New Roman"/>
          <w:sz w:val="24"/>
          <w:szCs w:val="24"/>
        </w:rPr>
        <w:t xml:space="preserve">a dwa nowe drony zostały zakupione w grudniu 2022 r. Uprawnienia operatora do obsługi ww. urządzeń  posiada 4 pracowników, w tym 2 z Grupy interwencyjno-wyjazdowej.  </w:t>
      </w:r>
    </w:p>
    <w:p w14:paraId="2E7C100C" w14:textId="77777777" w:rsidR="008F7951" w:rsidRPr="008F7951" w:rsidRDefault="008F7951" w:rsidP="008F7951">
      <w:pPr>
        <w:spacing w:line="300" w:lineRule="atLeast"/>
        <w:contextualSpacing/>
        <w:jc w:val="both"/>
        <w:rPr>
          <w:rFonts w:ascii="Times New Roman" w:hAnsi="Times New Roman" w:cs="Times New Roman"/>
          <w:sz w:val="24"/>
          <w:szCs w:val="24"/>
        </w:rPr>
      </w:pPr>
    </w:p>
    <w:p w14:paraId="688058D3" w14:textId="77777777" w:rsidR="008F7951" w:rsidRPr="008F7951" w:rsidRDefault="008F7951" w:rsidP="00906FFF">
      <w:pPr>
        <w:spacing w:after="60" w:line="300" w:lineRule="atLeast"/>
        <w:jc w:val="both"/>
        <w:rPr>
          <w:rFonts w:ascii="Times New Roman" w:hAnsi="Times New Roman" w:cs="Times New Roman"/>
          <w:i/>
          <w:iCs/>
          <w:color w:val="4472C4"/>
          <w:sz w:val="24"/>
          <w:szCs w:val="24"/>
        </w:rPr>
      </w:pPr>
      <w:r w:rsidRPr="008F7951">
        <w:rPr>
          <w:rFonts w:ascii="Times New Roman" w:hAnsi="Times New Roman" w:cs="Times New Roman"/>
          <w:i/>
          <w:iCs/>
          <w:color w:val="4472C4"/>
          <w:sz w:val="24"/>
          <w:szCs w:val="24"/>
        </w:rPr>
        <w:t>Wojewódzki Inspektorat Ochrony Środowiska we Wrocławiu</w:t>
      </w:r>
    </w:p>
    <w:p w14:paraId="1EDC86E6" w14:textId="77777777" w:rsidR="008F7951" w:rsidRPr="008F7951" w:rsidRDefault="008F7951" w:rsidP="00CA09A8">
      <w:pPr>
        <w:spacing w:line="300" w:lineRule="atLeast"/>
        <w:ind w:firstLine="708"/>
        <w:contextualSpacing/>
        <w:jc w:val="both"/>
        <w:rPr>
          <w:rFonts w:ascii="Times New Roman" w:hAnsi="Times New Roman" w:cs="Times New Roman"/>
          <w:sz w:val="24"/>
          <w:szCs w:val="24"/>
        </w:rPr>
      </w:pPr>
      <w:r w:rsidRPr="008F7951">
        <w:rPr>
          <w:rFonts w:ascii="Times New Roman" w:hAnsi="Times New Roman" w:cs="Times New Roman"/>
          <w:sz w:val="24"/>
          <w:szCs w:val="24"/>
        </w:rPr>
        <w:t xml:space="preserve">Inspektorzy WIOŚ we Wrocławiu  są wyposażeni w sprzęt wspomagający realizację zadań. Na stanie znajdują się specjalistyczne urządzenia techniczne, w tym m.in. bezzałogowe statki powietrzny, tzw. drony, w tym z kamerą termowizyjną, aparaty fotograficzne, lornetki, noktowizor, </w:t>
      </w:r>
      <w:proofErr w:type="spellStart"/>
      <w:r w:rsidRPr="008F7951">
        <w:rPr>
          <w:rFonts w:ascii="Times New Roman" w:hAnsi="Times New Roman" w:cs="Times New Roman"/>
          <w:sz w:val="24"/>
          <w:szCs w:val="24"/>
        </w:rPr>
        <w:t>fotopułapki</w:t>
      </w:r>
      <w:proofErr w:type="spellEnd"/>
      <w:r w:rsidRPr="008F7951">
        <w:rPr>
          <w:rFonts w:ascii="Times New Roman" w:hAnsi="Times New Roman" w:cs="Times New Roman"/>
          <w:sz w:val="24"/>
          <w:szCs w:val="24"/>
        </w:rPr>
        <w:t xml:space="preserve">, ręczna nawigacja GPS, dalmierze laserowe, drogomierze, kamera endoskopowa, urządzenie do zadymiania, samochody terenowe, </w:t>
      </w:r>
      <w:proofErr w:type="spellStart"/>
      <w:r w:rsidRPr="008F7951">
        <w:rPr>
          <w:rFonts w:ascii="Times New Roman" w:hAnsi="Times New Roman" w:cs="Times New Roman"/>
          <w:sz w:val="24"/>
          <w:szCs w:val="24"/>
        </w:rPr>
        <w:t>georadar</w:t>
      </w:r>
      <w:proofErr w:type="spellEnd"/>
      <w:r w:rsidRPr="008F7951">
        <w:rPr>
          <w:rFonts w:ascii="Times New Roman" w:hAnsi="Times New Roman" w:cs="Times New Roman"/>
          <w:sz w:val="24"/>
          <w:szCs w:val="24"/>
        </w:rPr>
        <w:t xml:space="preserve"> oraz odzież robocza, zapewniająca bezpieczną realizację zadań. W związku z utworzeniem nowego wydziału część sprzętu przeszło na jego wyposażenie m.in. kamera termowizyjna, lornetki, noktowizor, </w:t>
      </w:r>
      <w:proofErr w:type="spellStart"/>
      <w:r w:rsidRPr="008F7951">
        <w:rPr>
          <w:rFonts w:ascii="Times New Roman" w:hAnsi="Times New Roman" w:cs="Times New Roman"/>
          <w:sz w:val="24"/>
          <w:szCs w:val="24"/>
        </w:rPr>
        <w:t>fotopułapki</w:t>
      </w:r>
      <w:proofErr w:type="spellEnd"/>
      <w:r w:rsidRPr="008F7951">
        <w:rPr>
          <w:rFonts w:ascii="Times New Roman" w:hAnsi="Times New Roman" w:cs="Times New Roman"/>
          <w:sz w:val="24"/>
          <w:szCs w:val="24"/>
        </w:rPr>
        <w:t>, kamera endoskopowa, drony.</w:t>
      </w:r>
    </w:p>
    <w:p w14:paraId="0D2FDCC8" w14:textId="77777777" w:rsidR="008F7951" w:rsidRPr="008F7951" w:rsidRDefault="008F7951" w:rsidP="008F7951">
      <w:pPr>
        <w:spacing w:line="300" w:lineRule="atLeast"/>
        <w:contextualSpacing/>
        <w:jc w:val="both"/>
        <w:rPr>
          <w:rFonts w:ascii="Times New Roman" w:hAnsi="Times New Roman" w:cs="Times New Roman"/>
          <w:sz w:val="24"/>
          <w:szCs w:val="24"/>
        </w:rPr>
      </w:pPr>
    </w:p>
    <w:p w14:paraId="0035931E" w14:textId="77777777" w:rsidR="008F7951" w:rsidRPr="008F7951" w:rsidRDefault="008F7951" w:rsidP="00906FFF">
      <w:pPr>
        <w:spacing w:after="60" w:line="300" w:lineRule="atLeast"/>
        <w:jc w:val="both"/>
        <w:rPr>
          <w:rFonts w:ascii="Times New Roman" w:hAnsi="Times New Roman" w:cs="Times New Roman"/>
          <w:i/>
          <w:iCs/>
          <w:color w:val="4472C4"/>
          <w:sz w:val="24"/>
          <w:szCs w:val="24"/>
        </w:rPr>
      </w:pPr>
      <w:r w:rsidRPr="008F7951">
        <w:rPr>
          <w:rFonts w:ascii="Times New Roman" w:hAnsi="Times New Roman" w:cs="Times New Roman"/>
          <w:i/>
          <w:iCs/>
          <w:color w:val="4472C4"/>
          <w:sz w:val="24"/>
          <w:szCs w:val="24"/>
        </w:rPr>
        <w:t>Wojewódzki Inspektorat Ochrony Środowiska w Zielonej Górze</w:t>
      </w:r>
    </w:p>
    <w:p w14:paraId="7293329F" w14:textId="5E31F034" w:rsidR="00A22034" w:rsidRPr="00906FFF" w:rsidRDefault="008F7951" w:rsidP="00906FFF">
      <w:pPr>
        <w:spacing w:line="300" w:lineRule="atLeast"/>
        <w:rPr>
          <w:rFonts w:ascii="Times New Roman" w:hAnsi="Times New Roman" w:cs="Times New Roman"/>
          <w:sz w:val="24"/>
          <w:szCs w:val="24"/>
        </w:rPr>
      </w:pPr>
      <w:r w:rsidRPr="00906FFF">
        <w:rPr>
          <w:rFonts w:ascii="Times New Roman" w:hAnsi="Times New Roman" w:cs="Times New Roman"/>
          <w:sz w:val="24"/>
          <w:szCs w:val="24"/>
        </w:rPr>
        <w:lastRenderedPageBreak/>
        <w:t xml:space="preserve">Posiadane środki techniczne: BSP, </w:t>
      </w:r>
      <w:proofErr w:type="spellStart"/>
      <w:r w:rsidRPr="00906FFF">
        <w:rPr>
          <w:rFonts w:ascii="Times New Roman" w:hAnsi="Times New Roman" w:cs="Times New Roman"/>
          <w:sz w:val="24"/>
          <w:szCs w:val="24"/>
        </w:rPr>
        <w:t>fotopułapki</w:t>
      </w:r>
      <w:proofErr w:type="spellEnd"/>
      <w:r w:rsidRPr="00906FFF">
        <w:rPr>
          <w:rFonts w:ascii="Times New Roman" w:hAnsi="Times New Roman" w:cs="Times New Roman"/>
          <w:sz w:val="24"/>
          <w:szCs w:val="24"/>
        </w:rPr>
        <w:t>, noktowizor, kamera endoskopowa</w:t>
      </w:r>
    </w:p>
    <w:p w14:paraId="3CD8DE19" w14:textId="77777777" w:rsidR="001F39DF" w:rsidRPr="008F7951" w:rsidRDefault="001F39DF" w:rsidP="008F7951">
      <w:pPr>
        <w:pStyle w:val="Akapitzlist"/>
        <w:spacing w:line="300" w:lineRule="atLeast"/>
        <w:rPr>
          <w:rStyle w:val="Nagwek2Znak"/>
          <w:rFonts w:eastAsia="Calibri"/>
          <w:bCs w:val="0"/>
          <w:szCs w:val="24"/>
          <w:lang w:eastAsia="en-US"/>
        </w:rPr>
      </w:pPr>
    </w:p>
    <w:p w14:paraId="140A01A3" w14:textId="77777777" w:rsidR="00A22034" w:rsidRPr="007F400A" w:rsidRDefault="00A22034" w:rsidP="00FC50DA">
      <w:pPr>
        <w:pStyle w:val="Nagwek1"/>
        <w:spacing w:after="120"/>
        <w:ind w:left="284" w:hanging="284"/>
        <w:jc w:val="both"/>
        <w:rPr>
          <w:b w:val="0"/>
          <w:color w:val="000000" w:themeColor="text1"/>
        </w:rPr>
      </w:pPr>
      <w:bookmarkStart w:id="298" w:name="_Toc135935666"/>
      <w:r w:rsidRPr="007F400A">
        <w:rPr>
          <w:rStyle w:val="Nagwek2Znak"/>
          <w:rFonts w:eastAsia="Calibri"/>
          <w:b/>
          <w:color w:val="000000" w:themeColor="text1"/>
        </w:rPr>
        <w:t>3. Analiza problematyki przestępczości środowiskowej, z uwzględnieniem specyfiki danego województwa</w:t>
      </w:r>
      <w:bookmarkEnd w:id="297"/>
      <w:bookmarkEnd w:id="298"/>
    </w:p>
    <w:p w14:paraId="5EED9810" w14:textId="6B7B50CB" w:rsidR="00A22034" w:rsidRPr="007F400A" w:rsidRDefault="00A22034" w:rsidP="00FC50DA">
      <w:pPr>
        <w:pStyle w:val="Akapitzlist"/>
        <w:spacing w:line="300" w:lineRule="atLeast"/>
        <w:ind w:left="0" w:firstLine="284"/>
        <w:contextualSpacing w:val="0"/>
        <w:jc w:val="both"/>
        <w:rPr>
          <w:color w:val="000000"/>
          <w:sz w:val="24"/>
          <w:szCs w:val="24"/>
        </w:rPr>
      </w:pPr>
      <w:r w:rsidRPr="007F400A">
        <w:rPr>
          <w:color w:val="000000"/>
          <w:sz w:val="24"/>
          <w:szCs w:val="24"/>
        </w:rPr>
        <w:t xml:space="preserve">Niniejszy podrozdział przedstawia charakterystykę ujawnianych przestępstw przeciwko środowisku oraz obserwowane tendencje rozwoju działalności przestępczej w poszczególnych województwach. </w:t>
      </w:r>
    </w:p>
    <w:p w14:paraId="74D76D2F" w14:textId="77777777" w:rsidR="00FC50DA" w:rsidRPr="007F400A" w:rsidRDefault="00FC50DA" w:rsidP="00FC50DA">
      <w:pPr>
        <w:pStyle w:val="Akapitzlist"/>
        <w:spacing w:line="300" w:lineRule="atLeast"/>
        <w:ind w:left="0" w:firstLine="284"/>
        <w:contextualSpacing w:val="0"/>
        <w:jc w:val="both"/>
        <w:rPr>
          <w:color w:val="000000"/>
          <w:sz w:val="24"/>
          <w:szCs w:val="24"/>
        </w:rPr>
      </w:pPr>
    </w:p>
    <w:p w14:paraId="5BEF9373" w14:textId="77777777" w:rsidR="00A22034" w:rsidRPr="007F400A" w:rsidRDefault="00A22034" w:rsidP="00695D38">
      <w:pPr>
        <w:pStyle w:val="Akapitzlist"/>
        <w:spacing w:after="120" w:line="300" w:lineRule="atLeast"/>
        <w:ind w:left="0"/>
        <w:contextualSpacing w:val="0"/>
        <w:jc w:val="both"/>
        <w:outlineLvl w:val="0"/>
        <w:rPr>
          <w:b/>
          <w:color w:val="000000"/>
          <w:sz w:val="24"/>
          <w:szCs w:val="24"/>
          <w:u w:val="single"/>
        </w:rPr>
      </w:pPr>
      <w:bookmarkStart w:id="299" w:name="_Hlk98501545"/>
      <w:bookmarkStart w:id="300" w:name="_Toc99469607"/>
      <w:bookmarkStart w:id="301" w:name="_Toc135935667"/>
      <w:r w:rsidRPr="007F400A">
        <w:rPr>
          <w:rStyle w:val="Nagwek3Znak"/>
          <w:rFonts w:ascii="Times New Roman" w:eastAsia="Calibri" w:hAnsi="Times New Roman"/>
          <w:color w:val="000000" w:themeColor="text1"/>
          <w:sz w:val="24"/>
          <w:szCs w:val="24"/>
        </w:rPr>
        <w:t>3.1. Charakterystyka ujawnionych przestępstw przeciwko środowisku</w:t>
      </w:r>
      <w:bookmarkEnd w:id="299"/>
      <w:bookmarkEnd w:id="300"/>
      <w:bookmarkEnd w:id="301"/>
      <w:r w:rsidRPr="007F400A">
        <w:rPr>
          <w:b/>
          <w:color w:val="000000" w:themeColor="text1"/>
          <w:sz w:val="24"/>
          <w:szCs w:val="24"/>
          <w:u w:val="single"/>
        </w:rPr>
        <w:t xml:space="preserve"> </w:t>
      </w:r>
    </w:p>
    <w:p w14:paraId="400E15CC" w14:textId="5C57056E" w:rsidR="00695D38" w:rsidRPr="00695D38" w:rsidRDefault="00695D38" w:rsidP="00695D38">
      <w:pPr>
        <w:pStyle w:val="Akapitzlist"/>
        <w:spacing w:line="300" w:lineRule="atLeast"/>
        <w:ind w:left="0" w:firstLine="567"/>
        <w:contextualSpacing w:val="0"/>
        <w:jc w:val="both"/>
        <w:rPr>
          <w:sz w:val="24"/>
          <w:szCs w:val="24"/>
        </w:rPr>
      </w:pPr>
      <w:r w:rsidRPr="00695D38">
        <w:rPr>
          <w:sz w:val="24"/>
          <w:szCs w:val="24"/>
        </w:rPr>
        <w:t xml:space="preserve">Wiodącym obszarem jest nielegalna gospodarka odpadami. Zauważalna jest tendencja polegająca na bezprawnym pozbywaniu się odpadów poprzez przekazywanie ich nieuprawnionym podmiotom, które następnie składują te odpady w miejscach do tego nieprzeznaczonych (również poprzez ich zakopywanie) oraz gospodarują tymi odpadami </w:t>
      </w:r>
      <w:r>
        <w:rPr>
          <w:sz w:val="24"/>
          <w:szCs w:val="24"/>
        </w:rPr>
        <w:br/>
      </w:r>
      <w:r w:rsidRPr="00695D38">
        <w:rPr>
          <w:sz w:val="24"/>
          <w:szCs w:val="24"/>
        </w:rPr>
        <w:t xml:space="preserve">w sposób mogący zagrażać życiu lub zdrowiu ludzi lub środowisku. Odpady są bardzo często nielegalnie deponowane w byłych wyrobiskach, kopalniach itd. Dotychczasowym trendem </w:t>
      </w:r>
      <w:r>
        <w:rPr>
          <w:sz w:val="24"/>
          <w:szCs w:val="24"/>
        </w:rPr>
        <w:br/>
      </w:r>
      <w:r w:rsidRPr="00695D38">
        <w:rPr>
          <w:sz w:val="24"/>
          <w:szCs w:val="24"/>
        </w:rPr>
        <w:t>w gospodarce odpadami było wynajmowanie terenów, na które w krótkim okresie czasu przyjmowane były znaczne ilości odpadów niebezpiecznych, następnie porzucone lub podpalone w celu zatarcia śladów przestępczego procederu.</w:t>
      </w:r>
    </w:p>
    <w:p w14:paraId="776715F0" w14:textId="77777777" w:rsidR="00695D38" w:rsidRPr="00695D38" w:rsidRDefault="00695D38" w:rsidP="00695D38">
      <w:pPr>
        <w:pStyle w:val="Akapitzlist"/>
        <w:spacing w:line="300" w:lineRule="atLeast"/>
        <w:ind w:left="0"/>
        <w:jc w:val="both"/>
        <w:rPr>
          <w:i/>
          <w:sz w:val="24"/>
          <w:szCs w:val="24"/>
        </w:rPr>
      </w:pPr>
    </w:p>
    <w:p w14:paraId="48C1886E" w14:textId="255980E4" w:rsidR="00695D38" w:rsidRPr="00695D38" w:rsidRDefault="00695D38" w:rsidP="00E2130A">
      <w:pPr>
        <w:spacing w:after="60" w:line="300" w:lineRule="atLeast"/>
        <w:jc w:val="both"/>
        <w:rPr>
          <w:rFonts w:ascii="Times New Roman" w:hAnsi="Times New Roman" w:cs="Times New Roman"/>
          <w:i/>
          <w:color w:val="4472C4"/>
          <w:sz w:val="24"/>
          <w:szCs w:val="24"/>
        </w:rPr>
      </w:pPr>
      <w:r w:rsidRPr="00695D38">
        <w:rPr>
          <w:rFonts w:ascii="Times New Roman" w:hAnsi="Times New Roman" w:cs="Times New Roman"/>
          <w:i/>
          <w:color w:val="4472C4"/>
          <w:sz w:val="24"/>
          <w:szCs w:val="24"/>
        </w:rPr>
        <w:t>Wojewódzki Inspektorat Ochrony Środowiska w Białymstoku</w:t>
      </w:r>
    </w:p>
    <w:p w14:paraId="439BC1B2" w14:textId="3A379F3C" w:rsidR="00695D38" w:rsidRPr="00695D38" w:rsidRDefault="00695D38" w:rsidP="00E2130A">
      <w:pPr>
        <w:pStyle w:val="Akapitzlist"/>
        <w:spacing w:line="300" w:lineRule="atLeast"/>
        <w:ind w:left="0" w:firstLine="567"/>
        <w:jc w:val="both"/>
        <w:rPr>
          <w:sz w:val="24"/>
          <w:szCs w:val="24"/>
        </w:rPr>
      </w:pPr>
      <w:r w:rsidRPr="00695D38">
        <w:rPr>
          <w:sz w:val="24"/>
          <w:szCs w:val="24"/>
        </w:rPr>
        <w:t xml:space="preserve">W 2022 r. we współpracy z GIOŚ i Wydziałem dw. z Przestępczością Gospodarczą Komendy Wojewódzkiej Policji w Białymstoku ujawniono nielegalne deponowanie odpadów na terenie nieczynnej kopalni kruszyw naturalnych na terenie działek w gm. Szumowo, pow. zambrowski. W przedmiotowej sprawie, Wydział dw. z Przestępczością Gospodarczą KWP </w:t>
      </w:r>
      <w:r w:rsidR="00E2130A">
        <w:rPr>
          <w:sz w:val="24"/>
          <w:szCs w:val="24"/>
        </w:rPr>
        <w:br/>
      </w:r>
      <w:r w:rsidRPr="00695D38">
        <w:rPr>
          <w:sz w:val="24"/>
          <w:szCs w:val="24"/>
        </w:rPr>
        <w:t xml:space="preserve">w Białymstoku prowadzi śledztwo przeciwko osobom podejrzanym o czyn z art. 183 § 1 Kodeksu karnego. </w:t>
      </w:r>
    </w:p>
    <w:p w14:paraId="4962AC6B" w14:textId="135B7B70" w:rsidR="00695D38" w:rsidRPr="00695D38" w:rsidRDefault="00695D38" w:rsidP="00E2130A">
      <w:pPr>
        <w:pStyle w:val="Akapitzlist"/>
        <w:spacing w:line="300" w:lineRule="atLeast"/>
        <w:ind w:left="0" w:firstLine="567"/>
        <w:jc w:val="both"/>
        <w:rPr>
          <w:sz w:val="24"/>
          <w:szCs w:val="24"/>
        </w:rPr>
      </w:pPr>
      <w:r w:rsidRPr="00695D38">
        <w:rPr>
          <w:sz w:val="24"/>
          <w:szCs w:val="24"/>
        </w:rPr>
        <w:t>Podczas kontroli ustalono, ż</w:t>
      </w:r>
      <w:r w:rsidR="00E2130A">
        <w:rPr>
          <w:sz w:val="24"/>
          <w:szCs w:val="24"/>
          <w:lang w:val="pl-PL"/>
        </w:rPr>
        <w:t>e</w:t>
      </w:r>
      <w:r w:rsidRPr="00695D38">
        <w:rPr>
          <w:sz w:val="24"/>
          <w:szCs w:val="24"/>
        </w:rPr>
        <w:t xml:space="preserve"> na przedmiotowy teren nie została wydana decyzja organu ochrony środowiska zezwalająca na zbieranie odpadów i/lub składowanie odpadów. Stwierdzono w związku z tym nieprawidłowość polegającą na składowaniu odpadów w miejscu na ten cel nieprzeznaczonym. W wyniku wykonanych pomiarów przez uprawnionego geodetę ustalono, iż na przedmiotowym terenie suma objętości zdeponowanych odpadów wynosi nie mniej niż 9 415 m</w:t>
      </w:r>
      <w:r w:rsidRPr="00695D38">
        <w:rPr>
          <w:sz w:val="24"/>
          <w:szCs w:val="24"/>
          <w:vertAlign w:val="superscript"/>
        </w:rPr>
        <w:t>3</w:t>
      </w:r>
      <w:r w:rsidRPr="00695D38">
        <w:rPr>
          <w:sz w:val="24"/>
          <w:szCs w:val="24"/>
        </w:rPr>
        <w:t xml:space="preserve">. Wg ustaleń inspektorów z Departamentu Zwalczania Przestępczości Środowiskowej GIOŚ, w okresie od 07.01.2022 r. do 01.02.2022 r. odpady o kodzie 19 12 12 były transportowane z firmy z siedzibą w Jakubowie, gm. Jakubów, pow. miński, woj. mazowieckie i deponowane na terenie działek w gm. Szumowo. Natomiast zgodnie z 33 KPO wystawione na ww. transporty, odpady miały trafić do podmiotu z siedzibą w Krapkowicach, gm. Krapkowice, pow. krapkowicki, woj. opolskie. Jednym z podmiotów transportujących odpady na teren nieczynnej kopalni kruszyw naturalnych w gm. Szumowo  był podmiot mający siedzibę na terenie woj. podlaskiego. </w:t>
      </w:r>
    </w:p>
    <w:p w14:paraId="697D6E25" w14:textId="58B99D13" w:rsidR="00695D38" w:rsidRPr="00695D38" w:rsidRDefault="00695D38" w:rsidP="00E2130A">
      <w:pPr>
        <w:pStyle w:val="Akapitzlist"/>
        <w:spacing w:line="300" w:lineRule="atLeast"/>
        <w:ind w:left="0" w:firstLine="567"/>
        <w:jc w:val="both"/>
        <w:rPr>
          <w:sz w:val="24"/>
          <w:szCs w:val="24"/>
        </w:rPr>
      </w:pPr>
      <w:r w:rsidRPr="00695D38">
        <w:rPr>
          <w:sz w:val="24"/>
          <w:szCs w:val="24"/>
        </w:rPr>
        <w:t xml:space="preserve">Powyższa sprawa może być identyfikowana jako przestępczość zorganizowana </w:t>
      </w:r>
      <w:r w:rsidR="00E2130A">
        <w:rPr>
          <w:sz w:val="24"/>
          <w:szCs w:val="24"/>
        </w:rPr>
        <w:br/>
      </w:r>
      <w:r w:rsidRPr="00695D38">
        <w:rPr>
          <w:sz w:val="24"/>
          <w:szCs w:val="24"/>
        </w:rPr>
        <w:t xml:space="preserve">o charakterze </w:t>
      </w:r>
      <w:proofErr w:type="spellStart"/>
      <w:r w:rsidRPr="00695D38">
        <w:rPr>
          <w:sz w:val="24"/>
          <w:szCs w:val="24"/>
        </w:rPr>
        <w:t>ponadwojewódzkim</w:t>
      </w:r>
      <w:proofErr w:type="spellEnd"/>
      <w:r w:rsidRPr="00695D38">
        <w:rPr>
          <w:sz w:val="24"/>
          <w:szCs w:val="24"/>
        </w:rPr>
        <w:t xml:space="preserve"> z uwagi na zaangażowanie w proceder nielegalnego deponowania odpadów podmiotów z terenu woj. mazowieckiego, podlaskiego oraz opolskiego. </w:t>
      </w:r>
    </w:p>
    <w:p w14:paraId="2CA37D40" w14:textId="3352CD99" w:rsidR="00695D38" w:rsidRPr="00695D38" w:rsidRDefault="00695D38" w:rsidP="00E2130A">
      <w:pPr>
        <w:pStyle w:val="Akapitzlist"/>
        <w:spacing w:line="300" w:lineRule="atLeast"/>
        <w:ind w:left="0" w:firstLine="567"/>
        <w:jc w:val="both"/>
        <w:rPr>
          <w:sz w:val="24"/>
          <w:szCs w:val="24"/>
        </w:rPr>
      </w:pPr>
      <w:r w:rsidRPr="00695D38">
        <w:rPr>
          <w:sz w:val="24"/>
          <w:szCs w:val="24"/>
        </w:rPr>
        <w:t xml:space="preserve">Prowadzono ponadto kontrole i czynności z art. 10b ustawy o inspekcji ochrony środowiska na wniosek innych wojewódzkich inspektoratów w podmiotach z terenu woj. podlaskiego, które miały powiązanie (głównie dot. przekazywania lub transportu odpadów) </w:t>
      </w:r>
      <w:r w:rsidR="00E2130A">
        <w:rPr>
          <w:sz w:val="24"/>
          <w:szCs w:val="24"/>
        </w:rPr>
        <w:br/>
      </w:r>
      <w:r w:rsidRPr="00695D38">
        <w:rPr>
          <w:sz w:val="24"/>
          <w:szCs w:val="24"/>
        </w:rPr>
        <w:lastRenderedPageBreak/>
        <w:t xml:space="preserve">z podmiotami z podejrzeniem popełnienia przestępstwa przeciwko środowisku w innych województwach (tj. kontrole na wniosek WIOŚ w Olsztynie, WIOŚ w Olsztynie Delegatura </w:t>
      </w:r>
      <w:r w:rsidR="00E2130A">
        <w:rPr>
          <w:sz w:val="24"/>
          <w:szCs w:val="24"/>
        </w:rPr>
        <w:br/>
      </w:r>
      <w:r w:rsidRPr="00695D38">
        <w:rPr>
          <w:sz w:val="24"/>
          <w:szCs w:val="24"/>
        </w:rPr>
        <w:t xml:space="preserve">w Giżycku, WIOŚ w Gdańsku, WIOŚ w Opolu, WIOŚ w Warszawie Delegatura </w:t>
      </w:r>
      <w:r w:rsidR="00E2130A">
        <w:rPr>
          <w:sz w:val="24"/>
          <w:szCs w:val="24"/>
        </w:rPr>
        <w:br/>
      </w:r>
      <w:r w:rsidRPr="00695D38">
        <w:rPr>
          <w:sz w:val="24"/>
          <w:szCs w:val="24"/>
        </w:rPr>
        <w:t>w Ciechanowie, WIOŚ w Warszawie Delegatura w Płocku, WIOŚ w Bydgoszczy).</w:t>
      </w:r>
    </w:p>
    <w:p w14:paraId="1708CEED" w14:textId="77777777" w:rsidR="00695D38" w:rsidRPr="00695D38" w:rsidRDefault="00695D38" w:rsidP="00695D38">
      <w:pPr>
        <w:pStyle w:val="Akapitzlist"/>
        <w:spacing w:line="300" w:lineRule="atLeast"/>
        <w:ind w:left="0"/>
        <w:jc w:val="both"/>
        <w:rPr>
          <w:sz w:val="24"/>
          <w:szCs w:val="24"/>
        </w:rPr>
      </w:pPr>
    </w:p>
    <w:p w14:paraId="47F7294C" w14:textId="77777777" w:rsidR="00695D38" w:rsidRPr="00695D38" w:rsidRDefault="00695D38" w:rsidP="00593C17">
      <w:pPr>
        <w:spacing w:after="60" w:line="300" w:lineRule="atLeast"/>
        <w:jc w:val="both"/>
        <w:rPr>
          <w:rFonts w:ascii="Times New Roman" w:hAnsi="Times New Roman" w:cs="Times New Roman"/>
          <w:i/>
          <w:color w:val="4472C4"/>
          <w:sz w:val="24"/>
          <w:szCs w:val="24"/>
        </w:rPr>
      </w:pPr>
      <w:r w:rsidRPr="00695D38">
        <w:rPr>
          <w:rFonts w:ascii="Times New Roman" w:hAnsi="Times New Roman" w:cs="Times New Roman"/>
          <w:i/>
          <w:color w:val="4472C4"/>
          <w:sz w:val="24"/>
          <w:szCs w:val="24"/>
        </w:rPr>
        <w:t>Wojewódzki Inspektorat Ochrony Środowiska w Bydgoszczy</w:t>
      </w:r>
    </w:p>
    <w:p w14:paraId="6FF82239" w14:textId="47B258B5" w:rsidR="00695D38" w:rsidRPr="00695D38" w:rsidRDefault="00695D38" w:rsidP="00593C17">
      <w:pPr>
        <w:pStyle w:val="Akapitzlist"/>
        <w:spacing w:line="300" w:lineRule="atLeast"/>
        <w:ind w:left="0" w:firstLine="567"/>
        <w:jc w:val="both"/>
        <w:rPr>
          <w:iCs/>
          <w:sz w:val="24"/>
          <w:szCs w:val="24"/>
        </w:rPr>
      </w:pPr>
      <w:r w:rsidRPr="00695D38">
        <w:rPr>
          <w:iCs/>
          <w:sz w:val="24"/>
          <w:szCs w:val="24"/>
        </w:rPr>
        <w:t xml:space="preserve">Na terenie województwa kujawsko-pomorskiego głównym identyfikowanym obszarem przestępczości środowiskowej jest nielegalne gospodarowanie odpadami niebezpiecznymi </w:t>
      </w:r>
      <w:r w:rsidR="00593C17">
        <w:rPr>
          <w:iCs/>
          <w:sz w:val="24"/>
          <w:szCs w:val="24"/>
        </w:rPr>
        <w:br/>
      </w:r>
      <w:r w:rsidRPr="00695D38">
        <w:rPr>
          <w:iCs/>
          <w:sz w:val="24"/>
          <w:szCs w:val="24"/>
        </w:rPr>
        <w:t xml:space="preserve">i odpadami komunalnymi, w tym w szczególności odpadami pochodzącymi z sortowania odpadów komunalnych. </w:t>
      </w:r>
    </w:p>
    <w:p w14:paraId="5112E21B" w14:textId="77777777" w:rsidR="00C43E30" w:rsidRDefault="00C43E30" w:rsidP="00695D38">
      <w:pPr>
        <w:pStyle w:val="Akapitzlist"/>
        <w:spacing w:line="300" w:lineRule="atLeast"/>
        <w:ind w:left="0"/>
        <w:jc w:val="both"/>
        <w:rPr>
          <w:iCs/>
          <w:sz w:val="24"/>
          <w:szCs w:val="24"/>
        </w:rPr>
      </w:pPr>
    </w:p>
    <w:p w14:paraId="2A4785B8" w14:textId="77777777" w:rsidR="00C43E30" w:rsidRDefault="00C43E30" w:rsidP="00695D38">
      <w:pPr>
        <w:pStyle w:val="Akapitzlist"/>
        <w:spacing w:line="300" w:lineRule="atLeast"/>
        <w:ind w:left="0"/>
        <w:jc w:val="both"/>
        <w:rPr>
          <w:iCs/>
          <w:sz w:val="24"/>
          <w:szCs w:val="24"/>
        </w:rPr>
      </w:pPr>
    </w:p>
    <w:p w14:paraId="1D45C7D7" w14:textId="5C79087D" w:rsidR="00695D38" w:rsidRPr="00695D38" w:rsidRDefault="00695D38" w:rsidP="00695D38">
      <w:pPr>
        <w:pStyle w:val="Akapitzlist"/>
        <w:spacing w:line="300" w:lineRule="atLeast"/>
        <w:ind w:left="0"/>
        <w:jc w:val="both"/>
        <w:rPr>
          <w:iCs/>
          <w:sz w:val="24"/>
          <w:szCs w:val="24"/>
        </w:rPr>
      </w:pPr>
      <w:r w:rsidRPr="00695D38">
        <w:rPr>
          <w:iCs/>
          <w:sz w:val="24"/>
          <w:szCs w:val="24"/>
        </w:rPr>
        <w:t>Zidentyfikowane praktyki w tym zakresie to przede wszystkim:</w:t>
      </w:r>
    </w:p>
    <w:p w14:paraId="19104293" w14:textId="77777777" w:rsidR="00695D38" w:rsidRPr="00695D38" w:rsidRDefault="00695D38" w:rsidP="00D34F97">
      <w:pPr>
        <w:pStyle w:val="Akapitzlist"/>
        <w:numPr>
          <w:ilvl w:val="0"/>
          <w:numId w:val="230"/>
        </w:numPr>
        <w:spacing w:line="300" w:lineRule="atLeast"/>
        <w:jc w:val="both"/>
        <w:rPr>
          <w:iCs/>
          <w:sz w:val="24"/>
          <w:szCs w:val="24"/>
        </w:rPr>
      </w:pPr>
      <w:r w:rsidRPr="00695D38">
        <w:rPr>
          <w:iCs/>
          <w:sz w:val="24"/>
          <w:szCs w:val="24"/>
        </w:rPr>
        <w:t>pozbywanie się odpadów poprzez porzucanie ich na terenach niezamieszkałych, w starych budynkach gospodarczych, oborach, na terenach leśnych itp. Dotyczy to szczególnie odpadów niebezpiecznych magazynowanych w beczkach i mauzerach,</w:t>
      </w:r>
    </w:p>
    <w:p w14:paraId="1FD6AF1C" w14:textId="2001E96E" w:rsidR="00695D38" w:rsidRPr="00695D38" w:rsidRDefault="00695D38" w:rsidP="00D34F97">
      <w:pPr>
        <w:pStyle w:val="Akapitzlist"/>
        <w:numPr>
          <w:ilvl w:val="0"/>
          <w:numId w:val="230"/>
        </w:numPr>
        <w:spacing w:line="300" w:lineRule="atLeast"/>
        <w:jc w:val="both"/>
        <w:rPr>
          <w:iCs/>
          <w:sz w:val="24"/>
          <w:szCs w:val="24"/>
        </w:rPr>
      </w:pPr>
      <w:r w:rsidRPr="00695D38">
        <w:rPr>
          <w:iCs/>
          <w:sz w:val="24"/>
          <w:szCs w:val="24"/>
        </w:rPr>
        <w:t xml:space="preserve">pozbywanie się odpadów komunalnych poprzez zakopywanie w wyrobiskach </w:t>
      </w:r>
      <w:proofErr w:type="spellStart"/>
      <w:r w:rsidRPr="00695D38">
        <w:rPr>
          <w:iCs/>
          <w:sz w:val="24"/>
          <w:szCs w:val="24"/>
        </w:rPr>
        <w:t>pożwirowych</w:t>
      </w:r>
      <w:proofErr w:type="spellEnd"/>
      <w:r w:rsidRPr="00695D38">
        <w:rPr>
          <w:iCs/>
          <w:sz w:val="24"/>
          <w:szCs w:val="24"/>
        </w:rPr>
        <w:t xml:space="preserve">, a także na terenach osób prywatnych, często za ich zgodą. Mieszanie odpadów komunalnych z budowlanymi, a następnie stosowanie do utwardzania </w:t>
      </w:r>
      <w:r w:rsidR="00593C17">
        <w:rPr>
          <w:iCs/>
          <w:sz w:val="24"/>
          <w:szCs w:val="24"/>
        </w:rPr>
        <w:br/>
      </w:r>
      <w:r w:rsidRPr="00695D38">
        <w:rPr>
          <w:iCs/>
          <w:sz w:val="24"/>
          <w:szCs w:val="24"/>
        </w:rPr>
        <w:t>i wyrównywania nawierzchni,</w:t>
      </w:r>
    </w:p>
    <w:p w14:paraId="06A3D4F5" w14:textId="1C714F55" w:rsidR="00695D38" w:rsidRPr="00593C17" w:rsidRDefault="00695D38" w:rsidP="00480AD6">
      <w:pPr>
        <w:pStyle w:val="Akapitzlist"/>
        <w:numPr>
          <w:ilvl w:val="0"/>
          <w:numId w:val="230"/>
        </w:numPr>
        <w:spacing w:after="120" w:line="300" w:lineRule="atLeast"/>
        <w:ind w:left="357" w:hanging="357"/>
        <w:contextualSpacing w:val="0"/>
        <w:jc w:val="both"/>
        <w:rPr>
          <w:iCs/>
          <w:sz w:val="24"/>
          <w:szCs w:val="24"/>
        </w:rPr>
      </w:pPr>
      <w:r w:rsidRPr="00695D38">
        <w:rPr>
          <w:iCs/>
          <w:sz w:val="24"/>
          <w:szCs w:val="24"/>
        </w:rPr>
        <w:t>fałszowanie dokumentów dotyczących obrotu odpadami, w tym głównie wystawianie kart i potwierdzanie transportu w BDO, podczas gdy w rzeczywistości odpady nie trafiają do miejsca wskazanego w KPO. W takich przypadkach odpady najczęściej trafiają nielegalnie do środowiska.</w:t>
      </w:r>
    </w:p>
    <w:p w14:paraId="562D6C61" w14:textId="324D09D2" w:rsidR="00695D38" w:rsidRPr="00695D38" w:rsidRDefault="00695D38" w:rsidP="00593C17">
      <w:pPr>
        <w:pStyle w:val="Akapitzlist"/>
        <w:spacing w:line="300" w:lineRule="atLeast"/>
        <w:ind w:left="0" w:firstLine="567"/>
        <w:jc w:val="both"/>
        <w:rPr>
          <w:iCs/>
          <w:sz w:val="24"/>
          <w:szCs w:val="24"/>
        </w:rPr>
      </w:pPr>
      <w:r w:rsidRPr="00695D38">
        <w:rPr>
          <w:iCs/>
          <w:sz w:val="24"/>
          <w:szCs w:val="24"/>
        </w:rPr>
        <w:t xml:space="preserve">Na terenie województwa kujawsko-pomorskiego zidentyfikowany został udział podmiotów w przestępczości zorganizowanej o charakterze międzywojewódzkim. Dotyczy to przede wszystkim firm, które mają siedzibę w różnych częściach kraju i współpracują </w:t>
      </w:r>
      <w:r w:rsidR="00593C17">
        <w:rPr>
          <w:iCs/>
          <w:sz w:val="24"/>
          <w:szCs w:val="24"/>
        </w:rPr>
        <w:br/>
      </w:r>
      <w:r w:rsidRPr="00695D38">
        <w:rPr>
          <w:iCs/>
          <w:sz w:val="24"/>
          <w:szCs w:val="24"/>
        </w:rPr>
        <w:t>w zakresie nielegalnego obrotu odpadami. W zarządach tych spółek często pojawiają się te same nazwiska, bądź ten sam pełnomocnik.</w:t>
      </w:r>
    </w:p>
    <w:p w14:paraId="27A3B9FA" w14:textId="77777777" w:rsidR="00695D38" w:rsidRPr="00593C17" w:rsidRDefault="00695D38" w:rsidP="00695D38">
      <w:pPr>
        <w:spacing w:line="300" w:lineRule="atLeast"/>
        <w:contextualSpacing/>
        <w:jc w:val="both"/>
        <w:rPr>
          <w:rFonts w:ascii="Times New Roman" w:hAnsi="Times New Roman" w:cs="Times New Roman"/>
          <w:i/>
          <w:color w:val="4472C4"/>
          <w:sz w:val="24"/>
          <w:szCs w:val="24"/>
          <w:lang w:val="x-none"/>
        </w:rPr>
      </w:pPr>
    </w:p>
    <w:p w14:paraId="4F228582" w14:textId="77777777" w:rsidR="00695D38" w:rsidRPr="00695D38" w:rsidRDefault="00695D38" w:rsidP="00593C17">
      <w:pPr>
        <w:spacing w:after="60" w:line="300" w:lineRule="atLeast"/>
        <w:jc w:val="both"/>
        <w:rPr>
          <w:rFonts w:ascii="Times New Roman" w:hAnsi="Times New Roman" w:cs="Times New Roman"/>
          <w:i/>
          <w:color w:val="4472C4"/>
          <w:sz w:val="24"/>
          <w:szCs w:val="24"/>
        </w:rPr>
      </w:pPr>
      <w:r w:rsidRPr="00695D38">
        <w:rPr>
          <w:rFonts w:ascii="Times New Roman" w:hAnsi="Times New Roman" w:cs="Times New Roman"/>
          <w:i/>
          <w:color w:val="4472C4"/>
          <w:sz w:val="24"/>
          <w:szCs w:val="24"/>
        </w:rPr>
        <w:t>Wojewódzki Inspektorat Ochrony Środowiska w Gdańsku</w:t>
      </w:r>
    </w:p>
    <w:p w14:paraId="7A68B652" w14:textId="77777777" w:rsidR="00695D38" w:rsidRPr="00695D38" w:rsidRDefault="00695D38" w:rsidP="00695D38">
      <w:pPr>
        <w:autoSpaceDE w:val="0"/>
        <w:autoSpaceDN w:val="0"/>
        <w:adjustRightInd w:val="0"/>
        <w:spacing w:line="300" w:lineRule="atLeast"/>
        <w:contextualSpacing/>
        <w:jc w:val="both"/>
        <w:rPr>
          <w:rFonts w:ascii="Times New Roman" w:hAnsi="Times New Roman" w:cs="Times New Roman"/>
          <w:sz w:val="24"/>
          <w:szCs w:val="24"/>
        </w:rPr>
      </w:pPr>
      <w:r w:rsidRPr="00695D38">
        <w:rPr>
          <w:rFonts w:ascii="Times New Roman" w:hAnsi="Times New Roman" w:cs="Times New Roman"/>
          <w:sz w:val="24"/>
          <w:szCs w:val="24"/>
        </w:rPr>
        <w:t>Zidentyfikowane obszary działalności przestępczej w województwie pomorskim w 2022 roku</w:t>
      </w:r>
    </w:p>
    <w:p w14:paraId="1E276FC9" w14:textId="77777777" w:rsidR="00695D38" w:rsidRPr="00695D38" w:rsidRDefault="00695D38" w:rsidP="00695D38">
      <w:pPr>
        <w:autoSpaceDE w:val="0"/>
        <w:autoSpaceDN w:val="0"/>
        <w:adjustRightInd w:val="0"/>
        <w:spacing w:line="300" w:lineRule="atLeast"/>
        <w:contextualSpacing/>
        <w:jc w:val="both"/>
        <w:rPr>
          <w:rFonts w:ascii="Times New Roman" w:hAnsi="Times New Roman" w:cs="Times New Roman"/>
          <w:sz w:val="24"/>
          <w:szCs w:val="24"/>
        </w:rPr>
      </w:pPr>
      <w:r w:rsidRPr="00695D38">
        <w:rPr>
          <w:rFonts w:ascii="Times New Roman" w:hAnsi="Times New Roman" w:cs="Times New Roman"/>
          <w:sz w:val="24"/>
          <w:szCs w:val="24"/>
        </w:rPr>
        <w:t>to:</w:t>
      </w:r>
    </w:p>
    <w:p w14:paraId="69F83F91" w14:textId="143822BB" w:rsidR="00695D38" w:rsidRPr="00695D38" w:rsidRDefault="00695D38" w:rsidP="00D34F97">
      <w:pPr>
        <w:numPr>
          <w:ilvl w:val="0"/>
          <w:numId w:val="233"/>
        </w:numPr>
        <w:autoSpaceDE w:val="0"/>
        <w:autoSpaceDN w:val="0"/>
        <w:adjustRightInd w:val="0"/>
        <w:spacing w:after="0" w:line="300" w:lineRule="atLeast"/>
        <w:contextualSpacing/>
        <w:jc w:val="both"/>
        <w:rPr>
          <w:rFonts w:ascii="Times New Roman" w:hAnsi="Times New Roman" w:cs="Times New Roman"/>
          <w:sz w:val="24"/>
          <w:szCs w:val="24"/>
        </w:rPr>
      </w:pPr>
      <w:r w:rsidRPr="00695D38">
        <w:rPr>
          <w:rFonts w:ascii="Times New Roman" w:hAnsi="Times New Roman" w:cs="Times New Roman"/>
          <w:sz w:val="24"/>
          <w:szCs w:val="24"/>
        </w:rPr>
        <w:t>potwierdzanie w BDO transportu odpadów do miejsca</w:t>
      </w:r>
      <w:r w:rsidR="00593C17">
        <w:rPr>
          <w:rFonts w:ascii="Times New Roman" w:hAnsi="Times New Roman" w:cs="Times New Roman"/>
          <w:sz w:val="24"/>
          <w:szCs w:val="24"/>
        </w:rPr>
        <w:t>,</w:t>
      </w:r>
      <w:r w:rsidRPr="00695D38">
        <w:rPr>
          <w:rFonts w:ascii="Times New Roman" w:hAnsi="Times New Roman" w:cs="Times New Roman"/>
          <w:sz w:val="24"/>
          <w:szCs w:val="24"/>
        </w:rPr>
        <w:t xml:space="preserve"> do którego nigdy nie trafiły,</w:t>
      </w:r>
    </w:p>
    <w:p w14:paraId="73AB9DCD" w14:textId="77777777" w:rsidR="00695D38" w:rsidRPr="00695D38" w:rsidRDefault="00695D38" w:rsidP="00D34F97">
      <w:pPr>
        <w:numPr>
          <w:ilvl w:val="0"/>
          <w:numId w:val="233"/>
        </w:numPr>
        <w:autoSpaceDE w:val="0"/>
        <w:autoSpaceDN w:val="0"/>
        <w:adjustRightInd w:val="0"/>
        <w:spacing w:after="0" w:line="300" w:lineRule="atLeast"/>
        <w:contextualSpacing/>
        <w:jc w:val="both"/>
        <w:rPr>
          <w:rFonts w:ascii="Times New Roman" w:hAnsi="Times New Roman" w:cs="Times New Roman"/>
          <w:sz w:val="24"/>
          <w:szCs w:val="24"/>
        </w:rPr>
      </w:pPr>
      <w:r w:rsidRPr="00695D38">
        <w:rPr>
          <w:rFonts w:ascii="Times New Roman" w:hAnsi="Times New Roman" w:cs="Times New Roman"/>
          <w:sz w:val="24"/>
          <w:szCs w:val="24"/>
        </w:rPr>
        <w:t>pozyskiwanie odpadów od różnych podmiotów na podstawie podrobionego zezwolenia, w którym dopisano kody odpadów niewystępujące w autentycznej decyzji,</w:t>
      </w:r>
    </w:p>
    <w:p w14:paraId="19D1B28B" w14:textId="77777777" w:rsidR="00695D38" w:rsidRPr="00695D38" w:rsidRDefault="00695D38" w:rsidP="00D34F97">
      <w:pPr>
        <w:numPr>
          <w:ilvl w:val="0"/>
          <w:numId w:val="233"/>
        </w:numPr>
        <w:autoSpaceDE w:val="0"/>
        <w:autoSpaceDN w:val="0"/>
        <w:adjustRightInd w:val="0"/>
        <w:spacing w:after="0" w:line="300" w:lineRule="atLeast"/>
        <w:contextualSpacing/>
        <w:jc w:val="both"/>
        <w:rPr>
          <w:rFonts w:ascii="Times New Roman" w:hAnsi="Times New Roman" w:cs="Times New Roman"/>
          <w:sz w:val="24"/>
          <w:szCs w:val="24"/>
        </w:rPr>
      </w:pPr>
      <w:r w:rsidRPr="00695D38">
        <w:rPr>
          <w:rFonts w:ascii="Times New Roman" w:hAnsi="Times New Roman" w:cs="Times New Roman"/>
          <w:sz w:val="24"/>
          <w:szCs w:val="24"/>
        </w:rPr>
        <w:t>transport odpadów pod „szyldem” towarów ze zgłoszeniem tego transportu w systemie SENT, poza regulacjami prawnymi dot. odpadów,</w:t>
      </w:r>
    </w:p>
    <w:p w14:paraId="1CBB35B9" w14:textId="77777777" w:rsidR="00695D38" w:rsidRPr="00695D38" w:rsidRDefault="00695D38" w:rsidP="00D34F97">
      <w:pPr>
        <w:numPr>
          <w:ilvl w:val="0"/>
          <w:numId w:val="233"/>
        </w:numPr>
        <w:autoSpaceDE w:val="0"/>
        <w:autoSpaceDN w:val="0"/>
        <w:adjustRightInd w:val="0"/>
        <w:spacing w:after="0" w:line="300" w:lineRule="atLeast"/>
        <w:contextualSpacing/>
        <w:jc w:val="both"/>
        <w:rPr>
          <w:rFonts w:ascii="Times New Roman" w:hAnsi="Times New Roman" w:cs="Times New Roman"/>
          <w:sz w:val="24"/>
          <w:szCs w:val="24"/>
        </w:rPr>
      </w:pPr>
      <w:r w:rsidRPr="00695D38">
        <w:rPr>
          <w:rFonts w:ascii="Times New Roman" w:hAnsi="Times New Roman" w:cs="Times New Roman"/>
          <w:sz w:val="24"/>
          <w:szCs w:val="24"/>
        </w:rPr>
        <w:t>nielegalne międzynarodowe przemieszczenie odpadów w postaci pojazdów wycofanych z eksploatacji,</w:t>
      </w:r>
    </w:p>
    <w:p w14:paraId="5508A8A9" w14:textId="77777777" w:rsidR="00695D38" w:rsidRPr="00695D38" w:rsidRDefault="00695D38" w:rsidP="00D34F97">
      <w:pPr>
        <w:numPr>
          <w:ilvl w:val="0"/>
          <w:numId w:val="233"/>
        </w:numPr>
        <w:autoSpaceDE w:val="0"/>
        <w:autoSpaceDN w:val="0"/>
        <w:adjustRightInd w:val="0"/>
        <w:spacing w:after="0" w:line="300" w:lineRule="atLeast"/>
        <w:contextualSpacing/>
        <w:jc w:val="both"/>
        <w:rPr>
          <w:rFonts w:ascii="Times New Roman" w:hAnsi="Times New Roman" w:cs="Times New Roman"/>
          <w:sz w:val="24"/>
          <w:szCs w:val="24"/>
        </w:rPr>
      </w:pPr>
      <w:r w:rsidRPr="00695D38">
        <w:rPr>
          <w:rFonts w:ascii="Times New Roman" w:hAnsi="Times New Roman" w:cs="Times New Roman"/>
          <w:sz w:val="24"/>
          <w:szCs w:val="24"/>
        </w:rPr>
        <w:t xml:space="preserve">nielegalna utylizacja odpadowych chemikaliów poprzez wylewanie ich do gruntu. </w:t>
      </w:r>
    </w:p>
    <w:p w14:paraId="483B4CE9" w14:textId="77777777" w:rsidR="00695D38" w:rsidRPr="00695D38" w:rsidRDefault="00695D38" w:rsidP="00695D38">
      <w:pPr>
        <w:autoSpaceDE w:val="0"/>
        <w:autoSpaceDN w:val="0"/>
        <w:adjustRightInd w:val="0"/>
        <w:spacing w:line="300" w:lineRule="atLeast"/>
        <w:contextualSpacing/>
        <w:jc w:val="both"/>
        <w:rPr>
          <w:rFonts w:ascii="Times New Roman" w:hAnsi="Times New Roman" w:cs="Times New Roman"/>
          <w:sz w:val="24"/>
          <w:szCs w:val="24"/>
        </w:rPr>
      </w:pPr>
    </w:p>
    <w:p w14:paraId="2602679B" w14:textId="7C1ADFF2" w:rsidR="00695D38" w:rsidRPr="00695D38" w:rsidRDefault="00695D38" w:rsidP="00593C17">
      <w:pPr>
        <w:autoSpaceDE w:val="0"/>
        <w:autoSpaceDN w:val="0"/>
        <w:adjustRightInd w:val="0"/>
        <w:spacing w:line="300" w:lineRule="atLeast"/>
        <w:ind w:firstLine="567"/>
        <w:contextualSpacing/>
        <w:jc w:val="both"/>
        <w:rPr>
          <w:rFonts w:ascii="Times New Roman" w:hAnsi="Times New Roman" w:cs="Times New Roman"/>
          <w:sz w:val="24"/>
          <w:szCs w:val="24"/>
        </w:rPr>
      </w:pPr>
      <w:r w:rsidRPr="00695D38">
        <w:rPr>
          <w:rFonts w:ascii="Times New Roman" w:hAnsi="Times New Roman" w:cs="Times New Roman"/>
          <w:sz w:val="24"/>
          <w:szCs w:val="24"/>
        </w:rPr>
        <w:t xml:space="preserve">Pierwsze trzy kategorie spraw miały przede wszystkim charakter międzywojewódzki, realizowane były (i częściowo kontynuowane są w 2023 roku) w związku z informacjami uzyskanymi od innych organów IOŚ bądź na wniosek organów ścigania. W wielu sprawach </w:t>
      </w:r>
      <w:r w:rsidR="00593C17">
        <w:rPr>
          <w:rFonts w:ascii="Times New Roman" w:hAnsi="Times New Roman" w:cs="Times New Roman"/>
          <w:sz w:val="24"/>
          <w:szCs w:val="24"/>
        </w:rPr>
        <w:br/>
      </w:r>
      <w:r w:rsidRPr="00695D38">
        <w:rPr>
          <w:rFonts w:ascii="Times New Roman" w:hAnsi="Times New Roman" w:cs="Times New Roman"/>
          <w:sz w:val="24"/>
          <w:szCs w:val="24"/>
        </w:rPr>
        <w:lastRenderedPageBreak/>
        <w:t xml:space="preserve">o charakterze </w:t>
      </w:r>
      <w:proofErr w:type="spellStart"/>
      <w:r w:rsidRPr="00695D38">
        <w:rPr>
          <w:rFonts w:ascii="Times New Roman" w:hAnsi="Times New Roman" w:cs="Times New Roman"/>
          <w:sz w:val="24"/>
          <w:szCs w:val="24"/>
        </w:rPr>
        <w:t>ponadwojewódzkim</w:t>
      </w:r>
      <w:proofErr w:type="spellEnd"/>
      <w:r w:rsidRPr="00695D38">
        <w:rPr>
          <w:rFonts w:ascii="Times New Roman" w:hAnsi="Times New Roman" w:cs="Times New Roman"/>
          <w:sz w:val="24"/>
          <w:szCs w:val="24"/>
        </w:rPr>
        <w:t xml:space="preserve"> występowało potwierdzanie w BDO operacji na odpadach, które nie miały miejsca, mające na celu „wyczyszczenie” ewidencji odpadów lub zbycie odpowiedzialności za gospodarowanie odpadami, przypuszczalnie również z naruszeniami skarbowymi. Zauważono, że w sprawach o charakterze międzywojewódzkim wielokrotnie przewija się zamknięty krąg podmiotów gospodarujących odpadami oraz pośredniczących </w:t>
      </w:r>
      <w:r w:rsidR="00593C17">
        <w:rPr>
          <w:rFonts w:ascii="Times New Roman" w:hAnsi="Times New Roman" w:cs="Times New Roman"/>
          <w:sz w:val="24"/>
          <w:szCs w:val="24"/>
        </w:rPr>
        <w:br/>
      </w:r>
      <w:r w:rsidRPr="00695D38">
        <w:rPr>
          <w:rFonts w:ascii="Times New Roman" w:hAnsi="Times New Roman" w:cs="Times New Roman"/>
          <w:sz w:val="24"/>
          <w:szCs w:val="24"/>
        </w:rPr>
        <w:t>w ich pozyskiwaniu, co wskazuje na istnienie zorganizowanej grupy przestępczej.</w:t>
      </w:r>
    </w:p>
    <w:p w14:paraId="454D5A6F" w14:textId="77777777" w:rsidR="00695D38" w:rsidRPr="00695D38" w:rsidRDefault="00695D38" w:rsidP="00695D38">
      <w:pPr>
        <w:spacing w:line="300" w:lineRule="atLeast"/>
        <w:contextualSpacing/>
        <w:jc w:val="both"/>
        <w:rPr>
          <w:rFonts w:ascii="Times New Roman" w:hAnsi="Times New Roman" w:cs="Times New Roman"/>
          <w:i/>
          <w:color w:val="4472C4"/>
          <w:sz w:val="24"/>
          <w:szCs w:val="24"/>
        </w:rPr>
      </w:pPr>
    </w:p>
    <w:p w14:paraId="439325D9" w14:textId="77777777" w:rsidR="00695D38" w:rsidRPr="00695D38" w:rsidRDefault="00695D38" w:rsidP="00593C17">
      <w:pPr>
        <w:spacing w:after="60" w:line="300" w:lineRule="atLeast"/>
        <w:jc w:val="both"/>
        <w:rPr>
          <w:rFonts w:ascii="Times New Roman" w:hAnsi="Times New Roman" w:cs="Times New Roman"/>
          <w:i/>
          <w:color w:val="4472C4"/>
          <w:sz w:val="24"/>
          <w:szCs w:val="24"/>
        </w:rPr>
      </w:pPr>
      <w:r w:rsidRPr="00695D38">
        <w:rPr>
          <w:rFonts w:ascii="Times New Roman" w:hAnsi="Times New Roman" w:cs="Times New Roman"/>
          <w:i/>
          <w:color w:val="4472C4"/>
          <w:sz w:val="24"/>
          <w:szCs w:val="24"/>
        </w:rPr>
        <w:t>Wojewódzki Inspektorat Ochrony Środowiska w Katowicach</w:t>
      </w:r>
    </w:p>
    <w:p w14:paraId="32F2FAD5" w14:textId="77777777" w:rsidR="00A64784" w:rsidRDefault="00695D38" w:rsidP="00695D38">
      <w:pPr>
        <w:spacing w:line="300" w:lineRule="atLeast"/>
        <w:ind w:firstLine="708"/>
        <w:contextualSpacing/>
        <w:jc w:val="both"/>
        <w:rPr>
          <w:rFonts w:ascii="Times New Roman" w:hAnsi="Times New Roman" w:cs="Times New Roman"/>
          <w:sz w:val="24"/>
          <w:szCs w:val="24"/>
        </w:rPr>
      </w:pPr>
      <w:r w:rsidRPr="00695D38">
        <w:rPr>
          <w:rFonts w:ascii="Times New Roman" w:hAnsi="Times New Roman" w:cs="Times New Roman"/>
          <w:sz w:val="24"/>
          <w:szCs w:val="24"/>
        </w:rPr>
        <w:t xml:space="preserve">Głównym kierunkiem ujawnianych przestępstw przeciwko środowisku jest gospodarowanie odpadami w miejscach na ten cel nieprzeznaczonych, w tym zbieranie odpadów i ich przetwarzanie bez zezwolenia, z naruszeniem podstawowych warunków ochrony środowiska. Szczególnym zjawiskiem są nielegalne transporty odpadów w miejsca, w których prowadzona jest działalność w zakresie rekultywacji terenu, na podstawie obowiązujących zezwoleń. Proceder ten dotyczy legalnie działających miejsc rekultywacji lub niwelacji terenów, do których trafiają odpady niewyszczególnione w decyzjach z zakresu ochrony środowiska będących w posiadaniu podmiotów realizujących prace na ww. terenach. Transportowane są odpady, które nie są dopuszczone do przetworzenia lub zbierania w danym miejscu, na które wystawiono fałszywą kartę przekazania odpadów na czas przejazdu. </w:t>
      </w:r>
    </w:p>
    <w:p w14:paraId="7F1FC148" w14:textId="5A159D35" w:rsidR="00695D38" w:rsidRPr="00695D38" w:rsidRDefault="00695D38" w:rsidP="00A64784">
      <w:pPr>
        <w:spacing w:line="300" w:lineRule="atLeast"/>
        <w:ind w:firstLine="567"/>
        <w:contextualSpacing/>
        <w:jc w:val="both"/>
        <w:rPr>
          <w:rFonts w:ascii="Times New Roman" w:hAnsi="Times New Roman" w:cs="Times New Roman"/>
          <w:sz w:val="24"/>
          <w:szCs w:val="24"/>
        </w:rPr>
      </w:pPr>
      <w:r w:rsidRPr="00695D38">
        <w:rPr>
          <w:rFonts w:ascii="Times New Roman" w:hAnsi="Times New Roman" w:cs="Times New Roman"/>
          <w:sz w:val="24"/>
          <w:szCs w:val="24"/>
        </w:rPr>
        <w:t xml:space="preserve">W  2022 r. ujawniono kilkanaście miejsc nielegalnego zdeponowania lub porzucenia odpadów. W kilku przypadkach ujawniono również nielegalne przemieszczanie odpadów </w:t>
      </w:r>
      <w:r w:rsidR="00A64784">
        <w:rPr>
          <w:rFonts w:ascii="Times New Roman" w:hAnsi="Times New Roman" w:cs="Times New Roman"/>
          <w:sz w:val="24"/>
          <w:szCs w:val="24"/>
        </w:rPr>
        <w:br/>
      </w:r>
      <w:r w:rsidRPr="00695D38">
        <w:rPr>
          <w:rFonts w:ascii="Times New Roman" w:hAnsi="Times New Roman" w:cs="Times New Roman"/>
          <w:sz w:val="24"/>
          <w:szCs w:val="24"/>
        </w:rPr>
        <w:t xml:space="preserve">o charakterze międzywojewódzkim. W tym zakresie Wydział współpracował z Wojewódzkimi Inspektoratami Ochrony Środowiska w tym w Krakowie, Opolu, Wrocławiu oraz Policją  </w:t>
      </w:r>
      <w:r w:rsidR="00A64784">
        <w:rPr>
          <w:rFonts w:ascii="Times New Roman" w:hAnsi="Times New Roman" w:cs="Times New Roman"/>
          <w:sz w:val="24"/>
          <w:szCs w:val="24"/>
        </w:rPr>
        <w:br/>
      </w:r>
      <w:r w:rsidRPr="00695D38">
        <w:rPr>
          <w:rFonts w:ascii="Times New Roman" w:hAnsi="Times New Roman" w:cs="Times New Roman"/>
          <w:sz w:val="24"/>
          <w:szCs w:val="24"/>
        </w:rPr>
        <w:t>i Wojewódzkim Inspektoratem Transportu Drogowego.</w:t>
      </w:r>
    </w:p>
    <w:p w14:paraId="0046E3FE" w14:textId="13906057" w:rsidR="00695D38" w:rsidRPr="00695D38" w:rsidRDefault="00695D38" w:rsidP="00A64784">
      <w:pPr>
        <w:spacing w:line="300" w:lineRule="atLeast"/>
        <w:ind w:firstLine="567"/>
        <w:contextualSpacing/>
        <w:jc w:val="both"/>
        <w:rPr>
          <w:rFonts w:ascii="Times New Roman" w:hAnsi="Times New Roman" w:cs="Times New Roman"/>
          <w:sz w:val="24"/>
          <w:szCs w:val="24"/>
        </w:rPr>
      </w:pPr>
      <w:r w:rsidRPr="00695D38">
        <w:rPr>
          <w:rFonts w:ascii="Times New Roman" w:hAnsi="Times New Roman" w:cs="Times New Roman"/>
          <w:sz w:val="24"/>
          <w:szCs w:val="24"/>
        </w:rPr>
        <w:t xml:space="preserve">W związku z powziętymi informacjami z innych Wojewódzkich Inspektoratów Ochrony Środowiska prowadzone są kontrole w podmiotach transportujących odpady, z uwagi na stwierdzone nieprawidłowości w ewidencji odpadowej, głównie w zakresie kart przekazania odpadów generowanych w systemie BDO. Fikcyjny obrót kartami przekazania w bazie BDO ma charakter międzywojewódzki, co wymaga skoordynowania działań różnych inspektoratów w celu ujawnienia przypadków fikcyjnych lub nielegalnych transportów. Na podstawie dotychczasowych ustaleń można stwierdzić, że w różnych województwach istnieją podmioty, które niezgodnie z prawdą poświadczają w bazie BDO przyjmowanie odpadów w znacznych ilościach, od różnych podmiotów w kraju. Ujawnianie takich przypadków utrudnia zorganizowana sieć pośredników w obrocie odpadami. Wszystkie stwierdzone przypadki miały charakter przestępczości zorganizowanej, w której uczestniczyło kilka podmiotów gospodarczych. Sprawy prowadzą właściwe terytorialne Prokuratury. </w:t>
      </w:r>
    </w:p>
    <w:p w14:paraId="3AA52C10" w14:textId="77777777" w:rsidR="00695D38" w:rsidRPr="00695D38" w:rsidRDefault="00695D38" w:rsidP="00695D38">
      <w:pPr>
        <w:spacing w:line="300" w:lineRule="atLeast"/>
        <w:contextualSpacing/>
        <w:jc w:val="both"/>
        <w:rPr>
          <w:rFonts w:ascii="Times New Roman" w:hAnsi="Times New Roman" w:cs="Times New Roman"/>
          <w:i/>
          <w:color w:val="4472C4"/>
          <w:sz w:val="24"/>
          <w:szCs w:val="24"/>
        </w:rPr>
      </w:pPr>
    </w:p>
    <w:p w14:paraId="6D9842C5" w14:textId="77777777" w:rsidR="00695D38" w:rsidRPr="00695D38" w:rsidRDefault="00695D38" w:rsidP="00A64784">
      <w:pPr>
        <w:spacing w:after="60" w:line="300" w:lineRule="atLeast"/>
        <w:jc w:val="both"/>
        <w:rPr>
          <w:rFonts w:ascii="Times New Roman" w:hAnsi="Times New Roman" w:cs="Times New Roman"/>
          <w:i/>
          <w:color w:val="4472C4"/>
          <w:sz w:val="24"/>
          <w:szCs w:val="24"/>
        </w:rPr>
      </w:pPr>
      <w:r w:rsidRPr="00695D38">
        <w:rPr>
          <w:rFonts w:ascii="Times New Roman" w:hAnsi="Times New Roman" w:cs="Times New Roman"/>
          <w:i/>
          <w:color w:val="4472C4"/>
          <w:sz w:val="24"/>
          <w:szCs w:val="24"/>
        </w:rPr>
        <w:t>Wojewódzki Inspektorat Ochrony Środowiska w Kielcach</w:t>
      </w:r>
    </w:p>
    <w:p w14:paraId="05466972" w14:textId="77777777" w:rsidR="00695D38" w:rsidRPr="00695D38" w:rsidRDefault="00695D38" w:rsidP="00A64784">
      <w:pPr>
        <w:pStyle w:val="Akapitzlist"/>
        <w:spacing w:line="300" w:lineRule="atLeast"/>
        <w:ind w:left="0" w:firstLine="567"/>
        <w:jc w:val="both"/>
        <w:rPr>
          <w:iCs/>
          <w:sz w:val="24"/>
          <w:szCs w:val="24"/>
        </w:rPr>
      </w:pPr>
      <w:r w:rsidRPr="00695D38">
        <w:rPr>
          <w:iCs/>
          <w:sz w:val="24"/>
          <w:szCs w:val="24"/>
        </w:rPr>
        <w:t>Na terenie województwa świętokrzyskiego ujawniono w 2022 r. następujące rodzaje przestępstw środowiskowych:</w:t>
      </w:r>
    </w:p>
    <w:p w14:paraId="7947E0D9" w14:textId="214BDFE3" w:rsidR="00695D38" w:rsidRPr="00695D38" w:rsidRDefault="00695D38" w:rsidP="00D34F97">
      <w:pPr>
        <w:pStyle w:val="Akapitzlist"/>
        <w:numPr>
          <w:ilvl w:val="0"/>
          <w:numId w:val="227"/>
        </w:numPr>
        <w:spacing w:line="300" w:lineRule="atLeast"/>
        <w:ind w:left="641" w:hanging="357"/>
        <w:jc w:val="both"/>
        <w:rPr>
          <w:iCs/>
          <w:sz w:val="24"/>
          <w:szCs w:val="24"/>
        </w:rPr>
      </w:pPr>
      <w:r w:rsidRPr="00695D38">
        <w:rPr>
          <w:iCs/>
          <w:sz w:val="24"/>
          <w:szCs w:val="24"/>
        </w:rPr>
        <w:t>porzucanie różnego rodzaju odpadów, głównie pochodzenia chemicznego</w:t>
      </w:r>
      <w:r w:rsidR="00A64784">
        <w:rPr>
          <w:iCs/>
          <w:sz w:val="24"/>
          <w:szCs w:val="24"/>
          <w:lang w:val="pl-PL"/>
        </w:rPr>
        <w:t xml:space="preserve">. </w:t>
      </w:r>
      <w:r w:rsidR="00A64784">
        <w:rPr>
          <w:iCs/>
          <w:sz w:val="24"/>
          <w:szCs w:val="24"/>
          <w:lang w:val="pl-PL"/>
        </w:rPr>
        <w:br/>
        <w:t xml:space="preserve">Po </w:t>
      </w:r>
      <w:r w:rsidRPr="00695D38">
        <w:rPr>
          <w:iCs/>
          <w:sz w:val="24"/>
          <w:szCs w:val="24"/>
        </w:rPr>
        <w:t>przywiezieniu odpadów na teren placów i hal magazynowych odpady</w:t>
      </w:r>
      <w:r w:rsidR="00A64784">
        <w:rPr>
          <w:iCs/>
          <w:sz w:val="24"/>
          <w:szCs w:val="24"/>
          <w:lang w:val="pl-PL"/>
        </w:rPr>
        <w:t xml:space="preserve"> są </w:t>
      </w:r>
      <w:r w:rsidRPr="00695D38">
        <w:rPr>
          <w:iCs/>
          <w:sz w:val="24"/>
          <w:szCs w:val="24"/>
        </w:rPr>
        <w:t xml:space="preserve">pozostawiane bez żadnego zabezpieczenia i nadzoru. Sposób magazynowania odpadów nie spełnia żadnych wymagań ochrony środowiska, co stanowi realne niebezpieczeństwo dla ludzi i środowiska oraz stanowi realne zagrożenie pożarowe. Takie działanie wyczerpuje znamiona przestępstwa określonego w art. 183 § 1 oraz 164 § 1 Kodeksu karnego. </w:t>
      </w:r>
      <w:r w:rsidR="00A64784">
        <w:rPr>
          <w:iCs/>
          <w:sz w:val="24"/>
          <w:szCs w:val="24"/>
          <w:lang w:val="pl-PL"/>
        </w:rPr>
        <w:t xml:space="preserve">Tego rodzaju </w:t>
      </w:r>
      <w:r w:rsidRPr="00695D38">
        <w:rPr>
          <w:iCs/>
          <w:sz w:val="24"/>
          <w:szCs w:val="24"/>
        </w:rPr>
        <w:t xml:space="preserve">proceder nastawiony jest na osiąganie bardzo wysokich zysków, </w:t>
      </w:r>
      <w:r w:rsidRPr="00695D38">
        <w:rPr>
          <w:iCs/>
          <w:sz w:val="24"/>
          <w:szCs w:val="24"/>
        </w:rPr>
        <w:lastRenderedPageBreak/>
        <w:t>bez ponoszenia faktycznych kosztów zagospodarowania odpadów. W obrocie odpadami często uczestniczy wiele podmiotów</w:t>
      </w:r>
      <w:r w:rsidR="00A64784">
        <w:rPr>
          <w:iCs/>
          <w:sz w:val="24"/>
          <w:szCs w:val="24"/>
          <w:lang w:val="pl-PL"/>
        </w:rPr>
        <w:t>,</w:t>
      </w:r>
      <w:r w:rsidRPr="00695D38">
        <w:rPr>
          <w:iCs/>
          <w:sz w:val="24"/>
          <w:szCs w:val="24"/>
        </w:rPr>
        <w:t xml:space="preserve"> co jest działaniem celowym</w:t>
      </w:r>
      <w:r w:rsidR="00A64784">
        <w:rPr>
          <w:iCs/>
          <w:sz w:val="24"/>
          <w:szCs w:val="24"/>
          <w:lang w:val="pl-PL"/>
        </w:rPr>
        <w:t>,</w:t>
      </w:r>
      <w:r w:rsidRPr="00695D38">
        <w:rPr>
          <w:iCs/>
          <w:sz w:val="24"/>
          <w:szCs w:val="24"/>
        </w:rPr>
        <w:t xml:space="preserve"> utrudniającym wykrycie nielegalnego procederu i jednoznaczne ustalenie sprawców. Takie postępowanie z odpadami należy kwalifikować do przestępczości zorganizowanej </w:t>
      </w:r>
      <w:r w:rsidR="00A64784">
        <w:rPr>
          <w:iCs/>
          <w:sz w:val="24"/>
          <w:szCs w:val="24"/>
        </w:rPr>
        <w:br/>
      </w:r>
      <w:r w:rsidRPr="00695D38">
        <w:rPr>
          <w:iCs/>
          <w:sz w:val="24"/>
          <w:szCs w:val="24"/>
        </w:rPr>
        <w:t xml:space="preserve">o charakterze </w:t>
      </w:r>
      <w:proofErr w:type="spellStart"/>
      <w:r w:rsidRPr="00695D38">
        <w:rPr>
          <w:iCs/>
          <w:sz w:val="24"/>
          <w:szCs w:val="24"/>
        </w:rPr>
        <w:t>ponadwojewódzkim</w:t>
      </w:r>
      <w:proofErr w:type="spellEnd"/>
      <w:r w:rsidRPr="00695D38">
        <w:rPr>
          <w:iCs/>
          <w:sz w:val="24"/>
          <w:szCs w:val="24"/>
        </w:rPr>
        <w:t xml:space="preserve">. </w:t>
      </w:r>
      <w:r w:rsidR="00A64784">
        <w:rPr>
          <w:iCs/>
          <w:sz w:val="24"/>
          <w:szCs w:val="24"/>
          <w:lang w:val="pl-PL"/>
        </w:rPr>
        <w:t>D</w:t>
      </w:r>
      <w:proofErr w:type="spellStart"/>
      <w:r w:rsidRPr="00695D38">
        <w:rPr>
          <w:iCs/>
          <w:sz w:val="24"/>
          <w:szCs w:val="24"/>
        </w:rPr>
        <w:t>ziałania</w:t>
      </w:r>
      <w:proofErr w:type="spellEnd"/>
      <w:r w:rsidRPr="00695D38">
        <w:rPr>
          <w:iCs/>
          <w:sz w:val="24"/>
          <w:szCs w:val="24"/>
        </w:rPr>
        <w:t xml:space="preserve"> </w:t>
      </w:r>
      <w:r w:rsidR="00A64784">
        <w:rPr>
          <w:iCs/>
          <w:sz w:val="24"/>
          <w:szCs w:val="24"/>
          <w:lang w:val="pl-PL"/>
        </w:rPr>
        <w:t xml:space="preserve">te </w:t>
      </w:r>
      <w:r w:rsidRPr="00695D38">
        <w:rPr>
          <w:iCs/>
          <w:sz w:val="24"/>
          <w:szCs w:val="24"/>
        </w:rPr>
        <w:t>mogą wyczerpywać również znamiona przestępstw określonych w art. 271 i 258 Kodeksu karnego;</w:t>
      </w:r>
    </w:p>
    <w:p w14:paraId="5589EC00" w14:textId="3578187E" w:rsidR="00695D38" w:rsidRPr="00695D38" w:rsidRDefault="00695D38" w:rsidP="00D34F97">
      <w:pPr>
        <w:pStyle w:val="Akapitzlist"/>
        <w:numPr>
          <w:ilvl w:val="0"/>
          <w:numId w:val="227"/>
        </w:numPr>
        <w:spacing w:line="300" w:lineRule="atLeast"/>
        <w:ind w:left="641" w:hanging="357"/>
        <w:jc w:val="both"/>
        <w:rPr>
          <w:iCs/>
          <w:sz w:val="24"/>
          <w:szCs w:val="24"/>
        </w:rPr>
      </w:pPr>
      <w:r w:rsidRPr="00695D38">
        <w:rPr>
          <w:iCs/>
          <w:sz w:val="24"/>
          <w:szCs w:val="24"/>
        </w:rPr>
        <w:t xml:space="preserve">nielegalny obrót odpadami polegający na fikcyjnym wystawianiu kart przekazania odpadów lub niezgodnie ze stanem faktycznym. Odpady nie są dostarczane do miejsc </w:t>
      </w:r>
      <w:r w:rsidR="00A64784">
        <w:rPr>
          <w:iCs/>
          <w:sz w:val="24"/>
          <w:szCs w:val="24"/>
        </w:rPr>
        <w:br/>
      </w:r>
      <w:r w:rsidRPr="00695D38">
        <w:rPr>
          <w:iCs/>
          <w:sz w:val="24"/>
          <w:szCs w:val="24"/>
        </w:rPr>
        <w:t xml:space="preserve">i posiadaczy wskazanych w kartach przekazania odpadów, tylko kierowane w miejsca nieprzeznaczone do magazynowania odpadów. W nielegalnym obrocie odpadami uczestniczy wiele podmiotów, w tym pośredników i transportujących, w celu utrudnienia wykrycia nielegalnego procederu i jednoznaczne ustalenie sprawców. </w:t>
      </w:r>
      <w:r w:rsidR="00A64784">
        <w:rPr>
          <w:iCs/>
          <w:sz w:val="24"/>
          <w:szCs w:val="24"/>
        </w:rPr>
        <w:br/>
      </w:r>
      <w:r w:rsidRPr="00695D38">
        <w:rPr>
          <w:iCs/>
          <w:sz w:val="24"/>
          <w:szCs w:val="24"/>
        </w:rPr>
        <w:t xml:space="preserve">W takim obrocie odpadami często pojawiają się te same podmioty. </w:t>
      </w:r>
      <w:r w:rsidR="00A64784">
        <w:rPr>
          <w:iCs/>
          <w:sz w:val="24"/>
          <w:szCs w:val="24"/>
          <w:lang w:val="pl-PL"/>
        </w:rPr>
        <w:t>N</w:t>
      </w:r>
      <w:proofErr w:type="spellStart"/>
      <w:r w:rsidRPr="00695D38">
        <w:rPr>
          <w:iCs/>
          <w:sz w:val="24"/>
          <w:szCs w:val="24"/>
        </w:rPr>
        <w:t>ieprawidłowości</w:t>
      </w:r>
      <w:proofErr w:type="spellEnd"/>
      <w:r w:rsidR="00A64784">
        <w:rPr>
          <w:iCs/>
          <w:sz w:val="24"/>
          <w:szCs w:val="24"/>
          <w:lang w:val="pl-PL"/>
        </w:rPr>
        <w:t xml:space="preserve"> te</w:t>
      </w:r>
      <w:r w:rsidRPr="00695D38">
        <w:rPr>
          <w:iCs/>
          <w:sz w:val="24"/>
          <w:szCs w:val="24"/>
        </w:rPr>
        <w:t xml:space="preserve"> wyczerpują znamiona przestępstw określonych w art. 271, 258 i 183 § 1 Kodeksu karnego. Nielegalny obrót odpadami, w który zaangażowana jest bardzo duża liczba podmiotów z terenu praktycznie całego kraju należy kwalifikować do przestępczości zorganizowanej, o charakterze </w:t>
      </w:r>
      <w:proofErr w:type="spellStart"/>
      <w:r w:rsidRPr="00695D38">
        <w:rPr>
          <w:iCs/>
          <w:sz w:val="24"/>
          <w:szCs w:val="24"/>
        </w:rPr>
        <w:t>ponadwojewódzkim</w:t>
      </w:r>
      <w:proofErr w:type="spellEnd"/>
      <w:r w:rsidRPr="00695D38">
        <w:rPr>
          <w:iCs/>
          <w:sz w:val="24"/>
          <w:szCs w:val="24"/>
        </w:rPr>
        <w:t xml:space="preserve">. </w:t>
      </w:r>
      <w:r w:rsidR="00A64784">
        <w:rPr>
          <w:iCs/>
          <w:sz w:val="24"/>
          <w:szCs w:val="24"/>
          <w:lang w:val="pl-PL"/>
        </w:rPr>
        <w:t xml:space="preserve">Tego rodzaju </w:t>
      </w:r>
      <w:r w:rsidRPr="00695D38">
        <w:rPr>
          <w:iCs/>
          <w:sz w:val="24"/>
          <w:szCs w:val="24"/>
        </w:rPr>
        <w:t>proceder nastawiony jest na osiąganie bardzo wysokich zysków, bez ponoszenia faktycznych kosztów zagospodarowania odpadów, które mogą trafiać w bliżej nieokreślone miejsca, stanowiąc niebezpieczeństwo dla ludzi i środowiska;</w:t>
      </w:r>
    </w:p>
    <w:p w14:paraId="272FAFEA" w14:textId="27D34155" w:rsidR="00695D38" w:rsidRPr="00695D38" w:rsidRDefault="00695D38" w:rsidP="00D34F97">
      <w:pPr>
        <w:pStyle w:val="Akapitzlist"/>
        <w:numPr>
          <w:ilvl w:val="0"/>
          <w:numId w:val="227"/>
        </w:numPr>
        <w:spacing w:line="300" w:lineRule="atLeast"/>
        <w:ind w:left="641" w:hanging="357"/>
        <w:jc w:val="both"/>
        <w:rPr>
          <w:iCs/>
          <w:sz w:val="24"/>
          <w:szCs w:val="24"/>
        </w:rPr>
      </w:pPr>
      <w:r w:rsidRPr="00695D38">
        <w:rPr>
          <w:iCs/>
          <w:sz w:val="24"/>
          <w:szCs w:val="24"/>
        </w:rPr>
        <w:t xml:space="preserve">niewłaściwe gospodarowanie odpadami legalnie funkcjonujących podmiotów w celu osiągnięcia jak największego zysku bez ponoszenia wysokich kosztów. Proceder polega np. na zakopywaniu odpadów, spalaniu lub prowadzeniu niewłaściwego lub fikcyjnego przetwarzania, na podstawie posiadanych decyzji administracyjnych. Zauważa się, iż podmioty prowadzące zagospodarowanie odpadów w ramach wykonania zastępczego realizowanego przez organy samorządowe dopuszczają się wielu nieprawidłowości </w:t>
      </w:r>
      <w:r w:rsidR="00A64784">
        <w:rPr>
          <w:iCs/>
          <w:sz w:val="24"/>
          <w:szCs w:val="24"/>
        </w:rPr>
        <w:br/>
      </w:r>
      <w:r w:rsidRPr="00695D38">
        <w:rPr>
          <w:iCs/>
          <w:sz w:val="24"/>
          <w:szCs w:val="24"/>
        </w:rPr>
        <w:t>w tym zakresie. Proceder ten wyczerpuje znamiona przestępstwa określonego w art. 183 § 1 Kodeksu karnego, często połączony jest z szeregiem przestępstw dot</w:t>
      </w:r>
      <w:r w:rsidR="00A64784">
        <w:rPr>
          <w:iCs/>
          <w:sz w:val="24"/>
          <w:szCs w:val="24"/>
          <w:lang w:val="pl-PL"/>
        </w:rPr>
        <w:t>yczących</w:t>
      </w:r>
      <w:r w:rsidRPr="00695D38">
        <w:rPr>
          <w:iCs/>
          <w:sz w:val="24"/>
          <w:szCs w:val="24"/>
        </w:rPr>
        <w:t xml:space="preserve"> wiarygodności dokumentów, co może stanowić przestępstwo określone w art. 271 KK. Działanie podmiotów może również stanowić przestępczość zorganizowaną, ze względu na występowanie wielu podmiotów w obrocie odpadami;</w:t>
      </w:r>
    </w:p>
    <w:p w14:paraId="6B7C7DC5" w14:textId="2625A055" w:rsidR="00695D38" w:rsidRPr="00695D38" w:rsidRDefault="00695D38" w:rsidP="00D34F97">
      <w:pPr>
        <w:pStyle w:val="Akapitzlist"/>
        <w:numPr>
          <w:ilvl w:val="0"/>
          <w:numId w:val="227"/>
        </w:numPr>
        <w:spacing w:line="300" w:lineRule="atLeast"/>
        <w:ind w:left="641" w:hanging="357"/>
        <w:jc w:val="both"/>
        <w:rPr>
          <w:iCs/>
          <w:sz w:val="24"/>
          <w:szCs w:val="24"/>
        </w:rPr>
      </w:pPr>
      <w:r w:rsidRPr="00695D38">
        <w:rPr>
          <w:iCs/>
          <w:sz w:val="24"/>
          <w:szCs w:val="24"/>
        </w:rPr>
        <w:t xml:space="preserve">nielegalny demontaż pojazdów, prowadzony przez handlujących pojazdami </w:t>
      </w:r>
      <w:r w:rsidR="00A64784">
        <w:rPr>
          <w:iCs/>
          <w:sz w:val="24"/>
          <w:szCs w:val="24"/>
          <w:lang w:val="pl-PL"/>
        </w:rPr>
        <w:t xml:space="preserve">i </w:t>
      </w:r>
      <w:r w:rsidRPr="00695D38">
        <w:rPr>
          <w:iCs/>
          <w:sz w:val="24"/>
          <w:szCs w:val="24"/>
        </w:rPr>
        <w:t xml:space="preserve">częściami zamiennymi oraz przez prowadzących warsztaty samochodowe. Są to podmioty nieposiadające żadnych uregulowań formalno-prawnych w zakresie gospodarki odpadami, niespełniające żadnych wymogów z zakresu ochrony środowiska. Sposób postępowania z odpadami może  wyczerpywać znamiona przestępstwa określonego </w:t>
      </w:r>
      <w:r w:rsidR="00A64784">
        <w:rPr>
          <w:iCs/>
          <w:sz w:val="24"/>
          <w:szCs w:val="24"/>
        </w:rPr>
        <w:br/>
      </w:r>
      <w:r w:rsidRPr="00695D38">
        <w:rPr>
          <w:iCs/>
          <w:sz w:val="24"/>
          <w:szCs w:val="24"/>
        </w:rPr>
        <w:t>w art. 183 § 1 Kodeksu karnego. Zdarza się, ż</w:t>
      </w:r>
      <w:r w:rsidR="00A64784">
        <w:rPr>
          <w:iCs/>
          <w:sz w:val="24"/>
          <w:szCs w:val="24"/>
          <w:lang w:val="pl-PL"/>
        </w:rPr>
        <w:t>e</w:t>
      </w:r>
      <w:r w:rsidRPr="00695D38">
        <w:rPr>
          <w:iCs/>
          <w:sz w:val="24"/>
          <w:szCs w:val="24"/>
        </w:rPr>
        <w:t xml:space="preserve"> proceder nielegalnego demontażu pojazdów powiązany jest z innymi przestępstwami, np. usuwaniem cech identyfikacyjnych pojazdów i fałszowaniem umów zakupu pojazdów. Zdarza się również, ż</w:t>
      </w:r>
      <w:r w:rsidR="00A64784">
        <w:rPr>
          <w:iCs/>
          <w:sz w:val="24"/>
          <w:szCs w:val="24"/>
          <w:lang w:val="pl-PL"/>
        </w:rPr>
        <w:t>e</w:t>
      </w:r>
      <w:r w:rsidRPr="00695D38">
        <w:rPr>
          <w:iCs/>
          <w:sz w:val="24"/>
          <w:szCs w:val="24"/>
        </w:rPr>
        <w:t> pojazdy przeznaczone do demontażu sprowadzane są z zagranicy, co może stanowić transgraniczne przemieszczanie odpadów.</w:t>
      </w:r>
    </w:p>
    <w:p w14:paraId="571D2770" w14:textId="77777777" w:rsidR="00695D38" w:rsidRPr="00695D38" w:rsidRDefault="00695D38" w:rsidP="00695D38">
      <w:pPr>
        <w:spacing w:line="300" w:lineRule="atLeast"/>
        <w:contextualSpacing/>
        <w:jc w:val="both"/>
        <w:rPr>
          <w:rFonts w:ascii="Times New Roman" w:hAnsi="Times New Roman" w:cs="Times New Roman"/>
          <w:i/>
          <w:color w:val="4472C4"/>
          <w:sz w:val="24"/>
          <w:szCs w:val="24"/>
        </w:rPr>
      </w:pPr>
    </w:p>
    <w:p w14:paraId="147EC882" w14:textId="77777777" w:rsidR="00695D38" w:rsidRPr="00695D38" w:rsidRDefault="00695D38" w:rsidP="00BC5C87">
      <w:pPr>
        <w:spacing w:after="60" w:line="300" w:lineRule="atLeast"/>
        <w:jc w:val="both"/>
        <w:rPr>
          <w:rFonts w:ascii="Times New Roman" w:hAnsi="Times New Roman" w:cs="Times New Roman"/>
          <w:i/>
          <w:color w:val="4472C4"/>
          <w:sz w:val="24"/>
          <w:szCs w:val="24"/>
        </w:rPr>
      </w:pPr>
      <w:r w:rsidRPr="00695D38">
        <w:rPr>
          <w:rFonts w:ascii="Times New Roman" w:hAnsi="Times New Roman" w:cs="Times New Roman"/>
          <w:i/>
          <w:color w:val="4472C4"/>
          <w:sz w:val="24"/>
          <w:szCs w:val="24"/>
        </w:rPr>
        <w:t>Wojewódzki Inspektorat Ochrony Środowiska w Krakowie</w:t>
      </w:r>
    </w:p>
    <w:p w14:paraId="5EDEEE61" w14:textId="77777777" w:rsidR="00695D38" w:rsidRPr="00695D38" w:rsidRDefault="00695D38" w:rsidP="00480AD6">
      <w:pPr>
        <w:autoSpaceDE w:val="0"/>
        <w:autoSpaceDN w:val="0"/>
        <w:adjustRightInd w:val="0"/>
        <w:spacing w:after="0" w:line="300" w:lineRule="atLeast"/>
        <w:ind w:firstLine="357"/>
        <w:jc w:val="both"/>
        <w:rPr>
          <w:rFonts w:ascii="Times New Roman" w:hAnsi="Times New Roman" w:cs="Times New Roman"/>
          <w:sz w:val="24"/>
          <w:szCs w:val="24"/>
        </w:rPr>
      </w:pPr>
      <w:r w:rsidRPr="00695D38">
        <w:rPr>
          <w:rFonts w:ascii="Times New Roman" w:hAnsi="Times New Roman" w:cs="Times New Roman"/>
          <w:sz w:val="24"/>
          <w:szCs w:val="24"/>
        </w:rPr>
        <w:t xml:space="preserve">W 2022 roku w dalszym stopniu nasilano działania w zakresie wykrywania </w:t>
      </w:r>
      <w:r w:rsidRPr="00695D38">
        <w:rPr>
          <w:rFonts w:ascii="Times New Roman" w:hAnsi="Times New Roman" w:cs="Times New Roman"/>
          <w:sz w:val="24"/>
          <w:szCs w:val="24"/>
        </w:rPr>
        <w:br/>
        <w:t>i przeciwdziałania przestępczości przeciwko środowisku. Prowadzone działania związane były z:</w:t>
      </w:r>
    </w:p>
    <w:p w14:paraId="296BE032" w14:textId="77777777" w:rsidR="00695D38" w:rsidRPr="00695D38" w:rsidRDefault="00695D38" w:rsidP="00D34F97">
      <w:pPr>
        <w:numPr>
          <w:ilvl w:val="0"/>
          <w:numId w:val="231"/>
        </w:numPr>
        <w:autoSpaceDE w:val="0"/>
        <w:autoSpaceDN w:val="0"/>
        <w:adjustRightInd w:val="0"/>
        <w:spacing w:after="0" w:line="300" w:lineRule="atLeast"/>
        <w:ind w:left="714" w:hanging="357"/>
        <w:contextualSpacing/>
        <w:jc w:val="both"/>
        <w:rPr>
          <w:rFonts w:ascii="Times New Roman" w:hAnsi="Times New Roman" w:cs="Times New Roman"/>
          <w:sz w:val="24"/>
          <w:szCs w:val="24"/>
        </w:rPr>
      </w:pPr>
      <w:r w:rsidRPr="00695D38">
        <w:rPr>
          <w:rFonts w:ascii="Times New Roman" w:hAnsi="Times New Roman" w:cs="Times New Roman"/>
          <w:sz w:val="24"/>
          <w:szCs w:val="24"/>
        </w:rPr>
        <w:lastRenderedPageBreak/>
        <w:t>ogólnopolskimi działaniami przeciwko zorganizowanym grupom przestępczym prowadzącym fikcyjny obrót odpadami,</w:t>
      </w:r>
    </w:p>
    <w:p w14:paraId="2A84B9A7" w14:textId="77777777" w:rsidR="00695D38" w:rsidRPr="00695D38" w:rsidRDefault="00695D38" w:rsidP="00D34F97">
      <w:pPr>
        <w:numPr>
          <w:ilvl w:val="0"/>
          <w:numId w:val="231"/>
        </w:numPr>
        <w:autoSpaceDE w:val="0"/>
        <w:autoSpaceDN w:val="0"/>
        <w:adjustRightInd w:val="0"/>
        <w:spacing w:after="0" w:line="300" w:lineRule="atLeast"/>
        <w:contextualSpacing/>
        <w:jc w:val="both"/>
        <w:rPr>
          <w:rFonts w:ascii="Times New Roman" w:hAnsi="Times New Roman" w:cs="Times New Roman"/>
          <w:sz w:val="24"/>
          <w:szCs w:val="24"/>
        </w:rPr>
      </w:pPr>
      <w:r w:rsidRPr="00695D38">
        <w:rPr>
          <w:rFonts w:ascii="Times New Roman" w:hAnsi="Times New Roman" w:cs="Times New Roman"/>
          <w:sz w:val="24"/>
          <w:szCs w:val="24"/>
        </w:rPr>
        <w:t xml:space="preserve">podmiotami prowadzącymi działalność w zakresie gospodarowania odpadami (zbieranie odpadów, przetwarzanie odpadów), </w:t>
      </w:r>
    </w:p>
    <w:p w14:paraId="40D30D31" w14:textId="3537AAC2" w:rsidR="00695D38" w:rsidRPr="00695D38" w:rsidRDefault="00695D38" w:rsidP="00D34F97">
      <w:pPr>
        <w:numPr>
          <w:ilvl w:val="0"/>
          <w:numId w:val="231"/>
        </w:numPr>
        <w:autoSpaceDE w:val="0"/>
        <w:autoSpaceDN w:val="0"/>
        <w:adjustRightInd w:val="0"/>
        <w:spacing w:after="0" w:line="300" w:lineRule="atLeast"/>
        <w:contextualSpacing/>
        <w:jc w:val="both"/>
        <w:rPr>
          <w:rFonts w:ascii="Times New Roman" w:hAnsi="Times New Roman" w:cs="Times New Roman"/>
          <w:sz w:val="24"/>
          <w:szCs w:val="24"/>
        </w:rPr>
      </w:pPr>
      <w:r w:rsidRPr="00695D38">
        <w:rPr>
          <w:rFonts w:ascii="Times New Roman" w:hAnsi="Times New Roman" w:cs="Times New Roman"/>
          <w:sz w:val="24"/>
          <w:szCs w:val="24"/>
        </w:rPr>
        <w:t xml:space="preserve">akcjami kontrolnymi na drogach w zakresie transportu odpadów (krajowy </w:t>
      </w:r>
      <w:r w:rsidR="00BC5C87">
        <w:rPr>
          <w:rFonts w:ascii="Times New Roman" w:hAnsi="Times New Roman" w:cs="Times New Roman"/>
          <w:sz w:val="24"/>
          <w:szCs w:val="24"/>
        </w:rPr>
        <w:br/>
      </w:r>
      <w:r w:rsidRPr="00695D38">
        <w:rPr>
          <w:rFonts w:ascii="Times New Roman" w:hAnsi="Times New Roman" w:cs="Times New Roman"/>
          <w:sz w:val="24"/>
          <w:szCs w:val="24"/>
        </w:rPr>
        <w:t xml:space="preserve">i zagraniczny), </w:t>
      </w:r>
    </w:p>
    <w:p w14:paraId="7BADDC40" w14:textId="77777777" w:rsidR="00695D38" w:rsidRPr="00695D38" w:rsidRDefault="00695D38" w:rsidP="00D34F97">
      <w:pPr>
        <w:numPr>
          <w:ilvl w:val="0"/>
          <w:numId w:val="231"/>
        </w:numPr>
        <w:autoSpaceDE w:val="0"/>
        <w:autoSpaceDN w:val="0"/>
        <w:adjustRightInd w:val="0"/>
        <w:spacing w:after="0" w:line="300" w:lineRule="atLeast"/>
        <w:contextualSpacing/>
        <w:jc w:val="both"/>
        <w:rPr>
          <w:rFonts w:ascii="Times New Roman" w:hAnsi="Times New Roman" w:cs="Times New Roman"/>
          <w:sz w:val="24"/>
          <w:szCs w:val="24"/>
        </w:rPr>
      </w:pPr>
      <w:r w:rsidRPr="00695D38">
        <w:rPr>
          <w:rFonts w:ascii="Times New Roman" w:hAnsi="Times New Roman" w:cs="Times New Roman"/>
          <w:sz w:val="24"/>
          <w:szCs w:val="24"/>
        </w:rPr>
        <w:t>lokalnymi przypadkami nielegalnego pozbywania się odpadów w sposób prowadzący do zagrożenia zdrowia i życia ludzi lub środowiska,</w:t>
      </w:r>
    </w:p>
    <w:p w14:paraId="57E78014" w14:textId="77777777" w:rsidR="00695D38" w:rsidRPr="00695D38" w:rsidRDefault="00695D38" w:rsidP="00D34F97">
      <w:pPr>
        <w:numPr>
          <w:ilvl w:val="0"/>
          <w:numId w:val="231"/>
        </w:numPr>
        <w:autoSpaceDE w:val="0"/>
        <w:autoSpaceDN w:val="0"/>
        <w:adjustRightInd w:val="0"/>
        <w:spacing w:after="0" w:line="300" w:lineRule="atLeast"/>
        <w:contextualSpacing/>
        <w:rPr>
          <w:rFonts w:ascii="Times New Roman" w:hAnsi="Times New Roman" w:cs="Times New Roman"/>
          <w:sz w:val="24"/>
          <w:szCs w:val="24"/>
        </w:rPr>
      </w:pPr>
      <w:r w:rsidRPr="00695D38">
        <w:rPr>
          <w:rFonts w:ascii="Times New Roman" w:hAnsi="Times New Roman" w:cs="Times New Roman"/>
          <w:sz w:val="24"/>
          <w:szCs w:val="24"/>
        </w:rPr>
        <w:t>nielegalnym demontażem pojazdów,</w:t>
      </w:r>
    </w:p>
    <w:p w14:paraId="672970C8" w14:textId="77777777" w:rsidR="00695D38" w:rsidRPr="00695D38" w:rsidRDefault="00695D38" w:rsidP="00D34F97">
      <w:pPr>
        <w:numPr>
          <w:ilvl w:val="0"/>
          <w:numId w:val="231"/>
        </w:numPr>
        <w:autoSpaceDE w:val="0"/>
        <w:autoSpaceDN w:val="0"/>
        <w:adjustRightInd w:val="0"/>
        <w:spacing w:after="0" w:line="300" w:lineRule="atLeast"/>
        <w:contextualSpacing/>
        <w:rPr>
          <w:rFonts w:ascii="Times New Roman" w:hAnsi="Times New Roman" w:cs="Times New Roman"/>
          <w:sz w:val="24"/>
          <w:szCs w:val="24"/>
        </w:rPr>
      </w:pPr>
      <w:r w:rsidRPr="00695D38">
        <w:rPr>
          <w:rFonts w:ascii="Times New Roman" w:hAnsi="Times New Roman" w:cs="Times New Roman"/>
          <w:sz w:val="24"/>
          <w:szCs w:val="24"/>
        </w:rPr>
        <w:t>współdziałaniem pomiędzy organami, w tym aktualizacji posiadanych porozumień.</w:t>
      </w:r>
    </w:p>
    <w:p w14:paraId="3BD8899D" w14:textId="77777777" w:rsidR="00695D38" w:rsidRPr="00695D38" w:rsidRDefault="00695D38" w:rsidP="00BC5C87">
      <w:pPr>
        <w:autoSpaceDE w:val="0"/>
        <w:autoSpaceDN w:val="0"/>
        <w:adjustRightInd w:val="0"/>
        <w:spacing w:line="300" w:lineRule="atLeast"/>
        <w:contextualSpacing/>
        <w:rPr>
          <w:rFonts w:ascii="Times New Roman" w:hAnsi="Times New Roman" w:cs="Times New Roman"/>
          <w:sz w:val="24"/>
          <w:szCs w:val="24"/>
        </w:rPr>
      </w:pPr>
    </w:p>
    <w:p w14:paraId="7D242785" w14:textId="18CA0DFE" w:rsidR="00695D38" w:rsidRPr="00695D38" w:rsidRDefault="00695D38" w:rsidP="00BC5C87">
      <w:pPr>
        <w:autoSpaceDE w:val="0"/>
        <w:autoSpaceDN w:val="0"/>
        <w:adjustRightInd w:val="0"/>
        <w:spacing w:line="300" w:lineRule="atLeast"/>
        <w:ind w:firstLine="567"/>
        <w:contextualSpacing/>
        <w:jc w:val="both"/>
        <w:rPr>
          <w:rFonts w:ascii="Times New Roman" w:hAnsi="Times New Roman" w:cs="Times New Roman"/>
          <w:sz w:val="24"/>
          <w:szCs w:val="24"/>
        </w:rPr>
      </w:pPr>
      <w:r w:rsidRPr="00695D38">
        <w:rPr>
          <w:rFonts w:ascii="Times New Roman" w:hAnsi="Times New Roman" w:cs="Times New Roman"/>
          <w:sz w:val="24"/>
          <w:szCs w:val="24"/>
        </w:rPr>
        <w:t xml:space="preserve">Najistotniejsze z przeprowadzonych działań były związane z podmiotami prowadzącymi fikcyjny obrót odpadami. Działania te zwykle inicjował fakt stwierdzenia w trakcie podjętych kontroli/czynności na podstawie art. 10b ustawy o IOŚ, że na teren podmiotu w rzeczywistości nie dojeżdżają odpady, a w systemie BDO widnieją, że zostały one dostarczone. Sytuacje takie zostały stwierdzone zarówno na terenie województwa małopolskiego, jak i innych województw, w związku z czym do </w:t>
      </w:r>
      <w:r w:rsidR="00BC5C87">
        <w:rPr>
          <w:rFonts w:ascii="Times New Roman" w:hAnsi="Times New Roman" w:cs="Times New Roman"/>
          <w:sz w:val="24"/>
          <w:szCs w:val="24"/>
        </w:rPr>
        <w:t xml:space="preserve">Małopolskiego WIOŚ </w:t>
      </w:r>
      <w:r w:rsidRPr="00695D38">
        <w:rPr>
          <w:rFonts w:ascii="Times New Roman" w:hAnsi="Times New Roman" w:cs="Times New Roman"/>
          <w:sz w:val="24"/>
          <w:szCs w:val="24"/>
        </w:rPr>
        <w:t xml:space="preserve">wpływały wnioski </w:t>
      </w:r>
      <w:r w:rsidR="00722EFA">
        <w:rPr>
          <w:rFonts w:ascii="Times New Roman" w:hAnsi="Times New Roman" w:cs="Times New Roman"/>
          <w:sz w:val="24"/>
          <w:szCs w:val="24"/>
        </w:rPr>
        <w:br/>
      </w:r>
      <w:r w:rsidRPr="00695D38">
        <w:rPr>
          <w:rFonts w:ascii="Times New Roman" w:hAnsi="Times New Roman" w:cs="Times New Roman"/>
          <w:sz w:val="24"/>
          <w:szCs w:val="24"/>
        </w:rPr>
        <w:t xml:space="preserve">o przeprowadzenie działań wobec podmiotów powiązanych z nielegalnym obrotem odpadami. Po podjęciu uzasadnionego podejrzenia popełnienia przestępstwa prowadzona była analiza ewidencji odpadów w systemie BDO, kolejno obserwacje miejsc do których miały dotrzeć odpady (prowadzone samodzielnie przez Inspektorów oraz we współpracy z WIOŚ oraz organami ścigania), śledzenie transportów odpadów (realizowane we współpracy </w:t>
      </w:r>
      <w:r w:rsidR="00BC5C87">
        <w:rPr>
          <w:rFonts w:ascii="Times New Roman" w:hAnsi="Times New Roman" w:cs="Times New Roman"/>
          <w:sz w:val="24"/>
          <w:szCs w:val="24"/>
        </w:rPr>
        <w:br/>
      </w:r>
      <w:r w:rsidRPr="00695D38">
        <w:rPr>
          <w:rFonts w:ascii="Times New Roman" w:hAnsi="Times New Roman" w:cs="Times New Roman"/>
          <w:sz w:val="24"/>
          <w:szCs w:val="24"/>
        </w:rPr>
        <w:t>z  Inspektorami WIOŚ oraz z funkcjonariuszami Policji), działania na terenie podmiotów oraz na terenach, gdzie zachodziło podejrzenie zakopywania na nich odpadów. Przeprowadzone działania potwierdzały nieprawidłowości w gospodarowaniu odpadami</w:t>
      </w:r>
      <w:r w:rsidR="00BC5C87">
        <w:rPr>
          <w:rFonts w:ascii="Times New Roman" w:hAnsi="Times New Roman" w:cs="Times New Roman"/>
          <w:sz w:val="24"/>
          <w:szCs w:val="24"/>
        </w:rPr>
        <w:t>,</w:t>
      </w:r>
      <w:r w:rsidRPr="00695D38">
        <w:rPr>
          <w:rFonts w:ascii="Times New Roman" w:hAnsi="Times New Roman" w:cs="Times New Roman"/>
          <w:sz w:val="24"/>
          <w:szCs w:val="24"/>
        </w:rPr>
        <w:t xml:space="preserve"> w związku z czym podejmowano stosowne czynności oraz działania pokontrolne. O całości podejmowanych  działań każdorazowo informowano właściwe organy ścigania, przy czym w związku </w:t>
      </w:r>
      <w:r w:rsidR="00BC5C87">
        <w:rPr>
          <w:rFonts w:ascii="Times New Roman" w:hAnsi="Times New Roman" w:cs="Times New Roman"/>
          <w:sz w:val="24"/>
          <w:szCs w:val="24"/>
        </w:rPr>
        <w:br/>
      </w:r>
      <w:r w:rsidRPr="00695D38">
        <w:rPr>
          <w:rFonts w:ascii="Times New Roman" w:hAnsi="Times New Roman" w:cs="Times New Roman"/>
          <w:sz w:val="24"/>
          <w:szCs w:val="24"/>
        </w:rPr>
        <w:t xml:space="preserve">z prowadzeniem przez te organy śledztw w tym zakresie stosowne informacje przekazywano zwykłymi pismami, a nie zawiadomieniami o podejrzeniu popełnienia przestępstwa. </w:t>
      </w:r>
      <w:r w:rsidR="00BC5C87">
        <w:rPr>
          <w:rFonts w:ascii="Times New Roman" w:hAnsi="Times New Roman" w:cs="Times New Roman"/>
          <w:sz w:val="24"/>
          <w:szCs w:val="24"/>
        </w:rPr>
        <w:br/>
      </w:r>
      <w:r w:rsidRPr="00695D38">
        <w:rPr>
          <w:rFonts w:ascii="Times New Roman" w:hAnsi="Times New Roman" w:cs="Times New Roman"/>
          <w:sz w:val="24"/>
          <w:szCs w:val="24"/>
        </w:rPr>
        <w:t xml:space="preserve">W zakresie wiodącego obszaru przestępczości przeciwko środowisku o zasięgu lokalnym najczęściej stwierdzane są przypadki nielegalnego demontażu pojazdów wycofanych </w:t>
      </w:r>
      <w:r w:rsidR="00BC5C87">
        <w:rPr>
          <w:rFonts w:ascii="Times New Roman" w:hAnsi="Times New Roman" w:cs="Times New Roman"/>
          <w:sz w:val="24"/>
          <w:szCs w:val="24"/>
        </w:rPr>
        <w:br/>
      </w:r>
      <w:r w:rsidRPr="00695D38">
        <w:rPr>
          <w:rFonts w:ascii="Times New Roman" w:hAnsi="Times New Roman" w:cs="Times New Roman"/>
          <w:sz w:val="24"/>
          <w:szCs w:val="24"/>
        </w:rPr>
        <w:t>z eksploatacji. Proceder ten często prowadzony przez osoby fizyczne skutkuje wystąpieniem zanieczyszczenia środowiska (gleby i wody) płynami eksploatacyjnymi z demontowanych pojazdów, jak również odpadami pozostałymi po tym procederze, które są porzucane lub spalane. Działania w tym zakresie są prowadzone w ścisłej współpracy z funkcjonariuszami Policji, która też w ramach zacieśnionej współpracy prowadzi analizę aukcji sprzedaży zdemontowanych części samochodowych. Przeprowadzone kontrole w zakresie nielegalnego demontażu pojazdów wycofanych z eksploatacji wykazały, że nasila się zjawisko uwidaczniania powiązań pomiędzy osobami prowadzącymi ten proceder</w:t>
      </w:r>
      <w:r w:rsidR="00BC5C87">
        <w:rPr>
          <w:rFonts w:ascii="Times New Roman" w:hAnsi="Times New Roman" w:cs="Times New Roman"/>
          <w:sz w:val="24"/>
          <w:szCs w:val="24"/>
        </w:rPr>
        <w:t>,</w:t>
      </w:r>
      <w:r w:rsidRPr="00695D38">
        <w:rPr>
          <w:rFonts w:ascii="Times New Roman" w:hAnsi="Times New Roman" w:cs="Times New Roman"/>
          <w:sz w:val="24"/>
          <w:szCs w:val="24"/>
        </w:rPr>
        <w:t xml:space="preserve"> tj. prowadzenie go przez zorganizowane grupy – w tych sprawach czynności prowadzone są przez właściwe organy. </w:t>
      </w:r>
    </w:p>
    <w:p w14:paraId="6F0D1133" w14:textId="77777777" w:rsidR="00695D38" w:rsidRPr="00695D38" w:rsidRDefault="00695D38" w:rsidP="00695D38">
      <w:pPr>
        <w:autoSpaceDE w:val="0"/>
        <w:autoSpaceDN w:val="0"/>
        <w:adjustRightInd w:val="0"/>
        <w:spacing w:line="300" w:lineRule="atLeast"/>
        <w:ind w:firstLine="360"/>
        <w:contextualSpacing/>
        <w:rPr>
          <w:rFonts w:ascii="Times New Roman" w:hAnsi="Times New Roman" w:cs="Times New Roman"/>
          <w:sz w:val="24"/>
          <w:szCs w:val="24"/>
        </w:rPr>
      </w:pPr>
      <w:r w:rsidRPr="00695D38">
        <w:rPr>
          <w:rFonts w:ascii="Times New Roman" w:hAnsi="Times New Roman" w:cs="Times New Roman"/>
          <w:sz w:val="24"/>
          <w:szCs w:val="24"/>
        </w:rPr>
        <w:t>Pozostałymi stwierdzanymi przypadkami w 2022 roku były:</w:t>
      </w:r>
    </w:p>
    <w:p w14:paraId="6359C357" w14:textId="77777777" w:rsidR="00695D38" w:rsidRPr="00695D38" w:rsidRDefault="00695D38" w:rsidP="00D34F97">
      <w:pPr>
        <w:numPr>
          <w:ilvl w:val="0"/>
          <w:numId w:val="232"/>
        </w:numPr>
        <w:autoSpaceDE w:val="0"/>
        <w:autoSpaceDN w:val="0"/>
        <w:adjustRightInd w:val="0"/>
        <w:spacing w:after="0" w:line="300" w:lineRule="atLeast"/>
        <w:contextualSpacing/>
        <w:jc w:val="both"/>
        <w:rPr>
          <w:rFonts w:ascii="Times New Roman" w:hAnsi="Times New Roman" w:cs="Times New Roman"/>
          <w:sz w:val="24"/>
          <w:szCs w:val="24"/>
        </w:rPr>
      </w:pPr>
      <w:r w:rsidRPr="00695D38">
        <w:rPr>
          <w:rFonts w:ascii="Times New Roman" w:hAnsi="Times New Roman" w:cs="Times New Roman"/>
          <w:sz w:val="24"/>
          <w:szCs w:val="24"/>
        </w:rPr>
        <w:t xml:space="preserve">lokalnie występujące porzucenia odpadów oraz proceder zakopywania odpadów, w tym proceder polegający na nielegalnym wydobyciu żwiru i wypełnieniu pustego miejsca odpadami (głównie zmieszanymi odpadami budowlanymi), </w:t>
      </w:r>
    </w:p>
    <w:p w14:paraId="05A7DD84" w14:textId="77777777" w:rsidR="00695D38" w:rsidRPr="00695D38" w:rsidRDefault="00695D38" w:rsidP="00D34F97">
      <w:pPr>
        <w:numPr>
          <w:ilvl w:val="0"/>
          <w:numId w:val="232"/>
        </w:numPr>
        <w:autoSpaceDE w:val="0"/>
        <w:autoSpaceDN w:val="0"/>
        <w:adjustRightInd w:val="0"/>
        <w:spacing w:after="0" w:line="300" w:lineRule="atLeast"/>
        <w:contextualSpacing/>
        <w:jc w:val="both"/>
        <w:rPr>
          <w:rFonts w:ascii="Times New Roman" w:hAnsi="Times New Roman" w:cs="Times New Roman"/>
          <w:sz w:val="24"/>
          <w:szCs w:val="24"/>
        </w:rPr>
      </w:pPr>
      <w:r w:rsidRPr="00695D38">
        <w:rPr>
          <w:rFonts w:ascii="Times New Roman" w:hAnsi="Times New Roman" w:cs="Times New Roman"/>
          <w:sz w:val="24"/>
          <w:szCs w:val="24"/>
        </w:rPr>
        <w:lastRenderedPageBreak/>
        <w:t>wyrównywanie terenu przez osoby fizyczne odpadami ziemi i gruzu w ilościach przekraczających te dopuszczone przepisami prawa,</w:t>
      </w:r>
    </w:p>
    <w:p w14:paraId="13E9BC90" w14:textId="77777777" w:rsidR="00695D38" w:rsidRPr="00695D38" w:rsidRDefault="00695D38" w:rsidP="00D34F97">
      <w:pPr>
        <w:numPr>
          <w:ilvl w:val="0"/>
          <w:numId w:val="232"/>
        </w:numPr>
        <w:autoSpaceDE w:val="0"/>
        <w:autoSpaceDN w:val="0"/>
        <w:adjustRightInd w:val="0"/>
        <w:spacing w:after="0" w:line="300" w:lineRule="atLeast"/>
        <w:contextualSpacing/>
        <w:rPr>
          <w:rFonts w:ascii="Times New Roman" w:hAnsi="Times New Roman" w:cs="Times New Roman"/>
          <w:sz w:val="24"/>
          <w:szCs w:val="24"/>
        </w:rPr>
      </w:pPr>
      <w:r w:rsidRPr="00695D38">
        <w:rPr>
          <w:rFonts w:ascii="Times New Roman" w:hAnsi="Times New Roman" w:cs="Times New Roman"/>
          <w:sz w:val="24"/>
          <w:szCs w:val="24"/>
        </w:rPr>
        <w:t>odprowadzanie ścieków do urządzeń wodnych bez wymaganych pozwoleń.</w:t>
      </w:r>
    </w:p>
    <w:p w14:paraId="08F3AF37" w14:textId="6422E119" w:rsidR="00695D38" w:rsidRDefault="00695D38" w:rsidP="00695D38">
      <w:pPr>
        <w:autoSpaceDE w:val="0"/>
        <w:autoSpaceDN w:val="0"/>
        <w:adjustRightInd w:val="0"/>
        <w:spacing w:line="300" w:lineRule="atLeast"/>
        <w:contextualSpacing/>
        <w:rPr>
          <w:rFonts w:ascii="Times New Roman" w:hAnsi="Times New Roman" w:cs="Times New Roman"/>
          <w:sz w:val="24"/>
          <w:szCs w:val="24"/>
        </w:rPr>
      </w:pPr>
    </w:p>
    <w:p w14:paraId="292258D8" w14:textId="77777777" w:rsidR="00BC5C87" w:rsidRPr="00695D38" w:rsidRDefault="00BC5C87" w:rsidP="00695D38">
      <w:pPr>
        <w:autoSpaceDE w:val="0"/>
        <w:autoSpaceDN w:val="0"/>
        <w:adjustRightInd w:val="0"/>
        <w:spacing w:line="300" w:lineRule="atLeast"/>
        <w:contextualSpacing/>
        <w:rPr>
          <w:rFonts w:ascii="Times New Roman" w:hAnsi="Times New Roman" w:cs="Times New Roman"/>
          <w:sz w:val="24"/>
          <w:szCs w:val="24"/>
        </w:rPr>
      </w:pPr>
    </w:p>
    <w:p w14:paraId="4CFD98C2" w14:textId="77777777" w:rsidR="00695D38" w:rsidRPr="00695D38" w:rsidRDefault="00695D38" w:rsidP="00BC5C87">
      <w:pPr>
        <w:autoSpaceDE w:val="0"/>
        <w:autoSpaceDN w:val="0"/>
        <w:adjustRightInd w:val="0"/>
        <w:spacing w:after="60" w:line="300" w:lineRule="atLeast"/>
        <w:rPr>
          <w:rFonts w:ascii="Times New Roman" w:hAnsi="Times New Roman" w:cs="Times New Roman"/>
          <w:i/>
          <w:color w:val="4472C4"/>
          <w:sz w:val="24"/>
          <w:szCs w:val="24"/>
        </w:rPr>
      </w:pPr>
      <w:r w:rsidRPr="00695D38">
        <w:rPr>
          <w:rFonts w:ascii="Times New Roman" w:hAnsi="Times New Roman" w:cs="Times New Roman"/>
          <w:i/>
          <w:color w:val="4472C4"/>
          <w:sz w:val="24"/>
          <w:szCs w:val="24"/>
        </w:rPr>
        <w:t>Wojewódzki Inspektorat Ochrony Środowiska w Lublinie</w:t>
      </w:r>
    </w:p>
    <w:p w14:paraId="37DA25AA" w14:textId="17622A87" w:rsidR="00695D38" w:rsidRPr="00695D38" w:rsidRDefault="00695D38" w:rsidP="00480AD6">
      <w:pPr>
        <w:pStyle w:val="Akapitzlist"/>
        <w:spacing w:line="300" w:lineRule="atLeast"/>
        <w:ind w:left="0" w:firstLine="567"/>
        <w:contextualSpacing w:val="0"/>
        <w:jc w:val="both"/>
        <w:rPr>
          <w:sz w:val="24"/>
          <w:szCs w:val="24"/>
        </w:rPr>
      </w:pPr>
      <w:r w:rsidRPr="00695D38">
        <w:rPr>
          <w:sz w:val="24"/>
          <w:szCs w:val="24"/>
        </w:rPr>
        <w:t xml:space="preserve">Położenie geograficzne województwa lubelskiego i bliskość granicy wschodniej </w:t>
      </w:r>
      <w:r w:rsidR="00BC5C87">
        <w:rPr>
          <w:sz w:val="24"/>
          <w:szCs w:val="24"/>
        </w:rPr>
        <w:br/>
      </w:r>
      <w:r w:rsidRPr="00695D38">
        <w:rPr>
          <w:sz w:val="24"/>
          <w:szCs w:val="24"/>
        </w:rPr>
        <w:t>z Ukrainą i Białorusią sprzyja prowadzeniu działalności handlowej różnego rodzaju towarami, szczególnie używanymi częściami samochodowych do szeregu aut sprowadzanych z tzw. Zachodu, głównie Niemiec, Belgii, Holandii, Wielkiej Brytanii. Części te często pozyskiwane są z nielegalnej działalności polegającej na demontażu pojazdów wycofanych z eksploatacji poza stacją demontażu oraz ich zbieraniu bez stosownych zezwoleń. Gospodarowanie odpadami powstałymi w wyniku takiej działalności stanowi potencjalne zagrożenie środowiska (np. wycieki olejów do gruntu, spalanie odpadów, nadmierne gromadzenie odpadów).</w:t>
      </w:r>
    </w:p>
    <w:p w14:paraId="46E3C6C5" w14:textId="77777777" w:rsidR="00695D38" w:rsidRPr="00695D38" w:rsidRDefault="00695D38" w:rsidP="005C08F4">
      <w:pPr>
        <w:pStyle w:val="Akapitzlist"/>
        <w:spacing w:line="300" w:lineRule="atLeast"/>
        <w:ind w:left="0" w:firstLine="567"/>
        <w:jc w:val="both"/>
        <w:rPr>
          <w:sz w:val="24"/>
          <w:szCs w:val="24"/>
        </w:rPr>
      </w:pPr>
      <w:r w:rsidRPr="00695D38">
        <w:rPr>
          <w:sz w:val="24"/>
          <w:szCs w:val="24"/>
        </w:rPr>
        <w:t xml:space="preserve">Ponadto coraz częściej obserwuje się porzucanie odpadów, w tym odpadów niebezpiecznych w miejscach na ten cel nieprzeznaczonych (np. na prywatnych posesjach) oraz fikcyjny obrót odpadami. </w:t>
      </w:r>
    </w:p>
    <w:p w14:paraId="4FEFDCD5" w14:textId="77777777" w:rsidR="00695D38" w:rsidRPr="00695D38" w:rsidRDefault="00695D38" w:rsidP="00695D38">
      <w:pPr>
        <w:spacing w:line="300" w:lineRule="atLeast"/>
        <w:contextualSpacing/>
        <w:jc w:val="both"/>
        <w:rPr>
          <w:rFonts w:ascii="Times New Roman" w:hAnsi="Times New Roman" w:cs="Times New Roman"/>
          <w:sz w:val="24"/>
          <w:szCs w:val="24"/>
        </w:rPr>
      </w:pPr>
    </w:p>
    <w:p w14:paraId="3FF7B078" w14:textId="77777777" w:rsidR="00695D38" w:rsidRPr="00695D38" w:rsidRDefault="00695D38" w:rsidP="00701B20">
      <w:pPr>
        <w:spacing w:after="60" w:line="300" w:lineRule="atLeast"/>
        <w:jc w:val="both"/>
        <w:rPr>
          <w:rFonts w:ascii="Times New Roman" w:hAnsi="Times New Roman" w:cs="Times New Roman"/>
          <w:i/>
          <w:color w:val="4472C4"/>
          <w:sz w:val="24"/>
          <w:szCs w:val="24"/>
        </w:rPr>
      </w:pPr>
      <w:r w:rsidRPr="00695D38">
        <w:rPr>
          <w:rFonts w:ascii="Times New Roman" w:hAnsi="Times New Roman" w:cs="Times New Roman"/>
          <w:i/>
          <w:color w:val="4472C4"/>
          <w:sz w:val="24"/>
          <w:szCs w:val="24"/>
        </w:rPr>
        <w:t>Wojewódzki Inspektorat Ochrony Środowiska w Łodzi</w:t>
      </w:r>
    </w:p>
    <w:p w14:paraId="1C39C450" w14:textId="4392A4C3" w:rsidR="00695D38" w:rsidRPr="00695D38" w:rsidRDefault="00695D38" w:rsidP="00480AD6">
      <w:pPr>
        <w:pStyle w:val="Akapitzlist"/>
        <w:spacing w:line="300" w:lineRule="atLeast"/>
        <w:ind w:left="0" w:firstLine="567"/>
        <w:jc w:val="both"/>
        <w:rPr>
          <w:sz w:val="24"/>
          <w:szCs w:val="24"/>
        </w:rPr>
      </w:pPr>
      <w:r w:rsidRPr="00695D38">
        <w:rPr>
          <w:sz w:val="24"/>
          <w:szCs w:val="24"/>
        </w:rPr>
        <w:t xml:space="preserve">Do najczęściej ujawnianych przestępstw przeciwko środowisku w województwie łódzkim dochodziło w obszarze porzucania i nielegalnego gospodarowania odpadami </w:t>
      </w:r>
      <w:r w:rsidR="00701B20">
        <w:rPr>
          <w:sz w:val="24"/>
          <w:szCs w:val="24"/>
        </w:rPr>
        <w:br/>
      </w:r>
      <w:r w:rsidRPr="00695D38">
        <w:rPr>
          <w:sz w:val="24"/>
          <w:szCs w:val="24"/>
        </w:rPr>
        <w:t xml:space="preserve">w wyrobiskach, gospodarowania odpadami bez stosownego zezwolenia, przywóz odpadów </w:t>
      </w:r>
      <w:r w:rsidR="00701B20">
        <w:rPr>
          <w:sz w:val="24"/>
          <w:szCs w:val="24"/>
        </w:rPr>
        <w:br/>
      </w:r>
      <w:r w:rsidRPr="00695D38">
        <w:rPr>
          <w:sz w:val="24"/>
          <w:szCs w:val="24"/>
        </w:rPr>
        <w:t xml:space="preserve">z zagranicy wbrew obowiązującym przepisom, uczestnictwo podmiotów transportujących odpady w nielegalnym obrocie odpadami (dotyczy głównie potwierdzenia w BDO wykonania transportu odpadów, który w rzeczywistości się nie odbył). </w:t>
      </w:r>
    </w:p>
    <w:p w14:paraId="6F2CE6EF" w14:textId="77777777" w:rsidR="00695D38" w:rsidRPr="00695D38" w:rsidRDefault="00695D38" w:rsidP="00480AD6">
      <w:pPr>
        <w:pStyle w:val="Akapitzlist"/>
        <w:spacing w:line="300" w:lineRule="atLeast"/>
        <w:ind w:left="0" w:firstLine="567"/>
        <w:jc w:val="both"/>
        <w:rPr>
          <w:sz w:val="24"/>
          <w:szCs w:val="24"/>
        </w:rPr>
      </w:pPr>
      <w:r w:rsidRPr="00695D38">
        <w:rPr>
          <w:sz w:val="24"/>
          <w:szCs w:val="24"/>
        </w:rPr>
        <w:t xml:space="preserve">Istotnym z punktu widzenia liczby przypadków były również poświadczania nieprawdy w dokumentach ewidencji odpadów poprzez uczestnictwo podmiotów transportujących odpady w nielegalnym obrocie odpadami o charakterze </w:t>
      </w:r>
      <w:proofErr w:type="spellStart"/>
      <w:r w:rsidRPr="00695D38">
        <w:rPr>
          <w:sz w:val="24"/>
          <w:szCs w:val="24"/>
        </w:rPr>
        <w:t>ponadwojewódzkim</w:t>
      </w:r>
      <w:proofErr w:type="spellEnd"/>
      <w:r w:rsidRPr="00695D38">
        <w:rPr>
          <w:sz w:val="24"/>
          <w:szCs w:val="24"/>
        </w:rPr>
        <w:t xml:space="preserve"> (dotyczy głównie potwierdzenia w BDO wykonania transportu odpadów, który w rzeczywistości się nie odbył).</w:t>
      </w:r>
    </w:p>
    <w:p w14:paraId="28A44FAB" w14:textId="77777777" w:rsidR="00695D38" w:rsidRPr="00695D38" w:rsidRDefault="00695D38" w:rsidP="00695D38">
      <w:pPr>
        <w:spacing w:line="300" w:lineRule="atLeast"/>
        <w:contextualSpacing/>
        <w:jc w:val="both"/>
        <w:rPr>
          <w:rFonts w:ascii="Times New Roman" w:hAnsi="Times New Roman" w:cs="Times New Roman"/>
          <w:i/>
          <w:color w:val="4472C4"/>
          <w:sz w:val="24"/>
          <w:szCs w:val="24"/>
        </w:rPr>
      </w:pPr>
    </w:p>
    <w:p w14:paraId="42911BE0" w14:textId="77777777" w:rsidR="00695D38" w:rsidRPr="00695D38" w:rsidRDefault="00695D38" w:rsidP="00701B20">
      <w:pPr>
        <w:spacing w:after="60" w:line="300" w:lineRule="atLeast"/>
        <w:jc w:val="both"/>
        <w:rPr>
          <w:rFonts w:ascii="Times New Roman" w:hAnsi="Times New Roman" w:cs="Times New Roman"/>
          <w:i/>
          <w:color w:val="4472C4"/>
          <w:sz w:val="24"/>
          <w:szCs w:val="24"/>
        </w:rPr>
      </w:pPr>
      <w:r w:rsidRPr="00695D38">
        <w:rPr>
          <w:rFonts w:ascii="Times New Roman" w:hAnsi="Times New Roman" w:cs="Times New Roman"/>
          <w:i/>
          <w:color w:val="4472C4"/>
          <w:sz w:val="24"/>
          <w:szCs w:val="24"/>
        </w:rPr>
        <w:t>Wojewódzki Inspektorat Ochrony Środowiska w Olsztynie</w:t>
      </w:r>
    </w:p>
    <w:p w14:paraId="53E74886" w14:textId="77777777" w:rsidR="00695D38" w:rsidRPr="00695D38" w:rsidRDefault="00695D38" w:rsidP="00480AD6">
      <w:pPr>
        <w:pStyle w:val="Akapitzlist"/>
        <w:spacing w:line="300" w:lineRule="atLeast"/>
        <w:ind w:left="0" w:firstLine="567"/>
        <w:jc w:val="both"/>
        <w:rPr>
          <w:sz w:val="24"/>
          <w:szCs w:val="24"/>
        </w:rPr>
      </w:pPr>
      <w:r w:rsidRPr="00695D38">
        <w:rPr>
          <w:sz w:val="24"/>
          <w:szCs w:val="24"/>
        </w:rPr>
        <w:t xml:space="preserve">W 2022 r. głównymi przejawami ujawnionych przestępstw przeciwko środowisku były przypadki deponowania odpadów w miejscach na ten cel nieprzeznaczonych, porzucanie (zakopywanie) odpadów, transporty odpadów o charakterze </w:t>
      </w:r>
      <w:proofErr w:type="spellStart"/>
      <w:r w:rsidRPr="00695D38">
        <w:rPr>
          <w:sz w:val="24"/>
          <w:szCs w:val="24"/>
        </w:rPr>
        <w:t>ponadwojewódzkim</w:t>
      </w:r>
      <w:proofErr w:type="spellEnd"/>
      <w:r w:rsidRPr="00695D38">
        <w:rPr>
          <w:sz w:val="24"/>
          <w:szCs w:val="24"/>
        </w:rPr>
        <w:t xml:space="preserve"> do miejsc niewskazanych w kartach przekazania odpadów, prowadzenie nielegalnego demontażu pojazdów, czy poświadczanie nieprawdy  w dokumentach prowadzonych na potrzeby ewidencji odpadów.</w:t>
      </w:r>
    </w:p>
    <w:p w14:paraId="6AD628F3" w14:textId="77777777" w:rsidR="00695D38" w:rsidRPr="00695D38" w:rsidRDefault="00695D38" w:rsidP="00695D38">
      <w:pPr>
        <w:spacing w:line="300" w:lineRule="atLeast"/>
        <w:contextualSpacing/>
        <w:jc w:val="both"/>
        <w:rPr>
          <w:rFonts w:ascii="Times New Roman" w:hAnsi="Times New Roman" w:cs="Times New Roman"/>
          <w:i/>
          <w:color w:val="4472C4"/>
          <w:sz w:val="24"/>
          <w:szCs w:val="24"/>
        </w:rPr>
      </w:pPr>
    </w:p>
    <w:p w14:paraId="34EDDE2D" w14:textId="77777777" w:rsidR="00695D38" w:rsidRPr="00695D38" w:rsidRDefault="00695D38" w:rsidP="00695D38">
      <w:pPr>
        <w:spacing w:line="300" w:lineRule="atLeast"/>
        <w:contextualSpacing/>
        <w:jc w:val="both"/>
        <w:rPr>
          <w:rFonts w:ascii="Times New Roman" w:hAnsi="Times New Roman" w:cs="Times New Roman"/>
          <w:i/>
          <w:color w:val="4472C4"/>
          <w:sz w:val="24"/>
          <w:szCs w:val="24"/>
        </w:rPr>
      </w:pPr>
      <w:r w:rsidRPr="00695D38">
        <w:rPr>
          <w:rFonts w:ascii="Times New Roman" w:hAnsi="Times New Roman" w:cs="Times New Roman"/>
          <w:i/>
          <w:color w:val="4472C4"/>
          <w:sz w:val="24"/>
          <w:szCs w:val="24"/>
        </w:rPr>
        <w:t>Wojewódzki Inspektorat Ochrony Środowiska w Opolu</w:t>
      </w:r>
    </w:p>
    <w:p w14:paraId="24712D68" w14:textId="1FA43897" w:rsidR="003F470A" w:rsidRPr="00695D38" w:rsidRDefault="00695D38" w:rsidP="00480AD6">
      <w:pPr>
        <w:pStyle w:val="Akapitzlist"/>
        <w:spacing w:line="300" w:lineRule="atLeast"/>
        <w:ind w:left="0" w:firstLine="567"/>
        <w:jc w:val="both"/>
        <w:rPr>
          <w:iCs/>
          <w:sz w:val="24"/>
          <w:szCs w:val="24"/>
        </w:rPr>
      </w:pPr>
      <w:r w:rsidRPr="00695D38">
        <w:rPr>
          <w:iCs/>
          <w:sz w:val="24"/>
          <w:szCs w:val="24"/>
        </w:rPr>
        <w:t>W 2022</w:t>
      </w:r>
      <w:r w:rsidR="00701B20">
        <w:rPr>
          <w:iCs/>
          <w:sz w:val="24"/>
          <w:szCs w:val="24"/>
          <w:lang w:val="pl-PL"/>
        </w:rPr>
        <w:t xml:space="preserve"> </w:t>
      </w:r>
      <w:r w:rsidRPr="00695D38">
        <w:rPr>
          <w:iCs/>
          <w:sz w:val="24"/>
          <w:szCs w:val="24"/>
        </w:rPr>
        <w:t xml:space="preserve">r. Opolski Wojewódzki Inspektor Ochrony Środowiska prowadził sprawy, </w:t>
      </w:r>
      <w:r w:rsidR="00480AD6">
        <w:rPr>
          <w:iCs/>
          <w:sz w:val="24"/>
          <w:szCs w:val="24"/>
        </w:rPr>
        <w:br/>
      </w:r>
      <w:r w:rsidRPr="00695D38">
        <w:rPr>
          <w:iCs/>
          <w:sz w:val="24"/>
          <w:szCs w:val="24"/>
        </w:rPr>
        <w:t>w których złożono zawiadomienie do prokuratury o możliwości popełnienia przestępstwa przeciwko środowisku oraz innych przestępstw</w:t>
      </w:r>
      <w:r w:rsidRPr="00695D38">
        <w:rPr>
          <w:sz w:val="24"/>
          <w:szCs w:val="24"/>
        </w:rPr>
        <w:t xml:space="preserve"> </w:t>
      </w:r>
      <w:r w:rsidRPr="00695D38">
        <w:rPr>
          <w:iCs/>
          <w:sz w:val="24"/>
          <w:szCs w:val="24"/>
        </w:rPr>
        <w:t>powiązanych</w:t>
      </w:r>
      <w:r w:rsidR="003F470A">
        <w:rPr>
          <w:iCs/>
          <w:sz w:val="24"/>
          <w:szCs w:val="24"/>
          <w:lang w:val="pl-PL"/>
        </w:rPr>
        <w:t xml:space="preserve"> polegających na: </w:t>
      </w:r>
    </w:p>
    <w:p w14:paraId="65DB290D" w14:textId="6BC921F8" w:rsidR="00695D38" w:rsidRPr="00695D38" w:rsidRDefault="00695D38" w:rsidP="00D34F97">
      <w:pPr>
        <w:numPr>
          <w:ilvl w:val="0"/>
          <w:numId w:val="234"/>
        </w:numPr>
        <w:spacing w:after="0" w:line="300" w:lineRule="atLeast"/>
        <w:ind w:left="641" w:hanging="357"/>
        <w:contextualSpacing/>
        <w:jc w:val="both"/>
        <w:rPr>
          <w:rFonts w:ascii="Times New Roman" w:hAnsi="Times New Roman" w:cs="Times New Roman"/>
          <w:iCs/>
          <w:sz w:val="24"/>
          <w:szCs w:val="24"/>
        </w:rPr>
      </w:pPr>
      <w:r w:rsidRPr="00695D38">
        <w:rPr>
          <w:rFonts w:ascii="Times New Roman" w:hAnsi="Times New Roman" w:cs="Times New Roman"/>
          <w:iCs/>
          <w:sz w:val="24"/>
          <w:szCs w:val="24"/>
        </w:rPr>
        <w:t>poświadczeniu nieprawdy w dokumentach dotyczących gospodarowania odpadami</w:t>
      </w:r>
      <w:r w:rsidR="003F470A">
        <w:rPr>
          <w:rFonts w:ascii="Times New Roman" w:hAnsi="Times New Roman" w:cs="Times New Roman"/>
          <w:iCs/>
          <w:sz w:val="24"/>
          <w:szCs w:val="24"/>
        </w:rPr>
        <w:t>,</w:t>
      </w:r>
      <w:r w:rsidRPr="00695D38">
        <w:rPr>
          <w:rFonts w:ascii="Times New Roman" w:hAnsi="Times New Roman" w:cs="Times New Roman"/>
          <w:iCs/>
          <w:sz w:val="24"/>
          <w:szCs w:val="24"/>
        </w:rPr>
        <w:t xml:space="preserve"> co nosi znamiona czynu określonego w art. 271 §1  ustawy z dnia 6 czerwca 1997 r. Kodeks karny.</w:t>
      </w:r>
    </w:p>
    <w:p w14:paraId="0210F13C" w14:textId="74ED9CC5" w:rsidR="00695D38" w:rsidRPr="00695D38" w:rsidRDefault="00025B84" w:rsidP="00D34F97">
      <w:pPr>
        <w:pStyle w:val="Akapitzlist"/>
        <w:numPr>
          <w:ilvl w:val="0"/>
          <w:numId w:val="234"/>
        </w:numPr>
        <w:spacing w:line="300" w:lineRule="atLeast"/>
        <w:ind w:left="641" w:hanging="357"/>
        <w:jc w:val="both"/>
        <w:rPr>
          <w:iCs/>
          <w:sz w:val="24"/>
          <w:szCs w:val="24"/>
        </w:rPr>
      </w:pPr>
      <w:r w:rsidRPr="00695D38">
        <w:rPr>
          <w:iCs/>
          <w:sz w:val="24"/>
          <w:szCs w:val="24"/>
        </w:rPr>
        <w:lastRenderedPageBreak/>
        <w:t>składowaniu odpadów nieustalonego pochodzenia</w:t>
      </w:r>
      <w:r>
        <w:rPr>
          <w:iCs/>
          <w:sz w:val="24"/>
          <w:szCs w:val="24"/>
          <w:lang w:val="pl-PL"/>
        </w:rPr>
        <w:t xml:space="preserve">, co stanowi </w:t>
      </w:r>
      <w:r w:rsidR="00695D38" w:rsidRPr="00695D38">
        <w:rPr>
          <w:iCs/>
          <w:sz w:val="24"/>
          <w:szCs w:val="24"/>
        </w:rPr>
        <w:t>przestępstw</w:t>
      </w:r>
      <w:r>
        <w:rPr>
          <w:iCs/>
          <w:sz w:val="24"/>
          <w:szCs w:val="24"/>
          <w:lang w:val="pl-PL"/>
        </w:rPr>
        <w:t>o</w:t>
      </w:r>
      <w:r w:rsidR="00695D38" w:rsidRPr="00695D38">
        <w:rPr>
          <w:iCs/>
          <w:sz w:val="24"/>
          <w:szCs w:val="24"/>
        </w:rPr>
        <w:t xml:space="preserve"> określone </w:t>
      </w:r>
      <w:r>
        <w:rPr>
          <w:iCs/>
          <w:sz w:val="24"/>
          <w:szCs w:val="24"/>
        </w:rPr>
        <w:br/>
      </w:r>
      <w:r w:rsidR="00695D38" w:rsidRPr="00695D38">
        <w:rPr>
          <w:iCs/>
          <w:sz w:val="24"/>
          <w:szCs w:val="24"/>
        </w:rPr>
        <w:t>w art. 183 §1 ustawy Kodeks karny.</w:t>
      </w:r>
    </w:p>
    <w:p w14:paraId="00FD81ED" w14:textId="77777777" w:rsidR="00025B84" w:rsidRDefault="00695D38" w:rsidP="00D34F97">
      <w:pPr>
        <w:numPr>
          <w:ilvl w:val="0"/>
          <w:numId w:val="234"/>
        </w:numPr>
        <w:spacing w:after="120" w:line="300" w:lineRule="atLeast"/>
        <w:ind w:left="641" w:hanging="357"/>
        <w:jc w:val="both"/>
        <w:rPr>
          <w:rFonts w:ascii="Times New Roman" w:hAnsi="Times New Roman" w:cs="Times New Roman"/>
          <w:iCs/>
          <w:sz w:val="24"/>
          <w:szCs w:val="24"/>
        </w:rPr>
      </w:pPr>
      <w:r w:rsidRPr="00025B84">
        <w:rPr>
          <w:rFonts w:ascii="Times New Roman" w:hAnsi="Times New Roman" w:cs="Times New Roman"/>
          <w:iCs/>
          <w:sz w:val="24"/>
          <w:szCs w:val="24"/>
        </w:rPr>
        <w:t xml:space="preserve">wywozie odpadów za granicę wbrew przepisom, co nosi znamiona czynu określonego w art. 183 §4 ustawy Kodeks karny. </w:t>
      </w:r>
    </w:p>
    <w:p w14:paraId="0694C633" w14:textId="6D8CCAC9" w:rsidR="00695D38" w:rsidRPr="00695D38" w:rsidRDefault="00695D38" w:rsidP="00025B84">
      <w:pPr>
        <w:pStyle w:val="Akapitzlist"/>
        <w:spacing w:line="300" w:lineRule="atLeast"/>
        <w:ind w:left="0" w:firstLine="567"/>
        <w:jc w:val="both"/>
        <w:rPr>
          <w:iCs/>
          <w:sz w:val="24"/>
          <w:szCs w:val="24"/>
        </w:rPr>
      </w:pPr>
      <w:r w:rsidRPr="00695D38">
        <w:rPr>
          <w:iCs/>
          <w:sz w:val="24"/>
          <w:szCs w:val="24"/>
        </w:rPr>
        <w:t>Na terenie woj. opolskiego w roku 2022, podobnie jak w latach poprzednich, odnotowywane były zdarzenia polegające głównie na gromadzeniu odpadów w miejscach na ten cel nieprzeznaczonych</w:t>
      </w:r>
      <w:r w:rsidR="00025B84">
        <w:rPr>
          <w:iCs/>
          <w:sz w:val="24"/>
          <w:szCs w:val="24"/>
          <w:lang w:val="pl-PL"/>
        </w:rPr>
        <w:t>,</w:t>
      </w:r>
      <w:r w:rsidRPr="00695D38">
        <w:rPr>
          <w:iCs/>
          <w:sz w:val="24"/>
          <w:szCs w:val="24"/>
        </w:rPr>
        <w:t xml:space="preserve"> m.in. na terenie nieczynnych oraz eksploatowanych kopalni odkrywkowych kruszywa naturalnego, a także porzucaniu odpadów w halach magazynowych i pustostanach. </w:t>
      </w:r>
    </w:p>
    <w:p w14:paraId="1484440F" w14:textId="4381485A" w:rsidR="00695D38" w:rsidRPr="00695D38" w:rsidRDefault="00695D38" w:rsidP="00025B84">
      <w:pPr>
        <w:pStyle w:val="Akapitzlist"/>
        <w:spacing w:line="300" w:lineRule="atLeast"/>
        <w:ind w:left="0" w:firstLine="567"/>
        <w:jc w:val="both"/>
        <w:rPr>
          <w:iCs/>
          <w:sz w:val="24"/>
          <w:szCs w:val="24"/>
        </w:rPr>
      </w:pPr>
      <w:r w:rsidRPr="00695D38">
        <w:rPr>
          <w:iCs/>
          <w:sz w:val="24"/>
          <w:szCs w:val="24"/>
        </w:rPr>
        <w:t>Mechanizm polegający na porzucaniu odpadów, w większości przypadków, jest typowy dla ujawnianych spraw. Polega on na tym, ż</w:t>
      </w:r>
      <w:r w:rsidR="00025B84">
        <w:rPr>
          <w:iCs/>
          <w:sz w:val="24"/>
          <w:szCs w:val="24"/>
          <w:lang w:val="pl-PL"/>
        </w:rPr>
        <w:t>e</w:t>
      </w:r>
      <w:r w:rsidRPr="00695D38">
        <w:rPr>
          <w:iCs/>
          <w:sz w:val="24"/>
          <w:szCs w:val="24"/>
        </w:rPr>
        <w:t xml:space="preserve"> umowę wynajmu powierzchni magazynowej podpisuje z jej właścicielem powołana tylko w tym celu firma reprezentowana często przez tzw. „słupa”</w:t>
      </w:r>
      <w:r w:rsidR="00025B84">
        <w:rPr>
          <w:iCs/>
          <w:sz w:val="24"/>
          <w:szCs w:val="24"/>
          <w:lang w:val="pl-PL"/>
        </w:rPr>
        <w:t>,</w:t>
      </w:r>
      <w:r w:rsidRPr="00695D38">
        <w:rPr>
          <w:iCs/>
          <w:sz w:val="24"/>
          <w:szCs w:val="24"/>
        </w:rPr>
        <w:t xml:space="preserve"> tj. np. osoby bezdomne. Umowy w imieniu fikcyjnej firmy podpisuje już bezpośrednio np. wynajęta w tym celu kancelaria prawnicza, aby nadać sprawie wiarygodności. Często podmioty wynajmujące hale magazynowe, do których ostatecznie nielegalnie trafiają odpady początkowo deklarują prowadzenie na ich terenie legalnej działalności. Następnie, po podpisaniu umowy najmu, w krótkim czasie  odpady zwożone są na teren nieruchomości </w:t>
      </w:r>
      <w:r w:rsidR="00025B84">
        <w:rPr>
          <w:iCs/>
          <w:sz w:val="24"/>
          <w:szCs w:val="24"/>
        </w:rPr>
        <w:br/>
      </w:r>
      <w:r w:rsidRPr="00695D38">
        <w:rPr>
          <w:iCs/>
          <w:sz w:val="24"/>
          <w:szCs w:val="24"/>
        </w:rPr>
        <w:t>i porzucane. Ujawnienie faktu nielegalnego nagromadzenia odpadów ma miejsce przeważnie w momencie, w którym najemca zaprzestaje wnoszenia opłat.</w:t>
      </w:r>
    </w:p>
    <w:p w14:paraId="3133A966" w14:textId="2C477B32" w:rsidR="00695D38" w:rsidRPr="00695D38" w:rsidRDefault="00695D38" w:rsidP="00025B84">
      <w:pPr>
        <w:pStyle w:val="Akapitzlist"/>
        <w:spacing w:line="300" w:lineRule="atLeast"/>
        <w:ind w:left="0" w:firstLine="567"/>
        <w:jc w:val="both"/>
        <w:rPr>
          <w:iCs/>
          <w:sz w:val="24"/>
          <w:szCs w:val="24"/>
        </w:rPr>
      </w:pPr>
      <w:r w:rsidRPr="00695D38">
        <w:rPr>
          <w:iCs/>
          <w:sz w:val="24"/>
          <w:szCs w:val="24"/>
        </w:rPr>
        <w:t xml:space="preserve">Częstym zjawiskiem obserwowanym na terenie woj. opolskiego jest przekazywanie odpadów w postaci drewnianych podkładów kolejowych nieuprawnionym podmiotom. Podmioty będące wytwórcami tych odpadów są zobowiązane przekazywać je uprawnionym podmiotom w celu ich unieszkodliwienia. Jednakże wytwórcy tych odpadów, chcąc się ich pozbyć niewielkim kosztem, zlecają laboratoriom przeprowadzenie badań, które potwierdzają, </w:t>
      </w:r>
      <w:r w:rsidR="00025B84">
        <w:rPr>
          <w:iCs/>
          <w:sz w:val="24"/>
          <w:szCs w:val="24"/>
          <w:lang w:val="pl-PL"/>
        </w:rPr>
        <w:t>że</w:t>
      </w:r>
      <w:r w:rsidRPr="00695D38">
        <w:rPr>
          <w:iCs/>
          <w:sz w:val="24"/>
          <w:szCs w:val="24"/>
        </w:rPr>
        <w:t xml:space="preserve"> odpady w postaci drewnianych podkładów kolejowych nie stanowią odpadów niebezpiecznych i mogą być klasyfikowane pod kodem 17 02 01 (Drewno). Następnie odpady w postaci drewnianych podkładów kolejowych jako odpady drewna nabywane są przez podmioty, które prowadzą dystrybucję tych odpadów, sprzedając je z kolei osobom fizycznym oraz podmiotom gospodarczym, często z przeznaczeniem </w:t>
      </w:r>
      <w:r w:rsidR="00025B84">
        <w:rPr>
          <w:iCs/>
          <w:sz w:val="24"/>
          <w:szCs w:val="24"/>
          <w:lang w:val="pl-PL"/>
        </w:rPr>
        <w:t xml:space="preserve">na </w:t>
      </w:r>
      <w:r w:rsidRPr="00695D38">
        <w:rPr>
          <w:iCs/>
          <w:sz w:val="24"/>
          <w:szCs w:val="24"/>
        </w:rPr>
        <w:t xml:space="preserve">opał, ogrodzenie lub </w:t>
      </w:r>
      <w:r w:rsidR="00025B84">
        <w:rPr>
          <w:iCs/>
          <w:sz w:val="24"/>
          <w:szCs w:val="24"/>
          <w:lang w:val="pl-PL"/>
        </w:rPr>
        <w:t xml:space="preserve">jako </w:t>
      </w:r>
      <w:r w:rsidRPr="00695D38">
        <w:rPr>
          <w:iCs/>
          <w:sz w:val="24"/>
          <w:szCs w:val="24"/>
        </w:rPr>
        <w:t xml:space="preserve">dekoracja ogrodowa. Ponadto podmioty będące wytwórcami odpadów drewnianych podkładów kolejowych oraz kolejne podmioty nimi gospodarujące nie przeprowadzają procedury zmiany klasyfikacji  odpadów niebezpiecznych na odpady inne niż niebezpieczne, zgodnie z art. 8 ustawy z dnia 14 grudnia 2012 r. o odpadach, opierając się jedynie na wynikach badań przeprowadzonych przez laboratoria, które są jedynie jednym z elementów zgłoszenia </w:t>
      </w:r>
      <w:r w:rsidR="00025B84">
        <w:rPr>
          <w:iCs/>
          <w:sz w:val="24"/>
          <w:szCs w:val="24"/>
        </w:rPr>
        <w:br/>
      </w:r>
      <w:r w:rsidRPr="00695D38">
        <w:rPr>
          <w:iCs/>
          <w:sz w:val="24"/>
          <w:szCs w:val="24"/>
        </w:rPr>
        <w:t>w procedurze zmiany klasyfikacji odpadów niebezpiecznych na odpady inne niż niebezpieczne.</w:t>
      </w:r>
    </w:p>
    <w:p w14:paraId="25F67F81" w14:textId="77777777" w:rsidR="00695D38" w:rsidRPr="00695D38" w:rsidRDefault="00695D38" w:rsidP="00695D38">
      <w:pPr>
        <w:spacing w:line="300" w:lineRule="atLeast"/>
        <w:contextualSpacing/>
        <w:jc w:val="both"/>
        <w:rPr>
          <w:rFonts w:ascii="Times New Roman" w:hAnsi="Times New Roman" w:cs="Times New Roman"/>
          <w:i/>
          <w:color w:val="4472C4"/>
          <w:sz w:val="24"/>
          <w:szCs w:val="24"/>
        </w:rPr>
      </w:pPr>
    </w:p>
    <w:p w14:paraId="7C863C58" w14:textId="77777777" w:rsidR="00695D38" w:rsidRPr="00695D38" w:rsidRDefault="00695D38" w:rsidP="00025B84">
      <w:pPr>
        <w:spacing w:after="60" w:line="300" w:lineRule="atLeast"/>
        <w:jc w:val="both"/>
        <w:rPr>
          <w:rFonts w:ascii="Times New Roman" w:hAnsi="Times New Roman" w:cs="Times New Roman"/>
          <w:i/>
          <w:color w:val="4472C4"/>
          <w:sz w:val="24"/>
          <w:szCs w:val="24"/>
        </w:rPr>
      </w:pPr>
      <w:r w:rsidRPr="00695D38">
        <w:rPr>
          <w:rFonts w:ascii="Times New Roman" w:hAnsi="Times New Roman" w:cs="Times New Roman"/>
          <w:i/>
          <w:color w:val="4472C4"/>
          <w:sz w:val="24"/>
          <w:szCs w:val="24"/>
        </w:rPr>
        <w:t>Wojewódzki Inspektorat Ochrony Środowiska w Poznaniu</w:t>
      </w:r>
    </w:p>
    <w:p w14:paraId="44C5FCEC" w14:textId="77777777" w:rsidR="00695D38" w:rsidRPr="00695D38" w:rsidRDefault="00695D38" w:rsidP="00695D38">
      <w:pPr>
        <w:pStyle w:val="Akapitzlist"/>
        <w:spacing w:line="300" w:lineRule="atLeast"/>
        <w:ind w:left="0"/>
        <w:jc w:val="both"/>
        <w:rPr>
          <w:sz w:val="24"/>
          <w:szCs w:val="24"/>
        </w:rPr>
      </w:pPr>
      <w:r w:rsidRPr="00695D38">
        <w:rPr>
          <w:sz w:val="24"/>
          <w:szCs w:val="24"/>
        </w:rPr>
        <w:t>Ujawniane przestępstwa przeciwko środowisku:</w:t>
      </w:r>
    </w:p>
    <w:p w14:paraId="7A84B46F" w14:textId="64E1A180" w:rsidR="00695D38" w:rsidRPr="00695D38" w:rsidRDefault="00695D38" w:rsidP="00D34F97">
      <w:pPr>
        <w:pStyle w:val="Akapitzlist"/>
        <w:numPr>
          <w:ilvl w:val="0"/>
          <w:numId w:val="235"/>
        </w:numPr>
        <w:spacing w:line="300" w:lineRule="atLeast"/>
        <w:ind w:left="641" w:hanging="357"/>
        <w:contextualSpacing w:val="0"/>
        <w:jc w:val="both"/>
        <w:rPr>
          <w:sz w:val="24"/>
          <w:szCs w:val="24"/>
        </w:rPr>
      </w:pPr>
      <w:r w:rsidRPr="00695D38">
        <w:rPr>
          <w:sz w:val="24"/>
          <w:szCs w:val="24"/>
        </w:rPr>
        <w:t>nielegalne międzynarodowe przemieszczanie odpadów (przywóz do kraju z zagranicy odpadów w postaci pojazdów wycofanych z eksploatacji, używanych części samochodowych, odzieży i tekstyliów, zużytych opon, odpadów tworzyw sztucznych) (art. 183 § 4, § 5 Kodeksu karnego),</w:t>
      </w:r>
    </w:p>
    <w:p w14:paraId="500B0A33" w14:textId="2D50994F" w:rsidR="00695D38" w:rsidRPr="00695D38" w:rsidRDefault="00695D38" w:rsidP="00D34F97">
      <w:pPr>
        <w:pStyle w:val="Akapitzlist"/>
        <w:numPr>
          <w:ilvl w:val="0"/>
          <w:numId w:val="235"/>
        </w:numPr>
        <w:spacing w:line="300" w:lineRule="atLeast"/>
        <w:ind w:left="641" w:hanging="357"/>
        <w:contextualSpacing w:val="0"/>
        <w:jc w:val="both"/>
        <w:rPr>
          <w:sz w:val="24"/>
          <w:szCs w:val="24"/>
        </w:rPr>
      </w:pPr>
      <w:r w:rsidRPr="00695D38">
        <w:rPr>
          <w:sz w:val="24"/>
          <w:szCs w:val="24"/>
        </w:rPr>
        <w:t xml:space="preserve">demontaż pojazdów poza stacją demontażu (art. 183 § 1 Kodeksu karnego), </w:t>
      </w:r>
    </w:p>
    <w:p w14:paraId="52931461" w14:textId="081646E4" w:rsidR="00695D38" w:rsidRPr="00695D38" w:rsidRDefault="00695D38" w:rsidP="00D34F97">
      <w:pPr>
        <w:pStyle w:val="Akapitzlist"/>
        <w:numPr>
          <w:ilvl w:val="0"/>
          <w:numId w:val="235"/>
        </w:numPr>
        <w:spacing w:line="300" w:lineRule="atLeast"/>
        <w:ind w:left="641" w:hanging="357"/>
        <w:contextualSpacing w:val="0"/>
        <w:jc w:val="both"/>
        <w:rPr>
          <w:sz w:val="24"/>
          <w:szCs w:val="24"/>
        </w:rPr>
      </w:pPr>
      <w:r w:rsidRPr="00695D38">
        <w:rPr>
          <w:sz w:val="24"/>
          <w:szCs w:val="24"/>
        </w:rPr>
        <w:t>magazynowanie, deponowanie odpadów w miejscach na ten cel nieprzeznaczonych (wyrobiska poeksploatacyjne, hale magazynowe) (art. 183 § 1 Kodeksu karnego),</w:t>
      </w:r>
    </w:p>
    <w:p w14:paraId="6F819C83" w14:textId="59AA4E7A" w:rsidR="00695D38" w:rsidRPr="00695D38" w:rsidRDefault="00695D38" w:rsidP="00D34F97">
      <w:pPr>
        <w:pStyle w:val="Akapitzlist"/>
        <w:numPr>
          <w:ilvl w:val="0"/>
          <w:numId w:val="235"/>
        </w:numPr>
        <w:spacing w:line="300" w:lineRule="atLeast"/>
        <w:ind w:left="641" w:hanging="357"/>
        <w:jc w:val="both"/>
        <w:rPr>
          <w:sz w:val="24"/>
          <w:szCs w:val="24"/>
        </w:rPr>
      </w:pPr>
      <w:r w:rsidRPr="00695D38">
        <w:rPr>
          <w:sz w:val="24"/>
          <w:szCs w:val="24"/>
        </w:rPr>
        <w:t xml:space="preserve">zanieczyszczenie wód (art. 182 § 1, § 3 Kodeksu karnego). </w:t>
      </w:r>
    </w:p>
    <w:p w14:paraId="6A1E2D11" w14:textId="77777777" w:rsidR="00695D38" w:rsidRPr="00695D38" w:rsidRDefault="00695D38" w:rsidP="00025B84">
      <w:pPr>
        <w:pStyle w:val="Akapitzlist"/>
        <w:spacing w:line="300" w:lineRule="atLeast"/>
        <w:ind w:left="0" w:firstLine="284"/>
        <w:jc w:val="both"/>
        <w:rPr>
          <w:sz w:val="24"/>
          <w:szCs w:val="24"/>
        </w:rPr>
      </w:pPr>
      <w:r w:rsidRPr="00695D38">
        <w:rPr>
          <w:sz w:val="24"/>
          <w:szCs w:val="24"/>
        </w:rPr>
        <w:lastRenderedPageBreak/>
        <w:t xml:space="preserve">Ponadto ujawniane były przypadki przestępczości zorganizowanej o charakterze </w:t>
      </w:r>
      <w:proofErr w:type="spellStart"/>
      <w:r w:rsidRPr="00695D38">
        <w:rPr>
          <w:sz w:val="24"/>
          <w:szCs w:val="24"/>
        </w:rPr>
        <w:t>ponadwojewódzkim</w:t>
      </w:r>
      <w:proofErr w:type="spellEnd"/>
      <w:r w:rsidRPr="00695D38">
        <w:rPr>
          <w:sz w:val="24"/>
          <w:szCs w:val="24"/>
        </w:rPr>
        <w:t xml:space="preserve">, która polegała na poświadczaniu nieprawdy w dokumentach obrotu odpadami tj. kartach przekazania odpadów (art. 271 § 1 Kodeksu karnego). </w:t>
      </w:r>
    </w:p>
    <w:p w14:paraId="67968CE3" w14:textId="77777777" w:rsidR="00695D38" w:rsidRPr="00695D38" w:rsidRDefault="00695D38" w:rsidP="00025B84">
      <w:pPr>
        <w:pStyle w:val="Akapitzlist"/>
        <w:spacing w:line="300" w:lineRule="atLeast"/>
        <w:ind w:left="0" w:firstLine="567"/>
        <w:jc w:val="both"/>
        <w:rPr>
          <w:sz w:val="24"/>
          <w:szCs w:val="24"/>
        </w:rPr>
      </w:pPr>
      <w:r w:rsidRPr="00695D38">
        <w:rPr>
          <w:sz w:val="24"/>
          <w:szCs w:val="24"/>
        </w:rPr>
        <w:t xml:space="preserve">W 2022 r. wiodącym obszarem w ujawnianiu przestępczości środowiskowej było ujawnianie poświadczenia nieprawdy w dokumentach, tj. karty przekazania odpadów, a także nielegalny demontaż pojazdów oraz nielegalne międzynarodowe przemieszczanie odpadów. </w:t>
      </w:r>
    </w:p>
    <w:p w14:paraId="15A7C8EB" w14:textId="3BADDE78" w:rsidR="00695D38" w:rsidRPr="00695D38" w:rsidRDefault="00695D38" w:rsidP="00025B84">
      <w:pPr>
        <w:pStyle w:val="Akapitzlist"/>
        <w:spacing w:line="300" w:lineRule="atLeast"/>
        <w:ind w:left="0" w:firstLine="567"/>
        <w:jc w:val="both"/>
        <w:rPr>
          <w:sz w:val="24"/>
          <w:szCs w:val="24"/>
        </w:rPr>
      </w:pPr>
      <w:r w:rsidRPr="00695D38">
        <w:rPr>
          <w:sz w:val="24"/>
          <w:szCs w:val="24"/>
        </w:rPr>
        <w:t xml:space="preserve">Poświadczanie nieprawdy w dokumentach polegało m.in. na przekazywaniu odpadów podmiotom prowadzącym fikcyjną działalność w zakresie gospodarowania odpadami, na wykonaniu transportów odpadów do innego miejsca niż wskazane w KPO lub wskazywaniu pojazdu, który fizycznie nie mógł przetransportować deklarowanej ilości odpadów w KPO </w:t>
      </w:r>
      <w:r w:rsidR="00025B84">
        <w:rPr>
          <w:sz w:val="24"/>
          <w:szCs w:val="24"/>
        </w:rPr>
        <w:br/>
      </w:r>
      <w:r w:rsidRPr="00695D38">
        <w:rPr>
          <w:sz w:val="24"/>
          <w:szCs w:val="24"/>
        </w:rPr>
        <w:t xml:space="preserve">z przyczyn technicznych. Z ustaleń kontroli prowadzonych przez WIOŚ w Poznaniu wynika, że „przekazania” odpadów widniejące w bazie BDO do podmiotów prowadzących fikcyjną działalność nie odbywały się wcale (miały na celu jedynie tzw. wyzerowanie ewidencji odpadów) lub odbywały się do innego miejsca niż wskazane na karcie przekazania odpadów. Wiele takich transportów odbywa się w ramach współpracy podmiotów przekazujących odpady z pośrednikami w obrocie odpadami, którzy podpisując umowy zobowiązują się przetransportować i zagospodarować odpady zgodnie z przepisami prawa. Podkreślenia wymaga również fakt, że na powyższe usługi „zagospodarowania” odpadów wystawiane są faktury – jednym z przestępstw popełnianych przez zorganizowane grupy przestępcze jest także osiąganie korzyści majątkowej poprzez odprowadzanie </w:t>
      </w:r>
      <w:proofErr w:type="spellStart"/>
      <w:r w:rsidRPr="00695D38">
        <w:rPr>
          <w:sz w:val="24"/>
          <w:szCs w:val="24"/>
        </w:rPr>
        <w:t>VATu</w:t>
      </w:r>
      <w:proofErr w:type="spellEnd"/>
      <w:r w:rsidRPr="00695D38">
        <w:rPr>
          <w:sz w:val="24"/>
          <w:szCs w:val="24"/>
        </w:rPr>
        <w:t xml:space="preserve"> z takich faktur, potwierdzających fikcyjną usługę zagospodarowania odpadów. Z analizy powiązań wynika, że proceder rozwija się na terenie całego kraju. Brak jest regionalizacji w zakresie współpracy podmiotów gospodarujących odpadami – odpady „przekazywane” są nawet na drugi koniec kraju w celu ich rzekomego zagospodarowania. Proceder nielegalnego przekazywania odpadów dotyczy przede wszystkim problematycznych odpadów, których zgodne z prawem zagospodarowanie jest bardzo kosztowe – odpady niebezpieczne, odpady z grupy 19.</w:t>
      </w:r>
    </w:p>
    <w:p w14:paraId="60D39ACA" w14:textId="77777777" w:rsidR="00695D38" w:rsidRPr="00695D38" w:rsidRDefault="00695D38" w:rsidP="00025B84">
      <w:pPr>
        <w:pStyle w:val="Akapitzlist"/>
        <w:spacing w:line="300" w:lineRule="atLeast"/>
        <w:ind w:left="0" w:firstLine="567"/>
        <w:jc w:val="both"/>
        <w:rPr>
          <w:sz w:val="24"/>
          <w:szCs w:val="24"/>
        </w:rPr>
      </w:pPr>
      <w:r w:rsidRPr="00695D38">
        <w:rPr>
          <w:sz w:val="24"/>
          <w:szCs w:val="24"/>
        </w:rPr>
        <w:t>Ważnym i wciąż pojawiającym się problemem jest także porzucanie odpadów niebezpiecznych (chemikaliów, rozpuszczalników, farb, popłuczyn) w miejscach na ten cel nieprzeznaczonych. W takich przypadkach WIOŚ w Poznaniu współpracuje z Policją, prokuraturą w zakresie ustalenia sprawcy i wytwórcy odpadów.</w:t>
      </w:r>
    </w:p>
    <w:p w14:paraId="30E612CC" w14:textId="7E647FE5" w:rsidR="00695D38" w:rsidRPr="00695D38" w:rsidRDefault="00695D38" w:rsidP="00025B84">
      <w:pPr>
        <w:pStyle w:val="Akapitzlist"/>
        <w:spacing w:line="300" w:lineRule="atLeast"/>
        <w:ind w:left="0" w:firstLine="567"/>
        <w:jc w:val="both"/>
        <w:rPr>
          <w:sz w:val="24"/>
          <w:szCs w:val="24"/>
        </w:rPr>
      </w:pPr>
      <w:r w:rsidRPr="00695D38">
        <w:rPr>
          <w:sz w:val="24"/>
          <w:szCs w:val="24"/>
        </w:rPr>
        <w:t xml:space="preserve">Przypadki nielegalnego sprowadzania odpadów z zagranicy, w szczególności pojazdów wycofanych z eksploatacji oraz nielegalnego demontażu pojazdów ujawniane były </w:t>
      </w:r>
      <w:r w:rsidR="004A27E7">
        <w:rPr>
          <w:sz w:val="24"/>
          <w:szCs w:val="24"/>
        </w:rPr>
        <w:br/>
      </w:r>
      <w:r w:rsidRPr="00695D38">
        <w:rPr>
          <w:sz w:val="24"/>
          <w:szCs w:val="24"/>
        </w:rPr>
        <w:t xml:space="preserve">u podmiotów prowadzących działalność związaną z naprawą pojazdów, handlem pojazdami sprowadzonymi z zagranicy oraz krajowymi. Pojazdy sprowadzane z zagranicy, klasyfikowane jako odpady, stanowiły pojazdy uszkodzone, nieposiadające dokumentów nieuprawniających do rejestracji na terenie RP. Sprowadzanie ww. pojazdów odbywało się z pominięciem wymaganej procedury zgłoszenia i uzyskania zgody GIOŚ. </w:t>
      </w:r>
    </w:p>
    <w:p w14:paraId="755C1199" w14:textId="77777777" w:rsidR="004A27E7" w:rsidRPr="00695D38" w:rsidRDefault="004A27E7" w:rsidP="00695D38">
      <w:pPr>
        <w:spacing w:line="300" w:lineRule="atLeast"/>
        <w:contextualSpacing/>
        <w:jc w:val="both"/>
        <w:rPr>
          <w:rFonts w:ascii="Times New Roman" w:hAnsi="Times New Roman" w:cs="Times New Roman"/>
          <w:i/>
          <w:color w:val="4472C4"/>
          <w:sz w:val="24"/>
          <w:szCs w:val="24"/>
        </w:rPr>
      </w:pPr>
    </w:p>
    <w:p w14:paraId="177CD756" w14:textId="77777777" w:rsidR="00695D38" w:rsidRPr="00695D38" w:rsidRDefault="00695D38" w:rsidP="004A27E7">
      <w:pPr>
        <w:spacing w:after="60" w:line="300" w:lineRule="atLeast"/>
        <w:jc w:val="both"/>
        <w:rPr>
          <w:rFonts w:ascii="Times New Roman" w:hAnsi="Times New Roman" w:cs="Times New Roman"/>
          <w:i/>
          <w:color w:val="4472C4"/>
          <w:sz w:val="24"/>
          <w:szCs w:val="24"/>
        </w:rPr>
      </w:pPr>
      <w:r w:rsidRPr="00695D38">
        <w:rPr>
          <w:rFonts w:ascii="Times New Roman" w:hAnsi="Times New Roman" w:cs="Times New Roman"/>
          <w:i/>
          <w:color w:val="4472C4"/>
          <w:sz w:val="24"/>
          <w:szCs w:val="24"/>
        </w:rPr>
        <w:t>Wojewódzki Inspektorat Ochrony Środowiska w Rzeszowie</w:t>
      </w:r>
    </w:p>
    <w:p w14:paraId="43E7F7FB" w14:textId="312B823F" w:rsidR="00695D38" w:rsidRPr="00695D38" w:rsidRDefault="00695D38" w:rsidP="004A27E7">
      <w:pPr>
        <w:autoSpaceDE w:val="0"/>
        <w:autoSpaceDN w:val="0"/>
        <w:adjustRightInd w:val="0"/>
        <w:spacing w:line="300" w:lineRule="atLeast"/>
        <w:ind w:firstLine="567"/>
        <w:contextualSpacing/>
        <w:jc w:val="both"/>
        <w:rPr>
          <w:rFonts w:ascii="Times New Roman" w:hAnsi="Times New Roman" w:cs="Times New Roman"/>
          <w:sz w:val="24"/>
          <w:szCs w:val="24"/>
        </w:rPr>
      </w:pPr>
      <w:r w:rsidRPr="00695D38">
        <w:rPr>
          <w:rFonts w:ascii="Times New Roman" w:hAnsi="Times New Roman" w:cs="Times New Roman"/>
          <w:sz w:val="24"/>
          <w:szCs w:val="24"/>
        </w:rPr>
        <w:t xml:space="preserve">Na terenie województwa podkarpackiego w roku 2022 ujawniono przede wszystkim przypadki popełnienia przestępstw stypizowanych w art. 183 §4 Kodeksu karnego w związku z nielegalnym transgranicznym przemieszczaniem odpadów. W związku z czym skierowane zostały zawiadomienia do Prokuratorów właściwych miejscowo dla danych spraw. Postępowania prowadzone przez Prokuratorów nie zostały jeszcze zakończone. Na obszarze właściwości WIOŚ w Rzeszowie w roku 2022 przeważnie prowadzone były działania </w:t>
      </w:r>
      <w:r w:rsidR="004A27E7">
        <w:rPr>
          <w:rFonts w:ascii="Times New Roman" w:hAnsi="Times New Roman" w:cs="Times New Roman"/>
          <w:sz w:val="24"/>
          <w:szCs w:val="24"/>
        </w:rPr>
        <w:br/>
      </w:r>
      <w:r w:rsidRPr="00695D38">
        <w:rPr>
          <w:rFonts w:ascii="Times New Roman" w:hAnsi="Times New Roman" w:cs="Times New Roman"/>
          <w:sz w:val="24"/>
          <w:szCs w:val="24"/>
        </w:rPr>
        <w:t xml:space="preserve">o charakterze międzywojewódzkim obejmujące kontrole podmiotów transportujących odpady, </w:t>
      </w:r>
      <w:r w:rsidRPr="00695D38">
        <w:rPr>
          <w:rFonts w:ascii="Times New Roman" w:hAnsi="Times New Roman" w:cs="Times New Roman"/>
          <w:sz w:val="24"/>
          <w:szCs w:val="24"/>
        </w:rPr>
        <w:lastRenderedPageBreak/>
        <w:t xml:space="preserve">które nie zostały dostarczone do miejsca wskazanego w dokumentach przewozowych jak również wytwórców tych odpadów. Działania te inicjowane były przez </w:t>
      </w:r>
      <w:r w:rsidR="004A27E7">
        <w:rPr>
          <w:rFonts w:ascii="Times New Roman" w:hAnsi="Times New Roman" w:cs="Times New Roman"/>
          <w:sz w:val="24"/>
          <w:szCs w:val="24"/>
        </w:rPr>
        <w:t>w</w:t>
      </w:r>
      <w:r w:rsidRPr="00695D38">
        <w:rPr>
          <w:rFonts w:ascii="Times New Roman" w:hAnsi="Times New Roman" w:cs="Times New Roman"/>
          <w:sz w:val="24"/>
          <w:szCs w:val="24"/>
        </w:rPr>
        <w:t xml:space="preserve">ojewódzkie </w:t>
      </w:r>
      <w:r w:rsidR="004A27E7">
        <w:rPr>
          <w:rFonts w:ascii="Times New Roman" w:hAnsi="Times New Roman" w:cs="Times New Roman"/>
          <w:sz w:val="24"/>
          <w:szCs w:val="24"/>
        </w:rPr>
        <w:t>i</w:t>
      </w:r>
      <w:r w:rsidRPr="00695D38">
        <w:rPr>
          <w:rFonts w:ascii="Times New Roman" w:hAnsi="Times New Roman" w:cs="Times New Roman"/>
          <w:sz w:val="24"/>
          <w:szCs w:val="24"/>
        </w:rPr>
        <w:t xml:space="preserve">nspektoraty </w:t>
      </w:r>
      <w:r w:rsidR="004A27E7">
        <w:rPr>
          <w:rFonts w:ascii="Times New Roman" w:hAnsi="Times New Roman" w:cs="Times New Roman"/>
          <w:sz w:val="24"/>
          <w:szCs w:val="24"/>
        </w:rPr>
        <w:t>o</w:t>
      </w:r>
      <w:r w:rsidRPr="00695D38">
        <w:rPr>
          <w:rFonts w:ascii="Times New Roman" w:hAnsi="Times New Roman" w:cs="Times New Roman"/>
          <w:sz w:val="24"/>
          <w:szCs w:val="24"/>
        </w:rPr>
        <w:t xml:space="preserve">chrony </w:t>
      </w:r>
      <w:r w:rsidR="004A27E7">
        <w:rPr>
          <w:rFonts w:ascii="Times New Roman" w:hAnsi="Times New Roman" w:cs="Times New Roman"/>
          <w:sz w:val="24"/>
          <w:szCs w:val="24"/>
        </w:rPr>
        <w:t>ś</w:t>
      </w:r>
      <w:r w:rsidRPr="00695D38">
        <w:rPr>
          <w:rFonts w:ascii="Times New Roman" w:hAnsi="Times New Roman" w:cs="Times New Roman"/>
          <w:sz w:val="24"/>
          <w:szCs w:val="24"/>
        </w:rPr>
        <w:t>rodowiska z obszaru innych województw. Współpraca w tym zakresie odbywała się z Komendą Wojewódzką Policji w Rzeszowie. Ponadto w związku z kontrolami podmiotów podejrzanych o popełnienie przestępstw lub wykroczeń przeciwko środowisku, których działalność wykraczała poza obszar właściwości WIOŚ w Rzeszowie, kierowano wnioski do innych służb o podjęcie stosownych działań.</w:t>
      </w:r>
    </w:p>
    <w:p w14:paraId="35213FCF" w14:textId="77777777" w:rsidR="00695D38" w:rsidRPr="00695D38" w:rsidRDefault="00695D38" w:rsidP="00695D38">
      <w:pPr>
        <w:spacing w:line="300" w:lineRule="atLeast"/>
        <w:contextualSpacing/>
        <w:jc w:val="both"/>
        <w:rPr>
          <w:rFonts w:ascii="Times New Roman" w:hAnsi="Times New Roman" w:cs="Times New Roman"/>
          <w:i/>
          <w:color w:val="4472C4"/>
          <w:sz w:val="24"/>
          <w:szCs w:val="24"/>
        </w:rPr>
      </w:pPr>
    </w:p>
    <w:p w14:paraId="5799CA0E" w14:textId="77777777" w:rsidR="00695D38" w:rsidRPr="00695D38" w:rsidRDefault="00695D38" w:rsidP="004A27E7">
      <w:pPr>
        <w:spacing w:after="60" w:line="300" w:lineRule="atLeast"/>
        <w:jc w:val="both"/>
        <w:rPr>
          <w:rFonts w:ascii="Times New Roman" w:hAnsi="Times New Roman" w:cs="Times New Roman"/>
          <w:i/>
          <w:color w:val="4472C4"/>
          <w:sz w:val="24"/>
          <w:szCs w:val="24"/>
        </w:rPr>
      </w:pPr>
      <w:r w:rsidRPr="00695D38">
        <w:rPr>
          <w:rFonts w:ascii="Times New Roman" w:hAnsi="Times New Roman" w:cs="Times New Roman"/>
          <w:i/>
          <w:color w:val="4472C4"/>
          <w:sz w:val="24"/>
          <w:szCs w:val="24"/>
        </w:rPr>
        <w:t>Wojewódzki Inspektorat Ochrony Środowiska w Szczecinie</w:t>
      </w:r>
    </w:p>
    <w:p w14:paraId="41E95D78" w14:textId="77777777" w:rsidR="00695D38" w:rsidRPr="00695D38" w:rsidRDefault="00695D38" w:rsidP="004A27E7">
      <w:pPr>
        <w:autoSpaceDE w:val="0"/>
        <w:autoSpaceDN w:val="0"/>
        <w:adjustRightInd w:val="0"/>
        <w:spacing w:line="300" w:lineRule="atLeast"/>
        <w:ind w:firstLine="567"/>
        <w:contextualSpacing/>
        <w:jc w:val="both"/>
        <w:rPr>
          <w:rFonts w:ascii="Times New Roman" w:hAnsi="Times New Roman" w:cs="Times New Roman"/>
          <w:sz w:val="24"/>
          <w:szCs w:val="24"/>
        </w:rPr>
      </w:pPr>
      <w:r w:rsidRPr="00695D38">
        <w:rPr>
          <w:rFonts w:ascii="Times New Roman" w:hAnsi="Times New Roman" w:cs="Times New Roman"/>
          <w:sz w:val="24"/>
          <w:szCs w:val="24"/>
        </w:rPr>
        <w:t xml:space="preserve">W 2022 r. na terenie województwa zachodniopomorskiego nie zidentyfikowano środowiskowej przestępczości zorganizowanej, w tym także o charakterze </w:t>
      </w:r>
      <w:proofErr w:type="spellStart"/>
      <w:r w:rsidRPr="00695D38">
        <w:rPr>
          <w:rFonts w:ascii="Times New Roman" w:hAnsi="Times New Roman" w:cs="Times New Roman"/>
          <w:sz w:val="24"/>
          <w:szCs w:val="24"/>
        </w:rPr>
        <w:t>ponadwojewódzkim</w:t>
      </w:r>
      <w:proofErr w:type="spellEnd"/>
      <w:r w:rsidRPr="00695D38">
        <w:rPr>
          <w:rFonts w:ascii="Times New Roman" w:hAnsi="Times New Roman" w:cs="Times New Roman"/>
          <w:sz w:val="24"/>
          <w:szCs w:val="24"/>
        </w:rPr>
        <w:t>.</w:t>
      </w:r>
    </w:p>
    <w:p w14:paraId="30B38B07" w14:textId="77777777" w:rsidR="00695D38" w:rsidRPr="00695D38" w:rsidRDefault="00695D38" w:rsidP="00695D38">
      <w:pPr>
        <w:spacing w:line="300" w:lineRule="atLeast"/>
        <w:contextualSpacing/>
        <w:jc w:val="both"/>
        <w:rPr>
          <w:rFonts w:ascii="Times New Roman" w:hAnsi="Times New Roman" w:cs="Times New Roman"/>
          <w:i/>
          <w:color w:val="4472C4"/>
          <w:sz w:val="24"/>
          <w:szCs w:val="24"/>
        </w:rPr>
      </w:pPr>
    </w:p>
    <w:p w14:paraId="72E95B7D" w14:textId="77777777" w:rsidR="00695D38" w:rsidRPr="00695D38" w:rsidRDefault="00695D38" w:rsidP="004A27E7">
      <w:pPr>
        <w:spacing w:after="60" w:line="300" w:lineRule="atLeast"/>
        <w:jc w:val="both"/>
        <w:rPr>
          <w:rFonts w:ascii="Times New Roman" w:hAnsi="Times New Roman" w:cs="Times New Roman"/>
          <w:i/>
          <w:color w:val="4472C4"/>
          <w:sz w:val="24"/>
          <w:szCs w:val="24"/>
        </w:rPr>
      </w:pPr>
      <w:r w:rsidRPr="00695D38">
        <w:rPr>
          <w:rFonts w:ascii="Times New Roman" w:hAnsi="Times New Roman" w:cs="Times New Roman"/>
          <w:i/>
          <w:color w:val="4472C4"/>
          <w:sz w:val="24"/>
          <w:szCs w:val="24"/>
        </w:rPr>
        <w:t>Wojewódzki Inspektorat Ochrony Środowiska w Warszawie</w:t>
      </w:r>
    </w:p>
    <w:p w14:paraId="7D67C357" w14:textId="08400B96" w:rsidR="00695D38" w:rsidRPr="00695D38" w:rsidRDefault="00695D38" w:rsidP="004A27E7">
      <w:pPr>
        <w:spacing w:line="300" w:lineRule="atLeast"/>
        <w:ind w:firstLine="567"/>
        <w:contextualSpacing/>
        <w:jc w:val="both"/>
        <w:rPr>
          <w:rFonts w:ascii="Times New Roman" w:hAnsi="Times New Roman" w:cs="Times New Roman"/>
          <w:bCs/>
          <w:sz w:val="24"/>
          <w:szCs w:val="24"/>
        </w:rPr>
      </w:pPr>
      <w:r w:rsidRPr="00695D38">
        <w:rPr>
          <w:rFonts w:ascii="Times New Roman" w:hAnsi="Times New Roman" w:cs="Times New Roman"/>
          <w:bCs/>
          <w:sz w:val="24"/>
          <w:szCs w:val="24"/>
        </w:rPr>
        <w:t xml:space="preserve">W ramach podejmowanych czynności, również wykonywanych w ramach pomocy prawnej dla innych WIOŚ, daje się zauważyć, że wiodącym przestępstwem jest czyn z art. 182 i 183 Kodeksu karnego związany z nielegalnym gospodarowaniem odpadami, zwłaszcza niebezpiecznymi o konsystencji płynnej. W toku realizowanych czynności ustalono, że przestępczość </w:t>
      </w:r>
      <w:r w:rsidR="004A27E7">
        <w:rPr>
          <w:rFonts w:ascii="Times New Roman" w:hAnsi="Times New Roman" w:cs="Times New Roman"/>
          <w:bCs/>
          <w:sz w:val="24"/>
          <w:szCs w:val="24"/>
        </w:rPr>
        <w:t xml:space="preserve">tego rodzaju </w:t>
      </w:r>
      <w:r w:rsidRPr="00695D38">
        <w:rPr>
          <w:rFonts w:ascii="Times New Roman" w:hAnsi="Times New Roman" w:cs="Times New Roman"/>
          <w:bCs/>
          <w:sz w:val="24"/>
          <w:szCs w:val="24"/>
        </w:rPr>
        <w:t xml:space="preserve">ma formę </w:t>
      </w:r>
      <w:proofErr w:type="spellStart"/>
      <w:r w:rsidRPr="00695D38">
        <w:rPr>
          <w:rFonts w:ascii="Times New Roman" w:hAnsi="Times New Roman" w:cs="Times New Roman"/>
          <w:bCs/>
          <w:sz w:val="24"/>
          <w:szCs w:val="24"/>
        </w:rPr>
        <w:t>ponadwojewódzką</w:t>
      </w:r>
      <w:proofErr w:type="spellEnd"/>
      <w:r w:rsidRPr="00695D38">
        <w:rPr>
          <w:rFonts w:ascii="Times New Roman" w:hAnsi="Times New Roman" w:cs="Times New Roman"/>
          <w:bCs/>
          <w:sz w:val="24"/>
          <w:szCs w:val="24"/>
        </w:rPr>
        <w:t xml:space="preserve"> i zorganizowaną, gdyż bierze w niej udział szereg osób i firm, tj. wytwórcy odpadów, pośrednicy, sprzedawcy, transportujący i odbierający a także firmy konsultingowe – spinające sprawozdawczość. </w:t>
      </w:r>
    </w:p>
    <w:p w14:paraId="10BDE768" w14:textId="77777777" w:rsidR="00695D38" w:rsidRPr="00695D38" w:rsidRDefault="00695D38" w:rsidP="004A27E7">
      <w:pPr>
        <w:spacing w:after="60" w:line="300" w:lineRule="atLeast"/>
        <w:ind w:firstLine="567"/>
        <w:jc w:val="both"/>
        <w:rPr>
          <w:rFonts w:ascii="Times New Roman" w:hAnsi="Times New Roman" w:cs="Times New Roman"/>
          <w:bCs/>
          <w:sz w:val="24"/>
          <w:szCs w:val="24"/>
        </w:rPr>
      </w:pPr>
      <w:r w:rsidRPr="00695D38">
        <w:rPr>
          <w:rFonts w:ascii="Times New Roman" w:hAnsi="Times New Roman" w:cs="Times New Roman"/>
          <w:bCs/>
          <w:sz w:val="24"/>
          <w:szCs w:val="24"/>
        </w:rPr>
        <w:t>W ramach przestępstw z art. 182 i 183 §1 kk ujawniono w szczególności przypadki:</w:t>
      </w:r>
    </w:p>
    <w:p w14:paraId="578B28A6" w14:textId="77777777" w:rsidR="00695D38" w:rsidRPr="00695D38" w:rsidRDefault="00695D38" w:rsidP="00695D38">
      <w:pPr>
        <w:spacing w:line="300" w:lineRule="atLeast"/>
        <w:contextualSpacing/>
        <w:jc w:val="both"/>
        <w:rPr>
          <w:rFonts w:ascii="Times New Roman" w:hAnsi="Times New Roman" w:cs="Times New Roman"/>
          <w:b/>
          <w:sz w:val="24"/>
          <w:szCs w:val="24"/>
        </w:rPr>
      </w:pPr>
      <w:r w:rsidRPr="00695D38">
        <w:rPr>
          <w:rFonts w:ascii="Times New Roman" w:hAnsi="Times New Roman" w:cs="Times New Roman"/>
          <w:b/>
          <w:sz w:val="24"/>
          <w:szCs w:val="24"/>
        </w:rPr>
        <w:t xml:space="preserve">Przykład 1 </w:t>
      </w:r>
    </w:p>
    <w:p w14:paraId="10A35361" w14:textId="7BF54BAF" w:rsidR="00695D38" w:rsidRPr="00695D38" w:rsidRDefault="00695D38" w:rsidP="004A27E7">
      <w:pPr>
        <w:spacing w:after="0" w:line="300" w:lineRule="atLeast"/>
        <w:ind w:firstLine="357"/>
        <w:jc w:val="both"/>
        <w:rPr>
          <w:rFonts w:ascii="Times New Roman" w:eastAsia="Calibri" w:hAnsi="Times New Roman" w:cs="Times New Roman"/>
          <w:sz w:val="24"/>
          <w:szCs w:val="24"/>
        </w:rPr>
      </w:pPr>
      <w:r w:rsidRPr="00695D38">
        <w:rPr>
          <w:rFonts w:ascii="Times New Roman" w:eastAsia="Calibri" w:hAnsi="Times New Roman" w:cs="Times New Roman"/>
          <w:sz w:val="24"/>
          <w:szCs w:val="24"/>
        </w:rPr>
        <w:t xml:space="preserve">W dniu 25.03.2022 r. do WIOŚ Warszawa Delegatura w Ostrołęce została zgłoszona </w:t>
      </w:r>
      <w:r w:rsidR="004A27E7">
        <w:rPr>
          <w:rFonts w:ascii="Times New Roman" w:eastAsia="Calibri" w:hAnsi="Times New Roman" w:cs="Times New Roman"/>
          <w:sz w:val="24"/>
          <w:szCs w:val="24"/>
        </w:rPr>
        <w:t xml:space="preserve">ustnie </w:t>
      </w:r>
      <w:r w:rsidRPr="00695D38">
        <w:rPr>
          <w:rFonts w:ascii="Times New Roman" w:eastAsia="Calibri" w:hAnsi="Times New Roman" w:cs="Times New Roman"/>
          <w:sz w:val="24"/>
          <w:szCs w:val="24"/>
        </w:rPr>
        <w:t xml:space="preserve">interwencja dotycząca demontażu pojazdów samochodowych na posesji położonej w gm. Czernice Borowe. W dniu 15.06.2022 r na podstawie art. 10b ust. 2 pkt 3 ustawy IOŚ inspektorzy rozpoczęli czynności wyjaśniające w celu ustalenia stanu faktycznego, czy na ww. posesji prowadzony jest demontaż pojazdów. W związku z tym, iż na posesji znajdowała się znaczna ilość samochodów w różnym stanie technicznym w dniu 15.06.2022 r. rozpoczęto kontrolę interwencyjną w przedmiotowej sprawie. W trakcie oględzin na posesji znajdowało się 50 pojazdów. Syn właściciela posesji (nie prowadzący działalności gospodarczej) poinformował, że większość pojazdów znajdujących się na posesji należy do niego. Podczas kontroli ustalono, że na posesji prowadzony jest demontaż pojazdów wycofanych z eksploatacji w warunkach, które nie spełniają minimalnych wymagań dla stacji demontażu pojazdów. Ustalono, że na przedmiotowym terenie znajdowała się znaczna ilość odpadów pochodzących z demontażu pojazdów, między innymi: </w:t>
      </w:r>
    </w:p>
    <w:p w14:paraId="64C2795E" w14:textId="77777777" w:rsidR="00695D38" w:rsidRPr="00695D38" w:rsidRDefault="00695D38" w:rsidP="00D34F97">
      <w:pPr>
        <w:pStyle w:val="Akapitzlist"/>
        <w:numPr>
          <w:ilvl w:val="0"/>
          <w:numId w:val="228"/>
        </w:numPr>
        <w:spacing w:line="300" w:lineRule="atLeast"/>
        <w:ind w:left="357" w:hanging="357"/>
        <w:jc w:val="both"/>
        <w:rPr>
          <w:sz w:val="24"/>
          <w:szCs w:val="24"/>
        </w:rPr>
      </w:pPr>
      <w:r w:rsidRPr="00695D38">
        <w:rPr>
          <w:sz w:val="24"/>
          <w:szCs w:val="24"/>
        </w:rPr>
        <w:t>odpady o kodzie 16 01 19 – metale nieżelazne w postaci wiązek elektrycznych pochodzących z pojazdów o masie około 0,7 Mg,</w:t>
      </w:r>
    </w:p>
    <w:p w14:paraId="13B6EFC8" w14:textId="77777777" w:rsidR="00695D38" w:rsidRPr="00695D38" w:rsidRDefault="00695D38" w:rsidP="00D34F97">
      <w:pPr>
        <w:pStyle w:val="Akapitzlist"/>
        <w:numPr>
          <w:ilvl w:val="0"/>
          <w:numId w:val="228"/>
        </w:numPr>
        <w:spacing w:line="300" w:lineRule="atLeast"/>
        <w:ind w:left="357" w:hanging="357"/>
        <w:jc w:val="both"/>
        <w:rPr>
          <w:sz w:val="24"/>
          <w:szCs w:val="24"/>
        </w:rPr>
      </w:pPr>
      <w:r w:rsidRPr="00695D38">
        <w:rPr>
          <w:sz w:val="24"/>
          <w:szCs w:val="24"/>
        </w:rPr>
        <w:t>odpady o kodzie 16 01 03 – opony w ilości 250 szt. o masie około 1,5 Mg,</w:t>
      </w:r>
    </w:p>
    <w:p w14:paraId="6C197CF5" w14:textId="77777777" w:rsidR="00695D38" w:rsidRPr="00695D38" w:rsidRDefault="00695D38" w:rsidP="00D34F97">
      <w:pPr>
        <w:pStyle w:val="Akapitzlist"/>
        <w:numPr>
          <w:ilvl w:val="0"/>
          <w:numId w:val="228"/>
        </w:numPr>
        <w:spacing w:line="300" w:lineRule="atLeast"/>
        <w:ind w:left="357" w:hanging="357"/>
        <w:jc w:val="both"/>
        <w:rPr>
          <w:sz w:val="24"/>
          <w:szCs w:val="24"/>
        </w:rPr>
      </w:pPr>
      <w:r w:rsidRPr="00695D38">
        <w:rPr>
          <w:sz w:val="24"/>
          <w:szCs w:val="24"/>
        </w:rPr>
        <w:t>odpady o kodzie 16 06 01* - akumulatory w ilości 15 szt. o masie około 0,3 Mg,</w:t>
      </w:r>
    </w:p>
    <w:p w14:paraId="28DBB0C7" w14:textId="77777777" w:rsidR="00695D38" w:rsidRPr="00695D38" w:rsidRDefault="00695D38" w:rsidP="00D34F97">
      <w:pPr>
        <w:pStyle w:val="Akapitzlist"/>
        <w:numPr>
          <w:ilvl w:val="0"/>
          <w:numId w:val="228"/>
        </w:numPr>
        <w:spacing w:line="300" w:lineRule="atLeast"/>
        <w:ind w:left="357" w:hanging="357"/>
        <w:jc w:val="both"/>
        <w:rPr>
          <w:sz w:val="24"/>
          <w:szCs w:val="24"/>
        </w:rPr>
      </w:pPr>
      <w:r w:rsidRPr="00695D38">
        <w:rPr>
          <w:sz w:val="24"/>
          <w:szCs w:val="24"/>
        </w:rPr>
        <w:t>odpady o kodzie 16 01 16 – zbiorniki na gaz skroplony w ilości 72 szt. o masie około 1,5 Mg,</w:t>
      </w:r>
    </w:p>
    <w:p w14:paraId="0F1979D1" w14:textId="77777777" w:rsidR="00695D38" w:rsidRPr="00695D38" w:rsidRDefault="00695D38" w:rsidP="00D34F97">
      <w:pPr>
        <w:pStyle w:val="Akapitzlist"/>
        <w:numPr>
          <w:ilvl w:val="0"/>
          <w:numId w:val="228"/>
        </w:numPr>
        <w:spacing w:line="300" w:lineRule="atLeast"/>
        <w:ind w:left="357" w:hanging="357"/>
        <w:jc w:val="both"/>
        <w:rPr>
          <w:sz w:val="24"/>
          <w:szCs w:val="24"/>
        </w:rPr>
      </w:pPr>
      <w:r w:rsidRPr="00695D38">
        <w:rPr>
          <w:sz w:val="24"/>
          <w:szCs w:val="24"/>
        </w:rPr>
        <w:t>odpady o kodzie 13 02 06* - syntetyczne oleje silnikowe, przekładniowe i smarowe o masie około 0,7 Mg,</w:t>
      </w:r>
    </w:p>
    <w:p w14:paraId="5F631141" w14:textId="77777777" w:rsidR="00695D38" w:rsidRPr="00695D38" w:rsidRDefault="00695D38" w:rsidP="00D34F97">
      <w:pPr>
        <w:pStyle w:val="Akapitzlist"/>
        <w:numPr>
          <w:ilvl w:val="0"/>
          <w:numId w:val="228"/>
        </w:numPr>
        <w:spacing w:line="300" w:lineRule="atLeast"/>
        <w:ind w:left="357" w:hanging="357"/>
        <w:jc w:val="both"/>
        <w:rPr>
          <w:sz w:val="24"/>
          <w:szCs w:val="24"/>
        </w:rPr>
      </w:pPr>
      <w:r w:rsidRPr="00695D38">
        <w:rPr>
          <w:sz w:val="24"/>
          <w:szCs w:val="24"/>
        </w:rPr>
        <w:t>16 01 17- metale żelazne, tj. tłumiki układu wydechowego składowane na hałdzie o powierzchni 2 metry na 2 metry i wysokości do 1 metra o masie około 0,5 Mg,</w:t>
      </w:r>
    </w:p>
    <w:p w14:paraId="7699CBA4" w14:textId="77777777" w:rsidR="00695D38" w:rsidRPr="00695D38" w:rsidRDefault="00695D38" w:rsidP="00D34F97">
      <w:pPr>
        <w:pStyle w:val="Akapitzlist"/>
        <w:numPr>
          <w:ilvl w:val="0"/>
          <w:numId w:val="228"/>
        </w:numPr>
        <w:spacing w:line="300" w:lineRule="atLeast"/>
        <w:jc w:val="both"/>
        <w:rPr>
          <w:sz w:val="24"/>
          <w:szCs w:val="24"/>
        </w:rPr>
      </w:pPr>
      <w:r w:rsidRPr="00695D38">
        <w:rPr>
          <w:sz w:val="24"/>
          <w:szCs w:val="24"/>
        </w:rPr>
        <w:lastRenderedPageBreak/>
        <w:t>odpady o kodzie 16 01 21*- niebezpieczne elementy inne niż wymienione w 16 01 07 do 16 01 11, 16 01 13, i 16 01 14 – tj. 3 skrzynie biegów, 3 silniki samochodowe, 6 amortyzatorów, 3 przekładnie kierownicze-o masie około 1 Mg.</w:t>
      </w:r>
    </w:p>
    <w:p w14:paraId="05265B67" w14:textId="77777777" w:rsidR="00695D38" w:rsidRPr="00695D38" w:rsidRDefault="00695D38" w:rsidP="004A27E7">
      <w:pPr>
        <w:spacing w:line="300" w:lineRule="atLeast"/>
        <w:ind w:firstLine="360"/>
        <w:contextualSpacing/>
        <w:jc w:val="both"/>
        <w:rPr>
          <w:rFonts w:ascii="Times New Roman" w:eastAsia="Calibri" w:hAnsi="Times New Roman" w:cs="Times New Roman"/>
          <w:sz w:val="24"/>
          <w:szCs w:val="24"/>
        </w:rPr>
      </w:pPr>
      <w:r w:rsidRPr="00695D38">
        <w:rPr>
          <w:rFonts w:ascii="Times New Roman" w:eastAsia="Calibri" w:hAnsi="Times New Roman" w:cs="Times New Roman"/>
          <w:sz w:val="24"/>
          <w:szCs w:val="24"/>
        </w:rPr>
        <w:t xml:space="preserve">Na przedmiotowej posesji znajdowały się również pojazdy, które nie posiadają kompletnej dokumentacji, pojazdy niekompletne lub posiadające uszkodzenia </w:t>
      </w:r>
      <w:proofErr w:type="spellStart"/>
      <w:r w:rsidRPr="00695D38">
        <w:rPr>
          <w:rFonts w:ascii="Times New Roman" w:eastAsia="Calibri" w:hAnsi="Times New Roman" w:cs="Times New Roman"/>
          <w:sz w:val="24"/>
          <w:szCs w:val="24"/>
        </w:rPr>
        <w:t>pokolizyjne</w:t>
      </w:r>
      <w:proofErr w:type="spellEnd"/>
      <w:r w:rsidRPr="00695D38">
        <w:rPr>
          <w:rFonts w:ascii="Times New Roman" w:eastAsia="Calibri" w:hAnsi="Times New Roman" w:cs="Times New Roman"/>
          <w:sz w:val="24"/>
          <w:szCs w:val="24"/>
        </w:rPr>
        <w:t xml:space="preserve"> i również stanowiące odpad o kodzie:</w:t>
      </w:r>
    </w:p>
    <w:p w14:paraId="2B8D259B" w14:textId="77777777" w:rsidR="00695D38" w:rsidRPr="00695D38" w:rsidRDefault="00695D38" w:rsidP="00695D38">
      <w:pPr>
        <w:spacing w:line="300" w:lineRule="atLeast"/>
        <w:contextualSpacing/>
        <w:jc w:val="both"/>
        <w:rPr>
          <w:rFonts w:ascii="Times New Roman" w:eastAsia="Calibri" w:hAnsi="Times New Roman" w:cs="Times New Roman"/>
          <w:sz w:val="24"/>
          <w:szCs w:val="24"/>
        </w:rPr>
      </w:pPr>
      <w:r w:rsidRPr="00695D38">
        <w:rPr>
          <w:rFonts w:ascii="Times New Roman" w:eastAsia="Calibri" w:hAnsi="Times New Roman" w:cs="Times New Roman"/>
          <w:sz w:val="24"/>
          <w:szCs w:val="24"/>
        </w:rPr>
        <w:t xml:space="preserve">16 01 04* - zużyte lub nienadające się do użytkowania pojazdy.   </w:t>
      </w:r>
    </w:p>
    <w:p w14:paraId="60E88512" w14:textId="77777777" w:rsidR="00695D38" w:rsidRPr="00695D38" w:rsidRDefault="00695D38" w:rsidP="004A27E7">
      <w:pPr>
        <w:spacing w:line="300" w:lineRule="atLeast"/>
        <w:ind w:firstLine="708"/>
        <w:contextualSpacing/>
        <w:jc w:val="both"/>
        <w:rPr>
          <w:rFonts w:ascii="Times New Roman" w:eastAsia="Calibri" w:hAnsi="Times New Roman" w:cs="Times New Roman"/>
          <w:sz w:val="24"/>
          <w:szCs w:val="24"/>
        </w:rPr>
      </w:pPr>
      <w:r w:rsidRPr="00695D38">
        <w:rPr>
          <w:rFonts w:ascii="Times New Roman" w:eastAsia="Calibri" w:hAnsi="Times New Roman" w:cs="Times New Roman"/>
          <w:sz w:val="24"/>
          <w:szCs w:val="24"/>
        </w:rPr>
        <w:t xml:space="preserve">Osoba fizyczna prowadząca demontaż pojazdów nie posiadała uregulowań formalnoprawnych w zakresie gospodarki odpadami oraz nie posiadała wpisu w BDO. Kontrolowany teren nie spełnia minimalnych wymagań dla stacji demontażu pojazdów określonych w rozporządzeniu Ministra Gospodarki i Pracy z dnia 28 lipca 2005 r. w sprawie minimalnych wymagań dla stacji demontażu oraz sposobu demontażu pojazdów wycofanych z eksploatacji. Teren posesji jest nieutwardzony, niezabezpieczony przed dostępem osób postronnych oraz nie jest objęty monitoringiem wizyjnym. </w:t>
      </w:r>
    </w:p>
    <w:p w14:paraId="5345F49B" w14:textId="77777777" w:rsidR="00695D38" w:rsidRPr="00695D38" w:rsidRDefault="00695D38" w:rsidP="00695D38">
      <w:pPr>
        <w:spacing w:line="300" w:lineRule="atLeast"/>
        <w:contextualSpacing/>
        <w:jc w:val="both"/>
        <w:rPr>
          <w:rFonts w:ascii="Times New Roman" w:eastAsia="Calibri" w:hAnsi="Times New Roman" w:cs="Times New Roman"/>
          <w:sz w:val="24"/>
          <w:szCs w:val="24"/>
        </w:rPr>
      </w:pPr>
      <w:r w:rsidRPr="00695D38">
        <w:rPr>
          <w:rFonts w:ascii="Times New Roman" w:eastAsia="Calibri" w:hAnsi="Times New Roman" w:cs="Times New Roman"/>
          <w:sz w:val="24"/>
          <w:szCs w:val="24"/>
        </w:rPr>
        <w:t xml:space="preserve">W dniu 15.09.2022 r. wysłano zarządzenie pokontrolne nakazujące: </w:t>
      </w:r>
    </w:p>
    <w:p w14:paraId="3DC5BBD2" w14:textId="77777777" w:rsidR="00695D38" w:rsidRPr="00695D38" w:rsidRDefault="00695D38" w:rsidP="00695D38">
      <w:pPr>
        <w:spacing w:line="300" w:lineRule="atLeast"/>
        <w:contextualSpacing/>
        <w:jc w:val="both"/>
        <w:rPr>
          <w:rFonts w:ascii="Times New Roman" w:eastAsia="Calibri" w:hAnsi="Times New Roman" w:cs="Times New Roman"/>
          <w:sz w:val="24"/>
          <w:szCs w:val="24"/>
        </w:rPr>
      </w:pPr>
      <w:r w:rsidRPr="00695D38">
        <w:rPr>
          <w:rFonts w:ascii="Times New Roman" w:eastAsia="Calibri" w:hAnsi="Times New Roman" w:cs="Times New Roman"/>
          <w:sz w:val="24"/>
          <w:szCs w:val="24"/>
        </w:rPr>
        <w:t>- Odpady zmagazynowane na terenie posesji w gminie  Czernice Borowe, powiat przasnyski, przekazać uprawnionym podmiotom, tj. posiadającym zezwolenia właściwych organów na prowadzenie działalności w zakresie gospodarowania odpadami.</w:t>
      </w:r>
    </w:p>
    <w:p w14:paraId="65C33523" w14:textId="77777777" w:rsidR="00695D38" w:rsidRPr="00695D38" w:rsidRDefault="00695D38" w:rsidP="00695D38">
      <w:pPr>
        <w:spacing w:line="300" w:lineRule="atLeast"/>
        <w:contextualSpacing/>
        <w:jc w:val="both"/>
        <w:rPr>
          <w:rFonts w:ascii="Times New Roman" w:eastAsia="Calibri" w:hAnsi="Times New Roman" w:cs="Times New Roman"/>
          <w:sz w:val="24"/>
          <w:szCs w:val="24"/>
        </w:rPr>
      </w:pPr>
      <w:r w:rsidRPr="00695D38">
        <w:rPr>
          <w:rFonts w:ascii="Times New Roman" w:eastAsia="Calibri" w:hAnsi="Times New Roman" w:cs="Times New Roman"/>
          <w:sz w:val="24"/>
          <w:szCs w:val="24"/>
        </w:rPr>
        <w:t>- Nienaruszanie przepisów określonych w ustawie z dnia 20 stycznia 2005 r. o recyklingu pojazdów wycofanych z eksploatacji w zakresie demontażu pojazdów wycofanych z eksploatacji poza stacją demontażu, w warunkach które nie spełniają minimalnych wymagań dla stacji demontażu pojazdów.</w:t>
      </w:r>
    </w:p>
    <w:p w14:paraId="086028CE" w14:textId="6016D1AD" w:rsidR="00695D38" w:rsidRPr="00695D38" w:rsidRDefault="00695D38" w:rsidP="00695D38">
      <w:pPr>
        <w:keepNext/>
        <w:spacing w:line="300" w:lineRule="atLeast"/>
        <w:ind w:firstLine="708"/>
        <w:contextualSpacing/>
        <w:jc w:val="center"/>
        <w:rPr>
          <w:rFonts w:ascii="Times New Roman" w:hAnsi="Times New Roman" w:cs="Times New Roman"/>
          <w:sz w:val="24"/>
          <w:szCs w:val="24"/>
        </w:rPr>
      </w:pPr>
      <w:r w:rsidRPr="00695D38">
        <w:rPr>
          <w:rFonts w:ascii="Times New Roman" w:hAnsi="Times New Roman" w:cs="Times New Roman"/>
          <w:noProof/>
          <w:sz w:val="24"/>
          <w:szCs w:val="24"/>
          <w:lang w:eastAsia="pl-PL"/>
        </w:rPr>
        <w:drawing>
          <wp:inline distT="0" distB="0" distL="0" distR="0" wp14:anchorId="45C44297" wp14:editId="2D2CFA33">
            <wp:extent cx="4637196" cy="2790825"/>
            <wp:effectExtent l="0" t="0" r="0" b="0"/>
            <wp:docPr id="95" name="Obraz 95" descr="Zdjęcie 11. Pojazdy znajdujące się na przedmiotowej poses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Obraz 95" descr="Zdjęcie 11. Pojazdy znajdujące się na przedmiotowej posesji"/>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684810" cy="2819481"/>
                    </a:xfrm>
                    <a:prstGeom prst="rect">
                      <a:avLst/>
                    </a:prstGeom>
                    <a:noFill/>
                    <a:ln>
                      <a:noFill/>
                    </a:ln>
                  </pic:spPr>
                </pic:pic>
              </a:graphicData>
            </a:graphic>
          </wp:inline>
        </w:drawing>
      </w:r>
    </w:p>
    <w:p w14:paraId="6C0A2699" w14:textId="318030D4" w:rsidR="00695D38" w:rsidRPr="00861B23" w:rsidRDefault="00695D38" w:rsidP="00695D38">
      <w:pPr>
        <w:pStyle w:val="Legenda"/>
        <w:spacing w:line="300" w:lineRule="atLeast"/>
        <w:contextualSpacing/>
        <w:jc w:val="center"/>
        <w:rPr>
          <w:color w:val="000000" w:themeColor="text1"/>
          <w:sz w:val="22"/>
          <w:szCs w:val="22"/>
        </w:rPr>
      </w:pPr>
      <w:r w:rsidRPr="00861B23">
        <w:rPr>
          <w:color w:val="000000" w:themeColor="text1"/>
          <w:sz w:val="22"/>
          <w:szCs w:val="22"/>
        </w:rPr>
        <w:t xml:space="preserve">Zdjęcie </w:t>
      </w:r>
      <w:r w:rsidR="008207F5" w:rsidRPr="00861B23">
        <w:rPr>
          <w:color w:val="000000" w:themeColor="text1"/>
          <w:sz w:val="22"/>
          <w:szCs w:val="22"/>
          <w:lang w:val="pl-PL"/>
        </w:rPr>
        <w:t>1</w:t>
      </w:r>
      <w:r w:rsidR="00535853">
        <w:rPr>
          <w:color w:val="000000" w:themeColor="text1"/>
          <w:sz w:val="22"/>
          <w:szCs w:val="22"/>
          <w:lang w:val="pl-PL"/>
        </w:rPr>
        <w:t>1</w:t>
      </w:r>
      <w:r w:rsidR="008207F5" w:rsidRPr="00861B23">
        <w:rPr>
          <w:color w:val="000000" w:themeColor="text1"/>
          <w:sz w:val="22"/>
          <w:szCs w:val="22"/>
          <w:lang w:val="pl-PL"/>
        </w:rPr>
        <w:t>.</w:t>
      </w:r>
      <w:r w:rsidRPr="00861B23">
        <w:rPr>
          <w:color w:val="000000" w:themeColor="text1"/>
          <w:sz w:val="22"/>
          <w:szCs w:val="22"/>
        </w:rPr>
        <w:t xml:space="preserve"> </w:t>
      </w:r>
      <w:r w:rsidR="008207F5" w:rsidRPr="00861B23">
        <w:rPr>
          <w:color w:val="000000" w:themeColor="text1"/>
          <w:sz w:val="22"/>
          <w:szCs w:val="22"/>
          <w:lang w:val="pl-PL"/>
        </w:rPr>
        <w:t>P</w:t>
      </w:r>
      <w:proofErr w:type="spellStart"/>
      <w:r w:rsidRPr="00861B23">
        <w:rPr>
          <w:color w:val="000000" w:themeColor="text1"/>
          <w:sz w:val="22"/>
          <w:szCs w:val="22"/>
        </w:rPr>
        <w:t>ojazdy</w:t>
      </w:r>
      <w:proofErr w:type="spellEnd"/>
      <w:r w:rsidRPr="00861B23">
        <w:rPr>
          <w:color w:val="000000" w:themeColor="text1"/>
          <w:sz w:val="22"/>
          <w:szCs w:val="22"/>
        </w:rPr>
        <w:t xml:space="preserve"> znajdujące się na przedmiotowej posesji</w:t>
      </w:r>
    </w:p>
    <w:p w14:paraId="5C77AB86" w14:textId="48342499" w:rsidR="00695D38" w:rsidRPr="00695D38" w:rsidRDefault="00695D38" w:rsidP="00695D38">
      <w:pPr>
        <w:keepNext/>
        <w:spacing w:line="300" w:lineRule="atLeast"/>
        <w:ind w:firstLine="426"/>
        <w:contextualSpacing/>
        <w:jc w:val="center"/>
        <w:rPr>
          <w:rFonts w:ascii="Times New Roman" w:hAnsi="Times New Roman" w:cs="Times New Roman"/>
          <w:sz w:val="24"/>
          <w:szCs w:val="24"/>
        </w:rPr>
      </w:pPr>
      <w:r w:rsidRPr="00695D38">
        <w:rPr>
          <w:rFonts w:ascii="Times New Roman" w:hAnsi="Times New Roman" w:cs="Times New Roman"/>
          <w:noProof/>
          <w:sz w:val="24"/>
          <w:szCs w:val="24"/>
          <w:lang w:eastAsia="pl-PL"/>
        </w:rPr>
        <w:lastRenderedPageBreak/>
        <w:drawing>
          <wp:inline distT="0" distB="0" distL="0" distR="0" wp14:anchorId="153B78D2" wp14:editId="5B224DBE">
            <wp:extent cx="5701975" cy="3209925"/>
            <wp:effectExtent l="0" t="0" r="0" b="0"/>
            <wp:docPr id="94" name="Obraz 94" descr="Zdjęcie 12. Części znajdujące się w budy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Obraz 94" descr="Zdjęcie 12. Części znajdujące się w budynku"/>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08723" cy="3213724"/>
                    </a:xfrm>
                    <a:prstGeom prst="rect">
                      <a:avLst/>
                    </a:prstGeom>
                    <a:noFill/>
                    <a:ln>
                      <a:noFill/>
                    </a:ln>
                  </pic:spPr>
                </pic:pic>
              </a:graphicData>
            </a:graphic>
          </wp:inline>
        </w:drawing>
      </w:r>
    </w:p>
    <w:p w14:paraId="75FC1BE7" w14:textId="01683A33" w:rsidR="00695D38" w:rsidRPr="00695D38" w:rsidRDefault="00695D38" w:rsidP="00695D38">
      <w:pPr>
        <w:pStyle w:val="Legenda"/>
        <w:spacing w:line="300" w:lineRule="atLeast"/>
        <w:contextualSpacing/>
        <w:jc w:val="center"/>
        <w:rPr>
          <w:sz w:val="24"/>
          <w:szCs w:val="24"/>
        </w:rPr>
      </w:pPr>
      <w:r w:rsidRPr="00861B23">
        <w:rPr>
          <w:color w:val="000000" w:themeColor="text1"/>
          <w:sz w:val="24"/>
          <w:szCs w:val="24"/>
        </w:rPr>
        <w:t xml:space="preserve">Zdjęcie </w:t>
      </w:r>
      <w:r w:rsidR="008207F5" w:rsidRPr="00861B23">
        <w:rPr>
          <w:color w:val="000000" w:themeColor="text1"/>
          <w:sz w:val="24"/>
          <w:szCs w:val="24"/>
          <w:lang w:val="pl-PL"/>
        </w:rPr>
        <w:t>1</w:t>
      </w:r>
      <w:r w:rsidR="00E75A83">
        <w:rPr>
          <w:color w:val="000000" w:themeColor="text1"/>
          <w:sz w:val="24"/>
          <w:szCs w:val="24"/>
          <w:lang w:val="pl-PL"/>
        </w:rPr>
        <w:t>2</w:t>
      </w:r>
      <w:r w:rsidR="008207F5" w:rsidRPr="00861B23">
        <w:rPr>
          <w:color w:val="000000" w:themeColor="text1"/>
          <w:sz w:val="24"/>
          <w:szCs w:val="24"/>
          <w:lang w:val="pl-PL"/>
        </w:rPr>
        <w:t>.</w:t>
      </w:r>
      <w:r w:rsidRPr="00861B23">
        <w:rPr>
          <w:color w:val="000000" w:themeColor="text1"/>
          <w:sz w:val="24"/>
          <w:szCs w:val="24"/>
        </w:rPr>
        <w:t xml:space="preserve"> </w:t>
      </w:r>
      <w:r w:rsidR="008207F5" w:rsidRPr="00861B23">
        <w:rPr>
          <w:color w:val="000000" w:themeColor="text1"/>
          <w:sz w:val="24"/>
          <w:szCs w:val="24"/>
          <w:lang w:val="pl-PL"/>
        </w:rPr>
        <w:t>C</w:t>
      </w:r>
      <w:proofErr w:type="spellStart"/>
      <w:r w:rsidRPr="00861B23">
        <w:rPr>
          <w:color w:val="000000" w:themeColor="text1"/>
          <w:sz w:val="24"/>
          <w:szCs w:val="24"/>
        </w:rPr>
        <w:t>zęści</w:t>
      </w:r>
      <w:proofErr w:type="spellEnd"/>
      <w:r w:rsidRPr="00861B23">
        <w:rPr>
          <w:color w:val="000000" w:themeColor="text1"/>
          <w:sz w:val="24"/>
          <w:szCs w:val="24"/>
        </w:rPr>
        <w:t xml:space="preserve"> znajdujące się w budynku</w:t>
      </w:r>
    </w:p>
    <w:p w14:paraId="72C0C674" w14:textId="0A326C47" w:rsidR="00695D38" w:rsidRPr="00695D38" w:rsidRDefault="00695D38" w:rsidP="00695D38">
      <w:pPr>
        <w:pStyle w:val="Legenda"/>
        <w:spacing w:line="300" w:lineRule="atLeast"/>
        <w:contextualSpacing/>
        <w:jc w:val="center"/>
        <w:rPr>
          <w:sz w:val="24"/>
          <w:szCs w:val="24"/>
        </w:rPr>
      </w:pPr>
    </w:p>
    <w:p w14:paraId="7A58B350" w14:textId="77777777" w:rsidR="00695D38" w:rsidRPr="00695D38" w:rsidRDefault="00695D38" w:rsidP="00695D38">
      <w:pPr>
        <w:spacing w:line="300" w:lineRule="atLeast"/>
        <w:contextualSpacing/>
        <w:jc w:val="both"/>
        <w:rPr>
          <w:rFonts w:ascii="Times New Roman" w:hAnsi="Times New Roman" w:cs="Times New Roman"/>
          <w:b/>
          <w:sz w:val="24"/>
          <w:szCs w:val="24"/>
        </w:rPr>
      </w:pPr>
      <w:r w:rsidRPr="00695D38">
        <w:rPr>
          <w:rStyle w:val="GenRapStyle0"/>
          <w:b/>
          <w:sz w:val="24"/>
          <w:szCs w:val="24"/>
        </w:rPr>
        <w:t xml:space="preserve">Przykład 2 </w:t>
      </w:r>
    </w:p>
    <w:p w14:paraId="37E40A69" w14:textId="77777777" w:rsidR="00695D38" w:rsidRPr="00695D38" w:rsidRDefault="00695D38" w:rsidP="00861B23">
      <w:pPr>
        <w:spacing w:line="300" w:lineRule="atLeast"/>
        <w:ind w:firstLine="708"/>
        <w:contextualSpacing/>
        <w:jc w:val="both"/>
        <w:rPr>
          <w:rStyle w:val="GenRapStyle0"/>
          <w:sz w:val="24"/>
          <w:szCs w:val="24"/>
        </w:rPr>
      </w:pPr>
      <w:r w:rsidRPr="00695D38">
        <w:rPr>
          <w:rFonts w:ascii="Times New Roman" w:hAnsi="Times New Roman" w:cs="Times New Roman"/>
          <w:sz w:val="24"/>
          <w:szCs w:val="24"/>
        </w:rPr>
        <w:t xml:space="preserve">Płock - deponowanie odpadów w postaci frakcji </w:t>
      </w:r>
      <w:proofErr w:type="spellStart"/>
      <w:r w:rsidRPr="00695D38">
        <w:rPr>
          <w:rFonts w:ascii="Times New Roman" w:hAnsi="Times New Roman" w:cs="Times New Roman"/>
          <w:sz w:val="24"/>
          <w:szCs w:val="24"/>
        </w:rPr>
        <w:t>podsitowej</w:t>
      </w:r>
      <w:proofErr w:type="spellEnd"/>
      <w:r w:rsidRPr="00695D38">
        <w:rPr>
          <w:rFonts w:ascii="Times New Roman" w:hAnsi="Times New Roman" w:cs="Times New Roman"/>
          <w:sz w:val="24"/>
          <w:szCs w:val="24"/>
        </w:rPr>
        <w:t xml:space="preserve"> na terenie</w:t>
      </w:r>
      <w:r w:rsidRPr="00695D38">
        <w:rPr>
          <w:rStyle w:val="GenRapStyle0"/>
          <w:sz w:val="24"/>
          <w:szCs w:val="24"/>
        </w:rPr>
        <w:t xml:space="preserve"> wyrobiska przeznaczonego do rekultywacji w miejscowości Zbójno gm. Gozdowo:</w:t>
      </w:r>
    </w:p>
    <w:p w14:paraId="2E1BAC9F" w14:textId="77777777" w:rsidR="008207F5" w:rsidRDefault="00695D38" w:rsidP="008207F5">
      <w:pPr>
        <w:spacing w:line="300" w:lineRule="atLeast"/>
        <w:ind w:firstLine="708"/>
        <w:contextualSpacing/>
        <w:jc w:val="both"/>
        <w:rPr>
          <w:rStyle w:val="GenRapStyle0"/>
          <w:sz w:val="24"/>
          <w:szCs w:val="24"/>
        </w:rPr>
      </w:pPr>
      <w:r w:rsidRPr="00695D38">
        <w:rPr>
          <w:rFonts w:ascii="Times New Roman" w:hAnsi="Times New Roman" w:cs="Times New Roman"/>
          <w:sz w:val="24"/>
          <w:szCs w:val="24"/>
        </w:rPr>
        <w:t xml:space="preserve">W dniu 22.04.2022 r. </w:t>
      </w:r>
      <w:r w:rsidRPr="00695D38">
        <w:rPr>
          <w:rStyle w:val="GenRapStyle0"/>
          <w:sz w:val="24"/>
          <w:szCs w:val="24"/>
        </w:rPr>
        <w:t>w</w:t>
      </w:r>
      <w:r w:rsidRPr="00695D38">
        <w:rPr>
          <w:rFonts w:ascii="Times New Roman" w:hAnsi="Times New Roman" w:cs="Times New Roman"/>
          <w:sz w:val="24"/>
          <w:szCs w:val="24"/>
        </w:rPr>
        <w:t> </w:t>
      </w:r>
      <w:r w:rsidRPr="00695D38">
        <w:rPr>
          <w:rStyle w:val="GenRapStyle0"/>
          <w:sz w:val="24"/>
          <w:szCs w:val="24"/>
        </w:rPr>
        <w:t xml:space="preserve">związku ze zgłoszeniem telefonicznym otrzymanym od funkcjonariusza Komendy Powiatowej Policji w Sierpcu dotyczącym transportu odpadów i możliwości ich rozładunku w miejscu na ten cel nieprzeznaczonym tj. na terenie wyrobiska przeznaczonego do rekultywacji w miejscowości Zbójno gm. Gozdowo </w:t>
      </w:r>
      <w:r w:rsidRPr="00695D38">
        <w:rPr>
          <w:rFonts w:ascii="Times New Roman" w:hAnsi="Times New Roman" w:cs="Times New Roman"/>
          <w:sz w:val="24"/>
          <w:szCs w:val="24"/>
        </w:rPr>
        <w:t xml:space="preserve">podjęto działania </w:t>
      </w:r>
      <w:r w:rsidRPr="00695D38">
        <w:rPr>
          <w:rStyle w:val="GenRapStyle0"/>
          <w:sz w:val="24"/>
          <w:szCs w:val="24"/>
        </w:rPr>
        <w:t xml:space="preserve">na podstawie art. 10 b ustawy z dnia 20 lipca 1991 r. </w:t>
      </w:r>
      <w:r w:rsidRPr="00695D38">
        <w:rPr>
          <w:rStyle w:val="GenRapStyle0"/>
          <w:i/>
          <w:iCs/>
          <w:sz w:val="24"/>
          <w:szCs w:val="24"/>
        </w:rPr>
        <w:t>o</w:t>
      </w:r>
      <w:r w:rsidRPr="00695D38">
        <w:rPr>
          <w:rStyle w:val="GenRapStyle0"/>
          <w:sz w:val="24"/>
          <w:szCs w:val="24"/>
        </w:rPr>
        <w:t> </w:t>
      </w:r>
      <w:r w:rsidRPr="00695D38">
        <w:rPr>
          <w:rStyle w:val="GenRapStyle0"/>
          <w:i/>
          <w:iCs/>
          <w:sz w:val="24"/>
          <w:szCs w:val="24"/>
        </w:rPr>
        <w:t>Inspekcji Ochrony Środowiska.</w:t>
      </w:r>
      <w:r w:rsidRPr="00695D38">
        <w:rPr>
          <w:rStyle w:val="GenRapStyle0"/>
          <w:sz w:val="24"/>
          <w:szCs w:val="24"/>
        </w:rPr>
        <w:t xml:space="preserve"> W wyniku podjętych czynności zatrzymano dwa transporty odpadów, jeden transport dokonał rozładunku, natomiast rozładunek drugiego zestawu udaremniono. </w:t>
      </w:r>
    </w:p>
    <w:p w14:paraId="5F286720" w14:textId="77777777" w:rsidR="008207F5" w:rsidRDefault="00695D38" w:rsidP="008207F5">
      <w:pPr>
        <w:spacing w:line="300" w:lineRule="atLeast"/>
        <w:ind w:firstLine="708"/>
        <w:contextualSpacing/>
        <w:jc w:val="both"/>
        <w:rPr>
          <w:rFonts w:ascii="Times New Roman" w:hAnsi="Times New Roman" w:cs="Times New Roman"/>
          <w:sz w:val="24"/>
          <w:szCs w:val="24"/>
        </w:rPr>
      </w:pPr>
      <w:r w:rsidRPr="008207F5">
        <w:rPr>
          <w:rStyle w:val="GenRapStyle0"/>
          <w:sz w:val="24"/>
          <w:szCs w:val="24"/>
          <w:u w:val="single"/>
        </w:rPr>
        <w:t>Zestaw 1</w:t>
      </w:r>
      <w:r w:rsidRPr="00695D38">
        <w:rPr>
          <w:rStyle w:val="GenRapStyle0"/>
          <w:sz w:val="24"/>
          <w:szCs w:val="24"/>
        </w:rPr>
        <w:t xml:space="preserve">: </w:t>
      </w:r>
      <w:r w:rsidRPr="00695D38">
        <w:rPr>
          <w:rFonts w:ascii="Times New Roman" w:hAnsi="Times New Roman" w:cs="Times New Roman"/>
          <w:sz w:val="24"/>
          <w:szCs w:val="24"/>
        </w:rPr>
        <w:t xml:space="preserve">ciągnik według karty BDO powinien transportować odpady o kodzie 19 12 04 – tworzywa sztuczne i guma o masie 17,26 Mg. Faktycznie wieziono odpady o kodzie 19 12 12 – Inne odpady (w tym zmieszane substancje i przedmioty) z mechanicznej obróbki odpadów inne niż wymienione w 19 12 11 inne odpady po mechanicznej obróbce. Zawartość naczepy została rozładowana na terenie wyrobiska w przeznaczonego do rekultywacji w miejscowości Zbójno gm. Sierpc i przykryta częściowo piaskiem. </w:t>
      </w:r>
    </w:p>
    <w:p w14:paraId="42702BD8" w14:textId="10B52A01" w:rsidR="00695D38" w:rsidRPr="00695D38" w:rsidRDefault="00695D38" w:rsidP="008207F5">
      <w:pPr>
        <w:spacing w:line="300" w:lineRule="atLeast"/>
        <w:ind w:firstLine="708"/>
        <w:contextualSpacing/>
        <w:jc w:val="both"/>
        <w:rPr>
          <w:rFonts w:ascii="Times New Roman" w:hAnsi="Times New Roman" w:cs="Times New Roman"/>
          <w:sz w:val="24"/>
          <w:szCs w:val="24"/>
        </w:rPr>
      </w:pPr>
      <w:r w:rsidRPr="008207F5">
        <w:rPr>
          <w:rFonts w:ascii="Times New Roman" w:hAnsi="Times New Roman" w:cs="Times New Roman"/>
          <w:sz w:val="24"/>
          <w:szCs w:val="24"/>
          <w:u w:val="single"/>
        </w:rPr>
        <w:t>Zestaw 2</w:t>
      </w:r>
      <w:r w:rsidRPr="00695D38">
        <w:rPr>
          <w:rFonts w:ascii="Times New Roman" w:hAnsi="Times New Roman" w:cs="Times New Roman"/>
          <w:sz w:val="24"/>
          <w:szCs w:val="24"/>
        </w:rPr>
        <w:t>: ciągnik</w:t>
      </w:r>
      <w:r w:rsidR="008207F5">
        <w:rPr>
          <w:rFonts w:ascii="Times New Roman" w:hAnsi="Times New Roman" w:cs="Times New Roman"/>
          <w:sz w:val="24"/>
          <w:szCs w:val="24"/>
        </w:rPr>
        <w:t xml:space="preserve"> </w:t>
      </w:r>
      <w:r w:rsidRPr="00695D38">
        <w:rPr>
          <w:rFonts w:ascii="Times New Roman" w:hAnsi="Times New Roman" w:cs="Times New Roman"/>
          <w:sz w:val="24"/>
          <w:szCs w:val="24"/>
        </w:rPr>
        <w:t xml:space="preserve">również posiadał kartę BDO na kod 19 12 04 – tworzywa sztuczne i guma o masie 25.44 Mg. Faktycznie wieziono odpady o kodzie 19 12 12 – Inne odpady </w:t>
      </w:r>
      <w:r w:rsidR="008207F5">
        <w:rPr>
          <w:rFonts w:ascii="Times New Roman" w:hAnsi="Times New Roman" w:cs="Times New Roman"/>
          <w:sz w:val="24"/>
          <w:szCs w:val="24"/>
        </w:rPr>
        <w:br/>
      </w:r>
      <w:r w:rsidRPr="00695D38">
        <w:rPr>
          <w:rFonts w:ascii="Times New Roman" w:hAnsi="Times New Roman" w:cs="Times New Roman"/>
          <w:sz w:val="24"/>
          <w:szCs w:val="24"/>
        </w:rPr>
        <w:t>(w tym zmieszane substancje i przedmioty) z mechanicznej obróbki odpadów inne niż wymienione w 19 12 11 inne odpady po mechanicznej obróbce. Transporty odpadów miały się odbyć z firmy z siedzibą w gm. Kowalewo Pomorskie,</w:t>
      </w:r>
      <w:r w:rsidR="008207F5">
        <w:rPr>
          <w:rFonts w:ascii="Times New Roman" w:hAnsi="Times New Roman" w:cs="Times New Roman"/>
          <w:sz w:val="24"/>
          <w:szCs w:val="24"/>
        </w:rPr>
        <w:t xml:space="preserve"> </w:t>
      </w:r>
      <w:r w:rsidRPr="00695D38">
        <w:rPr>
          <w:rFonts w:ascii="Times New Roman" w:hAnsi="Times New Roman" w:cs="Times New Roman"/>
          <w:sz w:val="24"/>
          <w:szCs w:val="24"/>
        </w:rPr>
        <w:t xml:space="preserve">woj. </w:t>
      </w:r>
      <w:r w:rsidR="008207F5">
        <w:rPr>
          <w:rFonts w:ascii="Times New Roman" w:hAnsi="Times New Roman" w:cs="Times New Roman"/>
          <w:sz w:val="24"/>
          <w:szCs w:val="24"/>
        </w:rPr>
        <w:t>k</w:t>
      </w:r>
      <w:r w:rsidRPr="00695D38">
        <w:rPr>
          <w:rFonts w:ascii="Times New Roman" w:hAnsi="Times New Roman" w:cs="Times New Roman"/>
          <w:sz w:val="24"/>
          <w:szCs w:val="24"/>
        </w:rPr>
        <w:t>ujawsko-</w:t>
      </w:r>
      <w:r w:rsidR="008207F5">
        <w:rPr>
          <w:rFonts w:ascii="Times New Roman" w:hAnsi="Times New Roman" w:cs="Times New Roman"/>
          <w:sz w:val="24"/>
          <w:szCs w:val="24"/>
        </w:rPr>
        <w:t>p</w:t>
      </w:r>
      <w:r w:rsidRPr="00695D38">
        <w:rPr>
          <w:rFonts w:ascii="Times New Roman" w:hAnsi="Times New Roman" w:cs="Times New Roman"/>
          <w:sz w:val="24"/>
          <w:szCs w:val="24"/>
        </w:rPr>
        <w:t xml:space="preserve">omorskie do firmy  </w:t>
      </w:r>
      <w:r w:rsidR="008207F5">
        <w:rPr>
          <w:rFonts w:ascii="Times New Roman" w:hAnsi="Times New Roman" w:cs="Times New Roman"/>
          <w:sz w:val="24"/>
          <w:szCs w:val="24"/>
        </w:rPr>
        <w:br/>
      </w:r>
      <w:r w:rsidRPr="00695D38">
        <w:rPr>
          <w:rFonts w:ascii="Times New Roman" w:hAnsi="Times New Roman" w:cs="Times New Roman"/>
          <w:sz w:val="24"/>
          <w:szCs w:val="24"/>
        </w:rPr>
        <w:t>z siedzibą w Kędzierzynie Koźlu,  woj. opolskie. Według najprostszej wygenerowanej trasy przejazdu między ww. adresami firm miejscowość Zbójno nie znajduje się po najprostszej linii przejazdu. Dodatkowo transport odbywał się bez oznaczeń samochodów, brak tabliczki z napisałem ODPADY.</w:t>
      </w:r>
    </w:p>
    <w:p w14:paraId="644EE52B" w14:textId="65C5A8F6" w:rsidR="00695D38" w:rsidRPr="00695D38" w:rsidRDefault="00695D38" w:rsidP="00714536">
      <w:pPr>
        <w:spacing w:line="300" w:lineRule="atLeast"/>
        <w:ind w:firstLine="567"/>
        <w:contextualSpacing/>
        <w:jc w:val="both"/>
        <w:rPr>
          <w:rFonts w:ascii="Times New Roman" w:hAnsi="Times New Roman" w:cs="Times New Roman"/>
          <w:sz w:val="24"/>
          <w:szCs w:val="24"/>
        </w:rPr>
      </w:pPr>
      <w:r w:rsidRPr="00695D38">
        <w:rPr>
          <w:rFonts w:ascii="Times New Roman" w:hAnsi="Times New Roman" w:cs="Times New Roman"/>
          <w:sz w:val="24"/>
          <w:szCs w:val="24"/>
        </w:rPr>
        <w:t xml:space="preserve">W związku z powyższym w dniu 12.05.2022 r. rozpoczęto kontrolę w przedsiębiorstwie prowadzącego gospodarkę odpadami na terenie ww. wyrobiska, na podstawie czynności </w:t>
      </w:r>
      <w:r w:rsidRPr="00695D38">
        <w:rPr>
          <w:rFonts w:ascii="Times New Roman" w:hAnsi="Times New Roman" w:cs="Times New Roman"/>
          <w:sz w:val="24"/>
          <w:szCs w:val="24"/>
        </w:rPr>
        <w:lastRenderedPageBreak/>
        <w:t xml:space="preserve">przeprowadzonych na podstawie art. 10 b ustawy z dnia 20 lipca 1991 r. o Inspekcji Ochrony Środowiska i stwierdzeniu nieprawidłowości w zakresie gospodarowania odpadami. Również w dniu 12.05.2022 r. pracownicy Centralnego Laboratorium Badawczego </w:t>
      </w:r>
      <w:r w:rsidR="008207F5">
        <w:rPr>
          <w:rFonts w:ascii="Times New Roman" w:hAnsi="Times New Roman" w:cs="Times New Roman"/>
          <w:sz w:val="24"/>
          <w:szCs w:val="24"/>
        </w:rPr>
        <w:t xml:space="preserve">(CLB) </w:t>
      </w:r>
      <w:r w:rsidRPr="00695D38">
        <w:rPr>
          <w:rFonts w:ascii="Times New Roman" w:hAnsi="Times New Roman" w:cs="Times New Roman"/>
          <w:sz w:val="24"/>
          <w:szCs w:val="24"/>
        </w:rPr>
        <w:t>G</w:t>
      </w:r>
      <w:r w:rsidR="008207F5">
        <w:rPr>
          <w:rFonts w:ascii="Times New Roman" w:hAnsi="Times New Roman" w:cs="Times New Roman"/>
          <w:sz w:val="24"/>
          <w:szCs w:val="24"/>
        </w:rPr>
        <w:t>IOŚ Oddział</w:t>
      </w:r>
      <w:r w:rsidRPr="00695D38">
        <w:rPr>
          <w:rFonts w:ascii="Times New Roman" w:hAnsi="Times New Roman" w:cs="Times New Roman"/>
          <w:sz w:val="24"/>
          <w:szCs w:val="24"/>
        </w:rPr>
        <w:t xml:space="preserve"> w Warszawie pobrali próbkę gleby oraz opadu z działki nr 99/2. W dniu 03.06.2022 r. otrzymano sprawozdanie zawierające wyniki analizy pobranej gleby oraz odpadu. Wyniki analizy próbki gleby pobranej przez CLB GIOŚ porównano </w:t>
      </w:r>
      <w:r w:rsidR="008207F5">
        <w:rPr>
          <w:rFonts w:ascii="Times New Roman" w:hAnsi="Times New Roman" w:cs="Times New Roman"/>
          <w:sz w:val="24"/>
          <w:szCs w:val="24"/>
        </w:rPr>
        <w:t xml:space="preserve">z </w:t>
      </w:r>
      <w:r w:rsidRPr="00695D38">
        <w:rPr>
          <w:rFonts w:ascii="Times New Roman" w:hAnsi="Times New Roman" w:cs="Times New Roman"/>
          <w:sz w:val="24"/>
          <w:szCs w:val="24"/>
        </w:rPr>
        <w:t>parametr</w:t>
      </w:r>
      <w:r w:rsidR="008207F5">
        <w:rPr>
          <w:rFonts w:ascii="Times New Roman" w:hAnsi="Times New Roman" w:cs="Times New Roman"/>
          <w:sz w:val="24"/>
          <w:szCs w:val="24"/>
        </w:rPr>
        <w:t xml:space="preserve">ami </w:t>
      </w:r>
      <w:r w:rsidRPr="00695D38">
        <w:rPr>
          <w:rFonts w:ascii="Times New Roman" w:hAnsi="Times New Roman" w:cs="Times New Roman"/>
          <w:sz w:val="24"/>
          <w:szCs w:val="24"/>
        </w:rPr>
        <w:t>zawarty</w:t>
      </w:r>
      <w:r w:rsidR="008207F5">
        <w:rPr>
          <w:rFonts w:ascii="Times New Roman" w:hAnsi="Times New Roman" w:cs="Times New Roman"/>
          <w:sz w:val="24"/>
          <w:szCs w:val="24"/>
        </w:rPr>
        <w:t>mi</w:t>
      </w:r>
      <w:r w:rsidRPr="00695D38">
        <w:rPr>
          <w:rFonts w:ascii="Times New Roman" w:hAnsi="Times New Roman" w:cs="Times New Roman"/>
          <w:sz w:val="24"/>
          <w:szCs w:val="24"/>
        </w:rPr>
        <w:t xml:space="preserve"> w </w:t>
      </w:r>
      <w:r w:rsidR="008207F5">
        <w:rPr>
          <w:rFonts w:ascii="Times New Roman" w:hAnsi="Times New Roman" w:cs="Times New Roman"/>
          <w:sz w:val="24"/>
          <w:szCs w:val="24"/>
        </w:rPr>
        <w:t>r</w:t>
      </w:r>
      <w:r w:rsidRPr="00695D38">
        <w:rPr>
          <w:rFonts w:ascii="Times New Roman" w:hAnsi="Times New Roman" w:cs="Times New Roman"/>
          <w:sz w:val="24"/>
          <w:szCs w:val="24"/>
        </w:rPr>
        <w:t>ozporządzeniu Ministra Środowiska z dnia 1 września 2016 r. w sprawie sposobu prowadzenia oceny zanieczyszczenia powierzchni ziemi. W związku z prowadzoną działalnością teren wyrobiska należy do gruntów kategorii IV. Gleba została zbadana pod względem zawartości metali, węglowodorów aromatycznych, sumę węglowodorów C12-C35, składników frakcji oleju. Odnosząc uzyskane wyniki do załącznika nr 1 ww. rozporządzenia, tj. substancje powodujące ryzyko szczególnie istotne dla ochrony powierzchni ziemi, ich dopuszczalne zawartości w glebie oraz dopuszczalne zawartości w ziemi, zróżnicowane dla poszczególnych właściwości gleby oraz grup gruntów, wydzielonych w oparciu o sposób ich użytkowania, stwierdzono brak przekroczenia wartości granicznych dla gruntów kategorii IV dla zbadanych parametrów.</w:t>
      </w:r>
    </w:p>
    <w:p w14:paraId="6D77A816" w14:textId="2BC5A8AB" w:rsidR="008207F5" w:rsidRDefault="00695D38" w:rsidP="00714536">
      <w:pPr>
        <w:autoSpaceDE w:val="0"/>
        <w:autoSpaceDN w:val="0"/>
        <w:spacing w:line="300" w:lineRule="atLeast"/>
        <w:ind w:firstLine="567"/>
        <w:contextualSpacing/>
        <w:jc w:val="both"/>
        <w:rPr>
          <w:rStyle w:val="GenRapStyle0"/>
          <w:i/>
          <w:iCs/>
          <w:sz w:val="24"/>
          <w:szCs w:val="24"/>
        </w:rPr>
      </w:pPr>
      <w:r w:rsidRPr="00695D38">
        <w:rPr>
          <w:rStyle w:val="GenRapStyle0"/>
          <w:sz w:val="24"/>
          <w:szCs w:val="24"/>
        </w:rPr>
        <w:t>W związku z tym że podmiot działający na wyrobisku mimo świadomości, iż nie posiada decyzji na rekultywację wyrobiska ani innej związanej z</w:t>
      </w:r>
      <w:r w:rsidR="008207F5">
        <w:rPr>
          <w:rStyle w:val="GenRapStyle0"/>
          <w:sz w:val="24"/>
          <w:szCs w:val="24"/>
        </w:rPr>
        <w:t>e</w:t>
      </w:r>
      <w:r w:rsidRPr="00695D38">
        <w:rPr>
          <w:rStyle w:val="GenRapStyle0"/>
          <w:sz w:val="24"/>
          <w:szCs w:val="24"/>
        </w:rPr>
        <w:t xml:space="preserve"> zbieraniem, magazynowaniem </w:t>
      </w:r>
      <w:r w:rsidR="00714536">
        <w:rPr>
          <w:rStyle w:val="GenRapStyle0"/>
          <w:sz w:val="24"/>
          <w:szCs w:val="24"/>
        </w:rPr>
        <w:br/>
      </w:r>
      <w:r w:rsidRPr="00695D38">
        <w:rPr>
          <w:rStyle w:val="GenRapStyle0"/>
          <w:sz w:val="24"/>
          <w:szCs w:val="24"/>
        </w:rPr>
        <w:t>i przetwarzaniem odpadów zgodził się na wyładunek nieznanej substancji z niewiadomego źródła. Dodatkowo wyładowane odpady zostały przysypane warstwą piasku, w związku z czym doszło do przetworzenia odpadów poza instalacją. Przetwarzanie odpadów wymaga uzyskania zezwolenia zgodnie z art. 41 ustawy z dnia 14 grudnia 2012 r.</w:t>
      </w:r>
      <w:r w:rsidRPr="008207F5">
        <w:rPr>
          <w:rStyle w:val="GenRapStyle0"/>
          <w:sz w:val="24"/>
          <w:szCs w:val="24"/>
        </w:rPr>
        <w:t xml:space="preserve"> </w:t>
      </w:r>
      <w:r w:rsidRPr="008207F5">
        <w:rPr>
          <w:rStyle w:val="GenRapStyle0"/>
          <w:iCs/>
          <w:sz w:val="24"/>
          <w:szCs w:val="24"/>
        </w:rPr>
        <w:t>o</w:t>
      </w:r>
      <w:r w:rsidRPr="008207F5">
        <w:rPr>
          <w:rStyle w:val="GenRapStyle0"/>
          <w:sz w:val="24"/>
          <w:szCs w:val="24"/>
        </w:rPr>
        <w:t> </w:t>
      </w:r>
      <w:r w:rsidRPr="008207F5">
        <w:rPr>
          <w:rStyle w:val="GenRapStyle0"/>
          <w:iCs/>
          <w:sz w:val="24"/>
          <w:szCs w:val="24"/>
        </w:rPr>
        <w:t>odpadach.</w:t>
      </w:r>
    </w:p>
    <w:p w14:paraId="41BA8B72" w14:textId="0DDCDF85" w:rsidR="00695D38" w:rsidRPr="00695D38" w:rsidRDefault="00695D38" w:rsidP="008207F5">
      <w:pPr>
        <w:autoSpaceDE w:val="0"/>
        <w:autoSpaceDN w:val="0"/>
        <w:spacing w:line="300" w:lineRule="atLeast"/>
        <w:ind w:firstLine="708"/>
        <w:contextualSpacing/>
        <w:jc w:val="both"/>
        <w:rPr>
          <w:rStyle w:val="GenRapStyle0"/>
          <w:color w:val="4472C4"/>
          <w:sz w:val="24"/>
          <w:szCs w:val="24"/>
        </w:rPr>
      </w:pPr>
      <w:r w:rsidRPr="00695D38">
        <w:rPr>
          <w:rStyle w:val="GenRapStyle0"/>
          <w:i/>
          <w:iCs/>
          <w:sz w:val="24"/>
          <w:szCs w:val="24"/>
        </w:rPr>
        <w:t xml:space="preserve"> </w:t>
      </w:r>
      <w:r w:rsidRPr="00695D38">
        <w:rPr>
          <w:rStyle w:val="GenRapStyle0"/>
          <w:sz w:val="24"/>
          <w:szCs w:val="24"/>
        </w:rPr>
        <w:t xml:space="preserve"> </w:t>
      </w:r>
    </w:p>
    <w:p w14:paraId="2C8472AD" w14:textId="4A599BB3" w:rsidR="00695D38" w:rsidRPr="00695D38" w:rsidRDefault="00695D38" w:rsidP="00695D38">
      <w:pPr>
        <w:keepNext/>
        <w:autoSpaceDE w:val="0"/>
        <w:autoSpaceDN w:val="0"/>
        <w:spacing w:line="300" w:lineRule="atLeast"/>
        <w:contextualSpacing/>
        <w:jc w:val="center"/>
        <w:rPr>
          <w:rFonts w:ascii="Times New Roman" w:hAnsi="Times New Roman" w:cs="Times New Roman"/>
          <w:sz w:val="24"/>
          <w:szCs w:val="24"/>
        </w:rPr>
      </w:pPr>
      <w:r w:rsidRPr="00695D38">
        <w:rPr>
          <w:rFonts w:ascii="Times New Roman" w:hAnsi="Times New Roman" w:cs="Times New Roman"/>
          <w:noProof/>
          <w:color w:val="4472C4"/>
          <w:sz w:val="24"/>
          <w:szCs w:val="24"/>
          <w:lang w:eastAsia="pl-PL"/>
        </w:rPr>
        <w:drawing>
          <wp:inline distT="0" distB="0" distL="0" distR="0" wp14:anchorId="2596BB3A" wp14:editId="09B332BF">
            <wp:extent cx="4460062" cy="2981325"/>
            <wp:effectExtent l="0" t="0" r="0" b="0"/>
            <wp:docPr id="93" name="Obraz 93" descr="Zdjęcie 13. Transporty wykonujące transport odpad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Obraz 93" descr="Zdjęcie 13. Transporty wykonujące transport odpadów"/>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74527" cy="2990994"/>
                    </a:xfrm>
                    <a:prstGeom prst="rect">
                      <a:avLst/>
                    </a:prstGeom>
                    <a:noFill/>
                    <a:ln>
                      <a:noFill/>
                    </a:ln>
                  </pic:spPr>
                </pic:pic>
              </a:graphicData>
            </a:graphic>
          </wp:inline>
        </w:drawing>
      </w:r>
    </w:p>
    <w:p w14:paraId="70301DA7" w14:textId="4C0B644F" w:rsidR="00695D38" w:rsidRPr="005D5ED1" w:rsidRDefault="00695D38" w:rsidP="00695D38">
      <w:pPr>
        <w:pStyle w:val="Legenda"/>
        <w:spacing w:line="300" w:lineRule="atLeast"/>
        <w:contextualSpacing/>
        <w:jc w:val="center"/>
        <w:rPr>
          <w:rStyle w:val="GenRapStyle0"/>
          <w:color w:val="000000" w:themeColor="text1"/>
          <w:sz w:val="24"/>
          <w:szCs w:val="24"/>
        </w:rPr>
      </w:pPr>
      <w:r w:rsidRPr="005D5ED1">
        <w:rPr>
          <w:color w:val="000000" w:themeColor="text1"/>
          <w:sz w:val="24"/>
          <w:szCs w:val="24"/>
        </w:rPr>
        <w:t xml:space="preserve">Zdjęcie </w:t>
      </w:r>
      <w:r w:rsidR="008207F5" w:rsidRPr="005D5ED1">
        <w:rPr>
          <w:color w:val="000000" w:themeColor="text1"/>
          <w:sz w:val="24"/>
          <w:szCs w:val="24"/>
          <w:lang w:val="pl-PL"/>
        </w:rPr>
        <w:t>1</w:t>
      </w:r>
      <w:r w:rsidR="00E75A83">
        <w:rPr>
          <w:color w:val="000000" w:themeColor="text1"/>
          <w:sz w:val="24"/>
          <w:szCs w:val="24"/>
          <w:lang w:val="pl-PL"/>
        </w:rPr>
        <w:t>3</w:t>
      </w:r>
      <w:r w:rsidR="008207F5" w:rsidRPr="005D5ED1">
        <w:rPr>
          <w:color w:val="000000" w:themeColor="text1"/>
          <w:sz w:val="24"/>
          <w:szCs w:val="24"/>
          <w:lang w:val="pl-PL"/>
        </w:rPr>
        <w:t>. T</w:t>
      </w:r>
      <w:proofErr w:type="spellStart"/>
      <w:r w:rsidRPr="005D5ED1">
        <w:rPr>
          <w:color w:val="000000" w:themeColor="text1"/>
          <w:sz w:val="24"/>
          <w:szCs w:val="24"/>
        </w:rPr>
        <w:t>ransporty</w:t>
      </w:r>
      <w:proofErr w:type="spellEnd"/>
      <w:r w:rsidRPr="005D5ED1">
        <w:rPr>
          <w:color w:val="000000" w:themeColor="text1"/>
          <w:sz w:val="24"/>
          <w:szCs w:val="24"/>
        </w:rPr>
        <w:t xml:space="preserve"> wykonujące transport</w:t>
      </w:r>
      <w:r w:rsidR="008207F5" w:rsidRPr="005D5ED1">
        <w:rPr>
          <w:color w:val="000000" w:themeColor="text1"/>
          <w:sz w:val="24"/>
          <w:szCs w:val="24"/>
          <w:lang w:val="pl-PL"/>
        </w:rPr>
        <w:t xml:space="preserve"> </w:t>
      </w:r>
      <w:r w:rsidRPr="005D5ED1">
        <w:rPr>
          <w:color w:val="000000" w:themeColor="text1"/>
          <w:sz w:val="24"/>
          <w:szCs w:val="24"/>
        </w:rPr>
        <w:t>odpadów</w:t>
      </w:r>
    </w:p>
    <w:p w14:paraId="48801B89" w14:textId="77777777" w:rsidR="00695D38" w:rsidRPr="00695D38" w:rsidRDefault="00695D38" w:rsidP="00695D38">
      <w:pPr>
        <w:spacing w:line="300" w:lineRule="atLeast"/>
        <w:contextualSpacing/>
        <w:jc w:val="both"/>
        <w:rPr>
          <w:rFonts w:ascii="Times New Roman" w:hAnsi="Times New Roman" w:cs="Times New Roman"/>
          <w:b/>
          <w:sz w:val="24"/>
          <w:szCs w:val="24"/>
        </w:rPr>
      </w:pPr>
      <w:r w:rsidRPr="00695D38">
        <w:rPr>
          <w:rFonts w:ascii="Times New Roman" w:hAnsi="Times New Roman" w:cs="Times New Roman"/>
          <w:b/>
          <w:sz w:val="24"/>
          <w:szCs w:val="24"/>
        </w:rPr>
        <w:t xml:space="preserve">Przykład 3 </w:t>
      </w:r>
    </w:p>
    <w:p w14:paraId="75AD3A1F" w14:textId="7BA28488" w:rsidR="00695D38" w:rsidRPr="00695D38" w:rsidRDefault="00695D38" w:rsidP="00C104A3">
      <w:pPr>
        <w:spacing w:line="300" w:lineRule="atLeast"/>
        <w:ind w:firstLine="397"/>
        <w:contextualSpacing/>
        <w:jc w:val="both"/>
        <w:rPr>
          <w:rFonts w:ascii="Times New Roman" w:hAnsi="Times New Roman" w:cs="Times New Roman"/>
          <w:sz w:val="24"/>
          <w:szCs w:val="24"/>
        </w:rPr>
      </w:pPr>
      <w:r w:rsidRPr="00695D38">
        <w:rPr>
          <w:rFonts w:ascii="Times New Roman" w:hAnsi="Times New Roman" w:cs="Times New Roman"/>
          <w:sz w:val="24"/>
          <w:szCs w:val="24"/>
        </w:rPr>
        <w:t xml:space="preserve">W dniu 22.09.2022 r. inspektorzy Delegatury w Radomiu w związku z uzyskaną informacją dotyczącą nielegalnego składowania i zakopywania odpadów niebezpiecznych w wyrobisku mieszczącym się w  Sukowskiej Woli gm. Przytyk, wspólnie z funkcjonariuszami z Komendy Wojewódzkiej Policji z/s w Radomiu, ujawnili nielegalne składowisko odpadów, na którym w chwili przybycia deponowane były odpady. Przybyli na miejsce funkcjonariusze </w:t>
      </w:r>
      <w:r w:rsidRPr="00695D38">
        <w:rPr>
          <w:rFonts w:ascii="Times New Roman" w:hAnsi="Times New Roman" w:cs="Times New Roman"/>
          <w:sz w:val="24"/>
          <w:szCs w:val="24"/>
        </w:rPr>
        <w:lastRenderedPageBreak/>
        <w:t xml:space="preserve">Policji dokonali zatrzymania czterech osób, podejrzanych o popełnienie czynu zabronionego, tj. </w:t>
      </w:r>
      <w:bookmarkStart w:id="302" w:name="_Hlk115856045"/>
      <w:r w:rsidRPr="00695D38">
        <w:rPr>
          <w:rFonts w:ascii="Times New Roman" w:hAnsi="Times New Roman" w:cs="Times New Roman"/>
          <w:sz w:val="24"/>
          <w:szCs w:val="24"/>
        </w:rPr>
        <w:t xml:space="preserve">właściciela ww. działki, dwóch kierowców samochodów ciężarowych i operatora koparki oraz zabezpieczyli dwa samochody ciężarowe, na których znajdowały się odpady </w:t>
      </w:r>
      <w:bookmarkEnd w:id="302"/>
      <w:r w:rsidRPr="00695D38">
        <w:rPr>
          <w:rFonts w:ascii="Times New Roman" w:hAnsi="Times New Roman" w:cs="Times New Roman"/>
          <w:sz w:val="24"/>
          <w:szCs w:val="24"/>
        </w:rPr>
        <w:t xml:space="preserve">i koparko-ładowarkę. Na miejscu inspektorzy WIOŚ Del. w Radomiu ujawnili: </w:t>
      </w:r>
    </w:p>
    <w:p w14:paraId="119BB1EC" w14:textId="77777777" w:rsidR="00695D38" w:rsidRPr="00695D38" w:rsidRDefault="00695D38" w:rsidP="00D34F97">
      <w:pPr>
        <w:numPr>
          <w:ilvl w:val="0"/>
          <w:numId w:val="229"/>
        </w:numPr>
        <w:overflowPunct w:val="0"/>
        <w:autoSpaceDE w:val="0"/>
        <w:autoSpaceDN w:val="0"/>
        <w:adjustRightInd w:val="0"/>
        <w:spacing w:after="0" w:line="300" w:lineRule="atLeast"/>
        <w:ind w:left="397" w:hanging="397"/>
        <w:contextualSpacing/>
        <w:jc w:val="both"/>
        <w:textAlignment w:val="baseline"/>
        <w:rPr>
          <w:rFonts w:ascii="Times New Roman" w:hAnsi="Times New Roman" w:cs="Times New Roman"/>
          <w:sz w:val="24"/>
          <w:szCs w:val="24"/>
        </w:rPr>
      </w:pPr>
      <w:bookmarkStart w:id="303" w:name="_Hlk115853529"/>
      <w:r w:rsidRPr="00695D38">
        <w:rPr>
          <w:rFonts w:ascii="Times New Roman" w:hAnsi="Times New Roman" w:cs="Times New Roman"/>
          <w:sz w:val="24"/>
          <w:szCs w:val="24"/>
        </w:rPr>
        <w:t>1 pryzmę odpadów o objętości ok - 18 m</w:t>
      </w:r>
      <w:r w:rsidRPr="00695D38">
        <w:rPr>
          <w:rFonts w:ascii="Times New Roman" w:hAnsi="Times New Roman" w:cs="Times New Roman"/>
          <w:sz w:val="24"/>
          <w:szCs w:val="24"/>
          <w:vertAlign w:val="superscript"/>
        </w:rPr>
        <w:t>3</w:t>
      </w:r>
      <w:r w:rsidRPr="00695D38">
        <w:rPr>
          <w:rFonts w:ascii="Times New Roman" w:hAnsi="Times New Roman" w:cs="Times New Roman"/>
          <w:sz w:val="24"/>
          <w:szCs w:val="24"/>
        </w:rPr>
        <w:t>, zawierającą worki foliowe z sypką substancją zlokalizowaną z lewej strony drogi wjazdowej do wyrobiska,</w:t>
      </w:r>
    </w:p>
    <w:bookmarkEnd w:id="303"/>
    <w:p w14:paraId="1D056B8D" w14:textId="77777777" w:rsidR="00695D38" w:rsidRPr="00695D38" w:rsidRDefault="00695D38" w:rsidP="00D34F97">
      <w:pPr>
        <w:numPr>
          <w:ilvl w:val="0"/>
          <w:numId w:val="229"/>
        </w:numPr>
        <w:overflowPunct w:val="0"/>
        <w:autoSpaceDE w:val="0"/>
        <w:autoSpaceDN w:val="0"/>
        <w:adjustRightInd w:val="0"/>
        <w:spacing w:after="0" w:line="300" w:lineRule="atLeast"/>
        <w:ind w:left="397" w:hanging="397"/>
        <w:contextualSpacing/>
        <w:jc w:val="both"/>
        <w:textAlignment w:val="baseline"/>
        <w:rPr>
          <w:rFonts w:ascii="Times New Roman" w:hAnsi="Times New Roman" w:cs="Times New Roman"/>
          <w:sz w:val="24"/>
          <w:szCs w:val="24"/>
        </w:rPr>
      </w:pPr>
      <w:r w:rsidRPr="00695D38">
        <w:rPr>
          <w:rFonts w:ascii="Times New Roman" w:hAnsi="Times New Roman" w:cs="Times New Roman"/>
          <w:sz w:val="24"/>
          <w:szCs w:val="24"/>
        </w:rPr>
        <w:t>znaczną masę zmieszanych odpadów (tekstylnych, gumowych, tworzyw sztucznych, substancji sypkiej - kolorowego proszku) na ścianie wyrobiska, o widocznej objętości ok - 500 m</w:t>
      </w:r>
      <w:r w:rsidRPr="00695D38">
        <w:rPr>
          <w:rFonts w:ascii="Times New Roman" w:hAnsi="Times New Roman" w:cs="Times New Roman"/>
          <w:sz w:val="24"/>
          <w:szCs w:val="24"/>
          <w:vertAlign w:val="superscript"/>
        </w:rPr>
        <w:t>3</w:t>
      </w:r>
      <w:r w:rsidRPr="00695D38">
        <w:rPr>
          <w:rFonts w:ascii="Times New Roman" w:hAnsi="Times New Roman" w:cs="Times New Roman"/>
          <w:sz w:val="24"/>
          <w:szCs w:val="24"/>
        </w:rPr>
        <w:t>,</w:t>
      </w:r>
    </w:p>
    <w:p w14:paraId="73FBB844" w14:textId="77777777" w:rsidR="00695D38" w:rsidRPr="00695D38" w:rsidRDefault="00695D38" w:rsidP="00D34F97">
      <w:pPr>
        <w:numPr>
          <w:ilvl w:val="0"/>
          <w:numId w:val="229"/>
        </w:numPr>
        <w:overflowPunct w:val="0"/>
        <w:autoSpaceDE w:val="0"/>
        <w:autoSpaceDN w:val="0"/>
        <w:adjustRightInd w:val="0"/>
        <w:spacing w:after="0" w:line="300" w:lineRule="atLeast"/>
        <w:ind w:left="397" w:hanging="397"/>
        <w:contextualSpacing/>
        <w:jc w:val="both"/>
        <w:textAlignment w:val="baseline"/>
        <w:rPr>
          <w:rFonts w:ascii="Times New Roman" w:hAnsi="Times New Roman" w:cs="Times New Roman"/>
          <w:sz w:val="24"/>
          <w:szCs w:val="24"/>
        </w:rPr>
      </w:pPr>
      <w:r w:rsidRPr="00695D38">
        <w:rPr>
          <w:rFonts w:ascii="Times New Roman" w:hAnsi="Times New Roman" w:cs="Times New Roman"/>
          <w:sz w:val="24"/>
          <w:szCs w:val="24"/>
        </w:rPr>
        <w:t>12 mauzerów i 34 beczki z substancją niewiadomego pochodzenia,</w:t>
      </w:r>
    </w:p>
    <w:p w14:paraId="1AD903D0" w14:textId="77777777" w:rsidR="00695D38" w:rsidRPr="00695D38" w:rsidRDefault="00695D38" w:rsidP="00D34F97">
      <w:pPr>
        <w:numPr>
          <w:ilvl w:val="0"/>
          <w:numId w:val="229"/>
        </w:numPr>
        <w:overflowPunct w:val="0"/>
        <w:autoSpaceDE w:val="0"/>
        <w:autoSpaceDN w:val="0"/>
        <w:adjustRightInd w:val="0"/>
        <w:spacing w:after="0" w:line="300" w:lineRule="atLeast"/>
        <w:ind w:left="397" w:hanging="397"/>
        <w:contextualSpacing/>
        <w:jc w:val="both"/>
        <w:textAlignment w:val="baseline"/>
        <w:rPr>
          <w:rFonts w:ascii="Times New Roman" w:hAnsi="Times New Roman" w:cs="Times New Roman"/>
          <w:sz w:val="24"/>
          <w:szCs w:val="24"/>
        </w:rPr>
      </w:pPr>
      <w:r w:rsidRPr="00695D38">
        <w:rPr>
          <w:rFonts w:ascii="Times New Roman" w:hAnsi="Times New Roman" w:cs="Times New Roman"/>
          <w:sz w:val="24"/>
          <w:szCs w:val="24"/>
        </w:rPr>
        <w:t>1/2 przyczepy samowyładowczej wypełnionej substancją sypką niewiadomego pochodzenia.</w:t>
      </w:r>
    </w:p>
    <w:p w14:paraId="127406D3" w14:textId="17A768EC" w:rsidR="00695D38" w:rsidRPr="00695D38" w:rsidRDefault="00695D38" w:rsidP="005D5ED1">
      <w:pPr>
        <w:spacing w:line="300" w:lineRule="atLeast"/>
        <w:ind w:firstLine="567"/>
        <w:contextualSpacing/>
        <w:jc w:val="both"/>
        <w:rPr>
          <w:rFonts w:ascii="Times New Roman" w:hAnsi="Times New Roman" w:cs="Times New Roman"/>
          <w:sz w:val="24"/>
          <w:szCs w:val="24"/>
        </w:rPr>
      </w:pPr>
      <w:bookmarkStart w:id="304" w:name="_Hlk115854102"/>
      <w:r w:rsidRPr="00695D38">
        <w:rPr>
          <w:rFonts w:ascii="Times New Roman" w:hAnsi="Times New Roman" w:cs="Times New Roman"/>
          <w:sz w:val="24"/>
          <w:szCs w:val="24"/>
        </w:rPr>
        <w:t>Leżące na pryzmie worki foliowe z zawartością sypkiej substancji głównie w kolorze szarym były częściowo porozrywane i zasypane znajdującą się nich substancją.</w:t>
      </w:r>
      <w:bookmarkEnd w:id="304"/>
      <w:r w:rsidRPr="00695D38">
        <w:rPr>
          <w:rFonts w:ascii="Times New Roman" w:hAnsi="Times New Roman" w:cs="Times New Roman"/>
          <w:sz w:val="24"/>
          <w:szCs w:val="24"/>
        </w:rPr>
        <w:t xml:space="preserve"> Przy wyrobisku leżały ułożone płyty żelbetonowe. Na drodze dojazdowej do wyrobiska stały dwa samochody ciężarowe: pierwszy wywrotka - na jej platformie znajdowały się worki i sypka substancja w kolorze szarym podobna do znajdującej się w workach na hałdzie. Wywrotka wypełniona była do połowy wysokości burty. Za wywrotką stał samochód z naczepą. Zasłona z plandeki była odsłonięta z jej prawej  strony. Na naczepie stał 1 pojemnik o pojemności 1000 litrów plastikowy (mauzer), wypełniony cieczą koloru ciemnego, wlew zamknięty. Obok niego w przedniej części naczepy stały ustawione w trzech rzędach beczki blaszane o pojemości ok. 200 litrów każda, w ilości 26 sztuk. Beczki, po dwie, owinięte były folią koloru czarnego. Na folii owijającej beczki naklejona naklejka o treści „odpady niebezpieczne, kod i rodzaj magazynowanych odpadów 08 03 14, zawartość szlam farb drukarskich, adresat miejsca magazynowania odpadów i data rozpoczęcia ich magazynowania w danym miejscu Lublin, 04.03.22 450 kg”. Dalej za pojazdami znajdowało się wyrobisko po kopalni piachu o kształcie okrągłym, średnicy około 100 metrów i głębokości około 30 metrów. Od strony północnej tego wyrobiska na całej wysokości ściany i szerokości 15 metrów rozrzucone były odpady tekstylne, tworzywa sztuczne, gumowe oraz worki z sypką substancją koloru szarego taką samą jaka była na hałdzie przy wjeździe. Po prawej stronie tych odpadów na ścianie wyrobiska i jego podłożu znajdywały się pojemniki plastikowe 1000 litrowe (mauzery) w ilości 11 sztuk. Jeden mauzer był pusty, </w:t>
      </w:r>
      <w:r w:rsidR="005D5ED1">
        <w:rPr>
          <w:rFonts w:ascii="Times New Roman" w:hAnsi="Times New Roman" w:cs="Times New Roman"/>
          <w:sz w:val="24"/>
          <w:szCs w:val="24"/>
        </w:rPr>
        <w:t xml:space="preserve">jego </w:t>
      </w:r>
      <w:r w:rsidRPr="00695D38">
        <w:rPr>
          <w:rFonts w:ascii="Times New Roman" w:hAnsi="Times New Roman" w:cs="Times New Roman"/>
          <w:sz w:val="24"/>
          <w:szCs w:val="24"/>
        </w:rPr>
        <w:t>płaszczyzn</w:t>
      </w:r>
      <w:r w:rsidR="005D5ED1">
        <w:rPr>
          <w:rFonts w:ascii="Times New Roman" w:hAnsi="Times New Roman" w:cs="Times New Roman"/>
          <w:sz w:val="24"/>
          <w:szCs w:val="24"/>
        </w:rPr>
        <w:t>a</w:t>
      </w:r>
      <w:r w:rsidRPr="00695D38">
        <w:rPr>
          <w:rFonts w:ascii="Times New Roman" w:hAnsi="Times New Roman" w:cs="Times New Roman"/>
          <w:sz w:val="24"/>
          <w:szCs w:val="24"/>
        </w:rPr>
        <w:t xml:space="preserve"> wlewu</w:t>
      </w:r>
      <w:r w:rsidR="005D5ED1">
        <w:rPr>
          <w:rFonts w:ascii="Times New Roman" w:hAnsi="Times New Roman" w:cs="Times New Roman"/>
          <w:sz w:val="24"/>
          <w:szCs w:val="24"/>
        </w:rPr>
        <w:t xml:space="preserve"> była odcięta</w:t>
      </w:r>
      <w:r w:rsidRPr="00695D38">
        <w:rPr>
          <w:rFonts w:ascii="Times New Roman" w:hAnsi="Times New Roman" w:cs="Times New Roman"/>
          <w:sz w:val="24"/>
          <w:szCs w:val="24"/>
        </w:rPr>
        <w:t>, a wokół niego leżały pojemniki aerozolowe z napisem „</w:t>
      </w:r>
      <w:proofErr w:type="spellStart"/>
      <w:r w:rsidRPr="00695D38">
        <w:rPr>
          <w:rFonts w:ascii="Times New Roman" w:hAnsi="Times New Roman" w:cs="Times New Roman"/>
          <w:sz w:val="24"/>
          <w:szCs w:val="24"/>
        </w:rPr>
        <w:t>theworks</w:t>
      </w:r>
      <w:proofErr w:type="spellEnd"/>
      <w:r w:rsidRPr="00695D38">
        <w:rPr>
          <w:rFonts w:ascii="Times New Roman" w:hAnsi="Times New Roman" w:cs="Times New Roman"/>
          <w:sz w:val="24"/>
          <w:szCs w:val="24"/>
        </w:rPr>
        <w:t xml:space="preserve">”. Leżący obok mauzer z cieczą był </w:t>
      </w:r>
      <w:proofErr w:type="spellStart"/>
      <w:r w:rsidRPr="00695D38">
        <w:rPr>
          <w:rFonts w:ascii="Times New Roman" w:hAnsi="Times New Roman" w:cs="Times New Roman"/>
          <w:sz w:val="24"/>
          <w:szCs w:val="24"/>
        </w:rPr>
        <w:t>rozszczelniony</w:t>
      </w:r>
      <w:proofErr w:type="spellEnd"/>
      <w:r w:rsidRPr="00695D38">
        <w:rPr>
          <w:rFonts w:ascii="Times New Roman" w:hAnsi="Times New Roman" w:cs="Times New Roman"/>
          <w:sz w:val="24"/>
          <w:szCs w:val="24"/>
        </w:rPr>
        <w:t xml:space="preserve">, a znajdująca się w nim substancja częściowo przedostała się do gleby. Ponadto leżały tam beczki blaszane w ilości 8 sztuk. Jedna z beczek koloru zielonego była </w:t>
      </w:r>
      <w:proofErr w:type="spellStart"/>
      <w:r w:rsidRPr="00695D38">
        <w:rPr>
          <w:rFonts w:ascii="Times New Roman" w:hAnsi="Times New Roman" w:cs="Times New Roman"/>
          <w:sz w:val="24"/>
          <w:szCs w:val="24"/>
        </w:rPr>
        <w:t>rozszczelniona</w:t>
      </w:r>
      <w:proofErr w:type="spellEnd"/>
      <w:r w:rsidRPr="00695D38">
        <w:rPr>
          <w:rFonts w:ascii="Times New Roman" w:hAnsi="Times New Roman" w:cs="Times New Roman"/>
          <w:sz w:val="24"/>
          <w:szCs w:val="24"/>
        </w:rPr>
        <w:t>. Wewnątrz była widoczna substancja koloru szarego. Na beczce znajdowała się etykieta z napisem „kod odpadu 08 04 10 odpadowe kleje i szczeliwa. Tylko zużyta masa”.</w:t>
      </w:r>
    </w:p>
    <w:p w14:paraId="08369257" w14:textId="24C351B7" w:rsidR="00695D38" w:rsidRDefault="00695D38" w:rsidP="005D5ED1">
      <w:pPr>
        <w:spacing w:line="300" w:lineRule="atLeast"/>
        <w:ind w:firstLine="567"/>
        <w:contextualSpacing/>
        <w:jc w:val="both"/>
        <w:rPr>
          <w:rFonts w:ascii="Times New Roman" w:hAnsi="Times New Roman" w:cs="Times New Roman"/>
          <w:sz w:val="24"/>
          <w:szCs w:val="24"/>
        </w:rPr>
      </w:pPr>
      <w:r w:rsidRPr="00695D38">
        <w:rPr>
          <w:rFonts w:ascii="Times New Roman" w:hAnsi="Times New Roman" w:cs="Times New Roman"/>
          <w:sz w:val="24"/>
          <w:szCs w:val="24"/>
        </w:rPr>
        <w:t>Prokuratura Rejonowa Radom-Zachód w Radomiu na podstawie zebranych wyżej materiałów w dniu 23.09.2022</w:t>
      </w:r>
      <w:r w:rsidR="005D5ED1">
        <w:rPr>
          <w:rFonts w:ascii="Times New Roman" w:hAnsi="Times New Roman" w:cs="Times New Roman"/>
          <w:sz w:val="24"/>
          <w:szCs w:val="24"/>
        </w:rPr>
        <w:t xml:space="preserve"> </w:t>
      </w:r>
      <w:r w:rsidRPr="00695D38">
        <w:rPr>
          <w:rFonts w:ascii="Times New Roman" w:hAnsi="Times New Roman" w:cs="Times New Roman"/>
          <w:sz w:val="24"/>
          <w:szCs w:val="24"/>
        </w:rPr>
        <w:t xml:space="preserve">r. wszczęła śledztwo w sprawie porzucenia w dniu 22 września 2022 roku 12 sztuk pojemników mauzer, 34 beczek o pojemności 200 litrów oraz 6 beczek o pojemności 25 litrów zawierających odpady niebezpieczne w postaci odpadów ciekłych zawierających odpady niebezpieczne, uwodnionych szlamów, klejów  lub szczeliw zawierających formaldehyd, kwas </w:t>
      </w:r>
      <w:proofErr w:type="spellStart"/>
      <w:r w:rsidRPr="00695D38">
        <w:rPr>
          <w:rFonts w:ascii="Times New Roman" w:hAnsi="Times New Roman" w:cs="Times New Roman"/>
          <w:sz w:val="24"/>
          <w:szCs w:val="24"/>
        </w:rPr>
        <w:t>meleinowy</w:t>
      </w:r>
      <w:proofErr w:type="spellEnd"/>
      <w:r w:rsidRPr="00695D38">
        <w:rPr>
          <w:rFonts w:ascii="Times New Roman" w:hAnsi="Times New Roman" w:cs="Times New Roman"/>
          <w:sz w:val="24"/>
          <w:szCs w:val="24"/>
        </w:rPr>
        <w:t xml:space="preserve">, kwas </w:t>
      </w:r>
      <w:proofErr w:type="spellStart"/>
      <w:r w:rsidRPr="00695D38">
        <w:rPr>
          <w:rFonts w:ascii="Times New Roman" w:hAnsi="Times New Roman" w:cs="Times New Roman"/>
          <w:sz w:val="24"/>
          <w:szCs w:val="24"/>
        </w:rPr>
        <w:t>aminosiarkowy</w:t>
      </w:r>
      <w:proofErr w:type="spellEnd"/>
      <w:r w:rsidRPr="00695D38">
        <w:rPr>
          <w:rFonts w:ascii="Times New Roman" w:hAnsi="Times New Roman" w:cs="Times New Roman"/>
          <w:sz w:val="24"/>
          <w:szCs w:val="24"/>
        </w:rPr>
        <w:t xml:space="preserve"> w miejscu nieprzeznaczonym do ich składowania lub magazynowania tj. na wyrobisku poeksploatacyjnym kopalni piachu znajdującego się w m. Sukowska Wola gm. Przytyk, pow. Radomski, tj. o czyn z art. 183 § 5 a k.k. Sąd Okręgowy w Radomiu zastosował środek </w:t>
      </w:r>
      <w:r w:rsidRPr="00695D38">
        <w:rPr>
          <w:rFonts w:ascii="Times New Roman" w:hAnsi="Times New Roman" w:cs="Times New Roman"/>
          <w:sz w:val="24"/>
          <w:szCs w:val="24"/>
        </w:rPr>
        <w:lastRenderedPageBreak/>
        <w:t>zapobiegawczy w postaci tymczasowego aresztowania na okres trzech miesięcy wobec sześciu podejrzanych w/w postępowaniu przygotowawczym.</w:t>
      </w:r>
    </w:p>
    <w:p w14:paraId="74229A24" w14:textId="77777777" w:rsidR="00C104A3" w:rsidRPr="00695D38" w:rsidRDefault="00C104A3" w:rsidP="005D5ED1">
      <w:pPr>
        <w:spacing w:line="300" w:lineRule="atLeast"/>
        <w:ind w:firstLine="567"/>
        <w:contextualSpacing/>
        <w:jc w:val="both"/>
        <w:rPr>
          <w:rFonts w:ascii="Times New Roman" w:hAnsi="Times New Roman" w:cs="Times New Roman"/>
          <w:sz w:val="24"/>
          <w:szCs w:val="24"/>
        </w:rPr>
      </w:pPr>
    </w:p>
    <w:p w14:paraId="6FAD0736" w14:textId="100AA843" w:rsidR="00695D38" w:rsidRPr="00695D38" w:rsidRDefault="00695D38" w:rsidP="00695D38">
      <w:pPr>
        <w:keepNext/>
        <w:spacing w:line="300" w:lineRule="atLeast"/>
        <w:ind w:right="-284"/>
        <w:contextualSpacing/>
        <w:jc w:val="center"/>
        <w:rPr>
          <w:rFonts w:ascii="Times New Roman" w:hAnsi="Times New Roman" w:cs="Times New Roman"/>
          <w:sz w:val="24"/>
          <w:szCs w:val="24"/>
        </w:rPr>
      </w:pPr>
      <w:r w:rsidRPr="00695D38">
        <w:rPr>
          <w:rFonts w:ascii="Times New Roman" w:hAnsi="Times New Roman" w:cs="Times New Roman"/>
          <w:noProof/>
          <w:sz w:val="24"/>
          <w:szCs w:val="24"/>
          <w:lang w:eastAsia="pl-PL"/>
        </w:rPr>
        <w:drawing>
          <wp:inline distT="0" distB="0" distL="0" distR="0" wp14:anchorId="2299569F" wp14:editId="6FE7A4CE">
            <wp:extent cx="5452295" cy="3638550"/>
            <wp:effectExtent l="0" t="0" r="0" b="0"/>
            <wp:docPr id="86" name="Obraz 86" descr="Zdjęcie 14. Odpady zlokalizowane na terenie wyrobi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Obraz 86" descr="Zdjęcie 14. Odpady zlokalizowane na terenie wyrobiska"/>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58973" cy="3643007"/>
                    </a:xfrm>
                    <a:prstGeom prst="rect">
                      <a:avLst/>
                    </a:prstGeom>
                    <a:noFill/>
                    <a:ln>
                      <a:noFill/>
                    </a:ln>
                  </pic:spPr>
                </pic:pic>
              </a:graphicData>
            </a:graphic>
          </wp:inline>
        </w:drawing>
      </w:r>
    </w:p>
    <w:p w14:paraId="5BFAA584" w14:textId="5A4F0848" w:rsidR="00695D38" w:rsidRPr="005D5ED1" w:rsidRDefault="00695D38" w:rsidP="00695D38">
      <w:pPr>
        <w:pStyle w:val="Legenda"/>
        <w:spacing w:line="300" w:lineRule="atLeast"/>
        <w:contextualSpacing/>
        <w:jc w:val="center"/>
        <w:rPr>
          <w:sz w:val="24"/>
          <w:szCs w:val="24"/>
          <w:lang w:val="pl-PL"/>
        </w:rPr>
      </w:pPr>
      <w:r w:rsidRPr="005D5ED1">
        <w:rPr>
          <w:color w:val="000000" w:themeColor="text1"/>
          <w:sz w:val="24"/>
          <w:szCs w:val="24"/>
        </w:rPr>
        <w:t xml:space="preserve">Zdjęcie </w:t>
      </w:r>
      <w:r w:rsidR="00E75A83">
        <w:rPr>
          <w:color w:val="000000" w:themeColor="text1"/>
          <w:sz w:val="24"/>
          <w:szCs w:val="24"/>
          <w:lang w:val="pl-PL"/>
        </w:rPr>
        <w:t>14</w:t>
      </w:r>
      <w:r w:rsidR="005D5ED1" w:rsidRPr="005D5ED1">
        <w:rPr>
          <w:color w:val="000000" w:themeColor="text1"/>
          <w:sz w:val="24"/>
          <w:szCs w:val="24"/>
          <w:lang w:val="pl-PL"/>
        </w:rPr>
        <w:t>. O</w:t>
      </w:r>
      <w:proofErr w:type="spellStart"/>
      <w:r w:rsidRPr="005D5ED1">
        <w:rPr>
          <w:color w:val="000000" w:themeColor="text1"/>
          <w:sz w:val="24"/>
          <w:szCs w:val="24"/>
        </w:rPr>
        <w:t>dpady</w:t>
      </w:r>
      <w:proofErr w:type="spellEnd"/>
      <w:r w:rsidRPr="005D5ED1">
        <w:rPr>
          <w:color w:val="000000" w:themeColor="text1"/>
          <w:sz w:val="24"/>
          <w:szCs w:val="24"/>
        </w:rPr>
        <w:t xml:space="preserve"> zlokalizowane </w:t>
      </w:r>
      <w:r w:rsidR="005D5ED1">
        <w:rPr>
          <w:color w:val="000000" w:themeColor="text1"/>
          <w:sz w:val="24"/>
          <w:szCs w:val="24"/>
          <w:lang w:val="pl-PL"/>
        </w:rPr>
        <w:t>na terenie</w:t>
      </w:r>
      <w:r w:rsidRPr="005D5ED1">
        <w:rPr>
          <w:color w:val="000000" w:themeColor="text1"/>
          <w:sz w:val="24"/>
          <w:szCs w:val="24"/>
        </w:rPr>
        <w:t xml:space="preserve"> wyrobisk</w:t>
      </w:r>
      <w:r w:rsidR="005D5ED1">
        <w:rPr>
          <w:color w:val="000000" w:themeColor="text1"/>
          <w:sz w:val="24"/>
          <w:szCs w:val="24"/>
          <w:lang w:val="pl-PL"/>
        </w:rPr>
        <w:t>a</w:t>
      </w:r>
    </w:p>
    <w:p w14:paraId="2EE788CA" w14:textId="77777777" w:rsidR="005D5ED1" w:rsidRPr="005D5ED1" w:rsidRDefault="005D5ED1" w:rsidP="005D5ED1">
      <w:pPr>
        <w:rPr>
          <w:lang w:val="x-none" w:eastAsia="pl-PL"/>
        </w:rPr>
      </w:pPr>
    </w:p>
    <w:p w14:paraId="39AC9F61" w14:textId="66C2B7CF" w:rsidR="00695D38" w:rsidRPr="00695D38" w:rsidRDefault="00695D38" w:rsidP="00695D38">
      <w:pPr>
        <w:keepNext/>
        <w:spacing w:line="300" w:lineRule="atLeast"/>
        <w:ind w:right="-284"/>
        <w:contextualSpacing/>
        <w:jc w:val="center"/>
        <w:rPr>
          <w:rFonts w:ascii="Times New Roman" w:hAnsi="Times New Roman" w:cs="Times New Roman"/>
          <w:sz w:val="24"/>
          <w:szCs w:val="24"/>
        </w:rPr>
      </w:pPr>
      <w:r w:rsidRPr="00695D38">
        <w:rPr>
          <w:rFonts w:ascii="Times New Roman" w:hAnsi="Times New Roman" w:cs="Times New Roman"/>
          <w:noProof/>
          <w:color w:val="4472C4"/>
          <w:sz w:val="24"/>
          <w:szCs w:val="24"/>
          <w:lang w:eastAsia="pl-PL"/>
        </w:rPr>
        <w:drawing>
          <wp:inline distT="0" distB="0" distL="0" distR="0" wp14:anchorId="6F9CCE3A" wp14:editId="5B59B779">
            <wp:extent cx="4972050" cy="3314700"/>
            <wp:effectExtent l="0" t="0" r="0" b="0"/>
            <wp:docPr id="23" name="Obraz 23" descr="Zdjęcie 15. Odpady zlokalizowane na terenie wyrobi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descr="Zdjęcie 15. Odpady zlokalizowane na terenie wyrobiska"/>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74968" cy="3316645"/>
                    </a:xfrm>
                    <a:prstGeom prst="rect">
                      <a:avLst/>
                    </a:prstGeom>
                    <a:noFill/>
                    <a:ln>
                      <a:noFill/>
                    </a:ln>
                  </pic:spPr>
                </pic:pic>
              </a:graphicData>
            </a:graphic>
          </wp:inline>
        </w:drawing>
      </w:r>
    </w:p>
    <w:p w14:paraId="2E6B31B1" w14:textId="77956ECE" w:rsidR="00695D38" w:rsidRDefault="00695D38" w:rsidP="00695D38">
      <w:pPr>
        <w:pStyle w:val="Legenda"/>
        <w:spacing w:line="300" w:lineRule="atLeast"/>
        <w:contextualSpacing/>
        <w:jc w:val="center"/>
        <w:rPr>
          <w:color w:val="000000" w:themeColor="text1"/>
          <w:sz w:val="24"/>
          <w:szCs w:val="24"/>
          <w:lang w:val="pl-PL"/>
        </w:rPr>
      </w:pPr>
      <w:r w:rsidRPr="005D5ED1">
        <w:rPr>
          <w:color w:val="000000" w:themeColor="text1"/>
          <w:sz w:val="24"/>
          <w:szCs w:val="24"/>
        </w:rPr>
        <w:t xml:space="preserve">Zdjęcie </w:t>
      </w:r>
      <w:r w:rsidR="00E75A83">
        <w:rPr>
          <w:color w:val="000000" w:themeColor="text1"/>
          <w:sz w:val="24"/>
          <w:szCs w:val="24"/>
          <w:lang w:val="pl-PL"/>
        </w:rPr>
        <w:t>15</w:t>
      </w:r>
      <w:r w:rsidR="005D5ED1">
        <w:rPr>
          <w:color w:val="000000" w:themeColor="text1"/>
          <w:sz w:val="24"/>
          <w:szCs w:val="24"/>
          <w:lang w:val="pl-PL"/>
        </w:rPr>
        <w:t>.</w:t>
      </w:r>
      <w:r w:rsidRPr="005D5ED1">
        <w:rPr>
          <w:color w:val="000000" w:themeColor="text1"/>
          <w:sz w:val="24"/>
          <w:szCs w:val="24"/>
        </w:rPr>
        <w:t xml:space="preserve"> </w:t>
      </w:r>
      <w:r w:rsidR="005D5ED1">
        <w:rPr>
          <w:color w:val="000000" w:themeColor="text1"/>
          <w:sz w:val="24"/>
          <w:szCs w:val="24"/>
          <w:lang w:val="pl-PL"/>
        </w:rPr>
        <w:t>O</w:t>
      </w:r>
      <w:proofErr w:type="spellStart"/>
      <w:r w:rsidRPr="005D5ED1">
        <w:rPr>
          <w:color w:val="000000" w:themeColor="text1"/>
          <w:sz w:val="24"/>
          <w:szCs w:val="24"/>
        </w:rPr>
        <w:t>dpady</w:t>
      </w:r>
      <w:proofErr w:type="spellEnd"/>
      <w:r w:rsidRPr="005D5ED1">
        <w:rPr>
          <w:color w:val="000000" w:themeColor="text1"/>
          <w:sz w:val="24"/>
          <w:szCs w:val="24"/>
        </w:rPr>
        <w:t xml:space="preserve"> zlokalizowane </w:t>
      </w:r>
      <w:r w:rsidR="005D5ED1">
        <w:rPr>
          <w:color w:val="000000" w:themeColor="text1"/>
          <w:sz w:val="24"/>
          <w:szCs w:val="24"/>
          <w:lang w:val="pl-PL"/>
        </w:rPr>
        <w:t xml:space="preserve">na terenie </w:t>
      </w:r>
      <w:r w:rsidRPr="005D5ED1">
        <w:rPr>
          <w:color w:val="000000" w:themeColor="text1"/>
          <w:sz w:val="24"/>
          <w:szCs w:val="24"/>
        </w:rPr>
        <w:t>wyrobisk</w:t>
      </w:r>
      <w:r w:rsidR="005D5ED1">
        <w:rPr>
          <w:color w:val="000000" w:themeColor="text1"/>
          <w:sz w:val="24"/>
          <w:szCs w:val="24"/>
          <w:lang w:val="pl-PL"/>
        </w:rPr>
        <w:t>a</w:t>
      </w:r>
    </w:p>
    <w:p w14:paraId="698B5A9A" w14:textId="77777777" w:rsidR="005D5ED1" w:rsidRPr="005D5ED1" w:rsidRDefault="005D5ED1" w:rsidP="005D5ED1">
      <w:pPr>
        <w:rPr>
          <w:lang w:eastAsia="pl-PL"/>
        </w:rPr>
      </w:pPr>
    </w:p>
    <w:p w14:paraId="615E2AE4" w14:textId="77777777" w:rsidR="00695D38" w:rsidRPr="00695D38" w:rsidRDefault="00695D38" w:rsidP="00695D38">
      <w:pPr>
        <w:spacing w:line="300" w:lineRule="atLeast"/>
        <w:contextualSpacing/>
        <w:jc w:val="both"/>
        <w:rPr>
          <w:rFonts w:ascii="Times New Roman" w:hAnsi="Times New Roman" w:cs="Times New Roman"/>
          <w:b/>
          <w:bCs/>
          <w:sz w:val="24"/>
          <w:szCs w:val="24"/>
        </w:rPr>
      </w:pPr>
      <w:r w:rsidRPr="00695D38">
        <w:rPr>
          <w:rFonts w:ascii="Times New Roman" w:hAnsi="Times New Roman" w:cs="Times New Roman"/>
          <w:b/>
          <w:bCs/>
          <w:sz w:val="24"/>
          <w:szCs w:val="24"/>
        </w:rPr>
        <w:t xml:space="preserve">Przykład 4 </w:t>
      </w:r>
    </w:p>
    <w:p w14:paraId="74A053A0" w14:textId="342B2A7B" w:rsidR="00695D38" w:rsidRPr="00695D38" w:rsidRDefault="00695D38" w:rsidP="00C104A3">
      <w:pPr>
        <w:spacing w:line="300" w:lineRule="atLeast"/>
        <w:ind w:firstLine="708"/>
        <w:contextualSpacing/>
        <w:jc w:val="both"/>
        <w:rPr>
          <w:rFonts w:ascii="Times New Roman" w:hAnsi="Times New Roman" w:cs="Times New Roman"/>
          <w:sz w:val="24"/>
          <w:szCs w:val="24"/>
        </w:rPr>
      </w:pPr>
      <w:r w:rsidRPr="00695D38">
        <w:rPr>
          <w:rFonts w:ascii="Times New Roman" w:hAnsi="Times New Roman" w:cs="Times New Roman"/>
          <w:sz w:val="24"/>
          <w:szCs w:val="24"/>
        </w:rPr>
        <w:lastRenderedPageBreak/>
        <w:t xml:space="preserve">W dniu 16 maja 2022 roku inspektorzy WIOŚ Warszawa we współpracy z GIOŚ oraz funkcjonariuszami Komendy Powiatowej Policji w Otwocku, przeprowadzili wspólne </w:t>
      </w:r>
      <w:r w:rsidRPr="00695D38">
        <w:rPr>
          <w:rFonts w:ascii="Times New Roman" w:hAnsi="Times New Roman" w:cs="Times New Roman"/>
          <w:sz w:val="24"/>
          <w:szCs w:val="24"/>
        </w:rPr>
        <w:br/>
        <w:t>i skoordynowane działania na drodze ekspresowej S17 w okolicach miejscowości Wola Ducka, ukierunkowane na nielegalny przewóz odpadów. W związku z powzięciem uzasadnionego podejrzenia popełnienia: przestępstwa przeciwko środowisku określonego w art. 183 ustawy z dnia 6 czerwca 1997 r. Kodeks Karny, na drodze serwisowej trasy S17 w okolicach Woli Duckiej wylegitymowano kierowcę zatrzymanego zespołu pojazdów p</w:t>
      </w:r>
      <w:r w:rsidRPr="00695D38">
        <w:rPr>
          <w:rFonts w:ascii="Times New Roman" w:hAnsi="Times New Roman" w:cs="Times New Roman"/>
          <w:bCs/>
          <w:sz w:val="24"/>
          <w:szCs w:val="24"/>
        </w:rPr>
        <w:t>rzewożącego odpady</w:t>
      </w:r>
      <w:r w:rsidR="005D5ED1">
        <w:rPr>
          <w:rFonts w:ascii="Times New Roman" w:hAnsi="Times New Roman" w:cs="Times New Roman"/>
          <w:bCs/>
          <w:sz w:val="24"/>
          <w:szCs w:val="24"/>
        </w:rPr>
        <w:t>, składającego</w:t>
      </w:r>
      <w:r w:rsidRPr="00695D38">
        <w:rPr>
          <w:rFonts w:ascii="Times New Roman" w:hAnsi="Times New Roman" w:cs="Times New Roman"/>
          <w:bCs/>
          <w:sz w:val="24"/>
          <w:szCs w:val="24"/>
        </w:rPr>
        <w:t xml:space="preserve"> </w:t>
      </w:r>
      <w:r w:rsidR="005D5ED1">
        <w:rPr>
          <w:rFonts w:ascii="Times New Roman" w:hAnsi="Times New Roman" w:cs="Times New Roman"/>
          <w:bCs/>
          <w:sz w:val="24"/>
          <w:szCs w:val="24"/>
        </w:rPr>
        <w:t xml:space="preserve">się z </w:t>
      </w:r>
      <w:r w:rsidRPr="00695D38">
        <w:rPr>
          <w:rFonts w:ascii="Times New Roman" w:hAnsi="Times New Roman" w:cs="Times New Roman"/>
          <w:bCs/>
          <w:sz w:val="24"/>
          <w:szCs w:val="24"/>
        </w:rPr>
        <w:t>ciągnik</w:t>
      </w:r>
      <w:r w:rsidR="005D5ED1">
        <w:rPr>
          <w:rFonts w:ascii="Times New Roman" w:hAnsi="Times New Roman" w:cs="Times New Roman"/>
          <w:bCs/>
          <w:sz w:val="24"/>
          <w:szCs w:val="24"/>
        </w:rPr>
        <w:t>a</w:t>
      </w:r>
      <w:r w:rsidRPr="00695D38">
        <w:rPr>
          <w:rFonts w:ascii="Times New Roman" w:hAnsi="Times New Roman" w:cs="Times New Roman"/>
          <w:bCs/>
          <w:sz w:val="24"/>
          <w:szCs w:val="24"/>
        </w:rPr>
        <w:t xml:space="preserve"> siodłow</w:t>
      </w:r>
      <w:r w:rsidR="005D5ED1">
        <w:rPr>
          <w:rFonts w:ascii="Times New Roman" w:hAnsi="Times New Roman" w:cs="Times New Roman"/>
          <w:bCs/>
          <w:sz w:val="24"/>
          <w:szCs w:val="24"/>
        </w:rPr>
        <w:t>ego</w:t>
      </w:r>
      <w:r w:rsidRPr="00695D38">
        <w:rPr>
          <w:rFonts w:ascii="Times New Roman" w:hAnsi="Times New Roman" w:cs="Times New Roman"/>
          <w:bCs/>
          <w:sz w:val="24"/>
          <w:szCs w:val="24"/>
        </w:rPr>
        <w:t xml:space="preserve"> m-ki  Mercedes</w:t>
      </w:r>
      <w:r w:rsidR="005D5ED1">
        <w:rPr>
          <w:rFonts w:ascii="Times New Roman" w:hAnsi="Times New Roman" w:cs="Times New Roman"/>
          <w:bCs/>
          <w:sz w:val="24"/>
          <w:szCs w:val="24"/>
        </w:rPr>
        <w:t xml:space="preserve"> i </w:t>
      </w:r>
      <w:r w:rsidRPr="00695D38">
        <w:rPr>
          <w:rFonts w:ascii="Times New Roman" w:hAnsi="Times New Roman" w:cs="Times New Roman"/>
          <w:bCs/>
          <w:sz w:val="24"/>
          <w:szCs w:val="24"/>
        </w:rPr>
        <w:t>naczep</w:t>
      </w:r>
      <w:r w:rsidR="005D5ED1">
        <w:rPr>
          <w:rFonts w:ascii="Times New Roman" w:hAnsi="Times New Roman" w:cs="Times New Roman"/>
          <w:bCs/>
          <w:sz w:val="24"/>
          <w:szCs w:val="24"/>
        </w:rPr>
        <w:t>y</w:t>
      </w:r>
      <w:r w:rsidRPr="00695D38">
        <w:rPr>
          <w:rFonts w:ascii="Times New Roman" w:hAnsi="Times New Roman" w:cs="Times New Roman"/>
          <w:bCs/>
          <w:sz w:val="24"/>
          <w:szCs w:val="24"/>
        </w:rPr>
        <w:t>. Ponadto s</w:t>
      </w:r>
      <w:r w:rsidRPr="00695D38">
        <w:rPr>
          <w:rFonts w:ascii="Times New Roman" w:hAnsi="Times New Roman" w:cs="Times New Roman"/>
          <w:sz w:val="24"/>
          <w:szCs w:val="24"/>
        </w:rPr>
        <w:t xml:space="preserve">prawdzono dokumentację, którą posiadał kierowca tj. KPOK oraz kwit wagowy wystawiony przez </w:t>
      </w:r>
      <w:r w:rsidR="00B8688D">
        <w:rPr>
          <w:rFonts w:ascii="Times New Roman" w:hAnsi="Times New Roman" w:cs="Times New Roman"/>
          <w:sz w:val="24"/>
          <w:szCs w:val="24"/>
        </w:rPr>
        <w:t xml:space="preserve">podmiot </w:t>
      </w:r>
      <w:r w:rsidRPr="00695D38">
        <w:rPr>
          <w:rFonts w:ascii="Times New Roman" w:hAnsi="Times New Roman" w:cs="Times New Roman"/>
          <w:sz w:val="24"/>
          <w:szCs w:val="24"/>
        </w:rPr>
        <w:t>posiadający siedzibę w Woli Duckiej. Sprawdzono, czy ww. KPOK znajduje się w rejestrze BDO oraz sprawdzono</w:t>
      </w:r>
      <w:r w:rsidR="00B8688D">
        <w:rPr>
          <w:rFonts w:ascii="Times New Roman" w:hAnsi="Times New Roman" w:cs="Times New Roman"/>
          <w:sz w:val="24"/>
          <w:szCs w:val="24"/>
        </w:rPr>
        <w:t>,</w:t>
      </w:r>
      <w:r w:rsidRPr="00695D38">
        <w:rPr>
          <w:rFonts w:ascii="Times New Roman" w:hAnsi="Times New Roman" w:cs="Times New Roman"/>
          <w:sz w:val="24"/>
          <w:szCs w:val="24"/>
        </w:rPr>
        <w:t xml:space="preserve"> czy podmiot transportujący odpady posiada wpis w rejestrze BDO uprawniający do transportu odpadów. W wyniku czynności ustalono i potwierdzono, że kierowca przewoził odpady o kodzie 20 03 01</w:t>
      </w:r>
      <w:r w:rsidR="00B8688D">
        <w:rPr>
          <w:rFonts w:ascii="Times New Roman" w:hAnsi="Times New Roman" w:cs="Times New Roman"/>
          <w:sz w:val="24"/>
          <w:szCs w:val="24"/>
        </w:rPr>
        <w:t>,</w:t>
      </w:r>
      <w:r w:rsidRPr="00695D38">
        <w:rPr>
          <w:rFonts w:ascii="Times New Roman" w:hAnsi="Times New Roman" w:cs="Times New Roman"/>
          <w:sz w:val="24"/>
          <w:szCs w:val="24"/>
        </w:rPr>
        <w:t xml:space="preserve"> tj. niesegregowane zmieszane odpady komunalne z podmiotu prowadzącego działalność: w m. Wola Ducka do podmiotu</w:t>
      </w:r>
      <w:r w:rsidR="00B8688D">
        <w:rPr>
          <w:rFonts w:ascii="Times New Roman" w:hAnsi="Times New Roman" w:cs="Times New Roman"/>
          <w:sz w:val="24"/>
          <w:szCs w:val="24"/>
        </w:rPr>
        <w:t xml:space="preserve"> </w:t>
      </w:r>
      <w:r w:rsidRPr="00695D38">
        <w:rPr>
          <w:rFonts w:ascii="Times New Roman" w:hAnsi="Times New Roman" w:cs="Times New Roman"/>
          <w:sz w:val="24"/>
          <w:szCs w:val="24"/>
        </w:rPr>
        <w:t>prowadzącego działalność w m. Rusko. Samochód, którym dokonywany był transport odpadów oznakowany był symbolem „A”, a wykonywał transport krajowy odpadów</w:t>
      </w:r>
      <w:r w:rsidR="00B8688D">
        <w:rPr>
          <w:rFonts w:ascii="Times New Roman" w:hAnsi="Times New Roman" w:cs="Times New Roman"/>
          <w:sz w:val="24"/>
          <w:szCs w:val="24"/>
        </w:rPr>
        <w:t>.</w:t>
      </w:r>
      <w:r w:rsidRPr="00695D38">
        <w:rPr>
          <w:rFonts w:ascii="Times New Roman" w:hAnsi="Times New Roman" w:cs="Times New Roman"/>
          <w:sz w:val="24"/>
          <w:szCs w:val="24"/>
        </w:rPr>
        <w:t xml:space="preserve"> </w:t>
      </w:r>
      <w:r w:rsidR="00B8688D">
        <w:rPr>
          <w:rFonts w:ascii="Times New Roman" w:hAnsi="Times New Roman" w:cs="Times New Roman"/>
          <w:sz w:val="24"/>
          <w:szCs w:val="24"/>
        </w:rPr>
        <w:t>T</w:t>
      </w:r>
      <w:r w:rsidRPr="00695D38">
        <w:rPr>
          <w:rFonts w:ascii="Times New Roman" w:hAnsi="Times New Roman" w:cs="Times New Roman"/>
          <w:sz w:val="24"/>
          <w:szCs w:val="24"/>
        </w:rPr>
        <w:t>ransportujący nie posiada</w:t>
      </w:r>
      <w:r w:rsidR="00B8688D">
        <w:rPr>
          <w:rFonts w:ascii="Times New Roman" w:hAnsi="Times New Roman" w:cs="Times New Roman"/>
          <w:sz w:val="24"/>
          <w:szCs w:val="24"/>
        </w:rPr>
        <w:t>ł</w:t>
      </w:r>
      <w:r w:rsidRPr="00695D38">
        <w:rPr>
          <w:rFonts w:ascii="Times New Roman" w:hAnsi="Times New Roman" w:cs="Times New Roman"/>
          <w:sz w:val="24"/>
          <w:szCs w:val="24"/>
        </w:rPr>
        <w:t xml:space="preserve"> wpisu do rejestru BDO uprawniając</w:t>
      </w:r>
      <w:r w:rsidR="00B8688D">
        <w:rPr>
          <w:rFonts w:ascii="Times New Roman" w:hAnsi="Times New Roman" w:cs="Times New Roman"/>
          <w:sz w:val="24"/>
          <w:szCs w:val="24"/>
        </w:rPr>
        <w:t>ego</w:t>
      </w:r>
      <w:r w:rsidRPr="00695D38">
        <w:rPr>
          <w:rFonts w:ascii="Times New Roman" w:hAnsi="Times New Roman" w:cs="Times New Roman"/>
          <w:sz w:val="24"/>
          <w:szCs w:val="24"/>
        </w:rPr>
        <w:t xml:space="preserve"> do przewozu odpadów o kodzie 20 03 01. W związku z powyższym przesłuchano kierowcę dokonującego ww. transportu, dokonano oględzin pojazdu, sporządzono formularz określenia składu morfologicznego odpadów oraz złożono  ustnie do protokołu zawiadomienie o uzasadnionym podejrzeniu popełnienia przestępstwa, o którym mowa w art. 183 § 1 KK. Pouczono kierowcę, że transport krajowy odpadów wykonuje się samochodem oznaczonym tablicą z napisem ODPADY. Zatrzymany transport odpadów został w eskorcie policji odprowadzony do podmiotu, z którego pochodziły odpady. </w:t>
      </w:r>
    </w:p>
    <w:p w14:paraId="45B5296B" w14:textId="319E06E7" w:rsidR="00695D38" w:rsidRPr="00695D38" w:rsidRDefault="00695D38" w:rsidP="00695D38">
      <w:pPr>
        <w:pStyle w:val="Akapitzlist"/>
        <w:keepNext/>
        <w:spacing w:line="300" w:lineRule="atLeast"/>
        <w:ind w:left="0"/>
        <w:jc w:val="center"/>
        <w:rPr>
          <w:sz w:val="24"/>
          <w:szCs w:val="24"/>
          <w:lang w:eastAsia="en-US"/>
        </w:rPr>
      </w:pPr>
      <w:r w:rsidRPr="00695D38">
        <w:rPr>
          <w:noProof/>
          <w:color w:val="4472C4"/>
          <w:sz w:val="24"/>
          <w:szCs w:val="24"/>
          <w:lang w:val="pl-PL"/>
        </w:rPr>
        <w:drawing>
          <wp:inline distT="0" distB="0" distL="0" distR="0" wp14:anchorId="6DA0774F" wp14:editId="79C8435A">
            <wp:extent cx="3733800" cy="3552825"/>
            <wp:effectExtent l="0" t="133350" r="0" b="123825"/>
            <wp:docPr id="21" name="Obraz 21" descr="Zdjęcie 16. Odpady znajdujące się na naczepie zatrzymanego pojazdu"/>
            <wp:cNvGraphicFramePr/>
            <a:graphic xmlns:a="http://schemas.openxmlformats.org/drawingml/2006/main">
              <a:graphicData uri="http://schemas.openxmlformats.org/drawingml/2006/picture">
                <pic:pic xmlns:pic="http://schemas.openxmlformats.org/drawingml/2006/picture">
                  <pic:nvPicPr>
                    <pic:cNvPr id="21" name="Obraz 21" descr="Zdjęcie 16. Odpady znajdujące się na naczepie zatrzymanego pojazdu"/>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733800" cy="3552825"/>
                    </a:xfrm>
                    <a:prstGeom prst="rect">
                      <a:avLst/>
                    </a:prstGeom>
                    <a:noFill/>
                    <a:ln>
                      <a:noFill/>
                    </a:ln>
                    <a:scene3d>
                      <a:camera prst="orthographicFront">
                        <a:rot lat="0" lon="21299999" rev="5400000"/>
                      </a:camera>
                      <a:lightRig rig="threePt" dir="t"/>
                    </a:scene3d>
                  </pic:spPr>
                </pic:pic>
              </a:graphicData>
            </a:graphic>
          </wp:inline>
        </w:drawing>
      </w:r>
    </w:p>
    <w:p w14:paraId="5202D74B" w14:textId="0D24CA60" w:rsidR="00695D38" w:rsidRPr="00695D38" w:rsidRDefault="00695D38" w:rsidP="00695D38">
      <w:pPr>
        <w:pStyle w:val="Legenda"/>
        <w:spacing w:line="300" w:lineRule="atLeast"/>
        <w:contextualSpacing/>
        <w:jc w:val="center"/>
        <w:rPr>
          <w:sz w:val="24"/>
          <w:szCs w:val="24"/>
        </w:rPr>
      </w:pPr>
      <w:r w:rsidRPr="00B8688D">
        <w:rPr>
          <w:color w:val="000000" w:themeColor="text1"/>
          <w:sz w:val="24"/>
          <w:szCs w:val="24"/>
        </w:rPr>
        <w:t xml:space="preserve">Zdjęcie </w:t>
      </w:r>
      <w:r w:rsidR="00E75A83">
        <w:rPr>
          <w:color w:val="000000" w:themeColor="text1"/>
          <w:sz w:val="24"/>
          <w:szCs w:val="24"/>
          <w:lang w:val="pl-PL"/>
        </w:rPr>
        <w:t>16</w:t>
      </w:r>
      <w:r w:rsidR="00B8688D" w:rsidRPr="00B8688D">
        <w:rPr>
          <w:color w:val="000000" w:themeColor="text1"/>
          <w:sz w:val="24"/>
          <w:szCs w:val="24"/>
          <w:lang w:val="pl-PL"/>
        </w:rPr>
        <w:t>. O</w:t>
      </w:r>
      <w:proofErr w:type="spellStart"/>
      <w:r w:rsidRPr="00B8688D">
        <w:rPr>
          <w:color w:val="000000" w:themeColor="text1"/>
          <w:sz w:val="24"/>
          <w:szCs w:val="24"/>
        </w:rPr>
        <w:t>dpady</w:t>
      </w:r>
      <w:proofErr w:type="spellEnd"/>
      <w:r w:rsidRPr="00B8688D">
        <w:rPr>
          <w:color w:val="000000" w:themeColor="text1"/>
          <w:sz w:val="24"/>
          <w:szCs w:val="24"/>
        </w:rPr>
        <w:t xml:space="preserve"> znajdujące się na naczepie zatrzymanego pojazdu</w:t>
      </w:r>
    </w:p>
    <w:p w14:paraId="6D447C54" w14:textId="77777777" w:rsidR="00695D38" w:rsidRPr="00695D38" w:rsidRDefault="00695D38" w:rsidP="00695D38">
      <w:pPr>
        <w:spacing w:line="300" w:lineRule="atLeast"/>
        <w:contextualSpacing/>
        <w:jc w:val="both"/>
        <w:rPr>
          <w:rFonts w:ascii="Times New Roman" w:hAnsi="Times New Roman" w:cs="Times New Roman"/>
          <w:i/>
          <w:color w:val="4472C4"/>
          <w:sz w:val="24"/>
          <w:szCs w:val="24"/>
        </w:rPr>
      </w:pPr>
    </w:p>
    <w:p w14:paraId="77629108" w14:textId="77777777" w:rsidR="00695D38" w:rsidRPr="0003077C" w:rsidRDefault="00695D38" w:rsidP="00B8688D">
      <w:pPr>
        <w:spacing w:after="60" w:line="300" w:lineRule="atLeast"/>
        <w:rPr>
          <w:rFonts w:ascii="Times New Roman" w:hAnsi="Times New Roman" w:cs="Times New Roman"/>
          <w:i/>
          <w:sz w:val="24"/>
          <w:szCs w:val="24"/>
        </w:rPr>
      </w:pPr>
      <w:r w:rsidRPr="0003077C">
        <w:rPr>
          <w:rFonts w:ascii="Times New Roman" w:hAnsi="Times New Roman" w:cs="Times New Roman"/>
          <w:i/>
          <w:sz w:val="24"/>
          <w:szCs w:val="24"/>
        </w:rPr>
        <w:lastRenderedPageBreak/>
        <w:t>Wojewódzki Inspektorat Ochrony Środowiska we Wrocławiu</w:t>
      </w:r>
    </w:p>
    <w:p w14:paraId="3AC96918" w14:textId="2B256AF8" w:rsidR="00695D38" w:rsidRPr="00695D38" w:rsidRDefault="00695D38" w:rsidP="00B8688D">
      <w:pPr>
        <w:pStyle w:val="Akapitzlist"/>
        <w:spacing w:line="300" w:lineRule="atLeast"/>
        <w:ind w:left="0" w:firstLine="567"/>
        <w:jc w:val="both"/>
        <w:rPr>
          <w:sz w:val="24"/>
          <w:szCs w:val="24"/>
        </w:rPr>
      </w:pPr>
      <w:r w:rsidRPr="00695D38">
        <w:rPr>
          <w:sz w:val="24"/>
          <w:szCs w:val="24"/>
        </w:rPr>
        <w:t>Na całym obszarze działania WIOŚ we Wrocławiu wiodącym obszarem działalności przestępczej jest nielegalna gospodarka odpadami</w:t>
      </w:r>
      <w:r w:rsidR="00B8688D">
        <w:rPr>
          <w:sz w:val="24"/>
          <w:szCs w:val="24"/>
          <w:lang w:val="pl-PL"/>
        </w:rPr>
        <w:t>,</w:t>
      </w:r>
      <w:r w:rsidRPr="00695D38">
        <w:rPr>
          <w:sz w:val="24"/>
          <w:szCs w:val="24"/>
        </w:rPr>
        <w:t xml:space="preserve"> w tym </w:t>
      </w:r>
      <w:r w:rsidRPr="00695D38">
        <w:rPr>
          <w:iCs/>
          <w:sz w:val="24"/>
          <w:szCs w:val="24"/>
        </w:rPr>
        <w:t>nielegalny demontaż pojazdów.</w:t>
      </w:r>
    </w:p>
    <w:p w14:paraId="5BD1831A" w14:textId="2FD87E3A" w:rsidR="00695D38" w:rsidRPr="00695D38" w:rsidRDefault="00695D38" w:rsidP="00B8688D">
      <w:pPr>
        <w:pStyle w:val="Akapitzlist"/>
        <w:spacing w:line="300" w:lineRule="atLeast"/>
        <w:ind w:left="0" w:firstLine="567"/>
        <w:jc w:val="both"/>
        <w:rPr>
          <w:sz w:val="24"/>
          <w:szCs w:val="24"/>
        </w:rPr>
      </w:pPr>
      <w:r w:rsidRPr="00695D38">
        <w:rPr>
          <w:iCs/>
          <w:sz w:val="24"/>
          <w:szCs w:val="24"/>
        </w:rPr>
        <w:t xml:space="preserve">Na postawie prowadzonych działań </w:t>
      </w:r>
      <w:r w:rsidRPr="00695D38">
        <w:rPr>
          <w:sz w:val="24"/>
          <w:szCs w:val="24"/>
        </w:rPr>
        <w:t xml:space="preserve">wyodrębniono dwa wiodące obszary działalności przestępczej dotyczącej odpadów. Pierwszym z nich jest nielegalna gospodarka odpadami. Zauważalna jest tendencja polegająca na bezprawnym pozbywaniu się odpadów poprzez przekazywanie ich nieuprawnionym podmiotom, które następnie składują te odpady </w:t>
      </w:r>
      <w:r w:rsidR="00B8688D">
        <w:rPr>
          <w:sz w:val="24"/>
          <w:szCs w:val="24"/>
        </w:rPr>
        <w:br/>
      </w:r>
      <w:r w:rsidRPr="00695D38">
        <w:rPr>
          <w:sz w:val="24"/>
          <w:szCs w:val="24"/>
        </w:rPr>
        <w:t>w miejscach do tego nieprzeznaczonych (również poprzez ich zakopywanie) oraz gospodarują tymi odpadami w sposób mogący zagrażać życiu lub zdrowiu ludzi lub środowisku. Odpady są bardzo często nielegalnie deponowane w byłych wyrobiskach, kopalniach itd.</w:t>
      </w:r>
      <w:r w:rsidR="00B8688D">
        <w:rPr>
          <w:sz w:val="24"/>
          <w:szCs w:val="24"/>
          <w:lang w:val="pl-PL"/>
        </w:rPr>
        <w:t xml:space="preserve"> </w:t>
      </w:r>
      <w:r w:rsidRPr="00695D38">
        <w:rPr>
          <w:sz w:val="24"/>
          <w:szCs w:val="24"/>
        </w:rPr>
        <w:t>Wykorzystywane są również obiekty w trakcie i po rekultywacji</w:t>
      </w:r>
      <w:r w:rsidR="00B8688D">
        <w:rPr>
          <w:sz w:val="24"/>
          <w:szCs w:val="24"/>
          <w:lang w:val="pl-PL"/>
        </w:rPr>
        <w:t>,</w:t>
      </w:r>
      <w:r w:rsidRPr="00695D38">
        <w:rPr>
          <w:sz w:val="24"/>
          <w:szCs w:val="24"/>
        </w:rPr>
        <w:t xml:space="preserve"> np. byłe składowiska odpadów. Wyodrębniającym się trendem w tym procederze jest podrzucanie odpadów do wynajmowanych magazynów lub budynków po prowadzonej działalności gospodarczej różnego typu. Ujawniane odpady są przygotowane do transportu, rozdrobnione, sprasowane </w:t>
      </w:r>
      <w:r w:rsidR="00B8688D">
        <w:rPr>
          <w:sz w:val="24"/>
          <w:szCs w:val="24"/>
        </w:rPr>
        <w:br/>
      </w:r>
      <w:r w:rsidRPr="00695D38">
        <w:rPr>
          <w:sz w:val="24"/>
          <w:szCs w:val="24"/>
        </w:rPr>
        <w:t xml:space="preserve">i poukładane na paletach lub owinięte taśmą </w:t>
      </w:r>
      <w:proofErr w:type="spellStart"/>
      <w:r w:rsidRPr="00695D38">
        <w:rPr>
          <w:sz w:val="24"/>
          <w:szCs w:val="24"/>
        </w:rPr>
        <w:t>stretch</w:t>
      </w:r>
      <w:proofErr w:type="spellEnd"/>
      <w:r w:rsidRPr="00695D38">
        <w:rPr>
          <w:sz w:val="24"/>
          <w:szCs w:val="24"/>
        </w:rPr>
        <w:t>. Osoby, od których są wynajmowane budynki często nie prowadzą już działalności gospodarczej lub nigdy jej nie prowadziły (osoby fizyczne), są oszukiwane, ponieważ oszuści posługują się fałszywymi danymi</w:t>
      </w:r>
      <w:r w:rsidR="00B8688D">
        <w:rPr>
          <w:sz w:val="24"/>
          <w:szCs w:val="24"/>
          <w:lang w:val="pl-PL"/>
        </w:rPr>
        <w:t>,</w:t>
      </w:r>
      <w:r w:rsidRPr="00695D38">
        <w:rPr>
          <w:sz w:val="24"/>
          <w:szCs w:val="24"/>
        </w:rPr>
        <w:t xml:space="preserve"> podpisując </w:t>
      </w:r>
      <w:r w:rsidR="00B8688D">
        <w:rPr>
          <w:sz w:val="24"/>
          <w:szCs w:val="24"/>
        </w:rPr>
        <w:br/>
      </w:r>
      <w:r w:rsidRPr="00695D38">
        <w:rPr>
          <w:sz w:val="24"/>
          <w:szCs w:val="24"/>
        </w:rPr>
        <w:t xml:space="preserve">z nimi umowy najmu. W tego typu sprawach działania prowadzone z innymi służbami również nie przyczyniły się do wykrycia sprawców tego procederu. Pokazuje to jak dobrze zorganizowani są oszuści dopuszczający się tego typu czynów zabronionych. Często bywa tak, że właściciele magazynów są nieświadomi procederu, który będzie miał miejsce. Znaczącym problemem staje się usunięcie odpadów zarówno po stronie poszkodowanego - brak środków finansowych, jak i gminy, ponieważ również brakuje środków w budżecie gminnym (również trudność w oszacowaniu kwoty potrzebnej na ten cel). </w:t>
      </w:r>
    </w:p>
    <w:p w14:paraId="0F9F5DEE" w14:textId="0864DFCF" w:rsidR="00695D38" w:rsidRPr="00695D38" w:rsidRDefault="00695D38" w:rsidP="00B8688D">
      <w:pPr>
        <w:pStyle w:val="Akapitzlist"/>
        <w:spacing w:line="300" w:lineRule="atLeast"/>
        <w:ind w:left="0" w:firstLine="567"/>
        <w:jc w:val="both"/>
        <w:rPr>
          <w:sz w:val="24"/>
          <w:szCs w:val="24"/>
        </w:rPr>
      </w:pPr>
      <w:r w:rsidRPr="00695D38">
        <w:rPr>
          <w:sz w:val="24"/>
          <w:szCs w:val="24"/>
        </w:rPr>
        <w:t xml:space="preserve">Drugim obszarem działalności przestępczej jest demontaż pojazdów wycofanych </w:t>
      </w:r>
      <w:r w:rsidR="00B8688D">
        <w:rPr>
          <w:sz w:val="24"/>
          <w:szCs w:val="24"/>
        </w:rPr>
        <w:br/>
      </w:r>
      <w:r w:rsidRPr="00695D38">
        <w:rPr>
          <w:sz w:val="24"/>
          <w:szCs w:val="24"/>
        </w:rPr>
        <w:t xml:space="preserve">z eksploatacji. Procederem przestępczym jest demontowanie pojazdów samochodowych </w:t>
      </w:r>
      <w:r w:rsidR="00B8688D">
        <w:rPr>
          <w:sz w:val="24"/>
          <w:szCs w:val="24"/>
        </w:rPr>
        <w:br/>
      </w:r>
      <w:r w:rsidRPr="00695D38">
        <w:rPr>
          <w:sz w:val="24"/>
          <w:szCs w:val="24"/>
        </w:rPr>
        <w:t xml:space="preserve">w miejscach do tego nieprzeznaczonych (poza legalnymi stacjami demontażu pojazdów) </w:t>
      </w:r>
      <w:r w:rsidR="00B8688D">
        <w:rPr>
          <w:sz w:val="24"/>
          <w:szCs w:val="24"/>
        </w:rPr>
        <w:br/>
      </w:r>
      <w:r w:rsidRPr="00695D38">
        <w:rPr>
          <w:sz w:val="24"/>
          <w:szCs w:val="24"/>
        </w:rPr>
        <w:t xml:space="preserve">i wprowadzaniem w obieg zdemontowanych używanych części samochodowych nieposiadających certyfikatów bezpieczeństwa. Dużym zagrożeniem dla środowiska jest fakt, że po demontażu pojazdów pozostają części nienadające się na sprzedaż, które są podrzucane do wyżej opisanych miejsc. Sam demontaż prowadzony jest również w warunkach niezapewniających bezpieczeństwa środowiska, płyny eksploatacyjne zanieczyszczają grunt </w:t>
      </w:r>
      <w:r w:rsidR="00861B23">
        <w:rPr>
          <w:sz w:val="24"/>
          <w:szCs w:val="24"/>
        </w:rPr>
        <w:br/>
      </w:r>
      <w:r w:rsidRPr="00695D38">
        <w:rPr>
          <w:sz w:val="24"/>
          <w:szCs w:val="24"/>
        </w:rPr>
        <w:t xml:space="preserve">i wody powierzchniowe. Osoby prowadzące taki proceder wbrew ordynacji podatkowej nie odprowadzają należnych dla państwa podatków, sprzedając części na portalach internetowych. Osoby zajmujące się nielegalnym procederem demontażu pojazdów pozyskują te pojazdy </w:t>
      </w:r>
      <w:r w:rsidR="00861B23">
        <w:rPr>
          <w:sz w:val="24"/>
          <w:szCs w:val="24"/>
        </w:rPr>
        <w:br/>
      </w:r>
      <w:r w:rsidRPr="00695D38">
        <w:rPr>
          <w:sz w:val="24"/>
          <w:szCs w:val="24"/>
        </w:rPr>
        <w:t xml:space="preserve">z zagranicy zakwalifikowane jako odpad. Pojazdy mogą pochodzić również z działalności przestępczej. </w:t>
      </w:r>
    </w:p>
    <w:p w14:paraId="6FE332FF" w14:textId="77777777" w:rsidR="00695D38" w:rsidRPr="00695D38" w:rsidRDefault="00695D38" w:rsidP="00695D38">
      <w:pPr>
        <w:spacing w:line="300" w:lineRule="atLeast"/>
        <w:contextualSpacing/>
        <w:rPr>
          <w:rFonts w:ascii="Times New Roman" w:hAnsi="Times New Roman" w:cs="Times New Roman"/>
          <w:i/>
          <w:color w:val="4472C4"/>
          <w:sz w:val="24"/>
          <w:szCs w:val="24"/>
        </w:rPr>
      </w:pPr>
    </w:p>
    <w:p w14:paraId="7A286209" w14:textId="77777777" w:rsidR="00695D38" w:rsidRPr="00695D38" w:rsidRDefault="00695D38" w:rsidP="00861B23">
      <w:pPr>
        <w:spacing w:after="60" w:line="300" w:lineRule="atLeast"/>
        <w:rPr>
          <w:rFonts w:ascii="Times New Roman" w:hAnsi="Times New Roman" w:cs="Times New Roman"/>
          <w:i/>
          <w:color w:val="4472C4"/>
          <w:sz w:val="24"/>
          <w:szCs w:val="24"/>
        </w:rPr>
      </w:pPr>
      <w:r w:rsidRPr="00695D38">
        <w:rPr>
          <w:rFonts w:ascii="Times New Roman" w:hAnsi="Times New Roman" w:cs="Times New Roman"/>
          <w:i/>
          <w:color w:val="4472C4"/>
          <w:sz w:val="24"/>
          <w:szCs w:val="24"/>
        </w:rPr>
        <w:t>Wojewódzki Inspektorat Ochrony Środowiska w Zielonej Górze</w:t>
      </w:r>
    </w:p>
    <w:p w14:paraId="7B36895D" w14:textId="028E46B7" w:rsidR="00A22034" w:rsidRDefault="00695D38" w:rsidP="00861B23">
      <w:pPr>
        <w:pStyle w:val="Akapitzlist"/>
        <w:spacing w:line="300" w:lineRule="atLeast"/>
        <w:ind w:left="0" w:firstLine="567"/>
        <w:contextualSpacing w:val="0"/>
        <w:jc w:val="both"/>
        <w:rPr>
          <w:sz w:val="24"/>
          <w:szCs w:val="24"/>
          <w:lang w:val="pl-PL"/>
        </w:rPr>
      </w:pPr>
      <w:r w:rsidRPr="00695D38">
        <w:rPr>
          <w:sz w:val="24"/>
          <w:szCs w:val="24"/>
        </w:rPr>
        <w:t>W województwie lubuskim z uwagi na przygraniczne położenie występującym stale zagrożeniem jest transgraniczne przemieszczanie odpadów do naszego kraju oraz przemieszczanie odpadów w ruchu tranzytowym i związane z tym nieprawidłowości dokumentacyjne oraz właściwej klasyfikacji przewożonych odpadów, a także przewożenie odpadów bez wymaganych zezwoleń. Kolejny problem to miejsca rekultywacji i niewłaściwe ich wypełnianie odpadami w sposób niezgodny z harmonogramem lub odpadami niedozwolonymi</w:t>
      </w:r>
      <w:r w:rsidR="00861B23">
        <w:rPr>
          <w:sz w:val="24"/>
          <w:szCs w:val="24"/>
          <w:lang w:val="pl-PL"/>
        </w:rPr>
        <w:t>.</w:t>
      </w:r>
    </w:p>
    <w:p w14:paraId="273B917B" w14:textId="77777777" w:rsidR="00C104A3" w:rsidRPr="00861B23" w:rsidRDefault="00C104A3" w:rsidP="00861B23">
      <w:pPr>
        <w:pStyle w:val="Akapitzlist"/>
        <w:spacing w:line="300" w:lineRule="atLeast"/>
        <w:ind w:left="0" w:firstLine="567"/>
        <w:contextualSpacing w:val="0"/>
        <w:jc w:val="both"/>
        <w:rPr>
          <w:b/>
          <w:color w:val="000000"/>
          <w:sz w:val="24"/>
          <w:szCs w:val="24"/>
          <w:lang w:val="pl-PL"/>
        </w:rPr>
      </w:pPr>
    </w:p>
    <w:p w14:paraId="7A17EFD5" w14:textId="77777777" w:rsidR="00C104A3" w:rsidRPr="00C104A3" w:rsidRDefault="00C104A3" w:rsidP="00C104A3">
      <w:pPr>
        <w:pStyle w:val="Nagwek1"/>
        <w:spacing w:after="60"/>
        <w:rPr>
          <w:rStyle w:val="Nagwek2Znak"/>
          <w:rFonts w:eastAsia="Calibri"/>
          <w:b/>
          <w:color w:val="000000" w:themeColor="text1"/>
          <w:szCs w:val="24"/>
        </w:rPr>
      </w:pPr>
      <w:bookmarkStart w:id="305" w:name="_Toc135935668"/>
      <w:bookmarkStart w:id="306" w:name="_Toc99469609"/>
      <w:r w:rsidRPr="00C104A3">
        <w:rPr>
          <w:rStyle w:val="Nagwek3Znak"/>
          <w:rFonts w:ascii="Times New Roman" w:eastAsia="Calibri" w:hAnsi="Times New Roman"/>
          <w:b/>
          <w:color w:val="000000" w:themeColor="text1"/>
          <w:sz w:val="24"/>
          <w:szCs w:val="24"/>
        </w:rPr>
        <w:t>3.</w:t>
      </w:r>
      <w:r w:rsidRPr="00C104A3">
        <w:rPr>
          <w:rStyle w:val="Nagwek3Znak"/>
          <w:rFonts w:ascii="Times New Roman" w:eastAsia="Calibri" w:hAnsi="Times New Roman"/>
          <w:b/>
          <w:color w:val="000000" w:themeColor="text1"/>
          <w:sz w:val="24"/>
          <w:szCs w:val="24"/>
          <w:lang w:val="pl-PL"/>
        </w:rPr>
        <w:t>2</w:t>
      </w:r>
      <w:r w:rsidRPr="00C104A3">
        <w:rPr>
          <w:rStyle w:val="Nagwek3Znak"/>
          <w:rFonts w:ascii="Times New Roman" w:eastAsia="Calibri" w:hAnsi="Times New Roman"/>
          <w:b/>
          <w:color w:val="000000" w:themeColor="text1"/>
          <w:sz w:val="24"/>
          <w:szCs w:val="24"/>
        </w:rPr>
        <w:t xml:space="preserve">. </w:t>
      </w:r>
      <w:r w:rsidRPr="00C104A3">
        <w:rPr>
          <w:rStyle w:val="Nagwek3Znak"/>
          <w:rFonts w:ascii="Times New Roman" w:eastAsia="Calibri" w:hAnsi="Times New Roman"/>
          <w:b/>
          <w:color w:val="000000" w:themeColor="text1"/>
          <w:sz w:val="24"/>
          <w:szCs w:val="24"/>
          <w:lang w:val="pl-PL"/>
        </w:rPr>
        <w:t>Zauważalne tendencje rozwoju przestępczości</w:t>
      </w:r>
      <w:bookmarkEnd w:id="305"/>
      <w:r w:rsidRPr="00C104A3">
        <w:rPr>
          <w:rStyle w:val="Nagwek2Znak"/>
          <w:rFonts w:eastAsia="Calibri"/>
          <w:b/>
          <w:color w:val="000000" w:themeColor="text1"/>
          <w:szCs w:val="24"/>
        </w:rPr>
        <w:t xml:space="preserve"> </w:t>
      </w:r>
    </w:p>
    <w:p w14:paraId="0358B931" w14:textId="571B6A16" w:rsidR="00C104A3" w:rsidRPr="00C104A3" w:rsidRDefault="00C104A3" w:rsidP="00C104A3">
      <w:pPr>
        <w:pStyle w:val="Akapitzlist"/>
        <w:spacing w:line="300" w:lineRule="atLeast"/>
        <w:ind w:left="0" w:firstLine="567"/>
        <w:jc w:val="both"/>
        <w:rPr>
          <w:bCs/>
          <w:sz w:val="24"/>
          <w:szCs w:val="24"/>
        </w:rPr>
      </w:pPr>
      <w:r w:rsidRPr="00C104A3">
        <w:rPr>
          <w:bCs/>
          <w:sz w:val="24"/>
          <w:szCs w:val="24"/>
        </w:rPr>
        <w:t xml:space="preserve">Mając na uwadze rosnące koszty unieszkodliwiania odpadów należy spodziewać się rozwoju zorganizowanej przestępczości polegającej na porzucaniu odpadów, w tym niebezpiecznych, zmieszanych odpadów komunalnych czy zmieszanych odpadów budowlanych i rozbiórkowych z wysoką zawartością innego rodzaju materiałów. </w:t>
      </w:r>
    </w:p>
    <w:p w14:paraId="7DC5352F" w14:textId="77777777" w:rsidR="00C104A3" w:rsidRPr="00C104A3" w:rsidRDefault="00C104A3" w:rsidP="00C104A3">
      <w:pPr>
        <w:pStyle w:val="Akapitzlist"/>
        <w:spacing w:line="300" w:lineRule="atLeast"/>
        <w:ind w:left="0"/>
        <w:jc w:val="both"/>
        <w:rPr>
          <w:bCs/>
          <w:sz w:val="24"/>
          <w:szCs w:val="24"/>
        </w:rPr>
      </w:pPr>
    </w:p>
    <w:p w14:paraId="1196489C" w14:textId="51C1B757" w:rsidR="00C104A3" w:rsidRPr="00C104A3" w:rsidRDefault="00C104A3" w:rsidP="00C104A3">
      <w:pPr>
        <w:spacing w:after="60" w:line="300" w:lineRule="atLeast"/>
        <w:jc w:val="both"/>
        <w:rPr>
          <w:rFonts w:ascii="Times New Roman" w:hAnsi="Times New Roman" w:cs="Times New Roman"/>
          <w:i/>
          <w:color w:val="4472C4"/>
          <w:sz w:val="24"/>
          <w:szCs w:val="24"/>
        </w:rPr>
      </w:pPr>
      <w:r w:rsidRPr="00C104A3">
        <w:rPr>
          <w:rFonts w:ascii="Times New Roman" w:hAnsi="Times New Roman" w:cs="Times New Roman"/>
          <w:i/>
          <w:color w:val="4472C4"/>
          <w:sz w:val="24"/>
          <w:szCs w:val="24"/>
        </w:rPr>
        <w:t>Wojewódzki Inspektorat Ochrony Środowiska w Białymstoku</w:t>
      </w:r>
    </w:p>
    <w:p w14:paraId="4BAB56B8" w14:textId="775ADAD4" w:rsidR="00C104A3" w:rsidRPr="00C104A3" w:rsidRDefault="00C104A3" w:rsidP="00C104A3">
      <w:pPr>
        <w:pStyle w:val="Akapitzlist"/>
        <w:spacing w:line="300" w:lineRule="atLeast"/>
        <w:ind w:left="0" w:firstLine="708"/>
        <w:jc w:val="both"/>
        <w:rPr>
          <w:iCs/>
          <w:sz w:val="24"/>
          <w:szCs w:val="24"/>
        </w:rPr>
      </w:pPr>
      <w:r w:rsidRPr="00C104A3">
        <w:rPr>
          <w:iCs/>
          <w:sz w:val="24"/>
          <w:szCs w:val="24"/>
        </w:rPr>
        <w:t xml:space="preserve">W ocenie WIOŚ w Białymstoku, problemami województwa podlaskiego były </w:t>
      </w:r>
      <w:r>
        <w:rPr>
          <w:iCs/>
          <w:sz w:val="24"/>
          <w:szCs w:val="24"/>
        </w:rPr>
        <w:br/>
      </w:r>
      <w:r w:rsidRPr="00C104A3">
        <w:rPr>
          <w:iCs/>
          <w:sz w:val="24"/>
          <w:szCs w:val="24"/>
        </w:rPr>
        <w:t>i w dalszym ciągu mogą być:</w:t>
      </w:r>
    </w:p>
    <w:p w14:paraId="072AAAD6" w14:textId="34635957" w:rsidR="00C104A3" w:rsidRPr="00C104A3" w:rsidRDefault="00C104A3" w:rsidP="00D34F97">
      <w:pPr>
        <w:pStyle w:val="Akapitzlist"/>
        <w:numPr>
          <w:ilvl w:val="0"/>
          <w:numId w:val="236"/>
        </w:numPr>
        <w:spacing w:line="300" w:lineRule="atLeast"/>
        <w:jc w:val="both"/>
        <w:rPr>
          <w:iCs/>
          <w:sz w:val="24"/>
          <w:szCs w:val="24"/>
        </w:rPr>
      </w:pPr>
      <w:r w:rsidRPr="00C104A3">
        <w:rPr>
          <w:iCs/>
          <w:sz w:val="24"/>
          <w:szCs w:val="24"/>
        </w:rPr>
        <w:t>deponowanie odpadów w wyrobiskach żwirowych,</w:t>
      </w:r>
    </w:p>
    <w:p w14:paraId="0AE88CFE" w14:textId="62673512" w:rsidR="00C104A3" w:rsidRPr="00C104A3" w:rsidRDefault="00C104A3" w:rsidP="00D34F97">
      <w:pPr>
        <w:pStyle w:val="Akapitzlist"/>
        <w:numPr>
          <w:ilvl w:val="0"/>
          <w:numId w:val="236"/>
        </w:numPr>
        <w:spacing w:line="300" w:lineRule="atLeast"/>
        <w:jc w:val="both"/>
        <w:rPr>
          <w:iCs/>
          <w:sz w:val="24"/>
          <w:szCs w:val="24"/>
        </w:rPr>
      </w:pPr>
      <w:r w:rsidRPr="00C104A3">
        <w:rPr>
          <w:iCs/>
          <w:sz w:val="24"/>
          <w:szCs w:val="24"/>
        </w:rPr>
        <w:t>niezgodne z prawem zagospodarowanie odpadów, powstających w instalacjach  komunalnych,</w:t>
      </w:r>
    </w:p>
    <w:p w14:paraId="1675970F" w14:textId="2C6BE4E8" w:rsidR="00C104A3" w:rsidRPr="00C104A3" w:rsidRDefault="00C104A3" w:rsidP="00D34F97">
      <w:pPr>
        <w:pStyle w:val="Akapitzlist"/>
        <w:numPr>
          <w:ilvl w:val="0"/>
          <w:numId w:val="236"/>
        </w:numPr>
        <w:spacing w:line="300" w:lineRule="atLeast"/>
        <w:jc w:val="both"/>
        <w:rPr>
          <w:iCs/>
          <w:sz w:val="24"/>
          <w:szCs w:val="24"/>
        </w:rPr>
      </w:pPr>
      <w:r w:rsidRPr="00C104A3">
        <w:rPr>
          <w:iCs/>
          <w:sz w:val="24"/>
          <w:szCs w:val="24"/>
        </w:rPr>
        <w:t>nielegalny transport odpadów i fałszowanie dokumentacji związanej z transportem,</w:t>
      </w:r>
    </w:p>
    <w:p w14:paraId="3830E96D" w14:textId="42396B4D" w:rsidR="00C104A3" w:rsidRPr="00C104A3" w:rsidRDefault="00C104A3" w:rsidP="00D34F97">
      <w:pPr>
        <w:pStyle w:val="Akapitzlist"/>
        <w:numPr>
          <w:ilvl w:val="0"/>
          <w:numId w:val="236"/>
        </w:numPr>
        <w:spacing w:line="300" w:lineRule="atLeast"/>
        <w:jc w:val="both"/>
        <w:rPr>
          <w:iCs/>
          <w:sz w:val="24"/>
          <w:szCs w:val="24"/>
        </w:rPr>
      </w:pPr>
      <w:r w:rsidRPr="00C104A3">
        <w:rPr>
          <w:iCs/>
          <w:sz w:val="24"/>
          <w:szCs w:val="24"/>
        </w:rPr>
        <w:t>nielegalny demontaż pojazdów, zwłaszcza na niewielką skalę – na terenie posesji prywatnych,</w:t>
      </w:r>
    </w:p>
    <w:p w14:paraId="4777BF4F" w14:textId="2FD64CB4" w:rsidR="00C104A3" w:rsidRPr="00C104A3" w:rsidRDefault="00C104A3" w:rsidP="00D34F97">
      <w:pPr>
        <w:pStyle w:val="Akapitzlist"/>
        <w:numPr>
          <w:ilvl w:val="0"/>
          <w:numId w:val="237"/>
        </w:numPr>
        <w:spacing w:line="300" w:lineRule="atLeast"/>
        <w:jc w:val="both"/>
        <w:rPr>
          <w:iCs/>
          <w:sz w:val="24"/>
          <w:szCs w:val="24"/>
        </w:rPr>
      </w:pPr>
      <w:r w:rsidRPr="00C104A3">
        <w:rPr>
          <w:iCs/>
          <w:sz w:val="24"/>
          <w:szCs w:val="24"/>
        </w:rPr>
        <w:t>zbieranie i przetwarzanie odpadów bez wymaganego zezwolenia,</w:t>
      </w:r>
    </w:p>
    <w:p w14:paraId="57F302D4" w14:textId="2319D94B" w:rsidR="00C104A3" w:rsidRPr="00C104A3" w:rsidRDefault="00C104A3" w:rsidP="00D34F97">
      <w:pPr>
        <w:pStyle w:val="Akapitzlist"/>
        <w:numPr>
          <w:ilvl w:val="0"/>
          <w:numId w:val="237"/>
        </w:numPr>
        <w:spacing w:line="300" w:lineRule="atLeast"/>
        <w:jc w:val="both"/>
        <w:rPr>
          <w:iCs/>
          <w:sz w:val="24"/>
          <w:szCs w:val="24"/>
        </w:rPr>
      </w:pPr>
      <w:r w:rsidRPr="00C104A3">
        <w:rPr>
          <w:iCs/>
          <w:sz w:val="24"/>
          <w:szCs w:val="24"/>
        </w:rPr>
        <w:t>nielegalny przywóz odpadów drewnopochodnych spoza kraju,</w:t>
      </w:r>
    </w:p>
    <w:p w14:paraId="20C063A6" w14:textId="31B1E87D" w:rsidR="00C104A3" w:rsidRPr="00C104A3" w:rsidRDefault="00C104A3" w:rsidP="00D34F97">
      <w:pPr>
        <w:pStyle w:val="Akapitzlist"/>
        <w:numPr>
          <w:ilvl w:val="0"/>
          <w:numId w:val="237"/>
        </w:numPr>
        <w:spacing w:line="300" w:lineRule="atLeast"/>
        <w:jc w:val="both"/>
        <w:rPr>
          <w:iCs/>
          <w:sz w:val="24"/>
          <w:szCs w:val="24"/>
        </w:rPr>
      </w:pPr>
      <w:r w:rsidRPr="00C104A3">
        <w:rPr>
          <w:iCs/>
          <w:sz w:val="24"/>
          <w:szCs w:val="24"/>
        </w:rPr>
        <w:t>nieprawidłowa klasyfikacja opadów (jako kompost nieodpowiadający wymaganiom) celem zagospodarowania w ramach rekultywacji,</w:t>
      </w:r>
    </w:p>
    <w:p w14:paraId="0FBB889C" w14:textId="1130DFE0" w:rsidR="00C104A3" w:rsidRPr="00C104A3" w:rsidRDefault="00C104A3" w:rsidP="00D34F97">
      <w:pPr>
        <w:pStyle w:val="Akapitzlist"/>
        <w:numPr>
          <w:ilvl w:val="0"/>
          <w:numId w:val="237"/>
        </w:numPr>
        <w:spacing w:line="300" w:lineRule="atLeast"/>
        <w:jc w:val="both"/>
        <w:rPr>
          <w:iCs/>
          <w:sz w:val="24"/>
          <w:szCs w:val="24"/>
        </w:rPr>
      </w:pPr>
      <w:r w:rsidRPr="00C104A3">
        <w:rPr>
          <w:iCs/>
          <w:sz w:val="24"/>
          <w:szCs w:val="24"/>
        </w:rPr>
        <w:t>spalanie odpadów.</w:t>
      </w:r>
    </w:p>
    <w:p w14:paraId="28749015" w14:textId="77777777" w:rsidR="00C104A3" w:rsidRPr="00C104A3" w:rsidRDefault="00C104A3" w:rsidP="00C104A3">
      <w:pPr>
        <w:pStyle w:val="Akapitzlist"/>
        <w:spacing w:line="300" w:lineRule="atLeast"/>
        <w:ind w:left="142"/>
        <w:jc w:val="both"/>
        <w:rPr>
          <w:sz w:val="24"/>
          <w:szCs w:val="24"/>
        </w:rPr>
      </w:pPr>
    </w:p>
    <w:p w14:paraId="1AC82D14" w14:textId="77777777" w:rsidR="00C104A3" w:rsidRPr="00C104A3" w:rsidRDefault="00C104A3" w:rsidP="00C104A3">
      <w:pPr>
        <w:spacing w:after="60" w:line="300" w:lineRule="atLeast"/>
        <w:jc w:val="both"/>
        <w:rPr>
          <w:rFonts w:ascii="Times New Roman" w:hAnsi="Times New Roman" w:cs="Times New Roman"/>
          <w:i/>
          <w:color w:val="4472C4"/>
          <w:sz w:val="24"/>
          <w:szCs w:val="24"/>
        </w:rPr>
      </w:pPr>
      <w:r w:rsidRPr="00C104A3">
        <w:rPr>
          <w:rFonts w:ascii="Times New Roman" w:hAnsi="Times New Roman" w:cs="Times New Roman"/>
          <w:i/>
          <w:color w:val="4472C4"/>
          <w:sz w:val="24"/>
          <w:szCs w:val="24"/>
        </w:rPr>
        <w:t>Wojewódzki Inspektorat Ochrony Środowiska w Bydgoszczy</w:t>
      </w:r>
    </w:p>
    <w:p w14:paraId="0C761BA1" w14:textId="3B1B0462" w:rsidR="00C104A3" w:rsidRPr="00C104A3" w:rsidRDefault="00C104A3" w:rsidP="005D005A">
      <w:pPr>
        <w:pStyle w:val="Akapitzlist"/>
        <w:spacing w:line="300" w:lineRule="atLeast"/>
        <w:ind w:left="0" w:firstLine="567"/>
        <w:jc w:val="both"/>
        <w:rPr>
          <w:iCs/>
          <w:sz w:val="24"/>
          <w:szCs w:val="24"/>
        </w:rPr>
      </w:pPr>
      <w:r w:rsidRPr="00C104A3">
        <w:rPr>
          <w:iCs/>
          <w:sz w:val="24"/>
          <w:szCs w:val="24"/>
        </w:rPr>
        <w:t>Głównym problem</w:t>
      </w:r>
      <w:r w:rsidR="005D005A">
        <w:rPr>
          <w:iCs/>
          <w:sz w:val="24"/>
          <w:szCs w:val="24"/>
          <w:lang w:val="pl-PL"/>
        </w:rPr>
        <w:t>em</w:t>
      </w:r>
      <w:r w:rsidRPr="00C104A3">
        <w:rPr>
          <w:iCs/>
          <w:sz w:val="24"/>
          <w:szCs w:val="24"/>
        </w:rPr>
        <w:t xml:space="preserve"> na terenie województwa kujawsko-pomorskiego jest porzucanie odpadów niebezpiecznych oraz nielegalne praktyki w gospodarce odpadami komunalnymi: zakopywanie odpadów, fałszowanie KPO. </w:t>
      </w:r>
    </w:p>
    <w:p w14:paraId="2A0EAE48" w14:textId="77777777" w:rsidR="00C104A3" w:rsidRPr="00C104A3" w:rsidRDefault="00C104A3" w:rsidP="005D005A">
      <w:pPr>
        <w:pStyle w:val="Akapitzlist"/>
        <w:spacing w:line="300" w:lineRule="atLeast"/>
        <w:ind w:left="0" w:firstLine="567"/>
        <w:jc w:val="both"/>
        <w:rPr>
          <w:iCs/>
          <w:sz w:val="24"/>
          <w:szCs w:val="24"/>
        </w:rPr>
      </w:pPr>
      <w:r w:rsidRPr="00C104A3">
        <w:rPr>
          <w:iCs/>
          <w:sz w:val="24"/>
          <w:szCs w:val="24"/>
        </w:rPr>
        <w:t>Największym utrudnieniem w działalności kontrolnej jest występowanie w obrocie odpadami pośredników i sprzedawców, którzy w zleceniu na zagospodarowanie odpadów wskazują często inne miejsce przeznaczenia odpadów niż wskazane w KPO. Jednocześnie ustawa nie przewiduje żadnych sankcji wobec tych podmiotów.</w:t>
      </w:r>
    </w:p>
    <w:p w14:paraId="1040BBE1" w14:textId="77777777" w:rsidR="00C104A3" w:rsidRPr="00C104A3" w:rsidRDefault="00C104A3" w:rsidP="00C104A3">
      <w:pPr>
        <w:spacing w:line="300" w:lineRule="atLeast"/>
        <w:contextualSpacing/>
        <w:jc w:val="both"/>
        <w:rPr>
          <w:rFonts w:ascii="Times New Roman" w:hAnsi="Times New Roman" w:cs="Times New Roman"/>
          <w:i/>
          <w:color w:val="4472C4"/>
          <w:sz w:val="24"/>
          <w:szCs w:val="24"/>
        </w:rPr>
      </w:pPr>
    </w:p>
    <w:p w14:paraId="1E74514D" w14:textId="77777777" w:rsidR="00C104A3" w:rsidRPr="00C104A3" w:rsidRDefault="00C104A3" w:rsidP="005D005A">
      <w:pPr>
        <w:spacing w:after="60" w:line="300" w:lineRule="atLeast"/>
        <w:jc w:val="both"/>
        <w:rPr>
          <w:rFonts w:ascii="Times New Roman" w:hAnsi="Times New Roman" w:cs="Times New Roman"/>
          <w:i/>
          <w:color w:val="4472C4"/>
          <w:sz w:val="24"/>
          <w:szCs w:val="24"/>
        </w:rPr>
      </w:pPr>
      <w:r w:rsidRPr="00C104A3">
        <w:rPr>
          <w:rFonts w:ascii="Times New Roman" w:hAnsi="Times New Roman" w:cs="Times New Roman"/>
          <w:i/>
          <w:color w:val="4472C4"/>
          <w:sz w:val="24"/>
          <w:szCs w:val="24"/>
        </w:rPr>
        <w:t>Wojewódzki Inspektorat Ochrony Środowiska w Gdańsku</w:t>
      </w:r>
    </w:p>
    <w:p w14:paraId="0C6F1A0A" w14:textId="736104DB" w:rsidR="005D005A" w:rsidRDefault="005D005A" w:rsidP="005D005A">
      <w:pPr>
        <w:autoSpaceDE w:val="0"/>
        <w:autoSpaceDN w:val="0"/>
        <w:adjustRightInd w:val="0"/>
        <w:spacing w:line="300" w:lineRule="atLeast"/>
        <w:ind w:firstLine="708"/>
        <w:contextualSpacing/>
        <w:jc w:val="both"/>
        <w:rPr>
          <w:rFonts w:ascii="Times New Roman" w:hAnsi="Times New Roman" w:cs="Times New Roman"/>
          <w:sz w:val="24"/>
          <w:szCs w:val="24"/>
        </w:rPr>
      </w:pPr>
      <w:r w:rsidRPr="005D005A">
        <w:rPr>
          <w:rFonts w:ascii="Times New Roman" w:hAnsi="Times New Roman" w:cs="Times New Roman"/>
          <w:sz w:val="24"/>
          <w:szCs w:val="24"/>
        </w:rPr>
        <w:t>Zauważalna jest tendencja rozwoju przestępczości środowiskowej poprzez wytwarzanie w</w:t>
      </w:r>
      <w:r>
        <w:rPr>
          <w:rFonts w:ascii="Times New Roman" w:hAnsi="Times New Roman" w:cs="Times New Roman"/>
          <w:sz w:val="24"/>
          <w:szCs w:val="24"/>
        </w:rPr>
        <w:t xml:space="preserve"> </w:t>
      </w:r>
      <w:r w:rsidR="00C104A3" w:rsidRPr="005D005A">
        <w:rPr>
          <w:rFonts w:ascii="Times New Roman" w:hAnsi="Times New Roman" w:cs="Times New Roman"/>
          <w:sz w:val="24"/>
          <w:szCs w:val="24"/>
        </w:rPr>
        <w:t xml:space="preserve">systemie BDO dokumentów ewidencji odpadów niedokumentujących rzeczywistych zdarzeń z zakresu obrotu odpadami. Łańcuch podmiotów występujących w obiegu odpadów bywa sztucznie wydłużany (np. odpady transportowane są od podmiotu A do podmiotu B, </w:t>
      </w:r>
      <w:r>
        <w:rPr>
          <w:rFonts w:ascii="Times New Roman" w:hAnsi="Times New Roman" w:cs="Times New Roman"/>
          <w:sz w:val="24"/>
          <w:szCs w:val="24"/>
        </w:rPr>
        <w:br/>
      </w:r>
      <w:r w:rsidR="00C104A3" w:rsidRPr="005D005A">
        <w:rPr>
          <w:rFonts w:ascii="Times New Roman" w:hAnsi="Times New Roman" w:cs="Times New Roman"/>
          <w:sz w:val="24"/>
          <w:szCs w:val="24"/>
        </w:rPr>
        <w:t xml:space="preserve">a w ewidencji odpadów przekazywane są z pośrednictwem podmiotu C, który fizycznie nie uczestniczył w obrocie odpadami </w:t>
      </w:r>
      <w:r>
        <w:rPr>
          <w:rFonts w:ascii="TimesNewRomanPSMT" w:hAnsi="TimesNewRomanPSMT" w:cs="TimesNewRomanPSMT"/>
        </w:rPr>
        <w:t xml:space="preserve">A </w:t>
      </w:r>
      <w:r>
        <w:rPr>
          <w:rFonts w:ascii="Wingdings-Regular" w:hAnsi="Wingdings-Regular" w:cs="Wingdings-Regular"/>
        </w:rPr>
        <w:t xml:space="preserve"> </w:t>
      </w:r>
      <w:r>
        <w:rPr>
          <w:rFonts w:ascii="TimesNewRomanPSMT" w:hAnsi="TimesNewRomanPSMT" w:cs="TimesNewRomanPSMT"/>
        </w:rPr>
        <w:t xml:space="preserve">C </w:t>
      </w:r>
      <w:r>
        <w:rPr>
          <w:rFonts w:ascii="Wingdings-Regular" w:hAnsi="Wingdings-Regular" w:cs="Wingdings-Regular"/>
        </w:rPr>
        <w:t xml:space="preserve"> </w:t>
      </w:r>
      <w:r>
        <w:rPr>
          <w:rFonts w:ascii="TimesNewRomanPSMT" w:hAnsi="TimesNewRomanPSMT" w:cs="TimesNewRomanPSMT"/>
        </w:rPr>
        <w:t>B</w:t>
      </w:r>
      <w:r w:rsidR="00C104A3" w:rsidRPr="005D005A">
        <w:rPr>
          <w:rFonts w:ascii="Times New Roman" w:hAnsi="Times New Roman" w:cs="Times New Roman"/>
          <w:sz w:val="24"/>
          <w:szCs w:val="24"/>
        </w:rPr>
        <w:t xml:space="preserve">). </w:t>
      </w:r>
    </w:p>
    <w:p w14:paraId="6F5FB10A" w14:textId="0BE3E604" w:rsidR="00C104A3" w:rsidRPr="005D005A" w:rsidRDefault="00C104A3" w:rsidP="005D005A">
      <w:pPr>
        <w:autoSpaceDE w:val="0"/>
        <w:autoSpaceDN w:val="0"/>
        <w:adjustRightInd w:val="0"/>
        <w:spacing w:line="300" w:lineRule="atLeast"/>
        <w:ind w:firstLine="708"/>
        <w:contextualSpacing/>
        <w:jc w:val="both"/>
        <w:rPr>
          <w:rFonts w:ascii="Times New Roman" w:hAnsi="Times New Roman" w:cs="Times New Roman"/>
          <w:sz w:val="24"/>
          <w:szCs w:val="24"/>
        </w:rPr>
      </w:pPr>
      <w:r w:rsidRPr="005D005A">
        <w:rPr>
          <w:rFonts w:ascii="Times New Roman" w:hAnsi="Times New Roman" w:cs="Times New Roman"/>
          <w:sz w:val="24"/>
          <w:szCs w:val="24"/>
        </w:rPr>
        <w:t>Ponadto, zauważalna jest duża rola pośredników w obrocie odpadami w organizacji nielegalnych procederów, niekiedy bez świadomości podmiotów</w:t>
      </w:r>
      <w:r w:rsidR="005D005A">
        <w:rPr>
          <w:rFonts w:ascii="Times New Roman" w:hAnsi="Times New Roman" w:cs="Times New Roman"/>
          <w:sz w:val="24"/>
          <w:szCs w:val="24"/>
        </w:rPr>
        <w:t>,</w:t>
      </w:r>
      <w:r w:rsidRPr="005D005A">
        <w:rPr>
          <w:rFonts w:ascii="Times New Roman" w:hAnsi="Times New Roman" w:cs="Times New Roman"/>
          <w:sz w:val="24"/>
          <w:szCs w:val="24"/>
        </w:rPr>
        <w:t xml:space="preserve"> z którymi ci pośrednicy współpracują. Pośrednik wskazuje podmiotowi przekazującemu odpady dane podmiotu odbierającego oraz transportującego odpady, które należy wskazać przy wytworzeniu KPO. Podmioty te są uprawnione do wykonywania usługi transportu oraz zbierania lub przetwarzania odpadów, a odpady faktycznie w docelowe miejsce nie trafiają. Podmiot przekazujący nie ma możliwości weryfikacji</w:t>
      </w:r>
      <w:r w:rsidR="005D005A">
        <w:rPr>
          <w:rFonts w:ascii="Times New Roman" w:hAnsi="Times New Roman" w:cs="Times New Roman"/>
          <w:sz w:val="24"/>
          <w:szCs w:val="24"/>
        </w:rPr>
        <w:t>,</w:t>
      </w:r>
      <w:r w:rsidRPr="005D005A">
        <w:rPr>
          <w:rFonts w:ascii="Times New Roman" w:hAnsi="Times New Roman" w:cs="Times New Roman"/>
          <w:sz w:val="24"/>
          <w:szCs w:val="24"/>
        </w:rPr>
        <w:t xml:space="preserve"> gdzie odpady trafiły. Jest w stanie sprawdzić</w:t>
      </w:r>
      <w:r w:rsidR="005D005A">
        <w:rPr>
          <w:rFonts w:ascii="Times New Roman" w:hAnsi="Times New Roman" w:cs="Times New Roman"/>
          <w:sz w:val="24"/>
          <w:szCs w:val="24"/>
        </w:rPr>
        <w:t>,</w:t>
      </w:r>
      <w:r w:rsidRPr="005D005A">
        <w:rPr>
          <w:rFonts w:ascii="Times New Roman" w:hAnsi="Times New Roman" w:cs="Times New Roman"/>
          <w:sz w:val="24"/>
          <w:szCs w:val="24"/>
        </w:rPr>
        <w:t xml:space="preserve"> czy wygenerowana KPO </w:t>
      </w:r>
      <w:r w:rsidRPr="005D005A">
        <w:rPr>
          <w:rFonts w:ascii="Times New Roman" w:hAnsi="Times New Roman" w:cs="Times New Roman"/>
          <w:sz w:val="24"/>
          <w:szCs w:val="24"/>
        </w:rPr>
        <w:lastRenderedPageBreak/>
        <w:t>uzyskała status „potwierdzony transport”. Część pośredników uczestniczy w pozyskiwaniu klientów dla współpracujących z nimi podmiotów na podstawie sfałszowanej decyzji administracyjnej dot</w:t>
      </w:r>
      <w:r w:rsidR="005D005A">
        <w:rPr>
          <w:rFonts w:ascii="Times New Roman" w:hAnsi="Times New Roman" w:cs="Times New Roman"/>
          <w:sz w:val="24"/>
          <w:szCs w:val="24"/>
        </w:rPr>
        <w:t>yczącej</w:t>
      </w:r>
      <w:r w:rsidRPr="005D005A">
        <w:rPr>
          <w:rFonts w:ascii="Times New Roman" w:hAnsi="Times New Roman" w:cs="Times New Roman"/>
          <w:sz w:val="24"/>
          <w:szCs w:val="24"/>
        </w:rPr>
        <w:t xml:space="preserve"> gospodarowania odpadami (dopisane kody odpadów niefigurujące w decyzji autentycznej).</w:t>
      </w:r>
    </w:p>
    <w:p w14:paraId="4517C412" w14:textId="77777777" w:rsidR="00C104A3" w:rsidRPr="00C104A3" w:rsidRDefault="00C104A3" w:rsidP="00C104A3">
      <w:pPr>
        <w:spacing w:line="300" w:lineRule="atLeast"/>
        <w:contextualSpacing/>
        <w:jc w:val="both"/>
        <w:rPr>
          <w:rFonts w:ascii="Times New Roman" w:hAnsi="Times New Roman" w:cs="Times New Roman"/>
          <w:i/>
          <w:color w:val="4472C4"/>
          <w:sz w:val="24"/>
          <w:szCs w:val="24"/>
        </w:rPr>
      </w:pPr>
    </w:p>
    <w:p w14:paraId="3BC9AEB2" w14:textId="77777777" w:rsidR="00C104A3" w:rsidRPr="00C104A3" w:rsidRDefault="00C104A3" w:rsidP="005D005A">
      <w:pPr>
        <w:spacing w:after="60" w:line="300" w:lineRule="atLeast"/>
        <w:jc w:val="both"/>
        <w:rPr>
          <w:rFonts w:ascii="Times New Roman" w:hAnsi="Times New Roman" w:cs="Times New Roman"/>
          <w:i/>
          <w:color w:val="4472C4"/>
          <w:sz w:val="24"/>
          <w:szCs w:val="24"/>
        </w:rPr>
      </w:pPr>
      <w:r w:rsidRPr="00C104A3">
        <w:rPr>
          <w:rFonts w:ascii="Times New Roman" w:hAnsi="Times New Roman" w:cs="Times New Roman"/>
          <w:i/>
          <w:color w:val="4472C4"/>
          <w:sz w:val="24"/>
          <w:szCs w:val="24"/>
        </w:rPr>
        <w:t>Wojewódzki Inspektorat Ochrony Środowiska w Katowicach</w:t>
      </w:r>
    </w:p>
    <w:p w14:paraId="433FB96E" w14:textId="2804DD20" w:rsidR="00C104A3" w:rsidRPr="00C104A3" w:rsidRDefault="00C104A3" w:rsidP="005D005A">
      <w:pPr>
        <w:spacing w:line="300" w:lineRule="atLeast"/>
        <w:ind w:firstLine="567"/>
        <w:contextualSpacing/>
        <w:jc w:val="both"/>
        <w:rPr>
          <w:rFonts w:ascii="Times New Roman" w:hAnsi="Times New Roman" w:cs="Times New Roman"/>
          <w:sz w:val="24"/>
          <w:szCs w:val="24"/>
        </w:rPr>
      </w:pPr>
      <w:r w:rsidRPr="00C104A3">
        <w:rPr>
          <w:rFonts w:ascii="Times New Roman" w:hAnsi="Times New Roman" w:cs="Times New Roman"/>
          <w:sz w:val="24"/>
          <w:szCs w:val="24"/>
        </w:rPr>
        <w:t xml:space="preserve">Dotychczasowym trendem w gospodarce odpadami było wynajmowanie terenów, na które w krótkim okresie czasu przyjmowane były znaczne ilości odpadów niebezpiecznych, następnie porzucone lub podpalone w celu zatarcia śladów przestępczego procederu. </w:t>
      </w:r>
      <w:r w:rsidR="002C0EFE">
        <w:rPr>
          <w:rFonts w:ascii="Times New Roman" w:hAnsi="Times New Roman" w:cs="Times New Roman"/>
          <w:sz w:val="24"/>
          <w:szCs w:val="24"/>
        </w:rPr>
        <w:t>O</w:t>
      </w:r>
      <w:r w:rsidR="00C76EF6">
        <w:rPr>
          <w:rFonts w:ascii="Times New Roman" w:hAnsi="Times New Roman" w:cs="Times New Roman"/>
          <w:sz w:val="24"/>
          <w:szCs w:val="24"/>
        </w:rPr>
        <w:t xml:space="preserve">becnie powstawanie </w:t>
      </w:r>
      <w:r w:rsidRPr="00C104A3">
        <w:rPr>
          <w:rFonts w:ascii="Times New Roman" w:hAnsi="Times New Roman" w:cs="Times New Roman"/>
          <w:sz w:val="24"/>
          <w:szCs w:val="24"/>
        </w:rPr>
        <w:t>takich nowych składowisk uległo zmniejszeniu</w:t>
      </w:r>
      <w:r w:rsidR="00C76EF6">
        <w:rPr>
          <w:rFonts w:ascii="Times New Roman" w:hAnsi="Times New Roman" w:cs="Times New Roman"/>
          <w:sz w:val="24"/>
          <w:szCs w:val="24"/>
        </w:rPr>
        <w:t>.</w:t>
      </w:r>
      <w:r w:rsidRPr="00C104A3">
        <w:rPr>
          <w:rFonts w:ascii="Times New Roman" w:hAnsi="Times New Roman" w:cs="Times New Roman"/>
          <w:sz w:val="24"/>
          <w:szCs w:val="24"/>
        </w:rPr>
        <w:t xml:space="preserve"> </w:t>
      </w:r>
      <w:r w:rsidR="00C76EF6">
        <w:rPr>
          <w:rFonts w:ascii="Times New Roman" w:hAnsi="Times New Roman" w:cs="Times New Roman"/>
          <w:sz w:val="24"/>
          <w:szCs w:val="24"/>
        </w:rPr>
        <w:t xml:space="preserve">Wprawdzie nie można mówić </w:t>
      </w:r>
      <w:r w:rsidR="00C76EF6">
        <w:rPr>
          <w:rFonts w:ascii="Times New Roman" w:hAnsi="Times New Roman" w:cs="Times New Roman"/>
          <w:sz w:val="24"/>
          <w:szCs w:val="24"/>
        </w:rPr>
        <w:br/>
      </w:r>
      <w:r w:rsidRPr="00C104A3">
        <w:rPr>
          <w:rFonts w:ascii="Times New Roman" w:hAnsi="Times New Roman" w:cs="Times New Roman"/>
          <w:sz w:val="24"/>
          <w:szCs w:val="24"/>
        </w:rPr>
        <w:t xml:space="preserve">o całkowitym zaprzestaniu tego schematu działania, ale </w:t>
      </w:r>
      <w:r w:rsidR="00C76EF6">
        <w:rPr>
          <w:rFonts w:ascii="Times New Roman" w:hAnsi="Times New Roman" w:cs="Times New Roman"/>
          <w:sz w:val="24"/>
          <w:szCs w:val="24"/>
        </w:rPr>
        <w:t xml:space="preserve">widać </w:t>
      </w:r>
      <w:r w:rsidRPr="00C104A3">
        <w:rPr>
          <w:rFonts w:ascii="Times New Roman" w:hAnsi="Times New Roman" w:cs="Times New Roman"/>
          <w:sz w:val="24"/>
          <w:szCs w:val="24"/>
        </w:rPr>
        <w:t xml:space="preserve">jednak tendencję do powstawania rozproszonych mniejszych składowisk, które trudniej jest powiązać </w:t>
      </w:r>
      <w:r w:rsidR="00C76EF6">
        <w:rPr>
          <w:rFonts w:ascii="Times New Roman" w:hAnsi="Times New Roman" w:cs="Times New Roman"/>
          <w:sz w:val="24"/>
          <w:szCs w:val="24"/>
        </w:rPr>
        <w:br/>
      </w:r>
      <w:r w:rsidRPr="00C104A3">
        <w:rPr>
          <w:rFonts w:ascii="Times New Roman" w:hAnsi="Times New Roman" w:cs="Times New Roman"/>
          <w:sz w:val="24"/>
          <w:szCs w:val="24"/>
        </w:rPr>
        <w:t xml:space="preserve">z poszczególnymi podmiotami. </w:t>
      </w:r>
    </w:p>
    <w:p w14:paraId="08A64FD6" w14:textId="24DBB458" w:rsidR="00C76EF6" w:rsidRDefault="00C76EF6" w:rsidP="00480AD6">
      <w:pPr>
        <w:spacing w:line="300" w:lineRule="atLeast"/>
        <w:ind w:firstLine="567"/>
        <w:contextualSpacing/>
        <w:jc w:val="both"/>
        <w:rPr>
          <w:rFonts w:ascii="Times New Roman" w:hAnsi="Times New Roman" w:cs="Times New Roman"/>
          <w:sz w:val="24"/>
          <w:szCs w:val="24"/>
        </w:rPr>
      </w:pPr>
      <w:r>
        <w:rPr>
          <w:rFonts w:ascii="Times New Roman" w:hAnsi="Times New Roman" w:cs="Times New Roman"/>
          <w:sz w:val="24"/>
          <w:szCs w:val="24"/>
        </w:rPr>
        <w:t>Z uwagi na fakt</w:t>
      </w:r>
      <w:r w:rsidR="00C104A3" w:rsidRPr="00C104A3">
        <w:rPr>
          <w:rFonts w:ascii="Times New Roman" w:hAnsi="Times New Roman" w:cs="Times New Roman"/>
          <w:sz w:val="24"/>
          <w:szCs w:val="24"/>
        </w:rPr>
        <w:t xml:space="preserve">, że od 1 stycznia 2021 roku wszystkie dokumenty w zakresie ewidencji odpadów są przygotowywane elektronicznie, za pośrednictwem BDO, a papierowe karty, za pomocą, których firmy dotąd ewidencjonowały odpady, są wycofywane z obiegu, WIOŚ </w:t>
      </w:r>
      <w:r>
        <w:rPr>
          <w:rFonts w:ascii="Times New Roman" w:hAnsi="Times New Roman" w:cs="Times New Roman"/>
          <w:sz w:val="24"/>
          <w:szCs w:val="24"/>
        </w:rPr>
        <w:br/>
      </w:r>
      <w:r w:rsidR="00C104A3" w:rsidRPr="00C104A3">
        <w:rPr>
          <w:rFonts w:ascii="Times New Roman" w:hAnsi="Times New Roman" w:cs="Times New Roman"/>
          <w:sz w:val="24"/>
          <w:szCs w:val="24"/>
        </w:rPr>
        <w:t>w Katowicach zaobserwował nową tendencję rozwoju szarej strefy</w:t>
      </w:r>
      <w:r>
        <w:rPr>
          <w:rFonts w:ascii="Times New Roman" w:hAnsi="Times New Roman" w:cs="Times New Roman"/>
          <w:sz w:val="24"/>
          <w:szCs w:val="24"/>
        </w:rPr>
        <w:t xml:space="preserve">, </w:t>
      </w:r>
      <w:r w:rsidR="00C104A3" w:rsidRPr="00C104A3">
        <w:rPr>
          <w:rFonts w:ascii="Times New Roman" w:hAnsi="Times New Roman" w:cs="Times New Roman"/>
          <w:sz w:val="24"/>
          <w:szCs w:val="24"/>
        </w:rPr>
        <w:t>polegając</w:t>
      </w:r>
      <w:r>
        <w:rPr>
          <w:rFonts w:ascii="Times New Roman" w:hAnsi="Times New Roman" w:cs="Times New Roman"/>
          <w:sz w:val="24"/>
          <w:szCs w:val="24"/>
        </w:rPr>
        <w:t>ą</w:t>
      </w:r>
      <w:r w:rsidR="00C104A3" w:rsidRPr="00C104A3">
        <w:rPr>
          <w:rFonts w:ascii="Times New Roman" w:hAnsi="Times New Roman" w:cs="Times New Roman"/>
          <w:sz w:val="24"/>
          <w:szCs w:val="24"/>
        </w:rPr>
        <w:t xml:space="preserve"> na celowym podawaniu fikcyjnych danych (w tym w szczególności: miejsca wytworzenia, danych podmiotu transportującego i miejscu odbioru odpadów). Działania takie, zmierzające do wprowadzenia w błąd poszczególnych kontrahentów, jak również jednostek kontrolnych oraz organów samorządowych posiadających bieżący wgląd do BDO stały się przyczyną wszczęcia </w:t>
      </w:r>
      <w:r>
        <w:rPr>
          <w:rFonts w:ascii="Times New Roman" w:hAnsi="Times New Roman" w:cs="Times New Roman"/>
          <w:sz w:val="24"/>
          <w:szCs w:val="24"/>
        </w:rPr>
        <w:br/>
      </w:r>
      <w:r w:rsidR="00C104A3" w:rsidRPr="00C104A3">
        <w:rPr>
          <w:rFonts w:ascii="Times New Roman" w:hAnsi="Times New Roman" w:cs="Times New Roman"/>
          <w:sz w:val="24"/>
          <w:szCs w:val="24"/>
        </w:rPr>
        <w:t xml:space="preserve">w Prokuraturze Regionalnej w Katowicach w 2021 r. - 2 postępowań przygotowawczych, związanych z fikcyjnym poświadczaniem odbioru </w:t>
      </w:r>
      <w:r w:rsidRPr="00C104A3">
        <w:rPr>
          <w:rFonts w:ascii="Times New Roman" w:hAnsi="Times New Roman" w:cs="Times New Roman"/>
          <w:sz w:val="24"/>
          <w:szCs w:val="24"/>
        </w:rPr>
        <w:t xml:space="preserve">od podmiotów z różnych części kraju </w:t>
      </w:r>
      <w:r w:rsidR="00C104A3" w:rsidRPr="00C104A3">
        <w:rPr>
          <w:rFonts w:ascii="Times New Roman" w:hAnsi="Times New Roman" w:cs="Times New Roman"/>
          <w:sz w:val="24"/>
          <w:szCs w:val="24"/>
        </w:rPr>
        <w:t xml:space="preserve">bardzo dużych ilości odpadów, w tym odpadów niebezpiecznych i pozostałości z sortowania odpadów komunalnych. </w:t>
      </w:r>
    </w:p>
    <w:p w14:paraId="3102D5A5" w14:textId="1C5F4417" w:rsidR="00C104A3" w:rsidRPr="00C104A3" w:rsidRDefault="00C76EF6" w:rsidP="00480AD6">
      <w:pPr>
        <w:spacing w:line="300" w:lineRule="atLeast"/>
        <w:ind w:firstLine="567"/>
        <w:contextualSpacing/>
        <w:jc w:val="both"/>
        <w:rPr>
          <w:rFonts w:ascii="Times New Roman" w:hAnsi="Times New Roman" w:cs="Times New Roman"/>
          <w:sz w:val="24"/>
          <w:szCs w:val="24"/>
        </w:rPr>
      </w:pPr>
      <w:r>
        <w:rPr>
          <w:rFonts w:ascii="Times New Roman" w:hAnsi="Times New Roman" w:cs="Times New Roman"/>
          <w:sz w:val="24"/>
          <w:szCs w:val="24"/>
        </w:rPr>
        <w:t>Pon</w:t>
      </w:r>
      <w:r w:rsidR="00C104A3" w:rsidRPr="00C104A3">
        <w:rPr>
          <w:rFonts w:ascii="Times New Roman" w:hAnsi="Times New Roman" w:cs="Times New Roman"/>
          <w:sz w:val="24"/>
          <w:szCs w:val="24"/>
        </w:rPr>
        <w:t xml:space="preserve">adto analiza danych zamieszczonych w BDO </w:t>
      </w:r>
      <w:r>
        <w:rPr>
          <w:rFonts w:ascii="Times New Roman" w:hAnsi="Times New Roman" w:cs="Times New Roman"/>
          <w:sz w:val="24"/>
          <w:szCs w:val="24"/>
        </w:rPr>
        <w:t>pokazała</w:t>
      </w:r>
      <w:r w:rsidR="00C104A3" w:rsidRPr="00C104A3">
        <w:rPr>
          <w:rFonts w:ascii="Times New Roman" w:hAnsi="Times New Roman" w:cs="Times New Roman"/>
          <w:sz w:val="24"/>
          <w:szCs w:val="24"/>
        </w:rPr>
        <w:t xml:space="preserve">, na jak szeroką skalę na terenie kraju działają podmioty, których działalność została zakwalifikowana jako nielegalna lub która wykazywała znaczne nieprawidłowości. Tym samym </w:t>
      </w:r>
      <w:r>
        <w:rPr>
          <w:rFonts w:ascii="Times New Roman" w:hAnsi="Times New Roman" w:cs="Times New Roman"/>
          <w:sz w:val="24"/>
          <w:szCs w:val="24"/>
        </w:rPr>
        <w:t>można zauważyć</w:t>
      </w:r>
      <w:r w:rsidR="00C104A3" w:rsidRPr="00C104A3">
        <w:rPr>
          <w:rFonts w:ascii="Times New Roman" w:hAnsi="Times New Roman" w:cs="Times New Roman"/>
          <w:sz w:val="24"/>
          <w:szCs w:val="24"/>
        </w:rPr>
        <w:t>, że współpraca pomiędzy poszczególnymi podmiotami nosi znamiona przestępczości zorganizowanej, które</w:t>
      </w:r>
      <w:r>
        <w:rPr>
          <w:rFonts w:ascii="Times New Roman" w:hAnsi="Times New Roman" w:cs="Times New Roman"/>
          <w:sz w:val="24"/>
          <w:szCs w:val="24"/>
        </w:rPr>
        <w:t>j</w:t>
      </w:r>
      <w:r w:rsidR="00C104A3" w:rsidRPr="00C104A3">
        <w:rPr>
          <w:rFonts w:ascii="Times New Roman" w:hAnsi="Times New Roman" w:cs="Times New Roman"/>
          <w:sz w:val="24"/>
          <w:szCs w:val="24"/>
        </w:rPr>
        <w:t xml:space="preserve"> celem jest osiągnięcie w szybkim czasie znacznych korzyści finansowych. W związku </w:t>
      </w:r>
      <w:r>
        <w:rPr>
          <w:rFonts w:ascii="Times New Roman" w:hAnsi="Times New Roman" w:cs="Times New Roman"/>
          <w:sz w:val="24"/>
          <w:szCs w:val="24"/>
        </w:rPr>
        <w:br/>
      </w:r>
      <w:r w:rsidR="00C104A3" w:rsidRPr="00C104A3">
        <w:rPr>
          <w:rFonts w:ascii="Times New Roman" w:hAnsi="Times New Roman" w:cs="Times New Roman"/>
          <w:sz w:val="24"/>
          <w:szCs w:val="24"/>
        </w:rPr>
        <w:t xml:space="preserve">z powyższymi ustaleniami WIOŚ w Katowicach zostały ponownie powierzone określone czynności w ww. śledztwach, mające przede wszystkim na celu ustalenie członków tych zorganizowanych grupy przestępczych </w:t>
      </w:r>
      <w:r>
        <w:rPr>
          <w:rFonts w:ascii="Times New Roman" w:hAnsi="Times New Roman" w:cs="Times New Roman"/>
          <w:sz w:val="24"/>
          <w:szCs w:val="24"/>
        </w:rPr>
        <w:t xml:space="preserve">oraz </w:t>
      </w:r>
      <w:r w:rsidR="00C104A3" w:rsidRPr="00C104A3">
        <w:rPr>
          <w:rFonts w:ascii="Times New Roman" w:hAnsi="Times New Roman" w:cs="Times New Roman"/>
          <w:sz w:val="24"/>
          <w:szCs w:val="24"/>
        </w:rPr>
        <w:t>faktycznych rodzajów i ilości odpadów, którymi obracają</w:t>
      </w:r>
      <w:r>
        <w:rPr>
          <w:rFonts w:ascii="Times New Roman" w:hAnsi="Times New Roman" w:cs="Times New Roman"/>
          <w:sz w:val="24"/>
          <w:szCs w:val="24"/>
        </w:rPr>
        <w:t>, jak również</w:t>
      </w:r>
      <w:r w:rsidR="00C104A3" w:rsidRPr="00C104A3">
        <w:rPr>
          <w:rFonts w:ascii="Times New Roman" w:hAnsi="Times New Roman" w:cs="Times New Roman"/>
          <w:sz w:val="24"/>
          <w:szCs w:val="24"/>
        </w:rPr>
        <w:t xml:space="preserve"> miejsc składowania odpadów (tj. art. 258 §1 kk, 183§1 kk i 271§1 i 3 kk). </w:t>
      </w:r>
    </w:p>
    <w:p w14:paraId="54CAD9CE" w14:textId="2E64A223" w:rsidR="00C104A3" w:rsidRPr="00C104A3" w:rsidRDefault="00C104A3" w:rsidP="00A868EC">
      <w:pPr>
        <w:spacing w:after="0" w:line="300" w:lineRule="atLeast"/>
        <w:jc w:val="both"/>
        <w:rPr>
          <w:rFonts w:ascii="Times New Roman" w:hAnsi="Times New Roman" w:cs="Times New Roman"/>
          <w:sz w:val="24"/>
          <w:szCs w:val="24"/>
        </w:rPr>
      </w:pPr>
      <w:r w:rsidRPr="00C104A3">
        <w:rPr>
          <w:rFonts w:ascii="Times New Roman" w:hAnsi="Times New Roman" w:cs="Times New Roman"/>
          <w:sz w:val="24"/>
          <w:szCs w:val="24"/>
        </w:rPr>
        <w:t xml:space="preserve">Nielegalna działalność w branży „trudno chodliwych”, niebezpiecznych odpadów przemysłowych nadal stanowi dominującą część w przestępczym procederze, a problem nieuczciwych odbiorców zarejestrowanych często </w:t>
      </w:r>
      <w:r w:rsidR="00C76EF6">
        <w:rPr>
          <w:rFonts w:ascii="Times New Roman" w:hAnsi="Times New Roman" w:cs="Times New Roman"/>
          <w:sz w:val="24"/>
          <w:szCs w:val="24"/>
        </w:rPr>
        <w:t xml:space="preserve">w </w:t>
      </w:r>
      <w:r w:rsidRPr="00C104A3">
        <w:rPr>
          <w:rFonts w:ascii="Times New Roman" w:hAnsi="Times New Roman" w:cs="Times New Roman"/>
          <w:sz w:val="24"/>
          <w:szCs w:val="24"/>
        </w:rPr>
        <w:t xml:space="preserve">strefach przemysłowych lub </w:t>
      </w:r>
      <w:r w:rsidR="00A868EC">
        <w:rPr>
          <w:rFonts w:ascii="Times New Roman" w:hAnsi="Times New Roman" w:cs="Times New Roman"/>
          <w:sz w:val="24"/>
          <w:szCs w:val="24"/>
        </w:rPr>
        <w:t xml:space="preserve">na </w:t>
      </w:r>
      <w:r w:rsidRPr="00C104A3">
        <w:rPr>
          <w:rFonts w:ascii="Times New Roman" w:hAnsi="Times New Roman" w:cs="Times New Roman"/>
          <w:sz w:val="24"/>
          <w:szCs w:val="24"/>
        </w:rPr>
        <w:t>terenach mocno zurbanizowanych województw, w tym woj. śląskiego</w:t>
      </w:r>
      <w:r w:rsidR="00A868EC">
        <w:rPr>
          <w:rFonts w:ascii="Times New Roman" w:hAnsi="Times New Roman" w:cs="Times New Roman"/>
          <w:sz w:val="24"/>
          <w:szCs w:val="24"/>
        </w:rPr>
        <w:t>,</w:t>
      </w:r>
      <w:r w:rsidRPr="00C104A3">
        <w:rPr>
          <w:rFonts w:ascii="Times New Roman" w:hAnsi="Times New Roman" w:cs="Times New Roman"/>
          <w:sz w:val="24"/>
          <w:szCs w:val="24"/>
        </w:rPr>
        <w:t xml:space="preserve"> jest szczególnie widoczn</w:t>
      </w:r>
      <w:r w:rsidR="00A868EC">
        <w:rPr>
          <w:rFonts w:ascii="Times New Roman" w:hAnsi="Times New Roman" w:cs="Times New Roman"/>
          <w:sz w:val="24"/>
          <w:szCs w:val="24"/>
        </w:rPr>
        <w:t>y</w:t>
      </w:r>
      <w:r w:rsidRPr="00C104A3">
        <w:rPr>
          <w:rFonts w:ascii="Times New Roman" w:hAnsi="Times New Roman" w:cs="Times New Roman"/>
          <w:sz w:val="24"/>
          <w:szCs w:val="24"/>
        </w:rPr>
        <w:t xml:space="preserve">. </w:t>
      </w:r>
    </w:p>
    <w:p w14:paraId="05129CE4" w14:textId="76DC8A49" w:rsidR="00C104A3" w:rsidRPr="00C104A3" w:rsidRDefault="00C104A3" w:rsidP="00480AD6">
      <w:pPr>
        <w:pStyle w:val="Akapitzlist"/>
        <w:spacing w:line="300" w:lineRule="atLeast"/>
        <w:ind w:left="0" w:firstLine="567"/>
        <w:jc w:val="both"/>
        <w:rPr>
          <w:sz w:val="24"/>
          <w:szCs w:val="24"/>
        </w:rPr>
      </w:pPr>
      <w:r w:rsidRPr="00C104A3">
        <w:rPr>
          <w:sz w:val="24"/>
          <w:szCs w:val="24"/>
        </w:rPr>
        <w:t xml:space="preserve">Pomimo zacieśnienia współpracy pomiędzy Inspekcją Ochrony Środowiska a organami ścigania </w:t>
      </w:r>
      <w:r w:rsidR="00A868EC">
        <w:rPr>
          <w:sz w:val="24"/>
          <w:szCs w:val="24"/>
          <w:lang w:val="pl-PL"/>
        </w:rPr>
        <w:t xml:space="preserve">skutkującą większą </w:t>
      </w:r>
      <w:r w:rsidRPr="00C104A3">
        <w:rPr>
          <w:sz w:val="24"/>
          <w:szCs w:val="24"/>
        </w:rPr>
        <w:t>wykrywalnością sprawców poszczególnych przestępstw</w:t>
      </w:r>
      <w:r w:rsidR="00A868EC">
        <w:rPr>
          <w:sz w:val="24"/>
          <w:szCs w:val="24"/>
          <w:lang w:val="pl-PL"/>
        </w:rPr>
        <w:t>,</w:t>
      </w:r>
      <w:r w:rsidRPr="00C104A3">
        <w:rPr>
          <w:sz w:val="24"/>
          <w:szCs w:val="24"/>
        </w:rPr>
        <w:t xml:space="preserve"> wid</w:t>
      </w:r>
      <w:r w:rsidR="00A868EC">
        <w:rPr>
          <w:sz w:val="24"/>
          <w:szCs w:val="24"/>
          <w:lang w:val="pl-PL"/>
        </w:rPr>
        <w:t>ać</w:t>
      </w:r>
      <w:r w:rsidRPr="00C104A3">
        <w:rPr>
          <w:sz w:val="24"/>
          <w:szCs w:val="24"/>
        </w:rPr>
        <w:t xml:space="preserve">, </w:t>
      </w:r>
      <w:r w:rsidR="00A868EC">
        <w:rPr>
          <w:sz w:val="24"/>
          <w:szCs w:val="24"/>
          <w:lang w:val="pl-PL"/>
        </w:rPr>
        <w:t xml:space="preserve">że </w:t>
      </w:r>
      <w:r w:rsidRPr="00C104A3">
        <w:rPr>
          <w:sz w:val="24"/>
          <w:szCs w:val="24"/>
        </w:rPr>
        <w:t xml:space="preserve">z uwagi </w:t>
      </w:r>
      <w:r w:rsidR="00A868EC">
        <w:rPr>
          <w:sz w:val="24"/>
          <w:szCs w:val="24"/>
          <w:lang w:val="pl-PL"/>
        </w:rPr>
        <w:t xml:space="preserve">na </w:t>
      </w:r>
      <w:r w:rsidRPr="00C104A3">
        <w:rPr>
          <w:sz w:val="24"/>
          <w:szCs w:val="24"/>
        </w:rPr>
        <w:t xml:space="preserve">szybkość i wysokość zarobków </w:t>
      </w:r>
      <w:r w:rsidR="00A868EC">
        <w:rPr>
          <w:sz w:val="24"/>
          <w:szCs w:val="24"/>
          <w:lang w:val="pl-PL"/>
        </w:rPr>
        <w:t xml:space="preserve">osób zajmujących się tym procederem, </w:t>
      </w:r>
      <w:r w:rsidRPr="00C104A3">
        <w:rPr>
          <w:sz w:val="24"/>
          <w:szCs w:val="24"/>
        </w:rPr>
        <w:t>trend ten będzie nadal dominować w strefie przestępstw środowiskowych.</w:t>
      </w:r>
    </w:p>
    <w:p w14:paraId="36197D44" w14:textId="77777777" w:rsidR="00C104A3" w:rsidRPr="00C104A3" w:rsidRDefault="00C104A3" w:rsidP="00C104A3">
      <w:pPr>
        <w:spacing w:line="300" w:lineRule="atLeast"/>
        <w:contextualSpacing/>
        <w:jc w:val="both"/>
        <w:rPr>
          <w:rFonts w:ascii="Times New Roman" w:hAnsi="Times New Roman" w:cs="Times New Roman"/>
          <w:i/>
          <w:color w:val="4472C4"/>
          <w:sz w:val="24"/>
          <w:szCs w:val="24"/>
        </w:rPr>
      </w:pPr>
    </w:p>
    <w:p w14:paraId="0AE77A84" w14:textId="77777777" w:rsidR="00C104A3" w:rsidRPr="00C104A3" w:rsidRDefault="00C104A3" w:rsidP="00A868EC">
      <w:pPr>
        <w:spacing w:after="60" w:line="300" w:lineRule="atLeast"/>
        <w:jc w:val="both"/>
        <w:rPr>
          <w:rFonts w:ascii="Times New Roman" w:hAnsi="Times New Roman" w:cs="Times New Roman"/>
          <w:i/>
          <w:color w:val="4472C4"/>
          <w:sz w:val="24"/>
          <w:szCs w:val="24"/>
        </w:rPr>
      </w:pPr>
      <w:r w:rsidRPr="00C104A3">
        <w:rPr>
          <w:rFonts w:ascii="Times New Roman" w:hAnsi="Times New Roman" w:cs="Times New Roman"/>
          <w:i/>
          <w:color w:val="4472C4"/>
          <w:sz w:val="24"/>
          <w:szCs w:val="24"/>
        </w:rPr>
        <w:t>Wojewódzki Inspektorat Ochrony Środowiska w Kielcach</w:t>
      </w:r>
    </w:p>
    <w:p w14:paraId="6D53C123" w14:textId="395E533E" w:rsidR="00C104A3" w:rsidRPr="00C104A3" w:rsidRDefault="00C104A3" w:rsidP="000B4968">
      <w:pPr>
        <w:pStyle w:val="Akapitzlist"/>
        <w:spacing w:line="300" w:lineRule="atLeast"/>
        <w:ind w:left="0" w:firstLine="567"/>
        <w:contextualSpacing w:val="0"/>
        <w:jc w:val="both"/>
        <w:rPr>
          <w:sz w:val="24"/>
          <w:szCs w:val="24"/>
        </w:rPr>
      </w:pPr>
      <w:r w:rsidRPr="00C104A3">
        <w:rPr>
          <w:sz w:val="24"/>
          <w:szCs w:val="24"/>
        </w:rPr>
        <w:t xml:space="preserve">Na stałym poziomie obserwuje się gospodarowanie odpadami niezgodne ze stanem rzeczywistym </w:t>
      </w:r>
      <w:r w:rsidR="00F30F6B">
        <w:rPr>
          <w:sz w:val="24"/>
          <w:szCs w:val="24"/>
          <w:lang w:val="pl-PL"/>
        </w:rPr>
        <w:t xml:space="preserve">i </w:t>
      </w:r>
      <w:r w:rsidRPr="00C104A3">
        <w:rPr>
          <w:sz w:val="24"/>
          <w:szCs w:val="24"/>
        </w:rPr>
        <w:t>porzucani</w:t>
      </w:r>
      <w:r w:rsidR="00F30F6B">
        <w:rPr>
          <w:sz w:val="24"/>
          <w:szCs w:val="24"/>
          <w:lang w:val="pl-PL"/>
        </w:rPr>
        <w:t>e</w:t>
      </w:r>
      <w:r w:rsidRPr="00C104A3">
        <w:rPr>
          <w:sz w:val="24"/>
          <w:szCs w:val="24"/>
        </w:rPr>
        <w:t xml:space="preserve"> odpadów (głównie pochodzenia chemicznego) Odpady nie są </w:t>
      </w:r>
      <w:r w:rsidRPr="00C104A3">
        <w:rPr>
          <w:sz w:val="24"/>
          <w:szCs w:val="24"/>
        </w:rPr>
        <w:lastRenderedPageBreak/>
        <w:t>dostarczane do miejsc i posiadaczy odpadów wskazanych w kartach przekazania odpadów lub następuje jedynie fikcyjny obrót odpadami. Takie działanie stanowi istotny problem, gdyż może prowadzić do porzuceń odpadów i stwarzania realnego zagrożenia dla ludzi i środowiska. Natomiast porzucenie odpadów generuje bardzo wysokie koszty zagospodarowania dla właścicieli nieruchomości lub samorządów przeprowadzających usuwanie porzuconych odpadów w ramach wykonania zastępczego. Na terenie województwa świętokrzyskiego odpady chemiczne zostały porzucone w kilku lokalizacjach i w niektórych zalegają już kilka lat.</w:t>
      </w:r>
    </w:p>
    <w:p w14:paraId="41255BD8" w14:textId="5FFF9F38" w:rsidR="00C104A3" w:rsidRPr="00C104A3" w:rsidRDefault="00F30F6B" w:rsidP="00480AD6">
      <w:pPr>
        <w:pStyle w:val="Akapitzlist"/>
        <w:spacing w:line="300" w:lineRule="atLeast"/>
        <w:ind w:left="0" w:firstLine="567"/>
        <w:contextualSpacing w:val="0"/>
        <w:jc w:val="both"/>
        <w:rPr>
          <w:sz w:val="24"/>
          <w:szCs w:val="24"/>
        </w:rPr>
      </w:pPr>
      <w:r>
        <w:rPr>
          <w:sz w:val="24"/>
          <w:szCs w:val="24"/>
          <w:lang w:val="pl-PL"/>
        </w:rPr>
        <w:t>W 2022 r. o</w:t>
      </w:r>
      <w:proofErr w:type="spellStart"/>
      <w:r w:rsidR="00C104A3" w:rsidRPr="00C104A3">
        <w:rPr>
          <w:sz w:val="24"/>
          <w:szCs w:val="24"/>
        </w:rPr>
        <w:t>dnotowano</w:t>
      </w:r>
      <w:proofErr w:type="spellEnd"/>
      <w:r w:rsidR="00C104A3" w:rsidRPr="00C104A3">
        <w:rPr>
          <w:sz w:val="24"/>
          <w:szCs w:val="24"/>
        </w:rPr>
        <w:t xml:space="preserve"> </w:t>
      </w:r>
      <w:r>
        <w:rPr>
          <w:sz w:val="24"/>
          <w:szCs w:val="24"/>
          <w:lang w:val="pl-PL"/>
        </w:rPr>
        <w:t xml:space="preserve">nadal dużą liczbę </w:t>
      </w:r>
      <w:r w:rsidR="00C104A3" w:rsidRPr="00C104A3">
        <w:rPr>
          <w:sz w:val="24"/>
          <w:szCs w:val="24"/>
        </w:rPr>
        <w:t xml:space="preserve">wniosków o przeprowadzenie kontroli </w:t>
      </w:r>
      <w:r>
        <w:rPr>
          <w:sz w:val="24"/>
          <w:szCs w:val="24"/>
        </w:rPr>
        <w:br/>
      </w:r>
      <w:r>
        <w:rPr>
          <w:sz w:val="24"/>
          <w:szCs w:val="24"/>
          <w:lang w:val="pl-PL"/>
        </w:rPr>
        <w:t xml:space="preserve">w związku z </w:t>
      </w:r>
      <w:r w:rsidR="00C104A3" w:rsidRPr="00C104A3">
        <w:rPr>
          <w:sz w:val="24"/>
          <w:szCs w:val="24"/>
        </w:rPr>
        <w:t>podejrzeni</w:t>
      </w:r>
      <w:r>
        <w:rPr>
          <w:sz w:val="24"/>
          <w:szCs w:val="24"/>
          <w:lang w:val="pl-PL"/>
        </w:rPr>
        <w:t>em</w:t>
      </w:r>
      <w:r w:rsidR="00C104A3" w:rsidRPr="00C104A3">
        <w:rPr>
          <w:sz w:val="24"/>
          <w:szCs w:val="24"/>
        </w:rPr>
        <w:t xml:space="preserve"> nielegalnego demontażu pojazdów. W niektórych przypadkach pojazdy przeznaczone do demontażu sprowadzane są z zagranicy w ramach</w:t>
      </w:r>
      <w:r>
        <w:rPr>
          <w:sz w:val="24"/>
          <w:szCs w:val="24"/>
          <w:lang w:val="pl-PL"/>
        </w:rPr>
        <w:t xml:space="preserve"> </w:t>
      </w:r>
      <w:r w:rsidR="00C104A3" w:rsidRPr="00C104A3">
        <w:rPr>
          <w:sz w:val="24"/>
          <w:szCs w:val="24"/>
        </w:rPr>
        <w:t xml:space="preserve">międzynarodowego przemieszczania odpadów, co może stanowić przestępstwo określone </w:t>
      </w:r>
      <w:r>
        <w:rPr>
          <w:sz w:val="24"/>
          <w:szCs w:val="24"/>
        </w:rPr>
        <w:br/>
      </w:r>
      <w:r w:rsidR="00C104A3" w:rsidRPr="00C104A3">
        <w:rPr>
          <w:sz w:val="24"/>
          <w:szCs w:val="24"/>
        </w:rPr>
        <w:t>w art. 183 § 4 i 5 Kodeksu karnego.</w:t>
      </w:r>
    </w:p>
    <w:p w14:paraId="51413852" w14:textId="77777777" w:rsidR="00C104A3" w:rsidRPr="00C104A3" w:rsidRDefault="00C104A3" w:rsidP="00C104A3">
      <w:pPr>
        <w:spacing w:line="300" w:lineRule="atLeast"/>
        <w:contextualSpacing/>
        <w:jc w:val="both"/>
        <w:rPr>
          <w:rFonts w:ascii="Times New Roman" w:hAnsi="Times New Roman" w:cs="Times New Roman"/>
          <w:i/>
          <w:color w:val="4472C4"/>
          <w:sz w:val="24"/>
          <w:szCs w:val="24"/>
        </w:rPr>
      </w:pPr>
    </w:p>
    <w:p w14:paraId="4E1A8D3C" w14:textId="77777777" w:rsidR="00C104A3" w:rsidRPr="00C104A3" w:rsidRDefault="00C104A3" w:rsidP="00F30F6B">
      <w:pPr>
        <w:spacing w:after="60" w:line="300" w:lineRule="atLeast"/>
        <w:jc w:val="both"/>
        <w:rPr>
          <w:rFonts w:ascii="Times New Roman" w:hAnsi="Times New Roman" w:cs="Times New Roman"/>
          <w:i/>
          <w:color w:val="4472C4"/>
          <w:sz w:val="24"/>
          <w:szCs w:val="24"/>
        </w:rPr>
      </w:pPr>
      <w:r w:rsidRPr="00C104A3">
        <w:rPr>
          <w:rFonts w:ascii="Times New Roman" w:hAnsi="Times New Roman" w:cs="Times New Roman"/>
          <w:i/>
          <w:color w:val="4472C4"/>
          <w:sz w:val="24"/>
          <w:szCs w:val="24"/>
        </w:rPr>
        <w:t>Wojewódzki Inspektorat Ochrony Środowiska w Krakowie</w:t>
      </w:r>
    </w:p>
    <w:p w14:paraId="7CEBAFCB" w14:textId="77777777" w:rsidR="00F30F6B" w:rsidRDefault="00F30F6B" w:rsidP="00F30F6B">
      <w:pPr>
        <w:spacing w:after="0" w:line="300" w:lineRule="atLeast"/>
        <w:ind w:firstLine="567"/>
        <w:jc w:val="both"/>
        <w:rPr>
          <w:rFonts w:ascii="Times New Roman" w:hAnsi="Times New Roman" w:cs="Times New Roman"/>
          <w:sz w:val="24"/>
          <w:szCs w:val="24"/>
        </w:rPr>
      </w:pPr>
      <w:r>
        <w:rPr>
          <w:rFonts w:ascii="Times New Roman" w:hAnsi="Times New Roman" w:cs="Times New Roman"/>
          <w:sz w:val="24"/>
          <w:szCs w:val="24"/>
        </w:rPr>
        <w:t xml:space="preserve">Na skutek reformy </w:t>
      </w:r>
      <w:r w:rsidR="00C104A3" w:rsidRPr="00C104A3">
        <w:rPr>
          <w:rFonts w:ascii="Times New Roman" w:hAnsi="Times New Roman" w:cs="Times New Roman"/>
          <w:sz w:val="24"/>
          <w:szCs w:val="24"/>
        </w:rPr>
        <w:t>Inspekcji Ochrony Środowiska oraz działa</w:t>
      </w:r>
      <w:r>
        <w:rPr>
          <w:rFonts w:ascii="Times New Roman" w:hAnsi="Times New Roman" w:cs="Times New Roman"/>
          <w:sz w:val="24"/>
          <w:szCs w:val="24"/>
        </w:rPr>
        <w:t>ń</w:t>
      </w:r>
      <w:r w:rsidR="00C104A3" w:rsidRPr="00C104A3">
        <w:rPr>
          <w:rFonts w:ascii="Times New Roman" w:hAnsi="Times New Roman" w:cs="Times New Roman"/>
          <w:sz w:val="24"/>
          <w:szCs w:val="24"/>
        </w:rPr>
        <w:t xml:space="preserve"> informując</w:t>
      </w:r>
      <w:r>
        <w:rPr>
          <w:rFonts w:ascii="Times New Roman" w:hAnsi="Times New Roman" w:cs="Times New Roman"/>
          <w:sz w:val="24"/>
          <w:szCs w:val="24"/>
        </w:rPr>
        <w:t>ych</w:t>
      </w:r>
      <w:r w:rsidR="00C104A3" w:rsidRPr="00C104A3">
        <w:rPr>
          <w:rFonts w:ascii="Times New Roman" w:hAnsi="Times New Roman" w:cs="Times New Roman"/>
          <w:sz w:val="24"/>
          <w:szCs w:val="24"/>
        </w:rPr>
        <w:t xml:space="preserve"> społeczeństwo o działa</w:t>
      </w:r>
      <w:r>
        <w:rPr>
          <w:rFonts w:ascii="Times New Roman" w:hAnsi="Times New Roman" w:cs="Times New Roman"/>
          <w:sz w:val="24"/>
          <w:szCs w:val="24"/>
        </w:rPr>
        <w:t>lności Inspekcji</w:t>
      </w:r>
      <w:r w:rsidR="00C104A3" w:rsidRPr="00C104A3">
        <w:rPr>
          <w:rFonts w:ascii="Times New Roman" w:hAnsi="Times New Roman" w:cs="Times New Roman"/>
          <w:sz w:val="24"/>
          <w:szCs w:val="24"/>
        </w:rPr>
        <w:t xml:space="preserve"> </w:t>
      </w:r>
      <w:r>
        <w:rPr>
          <w:rFonts w:ascii="Times New Roman" w:hAnsi="Times New Roman" w:cs="Times New Roman"/>
          <w:sz w:val="24"/>
          <w:szCs w:val="24"/>
        </w:rPr>
        <w:t xml:space="preserve">nastąpił </w:t>
      </w:r>
      <w:r w:rsidR="00C104A3" w:rsidRPr="00C104A3">
        <w:rPr>
          <w:rFonts w:ascii="Times New Roman" w:hAnsi="Times New Roman" w:cs="Times New Roman"/>
          <w:sz w:val="24"/>
          <w:szCs w:val="24"/>
        </w:rPr>
        <w:t xml:space="preserve">wzrost zgłaszanych i stwierdzanych przypadków przestępczości środowiskowej. W 2022 roku nadal obserwowana </w:t>
      </w:r>
      <w:r>
        <w:rPr>
          <w:rFonts w:ascii="Times New Roman" w:hAnsi="Times New Roman" w:cs="Times New Roman"/>
          <w:sz w:val="24"/>
          <w:szCs w:val="24"/>
        </w:rPr>
        <w:t xml:space="preserve">była </w:t>
      </w:r>
      <w:r w:rsidR="00C104A3" w:rsidRPr="00C104A3">
        <w:rPr>
          <w:rFonts w:ascii="Times New Roman" w:hAnsi="Times New Roman" w:cs="Times New Roman"/>
          <w:sz w:val="24"/>
          <w:szCs w:val="24"/>
        </w:rPr>
        <w:t xml:space="preserve">tendencja wzrostowa działań związanych z przestępczością przeciwko środowisku. </w:t>
      </w:r>
    </w:p>
    <w:p w14:paraId="6BA922C4" w14:textId="3C2CC337" w:rsidR="00C104A3" w:rsidRDefault="00C104A3" w:rsidP="00F30F6B">
      <w:pPr>
        <w:spacing w:after="0" w:line="300" w:lineRule="atLeast"/>
        <w:ind w:firstLine="567"/>
        <w:jc w:val="both"/>
        <w:rPr>
          <w:rFonts w:ascii="Times New Roman" w:hAnsi="Times New Roman" w:cs="Times New Roman"/>
          <w:sz w:val="24"/>
          <w:szCs w:val="24"/>
        </w:rPr>
      </w:pPr>
      <w:r w:rsidRPr="00C104A3">
        <w:rPr>
          <w:rFonts w:ascii="Times New Roman" w:hAnsi="Times New Roman" w:cs="Times New Roman"/>
          <w:sz w:val="24"/>
          <w:szCs w:val="24"/>
        </w:rPr>
        <w:t>Najczęściej występującymi przypadkami są zgłoszenia nielegalnego demontażu pojazdów wycofanych z eksploatacji – przestępczość w tym zakresie od lat jest przedmiotem nasilonych działań Inspekcji i innych służb</w:t>
      </w:r>
      <w:r w:rsidR="008365FA">
        <w:rPr>
          <w:rFonts w:ascii="Times New Roman" w:hAnsi="Times New Roman" w:cs="Times New Roman"/>
          <w:sz w:val="24"/>
          <w:szCs w:val="24"/>
        </w:rPr>
        <w:t xml:space="preserve">. </w:t>
      </w:r>
      <w:r w:rsidRPr="00C104A3">
        <w:rPr>
          <w:rFonts w:ascii="Times New Roman" w:hAnsi="Times New Roman" w:cs="Times New Roman"/>
          <w:sz w:val="24"/>
          <w:szCs w:val="24"/>
        </w:rPr>
        <w:t xml:space="preserve">Ostatnie lata stanowiły </w:t>
      </w:r>
      <w:r w:rsidR="008365FA">
        <w:rPr>
          <w:rFonts w:ascii="Times New Roman" w:hAnsi="Times New Roman" w:cs="Times New Roman"/>
          <w:sz w:val="24"/>
          <w:szCs w:val="24"/>
        </w:rPr>
        <w:t xml:space="preserve">okres </w:t>
      </w:r>
      <w:r w:rsidRPr="00C104A3">
        <w:rPr>
          <w:rFonts w:ascii="Times New Roman" w:hAnsi="Times New Roman" w:cs="Times New Roman"/>
          <w:sz w:val="24"/>
          <w:szCs w:val="24"/>
        </w:rPr>
        <w:t>szczególn</w:t>
      </w:r>
      <w:r w:rsidR="008365FA">
        <w:rPr>
          <w:rFonts w:ascii="Times New Roman" w:hAnsi="Times New Roman" w:cs="Times New Roman"/>
          <w:sz w:val="24"/>
          <w:szCs w:val="24"/>
        </w:rPr>
        <w:t xml:space="preserve">ie intensywnych </w:t>
      </w:r>
      <w:r w:rsidRPr="00C104A3">
        <w:rPr>
          <w:rFonts w:ascii="Times New Roman" w:hAnsi="Times New Roman" w:cs="Times New Roman"/>
          <w:sz w:val="24"/>
          <w:szCs w:val="24"/>
        </w:rPr>
        <w:t>działań w zakresie zwalczania przypadków fikcyjnego obrotu odpadami</w:t>
      </w:r>
      <w:r w:rsidR="008365FA">
        <w:rPr>
          <w:rFonts w:ascii="Times New Roman" w:hAnsi="Times New Roman" w:cs="Times New Roman"/>
          <w:sz w:val="24"/>
          <w:szCs w:val="24"/>
        </w:rPr>
        <w:t>,</w:t>
      </w:r>
      <w:r w:rsidRPr="00C104A3">
        <w:rPr>
          <w:rFonts w:ascii="Times New Roman" w:hAnsi="Times New Roman" w:cs="Times New Roman"/>
          <w:sz w:val="24"/>
          <w:szCs w:val="24"/>
        </w:rPr>
        <w:t xml:space="preserve"> który stanowi problem ogólnopolski. Na terenie województwa małopolskiego prowadzone były  </w:t>
      </w:r>
      <w:r w:rsidR="008365FA">
        <w:rPr>
          <w:rFonts w:ascii="Times New Roman" w:hAnsi="Times New Roman" w:cs="Times New Roman"/>
          <w:sz w:val="24"/>
          <w:szCs w:val="24"/>
        </w:rPr>
        <w:t xml:space="preserve">zarówno </w:t>
      </w:r>
      <w:r w:rsidRPr="00C104A3">
        <w:rPr>
          <w:rFonts w:ascii="Times New Roman" w:hAnsi="Times New Roman" w:cs="Times New Roman"/>
          <w:sz w:val="24"/>
          <w:szCs w:val="24"/>
        </w:rPr>
        <w:t>działania związane z przypadkami ujawnionymi w trakcie własn</w:t>
      </w:r>
      <w:r w:rsidR="008365FA">
        <w:rPr>
          <w:rFonts w:ascii="Times New Roman" w:hAnsi="Times New Roman" w:cs="Times New Roman"/>
          <w:sz w:val="24"/>
          <w:szCs w:val="24"/>
        </w:rPr>
        <w:t>ej</w:t>
      </w:r>
      <w:r w:rsidRPr="00C104A3">
        <w:rPr>
          <w:rFonts w:ascii="Times New Roman" w:hAnsi="Times New Roman" w:cs="Times New Roman"/>
          <w:sz w:val="24"/>
          <w:szCs w:val="24"/>
        </w:rPr>
        <w:t xml:space="preserve"> dział</w:t>
      </w:r>
      <w:r w:rsidR="008365FA">
        <w:rPr>
          <w:rFonts w:ascii="Times New Roman" w:hAnsi="Times New Roman" w:cs="Times New Roman"/>
          <w:sz w:val="24"/>
          <w:szCs w:val="24"/>
        </w:rPr>
        <w:t>alności</w:t>
      </w:r>
      <w:r w:rsidRPr="00C104A3">
        <w:rPr>
          <w:rFonts w:ascii="Times New Roman" w:hAnsi="Times New Roman" w:cs="Times New Roman"/>
          <w:sz w:val="24"/>
          <w:szCs w:val="24"/>
        </w:rPr>
        <w:t xml:space="preserve">, </w:t>
      </w:r>
      <w:r w:rsidR="008365FA">
        <w:rPr>
          <w:rFonts w:ascii="Times New Roman" w:hAnsi="Times New Roman" w:cs="Times New Roman"/>
          <w:sz w:val="24"/>
          <w:szCs w:val="24"/>
        </w:rPr>
        <w:br/>
      </w:r>
      <w:r w:rsidRPr="00C104A3">
        <w:rPr>
          <w:rFonts w:ascii="Times New Roman" w:hAnsi="Times New Roman" w:cs="Times New Roman"/>
          <w:sz w:val="24"/>
          <w:szCs w:val="24"/>
        </w:rPr>
        <w:t xml:space="preserve">jak </w:t>
      </w:r>
      <w:r w:rsidR="008365FA">
        <w:rPr>
          <w:rFonts w:ascii="Times New Roman" w:hAnsi="Times New Roman" w:cs="Times New Roman"/>
          <w:sz w:val="24"/>
          <w:szCs w:val="24"/>
        </w:rPr>
        <w:t xml:space="preserve">i </w:t>
      </w:r>
      <w:r w:rsidRPr="00C104A3">
        <w:rPr>
          <w:rFonts w:ascii="Times New Roman" w:hAnsi="Times New Roman" w:cs="Times New Roman"/>
          <w:sz w:val="24"/>
          <w:szCs w:val="24"/>
        </w:rPr>
        <w:t>w związku ze zgłoszeniami innych WIOŚ oraz innych organów.</w:t>
      </w:r>
      <w:r w:rsidR="008365FA">
        <w:rPr>
          <w:rFonts w:ascii="Times New Roman" w:hAnsi="Times New Roman" w:cs="Times New Roman"/>
          <w:sz w:val="24"/>
          <w:szCs w:val="24"/>
        </w:rPr>
        <w:t xml:space="preserve"> Należy stwierdzić</w:t>
      </w:r>
      <w:r w:rsidRPr="00C104A3">
        <w:rPr>
          <w:rFonts w:ascii="Times New Roman" w:hAnsi="Times New Roman" w:cs="Times New Roman"/>
          <w:sz w:val="24"/>
          <w:szCs w:val="24"/>
        </w:rPr>
        <w:t xml:space="preserve">, że odpady najczęściej </w:t>
      </w:r>
      <w:r w:rsidR="008365FA">
        <w:rPr>
          <w:rFonts w:ascii="Times New Roman" w:hAnsi="Times New Roman" w:cs="Times New Roman"/>
          <w:sz w:val="24"/>
          <w:szCs w:val="24"/>
        </w:rPr>
        <w:t xml:space="preserve">są </w:t>
      </w:r>
      <w:r w:rsidRPr="00C104A3">
        <w:rPr>
          <w:rFonts w:ascii="Times New Roman" w:hAnsi="Times New Roman" w:cs="Times New Roman"/>
          <w:sz w:val="24"/>
          <w:szCs w:val="24"/>
        </w:rPr>
        <w:t xml:space="preserve">w rzeczywistości zakopywane na terenach wyrobisk, miejsc rekultywacji lub </w:t>
      </w:r>
      <w:proofErr w:type="spellStart"/>
      <w:r w:rsidRPr="00C104A3">
        <w:rPr>
          <w:rFonts w:ascii="Times New Roman" w:hAnsi="Times New Roman" w:cs="Times New Roman"/>
          <w:sz w:val="24"/>
          <w:szCs w:val="24"/>
        </w:rPr>
        <w:t>remediacji</w:t>
      </w:r>
      <w:proofErr w:type="spellEnd"/>
      <w:r w:rsidRPr="00C104A3">
        <w:rPr>
          <w:rFonts w:ascii="Times New Roman" w:hAnsi="Times New Roman" w:cs="Times New Roman"/>
          <w:sz w:val="24"/>
          <w:szCs w:val="24"/>
        </w:rPr>
        <w:t xml:space="preserve"> i innych miejscach, w których łatwo jest ukryć znaczną ilość odpadów. Istotnym problemem w związku ze specyfiką terenową województwa małopolskiego jest proceder deponowania odpadów w miejscu nielegalnie pozyskanego żwiru – w sposób minimalizujący możliwości ujawnienia takiego postępowania po </w:t>
      </w:r>
      <w:r w:rsidR="008365FA">
        <w:rPr>
          <w:rFonts w:ascii="Times New Roman" w:hAnsi="Times New Roman" w:cs="Times New Roman"/>
          <w:sz w:val="24"/>
          <w:szCs w:val="24"/>
        </w:rPr>
        <w:t xml:space="preserve">jego </w:t>
      </w:r>
      <w:r w:rsidRPr="00C104A3">
        <w:rPr>
          <w:rFonts w:ascii="Times New Roman" w:hAnsi="Times New Roman" w:cs="Times New Roman"/>
          <w:sz w:val="24"/>
          <w:szCs w:val="24"/>
        </w:rPr>
        <w:t>zakończeniu</w:t>
      </w:r>
      <w:r w:rsidR="008365FA">
        <w:rPr>
          <w:rFonts w:ascii="Times New Roman" w:hAnsi="Times New Roman" w:cs="Times New Roman"/>
          <w:sz w:val="24"/>
          <w:szCs w:val="24"/>
        </w:rPr>
        <w:t>. N</w:t>
      </w:r>
      <w:r w:rsidRPr="00C104A3">
        <w:rPr>
          <w:rFonts w:ascii="Times New Roman" w:hAnsi="Times New Roman" w:cs="Times New Roman"/>
          <w:sz w:val="24"/>
          <w:szCs w:val="24"/>
        </w:rPr>
        <w:t>a powierzchni czynione są pozory normalnego ukształtowania terenu, natomiast pod ziemią zamiast naturalnie występującego żwiru znajdują się odpady</w:t>
      </w:r>
      <w:r w:rsidR="00F30F6B">
        <w:rPr>
          <w:rFonts w:ascii="Times New Roman" w:hAnsi="Times New Roman" w:cs="Times New Roman"/>
          <w:sz w:val="24"/>
          <w:szCs w:val="24"/>
        </w:rPr>
        <w:t xml:space="preserve">. </w:t>
      </w:r>
    </w:p>
    <w:p w14:paraId="29086FF3" w14:textId="77777777" w:rsidR="00F30F6B" w:rsidRPr="00C104A3" w:rsidRDefault="00F30F6B" w:rsidP="008365FA">
      <w:pPr>
        <w:spacing w:after="0" w:line="300" w:lineRule="atLeast"/>
        <w:jc w:val="both"/>
        <w:rPr>
          <w:rFonts w:ascii="Times New Roman" w:hAnsi="Times New Roman" w:cs="Times New Roman"/>
          <w:i/>
          <w:color w:val="4472C4"/>
          <w:sz w:val="24"/>
          <w:szCs w:val="24"/>
        </w:rPr>
      </w:pPr>
    </w:p>
    <w:p w14:paraId="52A7AF97" w14:textId="77777777" w:rsidR="00C104A3" w:rsidRPr="00C104A3" w:rsidRDefault="00C104A3" w:rsidP="008365FA">
      <w:pPr>
        <w:spacing w:after="60" w:line="300" w:lineRule="atLeast"/>
        <w:jc w:val="both"/>
        <w:rPr>
          <w:rFonts w:ascii="Times New Roman" w:hAnsi="Times New Roman" w:cs="Times New Roman"/>
          <w:i/>
          <w:color w:val="4472C4"/>
          <w:sz w:val="24"/>
          <w:szCs w:val="24"/>
        </w:rPr>
      </w:pPr>
      <w:r w:rsidRPr="00C104A3">
        <w:rPr>
          <w:rFonts w:ascii="Times New Roman" w:hAnsi="Times New Roman" w:cs="Times New Roman"/>
          <w:i/>
          <w:color w:val="4472C4"/>
          <w:sz w:val="24"/>
          <w:szCs w:val="24"/>
        </w:rPr>
        <w:t>Wojewódzki Inspektorat Ochrony Środowiska w Lublinie</w:t>
      </w:r>
    </w:p>
    <w:p w14:paraId="06080D66" w14:textId="29BBFEBA" w:rsidR="00C104A3" w:rsidRPr="00C104A3" w:rsidRDefault="00C104A3" w:rsidP="008365FA">
      <w:pPr>
        <w:pStyle w:val="Akapitzlist"/>
        <w:spacing w:line="300" w:lineRule="atLeast"/>
        <w:ind w:left="0" w:firstLine="567"/>
        <w:jc w:val="both"/>
        <w:rPr>
          <w:sz w:val="24"/>
          <w:szCs w:val="24"/>
        </w:rPr>
      </w:pPr>
      <w:r w:rsidRPr="00C104A3">
        <w:rPr>
          <w:sz w:val="24"/>
          <w:szCs w:val="24"/>
        </w:rPr>
        <w:t xml:space="preserve">W ostatnich latach coraz bardziej widoczny jest problem fikcyjnego obrotu odpadami oraz porzucania odpadów w miejscach do tego nieprzeznaczonych lub wykorzystywanie osób nieświadomych </w:t>
      </w:r>
      <w:r w:rsidR="008365FA">
        <w:rPr>
          <w:sz w:val="24"/>
          <w:szCs w:val="24"/>
          <w:lang w:val="pl-PL"/>
        </w:rPr>
        <w:t xml:space="preserve">poprzez </w:t>
      </w:r>
      <w:r w:rsidRPr="00C104A3">
        <w:rPr>
          <w:sz w:val="24"/>
          <w:szCs w:val="24"/>
        </w:rPr>
        <w:t>pozostawianie odpadów na ich działkach przez nieznanych sprawców.</w:t>
      </w:r>
    </w:p>
    <w:p w14:paraId="7CF81011" w14:textId="77777777" w:rsidR="00C104A3" w:rsidRPr="00C104A3" w:rsidRDefault="00C104A3" w:rsidP="00C104A3">
      <w:pPr>
        <w:spacing w:line="300" w:lineRule="atLeast"/>
        <w:contextualSpacing/>
        <w:jc w:val="both"/>
        <w:rPr>
          <w:rFonts w:ascii="Times New Roman" w:hAnsi="Times New Roman" w:cs="Times New Roman"/>
          <w:i/>
          <w:color w:val="4472C4"/>
          <w:sz w:val="24"/>
          <w:szCs w:val="24"/>
        </w:rPr>
      </w:pPr>
      <w:r w:rsidRPr="00C104A3">
        <w:rPr>
          <w:rFonts w:ascii="Times New Roman" w:hAnsi="Times New Roman" w:cs="Times New Roman"/>
          <w:i/>
          <w:color w:val="4472C4"/>
          <w:sz w:val="24"/>
          <w:szCs w:val="24"/>
        </w:rPr>
        <w:t xml:space="preserve"> </w:t>
      </w:r>
    </w:p>
    <w:p w14:paraId="538D4F57" w14:textId="77777777" w:rsidR="00C104A3" w:rsidRPr="00C104A3" w:rsidRDefault="00C104A3" w:rsidP="000A49EE">
      <w:pPr>
        <w:spacing w:after="60" w:line="300" w:lineRule="atLeast"/>
        <w:jc w:val="both"/>
        <w:rPr>
          <w:rFonts w:ascii="Times New Roman" w:hAnsi="Times New Roman" w:cs="Times New Roman"/>
          <w:i/>
          <w:color w:val="4472C4"/>
          <w:sz w:val="24"/>
          <w:szCs w:val="24"/>
        </w:rPr>
      </w:pPr>
      <w:r w:rsidRPr="00C104A3">
        <w:rPr>
          <w:rFonts w:ascii="Times New Roman" w:hAnsi="Times New Roman" w:cs="Times New Roman"/>
          <w:i/>
          <w:color w:val="4472C4"/>
          <w:sz w:val="24"/>
          <w:szCs w:val="24"/>
        </w:rPr>
        <w:t>Wojewódzki Inspektorat Ochrony Środowiska w Łodzi</w:t>
      </w:r>
    </w:p>
    <w:p w14:paraId="6F299D7C" w14:textId="77777777" w:rsidR="00C104A3" w:rsidRPr="00C104A3" w:rsidRDefault="00C104A3" w:rsidP="000B4968">
      <w:pPr>
        <w:pStyle w:val="Akapitzlist"/>
        <w:spacing w:line="300" w:lineRule="atLeast"/>
        <w:ind w:left="0" w:firstLine="567"/>
        <w:jc w:val="both"/>
        <w:rPr>
          <w:sz w:val="24"/>
          <w:szCs w:val="24"/>
        </w:rPr>
      </w:pPr>
      <w:r w:rsidRPr="00C104A3">
        <w:rPr>
          <w:sz w:val="24"/>
          <w:szCs w:val="24"/>
        </w:rPr>
        <w:t>Na terenie województwa łódzkiego zauważalną tendencją jest tzw. fikcyjny obrót odpadami, tj. dokumentowanie transportu i miejsca docelowego odpadów, niezgodnie ze stanem rzeczywistym, co w efekcie może skutkować gromadzeniem lub porzuceniem odpadów w miejscach na ten cel nieprzeznaczonych, np. w starych budynkach czy wyrobiskach.</w:t>
      </w:r>
    </w:p>
    <w:p w14:paraId="2A8B98EE" w14:textId="77777777" w:rsidR="00C104A3" w:rsidRPr="00C104A3" w:rsidRDefault="00C104A3" w:rsidP="00C104A3">
      <w:pPr>
        <w:spacing w:line="300" w:lineRule="atLeast"/>
        <w:contextualSpacing/>
        <w:jc w:val="both"/>
        <w:rPr>
          <w:rFonts w:ascii="Times New Roman" w:hAnsi="Times New Roman" w:cs="Times New Roman"/>
          <w:sz w:val="24"/>
          <w:szCs w:val="24"/>
        </w:rPr>
      </w:pPr>
    </w:p>
    <w:p w14:paraId="4876B81B" w14:textId="77777777" w:rsidR="00C104A3" w:rsidRPr="00C104A3" w:rsidRDefault="00C104A3" w:rsidP="000A49EE">
      <w:pPr>
        <w:spacing w:after="60" w:line="300" w:lineRule="atLeast"/>
        <w:jc w:val="both"/>
        <w:rPr>
          <w:rFonts w:ascii="Times New Roman" w:hAnsi="Times New Roman" w:cs="Times New Roman"/>
          <w:i/>
          <w:color w:val="4472C4"/>
          <w:sz w:val="24"/>
          <w:szCs w:val="24"/>
        </w:rPr>
      </w:pPr>
      <w:r w:rsidRPr="00C104A3">
        <w:rPr>
          <w:rFonts w:ascii="Times New Roman" w:hAnsi="Times New Roman" w:cs="Times New Roman"/>
          <w:i/>
          <w:color w:val="4472C4"/>
          <w:sz w:val="24"/>
          <w:szCs w:val="24"/>
        </w:rPr>
        <w:t>Wojewódzki Inspektorat Ochrony Środowiska w Olsztynie</w:t>
      </w:r>
    </w:p>
    <w:p w14:paraId="58883187" w14:textId="2999D224" w:rsidR="00C104A3" w:rsidRPr="00C104A3" w:rsidRDefault="00C104A3" w:rsidP="000B4968">
      <w:pPr>
        <w:spacing w:line="300" w:lineRule="atLeast"/>
        <w:ind w:firstLine="567"/>
        <w:jc w:val="both"/>
        <w:rPr>
          <w:rFonts w:ascii="Times New Roman" w:hAnsi="Times New Roman" w:cs="Times New Roman"/>
          <w:sz w:val="24"/>
          <w:szCs w:val="24"/>
        </w:rPr>
      </w:pPr>
      <w:r w:rsidRPr="000A49EE">
        <w:rPr>
          <w:rFonts w:ascii="Times New Roman" w:hAnsi="Times New Roman" w:cs="Times New Roman"/>
          <w:sz w:val="24"/>
          <w:szCs w:val="24"/>
        </w:rPr>
        <w:lastRenderedPageBreak/>
        <w:t xml:space="preserve">Obecnie </w:t>
      </w:r>
      <w:r w:rsidR="000A49EE" w:rsidRPr="000A49EE">
        <w:rPr>
          <w:rFonts w:ascii="Times New Roman" w:hAnsi="Times New Roman" w:cs="Times New Roman"/>
          <w:sz w:val="24"/>
          <w:szCs w:val="24"/>
        </w:rPr>
        <w:t>często obserwuje się</w:t>
      </w:r>
      <w:r w:rsidR="000A49EE">
        <w:rPr>
          <w:rFonts w:ascii="Times New Roman" w:eastAsia="Calibri" w:hAnsi="Times New Roman" w:cs="Times New Roman"/>
          <w:sz w:val="24"/>
          <w:szCs w:val="24"/>
          <w:lang w:eastAsia="pl-PL"/>
        </w:rPr>
        <w:t xml:space="preserve"> </w:t>
      </w:r>
      <w:r w:rsidRPr="00C104A3">
        <w:rPr>
          <w:rFonts w:ascii="Times New Roman" w:hAnsi="Times New Roman" w:cs="Times New Roman"/>
          <w:sz w:val="24"/>
          <w:szCs w:val="24"/>
        </w:rPr>
        <w:t>poświadczani</w:t>
      </w:r>
      <w:r w:rsidR="000A49EE">
        <w:rPr>
          <w:rFonts w:ascii="Times New Roman" w:hAnsi="Times New Roman" w:cs="Times New Roman"/>
          <w:sz w:val="24"/>
          <w:szCs w:val="24"/>
        </w:rPr>
        <w:t>e</w:t>
      </w:r>
      <w:r w:rsidRPr="00C104A3">
        <w:rPr>
          <w:rFonts w:ascii="Times New Roman" w:hAnsi="Times New Roman" w:cs="Times New Roman"/>
          <w:sz w:val="24"/>
          <w:szCs w:val="24"/>
        </w:rPr>
        <w:t xml:space="preserve"> nieprawdy w dokumentach prowadzonych na potrzeby ewidencji odpadów,</w:t>
      </w:r>
      <w:r w:rsidR="000A49EE">
        <w:rPr>
          <w:rFonts w:ascii="Times New Roman" w:hAnsi="Times New Roman" w:cs="Times New Roman"/>
          <w:sz w:val="24"/>
          <w:szCs w:val="24"/>
        </w:rPr>
        <w:t xml:space="preserve"> </w:t>
      </w:r>
      <w:r w:rsidRPr="00C104A3">
        <w:rPr>
          <w:rFonts w:ascii="Times New Roman" w:hAnsi="Times New Roman" w:cs="Times New Roman"/>
          <w:sz w:val="24"/>
          <w:szCs w:val="24"/>
        </w:rPr>
        <w:t>transporty odpadów do miejsc niezgodnych z kartami przekazania odpadów</w:t>
      </w:r>
      <w:r w:rsidR="000A49EE">
        <w:rPr>
          <w:rFonts w:ascii="Times New Roman" w:hAnsi="Times New Roman" w:cs="Times New Roman"/>
          <w:sz w:val="24"/>
          <w:szCs w:val="24"/>
        </w:rPr>
        <w:t xml:space="preserve">, </w:t>
      </w:r>
      <w:r w:rsidRPr="00C104A3">
        <w:rPr>
          <w:rFonts w:ascii="Times New Roman" w:hAnsi="Times New Roman" w:cs="Times New Roman"/>
          <w:sz w:val="24"/>
          <w:szCs w:val="24"/>
        </w:rPr>
        <w:t>nielegalne magazynowanie odpadów (porzucanie odpadów</w:t>
      </w:r>
      <w:r w:rsidR="000A49EE">
        <w:rPr>
          <w:rFonts w:ascii="Times New Roman" w:hAnsi="Times New Roman" w:cs="Times New Roman"/>
          <w:sz w:val="24"/>
          <w:szCs w:val="24"/>
        </w:rPr>
        <w:t>,</w:t>
      </w:r>
      <w:r w:rsidRPr="00C104A3">
        <w:rPr>
          <w:rFonts w:ascii="Times New Roman" w:hAnsi="Times New Roman" w:cs="Times New Roman"/>
          <w:sz w:val="24"/>
          <w:szCs w:val="24"/>
        </w:rPr>
        <w:t xml:space="preserve"> </w:t>
      </w:r>
      <w:r w:rsidR="000A49EE">
        <w:rPr>
          <w:rFonts w:ascii="Times New Roman" w:hAnsi="Times New Roman" w:cs="Times New Roman"/>
          <w:sz w:val="24"/>
          <w:szCs w:val="24"/>
        </w:rPr>
        <w:br/>
      </w:r>
      <w:r w:rsidRPr="00C104A3">
        <w:rPr>
          <w:rFonts w:ascii="Times New Roman" w:hAnsi="Times New Roman" w:cs="Times New Roman"/>
          <w:sz w:val="24"/>
          <w:szCs w:val="24"/>
        </w:rPr>
        <w:t>np. w halach, na polach, w naczepie)</w:t>
      </w:r>
      <w:r w:rsidR="000A49EE">
        <w:rPr>
          <w:rFonts w:ascii="Times New Roman" w:hAnsi="Times New Roman" w:cs="Times New Roman"/>
          <w:sz w:val="24"/>
          <w:szCs w:val="24"/>
        </w:rPr>
        <w:t xml:space="preserve"> oraz </w:t>
      </w:r>
      <w:r w:rsidRPr="00C104A3">
        <w:rPr>
          <w:rFonts w:ascii="Times New Roman" w:hAnsi="Times New Roman" w:cs="Times New Roman"/>
          <w:sz w:val="24"/>
          <w:szCs w:val="24"/>
        </w:rPr>
        <w:t xml:space="preserve">nielegalny demontaż pojazdów wycofanych </w:t>
      </w:r>
      <w:r w:rsidR="000A49EE">
        <w:rPr>
          <w:rFonts w:ascii="Times New Roman" w:hAnsi="Times New Roman" w:cs="Times New Roman"/>
          <w:sz w:val="24"/>
          <w:szCs w:val="24"/>
        </w:rPr>
        <w:br/>
      </w:r>
      <w:r w:rsidRPr="00C104A3">
        <w:rPr>
          <w:rFonts w:ascii="Times New Roman" w:hAnsi="Times New Roman" w:cs="Times New Roman"/>
          <w:sz w:val="24"/>
          <w:szCs w:val="24"/>
        </w:rPr>
        <w:t>z eksploatacji.</w:t>
      </w:r>
    </w:p>
    <w:p w14:paraId="7BE0F31D" w14:textId="0D1F7870" w:rsidR="00C104A3" w:rsidRDefault="00C104A3" w:rsidP="00C104A3">
      <w:pPr>
        <w:spacing w:line="300" w:lineRule="atLeast"/>
        <w:contextualSpacing/>
        <w:jc w:val="both"/>
        <w:rPr>
          <w:rFonts w:ascii="Times New Roman" w:hAnsi="Times New Roman" w:cs="Times New Roman"/>
          <w:i/>
          <w:color w:val="4472C4"/>
          <w:sz w:val="24"/>
          <w:szCs w:val="24"/>
        </w:rPr>
      </w:pPr>
    </w:p>
    <w:p w14:paraId="0B5C0D80" w14:textId="657E8C70" w:rsidR="000A49EE" w:rsidRDefault="000A49EE" w:rsidP="00C104A3">
      <w:pPr>
        <w:spacing w:line="300" w:lineRule="atLeast"/>
        <w:contextualSpacing/>
        <w:jc w:val="both"/>
        <w:rPr>
          <w:rFonts w:ascii="Times New Roman" w:hAnsi="Times New Roman" w:cs="Times New Roman"/>
          <w:i/>
          <w:color w:val="4472C4"/>
          <w:sz w:val="24"/>
          <w:szCs w:val="24"/>
        </w:rPr>
      </w:pPr>
    </w:p>
    <w:p w14:paraId="42DE9395" w14:textId="77777777" w:rsidR="000A49EE" w:rsidRPr="00C104A3" w:rsidRDefault="000A49EE" w:rsidP="00C104A3">
      <w:pPr>
        <w:spacing w:line="300" w:lineRule="atLeast"/>
        <w:contextualSpacing/>
        <w:jc w:val="both"/>
        <w:rPr>
          <w:rFonts w:ascii="Times New Roman" w:hAnsi="Times New Roman" w:cs="Times New Roman"/>
          <w:i/>
          <w:color w:val="4472C4"/>
          <w:sz w:val="24"/>
          <w:szCs w:val="24"/>
        </w:rPr>
      </w:pPr>
    </w:p>
    <w:p w14:paraId="7FDB8F06" w14:textId="77777777" w:rsidR="00C104A3" w:rsidRPr="00C104A3" w:rsidRDefault="00C104A3" w:rsidP="000A49EE">
      <w:pPr>
        <w:spacing w:after="60" w:line="300" w:lineRule="atLeast"/>
        <w:jc w:val="both"/>
        <w:rPr>
          <w:rFonts w:ascii="Times New Roman" w:hAnsi="Times New Roman" w:cs="Times New Roman"/>
          <w:i/>
          <w:color w:val="4472C4"/>
          <w:sz w:val="24"/>
          <w:szCs w:val="24"/>
        </w:rPr>
      </w:pPr>
      <w:r w:rsidRPr="00C104A3">
        <w:rPr>
          <w:rFonts w:ascii="Times New Roman" w:hAnsi="Times New Roman" w:cs="Times New Roman"/>
          <w:i/>
          <w:color w:val="4472C4"/>
          <w:sz w:val="24"/>
          <w:szCs w:val="24"/>
        </w:rPr>
        <w:t>Wojewódzki Inspektorat Ochrony Środowiska w Opolu</w:t>
      </w:r>
    </w:p>
    <w:p w14:paraId="2DE043BA" w14:textId="6FD08E5F" w:rsidR="00C104A3" w:rsidRPr="00C104A3" w:rsidRDefault="00C104A3" w:rsidP="000B4968">
      <w:pPr>
        <w:pStyle w:val="Akapitzlist"/>
        <w:spacing w:line="300" w:lineRule="atLeast"/>
        <w:ind w:left="0" w:firstLine="567"/>
        <w:jc w:val="both"/>
        <w:rPr>
          <w:sz w:val="24"/>
          <w:szCs w:val="24"/>
        </w:rPr>
      </w:pPr>
      <w:r w:rsidRPr="00C104A3">
        <w:rPr>
          <w:sz w:val="24"/>
          <w:szCs w:val="24"/>
        </w:rPr>
        <w:t xml:space="preserve">Do Wojewódzkiego Inspektoratu Ochrony Środowiska w Opolu wpływa coraz więcej spraw związanych z fikcyjnym oraz nielegalnym obrotem odpadami. W proceder zaangażowane są przede wszystkim podmioty będące pośrednikami w obrocie odpadami oraz podmioty świadczące usługę transportu. </w:t>
      </w:r>
    </w:p>
    <w:p w14:paraId="108EE53A" w14:textId="77777777" w:rsidR="00D65C29" w:rsidRDefault="00C104A3" w:rsidP="000B4968">
      <w:pPr>
        <w:pStyle w:val="Akapitzlist"/>
        <w:spacing w:line="300" w:lineRule="atLeast"/>
        <w:ind w:left="0" w:firstLine="567"/>
        <w:jc w:val="both"/>
        <w:rPr>
          <w:sz w:val="24"/>
          <w:szCs w:val="24"/>
        </w:rPr>
      </w:pPr>
      <w:r w:rsidRPr="00C104A3">
        <w:rPr>
          <w:sz w:val="24"/>
          <w:szCs w:val="24"/>
        </w:rPr>
        <w:t xml:space="preserve">Pośrednicy odpadów oraz transportujący odpady deklarują w </w:t>
      </w:r>
      <w:r w:rsidR="00D65C29" w:rsidRPr="00C104A3">
        <w:rPr>
          <w:sz w:val="24"/>
          <w:szCs w:val="24"/>
        </w:rPr>
        <w:t xml:space="preserve">ewidencji odpadów </w:t>
      </w:r>
      <w:r w:rsidRPr="00C104A3">
        <w:rPr>
          <w:sz w:val="24"/>
          <w:szCs w:val="24"/>
        </w:rPr>
        <w:t xml:space="preserve">prowadzonej w Bazie Danych o Produktach i Opakowaniach oraz o Gospodarce Odpadami przyjęcie odpadów na teren prowadzonej działalności, jednakże fizyczne odpady nie trafiają do tych podmiotów. Odpady przekazywane są pomiędzy podmiotami wyłącznie na kartach przekazania odpadów. W nielegalnym obrocie odpadami biorą udział podmioty świadczące usługę transportu odpadów, które są rekomendowane przez pośredników lub odbiorców odpadów. Odnotowano także przypadki, </w:t>
      </w:r>
      <w:r w:rsidR="00D65C29">
        <w:rPr>
          <w:sz w:val="24"/>
          <w:szCs w:val="24"/>
          <w:lang w:val="pl-PL"/>
        </w:rPr>
        <w:t xml:space="preserve">w których </w:t>
      </w:r>
      <w:r w:rsidRPr="00C104A3">
        <w:rPr>
          <w:sz w:val="24"/>
          <w:szCs w:val="24"/>
        </w:rPr>
        <w:t xml:space="preserve">podmiot wykonujący usługę transportu odpadów </w:t>
      </w:r>
      <w:r w:rsidR="00D65C29">
        <w:rPr>
          <w:sz w:val="24"/>
          <w:szCs w:val="24"/>
          <w:lang w:val="pl-PL"/>
        </w:rPr>
        <w:t xml:space="preserve">był jednocześnie </w:t>
      </w:r>
      <w:r w:rsidRPr="00C104A3">
        <w:rPr>
          <w:sz w:val="24"/>
          <w:szCs w:val="24"/>
        </w:rPr>
        <w:t xml:space="preserve">pośrednikiem w obrocie odpadami. </w:t>
      </w:r>
    </w:p>
    <w:p w14:paraId="0F9304F3" w14:textId="54FC9E63" w:rsidR="00C104A3" w:rsidRPr="00C104A3" w:rsidRDefault="00C104A3" w:rsidP="000B4968">
      <w:pPr>
        <w:pStyle w:val="Akapitzlist"/>
        <w:spacing w:line="300" w:lineRule="atLeast"/>
        <w:ind w:left="0" w:firstLine="567"/>
        <w:jc w:val="both"/>
        <w:rPr>
          <w:sz w:val="24"/>
          <w:szCs w:val="24"/>
        </w:rPr>
      </w:pPr>
      <w:r w:rsidRPr="00C104A3">
        <w:rPr>
          <w:sz w:val="24"/>
          <w:szCs w:val="24"/>
        </w:rPr>
        <w:t>W trakcie prowadzonych spraw zaobserwowano, że odpady transportowane są pomiędzy kilkoma pośrednikami i ostatecznie trafiają do podmiotów, których działalnością kierują te same osoby. Często podmioty te prowadzą działalność na terenie różnych województw. W rzeczywistości odpady trafiają do miejsc nieprzeznaczonych do ich magazynowania lub składowania. Proceder dotyczy przede wszystkim odpadów niebezpiecznych oraz odpadów pochodzących ze strumienia odpadów komunalnych.</w:t>
      </w:r>
    </w:p>
    <w:p w14:paraId="1631919B" w14:textId="77777777" w:rsidR="00C104A3" w:rsidRPr="00C104A3" w:rsidRDefault="00C104A3" w:rsidP="00C104A3">
      <w:pPr>
        <w:spacing w:line="300" w:lineRule="atLeast"/>
        <w:contextualSpacing/>
        <w:jc w:val="both"/>
        <w:rPr>
          <w:rFonts w:ascii="Times New Roman" w:hAnsi="Times New Roman" w:cs="Times New Roman"/>
          <w:i/>
          <w:color w:val="4472C4"/>
          <w:sz w:val="24"/>
          <w:szCs w:val="24"/>
        </w:rPr>
      </w:pPr>
    </w:p>
    <w:p w14:paraId="06ABAB0C" w14:textId="77777777" w:rsidR="00C104A3" w:rsidRPr="00C104A3" w:rsidRDefault="00C104A3" w:rsidP="00D65C29">
      <w:pPr>
        <w:spacing w:after="60" w:line="300" w:lineRule="atLeast"/>
        <w:jc w:val="both"/>
        <w:rPr>
          <w:rFonts w:ascii="Times New Roman" w:hAnsi="Times New Roman" w:cs="Times New Roman"/>
          <w:i/>
          <w:color w:val="4472C4"/>
          <w:sz w:val="24"/>
          <w:szCs w:val="24"/>
        </w:rPr>
      </w:pPr>
      <w:r w:rsidRPr="00C104A3">
        <w:rPr>
          <w:rFonts w:ascii="Times New Roman" w:hAnsi="Times New Roman" w:cs="Times New Roman"/>
          <w:i/>
          <w:color w:val="4472C4"/>
          <w:sz w:val="24"/>
          <w:szCs w:val="24"/>
        </w:rPr>
        <w:t>Wojewódzki Inspektorat Ochrony Środowiska w Poznaniu</w:t>
      </w:r>
    </w:p>
    <w:p w14:paraId="02CDA6A2" w14:textId="360B38FB" w:rsidR="00C104A3" w:rsidRPr="00C104A3" w:rsidRDefault="00C104A3" w:rsidP="000B4968">
      <w:pPr>
        <w:pStyle w:val="Akapitzlist"/>
        <w:spacing w:line="300" w:lineRule="atLeast"/>
        <w:ind w:left="0" w:firstLine="567"/>
        <w:jc w:val="both"/>
        <w:rPr>
          <w:sz w:val="24"/>
          <w:szCs w:val="24"/>
        </w:rPr>
      </w:pPr>
      <w:r w:rsidRPr="00C104A3">
        <w:rPr>
          <w:sz w:val="24"/>
          <w:szCs w:val="24"/>
        </w:rPr>
        <w:t xml:space="preserve">Zauważalny jest wzrost przestępczości środowiskowej w zakresie fikcyjnego obrotu odpadami w kraju z wykorzystaniem BDO. Podmioty (w tym te działające na terenie woj. wielkopolskiego) wystawiają fikcyjne karty przekazania odpadów, tym samym potwierdzając przekazanie/przejęcie odpadów, których fizycznie nigdy nie było lub zostały przekazane w inne miejsce niż wskazane na karcie przekazania odpadów. W dalszym ciągu istotny problem stanowi nielegalne sprowadzanie z zagranicy odpadów w postaci pojazdów wycofanych </w:t>
      </w:r>
      <w:r w:rsidR="00D65C29">
        <w:rPr>
          <w:sz w:val="24"/>
          <w:szCs w:val="24"/>
        </w:rPr>
        <w:br/>
      </w:r>
      <w:r w:rsidRPr="00C104A3">
        <w:rPr>
          <w:sz w:val="24"/>
          <w:szCs w:val="24"/>
        </w:rPr>
        <w:t xml:space="preserve">z eksploatacji oraz demontaż pojazdów poza stacją demontażu. </w:t>
      </w:r>
    </w:p>
    <w:p w14:paraId="267E3BF7" w14:textId="77777777" w:rsidR="00C104A3" w:rsidRPr="00C104A3" w:rsidRDefault="00C104A3" w:rsidP="00C104A3">
      <w:pPr>
        <w:spacing w:line="300" w:lineRule="atLeast"/>
        <w:contextualSpacing/>
        <w:jc w:val="both"/>
        <w:rPr>
          <w:rFonts w:ascii="Times New Roman" w:hAnsi="Times New Roman" w:cs="Times New Roman"/>
          <w:i/>
          <w:color w:val="4472C4"/>
          <w:sz w:val="24"/>
          <w:szCs w:val="24"/>
        </w:rPr>
      </w:pPr>
    </w:p>
    <w:p w14:paraId="51AB31DF" w14:textId="6795D5B0" w:rsidR="00C104A3" w:rsidRPr="00C104A3" w:rsidRDefault="00C104A3" w:rsidP="00D65C29">
      <w:pPr>
        <w:spacing w:after="60" w:line="300" w:lineRule="atLeast"/>
        <w:jc w:val="both"/>
        <w:rPr>
          <w:rFonts w:ascii="Times New Roman" w:hAnsi="Times New Roman" w:cs="Times New Roman"/>
          <w:i/>
          <w:color w:val="4472C4"/>
          <w:sz w:val="24"/>
          <w:szCs w:val="24"/>
        </w:rPr>
      </w:pPr>
      <w:r w:rsidRPr="00C104A3">
        <w:rPr>
          <w:rFonts w:ascii="Times New Roman" w:hAnsi="Times New Roman" w:cs="Times New Roman"/>
          <w:i/>
          <w:color w:val="4472C4"/>
          <w:sz w:val="24"/>
          <w:szCs w:val="24"/>
        </w:rPr>
        <w:t>Wojewódzki Inspektorat Ochrony Środowiska w Rzeszowie</w:t>
      </w:r>
    </w:p>
    <w:p w14:paraId="746E6670" w14:textId="0F2B9831" w:rsidR="00D65C29" w:rsidRDefault="00C104A3" w:rsidP="000B4968">
      <w:pPr>
        <w:autoSpaceDE w:val="0"/>
        <w:autoSpaceDN w:val="0"/>
        <w:adjustRightInd w:val="0"/>
        <w:spacing w:line="300" w:lineRule="atLeast"/>
        <w:ind w:firstLine="567"/>
        <w:contextualSpacing/>
        <w:jc w:val="both"/>
        <w:rPr>
          <w:rFonts w:ascii="Times New Roman" w:hAnsi="Times New Roman" w:cs="Times New Roman"/>
          <w:sz w:val="24"/>
          <w:szCs w:val="24"/>
        </w:rPr>
      </w:pPr>
      <w:r w:rsidRPr="00C104A3">
        <w:rPr>
          <w:rFonts w:ascii="Times New Roman" w:hAnsi="Times New Roman" w:cs="Times New Roman"/>
          <w:sz w:val="24"/>
          <w:szCs w:val="24"/>
        </w:rPr>
        <w:t xml:space="preserve">Zauważalną tendencją w roku 2022 jest rozwój przestępczości w obszarze nielegalnego pozbywania </w:t>
      </w:r>
      <w:r w:rsidR="00D65C29">
        <w:rPr>
          <w:rFonts w:ascii="Times New Roman" w:hAnsi="Times New Roman" w:cs="Times New Roman"/>
          <w:sz w:val="24"/>
          <w:szCs w:val="24"/>
        </w:rPr>
        <w:t xml:space="preserve">się </w:t>
      </w:r>
      <w:r w:rsidRPr="00C104A3">
        <w:rPr>
          <w:rFonts w:ascii="Times New Roman" w:hAnsi="Times New Roman" w:cs="Times New Roman"/>
          <w:sz w:val="24"/>
          <w:szCs w:val="24"/>
        </w:rPr>
        <w:t>odpadów, porzucania odpadów w miejscach na ten cel nieprzeznaczonych. Wpisy dotyczące ważności decyzji zawarte w BDO często nie są zgodne ze stanem faktycznym, ponieważ wielu podmiotom zezwolenia dotyczące gospodarowania odpadami wygasły z mocy prawa, a Marszałkowie województw nie dokonują aktualizacji w tym zakresie. Co za tym idzie, często brak tytułu formalnego do nieruchomości</w:t>
      </w:r>
      <w:r w:rsidR="00D65C29">
        <w:rPr>
          <w:rFonts w:ascii="Times New Roman" w:hAnsi="Times New Roman" w:cs="Times New Roman"/>
          <w:sz w:val="24"/>
          <w:szCs w:val="24"/>
        </w:rPr>
        <w:t>,</w:t>
      </w:r>
      <w:r w:rsidRPr="00C104A3">
        <w:rPr>
          <w:rFonts w:ascii="Times New Roman" w:hAnsi="Times New Roman" w:cs="Times New Roman"/>
          <w:sz w:val="24"/>
          <w:szCs w:val="24"/>
        </w:rPr>
        <w:t xml:space="preserve"> na której prowadzone jest zbieranie odpadów, </w:t>
      </w:r>
      <w:r w:rsidRPr="00C104A3">
        <w:rPr>
          <w:rFonts w:ascii="Times New Roman" w:hAnsi="Times New Roman" w:cs="Times New Roman"/>
          <w:sz w:val="24"/>
          <w:szCs w:val="24"/>
        </w:rPr>
        <w:lastRenderedPageBreak/>
        <w:t xml:space="preserve">powoduje, że właściciel nieruchomości zostaje obciążony kosztami zagospodarowania i dalej ewentualnego wykonania zastępczego. </w:t>
      </w:r>
    </w:p>
    <w:p w14:paraId="69CD53D3" w14:textId="6607AEDF" w:rsidR="00C104A3" w:rsidRPr="00C104A3" w:rsidRDefault="00C104A3" w:rsidP="000B4968">
      <w:pPr>
        <w:autoSpaceDE w:val="0"/>
        <w:autoSpaceDN w:val="0"/>
        <w:adjustRightInd w:val="0"/>
        <w:spacing w:line="300" w:lineRule="atLeast"/>
        <w:ind w:firstLine="567"/>
        <w:contextualSpacing/>
        <w:jc w:val="both"/>
        <w:rPr>
          <w:rFonts w:ascii="Times New Roman" w:hAnsi="Times New Roman" w:cs="Times New Roman"/>
          <w:sz w:val="24"/>
          <w:szCs w:val="24"/>
        </w:rPr>
      </w:pPr>
      <w:r w:rsidRPr="00C104A3">
        <w:rPr>
          <w:rFonts w:ascii="Times New Roman" w:hAnsi="Times New Roman" w:cs="Times New Roman"/>
          <w:sz w:val="24"/>
          <w:szCs w:val="24"/>
        </w:rPr>
        <w:t xml:space="preserve">Ponadto </w:t>
      </w:r>
      <w:r w:rsidR="00D65C29">
        <w:rPr>
          <w:rFonts w:ascii="Times New Roman" w:hAnsi="Times New Roman" w:cs="Times New Roman"/>
          <w:sz w:val="24"/>
          <w:szCs w:val="24"/>
        </w:rPr>
        <w:t xml:space="preserve">uwagę zwraca </w:t>
      </w:r>
      <w:r w:rsidRPr="00C104A3">
        <w:rPr>
          <w:rFonts w:ascii="Times New Roman" w:hAnsi="Times New Roman" w:cs="Times New Roman"/>
          <w:sz w:val="24"/>
          <w:szCs w:val="24"/>
        </w:rPr>
        <w:t>dokonywanie rejestracji siedziby, miejsc prowadzenia działalności, budynków magazynowych, oddziałów jednej firmy na obszarze kilku województw</w:t>
      </w:r>
      <w:r w:rsidR="00D65C29">
        <w:rPr>
          <w:rFonts w:ascii="Times New Roman" w:hAnsi="Times New Roman" w:cs="Times New Roman"/>
          <w:sz w:val="24"/>
          <w:szCs w:val="24"/>
        </w:rPr>
        <w:t xml:space="preserve">, co </w:t>
      </w:r>
      <w:r w:rsidRPr="00C104A3">
        <w:rPr>
          <w:rFonts w:ascii="Times New Roman" w:hAnsi="Times New Roman" w:cs="Times New Roman"/>
          <w:sz w:val="24"/>
          <w:szCs w:val="24"/>
        </w:rPr>
        <w:t>utrudnia prowadzeni</w:t>
      </w:r>
      <w:r w:rsidR="00D65C29">
        <w:rPr>
          <w:rFonts w:ascii="Times New Roman" w:hAnsi="Times New Roman" w:cs="Times New Roman"/>
          <w:sz w:val="24"/>
          <w:szCs w:val="24"/>
        </w:rPr>
        <w:t>e</w:t>
      </w:r>
      <w:r w:rsidRPr="00C104A3">
        <w:rPr>
          <w:rFonts w:ascii="Times New Roman" w:hAnsi="Times New Roman" w:cs="Times New Roman"/>
          <w:sz w:val="24"/>
          <w:szCs w:val="24"/>
        </w:rPr>
        <w:t xml:space="preserve"> działalności kontrolnej. Rosnące koszty zagospodarowania odpadów </w:t>
      </w:r>
      <w:r w:rsidR="00D65C29">
        <w:rPr>
          <w:rFonts w:ascii="Times New Roman" w:hAnsi="Times New Roman" w:cs="Times New Roman"/>
          <w:sz w:val="24"/>
          <w:szCs w:val="24"/>
        </w:rPr>
        <w:t xml:space="preserve">powodują, że </w:t>
      </w:r>
      <w:r w:rsidR="004C7FEB">
        <w:rPr>
          <w:rFonts w:ascii="Times New Roman" w:hAnsi="Times New Roman" w:cs="Times New Roman"/>
          <w:sz w:val="24"/>
          <w:szCs w:val="24"/>
        </w:rPr>
        <w:t xml:space="preserve">coraz częściej </w:t>
      </w:r>
      <w:r w:rsidRPr="00C104A3">
        <w:rPr>
          <w:rFonts w:ascii="Times New Roman" w:hAnsi="Times New Roman" w:cs="Times New Roman"/>
          <w:sz w:val="24"/>
          <w:szCs w:val="24"/>
        </w:rPr>
        <w:t>Przedsiębiorc</w:t>
      </w:r>
      <w:r w:rsidR="004C7FEB">
        <w:rPr>
          <w:rFonts w:ascii="Times New Roman" w:hAnsi="Times New Roman" w:cs="Times New Roman"/>
          <w:sz w:val="24"/>
          <w:szCs w:val="24"/>
        </w:rPr>
        <w:t xml:space="preserve">y szukają </w:t>
      </w:r>
      <w:r w:rsidRPr="00C104A3">
        <w:rPr>
          <w:rFonts w:ascii="Times New Roman" w:hAnsi="Times New Roman" w:cs="Times New Roman"/>
          <w:sz w:val="24"/>
          <w:szCs w:val="24"/>
        </w:rPr>
        <w:t>alternatywnych rozwiązań w zakresie ich zagospodarowania. Często te alternatywne rozwiązania są działaniami wypełniającymi znamiona przestępstw i wykroczeń przeciwko środowisku.</w:t>
      </w:r>
    </w:p>
    <w:p w14:paraId="0515A976" w14:textId="77777777" w:rsidR="00C104A3" w:rsidRPr="00C104A3" w:rsidRDefault="00C104A3" w:rsidP="00C104A3">
      <w:pPr>
        <w:spacing w:line="300" w:lineRule="atLeast"/>
        <w:contextualSpacing/>
        <w:jc w:val="both"/>
        <w:rPr>
          <w:rFonts w:ascii="Times New Roman" w:hAnsi="Times New Roman" w:cs="Times New Roman"/>
          <w:i/>
          <w:color w:val="4472C4"/>
          <w:sz w:val="24"/>
          <w:szCs w:val="24"/>
        </w:rPr>
      </w:pPr>
    </w:p>
    <w:p w14:paraId="2B12C53F" w14:textId="77777777" w:rsidR="00C104A3" w:rsidRPr="00C104A3" w:rsidRDefault="00C104A3" w:rsidP="004C7FEB">
      <w:pPr>
        <w:spacing w:after="60" w:line="300" w:lineRule="atLeast"/>
        <w:jc w:val="both"/>
        <w:rPr>
          <w:rFonts w:ascii="Times New Roman" w:hAnsi="Times New Roman" w:cs="Times New Roman"/>
          <w:i/>
          <w:color w:val="4472C4"/>
          <w:sz w:val="24"/>
          <w:szCs w:val="24"/>
        </w:rPr>
      </w:pPr>
      <w:r w:rsidRPr="00C104A3">
        <w:rPr>
          <w:rFonts w:ascii="Times New Roman" w:hAnsi="Times New Roman" w:cs="Times New Roman"/>
          <w:i/>
          <w:color w:val="4472C4"/>
          <w:sz w:val="24"/>
          <w:szCs w:val="24"/>
        </w:rPr>
        <w:t>Wojewódzki Inspektorat Ochrony Środowiska w Szczecinie</w:t>
      </w:r>
    </w:p>
    <w:p w14:paraId="67B37407" w14:textId="74EDE29B" w:rsidR="00C104A3" w:rsidRPr="00C104A3" w:rsidRDefault="00C104A3" w:rsidP="000B4968">
      <w:pPr>
        <w:autoSpaceDE w:val="0"/>
        <w:autoSpaceDN w:val="0"/>
        <w:adjustRightInd w:val="0"/>
        <w:spacing w:line="300" w:lineRule="atLeast"/>
        <w:ind w:firstLine="567"/>
        <w:contextualSpacing/>
        <w:jc w:val="both"/>
        <w:rPr>
          <w:rFonts w:ascii="Times New Roman" w:hAnsi="Times New Roman" w:cs="Times New Roman"/>
          <w:sz w:val="24"/>
          <w:szCs w:val="24"/>
        </w:rPr>
      </w:pPr>
      <w:r w:rsidRPr="00C104A3">
        <w:rPr>
          <w:rFonts w:ascii="Times New Roman" w:hAnsi="Times New Roman" w:cs="Times New Roman"/>
          <w:sz w:val="24"/>
          <w:szCs w:val="24"/>
        </w:rPr>
        <w:t xml:space="preserve">Na podstawie dotychczasowych ustaleń z działań podejmowanych w ramach wspólnych akcji z innymi służbami oraz kontroli prowadzonych przez WIOŚ w Szczecinie </w:t>
      </w:r>
      <w:r w:rsidR="004C7FEB">
        <w:rPr>
          <w:rFonts w:ascii="Times New Roman" w:hAnsi="Times New Roman" w:cs="Times New Roman"/>
          <w:sz w:val="24"/>
          <w:szCs w:val="24"/>
        </w:rPr>
        <w:t>należy stwierdzić</w:t>
      </w:r>
      <w:r w:rsidRPr="00C104A3">
        <w:rPr>
          <w:rFonts w:ascii="Times New Roman" w:hAnsi="Times New Roman" w:cs="Times New Roman"/>
          <w:sz w:val="24"/>
          <w:szCs w:val="24"/>
        </w:rPr>
        <w:t>, że potencjalnym zagrożeniem jest nielegalne transgraniczne przemieszczanie odpadów oraz</w:t>
      </w:r>
      <w:r w:rsidR="004C7FEB">
        <w:rPr>
          <w:rFonts w:ascii="Times New Roman" w:hAnsi="Times New Roman" w:cs="Times New Roman"/>
          <w:sz w:val="24"/>
          <w:szCs w:val="24"/>
        </w:rPr>
        <w:t xml:space="preserve"> </w:t>
      </w:r>
      <w:r w:rsidRPr="00C104A3">
        <w:rPr>
          <w:rFonts w:ascii="Times New Roman" w:hAnsi="Times New Roman" w:cs="Times New Roman"/>
          <w:sz w:val="24"/>
          <w:szCs w:val="24"/>
        </w:rPr>
        <w:t>nielegalny demontaż pojazdów wycofanych z eksploatacji.</w:t>
      </w:r>
    </w:p>
    <w:p w14:paraId="6A771AA4" w14:textId="77777777" w:rsidR="00C104A3" w:rsidRPr="00C104A3" w:rsidRDefault="00C104A3" w:rsidP="00C104A3">
      <w:pPr>
        <w:spacing w:line="300" w:lineRule="atLeast"/>
        <w:contextualSpacing/>
        <w:jc w:val="both"/>
        <w:rPr>
          <w:rFonts w:ascii="Times New Roman" w:hAnsi="Times New Roman" w:cs="Times New Roman"/>
          <w:i/>
          <w:color w:val="4472C4"/>
          <w:sz w:val="24"/>
          <w:szCs w:val="24"/>
        </w:rPr>
      </w:pPr>
    </w:p>
    <w:p w14:paraId="7645E735" w14:textId="77777777" w:rsidR="00C104A3" w:rsidRPr="00C104A3" w:rsidRDefault="00C104A3" w:rsidP="004C7FEB">
      <w:pPr>
        <w:spacing w:after="60" w:line="300" w:lineRule="atLeast"/>
        <w:jc w:val="both"/>
        <w:rPr>
          <w:rFonts w:ascii="Times New Roman" w:hAnsi="Times New Roman" w:cs="Times New Roman"/>
          <w:i/>
          <w:color w:val="4472C4"/>
          <w:sz w:val="24"/>
          <w:szCs w:val="24"/>
        </w:rPr>
      </w:pPr>
      <w:r w:rsidRPr="00C104A3">
        <w:rPr>
          <w:rFonts w:ascii="Times New Roman" w:hAnsi="Times New Roman" w:cs="Times New Roman"/>
          <w:i/>
          <w:color w:val="4472C4"/>
          <w:sz w:val="24"/>
          <w:szCs w:val="24"/>
        </w:rPr>
        <w:t>Wojewódzki Inspektorat Ochrony Środowiska w Warszawie</w:t>
      </w:r>
    </w:p>
    <w:p w14:paraId="72C3D017" w14:textId="427FD430" w:rsidR="00C104A3" w:rsidRPr="00C104A3" w:rsidRDefault="00C104A3" w:rsidP="000B4968">
      <w:pPr>
        <w:spacing w:after="0" w:line="300" w:lineRule="atLeast"/>
        <w:ind w:firstLine="567"/>
        <w:jc w:val="both"/>
        <w:rPr>
          <w:rFonts w:ascii="Times New Roman" w:hAnsi="Times New Roman" w:cs="Times New Roman"/>
          <w:bCs/>
          <w:sz w:val="24"/>
          <w:szCs w:val="24"/>
        </w:rPr>
      </w:pPr>
      <w:r w:rsidRPr="00C104A3">
        <w:rPr>
          <w:rFonts w:ascii="Times New Roman" w:hAnsi="Times New Roman" w:cs="Times New Roman"/>
          <w:bCs/>
          <w:sz w:val="24"/>
          <w:szCs w:val="24"/>
        </w:rPr>
        <w:t xml:space="preserve">Tendencją wzrostową w rozwoju przestępczości jest porzucanie i zakopywanie odpadów komunalnych, zwłaszcza tzw. frakcji </w:t>
      </w:r>
      <w:proofErr w:type="spellStart"/>
      <w:r w:rsidRPr="00C104A3">
        <w:rPr>
          <w:rFonts w:ascii="Times New Roman" w:hAnsi="Times New Roman" w:cs="Times New Roman"/>
          <w:bCs/>
          <w:sz w:val="24"/>
          <w:szCs w:val="24"/>
        </w:rPr>
        <w:t>podsitowej</w:t>
      </w:r>
      <w:proofErr w:type="spellEnd"/>
      <w:r w:rsidRPr="00C104A3">
        <w:rPr>
          <w:rFonts w:ascii="Times New Roman" w:hAnsi="Times New Roman" w:cs="Times New Roman"/>
          <w:bCs/>
          <w:sz w:val="24"/>
          <w:szCs w:val="24"/>
        </w:rPr>
        <w:t xml:space="preserve"> o kodzie 19 12 12 w wyrobiskach poeksploatacyjnych piachu i żwiru, oraz nielegalne pozbywanie się komunalnych osadów ściekowych.</w:t>
      </w:r>
    </w:p>
    <w:p w14:paraId="2CD1A93E" w14:textId="77777777" w:rsidR="004C7FEB" w:rsidRDefault="00C104A3" w:rsidP="000B4968">
      <w:pPr>
        <w:spacing w:line="300" w:lineRule="atLeast"/>
        <w:ind w:firstLine="567"/>
        <w:contextualSpacing/>
        <w:jc w:val="both"/>
        <w:rPr>
          <w:rFonts w:ascii="Times New Roman" w:hAnsi="Times New Roman" w:cs="Times New Roman"/>
          <w:bCs/>
          <w:sz w:val="24"/>
          <w:szCs w:val="24"/>
        </w:rPr>
      </w:pPr>
      <w:r w:rsidRPr="00C104A3">
        <w:rPr>
          <w:rFonts w:ascii="Times New Roman" w:hAnsi="Times New Roman" w:cs="Times New Roman"/>
          <w:bCs/>
          <w:sz w:val="24"/>
          <w:szCs w:val="24"/>
        </w:rPr>
        <w:t>Mając na uwadze rosnące koszty unieszkodliwiania odpadów należy spodziewać się rozwoju zorganizowanej przestępczości polegającej na porzucaniu odpadów, w tym niebezpiecznych, zmieszanych odpadów komunalnych, czy zmieszanych odpadów budowlanych i rozbiórkowych z wysoką zawartością innego rodzaju materiałów.</w:t>
      </w:r>
    </w:p>
    <w:p w14:paraId="5D12FBAA" w14:textId="02567B48" w:rsidR="00C104A3" w:rsidRPr="00C104A3" w:rsidRDefault="00C104A3" w:rsidP="000B4968">
      <w:pPr>
        <w:spacing w:line="300" w:lineRule="atLeast"/>
        <w:ind w:firstLine="567"/>
        <w:contextualSpacing/>
        <w:jc w:val="both"/>
        <w:rPr>
          <w:rFonts w:ascii="Times New Roman" w:hAnsi="Times New Roman" w:cs="Times New Roman"/>
          <w:bCs/>
          <w:sz w:val="24"/>
          <w:szCs w:val="24"/>
        </w:rPr>
      </w:pPr>
      <w:r w:rsidRPr="00C104A3">
        <w:rPr>
          <w:rFonts w:ascii="Times New Roman" w:hAnsi="Times New Roman" w:cs="Times New Roman"/>
          <w:bCs/>
          <w:sz w:val="24"/>
          <w:szCs w:val="24"/>
        </w:rPr>
        <w:t>Wynajmowanie dużych hal magazynowych czy terenów do składowania i zapełnianie ich odpadami niebezpiecznymi jest dla organizatorów tego procederu wysoce dochodowe.</w:t>
      </w:r>
    </w:p>
    <w:p w14:paraId="3C4D8598" w14:textId="77777777" w:rsidR="00C104A3" w:rsidRPr="00C104A3" w:rsidRDefault="00C104A3" w:rsidP="000B4968">
      <w:pPr>
        <w:spacing w:line="300" w:lineRule="atLeast"/>
        <w:ind w:firstLine="567"/>
        <w:contextualSpacing/>
        <w:jc w:val="both"/>
        <w:rPr>
          <w:rFonts w:ascii="Times New Roman" w:hAnsi="Times New Roman" w:cs="Times New Roman"/>
          <w:i/>
          <w:color w:val="4472C4"/>
          <w:sz w:val="24"/>
          <w:szCs w:val="24"/>
        </w:rPr>
      </w:pPr>
    </w:p>
    <w:p w14:paraId="050AF416" w14:textId="77777777" w:rsidR="00C104A3" w:rsidRPr="00C104A3" w:rsidRDefault="00C104A3" w:rsidP="004C7FEB">
      <w:pPr>
        <w:spacing w:after="60" w:line="300" w:lineRule="atLeast"/>
        <w:rPr>
          <w:rFonts w:ascii="Times New Roman" w:hAnsi="Times New Roman" w:cs="Times New Roman"/>
          <w:i/>
          <w:color w:val="4472C4"/>
          <w:sz w:val="24"/>
          <w:szCs w:val="24"/>
        </w:rPr>
      </w:pPr>
      <w:r w:rsidRPr="00C104A3">
        <w:rPr>
          <w:rFonts w:ascii="Times New Roman" w:hAnsi="Times New Roman" w:cs="Times New Roman"/>
          <w:i/>
          <w:color w:val="4472C4"/>
          <w:sz w:val="24"/>
          <w:szCs w:val="24"/>
        </w:rPr>
        <w:t>Wojewódzki Inspektorat Ochrony Środowiska we Wrocławiu</w:t>
      </w:r>
    </w:p>
    <w:p w14:paraId="21E74621" w14:textId="37D2629D" w:rsidR="004C7FEB" w:rsidRPr="00695D38" w:rsidRDefault="004C7FEB" w:rsidP="000B4968">
      <w:pPr>
        <w:pStyle w:val="Akapitzlist"/>
        <w:spacing w:line="300" w:lineRule="atLeast"/>
        <w:ind w:left="0" w:firstLine="567"/>
        <w:jc w:val="both"/>
        <w:rPr>
          <w:sz w:val="24"/>
          <w:szCs w:val="24"/>
        </w:rPr>
      </w:pPr>
      <w:r>
        <w:rPr>
          <w:sz w:val="24"/>
          <w:szCs w:val="24"/>
          <w:lang w:val="pl-PL"/>
        </w:rPr>
        <w:t xml:space="preserve">Na obszarze województwa dolnośląskiego obserwuje się </w:t>
      </w:r>
      <w:r w:rsidRPr="00695D38">
        <w:rPr>
          <w:sz w:val="24"/>
          <w:szCs w:val="24"/>
        </w:rPr>
        <w:t>wiodącym obszarem działalności przestępczej jest nielegalna gospodarka odpadami</w:t>
      </w:r>
      <w:r>
        <w:rPr>
          <w:sz w:val="24"/>
          <w:szCs w:val="24"/>
          <w:lang w:val="pl-PL"/>
        </w:rPr>
        <w:t>,</w:t>
      </w:r>
      <w:r w:rsidRPr="00695D38">
        <w:rPr>
          <w:sz w:val="24"/>
          <w:szCs w:val="24"/>
        </w:rPr>
        <w:t xml:space="preserve"> w tym </w:t>
      </w:r>
      <w:r w:rsidRPr="00695D38">
        <w:rPr>
          <w:iCs/>
          <w:sz w:val="24"/>
          <w:szCs w:val="24"/>
        </w:rPr>
        <w:t>nielegalny demontaż pojazdów.</w:t>
      </w:r>
    </w:p>
    <w:p w14:paraId="65BFD8B2" w14:textId="77777777" w:rsidR="00C104A3" w:rsidRPr="00C104A3" w:rsidRDefault="00C104A3" w:rsidP="00C104A3">
      <w:pPr>
        <w:spacing w:line="300" w:lineRule="atLeast"/>
        <w:contextualSpacing/>
        <w:rPr>
          <w:rFonts w:ascii="Times New Roman" w:hAnsi="Times New Roman" w:cs="Times New Roman"/>
          <w:i/>
          <w:color w:val="4472C4"/>
          <w:sz w:val="24"/>
          <w:szCs w:val="24"/>
        </w:rPr>
      </w:pPr>
    </w:p>
    <w:p w14:paraId="0BE9235F" w14:textId="77777777" w:rsidR="00C104A3" w:rsidRPr="00C104A3" w:rsidRDefault="00C104A3" w:rsidP="001F5D77">
      <w:pPr>
        <w:spacing w:after="60" w:line="300" w:lineRule="atLeast"/>
        <w:rPr>
          <w:rFonts w:ascii="Times New Roman" w:hAnsi="Times New Roman" w:cs="Times New Roman"/>
          <w:i/>
          <w:color w:val="4472C4"/>
          <w:sz w:val="24"/>
          <w:szCs w:val="24"/>
        </w:rPr>
      </w:pPr>
      <w:r w:rsidRPr="00C104A3">
        <w:rPr>
          <w:rFonts w:ascii="Times New Roman" w:hAnsi="Times New Roman" w:cs="Times New Roman"/>
          <w:i/>
          <w:color w:val="4472C4"/>
          <w:sz w:val="24"/>
          <w:szCs w:val="24"/>
        </w:rPr>
        <w:t>Wojewódzki Inspektorat Ochrony Środowiska w Zielonej Górze</w:t>
      </w:r>
    </w:p>
    <w:p w14:paraId="40B74587" w14:textId="0A3C1F5E" w:rsidR="00C312E7" w:rsidRDefault="00C104A3" w:rsidP="000B4968">
      <w:pPr>
        <w:ind w:firstLine="567"/>
        <w:jc w:val="both"/>
        <w:rPr>
          <w:rStyle w:val="Nagwek2Znak"/>
          <w:rFonts w:eastAsia="Calibri"/>
          <w:bCs w:val="0"/>
          <w:color w:val="000000" w:themeColor="text1"/>
          <w:szCs w:val="24"/>
        </w:rPr>
      </w:pPr>
      <w:r w:rsidRPr="00C104A3">
        <w:rPr>
          <w:rFonts w:ascii="Times New Roman" w:hAnsi="Times New Roman" w:cs="Times New Roman"/>
          <w:sz w:val="24"/>
          <w:szCs w:val="24"/>
        </w:rPr>
        <w:t>Tendencja rozwojowa przestępczości  środowiskowej jest ukierunkowana na przewóz odpadów tak w ruchu międzynarodowym, jak i krajowym oraz ich składowanie w miejscach niedozwolonych. Drugim problemem jest przestępczość związana z nielegalnymi stacjami demontażu pojazdów i niewłaściwym gospodarowaniem odpadami, w tym płynami poeksploatacyjnymi stanowiącymi duże zagrożenie dla środowiska</w:t>
      </w:r>
      <w:r w:rsidR="00C312E7">
        <w:rPr>
          <w:rStyle w:val="Nagwek2Znak"/>
          <w:rFonts w:eastAsia="Calibri"/>
          <w:b w:val="0"/>
          <w:color w:val="000000" w:themeColor="text1"/>
          <w:szCs w:val="24"/>
        </w:rPr>
        <w:br w:type="page"/>
      </w:r>
    </w:p>
    <w:p w14:paraId="7640B416" w14:textId="77137688" w:rsidR="00A22034" w:rsidRPr="007F400A" w:rsidRDefault="00A22034" w:rsidP="001C413C">
      <w:pPr>
        <w:pStyle w:val="Nagwek1"/>
        <w:spacing w:after="120"/>
        <w:ind w:left="284" w:hanging="284"/>
        <w:jc w:val="both"/>
        <w:rPr>
          <w:b w:val="0"/>
          <w:color w:val="000000" w:themeColor="text1"/>
        </w:rPr>
      </w:pPr>
      <w:bookmarkStart w:id="307" w:name="_Toc135935669"/>
      <w:r w:rsidRPr="007F400A">
        <w:rPr>
          <w:rStyle w:val="Nagwek2Znak"/>
          <w:rFonts w:eastAsia="Calibri"/>
          <w:b/>
          <w:color w:val="000000" w:themeColor="text1"/>
          <w:szCs w:val="24"/>
        </w:rPr>
        <w:lastRenderedPageBreak/>
        <w:t>4. Zadania w zakresie zwalczania przestępstw i wykroczeń przeciwko środowisku realizowane na podstawie uprawnień wynikających z art. 10b ustawy o Inspekcji Ochrony Środowiska</w:t>
      </w:r>
      <w:bookmarkEnd w:id="306"/>
      <w:bookmarkEnd w:id="307"/>
    </w:p>
    <w:p w14:paraId="2B49A136" w14:textId="4850623C" w:rsidR="00A22034" w:rsidRDefault="00A22034" w:rsidP="005A744F">
      <w:pPr>
        <w:pStyle w:val="Nagwek1"/>
        <w:spacing w:after="120"/>
        <w:ind w:left="397" w:hanging="397"/>
        <w:jc w:val="both"/>
        <w:rPr>
          <w:rStyle w:val="Nagwek3Znak"/>
          <w:rFonts w:ascii="Times New Roman" w:eastAsiaTheme="minorHAnsi" w:hAnsi="Times New Roman"/>
          <w:b/>
          <w:color w:val="000000" w:themeColor="text1"/>
          <w:sz w:val="24"/>
          <w:szCs w:val="24"/>
        </w:rPr>
      </w:pPr>
      <w:bookmarkStart w:id="308" w:name="_Toc135935670"/>
      <w:r w:rsidRPr="007F400A">
        <w:rPr>
          <w:color w:val="000000" w:themeColor="text1"/>
        </w:rPr>
        <w:t>4.1</w:t>
      </w:r>
      <w:r w:rsidRPr="007F400A">
        <w:rPr>
          <w:b w:val="0"/>
          <w:color w:val="000000" w:themeColor="text1"/>
        </w:rPr>
        <w:t xml:space="preserve">. </w:t>
      </w:r>
      <w:bookmarkStart w:id="309" w:name="_Toc99469610"/>
      <w:r w:rsidRPr="007F400A">
        <w:rPr>
          <w:rStyle w:val="Nagwek3Znak"/>
          <w:rFonts w:ascii="Times New Roman" w:eastAsiaTheme="minorHAnsi" w:hAnsi="Times New Roman"/>
          <w:b/>
          <w:color w:val="000000" w:themeColor="text1"/>
          <w:sz w:val="24"/>
          <w:szCs w:val="24"/>
        </w:rPr>
        <w:t>Porównanie z 202</w:t>
      </w:r>
      <w:r w:rsidR="00545B9B">
        <w:rPr>
          <w:rStyle w:val="Nagwek3Znak"/>
          <w:rFonts w:ascii="Times New Roman" w:eastAsiaTheme="minorHAnsi" w:hAnsi="Times New Roman"/>
          <w:b/>
          <w:color w:val="000000" w:themeColor="text1"/>
          <w:sz w:val="24"/>
          <w:szCs w:val="24"/>
          <w:lang w:val="pl-PL"/>
        </w:rPr>
        <w:t>1</w:t>
      </w:r>
      <w:r w:rsidRPr="007F400A">
        <w:rPr>
          <w:rStyle w:val="Nagwek3Znak"/>
          <w:rFonts w:ascii="Times New Roman" w:eastAsiaTheme="minorHAnsi" w:hAnsi="Times New Roman"/>
          <w:b/>
          <w:color w:val="000000" w:themeColor="text1"/>
          <w:sz w:val="24"/>
          <w:szCs w:val="24"/>
        </w:rPr>
        <w:t xml:space="preserve"> r. liczby czynności podjętych w 202</w:t>
      </w:r>
      <w:r w:rsidR="00545B9B">
        <w:rPr>
          <w:rStyle w:val="Nagwek3Znak"/>
          <w:rFonts w:ascii="Times New Roman" w:eastAsiaTheme="minorHAnsi" w:hAnsi="Times New Roman"/>
          <w:b/>
          <w:color w:val="000000" w:themeColor="text1"/>
          <w:sz w:val="24"/>
          <w:szCs w:val="24"/>
          <w:lang w:val="pl-PL"/>
        </w:rPr>
        <w:t>2</w:t>
      </w:r>
      <w:r w:rsidRPr="007F400A">
        <w:rPr>
          <w:rStyle w:val="Nagwek3Znak"/>
          <w:rFonts w:ascii="Times New Roman" w:eastAsiaTheme="minorHAnsi" w:hAnsi="Times New Roman"/>
          <w:b/>
          <w:color w:val="000000" w:themeColor="text1"/>
          <w:sz w:val="24"/>
          <w:szCs w:val="24"/>
        </w:rPr>
        <w:t xml:space="preserve"> r. na podstawie art. 10b ustawy o Inspekcji Ochrony Środowiska</w:t>
      </w:r>
      <w:bookmarkEnd w:id="308"/>
      <w:bookmarkEnd w:id="309"/>
    </w:p>
    <w:p w14:paraId="4BE0654F" w14:textId="7FD1A8F6" w:rsidR="005A744F" w:rsidRPr="005A744F" w:rsidRDefault="005A744F" w:rsidP="000B4968">
      <w:pPr>
        <w:pStyle w:val="Akapitzlist"/>
        <w:spacing w:line="300" w:lineRule="atLeast"/>
        <w:ind w:left="142" w:firstLine="567"/>
        <w:jc w:val="both"/>
        <w:rPr>
          <w:sz w:val="24"/>
          <w:szCs w:val="24"/>
        </w:rPr>
      </w:pPr>
      <w:r w:rsidRPr="005A744F">
        <w:rPr>
          <w:sz w:val="24"/>
          <w:szCs w:val="24"/>
        </w:rPr>
        <w:t>Zadania w zakresie zwalczania przestępstw i wykroczeń przeciwko środowisku realizowane przez Departament Zwalczania Przestępstw Środowiskowych, na podstawie uprawnień wynikających z art. 10b ustawy o Inspekcji Ochrony Środowiska, każdorazowo wiążą się z prowadzeniem działań analityczny</w:t>
      </w:r>
      <w:r>
        <w:rPr>
          <w:sz w:val="24"/>
          <w:szCs w:val="24"/>
          <w:lang w:val="pl-PL"/>
        </w:rPr>
        <w:t xml:space="preserve">ch, </w:t>
      </w:r>
      <w:r w:rsidRPr="005A744F">
        <w:rPr>
          <w:sz w:val="24"/>
          <w:szCs w:val="24"/>
        </w:rPr>
        <w:t>polegają</w:t>
      </w:r>
      <w:r>
        <w:rPr>
          <w:sz w:val="24"/>
          <w:szCs w:val="24"/>
          <w:lang w:val="pl-PL"/>
        </w:rPr>
        <w:t>cych</w:t>
      </w:r>
      <w:r w:rsidRPr="005A744F">
        <w:rPr>
          <w:sz w:val="24"/>
          <w:szCs w:val="24"/>
        </w:rPr>
        <w:t xml:space="preserve"> m.in. na:</w:t>
      </w:r>
    </w:p>
    <w:p w14:paraId="7A9B5758" w14:textId="77777777" w:rsidR="005A744F" w:rsidRPr="005A744F" w:rsidRDefault="005A744F" w:rsidP="00D34F97">
      <w:pPr>
        <w:pStyle w:val="Akapitzlist"/>
        <w:numPr>
          <w:ilvl w:val="0"/>
          <w:numId w:val="241"/>
        </w:numPr>
        <w:spacing w:line="300" w:lineRule="atLeast"/>
        <w:jc w:val="both"/>
        <w:rPr>
          <w:sz w:val="24"/>
          <w:szCs w:val="24"/>
        </w:rPr>
      </w:pPr>
      <w:r w:rsidRPr="005A744F">
        <w:rPr>
          <w:sz w:val="24"/>
          <w:szCs w:val="24"/>
        </w:rPr>
        <w:t>sprawdzaniu informacji zawartych w posiadanych zasobach np. bazie Informatycznego Systemu Weryfikacji Kontroli,</w:t>
      </w:r>
    </w:p>
    <w:p w14:paraId="3472CE65" w14:textId="294BE38C" w:rsidR="005A744F" w:rsidRPr="005A744F" w:rsidRDefault="005A744F" w:rsidP="00D34F97">
      <w:pPr>
        <w:pStyle w:val="Akapitzlist"/>
        <w:numPr>
          <w:ilvl w:val="0"/>
          <w:numId w:val="241"/>
        </w:numPr>
        <w:spacing w:line="300" w:lineRule="atLeast"/>
        <w:jc w:val="both"/>
        <w:rPr>
          <w:sz w:val="24"/>
          <w:szCs w:val="24"/>
        </w:rPr>
      </w:pPr>
      <w:r w:rsidRPr="005A744F">
        <w:rPr>
          <w:sz w:val="24"/>
          <w:szCs w:val="24"/>
        </w:rPr>
        <w:t xml:space="preserve">analizie danych zawartych w Bazie danych o produktach i opakowaniach oraz </w:t>
      </w:r>
      <w:r>
        <w:rPr>
          <w:sz w:val="24"/>
          <w:szCs w:val="24"/>
        </w:rPr>
        <w:br/>
      </w:r>
      <w:r w:rsidRPr="005A744F">
        <w:rPr>
          <w:sz w:val="24"/>
          <w:szCs w:val="24"/>
        </w:rPr>
        <w:t>o gospodarce odpadami (BDO),</w:t>
      </w:r>
    </w:p>
    <w:p w14:paraId="3364C33F" w14:textId="77777777" w:rsidR="005A744F" w:rsidRPr="005A744F" w:rsidRDefault="005A744F" w:rsidP="00D34F97">
      <w:pPr>
        <w:pStyle w:val="Akapitzlist"/>
        <w:numPr>
          <w:ilvl w:val="0"/>
          <w:numId w:val="241"/>
        </w:numPr>
        <w:spacing w:line="300" w:lineRule="atLeast"/>
        <w:jc w:val="both"/>
        <w:rPr>
          <w:sz w:val="24"/>
          <w:szCs w:val="24"/>
        </w:rPr>
      </w:pPr>
      <w:r w:rsidRPr="005A744F">
        <w:rPr>
          <w:sz w:val="24"/>
          <w:szCs w:val="24"/>
        </w:rPr>
        <w:t xml:space="preserve">uzyskaniu danych umożliwiających identyfikację wizualną terenów, </w:t>
      </w:r>
    </w:p>
    <w:p w14:paraId="3BA31776" w14:textId="77777777" w:rsidR="005A744F" w:rsidRPr="005A744F" w:rsidRDefault="005A744F" w:rsidP="00D34F97">
      <w:pPr>
        <w:pStyle w:val="Akapitzlist"/>
        <w:numPr>
          <w:ilvl w:val="0"/>
          <w:numId w:val="241"/>
        </w:numPr>
        <w:spacing w:line="300" w:lineRule="atLeast"/>
        <w:jc w:val="both"/>
        <w:rPr>
          <w:sz w:val="24"/>
          <w:szCs w:val="24"/>
        </w:rPr>
      </w:pPr>
      <w:r w:rsidRPr="005A744F">
        <w:rPr>
          <w:sz w:val="24"/>
          <w:szCs w:val="24"/>
        </w:rPr>
        <w:t>identyfikację podmiotów oraz ustaleniu ich stanu formalno-prawnego w celu zebrania informacji niezbędnych do podjęcia działań w otwartych źródłach.</w:t>
      </w:r>
    </w:p>
    <w:p w14:paraId="7AC7DFF5" w14:textId="77777777" w:rsidR="005A744F" w:rsidRPr="005A744F" w:rsidRDefault="005A744F" w:rsidP="005A744F">
      <w:pPr>
        <w:pStyle w:val="Akapitzlist"/>
        <w:spacing w:line="300" w:lineRule="atLeast"/>
        <w:ind w:left="142"/>
        <w:jc w:val="both"/>
        <w:rPr>
          <w:sz w:val="24"/>
          <w:szCs w:val="24"/>
        </w:rPr>
      </w:pPr>
    </w:p>
    <w:p w14:paraId="60E7AEE4" w14:textId="77777777" w:rsidR="005A744F" w:rsidRPr="005A744F" w:rsidRDefault="005A744F" w:rsidP="005A744F">
      <w:pPr>
        <w:pStyle w:val="Akapitzlist"/>
        <w:spacing w:after="60" w:line="300" w:lineRule="atLeast"/>
        <w:ind w:left="142"/>
        <w:contextualSpacing w:val="0"/>
        <w:jc w:val="both"/>
        <w:rPr>
          <w:sz w:val="24"/>
          <w:szCs w:val="24"/>
        </w:rPr>
      </w:pPr>
      <w:r w:rsidRPr="005A744F">
        <w:rPr>
          <w:sz w:val="24"/>
          <w:szCs w:val="24"/>
        </w:rPr>
        <w:t>Ponadto, w celu identyfikowania podmiotów mogących nielegalnie gospodarować odpadami wykonuje się działania polegające na:</w:t>
      </w:r>
    </w:p>
    <w:p w14:paraId="6B416BFF" w14:textId="77777777" w:rsidR="005A744F" w:rsidRPr="005A744F" w:rsidRDefault="005A744F" w:rsidP="00D34F97">
      <w:pPr>
        <w:pStyle w:val="Akapitzlist"/>
        <w:numPr>
          <w:ilvl w:val="0"/>
          <w:numId w:val="242"/>
        </w:numPr>
        <w:spacing w:line="300" w:lineRule="atLeast"/>
        <w:jc w:val="both"/>
        <w:rPr>
          <w:sz w:val="24"/>
          <w:szCs w:val="24"/>
        </w:rPr>
      </w:pPr>
      <w:r w:rsidRPr="005A744F">
        <w:rPr>
          <w:sz w:val="24"/>
          <w:szCs w:val="24"/>
        </w:rPr>
        <w:t>obserwowaniu i rejestrowaniu przy użyciu środków technicznych, w tym technik satelitarnych i bezzałogowych statków powietrznych, obrazu zdarzeń oraz dźwięku towarzyszącego tym zdarzeniom;</w:t>
      </w:r>
    </w:p>
    <w:p w14:paraId="47D8F804" w14:textId="77777777" w:rsidR="005A744F" w:rsidRPr="005A744F" w:rsidRDefault="005A744F" w:rsidP="00D34F97">
      <w:pPr>
        <w:pStyle w:val="Akapitzlist"/>
        <w:numPr>
          <w:ilvl w:val="0"/>
          <w:numId w:val="242"/>
        </w:numPr>
        <w:spacing w:line="300" w:lineRule="atLeast"/>
        <w:jc w:val="both"/>
        <w:rPr>
          <w:sz w:val="24"/>
          <w:szCs w:val="24"/>
        </w:rPr>
      </w:pPr>
      <w:r w:rsidRPr="005A744F">
        <w:rPr>
          <w:sz w:val="24"/>
          <w:szCs w:val="24"/>
        </w:rPr>
        <w:t xml:space="preserve">gromadzeniu i zabezpieczaniu dowodów popełnienia przestępstwa lub wykroczenia; </w:t>
      </w:r>
    </w:p>
    <w:p w14:paraId="69AF9E52" w14:textId="7B1B4582" w:rsidR="005A744F" w:rsidRPr="005A744F" w:rsidRDefault="005A744F" w:rsidP="00D34F97">
      <w:pPr>
        <w:pStyle w:val="Akapitzlist"/>
        <w:numPr>
          <w:ilvl w:val="0"/>
          <w:numId w:val="242"/>
        </w:numPr>
        <w:spacing w:line="300" w:lineRule="atLeast"/>
        <w:jc w:val="both"/>
        <w:rPr>
          <w:sz w:val="24"/>
          <w:szCs w:val="24"/>
        </w:rPr>
      </w:pPr>
      <w:r w:rsidRPr="005A744F">
        <w:rPr>
          <w:sz w:val="24"/>
          <w:szCs w:val="24"/>
        </w:rPr>
        <w:t xml:space="preserve">żądaniu pisemnych lub ustnych informacji oraz przesłuchiwaniu osób w zakresie niezbędnym dla ustalenia stanu faktycznego przy jednoczesnym pouczeniu ich </w:t>
      </w:r>
      <w:r>
        <w:rPr>
          <w:sz w:val="24"/>
          <w:szCs w:val="24"/>
        </w:rPr>
        <w:br/>
      </w:r>
      <w:r w:rsidRPr="005A744F">
        <w:rPr>
          <w:sz w:val="24"/>
          <w:szCs w:val="24"/>
        </w:rPr>
        <w:t>o odpowiedzialności karnej za składanie fałszywych zeznań, o której mowa w Kodeksie karnym;</w:t>
      </w:r>
    </w:p>
    <w:p w14:paraId="1159AD13" w14:textId="6046798C" w:rsidR="005A744F" w:rsidRPr="005A744F" w:rsidRDefault="005A744F" w:rsidP="00D34F97">
      <w:pPr>
        <w:pStyle w:val="Akapitzlist"/>
        <w:numPr>
          <w:ilvl w:val="0"/>
          <w:numId w:val="242"/>
        </w:numPr>
        <w:spacing w:line="300" w:lineRule="atLeast"/>
        <w:jc w:val="both"/>
        <w:rPr>
          <w:sz w:val="24"/>
          <w:szCs w:val="24"/>
        </w:rPr>
      </w:pPr>
      <w:r w:rsidRPr="005A744F">
        <w:rPr>
          <w:sz w:val="24"/>
          <w:szCs w:val="24"/>
        </w:rPr>
        <w:t xml:space="preserve">ustalaniu tożsamości osób oraz żądaniu okazania dokumentów niezbędnych do wymierzenia grzywny w drodze mandatu karnego lub sporządzeniu wniosku </w:t>
      </w:r>
      <w:r>
        <w:rPr>
          <w:sz w:val="24"/>
          <w:szCs w:val="24"/>
        </w:rPr>
        <w:br/>
      </w:r>
      <w:r w:rsidRPr="005A744F">
        <w:rPr>
          <w:sz w:val="24"/>
          <w:szCs w:val="24"/>
        </w:rPr>
        <w:t>o ukaranie;</w:t>
      </w:r>
    </w:p>
    <w:p w14:paraId="385159FD" w14:textId="77777777" w:rsidR="005A744F" w:rsidRPr="005A744F" w:rsidRDefault="005A744F" w:rsidP="00D34F97">
      <w:pPr>
        <w:pStyle w:val="Akapitzlist"/>
        <w:numPr>
          <w:ilvl w:val="0"/>
          <w:numId w:val="242"/>
        </w:numPr>
        <w:spacing w:line="300" w:lineRule="atLeast"/>
        <w:jc w:val="both"/>
        <w:rPr>
          <w:sz w:val="24"/>
          <w:szCs w:val="24"/>
        </w:rPr>
      </w:pPr>
      <w:r w:rsidRPr="005A744F">
        <w:rPr>
          <w:sz w:val="24"/>
          <w:szCs w:val="24"/>
        </w:rPr>
        <w:t>nakładaniu grzywien w postępowaniu mandatowym za wykroczenia określone w trybie przewidzianym przepisami o postępowaniu w sprawach o wykroczenia;</w:t>
      </w:r>
    </w:p>
    <w:p w14:paraId="23F61F92" w14:textId="77777777" w:rsidR="005A744F" w:rsidRPr="005A744F" w:rsidRDefault="005A744F" w:rsidP="00D34F97">
      <w:pPr>
        <w:pStyle w:val="Akapitzlist"/>
        <w:numPr>
          <w:ilvl w:val="0"/>
          <w:numId w:val="242"/>
        </w:numPr>
        <w:spacing w:line="300" w:lineRule="atLeast"/>
        <w:jc w:val="both"/>
        <w:rPr>
          <w:sz w:val="24"/>
          <w:szCs w:val="24"/>
        </w:rPr>
      </w:pPr>
      <w:r w:rsidRPr="005A744F">
        <w:rPr>
          <w:sz w:val="24"/>
          <w:szCs w:val="24"/>
        </w:rPr>
        <w:t>dokonywaniu oględzin pomieszczeń i innych miejsc;</w:t>
      </w:r>
    </w:p>
    <w:p w14:paraId="3425E3A7" w14:textId="77777777" w:rsidR="005A744F" w:rsidRPr="005A744F" w:rsidRDefault="005A744F" w:rsidP="00D34F97">
      <w:pPr>
        <w:pStyle w:val="Akapitzlist"/>
        <w:numPr>
          <w:ilvl w:val="0"/>
          <w:numId w:val="242"/>
        </w:numPr>
        <w:spacing w:line="300" w:lineRule="atLeast"/>
        <w:jc w:val="both"/>
        <w:rPr>
          <w:sz w:val="24"/>
          <w:szCs w:val="24"/>
        </w:rPr>
      </w:pPr>
      <w:r w:rsidRPr="005A744F">
        <w:rPr>
          <w:sz w:val="24"/>
          <w:szCs w:val="24"/>
        </w:rPr>
        <w:t>zatrzymywaniu lub przeszukiwaniu pojazdów przewożących towary oraz kontroli dokumentów związanych z przewozem towaru, jeżeli zachodzi podejrzenie przewożenia odpadów;</w:t>
      </w:r>
    </w:p>
    <w:p w14:paraId="2C9B5FAD" w14:textId="77777777" w:rsidR="005A744F" w:rsidRPr="005A744F" w:rsidRDefault="005A744F" w:rsidP="00D34F97">
      <w:pPr>
        <w:pStyle w:val="Akapitzlist"/>
        <w:numPr>
          <w:ilvl w:val="0"/>
          <w:numId w:val="242"/>
        </w:numPr>
        <w:spacing w:line="300" w:lineRule="atLeast"/>
        <w:jc w:val="both"/>
        <w:rPr>
          <w:sz w:val="24"/>
          <w:szCs w:val="24"/>
        </w:rPr>
      </w:pPr>
      <w:r w:rsidRPr="005A744F">
        <w:rPr>
          <w:sz w:val="24"/>
          <w:szCs w:val="24"/>
        </w:rPr>
        <w:t>udzielaniu pouczeń, zwracaniu uwagi, ostrzeganiu lub stosowaniu innych środków oddziaływania wychowawczego.</w:t>
      </w:r>
    </w:p>
    <w:p w14:paraId="5FB239CD" w14:textId="77777777" w:rsidR="005A744F" w:rsidRPr="005A744F" w:rsidRDefault="005A744F" w:rsidP="005A744F">
      <w:pPr>
        <w:spacing w:line="300" w:lineRule="atLeast"/>
        <w:contextualSpacing/>
        <w:jc w:val="both"/>
        <w:rPr>
          <w:rFonts w:ascii="Times New Roman" w:hAnsi="Times New Roman" w:cs="Times New Roman"/>
          <w:i/>
          <w:sz w:val="24"/>
          <w:szCs w:val="24"/>
        </w:rPr>
      </w:pPr>
    </w:p>
    <w:p w14:paraId="53605207" w14:textId="6B15608A" w:rsidR="005A744F" w:rsidRPr="005A744F" w:rsidRDefault="005A744F" w:rsidP="005A744F">
      <w:pPr>
        <w:spacing w:after="60" w:line="300" w:lineRule="atLeast"/>
        <w:jc w:val="both"/>
        <w:rPr>
          <w:rFonts w:ascii="Times New Roman" w:hAnsi="Times New Roman" w:cs="Times New Roman"/>
          <w:i/>
          <w:color w:val="4472C4"/>
          <w:sz w:val="24"/>
          <w:szCs w:val="24"/>
        </w:rPr>
      </w:pPr>
      <w:r w:rsidRPr="005A744F">
        <w:rPr>
          <w:rFonts w:ascii="Times New Roman" w:hAnsi="Times New Roman" w:cs="Times New Roman"/>
          <w:i/>
          <w:color w:val="4472C4"/>
          <w:sz w:val="24"/>
          <w:szCs w:val="24"/>
        </w:rPr>
        <w:t>Wojewódzki Inspektorat Ochrony Środowiska w Białymstok</w:t>
      </w:r>
      <w:r>
        <w:rPr>
          <w:rFonts w:ascii="Times New Roman" w:hAnsi="Times New Roman" w:cs="Times New Roman"/>
          <w:i/>
          <w:color w:val="4472C4"/>
          <w:sz w:val="24"/>
          <w:szCs w:val="24"/>
        </w:rPr>
        <w:t>u</w:t>
      </w:r>
    </w:p>
    <w:p w14:paraId="0D55ED29" w14:textId="7EACF353" w:rsidR="005A744F" w:rsidRPr="005A744F" w:rsidRDefault="005A744F" w:rsidP="008C0E04">
      <w:pPr>
        <w:spacing w:after="60" w:line="300" w:lineRule="atLeast"/>
        <w:jc w:val="both"/>
        <w:rPr>
          <w:rFonts w:ascii="Times New Roman" w:hAnsi="Times New Roman" w:cs="Times New Roman"/>
          <w:sz w:val="24"/>
          <w:szCs w:val="24"/>
        </w:rPr>
      </w:pPr>
      <w:r w:rsidRPr="005A744F">
        <w:rPr>
          <w:rFonts w:ascii="Times New Roman" w:hAnsi="Times New Roman" w:cs="Times New Roman"/>
          <w:sz w:val="24"/>
          <w:szCs w:val="24"/>
        </w:rPr>
        <w:t xml:space="preserve">W 2022 r. </w:t>
      </w:r>
      <w:r>
        <w:rPr>
          <w:rFonts w:ascii="Times New Roman" w:hAnsi="Times New Roman" w:cs="Times New Roman"/>
          <w:sz w:val="24"/>
          <w:szCs w:val="24"/>
        </w:rPr>
        <w:t xml:space="preserve">w ramach </w:t>
      </w:r>
      <w:r w:rsidRPr="005A744F">
        <w:rPr>
          <w:rFonts w:ascii="Times New Roman" w:hAnsi="Times New Roman" w:cs="Times New Roman"/>
          <w:sz w:val="24"/>
          <w:szCs w:val="24"/>
        </w:rPr>
        <w:t>działa z art. 10b IOŚ</w:t>
      </w:r>
      <w:r w:rsidR="008C0E04">
        <w:rPr>
          <w:rFonts w:ascii="Times New Roman" w:hAnsi="Times New Roman" w:cs="Times New Roman"/>
          <w:sz w:val="24"/>
          <w:szCs w:val="24"/>
        </w:rPr>
        <w:t>:</w:t>
      </w:r>
    </w:p>
    <w:p w14:paraId="347804C7" w14:textId="2E0835DF" w:rsidR="005A744F" w:rsidRPr="008C0E04" w:rsidRDefault="005A744F" w:rsidP="00D34F97">
      <w:pPr>
        <w:pStyle w:val="Akapitzlist"/>
        <w:numPr>
          <w:ilvl w:val="0"/>
          <w:numId w:val="243"/>
        </w:numPr>
        <w:spacing w:line="300" w:lineRule="atLeast"/>
        <w:jc w:val="both"/>
        <w:rPr>
          <w:sz w:val="24"/>
          <w:szCs w:val="24"/>
        </w:rPr>
      </w:pPr>
      <w:r w:rsidRPr="008C0E04">
        <w:rPr>
          <w:sz w:val="24"/>
          <w:szCs w:val="24"/>
        </w:rPr>
        <w:t>przeprowadzono oględziny – 68 szt. (25 szt. w 2021 r.),</w:t>
      </w:r>
    </w:p>
    <w:p w14:paraId="7B5C19AF" w14:textId="173F5287" w:rsidR="005A744F" w:rsidRPr="008C0E04" w:rsidRDefault="005A744F" w:rsidP="00D34F97">
      <w:pPr>
        <w:pStyle w:val="Akapitzlist"/>
        <w:numPr>
          <w:ilvl w:val="0"/>
          <w:numId w:val="243"/>
        </w:numPr>
        <w:spacing w:line="300" w:lineRule="atLeast"/>
        <w:jc w:val="both"/>
        <w:rPr>
          <w:sz w:val="24"/>
          <w:szCs w:val="24"/>
        </w:rPr>
      </w:pPr>
      <w:r w:rsidRPr="008C0E04">
        <w:rPr>
          <w:sz w:val="24"/>
          <w:szCs w:val="24"/>
        </w:rPr>
        <w:t>dokonano przesłuchania – 66 szt. (16 szt. w 2021 r.),</w:t>
      </w:r>
    </w:p>
    <w:p w14:paraId="17525526" w14:textId="06D7E190" w:rsidR="005A744F" w:rsidRPr="008C0E04" w:rsidRDefault="005A744F" w:rsidP="00D34F97">
      <w:pPr>
        <w:pStyle w:val="Akapitzlist"/>
        <w:numPr>
          <w:ilvl w:val="0"/>
          <w:numId w:val="243"/>
        </w:numPr>
        <w:spacing w:line="300" w:lineRule="atLeast"/>
        <w:jc w:val="both"/>
        <w:rPr>
          <w:sz w:val="24"/>
          <w:szCs w:val="24"/>
        </w:rPr>
      </w:pPr>
      <w:r w:rsidRPr="008C0E04">
        <w:rPr>
          <w:sz w:val="24"/>
          <w:szCs w:val="24"/>
        </w:rPr>
        <w:t>nałożono mandaty – 8 szt. (4 szt. w 2021 r.),</w:t>
      </w:r>
    </w:p>
    <w:p w14:paraId="4C994EF9" w14:textId="2C698F32" w:rsidR="005A744F" w:rsidRPr="008C0E04" w:rsidRDefault="005A744F" w:rsidP="00D34F97">
      <w:pPr>
        <w:pStyle w:val="Akapitzlist"/>
        <w:numPr>
          <w:ilvl w:val="0"/>
          <w:numId w:val="243"/>
        </w:numPr>
        <w:spacing w:after="60" w:line="300" w:lineRule="atLeast"/>
        <w:ind w:left="714" w:hanging="357"/>
        <w:contextualSpacing w:val="0"/>
        <w:jc w:val="both"/>
        <w:rPr>
          <w:sz w:val="24"/>
          <w:szCs w:val="24"/>
        </w:rPr>
      </w:pPr>
      <w:r w:rsidRPr="008C0E04">
        <w:rPr>
          <w:sz w:val="24"/>
          <w:szCs w:val="24"/>
        </w:rPr>
        <w:t>udzielono pouczenia – 8 szt.</w:t>
      </w:r>
    </w:p>
    <w:p w14:paraId="72AFDEB8" w14:textId="61D60F5F" w:rsidR="005A744F" w:rsidRPr="005A744F" w:rsidRDefault="008C0E04" w:rsidP="000B4968">
      <w:pPr>
        <w:spacing w:line="300" w:lineRule="atLeast"/>
        <w:ind w:firstLine="567"/>
        <w:contextualSpacing/>
        <w:jc w:val="both"/>
        <w:rPr>
          <w:rFonts w:ascii="Times New Roman" w:hAnsi="Times New Roman" w:cs="Times New Roman"/>
          <w:sz w:val="24"/>
          <w:szCs w:val="24"/>
        </w:rPr>
      </w:pPr>
      <w:r>
        <w:rPr>
          <w:rFonts w:ascii="Times New Roman" w:hAnsi="Times New Roman" w:cs="Times New Roman"/>
          <w:sz w:val="24"/>
          <w:szCs w:val="24"/>
        </w:rPr>
        <w:lastRenderedPageBreak/>
        <w:t xml:space="preserve">Obserwowany w roku </w:t>
      </w:r>
      <w:r w:rsidR="005A744F" w:rsidRPr="005A744F">
        <w:rPr>
          <w:rFonts w:ascii="Times New Roman" w:hAnsi="Times New Roman" w:cs="Times New Roman"/>
          <w:sz w:val="24"/>
          <w:szCs w:val="24"/>
        </w:rPr>
        <w:t>2022 wzrost podjętych czynności wynika</w:t>
      </w:r>
      <w:r>
        <w:rPr>
          <w:rFonts w:ascii="Times New Roman" w:hAnsi="Times New Roman" w:cs="Times New Roman"/>
          <w:sz w:val="24"/>
          <w:szCs w:val="24"/>
        </w:rPr>
        <w:t>ł</w:t>
      </w:r>
      <w:r w:rsidR="005A744F" w:rsidRPr="005A744F">
        <w:rPr>
          <w:rFonts w:ascii="Times New Roman" w:hAnsi="Times New Roman" w:cs="Times New Roman"/>
          <w:sz w:val="24"/>
          <w:szCs w:val="24"/>
        </w:rPr>
        <w:t xml:space="preserve"> z </w:t>
      </w:r>
      <w:r>
        <w:rPr>
          <w:rFonts w:ascii="Times New Roman" w:hAnsi="Times New Roman" w:cs="Times New Roman"/>
          <w:sz w:val="24"/>
          <w:szCs w:val="24"/>
        </w:rPr>
        <w:t xml:space="preserve">większej liczby </w:t>
      </w:r>
      <w:r w:rsidR="005A744F" w:rsidRPr="005A744F">
        <w:rPr>
          <w:rFonts w:ascii="Times New Roman" w:hAnsi="Times New Roman" w:cs="Times New Roman"/>
          <w:sz w:val="24"/>
          <w:szCs w:val="24"/>
        </w:rPr>
        <w:t xml:space="preserve">otrzymywanych zgłoszeń i innych działań grupy zadaniowej.  </w:t>
      </w:r>
    </w:p>
    <w:p w14:paraId="60003287" w14:textId="77777777" w:rsidR="005A744F" w:rsidRPr="005A744F" w:rsidRDefault="005A744F" w:rsidP="005A744F">
      <w:pPr>
        <w:spacing w:line="300" w:lineRule="atLeast"/>
        <w:contextualSpacing/>
        <w:jc w:val="both"/>
        <w:rPr>
          <w:rFonts w:ascii="Times New Roman" w:hAnsi="Times New Roman" w:cs="Times New Roman"/>
          <w:i/>
          <w:sz w:val="24"/>
          <w:szCs w:val="24"/>
        </w:rPr>
      </w:pPr>
    </w:p>
    <w:p w14:paraId="029F3E49" w14:textId="77777777" w:rsidR="005A744F" w:rsidRPr="005A744F" w:rsidRDefault="005A744F" w:rsidP="008C0E04">
      <w:pPr>
        <w:spacing w:after="60" w:line="300" w:lineRule="atLeast"/>
        <w:jc w:val="both"/>
        <w:rPr>
          <w:rFonts w:ascii="Times New Roman" w:hAnsi="Times New Roman" w:cs="Times New Roman"/>
          <w:i/>
          <w:color w:val="4472C4"/>
          <w:sz w:val="24"/>
          <w:szCs w:val="24"/>
        </w:rPr>
      </w:pPr>
      <w:r w:rsidRPr="005A744F">
        <w:rPr>
          <w:rFonts w:ascii="Times New Roman" w:hAnsi="Times New Roman" w:cs="Times New Roman"/>
          <w:i/>
          <w:color w:val="4472C4"/>
          <w:sz w:val="24"/>
          <w:szCs w:val="24"/>
        </w:rPr>
        <w:t>Wojewódzki Inspektorat Ochrony Środowiska w Bydgoszczy</w:t>
      </w:r>
    </w:p>
    <w:p w14:paraId="58B47732" w14:textId="048DEA77" w:rsidR="005A744F" w:rsidRPr="005A744F" w:rsidRDefault="005A744F" w:rsidP="008C0E04">
      <w:pPr>
        <w:spacing w:line="300" w:lineRule="atLeast"/>
        <w:ind w:firstLine="567"/>
        <w:contextualSpacing/>
        <w:jc w:val="both"/>
        <w:rPr>
          <w:rFonts w:ascii="Times New Roman" w:hAnsi="Times New Roman" w:cs="Times New Roman"/>
          <w:iCs/>
          <w:sz w:val="24"/>
          <w:szCs w:val="24"/>
        </w:rPr>
      </w:pPr>
      <w:r w:rsidRPr="005A744F">
        <w:rPr>
          <w:rFonts w:ascii="Times New Roman" w:hAnsi="Times New Roman" w:cs="Times New Roman"/>
          <w:iCs/>
          <w:sz w:val="24"/>
          <w:szCs w:val="24"/>
        </w:rPr>
        <w:t>Zauważalny jest wzrost liczby czynności podejmowanych w trybie 10 b IOŚ</w:t>
      </w:r>
      <w:r w:rsidR="008C0E04">
        <w:rPr>
          <w:rFonts w:ascii="Times New Roman" w:hAnsi="Times New Roman" w:cs="Times New Roman"/>
          <w:iCs/>
          <w:sz w:val="24"/>
          <w:szCs w:val="24"/>
        </w:rPr>
        <w:t>, co wiąże</w:t>
      </w:r>
      <w:r w:rsidRPr="005A744F">
        <w:rPr>
          <w:rFonts w:ascii="Times New Roman" w:hAnsi="Times New Roman" w:cs="Times New Roman"/>
          <w:iCs/>
          <w:sz w:val="24"/>
          <w:szCs w:val="24"/>
        </w:rPr>
        <w:t xml:space="preserve"> </w:t>
      </w:r>
      <w:r w:rsidR="008C0E04">
        <w:rPr>
          <w:rFonts w:ascii="Times New Roman" w:hAnsi="Times New Roman" w:cs="Times New Roman"/>
          <w:iCs/>
          <w:sz w:val="24"/>
          <w:szCs w:val="24"/>
        </w:rPr>
        <w:t xml:space="preserve">się </w:t>
      </w:r>
      <w:r w:rsidRPr="005A744F">
        <w:rPr>
          <w:rFonts w:ascii="Times New Roman" w:hAnsi="Times New Roman" w:cs="Times New Roman"/>
          <w:iCs/>
          <w:sz w:val="24"/>
          <w:szCs w:val="24"/>
        </w:rPr>
        <w:t xml:space="preserve">ze wzrostem liczby interwencji </w:t>
      </w:r>
      <w:r w:rsidR="008C0E04">
        <w:rPr>
          <w:rFonts w:ascii="Times New Roman" w:hAnsi="Times New Roman" w:cs="Times New Roman"/>
          <w:iCs/>
          <w:sz w:val="24"/>
          <w:szCs w:val="24"/>
        </w:rPr>
        <w:t xml:space="preserve">na skutek </w:t>
      </w:r>
      <w:r w:rsidRPr="005A744F">
        <w:rPr>
          <w:rFonts w:ascii="Times New Roman" w:hAnsi="Times New Roman" w:cs="Times New Roman"/>
          <w:iCs/>
          <w:sz w:val="24"/>
          <w:szCs w:val="24"/>
        </w:rPr>
        <w:t>rozwoj</w:t>
      </w:r>
      <w:r w:rsidR="008C0E04">
        <w:rPr>
          <w:rFonts w:ascii="Times New Roman" w:hAnsi="Times New Roman" w:cs="Times New Roman"/>
          <w:iCs/>
          <w:sz w:val="24"/>
          <w:szCs w:val="24"/>
        </w:rPr>
        <w:t>u</w:t>
      </w:r>
      <w:r w:rsidRPr="005A744F">
        <w:rPr>
          <w:rFonts w:ascii="Times New Roman" w:hAnsi="Times New Roman" w:cs="Times New Roman"/>
          <w:iCs/>
          <w:sz w:val="24"/>
          <w:szCs w:val="24"/>
        </w:rPr>
        <w:t xml:space="preserve"> przestępczości środowiskowej. </w:t>
      </w:r>
    </w:p>
    <w:p w14:paraId="1E4D9B66" w14:textId="686A6948" w:rsidR="005A744F" w:rsidRPr="005A744F" w:rsidRDefault="005A744F" w:rsidP="008C0E04">
      <w:pPr>
        <w:spacing w:line="300" w:lineRule="atLeast"/>
        <w:contextualSpacing/>
        <w:jc w:val="both"/>
        <w:rPr>
          <w:rFonts w:ascii="Times New Roman" w:hAnsi="Times New Roman" w:cs="Times New Roman"/>
          <w:iCs/>
          <w:sz w:val="24"/>
          <w:szCs w:val="24"/>
        </w:rPr>
      </w:pPr>
      <w:r w:rsidRPr="005A744F">
        <w:rPr>
          <w:rFonts w:ascii="Times New Roman" w:hAnsi="Times New Roman" w:cs="Times New Roman"/>
          <w:iCs/>
          <w:sz w:val="24"/>
          <w:szCs w:val="24"/>
        </w:rPr>
        <w:t xml:space="preserve">W 2022 r. </w:t>
      </w:r>
      <w:r w:rsidR="008C0E04" w:rsidRPr="005A744F">
        <w:rPr>
          <w:rFonts w:ascii="Times New Roman" w:hAnsi="Times New Roman" w:cs="Times New Roman"/>
          <w:iCs/>
          <w:sz w:val="24"/>
          <w:szCs w:val="24"/>
        </w:rPr>
        <w:t xml:space="preserve">w trybie 10b </w:t>
      </w:r>
      <w:r w:rsidRPr="005A744F">
        <w:rPr>
          <w:rFonts w:ascii="Times New Roman" w:hAnsi="Times New Roman" w:cs="Times New Roman"/>
          <w:iCs/>
          <w:sz w:val="24"/>
          <w:szCs w:val="24"/>
        </w:rPr>
        <w:t>przeprowadzono następujące czynności:</w:t>
      </w:r>
    </w:p>
    <w:p w14:paraId="224F508E" w14:textId="77777777" w:rsidR="005A744F" w:rsidRPr="005A744F" w:rsidRDefault="005A744F" w:rsidP="00D34F97">
      <w:pPr>
        <w:numPr>
          <w:ilvl w:val="0"/>
          <w:numId w:val="238"/>
        </w:numPr>
        <w:spacing w:after="0" w:line="300" w:lineRule="atLeast"/>
        <w:ind w:left="568" w:hanging="284"/>
        <w:contextualSpacing/>
        <w:jc w:val="both"/>
        <w:rPr>
          <w:rFonts w:ascii="Times New Roman" w:hAnsi="Times New Roman" w:cs="Times New Roman"/>
          <w:iCs/>
          <w:sz w:val="24"/>
          <w:szCs w:val="24"/>
        </w:rPr>
      </w:pPr>
      <w:r w:rsidRPr="005A744F">
        <w:rPr>
          <w:rFonts w:ascii="Times New Roman" w:hAnsi="Times New Roman" w:cs="Times New Roman"/>
          <w:iCs/>
          <w:sz w:val="24"/>
          <w:szCs w:val="24"/>
        </w:rPr>
        <w:t>obserwowanie i rejestrowanie przy użyciu środków technicznych, w tym technik satelitarnych i bezzałogowych statków powietrznych, obrazu zdarzeń oraz dźwięku towarzyszącego tym zdarzeniom – 96 (w porównaniu z 8 w 2021 r.),</w:t>
      </w:r>
    </w:p>
    <w:p w14:paraId="57D2096A" w14:textId="77777777" w:rsidR="005A744F" w:rsidRPr="005A744F" w:rsidRDefault="005A744F" w:rsidP="00D34F97">
      <w:pPr>
        <w:numPr>
          <w:ilvl w:val="0"/>
          <w:numId w:val="238"/>
        </w:numPr>
        <w:spacing w:after="0" w:line="300" w:lineRule="atLeast"/>
        <w:ind w:left="568" w:hanging="284"/>
        <w:contextualSpacing/>
        <w:jc w:val="both"/>
        <w:rPr>
          <w:rFonts w:ascii="Times New Roman" w:hAnsi="Times New Roman" w:cs="Times New Roman"/>
          <w:iCs/>
          <w:sz w:val="24"/>
          <w:szCs w:val="24"/>
        </w:rPr>
      </w:pPr>
      <w:r w:rsidRPr="005A744F">
        <w:rPr>
          <w:rFonts w:ascii="Times New Roman" w:hAnsi="Times New Roman" w:cs="Times New Roman"/>
          <w:iCs/>
          <w:sz w:val="24"/>
          <w:szCs w:val="24"/>
        </w:rPr>
        <w:t xml:space="preserve">gromadzenie i zabezpieczanie dowodów popełnienia przestępstwa lub wykroczenia – 26 </w:t>
      </w:r>
      <w:r w:rsidRPr="005A744F">
        <w:rPr>
          <w:rFonts w:ascii="Times New Roman" w:hAnsi="Times New Roman" w:cs="Times New Roman"/>
          <w:iCs/>
          <w:sz w:val="24"/>
          <w:szCs w:val="24"/>
        </w:rPr>
        <w:br/>
        <w:t>(2 w 2021 r.)</w:t>
      </w:r>
    </w:p>
    <w:p w14:paraId="2FBFF955" w14:textId="461BDFF8" w:rsidR="005A744F" w:rsidRPr="005A744F" w:rsidRDefault="005A744F" w:rsidP="00D34F97">
      <w:pPr>
        <w:numPr>
          <w:ilvl w:val="0"/>
          <w:numId w:val="238"/>
        </w:numPr>
        <w:spacing w:after="0" w:line="300" w:lineRule="atLeast"/>
        <w:ind w:left="568" w:hanging="284"/>
        <w:contextualSpacing/>
        <w:jc w:val="both"/>
        <w:rPr>
          <w:rFonts w:ascii="Times New Roman" w:hAnsi="Times New Roman" w:cs="Times New Roman"/>
          <w:iCs/>
          <w:sz w:val="24"/>
          <w:szCs w:val="24"/>
        </w:rPr>
      </w:pPr>
      <w:r w:rsidRPr="005A744F">
        <w:rPr>
          <w:rFonts w:ascii="Times New Roman" w:hAnsi="Times New Roman" w:cs="Times New Roman"/>
          <w:iCs/>
          <w:sz w:val="24"/>
          <w:szCs w:val="24"/>
        </w:rPr>
        <w:t xml:space="preserve">żądanie pisemnych lub ustnych informacji oraz przesłuchiwanie osób w zakresie niezbędnym dla ustalenia stanu faktycznego przy jednoczesnym pouczeniu ich </w:t>
      </w:r>
      <w:r w:rsidR="008C0E04">
        <w:rPr>
          <w:rFonts w:ascii="Times New Roman" w:hAnsi="Times New Roman" w:cs="Times New Roman"/>
          <w:iCs/>
          <w:sz w:val="24"/>
          <w:szCs w:val="24"/>
        </w:rPr>
        <w:br/>
      </w:r>
      <w:r w:rsidRPr="005A744F">
        <w:rPr>
          <w:rFonts w:ascii="Times New Roman" w:hAnsi="Times New Roman" w:cs="Times New Roman"/>
          <w:iCs/>
          <w:sz w:val="24"/>
          <w:szCs w:val="24"/>
        </w:rPr>
        <w:t xml:space="preserve">o odpowiedzialności karnej za składanie fałszywych zeznań, o której mowa w Kodeksie karnym – 66 (36 w 2021 r), </w:t>
      </w:r>
    </w:p>
    <w:p w14:paraId="72CCF2D7" w14:textId="366C06DC" w:rsidR="005A744F" w:rsidRPr="005A744F" w:rsidRDefault="005A744F" w:rsidP="00D34F97">
      <w:pPr>
        <w:numPr>
          <w:ilvl w:val="0"/>
          <w:numId w:val="238"/>
        </w:numPr>
        <w:spacing w:after="0" w:line="300" w:lineRule="atLeast"/>
        <w:ind w:left="568" w:hanging="284"/>
        <w:contextualSpacing/>
        <w:jc w:val="both"/>
        <w:rPr>
          <w:rFonts w:ascii="Times New Roman" w:hAnsi="Times New Roman" w:cs="Times New Roman"/>
          <w:iCs/>
          <w:sz w:val="24"/>
          <w:szCs w:val="24"/>
        </w:rPr>
      </w:pPr>
      <w:r w:rsidRPr="005A744F">
        <w:rPr>
          <w:rFonts w:ascii="Times New Roman" w:hAnsi="Times New Roman" w:cs="Times New Roman"/>
          <w:iCs/>
          <w:sz w:val="24"/>
          <w:szCs w:val="24"/>
        </w:rPr>
        <w:t xml:space="preserve">ustalanie tożsamości osób oraz żądanie okazania dokumentów niezbędnych do wymierzenia grzywny w drodze mandatu karnego lub sporządzeniu wniosku o ukaranie – 60 </w:t>
      </w:r>
      <w:r w:rsidR="008C0E04">
        <w:rPr>
          <w:rFonts w:ascii="Times New Roman" w:hAnsi="Times New Roman" w:cs="Times New Roman"/>
          <w:iCs/>
          <w:sz w:val="24"/>
          <w:szCs w:val="24"/>
        </w:rPr>
        <w:t xml:space="preserve"> </w:t>
      </w:r>
      <w:r w:rsidRPr="005A744F">
        <w:rPr>
          <w:rFonts w:ascii="Times New Roman" w:hAnsi="Times New Roman" w:cs="Times New Roman"/>
          <w:iCs/>
          <w:sz w:val="24"/>
          <w:szCs w:val="24"/>
        </w:rPr>
        <w:t>(36 w 2021 r.),</w:t>
      </w:r>
    </w:p>
    <w:p w14:paraId="3B8D0E74" w14:textId="694FF0A0" w:rsidR="005A744F" w:rsidRPr="005A744F" w:rsidRDefault="005A744F" w:rsidP="00D34F97">
      <w:pPr>
        <w:numPr>
          <w:ilvl w:val="0"/>
          <w:numId w:val="238"/>
        </w:numPr>
        <w:spacing w:after="0" w:line="300" w:lineRule="atLeast"/>
        <w:ind w:left="568" w:hanging="284"/>
        <w:contextualSpacing/>
        <w:jc w:val="both"/>
        <w:rPr>
          <w:rFonts w:ascii="Times New Roman" w:hAnsi="Times New Roman" w:cs="Times New Roman"/>
          <w:iCs/>
          <w:sz w:val="24"/>
          <w:szCs w:val="24"/>
        </w:rPr>
      </w:pPr>
      <w:r w:rsidRPr="005A744F">
        <w:rPr>
          <w:rFonts w:ascii="Times New Roman" w:hAnsi="Times New Roman" w:cs="Times New Roman"/>
          <w:iCs/>
          <w:sz w:val="24"/>
          <w:szCs w:val="24"/>
        </w:rPr>
        <w:t xml:space="preserve">nakładanie grzywien w postępowaniu mandatowym za wykroczenia określone w trybie przewidzianym przepisami o postępowaniu w sprawach o wykroczenia – 21 </w:t>
      </w:r>
      <w:r w:rsidR="008C0E04">
        <w:rPr>
          <w:rFonts w:ascii="Times New Roman" w:hAnsi="Times New Roman" w:cs="Times New Roman"/>
          <w:iCs/>
          <w:sz w:val="24"/>
          <w:szCs w:val="24"/>
        </w:rPr>
        <w:br/>
      </w:r>
      <w:r w:rsidRPr="005A744F">
        <w:rPr>
          <w:rFonts w:ascii="Times New Roman" w:hAnsi="Times New Roman" w:cs="Times New Roman"/>
          <w:iCs/>
          <w:sz w:val="24"/>
          <w:szCs w:val="24"/>
        </w:rPr>
        <w:t>(1 w 2021 r.)</w:t>
      </w:r>
    </w:p>
    <w:p w14:paraId="2D7044CB" w14:textId="77777777" w:rsidR="005A744F" w:rsidRPr="005A744F" w:rsidRDefault="005A744F" w:rsidP="00D34F97">
      <w:pPr>
        <w:numPr>
          <w:ilvl w:val="0"/>
          <w:numId w:val="238"/>
        </w:numPr>
        <w:spacing w:after="0" w:line="300" w:lineRule="atLeast"/>
        <w:ind w:left="568" w:hanging="284"/>
        <w:contextualSpacing/>
        <w:jc w:val="both"/>
        <w:rPr>
          <w:rFonts w:ascii="Times New Roman" w:hAnsi="Times New Roman" w:cs="Times New Roman"/>
          <w:iCs/>
          <w:sz w:val="24"/>
          <w:szCs w:val="24"/>
        </w:rPr>
      </w:pPr>
      <w:r w:rsidRPr="005A744F">
        <w:rPr>
          <w:rFonts w:ascii="Times New Roman" w:hAnsi="Times New Roman" w:cs="Times New Roman"/>
          <w:iCs/>
          <w:sz w:val="24"/>
          <w:szCs w:val="24"/>
        </w:rPr>
        <w:t>dokonywanie oględzin pomieszczeń i innych miejsc – 138 (48 w 2021 r.),</w:t>
      </w:r>
    </w:p>
    <w:p w14:paraId="470BF29E" w14:textId="77777777" w:rsidR="005A744F" w:rsidRPr="005A744F" w:rsidRDefault="005A744F" w:rsidP="00D34F97">
      <w:pPr>
        <w:numPr>
          <w:ilvl w:val="0"/>
          <w:numId w:val="238"/>
        </w:numPr>
        <w:spacing w:after="0" w:line="300" w:lineRule="atLeast"/>
        <w:ind w:left="568" w:hanging="284"/>
        <w:contextualSpacing/>
        <w:jc w:val="both"/>
        <w:rPr>
          <w:rFonts w:ascii="Times New Roman" w:hAnsi="Times New Roman" w:cs="Times New Roman"/>
          <w:iCs/>
          <w:sz w:val="24"/>
          <w:szCs w:val="24"/>
        </w:rPr>
      </w:pPr>
      <w:r w:rsidRPr="005A744F">
        <w:rPr>
          <w:rFonts w:ascii="Times New Roman" w:hAnsi="Times New Roman" w:cs="Times New Roman"/>
          <w:iCs/>
          <w:sz w:val="24"/>
          <w:szCs w:val="24"/>
        </w:rPr>
        <w:t xml:space="preserve">udzielanie pouczeń, zwracanie uwagi, ostrzeganie lub stosowanie innych środków oddziaływania wychowawczego – 18 (27 w 2021 r.). </w:t>
      </w:r>
    </w:p>
    <w:p w14:paraId="30676D31" w14:textId="3ACF07A3" w:rsidR="005A744F" w:rsidRPr="005A744F" w:rsidRDefault="005A744F" w:rsidP="008C0E04">
      <w:pPr>
        <w:spacing w:line="300" w:lineRule="atLeast"/>
        <w:contextualSpacing/>
        <w:jc w:val="both"/>
        <w:rPr>
          <w:rFonts w:ascii="Times New Roman" w:hAnsi="Times New Roman" w:cs="Times New Roman"/>
          <w:iCs/>
          <w:sz w:val="24"/>
          <w:szCs w:val="24"/>
        </w:rPr>
      </w:pPr>
      <w:r w:rsidRPr="005A744F">
        <w:rPr>
          <w:rFonts w:ascii="Times New Roman" w:hAnsi="Times New Roman" w:cs="Times New Roman"/>
          <w:iCs/>
          <w:sz w:val="24"/>
          <w:szCs w:val="24"/>
        </w:rPr>
        <w:t xml:space="preserve">Łącznie w 2022 r. </w:t>
      </w:r>
      <w:r w:rsidRPr="005A744F">
        <w:rPr>
          <w:rFonts w:ascii="Times New Roman" w:hAnsi="Times New Roman" w:cs="Times New Roman"/>
          <w:iCs/>
          <w:color w:val="000000"/>
          <w:sz w:val="24"/>
          <w:szCs w:val="24"/>
        </w:rPr>
        <w:t>przeprowadzono 425 w</w:t>
      </w:r>
      <w:r w:rsidRPr="005A744F">
        <w:rPr>
          <w:rFonts w:ascii="Times New Roman" w:hAnsi="Times New Roman" w:cs="Times New Roman"/>
          <w:iCs/>
          <w:sz w:val="24"/>
          <w:szCs w:val="24"/>
        </w:rPr>
        <w:t xml:space="preserve">w. czynności w porównaniu ze 158 czynnościami </w:t>
      </w:r>
      <w:r w:rsidR="008C0E04">
        <w:rPr>
          <w:rFonts w:ascii="Times New Roman" w:hAnsi="Times New Roman" w:cs="Times New Roman"/>
          <w:iCs/>
          <w:sz w:val="24"/>
          <w:szCs w:val="24"/>
        </w:rPr>
        <w:br/>
      </w:r>
      <w:r w:rsidRPr="005A744F">
        <w:rPr>
          <w:rFonts w:ascii="Times New Roman" w:hAnsi="Times New Roman" w:cs="Times New Roman"/>
          <w:iCs/>
          <w:sz w:val="24"/>
          <w:szCs w:val="24"/>
        </w:rPr>
        <w:t>w roku 2021.</w:t>
      </w:r>
    </w:p>
    <w:p w14:paraId="0AD4C9D2" w14:textId="77777777" w:rsidR="005A744F" w:rsidRPr="005A744F" w:rsidRDefault="005A744F" w:rsidP="000B4968">
      <w:pPr>
        <w:spacing w:after="0" w:line="300" w:lineRule="atLeast"/>
        <w:ind w:firstLine="567"/>
        <w:jc w:val="both"/>
        <w:rPr>
          <w:rFonts w:ascii="Times New Roman" w:hAnsi="Times New Roman" w:cs="Times New Roman"/>
          <w:sz w:val="24"/>
          <w:szCs w:val="24"/>
        </w:rPr>
      </w:pPr>
      <w:r w:rsidRPr="005A744F">
        <w:rPr>
          <w:rFonts w:ascii="Times New Roman" w:hAnsi="Times New Roman" w:cs="Times New Roman"/>
          <w:sz w:val="24"/>
          <w:szCs w:val="24"/>
        </w:rPr>
        <w:t>Wpływ na tak duży wzrost aktywności miała zarówno reorganizacja składu Zespołu, jak również priorytetowe podejście do kwestii przestępczości środowiskowej.</w:t>
      </w:r>
    </w:p>
    <w:p w14:paraId="17D82ED8" w14:textId="77777777" w:rsidR="005A744F" w:rsidRPr="005A744F" w:rsidRDefault="005A744F" w:rsidP="005A744F">
      <w:pPr>
        <w:spacing w:line="300" w:lineRule="atLeast"/>
        <w:contextualSpacing/>
        <w:jc w:val="both"/>
        <w:rPr>
          <w:rFonts w:ascii="Times New Roman" w:hAnsi="Times New Roman" w:cs="Times New Roman"/>
          <w:i/>
          <w:color w:val="4472C4"/>
          <w:sz w:val="24"/>
          <w:szCs w:val="24"/>
        </w:rPr>
      </w:pPr>
    </w:p>
    <w:p w14:paraId="5B89DE92" w14:textId="77777777" w:rsidR="005A744F" w:rsidRPr="005A744F" w:rsidRDefault="005A744F" w:rsidP="008C0E04">
      <w:pPr>
        <w:spacing w:after="60" w:line="300" w:lineRule="atLeast"/>
        <w:jc w:val="both"/>
        <w:rPr>
          <w:rFonts w:ascii="Times New Roman" w:hAnsi="Times New Roman" w:cs="Times New Roman"/>
          <w:i/>
          <w:color w:val="4472C4"/>
          <w:sz w:val="24"/>
          <w:szCs w:val="24"/>
        </w:rPr>
      </w:pPr>
      <w:r w:rsidRPr="005A744F">
        <w:rPr>
          <w:rFonts w:ascii="Times New Roman" w:hAnsi="Times New Roman" w:cs="Times New Roman"/>
          <w:i/>
          <w:color w:val="4472C4"/>
          <w:sz w:val="24"/>
          <w:szCs w:val="24"/>
        </w:rPr>
        <w:t>Wojewódzki Inspektorat Ochrony Środowiska w Gdańsku</w:t>
      </w:r>
    </w:p>
    <w:p w14:paraId="4440FADB" w14:textId="6C9028B7" w:rsidR="005A744F" w:rsidRPr="005A744F" w:rsidRDefault="005A744F" w:rsidP="000B4968">
      <w:pPr>
        <w:autoSpaceDE w:val="0"/>
        <w:autoSpaceDN w:val="0"/>
        <w:adjustRightInd w:val="0"/>
        <w:spacing w:line="300" w:lineRule="atLeast"/>
        <w:ind w:firstLine="567"/>
        <w:contextualSpacing/>
        <w:jc w:val="both"/>
        <w:rPr>
          <w:rFonts w:ascii="Times New Roman" w:hAnsi="Times New Roman" w:cs="Times New Roman"/>
          <w:sz w:val="24"/>
          <w:szCs w:val="24"/>
        </w:rPr>
      </w:pPr>
      <w:r w:rsidRPr="005A744F">
        <w:rPr>
          <w:rFonts w:ascii="Times New Roman" w:hAnsi="Times New Roman" w:cs="Times New Roman"/>
          <w:sz w:val="24"/>
          <w:szCs w:val="24"/>
        </w:rPr>
        <w:t xml:space="preserve">W roku 2022 czynności z art. 10b ustawy o IOŚ podjęto w 287 sprawach. Natomiast </w:t>
      </w:r>
      <w:r w:rsidR="00EB7813">
        <w:rPr>
          <w:rFonts w:ascii="Times New Roman" w:hAnsi="Times New Roman" w:cs="Times New Roman"/>
          <w:sz w:val="24"/>
          <w:szCs w:val="24"/>
        </w:rPr>
        <w:br/>
      </w:r>
      <w:r w:rsidRPr="005A744F">
        <w:rPr>
          <w:rFonts w:ascii="Times New Roman" w:hAnsi="Times New Roman" w:cs="Times New Roman"/>
          <w:sz w:val="24"/>
          <w:szCs w:val="24"/>
        </w:rPr>
        <w:t>w roku</w:t>
      </w:r>
      <w:r w:rsidR="00EB7813">
        <w:rPr>
          <w:rFonts w:ascii="Times New Roman" w:hAnsi="Times New Roman" w:cs="Times New Roman"/>
          <w:sz w:val="24"/>
          <w:szCs w:val="24"/>
        </w:rPr>
        <w:t xml:space="preserve"> 2021 </w:t>
      </w:r>
      <w:r w:rsidRPr="005A744F">
        <w:rPr>
          <w:rFonts w:ascii="Times New Roman" w:hAnsi="Times New Roman" w:cs="Times New Roman"/>
          <w:sz w:val="24"/>
          <w:szCs w:val="24"/>
        </w:rPr>
        <w:t>w 434 sprawach. Czynności były wykonywane zarówno przez inspektorów</w:t>
      </w:r>
      <w:r w:rsidR="00EB7813">
        <w:rPr>
          <w:rFonts w:ascii="Times New Roman" w:hAnsi="Times New Roman" w:cs="Times New Roman"/>
          <w:sz w:val="24"/>
          <w:szCs w:val="24"/>
        </w:rPr>
        <w:t xml:space="preserve"> </w:t>
      </w:r>
      <w:r w:rsidRPr="005A744F">
        <w:rPr>
          <w:rFonts w:ascii="Times New Roman" w:hAnsi="Times New Roman" w:cs="Times New Roman"/>
          <w:sz w:val="24"/>
          <w:szCs w:val="24"/>
        </w:rPr>
        <w:t>Wydziału Inspekcji, Grupy Interwencyjno-Wyjazdowej oraz od 1 lipca 2022 r. przez Wydział</w:t>
      </w:r>
      <w:r w:rsidR="00EB7813">
        <w:rPr>
          <w:rFonts w:ascii="Times New Roman" w:hAnsi="Times New Roman" w:cs="Times New Roman"/>
          <w:sz w:val="24"/>
          <w:szCs w:val="24"/>
        </w:rPr>
        <w:t xml:space="preserve"> </w:t>
      </w:r>
      <w:r w:rsidRPr="005A744F">
        <w:rPr>
          <w:rFonts w:ascii="Times New Roman" w:hAnsi="Times New Roman" w:cs="Times New Roman"/>
          <w:sz w:val="24"/>
          <w:szCs w:val="24"/>
        </w:rPr>
        <w:t>Zwalczania Przestępczości Środowiskowej.</w:t>
      </w:r>
    </w:p>
    <w:p w14:paraId="6D815710" w14:textId="7E11B8E1" w:rsidR="005A744F" w:rsidRPr="005A744F" w:rsidRDefault="005A744F" w:rsidP="000B4968">
      <w:pPr>
        <w:autoSpaceDE w:val="0"/>
        <w:autoSpaceDN w:val="0"/>
        <w:adjustRightInd w:val="0"/>
        <w:spacing w:line="300" w:lineRule="atLeast"/>
        <w:ind w:firstLine="567"/>
        <w:contextualSpacing/>
        <w:jc w:val="both"/>
        <w:rPr>
          <w:rFonts w:ascii="Times New Roman" w:hAnsi="Times New Roman" w:cs="Times New Roman"/>
          <w:sz w:val="24"/>
          <w:szCs w:val="24"/>
        </w:rPr>
      </w:pPr>
      <w:r w:rsidRPr="005A744F">
        <w:rPr>
          <w:rFonts w:ascii="Times New Roman" w:hAnsi="Times New Roman" w:cs="Times New Roman"/>
          <w:sz w:val="24"/>
          <w:szCs w:val="24"/>
        </w:rPr>
        <w:t>Zmiana ilości działań wynika z tego, że w 2022 roku czynności polegające na zatrzymywaniu</w:t>
      </w:r>
      <w:r w:rsidR="00EB7813">
        <w:rPr>
          <w:rFonts w:ascii="Times New Roman" w:hAnsi="Times New Roman" w:cs="Times New Roman"/>
          <w:sz w:val="24"/>
          <w:szCs w:val="24"/>
        </w:rPr>
        <w:t xml:space="preserve"> </w:t>
      </w:r>
      <w:r w:rsidRPr="005A744F">
        <w:rPr>
          <w:rFonts w:ascii="Times New Roman" w:hAnsi="Times New Roman" w:cs="Times New Roman"/>
          <w:sz w:val="24"/>
          <w:szCs w:val="24"/>
        </w:rPr>
        <w:t>lub przeszukiwaniu pojazdów przewożących towary oraz kontrola dokumentów związanych</w:t>
      </w:r>
      <w:r w:rsidR="00EB7813">
        <w:rPr>
          <w:rFonts w:ascii="Times New Roman" w:hAnsi="Times New Roman" w:cs="Times New Roman"/>
          <w:sz w:val="24"/>
          <w:szCs w:val="24"/>
        </w:rPr>
        <w:t xml:space="preserve"> </w:t>
      </w:r>
      <w:r w:rsidRPr="005A744F">
        <w:rPr>
          <w:rFonts w:ascii="Times New Roman" w:hAnsi="Times New Roman" w:cs="Times New Roman"/>
          <w:sz w:val="24"/>
          <w:szCs w:val="24"/>
        </w:rPr>
        <w:t>z przewozem towaru w ramach cyklicznych akcji kontroli transportów odpadów nie była</w:t>
      </w:r>
      <w:r w:rsidR="00EB7813">
        <w:rPr>
          <w:rFonts w:ascii="Times New Roman" w:hAnsi="Times New Roman" w:cs="Times New Roman"/>
          <w:sz w:val="24"/>
          <w:szCs w:val="24"/>
        </w:rPr>
        <w:t xml:space="preserve"> </w:t>
      </w:r>
      <w:r w:rsidRPr="005A744F">
        <w:rPr>
          <w:rFonts w:ascii="Times New Roman" w:hAnsi="Times New Roman" w:cs="Times New Roman"/>
          <w:sz w:val="24"/>
          <w:szCs w:val="24"/>
        </w:rPr>
        <w:t>wykonywana w ww. trybie w związku z dokonaną przez ustawodawcę konwersją wykroczeń</w:t>
      </w:r>
      <w:r w:rsidR="00EB7813">
        <w:rPr>
          <w:rFonts w:ascii="Times New Roman" w:hAnsi="Times New Roman" w:cs="Times New Roman"/>
          <w:sz w:val="24"/>
          <w:szCs w:val="24"/>
        </w:rPr>
        <w:t xml:space="preserve"> </w:t>
      </w:r>
      <w:r w:rsidRPr="005A744F">
        <w:rPr>
          <w:rFonts w:ascii="Times New Roman" w:hAnsi="Times New Roman" w:cs="Times New Roman"/>
          <w:sz w:val="24"/>
          <w:szCs w:val="24"/>
        </w:rPr>
        <w:t>związanych z transportem odpadów (art. 174 ust. 1 i 2, art. 175 ustawy o odpadach) w delikty</w:t>
      </w:r>
      <w:r w:rsidR="00EB7813">
        <w:rPr>
          <w:rFonts w:ascii="Times New Roman" w:hAnsi="Times New Roman" w:cs="Times New Roman"/>
          <w:sz w:val="24"/>
          <w:szCs w:val="24"/>
        </w:rPr>
        <w:t xml:space="preserve"> </w:t>
      </w:r>
      <w:r w:rsidRPr="005A744F">
        <w:rPr>
          <w:rFonts w:ascii="Times New Roman" w:hAnsi="Times New Roman" w:cs="Times New Roman"/>
          <w:sz w:val="24"/>
          <w:szCs w:val="24"/>
        </w:rPr>
        <w:t xml:space="preserve">administracyjne (art. 194 ust. 1 pkt 2a, 3a, art. 194b) </w:t>
      </w:r>
      <w:r w:rsidR="00EB7813">
        <w:rPr>
          <w:rFonts w:ascii="Times New Roman" w:hAnsi="Times New Roman" w:cs="Times New Roman"/>
          <w:sz w:val="24"/>
          <w:szCs w:val="24"/>
        </w:rPr>
        <w:br/>
      </w:r>
      <w:r w:rsidRPr="005A744F">
        <w:rPr>
          <w:rFonts w:ascii="Times New Roman" w:hAnsi="Times New Roman" w:cs="Times New Roman"/>
          <w:sz w:val="24"/>
          <w:szCs w:val="24"/>
        </w:rPr>
        <w:t>i brakiem podstaw do wykonywania tych</w:t>
      </w:r>
      <w:r w:rsidR="00EB7813">
        <w:rPr>
          <w:rFonts w:ascii="Times New Roman" w:hAnsi="Times New Roman" w:cs="Times New Roman"/>
          <w:sz w:val="24"/>
          <w:szCs w:val="24"/>
        </w:rPr>
        <w:t xml:space="preserve"> </w:t>
      </w:r>
      <w:r w:rsidRPr="005A744F">
        <w:rPr>
          <w:rFonts w:ascii="Times New Roman" w:hAnsi="Times New Roman" w:cs="Times New Roman"/>
          <w:sz w:val="24"/>
          <w:szCs w:val="24"/>
        </w:rPr>
        <w:t>czynności w ww. trybie w ramach akcji prewencyjnych.</w:t>
      </w:r>
    </w:p>
    <w:p w14:paraId="15F5E3B9" w14:textId="77777777" w:rsidR="005A744F" w:rsidRPr="005A744F" w:rsidRDefault="005A744F" w:rsidP="00EB7813">
      <w:pPr>
        <w:spacing w:line="300" w:lineRule="atLeast"/>
        <w:contextualSpacing/>
        <w:jc w:val="both"/>
        <w:rPr>
          <w:rFonts w:ascii="Times New Roman" w:hAnsi="Times New Roman" w:cs="Times New Roman"/>
          <w:i/>
          <w:color w:val="4472C4"/>
          <w:sz w:val="24"/>
          <w:szCs w:val="24"/>
        </w:rPr>
      </w:pPr>
    </w:p>
    <w:p w14:paraId="152DDAB2" w14:textId="77777777" w:rsidR="005A744F" w:rsidRPr="005A744F" w:rsidRDefault="005A744F" w:rsidP="009C0836">
      <w:pPr>
        <w:spacing w:after="60" w:line="300" w:lineRule="atLeast"/>
        <w:jc w:val="both"/>
        <w:rPr>
          <w:rFonts w:ascii="Times New Roman" w:hAnsi="Times New Roman" w:cs="Times New Roman"/>
          <w:i/>
          <w:color w:val="4472C4"/>
          <w:sz w:val="24"/>
          <w:szCs w:val="24"/>
        </w:rPr>
      </w:pPr>
      <w:r w:rsidRPr="005A744F">
        <w:rPr>
          <w:rFonts w:ascii="Times New Roman" w:hAnsi="Times New Roman" w:cs="Times New Roman"/>
          <w:i/>
          <w:color w:val="4472C4"/>
          <w:sz w:val="24"/>
          <w:szCs w:val="24"/>
        </w:rPr>
        <w:t>Wojewódzki Inspektorat Ochrony Środowiska w Katowicach</w:t>
      </w:r>
    </w:p>
    <w:p w14:paraId="4AF6DE05" w14:textId="77777777" w:rsidR="000B7F08" w:rsidRDefault="005A744F" w:rsidP="000B4968">
      <w:pPr>
        <w:spacing w:line="300" w:lineRule="atLeast"/>
        <w:ind w:firstLine="567"/>
        <w:contextualSpacing/>
        <w:jc w:val="both"/>
        <w:rPr>
          <w:rFonts w:ascii="Times New Roman" w:hAnsi="Times New Roman" w:cs="Times New Roman"/>
          <w:sz w:val="24"/>
          <w:szCs w:val="24"/>
        </w:rPr>
      </w:pPr>
      <w:r w:rsidRPr="005A744F">
        <w:rPr>
          <w:rFonts w:ascii="Times New Roman" w:hAnsi="Times New Roman" w:cs="Times New Roman"/>
          <w:sz w:val="24"/>
          <w:szCs w:val="24"/>
        </w:rPr>
        <w:lastRenderedPageBreak/>
        <w:t>Łącznie Grupa Interwencyjno-Wyjazdowa w 2022 r. przeprowadziła 469 działań interwencyjnych</w:t>
      </w:r>
      <w:r w:rsidR="000B7F08">
        <w:rPr>
          <w:rFonts w:ascii="Times New Roman" w:hAnsi="Times New Roman" w:cs="Times New Roman"/>
          <w:sz w:val="24"/>
          <w:szCs w:val="24"/>
        </w:rPr>
        <w:t>,</w:t>
      </w:r>
      <w:r w:rsidRPr="005A744F">
        <w:rPr>
          <w:rFonts w:ascii="Times New Roman" w:hAnsi="Times New Roman" w:cs="Times New Roman"/>
          <w:sz w:val="24"/>
          <w:szCs w:val="24"/>
        </w:rPr>
        <w:t xml:space="preserve"> w tym wynikających z art.10</w:t>
      </w:r>
      <w:r w:rsidR="000B7F08">
        <w:rPr>
          <w:rFonts w:ascii="Times New Roman" w:hAnsi="Times New Roman" w:cs="Times New Roman"/>
          <w:sz w:val="24"/>
          <w:szCs w:val="24"/>
        </w:rPr>
        <w:t>b</w:t>
      </w:r>
      <w:r w:rsidRPr="005A744F">
        <w:rPr>
          <w:rFonts w:ascii="Times New Roman" w:hAnsi="Times New Roman" w:cs="Times New Roman"/>
          <w:sz w:val="24"/>
          <w:szCs w:val="24"/>
        </w:rPr>
        <w:t xml:space="preserve"> ustawy o IOŚ, dotyczących rozpoznania zanieczyszczenia w terenie</w:t>
      </w:r>
      <w:r w:rsidR="000B7F08">
        <w:rPr>
          <w:rFonts w:ascii="Times New Roman" w:hAnsi="Times New Roman" w:cs="Times New Roman"/>
          <w:sz w:val="24"/>
          <w:szCs w:val="24"/>
        </w:rPr>
        <w:t>,</w:t>
      </w:r>
      <w:r w:rsidRPr="005A744F">
        <w:rPr>
          <w:rFonts w:ascii="Times New Roman" w:hAnsi="Times New Roman" w:cs="Times New Roman"/>
          <w:sz w:val="24"/>
          <w:szCs w:val="24"/>
        </w:rPr>
        <w:t xml:space="preserve"> co w porównaniu z 2021 r. stanowi ponad 100% zwiększenie ilości działań w tym zakresie (2021 r. – 219 działań). </w:t>
      </w:r>
    </w:p>
    <w:p w14:paraId="1B2B91C5" w14:textId="6B1F62A7" w:rsidR="005A744F" w:rsidRPr="005A744F" w:rsidRDefault="005A744F" w:rsidP="000B4968">
      <w:pPr>
        <w:spacing w:line="300" w:lineRule="atLeast"/>
        <w:ind w:firstLine="567"/>
        <w:contextualSpacing/>
        <w:jc w:val="both"/>
        <w:rPr>
          <w:rFonts w:ascii="Times New Roman" w:hAnsi="Times New Roman" w:cs="Times New Roman"/>
          <w:sz w:val="24"/>
          <w:szCs w:val="24"/>
        </w:rPr>
      </w:pPr>
      <w:r w:rsidRPr="005A744F">
        <w:rPr>
          <w:rFonts w:ascii="Times New Roman" w:hAnsi="Times New Roman" w:cs="Times New Roman"/>
          <w:sz w:val="24"/>
          <w:szCs w:val="24"/>
        </w:rPr>
        <w:t>Z podejmowanych działań 6 było podstawą do wszczęcie przez Prokuraturę postępowań dot</w:t>
      </w:r>
      <w:r w:rsidR="000B7F08">
        <w:rPr>
          <w:rFonts w:ascii="Times New Roman" w:hAnsi="Times New Roman" w:cs="Times New Roman"/>
          <w:sz w:val="24"/>
          <w:szCs w:val="24"/>
        </w:rPr>
        <w:t>yczących</w:t>
      </w:r>
      <w:r w:rsidRPr="005A744F">
        <w:rPr>
          <w:rFonts w:ascii="Times New Roman" w:hAnsi="Times New Roman" w:cs="Times New Roman"/>
          <w:sz w:val="24"/>
          <w:szCs w:val="24"/>
        </w:rPr>
        <w:t xml:space="preserve"> podejrzenia popełnienia przestępstwa przeciwko środowisku określonego w art. 183 § 1 k.k. W odniesieniu do 2021 r. odnotowano spadek w tym zakresie </w:t>
      </w:r>
      <w:r w:rsidR="000B7F08">
        <w:rPr>
          <w:rFonts w:ascii="Times New Roman" w:hAnsi="Times New Roman" w:cs="Times New Roman"/>
          <w:sz w:val="24"/>
          <w:szCs w:val="24"/>
        </w:rPr>
        <w:br/>
      </w:r>
      <w:r w:rsidRPr="005A744F">
        <w:rPr>
          <w:rFonts w:ascii="Times New Roman" w:hAnsi="Times New Roman" w:cs="Times New Roman"/>
          <w:sz w:val="24"/>
          <w:szCs w:val="24"/>
        </w:rPr>
        <w:t>(10 wystąpień</w:t>
      </w:r>
      <w:r w:rsidR="000B7F08">
        <w:rPr>
          <w:rFonts w:ascii="Times New Roman" w:hAnsi="Times New Roman" w:cs="Times New Roman"/>
          <w:sz w:val="24"/>
          <w:szCs w:val="24"/>
        </w:rPr>
        <w:t xml:space="preserve"> do Prokuratury w 2021 r.</w:t>
      </w:r>
      <w:r w:rsidRPr="005A744F">
        <w:rPr>
          <w:rFonts w:ascii="Times New Roman" w:hAnsi="Times New Roman" w:cs="Times New Roman"/>
          <w:sz w:val="24"/>
          <w:szCs w:val="24"/>
        </w:rPr>
        <w:t xml:space="preserve">). W ramach wykonanych kontroli skierowano łącznie 22 wystąpienia do organów administracji rządowej oraz samorządowych, w tym do lokalnych jednostek straży miejskiej lub policji. </w:t>
      </w:r>
    </w:p>
    <w:p w14:paraId="7183E165" w14:textId="77777777" w:rsidR="005A744F" w:rsidRPr="005A744F" w:rsidRDefault="005A744F" w:rsidP="000B7F08">
      <w:pPr>
        <w:spacing w:after="60" w:line="300" w:lineRule="atLeast"/>
        <w:jc w:val="both"/>
        <w:rPr>
          <w:rFonts w:ascii="Times New Roman" w:hAnsi="Times New Roman" w:cs="Times New Roman"/>
          <w:sz w:val="24"/>
          <w:szCs w:val="24"/>
        </w:rPr>
      </w:pPr>
      <w:r w:rsidRPr="005A744F">
        <w:rPr>
          <w:rFonts w:ascii="Times New Roman" w:hAnsi="Times New Roman" w:cs="Times New Roman"/>
          <w:sz w:val="24"/>
          <w:szCs w:val="24"/>
        </w:rPr>
        <w:t>Ponadto dokonano:</w:t>
      </w:r>
    </w:p>
    <w:p w14:paraId="6B6ACDAF" w14:textId="1CE83DA0" w:rsidR="005A744F" w:rsidRPr="000B7F08" w:rsidRDefault="005A744F" w:rsidP="00D34F97">
      <w:pPr>
        <w:pStyle w:val="Akapitzlist"/>
        <w:numPr>
          <w:ilvl w:val="0"/>
          <w:numId w:val="244"/>
        </w:numPr>
        <w:spacing w:line="300" w:lineRule="atLeast"/>
        <w:jc w:val="both"/>
        <w:rPr>
          <w:sz w:val="24"/>
          <w:szCs w:val="24"/>
        </w:rPr>
      </w:pPr>
      <w:r w:rsidRPr="000B7F08">
        <w:rPr>
          <w:sz w:val="24"/>
          <w:szCs w:val="24"/>
        </w:rPr>
        <w:t xml:space="preserve">Oględziny miejsc nagromadzenia odpadów ujawnionych w 2022 r.: 59 razy (23 razy </w:t>
      </w:r>
      <w:r w:rsidR="000B7F08">
        <w:rPr>
          <w:sz w:val="24"/>
          <w:szCs w:val="24"/>
        </w:rPr>
        <w:br/>
      </w:r>
      <w:r w:rsidRPr="000B7F08">
        <w:rPr>
          <w:sz w:val="24"/>
          <w:szCs w:val="24"/>
        </w:rPr>
        <w:t>w 2021 r.)</w:t>
      </w:r>
      <w:r w:rsidR="000B7F08">
        <w:rPr>
          <w:sz w:val="24"/>
          <w:szCs w:val="24"/>
          <w:lang w:val="pl-PL"/>
        </w:rPr>
        <w:t>,</w:t>
      </w:r>
      <w:r w:rsidRPr="000B7F08">
        <w:rPr>
          <w:sz w:val="24"/>
          <w:szCs w:val="24"/>
        </w:rPr>
        <w:t xml:space="preserve"> w tym oględziny rzeczy (odpadów) i miejsca (zanieczyszczenia, uszkodzenia terenu) oraz przyjmowanie informacji (przesłuchiwanie świadków).</w:t>
      </w:r>
    </w:p>
    <w:p w14:paraId="7B61A549" w14:textId="18064FC3" w:rsidR="005A744F" w:rsidRPr="000B7F08" w:rsidRDefault="005A744F" w:rsidP="00D34F97">
      <w:pPr>
        <w:pStyle w:val="Akapitzlist"/>
        <w:numPr>
          <w:ilvl w:val="0"/>
          <w:numId w:val="244"/>
        </w:numPr>
        <w:spacing w:line="300" w:lineRule="atLeast"/>
        <w:jc w:val="both"/>
        <w:rPr>
          <w:sz w:val="24"/>
          <w:szCs w:val="24"/>
        </w:rPr>
      </w:pPr>
      <w:r w:rsidRPr="000B7F08">
        <w:rPr>
          <w:sz w:val="24"/>
          <w:szCs w:val="24"/>
        </w:rPr>
        <w:t>Pobór prób (podejrzenie przestępstwa lub wykroczenia): 86 razy (61 razy w 2021 r.),</w:t>
      </w:r>
    </w:p>
    <w:p w14:paraId="6C0EE551" w14:textId="28215DEB" w:rsidR="005A744F" w:rsidRPr="000B7F08" w:rsidRDefault="005A744F" w:rsidP="00D34F97">
      <w:pPr>
        <w:pStyle w:val="Akapitzlist"/>
        <w:numPr>
          <w:ilvl w:val="0"/>
          <w:numId w:val="244"/>
        </w:numPr>
        <w:spacing w:line="300" w:lineRule="atLeast"/>
        <w:jc w:val="both"/>
        <w:rPr>
          <w:sz w:val="24"/>
          <w:szCs w:val="24"/>
        </w:rPr>
      </w:pPr>
      <w:r w:rsidRPr="000B7F08">
        <w:rPr>
          <w:sz w:val="24"/>
          <w:szCs w:val="24"/>
        </w:rPr>
        <w:t>Wykonanie dokumentacji zdjęciowej (podejrzenie przestępstwa lub wykroczenia): 100 razy (94 razy w 2021 r.),</w:t>
      </w:r>
    </w:p>
    <w:p w14:paraId="128041C0" w14:textId="3FCA80B3" w:rsidR="005A744F" w:rsidRPr="000B7F08" w:rsidRDefault="005A744F" w:rsidP="00D34F97">
      <w:pPr>
        <w:pStyle w:val="Akapitzlist"/>
        <w:numPr>
          <w:ilvl w:val="0"/>
          <w:numId w:val="244"/>
        </w:numPr>
        <w:spacing w:line="300" w:lineRule="atLeast"/>
        <w:jc w:val="both"/>
        <w:rPr>
          <w:sz w:val="24"/>
          <w:szCs w:val="24"/>
        </w:rPr>
      </w:pPr>
      <w:r w:rsidRPr="000B7F08">
        <w:rPr>
          <w:sz w:val="24"/>
          <w:szCs w:val="24"/>
        </w:rPr>
        <w:t xml:space="preserve">Oględziny miejsca (podejrzenie przestępstwa lub wykroczenia): 143 razy (71 razy </w:t>
      </w:r>
      <w:r w:rsidR="000B7F08">
        <w:rPr>
          <w:sz w:val="24"/>
          <w:szCs w:val="24"/>
        </w:rPr>
        <w:br/>
      </w:r>
      <w:r w:rsidRPr="000B7F08">
        <w:rPr>
          <w:sz w:val="24"/>
          <w:szCs w:val="24"/>
        </w:rPr>
        <w:t>w 2021</w:t>
      </w:r>
      <w:r w:rsidR="00AC787A">
        <w:rPr>
          <w:sz w:val="24"/>
          <w:szCs w:val="24"/>
          <w:lang w:val="pl-PL"/>
        </w:rPr>
        <w:t xml:space="preserve"> </w:t>
      </w:r>
      <w:r w:rsidRPr="000B7F08">
        <w:rPr>
          <w:sz w:val="24"/>
          <w:szCs w:val="24"/>
        </w:rPr>
        <w:t>r.),</w:t>
      </w:r>
    </w:p>
    <w:p w14:paraId="5D6716D3" w14:textId="60F21D26" w:rsidR="005A744F" w:rsidRPr="000B7F08" w:rsidRDefault="005A744F" w:rsidP="00D34F97">
      <w:pPr>
        <w:pStyle w:val="Akapitzlist"/>
        <w:numPr>
          <w:ilvl w:val="0"/>
          <w:numId w:val="244"/>
        </w:numPr>
        <w:spacing w:line="300" w:lineRule="atLeast"/>
        <w:jc w:val="both"/>
        <w:rPr>
          <w:sz w:val="24"/>
          <w:szCs w:val="24"/>
        </w:rPr>
      </w:pPr>
      <w:r w:rsidRPr="000B7F08">
        <w:rPr>
          <w:sz w:val="24"/>
          <w:szCs w:val="24"/>
        </w:rPr>
        <w:t xml:space="preserve">Oględziny transportu (podejrzenie przestępstwa lub wykroczenia): 14 razy (2 razy </w:t>
      </w:r>
      <w:r w:rsidR="000B7F08">
        <w:rPr>
          <w:sz w:val="24"/>
          <w:szCs w:val="24"/>
        </w:rPr>
        <w:br/>
      </w:r>
      <w:r w:rsidRPr="000B7F08">
        <w:rPr>
          <w:sz w:val="24"/>
          <w:szCs w:val="24"/>
        </w:rPr>
        <w:t>w 2021</w:t>
      </w:r>
      <w:r w:rsidR="000741E0">
        <w:rPr>
          <w:sz w:val="24"/>
          <w:szCs w:val="24"/>
          <w:lang w:val="pl-PL"/>
        </w:rPr>
        <w:t xml:space="preserve"> </w:t>
      </w:r>
      <w:r w:rsidRPr="000B7F08">
        <w:rPr>
          <w:sz w:val="24"/>
          <w:szCs w:val="24"/>
        </w:rPr>
        <w:t>r.)</w:t>
      </w:r>
    </w:p>
    <w:p w14:paraId="56E37FB5" w14:textId="351525B4" w:rsidR="005A744F" w:rsidRPr="000B7F08" w:rsidRDefault="005A744F" w:rsidP="00D34F97">
      <w:pPr>
        <w:pStyle w:val="Akapitzlist"/>
        <w:numPr>
          <w:ilvl w:val="0"/>
          <w:numId w:val="244"/>
        </w:numPr>
        <w:spacing w:line="300" w:lineRule="atLeast"/>
        <w:jc w:val="both"/>
        <w:rPr>
          <w:sz w:val="24"/>
          <w:szCs w:val="24"/>
        </w:rPr>
      </w:pPr>
      <w:r w:rsidRPr="000B7F08">
        <w:rPr>
          <w:sz w:val="24"/>
          <w:szCs w:val="24"/>
        </w:rPr>
        <w:t>Przesłuchanie i ustalenie tożsamości (podejrzenie przestępstwa lub wykroczenia): 12 razy (14 razy w 2021 r.).</w:t>
      </w:r>
    </w:p>
    <w:p w14:paraId="70A72189" w14:textId="575193C9" w:rsidR="005A744F" w:rsidRPr="005A744F" w:rsidRDefault="005A744F" w:rsidP="000B4968">
      <w:pPr>
        <w:spacing w:line="300" w:lineRule="atLeast"/>
        <w:ind w:firstLine="567"/>
        <w:contextualSpacing/>
        <w:jc w:val="both"/>
        <w:rPr>
          <w:rFonts w:ascii="Times New Roman" w:hAnsi="Times New Roman" w:cs="Times New Roman"/>
          <w:sz w:val="24"/>
          <w:szCs w:val="24"/>
        </w:rPr>
      </w:pPr>
      <w:r w:rsidRPr="005A744F">
        <w:rPr>
          <w:rFonts w:ascii="Times New Roman" w:hAnsi="Times New Roman" w:cs="Times New Roman"/>
          <w:sz w:val="24"/>
          <w:szCs w:val="24"/>
        </w:rPr>
        <w:t>Na podstawie powyż</w:t>
      </w:r>
      <w:r w:rsidR="000741E0">
        <w:rPr>
          <w:rFonts w:ascii="Times New Roman" w:hAnsi="Times New Roman" w:cs="Times New Roman"/>
          <w:sz w:val="24"/>
          <w:szCs w:val="24"/>
        </w:rPr>
        <w:t>szych</w:t>
      </w:r>
      <w:r w:rsidRPr="005A744F">
        <w:rPr>
          <w:rFonts w:ascii="Times New Roman" w:hAnsi="Times New Roman" w:cs="Times New Roman"/>
          <w:sz w:val="24"/>
          <w:szCs w:val="24"/>
        </w:rPr>
        <w:t xml:space="preserve"> danych można stwierdzić nieznaczny wzrost działań prewencyjnych prowadzonych przez Inspektorat</w:t>
      </w:r>
      <w:r w:rsidR="000B7F08">
        <w:rPr>
          <w:rFonts w:ascii="Times New Roman" w:hAnsi="Times New Roman" w:cs="Times New Roman"/>
          <w:sz w:val="24"/>
          <w:szCs w:val="24"/>
        </w:rPr>
        <w:t>,</w:t>
      </w:r>
      <w:r w:rsidRPr="005A744F">
        <w:rPr>
          <w:rFonts w:ascii="Times New Roman" w:hAnsi="Times New Roman" w:cs="Times New Roman"/>
          <w:sz w:val="24"/>
          <w:szCs w:val="24"/>
        </w:rPr>
        <w:t xml:space="preserve"> w tym działań z art.10b ustawy o IOŚ. Zwiększenie </w:t>
      </w:r>
      <w:r w:rsidR="000B7F08">
        <w:rPr>
          <w:rFonts w:ascii="Times New Roman" w:hAnsi="Times New Roman" w:cs="Times New Roman"/>
          <w:sz w:val="24"/>
          <w:szCs w:val="24"/>
        </w:rPr>
        <w:t xml:space="preserve">liczby </w:t>
      </w:r>
      <w:r w:rsidRPr="005A744F">
        <w:rPr>
          <w:rFonts w:ascii="Times New Roman" w:hAnsi="Times New Roman" w:cs="Times New Roman"/>
          <w:sz w:val="24"/>
          <w:szCs w:val="24"/>
        </w:rPr>
        <w:t>rozpatrywan</w:t>
      </w:r>
      <w:r w:rsidR="000B7F08">
        <w:rPr>
          <w:rFonts w:ascii="Times New Roman" w:hAnsi="Times New Roman" w:cs="Times New Roman"/>
          <w:sz w:val="24"/>
          <w:szCs w:val="24"/>
        </w:rPr>
        <w:t>ych</w:t>
      </w:r>
      <w:r w:rsidRPr="005A744F">
        <w:rPr>
          <w:rFonts w:ascii="Times New Roman" w:hAnsi="Times New Roman" w:cs="Times New Roman"/>
          <w:sz w:val="24"/>
          <w:szCs w:val="24"/>
        </w:rPr>
        <w:t xml:space="preserve"> spraw wynika zarówno ze zdobywanego doświadczenia osób zatrudnionych w Inspektoracie</w:t>
      </w:r>
      <w:r w:rsidR="000B7F08">
        <w:rPr>
          <w:rFonts w:ascii="Times New Roman" w:hAnsi="Times New Roman" w:cs="Times New Roman"/>
          <w:sz w:val="24"/>
          <w:szCs w:val="24"/>
        </w:rPr>
        <w:t>, jak i</w:t>
      </w:r>
      <w:r w:rsidRPr="005A744F">
        <w:rPr>
          <w:rFonts w:ascii="Times New Roman" w:hAnsi="Times New Roman" w:cs="Times New Roman"/>
          <w:sz w:val="24"/>
          <w:szCs w:val="24"/>
        </w:rPr>
        <w:t xml:space="preserve"> wyodrębnieni</w:t>
      </w:r>
      <w:r w:rsidR="000B7F08">
        <w:rPr>
          <w:rFonts w:ascii="Times New Roman" w:hAnsi="Times New Roman" w:cs="Times New Roman"/>
          <w:sz w:val="24"/>
          <w:szCs w:val="24"/>
        </w:rPr>
        <w:t>a</w:t>
      </w:r>
      <w:r w:rsidRPr="005A744F">
        <w:rPr>
          <w:rFonts w:ascii="Times New Roman" w:hAnsi="Times New Roman" w:cs="Times New Roman"/>
          <w:sz w:val="24"/>
          <w:szCs w:val="24"/>
        </w:rPr>
        <w:t xml:space="preserve"> Wydziału ZPŚ</w:t>
      </w:r>
      <w:r w:rsidR="000B7F08">
        <w:rPr>
          <w:rFonts w:ascii="Times New Roman" w:hAnsi="Times New Roman" w:cs="Times New Roman"/>
          <w:sz w:val="24"/>
          <w:szCs w:val="24"/>
        </w:rPr>
        <w:t>,</w:t>
      </w:r>
      <w:r w:rsidRPr="005A744F">
        <w:rPr>
          <w:rFonts w:ascii="Times New Roman" w:hAnsi="Times New Roman" w:cs="Times New Roman"/>
          <w:sz w:val="24"/>
          <w:szCs w:val="24"/>
        </w:rPr>
        <w:t xml:space="preserve"> prowadzącego </w:t>
      </w:r>
      <w:r w:rsidR="000B7F08">
        <w:rPr>
          <w:rFonts w:ascii="Times New Roman" w:hAnsi="Times New Roman" w:cs="Times New Roman"/>
          <w:sz w:val="24"/>
          <w:szCs w:val="24"/>
        </w:rPr>
        <w:br/>
      </w:r>
      <w:r w:rsidRPr="005A744F">
        <w:rPr>
          <w:rFonts w:ascii="Times New Roman" w:hAnsi="Times New Roman" w:cs="Times New Roman"/>
          <w:sz w:val="24"/>
          <w:szCs w:val="24"/>
        </w:rPr>
        <w:t>w głównej mierze działania interwencyjne i analityczne w zakresie nielegaln</w:t>
      </w:r>
      <w:r w:rsidR="00DC27E2">
        <w:rPr>
          <w:rFonts w:ascii="Times New Roman" w:hAnsi="Times New Roman" w:cs="Times New Roman"/>
          <w:sz w:val="24"/>
          <w:szCs w:val="24"/>
        </w:rPr>
        <w:t>ego</w:t>
      </w:r>
      <w:r w:rsidRPr="005A744F">
        <w:rPr>
          <w:rFonts w:ascii="Times New Roman" w:hAnsi="Times New Roman" w:cs="Times New Roman"/>
          <w:sz w:val="24"/>
          <w:szCs w:val="24"/>
        </w:rPr>
        <w:t xml:space="preserve"> obrot</w:t>
      </w:r>
      <w:r w:rsidR="00DC27E2">
        <w:rPr>
          <w:rFonts w:ascii="Times New Roman" w:hAnsi="Times New Roman" w:cs="Times New Roman"/>
          <w:sz w:val="24"/>
          <w:szCs w:val="24"/>
        </w:rPr>
        <w:t>u</w:t>
      </w:r>
      <w:r w:rsidRPr="005A744F">
        <w:rPr>
          <w:rFonts w:ascii="Times New Roman" w:hAnsi="Times New Roman" w:cs="Times New Roman"/>
          <w:sz w:val="24"/>
          <w:szCs w:val="24"/>
        </w:rPr>
        <w:t xml:space="preserve"> odpadami.  </w:t>
      </w:r>
    </w:p>
    <w:p w14:paraId="56BE7C5B" w14:textId="77777777" w:rsidR="005A744F" w:rsidRPr="005A744F" w:rsidRDefault="005A744F" w:rsidP="005A744F">
      <w:pPr>
        <w:spacing w:line="300" w:lineRule="atLeast"/>
        <w:contextualSpacing/>
        <w:jc w:val="both"/>
        <w:rPr>
          <w:rFonts w:ascii="Times New Roman" w:hAnsi="Times New Roman" w:cs="Times New Roman"/>
          <w:i/>
          <w:color w:val="4472C4"/>
          <w:sz w:val="24"/>
          <w:szCs w:val="24"/>
        </w:rPr>
      </w:pPr>
    </w:p>
    <w:p w14:paraId="64B58500" w14:textId="77777777" w:rsidR="005A744F" w:rsidRPr="005A744F" w:rsidRDefault="005A744F" w:rsidP="00DC27E2">
      <w:pPr>
        <w:spacing w:after="60" w:line="300" w:lineRule="atLeast"/>
        <w:jc w:val="both"/>
        <w:rPr>
          <w:rFonts w:ascii="Times New Roman" w:hAnsi="Times New Roman" w:cs="Times New Roman"/>
          <w:i/>
          <w:color w:val="4472C4"/>
          <w:sz w:val="24"/>
          <w:szCs w:val="24"/>
        </w:rPr>
      </w:pPr>
      <w:r w:rsidRPr="005A744F">
        <w:rPr>
          <w:rFonts w:ascii="Times New Roman" w:hAnsi="Times New Roman" w:cs="Times New Roman"/>
          <w:i/>
          <w:color w:val="4472C4"/>
          <w:sz w:val="24"/>
          <w:szCs w:val="24"/>
        </w:rPr>
        <w:t>Wojewódzki Inspektorat Ochrony Środowiska w Kielcach</w:t>
      </w:r>
    </w:p>
    <w:p w14:paraId="22BC37F4" w14:textId="36E3FA9E" w:rsidR="005A744F" w:rsidRPr="005A744F" w:rsidRDefault="005A744F" w:rsidP="00DC27E2">
      <w:pPr>
        <w:spacing w:line="300" w:lineRule="atLeast"/>
        <w:ind w:firstLine="567"/>
        <w:contextualSpacing/>
        <w:jc w:val="both"/>
        <w:rPr>
          <w:rFonts w:ascii="Times New Roman" w:hAnsi="Times New Roman" w:cs="Times New Roman"/>
          <w:iCs/>
          <w:sz w:val="24"/>
          <w:szCs w:val="24"/>
        </w:rPr>
      </w:pPr>
      <w:r w:rsidRPr="005A744F">
        <w:rPr>
          <w:rFonts w:ascii="Times New Roman" w:hAnsi="Times New Roman" w:cs="Times New Roman"/>
          <w:iCs/>
          <w:sz w:val="24"/>
          <w:szCs w:val="24"/>
        </w:rPr>
        <w:t>Wydział Zwalczania Przestępczości Środowiskowej (wcześniej Dział do Walki z Szarą Strefą) w WIOŚ w Kielcach sporządził w 2022 r. 89 notatek z czynności w trybie art. 10b ustawy o IOŚ. W ramach tych działań wykonano 186 rodzajów czynności (</w:t>
      </w:r>
      <w:r w:rsidRPr="005A744F">
        <w:rPr>
          <w:rFonts w:ascii="Times New Roman" w:hAnsi="Times New Roman" w:cs="Times New Roman"/>
          <w:sz w:val="24"/>
          <w:szCs w:val="24"/>
        </w:rPr>
        <w:t xml:space="preserve">obserwacja </w:t>
      </w:r>
      <w:r w:rsidR="000741E0">
        <w:rPr>
          <w:rFonts w:ascii="Times New Roman" w:hAnsi="Times New Roman" w:cs="Times New Roman"/>
          <w:sz w:val="24"/>
          <w:szCs w:val="24"/>
        </w:rPr>
        <w:br/>
      </w:r>
      <w:r w:rsidRPr="005A744F">
        <w:rPr>
          <w:rFonts w:ascii="Times New Roman" w:hAnsi="Times New Roman" w:cs="Times New Roman"/>
          <w:sz w:val="24"/>
          <w:szCs w:val="24"/>
        </w:rPr>
        <w:t xml:space="preserve">i rejestrowanie przy użyciu środków technicznych, w tym technik satelitarnych </w:t>
      </w:r>
      <w:r w:rsidR="000741E0">
        <w:rPr>
          <w:rFonts w:ascii="Times New Roman" w:hAnsi="Times New Roman" w:cs="Times New Roman"/>
          <w:sz w:val="24"/>
          <w:szCs w:val="24"/>
        </w:rPr>
        <w:br/>
      </w:r>
      <w:r w:rsidRPr="005A744F">
        <w:rPr>
          <w:rFonts w:ascii="Times New Roman" w:hAnsi="Times New Roman" w:cs="Times New Roman"/>
          <w:sz w:val="24"/>
          <w:szCs w:val="24"/>
        </w:rPr>
        <w:t>i bezzałogowych statków powietrznych, obrazu zdarzeń – 64, gromadzenie i zabezpieczani</w:t>
      </w:r>
      <w:r w:rsidR="000741E0">
        <w:rPr>
          <w:rFonts w:ascii="Times New Roman" w:hAnsi="Times New Roman" w:cs="Times New Roman"/>
          <w:sz w:val="24"/>
          <w:szCs w:val="24"/>
        </w:rPr>
        <w:t>e</w:t>
      </w:r>
      <w:r w:rsidRPr="005A744F">
        <w:rPr>
          <w:rFonts w:ascii="Times New Roman" w:hAnsi="Times New Roman" w:cs="Times New Roman"/>
          <w:sz w:val="24"/>
          <w:szCs w:val="24"/>
        </w:rPr>
        <w:t xml:space="preserve"> dowodów popełnienia przestępstwa lub wykroczenia – 79, żądanie pisemnych lub ustnych informacji oraz przesłuchiwanie osób – 14, ustalanie tożsamości osób – 9, dokonywanie oględzin pomieszczeń i innych miejsc – 12, zatrzymywanie lub przeszukiwanie pojazdów – 2, udzielanie pouczeń – 6). W ramach poszczególnych spraw, niektóre czynności wykonywano kilkukrotnie (np. przesłuchiwano kilka osób lub dokonywano obserwacji przez kilkanaście dni), co złożyło się łącznie na wykonanie</w:t>
      </w:r>
      <w:r w:rsidRPr="005A744F">
        <w:rPr>
          <w:rFonts w:ascii="Times New Roman" w:hAnsi="Times New Roman" w:cs="Times New Roman"/>
          <w:iCs/>
          <w:sz w:val="24"/>
          <w:szCs w:val="24"/>
        </w:rPr>
        <w:t xml:space="preserve"> 319 czynności w trybie art. 10b ustawy o IOŚ. </w:t>
      </w:r>
    </w:p>
    <w:p w14:paraId="29BB5526" w14:textId="59C58F06" w:rsidR="005A744F" w:rsidRPr="005A744F" w:rsidRDefault="005A744F" w:rsidP="000B4968">
      <w:pPr>
        <w:spacing w:line="300" w:lineRule="atLeast"/>
        <w:ind w:firstLine="567"/>
        <w:contextualSpacing/>
        <w:jc w:val="both"/>
        <w:rPr>
          <w:rFonts w:ascii="Times New Roman" w:hAnsi="Times New Roman" w:cs="Times New Roman"/>
          <w:iCs/>
          <w:sz w:val="24"/>
          <w:szCs w:val="24"/>
        </w:rPr>
      </w:pPr>
      <w:r w:rsidRPr="005A744F">
        <w:rPr>
          <w:rFonts w:ascii="Times New Roman" w:hAnsi="Times New Roman" w:cs="Times New Roman"/>
          <w:iCs/>
          <w:sz w:val="24"/>
          <w:szCs w:val="24"/>
        </w:rPr>
        <w:t xml:space="preserve">W porównaniu z 2021 r. ilość notatek z czynności w trybie art. 10b ustawy o IOŚ uległa znacznemu zwiększeniu, gdyż w 2021 r. w tym trybie wykonano 7 działań (notatek służbowych). Niemniej jednak w ramach tych działań wykonano wówczas kilkadziesiąt czynności (głównie </w:t>
      </w:r>
      <w:r w:rsidR="009B2F76">
        <w:rPr>
          <w:rFonts w:ascii="Times New Roman" w:hAnsi="Times New Roman" w:cs="Times New Roman"/>
          <w:iCs/>
          <w:sz w:val="24"/>
          <w:szCs w:val="24"/>
        </w:rPr>
        <w:t xml:space="preserve">związanych z </w:t>
      </w:r>
      <w:r w:rsidRPr="005A744F">
        <w:rPr>
          <w:rFonts w:ascii="Times New Roman" w:hAnsi="Times New Roman" w:cs="Times New Roman"/>
          <w:iCs/>
          <w:sz w:val="24"/>
          <w:szCs w:val="24"/>
        </w:rPr>
        <w:t>gromadzeni</w:t>
      </w:r>
      <w:r w:rsidR="009B2F76">
        <w:rPr>
          <w:rFonts w:ascii="Times New Roman" w:hAnsi="Times New Roman" w:cs="Times New Roman"/>
          <w:iCs/>
          <w:sz w:val="24"/>
          <w:szCs w:val="24"/>
        </w:rPr>
        <w:t>em</w:t>
      </w:r>
      <w:r w:rsidRPr="005A744F">
        <w:rPr>
          <w:rFonts w:ascii="Times New Roman" w:hAnsi="Times New Roman" w:cs="Times New Roman"/>
          <w:iCs/>
          <w:sz w:val="24"/>
          <w:szCs w:val="24"/>
        </w:rPr>
        <w:t xml:space="preserve"> materiału dowodowego) dotyczących  </w:t>
      </w:r>
      <w:r w:rsidRPr="005A744F">
        <w:rPr>
          <w:rFonts w:ascii="Times New Roman" w:hAnsi="Times New Roman" w:cs="Times New Roman"/>
          <w:iCs/>
          <w:sz w:val="24"/>
          <w:szCs w:val="24"/>
        </w:rPr>
        <w:lastRenderedPageBreak/>
        <w:t xml:space="preserve">podmiotu z siedzibą przy </w:t>
      </w:r>
      <w:r w:rsidRPr="005A744F">
        <w:rPr>
          <w:rFonts w:ascii="Times New Roman" w:hAnsi="Times New Roman" w:cs="Times New Roman"/>
          <w:sz w:val="24"/>
          <w:szCs w:val="24"/>
        </w:rPr>
        <w:t xml:space="preserve">ul. Siennej  w Warszawie,  </w:t>
      </w:r>
      <w:r w:rsidRPr="005A744F">
        <w:rPr>
          <w:rFonts w:ascii="Times New Roman" w:hAnsi="Times New Roman" w:cs="Times New Roman"/>
          <w:iCs/>
          <w:sz w:val="24"/>
          <w:szCs w:val="24"/>
        </w:rPr>
        <w:t>który dokonywał nielegalnego obrotu odpadami na bardzo dużą skalę, obejmującą teren całej Polski. Na </w:t>
      </w:r>
      <w:r w:rsidR="009B2F76">
        <w:rPr>
          <w:rFonts w:ascii="Times New Roman" w:hAnsi="Times New Roman" w:cs="Times New Roman"/>
          <w:iCs/>
          <w:sz w:val="24"/>
          <w:szCs w:val="24"/>
        </w:rPr>
        <w:t xml:space="preserve">liczbę </w:t>
      </w:r>
      <w:r w:rsidRPr="005A744F">
        <w:rPr>
          <w:rFonts w:ascii="Times New Roman" w:hAnsi="Times New Roman" w:cs="Times New Roman"/>
          <w:iCs/>
          <w:sz w:val="24"/>
          <w:szCs w:val="24"/>
        </w:rPr>
        <w:t xml:space="preserve">wykonywanych kontroli oraz czynności w trybie art. 10b ustawy o IOŚ ma wpływ stopień skomplikowania prowadzonych spraw, coraz większe utrudnianie przeprowadzanych czynności przez kontrolowanych oraz inne zadania realizowane przez Wydział (np. prowadzenie postępowań administracyjnych). W 2022 r. większość kierowanych do </w:t>
      </w:r>
      <w:r w:rsidR="009B2F76">
        <w:rPr>
          <w:rFonts w:ascii="Times New Roman" w:hAnsi="Times New Roman" w:cs="Times New Roman"/>
          <w:iCs/>
          <w:sz w:val="24"/>
          <w:szCs w:val="24"/>
        </w:rPr>
        <w:t xml:space="preserve">Świętokrzyskiego WIOŚ </w:t>
      </w:r>
      <w:r w:rsidRPr="005A744F">
        <w:rPr>
          <w:rFonts w:ascii="Times New Roman" w:hAnsi="Times New Roman" w:cs="Times New Roman"/>
          <w:iCs/>
          <w:sz w:val="24"/>
          <w:szCs w:val="24"/>
        </w:rPr>
        <w:t>wniosków interwencyjnych realizowanych było poprzez uprzednie podjęcie działań w trybie art. 10b ustawy o IOŚ. Po potwierdzeniu zasadności wniosku przeprowadzane były kontrole.</w:t>
      </w:r>
    </w:p>
    <w:p w14:paraId="12BE4D8D" w14:textId="31E504CA" w:rsidR="005A744F" w:rsidRPr="005A744F" w:rsidRDefault="005A744F" w:rsidP="000B4968">
      <w:pPr>
        <w:spacing w:line="300" w:lineRule="atLeast"/>
        <w:ind w:firstLine="567"/>
        <w:contextualSpacing/>
        <w:jc w:val="both"/>
        <w:rPr>
          <w:rFonts w:ascii="Times New Roman" w:hAnsi="Times New Roman" w:cs="Times New Roman"/>
          <w:sz w:val="24"/>
          <w:szCs w:val="24"/>
        </w:rPr>
      </w:pPr>
      <w:r w:rsidRPr="005A744F">
        <w:rPr>
          <w:rFonts w:ascii="Times New Roman" w:hAnsi="Times New Roman" w:cs="Times New Roman"/>
          <w:sz w:val="24"/>
          <w:szCs w:val="24"/>
        </w:rPr>
        <w:t xml:space="preserve">Mając </w:t>
      </w:r>
      <w:r w:rsidR="009B2F76">
        <w:rPr>
          <w:rFonts w:ascii="Times New Roman" w:hAnsi="Times New Roman" w:cs="Times New Roman"/>
          <w:sz w:val="24"/>
          <w:szCs w:val="24"/>
        </w:rPr>
        <w:t xml:space="preserve">powyższe </w:t>
      </w:r>
      <w:r w:rsidRPr="005A744F">
        <w:rPr>
          <w:rFonts w:ascii="Times New Roman" w:hAnsi="Times New Roman" w:cs="Times New Roman"/>
          <w:sz w:val="24"/>
          <w:szCs w:val="24"/>
        </w:rPr>
        <w:t>na uwadze</w:t>
      </w:r>
      <w:r w:rsidR="009B2F76">
        <w:rPr>
          <w:rFonts w:ascii="Times New Roman" w:hAnsi="Times New Roman" w:cs="Times New Roman"/>
          <w:sz w:val="24"/>
          <w:szCs w:val="24"/>
        </w:rPr>
        <w:t>,</w:t>
      </w:r>
      <w:r w:rsidRPr="005A744F">
        <w:rPr>
          <w:rFonts w:ascii="Times New Roman" w:hAnsi="Times New Roman" w:cs="Times New Roman"/>
          <w:sz w:val="24"/>
          <w:szCs w:val="24"/>
        </w:rPr>
        <w:t xml:space="preserve"> ogólna liczba kontroli związanych z wyjazdem w teren w 2022 r. była na wyższym poziomie niż w 2021 r., jednak liczba kontroli podmiotów korzystających ze środowiska była niższa, co było spowodowane wykonywaniem działań </w:t>
      </w:r>
      <w:r w:rsidR="009B2F76">
        <w:rPr>
          <w:rFonts w:ascii="Times New Roman" w:hAnsi="Times New Roman" w:cs="Times New Roman"/>
          <w:sz w:val="24"/>
          <w:szCs w:val="24"/>
        </w:rPr>
        <w:br/>
      </w:r>
      <w:r w:rsidRPr="005A744F">
        <w:rPr>
          <w:rFonts w:ascii="Times New Roman" w:hAnsi="Times New Roman" w:cs="Times New Roman"/>
          <w:sz w:val="24"/>
          <w:szCs w:val="24"/>
        </w:rPr>
        <w:t xml:space="preserve">w trybie art. 10b ustawy o IOŚ. </w:t>
      </w:r>
      <w:r w:rsidRPr="005C08F4">
        <w:rPr>
          <w:rFonts w:ascii="Times New Roman" w:hAnsi="Times New Roman" w:cs="Times New Roman"/>
          <w:sz w:val="24"/>
          <w:szCs w:val="24"/>
        </w:rPr>
        <w:t xml:space="preserve">Mniejsza </w:t>
      </w:r>
      <w:r w:rsidR="009B2F76" w:rsidRPr="005C08F4">
        <w:rPr>
          <w:rFonts w:ascii="Times New Roman" w:hAnsi="Times New Roman" w:cs="Times New Roman"/>
          <w:sz w:val="24"/>
          <w:szCs w:val="24"/>
        </w:rPr>
        <w:t xml:space="preserve">liczba </w:t>
      </w:r>
      <w:r w:rsidRPr="005C08F4">
        <w:rPr>
          <w:rFonts w:ascii="Times New Roman" w:hAnsi="Times New Roman" w:cs="Times New Roman"/>
          <w:sz w:val="24"/>
          <w:szCs w:val="24"/>
        </w:rPr>
        <w:t xml:space="preserve">kontroli podmiotów wynikała również </w:t>
      </w:r>
      <w:r w:rsidR="009B2F76" w:rsidRPr="005C08F4">
        <w:rPr>
          <w:rFonts w:ascii="Times New Roman" w:hAnsi="Times New Roman" w:cs="Times New Roman"/>
          <w:sz w:val="24"/>
          <w:szCs w:val="24"/>
        </w:rPr>
        <w:br/>
      </w:r>
      <w:r w:rsidRPr="005C08F4">
        <w:rPr>
          <w:rFonts w:ascii="Times New Roman" w:hAnsi="Times New Roman" w:cs="Times New Roman"/>
          <w:sz w:val="24"/>
          <w:szCs w:val="24"/>
        </w:rPr>
        <w:t>z braków kadrowych</w:t>
      </w:r>
      <w:r w:rsidR="005C08F4" w:rsidRPr="005C08F4">
        <w:rPr>
          <w:rFonts w:ascii="Times New Roman" w:hAnsi="Times New Roman" w:cs="Times New Roman"/>
          <w:sz w:val="24"/>
          <w:szCs w:val="24"/>
        </w:rPr>
        <w:t>.</w:t>
      </w:r>
      <w:r w:rsidRPr="005A744F">
        <w:rPr>
          <w:rFonts w:ascii="Times New Roman" w:hAnsi="Times New Roman" w:cs="Times New Roman"/>
          <w:sz w:val="24"/>
          <w:szCs w:val="24"/>
        </w:rPr>
        <w:t xml:space="preserve"> Na zmniejszenie </w:t>
      </w:r>
      <w:r w:rsidR="009B2F76">
        <w:rPr>
          <w:rFonts w:ascii="Times New Roman" w:hAnsi="Times New Roman" w:cs="Times New Roman"/>
          <w:sz w:val="24"/>
          <w:szCs w:val="24"/>
        </w:rPr>
        <w:t xml:space="preserve">liczby </w:t>
      </w:r>
      <w:r w:rsidRPr="005A744F">
        <w:rPr>
          <w:rFonts w:ascii="Times New Roman" w:hAnsi="Times New Roman" w:cs="Times New Roman"/>
          <w:sz w:val="24"/>
          <w:szCs w:val="24"/>
        </w:rPr>
        <w:t xml:space="preserve">kontroli wpływa znaczne skomplikowanie </w:t>
      </w:r>
      <w:r w:rsidR="005C08F4">
        <w:rPr>
          <w:rFonts w:ascii="Times New Roman" w:hAnsi="Times New Roman" w:cs="Times New Roman"/>
          <w:sz w:val="24"/>
          <w:szCs w:val="24"/>
        </w:rPr>
        <w:br/>
      </w:r>
      <w:r w:rsidRPr="005A744F">
        <w:rPr>
          <w:rFonts w:ascii="Times New Roman" w:hAnsi="Times New Roman" w:cs="Times New Roman"/>
          <w:sz w:val="24"/>
          <w:szCs w:val="24"/>
        </w:rPr>
        <w:t>i długotrwałe, niekiedy kilkumiesięczne, a nawet kilkunastomiesięczne prowadzenie działań kontrolnych, pokontrolnych oraz postępowań administracyjnych. Inspektorzy, zwłaszcza WZPŚ</w:t>
      </w:r>
      <w:r w:rsidR="009B2F76">
        <w:rPr>
          <w:rFonts w:ascii="Times New Roman" w:hAnsi="Times New Roman" w:cs="Times New Roman"/>
          <w:sz w:val="24"/>
          <w:szCs w:val="24"/>
        </w:rPr>
        <w:t>,</w:t>
      </w:r>
      <w:r w:rsidRPr="005A744F">
        <w:rPr>
          <w:rFonts w:ascii="Times New Roman" w:hAnsi="Times New Roman" w:cs="Times New Roman"/>
          <w:sz w:val="24"/>
          <w:szCs w:val="24"/>
        </w:rPr>
        <w:t xml:space="preserve"> podejmując i przeprowadzając długotrwale kontrole związane z przeciwdziałaniem popełniani</w:t>
      </w:r>
      <w:r w:rsidR="009B2F76">
        <w:rPr>
          <w:rFonts w:ascii="Times New Roman" w:hAnsi="Times New Roman" w:cs="Times New Roman"/>
          <w:sz w:val="24"/>
          <w:szCs w:val="24"/>
        </w:rPr>
        <w:t>u</w:t>
      </w:r>
      <w:r w:rsidRPr="005A744F">
        <w:rPr>
          <w:rFonts w:ascii="Times New Roman" w:hAnsi="Times New Roman" w:cs="Times New Roman"/>
          <w:sz w:val="24"/>
          <w:szCs w:val="24"/>
        </w:rPr>
        <w:t xml:space="preserve"> wykroczeń i przestępstw w sferze ochrony środowiska</w:t>
      </w:r>
      <w:r w:rsidR="009B2F76">
        <w:rPr>
          <w:rFonts w:ascii="Times New Roman" w:hAnsi="Times New Roman" w:cs="Times New Roman"/>
          <w:sz w:val="24"/>
          <w:szCs w:val="24"/>
        </w:rPr>
        <w:t>,</w:t>
      </w:r>
      <w:r w:rsidRPr="005A744F">
        <w:rPr>
          <w:rFonts w:ascii="Times New Roman" w:hAnsi="Times New Roman" w:cs="Times New Roman"/>
          <w:sz w:val="24"/>
          <w:szCs w:val="24"/>
        </w:rPr>
        <w:t xml:space="preserve"> przede wszystkim dot</w:t>
      </w:r>
      <w:r w:rsidR="009B2F76">
        <w:rPr>
          <w:rFonts w:ascii="Times New Roman" w:hAnsi="Times New Roman" w:cs="Times New Roman"/>
          <w:sz w:val="24"/>
          <w:szCs w:val="24"/>
        </w:rPr>
        <w:t>yczących</w:t>
      </w:r>
      <w:r w:rsidRPr="005A744F">
        <w:rPr>
          <w:rFonts w:ascii="Times New Roman" w:hAnsi="Times New Roman" w:cs="Times New Roman"/>
          <w:sz w:val="24"/>
          <w:szCs w:val="24"/>
        </w:rPr>
        <w:t xml:space="preserve"> przestępstw związanych z gospodarką odpadami, w następstwie podlegają przesłuchaniom przez organy ścigania – policję oraz prokuratorów zarówno na etapie prowadzenia postępowań przygotowawczych jak i śledztw. W niektórych szczególnie skomplikowanych sprawach, gdzie koniecznością jest pozyskanie obszernych</w:t>
      </w:r>
      <w:r w:rsidR="009B2F76">
        <w:rPr>
          <w:rFonts w:ascii="Times New Roman" w:hAnsi="Times New Roman" w:cs="Times New Roman"/>
          <w:sz w:val="24"/>
          <w:szCs w:val="24"/>
        </w:rPr>
        <w:t>,</w:t>
      </w:r>
      <w:r w:rsidRPr="005A744F">
        <w:rPr>
          <w:rFonts w:ascii="Times New Roman" w:hAnsi="Times New Roman" w:cs="Times New Roman"/>
          <w:sz w:val="24"/>
          <w:szCs w:val="24"/>
        </w:rPr>
        <w:t xml:space="preserve"> niekiedy kilkunastotomowych materiałów dowodowych, często z terenu całego kraju, tj. od innych właściwych terytorialnie WIOŚ, inspektorzy w znacznym wymiarze przeznaczają czas pracy na pełnienie funkcji pomocniczych dla organów ścigania i w następstwie są wyłączani </w:t>
      </w:r>
      <w:r w:rsidR="009B2F76">
        <w:rPr>
          <w:rFonts w:ascii="Times New Roman" w:hAnsi="Times New Roman" w:cs="Times New Roman"/>
          <w:sz w:val="24"/>
          <w:szCs w:val="24"/>
        </w:rPr>
        <w:br/>
      </w:r>
      <w:r w:rsidRPr="005A744F">
        <w:rPr>
          <w:rFonts w:ascii="Times New Roman" w:hAnsi="Times New Roman" w:cs="Times New Roman"/>
          <w:sz w:val="24"/>
          <w:szCs w:val="24"/>
        </w:rPr>
        <w:t xml:space="preserve">z prowadzenia innych działań kontrolnych, co znajduje odzwierciedlenie w zmniejszaniu liczby działań kontrolnych. </w:t>
      </w:r>
    </w:p>
    <w:p w14:paraId="29B1DD49" w14:textId="77777777" w:rsidR="005A744F" w:rsidRPr="005A744F" w:rsidRDefault="005A744F" w:rsidP="000B4968">
      <w:pPr>
        <w:spacing w:line="300" w:lineRule="atLeast"/>
        <w:ind w:firstLine="567"/>
        <w:contextualSpacing/>
        <w:jc w:val="both"/>
        <w:rPr>
          <w:rFonts w:ascii="Times New Roman" w:hAnsi="Times New Roman" w:cs="Times New Roman"/>
          <w:sz w:val="24"/>
          <w:szCs w:val="24"/>
        </w:rPr>
      </w:pPr>
      <w:r w:rsidRPr="005A744F">
        <w:rPr>
          <w:rFonts w:ascii="Times New Roman" w:hAnsi="Times New Roman" w:cs="Times New Roman"/>
          <w:sz w:val="24"/>
          <w:szCs w:val="24"/>
        </w:rPr>
        <w:t>Jednocześnie uzyskane materiały dowodowe zawarte w protokołach kontroli dokumentujące naruszenia są podstawą do wszczynania i prowadzenia postępowań administracyjnych w sprawach wymierzania administracyjnych kar pieniężnych. Zwyczajowo, od wydawanych kar, podmioty składają odwołania, a następnie zaskarżają decyzje rozstrzygające wydawane przez GIOŚ.</w:t>
      </w:r>
    </w:p>
    <w:p w14:paraId="278302CD" w14:textId="6EE1DC4E" w:rsidR="005A744F" w:rsidRPr="005A744F" w:rsidRDefault="005A744F" w:rsidP="000B4968">
      <w:pPr>
        <w:spacing w:line="300" w:lineRule="atLeast"/>
        <w:ind w:firstLine="567"/>
        <w:contextualSpacing/>
        <w:jc w:val="both"/>
        <w:rPr>
          <w:rFonts w:ascii="Times New Roman" w:hAnsi="Times New Roman" w:cs="Times New Roman"/>
          <w:sz w:val="24"/>
          <w:szCs w:val="24"/>
          <w:lang w:val="x-none" w:eastAsia="x-none"/>
        </w:rPr>
      </w:pPr>
      <w:r w:rsidRPr="005A744F">
        <w:rPr>
          <w:rFonts w:ascii="Times New Roman" w:hAnsi="Times New Roman" w:cs="Times New Roman"/>
          <w:sz w:val="24"/>
          <w:szCs w:val="24"/>
          <w:lang w:eastAsia="x-none"/>
        </w:rPr>
        <w:t xml:space="preserve">Działania samodzielne wykonywanie przez </w:t>
      </w:r>
      <w:r w:rsidRPr="005A744F">
        <w:rPr>
          <w:rFonts w:ascii="Times New Roman" w:hAnsi="Times New Roman" w:cs="Times New Roman"/>
          <w:sz w:val="24"/>
          <w:szCs w:val="24"/>
        </w:rPr>
        <w:t>WZPŚ</w:t>
      </w:r>
      <w:r w:rsidRPr="005A744F">
        <w:rPr>
          <w:rFonts w:ascii="Times New Roman" w:hAnsi="Times New Roman" w:cs="Times New Roman"/>
          <w:sz w:val="24"/>
          <w:szCs w:val="24"/>
          <w:lang w:eastAsia="x-none"/>
        </w:rPr>
        <w:t xml:space="preserve"> oraz działania </w:t>
      </w:r>
      <w:r w:rsidRPr="005A744F">
        <w:rPr>
          <w:rFonts w:ascii="Times New Roman" w:hAnsi="Times New Roman" w:cs="Times New Roman"/>
          <w:sz w:val="24"/>
          <w:szCs w:val="24"/>
          <w:lang w:val="x-none" w:eastAsia="x-none"/>
        </w:rPr>
        <w:t>we współpracy z</w:t>
      </w:r>
      <w:r w:rsidRPr="005A744F">
        <w:rPr>
          <w:rFonts w:ascii="Times New Roman" w:hAnsi="Times New Roman" w:cs="Times New Roman"/>
          <w:sz w:val="24"/>
          <w:szCs w:val="24"/>
          <w:lang w:eastAsia="x-none"/>
        </w:rPr>
        <w:t> </w:t>
      </w:r>
      <w:r w:rsidRPr="005A744F">
        <w:rPr>
          <w:rFonts w:ascii="Times New Roman" w:hAnsi="Times New Roman" w:cs="Times New Roman"/>
          <w:sz w:val="24"/>
          <w:szCs w:val="24"/>
          <w:lang w:val="x-none" w:eastAsia="x-none"/>
        </w:rPr>
        <w:t xml:space="preserve">organami ścigania, </w:t>
      </w:r>
      <w:r w:rsidRPr="005A744F">
        <w:rPr>
          <w:rFonts w:ascii="Times New Roman" w:hAnsi="Times New Roman" w:cs="Times New Roman"/>
          <w:sz w:val="24"/>
          <w:szCs w:val="24"/>
          <w:lang w:eastAsia="x-none"/>
        </w:rPr>
        <w:t xml:space="preserve">prowadzą </w:t>
      </w:r>
      <w:r w:rsidRPr="005A744F">
        <w:rPr>
          <w:rFonts w:ascii="Times New Roman" w:hAnsi="Times New Roman" w:cs="Times New Roman"/>
          <w:sz w:val="24"/>
          <w:szCs w:val="24"/>
          <w:lang w:val="x-none" w:eastAsia="x-none"/>
        </w:rPr>
        <w:t>do ujawniania przypadków nielegalnej działalności zwłaszcza w sferze gospodarowania odpadami, w tym zbierania odpadów, naruszania posiadanych decyzji zezwalających na zbieranie, czy przetwarzanie odpadów. Zbieran</w:t>
      </w:r>
      <w:r w:rsidRPr="005A744F">
        <w:rPr>
          <w:rFonts w:ascii="Times New Roman" w:hAnsi="Times New Roman" w:cs="Times New Roman"/>
          <w:sz w:val="24"/>
          <w:szCs w:val="24"/>
          <w:lang w:eastAsia="x-none"/>
        </w:rPr>
        <w:t>i</w:t>
      </w:r>
      <w:r w:rsidRPr="005A744F">
        <w:rPr>
          <w:rFonts w:ascii="Times New Roman" w:hAnsi="Times New Roman" w:cs="Times New Roman"/>
          <w:sz w:val="24"/>
          <w:szCs w:val="24"/>
          <w:lang w:val="x-none" w:eastAsia="x-none"/>
        </w:rPr>
        <w:t xml:space="preserve">e </w:t>
      </w:r>
      <w:r w:rsidRPr="005A744F">
        <w:rPr>
          <w:rFonts w:ascii="Times New Roman" w:hAnsi="Times New Roman" w:cs="Times New Roman"/>
          <w:sz w:val="24"/>
          <w:szCs w:val="24"/>
          <w:lang w:eastAsia="x-none"/>
        </w:rPr>
        <w:t xml:space="preserve">odpadów </w:t>
      </w:r>
      <w:r w:rsidRPr="005A744F">
        <w:rPr>
          <w:rFonts w:ascii="Times New Roman" w:hAnsi="Times New Roman" w:cs="Times New Roman"/>
          <w:sz w:val="24"/>
          <w:szCs w:val="24"/>
          <w:lang w:val="x-none" w:eastAsia="x-none"/>
        </w:rPr>
        <w:t>od wytwarzających je podmiotów po</w:t>
      </w:r>
      <w:r w:rsidRPr="005A744F">
        <w:rPr>
          <w:rFonts w:ascii="Times New Roman" w:hAnsi="Times New Roman" w:cs="Times New Roman"/>
          <w:sz w:val="24"/>
          <w:szCs w:val="24"/>
          <w:lang w:eastAsia="x-none"/>
        </w:rPr>
        <w:t> </w:t>
      </w:r>
      <w:r w:rsidRPr="005A744F">
        <w:rPr>
          <w:rFonts w:ascii="Times New Roman" w:hAnsi="Times New Roman" w:cs="Times New Roman"/>
          <w:sz w:val="24"/>
          <w:szCs w:val="24"/>
          <w:lang w:val="x-none" w:eastAsia="x-none"/>
        </w:rPr>
        <w:t xml:space="preserve">zaniżonych cenach w efekcie uniemożliwia prawidłowe zagospodarowanie odpadów, a zwłaszcza ich unieszkodliwienie, co skutkuje porzucaniem odpadów w miejscach wydzierżawionych na cele prowadzenia działalności.  Coraz częściej ujawniane naruszenia wyczerpują znamiona zorganizowanych przestępstw przeciwko środowisku. </w:t>
      </w:r>
      <w:r w:rsidR="009B2F76">
        <w:rPr>
          <w:rFonts w:ascii="Times New Roman" w:hAnsi="Times New Roman" w:cs="Times New Roman"/>
          <w:sz w:val="24"/>
          <w:szCs w:val="24"/>
          <w:lang w:eastAsia="x-none"/>
        </w:rPr>
        <w:t xml:space="preserve">Przestępstwa te </w:t>
      </w:r>
      <w:r w:rsidRPr="005A744F">
        <w:rPr>
          <w:rFonts w:ascii="Times New Roman" w:hAnsi="Times New Roman" w:cs="Times New Roman"/>
          <w:sz w:val="24"/>
          <w:szCs w:val="24"/>
          <w:lang w:val="x-none" w:eastAsia="x-none"/>
        </w:rPr>
        <w:t>są</w:t>
      </w:r>
      <w:r w:rsidRPr="005A744F">
        <w:rPr>
          <w:rFonts w:ascii="Times New Roman" w:hAnsi="Times New Roman" w:cs="Times New Roman"/>
          <w:sz w:val="24"/>
          <w:szCs w:val="24"/>
          <w:lang w:eastAsia="x-none"/>
        </w:rPr>
        <w:t> </w:t>
      </w:r>
      <w:r w:rsidRPr="005A744F">
        <w:rPr>
          <w:rFonts w:ascii="Times New Roman" w:hAnsi="Times New Roman" w:cs="Times New Roman"/>
          <w:sz w:val="24"/>
          <w:szCs w:val="24"/>
          <w:lang w:val="x-none" w:eastAsia="x-none"/>
        </w:rPr>
        <w:t>związane z</w:t>
      </w:r>
      <w:r w:rsidRPr="005A744F">
        <w:rPr>
          <w:rFonts w:ascii="Times New Roman" w:hAnsi="Times New Roman" w:cs="Times New Roman"/>
          <w:sz w:val="24"/>
          <w:szCs w:val="24"/>
          <w:lang w:eastAsia="x-none"/>
        </w:rPr>
        <w:t> </w:t>
      </w:r>
      <w:r w:rsidRPr="005A744F">
        <w:rPr>
          <w:rFonts w:ascii="Times New Roman" w:hAnsi="Times New Roman" w:cs="Times New Roman"/>
          <w:sz w:val="24"/>
          <w:szCs w:val="24"/>
          <w:lang w:val="x-none" w:eastAsia="x-none"/>
        </w:rPr>
        <w:t xml:space="preserve">możliwością uzyskania znaczących korzyści finansowych. </w:t>
      </w:r>
    </w:p>
    <w:p w14:paraId="680F3EAC" w14:textId="77777777" w:rsidR="005A744F" w:rsidRPr="005A744F" w:rsidRDefault="005A744F" w:rsidP="005A744F">
      <w:pPr>
        <w:spacing w:line="300" w:lineRule="atLeast"/>
        <w:contextualSpacing/>
        <w:jc w:val="both"/>
        <w:rPr>
          <w:rFonts w:ascii="Times New Roman" w:hAnsi="Times New Roman" w:cs="Times New Roman"/>
          <w:i/>
          <w:color w:val="4472C4"/>
          <w:sz w:val="24"/>
          <w:szCs w:val="24"/>
        </w:rPr>
      </w:pPr>
    </w:p>
    <w:p w14:paraId="2BE44246" w14:textId="69CD9977" w:rsidR="005A744F" w:rsidRPr="005A744F" w:rsidRDefault="005A744F" w:rsidP="009B2F76">
      <w:pPr>
        <w:spacing w:after="60" w:line="300" w:lineRule="atLeast"/>
        <w:jc w:val="both"/>
        <w:rPr>
          <w:rFonts w:ascii="Times New Roman" w:hAnsi="Times New Roman" w:cs="Times New Roman"/>
          <w:i/>
          <w:color w:val="4472C4"/>
          <w:sz w:val="24"/>
          <w:szCs w:val="24"/>
        </w:rPr>
      </w:pPr>
      <w:r w:rsidRPr="005A744F">
        <w:rPr>
          <w:rFonts w:ascii="Times New Roman" w:hAnsi="Times New Roman" w:cs="Times New Roman"/>
          <w:i/>
          <w:color w:val="4472C4"/>
          <w:sz w:val="24"/>
          <w:szCs w:val="24"/>
        </w:rPr>
        <w:t>Wojewódzki Inspektorat Ochrony Środowiska w Krakowie</w:t>
      </w:r>
      <w:r w:rsidR="009B2F76">
        <w:rPr>
          <w:rFonts w:ascii="Times New Roman" w:hAnsi="Times New Roman" w:cs="Times New Roman"/>
          <w:i/>
          <w:color w:val="4472C4"/>
          <w:sz w:val="24"/>
          <w:szCs w:val="24"/>
        </w:rPr>
        <w:t xml:space="preserve"> </w:t>
      </w:r>
    </w:p>
    <w:p w14:paraId="0440FCFA" w14:textId="1C113260" w:rsidR="006B1861" w:rsidRDefault="006B1861" w:rsidP="00E361F2">
      <w:pPr>
        <w:autoSpaceDE w:val="0"/>
        <w:autoSpaceDN w:val="0"/>
        <w:adjustRightInd w:val="0"/>
        <w:spacing w:line="300" w:lineRule="atLeast"/>
        <w:ind w:firstLine="567"/>
        <w:contextualSpacing/>
        <w:jc w:val="both"/>
        <w:rPr>
          <w:rFonts w:ascii="Times New Roman" w:hAnsi="Times New Roman" w:cs="Times New Roman"/>
          <w:sz w:val="24"/>
          <w:szCs w:val="24"/>
        </w:rPr>
      </w:pPr>
      <w:r w:rsidRPr="006B1861">
        <w:rPr>
          <w:rFonts w:ascii="Times New Roman" w:hAnsi="Times New Roman" w:cs="Times New Roman"/>
          <w:sz w:val="24"/>
          <w:szCs w:val="24"/>
        </w:rPr>
        <w:t xml:space="preserve">W 2022 roku przeprowadzono 230 czynności na podstawie art. 10b ustawy o Inspekcji Ochrony Środowiska (159 notatek). W ostatnich latach </w:t>
      </w:r>
      <w:r>
        <w:rPr>
          <w:rFonts w:ascii="Times New Roman" w:hAnsi="Times New Roman" w:cs="Times New Roman"/>
          <w:sz w:val="24"/>
          <w:szCs w:val="24"/>
        </w:rPr>
        <w:t xml:space="preserve">liczba </w:t>
      </w:r>
      <w:r w:rsidRPr="006B1861">
        <w:rPr>
          <w:rFonts w:ascii="Times New Roman" w:hAnsi="Times New Roman" w:cs="Times New Roman"/>
          <w:sz w:val="24"/>
          <w:szCs w:val="24"/>
        </w:rPr>
        <w:t xml:space="preserve">podejmowanych czynności utrzymuje się na podobnym poziomie. W związku z wprowadzeniem miernika do osiągnięcia, </w:t>
      </w:r>
      <w:r w:rsidRPr="006B1861">
        <w:rPr>
          <w:rFonts w:ascii="Times New Roman" w:hAnsi="Times New Roman" w:cs="Times New Roman"/>
          <w:sz w:val="24"/>
          <w:szCs w:val="24"/>
        </w:rPr>
        <w:lastRenderedPageBreak/>
        <w:t>w 2023 roku zostało zaplanowane zwiększenie ilości czynności wykonanych w trybie art. 10b ustawy o Inspekcji Ochrony Środowiska</w:t>
      </w:r>
      <w:r>
        <w:rPr>
          <w:rFonts w:ascii="Times New Roman" w:hAnsi="Times New Roman" w:cs="Times New Roman"/>
          <w:sz w:val="24"/>
          <w:szCs w:val="24"/>
        </w:rPr>
        <w:t>.</w:t>
      </w:r>
      <w:r w:rsidRPr="006B1861">
        <w:rPr>
          <w:rFonts w:ascii="Times New Roman" w:hAnsi="Times New Roman" w:cs="Times New Roman"/>
          <w:sz w:val="24"/>
          <w:szCs w:val="24"/>
        </w:rPr>
        <w:t xml:space="preserve"> </w:t>
      </w:r>
    </w:p>
    <w:p w14:paraId="1FC73443" w14:textId="6AFBAE2A" w:rsidR="005A744F" w:rsidRPr="006B1861" w:rsidRDefault="006B1861" w:rsidP="000B4968">
      <w:pPr>
        <w:autoSpaceDE w:val="0"/>
        <w:autoSpaceDN w:val="0"/>
        <w:adjustRightInd w:val="0"/>
        <w:spacing w:line="300" w:lineRule="atLeast"/>
        <w:ind w:firstLine="567"/>
        <w:contextualSpacing/>
        <w:jc w:val="both"/>
        <w:rPr>
          <w:rFonts w:ascii="Times New Roman" w:hAnsi="Times New Roman" w:cs="Times New Roman"/>
          <w:sz w:val="24"/>
          <w:szCs w:val="24"/>
        </w:rPr>
      </w:pPr>
      <w:r w:rsidRPr="006B1861">
        <w:rPr>
          <w:rFonts w:ascii="Times New Roman" w:hAnsi="Times New Roman" w:cs="Times New Roman"/>
          <w:sz w:val="24"/>
          <w:szCs w:val="24"/>
        </w:rPr>
        <w:t xml:space="preserve">Przy czym wskazuje się, że w 2022 roku większa </w:t>
      </w:r>
      <w:r>
        <w:rPr>
          <w:rFonts w:ascii="Times New Roman" w:hAnsi="Times New Roman" w:cs="Times New Roman"/>
          <w:sz w:val="24"/>
          <w:szCs w:val="24"/>
        </w:rPr>
        <w:t xml:space="preserve">liczba </w:t>
      </w:r>
      <w:r w:rsidRPr="006B1861">
        <w:rPr>
          <w:rFonts w:ascii="Times New Roman" w:hAnsi="Times New Roman" w:cs="Times New Roman"/>
          <w:sz w:val="24"/>
          <w:szCs w:val="24"/>
        </w:rPr>
        <w:t xml:space="preserve">rozpatrywanych spraw wymagała przeprowadzenia pełnych działań kontrolnych (w tym przeprowadzenia działań z poborem próbek, których nie można pobierać w ramach czynności o których mowa w art. 10b ustawy </w:t>
      </w:r>
      <w:r>
        <w:rPr>
          <w:rFonts w:ascii="Times New Roman" w:hAnsi="Times New Roman" w:cs="Times New Roman"/>
          <w:sz w:val="24"/>
          <w:szCs w:val="24"/>
        </w:rPr>
        <w:br/>
      </w:r>
      <w:r w:rsidRPr="006B1861">
        <w:rPr>
          <w:rFonts w:ascii="Times New Roman" w:hAnsi="Times New Roman" w:cs="Times New Roman"/>
          <w:sz w:val="24"/>
          <w:szCs w:val="24"/>
        </w:rPr>
        <w:t>o Inspekcji Ochrony Środowiska). Nadmienia się, że w 2022 roku wykonano łącznie więcej kontroli interwencyjnych o 6,6%</w:t>
      </w:r>
      <w:r w:rsidR="005A744F" w:rsidRPr="006B1861">
        <w:rPr>
          <w:rFonts w:ascii="Times New Roman" w:hAnsi="Times New Roman" w:cs="Times New Roman"/>
          <w:sz w:val="24"/>
          <w:szCs w:val="24"/>
        </w:rPr>
        <w:t xml:space="preserve">.  </w:t>
      </w:r>
    </w:p>
    <w:p w14:paraId="382CAF01" w14:textId="77777777" w:rsidR="005A744F" w:rsidRPr="006B1861" w:rsidRDefault="005A744F" w:rsidP="005A744F">
      <w:pPr>
        <w:spacing w:line="300" w:lineRule="atLeast"/>
        <w:contextualSpacing/>
        <w:jc w:val="both"/>
        <w:rPr>
          <w:rFonts w:ascii="Times New Roman" w:hAnsi="Times New Roman" w:cs="Times New Roman"/>
          <w:i/>
          <w:color w:val="4472C4"/>
          <w:sz w:val="24"/>
          <w:szCs w:val="24"/>
        </w:rPr>
      </w:pPr>
    </w:p>
    <w:p w14:paraId="254289D7" w14:textId="77777777" w:rsidR="005A744F" w:rsidRPr="005A744F" w:rsidRDefault="005A744F" w:rsidP="009B2F76">
      <w:pPr>
        <w:spacing w:after="60" w:line="300" w:lineRule="atLeast"/>
        <w:jc w:val="both"/>
        <w:rPr>
          <w:rFonts w:ascii="Times New Roman" w:hAnsi="Times New Roman" w:cs="Times New Roman"/>
          <w:i/>
          <w:color w:val="4472C4"/>
          <w:sz w:val="24"/>
          <w:szCs w:val="24"/>
        </w:rPr>
      </w:pPr>
      <w:r w:rsidRPr="005A744F">
        <w:rPr>
          <w:rFonts w:ascii="Times New Roman" w:hAnsi="Times New Roman" w:cs="Times New Roman"/>
          <w:i/>
          <w:color w:val="4472C4"/>
          <w:sz w:val="24"/>
          <w:szCs w:val="24"/>
        </w:rPr>
        <w:t>Wojewódzki Inspektorat Ochrony Środowiska w Lublinie</w:t>
      </w:r>
    </w:p>
    <w:p w14:paraId="04AEB3BB" w14:textId="50002C91" w:rsidR="005A744F" w:rsidRPr="005A744F" w:rsidRDefault="005A744F" w:rsidP="000B4968">
      <w:pPr>
        <w:spacing w:line="300" w:lineRule="atLeast"/>
        <w:ind w:firstLine="567"/>
        <w:contextualSpacing/>
        <w:jc w:val="both"/>
        <w:rPr>
          <w:rFonts w:ascii="Times New Roman" w:hAnsi="Times New Roman" w:cs="Times New Roman"/>
          <w:sz w:val="24"/>
          <w:szCs w:val="24"/>
        </w:rPr>
      </w:pPr>
      <w:r w:rsidRPr="005A744F">
        <w:rPr>
          <w:rFonts w:ascii="Times New Roman" w:hAnsi="Times New Roman" w:cs="Times New Roman"/>
          <w:sz w:val="24"/>
          <w:szCs w:val="24"/>
        </w:rPr>
        <w:t xml:space="preserve">W 2022 r. w WIOŚ w Lublinie zrealizowano 28 działań z zakresu uprawnień art. 10b ustawy o IOŚ, </w:t>
      </w:r>
      <w:r w:rsidR="009B2F76">
        <w:rPr>
          <w:rFonts w:ascii="Times New Roman" w:hAnsi="Times New Roman" w:cs="Times New Roman"/>
          <w:sz w:val="24"/>
          <w:szCs w:val="24"/>
        </w:rPr>
        <w:t xml:space="preserve">natomiast </w:t>
      </w:r>
      <w:r w:rsidRPr="005A744F">
        <w:rPr>
          <w:rFonts w:ascii="Times New Roman" w:hAnsi="Times New Roman" w:cs="Times New Roman"/>
          <w:sz w:val="24"/>
          <w:szCs w:val="24"/>
        </w:rPr>
        <w:t xml:space="preserve">w 2021 r. wykonano 1 takie działanie. Znaczny wzrost spowodowany jest tym, że od 2022 r. ujednolicono formę działań z zakresu art. 10b </w:t>
      </w:r>
      <w:r w:rsidR="009B2F76">
        <w:rPr>
          <w:rFonts w:ascii="Times New Roman" w:hAnsi="Times New Roman" w:cs="Times New Roman"/>
          <w:sz w:val="24"/>
          <w:szCs w:val="24"/>
        </w:rPr>
        <w:t xml:space="preserve">ww. ustawy </w:t>
      </w:r>
      <w:r w:rsidRPr="005A744F">
        <w:rPr>
          <w:rFonts w:ascii="Times New Roman" w:hAnsi="Times New Roman" w:cs="Times New Roman"/>
          <w:sz w:val="24"/>
          <w:szCs w:val="24"/>
        </w:rPr>
        <w:t xml:space="preserve">w postaci formularza </w:t>
      </w:r>
      <w:r w:rsidRPr="005A744F">
        <w:rPr>
          <w:rFonts w:ascii="Times New Roman" w:hAnsi="Times New Roman" w:cs="Times New Roman"/>
          <w:i/>
          <w:sz w:val="24"/>
          <w:szCs w:val="24"/>
        </w:rPr>
        <w:t>Notatki Urzędowej</w:t>
      </w:r>
      <w:r w:rsidRPr="005A744F">
        <w:rPr>
          <w:rFonts w:ascii="Times New Roman" w:hAnsi="Times New Roman" w:cs="Times New Roman"/>
          <w:sz w:val="24"/>
          <w:szCs w:val="24"/>
        </w:rPr>
        <w:t xml:space="preserve"> wprowadzonej do ISK oraz zmiany formy realizowania czynności będących interwencjami w terenie bez kontroli.  </w:t>
      </w:r>
    </w:p>
    <w:p w14:paraId="3D31D05F" w14:textId="77777777" w:rsidR="005A744F" w:rsidRPr="005A744F" w:rsidRDefault="005A744F" w:rsidP="005A744F">
      <w:pPr>
        <w:spacing w:line="300" w:lineRule="atLeast"/>
        <w:contextualSpacing/>
        <w:jc w:val="both"/>
        <w:rPr>
          <w:rFonts w:ascii="Times New Roman" w:hAnsi="Times New Roman" w:cs="Times New Roman"/>
          <w:i/>
          <w:color w:val="4472C4"/>
          <w:sz w:val="24"/>
          <w:szCs w:val="24"/>
        </w:rPr>
      </w:pPr>
      <w:r w:rsidRPr="005A744F">
        <w:rPr>
          <w:rFonts w:ascii="Times New Roman" w:hAnsi="Times New Roman" w:cs="Times New Roman"/>
          <w:i/>
          <w:color w:val="4472C4"/>
          <w:sz w:val="24"/>
          <w:szCs w:val="24"/>
        </w:rPr>
        <w:t xml:space="preserve"> </w:t>
      </w:r>
    </w:p>
    <w:p w14:paraId="3B139245" w14:textId="77777777" w:rsidR="005A744F" w:rsidRPr="005A744F" w:rsidRDefault="005A744F" w:rsidP="009B2F76">
      <w:pPr>
        <w:spacing w:after="60" w:line="300" w:lineRule="atLeast"/>
        <w:jc w:val="both"/>
        <w:rPr>
          <w:rFonts w:ascii="Times New Roman" w:hAnsi="Times New Roman" w:cs="Times New Roman"/>
          <w:i/>
          <w:color w:val="4472C4"/>
          <w:sz w:val="24"/>
          <w:szCs w:val="24"/>
        </w:rPr>
      </w:pPr>
      <w:r w:rsidRPr="005A744F">
        <w:rPr>
          <w:rFonts w:ascii="Times New Roman" w:hAnsi="Times New Roman" w:cs="Times New Roman"/>
          <w:i/>
          <w:color w:val="4472C4"/>
          <w:sz w:val="24"/>
          <w:szCs w:val="24"/>
        </w:rPr>
        <w:t>Wojewódzki Inspektorat Ochrony Środowiska w Łodzi</w:t>
      </w:r>
    </w:p>
    <w:p w14:paraId="78DF3F06" w14:textId="6B194BC4" w:rsidR="005A744F" w:rsidRPr="005A744F" w:rsidRDefault="005A744F" w:rsidP="000B4968">
      <w:pPr>
        <w:spacing w:line="300" w:lineRule="atLeast"/>
        <w:ind w:firstLine="567"/>
        <w:contextualSpacing/>
        <w:jc w:val="both"/>
        <w:rPr>
          <w:rFonts w:ascii="Times New Roman" w:hAnsi="Times New Roman" w:cs="Times New Roman"/>
          <w:sz w:val="24"/>
          <w:szCs w:val="24"/>
        </w:rPr>
      </w:pPr>
      <w:r w:rsidRPr="005A744F">
        <w:rPr>
          <w:rFonts w:ascii="Times New Roman" w:hAnsi="Times New Roman" w:cs="Times New Roman"/>
          <w:sz w:val="24"/>
          <w:szCs w:val="24"/>
        </w:rPr>
        <w:t xml:space="preserve">W porównaniu z rokiem </w:t>
      </w:r>
      <w:r w:rsidR="009B2F76">
        <w:rPr>
          <w:rFonts w:ascii="Times New Roman" w:hAnsi="Times New Roman" w:cs="Times New Roman"/>
          <w:sz w:val="24"/>
          <w:szCs w:val="24"/>
        </w:rPr>
        <w:t xml:space="preserve">2021 </w:t>
      </w:r>
      <w:r w:rsidRPr="005A744F">
        <w:rPr>
          <w:rFonts w:ascii="Times New Roman" w:hAnsi="Times New Roman" w:cs="Times New Roman"/>
          <w:sz w:val="24"/>
          <w:szCs w:val="24"/>
        </w:rPr>
        <w:t>w r</w:t>
      </w:r>
      <w:r w:rsidR="009B2F76">
        <w:rPr>
          <w:rFonts w:ascii="Times New Roman" w:hAnsi="Times New Roman" w:cs="Times New Roman"/>
          <w:sz w:val="24"/>
          <w:szCs w:val="24"/>
        </w:rPr>
        <w:t>oku ubiegłym</w:t>
      </w:r>
      <w:r w:rsidRPr="005A744F">
        <w:rPr>
          <w:rFonts w:ascii="Times New Roman" w:hAnsi="Times New Roman" w:cs="Times New Roman"/>
          <w:sz w:val="24"/>
          <w:szCs w:val="24"/>
        </w:rPr>
        <w:t xml:space="preserve"> odnotowano spadek liczby podejmowanych czynności przeprowadzanych na podstawie art. 10b ustawy o Inspekcji Ochrony Środowiska. W 2021 r. odnotowano 279,  a w 2022 r. 116 tego typu działań. Spadek ten spowodowany był wyłącznie zmianą sposobu  dokumentowania działań i nie miał odzwierciedlenia w zmianie liczby rozpatrywanych przypadków naruszania przepisów ochrony środowiska. </w:t>
      </w:r>
    </w:p>
    <w:p w14:paraId="2781C0D8" w14:textId="77777777" w:rsidR="005A744F" w:rsidRPr="005A744F" w:rsidRDefault="005A744F" w:rsidP="005A744F">
      <w:pPr>
        <w:spacing w:line="300" w:lineRule="atLeast"/>
        <w:contextualSpacing/>
        <w:jc w:val="both"/>
        <w:rPr>
          <w:rFonts w:ascii="Times New Roman" w:hAnsi="Times New Roman" w:cs="Times New Roman"/>
          <w:sz w:val="24"/>
          <w:szCs w:val="24"/>
        </w:rPr>
      </w:pPr>
    </w:p>
    <w:p w14:paraId="37CFD518" w14:textId="77777777" w:rsidR="005A744F" w:rsidRPr="005A744F" w:rsidRDefault="005A744F" w:rsidP="000B4968">
      <w:pPr>
        <w:spacing w:after="60" w:line="300" w:lineRule="atLeast"/>
        <w:jc w:val="both"/>
        <w:rPr>
          <w:rFonts w:ascii="Times New Roman" w:hAnsi="Times New Roman" w:cs="Times New Roman"/>
          <w:i/>
          <w:color w:val="4472C4"/>
          <w:sz w:val="24"/>
          <w:szCs w:val="24"/>
        </w:rPr>
      </w:pPr>
      <w:r w:rsidRPr="005A744F">
        <w:rPr>
          <w:rFonts w:ascii="Times New Roman" w:hAnsi="Times New Roman" w:cs="Times New Roman"/>
          <w:i/>
          <w:color w:val="4472C4"/>
          <w:sz w:val="24"/>
          <w:szCs w:val="24"/>
        </w:rPr>
        <w:t>Wojewódzki Inspektorat Ochrony Środowiska w Olsztynie</w:t>
      </w:r>
    </w:p>
    <w:p w14:paraId="2C32041E" w14:textId="5535C85A" w:rsidR="005A744F" w:rsidRPr="00E361F2" w:rsidRDefault="00E361F2" w:rsidP="000B4968">
      <w:pPr>
        <w:spacing w:after="60" w:line="300" w:lineRule="atLeast"/>
        <w:ind w:firstLine="567"/>
        <w:jc w:val="both"/>
        <w:rPr>
          <w:rFonts w:ascii="Times New Roman" w:hAnsi="Times New Roman" w:cs="Times New Roman"/>
          <w:sz w:val="24"/>
          <w:szCs w:val="24"/>
        </w:rPr>
      </w:pPr>
      <w:r w:rsidRPr="00E361F2">
        <w:rPr>
          <w:rFonts w:ascii="Times New Roman" w:hAnsi="Times New Roman" w:cs="Times New Roman"/>
          <w:iCs/>
          <w:sz w:val="24"/>
          <w:szCs w:val="24"/>
        </w:rPr>
        <w:t xml:space="preserve">W porównaniu </w:t>
      </w:r>
      <w:r>
        <w:rPr>
          <w:rFonts w:ascii="Times New Roman" w:hAnsi="Times New Roman" w:cs="Times New Roman"/>
          <w:iCs/>
          <w:sz w:val="24"/>
          <w:szCs w:val="24"/>
        </w:rPr>
        <w:t xml:space="preserve">z </w:t>
      </w:r>
      <w:r w:rsidRPr="00E361F2">
        <w:rPr>
          <w:rFonts w:ascii="Times New Roman" w:hAnsi="Times New Roman" w:cs="Times New Roman"/>
          <w:iCs/>
          <w:sz w:val="24"/>
          <w:szCs w:val="24"/>
        </w:rPr>
        <w:t>rok</w:t>
      </w:r>
      <w:r>
        <w:rPr>
          <w:rFonts w:ascii="Times New Roman" w:hAnsi="Times New Roman" w:cs="Times New Roman"/>
          <w:iCs/>
          <w:sz w:val="24"/>
          <w:szCs w:val="24"/>
        </w:rPr>
        <w:t xml:space="preserve">iem 2021 </w:t>
      </w:r>
      <w:r w:rsidRPr="00E361F2">
        <w:rPr>
          <w:rFonts w:ascii="Times New Roman" w:hAnsi="Times New Roman" w:cs="Times New Roman"/>
          <w:iCs/>
          <w:sz w:val="24"/>
          <w:szCs w:val="24"/>
        </w:rPr>
        <w:t xml:space="preserve">w </w:t>
      </w:r>
      <w:r>
        <w:rPr>
          <w:rFonts w:ascii="Times New Roman" w:hAnsi="Times New Roman" w:cs="Times New Roman"/>
          <w:iCs/>
          <w:sz w:val="24"/>
          <w:szCs w:val="24"/>
        </w:rPr>
        <w:t xml:space="preserve">roku </w:t>
      </w:r>
      <w:r w:rsidRPr="00E361F2">
        <w:rPr>
          <w:rFonts w:ascii="Times New Roman" w:hAnsi="Times New Roman" w:cs="Times New Roman"/>
          <w:iCs/>
          <w:sz w:val="24"/>
          <w:szCs w:val="24"/>
        </w:rPr>
        <w:t xml:space="preserve">2022 </w:t>
      </w:r>
      <w:r>
        <w:rPr>
          <w:rFonts w:ascii="Times New Roman" w:hAnsi="Times New Roman" w:cs="Times New Roman"/>
          <w:iCs/>
          <w:sz w:val="24"/>
          <w:szCs w:val="24"/>
        </w:rPr>
        <w:t xml:space="preserve">zaobserwowano </w:t>
      </w:r>
      <w:r w:rsidRPr="00E361F2">
        <w:rPr>
          <w:rFonts w:ascii="Times New Roman" w:hAnsi="Times New Roman" w:cs="Times New Roman"/>
          <w:iCs/>
          <w:sz w:val="24"/>
          <w:szCs w:val="24"/>
        </w:rPr>
        <w:t>tendencj</w:t>
      </w:r>
      <w:r>
        <w:rPr>
          <w:rFonts w:ascii="Times New Roman" w:hAnsi="Times New Roman" w:cs="Times New Roman"/>
          <w:iCs/>
          <w:sz w:val="24"/>
          <w:szCs w:val="24"/>
        </w:rPr>
        <w:t>ę</w:t>
      </w:r>
      <w:r w:rsidRPr="00E361F2">
        <w:rPr>
          <w:rFonts w:ascii="Times New Roman" w:hAnsi="Times New Roman" w:cs="Times New Roman"/>
          <w:iCs/>
          <w:sz w:val="24"/>
          <w:szCs w:val="24"/>
        </w:rPr>
        <w:t xml:space="preserve"> wzrostow</w:t>
      </w:r>
      <w:r>
        <w:rPr>
          <w:rFonts w:ascii="Times New Roman" w:hAnsi="Times New Roman" w:cs="Times New Roman"/>
          <w:iCs/>
          <w:sz w:val="24"/>
          <w:szCs w:val="24"/>
        </w:rPr>
        <w:t>ą</w:t>
      </w:r>
      <w:r w:rsidRPr="00E361F2">
        <w:rPr>
          <w:rFonts w:ascii="Times New Roman" w:hAnsi="Times New Roman" w:cs="Times New Roman"/>
          <w:iCs/>
          <w:sz w:val="24"/>
          <w:szCs w:val="24"/>
        </w:rPr>
        <w:t xml:space="preserve"> związan</w:t>
      </w:r>
      <w:r>
        <w:rPr>
          <w:rFonts w:ascii="Times New Roman" w:hAnsi="Times New Roman" w:cs="Times New Roman"/>
          <w:iCs/>
          <w:sz w:val="24"/>
          <w:szCs w:val="24"/>
        </w:rPr>
        <w:t>ą</w:t>
      </w:r>
      <w:r w:rsidRPr="00E361F2">
        <w:rPr>
          <w:rFonts w:ascii="Times New Roman" w:hAnsi="Times New Roman" w:cs="Times New Roman"/>
          <w:iCs/>
          <w:sz w:val="24"/>
          <w:szCs w:val="24"/>
        </w:rPr>
        <w:t xml:space="preserve"> z </w:t>
      </w:r>
      <w:r>
        <w:rPr>
          <w:rFonts w:ascii="Times New Roman" w:hAnsi="Times New Roman" w:cs="Times New Roman"/>
          <w:iCs/>
          <w:sz w:val="24"/>
          <w:szCs w:val="24"/>
        </w:rPr>
        <w:t xml:space="preserve">liczbą </w:t>
      </w:r>
      <w:r w:rsidRPr="00E361F2">
        <w:rPr>
          <w:rFonts w:ascii="Times New Roman" w:hAnsi="Times New Roman" w:cs="Times New Roman"/>
          <w:iCs/>
          <w:sz w:val="24"/>
          <w:szCs w:val="24"/>
        </w:rPr>
        <w:t>podejmowanych czynności z art. 10b ustawy o Inspekcji Ochrony Środowiska. Przyczyn</w:t>
      </w:r>
      <w:r>
        <w:rPr>
          <w:rFonts w:ascii="Times New Roman" w:hAnsi="Times New Roman" w:cs="Times New Roman"/>
          <w:iCs/>
          <w:sz w:val="24"/>
          <w:szCs w:val="24"/>
        </w:rPr>
        <w:t>ą</w:t>
      </w:r>
      <w:r w:rsidRPr="00E361F2">
        <w:rPr>
          <w:rFonts w:ascii="Times New Roman" w:hAnsi="Times New Roman" w:cs="Times New Roman"/>
          <w:iCs/>
          <w:sz w:val="24"/>
          <w:szCs w:val="24"/>
        </w:rPr>
        <w:t xml:space="preserve"> wzrostu </w:t>
      </w:r>
      <w:r>
        <w:rPr>
          <w:rFonts w:ascii="Times New Roman" w:hAnsi="Times New Roman" w:cs="Times New Roman"/>
          <w:iCs/>
          <w:sz w:val="24"/>
          <w:szCs w:val="24"/>
        </w:rPr>
        <w:t xml:space="preserve">była </w:t>
      </w:r>
      <w:r w:rsidRPr="00E361F2">
        <w:rPr>
          <w:rFonts w:ascii="Times New Roman" w:hAnsi="Times New Roman" w:cs="Times New Roman"/>
          <w:iCs/>
          <w:sz w:val="24"/>
          <w:szCs w:val="24"/>
        </w:rPr>
        <w:t>zwiększon</w:t>
      </w:r>
      <w:r>
        <w:rPr>
          <w:rFonts w:ascii="Times New Roman" w:hAnsi="Times New Roman" w:cs="Times New Roman"/>
          <w:iCs/>
          <w:sz w:val="24"/>
          <w:szCs w:val="24"/>
        </w:rPr>
        <w:t>a</w:t>
      </w:r>
      <w:r w:rsidRPr="00E361F2">
        <w:rPr>
          <w:rFonts w:ascii="Times New Roman" w:hAnsi="Times New Roman" w:cs="Times New Roman"/>
          <w:iCs/>
          <w:sz w:val="24"/>
          <w:szCs w:val="24"/>
        </w:rPr>
        <w:t xml:space="preserve"> </w:t>
      </w:r>
      <w:r>
        <w:rPr>
          <w:rFonts w:ascii="Times New Roman" w:hAnsi="Times New Roman" w:cs="Times New Roman"/>
          <w:iCs/>
          <w:sz w:val="24"/>
          <w:szCs w:val="24"/>
        </w:rPr>
        <w:t xml:space="preserve">liczba </w:t>
      </w:r>
      <w:r w:rsidRPr="00E361F2">
        <w:rPr>
          <w:rFonts w:ascii="Times New Roman" w:hAnsi="Times New Roman" w:cs="Times New Roman"/>
          <w:iCs/>
          <w:sz w:val="24"/>
          <w:szCs w:val="24"/>
        </w:rPr>
        <w:t xml:space="preserve">obserwacji  w związku z podejrzeniem popełnienia przestępstwa lub wykroczenia </w:t>
      </w:r>
      <w:r>
        <w:rPr>
          <w:rFonts w:ascii="Times New Roman" w:hAnsi="Times New Roman" w:cs="Times New Roman"/>
          <w:iCs/>
          <w:sz w:val="24"/>
          <w:szCs w:val="24"/>
        </w:rPr>
        <w:t xml:space="preserve">oraz </w:t>
      </w:r>
      <w:r w:rsidRPr="00E361F2">
        <w:rPr>
          <w:rFonts w:ascii="Times New Roman" w:hAnsi="Times New Roman" w:cs="Times New Roman"/>
          <w:iCs/>
          <w:sz w:val="24"/>
          <w:szCs w:val="24"/>
        </w:rPr>
        <w:t>potrzeby analizy dokumentacji w celu ujawnienia nielegalnych strumieni odpadów</w:t>
      </w:r>
      <w:r w:rsidR="005A744F" w:rsidRPr="00E361F2">
        <w:rPr>
          <w:rFonts w:ascii="Times New Roman" w:hAnsi="Times New Roman" w:cs="Times New Roman"/>
          <w:sz w:val="24"/>
          <w:szCs w:val="24"/>
        </w:rPr>
        <w:t>.</w:t>
      </w:r>
    </w:p>
    <w:p w14:paraId="0CCF4B2A" w14:textId="77777777" w:rsidR="006B1861" w:rsidRPr="005A744F" w:rsidRDefault="006B1861" w:rsidP="005A744F">
      <w:pPr>
        <w:spacing w:line="300" w:lineRule="atLeast"/>
        <w:contextualSpacing/>
        <w:jc w:val="both"/>
        <w:rPr>
          <w:rFonts w:ascii="Times New Roman" w:hAnsi="Times New Roman" w:cs="Times New Roman"/>
          <w:i/>
          <w:color w:val="4472C4"/>
          <w:sz w:val="24"/>
          <w:szCs w:val="24"/>
        </w:rPr>
      </w:pPr>
    </w:p>
    <w:p w14:paraId="1B587308" w14:textId="77777777" w:rsidR="005A744F" w:rsidRPr="005A744F" w:rsidRDefault="005A744F" w:rsidP="000B4968">
      <w:pPr>
        <w:spacing w:after="60" w:line="300" w:lineRule="atLeast"/>
        <w:jc w:val="both"/>
        <w:rPr>
          <w:rFonts w:ascii="Times New Roman" w:hAnsi="Times New Roman" w:cs="Times New Roman"/>
          <w:i/>
          <w:color w:val="4472C4"/>
          <w:sz w:val="24"/>
          <w:szCs w:val="24"/>
        </w:rPr>
      </w:pPr>
      <w:r w:rsidRPr="005A744F">
        <w:rPr>
          <w:rFonts w:ascii="Times New Roman" w:hAnsi="Times New Roman" w:cs="Times New Roman"/>
          <w:i/>
          <w:color w:val="4472C4"/>
          <w:sz w:val="24"/>
          <w:szCs w:val="24"/>
        </w:rPr>
        <w:t>Wojewódzki Inspektorat Ochrony Środowiska w Opolu</w:t>
      </w:r>
    </w:p>
    <w:p w14:paraId="2B41B121" w14:textId="19E6A298" w:rsidR="005A744F" w:rsidRPr="005A744F" w:rsidRDefault="005A744F" w:rsidP="000B4968">
      <w:pPr>
        <w:spacing w:line="300" w:lineRule="atLeast"/>
        <w:ind w:firstLine="567"/>
        <w:contextualSpacing/>
        <w:jc w:val="both"/>
        <w:rPr>
          <w:rFonts w:ascii="Times New Roman" w:hAnsi="Times New Roman" w:cs="Times New Roman"/>
          <w:iCs/>
          <w:sz w:val="24"/>
          <w:szCs w:val="24"/>
        </w:rPr>
      </w:pPr>
      <w:r w:rsidRPr="005A744F">
        <w:rPr>
          <w:rFonts w:ascii="Times New Roman" w:hAnsi="Times New Roman" w:cs="Times New Roman"/>
          <w:iCs/>
          <w:sz w:val="24"/>
          <w:szCs w:val="24"/>
        </w:rPr>
        <w:t>W roku 2021 przeprowadzono łącznie 117 czynności,</w:t>
      </w:r>
      <w:r w:rsidRPr="005A744F">
        <w:rPr>
          <w:rFonts w:ascii="Times New Roman" w:hAnsi="Times New Roman" w:cs="Times New Roman"/>
          <w:sz w:val="24"/>
          <w:szCs w:val="24"/>
        </w:rPr>
        <w:t xml:space="preserve"> </w:t>
      </w:r>
      <w:r w:rsidRPr="005A744F">
        <w:rPr>
          <w:rFonts w:ascii="Times New Roman" w:hAnsi="Times New Roman" w:cs="Times New Roman"/>
          <w:iCs/>
          <w:sz w:val="24"/>
          <w:szCs w:val="24"/>
        </w:rPr>
        <w:t xml:space="preserve">o których mowa w art. 10b ustawy o Inspekcji Ochrony Środowiska, z kolei w 2022 r. przeprowadzono łącznie 286 </w:t>
      </w:r>
      <w:r w:rsidR="004D58C0">
        <w:rPr>
          <w:rFonts w:ascii="Times New Roman" w:hAnsi="Times New Roman" w:cs="Times New Roman"/>
          <w:iCs/>
          <w:sz w:val="24"/>
          <w:szCs w:val="24"/>
        </w:rPr>
        <w:t>tego rodzaju</w:t>
      </w:r>
      <w:r w:rsidR="004D58C0" w:rsidRPr="005A744F">
        <w:rPr>
          <w:rFonts w:ascii="Times New Roman" w:hAnsi="Times New Roman" w:cs="Times New Roman"/>
          <w:iCs/>
          <w:sz w:val="24"/>
          <w:szCs w:val="24"/>
        </w:rPr>
        <w:t xml:space="preserve"> </w:t>
      </w:r>
      <w:r w:rsidRPr="005A744F">
        <w:rPr>
          <w:rFonts w:ascii="Times New Roman" w:hAnsi="Times New Roman" w:cs="Times New Roman"/>
          <w:iCs/>
          <w:sz w:val="24"/>
          <w:szCs w:val="24"/>
        </w:rPr>
        <w:t xml:space="preserve">czynności. </w:t>
      </w:r>
    </w:p>
    <w:p w14:paraId="123513CF" w14:textId="77777777" w:rsidR="005A744F" w:rsidRPr="005A744F" w:rsidRDefault="005A744F" w:rsidP="005A744F">
      <w:pPr>
        <w:spacing w:line="300" w:lineRule="atLeast"/>
        <w:contextualSpacing/>
        <w:jc w:val="both"/>
        <w:rPr>
          <w:rFonts w:ascii="Times New Roman" w:hAnsi="Times New Roman" w:cs="Times New Roman"/>
          <w:iCs/>
          <w:sz w:val="24"/>
          <w:szCs w:val="24"/>
        </w:rPr>
      </w:pPr>
    </w:p>
    <w:p w14:paraId="2297D8A8" w14:textId="662559FB" w:rsidR="005A744F" w:rsidRPr="005A744F" w:rsidRDefault="005A744F" w:rsidP="004D58C0">
      <w:pPr>
        <w:spacing w:after="60" w:line="300" w:lineRule="atLeast"/>
        <w:jc w:val="both"/>
        <w:rPr>
          <w:rFonts w:ascii="Times New Roman" w:hAnsi="Times New Roman" w:cs="Times New Roman"/>
          <w:iCs/>
          <w:sz w:val="24"/>
          <w:szCs w:val="24"/>
        </w:rPr>
      </w:pPr>
      <w:r w:rsidRPr="005A744F">
        <w:rPr>
          <w:rFonts w:ascii="Times New Roman" w:hAnsi="Times New Roman" w:cs="Times New Roman"/>
          <w:iCs/>
          <w:sz w:val="24"/>
          <w:szCs w:val="24"/>
        </w:rPr>
        <w:t>W roku 2022 przeprowadzono:</w:t>
      </w:r>
    </w:p>
    <w:p w14:paraId="365F5A28" w14:textId="6C204053" w:rsidR="005A744F" w:rsidRPr="004D58C0" w:rsidRDefault="005A744F" w:rsidP="00D34F97">
      <w:pPr>
        <w:pStyle w:val="Akapitzlist"/>
        <w:numPr>
          <w:ilvl w:val="0"/>
          <w:numId w:val="245"/>
        </w:numPr>
        <w:spacing w:line="300" w:lineRule="atLeast"/>
        <w:jc w:val="both"/>
        <w:rPr>
          <w:iCs/>
          <w:sz w:val="24"/>
          <w:szCs w:val="24"/>
        </w:rPr>
      </w:pPr>
      <w:r w:rsidRPr="004D58C0">
        <w:rPr>
          <w:iCs/>
          <w:sz w:val="24"/>
          <w:szCs w:val="24"/>
        </w:rPr>
        <w:t>177 czynności polegających na obserwowaniu i rejestrowaniu przy użyciu środków technicznych obrazu zdarzeń oraz dźwięku towarzyszącego tym zdarzeniom (74 czynności w 2021 r.),</w:t>
      </w:r>
    </w:p>
    <w:p w14:paraId="0312820F" w14:textId="2B257C0A" w:rsidR="005A744F" w:rsidRPr="004D58C0" w:rsidRDefault="005A744F" w:rsidP="00D34F97">
      <w:pPr>
        <w:pStyle w:val="Akapitzlist"/>
        <w:numPr>
          <w:ilvl w:val="0"/>
          <w:numId w:val="245"/>
        </w:numPr>
        <w:spacing w:line="300" w:lineRule="atLeast"/>
        <w:jc w:val="both"/>
        <w:rPr>
          <w:iCs/>
          <w:sz w:val="24"/>
          <w:szCs w:val="24"/>
        </w:rPr>
      </w:pPr>
      <w:r w:rsidRPr="004D58C0">
        <w:rPr>
          <w:iCs/>
          <w:sz w:val="24"/>
          <w:szCs w:val="24"/>
        </w:rPr>
        <w:t>36 czynności polegających na gromadzeniu i zabezpieczaniu dowodów popełnienia przestępstwa lub wykroczenia (6 czynności w 2021 r.),</w:t>
      </w:r>
    </w:p>
    <w:p w14:paraId="78141E89" w14:textId="20BF4D8E" w:rsidR="005A744F" w:rsidRPr="004D58C0" w:rsidRDefault="005A744F" w:rsidP="00D34F97">
      <w:pPr>
        <w:pStyle w:val="Akapitzlist"/>
        <w:numPr>
          <w:ilvl w:val="0"/>
          <w:numId w:val="245"/>
        </w:numPr>
        <w:spacing w:line="300" w:lineRule="atLeast"/>
        <w:jc w:val="both"/>
        <w:rPr>
          <w:iCs/>
          <w:sz w:val="24"/>
          <w:szCs w:val="24"/>
        </w:rPr>
      </w:pPr>
      <w:r w:rsidRPr="004D58C0">
        <w:rPr>
          <w:iCs/>
          <w:sz w:val="24"/>
          <w:szCs w:val="24"/>
        </w:rPr>
        <w:t>14 czynności polegających na żądaniu pisemnych lub ustnych informacji oraz przesłuchiwaniu osób w zakresie niezbędnym dla ustalenia stanu faktycznego przy jednoczesnym pouczeniu ich o odpowiedzialności karnej za składanie fałszywych zeznań, o której mowa w Kodeksie karnym (11 czynności w 2021 r.),</w:t>
      </w:r>
    </w:p>
    <w:p w14:paraId="36E46A9A" w14:textId="690320F8" w:rsidR="005A744F" w:rsidRPr="004D58C0" w:rsidRDefault="005A744F" w:rsidP="00D34F97">
      <w:pPr>
        <w:pStyle w:val="Akapitzlist"/>
        <w:numPr>
          <w:ilvl w:val="0"/>
          <w:numId w:val="245"/>
        </w:numPr>
        <w:spacing w:line="300" w:lineRule="atLeast"/>
        <w:jc w:val="both"/>
        <w:rPr>
          <w:iCs/>
          <w:sz w:val="24"/>
          <w:szCs w:val="24"/>
        </w:rPr>
      </w:pPr>
      <w:r w:rsidRPr="004D58C0">
        <w:rPr>
          <w:iCs/>
          <w:sz w:val="24"/>
          <w:szCs w:val="24"/>
        </w:rPr>
        <w:lastRenderedPageBreak/>
        <w:t>2 czynności polegające na ustalaniu tożsamości osób, niezbędnej do wymierzenia kary (0 czynności w 2021 r.),</w:t>
      </w:r>
    </w:p>
    <w:p w14:paraId="73DA7806" w14:textId="280EDBA9" w:rsidR="005A744F" w:rsidRPr="004D58C0" w:rsidRDefault="005A744F" w:rsidP="00D34F97">
      <w:pPr>
        <w:pStyle w:val="Akapitzlist"/>
        <w:numPr>
          <w:ilvl w:val="0"/>
          <w:numId w:val="245"/>
        </w:numPr>
        <w:spacing w:line="300" w:lineRule="atLeast"/>
        <w:jc w:val="both"/>
        <w:rPr>
          <w:iCs/>
          <w:sz w:val="24"/>
          <w:szCs w:val="24"/>
        </w:rPr>
      </w:pPr>
      <w:r w:rsidRPr="004D58C0">
        <w:rPr>
          <w:iCs/>
          <w:sz w:val="24"/>
          <w:szCs w:val="24"/>
        </w:rPr>
        <w:t xml:space="preserve">56 czynności polegających na dokonywaniu oględzin pomieszczeń i innych </w:t>
      </w:r>
      <w:r w:rsidR="004D58C0">
        <w:rPr>
          <w:iCs/>
          <w:sz w:val="24"/>
          <w:szCs w:val="24"/>
          <w:lang w:val="pl-PL"/>
        </w:rPr>
        <w:t xml:space="preserve">miejsc </w:t>
      </w:r>
      <w:r w:rsidRPr="004D58C0">
        <w:rPr>
          <w:iCs/>
          <w:sz w:val="24"/>
          <w:szCs w:val="24"/>
        </w:rPr>
        <w:t>(25 czynności w 2021 r.),</w:t>
      </w:r>
    </w:p>
    <w:p w14:paraId="1F3B7578" w14:textId="4CA37C73" w:rsidR="005A744F" w:rsidRPr="004D58C0" w:rsidRDefault="005A744F" w:rsidP="00D34F97">
      <w:pPr>
        <w:pStyle w:val="Akapitzlist"/>
        <w:numPr>
          <w:ilvl w:val="0"/>
          <w:numId w:val="245"/>
        </w:numPr>
        <w:spacing w:line="300" w:lineRule="atLeast"/>
        <w:jc w:val="both"/>
        <w:rPr>
          <w:iCs/>
          <w:sz w:val="24"/>
          <w:szCs w:val="24"/>
        </w:rPr>
      </w:pPr>
      <w:r w:rsidRPr="004D58C0">
        <w:rPr>
          <w:iCs/>
          <w:sz w:val="24"/>
          <w:szCs w:val="24"/>
        </w:rPr>
        <w:t>1 czynność polegając</w:t>
      </w:r>
      <w:r w:rsidR="004D58C0">
        <w:rPr>
          <w:iCs/>
          <w:sz w:val="24"/>
          <w:szCs w:val="24"/>
          <w:lang w:val="pl-PL"/>
        </w:rPr>
        <w:t>ą</w:t>
      </w:r>
      <w:r w:rsidRPr="004D58C0">
        <w:rPr>
          <w:iCs/>
          <w:sz w:val="24"/>
          <w:szCs w:val="24"/>
        </w:rPr>
        <w:t xml:space="preserve"> na zatrzymywaniu lub przeszukiwaniu pojazdów przewożących towary oraz kontroli dokumentów związanych z przewozem towaru (1 czynność </w:t>
      </w:r>
      <w:r w:rsidR="004D58C0">
        <w:rPr>
          <w:iCs/>
          <w:sz w:val="24"/>
          <w:szCs w:val="24"/>
        </w:rPr>
        <w:br/>
      </w:r>
      <w:r w:rsidRPr="004D58C0">
        <w:rPr>
          <w:iCs/>
          <w:sz w:val="24"/>
          <w:szCs w:val="24"/>
        </w:rPr>
        <w:t>w 2021 r.),</w:t>
      </w:r>
    </w:p>
    <w:p w14:paraId="3A3BE8D5" w14:textId="4D5DCFFC" w:rsidR="005A744F" w:rsidRPr="005A744F" w:rsidRDefault="005A744F" w:rsidP="004D58C0">
      <w:pPr>
        <w:spacing w:line="300" w:lineRule="atLeast"/>
        <w:ind w:firstLine="567"/>
        <w:contextualSpacing/>
        <w:jc w:val="both"/>
        <w:rPr>
          <w:rFonts w:ascii="Times New Roman" w:hAnsi="Times New Roman" w:cs="Times New Roman"/>
          <w:iCs/>
          <w:sz w:val="24"/>
          <w:szCs w:val="24"/>
        </w:rPr>
      </w:pPr>
      <w:r w:rsidRPr="005A744F">
        <w:rPr>
          <w:rFonts w:ascii="Times New Roman" w:hAnsi="Times New Roman" w:cs="Times New Roman"/>
          <w:iCs/>
          <w:sz w:val="24"/>
          <w:szCs w:val="24"/>
        </w:rPr>
        <w:t>Powyższe czynności przeprowadzono podczas realizacji 130 działań o charakterze operacyjno-rozpoznawczym (w porównaniu z 85 tego typu działaniami w 2021 r.).</w:t>
      </w:r>
    </w:p>
    <w:p w14:paraId="283BCDCC" w14:textId="263C977F" w:rsidR="005A744F" w:rsidRPr="005A744F" w:rsidRDefault="005A744F" w:rsidP="004D58C0">
      <w:pPr>
        <w:spacing w:line="300" w:lineRule="atLeast"/>
        <w:ind w:firstLine="567"/>
        <w:contextualSpacing/>
        <w:jc w:val="both"/>
        <w:rPr>
          <w:rFonts w:ascii="Times New Roman" w:hAnsi="Times New Roman" w:cs="Times New Roman"/>
          <w:iCs/>
          <w:sz w:val="24"/>
          <w:szCs w:val="24"/>
        </w:rPr>
      </w:pPr>
      <w:r w:rsidRPr="005A744F">
        <w:rPr>
          <w:rFonts w:ascii="Times New Roman" w:hAnsi="Times New Roman" w:cs="Times New Roman"/>
          <w:iCs/>
          <w:sz w:val="24"/>
          <w:szCs w:val="24"/>
        </w:rPr>
        <w:t>W związku z podejrzeniem popełnienia przestępstwa określonego w art. 183 §1 Kodeksu karnego w 2021</w:t>
      </w:r>
      <w:r w:rsidR="004D58C0">
        <w:rPr>
          <w:rFonts w:ascii="Times New Roman" w:hAnsi="Times New Roman" w:cs="Times New Roman"/>
          <w:iCs/>
          <w:sz w:val="24"/>
          <w:szCs w:val="24"/>
        </w:rPr>
        <w:t xml:space="preserve"> </w:t>
      </w:r>
      <w:r w:rsidRPr="005A744F">
        <w:rPr>
          <w:rFonts w:ascii="Times New Roman" w:hAnsi="Times New Roman" w:cs="Times New Roman"/>
          <w:iCs/>
          <w:sz w:val="24"/>
          <w:szCs w:val="24"/>
        </w:rPr>
        <w:t>r. przeprowadzono łącznie 32 czynności (27%),</w:t>
      </w:r>
      <w:r w:rsidRPr="005A744F">
        <w:rPr>
          <w:rFonts w:ascii="Times New Roman" w:hAnsi="Times New Roman" w:cs="Times New Roman"/>
          <w:sz w:val="24"/>
          <w:szCs w:val="24"/>
        </w:rPr>
        <w:t xml:space="preserve"> </w:t>
      </w:r>
      <w:r w:rsidRPr="005A744F">
        <w:rPr>
          <w:rFonts w:ascii="Times New Roman" w:hAnsi="Times New Roman" w:cs="Times New Roman"/>
          <w:iCs/>
          <w:sz w:val="24"/>
          <w:szCs w:val="24"/>
        </w:rPr>
        <w:t>o których mowa w art. 10b ustawy o Inspekcji Ochrony Środowiska, z kolei w 2022</w:t>
      </w:r>
      <w:r w:rsidR="004D58C0">
        <w:rPr>
          <w:rFonts w:ascii="Times New Roman" w:hAnsi="Times New Roman" w:cs="Times New Roman"/>
          <w:iCs/>
          <w:sz w:val="24"/>
          <w:szCs w:val="24"/>
        </w:rPr>
        <w:t xml:space="preserve"> </w:t>
      </w:r>
      <w:r w:rsidRPr="005A744F">
        <w:rPr>
          <w:rFonts w:ascii="Times New Roman" w:hAnsi="Times New Roman" w:cs="Times New Roman"/>
          <w:iCs/>
          <w:sz w:val="24"/>
          <w:szCs w:val="24"/>
        </w:rPr>
        <w:t xml:space="preserve">r. łącznie 16 czynności (6%). W roku 2022 podobnie jak w roku poprzednim najczęstszą przyczyną podjęcia czynności w trybie art. 10b ustawy o Inspekcji Ochrony Środowiska było powzięcie podejrzenia popełnienia wykroczenia określonego w art. 171-177 i art. 180-192 ustawy z dnia 14 grudnia 2012 r. </w:t>
      </w:r>
      <w:r w:rsidR="004D58C0">
        <w:rPr>
          <w:rFonts w:ascii="Times New Roman" w:hAnsi="Times New Roman" w:cs="Times New Roman"/>
          <w:iCs/>
          <w:sz w:val="24"/>
          <w:szCs w:val="24"/>
        </w:rPr>
        <w:br/>
      </w:r>
      <w:r w:rsidRPr="005A744F">
        <w:rPr>
          <w:rFonts w:ascii="Times New Roman" w:hAnsi="Times New Roman" w:cs="Times New Roman"/>
          <w:iCs/>
          <w:sz w:val="24"/>
          <w:szCs w:val="24"/>
        </w:rPr>
        <w:t>o odpadach. W 2021</w:t>
      </w:r>
      <w:r w:rsidR="004D58C0">
        <w:rPr>
          <w:rFonts w:ascii="Times New Roman" w:hAnsi="Times New Roman" w:cs="Times New Roman"/>
          <w:iCs/>
          <w:sz w:val="24"/>
          <w:szCs w:val="24"/>
        </w:rPr>
        <w:t xml:space="preserve"> </w:t>
      </w:r>
      <w:r w:rsidRPr="005A744F">
        <w:rPr>
          <w:rFonts w:ascii="Times New Roman" w:hAnsi="Times New Roman" w:cs="Times New Roman"/>
          <w:iCs/>
          <w:sz w:val="24"/>
          <w:szCs w:val="24"/>
        </w:rPr>
        <w:t>r. w związku z podejrzeniem popełnienia wykroczenia w tym zakresie przeprowadzono łącznie 39 czynności (33%), z kolei w 2022</w:t>
      </w:r>
      <w:r w:rsidR="004D58C0">
        <w:rPr>
          <w:rFonts w:ascii="Times New Roman" w:hAnsi="Times New Roman" w:cs="Times New Roman"/>
          <w:iCs/>
          <w:sz w:val="24"/>
          <w:szCs w:val="24"/>
        </w:rPr>
        <w:t xml:space="preserve"> </w:t>
      </w:r>
      <w:r w:rsidRPr="005A744F">
        <w:rPr>
          <w:rFonts w:ascii="Times New Roman" w:hAnsi="Times New Roman" w:cs="Times New Roman"/>
          <w:iCs/>
          <w:sz w:val="24"/>
          <w:szCs w:val="24"/>
        </w:rPr>
        <w:t xml:space="preserve">r. łącznie 185 czynności (65%). W związku z powzięciem podejrzenia popełnienia wykroczenia określonego w art. 44-49, art. 51, art. 52a i art. 52b ustawy z dnia 20 stycznia 2005 r. o recyklingu pojazdów wycofanych </w:t>
      </w:r>
      <w:r w:rsidR="004D58C0">
        <w:rPr>
          <w:rFonts w:ascii="Times New Roman" w:hAnsi="Times New Roman" w:cs="Times New Roman"/>
          <w:iCs/>
          <w:sz w:val="24"/>
          <w:szCs w:val="24"/>
        </w:rPr>
        <w:br/>
      </w:r>
      <w:r w:rsidRPr="005A744F">
        <w:rPr>
          <w:rFonts w:ascii="Times New Roman" w:hAnsi="Times New Roman" w:cs="Times New Roman"/>
          <w:iCs/>
          <w:sz w:val="24"/>
          <w:szCs w:val="24"/>
        </w:rPr>
        <w:t>z eksploatacji w 2021</w:t>
      </w:r>
      <w:r w:rsidR="004D58C0">
        <w:rPr>
          <w:rFonts w:ascii="Times New Roman" w:hAnsi="Times New Roman" w:cs="Times New Roman"/>
          <w:iCs/>
          <w:sz w:val="24"/>
          <w:szCs w:val="24"/>
        </w:rPr>
        <w:t xml:space="preserve"> </w:t>
      </w:r>
      <w:r w:rsidRPr="005A744F">
        <w:rPr>
          <w:rFonts w:ascii="Times New Roman" w:hAnsi="Times New Roman" w:cs="Times New Roman"/>
          <w:iCs/>
          <w:sz w:val="24"/>
          <w:szCs w:val="24"/>
        </w:rPr>
        <w:t>r. przeprowadzono łącznie 18 czynności (15%), z kolei w 2022 r. łącznie 39 czynności (14%). W związku z powzięciem podejrzenia popełnienia wykroczenia określonego w art. 330-334, art. 335a-336, art. 337a-355 i art. 358-360 ustawy z dnia 27 kwietnia 2001 r. Prawo ochrony środowiska w 2021</w:t>
      </w:r>
      <w:r w:rsidR="004D58C0">
        <w:rPr>
          <w:rFonts w:ascii="Times New Roman" w:hAnsi="Times New Roman" w:cs="Times New Roman"/>
          <w:iCs/>
          <w:sz w:val="24"/>
          <w:szCs w:val="24"/>
        </w:rPr>
        <w:t xml:space="preserve"> </w:t>
      </w:r>
      <w:r w:rsidRPr="005A744F">
        <w:rPr>
          <w:rFonts w:ascii="Times New Roman" w:hAnsi="Times New Roman" w:cs="Times New Roman"/>
          <w:iCs/>
          <w:sz w:val="24"/>
          <w:szCs w:val="24"/>
        </w:rPr>
        <w:t>r. przeprowadzono łącznie 16 czynności (14%), z kolei w 2022</w:t>
      </w:r>
      <w:r w:rsidR="004D58C0">
        <w:rPr>
          <w:rFonts w:ascii="Times New Roman" w:hAnsi="Times New Roman" w:cs="Times New Roman"/>
          <w:iCs/>
          <w:sz w:val="24"/>
          <w:szCs w:val="24"/>
        </w:rPr>
        <w:t xml:space="preserve"> </w:t>
      </w:r>
      <w:r w:rsidRPr="005A744F">
        <w:rPr>
          <w:rFonts w:ascii="Times New Roman" w:hAnsi="Times New Roman" w:cs="Times New Roman"/>
          <w:iCs/>
          <w:sz w:val="24"/>
          <w:szCs w:val="24"/>
        </w:rPr>
        <w:t>r. łącznie 36 czynności (13%). Pozostała część wszystkich podjętych czynności, odpowiednio 11% w 2021</w:t>
      </w:r>
      <w:r w:rsidR="004D58C0">
        <w:rPr>
          <w:rFonts w:ascii="Times New Roman" w:hAnsi="Times New Roman" w:cs="Times New Roman"/>
          <w:iCs/>
          <w:sz w:val="24"/>
          <w:szCs w:val="24"/>
        </w:rPr>
        <w:t xml:space="preserve"> </w:t>
      </w:r>
      <w:r w:rsidRPr="005A744F">
        <w:rPr>
          <w:rFonts w:ascii="Times New Roman" w:hAnsi="Times New Roman" w:cs="Times New Roman"/>
          <w:iCs/>
          <w:sz w:val="24"/>
          <w:szCs w:val="24"/>
        </w:rPr>
        <w:t>r. i 3% w 2022</w:t>
      </w:r>
      <w:r w:rsidR="004D58C0">
        <w:rPr>
          <w:rFonts w:ascii="Times New Roman" w:hAnsi="Times New Roman" w:cs="Times New Roman"/>
          <w:iCs/>
          <w:sz w:val="24"/>
          <w:szCs w:val="24"/>
        </w:rPr>
        <w:t xml:space="preserve"> </w:t>
      </w:r>
      <w:r w:rsidRPr="005A744F">
        <w:rPr>
          <w:rFonts w:ascii="Times New Roman" w:hAnsi="Times New Roman" w:cs="Times New Roman"/>
          <w:iCs/>
          <w:sz w:val="24"/>
          <w:szCs w:val="24"/>
        </w:rPr>
        <w:t xml:space="preserve">r. dotyczyła podejrzenia popełnienia wykroczenia dotyczącego nielegalnego demontażu zużytego sprzętu elektrycznego </w:t>
      </w:r>
      <w:r w:rsidR="004D58C0">
        <w:rPr>
          <w:rFonts w:ascii="Times New Roman" w:hAnsi="Times New Roman" w:cs="Times New Roman"/>
          <w:iCs/>
          <w:sz w:val="24"/>
          <w:szCs w:val="24"/>
        </w:rPr>
        <w:br/>
      </w:r>
      <w:r w:rsidRPr="005A744F">
        <w:rPr>
          <w:rFonts w:ascii="Times New Roman" w:hAnsi="Times New Roman" w:cs="Times New Roman"/>
          <w:iCs/>
          <w:sz w:val="24"/>
          <w:szCs w:val="24"/>
        </w:rPr>
        <w:t>i elektronicznego, niewłaściwego stosowania nawozów naturalnych oraz podejrzenia pogorszenia jakości wód oraz gleby w wyniku nielegalnego wprowadzania do nich ścieków.</w:t>
      </w:r>
    </w:p>
    <w:p w14:paraId="1952D3DE" w14:textId="3E3DEB8A" w:rsidR="005A744F" w:rsidRDefault="005A744F" w:rsidP="005A744F">
      <w:pPr>
        <w:spacing w:line="300" w:lineRule="atLeast"/>
        <w:contextualSpacing/>
        <w:jc w:val="both"/>
        <w:rPr>
          <w:rFonts w:ascii="Times New Roman" w:hAnsi="Times New Roman" w:cs="Times New Roman"/>
          <w:i/>
          <w:color w:val="4472C4"/>
          <w:sz w:val="24"/>
          <w:szCs w:val="24"/>
        </w:rPr>
      </w:pPr>
    </w:p>
    <w:p w14:paraId="6881EAF1" w14:textId="5B1F0946" w:rsidR="005C08F4" w:rsidRDefault="005C08F4" w:rsidP="005A744F">
      <w:pPr>
        <w:spacing w:line="300" w:lineRule="atLeast"/>
        <w:contextualSpacing/>
        <w:jc w:val="both"/>
        <w:rPr>
          <w:rFonts w:ascii="Times New Roman" w:hAnsi="Times New Roman" w:cs="Times New Roman"/>
          <w:i/>
          <w:color w:val="4472C4"/>
          <w:sz w:val="24"/>
          <w:szCs w:val="24"/>
        </w:rPr>
      </w:pPr>
    </w:p>
    <w:p w14:paraId="50B3A795" w14:textId="1730E136" w:rsidR="005C08F4" w:rsidRDefault="005C08F4" w:rsidP="005A744F">
      <w:pPr>
        <w:spacing w:line="300" w:lineRule="atLeast"/>
        <w:contextualSpacing/>
        <w:jc w:val="both"/>
        <w:rPr>
          <w:rFonts w:ascii="Times New Roman" w:hAnsi="Times New Roman" w:cs="Times New Roman"/>
          <w:i/>
          <w:color w:val="4472C4"/>
          <w:sz w:val="24"/>
          <w:szCs w:val="24"/>
        </w:rPr>
      </w:pPr>
    </w:p>
    <w:p w14:paraId="493CA58A" w14:textId="36A77F91" w:rsidR="005C08F4" w:rsidRDefault="005C08F4" w:rsidP="005A744F">
      <w:pPr>
        <w:spacing w:line="300" w:lineRule="atLeast"/>
        <w:contextualSpacing/>
        <w:jc w:val="both"/>
        <w:rPr>
          <w:rFonts w:ascii="Times New Roman" w:hAnsi="Times New Roman" w:cs="Times New Roman"/>
          <w:i/>
          <w:color w:val="4472C4"/>
          <w:sz w:val="24"/>
          <w:szCs w:val="24"/>
        </w:rPr>
      </w:pPr>
    </w:p>
    <w:p w14:paraId="52D5AEBF" w14:textId="77777777" w:rsidR="005C08F4" w:rsidRPr="005A744F" w:rsidRDefault="005C08F4" w:rsidP="005A744F">
      <w:pPr>
        <w:spacing w:line="300" w:lineRule="atLeast"/>
        <w:contextualSpacing/>
        <w:jc w:val="both"/>
        <w:rPr>
          <w:rFonts w:ascii="Times New Roman" w:hAnsi="Times New Roman" w:cs="Times New Roman"/>
          <w:i/>
          <w:color w:val="4472C4"/>
          <w:sz w:val="24"/>
          <w:szCs w:val="24"/>
        </w:rPr>
      </w:pPr>
    </w:p>
    <w:p w14:paraId="1996AD70" w14:textId="77777777" w:rsidR="005A744F" w:rsidRPr="005A744F" w:rsidRDefault="005A744F" w:rsidP="00FE29B6">
      <w:pPr>
        <w:spacing w:after="60" w:line="300" w:lineRule="atLeast"/>
        <w:jc w:val="both"/>
        <w:rPr>
          <w:rFonts w:ascii="Times New Roman" w:hAnsi="Times New Roman" w:cs="Times New Roman"/>
          <w:i/>
          <w:color w:val="4472C4"/>
          <w:sz w:val="24"/>
          <w:szCs w:val="24"/>
        </w:rPr>
      </w:pPr>
      <w:r w:rsidRPr="005A744F">
        <w:rPr>
          <w:rFonts w:ascii="Times New Roman" w:hAnsi="Times New Roman" w:cs="Times New Roman"/>
          <w:i/>
          <w:color w:val="4472C4"/>
          <w:sz w:val="24"/>
          <w:szCs w:val="24"/>
        </w:rPr>
        <w:t>Wojewódzki Inspektorat Ochrony Środowiska w Poznaniu</w:t>
      </w:r>
    </w:p>
    <w:p w14:paraId="1629E01F" w14:textId="77777777" w:rsidR="00FE29B6" w:rsidRDefault="005A744F" w:rsidP="000B4968">
      <w:pPr>
        <w:spacing w:line="300" w:lineRule="atLeast"/>
        <w:ind w:firstLine="567"/>
        <w:contextualSpacing/>
        <w:jc w:val="both"/>
        <w:rPr>
          <w:rFonts w:ascii="Times New Roman" w:hAnsi="Times New Roman" w:cs="Times New Roman"/>
          <w:sz w:val="24"/>
          <w:szCs w:val="24"/>
        </w:rPr>
      </w:pPr>
      <w:r w:rsidRPr="005A744F">
        <w:rPr>
          <w:rFonts w:ascii="Times New Roman" w:hAnsi="Times New Roman" w:cs="Times New Roman"/>
          <w:sz w:val="24"/>
          <w:szCs w:val="24"/>
        </w:rPr>
        <w:t xml:space="preserve">W 2022 r. podjęto 225 czynności na podstawie art. 10b ustawy o Inspekcji Ochrony Środowiska. W roku  2021 r. liczba podjętych czynności wynosiła 232, zatem jest ona porównywalna z rokiem 2022. </w:t>
      </w:r>
    </w:p>
    <w:p w14:paraId="1FBF2DF5" w14:textId="1D9F12D9" w:rsidR="005A744F" w:rsidRPr="005A744F" w:rsidRDefault="005A744F" w:rsidP="000B4968">
      <w:pPr>
        <w:spacing w:line="300" w:lineRule="atLeast"/>
        <w:ind w:firstLine="567"/>
        <w:contextualSpacing/>
        <w:jc w:val="both"/>
        <w:rPr>
          <w:rFonts w:ascii="Times New Roman" w:hAnsi="Times New Roman" w:cs="Times New Roman"/>
          <w:sz w:val="24"/>
          <w:szCs w:val="24"/>
        </w:rPr>
      </w:pPr>
      <w:r w:rsidRPr="005A744F">
        <w:rPr>
          <w:rFonts w:ascii="Times New Roman" w:hAnsi="Times New Roman" w:cs="Times New Roman"/>
          <w:sz w:val="24"/>
          <w:szCs w:val="24"/>
        </w:rPr>
        <w:t xml:space="preserve">Czynności podejmowane były głównie w związku z nielegalnym postępowaniem </w:t>
      </w:r>
      <w:r w:rsidR="00FE29B6">
        <w:rPr>
          <w:rFonts w:ascii="Times New Roman" w:hAnsi="Times New Roman" w:cs="Times New Roman"/>
          <w:sz w:val="24"/>
          <w:szCs w:val="24"/>
        </w:rPr>
        <w:br/>
      </w:r>
      <w:r w:rsidRPr="005A744F">
        <w:rPr>
          <w:rFonts w:ascii="Times New Roman" w:hAnsi="Times New Roman" w:cs="Times New Roman"/>
          <w:sz w:val="24"/>
          <w:szCs w:val="24"/>
        </w:rPr>
        <w:t xml:space="preserve">w gospodarce odpadami. </w:t>
      </w:r>
    </w:p>
    <w:p w14:paraId="0452C74E" w14:textId="77777777" w:rsidR="005A744F" w:rsidRPr="005A744F" w:rsidRDefault="005A744F" w:rsidP="005A744F">
      <w:pPr>
        <w:spacing w:line="300" w:lineRule="atLeast"/>
        <w:contextualSpacing/>
        <w:jc w:val="both"/>
        <w:rPr>
          <w:rFonts w:ascii="Times New Roman" w:hAnsi="Times New Roman" w:cs="Times New Roman"/>
          <w:i/>
          <w:color w:val="4472C4"/>
          <w:sz w:val="24"/>
          <w:szCs w:val="24"/>
        </w:rPr>
      </w:pPr>
    </w:p>
    <w:p w14:paraId="76B4B0C2" w14:textId="77777777" w:rsidR="005A744F" w:rsidRPr="005A744F" w:rsidRDefault="005A744F" w:rsidP="00FE29B6">
      <w:pPr>
        <w:spacing w:after="60" w:line="300" w:lineRule="atLeast"/>
        <w:jc w:val="both"/>
        <w:rPr>
          <w:rFonts w:ascii="Times New Roman" w:hAnsi="Times New Roman" w:cs="Times New Roman"/>
          <w:i/>
          <w:color w:val="4472C4"/>
          <w:sz w:val="24"/>
          <w:szCs w:val="24"/>
        </w:rPr>
      </w:pPr>
      <w:r w:rsidRPr="005A744F">
        <w:rPr>
          <w:rFonts w:ascii="Times New Roman" w:hAnsi="Times New Roman" w:cs="Times New Roman"/>
          <w:i/>
          <w:color w:val="4472C4"/>
          <w:sz w:val="24"/>
          <w:szCs w:val="24"/>
        </w:rPr>
        <w:t>Wojewódzki Inspektorat Ochrony Środowiska w Rzeszowie</w:t>
      </w:r>
    </w:p>
    <w:p w14:paraId="1F181F59" w14:textId="2FB88573" w:rsidR="005A744F" w:rsidRPr="005A744F" w:rsidRDefault="005A744F" w:rsidP="000B4968">
      <w:pPr>
        <w:autoSpaceDE w:val="0"/>
        <w:autoSpaceDN w:val="0"/>
        <w:adjustRightInd w:val="0"/>
        <w:spacing w:after="60" w:line="300" w:lineRule="atLeast"/>
        <w:ind w:firstLine="567"/>
        <w:jc w:val="both"/>
        <w:rPr>
          <w:rFonts w:ascii="Times New Roman" w:hAnsi="Times New Roman" w:cs="Times New Roman"/>
          <w:bCs/>
          <w:sz w:val="24"/>
          <w:szCs w:val="24"/>
        </w:rPr>
      </w:pPr>
      <w:r w:rsidRPr="005A744F">
        <w:rPr>
          <w:rFonts w:ascii="Times New Roman" w:hAnsi="Times New Roman" w:cs="Times New Roman"/>
          <w:bCs/>
          <w:sz w:val="24"/>
          <w:szCs w:val="24"/>
        </w:rPr>
        <w:t xml:space="preserve">W roku 2021 w WIOŚ w Rzeszowie podjęto 21 czynności na podstawie art. 10b ustawy </w:t>
      </w:r>
      <w:r w:rsidR="00FE29B6">
        <w:rPr>
          <w:rFonts w:ascii="Times New Roman" w:hAnsi="Times New Roman" w:cs="Times New Roman"/>
          <w:bCs/>
          <w:sz w:val="24"/>
          <w:szCs w:val="24"/>
        </w:rPr>
        <w:br/>
      </w:r>
      <w:r w:rsidRPr="005A744F">
        <w:rPr>
          <w:rFonts w:ascii="Times New Roman" w:hAnsi="Times New Roman" w:cs="Times New Roman"/>
          <w:bCs/>
          <w:sz w:val="24"/>
          <w:szCs w:val="24"/>
        </w:rPr>
        <w:t>o Inspekcji Ochrony Środowiska (IOŚ) w związku z podejrzeniem popełnienia przestępstwa przeciwko środowisku, o których mowa w art. 183 § 1 ustawy Kodeks karny:</w:t>
      </w:r>
    </w:p>
    <w:p w14:paraId="7B774AEE" w14:textId="2E26C858" w:rsidR="005A744F" w:rsidRPr="00FE29B6" w:rsidRDefault="005A744F" w:rsidP="00D34F97">
      <w:pPr>
        <w:pStyle w:val="Akapitzlist"/>
        <w:numPr>
          <w:ilvl w:val="0"/>
          <w:numId w:val="246"/>
        </w:numPr>
        <w:autoSpaceDE w:val="0"/>
        <w:autoSpaceDN w:val="0"/>
        <w:adjustRightInd w:val="0"/>
        <w:spacing w:line="300" w:lineRule="atLeast"/>
        <w:jc w:val="both"/>
        <w:rPr>
          <w:bCs/>
          <w:sz w:val="24"/>
          <w:szCs w:val="24"/>
        </w:rPr>
      </w:pPr>
      <w:r w:rsidRPr="00FE29B6">
        <w:rPr>
          <w:bCs/>
          <w:sz w:val="24"/>
          <w:szCs w:val="24"/>
        </w:rPr>
        <w:t xml:space="preserve">żądanie pisemnych lub ustnych informacji oraz przesłuchiwanie osób w zakresie niezbędnym dla ustalenia stanu faktycznego przy jednoczesnym pouczeniu ich </w:t>
      </w:r>
      <w:r w:rsidR="00FA3133">
        <w:rPr>
          <w:bCs/>
          <w:sz w:val="24"/>
          <w:szCs w:val="24"/>
        </w:rPr>
        <w:br/>
      </w:r>
      <w:r w:rsidRPr="00FE29B6">
        <w:rPr>
          <w:bCs/>
          <w:sz w:val="24"/>
          <w:szCs w:val="24"/>
        </w:rPr>
        <w:lastRenderedPageBreak/>
        <w:t>o odpowiedzialności karnej za składanie fałszywych zeznań, o której mowa w Kodeksie karnym</w:t>
      </w:r>
      <w:r w:rsidR="00FA3133">
        <w:rPr>
          <w:bCs/>
          <w:sz w:val="24"/>
          <w:szCs w:val="24"/>
          <w:lang w:val="pl-PL"/>
        </w:rPr>
        <w:t xml:space="preserve"> </w:t>
      </w:r>
      <w:r w:rsidRPr="00FE29B6">
        <w:rPr>
          <w:bCs/>
          <w:sz w:val="24"/>
          <w:szCs w:val="24"/>
        </w:rPr>
        <w:t>- 9 czynności</w:t>
      </w:r>
    </w:p>
    <w:p w14:paraId="2A82961B" w14:textId="20E0ADD7" w:rsidR="005A744F" w:rsidRPr="00FE29B6" w:rsidRDefault="005A744F" w:rsidP="00D34F97">
      <w:pPr>
        <w:pStyle w:val="Akapitzlist"/>
        <w:numPr>
          <w:ilvl w:val="0"/>
          <w:numId w:val="246"/>
        </w:numPr>
        <w:autoSpaceDE w:val="0"/>
        <w:autoSpaceDN w:val="0"/>
        <w:adjustRightInd w:val="0"/>
        <w:spacing w:line="300" w:lineRule="atLeast"/>
        <w:jc w:val="both"/>
        <w:rPr>
          <w:bCs/>
          <w:sz w:val="24"/>
          <w:szCs w:val="24"/>
        </w:rPr>
      </w:pPr>
      <w:r w:rsidRPr="00FE29B6">
        <w:rPr>
          <w:bCs/>
          <w:sz w:val="24"/>
          <w:szCs w:val="24"/>
        </w:rPr>
        <w:t>dokonywanie oględzin pomieszczeń i innych miejsc</w:t>
      </w:r>
      <w:r w:rsidR="00FA3133">
        <w:rPr>
          <w:bCs/>
          <w:sz w:val="24"/>
          <w:szCs w:val="24"/>
          <w:lang w:val="pl-PL"/>
        </w:rPr>
        <w:t xml:space="preserve"> </w:t>
      </w:r>
      <w:r w:rsidRPr="00FE29B6">
        <w:rPr>
          <w:bCs/>
          <w:sz w:val="24"/>
          <w:szCs w:val="24"/>
        </w:rPr>
        <w:t>-11 czynności</w:t>
      </w:r>
    </w:p>
    <w:p w14:paraId="6EC55735" w14:textId="6679CAB9" w:rsidR="005A744F" w:rsidRPr="00FE29B6" w:rsidRDefault="005A744F" w:rsidP="00D34F97">
      <w:pPr>
        <w:pStyle w:val="Akapitzlist"/>
        <w:numPr>
          <w:ilvl w:val="0"/>
          <w:numId w:val="246"/>
        </w:numPr>
        <w:autoSpaceDE w:val="0"/>
        <w:autoSpaceDN w:val="0"/>
        <w:adjustRightInd w:val="0"/>
        <w:spacing w:line="300" w:lineRule="atLeast"/>
        <w:jc w:val="both"/>
        <w:rPr>
          <w:bCs/>
          <w:sz w:val="24"/>
          <w:szCs w:val="24"/>
        </w:rPr>
      </w:pPr>
      <w:r w:rsidRPr="00FE29B6">
        <w:rPr>
          <w:bCs/>
          <w:sz w:val="24"/>
          <w:szCs w:val="24"/>
        </w:rPr>
        <w:t>nakładanie grzywien w postępowaniu mandatowym za wykroczenia określone w trybie przewidzianym przepisami o postępowaniu w sprawach o wykroczenia</w:t>
      </w:r>
      <w:r w:rsidR="00FA3133">
        <w:rPr>
          <w:bCs/>
          <w:sz w:val="24"/>
          <w:szCs w:val="24"/>
          <w:lang w:val="pl-PL"/>
        </w:rPr>
        <w:t xml:space="preserve"> </w:t>
      </w:r>
      <w:r w:rsidRPr="00FE29B6">
        <w:rPr>
          <w:bCs/>
          <w:sz w:val="24"/>
          <w:szCs w:val="24"/>
        </w:rPr>
        <w:t>- 1 czynność.</w:t>
      </w:r>
    </w:p>
    <w:p w14:paraId="23AF7E72" w14:textId="77777777" w:rsidR="005A744F" w:rsidRPr="005A744F" w:rsidRDefault="005A744F" w:rsidP="005A744F">
      <w:pPr>
        <w:autoSpaceDE w:val="0"/>
        <w:autoSpaceDN w:val="0"/>
        <w:adjustRightInd w:val="0"/>
        <w:spacing w:line="300" w:lineRule="atLeast"/>
        <w:contextualSpacing/>
        <w:jc w:val="both"/>
        <w:rPr>
          <w:rFonts w:ascii="Times New Roman" w:hAnsi="Times New Roman" w:cs="Times New Roman"/>
          <w:bCs/>
          <w:sz w:val="24"/>
          <w:szCs w:val="24"/>
        </w:rPr>
      </w:pPr>
    </w:p>
    <w:p w14:paraId="1E92AE5D" w14:textId="77777777" w:rsidR="005A744F" w:rsidRPr="005A744F" w:rsidRDefault="005A744F" w:rsidP="005A744F">
      <w:pPr>
        <w:autoSpaceDE w:val="0"/>
        <w:autoSpaceDN w:val="0"/>
        <w:adjustRightInd w:val="0"/>
        <w:spacing w:line="300" w:lineRule="atLeast"/>
        <w:contextualSpacing/>
        <w:jc w:val="both"/>
        <w:rPr>
          <w:rFonts w:ascii="Times New Roman" w:hAnsi="Times New Roman" w:cs="Times New Roman"/>
          <w:bCs/>
          <w:sz w:val="24"/>
          <w:szCs w:val="24"/>
        </w:rPr>
      </w:pPr>
      <w:r w:rsidRPr="005A744F">
        <w:rPr>
          <w:rFonts w:ascii="Times New Roman" w:hAnsi="Times New Roman" w:cs="Times New Roman"/>
          <w:bCs/>
          <w:sz w:val="24"/>
          <w:szCs w:val="24"/>
        </w:rPr>
        <w:t>W roku 2022 podjęto:</w:t>
      </w:r>
    </w:p>
    <w:p w14:paraId="7C37DC2E" w14:textId="19F17F47" w:rsidR="005A744F" w:rsidRPr="005A744F" w:rsidRDefault="005A744F" w:rsidP="00FA3133">
      <w:pPr>
        <w:autoSpaceDE w:val="0"/>
        <w:autoSpaceDN w:val="0"/>
        <w:adjustRightInd w:val="0"/>
        <w:spacing w:after="60" w:line="300" w:lineRule="atLeast"/>
        <w:jc w:val="both"/>
        <w:rPr>
          <w:rFonts w:ascii="Times New Roman" w:hAnsi="Times New Roman" w:cs="Times New Roman"/>
          <w:bCs/>
          <w:sz w:val="24"/>
          <w:szCs w:val="24"/>
        </w:rPr>
      </w:pPr>
      <w:r w:rsidRPr="005A744F">
        <w:rPr>
          <w:rFonts w:ascii="Times New Roman" w:hAnsi="Times New Roman" w:cs="Times New Roman"/>
          <w:bCs/>
          <w:sz w:val="24"/>
          <w:szCs w:val="24"/>
        </w:rPr>
        <w:t>- 43 czynności na podstawie art. 10b IOŚ</w:t>
      </w:r>
      <w:r w:rsidR="007A44AE">
        <w:rPr>
          <w:rFonts w:ascii="Times New Roman" w:hAnsi="Times New Roman" w:cs="Times New Roman"/>
          <w:bCs/>
          <w:sz w:val="24"/>
          <w:szCs w:val="24"/>
        </w:rPr>
        <w:t xml:space="preserve"> </w:t>
      </w:r>
      <w:r w:rsidRPr="005A744F">
        <w:rPr>
          <w:rFonts w:ascii="Times New Roman" w:hAnsi="Times New Roman" w:cs="Times New Roman"/>
          <w:bCs/>
          <w:sz w:val="24"/>
          <w:szCs w:val="24"/>
        </w:rPr>
        <w:t>w związku z podejrzeniem popełnienia przestępstwa przeciwko środowisku, o których mowa w art. 183 § 1 ustawy Kodeks karny:</w:t>
      </w:r>
    </w:p>
    <w:p w14:paraId="0606CBF9" w14:textId="5B42A535" w:rsidR="005A744F" w:rsidRPr="00FA3133" w:rsidRDefault="005A744F" w:rsidP="00D34F97">
      <w:pPr>
        <w:pStyle w:val="Akapitzlist"/>
        <w:numPr>
          <w:ilvl w:val="0"/>
          <w:numId w:val="247"/>
        </w:numPr>
        <w:autoSpaceDE w:val="0"/>
        <w:autoSpaceDN w:val="0"/>
        <w:adjustRightInd w:val="0"/>
        <w:spacing w:line="300" w:lineRule="atLeast"/>
        <w:jc w:val="both"/>
        <w:rPr>
          <w:bCs/>
          <w:sz w:val="24"/>
          <w:szCs w:val="24"/>
        </w:rPr>
      </w:pPr>
      <w:r w:rsidRPr="00FA3133">
        <w:rPr>
          <w:bCs/>
          <w:sz w:val="24"/>
          <w:szCs w:val="24"/>
        </w:rPr>
        <w:t xml:space="preserve">żądanie pisemnych lub ustnych informacji oraz przesłuchiwanie osób w zakresie niezbędnym dla ustalenia stanu faktycznego przy jednoczesnym pouczeniu ich </w:t>
      </w:r>
      <w:r w:rsidR="00FA3133">
        <w:rPr>
          <w:bCs/>
          <w:sz w:val="24"/>
          <w:szCs w:val="24"/>
        </w:rPr>
        <w:br/>
      </w:r>
      <w:r w:rsidRPr="00FA3133">
        <w:rPr>
          <w:bCs/>
          <w:sz w:val="24"/>
          <w:szCs w:val="24"/>
        </w:rPr>
        <w:t>o odpowiedzialności karnej za składanie fałszywych zeznań, o której mowa w Kodeksie karnym</w:t>
      </w:r>
      <w:r w:rsidR="00FA3133">
        <w:rPr>
          <w:bCs/>
          <w:sz w:val="24"/>
          <w:szCs w:val="24"/>
          <w:lang w:val="pl-PL"/>
        </w:rPr>
        <w:t xml:space="preserve"> </w:t>
      </w:r>
      <w:r w:rsidRPr="00FA3133">
        <w:rPr>
          <w:bCs/>
          <w:sz w:val="24"/>
          <w:szCs w:val="24"/>
        </w:rPr>
        <w:t xml:space="preserve">- 20 czynności, </w:t>
      </w:r>
    </w:p>
    <w:p w14:paraId="09632B24" w14:textId="64FF8745" w:rsidR="00FA3133" w:rsidRPr="00FA3133" w:rsidRDefault="005A744F" w:rsidP="00D34F97">
      <w:pPr>
        <w:pStyle w:val="Akapitzlist"/>
        <w:numPr>
          <w:ilvl w:val="0"/>
          <w:numId w:val="247"/>
        </w:numPr>
        <w:autoSpaceDE w:val="0"/>
        <w:autoSpaceDN w:val="0"/>
        <w:adjustRightInd w:val="0"/>
        <w:spacing w:line="300" w:lineRule="atLeast"/>
        <w:jc w:val="both"/>
        <w:rPr>
          <w:bCs/>
          <w:sz w:val="24"/>
          <w:szCs w:val="24"/>
        </w:rPr>
      </w:pPr>
      <w:r w:rsidRPr="00FA3133">
        <w:rPr>
          <w:bCs/>
          <w:sz w:val="24"/>
          <w:szCs w:val="24"/>
        </w:rPr>
        <w:t>dokonywanie oględzin pomieszczeń i innych miejsc -23 czynności</w:t>
      </w:r>
      <w:r w:rsidR="00FA3133">
        <w:rPr>
          <w:bCs/>
          <w:sz w:val="24"/>
          <w:szCs w:val="24"/>
          <w:lang w:val="pl-PL"/>
        </w:rPr>
        <w:t>;</w:t>
      </w:r>
      <w:r w:rsidRPr="00FA3133">
        <w:rPr>
          <w:bCs/>
          <w:sz w:val="24"/>
          <w:szCs w:val="24"/>
        </w:rPr>
        <w:t xml:space="preserve"> </w:t>
      </w:r>
    </w:p>
    <w:p w14:paraId="4DCBBB4A" w14:textId="746349A2" w:rsidR="005A744F" w:rsidRPr="005A744F" w:rsidRDefault="00FA3133" w:rsidP="00FA3133">
      <w:pPr>
        <w:autoSpaceDE w:val="0"/>
        <w:autoSpaceDN w:val="0"/>
        <w:adjustRightInd w:val="0"/>
        <w:spacing w:after="60" w:line="300" w:lineRule="atLeast"/>
        <w:jc w:val="both"/>
        <w:rPr>
          <w:rFonts w:ascii="Times New Roman" w:hAnsi="Times New Roman" w:cs="Times New Roman"/>
          <w:bCs/>
          <w:sz w:val="24"/>
          <w:szCs w:val="24"/>
        </w:rPr>
      </w:pPr>
      <w:r>
        <w:rPr>
          <w:rFonts w:ascii="Times New Roman" w:hAnsi="Times New Roman" w:cs="Times New Roman"/>
          <w:bCs/>
          <w:sz w:val="24"/>
          <w:szCs w:val="24"/>
        </w:rPr>
        <w:t xml:space="preserve">- </w:t>
      </w:r>
      <w:r w:rsidR="005A744F" w:rsidRPr="005A744F">
        <w:rPr>
          <w:rFonts w:ascii="Times New Roman" w:hAnsi="Times New Roman" w:cs="Times New Roman"/>
          <w:bCs/>
          <w:sz w:val="24"/>
          <w:szCs w:val="24"/>
        </w:rPr>
        <w:t>12 czynności na podstawie art. 10b IOŚ w związku z podejrzeniem popełnienia przestępstwa przeciwko środowisku, o których mowa w art. 183 § 4 ustawy Kodeks karny:</w:t>
      </w:r>
    </w:p>
    <w:p w14:paraId="1BDCE9B1" w14:textId="5EC8A236" w:rsidR="005A744F" w:rsidRPr="00FA3133" w:rsidRDefault="005A744F" w:rsidP="00D34F97">
      <w:pPr>
        <w:pStyle w:val="Akapitzlist"/>
        <w:numPr>
          <w:ilvl w:val="0"/>
          <w:numId w:val="248"/>
        </w:numPr>
        <w:autoSpaceDE w:val="0"/>
        <w:autoSpaceDN w:val="0"/>
        <w:adjustRightInd w:val="0"/>
        <w:spacing w:line="300" w:lineRule="atLeast"/>
        <w:jc w:val="both"/>
        <w:rPr>
          <w:bCs/>
          <w:sz w:val="24"/>
          <w:szCs w:val="24"/>
        </w:rPr>
      </w:pPr>
      <w:r w:rsidRPr="00FA3133">
        <w:rPr>
          <w:bCs/>
          <w:sz w:val="24"/>
          <w:szCs w:val="24"/>
        </w:rPr>
        <w:t xml:space="preserve">żądanie pisemnych lub ustnych informacji oraz przesłuchiwanie osób w zakresie niezbędnym dla ustalenia stanu faktycznego przy jednoczesnym pouczeniu ich </w:t>
      </w:r>
      <w:r w:rsidR="00FA3133">
        <w:rPr>
          <w:bCs/>
          <w:sz w:val="24"/>
          <w:szCs w:val="24"/>
        </w:rPr>
        <w:br/>
      </w:r>
      <w:r w:rsidRPr="00FA3133">
        <w:rPr>
          <w:bCs/>
          <w:sz w:val="24"/>
          <w:szCs w:val="24"/>
        </w:rPr>
        <w:t>o odpowiedzialności karnej za składanie fałszywych zeznań, o której mowa w Kodeksie karnym</w:t>
      </w:r>
      <w:r w:rsidR="00FA3133" w:rsidRPr="00FA3133">
        <w:rPr>
          <w:bCs/>
          <w:sz w:val="24"/>
          <w:szCs w:val="24"/>
        </w:rPr>
        <w:t xml:space="preserve"> </w:t>
      </w:r>
      <w:r w:rsidRPr="00FA3133">
        <w:rPr>
          <w:bCs/>
          <w:sz w:val="24"/>
          <w:szCs w:val="24"/>
        </w:rPr>
        <w:t xml:space="preserve">- 6 czynności, </w:t>
      </w:r>
    </w:p>
    <w:p w14:paraId="04FDDCAF" w14:textId="5203CEC1" w:rsidR="005A744F" w:rsidRPr="00FA3133" w:rsidRDefault="005A744F" w:rsidP="00D34F97">
      <w:pPr>
        <w:pStyle w:val="Akapitzlist"/>
        <w:numPr>
          <w:ilvl w:val="0"/>
          <w:numId w:val="248"/>
        </w:numPr>
        <w:autoSpaceDE w:val="0"/>
        <w:autoSpaceDN w:val="0"/>
        <w:adjustRightInd w:val="0"/>
        <w:spacing w:line="300" w:lineRule="atLeast"/>
        <w:jc w:val="both"/>
        <w:rPr>
          <w:bCs/>
          <w:sz w:val="24"/>
          <w:szCs w:val="24"/>
        </w:rPr>
      </w:pPr>
      <w:r w:rsidRPr="00FA3133">
        <w:rPr>
          <w:bCs/>
          <w:sz w:val="24"/>
          <w:szCs w:val="24"/>
        </w:rPr>
        <w:t>dokonywanie oględzin pomieszczeń i innych miejsc - 6 czynności</w:t>
      </w:r>
      <w:r w:rsidR="00FA3133">
        <w:rPr>
          <w:bCs/>
          <w:sz w:val="24"/>
          <w:szCs w:val="24"/>
          <w:lang w:val="pl-PL"/>
        </w:rPr>
        <w:t>;</w:t>
      </w:r>
    </w:p>
    <w:p w14:paraId="1A07CD97" w14:textId="20A04694" w:rsidR="005A744F" w:rsidRPr="005A744F" w:rsidRDefault="005A744F" w:rsidP="007A44AE">
      <w:pPr>
        <w:autoSpaceDE w:val="0"/>
        <w:autoSpaceDN w:val="0"/>
        <w:adjustRightInd w:val="0"/>
        <w:spacing w:after="60" w:line="300" w:lineRule="atLeast"/>
        <w:jc w:val="both"/>
        <w:rPr>
          <w:rFonts w:ascii="Times New Roman" w:hAnsi="Times New Roman" w:cs="Times New Roman"/>
          <w:bCs/>
          <w:sz w:val="24"/>
          <w:szCs w:val="24"/>
        </w:rPr>
      </w:pPr>
      <w:r w:rsidRPr="005A744F">
        <w:rPr>
          <w:rFonts w:ascii="Times New Roman" w:hAnsi="Times New Roman" w:cs="Times New Roman"/>
          <w:bCs/>
          <w:sz w:val="24"/>
          <w:szCs w:val="24"/>
        </w:rPr>
        <w:t>- 4 czynności na podstawie art. 10b IOŚ w związku z podejrzeniem popełnienia przestępstwa przeciwko środowisku, o których mowa w art. 183 § 5 ustawy Kodeks karny:</w:t>
      </w:r>
    </w:p>
    <w:p w14:paraId="3866CD2F" w14:textId="3792CEF2" w:rsidR="005A744F" w:rsidRPr="00FA3133" w:rsidRDefault="005A744F" w:rsidP="00D34F97">
      <w:pPr>
        <w:pStyle w:val="Akapitzlist"/>
        <w:numPr>
          <w:ilvl w:val="0"/>
          <w:numId w:val="249"/>
        </w:numPr>
        <w:autoSpaceDE w:val="0"/>
        <w:autoSpaceDN w:val="0"/>
        <w:adjustRightInd w:val="0"/>
        <w:spacing w:line="300" w:lineRule="atLeast"/>
        <w:jc w:val="both"/>
        <w:rPr>
          <w:bCs/>
          <w:sz w:val="24"/>
          <w:szCs w:val="24"/>
        </w:rPr>
      </w:pPr>
      <w:r w:rsidRPr="00FA3133">
        <w:rPr>
          <w:bCs/>
          <w:sz w:val="24"/>
          <w:szCs w:val="24"/>
        </w:rPr>
        <w:t xml:space="preserve">żądanie pisemnych lub ustnych informacji oraz przesłuchiwanie osób w zakresie niezbędnym dla ustalenia stanu faktycznego przy jednoczesnym pouczeniu ich </w:t>
      </w:r>
      <w:r w:rsidR="00FA3133">
        <w:rPr>
          <w:bCs/>
          <w:sz w:val="24"/>
          <w:szCs w:val="24"/>
        </w:rPr>
        <w:br/>
      </w:r>
      <w:r w:rsidRPr="00FA3133">
        <w:rPr>
          <w:bCs/>
          <w:sz w:val="24"/>
          <w:szCs w:val="24"/>
        </w:rPr>
        <w:t>o odpowiedzialności karnej za składanie fałszywych zeznań, o której mowa w Kodeksie karnym</w:t>
      </w:r>
      <w:r w:rsidR="00FA3133">
        <w:rPr>
          <w:bCs/>
          <w:sz w:val="24"/>
          <w:szCs w:val="24"/>
          <w:lang w:val="pl-PL"/>
        </w:rPr>
        <w:t xml:space="preserve"> </w:t>
      </w:r>
      <w:r w:rsidRPr="00FA3133">
        <w:rPr>
          <w:bCs/>
          <w:sz w:val="24"/>
          <w:szCs w:val="24"/>
        </w:rPr>
        <w:t>- 2 czynności</w:t>
      </w:r>
      <w:r w:rsidR="007A44AE">
        <w:rPr>
          <w:bCs/>
          <w:sz w:val="24"/>
          <w:szCs w:val="24"/>
          <w:lang w:val="pl-PL"/>
        </w:rPr>
        <w:t>,</w:t>
      </w:r>
    </w:p>
    <w:p w14:paraId="5ADA47CF" w14:textId="7AC61A82" w:rsidR="005A744F" w:rsidRPr="00FA3133" w:rsidRDefault="005A744F" w:rsidP="00D34F97">
      <w:pPr>
        <w:pStyle w:val="Akapitzlist"/>
        <w:numPr>
          <w:ilvl w:val="0"/>
          <w:numId w:val="249"/>
        </w:numPr>
        <w:autoSpaceDE w:val="0"/>
        <w:autoSpaceDN w:val="0"/>
        <w:adjustRightInd w:val="0"/>
        <w:spacing w:line="300" w:lineRule="atLeast"/>
        <w:jc w:val="both"/>
        <w:rPr>
          <w:bCs/>
          <w:sz w:val="24"/>
          <w:szCs w:val="24"/>
        </w:rPr>
      </w:pPr>
      <w:r w:rsidRPr="00FA3133">
        <w:rPr>
          <w:bCs/>
          <w:sz w:val="24"/>
          <w:szCs w:val="24"/>
        </w:rPr>
        <w:t>dokonywanie oględzin pomieszczeń i innych miejsc</w:t>
      </w:r>
      <w:r w:rsidR="00FA3133">
        <w:rPr>
          <w:bCs/>
          <w:sz w:val="24"/>
          <w:szCs w:val="24"/>
          <w:lang w:val="pl-PL"/>
        </w:rPr>
        <w:t xml:space="preserve"> </w:t>
      </w:r>
      <w:r w:rsidRPr="00FA3133">
        <w:rPr>
          <w:bCs/>
          <w:sz w:val="24"/>
          <w:szCs w:val="24"/>
        </w:rPr>
        <w:t>-</w:t>
      </w:r>
      <w:r w:rsidR="00FA3133">
        <w:rPr>
          <w:bCs/>
          <w:sz w:val="24"/>
          <w:szCs w:val="24"/>
          <w:lang w:val="pl-PL"/>
        </w:rPr>
        <w:t xml:space="preserve"> </w:t>
      </w:r>
      <w:r w:rsidRPr="00FA3133">
        <w:rPr>
          <w:bCs/>
          <w:sz w:val="24"/>
          <w:szCs w:val="24"/>
        </w:rPr>
        <w:t>2 czynności</w:t>
      </w:r>
      <w:r w:rsidR="007A44AE">
        <w:rPr>
          <w:bCs/>
          <w:sz w:val="24"/>
          <w:szCs w:val="24"/>
          <w:lang w:val="pl-PL"/>
        </w:rPr>
        <w:t>;</w:t>
      </w:r>
    </w:p>
    <w:p w14:paraId="0301B1D6" w14:textId="1C0F00BC" w:rsidR="005A744F" w:rsidRPr="005A744F" w:rsidRDefault="005A744F" w:rsidP="007A44AE">
      <w:pPr>
        <w:autoSpaceDE w:val="0"/>
        <w:autoSpaceDN w:val="0"/>
        <w:adjustRightInd w:val="0"/>
        <w:spacing w:after="60" w:line="300" w:lineRule="atLeast"/>
        <w:jc w:val="both"/>
        <w:rPr>
          <w:rFonts w:ascii="Times New Roman" w:hAnsi="Times New Roman" w:cs="Times New Roman"/>
          <w:bCs/>
          <w:sz w:val="24"/>
          <w:szCs w:val="24"/>
        </w:rPr>
      </w:pPr>
      <w:r w:rsidRPr="005A744F">
        <w:rPr>
          <w:rFonts w:ascii="Times New Roman" w:hAnsi="Times New Roman" w:cs="Times New Roman"/>
          <w:bCs/>
          <w:sz w:val="24"/>
          <w:szCs w:val="24"/>
        </w:rPr>
        <w:t xml:space="preserve">- 5 czynności </w:t>
      </w:r>
      <w:r w:rsidR="007A44AE">
        <w:rPr>
          <w:rFonts w:ascii="Times New Roman" w:hAnsi="Times New Roman" w:cs="Times New Roman"/>
          <w:bCs/>
          <w:sz w:val="24"/>
          <w:szCs w:val="24"/>
        </w:rPr>
        <w:t xml:space="preserve">na </w:t>
      </w:r>
      <w:r w:rsidRPr="005A744F">
        <w:rPr>
          <w:rFonts w:ascii="Times New Roman" w:hAnsi="Times New Roman" w:cs="Times New Roman"/>
          <w:bCs/>
          <w:sz w:val="24"/>
          <w:szCs w:val="24"/>
        </w:rPr>
        <w:t>podstawie art. 10b IOŚ w związku z podejrzeniem popełnienia przestępstwa  przeciwko środowisku, o których mowa w art. 476 ust. 1 ustawy Prawo wodne:</w:t>
      </w:r>
    </w:p>
    <w:p w14:paraId="731005DA" w14:textId="3D978F60" w:rsidR="005A744F" w:rsidRPr="007A44AE" w:rsidRDefault="005A744F" w:rsidP="00D34F97">
      <w:pPr>
        <w:pStyle w:val="Akapitzlist"/>
        <w:numPr>
          <w:ilvl w:val="0"/>
          <w:numId w:val="250"/>
        </w:numPr>
        <w:autoSpaceDE w:val="0"/>
        <w:autoSpaceDN w:val="0"/>
        <w:adjustRightInd w:val="0"/>
        <w:spacing w:line="300" w:lineRule="atLeast"/>
        <w:jc w:val="both"/>
        <w:rPr>
          <w:bCs/>
          <w:sz w:val="24"/>
          <w:szCs w:val="24"/>
        </w:rPr>
      </w:pPr>
      <w:r w:rsidRPr="007A44AE">
        <w:rPr>
          <w:bCs/>
          <w:sz w:val="24"/>
          <w:szCs w:val="24"/>
        </w:rPr>
        <w:t xml:space="preserve">żądanie pisemnych lub ustnych informacji oraz przesłuchiwanie osób w zakresie niezbędnym dla ustalenia stanu faktycznego przy jednoczesnym pouczeniu ich </w:t>
      </w:r>
      <w:r w:rsidR="007A44AE">
        <w:rPr>
          <w:bCs/>
          <w:sz w:val="24"/>
          <w:szCs w:val="24"/>
        </w:rPr>
        <w:br/>
      </w:r>
      <w:r w:rsidRPr="007A44AE">
        <w:rPr>
          <w:bCs/>
          <w:sz w:val="24"/>
          <w:szCs w:val="24"/>
        </w:rPr>
        <w:t>o odpowiedzialności karnej za składanie fałszywych zeznań, o której mowa w Kodeksie karnym</w:t>
      </w:r>
      <w:r w:rsidR="007A44AE" w:rsidRPr="007A44AE">
        <w:rPr>
          <w:bCs/>
          <w:sz w:val="24"/>
          <w:szCs w:val="24"/>
        </w:rPr>
        <w:t xml:space="preserve"> </w:t>
      </w:r>
      <w:r w:rsidRPr="007A44AE">
        <w:rPr>
          <w:bCs/>
          <w:sz w:val="24"/>
          <w:szCs w:val="24"/>
        </w:rPr>
        <w:t>- 1 czynność</w:t>
      </w:r>
      <w:r w:rsidR="007A44AE" w:rsidRPr="007A44AE">
        <w:rPr>
          <w:bCs/>
          <w:sz w:val="24"/>
          <w:szCs w:val="24"/>
        </w:rPr>
        <w:t>,</w:t>
      </w:r>
    </w:p>
    <w:p w14:paraId="48BD755B" w14:textId="71A1047A" w:rsidR="005A744F" w:rsidRPr="007A44AE" w:rsidRDefault="005A744F" w:rsidP="00D34F97">
      <w:pPr>
        <w:pStyle w:val="Akapitzlist"/>
        <w:numPr>
          <w:ilvl w:val="0"/>
          <w:numId w:val="250"/>
        </w:numPr>
        <w:autoSpaceDE w:val="0"/>
        <w:autoSpaceDN w:val="0"/>
        <w:adjustRightInd w:val="0"/>
        <w:spacing w:line="300" w:lineRule="atLeast"/>
        <w:jc w:val="both"/>
        <w:rPr>
          <w:bCs/>
          <w:sz w:val="24"/>
          <w:szCs w:val="24"/>
        </w:rPr>
      </w:pPr>
      <w:r w:rsidRPr="007A44AE">
        <w:rPr>
          <w:bCs/>
          <w:sz w:val="24"/>
          <w:szCs w:val="24"/>
        </w:rPr>
        <w:t>dokonywanie oględzin pomieszczeń i innych miejsc</w:t>
      </w:r>
      <w:r w:rsidR="007A44AE" w:rsidRPr="007A44AE">
        <w:rPr>
          <w:bCs/>
          <w:sz w:val="24"/>
          <w:szCs w:val="24"/>
        </w:rPr>
        <w:t xml:space="preserve"> </w:t>
      </w:r>
      <w:r w:rsidRPr="007A44AE">
        <w:rPr>
          <w:bCs/>
          <w:sz w:val="24"/>
          <w:szCs w:val="24"/>
        </w:rPr>
        <w:t>-</w:t>
      </w:r>
      <w:r w:rsidR="007A44AE" w:rsidRPr="007A44AE">
        <w:rPr>
          <w:bCs/>
          <w:sz w:val="24"/>
          <w:szCs w:val="24"/>
        </w:rPr>
        <w:t xml:space="preserve"> </w:t>
      </w:r>
      <w:r w:rsidRPr="007A44AE">
        <w:rPr>
          <w:bCs/>
          <w:sz w:val="24"/>
          <w:szCs w:val="24"/>
        </w:rPr>
        <w:t>4 czynności</w:t>
      </w:r>
      <w:r w:rsidR="007A44AE">
        <w:rPr>
          <w:bCs/>
          <w:sz w:val="24"/>
          <w:szCs w:val="24"/>
          <w:lang w:val="pl-PL"/>
        </w:rPr>
        <w:t>;</w:t>
      </w:r>
    </w:p>
    <w:p w14:paraId="274C09E3" w14:textId="5F473621" w:rsidR="005A744F" w:rsidRPr="005A744F" w:rsidRDefault="005A744F" w:rsidP="007A44AE">
      <w:pPr>
        <w:autoSpaceDE w:val="0"/>
        <w:autoSpaceDN w:val="0"/>
        <w:adjustRightInd w:val="0"/>
        <w:spacing w:after="60" w:line="300" w:lineRule="atLeast"/>
        <w:jc w:val="both"/>
        <w:rPr>
          <w:rFonts w:ascii="Times New Roman" w:hAnsi="Times New Roman" w:cs="Times New Roman"/>
          <w:bCs/>
          <w:sz w:val="24"/>
          <w:szCs w:val="24"/>
        </w:rPr>
      </w:pPr>
      <w:r w:rsidRPr="005A744F">
        <w:rPr>
          <w:rFonts w:ascii="Times New Roman" w:hAnsi="Times New Roman" w:cs="Times New Roman"/>
          <w:bCs/>
          <w:sz w:val="24"/>
          <w:szCs w:val="24"/>
        </w:rPr>
        <w:t>- 7 czynności podstawie art. 10 b IOŚ w związku z podejrzeniem popełnienia przestępstwa przeciwko środowisku, o których mowa w art. 351 Prawo ochrony środowiska:</w:t>
      </w:r>
    </w:p>
    <w:p w14:paraId="2B241D89" w14:textId="7F9E268C" w:rsidR="005A744F" w:rsidRPr="007A44AE" w:rsidRDefault="005A744F" w:rsidP="00D34F97">
      <w:pPr>
        <w:pStyle w:val="Akapitzlist"/>
        <w:numPr>
          <w:ilvl w:val="0"/>
          <w:numId w:val="251"/>
        </w:numPr>
        <w:autoSpaceDE w:val="0"/>
        <w:autoSpaceDN w:val="0"/>
        <w:adjustRightInd w:val="0"/>
        <w:spacing w:line="300" w:lineRule="atLeast"/>
        <w:jc w:val="both"/>
        <w:rPr>
          <w:bCs/>
          <w:sz w:val="24"/>
          <w:szCs w:val="24"/>
        </w:rPr>
      </w:pPr>
      <w:r w:rsidRPr="007A44AE">
        <w:rPr>
          <w:bCs/>
          <w:sz w:val="24"/>
          <w:szCs w:val="24"/>
        </w:rPr>
        <w:t xml:space="preserve">żądanie pisemnych lub ustnych informacji oraz przesłuchiwanie osób w zakresie niezbędnym dla ustalenia stanu faktycznego przy jednoczesnym pouczeniu ich </w:t>
      </w:r>
      <w:r w:rsidR="007A44AE">
        <w:rPr>
          <w:bCs/>
          <w:sz w:val="24"/>
          <w:szCs w:val="24"/>
        </w:rPr>
        <w:br/>
      </w:r>
      <w:r w:rsidRPr="007A44AE">
        <w:rPr>
          <w:bCs/>
          <w:sz w:val="24"/>
          <w:szCs w:val="24"/>
        </w:rPr>
        <w:t>o odpowiedzialności karnej za składanie fałszywych zeznań, o której mowa w Kodeksie karnym</w:t>
      </w:r>
      <w:r w:rsidR="007A44AE">
        <w:rPr>
          <w:bCs/>
          <w:sz w:val="24"/>
          <w:szCs w:val="24"/>
          <w:lang w:val="pl-PL"/>
        </w:rPr>
        <w:t xml:space="preserve"> </w:t>
      </w:r>
      <w:r w:rsidRPr="007A44AE">
        <w:rPr>
          <w:bCs/>
          <w:sz w:val="24"/>
          <w:szCs w:val="24"/>
        </w:rPr>
        <w:t>- 2 czynności</w:t>
      </w:r>
      <w:r w:rsidR="007A44AE">
        <w:rPr>
          <w:bCs/>
          <w:sz w:val="24"/>
          <w:szCs w:val="24"/>
          <w:lang w:val="pl-PL"/>
        </w:rPr>
        <w:t>,</w:t>
      </w:r>
    </w:p>
    <w:p w14:paraId="238DE2F8" w14:textId="4A4BEF32" w:rsidR="005A744F" w:rsidRPr="007A44AE" w:rsidRDefault="005A744F" w:rsidP="00D34F97">
      <w:pPr>
        <w:pStyle w:val="Akapitzlist"/>
        <w:numPr>
          <w:ilvl w:val="0"/>
          <w:numId w:val="251"/>
        </w:numPr>
        <w:autoSpaceDE w:val="0"/>
        <w:autoSpaceDN w:val="0"/>
        <w:adjustRightInd w:val="0"/>
        <w:spacing w:line="300" w:lineRule="atLeast"/>
        <w:jc w:val="both"/>
        <w:rPr>
          <w:bCs/>
          <w:sz w:val="24"/>
          <w:szCs w:val="24"/>
        </w:rPr>
      </w:pPr>
      <w:r w:rsidRPr="007A44AE">
        <w:rPr>
          <w:bCs/>
          <w:sz w:val="24"/>
          <w:szCs w:val="24"/>
        </w:rPr>
        <w:t>dokonywanie oględzin pomieszczeń i innych miejsc-3 czynności,</w:t>
      </w:r>
    </w:p>
    <w:p w14:paraId="1549018A" w14:textId="7139D6FF" w:rsidR="005A744F" w:rsidRPr="007A44AE" w:rsidRDefault="005A744F" w:rsidP="00D34F97">
      <w:pPr>
        <w:pStyle w:val="Akapitzlist"/>
        <w:numPr>
          <w:ilvl w:val="0"/>
          <w:numId w:val="251"/>
        </w:numPr>
        <w:autoSpaceDE w:val="0"/>
        <w:autoSpaceDN w:val="0"/>
        <w:adjustRightInd w:val="0"/>
        <w:spacing w:line="300" w:lineRule="atLeast"/>
        <w:jc w:val="both"/>
        <w:rPr>
          <w:bCs/>
          <w:sz w:val="24"/>
          <w:szCs w:val="24"/>
        </w:rPr>
      </w:pPr>
      <w:r w:rsidRPr="007A44AE">
        <w:rPr>
          <w:bCs/>
          <w:sz w:val="24"/>
          <w:szCs w:val="24"/>
        </w:rPr>
        <w:t>obserwowanie i rejestrowanie przy użyciu środków technicznych, w tym technik satelitarnych i bezzałogowych statków powietrznych, obrazu zdarzeń oraz dźwięku towarzyszącego tym zdarzeniom</w:t>
      </w:r>
      <w:r w:rsidR="007A44AE">
        <w:rPr>
          <w:bCs/>
          <w:sz w:val="24"/>
          <w:szCs w:val="24"/>
          <w:lang w:val="pl-PL"/>
        </w:rPr>
        <w:t xml:space="preserve"> </w:t>
      </w:r>
      <w:r w:rsidRPr="007A44AE">
        <w:rPr>
          <w:bCs/>
          <w:sz w:val="24"/>
          <w:szCs w:val="24"/>
        </w:rPr>
        <w:t>- 1 czynność,</w:t>
      </w:r>
    </w:p>
    <w:p w14:paraId="2CCCBC83" w14:textId="63E20B9C" w:rsidR="005A744F" w:rsidRPr="007A44AE" w:rsidRDefault="005A744F" w:rsidP="00D34F97">
      <w:pPr>
        <w:pStyle w:val="Akapitzlist"/>
        <w:numPr>
          <w:ilvl w:val="0"/>
          <w:numId w:val="251"/>
        </w:numPr>
        <w:autoSpaceDE w:val="0"/>
        <w:autoSpaceDN w:val="0"/>
        <w:adjustRightInd w:val="0"/>
        <w:spacing w:line="300" w:lineRule="atLeast"/>
        <w:jc w:val="both"/>
        <w:rPr>
          <w:bCs/>
          <w:sz w:val="24"/>
          <w:szCs w:val="24"/>
        </w:rPr>
      </w:pPr>
      <w:r w:rsidRPr="007A44AE">
        <w:rPr>
          <w:bCs/>
          <w:sz w:val="24"/>
          <w:szCs w:val="24"/>
        </w:rPr>
        <w:lastRenderedPageBreak/>
        <w:t>gromadzenie i zabezpieczanie dowodów popełnienia przestępstwa lub wykroczenia - 1 czynność.</w:t>
      </w:r>
    </w:p>
    <w:p w14:paraId="4568BBF7" w14:textId="7D4E3863" w:rsidR="005A744F" w:rsidRPr="005A744F" w:rsidRDefault="005A744F" w:rsidP="007A44AE">
      <w:pPr>
        <w:autoSpaceDE w:val="0"/>
        <w:autoSpaceDN w:val="0"/>
        <w:adjustRightInd w:val="0"/>
        <w:spacing w:after="60" w:line="300" w:lineRule="atLeast"/>
        <w:jc w:val="both"/>
        <w:rPr>
          <w:rFonts w:ascii="Times New Roman" w:hAnsi="Times New Roman" w:cs="Times New Roman"/>
          <w:bCs/>
          <w:sz w:val="24"/>
          <w:szCs w:val="24"/>
        </w:rPr>
      </w:pPr>
      <w:r w:rsidRPr="005A744F">
        <w:rPr>
          <w:rFonts w:ascii="Times New Roman" w:hAnsi="Times New Roman" w:cs="Times New Roman"/>
          <w:bCs/>
          <w:sz w:val="24"/>
          <w:szCs w:val="24"/>
        </w:rPr>
        <w:t>- 14 czynności na 10 b IOŚ w związku z podejrzeniem popełnienia przestępstwa przeciwko środowisku, o których mowa w art. 171-177 i art. 180-192 ustawy o odpadach:</w:t>
      </w:r>
    </w:p>
    <w:p w14:paraId="5DFFCC6B" w14:textId="52945233" w:rsidR="005A744F" w:rsidRPr="007A44AE" w:rsidRDefault="005A744F" w:rsidP="00D34F97">
      <w:pPr>
        <w:pStyle w:val="Akapitzlist"/>
        <w:numPr>
          <w:ilvl w:val="0"/>
          <w:numId w:val="252"/>
        </w:numPr>
        <w:autoSpaceDE w:val="0"/>
        <w:autoSpaceDN w:val="0"/>
        <w:adjustRightInd w:val="0"/>
        <w:spacing w:line="300" w:lineRule="atLeast"/>
        <w:jc w:val="both"/>
        <w:rPr>
          <w:bCs/>
          <w:sz w:val="24"/>
          <w:szCs w:val="24"/>
        </w:rPr>
      </w:pPr>
      <w:r w:rsidRPr="007A44AE">
        <w:rPr>
          <w:bCs/>
          <w:sz w:val="24"/>
          <w:szCs w:val="24"/>
        </w:rPr>
        <w:t xml:space="preserve">żądanie pisemnych lub ustnych informacji oraz przesłuchiwanie osób w zakresie niezbędnym dla ustalenia stanu faktycznego przy jednoczesnym pouczeniu ich </w:t>
      </w:r>
      <w:r w:rsidR="000B4968">
        <w:rPr>
          <w:bCs/>
          <w:sz w:val="24"/>
          <w:szCs w:val="24"/>
        </w:rPr>
        <w:br/>
      </w:r>
      <w:r w:rsidRPr="007A44AE">
        <w:rPr>
          <w:bCs/>
          <w:sz w:val="24"/>
          <w:szCs w:val="24"/>
        </w:rPr>
        <w:t>o odpowiedzialności karnej za składanie fałszywych zeznań, o której mowa w Kodeksie karnym- 3 czynności</w:t>
      </w:r>
      <w:r w:rsidR="007A44AE">
        <w:rPr>
          <w:bCs/>
          <w:sz w:val="24"/>
          <w:szCs w:val="24"/>
          <w:lang w:val="pl-PL"/>
        </w:rPr>
        <w:t>,</w:t>
      </w:r>
    </w:p>
    <w:p w14:paraId="39520EF8" w14:textId="28E33B76" w:rsidR="005A744F" w:rsidRPr="007A44AE" w:rsidRDefault="005A744F" w:rsidP="00D34F97">
      <w:pPr>
        <w:pStyle w:val="Akapitzlist"/>
        <w:numPr>
          <w:ilvl w:val="0"/>
          <w:numId w:val="252"/>
        </w:numPr>
        <w:autoSpaceDE w:val="0"/>
        <w:autoSpaceDN w:val="0"/>
        <w:adjustRightInd w:val="0"/>
        <w:spacing w:line="300" w:lineRule="atLeast"/>
        <w:jc w:val="both"/>
        <w:rPr>
          <w:bCs/>
          <w:sz w:val="24"/>
          <w:szCs w:val="24"/>
        </w:rPr>
      </w:pPr>
      <w:r w:rsidRPr="007A44AE">
        <w:rPr>
          <w:bCs/>
          <w:sz w:val="24"/>
          <w:szCs w:val="24"/>
        </w:rPr>
        <w:t>dokonywanie oględzin pomieszczeń i innych miejsc-11 czynności</w:t>
      </w:r>
      <w:r w:rsidR="007A44AE">
        <w:rPr>
          <w:bCs/>
          <w:sz w:val="24"/>
          <w:szCs w:val="24"/>
          <w:lang w:val="pl-PL"/>
        </w:rPr>
        <w:t>.</w:t>
      </w:r>
    </w:p>
    <w:p w14:paraId="1C1521BA" w14:textId="306CF589" w:rsidR="005A744F" w:rsidRPr="005A744F" w:rsidRDefault="005A744F" w:rsidP="000B4968">
      <w:pPr>
        <w:autoSpaceDE w:val="0"/>
        <w:autoSpaceDN w:val="0"/>
        <w:adjustRightInd w:val="0"/>
        <w:spacing w:line="300" w:lineRule="atLeast"/>
        <w:ind w:firstLine="567"/>
        <w:contextualSpacing/>
        <w:jc w:val="both"/>
        <w:rPr>
          <w:rFonts w:ascii="Times New Roman" w:hAnsi="Times New Roman" w:cs="Times New Roman"/>
          <w:bCs/>
          <w:sz w:val="24"/>
          <w:szCs w:val="24"/>
        </w:rPr>
      </w:pPr>
      <w:r w:rsidRPr="005A744F">
        <w:rPr>
          <w:rFonts w:ascii="Times New Roman" w:hAnsi="Times New Roman" w:cs="Times New Roman"/>
          <w:bCs/>
          <w:sz w:val="24"/>
          <w:szCs w:val="24"/>
        </w:rPr>
        <w:t>Łącznie w roku 2022 wykonanych zostało 86 czynności podejmowanych na podstawie art. 10b IOŚ. Zauważalną tendencją jest znaczny wzrost liczby podejmowanych działań będący efektem większej wykrywalności czynów noszących znamiona przestępstw oraz wykroczeń przeciwko środowisku. Inicjatywy własne, współdziałanie ze służbami oraz rosnąca świadomość i znajomość regulacji prawnych społeczeństwa przyczynia się do wzrostu ujawniania ww. czynów.</w:t>
      </w:r>
    </w:p>
    <w:p w14:paraId="71BBAA0B" w14:textId="77777777" w:rsidR="005A744F" w:rsidRPr="005A744F" w:rsidRDefault="005A744F" w:rsidP="005A744F">
      <w:pPr>
        <w:spacing w:line="300" w:lineRule="atLeast"/>
        <w:contextualSpacing/>
        <w:jc w:val="both"/>
        <w:rPr>
          <w:rFonts w:ascii="Times New Roman" w:hAnsi="Times New Roman" w:cs="Times New Roman"/>
          <w:i/>
          <w:color w:val="4472C4"/>
          <w:sz w:val="24"/>
          <w:szCs w:val="24"/>
        </w:rPr>
      </w:pPr>
    </w:p>
    <w:p w14:paraId="47776128" w14:textId="77777777" w:rsidR="005A744F" w:rsidRPr="005A744F" w:rsidRDefault="005A744F" w:rsidP="007A44AE">
      <w:pPr>
        <w:spacing w:after="60" w:line="300" w:lineRule="atLeast"/>
        <w:jc w:val="both"/>
        <w:rPr>
          <w:rFonts w:ascii="Times New Roman" w:hAnsi="Times New Roman" w:cs="Times New Roman"/>
          <w:i/>
          <w:color w:val="4472C4"/>
          <w:sz w:val="24"/>
          <w:szCs w:val="24"/>
        </w:rPr>
      </w:pPr>
      <w:r w:rsidRPr="005A744F">
        <w:rPr>
          <w:rFonts w:ascii="Times New Roman" w:hAnsi="Times New Roman" w:cs="Times New Roman"/>
          <w:i/>
          <w:color w:val="4472C4"/>
          <w:sz w:val="24"/>
          <w:szCs w:val="24"/>
        </w:rPr>
        <w:t>Wojewódzki Inspektorat Ochrony Środowiska w Szczecinie</w:t>
      </w:r>
    </w:p>
    <w:p w14:paraId="49D70A6E" w14:textId="7EF2A73F" w:rsidR="005A744F" w:rsidRPr="005A744F" w:rsidRDefault="005A744F" w:rsidP="007A44AE">
      <w:pPr>
        <w:autoSpaceDE w:val="0"/>
        <w:autoSpaceDN w:val="0"/>
        <w:adjustRightInd w:val="0"/>
        <w:spacing w:line="300" w:lineRule="atLeast"/>
        <w:ind w:firstLine="567"/>
        <w:contextualSpacing/>
        <w:jc w:val="both"/>
        <w:rPr>
          <w:rFonts w:ascii="Times New Roman" w:hAnsi="Times New Roman" w:cs="Times New Roman"/>
          <w:bCs/>
          <w:sz w:val="24"/>
          <w:szCs w:val="24"/>
        </w:rPr>
      </w:pPr>
      <w:r w:rsidRPr="005A744F">
        <w:rPr>
          <w:rFonts w:ascii="Times New Roman" w:hAnsi="Times New Roman" w:cs="Times New Roman"/>
          <w:bCs/>
          <w:sz w:val="24"/>
          <w:szCs w:val="24"/>
        </w:rPr>
        <w:t xml:space="preserve">W roku 2021 zrealizowano 16 działań na podstawie art. 10b ustawy o Inspekcji Ochrony Środowiska, natomiast w roku 2022 było </w:t>
      </w:r>
      <w:r w:rsidR="007A44AE">
        <w:rPr>
          <w:rFonts w:ascii="Times New Roman" w:hAnsi="Times New Roman" w:cs="Times New Roman"/>
          <w:bCs/>
          <w:sz w:val="24"/>
          <w:szCs w:val="24"/>
        </w:rPr>
        <w:t xml:space="preserve">to </w:t>
      </w:r>
      <w:r w:rsidRPr="005A744F">
        <w:rPr>
          <w:rFonts w:ascii="Times New Roman" w:hAnsi="Times New Roman" w:cs="Times New Roman"/>
          <w:bCs/>
          <w:sz w:val="24"/>
          <w:szCs w:val="24"/>
        </w:rPr>
        <w:t>134 takich działań, co stanowi wzrost o 737,5 %. Wzrost ten wynika ze zwiększenia doświadczenia inspektorów oraz ujednolicenia wzorów dokumentacji, a także otrzymania stosownych wytycznych z Głównego Inspektoratu Ochrony Środowiska.</w:t>
      </w:r>
    </w:p>
    <w:p w14:paraId="59B80210" w14:textId="77777777" w:rsidR="005A744F" w:rsidRPr="005A744F" w:rsidRDefault="005A744F" w:rsidP="005A744F">
      <w:pPr>
        <w:spacing w:line="300" w:lineRule="atLeast"/>
        <w:contextualSpacing/>
        <w:jc w:val="both"/>
        <w:rPr>
          <w:rFonts w:ascii="Times New Roman" w:hAnsi="Times New Roman" w:cs="Times New Roman"/>
          <w:i/>
          <w:color w:val="4472C4"/>
          <w:sz w:val="24"/>
          <w:szCs w:val="24"/>
        </w:rPr>
      </w:pPr>
    </w:p>
    <w:p w14:paraId="0334136E" w14:textId="77777777" w:rsidR="005A744F" w:rsidRPr="005A744F" w:rsidRDefault="005A744F" w:rsidP="007A44AE">
      <w:pPr>
        <w:spacing w:after="60" w:line="300" w:lineRule="atLeast"/>
        <w:jc w:val="both"/>
        <w:rPr>
          <w:rFonts w:ascii="Times New Roman" w:hAnsi="Times New Roman" w:cs="Times New Roman"/>
          <w:i/>
          <w:color w:val="4472C4"/>
          <w:sz w:val="24"/>
          <w:szCs w:val="24"/>
        </w:rPr>
      </w:pPr>
      <w:r w:rsidRPr="005A744F">
        <w:rPr>
          <w:rFonts w:ascii="Times New Roman" w:hAnsi="Times New Roman" w:cs="Times New Roman"/>
          <w:i/>
          <w:color w:val="4472C4"/>
          <w:sz w:val="24"/>
          <w:szCs w:val="24"/>
        </w:rPr>
        <w:t>Wojewódzki Inspektorat Ochrony Środowiska w Warszawie</w:t>
      </w:r>
    </w:p>
    <w:p w14:paraId="7FDA20D9" w14:textId="04164469" w:rsidR="005A744F" w:rsidRPr="005A744F" w:rsidRDefault="005A744F" w:rsidP="007A44AE">
      <w:pPr>
        <w:spacing w:line="300" w:lineRule="atLeast"/>
        <w:ind w:firstLine="708"/>
        <w:contextualSpacing/>
        <w:jc w:val="both"/>
        <w:rPr>
          <w:rFonts w:ascii="Times New Roman" w:hAnsi="Times New Roman" w:cs="Times New Roman"/>
          <w:bCs/>
          <w:sz w:val="24"/>
          <w:szCs w:val="24"/>
        </w:rPr>
      </w:pPr>
      <w:r w:rsidRPr="005A744F">
        <w:rPr>
          <w:rFonts w:ascii="Times New Roman" w:hAnsi="Times New Roman" w:cs="Times New Roman"/>
          <w:bCs/>
          <w:sz w:val="24"/>
          <w:szCs w:val="24"/>
        </w:rPr>
        <w:t xml:space="preserve">W 2022 r. liczba </w:t>
      </w:r>
      <w:r w:rsidRPr="005A744F">
        <w:rPr>
          <w:rFonts w:ascii="Times New Roman" w:hAnsi="Times New Roman" w:cs="Times New Roman"/>
          <w:sz w:val="24"/>
          <w:szCs w:val="24"/>
        </w:rPr>
        <w:t xml:space="preserve">czynności przeprowadzonych w trybie art. 10b ustawy o Inspekcji Ochrony Środowiska </w:t>
      </w:r>
      <w:r w:rsidRPr="005A744F">
        <w:rPr>
          <w:rFonts w:ascii="Times New Roman" w:hAnsi="Times New Roman" w:cs="Times New Roman"/>
          <w:bCs/>
          <w:sz w:val="24"/>
          <w:szCs w:val="24"/>
        </w:rPr>
        <w:t>w</w:t>
      </w:r>
      <w:r w:rsidRPr="005A744F">
        <w:rPr>
          <w:rFonts w:ascii="Times New Roman" w:hAnsi="Times New Roman" w:cs="Times New Roman"/>
          <w:sz w:val="24"/>
          <w:szCs w:val="24"/>
        </w:rPr>
        <w:t> </w:t>
      </w:r>
      <w:r w:rsidRPr="005A744F">
        <w:rPr>
          <w:rFonts w:ascii="Times New Roman" w:hAnsi="Times New Roman" w:cs="Times New Roman"/>
          <w:bCs/>
          <w:sz w:val="24"/>
          <w:szCs w:val="24"/>
        </w:rPr>
        <w:t>celu przeciwdziałania i ujawniania przestępstw i wykroczeń przeciwko środowisku, w porównaniu z latami ubiegłymi</w:t>
      </w:r>
      <w:r w:rsidR="00537510">
        <w:rPr>
          <w:rFonts w:ascii="Times New Roman" w:hAnsi="Times New Roman" w:cs="Times New Roman"/>
          <w:bCs/>
          <w:sz w:val="24"/>
          <w:szCs w:val="24"/>
        </w:rPr>
        <w:t>,</w:t>
      </w:r>
      <w:r w:rsidRPr="005A744F">
        <w:rPr>
          <w:rFonts w:ascii="Times New Roman" w:hAnsi="Times New Roman" w:cs="Times New Roman"/>
          <w:bCs/>
          <w:sz w:val="24"/>
          <w:szCs w:val="24"/>
        </w:rPr>
        <w:t xml:space="preserve"> uległa zdecydowanemu wzrostowi. </w:t>
      </w:r>
      <w:r w:rsidRPr="005A744F">
        <w:rPr>
          <w:rFonts w:ascii="Times New Roman" w:hAnsi="Times New Roman" w:cs="Times New Roman"/>
          <w:sz w:val="24"/>
          <w:szCs w:val="24"/>
        </w:rPr>
        <w:t>Powyższe działania realizowane są przez WIOŚ w Warszawie jako działania priorytetowe</w:t>
      </w:r>
      <w:r w:rsidRPr="005A744F">
        <w:rPr>
          <w:rFonts w:ascii="Times New Roman" w:hAnsi="Times New Roman" w:cs="Times New Roman"/>
          <w:bCs/>
          <w:sz w:val="24"/>
          <w:szCs w:val="24"/>
        </w:rPr>
        <w:t xml:space="preserve"> W 2022 r. przeprowadzono 3</w:t>
      </w:r>
      <w:r w:rsidR="00537510">
        <w:rPr>
          <w:rFonts w:ascii="Times New Roman" w:hAnsi="Times New Roman" w:cs="Times New Roman"/>
          <w:bCs/>
          <w:sz w:val="24"/>
          <w:szCs w:val="24"/>
        </w:rPr>
        <w:t xml:space="preserve"> </w:t>
      </w:r>
      <w:r w:rsidRPr="005A744F">
        <w:rPr>
          <w:rFonts w:ascii="Times New Roman" w:hAnsi="Times New Roman" w:cs="Times New Roman"/>
          <w:bCs/>
          <w:sz w:val="24"/>
          <w:szCs w:val="24"/>
        </w:rPr>
        <w:t>332 czynności, co w porównaniu z 2021 r. (2</w:t>
      </w:r>
      <w:r w:rsidR="00537510">
        <w:rPr>
          <w:rFonts w:ascii="Times New Roman" w:hAnsi="Times New Roman" w:cs="Times New Roman"/>
          <w:bCs/>
          <w:sz w:val="24"/>
          <w:szCs w:val="24"/>
        </w:rPr>
        <w:t xml:space="preserve"> </w:t>
      </w:r>
      <w:r w:rsidRPr="005A744F">
        <w:rPr>
          <w:rFonts w:ascii="Times New Roman" w:hAnsi="Times New Roman" w:cs="Times New Roman"/>
          <w:bCs/>
          <w:sz w:val="24"/>
          <w:szCs w:val="24"/>
        </w:rPr>
        <w:t>716 czynności) stanowi wzrost o 616 czynności czyli wzrost o 23 %. Ww. działania prowadzone są w celu szybkiej reakcji na pozyskiwane informacje o nieprawidłowościach w zakresie przestrzegania przepisów o ochronie środowiska. Wskazana liczba czynności to liczba czynności wykonanych przez wszystkich inspektorów WIOŚ w Warszawie</w:t>
      </w:r>
      <w:r w:rsidR="001E0A3A">
        <w:rPr>
          <w:rFonts w:ascii="Times New Roman" w:hAnsi="Times New Roman" w:cs="Times New Roman"/>
          <w:bCs/>
          <w:sz w:val="24"/>
          <w:szCs w:val="24"/>
        </w:rPr>
        <w:t>,</w:t>
      </w:r>
      <w:r w:rsidRPr="005A744F">
        <w:rPr>
          <w:rFonts w:ascii="Times New Roman" w:hAnsi="Times New Roman" w:cs="Times New Roman"/>
          <w:bCs/>
          <w:sz w:val="24"/>
          <w:szCs w:val="24"/>
        </w:rPr>
        <w:t xml:space="preserve"> tj. łącznie przez inspektorów Grupy </w:t>
      </w:r>
      <w:proofErr w:type="spellStart"/>
      <w:r w:rsidRPr="005A744F">
        <w:rPr>
          <w:rFonts w:ascii="Times New Roman" w:hAnsi="Times New Roman" w:cs="Times New Roman"/>
          <w:bCs/>
          <w:sz w:val="24"/>
          <w:szCs w:val="24"/>
        </w:rPr>
        <w:t>Interwencyjno</w:t>
      </w:r>
      <w:proofErr w:type="spellEnd"/>
      <w:r w:rsidRPr="005A744F">
        <w:rPr>
          <w:rFonts w:ascii="Times New Roman" w:hAnsi="Times New Roman" w:cs="Times New Roman"/>
          <w:bCs/>
          <w:sz w:val="24"/>
          <w:szCs w:val="24"/>
        </w:rPr>
        <w:t xml:space="preserve"> – Wyjazdowej oraz pozostałych inspektorów Wydziału i Działów Inspekcji WIOŚ w Warszawie.</w:t>
      </w:r>
    </w:p>
    <w:p w14:paraId="6E2B2662" w14:textId="77777777" w:rsidR="005A744F" w:rsidRPr="005A744F" w:rsidRDefault="005A744F" w:rsidP="001E0A3A">
      <w:pPr>
        <w:spacing w:line="300" w:lineRule="atLeast"/>
        <w:ind w:firstLine="567"/>
        <w:contextualSpacing/>
        <w:jc w:val="both"/>
        <w:rPr>
          <w:rFonts w:ascii="Times New Roman" w:hAnsi="Times New Roman" w:cs="Times New Roman"/>
          <w:bCs/>
          <w:sz w:val="24"/>
          <w:szCs w:val="24"/>
        </w:rPr>
      </w:pPr>
      <w:r w:rsidRPr="005A744F">
        <w:rPr>
          <w:rFonts w:ascii="Times New Roman" w:hAnsi="Times New Roman" w:cs="Times New Roman"/>
          <w:bCs/>
          <w:sz w:val="24"/>
          <w:szCs w:val="24"/>
        </w:rPr>
        <w:t>Podsumowanie czynności wynikających z art.10b ustawy o Inspekcji Ochrony Środowiska zrealizowanych w 2022 roku:</w:t>
      </w:r>
    </w:p>
    <w:p w14:paraId="086C709F" w14:textId="22C4991B" w:rsidR="005A744F" w:rsidRPr="005A744F" w:rsidRDefault="005A744F" w:rsidP="001E0A3A">
      <w:pPr>
        <w:spacing w:after="60" w:line="300" w:lineRule="atLeast"/>
        <w:ind w:firstLine="567"/>
        <w:jc w:val="both"/>
        <w:rPr>
          <w:rFonts w:ascii="Times New Roman" w:hAnsi="Times New Roman" w:cs="Times New Roman"/>
          <w:color w:val="4472C4"/>
          <w:sz w:val="24"/>
          <w:szCs w:val="24"/>
        </w:rPr>
      </w:pPr>
      <w:r w:rsidRPr="005A744F">
        <w:rPr>
          <w:rFonts w:ascii="Times New Roman" w:hAnsi="Times New Roman" w:cs="Times New Roman"/>
          <w:sz w:val="24"/>
          <w:szCs w:val="24"/>
        </w:rPr>
        <w:t xml:space="preserve">W 2022 r. inspektorzy WIOŚ w Warszawie w celu wykrycia nielegalnych praktyk w obszarze ochrony środowiska, w tym postępowania z odpadami, zastosowali następujące uprawnienia, w trybie przepisów art.10b ustawy o Inspekcji Ochrony Środowiska w związku z uzasadnionym podejrzeniem popełnienia wykroczenia lub przestępstwa – łącznie podjęto  </w:t>
      </w:r>
      <w:r w:rsidR="001E0A3A">
        <w:rPr>
          <w:rFonts w:ascii="Times New Roman" w:hAnsi="Times New Roman" w:cs="Times New Roman"/>
          <w:sz w:val="24"/>
          <w:szCs w:val="24"/>
        </w:rPr>
        <w:br/>
      </w:r>
      <w:r w:rsidRPr="005A744F">
        <w:rPr>
          <w:rFonts w:ascii="Times New Roman" w:hAnsi="Times New Roman" w:cs="Times New Roman"/>
          <w:b/>
          <w:bCs/>
          <w:sz w:val="24"/>
          <w:szCs w:val="24"/>
        </w:rPr>
        <w:t>3</w:t>
      </w:r>
      <w:r w:rsidR="001E0A3A">
        <w:rPr>
          <w:rFonts w:ascii="Times New Roman" w:hAnsi="Times New Roman" w:cs="Times New Roman"/>
          <w:b/>
          <w:bCs/>
          <w:sz w:val="24"/>
          <w:szCs w:val="24"/>
        </w:rPr>
        <w:t xml:space="preserve"> </w:t>
      </w:r>
      <w:r w:rsidRPr="005A744F">
        <w:rPr>
          <w:rFonts w:ascii="Times New Roman" w:hAnsi="Times New Roman" w:cs="Times New Roman"/>
          <w:b/>
          <w:bCs/>
          <w:sz w:val="24"/>
          <w:szCs w:val="24"/>
        </w:rPr>
        <w:t>332</w:t>
      </w:r>
      <w:r w:rsidRPr="005A744F">
        <w:rPr>
          <w:rFonts w:ascii="Times New Roman" w:hAnsi="Times New Roman" w:cs="Times New Roman"/>
          <w:sz w:val="24"/>
          <w:szCs w:val="24"/>
        </w:rPr>
        <w:t xml:space="preserve"> czynności, w tym</w:t>
      </w:r>
      <w:r w:rsidRPr="005A744F">
        <w:rPr>
          <w:rFonts w:ascii="Times New Roman" w:hAnsi="Times New Roman" w:cs="Times New Roman"/>
          <w:color w:val="4472C4"/>
          <w:sz w:val="24"/>
          <w:szCs w:val="24"/>
        </w:rPr>
        <w:t xml:space="preserve">: </w:t>
      </w:r>
    </w:p>
    <w:p w14:paraId="43293058" w14:textId="77777777" w:rsidR="005A744F" w:rsidRPr="005A744F" w:rsidRDefault="005A744F" w:rsidP="00D34F97">
      <w:pPr>
        <w:pStyle w:val="Akapitzlist"/>
        <w:numPr>
          <w:ilvl w:val="0"/>
          <w:numId w:val="239"/>
        </w:numPr>
        <w:spacing w:line="300" w:lineRule="atLeast"/>
        <w:ind w:left="357" w:hanging="357"/>
        <w:jc w:val="both"/>
        <w:rPr>
          <w:sz w:val="24"/>
          <w:szCs w:val="24"/>
        </w:rPr>
      </w:pPr>
      <w:r w:rsidRPr="005A744F">
        <w:rPr>
          <w:sz w:val="24"/>
          <w:szCs w:val="24"/>
        </w:rPr>
        <w:t>obserwacja i rejestracja przy użyciu środków technicznych obrazu zdarzeń – 839 działań,</w:t>
      </w:r>
    </w:p>
    <w:p w14:paraId="1E307CBB" w14:textId="77777777" w:rsidR="005A744F" w:rsidRPr="005A744F" w:rsidRDefault="005A744F" w:rsidP="00D34F97">
      <w:pPr>
        <w:pStyle w:val="Akapitzlist"/>
        <w:numPr>
          <w:ilvl w:val="0"/>
          <w:numId w:val="239"/>
        </w:numPr>
        <w:spacing w:line="300" w:lineRule="atLeast"/>
        <w:ind w:left="357" w:hanging="357"/>
        <w:jc w:val="both"/>
        <w:rPr>
          <w:sz w:val="24"/>
          <w:szCs w:val="24"/>
        </w:rPr>
      </w:pPr>
      <w:r w:rsidRPr="005A744F">
        <w:rPr>
          <w:sz w:val="24"/>
          <w:szCs w:val="24"/>
        </w:rPr>
        <w:t>gromadzenie i zabezpieczanie dowodów popełnienia przestępstwa lub wykroczenia – 276 działań,</w:t>
      </w:r>
    </w:p>
    <w:p w14:paraId="452DE6D4" w14:textId="77777777" w:rsidR="005A744F" w:rsidRPr="005A744F" w:rsidRDefault="005A744F" w:rsidP="00D34F97">
      <w:pPr>
        <w:pStyle w:val="Akapitzlist"/>
        <w:numPr>
          <w:ilvl w:val="0"/>
          <w:numId w:val="239"/>
        </w:numPr>
        <w:spacing w:line="300" w:lineRule="atLeast"/>
        <w:ind w:left="357" w:hanging="357"/>
        <w:jc w:val="both"/>
        <w:rPr>
          <w:sz w:val="24"/>
          <w:szCs w:val="24"/>
        </w:rPr>
      </w:pPr>
      <w:r w:rsidRPr="005A744F">
        <w:rPr>
          <w:sz w:val="24"/>
          <w:szCs w:val="24"/>
        </w:rPr>
        <w:lastRenderedPageBreak/>
        <w:t xml:space="preserve">żądanie pisemnych lub ustnych informacji oraz dokonywanie przesłuchiwania osób w zakresie niezbędnym dla ustalenia stanu faktycznego przy jednoczesnym pouczeniu ich </w:t>
      </w:r>
      <w:r w:rsidRPr="005A744F">
        <w:rPr>
          <w:sz w:val="24"/>
          <w:szCs w:val="24"/>
        </w:rPr>
        <w:br/>
        <w:t>o odpowiedzialności karnej za składanie fałszywych zeznań, o której mowa w Kodeksie karnym – 362 działania,</w:t>
      </w:r>
    </w:p>
    <w:p w14:paraId="0CFD2524" w14:textId="707081C0" w:rsidR="005A744F" w:rsidRPr="005A744F" w:rsidRDefault="005A744F" w:rsidP="00D34F97">
      <w:pPr>
        <w:pStyle w:val="Akapitzlist"/>
        <w:numPr>
          <w:ilvl w:val="0"/>
          <w:numId w:val="239"/>
        </w:numPr>
        <w:spacing w:line="300" w:lineRule="atLeast"/>
        <w:ind w:left="357" w:hanging="357"/>
        <w:jc w:val="both"/>
        <w:rPr>
          <w:sz w:val="24"/>
          <w:szCs w:val="24"/>
        </w:rPr>
      </w:pPr>
      <w:r w:rsidRPr="005A744F">
        <w:rPr>
          <w:sz w:val="24"/>
          <w:szCs w:val="24"/>
        </w:rPr>
        <w:t>dokonanie ustalenia tożsamości osób oraz żądanie okazania dokumentów niezbędnych do wymierzenia grzywny w drodze mandatu karnego lub sporządzenia wniosku o ukaranie – 334 działa</w:t>
      </w:r>
      <w:r w:rsidR="001E0A3A">
        <w:rPr>
          <w:sz w:val="24"/>
          <w:szCs w:val="24"/>
          <w:lang w:val="pl-PL"/>
        </w:rPr>
        <w:t>nia</w:t>
      </w:r>
      <w:r w:rsidRPr="005A744F">
        <w:rPr>
          <w:sz w:val="24"/>
          <w:szCs w:val="24"/>
        </w:rPr>
        <w:t>,</w:t>
      </w:r>
    </w:p>
    <w:p w14:paraId="66868C8D" w14:textId="1F46551E" w:rsidR="005A744F" w:rsidRPr="005A744F" w:rsidRDefault="005A744F" w:rsidP="00D34F97">
      <w:pPr>
        <w:pStyle w:val="Akapitzlist"/>
        <w:numPr>
          <w:ilvl w:val="0"/>
          <w:numId w:val="239"/>
        </w:numPr>
        <w:spacing w:line="300" w:lineRule="atLeast"/>
        <w:ind w:left="357" w:hanging="357"/>
        <w:jc w:val="both"/>
        <w:rPr>
          <w:sz w:val="24"/>
          <w:szCs w:val="24"/>
        </w:rPr>
      </w:pPr>
      <w:r w:rsidRPr="005A744F">
        <w:rPr>
          <w:sz w:val="24"/>
          <w:szCs w:val="24"/>
        </w:rPr>
        <w:t>nałożenie grzywny w postępowaniu mandatowym za wykroczenia określone w trybie przewidzianym przepisami o postępowaniu w sprawach o wykroczenia –  57</w:t>
      </w:r>
      <w:r w:rsidR="001E0A3A">
        <w:rPr>
          <w:sz w:val="24"/>
          <w:szCs w:val="24"/>
          <w:lang w:val="pl-PL"/>
        </w:rPr>
        <w:t xml:space="preserve"> działań</w:t>
      </w:r>
      <w:r w:rsidRPr="005A744F">
        <w:rPr>
          <w:sz w:val="24"/>
          <w:szCs w:val="24"/>
        </w:rPr>
        <w:t>,</w:t>
      </w:r>
    </w:p>
    <w:p w14:paraId="52CAD915" w14:textId="77777777" w:rsidR="005A744F" w:rsidRPr="005A744F" w:rsidRDefault="005A744F" w:rsidP="00D34F97">
      <w:pPr>
        <w:pStyle w:val="Akapitzlist"/>
        <w:numPr>
          <w:ilvl w:val="0"/>
          <w:numId w:val="239"/>
        </w:numPr>
        <w:spacing w:line="300" w:lineRule="atLeast"/>
        <w:ind w:left="357" w:hanging="357"/>
        <w:jc w:val="both"/>
        <w:rPr>
          <w:sz w:val="24"/>
          <w:szCs w:val="24"/>
        </w:rPr>
      </w:pPr>
      <w:r w:rsidRPr="005A744F">
        <w:rPr>
          <w:sz w:val="24"/>
          <w:szCs w:val="24"/>
        </w:rPr>
        <w:t>dokonanie oględzin pomieszczeń i innych miejsc – 814 działań,</w:t>
      </w:r>
    </w:p>
    <w:p w14:paraId="4AF6EEFE" w14:textId="77777777" w:rsidR="005A744F" w:rsidRPr="005A744F" w:rsidRDefault="005A744F" w:rsidP="00D34F97">
      <w:pPr>
        <w:pStyle w:val="Akapitzlist"/>
        <w:numPr>
          <w:ilvl w:val="0"/>
          <w:numId w:val="239"/>
        </w:numPr>
        <w:spacing w:line="300" w:lineRule="atLeast"/>
        <w:ind w:left="357" w:hanging="357"/>
        <w:jc w:val="both"/>
        <w:rPr>
          <w:sz w:val="24"/>
          <w:szCs w:val="24"/>
        </w:rPr>
      </w:pPr>
      <w:r w:rsidRPr="005A744F">
        <w:rPr>
          <w:sz w:val="24"/>
          <w:szCs w:val="24"/>
        </w:rPr>
        <w:t>dokonanie przeszukiwania pojazdów przewożących towary oraz kontrolowano dokumenty związane z przewozem towaru, jeżeli zachodziło podejrzenie przewożenia odpadów – 436 działań,</w:t>
      </w:r>
    </w:p>
    <w:p w14:paraId="7E3B637B" w14:textId="689CC38C" w:rsidR="005A744F" w:rsidRPr="005A744F" w:rsidRDefault="005A744F" w:rsidP="00D34F97">
      <w:pPr>
        <w:pStyle w:val="Akapitzlist"/>
        <w:numPr>
          <w:ilvl w:val="0"/>
          <w:numId w:val="239"/>
        </w:numPr>
        <w:spacing w:line="300" w:lineRule="atLeast"/>
        <w:jc w:val="both"/>
        <w:rPr>
          <w:sz w:val="24"/>
          <w:szCs w:val="24"/>
        </w:rPr>
      </w:pPr>
      <w:r w:rsidRPr="005A744F">
        <w:rPr>
          <w:sz w:val="24"/>
          <w:szCs w:val="24"/>
        </w:rPr>
        <w:t>udzielenie pouczeń, zwracano uwagę, ostrzegano lub stosowano inne środki</w:t>
      </w:r>
      <w:r w:rsidR="001E0A3A">
        <w:rPr>
          <w:sz w:val="24"/>
          <w:szCs w:val="24"/>
          <w:lang w:val="pl-PL"/>
        </w:rPr>
        <w:t xml:space="preserve"> </w:t>
      </w:r>
      <w:r w:rsidRPr="005A744F">
        <w:rPr>
          <w:sz w:val="24"/>
          <w:szCs w:val="24"/>
        </w:rPr>
        <w:t xml:space="preserve">oddziaływania wychowawczego – 214 działań. </w:t>
      </w:r>
    </w:p>
    <w:p w14:paraId="47646463" w14:textId="77777777" w:rsidR="005A744F" w:rsidRPr="005A744F" w:rsidRDefault="005A744F" w:rsidP="001E0A3A">
      <w:pPr>
        <w:spacing w:after="60" w:line="300" w:lineRule="atLeast"/>
        <w:jc w:val="both"/>
        <w:rPr>
          <w:rFonts w:ascii="Times New Roman" w:eastAsia="Calibri" w:hAnsi="Times New Roman" w:cs="Times New Roman"/>
          <w:sz w:val="24"/>
          <w:szCs w:val="24"/>
        </w:rPr>
      </w:pPr>
      <w:r w:rsidRPr="005A744F">
        <w:rPr>
          <w:rFonts w:ascii="Times New Roman" w:hAnsi="Times New Roman" w:cs="Times New Roman"/>
          <w:sz w:val="24"/>
          <w:szCs w:val="24"/>
        </w:rPr>
        <w:t>Czynności przeprowadzone w trybie art. 10b ustawy o Inspekcji Ochrony Środowiska, w 2022 r. polegały na:</w:t>
      </w:r>
    </w:p>
    <w:p w14:paraId="716C09CC" w14:textId="31CB02B5" w:rsidR="005A744F" w:rsidRPr="005A744F" w:rsidRDefault="005A744F" w:rsidP="00D34F97">
      <w:pPr>
        <w:pStyle w:val="Akapitzlist"/>
        <w:numPr>
          <w:ilvl w:val="0"/>
          <w:numId w:val="240"/>
        </w:numPr>
        <w:spacing w:line="300" w:lineRule="atLeast"/>
        <w:ind w:left="425" w:hanging="425"/>
        <w:jc w:val="both"/>
        <w:rPr>
          <w:sz w:val="24"/>
          <w:szCs w:val="24"/>
        </w:rPr>
      </w:pPr>
      <w:r w:rsidRPr="005A744F">
        <w:rPr>
          <w:sz w:val="24"/>
          <w:szCs w:val="24"/>
        </w:rPr>
        <w:t xml:space="preserve">podejmowaniu działań mających na celu ujawniania i wykrywanie przestępstw przeciwko środowisku określonych w Kodeksie karnym oraz wykroczeń określonych w Kodeksie wykroczeń </w:t>
      </w:r>
      <w:r w:rsidR="001E0A3A">
        <w:rPr>
          <w:sz w:val="24"/>
          <w:szCs w:val="24"/>
          <w:lang w:val="pl-PL"/>
        </w:rPr>
        <w:t xml:space="preserve">i </w:t>
      </w:r>
      <w:r w:rsidRPr="005A744F">
        <w:rPr>
          <w:sz w:val="24"/>
          <w:szCs w:val="24"/>
        </w:rPr>
        <w:t>przepisach odrębnych wymienionych w ustawie o IOŚ z zastosowaniem środków technicznych, w tym bezzałogowych statków powietrznych;</w:t>
      </w:r>
    </w:p>
    <w:p w14:paraId="58C0BD29" w14:textId="58293EC6" w:rsidR="005A744F" w:rsidRPr="005A744F" w:rsidRDefault="005A744F" w:rsidP="00D34F97">
      <w:pPr>
        <w:pStyle w:val="Akapitzlist"/>
        <w:numPr>
          <w:ilvl w:val="0"/>
          <w:numId w:val="240"/>
        </w:numPr>
        <w:spacing w:line="300" w:lineRule="atLeast"/>
        <w:ind w:left="425" w:hanging="425"/>
        <w:jc w:val="both"/>
        <w:rPr>
          <w:sz w:val="24"/>
          <w:szCs w:val="24"/>
        </w:rPr>
      </w:pPr>
      <w:r w:rsidRPr="005A744F">
        <w:rPr>
          <w:sz w:val="24"/>
          <w:szCs w:val="24"/>
        </w:rPr>
        <w:t>inicjowaniu i udziale w kontrolach z innymi organami</w:t>
      </w:r>
      <w:r w:rsidR="00637C7B">
        <w:rPr>
          <w:sz w:val="24"/>
          <w:szCs w:val="24"/>
          <w:lang w:val="pl-PL"/>
        </w:rPr>
        <w:t>,</w:t>
      </w:r>
      <w:r w:rsidRPr="005A744F">
        <w:rPr>
          <w:sz w:val="24"/>
          <w:szCs w:val="24"/>
        </w:rPr>
        <w:t xml:space="preserve"> m.in. z Inspekcją Transportu Drogowego, Policją, Krajową Administracją Skarbową w zakresie kontroli przestrzegania przez transportujących odpady przepisów ustawy z dnia 14 grudnia 2012 r. o odpadach oraz rozporządzenia Ministra Środowiska z dnia 7 października 2016 r. w sprawie szczegółowych wymagań dla transportu odpadów;</w:t>
      </w:r>
    </w:p>
    <w:p w14:paraId="7525B704" w14:textId="77777777" w:rsidR="005A744F" w:rsidRPr="005A744F" w:rsidRDefault="005A744F" w:rsidP="00D34F97">
      <w:pPr>
        <w:pStyle w:val="Akapitzlist"/>
        <w:numPr>
          <w:ilvl w:val="0"/>
          <w:numId w:val="240"/>
        </w:numPr>
        <w:spacing w:line="300" w:lineRule="atLeast"/>
        <w:ind w:left="425" w:hanging="425"/>
        <w:jc w:val="both"/>
        <w:rPr>
          <w:sz w:val="24"/>
          <w:szCs w:val="24"/>
        </w:rPr>
      </w:pPr>
      <w:r w:rsidRPr="005A744F">
        <w:rPr>
          <w:sz w:val="24"/>
          <w:szCs w:val="24"/>
        </w:rPr>
        <w:t>podejmowaniu interwencji, ze szczególnym uwzględnieniem informacji dotyczących porzuconych odpadów, w tym odpadów niebezpiecznych oraz wykorzystywania/ zagospodarowania odpadów powstających w wyniku oczyszczania ścieków komunalnych.</w:t>
      </w:r>
    </w:p>
    <w:p w14:paraId="42EB0E96" w14:textId="77777777" w:rsidR="005A744F" w:rsidRPr="005A744F" w:rsidRDefault="005A744F" w:rsidP="005A744F">
      <w:pPr>
        <w:spacing w:line="300" w:lineRule="atLeast"/>
        <w:contextualSpacing/>
        <w:jc w:val="both"/>
        <w:rPr>
          <w:rFonts w:ascii="Times New Roman" w:hAnsi="Times New Roman" w:cs="Times New Roman"/>
          <w:sz w:val="24"/>
          <w:szCs w:val="24"/>
        </w:rPr>
      </w:pPr>
      <w:r w:rsidRPr="005A744F">
        <w:rPr>
          <w:rFonts w:ascii="Times New Roman" w:hAnsi="Times New Roman" w:cs="Times New Roman"/>
          <w:sz w:val="24"/>
          <w:szCs w:val="24"/>
        </w:rPr>
        <w:t>W ramach prowadzonych czynności współdziałano z innymi organami kontroli, organami ścigania i wymiaru sprawiedliwości, innymi organami administracji państwowej i organami samorządu terytorialnego.</w:t>
      </w:r>
    </w:p>
    <w:p w14:paraId="6E443F5E" w14:textId="77777777" w:rsidR="005A744F" w:rsidRPr="005A744F" w:rsidRDefault="005A744F" w:rsidP="005A744F">
      <w:pPr>
        <w:spacing w:line="300" w:lineRule="atLeast"/>
        <w:contextualSpacing/>
        <w:jc w:val="both"/>
        <w:rPr>
          <w:rFonts w:ascii="Times New Roman" w:hAnsi="Times New Roman" w:cs="Times New Roman"/>
          <w:i/>
          <w:color w:val="4472C4"/>
          <w:sz w:val="24"/>
          <w:szCs w:val="24"/>
        </w:rPr>
      </w:pPr>
    </w:p>
    <w:p w14:paraId="70144607" w14:textId="5167B7CE" w:rsidR="005A744F" w:rsidRPr="005A744F" w:rsidRDefault="005A744F" w:rsidP="00771773">
      <w:pPr>
        <w:spacing w:after="60" w:line="300" w:lineRule="atLeast"/>
        <w:rPr>
          <w:rFonts w:ascii="Times New Roman" w:hAnsi="Times New Roman" w:cs="Times New Roman"/>
          <w:i/>
          <w:color w:val="4472C4"/>
          <w:sz w:val="24"/>
          <w:szCs w:val="24"/>
        </w:rPr>
      </w:pPr>
      <w:r w:rsidRPr="005A744F">
        <w:rPr>
          <w:rFonts w:ascii="Times New Roman" w:hAnsi="Times New Roman" w:cs="Times New Roman"/>
          <w:i/>
          <w:color w:val="4472C4"/>
          <w:sz w:val="24"/>
          <w:szCs w:val="24"/>
        </w:rPr>
        <w:t>Wojewódzki Inspektorat Ochrony Środowiska we Wrocławiu</w:t>
      </w:r>
    </w:p>
    <w:p w14:paraId="54CF6098" w14:textId="7435B179" w:rsidR="005A744F" w:rsidRPr="005A744F" w:rsidRDefault="005A744F" w:rsidP="00771773">
      <w:pPr>
        <w:pStyle w:val="Akapitzlist"/>
        <w:spacing w:line="300" w:lineRule="atLeast"/>
        <w:ind w:left="0" w:firstLine="567"/>
        <w:jc w:val="both"/>
        <w:rPr>
          <w:sz w:val="24"/>
          <w:szCs w:val="24"/>
        </w:rPr>
      </w:pPr>
      <w:r w:rsidRPr="005A744F">
        <w:rPr>
          <w:sz w:val="24"/>
          <w:szCs w:val="24"/>
        </w:rPr>
        <w:t>W 2022 r. zrealizowano 1</w:t>
      </w:r>
      <w:r w:rsidR="00771773">
        <w:rPr>
          <w:sz w:val="24"/>
          <w:szCs w:val="24"/>
          <w:lang w:val="pl-PL"/>
        </w:rPr>
        <w:t xml:space="preserve"> </w:t>
      </w:r>
      <w:r w:rsidRPr="005A744F">
        <w:rPr>
          <w:sz w:val="24"/>
          <w:szCs w:val="24"/>
        </w:rPr>
        <w:t>223 czynności w trybie art. 10b ustawy o Inspekcji Ochrony Środowiska, w tym inspektorzy Wydziału/Działów Inspekcji zrealizowali 742 czynności</w:t>
      </w:r>
      <w:r w:rsidR="00771773">
        <w:rPr>
          <w:sz w:val="24"/>
          <w:szCs w:val="24"/>
          <w:lang w:val="pl-PL"/>
        </w:rPr>
        <w:t xml:space="preserve"> </w:t>
      </w:r>
      <w:r w:rsidRPr="005A744F">
        <w:rPr>
          <w:sz w:val="24"/>
          <w:szCs w:val="24"/>
        </w:rPr>
        <w:t xml:space="preserve">w trybie art. 10b, natomiast 481 czynności zostało zrealizowanych  przez inspektorów Grupy Interwencyjno-Wyjazdowej i Wydziału Zwalczania Przestępczości Środowiskowej, co stanowi wzrost o 60 % w porównaniu z rokiem poprzednim. W 2021 roku zrealizowano 772 czynności. W planie na 2022 r. zgodnie z wytycznymi GIOŚ został wprowadzony miernik do osiągnięcia w 2022 r., w postaci wzrostu liczby czynności wykonanych w trybie art. 10b ustawy o IOŚ do 829 czynności, czyli o 49 % przekroczono zakładaną wartość docelową. </w:t>
      </w:r>
    </w:p>
    <w:p w14:paraId="32B99058" w14:textId="4B5628FD" w:rsidR="005A744F" w:rsidRPr="005A744F" w:rsidRDefault="005A744F" w:rsidP="00771773">
      <w:pPr>
        <w:pStyle w:val="Akapitzlist"/>
        <w:spacing w:line="300" w:lineRule="atLeast"/>
        <w:ind w:left="0" w:firstLine="567"/>
        <w:jc w:val="both"/>
        <w:rPr>
          <w:sz w:val="24"/>
          <w:szCs w:val="24"/>
        </w:rPr>
      </w:pPr>
      <w:r w:rsidRPr="005A744F">
        <w:rPr>
          <w:sz w:val="24"/>
          <w:szCs w:val="24"/>
        </w:rPr>
        <w:t xml:space="preserve">Tak znaczny wzrost czynności realizowanych w trybie art. 10b był związany z kryzysem ekologicznym rzeki Odry oraz wzrastającą liczbą napływających wniosków o interwencję związanych z uzasadnionym popełnieniem przestępstwa lub wykroczenia, jak i charakterem </w:t>
      </w:r>
      <w:r w:rsidRPr="005A744F">
        <w:rPr>
          <w:sz w:val="24"/>
          <w:szCs w:val="24"/>
        </w:rPr>
        <w:lastRenderedPageBreak/>
        <w:t xml:space="preserve">tych działań, umożliwiającym szybkie podjęciem czynności wyjaśniających. Na wzrost ten miało wpływ również wyodrębnienie Wydziału zwalczania Przestępczości Środowiskowej. </w:t>
      </w:r>
    </w:p>
    <w:p w14:paraId="13E353BE" w14:textId="77777777" w:rsidR="005A744F" w:rsidRPr="005A744F" w:rsidRDefault="005A744F" w:rsidP="005A744F">
      <w:pPr>
        <w:spacing w:line="300" w:lineRule="atLeast"/>
        <w:contextualSpacing/>
        <w:rPr>
          <w:rFonts w:ascii="Times New Roman" w:hAnsi="Times New Roman" w:cs="Times New Roman"/>
          <w:i/>
          <w:color w:val="4472C4"/>
          <w:sz w:val="24"/>
          <w:szCs w:val="24"/>
        </w:rPr>
      </w:pPr>
    </w:p>
    <w:p w14:paraId="13105659" w14:textId="77777777" w:rsidR="005A744F" w:rsidRPr="005A744F" w:rsidRDefault="005A744F" w:rsidP="00771773">
      <w:pPr>
        <w:spacing w:after="60" w:line="300" w:lineRule="atLeast"/>
        <w:rPr>
          <w:rFonts w:ascii="Times New Roman" w:hAnsi="Times New Roman" w:cs="Times New Roman"/>
          <w:i/>
          <w:color w:val="4472C4"/>
          <w:sz w:val="24"/>
          <w:szCs w:val="24"/>
        </w:rPr>
      </w:pPr>
      <w:r w:rsidRPr="005A744F">
        <w:rPr>
          <w:rFonts w:ascii="Times New Roman" w:hAnsi="Times New Roman" w:cs="Times New Roman"/>
          <w:i/>
          <w:color w:val="4472C4"/>
          <w:sz w:val="24"/>
          <w:szCs w:val="24"/>
        </w:rPr>
        <w:t>Wojewódzki Inspektorat Ochrony Środowiska w Zielonej Górze</w:t>
      </w:r>
    </w:p>
    <w:p w14:paraId="74CD6241" w14:textId="32F7B79A" w:rsidR="005A744F" w:rsidRPr="005A744F" w:rsidRDefault="00771773" w:rsidP="00771773">
      <w:pPr>
        <w:pStyle w:val="Akapitzlist"/>
        <w:spacing w:line="300" w:lineRule="atLeast"/>
        <w:ind w:left="0" w:firstLine="567"/>
        <w:jc w:val="both"/>
        <w:rPr>
          <w:sz w:val="24"/>
          <w:szCs w:val="24"/>
        </w:rPr>
      </w:pPr>
      <w:r w:rsidRPr="005A744F">
        <w:rPr>
          <w:sz w:val="24"/>
          <w:szCs w:val="24"/>
        </w:rPr>
        <w:t xml:space="preserve">W </w:t>
      </w:r>
      <w:r>
        <w:rPr>
          <w:sz w:val="24"/>
          <w:szCs w:val="24"/>
          <w:lang w:val="pl-PL"/>
        </w:rPr>
        <w:t xml:space="preserve">roku </w:t>
      </w:r>
      <w:r w:rsidRPr="005A744F">
        <w:rPr>
          <w:sz w:val="24"/>
          <w:szCs w:val="24"/>
        </w:rPr>
        <w:t>2022  zrealizowano 23 czynności w trybie art. 10b ustawy o Inspekcji Ochrony Środowiska</w:t>
      </w:r>
      <w:r>
        <w:rPr>
          <w:sz w:val="24"/>
          <w:szCs w:val="24"/>
          <w:lang w:val="pl-PL"/>
        </w:rPr>
        <w:t xml:space="preserve">, w porównaniu z 18 w roku 2021. </w:t>
      </w:r>
    </w:p>
    <w:p w14:paraId="176764E3" w14:textId="77777777" w:rsidR="00A22034" w:rsidRPr="007F400A" w:rsidRDefault="00A22034" w:rsidP="00A21262">
      <w:pPr>
        <w:pStyle w:val="Akapitzlist"/>
        <w:spacing w:line="300" w:lineRule="atLeast"/>
        <w:ind w:left="0"/>
        <w:jc w:val="both"/>
        <w:rPr>
          <w:b/>
          <w:color w:val="000000"/>
          <w:sz w:val="24"/>
          <w:szCs w:val="24"/>
        </w:rPr>
      </w:pPr>
    </w:p>
    <w:p w14:paraId="3BDC0825" w14:textId="3B6801CC" w:rsidR="00A22034" w:rsidRPr="001E735D" w:rsidRDefault="00A22034" w:rsidP="001E735D">
      <w:pPr>
        <w:pStyle w:val="Akapitzlist"/>
        <w:numPr>
          <w:ilvl w:val="1"/>
          <w:numId w:val="148"/>
        </w:numPr>
        <w:spacing w:after="120" w:line="300" w:lineRule="atLeast"/>
        <w:ind w:left="567" w:hanging="567"/>
        <w:contextualSpacing w:val="0"/>
        <w:jc w:val="both"/>
        <w:outlineLvl w:val="0"/>
        <w:rPr>
          <w:b/>
          <w:color w:val="000000"/>
          <w:sz w:val="24"/>
          <w:szCs w:val="24"/>
          <w:u w:val="single"/>
        </w:rPr>
      </w:pPr>
      <w:bookmarkStart w:id="310" w:name="_Toc99469611"/>
      <w:bookmarkStart w:id="311" w:name="_Toc135935671"/>
      <w:r w:rsidRPr="007F400A">
        <w:rPr>
          <w:rStyle w:val="Nagwek3Znak"/>
          <w:rFonts w:ascii="Times New Roman" w:eastAsia="Calibri" w:hAnsi="Times New Roman"/>
          <w:color w:val="000000" w:themeColor="text1"/>
          <w:sz w:val="24"/>
          <w:szCs w:val="24"/>
        </w:rPr>
        <w:t>Ogólna informacja o przeprowadzonych kontrolach, w tym wskazanie charakterystyki zrealizowanych zadań</w:t>
      </w:r>
      <w:bookmarkEnd w:id="310"/>
      <w:bookmarkEnd w:id="311"/>
    </w:p>
    <w:p w14:paraId="6258F41A" w14:textId="6490979E" w:rsidR="00771773" w:rsidRPr="00771773" w:rsidRDefault="00771773" w:rsidP="009C51C5">
      <w:pPr>
        <w:spacing w:line="300" w:lineRule="atLeast"/>
        <w:ind w:firstLine="567"/>
        <w:contextualSpacing/>
        <w:jc w:val="both"/>
        <w:rPr>
          <w:rFonts w:ascii="Times New Roman" w:hAnsi="Times New Roman" w:cs="Times New Roman"/>
          <w:sz w:val="24"/>
          <w:szCs w:val="24"/>
        </w:rPr>
      </w:pPr>
      <w:r w:rsidRPr="00771773">
        <w:rPr>
          <w:rFonts w:ascii="Times New Roman" w:hAnsi="Times New Roman" w:cs="Times New Roman"/>
          <w:sz w:val="24"/>
          <w:szCs w:val="24"/>
        </w:rPr>
        <w:t>Wszystkie realizowane działania dot</w:t>
      </w:r>
      <w:r w:rsidR="009C51C5">
        <w:rPr>
          <w:rFonts w:ascii="Times New Roman" w:hAnsi="Times New Roman" w:cs="Times New Roman"/>
          <w:sz w:val="24"/>
          <w:szCs w:val="24"/>
        </w:rPr>
        <w:t>yczące</w:t>
      </w:r>
      <w:r w:rsidRPr="00771773">
        <w:rPr>
          <w:rFonts w:ascii="Times New Roman" w:hAnsi="Times New Roman" w:cs="Times New Roman"/>
          <w:sz w:val="24"/>
          <w:szCs w:val="24"/>
        </w:rPr>
        <w:t xml:space="preserve"> podejrzenia popełnienia przestępstwa określonego w art. 183 § 1 Kodeksu karnego związane były z nielegalnym postępowaniem </w:t>
      </w:r>
      <w:r w:rsidR="009C51C5">
        <w:rPr>
          <w:rFonts w:ascii="Times New Roman" w:hAnsi="Times New Roman" w:cs="Times New Roman"/>
          <w:sz w:val="24"/>
          <w:szCs w:val="24"/>
        </w:rPr>
        <w:br/>
      </w:r>
      <w:r w:rsidRPr="00771773">
        <w:rPr>
          <w:rFonts w:ascii="Times New Roman" w:hAnsi="Times New Roman" w:cs="Times New Roman"/>
          <w:sz w:val="24"/>
          <w:szCs w:val="24"/>
        </w:rPr>
        <w:t xml:space="preserve">w zakresie gospodarowania odpadami. Przeprowadzane czynności w przeważającym zakresie dotyczyły naruszenia przepisów gospodarki odpadami lub podejrzenia zanieczyszczenia powierzchni ziemi lub jakości wody. Podczas czynności realizowanych w trybie 10b ww. ustawy o Inspekcji Ochrony Środowiska podejmowano czynności polegające na oględzinach, przesłuchiwaniu osoby w zakresie niezbędnym do ustalenia stanu faktycznego przy jednoczesnym pouczeniu o odpowiedzialności karnej za składanie fałszywych zeznań, gromadzeniu i zabezpieczaniu dowodów popełnienia przestępstwa lub wykroczenia. </w:t>
      </w:r>
    </w:p>
    <w:p w14:paraId="09997353" w14:textId="77777777" w:rsidR="00771773" w:rsidRPr="00771773" w:rsidRDefault="00771773" w:rsidP="00771773">
      <w:pPr>
        <w:spacing w:line="300" w:lineRule="atLeast"/>
        <w:contextualSpacing/>
        <w:jc w:val="both"/>
        <w:rPr>
          <w:rFonts w:ascii="Times New Roman" w:hAnsi="Times New Roman" w:cs="Times New Roman"/>
          <w:i/>
          <w:sz w:val="24"/>
          <w:szCs w:val="24"/>
        </w:rPr>
      </w:pPr>
    </w:p>
    <w:p w14:paraId="5EE9DD84" w14:textId="1A156EC1" w:rsidR="00771773" w:rsidRPr="00771773" w:rsidRDefault="00771773" w:rsidP="009C51C5">
      <w:pPr>
        <w:spacing w:after="60" w:line="300" w:lineRule="atLeast"/>
        <w:jc w:val="both"/>
        <w:rPr>
          <w:rFonts w:ascii="Times New Roman" w:hAnsi="Times New Roman" w:cs="Times New Roman"/>
          <w:i/>
          <w:color w:val="4472C4"/>
          <w:sz w:val="24"/>
          <w:szCs w:val="24"/>
        </w:rPr>
      </w:pPr>
      <w:r w:rsidRPr="00771773">
        <w:rPr>
          <w:rFonts w:ascii="Times New Roman" w:hAnsi="Times New Roman" w:cs="Times New Roman"/>
          <w:i/>
          <w:color w:val="4472C4"/>
          <w:sz w:val="24"/>
          <w:szCs w:val="24"/>
        </w:rPr>
        <w:t>Wojewódzki Inspektorat Ochrony Środowiska w Białymstoku</w:t>
      </w:r>
    </w:p>
    <w:p w14:paraId="4CE3EACB" w14:textId="77777777" w:rsidR="00771773" w:rsidRPr="00771773" w:rsidRDefault="00771773" w:rsidP="009C51C5">
      <w:pPr>
        <w:spacing w:after="60" w:line="300" w:lineRule="atLeast"/>
        <w:ind w:firstLine="709"/>
        <w:jc w:val="both"/>
        <w:rPr>
          <w:rFonts w:ascii="Times New Roman" w:hAnsi="Times New Roman" w:cs="Times New Roman"/>
          <w:sz w:val="24"/>
          <w:szCs w:val="24"/>
        </w:rPr>
      </w:pPr>
      <w:r w:rsidRPr="00771773">
        <w:rPr>
          <w:rFonts w:ascii="Times New Roman" w:hAnsi="Times New Roman" w:cs="Times New Roman"/>
          <w:sz w:val="24"/>
          <w:szCs w:val="24"/>
        </w:rPr>
        <w:t>Jako zadanie priorytetowe w 2022 r. wskazano bieżące reagowanie na pojawiające się sygnały dotyczące tzw. szarej strefy gospodarki odpadami. Podejmowano kontrole na wniosek innych Organów oraz z własnej inicjatywy w tym zakresie.</w:t>
      </w:r>
    </w:p>
    <w:p w14:paraId="07D9754A" w14:textId="77777777" w:rsidR="001E735D" w:rsidRDefault="001E735D" w:rsidP="009C51C5">
      <w:pPr>
        <w:spacing w:after="60" w:line="300" w:lineRule="atLeast"/>
        <w:jc w:val="both"/>
        <w:rPr>
          <w:rFonts w:ascii="Times New Roman" w:hAnsi="Times New Roman" w:cs="Times New Roman"/>
          <w:sz w:val="24"/>
          <w:szCs w:val="24"/>
        </w:rPr>
      </w:pPr>
    </w:p>
    <w:p w14:paraId="1D94C543" w14:textId="1EFA6AA1" w:rsidR="00771773" w:rsidRPr="00771773" w:rsidRDefault="00771773" w:rsidP="009C51C5">
      <w:pPr>
        <w:spacing w:after="60" w:line="300" w:lineRule="atLeast"/>
        <w:jc w:val="both"/>
        <w:rPr>
          <w:rFonts w:ascii="Times New Roman" w:hAnsi="Times New Roman" w:cs="Times New Roman"/>
          <w:sz w:val="24"/>
          <w:szCs w:val="24"/>
        </w:rPr>
      </w:pPr>
      <w:r w:rsidRPr="00771773">
        <w:rPr>
          <w:rFonts w:ascii="Times New Roman" w:hAnsi="Times New Roman" w:cs="Times New Roman"/>
          <w:sz w:val="24"/>
          <w:szCs w:val="24"/>
        </w:rPr>
        <w:t>Wskazanie liczbowe podejmowanych działań w poszczególnych komponentach:</w:t>
      </w:r>
    </w:p>
    <w:p w14:paraId="6F606990" w14:textId="26022C8F" w:rsidR="00771773" w:rsidRPr="009C51C5" w:rsidRDefault="00771773" w:rsidP="00D34F97">
      <w:pPr>
        <w:pStyle w:val="Akapitzlist"/>
        <w:numPr>
          <w:ilvl w:val="0"/>
          <w:numId w:val="256"/>
        </w:numPr>
        <w:spacing w:line="300" w:lineRule="atLeast"/>
        <w:jc w:val="both"/>
        <w:rPr>
          <w:sz w:val="24"/>
          <w:szCs w:val="24"/>
        </w:rPr>
      </w:pPr>
      <w:r w:rsidRPr="009C51C5">
        <w:rPr>
          <w:sz w:val="24"/>
          <w:szCs w:val="24"/>
        </w:rPr>
        <w:t xml:space="preserve">76 spraw dotyczyło nieprawidłowego postępowania z odpadami, </w:t>
      </w:r>
    </w:p>
    <w:p w14:paraId="60BEAB6D" w14:textId="4E714692" w:rsidR="00771773" w:rsidRPr="009C51C5" w:rsidRDefault="00771773" w:rsidP="00D34F97">
      <w:pPr>
        <w:pStyle w:val="Akapitzlist"/>
        <w:numPr>
          <w:ilvl w:val="0"/>
          <w:numId w:val="256"/>
        </w:numPr>
        <w:spacing w:line="300" w:lineRule="atLeast"/>
        <w:jc w:val="both"/>
        <w:rPr>
          <w:sz w:val="24"/>
          <w:szCs w:val="24"/>
        </w:rPr>
      </w:pPr>
      <w:r w:rsidRPr="009C51C5">
        <w:rPr>
          <w:sz w:val="24"/>
          <w:szCs w:val="24"/>
        </w:rPr>
        <w:t>17 dotyczyło gospodarki wodno-ściekowej,</w:t>
      </w:r>
    </w:p>
    <w:p w14:paraId="0DC36704" w14:textId="19370D84" w:rsidR="00771773" w:rsidRPr="009C51C5" w:rsidRDefault="00771773" w:rsidP="00D34F97">
      <w:pPr>
        <w:pStyle w:val="Akapitzlist"/>
        <w:numPr>
          <w:ilvl w:val="0"/>
          <w:numId w:val="257"/>
        </w:numPr>
        <w:spacing w:line="300" w:lineRule="atLeast"/>
        <w:jc w:val="both"/>
        <w:rPr>
          <w:sz w:val="24"/>
          <w:szCs w:val="24"/>
        </w:rPr>
      </w:pPr>
      <w:r w:rsidRPr="009C51C5">
        <w:rPr>
          <w:sz w:val="24"/>
          <w:szCs w:val="24"/>
        </w:rPr>
        <w:t>3 kontrole związane z uciążliwością hałasową,</w:t>
      </w:r>
    </w:p>
    <w:p w14:paraId="1C53C5F1" w14:textId="6B37DA8E" w:rsidR="00771773" w:rsidRPr="009C51C5" w:rsidRDefault="00771773" w:rsidP="00D34F97">
      <w:pPr>
        <w:pStyle w:val="Akapitzlist"/>
        <w:numPr>
          <w:ilvl w:val="0"/>
          <w:numId w:val="257"/>
        </w:numPr>
        <w:spacing w:line="300" w:lineRule="atLeast"/>
        <w:jc w:val="both"/>
        <w:rPr>
          <w:sz w:val="24"/>
          <w:szCs w:val="24"/>
        </w:rPr>
      </w:pPr>
      <w:r w:rsidRPr="009C51C5">
        <w:rPr>
          <w:sz w:val="24"/>
          <w:szCs w:val="24"/>
        </w:rPr>
        <w:t>2 działania dotyczyły uciążliwości zapachowych (powietrze).</w:t>
      </w:r>
    </w:p>
    <w:p w14:paraId="505C064B" w14:textId="58C862DC" w:rsidR="00771773" w:rsidRPr="00771773" w:rsidRDefault="00771773" w:rsidP="00771773">
      <w:pPr>
        <w:spacing w:line="300" w:lineRule="atLeast"/>
        <w:contextualSpacing/>
        <w:jc w:val="both"/>
        <w:rPr>
          <w:rFonts w:ascii="Times New Roman" w:hAnsi="Times New Roman" w:cs="Times New Roman"/>
          <w:sz w:val="24"/>
          <w:szCs w:val="24"/>
        </w:rPr>
      </w:pPr>
      <w:r w:rsidRPr="00771773">
        <w:rPr>
          <w:rFonts w:ascii="Times New Roman" w:hAnsi="Times New Roman" w:cs="Times New Roman"/>
          <w:sz w:val="24"/>
          <w:szCs w:val="24"/>
        </w:rPr>
        <w:t xml:space="preserve">34 razy zarekomendowano o prowadzenie dalszych działań w ramach kontroli w terenie </w:t>
      </w:r>
      <w:r w:rsidR="009C51C5">
        <w:rPr>
          <w:rFonts w:ascii="Times New Roman" w:hAnsi="Times New Roman" w:cs="Times New Roman"/>
          <w:sz w:val="24"/>
          <w:szCs w:val="24"/>
        </w:rPr>
        <w:br/>
      </w:r>
      <w:r w:rsidRPr="00771773">
        <w:rPr>
          <w:rFonts w:ascii="Times New Roman" w:hAnsi="Times New Roman" w:cs="Times New Roman"/>
          <w:sz w:val="24"/>
          <w:szCs w:val="24"/>
        </w:rPr>
        <w:t>z ustalonym podmiotem.</w:t>
      </w:r>
    </w:p>
    <w:p w14:paraId="0BEB8C02" w14:textId="014F8EAA" w:rsidR="00771773" w:rsidRPr="00771773" w:rsidRDefault="00771773" w:rsidP="000B4968">
      <w:pPr>
        <w:spacing w:line="300" w:lineRule="atLeast"/>
        <w:ind w:firstLine="567"/>
        <w:contextualSpacing/>
        <w:jc w:val="both"/>
        <w:rPr>
          <w:rFonts w:ascii="Times New Roman" w:hAnsi="Times New Roman" w:cs="Times New Roman"/>
          <w:sz w:val="24"/>
          <w:szCs w:val="24"/>
        </w:rPr>
      </w:pPr>
      <w:r w:rsidRPr="00771773">
        <w:rPr>
          <w:rFonts w:ascii="Times New Roman" w:hAnsi="Times New Roman" w:cs="Times New Roman"/>
          <w:sz w:val="24"/>
          <w:szCs w:val="24"/>
        </w:rPr>
        <w:t>Były to sprawy o oddziaływaniu lokalnym</w:t>
      </w:r>
      <w:r w:rsidR="009C51C5">
        <w:rPr>
          <w:rFonts w:ascii="Times New Roman" w:hAnsi="Times New Roman" w:cs="Times New Roman"/>
          <w:sz w:val="24"/>
          <w:szCs w:val="24"/>
        </w:rPr>
        <w:t>:</w:t>
      </w:r>
      <w:r w:rsidRPr="00771773">
        <w:rPr>
          <w:rFonts w:ascii="Times New Roman" w:hAnsi="Times New Roman" w:cs="Times New Roman"/>
          <w:sz w:val="24"/>
          <w:szCs w:val="24"/>
        </w:rPr>
        <w:t xml:space="preserve"> nieprawidłowe postępowanie z odpadami, demontaż pojazdów, podejrzenie spalania lub zakopywania odpadów lub wylewania nieczystości płynnych.</w:t>
      </w:r>
    </w:p>
    <w:p w14:paraId="6666E3FE" w14:textId="77777777" w:rsidR="00771773" w:rsidRPr="00771773" w:rsidRDefault="00771773" w:rsidP="00771773">
      <w:pPr>
        <w:spacing w:line="300" w:lineRule="atLeast"/>
        <w:contextualSpacing/>
        <w:jc w:val="both"/>
        <w:rPr>
          <w:rFonts w:ascii="Times New Roman" w:hAnsi="Times New Roman" w:cs="Times New Roman"/>
          <w:i/>
          <w:sz w:val="24"/>
          <w:szCs w:val="24"/>
        </w:rPr>
      </w:pPr>
    </w:p>
    <w:p w14:paraId="14457B1E" w14:textId="77777777" w:rsidR="00771773" w:rsidRPr="00771773" w:rsidRDefault="00771773" w:rsidP="00771773">
      <w:pPr>
        <w:spacing w:line="300" w:lineRule="atLeast"/>
        <w:contextualSpacing/>
        <w:jc w:val="both"/>
        <w:rPr>
          <w:rFonts w:ascii="Times New Roman" w:hAnsi="Times New Roman" w:cs="Times New Roman"/>
          <w:i/>
          <w:color w:val="4472C4"/>
          <w:sz w:val="24"/>
          <w:szCs w:val="24"/>
        </w:rPr>
      </w:pPr>
      <w:r w:rsidRPr="00771773">
        <w:rPr>
          <w:rFonts w:ascii="Times New Roman" w:hAnsi="Times New Roman" w:cs="Times New Roman"/>
          <w:i/>
          <w:color w:val="4472C4"/>
          <w:sz w:val="24"/>
          <w:szCs w:val="24"/>
        </w:rPr>
        <w:t>Wojewódzki Inspektorat Ochrony Środowiska w Bydgoszczy</w:t>
      </w:r>
    </w:p>
    <w:p w14:paraId="4890DA55" w14:textId="27C12B4F" w:rsidR="00771773" w:rsidRPr="00771773" w:rsidRDefault="00771773" w:rsidP="000B4968">
      <w:pPr>
        <w:spacing w:line="300" w:lineRule="atLeast"/>
        <w:ind w:firstLine="567"/>
        <w:contextualSpacing/>
        <w:jc w:val="both"/>
        <w:rPr>
          <w:rFonts w:ascii="Times New Roman" w:hAnsi="Times New Roman" w:cs="Times New Roman"/>
          <w:iCs/>
          <w:sz w:val="24"/>
          <w:szCs w:val="24"/>
        </w:rPr>
      </w:pPr>
      <w:r w:rsidRPr="00771773">
        <w:rPr>
          <w:rFonts w:ascii="Times New Roman" w:hAnsi="Times New Roman" w:cs="Times New Roman"/>
          <w:iCs/>
          <w:sz w:val="24"/>
          <w:szCs w:val="24"/>
        </w:rPr>
        <w:t xml:space="preserve">W 2022 r. do najczęściej realizowanych czynności na podstawie art. 10b ustawy IOŚ należały oględziny, żądania ustnych i pisemnych informacji oraz przesłuchania. Czynności </w:t>
      </w:r>
      <w:r w:rsidR="00AA5C82">
        <w:rPr>
          <w:rFonts w:ascii="Times New Roman" w:hAnsi="Times New Roman" w:cs="Times New Roman"/>
          <w:iCs/>
          <w:sz w:val="24"/>
          <w:szCs w:val="24"/>
        </w:rPr>
        <w:br/>
      </w:r>
      <w:r w:rsidRPr="00771773">
        <w:rPr>
          <w:rFonts w:ascii="Times New Roman" w:hAnsi="Times New Roman" w:cs="Times New Roman"/>
          <w:iCs/>
          <w:sz w:val="24"/>
          <w:szCs w:val="24"/>
        </w:rPr>
        <w:t>w tym trybie wykonywano głównie w zakresie gospodarki odpadami,  gospodarki wodno-ściekowej oraz ochrony powietrza atmosferycznego.</w:t>
      </w:r>
    </w:p>
    <w:p w14:paraId="7814BDB3" w14:textId="51C1A7F0" w:rsidR="00771773" w:rsidRPr="00771773" w:rsidRDefault="00771773" w:rsidP="000B4968">
      <w:pPr>
        <w:spacing w:line="300" w:lineRule="atLeast"/>
        <w:ind w:firstLine="567"/>
        <w:contextualSpacing/>
        <w:jc w:val="both"/>
        <w:rPr>
          <w:rFonts w:ascii="Times New Roman" w:hAnsi="Times New Roman" w:cs="Times New Roman"/>
          <w:iCs/>
          <w:sz w:val="24"/>
          <w:szCs w:val="24"/>
        </w:rPr>
      </w:pPr>
      <w:r w:rsidRPr="00771773">
        <w:rPr>
          <w:rFonts w:ascii="Times New Roman" w:hAnsi="Times New Roman" w:cs="Times New Roman"/>
          <w:iCs/>
          <w:sz w:val="24"/>
          <w:szCs w:val="24"/>
        </w:rPr>
        <w:t>W wielu przypadkach czynności w trybie art. 10b są pierwszymi czynnościami wykonywanymi po otrzymaniu zgłoszenia dot</w:t>
      </w:r>
      <w:r w:rsidR="00AA5C82">
        <w:rPr>
          <w:rFonts w:ascii="Times New Roman" w:hAnsi="Times New Roman" w:cs="Times New Roman"/>
          <w:iCs/>
          <w:sz w:val="24"/>
          <w:szCs w:val="24"/>
        </w:rPr>
        <w:t>yczącego</w:t>
      </w:r>
      <w:r w:rsidRPr="00771773">
        <w:rPr>
          <w:rFonts w:ascii="Times New Roman" w:hAnsi="Times New Roman" w:cs="Times New Roman"/>
          <w:iCs/>
          <w:sz w:val="24"/>
          <w:szCs w:val="24"/>
        </w:rPr>
        <w:t xml:space="preserve"> podejrzenia popełnienia przestępstwa lub wykroczenia przeciwko środowisku. W razie stwierdzenia takiej potrzeby, po przeprowadzaniu czynności i zebraniu materiału dowodowego przeprowadzana jest kontrola podmiotu, a następnie podejmowane są stosowne działania pokontrolne. </w:t>
      </w:r>
    </w:p>
    <w:p w14:paraId="4EBE7F87" w14:textId="77777777" w:rsidR="00771773" w:rsidRPr="00771773" w:rsidRDefault="00771773" w:rsidP="00771773">
      <w:pPr>
        <w:spacing w:line="300" w:lineRule="atLeast"/>
        <w:contextualSpacing/>
        <w:jc w:val="both"/>
        <w:rPr>
          <w:rFonts w:ascii="Times New Roman" w:hAnsi="Times New Roman" w:cs="Times New Roman"/>
          <w:i/>
          <w:color w:val="4472C4"/>
          <w:sz w:val="24"/>
          <w:szCs w:val="24"/>
        </w:rPr>
      </w:pPr>
    </w:p>
    <w:p w14:paraId="7D2F2F7D" w14:textId="77777777" w:rsidR="00771773" w:rsidRPr="00771773" w:rsidRDefault="00771773" w:rsidP="00AA5C82">
      <w:pPr>
        <w:spacing w:after="60" w:line="300" w:lineRule="atLeast"/>
        <w:jc w:val="both"/>
        <w:rPr>
          <w:rFonts w:ascii="Times New Roman" w:hAnsi="Times New Roman" w:cs="Times New Roman"/>
          <w:i/>
          <w:color w:val="4472C4"/>
          <w:sz w:val="24"/>
          <w:szCs w:val="24"/>
        </w:rPr>
      </w:pPr>
      <w:r w:rsidRPr="00771773">
        <w:rPr>
          <w:rFonts w:ascii="Times New Roman" w:hAnsi="Times New Roman" w:cs="Times New Roman"/>
          <w:i/>
          <w:color w:val="4472C4"/>
          <w:sz w:val="24"/>
          <w:szCs w:val="24"/>
        </w:rPr>
        <w:t>Wojewódzki Inspektorat Ochrony Środowiska w Gdańsku</w:t>
      </w:r>
    </w:p>
    <w:p w14:paraId="163DB943" w14:textId="2EAA2525" w:rsidR="00771773" w:rsidRPr="00771773" w:rsidRDefault="00771773" w:rsidP="000B4968">
      <w:pPr>
        <w:autoSpaceDE w:val="0"/>
        <w:autoSpaceDN w:val="0"/>
        <w:adjustRightInd w:val="0"/>
        <w:spacing w:line="300" w:lineRule="atLeast"/>
        <w:ind w:firstLine="567"/>
        <w:contextualSpacing/>
        <w:jc w:val="both"/>
        <w:rPr>
          <w:rFonts w:ascii="Times New Roman" w:hAnsi="Times New Roman" w:cs="Times New Roman"/>
          <w:sz w:val="24"/>
          <w:szCs w:val="24"/>
        </w:rPr>
      </w:pPr>
      <w:r w:rsidRPr="00771773">
        <w:rPr>
          <w:rFonts w:ascii="Times New Roman" w:hAnsi="Times New Roman" w:cs="Times New Roman"/>
          <w:sz w:val="24"/>
          <w:szCs w:val="24"/>
        </w:rPr>
        <w:t xml:space="preserve">Ze względu na dużą ilość interwencji wpływających do WIOŚ w Gdańsku, czynności </w:t>
      </w:r>
      <w:r w:rsidR="00AA5C82">
        <w:rPr>
          <w:rFonts w:ascii="Times New Roman" w:hAnsi="Times New Roman" w:cs="Times New Roman"/>
          <w:sz w:val="24"/>
          <w:szCs w:val="24"/>
        </w:rPr>
        <w:br/>
      </w:r>
      <w:r w:rsidRPr="00771773">
        <w:rPr>
          <w:rFonts w:ascii="Times New Roman" w:hAnsi="Times New Roman" w:cs="Times New Roman"/>
          <w:sz w:val="24"/>
          <w:szCs w:val="24"/>
        </w:rPr>
        <w:t>z art. 10b są podejmowane przede wszystkim w wyniku otrzymanych wniosków o interwencję. W zdecydowanej większości przypadków czynności dotyczyły podejrzenia popełnienia wykroczenia z ustawy o odpadach (głównie art. 171) lub przestępstwa z art. 183 §1 kk.</w:t>
      </w:r>
    </w:p>
    <w:p w14:paraId="58F8F3B7" w14:textId="77777777" w:rsidR="00771773" w:rsidRPr="00771773" w:rsidRDefault="00771773" w:rsidP="00771773">
      <w:pPr>
        <w:spacing w:line="300" w:lineRule="atLeast"/>
        <w:contextualSpacing/>
        <w:jc w:val="both"/>
        <w:rPr>
          <w:rFonts w:ascii="Times New Roman" w:hAnsi="Times New Roman" w:cs="Times New Roman"/>
          <w:i/>
          <w:color w:val="4472C4"/>
          <w:sz w:val="24"/>
          <w:szCs w:val="24"/>
        </w:rPr>
      </w:pPr>
    </w:p>
    <w:p w14:paraId="61AA8C0B" w14:textId="77777777" w:rsidR="00771773" w:rsidRPr="00771773" w:rsidRDefault="00771773" w:rsidP="00AA5C82">
      <w:pPr>
        <w:spacing w:after="60" w:line="300" w:lineRule="atLeast"/>
        <w:jc w:val="both"/>
        <w:rPr>
          <w:rFonts w:ascii="Times New Roman" w:hAnsi="Times New Roman" w:cs="Times New Roman"/>
          <w:i/>
          <w:color w:val="4472C4"/>
          <w:sz w:val="24"/>
          <w:szCs w:val="24"/>
        </w:rPr>
      </w:pPr>
      <w:r w:rsidRPr="00771773">
        <w:rPr>
          <w:rFonts w:ascii="Times New Roman" w:hAnsi="Times New Roman" w:cs="Times New Roman"/>
          <w:i/>
          <w:color w:val="4472C4"/>
          <w:sz w:val="24"/>
          <w:szCs w:val="24"/>
        </w:rPr>
        <w:t>Wojewódzki Inspektorat Ochrony Środowiska w Katowicach</w:t>
      </w:r>
    </w:p>
    <w:p w14:paraId="66CB76A8" w14:textId="77777777" w:rsidR="00771773" w:rsidRPr="00771773" w:rsidRDefault="00771773" w:rsidP="000B4968">
      <w:pPr>
        <w:spacing w:after="60" w:line="300" w:lineRule="atLeast"/>
        <w:ind w:firstLine="567"/>
        <w:jc w:val="both"/>
        <w:rPr>
          <w:rFonts w:ascii="Times New Roman" w:hAnsi="Times New Roman" w:cs="Times New Roman"/>
          <w:sz w:val="24"/>
          <w:szCs w:val="24"/>
        </w:rPr>
      </w:pPr>
      <w:r w:rsidRPr="00771773">
        <w:rPr>
          <w:rFonts w:ascii="Times New Roman" w:hAnsi="Times New Roman" w:cs="Times New Roman"/>
          <w:sz w:val="24"/>
          <w:szCs w:val="24"/>
        </w:rPr>
        <w:t>W ramach zadań priorytetowych realizowanych przez WIOŚ Katowice w tym Inspektoratu wchodzą działania związane z:</w:t>
      </w:r>
    </w:p>
    <w:p w14:paraId="2694041E" w14:textId="77777777" w:rsidR="00771773" w:rsidRPr="00771773" w:rsidRDefault="00771773" w:rsidP="00D34F97">
      <w:pPr>
        <w:pStyle w:val="Akapitzlist"/>
        <w:numPr>
          <w:ilvl w:val="0"/>
          <w:numId w:val="253"/>
        </w:numPr>
        <w:spacing w:line="300" w:lineRule="atLeast"/>
        <w:ind w:left="641" w:hanging="357"/>
        <w:jc w:val="both"/>
        <w:rPr>
          <w:sz w:val="24"/>
          <w:szCs w:val="24"/>
        </w:rPr>
      </w:pPr>
      <w:r w:rsidRPr="00771773">
        <w:rPr>
          <w:sz w:val="24"/>
          <w:szCs w:val="24"/>
        </w:rPr>
        <w:t xml:space="preserve">rozpoznaniem zanieczyszczeń wynikających z interwencji kierowanych bezpośrednio na całodobowy telefon interwencyjny – 736 </w:t>
      </w:r>
      <w:proofErr w:type="spellStart"/>
      <w:r w:rsidRPr="00771773">
        <w:rPr>
          <w:sz w:val="24"/>
          <w:szCs w:val="24"/>
        </w:rPr>
        <w:t>rozpoznań</w:t>
      </w:r>
      <w:proofErr w:type="spellEnd"/>
      <w:r w:rsidRPr="00771773">
        <w:rPr>
          <w:sz w:val="24"/>
          <w:szCs w:val="24"/>
        </w:rPr>
        <w:t>, w tym 469 prowadzonych wyłącznie przez Wydział Zwalczania Przestępstw Środowiskowych,</w:t>
      </w:r>
    </w:p>
    <w:p w14:paraId="176EBAC2" w14:textId="77777777" w:rsidR="00771773" w:rsidRPr="00771773" w:rsidRDefault="00771773" w:rsidP="00D34F97">
      <w:pPr>
        <w:pStyle w:val="Akapitzlist"/>
        <w:numPr>
          <w:ilvl w:val="0"/>
          <w:numId w:val="253"/>
        </w:numPr>
        <w:spacing w:line="300" w:lineRule="atLeast"/>
        <w:ind w:left="641" w:hanging="357"/>
        <w:jc w:val="both"/>
        <w:rPr>
          <w:sz w:val="24"/>
          <w:szCs w:val="24"/>
        </w:rPr>
      </w:pPr>
      <w:r w:rsidRPr="00771773">
        <w:rPr>
          <w:sz w:val="24"/>
          <w:szCs w:val="24"/>
        </w:rPr>
        <w:t>kontrolami interwencyjnymi, prowadzonymi przez Wydział Zwalczania Przestępstw Środowiskowych, wpływającymi drogą elektroniczną lub pocztową na adres Inspektoratu – 104 kontroli,</w:t>
      </w:r>
    </w:p>
    <w:p w14:paraId="0DFF5F60" w14:textId="7951DB1B" w:rsidR="00771773" w:rsidRPr="00771773" w:rsidRDefault="00771773" w:rsidP="00D34F97">
      <w:pPr>
        <w:pStyle w:val="Akapitzlist"/>
        <w:numPr>
          <w:ilvl w:val="0"/>
          <w:numId w:val="253"/>
        </w:numPr>
        <w:spacing w:line="300" w:lineRule="atLeast"/>
        <w:ind w:left="641" w:hanging="357"/>
        <w:jc w:val="both"/>
        <w:rPr>
          <w:sz w:val="24"/>
          <w:szCs w:val="24"/>
        </w:rPr>
      </w:pPr>
      <w:r w:rsidRPr="00771773">
        <w:rPr>
          <w:sz w:val="24"/>
          <w:szCs w:val="24"/>
        </w:rPr>
        <w:t>kontrolami transportów drogowych we współudziale z jednostkami policji, straży granicznej oraz Inspekcji Transportu Drogowego –  35 kontroli</w:t>
      </w:r>
      <w:r w:rsidR="00AA5C82">
        <w:rPr>
          <w:sz w:val="24"/>
          <w:szCs w:val="24"/>
          <w:lang w:val="pl-PL"/>
        </w:rPr>
        <w:t>,</w:t>
      </w:r>
      <w:r w:rsidRPr="00771773">
        <w:rPr>
          <w:sz w:val="24"/>
          <w:szCs w:val="24"/>
        </w:rPr>
        <w:t xml:space="preserve"> w trakcie których przeprowadzono kontrolę 73 pojazdów,</w:t>
      </w:r>
    </w:p>
    <w:p w14:paraId="18FA9083" w14:textId="77777777" w:rsidR="00771773" w:rsidRPr="00771773" w:rsidRDefault="00771773" w:rsidP="00D34F97">
      <w:pPr>
        <w:pStyle w:val="Akapitzlist"/>
        <w:numPr>
          <w:ilvl w:val="0"/>
          <w:numId w:val="253"/>
        </w:numPr>
        <w:spacing w:line="300" w:lineRule="atLeast"/>
        <w:ind w:left="641" w:hanging="357"/>
        <w:jc w:val="both"/>
        <w:rPr>
          <w:sz w:val="24"/>
          <w:szCs w:val="24"/>
        </w:rPr>
      </w:pPr>
      <w:r w:rsidRPr="00771773">
        <w:rPr>
          <w:sz w:val="24"/>
          <w:szCs w:val="24"/>
        </w:rPr>
        <w:t>kontrolami podmiotów ubiegających się o wydanie zezwoleń na zbieranie lub przetwarzanie w związku z przepisami art.41a ustawy o odpadach,</w:t>
      </w:r>
    </w:p>
    <w:p w14:paraId="5F86B2A0" w14:textId="77777777" w:rsidR="00771773" w:rsidRPr="00771773" w:rsidRDefault="00771773" w:rsidP="00D34F97">
      <w:pPr>
        <w:pStyle w:val="Akapitzlist"/>
        <w:numPr>
          <w:ilvl w:val="0"/>
          <w:numId w:val="253"/>
        </w:numPr>
        <w:spacing w:line="300" w:lineRule="atLeast"/>
        <w:ind w:left="641" w:hanging="357"/>
        <w:jc w:val="both"/>
        <w:rPr>
          <w:sz w:val="24"/>
          <w:szCs w:val="24"/>
        </w:rPr>
      </w:pPr>
      <w:r w:rsidRPr="00771773">
        <w:rPr>
          <w:sz w:val="24"/>
          <w:szCs w:val="24"/>
        </w:rPr>
        <w:t>udziałem w działaniach policji jako jednostka wspomagająca,</w:t>
      </w:r>
    </w:p>
    <w:p w14:paraId="4D7F9770" w14:textId="77777777" w:rsidR="00771773" w:rsidRPr="00771773" w:rsidRDefault="00771773" w:rsidP="000B4968">
      <w:pPr>
        <w:pStyle w:val="Akapitzlist"/>
        <w:numPr>
          <w:ilvl w:val="0"/>
          <w:numId w:val="253"/>
        </w:numPr>
        <w:spacing w:line="300" w:lineRule="atLeast"/>
        <w:ind w:left="641" w:hanging="357"/>
        <w:contextualSpacing w:val="0"/>
        <w:jc w:val="both"/>
        <w:rPr>
          <w:sz w:val="24"/>
          <w:szCs w:val="24"/>
        </w:rPr>
      </w:pPr>
      <w:r w:rsidRPr="00771773">
        <w:rPr>
          <w:sz w:val="24"/>
          <w:szCs w:val="24"/>
        </w:rPr>
        <w:t>udział w postępowaniach policji prowadzonych na zlecenie prokuratorów.</w:t>
      </w:r>
    </w:p>
    <w:p w14:paraId="0BE6A041" w14:textId="77777777" w:rsidR="00AA5C82" w:rsidRPr="00771773" w:rsidRDefault="00AA5C82" w:rsidP="00771773">
      <w:pPr>
        <w:spacing w:line="300" w:lineRule="atLeast"/>
        <w:contextualSpacing/>
        <w:jc w:val="both"/>
        <w:rPr>
          <w:rFonts w:ascii="Times New Roman" w:hAnsi="Times New Roman" w:cs="Times New Roman"/>
          <w:i/>
          <w:color w:val="4472C4"/>
          <w:sz w:val="24"/>
          <w:szCs w:val="24"/>
        </w:rPr>
      </w:pPr>
    </w:p>
    <w:p w14:paraId="12BB71A3" w14:textId="77777777" w:rsidR="00771773" w:rsidRPr="00771773" w:rsidRDefault="00771773" w:rsidP="00AA5C82">
      <w:pPr>
        <w:spacing w:after="60" w:line="300" w:lineRule="atLeast"/>
        <w:jc w:val="both"/>
        <w:rPr>
          <w:rFonts w:ascii="Times New Roman" w:hAnsi="Times New Roman" w:cs="Times New Roman"/>
          <w:i/>
          <w:color w:val="4472C4"/>
          <w:sz w:val="24"/>
          <w:szCs w:val="24"/>
        </w:rPr>
      </w:pPr>
      <w:r w:rsidRPr="00771773">
        <w:rPr>
          <w:rFonts w:ascii="Times New Roman" w:hAnsi="Times New Roman" w:cs="Times New Roman"/>
          <w:i/>
          <w:color w:val="4472C4"/>
          <w:sz w:val="24"/>
          <w:szCs w:val="24"/>
        </w:rPr>
        <w:t>Wojewódzki Inspektorat Ochrony Środowiska w Kielcach</w:t>
      </w:r>
    </w:p>
    <w:p w14:paraId="3C032E5E" w14:textId="77777777" w:rsidR="00771773" w:rsidRPr="00771773" w:rsidRDefault="00771773" w:rsidP="006B1861">
      <w:pPr>
        <w:spacing w:line="300" w:lineRule="atLeast"/>
        <w:ind w:firstLine="567"/>
        <w:contextualSpacing/>
        <w:jc w:val="both"/>
        <w:rPr>
          <w:rFonts w:ascii="Times New Roman" w:hAnsi="Times New Roman" w:cs="Times New Roman"/>
          <w:sz w:val="24"/>
          <w:szCs w:val="24"/>
          <w:lang w:eastAsia="x-none"/>
        </w:rPr>
      </w:pPr>
      <w:r w:rsidRPr="00771773">
        <w:rPr>
          <w:rFonts w:ascii="Times New Roman" w:hAnsi="Times New Roman" w:cs="Times New Roman"/>
          <w:sz w:val="24"/>
          <w:szCs w:val="24"/>
          <w:lang w:eastAsia="x-none"/>
        </w:rPr>
        <w:t>W 2022 r. WZPŚ (wcześniej Dział do Walki z Szarą Strefą) przeprowadził łącznie 130 kontroli, w tym 13 kontroli drogowych, 92 kontrole bez ustalonego podmiotu (rozpoznania zanieczyszczeń pod kątem porzucania odpadów, w tym na terenie wyrobisk), 21 kontroli pozaplanowych, interwencyjnych (nielegalny demontaż pojazdów, zbieranie / przetwarzanie odpadów bez wymaganego zezwolenia lub z naruszeniem warunków, spalanie, zakopywanie odpadów) oraz 4 kontrole planowe w zakresie gospodarki odpadami.</w:t>
      </w:r>
    </w:p>
    <w:p w14:paraId="61168FCF" w14:textId="77777777" w:rsidR="00771773" w:rsidRPr="00771773" w:rsidRDefault="00771773" w:rsidP="00771773">
      <w:pPr>
        <w:spacing w:line="300" w:lineRule="atLeast"/>
        <w:contextualSpacing/>
        <w:jc w:val="both"/>
        <w:rPr>
          <w:rFonts w:ascii="Times New Roman" w:hAnsi="Times New Roman" w:cs="Times New Roman"/>
          <w:i/>
          <w:color w:val="4472C4"/>
          <w:sz w:val="24"/>
          <w:szCs w:val="24"/>
        </w:rPr>
      </w:pPr>
    </w:p>
    <w:p w14:paraId="3997D2DD" w14:textId="77777777" w:rsidR="00771773" w:rsidRPr="00771773" w:rsidRDefault="00771773" w:rsidP="00AA5C82">
      <w:pPr>
        <w:spacing w:after="60" w:line="300" w:lineRule="atLeast"/>
        <w:jc w:val="both"/>
        <w:rPr>
          <w:rFonts w:ascii="Times New Roman" w:hAnsi="Times New Roman" w:cs="Times New Roman"/>
          <w:i/>
          <w:color w:val="4472C4"/>
          <w:sz w:val="24"/>
          <w:szCs w:val="24"/>
        </w:rPr>
      </w:pPr>
      <w:r w:rsidRPr="00771773">
        <w:rPr>
          <w:rFonts w:ascii="Times New Roman" w:hAnsi="Times New Roman" w:cs="Times New Roman"/>
          <w:i/>
          <w:color w:val="4472C4"/>
          <w:sz w:val="24"/>
          <w:szCs w:val="24"/>
        </w:rPr>
        <w:t>Wojewódzki Inspektorat Ochrony Środowiska w Krakowie</w:t>
      </w:r>
    </w:p>
    <w:p w14:paraId="3724D18C" w14:textId="77777777" w:rsidR="006B1861" w:rsidRDefault="00AA5C82" w:rsidP="000B4968">
      <w:pPr>
        <w:autoSpaceDE w:val="0"/>
        <w:autoSpaceDN w:val="0"/>
        <w:adjustRightInd w:val="0"/>
        <w:spacing w:line="300" w:lineRule="atLeast"/>
        <w:ind w:firstLine="567"/>
        <w:contextualSpacing/>
        <w:jc w:val="both"/>
        <w:rPr>
          <w:rFonts w:ascii="Times New Roman" w:hAnsi="Times New Roman" w:cs="Times New Roman"/>
          <w:sz w:val="24"/>
          <w:szCs w:val="24"/>
        </w:rPr>
      </w:pPr>
      <w:r w:rsidRPr="00AA5C82">
        <w:rPr>
          <w:rFonts w:ascii="Times New Roman" w:hAnsi="Times New Roman" w:cs="Times New Roman"/>
          <w:sz w:val="24"/>
          <w:szCs w:val="24"/>
        </w:rPr>
        <w:t xml:space="preserve">W 2022 roku czynności przeprowadzone w trybie art. 10b ustawy o Inspekcji Ochrony Środowiska dotyczyły głownie gospodarowania odpadami (188 czynności). Pozostałe czynności zostały przeprowadzone w zakresie ochrony powietrza (5 czynności), gospodarki wodno-ściekowej (37 czynności). </w:t>
      </w:r>
    </w:p>
    <w:p w14:paraId="108139E3" w14:textId="1A87AC32" w:rsidR="00771773" w:rsidRPr="00AA5C82" w:rsidRDefault="00AA5C82" w:rsidP="006B1861">
      <w:pPr>
        <w:autoSpaceDE w:val="0"/>
        <w:autoSpaceDN w:val="0"/>
        <w:adjustRightInd w:val="0"/>
        <w:spacing w:line="300" w:lineRule="atLeast"/>
        <w:ind w:firstLine="567"/>
        <w:contextualSpacing/>
        <w:jc w:val="both"/>
        <w:rPr>
          <w:rFonts w:ascii="Times New Roman" w:hAnsi="Times New Roman" w:cs="Times New Roman"/>
          <w:sz w:val="24"/>
          <w:szCs w:val="24"/>
        </w:rPr>
      </w:pPr>
      <w:r w:rsidRPr="00AA5C82">
        <w:rPr>
          <w:rFonts w:ascii="Times New Roman" w:hAnsi="Times New Roman" w:cs="Times New Roman"/>
          <w:sz w:val="24"/>
          <w:szCs w:val="24"/>
        </w:rPr>
        <w:t xml:space="preserve">Przeprowadzone czynności miały na celu szybkie rozpoznanie zgłoszonej sprawy </w:t>
      </w:r>
      <w:r w:rsidR="006B1861">
        <w:rPr>
          <w:rFonts w:ascii="Times New Roman" w:hAnsi="Times New Roman" w:cs="Times New Roman"/>
          <w:sz w:val="24"/>
          <w:szCs w:val="24"/>
        </w:rPr>
        <w:br/>
      </w:r>
      <w:r w:rsidRPr="00AA5C82">
        <w:rPr>
          <w:rFonts w:ascii="Times New Roman" w:hAnsi="Times New Roman" w:cs="Times New Roman"/>
          <w:sz w:val="24"/>
          <w:szCs w:val="24"/>
        </w:rPr>
        <w:t>i związane były one głównie ze zgłoszeniami związanymi z nieprawidłowym gospodarowaniem odpadami, zanieczyszczeniem środowiska wodnego, spalania odpadów oraz przeciwdziałaniem uciążliwościom zapachowym</w:t>
      </w:r>
      <w:r w:rsidR="00771773" w:rsidRPr="00AA5C82">
        <w:rPr>
          <w:rFonts w:ascii="Times New Roman" w:hAnsi="Times New Roman" w:cs="Times New Roman"/>
          <w:sz w:val="24"/>
          <w:szCs w:val="24"/>
        </w:rPr>
        <w:t>.</w:t>
      </w:r>
    </w:p>
    <w:p w14:paraId="48966586" w14:textId="77777777" w:rsidR="00771773" w:rsidRPr="00771773" w:rsidRDefault="00771773" w:rsidP="00771773">
      <w:pPr>
        <w:spacing w:line="300" w:lineRule="atLeast"/>
        <w:contextualSpacing/>
        <w:jc w:val="both"/>
        <w:rPr>
          <w:rFonts w:ascii="Times New Roman" w:hAnsi="Times New Roman" w:cs="Times New Roman"/>
          <w:i/>
          <w:color w:val="4472C4"/>
          <w:sz w:val="24"/>
          <w:szCs w:val="24"/>
        </w:rPr>
      </w:pPr>
    </w:p>
    <w:p w14:paraId="4CC19807" w14:textId="77777777" w:rsidR="00771773" w:rsidRPr="00771773" w:rsidRDefault="00771773" w:rsidP="006B1861">
      <w:pPr>
        <w:spacing w:after="60" w:line="300" w:lineRule="atLeast"/>
        <w:jc w:val="both"/>
        <w:rPr>
          <w:rFonts w:ascii="Times New Roman" w:hAnsi="Times New Roman" w:cs="Times New Roman"/>
          <w:i/>
          <w:color w:val="4472C4"/>
          <w:sz w:val="24"/>
          <w:szCs w:val="24"/>
        </w:rPr>
      </w:pPr>
      <w:r w:rsidRPr="00771773">
        <w:rPr>
          <w:rFonts w:ascii="Times New Roman" w:hAnsi="Times New Roman" w:cs="Times New Roman"/>
          <w:i/>
          <w:color w:val="4472C4"/>
          <w:sz w:val="24"/>
          <w:szCs w:val="24"/>
        </w:rPr>
        <w:t>Wojewódzki Inspektorat Ochrony Środowiska w Lublinie</w:t>
      </w:r>
    </w:p>
    <w:p w14:paraId="39F20FEC" w14:textId="77777777" w:rsidR="00771773" w:rsidRPr="00771773" w:rsidRDefault="00771773" w:rsidP="000B4968">
      <w:pPr>
        <w:spacing w:line="300" w:lineRule="atLeast"/>
        <w:ind w:firstLine="567"/>
        <w:contextualSpacing/>
        <w:jc w:val="both"/>
        <w:rPr>
          <w:rFonts w:ascii="Times New Roman" w:hAnsi="Times New Roman" w:cs="Times New Roman"/>
          <w:sz w:val="24"/>
          <w:szCs w:val="24"/>
        </w:rPr>
      </w:pPr>
      <w:r w:rsidRPr="00771773">
        <w:rPr>
          <w:rFonts w:ascii="Times New Roman" w:hAnsi="Times New Roman" w:cs="Times New Roman"/>
          <w:sz w:val="24"/>
          <w:szCs w:val="24"/>
        </w:rPr>
        <w:t xml:space="preserve">Przeważająca część działań z art. 10b była prowadzona z zakresu gospodarki odpadami (24). Czynności dotyczyły m.in. niedostarczenia odpadów na wskazane miejsce, </w:t>
      </w:r>
      <w:r w:rsidRPr="00771773">
        <w:rPr>
          <w:rFonts w:ascii="Times New Roman" w:hAnsi="Times New Roman" w:cs="Times New Roman"/>
          <w:sz w:val="24"/>
          <w:szCs w:val="24"/>
        </w:rPr>
        <w:lastRenderedPageBreak/>
        <w:t xml:space="preserve">zanieczyszczenia terenu odpadami, porzucenia opadów, podejrzenia nielegalnego demontażu pojazdów. 3 czynności prowadzono z zakresu ochrony powietrza. Prowadzono obserwację emitorów w związku ze zgłoszonym nadmiernym dymieniem i podejrzeniem spalania niedozwolonych paliw. Z zakresu wody i ścieków przeprowadzono 1 czynność w kierunku zanieczyszczenia wód powierzchniowych rzeki Wisły przez zakład. </w:t>
      </w:r>
    </w:p>
    <w:p w14:paraId="1659A03C" w14:textId="77777777" w:rsidR="00771773" w:rsidRPr="00771773" w:rsidRDefault="00771773" w:rsidP="00771773">
      <w:pPr>
        <w:spacing w:line="300" w:lineRule="atLeast"/>
        <w:contextualSpacing/>
        <w:jc w:val="both"/>
        <w:rPr>
          <w:rFonts w:ascii="Times New Roman" w:hAnsi="Times New Roman" w:cs="Times New Roman"/>
          <w:i/>
          <w:color w:val="4472C4"/>
          <w:sz w:val="24"/>
          <w:szCs w:val="24"/>
        </w:rPr>
      </w:pPr>
      <w:r w:rsidRPr="00771773">
        <w:rPr>
          <w:rFonts w:ascii="Times New Roman" w:hAnsi="Times New Roman" w:cs="Times New Roman"/>
          <w:i/>
          <w:color w:val="4472C4"/>
          <w:sz w:val="24"/>
          <w:szCs w:val="24"/>
        </w:rPr>
        <w:t xml:space="preserve"> </w:t>
      </w:r>
    </w:p>
    <w:p w14:paraId="0764ECED" w14:textId="77777777" w:rsidR="00771773" w:rsidRPr="00771773" w:rsidRDefault="00771773" w:rsidP="006B1861">
      <w:pPr>
        <w:spacing w:after="60" w:line="300" w:lineRule="atLeast"/>
        <w:jc w:val="both"/>
        <w:rPr>
          <w:rFonts w:ascii="Times New Roman" w:hAnsi="Times New Roman" w:cs="Times New Roman"/>
          <w:i/>
          <w:color w:val="4472C4"/>
          <w:sz w:val="24"/>
          <w:szCs w:val="24"/>
        </w:rPr>
      </w:pPr>
      <w:r w:rsidRPr="00771773">
        <w:rPr>
          <w:rFonts w:ascii="Times New Roman" w:hAnsi="Times New Roman" w:cs="Times New Roman"/>
          <w:i/>
          <w:color w:val="4472C4"/>
          <w:sz w:val="24"/>
          <w:szCs w:val="24"/>
        </w:rPr>
        <w:t>Wojewódzki Inspektorat Ochrony Środowiska w Łodzi</w:t>
      </w:r>
    </w:p>
    <w:p w14:paraId="45E1EC61" w14:textId="77777777" w:rsidR="00771773" w:rsidRPr="00771773" w:rsidRDefault="00771773" w:rsidP="000B4968">
      <w:pPr>
        <w:spacing w:line="300" w:lineRule="atLeast"/>
        <w:ind w:firstLine="567"/>
        <w:contextualSpacing/>
        <w:jc w:val="both"/>
        <w:rPr>
          <w:rFonts w:ascii="Times New Roman" w:hAnsi="Times New Roman" w:cs="Times New Roman"/>
          <w:sz w:val="24"/>
          <w:szCs w:val="24"/>
        </w:rPr>
      </w:pPr>
      <w:r w:rsidRPr="00771773">
        <w:rPr>
          <w:rFonts w:ascii="Times New Roman" w:hAnsi="Times New Roman" w:cs="Times New Roman"/>
          <w:sz w:val="24"/>
          <w:szCs w:val="24"/>
        </w:rPr>
        <w:t xml:space="preserve">Działania kontrolne WIOŚ w zakresie ochrony środowiska prowadzone są w zakresie różnych komponentów. Do najczęściej podejmowanych zalicza się: gospodarowanie odpadami, działania w zakresie gospodarki wodno-ściekowej, ochronę powietrza przed zanieczyszczeniem. Kontrole prowadzono pod kątem sprawdzania, czy dana działalność wymagała uzyskania decyzji, jak również czy podmioty działają zgodnie z wymaganymi zezwoleniami/pozwoleniami (w przypadku gdy były wymagane) oraz przepisami prawnymi. </w:t>
      </w:r>
    </w:p>
    <w:p w14:paraId="07362C7E" w14:textId="77777777" w:rsidR="00771773" w:rsidRPr="00771773" w:rsidRDefault="00771773" w:rsidP="000B4968">
      <w:pPr>
        <w:spacing w:line="300" w:lineRule="atLeast"/>
        <w:ind w:firstLine="567"/>
        <w:contextualSpacing/>
        <w:jc w:val="both"/>
        <w:rPr>
          <w:rFonts w:ascii="Times New Roman" w:hAnsi="Times New Roman" w:cs="Times New Roman"/>
          <w:sz w:val="24"/>
          <w:szCs w:val="24"/>
        </w:rPr>
      </w:pPr>
      <w:r w:rsidRPr="00771773">
        <w:rPr>
          <w:rFonts w:ascii="Times New Roman" w:hAnsi="Times New Roman" w:cs="Times New Roman"/>
          <w:sz w:val="24"/>
          <w:szCs w:val="24"/>
        </w:rPr>
        <w:t xml:space="preserve">W zakresie zwalczania nielegalnej gospodarki odpadami w WIOŚ w Łodzi </w:t>
      </w:r>
      <w:r w:rsidRPr="00771773">
        <w:rPr>
          <w:rFonts w:ascii="Times New Roman" w:hAnsi="Times New Roman" w:cs="Times New Roman"/>
          <w:sz w:val="24"/>
          <w:szCs w:val="24"/>
        </w:rPr>
        <w:br/>
        <w:t xml:space="preserve">w ramach zawartych porozumień prowadzone są czynności kontrolne przy udziale funkcjonariuszy ITD, KAS, Policji. Współpraca ta zdecydowanie się zacieśniła </w:t>
      </w:r>
      <w:r w:rsidRPr="00771773">
        <w:rPr>
          <w:rFonts w:ascii="Times New Roman" w:hAnsi="Times New Roman" w:cs="Times New Roman"/>
          <w:sz w:val="24"/>
          <w:szCs w:val="24"/>
        </w:rPr>
        <w:br/>
        <w:t xml:space="preserve">w 2022 r.  </w:t>
      </w:r>
    </w:p>
    <w:p w14:paraId="44559CCA" w14:textId="33382DE2" w:rsidR="00771773" w:rsidRDefault="00771773" w:rsidP="00771773">
      <w:pPr>
        <w:spacing w:line="300" w:lineRule="atLeast"/>
        <w:contextualSpacing/>
        <w:jc w:val="both"/>
        <w:rPr>
          <w:rFonts w:ascii="Times New Roman" w:hAnsi="Times New Roman" w:cs="Times New Roman"/>
          <w:sz w:val="24"/>
          <w:szCs w:val="24"/>
        </w:rPr>
      </w:pPr>
    </w:p>
    <w:p w14:paraId="0D45033B" w14:textId="6A9DC3C1" w:rsidR="006B1861" w:rsidRDefault="006B1861" w:rsidP="00771773">
      <w:pPr>
        <w:spacing w:line="300" w:lineRule="atLeast"/>
        <w:contextualSpacing/>
        <w:jc w:val="both"/>
        <w:rPr>
          <w:rFonts w:ascii="Times New Roman" w:hAnsi="Times New Roman" w:cs="Times New Roman"/>
          <w:sz w:val="24"/>
          <w:szCs w:val="24"/>
        </w:rPr>
      </w:pPr>
    </w:p>
    <w:p w14:paraId="416BB24F" w14:textId="77777777" w:rsidR="005C08F4" w:rsidRPr="00771773" w:rsidRDefault="005C08F4" w:rsidP="00771773">
      <w:pPr>
        <w:spacing w:line="300" w:lineRule="atLeast"/>
        <w:contextualSpacing/>
        <w:jc w:val="both"/>
        <w:rPr>
          <w:rFonts w:ascii="Times New Roman" w:hAnsi="Times New Roman" w:cs="Times New Roman"/>
          <w:sz w:val="24"/>
          <w:szCs w:val="24"/>
        </w:rPr>
      </w:pPr>
    </w:p>
    <w:p w14:paraId="236CC202" w14:textId="77777777" w:rsidR="00771773" w:rsidRPr="00771773" w:rsidRDefault="00771773" w:rsidP="00452F7A">
      <w:pPr>
        <w:spacing w:after="60" w:line="300" w:lineRule="atLeast"/>
        <w:jc w:val="both"/>
        <w:rPr>
          <w:rFonts w:ascii="Times New Roman" w:hAnsi="Times New Roman" w:cs="Times New Roman"/>
          <w:i/>
          <w:color w:val="4472C4"/>
          <w:sz w:val="24"/>
          <w:szCs w:val="24"/>
        </w:rPr>
      </w:pPr>
      <w:r w:rsidRPr="00771773">
        <w:rPr>
          <w:rFonts w:ascii="Times New Roman" w:hAnsi="Times New Roman" w:cs="Times New Roman"/>
          <w:i/>
          <w:color w:val="4472C4"/>
          <w:sz w:val="24"/>
          <w:szCs w:val="24"/>
        </w:rPr>
        <w:t>Wojewódzki Inspektorat Ochrony Środowiska w Olsztynie</w:t>
      </w:r>
    </w:p>
    <w:p w14:paraId="4BA2F0C9" w14:textId="2060CD34" w:rsidR="00452F7A" w:rsidRPr="00452F7A" w:rsidRDefault="00452F7A" w:rsidP="000B4968">
      <w:pPr>
        <w:spacing w:after="0"/>
        <w:ind w:firstLine="567"/>
        <w:jc w:val="both"/>
        <w:rPr>
          <w:rFonts w:ascii="Times New Roman" w:hAnsi="Times New Roman" w:cs="Times New Roman"/>
          <w:iCs/>
          <w:sz w:val="24"/>
          <w:szCs w:val="24"/>
        </w:rPr>
      </w:pPr>
      <w:r w:rsidRPr="00452F7A">
        <w:rPr>
          <w:rFonts w:ascii="Times New Roman" w:hAnsi="Times New Roman" w:cs="Times New Roman"/>
          <w:iCs/>
          <w:sz w:val="24"/>
          <w:szCs w:val="24"/>
        </w:rPr>
        <w:t xml:space="preserve">Czynności prowadzone z art. 10b ustawy o Inspekcji Ochrony Środowiska </w:t>
      </w:r>
      <w:r w:rsidRPr="00452F7A">
        <w:rPr>
          <w:rFonts w:ascii="Times New Roman" w:hAnsi="Times New Roman" w:cs="Times New Roman"/>
          <w:iCs/>
          <w:sz w:val="24"/>
          <w:szCs w:val="24"/>
        </w:rPr>
        <w:br/>
        <w:t>w 2022 r. związan</w:t>
      </w:r>
      <w:r>
        <w:rPr>
          <w:rFonts w:ascii="Times New Roman" w:hAnsi="Times New Roman" w:cs="Times New Roman"/>
          <w:iCs/>
          <w:sz w:val="24"/>
          <w:szCs w:val="24"/>
        </w:rPr>
        <w:t>e</w:t>
      </w:r>
      <w:r w:rsidRPr="00452F7A">
        <w:rPr>
          <w:rFonts w:ascii="Times New Roman" w:hAnsi="Times New Roman" w:cs="Times New Roman"/>
          <w:iCs/>
          <w:sz w:val="24"/>
          <w:szCs w:val="24"/>
        </w:rPr>
        <w:t xml:space="preserve"> był</w:t>
      </w:r>
      <w:r>
        <w:rPr>
          <w:rFonts w:ascii="Times New Roman" w:hAnsi="Times New Roman" w:cs="Times New Roman"/>
          <w:iCs/>
          <w:sz w:val="24"/>
          <w:szCs w:val="24"/>
        </w:rPr>
        <w:t>y</w:t>
      </w:r>
      <w:r w:rsidRPr="00452F7A">
        <w:rPr>
          <w:rFonts w:ascii="Times New Roman" w:hAnsi="Times New Roman" w:cs="Times New Roman"/>
          <w:iCs/>
          <w:sz w:val="24"/>
          <w:szCs w:val="24"/>
        </w:rPr>
        <w:t xml:space="preserve"> z analizą dokumentacji oraz BDO w celu ujawnienia nielegalnych strumieni odpadów</w:t>
      </w:r>
      <w:r>
        <w:rPr>
          <w:rFonts w:ascii="Times New Roman" w:hAnsi="Times New Roman" w:cs="Times New Roman"/>
          <w:iCs/>
          <w:sz w:val="24"/>
          <w:szCs w:val="24"/>
        </w:rPr>
        <w:t>. M</w:t>
      </w:r>
      <w:r w:rsidRPr="00452F7A">
        <w:rPr>
          <w:rFonts w:ascii="Times New Roman" w:hAnsi="Times New Roman" w:cs="Times New Roman"/>
          <w:iCs/>
          <w:sz w:val="24"/>
          <w:szCs w:val="24"/>
        </w:rPr>
        <w:t xml:space="preserve">iały </w:t>
      </w:r>
      <w:r>
        <w:rPr>
          <w:rFonts w:ascii="Times New Roman" w:hAnsi="Times New Roman" w:cs="Times New Roman"/>
          <w:iCs/>
          <w:sz w:val="24"/>
          <w:szCs w:val="24"/>
        </w:rPr>
        <w:t xml:space="preserve">one </w:t>
      </w:r>
      <w:r w:rsidRPr="00452F7A">
        <w:rPr>
          <w:rFonts w:ascii="Times New Roman" w:hAnsi="Times New Roman" w:cs="Times New Roman"/>
          <w:iCs/>
          <w:sz w:val="24"/>
          <w:szCs w:val="24"/>
        </w:rPr>
        <w:t xml:space="preserve">na celu zebranie dowodów nielegalnej działalności </w:t>
      </w:r>
      <w:r>
        <w:rPr>
          <w:rFonts w:ascii="Times New Roman" w:hAnsi="Times New Roman" w:cs="Times New Roman"/>
          <w:iCs/>
          <w:sz w:val="24"/>
          <w:szCs w:val="24"/>
        </w:rPr>
        <w:br/>
      </w:r>
      <w:r w:rsidRPr="00452F7A">
        <w:rPr>
          <w:rFonts w:ascii="Times New Roman" w:hAnsi="Times New Roman" w:cs="Times New Roman"/>
          <w:iCs/>
          <w:sz w:val="24"/>
          <w:szCs w:val="24"/>
        </w:rPr>
        <w:t>i wykorzystanie zebranego materiału przy dalszych czynnościach kontrolnych.</w:t>
      </w:r>
    </w:p>
    <w:p w14:paraId="44FC1C58" w14:textId="240409CA" w:rsidR="00452F7A" w:rsidRPr="00452F7A" w:rsidRDefault="00452F7A" w:rsidP="000B4968">
      <w:pPr>
        <w:spacing w:after="0"/>
        <w:ind w:firstLine="567"/>
        <w:jc w:val="both"/>
        <w:rPr>
          <w:rFonts w:ascii="Times New Roman" w:hAnsi="Times New Roman" w:cs="Times New Roman"/>
          <w:iCs/>
          <w:sz w:val="24"/>
          <w:szCs w:val="24"/>
        </w:rPr>
      </w:pPr>
      <w:r w:rsidRPr="00452F7A">
        <w:rPr>
          <w:rFonts w:ascii="Times New Roman" w:hAnsi="Times New Roman" w:cs="Times New Roman"/>
          <w:iCs/>
          <w:sz w:val="24"/>
          <w:szCs w:val="24"/>
        </w:rPr>
        <w:t xml:space="preserve">Pozostałe czynności polegały między innymi na kontroli dokumentów związanych  </w:t>
      </w:r>
      <w:r>
        <w:rPr>
          <w:rFonts w:ascii="Times New Roman" w:hAnsi="Times New Roman" w:cs="Times New Roman"/>
          <w:iCs/>
          <w:sz w:val="24"/>
          <w:szCs w:val="24"/>
        </w:rPr>
        <w:br/>
      </w:r>
      <w:r w:rsidRPr="00452F7A">
        <w:rPr>
          <w:rFonts w:ascii="Times New Roman" w:hAnsi="Times New Roman" w:cs="Times New Roman"/>
          <w:iCs/>
          <w:sz w:val="24"/>
          <w:szCs w:val="24"/>
        </w:rPr>
        <w:t xml:space="preserve">z przewozem towaru i oględzinach wnętrz pojazdów pod kątem rodzaju przewożonego towaru, obserwowaniu i rejestrowaniu przy użyciu środków technicznych, obrazu zdarzeń oraz dźwięku towarzyszącego tym zdarzeniom w związku z podejrzeniem prowadzenia nielegalnej gospodarki odpadami niebezpiecznymi, oględzinach pomieszczeń i nałożeniu grzywny </w:t>
      </w:r>
      <w:r>
        <w:rPr>
          <w:rFonts w:ascii="Times New Roman" w:hAnsi="Times New Roman" w:cs="Times New Roman"/>
          <w:iCs/>
          <w:sz w:val="24"/>
          <w:szCs w:val="24"/>
        </w:rPr>
        <w:br/>
      </w:r>
      <w:r w:rsidRPr="00452F7A">
        <w:rPr>
          <w:rFonts w:ascii="Times New Roman" w:hAnsi="Times New Roman" w:cs="Times New Roman"/>
          <w:iCs/>
          <w:sz w:val="24"/>
          <w:szCs w:val="24"/>
        </w:rPr>
        <w:t>w postępowaniu mandatowym w związku ze spalaniem odpadów.</w:t>
      </w:r>
    </w:p>
    <w:p w14:paraId="1E5B8B4A" w14:textId="16D84732" w:rsidR="00771773" w:rsidRPr="00452F7A" w:rsidRDefault="00452F7A" w:rsidP="000B4968">
      <w:pPr>
        <w:spacing w:after="0" w:line="300" w:lineRule="atLeast"/>
        <w:ind w:firstLine="567"/>
        <w:jc w:val="both"/>
        <w:rPr>
          <w:rFonts w:ascii="Times New Roman" w:hAnsi="Times New Roman" w:cs="Times New Roman"/>
          <w:iCs/>
          <w:sz w:val="24"/>
          <w:szCs w:val="24"/>
        </w:rPr>
      </w:pPr>
      <w:r w:rsidRPr="00452F7A">
        <w:rPr>
          <w:rFonts w:ascii="Times New Roman" w:hAnsi="Times New Roman" w:cs="Times New Roman"/>
          <w:iCs/>
          <w:sz w:val="24"/>
          <w:szCs w:val="24"/>
        </w:rPr>
        <w:t>Realizowano także działania polegające na zbieraniu materiału dowodowego poprzez obserwowanie i wykonywanie dokumentacji fotograficznej, dokonywaniu oględzin miejsc oraz wykonywaniu obmiarów odpadów, przesłuchiwaniu świadków oraz osób podejrzanych</w:t>
      </w:r>
      <w:r w:rsidR="00771773" w:rsidRPr="00452F7A">
        <w:rPr>
          <w:rFonts w:ascii="Times New Roman" w:hAnsi="Times New Roman" w:cs="Times New Roman"/>
          <w:iCs/>
          <w:sz w:val="24"/>
          <w:szCs w:val="24"/>
        </w:rPr>
        <w:t>.</w:t>
      </w:r>
    </w:p>
    <w:p w14:paraId="38FB5114" w14:textId="77777777" w:rsidR="00771773" w:rsidRPr="00771773" w:rsidRDefault="00771773" w:rsidP="00771773">
      <w:pPr>
        <w:spacing w:line="300" w:lineRule="atLeast"/>
        <w:contextualSpacing/>
        <w:jc w:val="both"/>
        <w:rPr>
          <w:rFonts w:ascii="Times New Roman" w:hAnsi="Times New Roman" w:cs="Times New Roman"/>
          <w:i/>
          <w:color w:val="4472C4"/>
          <w:sz w:val="24"/>
          <w:szCs w:val="24"/>
        </w:rPr>
      </w:pPr>
    </w:p>
    <w:p w14:paraId="1C6232C7" w14:textId="77777777" w:rsidR="00771773" w:rsidRPr="00771773" w:rsidRDefault="00771773" w:rsidP="00452F7A">
      <w:pPr>
        <w:spacing w:after="60" w:line="300" w:lineRule="atLeast"/>
        <w:jc w:val="both"/>
        <w:rPr>
          <w:rFonts w:ascii="Times New Roman" w:hAnsi="Times New Roman" w:cs="Times New Roman"/>
          <w:i/>
          <w:color w:val="4472C4"/>
          <w:sz w:val="24"/>
          <w:szCs w:val="24"/>
        </w:rPr>
      </w:pPr>
      <w:r w:rsidRPr="00771773">
        <w:rPr>
          <w:rFonts w:ascii="Times New Roman" w:hAnsi="Times New Roman" w:cs="Times New Roman"/>
          <w:i/>
          <w:color w:val="4472C4"/>
          <w:sz w:val="24"/>
          <w:szCs w:val="24"/>
        </w:rPr>
        <w:t>Wojewódzki Inspektorat Ochrony Środowiska w Opolu</w:t>
      </w:r>
    </w:p>
    <w:p w14:paraId="7E42ACD8" w14:textId="58CF3985" w:rsidR="00771773" w:rsidRPr="00771773" w:rsidRDefault="00771773" w:rsidP="001E735D">
      <w:pPr>
        <w:spacing w:line="300" w:lineRule="atLeast"/>
        <w:ind w:firstLine="567"/>
        <w:contextualSpacing/>
        <w:jc w:val="both"/>
        <w:rPr>
          <w:rFonts w:ascii="Times New Roman" w:hAnsi="Times New Roman" w:cs="Times New Roman"/>
          <w:iCs/>
          <w:sz w:val="24"/>
          <w:szCs w:val="24"/>
        </w:rPr>
      </w:pPr>
      <w:r w:rsidRPr="00771773">
        <w:rPr>
          <w:rFonts w:ascii="Times New Roman" w:hAnsi="Times New Roman" w:cs="Times New Roman"/>
          <w:iCs/>
          <w:sz w:val="24"/>
          <w:szCs w:val="24"/>
        </w:rPr>
        <w:t>W wyniku przeprowadzonych działań w trybie art. 10b ustawy o Inspekcji Ochrony Środowiska</w:t>
      </w:r>
      <w:r w:rsidR="00452F7A">
        <w:rPr>
          <w:rFonts w:ascii="Times New Roman" w:hAnsi="Times New Roman" w:cs="Times New Roman"/>
          <w:iCs/>
          <w:sz w:val="24"/>
          <w:szCs w:val="24"/>
        </w:rPr>
        <w:t>,</w:t>
      </w:r>
      <w:r w:rsidRPr="00771773">
        <w:rPr>
          <w:rFonts w:ascii="Times New Roman" w:hAnsi="Times New Roman" w:cs="Times New Roman"/>
          <w:iCs/>
          <w:sz w:val="24"/>
          <w:szCs w:val="24"/>
        </w:rPr>
        <w:t xml:space="preserve"> w 2022 r. wszczęto łącznie 36 kontroli w trybie art. 9 ustawy o Inspekcji Ochrony Środowiska, w tym:</w:t>
      </w:r>
    </w:p>
    <w:p w14:paraId="5EEDCF48" w14:textId="20DE7DAF" w:rsidR="00771773" w:rsidRPr="00771773" w:rsidRDefault="00771773" w:rsidP="00D34F97">
      <w:pPr>
        <w:numPr>
          <w:ilvl w:val="0"/>
          <w:numId w:val="254"/>
        </w:numPr>
        <w:spacing w:after="0" w:line="300" w:lineRule="atLeast"/>
        <w:contextualSpacing/>
        <w:jc w:val="both"/>
        <w:rPr>
          <w:rFonts w:ascii="Times New Roman" w:hAnsi="Times New Roman" w:cs="Times New Roman"/>
          <w:iCs/>
          <w:sz w:val="24"/>
          <w:szCs w:val="24"/>
        </w:rPr>
      </w:pPr>
      <w:r w:rsidRPr="00771773">
        <w:rPr>
          <w:rFonts w:ascii="Times New Roman" w:hAnsi="Times New Roman" w:cs="Times New Roman"/>
          <w:iCs/>
          <w:sz w:val="24"/>
          <w:szCs w:val="24"/>
        </w:rPr>
        <w:t xml:space="preserve">20 kontroli przestrzegania przepisów ustawy z dnia 14 grudnia 2012 r. o odpadach, </w:t>
      </w:r>
      <w:r w:rsidR="00452F7A">
        <w:rPr>
          <w:rFonts w:ascii="Times New Roman" w:hAnsi="Times New Roman" w:cs="Times New Roman"/>
          <w:iCs/>
          <w:sz w:val="24"/>
          <w:szCs w:val="24"/>
        </w:rPr>
        <w:br/>
      </w:r>
      <w:r w:rsidRPr="00771773">
        <w:rPr>
          <w:rFonts w:ascii="Times New Roman" w:hAnsi="Times New Roman" w:cs="Times New Roman"/>
          <w:iCs/>
          <w:sz w:val="24"/>
          <w:szCs w:val="24"/>
        </w:rPr>
        <w:t>w zakresie realizacji obowiązków podmiotów gospodarujących odpadami;</w:t>
      </w:r>
    </w:p>
    <w:p w14:paraId="6435DDE3" w14:textId="1288584D" w:rsidR="00771773" w:rsidRPr="00771773" w:rsidRDefault="00771773" w:rsidP="00D34F97">
      <w:pPr>
        <w:numPr>
          <w:ilvl w:val="0"/>
          <w:numId w:val="254"/>
        </w:numPr>
        <w:spacing w:after="0" w:line="300" w:lineRule="atLeast"/>
        <w:contextualSpacing/>
        <w:jc w:val="both"/>
        <w:rPr>
          <w:rFonts w:ascii="Times New Roman" w:hAnsi="Times New Roman" w:cs="Times New Roman"/>
          <w:iCs/>
          <w:sz w:val="24"/>
          <w:szCs w:val="24"/>
        </w:rPr>
      </w:pPr>
      <w:r w:rsidRPr="00771773">
        <w:rPr>
          <w:rFonts w:ascii="Times New Roman" w:hAnsi="Times New Roman" w:cs="Times New Roman"/>
          <w:iCs/>
          <w:sz w:val="24"/>
          <w:szCs w:val="24"/>
        </w:rPr>
        <w:t xml:space="preserve">6 kontroli przestrzegania przepisów w zakresie recyklingu pojazdów wycofanych </w:t>
      </w:r>
      <w:r w:rsidR="00452F7A">
        <w:rPr>
          <w:rFonts w:ascii="Times New Roman" w:hAnsi="Times New Roman" w:cs="Times New Roman"/>
          <w:iCs/>
          <w:sz w:val="24"/>
          <w:szCs w:val="24"/>
        </w:rPr>
        <w:br/>
      </w:r>
      <w:r w:rsidRPr="00771773">
        <w:rPr>
          <w:rFonts w:ascii="Times New Roman" w:hAnsi="Times New Roman" w:cs="Times New Roman"/>
          <w:iCs/>
          <w:sz w:val="24"/>
          <w:szCs w:val="24"/>
        </w:rPr>
        <w:t>z eksploatacji;</w:t>
      </w:r>
    </w:p>
    <w:p w14:paraId="018E3A6A" w14:textId="13B03E85" w:rsidR="00771773" w:rsidRPr="00771773" w:rsidRDefault="00771773" w:rsidP="00D34F97">
      <w:pPr>
        <w:numPr>
          <w:ilvl w:val="0"/>
          <w:numId w:val="254"/>
        </w:numPr>
        <w:spacing w:after="0" w:line="300" w:lineRule="atLeast"/>
        <w:contextualSpacing/>
        <w:jc w:val="both"/>
        <w:rPr>
          <w:rFonts w:ascii="Times New Roman" w:hAnsi="Times New Roman" w:cs="Times New Roman"/>
          <w:iCs/>
          <w:sz w:val="24"/>
          <w:szCs w:val="24"/>
        </w:rPr>
      </w:pPr>
      <w:r w:rsidRPr="00771773">
        <w:rPr>
          <w:rFonts w:ascii="Times New Roman" w:hAnsi="Times New Roman" w:cs="Times New Roman"/>
          <w:iCs/>
          <w:sz w:val="24"/>
          <w:szCs w:val="24"/>
        </w:rPr>
        <w:t>6 kontroli przestrzegania przepisów ochrony środowiska w zakresie emisji gazów i pyłów do powietrza;</w:t>
      </w:r>
      <w:r w:rsidR="00452F7A">
        <w:rPr>
          <w:rFonts w:ascii="Times New Roman" w:hAnsi="Times New Roman" w:cs="Times New Roman"/>
          <w:iCs/>
          <w:sz w:val="24"/>
          <w:szCs w:val="24"/>
        </w:rPr>
        <w:t xml:space="preserve"> </w:t>
      </w:r>
      <w:r w:rsidRPr="00771773">
        <w:rPr>
          <w:rFonts w:ascii="Times New Roman" w:hAnsi="Times New Roman" w:cs="Times New Roman"/>
          <w:iCs/>
          <w:sz w:val="24"/>
          <w:szCs w:val="24"/>
        </w:rPr>
        <w:t xml:space="preserve">2 kontrole przestrzegania warunków dotyczących ilości i jakości ścieków </w:t>
      </w:r>
      <w:r w:rsidRPr="00771773">
        <w:rPr>
          <w:rFonts w:ascii="Times New Roman" w:hAnsi="Times New Roman" w:cs="Times New Roman"/>
          <w:iCs/>
          <w:sz w:val="24"/>
          <w:szCs w:val="24"/>
        </w:rPr>
        <w:lastRenderedPageBreak/>
        <w:t>wprowadzanych do wód lub do ziemi, określonych w pozwoleniach wodnoprawnych oraz pozwoleniach zintegrowanych;</w:t>
      </w:r>
    </w:p>
    <w:p w14:paraId="4863AC08" w14:textId="77777777" w:rsidR="00771773" w:rsidRPr="00771773" w:rsidRDefault="00771773" w:rsidP="00D34F97">
      <w:pPr>
        <w:numPr>
          <w:ilvl w:val="0"/>
          <w:numId w:val="254"/>
        </w:numPr>
        <w:spacing w:after="0" w:line="300" w:lineRule="atLeast"/>
        <w:contextualSpacing/>
        <w:jc w:val="both"/>
        <w:rPr>
          <w:rFonts w:ascii="Times New Roman" w:hAnsi="Times New Roman" w:cs="Times New Roman"/>
          <w:iCs/>
          <w:sz w:val="24"/>
          <w:szCs w:val="24"/>
        </w:rPr>
      </w:pPr>
      <w:r w:rsidRPr="00771773">
        <w:rPr>
          <w:rFonts w:ascii="Times New Roman" w:hAnsi="Times New Roman" w:cs="Times New Roman"/>
          <w:iCs/>
          <w:sz w:val="24"/>
          <w:szCs w:val="24"/>
        </w:rPr>
        <w:t>1 kontrolę przestrzegania przepisów ustawy o nawozach i nawożeniu;</w:t>
      </w:r>
    </w:p>
    <w:p w14:paraId="32CB793D" w14:textId="3B26A788" w:rsidR="00771773" w:rsidRPr="00771773" w:rsidRDefault="00771773" w:rsidP="00D34F97">
      <w:pPr>
        <w:numPr>
          <w:ilvl w:val="0"/>
          <w:numId w:val="254"/>
        </w:numPr>
        <w:spacing w:after="0" w:line="300" w:lineRule="atLeast"/>
        <w:contextualSpacing/>
        <w:jc w:val="both"/>
        <w:rPr>
          <w:rFonts w:ascii="Times New Roman" w:hAnsi="Times New Roman" w:cs="Times New Roman"/>
          <w:iCs/>
          <w:sz w:val="24"/>
          <w:szCs w:val="24"/>
        </w:rPr>
      </w:pPr>
      <w:r w:rsidRPr="00771773">
        <w:rPr>
          <w:rFonts w:ascii="Times New Roman" w:hAnsi="Times New Roman" w:cs="Times New Roman"/>
          <w:iCs/>
          <w:sz w:val="24"/>
          <w:szCs w:val="24"/>
        </w:rPr>
        <w:t>1 kontrolę przestrzegania przepisów ochrony środowiska w zakresie emisji hałasu do środowiska</w:t>
      </w:r>
      <w:r w:rsidR="009B50E2">
        <w:rPr>
          <w:rFonts w:ascii="Times New Roman" w:hAnsi="Times New Roman" w:cs="Times New Roman"/>
          <w:iCs/>
          <w:sz w:val="24"/>
          <w:szCs w:val="24"/>
        </w:rPr>
        <w:t>.</w:t>
      </w:r>
    </w:p>
    <w:p w14:paraId="42F6DF4B" w14:textId="77777777" w:rsidR="00771773" w:rsidRPr="00771773" w:rsidRDefault="00771773" w:rsidP="00771773">
      <w:pPr>
        <w:spacing w:line="300" w:lineRule="atLeast"/>
        <w:contextualSpacing/>
        <w:jc w:val="both"/>
        <w:rPr>
          <w:rFonts w:ascii="Times New Roman" w:hAnsi="Times New Roman" w:cs="Times New Roman"/>
          <w:i/>
          <w:color w:val="4472C4"/>
          <w:sz w:val="24"/>
          <w:szCs w:val="24"/>
        </w:rPr>
      </w:pPr>
    </w:p>
    <w:p w14:paraId="13E11AB0" w14:textId="77777777" w:rsidR="00771773" w:rsidRPr="00771773" w:rsidRDefault="00771773" w:rsidP="00452F7A">
      <w:pPr>
        <w:spacing w:after="60" w:line="300" w:lineRule="atLeast"/>
        <w:jc w:val="both"/>
        <w:rPr>
          <w:rFonts w:ascii="Times New Roman" w:hAnsi="Times New Roman" w:cs="Times New Roman"/>
          <w:i/>
          <w:color w:val="4472C4"/>
          <w:sz w:val="24"/>
          <w:szCs w:val="24"/>
        </w:rPr>
      </w:pPr>
      <w:r w:rsidRPr="00771773">
        <w:rPr>
          <w:rFonts w:ascii="Times New Roman" w:hAnsi="Times New Roman" w:cs="Times New Roman"/>
          <w:i/>
          <w:color w:val="4472C4"/>
          <w:sz w:val="24"/>
          <w:szCs w:val="24"/>
        </w:rPr>
        <w:t>Wojewódzki Inspektorat Ochrony Środowiska w Poznaniu</w:t>
      </w:r>
    </w:p>
    <w:p w14:paraId="3DC98EA1" w14:textId="1ACA57EF" w:rsidR="00771773" w:rsidRPr="00771773" w:rsidRDefault="00771773" w:rsidP="00452F7A">
      <w:pPr>
        <w:spacing w:line="300" w:lineRule="atLeast"/>
        <w:ind w:firstLine="567"/>
        <w:contextualSpacing/>
        <w:jc w:val="both"/>
        <w:rPr>
          <w:rFonts w:ascii="Times New Roman" w:hAnsi="Times New Roman" w:cs="Times New Roman"/>
          <w:sz w:val="24"/>
          <w:szCs w:val="24"/>
        </w:rPr>
      </w:pPr>
      <w:r w:rsidRPr="00771773">
        <w:rPr>
          <w:rFonts w:ascii="Times New Roman" w:hAnsi="Times New Roman" w:cs="Times New Roman"/>
          <w:sz w:val="24"/>
          <w:szCs w:val="24"/>
        </w:rPr>
        <w:t xml:space="preserve">Czynności na podstawie art. 10b ustawy o Inspekcji Ochrony Środowiska podejmowane były głownie ze względu na podejrzenie popełnienia przestępstwa przeciwko środowisku lub wykroczenia, o których mowa w art. 182, 183 §1, 183 §4, 183 §5 Kodeksu Karnego, ustawie Prawo Wodne, ustawie Prawo ochrony środowiska, ustawie o odpadach, ustawie o nawozach </w:t>
      </w:r>
      <w:r w:rsidR="00452F7A">
        <w:rPr>
          <w:rFonts w:ascii="Times New Roman" w:hAnsi="Times New Roman" w:cs="Times New Roman"/>
          <w:sz w:val="24"/>
          <w:szCs w:val="24"/>
        </w:rPr>
        <w:br/>
      </w:r>
      <w:r w:rsidRPr="00771773">
        <w:rPr>
          <w:rFonts w:ascii="Times New Roman" w:hAnsi="Times New Roman" w:cs="Times New Roman"/>
          <w:sz w:val="24"/>
          <w:szCs w:val="24"/>
        </w:rPr>
        <w:t>i nawożeniu, ustawie o recyklingu pojazdów wycofanych z eksploatacji.</w:t>
      </w:r>
    </w:p>
    <w:p w14:paraId="78719545" w14:textId="77777777" w:rsidR="00771773" w:rsidRPr="00771773" w:rsidRDefault="00771773" w:rsidP="00452F7A">
      <w:pPr>
        <w:spacing w:line="300" w:lineRule="atLeast"/>
        <w:ind w:firstLine="567"/>
        <w:contextualSpacing/>
        <w:jc w:val="both"/>
        <w:rPr>
          <w:rFonts w:ascii="Times New Roman" w:hAnsi="Times New Roman" w:cs="Times New Roman"/>
          <w:sz w:val="24"/>
          <w:szCs w:val="24"/>
        </w:rPr>
      </w:pPr>
      <w:r w:rsidRPr="00771773">
        <w:rPr>
          <w:rFonts w:ascii="Times New Roman" w:hAnsi="Times New Roman" w:cs="Times New Roman"/>
          <w:sz w:val="24"/>
          <w:szCs w:val="24"/>
        </w:rPr>
        <w:t>Priorytetowymi zadaniami są działania identyfikujące miejsca nielegalnego gospodarowanie odpadami, w tym działania przy współpracy z organami ścigania.</w:t>
      </w:r>
    </w:p>
    <w:p w14:paraId="38786FA7" w14:textId="77777777" w:rsidR="00771773" w:rsidRPr="00771773" w:rsidRDefault="00771773" w:rsidP="00771773">
      <w:pPr>
        <w:spacing w:line="300" w:lineRule="atLeast"/>
        <w:contextualSpacing/>
        <w:jc w:val="both"/>
        <w:rPr>
          <w:rFonts w:ascii="Times New Roman" w:hAnsi="Times New Roman" w:cs="Times New Roman"/>
          <w:i/>
          <w:color w:val="4472C4"/>
          <w:sz w:val="24"/>
          <w:szCs w:val="24"/>
        </w:rPr>
      </w:pPr>
    </w:p>
    <w:p w14:paraId="7F602F9B" w14:textId="77777777" w:rsidR="00771773" w:rsidRPr="00771773" w:rsidRDefault="00771773" w:rsidP="00452F7A">
      <w:pPr>
        <w:spacing w:after="60" w:line="300" w:lineRule="atLeast"/>
        <w:jc w:val="both"/>
        <w:rPr>
          <w:rFonts w:ascii="Times New Roman" w:hAnsi="Times New Roman" w:cs="Times New Roman"/>
          <w:i/>
          <w:color w:val="4472C4"/>
          <w:sz w:val="24"/>
          <w:szCs w:val="24"/>
        </w:rPr>
      </w:pPr>
      <w:r w:rsidRPr="00771773">
        <w:rPr>
          <w:rFonts w:ascii="Times New Roman" w:hAnsi="Times New Roman" w:cs="Times New Roman"/>
          <w:i/>
          <w:color w:val="4472C4"/>
          <w:sz w:val="24"/>
          <w:szCs w:val="24"/>
        </w:rPr>
        <w:t>Wojewódzki Inspektorat Ochrony Środowiska w Rzeszowie</w:t>
      </w:r>
    </w:p>
    <w:p w14:paraId="280F5AA0" w14:textId="6AD76BF1" w:rsidR="00771773" w:rsidRPr="00771773" w:rsidRDefault="00771773" w:rsidP="00452F7A">
      <w:pPr>
        <w:autoSpaceDE w:val="0"/>
        <w:autoSpaceDN w:val="0"/>
        <w:adjustRightInd w:val="0"/>
        <w:spacing w:line="300" w:lineRule="atLeast"/>
        <w:ind w:firstLine="708"/>
        <w:contextualSpacing/>
        <w:jc w:val="both"/>
        <w:rPr>
          <w:rFonts w:ascii="Times New Roman" w:hAnsi="Times New Roman" w:cs="Times New Roman"/>
          <w:sz w:val="24"/>
          <w:szCs w:val="24"/>
        </w:rPr>
      </w:pPr>
      <w:r w:rsidRPr="00771773">
        <w:rPr>
          <w:rFonts w:ascii="Times New Roman" w:hAnsi="Times New Roman" w:cs="Times New Roman"/>
          <w:sz w:val="24"/>
          <w:szCs w:val="24"/>
        </w:rPr>
        <w:t>Przeprowadzane kontrole w przeważającym zakresie dotyczyły naruszenia przepisów gospodarki odpadami lub podejrzenia zanieczyszczenia powierzchni ziemi lub jakości wody. Podczas czynności realizowanych w trybie 10b IOŚ200 podejmowano czynności polegające na oględzinach, przesłuchiwaniu osoby w zakresie niezbędnym do ustalenia stanu faktycznego przy jednoczesnym pouczeniu o odpowiedzialności karnej za składanie fałszywych zeznań, gromadzeniu i zabezpieczaniu dowody popełnienia przestępstwa lub wykroczenia</w:t>
      </w:r>
      <w:r w:rsidR="00452F7A">
        <w:rPr>
          <w:rFonts w:ascii="Times New Roman" w:hAnsi="Times New Roman" w:cs="Times New Roman"/>
          <w:sz w:val="24"/>
          <w:szCs w:val="24"/>
        </w:rPr>
        <w:t>.</w:t>
      </w:r>
    </w:p>
    <w:p w14:paraId="701475C7" w14:textId="77777777" w:rsidR="00771773" w:rsidRPr="00771773" w:rsidRDefault="00771773" w:rsidP="00771773">
      <w:pPr>
        <w:spacing w:line="300" w:lineRule="atLeast"/>
        <w:contextualSpacing/>
        <w:jc w:val="both"/>
        <w:rPr>
          <w:rFonts w:ascii="Times New Roman" w:hAnsi="Times New Roman" w:cs="Times New Roman"/>
          <w:i/>
          <w:color w:val="4472C4"/>
          <w:sz w:val="24"/>
          <w:szCs w:val="24"/>
        </w:rPr>
      </w:pPr>
    </w:p>
    <w:p w14:paraId="5BF74256" w14:textId="77777777" w:rsidR="00771773" w:rsidRPr="00771773" w:rsidRDefault="00771773" w:rsidP="00452F7A">
      <w:pPr>
        <w:spacing w:after="60" w:line="300" w:lineRule="atLeast"/>
        <w:jc w:val="both"/>
        <w:rPr>
          <w:rFonts w:ascii="Times New Roman" w:hAnsi="Times New Roman" w:cs="Times New Roman"/>
          <w:i/>
          <w:color w:val="4472C4"/>
          <w:sz w:val="24"/>
          <w:szCs w:val="24"/>
        </w:rPr>
      </w:pPr>
      <w:r w:rsidRPr="00771773">
        <w:rPr>
          <w:rFonts w:ascii="Times New Roman" w:hAnsi="Times New Roman" w:cs="Times New Roman"/>
          <w:i/>
          <w:color w:val="4472C4"/>
          <w:sz w:val="24"/>
          <w:szCs w:val="24"/>
        </w:rPr>
        <w:t>Wojewódzki Inspektorat Ochrony Środowiska w Szczecinie</w:t>
      </w:r>
    </w:p>
    <w:p w14:paraId="37B8BE93" w14:textId="59C1844F" w:rsidR="00771773" w:rsidRPr="00771773" w:rsidRDefault="00771773" w:rsidP="001E735D">
      <w:pPr>
        <w:autoSpaceDE w:val="0"/>
        <w:autoSpaceDN w:val="0"/>
        <w:adjustRightInd w:val="0"/>
        <w:spacing w:line="300" w:lineRule="atLeast"/>
        <w:ind w:firstLine="567"/>
        <w:contextualSpacing/>
        <w:jc w:val="both"/>
        <w:rPr>
          <w:rFonts w:ascii="Times New Roman" w:hAnsi="Times New Roman" w:cs="Times New Roman"/>
          <w:sz w:val="24"/>
          <w:szCs w:val="24"/>
        </w:rPr>
      </w:pPr>
      <w:r w:rsidRPr="00771773">
        <w:rPr>
          <w:rFonts w:ascii="Times New Roman" w:hAnsi="Times New Roman" w:cs="Times New Roman"/>
          <w:sz w:val="24"/>
          <w:szCs w:val="24"/>
        </w:rPr>
        <w:t xml:space="preserve">Większość działań (104) w trybie art. 10b ustawy o IOŚ związana była z uzyskiwaniem informacji o nieprawidłowościach w gospodarce wodno-ściekowej, co wynikało </w:t>
      </w:r>
      <w:r w:rsidR="00F8082B">
        <w:rPr>
          <w:rFonts w:ascii="Times New Roman" w:hAnsi="Times New Roman" w:cs="Times New Roman"/>
          <w:sz w:val="24"/>
          <w:szCs w:val="24"/>
        </w:rPr>
        <w:br/>
      </w:r>
      <w:r w:rsidRPr="00771773">
        <w:rPr>
          <w:rFonts w:ascii="Times New Roman" w:hAnsi="Times New Roman" w:cs="Times New Roman"/>
          <w:sz w:val="24"/>
          <w:szCs w:val="24"/>
        </w:rPr>
        <w:t xml:space="preserve">z prowadzonych działań na rzece Odra. Ponadto 28 działań odnosiło się do gospodarki odpadami w szczególności związanych ze zgłoszeniami o zbieraniu i przetwarzaniu odpadów bez uregulowań formalnoprawnych i spalaniu odpadów. W 2 przypadkach związane były </w:t>
      </w:r>
      <w:r w:rsidR="00F8082B">
        <w:rPr>
          <w:rFonts w:ascii="Times New Roman" w:hAnsi="Times New Roman" w:cs="Times New Roman"/>
          <w:sz w:val="24"/>
          <w:szCs w:val="24"/>
        </w:rPr>
        <w:br/>
      </w:r>
      <w:r w:rsidRPr="00771773">
        <w:rPr>
          <w:rFonts w:ascii="Times New Roman" w:hAnsi="Times New Roman" w:cs="Times New Roman"/>
          <w:sz w:val="24"/>
          <w:szCs w:val="24"/>
        </w:rPr>
        <w:t>z ochroną powietrza i zgłoszeniami zanieczyszczenia powietrza.</w:t>
      </w:r>
    </w:p>
    <w:p w14:paraId="4573E55E" w14:textId="77777777" w:rsidR="00771773" w:rsidRPr="00771773" w:rsidRDefault="00771773" w:rsidP="00771773">
      <w:pPr>
        <w:spacing w:line="300" w:lineRule="atLeast"/>
        <w:contextualSpacing/>
        <w:jc w:val="both"/>
        <w:rPr>
          <w:rFonts w:ascii="Times New Roman" w:hAnsi="Times New Roman" w:cs="Times New Roman"/>
          <w:i/>
          <w:color w:val="4472C4"/>
          <w:sz w:val="24"/>
          <w:szCs w:val="24"/>
        </w:rPr>
      </w:pPr>
    </w:p>
    <w:p w14:paraId="0A332A6F" w14:textId="77777777" w:rsidR="00771773" w:rsidRPr="00771773" w:rsidRDefault="00771773" w:rsidP="00F8082B">
      <w:pPr>
        <w:spacing w:after="60" w:line="300" w:lineRule="atLeast"/>
        <w:jc w:val="both"/>
        <w:rPr>
          <w:rFonts w:ascii="Times New Roman" w:hAnsi="Times New Roman" w:cs="Times New Roman"/>
          <w:i/>
          <w:color w:val="4472C4"/>
          <w:sz w:val="24"/>
          <w:szCs w:val="24"/>
        </w:rPr>
      </w:pPr>
      <w:r w:rsidRPr="00771773">
        <w:rPr>
          <w:rFonts w:ascii="Times New Roman" w:hAnsi="Times New Roman" w:cs="Times New Roman"/>
          <w:i/>
          <w:color w:val="4472C4"/>
          <w:sz w:val="24"/>
          <w:szCs w:val="24"/>
        </w:rPr>
        <w:t>Wojewódzki Inspektorat Ochrony Środowiska w Warszawie</w:t>
      </w:r>
    </w:p>
    <w:p w14:paraId="67EF8B49" w14:textId="77777777" w:rsidR="00771773" w:rsidRPr="00771773" w:rsidRDefault="00771773" w:rsidP="001E735D">
      <w:pPr>
        <w:spacing w:after="60" w:line="300" w:lineRule="atLeast"/>
        <w:ind w:firstLine="567"/>
        <w:jc w:val="both"/>
        <w:rPr>
          <w:rFonts w:ascii="Times New Roman" w:hAnsi="Times New Roman" w:cs="Times New Roman"/>
          <w:sz w:val="24"/>
          <w:szCs w:val="24"/>
        </w:rPr>
      </w:pPr>
      <w:r w:rsidRPr="00771773">
        <w:rPr>
          <w:rFonts w:ascii="Times New Roman" w:hAnsi="Times New Roman" w:cs="Times New Roman"/>
          <w:sz w:val="24"/>
          <w:szCs w:val="24"/>
        </w:rPr>
        <w:t>Zasadniczymi działaniami pracowników grup interwencyjnych jest realizacji czynności z art. 10b ustawy o Inspekcji Ochrony Środowiska w zakresie wszystkich komponentów środowiska. Pracownicy grup w większości przypadków nie realizują osobiście kontroli podmiotów skupiając się na realizacji nw. działań:</w:t>
      </w:r>
    </w:p>
    <w:p w14:paraId="6BBF5ABD" w14:textId="77777777" w:rsidR="00771773" w:rsidRPr="00771773" w:rsidRDefault="00771773" w:rsidP="001E735D">
      <w:pPr>
        <w:numPr>
          <w:ilvl w:val="0"/>
          <w:numId w:val="255"/>
        </w:numPr>
        <w:spacing w:after="60" w:line="300" w:lineRule="atLeast"/>
        <w:ind w:left="284" w:hanging="284"/>
        <w:jc w:val="both"/>
        <w:rPr>
          <w:rFonts w:ascii="Times New Roman" w:hAnsi="Times New Roman" w:cs="Times New Roman"/>
          <w:sz w:val="24"/>
          <w:szCs w:val="24"/>
          <w:u w:val="single"/>
        </w:rPr>
      </w:pPr>
      <w:r w:rsidRPr="00771773">
        <w:rPr>
          <w:rFonts w:ascii="Times New Roman" w:hAnsi="Times New Roman" w:cs="Times New Roman"/>
          <w:sz w:val="24"/>
          <w:szCs w:val="24"/>
          <w:u w:val="single"/>
          <w:lang w:eastAsia="x-none"/>
        </w:rPr>
        <w:t xml:space="preserve">Nadzór nad ujawnionymi miejscami nielegalnego nagromadzenia odpadów   </w:t>
      </w:r>
    </w:p>
    <w:p w14:paraId="27090218" w14:textId="77777777" w:rsidR="00771773" w:rsidRPr="00771773" w:rsidRDefault="00771773" w:rsidP="001E735D">
      <w:pPr>
        <w:spacing w:line="300" w:lineRule="atLeast"/>
        <w:ind w:firstLine="567"/>
        <w:contextualSpacing/>
        <w:jc w:val="both"/>
        <w:rPr>
          <w:rFonts w:ascii="Times New Roman" w:hAnsi="Times New Roman" w:cs="Times New Roman"/>
          <w:sz w:val="24"/>
          <w:szCs w:val="24"/>
        </w:rPr>
      </w:pPr>
      <w:r w:rsidRPr="00771773">
        <w:rPr>
          <w:rFonts w:ascii="Times New Roman" w:hAnsi="Times New Roman" w:cs="Times New Roman"/>
          <w:sz w:val="24"/>
          <w:szCs w:val="24"/>
        </w:rPr>
        <w:t xml:space="preserve">W 2022 r. dokonywano weryfikacji miejsc nagromadzenia odpadów. Czynności były przeprowadzone wspólnie z przedstawicielami samorządu terytorialnego, w tym dokonano analizy jakościowej powietrza na zawartość LZO (analizy na zlecenie WIOŚ wykonało CLB GIOŚ). </w:t>
      </w:r>
    </w:p>
    <w:p w14:paraId="1FA208E5" w14:textId="61216C28" w:rsidR="00771773" w:rsidRPr="00771773" w:rsidRDefault="00771773" w:rsidP="001E735D">
      <w:pPr>
        <w:spacing w:after="60" w:line="300" w:lineRule="atLeast"/>
        <w:ind w:firstLine="567"/>
        <w:jc w:val="both"/>
        <w:rPr>
          <w:rFonts w:ascii="Times New Roman" w:hAnsi="Times New Roman" w:cs="Times New Roman"/>
          <w:sz w:val="24"/>
          <w:szCs w:val="24"/>
        </w:rPr>
      </w:pPr>
      <w:r w:rsidRPr="00771773">
        <w:rPr>
          <w:rFonts w:ascii="Times New Roman" w:hAnsi="Times New Roman" w:cs="Times New Roman"/>
          <w:sz w:val="24"/>
          <w:szCs w:val="24"/>
        </w:rPr>
        <w:t>W 2022 r. Zespoły Interwencyjno-Wyjazdowe WIOŚ prowadziły wielokrotnie obserwację w godzinach nocnych w związku z  podejrzeniem prowadzenia nielegalnej gospodarki odpadami poprzez spalanie odpadów. Ponadto wspólnie z ITD, KAS i </w:t>
      </w:r>
      <w:r w:rsidR="00F8082B">
        <w:rPr>
          <w:rFonts w:ascii="Times New Roman" w:hAnsi="Times New Roman" w:cs="Times New Roman"/>
          <w:sz w:val="24"/>
          <w:szCs w:val="24"/>
        </w:rPr>
        <w:t>P</w:t>
      </w:r>
      <w:r w:rsidRPr="00771773">
        <w:rPr>
          <w:rFonts w:ascii="Times New Roman" w:hAnsi="Times New Roman" w:cs="Times New Roman"/>
          <w:sz w:val="24"/>
          <w:szCs w:val="24"/>
        </w:rPr>
        <w:t>olicją realizowano kontrole drogowe w godzinach nocnych.</w:t>
      </w:r>
    </w:p>
    <w:p w14:paraId="263BF92F" w14:textId="77777777" w:rsidR="00771773" w:rsidRPr="00771773" w:rsidRDefault="00771773" w:rsidP="001E735D">
      <w:pPr>
        <w:numPr>
          <w:ilvl w:val="0"/>
          <w:numId w:val="255"/>
        </w:numPr>
        <w:spacing w:after="60" w:line="300" w:lineRule="atLeast"/>
        <w:ind w:left="284" w:hanging="284"/>
        <w:jc w:val="both"/>
        <w:rPr>
          <w:rFonts w:ascii="Times New Roman" w:hAnsi="Times New Roman" w:cs="Times New Roman"/>
          <w:sz w:val="24"/>
          <w:szCs w:val="24"/>
          <w:u w:val="single"/>
          <w:lang w:eastAsia="x-none"/>
        </w:rPr>
      </w:pPr>
      <w:r w:rsidRPr="00771773">
        <w:rPr>
          <w:rFonts w:ascii="Times New Roman" w:hAnsi="Times New Roman" w:cs="Times New Roman"/>
          <w:sz w:val="24"/>
          <w:szCs w:val="24"/>
          <w:u w:val="single"/>
          <w:lang w:eastAsia="x-none"/>
        </w:rPr>
        <w:lastRenderedPageBreak/>
        <w:t xml:space="preserve">Identyfikacja miejsc odzysku polegającego na stosowaniu komunalnych osadów ściekowych na terenie województwa mazowieckiego </w:t>
      </w:r>
    </w:p>
    <w:p w14:paraId="65D33832" w14:textId="77777777" w:rsidR="00771773" w:rsidRPr="00771773" w:rsidRDefault="00771773" w:rsidP="001E735D">
      <w:pPr>
        <w:spacing w:after="60" w:line="300" w:lineRule="atLeast"/>
        <w:ind w:firstLine="567"/>
        <w:jc w:val="both"/>
        <w:rPr>
          <w:rFonts w:ascii="Times New Roman" w:hAnsi="Times New Roman" w:cs="Times New Roman"/>
          <w:sz w:val="24"/>
          <w:szCs w:val="24"/>
        </w:rPr>
      </w:pPr>
      <w:r w:rsidRPr="00771773">
        <w:rPr>
          <w:rFonts w:ascii="Times New Roman" w:hAnsi="Times New Roman" w:cs="Times New Roman"/>
          <w:sz w:val="24"/>
          <w:szCs w:val="24"/>
        </w:rPr>
        <w:t xml:space="preserve">W 2022 r. Zespoły Interwencyjno-Wyjazdowe WIOŚ dokonywały weryfikacji stosowania komunalnych osadów ściekowych w rolnictwie. W wyniku prowadzonych czynności  przeprowadzono obserwację zakładów, a także dokonywano obserwacji pojazdów przewożących osady do miejsca docelowego. </w:t>
      </w:r>
    </w:p>
    <w:p w14:paraId="731FB1E0" w14:textId="77777777" w:rsidR="00771773" w:rsidRPr="00771773" w:rsidRDefault="00771773" w:rsidP="001E735D">
      <w:pPr>
        <w:numPr>
          <w:ilvl w:val="0"/>
          <w:numId w:val="255"/>
        </w:numPr>
        <w:spacing w:after="60" w:line="300" w:lineRule="atLeast"/>
        <w:ind w:left="284" w:hanging="284"/>
        <w:jc w:val="both"/>
        <w:rPr>
          <w:rFonts w:ascii="Times New Roman" w:hAnsi="Times New Roman" w:cs="Times New Roman"/>
          <w:sz w:val="24"/>
          <w:szCs w:val="24"/>
          <w:u w:val="single"/>
          <w:lang w:eastAsia="x-none"/>
        </w:rPr>
      </w:pPr>
      <w:r w:rsidRPr="00771773">
        <w:rPr>
          <w:rFonts w:ascii="Times New Roman" w:hAnsi="Times New Roman" w:cs="Times New Roman"/>
          <w:sz w:val="24"/>
          <w:szCs w:val="24"/>
          <w:u w:val="single"/>
          <w:lang w:eastAsia="x-none"/>
        </w:rPr>
        <w:t xml:space="preserve"> Przeciwdziałanie nielegalnemu pozbywaniu się ścieków przemysłowych z sezonowych zakładów przetwórstwa owocowo – warzywnego </w:t>
      </w:r>
    </w:p>
    <w:p w14:paraId="21F7C4CE" w14:textId="77777777" w:rsidR="00771773" w:rsidRPr="00771773" w:rsidRDefault="00771773" w:rsidP="00F8082B">
      <w:pPr>
        <w:spacing w:line="300" w:lineRule="atLeast"/>
        <w:ind w:firstLine="567"/>
        <w:contextualSpacing/>
        <w:jc w:val="both"/>
        <w:rPr>
          <w:rFonts w:ascii="Times New Roman" w:hAnsi="Times New Roman" w:cs="Times New Roman"/>
          <w:sz w:val="24"/>
          <w:szCs w:val="24"/>
        </w:rPr>
      </w:pPr>
      <w:r w:rsidRPr="00771773">
        <w:rPr>
          <w:rFonts w:ascii="Times New Roman" w:hAnsi="Times New Roman" w:cs="Times New Roman"/>
          <w:sz w:val="24"/>
          <w:szCs w:val="24"/>
        </w:rPr>
        <w:t xml:space="preserve">W 2022 r. dokonano weryfikacji zakładów przetwórstwo owocowo – warzywnego pod kątem pozbywania się nieoczyszczonych ścieków. Weryfikacja odbyła się na jesieni i  wynikała ze stwierdzonych nieprawidłowości ujawnionych podczas wykonanych kontroli wcześniejszych. Weryfikacja dotyczyła również przysłanych odpowiedzi w związku z wydanymi zarządzeniami pokontrolnymi przez WIOŚ w Warszawie. </w:t>
      </w:r>
    </w:p>
    <w:p w14:paraId="3945D200" w14:textId="5A3F303E" w:rsidR="00771773" w:rsidRDefault="00771773" w:rsidP="00771773">
      <w:pPr>
        <w:spacing w:line="300" w:lineRule="atLeast"/>
        <w:contextualSpacing/>
        <w:jc w:val="both"/>
        <w:rPr>
          <w:rFonts w:ascii="Times New Roman" w:hAnsi="Times New Roman" w:cs="Times New Roman"/>
          <w:i/>
          <w:color w:val="4472C4"/>
          <w:sz w:val="24"/>
          <w:szCs w:val="24"/>
        </w:rPr>
      </w:pPr>
    </w:p>
    <w:p w14:paraId="452AA213" w14:textId="0F988DCB" w:rsidR="00F8082B" w:rsidRDefault="00F8082B" w:rsidP="00771773">
      <w:pPr>
        <w:spacing w:line="300" w:lineRule="atLeast"/>
        <w:contextualSpacing/>
        <w:jc w:val="both"/>
        <w:rPr>
          <w:rFonts w:ascii="Times New Roman" w:hAnsi="Times New Roman" w:cs="Times New Roman"/>
          <w:i/>
          <w:color w:val="4472C4"/>
          <w:sz w:val="24"/>
          <w:szCs w:val="24"/>
        </w:rPr>
      </w:pPr>
    </w:p>
    <w:p w14:paraId="6A8464E2" w14:textId="77777777" w:rsidR="00F8082B" w:rsidRPr="00771773" w:rsidRDefault="00F8082B" w:rsidP="00771773">
      <w:pPr>
        <w:spacing w:line="300" w:lineRule="atLeast"/>
        <w:contextualSpacing/>
        <w:jc w:val="both"/>
        <w:rPr>
          <w:rFonts w:ascii="Times New Roman" w:hAnsi="Times New Roman" w:cs="Times New Roman"/>
          <w:i/>
          <w:color w:val="4472C4"/>
          <w:sz w:val="24"/>
          <w:szCs w:val="24"/>
        </w:rPr>
      </w:pPr>
    </w:p>
    <w:p w14:paraId="4696288F" w14:textId="77777777" w:rsidR="00771773" w:rsidRPr="00771773" w:rsidRDefault="00771773" w:rsidP="00DD3DBC">
      <w:pPr>
        <w:spacing w:after="60" w:line="300" w:lineRule="atLeast"/>
        <w:rPr>
          <w:rFonts w:ascii="Times New Roman" w:hAnsi="Times New Roman" w:cs="Times New Roman"/>
          <w:i/>
          <w:color w:val="4472C4"/>
          <w:sz w:val="24"/>
          <w:szCs w:val="24"/>
        </w:rPr>
      </w:pPr>
      <w:r w:rsidRPr="00771773">
        <w:rPr>
          <w:rFonts w:ascii="Times New Roman" w:hAnsi="Times New Roman" w:cs="Times New Roman"/>
          <w:i/>
          <w:color w:val="4472C4"/>
          <w:sz w:val="24"/>
          <w:szCs w:val="24"/>
        </w:rPr>
        <w:t>Wojewódzki Inspektorat Ochrony Środowiska we Wrocławiu</w:t>
      </w:r>
    </w:p>
    <w:p w14:paraId="099ED8A2" w14:textId="584565D6" w:rsidR="00771773" w:rsidRPr="00771773" w:rsidRDefault="00771773" w:rsidP="001E735D">
      <w:pPr>
        <w:spacing w:line="300" w:lineRule="atLeast"/>
        <w:ind w:firstLine="567"/>
        <w:contextualSpacing/>
        <w:jc w:val="both"/>
        <w:rPr>
          <w:rFonts w:ascii="Times New Roman" w:hAnsi="Times New Roman" w:cs="Times New Roman"/>
          <w:i/>
          <w:color w:val="4472C4"/>
          <w:sz w:val="24"/>
          <w:szCs w:val="24"/>
        </w:rPr>
      </w:pPr>
      <w:r w:rsidRPr="00771773">
        <w:rPr>
          <w:rFonts w:ascii="Times New Roman" w:hAnsi="Times New Roman" w:cs="Times New Roman"/>
          <w:sz w:val="24"/>
          <w:szCs w:val="24"/>
        </w:rPr>
        <w:t xml:space="preserve">Na terenie Dolnego Śląska w roku 2022 działania prowadzone zgodnie z art.10b ustawy </w:t>
      </w:r>
      <w:r w:rsidR="00DD3DBC">
        <w:rPr>
          <w:rFonts w:ascii="Times New Roman" w:hAnsi="Times New Roman" w:cs="Times New Roman"/>
          <w:sz w:val="24"/>
          <w:szCs w:val="24"/>
        </w:rPr>
        <w:br/>
      </w:r>
      <w:r w:rsidRPr="00771773">
        <w:rPr>
          <w:rFonts w:ascii="Times New Roman" w:hAnsi="Times New Roman" w:cs="Times New Roman"/>
          <w:sz w:val="24"/>
          <w:szCs w:val="24"/>
        </w:rPr>
        <w:t xml:space="preserve">o Inspekcji Ochrony Środowiska, przez inspektorów Wydziału/Działów Inspekcji,  </w:t>
      </w:r>
      <w:r w:rsidR="00DD3DBC">
        <w:rPr>
          <w:rFonts w:ascii="Times New Roman" w:hAnsi="Times New Roman" w:cs="Times New Roman"/>
          <w:sz w:val="24"/>
          <w:szCs w:val="24"/>
        </w:rPr>
        <w:br/>
      </w:r>
      <w:r w:rsidRPr="00771773">
        <w:rPr>
          <w:rFonts w:ascii="Times New Roman" w:hAnsi="Times New Roman" w:cs="Times New Roman"/>
          <w:sz w:val="24"/>
          <w:szCs w:val="24"/>
        </w:rPr>
        <w:t xml:space="preserve">w przeważającej części związane były </w:t>
      </w:r>
      <w:r w:rsidR="00DD3DBC">
        <w:rPr>
          <w:rFonts w:ascii="Times New Roman" w:hAnsi="Times New Roman" w:cs="Times New Roman"/>
          <w:sz w:val="24"/>
          <w:szCs w:val="24"/>
        </w:rPr>
        <w:t xml:space="preserve">z </w:t>
      </w:r>
      <w:r w:rsidRPr="00771773">
        <w:rPr>
          <w:rFonts w:ascii="Times New Roman" w:hAnsi="Times New Roman" w:cs="Times New Roman"/>
          <w:sz w:val="24"/>
          <w:szCs w:val="24"/>
        </w:rPr>
        <w:t xml:space="preserve">kryzysem ekologicznym na Odrze oraz gospodarką wodno-ściekową. Działania z art. 10b ustawy o Inspekcji Ochrony Środowiska  w związku </w:t>
      </w:r>
      <w:r w:rsidR="00DD3DBC">
        <w:rPr>
          <w:rFonts w:ascii="Times New Roman" w:hAnsi="Times New Roman" w:cs="Times New Roman"/>
          <w:sz w:val="24"/>
          <w:szCs w:val="24"/>
        </w:rPr>
        <w:br/>
      </w:r>
      <w:r w:rsidRPr="00771773">
        <w:rPr>
          <w:rFonts w:ascii="Times New Roman" w:hAnsi="Times New Roman" w:cs="Times New Roman"/>
          <w:sz w:val="24"/>
          <w:szCs w:val="24"/>
        </w:rPr>
        <w:t xml:space="preserve">z Odrą prowadzone były w 60 zakładach. </w:t>
      </w:r>
    </w:p>
    <w:p w14:paraId="2DE97ACC" w14:textId="77777777" w:rsidR="00771773" w:rsidRPr="00771773" w:rsidRDefault="00771773" w:rsidP="001E735D">
      <w:pPr>
        <w:spacing w:line="300" w:lineRule="atLeast"/>
        <w:ind w:firstLine="567"/>
        <w:contextualSpacing/>
        <w:jc w:val="both"/>
        <w:rPr>
          <w:rFonts w:ascii="Times New Roman" w:hAnsi="Times New Roman" w:cs="Times New Roman"/>
          <w:sz w:val="24"/>
          <w:szCs w:val="24"/>
        </w:rPr>
      </w:pPr>
      <w:r w:rsidRPr="00771773">
        <w:rPr>
          <w:rFonts w:ascii="Times New Roman" w:hAnsi="Times New Roman" w:cs="Times New Roman"/>
          <w:sz w:val="24"/>
          <w:szCs w:val="24"/>
        </w:rPr>
        <w:t>Ponadto podejmowane były czynności w związku z podejrzeniem naruszeń stanowiących wykroczenia bądź przestępstwa z zakresu emisji do powietrza, gospodarowania nawozami oraz recyklingu pojazdów wycofanych z eksploatacji.</w:t>
      </w:r>
    </w:p>
    <w:p w14:paraId="7118A392" w14:textId="77777777" w:rsidR="00771773" w:rsidRPr="00771773" w:rsidRDefault="00771773" w:rsidP="001E735D">
      <w:pPr>
        <w:spacing w:line="300" w:lineRule="atLeast"/>
        <w:ind w:firstLine="567"/>
        <w:contextualSpacing/>
        <w:jc w:val="both"/>
        <w:rPr>
          <w:rFonts w:ascii="Times New Roman" w:hAnsi="Times New Roman" w:cs="Times New Roman"/>
          <w:sz w:val="24"/>
          <w:szCs w:val="24"/>
        </w:rPr>
      </w:pPr>
      <w:r w:rsidRPr="00771773">
        <w:rPr>
          <w:rFonts w:ascii="Times New Roman" w:hAnsi="Times New Roman" w:cs="Times New Roman"/>
          <w:sz w:val="24"/>
          <w:szCs w:val="24"/>
        </w:rPr>
        <w:t>W niektórych przypadkach w ramach jednego zgłoszenia weryfikowano spełnienie wymagań zarówno odnośnie gospodarowania odpadami, jaki i emisji do powietrza. Przykładowo w sytuacji podejrzenia spalania odpadów w kotłowniach o małej mocy w związku z zadymianiem weryfikowano również spełnianie wymagań uchwały antysmogowej (naruszenia w obydwu zakresach stanowią wykroczenia).</w:t>
      </w:r>
    </w:p>
    <w:p w14:paraId="59481278" w14:textId="081AA8F3" w:rsidR="00771773" w:rsidRPr="00771773" w:rsidRDefault="00771773" w:rsidP="001E735D">
      <w:pPr>
        <w:spacing w:after="60" w:line="300" w:lineRule="atLeast"/>
        <w:ind w:firstLine="567"/>
        <w:jc w:val="both"/>
        <w:rPr>
          <w:rFonts w:ascii="Times New Roman" w:hAnsi="Times New Roman" w:cs="Times New Roman"/>
          <w:sz w:val="24"/>
          <w:szCs w:val="24"/>
        </w:rPr>
      </w:pPr>
      <w:r w:rsidRPr="00771773">
        <w:rPr>
          <w:rFonts w:ascii="Times New Roman" w:hAnsi="Times New Roman" w:cs="Times New Roman"/>
          <w:sz w:val="24"/>
          <w:szCs w:val="24"/>
        </w:rPr>
        <w:t xml:space="preserve">Inspektorzy Wydziału Zwalczania Przestępczości Środowiskowej zajmowali się głównie rozpatrywaniem wniosków o interwencję/kontrolę w zakresie gospodarki odpadami.  Od maja 2022 r. przeprowadzono 101 działań z art. 10b ustawy o Inspekcji Ochrony Środowiska. </w:t>
      </w:r>
      <w:r w:rsidR="00397E7F">
        <w:rPr>
          <w:rFonts w:ascii="Times New Roman" w:hAnsi="Times New Roman" w:cs="Times New Roman"/>
          <w:sz w:val="24"/>
          <w:szCs w:val="24"/>
        </w:rPr>
        <w:br/>
      </w:r>
      <w:r w:rsidRPr="00771773">
        <w:rPr>
          <w:rFonts w:ascii="Times New Roman" w:hAnsi="Times New Roman" w:cs="Times New Roman"/>
          <w:sz w:val="24"/>
          <w:szCs w:val="24"/>
        </w:rPr>
        <w:t>W analizowanym okresie rozpatrzono 186 wniosków o interwencję</w:t>
      </w:r>
      <w:r w:rsidR="00397E7F">
        <w:rPr>
          <w:rFonts w:ascii="Times New Roman" w:hAnsi="Times New Roman" w:cs="Times New Roman"/>
          <w:sz w:val="24"/>
          <w:szCs w:val="24"/>
        </w:rPr>
        <w:t>:</w:t>
      </w:r>
      <w:r w:rsidRPr="00771773">
        <w:rPr>
          <w:rFonts w:ascii="Times New Roman" w:hAnsi="Times New Roman" w:cs="Times New Roman"/>
          <w:sz w:val="24"/>
          <w:szCs w:val="24"/>
        </w:rPr>
        <w:t xml:space="preserve"> </w:t>
      </w:r>
    </w:p>
    <w:p w14:paraId="3CF97E4E" w14:textId="3836ECCD" w:rsidR="00771773" w:rsidRPr="00397E7F" w:rsidRDefault="00771773" w:rsidP="00D34F97">
      <w:pPr>
        <w:pStyle w:val="Akapitzlist"/>
        <w:numPr>
          <w:ilvl w:val="0"/>
          <w:numId w:val="258"/>
        </w:numPr>
        <w:spacing w:line="300" w:lineRule="atLeast"/>
        <w:jc w:val="both"/>
        <w:rPr>
          <w:sz w:val="24"/>
          <w:szCs w:val="24"/>
        </w:rPr>
      </w:pPr>
      <w:r w:rsidRPr="00397E7F">
        <w:rPr>
          <w:sz w:val="24"/>
          <w:szCs w:val="24"/>
        </w:rPr>
        <w:t>38 przekazano innym organom do załatwienia wg właściwości,</w:t>
      </w:r>
    </w:p>
    <w:p w14:paraId="4A6F41B7" w14:textId="30F1F2E8" w:rsidR="00771773" w:rsidRPr="00397E7F" w:rsidRDefault="00771773" w:rsidP="00D34F97">
      <w:pPr>
        <w:pStyle w:val="Akapitzlist"/>
        <w:numPr>
          <w:ilvl w:val="0"/>
          <w:numId w:val="258"/>
        </w:numPr>
        <w:spacing w:line="300" w:lineRule="atLeast"/>
        <w:jc w:val="both"/>
        <w:rPr>
          <w:sz w:val="24"/>
          <w:szCs w:val="24"/>
        </w:rPr>
      </w:pPr>
      <w:r w:rsidRPr="00397E7F">
        <w:rPr>
          <w:sz w:val="24"/>
          <w:szCs w:val="24"/>
        </w:rPr>
        <w:t>148 załatwiono we własnym zakresie.</w:t>
      </w:r>
    </w:p>
    <w:p w14:paraId="2938D8FB" w14:textId="77777777" w:rsidR="00771773" w:rsidRPr="00397E7F" w:rsidRDefault="00771773" w:rsidP="00397E7F">
      <w:pPr>
        <w:pStyle w:val="Akapitzlist"/>
        <w:spacing w:line="300" w:lineRule="atLeast"/>
        <w:jc w:val="both"/>
        <w:rPr>
          <w:sz w:val="24"/>
          <w:szCs w:val="24"/>
        </w:rPr>
      </w:pPr>
      <w:r w:rsidRPr="00397E7F">
        <w:rPr>
          <w:sz w:val="24"/>
          <w:szCs w:val="24"/>
        </w:rPr>
        <w:t>z tego:</w:t>
      </w:r>
    </w:p>
    <w:p w14:paraId="04E8E450" w14:textId="24A46AC7" w:rsidR="00771773" w:rsidRPr="00397E7F" w:rsidRDefault="00771773" w:rsidP="00D34F97">
      <w:pPr>
        <w:pStyle w:val="Akapitzlist"/>
        <w:numPr>
          <w:ilvl w:val="0"/>
          <w:numId w:val="258"/>
        </w:numPr>
        <w:spacing w:line="300" w:lineRule="atLeast"/>
        <w:jc w:val="both"/>
        <w:rPr>
          <w:sz w:val="24"/>
          <w:szCs w:val="24"/>
        </w:rPr>
      </w:pPr>
      <w:r w:rsidRPr="00397E7F">
        <w:rPr>
          <w:sz w:val="24"/>
          <w:szCs w:val="24"/>
        </w:rPr>
        <w:t>154 „pozytywnie”,</w:t>
      </w:r>
    </w:p>
    <w:p w14:paraId="758B7D58" w14:textId="0906E779" w:rsidR="00771773" w:rsidRPr="00397E7F" w:rsidRDefault="00771773" w:rsidP="00D34F97">
      <w:pPr>
        <w:pStyle w:val="Akapitzlist"/>
        <w:numPr>
          <w:ilvl w:val="0"/>
          <w:numId w:val="258"/>
        </w:numPr>
        <w:spacing w:line="300" w:lineRule="atLeast"/>
        <w:jc w:val="both"/>
        <w:rPr>
          <w:sz w:val="24"/>
          <w:szCs w:val="24"/>
        </w:rPr>
      </w:pPr>
      <w:r w:rsidRPr="00397E7F">
        <w:rPr>
          <w:sz w:val="24"/>
          <w:szCs w:val="24"/>
        </w:rPr>
        <w:t>17 „negatywnie”,</w:t>
      </w:r>
    </w:p>
    <w:p w14:paraId="03548039" w14:textId="0F78246C" w:rsidR="00771773" w:rsidRPr="00397E7F" w:rsidRDefault="00771773" w:rsidP="00D34F97">
      <w:pPr>
        <w:pStyle w:val="Akapitzlist"/>
        <w:numPr>
          <w:ilvl w:val="0"/>
          <w:numId w:val="258"/>
        </w:numPr>
        <w:spacing w:line="300" w:lineRule="atLeast"/>
        <w:jc w:val="both"/>
        <w:rPr>
          <w:sz w:val="24"/>
          <w:szCs w:val="24"/>
        </w:rPr>
      </w:pPr>
      <w:r w:rsidRPr="00397E7F">
        <w:rPr>
          <w:sz w:val="24"/>
          <w:szCs w:val="24"/>
        </w:rPr>
        <w:t>15 „inny”.</w:t>
      </w:r>
    </w:p>
    <w:p w14:paraId="5BC7C9DF" w14:textId="77777777" w:rsidR="00771773" w:rsidRPr="00771773" w:rsidRDefault="00771773" w:rsidP="00771773">
      <w:pPr>
        <w:spacing w:line="300" w:lineRule="atLeast"/>
        <w:contextualSpacing/>
        <w:rPr>
          <w:rFonts w:ascii="Times New Roman" w:hAnsi="Times New Roman" w:cs="Times New Roman"/>
          <w:i/>
          <w:color w:val="4472C4"/>
          <w:sz w:val="24"/>
          <w:szCs w:val="24"/>
        </w:rPr>
      </w:pPr>
    </w:p>
    <w:p w14:paraId="1A984E94" w14:textId="77777777" w:rsidR="00771773" w:rsidRPr="00771773" w:rsidRDefault="00771773" w:rsidP="00397E7F">
      <w:pPr>
        <w:spacing w:after="60" w:line="300" w:lineRule="atLeast"/>
        <w:rPr>
          <w:rFonts w:ascii="Times New Roman" w:hAnsi="Times New Roman" w:cs="Times New Roman"/>
          <w:i/>
          <w:color w:val="4472C4"/>
          <w:sz w:val="24"/>
          <w:szCs w:val="24"/>
        </w:rPr>
      </w:pPr>
      <w:r w:rsidRPr="00771773">
        <w:rPr>
          <w:rFonts w:ascii="Times New Roman" w:hAnsi="Times New Roman" w:cs="Times New Roman"/>
          <w:i/>
          <w:color w:val="4472C4"/>
          <w:sz w:val="24"/>
          <w:szCs w:val="24"/>
        </w:rPr>
        <w:t>Wojewódzki Inspektorat Ochrony Środowiska w Zielonej Górze</w:t>
      </w:r>
    </w:p>
    <w:p w14:paraId="1398D8A1" w14:textId="501E1048" w:rsidR="00A22034" w:rsidRPr="00771773" w:rsidRDefault="00771773" w:rsidP="00397E7F">
      <w:pPr>
        <w:pStyle w:val="Akapitzlist"/>
        <w:spacing w:line="300" w:lineRule="atLeast"/>
        <w:ind w:left="0" w:firstLine="567"/>
        <w:jc w:val="both"/>
        <w:rPr>
          <w:color w:val="000000"/>
          <w:sz w:val="24"/>
          <w:szCs w:val="24"/>
        </w:rPr>
      </w:pPr>
      <w:r w:rsidRPr="00771773">
        <w:rPr>
          <w:sz w:val="24"/>
          <w:szCs w:val="24"/>
        </w:rPr>
        <w:t>Działalność grupy jest ukierunkowana na transgraniczny transport odpadów</w:t>
      </w:r>
      <w:r w:rsidR="00397E7F">
        <w:rPr>
          <w:sz w:val="24"/>
          <w:szCs w:val="24"/>
          <w:lang w:val="pl-PL"/>
        </w:rPr>
        <w:t>,</w:t>
      </w:r>
      <w:r w:rsidRPr="00771773">
        <w:rPr>
          <w:sz w:val="24"/>
          <w:szCs w:val="24"/>
        </w:rPr>
        <w:t xml:space="preserve"> w tym miejsca rekultywacji oraz miejsca bez wymaganej strony formalno-prawnej, nielegalne stacje demontażów pojazdów, które swoją działalnością przyczyniają się do degradacji środowiska </w:t>
      </w:r>
      <w:r w:rsidRPr="00771773">
        <w:rPr>
          <w:sz w:val="24"/>
          <w:szCs w:val="24"/>
        </w:rPr>
        <w:lastRenderedPageBreak/>
        <w:t xml:space="preserve">naturalnego. Przy zwalczaniu czynów zabronionych prowadzona jest ścisła współpraca </w:t>
      </w:r>
      <w:r w:rsidR="00397E7F">
        <w:rPr>
          <w:sz w:val="24"/>
          <w:szCs w:val="24"/>
        </w:rPr>
        <w:br/>
      </w:r>
      <w:r w:rsidRPr="00771773">
        <w:rPr>
          <w:sz w:val="24"/>
          <w:szCs w:val="24"/>
        </w:rPr>
        <w:t>z Policją, Krajową Administracją Skarbową, Strażą Graniczną, Strażą Leśną, Strażą Pożarną, Strażami miejskimi i gminnymi</w:t>
      </w:r>
      <w:r w:rsidR="00A22034" w:rsidRPr="00771773">
        <w:rPr>
          <w:color w:val="000000"/>
          <w:sz w:val="24"/>
          <w:szCs w:val="24"/>
        </w:rPr>
        <w:t xml:space="preserve">. </w:t>
      </w:r>
    </w:p>
    <w:p w14:paraId="53831BB3" w14:textId="77777777" w:rsidR="00A22034" w:rsidRPr="007F400A" w:rsidRDefault="00A22034" w:rsidP="00A21262">
      <w:pPr>
        <w:pStyle w:val="Akapitzlist"/>
        <w:spacing w:line="300" w:lineRule="atLeast"/>
        <w:ind w:left="0"/>
        <w:jc w:val="both"/>
        <w:rPr>
          <w:b/>
          <w:color w:val="000000"/>
          <w:sz w:val="24"/>
          <w:szCs w:val="24"/>
        </w:rPr>
      </w:pPr>
    </w:p>
    <w:p w14:paraId="67CA8DEC" w14:textId="4B34FE2C" w:rsidR="00A22034" w:rsidRPr="007F400A" w:rsidRDefault="00A22034" w:rsidP="001E735D">
      <w:pPr>
        <w:pStyle w:val="Akapitzlist"/>
        <w:numPr>
          <w:ilvl w:val="1"/>
          <w:numId w:val="148"/>
        </w:numPr>
        <w:spacing w:after="120" w:line="300" w:lineRule="atLeast"/>
        <w:ind w:left="357" w:hanging="357"/>
        <w:contextualSpacing w:val="0"/>
        <w:jc w:val="both"/>
        <w:outlineLvl w:val="0"/>
        <w:rPr>
          <w:b/>
          <w:color w:val="000000" w:themeColor="text1"/>
          <w:sz w:val="24"/>
          <w:szCs w:val="24"/>
          <w:u w:val="single"/>
        </w:rPr>
      </w:pPr>
      <w:bookmarkStart w:id="312" w:name="_Toc99469612"/>
      <w:bookmarkStart w:id="313" w:name="_Toc135935672"/>
      <w:r w:rsidRPr="007F400A">
        <w:rPr>
          <w:rStyle w:val="Nagwek3Znak"/>
          <w:rFonts w:ascii="Times New Roman" w:eastAsia="Calibri" w:hAnsi="Times New Roman"/>
          <w:color w:val="000000" w:themeColor="text1"/>
          <w:sz w:val="24"/>
          <w:szCs w:val="24"/>
        </w:rPr>
        <w:t>Ilościowe wskazanie wykorzystania środków technicznych</w:t>
      </w:r>
      <w:bookmarkEnd w:id="312"/>
      <w:bookmarkEnd w:id="313"/>
    </w:p>
    <w:p w14:paraId="7C10D1BF" w14:textId="6BA11993" w:rsidR="00397E7F" w:rsidRPr="00397E7F" w:rsidRDefault="00397E7F" w:rsidP="00112904">
      <w:pPr>
        <w:spacing w:after="0" w:line="300" w:lineRule="atLeast"/>
        <w:ind w:firstLine="567"/>
        <w:jc w:val="both"/>
        <w:rPr>
          <w:rFonts w:ascii="Times New Roman" w:hAnsi="Times New Roman" w:cs="Times New Roman"/>
          <w:sz w:val="24"/>
          <w:szCs w:val="24"/>
        </w:rPr>
      </w:pPr>
      <w:r w:rsidRPr="00397E7F">
        <w:rPr>
          <w:rFonts w:ascii="Times New Roman" w:hAnsi="Times New Roman" w:cs="Times New Roman"/>
          <w:sz w:val="24"/>
          <w:szCs w:val="24"/>
        </w:rPr>
        <w:t xml:space="preserve">W 2022 roku Departament Zwalczania Przestępczości Środowiskowej </w:t>
      </w:r>
      <w:r>
        <w:rPr>
          <w:rFonts w:ascii="Times New Roman" w:hAnsi="Times New Roman" w:cs="Times New Roman"/>
          <w:sz w:val="24"/>
          <w:szCs w:val="24"/>
        </w:rPr>
        <w:t xml:space="preserve">GIOŚ </w:t>
      </w:r>
      <w:r w:rsidRPr="00397E7F">
        <w:rPr>
          <w:rFonts w:ascii="Times New Roman" w:hAnsi="Times New Roman" w:cs="Times New Roman"/>
          <w:sz w:val="24"/>
          <w:szCs w:val="24"/>
        </w:rPr>
        <w:t xml:space="preserve">wykonał łącznie 88 operacji powietrznych BSP </w:t>
      </w:r>
      <w:r>
        <w:rPr>
          <w:rFonts w:ascii="Times New Roman" w:hAnsi="Times New Roman" w:cs="Times New Roman"/>
          <w:sz w:val="24"/>
          <w:szCs w:val="24"/>
        </w:rPr>
        <w:t xml:space="preserve">- </w:t>
      </w:r>
      <w:r w:rsidRPr="00397E7F">
        <w:rPr>
          <w:rFonts w:ascii="Times New Roman" w:hAnsi="Times New Roman" w:cs="Times New Roman"/>
          <w:sz w:val="24"/>
          <w:szCs w:val="24"/>
        </w:rPr>
        <w:t xml:space="preserve">dla porównania w roku 2021 przeprowadzono 51 operacji lotniczych. </w:t>
      </w:r>
    </w:p>
    <w:p w14:paraId="6851FAB4" w14:textId="11B90B6C" w:rsidR="00397E7F" w:rsidRPr="00397E7F" w:rsidRDefault="00397E7F" w:rsidP="00112904">
      <w:pPr>
        <w:spacing w:after="0" w:line="300" w:lineRule="atLeast"/>
        <w:ind w:firstLine="567"/>
        <w:jc w:val="both"/>
        <w:rPr>
          <w:rFonts w:ascii="Times New Roman" w:hAnsi="Times New Roman" w:cs="Times New Roman"/>
          <w:sz w:val="24"/>
          <w:szCs w:val="24"/>
        </w:rPr>
      </w:pPr>
      <w:r w:rsidRPr="00397E7F">
        <w:rPr>
          <w:rFonts w:ascii="Times New Roman" w:hAnsi="Times New Roman" w:cs="Times New Roman"/>
          <w:sz w:val="24"/>
          <w:szCs w:val="24"/>
        </w:rPr>
        <w:t xml:space="preserve">Wydział Interwencyjno-Operacyjny </w:t>
      </w:r>
      <w:r w:rsidR="00112904">
        <w:rPr>
          <w:rFonts w:ascii="Times New Roman" w:hAnsi="Times New Roman" w:cs="Times New Roman"/>
          <w:sz w:val="24"/>
          <w:szCs w:val="24"/>
        </w:rPr>
        <w:t xml:space="preserve">DZPŚ GIOŚ </w:t>
      </w:r>
      <w:r w:rsidRPr="00397E7F">
        <w:rPr>
          <w:rFonts w:ascii="Times New Roman" w:hAnsi="Times New Roman" w:cs="Times New Roman"/>
          <w:sz w:val="24"/>
          <w:szCs w:val="24"/>
        </w:rPr>
        <w:t xml:space="preserve">w ramach prowadzony działań wykorzystał BSP 34 razy. Kamera lub aparat fotograficzny zostały użyte 18 razy. </w:t>
      </w:r>
      <w:proofErr w:type="spellStart"/>
      <w:r w:rsidRPr="00397E7F">
        <w:rPr>
          <w:rFonts w:ascii="Times New Roman" w:hAnsi="Times New Roman" w:cs="Times New Roman"/>
          <w:sz w:val="24"/>
          <w:szCs w:val="24"/>
        </w:rPr>
        <w:t>Fotopułapki</w:t>
      </w:r>
      <w:proofErr w:type="spellEnd"/>
      <w:r w:rsidRPr="00397E7F">
        <w:rPr>
          <w:rFonts w:ascii="Times New Roman" w:hAnsi="Times New Roman" w:cs="Times New Roman"/>
          <w:sz w:val="24"/>
          <w:szCs w:val="24"/>
        </w:rPr>
        <w:t xml:space="preserve"> zostały wykorzystane przy 6 działaniach.</w:t>
      </w:r>
    </w:p>
    <w:p w14:paraId="79324D1A" w14:textId="77777777" w:rsidR="001E735D" w:rsidRDefault="00397E7F" w:rsidP="001E735D">
      <w:pPr>
        <w:spacing w:after="0" w:line="300" w:lineRule="atLeast"/>
        <w:ind w:firstLine="567"/>
        <w:jc w:val="both"/>
        <w:rPr>
          <w:rFonts w:ascii="Times New Roman" w:hAnsi="Times New Roman" w:cs="Times New Roman"/>
          <w:sz w:val="24"/>
          <w:szCs w:val="24"/>
        </w:rPr>
      </w:pPr>
      <w:r w:rsidRPr="00397E7F">
        <w:rPr>
          <w:rFonts w:ascii="Times New Roman" w:hAnsi="Times New Roman" w:cs="Times New Roman"/>
          <w:sz w:val="24"/>
          <w:szCs w:val="24"/>
        </w:rPr>
        <w:t xml:space="preserve">Zespół Stosowania Techniki Specjalnej </w:t>
      </w:r>
      <w:r w:rsidR="00112904">
        <w:rPr>
          <w:rFonts w:ascii="Times New Roman" w:hAnsi="Times New Roman" w:cs="Times New Roman"/>
          <w:sz w:val="24"/>
          <w:szCs w:val="24"/>
        </w:rPr>
        <w:t xml:space="preserve">DZPŚ GIOŚ </w:t>
      </w:r>
      <w:r w:rsidRPr="00397E7F">
        <w:rPr>
          <w:rFonts w:ascii="Times New Roman" w:hAnsi="Times New Roman" w:cs="Times New Roman"/>
          <w:sz w:val="24"/>
          <w:szCs w:val="24"/>
        </w:rPr>
        <w:t xml:space="preserve">w 2022 roku zrealizował 12 badań geofizycznych przy użyciu </w:t>
      </w:r>
      <w:proofErr w:type="spellStart"/>
      <w:r w:rsidRPr="00397E7F">
        <w:rPr>
          <w:rFonts w:ascii="Times New Roman" w:hAnsi="Times New Roman" w:cs="Times New Roman"/>
          <w:sz w:val="24"/>
          <w:szCs w:val="24"/>
        </w:rPr>
        <w:t>georadaru</w:t>
      </w:r>
      <w:proofErr w:type="spellEnd"/>
      <w:r w:rsidRPr="00397E7F">
        <w:rPr>
          <w:rFonts w:ascii="Times New Roman" w:hAnsi="Times New Roman" w:cs="Times New Roman"/>
          <w:sz w:val="24"/>
          <w:szCs w:val="24"/>
        </w:rPr>
        <w:t xml:space="preserve">, dla porównania w roku 2021 wykonano 6 badań geofizycznych z użyciem </w:t>
      </w:r>
      <w:proofErr w:type="spellStart"/>
      <w:r w:rsidRPr="00397E7F">
        <w:rPr>
          <w:rFonts w:ascii="Times New Roman" w:hAnsi="Times New Roman" w:cs="Times New Roman"/>
          <w:sz w:val="24"/>
          <w:szCs w:val="24"/>
        </w:rPr>
        <w:t>georadaru</w:t>
      </w:r>
      <w:proofErr w:type="spellEnd"/>
      <w:r w:rsidRPr="00397E7F">
        <w:rPr>
          <w:rFonts w:ascii="Times New Roman" w:hAnsi="Times New Roman" w:cs="Times New Roman"/>
          <w:sz w:val="24"/>
          <w:szCs w:val="24"/>
        </w:rPr>
        <w:t>.</w:t>
      </w:r>
    </w:p>
    <w:p w14:paraId="2C0BB258" w14:textId="3C754058" w:rsidR="00397E7F" w:rsidRPr="00397E7F" w:rsidRDefault="00397E7F" w:rsidP="00112904">
      <w:pPr>
        <w:spacing w:after="0" w:line="300" w:lineRule="atLeast"/>
        <w:ind w:firstLine="567"/>
        <w:jc w:val="both"/>
        <w:rPr>
          <w:rFonts w:ascii="Times New Roman" w:hAnsi="Times New Roman" w:cs="Times New Roman"/>
          <w:sz w:val="24"/>
          <w:szCs w:val="24"/>
        </w:rPr>
      </w:pPr>
      <w:r w:rsidRPr="00397E7F">
        <w:rPr>
          <w:rFonts w:ascii="Times New Roman" w:hAnsi="Times New Roman" w:cs="Times New Roman"/>
          <w:sz w:val="24"/>
          <w:szCs w:val="24"/>
        </w:rPr>
        <w:t xml:space="preserve"> </w:t>
      </w:r>
    </w:p>
    <w:p w14:paraId="541D3A10" w14:textId="77777777" w:rsidR="00397E7F" w:rsidRPr="00397E7F" w:rsidRDefault="00397E7F" w:rsidP="00397E7F">
      <w:pPr>
        <w:spacing w:line="300" w:lineRule="atLeast"/>
        <w:contextualSpacing/>
        <w:jc w:val="both"/>
        <w:rPr>
          <w:rFonts w:ascii="Times New Roman" w:hAnsi="Times New Roman" w:cs="Times New Roman"/>
          <w:i/>
          <w:color w:val="4472C4"/>
          <w:sz w:val="24"/>
          <w:szCs w:val="24"/>
        </w:rPr>
      </w:pPr>
      <w:r w:rsidRPr="00397E7F">
        <w:rPr>
          <w:rFonts w:ascii="Times New Roman" w:hAnsi="Times New Roman" w:cs="Times New Roman"/>
          <w:i/>
          <w:color w:val="4472C4"/>
          <w:sz w:val="24"/>
          <w:szCs w:val="24"/>
        </w:rPr>
        <w:t>Wojewódzki Inspektorat Ochrony Środowiska w Białymstoku:</w:t>
      </w:r>
    </w:p>
    <w:p w14:paraId="0D70E353" w14:textId="085B28B4" w:rsidR="00112904" w:rsidRDefault="00112904" w:rsidP="001E735D">
      <w:pPr>
        <w:spacing w:line="300" w:lineRule="atLeast"/>
        <w:ind w:firstLine="567"/>
        <w:contextualSpacing/>
        <w:jc w:val="both"/>
        <w:rPr>
          <w:rFonts w:ascii="Times New Roman" w:hAnsi="Times New Roman" w:cs="Times New Roman"/>
          <w:sz w:val="24"/>
          <w:szCs w:val="24"/>
        </w:rPr>
      </w:pPr>
      <w:r>
        <w:rPr>
          <w:rFonts w:ascii="Times New Roman" w:hAnsi="Times New Roman" w:cs="Times New Roman"/>
          <w:sz w:val="24"/>
          <w:szCs w:val="24"/>
        </w:rPr>
        <w:tab/>
        <w:t>W roku 2022 r. b</w:t>
      </w:r>
      <w:r w:rsidRPr="00397E7F">
        <w:rPr>
          <w:rFonts w:ascii="Times New Roman" w:hAnsi="Times New Roman" w:cs="Times New Roman"/>
          <w:sz w:val="24"/>
          <w:szCs w:val="24"/>
        </w:rPr>
        <w:t>ezzałogowe statki powietrzne</w:t>
      </w:r>
      <w:r>
        <w:rPr>
          <w:rFonts w:ascii="Times New Roman" w:hAnsi="Times New Roman" w:cs="Times New Roman"/>
          <w:sz w:val="24"/>
          <w:szCs w:val="24"/>
        </w:rPr>
        <w:t xml:space="preserve"> zostały użyte 8 razy (w roku 2021 </w:t>
      </w:r>
      <w:r>
        <w:rPr>
          <w:rFonts w:ascii="Times New Roman" w:hAnsi="Times New Roman" w:cs="Times New Roman"/>
          <w:sz w:val="24"/>
          <w:szCs w:val="24"/>
        </w:rPr>
        <w:br/>
        <w:t>– 2 razy)</w:t>
      </w:r>
      <w:r w:rsidR="00CF68BE">
        <w:rPr>
          <w:rFonts w:ascii="Times New Roman" w:hAnsi="Times New Roman" w:cs="Times New Roman"/>
          <w:sz w:val="24"/>
          <w:szCs w:val="24"/>
        </w:rPr>
        <w:t>.</w:t>
      </w:r>
    </w:p>
    <w:p w14:paraId="71405515" w14:textId="77777777" w:rsidR="00397E7F" w:rsidRPr="00397E7F" w:rsidRDefault="00397E7F" w:rsidP="00397E7F">
      <w:pPr>
        <w:spacing w:line="300" w:lineRule="atLeast"/>
        <w:contextualSpacing/>
        <w:jc w:val="both"/>
        <w:rPr>
          <w:rFonts w:ascii="Times New Roman" w:hAnsi="Times New Roman" w:cs="Times New Roman"/>
          <w:sz w:val="24"/>
          <w:szCs w:val="24"/>
        </w:rPr>
      </w:pPr>
    </w:p>
    <w:p w14:paraId="4C0CF599" w14:textId="77777777" w:rsidR="00397E7F" w:rsidRPr="00397E7F" w:rsidRDefault="00397E7F" w:rsidP="001E735D">
      <w:pPr>
        <w:spacing w:after="60" w:line="300" w:lineRule="atLeast"/>
        <w:jc w:val="both"/>
        <w:rPr>
          <w:rFonts w:ascii="Times New Roman" w:hAnsi="Times New Roman" w:cs="Times New Roman"/>
          <w:i/>
          <w:color w:val="4472C4"/>
          <w:sz w:val="24"/>
          <w:szCs w:val="24"/>
        </w:rPr>
      </w:pPr>
      <w:r w:rsidRPr="00397E7F">
        <w:rPr>
          <w:rFonts w:ascii="Times New Roman" w:hAnsi="Times New Roman" w:cs="Times New Roman"/>
          <w:i/>
          <w:color w:val="4472C4"/>
          <w:sz w:val="24"/>
          <w:szCs w:val="24"/>
        </w:rPr>
        <w:t>Wojewódzki Inspektorat Ochrony Środowiska w Bydgoszczy</w:t>
      </w:r>
    </w:p>
    <w:p w14:paraId="2836C8DF" w14:textId="093E7939" w:rsidR="00397E7F" w:rsidRPr="00397E7F" w:rsidRDefault="00397E7F" w:rsidP="001E735D">
      <w:pPr>
        <w:spacing w:line="300" w:lineRule="atLeast"/>
        <w:ind w:firstLine="567"/>
        <w:contextualSpacing/>
        <w:jc w:val="both"/>
        <w:rPr>
          <w:rFonts w:ascii="Times New Roman" w:hAnsi="Times New Roman" w:cs="Times New Roman"/>
          <w:iCs/>
          <w:sz w:val="24"/>
          <w:szCs w:val="24"/>
        </w:rPr>
      </w:pPr>
      <w:r w:rsidRPr="00397E7F">
        <w:rPr>
          <w:rFonts w:ascii="Times New Roman" w:hAnsi="Times New Roman" w:cs="Times New Roman"/>
          <w:iCs/>
          <w:sz w:val="24"/>
          <w:szCs w:val="24"/>
        </w:rPr>
        <w:t xml:space="preserve">W 2022 r. inspektorzy WIOŚ w Bydgoszczy wykonali 67 obserwacji z wykorzystaniem BSP w ramach czynności w trybie art. 10b.  W 2021 r. był to 1 nalot inspektorów WIOŚ </w:t>
      </w:r>
      <w:r w:rsidR="00112904">
        <w:rPr>
          <w:rFonts w:ascii="Times New Roman" w:hAnsi="Times New Roman" w:cs="Times New Roman"/>
          <w:iCs/>
          <w:sz w:val="24"/>
          <w:szCs w:val="24"/>
        </w:rPr>
        <w:br/>
      </w:r>
      <w:r w:rsidRPr="00397E7F">
        <w:rPr>
          <w:rFonts w:ascii="Times New Roman" w:hAnsi="Times New Roman" w:cs="Times New Roman"/>
          <w:iCs/>
          <w:sz w:val="24"/>
          <w:szCs w:val="24"/>
        </w:rPr>
        <w:t>w Bydgoszczy i 2 wykonane przez inspektorów GIOŚ.</w:t>
      </w:r>
    </w:p>
    <w:p w14:paraId="58C4E821" w14:textId="20B635E6" w:rsidR="00397E7F" w:rsidRPr="00397E7F" w:rsidRDefault="00397E7F" w:rsidP="00397E7F">
      <w:pPr>
        <w:spacing w:line="300" w:lineRule="atLeast"/>
        <w:contextualSpacing/>
        <w:jc w:val="both"/>
        <w:rPr>
          <w:rFonts w:ascii="Times New Roman" w:hAnsi="Times New Roman" w:cs="Times New Roman"/>
          <w:iCs/>
          <w:sz w:val="24"/>
          <w:szCs w:val="24"/>
        </w:rPr>
      </w:pPr>
      <w:r w:rsidRPr="00397E7F">
        <w:rPr>
          <w:rFonts w:ascii="Times New Roman" w:hAnsi="Times New Roman" w:cs="Times New Roman"/>
          <w:iCs/>
          <w:sz w:val="24"/>
          <w:szCs w:val="24"/>
        </w:rPr>
        <w:t xml:space="preserve">Ponadto w 2022 r. inspektorzy w ramach czynności na podstawie art. 10b ustawy o IOŚ wykorzystywali wiertnicę spalinową oraz </w:t>
      </w:r>
      <w:proofErr w:type="spellStart"/>
      <w:r w:rsidRPr="00397E7F">
        <w:rPr>
          <w:rFonts w:ascii="Times New Roman" w:hAnsi="Times New Roman" w:cs="Times New Roman"/>
          <w:iCs/>
          <w:sz w:val="24"/>
          <w:szCs w:val="24"/>
        </w:rPr>
        <w:t>fotopułapki</w:t>
      </w:r>
      <w:proofErr w:type="spellEnd"/>
      <w:r w:rsidRPr="00397E7F">
        <w:rPr>
          <w:rFonts w:ascii="Times New Roman" w:hAnsi="Times New Roman" w:cs="Times New Roman"/>
          <w:iCs/>
          <w:sz w:val="24"/>
          <w:szCs w:val="24"/>
        </w:rPr>
        <w:t xml:space="preserve">. </w:t>
      </w:r>
    </w:p>
    <w:p w14:paraId="150A2105" w14:textId="77777777" w:rsidR="00397E7F" w:rsidRPr="00397E7F" w:rsidRDefault="00397E7F" w:rsidP="00397E7F">
      <w:pPr>
        <w:spacing w:line="300" w:lineRule="atLeast"/>
        <w:contextualSpacing/>
        <w:jc w:val="both"/>
        <w:rPr>
          <w:rFonts w:ascii="Times New Roman" w:hAnsi="Times New Roman" w:cs="Times New Roman"/>
          <w:i/>
          <w:color w:val="4472C4"/>
          <w:sz w:val="24"/>
          <w:szCs w:val="24"/>
        </w:rPr>
      </w:pPr>
    </w:p>
    <w:p w14:paraId="40A166ED" w14:textId="77777777" w:rsidR="00397E7F" w:rsidRPr="00397E7F" w:rsidRDefault="00397E7F" w:rsidP="001E735D">
      <w:pPr>
        <w:spacing w:after="60" w:line="300" w:lineRule="atLeast"/>
        <w:jc w:val="both"/>
        <w:rPr>
          <w:rFonts w:ascii="Times New Roman" w:hAnsi="Times New Roman" w:cs="Times New Roman"/>
          <w:i/>
          <w:color w:val="4472C4"/>
          <w:sz w:val="24"/>
          <w:szCs w:val="24"/>
        </w:rPr>
      </w:pPr>
      <w:r w:rsidRPr="00397E7F">
        <w:rPr>
          <w:rFonts w:ascii="Times New Roman" w:hAnsi="Times New Roman" w:cs="Times New Roman"/>
          <w:i/>
          <w:color w:val="4472C4"/>
          <w:sz w:val="24"/>
          <w:szCs w:val="24"/>
        </w:rPr>
        <w:t>Wojewódzki Inspektorat Ochrony Środowiska w Gdańsku</w:t>
      </w:r>
    </w:p>
    <w:p w14:paraId="52A5FFCE" w14:textId="7D0C53E5" w:rsidR="00397E7F" w:rsidRPr="00397E7F" w:rsidRDefault="00397E7F" w:rsidP="00377B80">
      <w:pPr>
        <w:autoSpaceDE w:val="0"/>
        <w:autoSpaceDN w:val="0"/>
        <w:adjustRightInd w:val="0"/>
        <w:spacing w:line="300" w:lineRule="atLeast"/>
        <w:ind w:firstLine="567"/>
        <w:contextualSpacing/>
        <w:jc w:val="both"/>
        <w:rPr>
          <w:rFonts w:ascii="Times New Roman" w:hAnsi="Times New Roman" w:cs="Times New Roman"/>
          <w:sz w:val="24"/>
          <w:szCs w:val="24"/>
        </w:rPr>
      </w:pPr>
      <w:r w:rsidRPr="00397E7F">
        <w:rPr>
          <w:rFonts w:ascii="Times New Roman" w:hAnsi="Times New Roman" w:cs="Times New Roman"/>
          <w:sz w:val="24"/>
          <w:szCs w:val="24"/>
        </w:rPr>
        <w:t xml:space="preserve">W 2022 roku wykonano 177 lotów bezzałogowym statkiem powietrznym, w tym 78 </w:t>
      </w:r>
      <w:r w:rsidR="00377B80">
        <w:rPr>
          <w:rFonts w:ascii="Times New Roman" w:hAnsi="Times New Roman" w:cs="Times New Roman"/>
          <w:sz w:val="24"/>
          <w:szCs w:val="24"/>
        </w:rPr>
        <w:br/>
      </w:r>
      <w:r w:rsidRPr="00397E7F">
        <w:rPr>
          <w:rFonts w:ascii="Times New Roman" w:hAnsi="Times New Roman" w:cs="Times New Roman"/>
          <w:sz w:val="24"/>
          <w:szCs w:val="24"/>
        </w:rPr>
        <w:t>w trybie</w:t>
      </w:r>
      <w:r w:rsidR="00112904">
        <w:rPr>
          <w:rFonts w:ascii="Times New Roman" w:hAnsi="Times New Roman" w:cs="Times New Roman"/>
          <w:sz w:val="24"/>
          <w:szCs w:val="24"/>
        </w:rPr>
        <w:t xml:space="preserve"> </w:t>
      </w:r>
      <w:r w:rsidRPr="00397E7F">
        <w:rPr>
          <w:rFonts w:ascii="Times New Roman" w:hAnsi="Times New Roman" w:cs="Times New Roman"/>
          <w:sz w:val="24"/>
          <w:szCs w:val="24"/>
        </w:rPr>
        <w:t>art. 9 ustawy o IOŚ oraz</w:t>
      </w:r>
      <w:r w:rsidR="00377B80">
        <w:rPr>
          <w:rFonts w:ascii="Times New Roman" w:hAnsi="Times New Roman" w:cs="Times New Roman"/>
          <w:sz w:val="24"/>
          <w:szCs w:val="24"/>
        </w:rPr>
        <w:t xml:space="preserve"> </w:t>
      </w:r>
      <w:r w:rsidRPr="00397E7F">
        <w:rPr>
          <w:rFonts w:ascii="Times New Roman" w:hAnsi="Times New Roman" w:cs="Times New Roman"/>
          <w:sz w:val="24"/>
          <w:szCs w:val="24"/>
        </w:rPr>
        <w:t>99 w trybie art. 10b ustawy o IOŚ. Jest to wzrost w porównaniu</w:t>
      </w:r>
      <w:r w:rsidR="00112904">
        <w:rPr>
          <w:rFonts w:ascii="Times New Roman" w:hAnsi="Times New Roman" w:cs="Times New Roman"/>
          <w:sz w:val="24"/>
          <w:szCs w:val="24"/>
        </w:rPr>
        <w:t xml:space="preserve"> </w:t>
      </w:r>
      <w:r w:rsidRPr="00397E7F">
        <w:rPr>
          <w:rFonts w:ascii="Times New Roman" w:hAnsi="Times New Roman" w:cs="Times New Roman"/>
          <w:sz w:val="24"/>
          <w:szCs w:val="24"/>
        </w:rPr>
        <w:t>z 2021 rokiem, w którym lotów wykonano 117, w tym 42 i 75 odpowiednio w trybie art. 9</w:t>
      </w:r>
      <w:r w:rsidR="00112904">
        <w:rPr>
          <w:rFonts w:ascii="Times New Roman" w:hAnsi="Times New Roman" w:cs="Times New Roman"/>
          <w:sz w:val="24"/>
          <w:szCs w:val="24"/>
        </w:rPr>
        <w:t xml:space="preserve"> </w:t>
      </w:r>
      <w:r w:rsidRPr="00397E7F">
        <w:rPr>
          <w:rFonts w:ascii="Times New Roman" w:hAnsi="Times New Roman" w:cs="Times New Roman"/>
          <w:sz w:val="24"/>
          <w:szCs w:val="24"/>
        </w:rPr>
        <w:t>i art. 10b ustawy o IOŚ.</w:t>
      </w:r>
    </w:p>
    <w:p w14:paraId="45535322" w14:textId="0F187FBA" w:rsidR="00397E7F" w:rsidRPr="00397E7F" w:rsidRDefault="00397E7F" w:rsidP="00397E7F">
      <w:pPr>
        <w:spacing w:line="300" w:lineRule="atLeast"/>
        <w:contextualSpacing/>
        <w:jc w:val="both"/>
        <w:rPr>
          <w:rFonts w:ascii="Times New Roman" w:hAnsi="Times New Roman" w:cs="Times New Roman"/>
          <w:sz w:val="24"/>
          <w:szCs w:val="24"/>
        </w:rPr>
      </w:pPr>
      <w:r w:rsidRPr="00397E7F">
        <w:rPr>
          <w:rFonts w:ascii="Times New Roman" w:hAnsi="Times New Roman" w:cs="Times New Roman"/>
          <w:sz w:val="24"/>
          <w:szCs w:val="24"/>
        </w:rPr>
        <w:t xml:space="preserve">W 2022 roku </w:t>
      </w:r>
      <w:proofErr w:type="spellStart"/>
      <w:r w:rsidRPr="00397E7F">
        <w:rPr>
          <w:rFonts w:ascii="Times New Roman" w:hAnsi="Times New Roman" w:cs="Times New Roman"/>
          <w:sz w:val="24"/>
          <w:szCs w:val="24"/>
        </w:rPr>
        <w:t>fotopułapkę</w:t>
      </w:r>
      <w:proofErr w:type="spellEnd"/>
      <w:r w:rsidRPr="00397E7F">
        <w:rPr>
          <w:rFonts w:ascii="Times New Roman" w:hAnsi="Times New Roman" w:cs="Times New Roman"/>
          <w:sz w:val="24"/>
          <w:szCs w:val="24"/>
        </w:rPr>
        <w:t xml:space="preserve"> wykorzystano 18 razy, a w </w:t>
      </w:r>
      <w:r w:rsidR="00377B80">
        <w:rPr>
          <w:rFonts w:ascii="Times New Roman" w:hAnsi="Times New Roman" w:cs="Times New Roman"/>
          <w:sz w:val="24"/>
          <w:szCs w:val="24"/>
        </w:rPr>
        <w:t xml:space="preserve">2021 - </w:t>
      </w:r>
      <w:r w:rsidRPr="00397E7F">
        <w:rPr>
          <w:rFonts w:ascii="Times New Roman" w:hAnsi="Times New Roman" w:cs="Times New Roman"/>
          <w:sz w:val="24"/>
          <w:szCs w:val="24"/>
        </w:rPr>
        <w:t>20 razy.</w:t>
      </w:r>
    </w:p>
    <w:p w14:paraId="28A91C44" w14:textId="77777777" w:rsidR="00397E7F" w:rsidRPr="00397E7F" w:rsidRDefault="00397E7F" w:rsidP="00397E7F">
      <w:pPr>
        <w:spacing w:line="300" w:lineRule="atLeast"/>
        <w:contextualSpacing/>
        <w:jc w:val="both"/>
        <w:rPr>
          <w:rFonts w:ascii="Times New Roman" w:hAnsi="Times New Roman" w:cs="Times New Roman"/>
          <w:i/>
          <w:color w:val="4472C4"/>
          <w:sz w:val="24"/>
          <w:szCs w:val="24"/>
        </w:rPr>
      </w:pPr>
    </w:p>
    <w:p w14:paraId="7AAE192B" w14:textId="77777777" w:rsidR="00397E7F" w:rsidRPr="00397E7F" w:rsidRDefault="00397E7F" w:rsidP="00377B80">
      <w:pPr>
        <w:spacing w:after="60" w:line="300" w:lineRule="atLeast"/>
        <w:jc w:val="both"/>
        <w:rPr>
          <w:rFonts w:ascii="Times New Roman" w:hAnsi="Times New Roman" w:cs="Times New Roman"/>
          <w:i/>
          <w:color w:val="4472C4"/>
          <w:sz w:val="24"/>
          <w:szCs w:val="24"/>
        </w:rPr>
      </w:pPr>
      <w:r w:rsidRPr="00397E7F">
        <w:rPr>
          <w:rFonts w:ascii="Times New Roman" w:hAnsi="Times New Roman" w:cs="Times New Roman"/>
          <w:i/>
          <w:color w:val="4472C4"/>
          <w:sz w:val="24"/>
          <w:szCs w:val="24"/>
        </w:rPr>
        <w:t>Wojewódzki Inspektorat Ochrony Środowiska w Katowicach</w:t>
      </w:r>
    </w:p>
    <w:p w14:paraId="040876DE" w14:textId="28194015" w:rsidR="00397E7F" w:rsidRPr="00397E7F" w:rsidRDefault="00397E7F" w:rsidP="00377B80">
      <w:pPr>
        <w:spacing w:line="300" w:lineRule="atLeast"/>
        <w:ind w:firstLine="567"/>
        <w:contextualSpacing/>
        <w:jc w:val="both"/>
        <w:rPr>
          <w:rFonts w:ascii="Times New Roman" w:hAnsi="Times New Roman" w:cs="Times New Roman"/>
          <w:sz w:val="24"/>
          <w:szCs w:val="24"/>
        </w:rPr>
      </w:pPr>
      <w:r w:rsidRPr="00397E7F">
        <w:rPr>
          <w:rFonts w:ascii="Times New Roman" w:hAnsi="Times New Roman" w:cs="Times New Roman"/>
          <w:sz w:val="24"/>
          <w:szCs w:val="24"/>
        </w:rPr>
        <w:t xml:space="preserve">W ramach prowadzonych działań tworzona była głównie dokumentacja fotograficzna oraz realizowane nagrania z BSP. W 140 przypadkach wykorzystano posiadane aparaty fotograficzne. Dla potrzeb kontroli, w 2022 w co najmniej 40 przypadkach wykorzystano również bezzałogowe statki powietrzne. Porównując wykorzystanie środków technicznych </w:t>
      </w:r>
      <w:r w:rsidR="00377B80">
        <w:rPr>
          <w:rFonts w:ascii="Times New Roman" w:hAnsi="Times New Roman" w:cs="Times New Roman"/>
          <w:sz w:val="24"/>
          <w:szCs w:val="24"/>
        </w:rPr>
        <w:br/>
      </w:r>
      <w:r w:rsidRPr="00397E7F">
        <w:rPr>
          <w:rFonts w:ascii="Times New Roman" w:hAnsi="Times New Roman" w:cs="Times New Roman"/>
          <w:sz w:val="24"/>
          <w:szCs w:val="24"/>
        </w:rPr>
        <w:t xml:space="preserve">z 2021 r. można stwierdzić, że w przypadku tworzenia dokumentacji fotograficznej pozostała na podobnym poziomie. W przypadku wykorzystania BSP nastąpił wzrost ponad 100%.  </w:t>
      </w:r>
    </w:p>
    <w:p w14:paraId="53C4DA05" w14:textId="77777777" w:rsidR="00397E7F" w:rsidRPr="00397E7F" w:rsidRDefault="00397E7F" w:rsidP="00397E7F">
      <w:pPr>
        <w:spacing w:line="300" w:lineRule="atLeast"/>
        <w:contextualSpacing/>
        <w:jc w:val="both"/>
        <w:rPr>
          <w:rFonts w:ascii="Times New Roman" w:hAnsi="Times New Roman" w:cs="Times New Roman"/>
          <w:i/>
          <w:color w:val="4472C4"/>
          <w:sz w:val="24"/>
          <w:szCs w:val="24"/>
        </w:rPr>
      </w:pPr>
    </w:p>
    <w:p w14:paraId="41ECD492" w14:textId="77777777" w:rsidR="00397E7F" w:rsidRPr="00397E7F" w:rsidRDefault="00397E7F" w:rsidP="00377B80">
      <w:pPr>
        <w:spacing w:after="60" w:line="300" w:lineRule="atLeast"/>
        <w:jc w:val="both"/>
        <w:rPr>
          <w:rFonts w:ascii="Times New Roman" w:hAnsi="Times New Roman" w:cs="Times New Roman"/>
          <w:i/>
          <w:color w:val="4472C4"/>
          <w:sz w:val="24"/>
          <w:szCs w:val="24"/>
        </w:rPr>
      </w:pPr>
      <w:r w:rsidRPr="00397E7F">
        <w:rPr>
          <w:rFonts w:ascii="Times New Roman" w:hAnsi="Times New Roman" w:cs="Times New Roman"/>
          <w:i/>
          <w:color w:val="4472C4"/>
          <w:sz w:val="24"/>
          <w:szCs w:val="24"/>
        </w:rPr>
        <w:t>Wojewódzki Inspektorat Ochrony Środowiska w Kielcach</w:t>
      </w:r>
    </w:p>
    <w:p w14:paraId="35A3CE50" w14:textId="1A453772" w:rsidR="00397E7F" w:rsidRPr="00397E7F" w:rsidRDefault="00397E7F" w:rsidP="0045203B">
      <w:pPr>
        <w:spacing w:line="300" w:lineRule="atLeast"/>
        <w:ind w:firstLine="567"/>
        <w:contextualSpacing/>
        <w:jc w:val="both"/>
        <w:rPr>
          <w:rFonts w:ascii="Times New Roman" w:hAnsi="Times New Roman" w:cs="Times New Roman"/>
          <w:i/>
          <w:color w:val="4472C4"/>
          <w:sz w:val="24"/>
          <w:szCs w:val="24"/>
        </w:rPr>
      </w:pPr>
      <w:r w:rsidRPr="00397E7F">
        <w:rPr>
          <w:rFonts w:ascii="Times New Roman" w:hAnsi="Times New Roman" w:cs="Times New Roman"/>
          <w:iCs/>
          <w:sz w:val="24"/>
          <w:szCs w:val="24"/>
        </w:rPr>
        <w:t>Podczas czynności wykonywanych w 2022 r. w trybie art. 10b ustawy o IOŚ wykorzystywano środki techniczne w postaci aparatów fotograficznych, dalmierzy laserowych, bezzałogowych statków powietrznych. W 2022 r. dronów użyto 29</w:t>
      </w:r>
      <w:r w:rsidRPr="00397E7F">
        <w:rPr>
          <w:rFonts w:ascii="Times New Roman" w:hAnsi="Times New Roman" w:cs="Times New Roman"/>
          <w:iCs/>
          <w:sz w:val="24"/>
          <w:szCs w:val="24"/>
        </w:rPr>
        <w:noBreakHyphen/>
        <w:t xml:space="preserve">krotnie, natomiast </w:t>
      </w:r>
      <w:r w:rsidR="0045203B">
        <w:rPr>
          <w:rFonts w:ascii="Times New Roman" w:hAnsi="Times New Roman" w:cs="Times New Roman"/>
          <w:iCs/>
          <w:sz w:val="24"/>
          <w:szCs w:val="24"/>
        </w:rPr>
        <w:br/>
      </w:r>
      <w:r w:rsidRPr="00397E7F">
        <w:rPr>
          <w:rFonts w:ascii="Times New Roman" w:hAnsi="Times New Roman" w:cs="Times New Roman"/>
          <w:iCs/>
          <w:sz w:val="24"/>
          <w:szCs w:val="24"/>
        </w:rPr>
        <w:lastRenderedPageBreak/>
        <w:t>w 2021 r. 4-krotnie. W związku ze znacznym wzrostem ilości działań wykonywanych w trybie art. 10b ustawy o IOŚ w 2022 r. w stosunku do 2021 r. użycie środków technicznych również uległo znacznemu zwiększeniu.</w:t>
      </w:r>
    </w:p>
    <w:p w14:paraId="682EB4C4" w14:textId="77777777" w:rsidR="00397E7F" w:rsidRPr="00397E7F" w:rsidRDefault="00397E7F" w:rsidP="00397E7F">
      <w:pPr>
        <w:spacing w:line="300" w:lineRule="atLeast"/>
        <w:contextualSpacing/>
        <w:jc w:val="both"/>
        <w:rPr>
          <w:rFonts w:ascii="Times New Roman" w:hAnsi="Times New Roman" w:cs="Times New Roman"/>
          <w:i/>
          <w:color w:val="4472C4"/>
          <w:sz w:val="24"/>
          <w:szCs w:val="24"/>
        </w:rPr>
      </w:pPr>
    </w:p>
    <w:p w14:paraId="62D9BE02" w14:textId="77777777" w:rsidR="00397E7F" w:rsidRPr="00397E7F" w:rsidRDefault="00397E7F" w:rsidP="0045203B">
      <w:pPr>
        <w:spacing w:after="60" w:line="300" w:lineRule="atLeast"/>
        <w:jc w:val="both"/>
        <w:rPr>
          <w:rFonts w:ascii="Times New Roman" w:hAnsi="Times New Roman" w:cs="Times New Roman"/>
          <w:i/>
          <w:color w:val="4472C4"/>
          <w:sz w:val="24"/>
          <w:szCs w:val="24"/>
        </w:rPr>
      </w:pPr>
      <w:r w:rsidRPr="00397E7F">
        <w:rPr>
          <w:rFonts w:ascii="Times New Roman" w:hAnsi="Times New Roman" w:cs="Times New Roman"/>
          <w:i/>
          <w:color w:val="4472C4"/>
          <w:sz w:val="24"/>
          <w:szCs w:val="24"/>
        </w:rPr>
        <w:t>Wojewódzki Inspektorat Ochrony Środowiska w Krakowie</w:t>
      </w:r>
    </w:p>
    <w:p w14:paraId="364A2F03" w14:textId="535ADCE5" w:rsidR="00713716" w:rsidRDefault="00713716" w:rsidP="0045203B">
      <w:pPr>
        <w:autoSpaceDE w:val="0"/>
        <w:autoSpaceDN w:val="0"/>
        <w:adjustRightInd w:val="0"/>
        <w:spacing w:line="300" w:lineRule="atLeast"/>
        <w:ind w:firstLine="708"/>
        <w:contextualSpacing/>
        <w:jc w:val="both"/>
        <w:rPr>
          <w:rFonts w:ascii="Times New Roman" w:hAnsi="Times New Roman" w:cs="Times New Roman"/>
          <w:sz w:val="24"/>
          <w:szCs w:val="24"/>
        </w:rPr>
      </w:pPr>
      <w:r w:rsidRPr="00713716">
        <w:rPr>
          <w:rFonts w:ascii="Times New Roman" w:hAnsi="Times New Roman" w:cs="Times New Roman"/>
          <w:sz w:val="24"/>
          <w:szCs w:val="24"/>
        </w:rPr>
        <w:t xml:space="preserve">W 2022 roku w ramach czynności prowadzonych na podstawie art. 10b ustawy </w:t>
      </w:r>
      <w:r>
        <w:rPr>
          <w:rFonts w:ascii="Times New Roman" w:hAnsi="Times New Roman" w:cs="Times New Roman"/>
          <w:sz w:val="24"/>
          <w:szCs w:val="24"/>
        </w:rPr>
        <w:br/>
      </w:r>
      <w:r w:rsidRPr="00713716">
        <w:rPr>
          <w:rFonts w:ascii="Times New Roman" w:hAnsi="Times New Roman" w:cs="Times New Roman"/>
          <w:sz w:val="24"/>
          <w:szCs w:val="24"/>
        </w:rPr>
        <w:t xml:space="preserve">o Inspekcji Ochrony Środowiska wykorzystano 19-krotnie bezzałogowy statek powietrzny, co stanowi wzrost o 11,76%. Nadmienia się, że występowały sytuacje, w których niezbędne było odstąpienie od lotów BSP w związku z niekorzystnymi warunkami pogodowymi w trakcie podejmowanych czynności w terenie. </w:t>
      </w:r>
    </w:p>
    <w:p w14:paraId="5DD1C40C" w14:textId="17F2A08A" w:rsidR="00713716" w:rsidRDefault="00713716" w:rsidP="0045203B">
      <w:pPr>
        <w:autoSpaceDE w:val="0"/>
        <w:autoSpaceDN w:val="0"/>
        <w:adjustRightInd w:val="0"/>
        <w:spacing w:line="300" w:lineRule="atLeast"/>
        <w:ind w:firstLine="708"/>
        <w:contextualSpacing/>
        <w:jc w:val="both"/>
        <w:rPr>
          <w:rFonts w:ascii="Times New Roman" w:hAnsi="Times New Roman" w:cs="Times New Roman"/>
          <w:sz w:val="24"/>
          <w:szCs w:val="24"/>
        </w:rPr>
      </w:pPr>
      <w:r w:rsidRPr="00713716">
        <w:rPr>
          <w:rFonts w:ascii="Times New Roman" w:hAnsi="Times New Roman" w:cs="Times New Roman"/>
          <w:sz w:val="24"/>
          <w:szCs w:val="24"/>
        </w:rPr>
        <w:t xml:space="preserve">W trakcie prowadzonych działań w terenie w 2022 roku wykorzystano dwukrotnie </w:t>
      </w:r>
      <w:proofErr w:type="spellStart"/>
      <w:r w:rsidRPr="00713716">
        <w:rPr>
          <w:rFonts w:ascii="Times New Roman" w:hAnsi="Times New Roman" w:cs="Times New Roman"/>
          <w:sz w:val="24"/>
          <w:szCs w:val="24"/>
        </w:rPr>
        <w:t>fotopułapkę</w:t>
      </w:r>
      <w:proofErr w:type="spellEnd"/>
      <w:r w:rsidRPr="00713716">
        <w:rPr>
          <w:rFonts w:ascii="Times New Roman" w:hAnsi="Times New Roman" w:cs="Times New Roman"/>
          <w:sz w:val="24"/>
          <w:szCs w:val="24"/>
        </w:rPr>
        <w:t xml:space="preserve"> w celu przeprowadzenia stosownej obserwacji. Dzięki jej wykorzystaniu ujawniono osoby porzucające odpady. </w:t>
      </w:r>
    </w:p>
    <w:p w14:paraId="520590F8" w14:textId="77777777" w:rsidR="001E735D" w:rsidRDefault="001E735D" w:rsidP="0045203B">
      <w:pPr>
        <w:autoSpaceDE w:val="0"/>
        <w:autoSpaceDN w:val="0"/>
        <w:adjustRightInd w:val="0"/>
        <w:spacing w:line="300" w:lineRule="atLeast"/>
        <w:ind w:firstLine="708"/>
        <w:contextualSpacing/>
        <w:jc w:val="both"/>
        <w:rPr>
          <w:rFonts w:ascii="Times New Roman" w:hAnsi="Times New Roman" w:cs="Times New Roman"/>
          <w:sz w:val="24"/>
          <w:szCs w:val="24"/>
        </w:rPr>
      </w:pPr>
    </w:p>
    <w:p w14:paraId="6658BE08" w14:textId="77777777" w:rsidR="00397E7F" w:rsidRPr="00397E7F" w:rsidRDefault="00397E7F" w:rsidP="0045203B">
      <w:pPr>
        <w:spacing w:after="60" w:line="300" w:lineRule="atLeast"/>
        <w:jc w:val="both"/>
        <w:rPr>
          <w:rFonts w:ascii="Times New Roman" w:hAnsi="Times New Roman" w:cs="Times New Roman"/>
          <w:i/>
          <w:color w:val="4472C4"/>
          <w:sz w:val="24"/>
          <w:szCs w:val="24"/>
        </w:rPr>
      </w:pPr>
      <w:r w:rsidRPr="00397E7F">
        <w:rPr>
          <w:rFonts w:ascii="Times New Roman" w:hAnsi="Times New Roman" w:cs="Times New Roman"/>
          <w:i/>
          <w:color w:val="4472C4"/>
          <w:sz w:val="24"/>
          <w:szCs w:val="24"/>
        </w:rPr>
        <w:t>Wojewódzki Inspektorat Ochrony Środowiska w Lublinie</w:t>
      </w:r>
    </w:p>
    <w:p w14:paraId="757F1C09" w14:textId="77777777" w:rsidR="00397E7F" w:rsidRPr="00397E7F" w:rsidRDefault="00397E7F" w:rsidP="001E735D">
      <w:pPr>
        <w:spacing w:line="300" w:lineRule="atLeast"/>
        <w:ind w:firstLine="567"/>
        <w:contextualSpacing/>
        <w:jc w:val="both"/>
        <w:rPr>
          <w:rFonts w:ascii="Times New Roman" w:hAnsi="Times New Roman" w:cs="Times New Roman"/>
          <w:sz w:val="24"/>
          <w:szCs w:val="24"/>
        </w:rPr>
      </w:pPr>
      <w:r w:rsidRPr="00397E7F">
        <w:rPr>
          <w:rFonts w:ascii="Times New Roman" w:hAnsi="Times New Roman" w:cs="Times New Roman"/>
          <w:sz w:val="24"/>
          <w:szCs w:val="24"/>
        </w:rPr>
        <w:t xml:space="preserve">W 2021 i 2022 roku nie stosowano środków technicznych takich jak </w:t>
      </w:r>
      <w:proofErr w:type="spellStart"/>
      <w:r w:rsidRPr="00397E7F">
        <w:rPr>
          <w:rFonts w:ascii="Times New Roman" w:hAnsi="Times New Roman" w:cs="Times New Roman"/>
          <w:sz w:val="24"/>
          <w:szCs w:val="24"/>
        </w:rPr>
        <w:t>fotopułapki</w:t>
      </w:r>
      <w:proofErr w:type="spellEnd"/>
      <w:r w:rsidRPr="00397E7F">
        <w:rPr>
          <w:rFonts w:ascii="Times New Roman" w:hAnsi="Times New Roman" w:cs="Times New Roman"/>
          <w:sz w:val="24"/>
          <w:szCs w:val="24"/>
        </w:rPr>
        <w:t>, bezzałogowe statki powietrzne.</w:t>
      </w:r>
    </w:p>
    <w:p w14:paraId="28636B06" w14:textId="77777777" w:rsidR="00397E7F" w:rsidRPr="00397E7F" w:rsidRDefault="00397E7F" w:rsidP="00397E7F">
      <w:pPr>
        <w:spacing w:line="300" w:lineRule="atLeast"/>
        <w:contextualSpacing/>
        <w:jc w:val="both"/>
        <w:rPr>
          <w:rFonts w:ascii="Times New Roman" w:hAnsi="Times New Roman" w:cs="Times New Roman"/>
          <w:i/>
          <w:color w:val="4472C4"/>
          <w:sz w:val="24"/>
          <w:szCs w:val="24"/>
        </w:rPr>
      </w:pPr>
      <w:r w:rsidRPr="00397E7F">
        <w:rPr>
          <w:rFonts w:ascii="Times New Roman" w:hAnsi="Times New Roman" w:cs="Times New Roman"/>
          <w:i/>
          <w:color w:val="4472C4"/>
          <w:sz w:val="24"/>
          <w:szCs w:val="24"/>
        </w:rPr>
        <w:t xml:space="preserve"> </w:t>
      </w:r>
    </w:p>
    <w:p w14:paraId="090D926F" w14:textId="77777777" w:rsidR="00397E7F" w:rsidRPr="00397E7F" w:rsidRDefault="00397E7F" w:rsidP="0045203B">
      <w:pPr>
        <w:spacing w:after="60" w:line="300" w:lineRule="atLeast"/>
        <w:jc w:val="both"/>
        <w:rPr>
          <w:rFonts w:ascii="Times New Roman" w:hAnsi="Times New Roman" w:cs="Times New Roman"/>
          <w:i/>
          <w:color w:val="4472C4"/>
          <w:sz w:val="24"/>
          <w:szCs w:val="24"/>
        </w:rPr>
      </w:pPr>
      <w:r w:rsidRPr="00397E7F">
        <w:rPr>
          <w:rFonts w:ascii="Times New Roman" w:hAnsi="Times New Roman" w:cs="Times New Roman"/>
          <w:i/>
          <w:color w:val="4472C4"/>
          <w:sz w:val="24"/>
          <w:szCs w:val="24"/>
        </w:rPr>
        <w:t>Wojewódzki Inspektorat Ochrony Środowiska w Łodzi</w:t>
      </w:r>
    </w:p>
    <w:p w14:paraId="68B76A36" w14:textId="77777777" w:rsidR="00397E7F" w:rsidRPr="00397E7F" w:rsidRDefault="00397E7F" w:rsidP="001E735D">
      <w:pPr>
        <w:spacing w:line="300" w:lineRule="atLeast"/>
        <w:ind w:firstLine="567"/>
        <w:contextualSpacing/>
        <w:jc w:val="both"/>
        <w:rPr>
          <w:rFonts w:ascii="Times New Roman" w:hAnsi="Times New Roman" w:cs="Times New Roman"/>
          <w:sz w:val="24"/>
          <w:szCs w:val="24"/>
        </w:rPr>
      </w:pPr>
      <w:r w:rsidRPr="00397E7F">
        <w:rPr>
          <w:rFonts w:ascii="Times New Roman" w:hAnsi="Times New Roman" w:cs="Times New Roman"/>
          <w:sz w:val="24"/>
          <w:szCs w:val="24"/>
        </w:rPr>
        <w:t xml:space="preserve">W roku 2021 korzystano z </w:t>
      </w:r>
      <w:proofErr w:type="spellStart"/>
      <w:r w:rsidRPr="00397E7F">
        <w:rPr>
          <w:rFonts w:ascii="Times New Roman" w:hAnsi="Times New Roman" w:cs="Times New Roman"/>
          <w:sz w:val="24"/>
          <w:szCs w:val="24"/>
        </w:rPr>
        <w:t>fotopułapek</w:t>
      </w:r>
      <w:proofErr w:type="spellEnd"/>
      <w:r w:rsidRPr="00397E7F">
        <w:rPr>
          <w:rFonts w:ascii="Times New Roman" w:hAnsi="Times New Roman" w:cs="Times New Roman"/>
          <w:sz w:val="24"/>
          <w:szCs w:val="24"/>
        </w:rPr>
        <w:t xml:space="preserve"> udostępnionych przez GIOŚ oraz dwukrotnie </w:t>
      </w:r>
      <w:r w:rsidRPr="00397E7F">
        <w:rPr>
          <w:rFonts w:ascii="Times New Roman" w:hAnsi="Times New Roman" w:cs="Times New Roman"/>
          <w:sz w:val="24"/>
          <w:szCs w:val="24"/>
        </w:rPr>
        <w:br/>
        <w:t xml:space="preserve">z bezzałogowego statku powietrznego. W 2022 r. nie korzystano z </w:t>
      </w:r>
      <w:proofErr w:type="spellStart"/>
      <w:r w:rsidRPr="00397E7F">
        <w:rPr>
          <w:rFonts w:ascii="Times New Roman" w:hAnsi="Times New Roman" w:cs="Times New Roman"/>
          <w:sz w:val="24"/>
          <w:szCs w:val="24"/>
        </w:rPr>
        <w:t>fotopułapek</w:t>
      </w:r>
      <w:proofErr w:type="spellEnd"/>
      <w:r w:rsidRPr="00397E7F">
        <w:rPr>
          <w:rFonts w:ascii="Times New Roman" w:hAnsi="Times New Roman" w:cs="Times New Roman"/>
          <w:sz w:val="24"/>
          <w:szCs w:val="24"/>
        </w:rPr>
        <w:t xml:space="preserve"> udostępnionych przez GIOŚ, natomiast, podobnie jak w roku ubiegłym, dwukrotnie użyczono bezzałogowy statek powietrzny. Do rejestracji obrazu wykorzystywano aparaty fotograficzne. </w:t>
      </w:r>
    </w:p>
    <w:p w14:paraId="5F729B2B" w14:textId="77777777" w:rsidR="00397E7F" w:rsidRPr="00397E7F" w:rsidRDefault="00397E7F" w:rsidP="00397E7F">
      <w:pPr>
        <w:spacing w:line="300" w:lineRule="atLeast"/>
        <w:contextualSpacing/>
        <w:jc w:val="both"/>
        <w:rPr>
          <w:rFonts w:ascii="Times New Roman" w:hAnsi="Times New Roman" w:cs="Times New Roman"/>
          <w:i/>
          <w:color w:val="4472C4"/>
          <w:sz w:val="24"/>
          <w:szCs w:val="24"/>
        </w:rPr>
      </w:pPr>
    </w:p>
    <w:p w14:paraId="4AB79CA2" w14:textId="77777777" w:rsidR="00397E7F" w:rsidRPr="00397E7F" w:rsidRDefault="00397E7F" w:rsidP="0045203B">
      <w:pPr>
        <w:spacing w:after="60" w:line="300" w:lineRule="atLeast"/>
        <w:jc w:val="both"/>
        <w:rPr>
          <w:rFonts w:ascii="Times New Roman" w:hAnsi="Times New Roman" w:cs="Times New Roman"/>
          <w:i/>
          <w:color w:val="4472C4"/>
          <w:sz w:val="24"/>
          <w:szCs w:val="24"/>
        </w:rPr>
      </w:pPr>
      <w:r w:rsidRPr="00397E7F">
        <w:rPr>
          <w:rFonts w:ascii="Times New Roman" w:hAnsi="Times New Roman" w:cs="Times New Roman"/>
          <w:i/>
          <w:color w:val="4472C4"/>
          <w:sz w:val="24"/>
          <w:szCs w:val="24"/>
        </w:rPr>
        <w:t>Wojewódzki Inspektorat Ochrony Środowiska w Olsztynie</w:t>
      </w:r>
    </w:p>
    <w:p w14:paraId="735685C9" w14:textId="768603AD" w:rsidR="00397E7F" w:rsidRPr="0045203B" w:rsidRDefault="0045203B" w:rsidP="0045203B">
      <w:pPr>
        <w:spacing w:line="300" w:lineRule="atLeast"/>
        <w:ind w:firstLine="567"/>
        <w:contextualSpacing/>
        <w:jc w:val="both"/>
        <w:rPr>
          <w:rFonts w:ascii="Times New Roman" w:hAnsi="Times New Roman" w:cs="Times New Roman"/>
          <w:iCs/>
          <w:sz w:val="24"/>
          <w:szCs w:val="24"/>
        </w:rPr>
      </w:pPr>
      <w:r w:rsidRPr="0045203B">
        <w:rPr>
          <w:rFonts w:ascii="Times New Roman" w:hAnsi="Times New Roman" w:cs="Times New Roman"/>
          <w:iCs/>
          <w:sz w:val="24"/>
          <w:szCs w:val="24"/>
        </w:rPr>
        <w:t>W 2022 r. w ramach prowadzonych czynności z art. 10b nie wykorzystywano bezzałogowego statku powietrznego. Najczęściej wykorzystywanym środkiem technicznym były pojazdy służbowe, aparaty fotograficzne, dalmierze oraz</w:t>
      </w:r>
      <w:r>
        <w:rPr>
          <w:rFonts w:ascii="Times New Roman" w:hAnsi="Times New Roman" w:cs="Times New Roman"/>
          <w:iCs/>
          <w:sz w:val="24"/>
          <w:szCs w:val="24"/>
        </w:rPr>
        <w:t>,</w:t>
      </w:r>
      <w:r w:rsidRPr="0045203B">
        <w:rPr>
          <w:rFonts w:ascii="Times New Roman" w:hAnsi="Times New Roman" w:cs="Times New Roman"/>
          <w:iCs/>
          <w:sz w:val="24"/>
          <w:szCs w:val="24"/>
        </w:rPr>
        <w:t xml:space="preserve"> w jednym przypadku</w:t>
      </w:r>
      <w:r>
        <w:rPr>
          <w:rFonts w:ascii="Times New Roman" w:hAnsi="Times New Roman" w:cs="Times New Roman"/>
          <w:iCs/>
          <w:sz w:val="24"/>
          <w:szCs w:val="24"/>
        </w:rPr>
        <w:t>,</w:t>
      </w:r>
      <w:r w:rsidRPr="0045203B">
        <w:rPr>
          <w:rFonts w:ascii="Times New Roman" w:hAnsi="Times New Roman" w:cs="Times New Roman"/>
          <w:iCs/>
          <w:sz w:val="24"/>
          <w:szCs w:val="24"/>
        </w:rPr>
        <w:t xml:space="preserve"> </w:t>
      </w:r>
      <w:proofErr w:type="spellStart"/>
      <w:r w:rsidRPr="0045203B">
        <w:rPr>
          <w:rFonts w:ascii="Times New Roman" w:hAnsi="Times New Roman" w:cs="Times New Roman"/>
          <w:iCs/>
          <w:sz w:val="24"/>
          <w:szCs w:val="24"/>
        </w:rPr>
        <w:t>fotopułapka</w:t>
      </w:r>
      <w:proofErr w:type="spellEnd"/>
      <w:r w:rsidR="00397E7F" w:rsidRPr="0045203B">
        <w:rPr>
          <w:rFonts w:ascii="Times New Roman" w:hAnsi="Times New Roman" w:cs="Times New Roman"/>
          <w:iCs/>
          <w:sz w:val="24"/>
          <w:szCs w:val="24"/>
        </w:rPr>
        <w:t>.</w:t>
      </w:r>
    </w:p>
    <w:p w14:paraId="5957543C" w14:textId="77777777" w:rsidR="00397E7F" w:rsidRPr="00397E7F" w:rsidRDefault="00397E7F" w:rsidP="00397E7F">
      <w:pPr>
        <w:spacing w:line="300" w:lineRule="atLeast"/>
        <w:contextualSpacing/>
        <w:jc w:val="both"/>
        <w:rPr>
          <w:rFonts w:ascii="Times New Roman" w:hAnsi="Times New Roman" w:cs="Times New Roman"/>
          <w:i/>
          <w:color w:val="4472C4"/>
          <w:sz w:val="24"/>
          <w:szCs w:val="24"/>
        </w:rPr>
      </w:pPr>
    </w:p>
    <w:p w14:paraId="06476CB9" w14:textId="77777777" w:rsidR="00397E7F" w:rsidRPr="00397E7F" w:rsidRDefault="00397E7F" w:rsidP="0045203B">
      <w:pPr>
        <w:spacing w:after="60" w:line="300" w:lineRule="atLeast"/>
        <w:jc w:val="both"/>
        <w:rPr>
          <w:rFonts w:ascii="Times New Roman" w:hAnsi="Times New Roman" w:cs="Times New Roman"/>
          <w:i/>
          <w:color w:val="4472C4"/>
          <w:sz w:val="24"/>
          <w:szCs w:val="24"/>
        </w:rPr>
      </w:pPr>
      <w:r w:rsidRPr="00397E7F">
        <w:rPr>
          <w:rFonts w:ascii="Times New Roman" w:hAnsi="Times New Roman" w:cs="Times New Roman"/>
          <w:i/>
          <w:color w:val="4472C4"/>
          <w:sz w:val="24"/>
          <w:szCs w:val="24"/>
        </w:rPr>
        <w:t>Wojewódzki Inspektorat Ochrony Środowiska w Opolu</w:t>
      </w:r>
    </w:p>
    <w:p w14:paraId="7D22B066" w14:textId="77777777" w:rsidR="00397E7F" w:rsidRPr="00397E7F" w:rsidRDefault="00397E7F" w:rsidP="001E735D">
      <w:pPr>
        <w:spacing w:line="300" w:lineRule="atLeast"/>
        <w:ind w:firstLine="567"/>
        <w:contextualSpacing/>
        <w:jc w:val="both"/>
        <w:rPr>
          <w:rFonts w:ascii="Times New Roman" w:hAnsi="Times New Roman" w:cs="Times New Roman"/>
          <w:iCs/>
          <w:sz w:val="24"/>
          <w:szCs w:val="24"/>
        </w:rPr>
      </w:pPr>
      <w:r w:rsidRPr="00397E7F">
        <w:rPr>
          <w:rFonts w:ascii="Times New Roman" w:hAnsi="Times New Roman" w:cs="Times New Roman"/>
          <w:iCs/>
          <w:sz w:val="24"/>
          <w:szCs w:val="24"/>
        </w:rPr>
        <w:t xml:space="preserve">W roku 2021, w ramach prowadzonych działań wykorzystywano posiadane środki techniczne, tj. </w:t>
      </w:r>
      <w:proofErr w:type="spellStart"/>
      <w:r w:rsidRPr="00397E7F">
        <w:rPr>
          <w:rFonts w:ascii="Times New Roman" w:hAnsi="Times New Roman" w:cs="Times New Roman"/>
          <w:iCs/>
          <w:sz w:val="24"/>
          <w:szCs w:val="24"/>
        </w:rPr>
        <w:t>fotopułapkę</w:t>
      </w:r>
      <w:proofErr w:type="spellEnd"/>
      <w:r w:rsidRPr="00397E7F">
        <w:rPr>
          <w:rFonts w:ascii="Times New Roman" w:hAnsi="Times New Roman" w:cs="Times New Roman"/>
          <w:iCs/>
          <w:sz w:val="24"/>
          <w:szCs w:val="24"/>
        </w:rPr>
        <w:t xml:space="preserve">, kamerę termowizyjną, noktowizory, lornetki, multimetry – łącznie 33 razy. Podczas prowadzenia czynności, w każdym przypadku, wykorzystywano również aparaty fotograficzne. Natomiast w roku 2022, w ramach prowadzonych działań wykorzystywano ww. środki techniczne – łącznie 43 razy. </w:t>
      </w:r>
    </w:p>
    <w:p w14:paraId="36D625ED" w14:textId="77777777" w:rsidR="00397E7F" w:rsidRPr="00397E7F" w:rsidRDefault="00397E7F" w:rsidP="00397E7F">
      <w:pPr>
        <w:spacing w:line="300" w:lineRule="atLeast"/>
        <w:contextualSpacing/>
        <w:jc w:val="both"/>
        <w:rPr>
          <w:rFonts w:ascii="Times New Roman" w:hAnsi="Times New Roman" w:cs="Times New Roman"/>
          <w:i/>
          <w:color w:val="4472C4"/>
          <w:sz w:val="24"/>
          <w:szCs w:val="24"/>
        </w:rPr>
      </w:pPr>
    </w:p>
    <w:p w14:paraId="5079CC17" w14:textId="77777777" w:rsidR="00397E7F" w:rsidRPr="00397E7F" w:rsidRDefault="00397E7F" w:rsidP="001E735D">
      <w:pPr>
        <w:spacing w:after="60" w:line="300" w:lineRule="atLeast"/>
        <w:jc w:val="both"/>
        <w:rPr>
          <w:rFonts w:ascii="Times New Roman" w:hAnsi="Times New Roman" w:cs="Times New Roman"/>
          <w:i/>
          <w:color w:val="4472C4"/>
          <w:sz w:val="24"/>
          <w:szCs w:val="24"/>
        </w:rPr>
      </w:pPr>
      <w:r w:rsidRPr="00397E7F">
        <w:rPr>
          <w:rFonts w:ascii="Times New Roman" w:hAnsi="Times New Roman" w:cs="Times New Roman"/>
          <w:i/>
          <w:color w:val="4472C4"/>
          <w:sz w:val="24"/>
          <w:szCs w:val="24"/>
        </w:rPr>
        <w:t>Wojewódzki Inspektorat Ochrony Środowiska w Poznaniu</w:t>
      </w:r>
    </w:p>
    <w:p w14:paraId="6B9763C5" w14:textId="77777777" w:rsidR="00397E7F" w:rsidRPr="00397E7F" w:rsidRDefault="00397E7F" w:rsidP="002C4F27">
      <w:pPr>
        <w:spacing w:after="60" w:line="300" w:lineRule="atLeast"/>
        <w:jc w:val="both"/>
        <w:rPr>
          <w:rFonts w:ascii="Times New Roman" w:hAnsi="Times New Roman" w:cs="Times New Roman"/>
          <w:sz w:val="24"/>
          <w:szCs w:val="24"/>
        </w:rPr>
      </w:pPr>
      <w:r w:rsidRPr="00397E7F">
        <w:rPr>
          <w:rFonts w:ascii="Times New Roman" w:hAnsi="Times New Roman" w:cs="Times New Roman"/>
          <w:sz w:val="24"/>
          <w:szCs w:val="24"/>
        </w:rPr>
        <w:t xml:space="preserve">W roku 2022 r. wykorzystano: </w:t>
      </w:r>
    </w:p>
    <w:p w14:paraId="29DB7F78" w14:textId="7276BE34" w:rsidR="00397E7F" w:rsidRPr="002C4F27" w:rsidRDefault="00397E7F" w:rsidP="00D34F97">
      <w:pPr>
        <w:pStyle w:val="Akapitzlist"/>
        <w:numPr>
          <w:ilvl w:val="0"/>
          <w:numId w:val="259"/>
        </w:numPr>
        <w:spacing w:line="300" w:lineRule="atLeast"/>
        <w:jc w:val="both"/>
        <w:rPr>
          <w:sz w:val="24"/>
          <w:szCs w:val="24"/>
        </w:rPr>
      </w:pPr>
      <w:r w:rsidRPr="002C4F27">
        <w:rPr>
          <w:sz w:val="24"/>
          <w:szCs w:val="24"/>
        </w:rPr>
        <w:t>bezzałogowe statki powietrzne – 24 razy,</w:t>
      </w:r>
    </w:p>
    <w:p w14:paraId="64B5DEA8" w14:textId="5064585E" w:rsidR="00397E7F" w:rsidRPr="002C4F27" w:rsidRDefault="00397E7F" w:rsidP="00D34F97">
      <w:pPr>
        <w:pStyle w:val="Akapitzlist"/>
        <w:numPr>
          <w:ilvl w:val="0"/>
          <w:numId w:val="259"/>
        </w:numPr>
        <w:spacing w:line="300" w:lineRule="atLeast"/>
        <w:jc w:val="both"/>
        <w:rPr>
          <w:sz w:val="24"/>
          <w:szCs w:val="24"/>
        </w:rPr>
      </w:pPr>
      <w:proofErr w:type="spellStart"/>
      <w:r w:rsidRPr="002C4F27">
        <w:rPr>
          <w:sz w:val="24"/>
          <w:szCs w:val="24"/>
        </w:rPr>
        <w:t>georadar</w:t>
      </w:r>
      <w:proofErr w:type="spellEnd"/>
      <w:r w:rsidRPr="002C4F27">
        <w:rPr>
          <w:sz w:val="24"/>
          <w:szCs w:val="24"/>
        </w:rPr>
        <w:t xml:space="preserve"> – 6 razy.</w:t>
      </w:r>
    </w:p>
    <w:p w14:paraId="185144A4" w14:textId="77777777" w:rsidR="00397E7F" w:rsidRPr="00397E7F" w:rsidRDefault="00397E7F" w:rsidP="002C4F27">
      <w:pPr>
        <w:spacing w:line="300" w:lineRule="atLeast"/>
        <w:ind w:left="142" w:firstLine="567"/>
        <w:contextualSpacing/>
        <w:jc w:val="both"/>
        <w:rPr>
          <w:rFonts w:ascii="Times New Roman" w:hAnsi="Times New Roman" w:cs="Times New Roman"/>
          <w:sz w:val="24"/>
          <w:szCs w:val="24"/>
        </w:rPr>
      </w:pPr>
      <w:r w:rsidRPr="00397E7F">
        <w:rPr>
          <w:rFonts w:ascii="Times New Roman" w:hAnsi="Times New Roman" w:cs="Times New Roman"/>
          <w:sz w:val="24"/>
          <w:szCs w:val="24"/>
        </w:rPr>
        <w:t xml:space="preserve">W porównaniu do roku 2021 odnotowano wzrost liczby użyć ww. środków technicznych podczas prowadzonych działań (w 2021 r. bezzałogowe statki powietrzne drony - 19 razy, </w:t>
      </w:r>
      <w:proofErr w:type="spellStart"/>
      <w:r w:rsidRPr="00397E7F">
        <w:rPr>
          <w:rFonts w:ascii="Times New Roman" w:hAnsi="Times New Roman" w:cs="Times New Roman"/>
          <w:sz w:val="24"/>
          <w:szCs w:val="24"/>
        </w:rPr>
        <w:t>georadar</w:t>
      </w:r>
      <w:proofErr w:type="spellEnd"/>
      <w:r w:rsidRPr="00397E7F">
        <w:rPr>
          <w:rFonts w:ascii="Times New Roman" w:hAnsi="Times New Roman" w:cs="Times New Roman"/>
          <w:sz w:val="24"/>
          <w:szCs w:val="24"/>
        </w:rPr>
        <w:t xml:space="preserve"> - 4 razy).</w:t>
      </w:r>
    </w:p>
    <w:p w14:paraId="00C30805" w14:textId="77777777" w:rsidR="00397E7F" w:rsidRPr="00397E7F" w:rsidRDefault="00397E7F" w:rsidP="00397E7F">
      <w:pPr>
        <w:spacing w:line="300" w:lineRule="atLeast"/>
        <w:contextualSpacing/>
        <w:jc w:val="both"/>
        <w:rPr>
          <w:rFonts w:ascii="Times New Roman" w:hAnsi="Times New Roman" w:cs="Times New Roman"/>
          <w:i/>
          <w:color w:val="4472C4"/>
          <w:sz w:val="24"/>
          <w:szCs w:val="24"/>
        </w:rPr>
      </w:pPr>
    </w:p>
    <w:p w14:paraId="55176362" w14:textId="77777777" w:rsidR="00397E7F" w:rsidRPr="00397E7F" w:rsidRDefault="00397E7F" w:rsidP="002C4F27">
      <w:pPr>
        <w:spacing w:after="60" w:line="300" w:lineRule="atLeast"/>
        <w:jc w:val="both"/>
        <w:rPr>
          <w:rFonts w:ascii="Times New Roman" w:hAnsi="Times New Roman" w:cs="Times New Roman"/>
          <w:i/>
          <w:color w:val="4472C4"/>
          <w:sz w:val="24"/>
          <w:szCs w:val="24"/>
        </w:rPr>
      </w:pPr>
      <w:r w:rsidRPr="00397E7F">
        <w:rPr>
          <w:rFonts w:ascii="Times New Roman" w:hAnsi="Times New Roman" w:cs="Times New Roman"/>
          <w:i/>
          <w:color w:val="4472C4"/>
          <w:sz w:val="24"/>
          <w:szCs w:val="24"/>
        </w:rPr>
        <w:lastRenderedPageBreak/>
        <w:t>Wojewódzki Inspektorat Ochrony Środowiska w Rzeszowie</w:t>
      </w:r>
    </w:p>
    <w:p w14:paraId="7D4C8FF3" w14:textId="379D96B8" w:rsidR="00397E7F" w:rsidRPr="00397E7F" w:rsidRDefault="00397E7F" w:rsidP="002C4F27">
      <w:pPr>
        <w:autoSpaceDE w:val="0"/>
        <w:autoSpaceDN w:val="0"/>
        <w:adjustRightInd w:val="0"/>
        <w:spacing w:line="300" w:lineRule="atLeast"/>
        <w:ind w:firstLine="567"/>
        <w:contextualSpacing/>
        <w:jc w:val="both"/>
        <w:rPr>
          <w:rFonts w:ascii="Times New Roman" w:hAnsi="Times New Roman" w:cs="Times New Roman"/>
          <w:sz w:val="24"/>
          <w:szCs w:val="24"/>
        </w:rPr>
      </w:pPr>
      <w:r w:rsidRPr="00397E7F">
        <w:rPr>
          <w:rFonts w:ascii="Times New Roman" w:hAnsi="Times New Roman" w:cs="Times New Roman"/>
          <w:sz w:val="24"/>
          <w:szCs w:val="24"/>
        </w:rPr>
        <w:t xml:space="preserve">W roku 2021 oraz w roku 2022 podczas działań Grupy nie były wykorzystywane </w:t>
      </w:r>
      <w:proofErr w:type="spellStart"/>
      <w:r w:rsidRPr="00397E7F">
        <w:rPr>
          <w:rFonts w:ascii="Times New Roman" w:hAnsi="Times New Roman" w:cs="Times New Roman"/>
          <w:sz w:val="24"/>
          <w:szCs w:val="24"/>
        </w:rPr>
        <w:t>fotopułapki</w:t>
      </w:r>
      <w:proofErr w:type="spellEnd"/>
      <w:r w:rsidRPr="00397E7F">
        <w:rPr>
          <w:rFonts w:ascii="Times New Roman" w:hAnsi="Times New Roman" w:cs="Times New Roman"/>
          <w:sz w:val="24"/>
          <w:szCs w:val="24"/>
        </w:rPr>
        <w:t xml:space="preserve"> </w:t>
      </w:r>
      <w:r w:rsidR="002C4F27">
        <w:rPr>
          <w:rFonts w:ascii="Times New Roman" w:hAnsi="Times New Roman" w:cs="Times New Roman"/>
          <w:sz w:val="24"/>
          <w:szCs w:val="24"/>
        </w:rPr>
        <w:t xml:space="preserve">ani </w:t>
      </w:r>
      <w:r w:rsidRPr="00397E7F">
        <w:rPr>
          <w:rFonts w:ascii="Times New Roman" w:hAnsi="Times New Roman" w:cs="Times New Roman"/>
          <w:sz w:val="24"/>
          <w:szCs w:val="24"/>
        </w:rPr>
        <w:t>bezzałogowe statki powietrzne.</w:t>
      </w:r>
    </w:p>
    <w:p w14:paraId="61941892" w14:textId="156382DC" w:rsidR="002C4F27" w:rsidRDefault="002C4F27" w:rsidP="00397E7F">
      <w:pPr>
        <w:spacing w:line="300" w:lineRule="atLeast"/>
        <w:contextualSpacing/>
        <w:jc w:val="both"/>
        <w:rPr>
          <w:rFonts w:ascii="Times New Roman" w:hAnsi="Times New Roman" w:cs="Times New Roman"/>
          <w:i/>
          <w:color w:val="4472C4"/>
          <w:sz w:val="24"/>
          <w:szCs w:val="24"/>
        </w:rPr>
      </w:pPr>
    </w:p>
    <w:p w14:paraId="259FEC98" w14:textId="77777777" w:rsidR="001E735D" w:rsidRPr="00397E7F" w:rsidRDefault="001E735D" w:rsidP="00397E7F">
      <w:pPr>
        <w:spacing w:line="300" w:lineRule="atLeast"/>
        <w:contextualSpacing/>
        <w:jc w:val="both"/>
        <w:rPr>
          <w:rFonts w:ascii="Times New Roman" w:hAnsi="Times New Roman" w:cs="Times New Roman"/>
          <w:i/>
          <w:color w:val="4472C4"/>
          <w:sz w:val="24"/>
          <w:szCs w:val="24"/>
        </w:rPr>
      </w:pPr>
    </w:p>
    <w:p w14:paraId="67AF3E53" w14:textId="77777777" w:rsidR="00397E7F" w:rsidRPr="00397E7F" w:rsidRDefault="00397E7F" w:rsidP="002C4F27">
      <w:pPr>
        <w:spacing w:after="60" w:line="300" w:lineRule="atLeast"/>
        <w:jc w:val="both"/>
        <w:rPr>
          <w:rFonts w:ascii="Times New Roman" w:hAnsi="Times New Roman" w:cs="Times New Roman"/>
          <w:i/>
          <w:color w:val="4472C4"/>
          <w:sz w:val="24"/>
          <w:szCs w:val="24"/>
        </w:rPr>
      </w:pPr>
      <w:r w:rsidRPr="00397E7F">
        <w:rPr>
          <w:rFonts w:ascii="Times New Roman" w:hAnsi="Times New Roman" w:cs="Times New Roman"/>
          <w:i/>
          <w:color w:val="4472C4"/>
          <w:sz w:val="24"/>
          <w:szCs w:val="24"/>
        </w:rPr>
        <w:t>Wojewódzki Inspektorat Ochrony Środowiska w Szczecinie</w:t>
      </w:r>
    </w:p>
    <w:p w14:paraId="4D298B2A" w14:textId="77777777" w:rsidR="00FB10B2" w:rsidRDefault="00397E7F" w:rsidP="002C4F27">
      <w:pPr>
        <w:autoSpaceDE w:val="0"/>
        <w:autoSpaceDN w:val="0"/>
        <w:adjustRightInd w:val="0"/>
        <w:spacing w:line="300" w:lineRule="atLeast"/>
        <w:ind w:firstLine="567"/>
        <w:contextualSpacing/>
        <w:jc w:val="both"/>
        <w:rPr>
          <w:rFonts w:ascii="Times New Roman" w:hAnsi="Times New Roman" w:cs="Times New Roman"/>
          <w:sz w:val="24"/>
          <w:szCs w:val="24"/>
        </w:rPr>
      </w:pPr>
      <w:r w:rsidRPr="00397E7F">
        <w:rPr>
          <w:rFonts w:ascii="Times New Roman" w:hAnsi="Times New Roman" w:cs="Times New Roman"/>
          <w:sz w:val="24"/>
          <w:szCs w:val="24"/>
        </w:rPr>
        <w:t>W trakcie działań 10 razy użyto bezzałogowego statku powietrznego (</w:t>
      </w:r>
      <w:proofErr w:type="spellStart"/>
      <w:r w:rsidRPr="00397E7F">
        <w:rPr>
          <w:rFonts w:ascii="Times New Roman" w:hAnsi="Times New Roman" w:cs="Times New Roman"/>
          <w:sz w:val="24"/>
          <w:szCs w:val="24"/>
        </w:rPr>
        <w:t>drona</w:t>
      </w:r>
      <w:proofErr w:type="spellEnd"/>
      <w:r w:rsidRPr="00397E7F">
        <w:rPr>
          <w:rFonts w:ascii="Times New Roman" w:hAnsi="Times New Roman" w:cs="Times New Roman"/>
          <w:sz w:val="24"/>
          <w:szCs w:val="24"/>
        </w:rPr>
        <w:t xml:space="preserve">)  </w:t>
      </w:r>
      <w:r w:rsidR="002C4F27">
        <w:rPr>
          <w:rFonts w:ascii="Times New Roman" w:hAnsi="Times New Roman" w:cs="Times New Roman"/>
          <w:sz w:val="24"/>
          <w:szCs w:val="24"/>
        </w:rPr>
        <w:br/>
      </w:r>
      <w:r w:rsidRPr="00397E7F">
        <w:rPr>
          <w:rFonts w:ascii="Times New Roman" w:hAnsi="Times New Roman" w:cs="Times New Roman"/>
          <w:sz w:val="24"/>
          <w:szCs w:val="24"/>
        </w:rPr>
        <w:t xml:space="preserve">do wykonania zdjęć zgromadzonych odpadów oraz prowadzenia rozpoznania w związku </w:t>
      </w:r>
      <w:r w:rsidR="002C4F27">
        <w:rPr>
          <w:rFonts w:ascii="Times New Roman" w:hAnsi="Times New Roman" w:cs="Times New Roman"/>
          <w:sz w:val="24"/>
          <w:szCs w:val="24"/>
        </w:rPr>
        <w:br/>
      </w:r>
      <w:r w:rsidRPr="00397E7F">
        <w:rPr>
          <w:rFonts w:ascii="Times New Roman" w:hAnsi="Times New Roman" w:cs="Times New Roman"/>
          <w:sz w:val="24"/>
          <w:szCs w:val="24"/>
        </w:rPr>
        <w:t xml:space="preserve">z zanieczyszczeniem rzeki Odra. W 2021 roku dron wykorzystany był dwukrotnie podczas takich działań. </w:t>
      </w:r>
    </w:p>
    <w:p w14:paraId="48F6E8DE" w14:textId="57B4C655" w:rsidR="00397E7F" w:rsidRPr="00397E7F" w:rsidRDefault="00397E7F" w:rsidP="002C4F27">
      <w:pPr>
        <w:autoSpaceDE w:val="0"/>
        <w:autoSpaceDN w:val="0"/>
        <w:adjustRightInd w:val="0"/>
        <w:spacing w:line="300" w:lineRule="atLeast"/>
        <w:ind w:firstLine="567"/>
        <w:contextualSpacing/>
        <w:jc w:val="both"/>
        <w:rPr>
          <w:rFonts w:ascii="Times New Roman" w:hAnsi="Times New Roman" w:cs="Times New Roman"/>
          <w:sz w:val="24"/>
          <w:szCs w:val="24"/>
        </w:rPr>
      </w:pPr>
      <w:r w:rsidRPr="00397E7F">
        <w:rPr>
          <w:rFonts w:ascii="Times New Roman" w:hAnsi="Times New Roman" w:cs="Times New Roman"/>
          <w:sz w:val="24"/>
          <w:szCs w:val="24"/>
        </w:rPr>
        <w:t>Do rozpoznawania zanieczyszczeń wody oraz ustalania pracujących emitorów 6 razy używano ręcznych kamer termowizyjnych.</w:t>
      </w:r>
    </w:p>
    <w:p w14:paraId="43506A02" w14:textId="77777777" w:rsidR="00397E7F" w:rsidRPr="00397E7F" w:rsidRDefault="00397E7F" w:rsidP="00397E7F">
      <w:pPr>
        <w:spacing w:line="300" w:lineRule="atLeast"/>
        <w:contextualSpacing/>
        <w:jc w:val="both"/>
        <w:rPr>
          <w:rFonts w:ascii="Times New Roman" w:hAnsi="Times New Roman" w:cs="Times New Roman"/>
          <w:i/>
          <w:color w:val="4472C4"/>
          <w:sz w:val="24"/>
          <w:szCs w:val="24"/>
        </w:rPr>
      </w:pPr>
    </w:p>
    <w:p w14:paraId="7EFFB500" w14:textId="77777777" w:rsidR="00397E7F" w:rsidRPr="00397E7F" w:rsidRDefault="00397E7F" w:rsidP="002C4F27">
      <w:pPr>
        <w:spacing w:after="60" w:line="300" w:lineRule="atLeast"/>
        <w:jc w:val="both"/>
        <w:rPr>
          <w:rFonts w:ascii="Times New Roman" w:hAnsi="Times New Roman" w:cs="Times New Roman"/>
          <w:i/>
          <w:color w:val="4472C4"/>
          <w:sz w:val="24"/>
          <w:szCs w:val="24"/>
        </w:rPr>
      </w:pPr>
      <w:r w:rsidRPr="00397E7F">
        <w:rPr>
          <w:rFonts w:ascii="Times New Roman" w:hAnsi="Times New Roman" w:cs="Times New Roman"/>
          <w:i/>
          <w:color w:val="4472C4"/>
          <w:sz w:val="24"/>
          <w:szCs w:val="24"/>
        </w:rPr>
        <w:t>Wojewódzki Inspektorat Ochrony Środowiska w Warszawie</w:t>
      </w:r>
    </w:p>
    <w:p w14:paraId="32CFBEE1" w14:textId="22A946A0" w:rsidR="00397E7F" w:rsidRPr="002C4F27" w:rsidRDefault="00397E7F" w:rsidP="00397E7F">
      <w:pPr>
        <w:spacing w:line="300" w:lineRule="atLeast"/>
        <w:contextualSpacing/>
        <w:jc w:val="center"/>
        <w:rPr>
          <w:rFonts w:ascii="Times New Roman" w:hAnsi="Times New Roman" w:cs="Times New Roman"/>
          <w:b/>
          <w:sz w:val="24"/>
          <w:szCs w:val="24"/>
        </w:rPr>
      </w:pPr>
      <w:r w:rsidRPr="002C4F27">
        <w:rPr>
          <w:rFonts w:ascii="Times New Roman" w:hAnsi="Times New Roman" w:cs="Times New Roman"/>
          <w:b/>
          <w:sz w:val="24"/>
          <w:szCs w:val="24"/>
        </w:rPr>
        <w:t xml:space="preserve">Tabela </w:t>
      </w:r>
      <w:r w:rsidR="002C4F27" w:rsidRPr="002C4F27">
        <w:rPr>
          <w:rFonts w:ascii="Times New Roman" w:hAnsi="Times New Roman" w:cs="Times New Roman"/>
          <w:b/>
          <w:sz w:val="24"/>
          <w:szCs w:val="24"/>
        </w:rPr>
        <w:t>18.</w:t>
      </w:r>
      <w:r w:rsidRPr="002C4F27">
        <w:rPr>
          <w:rFonts w:ascii="Times New Roman" w:hAnsi="Times New Roman" w:cs="Times New Roman"/>
          <w:b/>
          <w:sz w:val="24"/>
          <w:szCs w:val="24"/>
        </w:rPr>
        <w:t xml:space="preserve"> </w:t>
      </w:r>
      <w:r w:rsidR="002C4F27" w:rsidRPr="002C4F27">
        <w:rPr>
          <w:rFonts w:ascii="Times New Roman" w:hAnsi="Times New Roman" w:cs="Times New Roman"/>
          <w:b/>
          <w:sz w:val="24"/>
          <w:szCs w:val="24"/>
        </w:rPr>
        <w:t>W</w:t>
      </w:r>
      <w:r w:rsidRPr="002C4F27">
        <w:rPr>
          <w:rFonts w:ascii="Times New Roman" w:hAnsi="Times New Roman" w:cs="Times New Roman"/>
          <w:b/>
          <w:sz w:val="24"/>
          <w:szCs w:val="24"/>
        </w:rPr>
        <w:t>ykorzystanie środków technicznych w latach 2021-2022</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13"/>
        <w:gridCol w:w="708"/>
        <w:gridCol w:w="854"/>
        <w:gridCol w:w="709"/>
        <w:gridCol w:w="850"/>
        <w:gridCol w:w="709"/>
        <w:gridCol w:w="710"/>
        <w:gridCol w:w="709"/>
        <w:gridCol w:w="848"/>
        <w:gridCol w:w="709"/>
        <w:gridCol w:w="843"/>
      </w:tblGrid>
      <w:tr w:rsidR="00397E7F" w:rsidRPr="00397E7F" w14:paraId="6ACAEB54" w14:textId="77777777" w:rsidTr="00397E7F">
        <w:trPr>
          <w:trHeight w:val="260"/>
        </w:trPr>
        <w:tc>
          <w:tcPr>
            <w:tcW w:w="780" w:type="pct"/>
            <w:vMerge w:val="restart"/>
            <w:tcBorders>
              <w:top w:val="single" w:sz="4" w:space="0" w:color="000000"/>
              <w:left w:val="single" w:sz="4" w:space="0" w:color="000000"/>
              <w:bottom w:val="single" w:sz="4" w:space="0" w:color="000000"/>
              <w:right w:val="single" w:sz="4" w:space="0" w:color="000000"/>
            </w:tcBorders>
            <w:vAlign w:val="center"/>
            <w:hideMark/>
          </w:tcPr>
          <w:p w14:paraId="66DA9D92" w14:textId="77777777" w:rsidR="00397E7F" w:rsidRPr="00397E7F" w:rsidRDefault="00397E7F" w:rsidP="00397E7F">
            <w:pPr>
              <w:pStyle w:val="Akapitzlist"/>
              <w:spacing w:line="300" w:lineRule="atLeast"/>
              <w:ind w:left="0"/>
              <w:jc w:val="center"/>
              <w:rPr>
                <w:b/>
                <w:bCs/>
                <w:sz w:val="24"/>
                <w:szCs w:val="24"/>
              </w:rPr>
            </w:pPr>
            <w:r w:rsidRPr="00397E7F">
              <w:rPr>
                <w:b/>
                <w:bCs/>
                <w:sz w:val="24"/>
                <w:szCs w:val="24"/>
              </w:rPr>
              <w:t>Delegatura WIOŚ</w:t>
            </w:r>
          </w:p>
        </w:tc>
        <w:tc>
          <w:tcPr>
            <w:tcW w:w="4220" w:type="pct"/>
            <w:gridSpan w:val="10"/>
            <w:tcBorders>
              <w:top w:val="single" w:sz="4" w:space="0" w:color="000000"/>
              <w:left w:val="single" w:sz="4" w:space="0" w:color="000000"/>
              <w:bottom w:val="single" w:sz="4" w:space="0" w:color="000000"/>
              <w:right w:val="single" w:sz="4" w:space="0" w:color="000000"/>
            </w:tcBorders>
            <w:vAlign w:val="center"/>
            <w:hideMark/>
          </w:tcPr>
          <w:p w14:paraId="6BDBD017" w14:textId="77777777" w:rsidR="00397E7F" w:rsidRPr="00397E7F" w:rsidRDefault="00397E7F" w:rsidP="00397E7F">
            <w:pPr>
              <w:pStyle w:val="Akapitzlist"/>
              <w:spacing w:line="300" w:lineRule="atLeast"/>
              <w:ind w:left="0" w:right="-107"/>
              <w:jc w:val="center"/>
              <w:rPr>
                <w:b/>
                <w:bCs/>
                <w:sz w:val="24"/>
                <w:szCs w:val="24"/>
              </w:rPr>
            </w:pPr>
            <w:r w:rsidRPr="00397E7F">
              <w:rPr>
                <w:b/>
                <w:bCs/>
                <w:sz w:val="24"/>
                <w:szCs w:val="24"/>
              </w:rPr>
              <w:t xml:space="preserve">Wykorzystanie głównych środków technicznych w realizacji czynności z art. 10b </w:t>
            </w:r>
            <w:proofErr w:type="spellStart"/>
            <w:r w:rsidRPr="00397E7F">
              <w:rPr>
                <w:b/>
                <w:bCs/>
                <w:sz w:val="24"/>
                <w:szCs w:val="24"/>
              </w:rPr>
              <w:t>u.i.o.ś</w:t>
            </w:r>
            <w:proofErr w:type="spellEnd"/>
            <w:r w:rsidRPr="00397E7F">
              <w:rPr>
                <w:b/>
                <w:bCs/>
                <w:sz w:val="24"/>
                <w:szCs w:val="24"/>
              </w:rPr>
              <w:t>. w 2021 oraz 2022 roku</w:t>
            </w:r>
          </w:p>
        </w:tc>
      </w:tr>
      <w:tr w:rsidR="00397E7F" w:rsidRPr="00397E7F" w14:paraId="4F612109" w14:textId="77777777" w:rsidTr="002C4F27">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5B2E1CA" w14:textId="77777777" w:rsidR="00397E7F" w:rsidRPr="00397E7F" w:rsidRDefault="00397E7F" w:rsidP="00397E7F">
            <w:pPr>
              <w:spacing w:line="300" w:lineRule="atLeast"/>
              <w:contextualSpacing/>
              <w:rPr>
                <w:rFonts w:ascii="Times New Roman" w:eastAsia="Calibri" w:hAnsi="Times New Roman" w:cs="Times New Roman"/>
                <w:b/>
                <w:bCs/>
                <w:sz w:val="24"/>
                <w:szCs w:val="24"/>
              </w:rPr>
            </w:pPr>
          </w:p>
        </w:tc>
        <w:tc>
          <w:tcPr>
            <w:tcW w:w="862" w:type="pct"/>
            <w:gridSpan w:val="2"/>
            <w:tcBorders>
              <w:top w:val="single" w:sz="4" w:space="0" w:color="000000"/>
              <w:left w:val="single" w:sz="4" w:space="0" w:color="000000"/>
              <w:bottom w:val="single" w:sz="4" w:space="0" w:color="000000"/>
              <w:right w:val="single" w:sz="4" w:space="0" w:color="000000"/>
            </w:tcBorders>
            <w:vAlign w:val="center"/>
            <w:hideMark/>
          </w:tcPr>
          <w:p w14:paraId="3A8CC7FE" w14:textId="77777777" w:rsidR="00397E7F" w:rsidRPr="00397E7F" w:rsidRDefault="00397E7F" w:rsidP="00397E7F">
            <w:pPr>
              <w:pStyle w:val="Akapitzlist"/>
              <w:spacing w:line="300" w:lineRule="atLeast"/>
              <w:ind w:left="0"/>
              <w:jc w:val="center"/>
              <w:rPr>
                <w:b/>
                <w:bCs/>
                <w:sz w:val="24"/>
                <w:szCs w:val="24"/>
              </w:rPr>
            </w:pPr>
            <w:proofErr w:type="spellStart"/>
            <w:r w:rsidRPr="00397E7F">
              <w:rPr>
                <w:b/>
                <w:bCs/>
                <w:sz w:val="24"/>
                <w:szCs w:val="24"/>
              </w:rPr>
              <w:t>Fotopułapka</w:t>
            </w:r>
            <w:proofErr w:type="spellEnd"/>
          </w:p>
        </w:tc>
        <w:tc>
          <w:tcPr>
            <w:tcW w:w="860" w:type="pct"/>
            <w:gridSpan w:val="2"/>
            <w:tcBorders>
              <w:top w:val="single" w:sz="4" w:space="0" w:color="000000"/>
              <w:left w:val="single" w:sz="4" w:space="0" w:color="000000"/>
              <w:bottom w:val="single" w:sz="4" w:space="0" w:color="000000"/>
              <w:right w:val="single" w:sz="4" w:space="0" w:color="000000"/>
            </w:tcBorders>
            <w:vAlign w:val="center"/>
            <w:hideMark/>
          </w:tcPr>
          <w:p w14:paraId="45E12B4C" w14:textId="77777777" w:rsidR="00397E7F" w:rsidRPr="00397E7F" w:rsidRDefault="00397E7F" w:rsidP="00397E7F">
            <w:pPr>
              <w:pStyle w:val="Akapitzlist"/>
              <w:spacing w:line="300" w:lineRule="atLeast"/>
              <w:ind w:left="0"/>
              <w:jc w:val="center"/>
              <w:rPr>
                <w:b/>
                <w:bCs/>
                <w:sz w:val="24"/>
                <w:szCs w:val="24"/>
              </w:rPr>
            </w:pPr>
            <w:r w:rsidRPr="00397E7F">
              <w:rPr>
                <w:b/>
                <w:bCs/>
                <w:sz w:val="24"/>
                <w:szCs w:val="24"/>
              </w:rPr>
              <w:t>bezzałogowe statki powietrzne</w:t>
            </w:r>
          </w:p>
        </w:tc>
        <w:tc>
          <w:tcPr>
            <w:tcW w:w="783" w:type="pct"/>
            <w:gridSpan w:val="2"/>
            <w:tcBorders>
              <w:top w:val="single" w:sz="4" w:space="0" w:color="000000"/>
              <w:left w:val="single" w:sz="4" w:space="0" w:color="000000"/>
              <w:bottom w:val="single" w:sz="4" w:space="0" w:color="000000"/>
              <w:right w:val="single" w:sz="4" w:space="0" w:color="000000"/>
            </w:tcBorders>
            <w:vAlign w:val="center"/>
            <w:hideMark/>
          </w:tcPr>
          <w:p w14:paraId="6A46DC25" w14:textId="77777777" w:rsidR="00397E7F" w:rsidRPr="00397E7F" w:rsidRDefault="00397E7F" w:rsidP="00397E7F">
            <w:pPr>
              <w:pStyle w:val="Akapitzlist"/>
              <w:spacing w:line="300" w:lineRule="atLeast"/>
              <w:ind w:left="0"/>
              <w:jc w:val="center"/>
              <w:rPr>
                <w:b/>
                <w:bCs/>
                <w:sz w:val="24"/>
                <w:szCs w:val="24"/>
              </w:rPr>
            </w:pPr>
            <w:r w:rsidRPr="00397E7F">
              <w:rPr>
                <w:b/>
                <w:bCs/>
                <w:sz w:val="24"/>
                <w:szCs w:val="24"/>
              </w:rPr>
              <w:t>noktowizor</w:t>
            </w:r>
          </w:p>
        </w:tc>
        <w:tc>
          <w:tcPr>
            <w:tcW w:w="859" w:type="pct"/>
            <w:gridSpan w:val="2"/>
            <w:tcBorders>
              <w:top w:val="single" w:sz="4" w:space="0" w:color="000000"/>
              <w:left w:val="single" w:sz="4" w:space="0" w:color="000000"/>
              <w:bottom w:val="single" w:sz="4" w:space="0" w:color="000000"/>
              <w:right w:val="single" w:sz="4" w:space="0" w:color="000000"/>
            </w:tcBorders>
            <w:vAlign w:val="center"/>
            <w:hideMark/>
          </w:tcPr>
          <w:p w14:paraId="3B7879F8" w14:textId="77777777" w:rsidR="00397E7F" w:rsidRPr="00397E7F" w:rsidRDefault="00397E7F" w:rsidP="00397E7F">
            <w:pPr>
              <w:pStyle w:val="Akapitzlist"/>
              <w:spacing w:line="300" w:lineRule="atLeast"/>
              <w:ind w:left="0"/>
              <w:jc w:val="center"/>
              <w:rPr>
                <w:b/>
                <w:bCs/>
                <w:sz w:val="24"/>
                <w:szCs w:val="24"/>
              </w:rPr>
            </w:pPr>
            <w:r w:rsidRPr="00397E7F">
              <w:rPr>
                <w:b/>
                <w:bCs/>
                <w:sz w:val="24"/>
                <w:szCs w:val="24"/>
              </w:rPr>
              <w:t>Kamera</w:t>
            </w:r>
          </w:p>
        </w:tc>
        <w:tc>
          <w:tcPr>
            <w:tcW w:w="856" w:type="pct"/>
            <w:gridSpan w:val="2"/>
            <w:tcBorders>
              <w:top w:val="single" w:sz="4" w:space="0" w:color="000000"/>
              <w:left w:val="single" w:sz="4" w:space="0" w:color="000000"/>
              <w:bottom w:val="single" w:sz="4" w:space="0" w:color="000000"/>
              <w:right w:val="single" w:sz="4" w:space="0" w:color="000000"/>
            </w:tcBorders>
            <w:vAlign w:val="center"/>
            <w:hideMark/>
          </w:tcPr>
          <w:p w14:paraId="17EBE29B" w14:textId="77777777" w:rsidR="00397E7F" w:rsidRPr="00397E7F" w:rsidRDefault="00397E7F" w:rsidP="00397E7F">
            <w:pPr>
              <w:pStyle w:val="Akapitzlist"/>
              <w:spacing w:line="300" w:lineRule="atLeast"/>
              <w:ind w:left="0"/>
              <w:jc w:val="center"/>
              <w:rPr>
                <w:b/>
                <w:bCs/>
                <w:sz w:val="24"/>
                <w:szCs w:val="24"/>
              </w:rPr>
            </w:pPr>
            <w:proofErr w:type="spellStart"/>
            <w:r w:rsidRPr="00397E7F">
              <w:rPr>
                <w:b/>
                <w:bCs/>
                <w:sz w:val="24"/>
                <w:szCs w:val="24"/>
              </w:rPr>
              <w:t>termowizor</w:t>
            </w:r>
            <w:proofErr w:type="spellEnd"/>
          </w:p>
        </w:tc>
      </w:tr>
      <w:tr w:rsidR="00397E7F" w:rsidRPr="00397E7F" w14:paraId="20974268" w14:textId="77777777" w:rsidTr="002C4F27">
        <w:tc>
          <w:tcPr>
            <w:tcW w:w="780" w:type="pct"/>
            <w:tcBorders>
              <w:top w:val="single" w:sz="4" w:space="0" w:color="000000"/>
              <w:left w:val="single" w:sz="4" w:space="0" w:color="000000"/>
              <w:bottom w:val="single" w:sz="4" w:space="0" w:color="000000"/>
              <w:right w:val="single" w:sz="4" w:space="0" w:color="000000"/>
            </w:tcBorders>
          </w:tcPr>
          <w:p w14:paraId="5C3D301B" w14:textId="77777777" w:rsidR="00397E7F" w:rsidRPr="00397E7F" w:rsidRDefault="00397E7F" w:rsidP="00397E7F">
            <w:pPr>
              <w:pStyle w:val="Akapitzlist"/>
              <w:spacing w:line="300" w:lineRule="atLeast"/>
              <w:ind w:left="0"/>
              <w:jc w:val="both"/>
              <w:rPr>
                <w:b/>
                <w:bCs/>
                <w:sz w:val="24"/>
                <w:szCs w:val="24"/>
              </w:rPr>
            </w:pPr>
          </w:p>
        </w:tc>
        <w:tc>
          <w:tcPr>
            <w:tcW w:w="391" w:type="pct"/>
            <w:tcBorders>
              <w:top w:val="single" w:sz="4" w:space="0" w:color="000000"/>
              <w:left w:val="single" w:sz="4" w:space="0" w:color="000000"/>
              <w:bottom w:val="single" w:sz="4" w:space="0" w:color="000000"/>
              <w:right w:val="single" w:sz="4" w:space="0" w:color="auto"/>
            </w:tcBorders>
            <w:vAlign w:val="center"/>
            <w:hideMark/>
          </w:tcPr>
          <w:p w14:paraId="326B73D8" w14:textId="77777777" w:rsidR="00397E7F" w:rsidRPr="002C4F27" w:rsidRDefault="00397E7F" w:rsidP="002C4F27">
            <w:pPr>
              <w:pStyle w:val="Akapitzlist"/>
              <w:ind w:left="0"/>
              <w:contextualSpacing w:val="0"/>
              <w:jc w:val="center"/>
              <w:rPr>
                <w:b/>
                <w:bCs/>
              </w:rPr>
            </w:pPr>
            <w:r w:rsidRPr="002C4F27">
              <w:rPr>
                <w:b/>
                <w:bCs/>
              </w:rPr>
              <w:t>2021 r.</w:t>
            </w:r>
          </w:p>
        </w:tc>
        <w:tc>
          <w:tcPr>
            <w:tcW w:w="471" w:type="pct"/>
            <w:tcBorders>
              <w:top w:val="single" w:sz="4" w:space="0" w:color="000000"/>
              <w:left w:val="single" w:sz="4" w:space="0" w:color="auto"/>
              <w:bottom w:val="single" w:sz="4" w:space="0" w:color="000000"/>
              <w:right w:val="single" w:sz="4" w:space="0" w:color="000000"/>
            </w:tcBorders>
            <w:vAlign w:val="center"/>
            <w:hideMark/>
          </w:tcPr>
          <w:p w14:paraId="5F47FEDB" w14:textId="77777777" w:rsidR="00397E7F" w:rsidRPr="002C4F27" w:rsidRDefault="00397E7F" w:rsidP="002C4F27">
            <w:pPr>
              <w:pStyle w:val="Akapitzlist"/>
              <w:ind w:left="0"/>
              <w:contextualSpacing w:val="0"/>
              <w:jc w:val="center"/>
              <w:rPr>
                <w:b/>
                <w:bCs/>
              </w:rPr>
            </w:pPr>
            <w:r w:rsidRPr="002C4F27">
              <w:rPr>
                <w:b/>
                <w:bCs/>
              </w:rPr>
              <w:t>2022 r.</w:t>
            </w:r>
          </w:p>
        </w:tc>
        <w:tc>
          <w:tcPr>
            <w:tcW w:w="391" w:type="pct"/>
            <w:tcBorders>
              <w:top w:val="single" w:sz="4" w:space="0" w:color="000000"/>
              <w:left w:val="single" w:sz="4" w:space="0" w:color="000000"/>
              <w:bottom w:val="single" w:sz="4" w:space="0" w:color="000000"/>
              <w:right w:val="single" w:sz="4" w:space="0" w:color="auto"/>
            </w:tcBorders>
            <w:vAlign w:val="center"/>
            <w:hideMark/>
          </w:tcPr>
          <w:p w14:paraId="68090C25" w14:textId="77777777" w:rsidR="00397E7F" w:rsidRPr="002C4F27" w:rsidRDefault="00397E7F" w:rsidP="002C4F27">
            <w:pPr>
              <w:pStyle w:val="Akapitzlist"/>
              <w:ind w:left="0"/>
              <w:contextualSpacing w:val="0"/>
              <w:jc w:val="center"/>
              <w:rPr>
                <w:b/>
                <w:bCs/>
              </w:rPr>
            </w:pPr>
            <w:r w:rsidRPr="002C4F27">
              <w:rPr>
                <w:b/>
                <w:bCs/>
              </w:rPr>
              <w:t>2021 r.</w:t>
            </w:r>
          </w:p>
        </w:tc>
        <w:tc>
          <w:tcPr>
            <w:tcW w:w="469" w:type="pct"/>
            <w:tcBorders>
              <w:top w:val="single" w:sz="4" w:space="0" w:color="000000"/>
              <w:left w:val="single" w:sz="4" w:space="0" w:color="auto"/>
              <w:bottom w:val="single" w:sz="4" w:space="0" w:color="000000"/>
              <w:right w:val="single" w:sz="4" w:space="0" w:color="000000"/>
            </w:tcBorders>
            <w:vAlign w:val="center"/>
            <w:hideMark/>
          </w:tcPr>
          <w:p w14:paraId="3E23D98F" w14:textId="77777777" w:rsidR="00397E7F" w:rsidRPr="002C4F27" w:rsidRDefault="00397E7F" w:rsidP="002C4F27">
            <w:pPr>
              <w:pStyle w:val="Akapitzlist"/>
              <w:ind w:left="0"/>
              <w:contextualSpacing w:val="0"/>
              <w:jc w:val="center"/>
              <w:rPr>
                <w:b/>
                <w:bCs/>
              </w:rPr>
            </w:pPr>
            <w:r w:rsidRPr="002C4F27">
              <w:rPr>
                <w:b/>
                <w:bCs/>
              </w:rPr>
              <w:t>2022 r.</w:t>
            </w:r>
          </w:p>
        </w:tc>
        <w:tc>
          <w:tcPr>
            <w:tcW w:w="391" w:type="pct"/>
            <w:tcBorders>
              <w:top w:val="single" w:sz="4" w:space="0" w:color="000000"/>
              <w:left w:val="single" w:sz="4" w:space="0" w:color="000000"/>
              <w:bottom w:val="single" w:sz="4" w:space="0" w:color="000000"/>
              <w:right w:val="single" w:sz="4" w:space="0" w:color="auto"/>
            </w:tcBorders>
            <w:vAlign w:val="center"/>
            <w:hideMark/>
          </w:tcPr>
          <w:p w14:paraId="005E0EEE" w14:textId="77777777" w:rsidR="00397E7F" w:rsidRPr="002C4F27" w:rsidRDefault="00397E7F" w:rsidP="002C4F27">
            <w:pPr>
              <w:pStyle w:val="Akapitzlist"/>
              <w:ind w:left="0"/>
              <w:contextualSpacing w:val="0"/>
              <w:jc w:val="center"/>
              <w:rPr>
                <w:b/>
                <w:bCs/>
              </w:rPr>
            </w:pPr>
            <w:r w:rsidRPr="002C4F27">
              <w:rPr>
                <w:b/>
                <w:bCs/>
              </w:rPr>
              <w:t>2021 r.</w:t>
            </w:r>
          </w:p>
        </w:tc>
        <w:tc>
          <w:tcPr>
            <w:tcW w:w="392" w:type="pct"/>
            <w:tcBorders>
              <w:top w:val="single" w:sz="4" w:space="0" w:color="000000"/>
              <w:left w:val="single" w:sz="4" w:space="0" w:color="auto"/>
              <w:bottom w:val="single" w:sz="4" w:space="0" w:color="000000"/>
              <w:right w:val="single" w:sz="4" w:space="0" w:color="000000"/>
            </w:tcBorders>
            <w:vAlign w:val="center"/>
            <w:hideMark/>
          </w:tcPr>
          <w:p w14:paraId="336F7AFB" w14:textId="77777777" w:rsidR="00397E7F" w:rsidRPr="002C4F27" w:rsidRDefault="00397E7F" w:rsidP="002C4F27">
            <w:pPr>
              <w:pStyle w:val="Akapitzlist"/>
              <w:ind w:left="0"/>
              <w:contextualSpacing w:val="0"/>
              <w:jc w:val="center"/>
              <w:rPr>
                <w:b/>
                <w:bCs/>
              </w:rPr>
            </w:pPr>
            <w:r w:rsidRPr="002C4F27">
              <w:rPr>
                <w:b/>
                <w:bCs/>
              </w:rPr>
              <w:t>2022 r.</w:t>
            </w:r>
          </w:p>
        </w:tc>
        <w:tc>
          <w:tcPr>
            <w:tcW w:w="391" w:type="pct"/>
            <w:tcBorders>
              <w:top w:val="single" w:sz="4" w:space="0" w:color="000000"/>
              <w:left w:val="single" w:sz="4" w:space="0" w:color="000000"/>
              <w:bottom w:val="single" w:sz="4" w:space="0" w:color="000000"/>
              <w:right w:val="single" w:sz="4" w:space="0" w:color="auto"/>
            </w:tcBorders>
            <w:vAlign w:val="center"/>
            <w:hideMark/>
          </w:tcPr>
          <w:p w14:paraId="56CDC3B4" w14:textId="77777777" w:rsidR="00397E7F" w:rsidRPr="002C4F27" w:rsidRDefault="00397E7F" w:rsidP="002C4F27">
            <w:pPr>
              <w:pStyle w:val="Akapitzlist"/>
              <w:ind w:left="0"/>
              <w:contextualSpacing w:val="0"/>
              <w:jc w:val="center"/>
              <w:rPr>
                <w:b/>
                <w:bCs/>
              </w:rPr>
            </w:pPr>
            <w:r w:rsidRPr="002C4F27">
              <w:rPr>
                <w:b/>
                <w:bCs/>
              </w:rPr>
              <w:t>2021 r.</w:t>
            </w:r>
          </w:p>
        </w:tc>
        <w:tc>
          <w:tcPr>
            <w:tcW w:w="468" w:type="pct"/>
            <w:tcBorders>
              <w:top w:val="single" w:sz="4" w:space="0" w:color="000000"/>
              <w:left w:val="single" w:sz="4" w:space="0" w:color="auto"/>
              <w:bottom w:val="single" w:sz="4" w:space="0" w:color="000000"/>
              <w:right w:val="single" w:sz="4" w:space="0" w:color="000000"/>
            </w:tcBorders>
            <w:vAlign w:val="center"/>
            <w:hideMark/>
          </w:tcPr>
          <w:p w14:paraId="2ED9B46C" w14:textId="77777777" w:rsidR="00397E7F" w:rsidRPr="002C4F27" w:rsidRDefault="00397E7F" w:rsidP="002C4F27">
            <w:pPr>
              <w:pStyle w:val="Akapitzlist"/>
              <w:ind w:left="0"/>
              <w:contextualSpacing w:val="0"/>
              <w:jc w:val="center"/>
              <w:rPr>
                <w:b/>
                <w:bCs/>
              </w:rPr>
            </w:pPr>
            <w:r w:rsidRPr="002C4F27">
              <w:rPr>
                <w:b/>
                <w:bCs/>
              </w:rPr>
              <w:t>2022 r.</w:t>
            </w:r>
          </w:p>
        </w:tc>
        <w:tc>
          <w:tcPr>
            <w:tcW w:w="391" w:type="pct"/>
            <w:tcBorders>
              <w:top w:val="single" w:sz="4" w:space="0" w:color="000000"/>
              <w:left w:val="single" w:sz="4" w:space="0" w:color="000000"/>
              <w:bottom w:val="single" w:sz="4" w:space="0" w:color="000000"/>
              <w:right w:val="single" w:sz="4" w:space="0" w:color="auto"/>
            </w:tcBorders>
            <w:vAlign w:val="center"/>
            <w:hideMark/>
          </w:tcPr>
          <w:p w14:paraId="70EB5984" w14:textId="77777777" w:rsidR="00397E7F" w:rsidRPr="002C4F27" w:rsidRDefault="00397E7F" w:rsidP="002C4F27">
            <w:pPr>
              <w:pStyle w:val="Akapitzlist"/>
              <w:ind w:left="0"/>
              <w:contextualSpacing w:val="0"/>
              <w:jc w:val="center"/>
              <w:rPr>
                <w:b/>
                <w:bCs/>
              </w:rPr>
            </w:pPr>
            <w:r w:rsidRPr="002C4F27">
              <w:rPr>
                <w:b/>
                <w:bCs/>
              </w:rPr>
              <w:t>2021 r.</w:t>
            </w:r>
          </w:p>
        </w:tc>
        <w:tc>
          <w:tcPr>
            <w:tcW w:w="465" w:type="pct"/>
            <w:tcBorders>
              <w:top w:val="single" w:sz="4" w:space="0" w:color="000000"/>
              <w:left w:val="single" w:sz="4" w:space="0" w:color="auto"/>
              <w:bottom w:val="single" w:sz="4" w:space="0" w:color="000000"/>
              <w:right w:val="single" w:sz="4" w:space="0" w:color="000000"/>
            </w:tcBorders>
            <w:vAlign w:val="center"/>
            <w:hideMark/>
          </w:tcPr>
          <w:p w14:paraId="0FD60555" w14:textId="77777777" w:rsidR="00397E7F" w:rsidRPr="002C4F27" w:rsidRDefault="00397E7F" w:rsidP="002C4F27">
            <w:pPr>
              <w:pStyle w:val="Akapitzlist"/>
              <w:ind w:left="0"/>
              <w:contextualSpacing w:val="0"/>
              <w:jc w:val="center"/>
              <w:rPr>
                <w:b/>
                <w:bCs/>
              </w:rPr>
            </w:pPr>
            <w:r w:rsidRPr="002C4F27">
              <w:rPr>
                <w:b/>
                <w:bCs/>
              </w:rPr>
              <w:t>2022 r.</w:t>
            </w:r>
          </w:p>
        </w:tc>
      </w:tr>
      <w:tr w:rsidR="00397E7F" w:rsidRPr="00397E7F" w14:paraId="7D20D4BE" w14:textId="77777777" w:rsidTr="002C4F27">
        <w:tc>
          <w:tcPr>
            <w:tcW w:w="780" w:type="pct"/>
            <w:tcBorders>
              <w:top w:val="single" w:sz="4" w:space="0" w:color="000000"/>
              <w:left w:val="single" w:sz="4" w:space="0" w:color="000000"/>
              <w:bottom w:val="single" w:sz="4" w:space="0" w:color="000000"/>
              <w:right w:val="single" w:sz="4" w:space="0" w:color="000000"/>
            </w:tcBorders>
            <w:hideMark/>
          </w:tcPr>
          <w:p w14:paraId="65DB4FEB" w14:textId="77777777" w:rsidR="00397E7F" w:rsidRPr="00397E7F" w:rsidRDefault="00397E7F" w:rsidP="00397E7F">
            <w:pPr>
              <w:pStyle w:val="Akapitzlist"/>
              <w:spacing w:line="300" w:lineRule="atLeast"/>
              <w:ind w:left="0"/>
              <w:jc w:val="both"/>
              <w:rPr>
                <w:sz w:val="24"/>
                <w:szCs w:val="24"/>
              </w:rPr>
            </w:pPr>
            <w:r w:rsidRPr="00397E7F">
              <w:rPr>
                <w:sz w:val="24"/>
                <w:szCs w:val="24"/>
              </w:rPr>
              <w:t>Ciechanów</w:t>
            </w:r>
          </w:p>
        </w:tc>
        <w:tc>
          <w:tcPr>
            <w:tcW w:w="391" w:type="pct"/>
            <w:tcBorders>
              <w:top w:val="single" w:sz="4" w:space="0" w:color="000000"/>
              <w:left w:val="single" w:sz="4" w:space="0" w:color="000000"/>
              <w:bottom w:val="single" w:sz="4" w:space="0" w:color="000000"/>
              <w:right w:val="single" w:sz="4" w:space="0" w:color="auto"/>
            </w:tcBorders>
            <w:hideMark/>
          </w:tcPr>
          <w:p w14:paraId="2995D6CB" w14:textId="77777777" w:rsidR="00397E7F" w:rsidRPr="002C4F27" w:rsidRDefault="00397E7F" w:rsidP="00397E7F">
            <w:pPr>
              <w:pStyle w:val="Akapitzlist"/>
              <w:spacing w:line="300" w:lineRule="atLeast"/>
              <w:ind w:left="0"/>
              <w:jc w:val="center"/>
            </w:pPr>
            <w:r w:rsidRPr="002C4F27">
              <w:t>1</w:t>
            </w:r>
          </w:p>
        </w:tc>
        <w:tc>
          <w:tcPr>
            <w:tcW w:w="471" w:type="pct"/>
            <w:tcBorders>
              <w:top w:val="single" w:sz="4" w:space="0" w:color="000000"/>
              <w:left w:val="single" w:sz="4" w:space="0" w:color="auto"/>
              <w:bottom w:val="single" w:sz="4" w:space="0" w:color="000000"/>
              <w:right w:val="single" w:sz="4" w:space="0" w:color="000000"/>
            </w:tcBorders>
            <w:hideMark/>
          </w:tcPr>
          <w:p w14:paraId="745DFD37" w14:textId="77777777" w:rsidR="00397E7F" w:rsidRPr="002C4F27" w:rsidRDefault="00397E7F" w:rsidP="00397E7F">
            <w:pPr>
              <w:pStyle w:val="Akapitzlist"/>
              <w:spacing w:line="300" w:lineRule="atLeast"/>
              <w:ind w:left="0"/>
              <w:jc w:val="center"/>
            </w:pPr>
            <w:r w:rsidRPr="002C4F27">
              <w:t>1</w:t>
            </w:r>
          </w:p>
        </w:tc>
        <w:tc>
          <w:tcPr>
            <w:tcW w:w="391" w:type="pct"/>
            <w:tcBorders>
              <w:top w:val="single" w:sz="4" w:space="0" w:color="000000"/>
              <w:left w:val="single" w:sz="4" w:space="0" w:color="000000"/>
              <w:bottom w:val="single" w:sz="4" w:space="0" w:color="000000"/>
              <w:right w:val="single" w:sz="4" w:space="0" w:color="auto"/>
            </w:tcBorders>
            <w:hideMark/>
          </w:tcPr>
          <w:p w14:paraId="54C80E28" w14:textId="77777777" w:rsidR="00397E7F" w:rsidRPr="002C4F27" w:rsidRDefault="00397E7F" w:rsidP="00397E7F">
            <w:pPr>
              <w:pStyle w:val="Akapitzlist"/>
              <w:spacing w:line="300" w:lineRule="atLeast"/>
              <w:ind w:left="0"/>
              <w:jc w:val="center"/>
            </w:pPr>
            <w:r w:rsidRPr="002C4F27">
              <w:t>1</w:t>
            </w:r>
          </w:p>
        </w:tc>
        <w:tc>
          <w:tcPr>
            <w:tcW w:w="469" w:type="pct"/>
            <w:tcBorders>
              <w:top w:val="single" w:sz="4" w:space="0" w:color="000000"/>
              <w:left w:val="single" w:sz="4" w:space="0" w:color="auto"/>
              <w:bottom w:val="single" w:sz="4" w:space="0" w:color="000000"/>
              <w:right w:val="single" w:sz="4" w:space="0" w:color="000000"/>
            </w:tcBorders>
            <w:hideMark/>
          </w:tcPr>
          <w:p w14:paraId="19D3F305" w14:textId="77777777" w:rsidR="00397E7F" w:rsidRPr="002C4F27" w:rsidRDefault="00397E7F" w:rsidP="00397E7F">
            <w:pPr>
              <w:pStyle w:val="Akapitzlist"/>
              <w:spacing w:line="300" w:lineRule="atLeast"/>
              <w:ind w:left="0"/>
              <w:jc w:val="center"/>
            </w:pPr>
            <w:r w:rsidRPr="002C4F27">
              <w:t>1</w:t>
            </w:r>
          </w:p>
        </w:tc>
        <w:tc>
          <w:tcPr>
            <w:tcW w:w="391" w:type="pct"/>
            <w:tcBorders>
              <w:top w:val="single" w:sz="4" w:space="0" w:color="000000"/>
              <w:left w:val="single" w:sz="4" w:space="0" w:color="000000"/>
              <w:bottom w:val="single" w:sz="4" w:space="0" w:color="000000"/>
              <w:right w:val="single" w:sz="4" w:space="0" w:color="auto"/>
            </w:tcBorders>
            <w:hideMark/>
          </w:tcPr>
          <w:p w14:paraId="731EBC2A" w14:textId="77777777" w:rsidR="00397E7F" w:rsidRPr="002C4F27" w:rsidRDefault="00397E7F" w:rsidP="00397E7F">
            <w:pPr>
              <w:pStyle w:val="Akapitzlist"/>
              <w:spacing w:line="300" w:lineRule="atLeast"/>
              <w:ind w:left="0"/>
              <w:jc w:val="center"/>
            </w:pPr>
            <w:r w:rsidRPr="002C4F27">
              <w:t>5</w:t>
            </w:r>
          </w:p>
        </w:tc>
        <w:tc>
          <w:tcPr>
            <w:tcW w:w="392" w:type="pct"/>
            <w:tcBorders>
              <w:top w:val="single" w:sz="4" w:space="0" w:color="000000"/>
              <w:left w:val="single" w:sz="4" w:space="0" w:color="auto"/>
              <w:bottom w:val="single" w:sz="4" w:space="0" w:color="000000"/>
              <w:right w:val="single" w:sz="4" w:space="0" w:color="000000"/>
            </w:tcBorders>
            <w:hideMark/>
          </w:tcPr>
          <w:p w14:paraId="7D257DAE" w14:textId="77777777" w:rsidR="00397E7F" w:rsidRPr="002C4F27" w:rsidRDefault="00397E7F" w:rsidP="00397E7F">
            <w:pPr>
              <w:pStyle w:val="Akapitzlist"/>
              <w:spacing w:line="300" w:lineRule="atLeast"/>
              <w:ind w:left="0"/>
              <w:jc w:val="center"/>
            </w:pPr>
            <w:r w:rsidRPr="002C4F27">
              <w:t>8</w:t>
            </w:r>
          </w:p>
        </w:tc>
        <w:tc>
          <w:tcPr>
            <w:tcW w:w="391" w:type="pct"/>
            <w:tcBorders>
              <w:top w:val="single" w:sz="4" w:space="0" w:color="000000"/>
              <w:left w:val="single" w:sz="4" w:space="0" w:color="000000"/>
              <w:bottom w:val="single" w:sz="4" w:space="0" w:color="000000"/>
              <w:right w:val="single" w:sz="4" w:space="0" w:color="auto"/>
            </w:tcBorders>
            <w:hideMark/>
          </w:tcPr>
          <w:p w14:paraId="2253881B" w14:textId="77777777" w:rsidR="00397E7F" w:rsidRPr="002C4F27" w:rsidRDefault="00397E7F" w:rsidP="00397E7F">
            <w:pPr>
              <w:pStyle w:val="Akapitzlist"/>
              <w:spacing w:line="300" w:lineRule="atLeast"/>
              <w:ind w:left="0"/>
              <w:jc w:val="center"/>
            </w:pPr>
            <w:r w:rsidRPr="002C4F27">
              <w:t>6</w:t>
            </w:r>
          </w:p>
        </w:tc>
        <w:tc>
          <w:tcPr>
            <w:tcW w:w="468" w:type="pct"/>
            <w:tcBorders>
              <w:top w:val="single" w:sz="4" w:space="0" w:color="000000"/>
              <w:left w:val="single" w:sz="4" w:space="0" w:color="auto"/>
              <w:bottom w:val="single" w:sz="4" w:space="0" w:color="000000"/>
              <w:right w:val="single" w:sz="4" w:space="0" w:color="000000"/>
            </w:tcBorders>
            <w:hideMark/>
          </w:tcPr>
          <w:p w14:paraId="79992C14" w14:textId="77777777" w:rsidR="00397E7F" w:rsidRPr="002C4F27" w:rsidRDefault="00397E7F" w:rsidP="00397E7F">
            <w:pPr>
              <w:pStyle w:val="Akapitzlist"/>
              <w:spacing w:line="300" w:lineRule="atLeast"/>
              <w:ind w:left="0"/>
              <w:jc w:val="center"/>
            </w:pPr>
            <w:r w:rsidRPr="002C4F27">
              <w:t>12</w:t>
            </w:r>
          </w:p>
        </w:tc>
        <w:tc>
          <w:tcPr>
            <w:tcW w:w="391" w:type="pct"/>
            <w:tcBorders>
              <w:top w:val="single" w:sz="4" w:space="0" w:color="000000"/>
              <w:left w:val="single" w:sz="4" w:space="0" w:color="000000"/>
              <w:bottom w:val="single" w:sz="4" w:space="0" w:color="000000"/>
              <w:right w:val="single" w:sz="4" w:space="0" w:color="auto"/>
            </w:tcBorders>
            <w:hideMark/>
          </w:tcPr>
          <w:p w14:paraId="043CE4EB" w14:textId="77777777" w:rsidR="00397E7F" w:rsidRPr="002C4F27" w:rsidRDefault="00397E7F" w:rsidP="00397E7F">
            <w:pPr>
              <w:pStyle w:val="Akapitzlist"/>
              <w:spacing w:line="300" w:lineRule="atLeast"/>
              <w:ind w:left="0"/>
              <w:jc w:val="center"/>
            </w:pPr>
            <w:r w:rsidRPr="002C4F27">
              <w:t>-</w:t>
            </w:r>
          </w:p>
        </w:tc>
        <w:tc>
          <w:tcPr>
            <w:tcW w:w="465" w:type="pct"/>
            <w:tcBorders>
              <w:top w:val="single" w:sz="4" w:space="0" w:color="000000"/>
              <w:left w:val="single" w:sz="4" w:space="0" w:color="auto"/>
              <w:bottom w:val="single" w:sz="4" w:space="0" w:color="000000"/>
              <w:right w:val="single" w:sz="4" w:space="0" w:color="000000"/>
            </w:tcBorders>
            <w:hideMark/>
          </w:tcPr>
          <w:p w14:paraId="2F26C358" w14:textId="77777777" w:rsidR="00397E7F" w:rsidRPr="002C4F27" w:rsidRDefault="00397E7F" w:rsidP="00397E7F">
            <w:pPr>
              <w:pStyle w:val="Akapitzlist"/>
              <w:spacing w:line="300" w:lineRule="atLeast"/>
              <w:ind w:left="0"/>
              <w:jc w:val="center"/>
            </w:pPr>
            <w:r w:rsidRPr="002C4F27">
              <w:t>-</w:t>
            </w:r>
          </w:p>
        </w:tc>
      </w:tr>
      <w:tr w:rsidR="00397E7F" w:rsidRPr="00397E7F" w14:paraId="6B54138C" w14:textId="77777777" w:rsidTr="002C4F27">
        <w:tc>
          <w:tcPr>
            <w:tcW w:w="780" w:type="pct"/>
            <w:tcBorders>
              <w:top w:val="single" w:sz="4" w:space="0" w:color="000000"/>
              <w:left w:val="single" w:sz="4" w:space="0" w:color="000000"/>
              <w:bottom w:val="single" w:sz="4" w:space="0" w:color="000000"/>
              <w:right w:val="single" w:sz="4" w:space="0" w:color="000000"/>
            </w:tcBorders>
            <w:hideMark/>
          </w:tcPr>
          <w:p w14:paraId="6F8E6BB1" w14:textId="77777777" w:rsidR="00397E7F" w:rsidRPr="00397E7F" w:rsidRDefault="00397E7F" w:rsidP="00397E7F">
            <w:pPr>
              <w:pStyle w:val="Akapitzlist"/>
              <w:spacing w:line="300" w:lineRule="atLeast"/>
              <w:ind w:left="0"/>
              <w:jc w:val="both"/>
              <w:rPr>
                <w:sz w:val="24"/>
                <w:szCs w:val="24"/>
              </w:rPr>
            </w:pPr>
            <w:r w:rsidRPr="00397E7F">
              <w:rPr>
                <w:sz w:val="24"/>
                <w:szCs w:val="24"/>
              </w:rPr>
              <w:t>Mińsk Mazowiecki</w:t>
            </w:r>
          </w:p>
        </w:tc>
        <w:tc>
          <w:tcPr>
            <w:tcW w:w="391" w:type="pct"/>
            <w:tcBorders>
              <w:top w:val="single" w:sz="4" w:space="0" w:color="000000"/>
              <w:left w:val="single" w:sz="4" w:space="0" w:color="000000"/>
              <w:bottom w:val="single" w:sz="4" w:space="0" w:color="000000"/>
              <w:right w:val="single" w:sz="4" w:space="0" w:color="auto"/>
            </w:tcBorders>
            <w:hideMark/>
          </w:tcPr>
          <w:p w14:paraId="45C64A14" w14:textId="77777777" w:rsidR="00397E7F" w:rsidRPr="002C4F27" w:rsidRDefault="00397E7F" w:rsidP="00397E7F">
            <w:pPr>
              <w:pStyle w:val="Akapitzlist"/>
              <w:spacing w:line="300" w:lineRule="atLeast"/>
              <w:ind w:left="0"/>
              <w:jc w:val="center"/>
            </w:pPr>
            <w:r w:rsidRPr="002C4F27">
              <w:t>2</w:t>
            </w:r>
          </w:p>
        </w:tc>
        <w:tc>
          <w:tcPr>
            <w:tcW w:w="471" w:type="pct"/>
            <w:tcBorders>
              <w:top w:val="single" w:sz="4" w:space="0" w:color="000000"/>
              <w:left w:val="single" w:sz="4" w:space="0" w:color="auto"/>
              <w:bottom w:val="single" w:sz="4" w:space="0" w:color="000000"/>
              <w:right w:val="single" w:sz="4" w:space="0" w:color="000000"/>
            </w:tcBorders>
            <w:hideMark/>
          </w:tcPr>
          <w:p w14:paraId="6314C6F1" w14:textId="77777777" w:rsidR="00397E7F" w:rsidRPr="002C4F27" w:rsidRDefault="00397E7F" w:rsidP="00397E7F">
            <w:pPr>
              <w:pStyle w:val="Akapitzlist"/>
              <w:spacing w:line="300" w:lineRule="atLeast"/>
              <w:ind w:left="0"/>
              <w:jc w:val="center"/>
            </w:pPr>
            <w:r w:rsidRPr="002C4F27">
              <w:t>4</w:t>
            </w:r>
          </w:p>
        </w:tc>
        <w:tc>
          <w:tcPr>
            <w:tcW w:w="391" w:type="pct"/>
            <w:tcBorders>
              <w:top w:val="single" w:sz="4" w:space="0" w:color="000000"/>
              <w:left w:val="single" w:sz="4" w:space="0" w:color="000000"/>
              <w:bottom w:val="single" w:sz="4" w:space="0" w:color="000000"/>
              <w:right w:val="single" w:sz="4" w:space="0" w:color="auto"/>
            </w:tcBorders>
            <w:hideMark/>
          </w:tcPr>
          <w:p w14:paraId="2F20F80C" w14:textId="77777777" w:rsidR="00397E7F" w:rsidRPr="002C4F27" w:rsidRDefault="00397E7F" w:rsidP="00397E7F">
            <w:pPr>
              <w:pStyle w:val="Akapitzlist"/>
              <w:spacing w:line="300" w:lineRule="atLeast"/>
              <w:ind w:left="0"/>
              <w:jc w:val="center"/>
            </w:pPr>
            <w:r w:rsidRPr="002C4F27">
              <w:t>2</w:t>
            </w:r>
          </w:p>
        </w:tc>
        <w:tc>
          <w:tcPr>
            <w:tcW w:w="469" w:type="pct"/>
            <w:tcBorders>
              <w:top w:val="single" w:sz="4" w:space="0" w:color="000000"/>
              <w:left w:val="single" w:sz="4" w:space="0" w:color="auto"/>
              <w:bottom w:val="single" w:sz="4" w:space="0" w:color="000000"/>
              <w:right w:val="single" w:sz="4" w:space="0" w:color="000000"/>
            </w:tcBorders>
            <w:hideMark/>
          </w:tcPr>
          <w:p w14:paraId="1ED8BECD" w14:textId="77777777" w:rsidR="00397E7F" w:rsidRPr="002C4F27" w:rsidRDefault="00397E7F" w:rsidP="00397E7F">
            <w:pPr>
              <w:pStyle w:val="Akapitzlist"/>
              <w:spacing w:line="300" w:lineRule="atLeast"/>
              <w:ind w:left="0"/>
              <w:jc w:val="center"/>
            </w:pPr>
            <w:r w:rsidRPr="002C4F27">
              <w:t>2</w:t>
            </w:r>
          </w:p>
        </w:tc>
        <w:tc>
          <w:tcPr>
            <w:tcW w:w="391" w:type="pct"/>
            <w:tcBorders>
              <w:top w:val="single" w:sz="4" w:space="0" w:color="000000"/>
              <w:left w:val="single" w:sz="4" w:space="0" w:color="000000"/>
              <w:bottom w:val="single" w:sz="4" w:space="0" w:color="000000"/>
              <w:right w:val="single" w:sz="4" w:space="0" w:color="auto"/>
            </w:tcBorders>
            <w:hideMark/>
          </w:tcPr>
          <w:p w14:paraId="7C1C7B29" w14:textId="77777777" w:rsidR="00397E7F" w:rsidRPr="002C4F27" w:rsidRDefault="00397E7F" w:rsidP="00397E7F">
            <w:pPr>
              <w:pStyle w:val="Akapitzlist"/>
              <w:spacing w:line="300" w:lineRule="atLeast"/>
              <w:ind w:left="0"/>
              <w:jc w:val="center"/>
            </w:pPr>
            <w:r w:rsidRPr="002C4F27">
              <w:t>-</w:t>
            </w:r>
          </w:p>
        </w:tc>
        <w:tc>
          <w:tcPr>
            <w:tcW w:w="392" w:type="pct"/>
            <w:tcBorders>
              <w:top w:val="single" w:sz="4" w:space="0" w:color="000000"/>
              <w:left w:val="single" w:sz="4" w:space="0" w:color="auto"/>
              <w:bottom w:val="single" w:sz="4" w:space="0" w:color="000000"/>
              <w:right w:val="single" w:sz="4" w:space="0" w:color="000000"/>
            </w:tcBorders>
            <w:hideMark/>
          </w:tcPr>
          <w:p w14:paraId="6BADD90A" w14:textId="77777777" w:rsidR="00397E7F" w:rsidRPr="002C4F27" w:rsidRDefault="00397E7F" w:rsidP="00397E7F">
            <w:pPr>
              <w:pStyle w:val="Akapitzlist"/>
              <w:spacing w:line="300" w:lineRule="atLeast"/>
              <w:ind w:left="0"/>
              <w:jc w:val="center"/>
            </w:pPr>
            <w:r w:rsidRPr="002C4F27">
              <w:t>-</w:t>
            </w:r>
          </w:p>
        </w:tc>
        <w:tc>
          <w:tcPr>
            <w:tcW w:w="391" w:type="pct"/>
            <w:tcBorders>
              <w:top w:val="single" w:sz="4" w:space="0" w:color="000000"/>
              <w:left w:val="single" w:sz="4" w:space="0" w:color="000000"/>
              <w:bottom w:val="single" w:sz="4" w:space="0" w:color="000000"/>
              <w:right w:val="single" w:sz="4" w:space="0" w:color="auto"/>
            </w:tcBorders>
            <w:hideMark/>
          </w:tcPr>
          <w:p w14:paraId="076C4C4C" w14:textId="77777777" w:rsidR="00397E7F" w:rsidRPr="002C4F27" w:rsidRDefault="00397E7F" w:rsidP="00397E7F">
            <w:pPr>
              <w:pStyle w:val="Akapitzlist"/>
              <w:spacing w:line="300" w:lineRule="atLeast"/>
              <w:ind w:left="0"/>
              <w:jc w:val="center"/>
            </w:pPr>
            <w:r w:rsidRPr="002C4F27">
              <w:t>-</w:t>
            </w:r>
          </w:p>
        </w:tc>
        <w:tc>
          <w:tcPr>
            <w:tcW w:w="468" w:type="pct"/>
            <w:tcBorders>
              <w:top w:val="single" w:sz="4" w:space="0" w:color="000000"/>
              <w:left w:val="single" w:sz="4" w:space="0" w:color="auto"/>
              <w:bottom w:val="single" w:sz="4" w:space="0" w:color="000000"/>
              <w:right w:val="single" w:sz="4" w:space="0" w:color="000000"/>
            </w:tcBorders>
            <w:hideMark/>
          </w:tcPr>
          <w:p w14:paraId="60B7B63B" w14:textId="77777777" w:rsidR="00397E7F" w:rsidRPr="002C4F27" w:rsidRDefault="00397E7F" w:rsidP="00397E7F">
            <w:pPr>
              <w:pStyle w:val="Akapitzlist"/>
              <w:spacing w:line="300" w:lineRule="atLeast"/>
              <w:ind w:left="0"/>
              <w:jc w:val="center"/>
            </w:pPr>
            <w:r w:rsidRPr="002C4F27">
              <w:t>-</w:t>
            </w:r>
          </w:p>
        </w:tc>
        <w:tc>
          <w:tcPr>
            <w:tcW w:w="391" w:type="pct"/>
            <w:tcBorders>
              <w:top w:val="single" w:sz="4" w:space="0" w:color="000000"/>
              <w:left w:val="single" w:sz="4" w:space="0" w:color="000000"/>
              <w:bottom w:val="single" w:sz="4" w:space="0" w:color="000000"/>
              <w:right w:val="single" w:sz="4" w:space="0" w:color="auto"/>
            </w:tcBorders>
            <w:hideMark/>
          </w:tcPr>
          <w:p w14:paraId="02D6DF3D" w14:textId="77777777" w:rsidR="00397E7F" w:rsidRPr="002C4F27" w:rsidRDefault="00397E7F" w:rsidP="00397E7F">
            <w:pPr>
              <w:pStyle w:val="Akapitzlist"/>
              <w:spacing w:line="300" w:lineRule="atLeast"/>
              <w:ind w:left="0"/>
              <w:jc w:val="center"/>
            </w:pPr>
            <w:r w:rsidRPr="002C4F27">
              <w:t>-</w:t>
            </w:r>
          </w:p>
        </w:tc>
        <w:tc>
          <w:tcPr>
            <w:tcW w:w="465" w:type="pct"/>
            <w:tcBorders>
              <w:top w:val="single" w:sz="4" w:space="0" w:color="000000"/>
              <w:left w:val="single" w:sz="4" w:space="0" w:color="auto"/>
              <w:bottom w:val="single" w:sz="4" w:space="0" w:color="000000"/>
              <w:right w:val="single" w:sz="4" w:space="0" w:color="000000"/>
            </w:tcBorders>
            <w:hideMark/>
          </w:tcPr>
          <w:p w14:paraId="083EC68F" w14:textId="77777777" w:rsidR="00397E7F" w:rsidRPr="002C4F27" w:rsidRDefault="00397E7F" w:rsidP="00397E7F">
            <w:pPr>
              <w:pStyle w:val="Akapitzlist"/>
              <w:spacing w:line="300" w:lineRule="atLeast"/>
              <w:ind w:left="0"/>
              <w:jc w:val="center"/>
            </w:pPr>
            <w:r w:rsidRPr="002C4F27">
              <w:t>-</w:t>
            </w:r>
          </w:p>
        </w:tc>
      </w:tr>
      <w:tr w:rsidR="00397E7F" w:rsidRPr="00397E7F" w14:paraId="2AD4B5C1" w14:textId="77777777" w:rsidTr="002C4F27">
        <w:tc>
          <w:tcPr>
            <w:tcW w:w="780" w:type="pct"/>
            <w:tcBorders>
              <w:top w:val="single" w:sz="4" w:space="0" w:color="000000"/>
              <w:left w:val="single" w:sz="4" w:space="0" w:color="000000"/>
              <w:bottom w:val="single" w:sz="4" w:space="0" w:color="000000"/>
              <w:right w:val="single" w:sz="4" w:space="0" w:color="000000"/>
            </w:tcBorders>
            <w:hideMark/>
          </w:tcPr>
          <w:p w14:paraId="137ECA27" w14:textId="77777777" w:rsidR="00397E7F" w:rsidRPr="00397E7F" w:rsidRDefault="00397E7F" w:rsidP="00397E7F">
            <w:pPr>
              <w:pStyle w:val="Akapitzlist"/>
              <w:spacing w:line="300" w:lineRule="atLeast"/>
              <w:ind w:left="0"/>
              <w:jc w:val="both"/>
              <w:rPr>
                <w:sz w:val="24"/>
                <w:szCs w:val="24"/>
              </w:rPr>
            </w:pPr>
            <w:r w:rsidRPr="00397E7F">
              <w:rPr>
                <w:sz w:val="24"/>
                <w:szCs w:val="24"/>
              </w:rPr>
              <w:t>Ostrołęka</w:t>
            </w:r>
          </w:p>
        </w:tc>
        <w:tc>
          <w:tcPr>
            <w:tcW w:w="391" w:type="pct"/>
            <w:tcBorders>
              <w:top w:val="single" w:sz="4" w:space="0" w:color="000000"/>
              <w:left w:val="single" w:sz="4" w:space="0" w:color="000000"/>
              <w:bottom w:val="single" w:sz="4" w:space="0" w:color="000000"/>
              <w:right w:val="single" w:sz="4" w:space="0" w:color="auto"/>
            </w:tcBorders>
            <w:hideMark/>
          </w:tcPr>
          <w:p w14:paraId="021DFEE2" w14:textId="77777777" w:rsidR="00397E7F" w:rsidRPr="002C4F27" w:rsidRDefault="00397E7F" w:rsidP="00397E7F">
            <w:pPr>
              <w:pStyle w:val="Akapitzlist"/>
              <w:spacing w:line="300" w:lineRule="atLeast"/>
              <w:ind w:left="0"/>
              <w:jc w:val="center"/>
            </w:pPr>
            <w:r w:rsidRPr="002C4F27">
              <w:t>-</w:t>
            </w:r>
          </w:p>
        </w:tc>
        <w:tc>
          <w:tcPr>
            <w:tcW w:w="471" w:type="pct"/>
            <w:tcBorders>
              <w:top w:val="single" w:sz="4" w:space="0" w:color="000000"/>
              <w:left w:val="single" w:sz="4" w:space="0" w:color="auto"/>
              <w:bottom w:val="single" w:sz="4" w:space="0" w:color="000000"/>
              <w:right w:val="single" w:sz="4" w:space="0" w:color="000000"/>
            </w:tcBorders>
            <w:hideMark/>
          </w:tcPr>
          <w:p w14:paraId="53C7C6DE" w14:textId="77777777" w:rsidR="00397E7F" w:rsidRPr="002C4F27" w:rsidRDefault="00397E7F" w:rsidP="00397E7F">
            <w:pPr>
              <w:pStyle w:val="Akapitzlist"/>
              <w:spacing w:line="300" w:lineRule="atLeast"/>
              <w:ind w:left="0"/>
              <w:jc w:val="center"/>
            </w:pPr>
            <w:r w:rsidRPr="002C4F27">
              <w:t>3</w:t>
            </w:r>
          </w:p>
        </w:tc>
        <w:tc>
          <w:tcPr>
            <w:tcW w:w="391" w:type="pct"/>
            <w:tcBorders>
              <w:top w:val="single" w:sz="4" w:space="0" w:color="000000"/>
              <w:left w:val="single" w:sz="4" w:space="0" w:color="000000"/>
              <w:bottom w:val="single" w:sz="4" w:space="0" w:color="000000"/>
              <w:right w:val="single" w:sz="4" w:space="0" w:color="auto"/>
            </w:tcBorders>
            <w:hideMark/>
          </w:tcPr>
          <w:p w14:paraId="32251748" w14:textId="77777777" w:rsidR="00397E7F" w:rsidRPr="002C4F27" w:rsidRDefault="00397E7F" w:rsidP="00397E7F">
            <w:pPr>
              <w:pStyle w:val="Akapitzlist"/>
              <w:spacing w:line="300" w:lineRule="atLeast"/>
              <w:ind w:left="0"/>
              <w:jc w:val="center"/>
            </w:pPr>
            <w:r w:rsidRPr="002C4F27">
              <w:t>-</w:t>
            </w:r>
          </w:p>
        </w:tc>
        <w:tc>
          <w:tcPr>
            <w:tcW w:w="469" w:type="pct"/>
            <w:tcBorders>
              <w:top w:val="single" w:sz="4" w:space="0" w:color="000000"/>
              <w:left w:val="single" w:sz="4" w:space="0" w:color="auto"/>
              <w:bottom w:val="single" w:sz="4" w:space="0" w:color="000000"/>
              <w:right w:val="single" w:sz="4" w:space="0" w:color="000000"/>
            </w:tcBorders>
            <w:hideMark/>
          </w:tcPr>
          <w:p w14:paraId="53FAED76" w14:textId="77777777" w:rsidR="00397E7F" w:rsidRPr="002C4F27" w:rsidRDefault="00397E7F" w:rsidP="00397E7F">
            <w:pPr>
              <w:pStyle w:val="Akapitzlist"/>
              <w:spacing w:line="300" w:lineRule="atLeast"/>
              <w:ind w:left="0"/>
              <w:jc w:val="center"/>
            </w:pPr>
            <w:r w:rsidRPr="002C4F27">
              <w:t>-</w:t>
            </w:r>
          </w:p>
        </w:tc>
        <w:tc>
          <w:tcPr>
            <w:tcW w:w="391" w:type="pct"/>
            <w:tcBorders>
              <w:top w:val="single" w:sz="4" w:space="0" w:color="000000"/>
              <w:left w:val="single" w:sz="4" w:space="0" w:color="000000"/>
              <w:bottom w:val="single" w:sz="4" w:space="0" w:color="000000"/>
              <w:right w:val="single" w:sz="4" w:space="0" w:color="auto"/>
            </w:tcBorders>
            <w:hideMark/>
          </w:tcPr>
          <w:p w14:paraId="5C74AC92" w14:textId="77777777" w:rsidR="00397E7F" w:rsidRPr="002C4F27" w:rsidRDefault="00397E7F" w:rsidP="00397E7F">
            <w:pPr>
              <w:pStyle w:val="Akapitzlist"/>
              <w:spacing w:line="300" w:lineRule="atLeast"/>
              <w:ind w:left="0"/>
              <w:jc w:val="center"/>
            </w:pPr>
            <w:r w:rsidRPr="002C4F27">
              <w:t>-</w:t>
            </w:r>
          </w:p>
        </w:tc>
        <w:tc>
          <w:tcPr>
            <w:tcW w:w="392" w:type="pct"/>
            <w:tcBorders>
              <w:top w:val="single" w:sz="4" w:space="0" w:color="000000"/>
              <w:left w:val="single" w:sz="4" w:space="0" w:color="auto"/>
              <w:bottom w:val="single" w:sz="4" w:space="0" w:color="000000"/>
              <w:right w:val="single" w:sz="4" w:space="0" w:color="000000"/>
            </w:tcBorders>
            <w:hideMark/>
          </w:tcPr>
          <w:p w14:paraId="030D3BAD" w14:textId="77777777" w:rsidR="00397E7F" w:rsidRPr="002C4F27" w:rsidRDefault="00397E7F" w:rsidP="00397E7F">
            <w:pPr>
              <w:pStyle w:val="Akapitzlist"/>
              <w:spacing w:line="300" w:lineRule="atLeast"/>
              <w:ind w:left="0"/>
              <w:jc w:val="center"/>
            </w:pPr>
            <w:r w:rsidRPr="002C4F27">
              <w:t>-</w:t>
            </w:r>
          </w:p>
        </w:tc>
        <w:tc>
          <w:tcPr>
            <w:tcW w:w="391" w:type="pct"/>
            <w:tcBorders>
              <w:top w:val="single" w:sz="4" w:space="0" w:color="000000"/>
              <w:left w:val="single" w:sz="4" w:space="0" w:color="000000"/>
              <w:bottom w:val="single" w:sz="4" w:space="0" w:color="000000"/>
              <w:right w:val="single" w:sz="4" w:space="0" w:color="auto"/>
            </w:tcBorders>
            <w:hideMark/>
          </w:tcPr>
          <w:p w14:paraId="2DB71F22" w14:textId="77777777" w:rsidR="00397E7F" w:rsidRPr="002C4F27" w:rsidRDefault="00397E7F" w:rsidP="00397E7F">
            <w:pPr>
              <w:pStyle w:val="Akapitzlist"/>
              <w:spacing w:line="300" w:lineRule="atLeast"/>
              <w:ind w:left="0"/>
              <w:jc w:val="center"/>
            </w:pPr>
            <w:r w:rsidRPr="002C4F27">
              <w:t>-</w:t>
            </w:r>
          </w:p>
        </w:tc>
        <w:tc>
          <w:tcPr>
            <w:tcW w:w="468" w:type="pct"/>
            <w:tcBorders>
              <w:top w:val="single" w:sz="4" w:space="0" w:color="000000"/>
              <w:left w:val="single" w:sz="4" w:space="0" w:color="auto"/>
              <w:bottom w:val="single" w:sz="4" w:space="0" w:color="000000"/>
              <w:right w:val="single" w:sz="4" w:space="0" w:color="000000"/>
            </w:tcBorders>
            <w:hideMark/>
          </w:tcPr>
          <w:p w14:paraId="65323989" w14:textId="77777777" w:rsidR="00397E7F" w:rsidRPr="002C4F27" w:rsidRDefault="00397E7F" w:rsidP="00397E7F">
            <w:pPr>
              <w:pStyle w:val="Akapitzlist"/>
              <w:spacing w:line="300" w:lineRule="atLeast"/>
              <w:ind w:left="0"/>
              <w:jc w:val="center"/>
            </w:pPr>
            <w:r w:rsidRPr="002C4F27">
              <w:t>-</w:t>
            </w:r>
          </w:p>
        </w:tc>
        <w:tc>
          <w:tcPr>
            <w:tcW w:w="391" w:type="pct"/>
            <w:tcBorders>
              <w:top w:val="single" w:sz="4" w:space="0" w:color="000000"/>
              <w:left w:val="single" w:sz="4" w:space="0" w:color="000000"/>
              <w:bottom w:val="single" w:sz="4" w:space="0" w:color="000000"/>
              <w:right w:val="single" w:sz="4" w:space="0" w:color="auto"/>
            </w:tcBorders>
            <w:hideMark/>
          </w:tcPr>
          <w:p w14:paraId="52D639F9" w14:textId="77777777" w:rsidR="00397E7F" w:rsidRPr="002C4F27" w:rsidRDefault="00397E7F" w:rsidP="00397E7F">
            <w:pPr>
              <w:pStyle w:val="Akapitzlist"/>
              <w:spacing w:line="300" w:lineRule="atLeast"/>
              <w:ind w:left="0"/>
              <w:jc w:val="center"/>
            </w:pPr>
            <w:r w:rsidRPr="002C4F27">
              <w:t>-</w:t>
            </w:r>
          </w:p>
        </w:tc>
        <w:tc>
          <w:tcPr>
            <w:tcW w:w="465" w:type="pct"/>
            <w:tcBorders>
              <w:top w:val="single" w:sz="4" w:space="0" w:color="000000"/>
              <w:left w:val="single" w:sz="4" w:space="0" w:color="auto"/>
              <w:bottom w:val="single" w:sz="4" w:space="0" w:color="000000"/>
              <w:right w:val="single" w:sz="4" w:space="0" w:color="000000"/>
            </w:tcBorders>
            <w:hideMark/>
          </w:tcPr>
          <w:p w14:paraId="7F7AF34C" w14:textId="77777777" w:rsidR="00397E7F" w:rsidRPr="002C4F27" w:rsidRDefault="00397E7F" w:rsidP="00397E7F">
            <w:pPr>
              <w:pStyle w:val="Akapitzlist"/>
              <w:spacing w:line="300" w:lineRule="atLeast"/>
              <w:ind w:left="0"/>
              <w:jc w:val="center"/>
            </w:pPr>
            <w:r w:rsidRPr="002C4F27">
              <w:t>-</w:t>
            </w:r>
          </w:p>
        </w:tc>
      </w:tr>
      <w:tr w:rsidR="00397E7F" w:rsidRPr="00397E7F" w14:paraId="00C7C6CF" w14:textId="77777777" w:rsidTr="002C4F27">
        <w:tc>
          <w:tcPr>
            <w:tcW w:w="780" w:type="pct"/>
            <w:tcBorders>
              <w:top w:val="single" w:sz="4" w:space="0" w:color="000000"/>
              <w:left w:val="single" w:sz="4" w:space="0" w:color="000000"/>
              <w:bottom w:val="single" w:sz="4" w:space="0" w:color="000000"/>
              <w:right w:val="single" w:sz="4" w:space="0" w:color="000000"/>
            </w:tcBorders>
            <w:hideMark/>
          </w:tcPr>
          <w:p w14:paraId="3D4D6C6E" w14:textId="77777777" w:rsidR="00397E7F" w:rsidRPr="00397E7F" w:rsidRDefault="00397E7F" w:rsidP="00397E7F">
            <w:pPr>
              <w:pStyle w:val="Akapitzlist"/>
              <w:spacing w:line="300" w:lineRule="atLeast"/>
              <w:ind w:left="0"/>
              <w:jc w:val="both"/>
              <w:rPr>
                <w:sz w:val="24"/>
                <w:szCs w:val="24"/>
              </w:rPr>
            </w:pPr>
            <w:r w:rsidRPr="00397E7F">
              <w:rPr>
                <w:sz w:val="24"/>
                <w:szCs w:val="24"/>
              </w:rPr>
              <w:t>Płock</w:t>
            </w:r>
          </w:p>
        </w:tc>
        <w:tc>
          <w:tcPr>
            <w:tcW w:w="391" w:type="pct"/>
            <w:tcBorders>
              <w:top w:val="single" w:sz="4" w:space="0" w:color="000000"/>
              <w:left w:val="single" w:sz="4" w:space="0" w:color="000000"/>
              <w:bottom w:val="single" w:sz="4" w:space="0" w:color="000000"/>
              <w:right w:val="single" w:sz="4" w:space="0" w:color="auto"/>
            </w:tcBorders>
            <w:hideMark/>
          </w:tcPr>
          <w:p w14:paraId="5E457E18" w14:textId="77777777" w:rsidR="00397E7F" w:rsidRPr="002C4F27" w:rsidRDefault="00397E7F" w:rsidP="00397E7F">
            <w:pPr>
              <w:pStyle w:val="Akapitzlist"/>
              <w:spacing w:line="300" w:lineRule="atLeast"/>
              <w:ind w:left="0"/>
              <w:jc w:val="center"/>
            </w:pPr>
            <w:r w:rsidRPr="002C4F27">
              <w:t>-</w:t>
            </w:r>
          </w:p>
        </w:tc>
        <w:tc>
          <w:tcPr>
            <w:tcW w:w="471" w:type="pct"/>
            <w:tcBorders>
              <w:top w:val="single" w:sz="4" w:space="0" w:color="000000"/>
              <w:left w:val="single" w:sz="4" w:space="0" w:color="auto"/>
              <w:bottom w:val="single" w:sz="4" w:space="0" w:color="000000"/>
              <w:right w:val="single" w:sz="4" w:space="0" w:color="000000"/>
            </w:tcBorders>
            <w:hideMark/>
          </w:tcPr>
          <w:p w14:paraId="2B033929" w14:textId="77777777" w:rsidR="00397E7F" w:rsidRPr="002C4F27" w:rsidRDefault="00397E7F" w:rsidP="00397E7F">
            <w:pPr>
              <w:pStyle w:val="Akapitzlist"/>
              <w:spacing w:line="300" w:lineRule="atLeast"/>
              <w:ind w:left="0"/>
              <w:jc w:val="center"/>
            </w:pPr>
            <w:r w:rsidRPr="002C4F27">
              <w:t>-</w:t>
            </w:r>
          </w:p>
        </w:tc>
        <w:tc>
          <w:tcPr>
            <w:tcW w:w="391" w:type="pct"/>
            <w:tcBorders>
              <w:top w:val="single" w:sz="4" w:space="0" w:color="000000"/>
              <w:left w:val="single" w:sz="4" w:space="0" w:color="000000"/>
              <w:bottom w:val="single" w:sz="4" w:space="0" w:color="000000"/>
              <w:right w:val="single" w:sz="4" w:space="0" w:color="auto"/>
            </w:tcBorders>
            <w:hideMark/>
          </w:tcPr>
          <w:p w14:paraId="35B49696" w14:textId="77777777" w:rsidR="00397E7F" w:rsidRPr="002C4F27" w:rsidRDefault="00397E7F" w:rsidP="00397E7F">
            <w:pPr>
              <w:pStyle w:val="Akapitzlist"/>
              <w:spacing w:line="300" w:lineRule="atLeast"/>
              <w:ind w:left="0"/>
              <w:jc w:val="center"/>
            </w:pPr>
            <w:r w:rsidRPr="002C4F27">
              <w:t>2</w:t>
            </w:r>
          </w:p>
        </w:tc>
        <w:tc>
          <w:tcPr>
            <w:tcW w:w="469" w:type="pct"/>
            <w:tcBorders>
              <w:top w:val="single" w:sz="4" w:space="0" w:color="000000"/>
              <w:left w:val="single" w:sz="4" w:space="0" w:color="auto"/>
              <w:bottom w:val="single" w:sz="4" w:space="0" w:color="000000"/>
              <w:right w:val="single" w:sz="4" w:space="0" w:color="000000"/>
            </w:tcBorders>
            <w:hideMark/>
          </w:tcPr>
          <w:p w14:paraId="6C01D746" w14:textId="77777777" w:rsidR="00397E7F" w:rsidRPr="002C4F27" w:rsidRDefault="00397E7F" w:rsidP="00397E7F">
            <w:pPr>
              <w:pStyle w:val="Akapitzlist"/>
              <w:spacing w:line="300" w:lineRule="atLeast"/>
              <w:ind w:left="0"/>
              <w:jc w:val="center"/>
            </w:pPr>
            <w:r w:rsidRPr="002C4F27">
              <w:t>1</w:t>
            </w:r>
          </w:p>
        </w:tc>
        <w:tc>
          <w:tcPr>
            <w:tcW w:w="391" w:type="pct"/>
            <w:tcBorders>
              <w:top w:val="single" w:sz="4" w:space="0" w:color="000000"/>
              <w:left w:val="single" w:sz="4" w:space="0" w:color="000000"/>
              <w:bottom w:val="single" w:sz="4" w:space="0" w:color="000000"/>
              <w:right w:val="single" w:sz="4" w:space="0" w:color="auto"/>
            </w:tcBorders>
            <w:hideMark/>
          </w:tcPr>
          <w:p w14:paraId="1DAC9005" w14:textId="77777777" w:rsidR="00397E7F" w:rsidRPr="002C4F27" w:rsidRDefault="00397E7F" w:rsidP="00397E7F">
            <w:pPr>
              <w:pStyle w:val="Akapitzlist"/>
              <w:spacing w:line="300" w:lineRule="atLeast"/>
              <w:ind w:left="0"/>
              <w:jc w:val="center"/>
            </w:pPr>
            <w:r w:rsidRPr="002C4F27">
              <w:t>-</w:t>
            </w:r>
          </w:p>
        </w:tc>
        <w:tc>
          <w:tcPr>
            <w:tcW w:w="392" w:type="pct"/>
            <w:tcBorders>
              <w:top w:val="single" w:sz="4" w:space="0" w:color="000000"/>
              <w:left w:val="single" w:sz="4" w:space="0" w:color="auto"/>
              <w:bottom w:val="single" w:sz="4" w:space="0" w:color="000000"/>
              <w:right w:val="single" w:sz="4" w:space="0" w:color="000000"/>
            </w:tcBorders>
            <w:hideMark/>
          </w:tcPr>
          <w:p w14:paraId="001DBF66" w14:textId="77777777" w:rsidR="00397E7F" w:rsidRPr="002C4F27" w:rsidRDefault="00397E7F" w:rsidP="00397E7F">
            <w:pPr>
              <w:pStyle w:val="Akapitzlist"/>
              <w:spacing w:line="300" w:lineRule="atLeast"/>
              <w:ind w:left="0"/>
              <w:jc w:val="center"/>
            </w:pPr>
            <w:r w:rsidRPr="002C4F27">
              <w:t>-</w:t>
            </w:r>
          </w:p>
        </w:tc>
        <w:tc>
          <w:tcPr>
            <w:tcW w:w="391" w:type="pct"/>
            <w:tcBorders>
              <w:top w:val="single" w:sz="4" w:space="0" w:color="000000"/>
              <w:left w:val="single" w:sz="4" w:space="0" w:color="000000"/>
              <w:bottom w:val="single" w:sz="4" w:space="0" w:color="000000"/>
              <w:right w:val="single" w:sz="4" w:space="0" w:color="auto"/>
            </w:tcBorders>
            <w:hideMark/>
          </w:tcPr>
          <w:p w14:paraId="10446CA5" w14:textId="77777777" w:rsidR="00397E7F" w:rsidRPr="002C4F27" w:rsidRDefault="00397E7F" w:rsidP="00397E7F">
            <w:pPr>
              <w:pStyle w:val="Akapitzlist"/>
              <w:spacing w:line="300" w:lineRule="atLeast"/>
              <w:ind w:left="0"/>
              <w:jc w:val="center"/>
            </w:pPr>
            <w:r w:rsidRPr="002C4F27">
              <w:t>5</w:t>
            </w:r>
          </w:p>
        </w:tc>
        <w:tc>
          <w:tcPr>
            <w:tcW w:w="468" w:type="pct"/>
            <w:tcBorders>
              <w:top w:val="single" w:sz="4" w:space="0" w:color="000000"/>
              <w:left w:val="single" w:sz="4" w:space="0" w:color="auto"/>
              <w:bottom w:val="single" w:sz="4" w:space="0" w:color="000000"/>
              <w:right w:val="single" w:sz="4" w:space="0" w:color="000000"/>
            </w:tcBorders>
            <w:hideMark/>
          </w:tcPr>
          <w:p w14:paraId="2C08BF73" w14:textId="77777777" w:rsidR="00397E7F" w:rsidRPr="002C4F27" w:rsidRDefault="00397E7F" w:rsidP="00397E7F">
            <w:pPr>
              <w:pStyle w:val="Akapitzlist"/>
              <w:spacing w:line="300" w:lineRule="atLeast"/>
              <w:ind w:left="0"/>
              <w:jc w:val="center"/>
            </w:pPr>
            <w:r w:rsidRPr="002C4F27">
              <w:t>5</w:t>
            </w:r>
          </w:p>
        </w:tc>
        <w:tc>
          <w:tcPr>
            <w:tcW w:w="391" w:type="pct"/>
            <w:tcBorders>
              <w:top w:val="single" w:sz="4" w:space="0" w:color="000000"/>
              <w:left w:val="single" w:sz="4" w:space="0" w:color="000000"/>
              <w:bottom w:val="single" w:sz="4" w:space="0" w:color="000000"/>
              <w:right w:val="single" w:sz="4" w:space="0" w:color="auto"/>
            </w:tcBorders>
            <w:hideMark/>
          </w:tcPr>
          <w:p w14:paraId="66A567E3" w14:textId="77777777" w:rsidR="00397E7F" w:rsidRPr="002C4F27" w:rsidRDefault="00397E7F" w:rsidP="00397E7F">
            <w:pPr>
              <w:pStyle w:val="Akapitzlist"/>
              <w:spacing w:line="300" w:lineRule="atLeast"/>
              <w:ind w:left="0"/>
              <w:jc w:val="center"/>
            </w:pPr>
            <w:r w:rsidRPr="002C4F27">
              <w:t>-</w:t>
            </w:r>
          </w:p>
        </w:tc>
        <w:tc>
          <w:tcPr>
            <w:tcW w:w="465" w:type="pct"/>
            <w:tcBorders>
              <w:top w:val="single" w:sz="4" w:space="0" w:color="000000"/>
              <w:left w:val="single" w:sz="4" w:space="0" w:color="auto"/>
              <w:bottom w:val="single" w:sz="4" w:space="0" w:color="000000"/>
              <w:right w:val="single" w:sz="4" w:space="0" w:color="000000"/>
            </w:tcBorders>
            <w:hideMark/>
          </w:tcPr>
          <w:p w14:paraId="728F5BF5" w14:textId="77777777" w:rsidR="00397E7F" w:rsidRPr="002C4F27" w:rsidRDefault="00397E7F" w:rsidP="00397E7F">
            <w:pPr>
              <w:pStyle w:val="Akapitzlist"/>
              <w:spacing w:line="300" w:lineRule="atLeast"/>
              <w:ind w:left="0"/>
              <w:jc w:val="center"/>
            </w:pPr>
            <w:r w:rsidRPr="002C4F27">
              <w:t>-</w:t>
            </w:r>
          </w:p>
        </w:tc>
      </w:tr>
      <w:tr w:rsidR="00397E7F" w:rsidRPr="00397E7F" w14:paraId="1D86E293" w14:textId="77777777" w:rsidTr="002C4F27">
        <w:tc>
          <w:tcPr>
            <w:tcW w:w="780" w:type="pct"/>
            <w:tcBorders>
              <w:top w:val="single" w:sz="4" w:space="0" w:color="000000"/>
              <w:left w:val="single" w:sz="4" w:space="0" w:color="000000"/>
              <w:bottom w:val="single" w:sz="4" w:space="0" w:color="000000"/>
              <w:right w:val="single" w:sz="4" w:space="0" w:color="000000"/>
            </w:tcBorders>
            <w:hideMark/>
          </w:tcPr>
          <w:p w14:paraId="0B22AFF8" w14:textId="77777777" w:rsidR="00397E7F" w:rsidRPr="00397E7F" w:rsidRDefault="00397E7F" w:rsidP="00397E7F">
            <w:pPr>
              <w:pStyle w:val="Akapitzlist"/>
              <w:spacing w:line="300" w:lineRule="atLeast"/>
              <w:ind w:left="0"/>
              <w:jc w:val="both"/>
              <w:rPr>
                <w:sz w:val="24"/>
                <w:szCs w:val="24"/>
              </w:rPr>
            </w:pPr>
            <w:r w:rsidRPr="00397E7F">
              <w:rPr>
                <w:sz w:val="24"/>
                <w:szCs w:val="24"/>
              </w:rPr>
              <w:t>Radom</w:t>
            </w:r>
          </w:p>
        </w:tc>
        <w:tc>
          <w:tcPr>
            <w:tcW w:w="391" w:type="pct"/>
            <w:tcBorders>
              <w:top w:val="single" w:sz="4" w:space="0" w:color="000000"/>
              <w:left w:val="single" w:sz="4" w:space="0" w:color="000000"/>
              <w:bottom w:val="single" w:sz="4" w:space="0" w:color="000000"/>
              <w:right w:val="single" w:sz="4" w:space="0" w:color="auto"/>
            </w:tcBorders>
            <w:hideMark/>
          </w:tcPr>
          <w:p w14:paraId="4CC57C7C" w14:textId="77777777" w:rsidR="00397E7F" w:rsidRPr="002C4F27" w:rsidRDefault="00397E7F" w:rsidP="00397E7F">
            <w:pPr>
              <w:pStyle w:val="Akapitzlist"/>
              <w:spacing w:line="300" w:lineRule="atLeast"/>
              <w:ind w:left="0"/>
              <w:jc w:val="center"/>
            </w:pPr>
            <w:r w:rsidRPr="002C4F27">
              <w:t>21</w:t>
            </w:r>
          </w:p>
        </w:tc>
        <w:tc>
          <w:tcPr>
            <w:tcW w:w="471" w:type="pct"/>
            <w:tcBorders>
              <w:top w:val="single" w:sz="4" w:space="0" w:color="000000"/>
              <w:left w:val="single" w:sz="4" w:space="0" w:color="auto"/>
              <w:bottom w:val="single" w:sz="4" w:space="0" w:color="000000"/>
              <w:right w:val="single" w:sz="4" w:space="0" w:color="000000"/>
            </w:tcBorders>
            <w:hideMark/>
          </w:tcPr>
          <w:p w14:paraId="4F4579A6" w14:textId="77777777" w:rsidR="00397E7F" w:rsidRPr="002C4F27" w:rsidRDefault="00397E7F" w:rsidP="00397E7F">
            <w:pPr>
              <w:pStyle w:val="Akapitzlist"/>
              <w:spacing w:line="300" w:lineRule="atLeast"/>
              <w:ind w:left="0"/>
              <w:jc w:val="center"/>
            </w:pPr>
            <w:r w:rsidRPr="002C4F27">
              <w:t>13</w:t>
            </w:r>
          </w:p>
        </w:tc>
        <w:tc>
          <w:tcPr>
            <w:tcW w:w="391" w:type="pct"/>
            <w:tcBorders>
              <w:top w:val="single" w:sz="4" w:space="0" w:color="000000"/>
              <w:left w:val="single" w:sz="4" w:space="0" w:color="000000"/>
              <w:bottom w:val="single" w:sz="4" w:space="0" w:color="000000"/>
              <w:right w:val="single" w:sz="4" w:space="0" w:color="auto"/>
            </w:tcBorders>
            <w:hideMark/>
          </w:tcPr>
          <w:p w14:paraId="3758BA4F" w14:textId="77777777" w:rsidR="00397E7F" w:rsidRPr="002C4F27" w:rsidRDefault="00397E7F" w:rsidP="00397E7F">
            <w:pPr>
              <w:pStyle w:val="Akapitzlist"/>
              <w:spacing w:line="300" w:lineRule="atLeast"/>
              <w:ind w:left="0"/>
              <w:jc w:val="center"/>
            </w:pPr>
            <w:r w:rsidRPr="002C4F27">
              <w:t>3</w:t>
            </w:r>
          </w:p>
        </w:tc>
        <w:tc>
          <w:tcPr>
            <w:tcW w:w="469" w:type="pct"/>
            <w:tcBorders>
              <w:top w:val="single" w:sz="4" w:space="0" w:color="000000"/>
              <w:left w:val="single" w:sz="4" w:space="0" w:color="auto"/>
              <w:bottom w:val="single" w:sz="4" w:space="0" w:color="000000"/>
              <w:right w:val="single" w:sz="4" w:space="0" w:color="000000"/>
            </w:tcBorders>
            <w:hideMark/>
          </w:tcPr>
          <w:p w14:paraId="61F03CD8" w14:textId="77777777" w:rsidR="00397E7F" w:rsidRPr="002C4F27" w:rsidRDefault="00397E7F" w:rsidP="00397E7F">
            <w:pPr>
              <w:pStyle w:val="Akapitzlist"/>
              <w:spacing w:line="300" w:lineRule="atLeast"/>
              <w:ind w:left="0"/>
              <w:jc w:val="center"/>
            </w:pPr>
            <w:r w:rsidRPr="002C4F27">
              <w:t>4</w:t>
            </w:r>
          </w:p>
        </w:tc>
        <w:tc>
          <w:tcPr>
            <w:tcW w:w="391" w:type="pct"/>
            <w:tcBorders>
              <w:top w:val="single" w:sz="4" w:space="0" w:color="000000"/>
              <w:left w:val="single" w:sz="4" w:space="0" w:color="000000"/>
              <w:bottom w:val="single" w:sz="4" w:space="0" w:color="000000"/>
              <w:right w:val="single" w:sz="4" w:space="0" w:color="auto"/>
            </w:tcBorders>
            <w:hideMark/>
          </w:tcPr>
          <w:p w14:paraId="585B03A2" w14:textId="77777777" w:rsidR="00397E7F" w:rsidRPr="002C4F27" w:rsidRDefault="00397E7F" w:rsidP="00397E7F">
            <w:pPr>
              <w:pStyle w:val="Akapitzlist"/>
              <w:spacing w:line="300" w:lineRule="atLeast"/>
              <w:ind w:left="0"/>
              <w:jc w:val="center"/>
            </w:pPr>
            <w:r w:rsidRPr="002C4F27">
              <w:t>3</w:t>
            </w:r>
          </w:p>
        </w:tc>
        <w:tc>
          <w:tcPr>
            <w:tcW w:w="392" w:type="pct"/>
            <w:tcBorders>
              <w:top w:val="single" w:sz="4" w:space="0" w:color="000000"/>
              <w:left w:val="single" w:sz="4" w:space="0" w:color="auto"/>
              <w:bottom w:val="single" w:sz="4" w:space="0" w:color="000000"/>
              <w:right w:val="single" w:sz="4" w:space="0" w:color="000000"/>
            </w:tcBorders>
            <w:hideMark/>
          </w:tcPr>
          <w:p w14:paraId="36A73D89" w14:textId="77777777" w:rsidR="00397E7F" w:rsidRPr="002C4F27" w:rsidRDefault="00397E7F" w:rsidP="00397E7F">
            <w:pPr>
              <w:pStyle w:val="Akapitzlist"/>
              <w:spacing w:line="300" w:lineRule="atLeast"/>
              <w:ind w:left="0"/>
              <w:jc w:val="center"/>
            </w:pPr>
            <w:r w:rsidRPr="002C4F27">
              <w:t>3</w:t>
            </w:r>
          </w:p>
        </w:tc>
        <w:tc>
          <w:tcPr>
            <w:tcW w:w="391" w:type="pct"/>
            <w:tcBorders>
              <w:top w:val="single" w:sz="4" w:space="0" w:color="000000"/>
              <w:left w:val="single" w:sz="4" w:space="0" w:color="000000"/>
              <w:bottom w:val="single" w:sz="4" w:space="0" w:color="000000"/>
              <w:right w:val="single" w:sz="4" w:space="0" w:color="auto"/>
            </w:tcBorders>
            <w:hideMark/>
          </w:tcPr>
          <w:p w14:paraId="48F088E3" w14:textId="77777777" w:rsidR="00397E7F" w:rsidRPr="002C4F27" w:rsidRDefault="00397E7F" w:rsidP="00397E7F">
            <w:pPr>
              <w:pStyle w:val="Akapitzlist"/>
              <w:spacing w:line="300" w:lineRule="atLeast"/>
              <w:ind w:left="0"/>
              <w:jc w:val="center"/>
            </w:pPr>
            <w:r w:rsidRPr="002C4F27">
              <w:t>1</w:t>
            </w:r>
          </w:p>
        </w:tc>
        <w:tc>
          <w:tcPr>
            <w:tcW w:w="468" w:type="pct"/>
            <w:tcBorders>
              <w:top w:val="single" w:sz="4" w:space="0" w:color="000000"/>
              <w:left w:val="single" w:sz="4" w:space="0" w:color="auto"/>
              <w:bottom w:val="single" w:sz="4" w:space="0" w:color="000000"/>
              <w:right w:val="single" w:sz="4" w:space="0" w:color="000000"/>
            </w:tcBorders>
            <w:hideMark/>
          </w:tcPr>
          <w:p w14:paraId="4EC03751" w14:textId="77777777" w:rsidR="00397E7F" w:rsidRPr="002C4F27" w:rsidRDefault="00397E7F" w:rsidP="00397E7F">
            <w:pPr>
              <w:pStyle w:val="Akapitzlist"/>
              <w:spacing w:line="300" w:lineRule="atLeast"/>
              <w:ind w:left="0"/>
              <w:jc w:val="center"/>
            </w:pPr>
            <w:r w:rsidRPr="002C4F27">
              <w:t>1</w:t>
            </w:r>
          </w:p>
        </w:tc>
        <w:tc>
          <w:tcPr>
            <w:tcW w:w="391" w:type="pct"/>
            <w:tcBorders>
              <w:top w:val="single" w:sz="4" w:space="0" w:color="000000"/>
              <w:left w:val="single" w:sz="4" w:space="0" w:color="000000"/>
              <w:bottom w:val="single" w:sz="4" w:space="0" w:color="000000"/>
              <w:right w:val="single" w:sz="4" w:space="0" w:color="auto"/>
            </w:tcBorders>
          </w:tcPr>
          <w:p w14:paraId="3F1709E0" w14:textId="77777777" w:rsidR="00397E7F" w:rsidRPr="002C4F27" w:rsidRDefault="00397E7F" w:rsidP="00397E7F">
            <w:pPr>
              <w:pStyle w:val="Akapitzlist"/>
              <w:spacing w:line="300" w:lineRule="atLeast"/>
              <w:ind w:left="0"/>
              <w:jc w:val="center"/>
            </w:pPr>
          </w:p>
        </w:tc>
        <w:tc>
          <w:tcPr>
            <w:tcW w:w="465" w:type="pct"/>
            <w:tcBorders>
              <w:top w:val="single" w:sz="4" w:space="0" w:color="000000"/>
              <w:left w:val="single" w:sz="4" w:space="0" w:color="auto"/>
              <w:bottom w:val="single" w:sz="4" w:space="0" w:color="000000"/>
              <w:right w:val="single" w:sz="4" w:space="0" w:color="000000"/>
            </w:tcBorders>
            <w:hideMark/>
          </w:tcPr>
          <w:p w14:paraId="71E29BFB" w14:textId="77777777" w:rsidR="00397E7F" w:rsidRPr="002C4F27" w:rsidRDefault="00397E7F" w:rsidP="00397E7F">
            <w:pPr>
              <w:pStyle w:val="Akapitzlist"/>
              <w:spacing w:line="300" w:lineRule="atLeast"/>
              <w:ind w:left="0"/>
              <w:jc w:val="center"/>
            </w:pPr>
            <w:r w:rsidRPr="002C4F27">
              <w:t>-</w:t>
            </w:r>
          </w:p>
        </w:tc>
      </w:tr>
      <w:tr w:rsidR="00397E7F" w:rsidRPr="00397E7F" w14:paraId="29FBA6D7" w14:textId="77777777" w:rsidTr="002C4F27">
        <w:tc>
          <w:tcPr>
            <w:tcW w:w="780" w:type="pct"/>
            <w:tcBorders>
              <w:top w:val="single" w:sz="4" w:space="0" w:color="000000"/>
              <w:left w:val="single" w:sz="4" w:space="0" w:color="000000"/>
              <w:bottom w:val="single" w:sz="4" w:space="0" w:color="000000"/>
              <w:right w:val="single" w:sz="4" w:space="0" w:color="000000"/>
            </w:tcBorders>
            <w:hideMark/>
          </w:tcPr>
          <w:p w14:paraId="5AAED494" w14:textId="77777777" w:rsidR="00397E7F" w:rsidRPr="00397E7F" w:rsidRDefault="00397E7F" w:rsidP="00397E7F">
            <w:pPr>
              <w:pStyle w:val="Akapitzlist"/>
              <w:spacing w:line="300" w:lineRule="atLeast"/>
              <w:ind w:left="0"/>
              <w:jc w:val="both"/>
              <w:rPr>
                <w:sz w:val="24"/>
                <w:szCs w:val="24"/>
              </w:rPr>
            </w:pPr>
            <w:r w:rsidRPr="00397E7F">
              <w:rPr>
                <w:sz w:val="24"/>
                <w:szCs w:val="24"/>
              </w:rPr>
              <w:t>Warszawa</w:t>
            </w:r>
          </w:p>
        </w:tc>
        <w:tc>
          <w:tcPr>
            <w:tcW w:w="391" w:type="pct"/>
            <w:tcBorders>
              <w:top w:val="single" w:sz="4" w:space="0" w:color="000000"/>
              <w:left w:val="single" w:sz="4" w:space="0" w:color="000000"/>
              <w:bottom w:val="single" w:sz="4" w:space="0" w:color="000000"/>
              <w:right w:val="single" w:sz="4" w:space="0" w:color="auto"/>
            </w:tcBorders>
            <w:hideMark/>
          </w:tcPr>
          <w:p w14:paraId="001E0DEF" w14:textId="77777777" w:rsidR="00397E7F" w:rsidRPr="002C4F27" w:rsidRDefault="00397E7F" w:rsidP="00397E7F">
            <w:pPr>
              <w:pStyle w:val="Akapitzlist"/>
              <w:spacing w:line="300" w:lineRule="atLeast"/>
              <w:ind w:left="0"/>
              <w:jc w:val="center"/>
            </w:pPr>
            <w:r w:rsidRPr="002C4F27">
              <w:t>-</w:t>
            </w:r>
          </w:p>
        </w:tc>
        <w:tc>
          <w:tcPr>
            <w:tcW w:w="471" w:type="pct"/>
            <w:tcBorders>
              <w:top w:val="single" w:sz="4" w:space="0" w:color="000000"/>
              <w:left w:val="single" w:sz="4" w:space="0" w:color="auto"/>
              <w:bottom w:val="single" w:sz="4" w:space="0" w:color="000000"/>
              <w:right w:val="single" w:sz="4" w:space="0" w:color="000000"/>
            </w:tcBorders>
            <w:hideMark/>
          </w:tcPr>
          <w:p w14:paraId="1C0926F9" w14:textId="77777777" w:rsidR="00397E7F" w:rsidRPr="002C4F27" w:rsidRDefault="00397E7F" w:rsidP="00397E7F">
            <w:pPr>
              <w:pStyle w:val="Akapitzlist"/>
              <w:spacing w:line="300" w:lineRule="atLeast"/>
              <w:ind w:left="0"/>
              <w:jc w:val="center"/>
            </w:pPr>
            <w:r w:rsidRPr="002C4F27">
              <w:t>-</w:t>
            </w:r>
          </w:p>
        </w:tc>
        <w:tc>
          <w:tcPr>
            <w:tcW w:w="391" w:type="pct"/>
            <w:tcBorders>
              <w:top w:val="single" w:sz="4" w:space="0" w:color="000000"/>
              <w:left w:val="single" w:sz="4" w:space="0" w:color="000000"/>
              <w:bottom w:val="single" w:sz="4" w:space="0" w:color="000000"/>
              <w:right w:val="single" w:sz="4" w:space="0" w:color="auto"/>
            </w:tcBorders>
            <w:hideMark/>
          </w:tcPr>
          <w:p w14:paraId="2628EB30" w14:textId="77777777" w:rsidR="00397E7F" w:rsidRPr="002C4F27" w:rsidRDefault="00397E7F" w:rsidP="00397E7F">
            <w:pPr>
              <w:pStyle w:val="Akapitzlist"/>
              <w:spacing w:line="300" w:lineRule="atLeast"/>
              <w:ind w:left="0"/>
              <w:jc w:val="center"/>
            </w:pPr>
            <w:r w:rsidRPr="002C4F27">
              <w:t>15</w:t>
            </w:r>
          </w:p>
        </w:tc>
        <w:tc>
          <w:tcPr>
            <w:tcW w:w="469" w:type="pct"/>
            <w:tcBorders>
              <w:top w:val="single" w:sz="4" w:space="0" w:color="000000"/>
              <w:left w:val="single" w:sz="4" w:space="0" w:color="auto"/>
              <w:bottom w:val="single" w:sz="4" w:space="0" w:color="000000"/>
              <w:right w:val="single" w:sz="4" w:space="0" w:color="000000"/>
            </w:tcBorders>
            <w:hideMark/>
          </w:tcPr>
          <w:p w14:paraId="0AD3524E" w14:textId="77777777" w:rsidR="00397E7F" w:rsidRPr="002C4F27" w:rsidRDefault="00397E7F" w:rsidP="00397E7F">
            <w:pPr>
              <w:pStyle w:val="Akapitzlist"/>
              <w:spacing w:line="300" w:lineRule="atLeast"/>
              <w:ind w:left="0"/>
              <w:jc w:val="center"/>
            </w:pPr>
            <w:r w:rsidRPr="002C4F27">
              <w:t>-</w:t>
            </w:r>
          </w:p>
        </w:tc>
        <w:tc>
          <w:tcPr>
            <w:tcW w:w="391" w:type="pct"/>
            <w:tcBorders>
              <w:top w:val="single" w:sz="4" w:space="0" w:color="000000"/>
              <w:left w:val="single" w:sz="4" w:space="0" w:color="000000"/>
              <w:bottom w:val="single" w:sz="4" w:space="0" w:color="000000"/>
              <w:right w:val="single" w:sz="4" w:space="0" w:color="auto"/>
            </w:tcBorders>
            <w:hideMark/>
          </w:tcPr>
          <w:p w14:paraId="680920D9" w14:textId="77777777" w:rsidR="00397E7F" w:rsidRPr="002C4F27" w:rsidRDefault="00397E7F" w:rsidP="00397E7F">
            <w:pPr>
              <w:pStyle w:val="Akapitzlist"/>
              <w:spacing w:line="300" w:lineRule="atLeast"/>
              <w:ind w:left="0"/>
              <w:jc w:val="center"/>
            </w:pPr>
            <w:r w:rsidRPr="002C4F27">
              <w:t>2</w:t>
            </w:r>
          </w:p>
        </w:tc>
        <w:tc>
          <w:tcPr>
            <w:tcW w:w="392" w:type="pct"/>
            <w:tcBorders>
              <w:top w:val="single" w:sz="4" w:space="0" w:color="000000"/>
              <w:left w:val="single" w:sz="4" w:space="0" w:color="auto"/>
              <w:bottom w:val="single" w:sz="4" w:space="0" w:color="000000"/>
              <w:right w:val="single" w:sz="4" w:space="0" w:color="000000"/>
            </w:tcBorders>
            <w:hideMark/>
          </w:tcPr>
          <w:p w14:paraId="413E0C9C" w14:textId="77777777" w:rsidR="00397E7F" w:rsidRPr="002C4F27" w:rsidRDefault="00397E7F" w:rsidP="00397E7F">
            <w:pPr>
              <w:pStyle w:val="Akapitzlist"/>
              <w:spacing w:line="300" w:lineRule="atLeast"/>
              <w:ind w:left="0"/>
              <w:jc w:val="center"/>
            </w:pPr>
            <w:r w:rsidRPr="002C4F27">
              <w:t>2</w:t>
            </w:r>
          </w:p>
        </w:tc>
        <w:tc>
          <w:tcPr>
            <w:tcW w:w="391" w:type="pct"/>
            <w:tcBorders>
              <w:top w:val="single" w:sz="4" w:space="0" w:color="000000"/>
              <w:left w:val="single" w:sz="4" w:space="0" w:color="000000"/>
              <w:bottom w:val="single" w:sz="4" w:space="0" w:color="000000"/>
              <w:right w:val="single" w:sz="4" w:space="0" w:color="auto"/>
            </w:tcBorders>
            <w:hideMark/>
          </w:tcPr>
          <w:p w14:paraId="0476861B" w14:textId="77777777" w:rsidR="00397E7F" w:rsidRPr="002C4F27" w:rsidRDefault="00397E7F" w:rsidP="00397E7F">
            <w:pPr>
              <w:pStyle w:val="Akapitzlist"/>
              <w:spacing w:line="300" w:lineRule="atLeast"/>
              <w:ind w:left="0"/>
              <w:jc w:val="center"/>
            </w:pPr>
            <w:r w:rsidRPr="002C4F27">
              <w:t>1</w:t>
            </w:r>
          </w:p>
        </w:tc>
        <w:tc>
          <w:tcPr>
            <w:tcW w:w="468" w:type="pct"/>
            <w:tcBorders>
              <w:top w:val="single" w:sz="4" w:space="0" w:color="000000"/>
              <w:left w:val="single" w:sz="4" w:space="0" w:color="auto"/>
              <w:bottom w:val="single" w:sz="4" w:space="0" w:color="000000"/>
              <w:right w:val="single" w:sz="4" w:space="0" w:color="000000"/>
            </w:tcBorders>
            <w:hideMark/>
          </w:tcPr>
          <w:p w14:paraId="52036D95" w14:textId="77777777" w:rsidR="00397E7F" w:rsidRPr="002C4F27" w:rsidRDefault="00397E7F" w:rsidP="00397E7F">
            <w:pPr>
              <w:pStyle w:val="Akapitzlist"/>
              <w:spacing w:line="300" w:lineRule="atLeast"/>
              <w:ind w:left="0"/>
              <w:jc w:val="center"/>
            </w:pPr>
            <w:r w:rsidRPr="002C4F27">
              <w:t>1</w:t>
            </w:r>
          </w:p>
        </w:tc>
        <w:tc>
          <w:tcPr>
            <w:tcW w:w="391" w:type="pct"/>
            <w:tcBorders>
              <w:top w:val="single" w:sz="4" w:space="0" w:color="000000"/>
              <w:left w:val="single" w:sz="4" w:space="0" w:color="000000"/>
              <w:bottom w:val="single" w:sz="4" w:space="0" w:color="000000"/>
              <w:right w:val="single" w:sz="4" w:space="0" w:color="auto"/>
            </w:tcBorders>
            <w:hideMark/>
          </w:tcPr>
          <w:p w14:paraId="688FDAAC" w14:textId="77777777" w:rsidR="00397E7F" w:rsidRPr="002C4F27" w:rsidRDefault="00397E7F" w:rsidP="00397E7F">
            <w:pPr>
              <w:pStyle w:val="Akapitzlist"/>
              <w:spacing w:line="300" w:lineRule="atLeast"/>
              <w:ind w:left="0"/>
              <w:jc w:val="center"/>
            </w:pPr>
            <w:r w:rsidRPr="002C4F27">
              <w:t>1</w:t>
            </w:r>
          </w:p>
        </w:tc>
        <w:tc>
          <w:tcPr>
            <w:tcW w:w="465" w:type="pct"/>
            <w:tcBorders>
              <w:top w:val="single" w:sz="4" w:space="0" w:color="000000"/>
              <w:left w:val="single" w:sz="4" w:space="0" w:color="auto"/>
              <w:bottom w:val="single" w:sz="4" w:space="0" w:color="000000"/>
              <w:right w:val="single" w:sz="4" w:space="0" w:color="000000"/>
            </w:tcBorders>
            <w:hideMark/>
          </w:tcPr>
          <w:p w14:paraId="71C4E7C0" w14:textId="77777777" w:rsidR="00397E7F" w:rsidRPr="002C4F27" w:rsidRDefault="00397E7F" w:rsidP="00397E7F">
            <w:pPr>
              <w:pStyle w:val="Akapitzlist"/>
              <w:spacing w:line="300" w:lineRule="atLeast"/>
              <w:ind w:left="0"/>
              <w:jc w:val="center"/>
            </w:pPr>
            <w:r w:rsidRPr="002C4F27">
              <w:t>2</w:t>
            </w:r>
          </w:p>
        </w:tc>
      </w:tr>
      <w:tr w:rsidR="00397E7F" w:rsidRPr="00397E7F" w14:paraId="482B1809" w14:textId="77777777" w:rsidTr="002C4F27">
        <w:tc>
          <w:tcPr>
            <w:tcW w:w="780" w:type="pct"/>
            <w:tcBorders>
              <w:top w:val="single" w:sz="4" w:space="0" w:color="000000"/>
              <w:left w:val="single" w:sz="4" w:space="0" w:color="000000"/>
              <w:bottom w:val="single" w:sz="4" w:space="0" w:color="000000"/>
              <w:right w:val="single" w:sz="4" w:space="0" w:color="000000"/>
            </w:tcBorders>
            <w:hideMark/>
          </w:tcPr>
          <w:p w14:paraId="363C43C6" w14:textId="77777777" w:rsidR="00397E7F" w:rsidRPr="00397E7F" w:rsidRDefault="00397E7F" w:rsidP="00397E7F">
            <w:pPr>
              <w:pStyle w:val="Akapitzlist"/>
              <w:spacing w:line="300" w:lineRule="atLeast"/>
              <w:ind w:left="0"/>
              <w:jc w:val="both"/>
              <w:rPr>
                <w:b/>
                <w:bCs/>
                <w:sz w:val="24"/>
                <w:szCs w:val="24"/>
              </w:rPr>
            </w:pPr>
            <w:r w:rsidRPr="00397E7F">
              <w:rPr>
                <w:b/>
                <w:bCs/>
                <w:sz w:val="24"/>
                <w:szCs w:val="24"/>
              </w:rPr>
              <w:t>Razem</w:t>
            </w:r>
          </w:p>
        </w:tc>
        <w:tc>
          <w:tcPr>
            <w:tcW w:w="391" w:type="pct"/>
            <w:tcBorders>
              <w:top w:val="single" w:sz="4" w:space="0" w:color="000000"/>
              <w:left w:val="single" w:sz="4" w:space="0" w:color="000000"/>
              <w:bottom w:val="single" w:sz="4" w:space="0" w:color="000000"/>
              <w:right w:val="single" w:sz="4" w:space="0" w:color="auto"/>
            </w:tcBorders>
            <w:hideMark/>
          </w:tcPr>
          <w:p w14:paraId="4100C936" w14:textId="77777777" w:rsidR="00397E7F" w:rsidRPr="002C4F27" w:rsidRDefault="00397E7F" w:rsidP="00397E7F">
            <w:pPr>
              <w:pStyle w:val="Akapitzlist"/>
              <w:spacing w:line="300" w:lineRule="atLeast"/>
              <w:ind w:left="0"/>
              <w:jc w:val="center"/>
              <w:rPr>
                <w:b/>
                <w:bCs/>
              </w:rPr>
            </w:pPr>
            <w:r w:rsidRPr="002C4F27">
              <w:rPr>
                <w:b/>
                <w:bCs/>
              </w:rPr>
              <w:t>24</w:t>
            </w:r>
          </w:p>
        </w:tc>
        <w:tc>
          <w:tcPr>
            <w:tcW w:w="471" w:type="pct"/>
            <w:tcBorders>
              <w:top w:val="single" w:sz="4" w:space="0" w:color="000000"/>
              <w:left w:val="single" w:sz="4" w:space="0" w:color="auto"/>
              <w:bottom w:val="single" w:sz="4" w:space="0" w:color="000000"/>
              <w:right w:val="single" w:sz="4" w:space="0" w:color="000000"/>
            </w:tcBorders>
            <w:hideMark/>
          </w:tcPr>
          <w:p w14:paraId="563404FE" w14:textId="77777777" w:rsidR="00397E7F" w:rsidRPr="002C4F27" w:rsidRDefault="00397E7F" w:rsidP="00397E7F">
            <w:pPr>
              <w:pStyle w:val="Akapitzlist"/>
              <w:spacing w:line="300" w:lineRule="atLeast"/>
              <w:ind w:left="0"/>
              <w:jc w:val="center"/>
              <w:rPr>
                <w:b/>
                <w:bCs/>
              </w:rPr>
            </w:pPr>
            <w:r w:rsidRPr="002C4F27">
              <w:rPr>
                <w:b/>
                <w:bCs/>
              </w:rPr>
              <w:t>21</w:t>
            </w:r>
          </w:p>
        </w:tc>
        <w:tc>
          <w:tcPr>
            <w:tcW w:w="391" w:type="pct"/>
            <w:tcBorders>
              <w:top w:val="single" w:sz="4" w:space="0" w:color="000000"/>
              <w:left w:val="single" w:sz="4" w:space="0" w:color="000000"/>
              <w:bottom w:val="single" w:sz="4" w:space="0" w:color="000000"/>
              <w:right w:val="single" w:sz="4" w:space="0" w:color="auto"/>
            </w:tcBorders>
            <w:hideMark/>
          </w:tcPr>
          <w:p w14:paraId="24B05F17" w14:textId="77777777" w:rsidR="00397E7F" w:rsidRPr="002C4F27" w:rsidRDefault="00397E7F" w:rsidP="00397E7F">
            <w:pPr>
              <w:pStyle w:val="Akapitzlist"/>
              <w:spacing w:line="300" w:lineRule="atLeast"/>
              <w:ind w:left="0"/>
              <w:jc w:val="center"/>
              <w:rPr>
                <w:b/>
                <w:bCs/>
              </w:rPr>
            </w:pPr>
            <w:r w:rsidRPr="002C4F27">
              <w:rPr>
                <w:b/>
                <w:bCs/>
              </w:rPr>
              <w:t>23</w:t>
            </w:r>
          </w:p>
        </w:tc>
        <w:tc>
          <w:tcPr>
            <w:tcW w:w="469" w:type="pct"/>
            <w:tcBorders>
              <w:top w:val="single" w:sz="4" w:space="0" w:color="000000"/>
              <w:left w:val="single" w:sz="4" w:space="0" w:color="auto"/>
              <w:bottom w:val="single" w:sz="4" w:space="0" w:color="000000"/>
              <w:right w:val="single" w:sz="4" w:space="0" w:color="000000"/>
            </w:tcBorders>
            <w:hideMark/>
          </w:tcPr>
          <w:p w14:paraId="1D3CAE87" w14:textId="77777777" w:rsidR="00397E7F" w:rsidRPr="002C4F27" w:rsidRDefault="00397E7F" w:rsidP="00397E7F">
            <w:pPr>
              <w:pStyle w:val="Akapitzlist"/>
              <w:spacing w:line="300" w:lineRule="atLeast"/>
              <w:ind w:left="0"/>
              <w:jc w:val="center"/>
              <w:rPr>
                <w:b/>
                <w:bCs/>
              </w:rPr>
            </w:pPr>
            <w:r w:rsidRPr="002C4F27">
              <w:rPr>
                <w:b/>
                <w:bCs/>
              </w:rPr>
              <w:t>8</w:t>
            </w:r>
          </w:p>
        </w:tc>
        <w:tc>
          <w:tcPr>
            <w:tcW w:w="391" w:type="pct"/>
            <w:tcBorders>
              <w:top w:val="single" w:sz="4" w:space="0" w:color="000000"/>
              <w:left w:val="single" w:sz="4" w:space="0" w:color="000000"/>
              <w:bottom w:val="single" w:sz="4" w:space="0" w:color="000000"/>
              <w:right w:val="single" w:sz="4" w:space="0" w:color="auto"/>
            </w:tcBorders>
            <w:hideMark/>
          </w:tcPr>
          <w:p w14:paraId="3C003B39" w14:textId="77777777" w:rsidR="00397E7F" w:rsidRPr="002C4F27" w:rsidRDefault="00397E7F" w:rsidP="00397E7F">
            <w:pPr>
              <w:pStyle w:val="Akapitzlist"/>
              <w:spacing w:line="300" w:lineRule="atLeast"/>
              <w:ind w:left="0"/>
              <w:jc w:val="center"/>
              <w:rPr>
                <w:b/>
                <w:bCs/>
              </w:rPr>
            </w:pPr>
            <w:r w:rsidRPr="002C4F27">
              <w:rPr>
                <w:b/>
                <w:bCs/>
              </w:rPr>
              <w:t>10</w:t>
            </w:r>
          </w:p>
        </w:tc>
        <w:tc>
          <w:tcPr>
            <w:tcW w:w="392" w:type="pct"/>
            <w:tcBorders>
              <w:top w:val="single" w:sz="4" w:space="0" w:color="000000"/>
              <w:left w:val="single" w:sz="4" w:space="0" w:color="auto"/>
              <w:bottom w:val="single" w:sz="4" w:space="0" w:color="000000"/>
              <w:right w:val="single" w:sz="4" w:space="0" w:color="000000"/>
            </w:tcBorders>
            <w:hideMark/>
          </w:tcPr>
          <w:p w14:paraId="6FECCCCD" w14:textId="77777777" w:rsidR="00397E7F" w:rsidRPr="002C4F27" w:rsidRDefault="00397E7F" w:rsidP="00397E7F">
            <w:pPr>
              <w:pStyle w:val="Akapitzlist"/>
              <w:spacing w:line="300" w:lineRule="atLeast"/>
              <w:ind w:left="0"/>
              <w:jc w:val="center"/>
              <w:rPr>
                <w:b/>
                <w:bCs/>
              </w:rPr>
            </w:pPr>
            <w:r w:rsidRPr="002C4F27">
              <w:rPr>
                <w:b/>
                <w:bCs/>
              </w:rPr>
              <w:t>13</w:t>
            </w:r>
          </w:p>
        </w:tc>
        <w:tc>
          <w:tcPr>
            <w:tcW w:w="391" w:type="pct"/>
            <w:tcBorders>
              <w:top w:val="single" w:sz="4" w:space="0" w:color="000000"/>
              <w:left w:val="single" w:sz="4" w:space="0" w:color="000000"/>
              <w:bottom w:val="single" w:sz="4" w:space="0" w:color="000000"/>
              <w:right w:val="single" w:sz="4" w:space="0" w:color="auto"/>
            </w:tcBorders>
            <w:hideMark/>
          </w:tcPr>
          <w:p w14:paraId="6A79BF2B" w14:textId="77777777" w:rsidR="00397E7F" w:rsidRPr="002C4F27" w:rsidRDefault="00397E7F" w:rsidP="00397E7F">
            <w:pPr>
              <w:pStyle w:val="Akapitzlist"/>
              <w:spacing w:line="300" w:lineRule="atLeast"/>
              <w:ind w:left="0"/>
              <w:jc w:val="center"/>
              <w:rPr>
                <w:b/>
                <w:bCs/>
              </w:rPr>
            </w:pPr>
            <w:r w:rsidRPr="002C4F27">
              <w:rPr>
                <w:b/>
                <w:bCs/>
              </w:rPr>
              <w:t>13</w:t>
            </w:r>
          </w:p>
        </w:tc>
        <w:tc>
          <w:tcPr>
            <w:tcW w:w="468" w:type="pct"/>
            <w:tcBorders>
              <w:top w:val="single" w:sz="4" w:space="0" w:color="000000"/>
              <w:left w:val="single" w:sz="4" w:space="0" w:color="auto"/>
              <w:bottom w:val="single" w:sz="4" w:space="0" w:color="000000"/>
              <w:right w:val="single" w:sz="4" w:space="0" w:color="000000"/>
            </w:tcBorders>
            <w:hideMark/>
          </w:tcPr>
          <w:p w14:paraId="5BA7C7A2" w14:textId="77777777" w:rsidR="00397E7F" w:rsidRPr="002C4F27" w:rsidRDefault="00397E7F" w:rsidP="00397E7F">
            <w:pPr>
              <w:pStyle w:val="Akapitzlist"/>
              <w:spacing w:line="300" w:lineRule="atLeast"/>
              <w:ind w:left="0"/>
              <w:jc w:val="center"/>
              <w:rPr>
                <w:b/>
                <w:bCs/>
              </w:rPr>
            </w:pPr>
            <w:r w:rsidRPr="002C4F27">
              <w:rPr>
                <w:b/>
                <w:bCs/>
              </w:rPr>
              <w:t>19</w:t>
            </w:r>
          </w:p>
        </w:tc>
        <w:tc>
          <w:tcPr>
            <w:tcW w:w="391" w:type="pct"/>
            <w:tcBorders>
              <w:top w:val="single" w:sz="4" w:space="0" w:color="000000"/>
              <w:left w:val="single" w:sz="4" w:space="0" w:color="000000"/>
              <w:bottom w:val="single" w:sz="4" w:space="0" w:color="000000"/>
              <w:right w:val="single" w:sz="4" w:space="0" w:color="auto"/>
            </w:tcBorders>
            <w:hideMark/>
          </w:tcPr>
          <w:p w14:paraId="4EA28B16" w14:textId="77777777" w:rsidR="00397E7F" w:rsidRPr="002C4F27" w:rsidRDefault="00397E7F" w:rsidP="00397E7F">
            <w:pPr>
              <w:pStyle w:val="Akapitzlist"/>
              <w:spacing w:line="300" w:lineRule="atLeast"/>
              <w:ind w:left="0"/>
              <w:jc w:val="center"/>
              <w:rPr>
                <w:b/>
                <w:bCs/>
              </w:rPr>
            </w:pPr>
            <w:r w:rsidRPr="002C4F27">
              <w:rPr>
                <w:b/>
                <w:bCs/>
              </w:rPr>
              <w:t>1</w:t>
            </w:r>
          </w:p>
        </w:tc>
        <w:tc>
          <w:tcPr>
            <w:tcW w:w="465" w:type="pct"/>
            <w:tcBorders>
              <w:top w:val="single" w:sz="4" w:space="0" w:color="000000"/>
              <w:left w:val="single" w:sz="4" w:space="0" w:color="auto"/>
              <w:bottom w:val="single" w:sz="4" w:space="0" w:color="000000"/>
              <w:right w:val="single" w:sz="4" w:space="0" w:color="000000"/>
            </w:tcBorders>
            <w:hideMark/>
          </w:tcPr>
          <w:p w14:paraId="4CBEA0C9" w14:textId="77777777" w:rsidR="00397E7F" w:rsidRPr="002C4F27" w:rsidRDefault="00397E7F" w:rsidP="00397E7F">
            <w:pPr>
              <w:pStyle w:val="Akapitzlist"/>
              <w:spacing w:line="300" w:lineRule="atLeast"/>
              <w:ind w:left="0"/>
              <w:jc w:val="center"/>
              <w:rPr>
                <w:b/>
                <w:bCs/>
              </w:rPr>
            </w:pPr>
            <w:r w:rsidRPr="002C4F27">
              <w:rPr>
                <w:b/>
                <w:bCs/>
              </w:rPr>
              <w:t>2</w:t>
            </w:r>
          </w:p>
        </w:tc>
      </w:tr>
    </w:tbl>
    <w:p w14:paraId="1AE95DED" w14:textId="77777777" w:rsidR="00397E7F" w:rsidRPr="00397E7F" w:rsidRDefault="00397E7F" w:rsidP="00397E7F">
      <w:pPr>
        <w:spacing w:line="300" w:lineRule="atLeast"/>
        <w:contextualSpacing/>
        <w:jc w:val="both"/>
        <w:rPr>
          <w:rFonts w:ascii="Times New Roman" w:hAnsi="Times New Roman" w:cs="Times New Roman"/>
          <w:i/>
          <w:color w:val="4472C4"/>
          <w:sz w:val="24"/>
          <w:szCs w:val="24"/>
        </w:rPr>
      </w:pPr>
    </w:p>
    <w:p w14:paraId="7140DE3F" w14:textId="0711F23A" w:rsidR="00397E7F" w:rsidRPr="00397E7F" w:rsidRDefault="00397E7F" w:rsidP="002C4F27">
      <w:pPr>
        <w:spacing w:after="60" w:line="300" w:lineRule="atLeast"/>
        <w:rPr>
          <w:rFonts w:ascii="Times New Roman" w:hAnsi="Times New Roman" w:cs="Times New Roman"/>
          <w:i/>
          <w:color w:val="4472C4"/>
          <w:sz w:val="24"/>
          <w:szCs w:val="24"/>
        </w:rPr>
      </w:pPr>
      <w:r w:rsidRPr="00397E7F">
        <w:rPr>
          <w:rFonts w:ascii="Times New Roman" w:hAnsi="Times New Roman" w:cs="Times New Roman"/>
          <w:i/>
          <w:color w:val="4472C4"/>
          <w:sz w:val="24"/>
          <w:szCs w:val="24"/>
        </w:rPr>
        <w:t>Wojewódzki Inspektorat Ochrony Środowiska we Wrocławiu</w:t>
      </w:r>
    </w:p>
    <w:p w14:paraId="609AFBAA" w14:textId="77777777" w:rsidR="00397E7F" w:rsidRPr="00397E7F" w:rsidRDefault="00397E7F" w:rsidP="002C4F27">
      <w:pPr>
        <w:spacing w:line="300" w:lineRule="atLeast"/>
        <w:ind w:firstLine="567"/>
        <w:contextualSpacing/>
        <w:jc w:val="both"/>
        <w:rPr>
          <w:rFonts w:ascii="Times New Roman" w:hAnsi="Times New Roman" w:cs="Times New Roman"/>
          <w:sz w:val="24"/>
          <w:szCs w:val="24"/>
        </w:rPr>
      </w:pPr>
      <w:r w:rsidRPr="00397E7F">
        <w:rPr>
          <w:rFonts w:ascii="Times New Roman" w:hAnsi="Times New Roman" w:cs="Times New Roman"/>
          <w:sz w:val="24"/>
          <w:szCs w:val="24"/>
        </w:rPr>
        <w:t xml:space="preserve">Bezzałogowe statki powietrzne wykorzystano 69 razy, w 2021 – 32 razy, noktowizora użyto w 6 działaniach, aparaty fotograficzne i kamery wykorzystywane są podczas każdej interwencji. W 2023 r. planowane jest użycie </w:t>
      </w:r>
      <w:proofErr w:type="spellStart"/>
      <w:r w:rsidRPr="00397E7F">
        <w:rPr>
          <w:rFonts w:ascii="Times New Roman" w:hAnsi="Times New Roman" w:cs="Times New Roman"/>
          <w:sz w:val="24"/>
          <w:szCs w:val="24"/>
        </w:rPr>
        <w:t>georadaru</w:t>
      </w:r>
      <w:proofErr w:type="spellEnd"/>
      <w:r w:rsidRPr="00397E7F">
        <w:rPr>
          <w:rFonts w:ascii="Times New Roman" w:hAnsi="Times New Roman" w:cs="Times New Roman"/>
          <w:sz w:val="24"/>
          <w:szCs w:val="24"/>
        </w:rPr>
        <w:t>.</w:t>
      </w:r>
    </w:p>
    <w:p w14:paraId="34B58E70" w14:textId="77777777" w:rsidR="00397E7F" w:rsidRPr="00397E7F" w:rsidRDefault="00397E7F" w:rsidP="00397E7F">
      <w:pPr>
        <w:spacing w:line="300" w:lineRule="atLeast"/>
        <w:contextualSpacing/>
        <w:rPr>
          <w:rFonts w:ascii="Times New Roman" w:hAnsi="Times New Roman" w:cs="Times New Roman"/>
          <w:i/>
          <w:color w:val="4472C4"/>
          <w:sz w:val="24"/>
          <w:szCs w:val="24"/>
        </w:rPr>
      </w:pPr>
    </w:p>
    <w:p w14:paraId="342624D2" w14:textId="77777777" w:rsidR="00397E7F" w:rsidRPr="00397E7F" w:rsidRDefault="00397E7F" w:rsidP="002C4F27">
      <w:pPr>
        <w:spacing w:after="60" w:line="300" w:lineRule="atLeast"/>
        <w:rPr>
          <w:rFonts w:ascii="Times New Roman" w:hAnsi="Times New Roman" w:cs="Times New Roman"/>
          <w:sz w:val="24"/>
          <w:szCs w:val="24"/>
        </w:rPr>
      </w:pPr>
      <w:r w:rsidRPr="00397E7F">
        <w:rPr>
          <w:rFonts w:ascii="Times New Roman" w:hAnsi="Times New Roman" w:cs="Times New Roman"/>
          <w:i/>
          <w:color w:val="4472C4"/>
          <w:sz w:val="24"/>
          <w:szCs w:val="24"/>
        </w:rPr>
        <w:t>Wojewódzki Inspektorat Ochrony Środowiska w Zielonej Górze</w:t>
      </w:r>
    </w:p>
    <w:p w14:paraId="1022DCEF" w14:textId="365F66BA" w:rsidR="00397E7F" w:rsidRPr="00397E7F" w:rsidRDefault="00397E7F" w:rsidP="00397E7F">
      <w:pPr>
        <w:spacing w:after="0" w:line="300" w:lineRule="atLeast"/>
        <w:rPr>
          <w:rFonts w:ascii="Times New Roman" w:hAnsi="Times New Roman" w:cs="Times New Roman"/>
          <w:b/>
          <w:color w:val="000000"/>
          <w:sz w:val="24"/>
          <w:szCs w:val="24"/>
        </w:rPr>
      </w:pPr>
      <w:r w:rsidRPr="00397E7F">
        <w:rPr>
          <w:rFonts w:ascii="Times New Roman" w:hAnsi="Times New Roman" w:cs="Times New Roman"/>
          <w:sz w:val="24"/>
          <w:szCs w:val="24"/>
        </w:rPr>
        <w:t xml:space="preserve">Ilość użycia:  BSP – 195 (wraz z lotami związanymi z akcją ODRA, </w:t>
      </w:r>
      <w:proofErr w:type="spellStart"/>
      <w:r w:rsidRPr="00397E7F">
        <w:rPr>
          <w:rFonts w:ascii="Times New Roman" w:hAnsi="Times New Roman" w:cs="Times New Roman"/>
          <w:sz w:val="24"/>
          <w:szCs w:val="24"/>
        </w:rPr>
        <w:t>fotopułapki</w:t>
      </w:r>
      <w:proofErr w:type="spellEnd"/>
      <w:r w:rsidRPr="00397E7F">
        <w:rPr>
          <w:rFonts w:ascii="Times New Roman" w:hAnsi="Times New Roman" w:cs="Times New Roman"/>
          <w:sz w:val="24"/>
          <w:szCs w:val="24"/>
        </w:rPr>
        <w:t xml:space="preserve"> – 8</w:t>
      </w:r>
    </w:p>
    <w:p w14:paraId="1EF5A601" w14:textId="77777777" w:rsidR="00397E7F" w:rsidRPr="007F400A" w:rsidRDefault="00397E7F" w:rsidP="00A21262">
      <w:pPr>
        <w:spacing w:after="0" w:line="300" w:lineRule="atLeast"/>
        <w:rPr>
          <w:rFonts w:ascii="Times New Roman" w:hAnsi="Times New Roman" w:cs="Times New Roman"/>
          <w:b/>
          <w:color w:val="000000"/>
          <w:sz w:val="24"/>
          <w:szCs w:val="24"/>
        </w:rPr>
      </w:pPr>
    </w:p>
    <w:p w14:paraId="52EDA565" w14:textId="69E56804" w:rsidR="00A22034" w:rsidRPr="007F400A" w:rsidRDefault="00A22034" w:rsidP="00D34F97">
      <w:pPr>
        <w:pStyle w:val="Akapitzlist"/>
        <w:numPr>
          <w:ilvl w:val="1"/>
          <w:numId w:val="148"/>
        </w:numPr>
        <w:spacing w:after="120" w:line="300" w:lineRule="atLeast"/>
        <w:ind w:left="624" w:hanging="624"/>
        <w:contextualSpacing w:val="0"/>
        <w:jc w:val="both"/>
        <w:outlineLvl w:val="0"/>
        <w:rPr>
          <w:b/>
          <w:color w:val="000000" w:themeColor="text1"/>
          <w:sz w:val="24"/>
          <w:szCs w:val="24"/>
          <w:u w:val="single"/>
        </w:rPr>
      </w:pPr>
      <w:bookmarkStart w:id="314" w:name="_Toc99469613"/>
      <w:bookmarkStart w:id="315" w:name="_Toc135935673"/>
      <w:r w:rsidRPr="007F400A">
        <w:rPr>
          <w:rStyle w:val="Nagwek3Znak"/>
          <w:rFonts w:ascii="Times New Roman" w:eastAsia="Calibri" w:hAnsi="Times New Roman"/>
          <w:color w:val="000000" w:themeColor="text1"/>
          <w:sz w:val="24"/>
          <w:szCs w:val="24"/>
        </w:rPr>
        <w:t>Ilościowe wskazanie działań analitycznych</w:t>
      </w:r>
      <w:r w:rsidR="003E5D63">
        <w:rPr>
          <w:rStyle w:val="Nagwek3Znak"/>
          <w:rFonts w:ascii="Times New Roman" w:eastAsia="Calibri" w:hAnsi="Times New Roman"/>
          <w:color w:val="000000" w:themeColor="text1"/>
          <w:sz w:val="24"/>
          <w:szCs w:val="24"/>
          <w:lang w:val="pl-PL"/>
        </w:rPr>
        <w:t>,</w:t>
      </w:r>
      <w:r w:rsidRPr="007F400A">
        <w:rPr>
          <w:rStyle w:val="Nagwek3Znak"/>
          <w:rFonts w:ascii="Times New Roman" w:eastAsia="Calibri" w:hAnsi="Times New Roman"/>
          <w:color w:val="000000" w:themeColor="text1"/>
          <w:sz w:val="24"/>
          <w:szCs w:val="24"/>
        </w:rPr>
        <w:t xml:space="preserve"> jakie były wykorzystywane przy realizacji zadań</w:t>
      </w:r>
      <w:bookmarkEnd w:id="314"/>
      <w:bookmarkEnd w:id="315"/>
    </w:p>
    <w:p w14:paraId="1F1B8437" w14:textId="27A1BD4F" w:rsidR="00034701" w:rsidRPr="00034701" w:rsidRDefault="00034701" w:rsidP="001E735D">
      <w:pPr>
        <w:spacing w:line="300" w:lineRule="atLeast"/>
        <w:ind w:firstLine="567"/>
        <w:contextualSpacing/>
        <w:jc w:val="both"/>
        <w:rPr>
          <w:rFonts w:ascii="Times New Roman" w:hAnsi="Times New Roman" w:cs="Times New Roman"/>
          <w:sz w:val="24"/>
          <w:szCs w:val="24"/>
        </w:rPr>
      </w:pPr>
      <w:r w:rsidRPr="00034701">
        <w:rPr>
          <w:rFonts w:ascii="Times New Roman" w:hAnsi="Times New Roman" w:cs="Times New Roman"/>
          <w:sz w:val="24"/>
          <w:szCs w:val="24"/>
        </w:rPr>
        <w:t>W 2022</w:t>
      </w:r>
      <w:r>
        <w:rPr>
          <w:rFonts w:ascii="Times New Roman" w:hAnsi="Times New Roman" w:cs="Times New Roman"/>
          <w:sz w:val="24"/>
          <w:szCs w:val="24"/>
        </w:rPr>
        <w:t xml:space="preserve"> </w:t>
      </w:r>
      <w:r w:rsidRPr="00034701">
        <w:rPr>
          <w:rFonts w:ascii="Times New Roman" w:hAnsi="Times New Roman" w:cs="Times New Roman"/>
          <w:sz w:val="24"/>
          <w:szCs w:val="24"/>
        </w:rPr>
        <w:t xml:space="preserve">r. przez Wydział ds. analiz i organizacyjno-finansowy DZPŚ GIOŚ wykonanych zostało </w:t>
      </w:r>
      <w:r w:rsidRPr="00034701">
        <w:rPr>
          <w:rFonts w:ascii="Times New Roman" w:hAnsi="Times New Roman" w:cs="Times New Roman"/>
          <w:b/>
          <w:sz w:val="24"/>
          <w:szCs w:val="24"/>
        </w:rPr>
        <w:t>218 analiz</w:t>
      </w:r>
      <w:r w:rsidRPr="00034701">
        <w:rPr>
          <w:rFonts w:ascii="Times New Roman" w:hAnsi="Times New Roman" w:cs="Times New Roman"/>
          <w:sz w:val="24"/>
          <w:szCs w:val="24"/>
        </w:rPr>
        <w:t>;</w:t>
      </w:r>
      <w:r>
        <w:rPr>
          <w:rFonts w:ascii="Times New Roman" w:hAnsi="Times New Roman" w:cs="Times New Roman"/>
          <w:b/>
          <w:sz w:val="24"/>
          <w:szCs w:val="24"/>
        </w:rPr>
        <w:t xml:space="preserve"> </w:t>
      </w:r>
      <w:r w:rsidRPr="00034701">
        <w:rPr>
          <w:rFonts w:ascii="Times New Roman" w:hAnsi="Times New Roman" w:cs="Times New Roman"/>
          <w:sz w:val="24"/>
          <w:szCs w:val="24"/>
        </w:rPr>
        <w:t xml:space="preserve">część z nich polegała na ściągnięciu danych i zestawienia ich w arkuszu </w:t>
      </w:r>
      <w:r w:rsidRPr="00034701">
        <w:rPr>
          <w:rFonts w:ascii="Times New Roman" w:hAnsi="Times New Roman" w:cs="Times New Roman"/>
          <w:sz w:val="24"/>
          <w:szCs w:val="24"/>
        </w:rPr>
        <w:lastRenderedPageBreak/>
        <w:t xml:space="preserve">kalkulacyjnym Excel, a niektóre obejmowały również weryfikację przepływu strumienia odpadów i powiązań kapitałowo osobowych pomiędzy uczestnikami tego przepływu. </w:t>
      </w:r>
    </w:p>
    <w:p w14:paraId="48BC3216" w14:textId="7219E195" w:rsidR="00034701" w:rsidRPr="00034701" w:rsidRDefault="00034701" w:rsidP="001E735D">
      <w:pPr>
        <w:spacing w:line="300" w:lineRule="atLeast"/>
        <w:ind w:firstLine="567"/>
        <w:contextualSpacing/>
        <w:jc w:val="both"/>
        <w:rPr>
          <w:rFonts w:ascii="Times New Roman" w:hAnsi="Times New Roman" w:cs="Times New Roman"/>
          <w:sz w:val="24"/>
          <w:szCs w:val="24"/>
        </w:rPr>
      </w:pPr>
      <w:r w:rsidRPr="00034701">
        <w:rPr>
          <w:rFonts w:ascii="Times New Roman" w:hAnsi="Times New Roman" w:cs="Times New Roman"/>
          <w:sz w:val="24"/>
          <w:szCs w:val="24"/>
        </w:rPr>
        <w:t xml:space="preserve">Ponadto, analizy dotyczące zadań bieżących wykonuje Wydział Interwencyjno-Operacyjny DZPŚ. Analizy prowadzone przez ten wydział polegają na wyszukiwaniu </w:t>
      </w:r>
      <w:r>
        <w:rPr>
          <w:rFonts w:ascii="Times New Roman" w:hAnsi="Times New Roman" w:cs="Times New Roman"/>
          <w:sz w:val="24"/>
          <w:szCs w:val="24"/>
        </w:rPr>
        <w:br/>
      </w:r>
      <w:r w:rsidRPr="00034701">
        <w:rPr>
          <w:rFonts w:ascii="Times New Roman" w:hAnsi="Times New Roman" w:cs="Times New Roman"/>
          <w:sz w:val="24"/>
          <w:szCs w:val="24"/>
        </w:rPr>
        <w:t>i przedstawianiu powiązań między podmiotami figurującymi w Bazie BDO. Analizie podlega także przepływ kart przekazania odpadów (KPO), ustalenie ich źródła, a także identyfikacja pośredników w gospodarowaniu odpadami i weryfikacja ich pozwoleń na gospodarowanie odpadami.</w:t>
      </w:r>
      <w:r>
        <w:rPr>
          <w:rFonts w:ascii="Times New Roman" w:hAnsi="Times New Roman" w:cs="Times New Roman"/>
          <w:sz w:val="24"/>
          <w:szCs w:val="24"/>
        </w:rPr>
        <w:t xml:space="preserve"> </w:t>
      </w:r>
      <w:r w:rsidRPr="00034701">
        <w:rPr>
          <w:rFonts w:ascii="Times New Roman" w:hAnsi="Times New Roman" w:cs="Times New Roman"/>
          <w:sz w:val="24"/>
          <w:szCs w:val="24"/>
        </w:rPr>
        <w:t>Takie czynności analityczne są prowadzone każdorazowo przy typowaniu podmiotów mogących nielegalnie postępować z odpadami.</w:t>
      </w:r>
    </w:p>
    <w:p w14:paraId="6FC79432" w14:textId="568D309B" w:rsidR="00FB10B2" w:rsidRDefault="00FB10B2" w:rsidP="00034701">
      <w:pPr>
        <w:spacing w:line="300" w:lineRule="atLeast"/>
        <w:contextualSpacing/>
        <w:jc w:val="both"/>
        <w:rPr>
          <w:rFonts w:ascii="Times New Roman" w:hAnsi="Times New Roman" w:cs="Times New Roman"/>
          <w:sz w:val="24"/>
          <w:szCs w:val="24"/>
        </w:rPr>
      </w:pPr>
    </w:p>
    <w:p w14:paraId="310FE639" w14:textId="65EFFF59" w:rsidR="00034701" w:rsidRPr="00034701" w:rsidRDefault="00034701" w:rsidP="00034701">
      <w:pPr>
        <w:spacing w:after="60" w:line="300" w:lineRule="atLeast"/>
        <w:jc w:val="both"/>
        <w:rPr>
          <w:rFonts w:ascii="Times New Roman" w:hAnsi="Times New Roman" w:cs="Times New Roman"/>
          <w:i/>
          <w:color w:val="4472C4"/>
          <w:sz w:val="24"/>
          <w:szCs w:val="24"/>
        </w:rPr>
      </w:pPr>
      <w:r w:rsidRPr="00034701">
        <w:rPr>
          <w:rFonts w:ascii="Times New Roman" w:hAnsi="Times New Roman" w:cs="Times New Roman"/>
          <w:i/>
          <w:color w:val="4472C4"/>
          <w:sz w:val="24"/>
          <w:szCs w:val="24"/>
        </w:rPr>
        <w:t>Wojewódzki Inspektorat Ochrony Środowiska w Białymstoku</w:t>
      </w:r>
    </w:p>
    <w:p w14:paraId="49FFEBF4" w14:textId="561FCFD7" w:rsidR="00034701" w:rsidRPr="00034701" w:rsidRDefault="00034701" w:rsidP="001E735D">
      <w:pPr>
        <w:spacing w:line="300" w:lineRule="atLeast"/>
        <w:ind w:firstLine="567"/>
        <w:contextualSpacing/>
        <w:jc w:val="both"/>
        <w:rPr>
          <w:rFonts w:ascii="Times New Roman" w:hAnsi="Times New Roman" w:cs="Times New Roman"/>
          <w:sz w:val="24"/>
          <w:szCs w:val="24"/>
        </w:rPr>
      </w:pPr>
      <w:r w:rsidRPr="00034701">
        <w:rPr>
          <w:rFonts w:ascii="Times New Roman" w:hAnsi="Times New Roman" w:cs="Times New Roman"/>
          <w:sz w:val="24"/>
          <w:szCs w:val="24"/>
        </w:rPr>
        <w:t>W 2022 roku grupa interwencyjno-wyjazdowa, a od 01.12.2022 r. Wydział Zwalczania Przestępczości Środowiskowej</w:t>
      </w:r>
      <w:r>
        <w:rPr>
          <w:rFonts w:ascii="Times New Roman" w:hAnsi="Times New Roman" w:cs="Times New Roman"/>
          <w:sz w:val="24"/>
          <w:szCs w:val="24"/>
        </w:rPr>
        <w:t>,</w:t>
      </w:r>
      <w:r w:rsidRPr="00034701">
        <w:rPr>
          <w:rFonts w:ascii="Times New Roman" w:hAnsi="Times New Roman" w:cs="Times New Roman"/>
          <w:sz w:val="24"/>
          <w:szCs w:val="24"/>
        </w:rPr>
        <w:t xml:space="preserve"> prowadziły działania analityczne we własnym zakresie, a także ze wsparciem narzędzi i podmiotów zewnętrznych. Inspektorzy dokonywali analizy i kontroli kont w systemie BDO w ramach potrzeb, wykorzystując do tego celu posiadane uprawnienia w zakresie dostępu do BDO, a </w:t>
      </w:r>
      <w:r>
        <w:rPr>
          <w:rFonts w:ascii="Times New Roman" w:hAnsi="Times New Roman" w:cs="Times New Roman"/>
          <w:sz w:val="24"/>
          <w:szCs w:val="24"/>
        </w:rPr>
        <w:t xml:space="preserve">w przypadku niektórych </w:t>
      </w:r>
      <w:r w:rsidRPr="00034701">
        <w:rPr>
          <w:rFonts w:ascii="Times New Roman" w:hAnsi="Times New Roman" w:cs="Times New Roman"/>
          <w:sz w:val="24"/>
          <w:szCs w:val="24"/>
        </w:rPr>
        <w:t>szczegółow</w:t>
      </w:r>
      <w:r>
        <w:rPr>
          <w:rFonts w:ascii="Times New Roman" w:hAnsi="Times New Roman" w:cs="Times New Roman"/>
          <w:sz w:val="24"/>
          <w:szCs w:val="24"/>
        </w:rPr>
        <w:t>ych</w:t>
      </w:r>
      <w:r w:rsidRPr="00034701">
        <w:rPr>
          <w:rFonts w:ascii="Times New Roman" w:hAnsi="Times New Roman" w:cs="Times New Roman"/>
          <w:sz w:val="24"/>
          <w:szCs w:val="24"/>
        </w:rPr>
        <w:t xml:space="preserve"> analiz </w:t>
      </w:r>
      <w:r>
        <w:rPr>
          <w:rFonts w:ascii="Times New Roman" w:hAnsi="Times New Roman" w:cs="Times New Roman"/>
          <w:sz w:val="24"/>
          <w:szCs w:val="24"/>
        </w:rPr>
        <w:t xml:space="preserve">zwracano się do </w:t>
      </w:r>
      <w:r w:rsidRPr="00034701">
        <w:rPr>
          <w:rFonts w:ascii="Times New Roman" w:hAnsi="Times New Roman" w:cs="Times New Roman"/>
          <w:sz w:val="24"/>
          <w:szCs w:val="24"/>
        </w:rPr>
        <w:t>pracownik</w:t>
      </w:r>
      <w:r>
        <w:rPr>
          <w:rFonts w:ascii="Times New Roman" w:hAnsi="Times New Roman" w:cs="Times New Roman"/>
          <w:sz w:val="24"/>
          <w:szCs w:val="24"/>
        </w:rPr>
        <w:t>ów</w:t>
      </w:r>
      <w:r w:rsidRPr="00034701">
        <w:rPr>
          <w:rFonts w:ascii="Times New Roman" w:hAnsi="Times New Roman" w:cs="Times New Roman"/>
          <w:sz w:val="24"/>
          <w:szCs w:val="24"/>
        </w:rPr>
        <w:t xml:space="preserve"> GIOŚ. Ponadto korzystano z opracowań wykonywanych przez pracowników GIOŚ z nalotów dronem.</w:t>
      </w:r>
    </w:p>
    <w:p w14:paraId="21C9BA9B" w14:textId="77777777" w:rsidR="00034701" w:rsidRPr="00034701" w:rsidRDefault="00034701" w:rsidP="00034701">
      <w:pPr>
        <w:spacing w:line="300" w:lineRule="atLeast"/>
        <w:contextualSpacing/>
        <w:jc w:val="both"/>
        <w:rPr>
          <w:rFonts w:ascii="Times New Roman" w:hAnsi="Times New Roman" w:cs="Times New Roman"/>
          <w:sz w:val="24"/>
          <w:szCs w:val="24"/>
        </w:rPr>
      </w:pPr>
    </w:p>
    <w:p w14:paraId="53088CE5" w14:textId="77777777" w:rsidR="00034701" w:rsidRPr="00034701" w:rsidRDefault="00034701" w:rsidP="00034701">
      <w:pPr>
        <w:spacing w:after="60" w:line="300" w:lineRule="atLeast"/>
        <w:jc w:val="both"/>
        <w:rPr>
          <w:rFonts w:ascii="Times New Roman" w:hAnsi="Times New Roman" w:cs="Times New Roman"/>
          <w:i/>
          <w:color w:val="4472C4"/>
          <w:sz w:val="24"/>
          <w:szCs w:val="24"/>
        </w:rPr>
      </w:pPr>
      <w:r w:rsidRPr="00034701">
        <w:rPr>
          <w:rFonts w:ascii="Times New Roman" w:hAnsi="Times New Roman" w:cs="Times New Roman"/>
          <w:i/>
          <w:color w:val="4472C4"/>
          <w:sz w:val="24"/>
          <w:szCs w:val="24"/>
        </w:rPr>
        <w:t>Wojewódzki Inspektorat Ochrony Środowiska w Bydgoszczy</w:t>
      </w:r>
    </w:p>
    <w:p w14:paraId="0A121D10" w14:textId="2E2CFE7C" w:rsidR="00034701" w:rsidRPr="00034701" w:rsidRDefault="00034701" w:rsidP="001E735D">
      <w:pPr>
        <w:spacing w:line="300" w:lineRule="atLeast"/>
        <w:ind w:firstLine="567"/>
        <w:contextualSpacing/>
        <w:jc w:val="both"/>
        <w:rPr>
          <w:rFonts w:ascii="Times New Roman" w:hAnsi="Times New Roman" w:cs="Times New Roman"/>
          <w:sz w:val="24"/>
          <w:szCs w:val="24"/>
        </w:rPr>
      </w:pPr>
      <w:r w:rsidRPr="00034701">
        <w:rPr>
          <w:rFonts w:ascii="Times New Roman" w:hAnsi="Times New Roman" w:cs="Times New Roman"/>
          <w:sz w:val="24"/>
          <w:szCs w:val="24"/>
        </w:rPr>
        <w:t>W ramach działań analitycznych pro</w:t>
      </w:r>
      <w:r w:rsidR="000850CD">
        <w:rPr>
          <w:rFonts w:ascii="Times New Roman" w:hAnsi="Times New Roman" w:cs="Times New Roman"/>
          <w:sz w:val="24"/>
          <w:szCs w:val="24"/>
        </w:rPr>
        <w:t>w</w:t>
      </w:r>
      <w:r w:rsidRPr="00034701">
        <w:rPr>
          <w:rFonts w:ascii="Times New Roman" w:hAnsi="Times New Roman" w:cs="Times New Roman"/>
          <w:sz w:val="24"/>
          <w:szCs w:val="24"/>
        </w:rPr>
        <w:t xml:space="preserve">adzono analizę kart przekazania odpadów </w:t>
      </w:r>
      <w:r>
        <w:rPr>
          <w:rFonts w:ascii="Times New Roman" w:hAnsi="Times New Roman" w:cs="Times New Roman"/>
          <w:sz w:val="24"/>
          <w:szCs w:val="24"/>
        </w:rPr>
        <w:br/>
      </w:r>
      <w:r w:rsidRPr="00034701">
        <w:rPr>
          <w:rFonts w:ascii="Times New Roman" w:hAnsi="Times New Roman" w:cs="Times New Roman"/>
          <w:sz w:val="24"/>
          <w:szCs w:val="24"/>
        </w:rPr>
        <w:t>w systemie BDO. Analiza dot</w:t>
      </w:r>
      <w:r>
        <w:rPr>
          <w:rFonts w:ascii="Times New Roman" w:hAnsi="Times New Roman" w:cs="Times New Roman"/>
          <w:sz w:val="24"/>
          <w:szCs w:val="24"/>
        </w:rPr>
        <w:t>ycząca</w:t>
      </w:r>
      <w:r w:rsidRPr="00034701">
        <w:rPr>
          <w:rFonts w:ascii="Times New Roman" w:hAnsi="Times New Roman" w:cs="Times New Roman"/>
          <w:sz w:val="24"/>
          <w:szCs w:val="24"/>
        </w:rPr>
        <w:t xml:space="preserve"> przypadków podejrzenia o: przekazywanie odpadów podmiotom nieuprawnionym - 2 przypadki; zbieranie odpadów bez zezwolenia </w:t>
      </w:r>
      <w:r>
        <w:rPr>
          <w:rFonts w:ascii="Times New Roman" w:hAnsi="Times New Roman" w:cs="Times New Roman"/>
          <w:sz w:val="24"/>
          <w:szCs w:val="24"/>
        </w:rPr>
        <w:t xml:space="preserve">- </w:t>
      </w:r>
      <w:r w:rsidRPr="00034701">
        <w:rPr>
          <w:rFonts w:ascii="Times New Roman" w:hAnsi="Times New Roman" w:cs="Times New Roman"/>
          <w:sz w:val="24"/>
          <w:szCs w:val="24"/>
        </w:rPr>
        <w:t>1 przypadek.</w:t>
      </w:r>
    </w:p>
    <w:p w14:paraId="73F1A98E" w14:textId="77777777" w:rsidR="00034701" w:rsidRPr="00034701" w:rsidRDefault="00034701" w:rsidP="00A2076C">
      <w:pPr>
        <w:spacing w:line="300" w:lineRule="atLeast"/>
        <w:ind w:firstLine="567"/>
        <w:contextualSpacing/>
        <w:jc w:val="both"/>
        <w:rPr>
          <w:rFonts w:ascii="Times New Roman" w:hAnsi="Times New Roman" w:cs="Times New Roman"/>
          <w:i/>
          <w:color w:val="4472C4"/>
          <w:sz w:val="24"/>
          <w:szCs w:val="24"/>
        </w:rPr>
      </w:pPr>
    </w:p>
    <w:p w14:paraId="19029603" w14:textId="77777777" w:rsidR="00034701" w:rsidRPr="00034701" w:rsidRDefault="00034701" w:rsidP="00034701">
      <w:pPr>
        <w:spacing w:after="60" w:line="300" w:lineRule="atLeast"/>
        <w:jc w:val="both"/>
        <w:rPr>
          <w:rFonts w:ascii="Times New Roman" w:hAnsi="Times New Roman" w:cs="Times New Roman"/>
          <w:i/>
          <w:color w:val="4472C4"/>
          <w:sz w:val="24"/>
          <w:szCs w:val="24"/>
        </w:rPr>
      </w:pPr>
      <w:r w:rsidRPr="00034701">
        <w:rPr>
          <w:rFonts w:ascii="Times New Roman" w:hAnsi="Times New Roman" w:cs="Times New Roman"/>
          <w:i/>
          <w:color w:val="4472C4"/>
          <w:sz w:val="24"/>
          <w:szCs w:val="24"/>
        </w:rPr>
        <w:t>Wojewódzki Inspektorat Ochrony Środowiska w Gdańsku</w:t>
      </w:r>
    </w:p>
    <w:p w14:paraId="1341BA73" w14:textId="77777777" w:rsidR="00034701" w:rsidRPr="00034701" w:rsidRDefault="00034701" w:rsidP="00A2076C">
      <w:pPr>
        <w:autoSpaceDE w:val="0"/>
        <w:autoSpaceDN w:val="0"/>
        <w:adjustRightInd w:val="0"/>
        <w:spacing w:line="300" w:lineRule="atLeast"/>
        <w:ind w:firstLine="567"/>
        <w:contextualSpacing/>
        <w:jc w:val="both"/>
        <w:rPr>
          <w:rFonts w:ascii="Times New Roman" w:hAnsi="Times New Roman" w:cs="Times New Roman"/>
          <w:sz w:val="24"/>
          <w:szCs w:val="24"/>
        </w:rPr>
      </w:pPr>
      <w:r w:rsidRPr="00034701">
        <w:rPr>
          <w:rFonts w:ascii="Times New Roman" w:hAnsi="Times New Roman" w:cs="Times New Roman"/>
          <w:sz w:val="24"/>
          <w:szCs w:val="24"/>
        </w:rPr>
        <w:t>Przy realizacji zadań wykonano 287 działań analitycznych (wykonane do każdej sprawy prowadzonej w trybie art. 10 b).</w:t>
      </w:r>
    </w:p>
    <w:p w14:paraId="5B9A7A95" w14:textId="77777777" w:rsidR="00034701" w:rsidRPr="00034701" w:rsidRDefault="00034701" w:rsidP="00034701">
      <w:pPr>
        <w:spacing w:line="300" w:lineRule="atLeast"/>
        <w:contextualSpacing/>
        <w:jc w:val="both"/>
        <w:rPr>
          <w:rFonts w:ascii="Times New Roman" w:hAnsi="Times New Roman" w:cs="Times New Roman"/>
          <w:i/>
          <w:color w:val="4472C4"/>
          <w:sz w:val="24"/>
          <w:szCs w:val="24"/>
        </w:rPr>
      </w:pPr>
    </w:p>
    <w:p w14:paraId="505D97CB" w14:textId="77777777" w:rsidR="00034701" w:rsidRPr="00034701" w:rsidRDefault="00034701" w:rsidP="00A2076C">
      <w:pPr>
        <w:spacing w:after="60" w:line="300" w:lineRule="atLeast"/>
        <w:jc w:val="both"/>
        <w:rPr>
          <w:rFonts w:ascii="Times New Roman" w:hAnsi="Times New Roman" w:cs="Times New Roman"/>
          <w:i/>
          <w:color w:val="4472C4"/>
          <w:sz w:val="24"/>
          <w:szCs w:val="24"/>
        </w:rPr>
      </w:pPr>
      <w:r w:rsidRPr="00034701">
        <w:rPr>
          <w:rFonts w:ascii="Times New Roman" w:hAnsi="Times New Roman" w:cs="Times New Roman"/>
          <w:i/>
          <w:color w:val="4472C4"/>
          <w:sz w:val="24"/>
          <w:szCs w:val="24"/>
        </w:rPr>
        <w:t>Wojewódzki Inspektorat Ochrony Środowiska w Katowicach</w:t>
      </w:r>
    </w:p>
    <w:p w14:paraId="67296AA0" w14:textId="75AFA386" w:rsidR="00A2076C" w:rsidRDefault="00034701" w:rsidP="001E735D">
      <w:pPr>
        <w:spacing w:line="300" w:lineRule="atLeast"/>
        <w:ind w:firstLine="567"/>
        <w:contextualSpacing/>
        <w:jc w:val="both"/>
        <w:rPr>
          <w:rFonts w:ascii="Times New Roman" w:hAnsi="Times New Roman" w:cs="Times New Roman"/>
          <w:sz w:val="24"/>
          <w:szCs w:val="24"/>
        </w:rPr>
      </w:pPr>
      <w:r w:rsidRPr="00034701">
        <w:rPr>
          <w:rFonts w:ascii="Times New Roman" w:hAnsi="Times New Roman" w:cs="Times New Roman"/>
          <w:sz w:val="24"/>
          <w:szCs w:val="24"/>
        </w:rPr>
        <w:t>Inspektorat prowadził poza</w:t>
      </w:r>
      <w:r w:rsidR="00A2076C">
        <w:rPr>
          <w:rFonts w:ascii="Times New Roman" w:hAnsi="Times New Roman" w:cs="Times New Roman"/>
          <w:sz w:val="24"/>
          <w:szCs w:val="24"/>
        </w:rPr>
        <w:t xml:space="preserve"> </w:t>
      </w:r>
      <w:r w:rsidRPr="00034701">
        <w:rPr>
          <w:rFonts w:ascii="Times New Roman" w:hAnsi="Times New Roman" w:cs="Times New Roman"/>
          <w:sz w:val="24"/>
          <w:szCs w:val="24"/>
        </w:rPr>
        <w:t>kontrolne analizy dokumentacji</w:t>
      </w:r>
      <w:r w:rsidR="00A2076C">
        <w:rPr>
          <w:rFonts w:ascii="Times New Roman" w:hAnsi="Times New Roman" w:cs="Times New Roman"/>
          <w:sz w:val="24"/>
          <w:szCs w:val="24"/>
        </w:rPr>
        <w:t>,</w:t>
      </w:r>
      <w:r w:rsidRPr="00034701">
        <w:rPr>
          <w:rFonts w:ascii="Times New Roman" w:hAnsi="Times New Roman" w:cs="Times New Roman"/>
          <w:sz w:val="24"/>
          <w:szCs w:val="24"/>
        </w:rPr>
        <w:t xml:space="preserve"> głównie w zakresie powierzonych czynności śledczych i prowadzonych postępowań przez jednostki Prokuratury</w:t>
      </w:r>
      <w:r w:rsidR="00A2076C">
        <w:rPr>
          <w:rFonts w:ascii="Times New Roman" w:hAnsi="Times New Roman" w:cs="Times New Roman"/>
          <w:sz w:val="24"/>
          <w:szCs w:val="24"/>
        </w:rPr>
        <w:t>.</w:t>
      </w:r>
      <w:r w:rsidRPr="00034701">
        <w:rPr>
          <w:rFonts w:ascii="Times New Roman" w:hAnsi="Times New Roman" w:cs="Times New Roman"/>
          <w:sz w:val="24"/>
          <w:szCs w:val="24"/>
        </w:rPr>
        <w:t xml:space="preserve"> </w:t>
      </w:r>
      <w:r w:rsidR="00A2076C">
        <w:rPr>
          <w:rFonts w:ascii="Times New Roman" w:hAnsi="Times New Roman" w:cs="Times New Roman"/>
          <w:sz w:val="24"/>
          <w:szCs w:val="24"/>
        </w:rPr>
        <w:t>W</w:t>
      </w:r>
      <w:r w:rsidRPr="00034701">
        <w:rPr>
          <w:rFonts w:ascii="Times New Roman" w:hAnsi="Times New Roman" w:cs="Times New Roman"/>
          <w:sz w:val="24"/>
          <w:szCs w:val="24"/>
        </w:rPr>
        <w:t xml:space="preserve"> 2022 r. </w:t>
      </w:r>
      <w:r w:rsidR="00A2076C">
        <w:rPr>
          <w:rFonts w:ascii="Times New Roman" w:hAnsi="Times New Roman" w:cs="Times New Roman"/>
          <w:sz w:val="24"/>
          <w:szCs w:val="24"/>
        </w:rPr>
        <w:t xml:space="preserve">było </w:t>
      </w:r>
      <w:r w:rsidRPr="00034701">
        <w:rPr>
          <w:rFonts w:ascii="Times New Roman" w:hAnsi="Times New Roman" w:cs="Times New Roman"/>
          <w:sz w:val="24"/>
          <w:szCs w:val="24"/>
        </w:rPr>
        <w:t>8 takich analiz, g</w:t>
      </w:r>
      <w:r w:rsidR="00A2076C">
        <w:rPr>
          <w:rFonts w:ascii="Times New Roman" w:hAnsi="Times New Roman" w:cs="Times New Roman"/>
          <w:sz w:val="24"/>
          <w:szCs w:val="24"/>
        </w:rPr>
        <w:t>ł</w:t>
      </w:r>
      <w:r w:rsidRPr="00034701">
        <w:rPr>
          <w:rFonts w:ascii="Times New Roman" w:hAnsi="Times New Roman" w:cs="Times New Roman"/>
          <w:sz w:val="24"/>
          <w:szCs w:val="24"/>
        </w:rPr>
        <w:t xml:space="preserve">ównie materiałów dowodowych </w:t>
      </w:r>
      <w:r w:rsidR="00A2076C" w:rsidRPr="00034701">
        <w:rPr>
          <w:rFonts w:ascii="Times New Roman" w:hAnsi="Times New Roman" w:cs="Times New Roman"/>
          <w:sz w:val="24"/>
          <w:szCs w:val="24"/>
        </w:rPr>
        <w:t xml:space="preserve">przekazanych </w:t>
      </w:r>
      <w:r w:rsidRPr="00034701">
        <w:rPr>
          <w:rFonts w:ascii="Times New Roman" w:hAnsi="Times New Roman" w:cs="Times New Roman"/>
          <w:sz w:val="24"/>
          <w:szCs w:val="24"/>
        </w:rPr>
        <w:t xml:space="preserve">przez prokuraturę lub danych z bazy BDO. </w:t>
      </w:r>
    </w:p>
    <w:p w14:paraId="319535A4" w14:textId="6AC4C521" w:rsidR="00034701" w:rsidRPr="00034701" w:rsidRDefault="00034701" w:rsidP="00A2076C">
      <w:pPr>
        <w:spacing w:line="300" w:lineRule="atLeast"/>
        <w:ind w:firstLine="567"/>
        <w:contextualSpacing/>
        <w:jc w:val="both"/>
        <w:rPr>
          <w:rFonts w:ascii="Times New Roman" w:hAnsi="Times New Roman" w:cs="Times New Roman"/>
          <w:sz w:val="24"/>
          <w:szCs w:val="24"/>
        </w:rPr>
      </w:pPr>
      <w:r w:rsidRPr="00034701">
        <w:rPr>
          <w:rFonts w:ascii="Times New Roman" w:hAnsi="Times New Roman" w:cs="Times New Roman"/>
          <w:sz w:val="24"/>
          <w:szCs w:val="24"/>
        </w:rPr>
        <w:t>Dodatkowo prowadz</w:t>
      </w:r>
      <w:r w:rsidR="00A2076C">
        <w:rPr>
          <w:rFonts w:ascii="Times New Roman" w:hAnsi="Times New Roman" w:cs="Times New Roman"/>
          <w:sz w:val="24"/>
          <w:szCs w:val="24"/>
        </w:rPr>
        <w:t xml:space="preserve">ona jest </w:t>
      </w:r>
      <w:r w:rsidRPr="00034701">
        <w:rPr>
          <w:rFonts w:ascii="Times New Roman" w:hAnsi="Times New Roman" w:cs="Times New Roman"/>
          <w:sz w:val="24"/>
          <w:szCs w:val="24"/>
        </w:rPr>
        <w:t>na bieżąco analiz</w:t>
      </w:r>
      <w:r w:rsidR="00A2076C">
        <w:rPr>
          <w:rFonts w:ascii="Times New Roman" w:hAnsi="Times New Roman" w:cs="Times New Roman"/>
          <w:sz w:val="24"/>
          <w:szCs w:val="24"/>
        </w:rPr>
        <w:t>a</w:t>
      </w:r>
      <w:r w:rsidRPr="00034701">
        <w:rPr>
          <w:rFonts w:ascii="Times New Roman" w:hAnsi="Times New Roman" w:cs="Times New Roman"/>
          <w:sz w:val="24"/>
          <w:szCs w:val="24"/>
        </w:rPr>
        <w:t xml:space="preserve"> danych BDO w sprawie 4 podmiotów</w:t>
      </w:r>
      <w:r w:rsidR="00A2076C">
        <w:rPr>
          <w:rFonts w:ascii="Times New Roman" w:hAnsi="Times New Roman" w:cs="Times New Roman"/>
          <w:sz w:val="24"/>
          <w:szCs w:val="24"/>
        </w:rPr>
        <w:t xml:space="preserve"> </w:t>
      </w:r>
      <w:r w:rsidR="00A2076C" w:rsidRPr="00034701">
        <w:rPr>
          <w:rFonts w:ascii="Times New Roman" w:hAnsi="Times New Roman" w:cs="Times New Roman"/>
          <w:sz w:val="24"/>
          <w:szCs w:val="24"/>
        </w:rPr>
        <w:t>działających na terytorium woj. śląskiego</w:t>
      </w:r>
      <w:r w:rsidRPr="00034701">
        <w:rPr>
          <w:rFonts w:ascii="Times New Roman" w:hAnsi="Times New Roman" w:cs="Times New Roman"/>
          <w:sz w:val="24"/>
          <w:szCs w:val="24"/>
        </w:rPr>
        <w:t>,</w:t>
      </w:r>
      <w:r w:rsidR="00A2076C">
        <w:rPr>
          <w:rFonts w:ascii="Times New Roman" w:hAnsi="Times New Roman" w:cs="Times New Roman"/>
          <w:sz w:val="24"/>
          <w:szCs w:val="24"/>
        </w:rPr>
        <w:t xml:space="preserve"> a</w:t>
      </w:r>
      <w:r w:rsidRPr="00034701">
        <w:rPr>
          <w:rFonts w:ascii="Times New Roman" w:hAnsi="Times New Roman" w:cs="Times New Roman"/>
          <w:sz w:val="24"/>
          <w:szCs w:val="24"/>
        </w:rPr>
        <w:t xml:space="preserve"> będących w zainteresowaniu innych Inspektoratów</w:t>
      </w:r>
      <w:r w:rsidR="00A2076C">
        <w:rPr>
          <w:rFonts w:ascii="Times New Roman" w:hAnsi="Times New Roman" w:cs="Times New Roman"/>
          <w:sz w:val="24"/>
          <w:szCs w:val="24"/>
        </w:rPr>
        <w:t>.</w:t>
      </w:r>
      <w:r w:rsidRPr="00034701">
        <w:rPr>
          <w:rFonts w:ascii="Times New Roman" w:hAnsi="Times New Roman" w:cs="Times New Roman"/>
          <w:sz w:val="24"/>
          <w:szCs w:val="24"/>
        </w:rPr>
        <w:t xml:space="preserve"> Prowadzi się bieżącą analizę danych w zakresie kontaktów i kierunków przemieszczeń odpadów, zawartych na indywidualnych kontach BDO podmiotów, którym udowodniono w przeszłości nielegalne praktyki w zakresie gospodarki lub transportu odpadów. </w:t>
      </w:r>
    </w:p>
    <w:p w14:paraId="4437A7D3" w14:textId="77777777" w:rsidR="00034701" w:rsidRPr="00034701" w:rsidRDefault="00034701" w:rsidP="00034701">
      <w:pPr>
        <w:spacing w:line="300" w:lineRule="atLeast"/>
        <w:contextualSpacing/>
        <w:jc w:val="both"/>
        <w:rPr>
          <w:rFonts w:ascii="Times New Roman" w:hAnsi="Times New Roman" w:cs="Times New Roman"/>
          <w:i/>
          <w:color w:val="4472C4"/>
          <w:sz w:val="24"/>
          <w:szCs w:val="24"/>
        </w:rPr>
      </w:pPr>
    </w:p>
    <w:p w14:paraId="262E1BED" w14:textId="77777777" w:rsidR="00034701" w:rsidRPr="00034701" w:rsidRDefault="00034701" w:rsidP="00A2076C">
      <w:pPr>
        <w:spacing w:after="60" w:line="300" w:lineRule="atLeast"/>
        <w:jc w:val="both"/>
        <w:rPr>
          <w:rFonts w:ascii="Times New Roman" w:hAnsi="Times New Roman" w:cs="Times New Roman"/>
          <w:i/>
          <w:color w:val="4472C4"/>
          <w:sz w:val="24"/>
          <w:szCs w:val="24"/>
        </w:rPr>
      </w:pPr>
      <w:r w:rsidRPr="00034701">
        <w:rPr>
          <w:rFonts w:ascii="Times New Roman" w:hAnsi="Times New Roman" w:cs="Times New Roman"/>
          <w:i/>
          <w:color w:val="4472C4"/>
          <w:sz w:val="24"/>
          <w:szCs w:val="24"/>
        </w:rPr>
        <w:t>Wojewódzki Inspektorat Ochrony Środowiska w Kielcach</w:t>
      </w:r>
    </w:p>
    <w:p w14:paraId="51F21782" w14:textId="77777777" w:rsidR="00034701" w:rsidRPr="00034701" w:rsidRDefault="00034701" w:rsidP="001E735D">
      <w:pPr>
        <w:pStyle w:val="Akapitzlist"/>
        <w:spacing w:line="300" w:lineRule="atLeast"/>
        <w:ind w:left="0" w:firstLine="567"/>
        <w:jc w:val="both"/>
        <w:rPr>
          <w:sz w:val="24"/>
          <w:szCs w:val="24"/>
          <w:highlight w:val="yellow"/>
        </w:rPr>
      </w:pPr>
      <w:r w:rsidRPr="00034701">
        <w:rPr>
          <w:sz w:val="24"/>
          <w:szCs w:val="24"/>
        </w:rPr>
        <w:t xml:space="preserve">W ramach działań w trybie art. 10b ustawy o IOŚ prowadzono analizę ewidencji odpadów zamieszczonej w bazie BDO oraz otrzymanej z GIOŚ i WIOŚ w formie zestawień tabelarycznych. Dane analizowano m.in. w kontekście przekazywania odpadów pomiędzy poszczególnymi podmiotami w związku z podejrzeniem nierzetelnie prowadzonej ewidencji oraz możliwości potwierdzania nieprawdy w dokumentach poprzez fikcyjne wystawianie kart </w:t>
      </w:r>
      <w:r w:rsidRPr="00034701">
        <w:rPr>
          <w:sz w:val="24"/>
          <w:szCs w:val="24"/>
        </w:rPr>
        <w:lastRenderedPageBreak/>
        <w:t xml:space="preserve">przekazania odpadów. Na podstawie analizowanych danych sporządzano zestawienia podmiotów, ilości i rodzajów odpadów oraz innych istotnych danych, które wykorzystywane były podczas dalszych działań w trybie art. 10b ustawy o IOŚ lub w kontrolach. Dodatkowo analizowano informacje zawarte w ogólnie dostępnych rejestrach (KRS, </w:t>
      </w:r>
      <w:proofErr w:type="spellStart"/>
      <w:r w:rsidRPr="00034701">
        <w:rPr>
          <w:sz w:val="24"/>
          <w:szCs w:val="24"/>
        </w:rPr>
        <w:t>CEiDG</w:t>
      </w:r>
      <w:proofErr w:type="spellEnd"/>
      <w:r w:rsidRPr="00034701">
        <w:rPr>
          <w:sz w:val="24"/>
          <w:szCs w:val="24"/>
        </w:rPr>
        <w:t xml:space="preserve">, rejestr.io) pod kątem powiązań poszczególnych podmiotów. Analizowano również dane zawarte na portalach aukcyjnych (m.in. allegro, </w:t>
      </w:r>
      <w:proofErr w:type="spellStart"/>
      <w:r w:rsidRPr="00034701">
        <w:rPr>
          <w:sz w:val="24"/>
          <w:szCs w:val="24"/>
        </w:rPr>
        <w:t>olx</w:t>
      </w:r>
      <w:proofErr w:type="spellEnd"/>
      <w:r w:rsidRPr="00034701">
        <w:rPr>
          <w:sz w:val="24"/>
          <w:szCs w:val="24"/>
        </w:rPr>
        <w:t xml:space="preserve">), w przypadku podejrzenia dokonywania nielegalnego demontażu pojazdów. Zebrane informacje pozwalały w szerszy sposób dokumentować np. oferowanie pojazdów na części lub sprzedaż części z dokonywanego demontażu. Łącznie wykonano 102 różnego rodzaju ww. czynności stanowiących gromadzenie i zabezpieczaniu dowodów popełnienia przestępstwa lub wykroczenia. </w:t>
      </w:r>
    </w:p>
    <w:p w14:paraId="4F7CA9D9" w14:textId="77777777" w:rsidR="00034701" w:rsidRPr="00034701" w:rsidRDefault="00034701" w:rsidP="00034701">
      <w:pPr>
        <w:spacing w:line="300" w:lineRule="atLeast"/>
        <w:contextualSpacing/>
        <w:jc w:val="both"/>
        <w:rPr>
          <w:rFonts w:ascii="Times New Roman" w:hAnsi="Times New Roman" w:cs="Times New Roman"/>
          <w:i/>
          <w:color w:val="4472C4"/>
          <w:sz w:val="24"/>
          <w:szCs w:val="24"/>
        </w:rPr>
      </w:pPr>
    </w:p>
    <w:p w14:paraId="7C8CB894" w14:textId="77777777" w:rsidR="00034701" w:rsidRPr="00034701" w:rsidRDefault="00034701" w:rsidP="00713716">
      <w:pPr>
        <w:spacing w:after="60" w:line="300" w:lineRule="atLeast"/>
        <w:jc w:val="both"/>
        <w:rPr>
          <w:rFonts w:ascii="Times New Roman" w:hAnsi="Times New Roman" w:cs="Times New Roman"/>
          <w:i/>
          <w:color w:val="4472C4"/>
          <w:sz w:val="24"/>
          <w:szCs w:val="24"/>
        </w:rPr>
      </w:pPr>
      <w:r w:rsidRPr="00034701">
        <w:rPr>
          <w:rFonts w:ascii="Times New Roman" w:hAnsi="Times New Roman" w:cs="Times New Roman"/>
          <w:i/>
          <w:color w:val="4472C4"/>
          <w:sz w:val="24"/>
          <w:szCs w:val="24"/>
        </w:rPr>
        <w:t>Wojewódzki Inspektorat Ochrony Środowiska w Krakowie</w:t>
      </w:r>
    </w:p>
    <w:p w14:paraId="44E92634" w14:textId="377A8D56" w:rsidR="00034701" w:rsidRPr="00034701" w:rsidRDefault="00713716" w:rsidP="00713716">
      <w:pPr>
        <w:spacing w:line="300" w:lineRule="atLeast"/>
        <w:ind w:firstLine="567"/>
        <w:contextualSpacing/>
        <w:jc w:val="both"/>
        <w:rPr>
          <w:rFonts w:ascii="Times New Roman" w:hAnsi="Times New Roman" w:cs="Times New Roman"/>
          <w:sz w:val="24"/>
          <w:szCs w:val="24"/>
        </w:rPr>
      </w:pPr>
      <w:r w:rsidRPr="00713716">
        <w:rPr>
          <w:rFonts w:ascii="Times New Roman" w:hAnsi="Times New Roman" w:cs="Times New Roman"/>
          <w:sz w:val="24"/>
          <w:szCs w:val="24"/>
        </w:rPr>
        <w:t xml:space="preserve">Inspektorzy przed podjęciem działań w terenie każdorazowo przeprowadzają analizę sprawy na podstawie dostępnej dokumentacji oraz dostępnych systemów (m. in. CEPIK, BDO), a następnie wykorzystują to w trakcie prowadzonych działań. W zakresie części działań prowadzone było sprawdzanie aukcji sprzedażowych na portalach internetowych w zakresie rozpoznania i wyszukania podmiotów, wobec których zachodzi podejrzenie prowadzenia nielegalnego demontażu pojazdów. Część działań przeprowadzonych w ramach czynności, </w:t>
      </w:r>
      <w:r>
        <w:rPr>
          <w:rFonts w:ascii="Times New Roman" w:hAnsi="Times New Roman" w:cs="Times New Roman"/>
          <w:sz w:val="24"/>
          <w:szCs w:val="24"/>
        </w:rPr>
        <w:br/>
      </w:r>
      <w:r w:rsidRPr="00713716">
        <w:rPr>
          <w:rFonts w:ascii="Times New Roman" w:hAnsi="Times New Roman" w:cs="Times New Roman"/>
          <w:sz w:val="24"/>
          <w:szCs w:val="24"/>
        </w:rPr>
        <w:t xml:space="preserve">o których mowa w art. 10b ustawy o Inspekcji Ochrony Środowiska nie wymagała przeprowadzenia działań analitycznych – działania prowadzone są wyłącznie na podstawie wizji terenowych. </w:t>
      </w:r>
    </w:p>
    <w:p w14:paraId="3F6B829D" w14:textId="77777777" w:rsidR="00034701" w:rsidRPr="00034701" w:rsidRDefault="00034701" w:rsidP="00034701">
      <w:pPr>
        <w:spacing w:line="300" w:lineRule="atLeast"/>
        <w:contextualSpacing/>
        <w:jc w:val="both"/>
        <w:rPr>
          <w:rFonts w:ascii="Times New Roman" w:hAnsi="Times New Roman" w:cs="Times New Roman"/>
          <w:i/>
          <w:color w:val="4472C4"/>
          <w:sz w:val="24"/>
          <w:szCs w:val="24"/>
        </w:rPr>
      </w:pPr>
    </w:p>
    <w:p w14:paraId="1A7EA631" w14:textId="77777777" w:rsidR="00034701" w:rsidRPr="00034701" w:rsidRDefault="00034701" w:rsidP="00713716">
      <w:pPr>
        <w:spacing w:after="60" w:line="300" w:lineRule="atLeast"/>
        <w:jc w:val="both"/>
        <w:rPr>
          <w:rFonts w:ascii="Times New Roman" w:hAnsi="Times New Roman" w:cs="Times New Roman"/>
          <w:i/>
          <w:color w:val="4472C4"/>
          <w:sz w:val="24"/>
          <w:szCs w:val="24"/>
        </w:rPr>
      </w:pPr>
      <w:r w:rsidRPr="00034701">
        <w:rPr>
          <w:rFonts w:ascii="Times New Roman" w:hAnsi="Times New Roman" w:cs="Times New Roman"/>
          <w:i/>
          <w:color w:val="4472C4"/>
          <w:sz w:val="24"/>
          <w:szCs w:val="24"/>
        </w:rPr>
        <w:t>Wojewódzki Inspektorat Ochrony Środowiska w Lublinie</w:t>
      </w:r>
    </w:p>
    <w:p w14:paraId="07BA6186" w14:textId="7129D0C4" w:rsidR="00034701" w:rsidRPr="00034701" w:rsidRDefault="00034701" w:rsidP="001E735D">
      <w:pPr>
        <w:spacing w:line="300" w:lineRule="atLeast"/>
        <w:ind w:firstLine="567"/>
        <w:contextualSpacing/>
        <w:jc w:val="both"/>
        <w:rPr>
          <w:rFonts w:ascii="Times New Roman" w:hAnsi="Times New Roman" w:cs="Times New Roman"/>
          <w:sz w:val="24"/>
          <w:szCs w:val="24"/>
        </w:rPr>
      </w:pPr>
      <w:r w:rsidRPr="00034701">
        <w:rPr>
          <w:rFonts w:ascii="Times New Roman" w:hAnsi="Times New Roman" w:cs="Times New Roman"/>
          <w:sz w:val="24"/>
          <w:szCs w:val="24"/>
        </w:rPr>
        <w:t xml:space="preserve">W związku z czynnościami prowadzonymi z zakresu art. 10b dwukrotnie korzystano </w:t>
      </w:r>
      <w:r w:rsidR="00713716">
        <w:rPr>
          <w:rFonts w:ascii="Times New Roman" w:hAnsi="Times New Roman" w:cs="Times New Roman"/>
          <w:sz w:val="24"/>
          <w:szCs w:val="24"/>
        </w:rPr>
        <w:br/>
      </w:r>
      <w:r w:rsidRPr="00034701">
        <w:rPr>
          <w:rFonts w:ascii="Times New Roman" w:hAnsi="Times New Roman" w:cs="Times New Roman"/>
          <w:sz w:val="24"/>
          <w:szCs w:val="24"/>
        </w:rPr>
        <w:t xml:space="preserve">z banku danych GIOŚ w DZPŚ z BDO. </w:t>
      </w:r>
    </w:p>
    <w:p w14:paraId="143BFC3E" w14:textId="77777777" w:rsidR="00034701" w:rsidRPr="00034701" w:rsidRDefault="00034701" w:rsidP="00034701">
      <w:pPr>
        <w:spacing w:line="300" w:lineRule="atLeast"/>
        <w:contextualSpacing/>
        <w:jc w:val="both"/>
        <w:rPr>
          <w:rFonts w:ascii="Times New Roman" w:hAnsi="Times New Roman" w:cs="Times New Roman"/>
          <w:i/>
          <w:color w:val="4472C4"/>
          <w:sz w:val="24"/>
          <w:szCs w:val="24"/>
        </w:rPr>
      </w:pPr>
    </w:p>
    <w:p w14:paraId="5C489097" w14:textId="77777777" w:rsidR="00034701" w:rsidRPr="00034701" w:rsidRDefault="00034701" w:rsidP="00713716">
      <w:pPr>
        <w:spacing w:after="60" w:line="300" w:lineRule="atLeast"/>
        <w:jc w:val="both"/>
        <w:rPr>
          <w:rFonts w:ascii="Times New Roman" w:hAnsi="Times New Roman" w:cs="Times New Roman"/>
          <w:i/>
          <w:color w:val="4472C4"/>
          <w:sz w:val="24"/>
          <w:szCs w:val="24"/>
        </w:rPr>
      </w:pPr>
      <w:r w:rsidRPr="00034701">
        <w:rPr>
          <w:rFonts w:ascii="Times New Roman" w:hAnsi="Times New Roman" w:cs="Times New Roman"/>
          <w:i/>
          <w:color w:val="4472C4"/>
          <w:sz w:val="24"/>
          <w:szCs w:val="24"/>
        </w:rPr>
        <w:t>Wojewódzki Inspektorat Ochrony Środowiska w Łodzi</w:t>
      </w:r>
    </w:p>
    <w:p w14:paraId="66DFE84A" w14:textId="7DC1F09A" w:rsidR="00034701" w:rsidRPr="00034701" w:rsidRDefault="00034701" w:rsidP="001E735D">
      <w:pPr>
        <w:spacing w:line="300" w:lineRule="atLeast"/>
        <w:ind w:firstLine="567"/>
        <w:contextualSpacing/>
        <w:jc w:val="both"/>
        <w:rPr>
          <w:rFonts w:ascii="Times New Roman" w:hAnsi="Times New Roman" w:cs="Times New Roman"/>
          <w:sz w:val="24"/>
          <w:szCs w:val="24"/>
        </w:rPr>
      </w:pPr>
      <w:r w:rsidRPr="00034701">
        <w:rPr>
          <w:rFonts w:ascii="Times New Roman" w:hAnsi="Times New Roman" w:cs="Times New Roman"/>
          <w:sz w:val="24"/>
          <w:szCs w:val="24"/>
        </w:rPr>
        <w:t xml:space="preserve">W przypadku każdej kontroli </w:t>
      </w:r>
      <w:r w:rsidR="00713716">
        <w:rPr>
          <w:rFonts w:ascii="Times New Roman" w:hAnsi="Times New Roman" w:cs="Times New Roman"/>
          <w:sz w:val="24"/>
          <w:szCs w:val="24"/>
        </w:rPr>
        <w:t>realizowa</w:t>
      </w:r>
      <w:r w:rsidRPr="00034701">
        <w:rPr>
          <w:rFonts w:ascii="Times New Roman" w:hAnsi="Times New Roman" w:cs="Times New Roman"/>
          <w:sz w:val="24"/>
          <w:szCs w:val="24"/>
        </w:rPr>
        <w:t>nej przez WIOŚ w Łodzi prowadzone są czynności analityczne opierające się o analizę</w:t>
      </w:r>
      <w:r w:rsidR="00713716">
        <w:rPr>
          <w:rFonts w:ascii="Times New Roman" w:hAnsi="Times New Roman" w:cs="Times New Roman"/>
          <w:sz w:val="24"/>
          <w:szCs w:val="24"/>
        </w:rPr>
        <w:t>,</w:t>
      </w:r>
      <w:r w:rsidRPr="00034701">
        <w:rPr>
          <w:rFonts w:ascii="Times New Roman" w:hAnsi="Times New Roman" w:cs="Times New Roman"/>
          <w:sz w:val="24"/>
          <w:szCs w:val="24"/>
        </w:rPr>
        <w:t xml:space="preserve"> m.in. zapisów  CEIDG, KRS, BDO, ZSIN (baza danych o nieruchomościach). Przy realizacji zadań przeprowadzano działania analityczne polegające głównie na analizie zgromadzonej dokumentacji (o dane występowano do GIOŚ, jak i prowadzono analizę na podstawie danych dostępnych w BDO). W wyniku poczynionych ustaleń z końcem 2022 r. na podstawie analizy danych zawartych w BDO ułatwiono dotarcie do podmiotów mających związek ze sprawami wystawiania poświadczającej nieprawdę dokumentacji związanej z transportem i utylizacją odpadów, które mogły zagrozić ludziom </w:t>
      </w:r>
      <w:r w:rsidR="00713716">
        <w:rPr>
          <w:rFonts w:ascii="Times New Roman" w:hAnsi="Times New Roman" w:cs="Times New Roman"/>
          <w:sz w:val="24"/>
          <w:szCs w:val="24"/>
        </w:rPr>
        <w:br/>
      </w:r>
      <w:r w:rsidRPr="00034701">
        <w:rPr>
          <w:rFonts w:ascii="Times New Roman" w:hAnsi="Times New Roman" w:cs="Times New Roman"/>
          <w:sz w:val="24"/>
          <w:szCs w:val="24"/>
        </w:rPr>
        <w:t>i zwierzętom oraz doprowadzić do skażenia gruntów i wód (w ww. czynnościach czynnie brali udział funkcjonariusze KAS i CBŚP).</w:t>
      </w:r>
    </w:p>
    <w:p w14:paraId="36DF4D41" w14:textId="77777777" w:rsidR="00034701" w:rsidRPr="00034701" w:rsidRDefault="00034701" w:rsidP="00034701">
      <w:pPr>
        <w:spacing w:line="300" w:lineRule="atLeast"/>
        <w:contextualSpacing/>
        <w:jc w:val="both"/>
        <w:rPr>
          <w:rFonts w:ascii="Times New Roman" w:hAnsi="Times New Roman" w:cs="Times New Roman"/>
          <w:i/>
          <w:color w:val="4472C4"/>
          <w:sz w:val="24"/>
          <w:szCs w:val="24"/>
        </w:rPr>
      </w:pPr>
    </w:p>
    <w:p w14:paraId="2FA37F72" w14:textId="77777777" w:rsidR="00034701" w:rsidRPr="00034701" w:rsidRDefault="00034701" w:rsidP="00713716">
      <w:pPr>
        <w:spacing w:after="60" w:line="300" w:lineRule="atLeast"/>
        <w:jc w:val="both"/>
        <w:rPr>
          <w:rFonts w:ascii="Times New Roman" w:hAnsi="Times New Roman" w:cs="Times New Roman"/>
          <w:i/>
          <w:color w:val="4472C4"/>
          <w:sz w:val="24"/>
          <w:szCs w:val="24"/>
        </w:rPr>
      </w:pPr>
      <w:r w:rsidRPr="00034701">
        <w:rPr>
          <w:rFonts w:ascii="Times New Roman" w:hAnsi="Times New Roman" w:cs="Times New Roman"/>
          <w:i/>
          <w:color w:val="4472C4"/>
          <w:sz w:val="24"/>
          <w:szCs w:val="24"/>
        </w:rPr>
        <w:t>Wojewódzki Inspektorat Ochrony Środowiska w Olsztynie</w:t>
      </w:r>
    </w:p>
    <w:p w14:paraId="2E5D012C" w14:textId="77777777" w:rsidR="00034701" w:rsidRPr="00034701" w:rsidRDefault="00034701" w:rsidP="001E735D">
      <w:pPr>
        <w:spacing w:line="300" w:lineRule="atLeast"/>
        <w:ind w:firstLine="567"/>
        <w:contextualSpacing/>
        <w:jc w:val="both"/>
        <w:rPr>
          <w:rFonts w:ascii="Times New Roman" w:hAnsi="Times New Roman" w:cs="Times New Roman"/>
          <w:iCs/>
          <w:sz w:val="24"/>
          <w:szCs w:val="24"/>
        </w:rPr>
      </w:pPr>
      <w:r w:rsidRPr="00034701">
        <w:rPr>
          <w:rFonts w:ascii="Times New Roman" w:hAnsi="Times New Roman" w:cs="Times New Roman"/>
          <w:iCs/>
          <w:sz w:val="24"/>
          <w:szCs w:val="24"/>
        </w:rPr>
        <w:t xml:space="preserve">W 2022 r. w ramach prowadzonych czynności z art. 10b nie wykorzystywano bezzałogowego statku powietrznego. Najczęściej wykorzystywanym środkiem technicznym były pojazdy służbowe, aparaty fotograficzne, dalmierze oraz w jednym przypadku </w:t>
      </w:r>
      <w:proofErr w:type="spellStart"/>
      <w:r w:rsidRPr="00034701">
        <w:rPr>
          <w:rFonts w:ascii="Times New Roman" w:hAnsi="Times New Roman" w:cs="Times New Roman"/>
          <w:iCs/>
          <w:sz w:val="24"/>
          <w:szCs w:val="24"/>
        </w:rPr>
        <w:t>fotopułapka</w:t>
      </w:r>
      <w:proofErr w:type="spellEnd"/>
      <w:r w:rsidRPr="00034701">
        <w:rPr>
          <w:rFonts w:ascii="Times New Roman" w:hAnsi="Times New Roman" w:cs="Times New Roman"/>
          <w:iCs/>
          <w:sz w:val="24"/>
          <w:szCs w:val="24"/>
        </w:rPr>
        <w:t>.</w:t>
      </w:r>
    </w:p>
    <w:p w14:paraId="2885E39C" w14:textId="12184979" w:rsidR="00980757" w:rsidRDefault="00980757" w:rsidP="00034701">
      <w:pPr>
        <w:spacing w:line="300" w:lineRule="atLeast"/>
        <w:contextualSpacing/>
        <w:jc w:val="both"/>
        <w:rPr>
          <w:rFonts w:ascii="Times New Roman" w:hAnsi="Times New Roman" w:cs="Times New Roman"/>
          <w:i/>
          <w:color w:val="4472C4"/>
          <w:sz w:val="24"/>
          <w:szCs w:val="24"/>
        </w:rPr>
      </w:pPr>
    </w:p>
    <w:p w14:paraId="48C76D17" w14:textId="77777777" w:rsidR="001E735D" w:rsidRPr="00034701" w:rsidRDefault="001E735D" w:rsidP="00034701">
      <w:pPr>
        <w:spacing w:line="300" w:lineRule="atLeast"/>
        <w:contextualSpacing/>
        <w:jc w:val="both"/>
        <w:rPr>
          <w:rFonts w:ascii="Times New Roman" w:hAnsi="Times New Roman" w:cs="Times New Roman"/>
          <w:i/>
          <w:color w:val="4472C4"/>
          <w:sz w:val="24"/>
          <w:szCs w:val="24"/>
        </w:rPr>
      </w:pPr>
    </w:p>
    <w:p w14:paraId="202A8FD7" w14:textId="77777777" w:rsidR="00034701" w:rsidRPr="00034701" w:rsidRDefault="00034701" w:rsidP="001E735D">
      <w:pPr>
        <w:spacing w:after="60" w:line="300" w:lineRule="atLeast"/>
        <w:jc w:val="both"/>
        <w:rPr>
          <w:rFonts w:ascii="Times New Roman" w:hAnsi="Times New Roman" w:cs="Times New Roman"/>
          <w:i/>
          <w:color w:val="4472C4"/>
          <w:sz w:val="24"/>
          <w:szCs w:val="24"/>
        </w:rPr>
      </w:pPr>
      <w:r w:rsidRPr="00034701">
        <w:rPr>
          <w:rFonts w:ascii="Times New Roman" w:hAnsi="Times New Roman" w:cs="Times New Roman"/>
          <w:i/>
          <w:color w:val="4472C4"/>
          <w:sz w:val="24"/>
          <w:szCs w:val="24"/>
        </w:rPr>
        <w:lastRenderedPageBreak/>
        <w:t>Wojewódzki Inspektorat Ochrony Środowiska w Opolu</w:t>
      </w:r>
    </w:p>
    <w:p w14:paraId="1BDCF0A4" w14:textId="7933DDFD" w:rsidR="00034701" w:rsidRPr="00034701" w:rsidRDefault="00034701" w:rsidP="001E735D">
      <w:pPr>
        <w:spacing w:after="60" w:line="300" w:lineRule="atLeast"/>
        <w:ind w:firstLine="567"/>
        <w:jc w:val="both"/>
        <w:rPr>
          <w:rFonts w:ascii="Times New Roman" w:hAnsi="Times New Roman" w:cs="Times New Roman"/>
          <w:sz w:val="24"/>
          <w:szCs w:val="24"/>
        </w:rPr>
      </w:pPr>
      <w:r w:rsidRPr="00034701">
        <w:rPr>
          <w:rFonts w:ascii="Times New Roman" w:hAnsi="Times New Roman" w:cs="Times New Roman"/>
          <w:sz w:val="24"/>
          <w:szCs w:val="24"/>
        </w:rPr>
        <w:t xml:space="preserve">Zadania w zakresie zwalczania przestępstw i wykroczeń przeciwko środowisku realizowane przez WIOŚ w Opolu na podstawie uprawnień wynikających z art. 10b ustawy </w:t>
      </w:r>
      <w:r w:rsidR="00FB10B2">
        <w:rPr>
          <w:rFonts w:ascii="Times New Roman" w:hAnsi="Times New Roman" w:cs="Times New Roman"/>
          <w:sz w:val="24"/>
          <w:szCs w:val="24"/>
        </w:rPr>
        <w:br/>
      </w:r>
      <w:r w:rsidRPr="00034701">
        <w:rPr>
          <w:rFonts w:ascii="Times New Roman" w:hAnsi="Times New Roman" w:cs="Times New Roman"/>
          <w:sz w:val="24"/>
          <w:szCs w:val="24"/>
        </w:rPr>
        <w:t>o Inspekcji Ochrony Środowiska wiążą się z prowadzeniem działań analitycznymi. Działania te polegają m. in. na:</w:t>
      </w:r>
    </w:p>
    <w:p w14:paraId="06088CA3" w14:textId="4D6068E8" w:rsidR="00034701" w:rsidRPr="00095CA3" w:rsidRDefault="00034701" w:rsidP="00D34F97">
      <w:pPr>
        <w:pStyle w:val="Akapitzlist"/>
        <w:numPr>
          <w:ilvl w:val="0"/>
          <w:numId w:val="260"/>
        </w:numPr>
        <w:spacing w:line="300" w:lineRule="atLeast"/>
        <w:jc w:val="both"/>
        <w:rPr>
          <w:sz w:val="24"/>
          <w:szCs w:val="24"/>
        </w:rPr>
      </w:pPr>
      <w:r w:rsidRPr="00095CA3">
        <w:rPr>
          <w:sz w:val="24"/>
          <w:szCs w:val="24"/>
        </w:rPr>
        <w:t>sprawdzaniu informacji zawartych w posiadanych przez WIOŚ w Opolu zasobach np. w wykazie likwidowanych odkrywkowych zakładów górniczych w województwie opolskim, bazie Informatycznego Systemu Kontroli,</w:t>
      </w:r>
    </w:p>
    <w:p w14:paraId="11080084" w14:textId="55D83DD4" w:rsidR="00034701" w:rsidRPr="00095CA3" w:rsidRDefault="00034701" w:rsidP="00D34F97">
      <w:pPr>
        <w:pStyle w:val="Akapitzlist"/>
        <w:numPr>
          <w:ilvl w:val="0"/>
          <w:numId w:val="260"/>
        </w:numPr>
        <w:spacing w:line="300" w:lineRule="atLeast"/>
        <w:jc w:val="both"/>
        <w:rPr>
          <w:sz w:val="24"/>
          <w:szCs w:val="24"/>
        </w:rPr>
      </w:pPr>
      <w:r w:rsidRPr="00095CA3">
        <w:rPr>
          <w:sz w:val="24"/>
          <w:szCs w:val="24"/>
        </w:rPr>
        <w:t xml:space="preserve">analizie danych zawartych w Bazie danych o produktach i opakowaniach oraz </w:t>
      </w:r>
      <w:r w:rsidR="00FB10B2">
        <w:rPr>
          <w:sz w:val="24"/>
          <w:szCs w:val="24"/>
        </w:rPr>
        <w:br/>
      </w:r>
      <w:r w:rsidRPr="00095CA3">
        <w:rPr>
          <w:sz w:val="24"/>
          <w:szCs w:val="24"/>
        </w:rPr>
        <w:t>o gospodarce odpadami (BDO),</w:t>
      </w:r>
    </w:p>
    <w:p w14:paraId="7B087D60" w14:textId="63C8BEDD" w:rsidR="00034701" w:rsidRPr="00095CA3" w:rsidRDefault="00034701" w:rsidP="00D34F97">
      <w:pPr>
        <w:pStyle w:val="Akapitzlist"/>
        <w:numPr>
          <w:ilvl w:val="0"/>
          <w:numId w:val="260"/>
        </w:numPr>
        <w:spacing w:line="300" w:lineRule="atLeast"/>
        <w:jc w:val="both"/>
        <w:rPr>
          <w:sz w:val="24"/>
          <w:szCs w:val="24"/>
        </w:rPr>
      </w:pPr>
      <w:r w:rsidRPr="00095CA3">
        <w:rPr>
          <w:sz w:val="24"/>
          <w:szCs w:val="24"/>
        </w:rPr>
        <w:t xml:space="preserve">uzyskaniu danych umożliwiających identyfikację wizualną terenów, np. </w:t>
      </w:r>
      <w:r w:rsidR="00FB10B2">
        <w:rPr>
          <w:sz w:val="24"/>
          <w:szCs w:val="24"/>
        </w:rPr>
        <w:br/>
      </w:r>
      <w:r w:rsidRPr="00095CA3">
        <w:rPr>
          <w:sz w:val="24"/>
          <w:szCs w:val="24"/>
        </w:rPr>
        <w:t xml:space="preserve">z wykorzystaniem sieci Internet, </w:t>
      </w:r>
    </w:p>
    <w:p w14:paraId="0FBEB946" w14:textId="3A968CE7" w:rsidR="00034701" w:rsidRPr="00095CA3" w:rsidRDefault="00034701" w:rsidP="00D34F97">
      <w:pPr>
        <w:pStyle w:val="Akapitzlist"/>
        <w:numPr>
          <w:ilvl w:val="0"/>
          <w:numId w:val="260"/>
        </w:numPr>
        <w:spacing w:line="300" w:lineRule="atLeast"/>
        <w:jc w:val="both"/>
        <w:rPr>
          <w:sz w:val="24"/>
          <w:szCs w:val="24"/>
        </w:rPr>
      </w:pPr>
      <w:r w:rsidRPr="00095CA3">
        <w:rPr>
          <w:sz w:val="24"/>
          <w:szCs w:val="24"/>
        </w:rPr>
        <w:t>identyfikacj</w:t>
      </w:r>
      <w:r w:rsidR="00FB10B2">
        <w:rPr>
          <w:sz w:val="24"/>
          <w:szCs w:val="24"/>
          <w:lang w:val="pl-PL"/>
        </w:rPr>
        <w:t>i</w:t>
      </w:r>
      <w:r w:rsidRPr="00095CA3">
        <w:rPr>
          <w:sz w:val="24"/>
          <w:szCs w:val="24"/>
        </w:rPr>
        <w:t xml:space="preserve"> podmiotów oraz ustaleniu ich stanu formalno-prawnego w celu zebrania informacji niezbędnych do podjęcia działań. </w:t>
      </w:r>
    </w:p>
    <w:p w14:paraId="1D003519" w14:textId="77777777" w:rsidR="00034701" w:rsidRPr="00034701" w:rsidRDefault="00034701" w:rsidP="00034701">
      <w:pPr>
        <w:spacing w:line="300" w:lineRule="atLeast"/>
        <w:contextualSpacing/>
        <w:jc w:val="both"/>
        <w:rPr>
          <w:rFonts w:ascii="Times New Roman" w:hAnsi="Times New Roman" w:cs="Times New Roman"/>
          <w:i/>
          <w:color w:val="4472C4"/>
          <w:sz w:val="24"/>
          <w:szCs w:val="24"/>
        </w:rPr>
      </w:pPr>
    </w:p>
    <w:p w14:paraId="2C01CD69" w14:textId="77777777" w:rsidR="00034701" w:rsidRPr="00034701" w:rsidRDefault="00034701" w:rsidP="00FB10B2">
      <w:pPr>
        <w:spacing w:after="60" w:line="300" w:lineRule="atLeast"/>
        <w:jc w:val="both"/>
        <w:rPr>
          <w:rFonts w:ascii="Times New Roman" w:hAnsi="Times New Roman" w:cs="Times New Roman"/>
          <w:i/>
          <w:color w:val="4472C4"/>
          <w:sz w:val="24"/>
          <w:szCs w:val="24"/>
        </w:rPr>
      </w:pPr>
      <w:r w:rsidRPr="00034701">
        <w:rPr>
          <w:rFonts w:ascii="Times New Roman" w:hAnsi="Times New Roman" w:cs="Times New Roman"/>
          <w:i/>
          <w:color w:val="4472C4"/>
          <w:sz w:val="24"/>
          <w:szCs w:val="24"/>
        </w:rPr>
        <w:t>Wojewódzki Inspektorat Ochrony Środowiska w Poznaniu</w:t>
      </w:r>
    </w:p>
    <w:p w14:paraId="5C31FA01" w14:textId="1C4BE71E" w:rsidR="00034701" w:rsidRPr="00034701" w:rsidRDefault="00034701" w:rsidP="00980757">
      <w:pPr>
        <w:spacing w:line="300" w:lineRule="atLeast"/>
        <w:ind w:firstLine="567"/>
        <w:contextualSpacing/>
        <w:jc w:val="both"/>
        <w:rPr>
          <w:rFonts w:ascii="Times New Roman" w:hAnsi="Times New Roman" w:cs="Times New Roman"/>
          <w:sz w:val="24"/>
          <w:szCs w:val="24"/>
        </w:rPr>
      </w:pPr>
      <w:r w:rsidRPr="00034701">
        <w:rPr>
          <w:rFonts w:ascii="Times New Roman" w:hAnsi="Times New Roman" w:cs="Times New Roman"/>
          <w:sz w:val="24"/>
          <w:szCs w:val="24"/>
        </w:rPr>
        <w:t xml:space="preserve">Działania analityczne prowadzone przy realizacji zadań przez WIOŚ sprowadzały się głównie do analizy danych zawartych w BDO (bezpośrednio z systemu bądź z wykorzystaniem analizy sporządzonej przez DZPŚ GIOŚ). Analizie poddawane były także dane pozyskane </w:t>
      </w:r>
      <w:r w:rsidR="00FB10B2">
        <w:rPr>
          <w:rFonts w:ascii="Times New Roman" w:hAnsi="Times New Roman" w:cs="Times New Roman"/>
          <w:sz w:val="24"/>
          <w:szCs w:val="24"/>
        </w:rPr>
        <w:br/>
      </w:r>
      <w:r w:rsidRPr="00034701">
        <w:rPr>
          <w:rFonts w:ascii="Times New Roman" w:hAnsi="Times New Roman" w:cs="Times New Roman"/>
          <w:sz w:val="24"/>
          <w:szCs w:val="24"/>
        </w:rPr>
        <w:t>z CEPIK (wybrani inspektorzy w 2022 r. otrzymali dostęp do bazy CEPIK), a także dane zawarte w</w:t>
      </w:r>
      <w:r w:rsidRPr="00034701">
        <w:rPr>
          <w:rFonts w:ascii="Times New Roman" w:hAnsi="Times New Roman" w:cs="Times New Roman"/>
          <w:b/>
          <w:bCs/>
          <w:sz w:val="24"/>
          <w:szCs w:val="24"/>
        </w:rPr>
        <w:t xml:space="preserve"> </w:t>
      </w:r>
      <w:r w:rsidRPr="00034701">
        <w:rPr>
          <w:rFonts w:ascii="Times New Roman" w:hAnsi="Times New Roman" w:cs="Times New Roman"/>
          <w:bCs/>
          <w:sz w:val="24"/>
          <w:szCs w:val="24"/>
        </w:rPr>
        <w:t>Rejestrze Transgranicznego Przemieszczania Odpadów</w:t>
      </w:r>
      <w:r w:rsidRPr="00034701">
        <w:rPr>
          <w:rFonts w:ascii="Times New Roman" w:hAnsi="Times New Roman" w:cs="Times New Roman"/>
          <w:sz w:val="24"/>
          <w:szCs w:val="24"/>
        </w:rPr>
        <w:t xml:space="preserve"> (rejestr zgłoszeń i decyzji </w:t>
      </w:r>
      <w:r w:rsidR="00FB10B2">
        <w:rPr>
          <w:rFonts w:ascii="Times New Roman" w:hAnsi="Times New Roman" w:cs="Times New Roman"/>
          <w:sz w:val="24"/>
          <w:szCs w:val="24"/>
        </w:rPr>
        <w:br/>
      </w:r>
      <w:r w:rsidRPr="00034701">
        <w:rPr>
          <w:rFonts w:ascii="Times New Roman" w:hAnsi="Times New Roman" w:cs="Times New Roman"/>
          <w:sz w:val="24"/>
          <w:szCs w:val="24"/>
        </w:rPr>
        <w:t xml:space="preserve">w zakresie międzynarodowego przemieszczania odpadów – przywóz do Polski, wywóz z Polski oraz tranzyt przez terytorium kraju), rejestrze instalacji, którym udzielono zezwolenia wstępnego. W sprawach szczegółowych WIOŚ występuje do </w:t>
      </w:r>
      <w:r w:rsidR="00FB10B2">
        <w:rPr>
          <w:rFonts w:ascii="Times New Roman" w:hAnsi="Times New Roman" w:cs="Times New Roman"/>
          <w:sz w:val="24"/>
          <w:szCs w:val="24"/>
        </w:rPr>
        <w:t xml:space="preserve">innych </w:t>
      </w:r>
      <w:r w:rsidRPr="00034701">
        <w:rPr>
          <w:rFonts w:ascii="Times New Roman" w:hAnsi="Times New Roman" w:cs="Times New Roman"/>
          <w:sz w:val="24"/>
          <w:szCs w:val="24"/>
        </w:rPr>
        <w:t>organów tj. KAS, Policj</w:t>
      </w:r>
      <w:r w:rsidR="00FB10B2">
        <w:rPr>
          <w:rFonts w:ascii="Times New Roman" w:hAnsi="Times New Roman" w:cs="Times New Roman"/>
          <w:sz w:val="24"/>
          <w:szCs w:val="24"/>
        </w:rPr>
        <w:t>i</w:t>
      </w:r>
      <w:r w:rsidRPr="00034701">
        <w:rPr>
          <w:rFonts w:ascii="Times New Roman" w:hAnsi="Times New Roman" w:cs="Times New Roman"/>
          <w:sz w:val="24"/>
          <w:szCs w:val="24"/>
        </w:rPr>
        <w:t xml:space="preserve"> w ramach współpracy między organami. </w:t>
      </w:r>
    </w:p>
    <w:p w14:paraId="0450CF6F" w14:textId="77777777" w:rsidR="00034701" w:rsidRPr="00034701" w:rsidRDefault="00034701" w:rsidP="00034701">
      <w:pPr>
        <w:spacing w:line="300" w:lineRule="atLeast"/>
        <w:contextualSpacing/>
        <w:jc w:val="both"/>
        <w:rPr>
          <w:rFonts w:ascii="Times New Roman" w:hAnsi="Times New Roman" w:cs="Times New Roman"/>
          <w:i/>
          <w:color w:val="4472C4"/>
          <w:sz w:val="24"/>
          <w:szCs w:val="24"/>
        </w:rPr>
      </w:pPr>
    </w:p>
    <w:p w14:paraId="2B328B59" w14:textId="77777777" w:rsidR="00034701" w:rsidRPr="00034701" w:rsidRDefault="00034701" w:rsidP="00FB10B2">
      <w:pPr>
        <w:spacing w:after="60" w:line="300" w:lineRule="atLeast"/>
        <w:jc w:val="both"/>
        <w:rPr>
          <w:rFonts w:ascii="Times New Roman" w:hAnsi="Times New Roman" w:cs="Times New Roman"/>
          <w:i/>
          <w:color w:val="4472C4"/>
          <w:sz w:val="24"/>
          <w:szCs w:val="24"/>
        </w:rPr>
      </w:pPr>
      <w:r w:rsidRPr="00034701">
        <w:rPr>
          <w:rFonts w:ascii="Times New Roman" w:hAnsi="Times New Roman" w:cs="Times New Roman"/>
          <w:i/>
          <w:color w:val="4472C4"/>
          <w:sz w:val="24"/>
          <w:szCs w:val="24"/>
        </w:rPr>
        <w:t>Wojewódzki Inspektorat Ochrony Środowiska w Rzeszowie</w:t>
      </w:r>
    </w:p>
    <w:p w14:paraId="4D18ADBF" w14:textId="28807B80" w:rsidR="00034701" w:rsidRPr="00034701" w:rsidRDefault="00034701" w:rsidP="001E735D">
      <w:pPr>
        <w:autoSpaceDE w:val="0"/>
        <w:autoSpaceDN w:val="0"/>
        <w:adjustRightInd w:val="0"/>
        <w:spacing w:after="60" w:line="300" w:lineRule="atLeast"/>
        <w:ind w:firstLine="567"/>
        <w:jc w:val="both"/>
        <w:rPr>
          <w:rFonts w:ascii="Times New Roman" w:hAnsi="Times New Roman" w:cs="Times New Roman"/>
          <w:sz w:val="24"/>
          <w:szCs w:val="24"/>
        </w:rPr>
      </w:pPr>
      <w:r w:rsidRPr="00034701">
        <w:rPr>
          <w:rFonts w:ascii="Times New Roman" w:hAnsi="Times New Roman" w:cs="Times New Roman"/>
          <w:sz w:val="24"/>
          <w:szCs w:val="24"/>
        </w:rPr>
        <w:t xml:space="preserve">Podczas wykonywanych czynności prowadzono 50 działań analitycznych w siedzibie WIOŚ w Rzeszowie, za pomocą dostępu do systemu BDO, w zakresie weryfikowania danych zawartych w Rejestrze w KPO/KPOK oraz sprawozdawczości w odniesieniu do podmiotów podejrzanych o popełnienie przestępstwa lub wykroczenia przeciwko środowisku. Podczas wykonywanych czynności prowadzono 50 działań analitycznych w siedzibie WIOŚ </w:t>
      </w:r>
      <w:r w:rsidR="002502A9">
        <w:rPr>
          <w:rFonts w:ascii="Times New Roman" w:hAnsi="Times New Roman" w:cs="Times New Roman"/>
          <w:sz w:val="24"/>
          <w:szCs w:val="24"/>
        </w:rPr>
        <w:br/>
      </w:r>
      <w:r w:rsidRPr="00034701">
        <w:rPr>
          <w:rFonts w:ascii="Times New Roman" w:hAnsi="Times New Roman" w:cs="Times New Roman"/>
          <w:sz w:val="24"/>
          <w:szCs w:val="24"/>
        </w:rPr>
        <w:t>w Rzeszowie, za pomocą rozszerzonego dostępu do systemu BDO, w zakresie weryfikowania danych zawartych w Rejestrze w KPO/KPOK oraz sprawozdawczości w odniesieniu do podmiotów podejrzanych o popełnienie przestępstwa lub wykroczenia przeciwko środowisku.</w:t>
      </w:r>
    </w:p>
    <w:p w14:paraId="46CE5F1D" w14:textId="77777777" w:rsidR="00034701" w:rsidRPr="00034701" w:rsidRDefault="00034701" w:rsidP="00034701">
      <w:pPr>
        <w:spacing w:line="300" w:lineRule="atLeast"/>
        <w:contextualSpacing/>
        <w:jc w:val="both"/>
        <w:rPr>
          <w:rFonts w:ascii="Times New Roman" w:hAnsi="Times New Roman" w:cs="Times New Roman"/>
          <w:i/>
          <w:color w:val="4472C4"/>
          <w:sz w:val="24"/>
          <w:szCs w:val="24"/>
        </w:rPr>
      </w:pPr>
    </w:p>
    <w:p w14:paraId="7623B67F" w14:textId="77777777" w:rsidR="00034701" w:rsidRPr="00034701" w:rsidRDefault="00034701" w:rsidP="00FB10B2">
      <w:pPr>
        <w:spacing w:after="60" w:line="300" w:lineRule="atLeast"/>
        <w:jc w:val="both"/>
        <w:rPr>
          <w:rFonts w:ascii="Times New Roman" w:hAnsi="Times New Roman" w:cs="Times New Roman"/>
          <w:i/>
          <w:color w:val="4472C4"/>
          <w:sz w:val="24"/>
          <w:szCs w:val="24"/>
        </w:rPr>
      </w:pPr>
      <w:r w:rsidRPr="00034701">
        <w:rPr>
          <w:rFonts w:ascii="Times New Roman" w:hAnsi="Times New Roman" w:cs="Times New Roman"/>
          <w:i/>
          <w:color w:val="4472C4"/>
          <w:sz w:val="24"/>
          <w:szCs w:val="24"/>
        </w:rPr>
        <w:t>Wojewódzki Inspektorat Ochrony Środowiska w Szczecinie</w:t>
      </w:r>
    </w:p>
    <w:p w14:paraId="59B678A6" w14:textId="77777777" w:rsidR="00980757" w:rsidRDefault="00034701" w:rsidP="001E735D">
      <w:pPr>
        <w:autoSpaceDE w:val="0"/>
        <w:autoSpaceDN w:val="0"/>
        <w:adjustRightInd w:val="0"/>
        <w:spacing w:line="300" w:lineRule="atLeast"/>
        <w:ind w:firstLine="567"/>
        <w:contextualSpacing/>
        <w:jc w:val="both"/>
        <w:rPr>
          <w:rFonts w:ascii="Times New Roman" w:hAnsi="Times New Roman" w:cs="Times New Roman"/>
          <w:sz w:val="24"/>
          <w:szCs w:val="24"/>
        </w:rPr>
      </w:pPr>
      <w:r w:rsidRPr="00034701">
        <w:rPr>
          <w:rFonts w:ascii="Times New Roman" w:hAnsi="Times New Roman" w:cs="Times New Roman"/>
          <w:sz w:val="24"/>
          <w:szCs w:val="24"/>
        </w:rPr>
        <w:t xml:space="preserve">W jednym przypadku w związku ze stwierdzonymi nieprawidłowościami w ramach przeprowadzonych oględzin terenu </w:t>
      </w:r>
      <w:proofErr w:type="spellStart"/>
      <w:r w:rsidRPr="00034701">
        <w:rPr>
          <w:rFonts w:ascii="Times New Roman" w:hAnsi="Times New Roman" w:cs="Times New Roman"/>
          <w:sz w:val="24"/>
          <w:szCs w:val="24"/>
        </w:rPr>
        <w:t>próbobiorcy</w:t>
      </w:r>
      <w:proofErr w:type="spellEnd"/>
      <w:r w:rsidRPr="00034701">
        <w:rPr>
          <w:rFonts w:ascii="Times New Roman" w:hAnsi="Times New Roman" w:cs="Times New Roman"/>
          <w:sz w:val="24"/>
          <w:szCs w:val="24"/>
        </w:rPr>
        <w:t xml:space="preserve"> CLB GIOŚ O/Szczecin pobrali próbki wody w związku z podejrzeniem zanieczyszczenia substancjami ropopochodnymi. </w:t>
      </w:r>
    </w:p>
    <w:p w14:paraId="531D139B" w14:textId="337990D8" w:rsidR="00034701" w:rsidRPr="00034701" w:rsidRDefault="00034701" w:rsidP="001E735D">
      <w:pPr>
        <w:autoSpaceDE w:val="0"/>
        <w:autoSpaceDN w:val="0"/>
        <w:adjustRightInd w:val="0"/>
        <w:spacing w:line="300" w:lineRule="atLeast"/>
        <w:ind w:firstLine="567"/>
        <w:contextualSpacing/>
        <w:jc w:val="both"/>
        <w:rPr>
          <w:rFonts w:ascii="Times New Roman" w:hAnsi="Times New Roman" w:cs="Times New Roman"/>
          <w:sz w:val="24"/>
          <w:szCs w:val="24"/>
        </w:rPr>
      </w:pPr>
      <w:r w:rsidRPr="00034701">
        <w:rPr>
          <w:rFonts w:ascii="Times New Roman" w:hAnsi="Times New Roman" w:cs="Times New Roman"/>
          <w:sz w:val="24"/>
          <w:szCs w:val="24"/>
        </w:rPr>
        <w:t>Ponadto w 11 przypadkach prowadzono analizę bazy BDO w celu określenia prawidłowości prowadzenia gospodarki odpadami i posiadanych uregulowań formalnoprawnych.</w:t>
      </w:r>
    </w:p>
    <w:p w14:paraId="1D8609B0" w14:textId="77777777" w:rsidR="00034701" w:rsidRPr="00034701" w:rsidRDefault="00034701" w:rsidP="00034701">
      <w:pPr>
        <w:spacing w:line="300" w:lineRule="atLeast"/>
        <w:contextualSpacing/>
        <w:jc w:val="both"/>
        <w:rPr>
          <w:rFonts w:ascii="Times New Roman" w:hAnsi="Times New Roman" w:cs="Times New Roman"/>
          <w:i/>
          <w:color w:val="4472C4"/>
          <w:sz w:val="24"/>
          <w:szCs w:val="24"/>
        </w:rPr>
      </w:pPr>
    </w:p>
    <w:p w14:paraId="3A2E5963" w14:textId="77777777" w:rsidR="00034701" w:rsidRPr="00034701" w:rsidRDefault="00034701" w:rsidP="00980757">
      <w:pPr>
        <w:spacing w:after="60" w:line="300" w:lineRule="atLeast"/>
        <w:jc w:val="both"/>
        <w:rPr>
          <w:rFonts w:ascii="Times New Roman" w:hAnsi="Times New Roman" w:cs="Times New Roman"/>
          <w:i/>
          <w:color w:val="4472C4"/>
          <w:sz w:val="24"/>
          <w:szCs w:val="24"/>
        </w:rPr>
      </w:pPr>
      <w:r w:rsidRPr="00034701">
        <w:rPr>
          <w:rFonts w:ascii="Times New Roman" w:hAnsi="Times New Roman" w:cs="Times New Roman"/>
          <w:i/>
          <w:color w:val="4472C4"/>
          <w:sz w:val="24"/>
          <w:szCs w:val="24"/>
        </w:rPr>
        <w:t>Wojewódzki Inspektorat Ochrony Środowiska w Warszawie</w:t>
      </w:r>
    </w:p>
    <w:p w14:paraId="1F280A80" w14:textId="282DDFD1" w:rsidR="00034701" w:rsidRPr="00034701" w:rsidRDefault="00034701" w:rsidP="00980757">
      <w:pPr>
        <w:spacing w:line="300" w:lineRule="atLeast"/>
        <w:ind w:firstLine="567"/>
        <w:contextualSpacing/>
        <w:jc w:val="both"/>
        <w:rPr>
          <w:rFonts w:ascii="Times New Roman" w:hAnsi="Times New Roman" w:cs="Times New Roman"/>
          <w:sz w:val="24"/>
          <w:szCs w:val="24"/>
        </w:rPr>
      </w:pPr>
      <w:r w:rsidRPr="00034701">
        <w:rPr>
          <w:rFonts w:ascii="Times New Roman" w:hAnsi="Times New Roman" w:cs="Times New Roman"/>
          <w:sz w:val="24"/>
          <w:szCs w:val="24"/>
        </w:rPr>
        <w:lastRenderedPageBreak/>
        <w:t xml:space="preserve">Podczas praktycznie wszystkich czynności wykonywanych w trybie art. 10b ustawy o IOŚ zespoły przed podjęciem działań w terenie przeprowadzają czynności analityczne z wykorzystaniem informacji zgromadzonych w następujących bazach danych: ISK, BDO, KRS, </w:t>
      </w:r>
      <w:proofErr w:type="spellStart"/>
      <w:r w:rsidRPr="00034701">
        <w:rPr>
          <w:rFonts w:ascii="Times New Roman" w:hAnsi="Times New Roman" w:cs="Times New Roman"/>
          <w:sz w:val="24"/>
          <w:szCs w:val="24"/>
        </w:rPr>
        <w:t>CEiDG</w:t>
      </w:r>
      <w:proofErr w:type="spellEnd"/>
      <w:r w:rsidRPr="00034701">
        <w:rPr>
          <w:rFonts w:ascii="Times New Roman" w:hAnsi="Times New Roman" w:cs="Times New Roman"/>
          <w:sz w:val="24"/>
          <w:szCs w:val="24"/>
        </w:rPr>
        <w:t xml:space="preserve">, PESEL, KOBIZE, </w:t>
      </w:r>
      <w:proofErr w:type="spellStart"/>
      <w:r w:rsidRPr="00034701">
        <w:rPr>
          <w:rFonts w:ascii="Times New Roman" w:hAnsi="Times New Roman" w:cs="Times New Roman"/>
          <w:sz w:val="24"/>
          <w:szCs w:val="24"/>
        </w:rPr>
        <w:t>Geoportal</w:t>
      </w:r>
      <w:proofErr w:type="spellEnd"/>
      <w:r w:rsidRPr="00034701">
        <w:rPr>
          <w:rFonts w:ascii="Times New Roman" w:hAnsi="Times New Roman" w:cs="Times New Roman"/>
          <w:sz w:val="24"/>
          <w:szCs w:val="24"/>
        </w:rPr>
        <w:t xml:space="preserve">, Google </w:t>
      </w:r>
      <w:proofErr w:type="spellStart"/>
      <w:r w:rsidRPr="00034701">
        <w:rPr>
          <w:rFonts w:ascii="Times New Roman" w:hAnsi="Times New Roman" w:cs="Times New Roman"/>
          <w:sz w:val="24"/>
          <w:szCs w:val="24"/>
        </w:rPr>
        <w:t>maps</w:t>
      </w:r>
      <w:proofErr w:type="spellEnd"/>
      <w:r w:rsidRPr="00034701">
        <w:rPr>
          <w:rFonts w:ascii="Times New Roman" w:hAnsi="Times New Roman" w:cs="Times New Roman"/>
          <w:sz w:val="24"/>
          <w:szCs w:val="24"/>
        </w:rPr>
        <w:t>. Ponadto jest również weryfikowany system monitoringu wizyjnego, a także w uzasadnionych przypadkach zlecane są działania analityczne wyspecjalizowanym instytucjom.</w:t>
      </w:r>
    </w:p>
    <w:p w14:paraId="5E279AAD" w14:textId="77777777" w:rsidR="00034701" w:rsidRPr="00034701" w:rsidRDefault="00034701" w:rsidP="00034701">
      <w:pPr>
        <w:spacing w:line="300" w:lineRule="atLeast"/>
        <w:contextualSpacing/>
        <w:jc w:val="both"/>
        <w:rPr>
          <w:rFonts w:ascii="Times New Roman" w:hAnsi="Times New Roman" w:cs="Times New Roman"/>
          <w:sz w:val="24"/>
          <w:szCs w:val="24"/>
        </w:rPr>
      </w:pPr>
    </w:p>
    <w:p w14:paraId="3065D84F" w14:textId="77777777" w:rsidR="00034701" w:rsidRPr="00034701" w:rsidRDefault="00034701" w:rsidP="00980757">
      <w:pPr>
        <w:spacing w:after="60" w:line="300" w:lineRule="atLeast"/>
        <w:rPr>
          <w:rFonts w:ascii="Times New Roman" w:hAnsi="Times New Roman" w:cs="Times New Roman"/>
          <w:i/>
          <w:color w:val="4472C4"/>
          <w:sz w:val="24"/>
          <w:szCs w:val="24"/>
        </w:rPr>
      </w:pPr>
      <w:r w:rsidRPr="00034701">
        <w:rPr>
          <w:rFonts w:ascii="Times New Roman" w:hAnsi="Times New Roman" w:cs="Times New Roman"/>
          <w:i/>
          <w:color w:val="4472C4"/>
          <w:sz w:val="24"/>
          <w:szCs w:val="24"/>
        </w:rPr>
        <w:t>Wojewódzki Inspektorat Ochrony Środowiska we Wrocławiu</w:t>
      </w:r>
    </w:p>
    <w:p w14:paraId="4E281309" w14:textId="6E8AD337" w:rsidR="00034701" w:rsidRPr="00034701" w:rsidRDefault="00034701" w:rsidP="006057A8">
      <w:pPr>
        <w:spacing w:after="60" w:line="300" w:lineRule="atLeast"/>
        <w:ind w:firstLine="567"/>
        <w:jc w:val="both"/>
        <w:rPr>
          <w:rFonts w:ascii="Times New Roman" w:hAnsi="Times New Roman" w:cs="Times New Roman"/>
          <w:sz w:val="24"/>
          <w:szCs w:val="24"/>
        </w:rPr>
      </w:pPr>
      <w:r w:rsidRPr="00034701">
        <w:rPr>
          <w:rFonts w:ascii="Times New Roman" w:hAnsi="Times New Roman" w:cs="Times New Roman"/>
          <w:sz w:val="24"/>
          <w:szCs w:val="24"/>
        </w:rPr>
        <w:t>Inspektorzy Wydziału/Działów Inspekcji w 2022 roku w trybie art.10 b ustawy i IOŚ rozpatrzyli 199 spraw. W związku z nimi przeprowadzili:</w:t>
      </w:r>
    </w:p>
    <w:p w14:paraId="726F0CEB" w14:textId="17A042FB" w:rsidR="00034701" w:rsidRPr="00980757" w:rsidRDefault="00034701" w:rsidP="00D34F97">
      <w:pPr>
        <w:pStyle w:val="Akapitzlist"/>
        <w:numPr>
          <w:ilvl w:val="0"/>
          <w:numId w:val="261"/>
        </w:numPr>
        <w:spacing w:line="300" w:lineRule="atLeast"/>
        <w:jc w:val="both"/>
        <w:rPr>
          <w:sz w:val="24"/>
          <w:szCs w:val="24"/>
        </w:rPr>
      </w:pPr>
      <w:r w:rsidRPr="00980757">
        <w:rPr>
          <w:sz w:val="24"/>
          <w:szCs w:val="24"/>
        </w:rPr>
        <w:t>162 obserwacje,  w tym z wykorzystaniem bezzałogowych statków powietrznych,</w:t>
      </w:r>
    </w:p>
    <w:p w14:paraId="294F8C9B" w14:textId="13927C43" w:rsidR="00034701" w:rsidRPr="00980757" w:rsidRDefault="00034701" w:rsidP="00D34F97">
      <w:pPr>
        <w:pStyle w:val="Akapitzlist"/>
        <w:numPr>
          <w:ilvl w:val="0"/>
          <w:numId w:val="261"/>
        </w:numPr>
        <w:spacing w:line="300" w:lineRule="atLeast"/>
        <w:jc w:val="both"/>
        <w:rPr>
          <w:sz w:val="24"/>
          <w:szCs w:val="24"/>
        </w:rPr>
      </w:pPr>
      <w:r w:rsidRPr="00980757">
        <w:rPr>
          <w:sz w:val="24"/>
          <w:szCs w:val="24"/>
        </w:rPr>
        <w:t>84 razy zgromadzili i zabezpieczyli dowody popełnienia przestępstwa lub wykroczenia,</w:t>
      </w:r>
    </w:p>
    <w:p w14:paraId="6BD1EC40" w14:textId="5ED5DE5D" w:rsidR="00034701" w:rsidRPr="00980757" w:rsidRDefault="00034701" w:rsidP="00D34F97">
      <w:pPr>
        <w:pStyle w:val="Akapitzlist"/>
        <w:numPr>
          <w:ilvl w:val="0"/>
          <w:numId w:val="261"/>
        </w:numPr>
        <w:spacing w:line="300" w:lineRule="atLeast"/>
        <w:jc w:val="both"/>
        <w:rPr>
          <w:sz w:val="24"/>
          <w:szCs w:val="24"/>
        </w:rPr>
      </w:pPr>
      <w:r w:rsidRPr="00980757">
        <w:rPr>
          <w:sz w:val="24"/>
          <w:szCs w:val="24"/>
        </w:rPr>
        <w:t xml:space="preserve">133 razy  żądali pisemnych lub ustnych informacji oraz przesłuchiwali osoby w zakresie niezbędnym dla ustalenia stanu faktycznego przy jednoczesnym pouczeniu ich </w:t>
      </w:r>
      <w:r w:rsidR="00980757">
        <w:rPr>
          <w:sz w:val="24"/>
          <w:szCs w:val="24"/>
        </w:rPr>
        <w:br/>
      </w:r>
      <w:r w:rsidRPr="00980757">
        <w:rPr>
          <w:sz w:val="24"/>
          <w:szCs w:val="24"/>
        </w:rPr>
        <w:t>o odpowiedzialności karnej za składanie fałszywych zeznań, o której mowa w Kodeksie karnym,</w:t>
      </w:r>
    </w:p>
    <w:p w14:paraId="6F613A33" w14:textId="27D601B3" w:rsidR="00034701" w:rsidRPr="00980757" w:rsidRDefault="00034701" w:rsidP="00D34F97">
      <w:pPr>
        <w:pStyle w:val="Akapitzlist"/>
        <w:numPr>
          <w:ilvl w:val="0"/>
          <w:numId w:val="261"/>
        </w:numPr>
        <w:spacing w:line="300" w:lineRule="atLeast"/>
        <w:jc w:val="both"/>
        <w:rPr>
          <w:sz w:val="24"/>
          <w:szCs w:val="24"/>
        </w:rPr>
      </w:pPr>
      <w:r w:rsidRPr="00980757">
        <w:rPr>
          <w:sz w:val="24"/>
          <w:szCs w:val="24"/>
        </w:rPr>
        <w:t>73 razy ustalali tożsamości osób oraz żądali okazania dokumentów niezbędnych do wymierzenia grzywny w drodze mandatu karnego lub sporządzeniu wniosku o ukaranie,</w:t>
      </w:r>
    </w:p>
    <w:p w14:paraId="0002A68D" w14:textId="5C994CB9" w:rsidR="00034701" w:rsidRPr="00980757" w:rsidRDefault="00034701" w:rsidP="00D34F97">
      <w:pPr>
        <w:pStyle w:val="Akapitzlist"/>
        <w:numPr>
          <w:ilvl w:val="0"/>
          <w:numId w:val="261"/>
        </w:numPr>
        <w:spacing w:line="300" w:lineRule="atLeast"/>
        <w:jc w:val="both"/>
        <w:rPr>
          <w:sz w:val="24"/>
          <w:szCs w:val="24"/>
        </w:rPr>
      </w:pPr>
      <w:r w:rsidRPr="00980757">
        <w:rPr>
          <w:sz w:val="24"/>
          <w:szCs w:val="24"/>
        </w:rPr>
        <w:t>204 razy dokonywali oględzin pomieszczeń i innych miejsc,</w:t>
      </w:r>
    </w:p>
    <w:p w14:paraId="00BC119E" w14:textId="14392F7B" w:rsidR="00034701" w:rsidRPr="00980757" w:rsidRDefault="00034701" w:rsidP="00D34F97">
      <w:pPr>
        <w:pStyle w:val="Akapitzlist"/>
        <w:numPr>
          <w:ilvl w:val="0"/>
          <w:numId w:val="261"/>
        </w:numPr>
        <w:spacing w:line="300" w:lineRule="atLeast"/>
        <w:jc w:val="both"/>
        <w:rPr>
          <w:sz w:val="24"/>
          <w:szCs w:val="24"/>
        </w:rPr>
      </w:pPr>
      <w:r w:rsidRPr="00980757">
        <w:rPr>
          <w:sz w:val="24"/>
          <w:szCs w:val="24"/>
        </w:rPr>
        <w:t>4-krotnie  zatrzymano lub przeszukiwano pojazdy przewożące towary.</w:t>
      </w:r>
    </w:p>
    <w:p w14:paraId="49FC9C30" w14:textId="420C57A3" w:rsidR="00034701" w:rsidRPr="00034701" w:rsidRDefault="00034701" w:rsidP="006057A8">
      <w:pPr>
        <w:spacing w:line="300" w:lineRule="atLeast"/>
        <w:ind w:firstLine="567"/>
        <w:contextualSpacing/>
        <w:jc w:val="both"/>
        <w:rPr>
          <w:rFonts w:ascii="Times New Roman" w:hAnsi="Times New Roman" w:cs="Times New Roman"/>
          <w:sz w:val="24"/>
          <w:szCs w:val="24"/>
        </w:rPr>
      </w:pPr>
      <w:r w:rsidRPr="00034701">
        <w:rPr>
          <w:rFonts w:ascii="Times New Roman" w:hAnsi="Times New Roman" w:cs="Times New Roman"/>
          <w:sz w:val="24"/>
          <w:szCs w:val="24"/>
        </w:rPr>
        <w:t>Ponadto</w:t>
      </w:r>
      <w:r w:rsidR="00980757">
        <w:rPr>
          <w:rFonts w:ascii="Times New Roman" w:hAnsi="Times New Roman" w:cs="Times New Roman"/>
          <w:sz w:val="24"/>
          <w:szCs w:val="24"/>
        </w:rPr>
        <w:t>,</w:t>
      </w:r>
      <w:r w:rsidRPr="00034701">
        <w:rPr>
          <w:rFonts w:ascii="Times New Roman" w:hAnsi="Times New Roman" w:cs="Times New Roman"/>
          <w:sz w:val="24"/>
          <w:szCs w:val="24"/>
        </w:rPr>
        <w:t xml:space="preserve"> w ramach prowadzonych działań kierowano zlecenia do CLB w celu poboru </w:t>
      </w:r>
      <w:r w:rsidR="00980757">
        <w:rPr>
          <w:rFonts w:ascii="Times New Roman" w:hAnsi="Times New Roman" w:cs="Times New Roman"/>
          <w:sz w:val="24"/>
          <w:szCs w:val="24"/>
        </w:rPr>
        <w:br/>
      </w:r>
      <w:r w:rsidRPr="00034701">
        <w:rPr>
          <w:rFonts w:ascii="Times New Roman" w:hAnsi="Times New Roman" w:cs="Times New Roman"/>
          <w:sz w:val="24"/>
          <w:szCs w:val="24"/>
        </w:rPr>
        <w:t>i wykonania analizy fizykochemicznej i biologicznej próbek wody i ścieków.</w:t>
      </w:r>
    </w:p>
    <w:p w14:paraId="7B00B12D" w14:textId="77777777" w:rsidR="00034701" w:rsidRPr="00034701" w:rsidRDefault="00034701" w:rsidP="00034701">
      <w:pPr>
        <w:spacing w:line="300" w:lineRule="atLeast"/>
        <w:contextualSpacing/>
        <w:jc w:val="both"/>
        <w:rPr>
          <w:rFonts w:ascii="Times New Roman" w:hAnsi="Times New Roman" w:cs="Times New Roman"/>
          <w:sz w:val="24"/>
          <w:szCs w:val="24"/>
        </w:rPr>
      </w:pPr>
      <w:r w:rsidRPr="00034701">
        <w:rPr>
          <w:rFonts w:ascii="Times New Roman" w:hAnsi="Times New Roman" w:cs="Times New Roman"/>
          <w:sz w:val="24"/>
          <w:szCs w:val="24"/>
        </w:rPr>
        <w:t>Inspektorzy Wydziału Zwalczania Przestępczości Środowiskowej rozpatrzyli 101 spraw.</w:t>
      </w:r>
    </w:p>
    <w:p w14:paraId="649A1284" w14:textId="77777777" w:rsidR="00034701" w:rsidRPr="00034701" w:rsidRDefault="00034701" w:rsidP="00034701">
      <w:pPr>
        <w:spacing w:line="300" w:lineRule="atLeast"/>
        <w:contextualSpacing/>
        <w:rPr>
          <w:rFonts w:ascii="Times New Roman" w:hAnsi="Times New Roman" w:cs="Times New Roman"/>
          <w:i/>
          <w:color w:val="4472C4"/>
          <w:sz w:val="24"/>
          <w:szCs w:val="24"/>
        </w:rPr>
      </w:pPr>
    </w:p>
    <w:p w14:paraId="05C545DF" w14:textId="77777777" w:rsidR="00034701" w:rsidRPr="00034701" w:rsidRDefault="00034701" w:rsidP="00980757">
      <w:pPr>
        <w:spacing w:after="60" w:line="300" w:lineRule="atLeast"/>
        <w:rPr>
          <w:rFonts w:ascii="Times New Roman" w:hAnsi="Times New Roman" w:cs="Times New Roman"/>
          <w:i/>
          <w:color w:val="4472C4"/>
          <w:sz w:val="24"/>
          <w:szCs w:val="24"/>
        </w:rPr>
      </w:pPr>
      <w:r w:rsidRPr="00034701">
        <w:rPr>
          <w:rFonts w:ascii="Times New Roman" w:hAnsi="Times New Roman" w:cs="Times New Roman"/>
          <w:i/>
          <w:color w:val="4472C4"/>
          <w:sz w:val="24"/>
          <w:szCs w:val="24"/>
        </w:rPr>
        <w:t>Wojewódzki Inspektorat Ochrony Środowiska w Zielonej Górze</w:t>
      </w:r>
    </w:p>
    <w:p w14:paraId="674B59F4" w14:textId="7C162F69" w:rsidR="00A22034" w:rsidRPr="00034701" w:rsidRDefault="00034701" w:rsidP="006057A8">
      <w:pPr>
        <w:pStyle w:val="Akapitzlist"/>
        <w:spacing w:line="300" w:lineRule="atLeast"/>
        <w:ind w:left="0" w:firstLine="567"/>
        <w:jc w:val="both"/>
        <w:rPr>
          <w:color w:val="000000"/>
          <w:sz w:val="24"/>
          <w:szCs w:val="24"/>
        </w:rPr>
      </w:pPr>
      <w:r w:rsidRPr="00034701">
        <w:rPr>
          <w:sz w:val="24"/>
          <w:szCs w:val="24"/>
        </w:rPr>
        <w:t>W każdej prowadzonej sprawie prowadzone są czynności analityczne zmierzające do rozpoznania całości sprawy, ustalenia kierunków realizacji, np. analiza dokumentacji związanej z gospodarką odpadową podmiotu będącego w zainteresowaniu inspektorów WIOŚ w Zielonej Górze</w:t>
      </w:r>
      <w:r w:rsidR="00A22034" w:rsidRPr="00034701">
        <w:rPr>
          <w:color w:val="000000"/>
          <w:sz w:val="24"/>
          <w:szCs w:val="24"/>
        </w:rPr>
        <w:t>.</w:t>
      </w:r>
    </w:p>
    <w:p w14:paraId="78894B5B" w14:textId="77777777" w:rsidR="00A22034" w:rsidRPr="007F400A" w:rsidRDefault="00A22034" w:rsidP="00A21262">
      <w:pPr>
        <w:pStyle w:val="Akapitzlist"/>
        <w:spacing w:line="300" w:lineRule="atLeast"/>
        <w:ind w:left="0"/>
        <w:jc w:val="both"/>
        <w:rPr>
          <w:color w:val="000000"/>
          <w:sz w:val="24"/>
          <w:szCs w:val="24"/>
        </w:rPr>
      </w:pPr>
    </w:p>
    <w:p w14:paraId="749325A1" w14:textId="77777777" w:rsidR="00A22034" w:rsidRPr="007F400A" w:rsidRDefault="00A22034" w:rsidP="00D34F97">
      <w:pPr>
        <w:pStyle w:val="Akapitzlist"/>
        <w:numPr>
          <w:ilvl w:val="1"/>
          <w:numId w:val="148"/>
        </w:numPr>
        <w:spacing w:after="120" w:line="300" w:lineRule="atLeast"/>
        <w:ind w:left="357" w:hanging="357"/>
        <w:contextualSpacing w:val="0"/>
        <w:jc w:val="both"/>
        <w:outlineLvl w:val="0"/>
        <w:rPr>
          <w:b/>
          <w:color w:val="000000"/>
          <w:sz w:val="24"/>
          <w:szCs w:val="24"/>
          <w:u w:val="single"/>
        </w:rPr>
      </w:pPr>
      <w:bookmarkStart w:id="316" w:name="_Toc99469614"/>
      <w:bookmarkStart w:id="317" w:name="_Toc135935674"/>
      <w:r w:rsidRPr="007F400A">
        <w:rPr>
          <w:rStyle w:val="Nagwek3Znak"/>
          <w:rFonts w:ascii="Times New Roman" w:eastAsia="Calibri" w:hAnsi="Times New Roman"/>
          <w:color w:val="000000" w:themeColor="text1"/>
          <w:sz w:val="24"/>
          <w:szCs w:val="24"/>
        </w:rPr>
        <w:t>Charakterystyka naruszeń stwierdzonych podczas zrealizowanych zadań</w:t>
      </w:r>
      <w:bookmarkEnd w:id="316"/>
      <w:bookmarkEnd w:id="317"/>
    </w:p>
    <w:p w14:paraId="496DDD99" w14:textId="77777777" w:rsidR="00980757" w:rsidRPr="00980757" w:rsidRDefault="00980757" w:rsidP="006057A8">
      <w:pPr>
        <w:pStyle w:val="Akapitzlist"/>
        <w:spacing w:line="300" w:lineRule="atLeast"/>
        <w:ind w:left="0" w:firstLine="567"/>
        <w:jc w:val="both"/>
        <w:rPr>
          <w:sz w:val="24"/>
          <w:szCs w:val="24"/>
        </w:rPr>
      </w:pPr>
      <w:r w:rsidRPr="00980757">
        <w:rPr>
          <w:sz w:val="24"/>
          <w:szCs w:val="24"/>
        </w:rPr>
        <w:t xml:space="preserve">W trakcie działań podejmowanych w 2022 r. najczęściej stwierdzanymi naruszeniami były: magazynowanie odpadów w miejscach na ten cel nieprzeznaczonych, brak uregulowanego stanu formalnoprawnego w zakresie gospodarki odpadami, przekazywanie odpadów nieuprawnionym podmiotom. </w:t>
      </w:r>
    </w:p>
    <w:p w14:paraId="487B8BA8" w14:textId="77777777" w:rsidR="00225898" w:rsidRPr="00980757" w:rsidRDefault="00225898" w:rsidP="00980757">
      <w:pPr>
        <w:pStyle w:val="Akapitzlist"/>
        <w:spacing w:line="300" w:lineRule="atLeast"/>
        <w:ind w:left="0"/>
        <w:jc w:val="both"/>
        <w:rPr>
          <w:sz w:val="24"/>
          <w:szCs w:val="24"/>
        </w:rPr>
      </w:pPr>
    </w:p>
    <w:p w14:paraId="6FB83262" w14:textId="46A9960E" w:rsidR="00980757" w:rsidRPr="00980757" w:rsidRDefault="00980757" w:rsidP="00225898">
      <w:pPr>
        <w:spacing w:after="60" w:line="300" w:lineRule="atLeast"/>
        <w:jc w:val="both"/>
        <w:rPr>
          <w:rFonts w:ascii="Times New Roman" w:hAnsi="Times New Roman" w:cs="Times New Roman"/>
          <w:i/>
          <w:color w:val="4472C4"/>
          <w:sz w:val="24"/>
          <w:szCs w:val="24"/>
        </w:rPr>
      </w:pPr>
      <w:r w:rsidRPr="00980757">
        <w:rPr>
          <w:rFonts w:ascii="Times New Roman" w:hAnsi="Times New Roman" w:cs="Times New Roman"/>
          <w:i/>
          <w:color w:val="4472C4"/>
          <w:sz w:val="24"/>
          <w:szCs w:val="24"/>
        </w:rPr>
        <w:t>Wojewódzki Inspektorat Ochrony Środowiska w Białymstoku</w:t>
      </w:r>
    </w:p>
    <w:p w14:paraId="0871CBDF" w14:textId="77777777" w:rsidR="00980757" w:rsidRPr="00980757" w:rsidRDefault="00980757" w:rsidP="00980757">
      <w:pPr>
        <w:pStyle w:val="Akapitzlist"/>
        <w:spacing w:line="300" w:lineRule="atLeast"/>
        <w:ind w:left="0"/>
        <w:jc w:val="both"/>
        <w:rPr>
          <w:sz w:val="24"/>
          <w:szCs w:val="24"/>
        </w:rPr>
      </w:pPr>
      <w:r w:rsidRPr="00980757">
        <w:rPr>
          <w:sz w:val="24"/>
          <w:szCs w:val="24"/>
        </w:rPr>
        <w:t>Typowe naruszenia, stwierdzone przez grupę interwencyjno-wyjazdową i WZPŚ:</w:t>
      </w:r>
    </w:p>
    <w:p w14:paraId="10A6DDA4" w14:textId="66501A0F" w:rsidR="00980757" w:rsidRPr="00980757" w:rsidRDefault="00980757" w:rsidP="00D34F97">
      <w:pPr>
        <w:pStyle w:val="Akapitzlist"/>
        <w:numPr>
          <w:ilvl w:val="0"/>
          <w:numId w:val="264"/>
        </w:numPr>
        <w:spacing w:line="300" w:lineRule="atLeast"/>
        <w:jc w:val="both"/>
        <w:rPr>
          <w:sz w:val="24"/>
          <w:szCs w:val="24"/>
        </w:rPr>
      </w:pPr>
      <w:r w:rsidRPr="00980757">
        <w:rPr>
          <w:sz w:val="24"/>
          <w:szCs w:val="24"/>
        </w:rPr>
        <w:t>porzucenie odpadów,</w:t>
      </w:r>
    </w:p>
    <w:p w14:paraId="6C9195D2" w14:textId="2A04B15A" w:rsidR="00980757" w:rsidRPr="00980757" w:rsidRDefault="00980757" w:rsidP="00D34F97">
      <w:pPr>
        <w:pStyle w:val="Akapitzlist"/>
        <w:numPr>
          <w:ilvl w:val="0"/>
          <w:numId w:val="264"/>
        </w:numPr>
        <w:spacing w:line="300" w:lineRule="atLeast"/>
        <w:jc w:val="both"/>
        <w:rPr>
          <w:sz w:val="24"/>
          <w:szCs w:val="24"/>
        </w:rPr>
      </w:pPr>
      <w:r w:rsidRPr="00980757">
        <w:rPr>
          <w:sz w:val="24"/>
          <w:szCs w:val="24"/>
        </w:rPr>
        <w:t>zakopywanie odpadów,</w:t>
      </w:r>
    </w:p>
    <w:p w14:paraId="282D90CD" w14:textId="1114A5DC" w:rsidR="00980757" w:rsidRPr="00980757" w:rsidRDefault="00980757" w:rsidP="00D34F97">
      <w:pPr>
        <w:pStyle w:val="Akapitzlist"/>
        <w:numPr>
          <w:ilvl w:val="0"/>
          <w:numId w:val="264"/>
        </w:numPr>
        <w:spacing w:line="300" w:lineRule="atLeast"/>
        <w:jc w:val="both"/>
        <w:rPr>
          <w:sz w:val="24"/>
          <w:szCs w:val="24"/>
        </w:rPr>
      </w:pPr>
      <w:r w:rsidRPr="00980757">
        <w:rPr>
          <w:sz w:val="24"/>
          <w:szCs w:val="24"/>
        </w:rPr>
        <w:t>spalanie odpadów,</w:t>
      </w:r>
    </w:p>
    <w:p w14:paraId="7718D785" w14:textId="602BAC6E" w:rsidR="00980757" w:rsidRPr="00980757" w:rsidRDefault="00980757" w:rsidP="00D34F97">
      <w:pPr>
        <w:pStyle w:val="Akapitzlist"/>
        <w:numPr>
          <w:ilvl w:val="0"/>
          <w:numId w:val="264"/>
        </w:numPr>
        <w:spacing w:line="300" w:lineRule="atLeast"/>
        <w:jc w:val="both"/>
        <w:rPr>
          <w:sz w:val="24"/>
          <w:szCs w:val="24"/>
        </w:rPr>
      </w:pPr>
      <w:r w:rsidRPr="00980757">
        <w:rPr>
          <w:sz w:val="24"/>
          <w:szCs w:val="24"/>
        </w:rPr>
        <w:t xml:space="preserve">zanieczyszczenie gruntu i wód substancjami ropopochodnymi, </w:t>
      </w:r>
    </w:p>
    <w:p w14:paraId="0F10FB5C" w14:textId="0682EB0E" w:rsidR="00980757" w:rsidRPr="00980757" w:rsidRDefault="00980757" w:rsidP="00D34F97">
      <w:pPr>
        <w:pStyle w:val="Akapitzlist"/>
        <w:numPr>
          <w:ilvl w:val="0"/>
          <w:numId w:val="264"/>
        </w:numPr>
        <w:spacing w:line="300" w:lineRule="atLeast"/>
        <w:jc w:val="both"/>
        <w:rPr>
          <w:sz w:val="24"/>
          <w:szCs w:val="24"/>
        </w:rPr>
      </w:pPr>
      <w:r w:rsidRPr="00980757">
        <w:rPr>
          <w:sz w:val="24"/>
          <w:szCs w:val="24"/>
        </w:rPr>
        <w:t>nieprawidłowe postępowanie z odpadami zawierającymi azbest,</w:t>
      </w:r>
    </w:p>
    <w:p w14:paraId="1987BD95" w14:textId="67802B8F" w:rsidR="00980757" w:rsidRPr="00980757" w:rsidRDefault="00980757" w:rsidP="00D34F97">
      <w:pPr>
        <w:pStyle w:val="Akapitzlist"/>
        <w:numPr>
          <w:ilvl w:val="0"/>
          <w:numId w:val="264"/>
        </w:numPr>
        <w:spacing w:line="300" w:lineRule="atLeast"/>
        <w:jc w:val="both"/>
        <w:rPr>
          <w:sz w:val="24"/>
          <w:szCs w:val="24"/>
        </w:rPr>
      </w:pPr>
      <w:r w:rsidRPr="00980757">
        <w:rPr>
          <w:sz w:val="24"/>
          <w:szCs w:val="24"/>
        </w:rPr>
        <w:t>prowadzenie nielegalnego demontażu pojazdów (bez wymaganych zezwoleń),</w:t>
      </w:r>
    </w:p>
    <w:p w14:paraId="0780C9B6" w14:textId="3B1404FC" w:rsidR="00980757" w:rsidRPr="00980757" w:rsidRDefault="00980757" w:rsidP="00D34F97">
      <w:pPr>
        <w:pStyle w:val="Akapitzlist"/>
        <w:numPr>
          <w:ilvl w:val="0"/>
          <w:numId w:val="264"/>
        </w:numPr>
        <w:spacing w:line="300" w:lineRule="atLeast"/>
        <w:jc w:val="both"/>
        <w:rPr>
          <w:sz w:val="24"/>
          <w:szCs w:val="24"/>
        </w:rPr>
      </w:pPr>
      <w:r w:rsidRPr="00980757">
        <w:rPr>
          <w:sz w:val="24"/>
          <w:szCs w:val="24"/>
        </w:rPr>
        <w:t>zbieranie i przetwarzanie odpadów bez wymaganego zezwolenia,</w:t>
      </w:r>
    </w:p>
    <w:p w14:paraId="72C6F0A7" w14:textId="6DD48F53" w:rsidR="00980757" w:rsidRPr="00980757" w:rsidRDefault="00980757" w:rsidP="00D34F97">
      <w:pPr>
        <w:pStyle w:val="Akapitzlist"/>
        <w:numPr>
          <w:ilvl w:val="0"/>
          <w:numId w:val="264"/>
        </w:numPr>
        <w:spacing w:line="300" w:lineRule="atLeast"/>
        <w:jc w:val="both"/>
        <w:rPr>
          <w:sz w:val="24"/>
          <w:szCs w:val="24"/>
        </w:rPr>
      </w:pPr>
      <w:r w:rsidRPr="00980757">
        <w:rPr>
          <w:sz w:val="24"/>
          <w:szCs w:val="24"/>
        </w:rPr>
        <w:lastRenderedPageBreak/>
        <w:t>przywóz odpadów złomu żelaza i stali o kodzie B1010 z Niemiec do Polski, wbrew przepisom rozporządzenia WE 1013/2006 z dnia 14 czerwca 2006 r. w sprawie przemieszczania odpadów</w:t>
      </w:r>
      <w:r w:rsidR="001743E7">
        <w:rPr>
          <w:rStyle w:val="Odwoanieprzypisudolnego"/>
          <w:szCs w:val="24"/>
        </w:rPr>
        <w:footnoteReference w:id="60"/>
      </w:r>
      <w:r w:rsidRPr="00980757">
        <w:rPr>
          <w:sz w:val="24"/>
          <w:szCs w:val="24"/>
        </w:rPr>
        <w:t>,</w:t>
      </w:r>
    </w:p>
    <w:p w14:paraId="550B36F2" w14:textId="2566956A" w:rsidR="00980757" w:rsidRPr="00980757" w:rsidRDefault="00980757" w:rsidP="00D34F97">
      <w:pPr>
        <w:pStyle w:val="Akapitzlist"/>
        <w:numPr>
          <w:ilvl w:val="0"/>
          <w:numId w:val="264"/>
        </w:numPr>
        <w:spacing w:line="300" w:lineRule="atLeast"/>
        <w:jc w:val="both"/>
        <w:rPr>
          <w:sz w:val="24"/>
          <w:szCs w:val="24"/>
        </w:rPr>
      </w:pPr>
      <w:r w:rsidRPr="00980757">
        <w:rPr>
          <w:sz w:val="24"/>
          <w:szCs w:val="24"/>
        </w:rPr>
        <w:t>składowanie odpadów w miejscu na ten cel nieprzeznaczonym,</w:t>
      </w:r>
    </w:p>
    <w:p w14:paraId="2A47BA8E" w14:textId="6B7ECF42" w:rsidR="00980757" w:rsidRPr="00980757" w:rsidRDefault="00980757" w:rsidP="00D34F97">
      <w:pPr>
        <w:pStyle w:val="Akapitzlist"/>
        <w:numPr>
          <w:ilvl w:val="0"/>
          <w:numId w:val="264"/>
        </w:numPr>
        <w:spacing w:line="300" w:lineRule="atLeast"/>
        <w:jc w:val="both"/>
        <w:rPr>
          <w:sz w:val="24"/>
          <w:szCs w:val="24"/>
        </w:rPr>
      </w:pPr>
      <w:r w:rsidRPr="00980757">
        <w:rPr>
          <w:sz w:val="24"/>
          <w:szCs w:val="24"/>
        </w:rPr>
        <w:t>prowadzenie nierzetelnie ewidencji odpadów,</w:t>
      </w:r>
    </w:p>
    <w:p w14:paraId="1CCCAEDB" w14:textId="7AE20950" w:rsidR="00980757" w:rsidRPr="00980757" w:rsidRDefault="00980757" w:rsidP="00D34F97">
      <w:pPr>
        <w:pStyle w:val="Akapitzlist"/>
        <w:numPr>
          <w:ilvl w:val="0"/>
          <w:numId w:val="264"/>
        </w:numPr>
        <w:spacing w:line="300" w:lineRule="atLeast"/>
        <w:jc w:val="both"/>
        <w:rPr>
          <w:sz w:val="24"/>
          <w:szCs w:val="24"/>
        </w:rPr>
      </w:pPr>
      <w:r w:rsidRPr="00980757">
        <w:rPr>
          <w:sz w:val="24"/>
          <w:szCs w:val="24"/>
        </w:rPr>
        <w:t>transport odpadów bez wymaganej dokumentacji,</w:t>
      </w:r>
    </w:p>
    <w:p w14:paraId="735CD628" w14:textId="4C8C4975" w:rsidR="00980757" w:rsidRPr="00980757" w:rsidRDefault="00980757" w:rsidP="00D34F97">
      <w:pPr>
        <w:pStyle w:val="Akapitzlist"/>
        <w:numPr>
          <w:ilvl w:val="0"/>
          <w:numId w:val="264"/>
        </w:numPr>
        <w:spacing w:line="300" w:lineRule="atLeast"/>
        <w:jc w:val="both"/>
        <w:rPr>
          <w:sz w:val="24"/>
          <w:szCs w:val="24"/>
        </w:rPr>
      </w:pPr>
      <w:r w:rsidRPr="00980757">
        <w:rPr>
          <w:sz w:val="24"/>
          <w:szCs w:val="24"/>
        </w:rPr>
        <w:t>brak oznakowania środków transportu odpadów,</w:t>
      </w:r>
    </w:p>
    <w:p w14:paraId="4B90AB20" w14:textId="1C075DA4" w:rsidR="00980757" w:rsidRPr="00980757" w:rsidRDefault="00980757" w:rsidP="00D34F97">
      <w:pPr>
        <w:pStyle w:val="Akapitzlist"/>
        <w:numPr>
          <w:ilvl w:val="0"/>
          <w:numId w:val="264"/>
        </w:numPr>
        <w:spacing w:line="300" w:lineRule="atLeast"/>
        <w:jc w:val="both"/>
        <w:rPr>
          <w:sz w:val="24"/>
          <w:szCs w:val="24"/>
        </w:rPr>
      </w:pPr>
      <w:r w:rsidRPr="00980757">
        <w:rPr>
          <w:sz w:val="24"/>
          <w:szCs w:val="24"/>
        </w:rPr>
        <w:t xml:space="preserve">nie dotrzymywanie terminów nawożenia pól nawozami naturalnymi określonych </w:t>
      </w:r>
      <w:r w:rsidR="00225898">
        <w:rPr>
          <w:sz w:val="24"/>
          <w:szCs w:val="24"/>
        </w:rPr>
        <w:br/>
      </w:r>
      <w:r w:rsidRPr="00980757">
        <w:rPr>
          <w:sz w:val="24"/>
          <w:szCs w:val="24"/>
        </w:rPr>
        <w:t>w obowiązujących przepisach prawa (wywóz obornika na grunty pokryte śniegiem).</w:t>
      </w:r>
    </w:p>
    <w:p w14:paraId="0801C85D" w14:textId="77777777" w:rsidR="00980757" w:rsidRPr="00980757" w:rsidRDefault="00980757" w:rsidP="00980757">
      <w:pPr>
        <w:spacing w:line="300" w:lineRule="atLeast"/>
        <w:contextualSpacing/>
        <w:jc w:val="both"/>
        <w:rPr>
          <w:rFonts w:ascii="Times New Roman" w:hAnsi="Times New Roman" w:cs="Times New Roman"/>
          <w:sz w:val="24"/>
          <w:szCs w:val="24"/>
        </w:rPr>
      </w:pPr>
    </w:p>
    <w:p w14:paraId="4770542D" w14:textId="77777777" w:rsidR="00980757" w:rsidRPr="00980757" w:rsidRDefault="00980757" w:rsidP="00225898">
      <w:pPr>
        <w:spacing w:after="60" w:line="300" w:lineRule="atLeast"/>
        <w:jc w:val="both"/>
        <w:rPr>
          <w:rFonts w:ascii="Times New Roman" w:hAnsi="Times New Roman" w:cs="Times New Roman"/>
          <w:i/>
          <w:color w:val="4472C4"/>
          <w:sz w:val="24"/>
          <w:szCs w:val="24"/>
        </w:rPr>
      </w:pPr>
      <w:r w:rsidRPr="00980757">
        <w:rPr>
          <w:rFonts w:ascii="Times New Roman" w:hAnsi="Times New Roman" w:cs="Times New Roman"/>
          <w:i/>
          <w:color w:val="4472C4"/>
          <w:sz w:val="24"/>
          <w:szCs w:val="24"/>
        </w:rPr>
        <w:t>Wojewódzki Inspektorat Ochrony Środowiska w Bydgoszczy</w:t>
      </w:r>
    </w:p>
    <w:p w14:paraId="3B5A2B9F" w14:textId="77777777" w:rsidR="00980757" w:rsidRPr="00980757" w:rsidRDefault="00980757" w:rsidP="00225898">
      <w:pPr>
        <w:spacing w:line="300" w:lineRule="atLeast"/>
        <w:contextualSpacing/>
        <w:jc w:val="both"/>
        <w:rPr>
          <w:rFonts w:ascii="Times New Roman" w:hAnsi="Times New Roman" w:cs="Times New Roman"/>
          <w:sz w:val="24"/>
          <w:szCs w:val="24"/>
        </w:rPr>
      </w:pPr>
      <w:r w:rsidRPr="00980757">
        <w:rPr>
          <w:rFonts w:ascii="Times New Roman" w:hAnsi="Times New Roman" w:cs="Times New Roman"/>
          <w:sz w:val="24"/>
          <w:szCs w:val="24"/>
        </w:rPr>
        <w:t>Do głównych naruszeń stwierdzanych podczas realizowanych zadań należały:</w:t>
      </w:r>
    </w:p>
    <w:p w14:paraId="0D485479" w14:textId="77777777" w:rsidR="00980757" w:rsidRPr="00980757" w:rsidRDefault="00980757" w:rsidP="00D34F97">
      <w:pPr>
        <w:numPr>
          <w:ilvl w:val="0"/>
          <w:numId w:val="262"/>
        </w:numPr>
        <w:spacing w:after="0" w:line="300" w:lineRule="atLeast"/>
        <w:ind w:left="641" w:hanging="357"/>
        <w:contextualSpacing/>
        <w:jc w:val="both"/>
        <w:rPr>
          <w:rFonts w:ascii="Times New Roman" w:hAnsi="Times New Roman" w:cs="Times New Roman"/>
          <w:sz w:val="24"/>
          <w:szCs w:val="24"/>
        </w:rPr>
      </w:pPr>
      <w:r w:rsidRPr="00980757">
        <w:rPr>
          <w:rFonts w:ascii="Times New Roman" w:hAnsi="Times New Roman" w:cs="Times New Roman"/>
          <w:sz w:val="24"/>
          <w:szCs w:val="24"/>
        </w:rPr>
        <w:t>zbieranie, przetwarzanie odpadów bez zezwolenia, w tym zakopywanie odpadów,</w:t>
      </w:r>
    </w:p>
    <w:p w14:paraId="2ADD540A" w14:textId="77777777" w:rsidR="00980757" w:rsidRPr="00980757" w:rsidRDefault="00980757" w:rsidP="00D34F97">
      <w:pPr>
        <w:numPr>
          <w:ilvl w:val="0"/>
          <w:numId w:val="262"/>
        </w:numPr>
        <w:spacing w:after="0" w:line="300" w:lineRule="atLeast"/>
        <w:ind w:left="641" w:hanging="357"/>
        <w:contextualSpacing/>
        <w:jc w:val="both"/>
        <w:rPr>
          <w:rFonts w:ascii="Times New Roman" w:hAnsi="Times New Roman" w:cs="Times New Roman"/>
          <w:sz w:val="24"/>
          <w:szCs w:val="24"/>
        </w:rPr>
      </w:pPr>
      <w:r w:rsidRPr="00980757">
        <w:rPr>
          <w:rFonts w:ascii="Times New Roman" w:hAnsi="Times New Roman" w:cs="Times New Roman"/>
          <w:sz w:val="24"/>
          <w:szCs w:val="24"/>
        </w:rPr>
        <w:t>zbieranie, przetwarzanie odpadów z naruszeniem warunków zezwolenia,</w:t>
      </w:r>
    </w:p>
    <w:p w14:paraId="07EDD250" w14:textId="77777777" w:rsidR="00980757" w:rsidRPr="00980757" w:rsidRDefault="00980757" w:rsidP="00D34F97">
      <w:pPr>
        <w:numPr>
          <w:ilvl w:val="0"/>
          <w:numId w:val="262"/>
        </w:numPr>
        <w:spacing w:after="0" w:line="300" w:lineRule="atLeast"/>
        <w:ind w:left="641" w:hanging="357"/>
        <w:contextualSpacing/>
        <w:jc w:val="both"/>
        <w:rPr>
          <w:rFonts w:ascii="Times New Roman" w:hAnsi="Times New Roman" w:cs="Times New Roman"/>
          <w:sz w:val="24"/>
          <w:szCs w:val="24"/>
        </w:rPr>
      </w:pPr>
      <w:r w:rsidRPr="00980757">
        <w:rPr>
          <w:rFonts w:ascii="Times New Roman" w:hAnsi="Times New Roman" w:cs="Times New Roman"/>
          <w:sz w:val="24"/>
          <w:szCs w:val="24"/>
        </w:rPr>
        <w:t>spalanie odpadów,</w:t>
      </w:r>
    </w:p>
    <w:p w14:paraId="49A9EFE6" w14:textId="77777777" w:rsidR="00980757" w:rsidRPr="00980757" w:rsidRDefault="00980757" w:rsidP="00D34F97">
      <w:pPr>
        <w:numPr>
          <w:ilvl w:val="0"/>
          <w:numId w:val="262"/>
        </w:numPr>
        <w:spacing w:after="0" w:line="300" w:lineRule="atLeast"/>
        <w:ind w:left="641" w:hanging="357"/>
        <w:contextualSpacing/>
        <w:jc w:val="both"/>
        <w:rPr>
          <w:rFonts w:ascii="Times New Roman" w:hAnsi="Times New Roman" w:cs="Times New Roman"/>
          <w:sz w:val="24"/>
          <w:szCs w:val="24"/>
        </w:rPr>
      </w:pPr>
      <w:r w:rsidRPr="00980757">
        <w:rPr>
          <w:rFonts w:ascii="Times New Roman" w:hAnsi="Times New Roman" w:cs="Times New Roman"/>
          <w:sz w:val="24"/>
          <w:szCs w:val="24"/>
        </w:rPr>
        <w:t>fikcyjny obrót odpadami poprzez fałszowanie kart przekazania odpadów.</w:t>
      </w:r>
    </w:p>
    <w:p w14:paraId="1765242C" w14:textId="77777777" w:rsidR="00980757" w:rsidRPr="00980757" w:rsidRDefault="00980757" w:rsidP="00980757">
      <w:pPr>
        <w:spacing w:line="300" w:lineRule="atLeast"/>
        <w:contextualSpacing/>
        <w:jc w:val="both"/>
        <w:rPr>
          <w:rFonts w:ascii="Times New Roman" w:hAnsi="Times New Roman" w:cs="Times New Roman"/>
          <w:i/>
          <w:color w:val="4472C4"/>
          <w:sz w:val="24"/>
          <w:szCs w:val="24"/>
        </w:rPr>
      </w:pPr>
    </w:p>
    <w:p w14:paraId="1E2968C1" w14:textId="77777777" w:rsidR="00980757" w:rsidRPr="00980757" w:rsidRDefault="00980757" w:rsidP="00225898">
      <w:pPr>
        <w:spacing w:after="60" w:line="300" w:lineRule="atLeast"/>
        <w:jc w:val="both"/>
        <w:rPr>
          <w:rFonts w:ascii="Times New Roman" w:hAnsi="Times New Roman" w:cs="Times New Roman"/>
          <w:i/>
          <w:color w:val="4472C4"/>
          <w:sz w:val="24"/>
          <w:szCs w:val="24"/>
        </w:rPr>
      </w:pPr>
      <w:r w:rsidRPr="00980757">
        <w:rPr>
          <w:rFonts w:ascii="Times New Roman" w:hAnsi="Times New Roman" w:cs="Times New Roman"/>
          <w:i/>
          <w:color w:val="4472C4"/>
          <w:sz w:val="24"/>
          <w:szCs w:val="24"/>
        </w:rPr>
        <w:t>Wojewódzki Inspektorat Ochrony Środowiska w Gdańsku</w:t>
      </w:r>
    </w:p>
    <w:p w14:paraId="479B376A" w14:textId="77777777" w:rsidR="00225898" w:rsidRDefault="00980757" w:rsidP="006057A8">
      <w:pPr>
        <w:autoSpaceDE w:val="0"/>
        <w:autoSpaceDN w:val="0"/>
        <w:adjustRightInd w:val="0"/>
        <w:spacing w:line="300" w:lineRule="atLeast"/>
        <w:ind w:firstLine="567"/>
        <w:contextualSpacing/>
        <w:jc w:val="both"/>
        <w:rPr>
          <w:rFonts w:ascii="Times New Roman" w:hAnsi="Times New Roman" w:cs="Times New Roman"/>
          <w:sz w:val="24"/>
          <w:szCs w:val="24"/>
        </w:rPr>
      </w:pPr>
      <w:r w:rsidRPr="00980757">
        <w:rPr>
          <w:rFonts w:ascii="Times New Roman" w:hAnsi="Times New Roman" w:cs="Times New Roman"/>
          <w:sz w:val="24"/>
          <w:szCs w:val="24"/>
        </w:rPr>
        <w:t xml:space="preserve">W większości przypadków w wyniku działań stwierdzano prowadzenie działalności bez wymaganego zezwolenia w zakresie zbierania lub przetwarzania odpadów. Stwierdzano również naruszenia innych obowiązków, które towarzyszyły tym naruszeniom, takich jak: brak wpisu do BDO, nieprowadzenie ewidencji odpadów, nieprowadzenie wizyjnego systemu kontroli miejsca magazynowania odpadów, magazynowanie odpadów z naruszeniem szczegółowych wymogów. </w:t>
      </w:r>
    </w:p>
    <w:p w14:paraId="35A47381" w14:textId="492FBE10" w:rsidR="00980757" w:rsidRPr="00980757" w:rsidRDefault="00980757" w:rsidP="006057A8">
      <w:pPr>
        <w:autoSpaceDE w:val="0"/>
        <w:autoSpaceDN w:val="0"/>
        <w:adjustRightInd w:val="0"/>
        <w:spacing w:line="300" w:lineRule="atLeast"/>
        <w:ind w:firstLine="567"/>
        <w:contextualSpacing/>
        <w:jc w:val="both"/>
        <w:rPr>
          <w:rFonts w:ascii="Times New Roman" w:hAnsi="Times New Roman" w:cs="Times New Roman"/>
          <w:sz w:val="24"/>
          <w:szCs w:val="24"/>
        </w:rPr>
      </w:pPr>
      <w:r w:rsidRPr="00980757">
        <w:rPr>
          <w:rFonts w:ascii="Times New Roman" w:hAnsi="Times New Roman" w:cs="Times New Roman"/>
          <w:sz w:val="24"/>
          <w:szCs w:val="24"/>
        </w:rPr>
        <w:t>Ponadto, w toku czynności realizowanych w sprawach międzywojewódzkich, stwierdzano istotną rolę pośredników w obrocie odpadami w  kierowaniu odpadów do podmiotów formalnie uprawnionych do ich zagospodarowania do których odpady ostatecznie nie trafiały.</w:t>
      </w:r>
    </w:p>
    <w:p w14:paraId="00EFE8F8" w14:textId="77777777" w:rsidR="00980757" w:rsidRPr="00980757" w:rsidRDefault="00980757" w:rsidP="00980757">
      <w:pPr>
        <w:spacing w:line="300" w:lineRule="atLeast"/>
        <w:contextualSpacing/>
        <w:jc w:val="both"/>
        <w:rPr>
          <w:rFonts w:ascii="Times New Roman" w:hAnsi="Times New Roman" w:cs="Times New Roman"/>
          <w:i/>
          <w:color w:val="4472C4"/>
          <w:sz w:val="24"/>
          <w:szCs w:val="24"/>
        </w:rPr>
      </w:pPr>
    </w:p>
    <w:p w14:paraId="0EC9220D" w14:textId="77777777" w:rsidR="00980757" w:rsidRPr="00980757" w:rsidRDefault="00980757" w:rsidP="006057A8">
      <w:pPr>
        <w:spacing w:after="60" w:line="300" w:lineRule="atLeast"/>
        <w:jc w:val="both"/>
        <w:rPr>
          <w:rFonts w:ascii="Times New Roman" w:hAnsi="Times New Roman" w:cs="Times New Roman"/>
          <w:i/>
          <w:color w:val="4472C4"/>
          <w:sz w:val="24"/>
          <w:szCs w:val="24"/>
        </w:rPr>
      </w:pPr>
      <w:r w:rsidRPr="00980757">
        <w:rPr>
          <w:rFonts w:ascii="Times New Roman" w:hAnsi="Times New Roman" w:cs="Times New Roman"/>
          <w:i/>
          <w:color w:val="4472C4"/>
          <w:sz w:val="24"/>
          <w:szCs w:val="24"/>
        </w:rPr>
        <w:t>Wojewódzki Inspektorat Ochrony Środowiska w Katowicach</w:t>
      </w:r>
    </w:p>
    <w:p w14:paraId="552C09CA" w14:textId="28A9C1EA" w:rsidR="00980757" w:rsidRPr="00980757" w:rsidRDefault="00980757" w:rsidP="00225898">
      <w:pPr>
        <w:spacing w:after="0" w:line="300" w:lineRule="atLeast"/>
        <w:contextualSpacing/>
        <w:jc w:val="both"/>
        <w:rPr>
          <w:rFonts w:ascii="Times New Roman" w:hAnsi="Times New Roman" w:cs="Times New Roman"/>
          <w:sz w:val="24"/>
          <w:szCs w:val="24"/>
        </w:rPr>
      </w:pPr>
      <w:r w:rsidRPr="00980757">
        <w:rPr>
          <w:rFonts w:ascii="Times New Roman" w:hAnsi="Times New Roman" w:cs="Times New Roman"/>
          <w:sz w:val="24"/>
          <w:szCs w:val="24"/>
        </w:rPr>
        <w:t xml:space="preserve">Na podstawie przeprowadzonych działań można zdefiniować kilka najważniejszych </w:t>
      </w:r>
      <w:r w:rsidR="00225898">
        <w:rPr>
          <w:rFonts w:ascii="Times New Roman" w:hAnsi="Times New Roman" w:cs="Times New Roman"/>
          <w:sz w:val="24"/>
          <w:szCs w:val="24"/>
        </w:rPr>
        <w:br/>
      </w:r>
      <w:r w:rsidRPr="00980757">
        <w:rPr>
          <w:rFonts w:ascii="Times New Roman" w:hAnsi="Times New Roman" w:cs="Times New Roman"/>
          <w:sz w:val="24"/>
          <w:szCs w:val="24"/>
        </w:rPr>
        <w:t>i najczęstszych nieprawidłowości:</w:t>
      </w:r>
    </w:p>
    <w:p w14:paraId="15807126" w14:textId="1D1F6C22" w:rsidR="00980757" w:rsidRPr="00980757" w:rsidRDefault="00980757" w:rsidP="00D34F97">
      <w:pPr>
        <w:numPr>
          <w:ilvl w:val="0"/>
          <w:numId w:val="265"/>
        </w:numPr>
        <w:spacing w:after="0" w:line="300" w:lineRule="atLeast"/>
        <w:ind w:left="641" w:hanging="357"/>
        <w:contextualSpacing/>
        <w:jc w:val="both"/>
        <w:rPr>
          <w:rFonts w:ascii="Times New Roman" w:hAnsi="Times New Roman" w:cs="Times New Roman"/>
          <w:sz w:val="24"/>
          <w:szCs w:val="24"/>
        </w:rPr>
      </w:pPr>
      <w:r w:rsidRPr="00980757">
        <w:rPr>
          <w:rFonts w:ascii="Times New Roman" w:hAnsi="Times New Roman" w:cs="Times New Roman"/>
          <w:sz w:val="24"/>
          <w:szCs w:val="24"/>
        </w:rPr>
        <w:t>w dalszym ciągu, w różnych województwach istnieją podmioty, które niezgodnie z prawdą poświadczają w bazie BDO przyjmowanie odpadów w znacznych ilościach, od różnych podmiotów w kraju. Wykorzystuje się w tym celu sieć pośredników i firmy transportujące w celu utrudnienia ujawnienia faktycznego miejsca zdeponowania odpadów</w:t>
      </w:r>
      <w:r w:rsidR="00225898">
        <w:rPr>
          <w:rFonts w:ascii="Times New Roman" w:hAnsi="Times New Roman" w:cs="Times New Roman"/>
          <w:sz w:val="24"/>
          <w:szCs w:val="24"/>
        </w:rPr>
        <w:t>,</w:t>
      </w:r>
      <w:r w:rsidRPr="00980757">
        <w:rPr>
          <w:rFonts w:ascii="Times New Roman" w:hAnsi="Times New Roman" w:cs="Times New Roman"/>
          <w:sz w:val="24"/>
          <w:szCs w:val="24"/>
        </w:rPr>
        <w:t xml:space="preserve"> </w:t>
      </w:r>
    </w:p>
    <w:p w14:paraId="7B818A08" w14:textId="426DD809" w:rsidR="00980757" w:rsidRPr="00980757" w:rsidRDefault="00980757" w:rsidP="00D34F97">
      <w:pPr>
        <w:numPr>
          <w:ilvl w:val="0"/>
          <w:numId w:val="265"/>
        </w:numPr>
        <w:spacing w:after="0" w:line="300" w:lineRule="atLeast"/>
        <w:ind w:left="641" w:hanging="357"/>
        <w:contextualSpacing/>
        <w:jc w:val="both"/>
        <w:rPr>
          <w:rFonts w:ascii="Times New Roman" w:hAnsi="Times New Roman" w:cs="Times New Roman"/>
          <w:sz w:val="24"/>
          <w:szCs w:val="24"/>
        </w:rPr>
      </w:pPr>
      <w:r w:rsidRPr="00980757">
        <w:rPr>
          <w:rFonts w:ascii="Times New Roman" w:hAnsi="Times New Roman" w:cs="Times New Roman"/>
          <w:sz w:val="24"/>
          <w:szCs w:val="24"/>
        </w:rPr>
        <w:t>w dalszym ciągu podmioty posiadające zezwolenia na przetwarzanie odpadów, głównie w ramach rekultywacji lub niwelacji terenu, przyjmują odpady nie ujęte w zezwoleniach, w tym odpady niebezpieczne. Podmioty te</w:t>
      </w:r>
      <w:r w:rsidR="00225898">
        <w:rPr>
          <w:rFonts w:ascii="Times New Roman" w:hAnsi="Times New Roman" w:cs="Times New Roman"/>
          <w:sz w:val="24"/>
          <w:szCs w:val="24"/>
        </w:rPr>
        <w:t>,</w:t>
      </w:r>
      <w:r w:rsidRPr="00980757">
        <w:rPr>
          <w:rFonts w:ascii="Times New Roman" w:hAnsi="Times New Roman" w:cs="Times New Roman"/>
          <w:sz w:val="24"/>
          <w:szCs w:val="24"/>
        </w:rPr>
        <w:t xml:space="preserve"> jak i dostawcy odpadu i ich transportujący poświadczają nieprawdę w ewidencji prowadzonej w systemie BDO</w:t>
      </w:r>
      <w:r w:rsidR="00225898">
        <w:rPr>
          <w:rFonts w:ascii="Times New Roman" w:hAnsi="Times New Roman" w:cs="Times New Roman"/>
          <w:sz w:val="24"/>
          <w:szCs w:val="24"/>
        </w:rPr>
        <w:t>,</w:t>
      </w:r>
      <w:r w:rsidRPr="00980757">
        <w:rPr>
          <w:rFonts w:ascii="Times New Roman" w:hAnsi="Times New Roman" w:cs="Times New Roman"/>
          <w:sz w:val="24"/>
          <w:szCs w:val="24"/>
        </w:rPr>
        <w:t xml:space="preserve"> </w:t>
      </w:r>
    </w:p>
    <w:p w14:paraId="33993CD5" w14:textId="2C3534A5" w:rsidR="00980757" w:rsidRDefault="00980757" w:rsidP="00D34F97">
      <w:pPr>
        <w:numPr>
          <w:ilvl w:val="0"/>
          <w:numId w:val="265"/>
        </w:numPr>
        <w:spacing w:after="0" w:line="300" w:lineRule="atLeast"/>
        <w:ind w:left="641" w:hanging="357"/>
        <w:contextualSpacing/>
        <w:jc w:val="both"/>
        <w:rPr>
          <w:rFonts w:ascii="Times New Roman" w:hAnsi="Times New Roman" w:cs="Times New Roman"/>
          <w:sz w:val="24"/>
          <w:szCs w:val="24"/>
        </w:rPr>
      </w:pPr>
      <w:r w:rsidRPr="00980757">
        <w:rPr>
          <w:rFonts w:ascii="Times New Roman" w:hAnsi="Times New Roman" w:cs="Times New Roman"/>
          <w:sz w:val="24"/>
          <w:szCs w:val="24"/>
        </w:rPr>
        <w:t xml:space="preserve">znaczna ilość przypadkowych, pojedynczych porzuceń odpadów na nieużytki lub inne tereny poprzemysłowe, w ocenie WIOŚ nie związana z działalnością zorganizowaną. </w:t>
      </w:r>
    </w:p>
    <w:p w14:paraId="10315AB6" w14:textId="77777777" w:rsidR="00CF68BE" w:rsidRPr="00980757" w:rsidRDefault="00CF68BE" w:rsidP="00CF68BE">
      <w:pPr>
        <w:spacing w:after="0" w:line="300" w:lineRule="atLeast"/>
        <w:ind w:left="641"/>
        <w:contextualSpacing/>
        <w:jc w:val="both"/>
        <w:rPr>
          <w:rFonts w:ascii="Times New Roman" w:hAnsi="Times New Roman" w:cs="Times New Roman"/>
          <w:sz w:val="24"/>
          <w:szCs w:val="24"/>
        </w:rPr>
      </w:pPr>
    </w:p>
    <w:p w14:paraId="07D6E728" w14:textId="77777777" w:rsidR="00980757" w:rsidRPr="00980757" w:rsidRDefault="00980757" w:rsidP="00260874">
      <w:pPr>
        <w:spacing w:after="60" w:line="300" w:lineRule="atLeast"/>
        <w:jc w:val="both"/>
        <w:rPr>
          <w:rFonts w:ascii="Times New Roman" w:hAnsi="Times New Roman" w:cs="Times New Roman"/>
          <w:i/>
          <w:color w:val="4472C4"/>
          <w:sz w:val="24"/>
          <w:szCs w:val="24"/>
        </w:rPr>
      </w:pPr>
      <w:r w:rsidRPr="00980757">
        <w:rPr>
          <w:rFonts w:ascii="Times New Roman" w:hAnsi="Times New Roman" w:cs="Times New Roman"/>
          <w:i/>
          <w:color w:val="4472C4"/>
          <w:sz w:val="24"/>
          <w:szCs w:val="24"/>
        </w:rPr>
        <w:lastRenderedPageBreak/>
        <w:t>Wojewódzki Inspektorat Ochrony Środowiska w Kielcach</w:t>
      </w:r>
    </w:p>
    <w:p w14:paraId="5A6EAD57" w14:textId="150CE8B4" w:rsidR="00980757" w:rsidRPr="00980757" w:rsidRDefault="00980757" w:rsidP="006057A8">
      <w:pPr>
        <w:pStyle w:val="Akapitzlist"/>
        <w:spacing w:line="300" w:lineRule="atLeast"/>
        <w:ind w:left="0" w:firstLine="567"/>
        <w:jc w:val="both"/>
        <w:rPr>
          <w:sz w:val="24"/>
          <w:szCs w:val="24"/>
        </w:rPr>
      </w:pPr>
      <w:r w:rsidRPr="00980757">
        <w:rPr>
          <w:sz w:val="24"/>
          <w:szCs w:val="24"/>
        </w:rPr>
        <w:t>W wyniku działań przeprowadzonych w trybie art. 10b ustawy o IOŚ stwierdzano niewłaściwe gospodarowanie odpadami (min. nielegalny demontaż pojazdów, zbieranie, przetwarzanie odpadów bez wymaganego zezwolenia). Na podstawie dokonywanych ustaleń podejmowano czynności kontrolne bądź kierowano wnioski do właściwych organów o podjęcie działań będących w ich kompetencji</w:t>
      </w:r>
      <w:r w:rsidR="00260874">
        <w:rPr>
          <w:sz w:val="24"/>
          <w:szCs w:val="24"/>
          <w:lang w:val="pl-PL"/>
        </w:rPr>
        <w:t xml:space="preserve">. </w:t>
      </w:r>
    </w:p>
    <w:p w14:paraId="62FCCB34" w14:textId="77777777" w:rsidR="00980757" w:rsidRPr="00980757" w:rsidRDefault="00980757" w:rsidP="00980757">
      <w:pPr>
        <w:spacing w:line="300" w:lineRule="atLeast"/>
        <w:contextualSpacing/>
        <w:jc w:val="both"/>
        <w:rPr>
          <w:rFonts w:ascii="Times New Roman" w:hAnsi="Times New Roman" w:cs="Times New Roman"/>
          <w:i/>
          <w:color w:val="4472C4"/>
          <w:sz w:val="24"/>
          <w:szCs w:val="24"/>
        </w:rPr>
      </w:pPr>
    </w:p>
    <w:p w14:paraId="170C799D" w14:textId="77777777" w:rsidR="00980757" w:rsidRPr="00980757" w:rsidRDefault="00980757" w:rsidP="00260874">
      <w:pPr>
        <w:spacing w:after="60" w:line="300" w:lineRule="atLeast"/>
        <w:jc w:val="both"/>
        <w:rPr>
          <w:rFonts w:ascii="Times New Roman" w:hAnsi="Times New Roman" w:cs="Times New Roman"/>
          <w:i/>
          <w:color w:val="4472C4"/>
          <w:sz w:val="24"/>
          <w:szCs w:val="24"/>
        </w:rPr>
      </w:pPr>
      <w:r w:rsidRPr="00980757">
        <w:rPr>
          <w:rFonts w:ascii="Times New Roman" w:hAnsi="Times New Roman" w:cs="Times New Roman"/>
          <w:i/>
          <w:color w:val="4472C4"/>
          <w:sz w:val="24"/>
          <w:szCs w:val="24"/>
        </w:rPr>
        <w:t>Wojewódzki Inspektorat Ochrony Środowiska w Krakowie</w:t>
      </w:r>
    </w:p>
    <w:p w14:paraId="4CD3BF55" w14:textId="77777777" w:rsidR="00260874" w:rsidRDefault="00260874" w:rsidP="006057A8">
      <w:pPr>
        <w:spacing w:after="60" w:line="300" w:lineRule="atLeast"/>
        <w:ind w:firstLine="567"/>
        <w:jc w:val="both"/>
        <w:rPr>
          <w:rFonts w:ascii="Times New Roman" w:hAnsi="Times New Roman" w:cs="Times New Roman"/>
          <w:sz w:val="24"/>
          <w:szCs w:val="24"/>
        </w:rPr>
      </w:pPr>
      <w:r w:rsidRPr="00260874">
        <w:rPr>
          <w:rFonts w:ascii="Times New Roman" w:hAnsi="Times New Roman" w:cs="Times New Roman"/>
          <w:sz w:val="24"/>
          <w:szCs w:val="24"/>
        </w:rPr>
        <w:t xml:space="preserve">Naruszenia stwierdzone podczas czynności przeprowadzonych w trybie art. 10b ustawy o Inspekcji Ochrony Środowiska dotyczyły: </w:t>
      </w:r>
    </w:p>
    <w:p w14:paraId="66CAFBB6" w14:textId="6E9C675F" w:rsidR="00260874" w:rsidRPr="00260874" w:rsidRDefault="00260874" w:rsidP="00D34F97">
      <w:pPr>
        <w:pStyle w:val="Akapitzlist"/>
        <w:numPr>
          <w:ilvl w:val="0"/>
          <w:numId w:val="266"/>
        </w:numPr>
        <w:spacing w:line="300" w:lineRule="atLeast"/>
        <w:ind w:left="641" w:hanging="357"/>
        <w:jc w:val="both"/>
        <w:rPr>
          <w:sz w:val="24"/>
          <w:szCs w:val="24"/>
        </w:rPr>
      </w:pPr>
      <w:r w:rsidRPr="00260874">
        <w:rPr>
          <w:sz w:val="24"/>
          <w:szCs w:val="24"/>
        </w:rPr>
        <w:t xml:space="preserve">termicznego przekształcania odpadów poza spalarniami lub </w:t>
      </w:r>
      <w:proofErr w:type="spellStart"/>
      <w:r w:rsidRPr="00260874">
        <w:rPr>
          <w:sz w:val="24"/>
          <w:szCs w:val="24"/>
        </w:rPr>
        <w:t>współspalarniami</w:t>
      </w:r>
      <w:proofErr w:type="spellEnd"/>
      <w:r w:rsidRPr="00260874">
        <w:rPr>
          <w:sz w:val="24"/>
          <w:szCs w:val="24"/>
        </w:rPr>
        <w:t xml:space="preserve"> odpadów, </w:t>
      </w:r>
    </w:p>
    <w:p w14:paraId="632B2324" w14:textId="002A63B9" w:rsidR="00260874" w:rsidRPr="00260874" w:rsidRDefault="00260874" w:rsidP="00D34F97">
      <w:pPr>
        <w:pStyle w:val="Akapitzlist"/>
        <w:numPr>
          <w:ilvl w:val="0"/>
          <w:numId w:val="266"/>
        </w:numPr>
        <w:spacing w:line="300" w:lineRule="atLeast"/>
        <w:ind w:left="641" w:hanging="357"/>
        <w:jc w:val="both"/>
        <w:rPr>
          <w:sz w:val="24"/>
          <w:szCs w:val="24"/>
        </w:rPr>
      </w:pPr>
      <w:r w:rsidRPr="00260874">
        <w:rPr>
          <w:sz w:val="24"/>
          <w:szCs w:val="24"/>
        </w:rPr>
        <w:t xml:space="preserve">gospodarowania odpadami niezgodnie z posiadanymi uregulowaniami formalno-prawnymi, </w:t>
      </w:r>
    </w:p>
    <w:p w14:paraId="7A40F874" w14:textId="478A3A54" w:rsidR="00260874" w:rsidRPr="00260874" w:rsidRDefault="00260874" w:rsidP="00D34F97">
      <w:pPr>
        <w:pStyle w:val="Akapitzlist"/>
        <w:numPr>
          <w:ilvl w:val="0"/>
          <w:numId w:val="266"/>
        </w:numPr>
        <w:spacing w:line="300" w:lineRule="atLeast"/>
        <w:ind w:left="641" w:hanging="357"/>
        <w:jc w:val="both"/>
        <w:rPr>
          <w:sz w:val="24"/>
          <w:szCs w:val="24"/>
        </w:rPr>
      </w:pPr>
      <w:r w:rsidRPr="00260874">
        <w:rPr>
          <w:sz w:val="24"/>
          <w:szCs w:val="24"/>
        </w:rPr>
        <w:t xml:space="preserve">zbierania odpadów bez wymaganego zezwolenia, </w:t>
      </w:r>
    </w:p>
    <w:p w14:paraId="70383CD7" w14:textId="49B788CE" w:rsidR="00260874" w:rsidRPr="00260874" w:rsidRDefault="00260874" w:rsidP="00D34F97">
      <w:pPr>
        <w:pStyle w:val="Akapitzlist"/>
        <w:numPr>
          <w:ilvl w:val="0"/>
          <w:numId w:val="266"/>
        </w:numPr>
        <w:spacing w:line="300" w:lineRule="atLeast"/>
        <w:ind w:left="641" w:hanging="357"/>
        <w:jc w:val="both"/>
        <w:rPr>
          <w:sz w:val="24"/>
          <w:szCs w:val="24"/>
        </w:rPr>
      </w:pPr>
      <w:r w:rsidRPr="00260874">
        <w:rPr>
          <w:sz w:val="24"/>
          <w:szCs w:val="24"/>
        </w:rPr>
        <w:t xml:space="preserve">prowadzenia gospodarki odpadów w sposób niezapewniający ochrony życia i zdrowia ludzi oraz środowiska, </w:t>
      </w:r>
    </w:p>
    <w:p w14:paraId="116F28BC" w14:textId="0F932973" w:rsidR="00260874" w:rsidRPr="00260874" w:rsidRDefault="00260874" w:rsidP="00D34F97">
      <w:pPr>
        <w:pStyle w:val="Akapitzlist"/>
        <w:numPr>
          <w:ilvl w:val="0"/>
          <w:numId w:val="266"/>
        </w:numPr>
        <w:spacing w:line="300" w:lineRule="atLeast"/>
        <w:ind w:left="641" w:hanging="357"/>
        <w:jc w:val="both"/>
        <w:rPr>
          <w:sz w:val="24"/>
          <w:szCs w:val="24"/>
        </w:rPr>
      </w:pPr>
      <w:r w:rsidRPr="00260874">
        <w:rPr>
          <w:sz w:val="24"/>
          <w:szCs w:val="24"/>
        </w:rPr>
        <w:t xml:space="preserve">odprowadzania ścieków przemysłowych do urządzeń wodnych bez wymaganego pozwolenia wodnoprawnego, </w:t>
      </w:r>
    </w:p>
    <w:p w14:paraId="21F79399" w14:textId="75BAF0A7" w:rsidR="00260874" w:rsidRPr="00260874" w:rsidRDefault="00260874" w:rsidP="00D34F97">
      <w:pPr>
        <w:pStyle w:val="Akapitzlist"/>
        <w:numPr>
          <w:ilvl w:val="0"/>
          <w:numId w:val="266"/>
        </w:numPr>
        <w:spacing w:line="300" w:lineRule="atLeast"/>
        <w:ind w:left="641" w:hanging="357"/>
        <w:jc w:val="both"/>
        <w:rPr>
          <w:sz w:val="24"/>
          <w:szCs w:val="24"/>
        </w:rPr>
      </w:pPr>
      <w:r w:rsidRPr="00260874">
        <w:rPr>
          <w:sz w:val="24"/>
          <w:szCs w:val="24"/>
        </w:rPr>
        <w:t xml:space="preserve">transportu odpadów niezgodnie z wymaganiami art. 24 ustawy o odpadach, </w:t>
      </w:r>
    </w:p>
    <w:p w14:paraId="6182311A" w14:textId="51B47FEF" w:rsidR="00260874" w:rsidRPr="00260874" w:rsidRDefault="00260874" w:rsidP="00D34F97">
      <w:pPr>
        <w:pStyle w:val="Akapitzlist"/>
        <w:numPr>
          <w:ilvl w:val="0"/>
          <w:numId w:val="266"/>
        </w:numPr>
        <w:spacing w:line="300" w:lineRule="atLeast"/>
        <w:ind w:left="641" w:hanging="357"/>
        <w:jc w:val="both"/>
        <w:rPr>
          <w:sz w:val="24"/>
          <w:szCs w:val="24"/>
        </w:rPr>
      </w:pPr>
      <w:r w:rsidRPr="00260874">
        <w:rPr>
          <w:sz w:val="24"/>
          <w:szCs w:val="24"/>
        </w:rPr>
        <w:t xml:space="preserve">prowadzenia gospodarki odpadami niezgodnie z nakazem określonym w art. 16 ustawy o odpadach (uciążliwość zapachowa), </w:t>
      </w:r>
    </w:p>
    <w:p w14:paraId="088393CB" w14:textId="37EC937A" w:rsidR="00980757" w:rsidRPr="00260874" w:rsidRDefault="00260874" w:rsidP="00D34F97">
      <w:pPr>
        <w:pStyle w:val="Akapitzlist"/>
        <w:numPr>
          <w:ilvl w:val="0"/>
          <w:numId w:val="266"/>
        </w:numPr>
        <w:spacing w:line="300" w:lineRule="atLeast"/>
        <w:ind w:left="641" w:hanging="357"/>
        <w:jc w:val="both"/>
        <w:rPr>
          <w:sz w:val="24"/>
          <w:szCs w:val="24"/>
        </w:rPr>
      </w:pPr>
      <w:r w:rsidRPr="00260874">
        <w:rPr>
          <w:sz w:val="24"/>
          <w:szCs w:val="24"/>
        </w:rPr>
        <w:t>magazynowania odpadów w miejscu na ten cel nieprzeznaczonym</w:t>
      </w:r>
      <w:r w:rsidR="00980757" w:rsidRPr="00260874">
        <w:rPr>
          <w:sz w:val="24"/>
          <w:szCs w:val="24"/>
        </w:rPr>
        <w:t>.</w:t>
      </w:r>
    </w:p>
    <w:p w14:paraId="3AC992CF" w14:textId="77777777" w:rsidR="00980757" w:rsidRPr="00260874" w:rsidRDefault="00980757" w:rsidP="00260874">
      <w:pPr>
        <w:spacing w:line="300" w:lineRule="atLeast"/>
        <w:contextualSpacing/>
        <w:jc w:val="both"/>
        <w:rPr>
          <w:rFonts w:ascii="Times New Roman" w:hAnsi="Times New Roman" w:cs="Times New Roman"/>
          <w:i/>
          <w:color w:val="4472C4"/>
          <w:sz w:val="24"/>
          <w:szCs w:val="24"/>
        </w:rPr>
      </w:pPr>
    </w:p>
    <w:p w14:paraId="6211F4A6" w14:textId="77777777" w:rsidR="00980757" w:rsidRPr="00980757" w:rsidRDefault="00980757" w:rsidP="00E52E45">
      <w:pPr>
        <w:spacing w:after="60" w:line="300" w:lineRule="atLeast"/>
        <w:jc w:val="both"/>
        <w:rPr>
          <w:rFonts w:ascii="Times New Roman" w:hAnsi="Times New Roman" w:cs="Times New Roman"/>
          <w:i/>
          <w:color w:val="4472C4"/>
          <w:sz w:val="24"/>
          <w:szCs w:val="24"/>
        </w:rPr>
      </w:pPr>
      <w:r w:rsidRPr="00980757">
        <w:rPr>
          <w:rFonts w:ascii="Times New Roman" w:hAnsi="Times New Roman" w:cs="Times New Roman"/>
          <w:i/>
          <w:color w:val="4472C4"/>
          <w:sz w:val="24"/>
          <w:szCs w:val="24"/>
        </w:rPr>
        <w:t>Wojewódzki Inspektorat Ochrony Środowiska w Lublinie</w:t>
      </w:r>
    </w:p>
    <w:p w14:paraId="65E38242" w14:textId="77777777" w:rsidR="00980757" w:rsidRPr="00980757" w:rsidRDefault="00980757" w:rsidP="006057A8">
      <w:pPr>
        <w:spacing w:line="300" w:lineRule="atLeast"/>
        <w:ind w:firstLine="567"/>
        <w:contextualSpacing/>
        <w:jc w:val="both"/>
        <w:rPr>
          <w:rFonts w:ascii="Times New Roman" w:hAnsi="Times New Roman" w:cs="Times New Roman"/>
          <w:sz w:val="24"/>
          <w:szCs w:val="24"/>
        </w:rPr>
      </w:pPr>
      <w:r w:rsidRPr="00980757">
        <w:rPr>
          <w:rFonts w:ascii="Times New Roman" w:hAnsi="Times New Roman" w:cs="Times New Roman"/>
          <w:sz w:val="24"/>
          <w:szCs w:val="24"/>
        </w:rPr>
        <w:t xml:space="preserve">Działania z zakresu art. 10b ustawy o IOŚ pozwoliły wykryć nielegalne postępowanie z odpadami takie jak: niedostarczanie odpadów we wskazane w KPO miejsce, zanieczyszczenie terenu odpadami, porzucenie odpadów. </w:t>
      </w:r>
    </w:p>
    <w:p w14:paraId="640904C7" w14:textId="77777777" w:rsidR="00980757" w:rsidRPr="00980757" w:rsidRDefault="00980757" w:rsidP="00980757">
      <w:pPr>
        <w:spacing w:line="300" w:lineRule="atLeast"/>
        <w:contextualSpacing/>
        <w:jc w:val="both"/>
        <w:rPr>
          <w:rFonts w:ascii="Times New Roman" w:hAnsi="Times New Roman" w:cs="Times New Roman"/>
          <w:i/>
          <w:color w:val="4472C4"/>
          <w:sz w:val="24"/>
          <w:szCs w:val="24"/>
        </w:rPr>
      </w:pPr>
    </w:p>
    <w:p w14:paraId="49092839" w14:textId="77777777" w:rsidR="00980757" w:rsidRPr="00980757" w:rsidRDefault="00980757" w:rsidP="00E52E45">
      <w:pPr>
        <w:spacing w:after="60" w:line="300" w:lineRule="atLeast"/>
        <w:jc w:val="both"/>
        <w:rPr>
          <w:rFonts w:ascii="Times New Roman" w:hAnsi="Times New Roman" w:cs="Times New Roman"/>
          <w:i/>
          <w:color w:val="4472C4"/>
          <w:sz w:val="24"/>
          <w:szCs w:val="24"/>
        </w:rPr>
      </w:pPr>
      <w:r w:rsidRPr="00980757">
        <w:rPr>
          <w:rFonts w:ascii="Times New Roman" w:hAnsi="Times New Roman" w:cs="Times New Roman"/>
          <w:i/>
          <w:color w:val="4472C4"/>
          <w:sz w:val="24"/>
          <w:szCs w:val="24"/>
        </w:rPr>
        <w:t>Wojewódzki Inspektorat Ochrony Środowiska w Łodzi</w:t>
      </w:r>
    </w:p>
    <w:p w14:paraId="7F58FC0D" w14:textId="77777777" w:rsidR="00980757" w:rsidRPr="00980757" w:rsidRDefault="00980757" w:rsidP="006057A8">
      <w:pPr>
        <w:spacing w:line="300" w:lineRule="atLeast"/>
        <w:ind w:firstLine="567"/>
        <w:contextualSpacing/>
        <w:jc w:val="both"/>
        <w:rPr>
          <w:rFonts w:ascii="Times New Roman" w:hAnsi="Times New Roman" w:cs="Times New Roman"/>
          <w:sz w:val="24"/>
          <w:szCs w:val="24"/>
        </w:rPr>
      </w:pPr>
      <w:r w:rsidRPr="00980757">
        <w:rPr>
          <w:rFonts w:ascii="Times New Roman" w:hAnsi="Times New Roman" w:cs="Times New Roman"/>
          <w:sz w:val="24"/>
          <w:szCs w:val="24"/>
        </w:rPr>
        <w:t xml:space="preserve">Podczas realizacji zadań najczęściej stwierdzanymi naruszeniami były te o charakterze związanym z niewłaściwym postępowaniem z odpadami. </w:t>
      </w:r>
    </w:p>
    <w:p w14:paraId="13CA8DC4" w14:textId="5912340A" w:rsidR="00980757" w:rsidRPr="00980757" w:rsidRDefault="00980757" w:rsidP="006057A8">
      <w:pPr>
        <w:spacing w:line="300" w:lineRule="atLeast"/>
        <w:ind w:firstLine="567"/>
        <w:contextualSpacing/>
        <w:jc w:val="both"/>
        <w:rPr>
          <w:rFonts w:ascii="Times New Roman" w:hAnsi="Times New Roman" w:cs="Times New Roman"/>
          <w:sz w:val="24"/>
          <w:szCs w:val="24"/>
        </w:rPr>
      </w:pPr>
      <w:r w:rsidRPr="00980757">
        <w:rPr>
          <w:rFonts w:ascii="Times New Roman" w:hAnsi="Times New Roman" w:cs="Times New Roman"/>
          <w:sz w:val="24"/>
          <w:szCs w:val="24"/>
        </w:rPr>
        <w:t xml:space="preserve">W szczególności były to magazynowanie odpadów w miejscu na ten cel nieprzeznaczonym, porzucenia odpadów, zbieranie odpadów niebezpiecznych bez zezwolenia, magazynowanie komunalnych osadów ściekowych w odległości mniejszej niż 50 m od cieku wodnego, brak zezwolenia na przetwarzanie odpadów, nie prowadzenie ewidencji odpadów </w:t>
      </w:r>
      <w:r w:rsidR="00E52E45">
        <w:rPr>
          <w:rFonts w:ascii="Times New Roman" w:hAnsi="Times New Roman" w:cs="Times New Roman"/>
          <w:sz w:val="24"/>
          <w:szCs w:val="24"/>
        </w:rPr>
        <w:br/>
      </w:r>
      <w:r w:rsidRPr="00980757">
        <w:rPr>
          <w:rFonts w:ascii="Times New Roman" w:hAnsi="Times New Roman" w:cs="Times New Roman"/>
          <w:sz w:val="24"/>
          <w:szCs w:val="24"/>
        </w:rPr>
        <w:t>w BDO, przekazywanie odpadów podmiotowi nieuprawnionemu, fikcyjny obrót odpadami (tylko w systemie BDO), spalanie odpadów.</w:t>
      </w:r>
    </w:p>
    <w:p w14:paraId="512225CF" w14:textId="77777777" w:rsidR="00CF68BE" w:rsidRDefault="00CF68BE" w:rsidP="006057A8">
      <w:pPr>
        <w:spacing w:after="0" w:line="300" w:lineRule="atLeast"/>
        <w:jc w:val="both"/>
        <w:rPr>
          <w:rFonts w:ascii="Times New Roman" w:hAnsi="Times New Roman" w:cs="Times New Roman"/>
          <w:i/>
          <w:color w:val="4472C4"/>
          <w:sz w:val="24"/>
          <w:szCs w:val="24"/>
        </w:rPr>
      </w:pPr>
    </w:p>
    <w:p w14:paraId="7DD2F42D" w14:textId="66E743D5" w:rsidR="00980757" w:rsidRPr="00980757" w:rsidRDefault="00980757" w:rsidP="00E52E45">
      <w:pPr>
        <w:spacing w:after="60" w:line="300" w:lineRule="atLeast"/>
        <w:jc w:val="both"/>
        <w:rPr>
          <w:rFonts w:ascii="Times New Roman" w:hAnsi="Times New Roman" w:cs="Times New Roman"/>
          <w:i/>
          <w:color w:val="4472C4"/>
          <w:sz w:val="24"/>
          <w:szCs w:val="24"/>
        </w:rPr>
      </w:pPr>
      <w:r w:rsidRPr="00980757">
        <w:rPr>
          <w:rFonts w:ascii="Times New Roman" w:hAnsi="Times New Roman" w:cs="Times New Roman"/>
          <w:i/>
          <w:color w:val="4472C4"/>
          <w:sz w:val="24"/>
          <w:szCs w:val="24"/>
        </w:rPr>
        <w:t>Wojewódzki Inspektorat Ochrony Środowiska w Olsztynie</w:t>
      </w:r>
    </w:p>
    <w:p w14:paraId="20EE5045" w14:textId="22A20A0A" w:rsidR="00980757" w:rsidRPr="00E52E45" w:rsidRDefault="00E52E45" w:rsidP="006057A8">
      <w:pPr>
        <w:spacing w:line="300" w:lineRule="atLeast"/>
        <w:ind w:firstLine="567"/>
        <w:contextualSpacing/>
        <w:jc w:val="both"/>
        <w:rPr>
          <w:rFonts w:ascii="Times New Roman" w:hAnsi="Times New Roman" w:cs="Times New Roman"/>
          <w:sz w:val="24"/>
          <w:szCs w:val="24"/>
        </w:rPr>
      </w:pPr>
      <w:r w:rsidRPr="00E52E45">
        <w:rPr>
          <w:rFonts w:ascii="Times New Roman" w:hAnsi="Times New Roman" w:cs="Times New Roman"/>
          <w:sz w:val="24"/>
          <w:szCs w:val="24"/>
        </w:rPr>
        <w:t>W trakcie działań podejmowanych w 2022 r. najczęściej stwierdzanymi naruszeniami były: prowadzenie nielegalnego demontażu pojazdów wycofanych z eksploatacji, zanieczyszczenie gruntu substancjami ropopochodnymi, spalanie odpadów, magazynowanie odpadów w miejscach na ten cel nieprzeznaczonych oraz prowadzenie gospodarki odpadami bez uregulowanego stanu formalno-prawnego</w:t>
      </w:r>
      <w:r w:rsidR="00980757" w:rsidRPr="00E52E45">
        <w:rPr>
          <w:rFonts w:ascii="Times New Roman" w:hAnsi="Times New Roman" w:cs="Times New Roman"/>
          <w:sz w:val="24"/>
          <w:szCs w:val="24"/>
        </w:rPr>
        <w:t xml:space="preserve">. </w:t>
      </w:r>
    </w:p>
    <w:p w14:paraId="718A2C86" w14:textId="77777777" w:rsidR="00980757" w:rsidRPr="00980757" w:rsidRDefault="00980757" w:rsidP="00980757">
      <w:pPr>
        <w:spacing w:line="300" w:lineRule="atLeast"/>
        <w:contextualSpacing/>
        <w:jc w:val="both"/>
        <w:rPr>
          <w:rFonts w:ascii="Times New Roman" w:hAnsi="Times New Roman" w:cs="Times New Roman"/>
          <w:i/>
          <w:color w:val="4472C4"/>
          <w:sz w:val="24"/>
          <w:szCs w:val="24"/>
        </w:rPr>
      </w:pPr>
    </w:p>
    <w:p w14:paraId="5CDAF921" w14:textId="77777777" w:rsidR="00980757" w:rsidRPr="00980757" w:rsidRDefault="00980757" w:rsidP="00E52E45">
      <w:pPr>
        <w:spacing w:after="60" w:line="300" w:lineRule="atLeast"/>
        <w:jc w:val="both"/>
        <w:rPr>
          <w:rFonts w:ascii="Times New Roman" w:hAnsi="Times New Roman" w:cs="Times New Roman"/>
          <w:i/>
          <w:color w:val="4472C4"/>
          <w:sz w:val="24"/>
          <w:szCs w:val="24"/>
        </w:rPr>
      </w:pPr>
      <w:r w:rsidRPr="00980757">
        <w:rPr>
          <w:rFonts w:ascii="Times New Roman" w:hAnsi="Times New Roman" w:cs="Times New Roman"/>
          <w:i/>
          <w:color w:val="4472C4"/>
          <w:sz w:val="24"/>
          <w:szCs w:val="24"/>
        </w:rPr>
        <w:lastRenderedPageBreak/>
        <w:t>Wojewódzki Inspektorat Ochrony Środowiska w Opolu</w:t>
      </w:r>
    </w:p>
    <w:p w14:paraId="579448EB" w14:textId="77777777" w:rsidR="00980757" w:rsidRPr="00980757" w:rsidRDefault="00980757" w:rsidP="00757D50">
      <w:pPr>
        <w:spacing w:after="60" w:line="300" w:lineRule="atLeast"/>
        <w:ind w:firstLine="567"/>
        <w:jc w:val="both"/>
        <w:rPr>
          <w:rFonts w:ascii="Times New Roman" w:hAnsi="Times New Roman" w:cs="Times New Roman"/>
          <w:sz w:val="24"/>
          <w:szCs w:val="24"/>
        </w:rPr>
      </w:pPr>
      <w:r w:rsidRPr="00980757">
        <w:rPr>
          <w:rFonts w:ascii="Times New Roman" w:hAnsi="Times New Roman" w:cs="Times New Roman"/>
          <w:sz w:val="24"/>
          <w:szCs w:val="24"/>
        </w:rPr>
        <w:t>Podczas zadań realizowanych w trybie art. 10b ustawy o Inspekcji Ochrony Środowiska w 2022 r. stwierdzono następujące naruszenia:</w:t>
      </w:r>
    </w:p>
    <w:p w14:paraId="6EBE48B8" w14:textId="542C04EF" w:rsidR="00980757" w:rsidRPr="00E52E45" w:rsidRDefault="00980757" w:rsidP="00D34F97">
      <w:pPr>
        <w:pStyle w:val="Akapitzlist"/>
        <w:numPr>
          <w:ilvl w:val="0"/>
          <w:numId w:val="267"/>
        </w:numPr>
        <w:spacing w:line="300" w:lineRule="atLeast"/>
        <w:ind w:left="641" w:hanging="357"/>
        <w:jc w:val="both"/>
        <w:rPr>
          <w:sz w:val="24"/>
          <w:szCs w:val="24"/>
        </w:rPr>
      </w:pPr>
      <w:r w:rsidRPr="00E52E45">
        <w:rPr>
          <w:sz w:val="24"/>
          <w:szCs w:val="24"/>
        </w:rPr>
        <w:t xml:space="preserve">zbieranie i przetwarzanie odpadów bez wymaganej decyzji udzielającej zezwolenia, </w:t>
      </w:r>
      <w:r w:rsidR="00E52E45">
        <w:rPr>
          <w:sz w:val="24"/>
          <w:szCs w:val="24"/>
        </w:rPr>
        <w:br/>
      </w:r>
      <w:r w:rsidRPr="00E52E45">
        <w:rPr>
          <w:sz w:val="24"/>
          <w:szCs w:val="24"/>
        </w:rPr>
        <w:t>o której mowa w art. 41 ust. 1 ustawy o odpadach,</w:t>
      </w:r>
    </w:p>
    <w:p w14:paraId="14F8A386" w14:textId="1D337739" w:rsidR="00980757" w:rsidRPr="00E52E45" w:rsidRDefault="00980757" w:rsidP="00D34F97">
      <w:pPr>
        <w:pStyle w:val="Akapitzlist"/>
        <w:numPr>
          <w:ilvl w:val="0"/>
          <w:numId w:val="267"/>
        </w:numPr>
        <w:spacing w:line="300" w:lineRule="atLeast"/>
        <w:ind w:left="641" w:hanging="357"/>
        <w:jc w:val="both"/>
        <w:rPr>
          <w:sz w:val="24"/>
          <w:szCs w:val="24"/>
        </w:rPr>
      </w:pPr>
      <w:r w:rsidRPr="00E52E45">
        <w:rPr>
          <w:sz w:val="24"/>
          <w:szCs w:val="24"/>
        </w:rPr>
        <w:t xml:space="preserve">brak wpisu do rejestru podmiotów wprowadzających produkty, produkty </w:t>
      </w:r>
      <w:r w:rsidR="00E52E45">
        <w:rPr>
          <w:sz w:val="24"/>
          <w:szCs w:val="24"/>
        </w:rPr>
        <w:br/>
      </w:r>
      <w:r w:rsidRPr="00E52E45">
        <w:rPr>
          <w:sz w:val="24"/>
          <w:szCs w:val="24"/>
        </w:rPr>
        <w:t>w opakowaniach i gospodarujących odpadami (BDO) dla miejsca prowadzenia działalności,</w:t>
      </w:r>
    </w:p>
    <w:p w14:paraId="21A5F5B7" w14:textId="5208A64B" w:rsidR="00980757" w:rsidRPr="00E52E45" w:rsidRDefault="00980757" w:rsidP="00D34F97">
      <w:pPr>
        <w:pStyle w:val="Akapitzlist"/>
        <w:numPr>
          <w:ilvl w:val="0"/>
          <w:numId w:val="267"/>
        </w:numPr>
        <w:spacing w:line="300" w:lineRule="atLeast"/>
        <w:ind w:left="641" w:hanging="357"/>
        <w:jc w:val="both"/>
        <w:rPr>
          <w:sz w:val="24"/>
          <w:szCs w:val="24"/>
        </w:rPr>
      </w:pPr>
      <w:r w:rsidRPr="00E52E45">
        <w:rPr>
          <w:sz w:val="24"/>
          <w:szCs w:val="24"/>
        </w:rPr>
        <w:t>prowadzenie ewidencji odpadów niezgodnie ze stanem rzeczywistym,</w:t>
      </w:r>
    </w:p>
    <w:p w14:paraId="76D0437F" w14:textId="7734D30C" w:rsidR="00980757" w:rsidRPr="00E52E45" w:rsidRDefault="00980757" w:rsidP="00D34F97">
      <w:pPr>
        <w:pStyle w:val="Akapitzlist"/>
        <w:numPr>
          <w:ilvl w:val="0"/>
          <w:numId w:val="267"/>
        </w:numPr>
        <w:spacing w:line="300" w:lineRule="atLeast"/>
        <w:ind w:left="641" w:hanging="357"/>
        <w:jc w:val="both"/>
        <w:rPr>
          <w:sz w:val="24"/>
          <w:szCs w:val="24"/>
        </w:rPr>
      </w:pPr>
      <w:r w:rsidRPr="00E52E45">
        <w:rPr>
          <w:sz w:val="24"/>
          <w:szCs w:val="24"/>
        </w:rPr>
        <w:t>prowadzenie monitoringu wizyjnego miejsc magazynowania odpadów niezgodnie z art. 25 ust. 6a ustawy o odpadach,</w:t>
      </w:r>
    </w:p>
    <w:p w14:paraId="2EBA4D0F" w14:textId="280541E2" w:rsidR="00980757" w:rsidRPr="00E52E45" w:rsidRDefault="00980757" w:rsidP="00D34F97">
      <w:pPr>
        <w:pStyle w:val="Akapitzlist"/>
        <w:numPr>
          <w:ilvl w:val="0"/>
          <w:numId w:val="267"/>
        </w:numPr>
        <w:spacing w:line="300" w:lineRule="atLeast"/>
        <w:ind w:left="641" w:hanging="357"/>
        <w:jc w:val="both"/>
        <w:rPr>
          <w:sz w:val="24"/>
          <w:szCs w:val="24"/>
        </w:rPr>
      </w:pPr>
      <w:r w:rsidRPr="00E52E45">
        <w:rPr>
          <w:sz w:val="24"/>
          <w:szCs w:val="24"/>
        </w:rPr>
        <w:t>magazynowanie odpadów niezgodnie z wymaganiami, o których mowa w art. 25 ustawy z dnia 14 grudnia 2012 r. ustawy o odpadach,</w:t>
      </w:r>
    </w:p>
    <w:p w14:paraId="3C2AFDE9" w14:textId="367912D6" w:rsidR="00980757" w:rsidRPr="00E52E45" w:rsidRDefault="00980757" w:rsidP="00D34F97">
      <w:pPr>
        <w:pStyle w:val="Akapitzlist"/>
        <w:numPr>
          <w:ilvl w:val="0"/>
          <w:numId w:val="267"/>
        </w:numPr>
        <w:spacing w:line="300" w:lineRule="atLeast"/>
        <w:ind w:left="641" w:hanging="357"/>
        <w:jc w:val="both"/>
        <w:rPr>
          <w:sz w:val="24"/>
          <w:szCs w:val="24"/>
        </w:rPr>
      </w:pPr>
      <w:r w:rsidRPr="00E52E45">
        <w:rPr>
          <w:sz w:val="24"/>
          <w:szCs w:val="24"/>
        </w:rPr>
        <w:t>prowadzenie gospodarki odpadami w sposób niezapewniający ochrony życia i zdrowia ludzi oraz środowiska,</w:t>
      </w:r>
    </w:p>
    <w:p w14:paraId="585B95BB" w14:textId="38C6FCC9" w:rsidR="00980757" w:rsidRPr="00E52E45" w:rsidRDefault="00980757" w:rsidP="00D34F97">
      <w:pPr>
        <w:pStyle w:val="Akapitzlist"/>
        <w:numPr>
          <w:ilvl w:val="0"/>
          <w:numId w:val="267"/>
        </w:numPr>
        <w:spacing w:line="300" w:lineRule="atLeast"/>
        <w:ind w:left="641" w:hanging="357"/>
        <w:jc w:val="both"/>
        <w:rPr>
          <w:sz w:val="24"/>
          <w:szCs w:val="24"/>
        </w:rPr>
      </w:pPr>
      <w:r w:rsidRPr="00E52E45">
        <w:rPr>
          <w:sz w:val="24"/>
          <w:szCs w:val="24"/>
        </w:rPr>
        <w:t>prowadzenie demontażu pojazdów poza stacją demontażu,</w:t>
      </w:r>
    </w:p>
    <w:p w14:paraId="4C8C08B7" w14:textId="6DC3CDD9" w:rsidR="00980757" w:rsidRPr="00E52E45" w:rsidRDefault="00980757" w:rsidP="00D34F97">
      <w:pPr>
        <w:pStyle w:val="Akapitzlist"/>
        <w:numPr>
          <w:ilvl w:val="0"/>
          <w:numId w:val="267"/>
        </w:numPr>
        <w:spacing w:line="300" w:lineRule="atLeast"/>
        <w:ind w:left="641" w:hanging="357"/>
        <w:jc w:val="both"/>
        <w:rPr>
          <w:sz w:val="24"/>
          <w:szCs w:val="24"/>
        </w:rPr>
      </w:pPr>
      <w:r w:rsidRPr="00E52E45">
        <w:rPr>
          <w:sz w:val="24"/>
          <w:szCs w:val="24"/>
        </w:rPr>
        <w:t>odprowadzanie ścieków do środowiska bez wymaganego pozwolenia wodnoprawnego</w:t>
      </w:r>
      <w:r w:rsidR="00E52E45">
        <w:rPr>
          <w:sz w:val="24"/>
          <w:szCs w:val="24"/>
          <w:lang w:val="pl-PL"/>
        </w:rPr>
        <w:t>.</w:t>
      </w:r>
    </w:p>
    <w:p w14:paraId="33372FE5" w14:textId="77777777" w:rsidR="00980757" w:rsidRPr="00E52E45" w:rsidRDefault="00980757" w:rsidP="00980757">
      <w:pPr>
        <w:spacing w:line="300" w:lineRule="atLeast"/>
        <w:contextualSpacing/>
        <w:jc w:val="both"/>
        <w:rPr>
          <w:rFonts w:ascii="Times New Roman" w:hAnsi="Times New Roman" w:cs="Times New Roman"/>
          <w:i/>
          <w:color w:val="4472C4"/>
          <w:sz w:val="24"/>
          <w:szCs w:val="24"/>
          <w:lang w:val="x-none"/>
        </w:rPr>
      </w:pPr>
    </w:p>
    <w:p w14:paraId="67352EBE" w14:textId="77777777" w:rsidR="00980757" w:rsidRPr="00980757" w:rsidRDefault="00980757" w:rsidP="00E52E45">
      <w:pPr>
        <w:spacing w:after="60" w:line="300" w:lineRule="atLeast"/>
        <w:jc w:val="both"/>
        <w:rPr>
          <w:rFonts w:ascii="Times New Roman" w:hAnsi="Times New Roman" w:cs="Times New Roman"/>
          <w:i/>
          <w:color w:val="4472C4"/>
          <w:sz w:val="24"/>
          <w:szCs w:val="24"/>
        </w:rPr>
      </w:pPr>
      <w:r w:rsidRPr="00980757">
        <w:rPr>
          <w:rFonts w:ascii="Times New Roman" w:hAnsi="Times New Roman" w:cs="Times New Roman"/>
          <w:i/>
          <w:color w:val="4472C4"/>
          <w:sz w:val="24"/>
          <w:szCs w:val="24"/>
        </w:rPr>
        <w:t>Wojewódzki Inspektorat Ochrony Środowiska w Poznaniu</w:t>
      </w:r>
    </w:p>
    <w:p w14:paraId="7E4F24F5" w14:textId="77777777" w:rsidR="00980757" w:rsidRPr="00980757" w:rsidRDefault="00980757" w:rsidP="00E52E45">
      <w:pPr>
        <w:spacing w:after="60" w:line="300" w:lineRule="atLeast"/>
        <w:jc w:val="both"/>
        <w:rPr>
          <w:rFonts w:ascii="Times New Roman" w:hAnsi="Times New Roman" w:cs="Times New Roman"/>
          <w:sz w:val="24"/>
          <w:szCs w:val="24"/>
        </w:rPr>
      </w:pPr>
      <w:r w:rsidRPr="00980757">
        <w:rPr>
          <w:rFonts w:ascii="Times New Roman" w:hAnsi="Times New Roman" w:cs="Times New Roman"/>
          <w:sz w:val="24"/>
          <w:szCs w:val="24"/>
        </w:rPr>
        <w:t>Naruszenia, jakie stwierdzano w wyniku prowadzonych działań, to m.in.:</w:t>
      </w:r>
    </w:p>
    <w:p w14:paraId="3D49C776" w14:textId="146D1C98" w:rsidR="00980757" w:rsidRPr="00E52E45" w:rsidRDefault="00980757" w:rsidP="00D34F97">
      <w:pPr>
        <w:pStyle w:val="Akapitzlist"/>
        <w:numPr>
          <w:ilvl w:val="0"/>
          <w:numId w:val="268"/>
        </w:numPr>
        <w:spacing w:line="300" w:lineRule="atLeast"/>
        <w:jc w:val="both"/>
        <w:rPr>
          <w:sz w:val="24"/>
          <w:szCs w:val="24"/>
        </w:rPr>
      </w:pPr>
      <w:r w:rsidRPr="00E52E45">
        <w:rPr>
          <w:sz w:val="24"/>
          <w:szCs w:val="24"/>
        </w:rPr>
        <w:t>nielegalne międzynarodowe przemieszczanie odpadów w postaci pojazdów wycofanych z eksploatacji,</w:t>
      </w:r>
    </w:p>
    <w:p w14:paraId="5275C877" w14:textId="3912EE97" w:rsidR="00980757" w:rsidRPr="00E52E45" w:rsidRDefault="00980757" w:rsidP="00D34F97">
      <w:pPr>
        <w:pStyle w:val="Akapitzlist"/>
        <w:numPr>
          <w:ilvl w:val="0"/>
          <w:numId w:val="268"/>
        </w:numPr>
        <w:spacing w:line="300" w:lineRule="atLeast"/>
        <w:jc w:val="both"/>
        <w:rPr>
          <w:sz w:val="24"/>
          <w:szCs w:val="24"/>
        </w:rPr>
      </w:pPr>
      <w:r w:rsidRPr="00E52E45">
        <w:rPr>
          <w:sz w:val="24"/>
          <w:szCs w:val="24"/>
        </w:rPr>
        <w:t xml:space="preserve">demontaż pojazdów poza stacją demontażu, </w:t>
      </w:r>
    </w:p>
    <w:p w14:paraId="0B986BD4" w14:textId="18579BB7" w:rsidR="00980757" w:rsidRPr="00E52E45" w:rsidRDefault="00980757" w:rsidP="00D34F97">
      <w:pPr>
        <w:pStyle w:val="Akapitzlist"/>
        <w:numPr>
          <w:ilvl w:val="0"/>
          <w:numId w:val="268"/>
        </w:numPr>
        <w:spacing w:line="300" w:lineRule="atLeast"/>
        <w:jc w:val="both"/>
        <w:rPr>
          <w:sz w:val="24"/>
          <w:szCs w:val="24"/>
        </w:rPr>
      </w:pPr>
      <w:r w:rsidRPr="00E52E45">
        <w:rPr>
          <w:sz w:val="24"/>
          <w:szCs w:val="24"/>
        </w:rPr>
        <w:t>magazynowanie/składowanie odpadów, w tym odpadów niebezpiecznych, w miejscach nieprzeznaczonych,</w:t>
      </w:r>
    </w:p>
    <w:p w14:paraId="716D5B63" w14:textId="5F931C46" w:rsidR="00980757" w:rsidRPr="00E52E45" w:rsidRDefault="00980757" w:rsidP="00D34F97">
      <w:pPr>
        <w:pStyle w:val="Akapitzlist"/>
        <w:numPr>
          <w:ilvl w:val="0"/>
          <w:numId w:val="268"/>
        </w:numPr>
        <w:spacing w:line="300" w:lineRule="atLeast"/>
        <w:jc w:val="both"/>
        <w:rPr>
          <w:sz w:val="24"/>
          <w:szCs w:val="24"/>
        </w:rPr>
      </w:pPr>
      <w:r w:rsidRPr="00E52E45">
        <w:rPr>
          <w:sz w:val="24"/>
          <w:szCs w:val="24"/>
        </w:rPr>
        <w:t>zbieranie/przetwarzanie odpadów bez wymaganych zezwoleń,</w:t>
      </w:r>
    </w:p>
    <w:p w14:paraId="0B57C7B9" w14:textId="760A2451" w:rsidR="00980757" w:rsidRPr="00E52E45" w:rsidRDefault="00980757" w:rsidP="00D34F97">
      <w:pPr>
        <w:pStyle w:val="Akapitzlist"/>
        <w:numPr>
          <w:ilvl w:val="0"/>
          <w:numId w:val="268"/>
        </w:numPr>
        <w:spacing w:line="300" w:lineRule="atLeast"/>
        <w:jc w:val="both"/>
        <w:rPr>
          <w:sz w:val="24"/>
          <w:szCs w:val="24"/>
        </w:rPr>
      </w:pPr>
      <w:r w:rsidRPr="00E52E45">
        <w:rPr>
          <w:sz w:val="24"/>
          <w:szCs w:val="24"/>
        </w:rPr>
        <w:t>nieprowadzenie lub nierzetelne prowadzenia ewidencji odpadów, lub niezgodne ze stanem faktycznym.</w:t>
      </w:r>
    </w:p>
    <w:p w14:paraId="370AD9D0" w14:textId="77777777" w:rsidR="00E52E45" w:rsidRPr="00E52E45" w:rsidRDefault="00E52E45" w:rsidP="00980757">
      <w:pPr>
        <w:spacing w:line="300" w:lineRule="atLeast"/>
        <w:contextualSpacing/>
        <w:jc w:val="both"/>
        <w:rPr>
          <w:rFonts w:ascii="Times New Roman" w:hAnsi="Times New Roman" w:cs="Times New Roman"/>
          <w:i/>
          <w:color w:val="4472C4"/>
          <w:sz w:val="24"/>
          <w:szCs w:val="24"/>
          <w:lang w:val="x-none"/>
        </w:rPr>
      </w:pPr>
    </w:p>
    <w:p w14:paraId="2A0A6B59" w14:textId="77777777" w:rsidR="00980757" w:rsidRPr="00980757" w:rsidRDefault="00980757" w:rsidP="00E52E45">
      <w:pPr>
        <w:spacing w:after="60" w:line="300" w:lineRule="atLeast"/>
        <w:jc w:val="both"/>
        <w:rPr>
          <w:rFonts w:ascii="Times New Roman" w:hAnsi="Times New Roman" w:cs="Times New Roman"/>
          <w:i/>
          <w:color w:val="4472C4"/>
          <w:sz w:val="24"/>
          <w:szCs w:val="24"/>
        </w:rPr>
      </w:pPr>
      <w:r w:rsidRPr="00980757">
        <w:rPr>
          <w:rFonts w:ascii="Times New Roman" w:hAnsi="Times New Roman" w:cs="Times New Roman"/>
          <w:i/>
          <w:color w:val="4472C4"/>
          <w:sz w:val="24"/>
          <w:szCs w:val="24"/>
        </w:rPr>
        <w:t>Wojewódzki Inspektorat Ochrony Środowiska w Rzeszowie</w:t>
      </w:r>
    </w:p>
    <w:p w14:paraId="6CC50188" w14:textId="27C1F6BE" w:rsidR="00980757" w:rsidRDefault="00980757" w:rsidP="001976FB">
      <w:pPr>
        <w:autoSpaceDE w:val="0"/>
        <w:autoSpaceDN w:val="0"/>
        <w:adjustRightInd w:val="0"/>
        <w:spacing w:line="300" w:lineRule="atLeast"/>
        <w:ind w:firstLine="567"/>
        <w:contextualSpacing/>
        <w:jc w:val="both"/>
        <w:rPr>
          <w:rFonts w:ascii="Times New Roman" w:hAnsi="Times New Roman" w:cs="Times New Roman"/>
          <w:sz w:val="24"/>
          <w:szCs w:val="24"/>
        </w:rPr>
      </w:pPr>
      <w:r w:rsidRPr="00980757">
        <w:rPr>
          <w:rFonts w:ascii="Times New Roman" w:hAnsi="Times New Roman" w:cs="Times New Roman"/>
          <w:sz w:val="24"/>
          <w:szCs w:val="24"/>
        </w:rPr>
        <w:t xml:space="preserve">W wyniku przeprowadzonych działań w ramach czynności podejmowanych przez Grupę w roku 2022, w przeważającym zakresie stwierdzono naruszenie przepisów postępowania </w:t>
      </w:r>
      <w:r w:rsidR="001976FB">
        <w:rPr>
          <w:rFonts w:ascii="Times New Roman" w:hAnsi="Times New Roman" w:cs="Times New Roman"/>
          <w:sz w:val="24"/>
          <w:szCs w:val="24"/>
        </w:rPr>
        <w:br/>
      </w:r>
      <w:r w:rsidRPr="00980757">
        <w:rPr>
          <w:rFonts w:ascii="Times New Roman" w:hAnsi="Times New Roman" w:cs="Times New Roman"/>
          <w:sz w:val="24"/>
          <w:szCs w:val="24"/>
        </w:rPr>
        <w:t xml:space="preserve">z odpadami w postaci braku uregulowań formalno-prawnych w obszarze prowadzonej działalności lub prowadzenie tej działalności niezgodnie z posiadanymi uregulowaniami. </w:t>
      </w:r>
    </w:p>
    <w:p w14:paraId="016EFEDA" w14:textId="77777777" w:rsidR="00CF68BE" w:rsidRPr="00980757" w:rsidRDefault="00CF68BE" w:rsidP="001976FB">
      <w:pPr>
        <w:autoSpaceDE w:val="0"/>
        <w:autoSpaceDN w:val="0"/>
        <w:adjustRightInd w:val="0"/>
        <w:spacing w:line="300" w:lineRule="atLeast"/>
        <w:ind w:firstLine="567"/>
        <w:contextualSpacing/>
        <w:jc w:val="both"/>
        <w:rPr>
          <w:rFonts w:ascii="Times New Roman" w:hAnsi="Times New Roman" w:cs="Times New Roman"/>
          <w:sz w:val="24"/>
          <w:szCs w:val="24"/>
        </w:rPr>
      </w:pPr>
    </w:p>
    <w:p w14:paraId="0085AA53" w14:textId="77777777" w:rsidR="00980757" w:rsidRPr="00980757" w:rsidRDefault="00980757" w:rsidP="001976FB">
      <w:pPr>
        <w:spacing w:after="60" w:line="300" w:lineRule="atLeast"/>
        <w:jc w:val="both"/>
        <w:rPr>
          <w:rFonts w:ascii="Times New Roman" w:hAnsi="Times New Roman" w:cs="Times New Roman"/>
          <w:i/>
          <w:color w:val="4472C4"/>
          <w:sz w:val="24"/>
          <w:szCs w:val="24"/>
        </w:rPr>
      </w:pPr>
      <w:r w:rsidRPr="00980757">
        <w:rPr>
          <w:rFonts w:ascii="Times New Roman" w:hAnsi="Times New Roman" w:cs="Times New Roman"/>
          <w:i/>
          <w:color w:val="4472C4"/>
          <w:sz w:val="24"/>
          <w:szCs w:val="24"/>
        </w:rPr>
        <w:t>Wojewódzki Inspektorat Ochrony Środowiska w Szczecinie</w:t>
      </w:r>
    </w:p>
    <w:p w14:paraId="22E3E28F" w14:textId="1A33A2A7" w:rsidR="00980757" w:rsidRDefault="00980757" w:rsidP="00757D50">
      <w:pPr>
        <w:autoSpaceDE w:val="0"/>
        <w:autoSpaceDN w:val="0"/>
        <w:adjustRightInd w:val="0"/>
        <w:spacing w:line="300" w:lineRule="atLeast"/>
        <w:ind w:firstLine="567"/>
        <w:contextualSpacing/>
        <w:jc w:val="both"/>
        <w:rPr>
          <w:rFonts w:ascii="Times New Roman" w:hAnsi="Times New Roman" w:cs="Times New Roman"/>
          <w:sz w:val="24"/>
          <w:szCs w:val="24"/>
        </w:rPr>
      </w:pPr>
      <w:r w:rsidRPr="00980757">
        <w:rPr>
          <w:rFonts w:ascii="Times New Roman" w:hAnsi="Times New Roman" w:cs="Times New Roman"/>
          <w:sz w:val="24"/>
          <w:szCs w:val="24"/>
        </w:rPr>
        <w:t xml:space="preserve">Większość ujawnionych naruszeń miała związek z gospodarką odpadami, w tym </w:t>
      </w:r>
      <w:r w:rsidR="001976FB">
        <w:rPr>
          <w:rFonts w:ascii="Times New Roman" w:hAnsi="Times New Roman" w:cs="Times New Roman"/>
          <w:sz w:val="24"/>
          <w:szCs w:val="24"/>
        </w:rPr>
        <w:br/>
      </w:r>
      <w:r w:rsidRPr="00980757">
        <w:rPr>
          <w:rFonts w:ascii="Times New Roman" w:hAnsi="Times New Roman" w:cs="Times New Roman"/>
          <w:sz w:val="24"/>
          <w:szCs w:val="24"/>
        </w:rPr>
        <w:t>z termicznym przekształcaniem odpadów poza spalarniami. Pozostałe naruszenia dotyczyły gospodarki wodno-ściekowej i zanieczyszczenia środowiska wodnego.</w:t>
      </w:r>
    </w:p>
    <w:p w14:paraId="49F38FA6" w14:textId="77777777" w:rsidR="00CF68BE" w:rsidRPr="00980757" w:rsidRDefault="00CF68BE" w:rsidP="001976FB">
      <w:pPr>
        <w:autoSpaceDE w:val="0"/>
        <w:autoSpaceDN w:val="0"/>
        <w:adjustRightInd w:val="0"/>
        <w:spacing w:line="300" w:lineRule="atLeast"/>
        <w:ind w:firstLine="567"/>
        <w:contextualSpacing/>
        <w:jc w:val="both"/>
        <w:rPr>
          <w:rFonts w:ascii="Times New Roman" w:hAnsi="Times New Roman" w:cs="Times New Roman"/>
          <w:sz w:val="24"/>
          <w:szCs w:val="24"/>
        </w:rPr>
      </w:pPr>
    </w:p>
    <w:p w14:paraId="4A23CB45" w14:textId="77777777" w:rsidR="00980757" w:rsidRPr="00980757" w:rsidRDefault="00980757" w:rsidP="001976FB">
      <w:pPr>
        <w:spacing w:after="60" w:line="300" w:lineRule="atLeast"/>
        <w:jc w:val="both"/>
        <w:rPr>
          <w:rFonts w:ascii="Times New Roman" w:hAnsi="Times New Roman" w:cs="Times New Roman"/>
          <w:i/>
          <w:color w:val="4472C4"/>
          <w:sz w:val="24"/>
          <w:szCs w:val="24"/>
        </w:rPr>
      </w:pPr>
      <w:r w:rsidRPr="00980757">
        <w:rPr>
          <w:rFonts w:ascii="Times New Roman" w:hAnsi="Times New Roman" w:cs="Times New Roman"/>
          <w:i/>
          <w:color w:val="4472C4"/>
          <w:sz w:val="24"/>
          <w:szCs w:val="24"/>
        </w:rPr>
        <w:t>Wojewódzki Inspektorat Ochrony Środowiska w Warszawie</w:t>
      </w:r>
    </w:p>
    <w:p w14:paraId="79DC8E43" w14:textId="77777777" w:rsidR="00980757" w:rsidRPr="00980757" w:rsidRDefault="00980757" w:rsidP="001976FB">
      <w:pPr>
        <w:spacing w:after="60" w:line="300" w:lineRule="atLeast"/>
        <w:ind w:firstLine="357"/>
        <w:jc w:val="both"/>
        <w:rPr>
          <w:rStyle w:val="markedcontent"/>
          <w:rFonts w:ascii="Times New Roman" w:hAnsi="Times New Roman" w:cs="Times New Roman"/>
          <w:sz w:val="24"/>
          <w:szCs w:val="24"/>
        </w:rPr>
      </w:pPr>
      <w:r w:rsidRPr="00980757">
        <w:rPr>
          <w:rFonts w:ascii="Times New Roman" w:hAnsi="Times New Roman" w:cs="Times New Roman"/>
          <w:sz w:val="24"/>
          <w:szCs w:val="24"/>
        </w:rPr>
        <w:t xml:space="preserve">Najczęstszymi nieprawidłowościami stwierdzanymi podczas czynności było niewłaściwe prowadzenie gospodarki odpadami i powodowanie zagrożenia </w:t>
      </w:r>
      <w:r w:rsidRPr="00980757">
        <w:rPr>
          <w:rStyle w:val="markedcontent"/>
          <w:rFonts w:ascii="Times New Roman" w:hAnsi="Times New Roman" w:cs="Times New Roman"/>
          <w:sz w:val="24"/>
          <w:szCs w:val="24"/>
        </w:rPr>
        <w:t>dla poszczególnych komponentów środowiska oraz ludzi i zwierząt</w:t>
      </w:r>
      <w:r w:rsidRPr="00980757">
        <w:rPr>
          <w:rFonts w:ascii="Times New Roman" w:hAnsi="Times New Roman" w:cs="Times New Roman"/>
          <w:sz w:val="24"/>
          <w:szCs w:val="24"/>
        </w:rPr>
        <w:t>.</w:t>
      </w:r>
      <w:r w:rsidRPr="00980757">
        <w:rPr>
          <w:rStyle w:val="markedcontent"/>
          <w:rFonts w:ascii="Times New Roman" w:hAnsi="Times New Roman" w:cs="Times New Roman"/>
          <w:sz w:val="24"/>
          <w:szCs w:val="24"/>
        </w:rPr>
        <w:t xml:space="preserve"> Są to wykroczenia z art. 171 ustawy o odpadach i 154 § 2 Kodeksu wykroczeń w tym m.in.:</w:t>
      </w:r>
    </w:p>
    <w:p w14:paraId="1D4A96F4" w14:textId="77777777" w:rsidR="00980757" w:rsidRPr="00980757" w:rsidRDefault="00980757" w:rsidP="00D34F97">
      <w:pPr>
        <w:pStyle w:val="Akapitzlist"/>
        <w:numPr>
          <w:ilvl w:val="0"/>
          <w:numId w:val="269"/>
        </w:numPr>
        <w:spacing w:line="300" w:lineRule="atLeast"/>
        <w:ind w:left="641" w:hanging="357"/>
        <w:jc w:val="both"/>
        <w:rPr>
          <w:iCs/>
          <w:sz w:val="24"/>
          <w:szCs w:val="24"/>
        </w:rPr>
      </w:pPr>
      <w:r w:rsidRPr="00980757">
        <w:rPr>
          <w:iCs/>
          <w:sz w:val="24"/>
          <w:szCs w:val="24"/>
        </w:rPr>
        <w:lastRenderedPageBreak/>
        <w:t xml:space="preserve">magazynowanie odpadów wbrew obowiązującym przepisom, </w:t>
      </w:r>
    </w:p>
    <w:p w14:paraId="518DD6CC" w14:textId="77777777" w:rsidR="00980757" w:rsidRPr="00980757" w:rsidRDefault="00980757" w:rsidP="00D34F97">
      <w:pPr>
        <w:pStyle w:val="Akapitzlist"/>
        <w:numPr>
          <w:ilvl w:val="0"/>
          <w:numId w:val="269"/>
        </w:numPr>
        <w:spacing w:line="300" w:lineRule="atLeast"/>
        <w:ind w:left="641" w:hanging="357"/>
        <w:jc w:val="both"/>
        <w:rPr>
          <w:iCs/>
          <w:sz w:val="24"/>
          <w:szCs w:val="24"/>
        </w:rPr>
      </w:pPr>
      <w:r w:rsidRPr="00980757">
        <w:rPr>
          <w:iCs/>
          <w:sz w:val="24"/>
          <w:szCs w:val="24"/>
        </w:rPr>
        <w:t>naruszanie decyzji wydanych na rekultywację wyrobisk,</w:t>
      </w:r>
    </w:p>
    <w:p w14:paraId="497626E0" w14:textId="77777777" w:rsidR="00980757" w:rsidRPr="00980757" w:rsidRDefault="00980757" w:rsidP="00D34F97">
      <w:pPr>
        <w:pStyle w:val="Akapitzlist"/>
        <w:numPr>
          <w:ilvl w:val="0"/>
          <w:numId w:val="269"/>
        </w:numPr>
        <w:spacing w:line="300" w:lineRule="atLeast"/>
        <w:ind w:left="641" w:hanging="357"/>
        <w:jc w:val="both"/>
        <w:rPr>
          <w:iCs/>
          <w:sz w:val="24"/>
          <w:szCs w:val="24"/>
        </w:rPr>
      </w:pPr>
      <w:r w:rsidRPr="00980757">
        <w:rPr>
          <w:iCs/>
          <w:sz w:val="24"/>
          <w:szCs w:val="24"/>
        </w:rPr>
        <w:t>naruszanie decyzji na zbieranie i magazynowanie odpadów,</w:t>
      </w:r>
    </w:p>
    <w:p w14:paraId="54BE4640" w14:textId="77777777" w:rsidR="00980757" w:rsidRPr="00980757" w:rsidRDefault="00980757" w:rsidP="00D34F97">
      <w:pPr>
        <w:pStyle w:val="Akapitzlist"/>
        <w:numPr>
          <w:ilvl w:val="0"/>
          <w:numId w:val="269"/>
        </w:numPr>
        <w:spacing w:line="300" w:lineRule="atLeast"/>
        <w:ind w:left="641" w:hanging="357"/>
        <w:jc w:val="both"/>
        <w:rPr>
          <w:iCs/>
          <w:sz w:val="24"/>
          <w:szCs w:val="24"/>
        </w:rPr>
      </w:pPr>
      <w:r w:rsidRPr="00980757">
        <w:rPr>
          <w:iCs/>
          <w:sz w:val="24"/>
          <w:szCs w:val="24"/>
        </w:rPr>
        <w:t xml:space="preserve">dokonywanie poza stacją demontażu pojazdów wymontowania z pojazdów wycofanych </w:t>
      </w:r>
      <w:r w:rsidRPr="00980757">
        <w:rPr>
          <w:iCs/>
          <w:sz w:val="24"/>
          <w:szCs w:val="24"/>
        </w:rPr>
        <w:br/>
        <w:t>z eksploatacji elementów lub substancji niebezpiecznych, w tym płynów, przedmiotów wyposażenia lub części nadających się do ponownego użycia oraz elementów nadających się do odzysku lub recyklingu, - spalanie odpadów,</w:t>
      </w:r>
    </w:p>
    <w:p w14:paraId="2299EE27" w14:textId="77777777" w:rsidR="00980757" w:rsidRPr="00980757" w:rsidRDefault="00980757" w:rsidP="00D34F97">
      <w:pPr>
        <w:pStyle w:val="Akapitzlist"/>
        <w:numPr>
          <w:ilvl w:val="0"/>
          <w:numId w:val="269"/>
        </w:numPr>
        <w:spacing w:line="300" w:lineRule="atLeast"/>
        <w:ind w:left="641" w:hanging="357"/>
        <w:jc w:val="both"/>
        <w:rPr>
          <w:rStyle w:val="markedcontent"/>
          <w:sz w:val="24"/>
          <w:szCs w:val="24"/>
        </w:rPr>
      </w:pPr>
      <w:r w:rsidRPr="00980757">
        <w:rPr>
          <w:iCs/>
          <w:sz w:val="24"/>
          <w:szCs w:val="24"/>
        </w:rPr>
        <w:t>porzucanie odpadów niebezpiecznych.</w:t>
      </w:r>
    </w:p>
    <w:p w14:paraId="06520D09" w14:textId="77777777" w:rsidR="00980757" w:rsidRPr="00980757" w:rsidRDefault="00980757" w:rsidP="00980757">
      <w:pPr>
        <w:spacing w:line="300" w:lineRule="atLeast"/>
        <w:contextualSpacing/>
        <w:jc w:val="both"/>
        <w:rPr>
          <w:rFonts w:ascii="Times New Roman" w:hAnsi="Times New Roman" w:cs="Times New Roman"/>
          <w:i/>
          <w:color w:val="4472C4"/>
          <w:sz w:val="24"/>
          <w:szCs w:val="24"/>
        </w:rPr>
      </w:pPr>
    </w:p>
    <w:p w14:paraId="14CAD4F5" w14:textId="77777777" w:rsidR="00980757" w:rsidRPr="00980757" w:rsidRDefault="00980757" w:rsidP="001976FB">
      <w:pPr>
        <w:spacing w:after="60" w:line="300" w:lineRule="atLeast"/>
        <w:rPr>
          <w:rFonts w:ascii="Times New Roman" w:hAnsi="Times New Roman" w:cs="Times New Roman"/>
          <w:i/>
          <w:color w:val="4472C4"/>
          <w:sz w:val="24"/>
          <w:szCs w:val="24"/>
        </w:rPr>
      </w:pPr>
      <w:r w:rsidRPr="00980757">
        <w:rPr>
          <w:rFonts w:ascii="Times New Roman" w:hAnsi="Times New Roman" w:cs="Times New Roman"/>
          <w:i/>
          <w:color w:val="4472C4"/>
          <w:sz w:val="24"/>
          <w:szCs w:val="24"/>
        </w:rPr>
        <w:t>Wojewódzki Inspektorat Ochrony Środowiska we Wrocławiu</w:t>
      </w:r>
    </w:p>
    <w:p w14:paraId="445887CE" w14:textId="77777777" w:rsidR="00980757" w:rsidRPr="00980757" w:rsidRDefault="00980757" w:rsidP="006D3BAB">
      <w:pPr>
        <w:pStyle w:val="Akapitzlist"/>
        <w:spacing w:line="300" w:lineRule="atLeast"/>
        <w:ind w:left="0" w:firstLine="567"/>
        <w:jc w:val="both"/>
        <w:rPr>
          <w:sz w:val="24"/>
          <w:szCs w:val="24"/>
        </w:rPr>
      </w:pPr>
      <w:r w:rsidRPr="00980757">
        <w:rPr>
          <w:sz w:val="24"/>
          <w:szCs w:val="24"/>
        </w:rPr>
        <w:t xml:space="preserve">W wyniku realizacji  przez inspektorów Wydziału /Działów Inspekcji działań w trybie art.10b ustawy o IOŚ, w 2022 roku najczęściej stwierdzano naruszenia, które wyczerpywały znamiona art. 182  oraz </w:t>
      </w:r>
      <w:bookmarkStart w:id="318" w:name="_Hlk126751989"/>
      <w:r w:rsidRPr="00980757">
        <w:rPr>
          <w:sz w:val="24"/>
          <w:szCs w:val="24"/>
        </w:rPr>
        <w:t>183 § 1 Kodeksu karnego.</w:t>
      </w:r>
      <w:bookmarkEnd w:id="318"/>
      <w:r w:rsidRPr="00980757">
        <w:rPr>
          <w:sz w:val="24"/>
          <w:szCs w:val="24"/>
        </w:rPr>
        <w:t xml:space="preserve"> Pozostałe naruszenia dotyczyły naruszenia zapisów o odpadach, art. 476 ustawy  z dnia 20 lipca 2017 r. Prawo wodne oraz zapisów ustawy z dnia 20 stycznia 2005 r.  o recyklingu pojazdów wycofanych z eksploatacji.</w:t>
      </w:r>
    </w:p>
    <w:p w14:paraId="135ECAA5" w14:textId="77777777" w:rsidR="00980757" w:rsidRPr="00980757" w:rsidRDefault="00980757" w:rsidP="00980757">
      <w:pPr>
        <w:pStyle w:val="Akapitzlist"/>
        <w:spacing w:line="300" w:lineRule="atLeast"/>
        <w:jc w:val="both"/>
        <w:rPr>
          <w:sz w:val="24"/>
          <w:szCs w:val="24"/>
        </w:rPr>
      </w:pPr>
      <w:r w:rsidRPr="00980757">
        <w:rPr>
          <w:sz w:val="24"/>
          <w:szCs w:val="24"/>
        </w:rPr>
        <w:t>Działań podjętych na podstawie:</w:t>
      </w:r>
    </w:p>
    <w:p w14:paraId="3690E97E" w14:textId="77777777" w:rsidR="00980757" w:rsidRPr="00980757" w:rsidRDefault="00980757" w:rsidP="00D34F97">
      <w:pPr>
        <w:pStyle w:val="Akapitzlist"/>
        <w:numPr>
          <w:ilvl w:val="0"/>
          <w:numId w:val="263"/>
        </w:numPr>
        <w:spacing w:line="300" w:lineRule="atLeast"/>
        <w:jc w:val="both"/>
        <w:rPr>
          <w:sz w:val="24"/>
          <w:szCs w:val="24"/>
        </w:rPr>
      </w:pPr>
      <w:r w:rsidRPr="00980757">
        <w:rPr>
          <w:sz w:val="24"/>
          <w:szCs w:val="24"/>
        </w:rPr>
        <w:t>art. 182 Kodeksu karnego było 330,</w:t>
      </w:r>
    </w:p>
    <w:p w14:paraId="705A6089" w14:textId="77777777" w:rsidR="00980757" w:rsidRPr="00980757" w:rsidRDefault="00980757" w:rsidP="00D34F97">
      <w:pPr>
        <w:pStyle w:val="Akapitzlist"/>
        <w:numPr>
          <w:ilvl w:val="0"/>
          <w:numId w:val="263"/>
        </w:numPr>
        <w:spacing w:line="300" w:lineRule="atLeast"/>
        <w:jc w:val="both"/>
        <w:rPr>
          <w:sz w:val="24"/>
          <w:szCs w:val="24"/>
        </w:rPr>
      </w:pPr>
      <w:r w:rsidRPr="00980757">
        <w:rPr>
          <w:sz w:val="24"/>
          <w:szCs w:val="24"/>
        </w:rPr>
        <w:t>art. 171-177 i 180-192 ustawy o odpadach było 158,</w:t>
      </w:r>
    </w:p>
    <w:p w14:paraId="563658D6" w14:textId="77777777" w:rsidR="00980757" w:rsidRPr="00980757" w:rsidRDefault="00980757" w:rsidP="00D34F97">
      <w:pPr>
        <w:pStyle w:val="Akapitzlist"/>
        <w:numPr>
          <w:ilvl w:val="0"/>
          <w:numId w:val="263"/>
        </w:numPr>
        <w:spacing w:line="300" w:lineRule="atLeast"/>
        <w:jc w:val="both"/>
        <w:rPr>
          <w:sz w:val="24"/>
          <w:szCs w:val="24"/>
        </w:rPr>
      </w:pPr>
      <w:r w:rsidRPr="00980757">
        <w:rPr>
          <w:sz w:val="24"/>
          <w:szCs w:val="24"/>
        </w:rPr>
        <w:t>art. 183 § 1 Kodeksy karnego było 100.</w:t>
      </w:r>
    </w:p>
    <w:p w14:paraId="7DFAE753" w14:textId="77777777" w:rsidR="00980757" w:rsidRPr="00980757" w:rsidRDefault="00980757" w:rsidP="00D34F97">
      <w:pPr>
        <w:pStyle w:val="Akapitzlist"/>
        <w:numPr>
          <w:ilvl w:val="0"/>
          <w:numId w:val="263"/>
        </w:numPr>
        <w:spacing w:line="300" w:lineRule="atLeast"/>
        <w:jc w:val="both"/>
        <w:rPr>
          <w:sz w:val="24"/>
          <w:szCs w:val="24"/>
        </w:rPr>
      </w:pPr>
      <w:r w:rsidRPr="00980757">
        <w:rPr>
          <w:sz w:val="24"/>
          <w:szCs w:val="24"/>
        </w:rPr>
        <w:t>art. 476 Prawa wodnego  było 76,</w:t>
      </w:r>
    </w:p>
    <w:p w14:paraId="1D895656" w14:textId="49130DA2" w:rsidR="00980757" w:rsidRPr="00980757" w:rsidRDefault="00980757" w:rsidP="00D34F97">
      <w:pPr>
        <w:pStyle w:val="Akapitzlist"/>
        <w:numPr>
          <w:ilvl w:val="0"/>
          <w:numId w:val="263"/>
        </w:numPr>
        <w:spacing w:line="300" w:lineRule="atLeast"/>
        <w:jc w:val="both"/>
        <w:rPr>
          <w:sz w:val="24"/>
          <w:szCs w:val="24"/>
        </w:rPr>
      </w:pPr>
      <w:r w:rsidRPr="00980757">
        <w:rPr>
          <w:sz w:val="24"/>
          <w:szCs w:val="24"/>
        </w:rPr>
        <w:t xml:space="preserve">art. 44-49, art. 51, art. 52a i art. 52b ustawy o recyklingu pojazdów wycofanych </w:t>
      </w:r>
      <w:r w:rsidR="001976FB">
        <w:rPr>
          <w:sz w:val="24"/>
          <w:szCs w:val="24"/>
        </w:rPr>
        <w:br/>
      </w:r>
      <w:r w:rsidRPr="00980757">
        <w:rPr>
          <w:sz w:val="24"/>
          <w:szCs w:val="24"/>
        </w:rPr>
        <w:t>z eksploatacji było 23.</w:t>
      </w:r>
    </w:p>
    <w:p w14:paraId="1B36AE81" w14:textId="77777777" w:rsidR="001976FB" w:rsidRDefault="001976FB" w:rsidP="001976FB">
      <w:pPr>
        <w:spacing w:line="300" w:lineRule="atLeast"/>
        <w:ind w:firstLine="360"/>
        <w:contextualSpacing/>
        <w:jc w:val="both"/>
        <w:rPr>
          <w:rFonts w:ascii="Times New Roman" w:hAnsi="Times New Roman" w:cs="Times New Roman"/>
          <w:sz w:val="24"/>
          <w:szCs w:val="24"/>
        </w:rPr>
      </w:pPr>
    </w:p>
    <w:p w14:paraId="0296BFA7" w14:textId="58F71D94" w:rsidR="00980757" w:rsidRPr="00980757" w:rsidRDefault="00980757" w:rsidP="006D3BAB">
      <w:pPr>
        <w:spacing w:line="300" w:lineRule="atLeast"/>
        <w:ind w:firstLine="567"/>
        <w:contextualSpacing/>
        <w:jc w:val="both"/>
        <w:rPr>
          <w:rFonts w:ascii="Times New Roman" w:hAnsi="Times New Roman" w:cs="Times New Roman"/>
          <w:sz w:val="24"/>
          <w:szCs w:val="24"/>
        </w:rPr>
      </w:pPr>
      <w:r w:rsidRPr="00980757">
        <w:rPr>
          <w:rFonts w:ascii="Times New Roman" w:hAnsi="Times New Roman" w:cs="Times New Roman"/>
          <w:sz w:val="24"/>
          <w:szCs w:val="24"/>
        </w:rPr>
        <w:t xml:space="preserve">Podczas wykonywania działań z art. 10b Ustawy o Inspekcji Ochrony Środowiska najczęstszymi stwierdzanym naruszeniami przez inspektorów z Wydziału Zwalczania Przestępczości Środowiskowej były: </w:t>
      </w:r>
    </w:p>
    <w:p w14:paraId="6C431ECA" w14:textId="77777777" w:rsidR="00980757" w:rsidRPr="00980757" w:rsidRDefault="00980757" w:rsidP="00D34F97">
      <w:pPr>
        <w:numPr>
          <w:ilvl w:val="0"/>
          <w:numId w:val="270"/>
        </w:numPr>
        <w:spacing w:after="0" w:line="300" w:lineRule="atLeast"/>
        <w:contextualSpacing/>
        <w:jc w:val="both"/>
        <w:rPr>
          <w:rFonts w:ascii="Times New Roman" w:hAnsi="Times New Roman" w:cs="Times New Roman"/>
          <w:sz w:val="24"/>
          <w:szCs w:val="24"/>
        </w:rPr>
      </w:pPr>
      <w:r w:rsidRPr="00980757">
        <w:rPr>
          <w:rFonts w:ascii="Times New Roman" w:hAnsi="Times New Roman" w:cs="Times New Roman"/>
          <w:sz w:val="24"/>
          <w:szCs w:val="24"/>
        </w:rPr>
        <w:t>brak wymaganego zezwolenia/pozwolenia na prowadzenie działalności w zakresie zbierania/przetwarzania odpadów oraz przyjęcia/przejęcia odpadów od kontrahentów</w:t>
      </w:r>
    </w:p>
    <w:p w14:paraId="66012345" w14:textId="77777777" w:rsidR="00980757" w:rsidRPr="00980757" w:rsidRDefault="00980757" w:rsidP="00D34F97">
      <w:pPr>
        <w:numPr>
          <w:ilvl w:val="0"/>
          <w:numId w:val="270"/>
        </w:numPr>
        <w:spacing w:after="0" w:line="300" w:lineRule="atLeast"/>
        <w:contextualSpacing/>
        <w:jc w:val="both"/>
        <w:rPr>
          <w:rFonts w:ascii="Times New Roman" w:hAnsi="Times New Roman" w:cs="Times New Roman"/>
          <w:sz w:val="24"/>
          <w:szCs w:val="24"/>
        </w:rPr>
      </w:pPr>
      <w:r w:rsidRPr="00980757">
        <w:rPr>
          <w:rFonts w:ascii="Times New Roman" w:hAnsi="Times New Roman" w:cs="Times New Roman"/>
          <w:sz w:val="24"/>
          <w:szCs w:val="24"/>
        </w:rPr>
        <w:t xml:space="preserve">brak dokumentów uprawniających do transportowania odpadów lub niezgodność dokumentów ze stanem rzeczywistym </w:t>
      </w:r>
    </w:p>
    <w:p w14:paraId="54B2F099" w14:textId="77777777" w:rsidR="00980757" w:rsidRPr="00980757" w:rsidRDefault="00980757" w:rsidP="00D34F97">
      <w:pPr>
        <w:numPr>
          <w:ilvl w:val="0"/>
          <w:numId w:val="270"/>
        </w:numPr>
        <w:spacing w:after="0" w:line="300" w:lineRule="atLeast"/>
        <w:contextualSpacing/>
        <w:jc w:val="both"/>
        <w:rPr>
          <w:rFonts w:ascii="Times New Roman" w:hAnsi="Times New Roman" w:cs="Times New Roman"/>
          <w:sz w:val="24"/>
          <w:szCs w:val="24"/>
        </w:rPr>
      </w:pPr>
      <w:r w:rsidRPr="00980757">
        <w:rPr>
          <w:rFonts w:ascii="Times New Roman" w:hAnsi="Times New Roman" w:cs="Times New Roman"/>
          <w:sz w:val="24"/>
          <w:szCs w:val="24"/>
        </w:rPr>
        <w:t xml:space="preserve">magazynowanie odpadów w miejscach do tego nieprzeznaczonych </w:t>
      </w:r>
    </w:p>
    <w:p w14:paraId="6FC4F1F3" w14:textId="77777777" w:rsidR="00980757" w:rsidRPr="00980757" w:rsidRDefault="00980757" w:rsidP="00D34F97">
      <w:pPr>
        <w:numPr>
          <w:ilvl w:val="0"/>
          <w:numId w:val="270"/>
        </w:numPr>
        <w:spacing w:after="0" w:line="300" w:lineRule="atLeast"/>
        <w:contextualSpacing/>
        <w:jc w:val="both"/>
        <w:rPr>
          <w:rFonts w:ascii="Times New Roman" w:hAnsi="Times New Roman" w:cs="Times New Roman"/>
          <w:sz w:val="24"/>
          <w:szCs w:val="24"/>
        </w:rPr>
      </w:pPr>
      <w:r w:rsidRPr="00980757">
        <w:rPr>
          <w:rFonts w:ascii="Times New Roman" w:hAnsi="Times New Roman" w:cs="Times New Roman"/>
          <w:sz w:val="24"/>
          <w:szCs w:val="24"/>
        </w:rPr>
        <w:t xml:space="preserve">prowadzenie działalności niezgodnie z przepisami prawa lub wydanymi decyzjami </w:t>
      </w:r>
    </w:p>
    <w:p w14:paraId="7182E558" w14:textId="77777777" w:rsidR="00980757" w:rsidRPr="00980757" w:rsidRDefault="00980757" w:rsidP="00D34F97">
      <w:pPr>
        <w:numPr>
          <w:ilvl w:val="0"/>
          <w:numId w:val="270"/>
        </w:numPr>
        <w:spacing w:after="0" w:line="300" w:lineRule="atLeast"/>
        <w:contextualSpacing/>
        <w:jc w:val="both"/>
        <w:rPr>
          <w:rFonts w:ascii="Times New Roman" w:hAnsi="Times New Roman" w:cs="Times New Roman"/>
          <w:sz w:val="24"/>
          <w:szCs w:val="24"/>
        </w:rPr>
      </w:pPr>
      <w:r w:rsidRPr="00980757">
        <w:rPr>
          <w:rFonts w:ascii="Times New Roman" w:hAnsi="Times New Roman" w:cs="Times New Roman"/>
          <w:sz w:val="24"/>
          <w:szCs w:val="24"/>
        </w:rPr>
        <w:t>wykorzystywanie drewnianych podkładów kolejowych bez wymaganego certyfikatu potwierdzającego że nie posiadają one właściwości powodujących, że odpady są odpadami niebezpiecznymi, określonych w rozporządzeniu (UE) nr 1357/2014 i w rozporządzeniu (UE) 2017/997</w:t>
      </w:r>
    </w:p>
    <w:p w14:paraId="45A55ABA" w14:textId="77777777" w:rsidR="00980757" w:rsidRPr="00980757" w:rsidRDefault="00980757" w:rsidP="00D34F97">
      <w:pPr>
        <w:numPr>
          <w:ilvl w:val="0"/>
          <w:numId w:val="270"/>
        </w:numPr>
        <w:spacing w:after="0" w:line="300" w:lineRule="atLeast"/>
        <w:contextualSpacing/>
        <w:jc w:val="both"/>
        <w:rPr>
          <w:rFonts w:ascii="Times New Roman" w:hAnsi="Times New Roman" w:cs="Times New Roman"/>
          <w:sz w:val="24"/>
          <w:szCs w:val="24"/>
        </w:rPr>
      </w:pPr>
      <w:r w:rsidRPr="00980757">
        <w:rPr>
          <w:rFonts w:ascii="Times New Roman" w:hAnsi="Times New Roman" w:cs="Times New Roman"/>
          <w:sz w:val="24"/>
          <w:szCs w:val="24"/>
        </w:rPr>
        <w:t xml:space="preserve">nielegalne podnoszenie poziomu terenu z wykorzystaniem odpadów </w:t>
      </w:r>
    </w:p>
    <w:p w14:paraId="739671DA" w14:textId="77777777" w:rsidR="00980757" w:rsidRPr="00980757" w:rsidRDefault="00980757" w:rsidP="00D34F97">
      <w:pPr>
        <w:numPr>
          <w:ilvl w:val="0"/>
          <w:numId w:val="270"/>
        </w:numPr>
        <w:spacing w:after="0" w:line="300" w:lineRule="atLeast"/>
        <w:contextualSpacing/>
        <w:jc w:val="both"/>
        <w:rPr>
          <w:rFonts w:ascii="Times New Roman" w:hAnsi="Times New Roman" w:cs="Times New Roman"/>
          <w:sz w:val="24"/>
          <w:szCs w:val="24"/>
        </w:rPr>
      </w:pPr>
      <w:r w:rsidRPr="00980757">
        <w:rPr>
          <w:rFonts w:ascii="Times New Roman" w:hAnsi="Times New Roman" w:cs="Times New Roman"/>
          <w:sz w:val="24"/>
          <w:szCs w:val="24"/>
        </w:rPr>
        <w:t>demontaż pojazdów wycofanych z eksploatacji poza stacją demontażu</w:t>
      </w:r>
    </w:p>
    <w:p w14:paraId="6D9AA1B1" w14:textId="77777777" w:rsidR="00980757" w:rsidRPr="00980757" w:rsidRDefault="00980757" w:rsidP="00D34F97">
      <w:pPr>
        <w:numPr>
          <w:ilvl w:val="0"/>
          <w:numId w:val="270"/>
        </w:numPr>
        <w:spacing w:after="0" w:line="300" w:lineRule="atLeast"/>
        <w:contextualSpacing/>
        <w:jc w:val="both"/>
        <w:rPr>
          <w:rFonts w:ascii="Times New Roman" w:hAnsi="Times New Roman" w:cs="Times New Roman"/>
          <w:sz w:val="24"/>
          <w:szCs w:val="24"/>
        </w:rPr>
      </w:pPr>
      <w:r w:rsidRPr="00980757">
        <w:rPr>
          <w:rFonts w:ascii="Times New Roman" w:hAnsi="Times New Roman" w:cs="Times New Roman"/>
          <w:sz w:val="24"/>
          <w:szCs w:val="24"/>
        </w:rPr>
        <w:t>magazynowanie odpadów niezgodnie z art. 25 ustawy o odpadach</w:t>
      </w:r>
    </w:p>
    <w:p w14:paraId="6039F9E9" w14:textId="77777777" w:rsidR="00980757" w:rsidRPr="00980757" w:rsidRDefault="00980757" w:rsidP="00980757">
      <w:pPr>
        <w:spacing w:line="300" w:lineRule="atLeast"/>
        <w:contextualSpacing/>
        <w:rPr>
          <w:rFonts w:ascii="Times New Roman" w:hAnsi="Times New Roman" w:cs="Times New Roman"/>
          <w:i/>
          <w:color w:val="4472C4"/>
          <w:sz w:val="24"/>
          <w:szCs w:val="24"/>
        </w:rPr>
      </w:pPr>
    </w:p>
    <w:p w14:paraId="2B354E2A" w14:textId="77777777" w:rsidR="00980757" w:rsidRPr="00980757" w:rsidRDefault="00980757" w:rsidP="006D3BAB">
      <w:pPr>
        <w:spacing w:after="60" w:line="300" w:lineRule="atLeast"/>
        <w:rPr>
          <w:rFonts w:ascii="Times New Roman" w:hAnsi="Times New Roman" w:cs="Times New Roman"/>
          <w:i/>
          <w:color w:val="4472C4"/>
          <w:sz w:val="24"/>
          <w:szCs w:val="24"/>
        </w:rPr>
      </w:pPr>
      <w:r w:rsidRPr="00980757">
        <w:rPr>
          <w:rFonts w:ascii="Times New Roman" w:hAnsi="Times New Roman" w:cs="Times New Roman"/>
          <w:i/>
          <w:color w:val="4472C4"/>
          <w:sz w:val="24"/>
          <w:szCs w:val="24"/>
        </w:rPr>
        <w:t>Wojewódzki Inspektorat Ochrony Środowiska w Zielonej Górze</w:t>
      </w:r>
    </w:p>
    <w:p w14:paraId="44BBA9F4" w14:textId="37047807" w:rsidR="00A22034" w:rsidRPr="007F400A" w:rsidRDefault="00980757" w:rsidP="00980757">
      <w:pPr>
        <w:pStyle w:val="Akapitzlist"/>
        <w:spacing w:line="300" w:lineRule="atLeast"/>
        <w:ind w:left="0" w:firstLine="567"/>
        <w:jc w:val="both"/>
        <w:rPr>
          <w:color w:val="000000"/>
          <w:sz w:val="24"/>
          <w:szCs w:val="24"/>
        </w:rPr>
      </w:pPr>
      <w:r w:rsidRPr="00980757">
        <w:rPr>
          <w:sz w:val="24"/>
          <w:szCs w:val="24"/>
        </w:rPr>
        <w:t xml:space="preserve">Inspektorzy stwierdzili naruszenia związane z niewłaściwą dokumentacją dot. transportu odpadów, w tym transgranicznego przemieszczania odpadów a zwłaszcza z złą klasyfikacją odpadów; niewłaściwym oznakowaniem transportu odpadów; rekultywacją wyrobisk odpadami nieuwzględnionymi w decyzji; zanieczyszczenie środowiska przez nielegalne stacje </w:t>
      </w:r>
      <w:r w:rsidRPr="00980757">
        <w:rPr>
          <w:sz w:val="24"/>
          <w:szCs w:val="24"/>
        </w:rPr>
        <w:lastRenderedPageBreak/>
        <w:t>demontażu pojazdów; zbieranie i przetwarzanie odpadów bez wymaganej strony formalno-prawnej</w:t>
      </w:r>
      <w:r w:rsidR="00A22034" w:rsidRPr="00980757">
        <w:rPr>
          <w:color w:val="000000"/>
          <w:sz w:val="24"/>
          <w:szCs w:val="24"/>
        </w:rPr>
        <w:t>.</w:t>
      </w:r>
    </w:p>
    <w:p w14:paraId="6E73C942" w14:textId="77777777" w:rsidR="00A22034" w:rsidRPr="007F400A" w:rsidRDefault="00A22034" w:rsidP="00A21262">
      <w:pPr>
        <w:pStyle w:val="Akapitzlist"/>
        <w:spacing w:line="300" w:lineRule="atLeast"/>
        <w:ind w:left="0"/>
        <w:jc w:val="both"/>
        <w:rPr>
          <w:color w:val="000000"/>
          <w:sz w:val="24"/>
          <w:szCs w:val="24"/>
        </w:rPr>
      </w:pPr>
    </w:p>
    <w:p w14:paraId="01E0EE9A" w14:textId="51700DAC" w:rsidR="00A22034" w:rsidRPr="006D3BAB" w:rsidRDefault="00A22034" w:rsidP="006D3BAB">
      <w:pPr>
        <w:pStyle w:val="Akapitzlist"/>
        <w:numPr>
          <w:ilvl w:val="1"/>
          <w:numId w:val="148"/>
        </w:numPr>
        <w:spacing w:after="120" w:line="300" w:lineRule="atLeast"/>
        <w:ind w:left="567" w:hanging="567"/>
        <w:contextualSpacing w:val="0"/>
        <w:jc w:val="both"/>
        <w:outlineLvl w:val="0"/>
        <w:rPr>
          <w:b/>
          <w:color w:val="000000" w:themeColor="text1"/>
          <w:sz w:val="24"/>
          <w:szCs w:val="24"/>
          <w:u w:val="single"/>
        </w:rPr>
      </w:pPr>
      <w:bookmarkStart w:id="319" w:name="_Toc99469615"/>
      <w:bookmarkStart w:id="320" w:name="_Toc135935675"/>
      <w:r w:rsidRPr="007F400A">
        <w:rPr>
          <w:rStyle w:val="Nagwek3Znak"/>
          <w:rFonts w:ascii="Times New Roman" w:eastAsia="Calibri" w:hAnsi="Times New Roman"/>
          <w:color w:val="000000" w:themeColor="text1"/>
          <w:sz w:val="24"/>
          <w:szCs w:val="24"/>
        </w:rPr>
        <w:t>Szczegółowe omówienie wybranych przykładów zadań realizowanych na podstawie art. 10b ustawy o Inspekcji Ochrony Środowiska</w:t>
      </w:r>
      <w:bookmarkEnd w:id="319"/>
      <w:bookmarkEnd w:id="320"/>
    </w:p>
    <w:p w14:paraId="73EB2B43" w14:textId="0D0B2E6A" w:rsidR="007A6A47" w:rsidRDefault="007A6A47" w:rsidP="00D77872">
      <w:pPr>
        <w:pStyle w:val="NormalnyWeb"/>
        <w:shd w:val="clear" w:color="auto" w:fill="FFFFFF"/>
        <w:spacing w:before="0" w:beforeAutospacing="0" w:after="60" w:afterAutospacing="0" w:line="300" w:lineRule="atLeast"/>
        <w:jc w:val="both"/>
        <w:textAlignment w:val="baseline"/>
        <w:rPr>
          <w:rStyle w:val="Pogrubienie"/>
          <w:b w:val="0"/>
          <w:color w:val="000000"/>
          <w:shd w:val="clear" w:color="auto" w:fill="FFFFFF"/>
        </w:rPr>
      </w:pPr>
      <w:bookmarkStart w:id="321" w:name="_Toc99469616"/>
      <w:r w:rsidRPr="007F400A">
        <w:rPr>
          <w:b/>
          <w:i/>
          <w:iCs/>
          <w:color w:val="000000"/>
        </w:rPr>
        <w:t xml:space="preserve">Nielegalne gospodarowanie odpadami, </w:t>
      </w:r>
      <w:r>
        <w:rPr>
          <w:b/>
          <w:i/>
          <w:iCs/>
          <w:color w:val="000000"/>
        </w:rPr>
        <w:t xml:space="preserve">w tym niebezpiecznymi, </w:t>
      </w:r>
      <w:r w:rsidRPr="007F400A">
        <w:rPr>
          <w:b/>
          <w:i/>
          <w:iCs/>
          <w:color w:val="000000"/>
        </w:rPr>
        <w:t xml:space="preserve">woj. </w:t>
      </w:r>
      <w:r>
        <w:rPr>
          <w:b/>
          <w:i/>
          <w:iCs/>
          <w:color w:val="000000"/>
        </w:rPr>
        <w:t>mazowieckie</w:t>
      </w:r>
    </w:p>
    <w:p w14:paraId="75556BCF" w14:textId="32A35CFA" w:rsidR="00E8099E" w:rsidRPr="000C0753" w:rsidRDefault="00E8099E" w:rsidP="006D3BAB">
      <w:pPr>
        <w:pStyle w:val="NormalnyWeb"/>
        <w:shd w:val="clear" w:color="auto" w:fill="FFFFFF"/>
        <w:spacing w:before="0" w:beforeAutospacing="0" w:after="0" w:afterAutospacing="0" w:line="300" w:lineRule="atLeast"/>
        <w:ind w:firstLine="567"/>
        <w:contextualSpacing/>
        <w:jc w:val="both"/>
        <w:textAlignment w:val="baseline"/>
        <w:rPr>
          <w:color w:val="1B1B1B"/>
        </w:rPr>
      </w:pPr>
      <w:r w:rsidRPr="000C0753">
        <w:rPr>
          <w:rStyle w:val="Pogrubienie"/>
          <w:b w:val="0"/>
          <w:color w:val="000000"/>
          <w:shd w:val="clear" w:color="auto" w:fill="FFFFFF"/>
        </w:rPr>
        <w:t>Inspektorzy W</w:t>
      </w:r>
      <w:r w:rsidR="007A6A47">
        <w:rPr>
          <w:rStyle w:val="Pogrubienie"/>
          <w:b w:val="0"/>
          <w:color w:val="000000"/>
          <w:shd w:val="clear" w:color="auto" w:fill="FFFFFF"/>
        </w:rPr>
        <w:t xml:space="preserve">ydziału </w:t>
      </w:r>
      <w:r w:rsidRPr="000C0753">
        <w:rPr>
          <w:rStyle w:val="Pogrubienie"/>
          <w:b w:val="0"/>
          <w:color w:val="000000"/>
          <w:shd w:val="clear" w:color="auto" w:fill="FFFFFF"/>
        </w:rPr>
        <w:t>I</w:t>
      </w:r>
      <w:r w:rsidR="007A6A47">
        <w:rPr>
          <w:rStyle w:val="Pogrubienie"/>
          <w:b w:val="0"/>
          <w:color w:val="000000"/>
          <w:shd w:val="clear" w:color="auto" w:fill="FFFFFF"/>
        </w:rPr>
        <w:t>nterwencyjno</w:t>
      </w:r>
      <w:r w:rsidRPr="000C0753">
        <w:rPr>
          <w:rStyle w:val="Pogrubienie"/>
          <w:b w:val="0"/>
          <w:color w:val="000000"/>
          <w:shd w:val="clear" w:color="auto" w:fill="FFFFFF"/>
        </w:rPr>
        <w:t>-O</w:t>
      </w:r>
      <w:r w:rsidR="007A6A47">
        <w:rPr>
          <w:rStyle w:val="Pogrubienie"/>
          <w:b w:val="0"/>
          <w:color w:val="000000"/>
          <w:shd w:val="clear" w:color="auto" w:fill="FFFFFF"/>
        </w:rPr>
        <w:t>peracyjnego</w:t>
      </w:r>
      <w:r w:rsidRPr="000C0753">
        <w:rPr>
          <w:rStyle w:val="Pogrubienie"/>
          <w:color w:val="000000"/>
          <w:shd w:val="clear" w:color="auto" w:fill="FFFFFF"/>
        </w:rPr>
        <w:t xml:space="preserve"> </w:t>
      </w:r>
      <w:r w:rsidRPr="000C0753">
        <w:rPr>
          <w:color w:val="000000"/>
          <w:shd w:val="clear" w:color="auto" w:fill="FFFFFF"/>
        </w:rPr>
        <w:t xml:space="preserve">z Departamentu Zwalczania Przestępczości Środowiskowej </w:t>
      </w:r>
      <w:r w:rsidR="00D77872">
        <w:rPr>
          <w:color w:val="000000"/>
          <w:shd w:val="clear" w:color="auto" w:fill="FFFFFF"/>
        </w:rPr>
        <w:t xml:space="preserve">(DZPŚ) </w:t>
      </w:r>
      <w:r w:rsidR="007A6A47">
        <w:rPr>
          <w:color w:val="000000"/>
          <w:shd w:val="clear" w:color="auto" w:fill="FFFFFF"/>
        </w:rPr>
        <w:t xml:space="preserve">GIOŚ </w:t>
      </w:r>
      <w:r w:rsidRPr="000C0753">
        <w:rPr>
          <w:color w:val="000000"/>
          <w:shd w:val="clear" w:color="auto" w:fill="FFFFFF"/>
        </w:rPr>
        <w:t xml:space="preserve">we współpracy z KWP </w:t>
      </w:r>
      <w:proofErr w:type="spellStart"/>
      <w:r w:rsidRPr="000C0753">
        <w:rPr>
          <w:color w:val="000000"/>
          <w:shd w:val="clear" w:color="auto" w:fill="FFFFFF"/>
        </w:rPr>
        <w:t>zs</w:t>
      </w:r>
      <w:proofErr w:type="spellEnd"/>
      <w:r w:rsidRPr="000C0753">
        <w:rPr>
          <w:color w:val="000000"/>
          <w:shd w:val="clear" w:color="auto" w:fill="FFFFFF"/>
        </w:rPr>
        <w:t xml:space="preserve">. w Radomiu podjęli wspólne działania w powiecie radzymińskim. Na podstawie wymiany informacji z policją </w:t>
      </w:r>
      <w:r w:rsidR="00D77872">
        <w:rPr>
          <w:color w:val="000000"/>
          <w:shd w:val="clear" w:color="auto" w:fill="FFFFFF"/>
        </w:rPr>
        <w:br/>
      </w:r>
      <w:r w:rsidRPr="000C0753">
        <w:rPr>
          <w:color w:val="000000"/>
          <w:shd w:val="clear" w:color="auto" w:fill="FFFFFF"/>
        </w:rPr>
        <w:t xml:space="preserve">o nielegalnym wywożeniu odpadów oraz wykorzystaniu najnowszej techniki doprowadzono do ustalenie miejsca zakopywania, gdzie sprawcy zostali zatrzymani na gorącym uczynku. Kierowca tira nie posiadał na ciężarówce oznaczeń. Zatrzymanie odbyło się podczas porzucania odpadów na terenie wyrobiska. Policja zatrzymała właściciela terenu. W miejscu zdarzenia znaleziono 11 sztuk pojemników typu „mauzer” zawierające prawdopodobnie kleje z kwasem </w:t>
      </w:r>
      <w:proofErr w:type="spellStart"/>
      <w:r w:rsidRPr="000C0753">
        <w:rPr>
          <w:color w:val="000000"/>
          <w:shd w:val="clear" w:color="auto" w:fill="FFFFFF"/>
        </w:rPr>
        <w:t>amino</w:t>
      </w:r>
      <w:proofErr w:type="spellEnd"/>
      <w:r w:rsidRPr="000C0753">
        <w:rPr>
          <w:color w:val="000000"/>
          <w:shd w:val="clear" w:color="auto" w:fill="FFFFFF"/>
        </w:rPr>
        <w:t xml:space="preserve">-siarkowym i maleinowym oraz 8 sztuk 200 litrowych beczek z innymi substancjami niebezpiecznymi. Na naczepie samochodu znajdującej się przy wykopie ujawniono pojemnik typu „mauzer”, 25 sztuk beczek 200 litrowych oraz 6 sztuk beczek 25 litrowych </w:t>
      </w:r>
      <w:r w:rsidR="007A6A47">
        <w:rPr>
          <w:color w:val="000000"/>
          <w:shd w:val="clear" w:color="auto" w:fill="FFFFFF"/>
        </w:rPr>
        <w:br/>
      </w:r>
      <w:r w:rsidRPr="000C0753">
        <w:rPr>
          <w:color w:val="000000"/>
          <w:shd w:val="clear" w:color="auto" w:fill="FFFFFF"/>
        </w:rPr>
        <w:t>z niebezpiecznymi substancjami.</w:t>
      </w:r>
    </w:p>
    <w:p w14:paraId="0935862B" w14:textId="2F16C125" w:rsidR="00E8099E" w:rsidRPr="000C0753" w:rsidRDefault="00E8099E" w:rsidP="006D3BAB">
      <w:pPr>
        <w:pStyle w:val="NormalnyWeb"/>
        <w:shd w:val="clear" w:color="auto" w:fill="FFFFFF"/>
        <w:spacing w:before="0" w:beforeAutospacing="0" w:after="0" w:afterAutospacing="0" w:line="300" w:lineRule="atLeast"/>
        <w:ind w:firstLine="567"/>
        <w:contextualSpacing/>
        <w:jc w:val="both"/>
        <w:textAlignment w:val="baseline"/>
        <w:rPr>
          <w:rStyle w:val="Pogrubienie"/>
          <w:b w:val="0"/>
          <w:color w:val="000000"/>
          <w:shd w:val="clear" w:color="auto" w:fill="FFFFFF"/>
        </w:rPr>
      </w:pPr>
      <w:r w:rsidRPr="000C0753">
        <w:rPr>
          <w:color w:val="000000"/>
          <w:shd w:val="clear" w:color="auto" w:fill="FFFFFF"/>
        </w:rPr>
        <w:t>Na miejscu zostały wykonane czynności procesowe przez funkcjonariuszy Wydziału dw. z PG KWP w Radomiu. Z uwagi na fakt, że ujawnione odpady należą do grupy odpadów niebezpiecznych</w:t>
      </w:r>
      <w:r w:rsidR="007A6A47">
        <w:rPr>
          <w:color w:val="000000"/>
          <w:shd w:val="clear" w:color="auto" w:fill="FFFFFF"/>
        </w:rPr>
        <w:t>,</w:t>
      </w:r>
      <w:r w:rsidRPr="000C0753">
        <w:rPr>
          <w:color w:val="000000"/>
          <w:shd w:val="clear" w:color="auto" w:fill="FFFFFF"/>
        </w:rPr>
        <w:t xml:space="preserve"> w czynnościach uczestniczyli też strażacy z Jednostki Ratowniczo-Gaśniczej nr 2 w Radomiu, inspektorzy z Głównego Inspektoratu Ochrony Środowiska w Warszawie, inspektorzy z radomskiej delegatury Wojewódzkiego Inspektoratu Ochrony Środowiska </w:t>
      </w:r>
      <w:r w:rsidR="007A6A47">
        <w:rPr>
          <w:color w:val="000000"/>
          <w:shd w:val="clear" w:color="auto" w:fill="FFFFFF"/>
        </w:rPr>
        <w:br/>
      </w:r>
      <w:r w:rsidRPr="000C0753">
        <w:rPr>
          <w:color w:val="000000"/>
          <w:shd w:val="clear" w:color="auto" w:fill="FFFFFF"/>
        </w:rPr>
        <w:t xml:space="preserve">w Warszawie, funkcjonariusze Laboratorium Kryminalistycznego KWP </w:t>
      </w:r>
      <w:proofErr w:type="spellStart"/>
      <w:r w:rsidRPr="000C0753">
        <w:rPr>
          <w:color w:val="000000"/>
          <w:shd w:val="clear" w:color="auto" w:fill="FFFFFF"/>
        </w:rPr>
        <w:t>zs</w:t>
      </w:r>
      <w:proofErr w:type="spellEnd"/>
      <w:r w:rsidRPr="000C0753">
        <w:rPr>
          <w:color w:val="000000"/>
          <w:shd w:val="clear" w:color="auto" w:fill="FFFFFF"/>
        </w:rPr>
        <w:t xml:space="preserve">. w Radomiu. </w:t>
      </w:r>
      <w:r w:rsidRPr="000C0753">
        <w:rPr>
          <w:rStyle w:val="Pogrubienie"/>
          <w:b w:val="0"/>
          <w:color w:val="000000"/>
          <w:shd w:val="clear" w:color="auto" w:fill="FFFFFF"/>
        </w:rPr>
        <w:t>Śledztwo w tej sprawie prowadzone jest pod nadzorem Prokuratury Rejonowej Radom-Zachód w Radomiu.</w:t>
      </w:r>
    </w:p>
    <w:p w14:paraId="10EAE905" w14:textId="4D2EBA29" w:rsidR="007A6A47" w:rsidRPr="000C0753" w:rsidRDefault="007A6A47" w:rsidP="00D77872">
      <w:pPr>
        <w:pStyle w:val="NormalnyWeb"/>
        <w:shd w:val="clear" w:color="auto" w:fill="FFFFFF"/>
        <w:spacing w:before="0" w:beforeAutospacing="0" w:after="60" w:afterAutospacing="0" w:line="300" w:lineRule="atLeast"/>
        <w:jc w:val="both"/>
        <w:textAlignment w:val="baseline"/>
        <w:rPr>
          <w:rStyle w:val="Pogrubienie"/>
          <w:b w:val="0"/>
          <w:color w:val="000000"/>
          <w:shd w:val="clear" w:color="auto" w:fill="FFFFFF"/>
        </w:rPr>
      </w:pPr>
      <w:r w:rsidRPr="007F400A">
        <w:rPr>
          <w:b/>
          <w:i/>
          <w:iCs/>
          <w:color w:val="000000"/>
        </w:rPr>
        <w:t xml:space="preserve">Nielegalne gospodarowanie </w:t>
      </w:r>
      <w:r>
        <w:rPr>
          <w:b/>
          <w:i/>
          <w:iCs/>
          <w:color w:val="000000"/>
        </w:rPr>
        <w:t>i przetwarzanie odpadów medycznych, woj. śląskie</w:t>
      </w:r>
    </w:p>
    <w:p w14:paraId="7FCAEB05" w14:textId="12CEE1C3" w:rsidR="00E8099E" w:rsidRPr="000C0753" w:rsidRDefault="00E8099E" w:rsidP="006D3BAB">
      <w:pPr>
        <w:pStyle w:val="NormalnyWeb"/>
        <w:shd w:val="clear" w:color="auto" w:fill="FFFFFF"/>
        <w:spacing w:before="0" w:beforeAutospacing="0" w:after="0" w:afterAutospacing="0" w:line="300" w:lineRule="atLeast"/>
        <w:ind w:firstLine="567"/>
        <w:contextualSpacing/>
        <w:jc w:val="both"/>
        <w:textAlignment w:val="baseline"/>
        <w:rPr>
          <w:i/>
        </w:rPr>
      </w:pPr>
      <w:r w:rsidRPr="000C0753">
        <w:rPr>
          <w:rStyle w:val="Pogrubienie"/>
          <w:b w:val="0"/>
          <w:color w:val="000000"/>
          <w:shd w:val="clear" w:color="auto" w:fill="FFFFFF"/>
        </w:rPr>
        <w:t>Inspektorzy z DZ</w:t>
      </w:r>
      <w:r w:rsidR="00D77872">
        <w:rPr>
          <w:rStyle w:val="Pogrubienie"/>
          <w:b w:val="0"/>
          <w:color w:val="000000"/>
          <w:shd w:val="clear" w:color="auto" w:fill="FFFFFF"/>
        </w:rPr>
        <w:t>PŚ GIOŚ,</w:t>
      </w:r>
      <w:r w:rsidRPr="000C0753">
        <w:rPr>
          <w:rStyle w:val="Pogrubienie"/>
          <w:b w:val="0"/>
          <w:color w:val="000000"/>
          <w:shd w:val="clear" w:color="auto" w:fill="FFFFFF"/>
        </w:rPr>
        <w:t xml:space="preserve"> wspólnie z WIOŚ w Katowicach i WIOŚ w Warszawie, przeprowadzili kontrolę podmiotu w m. Czechowice-Dziedzice, który nielegalnie przyjmował i przetwarzał odpady medyczne. Podczas działań zatrzymano ciężarówkę, która przewoziła ponad dwa razy więcej odpadów niż jest dozwolone. Samochód nie posiadał także obowiązkowej tabliczki, a firma do której przyjechał nie miała prawa przyjmować tego typu odpadów. Powiadomiono śląską policję, którą wezwano na miejsce oraz sanepid. </w:t>
      </w:r>
    </w:p>
    <w:p w14:paraId="560DBD8B" w14:textId="77777777" w:rsidR="00D77872" w:rsidRDefault="00D77872" w:rsidP="00D77872">
      <w:pPr>
        <w:pStyle w:val="NormalnyWeb"/>
        <w:shd w:val="clear" w:color="auto" w:fill="FFFFFF"/>
        <w:spacing w:before="0" w:beforeAutospacing="0" w:after="0" w:afterAutospacing="0" w:line="300" w:lineRule="atLeast"/>
        <w:contextualSpacing/>
        <w:jc w:val="both"/>
        <w:textAlignment w:val="baseline"/>
        <w:rPr>
          <w:b/>
          <w:i/>
          <w:iCs/>
          <w:color w:val="000000"/>
        </w:rPr>
      </w:pPr>
    </w:p>
    <w:p w14:paraId="6C6E52BC" w14:textId="210AA4A1" w:rsidR="00D77872" w:rsidRDefault="00D77872" w:rsidP="00D77872">
      <w:pPr>
        <w:pStyle w:val="NormalnyWeb"/>
        <w:shd w:val="clear" w:color="auto" w:fill="FFFFFF"/>
        <w:spacing w:before="0" w:beforeAutospacing="0" w:after="60" w:afterAutospacing="0" w:line="300" w:lineRule="atLeast"/>
        <w:jc w:val="both"/>
        <w:textAlignment w:val="baseline"/>
        <w:rPr>
          <w:rStyle w:val="Pogrubienie"/>
          <w:b w:val="0"/>
          <w:color w:val="000000"/>
          <w:shd w:val="clear" w:color="auto" w:fill="FFFFFF"/>
        </w:rPr>
      </w:pPr>
      <w:r>
        <w:rPr>
          <w:b/>
          <w:i/>
          <w:iCs/>
          <w:color w:val="000000"/>
        </w:rPr>
        <w:t xml:space="preserve">Zanieczyszczenie rowu substancjami ropopochodnymi, </w:t>
      </w:r>
      <w:r w:rsidRPr="007F400A">
        <w:rPr>
          <w:b/>
          <w:i/>
          <w:iCs/>
          <w:color w:val="000000"/>
        </w:rPr>
        <w:t xml:space="preserve">woj. </w:t>
      </w:r>
      <w:r>
        <w:rPr>
          <w:b/>
          <w:i/>
          <w:iCs/>
          <w:color w:val="000000"/>
        </w:rPr>
        <w:t>podlaskie</w:t>
      </w:r>
    </w:p>
    <w:p w14:paraId="3382DE6A" w14:textId="13F3EAB7" w:rsidR="00E8099E" w:rsidRPr="00D77872" w:rsidRDefault="00E8099E" w:rsidP="006D3BAB">
      <w:pPr>
        <w:spacing w:line="300" w:lineRule="atLeast"/>
        <w:ind w:firstLine="567"/>
        <w:contextualSpacing/>
        <w:jc w:val="both"/>
        <w:rPr>
          <w:rFonts w:ascii="Times New Roman" w:hAnsi="Times New Roman" w:cs="Times New Roman"/>
          <w:iCs/>
          <w:sz w:val="24"/>
          <w:szCs w:val="24"/>
        </w:rPr>
      </w:pPr>
      <w:r w:rsidRPr="00D77872">
        <w:rPr>
          <w:rFonts w:ascii="Times New Roman" w:hAnsi="Times New Roman" w:cs="Times New Roman"/>
          <w:iCs/>
          <w:sz w:val="24"/>
          <w:szCs w:val="24"/>
        </w:rPr>
        <w:t>W dniu 28.09.2022 r.</w:t>
      </w:r>
      <w:r w:rsidR="00D77872">
        <w:rPr>
          <w:rFonts w:ascii="Times New Roman" w:hAnsi="Times New Roman" w:cs="Times New Roman"/>
          <w:iCs/>
          <w:sz w:val="24"/>
          <w:szCs w:val="24"/>
        </w:rPr>
        <w:t>, w wyniku zgłoszenia</w:t>
      </w:r>
      <w:r w:rsidRPr="00D77872">
        <w:rPr>
          <w:rFonts w:ascii="Times New Roman" w:hAnsi="Times New Roman" w:cs="Times New Roman"/>
          <w:iCs/>
          <w:sz w:val="24"/>
          <w:szCs w:val="24"/>
        </w:rPr>
        <w:t xml:space="preserve"> </w:t>
      </w:r>
      <w:r w:rsidR="00D77872">
        <w:rPr>
          <w:rFonts w:ascii="Times New Roman" w:hAnsi="Times New Roman" w:cs="Times New Roman"/>
          <w:iCs/>
          <w:sz w:val="24"/>
          <w:szCs w:val="24"/>
        </w:rPr>
        <w:t xml:space="preserve">otrzymanego </w:t>
      </w:r>
      <w:r w:rsidRPr="00D77872">
        <w:rPr>
          <w:rFonts w:ascii="Times New Roman" w:hAnsi="Times New Roman" w:cs="Times New Roman"/>
          <w:iCs/>
          <w:sz w:val="24"/>
          <w:szCs w:val="24"/>
        </w:rPr>
        <w:t>drogą telefoniczną</w:t>
      </w:r>
      <w:r w:rsidR="00D77872">
        <w:rPr>
          <w:rFonts w:ascii="Times New Roman" w:hAnsi="Times New Roman" w:cs="Times New Roman"/>
          <w:iCs/>
          <w:sz w:val="24"/>
          <w:szCs w:val="24"/>
        </w:rPr>
        <w:t xml:space="preserve">, inspektorzy </w:t>
      </w:r>
      <w:r w:rsidRPr="00D77872">
        <w:rPr>
          <w:rFonts w:ascii="Times New Roman" w:hAnsi="Times New Roman" w:cs="Times New Roman"/>
          <w:iCs/>
          <w:sz w:val="24"/>
          <w:szCs w:val="24"/>
        </w:rPr>
        <w:t>WIOŚ w Białymstoku</w:t>
      </w:r>
      <w:r w:rsidR="00D77872">
        <w:rPr>
          <w:rFonts w:ascii="Times New Roman" w:hAnsi="Times New Roman" w:cs="Times New Roman"/>
          <w:iCs/>
          <w:sz w:val="24"/>
          <w:szCs w:val="24"/>
        </w:rPr>
        <w:t xml:space="preserve">, </w:t>
      </w:r>
      <w:r w:rsidRPr="00D77872">
        <w:rPr>
          <w:rFonts w:ascii="Times New Roman" w:hAnsi="Times New Roman" w:cs="Times New Roman"/>
          <w:iCs/>
          <w:sz w:val="24"/>
          <w:szCs w:val="24"/>
        </w:rPr>
        <w:t>przy udziale pracowników Departamentu Gospodarki Komunalnej Urzędu Miejskiego w Białymstoku oraz Państwowej Straży Pożarnej w Białymstoku przeprowadz</w:t>
      </w:r>
      <w:r w:rsidR="00D77872">
        <w:rPr>
          <w:rFonts w:ascii="Times New Roman" w:hAnsi="Times New Roman" w:cs="Times New Roman"/>
          <w:iCs/>
          <w:sz w:val="24"/>
          <w:szCs w:val="24"/>
        </w:rPr>
        <w:t>ili</w:t>
      </w:r>
      <w:r w:rsidRPr="00D77872">
        <w:rPr>
          <w:rFonts w:ascii="Times New Roman" w:hAnsi="Times New Roman" w:cs="Times New Roman"/>
          <w:iCs/>
          <w:sz w:val="24"/>
          <w:szCs w:val="24"/>
        </w:rPr>
        <w:t xml:space="preserve"> oględziny rowu odprowadzającego wody deszczowe w parku Antoniuk przy ul. Wierzbowej w Białymstoku. Podczas oględzin stwierdzono, </w:t>
      </w:r>
      <w:r w:rsidR="00D77872">
        <w:rPr>
          <w:rFonts w:ascii="Times New Roman" w:hAnsi="Times New Roman" w:cs="Times New Roman"/>
          <w:iCs/>
          <w:sz w:val="24"/>
          <w:szCs w:val="24"/>
        </w:rPr>
        <w:t>że</w:t>
      </w:r>
      <w:r w:rsidRPr="00D77872">
        <w:rPr>
          <w:rFonts w:ascii="Times New Roman" w:hAnsi="Times New Roman" w:cs="Times New Roman"/>
          <w:iCs/>
          <w:sz w:val="24"/>
          <w:szCs w:val="24"/>
        </w:rPr>
        <w:t xml:space="preserve"> z wylotu kanału deszczowego wypływa substancja ropopochodna. Miejsce wylotu zostało zabezpieczone przez Straż Pożarną przed dalszym przedostawaniem się substancji do ww. rowu. Następnie po zabezpieczeniu wylotu, udano się na sąsiednią działkę celem sprawdzenia studzienek kanalizacyjnych, żeby ustalić źródło zanieczyszczenia. Podczas oględzin ww. działki stwierdzono, ż</w:t>
      </w:r>
      <w:r w:rsidR="00D77872">
        <w:rPr>
          <w:rFonts w:ascii="Times New Roman" w:hAnsi="Times New Roman" w:cs="Times New Roman"/>
          <w:iCs/>
          <w:sz w:val="24"/>
          <w:szCs w:val="24"/>
        </w:rPr>
        <w:t>e</w:t>
      </w:r>
      <w:r w:rsidRPr="00D77872">
        <w:rPr>
          <w:rFonts w:ascii="Times New Roman" w:hAnsi="Times New Roman" w:cs="Times New Roman"/>
          <w:iCs/>
          <w:sz w:val="24"/>
          <w:szCs w:val="24"/>
        </w:rPr>
        <w:t xml:space="preserve"> źródłem zanieczyszczenia jest kanał samochodowy, który znajduje się w północnej części działki. Ww. </w:t>
      </w:r>
      <w:r w:rsidRPr="00D77872">
        <w:rPr>
          <w:rFonts w:ascii="Times New Roman" w:hAnsi="Times New Roman" w:cs="Times New Roman"/>
          <w:iCs/>
          <w:sz w:val="24"/>
          <w:szCs w:val="24"/>
        </w:rPr>
        <w:lastRenderedPageBreak/>
        <w:t xml:space="preserve">kanał  na całej długości zanieczyszczony był substancją ropopochodną, w środku kanału znajdowała się kratką, z której zanieczyszczenie spływało dalej do kanału deszczowego, </w:t>
      </w:r>
      <w:r w:rsidR="00D77872">
        <w:rPr>
          <w:rFonts w:ascii="Times New Roman" w:hAnsi="Times New Roman" w:cs="Times New Roman"/>
          <w:iCs/>
          <w:sz w:val="24"/>
          <w:szCs w:val="24"/>
        </w:rPr>
        <w:br/>
      </w:r>
      <w:r w:rsidRPr="00D77872">
        <w:rPr>
          <w:rFonts w:ascii="Times New Roman" w:hAnsi="Times New Roman" w:cs="Times New Roman"/>
          <w:iCs/>
          <w:sz w:val="24"/>
          <w:szCs w:val="24"/>
        </w:rPr>
        <w:t xml:space="preserve">a następnie do rowu znajdującego się na pobliskiej działce. Ponadto, w kanale stwierdzono, iż znajdują się w nim 3 plastikowe wiadra o poj. 5 l wypełnione substancją oleistą. Miejsce kanału samochodowego zostało zabezpieczone przed dalszym wyciekiem zanieczyszczenia do kratki, zastosowano sorbent. </w:t>
      </w:r>
    </w:p>
    <w:p w14:paraId="3E9B63D9" w14:textId="77777777" w:rsidR="00E8099E" w:rsidRPr="00D77872" w:rsidRDefault="00E8099E" w:rsidP="006D3BAB">
      <w:pPr>
        <w:spacing w:line="300" w:lineRule="atLeast"/>
        <w:ind w:firstLine="567"/>
        <w:contextualSpacing/>
        <w:jc w:val="both"/>
        <w:rPr>
          <w:rFonts w:ascii="Times New Roman" w:hAnsi="Times New Roman" w:cs="Times New Roman"/>
          <w:iCs/>
          <w:sz w:val="24"/>
          <w:szCs w:val="24"/>
        </w:rPr>
      </w:pPr>
      <w:r w:rsidRPr="00D77872">
        <w:rPr>
          <w:rFonts w:ascii="Times New Roman" w:hAnsi="Times New Roman" w:cs="Times New Roman"/>
          <w:iCs/>
          <w:sz w:val="24"/>
          <w:szCs w:val="24"/>
        </w:rPr>
        <w:t>Po przeprowadzonych oględzinach pracownik CLB GIOŚ w Białymstoku pobrał próbki wody do analizy pod kątem zawartości oleju mineralnego. Próbki zostały pobrane z rzeki Białej poniżej i powyżej wylotu rowu bezpośrednio do rzeki, a także z wylotu kanału deszczowego do rowu melioracyjnego znajdującego się na ww. działce przy ul. Wierzbowej w Białymstoku.</w:t>
      </w:r>
    </w:p>
    <w:p w14:paraId="6A523F6A" w14:textId="416A0843" w:rsidR="00E8099E" w:rsidRPr="00D77872" w:rsidRDefault="00E8099E" w:rsidP="00E8099E">
      <w:pPr>
        <w:spacing w:line="300" w:lineRule="atLeast"/>
        <w:contextualSpacing/>
        <w:jc w:val="both"/>
        <w:rPr>
          <w:rFonts w:ascii="Times New Roman" w:hAnsi="Times New Roman" w:cs="Times New Roman"/>
          <w:iCs/>
          <w:sz w:val="24"/>
          <w:szCs w:val="24"/>
        </w:rPr>
      </w:pPr>
      <w:r w:rsidRPr="00D77872">
        <w:rPr>
          <w:rFonts w:ascii="Times New Roman" w:hAnsi="Times New Roman" w:cs="Times New Roman"/>
          <w:iCs/>
          <w:sz w:val="24"/>
          <w:szCs w:val="24"/>
        </w:rPr>
        <w:t>Na podstawie ww. ustaleń dokonanych na podstawie art. 10b ust. 2 pkt 6 ustawy o Inspekcji Ochrony Środowiska i sporządzonym protokole oględzin, w dniu 30.09.2022 r. Inspektorzy WIOŚ w Białymstoku rozpoczęli kontrolę w podmiocie posiadającym siedzibę przy ul. Jana Pawła II w Białymstoku.</w:t>
      </w:r>
    </w:p>
    <w:p w14:paraId="7057BF90" w14:textId="5661723A" w:rsidR="00E8099E" w:rsidRPr="00D77872" w:rsidRDefault="00E8099E" w:rsidP="006D3BAB">
      <w:pPr>
        <w:spacing w:line="300" w:lineRule="atLeast"/>
        <w:ind w:firstLine="567"/>
        <w:contextualSpacing/>
        <w:jc w:val="both"/>
        <w:rPr>
          <w:rFonts w:ascii="Times New Roman" w:hAnsi="Times New Roman" w:cs="Times New Roman"/>
          <w:iCs/>
          <w:sz w:val="24"/>
          <w:szCs w:val="24"/>
        </w:rPr>
      </w:pPr>
      <w:r w:rsidRPr="00D77872">
        <w:rPr>
          <w:rFonts w:ascii="Times New Roman" w:hAnsi="Times New Roman" w:cs="Times New Roman"/>
          <w:iCs/>
          <w:sz w:val="24"/>
          <w:szCs w:val="24"/>
        </w:rPr>
        <w:t>W toku kontroli ustalono, ż</w:t>
      </w:r>
      <w:r w:rsidR="005E43EC">
        <w:rPr>
          <w:rFonts w:ascii="Times New Roman" w:hAnsi="Times New Roman" w:cs="Times New Roman"/>
          <w:iCs/>
          <w:sz w:val="24"/>
          <w:szCs w:val="24"/>
        </w:rPr>
        <w:t>e</w:t>
      </w:r>
      <w:r w:rsidRPr="00D77872">
        <w:rPr>
          <w:rFonts w:ascii="Times New Roman" w:hAnsi="Times New Roman" w:cs="Times New Roman"/>
          <w:iCs/>
          <w:sz w:val="24"/>
          <w:szCs w:val="24"/>
        </w:rPr>
        <w:t xml:space="preserve"> podmiot ten nie posiada pozwolenia wodnoprawnego na odprowadzanie wód opadowych lub roztopowych zawierających substancje szczególnie szkodliwe dla środowiska z terenu nieruchomości. W związku z powyższym, a także z uwagi na fakt odmowy przyjęcia mandatu przez prezesa ww. firmy przeprowadzono czynności wyjaśniające w sprawie o wykroczenie z art. 476 - Ustawa z dnia 20 lipca 2017 r. Prawo wodne i wystąpiono z wnioskiem o ukaranie prezesa firmy do Sądu Rejonowego w Białymstoku, który wymierzył karę grzywny w wysokości 3</w:t>
      </w:r>
      <w:r w:rsidR="005E43EC">
        <w:rPr>
          <w:rFonts w:ascii="Times New Roman" w:hAnsi="Times New Roman" w:cs="Times New Roman"/>
          <w:iCs/>
          <w:sz w:val="24"/>
          <w:szCs w:val="24"/>
        </w:rPr>
        <w:t xml:space="preserve"> </w:t>
      </w:r>
      <w:r w:rsidRPr="00D77872">
        <w:rPr>
          <w:rFonts w:ascii="Times New Roman" w:hAnsi="Times New Roman" w:cs="Times New Roman"/>
          <w:iCs/>
          <w:sz w:val="24"/>
          <w:szCs w:val="24"/>
        </w:rPr>
        <w:t>000 zł.</w:t>
      </w:r>
    </w:p>
    <w:p w14:paraId="2908A210" w14:textId="77777777" w:rsidR="00E8099E" w:rsidRPr="000C0753" w:rsidRDefault="00E8099E" w:rsidP="00E8099E">
      <w:pPr>
        <w:spacing w:line="300" w:lineRule="atLeast"/>
        <w:contextualSpacing/>
        <w:jc w:val="both"/>
        <w:rPr>
          <w:iCs/>
        </w:rPr>
      </w:pPr>
    </w:p>
    <w:p w14:paraId="4B3DFA8E" w14:textId="23569A87" w:rsidR="00E8099E" w:rsidRPr="000C0753" w:rsidRDefault="00E8099E" w:rsidP="00E8099E">
      <w:pPr>
        <w:spacing w:line="300" w:lineRule="atLeast"/>
        <w:contextualSpacing/>
        <w:jc w:val="center"/>
        <w:rPr>
          <w:iCs/>
        </w:rPr>
      </w:pPr>
      <w:r w:rsidRPr="000C0753">
        <w:rPr>
          <w:iCs/>
          <w:noProof/>
          <w:lang w:eastAsia="pl-PL"/>
        </w:rPr>
        <w:drawing>
          <wp:inline distT="0" distB="0" distL="0" distR="0" wp14:anchorId="69840F96" wp14:editId="7EFC789F">
            <wp:extent cx="4349115" cy="3263265"/>
            <wp:effectExtent l="0" t="0" r="0" b="0"/>
            <wp:docPr id="173" name="Obraz 173" descr="Zdjęcie 17. Wylot do kanału deszczowego znajdujący się na działce, z widocznym wypływaniem substancji ropopochod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Obraz 173" descr="Zdjęcie 17. Wylot do kanału deszczowego znajdujący się na działce, z widocznym wypływaniem substancji ropopochodnych."/>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49115" cy="3263265"/>
                    </a:xfrm>
                    <a:prstGeom prst="rect">
                      <a:avLst/>
                    </a:prstGeom>
                    <a:noFill/>
                  </pic:spPr>
                </pic:pic>
              </a:graphicData>
            </a:graphic>
          </wp:inline>
        </w:drawing>
      </w:r>
    </w:p>
    <w:p w14:paraId="23C20303" w14:textId="1A703739" w:rsidR="00E8099E" w:rsidRPr="005E43EC" w:rsidRDefault="00E8099E" w:rsidP="00E8099E">
      <w:pPr>
        <w:spacing w:line="300" w:lineRule="atLeast"/>
        <w:contextualSpacing/>
        <w:jc w:val="center"/>
        <w:rPr>
          <w:rFonts w:ascii="Times New Roman" w:hAnsi="Times New Roman" w:cs="Times New Roman"/>
          <w:b/>
          <w:iCs/>
        </w:rPr>
      </w:pPr>
      <w:r w:rsidRPr="005E43EC">
        <w:rPr>
          <w:rFonts w:ascii="Times New Roman" w:hAnsi="Times New Roman" w:cs="Times New Roman"/>
          <w:b/>
          <w:iCs/>
        </w:rPr>
        <w:t xml:space="preserve">Zdjęcie </w:t>
      </w:r>
      <w:r w:rsidR="00E75A83">
        <w:rPr>
          <w:rFonts w:ascii="Times New Roman" w:hAnsi="Times New Roman" w:cs="Times New Roman"/>
          <w:b/>
          <w:iCs/>
        </w:rPr>
        <w:t>17</w:t>
      </w:r>
      <w:r w:rsidRPr="005E43EC">
        <w:rPr>
          <w:rFonts w:ascii="Times New Roman" w:hAnsi="Times New Roman" w:cs="Times New Roman"/>
          <w:b/>
          <w:iCs/>
        </w:rPr>
        <w:t>. Wylot do kanału deszczowego znajdujący się na działce, z widocznym wypływaniem substancji ropopochodnych.</w:t>
      </w:r>
    </w:p>
    <w:p w14:paraId="64FA535E" w14:textId="77777777" w:rsidR="00E8099E" w:rsidRPr="000C0753" w:rsidRDefault="00E8099E" w:rsidP="00E8099E">
      <w:pPr>
        <w:spacing w:line="300" w:lineRule="atLeast"/>
        <w:contextualSpacing/>
        <w:jc w:val="center"/>
        <w:rPr>
          <w:i/>
          <w:iCs/>
        </w:rPr>
      </w:pPr>
    </w:p>
    <w:p w14:paraId="5E9197A7" w14:textId="421A2166" w:rsidR="00E8099E" w:rsidRPr="005E43EC" w:rsidRDefault="005E43EC" w:rsidP="005E43EC">
      <w:pPr>
        <w:spacing w:after="60" w:line="300" w:lineRule="atLeast"/>
        <w:jc w:val="both"/>
        <w:rPr>
          <w:rFonts w:ascii="Times New Roman" w:hAnsi="Times New Roman" w:cs="Times New Roman"/>
        </w:rPr>
      </w:pPr>
      <w:r w:rsidRPr="005E43EC">
        <w:rPr>
          <w:rFonts w:ascii="Times New Roman" w:hAnsi="Times New Roman" w:cs="Times New Roman"/>
          <w:b/>
          <w:i/>
          <w:iCs/>
          <w:color w:val="000000"/>
          <w:sz w:val="24"/>
          <w:szCs w:val="24"/>
        </w:rPr>
        <w:t>Nielegalne magazynowanie odpadów, woj. kujawsko-pomorskie</w:t>
      </w:r>
    </w:p>
    <w:p w14:paraId="4751E2E0" w14:textId="0E7CED7F" w:rsidR="00E8099E" w:rsidRPr="005E43EC" w:rsidRDefault="00E8099E" w:rsidP="006D3BAB">
      <w:pPr>
        <w:spacing w:line="300" w:lineRule="atLeast"/>
        <w:ind w:firstLine="567"/>
        <w:contextualSpacing/>
        <w:jc w:val="both"/>
        <w:rPr>
          <w:rFonts w:ascii="Times New Roman" w:hAnsi="Times New Roman" w:cs="Times New Roman"/>
          <w:sz w:val="24"/>
          <w:szCs w:val="24"/>
        </w:rPr>
      </w:pPr>
      <w:r w:rsidRPr="005E43EC">
        <w:rPr>
          <w:rFonts w:ascii="Times New Roman" w:hAnsi="Times New Roman" w:cs="Times New Roman"/>
          <w:sz w:val="24"/>
          <w:szCs w:val="24"/>
        </w:rPr>
        <w:t>Czynności podjęto w związku zgłoszeniem  Burmistrza Miasta i Gminy Piotrków Kujawski dot</w:t>
      </w:r>
      <w:r w:rsidR="005E43EC">
        <w:rPr>
          <w:rFonts w:ascii="Times New Roman" w:hAnsi="Times New Roman" w:cs="Times New Roman"/>
          <w:sz w:val="24"/>
          <w:szCs w:val="24"/>
        </w:rPr>
        <w:t>yczącego</w:t>
      </w:r>
      <w:r w:rsidRPr="005E43EC">
        <w:rPr>
          <w:rFonts w:ascii="Times New Roman" w:hAnsi="Times New Roman" w:cs="Times New Roman"/>
          <w:sz w:val="24"/>
          <w:szCs w:val="24"/>
        </w:rPr>
        <w:t xml:space="preserve"> nielegalnego magazynowania odpadów na prywatnej działce </w:t>
      </w:r>
      <w:r w:rsidR="005E43EC">
        <w:rPr>
          <w:rFonts w:ascii="Times New Roman" w:hAnsi="Times New Roman" w:cs="Times New Roman"/>
          <w:sz w:val="24"/>
          <w:szCs w:val="24"/>
        </w:rPr>
        <w:br/>
      </w:r>
      <w:r w:rsidRPr="005E43EC">
        <w:rPr>
          <w:rFonts w:ascii="Times New Roman" w:hAnsi="Times New Roman" w:cs="Times New Roman"/>
          <w:sz w:val="24"/>
          <w:szCs w:val="24"/>
        </w:rPr>
        <w:t xml:space="preserve">w m. Bycz. Dokonano oględzin przedmiotowego terenu. Stwierdzono nielegalne </w:t>
      </w:r>
      <w:r w:rsidRPr="005E43EC">
        <w:rPr>
          <w:rFonts w:ascii="Times New Roman" w:hAnsi="Times New Roman" w:cs="Times New Roman"/>
          <w:sz w:val="24"/>
          <w:szCs w:val="24"/>
        </w:rPr>
        <w:lastRenderedPageBreak/>
        <w:t xml:space="preserve">magazynowanie odpadów w miejscu do tego nieprzeznaczonym, w sposób zagrażający środowisku. Odpady na terenie działki magazynowane były bezpośrednio na gruncie </w:t>
      </w:r>
      <w:r w:rsidR="005E43EC">
        <w:rPr>
          <w:rFonts w:ascii="Times New Roman" w:hAnsi="Times New Roman" w:cs="Times New Roman"/>
          <w:sz w:val="24"/>
          <w:szCs w:val="24"/>
        </w:rPr>
        <w:br/>
      </w:r>
      <w:r w:rsidRPr="005E43EC">
        <w:rPr>
          <w:rFonts w:ascii="Times New Roman" w:hAnsi="Times New Roman" w:cs="Times New Roman"/>
          <w:sz w:val="24"/>
          <w:szCs w:val="24"/>
        </w:rPr>
        <w:t xml:space="preserve">w licznych hałdach. Ponadto stwierdzono wyciek z beczek nieznanej substancji chemicznej bezpośrednio na powierzchnię ziemi. Wezwano na miejsce Państwową Straż Pożarną i Policję w celu poinformowania o zagrożeniu wynikającym z zanieczyszczenia gleby nieznaną substancją chemiczną i w celu zabezpieczenia terenu. Pobrano próby do badań. Skierowano wystąpienie do Regionalnej Dyrekcji Ochrony Środowiska w związku ze stwierdzonym zanieczyszczeniem powierzchni ziemi  oraz skierowano wystąpienie do Burmistrza Miasta </w:t>
      </w:r>
      <w:r w:rsidR="005E43EC">
        <w:rPr>
          <w:rFonts w:ascii="Times New Roman" w:hAnsi="Times New Roman" w:cs="Times New Roman"/>
          <w:sz w:val="24"/>
          <w:szCs w:val="24"/>
        </w:rPr>
        <w:br/>
      </w:r>
      <w:r w:rsidRPr="005E43EC">
        <w:rPr>
          <w:rFonts w:ascii="Times New Roman" w:hAnsi="Times New Roman" w:cs="Times New Roman"/>
          <w:sz w:val="24"/>
          <w:szCs w:val="24"/>
        </w:rPr>
        <w:t xml:space="preserve">i Gminy Piotrków Kujawski </w:t>
      </w:r>
      <w:bookmarkStart w:id="322" w:name="_Hlk126311783"/>
      <w:r w:rsidRPr="005E43EC">
        <w:rPr>
          <w:rFonts w:ascii="Times New Roman" w:hAnsi="Times New Roman" w:cs="Times New Roman"/>
          <w:sz w:val="24"/>
          <w:szCs w:val="24"/>
        </w:rPr>
        <w:t>o podjęcie działań wynikających z art. 26 ustawy o odpadach.</w:t>
      </w:r>
    </w:p>
    <w:bookmarkEnd w:id="322"/>
    <w:p w14:paraId="2B79781A" w14:textId="77777777" w:rsidR="00E8099E" w:rsidRPr="000C0753" w:rsidRDefault="00E8099E" w:rsidP="00E8099E">
      <w:pPr>
        <w:spacing w:line="300" w:lineRule="atLeast"/>
        <w:contextualSpacing/>
        <w:jc w:val="both"/>
      </w:pPr>
    </w:p>
    <w:p w14:paraId="6E015748" w14:textId="0E4EF8DC" w:rsidR="00E8099E" w:rsidRPr="000C0753" w:rsidRDefault="00E8099E" w:rsidP="00E8099E">
      <w:pPr>
        <w:spacing w:line="300" w:lineRule="atLeast"/>
        <w:ind w:left="709" w:right="848"/>
        <w:contextualSpacing/>
        <w:jc w:val="center"/>
        <w:rPr>
          <w:b/>
          <w:bCs/>
        </w:rPr>
      </w:pPr>
      <w:r w:rsidRPr="000C0753">
        <w:rPr>
          <w:b/>
          <w:bCs/>
          <w:noProof/>
          <w:lang w:eastAsia="pl-PL"/>
        </w:rPr>
        <w:drawing>
          <wp:inline distT="0" distB="0" distL="0" distR="0" wp14:anchorId="4F46C0EC" wp14:editId="3A68F5AE">
            <wp:extent cx="5076825" cy="3819525"/>
            <wp:effectExtent l="0" t="0" r="9525" b="9525"/>
            <wp:docPr id="167" name="Obraz 167" descr="Zdjęcie 18. Porozrzucane beczki z substancją chemiczną nieznanego pochodze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Obraz 167" descr="Zdjęcie 18. Porozrzucane beczki z substancją chemiczną nieznanego pochodzenia."/>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76825" cy="3819525"/>
                    </a:xfrm>
                    <a:prstGeom prst="rect">
                      <a:avLst/>
                    </a:prstGeom>
                    <a:noFill/>
                    <a:ln>
                      <a:noFill/>
                    </a:ln>
                  </pic:spPr>
                </pic:pic>
              </a:graphicData>
            </a:graphic>
          </wp:inline>
        </w:drawing>
      </w:r>
    </w:p>
    <w:p w14:paraId="447E5D31" w14:textId="0927F127" w:rsidR="00E8099E" w:rsidRPr="005E43EC" w:rsidRDefault="005E43EC" w:rsidP="00CF68BE">
      <w:pPr>
        <w:tabs>
          <w:tab w:val="left" w:pos="851"/>
        </w:tabs>
        <w:spacing w:line="300" w:lineRule="atLeast"/>
        <w:ind w:left="851" w:right="-569" w:firstLine="425"/>
        <w:contextualSpacing/>
        <w:rPr>
          <w:rFonts w:ascii="Times New Roman" w:hAnsi="Times New Roman" w:cs="Times New Roman"/>
          <w:b/>
        </w:rPr>
      </w:pPr>
      <w:r w:rsidRPr="005E43EC">
        <w:rPr>
          <w:rFonts w:ascii="Times New Roman" w:hAnsi="Times New Roman" w:cs="Times New Roman"/>
          <w:b/>
        </w:rPr>
        <w:t xml:space="preserve">Zdjęcie </w:t>
      </w:r>
      <w:r w:rsidR="00E75A83">
        <w:rPr>
          <w:rFonts w:ascii="Times New Roman" w:hAnsi="Times New Roman" w:cs="Times New Roman"/>
          <w:b/>
        </w:rPr>
        <w:t>18</w:t>
      </w:r>
      <w:r w:rsidRPr="005E43EC">
        <w:rPr>
          <w:rFonts w:ascii="Times New Roman" w:hAnsi="Times New Roman" w:cs="Times New Roman"/>
          <w:b/>
        </w:rPr>
        <w:t xml:space="preserve">. </w:t>
      </w:r>
      <w:r w:rsidR="00E8099E" w:rsidRPr="005E43EC">
        <w:rPr>
          <w:rFonts w:ascii="Times New Roman" w:hAnsi="Times New Roman" w:cs="Times New Roman"/>
          <w:b/>
        </w:rPr>
        <w:t>Porozrzucane beczki z substancją chemiczną nieznanego pochodzenia.</w:t>
      </w:r>
    </w:p>
    <w:p w14:paraId="3EC9FA57" w14:textId="77777777" w:rsidR="00E8099E" w:rsidRPr="000C0753" w:rsidRDefault="00E8099E" w:rsidP="00E8099E">
      <w:pPr>
        <w:spacing w:line="300" w:lineRule="atLeast"/>
        <w:ind w:left="426" w:right="848"/>
        <w:contextualSpacing/>
        <w:jc w:val="center"/>
      </w:pPr>
    </w:p>
    <w:p w14:paraId="3BB7C414" w14:textId="77777777" w:rsidR="00E8099E" w:rsidRPr="000C0753" w:rsidRDefault="00E8099E" w:rsidP="00E8099E">
      <w:pPr>
        <w:spacing w:line="300" w:lineRule="atLeast"/>
        <w:ind w:left="1069"/>
        <w:contextualSpacing/>
        <w:jc w:val="both"/>
      </w:pPr>
    </w:p>
    <w:p w14:paraId="13E9FFFF" w14:textId="51E18DAA" w:rsidR="00E8099E" w:rsidRPr="000C0753" w:rsidRDefault="00E8099E" w:rsidP="00CF68BE">
      <w:pPr>
        <w:spacing w:line="300" w:lineRule="atLeast"/>
        <w:ind w:left="709" w:right="1132"/>
        <w:contextualSpacing/>
        <w:jc w:val="center"/>
      </w:pPr>
      <w:r w:rsidRPr="000C0753">
        <w:rPr>
          <w:noProof/>
          <w:lang w:eastAsia="pl-PL"/>
        </w:rPr>
        <w:lastRenderedPageBreak/>
        <w:drawing>
          <wp:inline distT="0" distB="0" distL="0" distR="0" wp14:anchorId="68640B34" wp14:editId="2CD87805">
            <wp:extent cx="5048250" cy="3790950"/>
            <wp:effectExtent l="0" t="0" r="0" b="0"/>
            <wp:docPr id="166" name="Obraz 166" descr="Zdjęcie 19. Substancja chemiczna nieznanego pochodzenia na powierzchni zie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Obraz 166" descr="Zdjęcie 19. Substancja chemiczna nieznanego pochodzenia na powierzchni ziemi."/>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48250" cy="3790950"/>
                    </a:xfrm>
                    <a:prstGeom prst="rect">
                      <a:avLst/>
                    </a:prstGeom>
                    <a:noFill/>
                    <a:ln>
                      <a:noFill/>
                    </a:ln>
                  </pic:spPr>
                </pic:pic>
              </a:graphicData>
            </a:graphic>
          </wp:inline>
        </w:drawing>
      </w:r>
    </w:p>
    <w:p w14:paraId="130E8D1E" w14:textId="6AE6BF43" w:rsidR="00E8099E" w:rsidRPr="005E43EC" w:rsidRDefault="005E43EC" w:rsidP="00E8099E">
      <w:pPr>
        <w:spacing w:line="300" w:lineRule="atLeast"/>
        <w:ind w:left="851" w:right="281"/>
        <w:contextualSpacing/>
        <w:jc w:val="center"/>
        <w:rPr>
          <w:rFonts w:ascii="Times New Roman" w:hAnsi="Times New Roman" w:cs="Times New Roman"/>
          <w:b/>
        </w:rPr>
      </w:pPr>
      <w:r w:rsidRPr="005E43EC">
        <w:rPr>
          <w:rFonts w:ascii="Times New Roman" w:hAnsi="Times New Roman" w:cs="Times New Roman"/>
          <w:b/>
        </w:rPr>
        <w:t xml:space="preserve">Zdjęcie </w:t>
      </w:r>
      <w:r w:rsidR="00E75A83">
        <w:rPr>
          <w:rFonts w:ascii="Times New Roman" w:hAnsi="Times New Roman" w:cs="Times New Roman"/>
          <w:b/>
        </w:rPr>
        <w:t>19</w:t>
      </w:r>
      <w:r w:rsidRPr="005E43EC">
        <w:rPr>
          <w:rFonts w:ascii="Times New Roman" w:hAnsi="Times New Roman" w:cs="Times New Roman"/>
          <w:b/>
        </w:rPr>
        <w:t xml:space="preserve">. </w:t>
      </w:r>
      <w:r w:rsidR="00E8099E" w:rsidRPr="005E43EC">
        <w:rPr>
          <w:rFonts w:ascii="Times New Roman" w:hAnsi="Times New Roman" w:cs="Times New Roman"/>
          <w:b/>
        </w:rPr>
        <w:t>Substancja chemiczna nieznanego pochodzenia na powierzchni ziemi.</w:t>
      </w:r>
    </w:p>
    <w:p w14:paraId="6FE07E21" w14:textId="582686AC" w:rsidR="00E8099E" w:rsidRDefault="005E43EC" w:rsidP="00D16147">
      <w:pPr>
        <w:autoSpaceDE w:val="0"/>
        <w:autoSpaceDN w:val="0"/>
        <w:adjustRightInd w:val="0"/>
        <w:spacing w:after="60" w:line="300" w:lineRule="atLeast"/>
      </w:pPr>
      <w:r>
        <w:rPr>
          <w:rFonts w:ascii="Times New Roman" w:hAnsi="Times New Roman" w:cs="Times New Roman"/>
          <w:b/>
          <w:i/>
          <w:iCs/>
          <w:color w:val="000000"/>
          <w:sz w:val="24"/>
          <w:szCs w:val="24"/>
        </w:rPr>
        <w:t xml:space="preserve">Zbieranie </w:t>
      </w:r>
      <w:r w:rsidR="00D16147">
        <w:rPr>
          <w:rFonts w:ascii="Times New Roman" w:hAnsi="Times New Roman" w:cs="Times New Roman"/>
          <w:b/>
          <w:i/>
          <w:iCs/>
          <w:color w:val="000000"/>
          <w:sz w:val="24"/>
          <w:szCs w:val="24"/>
        </w:rPr>
        <w:t>przeterminowanych produktów spożywczych, woj. pomorskie</w:t>
      </w:r>
    </w:p>
    <w:p w14:paraId="1253B1AD" w14:textId="71F12645" w:rsidR="00E8099E" w:rsidRPr="00D16147" w:rsidRDefault="00E8099E" w:rsidP="006D3BAB">
      <w:pPr>
        <w:autoSpaceDE w:val="0"/>
        <w:autoSpaceDN w:val="0"/>
        <w:adjustRightInd w:val="0"/>
        <w:spacing w:line="300" w:lineRule="atLeast"/>
        <w:ind w:firstLine="567"/>
        <w:contextualSpacing/>
        <w:jc w:val="both"/>
        <w:rPr>
          <w:rFonts w:ascii="Times New Roman" w:hAnsi="Times New Roman" w:cs="Times New Roman"/>
          <w:sz w:val="24"/>
          <w:szCs w:val="24"/>
        </w:rPr>
      </w:pPr>
      <w:r w:rsidRPr="00D16147">
        <w:rPr>
          <w:rFonts w:ascii="Times New Roman" w:hAnsi="Times New Roman" w:cs="Times New Roman"/>
          <w:sz w:val="24"/>
          <w:szCs w:val="24"/>
        </w:rPr>
        <w:t xml:space="preserve">Inspektorzy WIOŚ w Gdańsku Delegatura w Słupsku, w oparciu o art. 10b ustawy </w:t>
      </w:r>
      <w:r w:rsidR="00D16147">
        <w:rPr>
          <w:rFonts w:ascii="Times New Roman" w:hAnsi="Times New Roman" w:cs="Times New Roman"/>
          <w:sz w:val="24"/>
          <w:szCs w:val="24"/>
        </w:rPr>
        <w:br/>
      </w:r>
      <w:r w:rsidRPr="00D16147">
        <w:rPr>
          <w:rFonts w:ascii="Times New Roman" w:hAnsi="Times New Roman" w:cs="Times New Roman"/>
          <w:sz w:val="24"/>
          <w:szCs w:val="24"/>
        </w:rPr>
        <w:t xml:space="preserve">o IOŚ, na terenie posesji w powiecie bytowskim, czynności weryfikujące zgłoszenie dotyczące nielegalnego magazynowania odpadów. Na miejscu przeprowadzono m.in. oględziny terenu </w:t>
      </w:r>
      <w:r w:rsidR="00D16147">
        <w:rPr>
          <w:rFonts w:ascii="Times New Roman" w:hAnsi="Times New Roman" w:cs="Times New Roman"/>
          <w:sz w:val="24"/>
          <w:szCs w:val="24"/>
        </w:rPr>
        <w:br/>
      </w:r>
      <w:r w:rsidRPr="00D16147">
        <w:rPr>
          <w:rFonts w:ascii="Times New Roman" w:hAnsi="Times New Roman" w:cs="Times New Roman"/>
          <w:sz w:val="24"/>
          <w:szCs w:val="24"/>
        </w:rPr>
        <w:t>z wykorzystaniem bezzałogowego statku powietrznego, które jednoznacznie potwierdziły, że pod wskazanym przez zgłaszającego adresem przedsiębiorca zmagazynował ok. 400 beczek. Były to beczki z tworzywa sztucznego o pojemności 150 litrów oraz stalowe o pojemności 200 litrów, w których znajdowały się produkty spożywcze przeterminowane lub nieprzydatne do spożycia, czyli odpady o kodzie odpadu 16 03 80. Podmiot prowadził zbieranie ww. odpadów bez zezwolenia na zbieranie odpadów.</w:t>
      </w:r>
    </w:p>
    <w:p w14:paraId="2FD3ECBA" w14:textId="56D5E18C" w:rsidR="00E8099E" w:rsidRPr="000C0753" w:rsidRDefault="00E8099E" w:rsidP="00E8099E">
      <w:pPr>
        <w:spacing w:line="300" w:lineRule="atLeast"/>
        <w:contextualSpacing/>
        <w:jc w:val="both"/>
        <w:rPr>
          <w:i/>
          <w:color w:val="4472C4"/>
        </w:rPr>
      </w:pPr>
    </w:p>
    <w:p w14:paraId="3BC034AD" w14:textId="5FA93CD1" w:rsidR="00E8099E" w:rsidRPr="000C0753" w:rsidRDefault="00D16147" w:rsidP="006D3BAB">
      <w:pPr>
        <w:spacing w:after="60" w:line="300" w:lineRule="atLeast"/>
        <w:jc w:val="both"/>
        <w:rPr>
          <w:i/>
          <w:color w:val="4472C4"/>
        </w:rPr>
      </w:pPr>
      <w:r>
        <w:rPr>
          <w:rFonts w:ascii="Times New Roman" w:hAnsi="Times New Roman" w:cs="Times New Roman"/>
          <w:b/>
          <w:i/>
          <w:iCs/>
          <w:color w:val="000000"/>
          <w:sz w:val="24"/>
          <w:szCs w:val="24"/>
        </w:rPr>
        <w:t>Uciążliwości zapachowe pochodzenia komunalnego, woj. śląskie</w:t>
      </w:r>
    </w:p>
    <w:p w14:paraId="21BE6C3B" w14:textId="6EEF46CF" w:rsidR="00D16147" w:rsidRDefault="00E8099E" w:rsidP="006D3BAB">
      <w:pPr>
        <w:spacing w:line="300" w:lineRule="atLeast"/>
        <w:ind w:firstLine="567"/>
        <w:contextualSpacing/>
        <w:jc w:val="both"/>
        <w:rPr>
          <w:rFonts w:ascii="Times New Roman" w:hAnsi="Times New Roman" w:cs="Times New Roman"/>
          <w:sz w:val="24"/>
          <w:szCs w:val="24"/>
        </w:rPr>
      </w:pPr>
      <w:r w:rsidRPr="00D16147">
        <w:rPr>
          <w:rFonts w:ascii="Times New Roman" w:hAnsi="Times New Roman" w:cs="Times New Roman"/>
          <w:sz w:val="24"/>
          <w:szCs w:val="24"/>
        </w:rPr>
        <w:t>W godzinach nocnych w dniu 3.07.2022 r.</w:t>
      </w:r>
      <w:r w:rsidR="00D16147">
        <w:rPr>
          <w:rFonts w:ascii="Times New Roman" w:hAnsi="Times New Roman" w:cs="Times New Roman"/>
          <w:sz w:val="24"/>
          <w:szCs w:val="24"/>
        </w:rPr>
        <w:t xml:space="preserve">, w związku z prośbą o </w:t>
      </w:r>
      <w:r w:rsidR="00D16147" w:rsidRPr="00D16147">
        <w:rPr>
          <w:rFonts w:ascii="Times New Roman" w:hAnsi="Times New Roman" w:cs="Times New Roman"/>
          <w:sz w:val="24"/>
          <w:szCs w:val="24"/>
        </w:rPr>
        <w:t>interwencj</w:t>
      </w:r>
      <w:r w:rsidR="00D16147">
        <w:rPr>
          <w:rFonts w:ascii="Times New Roman" w:hAnsi="Times New Roman" w:cs="Times New Roman"/>
          <w:sz w:val="24"/>
          <w:szCs w:val="24"/>
        </w:rPr>
        <w:t>ę</w:t>
      </w:r>
      <w:r w:rsidR="00D16147" w:rsidRPr="00D16147">
        <w:rPr>
          <w:rFonts w:ascii="Times New Roman" w:hAnsi="Times New Roman" w:cs="Times New Roman"/>
          <w:sz w:val="24"/>
          <w:szCs w:val="24"/>
        </w:rPr>
        <w:t xml:space="preserve"> </w:t>
      </w:r>
      <w:r w:rsidR="00D16147">
        <w:rPr>
          <w:rFonts w:ascii="Times New Roman" w:hAnsi="Times New Roman" w:cs="Times New Roman"/>
          <w:sz w:val="24"/>
          <w:szCs w:val="24"/>
        </w:rPr>
        <w:t xml:space="preserve">otrzymaną poprzedniego dnia od </w:t>
      </w:r>
      <w:r w:rsidR="00D16147" w:rsidRPr="00D16147">
        <w:rPr>
          <w:rFonts w:ascii="Times New Roman" w:hAnsi="Times New Roman" w:cs="Times New Roman"/>
          <w:sz w:val="24"/>
          <w:szCs w:val="24"/>
        </w:rPr>
        <w:t xml:space="preserve">mieszkańców Sosnowca dzielnicy </w:t>
      </w:r>
      <w:proofErr w:type="spellStart"/>
      <w:r w:rsidR="00D16147" w:rsidRPr="00D16147">
        <w:rPr>
          <w:rFonts w:ascii="Times New Roman" w:hAnsi="Times New Roman" w:cs="Times New Roman"/>
          <w:sz w:val="24"/>
          <w:szCs w:val="24"/>
        </w:rPr>
        <w:t>Milowice</w:t>
      </w:r>
      <w:proofErr w:type="spellEnd"/>
      <w:r w:rsidR="00D16147" w:rsidRPr="00D16147">
        <w:rPr>
          <w:rFonts w:ascii="Times New Roman" w:hAnsi="Times New Roman" w:cs="Times New Roman"/>
          <w:sz w:val="24"/>
          <w:szCs w:val="24"/>
        </w:rPr>
        <w:t>, na znaczne uciążliwości zapachowe pochodzenia komunalnego</w:t>
      </w:r>
      <w:r w:rsidR="00D16147">
        <w:rPr>
          <w:rFonts w:ascii="Times New Roman" w:hAnsi="Times New Roman" w:cs="Times New Roman"/>
          <w:sz w:val="24"/>
          <w:szCs w:val="24"/>
        </w:rPr>
        <w:t>,</w:t>
      </w:r>
      <w:r w:rsidRPr="00D16147">
        <w:rPr>
          <w:rFonts w:ascii="Times New Roman" w:hAnsi="Times New Roman" w:cs="Times New Roman"/>
          <w:sz w:val="24"/>
          <w:szCs w:val="24"/>
        </w:rPr>
        <w:t xml:space="preserve"> podjęt</w:t>
      </w:r>
      <w:r w:rsidR="00D16147">
        <w:rPr>
          <w:rFonts w:ascii="Times New Roman" w:hAnsi="Times New Roman" w:cs="Times New Roman"/>
          <w:sz w:val="24"/>
          <w:szCs w:val="24"/>
        </w:rPr>
        <w:t>a</w:t>
      </w:r>
      <w:r w:rsidRPr="00D16147">
        <w:rPr>
          <w:rFonts w:ascii="Times New Roman" w:hAnsi="Times New Roman" w:cs="Times New Roman"/>
          <w:sz w:val="24"/>
          <w:szCs w:val="24"/>
        </w:rPr>
        <w:t xml:space="preserve"> </w:t>
      </w:r>
      <w:r w:rsidR="00D16147">
        <w:rPr>
          <w:rFonts w:ascii="Times New Roman" w:hAnsi="Times New Roman" w:cs="Times New Roman"/>
          <w:sz w:val="24"/>
          <w:szCs w:val="24"/>
        </w:rPr>
        <w:t xml:space="preserve">została </w:t>
      </w:r>
      <w:r w:rsidRPr="00D16147">
        <w:rPr>
          <w:rFonts w:ascii="Times New Roman" w:hAnsi="Times New Roman" w:cs="Times New Roman"/>
          <w:sz w:val="24"/>
          <w:szCs w:val="24"/>
        </w:rPr>
        <w:t>decyzję o konieczności podjęcia czynności w trybie art. 10b ustawy o Inspekcji Ochrony Środowiska</w:t>
      </w:r>
      <w:r w:rsidR="00D16147">
        <w:rPr>
          <w:rFonts w:ascii="Times New Roman" w:hAnsi="Times New Roman" w:cs="Times New Roman"/>
          <w:sz w:val="24"/>
          <w:szCs w:val="24"/>
        </w:rPr>
        <w:t>.</w:t>
      </w:r>
      <w:r w:rsidRPr="00D16147">
        <w:rPr>
          <w:rFonts w:ascii="Times New Roman" w:hAnsi="Times New Roman" w:cs="Times New Roman"/>
          <w:sz w:val="24"/>
          <w:szCs w:val="24"/>
        </w:rPr>
        <w:t xml:space="preserve"> </w:t>
      </w:r>
    </w:p>
    <w:p w14:paraId="57B19961" w14:textId="053F0494" w:rsidR="00E8099E" w:rsidRPr="00D16147" w:rsidRDefault="00E8099E" w:rsidP="006D3BAB">
      <w:pPr>
        <w:spacing w:line="300" w:lineRule="atLeast"/>
        <w:ind w:firstLine="567"/>
        <w:contextualSpacing/>
        <w:jc w:val="both"/>
        <w:rPr>
          <w:rFonts w:ascii="Times New Roman" w:hAnsi="Times New Roman" w:cs="Times New Roman"/>
          <w:bCs/>
          <w:sz w:val="24"/>
          <w:szCs w:val="24"/>
        </w:rPr>
      </w:pPr>
      <w:r w:rsidRPr="00D16147">
        <w:rPr>
          <w:rFonts w:ascii="Times New Roman" w:hAnsi="Times New Roman" w:cs="Times New Roman"/>
          <w:sz w:val="24"/>
          <w:szCs w:val="24"/>
        </w:rPr>
        <w:t xml:space="preserve">Zgłoszenia te zostały potwierdzone w terenie, a przeprowadzone rozpoznanie wskazywało, że sprawcą tych uciążliwości jest zakład przy ul. Milowickiej w Katowicach, ponieważ nasilenie tego zapachu było największe w najbliższej okolicy zakładu. Do udziału </w:t>
      </w:r>
      <w:r w:rsidR="00D16147">
        <w:rPr>
          <w:rFonts w:ascii="Times New Roman" w:hAnsi="Times New Roman" w:cs="Times New Roman"/>
          <w:sz w:val="24"/>
          <w:szCs w:val="24"/>
        </w:rPr>
        <w:br/>
      </w:r>
      <w:r w:rsidRPr="00D16147">
        <w:rPr>
          <w:rFonts w:ascii="Times New Roman" w:hAnsi="Times New Roman" w:cs="Times New Roman"/>
          <w:sz w:val="24"/>
          <w:szCs w:val="24"/>
        </w:rPr>
        <w:t xml:space="preserve">w czynnościach wezwano organy Policji. Przybyli na miejsce funkcjonariusze II Komisariatu podległego pod Komendę Miejską Policji w Katowicach potwierdzili znaczne uciążliwości zapachowe. Wobec powyższego wspólnie udano się w kierunku bramy głównej zakładu, gdzie po okazaniu legitymacji służbowych zażądano od obecnego na miejscu pracownika zakładu umożliwienie przeprowadzenia oględzin zakładu, które przeprowadzono na całym dostępnym terenie zakładu, poza budynkami. W ocenie przeprowadzających oględziny bezsprzecznie </w:t>
      </w:r>
      <w:r w:rsidRPr="00D16147">
        <w:rPr>
          <w:rFonts w:ascii="Times New Roman" w:hAnsi="Times New Roman" w:cs="Times New Roman"/>
          <w:sz w:val="24"/>
          <w:szCs w:val="24"/>
        </w:rPr>
        <w:lastRenderedPageBreak/>
        <w:t>źródłem uciążliwości zapachowych w nocy z 2 na 3.07.2022 r. był ww. kontrolowany zakład. Na powyższe wskazywały takie dowody jak  magazynowane luzem na placach magazynowych pryzm odpadów zielonych, zalegające odpady niesegregowane na hali magazynowej, punktowe nasilenia nieprzyjemnego zapachu w różnych częściach zakładu, świadczące o tym, iż na terenie zakładu znajduje się kilka źródeł tych zapachów. Stwierdzono wykroczenie z art. 171</w:t>
      </w:r>
      <w:r w:rsidRPr="00D16147">
        <w:rPr>
          <w:rFonts w:ascii="Times New Roman" w:hAnsi="Times New Roman" w:cs="Times New Roman"/>
          <w:b/>
          <w:bCs/>
          <w:color w:val="1B1B1B"/>
          <w:sz w:val="24"/>
          <w:szCs w:val="24"/>
        </w:rPr>
        <w:t xml:space="preserve"> </w:t>
      </w:r>
      <w:r w:rsidRPr="00D16147">
        <w:rPr>
          <w:rFonts w:ascii="Times New Roman" w:hAnsi="Times New Roman" w:cs="Times New Roman"/>
          <w:bCs/>
          <w:sz w:val="24"/>
          <w:szCs w:val="24"/>
        </w:rPr>
        <w:t xml:space="preserve">ustawy </w:t>
      </w:r>
      <w:r w:rsidRPr="00D16147">
        <w:rPr>
          <w:rFonts w:ascii="Times New Roman" w:hAnsi="Times New Roman" w:cs="Times New Roman"/>
          <w:sz w:val="24"/>
          <w:szCs w:val="24"/>
        </w:rPr>
        <w:t>z dnia 14 grudnia 2012 r.</w:t>
      </w:r>
      <w:r w:rsidRPr="00D16147">
        <w:rPr>
          <w:rFonts w:ascii="Times New Roman" w:hAnsi="Times New Roman" w:cs="Times New Roman"/>
          <w:bCs/>
          <w:sz w:val="24"/>
          <w:szCs w:val="24"/>
        </w:rPr>
        <w:t xml:space="preserve"> o odpadach tj. Kto prowadzi gospodarkę odpadami niezgodnie z nakazem określonym w art. 16 podlega karze aresztu albo grzywny, za które w dniu następnym wymierzono mandat karny dyrektorowi zakładu. </w:t>
      </w:r>
    </w:p>
    <w:p w14:paraId="5355F17C" w14:textId="77777777" w:rsidR="00E8099E" w:rsidRPr="000C0753" w:rsidRDefault="00E8099E" w:rsidP="006D3BAB">
      <w:pPr>
        <w:spacing w:line="300" w:lineRule="atLeast"/>
        <w:ind w:firstLine="567"/>
        <w:contextualSpacing/>
        <w:jc w:val="both"/>
        <w:rPr>
          <w:bCs/>
        </w:rPr>
      </w:pPr>
    </w:p>
    <w:p w14:paraId="36B723FD" w14:textId="7D3B6197" w:rsidR="00613826" w:rsidRPr="000C0753" w:rsidRDefault="00613826" w:rsidP="006D3BAB">
      <w:pPr>
        <w:spacing w:after="60" w:line="300" w:lineRule="atLeast"/>
        <w:jc w:val="both"/>
        <w:rPr>
          <w:i/>
          <w:color w:val="4472C4"/>
        </w:rPr>
      </w:pPr>
      <w:r>
        <w:rPr>
          <w:rFonts w:ascii="Times New Roman" w:hAnsi="Times New Roman" w:cs="Times New Roman"/>
          <w:b/>
          <w:i/>
          <w:iCs/>
          <w:color w:val="000000"/>
          <w:sz w:val="24"/>
          <w:szCs w:val="24"/>
        </w:rPr>
        <w:t>Transport i magazynowanie odpadów pochodzenia chemicznego, woj. świętokrzyskie</w:t>
      </w:r>
    </w:p>
    <w:p w14:paraId="30F8767F" w14:textId="6CC25DC4" w:rsidR="00E8099E" w:rsidRPr="00613826" w:rsidRDefault="00E8099E" w:rsidP="006D3BAB">
      <w:pPr>
        <w:spacing w:line="300" w:lineRule="atLeast"/>
        <w:ind w:firstLine="567"/>
        <w:jc w:val="both"/>
        <w:rPr>
          <w:rFonts w:ascii="Times New Roman" w:hAnsi="Times New Roman" w:cs="Times New Roman"/>
          <w:iCs/>
          <w:sz w:val="24"/>
          <w:szCs w:val="24"/>
        </w:rPr>
      </w:pPr>
      <w:r w:rsidRPr="00613826">
        <w:rPr>
          <w:rFonts w:ascii="Times New Roman" w:hAnsi="Times New Roman" w:cs="Times New Roman"/>
          <w:iCs/>
          <w:sz w:val="24"/>
          <w:szCs w:val="24"/>
        </w:rPr>
        <w:t>We współpracy z KWP w Kielcach w kwietniu 2022 r. podjęto czynności polegające na obserwacji transportującego odpady w związku z podejrzeniem niedostarczania odpadów pochodzenia chemicznego do miejsca wskazanego w kartach przekazania odpadów. Ze wstępnych informacji wynikało, ż</w:t>
      </w:r>
      <w:r w:rsidR="00613826">
        <w:rPr>
          <w:rFonts w:ascii="Times New Roman" w:hAnsi="Times New Roman" w:cs="Times New Roman"/>
          <w:iCs/>
          <w:sz w:val="24"/>
          <w:szCs w:val="24"/>
        </w:rPr>
        <w:t>e</w:t>
      </w:r>
      <w:r w:rsidRPr="00613826">
        <w:rPr>
          <w:rFonts w:ascii="Times New Roman" w:hAnsi="Times New Roman" w:cs="Times New Roman"/>
          <w:iCs/>
          <w:sz w:val="24"/>
          <w:szCs w:val="24"/>
        </w:rPr>
        <w:t xml:space="preserve"> odpady są dowożone do wynajętej hali w m. Skadla, gm. Gnojno, pow. buski, woj. świętokrzyskie w celu jej całkowitego wypełniania, a następnie porzucenia. Ujawniono na gorącym uczynku rozładunek odpadów pochodzenia chemicznego i umieszczanie ich w wynajętej hali, w której stwierdzono już znaczne ilości odpadów chemicznych przywiezione wcześniejszymi transportami. Do obserwacji wykorzystano bezzałogowy statek powietrzny, w celu ustalenia stanu faktycznego. Podczas lotu stwierdzono, </w:t>
      </w:r>
      <w:r w:rsidR="00613826">
        <w:rPr>
          <w:rFonts w:ascii="Times New Roman" w:hAnsi="Times New Roman" w:cs="Times New Roman"/>
          <w:iCs/>
          <w:sz w:val="24"/>
          <w:szCs w:val="24"/>
        </w:rPr>
        <w:t xml:space="preserve">że </w:t>
      </w:r>
      <w:r w:rsidRPr="00613826">
        <w:rPr>
          <w:rFonts w:ascii="Times New Roman" w:hAnsi="Times New Roman" w:cs="Times New Roman"/>
          <w:iCs/>
          <w:sz w:val="24"/>
          <w:szCs w:val="24"/>
        </w:rPr>
        <w:t>odpady znajdujące się na naczepie są w trakcie rozładunku. W związku z powyższym wspólnie z Policją podjęto decyzję o rozpoczęciu czynności na przedmiotowym terenie polegających na dokonaniu oględzin budynków i hal magazynowych znajdujących się na tym terenie oraz oględzin naczepy wraz z ciągnikiem siodłowym, którym zostały przywiezione odpady. Podczas podjętych czynności udaremniono kierowcy dalszy rozładunek odpadów, ponadto ustalono tożsamość kierowcy oraz przesłuchano go na powyższą okoliczność. Ustalono również tożsamość właściciela niniejszej nieruchomości, który przyjechał na niniejszy teren w trakcie wykonywania czynności służbowych. Podczas działań rozpytano właściciela, w celu ustalenia stanu faktycznego. Dodatkowo na miejsce wezwano Inspekcję Transportu Drogowego, Straż Pożarną oraz Krajowa Administrację Skarbową.</w:t>
      </w:r>
    </w:p>
    <w:p w14:paraId="46E6BEB4" w14:textId="77777777" w:rsidR="00E8099E" w:rsidRPr="00613826" w:rsidRDefault="00E8099E" w:rsidP="00613826">
      <w:pPr>
        <w:spacing w:after="0" w:line="300" w:lineRule="atLeast"/>
        <w:jc w:val="both"/>
        <w:rPr>
          <w:rFonts w:ascii="Times New Roman" w:hAnsi="Times New Roman" w:cs="Times New Roman"/>
          <w:sz w:val="24"/>
          <w:szCs w:val="24"/>
        </w:rPr>
      </w:pPr>
      <w:r w:rsidRPr="00613826">
        <w:rPr>
          <w:rFonts w:ascii="Times New Roman" w:hAnsi="Times New Roman" w:cs="Times New Roman"/>
          <w:sz w:val="24"/>
          <w:szCs w:val="24"/>
        </w:rPr>
        <w:t xml:space="preserve">Stwierdzone naruszenia: </w:t>
      </w:r>
    </w:p>
    <w:p w14:paraId="1D2ECDB1" w14:textId="77777777" w:rsidR="00E8099E" w:rsidRPr="00613826" w:rsidRDefault="00E8099E" w:rsidP="00D34F97">
      <w:pPr>
        <w:pStyle w:val="Akapitzlist"/>
        <w:numPr>
          <w:ilvl w:val="0"/>
          <w:numId w:val="271"/>
        </w:numPr>
        <w:spacing w:line="300" w:lineRule="atLeast"/>
        <w:ind w:left="709" w:hanging="357"/>
        <w:jc w:val="both"/>
        <w:rPr>
          <w:bCs/>
          <w:sz w:val="24"/>
          <w:szCs w:val="24"/>
        </w:rPr>
      </w:pPr>
      <w:r w:rsidRPr="00613826">
        <w:rPr>
          <w:bCs/>
          <w:sz w:val="24"/>
          <w:szCs w:val="24"/>
        </w:rPr>
        <w:t xml:space="preserve">Spółka wynajmująca halę nie posiadała decyzji zezwalającej na zbieranie odpadów, ponadto była podmiotem fikcyjnym, gdyż nie było możliwości kontaktu z jej przedstawicielami, posiadała jedynie wirtualne biuro na terenie innego województwa, w którym nie było żadnych pracowników spółki,  </w:t>
      </w:r>
    </w:p>
    <w:p w14:paraId="2795D206" w14:textId="77777777" w:rsidR="00E8099E" w:rsidRPr="00613826" w:rsidRDefault="00E8099E" w:rsidP="00D34F97">
      <w:pPr>
        <w:pStyle w:val="Akapitzlist"/>
        <w:numPr>
          <w:ilvl w:val="0"/>
          <w:numId w:val="271"/>
        </w:numPr>
        <w:spacing w:line="300" w:lineRule="atLeast"/>
        <w:ind w:left="709" w:hanging="357"/>
        <w:jc w:val="both"/>
        <w:rPr>
          <w:sz w:val="24"/>
          <w:szCs w:val="24"/>
        </w:rPr>
      </w:pPr>
      <w:r w:rsidRPr="00613826">
        <w:rPr>
          <w:sz w:val="24"/>
          <w:szCs w:val="24"/>
        </w:rPr>
        <w:t>odpady znajdujące się w hali, magazynowano w sposób niezgodny z art. 16, 23 i 25 ust. 1 ustawy o odpadach oraz wymaganiami określonymi w rozporządzeniu Ministra Klimatu z dnia 11 września 2020 r. w sprawie szczegółowych wymagań dla magazynowania odpadów, miejsce magazynowania odpadów palnych nie było wyposażone w system monitoringu,</w:t>
      </w:r>
    </w:p>
    <w:p w14:paraId="39A6F809" w14:textId="77777777" w:rsidR="00E8099E" w:rsidRPr="00613826" w:rsidRDefault="00E8099E" w:rsidP="00D34F97">
      <w:pPr>
        <w:pStyle w:val="Akapitzlist"/>
        <w:numPr>
          <w:ilvl w:val="0"/>
          <w:numId w:val="271"/>
        </w:numPr>
        <w:spacing w:line="300" w:lineRule="atLeast"/>
        <w:ind w:left="709" w:hanging="357"/>
        <w:jc w:val="both"/>
        <w:rPr>
          <w:sz w:val="24"/>
          <w:szCs w:val="24"/>
        </w:rPr>
      </w:pPr>
      <w:r w:rsidRPr="00613826">
        <w:rPr>
          <w:sz w:val="24"/>
          <w:szCs w:val="24"/>
        </w:rPr>
        <w:t xml:space="preserve">kierowca nie posiadał wymaganych dokumentów do przewożonych odpadów, pojazd nie był oznakowany zgodnie z wymaganiami, jednak ustalono, iż na zatrzymany transport widniały w systemie BDO karty przekazania odpadów. Wskazany  został również odbiorca odpadów. </w:t>
      </w:r>
    </w:p>
    <w:p w14:paraId="55865287" w14:textId="77777777" w:rsidR="00E8099E" w:rsidRPr="00613826" w:rsidRDefault="00E8099E" w:rsidP="00D34F97">
      <w:pPr>
        <w:pStyle w:val="Akapitzlist"/>
        <w:numPr>
          <w:ilvl w:val="0"/>
          <w:numId w:val="271"/>
        </w:numPr>
        <w:spacing w:line="300" w:lineRule="atLeast"/>
        <w:ind w:left="709" w:hanging="357"/>
        <w:jc w:val="both"/>
        <w:rPr>
          <w:sz w:val="24"/>
          <w:szCs w:val="24"/>
        </w:rPr>
      </w:pPr>
      <w:r w:rsidRPr="00613826">
        <w:rPr>
          <w:sz w:val="24"/>
          <w:szCs w:val="24"/>
        </w:rPr>
        <w:t xml:space="preserve">w związku z fikcyjnym obrotem odpadami zachodziło podejrzenie poświadczenia nieprawdy w dokumentach przez osoby przejmujące i transportujące odpady oraz </w:t>
      </w:r>
      <w:r w:rsidRPr="00613826">
        <w:rPr>
          <w:sz w:val="24"/>
          <w:szCs w:val="24"/>
        </w:rPr>
        <w:lastRenderedPageBreak/>
        <w:t>zatwierdzające je w systemie BDO, co może stanowić naruszenie art. 271 ust. 1 i 3 ustawy z dnia 6 czerwca 1997 r. - Kodeks karny,</w:t>
      </w:r>
    </w:p>
    <w:p w14:paraId="1D18D60B" w14:textId="77777777" w:rsidR="00E8099E" w:rsidRPr="00613826" w:rsidRDefault="00E8099E" w:rsidP="00D34F97">
      <w:pPr>
        <w:pStyle w:val="Akapitzlist"/>
        <w:numPr>
          <w:ilvl w:val="0"/>
          <w:numId w:val="271"/>
        </w:numPr>
        <w:spacing w:line="300" w:lineRule="atLeast"/>
        <w:ind w:left="709" w:hanging="357"/>
        <w:jc w:val="both"/>
        <w:rPr>
          <w:sz w:val="24"/>
          <w:szCs w:val="24"/>
        </w:rPr>
      </w:pPr>
      <w:r w:rsidRPr="00613826">
        <w:rPr>
          <w:sz w:val="24"/>
          <w:szCs w:val="24"/>
        </w:rPr>
        <w:t>zaistniały proceder może wyczerpywać znamiona przestępstw określonych art. 183 § 1, art. 164 § 1 w nawiązaniu do art. 163 § 1 Kodeks karny,</w:t>
      </w:r>
    </w:p>
    <w:p w14:paraId="5CD82508" w14:textId="77777777" w:rsidR="00E8099E" w:rsidRPr="00613826" w:rsidRDefault="00E8099E" w:rsidP="00D34F97">
      <w:pPr>
        <w:pStyle w:val="Akapitzlist"/>
        <w:numPr>
          <w:ilvl w:val="0"/>
          <w:numId w:val="271"/>
        </w:numPr>
        <w:spacing w:after="120" w:line="300" w:lineRule="atLeast"/>
        <w:ind w:left="709" w:hanging="357"/>
        <w:contextualSpacing w:val="0"/>
        <w:jc w:val="both"/>
        <w:rPr>
          <w:sz w:val="24"/>
          <w:szCs w:val="24"/>
        </w:rPr>
      </w:pPr>
      <w:r w:rsidRPr="00613826">
        <w:rPr>
          <w:sz w:val="24"/>
          <w:szCs w:val="24"/>
        </w:rPr>
        <w:t>zależności i powiązania osób biorących udział w nielegalnym obrocie odpadami mogą świadczyć o udziale w zorganizowanej grupie przestępczej, co może wyczerpywać znamiona przestępstwa z art. 258 § 1 Kodeks karny.</w:t>
      </w:r>
    </w:p>
    <w:p w14:paraId="6B119738" w14:textId="77777777" w:rsidR="00E8099E" w:rsidRPr="00613826" w:rsidRDefault="00E8099E" w:rsidP="00613826">
      <w:pPr>
        <w:spacing w:after="0" w:line="300" w:lineRule="atLeast"/>
        <w:ind w:left="142"/>
        <w:jc w:val="both"/>
        <w:rPr>
          <w:rFonts w:ascii="Times New Roman" w:hAnsi="Times New Roman" w:cs="Times New Roman"/>
          <w:sz w:val="24"/>
          <w:szCs w:val="24"/>
        </w:rPr>
      </w:pPr>
      <w:r w:rsidRPr="00613826">
        <w:rPr>
          <w:rFonts w:ascii="Times New Roman" w:hAnsi="Times New Roman" w:cs="Times New Roman"/>
          <w:sz w:val="24"/>
          <w:szCs w:val="24"/>
        </w:rPr>
        <w:t>W ramach działań, WIOŚ w Kielcach podjął m.in. następujące czynności:</w:t>
      </w:r>
    </w:p>
    <w:p w14:paraId="1CE32E17" w14:textId="77777777" w:rsidR="00E8099E" w:rsidRPr="00613826" w:rsidRDefault="00E8099E" w:rsidP="00D34F97">
      <w:pPr>
        <w:pStyle w:val="Akapitzlist"/>
        <w:numPr>
          <w:ilvl w:val="0"/>
          <w:numId w:val="271"/>
        </w:numPr>
        <w:spacing w:line="300" w:lineRule="atLeast"/>
        <w:ind w:left="709" w:hanging="357"/>
        <w:jc w:val="both"/>
        <w:rPr>
          <w:sz w:val="24"/>
          <w:szCs w:val="24"/>
        </w:rPr>
      </w:pPr>
      <w:r w:rsidRPr="00613826">
        <w:rPr>
          <w:sz w:val="24"/>
          <w:szCs w:val="24"/>
        </w:rPr>
        <w:t>przesłuchano kierowcę pojazdu oraz właściciela nieruchomości,</w:t>
      </w:r>
    </w:p>
    <w:p w14:paraId="526BEDD0" w14:textId="77777777" w:rsidR="00E8099E" w:rsidRPr="00613826" w:rsidRDefault="00E8099E" w:rsidP="00D34F97">
      <w:pPr>
        <w:pStyle w:val="Akapitzlist"/>
        <w:numPr>
          <w:ilvl w:val="0"/>
          <w:numId w:val="271"/>
        </w:numPr>
        <w:spacing w:line="300" w:lineRule="atLeast"/>
        <w:ind w:left="709" w:hanging="357"/>
        <w:jc w:val="both"/>
        <w:rPr>
          <w:sz w:val="24"/>
          <w:szCs w:val="24"/>
        </w:rPr>
      </w:pPr>
      <w:r w:rsidRPr="00613826">
        <w:rPr>
          <w:sz w:val="24"/>
          <w:szCs w:val="24"/>
        </w:rPr>
        <w:t>przeprowadzono szczegółowe oględziny terenu, zgromadzonych odpadów w hali oraz na zatrzymanym środku transportu,</w:t>
      </w:r>
    </w:p>
    <w:p w14:paraId="118F2D04" w14:textId="77777777" w:rsidR="00E8099E" w:rsidRPr="00613826" w:rsidRDefault="00E8099E" w:rsidP="00D34F97">
      <w:pPr>
        <w:pStyle w:val="Akapitzlist"/>
        <w:numPr>
          <w:ilvl w:val="0"/>
          <w:numId w:val="271"/>
        </w:numPr>
        <w:spacing w:line="300" w:lineRule="atLeast"/>
        <w:ind w:left="709" w:hanging="357"/>
        <w:jc w:val="both"/>
        <w:rPr>
          <w:sz w:val="24"/>
          <w:szCs w:val="24"/>
        </w:rPr>
      </w:pPr>
      <w:r w:rsidRPr="00613826">
        <w:rPr>
          <w:sz w:val="24"/>
          <w:szCs w:val="24"/>
        </w:rPr>
        <w:t xml:space="preserve">podjęto próbę ustalenia, jakie rodzaje odpadów zostały dowiezione oraz skąd pochodzą. Praktycznie ze wszystkich pojemników zostały usunięte etykiety, jednak kilka zniszczonych udało się odzyskać i ustalić podmioty biorące udział w obrocie odpadami,  </w:t>
      </w:r>
    </w:p>
    <w:p w14:paraId="3CBEADDF" w14:textId="77777777" w:rsidR="00E8099E" w:rsidRPr="00613826" w:rsidRDefault="00E8099E" w:rsidP="00D34F97">
      <w:pPr>
        <w:pStyle w:val="Akapitzlist"/>
        <w:numPr>
          <w:ilvl w:val="0"/>
          <w:numId w:val="271"/>
        </w:numPr>
        <w:spacing w:line="300" w:lineRule="atLeast"/>
        <w:ind w:left="709" w:hanging="357"/>
        <w:jc w:val="both"/>
        <w:rPr>
          <w:sz w:val="24"/>
          <w:szCs w:val="24"/>
        </w:rPr>
      </w:pPr>
      <w:r w:rsidRPr="00613826">
        <w:rPr>
          <w:sz w:val="24"/>
          <w:szCs w:val="24"/>
        </w:rPr>
        <w:t>wezwano Straż Pożarną celem pobrania prób odpadów,</w:t>
      </w:r>
    </w:p>
    <w:p w14:paraId="7A211F6C" w14:textId="77777777" w:rsidR="00E8099E" w:rsidRPr="00613826" w:rsidRDefault="00E8099E" w:rsidP="00D34F97">
      <w:pPr>
        <w:pStyle w:val="Akapitzlist"/>
        <w:numPr>
          <w:ilvl w:val="0"/>
          <w:numId w:val="271"/>
        </w:numPr>
        <w:spacing w:line="300" w:lineRule="atLeast"/>
        <w:ind w:left="709" w:hanging="357"/>
        <w:jc w:val="both"/>
        <w:rPr>
          <w:sz w:val="24"/>
          <w:szCs w:val="24"/>
        </w:rPr>
      </w:pPr>
      <w:r w:rsidRPr="00613826">
        <w:rPr>
          <w:sz w:val="24"/>
          <w:szCs w:val="24"/>
        </w:rPr>
        <w:t>wezwano Inspekcję Transportu Drogowego celem sprawdzenia tachografu pojazdu,</w:t>
      </w:r>
    </w:p>
    <w:p w14:paraId="63BF6326" w14:textId="77777777" w:rsidR="00E8099E" w:rsidRPr="00613826" w:rsidRDefault="00E8099E" w:rsidP="00D34F97">
      <w:pPr>
        <w:pStyle w:val="Akapitzlist"/>
        <w:numPr>
          <w:ilvl w:val="0"/>
          <w:numId w:val="271"/>
        </w:numPr>
        <w:spacing w:line="300" w:lineRule="atLeast"/>
        <w:ind w:left="709" w:hanging="357"/>
        <w:jc w:val="both"/>
        <w:rPr>
          <w:sz w:val="24"/>
          <w:szCs w:val="24"/>
        </w:rPr>
      </w:pPr>
      <w:r w:rsidRPr="00613826">
        <w:rPr>
          <w:sz w:val="24"/>
          <w:szCs w:val="24"/>
        </w:rPr>
        <w:t xml:space="preserve">skierowano zawiadomienie o możliwości popełnienia przestępstwa do Policji i Prokuratury w </w:t>
      </w:r>
      <w:proofErr w:type="spellStart"/>
      <w:r w:rsidRPr="00613826">
        <w:rPr>
          <w:sz w:val="24"/>
          <w:szCs w:val="24"/>
        </w:rPr>
        <w:t>Busku-Zdroju</w:t>
      </w:r>
      <w:proofErr w:type="spellEnd"/>
      <w:r w:rsidRPr="00613826">
        <w:rPr>
          <w:sz w:val="24"/>
          <w:szCs w:val="24"/>
        </w:rPr>
        <w:t>,</w:t>
      </w:r>
    </w:p>
    <w:p w14:paraId="404B9ED1" w14:textId="77777777" w:rsidR="00E8099E" w:rsidRPr="00613826" w:rsidRDefault="00E8099E" w:rsidP="006D3BAB">
      <w:pPr>
        <w:pStyle w:val="Akapitzlist"/>
        <w:numPr>
          <w:ilvl w:val="0"/>
          <w:numId w:val="271"/>
        </w:numPr>
        <w:spacing w:line="300" w:lineRule="atLeast"/>
        <w:ind w:left="709" w:hanging="357"/>
        <w:jc w:val="both"/>
        <w:rPr>
          <w:sz w:val="24"/>
          <w:szCs w:val="24"/>
        </w:rPr>
      </w:pPr>
      <w:r w:rsidRPr="00613826">
        <w:rPr>
          <w:sz w:val="24"/>
          <w:szCs w:val="24"/>
        </w:rPr>
        <w:t xml:space="preserve">wystąpiono do WIOŚ Gdańsk, Kraków, Łódź o pomoc w prowadzonych działaniach oraz podjęcie własnych działań, w związku z </w:t>
      </w:r>
      <w:proofErr w:type="spellStart"/>
      <w:r w:rsidRPr="00613826">
        <w:rPr>
          <w:sz w:val="24"/>
          <w:szCs w:val="24"/>
        </w:rPr>
        <w:t>ponadwojewódzkim</w:t>
      </w:r>
      <w:proofErr w:type="spellEnd"/>
      <w:r w:rsidRPr="00613826">
        <w:rPr>
          <w:sz w:val="24"/>
          <w:szCs w:val="24"/>
        </w:rPr>
        <w:t xml:space="preserve"> charakterem sprawy,</w:t>
      </w:r>
    </w:p>
    <w:p w14:paraId="301894FD" w14:textId="77777777" w:rsidR="00E8099E" w:rsidRPr="00613826" w:rsidRDefault="00E8099E" w:rsidP="00D34F97">
      <w:pPr>
        <w:pStyle w:val="Akapitzlist"/>
        <w:numPr>
          <w:ilvl w:val="0"/>
          <w:numId w:val="271"/>
        </w:numPr>
        <w:spacing w:line="300" w:lineRule="atLeast"/>
        <w:ind w:left="709" w:hanging="357"/>
        <w:jc w:val="both"/>
        <w:rPr>
          <w:sz w:val="24"/>
          <w:szCs w:val="24"/>
        </w:rPr>
      </w:pPr>
      <w:r w:rsidRPr="00613826">
        <w:rPr>
          <w:sz w:val="24"/>
          <w:szCs w:val="24"/>
        </w:rPr>
        <w:t>przeprowadzono kontrolę transportującego, wszczęto postępowania w sprawie nałożenia kar pieniężnych za nieprowadzenie ewidencji odpadów, nieoznakowanie pojazdu oraz niedostarczenie odpadów do miejsca przeznaczenia,</w:t>
      </w:r>
    </w:p>
    <w:p w14:paraId="3A187851" w14:textId="77777777" w:rsidR="00E8099E" w:rsidRPr="00613826" w:rsidRDefault="00E8099E" w:rsidP="00D34F97">
      <w:pPr>
        <w:pStyle w:val="Akapitzlist"/>
        <w:numPr>
          <w:ilvl w:val="0"/>
          <w:numId w:val="271"/>
        </w:numPr>
        <w:spacing w:line="300" w:lineRule="atLeast"/>
        <w:ind w:left="709" w:hanging="357"/>
        <w:jc w:val="both"/>
        <w:rPr>
          <w:sz w:val="24"/>
          <w:szCs w:val="24"/>
        </w:rPr>
      </w:pPr>
      <w:r w:rsidRPr="00613826">
        <w:rPr>
          <w:sz w:val="24"/>
          <w:szCs w:val="24"/>
        </w:rPr>
        <w:t xml:space="preserve">po zakończeniu czynności w trybie art. 10b ustawy o IOŚ oraz kontroli transportującego poinformowano właściwe organy o stwierdzonych nieprawidłowościach oraz wystąpiono z wnioskami o podjęcie działań zgodnie z posiadanymi kompetencjami (m.in. wystąpiono do Wójta o wydanie decyzji na usunięcie odpadów). </w:t>
      </w:r>
    </w:p>
    <w:p w14:paraId="4291AA2D" w14:textId="3E7CED36" w:rsidR="00E8099E" w:rsidRPr="000C0753" w:rsidRDefault="00E8099E" w:rsidP="00CF68BE">
      <w:pPr>
        <w:spacing w:line="300" w:lineRule="atLeast"/>
        <w:ind w:left="709"/>
        <w:contextualSpacing/>
        <w:jc w:val="center"/>
      </w:pPr>
      <w:r w:rsidRPr="000C0753">
        <w:rPr>
          <w:noProof/>
          <w:lang w:eastAsia="pl-PL"/>
        </w:rPr>
        <w:drawing>
          <wp:inline distT="0" distB="0" distL="0" distR="0" wp14:anchorId="5F09FD63" wp14:editId="4872F4C6">
            <wp:extent cx="4041028" cy="3028950"/>
            <wp:effectExtent l="0" t="0" r="0" b="0"/>
            <wp:docPr id="162" name="Obraz 162" descr="Zdjęcie 20. Pobór prób odpadów wykonywany przez Straż Pożarn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Obraz 162" descr="Zdjęcie 20. Pobór prób odpadów wykonywany przez Straż Pożarną"/>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48606" cy="3034630"/>
                    </a:xfrm>
                    <a:prstGeom prst="rect">
                      <a:avLst/>
                    </a:prstGeom>
                    <a:noFill/>
                    <a:ln>
                      <a:noFill/>
                    </a:ln>
                  </pic:spPr>
                </pic:pic>
              </a:graphicData>
            </a:graphic>
          </wp:inline>
        </w:drawing>
      </w:r>
    </w:p>
    <w:p w14:paraId="693A6A12" w14:textId="28DAC2DE" w:rsidR="00E8099E" w:rsidRPr="00613826" w:rsidRDefault="00613826" w:rsidP="00CF68BE">
      <w:pPr>
        <w:spacing w:after="60" w:line="300" w:lineRule="atLeast"/>
        <w:ind w:left="709"/>
        <w:jc w:val="center"/>
        <w:rPr>
          <w:rFonts w:ascii="Times New Roman" w:hAnsi="Times New Roman" w:cs="Times New Roman"/>
          <w:b/>
          <w:iCs/>
        </w:rPr>
      </w:pPr>
      <w:r w:rsidRPr="00613826">
        <w:rPr>
          <w:rFonts w:ascii="Times New Roman" w:hAnsi="Times New Roman" w:cs="Times New Roman"/>
          <w:b/>
          <w:iCs/>
        </w:rPr>
        <w:t>Zdjęcie 2</w:t>
      </w:r>
      <w:r w:rsidR="00E75A83">
        <w:rPr>
          <w:rFonts w:ascii="Times New Roman" w:hAnsi="Times New Roman" w:cs="Times New Roman"/>
          <w:b/>
          <w:iCs/>
        </w:rPr>
        <w:t>0</w:t>
      </w:r>
      <w:r w:rsidRPr="00613826">
        <w:rPr>
          <w:rFonts w:ascii="Times New Roman" w:hAnsi="Times New Roman" w:cs="Times New Roman"/>
          <w:b/>
          <w:iCs/>
        </w:rPr>
        <w:t xml:space="preserve">. </w:t>
      </w:r>
      <w:r w:rsidR="00E8099E" w:rsidRPr="00613826">
        <w:rPr>
          <w:rFonts w:ascii="Times New Roman" w:hAnsi="Times New Roman" w:cs="Times New Roman"/>
          <w:b/>
          <w:iCs/>
        </w:rPr>
        <w:t>Pobór prób odpadów wykonywany przez Straż Pożarną</w:t>
      </w:r>
    </w:p>
    <w:p w14:paraId="010419B2" w14:textId="499D0963" w:rsidR="00E8099E" w:rsidRPr="000C0753" w:rsidRDefault="00E8099E" w:rsidP="00CF68BE">
      <w:pPr>
        <w:spacing w:line="300" w:lineRule="atLeast"/>
        <w:ind w:left="709"/>
        <w:contextualSpacing/>
        <w:jc w:val="center"/>
        <w:rPr>
          <w:i/>
        </w:rPr>
      </w:pPr>
      <w:r w:rsidRPr="000C0753">
        <w:rPr>
          <w:b/>
          <w:bCs/>
          <w:noProof/>
          <w:lang w:eastAsia="pl-PL"/>
        </w:rPr>
        <w:lastRenderedPageBreak/>
        <w:drawing>
          <wp:inline distT="0" distB="0" distL="0" distR="0" wp14:anchorId="1D4A9596" wp14:editId="32CFAC2D">
            <wp:extent cx="3823958" cy="2876550"/>
            <wp:effectExtent l="0" t="0" r="5715" b="0"/>
            <wp:docPr id="159" name="Obraz 159" descr="Zdjęcie 21. Zatrzymany transport odpad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Obraz 159" descr="Zdjęcie 21. Zatrzymany transport odpadów."/>
                    <pic:cNvPicPr>
                      <a:picLocks noChangeAspect="1" noChangeArrowheads="1"/>
                    </pic:cNvPicPr>
                  </pic:nvPicPr>
                  <pic:blipFill>
                    <a:blip r:embed="rId53" cstate="print">
                      <a:lum bright="-20000"/>
                      <a:extLst>
                        <a:ext uri="{28A0092B-C50C-407E-A947-70E740481C1C}">
                          <a14:useLocalDpi xmlns:a14="http://schemas.microsoft.com/office/drawing/2010/main" val="0"/>
                        </a:ext>
                      </a:extLst>
                    </a:blip>
                    <a:srcRect/>
                    <a:stretch>
                      <a:fillRect/>
                    </a:stretch>
                  </pic:blipFill>
                  <pic:spPr bwMode="auto">
                    <a:xfrm>
                      <a:off x="0" y="0"/>
                      <a:ext cx="3845158" cy="2892498"/>
                    </a:xfrm>
                    <a:prstGeom prst="rect">
                      <a:avLst/>
                    </a:prstGeom>
                    <a:noFill/>
                    <a:ln>
                      <a:noFill/>
                    </a:ln>
                  </pic:spPr>
                </pic:pic>
              </a:graphicData>
            </a:graphic>
          </wp:inline>
        </w:drawing>
      </w:r>
    </w:p>
    <w:p w14:paraId="155A7D63" w14:textId="21969B88" w:rsidR="00E8099E" w:rsidRPr="00613826" w:rsidRDefault="00613826" w:rsidP="006934C8">
      <w:pPr>
        <w:spacing w:line="300" w:lineRule="atLeast"/>
        <w:ind w:left="709"/>
        <w:contextualSpacing/>
        <w:jc w:val="center"/>
        <w:rPr>
          <w:rFonts w:ascii="Times New Roman" w:hAnsi="Times New Roman" w:cs="Times New Roman"/>
          <w:b/>
          <w:iCs/>
        </w:rPr>
      </w:pPr>
      <w:r w:rsidRPr="00613826">
        <w:rPr>
          <w:rFonts w:ascii="Times New Roman" w:hAnsi="Times New Roman" w:cs="Times New Roman"/>
          <w:b/>
          <w:iCs/>
        </w:rPr>
        <w:t>Zdjęcie 2</w:t>
      </w:r>
      <w:r w:rsidR="00E75A83">
        <w:rPr>
          <w:rFonts w:ascii="Times New Roman" w:hAnsi="Times New Roman" w:cs="Times New Roman"/>
          <w:b/>
          <w:iCs/>
        </w:rPr>
        <w:t>1</w:t>
      </w:r>
      <w:r w:rsidRPr="00613826">
        <w:rPr>
          <w:rFonts w:ascii="Times New Roman" w:hAnsi="Times New Roman" w:cs="Times New Roman"/>
          <w:b/>
          <w:iCs/>
        </w:rPr>
        <w:t xml:space="preserve">. </w:t>
      </w:r>
      <w:r w:rsidR="00E8099E" w:rsidRPr="00613826">
        <w:rPr>
          <w:rFonts w:ascii="Times New Roman" w:hAnsi="Times New Roman" w:cs="Times New Roman"/>
          <w:b/>
          <w:iCs/>
        </w:rPr>
        <w:t>Zatrzymany transport odpadów.</w:t>
      </w:r>
    </w:p>
    <w:p w14:paraId="02F0C459" w14:textId="42EAFEA0" w:rsidR="00601B42" w:rsidRPr="000C0753" w:rsidRDefault="00601B42" w:rsidP="00601B42">
      <w:pPr>
        <w:spacing w:after="60" w:line="300" w:lineRule="atLeast"/>
        <w:jc w:val="both"/>
        <w:rPr>
          <w:i/>
          <w:color w:val="4472C4"/>
        </w:rPr>
      </w:pPr>
      <w:r>
        <w:rPr>
          <w:rFonts w:ascii="Times New Roman" w:hAnsi="Times New Roman" w:cs="Times New Roman"/>
          <w:b/>
          <w:i/>
          <w:iCs/>
          <w:color w:val="000000"/>
          <w:sz w:val="24"/>
          <w:szCs w:val="24"/>
        </w:rPr>
        <w:t xml:space="preserve">Zakopanie odpadów niebezpiecznych w postaci podkładów kolejowych na terenie dawnego wyrobiska i rampy przeładunkowej, woj. małopolskie </w:t>
      </w:r>
    </w:p>
    <w:p w14:paraId="06924651" w14:textId="77777777" w:rsidR="00601B42" w:rsidRDefault="00601B42" w:rsidP="006D3BAB">
      <w:pPr>
        <w:autoSpaceDE w:val="0"/>
        <w:autoSpaceDN w:val="0"/>
        <w:adjustRightInd w:val="0"/>
        <w:spacing w:line="300" w:lineRule="atLeast"/>
        <w:ind w:firstLine="567"/>
        <w:contextualSpacing/>
        <w:jc w:val="both"/>
        <w:rPr>
          <w:rFonts w:ascii="Times New Roman" w:hAnsi="Times New Roman" w:cs="Times New Roman"/>
          <w:sz w:val="24"/>
          <w:szCs w:val="24"/>
        </w:rPr>
      </w:pPr>
      <w:r w:rsidRPr="00601B42">
        <w:rPr>
          <w:rFonts w:ascii="Times New Roman" w:hAnsi="Times New Roman" w:cs="Times New Roman"/>
          <w:sz w:val="24"/>
          <w:szCs w:val="24"/>
        </w:rPr>
        <w:t xml:space="preserve">Komenda Wojewódzka Policji w Katowicach poinformowała WIOŚ w Krakowie </w:t>
      </w:r>
      <w:r>
        <w:rPr>
          <w:rFonts w:ascii="Times New Roman" w:hAnsi="Times New Roman" w:cs="Times New Roman"/>
          <w:sz w:val="24"/>
          <w:szCs w:val="24"/>
        </w:rPr>
        <w:br/>
      </w:r>
      <w:r w:rsidRPr="00601B42">
        <w:rPr>
          <w:rFonts w:ascii="Times New Roman" w:hAnsi="Times New Roman" w:cs="Times New Roman"/>
          <w:sz w:val="24"/>
          <w:szCs w:val="24"/>
        </w:rPr>
        <w:t xml:space="preserve">o  uzasadnionym podejrzeniu popełnienia przestępstwa polegającego na zakopaniu odpadów niebezpiecznych w postaci podkładów kolejowych w Przecieszynie – na terenie dawnego wyrobiska oraz rampy przeładunkowej. We współpracy z KWP w Katowicach oraz Urzędem Gminy Brzeszcze w obecności właściciela terenu przeprowadzono czynności, o których mowa w art. 10b ustawy o Inspekcji Ochrony Środowiska. W prowadzonych czynnościach przedstawiciele Centralnego Laboratorium Badawczego GIOŚ wykonali badania </w:t>
      </w:r>
      <w:proofErr w:type="spellStart"/>
      <w:r w:rsidRPr="00601B42">
        <w:rPr>
          <w:rFonts w:ascii="Times New Roman" w:hAnsi="Times New Roman" w:cs="Times New Roman"/>
          <w:sz w:val="24"/>
          <w:szCs w:val="24"/>
        </w:rPr>
        <w:t>georadarem</w:t>
      </w:r>
      <w:proofErr w:type="spellEnd"/>
      <w:r w:rsidRPr="00601B42">
        <w:rPr>
          <w:rFonts w:ascii="Times New Roman" w:hAnsi="Times New Roman" w:cs="Times New Roman"/>
          <w:sz w:val="24"/>
          <w:szCs w:val="24"/>
        </w:rPr>
        <w:t xml:space="preserve">. W wyniku podjętych czynności ujawniono, że na przedmiotowym terenie na głębokości około 2 m p.p.t. zmieszane odpady budowlane, a na głębokości około 8 i 10 m p.p.t. odpady w postaci zużytych podkładów kolejowych. W trakcie czynności użyto również bezzałogowego statku powietrznego. </w:t>
      </w:r>
    </w:p>
    <w:p w14:paraId="065B4D38" w14:textId="2151A509" w:rsidR="00601B42" w:rsidRPr="00601B42" w:rsidRDefault="00601B42" w:rsidP="006D3BAB">
      <w:pPr>
        <w:autoSpaceDE w:val="0"/>
        <w:autoSpaceDN w:val="0"/>
        <w:adjustRightInd w:val="0"/>
        <w:spacing w:line="300" w:lineRule="atLeast"/>
        <w:ind w:firstLine="567"/>
        <w:contextualSpacing/>
        <w:jc w:val="both"/>
        <w:rPr>
          <w:rFonts w:ascii="Times New Roman" w:hAnsi="Times New Roman" w:cs="Times New Roman"/>
          <w:sz w:val="24"/>
          <w:szCs w:val="24"/>
        </w:rPr>
      </w:pPr>
      <w:r w:rsidRPr="00601B42">
        <w:rPr>
          <w:rFonts w:ascii="Times New Roman" w:hAnsi="Times New Roman" w:cs="Times New Roman"/>
          <w:sz w:val="24"/>
          <w:szCs w:val="24"/>
        </w:rPr>
        <w:t xml:space="preserve">W wyniku ujawnienia miejsca nielegalnego zdeponowania odpadów po zakończeniu czynności, o których mowa w art. 10b ustawy o Inspekcji Ochrony Środowiska podjęto kontrolę interwencyjną u właściciela terenu. W wyniku działań kontrolnych ustalono, że na przedmiotowym terenie realizowane było zadanie inwestycyjne w zakresie likwidacji torowiska kolejowego, które właściciel terenu zlecił podmiotowi zewnętrznemu. W wyniku kontroli nałożono na osobę pełniącą nadzór nad przedmiotową inwestycją karę grzywny za niezapewnienie właściwego nadzoru w trakcie prowadzonych prac. Jednocześnie wystąpiono do Wójta Gminy Brzeszcze o podjęcie działań zgodnie z kompetencjami, w związku </w:t>
      </w:r>
      <w:r w:rsidR="006934C8">
        <w:rPr>
          <w:rFonts w:ascii="Times New Roman" w:hAnsi="Times New Roman" w:cs="Times New Roman"/>
          <w:sz w:val="24"/>
          <w:szCs w:val="24"/>
        </w:rPr>
        <w:br/>
      </w:r>
      <w:r w:rsidRPr="00601B42">
        <w:rPr>
          <w:rFonts w:ascii="Times New Roman" w:hAnsi="Times New Roman" w:cs="Times New Roman"/>
          <w:sz w:val="24"/>
          <w:szCs w:val="24"/>
        </w:rPr>
        <w:t xml:space="preserve">z zakopaniem odpadów oraz ujawnionym w trakcie kontroli przekazania osobom fizycznym znacznej ilości odpadów innych niż niebezpieczne pochodzących z przedmiotowej inwestycji jak również wystąpiono do Regionalnego Dyrektora Ochrony Środowiska w Krakowie </w:t>
      </w:r>
      <w:r w:rsidR="006934C8">
        <w:rPr>
          <w:rFonts w:ascii="Times New Roman" w:hAnsi="Times New Roman" w:cs="Times New Roman"/>
          <w:sz w:val="24"/>
          <w:szCs w:val="24"/>
        </w:rPr>
        <w:br/>
      </w:r>
      <w:r w:rsidRPr="00601B42">
        <w:rPr>
          <w:rFonts w:ascii="Times New Roman" w:hAnsi="Times New Roman" w:cs="Times New Roman"/>
          <w:sz w:val="24"/>
          <w:szCs w:val="24"/>
        </w:rPr>
        <w:t>w związku z podejrzeniem wystąpienia szkody w środowisku. O wynikach wszystkich działań poinformowano KWP w Katowicach. W wyniku przeprowadzonych działań Regionalny Dyrektor Ochrony Środowiska wszczął postępowanie w tej sprawie w ramach którego wystąpił do MWIOŚ o przeprowadzenie wspólnych działań po usunięciu odpadów z tego miejsca. Działania te</w:t>
      </w:r>
      <w:r>
        <w:rPr>
          <w:rFonts w:ascii="Times New Roman" w:hAnsi="Times New Roman" w:cs="Times New Roman"/>
          <w:sz w:val="24"/>
          <w:szCs w:val="24"/>
        </w:rPr>
        <w:t>,</w:t>
      </w:r>
      <w:r w:rsidRPr="00601B42">
        <w:rPr>
          <w:rFonts w:ascii="Times New Roman" w:hAnsi="Times New Roman" w:cs="Times New Roman"/>
          <w:sz w:val="24"/>
          <w:szCs w:val="24"/>
        </w:rPr>
        <w:t xml:space="preserve"> w trakcie których potwierdzono usunięcie odpadów z ujawnionych miejsc ich deponowania</w:t>
      </w:r>
      <w:r>
        <w:rPr>
          <w:rFonts w:ascii="Times New Roman" w:hAnsi="Times New Roman" w:cs="Times New Roman"/>
          <w:sz w:val="24"/>
          <w:szCs w:val="24"/>
        </w:rPr>
        <w:t>,</w:t>
      </w:r>
      <w:r w:rsidRPr="00601B42">
        <w:rPr>
          <w:rFonts w:ascii="Times New Roman" w:hAnsi="Times New Roman" w:cs="Times New Roman"/>
          <w:sz w:val="24"/>
          <w:szCs w:val="24"/>
        </w:rPr>
        <w:t xml:space="preserve"> przeprowadzono </w:t>
      </w:r>
      <w:r>
        <w:rPr>
          <w:rFonts w:ascii="Times New Roman" w:hAnsi="Times New Roman" w:cs="Times New Roman"/>
          <w:sz w:val="24"/>
          <w:szCs w:val="24"/>
        </w:rPr>
        <w:t xml:space="preserve">już </w:t>
      </w:r>
      <w:r w:rsidRPr="00601B42">
        <w:rPr>
          <w:rFonts w:ascii="Times New Roman" w:hAnsi="Times New Roman" w:cs="Times New Roman"/>
          <w:sz w:val="24"/>
          <w:szCs w:val="24"/>
        </w:rPr>
        <w:t xml:space="preserve">w 2023 roku. </w:t>
      </w:r>
    </w:p>
    <w:p w14:paraId="77AE0461" w14:textId="77777777" w:rsidR="00601B42" w:rsidRPr="000C0753" w:rsidRDefault="00601B42" w:rsidP="00601B42">
      <w:pPr>
        <w:autoSpaceDE w:val="0"/>
        <w:autoSpaceDN w:val="0"/>
        <w:adjustRightInd w:val="0"/>
        <w:spacing w:line="300" w:lineRule="atLeast"/>
        <w:contextualSpacing/>
        <w:jc w:val="center"/>
      </w:pPr>
    </w:p>
    <w:p w14:paraId="4528E10A" w14:textId="7290FFD3" w:rsidR="00601B42" w:rsidRPr="000C0753" w:rsidRDefault="00451D8E" w:rsidP="00451D8E">
      <w:pPr>
        <w:autoSpaceDE w:val="0"/>
        <w:autoSpaceDN w:val="0"/>
        <w:adjustRightInd w:val="0"/>
        <w:spacing w:after="60" w:line="300" w:lineRule="atLeast"/>
      </w:pPr>
      <w:r>
        <w:rPr>
          <w:rFonts w:ascii="Times New Roman" w:hAnsi="Times New Roman" w:cs="Times New Roman"/>
          <w:b/>
          <w:i/>
          <w:iCs/>
          <w:color w:val="000000"/>
          <w:sz w:val="24"/>
          <w:szCs w:val="24"/>
        </w:rPr>
        <w:t>Składowanie odpadów w postaci podkładów kolejowych, woj. lubelskie</w:t>
      </w:r>
    </w:p>
    <w:p w14:paraId="4E2E6817" w14:textId="77777777" w:rsidR="00E8099E" w:rsidRPr="00451D8E" w:rsidRDefault="00E8099E" w:rsidP="006D3BAB">
      <w:pPr>
        <w:spacing w:line="300" w:lineRule="atLeast"/>
        <w:ind w:firstLine="567"/>
        <w:contextualSpacing/>
        <w:jc w:val="both"/>
        <w:rPr>
          <w:rFonts w:ascii="Times New Roman" w:hAnsi="Times New Roman" w:cs="Times New Roman"/>
          <w:sz w:val="24"/>
          <w:szCs w:val="24"/>
        </w:rPr>
      </w:pPr>
      <w:r w:rsidRPr="00451D8E">
        <w:rPr>
          <w:rFonts w:ascii="Times New Roman" w:hAnsi="Times New Roman" w:cs="Times New Roman"/>
          <w:sz w:val="24"/>
          <w:szCs w:val="24"/>
        </w:rPr>
        <w:t xml:space="preserve">Działania podjęto w związku z anonimowym wnioskiem dotyczącym składowania podkładów kolejowych na placu w miejscowości Starościn, gmina Kamionka, powiat lubartowski. W trakcie przygotowywania do kontroli i oględzin ustalono podmiot, który miał działać na działce w Starościnie i zbierać odpady. </w:t>
      </w:r>
    </w:p>
    <w:p w14:paraId="19A7A685" w14:textId="6131D7EB" w:rsidR="00E8099E" w:rsidRPr="00451D8E" w:rsidRDefault="00E8099E" w:rsidP="006D3BAB">
      <w:pPr>
        <w:spacing w:line="300" w:lineRule="atLeast"/>
        <w:ind w:firstLine="567"/>
        <w:contextualSpacing/>
        <w:jc w:val="both"/>
        <w:rPr>
          <w:rFonts w:ascii="Times New Roman" w:hAnsi="Times New Roman" w:cs="Times New Roman"/>
          <w:sz w:val="24"/>
          <w:szCs w:val="24"/>
        </w:rPr>
      </w:pPr>
      <w:r w:rsidRPr="00451D8E">
        <w:rPr>
          <w:rFonts w:ascii="Times New Roman" w:hAnsi="Times New Roman" w:cs="Times New Roman"/>
          <w:sz w:val="24"/>
          <w:szCs w:val="24"/>
        </w:rPr>
        <w:t xml:space="preserve">Na podstawie dotychczas zgromadzonych informacji i dokumentów stwierdzono, że ww. podmiot bierze udział w fikcyjnym obrocie odpadami. Odpady nie trafiają na miejsce wskazane w KPO (tj. działka w Starościnie, gm. Kamionka). Według systemu BDO Spółka ma przekazywać z tej działki odpady, które nigdy tam nie trafiły. Po przeanalizowaniu danych zawartych w BDO (stan do 14 marca 2022 r.) wynika, że ww. podmiot przejął od podmiotów z całej Polski odpady o łącznej masie 89 564,5676 Mg (w tym  15 856,331 Mg odpadów niebezpiecznych.) </w:t>
      </w:r>
    </w:p>
    <w:p w14:paraId="4FABECDF" w14:textId="77777777" w:rsidR="00E8099E" w:rsidRPr="00451D8E" w:rsidRDefault="00E8099E" w:rsidP="006D3BAB">
      <w:pPr>
        <w:spacing w:line="300" w:lineRule="atLeast"/>
        <w:ind w:firstLine="567"/>
        <w:contextualSpacing/>
        <w:jc w:val="both"/>
        <w:rPr>
          <w:rFonts w:ascii="Times New Roman" w:hAnsi="Times New Roman" w:cs="Times New Roman"/>
          <w:sz w:val="24"/>
          <w:szCs w:val="24"/>
        </w:rPr>
      </w:pPr>
      <w:r w:rsidRPr="00451D8E">
        <w:rPr>
          <w:rFonts w:ascii="Times New Roman" w:hAnsi="Times New Roman" w:cs="Times New Roman"/>
          <w:sz w:val="24"/>
          <w:szCs w:val="24"/>
        </w:rPr>
        <w:t xml:space="preserve">Dotychczas zgromadzone dowody wskazują, że odpady zebrane przez ww. podmiot zostały prawdopodobnie porzucone w nieznanych miejscach lub zagospodarowane niezgodnie z przepisami, co może stanowić poważne zagrożenie dla zdrowia, życia oraz środowiska naturalnego.  </w:t>
      </w:r>
    </w:p>
    <w:p w14:paraId="11AAF577" w14:textId="77777777" w:rsidR="00E8099E" w:rsidRPr="00451D8E" w:rsidRDefault="00E8099E" w:rsidP="006D3BAB">
      <w:pPr>
        <w:spacing w:line="300" w:lineRule="atLeast"/>
        <w:ind w:firstLine="567"/>
        <w:contextualSpacing/>
        <w:jc w:val="both"/>
        <w:rPr>
          <w:rFonts w:ascii="Times New Roman" w:hAnsi="Times New Roman" w:cs="Times New Roman"/>
          <w:sz w:val="24"/>
          <w:szCs w:val="24"/>
        </w:rPr>
      </w:pPr>
      <w:r w:rsidRPr="00451D8E">
        <w:rPr>
          <w:rFonts w:ascii="Times New Roman" w:hAnsi="Times New Roman" w:cs="Times New Roman"/>
          <w:sz w:val="24"/>
          <w:szCs w:val="24"/>
        </w:rPr>
        <w:t>Podmiot, o którym mowa, nie posiada tytułu prawnego do działki w Starościnie.</w:t>
      </w:r>
    </w:p>
    <w:p w14:paraId="66979086" w14:textId="1CBFB542" w:rsidR="00E8099E" w:rsidRPr="00451D8E" w:rsidRDefault="00E8099E" w:rsidP="006D3BAB">
      <w:pPr>
        <w:spacing w:line="300" w:lineRule="atLeast"/>
        <w:ind w:firstLine="567"/>
        <w:contextualSpacing/>
        <w:jc w:val="both"/>
        <w:rPr>
          <w:rFonts w:ascii="Times New Roman" w:hAnsi="Times New Roman" w:cs="Times New Roman"/>
          <w:sz w:val="24"/>
          <w:szCs w:val="24"/>
        </w:rPr>
      </w:pPr>
      <w:r w:rsidRPr="00451D8E">
        <w:rPr>
          <w:rFonts w:ascii="Times New Roman" w:hAnsi="Times New Roman" w:cs="Times New Roman"/>
          <w:sz w:val="24"/>
          <w:szCs w:val="24"/>
        </w:rPr>
        <w:t xml:space="preserve">Prawdopodobnym jest też, że obrót części odpadów odbywał się wyłącznie wirtualnie za pomocą kart przekazania odpadów i odpady te nie były nigdy transportowane i ich „zagospodarowanie” odbywało się przez nieuczciwy podmiot. Przedstawiciele ww. podmiotu biorą udział w procederze fałszowania dokumentacji związanej z gospodarką odpadami </w:t>
      </w:r>
      <w:r w:rsidR="00451D8E">
        <w:rPr>
          <w:rFonts w:ascii="Times New Roman" w:hAnsi="Times New Roman" w:cs="Times New Roman"/>
          <w:sz w:val="24"/>
          <w:szCs w:val="24"/>
        </w:rPr>
        <w:br/>
      </w:r>
      <w:r w:rsidRPr="00451D8E">
        <w:rPr>
          <w:rFonts w:ascii="Times New Roman" w:hAnsi="Times New Roman" w:cs="Times New Roman"/>
          <w:sz w:val="24"/>
          <w:szCs w:val="24"/>
        </w:rPr>
        <w:t>i poświadczania nieprawdy w dokumentach.</w:t>
      </w:r>
    </w:p>
    <w:p w14:paraId="5F904AA8" w14:textId="77777777" w:rsidR="00E8099E" w:rsidRPr="00451D8E" w:rsidRDefault="00E8099E" w:rsidP="006D3BAB">
      <w:pPr>
        <w:spacing w:line="300" w:lineRule="atLeast"/>
        <w:ind w:firstLine="567"/>
        <w:contextualSpacing/>
        <w:jc w:val="both"/>
        <w:rPr>
          <w:rFonts w:ascii="Times New Roman" w:hAnsi="Times New Roman" w:cs="Times New Roman"/>
          <w:sz w:val="24"/>
          <w:szCs w:val="24"/>
        </w:rPr>
      </w:pPr>
      <w:r w:rsidRPr="00451D8E">
        <w:rPr>
          <w:rFonts w:ascii="Times New Roman" w:hAnsi="Times New Roman" w:cs="Times New Roman"/>
          <w:sz w:val="24"/>
          <w:szCs w:val="24"/>
        </w:rPr>
        <w:t xml:space="preserve">Zachodzi również podejrzenie, że przedstawiciele związani z działalnością spółki mogą działać w zorganizowanej grupie przestępczej z uwagi na powiązania osób i podobieństwa </w:t>
      </w:r>
      <w:r w:rsidRPr="00451D8E">
        <w:rPr>
          <w:rFonts w:ascii="Times New Roman" w:hAnsi="Times New Roman" w:cs="Times New Roman"/>
          <w:sz w:val="24"/>
          <w:szCs w:val="24"/>
        </w:rPr>
        <w:br/>
        <w:t>w działaniu innych spółek.</w:t>
      </w:r>
    </w:p>
    <w:p w14:paraId="3D8CF10A" w14:textId="77777777" w:rsidR="00E8099E" w:rsidRPr="00451D8E" w:rsidRDefault="00E8099E" w:rsidP="00E8099E">
      <w:pPr>
        <w:spacing w:line="300" w:lineRule="atLeast"/>
        <w:contextualSpacing/>
        <w:jc w:val="both"/>
        <w:rPr>
          <w:rFonts w:ascii="Times New Roman" w:hAnsi="Times New Roman" w:cs="Times New Roman"/>
          <w:sz w:val="24"/>
          <w:szCs w:val="24"/>
        </w:rPr>
      </w:pPr>
      <w:r w:rsidRPr="00451D8E">
        <w:rPr>
          <w:rFonts w:ascii="Times New Roman" w:hAnsi="Times New Roman" w:cs="Times New Roman"/>
          <w:sz w:val="24"/>
          <w:szCs w:val="24"/>
        </w:rPr>
        <w:t>Schemat działania w tych spółkach jest niemalże identyczny:</w:t>
      </w:r>
    </w:p>
    <w:p w14:paraId="6307D696" w14:textId="77777777" w:rsidR="00E8099E" w:rsidRPr="00451D8E" w:rsidRDefault="00E8099E" w:rsidP="00D34F97">
      <w:pPr>
        <w:numPr>
          <w:ilvl w:val="0"/>
          <w:numId w:val="272"/>
        </w:numPr>
        <w:spacing w:after="0" w:line="300" w:lineRule="atLeast"/>
        <w:contextualSpacing/>
        <w:jc w:val="both"/>
        <w:rPr>
          <w:rFonts w:ascii="Times New Roman" w:hAnsi="Times New Roman" w:cs="Times New Roman"/>
          <w:sz w:val="24"/>
          <w:szCs w:val="24"/>
        </w:rPr>
      </w:pPr>
      <w:r w:rsidRPr="00451D8E">
        <w:rPr>
          <w:rFonts w:ascii="Times New Roman" w:hAnsi="Times New Roman" w:cs="Times New Roman"/>
          <w:sz w:val="24"/>
          <w:szCs w:val="24"/>
        </w:rPr>
        <w:t>przejęcie spółki która posiadała decyzję na zbieranie odpadów obejmującą wiele rodzajów odpadów,</w:t>
      </w:r>
    </w:p>
    <w:p w14:paraId="3EC01D0C" w14:textId="77777777" w:rsidR="00E8099E" w:rsidRPr="00451D8E" w:rsidRDefault="00E8099E" w:rsidP="00D34F97">
      <w:pPr>
        <w:numPr>
          <w:ilvl w:val="0"/>
          <w:numId w:val="272"/>
        </w:numPr>
        <w:spacing w:after="0" w:line="300" w:lineRule="atLeast"/>
        <w:ind w:left="714" w:hanging="357"/>
        <w:contextualSpacing/>
        <w:jc w:val="both"/>
        <w:rPr>
          <w:rFonts w:ascii="Times New Roman" w:hAnsi="Times New Roman" w:cs="Times New Roman"/>
          <w:sz w:val="24"/>
          <w:szCs w:val="24"/>
        </w:rPr>
      </w:pPr>
      <w:r w:rsidRPr="00451D8E">
        <w:rPr>
          <w:rFonts w:ascii="Times New Roman" w:hAnsi="Times New Roman" w:cs="Times New Roman"/>
          <w:sz w:val="24"/>
          <w:szCs w:val="24"/>
        </w:rPr>
        <w:t xml:space="preserve">złożenie wniosku o zmianę pozwolenia na zbieranie odpadów zgodnie art. 41a ustawy o odpadach w terminie do 5 marca 2020 r., w celu posiadania zezwolenia na zbieranie odpadów, </w:t>
      </w:r>
    </w:p>
    <w:p w14:paraId="6B27260E" w14:textId="77777777" w:rsidR="00E8099E" w:rsidRPr="00451D8E" w:rsidRDefault="00E8099E" w:rsidP="00D34F97">
      <w:pPr>
        <w:numPr>
          <w:ilvl w:val="0"/>
          <w:numId w:val="272"/>
        </w:numPr>
        <w:spacing w:after="0" w:line="300" w:lineRule="atLeast"/>
        <w:contextualSpacing/>
        <w:jc w:val="both"/>
        <w:rPr>
          <w:rFonts w:ascii="Times New Roman" w:hAnsi="Times New Roman" w:cs="Times New Roman"/>
          <w:sz w:val="24"/>
          <w:szCs w:val="24"/>
        </w:rPr>
      </w:pPr>
      <w:r w:rsidRPr="00451D8E">
        <w:rPr>
          <w:rFonts w:ascii="Times New Roman" w:hAnsi="Times New Roman" w:cs="Times New Roman"/>
          <w:sz w:val="24"/>
          <w:szCs w:val="24"/>
        </w:rPr>
        <w:t>zbieranie odpadów na podstawie posiadanej decyzji,</w:t>
      </w:r>
    </w:p>
    <w:p w14:paraId="57EBD8FA" w14:textId="77777777" w:rsidR="00E8099E" w:rsidRPr="00451D8E" w:rsidRDefault="00E8099E" w:rsidP="00D34F97">
      <w:pPr>
        <w:numPr>
          <w:ilvl w:val="0"/>
          <w:numId w:val="272"/>
        </w:numPr>
        <w:spacing w:after="0" w:line="300" w:lineRule="atLeast"/>
        <w:contextualSpacing/>
        <w:jc w:val="both"/>
        <w:rPr>
          <w:rFonts w:ascii="Times New Roman" w:hAnsi="Times New Roman" w:cs="Times New Roman"/>
          <w:sz w:val="24"/>
          <w:szCs w:val="24"/>
        </w:rPr>
      </w:pPr>
      <w:r w:rsidRPr="00451D8E">
        <w:rPr>
          <w:rFonts w:ascii="Times New Roman" w:hAnsi="Times New Roman" w:cs="Times New Roman"/>
          <w:sz w:val="24"/>
          <w:szCs w:val="24"/>
        </w:rPr>
        <w:t>odpady, które miały być/są zbierane nie trafiają na miejsce wskazane w KPO.</w:t>
      </w:r>
    </w:p>
    <w:p w14:paraId="0DEFCC42" w14:textId="01996F4F" w:rsidR="00E8099E" w:rsidRPr="000C0753" w:rsidRDefault="00E8099E" w:rsidP="006D3BAB">
      <w:pPr>
        <w:spacing w:line="300" w:lineRule="atLeast"/>
        <w:ind w:firstLine="567"/>
        <w:contextualSpacing/>
        <w:jc w:val="both"/>
      </w:pPr>
      <w:r w:rsidRPr="00451D8E">
        <w:rPr>
          <w:rFonts w:ascii="Times New Roman" w:hAnsi="Times New Roman" w:cs="Times New Roman"/>
          <w:sz w:val="24"/>
          <w:szCs w:val="24"/>
        </w:rPr>
        <w:t xml:space="preserve">WIOŚ Lublin, powiadomił: Prokuraturę Rejonową w Lubartowie, Marszałka Województwa Lubelskiego, Starostę Lubartowskiego, GIOŚ i wszystkie WIOŚ, oraz KAS, KWP w Lublinie o nielegalnych działaniach ww. podmiotu i obecnie prowadzi działania </w:t>
      </w:r>
      <w:r w:rsidR="00451D8E">
        <w:rPr>
          <w:rFonts w:ascii="Times New Roman" w:hAnsi="Times New Roman" w:cs="Times New Roman"/>
          <w:sz w:val="24"/>
          <w:szCs w:val="24"/>
        </w:rPr>
        <w:br/>
      </w:r>
      <w:r w:rsidRPr="00451D8E">
        <w:rPr>
          <w:rFonts w:ascii="Times New Roman" w:hAnsi="Times New Roman" w:cs="Times New Roman"/>
          <w:sz w:val="24"/>
          <w:szCs w:val="24"/>
        </w:rPr>
        <w:t>z zakresu art. 10b ustawy o IOŚ. W związku z zawiadomieniem o możliwości popełnienia przestępstwa Prokuratura wszczęła śledztwo w jego sprawie.</w:t>
      </w:r>
    </w:p>
    <w:p w14:paraId="382CAF03" w14:textId="77D18962" w:rsidR="00E8099E" w:rsidRDefault="00E8099E" w:rsidP="00E8099E">
      <w:pPr>
        <w:spacing w:line="300" w:lineRule="atLeast"/>
        <w:contextualSpacing/>
        <w:jc w:val="both"/>
        <w:rPr>
          <w:i/>
          <w:color w:val="4472C4"/>
        </w:rPr>
      </w:pPr>
    </w:p>
    <w:p w14:paraId="0CE0B462" w14:textId="2E87B858" w:rsidR="00451D8E" w:rsidRPr="000C0753" w:rsidRDefault="00451D8E" w:rsidP="00451D8E">
      <w:pPr>
        <w:autoSpaceDE w:val="0"/>
        <w:autoSpaceDN w:val="0"/>
        <w:adjustRightInd w:val="0"/>
        <w:spacing w:after="60" w:line="300" w:lineRule="atLeast"/>
      </w:pPr>
      <w:r>
        <w:rPr>
          <w:rFonts w:ascii="Times New Roman" w:hAnsi="Times New Roman" w:cs="Times New Roman"/>
          <w:b/>
          <w:i/>
          <w:iCs/>
          <w:color w:val="000000"/>
          <w:sz w:val="24"/>
          <w:szCs w:val="24"/>
        </w:rPr>
        <w:t>Magazynowanie odpadów w postaci ciekłej, woj. warmińsko-mazurskie</w:t>
      </w:r>
    </w:p>
    <w:p w14:paraId="0371EA77" w14:textId="77777777" w:rsidR="002509CB" w:rsidRDefault="00451D8E" w:rsidP="006D3BAB">
      <w:pPr>
        <w:spacing w:after="0" w:line="300" w:lineRule="atLeast"/>
        <w:ind w:firstLine="567"/>
        <w:jc w:val="both"/>
        <w:rPr>
          <w:rFonts w:ascii="Times New Roman" w:hAnsi="Times New Roman" w:cs="Times New Roman"/>
          <w:iCs/>
          <w:sz w:val="24"/>
          <w:szCs w:val="24"/>
        </w:rPr>
      </w:pPr>
      <w:r w:rsidRPr="00451D8E">
        <w:rPr>
          <w:rFonts w:ascii="Times New Roman" w:hAnsi="Times New Roman" w:cs="Times New Roman"/>
          <w:iCs/>
          <w:sz w:val="24"/>
          <w:szCs w:val="24"/>
        </w:rPr>
        <w:t>Komenda Miejska Policji w Elblągu Komisariat Policji w Pasłęku w dniu 04</w:t>
      </w:r>
      <w:r>
        <w:rPr>
          <w:rFonts w:ascii="Times New Roman" w:hAnsi="Times New Roman" w:cs="Times New Roman"/>
          <w:iCs/>
          <w:sz w:val="24"/>
          <w:szCs w:val="24"/>
        </w:rPr>
        <w:t>.02.</w:t>
      </w:r>
      <w:r w:rsidRPr="00451D8E">
        <w:rPr>
          <w:rFonts w:ascii="Times New Roman" w:hAnsi="Times New Roman" w:cs="Times New Roman"/>
          <w:iCs/>
          <w:sz w:val="24"/>
          <w:szCs w:val="24"/>
        </w:rPr>
        <w:t>2022 r. skierowała do WIOŚ Olsztyn Delegatura w Elblągu pisemny wniosek o podjęcie działań na terenie posesji w m</w:t>
      </w:r>
      <w:r>
        <w:rPr>
          <w:rFonts w:ascii="Times New Roman" w:hAnsi="Times New Roman" w:cs="Times New Roman"/>
          <w:iCs/>
          <w:sz w:val="24"/>
          <w:szCs w:val="24"/>
        </w:rPr>
        <w:t>.</w:t>
      </w:r>
      <w:r w:rsidRPr="00451D8E">
        <w:rPr>
          <w:rFonts w:ascii="Times New Roman" w:hAnsi="Times New Roman" w:cs="Times New Roman"/>
          <w:iCs/>
          <w:sz w:val="24"/>
          <w:szCs w:val="24"/>
        </w:rPr>
        <w:t xml:space="preserve"> Borzynowo, gm. Pasłęk, dot</w:t>
      </w:r>
      <w:r w:rsidR="002509CB">
        <w:rPr>
          <w:rFonts w:ascii="Times New Roman" w:hAnsi="Times New Roman" w:cs="Times New Roman"/>
          <w:iCs/>
          <w:sz w:val="24"/>
          <w:szCs w:val="24"/>
        </w:rPr>
        <w:t>yczący</w:t>
      </w:r>
      <w:r w:rsidRPr="00451D8E">
        <w:rPr>
          <w:rFonts w:ascii="Times New Roman" w:hAnsi="Times New Roman" w:cs="Times New Roman"/>
          <w:iCs/>
          <w:sz w:val="24"/>
          <w:szCs w:val="24"/>
        </w:rPr>
        <w:t xml:space="preserve"> zbiorników wypełnionych substancjami niebezpiecznymi</w:t>
      </w:r>
      <w:r w:rsidR="002509CB">
        <w:rPr>
          <w:rFonts w:ascii="Times New Roman" w:hAnsi="Times New Roman" w:cs="Times New Roman"/>
          <w:iCs/>
          <w:sz w:val="24"/>
          <w:szCs w:val="24"/>
        </w:rPr>
        <w:t>,</w:t>
      </w:r>
      <w:r w:rsidRPr="00451D8E">
        <w:rPr>
          <w:rFonts w:ascii="Times New Roman" w:hAnsi="Times New Roman" w:cs="Times New Roman"/>
          <w:iCs/>
          <w:sz w:val="24"/>
          <w:szCs w:val="24"/>
        </w:rPr>
        <w:t xml:space="preserve"> ujawnionych na naczepie pojazdu ciężarowego. Na wskazanym terenie stwierdzono magazynowanie odpadów w postaci ciekłej w metalowych beczkach o poj. </w:t>
      </w:r>
      <w:r w:rsidRPr="00451D8E">
        <w:rPr>
          <w:rFonts w:ascii="Times New Roman" w:hAnsi="Times New Roman" w:cs="Times New Roman"/>
          <w:iCs/>
          <w:sz w:val="24"/>
          <w:szCs w:val="24"/>
        </w:rPr>
        <w:lastRenderedPageBreak/>
        <w:t xml:space="preserve">200 l, mauzerach o poj. 1000 l. pojemnikach o poj. 20 l oraz pojemnikach detalicznych o poj. od 0,4 l do  20l. Przedmiotowe pojemniki i zbiorniki umieszczone były na paletach, w naczepie pojazdu ciężarowego, na przyczepie rolniczej, bezpośrednio na gruncie oraz na skrzyni pojazdu dostawczego. </w:t>
      </w:r>
    </w:p>
    <w:p w14:paraId="0FB90673" w14:textId="443C76B3" w:rsidR="00451D8E" w:rsidRPr="00451D8E" w:rsidRDefault="00451D8E" w:rsidP="006D3BAB">
      <w:pPr>
        <w:spacing w:line="300" w:lineRule="atLeast"/>
        <w:ind w:firstLine="567"/>
        <w:jc w:val="both"/>
        <w:rPr>
          <w:rFonts w:ascii="Times New Roman" w:hAnsi="Times New Roman" w:cs="Times New Roman"/>
          <w:iCs/>
          <w:sz w:val="24"/>
          <w:szCs w:val="24"/>
        </w:rPr>
      </w:pPr>
      <w:r w:rsidRPr="00451D8E">
        <w:rPr>
          <w:rFonts w:ascii="Times New Roman" w:hAnsi="Times New Roman" w:cs="Times New Roman"/>
          <w:iCs/>
          <w:sz w:val="24"/>
          <w:szCs w:val="24"/>
        </w:rPr>
        <w:t>Na wybranych pojemnikach i zbiornikach widniały etykiety odpadów niebezpiecznych zawierające następujące kody i oznaczenia: 08 01 11*, 15 02 02*, UN 1993 – materiały zapalne ciekłe, herbicydy ciekłe palne, UN 2478 - izocyjaniany zapalne trujące, toksyczne oraz  UN 1090 – aceton.</w:t>
      </w:r>
    </w:p>
    <w:p w14:paraId="3C9074E1" w14:textId="543515A6" w:rsidR="00451D8E" w:rsidRDefault="00451D8E" w:rsidP="006934C8">
      <w:pPr>
        <w:spacing w:line="300" w:lineRule="atLeast"/>
        <w:contextualSpacing/>
        <w:jc w:val="center"/>
        <w:rPr>
          <w:i/>
          <w:color w:val="4472C4"/>
        </w:rPr>
      </w:pPr>
      <w:r w:rsidRPr="003A4616">
        <w:rPr>
          <w:bCs/>
          <w:noProof/>
          <w:lang w:eastAsia="pl-PL"/>
        </w:rPr>
        <w:drawing>
          <wp:inline distT="0" distB="0" distL="0" distR="0" wp14:anchorId="532363D0" wp14:editId="0DAAB178">
            <wp:extent cx="3390900" cy="2610454"/>
            <wp:effectExtent l="0" t="0" r="0" b="0"/>
            <wp:docPr id="177" name="Obraz 177" descr="20220209_10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20220209_10585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407613" cy="2623320"/>
                    </a:xfrm>
                    <a:prstGeom prst="rect">
                      <a:avLst/>
                    </a:prstGeom>
                    <a:noFill/>
                    <a:ln>
                      <a:noFill/>
                    </a:ln>
                  </pic:spPr>
                </pic:pic>
              </a:graphicData>
            </a:graphic>
          </wp:inline>
        </w:drawing>
      </w:r>
    </w:p>
    <w:p w14:paraId="30F7751B" w14:textId="1515D88D" w:rsidR="00451D8E" w:rsidRPr="002509CB" w:rsidRDefault="002509CB" w:rsidP="006934C8">
      <w:pPr>
        <w:spacing w:line="300" w:lineRule="atLeast"/>
        <w:contextualSpacing/>
        <w:jc w:val="center"/>
        <w:rPr>
          <w:rFonts w:ascii="Times New Roman" w:hAnsi="Times New Roman" w:cs="Times New Roman"/>
          <w:b/>
          <w:color w:val="000000" w:themeColor="text1"/>
        </w:rPr>
      </w:pPr>
      <w:r w:rsidRPr="002509CB">
        <w:rPr>
          <w:rFonts w:ascii="Times New Roman" w:hAnsi="Times New Roman" w:cs="Times New Roman"/>
          <w:b/>
          <w:color w:val="000000" w:themeColor="text1"/>
        </w:rPr>
        <w:t>Zdjęcie 2</w:t>
      </w:r>
      <w:r w:rsidR="00E75A83">
        <w:rPr>
          <w:rFonts w:ascii="Times New Roman" w:hAnsi="Times New Roman" w:cs="Times New Roman"/>
          <w:b/>
          <w:color w:val="000000" w:themeColor="text1"/>
        </w:rPr>
        <w:t>2</w:t>
      </w:r>
    </w:p>
    <w:p w14:paraId="122FAC2E" w14:textId="77777777" w:rsidR="002509CB" w:rsidRDefault="002509CB" w:rsidP="00E8099E">
      <w:pPr>
        <w:spacing w:line="300" w:lineRule="atLeast"/>
        <w:contextualSpacing/>
        <w:jc w:val="both"/>
        <w:rPr>
          <w:i/>
          <w:color w:val="4472C4"/>
        </w:rPr>
      </w:pPr>
    </w:p>
    <w:p w14:paraId="054D5531" w14:textId="5F4A08E5" w:rsidR="00E8099E" w:rsidRPr="000C0753" w:rsidRDefault="002509CB" w:rsidP="002509CB">
      <w:pPr>
        <w:spacing w:after="60" w:line="300" w:lineRule="atLeast"/>
        <w:jc w:val="both"/>
      </w:pPr>
      <w:r>
        <w:rPr>
          <w:rFonts w:ascii="Times New Roman" w:hAnsi="Times New Roman" w:cs="Times New Roman"/>
          <w:b/>
          <w:i/>
          <w:iCs/>
          <w:color w:val="000000"/>
          <w:sz w:val="24"/>
          <w:szCs w:val="24"/>
        </w:rPr>
        <w:t>Nielegalne deponowanie odpadów na terenie wyrobiska, woj. opolskie</w:t>
      </w:r>
    </w:p>
    <w:p w14:paraId="10F9109E" w14:textId="77777777" w:rsidR="00E8099E" w:rsidRPr="002509CB" w:rsidRDefault="00E8099E" w:rsidP="006D3BAB">
      <w:pPr>
        <w:spacing w:after="0" w:line="300" w:lineRule="atLeast"/>
        <w:ind w:firstLine="567"/>
        <w:contextualSpacing/>
        <w:jc w:val="both"/>
        <w:rPr>
          <w:rFonts w:ascii="Times New Roman" w:hAnsi="Times New Roman" w:cs="Times New Roman"/>
          <w:sz w:val="24"/>
          <w:szCs w:val="24"/>
        </w:rPr>
      </w:pPr>
      <w:r w:rsidRPr="002509CB">
        <w:rPr>
          <w:rFonts w:ascii="Times New Roman" w:hAnsi="Times New Roman" w:cs="Times New Roman"/>
          <w:sz w:val="24"/>
          <w:szCs w:val="24"/>
        </w:rPr>
        <w:t>W związku ze zgłoszeniem telefonicznym dotyczących nielegalnego deponowania odpadów na terenie wyrobiska w m. Radawie, gm. Zębowice w dniach: 24.01.2022 r., 25.01.2022 r. i  26.01.2022 r. inspektorzy Wojewódzkiego Inspektoratu Ochrony Środowiska w Opolu dokonywali czynności na podstawie art. 10b ustawy o Inspekcji Ochrony Środowiska.</w:t>
      </w:r>
    </w:p>
    <w:p w14:paraId="046FB71E" w14:textId="77777777" w:rsidR="00E8099E" w:rsidRPr="002509CB" w:rsidRDefault="00E8099E" w:rsidP="002509CB">
      <w:pPr>
        <w:spacing w:line="300" w:lineRule="atLeast"/>
        <w:contextualSpacing/>
        <w:jc w:val="both"/>
        <w:rPr>
          <w:rFonts w:ascii="Times New Roman" w:hAnsi="Times New Roman" w:cs="Times New Roman"/>
          <w:sz w:val="24"/>
          <w:szCs w:val="24"/>
        </w:rPr>
      </w:pPr>
      <w:r w:rsidRPr="002509CB">
        <w:rPr>
          <w:rFonts w:ascii="Times New Roman" w:hAnsi="Times New Roman" w:cs="Times New Roman"/>
          <w:sz w:val="24"/>
          <w:szCs w:val="24"/>
        </w:rPr>
        <w:t>Zakres podjętych czynności przez Inspektorów WIOŚ z art. 10b ww. ustawy:</w:t>
      </w:r>
    </w:p>
    <w:p w14:paraId="4CD0A522" w14:textId="77777777" w:rsidR="00E8099E" w:rsidRPr="002509CB" w:rsidRDefault="00E8099E" w:rsidP="00D34F97">
      <w:pPr>
        <w:numPr>
          <w:ilvl w:val="0"/>
          <w:numId w:val="273"/>
        </w:numPr>
        <w:spacing w:after="0" w:line="300" w:lineRule="atLeast"/>
        <w:contextualSpacing/>
        <w:jc w:val="both"/>
        <w:rPr>
          <w:rFonts w:ascii="Times New Roman" w:hAnsi="Times New Roman" w:cs="Times New Roman"/>
          <w:sz w:val="24"/>
          <w:szCs w:val="24"/>
        </w:rPr>
      </w:pPr>
      <w:r w:rsidRPr="002509CB">
        <w:rPr>
          <w:rFonts w:ascii="Times New Roman" w:hAnsi="Times New Roman" w:cs="Times New Roman"/>
          <w:sz w:val="24"/>
          <w:szCs w:val="24"/>
        </w:rPr>
        <w:t>obserwowanie i rejestrowanie przy użyciu środków technicznych;</w:t>
      </w:r>
    </w:p>
    <w:p w14:paraId="7B5BDBC5" w14:textId="138C50CF" w:rsidR="00E8099E" w:rsidRPr="002509CB" w:rsidRDefault="00E8099E" w:rsidP="00D34F97">
      <w:pPr>
        <w:numPr>
          <w:ilvl w:val="0"/>
          <w:numId w:val="273"/>
        </w:numPr>
        <w:spacing w:after="0" w:line="300" w:lineRule="atLeast"/>
        <w:contextualSpacing/>
        <w:jc w:val="both"/>
        <w:rPr>
          <w:rFonts w:ascii="Times New Roman" w:hAnsi="Times New Roman" w:cs="Times New Roman"/>
          <w:sz w:val="24"/>
          <w:szCs w:val="24"/>
        </w:rPr>
      </w:pPr>
      <w:r w:rsidRPr="002509CB">
        <w:rPr>
          <w:rFonts w:ascii="Times New Roman" w:hAnsi="Times New Roman" w:cs="Times New Roman"/>
          <w:sz w:val="24"/>
          <w:szCs w:val="24"/>
        </w:rPr>
        <w:t xml:space="preserve">żądanie pisemnych lub ustnych informacji oraz przesłuchiwanie osób w zakresie niezbędnym dla ustalenia stanu faktycznego przy jednoczesnym pouczeniu ich </w:t>
      </w:r>
      <w:r w:rsidR="002509CB">
        <w:rPr>
          <w:rFonts w:ascii="Times New Roman" w:hAnsi="Times New Roman" w:cs="Times New Roman"/>
          <w:sz w:val="24"/>
          <w:szCs w:val="24"/>
        </w:rPr>
        <w:br/>
      </w:r>
      <w:r w:rsidRPr="002509CB">
        <w:rPr>
          <w:rFonts w:ascii="Times New Roman" w:hAnsi="Times New Roman" w:cs="Times New Roman"/>
          <w:sz w:val="24"/>
          <w:szCs w:val="24"/>
        </w:rPr>
        <w:t xml:space="preserve">o odpowiedzialności karnej za składanie fałszywych zeznań, o której mowa </w:t>
      </w:r>
      <w:r w:rsidR="006934C8">
        <w:rPr>
          <w:rFonts w:ascii="Times New Roman" w:hAnsi="Times New Roman" w:cs="Times New Roman"/>
          <w:sz w:val="24"/>
          <w:szCs w:val="24"/>
        </w:rPr>
        <w:br/>
      </w:r>
      <w:r w:rsidRPr="002509CB">
        <w:rPr>
          <w:rFonts w:ascii="Times New Roman" w:hAnsi="Times New Roman" w:cs="Times New Roman"/>
          <w:sz w:val="24"/>
          <w:szCs w:val="24"/>
        </w:rPr>
        <w:t>w Kodeksie karnym;</w:t>
      </w:r>
    </w:p>
    <w:p w14:paraId="0E0B0D47" w14:textId="77777777" w:rsidR="00E8099E" w:rsidRPr="002509CB" w:rsidRDefault="00E8099E" w:rsidP="00D34F97">
      <w:pPr>
        <w:numPr>
          <w:ilvl w:val="0"/>
          <w:numId w:val="273"/>
        </w:numPr>
        <w:spacing w:after="0" w:line="300" w:lineRule="atLeast"/>
        <w:contextualSpacing/>
        <w:jc w:val="both"/>
        <w:rPr>
          <w:rFonts w:ascii="Times New Roman" w:hAnsi="Times New Roman" w:cs="Times New Roman"/>
          <w:sz w:val="24"/>
          <w:szCs w:val="24"/>
        </w:rPr>
      </w:pPr>
      <w:r w:rsidRPr="002509CB">
        <w:rPr>
          <w:rFonts w:ascii="Times New Roman" w:hAnsi="Times New Roman" w:cs="Times New Roman"/>
          <w:sz w:val="24"/>
          <w:szCs w:val="24"/>
        </w:rPr>
        <w:t>dokonywanie oględzin pomieszczeń i innych miejsc.</w:t>
      </w:r>
    </w:p>
    <w:p w14:paraId="4F59CF5A" w14:textId="77777777" w:rsidR="00E8099E" w:rsidRPr="002509CB" w:rsidRDefault="00E8099E" w:rsidP="006D3BAB">
      <w:pPr>
        <w:spacing w:line="300" w:lineRule="atLeast"/>
        <w:ind w:firstLine="567"/>
        <w:contextualSpacing/>
        <w:jc w:val="both"/>
        <w:rPr>
          <w:rFonts w:ascii="Times New Roman" w:hAnsi="Times New Roman" w:cs="Times New Roman"/>
          <w:sz w:val="24"/>
          <w:szCs w:val="24"/>
        </w:rPr>
      </w:pPr>
      <w:r w:rsidRPr="002509CB">
        <w:rPr>
          <w:rFonts w:ascii="Times New Roman" w:hAnsi="Times New Roman" w:cs="Times New Roman"/>
          <w:sz w:val="24"/>
          <w:szCs w:val="24"/>
        </w:rPr>
        <w:t xml:space="preserve">W dniu 24.01.2022r. inspektorzy WIOŚ w Opolu przeprowadzili czynności w trybie art. 10b ustawy o Inspekcji Ochrony Środowiska na terenie wyrobiska w m. Radawie polegające na oględzinach terenu oraz wykonaniu dokumentacji fotograficznej. Na miejscu stwierdzono, że w wyrobisku zdeponowane zostały odpady w postaci gruzu, szkła oraz masy roślinnej. Część odpadów znajdowała się w niecce wyrobiska, a część na skarpie. </w:t>
      </w:r>
    </w:p>
    <w:p w14:paraId="6C53B5D5" w14:textId="022E4AB9" w:rsidR="00E8099E" w:rsidRPr="002509CB" w:rsidRDefault="00E8099E" w:rsidP="006D3BAB">
      <w:pPr>
        <w:spacing w:line="300" w:lineRule="atLeast"/>
        <w:ind w:firstLine="567"/>
        <w:contextualSpacing/>
        <w:jc w:val="both"/>
        <w:rPr>
          <w:rFonts w:ascii="Times New Roman" w:hAnsi="Times New Roman" w:cs="Times New Roman"/>
          <w:sz w:val="24"/>
          <w:szCs w:val="24"/>
        </w:rPr>
      </w:pPr>
      <w:r w:rsidRPr="002509CB">
        <w:rPr>
          <w:rFonts w:ascii="Times New Roman" w:hAnsi="Times New Roman" w:cs="Times New Roman"/>
          <w:sz w:val="24"/>
          <w:szCs w:val="24"/>
        </w:rPr>
        <w:t>W dniu 25.01.2022 r. inspektorzy WIOŚ w Opolu dokona</w:t>
      </w:r>
      <w:r w:rsidR="002509CB">
        <w:rPr>
          <w:rFonts w:ascii="Times New Roman" w:hAnsi="Times New Roman" w:cs="Times New Roman"/>
          <w:sz w:val="24"/>
          <w:szCs w:val="24"/>
        </w:rPr>
        <w:t>li</w:t>
      </w:r>
      <w:r w:rsidRPr="002509CB">
        <w:rPr>
          <w:rFonts w:ascii="Times New Roman" w:hAnsi="Times New Roman" w:cs="Times New Roman"/>
          <w:sz w:val="24"/>
          <w:szCs w:val="24"/>
        </w:rPr>
        <w:t xml:space="preserve"> oględzin </w:t>
      </w:r>
      <w:r w:rsidR="002509CB">
        <w:rPr>
          <w:rFonts w:ascii="Times New Roman" w:hAnsi="Times New Roman" w:cs="Times New Roman"/>
          <w:sz w:val="24"/>
          <w:szCs w:val="24"/>
        </w:rPr>
        <w:t xml:space="preserve">na miejscu </w:t>
      </w:r>
      <w:r w:rsidRPr="002509CB">
        <w:rPr>
          <w:rFonts w:ascii="Times New Roman" w:hAnsi="Times New Roman" w:cs="Times New Roman"/>
          <w:sz w:val="24"/>
          <w:szCs w:val="24"/>
        </w:rPr>
        <w:t>oraz wykona</w:t>
      </w:r>
      <w:r w:rsidR="002509CB">
        <w:rPr>
          <w:rFonts w:ascii="Times New Roman" w:hAnsi="Times New Roman" w:cs="Times New Roman"/>
          <w:sz w:val="24"/>
          <w:szCs w:val="24"/>
        </w:rPr>
        <w:t>li</w:t>
      </w:r>
      <w:r w:rsidRPr="002509CB">
        <w:rPr>
          <w:rFonts w:ascii="Times New Roman" w:hAnsi="Times New Roman" w:cs="Times New Roman"/>
          <w:sz w:val="24"/>
          <w:szCs w:val="24"/>
        </w:rPr>
        <w:t xml:space="preserve"> dokumentację fotograficzn</w:t>
      </w:r>
      <w:r w:rsidR="002509CB">
        <w:rPr>
          <w:rFonts w:ascii="Times New Roman" w:hAnsi="Times New Roman" w:cs="Times New Roman"/>
          <w:sz w:val="24"/>
          <w:szCs w:val="24"/>
        </w:rPr>
        <w:t>ą</w:t>
      </w:r>
      <w:r w:rsidRPr="002509CB">
        <w:rPr>
          <w:rFonts w:ascii="Times New Roman" w:hAnsi="Times New Roman" w:cs="Times New Roman"/>
          <w:sz w:val="24"/>
          <w:szCs w:val="24"/>
        </w:rPr>
        <w:t xml:space="preserve">. Na terenie wyrobiska odbywało się ładowanie piasku na samochód ciężarowy. Zarówno w niecce jak i w obrębie wyrobiska stwierdzono obecność odpadów z remontów, gruzu oraz ziemi usypanych w hałdy. W porównaniu do </w:t>
      </w:r>
      <w:r w:rsidR="006D6A97">
        <w:rPr>
          <w:rFonts w:ascii="Times New Roman" w:hAnsi="Times New Roman" w:cs="Times New Roman"/>
          <w:sz w:val="24"/>
          <w:szCs w:val="24"/>
        </w:rPr>
        <w:t xml:space="preserve">poprzedniego </w:t>
      </w:r>
      <w:r w:rsidRPr="002509CB">
        <w:rPr>
          <w:rFonts w:ascii="Times New Roman" w:hAnsi="Times New Roman" w:cs="Times New Roman"/>
          <w:sz w:val="24"/>
          <w:szCs w:val="24"/>
        </w:rPr>
        <w:t>dnia stwierdzono, że część odpadów została zepchnięta do niecki wyrobiska.</w:t>
      </w:r>
    </w:p>
    <w:p w14:paraId="6273901B" w14:textId="77777777" w:rsidR="00E8099E" w:rsidRPr="002509CB" w:rsidRDefault="00E8099E" w:rsidP="006D3BAB">
      <w:pPr>
        <w:spacing w:line="300" w:lineRule="atLeast"/>
        <w:ind w:firstLine="567"/>
        <w:contextualSpacing/>
        <w:jc w:val="both"/>
        <w:rPr>
          <w:rFonts w:ascii="Times New Roman" w:hAnsi="Times New Roman" w:cs="Times New Roman"/>
          <w:sz w:val="24"/>
          <w:szCs w:val="24"/>
        </w:rPr>
      </w:pPr>
      <w:r w:rsidRPr="002509CB">
        <w:rPr>
          <w:rFonts w:ascii="Times New Roman" w:hAnsi="Times New Roman" w:cs="Times New Roman"/>
          <w:sz w:val="24"/>
          <w:szCs w:val="24"/>
        </w:rPr>
        <w:lastRenderedPageBreak/>
        <w:t>W tym samym dniu ok. godz. 16, inspektorzy WIOŚ w Opolu ponownie udali się na miejsce w celu przeprowadzenia czynności w trybie art. 10b ustawy o Inspekcji Ochrony Środowiska. Działania polegały na oględzinach terenu i wykonaniu dokumentacji fotograficznej. Na przedmiotowym terenie znajdowały się odpady budowlane w postaci gruzu ceglanego i odpadów betonu, a także odpadowa masa roślinna i odpady tworzyw sztucznych. Na terenie wyrobiska znajdowały się też maszyny budowlane (przesiewacz, koparka oraz ładowarka).</w:t>
      </w:r>
    </w:p>
    <w:p w14:paraId="066C5306" w14:textId="11458B0F" w:rsidR="00E8099E" w:rsidRPr="002509CB" w:rsidRDefault="00E8099E" w:rsidP="006D3BAB">
      <w:pPr>
        <w:spacing w:line="300" w:lineRule="atLeast"/>
        <w:ind w:firstLine="567"/>
        <w:contextualSpacing/>
        <w:jc w:val="both"/>
        <w:rPr>
          <w:rFonts w:ascii="Times New Roman" w:hAnsi="Times New Roman" w:cs="Times New Roman"/>
          <w:sz w:val="24"/>
          <w:szCs w:val="24"/>
        </w:rPr>
      </w:pPr>
      <w:r w:rsidRPr="002509CB">
        <w:rPr>
          <w:rFonts w:ascii="Times New Roman" w:hAnsi="Times New Roman" w:cs="Times New Roman"/>
          <w:sz w:val="24"/>
          <w:szCs w:val="24"/>
        </w:rPr>
        <w:t xml:space="preserve">W dniu 26.01.2022 r. inspektorzy po raz kolejny udali się na przedmiotowe wyrobisko </w:t>
      </w:r>
      <w:r w:rsidR="006D6A97">
        <w:rPr>
          <w:rFonts w:ascii="Times New Roman" w:hAnsi="Times New Roman" w:cs="Times New Roman"/>
          <w:sz w:val="24"/>
          <w:szCs w:val="24"/>
        </w:rPr>
        <w:br/>
      </w:r>
      <w:r w:rsidRPr="002509CB">
        <w:rPr>
          <w:rFonts w:ascii="Times New Roman" w:hAnsi="Times New Roman" w:cs="Times New Roman"/>
          <w:sz w:val="24"/>
          <w:szCs w:val="24"/>
        </w:rPr>
        <w:t xml:space="preserve">w celu przeprowadzenia czynności w trybie art. 10b ustawy o inspekcji ochrony środowiska. Na miejscu dokonano oględzin terenu oraz wykonano dokumentację fotograficzną. Stwierdzono większe ilości odpadów gruzu i ziemi na skarpie wyrobiska, w porównaniu do dni, w których poprzednio prowadzono działania. Na miejscu zastano kierowcę samochodu ciężarowego, którego przesłuchano w zakresie niezbędnym do ustalenia stanu faktycznego. </w:t>
      </w:r>
    </w:p>
    <w:p w14:paraId="04B9C049" w14:textId="70CB69BD" w:rsidR="00E8099E" w:rsidRPr="002509CB" w:rsidRDefault="00E8099E" w:rsidP="006D3BAB">
      <w:pPr>
        <w:spacing w:line="300" w:lineRule="atLeast"/>
        <w:ind w:firstLine="567"/>
        <w:contextualSpacing/>
        <w:jc w:val="both"/>
        <w:rPr>
          <w:rFonts w:ascii="Times New Roman" w:hAnsi="Times New Roman" w:cs="Times New Roman"/>
          <w:sz w:val="24"/>
          <w:szCs w:val="24"/>
        </w:rPr>
      </w:pPr>
      <w:r w:rsidRPr="002509CB">
        <w:rPr>
          <w:rFonts w:ascii="Times New Roman" w:hAnsi="Times New Roman" w:cs="Times New Roman"/>
          <w:sz w:val="24"/>
          <w:szCs w:val="24"/>
        </w:rPr>
        <w:t xml:space="preserve">W wyniku podjętych działań stwierdzono przetwarzanie odpadów bez wymaganej decyzji udzielającej zezwolenia, o której mowa w art. 41 ust. 1 ustawy z dnia 14 grudnia </w:t>
      </w:r>
      <w:r w:rsidR="006D3BAB">
        <w:rPr>
          <w:rFonts w:ascii="Times New Roman" w:hAnsi="Times New Roman" w:cs="Times New Roman"/>
          <w:sz w:val="24"/>
          <w:szCs w:val="24"/>
        </w:rPr>
        <w:br/>
      </w:r>
      <w:r w:rsidRPr="002509CB">
        <w:rPr>
          <w:rFonts w:ascii="Times New Roman" w:hAnsi="Times New Roman" w:cs="Times New Roman"/>
          <w:sz w:val="24"/>
          <w:szCs w:val="24"/>
        </w:rPr>
        <w:t>2012 r. o odpadach</w:t>
      </w:r>
      <w:r w:rsidR="006D3BAB">
        <w:rPr>
          <w:rStyle w:val="Odwoanieprzypisudolnego"/>
          <w:rFonts w:cs="Times New Roman"/>
          <w:szCs w:val="24"/>
        </w:rPr>
        <w:footnoteReference w:id="61"/>
      </w:r>
      <w:r w:rsidRPr="002509CB">
        <w:rPr>
          <w:rFonts w:ascii="Times New Roman" w:hAnsi="Times New Roman" w:cs="Times New Roman"/>
          <w:sz w:val="24"/>
          <w:szCs w:val="24"/>
        </w:rPr>
        <w:t>.</w:t>
      </w:r>
    </w:p>
    <w:p w14:paraId="65125F59" w14:textId="77777777" w:rsidR="00E8099E" w:rsidRPr="002509CB" w:rsidRDefault="00E8099E" w:rsidP="00E8099E">
      <w:pPr>
        <w:spacing w:line="300" w:lineRule="atLeast"/>
        <w:ind w:left="360" w:firstLine="66"/>
        <w:contextualSpacing/>
        <w:jc w:val="both"/>
        <w:rPr>
          <w:rFonts w:ascii="Times New Roman" w:hAnsi="Times New Roman" w:cs="Times New Roman"/>
          <w:sz w:val="24"/>
          <w:szCs w:val="24"/>
        </w:rPr>
      </w:pPr>
    </w:p>
    <w:p w14:paraId="0CE0C755" w14:textId="634DEF0C" w:rsidR="00E8099E" w:rsidRPr="002509CB" w:rsidRDefault="00E8099E" w:rsidP="00E8099E">
      <w:pPr>
        <w:spacing w:line="300" w:lineRule="atLeast"/>
        <w:contextualSpacing/>
        <w:jc w:val="center"/>
        <w:rPr>
          <w:rFonts w:ascii="Times New Roman" w:hAnsi="Times New Roman" w:cs="Times New Roman"/>
          <w:sz w:val="24"/>
          <w:szCs w:val="24"/>
        </w:rPr>
      </w:pPr>
      <w:r w:rsidRPr="002509CB">
        <w:rPr>
          <w:rFonts w:ascii="Times New Roman" w:hAnsi="Times New Roman" w:cs="Times New Roman"/>
          <w:noProof/>
          <w:sz w:val="24"/>
          <w:szCs w:val="24"/>
          <w:lang w:eastAsia="pl-PL"/>
        </w:rPr>
        <w:drawing>
          <wp:inline distT="0" distB="0" distL="0" distR="0" wp14:anchorId="49B3FFD2" wp14:editId="51FA4FE9">
            <wp:extent cx="4838700" cy="2724150"/>
            <wp:effectExtent l="0" t="0" r="0" b="0"/>
            <wp:docPr id="149" name="Obraz 149" descr="Zdjęcie 23. Ujawnienie bezprawnego deponowania odpadów na terenie wyrobiska w m. Radawie, gm. Zębow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Obraz 149" descr="Zdjęcie 23. Ujawnienie bezprawnego deponowania odpadów na terenie wyrobiska w m. Radawie, gm. Zębowic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38700" cy="2724150"/>
                    </a:xfrm>
                    <a:prstGeom prst="rect">
                      <a:avLst/>
                    </a:prstGeom>
                    <a:noFill/>
                    <a:ln>
                      <a:noFill/>
                    </a:ln>
                  </pic:spPr>
                </pic:pic>
              </a:graphicData>
            </a:graphic>
          </wp:inline>
        </w:drawing>
      </w:r>
    </w:p>
    <w:p w14:paraId="264BADDF" w14:textId="53853551" w:rsidR="00E8099E" w:rsidRPr="002509CB" w:rsidRDefault="002509CB" w:rsidP="00E8099E">
      <w:pPr>
        <w:spacing w:line="300" w:lineRule="atLeast"/>
        <w:contextualSpacing/>
        <w:jc w:val="both"/>
        <w:rPr>
          <w:rFonts w:ascii="Times New Roman" w:hAnsi="Times New Roman" w:cs="Times New Roman"/>
          <w:b/>
        </w:rPr>
      </w:pPr>
      <w:r w:rsidRPr="002509CB">
        <w:rPr>
          <w:rFonts w:ascii="Times New Roman" w:hAnsi="Times New Roman" w:cs="Times New Roman"/>
          <w:b/>
        </w:rPr>
        <w:t>Zdjęcie 2</w:t>
      </w:r>
      <w:r w:rsidR="00E75A83">
        <w:rPr>
          <w:rFonts w:ascii="Times New Roman" w:hAnsi="Times New Roman" w:cs="Times New Roman"/>
          <w:b/>
        </w:rPr>
        <w:t>3</w:t>
      </w:r>
      <w:r w:rsidRPr="002509CB">
        <w:rPr>
          <w:rFonts w:ascii="Times New Roman" w:hAnsi="Times New Roman" w:cs="Times New Roman"/>
          <w:b/>
        </w:rPr>
        <w:t xml:space="preserve">. </w:t>
      </w:r>
      <w:r w:rsidR="00E8099E" w:rsidRPr="002509CB">
        <w:rPr>
          <w:rFonts w:ascii="Times New Roman" w:hAnsi="Times New Roman" w:cs="Times New Roman"/>
          <w:b/>
        </w:rPr>
        <w:t>Ujawnienie bezprawnego deponowania odpadów na terenie wyrobiska w m. Radawie, gm. Zębowice</w:t>
      </w:r>
    </w:p>
    <w:p w14:paraId="4584D649" w14:textId="141D7C00" w:rsidR="006D6A97" w:rsidRDefault="006D6A97" w:rsidP="006D6A97">
      <w:pPr>
        <w:spacing w:line="300" w:lineRule="atLeast"/>
        <w:contextualSpacing/>
        <w:jc w:val="both"/>
        <w:rPr>
          <w:i/>
          <w:color w:val="4472C4"/>
        </w:rPr>
      </w:pPr>
    </w:p>
    <w:p w14:paraId="4A2AB86F" w14:textId="5A81CE0F" w:rsidR="006D6A97" w:rsidRPr="006D6A97" w:rsidRDefault="006D6A97" w:rsidP="006D6A97">
      <w:pPr>
        <w:spacing w:after="60" w:line="300" w:lineRule="atLeast"/>
        <w:jc w:val="both"/>
        <w:rPr>
          <w:i/>
          <w:color w:val="4472C4"/>
        </w:rPr>
      </w:pPr>
      <w:r>
        <w:rPr>
          <w:rFonts w:ascii="Times New Roman" w:hAnsi="Times New Roman" w:cs="Times New Roman"/>
          <w:b/>
          <w:i/>
          <w:iCs/>
          <w:color w:val="000000"/>
          <w:sz w:val="24"/>
          <w:szCs w:val="24"/>
        </w:rPr>
        <w:t>Magazynowanie odpadów niebezpiecznych, woj. wielkopolskie</w:t>
      </w:r>
    </w:p>
    <w:p w14:paraId="2A33334A" w14:textId="64A11A44" w:rsidR="006D6A97" w:rsidRDefault="00E8099E" w:rsidP="006D3BAB">
      <w:pPr>
        <w:spacing w:after="0" w:line="300" w:lineRule="atLeast"/>
        <w:ind w:firstLine="567"/>
        <w:jc w:val="both"/>
        <w:rPr>
          <w:rFonts w:ascii="Times New Roman" w:hAnsi="Times New Roman" w:cs="Times New Roman"/>
          <w:sz w:val="24"/>
          <w:szCs w:val="24"/>
        </w:rPr>
      </w:pPr>
      <w:r w:rsidRPr="006D6A97">
        <w:rPr>
          <w:rFonts w:ascii="Times New Roman" w:hAnsi="Times New Roman" w:cs="Times New Roman"/>
          <w:sz w:val="24"/>
          <w:szCs w:val="24"/>
        </w:rPr>
        <w:t>W dniu 30.03.2022 r. pozyskano telefoniczną informację od Policji, że na teren nieruchomości zlokalizowanej przy ul. Młyńskiej  w m. Grodziec wjechał samochód ciężarowy z naczepą, który może przewozić odpady niebezpieczne. Telefon poprzedziły kilkudniowe obserwacje prowadzone przez Inspektorów WIOŚ oraz Policję. W związku z powyższym inspektorzy WIOŚ niezwłocznie udali się we wskazane miejsce. Wraz z Policją i Strażą Pożarną przeprowadzono oględziny nieruchomości na której znajdowała się hala magazynowa. Jak ustalono podczas czynności</w:t>
      </w:r>
      <w:r w:rsidR="006D6A97">
        <w:rPr>
          <w:rFonts w:ascii="Times New Roman" w:hAnsi="Times New Roman" w:cs="Times New Roman"/>
          <w:sz w:val="24"/>
          <w:szCs w:val="24"/>
        </w:rPr>
        <w:t>,</w:t>
      </w:r>
      <w:r w:rsidRPr="006D6A97">
        <w:rPr>
          <w:rFonts w:ascii="Times New Roman" w:hAnsi="Times New Roman" w:cs="Times New Roman"/>
          <w:sz w:val="24"/>
          <w:szCs w:val="24"/>
        </w:rPr>
        <w:t xml:space="preserve"> właściciel hali wynajął ją na początku marca 2022 r. podmiotowi z siedzibą przy ul. Szafirowej  w Gdańsku. </w:t>
      </w:r>
    </w:p>
    <w:p w14:paraId="7A023117" w14:textId="0A4F95D1" w:rsidR="00E8099E" w:rsidRPr="006D6A97" w:rsidRDefault="00E8099E" w:rsidP="006D3BAB">
      <w:pPr>
        <w:spacing w:after="0" w:line="300" w:lineRule="atLeast"/>
        <w:ind w:firstLine="567"/>
        <w:jc w:val="both"/>
        <w:rPr>
          <w:rFonts w:ascii="Times New Roman" w:hAnsi="Times New Roman" w:cs="Times New Roman"/>
          <w:sz w:val="24"/>
          <w:szCs w:val="24"/>
        </w:rPr>
      </w:pPr>
      <w:r w:rsidRPr="006D6A97">
        <w:rPr>
          <w:rFonts w:ascii="Times New Roman" w:hAnsi="Times New Roman" w:cs="Times New Roman"/>
          <w:sz w:val="24"/>
          <w:szCs w:val="24"/>
        </w:rPr>
        <w:lastRenderedPageBreak/>
        <w:t>W hali magazynowej ujawniono samochód ciężarowy marki MAN wraz z naczepą. Na naczepie znajdowały się odpady w paleto-pojemnikach o pojemności 1000 L (9 sztuk) oraz beczki po 200 L (12 sztuk). Na opakowaniach znajdowały się opisy kodów (odpady niebezpieczne). Ponadto na terenie hali magazynowej o wymiarach 70 m na 11 m stwierdzono magazynowane odpadów niebezpiecznych spakowanych w beczki (różnej objętości) lub paleto-pojemniki o pojemności 1000 l - oględziny opakowań odpadów również wykazały, że są one w części oznaczone kodami odpadów niebezpiecznych. Na etykietach znajdujących się na beczkach znajdowały się symbole informujące, że substancje są szkodliwe, rakotwórcze, żrące, toksyczne, łatwopalne, niebezpieczne dla środowiska. Ze względu na sposób magazynowania odpadów (w sposób zwarty) nie określono ilości zdeponowanych w hali odpadów. Odpady zmagazynowano w końcu hali na powierzchni 28 m x 11 m, a maksymalna wysokość składowania to 3,1 m. W hali magazynowej wyczuwalny był charakterystyczny chemiczny zapach lotnych związków organicznych.</w:t>
      </w:r>
    </w:p>
    <w:p w14:paraId="41222855" w14:textId="77777777" w:rsidR="00E8099E" w:rsidRPr="006D6A97" w:rsidRDefault="00E8099E" w:rsidP="006D3BAB">
      <w:pPr>
        <w:pStyle w:val="Akapitzlist"/>
        <w:spacing w:line="300" w:lineRule="atLeast"/>
        <w:ind w:left="0" w:firstLine="567"/>
        <w:jc w:val="both"/>
        <w:rPr>
          <w:sz w:val="24"/>
          <w:szCs w:val="24"/>
        </w:rPr>
      </w:pPr>
      <w:r w:rsidRPr="006D6A97">
        <w:rPr>
          <w:sz w:val="24"/>
          <w:szCs w:val="24"/>
        </w:rPr>
        <w:t>W czasie oględzin Straż Pożarna pobrała 12 próbek odpadów, które zostały zabezpieczone przez biegłego. Inspektorzy WIOŚ przesłuchali kierowcę pojazdu zatrzymanego na miejscu zdarzenia, oraz zabezpieczyli (skopiowali) posiadane przez niego karty przekazania odpadów przypisane do zatrzymanego transportu. Analiza w systemie BDO wykazała, że do tego transportu przypisano 27 KPO.</w:t>
      </w:r>
    </w:p>
    <w:p w14:paraId="643A7C6D" w14:textId="29A942F4" w:rsidR="00E8099E" w:rsidRPr="006D6A97" w:rsidRDefault="00E8099E" w:rsidP="006D3BAB">
      <w:pPr>
        <w:pStyle w:val="Akapitzlist"/>
        <w:spacing w:line="300" w:lineRule="atLeast"/>
        <w:ind w:left="0" w:firstLine="567"/>
        <w:jc w:val="both"/>
        <w:rPr>
          <w:sz w:val="24"/>
          <w:szCs w:val="24"/>
        </w:rPr>
      </w:pPr>
      <w:r w:rsidRPr="006D6A97">
        <w:rPr>
          <w:sz w:val="24"/>
          <w:szCs w:val="24"/>
        </w:rPr>
        <w:t>Przeprowadzone czynności kontrolne wykazały, że odpady zmagazynowane w hali magazynowej dostarczone transportami w dniach 07.03.2022 r., 08.03.2022 r., 09.03.2022 r.,  10.03.2022</w:t>
      </w:r>
      <w:r w:rsidR="006D3BAB">
        <w:rPr>
          <w:sz w:val="24"/>
          <w:szCs w:val="24"/>
          <w:lang w:val="pl-PL"/>
        </w:rPr>
        <w:t xml:space="preserve"> </w:t>
      </w:r>
      <w:r w:rsidRPr="006D6A97">
        <w:rPr>
          <w:sz w:val="24"/>
          <w:szCs w:val="24"/>
        </w:rPr>
        <w:t>r., 14.03.2022 r., 17.03.2022 r., 24.03.2022 r. 30.03.2022 r. przekazane były przez 6 podmiotów.</w:t>
      </w:r>
      <w:r w:rsidR="006D3BAB">
        <w:rPr>
          <w:sz w:val="24"/>
          <w:szCs w:val="24"/>
          <w:lang w:val="pl-PL"/>
        </w:rPr>
        <w:t xml:space="preserve"> </w:t>
      </w:r>
      <w:r w:rsidR="006D6A97">
        <w:rPr>
          <w:sz w:val="24"/>
          <w:szCs w:val="24"/>
        </w:rPr>
        <w:t xml:space="preserve">Podczas prowadzonych </w:t>
      </w:r>
      <w:r w:rsidRPr="006D6A97">
        <w:rPr>
          <w:sz w:val="24"/>
          <w:szCs w:val="24"/>
        </w:rPr>
        <w:t>czynności ustalono, że przedmiotowa hala magazynowa wynajmowana jest przez podmiot z siedzib</w:t>
      </w:r>
      <w:r w:rsidR="006D6A97">
        <w:rPr>
          <w:sz w:val="24"/>
          <w:szCs w:val="24"/>
        </w:rPr>
        <w:t>ą</w:t>
      </w:r>
      <w:r w:rsidRPr="006D6A97">
        <w:rPr>
          <w:sz w:val="24"/>
          <w:szCs w:val="24"/>
        </w:rPr>
        <w:t xml:space="preserve"> przy ul. Szafirowej w Gdańsku. WIOŚ nie ma możliwości skontaktowania się z przedstawicielami spółki. Korespondencja nie jest podejmowana. </w:t>
      </w:r>
    </w:p>
    <w:p w14:paraId="32C43F56" w14:textId="77777777" w:rsidR="00E8099E" w:rsidRPr="006D6A97" w:rsidRDefault="00E8099E" w:rsidP="006D3BAB">
      <w:pPr>
        <w:pStyle w:val="Akapitzlist"/>
        <w:spacing w:line="300" w:lineRule="atLeast"/>
        <w:ind w:left="0" w:firstLine="567"/>
        <w:jc w:val="both"/>
        <w:rPr>
          <w:sz w:val="24"/>
          <w:szCs w:val="24"/>
        </w:rPr>
      </w:pPr>
      <w:r w:rsidRPr="006D6A97">
        <w:rPr>
          <w:sz w:val="24"/>
          <w:szCs w:val="24"/>
        </w:rPr>
        <w:t xml:space="preserve">W wyniku przeprowadzonych czynności wystąpiono do właściwych wojewódzkich inspektoratów ochrony środowiska (Łódź, Warszawa, Toruń, Lublin) o przeprowadzenie kontroli wysyłających odpady (celem ustalenia źródła pochodzenia odpadów), transportujących i odbiorców odpady (celem potwierdzenia, że odpady nie trafiły do miejsc przeznaczenia określonych we KPO). </w:t>
      </w:r>
    </w:p>
    <w:p w14:paraId="2DBE82A3" w14:textId="77777777" w:rsidR="00E8099E" w:rsidRPr="006D6A97" w:rsidRDefault="00E8099E" w:rsidP="006D3BAB">
      <w:pPr>
        <w:pStyle w:val="Akapitzlist"/>
        <w:spacing w:line="300" w:lineRule="atLeast"/>
        <w:ind w:left="0" w:firstLine="567"/>
        <w:contextualSpacing w:val="0"/>
        <w:jc w:val="both"/>
        <w:rPr>
          <w:sz w:val="24"/>
          <w:szCs w:val="24"/>
        </w:rPr>
      </w:pPr>
      <w:r w:rsidRPr="006D6A97">
        <w:rPr>
          <w:sz w:val="24"/>
          <w:szCs w:val="24"/>
        </w:rPr>
        <w:t xml:space="preserve">O możliwości popełnienia przestępstwa poinformowano również Prokuraturę  Rejonową w Koninie. Obecnie spraw prowadzona jest przez Prokuraturę Okręgową w Łodzi. </w:t>
      </w:r>
    </w:p>
    <w:p w14:paraId="00A66A21" w14:textId="77777777" w:rsidR="00E8099E" w:rsidRPr="006D6A97" w:rsidRDefault="00E8099E" w:rsidP="00E8099E">
      <w:pPr>
        <w:pStyle w:val="Akapitzlist"/>
        <w:spacing w:line="300" w:lineRule="atLeast"/>
        <w:jc w:val="both"/>
      </w:pPr>
    </w:p>
    <w:p w14:paraId="0B422F56" w14:textId="1F44CB75" w:rsidR="00E8099E" w:rsidRPr="000C0753" w:rsidRDefault="00E8099E" w:rsidP="00E8099E">
      <w:pPr>
        <w:pStyle w:val="Akapitzlist"/>
        <w:spacing w:line="300" w:lineRule="atLeast"/>
        <w:jc w:val="center"/>
        <w:rPr>
          <w:noProof/>
        </w:rPr>
      </w:pPr>
      <w:r w:rsidRPr="000C0753">
        <w:rPr>
          <w:noProof/>
          <w:lang w:val="pl-PL"/>
        </w:rPr>
        <w:lastRenderedPageBreak/>
        <w:drawing>
          <wp:inline distT="0" distB="0" distL="0" distR="0" wp14:anchorId="196A065D" wp14:editId="04EFBB82">
            <wp:extent cx="3489271" cy="2628900"/>
            <wp:effectExtent l="0" t="0" r="0" b="0"/>
            <wp:docPr id="148" name="Obraz 148" descr="Zdjęci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Obraz 148" descr="Zdjęcie 2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542619" cy="2669094"/>
                    </a:xfrm>
                    <a:prstGeom prst="rect">
                      <a:avLst/>
                    </a:prstGeom>
                    <a:noFill/>
                    <a:ln>
                      <a:noFill/>
                    </a:ln>
                  </pic:spPr>
                </pic:pic>
              </a:graphicData>
            </a:graphic>
          </wp:inline>
        </w:drawing>
      </w:r>
    </w:p>
    <w:p w14:paraId="051EA454" w14:textId="00C566ED" w:rsidR="00E8099E" w:rsidRPr="006D6A97" w:rsidRDefault="006D6A97" w:rsidP="00E8099E">
      <w:pPr>
        <w:pStyle w:val="Akapitzlist"/>
        <w:spacing w:line="300" w:lineRule="atLeast"/>
        <w:jc w:val="center"/>
        <w:rPr>
          <w:b/>
          <w:noProof/>
          <w:sz w:val="22"/>
          <w:szCs w:val="22"/>
          <w:lang w:val="pl-PL"/>
        </w:rPr>
      </w:pPr>
      <w:r w:rsidRPr="006D6A97">
        <w:rPr>
          <w:b/>
          <w:noProof/>
          <w:sz w:val="22"/>
          <w:szCs w:val="22"/>
          <w:lang w:val="pl-PL"/>
        </w:rPr>
        <w:t xml:space="preserve">Zdjęcie </w:t>
      </w:r>
      <w:r w:rsidR="00E75A83">
        <w:rPr>
          <w:b/>
          <w:noProof/>
          <w:sz w:val="22"/>
          <w:szCs w:val="22"/>
          <w:lang w:val="pl-PL"/>
        </w:rPr>
        <w:t>24</w:t>
      </w:r>
    </w:p>
    <w:p w14:paraId="0392DE55" w14:textId="0A8524E2" w:rsidR="00E8099E" w:rsidRPr="000C0753" w:rsidRDefault="00E8099E" w:rsidP="00E8099E">
      <w:pPr>
        <w:pStyle w:val="Akapitzlist"/>
        <w:spacing w:line="300" w:lineRule="atLeast"/>
        <w:jc w:val="center"/>
        <w:rPr>
          <w:noProof/>
        </w:rPr>
      </w:pPr>
      <w:r w:rsidRPr="000C0753">
        <w:rPr>
          <w:noProof/>
          <w:lang w:val="pl-PL"/>
        </w:rPr>
        <w:drawing>
          <wp:inline distT="0" distB="0" distL="0" distR="0" wp14:anchorId="1382E6EB" wp14:editId="3C9F20E3">
            <wp:extent cx="4391025" cy="3295650"/>
            <wp:effectExtent l="0" t="0" r="9525" b="0"/>
            <wp:docPr id="147" name="Obraz 147" descr="Zdjęci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Obraz 147" descr="Zdjęcie 2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391025" cy="3295650"/>
                    </a:xfrm>
                    <a:prstGeom prst="rect">
                      <a:avLst/>
                    </a:prstGeom>
                    <a:noFill/>
                    <a:ln>
                      <a:noFill/>
                    </a:ln>
                  </pic:spPr>
                </pic:pic>
              </a:graphicData>
            </a:graphic>
          </wp:inline>
        </w:drawing>
      </w:r>
    </w:p>
    <w:p w14:paraId="34681A5D" w14:textId="1A06057C" w:rsidR="00E8099E" w:rsidRPr="006D6A97" w:rsidRDefault="006D6A97" w:rsidP="006D6A97">
      <w:pPr>
        <w:spacing w:line="300" w:lineRule="atLeast"/>
        <w:ind w:left="1069"/>
        <w:contextualSpacing/>
        <w:jc w:val="center"/>
        <w:rPr>
          <w:rFonts w:ascii="Times New Roman" w:hAnsi="Times New Roman" w:cs="Times New Roman"/>
          <w:b/>
        </w:rPr>
      </w:pPr>
      <w:r w:rsidRPr="006D6A97">
        <w:rPr>
          <w:rFonts w:ascii="Times New Roman" w:hAnsi="Times New Roman" w:cs="Times New Roman"/>
          <w:b/>
        </w:rPr>
        <w:t xml:space="preserve">Zdjęcie </w:t>
      </w:r>
      <w:r w:rsidR="00E75A83">
        <w:rPr>
          <w:rFonts w:ascii="Times New Roman" w:hAnsi="Times New Roman" w:cs="Times New Roman"/>
          <w:b/>
        </w:rPr>
        <w:t>25</w:t>
      </w:r>
    </w:p>
    <w:p w14:paraId="182A2842" w14:textId="77777777" w:rsidR="006D6A97" w:rsidRDefault="006D6A97" w:rsidP="00E8099E">
      <w:pPr>
        <w:spacing w:line="300" w:lineRule="atLeast"/>
        <w:contextualSpacing/>
        <w:jc w:val="both"/>
      </w:pPr>
    </w:p>
    <w:p w14:paraId="0757D5AF" w14:textId="1C9691A0" w:rsidR="00E8099E" w:rsidRPr="000C0753" w:rsidRDefault="00B3520D" w:rsidP="006D3BAB">
      <w:pPr>
        <w:spacing w:after="120" w:line="300" w:lineRule="atLeast"/>
        <w:jc w:val="both"/>
        <w:rPr>
          <w:i/>
          <w:color w:val="4472C4"/>
        </w:rPr>
      </w:pPr>
      <w:r>
        <w:rPr>
          <w:rFonts w:ascii="Times New Roman" w:hAnsi="Times New Roman" w:cs="Times New Roman"/>
          <w:b/>
          <w:i/>
          <w:iCs/>
          <w:color w:val="000000"/>
          <w:sz w:val="24"/>
          <w:szCs w:val="24"/>
        </w:rPr>
        <w:t>Zakopywanie odpadów budowlanych, woj. mazowieckie</w:t>
      </w:r>
    </w:p>
    <w:p w14:paraId="288A5F1F" w14:textId="77777777" w:rsidR="00B3520D" w:rsidRDefault="00E8099E" w:rsidP="006D3BAB">
      <w:pPr>
        <w:pStyle w:val="Akapitzlist"/>
        <w:spacing w:line="300" w:lineRule="atLeast"/>
        <w:ind w:left="0" w:firstLine="567"/>
        <w:jc w:val="both"/>
        <w:rPr>
          <w:iCs/>
          <w:sz w:val="24"/>
          <w:szCs w:val="24"/>
        </w:rPr>
      </w:pPr>
      <w:bookmarkStart w:id="323" w:name="_Hlk123555796"/>
      <w:r w:rsidRPr="00B3520D">
        <w:rPr>
          <w:iCs/>
          <w:sz w:val="24"/>
          <w:szCs w:val="24"/>
        </w:rPr>
        <w:t>W dniu 25</w:t>
      </w:r>
      <w:r w:rsidR="00B3520D">
        <w:rPr>
          <w:iCs/>
          <w:sz w:val="24"/>
          <w:szCs w:val="24"/>
          <w:lang w:val="pl-PL"/>
        </w:rPr>
        <w:t>.04.</w:t>
      </w:r>
      <w:r w:rsidRPr="00B3520D">
        <w:rPr>
          <w:iCs/>
          <w:sz w:val="24"/>
          <w:szCs w:val="24"/>
        </w:rPr>
        <w:t xml:space="preserve">2022 r. inspektorzy Wojewódzkiego Inspektoratu Ochrony Środowiska </w:t>
      </w:r>
      <w:r w:rsidRPr="00B3520D">
        <w:rPr>
          <w:iCs/>
          <w:sz w:val="24"/>
          <w:szCs w:val="24"/>
        </w:rPr>
        <w:br/>
        <w:t>w Warszawie Delegatura w Ciechanowie na podstawie art. 10b ust. 2 pkt 6 ustawy z dnia 20 lipca 1991 r. o Inspekcji Ochrony Środowiska realizując ustalenia własne przeprowadzili oględziny działki w gm. Winnica, w pow. pułtuskim.</w:t>
      </w:r>
      <w:bookmarkEnd w:id="323"/>
      <w:r w:rsidRPr="00B3520D">
        <w:rPr>
          <w:iCs/>
          <w:sz w:val="24"/>
          <w:szCs w:val="24"/>
        </w:rPr>
        <w:t xml:space="preserve"> W trakcie czynności na ww. nieruchomości ujawnili ślady zakopywania odpadów budowlanych na długości ok. 150 metrów i szerokości ok. 10 m. Ponadto w trakcie oględzin w południowej części działki ujawniono koparkę marki CAT bez oznaczeń indywidualnych. Oględziny skarp wykopu potwierdziły zakopywanie odpadów tj. zmieszanych odpadów z betonu, gruzu ceglanego, odpadów materiałów ceramicznych i elementów wyposażenia. </w:t>
      </w:r>
    </w:p>
    <w:p w14:paraId="662D3B34" w14:textId="77777777" w:rsidR="00B3520D" w:rsidRDefault="00E8099E" w:rsidP="006D3BAB">
      <w:pPr>
        <w:pStyle w:val="Akapitzlist"/>
        <w:spacing w:line="300" w:lineRule="atLeast"/>
        <w:ind w:left="0" w:firstLine="567"/>
        <w:jc w:val="both"/>
        <w:rPr>
          <w:iCs/>
          <w:sz w:val="24"/>
          <w:szCs w:val="24"/>
        </w:rPr>
      </w:pPr>
      <w:r w:rsidRPr="00B3520D">
        <w:rPr>
          <w:iCs/>
          <w:sz w:val="24"/>
          <w:szCs w:val="24"/>
        </w:rPr>
        <w:t xml:space="preserve">Ustalony właściciel działki uprzedzony o odpowiedzialności karnej zeznał, iż na ww. działce znajdowało się stare wyrobisko </w:t>
      </w:r>
      <w:proofErr w:type="spellStart"/>
      <w:r w:rsidRPr="00B3520D">
        <w:rPr>
          <w:iCs/>
          <w:sz w:val="24"/>
          <w:szCs w:val="24"/>
        </w:rPr>
        <w:t>pożwirowe</w:t>
      </w:r>
      <w:proofErr w:type="spellEnd"/>
      <w:r w:rsidRPr="00B3520D">
        <w:rPr>
          <w:iCs/>
          <w:sz w:val="24"/>
          <w:szCs w:val="24"/>
        </w:rPr>
        <w:t xml:space="preserve">. Chcąc je zasypać wystosował ogłoszenie </w:t>
      </w:r>
      <w:r w:rsidRPr="00B3520D">
        <w:rPr>
          <w:iCs/>
          <w:sz w:val="24"/>
          <w:szCs w:val="24"/>
        </w:rPr>
        <w:lastRenderedPageBreak/>
        <w:t xml:space="preserve">o gotowości przyjęcia odpadów gruzu i ziemi. Uznał, że do tego typu działań nie jest wymagana decyzja na rekultywację wyrobiska. Z przeprowadzonych oględzin wynika, że na </w:t>
      </w:r>
      <w:proofErr w:type="spellStart"/>
      <w:r w:rsidRPr="00B3520D">
        <w:rPr>
          <w:iCs/>
          <w:sz w:val="24"/>
          <w:szCs w:val="24"/>
        </w:rPr>
        <w:t>na</w:t>
      </w:r>
      <w:proofErr w:type="spellEnd"/>
      <w:r w:rsidRPr="00B3520D">
        <w:rPr>
          <w:iCs/>
          <w:sz w:val="24"/>
          <w:szCs w:val="24"/>
        </w:rPr>
        <w:t xml:space="preserve"> działkę trafiło co najmniej 4500 Mg odpadów. </w:t>
      </w:r>
    </w:p>
    <w:p w14:paraId="06EB4B5D" w14:textId="5F6FFC41" w:rsidR="00E8099E" w:rsidRPr="00B3520D" w:rsidRDefault="00E8099E" w:rsidP="006D3BAB">
      <w:pPr>
        <w:pStyle w:val="Akapitzlist"/>
        <w:spacing w:line="300" w:lineRule="atLeast"/>
        <w:ind w:left="0" w:firstLine="567"/>
        <w:jc w:val="both"/>
        <w:rPr>
          <w:iCs/>
          <w:sz w:val="24"/>
          <w:szCs w:val="24"/>
        </w:rPr>
      </w:pPr>
      <w:r w:rsidRPr="00B3520D">
        <w:rPr>
          <w:iCs/>
          <w:sz w:val="24"/>
          <w:szCs w:val="24"/>
        </w:rPr>
        <w:t>W ramach prowadzonego w tej sprawie postępowania została wydana decyzja nakładająca na właściciela działki karę administracyjną w wysokości 100 000 złotych.</w:t>
      </w:r>
    </w:p>
    <w:p w14:paraId="0BB6DA52" w14:textId="52785AC1" w:rsidR="00E8099E" w:rsidRPr="000C0753" w:rsidRDefault="00E8099E" w:rsidP="00E8099E">
      <w:pPr>
        <w:pStyle w:val="Bezodstpw"/>
        <w:keepNext/>
        <w:spacing w:line="300" w:lineRule="atLeast"/>
        <w:contextualSpacing/>
        <w:jc w:val="center"/>
        <w:rPr>
          <w:rFonts w:ascii="Times New Roman" w:hAnsi="Times New Roman"/>
          <w:sz w:val="24"/>
          <w:szCs w:val="24"/>
        </w:rPr>
      </w:pPr>
      <w:r w:rsidRPr="000C0753">
        <w:rPr>
          <w:rFonts w:ascii="Times New Roman" w:hAnsi="Times New Roman"/>
          <w:noProof/>
          <w:color w:val="4472C4"/>
          <w:sz w:val="24"/>
          <w:szCs w:val="24"/>
          <w:lang w:eastAsia="pl-PL"/>
        </w:rPr>
        <w:drawing>
          <wp:inline distT="0" distB="0" distL="0" distR="0" wp14:anchorId="79206BFD" wp14:editId="7517F5ED">
            <wp:extent cx="4200525" cy="2600325"/>
            <wp:effectExtent l="0" t="0" r="9525" b="9525"/>
            <wp:docPr id="142" name="Obraz 142" descr="Zdjęcie 26. Koparka marki CAT na działce w gm. Win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Obraz 142" descr="Zdjęcie 26. Koparka marki CAT na działce w gm. Winnic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200525" cy="2600325"/>
                    </a:xfrm>
                    <a:prstGeom prst="rect">
                      <a:avLst/>
                    </a:prstGeom>
                    <a:noFill/>
                    <a:ln>
                      <a:noFill/>
                    </a:ln>
                  </pic:spPr>
                </pic:pic>
              </a:graphicData>
            </a:graphic>
          </wp:inline>
        </w:drawing>
      </w:r>
    </w:p>
    <w:p w14:paraId="00E243B9" w14:textId="2C610B1C" w:rsidR="00E8099E" w:rsidRPr="00B3520D" w:rsidRDefault="00E8099E" w:rsidP="00E8099E">
      <w:pPr>
        <w:pStyle w:val="Legenda"/>
        <w:spacing w:line="300" w:lineRule="atLeast"/>
        <w:contextualSpacing/>
        <w:jc w:val="center"/>
        <w:rPr>
          <w:bCs w:val="0"/>
          <w:color w:val="000000" w:themeColor="text1"/>
          <w:sz w:val="22"/>
          <w:szCs w:val="22"/>
        </w:rPr>
      </w:pPr>
      <w:r w:rsidRPr="00B3520D">
        <w:rPr>
          <w:bCs w:val="0"/>
          <w:color w:val="000000" w:themeColor="text1"/>
          <w:sz w:val="22"/>
          <w:szCs w:val="22"/>
        </w:rPr>
        <w:t xml:space="preserve">Zdjęcie </w:t>
      </w:r>
      <w:r w:rsidR="00E75A83">
        <w:rPr>
          <w:bCs w:val="0"/>
          <w:color w:val="000000" w:themeColor="text1"/>
          <w:sz w:val="22"/>
          <w:szCs w:val="22"/>
          <w:lang w:val="pl-PL"/>
        </w:rPr>
        <w:t>26</w:t>
      </w:r>
      <w:r w:rsidR="00B3520D" w:rsidRPr="00B3520D">
        <w:rPr>
          <w:bCs w:val="0"/>
          <w:color w:val="000000" w:themeColor="text1"/>
          <w:sz w:val="22"/>
          <w:szCs w:val="22"/>
          <w:lang w:val="pl-PL"/>
        </w:rPr>
        <w:t>. K</w:t>
      </w:r>
      <w:proofErr w:type="spellStart"/>
      <w:r w:rsidRPr="00B3520D">
        <w:rPr>
          <w:bCs w:val="0"/>
          <w:color w:val="000000" w:themeColor="text1"/>
          <w:sz w:val="22"/>
          <w:szCs w:val="22"/>
        </w:rPr>
        <w:t>oparka</w:t>
      </w:r>
      <w:proofErr w:type="spellEnd"/>
      <w:r w:rsidRPr="00B3520D">
        <w:rPr>
          <w:bCs w:val="0"/>
          <w:color w:val="000000" w:themeColor="text1"/>
          <w:sz w:val="22"/>
          <w:szCs w:val="22"/>
        </w:rPr>
        <w:t xml:space="preserve"> marki CAT na działce w gm. Winnica</w:t>
      </w:r>
    </w:p>
    <w:p w14:paraId="034CD213" w14:textId="77777777" w:rsidR="00E8099E" w:rsidRPr="000C0753" w:rsidRDefault="00E8099E" w:rsidP="00E8099E">
      <w:pPr>
        <w:pStyle w:val="Bezodstpw"/>
        <w:keepNext/>
        <w:spacing w:line="300" w:lineRule="atLeast"/>
        <w:contextualSpacing/>
        <w:jc w:val="center"/>
        <w:rPr>
          <w:rFonts w:ascii="Times New Roman" w:hAnsi="Times New Roman"/>
          <w:sz w:val="24"/>
          <w:szCs w:val="24"/>
        </w:rPr>
      </w:pPr>
    </w:p>
    <w:p w14:paraId="70FF23DB" w14:textId="37AA38E4" w:rsidR="00E8099E" w:rsidRPr="004E6FC6" w:rsidRDefault="00D13390" w:rsidP="00D13390">
      <w:pPr>
        <w:spacing w:after="60"/>
      </w:pPr>
      <w:r>
        <w:rPr>
          <w:rFonts w:ascii="Times New Roman" w:hAnsi="Times New Roman" w:cs="Times New Roman"/>
          <w:b/>
          <w:i/>
          <w:iCs/>
          <w:color w:val="000000"/>
          <w:sz w:val="24"/>
          <w:szCs w:val="24"/>
        </w:rPr>
        <w:t>Nielegalne gromadzenie odpadów niebezpiecznych, woj. mazowieckie</w:t>
      </w:r>
    </w:p>
    <w:p w14:paraId="7555882E" w14:textId="11268BE2" w:rsidR="00E8099E" w:rsidRPr="00D13390" w:rsidRDefault="00E8099E" w:rsidP="006D3BAB">
      <w:pPr>
        <w:spacing w:line="300" w:lineRule="atLeast"/>
        <w:ind w:firstLine="567"/>
        <w:contextualSpacing/>
        <w:jc w:val="both"/>
        <w:rPr>
          <w:rFonts w:ascii="Times New Roman" w:hAnsi="Times New Roman" w:cs="Times New Roman"/>
          <w:bCs/>
          <w:sz w:val="24"/>
          <w:szCs w:val="24"/>
        </w:rPr>
      </w:pPr>
      <w:r w:rsidRPr="00D13390">
        <w:rPr>
          <w:rFonts w:ascii="Times New Roman" w:hAnsi="Times New Roman" w:cs="Times New Roman"/>
          <w:bCs/>
          <w:sz w:val="24"/>
          <w:szCs w:val="24"/>
        </w:rPr>
        <w:t xml:space="preserve">W dniu 3 lipca 2022 roku w/w inspektorzy WIOŚ Delegatura w Mińsku Mazowieckim uzyskali informację, że na terenie nieruchomości w miejscowości Postoliska, gm. Tłuszcz, pow. wołomiński właściciel nieruchomości ujawnił nielegalne gromadzenie odpadów niebezpiecznych. Teren ten wynajął rok wcześniej podmiotowi z siedzibą przy </w:t>
      </w:r>
      <w:r w:rsidR="00E75A83">
        <w:rPr>
          <w:rFonts w:ascii="Times New Roman" w:hAnsi="Times New Roman" w:cs="Times New Roman"/>
          <w:bCs/>
          <w:sz w:val="24"/>
          <w:szCs w:val="24"/>
        </w:rPr>
        <w:br/>
      </w:r>
      <w:r w:rsidRPr="00D13390">
        <w:rPr>
          <w:rFonts w:ascii="Times New Roman" w:hAnsi="Times New Roman" w:cs="Times New Roman"/>
          <w:bCs/>
          <w:sz w:val="24"/>
          <w:szCs w:val="24"/>
        </w:rPr>
        <w:t>ul. Młodzieżowej  w Płońsku, a od początku czerwca 2022 r. umowa została przepisana na podmiot z siedzibą przy ul. Modlińskiej w Wieliszewie. W związku z uzasadnionym podejrzeniem popełnienia przestępstwa określonego w art. 183 §1 kodeksu karnego złożono zawiadomienie do KKP w Wołominie. Sprawa w toku</w:t>
      </w:r>
      <w:r w:rsidR="00D13390">
        <w:rPr>
          <w:rFonts w:ascii="Times New Roman" w:hAnsi="Times New Roman" w:cs="Times New Roman"/>
          <w:bCs/>
          <w:sz w:val="24"/>
          <w:szCs w:val="24"/>
        </w:rPr>
        <w:t xml:space="preserve">. </w:t>
      </w:r>
    </w:p>
    <w:p w14:paraId="6D84C662" w14:textId="0CA8B4F4" w:rsidR="00E8099E" w:rsidRDefault="00D13390" w:rsidP="00D13390">
      <w:pPr>
        <w:pStyle w:val="Tekstpodstawowywcity2"/>
        <w:spacing w:after="60" w:line="300" w:lineRule="atLeast"/>
        <w:ind w:left="0"/>
        <w:rPr>
          <w:b/>
          <w:bCs/>
        </w:rPr>
      </w:pPr>
      <w:r>
        <w:rPr>
          <w:b/>
          <w:i/>
          <w:iCs/>
          <w:color w:val="000000"/>
          <w:lang w:val="pl-PL"/>
        </w:rPr>
        <w:t xml:space="preserve">Składowanie </w:t>
      </w:r>
      <w:r>
        <w:rPr>
          <w:b/>
          <w:i/>
          <w:iCs/>
          <w:color w:val="000000"/>
        </w:rPr>
        <w:t xml:space="preserve">odpadów </w:t>
      </w:r>
      <w:r>
        <w:rPr>
          <w:b/>
          <w:i/>
          <w:iCs/>
          <w:color w:val="000000"/>
          <w:lang w:val="pl-PL"/>
        </w:rPr>
        <w:t>organicznych</w:t>
      </w:r>
      <w:r>
        <w:rPr>
          <w:b/>
          <w:i/>
          <w:iCs/>
          <w:color w:val="000000"/>
        </w:rPr>
        <w:t>, woj. mazowieckie</w:t>
      </w:r>
    </w:p>
    <w:p w14:paraId="5E261A5C" w14:textId="77777777" w:rsidR="00E8099E" w:rsidRPr="00D13390" w:rsidRDefault="00E8099E" w:rsidP="006D3BAB">
      <w:pPr>
        <w:spacing w:line="300" w:lineRule="atLeast"/>
        <w:ind w:firstLine="567"/>
        <w:contextualSpacing/>
        <w:jc w:val="both"/>
        <w:rPr>
          <w:rFonts w:ascii="Times New Roman" w:hAnsi="Times New Roman" w:cs="Times New Roman"/>
          <w:sz w:val="24"/>
          <w:szCs w:val="24"/>
        </w:rPr>
      </w:pPr>
      <w:r w:rsidRPr="00D13390">
        <w:rPr>
          <w:rStyle w:val="markedcontent"/>
          <w:rFonts w:ascii="Times New Roman" w:hAnsi="Times New Roman" w:cs="Times New Roman"/>
          <w:sz w:val="24"/>
          <w:szCs w:val="24"/>
        </w:rPr>
        <w:t xml:space="preserve">W dniu 17.11.2022 roku inspektorzy Wojewódzkiego Inspektoratu Ochrony Środowiska Delegatura w Radomiu uzyskali informację, że w kompleksie leśnym na terenie miejscowości Mleczków składowane są znaczne ilości odpady organiczne tj. warzywa dyniowate. W wyniku podjętych czynności ustalono miejsce gdzie znajdują się porzucone odpady organiczne. Ustalono także nr działki oraz osobę która uprawiała w/w warzywa i która mogła je tam składować. </w:t>
      </w:r>
      <w:r w:rsidRPr="00D13390">
        <w:rPr>
          <w:rFonts w:ascii="Times New Roman" w:eastAsia="Calibri" w:hAnsi="Times New Roman" w:cs="Times New Roman"/>
          <w:bCs/>
          <w:sz w:val="24"/>
          <w:szCs w:val="24"/>
        </w:rPr>
        <w:t>Na miejscu wykonano oględziny oraz wykonano dokumentację fotograficzną. Następnie wystąpiono do Wójta Gminy w Zakrzewie</w:t>
      </w:r>
      <w:r w:rsidRPr="00D13390">
        <w:rPr>
          <w:rFonts w:ascii="Times New Roman" w:hAnsi="Times New Roman" w:cs="Times New Roman"/>
          <w:sz w:val="24"/>
          <w:szCs w:val="24"/>
        </w:rPr>
        <w:t xml:space="preserve"> o zastosowanie art. 26 ustawy o odpadach, który stanowi, że wójt, burmistrz lub prezydent miasta w drodze decyzji nakazuje posiadaczowi odpadów usunięcie odpadów z miejsca nieprzeznaczonego do ich składowania lub magazynowania. Na podstawie ustaleń dokonanych przez inspektorów WIOŚ w Warszawie Delegatury w Radomiu Wójt Gminy w Zakrzewie wszczął postępowanie administracyjne w sprawie obowiązku usunięcia odpadów z miejsca nieprzeznaczonego do ich składowania lub magazynowania. Przeprowadzone działania doprowadziły do spowodowania usunięcia odpadów organicznych. </w:t>
      </w:r>
    </w:p>
    <w:p w14:paraId="76CE28E4" w14:textId="13600F27" w:rsidR="00E8099E" w:rsidRPr="000C0753" w:rsidRDefault="00E8099E" w:rsidP="00E8099E">
      <w:pPr>
        <w:keepNext/>
        <w:spacing w:line="300" w:lineRule="atLeast"/>
        <w:contextualSpacing/>
        <w:jc w:val="center"/>
      </w:pPr>
      <w:r w:rsidRPr="000C0753">
        <w:rPr>
          <w:noProof/>
          <w:color w:val="4472C4"/>
          <w:lang w:eastAsia="pl-PL"/>
        </w:rPr>
        <w:lastRenderedPageBreak/>
        <w:drawing>
          <wp:inline distT="0" distB="0" distL="0" distR="0" wp14:anchorId="01FFAAAE" wp14:editId="57BE46E8">
            <wp:extent cx="5762625" cy="3838575"/>
            <wp:effectExtent l="0" t="0" r="9525" b="9525"/>
            <wp:docPr id="100" name="Obraz 100" descr="Zdjęcie 27. Ujawnione składowane odpady organicz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Obraz 100" descr="Zdjęcie 27. Ujawnione składowane odpady organiczn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2625" cy="3838575"/>
                    </a:xfrm>
                    <a:prstGeom prst="rect">
                      <a:avLst/>
                    </a:prstGeom>
                    <a:noFill/>
                    <a:ln>
                      <a:noFill/>
                    </a:ln>
                  </pic:spPr>
                </pic:pic>
              </a:graphicData>
            </a:graphic>
          </wp:inline>
        </w:drawing>
      </w:r>
    </w:p>
    <w:p w14:paraId="5E039B20" w14:textId="7BDD4C84" w:rsidR="00E8099E" w:rsidRPr="00D13390" w:rsidRDefault="00E8099E" w:rsidP="00E8099E">
      <w:pPr>
        <w:pStyle w:val="Legenda"/>
        <w:spacing w:line="300" w:lineRule="atLeast"/>
        <w:contextualSpacing/>
        <w:jc w:val="center"/>
        <w:rPr>
          <w:color w:val="000000" w:themeColor="text1"/>
          <w:sz w:val="22"/>
          <w:szCs w:val="22"/>
        </w:rPr>
      </w:pPr>
      <w:r w:rsidRPr="00D13390">
        <w:rPr>
          <w:color w:val="000000" w:themeColor="text1"/>
          <w:sz w:val="22"/>
          <w:szCs w:val="22"/>
        </w:rPr>
        <w:t xml:space="preserve">Zdjęcie </w:t>
      </w:r>
      <w:r w:rsidR="00E75A83">
        <w:rPr>
          <w:color w:val="000000" w:themeColor="text1"/>
          <w:sz w:val="22"/>
          <w:szCs w:val="22"/>
          <w:lang w:val="pl-PL"/>
        </w:rPr>
        <w:t>27</w:t>
      </w:r>
      <w:r w:rsidR="00D13390" w:rsidRPr="00D13390">
        <w:rPr>
          <w:color w:val="000000" w:themeColor="text1"/>
          <w:sz w:val="22"/>
          <w:szCs w:val="22"/>
          <w:lang w:val="pl-PL"/>
        </w:rPr>
        <w:t>. U</w:t>
      </w:r>
      <w:proofErr w:type="spellStart"/>
      <w:r w:rsidRPr="00D13390">
        <w:rPr>
          <w:color w:val="000000" w:themeColor="text1"/>
          <w:sz w:val="22"/>
          <w:szCs w:val="22"/>
        </w:rPr>
        <w:t>jawnione</w:t>
      </w:r>
      <w:proofErr w:type="spellEnd"/>
      <w:r w:rsidRPr="00D13390">
        <w:rPr>
          <w:color w:val="000000" w:themeColor="text1"/>
          <w:sz w:val="22"/>
          <w:szCs w:val="22"/>
        </w:rPr>
        <w:t xml:space="preserve"> składowane odpady organiczne</w:t>
      </w:r>
    </w:p>
    <w:p w14:paraId="081BA6A1" w14:textId="77777777" w:rsidR="00D16A82" w:rsidRDefault="00D16A82" w:rsidP="00D16A82">
      <w:pPr>
        <w:spacing w:after="60" w:line="300" w:lineRule="atLeast"/>
        <w:jc w:val="both"/>
        <w:rPr>
          <w:rFonts w:ascii="Times New Roman" w:hAnsi="Times New Roman" w:cs="Times New Roman"/>
          <w:b/>
          <w:i/>
          <w:iCs/>
          <w:color w:val="000000"/>
          <w:sz w:val="24"/>
          <w:szCs w:val="24"/>
        </w:rPr>
      </w:pPr>
    </w:p>
    <w:p w14:paraId="77F4DA97" w14:textId="1D4EBA72" w:rsidR="00E8099E" w:rsidRPr="000C0753" w:rsidRDefault="00D16A82" w:rsidP="00D16A82">
      <w:pPr>
        <w:spacing w:after="60" w:line="300" w:lineRule="atLeast"/>
        <w:jc w:val="both"/>
        <w:rPr>
          <w:i/>
          <w:iCs/>
          <w:u w:val="single"/>
        </w:rPr>
      </w:pPr>
      <w:r>
        <w:rPr>
          <w:rFonts w:ascii="Times New Roman" w:hAnsi="Times New Roman" w:cs="Times New Roman"/>
          <w:b/>
          <w:i/>
          <w:iCs/>
          <w:color w:val="000000"/>
          <w:sz w:val="24"/>
          <w:szCs w:val="24"/>
        </w:rPr>
        <w:t>Składowanie odpadów, woj. dolnośląskie</w:t>
      </w:r>
    </w:p>
    <w:p w14:paraId="0AF82D03" w14:textId="55658C64" w:rsidR="00E8099E" w:rsidRPr="00D16A82" w:rsidRDefault="00E8099E" w:rsidP="002C016E">
      <w:pPr>
        <w:spacing w:line="300" w:lineRule="atLeast"/>
        <w:ind w:firstLine="567"/>
        <w:contextualSpacing/>
        <w:jc w:val="both"/>
        <w:rPr>
          <w:rFonts w:ascii="Times New Roman" w:hAnsi="Times New Roman" w:cs="Times New Roman"/>
          <w:iCs/>
          <w:sz w:val="24"/>
          <w:szCs w:val="24"/>
        </w:rPr>
      </w:pPr>
      <w:r w:rsidRPr="00D16A82">
        <w:rPr>
          <w:rFonts w:ascii="Times New Roman" w:hAnsi="Times New Roman" w:cs="Times New Roman"/>
          <w:iCs/>
          <w:sz w:val="24"/>
          <w:szCs w:val="24"/>
        </w:rPr>
        <w:t xml:space="preserve">Działania w trybie art. 10b ustawy o odpadach  podjęto w związku z anonimowym zgłoszeniem telefonicznym dotyczącym deponowania odpadów na terenie 3 działek </w:t>
      </w:r>
      <w:r w:rsidR="00D16A82">
        <w:rPr>
          <w:rFonts w:ascii="Times New Roman" w:hAnsi="Times New Roman" w:cs="Times New Roman"/>
          <w:iCs/>
          <w:sz w:val="24"/>
          <w:szCs w:val="24"/>
        </w:rPr>
        <w:br/>
      </w:r>
      <w:r w:rsidRPr="00D16A82">
        <w:rPr>
          <w:rFonts w:ascii="Times New Roman" w:hAnsi="Times New Roman" w:cs="Times New Roman"/>
          <w:iCs/>
          <w:sz w:val="24"/>
          <w:szCs w:val="24"/>
        </w:rPr>
        <w:t>w Łomnicy. Na podstawie przeprowadzonych czynności potwierdzono fakt nielegalnego przetwarzania odpadów na przedmiotowym terenie oraz ustalono źródło pochodzenia odpadów, w związku z czym przeprowadzono kontrolę u dwóch podmiotów: wytwórcy odpadów z siedzibą w m. w Jedlina Zdrój</w:t>
      </w:r>
      <w:r w:rsidR="00D16A82">
        <w:rPr>
          <w:rFonts w:ascii="Times New Roman" w:hAnsi="Times New Roman" w:cs="Times New Roman"/>
          <w:iCs/>
          <w:sz w:val="24"/>
          <w:szCs w:val="24"/>
        </w:rPr>
        <w:t xml:space="preserve"> </w:t>
      </w:r>
      <w:r w:rsidRPr="00D16A82">
        <w:rPr>
          <w:rFonts w:ascii="Times New Roman" w:hAnsi="Times New Roman" w:cs="Times New Roman"/>
          <w:iCs/>
          <w:sz w:val="24"/>
          <w:szCs w:val="24"/>
        </w:rPr>
        <w:t xml:space="preserve">oraz podmiotu z siedzibą w Łomnicy – właściciela terenu, na którym deponowane były odpady.  Na podstawie dowodów pozyskanych w trybie art. 10b ustawy o odpadach oraz ustaleń kontroli wszczęto 2 postępowania administracyjne </w:t>
      </w:r>
      <w:r w:rsidR="00D16A82">
        <w:rPr>
          <w:rFonts w:ascii="Times New Roman" w:hAnsi="Times New Roman" w:cs="Times New Roman"/>
          <w:iCs/>
          <w:sz w:val="24"/>
          <w:szCs w:val="24"/>
        </w:rPr>
        <w:br/>
      </w:r>
      <w:r w:rsidRPr="00D16A82">
        <w:rPr>
          <w:rFonts w:ascii="Times New Roman" w:hAnsi="Times New Roman" w:cs="Times New Roman"/>
          <w:iCs/>
          <w:sz w:val="24"/>
          <w:szCs w:val="24"/>
        </w:rPr>
        <w:t>w stosunku do</w:t>
      </w:r>
      <w:r w:rsidR="00D16A82">
        <w:rPr>
          <w:rFonts w:ascii="Times New Roman" w:hAnsi="Times New Roman" w:cs="Times New Roman"/>
          <w:iCs/>
          <w:sz w:val="24"/>
          <w:szCs w:val="24"/>
        </w:rPr>
        <w:t xml:space="preserve"> </w:t>
      </w:r>
      <w:r w:rsidRPr="00D16A82">
        <w:rPr>
          <w:rFonts w:ascii="Times New Roman" w:hAnsi="Times New Roman" w:cs="Times New Roman"/>
          <w:iCs/>
          <w:sz w:val="24"/>
          <w:szCs w:val="24"/>
        </w:rPr>
        <w:t>podmiotu będącego wytwórcą odpadów  oraz 3 postępowania administracyjne w stosunku do właściciela terenu, na którym były deponowane odpady. Skierowano również wystąpienie do Burmistrza Gminy Głuszyca o podjęcie działań zmierzających do usunięcia odpadów z miejsc na ten cel nieprzeznaczonych.</w:t>
      </w:r>
    </w:p>
    <w:p w14:paraId="6DE37380" w14:textId="77777777" w:rsidR="00E8099E" w:rsidRPr="00D16A82" w:rsidRDefault="00E8099E" w:rsidP="00E8099E">
      <w:pPr>
        <w:spacing w:line="300" w:lineRule="atLeast"/>
        <w:contextualSpacing/>
        <w:jc w:val="both"/>
        <w:rPr>
          <w:rFonts w:ascii="Times New Roman" w:hAnsi="Times New Roman" w:cs="Times New Roman"/>
          <w:iCs/>
          <w:sz w:val="24"/>
          <w:szCs w:val="24"/>
        </w:rPr>
      </w:pPr>
    </w:p>
    <w:p w14:paraId="49D2E42B" w14:textId="1BDDBC03" w:rsidR="00E8099E" w:rsidRPr="000C0753" w:rsidRDefault="00E8099E" w:rsidP="006934C8">
      <w:pPr>
        <w:spacing w:line="300" w:lineRule="atLeast"/>
        <w:contextualSpacing/>
        <w:jc w:val="center"/>
      </w:pPr>
      <w:r w:rsidRPr="000C0753">
        <w:rPr>
          <w:noProof/>
          <w:lang w:eastAsia="pl-PL"/>
        </w:rPr>
        <w:lastRenderedPageBreak/>
        <w:drawing>
          <wp:inline distT="0" distB="0" distL="0" distR="0" wp14:anchorId="484389F6" wp14:editId="377AD7DB">
            <wp:extent cx="5172075" cy="3725745"/>
            <wp:effectExtent l="0" t="0" r="0" b="8255"/>
            <wp:docPr id="99" name="Obraz 99" descr="Zdjęcia 28-29 przedstawiające wysypisko odpad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Obraz 99" descr="Zdjęcia 28-29 przedstawiające wysypisko odpadów"/>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181911" cy="3732830"/>
                    </a:xfrm>
                    <a:prstGeom prst="rect">
                      <a:avLst/>
                    </a:prstGeom>
                    <a:noFill/>
                    <a:ln>
                      <a:noFill/>
                    </a:ln>
                  </pic:spPr>
                </pic:pic>
              </a:graphicData>
            </a:graphic>
          </wp:inline>
        </w:drawing>
      </w:r>
    </w:p>
    <w:p w14:paraId="3A882A66" w14:textId="77777777" w:rsidR="00E8099E" w:rsidRPr="000C0753" w:rsidRDefault="00E8099E" w:rsidP="00E8099E">
      <w:pPr>
        <w:spacing w:line="300" w:lineRule="atLeast"/>
        <w:contextualSpacing/>
        <w:jc w:val="both"/>
      </w:pPr>
    </w:p>
    <w:p w14:paraId="14CF70A9" w14:textId="002341E1" w:rsidR="00E8099E" w:rsidRPr="000C0753" w:rsidRDefault="00E8099E" w:rsidP="006934C8">
      <w:pPr>
        <w:spacing w:line="300" w:lineRule="atLeast"/>
        <w:contextualSpacing/>
        <w:jc w:val="center"/>
        <w:rPr>
          <w:i/>
        </w:rPr>
      </w:pPr>
      <w:r w:rsidRPr="000C0753">
        <w:rPr>
          <w:noProof/>
          <w:lang w:eastAsia="pl-PL"/>
        </w:rPr>
        <w:drawing>
          <wp:inline distT="0" distB="0" distL="0" distR="0" wp14:anchorId="62107769" wp14:editId="5EF5745B">
            <wp:extent cx="5495925" cy="3952875"/>
            <wp:effectExtent l="0" t="0" r="9525" b="9525"/>
            <wp:docPr id="98" name="Obraz 98" descr="Zdjęcia 28-29 przedstawiające wysypisko odpad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Obraz 98" descr="Zdjęcia 28-29 przedstawiające wysypisko odpadów"/>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95925" cy="3952875"/>
                    </a:xfrm>
                    <a:prstGeom prst="rect">
                      <a:avLst/>
                    </a:prstGeom>
                    <a:noFill/>
                    <a:ln>
                      <a:noFill/>
                    </a:ln>
                  </pic:spPr>
                </pic:pic>
              </a:graphicData>
            </a:graphic>
          </wp:inline>
        </w:drawing>
      </w:r>
    </w:p>
    <w:p w14:paraId="7521C28E" w14:textId="295E049A" w:rsidR="00E8099E" w:rsidRPr="00D16A82" w:rsidRDefault="00D16A82" w:rsidP="00D16A82">
      <w:pPr>
        <w:spacing w:line="300" w:lineRule="atLeast"/>
        <w:ind w:left="1069"/>
        <w:contextualSpacing/>
        <w:jc w:val="center"/>
        <w:rPr>
          <w:rFonts w:ascii="Times New Roman" w:hAnsi="Times New Roman" w:cs="Times New Roman"/>
          <w:b/>
        </w:rPr>
      </w:pPr>
      <w:r w:rsidRPr="00D16A82">
        <w:rPr>
          <w:rFonts w:ascii="Times New Roman" w:hAnsi="Times New Roman" w:cs="Times New Roman"/>
          <w:b/>
        </w:rPr>
        <w:t xml:space="preserve">Zdjęcia </w:t>
      </w:r>
      <w:r w:rsidR="00F67169">
        <w:rPr>
          <w:rFonts w:ascii="Times New Roman" w:hAnsi="Times New Roman" w:cs="Times New Roman"/>
          <w:b/>
        </w:rPr>
        <w:t>28-29</w:t>
      </w:r>
    </w:p>
    <w:p w14:paraId="2B31C683" w14:textId="77777777" w:rsidR="00E8099E" w:rsidRPr="000C0753" w:rsidRDefault="00E8099E" w:rsidP="00E8099E">
      <w:pPr>
        <w:spacing w:line="300" w:lineRule="atLeast"/>
        <w:ind w:left="1069"/>
        <w:contextualSpacing/>
        <w:jc w:val="both"/>
      </w:pPr>
    </w:p>
    <w:p w14:paraId="2F994C0F" w14:textId="64B04ABD" w:rsidR="00E8099E" w:rsidRPr="000C0753" w:rsidRDefault="00D16A82" w:rsidP="00D16A82">
      <w:pPr>
        <w:spacing w:after="60" w:line="300" w:lineRule="atLeast"/>
        <w:jc w:val="both"/>
      </w:pPr>
      <w:r>
        <w:rPr>
          <w:rFonts w:ascii="Times New Roman" w:hAnsi="Times New Roman" w:cs="Times New Roman"/>
          <w:b/>
          <w:i/>
          <w:iCs/>
          <w:color w:val="000000"/>
          <w:sz w:val="24"/>
          <w:szCs w:val="24"/>
        </w:rPr>
        <w:t>Nielegalne deponowanie odpadów, woj. dolnośląskie</w:t>
      </w:r>
    </w:p>
    <w:p w14:paraId="28C6E6A4" w14:textId="77777777" w:rsidR="00D16A82" w:rsidRDefault="00E8099E" w:rsidP="002C016E">
      <w:pPr>
        <w:spacing w:line="300" w:lineRule="atLeast"/>
        <w:ind w:firstLine="567"/>
        <w:contextualSpacing/>
        <w:jc w:val="both"/>
        <w:rPr>
          <w:rFonts w:ascii="Times New Roman" w:hAnsi="Times New Roman" w:cs="Times New Roman"/>
        </w:rPr>
      </w:pPr>
      <w:r w:rsidRPr="00D16A82">
        <w:rPr>
          <w:rFonts w:ascii="Times New Roman" w:hAnsi="Times New Roman" w:cs="Times New Roman"/>
          <w:iCs/>
        </w:rPr>
        <w:t xml:space="preserve">Inspektorzy WIOŚ </w:t>
      </w:r>
      <w:r w:rsidR="00D16A82" w:rsidRPr="00D16A82">
        <w:rPr>
          <w:rFonts w:ascii="Times New Roman" w:hAnsi="Times New Roman" w:cs="Times New Roman"/>
          <w:iCs/>
        </w:rPr>
        <w:t xml:space="preserve">z </w:t>
      </w:r>
      <w:r w:rsidRPr="00D16A82">
        <w:rPr>
          <w:rFonts w:ascii="Times New Roman" w:hAnsi="Times New Roman" w:cs="Times New Roman"/>
          <w:iCs/>
        </w:rPr>
        <w:t xml:space="preserve">Wydziału Zwalczania Przestępczości Środowiskowej </w:t>
      </w:r>
      <w:r w:rsidRPr="00D16A82">
        <w:rPr>
          <w:rFonts w:ascii="Times New Roman" w:hAnsi="Times New Roman" w:cs="Times New Roman"/>
        </w:rPr>
        <w:t xml:space="preserve">ujawnili zakopane odpady na polach w powiecie legnickim. Na powierzchni ok. 2 ha za pomocą ciężkiego sprzętu </w:t>
      </w:r>
      <w:r w:rsidRPr="00D16A82">
        <w:rPr>
          <w:rFonts w:ascii="Times New Roman" w:hAnsi="Times New Roman" w:cs="Times New Roman"/>
        </w:rPr>
        <w:lastRenderedPageBreak/>
        <w:t>wykonano 91 odkrywek gruntu, na głębokość do 3 m – w każdej były odpady</w:t>
      </w:r>
      <w:r w:rsidRPr="00D16A82">
        <w:rPr>
          <w:rFonts w:ascii="Times New Roman" w:hAnsi="Times New Roman" w:cs="Times New Roman"/>
          <w:b/>
          <w:bCs/>
        </w:rPr>
        <w:t>.</w:t>
      </w:r>
      <w:r w:rsidRPr="00D16A82">
        <w:rPr>
          <w:rFonts w:ascii="Times New Roman" w:hAnsi="Times New Roman" w:cs="Times New Roman"/>
        </w:rPr>
        <w:t xml:space="preserve"> Nielegalnie zdeponowane odpady to odpady komunalne, odpady budowlane – gruz, cegła, rozbite elementy ze słupów elektrycznych, a także odpady inne niż niebezpieczne. Dodatkowo, w dwóch wykopach stwierdzono odpad niebezpieczny – eternit. Odpady zakopywane były wg. pewnego schematu, najgłębiej warstwy gruzu budowalnego, potem odpady komunalne na końcu przysypywano grubą warstwą ziemią, aby nie były widoczne i dobrze ukryte. Inspektorzy przed zaangażowaniem sprzętu ciężkiego i wykonaniem odkrywek, poprzedzili te działania kilkukrotnymi oględzinami terenu stanowiącego nieużytki. Wizje potwierdziły wysokie prawdopodobieństwo, że odpady są deponowane na większych głębokościach.  </w:t>
      </w:r>
    </w:p>
    <w:p w14:paraId="7A5ADADF" w14:textId="77777777" w:rsidR="00D16A82" w:rsidRDefault="00E8099E" w:rsidP="002C016E">
      <w:pPr>
        <w:spacing w:line="300" w:lineRule="atLeast"/>
        <w:ind w:firstLine="567"/>
        <w:contextualSpacing/>
        <w:jc w:val="both"/>
        <w:rPr>
          <w:rFonts w:ascii="Times New Roman" w:hAnsi="Times New Roman" w:cs="Times New Roman"/>
        </w:rPr>
      </w:pPr>
      <w:r w:rsidRPr="00D16A82">
        <w:rPr>
          <w:rFonts w:ascii="Times New Roman" w:hAnsi="Times New Roman" w:cs="Times New Roman"/>
        </w:rPr>
        <w:t xml:space="preserve">Na miejscu zdarzenia Centralne Laboratorium Badawcze Oddział w Legnicy oraz funkcjonariusze Komendy Miejskiej Policji w Legnicy pobrali próby wody w celu zbadania zawartości związków ropopochodnych i metali ciężkich. Złożono zawiadomienie o możliwości popełnienia przestępstwa z art. 183 KK. Zdarzenie zostało zainicjonowane przez informatora, który złożył w tej sprawie wniosek o podjęcie interwencji. </w:t>
      </w:r>
    </w:p>
    <w:p w14:paraId="51FCE484" w14:textId="718AF160" w:rsidR="00E8099E" w:rsidRPr="00D16A82" w:rsidRDefault="00E8099E" w:rsidP="002C016E">
      <w:pPr>
        <w:spacing w:line="300" w:lineRule="atLeast"/>
        <w:ind w:firstLine="567"/>
        <w:contextualSpacing/>
        <w:jc w:val="both"/>
        <w:rPr>
          <w:rFonts w:ascii="Times New Roman" w:hAnsi="Times New Roman" w:cs="Times New Roman"/>
          <w:iCs/>
        </w:rPr>
      </w:pPr>
      <w:r w:rsidRPr="00D16A82">
        <w:rPr>
          <w:rFonts w:ascii="Times New Roman" w:hAnsi="Times New Roman" w:cs="Times New Roman"/>
        </w:rPr>
        <w:t xml:space="preserve">W tej sprawie wszczęto postępowanie administracyjne w celu wymierzenia kary administracyjnej. Powiadomiono Urząd Gminy w związku z art. 26a ustawy o odpadach. </w:t>
      </w:r>
    </w:p>
    <w:p w14:paraId="7E0DFB92" w14:textId="77777777" w:rsidR="00E8099E" w:rsidRPr="000C0753" w:rsidRDefault="00E8099E" w:rsidP="00E8099E">
      <w:pPr>
        <w:spacing w:line="300" w:lineRule="atLeast"/>
        <w:contextualSpacing/>
        <w:jc w:val="both"/>
      </w:pPr>
    </w:p>
    <w:p w14:paraId="797901DA" w14:textId="6B98A914" w:rsidR="00E8099E" w:rsidRPr="000C0753" w:rsidRDefault="00E8099E" w:rsidP="006934C8">
      <w:pPr>
        <w:spacing w:line="300" w:lineRule="atLeast"/>
        <w:contextualSpacing/>
        <w:jc w:val="center"/>
      </w:pPr>
      <w:r w:rsidRPr="000C0753">
        <w:rPr>
          <w:noProof/>
          <w:lang w:eastAsia="pl-PL"/>
        </w:rPr>
        <w:drawing>
          <wp:inline distT="0" distB="0" distL="0" distR="0" wp14:anchorId="2CC1EE35" wp14:editId="39B9E004">
            <wp:extent cx="5248275" cy="3981450"/>
            <wp:effectExtent l="0" t="0" r="9525" b="0"/>
            <wp:docPr id="97" name="Obraz 97" descr="Zdjęcie - nielegalne deponowanie odpad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Obraz 97" descr="Zdjęcie - nielegalne deponowanie odpadów"/>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48275" cy="3981450"/>
                    </a:xfrm>
                    <a:prstGeom prst="rect">
                      <a:avLst/>
                    </a:prstGeom>
                    <a:noFill/>
                    <a:ln>
                      <a:noFill/>
                    </a:ln>
                  </pic:spPr>
                </pic:pic>
              </a:graphicData>
            </a:graphic>
          </wp:inline>
        </w:drawing>
      </w:r>
    </w:p>
    <w:p w14:paraId="3249051A" w14:textId="5140B586" w:rsidR="00E8099E" w:rsidRPr="00D16A82" w:rsidRDefault="00D16A82" w:rsidP="00D16A82">
      <w:pPr>
        <w:spacing w:line="300" w:lineRule="atLeast"/>
        <w:contextualSpacing/>
        <w:jc w:val="center"/>
        <w:rPr>
          <w:rFonts w:ascii="Times New Roman" w:hAnsi="Times New Roman" w:cs="Times New Roman"/>
          <w:b/>
          <w:iCs/>
        </w:rPr>
      </w:pPr>
      <w:r w:rsidRPr="00D16A82">
        <w:rPr>
          <w:rFonts w:ascii="Times New Roman" w:hAnsi="Times New Roman" w:cs="Times New Roman"/>
          <w:b/>
          <w:iCs/>
        </w:rPr>
        <w:t xml:space="preserve">Zdjęcie </w:t>
      </w:r>
      <w:r w:rsidR="00F67169">
        <w:rPr>
          <w:rFonts w:ascii="Times New Roman" w:hAnsi="Times New Roman" w:cs="Times New Roman"/>
          <w:b/>
          <w:iCs/>
        </w:rPr>
        <w:t>30</w:t>
      </w:r>
    </w:p>
    <w:p w14:paraId="0A621FA5" w14:textId="77777777" w:rsidR="00E8099E" w:rsidRPr="000C0753" w:rsidRDefault="00E8099E" w:rsidP="00E8099E">
      <w:pPr>
        <w:spacing w:line="300" w:lineRule="atLeast"/>
        <w:contextualSpacing/>
        <w:jc w:val="both"/>
        <w:rPr>
          <w:iCs/>
        </w:rPr>
      </w:pPr>
    </w:p>
    <w:p w14:paraId="73916EF4" w14:textId="77777777" w:rsidR="00D16A82" w:rsidRDefault="00D16A82" w:rsidP="00E8099E">
      <w:pPr>
        <w:spacing w:line="300" w:lineRule="atLeast"/>
        <w:contextualSpacing/>
        <w:jc w:val="both"/>
      </w:pPr>
      <w:bookmarkStart w:id="324" w:name="_Hlk126327935"/>
    </w:p>
    <w:p w14:paraId="03B4CC80" w14:textId="77777777" w:rsidR="00D16A82" w:rsidRDefault="00D16A82" w:rsidP="00E8099E">
      <w:pPr>
        <w:spacing w:line="300" w:lineRule="atLeast"/>
        <w:contextualSpacing/>
        <w:jc w:val="both"/>
      </w:pPr>
    </w:p>
    <w:p w14:paraId="4E95EE86" w14:textId="0689C380" w:rsidR="00D16A82" w:rsidRPr="000C0753" w:rsidRDefault="00D16A82" w:rsidP="00D16A82">
      <w:pPr>
        <w:spacing w:after="60" w:line="300" w:lineRule="atLeast"/>
        <w:jc w:val="both"/>
      </w:pPr>
      <w:r>
        <w:rPr>
          <w:rFonts w:ascii="Times New Roman" w:hAnsi="Times New Roman" w:cs="Times New Roman"/>
          <w:b/>
          <w:i/>
          <w:iCs/>
          <w:color w:val="000000"/>
          <w:sz w:val="24"/>
          <w:szCs w:val="24"/>
        </w:rPr>
        <w:t>Nielegalny transport odpadów, woj. dolnośląskie</w:t>
      </w:r>
    </w:p>
    <w:p w14:paraId="3FBC7FF0" w14:textId="3ABFEB15" w:rsidR="00E8099E" w:rsidRPr="00D16A82" w:rsidRDefault="00E8099E" w:rsidP="002C016E">
      <w:pPr>
        <w:spacing w:after="60" w:line="300" w:lineRule="atLeast"/>
        <w:ind w:firstLine="567"/>
        <w:jc w:val="both"/>
        <w:rPr>
          <w:rFonts w:ascii="Times New Roman" w:hAnsi="Times New Roman" w:cs="Times New Roman"/>
          <w:sz w:val="24"/>
          <w:szCs w:val="24"/>
        </w:rPr>
      </w:pPr>
      <w:r w:rsidRPr="00D16A82">
        <w:rPr>
          <w:rFonts w:ascii="Times New Roman" w:hAnsi="Times New Roman" w:cs="Times New Roman"/>
          <w:sz w:val="24"/>
          <w:szCs w:val="24"/>
        </w:rPr>
        <w:t xml:space="preserve">Inspektorzy Wydziału Zwalczania Przestępczości Środowiskowej Wojewódzkiego Inspektoratu Ochrony Środowiska we Wrocławiu wspólnie z Dolnośląskim Urzędem Celno-Skarbowym Oddział Celny I ujawnili nielegalny transport odpadów w postaci 23 zestawów nadwozi pojazdów. Zestawy transportowane były ze Zjednoczonych Emiratów Arabskich do </w:t>
      </w:r>
      <w:r w:rsidRPr="00D16A82">
        <w:rPr>
          <w:rFonts w:ascii="Times New Roman" w:hAnsi="Times New Roman" w:cs="Times New Roman"/>
          <w:sz w:val="24"/>
          <w:szCs w:val="24"/>
        </w:rPr>
        <w:lastRenderedPageBreak/>
        <w:t>firmy zajmującej się sprzedażą części zamiennych do pojazdów, zlokalizowanej na terenie Dolnego Śląska. Transportowane zestawy nadwozi pojazdów stanowiły odcięte fragmenty pojazdów obejmujące przody ich nadwozi. Odcięte fragmenty pojazdów, jako całość, nie stanowią części zamiennych do pojazdów i należy je traktować jako odpady. Aby móc ponownie wykorzystać części składające się na te fragmenty konieczny jest ich odzysk poprzez demontaż. Transport odpadów ze Zjednoczonych Emiratów Arabskich do Polski podlega procedurze uprzedniego zgłoszenia i zgody. W toku czynności ustalono, że fragmenty pojazdów transportowane były jako towary, a nie jako odpady, w związku z czym procedura uprzedniego powiadomienia odpowiednich organów i uzyskania ich zgody na ww. transport nie została dopełniona. Ponadto ustalono, że odbiorca odpadów w Polsce nie posiada wymaganego zezwolenia na przetwarzanie odpadów, zatem nie jest w stanie przeprowadzić odzysku lub unieszkodliwiania odpadów w sposób zgodny z przepisami wspólnotowymi lub międzynarodowymi. Zgodnie z rozporządzeniem (WE) NR 1013/2006 Parlamentu Europejskiego i Rady z dnia</w:t>
      </w:r>
      <w:r w:rsidRPr="00D16A82">
        <w:rPr>
          <w:rFonts w:ascii="Times New Roman" w:hAnsi="Times New Roman" w:cs="Times New Roman"/>
          <w:b/>
          <w:bCs/>
          <w:sz w:val="24"/>
          <w:szCs w:val="24"/>
        </w:rPr>
        <w:t> </w:t>
      </w:r>
      <w:r w:rsidRPr="00D16A82">
        <w:rPr>
          <w:rFonts w:ascii="Times New Roman" w:hAnsi="Times New Roman" w:cs="Times New Roman"/>
          <w:sz w:val="24"/>
          <w:szCs w:val="24"/>
        </w:rPr>
        <w:t>14 czerwca 2006</w:t>
      </w:r>
      <w:r w:rsidRPr="00D16A82">
        <w:rPr>
          <w:rFonts w:ascii="Times New Roman" w:hAnsi="Times New Roman" w:cs="Times New Roman"/>
          <w:b/>
          <w:bCs/>
          <w:sz w:val="24"/>
          <w:szCs w:val="24"/>
        </w:rPr>
        <w:t> </w:t>
      </w:r>
      <w:r w:rsidRPr="00D16A82">
        <w:rPr>
          <w:rFonts w:ascii="Times New Roman" w:hAnsi="Times New Roman" w:cs="Times New Roman"/>
          <w:sz w:val="24"/>
          <w:szCs w:val="24"/>
        </w:rPr>
        <w:t>r. w sprawie przemieszczania odpadów,  przemieszczanie odpadów bez jego zgłoszenia właściwym organom, lub bez ich zgody oraz transport odpadów do odbiorcy, który nie jest w stanie przeprowadzić odzysku lub unieszkodliwiania  odpadów w sposób zgodny z przepisami wspólnotowymi lub międzynarodowymi jest nielegalnym przemieszczaniem odpadów.</w:t>
      </w:r>
    </w:p>
    <w:p w14:paraId="3D84FAEC" w14:textId="23CF2DFD" w:rsidR="00E8099E" w:rsidRPr="000C0753" w:rsidRDefault="00E8099E" w:rsidP="006934C8">
      <w:pPr>
        <w:spacing w:line="300" w:lineRule="atLeast"/>
        <w:contextualSpacing/>
        <w:jc w:val="center"/>
      </w:pPr>
      <w:r w:rsidRPr="000C0753">
        <w:rPr>
          <w:noProof/>
          <w:lang w:eastAsia="pl-PL"/>
        </w:rPr>
        <w:drawing>
          <wp:inline distT="0" distB="0" distL="0" distR="0" wp14:anchorId="68950017" wp14:editId="1AEB99C7">
            <wp:extent cx="5286375" cy="3524250"/>
            <wp:effectExtent l="0" t="0" r="9525" b="0"/>
            <wp:docPr id="59" name="Obraz 59" descr="Zdjęcie - fragment pojaz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az 59" descr="Zdjęcie - fragment pojazdu"/>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89471" cy="3526314"/>
                    </a:xfrm>
                    <a:prstGeom prst="rect">
                      <a:avLst/>
                    </a:prstGeom>
                    <a:noFill/>
                    <a:ln>
                      <a:noFill/>
                    </a:ln>
                  </pic:spPr>
                </pic:pic>
              </a:graphicData>
            </a:graphic>
          </wp:inline>
        </w:drawing>
      </w:r>
      <w:bookmarkEnd w:id="324"/>
    </w:p>
    <w:p w14:paraId="319AF651" w14:textId="65429958" w:rsidR="00E8099E" w:rsidRPr="00604E5F" w:rsidRDefault="00604E5F" w:rsidP="00604E5F">
      <w:pPr>
        <w:spacing w:line="300" w:lineRule="atLeast"/>
        <w:contextualSpacing/>
        <w:jc w:val="center"/>
        <w:rPr>
          <w:rFonts w:ascii="Times New Roman" w:hAnsi="Times New Roman" w:cs="Times New Roman"/>
          <w:b/>
        </w:rPr>
      </w:pPr>
      <w:r w:rsidRPr="00604E5F">
        <w:rPr>
          <w:rFonts w:ascii="Times New Roman" w:hAnsi="Times New Roman" w:cs="Times New Roman"/>
          <w:b/>
        </w:rPr>
        <w:t xml:space="preserve">Zdjęcie </w:t>
      </w:r>
      <w:r w:rsidR="00F67169">
        <w:rPr>
          <w:rFonts w:ascii="Times New Roman" w:hAnsi="Times New Roman" w:cs="Times New Roman"/>
          <w:b/>
        </w:rPr>
        <w:t>31</w:t>
      </w:r>
    </w:p>
    <w:p w14:paraId="20E85F50" w14:textId="11E02EDC" w:rsidR="00E8099E" w:rsidRPr="000C0753" w:rsidRDefault="00E8099E" w:rsidP="006934C8">
      <w:pPr>
        <w:spacing w:line="300" w:lineRule="atLeast"/>
        <w:contextualSpacing/>
        <w:jc w:val="center"/>
      </w:pPr>
      <w:r w:rsidRPr="000C0753">
        <w:rPr>
          <w:noProof/>
          <w:lang w:eastAsia="pl-PL"/>
        </w:rPr>
        <w:lastRenderedPageBreak/>
        <w:drawing>
          <wp:inline distT="0" distB="0" distL="0" distR="0" wp14:anchorId="37315F9A" wp14:editId="298C5B5E">
            <wp:extent cx="5057775" cy="3420019"/>
            <wp:effectExtent l="0" t="0" r="0" b="9525"/>
            <wp:docPr id="40" name="Obraz 40" descr="Zdjęcie - fragment pojaz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descr="Zdjęcie - fragment pojazdu"/>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71312" cy="3429173"/>
                    </a:xfrm>
                    <a:prstGeom prst="rect">
                      <a:avLst/>
                    </a:prstGeom>
                    <a:noFill/>
                    <a:ln>
                      <a:noFill/>
                    </a:ln>
                  </pic:spPr>
                </pic:pic>
              </a:graphicData>
            </a:graphic>
          </wp:inline>
        </w:drawing>
      </w:r>
    </w:p>
    <w:p w14:paraId="0D9D4A65" w14:textId="531B641A" w:rsidR="00E8099E" w:rsidRPr="001A642C" w:rsidRDefault="00604E5F" w:rsidP="00604E5F">
      <w:pPr>
        <w:spacing w:line="300" w:lineRule="atLeast"/>
        <w:contextualSpacing/>
        <w:jc w:val="center"/>
        <w:rPr>
          <w:rFonts w:ascii="Times New Roman" w:hAnsi="Times New Roman" w:cs="Times New Roman"/>
          <w:b/>
        </w:rPr>
      </w:pPr>
      <w:r w:rsidRPr="001A642C">
        <w:rPr>
          <w:rFonts w:ascii="Times New Roman" w:hAnsi="Times New Roman" w:cs="Times New Roman"/>
          <w:b/>
        </w:rPr>
        <w:t>Zdjęcie 3</w:t>
      </w:r>
      <w:r w:rsidR="00F67169">
        <w:rPr>
          <w:rFonts w:ascii="Times New Roman" w:hAnsi="Times New Roman" w:cs="Times New Roman"/>
          <w:b/>
        </w:rPr>
        <w:t>2</w:t>
      </w:r>
    </w:p>
    <w:p w14:paraId="663BBF5C" w14:textId="77777777" w:rsidR="00E8099E" w:rsidRPr="000C0753" w:rsidRDefault="00E8099E" w:rsidP="002C016E">
      <w:pPr>
        <w:spacing w:after="120" w:line="300" w:lineRule="atLeast"/>
        <w:rPr>
          <w:i/>
          <w:color w:val="4472C4"/>
        </w:rPr>
      </w:pPr>
    </w:p>
    <w:p w14:paraId="0244E49D" w14:textId="6FBE3099" w:rsidR="00A22034" w:rsidRPr="007F400A" w:rsidRDefault="00A22034" w:rsidP="00D34F97">
      <w:pPr>
        <w:pStyle w:val="Akapitzlist"/>
        <w:numPr>
          <w:ilvl w:val="0"/>
          <w:numId w:val="148"/>
        </w:numPr>
        <w:spacing w:line="300" w:lineRule="atLeast"/>
        <w:ind w:left="357" w:hanging="357"/>
        <w:contextualSpacing w:val="0"/>
        <w:jc w:val="both"/>
        <w:outlineLvl w:val="0"/>
        <w:rPr>
          <w:b/>
          <w:color w:val="000000"/>
        </w:rPr>
      </w:pPr>
      <w:bookmarkStart w:id="325" w:name="_Toc135935676"/>
      <w:r w:rsidRPr="007F400A">
        <w:rPr>
          <w:rStyle w:val="Nagwek2Znak"/>
          <w:rFonts w:eastAsia="Calibri"/>
        </w:rPr>
        <w:t>Wykorzystanie i udostępnianie informacji uzyskanych w trakcie czynności prowadzonych na podstawie art. 10b ustawy o Inspekcji Ochrony Środowiska</w:t>
      </w:r>
      <w:bookmarkEnd w:id="321"/>
      <w:r w:rsidRPr="007F400A">
        <w:rPr>
          <w:b/>
          <w:color w:val="000000"/>
        </w:rPr>
        <w:t>:</w:t>
      </w:r>
      <w:bookmarkEnd w:id="325"/>
    </w:p>
    <w:p w14:paraId="13B6B069" w14:textId="77777777" w:rsidR="0092041D" w:rsidRPr="007F400A" w:rsidRDefault="0092041D" w:rsidP="00526507">
      <w:pPr>
        <w:spacing w:after="0"/>
        <w:jc w:val="both"/>
        <w:rPr>
          <w:rFonts w:ascii="Times New Roman" w:hAnsi="Times New Roman" w:cs="Times New Roman"/>
          <w:b/>
          <w:color w:val="000000"/>
          <w:sz w:val="20"/>
          <w:szCs w:val="20"/>
        </w:rPr>
      </w:pPr>
    </w:p>
    <w:p w14:paraId="595076CA" w14:textId="2A01A404" w:rsidR="002F7BD2" w:rsidRPr="00DE4EE4" w:rsidRDefault="002F7BD2" w:rsidP="00DE4EE4">
      <w:pPr>
        <w:pStyle w:val="Nagwek1"/>
        <w:jc w:val="both"/>
      </w:pPr>
      <w:bookmarkStart w:id="326" w:name="_Toc135935677"/>
      <w:r w:rsidRPr="00DE4EE4">
        <w:t>5.1. Ilościowe wskazanie wykorzystania informacji uzyskanych w celu realizacji zadań ustawowych Inspekcji Ochrony Środowiska, w tym w zakresie kontroli</w:t>
      </w:r>
      <w:r w:rsidR="00DE4EE4" w:rsidRPr="00DE4EE4">
        <w:t xml:space="preserve"> oraz</w:t>
      </w:r>
      <w:r w:rsidRPr="00DE4EE4">
        <w:t xml:space="preserve"> stanowi</w:t>
      </w:r>
      <w:r w:rsidR="00DE4EE4" w:rsidRPr="00DE4EE4">
        <w:t>ących</w:t>
      </w:r>
      <w:r w:rsidRPr="00DE4EE4">
        <w:t xml:space="preserve"> dowód w postępowaniach administracyjnych karnych oraz w postępowaniach </w:t>
      </w:r>
      <w:r w:rsidR="00DE4EE4">
        <w:br/>
      </w:r>
      <w:r w:rsidRPr="00DE4EE4">
        <w:t>w sprawach wykroczeń</w:t>
      </w:r>
      <w:bookmarkEnd w:id="326"/>
    </w:p>
    <w:p w14:paraId="731714B1" w14:textId="77777777" w:rsidR="002F7BD2" w:rsidRDefault="002F7BD2" w:rsidP="00F015BA">
      <w:pPr>
        <w:spacing w:line="300" w:lineRule="atLeast"/>
        <w:contextualSpacing/>
        <w:jc w:val="both"/>
        <w:rPr>
          <w:rFonts w:ascii="Times New Roman" w:hAnsi="Times New Roman" w:cs="Times New Roman"/>
          <w:sz w:val="24"/>
          <w:szCs w:val="24"/>
        </w:rPr>
      </w:pPr>
    </w:p>
    <w:p w14:paraId="284CE850" w14:textId="7AB2ABC2" w:rsidR="00A104D1" w:rsidRDefault="00F015BA" w:rsidP="002C016E">
      <w:pPr>
        <w:spacing w:line="300" w:lineRule="atLeast"/>
        <w:ind w:firstLine="567"/>
        <w:contextualSpacing/>
        <w:jc w:val="both"/>
        <w:rPr>
          <w:rFonts w:ascii="Times New Roman" w:hAnsi="Times New Roman" w:cs="Times New Roman"/>
          <w:sz w:val="24"/>
          <w:szCs w:val="24"/>
        </w:rPr>
      </w:pPr>
      <w:r w:rsidRPr="00F015BA">
        <w:rPr>
          <w:rFonts w:ascii="Times New Roman" w:hAnsi="Times New Roman" w:cs="Times New Roman"/>
          <w:sz w:val="24"/>
          <w:szCs w:val="24"/>
        </w:rPr>
        <w:t>Li</w:t>
      </w:r>
      <w:r w:rsidR="00A104D1">
        <w:rPr>
          <w:rFonts w:ascii="Times New Roman" w:hAnsi="Times New Roman" w:cs="Times New Roman"/>
          <w:sz w:val="24"/>
          <w:szCs w:val="24"/>
        </w:rPr>
        <w:t>czba</w:t>
      </w:r>
      <w:r w:rsidRPr="00F015BA">
        <w:rPr>
          <w:rFonts w:ascii="Times New Roman" w:hAnsi="Times New Roman" w:cs="Times New Roman"/>
          <w:sz w:val="24"/>
          <w:szCs w:val="24"/>
        </w:rPr>
        <w:t xml:space="preserve"> kontroli wszczętych w związku z informacjami uzyskanymi od Inspektorów DZPŚ </w:t>
      </w:r>
      <w:r w:rsidR="00DE4EE4">
        <w:rPr>
          <w:rFonts w:ascii="Times New Roman" w:hAnsi="Times New Roman" w:cs="Times New Roman"/>
          <w:sz w:val="24"/>
          <w:szCs w:val="24"/>
        </w:rPr>
        <w:t xml:space="preserve">GIOŚ </w:t>
      </w:r>
      <w:r w:rsidRPr="00F015BA">
        <w:rPr>
          <w:rFonts w:ascii="Times New Roman" w:hAnsi="Times New Roman" w:cs="Times New Roman"/>
          <w:sz w:val="24"/>
          <w:szCs w:val="24"/>
        </w:rPr>
        <w:t xml:space="preserve">w czasie prowadzenia czynności, o których mowa w art. 10b ust. 2 </w:t>
      </w:r>
      <w:proofErr w:type="spellStart"/>
      <w:r w:rsidRPr="00F015BA">
        <w:rPr>
          <w:rFonts w:ascii="Times New Roman" w:hAnsi="Times New Roman" w:cs="Times New Roman"/>
          <w:sz w:val="24"/>
          <w:szCs w:val="24"/>
        </w:rPr>
        <w:t>u.i.o.ś</w:t>
      </w:r>
      <w:proofErr w:type="spellEnd"/>
      <w:r w:rsidRPr="00F015BA">
        <w:rPr>
          <w:rFonts w:ascii="Times New Roman" w:hAnsi="Times New Roman" w:cs="Times New Roman"/>
          <w:sz w:val="24"/>
          <w:szCs w:val="24"/>
        </w:rPr>
        <w:t xml:space="preserve">.: 10. </w:t>
      </w:r>
    </w:p>
    <w:p w14:paraId="5D412D8A" w14:textId="39FC8A28" w:rsidR="00F015BA" w:rsidRPr="00F015BA" w:rsidRDefault="00F015BA" w:rsidP="00F015BA">
      <w:pPr>
        <w:spacing w:line="300" w:lineRule="atLeast"/>
        <w:contextualSpacing/>
        <w:jc w:val="both"/>
        <w:rPr>
          <w:rFonts w:ascii="Times New Roman" w:hAnsi="Times New Roman" w:cs="Times New Roman"/>
          <w:sz w:val="24"/>
          <w:szCs w:val="24"/>
        </w:rPr>
      </w:pPr>
      <w:r w:rsidRPr="00F015BA">
        <w:rPr>
          <w:rFonts w:ascii="Times New Roman" w:hAnsi="Times New Roman" w:cs="Times New Roman"/>
          <w:sz w:val="24"/>
          <w:szCs w:val="24"/>
        </w:rPr>
        <w:t>W jednym przypadku złożono 4 zawiadomienia o możliwości popełnienia przestępstwa.</w:t>
      </w:r>
    </w:p>
    <w:p w14:paraId="287CE159" w14:textId="77777777" w:rsidR="00F015BA" w:rsidRPr="00F015BA" w:rsidRDefault="00F015BA" w:rsidP="00F015BA">
      <w:pPr>
        <w:spacing w:line="300" w:lineRule="atLeast"/>
        <w:contextualSpacing/>
        <w:jc w:val="both"/>
        <w:rPr>
          <w:rFonts w:ascii="Times New Roman" w:hAnsi="Times New Roman" w:cs="Times New Roman"/>
          <w:sz w:val="24"/>
          <w:szCs w:val="24"/>
        </w:rPr>
      </w:pPr>
    </w:p>
    <w:p w14:paraId="59DDE17B" w14:textId="77777777" w:rsidR="00F015BA" w:rsidRPr="00F015BA" w:rsidRDefault="00F015BA" w:rsidP="002C016E">
      <w:pPr>
        <w:spacing w:after="60" w:line="300" w:lineRule="atLeast"/>
        <w:jc w:val="both"/>
        <w:rPr>
          <w:rFonts w:ascii="Times New Roman" w:hAnsi="Times New Roman" w:cs="Times New Roman"/>
          <w:i/>
          <w:color w:val="4472C4"/>
          <w:sz w:val="24"/>
          <w:szCs w:val="24"/>
        </w:rPr>
      </w:pPr>
      <w:r w:rsidRPr="00F015BA">
        <w:rPr>
          <w:rFonts w:ascii="Times New Roman" w:hAnsi="Times New Roman" w:cs="Times New Roman"/>
          <w:i/>
          <w:color w:val="4472C4"/>
          <w:sz w:val="24"/>
          <w:szCs w:val="24"/>
        </w:rPr>
        <w:t>Wojewódzki Inspektorat Ochrony Środowiska w Białymstoku</w:t>
      </w:r>
    </w:p>
    <w:p w14:paraId="302016D5" w14:textId="77777777" w:rsidR="00F015BA" w:rsidRPr="00F015BA" w:rsidRDefault="00F015BA" w:rsidP="002C016E">
      <w:pPr>
        <w:spacing w:after="0" w:line="300" w:lineRule="atLeast"/>
        <w:jc w:val="both"/>
        <w:rPr>
          <w:rFonts w:ascii="Times New Roman" w:hAnsi="Times New Roman" w:cs="Times New Roman"/>
          <w:sz w:val="24"/>
          <w:szCs w:val="24"/>
        </w:rPr>
      </w:pPr>
      <w:r w:rsidRPr="00F015BA">
        <w:rPr>
          <w:rFonts w:ascii="Times New Roman" w:hAnsi="Times New Roman" w:cs="Times New Roman"/>
          <w:sz w:val="24"/>
          <w:szCs w:val="24"/>
        </w:rPr>
        <w:t>W wyniku działań, podjętych w związku z art. 10b ustawy o inspekcji, w 2021 r.:</w:t>
      </w:r>
    </w:p>
    <w:p w14:paraId="5A18B97A" w14:textId="25FFC2D8" w:rsidR="00F015BA" w:rsidRPr="00A104D1" w:rsidRDefault="00F015BA" w:rsidP="00D34F97">
      <w:pPr>
        <w:pStyle w:val="Akapitzlist"/>
        <w:numPr>
          <w:ilvl w:val="0"/>
          <w:numId w:val="275"/>
        </w:numPr>
        <w:spacing w:line="300" w:lineRule="atLeast"/>
        <w:jc w:val="both"/>
        <w:rPr>
          <w:sz w:val="24"/>
          <w:szCs w:val="24"/>
        </w:rPr>
      </w:pPr>
      <w:r w:rsidRPr="00A104D1">
        <w:rPr>
          <w:sz w:val="24"/>
          <w:szCs w:val="24"/>
        </w:rPr>
        <w:t xml:space="preserve">pozyskane materiały dowodowe z przeprowadzonych działań wykorzystano </w:t>
      </w:r>
      <w:r w:rsidR="00A104D1">
        <w:rPr>
          <w:sz w:val="24"/>
          <w:szCs w:val="24"/>
        </w:rPr>
        <w:br/>
      </w:r>
      <w:r w:rsidRPr="00A104D1">
        <w:rPr>
          <w:sz w:val="24"/>
          <w:szCs w:val="24"/>
        </w:rPr>
        <w:t xml:space="preserve">w 5 postępowaniach administracyjnych, </w:t>
      </w:r>
    </w:p>
    <w:p w14:paraId="01905DD5" w14:textId="20B9520F" w:rsidR="00F015BA" w:rsidRPr="00A104D1" w:rsidRDefault="00F015BA" w:rsidP="00D34F97">
      <w:pPr>
        <w:pStyle w:val="Akapitzlist"/>
        <w:numPr>
          <w:ilvl w:val="0"/>
          <w:numId w:val="275"/>
        </w:numPr>
        <w:spacing w:line="300" w:lineRule="atLeast"/>
        <w:jc w:val="both"/>
        <w:rPr>
          <w:sz w:val="24"/>
          <w:szCs w:val="24"/>
        </w:rPr>
      </w:pPr>
      <w:r w:rsidRPr="00A104D1">
        <w:rPr>
          <w:sz w:val="24"/>
          <w:szCs w:val="24"/>
        </w:rPr>
        <w:t>7 razy zarekomendowano o prowadzenie dalszych działań w ramach kontroli w terenie z ustalonym podmiotem,</w:t>
      </w:r>
    </w:p>
    <w:p w14:paraId="1A6C660F" w14:textId="5BBA7D8F" w:rsidR="00F015BA" w:rsidRPr="00A104D1" w:rsidRDefault="00F015BA" w:rsidP="00D34F97">
      <w:pPr>
        <w:pStyle w:val="Akapitzlist"/>
        <w:numPr>
          <w:ilvl w:val="0"/>
          <w:numId w:val="275"/>
        </w:numPr>
        <w:spacing w:line="300" w:lineRule="atLeast"/>
        <w:jc w:val="both"/>
        <w:rPr>
          <w:sz w:val="24"/>
          <w:szCs w:val="24"/>
        </w:rPr>
      </w:pPr>
      <w:r w:rsidRPr="00A104D1">
        <w:rPr>
          <w:sz w:val="24"/>
          <w:szCs w:val="24"/>
        </w:rPr>
        <w:t>przeprowadzono 15 kontroli w terenie bez ustalonego podmiotu,</w:t>
      </w:r>
    </w:p>
    <w:p w14:paraId="0A69E4F4" w14:textId="7840A903" w:rsidR="00F015BA" w:rsidRPr="00A104D1" w:rsidRDefault="00F015BA" w:rsidP="00D34F97">
      <w:pPr>
        <w:pStyle w:val="Akapitzlist"/>
        <w:numPr>
          <w:ilvl w:val="0"/>
          <w:numId w:val="275"/>
        </w:numPr>
        <w:spacing w:after="120" w:line="300" w:lineRule="atLeast"/>
        <w:ind w:left="714" w:hanging="357"/>
        <w:contextualSpacing w:val="0"/>
        <w:jc w:val="both"/>
        <w:rPr>
          <w:sz w:val="24"/>
          <w:szCs w:val="24"/>
        </w:rPr>
      </w:pPr>
      <w:r w:rsidRPr="00A104D1">
        <w:rPr>
          <w:sz w:val="24"/>
          <w:szCs w:val="24"/>
        </w:rPr>
        <w:t>skierowano 12 wystąpień do innych organów.</w:t>
      </w:r>
    </w:p>
    <w:p w14:paraId="1B811233" w14:textId="77777777" w:rsidR="00F015BA" w:rsidRPr="00F015BA" w:rsidRDefault="00F015BA" w:rsidP="00A104D1">
      <w:pPr>
        <w:spacing w:after="60" w:line="300" w:lineRule="atLeast"/>
        <w:jc w:val="both"/>
        <w:rPr>
          <w:rFonts w:ascii="Times New Roman" w:hAnsi="Times New Roman" w:cs="Times New Roman"/>
          <w:sz w:val="24"/>
          <w:szCs w:val="24"/>
        </w:rPr>
      </w:pPr>
      <w:r w:rsidRPr="00F015BA">
        <w:rPr>
          <w:rFonts w:ascii="Times New Roman" w:hAnsi="Times New Roman" w:cs="Times New Roman"/>
          <w:sz w:val="24"/>
          <w:szCs w:val="24"/>
        </w:rPr>
        <w:t>W wyniku działań, podjętych w związku z art. 10b ustawy o inspekcji, w 2022 r.:</w:t>
      </w:r>
    </w:p>
    <w:p w14:paraId="41A3F2CA" w14:textId="3950889F" w:rsidR="00F015BA" w:rsidRPr="00A104D1" w:rsidRDefault="00F015BA" w:rsidP="00D34F97">
      <w:pPr>
        <w:pStyle w:val="Akapitzlist"/>
        <w:numPr>
          <w:ilvl w:val="0"/>
          <w:numId w:val="276"/>
        </w:numPr>
        <w:spacing w:line="300" w:lineRule="atLeast"/>
        <w:jc w:val="both"/>
        <w:rPr>
          <w:sz w:val="24"/>
          <w:szCs w:val="24"/>
        </w:rPr>
      </w:pPr>
      <w:r w:rsidRPr="00A104D1">
        <w:rPr>
          <w:sz w:val="24"/>
          <w:szCs w:val="24"/>
        </w:rPr>
        <w:t xml:space="preserve">pozyskane materiały dowodowe z przeprowadzonych działań wykorzystano </w:t>
      </w:r>
      <w:r w:rsidR="00A104D1">
        <w:rPr>
          <w:sz w:val="24"/>
          <w:szCs w:val="24"/>
        </w:rPr>
        <w:br/>
      </w:r>
      <w:r w:rsidRPr="00A104D1">
        <w:rPr>
          <w:sz w:val="24"/>
          <w:szCs w:val="24"/>
        </w:rPr>
        <w:t xml:space="preserve">w 7 postępowaniach administracyjnych, </w:t>
      </w:r>
    </w:p>
    <w:p w14:paraId="49A5F511" w14:textId="59343828" w:rsidR="00F015BA" w:rsidRPr="00A104D1" w:rsidRDefault="00F015BA" w:rsidP="00D34F97">
      <w:pPr>
        <w:pStyle w:val="Akapitzlist"/>
        <w:numPr>
          <w:ilvl w:val="0"/>
          <w:numId w:val="276"/>
        </w:numPr>
        <w:spacing w:line="300" w:lineRule="atLeast"/>
        <w:jc w:val="both"/>
        <w:rPr>
          <w:sz w:val="24"/>
          <w:szCs w:val="24"/>
        </w:rPr>
      </w:pPr>
      <w:r w:rsidRPr="00A104D1">
        <w:rPr>
          <w:sz w:val="24"/>
          <w:szCs w:val="24"/>
        </w:rPr>
        <w:t>15 razy zarekomendowano o prowadzenie dalszych działań w ramach kontroli w terenie z ustalonym podmiotem,</w:t>
      </w:r>
    </w:p>
    <w:p w14:paraId="7EB7642A" w14:textId="20DC2A53" w:rsidR="00F015BA" w:rsidRPr="00A104D1" w:rsidRDefault="00F015BA" w:rsidP="00D34F97">
      <w:pPr>
        <w:pStyle w:val="Akapitzlist"/>
        <w:numPr>
          <w:ilvl w:val="0"/>
          <w:numId w:val="276"/>
        </w:numPr>
        <w:spacing w:line="300" w:lineRule="atLeast"/>
        <w:jc w:val="both"/>
        <w:rPr>
          <w:sz w:val="24"/>
          <w:szCs w:val="24"/>
        </w:rPr>
      </w:pPr>
      <w:r w:rsidRPr="00A104D1">
        <w:rPr>
          <w:sz w:val="24"/>
          <w:szCs w:val="24"/>
        </w:rPr>
        <w:lastRenderedPageBreak/>
        <w:t>przeprowadzono 11 kontroli w terenie bez ustalonego podmiotu,</w:t>
      </w:r>
    </w:p>
    <w:p w14:paraId="4C6AAB2B" w14:textId="310FD726" w:rsidR="00F015BA" w:rsidRPr="00A104D1" w:rsidRDefault="00F015BA" w:rsidP="00D34F97">
      <w:pPr>
        <w:pStyle w:val="Akapitzlist"/>
        <w:numPr>
          <w:ilvl w:val="0"/>
          <w:numId w:val="276"/>
        </w:numPr>
        <w:spacing w:after="120" w:line="300" w:lineRule="atLeast"/>
        <w:ind w:left="714" w:hanging="357"/>
        <w:jc w:val="both"/>
        <w:rPr>
          <w:sz w:val="24"/>
          <w:szCs w:val="24"/>
        </w:rPr>
      </w:pPr>
      <w:r w:rsidRPr="00A104D1">
        <w:rPr>
          <w:sz w:val="24"/>
          <w:szCs w:val="24"/>
        </w:rPr>
        <w:t>skierowano 16 wystąpień do innych organów.</w:t>
      </w:r>
    </w:p>
    <w:p w14:paraId="333576F9" w14:textId="77777777" w:rsidR="00F015BA" w:rsidRPr="00F015BA" w:rsidRDefault="00F015BA" w:rsidP="00F015BA">
      <w:pPr>
        <w:spacing w:line="300" w:lineRule="atLeast"/>
        <w:contextualSpacing/>
        <w:jc w:val="both"/>
        <w:rPr>
          <w:rFonts w:ascii="Times New Roman" w:hAnsi="Times New Roman" w:cs="Times New Roman"/>
          <w:sz w:val="24"/>
          <w:szCs w:val="24"/>
        </w:rPr>
      </w:pPr>
      <w:r w:rsidRPr="00F015BA">
        <w:rPr>
          <w:rFonts w:ascii="Times New Roman" w:hAnsi="Times New Roman" w:cs="Times New Roman"/>
          <w:sz w:val="24"/>
          <w:szCs w:val="24"/>
        </w:rPr>
        <w:t>W 2022 r.  nie wniesiono aktów oskarżenia.</w:t>
      </w:r>
    </w:p>
    <w:p w14:paraId="25220CF2" w14:textId="77777777" w:rsidR="00F015BA" w:rsidRPr="00F015BA" w:rsidRDefault="00F015BA" w:rsidP="00F015BA">
      <w:pPr>
        <w:spacing w:line="300" w:lineRule="atLeast"/>
        <w:contextualSpacing/>
        <w:jc w:val="both"/>
        <w:rPr>
          <w:rFonts w:ascii="Times New Roman" w:hAnsi="Times New Roman" w:cs="Times New Roman"/>
          <w:i/>
          <w:sz w:val="24"/>
          <w:szCs w:val="24"/>
        </w:rPr>
      </w:pPr>
    </w:p>
    <w:p w14:paraId="26575544" w14:textId="77777777" w:rsidR="00F015BA" w:rsidRPr="00F015BA" w:rsidRDefault="00F015BA" w:rsidP="00A104D1">
      <w:pPr>
        <w:spacing w:after="60" w:line="300" w:lineRule="atLeast"/>
        <w:jc w:val="both"/>
        <w:rPr>
          <w:rFonts w:ascii="Times New Roman" w:hAnsi="Times New Roman" w:cs="Times New Roman"/>
          <w:i/>
          <w:color w:val="4472C4"/>
          <w:sz w:val="24"/>
          <w:szCs w:val="24"/>
        </w:rPr>
      </w:pPr>
      <w:r w:rsidRPr="00F015BA">
        <w:rPr>
          <w:rFonts w:ascii="Times New Roman" w:hAnsi="Times New Roman" w:cs="Times New Roman"/>
          <w:i/>
          <w:color w:val="4472C4"/>
          <w:sz w:val="24"/>
          <w:szCs w:val="24"/>
        </w:rPr>
        <w:t>Wojewódzki Inspektorat Ochrony Środowiska w Bydgoszczy</w:t>
      </w:r>
    </w:p>
    <w:p w14:paraId="7F6ED1C3" w14:textId="77777777" w:rsidR="00F015BA" w:rsidRPr="00F015BA" w:rsidRDefault="00F015BA" w:rsidP="002C016E">
      <w:pPr>
        <w:spacing w:line="300" w:lineRule="atLeast"/>
        <w:ind w:firstLine="567"/>
        <w:contextualSpacing/>
        <w:jc w:val="both"/>
        <w:rPr>
          <w:rFonts w:ascii="Times New Roman" w:hAnsi="Times New Roman" w:cs="Times New Roman"/>
          <w:iCs/>
          <w:sz w:val="24"/>
          <w:szCs w:val="24"/>
        </w:rPr>
      </w:pPr>
      <w:r w:rsidRPr="00F015BA">
        <w:rPr>
          <w:rFonts w:ascii="Times New Roman" w:hAnsi="Times New Roman" w:cs="Times New Roman"/>
          <w:iCs/>
          <w:sz w:val="24"/>
          <w:szCs w:val="24"/>
        </w:rPr>
        <w:t xml:space="preserve">W 2022 r. na podstawie czynności przeprowadzonych w trybie 10 b ustawy o  IOŚ wszczęto 24 kontrole, w tym 3 rozpoznania zanieczyszczenia w terenie. </w:t>
      </w:r>
    </w:p>
    <w:p w14:paraId="597231A8" w14:textId="4E3D461C" w:rsidR="00F015BA" w:rsidRPr="00F015BA" w:rsidRDefault="00F015BA" w:rsidP="002C016E">
      <w:pPr>
        <w:spacing w:line="300" w:lineRule="atLeast"/>
        <w:ind w:firstLine="567"/>
        <w:contextualSpacing/>
        <w:jc w:val="both"/>
        <w:rPr>
          <w:rFonts w:ascii="Times New Roman" w:hAnsi="Times New Roman" w:cs="Times New Roman"/>
          <w:iCs/>
          <w:sz w:val="24"/>
          <w:szCs w:val="24"/>
        </w:rPr>
      </w:pPr>
      <w:r w:rsidRPr="00F015BA">
        <w:rPr>
          <w:rFonts w:ascii="Times New Roman" w:hAnsi="Times New Roman" w:cs="Times New Roman"/>
          <w:iCs/>
          <w:sz w:val="24"/>
          <w:szCs w:val="24"/>
        </w:rPr>
        <w:t>Dla porównania</w:t>
      </w:r>
      <w:r w:rsidR="00A104D1">
        <w:rPr>
          <w:rFonts w:ascii="Times New Roman" w:hAnsi="Times New Roman" w:cs="Times New Roman"/>
          <w:iCs/>
          <w:sz w:val="24"/>
          <w:szCs w:val="24"/>
        </w:rPr>
        <w:t>,</w:t>
      </w:r>
      <w:r w:rsidRPr="00F015BA">
        <w:rPr>
          <w:rFonts w:ascii="Times New Roman" w:hAnsi="Times New Roman" w:cs="Times New Roman"/>
          <w:iCs/>
          <w:sz w:val="24"/>
          <w:szCs w:val="24"/>
        </w:rPr>
        <w:t xml:space="preserve"> w 2021 r. wszczęto 3 kontrole w związku z ustaleniami z czynności prowadzonych w trybie 10 b. </w:t>
      </w:r>
    </w:p>
    <w:p w14:paraId="0CE7D1C7" w14:textId="77777777" w:rsidR="00F015BA" w:rsidRPr="00F015BA" w:rsidRDefault="00F015BA" w:rsidP="00F015BA">
      <w:pPr>
        <w:spacing w:line="300" w:lineRule="atLeast"/>
        <w:contextualSpacing/>
        <w:jc w:val="both"/>
        <w:rPr>
          <w:rFonts w:ascii="Times New Roman" w:hAnsi="Times New Roman" w:cs="Times New Roman"/>
          <w:i/>
          <w:color w:val="4472C4"/>
          <w:sz w:val="24"/>
          <w:szCs w:val="24"/>
        </w:rPr>
      </w:pPr>
    </w:p>
    <w:p w14:paraId="3467674E" w14:textId="77777777" w:rsidR="00F015BA" w:rsidRPr="00F015BA" w:rsidRDefault="00F015BA" w:rsidP="00A104D1">
      <w:pPr>
        <w:spacing w:after="60" w:line="300" w:lineRule="atLeast"/>
        <w:jc w:val="both"/>
        <w:rPr>
          <w:rFonts w:ascii="Times New Roman" w:hAnsi="Times New Roman" w:cs="Times New Roman"/>
          <w:i/>
          <w:color w:val="4472C4"/>
          <w:sz w:val="24"/>
          <w:szCs w:val="24"/>
        </w:rPr>
      </w:pPr>
      <w:r w:rsidRPr="00F015BA">
        <w:rPr>
          <w:rFonts w:ascii="Times New Roman" w:hAnsi="Times New Roman" w:cs="Times New Roman"/>
          <w:i/>
          <w:color w:val="4472C4"/>
          <w:sz w:val="24"/>
          <w:szCs w:val="24"/>
        </w:rPr>
        <w:t>Wojewódzki Inspektorat Ochrony Środowiska w Gdańsku</w:t>
      </w:r>
    </w:p>
    <w:p w14:paraId="7DF2F506" w14:textId="00E7F2DE" w:rsidR="00F015BA" w:rsidRPr="00F015BA" w:rsidRDefault="00F015BA" w:rsidP="002C016E">
      <w:pPr>
        <w:autoSpaceDE w:val="0"/>
        <w:autoSpaceDN w:val="0"/>
        <w:adjustRightInd w:val="0"/>
        <w:spacing w:line="300" w:lineRule="atLeast"/>
        <w:ind w:firstLine="567"/>
        <w:contextualSpacing/>
        <w:jc w:val="both"/>
        <w:rPr>
          <w:rFonts w:ascii="Times New Roman" w:hAnsi="Times New Roman" w:cs="Times New Roman"/>
          <w:sz w:val="24"/>
          <w:szCs w:val="24"/>
        </w:rPr>
      </w:pPr>
      <w:r w:rsidRPr="00F015BA">
        <w:rPr>
          <w:rFonts w:ascii="Times New Roman" w:hAnsi="Times New Roman" w:cs="Times New Roman"/>
          <w:sz w:val="24"/>
          <w:szCs w:val="24"/>
        </w:rPr>
        <w:t>Ustalenia z czynności w trybie art. 10b zostały wykorzystane w 97 postępowaniach administracyjnych dotyczących przede wszystkim administracyjnych kar pieniężnych za naruszenie obowiązków z ustawy o odpadach oraz decyzji wstrzymujących z art. 32 ust. 1 tej ustawy. Część z tych postępowań została przeprowadzona w 2022 roku, a dotyczy czynności zrealizowanych w roku 2021 r. Jest to istotny wzrost w porównaniu z rokiem poprzednim. Ustalenia z czynności w ww. trybie stanowiły podstawę do złożenia 8 zawiadomień do organów ścigania. Jest to liczba podobna jak w roku poprzednim (7). Na  podstawie ustaleń z tych czynności wystawiono w 2022 roku 24 mandaty karne na łączną kwotę 7</w:t>
      </w:r>
      <w:r w:rsidR="00A104D1">
        <w:rPr>
          <w:rFonts w:ascii="Times New Roman" w:hAnsi="Times New Roman" w:cs="Times New Roman"/>
          <w:sz w:val="24"/>
          <w:szCs w:val="24"/>
        </w:rPr>
        <w:t xml:space="preserve"> </w:t>
      </w:r>
      <w:r w:rsidRPr="00F015BA">
        <w:rPr>
          <w:rFonts w:ascii="Times New Roman" w:hAnsi="Times New Roman" w:cs="Times New Roman"/>
          <w:sz w:val="24"/>
          <w:szCs w:val="24"/>
        </w:rPr>
        <w:t>500 zł.</w:t>
      </w:r>
    </w:p>
    <w:p w14:paraId="6CAED147" w14:textId="77777777" w:rsidR="00F015BA" w:rsidRPr="00F015BA" w:rsidRDefault="00F015BA" w:rsidP="00F015BA">
      <w:pPr>
        <w:spacing w:line="300" w:lineRule="atLeast"/>
        <w:contextualSpacing/>
        <w:jc w:val="both"/>
        <w:rPr>
          <w:rFonts w:ascii="Times New Roman" w:hAnsi="Times New Roman" w:cs="Times New Roman"/>
          <w:i/>
          <w:color w:val="4472C4"/>
          <w:sz w:val="24"/>
          <w:szCs w:val="24"/>
        </w:rPr>
      </w:pPr>
    </w:p>
    <w:p w14:paraId="099F726E" w14:textId="77777777" w:rsidR="00F015BA" w:rsidRPr="00F015BA" w:rsidRDefault="00F015BA" w:rsidP="00A104D1">
      <w:pPr>
        <w:spacing w:after="60" w:line="300" w:lineRule="atLeast"/>
        <w:jc w:val="both"/>
        <w:rPr>
          <w:rFonts w:ascii="Times New Roman" w:hAnsi="Times New Roman" w:cs="Times New Roman"/>
          <w:i/>
          <w:color w:val="4472C4"/>
          <w:sz w:val="24"/>
          <w:szCs w:val="24"/>
        </w:rPr>
      </w:pPr>
      <w:r w:rsidRPr="00F015BA">
        <w:rPr>
          <w:rFonts w:ascii="Times New Roman" w:hAnsi="Times New Roman" w:cs="Times New Roman"/>
          <w:i/>
          <w:color w:val="4472C4"/>
          <w:sz w:val="24"/>
          <w:szCs w:val="24"/>
        </w:rPr>
        <w:t>Wojewódzki Inspektorat Ochrony Środowiska w Katowicach</w:t>
      </w:r>
    </w:p>
    <w:p w14:paraId="44F58D26" w14:textId="77D42D85" w:rsidR="00F015BA" w:rsidRPr="00F015BA" w:rsidRDefault="00F015BA" w:rsidP="00A104D1">
      <w:pPr>
        <w:spacing w:after="60" w:line="300" w:lineRule="atLeast"/>
        <w:ind w:firstLine="567"/>
        <w:jc w:val="both"/>
        <w:rPr>
          <w:rFonts w:ascii="Times New Roman" w:hAnsi="Times New Roman" w:cs="Times New Roman"/>
          <w:sz w:val="24"/>
          <w:szCs w:val="24"/>
        </w:rPr>
      </w:pPr>
      <w:r w:rsidRPr="00F015BA">
        <w:rPr>
          <w:rFonts w:ascii="Times New Roman" w:hAnsi="Times New Roman" w:cs="Times New Roman"/>
          <w:sz w:val="24"/>
          <w:szCs w:val="24"/>
        </w:rPr>
        <w:t xml:space="preserve">W związku zacieśnieniem współpracy pomiędzy Inspekcją Ochrony Środowiska, </w:t>
      </w:r>
      <w:r w:rsidR="00A104D1">
        <w:rPr>
          <w:rFonts w:ascii="Times New Roman" w:hAnsi="Times New Roman" w:cs="Times New Roman"/>
          <w:sz w:val="24"/>
          <w:szCs w:val="24"/>
        </w:rPr>
        <w:br/>
      </w:r>
      <w:r w:rsidRPr="00F015BA">
        <w:rPr>
          <w:rFonts w:ascii="Times New Roman" w:hAnsi="Times New Roman" w:cs="Times New Roman"/>
          <w:sz w:val="24"/>
          <w:szCs w:val="24"/>
        </w:rPr>
        <w:t xml:space="preserve">a organami ścigania wykrywalność nieprawidłowości, w tym przestępstw w zakresie ochrony środowiska, wzrosła. Aktualnie kontynuowane są w Prokuraturze Regionalnej postępowania przygotowawcze (6 postępowań), do których włączeni są Inspektorzy WIOŚ w Katowicach – śledztwa są kontynuacją działań prowadzonych już w 2021 r. a prowadzone są w zakresie zorganizowanych grup przestępczych, oraz postępowania na poziomie prokuratur Rejonowych i Okręgowych (w tym spraw z poprzednich lat – Łącznie 28 postępowań) związanych </w:t>
      </w:r>
      <w:r w:rsidR="00A104D1">
        <w:rPr>
          <w:rFonts w:ascii="Times New Roman" w:hAnsi="Times New Roman" w:cs="Times New Roman"/>
          <w:sz w:val="24"/>
          <w:szCs w:val="24"/>
        </w:rPr>
        <w:br/>
      </w:r>
      <w:r w:rsidRPr="00F015BA">
        <w:rPr>
          <w:rFonts w:ascii="Times New Roman" w:hAnsi="Times New Roman" w:cs="Times New Roman"/>
          <w:sz w:val="24"/>
          <w:szCs w:val="24"/>
        </w:rPr>
        <w:t>z przestępstwami przeciwko środowisku lub utrudnianiem Inspektorom WIOŚ wykonywanie czynności służbowych.</w:t>
      </w:r>
    </w:p>
    <w:p w14:paraId="1B34C492" w14:textId="62211E73" w:rsidR="00F015BA" w:rsidRPr="00F015BA" w:rsidRDefault="00F71165" w:rsidP="00A104D1">
      <w:pPr>
        <w:spacing w:after="60" w:line="300" w:lineRule="atLeast"/>
        <w:jc w:val="both"/>
        <w:rPr>
          <w:rFonts w:ascii="Times New Roman" w:hAnsi="Times New Roman" w:cs="Times New Roman"/>
          <w:sz w:val="24"/>
          <w:szCs w:val="24"/>
        </w:rPr>
      </w:pPr>
      <w:r>
        <w:rPr>
          <w:rFonts w:ascii="Times New Roman" w:hAnsi="Times New Roman" w:cs="Times New Roman"/>
          <w:sz w:val="24"/>
          <w:szCs w:val="24"/>
        </w:rPr>
        <w:t>S</w:t>
      </w:r>
      <w:r w:rsidR="00F015BA" w:rsidRPr="00F015BA">
        <w:rPr>
          <w:rFonts w:ascii="Times New Roman" w:hAnsi="Times New Roman" w:cs="Times New Roman"/>
          <w:sz w:val="24"/>
          <w:szCs w:val="24"/>
        </w:rPr>
        <w:t xml:space="preserve">tatystyki dotyczące </w:t>
      </w:r>
      <w:r>
        <w:rPr>
          <w:rFonts w:ascii="Times New Roman" w:hAnsi="Times New Roman" w:cs="Times New Roman"/>
          <w:sz w:val="24"/>
          <w:szCs w:val="24"/>
        </w:rPr>
        <w:t xml:space="preserve">roku </w:t>
      </w:r>
      <w:r w:rsidR="00F015BA" w:rsidRPr="00F015BA">
        <w:rPr>
          <w:rFonts w:ascii="Times New Roman" w:hAnsi="Times New Roman" w:cs="Times New Roman"/>
          <w:sz w:val="24"/>
          <w:szCs w:val="24"/>
        </w:rPr>
        <w:t>2022 przedstawiają się następująco:</w:t>
      </w:r>
    </w:p>
    <w:p w14:paraId="5265DFBE" w14:textId="77777777" w:rsidR="00F015BA" w:rsidRPr="00F015BA" w:rsidRDefault="00F015BA" w:rsidP="00D34F97">
      <w:pPr>
        <w:pStyle w:val="Akapitzlist"/>
        <w:numPr>
          <w:ilvl w:val="0"/>
          <w:numId w:val="277"/>
        </w:numPr>
        <w:spacing w:line="300" w:lineRule="atLeast"/>
        <w:ind w:left="641" w:hanging="357"/>
        <w:jc w:val="both"/>
        <w:rPr>
          <w:sz w:val="24"/>
          <w:szCs w:val="24"/>
        </w:rPr>
      </w:pPr>
      <w:r w:rsidRPr="00F015BA">
        <w:rPr>
          <w:sz w:val="24"/>
          <w:szCs w:val="24"/>
        </w:rPr>
        <w:t xml:space="preserve"> Liczba wniosków do organów ścigania – 37, w tym 18 spraw zakończonych orzeczeniem o winie, </w:t>
      </w:r>
    </w:p>
    <w:p w14:paraId="29455989" w14:textId="7E4A44E9" w:rsidR="00F015BA" w:rsidRPr="00F015BA" w:rsidRDefault="00F015BA" w:rsidP="00D34F97">
      <w:pPr>
        <w:pStyle w:val="Akapitzlist"/>
        <w:numPr>
          <w:ilvl w:val="0"/>
          <w:numId w:val="277"/>
        </w:numPr>
        <w:spacing w:line="300" w:lineRule="atLeast"/>
        <w:ind w:left="641" w:hanging="357"/>
        <w:jc w:val="both"/>
        <w:rPr>
          <w:sz w:val="24"/>
          <w:szCs w:val="24"/>
        </w:rPr>
      </w:pPr>
      <w:r w:rsidRPr="00F015BA">
        <w:rPr>
          <w:sz w:val="24"/>
          <w:szCs w:val="24"/>
        </w:rPr>
        <w:t>Liczba zawiadomień do Prokuratury z art. 183 ustawy Kodeks karny – 6 oraz do policji – 1, z czego w trzech przypadkach wszczęte zostało postępowanie przygotowawcze</w:t>
      </w:r>
      <w:r w:rsidR="00A104D1">
        <w:rPr>
          <w:sz w:val="24"/>
          <w:szCs w:val="24"/>
          <w:lang w:val="pl-PL"/>
        </w:rPr>
        <w:t>.</w:t>
      </w:r>
    </w:p>
    <w:p w14:paraId="6488AA9E" w14:textId="77777777" w:rsidR="00F015BA" w:rsidRPr="00F015BA" w:rsidRDefault="00F015BA" w:rsidP="00F015BA">
      <w:pPr>
        <w:spacing w:line="300" w:lineRule="atLeast"/>
        <w:contextualSpacing/>
        <w:jc w:val="both"/>
        <w:rPr>
          <w:rFonts w:ascii="Times New Roman" w:hAnsi="Times New Roman" w:cs="Times New Roman"/>
          <w:i/>
          <w:color w:val="4472C4"/>
          <w:sz w:val="24"/>
          <w:szCs w:val="24"/>
        </w:rPr>
      </w:pPr>
    </w:p>
    <w:p w14:paraId="6A066509" w14:textId="77777777" w:rsidR="00F015BA" w:rsidRPr="00F015BA" w:rsidRDefault="00F015BA" w:rsidP="002C016E">
      <w:pPr>
        <w:spacing w:after="60" w:line="300" w:lineRule="atLeast"/>
        <w:jc w:val="both"/>
        <w:rPr>
          <w:rFonts w:ascii="Times New Roman" w:hAnsi="Times New Roman" w:cs="Times New Roman"/>
          <w:i/>
          <w:color w:val="4472C4"/>
          <w:sz w:val="24"/>
          <w:szCs w:val="24"/>
        </w:rPr>
      </w:pPr>
      <w:r w:rsidRPr="00F015BA">
        <w:rPr>
          <w:rFonts w:ascii="Times New Roman" w:hAnsi="Times New Roman" w:cs="Times New Roman"/>
          <w:i/>
          <w:color w:val="4472C4"/>
          <w:sz w:val="24"/>
          <w:szCs w:val="24"/>
        </w:rPr>
        <w:t>Wojewódzki Inspektorat Ochrony Środowiska w Kielcach</w:t>
      </w:r>
    </w:p>
    <w:p w14:paraId="125EEADB" w14:textId="0CB88600" w:rsidR="00F015BA" w:rsidRPr="00F015BA" w:rsidRDefault="00F015BA" w:rsidP="00A104D1">
      <w:pPr>
        <w:spacing w:line="300" w:lineRule="atLeast"/>
        <w:ind w:firstLine="708"/>
        <w:contextualSpacing/>
        <w:jc w:val="both"/>
        <w:rPr>
          <w:rFonts w:ascii="Times New Roman" w:hAnsi="Times New Roman" w:cs="Times New Roman"/>
          <w:sz w:val="24"/>
          <w:szCs w:val="24"/>
        </w:rPr>
      </w:pPr>
      <w:r w:rsidRPr="00F015BA">
        <w:rPr>
          <w:rFonts w:ascii="Times New Roman" w:hAnsi="Times New Roman" w:cs="Times New Roman"/>
          <w:sz w:val="24"/>
          <w:szCs w:val="24"/>
        </w:rPr>
        <w:t xml:space="preserve">W 2022 roku, na podstawie art. 10b ust. 2 </w:t>
      </w:r>
      <w:bookmarkStart w:id="327" w:name="_Hlk64103497"/>
      <w:r w:rsidRPr="00F015BA">
        <w:rPr>
          <w:rFonts w:ascii="Times New Roman" w:hAnsi="Times New Roman" w:cs="Times New Roman"/>
          <w:sz w:val="24"/>
          <w:szCs w:val="24"/>
        </w:rPr>
        <w:t>ustawy  dnia 20 lipca 1991 r. o Inspekcji Ochrony Środowiska</w:t>
      </w:r>
      <w:bookmarkEnd w:id="327"/>
      <w:r w:rsidRPr="00F015BA">
        <w:rPr>
          <w:rFonts w:ascii="Times New Roman" w:hAnsi="Times New Roman" w:cs="Times New Roman"/>
          <w:sz w:val="24"/>
          <w:szCs w:val="24"/>
        </w:rPr>
        <w:t xml:space="preserve">, w związku z podejrzeniem prowadzenia nielegalnego demontażu pojazdów, porzucaniem, zakopywaniem oraz spalaniem odpadów, a także w związku </w:t>
      </w:r>
      <w:r w:rsidR="00A104D1">
        <w:rPr>
          <w:rFonts w:ascii="Times New Roman" w:hAnsi="Times New Roman" w:cs="Times New Roman"/>
          <w:sz w:val="24"/>
          <w:szCs w:val="24"/>
        </w:rPr>
        <w:br/>
      </w:r>
      <w:r w:rsidRPr="00F015BA">
        <w:rPr>
          <w:rFonts w:ascii="Times New Roman" w:hAnsi="Times New Roman" w:cs="Times New Roman"/>
          <w:sz w:val="24"/>
          <w:szCs w:val="24"/>
        </w:rPr>
        <w:t xml:space="preserve">z podejrzeniem nielegalnego gospodarowania odpadami, wydzielony w strukturze Wydziału Inspekcji WIOŚ w Kielcach Dział do Walki z Szarą Strefą (obecnie Wydział Zwalczania Przestępczości Środowiskowej), </w:t>
      </w:r>
      <w:r w:rsidR="00A104D1">
        <w:rPr>
          <w:rFonts w:ascii="Times New Roman" w:hAnsi="Times New Roman" w:cs="Times New Roman"/>
          <w:sz w:val="24"/>
          <w:szCs w:val="24"/>
        </w:rPr>
        <w:t xml:space="preserve">sporządził </w:t>
      </w:r>
      <w:r w:rsidRPr="00F015BA">
        <w:rPr>
          <w:rFonts w:ascii="Times New Roman" w:hAnsi="Times New Roman" w:cs="Times New Roman"/>
          <w:iCs/>
          <w:sz w:val="24"/>
          <w:szCs w:val="24"/>
        </w:rPr>
        <w:t xml:space="preserve">89 notatek z czynności w trybie art. 10b ustawy </w:t>
      </w:r>
      <w:r w:rsidR="00A104D1">
        <w:rPr>
          <w:rFonts w:ascii="Times New Roman" w:hAnsi="Times New Roman" w:cs="Times New Roman"/>
          <w:iCs/>
          <w:sz w:val="24"/>
          <w:szCs w:val="24"/>
        </w:rPr>
        <w:br/>
      </w:r>
      <w:r w:rsidRPr="00F015BA">
        <w:rPr>
          <w:rFonts w:ascii="Times New Roman" w:hAnsi="Times New Roman" w:cs="Times New Roman"/>
          <w:iCs/>
          <w:sz w:val="24"/>
          <w:szCs w:val="24"/>
        </w:rPr>
        <w:t>o IOŚ. W ramach tych działań wykonano 186 rodzajów czynności, które w przeważającej większości polegały</w:t>
      </w:r>
      <w:r w:rsidRPr="00F015BA">
        <w:rPr>
          <w:rFonts w:ascii="Times New Roman" w:hAnsi="Times New Roman" w:cs="Times New Roman"/>
          <w:sz w:val="24"/>
          <w:szCs w:val="24"/>
        </w:rPr>
        <w:t xml:space="preserve"> na obserwowaniu i rejestrowaniu obrazu przy użyciu środków </w:t>
      </w:r>
      <w:r w:rsidRPr="00F015BA">
        <w:rPr>
          <w:rFonts w:ascii="Times New Roman" w:hAnsi="Times New Roman" w:cs="Times New Roman"/>
          <w:sz w:val="24"/>
          <w:szCs w:val="24"/>
        </w:rPr>
        <w:lastRenderedPageBreak/>
        <w:t xml:space="preserve">technicznych, w tym technik satelitarnych i bezzałogowych statków powietrznych, obrazu zdarzeń oraz dźwięku towarzyszącego tym zdarzeniom, gromadzeniu i zabezpieczaniu dowodów popełnienia przestępstwa lub wykroczenia oraz żądaniu pisemnych lub ustnych informacji. W związku z tymi działaniami w 2022 r. skierowano 50 wniosków, w tym: 17 do administracji samorządowej, 15 do administracji rządowej, 7 do organów ścigania, 1 o ukaranie do sądu oraz 10 do innych podmiotów. </w:t>
      </w:r>
    </w:p>
    <w:p w14:paraId="5E648C34" w14:textId="511119CA" w:rsidR="00F015BA" w:rsidRPr="00F015BA" w:rsidRDefault="00F015BA" w:rsidP="00A104D1">
      <w:pPr>
        <w:spacing w:line="300" w:lineRule="atLeast"/>
        <w:ind w:firstLine="567"/>
        <w:contextualSpacing/>
        <w:jc w:val="both"/>
        <w:rPr>
          <w:rFonts w:ascii="Times New Roman" w:hAnsi="Times New Roman" w:cs="Times New Roman"/>
          <w:sz w:val="24"/>
          <w:szCs w:val="24"/>
        </w:rPr>
      </w:pPr>
      <w:r w:rsidRPr="00F015BA">
        <w:rPr>
          <w:rFonts w:ascii="Times New Roman" w:hAnsi="Times New Roman" w:cs="Times New Roman"/>
          <w:sz w:val="24"/>
          <w:szCs w:val="24"/>
        </w:rPr>
        <w:t xml:space="preserve">Na podstawie podejmowanych działań w trybie art. 10b ustawy o IOŚ  wszczynano również kontrole pod kątem przestrzegania przepisów i decyzji administracyjnych w zakresie ochrony środowiska i gospodarki odpadami, co skutkowało szeregiem działań pokontrolnych, m.in. kierowaniem zarządzeń pokontrolnych, wszczęciem postępowań administracyjnych </w:t>
      </w:r>
      <w:r w:rsidR="00A104D1">
        <w:rPr>
          <w:rFonts w:ascii="Times New Roman" w:hAnsi="Times New Roman" w:cs="Times New Roman"/>
          <w:sz w:val="24"/>
          <w:szCs w:val="24"/>
        </w:rPr>
        <w:br/>
      </w:r>
      <w:r w:rsidRPr="00F015BA">
        <w:rPr>
          <w:rFonts w:ascii="Times New Roman" w:hAnsi="Times New Roman" w:cs="Times New Roman"/>
          <w:sz w:val="24"/>
          <w:szCs w:val="24"/>
        </w:rPr>
        <w:t xml:space="preserve">w sprawie nałożenia kar administracyjnych oraz wstrzymania działalności podmiotów </w:t>
      </w:r>
      <w:r w:rsidR="00A104D1">
        <w:rPr>
          <w:rFonts w:ascii="Times New Roman" w:hAnsi="Times New Roman" w:cs="Times New Roman"/>
          <w:sz w:val="24"/>
          <w:szCs w:val="24"/>
        </w:rPr>
        <w:br/>
      </w:r>
      <w:r w:rsidRPr="00F015BA">
        <w:rPr>
          <w:rFonts w:ascii="Times New Roman" w:hAnsi="Times New Roman" w:cs="Times New Roman"/>
          <w:sz w:val="24"/>
          <w:szCs w:val="24"/>
        </w:rPr>
        <w:t>w zakresie, w którym stwierdzono naruszenia przepisów, informowaniem odpowiednich organów o ustaleniach kontroli oraz kierowaniem wniosków o podjęcie działań zgodnie z kompetencjami.</w:t>
      </w:r>
    </w:p>
    <w:p w14:paraId="52638D04" w14:textId="77777777" w:rsidR="00F015BA" w:rsidRPr="00F015BA" w:rsidRDefault="00F015BA" w:rsidP="002F7BD2">
      <w:pPr>
        <w:spacing w:after="120" w:line="300" w:lineRule="atLeast"/>
        <w:ind w:firstLine="567"/>
        <w:jc w:val="both"/>
        <w:rPr>
          <w:rFonts w:ascii="Times New Roman" w:hAnsi="Times New Roman" w:cs="Times New Roman"/>
          <w:sz w:val="24"/>
          <w:szCs w:val="24"/>
          <w:lang w:eastAsia="x-none"/>
        </w:rPr>
      </w:pPr>
      <w:r w:rsidRPr="00F015BA">
        <w:rPr>
          <w:rFonts w:ascii="Times New Roman" w:hAnsi="Times New Roman" w:cs="Times New Roman"/>
          <w:sz w:val="24"/>
          <w:szCs w:val="24"/>
          <w:lang w:eastAsia="x-none"/>
        </w:rPr>
        <w:t>Poniżej przedstawiono porównanie liczny postępowań, w których dowód stanowiły informacje uzyskane w trybie art. 10b ustawy o IOŚ:</w:t>
      </w:r>
    </w:p>
    <w:p w14:paraId="5025C265" w14:textId="0904BDF7" w:rsidR="00F015BA" w:rsidRPr="00362F8C" w:rsidRDefault="00362F8C" w:rsidP="006934C8">
      <w:pPr>
        <w:spacing w:after="60" w:line="300" w:lineRule="atLeast"/>
        <w:ind w:firstLine="567"/>
        <w:jc w:val="center"/>
        <w:rPr>
          <w:rFonts w:ascii="Times New Roman" w:hAnsi="Times New Roman" w:cs="Times New Roman"/>
          <w:b/>
          <w:lang w:eastAsia="x-none"/>
        </w:rPr>
      </w:pPr>
      <w:r w:rsidRPr="00362F8C">
        <w:rPr>
          <w:rFonts w:ascii="Times New Roman" w:hAnsi="Times New Roman" w:cs="Times New Roman"/>
          <w:b/>
        </w:rPr>
        <w:t xml:space="preserve">Tabela 19. Rok </w:t>
      </w:r>
      <w:r w:rsidR="00F015BA" w:rsidRPr="00362F8C">
        <w:rPr>
          <w:rFonts w:ascii="Times New Roman" w:hAnsi="Times New Roman" w:cs="Times New Roman"/>
          <w:b/>
        </w:rPr>
        <w:t>2021</w:t>
      </w:r>
    </w:p>
    <w:tbl>
      <w:tblPr>
        <w:tblW w:w="6460" w:type="dxa"/>
        <w:tblInd w:w="1416" w:type="dxa"/>
        <w:tblCellMar>
          <w:left w:w="70" w:type="dxa"/>
          <w:right w:w="70" w:type="dxa"/>
        </w:tblCellMar>
        <w:tblLook w:val="04A0" w:firstRow="1" w:lastRow="0" w:firstColumn="1" w:lastColumn="0" w:noHBand="0" w:noVBand="1"/>
      </w:tblPr>
      <w:tblGrid>
        <w:gridCol w:w="1740"/>
        <w:gridCol w:w="1600"/>
        <w:gridCol w:w="3120"/>
      </w:tblGrid>
      <w:tr w:rsidR="00F015BA" w:rsidRPr="00F015BA" w14:paraId="29B53882" w14:textId="77777777" w:rsidTr="00A104D1">
        <w:trPr>
          <w:trHeight w:val="1335"/>
        </w:trPr>
        <w:tc>
          <w:tcPr>
            <w:tcW w:w="6460" w:type="dxa"/>
            <w:gridSpan w:val="3"/>
            <w:tcBorders>
              <w:top w:val="double" w:sz="6" w:space="0" w:color="auto"/>
              <w:left w:val="single" w:sz="4" w:space="0" w:color="auto"/>
              <w:bottom w:val="single" w:sz="4" w:space="0" w:color="auto"/>
              <w:right w:val="single" w:sz="4" w:space="0" w:color="000000"/>
            </w:tcBorders>
            <w:shd w:val="clear" w:color="auto" w:fill="DCE6F1"/>
            <w:vAlign w:val="center"/>
            <w:hideMark/>
          </w:tcPr>
          <w:p w14:paraId="539F84C4" w14:textId="6FDB11B4" w:rsidR="00F015BA" w:rsidRPr="00F015BA" w:rsidRDefault="00F015BA" w:rsidP="00A104D1">
            <w:pPr>
              <w:spacing w:line="300" w:lineRule="atLeast"/>
              <w:contextualSpacing/>
              <w:jc w:val="center"/>
              <w:rPr>
                <w:rFonts w:ascii="Times New Roman" w:hAnsi="Times New Roman" w:cs="Times New Roman"/>
                <w:color w:val="000000"/>
                <w:sz w:val="24"/>
                <w:szCs w:val="24"/>
              </w:rPr>
            </w:pPr>
            <w:r w:rsidRPr="00F015BA">
              <w:rPr>
                <w:rFonts w:ascii="Times New Roman" w:hAnsi="Times New Roman" w:cs="Times New Roman"/>
                <w:color w:val="000000"/>
                <w:sz w:val="24"/>
                <w:szCs w:val="24"/>
              </w:rPr>
              <w:t xml:space="preserve">Liczba postępowań, w których dowód stanowiły informacje uzyskane w czasie prowadzenia czynności, o których mowa </w:t>
            </w:r>
            <w:r w:rsidR="00362F8C">
              <w:rPr>
                <w:rFonts w:ascii="Times New Roman" w:hAnsi="Times New Roman" w:cs="Times New Roman"/>
                <w:color w:val="000000"/>
                <w:sz w:val="24"/>
                <w:szCs w:val="24"/>
              </w:rPr>
              <w:br/>
            </w:r>
            <w:r w:rsidRPr="00F015BA">
              <w:rPr>
                <w:rFonts w:ascii="Times New Roman" w:hAnsi="Times New Roman" w:cs="Times New Roman"/>
                <w:color w:val="000000"/>
                <w:sz w:val="24"/>
                <w:szCs w:val="24"/>
              </w:rPr>
              <w:t xml:space="preserve">w art. 10b ust. 2 </w:t>
            </w:r>
            <w:proofErr w:type="spellStart"/>
            <w:r w:rsidRPr="00F015BA">
              <w:rPr>
                <w:rFonts w:ascii="Times New Roman" w:hAnsi="Times New Roman" w:cs="Times New Roman"/>
                <w:color w:val="000000"/>
                <w:sz w:val="24"/>
                <w:szCs w:val="24"/>
              </w:rPr>
              <w:t>u.i.o.ś</w:t>
            </w:r>
            <w:proofErr w:type="spellEnd"/>
            <w:r w:rsidRPr="00F015BA">
              <w:rPr>
                <w:rFonts w:ascii="Times New Roman" w:hAnsi="Times New Roman" w:cs="Times New Roman"/>
                <w:color w:val="000000"/>
                <w:sz w:val="24"/>
                <w:szCs w:val="24"/>
              </w:rPr>
              <w:t>.</w:t>
            </w:r>
          </w:p>
        </w:tc>
      </w:tr>
      <w:tr w:rsidR="00F015BA" w:rsidRPr="00F015BA" w14:paraId="375E3923" w14:textId="77777777" w:rsidTr="00A104D1">
        <w:trPr>
          <w:trHeight w:val="930"/>
        </w:trPr>
        <w:tc>
          <w:tcPr>
            <w:tcW w:w="1740" w:type="dxa"/>
            <w:tcBorders>
              <w:top w:val="nil"/>
              <w:left w:val="single" w:sz="4" w:space="0" w:color="auto"/>
              <w:bottom w:val="single" w:sz="4" w:space="0" w:color="auto"/>
              <w:right w:val="single" w:sz="4" w:space="0" w:color="auto"/>
            </w:tcBorders>
            <w:shd w:val="clear" w:color="auto" w:fill="DCE6F1"/>
            <w:vAlign w:val="center"/>
            <w:hideMark/>
          </w:tcPr>
          <w:p w14:paraId="28459CE2" w14:textId="77777777" w:rsidR="00F015BA" w:rsidRPr="00F015BA" w:rsidRDefault="00F015BA" w:rsidP="00A104D1">
            <w:pPr>
              <w:spacing w:line="300" w:lineRule="atLeast"/>
              <w:contextualSpacing/>
              <w:jc w:val="center"/>
              <w:rPr>
                <w:rFonts w:ascii="Times New Roman" w:hAnsi="Times New Roman" w:cs="Times New Roman"/>
                <w:color w:val="000000"/>
                <w:sz w:val="24"/>
                <w:szCs w:val="24"/>
              </w:rPr>
            </w:pPr>
            <w:r w:rsidRPr="00F015BA">
              <w:rPr>
                <w:rFonts w:ascii="Times New Roman" w:hAnsi="Times New Roman" w:cs="Times New Roman"/>
                <w:color w:val="000000"/>
                <w:sz w:val="24"/>
                <w:szCs w:val="24"/>
              </w:rPr>
              <w:t>Postępowania administracyjne</w:t>
            </w:r>
          </w:p>
        </w:tc>
        <w:tc>
          <w:tcPr>
            <w:tcW w:w="1600" w:type="dxa"/>
            <w:tcBorders>
              <w:top w:val="nil"/>
              <w:left w:val="nil"/>
              <w:bottom w:val="single" w:sz="4" w:space="0" w:color="auto"/>
              <w:right w:val="single" w:sz="4" w:space="0" w:color="auto"/>
            </w:tcBorders>
            <w:shd w:val="clear" w:color="auto" w:fill="DCE6F1"/>
            <w:vAlign w:val="center"/>
            <w:hideMark/>
          </w:tcPr>
          <w:p w14:paraId="11A052C9" w14:textId="77777777" w:rsidR="00F015BA" w:rsidRPr="00F015BA" w:rsidRDefault="00F015BA" w:rsidP="00A104D1">
            <w:pPr>
              <w:spacing w:line="300" w:lineRule="atLeast"/>
              <w:contextualSpacing/>
              <w:jc w:val="center"/>
              <w:rPr>
                <w:rFonts w:ascii="Times New Roman" w:hAnsi="Times New Roman" w:cs="Times New Roman"/>
                <w:color w:val="000000"/>
                <w:sz w:val="24"/>
                <w:szCs w:val="24"/>
              </w:rPr>
            </w:pPr>
            <w:r w:rsidRPr="00F015BA">
              <w:rPr>
                <w:rFonts w:ascii="Times New Roman" w:hAnsi="Times New Roman" w:cs="Times New Roman"/>
                <w:color w:val="000000"/>
                <w:sz w:val="24"/>
                <w:szCs w:val="24"/>
              </w:rPr>
              <w:t>Postępowania karne</w:t>
            </w:r>
          </w:p>
        </w:tc>
        <w:tc>
          <w:tcPr>
            <w:tcW w:w="3120" w:type="dxa"/>
            <w:tcBorders>
              <w:top w:val="nil"/>
              <w:left w:val="nil"/>
              <w:bottom w:val="single" w:sz="4" w:space="0" w:color="auto"/>
              <w:right w:val="single" w:sz="4" w:space="0" w:color="auto"/>
            </w:tcBorders>
            <w:shd w:val="clear" w:color="auto" w:fill="DCE6F1"/>
            <w:vAlign w:val="center"/>
            <w:hideMark/>
          </w:tcPr>
          <w:p w14:paraId="4E94A3D6" w14:textId="4243168F" w:rsidR="00F015BA" w:rsidRPr="00F015BA" w:rsidRDefault="00F015BA" w:rsidP="00A104D1">
            <w:pPr>
              <w:spacing w:line="300" w:lineRule="atLeast"/>
              <w:contextualSpacing/>
              <w:jc w:val="center"/>
              <w:rPr>
                <w:rFonts w:ascii="Times New Roman" w:hAnsi="Times New Roman" w:cs="Times New Roman"/>
                <w:color w:val="000000"/>
                <w:sz w:val="24"/>
                <w:szCs w:val="24"/>
              </w:rPr>
            </w:pPr>
            <w:r w:rsidRPr="00F015BA">
              <w:rPr>
                <w:rFonts w:ascii="Times New Roman" w:hAnsi="Times New Roman" w:cs="Times New Roman"/>
                <w:color w:val="000000"/>
                <w:sz w:val="24"/>
                <w:szCs w:val="24"/>
              </w:rPr>
              <w:t xml:space="preserve">Postępowania w sprawach </w:t>
            </w:r>
            <w:r w:rsidR="00362F8C">
              <w:rPr>
                <w:rFonts w:ascii="Times New Roman" w:hAnsi="Times New Roman" w:cs="Times New Roman"/>
                <w:color w:val="000000"/>
                <w:sz w:val="24"/>
                <w:szCs w:val="24"/>
              </w:rPr>
              <w:br/>
            </w:r>
            <w:r w:rsidRPr="00F015BA">
              <w:rPr>
                <w:rFonts w:ascii="Times New Roman" w:hAnsi="Times New Roman" w:cs="Times New Roman"/>
                <w:color w:val="000000"/>
                <w:sz w:val="24"/>
                <w:szCs w:val="24"/>
              </w:rPr>
              <w:t>o wykroczenia</w:t>
            </w:r>
          </w:p>
        </w:tc>
      </w:tr>
      <w:tr w:rsidR="00F015BA" w:rsidRPr="00F015BA" w14:paraId="1455B76A" w14:textId="77777777" w:rsidTr="00A104D1">
        <w:trPr>
          <w:trHeight w:val="276"/>
        </w:trPr>
        <w:tc>
          <w:tcPr>
            <w:tcW w:w="1740" w:type="dxa"/>
            <w:tcBorders>
              <w:top w:val="nil"/>
              <w:left w:val="single" w:sz="4" w:space="0" w:color="auto"/>
              <w:bottom w:val="double" w:sz="6" w:space="0" w:color="auto"/>
              <w:right w:val="single" w:sz="4" w:space="0" w:color="auto"/>
            </w:tcBorders>
            <w:shd w:val="clear" w:color="auto" w:fill="FFFFFF"/>
            <w:vAlign w:val="center"/>
            <w:hideMark/>
          </w:tcPr>
          <w:p w14:paraId="34C2B8E0" w14:textId="77777777" w:rsidR="00F015BA" w:rsidRPr="00F015BA" w:rsidRDefault="00F015BA" w:rsidP="00A104D1">
            <w:pPr>
              <w:spacing w:line="300" w:lineRule="atLeast"/>
              <w:contextualSpacing/>
              <w:jc w:val="center"/>
              <w:rPr>
                <w:rFonts w:ascii="Times New Roman" w:hAnsi="Times New Roman" w:cs="Times New Roman"/>
                <w:color w:val="000000"/>
                <w:sz w:val="24"/>
                <w:szCs w:val="24"/>
              </w:rPr>
            </w:pPr>
            <w:r w:rsidRPr="00F015BA">
              <w:rPr>
                <w:rFonts w:ascii="Times New Roman" w:hAnsi="Times New Roman" w:cs="Times New Roman"/>
                <w:color w:val="000000"/>
                <w:sz w:val="24"/>
                <w:szCs w:val="24"/>
              </w:rPr>
              <w:t>2</w:t>
            </w:r>
          </w:p>
        </w:tc>
        <w:tc>
          <w:tcPr>
            <w:tcW w:w="1600" w:type="dxa"/>
            <w:tcBorders>
              <w:top w:val="nil"/>
              <w:left w:val="nil"/>
              <w:bottom w:val="double" w:sz="6" w:space="0" w:color="auto"/>
              <w:right w:val="single" w:sz="4" w:space="0" w:color="auto"/>
            </w:tcBorders>
            <w:shd w:val="clear" w:color="auto" w:fill="FFFFFF"/>
            <w:vAlign w:val="center"/>
            <w:hideMark/>
          </w:tcPr>
          <w:p w14:paraId="2D3B35F4" w14:textId="77777777" w:rsidR="00F015BA" w:rsidRPr="00F015BA" w:rsidRDefault="00F015BA" w:rsidP="00A104D1">
            <w:pPr>
              <w:spacing w:line="300" w:lineRule="atLeast"/>
              <w:contextualSpacing/>
              <w:jc w:val="center"/>
              <w:rPr>
                <w:rFonts w:ascii="Times New Roman" w:hAnsi="Times New Roman" w:cs="Times New Roman"/>
                <w:color w:val="000000"/>
                <w:sz w:val="24"/>
                <w:szCs w:val="24"/>
              </w:rPr>
            </w:pPr>
            <w:r w:rsidRPr="00F015BA">
              <w:rPr>
                <w:rFonts w:ascii="Times New Roman" w:hAnsi="Times New Roman" w:cs="Times New Roman"/>
                <w:color w:val="000000"/>
                <w:sz w:val="24"/>
                <w:szCs w:val="24"/>
              </w:rPr>
              <w:t>4</w:t>
            </w:r>
          </w:p>
        </w:tc>
        <w:tc>
          <w:tcPr>
            <w:tcW w:w="3120" w:type="dxa"/>
            <w:tcBorders>
              <w:top w:val="nil"/>
              <w:left w:val="nil"/>
              <w:bottom w:val="double" w:sz="6" w:space="0" w:color="auto"/>
              <w:right w:val="single" w:sz="4" w:space="0" w:color="auto"/>
            </w:tcBorders>
            <w:shd w:val="clear" w:color="auto" w:fill="FFFFFF"/>
            <w:vAlign w:val="center"/>
            <w:hideMark/>
          </w:tcPr>
          <w:p w14:paraId="53919D8B" w14:textId="77777777" w:rsidR="00F015BA" w:rsidRPr="00F015BA" w:rsidRDefault="00F015BA" w:rsidP="00A104D1">
            <w:pPr>
              <w:spacing w:line="300" w:lineRule="atLeast"/>
              <w:contextualSpacing/>
              <w:jc w:val="center"/>
              <w:rPr>
                <w:rFonts w:ascii="Times New Roman" w:hAnsi="Times New Roman" w:cs="Times New Roman"/>
                <w:color w:val="000000"/>
                <w:sz w:val="24"/>
                <w:szCs w:val="24"/>
              </w:rPr>
            </w:pPr>
            <w:r w:rsidRPr="00F015BA">
              <w:rPr>
                <w:rFonts w:ascii="Times New Roman" w:hAnsi="Times New Roman" w:cs="Times New Roman"/>
                <w:color w:val="000000"/>
                <w:sz w:val="24"/>
                <w:szCs w:val="24"/>
              </w:rPr>
              <w:t>2</w:t>
            </w:r>
          </w:p>
        </w:tc>
      </w:tr>
    </w:tbl>
    <w:p w14:paraId="376A0FC9" w14:textId="15F85904" w:rsidR="00F015BA" w:rsidRPr="00362F8C" w:rsidRDefault="00362F8C" w:rsidP="006934C8">
      <w:pPr>
        <w:spacing w:before="120" w:after="60" w:line="300" w:lineRule="atLeast"/>
        <w:jc w:val="center"/>
        <w:rPr>
          <w:rFonts w:ascii="Times New Roman" w:hAnsi="Times New Roman" w:cs="Times New Roman"/>
          <w:b/>
        </w:rPr>
      </w:pPr>
      <w:r w:rsidRPr="00362F8C">
        <w:rPr>
          <w:rFonts w:ascii="Times New Roman" w:hAnsi="Times New Roman" w:cs="Times New Roman"/>
          <w:b/>
        </w:rPr>
        <w:t xml:space="preserve">Tabela 20. Rok </w:t>
      </w:r>
      <w:r w:rsidR="00F015BA" w:rsidRPr="00362F8C">
        <w:rPr>
          <w:rFonts w:ascii="Times New Roman" w:hAnsi="Times New Roman" w:cs="Times New Roman"/>
          <w:b/>
        </w:rPr>
        <w:t>2022</w:t>
      </w:r>
    </w:p>
    <w:tbl>
      <w:tblPr>
        <w:tblW w:w="6460" w:type="dxa"/>
        <w:tblInd w:w="1416" w:type="dxa"/>
        <w:tblCellMar>
          <w:left w:w="70" w:type="dxa"/>
          <w:right w:w="70" w:type="dxa"/>
        </w:tblCellMar>
        <w:tblLook w:val="04A0" w:firstRow="1" w:lastRow="0" w:firstColumn="1" w:lastColumn="0" w:noHBand="0" w:noVBand="1"/>
      </w:tblPr>
      <w:tblGrid>
        <w:gridCol w:w="1740"/>
        <w:gridCol w:w="1600"/>
        <w:gridCol w:w="3120"/>
      </w:tblGrid>
      <w:tr w:rsidR="00F015BA" w:rsidRPr="00F015BA" w14:paraId="5A43507B" w14:textId="77777777" w:rsidTr="001F517C">
        <w:trPr>
          <w:trHeight w:val="1335"/>
        </w:trPr>
        <w:tc>
          <w:tcPr>
            <w:tcW w:w="6460" w:type="dxa"/>
            <w:gridSpan w:val="3"/>
            <w:tcBorders>
              <w:top w:val="single" w:sz="4" w:space="0" w:color="auto"/>
              <w:left w:val="single" w:sz="4" w:space="0" w:color="auto"/>
              <w:bottom w:val="single" w:sz="4" w:space="0" w:color="auto"/>
              <w:right w:val="single" w:sz="4" w:space="0" w:color="auto"/>
            </w:tcBorders>
            <w:shd w:val="clear" w:color="auto" w:fill="D9E1F2"/>
            <w:vAlign w:val="center"/>
            <w:hideMark/>
          </w:tcPr>
          <w:p w14:paraId="7AEC6749" w14:textId="22C542A5" w:rsidR="00F015BA" w:rsidRPr="00F015BA" w:rsidRDefault="00F015BA" w:rsidP="00A104D1">
            <w:pPr>
              <w:spacing w:line="300" w:lineRule="atLeast"/>
              <w:contextualSpacing/>
              <w:jc w:val="center"/>
              <w:rPr>
                <w:rFonts w:ascii="Times New Roman" w:hAnsi="Times New Roman" w:cs="Times New Roman"/>
                <w:color w:val="000000"/>
                <w:sz w:val="24"/>
                <w:szCs w:val="24"/>
              </w:rPr>
            </w:pPr>
            <w:bookmarkStart w:id="328" w:name="_Hlk126648559"/>
            <w:r w:rsidRPr="00F015BA">
              <w:rPr>
                <w:rFonts w:ascii="Times New Roman" w:hAnsi="Times New Roman" w:cs="Times New Roman"/>
                <w:color w:val="000000"/>
                <w:sz w:val="24"/>
                <w:szCs w:val="24"/>
              </w:rPr>
              <w:t xml:space="preserve">Liczba postępowań, w których dowód stanowiły informacje uzyskane w czasie prowadzenia czynności, o których mowa </w:t>
            </w:r>
            <w:r w:rsidR="00362F8C">
              <w:rPr>
                <w:rFonts w:ascii="Times New Roman" w:hAnsi="Times New Roman" w:cs="Times New Roman"/>
                <w:color w:val="000000"/>
                <w:sz w:val="24"/>
                <w:szCs w:val="24"/>
              </w:rPr>
              <w:br/>
            </w:r>
            <w:r w:rsidRPr="00F015BA">
              <w:rPr>
                <w:rFonts w:ascii="Times New Roman" w:hAnsi="Times New Roman" w:cs="Times New Roman"/>
                <w:color w:val="000000"/>
                <w:sz w:val="24"/>
                <w:szCs w:val="24"/>
              </w:rPr>
              <w:t xml:space="preserve">w art. 10b ust. 2 </w:t>
            </w:r>
            <w:proofErr w:type="spellStart"/>
            <w:r w:rsidRPr="00F015BA">
              <w:rPr>
                <w:rFonts w:ascii="Times New Roman" w:hAnsi="Times New Roman" w:cs="Times New Roman"/>
                <w:color w:val="000000"/>
                <w:sz w:val="24"/>
                <w:szCs w:val="24"/>
              </w:rPr>
              <w:t>u.i.o.ś</w:t>
            </w:r>
            <w:proofErr w:type="spellEnd"/>
            <w:r w:rsidRPr="00F015BA">
              <w:rPr>
                <w:rFonts w:ascii="Times New Roman" w:hAnsi="Times New Roman" w:cs="Times New Roman"/>
                <w:color w:val="000000"/>
                <w:sz w:val="24"/>
                <w:szCs w:val="24"/>
              </w:rPr>
              <w:t>.</w:t>
            </w:r>
          </w:p>
        </w:tc>
      </w:tr>
      <w:tr w:rsidR="00F015BA" w:rsidRPr="00F015BA" w14:paraId="37E7BE96" w14:textId="77777777" w:rsidTr="001F517C">
        <w:trPr>
          <w:trHeight w:val="930"/>
        </w:trPr>
        <w:tc>
          <w:tcPr>
            <w:tcW w:w="1740" w:type="dxa"/>
            <w:tcBorders>
              <w:top w:val="single" w:sz="4" w:space="0" w:color="auto"/>
              <w:left w:val="single" w:sz="4" w:space="0" w:color="auto"/>
              <w:bottom w:val="single" w:sz="4" w:space="0" w:color="auto"/>
              <w:right w:val="single" w:sz="4" w:space="0" w:color="auto"/>
            </w:tcBorders>
            <w:shd w:val="clear" w:color="auto" w:fill="D9E1F2"/>
            <w:vAlign w:val="center"/>
            <w:hideMark/>
          </w:tcPr>
          <w:p w14:paraId="63736D5A" w14:textId="77777777" w:rsidR="00F015BA" w:rsidRPr="00F015BA" w:rsidRDefault="00F015BA" w:rsidP="00A104D1">
            <w:pPr>
              <w:spacing w:line="300" w:lineRule="atLeast"/>
              <w:contextualSpacing/>
              <w:jc w:val="center"/>
              <w:rPr>
                <w:rFonts w:ascii="Times New Roman" w:hAnsi="Times New Roman" w:cs="Times New Roman"/>
                <w:color w:val="000000"/>
                <w:sz w:val="24"/>
                <w:szCs w:val="24"/>
              </w:rPr>
            </w:pPr>
            <w:r w:rsidRPr="00F015BA">
              <w:rPr>
                <w:rFonts w:ascii="Times New Roman" w:hAnsi="Times New Roman" w:cs="Times New Roman"/>
                <w:color w:val="000000"/>
                <w:sz w:val="24"/>
                <w:szCs w:val="24"/>
              </w:rPr>
              <w:t>Postępowania administracyjne</w:t>
            </w:r>
          </w:p>
        </w:tc>
        <w:tc>
          <w:tcPr>
            <w:tcW w:w="1600" w:type="dxa"/>
            <w:tcBorders>
              <w:top w:val="single" w:sz="4" w:space="0" w:color="auto"/>
              <w:left w:val="nil"/>
              <w:bottom w:val="single" w:sz="4" w:space="0" w:color="auto"/>
              <w:right w:val="single" w:sz="4" w:space="0" w:color="auto"/>
            </w:tcBorders>
            <w:shd w:val="clear" w:color="auto" w:fill="D9E1F2"/>
            <w:vAlign w:val="center"/>
            <w:hideMark/>
          </w:tcPr>
          <w:p w14:paraId="5E36FA66" w14:textId="77777777" w:rsidR="00F015BA" w:rsidRPr="00F015BA" w:rsidRDefault="00F015BA" w:rsidP="00A104D1">
            <w:pPr>
              <w:spacing w:line="300" w:lineRule="atLeast"/>
              <w:contextualSpacing/>
              <w:jc w:val="center"/>
              <w:rPr>
                <w:rFonts w:ascii="Times New Roman" w:hAnsi="Times New Roman" w:cs="Times New Roman"/>
                <w:color w:val="000000"/>
                <w:sz w:val="24"/>
                <w:szCs w:val="24"/>
              </w:rPr>
            </w:pPr>
            <w:r w:rsidRPr="00F015BA">
              <w:rPr>
                <w:rFonts w:ascii="Times New Roman" w:hAnsi="Times New Roman" w:cs="Times New Roman"/>
                <w:color w:val="000000"/>
                <w:sz w:val="24"/>
                <w:szCs w:val="24"/>
              </w:rPr>
              <w:t>Postępowania karne</w:t>
            </w:r>
          </w:p>
        </w:tc>
        <w:tc>
          <w:tcPr>
            <w:tcW w:w="3120" w:type="dxa"/>
            <w:tcBorders>
              <w:top w:val="single" w:sz="4" w:space="0" w:color="auto"/>
              <w:left w:val="nil"/>
              <w:bottom w:val="single" w:sz="4" w:space="0" w:color="auto"/>
              <w:right w:val="single" w:sz="4" w:space="0" w:color="auto"/>
            </w:tcBorders>
            <w:shd w:val="clear" w:color="auto" w:fill="D9E1F2"/>
            <w:vAlign w:val="center"/>
            <w:hideMark/>
          </w:tcPr>
          <w:p w14:paraId="7E30F9B0" w14:textId="77777777" w:rsidR="00F015BA" w:rsidRPr="00F015BA" w:rsidRDefault="00F015BA" w:rsidP="00A104D1">
            <w:pPr>
              <w:spacing w:line="300" w:lineRule="atLeast"/>
              <w:contextualSpacing/>
              <w:jc w:val="center"/>
              <w:rPr>
                <w:rFonts w:ascii="Times New Roman" w:hAnsi="Times New Roman" w:cs="Times New Roman"/>
                <w:color w:val="000000"/>
                <w:sz w:val="24"/>
                <w:szCs w:val="24"/>
              </w:rPr>
            </w:pPr>
            <w:r w:rsidRPr="00F015BA">
              <w:rPr>
                <w:rFonts w:ascii="Times New Roman" w:hAnsi="Times New Roman" w:cs="Times New Roman"/>
                <w:color w:val="000000"/>
                <w:sz w:val="24"/>
                <w:szCs w:val="24"/>
              </w:rPr>
              <w:t>Postępowania w sprawach o wykroczenia</w:t>
            </w:r>
          </w:p>
        </w:tc>
      </w:tr>
      <w:tr w:rsidR="00F015BA" w:rsidRPr="00F015BA" w14:paraId="5D563380" w14:textId="77777777" w:rsidTr="001F517C">
        <w:trPr>
          <w:trHeight w:val="276"/>
        </w:trPr>
        <w:tc>
          <w:tcPr>
            <w:tcW w:w="1740" w:type="dxa"/>
            <w:tcBorders>
              <w:top w:val="single" w:sz="4" w:space="0" w:color="auto"/>
              <w:bottom w:val="single" w:sz="4" w:space="0" w:color="auto"/>
              <w:right w:val="single" w:sz="4" w:space="0" w:color="auto"/>
            </w:tcBorders>
            <w:shd w:val="clear" w:color="auto" w:fill="FFFFFF"/>
            <w:vAlign w:val="center"/>
            <w:hideMark/>
          </w:tcPr>
          <w:p w14:paraId="50875ED4" w14:textId="77777777" w:rsidR="00F015BA" w:rsidRPr="00F015BA" w:rsidRDefault="00F015BA" w:rsidP="00A104D1">
            <w:pPr>
              <w:spacing w:line="300" w:lineRule="atLeast"/>
              <w:contextualSpacing/>
              <w:jc w:val="center"/>
              <w:rPr>
                <w:rFonts w:ascii="Times New Roman" w:hAnsi="Times New Roman" w:cs="Times New Roman"/>
                <w:color w:val="000000"/>
                <w:sz w:val="24"/>
                <w:szCs w:val="24"/>
              </w:rPr>
            </w:pPr>
            <w:r w:rsidRPr="00F015BA">
              <w:rPr>
                <w:rFonts w:ascii="Times New Roman" w:hAnsi="Times New Roman" w:cs="Times New Roman"/>
                <w:color w:val="000000"/>
                <w:sz w:val="24"/>
                <w:szCs w:val="24"/>
              </w:rPr>
              <w:t>22</w:t>
            </w:r>
          </w:p>
        </w:tc>
        <w:tc>
          <w:tcPr>
            <w:tcW w:w="1600" w:type="dxa"/>
            <w:tcBorders>
              <w:top w:val="single" w:sz="4" w:space="0" w:color="auto"/>
              <w:left w:val="nil"/>
              <w:bottom w:val="single" w:sz="4" w:space="0" w:color="auto"/>
              <w:right w:val="single" w:sz="4" w:space="0" w:color="auto"/>
            </w:tcBorders>
            <w:shd w:val="clear" w:color="auto" w:fill="FFFFFF"/>
            <w:vAlign w:val="center"/>
            <w:hideMark/>
          </w:tcPr>
          <w:p w14:paraId="744DB8CA" w14:textId="77777777" w:rsidR="00F015BA" w:rsidRPr="00F015BA" w:rsidRDefault="00F015BA" w:rsidP="00A104D1">
            <w:pPr>
              <w:spacing w:line="300" w:lineRule="atLeast"/>
              <w:contextualSpacing/>
              <w:jc w:val="center"/>
              <w:rPr>
                <w:rFonts w:ascii="Times New Roman" w:hAnsi="Times New Roman" w:cs="Times New Roman"/>
                <w:color w:val="000000"/>
                <w:sz w:val="24"/>
                <w:szCs w:val="24"/>
              </w:rPr>
            </w:pPr>
            <w:r w:rsidRPr="00F015BA">
              <w:rPr>
                <w:rFonts w:ascii="Times New Roman" w:hAnsi="Times New Roman" w:cs="Times New Roman"/>
                <w:color w:val="000000"/>
                <w:sz w:val="24"/>
                <w:szCs w:val="24"/>
              </w:rPr>
              <w:t>7</w:t>
            </w:r>
          </w:p>
        </w:tc>
        <w:tc>
          <w:tcPr>
            <w:tcW w:w="3120" w:type="dxa"/>
            <w:tcBorders>
              <w:top w:val="single" w:sz="4" w:space="0" w:color="auto"/>
              <w:left w:val="nil"/>
              <w:bottom w:val="single" w:sz="4" w:space="0" w:color="auto"/>
              <w:right w:val="single" w:sz="4" w:space="0" w:color="auto"/>
            </w:tcBorders>
            <w:shd w:val="clear" w:color="auto" w:fill="FFFFFF"/>
            <w:vAlign w:val="center"/>
            <w:hideMark/>
          </w:tcPr>
          <w:p w14:paraId="64B70C0D" w14:textId="77777777" w:rsidR="00F015BA" w:rsidRPr="00F015BA" w:rsidRDefault="00F015BA" w:rsidP="00A104D1">
            <w:pPr>
              <w:spacing w:line="300" w:lineRule="atLeast"/>
              <w:contextualSpacing/>
              <w:jc w:val="center"/>
              <w:rPr>
                <w:rFonts w:ascii="Times New Roman" w:hAnsi="Times New Roman" w:cs="Times New Roman"/>
                <w:color w:val="000000"/>
                <w:sz w:val="24"/>
                <w:szCs w:val="24"/>
              </w:rPr>
            </w:pPr>
            <w:r w:rsidRPr="00F015BA">
              <w:rPr>
                <w:rFonts w:ascii="Times New Roman" w:hAnsi="Times New Roman" w:cs="Times New Roman"/>
                <w:color w:val="000000"/>
                <w:sz w:val="24"/>
                <w:szCs w:val="24"/>
              </w:rPr>
              <w:t>1</w:t>
            </w:r>
          </w:p>
        </w:tc>
      </w:tr>
      <w:bookmarkEnd w:id="328"/>
    </w:tbl>
    <w:p w14:paraId="385652C6" w14:textId="77777777" w:rsidR="00362F8C" w:rsidRDefault="00362F8C" w:rsidP="00362F8C">
      <w:pPr>
        <w:spacing w:line="300" w:lineRule="atLeast"/>
        <w:ind w:firstLine="708"/>
        <w:contextualSpacing/>
        <w:jc w:val="both"/>
        <w:rPr>
          <w:rFonts w:ascii="Times New Roman" w:hAnsi="Times New Roman" w:cs="Times New Roman"/>
          <w:sz w:val="24"/>
          <w:szCs w:val="24"/>
        </w:rPr>
      </w:pPr>
    </w:p>
    <w:p w14:paraId="4F029B1A" w14:textId="7AE1C043" w:rsidR="00F015BA" w:rsidRPr="00F015BA" w:rsidRDefault="00F015BA" w:rsidP="002C016E">
      <w:pPr>
        <w:spacing w:line="300" w:lineRule="atLeast"/>
        <w:ind w:firstLine="567"/>
        <w:contextualSpacing/>
        <w:jc w:val="both"/>
        <w:rPr>
          <w:rFonts w:ascii="Times New Roman" w:hAnsi="Times New Roman" w:cs="Times New Roman"/>
          <w:sz w:val="24"/>
          <w:szCs w:val="24"/>
        </w:rPr>
      </w:pPr>
      <w:r w:rsidRPr="00F015BA">
        <w:rPr>
          <w:rFonts w:ascii="Times New Roman" w:hAnsi="Times New Roman" w:cs="Times New Roman"/>
          <w:sz w:val="24"/>
          <w:szCs w:val="24"/>
        </w:rPr>
        <w:t xml:space="preserve">Na podstawie złożonych zawiadomień w 2022 r. nie zostały do tego momentu wniesione akty oskarżenia, ze względu na wielowątkowość i skomplikowanie spraw. Złożone zawiadomienia dotyczą przestępstw z art. 183 § 1 Kodeksu karnego w powiazaniu z innymi przestępstwami (np. z art. 164, 271, 258 KK). </w:t>
      </w:r>
    </w:p>
    <w:p w14:paraId="320519F9" w14:textId="1F846C30" w:rsidR="00F015BA" w:rsidRPr="00F015BA" w:rsidRDefault="001F517C" w:rsidP="002C016E">
      <w:pPr>
        <w:spacing w:line="300" w:lineRule="atLeast"/>
        <w:ind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Liczba </w:t>
      </w:r>
      <w:r w:rsidR="00F015BA" w:rsidRPr="00F015BA">
        <w:rPr>
          <w:rFonts w:ascii="Times New Roman" w:hAnsi="Times New Roman" w:cs="Times New Roman"/>
          <w:sz w:val="24"/>
          <w:szCs w:val="24"/>
        </w:rPr>
        <w:t xml:space="preserve">wszczętych postępowań administracyjnych jest zależna od </w:t>
      </w:r>
      <w:r>
        <w:rPr>
          <w:rFonts w:ascii="Times New Roman" w:hAnsi="Times New Roman" w:cs="Times New Roman"/>
          <w:sz w:val="24"/>
          <w:szCs w:val="24"/>
        </w:rPr>
        <w:t xml:space="preserve">liczby </w:t>
      </w:r>
      <w:r w:rsidR="00F015BA" w:rsidRPr="00F015BA">
        <w:rPr>
          <w:rFonts w:ascii="Times New Roman" w:hAnsi="Times New Roman" w:cs="Times New Roman"/>
          <w:sz w:val="24"/>
          <w:szCs w:val="24"/>
        </w:rPr>
        <w:t xml:space="preserve">kontroli przeprowadzonych po działaniach w trybie art. 10b ustawy o IOŚ, dlatego ostateczna </w:t>
      </w:r>
      <w:r>
        <w:rPr>
          <w:rFonts w:ascii="Times New Roman" w:hAnsi="Times New Roman" w:cs="Times New Roman"/>
          <w:sz w:val="24"/>
          <w:szCs w:val="24"/>
        </w:rPr>
        <w:t>liczba</w:t>
      </w:r>
      <w:r w:rsidR="00F015BA" w:rsidRPr="00F015BA">
        <w:rPr>
          <w:rFonts w:ascii="Times New Roman" w:hAnsi="Times New Roman" w:cs="Times New Roman"/>
          <w:sz w:val="24"/>
          <w:szCs w:val="24"/>
        </w:rPr>
        <w:t xml:space="preserve"> postępowań będzie wyższa, gdyż ze względów czasowych oraz ograniczeń kadrowych </w:t>
      </w:r>
      <w:r w:rsidR="00F71165" w:rsidRPr="00F015BA">
        <w:rPr>
          <w:rFonts w:ascii="Times New Roman" w:hAnsi="Times New Roman" w:cs="Times New Roman"/>
          <w:sz w:val="24"/>
          <w:szCs w:val="24"/>
        </w:rPr>
        <w:t>wykona</w:t>
      </w:r>
      <w:r w:rsidR="00F71165">
        <w:rPr>
          <w:rFonts w:ascii="Times New Roman" w:hAnsi="Times New Roman" w:cs="Times New Roman"/>
          <w:sz w:val="24"/>
          <w:szCs w:val="24"/>
        </w:rPr>
        <w:t>nie</w:t>
      </w:r>
      <w:r w:rsidR="00F71165" w:rsidRPr="00F015BA">
        <w:rPr>
          <w:rFonts w:ascii="Times New Roman" w:hAnsi="Times New Roman" w:cs="Times New Roman"/>
          <w:sz w:val="24"/>
          <w:szCs w:val="24"/>
        </w:rPr>
        <w:t xml:space="preserve"> wszystkich kontroli z przeprowadzonych w 2022 r. działań w trybie art. 10b ustawy </w:t>
      </w:r>
      <w:r w:rsidR="00F71165" w:rsidRPr="00F015BA">
        <w:rPr>
          <w:rFonts w:ascii="Times New Roman" w:hAnsi="Times New Roman" w:cs="Times New Roman"/>
          <w:sz w:val="24"/>
          <w:szCs w:val="24"/>
        </w:rPr>
        <w:lastRenderedPageBreak/>
        <w:t xml:space="preserve">o IOŚ </w:t>
      </w:r>
      <w:r w:rsidR="00F015BA" w:rsidRPr="00F015BA">
        <w:rPr>
          <w:rFonts w:ascii="Times New Roman" w:hAnsi="Times New Roman" w:cs="Times New Roman"/>
          <w:sz w:val="24"/>
          <w:szCs w:val="24"/>
        </w:rPr>
        <w:t>nie było możliw</w:t>
      </w:r>
      <w:r w:rsidR="00F71165">
        <w:rPr>
          <w:rFonts w:ascii="Times New Roman" w:hAnsi="Times New Roman" w:cs="Times New Roman"/>
          <w:sz w:val="24"/>
          <w:szCs w:val="24"/>
        </w:rPr>
        <w:t>e</w:t>
      </w:r>
      <w:r w:rsidR="00F015BA" w:rsidRPr="00F015BA">
        <w:rPr>
          <w:rFonts w:ascii="Times New Roman" w:hAnsi="Times New Roman" w:cs="Times New Roman"/>
          <w:sz w:val="24"/>
          <w:szCs w:val="24"/>
        </w:rPr>
        <w:t>. Kolejne kontrole będą realizowane w 2023 r., a materiał dowodowy zgromadzony w notatkach z czynności będzie wykorzystywany w przyszłych postępowaniach administracyjnych.</w:t>
      </w:r>
    </w:p>
    <w:p w14:paraId="08C24405" w14:textId="77777777" w:rsidR="00F015BA" w:rsidRPr="00F015BA" w:rsidRDefault="00F015BA" w:rsidP="002C016E">
      <w:pPr>
        <w:spacing w:line="300" w:lineRule="atLeast"/>
        <w:ind w:firstLine="567"/>
        <w:contextualSpacing/>
        <w:jc w:val="both"/>
        <w:rPr>
          <w:rFonts w:ascii="Times New Roman" w:hAnsi="Times New Roman" w:cs="Times New Roman"/>
          <w:i/>
          <w:color w:val="4472C4"/>
          <w:sz w:val="24"/>
          <w:szCs w:val="24"/>
        </w:rPr>
      </w:pPr>
    </w:p>
    <w:p w14:paraId="1FB83023" w14:textId="77777777" w:rsidR="00F015BA" w:rsidRPr="00F015BA" w:rsidRDefault="00F015BA" w:rsidP="00F71165">
      <w:pPr>
        <w:spacing w:after="60" w:line="300" w:lineRule="atLeast"/>
        <w:jc w:val="both"/>
        <w:rPr>
          <w:rFonts w:ascii="Times New Roman" w:hAnsi="Times New Roman" w:cs="Times New Roman"/>
          <w:i/>
          <w:color w:val="4472C4"/>
          <w:sz w:val="24"/>
          <w:szCs w:val="24"/>
        </w:rPr>
      </w:pPr>
      <w:r w:rsidRPr="00F015BA">
        <w:rPr>
          <w:rFonts w:ascii="Times New Roman" w:hAnsi="Times New Roman" w:cs="Times New Roman"/>
          <w:i/>
          <w:color w:val="4472C4"/>
          <w:sz w:val="24"/>
          <w:szCs w:val="24"/>
        </w:rPr>
        <w:t>Wojewódzki Inspektorat Ochrony Środowiska w Krakowie</w:t>
      </w:r>
    </w:p>
    <w:p w14:paraId="570E515A" w14:textId="77777777" w:rsidR="00296D6B" w:rsidRPr="00311A3C" w:rsidRDefault="00296D6B" w:rsidP="002C016E">
      <w:pPr>
        <w:autoSpaceDE w:val="0"/>
        <w:autoSpaceDN w:val="0"/>
        <w:adjustRightInd w:val="0"/>
        <w:spacing w:after="0" w:line="300" w:lineRule="atLeast"/>
        <w:ind w:firstLine="567"/>
        <w:jc w:val="both"/>
        <w:rPr>
          <w:rFonts w:ascii="Times New Roman" w:hAnsi="Times New Roman" w:cs="Times New Roman"/>
          <w:sz w:val="24"/>
          <w:szCs w:val="24"/>
        </w:rPr>
      </w:pPr>
      <w:r w:rsidRPr="00311A3C">
        <w:rPr>
          <w:rFonts w:ascii="Times New Roman" w:hAnsi="Times New Roman" w:cs="Times New Roman"/>
          <w:sz w:val="24"/>
          <w:szCs w:val="24"/>
        </w:rPr>
        <w:t>Informacje uzyskane w trakcie przeprowadzonych w 2022 roku czynności, o których mowa</w:t>
      </w:r>
      <w:r>
        <w:rPr>
          <w:rFonts w:ascii="Times New Roman" w:hAnsi="Times New Roman" w:cs="Times New Roman"/>
          <w:sz w:val="24"/>
          <w:szCs w:val="24"/>
        </w:rPr>
        <w:t xml:space="preserve"> </w:t>
      </w:r>
      <w:r w:rsidRPr="00311A3C">
        <w:rPr>
          <w:rFonts w:ascii="Times New Roman" w:hAnsi="Times New Roman" w:cs="Times New Roman"/>
          <w:sz w:val="24"/>
          <w:szCs w:val="24"/>
        </w:rPr>
        <w:t>w art. 10b ustawy o Inspekcji Ochrony Środowiska zostały wykorzystane w</w:t>
      </w:r>
      <w:r>
        <w:rPr>
          <w:rFonts w:ascii="Times New Roman" w:hAnsi="Times New Roman" w:cs="Times New Roman"/>
          <w:sz w:val="24"/>
          <w:szCs w:val="24"/>
        </w:rPr>
        <w:t> </w:t>
      </w:r>
      <w:r w:rsidRPr="00311A3C">
        <w:rPr>
          <w:rFonts w:ascii="Times New Roman" w:hAnsi="Times New Roman" w:cs="Times New Roman"/>
          <w:sz w:val="24"/>
          <w:szCs w:val="24"/>
        </w:rPr>
        <w:t>następujących</w:t>
      </w:r>
      <w:r>
        <w:rPr>
          <w:rFonts w:ascii="Times New Roman" w:hAnsi="Times New Roman" w:cs="Times New Roman"/>
          <w:sz w:val="24"/>
          <w:szCs w:val="24"/>
        </w:rPr>
        <w:t xml:space="preserve"> </w:t>
      </w:r>
      <w:r w:rsidRPr="00311A3C">
        <w:rPr>
          <w:rFonts w:ascii="Times New Roman" w:hAnsi="Times New Roman" w:cs="Times New Roman"/>
          <w:sz w:val="24"/>
          <w:szCs w:val="24"/>
        </w:rPr>
        <w:t>przypadkach:</w:t>
      </w:r>
    </w:p>
    <w:p w14:paraId="5B53DA50" w14:textId="77777777" w:rsidR="00296D6B" w:rsidRPr="001154BE" w:rsidRDefault="00296D6B" w:rsidP="002C016E">
      <w:pPr>
        <w:pStyle w:val="Akapitzlist"/>
        <w:numPr>
          <w:ilvl w:val="0"/>
          <w:numId w:val="354"/>
        </w:numPr>
        <w:autoSpaceDE w:val="0"/>
        <w:autoSpaceDN w:val="0"/>
        <w:adjustRightInd w:val="0"/>
        <w:spacing w:line="300" w:lineRule="atLeast"/>
        <w:ind w:left="567"/>
        <w:jc w:val="both"/>
        <w:rPr>
          <w:sz w:val="24"/>
          <w:szCs w:val="24"/>
        </w:rPr>
      </w:pPr>
      <w:r w:rsidRPr="001154BE">
        <w:rPr>
          <w:sz w:val="24"/>
          <w:szCs w:val="24"/>
        </w:rPr>
        <w:t>przeprowadzanie lub wykorzystanie informacji w 12 pozaplanowych kontrolach interwencyjnych w związku z informacjami uzyskanymi w trakcie przeprowadzonych czynności;</w:t>
      </w:r>
    </w:p>
    <w:p w14:paraId="3AEB0920" w14:textId="77777777" w:rsidR="00296D6B" w:rsidRPr="001154BE" w:rsidRDefault="00296D6B" w:rsidP="002C016E">
      <w:pPr>
        <w:pStyle w:val="Akapitzlist"/>
        <w:numPr>
          <w:ilvl w:val="0"/>
          <w:numId w:val="354"/>
        </w:numPr>
        <w:autoSpaceDE w:val="0"/>
        <w:autoSpaceDN w:val="0"/>
        <w:adjustRightInd w:val="0"/>
        <w:spacing w:line="300" w:lineRule="atLeast"/>
        <w:ind w:left="567"/>
        <w:jc w:val="both"/>
        <w:rPr>
          <w:sz w:val="24"/>
          <w:szCs w:val="24"/>
        </w:rPr>
      </w:pPr>
      <w:r w:rsidRPr="001154BE">
        <w:rPr>
          <w:sz w:val="24"/>
          <w:szCs w:val="24"/>
        </w:rPr>
        <w:t>wykorzystanie danych w 6 prowadzonych postępowaniach administracyjnych;</w:t>
      </w:r>
    </w:p>
    <w:p w14:paraId="65C9F733" w14:textId="77777777" w:rsidR="00296D6B" w:rsidRPr="001154BE" w:rsidRDefault="00296D6B" w:rsidP="002C016E">
      <w:pPr>
        <w:pStyle w:val="Akapitzlist"/>
        <w:numPr>
          <w:ilvl w:val="0"/>
          <w:numId w:val="354"/>
        </w:numPr>
        <w:autoSpaceDE w:val="0"/>
        <w:autoSpaceDN w:val="0"/>
        <w:adjustRightInd w:val="0"/>
        <w:spacing w:line="300" w:lineRule="atLeast"/>
        <w:ind w:left="567"/>
        <w:jc w:val="both"/>
        <w:rPr>
          <w:sz w:val="24"/>
          <w:szCs w:val="24"/>
        </w:rPr>
      </w:pPr>
      <w:r w:rsidRPr="001154BE">
        <w:rPr>
          <w:sz w:val="24"/>
          <w:szCs w:val="24"/>
        </w:rPr>
        <w:t>skierowanie 1 wniosku o ukaranie do sądu rejonowego;</w:t>
      </w:r>
    </w:p>
    <w:p w14:paraId="7685B69C" w14:textId="77777777" w:rsidR="002C016E" w:rsidRDefault="00296D6B" w:rsidP="002C016E">
      <w:pPr>
        <w:pStyle w:val="Akapitzlist"/>
        <w:numPr>
          <w:ilvl w:val="0"/>
          <w:numId w:val="354"/>
        </w:numPr>
        <w:autoSpaceDE w:val="0"/>
        <w:autoSpaceDN w:val="0"/>
        <w:adjustRightInd w:val="0"/>
        <w:spacing w:line="300" w:lineRule="atLeast"/>
        <w:ind w:left="567"/>
        <w:jc w:val="both"/>
        <w:rPr>
          <w:sz w:val="24"/>
          <w:szCs w:val="24"/>
        </w:rPr>
      </w:pPr>
      <w:r w:rsidRPr="001154BE">
        <w:rPr>
          <w:sz w:val="24"/>
          <w:szCs w:val="24"/>
        </w:rPr>
        <w:t>skierowanie 7 wystąpień do administracji rządowej;</w:t>
      </w:r>
    </w:p>
    <w:p w14:paraId="781B6AA8" w14:textId="3AA8BDCA" w:rsidR="00F015BA" w:rsidRPr="002C016E" w:rsidRDefault="00296D6B" w:rsidP="002C016E">
      <w:pPr>
        <w:pStyle w:val="Akapitzlist"/>
        <w:numPr>
          <w:ilvl w:val="0"/>
          <w:numId w:val="354"/>
        </w:numPr>
        <w:autoSpaceDE w:val="0"/>
        <w:autoSpaceDN w:val="0"/>
        <w:adjustRightInd w:val="0"/>
        <w:spacing w:line="300" w:lineRule="atLeast"/>
        <w:ind w:left="567"/>
        <w:jc w:val="both"/>
        <w:rPr>
          <w:sz w:val="24"/>
          <w:szCs w:val="24"/>
        </w:rPr>
      </w:pPr>
      <w:r w:rsidRPr="002C016E">
        <w:rPr>
          <w:sz w:val="24"/>
          <w:szCs w:val="24"/>
        </w:rPr>
        <w:t>skierowanie 9 wystąpień do administracji samorządowej</w:t>
      </w:r>
      <w:r w:rsidR="00F015BA" w:rsidRPr="002C016E">
        <w:rPr>
          <w:sz w:val="24"/>
          <w:szCs w:val="24"/>
        </w:rPr>
        <w:t>.</w:t>
      </w:r>
    </w:p>
    <w:p w14:paraId="4ED794DC" w14:textId="77777777" w:rsidR="00F015BA" w:rsidRPr="00F015BA" w:rsidRDefault="00F015BA" w:rsidP="00F015BA">
      <w:pPr>
        <w:spacing w:line="300" w:lineRule="atLeast"/>
        <w:contextualSpacing/>
        <w:jc w:val="both"/>
        <w:rPr>
          <w:rFonts w:ascii="Times New Roman" w:hAnsi="Times New Roman" w:cs="Times New Roman"/>
          <w:i/>
          <w:color w:val="4472C4"/>
          <w:sz w:val="24"/>
          <w:szCs w:val="24"/>
        </w:rPr>
      </w:pPr>
    </w:p>
    <w:p w14:paraId="3F769011" w14:textId="77777777" w:rsidR="00F015BA" w:rsidRPr="00F015BA" w:rsidRDefault="00F015BA" w:rsidP="00F71165">
      <w:pPr>
        <w:spacing w:after="60" w:line="300" w:lineRule="atLeast"/>
        <w:jc w:val="both"/>
        <w:rPr>
          <w:rFonts w:ascii="Times New Roman" w:hAnsi="Times New Roman" w:cs="Times New Roman"/>
          <w:i/>
          <w:color w:val="4472C4"/>
          <w:sz w:val="24"/>
          <w:szCs w:val="24"/>
        </w:rPr>
      </w:pPr>
      <w:r w:rsidRPr="00F015BA">
        <w:rPr>
          <w:rFonts w:ascii="Times New Roman" w:hAnsi="Times New Roman" w:cs="Times New Roman"/>
          <w:i/>
          <w:color w:val="4472C4"/>
          <w:sz w:val="24"/>
          <w:szCs w:val="24"/>
        </w:rPr>
        <w:t>Wojewódzki Inspektorat Ochrony Środowiska w Lublinie</w:t>
      </w:r>
    </w:p>
    <w:p w14:paraId="4281B557" w14:textId="77777777" w:rsidR="00F015BA" w:rsidRPr="00F015BA" w:rsidRDefault="00F015BA" w:rsidP="002C016E">
      <w:pPr>
        <w:spacing w:line="300" w:lineRule="atLeast"/>
        <w:ind w:firstLine="567"/>
        <w:contextualSpacing/>
        <w:jc w:val="both"/>
        <w:rPr>
          <w:rFonts w:ascii="Times New Roman" w:hAnsi="Times New Roman" w:cs="Times New Roman"/>
          <w:sz w:val="24"/>
          <w:szCs w:val="24"/>
        </w:rPr>
      </w:pPr>
      <w:r w:rsidRPr="00F015BA">
        <w:rPr>
          <w:rFonts w:ascii="Times New Roman" w:hAnsi="Times New Roman" w:cs="Times New Roman"/>
          <w:sz w:val="24"/>
          <w:szCs w:val="24"/>
        </w:rPr>
        <w:t>Wobec jednego podmiotu w związku z ustaleniami skierowano zawiadomienie do Prokuratury Rejonowej w Lubartowie, która wszczęła śledztwo z art. 183 § 1 kk. Powyższe śledztwo zostało przeniesione do Ośrodka Zamiejscowego Prokuratury Okręgowej w Lublinie z siedzibą w Białej Podlaskiej.</w:t>
      </w:r>
    </w:p>
    <w:p w14:paraId="0516AA4B" w14:textId="77777777" w:rsidR="00F015BA" w:rsidRPr="00F015BA" w:rsidRDefault="00F015BA" w:rsidP="00F015BA">
      <w:pPr>
        <w:spacing w:line="300" w:lineRule="atLeast"/>
        <w:contextualSpacing/>
        <w:jc w:val="both"/>
        <w:rPr>
          <w:rFonts w:ascii="Times New Roman" w:hAnsi="Times New Roman" w:cs="Times New Roman"/>
          <w:i/>
          <w:color w:val="4472C4"/>
          <w:sz w:val="24"/>
          <w:szCs w:val="24"/>
        </w:rPr>
      </w:pPr>
    </w:p>
    <w:p w14:paraId="518FB0FF" w14:textId="77777777" w:rsidR="00F015BA" w:rsidRPr="00F015BA" w:rsidRDefault="00F015BA" w:rsidP="00F71165">
      <w:pPr>
        <w:spacing w:after="60" w:line="300" w:lineRule="atLeast"/>
        <w:jc w:val="both"/>
        <w:rPr>
          <w:rFonts w:ascii="Times New Roman" w:hAnsi="Times New Roman" w:cs="Times New Roman"/>
          <w:i/>
          <w:color w:val="4472C4"/>
          <w:sz w:val="24"/>
          <w:szCs w:val="24"/>
        </w:rPr>
      </w:pPr>
      <w:r w:rsidRPr="00F015BA">
        <w:rPr>
          <w:rFonts w:ascii="Times New Roman" w:hAnsi="Times New Roman" w:cs="Times New Roman"/>
          <w:i/>
          <w:color w:val="4472C4"/>
          <w:sz w:val="24"/>
          <w:szCs w:val="24"/>
        </w:rPr>
        <w:t>Wojewódzki Inspektorat Ochrony Środowiska w Łodzi</w:t>
      </w:r>
    </w:p>
    <w:p w14:paraId="108617DB" w14:textId="77777777" w:rsidR="00F015BA" w:rsidRPr="00F015BA" w:rsidRDefault="00F015BA" w:rsidP="002C016E">
      <w:pPr>
        <w:spacing w:line="300" w:lineRule="atLeast"/>
        <w:ind w:firstLine="567"/>
        <w:contextualSpacing/>
        <w:jc w:val="both"/>
        <w:rPr>
          <w:rFonts w:ascii="Times New Roman" w:hAnsi="Times New Roman" w:cs="Times New Roman"/>
          <w:i/>
          <w:sz w:val="24"/>
          <w:szCs w:val="24"/>
        </w:rPr>
      </w:pPr>
      <w:r w:rsidRPr="00F015BA">
        <w:rPr>
          <w:rFonts w:ascii="Times New Roman" w:hAnsi="Times New Roman" w:cs="Times New Roman"/>
          <w:sz w:val="24"/>
          <w:szCs w:val="24"/>
        </w:rPr>
        <w:t>Na podstawie ustaleń czynności prowadzonych z art. 10b ustawy o Inspekcji Ochrony Środowiska:</w:t>
      </w:r>
    </w:p>
    <w:p w14:paraId="034DF1A6" w14:textId="77777777" w:rsidR="00F015BA" w:rsidRPr="00F015BA" w:rsidRDefault="00F015BA" w:rsidP="00D34F97">
      <w:pPr>
        <w:numPr>
          <w:ilvl w:val="0"/>
          <w:numId w:val="274"/>
        </w:numPr>
        <w:spacing w:after="0" w:line="300" w:lineRule="atLeast"/>
        <w:ind w:left="567"/>
        <w:contextualSpacing/>
        <w:jc w:val="both"/>
        <w:rPr>
          <w:rFonts w:ascii="Times New Roman" w:hAnsi="Times New Roman" w:cs="Times New Roman"/>
          <w:sz w:val="24"/>
          <w:szCs w:val="24"/>
        </w:rPr>
      </w:pPr>
      <w:r w:rsidRPr="00F015BA">
        <w:rPr>
          <w:rFonts w:ascii="Times New Roman" w:hAnsi="Times New Roman" w:cs="Times New Roman"/>
          <w:sz w:val="24"/>
          <w:szCs w:val="24"/>
        </w:rPr>
        <w:t xml:space="preserve">wszczęto 30 kontroli, </w:t>
      </w:r>
    </w:p>
    <w:p w14:paraId="603C0C8C" w14:textId="07B757F0" w:rsidR="00F015BA" w:rsidRPr="00F015BA" w:rsidRDefault="00F015BA" w:rsidP="00D34F97">
      <w:pPr>
        <w:numPr>
          <w:ilvl w:val="0"/>
          <w:numId w:val="274"/>
        </w:numPr>
        <w:spacing w:after="0" w:line="300" w:lineRule="atLeast"/>
        <w:ind w:left="567"/>
        <w:contextualSpacing/>
        <w:jc w:val="both"/>
        <w:rPr>
          <w:rFonts w:ascii="Times New Roman" w:hAnsi="Times New Roman" w:cs="Times New Roman"/>
          <w:sz w:val="24"/>
          <w:szCs w:val="24"/>
        </w:rPr>
      </w:pPr>
      <w:r w:rsidRPr="00F015BA">
        <w:rPr>
          <w:rFonts w:ascii="Times New Roman" w:hAnsi="Times New Roman" w:cs="Times New Roman"/>
          <w:sz w:val="24"/>
          <w:szCs w:val="24"/>
        </w:rPr>
        <w:t>wszczęto 2 postępowania administracyjne</w:t>
      </w:r>
      <w:r w:rsidR="00F71165">
        <w:rPr>
          <w:rFonts w:ascii="Times New Roman" w:hAnsi="Times New Roman" w:cs="Times New Roman"/>
          <w:sz w:val="24"/>
          <w:szCs w:val="24"/>
        </w:rPr>
        <w:t>,</w:t>
      </w:r>
    </w:p>
    <w:p w14:paraId="7ABA4D3F" w14:textId="77777777" w:rsidR="00F015BA" w:rsidRPr="00F015BA" w:rsidRDefault="00F015BA" w:rsidP="00D34F97">
      <w:pPr>
        <w:numPr>
          <w:ilvl w:val="0"/>
          <w:numId w:val="274"/>
        </w:numPr>
        <w:spacing w:after="0" w:line="300" w:lineRule="atLeast"/>
        <w:ind w:left="567"/>
        <w:contextualSpacing/>
        <w:jc w:val="both"/>
        <w:rPr>
          <w:rFonts w:ascii="Times New Roman" w:hAnsi="Times New Roman" w:cs="Times New Roman"/>
          <w:sz w:val="24"/>
          <w:szCs w:val="24"/>
        </w:rPr>
      </w:pPr>
      <w:r w:rsidRPr="00F015BA">
        <w:rPr>
          <w:rFonts w:ascii="Times New Roman" w:hAnsi="Times New Roman" w:cs="Times New Roman"/>
          <w:sz w:val="24"/>
          <w:szCs w:val="24"/>
        </w:rPr>
        <w:t xml:space="preserve">skierowano 1 zgłoszenie na podstawie art. 7 ust 1 i art. 24 ust. 1 ustawy </w:t>
      </w:r>
      <w:r w:rsidRPr="00F015BA">
        <w:rPr>
          <w:rFonts w:ascii="Times New Roman" w:hAnsi="Times New Roman" w:cs="Times New Roman"/>
          <w:sz w:val="24"/>
          <w:szCs w:val="24"/>
        </w:rPr>
        <w:br/>
        <w:t>o zapobieganiu szkodom w środowisku do Regionalnego Dyrektora Ochrony Środowiska,</w:t>
      </w:r>
    </w:p>
    <w:p w14:paraId="58325A6E" w14:textId="77777777" w:rsidR="00F015BA" w:rsidRPr="00F015BA" w:rsidRDefault="00F015BA" w:rsidP="00D34F97">
      <w:pPr>
        <w:numPr>
          <w:ilvl w:val="0"/>
          <w:numId w:val="274"/>
        </w:numPr>
        <w:spacing w:after="0" w:line="300" w:lineRule="atLeast"/>
        <w:ind w:left="567"/>
        <w:contextualSpacing/>
        <w:jc w:val="both"/>
        <w:rPr>
          <w:rFonts w:ascii="Times New Roman" w:hAnsi="Times New Roman" w:cs="Times New Roman"/>
          <w:sz w:val="24"/>
          <w:szCs w:val="24"/>
        </w:rPr>
      </w:pPr>
      <w:r w:rsidRPr="00F015BA">
        <w:rPr>
          <w:rFonts w:ascii="Times New Roman" w:hAnsi="Times New Roman" w:cs="Times New Roman"/>
          <w:sz w:val="24"/>
          <w:szCs w:val="24"/>
        </w:rPr>
        <w:t>skierowano 2 zawiadomienia do organów ścigania,</w:t>
      </w:r>
    </w:p>
    <w:p w14:paraId="1EC40135" w14:textId="77777777" w:rsidR="00F015BA" w:rsidRPr="00F015BA" w:rsidRDefault="00F015BA" w:rsidP="00D34F97">
      <w:pPr>
        <w:numPr>
          <w:ilvl w:val="0"/>
          <w:numId w:val="274"/>
        </w:numPr>
        <w:spacing w:after="0" w:line="300" w:lineRule="atLeast"/>
        <w:ind w:left="567"/>
        <w:contextualSpacing/>
        <w:jc w:val="both"/>
        <w:rPr>
          <w:rFonts w:ascii="Times New Roman" w:hAnsi="Times New Roman" w:cs="Times New Roman"/>
          <w:sz w:val="24"/>
          <w:szCs w:val="24"/>
        </w:rPr>
      </w:pPr>
      <w:r w:rsidRPr="00F015BA">
        <w:rPr>
          <w:rFonts w:ascii="Times New Roman" w:hAnsi="Times New Roman" w:cs="Times New Roman"/>
          <w:sz w:val="24"/>
          <w:szCs w:val="24"/>
        </w:rPr>
        <w:t>skierowano 5 wystąpień do innych organów.</w:t>
      </w:r>
    </w:p>
    <w:p w14:paraId="606F2086" w14:textId="5C1FD2EF" w:rsidR="00F015BA" w:rsidRDefault="00F015BA" w:rsidP="00F015BA">
      <w:pPr>
        <w:spacing w:line="300" w:lineRule="atLeast"/>
        <w:contextualSpacing/>
        <w:jc w:val="both"/>
        <w:rPr>
          <w:rFonts w:ascii="Times New Roman" w:hAnsi="Times New Roman" w:cs="Times New Roman"/>
          <w:i/>
          <w:color w:val="4472C4"/>
          <w:sz w:val="24"/>
          <w:szCs w:val="24"/>
        </w:rPr>
      </w:pPr>
    </w:p>
    <w:p w14:paraId="4BEBF629" w14:textId="364F6CD8" w:rsidR="002C016E" w:rsidRDefault="002C016E" w:rsidP="00F015BA">
      <w:pPr>
        <w:spacing w:line="300" w:lineRule="atLeast"/>
        <w:contextualSpacing/>
        <w:jc w:val="both"/>
        <w:rPr>
          <w:rFonts w:ascii="Times New Roman" w:hAnsi="Times New Roman" w:cs="Times New Roman"/>
          <w:i/>
          <w:color w:val="4472C4"/>
          <w:sz w:val="24"/>
          <w:szCs w:val="24"/>
        </w:rPr>
      </w:pPr>
    </w:p>
    <w:p w14:paraId="200F6E2A" w14:textId="77777777" w:rsidR="002C016E" w:rsidRPr="00F015BA" w:rsidRDefault="002C016E" w:rsidP="00F015BA">
      <w:pPr>
        <w:spacing w:line="300" w:lineRule="atLeast"/>
        <w:contextualSpacing/>
        <w:jc w:val="both"/>
        <w:rPr>
          <w:rFonts w:ascii="Times New Roman" w:hAnsi="Times New Roman" w:cs="Times New Roman"/>
          <w:i/>
          <w:color w:val="4472C4"/>
          <w:sz w:val="24"/>
          <w:szCs w:val="24"/>
        </w:rPr>
      </w:pPr>
    </w:p>
    <w:p w14:paraId="223F9F74" w14:textId="77777777" w:rsidR="00F015BA" w:rsidRPr="00F015BA" w:rsidRDefault="00F015BA" w:rsidP="00F71165">
      <w:pPr>
        <w:spacing w:after="60" w:line="300" w:lineRule="atLeast"/>
        <w:jc w:val="both"/>
        <w:rPr>
          <w:rFonts w:ascii="Times New Roman" w:hAnsi="Times New Roman" w:cs="Times New Roman"/>
          <w:i/>
          <w:color w:val="4472C4"/>
          <w:sz w:val="24"/>
          <w:szCs w:val="24"/>
        </w:rPr>
      </w:pPr>
      <w:r w:rsidRPr="00F015BA">
        <w:rPr>
          <w:rFonts w:ascii="Times New Roman" w:hAnsi="Times New Roman" w:cs="Times New Roman"/>
          <w:i/>
          <w:color w:val="4472C4"/>
          <w:sz w:val="24"/>
          <w:szCs w:val="24"/>
        </w:rPr>
        <w:t>Wojewódzki Inspektorat Ochrony Środowiska w Olsztynie</w:t>
      </w:r>
    </w:p>
    <w:p w14:paraId="2A5A5C26" w14:textId="77777777" w:rsidR="00F71165" w:rsidRDefault="00F71165" w:rsidP="002C016E">
      <w:pPr>
        <w:spacing w:after="0" w:line="300" w:lineRule="atLeast"/>
        <w:ind w:firstLine="567"/>
        <w:jc w:val="both"/>
        <w:rPr>
          <w:rFonts w:ascii="Times New Roman" w:hAnsi="Times New Roman" w:cs="Times New Roman"/>
          <w:sz w:val="24"/>
          <w:szCs w:val="24"/>
        </w:rPr>
      </w:pPr>
      <w:r w:rsidRPr="00F71165">
        <w:rPr>
          <w:rFonts w:ascii="Times New Roman" w:hAnsi="Times New Roman" w:cs="Times New Roman"/>
          <w:sz w:val="24"/>
          <w:szCs w:val="24"/>
        </w:rPr>
        <w:t>W wyniku  prowadzonych czynności na podstawie art. 10b ustawy o Inspekcji Ochrony Środowiska i w związku z informacjami uzyskanymi w czasie prowadzenia przedmiotowych czynności wszczęto 13 kontroli.</w:t>
      </w:r>
    </w:p>
    <w:p w14:paraId="3287FB1B" w14:textId="77777777" w:rsidR="00F71165" w:rsidRDefault="00F71165" w:rsidP="002C016E">
      <w:pPr>
        <w:spacing w:after="0" w:line="300" w:lineRule="atLeast"/>
        <w:ind w:firstLine="567"/>
        <w:jc w:val="both"/>
        <w:rPr>
          <w:rFonts w:ascii="Times New Roman" w:hAnsi="Times New Roman" w:cs="Times New Roman"/>
          <w:sz w:val="24"/>
          <w:szCs w:val="24"/>
        </w:rPr>
      </w:pPr>
      <w:r w:rsidRPr="00F71165">
        <w:rPr>
          <w:rFonts w:ascii="Times New Roman" w:hAnsi="Times New Roman" w:cs="Times New Roman"/>
          <w:sz w:val="24"/>
          <w:szCs w:val="24"/>
        </w:rPr>
        <w:t xml:space="preserve">Informacje uzyskane w czasie prowadzenia czynności, o których mowa w art. 10b ust. 2 </w:t>
      </w:r>
      <w:proofErr w:type="spellStart"/>
      <w:r w:rsidRPr="00F71165">
        <w:rPr>
          <w:rFonts w:ascii="Times New Roman" w:hAnsi="Times New Roman" w:cs="Times New Roman"/>
          <w:sz w:val="24"/>
          <w:szCs w:val="24"/>
        </w:rPr>
        <w:t>u.i.o.ś</w:t>
      </w:r>
      <w:proofErr w:type="spellEnd"/>
      <w:r w:rsidRPr="00F71165">
        <w:rPr>
          <w:rFonts w:ascii="Times New Roman" w:hAnsi="Times New Roman" w:cs="Times New Roman"/>
          <w:sz w:val="24"/>
          <w:szCs w:val="24"/>
        </w:rPr>
        <w:t>. stanowiły dowód w przypadku 7 postepowań administracyjnych.</w:t>
      </w:r>
    </w:p>
    <w:p w14:paraId="3AD2ECC0" w14:textId="08FB7A1A" w:rsidR="00F015BA" w:rsidRDefault="00F71165" w:rsidP="002C016E">
      <w:pPr>
        <w:spacing w:after="0" w:line="300" w:lineRule="atLeast"/>
        <w:ind w:firstLine="567"/>
        <w:jc w:val="both"/>
        <w:rPr>
          <w:rFonts w:ascii="Times New Roman" w:hAnsi="Times New Roman" w:cs="Times New Roman"/>
          <w:sz w:val="24"/>
          <w:szCs w:val="24"/>
        </w:rPr>
      </w:pPr>
      <w:r w:rsidRPr="00F71165">
        <w:rPr>
          <w:rFonts w:ascii="Times New Roman" w:hAnsi="Times New Roman" w:cs="Times New Roman"/>
          <w:sz w:val="24"/>
          <w:szCs w:val="24"/>
        </w:rPr>
        <w:t>Wskutek  prowadzonych czynności na podstawie art. 10b ustawy o Inspekcji Ochrony Środowiska złożono 3 zawiadomienia do Prokuratury.</w:t>
      </w:r>
      <w:r>
        <w:t xml:space="preserve"> </w:t>
      </w:r>
    </w:p>
    <w:p w14:paraId="7247F61F" w14:textId="77777777" w:rsidR="00DE4EE4" w:rsidRPr="00F015BA" w:rsidRDefault="00DE4EE4" w:rsidP="00F71165">
      <w:pPr>
        <w:tabs>
          <w:tab w:val="left" w:pos="8100"/>
        </w:tabs>
        <w:spacing w:line="300" w:lineRule="atLeast"/>
        <w:contextualSpacing/>
        <w:jc w:val="both"/>
        <w:rPr>
          <w:rFonts w:ascii="Times New Roman" w:hAnsi="Times New Roman" w:cs="Times New Roman"/>
          <w:sz w:val="24"/>
          <w:szCs w:val="24"/>
        </w:rPr>
      </w:pPr>
    </w:p>
    <w:p w14:paraId="48D1603C" w14:textId="77777777" w:rsidR="00F015BA" w:rsidRPr="00F015BA" w:rsidRDefault="00F015BA" w:rsidP="00F71165">
      <w:pPr>
        <w:spacing w:after="60" w:line="300" w:lineRule="atLeast"/>
        <w:jc w:val="both"/>
        <w:rPr>
          <w:rFonts w:ascii="Times New Roman" w:hAnsi="Times New Roman" w:cs="Times New Roman"/>
          <w:i/>
          <w:color w:val="4472C4"/>
          <w:sz w:val="24"/>
          <w:szCs w:val="24"/>
        </w:rPr>
      </w:pPr>
      <w:r w:rsidRPr="00F015BA">
        <w:rPr>
          <w:rFonts w:ascii="Times New Roman" w:hAnsi="Times New Roman" w:cs="Times New Roman"/>
          <w:i/>
          <w:color w:val="4472C4"/>
          <w:sz w:val="24"/>
          <w:szCs w:val="24"/>
        </w:rPr>
        <w:t>Wojewódzki Inspektorat Ochrony Środowiska w Opolu</w:t>
      </w:r>
    </w:p>
    <w:p w14:paraId="16AC2B07" w14:textId="26EC3D06" w:rsidR="00F015BA" w:rsidRPr="00F015BA" w:rsidRDefault="00CC34AB" w:rsidP="002C016E">
      <w:pPr>
        <w:spacing w:after="0" w:line="300" w:lineRule="atLeast"/>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W roku </w:t>
      </w:r>
      <w:r w:rsidR="00F015BA" w:rsidRPr="00F015BA">
        <w:rPr>
          <w:rFonts w:ascii="Times New Roman" w:hAnsi="Times New Roman" w:cs="Times New Roman"/>
          <w:sz w:val="24"/>
          <w:szCs w:val="24"/>
        </w:rPr>
        <w:t xml:space="preserve">2022 informacje zebrane podczas czynności prowadzone w trybie 10b ustawy </w:t>
      </w:r>
      <w:r>
        <w:rPr>
          <w:rFonts w:ascii="Times New Roman" w:hAnsi="Times New Roman" w:cs="Times New Roman"/>
          <w:sz w:val="24"/>
          <w:szCs w:val="24"/>
        </w:rPr>
        <w:br/>
      </w:r>
      <w:r w:rsidR="00F015BA" w:rsidRPr="00F015BA">
        <w:rPr>
          <w:rFonts w:ascii="Times New Roman" w:hAnsi="Times New Roman" w:cs="Times New Roman"/>
          <w:sz w:val="24"/>
          <w:szCs w:val="24"/>
        </w:rPr>
        <w:t>o Inspekcji Ochrony Środowiska pozwoliły na:</w:t>
      </w:r>
    </w:p>
    <w:p w14:paraId="65FB6DDA" w14:textId="0AA3FEFC" w:rsidR="00F015BA" w:rsidRPr="00CC34AB" w:rsidRDefault="00F015BA" w:rsidP="00D34F97">
      <w:pPr>
        <w:pStyle w:val="Akapitzlist"/>
        <w:numPr>
          <w:ilvl w:val="0"/>
          <w:numId w:val="278"/>
        </w:numPr>
        <w:spacing w:line="300" w:lineRule="atLeast"/>
        <w:jc w:val="both"/>
        <w:rPr>
          <w:sz w:val="24"/>
          <w:szCs w:val="24"/>
        </w:rPr>
      </w:pPr>
      <w:r w:rsidRPr="00CC34AB">
        <w:rPr>
          <w:sz w:val="24"/>
          <w:szCs w:val="24"/>
        </w:rPr>
        <w:t>wszczęcie 36 kontroli podmiotów</w:t>
      </w:r>
      <w:r w:rsidR="00CC34AB">
        <w:rPr>
          <w:sz w:val="24"/>
          <w:szCs w:val="24"/>
          <w:lang w:val="pl-PL"/>
        </w:rPr>
        <w:t xml:space="preserve"> (dla porównania: 24 kontrole w 2021 r.), </w:t>
      </w:r>
    </w:p>
    <w:p w14:paraId="79B23AE1" w14:textId="20E1CB3C" w:rsidR="00F015BA" w:rsidRPr="00CC34AB" w:rsidRDefault="00F015BA" w:rsidP="00D34F97">
      <w:pPr>
        <w:pStyle w:val="Akapitzlist"/>
        <w:numPr>
          <w:ilvl w:val="0"/>
          <w:numId w:val="278"/>
        </w:numPr>
        <w:spacing w:line="300" w:lineRule="atLeast"/>
        <w:jc w:val="both"/>
        <w:rPr>
          <w:sz w:val="24"/>
          <w:szCs w:val="24"/>
        </w:rPr>
      </w:pPr>
      <w:r w:rsidRPr="00CC34AB">
        <w:rPr>
          <w:sz w:val="24"/>
          <w:szCs w:val="24"/>
        </w:rPr>
        <w:t>wszczęcie 21 postępowań administracyjnych</w:t>
      </w:r>
      <w:r w:rsidR="00CC34AB">
        <w:rPr>
          <w:sz w:val="24"/>
          <w:szCs w:val="24"/>
          <w:lang w:val="pl-PL"/>
        </w:rPr>
        <w:t xml:space="preserve"> (9 postępowań w 2021 r.), </w:t>
      </w:r>
    </w:p>
    <w:p w14:paraId="4589BF27" w14:textId="59398DB2" w:rsidR="00F015BA" w:rsidRPr="00CC34AB" w:rsidRDefault="00F015BA" w:rsidP="00D34F97">
      <w:pPr>
        <w:pStyle w:val="Akapitzlist"/>
        <w:numPr>
          <w:ilvl w:val="0"/>
          <w:numId w:val="278"/>
        </w:numPr>
        <w:spacing w:line="300" w:lineRule="atLeast"/>
        <w:jc w:val="both"/>
        <w:rPr>
          <w:sz w:val="24"/>
          <w:szCs w:val="24"/>
        </w:rPr>
      </w:pPr>
      <w:r w:rsidRPr="00CC34AB">
        <w:rPr>
          <w:sz w:val="24"/>
          <w:szCs w:val="24"/>
        </w:rPr>
        <w:t>wszczęcie 3 postępowań w sprawach o wykroczenia</w:t>
      </w:r>
      <w:r w:rsidR="00CC34AB">
        <w:rPr>
          <w:sz w:val="24"/>
          <w:szCs w:val="24"/>
          <w:lang w:val="pl-PL"/>
        </w:rPr>
        <w:t xml:space="preserve"> (4 postępowania w 2021 r.)</w:t>
      </w:r>
      <w:r w:rsidRPr="00CC34AB">
        <w:rPr>
          <w:sz w:val="24"/>
          <w:szCs w:val="24"/>
        </w:rPr>
        <w:t>,</w:t>
      </w:r>
    </w:p>
    <w:p w14:paraId="507706EB" w14:textId="4A8E5C6A" w:rsidR="00F015BA" w:rsidRPr="00CC34AB" w:rsidRDefault="00F015BA" w:rsidP="002C016E">
      <w:pPr>
        <w:pStyle w:val="Akapitzlist"/>
        <w:numPr>
          <w:ilvl w:val="0"/>
          <w:numId w:val="278"/>
        </w:numPr>
        <w:spacing w:line="300" w:lineRule="atLeast"/>
        <w:ind w:left="714" w:hanging="357"/>
        <w:contextualSpacing w:val="0"/>
        <w:jc w:val="both"/>
        <w:rPr>
          <w:sz w:val="24"/>
          <w:szCs w:val="24"/>
        </w:rPr>
      </w:pPr>
      <w:r w:rsidRPr="00CC34AB">
        <w:rPr>
          <w:sz w:val="24"/>
          <w:szCs w:val="24"/>
        </w:rPr>
        <w:t>złożenie 3 zawiadomień skierowanych do prokuratury o możliwości popełnienia przestępstwa w związku z art. 183 i art. 271 §1  ustawy z dnia 6 czerwca 1997 r. Kodeks karny</w:t>
      </w:r>
      <w:r w:rsidR="00CC34AB">
        <w:rPr>
          <w:sz w:val="24"/>
          <w:szCs w:val="24"/>
          <w:lang w:val="pl-PL"/>
        </w:rPr>
        <w:t xml:space="preserve"> (5 zawiadomień w 2021 r.).</w:t>
      </w:r>
    </w:p>
    <w:p w14:paraId="015157B7" w14:textId="77777777" w:rsidR="00F015BA" w:rsidRPr="00F015BA" w:rsidRDefault="00F015BA" w:rsidP="00F015BA">
      <w:pPr>
        <w:spacing w:line="300" w:lineRule="atLeast"/>
        <w:contextualSpacing/>
        <w:jc w:val="both"/>
        <w:rPr>
          <w:rFonts w:ascii="Times New Roman" w:hAnsi="Times New Roman" w:cs="Times New Roman"/>
          <w:sz w:val="24"/>
          <w:szCs w:val="24"/>
        </w:rPr>
      </w:pPr>
    </w:p>
    <w:p w14:paraId="289EC200" w14:textId="77777777" w:rsidR="00F015BA" w:rsidRPr="00F015BA" w:rsidRDefault="00F015BA" w:rsidP="00CC34AB">
      <w:pPr>
        <w:spacing w:after="60" w:line="300" w:lineRule="atLeast"/>
        <w:jc w:val="both"/>
        <w:rPr>
          <w:rFonts w:ascii="Times New Roman" w:hAnsi="Times New Roman" w:cs="Times New Roman"/>
          <w:i/>
          <w:color w:val="4472C4"/>
          <w:sz w:val="24"/>
          <w:szCs w:val="24"/>
        </w:rPr>
      </w:pPr>
      <w:r w:rsidRPr="00F015BA">
        <w:rPr>
          <w:rFonts w:ascii="Times New Roman" w:hAnsi="Times New Roman" w:cs="Times New Roman"/>
          <w:i/>
          <w:color w:val="4472C4"/>
          <w:sz w:val="24"/>
          <w:szCs w:val="24"/>
        </w:rPr>
        <w:t>Wojewódzki Inspektorat Ochrony Środowiska w Poznaniu</w:t>
      </w:r>
    </w:p>
    <w:p w14:paraId="6D854E85" w14:textId="77777777" w:rsidR="00F015BA" w:rsidRPr="00F015BA" w:rsidRDefault="00F015BA" w:rsidP="002C016E">
      <w:pPr>
        <w:spacing w:after="60" w:line="300" w:lineRule="atLeast"/>
        <w:ind w:firstLine="567"/>
        <w:jc w:val="both"/>
        <w:rPr>
          <w:rFonts w:ascii="Times New Roman" w:hAnsi="Times New Roman" w:cs="Times New Roman"/>
          <w:sz w:val="24"/>
          <w:szCs w:val="24"/>
        </w:rPr>
      </w:pPr>
      <w:r w:rsidRPr="00F015BA">
        <w:rPr>
          <w:rFonts w:ascii="Times New Roman" w:hAnsi="Times New Roman" w:cs="Times New Roman"/>
          <w:sz w:val="24"/>
          <w:szCs w:val="24"/>
        </w:rPr>
        <w:t>Wykorzystanie informacji uzyskanych podczas czynności prowadzonych na podstawie art. 10b ustawy o Inspekcji Ochrony Środowiska:</w:t>
      </w:r>
    </w:p>
    <w:p w14:paraId="2E222576" w14:textId="511C3347" w:rsidR="00F015BA" w:rsidRPr="00CC34AB" w:rsidRDefault="00F015BA" w:rsidP="00D34F97">
      <w:pPr>
        <w:pStyle w:val="Akapitzlist"/>
        <w:numPr>
          <w:ilvl w:val="0"/>
          <w:numId w:val="279"/>
        </w:numPr>
        <w:spacing w:line="300" w:lineRule="atLeast"/>
        <w:jc w:val="both"/>
        <w:rPr>
          <w:sz w:val="24"/>
          <w:szCs w:val="24"/>
        </w:rPr>
      </w:pPr>
      <w:r w:rsidRPr="00CC34AB">
        <w:rPr>
          <w:sz w:val="24"/>
          <w:szCs w:val="24"/>
        </w:rPr>
        <w:t>podjęto 58 kontroli,</w:t>
      </w:r>
    </w:p>
    <w:p w14:paraId="6F03F9B4" w14:textId="7E487E09" w:rsidR="00F015BA" w:rsidRPr="00CC34AB" w:rsidRDefault="00F015BA" w:rsidP="00D34F97">
      <w:pPr>
        <w:pStyle w:val="Akapitzlist"/>
        <w:numPr>
          <w:ilvl w:val="0"/>
          <w:numId w:val="279"/>
        </w:numPr>
        <w:spacing w:line="300" w:lineRule="atLeast"/>
        <w:jc w:val="both"/>
        <w:rPr>
          <w:sz w:val="24"/>
          <w:szCs w:val="24"/>
        </w:rPr>
      </w:pPr>
      <w:r w:rsidRPr="00CC34AB">
        <w:rPr>
          <w:sz w:val="24"/>
          <w:szCs w:val="24"/>
        </w:rPr>
        <w:t>jako dowód w 26 postępowaniach administracyjnych,</w:t>
      </w:r>
    </w:p>
    <w:p w14:paraId="068F666E" w14:textId="7BC97D91" w:rsidR="00F015BA" w:rsidRPr="00CC34AB" w:rsidRDefault="00F015BA" w:rsidP="00D34F97">
      <w:pPr>
        <w:pStyle w:val="Akapitzlist"/>
        <w:numPr>
          <w:ilvl w:val="0"/>
          <w:numId w:val="279"/>
        </w:numPr>
        <w:spacing w:line="300" w:lineRule="atLeast"/>
        <w:jc w:val="both"/>
        <w:rPr>
          <w:sz w:val="24"/>
          <w:szCs w:val="24"/>
        </w:rPr>
      </w:pPr>
      <w:r w:rsidRPr="00CC34AB">
        <w:rPr>
          <w:sz w:val="24"/>
          <w:szCs w:val="24"/>
        </w:rPr>
        <w:t xml:space="preserve">jako dowód w 18 postępowaniach karnych na podstawie skierowanych zawiadomień </w:t>
      </w:r>
      <w:r w:rsidR="00CC34AB">
        <w:rPr>
          <w:sz w:val="24"/>
          <w:szCs w:val="24"/>
        </w:rPr>
        <w:br/>
      </w:r>
      <w:r w:rsidRPr="00CC34AB">
        <w:rPr>
          <w:sz w:val="24"/>
          <w:szCs w:val="24"/>
        </w:rPr>
        <w:t>o możliwości popełnienia przestępstwa do Prokuratury (w jednym przypadku Prokuratura skierowała akty oskarżenia do Sądu)</w:t>
      </w:r>
    </w:p>
    <w:p w14:paraId="46593D23" w14:textId="27AEE665" w:rsidR="00F015BA" w:rsidRPr="00CC34AB" w:rsidRDefault="00F015BA" w:rsidP="00D34F97">
      <w:pPr>
        <w:pStyle w:val="Akapitzlist"/>
        <w:numPr>
          <w:ilvl w:val="0"/>
          <w:numId w:val="279"/>
        </w:numPr>
        <w:spacing w:line="300" w:lineRule="atLeast"/>
        <w:jc w:val="both"/>
        <w:rPr>
          <w:sz w:val="24"/>
          <w:szCs w:val="24"/>
        </w:rPr>
      </w:pPr>
      <w:r w:rsidRPr="00CC34AB">
        <w:rPr>
          <w:sz w:val="24"/>
          <w:szCs w:val="24"/>
        </w:rPr>
        <w:t>jako dowód w 2 postępowaniach w sprawach o wykroczenia.</w:t>
      </w:r>
    </w:p>
    <w:p w14:paraId="688B43E0" w14:textId="77777777" w:rsidR="00F015BA" w:rsidRPr="00F015BA" w:rsidRDefault="00F015BA" w:rsidP="00F015BA">
      <w:pPr>
        <w:spacing w:line="300" w:lineRule="atLeast"/>
        <w:contextualSpacing/>
        <w:jc w:val="both"/>
        <w:rPr>
          <w:rFonts w:ascii="Times New Roman" w:hAnsi="Times New Roman" w:cs="Times New Roman"/>
          <w:i/>
          <w:color w:val="4472C4"/>
          <w:sz w:val="24"/>
          <w:szCs w:val="24"/>
        </w:rPr>
      </w:pPr>
    </w:p>
    <w:p w14:paraId="41B7D240" w14:textId="77777777" w:rsidR="00F015BA" w:rsidRPr="00F015BA" w:rsidRDefault="00F015BA" w:rsidP="00CC34AB">
      <w:pPr>
        <w:spacing w:after="60" w:line="300" w:lineRule="atLeast"/>
        <w:jc w:val="both"/>
        <w:rPr>
          <w:rFonts w:ascii="Times New Roman" w:hAnsi="Times New Roman" w:cs="Times New Roman"/>
          <w:i/>
          <w:color w:val="4472C4"/>
          <w:sz w:val="24"/>
          <w:szCs w:val="24"/>
        </w:rPr>
      </w:pPr>
      <w:r w:rsidRPr="00F015BA">
        <w:rPr>
          <w:rFonts w:ascii="Times New Roman" w:hAnsi="Times New Roman" w:cs="Times New Roman"/>
          <w:i/>
          <w:color w:val="4472C4"/>
          <w:sz w:val="24"/>
          <w:szCs w:val="24"/>
        </w:rPr>
        <w:t>Wojewódzki Inspektorat Ochrony Środowiska w Rzeszowie</w:t>
      </w:r>
    </w:p>
    <w:p w14:paraId="4409ADFA" w14:textId="77777777" w:rsidR="00F015BA" w:rsidRPr="00F015BA" w:rsidRDefault="00F015BA" w:rsidP="00CC34AB">
      <w:pPr>
        <w:autoSpaceDE w:val="0"/>
        <w:autoSpaceDN w:val="0"/>
        <w:adjustRightInd w:val="0"/>
        <w:spacing w:after="60" w:line="300" w:lineRule="atLeast"/>
        <w:ind w:firstLine="567"/>
        <w:jc w:val="both"/>
        <w:rPr>
          <w:rFonts w:ascii="Times New Roman" w:hAnsi="Times New Roman" w:cs="Times New Roman"/>
          <w:sz w:val="24"/>
          <w:szCs w:val="24"/>
        </w:rPr>
      </w:pPr>
      <w:r w:rsidRPr="00F015BA">
        <w:rPr>
          <w:rFonts w:ascii="Times New Roman" w:hAnsi="Times New Roman" w:cs="Times New Roman"/>
          <w:sz w:val="24"/>
          <w:szCs w:val="24"/>
        </w:rPr>
        <w:t xml:space="preserve">W wyniku czynności podejmowanych na podstawie art. 10b IOŚ205, w roku 2021 podjęto 13 kontroli pozaplanowych. Skierowano 2 zawiadomienia do Prokuratury: </w:t>
      </w:r>
    </w:p>
    <w:p w14:paraId="426429A9" w14:textId="4B8C4CD9" w:rsidR="00F015BA" w:rsidRPr="00CC34AB" w:rsidRDefault="00F015BA" w:rsidP="00D34F97">
      <w:pPr>
        <w:pStyle w:val="Akapitzlist"/>
        <w:numPr>
          <w:ilvl w:val="0"/>
          <w:numId w:val="280"/>
        </w:numPr>
        <w:autoSpaceDE w:val="0"/>
        <w:autoSpaceDN w:val="0"/>
        <w:adjustRightInd w:val="0"/>
        <w:spacing w:line="300" w:lineRule="atLeast"/>
        <w:jc w:val="both"/>
        <w:rPr>
          <w:sz w:val="24"/>
          <w:szCs w:val="24"/>
        </w:rPr>
      </w:pPr>
      <w:r w:rsidRPr="00CC34AB">
        <w:rPr>
          <w:sz w:val="24"/>
          <w:szCs w:val="24"/>
        </w:rPr>
        <w:t xml:space="preserve">Zawiadomienie o  możliwości popełnienia przestępstwa na podstawie art. 225 § 1 </w:t>
      </w:r>
      <w:r w:rsidR="00CC34AB">
        <w:rPr>
          <w:sz w:val="24"/>
          <w:szCs w:val="24"/>
        </w:rPr>
        <w:br/>
      </w:r>
      <w:r w:rsidRPr="00CC34AB">
        <w:rPr>
          <w:sz w:val="24"/>
          <w:szCs w:val="24"/>
        </w:rPr>
        <w:t>w związku z art.183 § 1 ustawy z dnia z dnia 6 czerwca 1997 r. Kodeks Karny</w:t>
      </w:r>
      <w:r w:rsidR="00CC34AB">
        <w:rPr>
          <w:sz w:val="24"/>
          <w:szCs w:val="24"/>
          <w:lang w:val="pl-PL"/>
        </w:rPr>
        <w:t>.</w:t>
      </w:r>
    </w:p>
    <w:p w14:paraId="4B520791" w14:textId="6A5FCA43" w:rsidR="00F015BA" w:rsidRPr="00CC34AB" w:rsidRDefault="00F015BA" w:rsidP="00D34F97">
      <w:pPr>
        <w:pStyle w:val="Akapitzlist"/>
        <w:numPr>
          <w:ilvl w:val="0"/>
          <w:numId w:val="280"/>
        </w:numPr>
        <w:autoSpaceDE w:val="0"/>
        <w:autoSpaceDN w:val="0"/>
        <w:adjustRightInd w:val="0"/>
        <w:spacing w:after="120" w:line="300" w:lineRule="atLeast"/>
        <w:ind w:left="714" w:hanging="357"/>
        <w:contextualSpacing w:val="0"/>
        <w:jc w:val="both"/>
        <w:rPr>
          <w:sz w:val="24"/>
          <w:szCs w:val="24"/>
        </w:rPr>
      </w:pPr>
      <w:r w:rsidRPr="00CC34AB">
        <w:rPr>
          <w:sz w:val="24"/>
          <w:szCs w:val="24"/>
        </w:rPr>
        <w:t xml:space="preserve">Zawiadomienie o możliwości popełnienia przestępstwa na podstawie art. 225 §1 oraz </w:t>
      </w:r>
      <w:r w:rsidRPr="00CC34AB">
        <w:rPr>
          <w:sz w:val="24"/>
          <w:szCs w:val="24"/>
        </w:rPr>
        <w:br/>
        <w:t>art. 226 §1 ustawy z dnia 6 czerwca 1997 r. Kodeks karny.</w:t>
      </w:r>
    </w:p>
    <w:p w14:paraId="027D50AD" w14:textId="5EEBCE3E" w:rsidR="00F015BA" w:rsidRPr="00F015BA" w:rsidRDefault="00F015BA" w:rsidP="002C016E">
      <w:pPr>
        <w:autoSpaceDE w:val="0"/>
        <w:autoSpaceDN w:val="0"/>
        <w:adjustRightInd w:val="0"/>
        <w:spacing w:after="0" w:line="300" w:lineRule="atLeast"/>
        <w:ind w:firstLine="567"/>
        <w:jc w:val="both"/>
        <w:rPr>
          <w:rFonts w:ascii="Times New Roman" w:hAnsi="Times New Roman" w:cs="Times New Roman"/>
          <w:sz w:val="24"/>
          <w:szCs w:val="24"/>
        </w:rPr>
      </w:pPr>
      <w:r w:rsidRPr="00F015BA">
        <w:rPr>
          <w:rFonts w:ascii="Times New Roman" w:hAnsi="Times New Roman" w:cs="Times New Roman"/>
          <w:sz w:val="24"/>
          <w:szCs w:val="24"/>
        </w:rPr>
        <w:t>W roku 2022, w wyniku czynności podejmowanych na podstawie art. 10b IOŚ208, podjęto 32 kontrole pozaplanowe. W związku z przeprowadzonymi kontrolami wszczęto 30 postępowań administracyjnych. Na podstawie ustaleń przeprowadzonych kontroli skierowano 3 zawiadomienia do Prokuratora:</w:t>
      </w:r>
    </w:p>
    <w:p w14:paraId="1C8CA277" w14:textId="6120C847" w:rsidR="00F015BA" w:rsidRPr="00CC34AB" w:rsidRDefault="00F015BA" w:rsidP="00D34F97">
      <w:pPr>
        <w:pStyle w:val="Akapitzlist"/>
        <w:numPr>
          <w:ilvl w:val="3"/>
          <w:numId w:val="281"/>
        </w:numPr>
        <w:autoSpaceDE w:val="0"/>
        <w:autoSpaceDN w:val="0"/>
        <w:adjustRightInd w:val="0"/>
        <w:spacing w:line="300" w:lineRule="atLeast"/>
        <w:ind w:left="641" w:hanging="357"/>
        <w:jc w:val="both"/>
        <w:rPr>
          <w:sz w:val="24"/>
          <w:szCs w:val="24"/>
        </w:rPr>
      </w:pPr>
      <w:r w:rsidRPr="00CC34AB">
        <w:rPr>
          <w:sz w:val="24"/>
          <w:szCs w:val="24"/>
        </w:rPr>
        <w:t>Zawiadomienie o możliwości popełnienia przestępstwa na podstawie art. 271 § 1ustawy z dnia 6 czerwca 1997 r. Kodeks karny</w:t>
      </w:r>
      <w:r w:rsidR="00CC34AB">
        <w:rPr>
          <w:sz w:val="24"/>
          <w:szCs w:val="24"/>
          <w:lang w:val="pl-PL"/>
        </w:rPr>
        <w:t>.</w:t>
      </w:r>
    </w:p>
    <w:p w14:paraId="5A4169C0" w14:textId="20C56550" w:rsidR="00F015BA" w:rsidRPr="00CC34AB" w:rsidRDefault="00F015BA" w:rsidP="00D34F97">
      <w:pPr>
        <w:pStyle w:val="Akapitzlist"/>
        <w:numPr>
          <w:ilvl w:val="3"/>
          <w:numId w:val="281"/>
        </w:numPr>
        <w:autoSpaceDE w:val="0"/>
        <w:autoSpaceDN w:val="0"/>
        <w:adjustRightInd w:val="0"/>
        <w:spacing w:line="300" w:lineRule="atLeast"/>
        <w:ind w:left="641" w:hanging="357"/>
        <w:jc w:val="both"/>
        <w:rPr>
          <w:sz w:val="24"/>
          <w:szCs w:val="24"/>
        </w:rPr>
      </w:pPr>
      <w:r w:rsidRPr="00CC34AB">
        <w:rPr>
          <w:sz w:val="24"/>
          <w:szCs w:val="24"/>
        </w:rPr>
        <w:t>Dwa zawiadomienia o możliwości popełnienia przestępstwa na podstawie art. 183 § 4 ustawy Kodeks Karny</w:t>
      </w:r>
      <w:r w:rsidR="00CC34AB">
        <w:rPr>
          <w:sz w:val="24"/>
          <w:szCs w:val="24"/>
          <w:lang w:val="pl-PL"/>
        </w:rPr>
        <w:t>.</w:t>
      </w:r>
    </w:p>
    <w:p w14:paraId="1A82D646" w14:textId="34DD53E2" w:rsidR="00F015BA" w:rsidRPr="00F015BA" w:rsidRDefault="00F015BA" w:rsidP="002C016E">
      <w:pPr>
        <w:autoSpaceDE w:val="0"/>
        <w:autoSpaceDN w:val="0"/>
        <w:adjustRightInd w:val="0"/>
        <w:spacing w:line="300" w:lineRule="atLeast"/>
        <w:ind w:firstLine="567"/>
        <w:contextualSpacing/>
        <w:jc w:val="both"/>
        <w:rPr>
          <w:rFonts w:ascii="Times New Roman" w:hAnsi="Times New Roman" w:cs="Times New Roman"/>
          <w:sz w:val="24"/>
          <w:szCs w:val="24"/>
        </w:rPr>
      </w:pPr>
      <w:r w:rsidRPr="00F015BA">
        <w:rPr>
          <w:rFonts w:ascii="Times New Roman" w:hAnsi="Times New Roman" w:cs="Times New Roman"/>
          <w:sz w:val="24"/>
          <w:szCs w:val="24"/>
        </w:rPr>
        <w:t xml:space="preserve">W 2022 r., nastąpił znaczny wzrost </w:t>
      </w:r>
      <w:r w:rsidR="00CC34AB">
        <w:rPr>
          <w:rFonts w:ascii="Times New Roman" w:hAnsi="Times New Roman" w:cs="Times New Roman"/>
          <w:sz w:val="24"/>
          <w:szCs w:val="24"/>
        </w:rPr>
        <w:t xml:space="preserve">liczby </w:t>
      </w:r>
      <w:r w:rsidRPr="00F015BA">
        <w:rPr>
          <w:rFonts w:ascii="Times New Roman" w:hAnsi="Times New Roman" w:cs="Times New Roman"/>
          <w:sz w:val="24"/>
          <w:szCs w:val="24"/>
        </w:rPr>
        <w:t>kontroli podjętych po czynnościach w trybie 10 b IOŚ oraz wszczętych postępowań administracyjnych w sprawie wymierzenia kary.</w:t>
      </w:r>
    </w:p>
    <w:p w14:paraId="28630802" w14:textId="77777777" w:rsidR="00F015BA" w:rsidRPr="00F015BA" w:rsidRDefault="00F015BA" w:rsidP="00F015BA">
      <w:pPr>
        <w:spacing w:line="300" w:lineRule="atLeast"/>
        <w:contextualSpacing/>
        <w:jc w:val="both"/>
        <w:rPr>
          <w:rFonts w:ascii="Times New Roman" w:hAnsi="Times New Roman" w:cs="Times New Roman"/>
          <w:i/>
          <w:color w:val="4472C4"/>
          <w:sz w:val="24"/>
          <w:szCs w:val="24"/>
        </w:rPr>
      </w:pPr>
    </w:p>
    <w:p w14:paraId="7A3700A0" w14:textId="77777777" w:rsidR="00F015BA" w:rsidRPr="00F015BA" w:rsidRDefault="00F015BA" w:rsidP="00CC34AB">
      <w:pPr>
        <w:spacing w:after="60" w:line="300" w:lineRule="atLeast"/>
        <w:jc w:val="both"/>
        <w:rPr>
          <w:rFonts w:ascii="Times New Roman" w:hAnsi="Times New Roman" w:cs="Times New Roman"/>
          <w:i/>
          <w:color w:val="4472C4"/>
          <w:sz w:val="24"/>
          <w:szCs w:val="24"/>
        </w:rPr>
      </w:pPr>
      <w:r w:rsidRPr="00F015BA">
        <w:rPr>
          <w:rFonts w:ascii="Times New Roman" w:hAnsi="Times New Roman" w:cs="Times New Roman"/>
          <w:i/>
          <w:color w:val="4472C4"/>
          <w:sz w:val="24"/>
          <w:szCs w:val="24"/>
        </w:rPr>
        <w:t>Wojewódzki Inspektorat Ochrony Środowiska w Szczecinie</w:t>
      </w:r>
    </w:p>
    <w:p w14:paraId="2B1FFA67" w14:textId="3DE45C9B" w:rsidR="00F015BA" w:rsidRPr="00F015BA" w:rsidRDefault="00F015BA" w:rsidP="00CC34AB">
      <w:pPr>
        <w:autoSpaceDE w:val="0"/>
        <w:autoSpaceDN w:val="0"/>
        <w:adjustRightInd w:val="0"/>
        <w:spacing w:after="0" w:line="300" w:lineRule="atLeast"/>
        <w:ind w:firstLine="567"/>
        <w:jc w:val="both"/>
        <w:rPr>
          <w:rFonts w:ascii="Times New Roman" w:hAnsi="Times New Roman" w:cs="Times New Roman"/>
          <w:sz w:val="24"/>
          <w:szCs w:val="24"/>
        </w:rPr>
      </w:pPr>
      <w:r w:rsidRPr="00F015BA">
        <w:rPr>
          <w:rFonts w:ascii="Times New Roman" w:hAnsi="Times New Roman" w:cs="Times New Roman"/>
          <w:sz w:val="24"/>
          <w:szCs w:val="24"/>
        </w:rPr>
        <w:t xml:space="preserve">W 6 przypadkach informacje uzyskane w trakcie czynności prowadzonych na podstawie art. 10b ustawy </w:t>
      </w:r>
      <w:r w:rsidRPr="00CC34AB">
        <w:rPr>
          <w:rFonts w:ascii="Times New Roman" w:hAnsi="Times New Roman" w:cs="Times New Roman"/>
          <w:iCs/>
          <w:sz w:val="24"/>
          <w:szCs w:val="24"/>
        </w:rPr>
        <w:t>o Inspekcji Ochrony Środowiska</w:t>
      </w:r>
      <w:r w:rsidRPr="00F015BA">
        <w:rPr>
          <w:rFonts w:ascii="Times New Roman" w:hAnsi="Times New Roman" w:cs="Times New Roman"/>
          <w:sz w:val="24"/>
          <w:szCs w:val="24"/>
        </w:rPr>
        <w:t xml:space="preserve"> były podstawą do wszczęcia kontroli interwencyjnej. W roku 2021 był to jeden przypadek.</w:t>
      </w:r>
    </w:p>
    <w:p w14:paraId="04D61A10" w14:textId="77777777" w:rsidR="00F015BA" w:rsidRPr="00F015BA" w:rsidRDefault="00F015BA" w:rsidP="00F015BA">
      <w:pPr>
        <w:spacing w:line="300" w:lineRule="atLeast"/>
        <w:contextualSpacing/>
        <w:jc w:val="both"/>
        <w:rPr>
          <w:rFonts w:ascii="Times New Roman" w:hAnsi="Times New Roman" w:cs="Times New Roman"/>
          <w:i/>
          <w:color w:val="4472C4"/>
          <w:sz w:val="24"/>
          <w:szCs w:val="24"/>
        </w:rPr>
      </w:pPr>
    </w:p>
    <w:p w14:paraId="24B286B8" w14:textId="77777777" w:rsidR="00F015BA" w:rsidRPr="00F015BA" w:rsidRDefault="00F015BA" w:rsidP="00CC34AB">
      <w:pPr>
        <w:spacing w:after="60" w:line="300" w:lineRule="atLeast"/>
        <w:jc w:val="both"/>
        <w:rPr>
          <w:rFonts w:ascii="Times New Roman" w:hAnsi="Times New Roman" w:cs="Times New Roman"/>
          <w:i/>
          <w:color w:val="4472C4"/>
          <w:sz w:val="24"/>
          <w:szCs w:val="24"/>
        </w:rPr>
      </w:pPr>
      <w:r w:rsidRPr="00F015BA">
        <w:rPr>
          <w:rFonts w:ascii="Times New Roman" w:hAnsi="Times New Roman" w:cs="Times New Roman"/>
          <w:i/>
          <w:color w:val="4472C4"/>
          <w:sz w:val="24"/>
          <w:szCs w:val="24"/>
        </w:rPr>
        <w:t>Wojewódzki Inspektorat Ochrony Środowiska w Warszawie</w:t>
      </w:r>
    </w:p>
    <w:p w14:paraId="6FE70F71" w14:textId="77777777" w:rsidR="00F015BA" w:rsidRPr="00F015BA" w:rsidRDefault="00F015BA" w:rsidP="00CC34AB">
      <w:pPr>
        <w:spacing w:after="0" w:line="300" w:lineRule="atLeast"/>
        <w:jc w:val="both"/>
        <w:rPr>
          <w:rFonts w:ascii="Times New Roman" w:hAnsi="Times New Roman" w:cs="Times New Roman"/>
          <w:sz w:val="24"/>
          <w:szCs w:val="24"/>
        </w:rPr>
      </w:pPr>
      <w:r w:rsidRPr="00F015BA">
        <w:rPr>
          <w:rFonts w:ascii="Times New Roman" w:hAnsi="Times New Roman" w:cs="Times New Roman"/>
          <w:sz w:val="24"/>
          <w:szCs w:val="24"/>
        </w:rPr>
        <w:t>Czynności zrealizowane w trybie art. 10b ustawy o IOŚ, w roku 2022 r. spowodowały:</w:t>
      </w:r>
    </w:p>
    <w:p w14:paraId="0E4850A6" w14:textId="77777777" w:rsidR="00F015BA" w:rsidRPr="00F015BA" w:rsidRDefault="00F015BA" w:rsidP="00D34F97">
      <w:pPr>
        <w:pStyle w:val="Akapitzlist"/>
        <w:numPr>
          <w:ilvl w:val="0"/>
          <w:numId w:val="282"/>
        </w:numPr>
        <w:spacing w:line="300" w:lineRule="atLeast"/>
        <w:ind w:left="641" w:hanging="357"/>
        <w:jc w:val="both"/>
        <w:rPr>
          <w:sz w:val="24"/>
          <w:szCs w:val="24"/>
        </w:rPr>
      </w:pPr>
      <w:r w:rsidRPr="00F015BA">
        <w:rPr>
          <w:sz w:val="24"/>
          <w:szCs w:val="24"/>
        </w:rPr>
        <w:t xml:space="preserve">61 kontroli interwencyjnych, </w:t>
      </w:r>
    </w:p>
    <w:p w14:paraId="074AA7AE" w14:textId="77777777" w:rsidR="00F015BA" w:rsidRPr="00F015BA" w:rsidRDefault="00F015BA" w:rsidP="00D34F97">
      <w:pPr>
        <w:pStyle w:val="Akapitzlist"/>
        <w:numPr>
          <w:ilvl w:val="0"/>
          <w:numId w:val="282"/>
        </w:numPr>
        <w:spacing w:line="300" w:lineRule="atLeast"/>
        <w:ind w:left="641" w:hanging="357"/>
        <w:jc w:val="both"/>
        <w:rPr>
          <w:sz w:val="24"/>
          <w:szCs w:val="24"/>
        </w:rPr>
      </w:pPr>
      <w:r w:rsidRPr="00F015BA">
        <w:rPr>
          <w:sz w:val="24"/>
          <w:szCs w:val="24"/>
        </w:rPr>
        <w:lastRenderedPageBreak/>
        <w:t xml:space="preserve">26 postępowań administracyjnych, </w:t>
      </w:r>
    </w:p>
    <w:p w14:paraId="560F7A9A" w14:textId="737BAF57" w:rsidR="00F015BA" w:rsidRDefault="00F015BA" w:rsidP="00D34F97">
      <w:pPr>
        <w:pStyle w:val="Akapitzlist"/>
        <w:numPr>
          <w:ilvl w:val="0"/>
          <w:numId w:val="282"/>
        </w:numPr>
        <w:spacing w:line="300" w:lineRule="atLeast"/>
        <w:ind w:left="641" w:hanging="357"/>
        <w:jc w:val="both"/>
        <w:rPr>
          <w:sz w:val="24"/>
          <w:szCs w:val="24"/>
        </w:rPr>
      </w:pPr>
      <w:r w:rsidRPr="00F015BA">
        <w:rPr>
          <w:sz w:val="24"/>
          <w:szCs w:val="24"/>
        </w:rPr>
        <w:t xml:space="preserve">15 postępowań karnych. </w:t>
      </w:r>
    </w:p>
    <w:p w14:paraId="6B0281FB" w14:textId="77777777" w:rsidR="006934C8" w:rsidRPr="00F015BA" w:rsidRDefault="006934C8" w:rsidP="006934C8">
      <w:pPr>
        <w:pStyle w:val="Akapitzlist"/>
        <w:spacing w:line="300" w:lineRule="atLeast"/>
        <w:ind w:left="641"/>
        <w:jc w:val="both"/>
        <w:rPr>
          <w:sz w:val="24"/>
          <w:szCs w:val="24"/>
        </w:rPr>
      </w:pPr>
    </w:p>
    <w:p w14:paraId="53EEF90D" w14:textId="77777777" w:rsidR="00F015BA" w:rsidRPr="00F015BA" w:rsidRDefault="00F015BA" w:rsidP="002C016E">
      <w:pPr>
        <w:spacing w:after="120" w:line="300" w:lineRule="atLeast"/>
        <w:jc w:val="both"/>
        <w:rPr>
          <w:rFonts w:ascii="Times New Roman" w:hAnsi="Times New Roman" w:cs="Times New Roman"/>
          <w:i/>
          <w:color w:val="4472C4"/>
          <w:sz w:val="24"/>
          <w:szCs w:val="24"/>
        </w:rPr>
      </w:pPr>
      <w:r w:rsidRPr="00F015BA">
        <w:rPr>
          <w:rFonts w:ascii="Times New Roman" w:hAnsi="Times New Roman" w:cs="Times New Roman"/>
          <w:i/>
          <w:color w:val="4472C4"/>
          <w:sz w:val="24"/>
          <w:szCs w:val="24"/>
        </w:rPr>
        <w:t>Wojewódzki Inspektorat Ochrony Środowiska we Wrocławiu</w:t>
      </w:r>
    </w:p>
    <w:p w14:paraId="3C720C4C" w14:textId="77777777" w:rsidR="00F015BA" w:rsidRPr="00F015BA" w:rsidRDefault="00F015BA" w:rsidP="006C4DF0">
      <w:pPr>
        <w:spacing w:after="60" w:line="300" w:lineRule="atLeast"/>
        <w:jc w:val="both"/>
        <w:rPr>
          <w:rFonts w:ascii="Times New Roman" w:hAnsi="Times New Roman" w:cs="Times New Roman"/>
          <w:sz w:val="24"/>
          <w:szCs w:val="24"/>
          <w:u w:val="single"/>
        </w:rPr>
      </w:pPr>
      <w:r w:rsidRPr="00F015BA">
        <w:rPr>
          <w:rFonts w:ascii="Times New Roman" w:hAnsi="Times New Roman" w:cs="Times New Roman"/>
          <w:sz w:val="24"/>
          <w:szCs w:val="24"/>
          <w:u w:val="single"/>
        </w:rPr>
        <w:t>Wydział/Działy Inspekcji:</w:t>
      </w:r>
    </w:p>
    <w:p w14:paraId="7E4E8ECE" w14:textId="6692C7B4" w:rsidR="00F015BA" w:rsidRPr="00F015BA" w:rsidRDefault="00F015BA" w:rsidP="002C016E">
      <w:pPr>
        <w:spacing w:line="300" w:lineRule="atLeast"/>
        <w:ind w:firstLine="567"/>
        <w:contextualSpacing/>
        <w:jc w:val="both"/>
        <w:rPr>
          <w:rFonts w:ascii="Times New Roman" w:hAnsi="Times New Roman" w:cs="Times New Roman"/>
          <w:sz w:val="24"/>
          <w:szCs w:val="24"/>
        </w:rPr>
      </w:pPr>
      <w:r w:rsidRPr="00F015BA">
        <w:rPr>
          <w:rFonts w:ascii="Times New Roman" w:hAnsi="Times New Roman" w:cs="Times New Roman"/>
          <w:sz w:val="24"/>
          <w:szCs w:val="24"/>
        </w:rPr>
        <w:t xml:space="preserve">W związku z uzyskanymi informacjami, na podstawie których prowadzono działania </w:t>
      </w:r>
      <w:r w:rsidR="006C4DF0">
        <w:rPr>
          <w:rFonts w:ascii="Times New Roman" w:hAnsi="Times New Roman" w:cs="Times New Roman"/>
          <w:sz w:val="24"/>
          <w:szCs w:val="24"/>
        </w:rPr>
        <w:br/>
      </w:r>
      <w:r w:rsidRPr="00F015BA">
        <w:rPr>
          <w:rFonts w:ascii="Times New Roman" w:hAnsi="Times New Roman" w:cs="Times New Roman"/>
          <w:sz w:val="24"/>
          <w:szCs w:val="24"/>
        </w:rPr>
        <w:t xml:space="preserve">w trybie art. 10b w 2022 roku </w:t>
      </w:r>
      <w:r w:rsidRPr="00F015BA">
        <w:rPr>
          <w:rFonts w:ascii="Times New Roman" w:eastAsia="Calibri" w:hAnsi="Times New Roman" w:cs="Times New Roman"/>
          <w:sz w:val="24"/>
          <w:szCs w:val="24"/>
        </w:rPr>
        <w:t xml:space="preserve">inspektorzy Wydziału /Działów Inspekcji </w:t>
      </w:r>
      <w:r w:rsidRPr="00F015BA">
        <w:rPr>
          <w:rFonts w:ascii="Times New Roman" w:hAnsi="Times New Roman" w:cs="Times New Roman"/>
          <w:sz w:val="24"/>
          <w:szCs w:val="24"/>
        </w:rPr>
        <w:t xml:space="preserve">wszczęli 22 kontrole, w 2021 było to 18 kontroli. Informacje z działań stanowiły dowód w 10 postępowaniach </w:t>
      </w:r>
      <w:r w:rsidR="006C4DF0">
        <w:rPr>
          <w:rFonts w:ascii="Times New Roman" w:hAnsi="Times New Roman" w:cs="Times New Roman"/>
          <w:sz w:val="24"/>
          <w:szCs w:val="24"/>
        </w:rPr>
        <w:br/>
      </w:r>
      <w:r w:rsidRPr="00F015BA">
        <w:rPr>
          <w:rFonts w:ascii="Times New Roman" w:hAnsi="Times New Roman" w:cs="Times New Roman"/>
          <w:sz w:val="24"/>
          <w:szCs w:val="24"/>
        </w:rPr>
        <w:t>w sprawach o wykroczenia, w 2021 w 5 postępowaniach w sprawach o wykroczenia.</w:t>
      </w:r>
    </w:p>
    <w:p w14:paraId="26C974D1" w14:textId="77777777" w:rsidR="00F015BA" w:rsidRPr="00F015BA" w:rsidRDefault="00F015BA" w:rsidP="002C016E">
      <w:pPr>
        <w:spacing w:after="120" w:line="300" w:lineRule="atLeast"/>
        <w:ind w:firstLine="567"/>
        <w:jc w:val="both"/>
        <w:rPr>
          <w:rFonts w:ascii="Times New Roman" w:hAnsi="Times New Roman" w:cs="Times New Roman"/>
          <w:sz w:val="24"/>
          <w:szCs w:val="24"/>
        </w:rPr>
      </w:pPr>
      <w:r w:rsidRPr="00F015BA">
        <w:rPr>
          <w:rFonts w:ascii="Times New Roman" w:hAnsi="Times New Roman" w:cs="Times New Roman"/>
          <w:sz w:val="24"/>
          <w:szCs w:val="24"/>
        </w:rPr>
        <w:t>Złożono 7 zawiadomień o popełnieniu przestępstwa, w 2021 – 11 zawiadomień. Prowadzono 40 postępowań administracyjnych.</w:t>
      </w:r>
    </w:p>
    <w:p w14:paraId="3F0C960E" w14:textId="77777777" w:rsidR="00F015BA" w:rsidRPr="00F015BA" w:rsidRDefault="00F015BA" w:rsidP="00D12F5A">
      <w:pPr>
        <w:spacing w:after="60" w:line="300" w:lineRule="atLeast"/>
        <w:jc w:val="both"/>
        <w:rPr>
          <w:rFonts w:ascii="Times New Roman" w:hAnsi="Times New Roman" w:cs="Times New Roman"/>
          <w:sz w:val="24"/>
          <w:szCs w:val="24"/>
          <w:u w:val="single"/>
        </w:rPr>
      </w:pPr>
      <w:r w:rsidRPr="00F015BA">
        <w:rPr>
          <w:rFonts w:ascii="Times New Roman" w:hAnsi="Times New Roman" w:cs="Times New Roman"/>
          <w:sz w:val="24"/>
          <w:szCs w:val="24"/>
          <w:u w:val="single"/>
        </w:rPr>
        <w:t>Wydział Zwalczania Przestępczości Środowiskowej:</w:t>
      </w:r>
    </w:p>
    <w:p w14:paraId="60E5642F" w14:textId="6107E569" w:rsidR="00F015BA" w:rsidRPr="00F015BA" w:rsidRDefault="00F015BA" w:rsidP="002C016E">
      <w:pPr>
        <w:spacing w:line="300" w:lineRule="atLeast"/>
        <w:ind w:firstLine="567"/>
        <w:contextualSpacing/>
        <w:jc w:val="both"/>
        <w:rPr>
          <w:rFonts w:ascii="Times New Roman" w:hAnsi="Times New Roman" w:cs="Times New Roman"/>
          <w:sz w:val="24"/>
          <w:szCs w:val="24"/>
        </w:rPr>
      </w:pPr>
      <w:r w:rsidRPr="00F015BA">
        <w:rPr>
          <w:rFonts w:ascii="Times New Roman" w:hAnsi="Times New Roman" w:cs="Times New Roman"/>
          <w:sz w:val="24"/>
          <w:szCs w:val="24"/>
        </w:rPr>
        <w:t xml:space="preserve">Od maja 2022 r. na podstawie przeprowadzonych czynności z art. 10b ustawy </w:t>
      </w:r>
      <w:r w:rsidR="006C4DF0">
        <w:rPr>
          <w:rFonts w:ascii="Times New Roman" w:hAnsi="Times New Roman" w:cs="Times New Roman"/>
          <w:sz w:val="24"/>
          <w:szCs w:val="24"/>
        </w:rPr>
        <w:br/>
      </w:r>
      <w:r w:rsidRPr="00F015BA">
        <w:rPr>
          <w:rFonts w:ascii="Times New Roman" w:hAnsi="Times New Roman" w:cs="Times New Roman"/>
          <w:sz w:val="24"/>
          <w:szCs w:val="24"/>
        </w:rPr>
        <w:t xml:space="preserve">o Inspekcji Ochrony Środowiska skierowano 9 wniosków do organów ścigania w związku </w:t>
      </w:r>
      <w:r w:rsidR="002F7BD2">
        <w:rPr>
          <w:rFonts w:ascii="Times New Roman" w:hAnsi="Times New Roman" w:cs="Times New Roman"/>
          <w:sz w:val="24"/>
          <w:szCs w:val="24"/>
        </w:rPr>
        <w:br/>
      </w:r>
      <w:r w:rsidRPr="00F015BA">
        <w:rPr>
          <w:rFonts w:ascii="Times New Roman" w:hAnsi="Times New Roman" w:cs="Times New Roman"/>
          <w:sz w:val="24"/>
          <w:szCs w:val="24"/>
        </w:rPr>
        <w:t>z podejrzeniem popełnienia przestępstwa przeciwko środowisku, wystawiono 19 mandatów na łączną kwotę 9</w:t>
      </w:r>
      <w:r w:rsidR="002F7BD2">
        <w:rPr>
          <w:rFonts w:ascii="Times New Roman" w:hAnsi="Times New Roman" w:cs="Times New Roman"/>
          <w:sz w:val="24"/>
          <w:szCs w:val="24"/>
        </w:rPr>
        <w:t xml:space="preserve"> </w:t>
      </w:r>
      <w:r w:rsidRPr="00F015BA">
        <w:rPr>
          <w:rFonts w:ascii="Times New Roman" w:hAnsi="Times New Roman" w:cs="Times New Roman"/>
          <w:sz w:val="24"/>
          <w:szCs w:val="24"/>
        </w:rPr>
        <w:t>300 zł, wszczęto 2 postępowania administracyjne. Informacje uzyskan</w:t>
      </w:r>
      <w:r w:rsidR="002F7BD2">
        <w:rPr>
          <w:rFonts w:ascii="Times New Roman" w:hAnsi="Times New Roman" w:cs="Times New Roman"/>
          <w:sz w:val="24"/>
          <w:szCs w:val="24"/>
        </w:rPr>
        <w:t>e</w:t>
      </w:r>
      <w:r w:rsidRPr="00F015BA">
        <w:rPr>
          <w:rFonts w:ascii="Times New Roman" w:hAnsi="Times New Roman" w:cs="Times New Roman"/>
          <w:sz w:val="24"/>
          <w:szCs w:val="24"/>
        </w:rPr>
        <w:t xml:space="preserve"> </w:t>
      </w:r>
      <w:r w:rsidR="002F7BD2">
        <w:rPr>
          <w:rFonts w:ascii="Times New Roman" w:hAnsi="Times New Roman" w:cs="Times New Roman"/>
          <w:sz w:val="24"/>
          <w:szCs w:val="24"/>
        </w:rPr>
        <w:br/>
      </w:r>
      <w:r w:rsidRPr="00F015BA">
        <w:rPr>
          <w:rFonts w:ascii="Times New Roman" w:hAnsi="Times New Roman" w:cs="Times New Roman"/>
          <w:sz w:val="24"/>
          <w:szCs w:val="24"/>
        </w:rPr>
        <w:t xml:space="preserve">w trakcie działań z art. 10b ustawy o IOŚ  przekazywane są do innych organów rządowych/ samorządowych w celu wykorzystania zgodnie z posiadanymi kompetencjami oraz ich właściwością. </w:t>
      </w:r>
    </w:p>
    <w:p w14:paraId="5B415BC1" w14:textId="77777777" w:rsidR="00F015BA" w:rsidRPr="00F015BA" w:rsidRDefault="00F015BA" w:rsidP="002C016E">
      <w:pPr>
        <w:spacing w:line="300" w:lineRule="atLeast"/>
        <w:ind w:firstLine="567"/>
        <w:contextualSpacing/>
        <w:jc w:val="both"/>
        <w:rPr>
          <w:rFonts w:ascii="Times New Roman" w:hAnsi="Times New Roman" w:cs="Times New Roman"/>
          <w:sz w:val="24"/>
          <w:szCs w:val="24"/>
        </w:rPr>
      </w:pPr>
      <w:r w:rsidRPr="00F015BA">
        <w:rPr>
          <w:rFonts w:ascii="Times New Roman" w:hAnsi="Times New Roman" w:cs="Times New Roman"/>
          <w:sz w:val="24"/>
          <w:szCs w:val="24"/>
        </w:rPr>
        <w:t>Nie ma możliwości porównania danych z rokiem 2021 z uwagi na fakt powstania wydziału w maju 2022 r.</w:t>
      </w:r>
    </w:p>
    <w:p w14:paraId="7569DE8A" w14:textId="77777777" w:rsidR="00F015BA" w:rsidRPr="00F015BA" w:rsidRDefault="00F015BA" w:rsidP="00F015BA">
      <w:pPr>
        <w:spacing w:line="300" w:lineRule="atLeast"/>
        <w:contextualSpacing/>
        <w:jc w:val="both"/>
        <w:rPr>
          <w:rFonts w:ascii="Times New Roman" w:hAnsi="Times New Roman" w:cs="Times New Roman"/>
          <w:i/>
          <w:color w:val="4472C4"/>
          <w:sz w:val="24"/>
          <w:szCs w:val="24"/>
        </w:rPr>
      </w:pPr>
    </w:p>
    <w:p w14:paraId="798B55C1" w14:textId="77777777" w:rsidR="00F015BA" w:rsidRPr="00F015BA" w:rsidRDefault="00F015BA" w:rsidP="002F7BD2">
      <w:pPr>
        <w:spacing w:after="60" w:line="300" w:lineRule="atLeast"/>
        <w:jc w:val="both"/>
        <w:rPr>
          <w:rFonts w:ascii="Times New Roman" w:hAnsi="Times New Roman" w:cs="Times New Roman"/>
          <w:i/>
          <w:color w:val="4472C4"/>
          <w:sz w:val="24"/>
          <w:szCs w:val="24"/>
        </w:rPr>
      </w:pPr>
      <w:r w:rsidRPr="00F015BA">
        <w:rPr>
          <w:rFonts w:ascii="Times New Roman" w:hAnsi="Times New Roman" w:cs="Times New Roman"/>
          <w:i/>
          <w:color w:val="4472C4"/>
          <w:sz w:val="24"/>
          <w:szCs w:val="24"/>
        </w:rPr>
        <w:t>Wojewódzki Inspektorat Ochrony Środowiska w Zielonej Górze</w:t>
      </w:r>
    </w:p>
    <w:p w14:paraId="189F9849" w14:textId="4DB9EF62" w:rsidR="00F015BA" w:rsidRDefault="00F015BA" w:rsidP="002C016E">
      <w:pPr>
        <w:spacing w:after="60" w:line="300" w:lineRule="atLeast"/>
        <w:ind w:firstLine="567"/>
        <w:jc w:val="both"/>
        <w:rPr>
          <w:rFonts w:ascii="Times New Roman" w:hAnsi="Times New Roman" w:cs="Times New Roman"/>
          <w:sz w:val="24"/>
          <w:szCs w:val="24"/>
        </w:rPr>
      </w:pPr>
      <w:r w:rsidRPr="00F015BA">
        <w:rPr>
          <w:rFonts w:ascii="Times New Roman" w:hAnsi="Times New Roman" w:cs="Times New Roman"/>
          <w:sz w:val="24"/>
          <w:szCs w:val="24"/>
        </w:rPr>
        <w:t>8 (4 w 2021 roku) zawiadomień o możliwości popełnienia przestępstwa złożone do prokuratury, 1 zawiadomienie o popełnieniu wykroczenia z art. 171 Ust. o Odpadach, MKK za wykroczenie z art. 24 ustawy o odpadach.</w:t>
      </w:r>
    </w:p>
    <w:p w14:paraId="16FBB8A0" w14:textId="51E69CE7" w:rsidR="00DE4EE4" w:rsidRPr="00DE4EE4" w:rsidRDefault="00DE4EE4" w:rsidP="00DE4EE4">
      <w:pPr>
        <w:pStyle w:val="Nagwek1"/>
        <w:jc w:val="both"/>
        <w:rPr>
          <w:color w:val="000000"/>
        </w:rPr>
      </w:pPr>
    </w:p>
    <w:p w14:paraId="0D610E37" w14:textId="6B8C87F5" w:rsidR="00DE4EE4" w:rsidRPr="00DE4EE4" w:rsidRDefault="00DE4EE4" w:rsidP="00D34F97">
      <w:pPr>
        <w:pStyle w:val="Nagwek1"/>
        <w:numPr>
          <w:ilvl w:val="1"/>
          <w:numId w:val="148"/>
        </w:numPr>
        <w:jc w:val="both"/>
        <w:rPr>
          <w:b w:val="0"/>
          <w:color w:val="000000" w:themeColor="text1"/>
        </w:rPr>
      </w:pPr>
      <w:bookmarkStart w:id="329" w:name="_Toc135935678"/>
      <w:r w:rsidRPr="00DE4EE4">
        <w:rPr>
          <w:color w:val="000000" w:themeColor="text1"/>
          <w:lang w:val="pl-PL"/>
        </w:rPr>
        <w:t>I</w:t>
      </w:r>
      <w:proofErr w:type="spellStart"/>
      <w:r w:rsidRPr="00DE4EE4">
        <w:rPr>
          <w:color w:val="000000" w:themeColor="text1"/>
        </w:rPr>
        <w:t>l</w:t>
      </w:r>
      <w:r w:rsidR="009834FB">
        <w:rPr>
          <w:color w:val="000000" w:themeColor="text1"/>
          <w:lang w:val="pl-PL"/>
        </w:rPr>
        <w:t>ość</w:t>
      </w:r>
      <w:proofErr w:type="spellEnd"/>
      <w:r w:rsidRPr="00DE4EE4">
        <w:rPr>
          <w:color w:val="000000" w:themeColor="text1"/>
        </w:rPr>
        <w:t xml:space="preserve"> informacji udostępnionych innym organom i służbom, zgodnie z art. 10d ust. 2 ustawy o Inspekcji Ochrony Środowiska</w:t>
      </w:r>
      <w:bookmarkEnd w:id="329"/>
    </w:p>
    <w:p w14:paraId="171E2E66" w14:textId="05F53186" w:rsidR="00DE4EE4" w:rsidRDefault="00DE4EE4" w:rsidP="00DE4EE4">
      <w:pPr>
        <w:spacing w:after="0" w:line="300" w:lineRule="atLeast"/>
        <w:jc w:val="both"/>
        <w:rPr>
          <w:rFonts w:ascii="Times New Roman" w:hAnsi="Times New Roman" w:cs="Times New Roman"/>
          <w:color w:val="000000"/>
          <w:sz w:val="24"/>
          <w:szCs w:val="24"/>
        </w:rPr>
      </w:pPr>
    </w:p>
    <w:p w14:paraId="7555634C" w14:textId="3F1284D1" w:rsidR="00DE4EE4" w:rsidRPr="00DE4EE4" w:rsidRDefault="00DE4EE4" w:rsidP="00DE4EE4">
      <w:pPr>
        <w:spacing w:after="60" w:line="300" w:lineRule="atLeast"/>
        <w:jc w:val="both"/>
        <w:rPr>
          <w:rFonts w:ascii="Times New Roman" w:hAnsi="Times New Roman" w:cs="Times New Roman"/>
          <w:i/>
          <w:color w:val="4472C4"/>
          <w:sz w:val="24"/>
          <w:szCs w:val="24"/>
        </w:rPr>
      </w:pPr>
      <w:r w:rsidRPr="00DE4EE4">
        <w:rPr>
          <w:rFonts w:ascii="Times New Roman" w:hAnsi="Times New Roman" w:cs="Times New Roman"/>
          <w:i/>
          <w:color w:val="4472C4"/>
          <w:sz w:val="24"/>
          <w:szCs w:val="24"/>
        </w:rPr>
        <w:t>Wojewódzki Inspektorat Ochrony Środowiska w Białymstoku</w:t>
      </w:r>
    </w:p>
    <w:p w14:paraId="67CF442E" w14:textId="77777777" w:rsidR="00DE4EE4" w:rsidRPr="00DE4EE4" w:rsidRDefault="00DE4EE4" w:rsidP="00DE4EE4">
      <w:pPr>
        <w:spacing w:after="60" w:line="300" w:lineRule="atLeast"/>
        <w:jc w:val="both"/>
        <w:rPr>
          <w:rFonts w:ascii="Times New Roman" w:hAnsi="Times New Roman" w:cs="Times New Roman"/>
          <w:sz w:val="24"/>
          <w:szCs w:val="24"/>
        </w:rPr>
      </w:pPr>
      <w:r w:rsidRPr="00DE4EE4">
        <w:rPr>
          <w:rFonts w:ascii="Times New Roman" w:hAnsi="Times New Roman" w:cs="Times New Roman"/>
          <w:sz w:val="24"/>
          <w:szCs w:val="24"/>
        </w:rPr>
        <w:t>W wyniku działań, podjętych w związku z art. 10 b ustawy o inspekcji, w 2021 roku:</w:t>
      </w:r>
    </w:p>
    <w:p w14:paraId="1577965E" w14:textId="5CCD0E95" w:rsidR="00DE4EE4" w:rsidRPr="00DE4EE4" w:rsidRDefault="00DE4EE4" w:rsidP="00D34F97">
      <w:pPr>
        <w:pStyle w:val="Akapitzlist"/>
        <w:numPr>
          <w:ilvl w:val="0"/>
          <w:numId w:val="284"/>
        </w:numPr>
        <w:spacing w:line="300" w:lineRule="atLeast"/>
        <w:jc w:val="both"/>
        <w:rPr>
          <w:sz w:val="24"/>
          <w:szCs w:val="24"/>
        </w:rPr>
      </w:pPr>
      <w:r w:rsidRPr="00DE4EE4">
        <w:rPr>
          <w:sz w:val="24"/>
          <w:szCs w:val="24"/>
        </w:rPr>
        <w:t>skierowano 12 wystąpień do innych organów (samorządy, RDOŚ, UDT, PINB, zarząd dróg),</w:t>
      </w:r>
    </w:p>
    <w:p w14:paraId="27D05F14" w14:textId="166EA062" w:rsidR="00DE4EE4" w:rsidRPr="00DE4EE4" w:rsidRDefault="00DE4EE4" w:rsidP="00D34F97">
      <w:pPr>
        <w:pStyle w:val="Akapitzlist"/>
        <w:numPr>
          <w:ilvl w:val="0"/>
          <w:numId w:val="284"/>
        </w:numPr>
        <w:spacing w:line="300" w:lineRule="atLeast"/>
        <w:jc w:val="both"/>
        <w:rPr>
          <w:sz w:val="24"/>
          <w:szCs w:val="24"/>
        </w:rPr>
      </w:pPr>
      <w:r w:rsidRPr="00DE4EE4">
        <w:rPr>
          <w:sz w:val="24"/>
          <w:szCs w:val="24"/>
        </w:rPr>
        <w:t xml:space="preserve">przekazanie policji ustaleń WIOŚ oraz wyników pomiarów, wykonanych w związku </w:t>
      </w:r>
      <w:r>
        <w:rPr>
          <w:sz w:val="24"/>
          <w:szCs w:val="24"/>
        </w:rPr>
        <w:br/>
      </w:r>
      <w:r w:rsidRPr="00DE4EE4">
        <w:rPr>
          <w:sz w:val="24"/>
          <w:szCs w:val="24"/>
        </w:rPr>
        <w:t>z zanieczyszczeniem rzeki (policja prowadziła własne dochodzenie),</w:t>
      </w:r>
    </w:p>
    <w:p w14:paraId="7FDC4E50" w14:textId="750330A8" w:rsidR="00DE4EE4" w:rsidRPr="00DE4EE4" w:rsidRDefault="00DE4EE4" w:rsidP="00D34F97">
      <w:pPr>
        <w:pStyle w:val="Akapitzlist"/>
        <w:numPr>
          <w:ilvl w:val="0"/>
          <w:numId w:val="284"/>
        </w:numPr>
        <w:spacing w:line="300" w:lineRule="atLeast"/>
        <w:jc w:val="both"/>
        <w:rPr>
          <w:sz w:val="24"/>
          <w:szCs w:val="24"/>
        </w:rPr>
      </w:pPr>
      <w:r w:rsidRPr="00DE4EE4">
        <w:rPr>
          <w:sz w:val="24"/>
          <w:szCs w:val="24"/>
        </w:rPr>
        <w:t>przekazanie dokumentacji z  kontroli do Prokuratury Rejonowej.</w:t>
      </w:r>
    </w:p>
    <w:p w14:paraId="30178C43" w14:textId="77777777" w:rsidR="00DE4EE4" w:rsidRDefault="00DE4EE4" w:rsidP="00DE4EE4">
      <w:pPr>
        <w:spacing w:line="300" w:lineRule="atLeast"/>
        <w:contextualSpacing/>
        <w:jc w:val="both"/>
        <w:rPr>
          <w:rFonts w:ascii="Times New Roman" w:hAnsi="Times New Roman" w:cs="Times New Roman"/>
          <w:sz w:val="24"/>
          <w:szCs w:val="24"/>
        </w:rPr>
      </w:pPr>
    </w:p>
    <w:p w14:paraId="6661B157" w14:textId="2D0B931D" w:rsidR="00DE4EE4" w:rsidRPr="00DE4EE4" w:rsidRDefault="00DE4EE4" w:rsidP="006009A5">
      <w:pPr>
        <w:spacing w:after="60" w:line="300" w:lineRule="atLeast"/>
        <w:jc w:val="both"/>
        <w:rPr>
          <w:rFonts w:ascii="Times New Roman" w:hAnsi="Times New Roman" w:cs="Times New Roman"/>
          <w:sz w:val="24"/>
          <w:szCs w:val="24"/>
        </w:rPr>
      </w:pPr>
      <w:r w:rsidRPr="00DE4EE4">
        <w:rPr>
          <w:rFonts w:ascii="Times New Roman" w:hAnsi="Times New Roman" w:cs="Times New Roman"/>
          <w:sz w:val="24"/>
          <w:szCs w:val="24"/>
        </w:rPr>
        <w:t>W wyniku działań, podjętych w związku z art. 10b ustawy o inspekcji, w 2022 roku:</w:t>
      </w:r>
    </w:p>
    <w:p w14:paraId="4CDD3A8F" w14:textId="0EC14BCC" w:rsidR="00DE4EE4" w:rsidRPr="00DE4EE4" w:rsidRDefault="00DE4EE4" w:rsidP="00D34F97">
      <w:pPr>
        <w:pStyle w:val="Akapitzlist"/>
        <w:numPr>
          <w:ilvl w:val="0"/>
          <w:numId w:val="285"/>
        </w:numPr>
        <w:spacing w:line="300" w:lineRule="atLeast"/>
        <w:jc w:val="both"/>
        <w:rPr>
          <w:sz w:val="24"/>
          <w:szCs w:val="24"/>
        </w:rPr>
      </w:pPr>
      <w:r w:rsidRPr="00DE4EE4">
        <w:rPr>
          <w:sz w:val="24"/>
          <w:szCs w:val="24"/>
        </w:rPr>
        <w:t>skierowano 30 wystąpień do innych organów (samorządy, RDOŚ, UDT, PINB, zarząd dróg, PGWWP, ARIMR, OUG w Lublinie),</w:t>
      </w:r>
    </w:p>
    <w:p w14:paraId="5E1C65A0" w14:textId="2530C0AF" w:rsidR="00DE4EE4" w:rsidRPr="00DE4EE4" w:rsidRDefault="00DE4EE4" w:rsidP="00D34F97">
      <w:pPr>
        <w:pStyle w:val="Akapitzlist"/>
        <w:numPr>
          <w:ilvl w:val="0"/>
          <w:numId w:val="285"/>
        </w:numPr>
        <w:spacing w:line="300" w:lineRule="atLeast"/>
        <w:jc w:val="both"/>
        <w:rPr>
          <w:sz w:val="24"/>
          <w:szCs w:val="24"/>
        </w:rPr>
      </w:pPr>
      <w:r w:rsidRPr="00DE4EE4">
        <w:rPr>
          <w:sz w:val="24"/>
          <w:szCs w:val="24"/>
        </w:rPr>
        <w:t>przekazanie policji ustaleń oraz wyników pomiarów WIOŚ,</w:t>
      </w:r>
    </w:p>
    <w:p w14:paraId="027397A0" w14:textId="32CEC1B8" w:rsidR="00DE4EE4" w:rsidRPr="00DE4EE4" w:rsidRDefault="00DE4EE4" w:rsidP="00D34F97">
      <w:pPr>
        <w:pStyle w:val="Akapitzlist"/>
        <w:numPr>
          <w:ilvl w:val="0"/>
          <w:numId w:val="285"/>
        </w:numPr>
        <w:spacing w:line="300" w:lineRule="atLeast"/>
        <w:jc w:val="both"/>
        <w:rPr>
          <w:sz w:val="24"/>
          <w:szCs w:val="24"/>
        </w:rPr>
      </w:pPr>
      <w:r w:rsidRPr="00DE4EE4">
        <w:rPr>
          <w:sz w:val="24"/>
          <w:szCs w:val="24"/>
        </w:rPr>
        <w:t xml:space="preserve">przekazanie ustaleń do prokuratury. </w:t>
      </w:r>
    </w:p>
    <w:p w14:paraId="278C8934" w14:textId="77777777" w:rsidR="00DE4EE4" w:rsidRPr="00DE4EE4" w:rsidRDefault="00DE4EE4" w:rsidP="00DE4EE4">
      <w:pPr>
        <w:spacing w:line="300" w:lineRule="atLeast"/>
        <w:contextualSpacing/>
        <w:jc w:val="both"/>
        <w:rPr>
          <w:rFonts w:ascii="Times New Roman" w:hAnsi="Times New Roman" w:cs="Times New Roman"/>
          <w:i/>
          <w:color w:val="4472C4"/>
          <w:sz w:val="24"/>
          <w:szCs w:val="24"/>
        </w:rPr>
      </w:pPr>
    </w:p>
    <w:p w14:paraId="55784C95" w14:textId="77777777" w:rsidR="00DE4EE4" w:rsidRPr="00DE4EE4" w:rsidRDefault="00DE4EE4" w:rsidP="006009A5">
      <w:pPr>
        <w:spacing w:after="60" w:line="300" w:lineRule="atLeast"/>
        <w:jc w:val="both"/>
        <w:rPr>
          <w:rFonts w:ascii="Times New Roman" w:hAnsi="Times New Roman" w:cs="Times New Roman"/>
          <w:i/>
          <w:color w:val="4472C4"/>
          <w:sz w:val="24"/>
          <w:szCs w:val="24"/>
        </w:rPr>
      </w:pPr>
      <w:r w:rsidRPr="00DE4EE4">
        <w:rPr>
          <w:rFonts w:ascii="Times New Roman" w:hAnsi="Times New Roman" w:cs="Times New Roman"/>
          <w:i/>
          <w:color w:val="4472C4"/>
          <w:sz w:val="24"/>
          <w:szCs w:val="24"/>
        </w:rPr>
        <w:lastRenderedPageBreak/>
        <w:t>Wojewódzki Inspektorat Ochrony Środowiska w Bydgoszczy</w:t>
      </w:r>
    </w:p>
    <w:p w14:paraId="031EE5EC" w14:textId="72942B11" w:rsidR="00DE4EE4" w:rsidRPr="00DE4EE4" w:rsidRDefault="00DE4EE4" w:rsidP="006009A5">
      <w:pPr>
        <w:spacing w:line="300" w:lineRule="atLeast"/>
        <w:ind w:firstLine="567"/>
        <w:contextualSpacing/>
        <w:jc w:val="both"/>
        <w:rPr>
          <w:rFonts w:ascii="Times New Roman" w:hAnsi="Times New Roman" w:cs="Times New Roman"/>
          <w:sz w:val="24"/>
          <w:szCs w:val="24"/>
        </w:rPr>
      </w:pPr>
      <w:r w:rsidRPr="00DE4EE4">
        <w:rPr>
          <w:rFonts w:ascii="Times New Roman" w:hAnsi="Times New Roman" w:cs="Times New Roman"/>
          <w:sz w:val="24"/>
          <w:szCs w:val="24"/>
        </w:rPr>
        <w:t xml:space="preserve">W 2022 r. 1 raz udostępniano informację Policji, w trybie art. 10d ust. 2 ustawy </w:t>
      </w:r>
      <w:r w:rsidR="006009A5">
        <w:rPr>
          <w:rFonts w:ascii="Times New Roman" w:hAnsi="Times New Roman" w:cs="Times New Roman"/>
          <w:sz w:val="24"/>
          <w:szCs w:val="24"/>
        </w:rPr>
        <w:br/>
      </w:r>
      <w:r w:rsidRPr="00DE4EE4">
        <w:rPr>
          <w:rFonts w:ascii="Times New Roman" w:hAnsi="Times New Roman" w:cs="Times New Roman"/>
          <w:sz w:val="24"/>
          <w:szCs w:val="24"/>
        </w:rPr>
        <w:t>o Inspekcji Ochrony Środowiska. Informacje posłużyły do określenia zakresu badań do przeprowadzenia przez biegłego oraz do ustalenia sprawcy. W roku 2021 nie udostępniano informacji w tym trybie. Należy podkreślić, że w czynnościach prowadzonych w trybie 10b zazwyczaj uczestniczą funkcjonariusze innych służb, w szczególności policji. W przypadku podejrzenia popełnienia przestępstwa kierowane są zawiadomienia o możliwości popełnienia przestępstwa do właściwych prokuratur.</w:t>
      </w:r>
    </w:p>
    <w:p w14:paraId="53673087" w14:textId="77777777" w:rsidR="00DE4EE4" w:rsidRPr="00DE4EE4" w:rsidRDefault="00DE4EE4" w:rsidP="00DE4EE4">
      <w:pPr>
        <w:spacing w:line="300" w:lineRule="atLeast"/>
        <w:contextualSpacing/>
        <w:jc w:val="both"/>
        <w:rPr>
          <w:rFonts w:ascii="Times New Roman" w:hAnsi="Times New Roman" w:cs="Times New Roman"/>
          <w:i/>
          <w:color w:val="4472C4"/>
          <w:sz w:val="24"/>
          <w:szCs w:val="24"/>
        </w:rPr>
      </w:pPr>
    </w:p>
    <w:p w14:paraId="38BD81D0" w14:textId="77777777" w:rsidR="00DE4EE4" w:rsidRPr="00DE4EE4" w:rsidRDefault="00DE4EE4" w:rsidP="006009A5">
      <w:pPr>
        <w:spacing w:after="60" w:line="300" w:lineRule="atLeast"/>
        <w:jc w:val="both"/>
        <w:rPr>
          <w:rFonts w:ascii="Times New Roman" w:hAnsi="Times New Roman" w:cs="Times New Roman"/>
          <w:i/>
          <w:color w:val="4472C4"/>
          <w:sz w:val="24"/>
          <w:szCs w:val="24"/>
        </w:rPr>
      </w:pPr>
      <w:r w:rsidRPr="00DE4EE4">
        <w:rPr>
          <w:rFonts w:ascii="Times New Roman" w:hAnsi="Times New Roman" w:cs="Times New Roman"/>
          <w:i/>
          <w:color w:val="4472C4"/>
          <w:sz w:val="24"/>
          <w:szCs w:val="24"/>
        </w:rPr>
        <w:t>Wojewódzki Inspektorat Ochrony Środowiska w Gdańsku</w:t>
      </w:r>
    </w:p>
    <w:p w14:paraId="5929E014" w14:textId="293204F6" w:rsidR="00DE4EE4" w:rsidRPr="00DE4EE4" w:rsidRDefault="006009A5" w:rsidP="002C016E">
      <w:pPr>
        <w:autoSpaceDE w:val="0"/>
        <w:autoSpaceDN w:val="0"/>
        <w:adjustRightInd w:val="0"/>
        <w:spacing w:line="300" w:lineRule="atLeast"/>
        <w:ind w:firstLine="567"/>
        <w:contextualSpacing/>
        <w:jc w:val="both"/>
        <w:rPr>
          <w:rFonts w:ascii="Times New Roman" w:hAnsi="Times New Roman" w:cs="Times New Roman"/>
          <w:sz w:val="24"/>
          <w:szCs w:val="24"/>
        </w:rPr>
      </w:pPr>
      <w:r>
        <w:rPr>
          <w:rFonts w:ascii="Times New Roman" w:hAnsi="Times New Roman" w:cs="Times New Roman"/>
          <w:sz w:val="24"/>
          <w:szCs w:val="24"/>
        </w:rPr>
        <w:t>W 2022 r. n</w:t>
      </w:r>
      <w:r w:rsidR="00DE4EE4" w:rsidRPr="00DE4EE4">
        <w:rPr>
          <w:rFonts w:ascii="Times New Roman" w:hAnsi="Times New Roman" w:cs="Times New Roman"/>
          <w:sz w:val="24"/>
          <w:szCs w:val="24"/>
        </w:rPr>
        <w:t>ie odnotowano udostępniania informacji na wniosek uprawnionych służb. Niemniej</w:t>
      </w:r>
      <w:r>
        <w:rPr>
          <w:rFonts w:ascii="Times New Roman" w:hAnsi="Times New Roman" w:cs="Times New Roman"/>
          <w:sz w:val="24"/>
          <w:szCs w:val="24"/>
        </w:rPr>
        <w:t xml:space="preserve"> jednak</w:t>
      </w:r>
      <w:r w:rsidR="00DE4EE4" w:rsidRPr="00DE4EE4">
        <w:rPr>
          <w:rFonts w:ascii="Times New Roman" w:hAnsi="Times New Roman" w:cs="Times New Roman"/>
          <w:sz w:val="24"/>
          <w:szCs w:val="24"/>
        </w:rPr>
        <w:t>, informacje te były wielokrotnie przekazywane z urzędu (lub po otrzymaniu telefonicznej prośby o ich przekazanie)</w:t>
      </w:r>
      <w:r>
        <w:rPr>
          <w:rFonts w:ascii="Times New Roman" w:hAnsi="Times New Roman" w:cs="Times New Roman"/>
          <w:sz w:val="24"/>
          <w:szCs w:val="24"/>
        </w:rPr>
        <w:t xml:space="preserve">. </w:t>
      </w:r>
    </w:p>
    <w:p w14:paraId="36863F1A" w14:textId="77777777" w:rsidR="00DE4EE4" w:rsidRPr="00DE4EE4" w:rsidRDefault="00DE4EE4" w:rsidP="00DE4EE4">
      <w:pPr>
        <w:spacing w:line="300" w:lineRule="atLeast"/>
        <w:contextualSpacing/>
        <w:jc w:val="both"/>
        <w:rPr>
          <w:rFonts w:ascii="Times New Roman" w:hAnsi="Times New Roman" w:cs="Times New Roman"/>
          <w:i/>
          <w:color w:val="4472C4"/>
          <w:sz w:val="24"/>
          <w:szCs w:val="24"/>
        </w:rPr>
      </w:pPr>
    </w:p>
    <w:p w14:paraId="55866953" w14:textId="7EF5103A" w:rsidR="00DE4EE4" w:rsidRPr="00DE4EE4" w:rsidRDefault="00DE4EE4" w:rsidP="006009A5">
      <w:pPr>
        <w:spacing w:after="60" w:line="300" w:lineRule="atLeast"/>
        <w:jc w:val="both"/>
        <w:rPr>
          <w:rFonts w:ascii="Times New Roman" w:hAnsi="Times New Roman" w:cs="Times New Roman"/>
          <w:i/>
          <w:color w:val="4472C4"/>
          <w:sz w:val="24"/>
          <w:szCs w:val="24"/>
        </w:rPr>
      </w:pPr>
      <w:r w:rsidRPr="00DE4EE4">
        <w:rPr>
          <w:rFonts w:ascii="Times New Roman" w:hAnsi="Times New Roman" w:cs="Times New Roman"/>
          <w:i/>
          <w:color w:val="4472C4"/>
          <w:sz w:val="24"/>
          <w:szCs w:val="24"/>
        </w:rPr>
        <w:t>Wojewódzki Inspektorat Ochrony Środowiska w Katowicach</w:t>
      </w:r>
    </w:p>
    <w:p w14:paraId="2083815A" w14:textId="32BEEF12" w:rsidR="00DE4EE4" w:rsidRPr="00DE4EE4" w:rsidRDefault="006009A5" w:rsidP="006009A5">
      <w:pPr>
        <w:spacing w:line="300" w:lineRule="atLeast"/>
        <w:ind w:firstLine="567"/>
        <w:contextualSpacing/>
        <w:jc w:val="both"/>
        <w:rPr>
          <w:rFonts w:ascii="Times New Roman" w:hAnsi="Times New Roman" w:cs="Times New Roman"/>
          <w:bCs/>
          <w:sz w:val="24"/>
          <w:szCs w:val="24"/>
        </w:rPr>
      </w:pPr>
      <w:r>
        <w:rPr>
          <w:rFonts w:ascii="Times New Roman" w:hAnsi="Times New Roman" w:cs="Times New Roman"/>
          <w:bCs/>
          <w:sz w:val="24"/>
          <w:szCs w:val="24"/>
        </w:rPr>
        <w:t xml:space="preserve">Liczba </w:t>
      </w:r>
      <w:r w:rsidR="00DE4EE4" w:rsidRPr="00DE4EE4">
        <w:rPr>
          <w:rFonts w:ascii="Times New Roman" w:hAnsi="Times New Roman" w:cs="Times New Roman"/>
          <w:bCs/>
          <w:sz w:val="24"/>
          <w:szCs w:val="24"/>
        </w:rPr>
        <w:t xml:space="preserve">informacji udzielonych innym organom i służbom w oparciu o art.10d  ustawy </w:t>
      </w:r>
      <w:r>
        <w:rPr>
          <w:rFonts w:ascii="Times New Roman" w:hAnsi="Times New Roman" w:cs="Times New Roman"/>
          <w:bCs/>
          <w:sz w:val="24"/>
          <w:szCs w:val="24"/>
        </w:rPr>
        <w:br/>
      </w:r>
      <w:r w:rsidR="00DE4EE4" w:rsidRPr="00DE4EE4">
        <w:rPr>
          <w:rFonts w:ascii="Times New Roman" w:hAnsi="Times New Roman" w:cs="Times New Roman"/>
          <w:bCs/>
          <w:sz w:val="24"/>
          <w:szCs w:val="24"/>
        </w:rPr>
        <w:t>o Inspekcji Ochrony Środowiska, w wyniku działań Inspektoratu przedstawiają się w 2022 r. następująco:</w:t>
      </w:r>
    </w:p>
    <w:p w14:paraId="70061842" w14:textId="77777777" w:rsidR="00DE4EE4" w:rsidRPr="00DE4EE4" w:rsidRDefault="00DE4EE4" w:rsidP="006009A5">
      <w:pPr>
        <w:spacing w:line="300" w:lineRule="atLeast"/>
        <w:ind w:left="284"/>
        <w:contextualSpacing/>
        <w:jc w:val="both"/>
        <w:rPr>
          <w:rFonts w:ascii="Times New Roman" w:hAnsi="Times New Roman" w:cs="Times New Roman"/>
          <w:sz w:val="24"/>
          <w:szCs w:val="24"/>
        </w:rPr>
      </w:pPr>
      <w:r w:rsidRPr="00DE4EE4">
        <w:rPr>
          <w:rFonts w:ascii="Times New Roman" w:hAnsi="Times New Roman" w:cs="Times New Roman"/>
          <w:sz w:val="24"/>
          <w:szCs w:val="24"/>
        </w:rPr>
        <w:t>1 – organy Krajowej Administracji Skarbowej,</w:t>
      </w:r>
    </w:p>
    <w:p w14:paraId="34DD8F84" w14:textId="77777777" w:rsidR="00DE4EE4" w:rsidRPr="00DE4EE4" w:rsidRDefault="00DE4EE4" w:rsidP="006009A5">
      <w:pPr>
        <w:spacing w:line="300" w:lineRule="atLeast"/>
        <w:ind w:left="284"/>
        <w:contextualSpacing/>
        <w:jc w:val="both"/>
        <w:rPr>
          <w:rFonts w:ascii="Times New Roman" w:hAnsi="Times New Roman" w:cs="Times New Roman"/>
          <w:sz w:val="24"/>
          <w:szCs w:val="24"/>
        </w:rPr>
      </w:pPr>
      <w:r w:rsidRPr="00DE4EE4">
        <w:rPr>
          <w:rFonts w:ascii="Times New Roman" w:hAnsi="Times New Roman" w:cs="Times New Roman"/>
          <w:sz w:val="24"/>
          <w:szCs w:val="24"/>
        </w:rPr>
        <w:t>9 - sąd lub prokuratura,</w:t>
      </w:r>
    </w:p>
    <w:p w14:paraId="32D79864" w14:textId="77777777" w:rsidR="00DE4EE4" w:rsidRPr="00DE4EE4" w:rsidRDefault="00DE4EE4" w:rsidP="006009A5">
      <w:pPr>
        <w:spacing w:line="300" w:lineRule="atLeast"/>
        <w:ind w:left="284"/>
        <w:contextualSpacing/>
        <w:jc w:val="both"/>
        <w:rPr>
          <w:rFonts w:ascii="Times New Roman" w:hAnsi="Times New Roman" w:cs="Times New Roman"/>
          <w:sz w:val="24"/>
          <w:szCs w:val="24"/>
        </w:rPr>
      </w:pPr>
      <w:r w:rsidRPr="00DE4EE4">
        <w:rPr>
          <w:rFonts w:ascii="Times New Roman" w:hAnsi="Times New Roman" w:cs="Times New Roman"/>
          <w:sz w:val="24"/>
          <w:szCs w:val="24"/>
        </w:rPr>
        <w:t>3 - inne organy,</w:t>
      </w:r>
    </w:p>
    <w:p w14:paraId="13FDFB37" w14:textId="77777777" w:rsidR="00DE4EE4" w:rsidRPr="00DE4EE4" w:rsidRDefault="00DE4EE4" w:rsidP="006009A5">
      <w:pPr>
        <w:spacing w:line="300" w:lineRule="atLeast"/>
        <w:ind w:left="284"/>
        <w:contextualSpacing/>
        <w:jc w:val="both"/>
        <w:rPr>
          <w:rFonts w:ascii="Times New Roman" w:hAnsi="Times New Roman" w:cs="Times New Roman"/>
          <w:sz w:val="24"/>
          <w:szCs w:val="24"/>
        </w:rPr>
      </w:pPr>
      <w:r w:rsidRPr="00DE4EE4">
        <w:rPr>
          <w:rFonts w:ascii="Times New Roman" w:hAnsi="Times New Roman" w:cs="Times New Roman"/>
          <w:sz w:val="24"/>
          <w:szCs w:val="24"/>
        </w:rPr>
        <w:t>1 - organy nadzoru górniczego.</w:t>
      </w:r>
    </w:p>
    <w:p w14:paraId="119B1A04" w14:textId="0F152C36" w:rsidR="00DE4EE4" w:rsidRPr="00DE4EE4" w:rsidRDefault="00DE4EE4" w:rsidP="002C016E">
      <w:pPr>
        <w:spacing w:line="300" w:lineRule="atLeast"/>
        <w:ind w:firstLine="567"/>
        <w:contextualSpacing/>
        <w:jc w:val="both"/>
        <w:rPr>
          <w:rFonts w:ascii="Times New Roman" w:hAnsi="Times New Roman" w:cs="Times New Roman"/>
          <w:bCs/>
          <w:sz w:val="24"/>
          <w:szCs w:val="24"/>
        </w:rPr>
      </w:pPr>
      <w:r w:rsidRPr="00DE4EE4">
        <w:rPr>
          <w:rFonts w:ascii="Times New Roman" w:hAnsi="Times New Roman" w:cs="Times New Roman"/>
          <w:bCs/>
          <w:sz w:val="24"/>
          <w:szCs w:val="24"/>
        </w:rPr>
        <w:t xml:space="preserve">Biorąc pod uwagę rok 2021, w którym udostępniono 23 razy ogólne informacje </w:t>
      </w:r>
      <w:r w:rsidR="000559F3">
        <w:rPr>
          <w:rFonts w:ascii="Times New Roman" w:hAnsi="Times New Roman" w:cs="Times New Roman"/>
          <w:bCs/>
          <w:sz w:val="24"/>
          <w:szCs w:val="24"/>
        </w:rPr>
        <w:br/>
      </w:r>
      <w:r w:rsidRPr="00DE4EE4">
        <w:rPr>
          <w:rFonts w:ascii="Times New Roman" w:hAnsi="Times New Roman" w:cs="Times New Roman"/>
          <w:bCs/>
          <w:sz w:val="24"/>
          <w:szCs w:val="24"/>
        </w:rPr>
        <w:t xml:space="preserve">o działaniach podejmowanych przez Inspektorat, można oceniać, że tendencja ta jest spadkowa. Jednak z uwagi na fakt, że w 2021 r. nie wskazywano jednoznacznie, które z udzielanych informacji były następstwem działań z art.10b ustawy o IOŚ, a które </w:t>
      </w:r>
      <w:r w:rsidR="000559F3">
        <w:rPr>
          <w:rFonts w:ascii="Times New Roman" w:hAnsi="Times New Roman" w:cs="Times New Roman"/>
          <w:bCs/>
          <w:sz w:val="24"/>
          <w:szCs w:val="24"/>
        </w:rPr>
        <w:t xml:space="preserve">uwzględniały </w:t>
      </w:r>
      <w:r w:rsidRPr="00DE4EE4">
        <w:rPr>
          <w:rFonts w:ascii="Times New Roman" w:hAnsi="Times New Roman" w:cs="Times New Roman"/>
          <w:sz w:val="24"/>
          <w:szCs w:val="24"/>
        </w:rPr>
        <w:t>informacje dotyczące wykonanych kontroli interwencyjnych obejmujących problematykę prowadzonych śledztw,</w:t>
      </w:r>
      <w:r w:rsidRPr="00DE4EE4">
        <w:rPr>
          <w:rFonts w:ascii="Times New Roman" w:hAnsi="Times New Roman" w:cs="Times New Roman"/>
          <w:bCs/>
          <w:sz w:val="24"/>
          <w:szCs w:val="24"/>
        </w:rPr>
        <w:t xml:space="preserve"> należałoby stwierdzić, że poziom udzielanych informacji z </w:t>
      </w:r>
      <w:r w:rsidR="000559F3">
        <w:rPr>
          <w:rFonts w:ascii="Times New Roman" w:hAnsi="Times New Roman" w:cs="Times New Roman"/>
          <w:bCs/>
          <w:sz w:val="24"/>
          <w:szCs w:val="24"/>
        </w:rPr>
        <w:t xml:space="preserve">zakresu </w:t>
      </w:r>
      <w:r w:rsidRPr="00DE4EE4">
        <w:rPr>
          <w:rFonts w:ascii="Times New Roman" w:hAnsi="Times New Roman" w:cs="Times New Roman"/>
          <w:bCs/>
          <w:sz w:val="24"/>
          <w:szCs w:val="24"/>
        </w:rPr>
        <w:t>działań podejmowanych w oparciu o art.10b ustawy IOŚ pozostał na dotychczasowym poziomie.</w:t>
      </w:r>
    </w:p>
    <w:p w14:paraId="0641C54D" w14:textId="77777777" w:rsidR="00DE4EE4" w:rsidRPr="00DE4EE4" w:rsidRDefault="00DE4EE4" w:rsidP="00DE4EE4">
      <w:pPr>
        <w:spacing w:line="300" w:lineRule="atLeast"/>
        <w:contextualSpacing/>
        <w:jc w:val="both"/>
        <w:rPr>
          <w:rFonts w:ascii="Times New Roman" w:hAnsi="Times New Roman" w:cs="Times New Roman"/>
          <w:i/>
          <w:color w:val="4472C4"/>
          <w:sz w:val="24"/>
          <w:szCs w:val="24"/>
        </w:rPr>
      </w:pPr>
    </w:p>
    <w:p w14:paraId="243AD724" w14:textId="77777777" w:rsidR="00DE4EE4" w:rsidRPr="00DE4EE4" w:rsidRDefault="00DE4EE4" w:rsidP="000559F3">
      <w:pPr>
        <w:spacing w:after="60" w:line="300" w:lineRule="atLeast"/>
        <w:jc w:val="both"/>
        <w:rPr>
          <w:rFonts w:ascii="Times New Roman" w:hAnsi="Times New Roman" w:cs="Times New Roman"/>
          <w:i/>
          <w:color w:val="4472C4"/>
          <w:sz w:val="24"/>
          <w:szCs w:val="24"/>
        </w:rPr>
      </w:pPr>
      <w:r w:rsidRPr="00DE4EE4">
        <w:rPr>
          <w:rFonts w:ascii="Times New Roman" w:hAnsi="Times New Roman" w:cs="Times New Roman"/>
          <w:i/>
          <w:color w:val="4472C4"/>
          <w:sz w:val="24"/>
          <w:szCs w:val="24"/>
        </w:rPr>
        <w:t>Wojewódzki Inspektorat Ochrony Środowiska w Kielcach</w:t>
      </w:r>
    </w:p>
    <w:p w14:paraId="005C5474" w14:textId="26165CC9" w:rsidR="00DE4EE4" w:rsidRPr="00DE4EE4" w:rsidRDefault="00DE4EE4" w:rsidP="002C016E">
      <w:pPr>
        <w:spacing w:line="300" w:lineRule="atLeast"/>
        <w:ind w:firstLine="567"/>
        <w:contextualSpacing/>
        <w:jc w:val="both"/>
        <w:rPr>
          <w:rFonts w:ascii="Times New Roman" w:hAnsi="Times New Roman" w:cs="Times New Roman"/>
          <w:sz w:val="24"/>
          <w:szCs w:val="24"/>
        </w:rPr>
      </w:pPr>
      <w:r w:rsidRPr="00DE4EE4">
        <w:rPr>
          <w:rFonts w:ascii="Times New Roman" w:hAnsi="Times New Roman" w:cs="Times New Roman"/>
          <w:iCs/>
          <w:sz w:val="24"/>
          <w:szCs w:val="24"/>
        </w:rPr>
        <w:t>Żaden z organów wyszczególnionych w art. 10d ust. 2 ustawy o IOŚ nie zwracał się w 2021 i 2022 r. do WIOŚ w Kielcach o udost</w:t>
      </w:r>
      <w:r w:rsidR="000559F3">
        <w:rPr>
          <w:rFonts w:ascii="Times New Roman" w:hAnsi="Times New Roman" w:cs="Times New Roman"/>
          <w:iCs/>
          <w:sz w:val="24"/>
          <w:szCs w:val="24"/>
        </w:rPr>
        <w:t>ę</w:t>
      </w:r>
      <w:r w:rsidRPr="00DE4EE4">
        <w:rPr>
          <w:rFonts w:ascii="Times New Roman" w:hAnsi="Times New Roman" w:cs="Times New Roman"/>
          <w:iCs/>
          <w:sz w:val="24"/>
          <w:szCs w:val="24"/>
        </w:rPr>
        <w:t>pnienie informacji</w:t>
      </w:r>
      <w:r w:rsidRPr="00DE4EE4">
        <w:rPr>
          <w:rFonts w:ascii="Times New Roman" w:hAnsi="Times New Roman" w:cs="Times New Roman"/>
          <w:sz w:val="24"/>
          <w:szCs w:val="24"/>
        </w:rPr>
        <w:t xml:space="preserve"> uzyskanych podczas czynności przeprowadzonych w trybie art. 10b ust. 2 ustawy. Informacje uzyskane w trybie 10b ust. 2 ustawy o IOŚ, WIOŚ przekazywał z własnej inicjatywy do organów ścigania lub innych WIOŚ, do dalszego wykorzystania.</w:t>
      </w:r>
    </w:p>
    <w:p w14:paraId="7120877B" w14:textId="77777777" w:rsidR="00DE4EE4" w:rsidRPr="00DE4EE4" w:rsidRDefault="00DE4EE4" w:rsidP="00DE4EE4">
      <w:pPr>
        <w:spacing w:line="300" w:lineRule="atLeast"/>
        <w:contextualSpacing/>
        <w:jc w:val="both"/>
        <w:rPr>
          <w:rFonts w:ascii="Times New Roman" w:hAnsi="Times New Roman" w:cs="Times New Roman"/>
          <w:i/>
          <w:color w:val="4472C4"/>
          <w:sz w:val="24"/>
          <w:szCs w:val="24"/>
        </w:rPr>
      </w:pPr>
    </w:p>
    <w:p w14:paraId="07FA735F" w14:textId="77777777" w:rsidR="00DE4EE4" w:rsidRPr="00DE4EE4" w:rsidRDefault="00DE4EE4" w:rsidP="000559F3">
      <w:pPr>
        <w:spacing w:after="60" w:line="300" w:lineRule="atLeast"/>
        <w:jc w:val="both"/>
        <w:rPr>
          <w:rFonts w:ascii="Times New Roman" w:hAnsi="Times New Roman" w:cs="Times New Roman"/>
          <w:i/>
          <w:color w:val="4472C4"/>
          <w:sz w:val="24"/>
          <w:szCs w:val="24"/>
        </w:rPr>
      </w:pPr>
      <w:r w:rsidRPr="00DE4EE4">
        <w:rPr>
          <w:rFonts w:ascii="Times New Roman" w:hAnsi="Times New Roman" w:cs="Times New Roman"/>
          <w:i/>
          <w:color w:val="4472C4"/>
          <w:sz w:val="24"/>
          <w:szCs w:val="24"/>
        </w:rPr>
        <w:t>Wojewódzki Inspektorat Ochrony Środowiska w Krakowie</w:t>
      </w:r>
    </w:p>
    <w:p w14:paraId="127EFE52" w14:textId="77777777" w:rsidR="00296D6B" w:rsidRDefault="00296D6B" w:rsidP="002C016E">
      <w:pPr>
        <w:autoSpaceDE w:val="0"/>
        <w:autoSpaceDN w:val="0"/>
        <w:adjustRightInd w:val="0"/>
        <w:spacing w:line="300" w:lineRule="atLeast"/>
        <w:ind w:firstLine="567"/>
        <w:contextualSpacing/>
        <w:jc w:val="both"/>
        <w:rPr>
          <w:rFonts w:ascii="Times New Roman" w:hAnsi="Times New Roman" w:cs="Times New Roman"/>
          <w:sz w:val="24"/>
          <w:szCs w:val="24"/>
        </w:rPr>
      </w:pPr>
      <w:r w:rsidRPr="00311A3C">
        <w:rPr>
          <w:rFonts w:ascii="Times New Roman" w:hAnsi="Times New Roman" w:cs="Times New Roman"/>
          <w:sz w:val="24"/>
          <w:szCs w:val="24"/>
        </w:rPr>
        <w:t>W 2022 roku do WIOŚ w Krakowie nie wpłynęły wnioski o udostępnienie informacji w</w:t>
      </w:r>
      <w:r>
        <w:rPr>
          <w:rFonts w:ascii="Times New Roman" w:hAnsi="Times New Roman" w:cs="Times New Roman"/>
          <w:sz w:val="24"/>
          <w:szCs w:val="24"/>
        </w:rPr>
        <w:t> </w:t>
      </w:r>
      <w:r w:rsidRPr="00311A3C">
        <w:rPr>
          <w:rFonts w:ascii="Times New Roman" w:hAnsi="Times New Roman" w:cs="Times New Roman"/>
          <w:sz w:val="24"/>
          <w:szCs w:val="24"/>
        </w:rPr>
        <w:t>trybie art. 10d ust. 2 ustawy o Inspekcji Ochrony Środowiska.</w:t>
      </w:r>
    </w:p>
    <w:p w14:paraId="6D11C1C9" w14:textId="77777777" w:rsidR="00DE4EE4" w:rsidRPr="00DE4EE4" w:rsidRDefault="00DE4EE4" w:rsidP="00DE4EE4">
      <w:pPr>
        <w:spacing w:line="300" w:lineRule="atLeast"/>
        <w:contextualSpacing/>
        <w:jc w:val="both"/>
        <w:rPr>
          <w:rFonts w:ascii="Times New Roman" w:hAnsi="Times New Roman" w:cs="Times New Roman"/>
          <w:i/>
          <w:color w:val="4472C4"/>
          <w:sz w:val="24"/>
          <w:szCs w:val="24"/>
        </w:rPr>
      </w:pPr>
    </w:p>
    <w:p w14:paraId="142BA9E8" w14:textId="77777777" w:rsidR="00DE4EE4" w:rsidRPr="00DE4EE4" w:rsidRDefault="00DE4EE4" w:rsidP="000559F3">
      <w:pPr>
        <w:spacing w:after="60" w:line="300" w:lineRule="atLeast"/>
        <w:jc w:val="both"/>
        <w:rPr>
          <w:rFonts w:ascii="Times New Roman" w:hAnsi="Times New Roman" w:cs="Times New Roman"/>
          <w:i/>
          <w:color w:val="4472C4"/>
          <w:sz w:val="24"/>
          <w:szCs w:val="24"/>
        </w:rPr>
      </w:pPr>
      <w:r w:rsidRPr="00DE4EE4">
        <w:rPr>
          <w:rFonts w:ascii="Times New Roman" w:hAnsi="Times New Roman" w:cs="Times New Roman"/>
          <w:i/>
          <w:color w:val="4472C4"/>
          <w:sz w:val="24"/>
          <w:szCs w:val="24"/>
        </w:rPr>
        <w:t>Wojewódzki Inspektorat Ochrony Środowiska w Łodzi</w:t>
      </w:r>
    </w:p>
    <w:p w14:paraId="6A21E393" w14:textId="43F44950" w:rsidR="00DE4EE4" w:rsidRPr="00DE4EE4" w:rsidRDefault="00DE4EE4" w:rsidP="002C016E">
      <w:pPr>
        <w:spacing w:line="300" w:lineRule="atLeast"/>
        <w:ind w:firstLine="567"/>
        <w:contextualSpacing/>
        <w:jc w:val="both"/>
        <w:rPr>
          <w:rFonts w:ascii="Times New Roman" w:hAnsi="Times New Roman" w:cs="Times New Roman"/>
          <w:sz w:val="24"/>
          <w:szCs w:val="24"/>
        </w:rPr>
      </w:pPr>
      <w:r w:rsidRPr="00DE4EE4">
        <w:rPr>
          <w:rFonts w:ascii="Times New Roman" w:hAnsi="Times New Roman" w:cs="Times New Roman"/>
          <w:sz w:val="24"/>
          <w:szCs w:val="24"/>
        </w:rPr>
        <w:t>Podobnie jak w roku poprzednim</w:t>
      </w:r>
      <w:r w:rsidR="000559F3">
        <w:rPr>
          <w:rFonts w:ascii="Times New Roman" w:hAnsi="Times New Roman" w:cs="Times New Roman"/>
          <w:sz w:val="24"/>
          <w:szCs w:val="24"/>
        </w:rPr>
        <w:t>,</w:t>
      </w:r>
      <w:r w:rsidRPr="00DE4EE4">
        <w:rPr>
          <w:rFonts w:ascii="Times New Roman" w:hAnsi="Times New Roman" w:cs="Times New Roman"/>
          <w:sz w:val="24"/>
          <w:szCs w:val="24"/>
        </w:rPr>
        <w:t xml:space="preserve"> w 2022 roku nie odnotowano wniosków zgodnie z art. 10d ust. 2 ustawy o Inspekcji Ochrony Środowiska kierowanych przez inne organy </w:t>
      </w:r>
      <w:r w:rsidR="000559F3">
        <w:rPr>
          <w:rFonts w:ascii="Times New Roman" w:hAnsi="Times New Roman" w:cs="Times New Roman"/>
          <w:sz w:val="24"/>
          <w:szCs w:val="24"/>
        </w:rPr>
        <w:br/>
      </w:r>
      <w:r w:rsidRPr="00DE4EE4">
        <w:rPr>
          <w:rFonts w:ascii="Times New Roman" w:hAnsi="Times New Roman" w:cs="Times New Roman"/>
          <w:sz w:val="24"/>
          <w:szCs w:val="24"/>
        </w:rPr>
        <w:t>o udostępnienie informacji uzyskanych na skutek czynności przeprowadzonych z art. 10b.</w:t>
      </w:r>
    </w:p>
    <w:p w14:paraId="31246462" w14:textId="77777777" w:rsidR="00DE4EE4" w:rsidRPr="00DE4EE4" w:rsidRDefault="00DE4EE4" w:rsidP="00DE4EE4">
      <w:pPr>
        <w:spacing w:line="300" w:lineRule="atLeast"/>
        <w:contextualSpacing/>
        <w:jc w:val="both"/>
        <w:rPr>
          <w:rFonts w:ascii="Times New Roman" w:hAnsi="Times New Roman" w:cs="Times New Roman"/>
          <w:i/>
          <w:color w:val="4472C4"/>
          <w:sz w:val="24"/>
          <w:szCs w:val="24"/>
        </w:rPr>
      </w:pPr>
    </w:p>
    <w:p w14:paraId="5C2BBF3E" w14:textId="77777777" w:rsidR="00DE4EE4" w:rsidRPr="00DE4EE4" w:rsidRDefault="00DE4EE4" w:rsidP="000559F3">
      <w:pPr>
        <w:spacing w:after="60" w:line="300" w:lineRule="atLeast"/>
        <w:jc w:val="both"/>
        <w:rPr>
          <w:rFonts w:ascii="Times New Roman" w:hAnsi="Times New Roman" w:cs="Times New Roman"/>
          <w:i/>
          <w:color w:val="4472C4"/>
          <w:sz w:val="24"/>
          <w:szCs w:val="24"/>
        </w:rPr>
      </w:pPr>
      <w:r w:rsidRPr="00DE4EE4">
        <w:rPr>
          <w:rFonts w:ascii="Times New Roman" w:hAnsi="Times New Roman" w:cs="Times New Roman"/>
          <w:i/>
          <w:color w:val="4472C4"/>
          <w:sz w:val="24"/>
          <w:szCs w:val="24"/>
        </w:rPr>
        <w:t>Wojewódzki Inspektorat Ochrony Środowiska w Olsztynie</w:t>
      </w:r>
    </w:p>
    <w:p w14:paraId="15549DD8" w14:textId="77777777" w:rsidR="00DE4EE4" w:rsidRPr="00DE4EE4" w:rsidRDefault="00DE4EE4" w:rsidP="002C016E">
      <w:pPr>
        <w:spacing w:line="300" w:lineRule="atLeast"/>
        <w:ind w:firstLine="567"/>
        <w:contextualSpacing/>
        <w:jc w:val="both"/>
        <w:rPr>
          <w:rFonts w:ascii="Times New Roman" w:hAnsi="Times New Roman" w:cs="Times New Roman"/>
          <w:i/>
          <w:color w:val="4472C4"/>
          <w:sz w:val="24"/>
          <w:szCs w:val="24"/>
        </w:rPr>
      </w:pPr>
      <w:r w:rsidRPr="00DE4EE4">
        <w:rPr>
          <w:rFonts w:ascii="Times New Roman" w:hAnsi="Times New Roman" w:cs="Times New Roman"/>
          <w:sz w:val="24"/>
          <w:szCs w:val="24"/>
        </w:rPr>
        <w:t>W wyniku  prowadzonych czynności na podstawie art. 10b ustawy o Inspekcji Ochrony Środowiska i w związku z informacjami uzyskanymi w czasie prowadzenia przedmiotowych czynności wszczęto 13 kontroli.</w:t>
      </w:r>
    </w:p>
    <w:p w14:paraId="6A3825A8" w14:textId="22426578" w:rsidR="00DE4EE4" w:rsidRPr="00DE4EE4" w:rsidRDefault="00DE4EE4" w:rsidP="002C016E">
      <w:pPr>
        <w:spacing w:line="300" w:lineRule="atLeast"/>
        <w:ind w:firstLine="567"/>
        <w:contextualSpacing/>
        <w:jc w:val="both"/>
        <w:rPr>
          <w:rFonts w:ascii="Times New Roman" w:hAnsi="Times New Roman" w:cs="Times New Roman"/>
          <w:sz w:val="24"/>
          <w:szCs w:val="24"/>
        </w:rPr>
      </w:pPr>
      <w:r w:rsidRPr="00DE4EE4">
        <w:rPr>
          <w:rFonts w:ascii="Times New Roman" w:hAnsi="Times New Roman" w:cs="Times New Roman"/>
          <w:sz w:val="24"/>
          <w:szCs w:val="24"/>
        </w:rPr>
        <w:t>Informacje uzyskane w czasie prowadzenia czynności, o których mowa w art. 10b ust. 2 u</w:t>
      </w:r>
      <w:r w:rsidR="00801B4E">
        <w:rPr>
          <w:rFonts w:ascii="Times New Roman" w:hAnsi="Times New Roman" w:cs="Times New Roman"/>
          <w:sz w:val="24"/>
          <w:szCs w:val="24"/>
        </w:rPr>
        <w:t>stawy o IO</w:t>
      </w:r>
      <w:r w:rsidR="009834FB">
        <w:rPr>
          <w:rFonts w:ascii="Times New Roman" w:hAnsi="Times New Roman" w:cs="Times New Roman"/>
          <w:sz w:val="24"/>
          <w:szCs w:val="24"/>
        </w:rPr>
        <w:t>Ś</w:t>
      </w:r>
      <w:r w:rsidRPr="00DE4EE4">
        <w:rPr>
          <w:rFonts w:ascii="Times New Roman" w:hAnsi="Times New Roman" w:cs="Times New Roman"/>
          <w:sz w:val="24"/>
          <w:szCs w:val="24"/>
        </w:rPr>
        <w:t>. stanowiły dowód w przypadku 7 post</w:t>
      </w:r>
      <w:r w:rsidR="009834FB">
        <w:rPr>
          <w:rFonts w:ascii="Times New Roman" w:hAnsi="Times New Roman" w:cs="Times New Roman"/>
          <w:sz w:val="24"/>
          <w:szCs w:val="24"/>
        </w:rPr>
        <w:t>ę</w:t>
      </w:r>
      <w:r w:rsidRPr="00DE4EE4">
        <w:rPr>
          <w:rFonts w:ascii="Times New Roman" w:hAnsi="Times New Roman" w:cs="Times New Roman"/>
          <w:sz w:val="24"/>
          <w:szCs w:val="24"/>
        </w:rPr>
        <w:t>powań administracyjnych.</w:t>
      </w:r>
    </w:p>
    <w:p w14:paraId="07099519" w14:textId="77777777" w:rsidR="00DE4EE4" w:rsidRPr="00DE4EE4" w:rsidRDefault="00DE4EE4" w:rsidP="002C016E">
      <w:pPr>
        <w:spacing w:line="300" w:lineRule="atLeast"/>
        <w:ind w:firstLine="567"/>
        <w:contextualSpacing/>
        <w:jc w:val="both"/>
        <w:rPr>
          <w:rFonts w:ascii="Times New Roman" w:hAnsi="Times New Roman" w:cs="Times New Roman"/>
          <w:sz w:val="24"/>
          <w:szCs w:val="24"/>
        </w:rPr>
      </w:pPr>
      <w:r w:rsidRPr="00DE4EE4">
        <w:rPr>
          <w:rFonts w:ascii="Times New Roman" w:hAnsi="Times New Roman" w:cs="Times New Roman"/>
          <w:sz w:val="24"/>
          <w:szCs w:val="24"/>
        </w:rPr>
        <w:t>Wskutek  prowadzonych czynności na podstawie art. 10b ustawy o Inspekcji Ochrony Środowiska złożono 3 zawiadomienia do Prokuratury.</w:t>
      </w:r>
    </w:p>
    <w:p w14:paraId="15A98540" w14:textId="77777777" w:rsidR="00DE4EE4" w:rsidRPr="00DE4EE4" w:rsidRDefault="00DE4EE4" w:rsidP="00DE4EE4">
      <w:pPr>
        <w:spacing w:line="300" w:lineRule="atLeast"/>
        <w:contextualSpacing/>
        <w:jc w:val="both"/>
        <w:rPr>
          <w:rFonts w:ascii="Times New Roman" w:hAnsi="Times New Roman" w:cs="Times New Roman"/>
          <w:i/>
          <w:color w:val="4472C4"/>
          <w:sz w:val="24"/>
          <w:szCs w:val="24"/>
        </w:rPr>
      </w:pPr>
    </w:p>
    <w:p w14:paraId="23699F53" w14:textId="77777777" w:rsidR="00DE4EE4" w:rsidRPr="00DE4EE4" w:rsidRDefault="00DE4EE4" w:rsidP="00801B4E">
      <w:pPr>
        <w:spacing w:after="60" w:line="300" w:lineRule="atLeast"/>
        <w:jc w:val="both"/>
        <w:rPr>
          <w:rFonts w:ascii="Times New Roman" w:hAnsi="Times New Roman" w:cs="Times New Roman"/>
          <w:i/>
          <w:color w:val="4472C4"/>
          <w:sz w:val="24"/>
          <w:szCs w:val="24"/>
        </w:rPr>
      </w:pPr>
      <w:r w:rsidRPr="00DE4EE4">
        <w:rPr>
          <w:rFonts w:ascii="Times New Roman" w:hAnsi="Times New Roman" w:cs="Times New Roman"/>
          <w:i/>
          <w:color w:val="4472C4"/>
          <w:sz w:val="24"/>
          <w:szCs w:val="24"/>
        </w:rPr>
        <w:t>Wojewódzki Inspektorat Ochrony Środowiska w Opolu</w:t>
      </w:r>
    </w:p>
    <w:p w14:paraId="2611FA09" w14:textId="245B050B" w:rsidR="00DE4EE4" w:rsidRPr="00DE4EE4" w:rsidRDefault="00DE4EE4" w:rsidP="00801B4E">
      <w:pPr>
        <w:spacing w:line="300" w:lineRule="atLeast"/>
        <w:ind w:firstLine="567"/>
        <w:contextualSpacing/>
        <w:jc w:val="both"/>
        <w:rPr>
          <w:rFonts w:ascii="Times New Roman" w:hAnsi="Times New Roman" w:cs="Times New Roman"/>
          <w:bCs/>
          <w:sz w:val="24"/>
          <w:szCs w:val="24"/>
        </w:rPr>
      </w:pPr>
      <w:r w:rsidRPr="00DE4EE4">
        <w:rPr>
          <w:rFonts w:ascii="Times New Roman" w:hAnsi="Times New Roman" w:cs="Times New Roman"/>
          <w:bCs/>
          <w:sz w:val="24"/>
          <w:szCs w:val="24"/>
        </w:rPr>
        <w:t>W roku 2022 trzykrotnie udzielano informacji uzyskanych w czasie prowadzenia czynności, o których mowa w art. 10b ust. 2 u</w:t>
      </w:r>
      <w:r w:rsidR="00801B4E">
        <w:rPr>
          <w:rFonts w:ascii="Times New Roman" w:hAnsi="Times New Roman" w:cs="Times New Roman"/>
          <w:bCs/>
          <w:sz w:val="24"/>
          <w:szCs w:val="24"/>
        </w:rPr>
        <w:t>stawy o IOŚ</w:t>
      </w:r>
      <w:r w:rsidRPr="00DE4EE4">
        <w:rPr>
          <w:rFonts w:ascii="Times New Roman" w:hAnsi="Times New Roman" w:cs="Times New Roman"/>
          <w:bCs/>
          <w:sz w:val="24"/>
          <w:szCs w:val="24"/>
        </w:rPr>
        <w:t>. udostępnionych na wniosek Policji, natomiast w roku 2021 informacje tego rodzaju przekazano pięciokrotnie.</w:t>
      </w:r>
    </w:p>
    <w:p w14:paraId="1AB1FEAB" w14:textId="77777777" w:rsidR="00DE4EE4" w:rsidRPr="00DE4EE4" w:rsidRDefault="00DE4EE4" w:rsidP="00DE4EE4">
      <w:pPr>
        <w:spacing w:line="300" w:lineRule="atLeast"/>
        <w:contextualSpacing/>
        <w:jc w:val="both"/>
        <w:rPr>
          <w:rFonts w:ascii="Times New Roman" w:hAnsi="Times New Roman" w:cs="Times New Roman"/>
          <w:i/>
          <w:color w:val="4472C4"/>
          <w:sz w:val="24"/>
          <w:szCs w:val="24"/>
        </w:rPr>
      </w:pPr>
    </w:p>
    <w:p w14:paraId="39839FF7" w14:textId="77777777" w:rsidR="00DE4EE4" w:rsidRPr="00DE4EE4" w:rsidRDefault="00DE4EE4" w:rsidP="00801B4E">
      <w:pPr>
        <w:spacing w:after="60" w:line="300" w:lineRule="atLeast"/>
        <w:jc w:val="both"/>
        <w:rPr>
          <w:rFonts w:ascii="Times New Roman" w:hAnsi="Times New Roman" w:cs="Times New Roman"/>
          <w:i/>
          <w:color w:val="4472C4"/>
          <w:sz w:val="24"/>
          <w:szCs w:val="24"/>
        </w:rPr>
      </w:pPr>
      <w:r w:rsidRPr="00DE4EE4">
        <w:rPr>
          <w:rFonts w:ascii="Times New Roman" w:hAnsi="Times New Roman" w:cs="Times New Roman"/>
          <w:i/>
          <w:color w:val="4472C4"/>
          <w:sz w:val="24"/>
          <w:szCs w:val="24"/>
        </w:rPr>
        <w:t>Wojewódzki Inspektorat Ochrony Środowiska w Poznaniu</w:t>
      </w:r>
    </w:p>
    <w:p w14:paraId="099CA944" w14:textId="77777777" w:rsidR="00DE4EE4" w:rsidRPr="00DE4EE4" w:rsidRDefault="00DE4EE4" w:rsidP="00801B4E">
      <w:pPr>
        <w:spacing w:after="60" w:line="300" w:lineRule="atLeast"/>
        <w:ind w:firstLine="567"/>
        <w:jc w:val="both"/>
        <w:rPr>
          <w:rFonts w:ascii="Times New Roman" w:hAnsi="Times New Roman" w:cs="Times New Roman"/>
          <w:sz w:val="24"/>
          <w:szCs w:val="24"/>
        </w:rPr>
      </w:pPr>
      <w:r w:rsidRPr="00DE4EE4">
        <w:rPr>
          <w:rFonts w:ascii="Times New Roman" w:hAnsi="Times New Roman" w:cs="Times New Roman"/>
          <w:sz w:val="24"/>
          <w:szCs w:val="24"/>
        </w:rPr>
        <w:t xml:space="preserve">Liczba informacji uzyskanych w czasie prowadzenia czynności, o których mowa w art. 10b ust. 2 </w:t>
      </w:r>
      <w:proofErr w:type="spellStart"/>
      <w:r w:rsidRPr="00DE4EE4">
        <w:rPr>
          <w:rFonts w:ascii="Times New Roman" w:hAnsi="Times New Roman" w:cs="Times New Roman"/>
          <w:sz w:val="24"/>
          <w:szCs w:val="24"/>
        </w:rPr>
        <w:t>u.i.o.ś</w:t>
      </w:r>
      <w:proofErr w:type="spellEnd"/>
      <w:r w:rsidRPr="00DE4EE4">
        <w:rPr>
          <w:rFonts w:ascii="Times New Roman" w:hAnsi="Times New Roman" w:cs="Times New Roman"/>
          <w:sz w:val="24"/>
          <w:szCs w:val="24"/>
        </w:rPr>
        <w:t>. udostępnionych na wniosek:</w:t>
      </w:r>
    </w:p>
    <w:p w14:paraId="5A1643B5" w14:textId="3D4B0051" w:rsidR="00DE4EE4" w:rsidRPr="00801B4E" w:rsidRDefault="00DE4EE4" w:rsidP="00D34F97">
      <w:pPr>
        <w:pStyle w:val="Akapitzlist"/>
        <w:numPr>
          <w:ilvl w:val="0"/>
          <w:numId w:val="286"/>
        </w:numPr>
        <w:spacing w:line="300" w:lineRule="atLeast"/>
        <w:jc w:val="both"/>
        <w:rPr>
          <w:sz w:val="24"/>
          <w:szCs w:val="24"/>
        </w:rPr>
      </w:pPr>
      <w:r w:rsidRPr="00801B4E">
        <w:rPr>
          <w:sz w:val="24"/>
          <w:szCs w:val="24"/>
        </w:rPr>
        <w:t>sądu lub prokuratora - w związku z toczącym się postępowaniem – 1,</w:t>
      </w:r>
    </w:p>
    <w:p w14:paraId="233064D3" w14:textId="25EF9EA5" w:rsidR="00DE4EE4" w:rsidRPr="00801B4E" w:rsidRDefault="00DE4EE4" w:rsidP="00D34F97">
      <w:pPr>
        <w:pStyle w:val="Akapitzlist"/>
        <w:numPr>
          <w:ilvl w:val="0"/>
          <w:numId w:val="286"/>
        </w:numPr>
        <w:spacing w:line="300" w:lineRule="atLeast"/>
        <w:ind w:left="714" w:hanging="357"/>
        <w:jc w:val="both"/>
        <w:rPr>
          <w:sz w:val="24"/>
          <w:szCs w:val="24"/>
        </w:rPr>
      </w:pPr>
      <w:r w:rsidRPr="00801B4E">
        <w:rPr>
          <w:sz w:val="24"/>
          <w:szCs w:val="24"/>
        </w:rPr>
        <w:t xml:space="preserve">organów i służb uprawnionych do ścigania przestępstw i wykroczeń – 2. </w:t>
      </w:r>
    </w:p>
    <w:p w14:paraId="1298C5FA" w14:textId="79530DF3" w:rsidR="00DE4EE4" w:rsidRDefault="00DE4EE4" w:rsidP="00DE4EE4">
      <w:pPr>
        <w:spacing w:line="300" w:lineRule="atLeast"/>
        <w:contextualSpacing/>
        <w:jc w:val="both"/>
        <w:rPr>
          <w:rFonts w:ascii="Times New Roman" w:hAnsi="Times New Roman" w:cs="Times New Roman"/>
          <w:i/>
          <w:color w:val="4472C4"/>
          <w:sz w:val="24"/>
          <w:szCs w:val="24"/>
          <w:lang w:val="x-none"/>
        </w:rPr>
      </w:pPr>
    </w:p>
    <w:p w14:paraId="024B262E" w14:textId="77777777" w:rsidR="0017736A" w:rsidRPr="00801B4E" w:rsidRDefault="0017736A" w:rsidP="00DE4EE4">
      <w:pPr>
        <w:spacing w:line="300" w:lineRule="atLeast"/>
        <w:contextualSpacing/>
        <w:jc w:val="both"/>
        <w:rPr>
          <w:rFonts w:ascii="Times New Roman" w:hAnsi="Times New Roman" w:cs="Times New Roman"/>
          <w:i/>
          <w:color w:val="4472C4"/>
          <w:sz w:val="24"/>
          <w:szCs w:val="24"/>
          <w:lang w:val="x-none"/>
        </w:rPr>
      </w:pPr>
    </w:p>
    <w:p w14:paraId="09EFBAB3" w14:textId="77777777" w:rsidR="00DE4EE4" w:rsidRPr="00DE4EE4" w:rsidRDefault="00DE4EE4" w:rsidP="00801B4E">
      <w:pPr>
        <w:spacing w:after="60" w:line="300" w:lineRule="atLeast"/>
        <w:jc w:val="both"/>
        <w:rPr>
          <w:rFonts w:ascii="Times New Roman" w:hAnsi="Times New Roman" w:cs="Times New Roman"/>
          <w:i/>
          <w:color w:val="4472C4"/>
          <w:sz w:val="24"/>
          <w:szCs w:val="24"/>
        </w:rPr>
      </w:pPr>
      <w:r w:rsidRPr="00DE4EE4">
        <w:rPr>
          <w:rFonts w:ascii="Times New Roman" w:hAnsi="Times New Roman" w:cs="Times New Roman"/>
          <w:i/>
          <w:color w:val="4472C4"/>
          <w:sz w:val="24"/>
          <w:szCs w:val="24"/>
        </w:rPr>
        <w:t>Wojewódzki Inspektorat Ochrony Środowiska w Rzeszowie</w:t>
      </w:r>
    </w:p>
    <w:p w14:paraId="4CDA2551" w14:textId="77777777" w:rsidR="00DE4EE4" w:rsidRPr="00DE4EE4" w:rsidRDefault="00DE4EE4" w:rsidP="00801B4E">
      <w:pPr>
        <w:autoSpaceDE w:val="0"/>
        <w:autoSpaceDN w:val="0"/>
        <w:adjustRightInd w:val="0"/>
        <w:spacing w:line="300" w:lineRule="atLeast"/>
        <w:ind w:firstLine="567"/>
        <w:contextualSpacing/>
        <w:jc w:val="both"/>
        <w:rPr>
          <w:rFonts w:ascii="Times New Roman" w:hAnsi="Times New Roman" w:cs="Times New Roman"/>
          <w:sz w:val="24"/>
          <w:szCs w:val="24"/>
        </w:rPr>
      </w:pPr>
      <w:r w:rsidRPr="00DE4EE4">
        <w:rPr>
          <w:rFonts w:ascii="Times New Roman" w:hAnsi="Times New Roman" w:cs="Times New Roman"/>
          <w:sz w:val="24"/>
          <w:szCs w:val="24"/>
        </w:rPr>
        <w:t>W 2021 roku nie udostępniano informacji innym organom i służbom na podstawie art. 10d ust.2 ustawy o Inspekcji Ochrony Środowiska. W 2022 roku w jednym przypadku  udostępniano informację służbom uprawnionym do ścigania przestępstw i wykroczeń (Komenda Miejska Policji w Krośnie).</w:t>
      </w:r>
    </w:p>
    <w:p w14:paraId="79622557" w14:textId="77777777" w:rsidR="00801B4E" w:rsidRPr="00DE4EE4" w:rsidRDefault="00801B4E" w:rsidP="00DE4EE4">
      <w:pPr>
        <w:spacing w:line="300" w:lineRule="atLeast"/>
        <w:contextualSpacing/>
        <w:jc w:val="both"/>
        <w:rPr>
          <w:rFonts w:ascii="Times New Roman" w:hAnsi="Times New Roman" w:cs="Times New Roman"/>
          <w:i/>
          <w:color w:val="4472C4"/>
          <w:sz w:val="24"/>
          <w:szCs w:val="24"/>
        </w:rPr>
      </w:pPr>
    </w:p>
    <w:p w14:paraId="2770C277" w14:textId="77777777" w:rsidR="00DE4EE4" w:rsidRPr="00DE4EE4" w:rsidRDefault="00DE4EE4" w:rsidP="00801B4E">
      <w:pPr>
        <w:spacing w:after="60" w:line="300" w:lineRule="atLeast"/>
        <w:jc w:val="both"/>
        <w:rPr>
          <w:rFonts w:ascii="Times New Roman" w:hAnsi="Times New Roman" w:cs="Times New Roman"/>
          <w:i/>
          <w:color w:val="4472C4"/>
          <w:sz w:val="24"/>
          <w:szCs w:val="24"/>
        </w:rPr>
      </w:pPr>
      <w:r w:rsidRPr="00DE4EE4">
        <w:rPr>
          <w:rFonts w:ascii="Times New Roman" w:hAnsi="Times New Roman" w:cs="Times New Roman"/>
          <w:i/>
          <w:color w:val="4472C4"/>
          <w:sz w:val="24"/>
          <w:szCs w:val="24"/>
        </w:rPr>
        <w:t>Wojewódzki Inspektorat Ochrony Środowiska w Szczecinie</w:t>
      </w:r>
    </w:p>
    <w:p w14:paraId="2BE110CB" w14:textId="3BEA24D1" w:rsidR="00DE4EE4" w:rsidRDefault="00DE4EE4" w:rsidP="00801B4E">
      <w:pPr>
        <w:autoSpaceDE w:val="0"/>
        <w:autoSpaceDN w:val="0"/>
        <w:adjustRightInd w:val="0"/>
        <w:spacing w:line="300" w:lineRule="atLeast"/>
        <w:ind w:firstLine="567"/>
        <w:contextualSpacing/>
        <w:jc w:val="both"/>
        <w:rPr>
          <w:rFonts w:ascii="Times New Roman" w:hAnsi="Times New Roman" w:cs="Times New Roman"/>
          <w:sz w:val="24"/>
          <w:szCs w:val="24"/>
        </w:rPr>
      </w:pPr>
      <w:r w:rsidRPr="00DE4EE4">
        <w:rPr>
          <w:rFonts w:ascii="Times New Roman" w:hAnsi="Times New Roman" w:cs="Times New Roman"/>
          <w:sz w:val="24"/>
          <w:szCs w:val="24"/>
        </w:rPr>
        <w:t xml:space="preserve">Informacje uzyskane na podstawie działań w trybie z art. 10b w roku 2022 przekazano </w:t>
      </w:r>
      <w:r w:rsidR="00801B4E">
        <w:rPr>
          <w:rFonts w:ascii="Times New Roman" w:hAnsi="Times New Roman" w:cs="Times New Roman"/>
          <w:sz w:val="24"/>
          <w:szCs w:val="24"/>
        </w:rPr>
        <w:br/>
      </w:r>
      <w:r w:rsidRPr="00DE4EE4">
        <w:rPr>
          <w:rFonts w:ascii="Times New Roman" w:hAnsi="Times New Roman" w:cs="Times New Roman"/>
          <w:sz w:val="24"/>
          <w:szCs w:val="24"/>
        </w:rPr>
        <w:t xml:space="preserve">w trzech przypadkach do </w:t>
      </w:r>
      <w:r w:rsidR="00801B4E">
        <w:rPr>
          <w:rFonts w:ascii="Times New Roman" w:hAnsi="Times New Roman" w:cs="Times New Roman"/>
          <w:sz w:val="24"/>
          <w:szCs w:val="24"/>
        </w:rPr>
        <w:t>P</w:t>
      </w:r>
      <w:r w:rsidRPr="00DE4EE4">
        <w:rPr>
          <w:rFonts w:ascii="Times New Roman" w:hAnsi="Times New Roman" w:cs="Times New Roman"/>
          <w:sz w:val="24"/>
          <w:szCs w:val="24"/>
        </w:rPr>
        <w:t xml:space="preserve">rokuratury (w tym wszystkie działania związane </w:t>
      </w:r>
      <w:r w:rsidR="00801B4E">
        <w:rPr>
          <w:rFonts w:ascii="Times New Roman" w:hAnsi="Times New Roman" w:cs="Times New Roman"/>
          <w:sz w:val="24"/>
          <w:szCs w:val="24"/>
        </w:rPr>
        <w:br/>
      </w:r>
      <w:r w:rsidRPr="00DE4EE4">
        <w:rPr>
          <w:rFonts w:ascii="Times New Roman" w:hAnsi="Times New Roman" w:cs="Times New Roman"/>
          <w:sz w:val="24"/>
          <w:szCs w:val="24"/>
        </w:rPr>
        <w:t>z zanieczyszczeniem rzeki Odra w okresie sierpień – wrzesień 2022 r.) i w dwóch przypadkach do Policji. W roku 2021 r. nie przekazywano takich informacji.</w:t>
      </w:r>
    </w:p>
    <w:p w14:paraId="209328B0" w14:textId="77777777" w:rsidR="006934C8" w:rsidRPr="00DE4EE4" w:rsidRDefault="006934C8" w:rsidP="00801B4E">
      <w:pPr>
        <w:autoSpaceDE w:val="0"/>
        <w:autoSpaceDN w:val="0"/>
        <w:adjustRightInd w:val="0"/>
        <w:spacing w:line="300" w:lineRule="atLeast"/>
        <w:ind w:firstLine="567"/>
        <w:contextualSpacing/>
        <w:jc w:val="both"/>
        <w:rPr>
          <w:rFonts w:ascii="Times New Roman" w:hAnsi="Times New Roman" w:cs="Times New Roman"/>
          <w:sz w:val="24"/>
          <w:szCs w:val="24"/>
        </w:rPr>
      </w:pPr>
    </w:p>
    <w:p w14:paraId="7240116E" w14:textId="196436F5" w:rsidR="00DE4EE4" w:rsidRPr="00DE4EE4" w:rsidRDefault="00DE4EE4" w:rsidP="00801B4E">
      <w:pPr>
        <w:spacing w:after="60" w:line="300" w:lineRule="atLeast"/>
        <w:jc w:val="both"/>
        <w:rPr>
          <w:rFonts w:ascii="Times New Roman" w:hAnsi="Times New Roman" w:cs="Times New Roman"/>
          <w:i/>
          <w:color w:val="4472C4"/>
          <w:sz w:val="24"/>
          <w:szCs w:val="24"/>
        </w:rPr>
      </w:pPr>
      <w:r w:rsidRPr="00DE4EE4">
        <w:rPr>
          <w:rFonts w:ascii="Times New Roman" w:hAnsi="Times New Roman" w:cs="Times New Roman"/>
          <w:i/>
          <w:color w:val="4472C4"/>
          <w:sz w:val="24"/>
          <w:szCs w:val="24"/>
        </w:rPr>
        <w:t>Wojewódzki Inspektorat Ochrony Środowiska w Warszawie</w:t>
      </w:r>
      <w:r w:rsidR="00801B4E">
        <w:rPr>
          <w:rFonts w:ascii="Times New Roman" w:hAnsi="Times New Roman" w:cs="Times New Roman"/>
          <w:i/>
          <w:color w:val="4472C4"/>
          <w:sz w:val="24"/>
          <w:szCs w:val="24"/>
        </w:rPr>
        <w:t xml:space="preserve"> </w:t>
      </w:r>
    </w:p>
    <w:p w14:paraId="1EE99755" w14:textId="77777777" w:rsidR="00DE4EE4" w:rsidRPr="00DE4EE4" w:rsidRDefault="00DE4EE4" w:rsidP="00801B4E">
      <w:pPr>
        <w:spacing w:line="300" w:lineRule="atLeast"/>
        <w:ind w:firstLine="567"/>
        <w:contextualSpacing/>
        <w:jc w:val="both"/>
        <w:rPr>
          <w:rFonts w:ascii="Times New Roman" w:hAnsi="Times New Roman" w:cs="Times New Roman"/>
          <w:sz w:val="24"/>
          <w:szCs w:val="24"/>
        </w:rPr>
      </w:pPr>
      <w:r w:rsidRPr="00DE4EE4">
        <w:rPr>
          <w:rFonts w:ascii="Times New Roman" w:hAnsi="Times New Roman" w:cs="Times New Roman"/>
          <w:sz w:val="24"/>
          <w:szCs w:val="24"/>
        </w:rPr>
        <w:t>W 2022 r. WIOŚ w Warszawie udostępnił 21 informacji zgodnie z art. 10d ust. 2 ustawy o Inspekcji Ochrony Środowiska nw. organom i służbom.</w:t>
      </w:r>
    </w:p>
    <w:p w14:paraId="025F60CA" w14:textId="77777777" w:rsidR="00DE4EE4" w:rsidRPr="00DE4EE4" w:rsidRDefault="00DE4EE4" w:rsidP="00DE4EE4">
      <w:pPr>
        <w:spacing w:line="300" w:lineRule="atLeast"/>
        <w:contextualSpacing/>
        <w:jc w:val="both"/>
        <w:rPr>
          <w:rFonts w:ascii="Times New Roman" w:hAnsi="Times New Roman" w:cs="Times New Roman"/>
          <w:i/>
          <w:color w:val="4472C4"/>
          <w:sz w:val="24"/>
          <w:szCs w:val="24"/>
        </w:rPr>
      </w:pPr>
    </w:p>
    <w:p w14:paraId="2010CEBF" w14:textId="77777777" w:rsidR="00DE4EE4" w:rsidRPr="00DE4EE4" w:rsidRDefault="00DE4EE4" w:rsidP="0017736A">
      <w:pPr>
        <w:spacing w:after="120" w:line="300" w:lineRule="atLeast"/>
        <w:jc w:val="both"/>
        <w:rPr>
          <w:rFonts w:ascii="Times New Roman" w:hAnsi="Times New Roman" w:cs="Times New Roman"/>
          <w:i/>
          <w:color w:val="4472C4"/>
          <w:sz w:val="24"/>
          <w:szCs w:val="24"/>
        </w:rPr>
      </w:pPr>
      <w:r w:rsidRPr="00DE4EE4">
        <w:rPr>
          <w:rFonts w:ascii="Times New Roman" w:hAnsi="Times New Roman" w:cs="Times New Roman"/>
          <w:i/>
          <w:color w:val="4472C4"/>
          <w:sz w:val="24"/>
          <w:szCs w:val="24"/>
        </w:rPr>
        <w:t>Wojewódzki Inspektorat Ochrony Środowiska we Wrocławiu</w:t>
      </w:r>
    </w:p>
    <w:p w14:paraId="3FD8330E" w14:textId="77777777" w:rsidR="00DE4EE4" w:rsidRPr="00DE4EE4" w:rsidRDefault="00DE4EE4" w:rsidP="00801B4E">
      <w:pPr>
        <w:spacing w:after="60" w:line="300" w:lineRule="atLeast"/>
        <w:jc w:val="both"/>
        <w:rPr>
          <w:rFonts w:ascii="Times New Roman" w:hAnsi="Times New Roman" w:cs="Times New Roman"/>
          <w:sz w:val="24"/>
          <w:szCs w:val="24"/>
          <w:u w:val="single"/>
        </w:rPr>
      </w:pPr>
      <w:r w:rsidRPr="00DE4EE4">
        <w:rPr>
          <w:rFonts w:ascii="Times New Roman" w:hAnsi="Times New Roman" w:cs="Times New Roman"/>
          <w:sz w:val="24"/>
          <w:szCs w:val="24"/>
          <w:u w:val="single"/>
        </w:rPr>
        <w:t>Wydział/Działy Inspekcji:</w:t>
      </w:r>
    </w:p>
    <w:p w14:paraId="737584D1" w14:textId="495932F1" w:rsidR="00DE4EE4" w:rsidRPr="00801B4E" w:rsidRDefault="00DE4EE4" w:rsidP="00801B4E">
      <w:pPr>
        <w:spacing w:after="120" w:line="300" w:lineRule="atLeast"/>
        <w:ind w:firstLine="567"/>
        <w:jc w:val="both"/>
        <w:rPr>
          <w:rFonts w:ascii="Times New Roman" w:hAnsi="Times New Roman" w:cs="Times New Roman"/>
          <w:sz w:val="24"/>
          <w:szCs w:val="24"/>
        </w:rPr>
      </w:pPr>
      <w:r w:rsidRPr="00DE4EE4">
        <w:rPr>
          <w:rFonts w:ascii="Times New Roman" w:hAnsi="Times New Roman" w:cs="Times New Roman"/>
          <w:sz w:val="24"/>
          <w:szCs w:val="24"/>
        </w:rPr>
        <w:t>W 2022 roku informacje z działań pięciokrotnie zostały udostępnione organom ścigania na ich wniosek, identycznie jak w 2021 roku.</w:t>
      </w:r>
    </w:p>
    <w:p w14:paraId="7E7547EC" w14:textId="77777777" w:rsidR="00DE4EE4" w:rsidRPr="00DE4EE4" w:rsidRDefault="00DE4EE4" w:rsidP="00801B4E">
      <w:pPr>
        <w:spacing w:after="60" w:line="300" w:lineRule="atLeast"/>
        <w:jc w:val="both"/>
        <w:rPr>
          <w:rFonts w:ascii="Times New Roman" w:hAnsi="Times New Roman" w:cs="Times New Roman"/>
          <w:sz w:val="24"/>
          <w:szCs w:val="24"/>
          <w:u w:val="single"/>
        </w:rPr>
      </w:pPr>
      <w:r w:rsidRPr="00DE4EE4">
        <w:rPr>
          <w:rFonts w:ascii="Times New Roman" w:hAnsi="Times New Roman" w:cs="Times New Roman"/>
          <w:sz w:val="24"/>
          <w:szCs w:val="24"/>
          <w:u w:val="single"/>
        </w:rPr>
        <w:t>Wydział Zwalczania Przestępczości Środowiskowej:</w:t>
      </w:r>
    </w:p>
    <w:p w14:paraId="74552EA1" w14:textId="77777777" w:rsidR="00DE4EE4" w:rsidRPr="00DE4EE4" w:rsidRDefault="00DE4EE4" w:rsidP="00DE4EE4">
      <w:pPr>
        <w:spacing w:line="300" w:lineRule="atLeast"/>
        <w:contextualSpacing/>
        <w:jc w:val="both"/>
        <w:rPr>
          <w:rFonts w:ascii="Times New Roman" w:hAnsi="Times New Roman" w:cs="Times New Roman"/>
          <w:sz w:val="24"/>
          <w:szCs w:val="24"/>
        </w:rPr>
      </w:pPr>
      <w:r w:rsidRPr="00DE4EE4">
        <w:rPr>
          <w:rFonts w:ascii="Times New Roman" w:hAnsi="Times New Roman" w:cs="Times New Roman"/>
          <w:sz w:val="24"/>
          <w:szCs w:val="24"/>
        </w:rPr>
        <w:t>Zgodnie z art. 10d ust. 2 ustawy o Inspekcji Ochrony Środowiska udostępniono na wniosek:</w:t>
      </w:r>
    </w:p>
    <w:p w14:paraId="02EAC71C" w14:textId="77777777" w:rsidR="00DE4EE4" w:rsidRPr="00DE4EE4" w:rsidRDefault="00DE4EE4" w:rsidP="00D34F97">
      <w:pPr>
        <w:numPr>
          <w:ilvl w:val="0"/>
          <w:numId w:val="283"/>
        </w:numPr>
        <w:spacing w:after="0" w:line="300" w:lineRule="atLeast"/>
        <w:ind w:left="641" w:hanging="357"/>
        <w:contextualSpacing/>
        <w:jc w:val="both"/>
        <w:rPr>
          <w:rFonts w:ascii="Times New Roman" w:hAnsi="Times New Roman" w:cs="Times New Roman"/>
          <w:sz w:val="24"/>
          <w:szCs w:val="24"/>
        </w:rPr>
      </w:pPr>
      <w:r w:rsidRPr="00DE4EE4">
        <w:rPr>
          <w:rFonts w:ascii="Times New Roman" w:hAnsi="Times New Roman" w:cs="Times New Roman"/>
          <w:sz w:val="24"/>
          <w:szCs w:val="24"/>
        </w:rPr>
        <w:lastRenderedPageBreak/>
        <w:t>14 pism przekazujących ustalenia z wykonanych czynności dla Prokuratury w związku z toczącym się postępowaniem,</w:t>
      </w:r>
    </w:p>
    <w:p w14:paraId="03E530F4" w14:textId="77777777" w:rsidR="00DE4EE4" w:rsidRPr="00DE4EE4" w:rsidRDefault="00DE4EE4" w:rsidP="00D34F97">
      <w:pPr>
        <w:numPr>
          <w:ilvl w:val="0"/>
          <w:numId w:val="283"/>
        </w:numPr>
        <w:spacing w:after="0" w:line="300" w:lineRule="atLeast"/>
        <w:ind w:left="641" w:hanging="357"/>
        <w:contextualSpacing/>
        <w:jc w:val="both"/>
        <w:rPr>
          <w:rFonts w:ascii="Times New Roman" w:hAnsi="Times New Roman" w:cs="Times New Roman"/>
          <w:sz w:val="24"/>
          <w:szCs w:val="24"/>
        </w:rPr>
      </w:pPr>
      <w:r w:rsidRPr="00DE4EE4">
        <w:rPr>
          <w:rFonts w:ascii="Times New Roman" w:hAnsi="Times New Roman" w:cs="Times New Roman"/>
          <w:sz w:val="24"/>
          <w:szCs w:val="24"/>
        </w:rPr>
        <w:t>2  pisma przekazujące ustalenia z wykonanych czynności dla sądu w związku z toczącym się postępowaniem,</w:t>
      </w:r>
    </w:p>
    <w:p w14:paraId="0A93A177" w14:textId="77777777" w:rsidR="00DE4EE4" w:rsidRPr="00DE4EE4" w:rsidRDefault="00DE4EE4" w:rsidP="00D34F97">
      <w:pPr>
        <w:numPr>
          <w:ilvl w:val="0"/>
          <w:numId w:val="283"/>
        </w:numPr>
        <w:spacing w:after="0" w:line="300" w:lineRule="atLeast"/>
        <w:ind w:left="641" w:hanging="357"/>
        <w:contextualSpacing/>
        <w:jc w:val="both"/>
        <w:rPr>
          <w:rFonts w:ascii="Times New Roman" w:hAnsi="Times New Roman" w:cs="Times New Roman"/>
          <w:sz w:val="24"/>
          <w:szCs w:val="24"/>
        </w:rPr>
      </w:pPr>
      <w:r w:rsidRPr="00DE4EE4">
        <w:rPr>
          <w:rFonts w:ascii="Times New Roman" w:hAnsi="Times New Roman" w:cs="Times New Roman"/>
          <w:sz w:val="24"/>
          <w:szCs w:val="24"/>
        </w:rPr>
        <w:t xml:space="preserve">18 pism przekazujących ustalenia  z wykonanych czynności dla organów i służb uprawnionych do ściągania przestępstw i wykroczeń, </w:t>
      </w:r>
    </w:p>
    <w:p w14:paraId="5CA60BC4" w14:textId="77777777" w:rsidR="00DE4EE4" w:rsidRPr="00DE4EE4" w:rsidRDefault="00DE4EE4" w:rsidP="00D34F97">
      <w:pPr>
        <w:numPr>
          <w:ilvl w:val="0"/>
          <w:numId w:val="283"/>
        </w:numPr>
        <w:spacing w:after="0" w:line="300" w:lineRule="atLeast"/>
        <w:ind w:left="641" w:hanging="357"/>
        <w:contextualSpacing/>
        <w:jc w:val="both"/>
        <w:rPr>
          <w:rFonts w:ascii="Times New Roman" w:hAnsi="Times New Roman" w:cs="Times New Roman"/>
          <w:sz w:val="24"/>
          <w:szCs w:val="24"/>
        </w:rPr>
      </w:pPr>
      <w:r w:rsidRPr="00DE4EE4">
        <w:rPr>
          <w:rFonts w:ascii="Times New Roman" w:hAnsi="Times New Roman" w:cs="Times New Roman"/>
          <w:sz w:val="24"/>
          <w:szCs w:val="24"/>
        </w:rPr>
        <w:t xml:space="preserve">1 pismo przekazujące ustalenia dla Krajowej Administracji Sądowej. </w:t>
      </w:r>
    </w:p>
    <w:p w14:paraId="691E3BF7" w14:textId="77777777" w:rsidR="00DE4EE4" w:rsidRPr="00DE4EE4" w:rsidRDefault="00DE4EE4" w:rsidP="00DE4EE4">
      <w:pPr>
        <w:spacing w:line="300" w:lineRule="atLeast"/>
        <w:contextualSpacing/>
        <w:jc w:val="both"/>
        <w:rPr>
          <w:rFonts w:ascii="Times New Roman" w:hAnsi="Times New Roman" w:cs="Times New Roman"/>
          <w:i/>
          <w:color w:val="4472C4"/>
          <w:sz w:val="24"/>
          <w:szCs w:val="24"/>
        </w:rPr>
      </w:pPr>
    </w:p>
    <w:p w14:paraId="47EF5CE7" w14:textId="77777777" w:rsidR="00DE4EE4" w:rsidRPr="00DE4EE4" w:rsidRDefault="00DE4EE4" w:rsidP="00801B4E">
      <w:pPr>
        <w:spacing w:after="60" w:line="300" w:lineRule="atLeast"/>
        <w:jc w:val="both"/>
        <w:rPr>
          <w:rFonts w:ascii="Times New Roman" w:hAnsi="Times New Roman" w:cs="Times New Roman"/>
          <w:i/>
          <w:color w:val="4472C4"/>
          <w:sz w:val="24"/>
          <w:szCs w:val="24"/>
        </w:rPr>
      </w:pPr>
      <w:r w:rsidRPr="00DE4EE4">
        <w:rPr>
          <w:rFonts w:ascii="Times New Roman" w:hAnsi="Times New Roman" w:cs="Times New Roman"/>
          <w:i/>
          <w:color w:val="4472C4"/>
          <w:sz w:val="24"/>
          <w:szCs w:val="24"/>
        </w:rPr>
        <w:t>Wojewódzki Inspektorat Ochrony Środowiska w Zielonej Górze</w:t>
      </w:r>
    </w:p>
    <w:p w14:paraId="2A799AA0" w14:textId="44CBF285" w:rsidR="00DE4EE4" w:rsidRPr="00DE4EE4" w:rsidRDefault="00DE4EE4" w:rsidP="00801B4E">
      <w:pPr>
        <w:spacing w:after="60" w:line="300" w:lineRule="atLeast"/>
        <w:ind w:firstLine="567"/>
        <w:jc w:val="both"/>
        <w:rPr>
          <w:rFonts w:ascii="Times New Roman" w:hAnsi="Times New Roman" w:cs="Times New Roman"/>
          <w:color w:val="000000"/>
          <w:sz w:val="24"/>
          <w:szCs w:val="24"/>
        </w:rPr>
      </w:pPr>
      <w:r w:rsidRPr="00DE4EE4">
        <w:rPr>
          <w:rFonts w:ascii="Times New Roman" w:hAnsi="Times New Roman" w:cs="Times New Roman"/>
          <w:sz w:val="24"/>
          <w:szCs w:val="24"/>
        </w:rPr>
        <w:t>Przekazano 8</w:t>
      </w:r>
      <w:r w:rsidRPr="00DE4EE4">
        <w:rPr>
          <w:rFonts w:ascii="Times New Roman" w:hAnsi="Times New Roman" w:cs="Times New Roman"/>
          <w:color w:val="FF0000"/>
          <w:sz w:val="24"/>
          <w:szCs w:val="24"/>
        </w:rPr>
        <w:t xml:space="preserve"> </w:t>
      </w:r>
      <w:r w:rsidRPr="00DE4EE4">
        <w:rPr>
          <w:rFonts w:ascii="Times New Roman" w:hAnsi="Times New Roman" w:cs="Times New Roman"/>
          <w:sz w:val="24"/>
          <w:szCs w:val="24"/>
        </w:rPr>
        <w:t>(8 w 2021 roku)  informacji w prowadzonych postępowaniach przez Prokuraturę, Policję, KAS lub Straż Leśną.</w:t>
      </w:r>
    </w:p>
    <w:p w14:paraId="597FCBE5" w14:textId="77075E62" w:rsidR="0017736A" w:rsidRDefault="0017736A">
      <w:pPr>
        <w:rPr>
          <w:color w:val="000000"/>
        </w:rPr>
      </w:pPr>
      <w:r>
        <w:rPr>
          <w:color w:val="000000"/>
        </w:rPr>
        <w:br w:type="page"/>
      </w:r>
    </w:p>
    <w:p w14:paraId="589883BB" w14:textId="75F0ED37" w:rsidR="00A22034" w:rsidRPr="002F7BD2" w:rsidRDefault="00A22034" w:rsidP="00D34F97">
      <w:pPr>
        <w:pStyle w:val="Akapitzlist"/>
        <w:numPr>
          <w:ilvl w:val="0"/>
          <w:numId w:val="148"/>
        </w:numPr>
        <w:spacing w:after="120" w:line="300" w:lineRule="atLeast"/>
        <w:ind w:left="357" w:hanging="357"/>
        <w:contextualSpacing w:val="0"/>
        <w:jc w:val="both"/>
        <w:outlineLvl w:val="0"/>
        <w:rPr>
          <w:b/>
          <w:color w:val="000000"/>
        </w:rPr>
      </w:pPr>
      <w:bookmarkStart w:id="330" w:name="_Toc99469617"/>
      <w:bookmarkStart w:id="331" w:name="_Toc135935679"/>
      <w:r w:rsidRPr="007F400A">
        <w:rPr>
          <w:rStyle w:val="Nagwek2Znak"/>
          <w:rFonts w:eastAsia="Calibri"/>
        </w:rPr>
        <w:lastRenderedPageBreak/>
        <w:t>Kontrole realizowane w związku z podejrzeniem popełnienia przestępstwa lub wykroczenia przeciwko środowisku</w:t>
      </w:r>
      <w:bookmarkEnd w:id="330"/>
      <w:bookmarkEnd w:id="331"/>
    </w:p>
    <w:p w14:paraId="6E029351" w14:textId="746F7BB0" w:rsidR="00A22034" w:rsidRDefault="00A22034" w:rsidP="002F7BD2">
      <w:pPr>
        <w:pStyle w:val="Nagwek1"/>
        <w:spacing w:after="60"/>
        <w:rPr>
          <w:b w:val="0"/>
          <w:color w:val="000000" w:themeColor="text1"/>
          <w:u w:val="single"/>
        </w:rPr>
      </w:pPr>
      <w:bookmarkStart w:id="332" w:name="_Toc99469618"/>
      <w:bookmarkStart w:id="333" w:name="_Toc135935680"/>
      <w:r w:rsidRPr="007F400A">
        <w:rPr>
          <w:rStyle w:val="Nagwek3Znak"/>
          <w:rFonts w:ascii="Times New Roman" w:eastAsiaTheme="minorHAnsi" w:hAnsi="Times New Roman"/>
          <w:b/>
          <w:color w:val="000000" w:themeColor="text1"/>
          <w:sz w:val="24"/>
          <w:szCs w:val="24"/>
        </w:rPr>
        <w:t>6.1. Ogólna informacja o przeprowadzonych kontrolach</w:t>
      </w:r>
      <w:bookmarkEnd w:id="332"/>
      <w:r w:rsidR="008F3E0C" w:rsidRPr="008F3E0C">
        <w:t xml:space="preserve"> </w:t>
      </w:r>
      <w:r w:rsidR="008F3E0C">
        <w:t xml:space="preserve">w tym ich liczba i porównanie </w:t>
      </w:r>
      <w:r w:rsidR="008F3E0C">
        <w:br/>
        <w:t>z danymi z roku 2021</w:t>
      </w:r>
      <w:bookmarkEnd w:id="333"/>
      <w:r w:rsidRPr="007F400A">
        <w:rPr>
          <w:b w:val="0"/>
          <w:color w:val="000000" w:themeColor="text1"/>
          <w:u w:val="single"/>
        </w:rPr>
        <w:t xml:space="preserve"> </w:t>
      </w:r>
    </w:p>
    <w:p w14:paraId="73E90240" w14:textId="77777777" w:rsidR="00255C00" w:rsidRPr="00255C00" w:rsidRDefault="00255C00" w:rsidP="00255C00">
      <w:pPr>
        <w:spacing w:after="0"/>
        <w:rPr>
          <w:rFonts w:ascii="Times New Roman" w:hAnsi="Times New Roman" w:cs="Times New Roman"/>
          <w:sz w:val="24"/>
          <w:szCs w:val="24"/>
          <w:lang w:val="x-none" w:eastAsia="x-none"/>
        </w:rPr>
      </w:pPr>
    </w:p>
    <w:p w14:paraId="672D849B" w14:textId="1BE82C29" w:rsidR="00255C00" w:rsidRPr="00255C00" w:rsidRDefault="00255C00" w:rsidP="00255C00">
      <w:pPr>
        <w:spacing w:after="60" w:line="300" w:lineRule="atLeast"/>
        <w:jc w:val="both"/>
        <w:rPr>
          <w:rFonts w:ascii="Times New Roman" w:hAnsi="Times New Roman" w:cs="Times New Roman"/>
          <w:i/>
          <w:color w:val="4472C4"/>
          <w:sz w:val="24"/>
          <w:szCs w:val="24"/>
        </w:rPr>
      </w:pPr>
      <w:r w:rsidRPr="00255C00">
        <w:rPr>
          <w:rFonts w:ascii="Times New Roman" w:hAnsi="Times New Roman" w:cs="Times New Roman"/>
          <w:i/>
          <w:color w:val="4472C4"/>
          <w:sz w:val="24"/>
          <w:szCs w:val="24"/>
        </w:rPr>
        <w:t>Wojewódzki Inspektorat Ochrony Środowiska w Białymstoku</w:t>
      </w:r>
    </w:p>
    <w:p w14:paraId="584514E2" w14:textId="77777777" w:rsidR="00255C00" w:rsidRPr="00255C00" w:rsidRDefault="00255C00" w:rsidP="0017736A">
      <w:pPr>
        <w:spacing w:after="0" w:line="300" w:lineRule="atLeast"/>
        <w:ind w:firstLine="567"/>
        <w:jc w:val="both"/>
        <w:rPr>
          <w:rFonts w:ascii="Times New Roman" w:hAnsi="Times New Roman" w:cs="Times New Roman"/>
          <w:sz w:val="24"/>
          <w:szCs w:val="24"/>
        </w:rPr>
      </w:pPr>
      <w:r w:rsidRPr="00255C00">
        <w:rPr>
          <w:rFonts w:ascii="Times New Roman" w:hAnsi="Times New Roman" w:cs="Times New Roman"/>
          <w:sz w:val="24"/>
          <w:szCs w:val="24"/>
        </w:rPr>
        <w:t>W 2022 r. działalność w obszarze zwalczania przestępczości środowiskowej dotyczyła głównie:</w:t>
      </w:r>
    </w:p>
    <w:p w14:paraId="6D3F157D" w14:textId="5C73974F" w:rsidR="00255C00" w:rsidRPr="00255C00" w:rsidRDefault="00255C00" w:rsidP="00D34F97">
      <w:pPr>
        <w:pStyle w:val="Akapitzlist"/>
        <w:numPr>
          <w:ilvl w:val="0"/>
          <w:numId w:val="287"/>
        </w:numPr>
        <w:spacing w:line="300" w:lineRule="atLeast"/>
        <w:jc w:val="both"/>
        <w:rPr>
          <w:sz w:val="24"/>
          <w:szCs w:val="24"/>
        </w:rPr>
      </w:pPr>
      <w:r w:rsidRPr="00255C00">
        <w:rPr>
          <w:sz w:val="24"/>
          <w:szCs w:val="24"/>
        </w:rPr>
        <w:t>kontroli transportujących odpady - 33 szt.</w:t>
      </w:r>
      <w:r>
        <w:rPr>
          <w:sz w:val="24"/>
          <w:szCs w:val="24"/>
          <w:lang w:val="pl-PL"/>
        </w:rPr>
        <w:t xml:space="preserve"> (11 szt. w 2021 r.)</w:t>
      </w:r>
      <w:r w:rsidRPr="00255C00">
        <w:rPr>
          <w:sz w:val="24"/>
          <w:szCs w:val="24"/>
        </w:rPr>
        <w:t>,</w:t>
      </w:r>
    </w:p>
    <w:p w14:paraId="28285220" w14:textId="66C5C258" w:rsidR="00255C00" w:rsidRPr="00255C00" w:rsidRDefault="00255C00" w:rsidP="00D34F97">
      <w:pPr>
        <w:pStyle w:val="Akapitzlist"/>
        <w:numPr>
          <w:ilvl w:val="0"/>
          <w:numId w:val="287"/>
        </w:numPr>
        <w:spacing w:line="300" w:lineRule="atLeast"/>
        <w:jc w:val="both"/>
        <w:rPr>
          <w:sz w:val="24"/>
          <w:szCs w:val="24"/>
        </w:rPr>
      </w:pPr>
      <w:r w:rsidRPr="00255C00">
        <w:rPr>
          <w:sz w:val="24"/>
          <w:szCs w:val="24"/>
        </w:rPr>
        <w:t>nieprawidłowego gospodarowania odpadami, głównie magazynowania lub porzucenia odpadów – 21 szt.</w:t>
      </w:r>
      <w:r>
        <w:rPr>
          <w:sz w:val="24"/>
          <w:szCs w:val="24"/>
          <w:lang w:val="pl-PL"/>
        </w:rPr>
        <w:t xml:space="preserve"> (8 szt. w 2021 r.),</w:t>
      </w:r>
    </w:p>
    <w:p w14:paraId="2DE356E4" w14:textId="6EDFEC91" w:rsidR="00255C00" w:rsidRPr="00255C00" w:rsidRDefault="00255C00" w:rsidP="00D34F97">
      <w:pPr>
        <w:pStyle w:val="Akapitzlist"/>
        <w:numPr>
          <w:ilvl w:val="0"/>
          <w:numId w:val="287"/>
        </w:numPr>
        <w:spacing w:line="300" w:lineRule="atLeast"/>
        <w:jc w:val="both"/>
        <w:rPr>
          <w:sz w:val="24"/>
          <w:szCs w:val="24"/>
        </w:rPr>
      </w:pPr>
      <w:r w:rsidRPr="00255C00">
        <w:rPr>
          <w:sz w:val="24"/>
          <w:szCs w:val="24"/>
        </w:rPr>
        <w:t>kontroli w zakresie demontażu pojazdów - 11 szt.</w:t>
      </w:r>
      <w:r>
        <w:rPr>
          <w:sz w:val="24"/>
          <w:szCs w:val="24"/>
          <w:lang w:val="pl-PL"/>
        </w:rPr>
        <w:t xml:space="preserve"> (10 szt. w 2021 r.)</w:t>
      </w:r>
      <w:r w:rsidRPr="00255C00">
        <w:rPr>
          <w:sz w:val="24"/>
          <w:szCs w:val="24"/>
        </w:rPr>
        <w:t>,</w:t>
      </w:r>
    </w:p>
    <w:p w14:paraId="05892453" w14:textId="0F5620B8" w:rsidR="00255C00" w:rsidRPr="00255C00" w:rsidRDefault="00255C00" w:rsidP="00D34F97">
      <w:pPr>
        <w:pStyle w:val="Akapitzlist"/>
        <w:numPr>
          <w:ilvl w:val="0"/>
          <w:numId w:val="287"/>
        </w:numPr>
        <w:spacing w:line="300" w:lineRule="atLeast"/>
        <w:jc w:val="both"/>
        <w:rPr>
          <w:sz w:val="24"/>
          <w:szCs w:val="24"/>
        </w:rPr>
      </w:pPr>
      <w:r w:rsidRPr="00255C00">
        <w:rPr>
          <w:sz w:val="24"/>
          <w:szCs w:val="24"/>
        </w:rPr>
        <w:t>spalania odpadów w kotłowniach zakładowych lub na gruntach (placach zakładowych) – 8 szt.</w:t>
      </w:r>
      <w:r>
        <w:rPr>
          <w:sz w:val="24"/>
          <w:szCs w:val="24"/>
          <w:lang w:val="pl-PL"/>
        </w:rPr>
        <w:t xml:space="preserve"> (4 szt. w 2021 r.)</w:t>
      </w:r>
      <w:r w:rsidRPr="00255C00">
        <w:rPr>
          <w:sz w:val="24"/>
          <w:szCs w:val="24"/>
        </w:rPr>
        <w:t>,</w:t>
      </w:r>
    </w:p>
    <w:p w14:paraId="7943402B" w14:textId="4963FCDB" w:rsidR="00255C00" w:rsidRPr="00255C00" w:rsidRDefault="00255C00" w:rsidP="00D34F97">
      <w:pPr>
        <w:pStyle w:val="Akapitzlist"/>
        <w:numPr>
          <w:ilvl w:val="0"/>
          <w:numId w:val="287"/>
        </w:numPr>
        <w:spacing w:line="300" w:lineRule="atLeast"/>
        <w:jc w:val="both"/>
        <w:rPr>
          <w:sz w:val="24"/>
          <w:szCs w:val="24"/>
        </w:rPr>
      </w:pPr>
      <w:r w:rsidRPr="00255C00">
        <w:rPr>
          <w:sz w:val="24"/>
          <w:szCs w:val="24"/>
        </w:rPr>
        <w:t>zbieranie odpadów bez zezwolenia – 4 szt.</w:t>
      </w:r>
      <w:r>
        <w:rPr>
          <w:sz w:val="24"/>
          <w:szCs w:val="24"/>
          <w:lang w:val="pl-PL"/>
        </w:rPr>
        <w:t xml:space="preserve"> (1 szt. w 2021 r.)</w:t>
      </w:r>
      <w:r w:rsidRPr="00255C00">
        <w:rPr>
          <w:sz w:val="24"/>
          <w:szCs w:val="24"/>
        </w:rPr>
        <w:t>,</w:t>
      </w:r>
    </w:p>
    <w:p w14:paraId="24019E6B" w14:textId="6E851DE2" w:rsidR="00255C00" w:rsidRPr="00255C00" w:rsidRDefault="00255C00" w:rsidP="00D34F97">
      <w:pPr>
        <w:pStyle w:val="Akapitzlist"/>
        <w:numPr>
          <w:ilvl w:val="0"/>
          <w:numId w:val="287"/>
        </w:numPr>
        <w:spacing w:line="300" w:lineRule="atLeast"/>
        <w:jc w:val="both"/>
        <w:rPr>
          <w:sz w:val="24"/>
          <w:szCs w:val="24"/>
        </w:rPr>
      </w:pPr>
      <w:r w:rsidRPr="00255C00">
        <w:rPr>
          <w:sz w:val="24"/>
          <w:szCs w:val="24"/>
        </w:rPr>
        <w:t>przetwarzanie odpadów bez zezwolenia – 3 szt.,</w:t>
      </w:r>
    </w:p>
    <w:p w14:paraId="6D273ED1" w14:textId="206D282C" w:rsidR="00255C00" w:rsidRPr="00255C00" w:rsidRDefault="00255C00" w:rsidP="00D34F97">
      <w:pPr>
        <w:pStyle w:val="Akapitzlist"/>
        <w:numPr>
          <w:ilvl w:val="0"/>
          <w:numId w:val="287"/>
        </w:numPr>
        <w:spacing w:line="300" w:lineRule="atLeast"/>
        <w:jc w:val="both"/>
        <w:rPr>
          <w:sz w:val="24"/>
          <w:szCs w:val="24"/>
        </w:rPr>
      </w:pPr>
      <w:r w:rsidRPr="00255C00">
        <w:rPr>
          <w:sz w:val="24"/>
          <w:szCs w:val="24"/>
        </w:rPr>
        <w:t>zanieczyszczenie rzeki – 3 szt.</w:t>
      </w:r>
    </w:p>
    <w:p w14:paraId="4F552A88" w14:textId="77777777" w:rsidR="00CD6E92" w:rsidRPr="00255C00" w:rsidRDefault="00CD6E92" w:rsidP="00255C00">
      <w:pPr>
        <w:spacing w:line="300" w:lineRule="atLeast"/>
        <w:contextualSpacing/>
        <w:jc w:val="both"/>
        <w:rPr>
          <w:rFonts w:ascii="Times New Roman" w:hAnsi="Times New Roman" w:cs="Times New Roman"/>
          <w:i/>
          <w:color w:val="4472C4"/>
          <w:sz w:val="24"/>
          <w:szCs w:val="24"/>
        </w:rPr>
      </w:pPr>
    </w:p>
    <w:p w14:paraId="7BD6685A" w14:textId="77777777" w:rsidR="00255C00" w:rsidRPr="00255C00" w:rsidRDefault="00255C00" w:rsidP="00255C00">
      <w:pPr>
        <w:spacing w:after="60" w:line="300" w:lineRule="atLeast"/>
        <w:jc w:val="both"/>
        <w:rPr>
          <w:rFonts w:ascii="Times New Roman" w:hAnsi="Times New Roman" w:cs="Times New Roman"/>
          <w:i/>
          <w:color w:val="4472C4"/>
          <w:sz w:val="24"/>
          <w:szCs w:val="24"/>
        </w:rPr>
      </w:pPr>
      <w:r w:rsidRPr="00255C00">
        <w:rPr>
          <w:rFonts w:ascii="Times New Roman" w:hAnsi="Times New Roman" w:cs="Times New Roman"/>
          <w:i/>
          <w:color w:val="4472C4"/>
          <w:sz w:val="24"/>
          <w:szCs w:val="24"/>
        </w:rPr>
        <w:t>Wojewódzki Inspektorat Ochrony Środowiska w Bydgoszczy</w:t>
      </w:r>
    </w:p>
    <w:p w14:paraId="7F05AC81" w14:textId="65278B56" w:rsidR="00255C00" w:rsidRPr="00255C00" w:rsidRDefault="00255C00" w:rsidP="0017736A">
      <w:pPr>
        <w:spacing w:line="300" w:lineRule="atLeast"/>
        <w:ind w:firstLine="567"/>
        <w:contextualSpacing/>
        <w:jc w:val="both"/>
        <w:rPr>
          <w:rFonts w:ascii="Times New Roman" w:hAnsi="Times New Roman" w:cs="Times New Roman"/>
          <w:sz w:val="24"/>
          <w:szCs w:val="24"/>
        </w:rPr>
      </w:pPr>
      <w:r w:rsidRPr="00255C00">
        <w:rPr>
          <w:rFonts w:ascii="Times New Roman" w:hAnsi="Times New Roman" w:cs="Times New Roman"/>
          <w:sz w:val="24"/>
          <w:szCs w:val="24"/>
        </w:rPr>
        <w:t>W 2022 r. przeprowadzono 488 kontroli interwencyjnych</w:t>
      </w:r>
      <w:r>
        <w:rPr>
          <w:rFonts w:ascii="Times New Roman" w:hAnsi="Times New Roman" w:cs="Times New Roman"/>
          <w:sz w:val="24"/>
          <w:szCs w:val="24"/>
        </w:rPr>
        <w:t xml:space="preserve">, w porównaniu z 383 tego rodzaju kontrolami </w:t>
      </w:r>
      <w:r w:rsidRPr="00255C00">
        <w:rPr>
          <w:rFonts w:ascii="Times New Roman" w:hAnsi="Times New Roman" w:cs="Times New Roman"/>
          <w:sz w:val="24"/>
          <w:szCs w:val="24"/>
        </w:rPr>
        <w:t>przeprowadzon</w:t>
      </w:r>
      <w:r>
        <w:rPr>
          <w:rFonts w:ascii="Times New Roman" w:hAnsi="Times New Roman" w:cs="Times New Roman"/>
          <w:sz w:val="24"/>
          <w:szCs w:val="24"/>
        </w:rPr>
        <w:t xml:space="preserve">ymi w 2021 r. </w:t>
      </w:r>
    </w:p>
    <w:p w14:paraId="17B7CE12" w14:textId="77777777" w:rsidR="00255C00" w:rsidRPr="00255C00" w:rsidRDefault="00255C00" w:rsidP="00255C00">
      <w:pPr>
        <w:spacing w:line="300" w:lineRule="atLeast"/>
        <w:contextualSpacing/>
        <w:jc w:val="both"/>
        <w:rPr>
          <w:rFonts w:ascii="Times New Roman" w:hAnsi="Times New Roman" w:cs="Times New Roman"/>
          <w:i/>
          <w:color w:val="4472C4"/>
          <w:sz w:val="24"/>
          <w:szCs w:val="24"/>
        </w:rPr>
      </w:pPr>
    </w:p>
    <w:p w14:paraId="0169501A" w14:textId="77777777" w:rsidR="00255C00" w:rsidRPr="00255C00" w:rsidRDefault="00255C00" w:rsidP="00255C00">
      <w:pPr>
        <w:spacing w:after="60" w:line="300" w:lineRule="atLeast"/>
        <w:jc w:val="both"/>
        <w:rPr>
          <w:rFonts w:ascii="Times New Roman" w:hAnsi="Times New Roman" w:cs="Times New Roman"/>
          <w:i/>
          <w:color w:val="4472C4"/>
          <w:sz w:val="24"/>
          <w:szCs w:val="24"/>
        </w:rPr>
      </w:pPr>
      <w:r w:rsidRPr="00255C00">
        <w:rPr>
          <w:rFonts w:ascii="Times New Roman" w:hAnsi="Times New Roman" w:cs="Times New Roman"/>
          <w:i/>
          <w:color w:val="4472C4"/>
          <w:sz w:val="24"/>
          <w:szCs w:val="24"/>
        </w:rPr>
        <w:t>Wojewódzki Inspektorat Ochrony Środowiska w Gdańsku</w:t>
      </w:r>
    </w:p>
    <w:p w14:paraId="40329477" w14:textId="752DC34C" w:rsidR="00255C00" w:rsidRPr="00255C00" w:rsidRDefault="00255C00" w:rsidP="0017736A">
      <w:pPr>
        <w:autoSpaceDE w:val="0"/>
        <w:autoSpaceDN w:val="0"/>
        <w:adjustRightInd w:val="0"/>
        <w:spacing w:line="300" w:lineRule="atLeast"/>
        <w:ind w:firstLine="567"/>
        <w:contextualSpacing/>
        <w:jc w:val="both"/>
        <w:rPr>
          <w:rFonts w:ascii="Times New Roman" w:hAnsi="Times New Roman" w:cs="Times New Roman"/>
          <w:sz w:val="24"/>
          <w:szCs w:val="24"/>
        </w:rPr>
      </w:pPr>
      <w:r w:rsidRPr="00255C00">
        <w:rPr>
          <w:rFonts w:ascii="Times New Roman" w:hAnsi="Times New Roman" w:cs="Times New Roman"/>
          <w:sz w:val="24"/>
          <w:szCs w:val="24"/>
        </w:rPr>
        <w:t>Przeprowadzono 284 kontrole interwencyjne z wyjazdem w teren z ustalonym podmiotem, w tym 164 kontrole dotyczące podejrzenia popełnienia naruszeń z zakresu gospodarki, tj. obszaru, w którym popełnienie przestępstw i wykroczeń ujawniane jest najczęściej. Całkowita liczba kontroli interwencyjnych jest bardzo podobna do roku ubiegłego (280), przy czym wzrósł udział kontroli interwencyjnych obejmujących zagadnienie gospodarki odpadami (125 w 2021 r</w:t>
      </w:r>
      <w:r>
        <w:rPr>
          <w:rFonts w:ascii="Times New Roman" w:hAnsi="Times New Roman" w:cs="Times New Roman"/>
          <w:sz w:val="24"/>
          <w:szCs w:val="24"/>
        </w:rPr>
        <w:t>.</w:t>
      </w:r>
      <w:r w:rsidRPr="00255C00">
        <w:rPr>
          <w:rFonts w:ascii="Times New Roman" w:hAnsi="Times New Roman" w:cs="Times New Roman"/>
          <w:sz w:val="24"/>
          <w:szCs w:val="24"/>
        </w:rPr>
        <w:t xml:space="preserve">). </w:t>
      </w:r>
    </w:p>
    <w:p w14:paraId="6F767AB6" w14:textId="77777777" w:rsidR="00255C00" w:rsidRPr="00255C00" w:rsidRDefault="00255C00" w:rsidP="00255C00">
      <w:pPr>
        <w:spacing w:line="300" w:lineRule="atLeast"/>
        <w:contextualSpacing/>
        <w:jc w:val="both"/>
        <w:rPr>
          <w:rFonts w:ascii="Times New Roman" w:hAnsi="Times New Roman" w:cs="Times New Roman"/>
          <w:i/>
          <w:color w:val="4472C4"/>
          <w:sz w:val="24"/>
          <w:szCs w:val="24"/>
        </w:rPr>
      </w:pPr>
    </w:p>
    <w:p w14:paraId="2F4E897C" w14:textId="77777777" w:rsidR="00255C00" w:rsidRPr="00255C00" w:rsidRDefault="00255C00" w:rsidP="00255C00">
      <w:pPr>
        <w:spacing w:after="60" w:line="300" w:lineRule="atLeast"/>
        <w:jc w:val="both"/>
        <w:rPr>
          <w:rFonts w:ascii="Times New Roman" w:hAnsi="Times New Roman" w:cs="Times New Roman"/>
          <w:i/>
          <w:color w:val="4472C4"/>
          <w:sz w:val="24"/>
          <w:szCs w:val="24"/>
        </w:rPr>
      </w:pPr>
      <w:r w:rsidRPr="00255C00">
        <w:rPr>
          <w:rFonts w:ascii="Times New Roman" w:hAnsi="Times New Roman" w:cs="Times New Roman"/>
          <w:i/>
          <w:color w:val="4472C4"/>
          <w:sz w:val="24"/>
          <w:szCs w:val="24"/>
        </w:rPr>
        <w:t>Wojewódzki Inspektorat Ochrony Środowiska w Katowicach</w:t>
      </w:r>
    </w:p>
    <w:p w14:paraId="72FD2D24" w14:textId="34F38F15" w:rsidR="00255C00" w:rsidRPr="00255C00" w:rsidRDefault="00255C00" w:rsidP="0017736A">
      <w:pPr>
        <w:spacing w:line="300" w:lineRule="atLeast"/>
        <w:ind w:firstLine="567"/>
        <w:contextualSpacing/>
        <w:jc w:val="both"/>
        <w:rPr>
          <w:rFonts w:ascii="Times New Roman" w:hAnsi="Times New Roman" w:cs="Times New Roman"/>
          <w:sz w:val="24"/>
          <w:szCs w:val="24"/>
        </w:rPr>
      </w:pPr>
      <w:r w:rsidRPr="00255C00">
        <w:rPr>
          <w:rFonts w:ascii="Times New Roman" w:hAnsi="Times New Roman" w:cs="Times New Roman"/>
          <w:sz w:val="24"/>
          <w:szCs w:val="24"/>
        </w:rPr>
        <w:t>Od kilku lat obserw</w:t>
      </w:r>
      <w:r>
        <w:rPr>
          <w:rFonts w:ascii="Times New Roman" w:hAnsi="Times New Roman" w:cs="Times New Roman"/>
          <w:sz w:val="24"/>
          <w:szCs w:val="24"/>
        </w:rPr>
        <w:t xml:space="preserve">owany jest </w:t>
      </w:r>
      <w:r w:rsidRPr="00255C00">
        <w:rPr>
          <w:rFonts w:ascii="Times New Roman" w:hAnsi="Times New Roman" w:cs="Times New Roman"/>
          <w:sz w:val="24"/>
          <w:szCs w:val="24"/>
        </w:rPr>
        <w:t>ciągły wzrost zgłaszanych interwencji, w 2021 roku było ich 1761, w 2020 r. 1</w:t>
      </w:r>
      <w:r w:rsidR="00F51A4A">
        <w:rPr>
          <w:rFonts w:ascii="Times New Roman" w:hAnsi="Times New Roman" w:cs="Times New Roman"/>
          <w:sz w:val="24"/>
          <w:szCs w:val="24"/>
        </w:rPr>
        <w:t xml:space="preserve"> </w:t>
      </w:r>
      <w:r w:rsidRPr="00255C00">
        <w:rPr>
          <w:rFonts w:ascii="Times New Roman" w:hAnsi="Times New Roman" w:cs="Times New Roman"/>
          <w:sz w:val="24"/>
          <w:szCs w:val="24"/>
        </w:rPr>
        <w:t>581. W związku z powyższym</w:t>
      </w:r>
      <w:r w:rsidR="00CE24B9">
        <w:rPr>
          <w:rFonts w:ascii="Times New Roman" w:hAnsi="Times New Roman" w:cs="Times New Roman"/>
          <w:sz w:val="24"/>
          <w:szCs w:val="24"/>
        </w:rPr>
        <w:t>,</w:t>
      </w:r>
      <w:r w:rsidRPr="00255C00">
        <w:rPr>
          <w:rFonts w:ascii="Times New Roman" w:hAnsi="Times New Roman" w:cs="Times New Roman"/>
          <w:sz w:val="24"/>
          <w:szCs w:val="24"/>
        </w:rPr>
        <w:t xml:space="preserve"> istotnie zmienił się charakter podejmowanych </w:t>
      </w:r>
      <w:r w:rsidR="00CE24B9" w:rsidRPr="00255C00">
        <w:rPr>
          <w:rFonts w:ascii="Times New Roman" w:hAnsi="Times New Roman" w:cs="Times New Roman"/>
          <w:sz w:val="24"/>
          <w:szCs w:val="24"/>
        </w:rPr>
        <w:t xml:space="preserve">przez WIOŚ w Katowicach </w:t>
      </w:r>
      <w:r w:rsidRPr="00255C00">
        <w:rPr>
          <w:rFonts w:ascii="Times New Roman" w:hAnsi="Times New Roman" w:cs="Times New Roman"/>
          <w:sz w:val="24"/>
          <w:szCs w:val="24"/>
        </w:rPr>
        <w:t>działań kontrolnych, w zakresie ciągłego wzrostu działań pozaplanowych, w tym interwencyjnych.</w:t>
      </w:r>
    </w:p>
    <w:p w14:paraId="75B9A8C6" w14:textId="56775556" w:rsidR="00255C00" w:rsidRPr="00255C00" w:rsidRDefault="00255C00" w:rsidP="0017736A">
      <w:pPr>
        <w:spacing w:line="300" w:lineRule="atLeast"/>
        <w:ind w:firstLine="567"/>
        <w:contextualSpacing/>
        <w:jc w:val="both"/>
        <w:rPr>
          <w:rFonts w:ascii="Times New Roman" w:hAnsi="Times New Roman" w:cs="Times New Roman"/>
          <w:sz w:val="24"/>
          <w:szCs w:val="24"/>
        </w:rPr>
      </w:pPr>
      <w:r w:rsidRPr="00255C00">
        <w:rPr>
          <w:rFonts w:ascii="Times New Roman" w:hAnsi="Times New Roman" w:cs="Times New Roman"/>
          <w:sz w:val="24"/>
          <w:szCs w:val="24"/>
        </w:rPr>
        <w:t>W 2022 roku przeprowadzono łącznie 1</w:t>
      </w:r>
      <w:r w:rsidR="00CE24B9">
        <w:rPr>
          <w:rFonts w:ascii="Times New Roman" w:hAnsi="Times New Roman" w:cs="Times New Roman"/>
          <w:sz w:val="24"/>
          <w:szCs w:val="24"/>
        </w:rPr>
        <w:t xml:space="preserve"> </w:t>
      </w:r>
      <w:r w:rsidRPr="00255C00">
        <w:rPr>
          <w:rFonts w:ascii="Times New Roman" w:hAnsi="Times New Roman" w:cs="Times New Roman"/>
          <w:sz w:val="24"/>
          <w:szCs w:val="24"/>
        </w:rPr>
        <w:t xml:space="preserve">548 kontroli z wyjazdem w teren, z czego </w:t>
      </w:r>
      <w:r w:rsidR="00CE24B9">
        <w:rPr>
          <w:rFonts w:ascii="Times New Roman" w:hAnsi="Times New Roman" w:cs="Times New Roman"/>
          <w:sz w:val="24"/>
          <w:szCs w:val="24"/>
        </w:rPr>
        <w:t xml:space="preserve">1 </w:t>
      </w:r>
      <w:r w:rsidRPr="00255C00">
        <w:rPr>
          <w:rFonts w:ascii="Times New Roman" w:hAnsi="Times New Roman" w:cs="Times New Roman"/>
          <w:sz w:val="24"/>
          <w:szCs w:val="24"/>
        </w:rPr>
        <w:t>018 miało charakter interwencyjny, w tym 736 rozpoznania zanieczyszczeń w terenie i 40 kontroli transportów, w trakcie których skontrolowano łącznie 77 pojazdów. Dla porównania w 2021 roku przeprowadzono 1</w:t>
      </w:r>
      <w:r w:rsidR="00CE24B9">
        <w:rPr>
          <w:rFonts w:ascii="Times New Roman" w:hAnsi="Times New Roman" w:cs="Times New Roman"/>
          <w:sz w:val="24"/>
          <w:szCs w:val="24"/>
        </w:rPr>
        <w:t xml:space="preserve"> </w:t>
      </w:r>
      <w:r w:rsidRPr="00255C00">
        <w:rPr>
          <w:rFonts w:ascii="Times New Roman" w:hAnsi="Times New Roman" w:cs="Times New Roman"/>
          <w:sz w:val="24"/>
          <w:szCs w:val="24"/>
        </w:rPr>
        <w:t>548 kontroli z wyjazdem w teren, z czego 1</w:t>
      </w:r>
      <w:r w:rsidR="00CE24B9">
        <w:rPr>
          <w:rFonts w:ascii="Times New Roman" w:hAnsi="Times New Roman" w:cs="Times New Roman"/>
          <w:sz w:val="24"/>
          <w:szCs w:val="24"/>
        </w:rPr>
        <w:t xml:space="preserve"> </w:t>
      </w:r>
      <w:r w:rsidRPr="00255C00">
        <w:rPr>
          <w:rFonts w:ascii="Times New Roman" w:hAnsi="Times New Roman" w:cs="Times New Roman"/>
          <w:sz w:val="24"/>
          <w:szCs w:val="24"/>
        </w:rPr>
        <w:t xml:space="preserve">018 miało charakter interwencyjny, w tym 529 rozpoznania i 46 kontroli transportów. </w:t>
      </w:r>
    </w:p>
    <w:p w14:paraId="6E8CA6F1" w14:textId="61DB4009" w:rsidR="00255C00" w:rsidRDefault="00255C00" w:rsidP="00255C00">
      <w:pPr>
        <w:spacing w:line="300" w:lineRule="atLeast"/>
        <w:contextualSpacing/>
        <w:jc w:val="both"/>
        <w:rPr>
          <w:rFonts w:ascii="Times New Roman" w:hAnsi="Times New Roman" w:cs="Times New Roman"/>
          <w:i/>
          <w:color w:val="4472C4"/>
          <w:sz w:val="24"/>
          <w:szCs w:val="24"/>
        </w:rPr>
      </w:pPr>
    </w:p>
    <w:p w14:paraId="33348910" w14:textId="017B04F5" w:rsidR="0017736A" w:rsidRDefault="0017736A" w:rsidP="00255C00">
      <w:pPr>
        <w:spacing w:line="300" w:lineRule="atLeast"/>
        <w:contextualSpacing/>
        <w:jc w:val="both"/>
        <w:rPr>
          <w:rFonts w:ascii="Times New Roman" w:hAnsi="Times New Roman" w:cs="Times New Roman"/>
          <w:i/>
          <w:color w:val="4472C4"/>
          <w:sz w:val="24"/>
          <w:szCs w:val="24"/>
        </w:rPr>
      </w:pPr>
    </w:p>
    <w:p w14:paraId="6779CBD2" w14:textId="77777777" w:rsidR="0017736A" w:rsidRPr="00255C00" w:rsidRDefault="0017736A" w:rsidP="00255C00">
      <w:pPr>
        <w:spacing w:line="300" w:lineRule="atLeast"/>
        <w:contextualSpacing/>
        <w:jc w:val="both"/>
        <w:rPr>
          <w:rFonts w:ascii="Times New Roman" w:hAnsi="Times New Roman" w:cs="Times New Roman"/>
          <w:i/>
          <w:color w:val="4472C4"/>
          <w:sz w:val="24"/>
          <w:szCs w:val="24"/>
        </w:rPr>
      </w:pPr>
    </w:p>
    <w:p w14:paraId="24ED64DD" w14:textId="77777777" w:rsidR="00255C00" w:rsidRPr="00255C00" w:rsidRDefault="00255C00" w:rsidP="00CE24B9">
      <w:pPr>
        <w:spacing w:after="60" w:line="300" w:lineRule="atLeast"/>
        <w:jc w:val="both"/>
        <w:rPr>
          <w:rFonts w:ascii="Times New Roman" w:hAnsi="Times New Roman" w:cs="Times New Roman"/>
          <w:i/>
          <w:color w:val="4472C4"/>
          <w:sz w:val="24"/>
          <w:szCs w:val="24"/>
        </w:rPr>
      </w:pPr>
      <w:r w:rsidRPr="00255C00">
        <w:rPr>
          <w:rFonts w:ascii="Times New Roman" w:hAnsi="Times New Roman" w:cs="Times New Roman"/>
          <w:i/>
          <w:color w:val="4472C4"/>
          <w:sz w:val="24"/>
          <w:szCs w:val="24"/>
        </w:rPr>
        <w:t>Wojewódzki Inspektorat Ochrony Środowiska w Kielcach</w:t>
      </w:r>
    </w:p>
    <w:p w14:paraId="1CB8B2D6" w14:textId="77777777" w:rsidR="00CE24B9" w:rsidRDefault="00255C00" w:rsidP="0017736A">
      <w:pPr>
        <w:pStyle w:val="Akapitzlist"/>
        <w:spacing w:line="300" w:lineRule="atLeast"/>
        <w:ind w:left="0" w:firstLine="567"/>
        <w:jc w:val="both"/>
        <w:rPr>
          <w:sz w:val="24"/>
          <w:szCs w:val="24"/>
          <w:lang w:eastAsia="x-none"/>
        </w:rPr>
      </w:pPr>
      <w:r w:rsidRPr="00255C00">
        <w:rPr>
          <w:sz w:val="24"/>
          <w:szCs w:val="24"/>
        </w:rPr>
        <w:lastRenderedPageBreak/>
        <w:t>W</w:t>
      </w:r>
      <w:r w:rsidR="00CE24B9">
        <w:rPr>
          <w:sz w:val="24"/>
          <w:szCs w:val="24"/>
          <w:lang w:val="pl-PL"/>
        </w:rPr>
        <w:t xml:space="preserve">ydział </w:t>
      </w:r>
      <w:r w:rsidRPr="00255C00">
        <w:rPr>
          <w:sz w:val="24"/>
          <w:szCs w:val="24"/>
        </w:rPr>
        <w:t>Z</w:t>
      </w:r>
      <w:r w:rsidR="00CE24B9">
        <w:rPr>
          <w:sz w:val="24"/>
          <w:szCs w:val="24"/>
          <w:lang w:val="pl-PL"/>
        </w:rPr>
        <w:t xml:space="preserve">walczania </w:t>
      </w:r>
      <w:r w:rsidRPr="00255C00">
        <w:rPr>
          <w:sz w:val="24"/>
          <w:szCs w:val="24"/>
        </w:rPr>
        <w:t>P</w:t>
      </w:r>
      <w:r w:rsidR="00CE24B9">
        <w:rPr>
          <w:sz w:val="24"/>
          <w:szCs w:val="24"/>
          <w:lang w:val="pl-PL"/>
        </w:rPr>
        <w:t xml:space="preserve">rzestępczości </w:t>
      </w:r>
      <w:r w:rsidRPr="00255C00">
        <w:rPr>
          <w:sz w:val="24"/>
          <w:szCs w:val="24"/>
        </w:rPr>
        <w:t>Ś</w:t>
      </w:r>
      <w:r w:rsidR="00CE24B9">
        <w:rPr>
          <w:sz w:val="24"/>
          <w:szCs w:val="24"/>
          <w:lang w:val="pl-PL"/>
        </w:rPr>
        <w:t>rodowiskowej</w:t>
      </w:r>
      <w:r w:rsidRPr="00255C00">
        <w:rPr>
          <w:sz w:val="24"/>
          <w:szCs w:val="24"/>
        </w:rPr>
        <w:t xml:space="preserve"> (wcześniej Dział do Walki z Szarą Strefą) w 2022 r. przeprowadził łącznie </w:t>
      </w:r>
      <w:r w:rsidRPr="00255C00">
        <w:rPr>
          <w:b/>
          <w:bCs/>
          <w:sz w:val="24"/>
          <w:szCs w:val="24"/>
          <w:lang w:eastAsia="x-none"/>
        </w:rPr>
        <w:t>130</w:t>
      </w:r>
      <w:r w:rsidRPr="00255C00">
        <w:rPr>
          <w:sz w:val="24"/>
          <w:szCs w:val="24"/>
          <w:lang w:eastAsia="x-none"/>
        </w:rPr>
        <w:t xml:space="preserve"> kontroli, w tym </w:t>
      </w:r>
      <w:r w:rsidRPr="00255C00">
        <w:rPr>
          <w:b/>
          <w:bCs/>
          <w:sz w:val="24"/>
          <w:szCs w:val="24"/>
          <w:lang w:eastAsia="x-none"/>
        </w:rPr>
        <w:t>13</w:t>
      </w:r>
      <w:r w:rsidRPr="00255C00">
        <w:rPr>
          <w:sz w:val="24"/>
          <w:szCs w:val="24"/>
          <w:lang w:eastAsia="x-none"/>
        </w:rPr>
        <w:t xml:space="preserve"> kontroli drogowych, </w:t>
      </w:r>
      <w:r w:rsidRPr="00255C00">
        <w:rPr>
          <w:b/>
          <w:bCs/>
          <w:sz w:val="24"/>
          <w:szCs w:val="24"/>
          <w:lang w:eastAsia="x-none"/>
        </w:rPr>
        <w:t>92</w:t>
      </w:r>
      <w:r w:rsidRPr="00255C00">
        <w:rPr>
          <w:sz w:val="24"/>
          <w:szCs w:val="24"/>
          <w:lang w:eastAsia="x-none"/>
        </w:rPr>
        <w:t xml:space="preserve"> kontrole bez ustalonego podmiotu (rozpoznania zanieczyszczeń pod kątem porzucania odpadów, w tym na terenie wyrobisk), </w:t>
      </w:r>
      <w:r w:rsidRPr="00255C00">
        <w:rPr>
          <w:b/>
          <w:bCs/>
          <w:sz w:val="24"/>
          <w:szCs w:val="24"/>
          <w:lang w:eastAsia="x-none"/>
        </w:rPr>
        <w:t>21</w:t>
      </w:r>
      <w:r w:rsidRPr="00255C00">
        <w:rPr>
          <w:sz w:val="24"/>
          <w:szCs w:val="24"/>
          <w:lang w:eastAsia="x-none"/>
        </w:rPr>
        <w:t xml:space="preserve"> kontroli pozaplanowych, interwencyjnych (nielegalny demontaż pojazdów, zbieranie / przetwarzanie odpadów bez wymaganego zezwolenia lub z naruszeniem warunków, spalanie, zakopywanie odpadów) oraz </w:t>
      </w:r>
      <w:r w:rsidRPr="00255C00">
        <w:rPr>
          <w:b/>
          <w:bCs/>
          <w:sz w:val="24"/>
          <w:szCs w:val="24"/>
          <w:lang w:eastAsia="x-none"/>
        </w:rPr>
        <w:t>4</w:t>
      </w:r>
      <w:r w:rsidRPr="00255C00">
        <w:rPr>
          <w:sz w:val="24"/>
          <w:szCs w:val="24"/>
          <w:lang w:eastAsia="x-none"/>
        </w:rPr>
        <w:t xml:space="preserve"> kontrole planowe w zakresie gospodarki odpadami. Część działań realizowanych w związku z podejrzeniem popełnienia przestępstwa lub wykroczenia przeciwko środowisku wykonywana była w trybie art. 10b ustawy o IOŚ, co miało wpływ na mniejszą liczbę kontroli interwencyjnych niż w 2021 r. </w:t>
      </w:r>
    </w:p>
    <w:p w14:paraId="402B61D7" w14:textId="77777777" w:rsidR="00CE24B9" w:rsidRPr="00CE24B9" w:rsidRDefault="00255C00" w:rsidP="0017736A">
      <w:pPr>
        <w:spacing w:after="0" w:line="300" w:lineRule="atLeast"/>
        <w:ind w:firstLine="567"/>
        <w:jc w:val="both"/>
        <w:rPr>
          <w:rFonts w:ascii="Times New Roman" w:hAnsi="Times New Roman" w:cs="Times New Roman"/>
          <w:sz w:val="24"/>
          <w:szCs w:val="24"/>
          <w:lang w:eastAsia="x-none"/>
        </w:rPr>
      </w:pPr>
      <w:r w:rsidRPr="00CE24B9">
        <w:rPr>
          <w:rFonts w:ascii="Times New Roman" w:hAnsi="Times New Roman" w:cs="Times New Roman"/>
          <w:sz w:val="24"/>
          <w:szCs w:val="24"/>
          <w:lang w:eastAsia="x-none"/>
        </w:rPr>
        <w:t xml:space="preserve">Ze względu na ograniczenia czasowe oraz kadrowe część kontroli wynikających </w:t>
      </w:r>
      <w:r w:rsidR="00CE24B9" w:rsidRPr="00CE24B9">
        <w:rPr>
          <w:rFonts w:ascii="Times New Roman" w:hAnsi="Times New Roman" w:cs="Times New Roman"/>
          <w:sz w:val="24"/>
          <w:szCs w:val="24"/>
          <w:lang w:eastAsia="x-none"/>
        </w:rPr>
        <w:br/>
      </w:r>
      <w:r w:rsidRPr="00CE24B9">
        <w:rPr>
          <w:rFonts w:ascii="Times New Roman" w:hAnsi="Times New Roman" w:cs="Times New Roman"/>
          <w:sz w:val="24"/>
          <w:szCs w:val="24"/>
          <w:lang w:eastAsia="x-none"/>
        </w:rPr>
        <w:t>z działań rozpoznawczych będzie wykonywana w 2023 r. Zauważa się, iż na stałym wysokim poziomie (w stosunku do innego rodzaju interwencji) wpływają do WIOŚ zgłoszenia dot</w:t>
      </w:r>
      <w:r w:rsidR="00CE24B9" w:rsidRPr="00CE24B9">
        <w:rPr>
          <w:rFonts w:ascii="Times New Roman" w:hAnsi="Times New Roman" w:cs="Times New Roman"/>
          <w:sz w:val="24"/>
          <w:szCs w:val="24"/>
          <w:lang w:eastAsia="x-none"/>
        </w:rPr>
        <w:t>yczące</w:t>
      </w:r>
      <w:r w:rsidRPr="00CE24B9">
        <w:rPr>
          <w:rFonts w:ascii="Times New Roman" w:hAnsi="Times New Roman" w:cs="Times New Roman"/>
          <w:sz w:val="24"/>
          <w:szCs w:val="24"/>
          <w:lang w:eastAsia="x-none"/>
        </w:rPr>
        <w:t xml:space="preserve"> podejrzenia nielegalnego demontażu pojazdów oraz podejrzenia fikcyjnego obrotu odpadami. </w:t>
      </w:r>
    </w:p>
    <w:p w14:paraId="424328C2" w14:textId="0CE173FD" w:rsidR="00255C00" w:rsidRPr="00CE24B9" w:rsidRDefault="00255C00" w:rsidP="0017736A">
      <w:pPr>
        <w:spacing w:after="0" w:line="300" w:lineRule="atLeast"/>
        <w:ind w:firstLine="567"/>
        <w:jc w:val="both"/>
        <w:rPr>
          <w:rFonts w:ascii="Times New Roman" w:hAnsi="Times New Roman" w:cs="Times New Roman"/>
          <w:sz w:val="24"/>
          <w:szCs w:val="24"/>
          <w:lang w:eastAsia="x-none"/>
        </w:rPr>
      </w:pPr>
      <w:r w:rsidRPr="00CE24B9">
        <w:rPr>
          <w:rFonts w:ascii="Times New Roman" w:hAnsi="Times New Roman" w:cs="Times New Roman"/>
          <w:sz w:val="24"/>
          <w:szCs w:val="24"/>
          <w:lang w:eastAsia="x-none"/>
        </w:rPr>
        <w:t>Zgłoszenia w zakresie fikcyjnego obrotu odpadami dotyczyły w głównej mierze podejrzenia wystawiania kart przekazania odpadów bez faktycznego transportu odpadów do miejsc przeznaczenia i były przekazywane przez WIOŚ lub GIOŚ. W wielu zgłoszeniach występowały te same podmioty zaangażowane w nielegalny obrót odpadami.</w:t>
      </w:r>
    </w:p>
    <w:p w14:paraId="65ADC157" w14:textId="77777777" w:rsidR="00CD6E92" w:rsidRPr="00255C00" w:rsidRDefault="00CD6E92" w:rsidP="00255C00">
      <w:pPr>
        <w:spacing w:line="300" w:lineRule="atLeast"/>
        <w:contextualSpacing/>
        <w:jc w:val="both"/>
        <w:rPr>
          <w:rFonts w:ascii="Times New Roman" w:hAnsi="Times New Roman" w:cs="Times New Roman"/>
          <w:i/>
          <w:color w:val="4472C4"/>
          <w:sz w:val="24"/>
          <w:szCs w:val="24"/>
        </w:rPr>
      </w:pPr>
    </w:p>
    <w:p w14:paraId="25EBB59C" w14:textId="77777777" w:rsidR="00255C00" w:rsidRPr="00255C00" w:rsidRDefault="00255C00" w:rsidP="00F51A4A">
      <w:pPr>
        <w:spacing w:after="60" w:line="300" w:lineRule="atLeast"/>
        <w:jc w:val="both"/>
        <w:rPr>
          <w:rFonts w:ascii="Times New Roman" w:hAnsi="Times New Roman" w:cs="Times New Roman"/>
          <w:i/>
          <w:color w:val="4472C4"/>
          <w:sz w:val="24"/>
          <w:szCs w:val="24"/>
        </w:rPr>
      </w:pPr>
      <w:r w:rsidRPr="00255C00">
        <w:rPr>
          <w:rFonts w:ascii="Times New Roman" w:hAnsi="Times New Roman" w:cs="Times New Roman"/>
          <w:i/>
          <w:color w:val="4472C4"/>
          <w:sz w:val="24"/>
          <w:szCs w:val="24"/>
        </w:rPr>
        <w:t>Wojewódzki Inspektorat Ochrony Środowiska w Krakowie</w:t>
      </w:r>
    </w:p>
    <w:p w14:paraId="5EA2D885" w14:textId="77777777" w:rsidR="00255C00" w:rsidRPr="00255C00" w:rsidRDefault="00255C00" w:rsidP="0017736A">
      <w:pPr>
        <w:autoSpaceDE w:val="0"/>
        <w:autoSpaceDN w:val="0"/>
        <w:adjustRightInd w:val="0"/>
        <w:spacing w:line="300" w:lineRule="atLeast"/>
        <w:ind w:firstLine="567"/>
        <w:contextualSpacing/>
        <w:rPr>
          <w:rFonts w:ascii="Times New Roman" w:hAnsi="Times New Roman" w:cs="Times New Roman"/>
          <w:sz w:val="24"/>
          <w:szCs w:val="24"/>
        </w:rPr>
      </w:pPr>
      <w:r w:rsidRPr="00255C00">
        <w:rPr>
          <w:rFonts w:ascii="Times New Roman" w:hAnsi="Times New Roman" w:cs="Times New Roman"/>
          <w:sz w:val="24"/>
          <w:szCs w:val="24"/>
        </w:rPr>
        <w:t xml:space="preserve">W 2022 roku przeprowadzono </w:t>
      </w:r>
      <w:r w:rsidRPr="00255C00">
        <w:rPr>
          <w:rFonts w:ascii="Times New Roman" w:hAnsi="Times New Roman" w:cs="Times New Roman"/>
          <w:b/>
          <w:bCs/>
          <w:sz w:val="24"/>
          <w:szCs w:val="24"/>
        </w:rPr>
        <w:t xml:space="preserve">345 </w:t>
      </w:r>
      <w:r w:rsidRPr="00255C00">
        <w:rPr>
          <w:rFonts w:ascii="Times New Roman" w:hAnsi="Times New Roman" w:cs="Times New Roman"/>
          <w:sz w:val="24"/>
          <w:szCs w:val="24"/>
        </w:rPr>
        <w:t>kontroli interwencyjnych (tj. o 1,8% więcej kontroli niż w roku poprzednim), które związane były ze zgłoszeniami dotyczącymi możliwości wystąpienia zagrożenia dla życia i zdrowia ludzi lub środowiska oraz możliwości popełnienia przestępstwa lub wykroczenia.</w:t>
      </w:r>
    </w:p>
    <w:p w14:paraId="28593EA9" w14:textId="77777777" w:rsidR="00255C00" w:rsidRPr="00255C00" w:rsidRDefault="00255C00" w:rsidP="00255C00">
      <w:pPr>
        <w:spacing w:line="300" w:lineRule="atLeast"/>
        <w:contextualSpacing/>
        <w:jc w:val="both"/>
        <w:rPr>
          <w:rFonts w:ascii="Times New Roman" w:hAnsi="Times New Roman" w:cs="Times New Roman"/>
          <w:i/>
          <w:color w:val="4472C4"/>
          <w:sz w:val="24"/>
          <w:szCs w:val="24"/>
        </w:rPr>
      </w:pPr>
    </w:p>
    <w:p w14:paraId="02C592CB" w14:textId="77777777" w:rsidR="00255C00" w:rsidRPr="00255C00" w:rsidRDefault="00255C00" w:rsidP="00F51A4A">
      <w:pPr>
        <w:spacing w:after="60" w:line="300" w:lineRule="atLeast"/>
        <w:jc w:val="both"/>
        <w:rPr>
          <w:rFonts w:ascii="Times New Roman" w:hAnsi="Times New Roman" w:cs="Times New Roman"/>
          <w:i/>
          <w:color w:val="4472C4"/>
          <w:sz w:val="24"/>
          <w:szCs w:val="24"/>
        </w:rPr>
      </w:pPr>
      <w:r w:rsidRPr="00255C00">
        <w:rPr>
          <w:rFonts w:ascii="Times New Roman" w:hAnsi="Times New Roman" w:cs="Times New Roman"/>
          <w:i/>
          <w:color w:val="4472C4"/>
          <w:sz w:val="24"/>
          <w:szCs w:val="24"/>
        </w:rPr>
        <w:t>Wojewódzki Inspektorat Ochrony Środowiska w Lublinie</w:t>
      </w:r>
    </w:p>
    <w:p w14:paraId="1833A7AC" w14:textId="77777777" w:rsidR="00F51A4A" w:rsidRDefault="00255C00" w:rsidP="00694CC9">
      <w:pPr>
        <w:spacing w:line="300" w:lineRule="atLeast"/>
        <w:ind w:firstLine="567"/>
        <w:contextualSpacing/>
        <w:jc w:val="both"/>
        <w:rPr>
          <w:rFonts w:ascii="Times New Roman" w:hAnsi="Times New Roman" w:cs="Times New Roman"/>
          <w:sz w:val="24"/>
          <w:szCs w:val="24"/>
        </w:rPr>
      </w:pPr>
      <w:r w:rsidRPr="00255C00">
        <w:rPr>
          <w:rFonts w:ascii="Times New Roman" w:hAnsi="Times New Roman" w:cs="Times New Roman"/>
          <w:sz w:val="24"/>
          <w:szCs w:val="24"/>
        </w:rPr>
        <w:t xml:space="preserve">W omawianym okresie przeprowadzono 13 kontroli interwencyjnych związanych </w:t>
      </w:r>
      <w:r w:rsidR="00F51A4A">
        <w:rPr>
          <w:rFonts w:ascii="Times New Roman" w:hAnsi="Times New Roman" w:cs="Times New Roman"/>
          <w:sz w:val="24"/>
          <w:szCs w:val="24"/>
        </w:rPr>
        <w:br/>
      </w:r>
      <w:r w:rsidRPr="00255C00">
        <w:rPr>
          <w:rFonts w:ascii="Times New Roman" w:hAnsi="Times New Roman" w:cs="Times New Roman"/>
          <w:sz w:val="24"/>
          <w:szCs w:val="24"/>
        </w:rPr>
        <w:t xml:space="preserve">z podejrzeniem popełnienia przestępstwa lub wykroczenia przeciwko środowisku; większość </w:t>
      </w:r>
      <w:r w:rsidR="00F51A4A">
        <w:rPr>
          <w:rFonts w:ascii="Times New Roman" w:hAnsi="Times New Roman" w:cs="Times New Roman"/>
          <w:sz w:val="24"/>
          <w:szCs w:val="24"/>
        </w:rPr>
        <w:br/>
      </w:r>
      <w:r w:rsidRPr="00255C00">
        <w:rPr>
          <w:rFonts w:ascii="Times New Roman" w:hAnsi="Times New Roman" w:cs="Times New Roman"/>
          <w:sz w:val="24"/>
          <w:szCs w:val="24"/>
        </w:rPr>
        <w:t xml:space="preserve">z nich dotyczyła podejrzenia prowadzenia nielegalnego demontażu i zbierania pojazdów oraz nielegalnego postępowania z odpadami. </w:t>
      </w:r>
    </w:p>
    <w:p w14:paraId="709D2E77" w14:textId="07CB2ABF" w:rsidR="00255C00" w:rsidRPr="00255C00" w:rsidRDefault="00255C00" w:rsidP="0017736A">
      <w:pPr>
        <w:spacing w:line="300" w:lineRule="atLeast"/>
        <w:ind w:firstLine="567"/>
        <w:contextualSpacing/>
        <w:jc w:val="both"/>
        <w:rPr>
          <w:rFonts w:ascii="Times New Roman" w:hAnsi="Times New Roman" w:cs="Times New Roman"/>
          <w:sz w:val="24"/>
          <w:szCs w:val="24"/>
        </w:rPr>
      </w:pPr>
      <w:r w:rsidRPr="00255C00">
        <w:rPr>
          <w:rFonts w:ascii="Times New Roman" w:hAnsi="Times New Roman" w:cs="Times New Roman"/>
          <w:sz w:val="24"/>
          <w:szCs w:val="24"/>
        </w:rPr>
        <w:t xml:space="preserve">W 2021 r. przeprowadzono 3 kontrole w związku z podejrzeniem popełnienia przestępstwa lub wykroczenia przeciwko środowisku. </w:t>
      </w:r>
    </w:p>
    <w:p w14:paraId="590C7854" w14:textId="77777777" w:rsidR="00255C00" w:rsidRPr="00255C00" w:rsidRDefault="00255C00" w:rsidP="00255C00">
      <w:pPr>
        <w:spacing w:line="300" w:lineRule="atLeast"/>
        <w:contextualSpacing/>
        <w:jc w:val="both"/>
        <w:rPr>
          <w:rFonts w:ascii="Times New Roman" w:hAnsi="Times New Roman" w:cs="Times New Roman"/>
          <w:i/>
          <w:color w:val="4472C4"/>
          <w:sz w:val="24"/>
          <w:szCs w:val="24"/>
        </w:rPr>
      </w:pPr>
      <w:r w:rsidRPr="00255C00">
        <w:rPr>
          <w:rFonts w:ascii="Times New Roman" w:hAnsi="Times New Roman" w:cs="Times New Roman"/>
          <w:i/>
          <w:color w:val="4472C4"/>
          <w:sz w:val="24"/>
          <w:szCs w:val="24"/>
        </w:rPr>
        <w:t xml:space="preserve"> </w:t>
      </w:r>
    </w:p>
    <w:p w14:paraId="4E710B0D" w14:textId="77777777" w:rsidR="00255C00" w:rsidRPr="00255C00" w:rsidRDefault="00255C00" w:rsidP="00F51A4A">
      <w:pPr>
        <w:spacing w:after="60" w:line="300" w:lineRule="atLeast"/>
        <w:jc w:val="both"/>
        <w:rPr>
          <w:rFonts w:ascii="Times New Roman" w:hAnsi="Times New Roman" w:cs="Times New Roman"/>
          <w:i/>
          <w:color w:val="4472C4"/>
          <w:sz w:val="24"/>
          <w:szCs w:val="24"/>
        </w:rPr>
      </w:pPr>
      <w:r w:rsidRPr="00255C00">
        <w:rPr>
          <w:rFonts w:ascii="Times New Roman" w:hAnsi="Times New Roman" w:cs="Times New Roman"/>
          <w:i/>
          <w:color w:val="4472C4"/>
          <w:sz w:val="24"/>
          <w:szCs w:val="24"/>
        </w:rPr>
        <w:t>Wojewódzki Inspektorat Ochrony Środowiska w Łodzi</w:t>
      </w:r>
    </w:p>
    <w:p w14:paraId="0E325C8D" w14:textId="2C41DE2E" w:rsidR="00F51A4A" w:rsidRDefault="00255C00" w:rsidP="0017736A">
      <w:pPr>
        <w:spacing w:line="300" w:lineRule="atLeast"/>
        <w:ind w:firstLine="567"/>
        <w:contextualSpacing/>
        <w:jc w:val="both"/>
        <w:rPr>
          <w:rFonts w:ascii="Times New Roman" w:hAnsi="Times New Roman" w:cs="Times New Roman"/>
          <w:iCs/>
          <w:sz w:val="24"/>
          <w:szCs w:val="24"/>
        </w:rPr>
      </w:pPr>
      <w:r w:rsidRPr="00255C00">
        <w:rPr>
          <w:rFonts w:ascii="Times New Roman" w:hAnsi="Times New Roman" w:cs="Times New Roman"/>
          <w:iCs/>
          <w:sz w:val="24"/>
          <w:szCs w:val="24"/>
        </w:rPr>
        <w:t xml:space="preserve">W roku 2022 członkowie grupy interwencyjno-wyjazdowej działającej na terenie </w:t>
      </w:r>
      <w:r w:rsidRPr="00255C00">
        <w:rPr>
          <w:rFonts w:ascii="Times New Roman" w:hAnsi="Times New Roman" w:cs="Times New Roman"/>
          <w:iCs/>
          <w:sz w:val="24"/>
          <w:szCs w:val="24"/>
        </w:rPr>
        <w:br/>
        <w:t xml:space="preserve">województwa łódzkiego przeprowadzili łącznie 66 kontroli związanych z podejrzeniem popełnienia przestępstwa lub wykroczenia przeciwko środowisku.  Były to kontrole związane </w:t>
      </w:r>
      <w:r w:rsidR="00F51A4A">
        <w:rPr>
          <w:rFonts w:ascii="Times New Roman" w:hAnsi="Times New Roman" w:cs="Times New Roman"/>
          <w:iCs/>
          <w:sz w:val="24"/>
          <w:szCs w:val="24"/>
        </w:rPr>
        <w:t>m.in.</w:t>
      </w:r>
      <w:r w:rsidRPr="00255C00">
        <w:rPr>
          <w:rFonts w:ascii="Times New Roman" w:hAnsi="Times New Roman" w:cs="Times New Roman"/>
          <w:iCs/>
          <w:sz w:val="24"/>
          <w:szCs w:val="24"/>
        </w:rPr>
        <w:t xml:space="preserve"> z pismem GIOŚ w sprawie przeprowadzenia kontroli wobec podmiotów transportujących i przekazujących odpady do lokalizacji ul. Chemików w Oświęcimiu. </w:t>
      </w:r>
    </w:p>
    <w:p w14:paraId="61C1D813" w14:textId="50A0CF1F" w:rsidR="00255C00" w:rsidRPr="00255C00" w:rsidRDefault="00F51A4A" w:rsidP="00694CC9">
      <w:pPr>
        <w:spacing w:line="300" w:lineRule="atLeast"/>
        <w:ind w:firstLine="567"/>
        <w:contextualSpacing/>
        <w:jc w:val="both"/>
        <w:rPr>
          <w:rFonts w:ascii="Times New Roman" w:hAnsi="Times New Roman" w:cs="Times New Roman"/>
          <w:iCs/>
          <w:sz w:val="24"/>
          <w:szCs w:val="24"/>
        </w:rPr>
      </w:pPr>
      <w:r>
        <w:rPr>
          <w:rFonts w:ascii="Times New Roman" w:hAnsi="Times New Roman" w:cs="Times New Roman"/>
          <w:iCs/>
          <w:sz w:val="24"/>
          <w:szCs w:val="24"/>
        </w:rPr>
        <w:t>W 2021 r. ł</w:t>
      </w:r>
      <w:r w:rsidR="00255C00" w:rsidRPr="00255C00">
        <w:rPr>
          <w:rFonts w:ascii="Times New Roman" w:hAnsi="Times New Roman" w:cs="Times New Roman"/>
          <w:iCs/>
          <w:sz w:val="24"/>
          <w:szCs w:val="24"/>
        </w:rPr>
        <w:t>ączna liczba kontroli interwencyjnych przeprowadzonych na terenie województwa łódzkiego wyniosła 354.</w:t>
      </w:r>
    </w:p>
    <w:p w14:paraId="648B2F63" w14:textId="1C39BE13" w:rsidR="00255C00" w:rsidRDefault="00255C00" w:rsidP="00255C00">
      <w:pPr>
        <w:spacing w:line="300" w:lineRule="atLeast"/>
        <w:contextualSpacing/>
        <w:jc w:val="both"/>
        <w:rPr>
          <w:rFonts w:ascii="Times New Roman" w:hAnsi="Times New Roman" w:cs="Times New Roman"/>
          <w:i/>
          <w:color w:val="4472C4"/>
          <w:sz w:val="24"/>
          <w:szCs w:val="24"/>
        </w:rPr>
      </w:pPr>
    </w:p>
    <w:p w14:paraId="6E3D8F61" w14:textId="77777777" w:rsidR="0017736A" w:rsidRPr="00255C00" w:rsidRDefault="0017736A" w:rsidP="00255C00">
      <w:pPr>
        <w:spacing w:line="300" w:lineRule="atLeast"/>
        <w:contextualSpacing/>
        <w:jc w:val="both"/>
        <w:rPr>
          <w:rFonts w:ascii="Times New Roman" w:hAnsi="Times New Roman" w:cs="Times New Roman"/>
          <w:i/>
          <w:color w:val="4472C4"/>
          <w:sz w:val="24"/>
          <w:szCs w:val="24"/>
        </w:rPr>
      </w:pPr>
    </w:p>
    <w:p w14:paraId="4AA5C4AD" w14:textId="77777777" w:rsidR="00255C00" w:rsidRPr="00255C00" w:rsidRDefault="00255C00" w:rsidP="00F51A4A">
      <w:pPr>
        <w:spacing w:after="60" w:line="300" w:lineRule="atLeast"/>
        <w:jc w:val="both"/>
        <w:rPr>
          <w:rFonts w:ascii="Times New Roman" w:hAnsi="Times New Roman" w:cs="Times New Roman"/>
          <w:i/>
          <w:color w:val="4472C4"/>
          <w:sz w:val="24"/>
          <w:szCs w:val="24"/>
        </w:rPr>
      </w:pPr>
      <w:r w:rsidRPr="00255C00">
        <w:rPr>
          <w:rFonts w:ascii="Times New Roman" w:hAnsi="Times New Roman" w:cs="Times New Roman"/>
          <w:i/>
          <w:color w:val="4472C4"/>
          <w:sz w:val="24"/>
          <w:szCs w:val="24"/>
        </w:rPr>
        <w:t>Wojewódzki Inspektorat Ochrony Środowiska w Olsztynie</w:t>
      </w:r>
    </w:p>
    <w:p w14:paraId="54770746" w14:textId="5ECC5BAE" w:rsidR="00255C00" w:rsidRPr="00F51A4A" w:rsidRDefault="00F51A4A" w:rsidP="00694CC9">
      <w:pPr>
        <w:spacing w:line="300" w:lineRule="atLeast"/>
        <w:ind w:firstLine="567"/>
        <w:contextualSpacing/>
        <w:jc w:val="both"/>
        <w:rPr>
          <w:rFonts w:ascii="Times New Roman" w:hAnsi="Times New Roman" w:cs="Times New Roman"/>
          <w:iCs/>
          <w:sz w:val="24"/>
          <w:szCs w:val="24"/>
        </w:rPr>
      </w:pPr>
      <w:r w:rsidRPr="00F51A4A">
        <w:rPr>
          <w:rFonts w:ascii="Times New Roman" w:hAnsi="Times New Roman" w:cs="Times New Roman"/>
          <w:sz w:val="24"/>
          <w:szCs w:val="24"/>
        </w:rPr>
        <w:lastRenderedPageBreak/>
        <w:t>W 202</w:t>
      </w:r>
      <w:r w:rsidR="001C4390">
        <w:rPr>
          <w:rFonts w:ascii="Times New Roman" w:hAnsi="Times New Roman" w:cs="Times New Roman"/>
          <w:sz w:val="24"/>
          <w:szCs w:val="24"/>
        </w:rPr>
        <w:t>2</w:t>
      </w:r>
      <w:r w:rsidRPr="00F51A4A">
        <w:rPr>
          <w:rFonts w:ascii="Times New Roman" w:hAnsi="Times New Roman" w:cs="Times New Roman"/>
          <w:sz w:val="24"/>
          <w:szCs w:val="24"/>
        </w:rPr>
        <w:t xml:space="preserve"> r. przeprowadzono 1</w:t>
      </w:r>
      <w:r w:rsidR="001C4390">
        <w:rPr>
          <w:rFonts w:ascii="Times New Roman" w:hAnsi="Times New Roman" w:cs="Times New Roman"/>
          <w:sz w:val="24"/>
          <w:szCs w:val="24"/>
        </w:rPr>
        <w:t>3</w:t>
      </w:r>
      <w:r w:rsidRPr="00F51A4A">
        <w:rPr>
          <w:rFonts w:ascii="Times New Roman" w:hAnsi="Times New Roman" w:cs="Times New Roman"/>
          <w:sz w:val="24"/>
          <w:szCs w:val="24"/>
        </w:rPr>
        <w:t xml:space="preserve"> kontroli </w:t>
      </w:r>
      <w:r w:rsidR="001C4390">
        <w:rPr>
          <w:rFonts w:ascii="Times New Roman" w:hAnsi="Times New Roman" w:cs="Times New Roman"/>
          <w:sz w:val="24"/>
          <w:szCs w:val="24"/>
        </w:rPr>
        <w:t xml:space="preserve">wszczętych </w:t>
      </w:r>
      <w:r w:rsidRPr="00F51A4A">
        <w:rPr>
          <w:rFonts w:ascii="Times New Roman" w:hAnsi="Times New Roman" w:cs="Times New Roman"/>
          <w:sz w:val="24"/>
          <w:szCs w:val="24"/>
        </w:rPr>
        <w:t>w związku z podejrzeniem popełnienia przestępstwa lub wykroczenia przeciwko środowisku, natomiast w 202</w:t>
      </w:r>
      <w:r w:rsidR="001C4390">
        <w:rPr>
          <w:rFonts w:ascii="Times New Roman" w:hAnsi="Times New Roman" w:cs="Times New Roman"/>
          <w:sz w:val="24"/>
          <w:szCs w:val="24"/>
        </w:rPr>
        <w:t>1</w:t>
      </w:r>
      <w:r w:rsidRPr="00F51A4A">
        <w:rPr>
          <w:rFonts w:ascii="Times New Roman" w:hAnsi="Times New Roman" w:cs="Times New Roman"/>
          <w:sz w:val="24"/>
          <w:szCs w:val="24"/>
        </w:rPr>
        <w:t xml:space="preserve"> r. przeprowadzono 1</w:t>
      </w:r>
      <w:r w:rsidR="001C4390">
        <w:rPr>
          <w:rFonts w:ascii="Times New Roman" w:hAnsi="Times New Roman" w:cs="Times New Roman"/>
          <w:sz w:val="24"/>
          <w:szCs w:val="24"/>
        </w:rPr>
        <w:t>5</w:t>
      </w:r>
      <w:r w:rsidRPr="00F51A4A">
        <w:rPr>
          <w:rFonts w:ascii="Times New Roman" w:hAnsi="Times New Roman" w:cs="Times New Roman"/>
          <w:sz w:val="24"/>
          <w:szCs w:val="24"/>
        </w:rPr>
        <w:t xml:space="preserve"> </w:t>
      </w:r>
      <w:r w:rsidR="001C4390">
        <w:rPr>
          <w:rFonts w:ascii="Times New Roman" w:hAnsi="Times New Roman" w:cs="Times New Roman"/>
          <w:sz w:val="24"/>
          <w:szCs w:val="24"/>
        </w:rPr>
        <w:t xml:space="preserve">tego rodzaju </w:t>
      </w:r>
      <w:r w:rsidRPr="00F51A4A">
        <w:rPr>
          <w:rFonts w:ascii="Times New Roman" w:hAnsi="Times New Roman" w:cs="Times New Roman"/>
          <w:sz w:val="24"/>
          <w:szCs w:val="24"/>
        </w:rPr>
        <w:t>kontroli</w:t>
      </w:r>
      <w:r w:rsidR="00255C00" w:rsidRPr="00F51A4A">
        <w:rPr>
          <w:rFonts w:ascii="Times New Roman" w:hAnsi="Times New Roman" w:cs="Times New Roman"/>
          <w:iCs/>
          <w:sz w:val="24"/>
          <w:szCs w:val="24"/>
        </w:rPr>
        <w:t>.</w:t>
      </w:r>
    </w:p>
    <w:p w14:paraId="755EEDE1" w14:textId="77777777" w:rsidR="00255C00" w:rsidRPr="00255C00" w:rsidRDefault="00255C00" w:rsidP="00255C00">
      <w:pPr>
        <w:spacing w:line="300" w:lineRule="atLeast"/>
        <w:contextualSpacing/>
        <w:jc w:val="both"/>
        <w:rPr>
          <w:rFonts w:ascii="Times New Roman" w:hAnsi="Times New Roman" w:cs="Times New Roman"/>
          <w:i/>
          <w:color w:val="4472C4"/>
          <w:sz w:val="24"/>
          <w:szCs w:val="24"/>
        </w:rPr>
      </w:pPr>
    </w:p>
    <w:p w14:paraId="55D8CEB1" w14:textId="77777777" w:rsidR="00255C00" w:rsidRPr="00255C00" w:rsidRDefault="00255C00" w:rsidP="001C4390">
      <w:pPr>
        <w:spacing w:after="60" w:line="300" w:lineRule="atLeast"/>
        <w:jc w:val="both"/>
        <w:rPr>
          <w:rFonts w:ascii="Times New Roman" w:hAnsi="Times New Roman" w:cs="Times New Roman"/>
          <w:i/>
          <w:color w:val="4472C4"/>
          <w:sz w:val="24"/>
          <w:szCs w:val="24"/>
        </w:rPr>
      </w:pPr>
      <w:r w:rsidRPr="00255C00">
        <w:rPr>
          <w:rFonts w:ascii="Times New Roman" w:hAnsi="Times New Roman" w:cs="Times New Roman"/>
          <w:i/>
          <w:color w:val="4472C4"/>
          <w:sz w:val="24"/>
          <w:szCs w:val="24"/>
        </w:rPr>
        <w:t>Wojewódzki Inspektorat Ochrony Środowiska w Opolu</w:t>
      </w:r>
    </w:p>
    <w:p w14:paraId="797E432D" w14:textId="08C8AC93" w:rsidR="00255C00" w:rsidRPr="00255C00" w:rsidRDefault="00255C00" w:rsidP="00694CC9">
      <w:pPr>
        <w:spacing w:line="300" w:lineRule="atLeast"/>
        <w:ind w:firstLine="567"/>
        <w:contextualSpacing/>
        <w:jc w:val="both"/>
        <w:rPr>
          <w:rFonts w:ascii="Times New Roman" w:hAnsi="Times New Roman" w:cs="Times New Roman"/>
          <w:sz w:val="24"/>
          <w:szCs w:val="24"/>
        </w:rPr>
      </w:pPr>
      <w:r w:rsidRPr="00255C00">
        <w:rPr>
          <w:rFonts w:ascii="Times New Roman" w:hAnsi="Times New Roman" w:cs="Times New Roman"/>
          <w:sz w:val="24"/>
          <w:szCs w:val="24"/>
        </w:rPr>
        <w:t>W roku 2021 w wyniku działań prowadzonych w trybie 10b ustawy o Inspekcji Ochrony Środowiska wszczęto 24 kontrole podmiotów, z kolei w 2022</w:t>
      </w:r>
      <w:r w:rsidR="001C4390">
        <w:rPr>
          <w:rFonts w:ascii="Times New Roman" w:hAnsi="Times New Roman" w:cs="Times New Roman"/>
          <w:sz w:val="24"/>
          <w:szCs w:val="24"/>
        </w:rPr>
        <w:t xml:space="preserve"> </w:t>
      </w:r>
      <w:r w:rsidRPr="00255C00">
        <w:rPr>
          <w:rFonts w:ascii="Times New Roman" w:hAnsi="Times New Roman" w:cs="Times New Roman"/>
          <w:sz w:val="24"/>
          <w:szCs w:val="24"/>
        </w:rPr>
        <w:t>r. informacje zebrane podczas czynności prowadzone w trybie 10b ustawy o Inspekcji Ochrony Środowiska pozwoliły na wszczęcie 36 kontroli podmiotów.</w:t>
      </w:r>
    </w:p>
    <w:p w14:paraId="7BE3FE3E" w14:textId="77777777" w:rsidR="00255C00" w:rsidRPr="00255C00" w:rsidRDefault="00255C00" w:rsidP="00255C00">
      <w:pPr>
        <w:spacing w:line="300" w:lineRule="atLeast"/>
        <w:contextualSpacing/>
        <w:jc w:val="both"/>
        <w:rPr>
          <w:rFonts w:ascii="Times New Roman" w:hAnsi="Times New Roman" w:cs="Times New Roman"/>
          <w:i/>
          <w:color w:val="4472C4"/>
          <w:sz w:val="24"/>
          <w:szCs w:val="24"/>
        </w:rPr>
      </w:pPr>
    </w:p>
    <w:p w14:paraId="749D9C1D" w14:textId="77777777" w:rsidR="00255C00" w:rsidRPr="00255C00" w:rsidRDefault="00255C00" w:rsidP="001C4390">
      <w:pPr>
        <w:spacing w:after="60" w:line="300" w:lineRule="atLeast"/>
        <w:jc w:val="both"/>
        <w:rPr>
          <w:rFonts w:ascii="Times New Roman" w:hAnsi="Times New Roman" w:cs="Times New Roman"/>
          <w:i/>
          <w:color w:val="4472C4"/>
          <w:sz w:val="24"/>
          <w:szCs w:val="24"/>
        </w:rPr>
      </w:pPr>
      <w:r w:rsidRPr="00255C00">
        <w:rPr>
          <w:rFonts w:ascii="Times New Roman" w:hAnsi="Times New Roman" w:cs="Times New Roman"/>
          <w:i/>
          <w:color w:val="4472C4"/>
          <w:sz w:val="24"/>
          <w:szCs w:val="24"/>
        </w:rPr>
        <w:t>Wojewódzki Inspektorat Ochrony Środowiska w Poznaniu</w:t>
      </w:r>
    </w:p>
    <w:p w14:paraId="5D7AEDA8" w14:textId="77777777" w:rsidR="00255C00" w:rsidRPr="00255C00" w:rsidRDefault="00255C00" w:rsidP="00694CC9">
      <w:pPr>
        <w:spacing w:after="0" w:line="300" w:lineRule="atLeast"/>
        <w:ind w:firstLine="567"/>
        <w:jc w:val="both"/>
        <w:rPr>
          <w:rFonts w:ascii="Times New Roman" w:hAnsi="Times New Roman" w:cs="Times New Roman"/>
          <w:sz w:val="24"/>
          <w:szCs w:val="24"/>
        </w:rPr>
      </w:pPr>
      <w:r w:rsidRPr="00255C00">
        <w:rPr>
          <w:rFonts w:ascii="Times New Roman" w:hAnsi="Times New Roman" w:cs="Times New Roman"/>
          <w:sz w:val="24"/>
          <w:szCs w:val="24"/>
        </w:rPr>
        <w:t xml:space="preserve">Kontrole interwencyjne wszczynane były w związku z podejrzeniami przestępstw lub wykroczeń przeciw środowisku, w postaci w szczególności:  </w:t>
      </w:r>
    </w:p>
    <w:p w14:paraId="4FFC403D" w14:textId="74D83C9F" w:rsidR="00255C00" w:rsidRPr="001C4390" w:rsidRDefault="00255C00" w:rsidP="00D34F97">
      <w:pPr>
        <w:pStyle w:val="Akapitzlist"/>
        <w:numPr>
          <w:ilvl w:val="0"/>
          <w:numId w:val="288"/>
        </w:numPr>
        <w:spacing w:line="300" w:lineRule="atLeast"/>
        <w:rPr>
          <w:sz w:val="24"/>
          <w:szCs w:val="24"/>
        </w:rPr>
      </w:pPr>
      <w:r w:rsidRPr="001C4390">
        <w:rPr>
          <w:sz w:val="24"/>
          <w:szCs w:val="24"/>
        </w:rPr>
        <w:t xml:space="preserve">przetwarzania/zbierania odpadów bez zezwolenia; </w:t>
      </w:r>
    </w:p>
    <w:p w14:paraId="1B3947D1" w14:textId="139BC834" w:rsidR="00255C00" w:rsidRPr="001C4390" w:rsidRDefault="00255C00" w:rsidP="00D34F97">
      <w:pPr>
        <w:pStyle w:val="Akapitzlist"/>
        <w:numPr>
          <w:ilvl w:val="0"/>
          <w:numId w:val="288"/>
        </w:numPr>
        <w:spacing w:line="300" w:lineRule="atLeast"/>
        <w:rPr>
          <w:sz w:val="24"/>
          <w:szCs w:val="24"/>
        </w:rPr>
      </w:pPr>
      <w:r w:rsidRPr="001C4390">
        <w:rPr>
          <w:sz w:val="24"/>
          <w:szCs w:val="24"/>
        </w:rPr>
        <w:t xml:space="preserve">sprowadzania odpadów z zagranicy; </w:t>
      </w:r>
    </w:p>
    <w:p w14:paraId="7F84E6BA" w14:textId="1E3B3EAC" w:rsidR="00255C00" w:rsidRPr="001C4390" w:rsidRDefault="00255C00" w:rsidP="00D34F97">
      <w:pPr>
        <w:pStyle w:val="Akapitzlist"/>
        <w:numPr>
          <w:ilvl w:val="0"/>
          <w:numId w:val="288"/>
        </w:numPr>
        <w:spacing w:line="300" w:lineRule="atLeast"/>
        <w:rPr>
          <w:sz w:val="24"/>
          <w:szCs w:val="24"/>
        </w:rPr>
      </w:pPr>
      <w:r w:rsidRPr="001C4390">
        <w:rPr>
          <w:sz w:val="24"/>
          <w:szCs w:val="24"/>
        </w:rPr>
        <w:t xml:space="preserve">prowadzeniu demontażu pojazdów poza stacja demontażu; </w:t>
      </w:r>
    </w:p>
    <w:p w14:paraId="28946A8D" w14:textId="29B19530" w:rsidR="00255C00" w:rsidRPr="001C4390" w:rsidRDefault="00255C00" w:rsidP="00D34F97">
      <w:pPr>
        <w:pStyle w:val="Akapitzlist"/>
        <w:numPr>
          <w:ilvl w:val="0"/>
          <w:numId w:val="288"/>
        </w:numPr>
        <w:spacing w:line="300" w:lineRule="atLeast"/>
        <w:rPr>
          <w:sz w:val="24"/>
          <w:szCs w:val="24"/>
        </w:rPr>
      </w:pPr>
      <w:r w:rsidRPr="001C4390">
        <w:rPr>
          <w:sz w:val="24"/>
          <w:szCs w:val="24"/>
        </w:rPr>
        <w:t>nieużywaniu urządzeń zabezpieczających wodę przed zanieczyszczeniem;</w:t>
      </w:r>
    </w:p>
    <w:p w14:paraId="0650220A" w14:textId="7FA83D75" w:rsidR="00255C00" w:rsidRPr="00694CC9" w:rsidRDefault="00255C00" w:rsidP="00694CC9">
      <w:pPr>
        <w:pStyle w:val="Akapitzlist"/>
        <w:numPr>
          <w:ilvl w:val="0"/>
          <w:numId w:val="288"/>
        </w:numPr>
        <w:spacing w:after="120" w:line="300" w:lineRule="atLeast"/>
        <w:ind w:left="714" w:hanging="357"/>
        <w:contextualSpacing w:val="0"/>
        <w:rPr>
          <w:sz w:val="24"/>
          <w:szCs w:val="24"/>
        </w:rPr>
      </w:pPr>
      <w:r w:rsidRPr="001C4390">
        <w:rPr>
          <w:sz w:val="24"/>
          <w:szCs w:val="24"/>
        </w:rPr>
        <w:t>składowaniu, usuwaniu albo transportowaniu odpadów wbrew przepisom.</w:t>
      </w:r>
    </w:p>
    <w:p w14:paraId="08686A7C" w14:textId="40E4EAF2" w:rsidR="00255C00" w:rsidRPr="00255C00" w:rsidRDefault="00255C00" w:rsidP="001C4390">
      <w:pPr>
        <w:spacing w:line="300" w:lineRule="atLeast"/>
        <w:ind w:firstLine="567"/>
        <w:contextualSpacing/>
        <w:jc w:val="both"/>
        <w:rPr>
          <w:rFonts w:ascii="Times New Roman" w:hAnsi="Times New Roman" w:cs="Times New Roman"/>
          <w:sz w:val="24"/>
          <w:szCs w:val="24"/>
        </w:rPr>
      </w:pPr>
      <w:r w:rsidRPr="00255C00">
        <w:rPr>
          <w:rFonts w:ascii="Times New Roman" w:hAnsi="Times New Roman" w:cs="Times New Roman"/>
          <w:sz w:val="24"/>
          <w:szCs w:val="24"/>
        </w:rPr>
        <w:t>W roku 2022 r. podjęto 690 kontroli interwencyjnych oraz przeprowadzono 144</w:t>
      </w:r>
      <w:r w:rsidRPr="00255C00">
        <w:rPr>
          <w:rFonts w:ascii="Times New Roman" w:hAnsi="Times New Roman" w:cs="Times New Roman"/>
          <w:b/>
          <w:sz w:val="24"/>
          <w:szCs w:val="24"/>
        </w:rPr>
        <w:t xml:space="preserve"> </w:t>
      </w:r>
      <w:r w:rsidRPr="00255C00">
        <w:rPr>
          <w:rFonts w:ascii="Times New Roman" w:hAnsi="Times New Roman" w:cs="Times New Roman"/>
          <w:sz w:val="24"/>
          <w:szCs w:val="24"/>
        </w:rPr>
        <w:t>kontrole inne niż typowe - z wyjazdem w teren bez ustalonego podmiotu</w:t>
      </w:r>
      <w:r w:rsidR="001C4390">
        <w:rPr>
          <w:rFonts w:ascii="Times New Roman" w:hAnsi="Times New Roman" w:cs="Times New Roman"/>
          <w:sz w:val="24"/>
          <w:szCs w:val="24"/>
        </w:rPr>
        <w:t>, natomiast w</w:t>
      </w:r>
      <w:r w:rsidRPr="00255C00">
        <w:rPr>
          <w:rFonts w:ascii="Times New Roman" w:hAnsi="Times New Roman" w:cs="Times New Roman"/>
          <w:sz w:val="24"/>
          <w:szCs w:val="24"/>
        </w:rPr>
        <w:t xml:space="preserve"> roku 2021 r. podjęto 581 kontroli interwencyjnych oraz 122 kontrole inne niż typowe - z wyjazdem w teren bez ustalonego podmiotu.</w:t>
      </w:r>
    </w:p>
    <w:p w14:paraId="28C9C056" w14:textId="77777777" w:rsidR="00255C00" w:rsidRPr="00255C00" w:rsidRDefault="00255C00" w:rsidP="00255C00">
      <w:pPr>
        <w:spacing w:line="300" w:lineRule="atLeast"/>
        <w:contextualSpacing/>
        <w:jc w:val="both"/>
        <w:rPr>
          <w:rFonts w:ascii="Times New Roman" w:hAnsi="Times New Roman" w:cs="Times New Roman"/>
          <w:i/>
          <w:color w:val="4472C4"/>
          <w:sz w:val="24"/>
          <w:szCs w:val="24"/>
        </w:rPr>
      </w:pPr>
    </w:p>
    <w:p w14:paraId="5EE459F0" w14:textId="77777777" w:rsidR="00255C00" w:rsidRPr="00255C00" w:rsidRDefault="00255C00" w:rsidP="0058129B">
      <w:pPr>
        <w:spacing w:after="60" w:line="300" w:lineRule="atLeast"/>
        <w:jc w:val="both"/>
        <w:rPr>
          <w:rFonts w:ascii="Times New Roman" w:hAnsi="Times New Roman" w:cs="Times New Roman"/>
          <w:i/>
          <w:color w:val="4472C4"/>
          <w:sz w:val="24"/>
          <w:szCs w:val="24"/>
        </w:rPr>
      </w:pPr>
      <w:r w:rsidRPr="00255C00">
        <w:rPr>
          <w:rFonts w:ascii="Times New Roman" w:hAnsi="Times New Roman" w:cs="Times New Roman"/>
          <w:i/>
          <w:color w:val="4472C4"/>
          <w:sz w:val="24"/>
          <w:szCs w:val="24"/>
        </w:rPr>
        <w:t>Wojewódzki Inspektorat Ochrony Środowiska w Rzeszowie</w:t>
      </w:r>
    </w:p>
    <w:p w14:paraId="795B3CF4" w14:textId="0D2215D0" w:rsidR="00255C00" w:rsidRPr="00255C00" w:rsidRDefault="00255C00" w:rsidP="00694CC9">
      <w:pPr>
        <w:autoSpaceDE w:val="0"/>
        <w:autoSpaceDN w:val="0"/>
        <w:adjustRightInd w:val="0"/>
        <w:spacing w:line="300" w:lineRule="atLeast"/>
        <w:ind w:firstLine="567"/>
        <w:contextualSpacing/>
        <w:jc w:val="both"/>
        <w:rPr>
          <w:rFonts w:ascii="Times New Roman" w:hAnsi="Times New Roman" w:cs="Times New Roman"/>
          <w:sz w:val="24"/>
          <w:szCs w:val="24"/>
        </w:rPr>
      </w:pPr>
      <w:r w:rsidRPr="00255C00">
        <w:rPr>
          <w:rFonts w:ascii="Times New Roman" w:hAnsi="Times New Roman" w:cs="Times New Roman"/>
          <w:sz w:val="24"/>
          <w:szCs w:val="24"/>
        </w:rPr>
        <w:t xml:space="preserve">W 2021 r. przeprowadzono 120 kontroli interwencyjnych, 34 kontrole podjęte zostały </w:t>
      </w:r>
      <w:r w:rsidR="0058129B">
        <w:rPr>
          <w:rFonts w:ascii="Times New Roman" w:hAnsi="Times New Roman" w:cs="Times New Roman"/>
          <w:sz w:val="24"/>
          <w:szCs w:val="24"/>
        </w:rPr>
        <w:br/>
      </w:r>
      <w:r w:rsidRPr="00255C00">
        <w:rPr>
          <w:rFonts w:ascii="Times New Roman" w:hAnsi="Times New Roman" w:cs="Times New Roman"/>
          <w:sz w:val="24"/>
          <w:szCs w:val="24"/>
        </w:rPr>
        <w:t xml:space="preserve">w związku z rozpoznaniem zanieczyszczenia w terenie. Przeprowadzono 13 kontroli wszczętych w związku z podejrzeniem popełnienia przestępstwa lub wykroczenia przeciwko środowisku. W roku 2022 inspektorzy WIOŚ w Rzeszowie przeprowadzili 158 kontroli interwencyjnych, 35 kontroli podjętych zostało w związku z rozpoznaniem zanieczyszczenia </w:t>
      </w:r>
      <w:r w:rsidR="00694CC9">
        <w:rPr>
          <w:rFonts w:ascii="Times New Roman" w:hAnsi="Times New Roman" w:cs="Times New Roman"/>
          <w:sz w:val="24"/>
          <w:szCs w:val="24"/>
        </w:rPr>
        <w:br/>
      </w:r>
      <w:r w:rsidRPr="00255C00">
        <w:rPr>
          <w:rFonts w:ascii="Times New Roman" w:hAnsi="Times New Roman" w:cs="Times New Roman"/>
          <w:sz w:val="24"/>
          <w:szCs w:val="24"/>
        </w:rPr>
        <w:t>w terenie.  Przeprowadzono 114 kontroli w związku z podejrzeniem popełnienia przestępstwa lub wykroczenia przeciwko środowisku oraz 32 kontrole po działaniach wykonanych w trybie 10b IOŚ.</w:t>
      </w:r>
    </w:p>
    <w:p w14:paraId="3C3E44A4" w14:textId="77777777" w:rsidR="00255C00" w:rsidRPr="00255C00" w:rsidRDefault="00255C00" w:rsidP="00255C00">
      <w:pPr>
        <w:spacing w:line="300" w:lineRule="atLeast"/>
        <w:contextualSpacing/>
        <w:jc w:val="both"/>
        <w:rPr>
          <w:rFonts w:ascii="Times New Roman" w:hAnsi="Times New Roman" w:cs="Times New Roman"/>
          <w:i/>
          <w:color w:val="4472C4"/>
          <w:sz w:val="24"/>
          <w:szCs w:val="24"/>
        </w:rPr>
      </w:pPr>
    </w:p>
    <w:p w14:paraId="3BDC25EA" w14:textId="77777777" w:rsidR="00255C00" w:rsidRPr="00255C00" w:rsidRDefault="00255C00" w:rsidP="0058129B">
      <w:pPr>
        <w:spacing w:after="60" w:line="300" w:lineRule="atLeast"/>
        <w:jc w:val="both"/>
        <w:rPr>
          <w:rFonts w:ascii="Times New Roman" w:hAnsi="Times New Roman" w:cs="Times New Roman"/>
          <w:i/>
          <w:color w:val="4472C4"/>
          <w:sz w:val="24"/>
          <w:szCs w:val="24"/>
        </w:rPr>
      </w:pPr>
      <w:r w:rsidRPr="00255C00">
        <w:rPr>
          <w:rFonts w:ascii="Times New Roman" w:hAnsi="Times New Roman" w:cs="Times New Roman"/>
          <w:i/>
          <w:color w:val="4472C4"/>
          <w:sz w:val="24"/>
          <w:szCs w:val="24"/>
        </w:rPr>
        <w:t>Wojewódzki Inspektorat Ochrony Środowiska w Szczecinie</w:t>
      </w:r>
    </w:p>
    <w:p w14:paraId="07A74FCA" w14:textId="2499987B" w:rsidR="00255C00" w:rsidRPr="00255C00" w:rsidRDefault="00255C00" w:rsidP="00694CC9">
      <w:pPr>
        <w:autoSpaceDE w:val="0"/>
        <w:autoSpaceDN w:val="0"/>
        <w:adjustRightInd w:val="0"/>
        <w:spacing w:line="300" w:lineRule="atLeast"/>
        <w:ind w:firstLine="567"/>
        <w:contextualSpacing/>
        <w:jc w:val="both"/>
        <w:rPr>
          <w:rFonts w:ascii="Times New Roman" w:hAnsi="Times New Roman" w:cs="Times New Roman"/>
          <w:sz w:val="24"/>
          <w:szCs w:val="24"/>
        </w:rPr>
      </w:pPr>
      <w:r w:rsidRPr="00255C00">
        <w:rPr>
          <w:rFonts w:ascii="Times New Roman" w:hAnsi="Times New Roman" w:cs="Times New Roman"/>
          <w:sz w:val="24"/>
          <w:szCs w:val="24"/>
        </w:rPr>
        <w:t xml:space="preserve">W okresie sprawozdawczym przeprowadzono łącznie 167 kontroli interwencyjnych </w:t>
      </w:r>
      <w:r w:rsidR="0058129B">
        <w:rPr>
          <w:rFonts w:ascii="Times New Roman" w:hAnsi="Times New Roman" w:cs="Times New Roman"/>
          <w:sz w:val="24"/>
          <w:szCs w:val="24"/>
        </w:rPr>
        <w:br/>
      </w:r>
      <w:r w:rsidRPr="00255C00">
        <w:rPr>
          <w:rFonts w:ascii="Times New Roman" w:hAnsi="Times New Roman" w:cs="Times New Roman"/>
          <w:sz w:val="24"/>
          <w:szCs w:val="24"/>
        </w:rPr>
        <w:t xml:space="preserve">z ustalonym podmiotem, co w porównaniu do roku 2021 </w:t>
      </w:r>
      <w:r w:rsidR="0058129B">
        <w:rPr>
          <w:rFonts w:ascii="Times New Roman" w:hAnsi="Times New Roman" w:cs="Times New Roman"/>
          <w:sz w:val="24"/>
          <w:szCs w:val="24"/>
        </w:rPr>
        <w:t>(</w:t>
      </w:r>
      <w:r w:rsidRPr="00255C00">
        <w:rPr>
          <w:rFonts w:ascii="Times New Roman" w:hAnsi="Times New Roman" w:cs="Times New Roman"/>
          <w:sz w:val="24"/>
          <w:szCs w:val="24"/>
        </w:rPr>
        <w:t>95 kontroli</w:t>
      </w:r>
      <w:r w:rsidR="0058129B">
        <w:rPr>
          <w:rFonts w:ascii="Times New Roman" w:hAnsi="Times New Roman" w:cs="Times New Roman"/>
          <w:sz w:val="24"/>
          <w:szCs w:val="24"/>
        </w:rPr>
        <w:t>)</w:t>
      </w:r>
      <w:r w:rsidRPr="00255C00">
        <w:rPr>
          <w:rFonts w:ascii="Times New Roman" w:hAnsi="Times New Roman" w:cs="Times New Roman"/>
          <w:sz w:val="24"/>
          <w:szCs w:val="24"/>
        </w:rPr>
        <w:t xml:space="preserve"> stanowi wzrost o 76 %. Należy jednak zaznaczyć, że tylko część z kontroli interwencyjnych dotyczyła podejrzenia popełnienia przestępstwa lub wykroczenia. Bardzo często zgłaszający nieprawidłowości dotyczące ochrony środowiska sami kwalifikują dane przypadki jako przestępstwo, np. zgłaszając uciążliwości </w:t>
      </w:r>
      <w:proofErr w:type="spellStart"/>
      <w:r w:rsidRPr="00255C00">
        <w:rPr>
          <w:rFonts w:ascii="Times New Roman" w:hAnsi="Times New Roman" w:cs="Times New Roman"/>
          <w:sz w:val="24"/>
          <w:szCs w:val="24"/>
        </w:rPr>
        <w:t>odorowe</w:t>
      </w:r>
      <w:proofErr w:type="spellEnd"/>
      <w:r w:rsidRPr="00255C00">
        <w:rPr>
          <w:rFonts w:ascii="Times New Roman" w:hAnsi="Times New Roman" w:cs="Times New Roman"/>
          <w:sz w:val="24"/>
          <w:szCs w:val="24"/>
        </w:rPr>
        <w:t xml:space="preserve">, czy hałasowe. </w:t>
      </w:r>
    </w:p>
    <w:p w14:paraId="38AC9A53" w14:textId="77777777" w:rsidR="00255C00" w:rsidRPr="00255C00" w:rsidRDefault="00255C00" w:rsidP="00255C00">
      <w:pPr>
        <w:autoSpaceDE w:val="0"/>
        <w:autoSpaceDN w:val="0"/>
        <w:adjustRightInd w:val="0"/>
        <w:spacing w:line="300" w:lineRule="atLeast"/>
        <w:contextualSpacing/>
        <w:rPr>
          <w:rFonts w:ascii="Times New Roman" w:hAnsi="Times New Roman" w:cs="Times New Roman"/>
          <w:i/>
          <w:color w:val="4472C4"/>
          <w:sz w:val="24"/>
          <w:szCs w:val="24"/>
        </w:rPr>
      </w:pPr>
    </w:p>
    <w:p w14:paraId="50A946DB" w14:textId="77777777" w:rsidR="00255C00" w:rsidRPr="00255C00" w:rsidRDefault="00255C00" w:rsidP="0058129B">
      <w:pPr>
        <w:spacing w:after="60" w:line="300" w:lineRule="atLeast"/>
        <w:jc w:val="both"/>
        <w:rPr>
          <w:rFonts w:ascii="Times New Roman" w:hAnsi="Times New Roman" w:cs="Times New Roman"/>
          <w:i/>
          <w:color w:val="4472C4"/>
          <w:sz w:val="24"/>
          <w:szCs w:val="24"/>
        </w:rPr>
      </w:pPr>
      <w:r w:rsidRPr="00255C00">
        <w:rPr>
          <w:rFonts w:ascii="Times New Roman" w:hAnsi="Times New Roman" w:cs="Times New Roman"/>
          <w:i/>
          <w:color w:val="4472C4"/>
          <w:sz w:val="24"/>
          <w:szCs w:val="24"/>
        </w:rPr>
        <w:t>Wojewódzki Inspektorat Ochrony Środowiska w Warszawie</w:t>
      </w:r>
    </w:p>
    <w:p w14:paraId="09101E32" w14:textId="77777777" w:rsidR="00255C00" w:rsidRPr="00255C00" w:rsidRDefault="00255C00" w:rsidP="00694CC9">
      <w:pPr>
        <w:spacing w:line="300" w:lineRule="atLeast"/>
        <w:ind w:firstLine="567"/>
        <w:contextualSpacing/>
        <w:jc w:val="both"/>
        <w:rPr>
          <w:rFonts w:ascii="Times New Roman" w:hAnsi="Times New Roman" w:cs="Times New Roman"/>
          <w:sz w:val="24"/>
          <w:szCs w:val="24"/>
        </w:rPr>
      </w:pPr>
      <w:r w:rsidRPr="00255C00">
        <w:rPr>
          <w:rFonts w:ascii="Times New Roman" w:hAnsi="Times New Roman" w:cs="Times New Roman"/>
          <w:sz w:val="24"/>
          <w:szCs w:val="24"/>
        </w:rPr>
        <w:t xml:space="preserve">W 2021 r. WIOŚ w Warszawie przeprowadził 116 kontroli interwencyjnych prowadzonych w celu przeciwdziałania popełnieniu przestępstwa i wykroczenia. Natomiast </w:t>
      </w:r>
      <w:r w:rsidRPr="00255C00">
        <w:rPr>
          <w:rFonts w:ascii="Times New Roman" w:hAnsi="Times New Roman" w:cs="Times New Roman"/>
          <w:sz w:val="24"/>
          <w:szCs w:val="24"/>
        </w:rPr>
        <w:lastRenderedPageBreak/>
        <w:t>w 2022 r. WIOŚ w Warszawie przeprowadził 113 kontroli interwencyjnych prowadzonych w celu przeciwdziałania popełnianiu przestępstwa i wykroczenia.</w:t>
      </w:r>
    </w:p>
    <w:p w14:paraId="164D60B8" w14:textId="77777777" w:rsidR="002502A9" w:rsidRDefault="002502A9" w:rsidP="00255C00">
      <w:pPr>
        <w:spacing w:line="300" w:lineRule="atLeast"/>
        <w:contextualSpacing/>
        <w:jc w:val="both"/>
        <w:rPr>
          <w:rFonts w:ascii="Times New Roman" w:hAnsi="Times New Roman" w:cs="Times New Roman"/>
          <w:sz w:val="24"/>
          <w:szCs w:val="24"/>
        </w:rPr>
      </w:pPr>
    </w:p>
    <w:p w14:paraId="4A632773" w14:textId="462D1354" w:rsidR="00255C00" w:rsidRPr="0058129B" w:rsidRDefault="00255C00" w:rsidP="00255C00">
      <w:pPr>
        <w:spacing w:line="300" w:lineRule="atLeast"/>
        <w:contextualSpacing/>
        <w:jc w:val="both"/>
        <w:rPr>
          <w:rFonts w:ascii="Times New Roman" w:hAnsi="Times New Roman" w:cs="Times New Roman"/>
          <w:b/>
          <w:color w:val="000000" w:themeColor="text1"/>
        </w:rPr>
      </w:pPr>
      <w:r w:rsidRPr="0058129B">
        <w:rPr>
          <w:rFonts w:ascii="Times New Roman" w:hAnsi="Times New Roman" w:cs="Times New Roman"/>
          <w:b/>
          <w:color w:val="000000" w:themeColor="text1"/>
        </w:rPr>
        <w:t xml:space="preserve">Tabela </w:t>
      </w:r>
      <w:r w:rsidR="0058129B">
        <w:rPr>
          <w:rFonts w:ascii="Times New Roman" w:hAnsi="Times New Roman" w:cs="Times New Roman"/>
          <w:b/>
          <w:color w:val="000000" w:themeColor="text1"/>
        </w:rPr>
        <w:t>21</w:t>
      </w:r>
      <w:r w:rsidRPr="0058129B">
        <w:rPr>
          <w:rFonts w:ascii="Times New Roman" w:hAnsi="Times New Roman" w:cs="Times New Roman"/>
          <w:b/>
          <w:color w:val="000000" w:themeColor="text1"/>
        </w:rPr>
        <w:t xml:space="preserve"> – kontrole interwencyjne wszczęte w związku z podejrzeniem popełnienia przestępstwa i wykroczenia przeciwko środowisku</w:t>
      </w:r>
    </w:p>
    <w:tbl>
      <w:tblPr>
        <w:tblW w:w="39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56"/>
        <w:gridCol w:w="1919"/>
      </w:tblGrid>
      <w:tr w:rsidR="00255C00" w:rsidRPr="00255C00" w14:paraId="56CF1A72" w14:textId="77777777" w:rsidTr="0058129B">
        <w:trPr>
          <w:jc w:val="center"/>
        </w:trPr>
        <w:tc>
          <w:tcPr>
            <w:tcW w:w="2056" w:type="dxa"/>
            <w:tcBorders>
              <w:top w:val="single" w:sz="4" w:space="0" w:color="000000"/>
              <w:left w:val="single" w:sz="4" w:space="0" w:color="000000"/>
              <w:bottom w:val="single" w:sz="4" w:space="0" w:color="000000"/>
              <w:right w:val="single" w:sz="4" w:space="0" w:color="000000"/>
            </w:tcBorders>
          </w:tcPr>
          <w:p w14:paraId="217B7792" w14:textId="77777777" w:rsidR="00255C00" w:rsidRPr="00255C00" w:rsidRDefault="00255C00" w:rsidP="00255C00">
            <w:pPr>
              <w:pStyle w:val="Akapitzlist"/>
              <w:spacing w:line="300" w:lineRule="atLeast"/>
              <w:ind w:left="0"/>
              <w:jc w:val="both"/>
              <w:rPr>
                <w:sz w:val="24"/>
                <w:szCs w:val="24"/>
              </w:rPr>
            </w:pPr>
          </w:p>
        </w:tc>
        <w:tc>
          <w:tcPr>
            <w:tcW w:w="1919" w:type="dxa"/>
            <w:tcBorders>
              <w:top w:val="single" w:sz="4" w:space="0" w:color="000000"/>
              <w:left w:val="single" w:sz="4" w:space="0" w:color="000000"/>
              <w:bottom w:val="single" w:sz="4" w:space="0" w:color="000000"/>
              <w:right w:val="single" w:sz="4" w:space="0" w:color="auto"/>
            </w:tcBorders>
            <w:hideMark/>
          </w:tcPr>
          <w:p w14:paraId="18A6EC97" w14:textId="77777777" w:rsidR="00255C00" w:rsidRPr="00255C00" w:rsidRDefault="00255C00" w:rsidP="00255C00">
            <w:pPr>
              <w:pStyle w:val="Akapitzlist"/>
              <w:spacing w:line="300" w:lineRule="atLeast"/>
              <w:ind w:left="0"/>
              <w:jc w:val="center"/>
              <w:rPr>
                <w:sz w:val="24"/>
                <w:szCs w:val="24"/>
              </w:rPr>
            </w:pPr>
            <w:r w:rsidRPr="00255C00">
              <w:rPr>
                <w:sz w:val="24"/>
                <w:szCs w:val="24"/>
              </w:rPr>
              <w:t>kontrole interwencyjne</w:t>
            </w:r>
          </w:p>
        </w:tc>
      </w:tr>
      <w:tr w:rsidR="00255C00" w:rsidRPr="00255C00" w14:paraId="7C4840A1" w14:textId="77777777" w:rsidTr="0058129B">
        <w:trPr>
          <w:jc w:val="center"/>
        </w:trPr>
        <w:tc>
          <w:tcPr>
            <w:tcW w:w="2056" w:type="dxa"/>
            <w:tcBorders>
              <w:top w:val="single" w:sz="4" w:space="0" w:color="000000"/>
              <w:left w:val="single" w:sz="4" w:space="0" w:color="000000"/>
              <w:bottom w:val="single" w:sz="4" w:space="0" w:color="000000"/>
              <w:right w:val="single" w:sz="4" w:space="0" w:color="000000"/>
            </w:tcBorders>
            <w:hideMark/>
          </w:tcPr>
          <w:p w14:paraId="62366D17" w14:textId="77777777" w:rsidR="00255C00" w:rsidRPr="00255C00" w:rsidRDefault="00255C00" w:rsidP="00255C00">
            <w:pPr>
              <w:pStyle w:val="Akapitzlist"/>
              <w:spacing w:line="300" w:lineRule="atLeast"/>
              <w:ind w:left="0"/>
              <w:jc w:val="both"/>
              <w:rPr>
                <w:sz w:val="24"/>
                <w:szCs w:val="24"/>
              </w:rPr>
            </w:pPr>
            <w:r w:rsidRPr="00255C00">
              <w:rPr>
                <w:sz w:val="24"/>
                <w:szCs w:val="24"/>
              </w:rPr>
              <w:t>Ciechanów</w:t>
            </w:r>
          </w:p>
        </w:tc>
        <w:tc>
          <w:tcPr>
            <w:tcW w:w="1919" w:type="dxa"/>
            <w:tcBorders>
              <w:top w:val="single" w:sz="4" w:space="0" w:color="000000"/>
              <w:left w:val="single" w:sz="4" w:space="0" w:color="000000"/>
              <w:bottom w:val="single" w:sz="4" w:space="0" w:color="000000"/>
              <w:right w:val="single" w:sz="4" w:space="0" w:color="auto"/>
            </w:tcBorders>
            <w:hideMark/>
          </w:tcPr>
          <w:p w14:paraId="5D03F7DA" w14:textId="77777777" w:rsidR="00255C00" w:rsidRPr="00255C00" w:rsidRDefault="00255C00" w:rsidP="00255C00">
            <w:pPr>
              <w:pStyle w:val="Akapitzlist"/>
              <w:spacing w:line="300" w:lineRule="atLeast"/>
              <w:ind w:left="0"/>
              <w:jc w:val="center"/>
              <w:rPr>
                <w:sz w:val="24"/>
                <w:szCs w:val="24"/>
              </w:rPr>
            </w:pPr>
            <w:r w:rsidRPr="00255C00">
              <w:rPr>
                <w:sz w:val="24"/>
                <w:szCs w:val="24"/>
              </w:rPr>
              <w:t>24</w:t>
            </w:r>
          </w:p>
        </w:tc>
      </w:tr>
      <w:tr w:rsidR="00255C00" w:rsidRPr="00255C00" w14:paraId="0370C538" w14:textId="77777777" w:rsidTr="0058129B">
        <w:trPr>
          <w:jc w:val="center"/>
        </w:trPr>
        <w:tc>
          <w:tcPr>
            <w:tcW w:w="2056" w:type="dxa"/>
            <w:tcBorders>
              <w:top w:val="single" w:sz="4" w:space="0" w:color="000000"/>
              <w:left w:val="single" w:sz="4" w:space="0" w:color="000000"/>
              <w:bottom w:val="single" w:sz="4" w:space="0" w:color="000000"/>
              <w:right w:val="single" w:sz="4" w:space="0" w:color="000000"/>
            </w:tcBorders>
            <w:hideMark/>
          </w:tcPr>
          <w:p w14:paraId="7AE469E7" w14:textId="77777777" w:rsidR="00255C00" w:rsidRPr="00255C00" w:rsidRDefault="00255C00" w:rsidP="00255C00">
            <w:pPr>
              <w:pStyle w:val="Akapitzlist"/>
              <w:spacing w:line="300" w:lineRule="atLeast"/>
              <w:ind w:left="0"/>
              <w:jc w:val="both"/>
              <w:rPr>
                <w:sz w:val="24"/>
                <w:szCs w:val="24"/>
              </w:rPr>
            </w:pPr>
            <w:r w:rsidRPr="00255C00">
              <w:rPr>
                <w:sz w:val="24"/>
                <w:szCs w:val="24"/>
              </w:rPr>
              <w:t>Mińsk Mazowiecki</w:t>
            </w:r>
          </w:p>
        </w:tc>
        <w:tc>
          <w:tcPr>
            <w:tcW w:w="1919" w:type="dxa"/>
            <w:tcBorders>
              <w:top w:val="single" w:sz="4" w:space="0" w:color="000000"/>
              <w:left w:val="single" w:sz="4" w:space="0" w:color="000000"/>
              <w:bottom w:val="single" w:sz="4" w:space="0" w:color="000000"/>
              <w:right w:val="single" w:sz="4" w:space="0" w:color="auto"/>
            </w:tcBorders>
            <w:hideMark/>
          </w:tcPr>
          <w:p w14:paraId="27BFC838" w14:textId="77777777" w:rsidR="00255C00" w:rsidRPr="00255C00" w:rsidRDefault="00255C00" w:rsidP="00255C00">
            <w:pPr>
              <w:pStyle w:val="Akapitzlist"/>
              <w:spacing w:line="300" w:lineRule="atLeast"/>
              <w:ind w:left="0"/>
              <w:jc w:val="center"/>
              <w:rPr>
                <w:sz w:val="24"/>
                <w:szCs w:val="24"/>
              </w:rPr>
            </w:pPr>
            <w:r w:rsidRPr="00255C00">
              <w:rPr>
                <w:sz w:val="24"/>
                <w:szCs w:val="24"/>
              </w:rPr>
              <w:t>8</w:t>
            </w:r>
          </w:p>
        </w:tc>
      </w:tr>
      <w:tr w:rsidR="00255C00" w:rsidRPr="00255C00" w14:paraId="5CC9994D" w14:textId="77777777" w:rsidTr="0058129B">
        <w:trPr>
          <w:jc w:val="center"/>
        </w:trPr>
        <w:tc>
          <w:tcPr>
            <w:tcW w:w="2056" w:type="dxa"/>
            <w:tcBorders>
              <w:top w:val="single" w:sz="4" w:space="0" w:color="000000"/>
              <w:left w:val="single" w:sz="4" w:space="0" w:color="000000"/>
              <w:bottom w:val="single" w:sz="4" w:space="0" w:color="000000"/>
              <w:right w:val="single" w:sz="4" w:space="0" w:color="000000"/>
            </w:tcBorders>
            <w:hideMark/>
          </w:tcPr>
          <w:p w14:paraId="184AA3A7" w14:textId="77777777" w:rsidR="00255C00" w:rsidRPr="00255C00" w:rsidRDefault="00255C00" w:rsidP="00255C00">
            <w:pPr>
              <w:pStyle w:val="Akapitzlist"/>
              <w:spacing w:line="300" w:lineRule="atLeast"/>
              <w:ind w:left="0"/>
              <w:jc w:val="both"/>
              <w:rPr>
                <w:sz w:val="24"/>
                <w:szCs w:val="24"/>
              </w:rPr>
            </w:pPr>
            <w:r w:rsidRPr="00255C00">
              <w:rPr>
                <w:sz w:val="24"/>
                <w:szCs w:val="24"/>
              </w:rPr>
              <w:t>Ostrołęka</w:t>
            </w:r>
          </w:p>
        </w:tc>
        <w:tc>
          <w:tcPr>
            <w:tcW w:w="1919" w:type="dxa"/>
            <w:tcBorders>
              <w:top w:val="single" w:sz="4" w:space="0" w:color="000000"/>
              <w:left w:val="single" w:sz="4" w:space="0" w:color="000000"/>
              <w:bottom w:val="single" w:sz="4" w:space="0" w:color="000000"/>
              <w:right w:val="single" w:sz="4" w:space="0" w:color="auto"/>
            </w:tcBorders>
            <w:hideMark/>
          </w:tcPr>
          <w:p w14:paraId="0274FAE3" w14:textId="77777777" w:rsidR="00255C00" w:rsidRPr="00255C00" w:rsidRDefault="00255C00" w:rsidP="00255C00">
            <w:pPr>
              <w:pStyle w:val="Akapitzlist"/>
              <w:spacing w:line="300" w:lineRule="atLeast"/>
              <w:ind w:left="0"/>
              <w:jc w:val="center"/>
              <w:rPr>
                <w:sz w:val="24"/>
                <w:szCs w:val="24"/>
              </w:rPr>
            </w:pPr>
            <w:r w:rsidRPr="00255C00">
              <w:rPr>
                <w:sz w:val="24"/>
                <w:szCs w:val="24"/>
              </w:rPr>
              <w:t>21</w:t>
            </w:r>
          </w:p>
        </w:tc>
      </w:tr>
      <w:tr w:rsidR="00255C00" w:rsidRPr="00255C00" w14:paraId="3F12E72C" w14:textId="77777777" w:rsidTr="0058129B">
        <w:trPr>
          <w:jc w:val="center"/>
        </w:trPr>
        <w:tc>
          <w:tcPr>
            <w:tcW w:w="2056" w:type="dxa"/>
            <w:tcBorders>
              <w:top w:val="single" w:sz="4" w:space="0" w:color="000000"/>
              <w:left w:val="single" w:sz="4" w:space="0" w:color="000000"/>
              <w:bottom w:val="single" w:sz="4" w:space="0" w:color="000000"/>
              <w:right w:val="single" w:sz="4" w:space="0" w:color="000000"/>
            </w:tcBorders>
            <w:hideMark/>
          </w:tcPr>
          <w:p w14:paraId="3D0AF9B7" w14:textId="77777777" w:rsidR="00255C00" w:rsidRPr="00255C00" w:rsidRDefault="00255C00" w:rsidP="00255C00">
            <w:pPr>
              <w:pStyle w:val="Akapitzlist"/>
              <w:spacing w:line="300" w:lineRule="atLeast"/>
              <w:ind w:left="0"/>
              <w:jc w:val="both"/>
              <w:rPr>
                <w:sz w:val="24"/>
                <w:szCs w:val="24"/>
              </w:rPr>
            </w:pPr>
            <w:r w:rsidRPr="00255C00">
              <w:rPr>
                <w:sz w:val="24"/>
                <w:szCs w:val="24"/>
              </w:rPr>
              <w:t>Płock</w:t>
            </w:r>
          </w:p>
        </w:tc>
        <w:tc>
          <w:tcPr>
            <w:tcW w:w="1919" w:type="dxa"/>
            <w:tcBorders>
              <w:top w:val="single" w:sz="4" w:space="0" w:color="000000"/>
              <w:left w:val="single" w:sz="4" w:space="0" w:color="000000"/>
              <w:bottom w:val="single" w:sz="4" w:space="0" w:color="000000"/>
              <w:right w:val="single" w:sz="4" w:space="0" w:color="auto"/>
            </w:tcBorders>
            <w:hideMark/>
          </w:tcPr>
          <w:p w14:paraId="691AAAAF" w14:textId="77777777" w:rsidR="00255C00" w:rsidRPr="00255C00" w:rsidRDefault="00255C00" w:rsidP="00255C00">
            <w:pPr>
              <w:pStyle w:val="Akapitzlist"/>
              <w:spacing w:line="300" w:lineRule="atLeast"/>
              <w:ind w:left="0"/>
              <w:jc w:val="center"/>
              <w:rPr>
                <w:sz w:val="24"/>
                <w:szCs w:val="24"/>
              </w:rPr>
            </w:pPr>
            <w:r w:rsidRPr="00255C00">
              <w:rPr>
                <w:sz w:val="24"/>
                <w:szCs w:val="24"/>
              </w:rPr>
              <w:t>53</w:t>
            </w:r>
          </w:p>
        </w:tc>
      </w:tr>
      <w:tr w:rsidR="00255C00" w:rsidRPr="00255C00" w14:paraId="344A76BA" w14:textId="77777777" w:rsidTr="0058129B">
        <w:trPr>
          <w:jc w:val="center"/>
        </w:trPr>
        <w:tc>
          <w:tcPr>
            <w:tcW w:w="2056" w:type="dxa"/>
            <w:tcBorders>
              <w:top w:val="single" w:sz="4" w:space="0" w:color="000000"/>
              <w:left w:val="single" w:sz="4" w:space="0" w:color="000000"/>
              <w:bottom w:val="single" w:sz="4" w:space="0" w:color="000000"/>
              <w:right w:val="single" w:sz="4" w:space="0" w:color="000000"/>
            </w:tcBorders>
            <w:hideMark/>
          </w:tcPr>
          <w:p w14:paraId="533B5687" w14:textId="77777777" w:rsidR="00255C00" w:rsidRPr="00255C00" w:rsidRDefault="00255C00" w:rsidP="00255C00">
            <w:pPr>
              <w:pStyle w:val="Akapitzlist"/>
              <w:spacing w:line="300" w:lineRule="atLeast"/>
              <w:ind w:left="0"/>
              <w:jc w:val="both"/>
              <w:rPr>
                <w:sz w:val="24"/>
                <w:szCs w:val="24"/>
              </w:rPr>
            </w:pPr>
            <w:r w:rsidRPr="00255C00">
              <w:rPr>
                <w:sz w:val="24"/>
                <w:szCs w:val="24"/>
              </w:rPr>
              <w:t>Radom</w:t>
            </w:r>
          </w:p>
        </w:tc>
        <w:tc>
          <w:tcPr>
            <w:tcW w:w="1919" w:type="dxa"/>
            <w:tcBorders>
              <w:top w:val="single" w:sz="4" w:space="0" w:color="000000"/>
              <w:left w:val="single" w:sz="4" w:space="0" w:color="000000"/>
              <w:bottom w:val="single" w:sz="4" w:space="0" w:color="000000"/>
              <w:right w:val="single" w:sz="4" w:space="0" w:color="auto"/>
            </w:tcBorders>
            <w:hideMark/>
          </w:tcPr>
          <w:p w14:paraId="26736730" w14:textId="77777777" w:rsidR="00255C00" w:rsidRPr="00255C00" w:rsidRDefault="00255C00" w:rsidP="00255C00">
            <w:pPr>
              <w:pStyle w:val="Akapitzlist"/>
              <w:spacing w:line="300" w:lineRule="atLeast"/>
              <w:ind w:left="0"/>
              <w:jc w:val="center"/>
              <w:rPr>
                <w:sz w:val="24"/>
                <w:szCs w:val="24"/>
              </w:rPr>
            </w:pPr>
            <w:r w:rsidRPr="00255C00">
              <w:rPr>
                <w:sz w:val="24"/>
                <w:szCs w:val="24"/>
              </w:rPr>
              <w:t>4</w:t>
            </w:r>
          </w:p>
        </w:tc>
      </w:tr>
      <w:tr w:rsidR="00255C00" w:rsidRPr="00255C00" w14:paraId="6C57E433" w14:textId="77777777" w:rsidTr="0058129B">
        <w:trPr>
          <w:jc w:val="center"/>
        </w:trPr>
        <w:tc>
          <w:tcPr>
            <w:tcW w:w="2056" w:type="dxa"/>
            <w:tcBorders>
              <w:top w:val="single" w:sz="4" w:space="0" w:color="000000"/>
              <w:left w:val="single" w:sz="4" w:space="0" w:color="000000"/>
              <w:bottom w:val="single" w:sz="4" w:space="0" w:color="000000"/>
              <w:right w:val="single" w:sz="4" w:space="0" w:color="000000"/>
            </w:tcBorders>
            <w:hideMark/>
          </w:tcPr>
          <w:p w14:paraId="27B992B1" w14:textId="77777777" w:rsidR="00255C00" w:rsidRPr="00255C00" w:rsidRDefault="00255C00" w:rsidP="00255C00">
            <w:pPr>
              <w:pStyle w:val="Akapitzlist"/>
              <w:spacing w:line="300" w:lineRule="atLeast"/>
              <w:ind w:left="0"/>
              <w:jc w:val="both"/>
              <w:rPr>
                <w:sz w:val="24"/>
                <w:szCs w:val="24"/>
              </w:rPr>
            </w:pPr>
            <w:r w:rsidRPr="00255C00">
              <w:rPr>
                <w:sz w:val="24"/>
                <w:szCs w:val="24"/>
              </w:rPr>
              <w:t>Warszawa</w:t>
            </w:r>
          </w:p>
        </w:tc>
        <w:tc>
          <w:tcPr>
            <w:tcW w:w="1919" w:type="dxa"/>
            <w:tcBorders>
              <w:top w:val="single" w:sz="4" w:space="0" w:color="000000"/>
              <w:left w:val="single" w:sz="4" w:space="0" w:color="000000"/>
              <w:bottom w:val="single" w:sz="4" w:space="0" w:color="000000"/>
              <w:right w:val="single" w:sz="4" w:space="0" w:color="auto"/>
            </w:tcBorders>
            <w:hideMark/>
          </w:tcPr>
          <w:p w14:paraId="153D50F8" w14:textId="77777777" w:rsidR="00255C00" w:rsidRPr="00255C00" w:rsidRDefault="00255C00" w:rsidP="00255C00">
            <w:pPr>
              <w:pStyle w:val="Akapitzlist"/>
              <w:spacing w:line="300" w:lineRule="atLeast"/>
              <w:ind w:left="0"/>
              <w:jc w:val="center"/>
              <w:rPr>
                <w:sz w:val="24"/>
                <w:szCs w:val="24"/>
              </w:rPr>
            </w:pPr>
            <w:r w:rsidRPr="00255C00">
              <w:rPr>
                <w:sz w:val="24"/>
                <w:szCs w:val="24"/>
              </w:rPr>
              <w:t>3</w:t>
            </w:r>
          </w:p>
        </w:tc>
      </w:tr>
      <w:tr w:rsidR="00255C00" w:rsidRPr="00255C00" w14:paraId="3094A5FB" w14:textId="77777777" w:rsidTr="0058129B">
        <w:trPr>
          <w:jc w:val="center"/>
        </w:trPr>
        <w:tc>
          <w:tcPr>
            <w:tcW w:w="2056" w:type="dxa"/>
            <w:tcBorders>
              <w:top w:val="single" w:sz="4" w:space="0" w:color="000000"/>
              <w:left w:val="single" w:sz="4" w:space="0" w:color="000000"/>
              <w:bottom w:val="single" w:sz="4" w:space="0" w:color="000000"/>
              <w:right w:val="single" w:sz="4" w:space="0" w:color="000000"/>
            </w:tcBorders>
            <w:hideMark/>
          </w:tcPr>
          <w:p w14:paraId="02DA7BE1" w14:textId="77777777" w:rsidR="00255C00" w:rsidRPr="00255C00" w:rsidRDefault="00255C00" w:rsidP="00255C00">
            <w:pPr>
              <w:pStyle w:val="Akapitzlist"/>
              <w:spacing w:line="300" w:lineRule="atLeast"/>
              <w:ind w:left="0"/>
              <w:jc w:val="both"/>
              <w:rPr>
                <w:b/>
                <w:bCs/>
                <w:sz w:val="24"/>
                <w:szCs w:val="24"/>
              </w:rPr>
            </w:pPr>
            <w:r w:rsidRPr="00255C00">
              <w:rPr>
                <w:b/>
                <w:bCs/>
                <w:sz w:val="24"/>
                <w:szCs w:val="24"/>
              </w:rPr>
              <w:t>Razem</w:t>
            </w:r>
          </w:p>
        </w:tc>
        <w:tc>
          <w:tcPr>
            <w:tcW w:w="1919" w:type="dxa"/>
            <w:tcBorders>
              <w:top w:val="single" w:sz="4" w:space="0" w:color="000000"/>
              <w:left w:val="single" w:sz="4" w:space="0" w:color="000000"/>
              <w:bottom w:val="single" w:sz="4" w:space="0" w:color="000000"/>
              <w:right w:val="single" w:sz="4" w:space="0" w:color="auto"/>
            </w:tcBorders>
            <w:hideMark/>
          </w:tcPr>
          <w:p w14:paraId="12CF2A40" w14:textId="77777777" w:rsidR="00255C00" w:rsidRPr="00255C00" w:rsidRDefault="00255C00" w:rsidP="00255C00">
            <w:pPr>
              <w:pStyle w:val="Akapitzlist"/>
              <w:spacing w:line="300" w:lineRule="atLeast"/>
              <w:ind w:left="0"/>
              <w:jc w:val="center"/>
              <w:rPr>
                <w:b/>
                <w:bCs/>
                <w:sz w:val="24"/>
                <w:szCs w:val="24"/>
              </w:rPr>
            </w:pPr>
            <w:r w:rsidRPr="00255C00">
              <w:rPr>
                <w:b/>
                <w:bCs/>
                <w:sz w:val="24"/>
                <w:szCs w:val="24"/>
              </w:rPr>
              <w:t>113</w:t>
            </w:r>
          </w:p>
        </w:tc>
      </w:tr>
    </w:tbl>
    <w:p w14:paraId="51B058A9" w14:textId="77777777" w:rsidR="00255C00" w:rsidRPr="00255C00" w:rsidRDefault="00255C00" w:rsidP="00255C00">
      <w:pPr>
        <w:spacing w:line="300" w:lineRule="atLeast"/>
        <w:contextualSpacing/>
        <w:jc w:val="both"/>
        <w:rPr>
          <w:rFonts w:ascii="Times New Roman" w:hAnsi="Times New Roman" w:cs="Times New Roman"/>
          <w:i/>
          <w:color w:val="4472C4"/>
          <w:sz w:val="24"/>
          <w:szCs w:val="24"/>
        </w:rPr>
      </w:pPr>
    </w:p>
    <w:p w14:paraId="75463A5C" w14:textId="77777777" w:rsidR="00255C00" w:rsidRPr="00255C00" w:rsidRDefault="00255C00" w:rsidP="0058129B">
      <w:pPr>
        <w:spacing w:after="60" w:line="300" w:lineRule="atLeast"/>
        <w:rPr>
          <w:rFonts w:ascii="Times New Roman" w:hAnsi="Times New Roman" w:cs="Times New Roman"/>
          <w:i/>
          <w:color w:val="4472C4"/>
          <w:sz w:val="24"/>
          <w:szCs w:val="24"/>
        </w:rPr>
      </w:pPr>
      <w:r w:rsidRPr="00255C00">
        <w:rPr>
          <w:rFonts w:ascii="Times New Roman" w:hAnsi="Times New Roman" w:cs="Times New Roman"/>
          <w:i/>
          <w:color w:val="4472C4"/>
          <w:sz w:val="24"/>
          <w:szCs w:val="24"/>
        </w:rPr>
        <w:t>Wojewódzki Inspektorat Ochrony Środowiska we Wrocławiu</w:t>
      </w:r>
    </w:p>
    <w:p w14:paraId="2239DC00" w14:textId="77777777" w:rsidR="00255C00" w:rsidRPr="00255C00" w:rsidRDefault="00255C00" w:rsidP="0058129B">
      <w:pPr>
        <w:spacing w:after="60" w:line="300" w:lineRule="atLeast"/>
        <w:jc w:val="both"/>
        <w:rPr>
          <w:rFonts w:ascii="Times New Roman" w:hAnsi="Times New Roman" w:cs="Times New Roman"/>
          <w:sz w:val="24"/>
          <w:szCs w:val="24"/>
          <w:u w:val="single"/>
        </w:rPr>
      </w:pPr>
      <w:r w:rsidRPr="00255C00">
        <w:rPr>
          <w:rFonts w:ascii="Times New Roman" w:hAnsi="Times New Roman" w:cs="Times New Roman"/>
          <w:sz w:val="24"/>
          <w:szCs w:val="24"/>
          <w:u w:val="single"/>
        </w:rPr>
        <w:t>Wydział/Działy Inspekcji:</w:t>
      </w:r>
    </w:p>
    <w:p w14:paraId="20B9BA27" w14:textId="77777777" w:rsidR="00255C00" w:rsidRPr="00255C00" w:rsidRDefault="00255C00" w:rsidP="0058129B">
      <w:pPr>
        <w:spacing w:line="300" w:lineRule="atLeast"/>
        <w:ind w:firstLine="567"/>
        <w:contextualSpacing/>
        <w:jc w:val="both"/>
        <w:rPr>
          <w:rFonts w:ascii="Times New Roman" w:hAnsi="Times New Roman" w:cs="Times New Roman"/>
          <w:sz w:val="24"/>
          <w:szCs w:val="24"/>
        </w:rPr>
      </w:pPr>
      <w:r w:rsidRPr="00255C00">
        <w:rPr>
          <w:rFonts w:ascii="Times New Roman" w:hAnsi="Times New Roman" w:cs="Times New Roman"/>
          <w:sz w:val="24"/>
          <w:szCs w:val="24"/>
        </w:rPr>
        <w:t xml:space="preserve">W 2022 r. </w:t>
      </w:r>
      <w:r w:rsidRPr="00255C00">
        <w:rPr>
          <w:rFonts w:ascii="Times New Roman" w:eastAsia="Calibri" w:hAnsi="Times New Roman" w:cs="Times New Roman"/>
          <w:sz w:val="24"/>
          <w:szCs w:val="24"/>
        </w:rPr>
        <w:t xml:space="preserve">inspektorzy Wydziału/Działów Inspekcji </w:t>
      </w:r>
      <w:r w:rsidRPr="00255C00">
        <w:rPr>
          <w:rFonts w:ascii="Times New Roman" w:hAnsi="Times New Roman" w:cs="Times New Roman"/>
          <w:sz w:val="24"/>
          <w:szCs w:val="24"/>
        </w:rPr>
        <w:t xml:space="preserve">przeprowadzili łącznie 115 kontroli interwencyjnych realizowanych w związku z podejrzeniem popełnienia przestępstwa lub wykroczenia przeciwko środowisku (w 2021 r. było ich 90). </w:t>
      </w:r>
    </w:p>
    <w:p w14:paraId="10272EF5" w14:textId="77777777" w:rsidR="00255C00" w:rsidRPr="00255C00" w:rsidRDefault="00255C00" w:rsidP="00255C00">
      <w:pPr>
        <w:spacing w:line="300" w:lineRule="atLeast"/>
        <w:contextualSpacing/>
        <w:rPr>
          <w:rFonts w:ascii="Times New Roman" w:hAnsi="Times New Roman" w:cs="Times New Roman"/>
          <w:i/>
          <w:color w:val="4472C4"/>
          <w:sz w:val="24"/>
          <w:szCs w:val="24"/>
        </w:rPr>
      </w:pPr>
    </w:p>
    <w:p w14:paraId="4A4116BD" w14:textId="77777777" w:rsidR="00255C00" w:rsidRPr="00255C00" w:rsidRDefault="00255C00" w:rsidP="0058129B">
      <w:pPr>
        <w:spacing w:after="60" w:line="300" w:lineRule="atLeast"/>
        <w:rPr>
          <w:rFonts w:ascii="Times New Roman" w:hAnsi="Times New Roman" w:cs="Times New Roman"/>
          <w:i/>
          <w:color w:val="4472C4"/>
          <w:sz w:val="24"/>
          <w:szCs w:val="24"/>
        </w:rPr>
      </w:pPr>
      <w:r w:rsidRPr="00255C00">
        <w:rPr>
          <w:rFonts w:ascii="Times New Roman" w:hAnsi="Times New Roman" w:cs="Times New Roman"/>
          <w:i/>
          <w:color w:val="4472C4"/>
          <w:sz w:val="24"/>
          <w:szCs w:val="24"/>
        </w:rPr>
        <w:t>Wojewódzki Inspektorat Ochrony Środowiska w Zielonej Górze</w:t>
      </w:r>
    </w:p>
    <w:p w14:paraId="21F994C1" w14:textId="3E12312B" w:rsidR="00A22034" w:rsidRPr="0043140D" w:rsidRDefault="00255C00" w:rsidP="0043140D">
      <w:pPr>
        <w:spacing w:after="0" w:line="300" w:lineRule="atLeast"/>
        <w:jc w:val="both"/>
        <w:rPr>
          <w:rFonts w:ascii="Times New Roman" w:hAnsi="Times New Roman" w:cs="Times New Roman"/>
          <w:color w:val="000000"/>
          <w:sz w:val="24"/>
          <w:szCs w:val="24"/>
        </w:rPr>
      </w:pPr>
      <w:r w:rsidRPr="0043140D">
        <w:rPr>
          <w:rFonts w:ascii="Times New Roman" w:hAnsi="Times New Roman" w:cs="Times New Roman"/>
          <w:sz w:val="24"/>
          <w:szCs w:val="24"/>
        </w:rPr>
        <w:t>10 kontroli interwencyjnych w okresie 6 miesięcy 2022 roku</w:t>
      </w:r>
      <w:r w:rsidR="00A22034" w:rsidRPr="0043140D">
        <w:rPr>
          <w:rFonts w:ascii="Times New Roman" w:hAnsi="Times New Roman" w:cs="Times New Roman"/>
          <w:color w:val="000000"/>
          <w:sz w:val="24"/>
          <w:szCs w:val="24"/>
        </w:rPr>
        <w:t>.</w:t>
      </w:r>
      <w:r w:rsidR="004966BE" w:rsidRPr="0043140D">
        <w:rPr>
          <w:rFonts w:ascii="Times New Roman" w:hAnsi="Times New Roman" w:cs="Times New Roman"/>
          <w:color w:val="000000"/>
          <w:sz w:val="24"/>
          <w:szCs w:val="24"/>
        </w:rPr>
        <w:t xml:space="preserve"> </w:t>
      </w:r>
    </w:p>
    <w:p w14:paraId="7ECC7AAA" w14:textId="77777777" w:rsidR="00A22034" w:rsidRPr="007F400A" w:rsidRDefault="00A22034" w:rsidP="00A22034">
      <w:pPr>
        <w:pStyle w:val="Akapitzlist"/>
        <w:spacing w:after="120" w:line="300" w:lineRule="atLeast"/>
        <w:ind w:left="0"/>
        <w:jc w:val="both"/>
        <w:rPr>
          <w:b/>
          <w:color w:val="000000"/>
          <w:sz w:val="24"/>
          <w:szCs w:val="24"/>
        </w:rPr>
      </w:pPr>
    </w:p>
    <w:p w14:paraId="058AC1B3" w14:textId="77777777" w:rsidR="00A22034" w:rsidRPr="007F400A" w:rsidRDefault="00A22034" w:rsidP="00D34F97">
      <w:pPr>
        <w:pStyle w:val="Akapitzlist"/>
        <w:numPr>
          <w:ilvl w:val="1"/>
          <w:numId w:val="148"/>
        </w:numPr>
        <w:spacing w:after="120" w:line="300" w:lineRule="atLeast"/>
        <w:ind w:left="0" w:firstLine="0"/>
        <w:contextualSpacing w:val="0"/>
        <w:jc w:val="both"/>
        <w:outlineLvl w:val="0"/>
        <w:rPr>
          <w:b/>
          <w:color w:val="000000" w:themeColor="text1"/>
          <w:sz w:val="24"/>
          <w:szCs w:val="24"/>
          <w:u w:val="single"/>
        </w:rPr>
      </w:pPr>
      <w:bookmarkStart w:id="334" w:name="_Toc99469619"/>
      <w:bookmarkStart w:id="335" w:name="_Toc135935681"/>
      <w:r w:rsidRPr="007F400A">
        <w:rPr>
          <w:rStyle w:val="Nagwek3Znak"/>
          <w:rFonts w:ascii="Times New Roman" w:eastAsia="Calibri" w:hAnsi="Times New Roman"/>
          <w:color w:val="000000" w:themeColor="text1"/>
          <w:sz w:val="24"/>
          <w:szCs w:val="24"/>
        </w:rPr>
        <w:t>Charakterystyka naruszeń stwierdzonych podczas kontroli</w:t>
      </w:r>
      <w:bookmarkEnd w:id="334"/>
      <w:bookmarkEnd w:id="335"/>
    </w:p>
    <w:p w14:paraId="0F870A6D" w14:textId="77777777" w:rsidR="0046120F" w:rsidRPr="0046120F" w:rsidRDefault="0046120F" w:rsidP="00FB6E09">
      <w:pPr>
        <w:spacing w:after="60" w:line="300" w:lineRule="atLeast"/>
        <w:jc w:val="both"/>
        <w:rPr>
          <w:rFonts w:ascii="Times New Roman" w:hAnsi="Times New Roman" w:cs="Times New Roman"/>
          <w:i/>
          <w:color w:val="4472C4"/>
          <w:sz w:val="24"/>
          <w:szCs w:val="24"/>
        </w:rPr>
      </w:pPr>
      <w:r w:rsidRPr="0046120F">
        <w:rPr>
          <w:rFonts w:ascii="Times New Roman" w:hAnsi="Times New Roman" w:cs="Times New Roman"/>
          <w:i/>
          <w:color w:val="4472C4"/>
          <w:sz w:val="24"/>
          <w:szCs w:val="24"/>
        </w:rPr>
        <w:t>Wojewódzki Inspektorat Ochrony Środowiska w Białymstoku</w:t>
      </w:r>
    </w:p>
    <w:p w14:paraId="4AA7B3FD" w14:textId="77777777" w:rsidR="0046120F" w:rsidRPr="0046120F" w:rsidRDefault="0046120F" w:rsidP="00FB6E09">
      <w:pPr>
        <w:spacing w:after="0" w:line="300" w:lineRule="atLeast"/>
        <w:jc w:val="both"/>
        <w:rPr>
          <w:rFonts w:ascii="Times New Roman" w:hAnsi="Times New Roman" w:cs="Times New Roman"/>
          <w:sz w:val="24"/>
          <w:szCs w:val="24"/>
        </w:rPr>
      </w:pPr>
      <w:r w:rsidRPr="0046120F">
        <w:rPr>
          <w:rFonts w:ascii="Times New Roman" w:hAnsi="Times New Roman" w:cs="Times New Roman"/>
          <w:sz w:val="24"/>
          <w:szCs w:val="24"/>
        </w:rPr>
        <w:t>Stwierdzono naruszenia w zakresie:</w:t>
      </w:r>
    </w:p>
    <w:p w14:paraId="1EB0DA30" w14:textId="2B9E5978" w:rsidR="0046120F" w:rsidRPr="00FB6E09" w:rsidRDefault="0046120F" w:rsidP="00D34F97">
      <w:pPr>
        <w:pStyle w:val="Akapitzlist"/>
        <w:numPr>
          <w:ilvl w:val="0"/>
          <w:numId w:val="297"/>
        </w:numPr>
        <w:spacing w:line="300" w:lineRule="atLeast"/>
        <w:ind w:left="641" w:hanging="357"/>
        <w:jc w:val="both"/>
        <w:rPr>
          <w:sz w:val="24"/>
          <w:szCs w:val="24"/>
        </w:rPr>
      </w:pPr>
      <w:r w:rsidRPr="00FB6E09">
        <w:rPr>
          <w:sz w:val="24"/>
          <w:szCs w:val="24"/>
        </w:rPr>
        <w:t xml:space="preserve">prowadzenie nielegalnego demontażu pojazdów (bez wymaganych zezwoleń), </w:t>
      </w:r>
    </w:p>
    <w:p w14:paraId="01AF1EC9" w14:textId="160640DD" w:rsidR="0046120F" w:rsidRPr="00FB6E09" w:rsidRDefault="0046120F" w:rsidP="00D34F97">
      <w:pPr>
        <w:pStyle w:val="Akapitzlist"/>
        <w:numPr>
          <w:ilvl w:val="0"/>
          <w:numId w:val="297"/>
        </w:numPr>
        <w:spacing w:line="300" w:lineRule="atLeast"/>
        <w:ind w:left="641" w:hanging="357"/>
        <w:jc w:val="both"/>
        <w:rPr>
          <w:sz w:val="24"/>
          <w:szCs w:val="24"/>
        </w:rPr>
      </w:pPr>
      <w:r w:rsidRPr="00FB6E09">
        <w:rPr>
          <w:sz w:val="24"/>
          <w:szCs w:val="24"/>
        </w:rPr>
        <w:t>termicznego przekształcania odpadów poza przeznaczonymi do tego celu instalacjami,</w:t>
      </w:r>
    </w:p>
    <w:p w14:paraId="363CB31A" w14:textId="70143679" w:rsidR="0046120F" w:rsidRPr="00FB6E09" w:rsidRDefault="0046120F" w:rsidP="00D34F97">
      <w:pPr>
        <w:pStyle w:val="Akapitzlist"/>
        <w:numPr>
          <w:ilvl w:val="0"/>
          <w:numId w:val="297"/>
        </w:numPr>
        <w:spacing w:line="300" w:lineRule="atLeast"/>
        <w:ind w:left="641" w:hanging="357"/>
        <w:jc w:val="both"/>
        <w:rPr>
          <w:sz w:val="24"/>
          <w:szCs w:val="24"/>
        </w:rPr>
      </w:pPr>
      <w:r w:rsidRPr="00FB6E09">
        <w:rPr>
          <w:sz w:val="24"/>
          <w:szCs w:val="24"/>
        </w:rPr>
        <w:t>nierzetelnego prowadzenia ewidencji odpadów,</w:t>
      </w:r>
    </w:p>
    <w:p w14:paraId="51AFBB1F" w14:textId="4AE86E1B" w:rsidR="0046120F" w:rsidRPr="00FB6E09" w:rsidRDefault="0046120F" w:rsidP="00D34F97">
      <w:pPr>
        <w:pStyle w:val="Akapitzlist"/>
        <w:numPr>
          <w:ilvl w:val="0"/>
          <w:numId w:val="297"/>
        </w:numPr>
        <w:spacing w:line="300" w:lineRule="atLeast"/>
        <w:ind w:left="641" w:hanging="357"/>
        <w:jc w:val="both"/>
        <w:rPr>
          <w:sz w:val="24"/>
          <w:szCs w:val="24"/>
        </w:rPr>
      </w:pPr>
      <w:r w:rsidRPr="00FB6E09">
        <w:rPr>
          <w:sz w:val="24"/>
          <w:szCs w:val="24"/>
        </w:rPr>
        <w:t>transportu odpadów bez wymaganych uregulowań formalnoprawnych,</w:t>
      </w:r>
    </w:p>
    <w:p w14:paraId="5DAA7A76" w14:textId="6E711BAC" w:rsidR="0046120F" w:rsidRPr="00FB6E09" w:rsidRDefault="0046120F" w:rsidP="00D34F97">
      <w:pPr>
        <w:pStyle w:val="Akapitzlist"/>
        <w:numPr>
          <w:ilvl w:val="0"/>
          <w:numId w:val="297"/>
        </w:numPr>
        <w:spacing w:line="300" w:lineRule="atLeast"/>
        <w:ind w:left="641" w:hanging="357"/>
        <w:jc w:val="both"/>
        <w:rPr>
          <w:sz w:val="24"/>
          <w:szCs w:val="24"/>
        </w:rPr>
      </w:pPr>
      <w:r w:rsidRPr="00FB6E09">
        <w:rPr>
          <w:sz w:val="24"/>
          <w:szCs w:val="24"/>
        </w:rPr>
        <w:t>braku spełnienia obowiązku oznakowania środków transportu,</w:t>
      </w:r>
    </w:p>
    <w:p w14:paraId="7028F7C7" w14:textId="13FA0E4F" w:rsidR="0046120F" w:rsidRPr="00FB6E09" w:rsidRDefault="0046120F" w:rsidP="00D34F97">
      <w:pPr>
        <w:pStyle w:val="Akapitzlist"/>
        <w:numPr>
          <w:ilvl w:val="0"/>
          <w:numId w:val="297"/>
        </w:numPr>
        <w:spacing w:line="300" w:lineRule="atLeast"/>
        <w:ind w:left="641" w:hanging="357"/>
        <w:jc w:val="both"/>
        <w:rPr>
          <w:sz w:val="24"/>
          <w:szCs w:val="24"/>
        </w:rPr>
      </w:pPr>
      <w:r w:rsidRPr="00FB6E09">
        <w:rPr>
          <w:sz w:val="24"/>
          <w:szCs w:val="24"/>
        </w:rPr>
        <w:t>niedostarczenia odpadów do miejsca wskazanego w KPO,</w:t>
      </w:r>
    </w:p>
    <w:p w14:paraId="6EB6713F" w14:textId="567AC0A1" w:rsidR="0046120F" w:rsidRPr="00FB6E09" w:rsidRDefault="0046120F" w:rsidP="00D34F97">
      <w:pPr>
        <w:pStyle w:val="Akapitzlist"/>
        <w:numPr>
          <w:ilvl w:val="0"/>
          <w:numId w:val="297"/>
        </w:numPr>
        <w:spacing w:line="300" w:lineRule="atLeast"/>
        <w:ind w:left="641" w:hanging="357"/>
        <w:jc w:val="both"/>
        <w:rPr>
          <w:sz w:val="24"/>
          <w:szCs w:val="24"/>
        </w:rPr>
      </w:pPr>
      <w:r w:rsidRPr="00FB6E09">
        <w:rPr>
          <w:sz w:val="24"/>
          <w:szCs w:val="24"/>
        </w:rPr>
        <w:t>przekazania odpadów nieuprawnionemu podmiotowi,</w:t>
      </w:r>
    </w:p>
    <w:p w14:paraId="682363B6" w14:textId="3BF5AC7B" w:rsidR="0046120F" w:rsidRPr="00FB6E09" w:rsidRDefault="0046120F" w:rsidP="00D34F97">
      <w:pPr>
        <w:pStyle w:val="Akapitzlist"/>
        <w:numPr>
          <w:ilvl w:val="0"/>
          <w:numId w:val="297"/>
        </w:numPr>
        <w:spacing w:line="300" w:lineRule="atLeast"/>
        <w:ind w:left="641" w:hanging="357"/>
        <w:jc w:val="both"/>
        <w:rPr>
          <w:sz w:val="24"/>
          <w:szCs w:val="24"/>
        </w:rPr>
      </w:pPr>
      <w:r w:rsidRPr="00FB6E09">
        <w:rPr>
          <w:sz w:val="24"/>
          <w:szCs w:val="24"/>
        </w:rPr>
        <w:t>przekroczenia wskaźników zanieczyszczeń określonych w pozwoleniu zintegrowanym, dla ścieków oczyszczonych odprowadzanych do rzeki,</w:t>
      </w:r>
    </w:p>
    <w:p w14:paraId="30B537A0" w14:textId="7848650D" w:rsidR="0046120F" w:rsidRPr="00FB6E09" w:rsidRDefault="0046120F" w:rsidP="00D34F97">
      <w:pPr>
        <w:pStyle w:val="Akapitzlist"/>
        <w:numPr>
          <w:ilvl w:val="0"/>
          <w:numId w:val="297"/>
        </w:numPr>
        <w:spacing w:line="300" w:lineRule="atLeast"/>
        <w:ind w:left="641" w:hanging="357"/>
        <w:jc w:val="both"/>
        <w:rPr>
          <w:sz w:val="24"/>
          <w:szCs w:val="24"/>
        </w:rPr>
      </w:pPr>
      <w:r w:rsidRPr="00FB6E09">
        <w:rPr>
          <w:sz w:val="24"/>
          <w:szCs w:val="24"/>
        </w:rPr>
        <w:t>przywozu odpadów złomu żelaza i stali o kodzie B1010 z Niemiec do Polski, wbrew przepisom rozporządzenia WE 1013/2006 z dnia 14 czerwca 2006 r. w sprawie przemieszczania odpadów</w:t>
      </w:r>
      <w:r w:rsidR="000120C8">
        <w:rPr>
          <w:rStyle w:val="Odwoanieprzypisudolnego"/>
          <w:szCs w:val="24"/>
        </w:rPr>
        <w:footnoteReference w:id="62"/>
      </w:r>
      <w:r w:rsidRPr="00FB6E09">
        <w:rPr>
          <w:sz w:val="24"/>
          <w:szCs w:val="24"/>
        </w:rPr>
        <w:t>,</w:t>
      </w:r>
    </w:p>
    <w:p w14:paraId="3323CE4A" w14:textId="07D9D8DB" w:rsidR="0046120F" w:rsidRPr="00FB6E09" w:rsidRDefault="0046120F" w:rsidP="00D34F97">
      <w:pPr>
        <w:pStyle w:val="Akapitzlist"/>
        <w:numPr>
          <w:ilvl w:val="0"/>
          <w:numId w:val="297"/>
        </w:numPr>
        <w:spacing w:line="300" w:lineRule="atLeast"/>
        <w:ind w:left="641" w:hanging="357"/>
        <w:jc w:val="both"/>
        <w:rPr>
          <w:sz w:val="24"/>
          <w:szCs w:val="24"/>
        </w:rPr>
      </w:pPr>
      <w:r w:rsidRPr="00FB6E09">
        <w:rPr>
          <w:sz w:val="24"/>
          <w:szCs w:val="24"/>
        </w:rPr>
        <w:t xml:space="preserve">zbierania i przetwarzania odpadów bez wymaganego zezwolenia.  </w:t>
      </w:r>
    </w:p>
    <w:p w14:paraId="7FADCC90" w14:textId="77777777" w:rsidR="0046120F" w:rsidRPr="0046120F" w:rsidRDefault="0046120F" w:rsidP="0046120F">
      <w:pPr>
        <w:spacing w:line="300" w:lineRule="atLeast"/>
        <w:contextualSpacing/>
        <w:jc w:val="both"/>
        <w:rPr>
          <w:rFonts w:ascii="Times New Roman" w:hAnsi="Times New Roman" w:cs="Times New Roman"/>
          <w:i/>
          <w:color w:val="4472C4"/>
          <w:sz w:val="24"/>
          <w:szCs w:val="24"/>
        </w:rPr>
      </w:pPr>
    </w:p>
    <w:p w14:paraId="498DAECB" w14:textId="77777777" w:rsidR="0046120F" w:rsidRPr="0046120F" w:rsidRDefault="0046120F" w:rsidP="00FB6E09">
      <w:pPr>
        <w:spacing w:after="60" w:line="300" w:lineRule="atLeast"/>
        <w:jc w:val="both"/>
        <w:rPr>
          <w:rFonts w:ascii="Times New Roman" w:hAnsi="Times New Roman" w:cs="Times New Roman"/>
          <w:i/>
          <w:color w:val="4472C4"/>
          <w:sz w:val="24"/>
          <w:szCs w:val="24"/>
        </w:rPr>
      </w:pPr>
      <w:r w:rsidRPr="0046120F">
        <w:rPr>
          <w:rFonts w:ascii="Times New Roman" w:hAnsi="Times New Roman" w:cs="Times New Roman"/>
          <w:i/>
          <w:color w:val="4472C4"/>
          <w:sz w:val="24"/>
          <w:szCs w:val="24"/>
        </w:rPr>
        <w:lastRenderedPageBreak/>
        <w:t>Wojewódzki Inspektorat Ochrony Środowiska w Bydgoszczy</w:t>
      </w:r>
    </w:p>
    <w:p w14:paraId="5B776C99" w14:textId="77777777" w:rsidR="0046120F" w:rsidRPr="0046120F" w:rsidRDefault="0046120F" w:rsidP="0046120F">
      <w:pPr>
        <w:pStyle w:val="Bezodstpw"/>
        <w:spacing w:line="300" w:lineRule="atLeast"/>
        <w:contextualSpacing/>
        <w:jc w:val="both"/>
        <w:rPr>
          <w:rFonts w:ascii="Times New Roman" w:hAnsi="Times New Roman"/>
          <w:sz w:val="24"/>
          <w:szCs w:val="24"/>
        </w:rPr>
      </w:pPr>
      <w:r w:rsidRPr="0046120F">
        <w:rPr>
          <w:rFonts w:ascii="Times New Roman" w:hAnsi="Times New Roman"/>
          <w:sz w:val="24"/>
          <w:szCs w:val="24"/>
        </w:rPr>
        <w:t>Podczas przeprowadzonych kontroli stwierdzono następujące naruszenia:</w:t>
      </w:r>
    </w:p>
    <w:p w14:paraId="0F8E1508" w14:textId="77777777" w:rsidR="0046120F" w:rsidRPr="0046120F" w:rsidRDefault="0046120F" w:rsidP="00D34F97">
      <w:pPr>
        <w:pStyle w:val="Bezodstpw"/>
        <w:numPr>
          <w:ilvl w:val="0"/>
          <w:numId w:val="298"/>
        </w:numPr>
        <w:suppressAutoHyphens/>
        <w:spacing w:line="300" w:lineRule="atLeast"/>
        <w:ind w:left="527" w:hanging="357"/>
        <w:contextualSpacing/>
        <w:jc w:val="both"/>
        <w:rPr>
          <w:rFonts w:ascii="Times New Roman" w:hAnsi="Times New Roman"/>
          <w:sz w:val="24"/>
          <w:szCs w:val="24"/>
        </w:rPr>
      </w:pPr>
      <w:r w:rsidRPr="0046120F">
        <w:rPr>
          <w:rFonts w:ascii="Times New Roman" w:hAnsi="Times New Roman"/>
          <w:sz w:val="24"/>
          <w:szCs w:val="24"/>
        </w:rPr>
        <w:t xml:space="preserve">gospodarka odpadami </w:t>
      </w:r>
    </w:p>
    <w:p w14:paraId="58C99983" w14:textId="77777777" w:rsidR="0046120F" w:rsidRPr="0046120F" w:rsidRDefault="0046120F" w:rsidP="00D34F97">
      <w:pPr>
        <w:numPr>
          <w:ilvl w:val="0"/>
          <w:numId w:val="289"/>
        </w:numPr>
        <w:spacing w:after="0" w:line="300" w:lineRule="atLeast"/>
        <w:ind w:left="568" w:hanging="284"/>
        <w:contextualSpacing/>
        <w:jc w:val="both"/>
        <w:rPr>
          <w:rFonts w:ascii="Times New Roman" w:hAnsi="Times New Roman" w:cs="Times New Roman"/>
          <w:sz w:val="24"/>
          <w:szCs w:val="24"/>
        </w:rPr>
      </w:pPr>
      <w:r w:rsidRPr="0046120F">
        <w:rPr>
          <w:rFonts w:ascii="Times New Roman" w:hAnsi="Times New Roman" w:cs="Times New Roman"/>
          <w:sz w:val="24"/>
          <w:szCs w:val="24"/>
        </w:rPr>
        <w:t>transport odpadów z naruszeniem szczegółowych wymagań określonych dla transportu odpadów,</w:t>
      </w:r>
    </w:p>
    <w:p w14:paraId="49132CFA" w14:textId="4CDCC561" w:rsidR="0046120F" w:rsidRPr="0046120F" w:rsidRDefault="0046120F" w:rsidP="00D34F97">
      <w:pPr>
        <w:numPr>
          <w:ilvl w:val="0"/>
          <w:numId w:val="289"/>
        </w:numPr>
        <w:spacing w:after="0" w:line="300" w:lineRule="atLeast"/>
        <w:ind w:left="568" w:hanging="284"/>
        <w:contextualSpacing/>
        <w:jc w:val="both"/>
        <w:rPr>
          <w:rFonts w:ascii="Times New Roman" w:hAnsi="Times New Roman" w:cs="Times New Roman"/>
          <w:sz w:val="24"/>
          <w:szCs w:val="24"/>
        </w:rPr>
      </w:pPr>
      <w:r w:rsidRPr="0046120F">
        <w:rPr>
          <w:rFonts w:ascii="Times New Roman" w:hAnsi="Times New Roman" w:cs="Times New Roman"/>
          <w:sz w:val="24"/>
          <w:szCs w:val="24"/>
        </w:rPr>
        <w:t>nieprzekazanie transportowanych odpadów do wskazanego w karcie przekazania odpadów posiadacza odpadów, niedostarczenie odpadów do miejsca ich przeznaczenia wskazanego w karcie,</w:t>
      </w:r>
    </w:p>
    <w:p w14:paraId="7FB14C5B" w14:textId="77777777" w:rsidR="0046120F" w:rsidRPr="0046120F" w:rsidRDefault="0046120F" w:rsidP="00D34F97">
      <w:pPr>
        <w:numPr>
          <w:ilvl w:val="0"/>
          <w:numId w:val="289"/>
        </w:numPr>
        <w:spacing w:after="0" w:line="300" w:lineRule="atLeast"/>
        <w:ind w:left="568" w:hanging="284"/>
        <w:contextualSpacing/>
        <w:jc w:val="both"/>
        <w:rPr>
          <w:rFonts w:ascii="Times New Roman" w:hAnsi="Times New Roman" w:cs="Times New Roman"/>
          <w:sz w:val="24"/>
          <w:szCs w:val="24"/>
        </w:rPr>
      </w:pPr>
      <w:r w:rsidRPr="0046120F">
        <w:rPr>
          <w:rFonts w:ascii="Times New Roman" w:hAnsi="Times New Roman" w:cs="Times New Roman"/>
          <w:sz w:val="24"/>
          <w:szCs w:val="24"/>
        </w:rPr>
        <w:t xml:space="preserve">uciążliwość </w:t>
      </w:r>
      <w:proofErr w:type="spellStart"/>
      <w:r w:rsidRPr="0046120F">
        <w:rPr>
          <w:rFonts w:ascii="Times New Roman" w:hAnsi="Times New Roman" w:cs="Times New Roman"/>
          <w:sz w:val="24"/>
          <w:szCs w:val="24"/>
        </w:rPr>
        <w:t>odorowa</w:t>
      </w:r>
      <w:proofErr w:type="spellEnd"/>
      <w:r w:rsidRPr="0046120F">
        <w:rPr>
          <w:rFonts w:ascii="Times New Roman" w:hAnsi="Times New Roman" w:cs="Times New Roman"/>
          <w:sz w:val="24"/>
          <w:szCs w:val="24"/>
        </w:rPr>
        <w:t xml:space="preserve"> wynikająca z eksploatacji składowiska odpadów,</w:t>
      </w:r>
    </w:p>
    <w:p w14:paraId="4FCB4195" w14:textId="77777777" w:rsidR="0046120F" w:rsidRPr="0046120F" w:rsidRDefault="0046120F" w:rsidP="00D34F97">
      <w:pPr>
        <w:numPr>
          <w:ilvl w:val="0"/>
          <w:numId w:val="289"/>
        </w:numPr>
        <w:spacing w:after="0" w:line="300" w:lineRule="atLeast"/>
        <w:ind w:left="568" w:hanging="284"/>
        <w:contextualSpacing/>
        <w:jc w:val="both"/>
        <w:rPr>
          <w:rFonts w:ascii="Times New Roman" w:hAnsi="Times New Roman" w:cs="Times New Roman"/>
          <w:sz w:val="24"/>
          <w:szCs w:val="24"/>
        </w:rPr>
      </w:pPr>
      <w:r w:rsidRPr="0046120F">
        <w:rPr>
          <w:rFonts w:ascii="Times New Roman" w:hAnsi="Times New Roman" w:cs="Times New Roman"/>
          <w:sz w:val="24"/>
          <w:szCs w:val="24"/>
        </w:rPr>
        <w:t xml:space="preserve">zbieranie odpadów bez zezwolenia lub z naruszeniem warunków zezwolenia, </w:t>
      </w:r>
    </w:p>
    <w:p w14:paraId="439FDB27" w14:textId="4C8CFEA4" w:rsidR="0046120F" w:rsidRPr="0046120F" w:rsidRDefault="0046120F" w:rsidP="00D34F97">
      <w:pPr>
        <w:numPr>
          <w:ilvl w:val="0"/>
          <w:numId w:val="289"/>
        </w:numPr>
        <w:spacing w:after="0" w:line="300" w:lineRule="atLeast"/>
        <w:ind w:left="568" w:hanging="284"/>
        <w:contextualSpacing/>
        <w:jc w:val="both"/>
        <w:rPr>
          <w:rFonts w:ascii="Times New Roman" w:hAnsi="Times New Roman" w:cs="Times New Roman"/>
          <w:sz w:val="24"/>
          <w:szCs w:val="24"/>
        </w:rPr>
      </w:pPr>
      <w:r w:rsidRPr="0046120F">
        <w:rPr>
          <w:rFonts w:ascii="Times New Roman" w:hAnsi="Times New Roman" w:cs="Times New Roman"/>
          <w:sz w:val="24"/>
          <w:szCs w:val="24"/>
        </w:rPr>
        <w:t>przetwarzanie odpadów bez zezwolenia lub z naruszeniem warunków zezwolenia</w:t>
      </w:r>
      <w:r w:rsidR="00FB6E09">
        <w:rPr>
          <w:rFonts w:ascii="Times New Roman" w:hAnsi="Times New Roman" w:cs="Times New Roman"/>
          <w:sz w:val="24"/>
          <w:szCs w:val="24"/>
        </w:rPr>
        <w:t>,</w:t>
      </w:r>
    </w:p>
    <w:p w14:paraId="66A741D4" w14:textId="77777777" w:rsidR="0046120F" w:rsidRPr="0046120F" w:rsidRDefault="0046120F" w:rsidP="00D34F97">
      <w:pPr>
        <w:numPr>
          <w:ilvl w:val="0"/>
          <w:numId w:val="289"/>
        </w:numPr>
        <w:spacing w:after="0" w:line="300" w:lineRule="atLeast"/>
        <w:ind w:left="568" w:hanging="284"/>
        <w:contextualSpacing/>
        <w:jc w:val="both"/>
        <w:rPr>
          <w:rFonts w:ascii="Times New Roman" w:hAnsi="Times New Roman" w:cs="Times New Roman"/>
          <w:sz w:val="24"/>
          <w:szCs w:val="24"/>
        </w:rPr>
      </w:pPr>
      <w:r w:rsidRPr="0046120F">
        <w:rPr>
          <w:rFonts w:ascii="Times New Roman" w:hAnsi="Times New Roman" w:cs="Times New Roman"/>
          <w:sz w:val="24"/>
          <w:szCs w:val="24"/>
        </w:rPr>
        <w:t xml:space="preserve">magazynowanie odpadów w miejscu na ten cel nieprzeznaczonym, </w:t>
      </w:r>
    </w:p>
    <w:p w14:paraId="399559FA" w14:textId="77777777" w:rsidR="0046120F" w:rsidRPr="0046120F" w:rsidRDefault="0046120F" w:rsidP="00D34F97">
      <w:pPr>
        <w:numPr>
          <w:ilvl w:val="0"/>
          <w:numId w:val="289"/>
        </w:numPr>
        <w:spacing w:after="0" w:line="300" w:lineRule="atLeast"/>
        <w:ind w:left="568" w:hanging="284"/>
        <w:contextualSpacing/>
        <w:jc w:val="both"/>
        <w:rPr>
          <w:rFonts w:ascii="Times New Roman" w:hAnsi="Times New Roman" w:cs="Times New Roman"/>
          <w:sz w:val="24"/>
          <w:szCs w:val="24"/>
        </w:rPr>
      </w:pPr>
      <w:r w:rsidRPr="0046120F">
        <w:rPr>
          <w:rFonts w:ascii="Times New Roman" w:hAnsi="Times New Roman" w:cs="Times New Roman"/>
          <w:sz w:val="24"/>
          <w:szCs w:val="24"/>
        </w:rPr>
        <w:t>porzucanie odpadów, zakopywanie odpadów</w:t>
      </w:r>
    </w:p>
    <w:p w14:paraId="31A99E3E" w14:textId="77777777" w:rsidR="0046120F" w:rsidRPr="0046120F" w:rsidRDefault="0046120F" w:rsidP="00D34F97">
      <w:pPr>
        <w:numPr>
          <w:ilvl w:val="0"/>
          <w:numId w:val="289"/>
        </w:numPr>
        <w:spacing w:after="0" w:line="300" w:lineRule="atLeast"/>
        <w:ind w:left="568" w:hanging="284"/>
        <w:contextualSpacing/>
        <w:jc w:val="both"/>
        <w:rPr>
          <w:rFonts w:ascii="Times New Roman" w:hAnsi="Times New Roman" w:cs="Times New Roman"/>
          <w:sz w:val="24"/>
          <w:szCs w:val="24"/>
        </w:rPr>
      </w:pPr>
      <w:r w:rsidRPr="0046120F">
        <w:rPr>
          <w:rFonts w:ascii="Times New Roman" w:hAnsi="Times New Roman" w:cs="Times New Roman"/>
          <w:sz w:val="24"/>
          <w:szCs w:val="24"/>
        </w:rPr>
        <w:t>spalanie odpadów,</w:t>
      </w:r>
    </w:p>
    <w:p w14:paraId="532882DE" w14:textId="5811C2B4" w:rsidR="0046120F" w:rsidRPr="0046120F" w:rsidRDefault="0046120F" w:rsidP="00D34F97">
      <w:pPr>
        <w:pStyle w:val="Akapitzlist"/>
        <w:numPr>
          <w:ilvl w:val="0"/>
          <w:numId w:val="289"/>
        </w:numPr>
        <w:suppressAutoHyphens/>
        <w:spacing w:line="300" w:lineRule="atLeast"/>
        <w:ind w:left="568" w:hanging="284"/>
        <w:jc w:val="both"/>
        <w:rPr>
          <w:sz w:val="24"/>
          <w:szCs w:val="24"/>
          <w:lang w:eastAsia="en-US"/>
        </w:rPr>
      </w:pPr>
      <w:r w:rsidRPr="0046120F">
        <w:rPr>
          <w:sz w:val="24"/>
          <w:szCs w:val="24"/>
        </w:rPr>
        <w:t>przekazywanie odpadów podmiotom nieposiadającym stosownych zezwoleń w zakresie gospodarki odpadami,</w:t>
      </w:r>
    </w:p>
    <w:p w14:paraId="54317064" w14:textId="77777777" w:rsidR="0046120F" w:rsidRPr="0046120F" w:rsidRDefault="0046120F" w:rsidP="00D34F97">
      <w:pPr>
        <w:pStyle w:val="Akapitzlist"/>
        <w:numPr>
          <w:ilvl w:val="0"/>
          <w:numId w:val="289"/>
        </w:numPr>
        <w:suppressAutoHyphens/>
        <w:spacing w:line="300" w:lineRule="atLeast"/>
        <w:ind w:left="568" w:hanging="284"/>
        <w:jc w:val="both"/>
        <w:rPr>
          <w:sz w:val="24"/>
          <w:szCs w:val="24"/>
          <w:lang w:eastAsia="en-US"/>
        </w:rPr>
      </w:pPr>
      <w:r w:rsidRPr="0046120F">
        <w:rPr>
          <w:sz w:val="24"/>
          <w:szCs w:val="24"/>
        </w:rPr>
        <w:t>wypełnianie wyrobisk poeksploatacyjnych odpadami wbrew obowiązującym przepisom.</w:t>
      </w:r>
    </w:p>
    <w:p w14:paraId="07B17BD5" w14:textId="77777777" w:rsidR="0046120F" w:rsidRPr="0046120F" w:rsidRDefault="0046120F" w:rsidP="00D34F97">
      <w:pPr>
        <w:pStyle w:val="Bezodstpw"/>
        <w:numPr>
          <w:ilvl w:val="0"/>
          <w:numId w:val="298"/>
        </w:numPr>
        <w:suppressAutoHyphens/>
        <w:spacing w:line="300" w:lineRule="atLeast"/>
        <w:ind w:left="527" w:hanging="357"/>
        <w:contextualSpacing/>
        <w:jc w:val="both"/>
        <w:rPr>
          <w:rFonts w:ascii="Times New Roman" w:hAnsi="Times New Roman"/>
          <w:sz w:val="24"/>
          <w:szCs w:val="24"/>
        </w:rPr>
      </w:pPr>
      <w:r w:rsidRPr="0046120F">
        <w:rPr>
          <w:rFonts w:ascii="Times New Roman" w:hAnsi="Times New Roman"/>
          <w:sz w:val="24"/>
          <w:szCs w:val="24"/>
        </w:rPr>
        <w:t>Gospodarka wodno-ściekowa</w:t>
      </w:r>
    </w:p>
    <w:p w14:paraId="3EE84324" w14:textId="77777777" w:rsidR="0046120F" w:rsidRPr="0046120F" w:rsidRDefault="0046120F" w:rsidP="00D34F97">
      <w:pPr>
        <w:pStyle w:val="Bezodstpw"/>
        <w:numPr>
          <w:ilvl w:val="0"/>
          <w:numId w:val="290"/>
        </w:numPr>
        <w:suppressAutoHyphens/>
        <w:spacing w:line="300" w:lineRule="atLeast"/>
        <w:ind w:left="568" w:hanging="284"/>
        <w:contextualSpacing/>
        <w:jc w:val="both"/>
        <w:rPr>
          <w:rFonts w:ascii="Times New Roman" w:hAnsi="Times New Roman"/>
          <w:sz w:val="24"/>
          <w:szCs w:val="24"/>
        </w:rPr>
      </w:pPr>
      <w:r w:rsidRPr="0046120F">
        <w:rPr>
          <w:rFonts w:ascii="Times New Roman" w:hAnsi="Times New Roman"/>
          <w:sz w:val="24"/>
          <w:szCs w:val="24"/>
        </w:rPr>
        <w:t>odprowadzanie nieoczyszczonych ścieków do wód lub do ziemi,</w:t>
      </w:r>
    </w:p>
    <w:p w14:paraId="6F648EB9" w14:textId="77777777" w:rsidR="0046120F" w:rsidRPr="0046120F" w:rsidRDefault="0046120F" w:rsidP="00D34F97">
      <w:pPr>
        <w:pStyle w:val="Bezodstpw"/>
        <w:numPr>
          <w:ilvl w:val="0"/>
          <w:numId w:val="290"/>
        </w:numPr>
        <w:suppressAutoHyphens/>
        <w:spacing w:line="300" w:lineRule="atLeast"/>
        <w:ind w:left="568" w:hanging="284"/>
        <w:contextualSpacing/>
        <w:jc w:val="both"/>
        <w:rPr>
          <w:rFonts w:ascii="Times New Roman" w:hAnsi="Times New Roman"/>
          <w:sz w:val="24"/>
          <w:szCs w:val="24"/>
        </w:rPr>
      </w:pPr>
      <w:r w:rsidRPr="0046120F">
        <w:rPr>
          <w:rFonts w:ascii="Times New Roman" w:hAnsi="Times New Roman"/>
          <w:sz w:val="24"/>
          <w:szCs w:val="24"/>
        </w:rPr>
        <w:t>naruszanie warunków pozwoleń wodno-prawnych,</w:t>
      </w:r>
    </w:p>
    <w:p w14:paraId="7FC43674" w14:textId="77777777" w:rsidR="0046120F" w:rsidRPr="0046120F" w:rsidRDefault="0046120F" w:rsidP="00D34F97">
      <w:pPr>
        <w:pStyle w:val="Bezodstpw"/>
        <w:numPr>
          <w:ilvl w:val="0"/>
          <w:numId w:val="298"/>
        </w:numPr>
        <w:suppressAutoHyphens/>
        <w:spacing w:line="300" w:lineRule="atLeast"/>
        <w:ind w:left="527" w:hanging="357"/>
        <w:contextualSpacing/>
        <w:jc w:val="both"/>
        <w:rPr>
          <w:rFonts w:ascii="Times New Roman" w:hAnsi="Times New Roman"/>
          <w:sz w:val="24"/>
          <w:szCs w:val="24"/>
        </w:rPr>
      </w:pPr>
      <w:r w:rsidRPr="0046120F">
        <w:rPr>
          <w:rFonts w:ascii="Times New Roman" w:hAnsi="Times New Roman"/>
          <w:sz w:val="24"/>
          <w:szCs w:val="24"/>
        </w:rPr>
        <w:t>Ochrona powietrza</w:t>
      </w:r>
    </w:p>
    <w:p w14:paraId="256A0C09" w14:textId="77777777" w:rsidR="0046120F" w:rsidRPr="0046120F" w:rsidRDefault="0046120F" w:rsidP="00D34F97">
      <w:pPr>
        <w:pStyle w:val="Bezodstpw"/>
        <w:numPr>
          <w:ilvl w:val="0"/>
          <w:numId w:val="291"/>
        </w:numPr>
        <w:suppressAutoHyphens/>
        <w:spacing w:line="300" w:lineRule="atLeast"/>
        <w:ind w:left="568" w:hanging="284"/>
        <w:contextualSpacing/>
        <w:jc w:val="both"/>
        <w:rPr>
          <w:rFonts w:ascii="Times New Roman" w:hAnsi="Times New Roman"/>
          <w:sz w:val="24"/>
          <w:szCs w:val="24"/>
        </w:rPr>
      </w:pPr>
      <w:r w:rsidRPr="0046120F">
        <w:rPr>
          <w:rFonts w:ascii="Times New Roman" w:hAnsi="Times New Roman"/>
          <w:sz w:val="24"/>
          <w:szCs w:val="24"/>
        </w:rPr>
        <w:t>brak zgłoszenia instalacji lub naruszenie warunków zgłoszenia,</w:t>
      </w:r>
    </w:p>
    <w:p w14:paraId="705C6D8A" w14:textId="77777777" w:rsidR="0046120F" w:rsidRPr="0046120F" w:rsidRDefault="0046120F" w:rsidP="00D34F97">
      <w:pPr>
        <w:pStyle w:val="Bezodstpw"/>
        <w:numPr>
          <w:ilvl w:val="0"/>
          <w:numId w:val="291"/>
        </w:numPr>
        <w:suppressAutoHyphens/>
        <w:spacing w:line="300" w:lineRule="atLeast"/>
        <w:ind w:left="568" w:hanging="284"/>
        <w:contextualSpacing/>
        <w:jc w:val="both"/>
        <w:rPr>
          <w:rFonts w:ascii="Times New Roman" w:hAnsi="Times New Roman"/>
          <w:sz w:val="24"/>
          <w:szCs w:val="24"/>
        </w:rPr>
      </w:pPr>
      <w:r w:rsidRPr="0046120F">
        <w:rPr>
          <w:rFonts w:ascii="Times New Roman" w:hAnsi="Times New Roman"/>
          <w:sz w:val="24"/>
          <w:szCs w:val="24"/>
        </w:rPr>
        <w:t>eksploatacja instalacji z naruszeniem warunków pozwolenia,</w:t>
      </w:r>
    </w:p>
    <w:p w14:paraId="24E330C9" w14:textId="77777777" w:rsidR="0046120F" w:rsidRPr="0046120F" w:rsidRDefault="0046120F" w:rsidP="00D34F97">
      <w:pPr>
        <w:pStyle w:val="Bezodstpw"/>
        <w:numPr>
          <w:ilvl w:val="0"/>
          <w:numId w:val="291"/>
        </w:numPr>
        <w:suppressAutoHyphens/>
        <w:spacing w:line="300" w:lineRule="atLeast"/>
        <w:ind w:left="568" w:hanging="284"/>
        <w:contextualSpacing/>
        <w:jc w:val="both"/>
        <w:rPr>
          <w:rFonts w:ascii="Times New Roman" w:hAnsi="Times New Roman"/>
          <w:sz w:val="24"/>
          <w:szCs w:val="24"/>
        </w:rPr>
      </w:pPr>
      <w:r w:rsidRPr="0046120F">
        <w:rPr>
          <w:rFonts w:ascii="Times New Roman" w:hAnsi="Times New Roman"/>
          <w:sz w:val="24"/>
          <w:szCs w:val="24"/>
        </w:rPr>
        <w:t>nadmierna emisja pyłu z zakładu produkcji palet oraz suszarni zboża,</w:t>
      </w:r>
    </w:p>
    <w:p w14:paraId="3AD346FE" w14:textId="77777777" w:rsidR="0046120F" w:rsidRPr="0046120F" w:rsidRDefault="0046120F" w:rsidP="00D34F97">
      <w:pPr>
        <w:pStyle w:val="Bezodstpw"/>
        <w:numPr>
          <w:ilvl w:val="0"/>
          <w:numId w:val="291"/>
        </w:numPr>
        <w:suppressAutoHyphens/>
        <w:spacing w:line="300" w:lineRule="atLeast"/>
        <w:ind w:left="568" w:hanging="284"/>
        <w:contextualSpacing/>
        <w:jc w:val="both"/>
        <w:rPr>
          <w:rFonts w:ascii="Times New Roman" w:hAnsi="Times New Roman"/>
          <w:sz w:val="24"/>
          <w:szCs w:val="24"/>
        </w:rPr>
      </w:pPr>
      <w:r w:rsidRPr="0046120F">
        <w:rPr>
          <w:rFonts w:ascii="Times New Roman" w:hAnsi="Times New Roman"/>
          <w:sz w:val="24"/>
          <w:szCs w:val="24"/>
        </w:rPr>
        <w:t>uciążliwości związane z nadmierną emisją zanieczyszczeń z energetycznego spalania paliw w małych zakładach produkcyjno-usługowych,</w:t>
      </w:r>
    </w:p>
    <w:p w14:paraId="56574C0C" w14:textId="77777777" w:rsidR="0046120F" w:rsidRPr="0046120F" w:rsidRDefault="0046120F" w:rsidP="00D34F97">
      <w:pPr>
        <w:pStyle w:val="Akapitzlist"/>
        <w:numPr>
          <w:ilvl w:val="0"/>
          <w:numId w:val="291"/>
        </w:numPr>
        <w:suppressAutoHyphens/>
        <w:spacing w:line="300" w:lineRule="atLeast"/>
        <w:ind w:left="568" w:hanging="284"/>
        <w:jc w:val="both"/>
        <w:rPr>
          <w:sz w:val="24"/>
          <w:szCs w:val="24"/>
        </w:rPr>
      </w:pPr>
      <w:r w:rsidRPr="0046120F">
        <w:rPr>
          <w:sz w:val="24"/>
          <w:szCs w:val="24"/>
        </w:rPr>
        <w:t>uciążliwości zapachowe związane z przetwarzaniem odpadów, spalaniem odpadów, stosowaniem LZO.</w:t>
      </w:r>
    </w:p>
    <w:p w14:paraId="6E0D5707" w14:textId="77777777" w:rsidR="0046120F" w:rsidRPr="0046120F" w:rsidRDefault="0046120F" w:rsidP="0046120F">
      <w:pPr>
        <w:spacing w:line="300" w:lineRule="atLeast"/>
        <w:contextualSpacing/>
        <w:jc w:val="both"/>
        <w:rPr>
          <w:rFonts w:ascii="Times New Roman" w:hAnsi="Times New Roman" w:cs="Times New Roman"/>
          <w:i/>
          <w:color w:val="4472C4"/>
          <w:sz w:val="24"/>
          <w:szCs w:val="24"/>
        </w:rPr>
      </w:pPr>
    </w:p>
    <w:p w14:paraId="10D08C40" w14:textId="77777777" w:rsidR="0046120F" w:rsidRPr="0046120F" w:rsidRDefault="0046120F" w:rsidP="00FB6E09">
      <w:pPr>
        <w:spacing w:after="60" w:line="300" w:lineRule="atLeast"/>
        <w:jc w:val="both"/>
        <w:rPr>
          <w:rFonts w:ascii="Times New Roman" w:hAnsi="Times New Roman" w:cs="Times New Roman"/>
          <w:i/>
          <w:color w:val="4472C4"/>
          <w:sz w:val="24"/>
          <w:szCs w:val="24"/>
        </w:rPr>
      </w:pPr>
      <w:r w:rsidRPr="0046120F">
        <w:rPr>
          <w:rFonts w:ascii="Times New Roman" w:hAnsi="Times New Roman" w:cs="Times New Roman"/>
          <w:i/>
          <w:color w:val="4472C4"/>
          <w:sz w:val="24"/>
          <w:szCs w:val="24"/>
        </w:rPr>
        <w:t>Wojewódzki Inspektorat Ochrony Środowiska w Gdańsku</w:t>
      </w:r>
    </w:p>
    <w:p w14:paraId="2BA12B86" w14:textId="31F45065" w:rsidR="0046120F" w:rsidRPr="0046120F" w:rsidRDefault="0046120F" w:rsidP="00694CC9">
      <w:pPr>
        <w:autoSpaceDE w:val="0"/>
        <w:autoSpaceDN w:val="0"/>
        <w:adjustRightInd w:val="0"/>
        <w:spacing w:line="300" w:lineRule="atLeast"/>
        <w:ind w:firstLine="567"/>
        <w:contextualSpacing/>
        <w:jc w:val="both"/>
        <w:rPr>
          <w:rFonts w:ascii="Times New Roman" w:hAnsi="Times New Roman" w:cs="Times New Roman"/>
          <w:sz w:val="24"/>
          <w:szCs w:val="24"/>
        </w:rPr>
      </w:pPr>
      <w:r w:rsidRPr="0046120F">
        <w:rPr>
          <w:rFonts w:ascii="Times New Roman" w:hAnsi="Times New Roman" w:cs="Times New Roman"/>
          <w:sz w:val="24"/>
          <w:szCs w:val="24"/>
        </w:rPr>
        <w:t xml:space="preserve">Podobnie jak w przypadku czynności z art. 10b, w większości przypadków w wyniku działań stwierdzano prowadzenie działalności bez wymaganego zezwolenia w zakresie zbierania lub przetwarzania odpadów oraz naruszenia innych obowiązków z zakresu ustawy </w:t>
      </w:r>
      <w:r w:rsidR="00FB6E09">
        <w:rPr>
          <w:rFonts w:ascii="Times New Roman" w:hAnsi="Times New Roman" w:cs="Times New Roman"/>
          <w:sz w:val="24"/>
          <w:szCs w:val="24"/>
        </w:rPr>
        <w:br/>
      </w:r>
      <w:r w:rsidRPr="0046120F">
        <w:rPr>
          <w:rFonts w:ascii="Times New Roman" w:hAnsi="Times New Roman" w:cs="Times New Roman"/>
          <w:sz w:val="24"/>
          <w:szCs w:val="24"/>
        </w:rPr>
        <w:t>o odpadach (BDO, magazynowanie odpadów, monitoring, ewidencja odpadów). Część ze stwierdzonych naruszeń miała charakter wyjątkowo rażący, jak np. zbieranie dużych ilości odpadów tekstylnych, które co jakiś czas ulegają zapłonowi czy fikcyjny obrót kartami przekazania odpadów na dużą skalę.</w:t>
      </w:r>
    </w:p>
    <w:p w14:paraId="610F76F7" w14:textId="77777777" w:rsidR="0046120F" w:rsidRPr="0046120F" w:rsidRDefault="0046120F" w:rsidP="0046120F">
      <w:pPr>
        <w:spacing w:line="300" w:lineRule="atLeast"/>
        <w:contextualSpacing/>
        <w:jc w:val="both"/>
        <w:rPr>
          <w:rFonts w:ascii="Times New Roman" w:hAnsi="Times New Roman" w:cs="Times New Roman"/>
          <w:i/>
          <w:color w:val="4472C4"/>
          <w:sz w:val="24"/>
          <w:szCs w:val="24"/>
        </w:rPr>
      </w:pPr>
    </w:p>
    <w:p w14:paraId="2953BFEB" w14:textId="77777777" w:rsidR="0046120F" w:rsidRPr="0046120F" w:rsidRDefault="0046120F" w:rsidP="00FB6E09">
      <w:pPr>
        <w:spacing w:after="60" w:line="300" w:lineRule="atLeast"/>
        <w:jc w:val="both"/>
        <w:rPr>
          <w:rFonts w:ascii="Times New Roman" w:hAnsi="Times New Roman" w:cs="Times New Roman"/>
          <w:i/>
          <w:color w:val="4472C4"/>
          <w:sz w:val="24"/>
          <w:szCs w:val="24"/>
        </w:rPr>
      </w:pPr>
      <w:r w:rsidRPr="0046120F">
        <w:rPr>
          <w:rFonts w:ascii="Times New Roman" w:hAnsi="Times New Roman" w:cs="Times New Roman"/>
          <w:i/>
          <w:color w:val="4472C4"/>
          <w:sz w:val="24"/>
          <w:szCs w:val="24"/>
        </w:rPr>
        <w:t>Wojewódzki Inspektorat Ochrony Środowiska w Katowicach</w:t>
      </w:r>
    </w:p>
    <w:p w14:paraId="0CF65A37" w14:textId="77777777" w:rsidR="0046120F" w:rsidRPr="0046120F" w:rsidRDefault="0046120F" w:rsidP="00FB6E09">
      <w:pPr>
        <w:spacing w:after="0" w:line="300" w:lineRule="atLeast"/>
        <w:contextualSpacing/>
        <w:jc w:val="both"/>
        <w:rPr>
          <w:rFonts w:ascii="Times New Roman" w:hAnsi="Times New Roman" w:cs="Times New Roman"/>
          <w:sz w:val="24"/>
          <w:szCs w:val="24"/>
        </w:rPr>
      </w:pPr>
      <w:r w:rsidRPr="0046120F">
        <w:rPr>
          <w:rFonts w:ascii="Times New Roman" w:hAnsi="Times New Roman" w:cs="Times New Roman"/>
          <w:sz w:val="24"/>
          <w:szCs w:val="24"/>
        </w:rPr>
        <w:t>W wyniku prowadzonych kontroli stwierdzano niezmiennie do 2021 r., nieprawidłowości polegające na:</w:t>
      </w:r>
    </w:p>
    <w:p w14:paraId="61EF9A2A" w14:textId="77777777" w:rsidR="0046120F" w:rsidRPr="0046120F" w:rsidRDefault="0046120F" w:rsidP="00D34F97">
      <w:pPr>
        <w:pStyle w:val="Akapitzlist"/>
        <w:numPr>
          <w:ilvl w:val="0"/>
          <w:numId w:val="292"/>
        </w:numPr>
        <w:spacing w:line="300" w:lineRule="atLeast"/>
        <w:ind w:left="641" w:hanging="357"/>
        <w:jc w:val="both"/>
        <w:rPr>
          <w:sz w:val="24"/>
          <w:szCs w:val="24"/>
        </w:rPr>
      </w:pPr>
      <w:r w:rsidRPr="0046120F">
        <w:rPr>
          <w:sz w:val="24"/>
          <w:szCs w:val="24"/>
        </w:rPr>
        <w:t>transporcie odpadów w miejsca inne niż wskazane w dokumentach generowanych poprzez system BDO,</w:t>
      </w:r>
    </w:p>
    <w:p w14:paraId="3FFA2136" w14:textId="77777777" w:rsidR="0046120F" w:rsidRPr="0046120F" w:rsidRDefault="0046120F" w:rsidP="00D34F97">
      <w:pPr>
        <w:pStyle w:val="Akapitzlist"/>
        <w:numPr>
          <w:ilvl w:val="0"/>
          <w:numId w:val="292"/>
        </w:numPr>
        <w:spacing w:line="300" w:lineRule="atLeast"/>
        <w:ind w:left="641" w:hanging="357"/>
        <w:jc w:val="both"/>
        <w:rPr>
          <w:sz w:val="24"/>
          <w:szCs w:val="24"/>
        </w:rPr>
      </w:pPr>
      <w:r w:rsidRPr="0046120F">
        <w:rPr>
          <w:sz w:val="24"/>
          <w:szCs w:val="24"/>
        </w:rPr>
        <w:t xml:space="preserve">generowaniu dokumentów poprzez system BDO na transporty odpadów, które nigdy nie były realizowane w miejsca wskazane ww. dokumentami, </w:t>
      </w:r>
    </w:p>
    <w:p w14:paraId="79D8FA4B" w14:textId="77777777" w:rsidR="0046120F" w:rsidRPr="0046120F" w:rsidRDefault="0046120F" w:rsidP="00D34F97">
      <w:pPr>
        <w:pStyle w:val="Akapitzlist"/>
        <w:numPr>
          <w:ilvl w:val="0"/>
          <w:numId w:val="292"/>
        </w:numPr>
        <w:spacing w:line="300" w:lineRule="atLeast"/>
        <w:ind w:left="641" w:hanging="357"/>
        <w:jc w:val="both"/>
        <w:rPr>
          <w:sz w:val="24"/>
          <w:szCs w:val="24"/>
        </w:rPr>
      </w:pPr>
      <w:r w:rsidRPr="0046120F">
        <w:rPr>
          <w:sz w:val="24"/>
          <w:szCs w:val="24"/>
        </w:rPr>
        <w:t>transportach odpadów innych niż wskazane w generowanych dokumentach BDO,</w:t>
      </w:r>
    </w:p>
    <w:p w14:paraId="1406FBBF" w14:textId="77777777" w:rsidR="0046120F" w:rsidRPr="0046120F" w:rsidRDefault="0046120F" w:rsidP="00D34F97">
      <w:pPr>
        <w:pStyle w:val="Akapitzlist"/>
        <w:numPr>
          <w:ilvl w:val="0"/>
          <w:numId w:val="292"/>
        </w:numPr>
        <w:spacing w:line="300" w:lineRule="atLeast"/>
        <w:ind w:left="641" w:hanging="357"/>
        <w:jc w:val="both"/>
        <w:rPr>
          <w:sz w:val="24"/>
          <w:szCs w:val="24"/>
        </w:rPr>
      </w:pPr>
      <w:r w:rsidRPr="0046120F">
        <w:rPr>
          <w:sz w:val="24"/>
          <w:szCs w:val="24"/>
        </w:rPr>
        <w:lastRenderedPageBreak/>
        <w:t>transportach odpadów nieewidencjonowanych w bazie BDO,</w:t>
      </w:r>
    </w:p>
    <w:p w14:paraId="6AF48276" w14:textId="77777777" w:rsidR="0046120F" w:rsidRPr="0046120F" w:rsidRDefault="0046120F" w:rsidP="00D34F97">
      <w:pPr>
        <w:pStyle w:val="Akapitzlist"/>
        <w:numPr>
          <w:ilvl w:val="0"/>
          <w:numId w:val="292"/>
        </w:numPr>
        <w:spacing w:line="300" w:lineRule="atLeast"/>
        <w:ind w:left="641" w:hanging="357"/>
        <w:jc w:val="both"/>
        <w:rPr>
          <w:sz w:val="24"/>
          <w:szCs w:val="24"/>
        </w:rPr>
      </w:pPr>
      <w:r w:rsidRPr="0046120F">
        <w:rPr>
          <w:sz w:val="24"/>
          <w:szCs w:val="24"/>
        </w:rPr>
        <w:t>magazynowaniu odpadów w miejscach nieprzeznaczonych do tego celu,</w:t>
      </w:r>
    </w:p>
    <w:p w14:paraId="413DCBEC" w14:textId="77777777" w:rsidR="0046120F" w:rsidRPr="0046120F" w:rsidRDefault="0046120F" w:rsidP="00D34F97">
      <w:pPr>
        <w:pStyle w:val="Akapitzlist"/>
        <w:numPr>
          <w:ilvl w:val="0"/>
          <w:numId w:val="292"/>
        </w:numPr>
        <w:spacing w:line="300" w:lineRule="atLeast"/>
        <w:ind w:left="641" w:hanging="357"/>
        <w:jc w:val="both"/>
        <w:rPr>
          <w:sz w:val="24"/>
          <w:szCs w:val="24"/>
        </w:rPr>
      </w:pPr>
      <w:r w:rsidRPr="0046120F">
        <w:rPr>
          <w:sz w:val="24"/>
          <w:szCs w:val="24"/>
        </w:rPr>
        <w:t xml:space="preserve">przetwarzaniu odpadów bez zezwolenia, w tym w ramach rekultywacji lub niwelacji terenu, </w:t>
      </w:r>
    </w:p>
    <w:p w14:paraId="7AC4FBAA" w14:textId="77777777" w:rsidR="0046120F" w:rsidRPr="0046120F" w:rsidRDefault="0046120F" w:rsidP="00D34F97">
      <w:pPr>
        <w:pStyle w:val="Akapitzlist"/>
        <w:numPr>
          <w:ilvl w:val="0"/>
          <w:numId w:val="292"/>
        </w:numPr>
        <w:spacing w:line="300" w:lineRule="atLeast"/>
        <w:ind w:left="641" w:hanging="357"/>
        <w:jc w:val="both"/>
        <w:rPr>
          <w:sz w:val="24"/>
          <w:szCs w:val="24"/>
        </w:rPr>
      </w:pPr>
      <w:r w:rsidRPr="0046120F">
        <w:rPr>
          <w:sz w:val="24"/>
          <w:szCs w:val="24"/>
        </w:rPr>
        <w:t xml:space="preserve">wprowadzaniu ścieków do środowiska, </w:t>
      </w:r>
    </w:p>
    <w:p w14:paraId="71F7AE47" w14:textId="77777777" w:rsidR="0046120F" w:rsidRPr="0046120F" w:rsidRDefault="0046120F" w:rsidP="00D34F97">
      <w:pPr>
        <w:pStyle w:val="Akapitzlist"/>
        <w:numPr>
          <w:ilvl w:val="0"/>
          <w:numId w:val="292"/>
        </w:numPr>
        <w:spacing w:line="300" w:lineRule="atLeast"/>
        <w:ind w:left="641" w:hanging="357"/>
        <w:jc w:val="both"/>
        <w:rPr>
          <w:sz w:val="24"/>
          <w:szCs w:val="24"/>
        </w:rPr>
      </w:pPr>
      <w:r w:rsidRPr="0046120F">
        <w:rPr>
          <w:sz w:val="24"/>
          <w:szCs w:val="24"/>
        </w:rPr>
        <w:t xml:space="preserve">przekazywaniu odpadów do nieuprawnionych podmiotów, </w:t>
      </w:r>
    </w:p>
    <w:p w14:paraId="45E5CE02" w14:textId="253F91C4" w:rsidR="0046120F" w:rsidRPr="0046120F" w:rsidRDefault="0046120F" w:rsidP="00D34F97">
      <w:pPr>
        <w:pStyle w:val="Akapitzlist"/>
        <w:numPr>
          <w:ilvl w:val="0"/>
          <w:numId w:val="292"/>
        </w:numPr>
        <w:spacing w:line="300" w:lineRule="atLeast"/>
        <w:ind w:left="641" w:hanging="357"/>
        <w:jc w:val="both"/>
        <w:rPr>
          <w:sz w:val="24"/>
          <w:szCs w:val="24"/>
        </w:rPr>
      </w:pPr>
      <w:r w:rsidRPr="0046120F">
        <w:rPr>
          <w:sz w:val="24"/>
          <w:szCs w:val="24"/>
        </w:rPr>
        <w:t>niewłaściwej ewidencj</w:t>
      </w:r>
      <w:r w:rsidR="00FB6E09">
        <w:rPr>
          <w:sz w:val="24"/>
          <w:szCs w:val="24"/>
          <w:lang w:val="pl-PL"/>
        </w:rPr>
        <w:t>i</w:t>
      </w:r>
      <w:r w:rsidRPr="0046120F">
        <w:rPr>
          <w:sz w:val="24"/>
          <w:szCs w:val="24"/>
        </w:rPr>
        <w:t xml:space="preserve"> odpadów, w tym ich błędn</w:t>
      </w:r>
      <w:r w:rsidR="00FB6E09">
        <w:rPr>
          <w:sz w:val="24"/>
          <w:szCs w:val="24"/>
          <w:lang w:val="pl-PL"/>
        </w:rPr>
        <w:t>ej</w:t>
      </w:r>
      <w:r w:rsidRPr="0046120F">
        <w:rPr>
          <w:sz w:val="24"/>
          <w:szCs w:val="24"/>
        </w:rPr>
        <w:t xml:space="preserve"> klasyfikacj</w:t>
      </w:r>
      <w:r w:rsidR="00FB6E09">
        <w:rPr>
          <w:sz w:val="24"/>
          <w:szCs w:val="24"/>
          <w:lang w:val="pl-PL"/>
        </w:rPr>
        <w:t>i</w:t>
      </w:r>
      <w:r w:rsidRPr="0046120F">
        <w:rPr>
          <w:sz w:val="24"/>
          <w:szCs w:val="24"/>
        </w:rPr>
        <w:t>,</w:t>
      </w:r>
    </w:p>
    <w:p w14:paraId="1C1CF214" w14:textId="5CDC10F6" w:rsidR="0046120F" w:rsidRDefault="0046120F" w:rsidP="00D34F97">
      <w:pPr>
        <w:pStyle w:val="Akapitzlist"/>
        <w:numPr>
          <w:ilvl w:val="0"/>
          <w:numId w:val="292"/>
        </w:numPr>
        <w:spacing w:line="300" w:lineRule="atLeast"/>
        <w:ind w:left="641" w:hanging="357"/>
        <w:jc w:val="both"/>
        <w:rPr>
          <w:sz w:val="24"/>
          <w:szCs w:val="24"/>
        </w:rPr>
      </w:pPr>
      <w:r w:rsidRPr="0046120F">
        <w:rPr>
          <w:sz w:val="24"/>
          <w:szCs w:val="24"/>
        </w:rPr>
        <w:t xml:space="preserve">nie dostarczaniu odpadów do miejsc wskazanych przez posiadacza odpadów. </w:t>
      </w:r>
    </w:p>
    <w:p w14:paraId="01838D34" w14:textId="77777777" w:rsidR="00F67169" w:rsidRPr="0046120F" w:rsidRDefault="00F67169" w:rsidP="00F67169">
      <w:pPr>
        <w:pStyle w:val="Akapitzlist"/>
        <w:spacing w:line="300" w:lineRule="atLeast"/>
        <w:ind w:left="641"/>
        <w:jc w:val="both"/>
        <w:rPr>
          <w:sz w:val="24"/>
          <w:szCs w:val="24"/>
        </w:rPr>
      </w:pPr>
    </w:p>
    <w:p w14:paraId="45BAFF07" w14:textId="77777777" w:rsidR="0046120F" w:rsidRPr="0046120F" w:rsidRDefault="0046120F" w:rsidP="00FB6E09">
      <w:pPr>
        <w:spacing w:after="60" w:line="300" w:lineRule="atLeast"/>
        <w:jc w:val="both"/>
        <w:rPr>
          <w:rFonts w:ascii="Times New Roman" w:hAnsi="Times New Roman" w:cs="Times New Roman"/>
          <w:i/>
          <w:color w:val="4472C4"/>
          <w:sz w:val="24"/>
          <w:szCs w:val="24"/>
        </w:rPr>
      </w:pPr>
      <w:r w:rsidRPr="0046120F">
        <w:rPr>
          <w:rFonts w:ascii="Times New Roman" w:hAnsi="Times New Roman" w:cs="Times New Roman"/>
          <w:i/>
          <w:color w:val="4472C4"/>
          <w:sz w:val="24"/>
          <w:szCs w:val="24"/>
        </w:rPr>
        <w:t>Wojewódzki Inspektorat Ochrony Środowiska w Kielcach</w:t>
      </w:r>
    </w:p>
    <w:p w14:paraId="31D6960C" w14:textId="77777777" w:rsidR="0046120F" w:rsidRPr="0046120F" w:rsidRDefault="0046120F" w:rsidP="00694CC9">
      <w:pPr>
        <w:pStyle w:val="Akapitzlist"/>
        <w:spacing w:line="300" w:lineRule="atLeast"/>
        <w:ind w:left="0" w:firstLine="567"/>
        <w:jc w:val="both"/>
        <w:rPr>
          <w:sz w:val="24"/>
          <w:szCs w:val="24"/>
        </w:rPr>
      </w:pPr>
      <w:r w:rsidRPr="0046120F">
        <w:rPr>
          <w:sz w:val="24"/>
          <w:szCs w:val="24"/>
        </w:rPr>
        <w:t>W wyniku kontroli przeprowadzanych w 2022 r. przez WZPŚ (wcześniej Dział do Walki z Szarą Strefą) stwierdzano następujące naruszenia w zakresie przestrzegania przepisów ochrony środowiska:</w:t>
      </w:r>
    </w:p>
    <w:p w14:paraId="1047106C" w14:textId="77777777" w:rsidR="0046120F" w:rsidRPr="0046120F" w:rsidRDefault="0046120F" w:rsidP="00D34F97">
      <w:pPr>
        <w:pStyle w:val="Akapitzlist"/>
        <w:numPr>
          <w:ilvl w:val="0"/>
          <w:numId w:val="299"/>
        </w:numPr>
        <w:spacing w:line="300" w:lineRule="atLeast"/>
        <w:ind w:left="641" w:hanging="357"/>
        <w:jc w:val="both"/>
        <w:rPr>
          <w:sz w:val="24"/>
          <w:szCs w:val="24"/>
        </w:rPr>
      </w:pPr>
      <w:r w:rsidRPr="0046120F">
        <w:rPr>
          <w:sz w:val="24"/>
          <w:szCs w:val="24"/>
        </w:rPr>
        <w:t>zbieranie lub przetwarzanie odpadów z naruszeniem posiadanego zezwolenia lub bez wymaganych uregulowań formalno-prawnych w tym zakresie,</w:t>
      </w:r>
    </w:p>
    <w:p w14:paraId="114DAC58" w14:textId="6861E166" w:rsidR="0046120F" w:rsidRPr="0046120F" w:rsidRDefault="0046120F" w:rsidP="00D34F97">
      <w:pPr>
        <w:pStyle w:val="Akapitzlist"/>
        <w:numPr>
          <w:ilvl w:val="0"/>
          <w:numId w:val="299"/>
        </w:numPr>
        <w:spacing w:line="300" w:lineRule="atLeast"/>
        <w:ind w:left="641" w:hanging="357"/>
        <w:jc w:val="both"/>
        <w:rPr>
          <w:sz w:val="24"/>
          <w:szCs w:val="24"/>
        </w:rPr>
      </w:pPr>
      <w:r w:rsidRPr="0046120F">
        <w:rPr>
          <w:sz w:val="24"/>
          <w:szCs w:val="24"/>
        </w:rPr>
        <w:t xml:space="preserve">porzucanie odpadów z prowadzonej działalności w zakresie zbierania (np. odpady chemiczne) oraz porzucanie odpadów pochodzenia komunalnego i pokrewnych </w:t>
      </w:r>
      <w:r w:rsidR="00FB6E09">
        <w:rPr>
          <w:sz w:val="24"/>
          <w:szCs w:val="24"/>
        </w:rPr>
        <w:br/>
      </w:r>
      <w:r w:rsidRPr="0046120F">
        <w:rPr>
          <w:sz w:val="24"/>
          <w:szCs w:val="24"/>
        </w:rPr>
        <w:t xml:space="preserve">w wyrobiskach lub tzw. „dzikich składowiskach”, </w:t>
      </w:r>
    </w:p>
    <w:p w14:paraId="6BD96CC8" w14:textId="77777777" w:rsidR="0046120F" w:rsidRPr="0046120F" w:rsidRDefault="0046120F" w:rsidP="00D34F97">
      <w:pPr>
        <w:pStyle w:val="Akapitzlist"/>
        <w:numPr>
          <w:ilvl w:val="0"/>
          <w:numId w:val="299"/>
        </w:numPr>
        <w:spacing w:line="300" w:lineRule="atLeast"/>
        <w:ind w:left="641" w:hanging="357"/>
        <w:jc w:val="both"/>
        <w:rPr>
          <w:sz w:val="24"/>
          <w:szCs w:val="24"/>
        </w:rPr>
      </w:pPr>
      <w:r w:rsidRPr="0046120F">
        <w:rPr>
          <w:sz w:val="24"/>
          <w:szCs w:val="24"/>
        </w:rPr>
        <w:t>zakopywanie odpadów,</w:t>
      </w:r>
    </w:p>
    <w:p w14:paraId="0F2F1312" w14:textId="77777777" w:rsidR="0046120F" w:rsidRPr="0046120F" w:rsidRDefault="0046120F" w:rsidP="00D34F97">
      <w:pPr>
        <w:pStyle w:val="Akapitzlist"/>
        <w:numPr>
          <w:ilvl w:val="0"/>
          <w:numId w:val="299"/>
        </w:numPr>
        <w:spacing w:line="300" w:lineRule="atLeast"/>
        <w:ind w:left="641" w:hanging="357"/>
        <w:jc w:val="both"/>
        <w:rPr>
          <w:sz w:val="24"/>
          <w:szCs w:val="24"/>
        </w:rPr>
      </w:pPr>
      <w:r w:rsidRPr="0046120F">
        <w:rPr>
          <w:sz w:val="24"/>
          <w:szCs w:val="24"/>
        </w:rPr>
        <w:t xml:space="preserve">dokonywanie nielegalnego demontażu pojazdów wycofanych z eksploatacji, </w:t>
      </w:r>
    </w:p>
    <w:p w14:paraId="1BFB47EC" w14:textId="0E110416" w:rsidR="0046120F" w:rsidRPr="0046120F" w:rsidRDefault="0046120F" w:rsidP="00D34F97">
      <w:pPr>
        <w:pStyle w:val="Akapitzlist"/>
        <w:numPr>
          <w:ilvl w:val="0"/>
          <w:numId w:val="299"/>
        </w:numPr>
        <w:spacing w:line="300" w:lineRule="atLeast"/>
        <w:ind w:left="641" w:hanging="357"/>
        <w:jc w:val="both"/>
        <w:rPr>
          <w:sz w:val="24"/>
          <w:szCs w:val="24"/>
        </w:rPr>
      </w:pPr>
      <w:r w:rsidRPr="0046120F">
        <w:rPr>
          <w:sz w:val="24"/>
          <w:szCs w:val="24"/>
        </w:rPr>
        <w:t xml:space="preserve">fikcyjny obrót odpadami noszący znamiona przestępstw określonych w art. 271, 258 </w:t>
      </w:r>
      <w:r w:rsidR="00FB6E09">
        <w:rPr>
          <w:sz w:val="24"/>
          <w:szCs w:val="24"/>
        </w:rPr>
        <w:br/>
      </w:r>
      <w:r w:rsidRPr="0046120F">
        <w:rPr>
          <w:sz w:val="24"/>
          <w:szCs w:val="24"/>
        </w:rPr>
        <w:t>i 183 § 1 Kodeksu karnego,</w:t>
      </w:r>
    </w:p>
    <w:p w14:paraId="1202ECEC" w14:textId="77777777" w:rsidR="0046120F" w:rsidRPr="0046120F" w:rsidRDefault="0046120F" w:rsidP="00D34F97">
      <w:pPr>
        <w:pStyle w:val="Akapitzlist"/>
        <w:numPr>
          <w:ilvl w:val="0"/>
          <w:numId w:val="299"/>
        </w:numPr>
        <w:spacing w:line="300" w:lineRule="atLeast"/>
        <w:ind w:left="641" w:hanging="357"/>
        <w:jc w:val="both"/>
        <w:rPr>
          <w:sz w:val="24"/>
          <w:szCs w:val="24"/>
        </w:rPr>
      </w:pPr>
      <w:r w:rsidRPr="0046120F">
        <w:rPr>
          <w:sz w:val="24"/>
          <w:szCs w:val="24"/>
        </w:rPr>
        <w:t>magazynowanie odpadów niezgodnie z wymaganiami określonymi w przepisach ustawy o odpadach oraz rozporządzenia Ministra Klimatu z dnia 11 września 2020 r. w sprawie szczegółowych wymagań dla magazynowania odpadów,</w:t>
      </w:r>
    </w:p>
    <w:p w14:paraId="1547D874" w14:textId="77777777" w:rsidR="0046120F" w:rsidRPr="0046120F" w:rsidRDefault="0046120F" w:rsidP="00D34F97">
      <w:pPr>
        <w:pStyle w:val="Akapitzlist"/>
        <w:numPr>
          <w:ilvl w:val="0"/>
          <w:numId w:val="299"/>
        </w:numPr>
        <w:spacing w:line="300" w:lineRule="atLeast"/>
        <w:ind w:left="641" w:hanging="357"/>
        <w:jc w:val="both"/>
        <w:rPr>
          <w:sz w:val="24"/>
          <w:szCs w:val="24"/>
        </w:rPr>
      </w:pPr>
      <w:r w:rsidRPr="0046120F">
        <w:rPr>
          <w:sz w:val="24"/>
          <w:szCs w:val="24"/>
        </w:rPr>
        <w:t>spalanie odpadów z prowadzonej działalności w kotłach lub na otwartej przestrzeni,</w:t>
      </w:r>
    </w:p>
    <w:p w14:paraId="00478EE5" w14:textId="77777777" w:rsidR="0046120F" w:rsidRPr="0046120F" w:rsidRDefault="0046120F" w:rsidP="00D34F97">
      <w:pPr>
        <w:pStyle w:val="Akapitzlist"/>
        <w:numPr>
          <w:ilvl w:val="0"/>
          <w:numId w:val="299"/>
        </w:numPr>
        <w:spacing w:line="300" w:lineRule="atLeast"/>
        <w:ind w:left="641" w:hanging="357"/>
        <w:jc w:val="both"/>
        <w:rPr>
          <w:sz w:val="24"/>
          <w:szCs w:val="24"/>
        </w:rPr>
      </w:pPr>
      <w:r w:rsidRPr="0046120F">
        <w:rPr>
          <w:sz w:val="24"/>
          <w:szCs w:val="24"/>
        </w:rPr>
        <w:t>nieprowadzenie wizyjnego systemu magazynowania odpadów lub prowadzenie tego systemu niezgodnie z wymaganiami określonymi w ustawie o odpadach,</w:t>
      </w:r>
    </w:p>
    <w:p w14:paraId="544195DF" w14:textId="77777777" w:rsidR="0046120F" w:rsidRPr="0046120F" w:rsidRDefault="0046120F" w:rsidP="00D34F97">
      <w:pPr>
        <w:pStyle w:val="Akapitzlist"/>
        <w:numPr>
          <w:ilvl w:val="0"/>
          <w:numId w:val="299"/>
        </w:numPr>
        <w:spacing w:line="300" w:lineRule="atLeast"/>
        <w:ind w:left="641" w:hanging="357"/>
        <w:jc w:val="both"/>
        <w:rPr>
          <w:sz w:val="24"/>
          <w:szCs w:val="24"/>
        </w:rPr>
      </w:pPr>
      <w:r w:rsidRPr="0046120F">
        <w:rPr>
          <w:sz w:val="24"/>
          <w:szCs w:val="24"/>
        </w:rPr>
        <w:t>nieprowadzenie lub nierzetelna ewidencja odpadów,</w:t>
      </w:r>
    </w:p>
    <w:p w14:paraId="731F6C12" w14:textId="77777777" w:rsidR="0046120F" w:rsidRPr="0046120F" w:rsidRDefault="0046120F" w:rsidP="00D34F97">
      <w:pPr>
        <w:pStyle w:val="Akapitzlist"/>
        <w:numPr>
          <w:ilvl w:val="0"/>
          <w:numId w:val="299"/>
        </w:numPr>
        <w:spacing w:line="300" w:lineRule="atLeast"/>
        <w:ind w:left="641" w:hanging="357"/>
        <w:jc w:val="both"/>
        <w:rPr>
          <w:sz w:val="24"/>
          <w:szCs w:val="24"/>
        </w:rPr>
      </w:pPr>
      <w:r w:rsidRPr="0046120F">
        <w:rPr>
          <w:sz w:val="24"/>
          <w:szCs w:val="24"/>
        </w:rPr>
        <w:t>brak lub nierzetelna sprawozdawczość.</w:t>
      </w:r>
    </w:p>
    <w:p w14:paraId="1781D186" w14:textId="3DD68766" w:rsidR="0046120F" w:rsidRPr="0046120F" w:rsidRDefault="0046120F" w:rsidP="0046120F">
      <w:pPr>
        <w:pStyle w:val="Akapitzlist"/>
        <w:spacing w:line="300" w:lineRule="atLeast"/>
        <w:ind w:left="0"/>
        <w:jc w:val="both"/>
        <w:rPr>
          <w:sz w:val="24"/>
          <w:szCs w:val="24"/>
        </w:rPr>
      </w:pPr>
      <w:r w:rsidRPr="0046120F">
        <w:rPr>
          <w:sz w:val="24"/>
          <w:szCs w:val="24"/>
        </w:rPr>
        <w:t xml:space="preserve">Rodzaj stwierdzanych nieprawidłowości w 2022 r. jest bardzo zbliżony do nieprawidłowości </w:t>
      </w:r>
      <w:r w:rsidR="00FB6E09">
        <w:rPr>
          <w:sz w:val="24"/>
          <w:szCs w:val="24"/>
        </w:rPr>
        <w:br/>
      </w:r>
      <w:r w:rsidRPr="0046120F">
        <w:rPr>
          <w:sz w:val="24"/>
          <w:szCs w:val="24"/>
        </w:rPr>
        <w:t>z 2021 r.</w:t>
      </w:r>
    </w:p>
    <w:p w14:paraId="6A4FB334" w14:textId="3EF13CEE" w:rsidR="0046120F" w:rsidRDefault="0046120F" w:rsidP="0046120F">
      <w:pPr>
        <w:spacing w:line="300" w:lineRule="atLeast"/>
        <w:contextualSpacing/>
        <w:jc w:val="both"/>
        <w:rPr>
          <w:rFonts w:ascii="Times New Roman" w:hAnsi="Times New Roman" w:cs="Times New Roman"/>
          <w:i/>
          <w:color w:val="4472C4"/>
          <w:sz w:val="24"/>
          <w:szCs w:val="24"/>
        </w:rPr>
      </w:pPr>
    </w:p>
    <w:p w14:paraId="47BB3B52" w14:textId="77777777" w:rsidR="00694CC9" w:rsidRPr="0046120F" w:rsidRDefault="00694CC9" w:rsidP="0046120F">
      <w:pPr>
        <w:spacing w:line="300" w:lineRule="atLeast"/>
        <w:contextualSpacing/>
        <w:jc w:val="both"/>
        <w:rPr>
          <w:rFonts w:ascii="Times New Roman" w:hAnsi="Times New Roman" w:cs="Times New Roman"/>
          <w:i/>
          <w:color w:val="4472C4"/>
          <w:sz w:val="24"/>
          <w:szCs w:val="24"/>
        </w:rPr>
      </w:pPr>
    </w:p>
    <w:p w14:paraId="0E9AD492" w14:textId="77777777" w:rsidR="0046120F" w:rsidRPr="0046120F" w:rsidRDefault="0046120F" w:rsidP="007C2D11">
      <w:pPr>
        <w:spacing w:after="60" w:line="300" w:lineRule="atLeast"/>
        <w:jc w:val="both"/>
        <w:rPr>
          <w:rFonts w:ascii="Times New Roman" w:hAnsi="Times New Roman" w:cs="Times New Roman"/>
          <w:i/>
          <w:color w:val="4472C4"/>
          <w:sz w:val="24"/>
          <w:szCs w:val="24"/>
        </w:rPr>
      </w:pPr>
      <w:r w:rsidRPr="0046120F">
        <w:rPr>
          <w:rFonts w:ascii="Times New Roman" w:hAnsi="Times New Roman" w:cs="Times New Roman"/>
          <w:i/>
          <w:color w:val="4472C4"/>
          <w:sz w:val="24"/>
          <w:szCs w:val="24"/>
        </w:rPr>
        <w:t>Wojewódzki Inspektorat Ochrony Środowiska w Krakowie</w:t>
      </w:r>
    </w:p>
    <w:p w14:paraId="64D9901F" w14:textId="2FF54104" w:rsidR="0046120F" w:rsidRPr="0046120F" w:rsidRDefault="0046120F" w:rsidP="00694CC9">
      <w:pPr>
        <w:autoSpaceDE w:val="0"/>
        <w:autoSpaceDN w:val="0"/>
        <w:adjustRightInd w:val="0"/>
        <w:spacing w:after="0" w:line="300" w:lineRule="atLeast"/>
        <w:ind w:firstLine="567"/>
        <w:jc w:val="both"/>
        <w:rPr>
          <w:rFonts w:ascii="Times New Roman" w:hAnsi="Times New Roman" w:cs="Times New Roman"/>
          <w:sz w:val="24"/>
          <w:szCs w:val="24"/>
        </w:rPr>
      </w:pPr>
      <w:r w:rsidRPr="0046120F">
        <w:rPr>
          <w:rFonts w:ascii="Times New Roman" w:hAnsi="Times New Roman" w:cs="Times New Roman"/>
          <w:sz w:val="24"/>
          <w:szCs w:val="24"/>
        </w:rPr>
        <w:t xml:space="preserve">W trakcie prowadzonych działań stwierdzano naruszenia w następującym zakresie: niedostarczenia odpadów przez transportującego do miejsca ich przeznaczenia wskazanego </w:t>
      </w:r>
      <w:r w:rsidR="007C2D11">
        <w:rPr>
          <w:rFonts w:ascii="Times New Roman" w:hAnsi="Times New Roman" w:cs="Times New Roman"/>
          <w:sz w:val="24"/>
          <w:szCs w:val="24"/>
        </w:rPr>
        <w:br/>
      </w:r>
      <w:r w:rsidRPr="0046120F">
        <w:rPr>
          <w:rFonts w:ascii="Times New Roman" w:hAnsi="Times New Roman" w:cs="Times New Roman"/>
          <w:sz w:val="24"/>
          <w:szCs w:val="24"/>
        </w:rPr>
        <w:t>w karcie przekazania odpadów</w:t>
      </w:r>
      <w:r w:rsidR="007C2D11">
        <w:rPr>
          <w:rFonts w:ascii="Times New Roman" w:hAnsi="Times New Roman" w:cs="Times New Roman"/>
          <w:sz w:val="24"/>
          <w:szCs w:val="24"/>
        </w:rPr>
        <w:t>:</w:t>
      </w:r>
    </w:p>
    <w:p w14:paraId="097AE01D" w14:textId="319ABC83" w:rsidR="0046120F" w:rsidRPr="007C2D11" w:rsidRDefault="0046120F" w:rsidP="00D34F97">
      <w:pPr>
        <w:pStyle w:val="Akapitzlist"/>
        <w:numPr>
          <w:ilvl w:val="0"/>
          <w:numId w:val="300"/>
        </w:numPr>
        <w:autoSpaceDE w:val="0"/>
        <w:autoSpaceDN w:val="0"/>
        <w:adjustRightInd w:val="0"/>
        <w:spacing w:line="300" w:lineRule="atLeast"/>
        <w:jc w:val="both"/>
        <w:rPr>
          <w:sz w:val="24"/>
          <w:szCs w:val="24"/>
        </w:rPr>
      </w:pPr>
      <w:r w:rsidRPr="007C2D11">
        <w:rPr>
          <w:sz w:val="24"/>
          <w:szCs w:val="24"/>
        </w:rPr>
        <w:t>poświadczania nieprawdy w dokumentach,</w:t>
      </w:r>
    </w:p>
    <w:p w14:paraId="49F46CC3" w14:textId="398A0EC0" w:rsidR="0046120F" w:rsidRPr="007C2D11" w:rsidRDefault="0046120F" w:rsidP="00D34F97">
      <w:pPr>
        <w:pStyle w:val="Akapitzlist"/>
        <w:numPr>
          <w:ilvl w:val="0"/>
          <w:numId w:val="300"/>
        </w:numPr>
        <w:autoSpaceDE w:val="0"/>
        <w:autoSpaceDN w:val="0"/>
        <w:adjustRightInd w:val="0"/>
        <w:spacing w:line="300" w:lineRule="atLeast"/>
        <w:jc w:val="both"/>
        <w:rPr>
          <w:sz w:val="24"/>
          <w:szCs w:val="24"/>
        </w:rPr>
      </w:pPr>
      <w:r w:rsidRPr="007C2D11">
        <w:rPr>
          <w:sz w:val="24"/>
          <w:szCs w:val="24"/>
        </w:rPr>
        <w:t>nieprowadzenia ewidencji odpadów lub prowadzenie jej w sposób niezgodny ze stanem</w:t>
      </w:r>
    </w:p>
    <w:p w14:paraId="40FD3F78" w14:textId="77777777" w:rsidR="0046120F" w:rsidRPr="007C2D11" w:rsidRDefault="0046120F" w:rsidP="007C2D11">
      <w:pPr>
        <w:pStyle w:val="Akapitzlist"/>
        <w:autoSpaceDE w:val="0"/>
        <w:autoSpaceDN w:val="0"/>
        <w:adjustRightInd w:val="0"/>
        <w:spacing w:line="300" w:lineRule="atLeast"/>
        <w:jc w:val="both"/>
        <w:rPr>
          <w:sz w:val="24"/>
          <w:szCs w:val="24"/>
        </w:rPr>
      </w:pPr>
      <w:r w:rsidRPr="007C2D11">
        <w:rPr>
          <w:sz w:val="24"/>
          <w:szCs w:val="24"/>
        </w:rPr>
        <w:t>rzeczywistym lub nieterminowo,</w:t>
      </w:r>
    </w:p>
    <w:p w14:paraId="4E78B523" w14:textId="35228568" w:rsidR="0046120F" w:rsidRPr="007C2D11" w:rsidRDefault="0046120F" w:rsidP="00D34F97">
      <w:pPr>
        <w:pStyle w:val="Akapitzlist"/>
        <w:numPr>
          <w:ilvl w:val="0"/>
          <w:numId w:val="300"/>
        </w:numPr>
        <w:autoSpaceDE w:val="0"/>
        <w:autoSpaceDN w:val="0"/>
        <w:adjustRightInd w:val="0"/>
        <w:spacing w:line="300" w:lineRule="atLeast"/>
        <w:jc w:val="both"/>
        <w:rPr>
          <w:sz w:val="24"/>
          <w:szCs w:val="24"/>
        </w:rPr>
      </w:pPr>
      <w:r w:rsidRPr="007C2D11">
        <w:rPr>
          <w:sz w:val="24"/>
          <w:szCs w:val="24"/>
        </w:rPr>
        <w:t>dokonywania poza stacją demontażu pojazdów i bez wymaganego zezwolenia</w:t>
      </w:r>
      <w:r w:rsidR="007C2D11">
        <w:rPr>
          <w:sz w:val="24"/>
          <w:szCs w:val="24"/>
          <w:lang w:val="pl-PL"/>
        </w:rPr>
        <w:t>,</w:t>
      </w:r>
    </w:p>
    <w:p w14:paraId="07C9D1B1" w14:textId="77777777" w:rsidR="0046120F" w:rsidRPr="007C2D11" w:rsidRDefault="0046120F" w:rsidP="00D34F97">
      <w:pPr>
        <w:pStyle w:val="Akapitzlist"/>
        <w:numPr>
          <w:ilvl w:val="0"/>
          <w:numId w:val="300"/>
        </w:numPr>
        <w:autoSpaceDE w:val="0"/>
        <w:autoSpaceDN w:val="0"/>
        <w:adjustRightInd w:val="0"/>
        <w:spacing w:line="300" w:lineRule="atLeast"/>
        <w:jc w:val="both"/>
        <w:rPr>
          <w:sz w:val="24"/>
          <w:szCs w:val="24"/>
        </w:rPr>
      </w:pPr>
      <w:r w:rsidRPr="007C2D11">
        <w:rPr>
          <w:sz w:val="24"/>
          <w:szCs w:val="24"/>
        </w:rPr>
        <w:t>wymontowania z pojazdów wycofanych z eksploatacji przedmiotów wyposażenia oraz</w:t>
      </w:r>
    </w:p>
    <w:p w14:paraId="54FEC4D8" w14:textId="02F00B0B" w:rsidR="0046120F" w:rsidRPr="007C2D11" w:rsidRDefault="0046120F" w:rsidP="007C2D11">
      <w:pPr>
        <w:pStyle w:val="Akapitzlist"/>
        <w:autoSpaceDE w:val="0"/>
        <w:autoSpaceDN w:val="0"/>
        <w:adjustRightInd w:val="0"/>
        <w:spacing w:line="300" w:lineRule="atLeast"/>
        <w:jc w:val="both"/>
        <w:rPr>
          <w:sz w:val="24"/>
          <w:szCs w:val="24"/>
        </w:rPr>
      </w:pPr>
      <w:r w:rsidRPr="007C2D11">
        <w:rPr>
          <w:sz w:val="24"/>
          <w:szCs w:val="24"/>
        </w:rPr>
        <w:t>części nadających się do ponownego użycia oraz wymontowania z pojazdów wycofanych</w:t>
      </w:r>
      <w:r w:rsidR="007C2D11">
        <w:rPr>
          <w:sz w:val="24"/>
          <w:szCs w:val="24"/>
          <w:lang w:val="pl-PL"/>
        </w:rPr>
        <w:t xml:space="preserve"> </w:t>
      </w:r>
      <w:r w:rsidRPr="007C2D11">
        <w:rPr>
          <w:sz w:val="24"/>
          <w:szCs w:val="24"/>
        </w:rPr>
        <w:t>z eksploatacji elementów nadających się do odzysku lub recyklingu,</w:t>
      </w:r>
    </w:p>
    <w:p w14:paraId="4CD28615" w14:textId="4AE3D9FC" w:rsidR="0046120F" w:rsidRPr="007C2D11" w:rsidRDefault="0046120F" w:rsidP="00D34F97">
      <w:pPr>
        <w:pStyle w:val="Akapitzlist"/>
        <w:numPr>
          <w:ilvl w:val="0"/>
          <w:numId w:val="300"/>
        </w:numPr>
        <w:autoSpaceDE w:val="0"/>
        <w:autoSpaceDN w:val="0"/>
        <w:adjustRightInd w:val="0"/>
        <w:spacing w:line="300" w:lineRule="atLeast"/>
        <w:jc w:val="both"/>
        <w:rPr>
          <w:sz w:val="24"/>
          <w:szCs w:val="24"/>
        </w:rPr>
      </w:pPr>
      <w:r w:rsidRPr="007C2D11">
        <w:rPr>
          <w:sz w:val="24"/>
          <w:szCs w:val="24"/>
        </w:rPr>
        <w:t xml:space="preserve">termicznego przekształcania odpadów poza spalarniami i </w:t>
      </w:r>
      <w:proofErr w:type="spellStart"/>
      <w:r w:rsidRPr="007C2D11">
        <w:rPr>
          <w:sz w:val="24"/>
          <w:szCs w:val="24"/>
        </w:rPr>
        <w:t>współspalarniami</w:t>
      </w:r>
      <w:proofErr w:type="spellEnd"/>
      <w:r w:rsidRPr="007C2D11">
        <w:rPr>
          <w:sz w:val="24"/>
          <w:szCs w:val="24"/>
        </w:rPr>
        <w:t xml:space="preserve"> odpadów,</w:t>
      </w:r>
    </w:p>
    <w:p w14:paraId="436EB7E2" w14:textId="6DD82FC0" w:rsidR="0046120F" w:rsidRPr="007C2D11" w:rsidRDefault="0046120F" w:rsidP="00D34F97">
      <w:pPr>
        <w:pStyle w:val="Akapitzlist"/>
        <w:numPr>
          <w:ilvl w:val="0"/>
          <w:numId w:val="300"/>
        </w:numPr>
        <w:autoSpaceDE w:val="0"/>
        <w:autoSpaceDN w:val="0"/>
        <w:adjustRightInd w:val="0"/>
        <w:spacing w:line="300" w:lineRule="atLeast"/>
        <w:jc w:val="both"/>
        <w:rPr>
          <w:sz w:val="24"/>
          <w:szCs w:val="24"/>
        </w:rPr>
      </w:pPr>
      <w:r w:rsidRPr="007C2D11">
        <w:rPr>
          <w:sz w:val="24"/>
          <w:szCs w:val="24"/>
        </w:rPr>
        <w:lastRenderedPageBreak/>
        <w:t>prowadzenia gospodarki odpadami niezgodnie z art. 16 ustawy o odpadach,</w:t>
      </w:r>
    </w:p>
    <w:p w14:paraId="0991344B" w14:textId="1625E4BD" w:rsidR="0046120F" w:rsidRPr="007C2D11" w:rsidRDefault="0046120F" w:rsidP="00D34F97">
      <w:pPr>
        <w:pStyle w:val="Akapitzlist"/>
        <w:numPr>
          <w:ilvl w:val="0"/>
          <w:numId w:val="300"/>
        </w:numPr>
        <w:autoSpaceDE w:val="0"/>
        <w:autoSpaceDN w:val="0"/>
        <w:adjustRightInd w:val="0"/>
        <w:spacing w:line="300" w:lineRule="atLeast"/>
        <w:jc w:val="both"/>
        <w:rPr>
          <w:sz w:val="24"/>
          <w:szCs w:val="24"/>
        </w:rPr>
      </w:pPr>
      <w:r w:rsidRPr="007C2D11">
        <w:rPr>
          <w:sz w:val="24"/>
          <w:szCs w:val="24"/>
        </w:rPr>
        <w:t>przekazywania odpadów nieuprawnionym odbiorcom,</w:t>
      </w:r>
    </w:p>
    <w:p w14:paraId="228FD6E6" w14:textId="0795720A" w:rsidR="0046120F" w:rsidRPr="007C2D11" w:rsidRDefault="0046120F" w:rsidP="00D34F97">
      <w:pPr>
        <w:pStyle w:val="Akapitzlist"/>
        <w:numPr>
          <w:ilvl w:val="0"/>
          <w:numId w:val="300"/>
        </w:numPr>
        <w:autoSpaceDE w:val="0"/>
        <w:autoSpaceDN w:val="0"/>
        <w:adjustRightInd w:val="0"/>
        <w:spacing w:line="300" w:lineRule="atLeast"/>
        <w:jc w:val="both"/>
        <w:rPr>
          <w:sz w:val="24"/>
          <w:szCs w:val="24"/>
        </w:rPr>
      </w:pPr>
      <w:r w:rsidRPr="007C2D11">
        <w:rPr>
          <w:sz w:val="24"/>
          <w:szCs w:val="24"/>
        </w:rPr>
        <w:t>braku uregulowań formalno-prawnych w zakresie emisji gazów lub pyłów do powietrza,</w:t>
      </w:r>
    </w:p>
    <w:p w14:paraId="79D025F4" w14:textId="5721E047" w:rsidR="0046120F" w:rsidRPr="007C2D11" w:rsidRDefault="0046120F" w:rsidP="00D34F97">
      <w:pPr>
        <w:pStyle w:val="Akapitzlist"/>
        <w:numPr>
          <w:ilvl w:val="0"/>
          <w:numId w:val="300"/>
        </w:numPr>
        <w:autoSpaceDE w:val="0"/>
        <w:autoSpaceDN w:val="0"/>
        <w:adjustRightInd w:val="0"/>
        <w:spacing w:line="300" w:lineRule="atLeast"/>
        <w:rPr>
          <w:sz w:val="24"/>
          <w:szCs w:val="24"/>
        </w:rPr>
      </w:pPr>
      <w:r w:rsidRPr="007C2D11">
        <w:rPr>
          <w:sz w:val="24"/>
          <w:szCs w:val="24"/>
        </w:rPr>
        <w:t>braku uregulowań formalno-prawnych w zakresie wprowadzania ścieków do wód lub do</w:t>
      </w:r>
      <w:r w:rsidR="007C2D11" w:rsidRPr="007C2D11">
        <w:rPr>
          <w:sz w:val="24"/>
          <w:szCs w:val="24"/>
          <w:lang w:val="pl-PL"/>
        </w:rPr>
        <w:t xml:space="preserve"> </w:t>
      </w:r>
      <w:r w:rsidRPr="007C2D11">
        <w:rPr>
          <w:sz w:val="24"/>
          <w:szCs w:val="24"/>
        </w:rPr>
        <w:t>ziemi,</w:t>
      </w:r>
    </w:p>
    <w:p w14:paraId="414D0119" w14:textId="7C0917F3" w:rsidR="0046120F" w:rsidRPr="007C2D11" w:rsidRDefault="0046120F" w:rsidP="00D34F97">
      <w:pPr>
        <w:pStyle w:val="Akapitzlist"/>
        <w:numPr>
          <w:ilvl w:val="0"/>
          <w:numId w:val="300"/>
        </w:numPr>
        <w:autoSpaceDE w:val="0"/>
        <w:autoSpaceDN w:val="0"/>
        <w:adjustRightInd w:val="0"/>
        <w:spacing w:line="300" w:lineRule="atLeast"/>
        <w:rPr>
          <w:sz w:val="24"/>
          <w:szCs w:val="24"/>
        </w:rPr>
      </w:pPr>
      <w:r w:rsidRPr="007C2D11">
        <w:rPr>
          <w:sz w:val="24"/>
          <w:szCs w:val="24"/>
        </w:rPr>
        <w:t>naruszenia warunków określonych w posiadanych decyzjach,</w:t>
      </w:r>
    </w:p>
    <w:p w14:paraId="422FE570" w14:textId="14264ED9" w:rsidR="0046120F" w:rsidRPr="007C2D11" w:rsidRDefault="0046120F" w:rsidP="00D34F97">
      <w:pPr>
        <w:pStyle w:val="Akapitzlist"/>
        <w:numPr>
          <w:ilvl w:val="0"/>
          <w:numId w:val="300"/>
        </w:numPr>
        <w:autoSpaceDE w:val="0"/>
        <w:autoSpaceDN w:val="0"/>
        <w:adjustRightInd w:val="0"/>
        <w:spacing w:line="300" w:lineRule="atLeast"/>
        <w:rPr>
          <w:sz w:val="24"/>
          <w:szCs w:val="24"/>
        </w:rPr>
      </w:pPr>
      <w:r w:rsidRPr="007C2D11">
        <w:rPr>
          <w:sz w:val="24"/>
          <w:szCs w:val="24"/>
        </w:rPr>
        <w:t>zanieczyszczenia wód,</w:t>
      </w:r>
    </w:p>
    <w:p w14:paraId="4281CCDC" w14:textId="7C9EDCF2" w:rsidR="0046120F" w:rsidRPr="007C2D11" w:rsidRDefault="0046120F" w:rsidP="00D34F97">
      <w:pPr>
        <w:pStyle w:val="Akapitzlist"/>
        <w:numPr>
          <w:ilvl w:val="0"/>
          <w:numId w:val="300"/>
        </w:numPr>
        <w:autoSpaceDE w:val="0"/>
        <w:autoSpaceDN w:val="0"/>
        <w:adjustRightInd w:val="0"/>
        <w:spacing w:line="300" w:lineRule="atLeast"/>
        <w:rPr>
          <w:sz w:val="24"/>
          <w:szCs w:val="24"/>
        </w:rPr>
      </w:pPr>
      <w:r w:rsidRPr="007C2D11">
        <w:rPr>
          <w:sz w:val="24"/>
          <w:szCs w:val="24"/>
        </w:rPr>
        <w:t>zanieczyszczenia powierzchni ziemi,</w:t>
      </w:r>
    </w:p>
    <w:p w14:paraId="089CDF3B" w14:textId="10192D60" w:rsidR="0046120F" w:rsidRPr="007C2D11" w:rsidRDefault="0046120F" w:rsidP="00D34F97">
      <w:pPr>
        <w:pStyle w:val="Akapitzlist"/>
        <w:numPr>
          <w:ilvl w:val="0"/>
          <w:numId w:val="300"/>
        </w:numPr>
        <w:autoSpaceDE w:val="0"/>
        <w:autoSpaceDN w:val="0"/>
        <w:adjustRightInd w:val="0"/>
        <w:spacing w:line="300" w:lineRule="atLeast"/>
        <w:rPr>
          <w:sz w:val="24"/>
          <w:szCs w:val="24"/>
        </w:rPr>
      </w:pPr>
      <w:r w:rsidRPr="007C2D11">
        <w:rPr>
          <w:sz w:val="24"/>
          <w:szCs w:val="24"/>
        </w:rPr>
        <w:t>transportu odpadów niezgodnie z wymaganiami,</w:t>
      </w:r>
    </w:p>
    <w:p w14:paraId="052C7C9B" w14:textId="49CA77FC" w:rsidR="0046120F" w:rsidRPr="007C2D11" w:rsidRDefault="0046120F" w:rsidP="00D34F97">
      <w:pPr>
        <w:pStyle w:val="Akapitzlist"/>
        <w:numPr>
          <w:ilvl w:val="0"/>
          <w:numId w:val="300"/>
        </w:numPr>
        <w:spacing w:line="300" w:lineRule="atLeast"/>
        <w:ind w:left="714" w:hanging="357"/>
        <w:jc w:val="both"/>
        <w:rPr>
          <w:sz w:val="24"/>
          <w:szCs w:val="24"/>
        </w:rPr>
      </w:pPr>
      <w:r w:rsidRPr="007C2D11">
        <w:rPr>
          <w:sz w:val="24"/>
          <w:szCs w:val="24"/>
        </w:rPr>
        <w:t>nielegalnego transgranicznego przemieszczania odpadów.</w:t>
      </w:r>
    </w:p>
    <w:p w14:paraId="16B4F332" w14:textId="77777777" w:rsidR="0046120F" w:rsidRPr="0046120F" w:rsidRDefault="0046120F" w:rsidP="0046120F">
      <w:pPr>
        <w:spacing w:line="300" w:lineRule="atLeast"/>
        <w:contextualSpacing/>
        <w:jc w:val="both"/>
        <w:rPr>
          <w:rFonts w:ascii="Times New Roman" w:hAnsi="Times New Roman" w:cs="Times New Roman"/>
          <w:i/>
          <w:color w:val="4472C4"/>
          <w:sz w:val="24"/>
          <w:szCs w:val="24"/>
        </w:rPr>
      </w:pPr>
    </w:p>
    <w:p w14:paraId="36E27113" w14:textId="77777777" w:rsidR="0046120F" w:rsidRPr="0046120F" w:rsidRDefault="0046120F" w:rsidP="007C2D11">
      <w:pPr>
        <w:spacing w:after="60" w:line="300" w:lineRule="atLeast"/>
        <w:jc w:val="both"/>
        <w:rPr>
          <w:rFonts w:ascii="Times New Roman" w:hAnsi="Times New Roman" w:cs="Times New Roman"/>
          <w:i/>
          <w:color w:val="4472C4"/>
          <w:sz w:val="24"/>
          <w:szCs w:val="24"/>
        </w:rPr>
      </w:pPr>
      <w:r w:rsidRPr="0046120F">
        <w:rPr>
          <w:rFonts w:ascii="Times New Roman" w:hAnsi="Times New Roman" w:cs="Times New Roman"/>
          <w:i/>
          <w:color w:val="4472C4"/>
          <w:sz w:val="24"/>
          <w:szCs w:val="24"/>
        </w:rPr>
        <w:t>Wojewódzki Inspektorat Ochrony Środowiska w Lublinie</w:t>
      </w:r>
    </w:p>
    <w:p w14:paraId="2818AA50" w14:textId="0F8A238A" w:rsidR="0046120F" w:rsidRPr="0046120F" w:rsidRDefault="0046120F" w:rsidP="00694CC9">
      <w:pPr>
        <w:spacing w:line="300" w:lineRule="atLeast"/>
        <w:ind w:firstLine="567"/>
        <w:contextualSpacing/>
        <w:jc w:val="both"/>
        <w:rPr>
          <w:rFonts w:ascii="Times New Roman" w:hAnsi="Times New Roman" w:cs="Times New Roman"/>
          <w:sz w:val="24"/>
          <w:szCs w:val="24"/>
        </w:rPr>
      </w:pPr>
      <w:r w:rsidRPr="0046120F">
        <w:rPr>
          <w:rFonts w:ascii="Times New Roman" w:hAnsi="Times New Roman" w:cs="Times New Roman"/>
          <w:sz w:val="24"/>
          <w:szCs w:val="24"/>
        </w:rPr>
        <w:t xml:space="preserve">W 5 przypadkach stwierdzono prowadzenie nielegalnego demontażu pojazdów, </w:t>
      </w:r>
      <w:r w:rsidR="009945A8">
        <w:rPr>
          <w:rFonts w:ascii="Times New Roman" w:hAnsi="Times New Roman" w:cs="Times New Roman"/>
          <w:sz w:val="24"/>
          <w:szCs w:val="24"/>
        </w:rPr>
        <w:br/>
      </w:r>
      <w:r w:rsidRPr="0046120F">
        <w:rPr>
          <w:rFonts w:ascii="Times New Roman" w:hAnsi="Times New Roman" w:cs="Times New Roman"/>
          <w:sz w:val="24"/>
          <w:szCs w:val="24"/>
        </w:rPr>
        <w:t xml:space="preserve">w 3 przypadkach wyłącznie zbieranie pojazdów, wykryto również niewłaściwe postępowanie z odpadami. </w:t>
      </w:r>
    </w:p>
    <w:p w14:paraId="554A92AE" w14:textId="77777777" w:rsidR="0046120F" w:rsidRPr="0046120F" w:rsidRDefault="0046120F" w:rsidP="0046120F">
      <w:pPr>
        <w:spacing w:line="300" w:lineRule="atLeast"/>
        <w:contextualSpacing/>
        <w:jc w:val="both"/>
        <w:rPr>
          <w:rFonts w:ascii="Times New Roman" w:hAnsi="Times New Roman" w:cs="Times New Roman"/>
          <w:i/>
          <w:color w:val="4472C4"/>
          <w:sz w:val="24"/>
          <w:szCs w:val="24"/>
        </w:rPr>
      </w:pPr>
    </w:p>
    <w:p w14:paraId="28EA1253" w14:textId="77777777" w:rsidR="0046120F" w:rsidRPr="0046120F" w:rsidRDefault="0046120F" w:rsidP="009945A8">
      <w:pPr>
        <w:spacing w:after="60" w:line="300" w:lineRule="atLeast"/>
        <w:jc w:val="both"/>
        <w:rPr>
          <w:rFonts w:ascii="Times New Roman" w:hAnsi="Times New Roman" w:cs="Times New Roman"/>
          <w:i/>
          <w:color w:val="4472C4"/>
          <w:sz w:val="24"/>
          <w:szCs w:val="24"/>
        </w:rPr>
      </w:pPr>
      <w:r w:rsidRPr="0046120F">
        <w:rPr>
          <w:rFonts w:ascii="Times New Roman" w:hAnsi="Times New Roman" w:cs="Times New Roman"/>
          <w:i/>
          <w:color w:val="4472C4"/>
          <w:sz w:val="24"/>
          <w:szCs w:val="24"/>
        </w:rPr>
        <w:t>Wojewódzki Inspektorat Ochrony Środowiska w Łodzi</w:t>
      </w:r>
    </w:p>
    <w:p w14:paraId="36CDD052" w14:textId="77777777" w:rsidR="0046120F" w:rsidRPr="0046120F" w:rsidRDefault="0046120F" w:rsidP="009945A8">
      <w:pPr>
        <w:spacing w:line="300" w:lineRule="atLeast"/>
        <w:contextualSpacing/>
        <w:jc w:val="both"/>
        <w:rPr>
          <w:rFonts w:ascii="Times New Roman" w:hAnsi="Times New Roman" w:cs="Times New Roman"/>
          <w:sz w:val="24"/>
          <w:szCs w:val="24"/>
        </w:rPr>
      </w:pPr>
      <w:r w:rsidRPr="0046120F">
        <w:rPr>
          <w:rFonts w:ascii="Times New Roman" w:hAnsi="Times New Roman" w:cs="Times New Roman"/>
          <w:sz w:val="24"/>
          <w:szCs w:val="24"/>
        </w:rPr>
        <w:t>Najczęstszymi naruszeniami stwierdzanymi podczas kontroli były:</w:t>
      </w:r>
    </w:p>
    <w:p w14:paraId="10BDAF49" w14:textId="77777777" w:rsidR="0046120F" w:rsidRPr="0046120F" w:rsidRDefault="0046120F" w:rsidP="00D34F97">
      <w:pPr>
        <w:numPr>
          <w:ilvl w:val="0"/>
          <w:numId w:val="294"/>
        </w:numPr>
        <w:spacing w:after="0" w:line="300" w:lineRule="atLeast"/>
        <w:ind w:left="568" w:hanging="284"/>
        <w:contextualSpacing/>
        <w:jc w:val="both"/>
        <w:rPr>
          <w:rFonts w:ascii="Times New Roman" w:hAnsi="Times New Roman" w:cs="Times New Roman"/>
          <w:sz w:val="24"/>
          <w:szCs w:val="24"/>
        </w:rPr>
      </w:pPr>
      <w:r w:rsidRPr="0046120F">
        <w:rPr>
          <w:rFonts w:ascii="Times New Roman" w:hAnsi="Times New Roman" w:cs="Times New Roman"/>
          <w:sz w:val="24"/>
          <w:szCs w:val="24"/>
        </w:rPr>
        <w:t>poświadczanie nieprawdy w dokumentach i ewidencji przez podmioty transportujące odpady oraz niedostarczanie odpadów do miejsca wskazanego w KPO,</w:t>
      </w:r>
    </w:p>
    <w:p w14:paraId="57FA40A9" w14:textId="77777777" w:rsidR="0046120F" w:rsidRPr="0046120F" w:rsidRDefault="0046120F" w:rsidP="00D34F97">
      <w:pPr>
        <w:numPr>
          <w:ilvl w:val="0"/>
          <w:numId w:val="295"/>
        </w:numPr>
        <w:spacing w:after="0" w:line="300" w:lineRule="atLeast"/>
        <w:ind w:left="568" w:hanging="284"/>
        <w:contextualSpacing/>
        <w:jc w:val="both"/>
        <w:rPr>
          <w:rFonts w:ascii="Times New Roman" w:hAnsi="Times New Roman" w:cs="Times New Roman"/>
          <w:sz w:val="24"/>
          <w:szCs w:val="24"/>
        </w:rPr>
      </w:pPr>
      <w:r w:rsidRPr="0046120F">
        <w:rPr>
          <w:rFonts w:ascii="Times New Roman" w:hAnsi="Times New Roman" w:cs="Times New Roman"/>
          <w:sz w:val="24"/>
          <w:szCs w:val="24"/>
        </w:rPr>
        <w:t>niedostarczenie odpadów do miejsca wskazanego w karcie przekazania odpadów,</w:t>
      </w:r>
    </w:p>
    <w:p w14:paraId="368F75A0" w14:textId="77777777" w:rsidR="0046120F" w:rsidRPr="0046120F" w:rsidRDefault="0046120F" w:rsidP="00D34F97">
      <w:pPr>
        <w:numPr>
          <w:ilvl w:val="0"/>
          <w:numId w:val="295"/>
        </w:numPr>
        <w:spacing w:after="0" w:line="300" w:lineRule="atLeast"/>
        <w:ind w:left="568" w:hanging="284"/>
        <w:contextualSpacing/>
        <w:jc w:val="both"/>
        <w:rPr>
          <w:rFonts w:ascii="Times New Roman" w:hAnsi="Times New Roman" w:cs="Times New Roman"/>
          <w:sz w:val="24"/>
          <w:szCs w:val="24"/>
        </w:rPr>
      </w:pPr>
      <w:r w:rsidRPr="0046120F">
        <w:rPr>
          <w:rFonts w:ascii="Times New Roman" w:hAnsi="Times New Roman" w:cs="Times New Roman"/>
          <w:sz w:val="24"/>
          <w:szCs w:val="24"/>
        </w:rPr>
        <w:t>przetwarzanie odpadów bez wymaganego zezwolenia,</w:t>
      </w:r>
    </w:p>
    <w:p w14:paraId="38A059FC" w14:textId="77777777" w:rsidR="0046120F" w:rsidRPr="0046120F" w:rsidRDefault="0046120F" w:rsidP="00D34F97">
      <w:pPr>
        <w:numPr>
          <w:ilvl w:val="0"/>
          <w:numId w:val="295"/>
        </w:numPr>
        <w:spacing w:after="0" w:line="300" w:lineRule="atLeast"/>
        <w:ind w:left="568" w:hanging="284"/>
        <w:contextualSpacing/>
        <w:jc w:val="both"/>
        <w:rPr>
          <w:rFonts w:ascii="Times New Roman" w:hAnsi="Times New Roman" w:cs="Times New Roman"/>
          <w:sz w:val="24"/>
          <w:szCs w:val="24"/>
        </w:rPr>
      </w:pPr>
      <w:r w:rsidRPr="0046120F">
        <w:rPr>
          <w:rFonts w:ascii="Times New Roman" w:hAnsi="Times New Roman" w:cs="Times New Roman"/>
          <w:sz w:val="24"/>
          <w:szCs w:val="24"/>
        </w:rPr>
        <w:t xml:space="preserve">prowadzenie transportów odpadów niezgodnych z dokumentacją, </w:t>
      </w:r>
    </w:p>
    <w:p w14:paraId="7AA8F0BC" w14:textId="77777777" w:rsidR="0046120F" w:rsidRPr="0046120F" w:rsidRDefault="0046120F" w:rsidP="00D34F97">
      <w:pPr>
        <w:numPr>
          <w:ilvl w:val="0"/>
          <w:numId w:val="295"/>
        </w:numPr>
        <w:spacing w:after="0" w:line="300" w:lineRule="atLeast"/>
        <w:ind w:left="568" w:hanging="284"/>
        <w:contextualSpacing/>
        <w:jc w:val="both"/>
        <w:rPr>
          <w:rFonts w:ascii="Times New Roman" w:hAnsi="Times New Roman" w:cs="Times New Roman"/>
          <w:sz w:val="24"/>
          <w:szCs w:val="24"/>
        </w:rPr>
      </w:pPr>
      <w:r w:rsidRPr="0046120F">
        <w:rPr>
          <w:rFonts w:ascii="Times New Roman" w:hAnsi="Times New Roman" w:cs="Times New Roman"/>
          <w:sz w:val="24"/>
          <w:szCs w:val="24"/>
        </w:rPr>
        <w:t>fikcyjne przemieszczenia odpadów,</w:t>
      </w:r>
    </w:p>
    <w:p w14:paraId="3E28547B" w14:textId="77777777" w:rsidR="0046120F" w:rsidRPr="0046120F" w:rsidRDefault="0046120F" w:rsidP="00D34F97">
      <w:pPr>
        <w:numPr>
          <w:ilvl w:val="0"/>
          <w:numId w:val="295"/>
        </w:numPr>
        <w:spacing w:after="0" w:line="300" w:lineRule="atLeast"/>
        <w:ind w:left="568" w:hanging="284"/>
        <w:contextualSpacing/>
        <w:jc w:val="both"/>
        <w:rPr>
          <w:rFonts w:ascii="Times New Roman" w:hAnsi="Times New Roman" w:cs="Times New Roman"/>
          <w:sz w:val="24"/>
          <w:szCs w:val="24"/>
        </w:rPr>
      </w:pPr>
      <w:r w:rsidRPr="0046120F">
        <w:rPr>
          <w:rFonts w:ascii="Times New Roman" w:hAnsi="Times New Roman" w:cs="Times New Roman"/>
          <w:sz w:val="24"/>
          <w:szCs w:val="24"/>
        </w:rPr>
        <w:t>poświadczenia nieprawdy w dokumentach przez podmioty przekazujące odpady,</w:t>
      </w:r>
    </w:p>
    <w:p w14:paraId="2C3DDA03" w14:textId="30D28646" w:rsidR="0046120F" w:rsidRPr="0046120F" w:rsidRDefault="0046120F" w:rsidP="00D34F97">
      <w:pPr>
        <w:numPr>
          <w:ilvl w:val="0"/>
          <w:numId w:val="295"/>
        </w:numPr>
        <w:spacing w:after="0" w:line="300" w:lineRule="atLeast"/>
        <w:ind w:left="568" w:hanging="284"/>
        <w:contextualSpacing/>
        <w:jc w:val="both"/>
        <w:rPr>
          <w:rFonts w:ascii="Times New Roman" w:hAnsi="Times New Roman" w:cs="Times New Roman"/>
          <w:sz w:val="24"/>
          <w:szCs w:val="24"/>
        </w:rPr>
      </w:pPr>
      <w:r w:rsidRPr="0046120F">
        <w:rPr>
          <w:rFonts w:ascii="Times New Roman" w:hAnsi="Times New Roman" w:cs="Times New Roman"/>
          <w:sz w:val="24"/>
          <w:szCs w:val="24"/>
        </w:rPr>
        <w:t>porzucenia odpadów (w tym niebezpiecznych),</w:t>
      </w:r>
    </w:p>
    <w:p w14:paraId="5BE16B12" w14:textId="77777777" w:rsidR="0046120F" w:rsidRPr="0046120F" w:rsidRDefault="0046120F" w:rsidP="00D34F97">
      <w:pPr>
        <w:numPr>
          <w:ilvl w:val="0"/>
          <w:numId w:val="295"/>
        </w:numPr>
        <w:spacing w:after="0" w:line="300" w:lineRule="atLeast"/>
        <w:ind w:left="568" w:hanging="284"/>
        <w:contextualSpacing/>
        <w:jc w:val="both"/>
        <w:rPr>
          <w:rFonts w:ascii="Times New Roman" w:hAnsi="Times New Roman" w:cs="Times New Roman"/>
          <w:sz w:val="24"/>
          <w:szCs w:val="24"/>
        </w:rPr>
      </w:pPr>
      <w:r w:rsidRPr="0046120F">
        <w:rPr>
          <w:rFonts w:ascii="Times New Roman" w:hAnsi="Times New Roman" w:cs="Times New Roman"/>
          <w:sz w:val="24"/>
          <w:szCs w:val="24"/>
        </w:rPr>
        <w:t xml:space="preserve">spalanie odpadów na powierzchni ziemi, </w:t>
      </w:r>
    </w:p>
    <w:p w14:paraId="71D58467" w14:textId="77777777" w:rsidR="0046120F" w:rsidRPr="0046120F" w:rsidRDefault="0046120F" w:rsidP="00D34F97">
      <w:pPr>
        <w:numPr>
          <w:ilvl w:val="0"/>
          <w:numId w:val="295"/>
        </w:numPr>
        <w:spacing w:after="0" w:line="300" w:lineRule="atLeast"/>
        <w:ind w:left="568" w:hanging="284"/>
        <w:contextualSpacing/>
        <w:jc w:val="both"/>
        <w:rPr>
          <w:rFonts w:ascii="Times New Roman" w:hAnsi="Times New Roman" w:cs="Times New Roman"/>
          <w:sz w:val="24"/>
          <w:szCs w:val="24"/>
        </w:rPr>
      </w:pPr>
      <w:r w:rsidRPr="0046120F">
        <w:rPr>
          <w:rFonts w:ascii="Times New Roman" w:hAnsi="Times New Roman" w:cs="Times New Roman"/>
          <w:sz w:val="24"/>
          <w:szCs w:val="24"/>
        </w:rPr>
        <w:t>zbieranie i przetwarzanie odpadów bez zezwolenia,</w:t>
      </w:r>
    </w:p>
    <w:p w14:paraId="27454EB8" w14:textId="77777777" w:rsidR="0046120F" w:rsidRPr="0046120F" w:rsidRDefault="0046120F" w:rsidP="00D34F97">
      <w:pPr>
        <w:numPr>
          <w:ilvl w:val="0"/>
          <w:numId w:val="295"/>
        </w:numPr>
        <w:spacing w:after="0" w:line="300" w:lineRule="atLeast"/>
        <w:ind w:left="568" w:hanging="284"/>
        <w:contextualSpacing/>
        <w:jc w:val="both"/>
        <w:rPr>
          <w:rFonts w:ascii="Times New Roman" w:hAnsi="Times New Roman" w:cs="Times New Roman"/>
          <w:sz w:val="24"/>
          <w:szCs w:val="24"/>
        </w:rPr>
      </w:pPr>
      <w:r w:rsidRPr="0046120F">
        <w:rPr>
          <w:rFonts w:ascii="Times New Roman" w:hAnsi="Times New Roman" w:cs="Times New Roman"/>
          <w:sz w:val="24"/>
          <w:szCs w:val="24"/>
        </w:rPr>
        <w:t>odprowadzanie nieoczyszczonych ścieków.</w:t>
      </w:r>
    </w:p>
    <w:p w14:paraId="28E9A084" w14:textId="77777777" w:rsidR="0046120F" w:rsidRPr="0046120F" w:rsidRDefault="0046120F" w:rsidP="0046120F">
      <w:pPr>
        <w:spacing w:line="300" w:lineRule="atLeast"/>
        <w:contextualSpacing/>
        <w:jc w:val="both"/>
        <w:rPr>
          <w:rFonts w:ascii="Times New Roman" w:hAnsi="Times New Roman" w:cs="Times New Roman"/>
          <w:i/>
          <w:color w:val="4472C4"/>
          <w:sz w:val="24"/>
          <w:szCs w:val="24"/>
        </w:rPr>
      </w:pPr>
    </w:p>
    <w:p w14:paraId="25BFC038" w14:textId="77777777" w:rsidR="0046120F" w:rsidRPr="0046120F" w:rsidRDefault="0046120F" w:rsidP="009945A8">
      <w:pPr>
        <w:spacing w:after="60" w:line="300" w:lineRule="atLeast"/>
        <w:jc w:val="both"/>
        <w:rPr>
          <w:rFonts w:ascii="Times New Roman" w:hAnsi="Times New Roman" w:cs="Times New Roman"/>
          <w:i/>
          <w:color w:val="4472C4"/>
          <w:sz w:val="24"/>
          <w:szCs w:val="24"/>
        </w:rPr>
      </w:pPr>
      <w:r w:rsidRPr="0046120F">
        <w:rPr>
          <w:rFonts w:ascii="Times New Roman" w:hAnsi="Times New Roman" w:cs="Times New Roman"/>
          <w:i/>
          <w:color w:val="4472C4"/>
          <w:sz w:val="24"/>
          <w:szCs w:val="24"/>
        </w:rPr>
        <w:t>Wojewódzki Inspektorat Ochrony Środowiska w Olsztynie</w:t>
      </w:r>
    </w:p>
    <w:p w14:paraId="483DFD22" w14:textId="2AF02436" w:rsidR="0046120F" w:rsidRPr="0046120F" w:rsidRDefault="0046120F" w:rsidP="009945A8">
      <w:pPr>
        <w:spacing w:line="300" w:lineRule="atLeast"/>
        <w:ind w:firstLine="567"/>
        <w:contextualSpacing/>
        <w:jc w:val="both"/>
        <w:rPr>
          <w:rFonts w:ascii="Times New Roman" w:hAnsi="Times New Roman" w:cs="Times New Roman"/>
          <w:sz w:val="24"/>
          <w:szCs w:val="24"/>
        </w:rPr>
      </w:pPr>
      <w:r w:rsidRPr="0046120F">
        <w:rPr>
          <w:rFonts w:ascii="Times New Roman" w:hAnsi="Times New Roman" w:cs="Times New Roman"/>
          <w:sz w:val="24"/>
          <w:szCs w:val="24"/>
        </w:rPr>
        <w:t xml:space="preserve">W 2021 r. przeprowadzono 15 kontroli wskutek działań prowadzonych w związku </w:t>
      </w:r>
      <w:r w:rsidR="009945A8">
        <w:rPr>
          <w:rFonts w:ascii="Times New Roman" w:hAnsi="Times New Roman" w:cs="Times New Roman"/>
          <w:sz w:val="24"/>
          <w:szCs w:val="24"/>
        </w:rPr>
        <w:br/>
      </w:r>
      <w:r w:rsidRPr="0046120F">
        <w:rPr>
          <w:rFonts w:ascii="Times New Roman" w:hAnsi="Times New Roman" w:cs="Times New Roman"/>
          <w:sz w:val="24"/>
          <w:szCs w:val="24"/>
        </w:rPr>
        <w:t xml:space="preserve">z podejrzeniem popełnienia przestępstwa lub wykroczenia przeciwko środowisku, natomiast </w:t>
      </w:r>
      <w:r w:rsidR="009945A8">
        <w:rPr>
          <w:rFonts w:ascii="Times New Roman" w:hAnsi="Times New Roman" w:cs="Times New Roman"/>
          <w:sz w:val="24"/>
          <w:szCs w:val="24"/>
        </w:rPr>
        <w:br/>
      </w:r>
      <w:r w:rsidRPr="0046120F">
        <w:rPr>
          <w:rFonts w:ascii="Times New Roman" w:hAnsi="Times New Roman" w:cs="Times New Roman"/>
          <w:sz w:val="24"/>
          <w:szCs w:val="24"/>
        </w:rPr>
        <w:t>w 2022 r. przeprowadzono 13 kontroli wszczętych w związku z podejrzeniem popełnienia przestępstwa i wykroczenia przeciwko środowisku.</w:t>
      </w:r>
    </w:p>
    <w:p w14:paraId="0D24E48F" w14:textId="77777777" w:rsidR="0046120F" w:rsidRPr="0046120F" w:rsidRDefault="0046120F" w:rsidP="0046120F">
      <w:pPr>
        <w:spacing w:line="300" w:lineRule="atLeast"/>
        <w:contextualSpacing/>
        <w:jc w:val="both"/>
        <w:rPr>
          <w:rFonts w:ascii="Times New Roman" w:hAnsi="Times New Roman" w:cs="Times New Roman"/>
          <w:i/>
          <w:color w:val="4472C4"/>
          <w:sz w:val="24"/>
          <w:szCs w:val="24"/>
        </w:rPr>
      </w:pPr>
    </w:p>
    <w:p w14:paraId="5B61084E" w14:textId="77777777" w:rsidR="0046120F" w:rsidRPr="0046120F" w:rsidRDefault="0046120F" w:rsidP="009945A8">
      <w:pPr>
        <w:spacing w:after="60" w:line="300" w:lineRule="atLeast"/>
        <w:jc w:val="both"/>
        <w:rPr>
          <w:rFonts w:ascii="Times New Roman" w:hAnsi="Times New Roman" w:cs="Times New Roman"/>
          <w:i/>
          <w:color w:val="4472C4"/>
          <w:sz w:val="24"/>
          <w:szCs w:val="24"/>
        </w:rPr>
      </w:pPr>
      <w:r w:rsidRPr="0046120F">
        <w:rPr>
          <w:rFonts w:ascii="Times New Roman" w:hAnsi="Times New Roman" w:cs="Times New Roman"/>
          <w:i/>
          <w:color w:val="4472C4"/>
          <w:sz w:val="24"/>
          <w:szCs w:val="24"/>
        </w:rPr>
        <w:t>Wojewódzki Inspektorat Ochrony Środowiska w Opolu</w:t>
      </w:r>
    </w:p>
    <w:p w14:paraId="348887AE" w14:textId="1A8353AD" w:rsidR="0046120F" w:rsidRDefault="0046120F" w:rsidP="009945A8">
      <w:pPr>
        <w:spacing w:after="60" w:line="300" w:lineRule="atLeast"/>
        <w:jc w:val="both"/>
        <w:rPr>
          <w:rFonts w:ascii="Times New Roman" w:hAnsi="Times New Roman" w:cs="Times New Roman"/>
          <w:sz w:val="24"/>
          <w:szCs w:val="24"/>
        </w:rPr>
      </w:pPr>
      <w:r w:rsidRPr="0046120F">
        <w:rPr>
          <w:rFonts w:ascii="Times New Roman" w:hAnsi="Times New Roman" w:cs="Times New Roman"/>
          <w:sz w:val="24"/>
          <w:szCs w:val="24"/>
        </w:rPr>
        <w:t xml:space="preserve">W trakcie przeprowadzonych kontroli, wszczętych w wyniku działań przeprowadzonych </w:t>
      </w:r>
      <w:r w:rsidR="009945A8">
        <w:rPr>
          <w:rFonts w:ascii="Times New Roman" w:hAnsi="Times New Roman" w:cs="Times New Roman"/>
          <w:sz w:val="24"/>
          <w:szCs w:val="24"/>
        </w:rPr>
        <w:br/>
      </w:r>
      <w:r w:rsidRPr="0046120F">
        <w:rPr>
          <w:rFonts w:ascii="Times New Roman" w:hAnsi="Times New Roman" w:cs="Times New Roman"/>
          <w:sz w:val="24"/>
          <w:szCs w:val="24"/>
        </w:rPr>
        <w:t>w trybie art. 10b ustawy o Inspekcji Ochrony Środowiska, stwierdzono następujące naruszenia:</w:t>
      </w:r>
    </w:p>
    <w:p w14:paraId="74C9F4E6" w14:textId="1443DAC8" w:rsidR="0046120F" w:rsidRPr="0046120F" w:rsidRDefault="0046120F" w:rsidP="008F0878">
      <w:pPr>
        <w:pStyle w:val="Akapitzlist"/>
        <w:numPr>
          <w:ilvl w:val="0"/>
          <w:numId w:val="296"/>
        </w:numPr>
        <w:spacing w:line="300" w:lineRule="atLeast"/>
        <w:ind w:left="709" w:hanging="425"/>
        <w:jc w:val="both"/>
        <w:rPr>
          <w:sz w:val="24"/>
          <w:szCs w:val="24"/>
        </w:rPr>
      </w:pPr>
      <w:r w:rsidRPr="0046120F">
        <w:rPr>
          <w:sz w:val="24"/>
          <w:szCs w:val="24"/>
        </w:rPr>
        <w:t xml:space="preserve">przetwarzanie odpadów bez wymaganej decyzji udzielającej zezwolenia, o której mowa </w:t>
      </w:r>
      <w:r w:rsidR="009945A8">
        <w:rPr>
          <w:sz w:val="24"/>
          <w:szCs w:val="24"/>
        </w:rPr>
        <w:br/>
      </w:r>
      <w:r w:rsidRPr="0046120F">
        <w:rPr>
          <w:sz w:val="24"/>
          <w:szCs w:val="24"/>
        </w:rPr>
        <w:t>w art. 41 ust. 1 ustawy o odpadach,</w:t>
      </w:r>
    </w:p>
    <w:p w14:paraId="02C521D5" w14:textId="77777777" w:rsidR="0046120F" w:rsidRPr="0046120F" w:rsidRDefault="0046120F" w:rsidP="008F0878">
      <w:pPr>
        <w:pStyle w:val="Akapitzlist"/>
        <w:numPr>
          <w:ilvl w:val="0"/>
          <w:numId w:val="296"/>
        </w:numPr>
        <w:spacing w:line="300" w:lineRule="atLeast"/>
        <w:ind w:left="709" w:hanging="425"/>
        <w:jc w:val="both"/>
        <w:rPr>
          <w:sz w:val="24"/>
          <w:szCs w:val="24"/>
        </w:rPr>
      </w:pPr>
      <w:r w:rsidRPr="0046120F">
        <w:rPr>
          <w:sz w:val="24"/>
          <w:szCs w:val="24"/>
        </w:rPr>
        <w:t>prowadzenie ewidencji odpadów niezgodnie ze stanem rzeczywistym oraz nieprowadzenie ewidencji odpadów,</w:t>
      </w:r>
    </w:p>
    <w:p w14:paraId="5FAF88AC" w14:textId="77777777" w:rsidR="0046120F" w:rsidRPr="0046120F" w:rsidRDefault="0046120F" w:rsidP="008F0878">
      <w:pPr>
        <w:pStyle w:val="Akapitzlist"/>
        <w:numPr>
          <w:ilvl w:val="0"/>
          <w:numId w:val="296"/>
        </w:numPr>
        <w:spacing w:line="300" w:lineRule="atLeast"/>
        <w:ind w:left="709" w:hanging="425"/>
        <w:jc w:val="both"/>
        <w:rPr>
          <w:sz w:val="24"/>
          <w:szCs w:val="24"/>
        </w:rPr>
      </w:pPr>
      <w:r w:rsidRPr="0046120F">
        <w:rPr>
          <w:sz w:val="24"/>
          <w:szCs w:val="24"/>
        </w:rPr>
        <w:lastRenderedPageBreak/>
        <w:t>prowadzenie monitoringu wizyjnego miejsc magazynowania odpadów niezgodnie z art. 25 ust. 6a ustawy z dnia 14 grudnia 2012 r. ustawy o odpadach,</w:t>
      </w:r>
    </w:p>
    <w:p w14:paraId="6C1B1356" w14:textId="77777777" w:rsidR="0046120F" w:rsidRPr="0046120F" w:rsidRDefault="0046120F" w:rsidP="008F0878">
      <w:pPr>
        <w:pStyle w:val="Akapitzlist"/>
        <w:numPr>
          <w:ilvl w:val="0"/>
          <w:numId w:val="296"/>
        </w:numPr>
        <w:spacing w:line="300" w:lineRule="atLeast"/>
        <w:ind w:left="709" w:hanging="425"/>
        <w:jc w:val="both"/>
        <w:rPr>
          <w:sz w:val="24"/>
          <w:szCs w:val="24"/>
        </w:rPr>
      </w:pPr>
      <w:r w:rsidRPr="0046120F">
        <w:rPr>
          <w:sz w:val="24"/>
          <w:szCs w:val="24"/>
        </w:rPr>
        <w:t>nieskładanie rocznego sprawozdania o wytwarzanych odpadach i o gospodarowaniu odpadami,</w:t>
      </w:r>
    </w:p>
    <w:p w14:paraId="65C1CDD0" w14:textId="38A15F73" w:rsidR="0046120F" w:rsidRPr="0046120F" w:rsidRDefault="0046120F" w:rsidP="008F0878">
      <w:pPr>
        <w:pStyle w:val="Akapitzlist"/>
        <w:numPr>
          <w:ilvl w:val="0"/>
          <w:numId w:val="296"/>
        </w:numPr>
        <w:spacing w:line="300" w:lineRule="atLeast"/>
        <w:ind w:left="709" w:hanging="425"/>
        <w:jc w:val="both"/>
        <w:rPr>
          <w:sz w:val="24"/>
          <w:szCs w:val="24"/>
        </w:rPr>
      </w:pPr>
      <w:r w:rsidRPr="0046120F">
        <w:rPr>
          <w:sz w:val="24"/>
          <w:szCs w:val="24"/>
        </w:rPr>
        <w:t>magazynowanie odpadów niezgodnie z wymaganiami, o których mowa w art. 25 ustawy z dnia 14 grudnia 2012 r. ustawy o odpadach</w:t>
      </w:r>
      <w:r w:rsidR="005004FB">
        <w:rPr>
          <w:sz w:val="24"/>
          <w:szCs w:val="24"/>
          <w:lang w:val="pl-PL"/>
        </w:rPr>
        <w:t xml:space="preserve"> - </w:t>
      </w:r>
      <w:r w:rsidRPr="0046120F">
        <w:rPr>
          <w:sz w:val="24"/>
          <w:szCs w:val="24"/>
        </w:rPr>
        <w:t xml:space="preserve">transportowanie odpadów niezgodnie </w:t>
      </w:r>
      <w:r w:rsidR="005004FB">
        <w:rPr>
          <w:sz w:val="24"/>
          <w:szCs w:val="24"/>
        </w:rPr>
        <w:br/>
      </w:r>
      <w:r w:rsidRPr="0046120F">
        <w:rPr>
          <w:sz w:val="24"/>
          <w:szCs w:val="24"/>
        </w:rPr>
        <w:t xml:space="preserve">z wymaganiami określonymi w </w:t>
      </w:r>
      <w:r w:rsidR="00E5055B">
        <w:rPr>
          <w:sz w:val="24"/>
          <w:szCs w:val="24"/>
          <w:lang w:val="pl-PL"/>
        </w:rPr>
        <w:t>r</w:t>
      </w:r>
      <w:proofErr w:type="spellStart"/>
      <w:r w:rsidRPr="0046120F">
        <w:rPr>
          <w:sz w:val="24"/>
          <w:szCs w:val="24"/>
        </w:rPr>
        <w:t>ozporządzeniu</w:t>
      </w:r>
      <w:proofErr w:type="spellEnd"/>
      <w:r w:rsidRPr="0046120F">
        <w:rPr>
          <w:sz w:val="24"/>
          <w:szCs w:val="24"/>
        </w:rPr>
        <w:t xml:space="preserve"> Ministra Środowiska z dnia </w:t>
      </w:r>
      <w:r w:rsidR="005004FB">
        <w:rPr>
          <w:sz w:val="24"/>
          <w:szCs w:val="24"/>
        </w:rPr>
        <w:br/>
      </w:r>
      <w:r w:rsidRPr="0046120F">
        <w:rPr>
          <w:sz w:val="24"/>
          <w:szCs w:val="24"/>
        </w:rPr>
        <w:t>7 października 2016 r. w sprawie szczegółowych wymagań dla transportu odpadów</w:t>
      </w:r>
      <w:r w:rsidR="000120C8">
        <w:rPr>
          <w:rStyle w:val="Odwoanieprzypisudolnego"/>
          <w:szCs w:val="24"/>
        </w:rPr>
        <w:footnoteReference w:id="63"/>
      </w:r>
      <w:r w:rsidRPr="0046120F">
        <w:rPr>
          <w:sz w:val="24"/>
          <w:szCs w:val="24"/>
        </w:rPr>
        <w:t>,</w:t>
      </w:r>
    </w:p>
    <w:p w14:paraId="5701A344" w14:textId="42AEAAE1" w:rsidR="0046120F" w:rsidRPr="0046120F" w:rsidRDefault="0046120F" w:rsidP="00D34F97">
      <w:pPr>
        <w:pStyle w:val="Akapitzlist"/>
        <w:numPr>
          <w:ilvl w:val="0"/>
          <w:numId w:val="296"/>
        </w:numPr>
        <w:spacing w:line="300" w:lineRule="atLeast"/>
        <w:ind w:left="709" w:hanging="425"/>
        <w:jc w:val="both"/>
        <w:rPr>
          <w:sz w:val="24"/>
          <w:szCs w:val="24"/>
        </w:rPr>
      </w:pPr>
      <w:r w:rsidRPr="0046120F">
        <w:rPr>
          <w:sz w:val="24"/>
          <w:szCs w:val="24"/>
        </w:rPr>
        <w:t xml:space="preserve">brak wpisu do rejestru podmiotów wprowadzających produkty, produkty </w:t>
      </w:r>
      <w:r w:rsidR="005004FB">
        <w:rPr>
          <w:sz w:val="24"/>
          <w:szCs w:val="24"/>
        </w:rPr>
        <w:br/>
      </w:r>
      <w:r w:rsidRPr="0046120F">
        <w:rPr>
          <w:sz w:val="24"/>
          <w:szCs w:val="24"/>
        </w:rPr>
        <w:t>w opakowaniach i gospodarujących odpadami (BDO) dla miejsca prowadzenia działalności,</w:t>
      </w:r>
    </w:p>
    <w:p w14:paraId="74E14775" w14:textId="77777777" w:rsidR="0046120F" w:rsidRPr="0046120F" w:rsidRDefault="0046120F" w:rsidP="00D34F97">
      <w:pPr>
        <w:pStyle w:val="Akapitzlist"/>
        <w:numPr>
          <w:ilvl w:val="0"/>
          <w:numId w:val="296"/>
        </w:numPr>
        <w:spacing w:line="300" w:lineRule="atLeast"/>
        <w:ind w:left="709" w:hanging="425"/>
        <w:jc w:val="both"/>
        <w:rPr>
          <w:sz w:val="24"/>
          <w:szCs w:val="24"/>
        </w:rPr>
      </w:pPr>
      <w:r w:rsidRPr="0046120F">
        <w:rPr>
          <w:sz w:val="24"/>
          <w:szCs w:val="24"/>
        </w:rPr>
        <w:t>przekazywanie odpadów podmiotom, które nie posiadają wymaganej decyzji na gospodarowanie odpadami,</w:t>
      </w:r>
    </w:p>
    <w:p w14:paraId="017F58F5" w14:textId="77777777" w:rsidR="0046120F" w:rsidRPr="0046120F" w:rsidRDefault="0046120F" w:rsidP="00D34F97">
      <w:pPr>
        <w:pStyle w:val="Akapitzlist"/>
        <w:numPr>
          <w:ilvl w:val="0"/>
          <w:numId w:val="296"/>
        </w:numPr>
        <w:spacing w:line="300" w:lineRule="atLeast"/>
        <w:ind w:left="709" w:hanging="425"/>
        <w:jc w:val="both"/>
        <w:rPr>
          <w:sz w:val="24"/>
          <w:szCs w:val="24"/>
        </w:rPr>
      </w:pPr>
      <w:r w:rsidRPr="0046120F">
        <w:rPr>
          <w:sz w:val="24"/>
          <w:szCs w:val="24"/>
        </w:rPr>
        <w:t>prowadzenie gospodarki odpadami w sposób niezapewniający ochrony życia i zdrowia ludzi oraz środowiska.</w:t>
      </w:r>
    </w:p>
    <w:p w14:paraId="0D844F74" w14:textId="77777777" w:rsidR="0046120F" w:rsidRPr="0046120F" w:rsidRDefault="0046120F" w:rsidP="0046120F">
      <w:pPr>
        <w:spacing w:line="300" w:lineRule="atLeast"/>
        <w:contextualSpacing/>
        <w:jc w:val="both"/>
        <w:rPr>
          <w:rFonts w:ascii="Times New Roman" w:hAnsi="Times New Roman" w:cs="Times New Roman"/>
          <w:i/>
          <w:color w:val="4472C4"/>
          <w:sz w:val="24"/>
          <w:szCs w:val="24"/>
        </w:rPr>
      </w:pPr>
    </w:p>
    <w:p w14:paraId="27E8BB35" w14:textId="77777777" w:rsidR="0046120F" w:rsidRPr="0046120F" w:rsidRDefault="0046120F" w:rsidP="005004FB">
      <w:pPr>
        <w:spacing w:after="60" w:line="300" w:lineRule="atLeast"/>
        <w:jc w:val="both"/>
        <w:rPr>
          <w:rFonts w:ascii="Times New Roman" w:hAnsi="Times New Roman" w:cs="Times New Roman"/>
          <w:i/>
          <w:color w:val="4472C4"/>
          <w:sz w:val="24"/>
          <w:szCs w:val="24"/>
        </w:rPr>
      </w:pPr>
      <w:r w:rsidRPr="0046120F">
        <w:rPr>
          <w:rFonts w:ascii="Times New Roman" w:hAnsi="Times New Roman" w:cs="Times New Roman"/>
          <w:i/>
          <w:color w:val="4472C4"/>
          <w:sz w:val="24"/>
          <w:szCs w:val="24"/>
        </w:rPr>
        <w:t>Wojewódzki Inspektorat Ochrony Środowiska w Poznaniu</w:t>
      </w:r>
    </w:p>
    <w:p w14:paraId="2662A9B9" w14:textId="00D11664" w:rsidR="0046120F" w:rsidRPr="005004FB" w:rsidRDefault="0046120F" w:rsidP="00D34F97">
      <w:pPr>
        <w:pStyle w:val="Akapitzlist"/>
        <w:numPr>
          <w:ilvl w:val="0"/>
          <w:numId w:val="301"/>
        </w:numPr>
        <w:spacing w:line="300" w:lineRule="atLeast"/>
        <w:ind w:left="641" w:hanging="357"/>
        <w:jc w:val="both"/>
        <w:rPr>
          <w:sz w:val="24"/>
          <w:szCs w:val="24"/>
        </w:rPr>
      </w:pPr>
      <w:r w:rsidRPr="005004FB">
        <w:rPr>
          <w:sz w:val="24"/>
          <w:szCs w:val="24"/>
        </w:rPr>
        <w:t xml:space="preserve">przetwarzanie lub zbieranie odpadów bez zezwolenia, </w:t>
      </w:r>
    </w:p>
    <w:p w14:paraId="3215E8A6" w14:textId="78D96952" w:rsidR="0046120F" w:rsidRPr="005004FB" w:rsidRDefault="0046120F" w:rsidP="00D34F97">
      <w:pPr>
        <w:pStyle w:val="Akapitzlist"/>
        <w:numPr>
          <w:ilvl w:val="0"/>
          <w:numId w:val="301"/>
        </w:numPr>
        <w:spacing w:line="300" w:lineRule="atLeast"/>
        <w:ind w:left="641" w:hanging="357"/>
        <w:jc w:val="both"/>
        <w:rPr>
          <w:sz w:val="24"/>
          <w:szCs w:val="24"/>
        </w:rPr>
      </w:pPr>
      <w:r w:rsidRPr="005004FB">
        <w:rPr>
          <w:sz w:val="24"/>
          <w:szCs w:val="24"/>
        </w:rPr>
        <w:t>brak wpisu do rejestru BDO,</w:t>
      </w:r>
    </w:p>
    <w:p w14:paraId="0D8B009C" w14:textId="6ECD2AE6" w:rsidR="0046120F" w:rsidRPr="005004FB" w:rsidRDefault="0046120F" w:rsidP="00D34F97">
      <w:pPr>
        <w:pStyle w:val="Akapitzlist"/>
        <w:numPr>
          <w:ilvl w:val="0"/>
          <w:numId w:val="301"/>
        </w:numPr>
        <w:spacing w:line="300" w:lineRule="atLeast"/>
        <w:ind w:left="641" w:hanging="357"/>
        <w:jc w:val="both"/>
        <w:rPr>
          <w:sz w:val="24"/>
          <w:szCs w:val="24"/>
        </w:rPr>
      </w:pPr>
      <w:r w:rsidRPr="005004FB">
        <w:rPr>
          <w:sz w:val="24"/>
          <w:szCs w:val="24"/>
        </w:rPr>
        <w:t>naruszenia w zakresie sprawozdawczości,</w:t>
      </w:r>
    </w:p>
    <w:p w14:paraId="28A329C4" w14:textId="535282D9" w:rsidR="0046120F" w:rsidRPr="005004FB" w:rsidRDefault="0046120F" w:rsidP="00D34F97">
      <w:pPr>
        <w:pStyle w:val="Akapitzlist"/>
        <w:numPr>
          <w:ilvl w:val="0"/>
          <w:numId w:val="301"/>
        </w:numPr>
        <w:spacing w:line="300" w:lineRule="atLeast"/>
        <w:ind w:left="641" w:hanging="357"/>
        <w:jc w:val="both"/>
        <w:rPr>
          <w:sz w:val="24"/>
          <w:szCs w:val="24"/>
        </w:rPr>
      </w:pPr>
      <w:r w:rsidRPr="005004FB">
        <w:rPr>
          <w:sz w:val="24"/>
          <w:szCs w:val="24"/>
        </w:rPr>
        <w:t>zbieranie odpadów w postaci pojazdów wycofanych z eksploatacji bez zezwolenia,</w:t>
      </w:r>
    </w:p>
    <w:p w14:paraId="1686122B" w14:textId="0A99ED2F" w:rsidR="0046120F" w:rsidRPr="005004FB" w:rsidRDefault="0046120F" w:rsidP="00D34F97">
      <w:pPr>
        <w:pStyle w:val="Akapitzlist"/>
        <w:numPr>
          <w:ilvl w:val="0"/>
          <w:numId w:val="301"/>
        </w:numPr>
        <w:spacing w:line="300" w:lineRule="atLeast"/>
        <w:ind w:left="641" w:hanging="357"/>
        <w:jc w:val="both"/>
        <w:rPr>
          <w:sz w:val="24"/>
          <w:szCs w:val="24"/>
        </w:rPr>
      </w:pPr>
      <w:r w:rsidRPr="005004FB">
        <w:rPr>
          <w:sz w:val="24"/>
          <w:szCs w:val="24"/>
        </w:rPr>
        <w:t xml:space="preserve">nielegalne sprowadzanie odpadów z zagranicy, </w:t>
      </w:r>
    </w:p>
    <w:p w14:paraId="3073C22B" w14:textId="2C4FCBA0" w:rsidR="0046120F" w:rsidRPr="005004FB" w:rsidRDefault="0046120F" w:rsidP="00D34F97">
      <w:pPr>
        <w:pStyle w:val="Akapitzlist"/>
        <w:numPr>
          <w:ilvl w:val="0"/>
          <w:numId w:val="301"/>
        </w:numPr>
        <w:spacing w:line="300" w:lineRule="atLeast"/>
        <w:ind w:left="641" w:hanging="357"/>
        <w:jc w:val="both"/>
        <w:rPr>
          <w:sz w:val="24"/>
          <w:szCs w:val="24"/>
        </w:rPr>
      </w:pPr>
      <w:r w:rsidRPr="005004FB">
        <w:rPr>
          <w:sz w:val="24"/>
          <w:szCs w:val="24"/>
        </w:rPr>
        <w:t xml:space="preserve">nieużywanie urządzeń zabezpieczających wodę przed zanieczyszczeniem, </w:t>
      </w:r>
    </w:p>
    <w:p w14:paraId="63ECB2D7" w14:textId="14A99F17" w:rsidR="0046120F" w:rsidRPr="005004FB" w:rsidRDefault="0046120F" w:rsidP="00D34F97">
      <w:pPr>
        <w:pStyle w:val="Akapitzlist"/>
        <w:numPr>
          <w:ilvl w:val="0"/>
          <w:numId w:val="301"/>
        </w:numPr>
        <w:spacing w:line="300" w:lineRule="atLeast"/>
        <w:ind w:left="641" w:hanging="357"/>
        <w:jc w:val="both"/>
        <w:rPr>
          <w:sz w:val="24"/>
          <w:szCs w:val="24"/>
        </w:rPr>
      </w:pPr>
      <w:r w:rsidRPr="005004FB">
        <w:rPr>
          <w:sz w:val="24"/>
          <w:szCs w:val="24"/>
        </w:rPr>
        <w:t>wprowadzenie do wód powierzchniowych ścieków w sposób niezapewniający ochrony wód przed zanieczyszczeniem.</w:t>
      </w:r>
    </w:p>
    <w:p w14:paraId="0A95C1AE" w14:textId="1D57164A" w:rsidR="0046120F" w:rsidRDefault="0046120F" w:rsidP="0046120F">
      <w:pPr>
        <w:spacing w:line="300" w:lineRule="atLeast"/>
        <w:contextualSpacing/>
        <w:jc w:val="both"/>
        <w:rPr>
          <w:rFonts w:ascii="Times New Roman" w:hAnsi="Times New Roman" w:cs="Times New Roman"/>
          <w:i/>
          <w:color w:val="4472C4"/>
          <w:sz w:val="24"/>
          <w:szCs w:val="24"/>
          <w:lang w:val="x-none"/>
        </w:rPr>
      </w:pPr>
    </w:p>
    <w:p w14:paraId="30FEC969" w14:textId="39818149" w:rsidR="008F0878" w:rsidRDefault="008F0878" w:rsidP="0046120F">
      <w:pPr>
        <w:spacing w:line="300" w:lineRule="atLeast"/>
        <w:contextualSpacing/>
        <w:jc w:val="both"/>
        <w:rPr>
          <w:rFonts w:ascii="Times New Roman" w:hAnsi="Times New Roman" w:cs="Times New Roman"/>
          <w:i/>
          <w:color w:val="4472C4"/>
          <w:sz w:val="24"/>
          <w:szCs w:val="24"/>
          <w:lang w:val="x-none"/>
        </w:rPr>
      </w:pPr>
    </w:p>
    <w:p w14:paraId="38499394" w14:textId="77777777" w:rsidR="008F0878" w:rsidRPr="00EC0B95" w:rsidRDefault="008F0878" w:rsidP="0046120F">
      <w:pPr>
        <w:spacing w:line="300" w:lineRule="atLeast"/>
        <w:contextualSpacing/>
        <w:jc w:val="both"/>
        <w:rPr>
          <w:rFonts w:ascii="Times New Roman" w:hAnsi="Times New Roman" w:cs="Times New Roman"/>
          <w:i/>
          <w:color w:val="4472C4"/>
          <w:sz w:val="24"/>
          <w:szCs w:val="24"/>
          <w:lang w:val="x-none"/>
        </w:rPr>
      </w:pPr>
    </w:p>
    <w:p w14:paraId="2E33EAA8" w14:textId="77777777" w:rsidR="0046120F" w:rsidRPr="0046120F" w:rsidRDefault="0046120F" w:rsidP="006934C8">
      <w:pPr>
        <w:spacing w:after="60" w:line="300" w:lineRule="atLeast"/>
        <w:jc w:val="both"/>
        <w:rPr>
          <w:rFonts w:ascii="Times New Roman" w:hAnsi="Times New Roman" w:cs="Times New Roman"/>
          <w:i/>
          <w:color w:val="4472C4"/>
          <w:sz w:val="24"/>
          <w:szCs w:val="24"/>
        </w:rPr>
      </w:pPr>
      <w:r w:rsidRPr="0046120F">
        <w:rPr>
          <w:rFonts w:ascii="Times New Roman" w:hAnsi="Times New Roman" w:cs="Times New Roman"/>
          <w:i/>
          <w:color w:val="4472C4"/>
          <w:sz w:val="24"/>
          <w:szCs w:val="24"/>
        </w:rPr>
        <w:t>Wojewódzki Inspektorat Ochrony Środowiska w Rzeszowie</w:t>
      </w:r>
    </w:p>
    <w:p w14:paraId="18BDFC96" w14:textId="77777777" w:rsidR="0046120F" w:rsidRPr="0046120F" w:rsidRDefault="0046120F" w:rsidP="008F0878">
      <w:pPr>
        <w:autoSpaceDE w:val="0"/>
        <w:autoSpaceDN w:val="0"/>
        <w:adjustRightInd w:val="0"/>
        <w:spacing w:line="300" w:lineRule="atLeast"/>
        <w:ind w:firstLine="567"/>
        <w:contextualSpacing/>
        <w:jc w:val="both"/>
        <w:rPr>
          <w:rFonts w:ascii="Times New Roman" w:hAnsi="Times New Roman" w:cs="Times New Roman"/>
          <w:sz w:val="24"/>
          <w:szCs w:val="24"/>
        </w:rPr>
      </w:pPr>
      <w:r w:rsidRPr="0046120F">
        <w:rPr>
          <w:rFonts w:ascii="Times New Roman" w:hAnsi="Times New Roman" w:cs="Times New Roman"/>
          <w:sz w:val="24"/>
          <w:szCs w:val="24"/>
        </w:rPr>
        <w:t>Podczas kontroli wszczętych w związku z podejrzeniem popełnienia przestępstwa lub wykroczenia stwierdzono naruszenia:</w:t>
      </w:r>
    </w:p>
    <w:p w14:paraId="4B8FB9E5" w14:textId="77777777" w:rsidR="0046120F" w:rsidRPr="0046120F" w:rsidRDefault="0046120F" w:rsidP="0046120F">
      <w:pPr>
        <w:autoSpaceDE w:val="0"/>
        <w:autoSpaceDN w:val="0"/>
        <w:adjustRightInd w:val="0"/>
        <w:spacing w:line="300" w:lineRule="atLeast"/>
        <w:contextualSpacing/>
        <w:rPr>
          <w:rFonts w:ascii="Times New Roman" w:hAnsi="Times New Roman" w:cs="Times New Roman"/>
          <w:sz w:val="24"/>
          <w:szCs w:val="24"/>
        </w:rPr>
      </w:pPr>
      <w:r w:rsidRPr="0046120F">
        <w:rPr>
          <w:rFonts w:ascii="Times New Roman" w:hAnsi="Times New Roman" w:cs="Times New Roman"/>
          <w:sz w:val="24"/>
          <w:szCs w:val="24"/>
        </w:rPr>
        <w:t>Klasy 1:</w:t>
      </w:r>
    </w:p>
    <w:p w14:paraId="63DB50E5" w14:textId="6316D6E1" w:rsidR="0046120F" w:rsidRPr="0046120F" w:rsidRDefault="0046120F" w:rsidP="00EC0B95">
      <w:pPr>
        <w:autoSpaceDE w:val="0"/>
        <w:autoSpaceDN w:val="0"/>
        <w:adjustRightInd w:val="0"/>
        <w:spacing w:line="300" w:lineRule="atLeast"/>
        <w:ind w:left="284"/>
        <w:contextualSpacing/>
        <w:jc w:val="both"/>
        <w:rPr>
          <w:rFonts w:ascii="Times New Roman" w:hAnsi="Times New Roman" w:cs="Times New Roman"/>
          <w:sz w:val="24"/>
          <w:szCs w:val="24"/>
        </w:rPr>
      </w:pPr>
      <w:r w:rsidRPr="0046120F">
        <w:rPr>
          <w:rFonts w:ascii="Times New Roman" w:hAnsi="Times New Roman" w:cs="Times New Roman"/>
          <w:sz w:val="24"/>
          <w:szCs w:val="24"/>
        </w:rPr>
        <w:t>1.1. stan faktyczny niezgodny z uregulowaniami formalnoprawnymi lub innymi</w:t>
      </w:r>
      <w:r w:rsidR="00EC0B95">
        <w:rPr>
          <w:rFonts w:ascii="Times New Roman" w:hAnsi="Times New Roman" w:cs="Times New Roman"/>
          <w:sz w:val="24"/>
          <w:szCs w:val="24"/>
        </w:rPr>
        <w:t xml:space="preserve"> wymaganiami, </w:t>
      </w:r>
    </w:p>
    <w:p w14:paraId="7D614D3D" w14:textId="1F9EE2C8" w:rsidR="0046120F" w:rsidRPr="0046120F" w:rsidRDefault="0046120F" w:rsidP="00EC0B95">
      <w:pPr>
        <w:autoSpaceDE w:val="0"/>
        <w:autoSpaceDN w:val="0"/>
        <w:adjustRightInd w:val="0"/>
        <w:spacing w:line="300" w:lineRule="atLeast"/>
        <w:ind w:left="284"/>
        <w:contextualSpacing/>
        <w:jc w:val="both"/>
        <w:rPr>
          <w:rFonts w:ascii="Times New Roman" w:hAnsi="Times New Roman" w:cs="Times New Roman"/>
          <w:sz w:val="24"/>
          <w:szCs w:val="24"/>
        </w:rPr>
      </w:pPr>
      <w:r w:rsidRPr="0046120F">
        <w:rPr>
          <w:rFonts w:ascii="Times New Roman" w:hAnsi="Times New Roman" w:cs="Times New Roman"/>
          <w:sz w:val="24"/>
          <w:szCs w:val="24"/>
        </w:rPr>
        <w:t>1.2. naruszenie warunków decyzji lub zgłoszenia niemających istotnego wpływu na stan</w:t>
      </w:r>
      <w:r w:rsidR="00EC0B95">
        <w:rPr>
          <w:rFonts w:ascii="Times New Roman" w:hAnsi="Times New Roman" w:cs="Times New Roman"/>
          <w:sz w:val="24"/>
          <w:szCs w:val="24"/>
        </w:rPr>
        <w:t xml:space="preserve"> środowiska, </w:t>
      </w:r>
    </w:p>
    <w:p w14:paraId="7429DCA2" w14:textId="0E0A1426" w:rsidR="0046120F" w:rsidRPr="0046120F" w:rsidRDefault="0046120F" w:rsidP="00EC0B95">
      <w:pPr>
        <w:autoSpaceDE w:val="0"/>
        <w:autoSpaceDN w:val="0"/>
        <w:adjustRightInd w:val="0"/>
        <w:spacing w:line="300" w:lineRule="atLeast"/>
        <w:ind w:left="284"/>
        <w:contextualSpacing/>
        <w:jc w:val="both"/>
        <w:rPr>
          <w:rFonts w:ascii="Times New Roman" w:hAnsi="Times New Roman" w:cs="Times New Roman"/>
          <w:sz w:val="24"/>
          <w:szCs w:val="24"/>
        </w:rPr>
      </w:pPr>
      <w:r w:rsidRPr="0046120F">
        <w:rPr>
          <w:rFonts w:ascii="Times New Roman" w:hAnsi="Times New Roman" w:cs="Times New Roman"/>
          <w:sz w:val="24"/>
          <w:szCs w:val="24"/>
        </w:rPr>
        <w:t>1.3. brak lub naruszenie warunków zgłoszenia,</w:t>
      </w:r>
    </w:p>
    <w:p w14:paraId="05023B13" w14:textId="0D19105A" w:rsidR="0046120F" w:rsidRPr="0046120F" w:rsidRDefault="0046120F" w:rsidP="00EC0B95">
      <w:pPr>
        <w:autoSpaceDE w:val="0"/>
        <w:autoSpaceDN w:val="0"/>
        <w:adjustRightInd w:val="0"/>
        <w:spacing w:line="300" w:lineRule="atLeast"/>
        <w:ind w:left="284"/>
        <w:contextualSpacing/>
        <w:jc w:val="both"/>
        <w:rPr>
          <w:rFonts w:ascii="Times New Roman" w:hAnsi="Times New Roman" w:cs="Times New Roman"/>
          <w:sz w:val="24"/>
          <w:szCs w:val="24"/>
        </w:rPr>
      </w:pPr>
      <w:r w:rsidRPr="0046120F">
        <w:rPr>
          <w:rFonts w:ascii="Times New Roman" w:hAnsi="Times New Roman" w:cs="Times New Roman"/>
          <w:sz w:val="24"/>
          <w:szCs w:val="24"/>
        </w:rPr>
        <w:t>1.5. brak lub nierzetelne prowadzenie ewidencji lub sprawozdawczości,</w:t>
      </w:r>
    </w:p>
    <w:p w14:paraId="41A10412" w14:textId="0F8231AD" w:rsidR="0046120F" w:rsidRPr="0046120F" w:rsidRDefault="0046120F" w:rsidP="00EC0B95">
      <w:pPr>
        <w:autoSpaceDE w:val="0"/>
        <w:autoSpaceDN w:val="0"/>
        <w:adjustRightInd w:val="0"/>
        <w:spacing w:line="300" w:lineRule="atLeast"/>
        <w:ind w:left="284"/>
        <w:contextualSpacing/>
        <w:jc w:val="both"/>
        <w:rPr>
          <w:rFonts w:ascii="Times New Roman" w:hAnsi="Times New Roman" w:cs="Times New Roman"/>
          <w:sz w:val="24"/>
          <w:szCs w:val="24"/>
        </w:rPr>
      </w:pPr>
      <w:r w:rsidRPr="0046120F">
        <w:rPr>
          <w:rFonts w:ascii="Times New Roman" w:hAnsi="Times New Roman" w:cs="Times New Roman"/>
          <w:sz w:val="24"/>
          <w:szCs w:val="24"/>
        </w:rPr>
        <w:t>1.6. brak wpisów do rejestrów,</w:t>
      </w:r>
    </w:p>
    <w:p w14:paraId="5925FAE8" w14:textId="12012FE4" w:rsidR="0046120F" w:rsidRPr="0046120F" w:rsidRDefault="0046120F" w:rsidP="00EC0B95">
      <w:pPr>
        <w:autoSpaceDE w:val="0"/>
        <w:autoSpaceDN w:val="0"/>
        <w:adjustRightInd w:val="0"/>
        <w:spacing w:line="300" w:lineRule="atLeast"/>
        <w:ind w:left="284"/>
        <w:contextualSpacing/>
        <w:jc w:val="both"/>
        <w:rPr>
          <w:rFonts w:ascii="Times New Roman" w:hAnsi="Times New Roman" w:cs="Times New Roman"/>
          <w:sz w:val="24"/>
          <w:szCs w:val="24"/>
        </w:rPr>
      </w:pPr>
      <w:r w:rsidRPr="0046120F">
        <w:rPr>
          <w:rFonts w:ascii="Times New Roman" w:hAnsi="Times New Roman" w:cs="Times New Roman"/>
          <w:sz w:val="24"/>
          <w:szCs w:val="24"/>
        </w:rPr>
        <w:t>1.8. nieprzedkładanie wyników pomiarów,</w:t>
      </w:r>
    </w:p>
    <w:p w14:paraId="2117845A" w14:textId="0591398B" w:rsidR="0046120F" w:rsidRPr="0046120F" w:rsidRDefault="0046120F" w:rsidP="00EC0B95">
      <w:pPr>
        <w:autoSpaceDE w:val="0"/>
        <w:autoSpaceDN w:val="0"/>
        <w:adjustRightInd w:val="0"/>
        <w:spacing w:line="300" w:lineRule="atLeast"/>
        <w:ind w:left="284"/>
        <w:contextualSpacing/>
        <w:jc w:val="both"/>
        <w:rPr>
          <w:rFonts w:ascii="Times New Roman" w:hAnsi="Times New Roman" w:cs="Times New Roman"/>
          <w:sz w:val="24"/>
          <w:szCs w:val="24"/>
        </w:rPr>
      </w:pPr>
      <w:r w:rsidRPr="0046120F">
        <w:rPr>
          <w:rFonts w:ascii="Times New Roman" w:hAnsi="Times New Roman" w:cs="Times New Roman"/>
          <w:sz w:val="24"/>
          <w:szCs w:val="24"/>
        </w:rPr>
        <w:t>1.10. inne przypadki niestwarzające zagrożenia lub zanieczyszczenia środowiska,</w:t>
      </w:r>
    </w:p>
    <w:p w14:paraId="1E3D4405" w14:textId="77777777" w:rsidR="0046120F" w:rsidRPr="0046120F" w:rsidRDefault="0046120F" w:rsidP="0046120F">
      <w:pPr>
        <w:autoSpaceDE w:val="0"/>
        <w:autoSpaceDN w:val="0"/>
        <w:adjustRightInd w:val="0"/>
        <w:spacing w:line="300" w:lineRule="atLeast"/>
        <w:contextualSpacing/>
        <w:rPr>
          <w:rFonts w:ascii="Times New Roman" w:hAnsi="Times New Roman" w:cs="Times New Roman"/>
          <w:sz w:val="24"/>
          <w:szCs w:val="24"/>
        </w:rPr>
      </w:pPr>
      <w:r w:rsidRPr="0046120F">
        <w:rPr>
          <w:rFonts w:ascii="Times New Roman" w:hAnsi="Times New Roman" w:cs="Times New Roman"/>
          <w:sz w:val="24"/>
          <w:szCs w:val="24"/>
        </w:rPr>
        <w:t>Klasy 2:</w:t>
      </w:r>
    </w:p>
    <w:p w14:paraId="2F6726B2" w14:textId="05F32C1E" w:rsidR="0046120F" w:rsidRPr="0046120F" w:rsidRDefault="0046120F" w:rsidP="00EC0B95">
      <w:pPr>
        <w:autoSpaceDE w:val="0"/>
        <w:autoSpaceDN w:val="0"/>
        <w:adjustRightInd w:val="0"/>
        <w:spacing w:line="300" w:lineRule="atLeast"/>
        <w:ind w:left="284"/>
        <w:contextualSpacing/>
        <w:jc w:val="both"/>
        <w:rPr>
          <w:rFonts w:ascii="Times New Roman" w:hAnsi="Times New Roman" w:cs="Times New Roman"/>
          <w:sz w:val="24"/>
          <w:szCs w:val="24"/>
        </w:rPr>
      </w:pPr>
      <w:r w:rsidRPr="0046120F">
        <w:rPr>
          <w:rFonts w:ascii="Times New Roman" w:hAnsi="Times New Roman" w:cs="Times New Roman"/>
          <w:sz w:val="24"/>
          <w:szCs w:val="24"/>
        </w:rPr>
        <w:t>2.1. zanieczyszczenie środowiska,</w:t>
      </w:r>
    </w:p>
    <w:p w14:paraId="23443AF4" w14:textId="03FBCCEE" w:rsidR="0046120F" w:rsidRPr="0046120F" w:rsidRDefault="0046120F" w:rsidP="00EC0B95">
      <w:pPr>
        <w:autoSpaceDE w:val="0"/>
        <w:autoSpaceDN w:val="0"/>
        <w:adjustRightInd w:val="0"/>
        <w:spacing w:line="300" w:lineRule="atLeast"/>
        <w:ind w:left="284"/>
        <w:contextualSpacing/>
        <w:jc w:val="both"/>
        <w:rPr>
          <w:rFonts w:ascii="Times New Roman" w:hAnsi="Times New Roman" w:cs="Times New Roman"/>
          <w:sz w:val="24"/>
          <w:szCs w:val="24"/>
        </w:rPr>
      </w:pPr>
      <w:r w:rsidRPr="0046120F">
        <w:rPr>
          <w:rFonts w:ascii="Times New Roman" w:hAnsi="Times New Roman" w:cs="Times New Roman"/>
          <w:sz w:val="24"/>
          <w:szCs w:val="24"/>
        </w:rPr>
        <w:lastRenderedPageBreak/>
        <w:t>2.3.naruszenie standardów emisji określonych w przepisach prawa i decyzjach</w:t>
      </w:r>
      <w:r w:rsidR="00EC0B95">
        <w:rPr>
          <w:rFonts w:ascii="Times New Roman" w:hAnsi="Times New Roman" w:cs="Times New Roman"/>
          <w:sz w:val="24"/>
          <w:szCs w:val="24"/>
        </w:rPr>
        <w:t xml:space="preserve"> administracyjnych oraz innych warunków decyzji powodujące pogorszenie stanu środowiska w znacznych rozmiarach lub zagrożenie życia lub zdrowia ludzi, </w:t>
      </w:r>
    </w:p>
    <w:p w14:paraId="3633D4FA" w14:textId="4EA8AFA9" w:rsidR="0046120F" w:rsidRPr="0046120F" w:rsidRDefault="0046120F" w:rsidP="00EC0B95">
      <w:pPr>
        <w:autoSpaceDE w:val="0"/>
        <w:autoSpaceDN w:val="0"/>
        <w:adjustRightInd w:val="0"/>
        <w:spacing w:line="300" w:lineRule="atLeast"/>
        <w:ind w:left="284"/>
        <w:contextualSpacing/>
        <w:jc w:val="both"/>
        <w:rPr>
          <w:rFonts w:ascii="Times New Roman" w:hAnsi="Times New Roman" w:cs="Times New Roman"/>
          <w:sz w:val="24"/>
          <w:szCs w:val="24"/>
        </w:rPr>
      </w:pPr>
      <w:r w:rsidRPr="0046120F">
        <w:rPr>
          <w:rFonts w:ascii="Times New Roman" w:hAnsi="Times New Roman" w:cs="Times New Roman"/>
          <w:sz w:val="24"/>
          <w:szCs w:val="24"/>
        </w:rPr>
        <w:t>2.6. brak wymaganych urządzeń lub instalacji chroniących środowisko,</w:t>
      </w:r>
    </w:p>
    <w:p w14:paraId="7D7E522F" w14:textId="0592A446" w:rsidR="0046120F" w:rsidRPr="0046120F" w:rsidRDefault="0046120F" w:rsidP="00EC0B95">
      <w:pPr>
        <w:autoSpaceDE w:val="0"/>
        <w:autoSpaceDN w:val="0"/>
        <w:adjustRightInd w:val="0"/>
        <w:spacing w:line="300" w:lineRule="atLeast"/>
        <w:ind w:left="284"/>
        <w:contextualSpacing/>
        <w:jc w:val="both"/>
        <w:rPr>
          <w:rFonts w:ascii="Times New Roman" w:hAnsi="Times New Roman" w:cs="Times New Roman"/>
          <w:sz w:val="24"/>
          <w:szCs w:val="24"/>
        </w:rPr>
      </w:pPr>
      <w:r w:rsidRPr="0046120F">
        <w:rPr>
          <w:rFonts w:ascii="Times New Roman" w:hAnsi="Times New Roman" w:cs="Times New Roman"/>
          <w:sz w:val="24"/>
          <w:szCs w:val="24"/>
        </w:rPr>
        <w:t>2.7. brak wymaganej decyzji lub zgłoszenia określających warunki korzystania ze</w:t>
      </w:r>
      <w:r w:rsidR="00EC0B95">
        <w:rPr>
          <w:rFonts w:ascii="Times New Roman" w:hAnsi="Times New Roman" w:cs="Times New Roman"/>
          <w:sz w:val="24"/>
          <w:szCs w:val="24"/>
        </w:rPr>
        <w:t xml:space="preserve"> środowiska, </w:t>
      </w:r>
    </w:p>
    <w:p w14:paraId="6289243F" w14:textId="56EEB043" w:rsidR="0046120F" w:rsidRPr="0046120F" w:rsidRDefault="0046120F" w:rsidP="00EC0B95">
      <w:pPr>
        <w:autoSpaceDE w:val="0"/>
        <w:autoSpaceDN w:val="0"/>
        <w:adjustRightInd w:val="0"/>
        <w:spacing w:line="300" w:lineRule="atLeast"/>
        <w:ind w:left="284"/>
        <w:contextualSpacing/>
        <w:jc w:val="both"/>
        <w:rPr>
          <w:rFonts w:ascii="Times New Roman" w:hAnsi="Times New Roman" w:cs="Times New Roman"/>
          <w:sz w:val="24"/>
          <w:szCs w:val="24"/>
        </w:rPr>
      </w:pPr>
      <w:r w:rsidRPr="0046120F">
        <w:rPr>
          <w:rFonts w:ascii="Times New Roman" w:hAnsi="Times New Roman" w:cs="Times New Roman"/>
          <w:sz w:val="24"/>
          <w:szCs w:val="24"/>
        </w:rPr>
        <w:t>2.8. naruszenie warunków decyzji lub zgłoszenia mających istotny wpływ na</w:t>
      </w:r>
      <w:r w:rsidR="00EC0B95">
        <w:rPr>
          <w:rFonts w:ascii="Times New Roman" w:hAnsi="Times New Roman" w:cs="Times New Roman"/>
          <w:sz w:val="24"/>
          <w:szCs w:val="24"/>
        </w:rPr>
        <w:t xml:space="preserve"> środowisko,</w:t>
      </w:r>
    </w:p>
    <w:p w14:paraId="3DB4F241" w14:textId="258B6CBC" w:rsidR="0046120F" w:rsidRPr="0046120F" w:rsidRDefault="0046120F" w:rsidP="00EC0B95">
      <w:pPr>
        <w:autoSpaceDE w:val="0"/>
        <w:autoSpaceDN w:val="0"/>
        <w:adjustRightInd w:val="0"/>
        <w:spacing w:line="300" w:lineRule="atLeast"/>
        <w:ind w:left="284"/>
        <w:contextualSpacing/>
        <w:jc w:val="both"/>
        <w:rPr>
          <w:rFonts w:ascii="Times New Roman" w:hAnsi="Times New Roman" w:cs="Times New Roman"/>
          <w:sz w:val="24"/>
          <w:szCs w:val="24"/>
        </w:rPr>
      </w:pPr>
      <w:r w:rsidRPr="0046120F">
        <w:rPr>
          <w:rFonts w:ascii="Times New Roman" w:hAnsi="Times New Roman" w:cs="Times New Roman"/>
          <w:sz w:val="24"/>
          <w:szCs w:val="24"/>
        </w:rPr>
        <w:t>2.9. niewykonywanie wymaganych pomiarów,</w:t>
      </w:r>
    </w:p>
    <w:p w14:paraId="61BE8BA4" w14:textId="07B5E814" w:rsidR="0046120F" w:rsidRPr="0046120F" w:rsidRDefault="0046120F" w:rsidP="00EC0B95">
      <w:pPr>
        <w:spacing w:line="300" w:lineRule="atLeast"/>
        <w:ind w:left="284"/>
        <w:contextualSpacing/>
        <w:jc w:val="both"/>
        <w:rPr>
          <w:rFonts w:ascii="Times New Roman" w:hAnsi="Times New Roman" w:cs="Times New Roman"/>
          <w:sz w:val="24"/>
          <w:szCs w:val="24"/>
        </w:rPr>
      </w:pPr>
      <w:r w:rsidRPr="0046120F">
        <w:rPr>
          <w:rFonts w:ascii="Times New Roman" w:hAnsi="Times New Roman" w:cs="Times New Roman"/>
          <w:sz w:val="24"/>
          <w:szCs w:val="24"/>
        </w:rPr>
        <w:t>2.10. inne przypadki stwarzające zagrożenia lub zanieczyszczenia środowiska.</w:t>
      </w:r>
    </w:p>
    <w:p w14:paraId="65FFFF39" w14:textId="77777777" w:rsidR="0046120F" w:rsidRPr="0046120F" w:rsidRDefault="0046120F" w:rsidP="0046120F">
      <w:pPr>
        <w:spacing w:line="300" w:lineRule="atLeast"/>
        <w:contextualSpacing/>
        <w:jc w:val="both"/>
        <w:rPr>
          <w:rFonts w:ascii="Times New Roman" w:hAnsi="Times New Roman" w:cs="Times New Roman"/>
          <w:i/>
          <w:color w:val="4472C4"/>
          <w:sz w:val="24"/>
          <w:szCs w:val="24"/>
        </w:rPr>
      </w:pPr>
    </w:p>
    <w:p w14:paraId="28EF1615" w14:textId="77777777" w:rsidR="0046120F" w:rsidRPr="0046120F" w:rsidRDefault="0046120F" w:rsidP="00EC0B95">
      <w:pPr>
        <w:spacing w:after="60" w:line="300" w:lineRule="atLeast"/>
        <w:jc w:val="both"/>
        <w:rPr>
          <w:rFonts w:ascii="Times New Roman" w:hAnsi="Times New Roman" w:cs="Times New Roman"/>
          <w:i/>
          <w:color w:val="4472C4"/>
          <w:sz w:val="24"/>
          <w:szCs w:val="24"/>
        </w:rPr>
      </w:pPr>
      <w:r w:rsidRPr="0046120F">
        <w:rPr>
          <w:rFonts w:ascii="Times New Roman" w:hAnsi="Times New Roman" w:cs="Times New Roman"/>
          <w:i/>
          <w:color w:val="4472C4"/>
          <w:sz w:val="24"/>
          <w:szCs w:val="24"/>
        </w:rPr>
        <w:t>Wojewódzki Inspektorat Ochrony Środowiska w Szczecinie</w:t>
      </w:r>
    </w:p>
    <w:p w14:paraId="772EFE70" w14:textId="502CB20F" w:rsidR="0046120F" w:rsidRPr="0046120F" w:rsidRDefault="0046120F" w:rsidP="008F0878">
      <w:pPr>
        <w:autoSpaceDE w:val="0"/>
        <w:autoSpaceDN w:val="0"/>
        <w:adjustRightInd w:val="0"/>
        <w:spacing w:line="300" w:lineRule="atLeast"/>
        <w:ind w:firstLine="567"/>
        <w:contextualSpacing/>
        <w:jc w:val="both"/>
        <w:rPr>
          <w:rFonts w:ascii="Times New Roman" w:hAnsi="Times New Roman" w:cs="Times New Roman"/>
          <w:sz w:val="24"/>
          <w:szCs w:val="24"/>
        </w:rPr>
      </w:pPr>
      <w:r w:rsidRPr="0046120F">
        <w:rPr>
          <w:rFonts w:ascii="Times New Roman" w:hAnsi="Times New Roman" w:cs="Times New Roman"/>
          <w:sz w:val="24"/>
          <w:szCs w:val="24"/>
        </w:rPr>
        <w:t xml:space="preserve">Naruszenia przepisów ochrony środowiska stwierdzono podczas 127 kontroli (76%), </w:t>
      </w:r>
      <w:r w:rsidR="00EC0B95">
        <w:rPr>
          <w:rFonts w:ascii="Times New Roman" w:hAnsi="Times New Roman" w:cs="Times New Roman"/>
          <w:sz w:val="24"/>
          <w:szCs w:val="24"/>
        </w:rPr>
        <w:br/>
      </w:r>
      <w:r w:rsidRPr="0046120F">
        <w:rPr>
          <w:rFonts w:ascii="Times New Roman" w:hAnsi="Times New Roman" w:cs="Times New Roman"/>
          <w:sz w:val="24"/>
          <w:szCs w:val="24"/>
        </w:rPr>
        <w:t>w tym w 71 przypadkach były to naruszenia klasy 2, co stanowiło 42% łącznej liczby kontroli interwencyjnych. W związku z ustaleniami kontroli nałożono 33 mandaty karne na łączną kwotę 17 300 PLN.</w:t>
      </w:r>
    </w:p>
    <w:p w14:paraId="60E41495" w14:textId="77777777" w:rsidR="0046120F" w:rsidRPr="0046120F" w:rsidRDefault="0046120F" w:rsidP="0046120F">
      <w:pPr>
        <w:spacing w:line="300" w:lineRule="atLeast"/>
        <w:contextualSpacing/>
        <w:jc w:val="both"/>
        <w:rPr>
          <w:rFonts w:ascii="Times New Roman" w:hAnsi="Times New Roman" w:cs="Times New Roman"/>
          <w:i/>
          <w:color w:val="4472C4"/>
          <w:sz w:val="24"/>
          <w:szCs w:val="24"/>
        </w:rPr>
      </w:pPr>
    </w:p>
    <w:p w14:paraId="28F688BF" w14:textId="77777777" w:rsidR="0046120F" w:rsidRPr="0046120F" w:rsidRDefault="0046120F" w:rsidP="00EC0B95">
      <w:pPr>
        <w:spacing w:after="60" w:line="300" w:lineRule="atLeast"/>
        <w:jc w:val="both"/>
        <w:rPr>
          <w:rFonts w:ascii="Times New Roman" w:hAnsi="Times New Roman" w:cs="Times New Roman"/>
          <w:i/>
          <w:color w:val="4472C4"/>
          <w:sz w:val="24"/>
          <w:szCs w:val="24"/>
        </w:rPr>
      </w:pPr>
      <w:r w:rsidRPr="0046120F">
        <w:rPr>
          <w:rFonts w:ascii="Times New Roman" w:hAnsi="Times New Roman" w:cs="Times New Roman"/>
          <w:i/>
          <w:color w:val="4472C4"/>
          <w:sz w:val="24"/>
          <w:szCs w:val="24"/>
        </w:rPr>
        <w:t>Wojewódzki Inspektorat Ochrony Środowiska w Warszawie</w:t>
      </w:r>
    </w:p>
    <w:p w14:paraId="14E8E174" w14:textId="77777777" w:rsidR="0046120F" w:rsidRPr="0046120F" w:rsidRDefault="0046120F" w:rsidP="00EC0B95">
      <w:pPr>
        <w:spacing w:after="0" w:line="300" w:lineRule="atLeast"/>
        <w:jc w:val="both"/>
        <w:rPr>
          <w:rFonts w:ascii="Times New Roman" w:hAnsi="Times New Roman" w:cs="Times New Roman"/>
          <w:iCs/>
          <w:sz w:val="24"/>
          <w:szCs w:val="24"/>
        </w:rPr>
      </w:pPr>
      <w:r w:rsidRPr="0046120F">
        <w:rPr>
          <w:rFonts w:ascii="Times New Roman" w:hAnsi="Times New Roman" w:cs="Times New Roman"/>
          <w:iCs/>
          <w:sz w:val="24"/>
          <w:szCs w:val="24"/>
        </w:rPr>
        <w:t>W trakcie przeprowadzonych kontroli stwierdzono następujące naruszenia:</w:t>
      </w:r>
    </w:p>
    <w:p w14:paraId="451DDF5B" w14:textId="77777777" w:rsidR="0046120F" w:rsidRPr="0046120F" w:rsidRDefault="0046120F" w:rsidP="00D34F97">
      <w:pPr>
        <w:pStyle w:val="Akapitzlist"/>
        <w:numPr>
          <w:ilvl w:val="0"/>
          <w:numId w:val="302"/>
        </w:numPr>
        <w:spacing w:line="300" w:lineRule="atLeast"/>
        <w:ind w:left="641" w:hanging="357"/>
        <w:jc w:val="both"/>
        <w:rPr>
          <w:iCs/>
          <w:sz w:val="24"/>
          <w:szCs w:val="24"/>
        </w:rPr>
      </w:pPr>
      <w:r w:rsidRPr="0046120F">
        <w:rPr>
          <w:iCs/>
          <w:sz w:val="24"/>
          <w:szCs w:val="24"/>
        </w:rPr>
        <w:t>dokonywanie poza stacją demontażu pojazdów wymontowania z pojazdów wycofanych z eksploatacji elementów lub substancji niebezpiecznych, w tym płynów, przedmiotów wyposażenia lub części nadających się do ponownego użycia oraz elementów nadających się do odzysku lub recyklingu,</w:t>
      </w:r>
    </w:p>
    <w:p w14:paraId="260E7316" w14:textId="77777777" w:rsidR="0046120F" w:rsidRPr="0046120F" w:rsidRDefault="0046120F" w:rsidP="00D34F97">
      <w:pPr>
        <w:pStyle w:val="Akapitzlist"/>
        <w:numPr>
          <w:ilvl w:val="0"/>
          <w:numId w:val="302"/>
        </w:numPr>
        <w:spacing w:line="300" w:lineRule="atLeast"/>
        <w:ind w:left="641" w:hanging="357"/>
        <w:jc w:val="both"/>
        <w:rPr>
          <w:iCs/>
          <w:sz w:val="24"/>
          <w:szCs w:val="24"/>
        </w:rPr>
      </w:pPr>
      <w:r w:rsidRPr="0046120F">
        <w:rPr>
          <w:iCs/>
          <w:sz w:val="24"/>
          <w:szCs w:val="24"/>
        </w:rPr>
        <w:t>brak zezwolenia na zbieranie odpadów,</w:t>
      </w:r>
    </w:p>
    <w:p w14:paraId="1361E258" w14:textId="77777777" w:rsidR="0046120F" w:rsidRPr="0046120F" w:rsidRDefault="0046120F" w:rsidP="00D34F97">
      <w:pPr>
        <w:pStyle w:val="Akapitzlist"/>
        <w:numPr>
          <w:ilvl w:val="0"/>
          <w:numId w:val="302"/>
        </w:numPr>
        <w:spacing w:line="300" w:lineRule="atLeast"/>
        <w:ind w:left="641" w:hanging="357"/>
        <w:jc w:val="both"/>
        <w:rPr>
          <w:iCs/>
          <w:sz w:val="24"/>
          <w:szCs w:val="24"/>
        </w:rPr>
      </w:pPr>
      <w:r w:rsidRPr="0046120F">
        <w:rPr>
          <w:iCs/>
          <w:sz w:val="24"/>
          <w:szCs w:val="24"/>
        </w:rPr>
        <w:t>magazynowanie odpadów w miejscu na ten cel nieprzeznaczonym,</w:t>
      </w:r>
    </w:p>
    <w:p w14:paraId="2D350B28" w14:textId="77777777" w:rsidR="0046120F" w:rsidRPr="0046120F" w:rsidRDefault="0046120F" w:rsidP="00D34F97">
      <w:pPr>
        <w:pStyle w:val="Akapitzlist"/>
        <w:numPr>
          <w:ilvl w:val="0"/>
          <w:numId w:val="302"/>
        </w:numPr>
        <w:spacing w:line="300" w:lineRule="atLeast"/>
        <w:ind w:left="641" w:hanging="357"/>
        <w:jc w:val="both"/>
        <w:rPr>
          <w:iCs/>
          <w:sz w:val="24"/>
          <w:szCs w:val="24"/>
        </w:rPr>
      </w:pPr>
      <w:r w:rsidRPr="0046120F">
        <w:rPr>
          <w:iCs/>
          <w:sz w:val="24"/>
          <w:szCs w:val="24"/>
        </w:rPr>
        <w:t>prowadzenie działalności w zakresie wytwarzania odpadów bez wpisu do rejestru podmiotów wprowadzających produkty, produkty w opakowaniach i gospodarujących odpadami,</w:t>
      </w:r>
    </w:p>
    <w:p w14:paraId="66F9D86B" w14:textId="77777777" w:rsidR="0046120F" w:rsidRPr="0046120F" w:rsidRDefault="0046120F" w:rsidP="00D34F97">
      <w:pPr>
        <w:pStyle w:val="Akapitzlist"/>
        <w:numPr>
          <w:ilvl w:val="0"/>
          <w:numId w:val="302"/>
        </w:numPr>
        <w:spacing w:line="300" w:lineRule="atLeast"/>
        <w:ind w:left="641" w:hanging="357"/>
        <w:jc w:val="both"/>
        <w:rPr>
          <w:iCs/>
          <w:sz w:val="24"/>
          <w:szCs w:val="24"/>
        </w:rPr>
      </w:pPr>
      <w:r w:rsidRPr="0046120F">
        <w:rPr>
          <w:iCs/>
          <w:sz w:val="24"/>
          <w:szCs w:val="24"/>
        </w:rPr>
        <w:t>nieprowadzenie ewidencji wytwarzanych odpadów lub prowadzenie ewidencji odpadów niezgodnie ze stanem rzeczywistym,</w:t>
      </w:r>
    </w:p>
    <w:p w14:paraId="19F06760" w14:textId="77777777" w:rsidR="0046120F" w:rsidRPr="0046120F" w:rsidRDefault="0046120F" w:rsidP="00D34F97">
      <w:pPr>
        <w:pStyle w:val="Akapitzlist"/>
        <w:numPr>
          <w:ilvl w:val="0"/>
          <w:numId w:val="302"/>
        </w:numPr>
        <w:spacing w:line="300" w:lineRule="atLeast"/>
        <w:ind w:left="641" w:hanging="357"/>
        <w:jc w:val="both"/>
        <w:rPr>
          <w:iCs/>
          <w:sz w:val="24"/>
          <w:szCs w:val="24"/>
        </w:rPr>
      </w:pPr>
      <w:r w:rsidRPr="0046120F">
        <w:rPr>
          <w:iCs/>
          <w:sz w:val="24"/>
          <w:szCs w:val="24"/>
        </w:rPr>
        <w:t>sporządzenie sprawozdania o wytwarzanych odpadach i o gospodarowaniu odpadami niezgodnie ze stanem rzeczywistym,</w:t>
      </w:r>
    </w:p>
    <w:p w14:paraId="36BA93EF" w14:textId="77777777" w:rsidR="0046120F" w:rsidRPr="0046120F" w:rsidRDefault="0046120F" w:rsidP="00D34F97">
      <w:pPr>
        <w:pStyle w:val="Akapitzlist"/>
        <w:numPr>
          <w:ilvl w:val="0"/>
          <w:numId w:val="302"/>
        </w:numPr>
        <w:spacing w:line="300" w:lineRule="atLeast"/>
        <w:ind w:left="641" w:hanging="357"/>
        <w:jc w:val="both"/>
        <w:rPr>
          <w:iCs/>
          <w:sz w:val="24"/>
          <w:szCs w:val="24"/>
        </w:rPr>
      </w:pPr>
      <w:r w:rsidRPr="0046120F">
        <w:rPr>
          <w:iCs/>
          <w:sz w:val="24"/>
          <w:szCs w:val="24"/>
        </w:rPr>
        <w:t>termiczne przekształcanie odpadów,</w:t>
      </w:r>
    </w:p>
    <w:p w14:paraId="2ECA0B4C" w14:textId="77777777" w:rsidR="0046120F" w:rsidRPr="0046120F" w:rsidRDefault="0046120F" w:rsidP="00D34F97">
      <w:pPr>
        <w:pStyle w:val="Akapitzlist"/>
        <w:numPr>
          <w:ilvl w:val="0"/>
          <w:numId w:val="302"/>
        </w:numPr>
        <w:spacing w:line="300" w:lineRule="atLeast"/>
        <w:ind w:left="641" w:hanging="357"/>
        <w:jc w:val="both"/>
        <w:rPr>
          <w:iCs/>
          <w:sz w:val="24"/>
          <w:szCs w:val="24"/>
        </w:rPr>
      </w:pPr>
      <w:r w:rsidRPr="0046120F">
        <w:rPr>
          <w:iCs/>
          <w:sz w:val="24"/>
          <w:szCs w:val="24"/>
        </w:rPr>
        <w:t xml:space="preserve">niewystarczający nadzór nad prawidłowością prac rekultywacyjnych, w tym kontroli przywożonych na teren wyrobiska odpadów pod kątem zgodności z posiadanym zezwoleniem, a także zawartych w odpadach zanieczyszczeń, </w:t>
      </w:r>
    </w:p>
    <w:p w14:paraId="1820236D" w14:textId="374965AF" w:rsidR="0046120F" w:rsidRPr="0046120F" w:rsidRDefault="0046120F" w:rsidP="00D34F97">
      <w:pPr>
        <w:pStyle w:val="Akapitzlist"/>
        <w:numPr>
          <w:ilvl w:val="0"/>
          <w:numId w:val="302"/>
        </w:numPr>
        <w:spacing w:line="300" w:lineRule="atLeast"/>
        <w:ind w:left="641" w:hanging="357"/>
        <w:jc w:val="both"/>
        <w:rPr>
          <w:iCs/>
          <w:sz w:val="24"/>
          <w:szCs w:val="24"/>
        </w:rPr>
      </w:pPr>
      <w:r w:rsidRPr="0046120F">
        <w:rPr>
          <w:iCs/>
          <w:sz w:val="24"/>
          <w:szCs w:val="24"/>
        </w:rPr>
        <w:t>gospodarowanie odpadami niezgodnie z posiadanym zezwoleniem, przetwarzanie odpadów niezgodnie z posiadanym zezwoleniem w zakresie rodzaju przetwarzanych odpadów oraz w zakresie zawartych w przetwarzanych odpadach widocznych wyraźnie innych odpadów</w:t>
      </w:r>
      <w:r w:rsidR="00C8507B">
        <w:rPr>
          <w:iCs/>
          <w:sz w:val="24"/>
          <w:szCs w:val="24"/>
          <w:lang w:val="pl-PL"/>
        </w:rPr>
        <w:t>,</w:t>
      </w:r>
      <w:r w:rsidRPr="0046120F">
        <w:rPr>
          <w:iCs/>
          <w:sz w:val="24"/>
          <w:szCs w:val="24"/>
        </w:rPr>
        <w:t xml:space="preserve"> m.in. tworzyw sztucznych.</w:t>
      </w:r>
    </w:p>
    <w:p w14:paraId="53B9BC17" w14:textId="77777777" w:rsidR="006D2F4E" w:rsidRPr="00C8507B" w:rsidRDefault="006D2F4E" w:rsidP="0046120F">
      <w:pPr>
        <w:spacing w:line="300" w:lineRule="atLeast"/>
        <w:contextualSpacing/>
        <w:jc w:val="both"/>
        <w:rPr>
          <w:rFonts w:ascii="Times New Roman" w:hAnsi="Times New Roman" w:cs="Times New Roman"/>
          <w:i/>
          <w:color w:val="4472C4"/>
          <w:sz w:val="24"/>
          <w:szCs w:val="24"/>
          <w:lang w:val="x-none"/>
        </w:rPr>
      </w:pPr>
    </w:p>
    <w:p w14:paraId="0CB3C2B0" w14:textId="77777777" w:rsidR="0046120F" w:rsidRPr="0046120F" w:rsidRDefault="0046120F" w:rsidP="00C8507B">
      <w:pPr>
        <w:spacing w:after="60" w:line="300" w:lineRule="atLeast"/>
        <w:rPr>
          <w:rFonts w:ascii="Times New Roman" w:hAnsi="Times New Roman" w:cs="Times New Roman"/>
          <w:i/>
          <w:color w:val="4472C4"/>
          <w:sz w:val="24"/>
          <w:szCs w:val="24"/>
        </w:rPr>
      </w:pPr>
      <w:r w:rsidRPr="0046120F">
        <w:rPr>
          <w:rFonts w:ascii="Times New Roman" w:hAnsi="Times New Roman" w:cs="Times New Roman"/>
          <w:i/>
          <w:color w:val="4472C4"/>
          <w:sz w:val="24"/>
          <w:szCs w:val="24"/>
        </w:rPr>
        <w:t>Wojewódzki Inspektorat Ochrony Środowiska we Wrocławiu</w:t>
      </w:r>
    </w:p>
    <w:p w14:paraId="67409E1F" w14:textId="77777777" w:rsidR="0046120F" w:rsidRPr="0046120F" w:rsidRDefault="0046120F" w:rsidP="008F0878">
      <w:pPr>
        <w:spacing w:line="300" w:lineRule="atLeast"/>
        <w:ind w:firstLine="567"/>
        <w:contextualSpacing/>
        <w:jc w:val="both"/>
        <w:rPr>
          <w:rFonts w:ascii="Times New Roman" w:hAnsi="Times New Roman" w:cs="Times New Roman"/>
          <w:sz w:val="24"/>
          <w:szCs w:val="24"/>
        </w:rPr>
      </w:pPr>
      <w:r w:rsidRPr="0046120F">
        <w:rPr>
          <w:rFonts w:ascii="Times New Roman" w:hAnsi="Times New Roman" w:cs="Times New Roman"/>
          <w:sz w:val="24"/>
          <w:szCs w:val="24"/>
        </w:rPr>
        <w:t xml:space="preserve">W 2022 roku w 89 kontrolach stwierdzono naruszenia, przy czym w 37 kontrolach stwierdzono naruszenie klasy 1, a w 52 naruszenie klasy 2. </w:t>
      </w:r>
      <w:bookmarkStart w:id="336" w:name="_Hlk126840037"/>
    </w:p>
    <w:bookmarkEnd w:id="336"/>
    <w:p w14:paraId="34FEF057" w14:textId="77777777" w:rsidR="0046120F" w:rsidRPr="0046120F" w:rsidRDefault="0046120F" w:rsidP="008F0878">
      <w:pPr>
        <w:spacing w:line="300" w:lineRule="atLeast"/>
        <w:ind w:firstLine="567"/>
        <w:contextualSpacing/>
        <w:jc w:val="both"/>
        <w:rPr>
          <w:rFonts w:ascii="Times New Roman" w:hAnsi="Times New Roman" w:cs="Times New Roman"/>
          <w:sz w:val="24"/>
          <w:szCs w:val="24"/>
        </w:rPr>
      </w:pPr>
      <w:r w:rsidRPr="0046120F">
        <w:rPr>
          <w:rFonts w:ascii="Times New Roman" w:hAnsi="Times New Roman" w:cs="Times New Roman"/>
          <w:sz w:val="24"/>
          <w:szCs w:val="24"/>
        </w:rPr>
        <w:t>W 2021 roku w 61 kontrolach stwierdzono naruszenia, przy czym w 16 kontrolach stwierdzono naruszenie klasy 1, a w 45 naruszenie klasy 2.</w:t>
      </w:r>
    </w:p>
    <w:p w14:paraId="5F2BC07C" w14:textId="77777777" w:rsidR="00C8507B" w:rsidRPr="0046120F" w:rsidRDefault="00C8507B" w:rsidP="0046120F">
      <w:pPr>
        <w:spacing w:line="300" w:lineRule="atLeast"/>
        <w:contextualSpacing/>
        <w:rPr>
          <w:rFonts w:ascii="Times New Roman" w:hAnsi="Times New Roman" w:cs="Times New Roman"/>
          <w:i/>
          <w:color w:val="4472C4"/>
          <w:sz w:val="24"/>
          <w:szCs w:val="24"/>
        </w:rPr>
      </w:pPr>
    </w:p>
    <w:p w14:paraId="2EC2ABE4" w14:textId="77777777" w:rsidR="0046120F" w:rsidRPr="0046120F" w:rsidRDefault="0046120F" w:rsidP="00C8507B">
      <w:pPr>
        <w:spacing w:after="120" w:line="300" w:lineRule="atLeast"/>
        <w:rPr>
          <w:rFonts w:ascii="Times New Roman" w:hAnsi="Times New Roman" w:cs="Times New Roman"/>
          <w:i/>
          <w:color w:val="4472C4"/>
          <w:sz w:val="24"/>
          <w:szCs w:val="24"/>
        </w:rPr>
      </w:pPr>
      <w:r w:rsidRPr="0046120F">
        <w:rPr>
          <w:rFonts w:ascii="Times New Roman" w:hAnsi="Times New Roman" w:cs="Times New Roman"/>
          <w:i/>
          <w:color w:val="4472C4"/>
          <w:sz w:val="24"/>
          <w:szCs w:val="24"/>
        </w:rPr>
        <w:lastRenderedPageBreak/>
        <w:t>Wojewódzki Inspektorat Ochrony Środowiska w Zielonej Górze</w:t>
      </w:r>
    </w:p>
    <w:p w14:paraId="666C279C" w14:textId="0D6F36E3" w:rsidR="00C8507B" w:rsidRPr="00C8507B" w:rsidRDefault="00C8507B" w:rsidP="00D34F97">
      <w:pPr>
        <w:pStyle w:val="Akapitzlist"/>
        <w:numPr>
          <w:ilvl w:val="0"/>
          <w:numId w:val="150"/>
        </w:numPr>
        <w:spacing w:after="120" w:line="300" w:lineRule="atLeast"/>
        <w:ind w:left="568" w:hanging="284"/>
        <w:jc w:val="both"/>
        <w:rPr>
          <w:color w:val="000000"/>
          <w:sz w:val="24"/>
          <w:szCs w:val="24"/>
        </w:rPr>
      </w:pPr>
      <w:r>
        <w:rPr>
          <w:sz w:val="24"/>
          <w:szCs w:val="24"/>
          <w:lang w:val="pl-PL"/>
        </w:rPr>
        <w:t>z</w:t>
      </w:r>
      <w:proofErr w:type="spellStart"/>
      <w:r w:rsidR="0046120F" w:rsidRPr="0046120F">
        <w:rPr>
          <w:sz w:val="24"/>
          <w:szCs w:val="24"/>
        </w:rPr>
        <w:t>bieranie</w:t>
      </w:r>
      <w:proofErr w:type="spellEnd"/>
      <w:r w:rsidR="0046120F" w:rsidRPr="0046120F">
        <w:rPr>
          <w:sz w:val="24"/>
          <w:szCs w:val="24"/>
        </w:rPr>
        <w:t xml:space="preserve"> odpadów bez uregulowanej strony formalno-prawnej, </w:t>
      </w:r>
    </w:p>
    <w:p w14:paraId="5AE4B756" w14:textId="77777777" w:rsidR="00C8507B" w:rsidRPr="00C8507B" w:rsidRDefault="00C8507B" w:rsidP="00D34F97">
      <w:pPr>
        <w:pStyle w:val="Akapitzlist"/>
        <w:numPr>
          <w:ilvl w:val="0"/>
          <w:numId w:val="150"/>
        </w:numPr>
        <w:spacing w:after="120" w:line="300" w:lineRule="atLeast"/>
        <w:ind w:left="568" w:hanging="284"/>
        <w:jc w:val="both"/>
        <w:rPr>
          <w:color w:val="000000"/>
          <w:sz w:val="24"/>
          <w:szCs w:val="24"/>
        </w:rPr>
      </w:pPr>
      <w:r>
        <w:rPr>
          <w:sz w:val="24"/>
          <w:szCs w:val="24"/>
          <w:lang w:val="pl-PL"/>
        </w:rPr>
        <w:t>d</w:t>
      </w:r>
      <w:proofErr w:type="spellStart"/>
      <w:r w:rsidR="0046120F" w:rsidRPr="0046120F">
        <w:rPr>
          <w:sz w:val="24"/>
          <w:szCs w:val="24"/>
        </w:rPr>
        <w:t>emontaż</w:t>
      </w:r>
      <w:proofErr w:type="spellEnd"/>
      <w:r w:rsidR="0046120F" w:rsidRPr="0046120F">
        <w:rPr>
          <w:sz w:val="24"/>
          <w:szCs w:val="24"/>
        </w:rPr>
        <w:t xml:space="preserve"> pojazdów poza stacjami demontażu, </w:t>
      </w:r>
    </w:p>
    <w:p w14:paraId="0690D608" w14:textId="77777777" w:rsidR="00C8507B" w:rsidRPr="00C8507B" w:rsidRDefault="0046120F" w:rsidP="00D34F97">
      <w:pPr>
        <w:pStyle w:val="Akapitzlist"/>
        <w:numPr>
          <w:ilvl w:val="0"/>
          <w:numId w:val="150"/>
        </w:numPr>
        <w:spacing w:after="120" w:line="300" w:lineRule="atLeast"/>
        <w:ind w:left="568" w:hanging="284"/>
        <w:jc w:val="both"/>
        <w:rPr>
          <w:color w:val="000000"/>
          <w:sz w:val="24"/>
          <w:szCs w:val="24"/>
        </w:rPr>
      </w:pPr>
      <w:r w:rsidRPr="0046120F">
        <w:rPr>
          <w:sz w:val="24"/>
          <w:szCs w:val="24"/>
        </w:rPr>
        <w:t xml:space="preserve">przetwarzanie odpadów bez zezwolenia, </w:t>
      </w:r>
    </w:p>
    <w:p w14:paraId="5CC75AB9" w14:textId="69C1514B" w:rsidR="00A22034" w:rsidRDefault="0046120F" w:rsidP="00D34F97">
      <w:pPr>
        <w:pStyle w:val="Akapitzlist"/>
        <w:numPr>
          <w:ilvl w:val="0"/>
          <w:numId w:val="150"/>
        </w:numPr>
        <w:spacing w:after="120" w:line="300" w:lineRule="atLeast"/>
        <w:ind w:left="568" w:hanging="284"/>
        <w:jc w:val="both"/>
        <w:rPr>
          <w:color w:val="000000"/>
          <w:sz w:val="24"/>
          <w:szCs w:val="24"/>
        </w:rPr>
      </w:pPr>
      <w:r w:rsidRPr="0046120F">
        <w:rPr>
          <w:sz w:val="24"/>
          <w:szCs w:val="24"/>
        </w:rPr>
        <w:t>transport odpadów bez właściwego oznakowania i bez właściwej dokumentacji</w:t>
      </w:r>
      <w:r w:rsidR="00A22034" w:rsidRPr="007F400A">
        <w:rPr>
          <w:color w:val="000000"/>
          <w:sz w:val="24"/>
          <w:szCs w:val="24"/>
        </w:rPr>
        <w:t>.</w:t>
      </w:r>
    </w:p>
    <w:p w14:paraId="3A57ED3B" w14:textId="77777777" w:rsidR="001B43F0" w:rsidRPr="007F400A" w:rsidRDefault="001B43F0" w:rsidP="00F27A74">
      <w:pPr>
        <w:pStyle w:val="Akapitzlist"/>
        <w:spacing w:line="300" w:lineRule="atLeast"/>
        <w:ind w:left="567"/>
        <w:contextualSpacing w:val="0"/>
        <w:jc w:val="both"/>
        <w:rPr>
          <w:color w:val="000000"/>
          <w:sz w:val="24"/>
          <w:szCs w:val="24"/>
        </w:rPr>
      </w:pPr>
    </w:p>
    <w:p w14:paraId="6086B8AA" w14:textId="0AE14017" w:rsidR="006E1E41" w:rsidRPr="00C8507B" w:rsidRDefault="00C8507B" w:rsidP="00D34F97">
      <w:pPr>
        <w:pStyle w:val="Akapitzlist"/>
        <w:numPr>
          <w:ilvl w:val="1"/>
          <w:numId w:val="148"/>
        </w:numPr>
        <w:spacing w:after="120" w:line="300" w:lineRule="atLeast"/>
        <w:jc w:val="both"/>
        <w:outlineLvl w:val="0"/>
        <w:rPr>
          <w:b/>
          <w:color w:val="000000"/>
          <w:sz w:val="24"/>
          <w:szCs w:val="24"/>
        </w:rPr>
      </w:pPr>
      <w:r>
        <w:rPr>
          <w:lang w:val="pl-PL"/>
        </w:rPr>
        <w:t xml:space="preserve"> </w:t>
      </w:r>
      <w:bookmarkStart w:id="337" w:name="_Toc135935682"/>
      <w:r w:rsidRPr="00C8507B">
        <w:rPr>
          <w:b/>
          <w:sz w:val="24"/>
          <w:szCs w:val="24"/>
          <w:lang w:val="pl-PL"/>
        </w:rPr>
        <w:t>L</w:t>
      </w:r>
      <w:proofErr w:type="spellStart"/>
      <w:r w:rsidRPr="00C8507B">
        <w:rPr>
          <w:b/>
          <w:sz w:val="24"/>
          <w:szCs w:val="24"/>
        </w:rPr>
        <w:t>iczba</w:t>
      </w:r>
      <w:proofErr w:type="spellEnd"/>
      <w:r w:rsidRPr="00C8507B">
        <w:rPr>
          <w:b/>
          <w:sz w:val="24"/>
          <w:szCs w:val="24"/>
        </w:rPr>
        <w:t xml:space="preserve"> i opis podjętych działań pokontrolnych, krótka charakterystyka działań pokontrolnych</w:t>
      </w:r>
      <w:bookmarkEnd w:id="337"/>
    </w:p>
    <w:p w14:paraId="11E46B09" w14:textId="77777777" w:rsidR="00C8507B" w:rsidRPr="00C8507B" w:rsidRDefault="00C8507B" w:rsidP="00C8507B">
      <w:pPr>
        <w:spacing w:after="60" w:line="300" w:lineRule="atLeast"/>
        <w:jc w:val="both"/>
        <w:rPr>
          <w:rFonts w:ascii="Times New Roman" w:hAnsi="Times New Roman" w:cs="Times New Roman"/>
          <w:i/>
          <w:color w:val="4472C4"/>
          <w:sz w:val="24"/>
          <w:szCs w:val="24"/>
        </w:rPr>
      </w:pPr>
      <w:r w:rsidRPr="00C8507B">
        <w:rPr>
          <w:rFonts w:ascii="Times New Roman" w:hAnsi="Times New Roman" w:cs="Times New Roman"/>
          <w:i/>
          <w:color w:val="4472C4"/>
          <w:sz w:val="24"/>
          <w:szCs w:val="24"/>
        </w:rPr>
        <w:t>Wojewódzki Inspektorat Ochrony Środowiska w Białymstoku</w:t>
      </w:r>
    </w:p>
    <w:p w14:paraId="02EB018E" w14:textId="77777777" w:rsidR="00C8507B" w:rsidRPr="00C8507B" w:rsidRDefault="00C8507B" w:rsidP="00C8507B">
      <w:pPr>
        <w:spacing w:after="60" w:line="300" w:lineRule="atLeast"/>
        <w:jc w:val="both"/>
        <w:rPr>
          <w:rFonts w:ascii="Times New Roman" w:hAnsi="Times New Roman" w:cs="Times New Roman"/>
          <w:sz w:val="24"/>
          <w:szCs w:val="24"/>
        </w:rPr>
      </w:pPr>
      <w:r w:rsidRPr="00C8507B">
        <w:rPr>
          <w:rFonts w:ascii="Times New Roman" w:hAnsi="Times New Roman" w:cs="Times New Roman"/>
          <w:sz w:val="24"/>
          <w:szCs w:val="24"/>
        </w:rPr>
        <w:t>Działania pokontrolne:</w:t>
      </w:r>
    </w:p>
    <w:p w14:paraId="0CA74A6E" w14:textId="061B442C" w:rsidR="00C8507B" w:rsidRPr="00C8507B" w:rsidRDefault="00C8507B" w:rsidP="00D34F97">
      <w:pPr>
        <w:pStyle w:val="Akapitzlist"/>
        <w:numPr>
          <w:ilvl w:val="0"/>
          <w:numId w:val="304"/>
        </w:numPr>
        <w:spacing w:line="300" w:lineRule="atLeast"/>
        <w:ind w:left="641" w:hanging="357"/>
        <w:jc w:val="both"/>
        <w:rPr>
          <w:sz w:val="24"/>
          <w:szCs w:val="24"/>
        </w:rPr>
      </w:pPr>
      <w:r w:rsidRPr="00C8507B">
        <w:rPr>
          <w:sz w:val="24"/>
          <w:szCs w:val="24"/>
        </w:rPr>
        <w:t>zarządzenia pokontrolne – 9 szt.</w:t>
      </w:r>
    </w:p>
    <w:p w14:paraId="08DF0707" w14:textId="497FA038" w:rsidR="00C8507B" w:rsidRPr="00C8507B" w:rsidRDefault="00C8507B" w:rsidP="00D34F97">
      <w:pPr>
        <w:pStyle w:val="Akapitzlist"/>
        <w:numPr>
          <w:ilvl w:val="0"/>
          <w:numId w:val="304"/>
        </w:numPr>
        <w:spacing w:line="300" w:lineRule="atLeast"/>
        <w:ind w:left="641" w:hanging="357"/>
        <w:jc w:val="both"/>
        <w:rPr>
          <w:sz w:val="24"/>
          <w:szCs w:val="24"/>
        </w:rPr>
      </w:pPr>
      <w:r w:rsidRPr="00C8507B">
        <w:rPr>
          <w:sz w:val="24"/>
          <w:szCs w:val="24"/>
        </w:rPr>
        <w:t xml:space="preserve">mandaty – 8 szt. po 500 zł (z art. 191 – Ustawa o odpadach – Termiczne przekształcanie odpadów poza spalarnią odpadów lub współspalarnia odpadów wbrew przepisowi art. 155 – 6 szt.; 1 szt. z art. 171 – ustawa o odpadach – Prowadzenie gospodarki odpadami niezgodnie z nakazem określonym w art. 16; 1 szt. z art. 41 ustawy o nawozach </w:t>
      </w:r>
      <w:r w:rsidR="009E209E">
        <w:rPr>
          <w:sz w:val="24"/>
          <w:szCs w:val="24"/>
        </w:rPr>
        <w:br/>
      </w:r>
      <w:r w:rsidRPr="00C8507B">
        <w:rPr>
          <w:sz w:val="24"/>
          <w:szCs w:val="24"/>
        </w:rPr>
        <w:t>i nawożeniu),</w:t>
      </w:r>
    </w:p>
    <w:p w14:paraId="6F1D5054" w14:textId="0D84D80E" w:rsidR="00C8507B" w:rsidRPr="00C8507B" w:rsidRDefault="00C8507B" w:rsidP="00D34F97">
      <w:pPr>
        <w:pStyle w:val="Akapitzlist"/>
        <w:numPr>
          <w:ilvl w:val="0"/>
          <w:numId w:val="304"/>
        </w:numPr>
        <w:spacing w:line="300" w:lineRule="atLeast"/>
        <w:ind w:left="641" w:hanging="357"/>
        <w:jc w:val="both"/>
        <w:rPr>
          <w:sz w:val="24"/>
          <w:szCs w:val="24"/>
        </w:rPr>
      </w:pPr>
      <w:r w:rsidRPr="00C8507B">
        <w:rPr>
          <w:sz w:val="24"/>
          <w:szCs w:val="24"/>
        </w:rPr>
        <w:t>decyzje o wymierzeniu kary pieniężnej – (2 ostateczne po 10 000 zł, 1 ostateczna na 140 000 zł oraz 1 ostateczna na 1</w:t>
      </w:r>
      <w:r w:rsidR="009E209E">
        <w:rPr>
          <w:sz w:val="24"/>
          <w:szCs w:val="24"/>
          <w:lang w:val="pl-PL"/>
        </w:rPr>
        <w:t xml:space="preserve"> </w:t>
      </w:r>
      <w:r w:rsidRPr="00C8507B">
        <w:rPr>
          <w:sz w:val="24"/>
          <w:szCs w:val="24"/>
        </w:rPr>
        <w:t>000 zł; 3 decyzje w odwołaniu, 1 w zawieszeniu, 1 w toku).</w:t>
      </w:r>
    </w:p>
    <w:p w14:paraId="529F8B52" w14:textId="7B732FC4" w:rsidR="00C8507B" w:rsidRPr="00C8507B" w:rsidRDefault="00C8507B" w:rsidP="00D34F97">
      <w:pPr>
        <w:pStyle w:val="Akapitzlist"/>
        <w:numPr>
          <w:ilvl w:val="0"/>
          <w:numId w:val="304"/>
        </w:numPr>
        <w:spacing w:line="300" w:lineRule="atLeast"/>
        <w:ind w:left="641" w:hanging="357"/>
        <w:jc w:val="both"/>
        <w:rPr>
          <w:sz w:val="24"/>
          <w:szCs w:val="24"/>
        </w:rPr>
      </w:pPr>
      <w:r w:rsidRPr="00C8507B">
        <w:rPr>
          <w:sz w:val="24"/>
          <w:szCs w:val="24"/>
        </w:rPr>
        <w:t>zawiadomienie do prokuratury – 1 szt.</w:t>
      </w:r>
    </w:p>
    <w:p w14:paraId="4DB0B5CF" w14:textId="77777777" w:rsidR="00C8507B" w:rsidRPr="00C8507B" w:rsidRDefault="00C8507B" w:rsidP="00C8507B">
      <w:pPr>
        <w:spacing w:line="300" w:lineRule="atLeast"/>
        <w:contextualSpacing/>
        <w:jc w:val="both"/>
        <w:rPr>
          <w:rFonts w:ascii="Times New Roman" w:hAnsi="Times New Roman" w:cs="Times New Roman"/>
          <w:i/>
          <w:color w:val="4472C4"/>
          <w:sz w:val="24"/>
          <w:szCs w:val="24"/>
        </w:rPr>
      </w:pPr>
    </w:p>
    <w:p w14:paraId="0F3BAB0E" w14:textId="77777777" w:rsidR="00C8507B" w:rsidRPr="00C8507B" w:rsidRDefault="00C8507B" w:rsidP="009E209E">
      <w:pPr>
        <w:spacing w:after="60" w:line="300" w:lineRule="atLeast"/>
        <w:jc w:val="both"/>
        <w:rPr>
          <w:rFonts w:ascii="Times New Roman" w:hAnsi="Times New Roman" w:cs="Times New Roman"/>
          <w:i/>
          <w:color w:val="4472C4"/>
          <w:sz w:val="24"/>
          <w:szCs w:val="24"/>
        </w:rPr>
      </w:pPr>
      <w:r w:rsidRPr="00C8507B">
        <w:rPr>
          <w:rFonts w:ascii="Times New Roman" w:hAnsi="Times New Roman" w:cs="Times New Roman"/>
          <w:i/>
          <w:color w:val="4472C4"/>
          <w:sz w:val="24"/>
          <w:szCs w:val="24"/>
        </w:rPr>
        <w:t>Wojewódzki Inspektorat Ochrony Środowiska w Bydgoszczy</w:t>
      </w:r>
    </w:p>
    <w:p w14:paraId="7F1DFE4A" w14:textId="10AEBE73" w:rsidR="00C8507B" w:rsidRPr="00C8507B" w:rsidRDefault="00C8507B" w:rsidP="008F0878">
      <w:pPr>
        <w:tabs>
          <w:tab w:val="left" w:pos="6696"/>
          <w:tab w:val="left" w:pos="7635"/>
        </w:tabs>
        <w:spacing w:after="0" w:line="300" w:lineRule="atLeast"/>
        <w:ind w:firstLine="567"/>
        <w:jc w:val="both"/>
        <w:rPr>
          <w:rFonts w:ascii="Times New Roman" w:hAnsi="Times New Roman" w:cs="Times New Roman"/>
          <w:bCs/>
          <w:sz w:val="24"/>
          <w:szCs w:val="24"/>
        </w:rPr>
      </w:pPr>
      <w:r w:rsidRPr="00C8507B">
        <w:rPr>
          <w:rFonts w:ascii="Times New Roman" w:hAnsi="Times New Roman" w:cs="Times New Roman"/>
          <w:bCs/>
          <w:sz w:val="24"/>
          <w:szCs w:val="24"/>
        </w:rPr>
        <w:t>Na podstawie przeprowadzonych kontroli interwencyjnych w 2022 r. podjęto następujące działania:</w:t>
      </w:r>
    </w:p>
    <w:p w14:paraId="3CB164A7" w14:textId="77777777" w:rsidR="00C8507B" w:rsidRPr="009E209E" w:rsidRDefault="00C8507B" w:rsidP="00D34F97">
      <w:pPr>
        <w:pStyle w:val="Akapitzlist"/>
        <w:numPr>
          <w:ilvl w:val="0"/>
          <w:numId w:val="305"/>
        </w:numPr>
        <w:tabs>
          <w:tab w:val="left" w:pos="1494"/>
          <w:tab w:val="left" w:pos="11424"/>
          <w:tab w:val="left" w:pos="12504"/>
          <w:tab w:val="left" w:pos="13443"/>
        </w:tabs>
        <w:suppressAutoHyphens/>
        <w:spacing w:line="300" w:lineRule="atLeast"/>
        <w:ind w:left="641" w:hanging="357"/>
        <w:jc w:val="both"/>
        <w:rPr>
          <w:bCs/>
          <w:sz w:val="24"/>
          <w:szCs w:val="24"/>
        </w:rPr>
      </w:pPr>
      <w:r w:rsidRPr="009E209E">
        <w:rPr>
          <w:bCs/>
          <w:sz w:val="24"/>
          <w:szCs w:val="24"/>
        </w:rPr>
        <w:t>nałożono 65 mandatów karnych,</w:t>
      </w:r>
    </w:p>
    <w:p w14:paraId="7C6F3999" w14:textId="77777777" w:rsidR="00C8507B" w:rsidRPr="009E209E" w:rsidRDefault="00C8507B" w:rsidP="00D34F97">
      <w:pPr>
        <w:pStyle w:val="Akapitzlist"/>
        <w:numPr>
          <w:ilvl w:val="0"/>
          <w:numId w:val="305"/>
        </w:numPr>
        <w:tabs>
          <w:tab w:val="left" w:pos="1494"/>
          <w:tab w:val="left" w:pos="11424"/>
          <w:tab w:val="left" w:pos="12504"/>
          <w:tab w:val="left" w:pos="13443"/>
        </w:tabs>
        <w:suppressAutoHyphens/>
        <w:spacing w:line="300" w:lineRule="atLeast"/>
        <w:ind w:left="641" w:hanging="357"/>
        <w:jc w:val="both"/>
        <w:rPr>
          <w:bCs/>
          <w:sz w:val="24"/>
          <w:szCs w:val="24"/>
        </w:rPr>
      </w:pPr>
      <w:r w:rsidRPr="009E209E">
        <w:rPr>
          <w:bCs/>
          <w:sz w:val="24"/>
          <w:szCs w:val="24"/>
        </w:rPr>
        <w:t xml:space="preserve">wydano 56 zarządzeń pokontrolnych, </w:t>
      </w:r>
    </w:p>
    <w:p w14:paraId="5201A81A" w14:textId="77777777" w:rsidR="00C8507B" w:rsidRPr="009E209E" w:rsidRDefault="00C8507B" w:rsidP="00D34F97">
      <w:pPr>
        <w:pStyle w:val="Akapitzlist"/>
        <w:numPr>
          <w:ilvl w:val="0"/>
          <w:numId w:val="305"/>
        </w:numPr>
        <w:tabs>
          <w:tab w:val="left" w:pos="1494"/>
          <w:tab w:val="left" w:pos="11424"/>
          <w:tab w:val="left" w:pos="12144"/>
          <w:tab w:val="left" w:pos="12723"/>
        </w:tabs>
        <w:suppressAutoHyphens/>
        <w:spacing w:line="300" w:lineRule="atLeast"/>
        <w:ind w:left="641" w:hanging="357"/>
        <w:jc w:val="both"/>
        <w:rPr>
          <w:bCs/>
          <w:sz w:val="24"/>
          <w:szCs w:val="24"/>
        </w:rPr>
      </w:pPr>
      <w:r w:rsidRPr="009E209E">
        <w:rPr>
          <w:bCs/>
          <w:sz w:val="24"/>
          <w:szCs w:val="24"/>
        </w:rPr>
        <w:t>skierowano 185 wnioski do organów administracji rządowej i samorządowej,</w:t>
      </w:r>
    </w:p>
    <w:p w14:paraId="249AE1A9" w14:textId="77777777" w:rsidR="00C8507B" w:rsidRPr="009E209E" w:rsidRDefault="00C8507B" w:rsidP="00D34F97">
      <w:pPr>
        <w:pStyle w:val="Akapitzlist"/>
        <w:numPr>
          <w:ilvl w:val="0"/>
          <w:numId w:val="305"/>
        </w:numPr>
        <w:tabs>
          <w:tab w:val="left" w:pos="1494"/>
          <w:tab w:val="left" w:pos="11424"/>
          <w:tab w:val="left" w:pos="12144"/>
          <w:tab w:val="left" w:pos="12723"/>
        </w:tabs>
        <w:suppressAutoHyphens/>
        <w:spacing w:line="300" w:lineRule="atLeast"/>
        <w:ind w:left="641" w:hanging="357"/>
        <w:jc w:val="both"/>
        <w:rPr>
          <w:bCs/>
          <w:sz w:val="24"/>
          <w:szCs w:val="24"/>
        </w:rPr>
      </w:pPr>
      <w:r w:rsidRPr="009E209E">
        <w:rPr>
          <w:bCs/>
          <w:sz w:val="24"/>
          <w:szCs w:val="24"/>
        </w:rPr>
        <w:t xml:space="preserve">wszczęto 89 postępowań karno-administracyjnych, </w:t>
      </w:r>
    </w:p>
    <w:p w14:paraId="64CFDFAB" w14:textId="77777777" w:rsidR="00C8507B" w:rsidRPr="009E209E" w:rsidRDefault="00C8507B" w:rsidP="00D34F97">
      <w:pPr>
        <w:pStyle w:val="Akapitzlist"/>
        <w:numPr>
          <w:ilvl w:val="0"/>
          <w:numId w:val="305"/>
        </w:numPr>
        <w:tabs>
          <w:tab w:val="left" w:pos="1494"/>
          <w:tab w:val="left" w:pos="11424"/>
          <w:tab w:val="left" w:pos="12144"/>
          <w:tab w:val="left" w:pos="12723"/>
        </w:tabs>
        <w:suppressAutoHyphens/>
        <w:spacing w:line="300" w:lineRule="atLeast"/>
        <w:ind w:left="641" w:hanging="357"/>
        <w:jc w:val="both"/>
        <w:rPr>
          <w:bCs/>
          <w:sz w:val="24"/>
          <w:szCs w:val="24"/>
        </w:rPr>
      </w:pPr>
      <w:r w:rsidRPr="009E209E">
        <w:rPr>
          <w:bCs/>
          <w:sz w:val="24"/>
          <w:szCs w:val="24"/>
        </w:rPr>
        <w:t>skierowano 22 wnioski do organów ścigania.</w:t>
      </w:r>
    </w:p>
    <w:p w14:paraId="15C483B5" w14:textId="77777777" w:rsidR="00C8507B" w:rsidRPr="00C8507B" w:rsidRDefault="00C8507B" w:rsidP="00C8507B">
      <w:pPr>
        <w:spacing w:line="300" w:lineRule="atLeast"/>
        <w:contextualSpacing/>
        <w:jc w:val="both"/>
        <w:rPr>
          <w:rFonts w:ascii="Times New Roman" w:hAnsi="Times New Roman" w:cs="Times New Roman"/>
          <w:i/>
          <w:color w:val="4472C4"/>
          <w:sz w:val="24"/>
          <w:szCs w:val="24"/>
        </w:rPr>
      </w:pPr>
    </w:p>
    <w:p w14:paraId="2EFD6F67" w14:textId="77777777" w:rsidR="00C8507B" w:rsidRPr="00C8507B" w:rsidRDefault="00C8507B" w:rsidP="009E209E">
      <w:pPr>
        <w:spacing w:after="60" w:line="300" w:lineRule="atLeast"/>
        <w:jc w:val="both"/>
        <w:rPr>
          <w:rFonts w:ascii="Times New Roman" w:hAnsi="Times New Roman" w:cs="Times New Roman"/>
          <w:i/>
          <w:color w:val="4472C4"/>
          <w:sz w:val="24"/>
          <w:szCs w:val="24"/>
        </w:rPr>
      </w:pPr>
      <w:r w:rsidRPr="00C8507B">
        <w:rPr>
          <w:rFonts w:ascii="Times New Roman" w:hAnsi="Times New Roman" w:cs="Times New Roman"/>
          <w:i/>
          <w:color w:val="4472C4"/>
          <w:sz w:val="24"/>
          <w:szCs w:val="24"/>
        </w:rPr>
        <w:t>Wojewódzki Inspektorat Ochrony Środowiska w Gdańsku</w:t>
      </w:r>
    </w:p>
    <w:p w14:paraId="4BA7822E" w14:textId="357F7520" w:rsidR="00C8507B" w:rsidRPr="00C8507B" w:rsidRDefault="00C8507B" w:rsidP="008F0878">
      <w:pPr>
        <w:autoSpaceDE w:val="0"/>
        <w:autoSpaceDN w:val="0"/>
        <w:adjustRightInd w:val="0"/>
        <w:spacing w:line="300" w:lineRule="atLeast"/>
        <w:ind w:firstLine="567"/>
        <w:contextualSpacing/>
        <w:jc w:val="both"/>
        <w:rPr>
          <w:rFonts w:ascii="Times New Roman" w:hAnsi="Times New Roman" w:cs="Times New Roman"/>
          <w:sz w:val="24"/>
          <w:szCs w:val="24"/>
        </w:rPr>
      </w:pPr>
      <w:r w:rsidRPr="00C8507B">
        <w:rPr>
          <w:rFonts w:ascii="Times New Roman" w:hAnsi="Times New Roman" w:cs="Times New Roman"/>
          <w:sz w:val="24"/>
          <w:szCs w:val="24"/>
        </w:rPr>
        <w:t xml:space="preserve">W kontrolach interwencyjnych wystawiono </w:t>
      </w:r>
      <w:r w:rsidR="009E209E">
        <w:rPr>
          <w:rFonts w:ascii="Times New Roman" w:hAnsi="Times New Roman" w:cs="Times New Roman"/>
          <w:sz w:val="24"/>
          <w:szCs w:val="24"/>
        </w:rPr>
        <w:t xml:space="preserve">w sumie </w:t>
      </w:r>
      <w:r w:rsidRPr="00C8507B">
        <w:rPr>
          <w:rFonts w:ascii="Times New Roman" w:hAnsi="Times New Roman" w:cs="Times New Roman"/>
          <w:sz w:val="24"/>
          <w:szCs w:val="24"/>
        </w:rPr>
        <w:t xml:space="preserve">66 mandatów na </w:t>
      </w:r>
      <w:r w:rsidR="009E209E">
        <w:rPr>
          <w:rFonts w:ascii="Times New Roman" w:hAnsi="Times New Roman" w:cs="Times New Roman"/>
          <w:sz w:val="24"/>
          <w:szCs w:val="24"/>
        </w:rPr>
        <w:t xml:space="preserve">łączną </w:t>
      </w:r>
      <w:r w:rsidRPr="00C8507B">
        <w:rPr>
          <w:rFonts w:ascii="Times New Roman" w:hAnsi="Times New Roman" w:cs="Times New Roman"/>
          <w:sz w:val="24"/>
          <w:szCs w:val="24"/>
        </w:rPr>
        <w:t xml:space="preserve">kwotę </w:t>
      </w:r>
      <w:r w:rsidR="009E209E">
        <w:rPr>
          <w:rFonts w:ascii="Times New Roman" w:hAnsi="Times New Roman" w:cs="Times New Roman"/>
          <w:sz w:val="24"/>
          <w:szCs w:val="24"/>
        </w:rPr>
        <w:br/>
      </w:r>
      <w:r w:rsidRPr="00C8507B">
        <w:rPr>
          <w:rFonts w:ascii="Times New Roman" w:hAnsi="Times New Roman" w:cs="Times New Roman"/>
          <w:sz w:val="24"/>
          <w:szCs w:val="24"/>
        </w:rPr>
        <w:t>22 000 zł, skierowano 101 wystąpień do innych organów</w:t>
      </w:r>
      <w:r w:rsidR="009E209E">
        <w:rPr>
          <w:rFonts w:ascii="Times New Roman" w:hAnsi="Times New Roman" w:cs="Times New Roman"/>
          <w:sz w:val="24"/>
          <w:szCs w:val="24"/>
        </w:rPr>
        <w:t>;</w:t>
      </w:r>
      <w:r w:rsidRPr="00C8507B">
        <w:rPr>
          <w:rFonts w:ascii="Times New Roman" w:hAnsi="Times New Roman" w:cs="Times New Roman"/>
          <w:sz w:val="24"/>
          <w:szCs w:val="24"/>
        </w:rPr>
        <w:t xml:space="preserve"> w związku ze stwierdzonymi naruszeniami wydano 84 decyzje administracyjne (w tym 64 ostateczne). Cześć postępowań  administracyjnych z kontroli wykonanych w 2022 r. będzie przeprowadzona w 2023 roku. Na podstawie ustaleń kontroli złożono w 2022 roku 7 zawiadomień do organów ścigania (również w innych komponentach niż odpady). Liczba ta jest o 1 mniejsza od liczby zawiadomień złożonych na podstawie czynności w trybie art. 10b, w związku z przyjętym w  Inspektoracie sposobem działania, by nie odwlekać złożenia zawiadomienia do organów ścigania, ale złożyć je po uzyskaniu przesłanek uzasadniających możliwość popełnienia przestępstwa, by kontynuować zbieranie materiału dowodowego we współpracy z organami ścigania. Ponadto, znaczna część realizowanych w WIOŚ w Gdańsku kontroli lub czynności z art. 10b dotyczy spraw o charakterze międzywojewódzkim</w:t>
      </w:r>
      <w:r w:rsidR="009E209E">
        <w:rPr>
          <w:rFonts w:ascii="Times New Roman" w:hAnsi="Times New Roman" w:cs="Times New Roman"/>
          <w:sz w:val="24"/>
          <w:szCs w:val="24"/>
        </w:rPr>
        <w:t>,</w:t>
      </w:r>
      <w:r w:rsidRPr="00C8507B">
        <w:rPr>
          <w:rFonts w:ascii="Times New Roman" w:hAnsi="Times New Roman" w:cs="Times New Roman"/>
          <w:sz w:val="24"/>
          <w:szCs w:val="24"/>
        </w:rPr>
        <w:t xml:space="preserve"> w których sprawy karne są już prowadzone.</w:t>
      </w:r>
    </w:p>
    <w:p w14:paraId="743A0EA7" w14:textId="77777777" w:rsidR="00C8507B" w:rsidRPr="00C8507B" w:rsidRDefault="00C8507B" w:rsidP="00C8507B">
      <w:pPr>
        <w:spacing w:line="300" w:lineRule="atLeast"/>
        <w:contextualSpacing/>
        <w:jc w:val="both"/>
        <w:rPr>
          <w:rFonts w:ascii="Times New Roman" w:hAnsi="Times New Roman" w:cs="Times New Roman"/>
          <w:sz w:val="24"/>
          <w:szCs w:val="24"/>
        </w:rPr>
      </w:pPr>
    </w:p>
    <w:p w14:paraId="725104BE" w14:textId="77777777" w:rsidR="00C8507B" w:rsidRPr="00C8507B" w:rsidRDefault="00C8507B" w:rsidP="009E209E">
      <w:pPr>
        <w:spacing w:after="60" w:line="300" w:lineRule="atLeast"/>
        <w:jc w:val="both"/>
        <w:rPr>
          <w:rFonts w:ascii="Times New Roman" w:hAnsi="Times New Roman" w:cs="Times New Roman"/>
          <w:i/>
          <w:color w:val="4472C4"/>
          <w:sz w:val="24"/>
          <w:szCs w:val="24"/>
        </w:rPr>
      </w:pPr>
      <w:r w:rsidRPr="00C8507B">
        <w:rPr>
          <w:rFonts w:ascii="Times New Roman" w:hAnsi="Times New Roman" w:cs="Times New Roman"/>
          <w:i/>
          <w:color w:val="4472C4"/>
          <w:sz w:val="24"/>
          <w:szCs w:val="24"/>
        </w:rPr>
        <w:t>Wojewódzki Inspektorat Ochrony Środowiska w Katowicach</w:t>
      </w:r>
    </w:p>
    <w:p w14:paraId="292FD267" w14:textId="4DA24171" w:rsidR="00C8507B" w:rsidRPr="00C8507B" w:rsidRDefault="00C8507B" w:rsidP="008F0878">
      <w:pPr>
        <w:spacing w:line="300" w:lineRule="atLeast"/>
        <w:ind w:firstLine="567"/>
        <w:contextualSpacing/>
        <w:jc w:val="both"/>
        <w:rPr>
          <w:rFonts w:ascii="Times New Roman" w:hAnsi="Times New Roman" w:cs="Times New Roman"/>
          <w:sz w:val="24"/>
          <w:szCs w:val="24"/>
        </w:rPr>
      </w:pPr>
      <w:r w:rsidRPr="00C8507B">
        <w:rPr>
          <w:rFonts w:ascii="Times New Roman" w:hAnsi="Times New Roman" w:cs="Times New Roman"/>
          <w:sz w:val="24"/>
          <w:szCs w:val="24"/>
        </w:rPr>
        <w:lastRenderedPageBreak/>
        <w:t xml:space="preserve">Inspektorat w 2021r. wykonał 443 kontrole interwencyjne ustalonych podmiotów </w:t>
      </w:r>
      <w:r w:rsidR="007609CE">
        <w:rPr>
          <w:rFonts w:ascii="Times New Roman" w:hAnsi="Times New Roman" w:cs="Times New Roman"/>
          <w:sz w:val="24"/>
          <w:szCs w:val="24"/>
        </w:rPr>
        <w:br/>
      </w:r>
      <w:r w:rsidRPr="00C8507B">
        <w:rPr>
          <w:rFonts w:ascii="Times New Roman" w:hAnsi="Times New Roman" w:cs="Times New Roman"/>
          <w:sz w:val="24"/>
          <w:szCs w:val="24"/>
        </w:rPr>
        <w:t>w wyniku, których ujawnione zostały m.in. fikcyjnego przekazywania odpadów oraz prowadzenia w tym zakresie ewidencji odpadów, transporty odpadów do miejsc magazynowania nieprzeznaczonych do tego celu.</w:t>
      </w:r>
    </w:p>
    <w:p w14:paraId="2AA78A1E" w14:textId="77777777" w:rsidR="00C8507B" w:rsidRPr="00C8507B" w:rsidRDefault="00C8507B" w:rsidP="008F0878">
      <w:pPr>
        <w:spacing w:line="300" w:lineRule="atLeast"/>
        <w:ind w:firstLine="567"/>
        <w:contextualSpacing/>
        <w:jc w:val="both"/>
        <w:rPr>
          <w:rFonts w:ascii="Times New Roman" w:hAnsi="Times New Roman" w:cs="Times New Roman"/>
          <w:sz w:val="24"/>
          <w:szCs w:val="24"/>
        </w:rPr>
      </w:pPr>
      <w:r w:rsidRPr="00C8507B">
        <w:rPr>
          <w:rFonts w:ascii="Times New Roman" w:hAnsi="Times New Roman" w:cs="Times New Roman"/>
          <w:sz w:val="24"/>
          <w:szCs w:val="24"/>
        </w:rPr>
        <w:t>W związku z wyjazdami interwencyjnymi stwierdzono 5 przypadków możliwego przestępstwa przeciwko środowisku, określonego w art. 183 § 1 k.k.</w:t>
      </w:r>
    </w:p>
    <w:p w14:paraId="786A6C6C" w14:textId="77777777" w:rsidR="00C8507B" w:rsidRPr="00C8507B" w:rsidRDefault="00C8507B" w:rsidP="008F0878">
      <w:pPr>
        <w:spacing w:line="300" w:lineRule="atLeast"/>
        <w:ind w:firstLine="567"/>
        <w:contextualSpacing/>
        <w:jc w:val="both"/>
        <w:rPr>
          <w:rFonts w:ascii="Times New Roman" w:hAnsi="Times New Roman" w:cs="Times New Roman"/>
          <w:i/>
          <w:color w:val="4472C4"/>
          <w:sz w:val="24"/>
          <w:szCs w:val="24"/>
        </w:rPr>
      </w:pPr>
    </w:p>
    <w:p w14:paraId="25CE6F09" w14:textId="77777777" w:rsidR="00C8507B" w:rsidRPr="00C8507B" w:rsidRDefault="00C8507B" w:rsidP="009E209E">
      <w:pPr>
        <w:spacing w:after="60" w:line="300" w:lineRule="atLeast"/>
        <w:jc w:val="both"/>
        <w:rPr>
          <w:rFonts w:ascii="Times New Roman" w:hAnsi="Times New Roman" w:cs="Times New Roman"/>
          <w:i/>
          <w:color w:val="4472C4"/>
          <w:sz w:val="24"/>
          <w:szCs w:val="24"/>
        </w:rPr>
      </w:pPr>
      <w:r w:rsidRPr="00C8507B">
        <w:rPr>
          <w:rFonts w:ascii="Times New Roman" w:hAnsi="Times New Roman" w:cs="Times New Roman"/>
          <w:i/>
          <w:color w:val="4472C4"/>
          <w:sz w:val="24"/>
          <w:szCs w:val="24"/>
        </w:rPr>
        <w:t>Wojewódzki Inspektorat Ochrony Środowiska w Kielcach</w:t>
      </w:r>
    </w:p>
    <w:p w14:paraId="7B867339" w14:textId="77777777" w:rsidR="00C8507B" w:rsidRPr="00C8507B" w:rsidRDefault="00C8507B" w:rsidP="00C8507B">
      <w:pPr>
        <w:pStyle w:val="Akapitzlist"/>
        <w:spacing w:line="300" w:lineRule="atLeast"/>
        <w:ind w:left="0"/>
        <w:jc w:val="both"/>
        <w:rPr>
          <w:sz w:val="24"/>
          <w:szCs w:val="24"/>
        </w:rPr>
      </w:pPr>
      <w:r w:rsidRPr="00C8507B">
        <w:rPr>
          <w:sz w:val="24"/>
          <w:szCs w:val="24"/>
        </w:rPr>
        <w:t>W wyniku działań pokontrolnych w 2022 r. WZPŚ (wcześniej Dział do Walki z Szarą Strefą) podjął m.in. następujące czynności:</w:t>
      </w:r>
    </w:p>
    <w:p w14:paraId="6FFF526E" w14:textId="77777777" w:rsidR="00C8507B" w:rsidRPr="009E209E" w:rsidRDefault="00C8507B" w:rsidP="00D34F97">
      <w:pPr>
        <w:pStyle w:val="Akapitzlist"/>
        <w:numPr>
          <w:ilvl w:val="0"/>
          <w:numId w:val="306"/>
        </w:numPr>
        <w:spacing w:line="300" w:lineRule="atLeast"/>
        <w:jc w:val="both"/>
        <w:rPr>
          <w:sz w:val="24"/>
          <w:szCs w:val="24"/>
        </w:rPr>
      </w:pPr>
      <w:r w:rsidRPr="009E209E">
        <w:rPr>
          <w:sz w:val="24"/>
          <w:szCs w:val="24"/>
        </w:rPr>
        <w:t xml:space="preserve">skierowano </w:t>
      </w:r>
      <w:r w:rsidRPr="00676250">
        <w:rPr>
          <w:bCs/>
          <w:sz w:val="24"/>
          <w:szCs w:val="24"/>
        </w:rPr>
        <w:t>16</w:t>
      </w:r>
      <w:r w:rsidRPr="009E209E">
        <w:rPr>
          <w:sz w:val="24"/>
          <w:szCs w:val="24"/>
        </w:rPr>
        <w:t xml:space="preserve"> zarządzeń pokontrolnych do podmiotów, w których określono </w:t>
      </w:r>
      <w:r w:rsidRPr="00676250">
        <w:rPr>
          <w:bCs/>
          <w:sz w:val="24"/>
          <w:szCs w:val="24"/>
        </w:rPr>
        <w:t>71</w:t>
      </w:r>
      <w:r w:rsidRPr="009E209E">
        <w:rPr>
          <w:sz w:val="24"/>
          <w:szCs w:val="24"/>
        </w:rPr>
        <w:t xml:space="preserve"> obowiązków w zakresie przestrzegania przepisów ochrony środowiska,</w:t>
      </w:r>
    </w:p>
    <w:p w14:paraId="310A4890" w14:textId="77777777" w:rsidR="00C8507B" w:rsidRPr="009E209E" w:rsidRDefault="00C8507B" w:rsidP="00D34F97">
      <w:pPr>
        <w:pStyle w:val="Akapitzlist"/>
        <w:numPr>
          <w:ilvl w:val="0"/>
          <w:numId w:val="306"/>
        </w:numPr>
        <w:spacing w:line="300" w:lineRule="atLeast"/>
        <w:jc w:val="both"/>
        <w:rPr>
          <w:sz w:val="24"/>
          <w:szCs w:val="24"/>
        </w:rPr>
      </w:pPr>
      <w:r w:rsidRPr="009E209E">
        <w:rPr>
          <w:sz w:val="24"/>
          <w:szCs w:val="24"/>
        </w:rPr>
        <w:t xml:space="preserve">skierowano łącznie </w:t>
      </w:r>
      <w:r w:rsidRPr="00676250">
        <w:rPr>
          <w:bCs/>
          <w:sz w:val="24"/>
          <w:szCs w:val="24"/>
        </w:rPr>
        <w:t>64</w:t>
      </w:r>
      <w:r w:rsidRPr="009E209E">
        <w:rPr>
          <w:sz w:val="24"/>
          <w:szCs w:val="24"/>
        </w:rPr>
        <w:t xml:space="preserve"> wystąpienia do następujących organów:</w:t>
      </w:r>
    </w:p>
    <w:p w14:paraId="728E86DD" w14:textId="77777777" w:rsidR="00C8507B" w:rsidRPr="00C8507B" w:rsidRDefault="00C8507B" w:rsidP="00D34F97">
      <w:pPr>
        <w:pStyle w:val="Akapitzlist"/>
        <w:numPr>
          <w:ilvl w:val="0"/>
          <w:numId w:val="293"/>
        </w:numPr>
        <w:spacing w:line="300" w:lineRule="atLeast"/>
        <w:ind w:left="1208" w:hanging="357"/>
        <w:jc w:val="both"/>
        <w:rPr>
          <w:sz w:val="24"/>
          <w:szCs w:val="24"/>
        </w:rPr>
      </w:pPr>
      <w:r w:rsidRPr="00676250">
        <w:rPr>
          <w:bCs/>
          <w:sz w:val="24"/>
          <w:szCs w:val="24"/>
        </w:rPr>
        <w:t>13</w:t>
      </w:r>
      <w:r w:rsidRPr="00C8507B">
        <w:rPr>
          <w:sz w:val="24"/>
          <w:szCs w:val="24"/>
        </w:rPr>
        <w:t xml:space="preserve"> wniosków do wójtów /burmistrzów/ prezydentów miast o wydanie decyzji nakazujących usunięcie odpadów z miejsc nieprzeznaczonych do ich składowania lub magazynowania,</w:t>
      </w:r>
    </w:p>
    <w:p w14:paraId="60D8C238" w14:textId="548BD4E9" w:rsidR="00C8507B" w:rsidRPr="00C8507B" w:rsidRDefault="00C8507B" w:rsidP="00D34F97">
      <w:pPr>
        <w:pStyle w:val="Akapitzlist"/>
        <w:numPr>
          <w:ilvl w:val="0"/>
          <w:numId w:val="293"/>
        </w:numPr>
        <w:spacing w:line="300" w:lineRule="atLeast"/>
        <w:ind w:left="1208" w:hanging="357"/>
        <w:jc w:val="both"/>
        <w:rPr>
          <w:sz w:val="24"/>
          <w:szCs w:val="24"/>
        </w:rPr>
      </w:pPr>
      <w:r w:rsidRPr="00676250">
        <w:rPr>
          <w:bCs/>
          <w:sz w:val="24"/>
          <w:szCs w:val="24"/>
        </w:rPr>
        <w:t>6</w:t>
      </w:r>
      <w:r w:rsidRPr="00C8507B">
        <w:rPr>
          <w:sz w:val="24"/>
          <w:szCs w:val="24"/>
        </w:rPr>
        <w:t xml:space="preserve"> wniosków do organów ścigania (Policji, Prokuratury) w związku z podejrzeniem popełnienia przestępstw wynikających z art. 163-164, art. 183 § 1, art. 258 </w:t>
      </w:r>
      <w:r w:rsidR="00471376">
        <w:rPr>
          <w:sz w:val="24"/>
          <w:szCs w:val="24"/>
        </w:rPr>
        <w:br/>
      </w:r>
      <w:r w:rsidRPr="00C8507B">
        <w:rPr>
          <w:sz w:val="24"/>
          <w:szCs w:val="24"/>
        </w:rPr>
        <w:t>i art. 270-273 Kodeksu karnego,</w:t>
      </w:r>
    </w:p>
    <w:p w14:paraId="769FDAF2" w14:textId="77777777" w:rsidR="00C8507B" w:rsidRPr="00C8507B" w:rsidRDefault="00C8507B" w:rsidP="00D34F97">
      <w:pPr>
        <w:pStyle w:val="Akapitzlist"/>
        <w:numPr>
          <w:ilvl w:val="0"/>
          <w:numId w:val="293"/>
        </w:numPr>
        <w:spacing w:line="300" w:lineRule="atLeast"/>
        <w:ind w:left="1208" w:hanging="357"/>
        <w:jc w:val="both"/>
        <w:rPr>
          <w:sz w:val="24"/>
          <w:szCs w:val="24"/>
        </w:rPr>
      </w:pPr>
      <w:r w:rsidRPr="00676250">
        <w:rPr>
          <w:bCs/>
          <w:sz w:val="24"/>
          <w:szCs w:val="24"/>
        </w:rPr>
        <w:t>2</w:t>
      </w:r>
      <w:r w:rsidRPr="00C8507B">
        <w:rPr>
          <w:sz w:val="24"/>
          <w:szCs w:val="24"/>
        </w:rPr>
        <w:t xml:space="preserve"> wnioski do marszałka województwa o cofnięcie decyzji dot. gospodarki odpadami, w związku z rażącymi naruszeniami w zakresie działalności objętej zezwoleniami,</w:t>
      </w:r>
    </w:p>
    <w:p w14:paraId="6D9F78BD" w14:textId="77777777" w:rsidR="00C8507B" w:rsidRPr="00C8507B" w:rsidRDefault="00C8507B" w:rsidP="00D34F97">
      <w:pPr>
        <w:pStyle w:val="Akapitzlist"/>
        <w:numPr>
          <w:ilvl w:val="0"/>
          <w:numId w:val="293"/>
        </w:numPr>
        <w:spacing w:line="300" w:lineRule="atLeast"/>
        <w:ind w:left="1208" w:hanging="357"/>
        <w:jc w:val="both"/>
        <w:rPr>
          <w:sz w:val="24"/>
          <w:szCs w:val="24"/>
        </w:rPr>
      </w:pPr>
      <w:r w:rsidRPr="00676250">
        <w:rPr>
          <w:bCs/>
          <w:sz w:val="24"/>
          <w:szCs w:val="24"/>
          <w:lang w:eastAsia="en-US"/>
        </w:rPr>
        <w:t>9</w:t>
      </w:r>
      <w:r w:rsidRPr="00C8507B">
        <w:rPr>
          <w:sz w:val="24"/>
          <w:szCs w:val="24"/>
          <w:lang w:eastAsia="en-US"/>
        </w:rPr>
        <w:t xml:space="preserve"> wniosków do Ubezpieczeniowego Funduszu Gwarancyjnego o podejrzeniu nieprzestrzegania przepisów ustawy z dnia 22 maja 2003 r. o ubezpieczeniach obowiązkowych, Ubezpieczeniowym Funduszu Gwarancyjnym i Polskim Biurze Ubezpieczycieli Komunikacyjnych,</w:t>
      </w:r>
    </w:p>
    <w:p w14:paraId="19E7CA32" w14:textId="77777777" w:rsidR="00C8507B" w:rsidRPr="00C8507B" w:rsidRDefault="00C8507B" w:rsidP="00D34F97">
      <w:pPr>
        <w:pStyle w:val="Akapitzlist"/>
        <w:numPr>
          <w:ilvl w:val="0"/>
          <w:numId w:val="293"/>
        </w:numPr>
        <w:spacing w:line="300" w:lineRule="atLeast"/>
        <w:ind w:left="1208" w:hanging="357"/>
        <w:jc w:val="both"/>
        <w:rPr>
          <w:sz w:val="24"/>
          <w:szCs w:val="24"/>
        </w:rPr>
      </w:pPr>
      <w:r w:rsidRPr="00676250">
        <w:rPr>
          <w:bCs/>
          <w:sz w:val="24"/>
          <w:szCs w:val="24"/>
        </w:rPr>
        <w:t>8</w:t>
      </w:r>
      <w:r w:rsidRPr="00C8507B">
        <w:rPr>
          <w:sz w:val="24"/>
          <w:szCs w:val="24"/>
          <w:lang w:eastAsia="en-US"/>
        </w:rPr>
        <w:t xml:space="preserve"> wniosków do urzędu skarbowego, w związku z podejrzeniem nieprzestrzegania przepisów ustawy z dnia 6 grudnia 2008 r. o podatku akcyzowym,</w:t>
      </w:r>
    </w:p>
    <w:p w14:paraId="6C44AA6A" w14:textId="77777777" w:rsidR="00C8507B" w:rsidRPr="00C8507B" w:rsidRDefault="00C8507B" w:rsidP="00D34F97">
      <w:pPr>
        <w:pStyle w:val="Akapitzlist"/>
        <w:numPr>
          <w:ilvl w:val="0"/>
          <w:numId w:val="293"/>
        </w:numPr>
        <w:spacing w:line="300" w:lineRule="atLeast"/>
        <w:ind w:left="1208" w:hanging="357"/>
        <w:jc w:val="both"/>
        <w:rPr>
          <w:sz w:val="24"/>
          <w:szCs w:val="24"/>
          <w:lang w:eastAsia="en-US"/>
        </w:rPr>
      </w:pPr>
      <w:r w:rsidRPr="00E433B9">
        <w:rPr>
          <w:bCs/>
          <w:sz w:val="24"/>
          <w:szCs w:val="24"/>
          <w:lang w:eastAsia="en-US"/>
        </w:rPr>
        <w:t>4</w:t>
      </w:r>
      <w:r w:rsidRPr="00C8507B">
        <w:rPr>
          <w:sz w:val="24"/>
          <w:szCs w:val="24"/>
          <w:lang w:eastAsia="en-US"/>
        </w:rPr>
        <w:t xml:space="preserve"> wnioski do innych WIOŚ o przeprowadzenie kontroli,</w:t>
      </w:r>
    </w:p>
    <w:p w14:paraId="214AA4F0" w14:textId="77777777" w:rsidR="00C8507B" w:rsidRPr="00C8507B" w:rsidRDefault="00C8507B" w:rsidP="00D34F97">
      <w:pPr>
        <w:pStyle w:val="Akapitzlist"/>
        <w:numPr>
          <w:ilvl w:val="0"/>
          <w:numId w:val="293"/>
        </w:numPr>
        <w:spacing w:line="300" w:lineRule="atLeast"/>
        <w:ind w:left="1208" w:hanging="357"/>
        <w:jc w:val="both"/>
        <w:rPr>
          <w:sz w:val="24"/>
          <w:szCs w:val="24"/>
        </w:rPr>
      </w:pPr>
      <w:r w:rsidRPr="00E433B9">
        <w:rPr>
          <w:bCs/>
          <w:sz w:val="24"/>
          <w:szCs w:val="24"/>
        </w:rPr>
        <w:t>12</w:t>
      </w:r>
      <w:r w:rsidRPr="00C8507B">
        <w:rPr>
          <w:sz w:val="24"/>
          <w:szCs w:val="24"/>
        </w:rPr>
        <w:t xml:space="preserve"> wniosków do Straży Pożarnej o przeprowadzenie kontroli w zakresie przestrzegania przepisów przeciwpożarowych,</w:t>
      </w:r>
    </w:p>
    <w:p w14:paraId="47A64B8D" w14:textId="77777777" w:rsidR="00C8507B" w:rsidRPr="00C8507B" w:rsidRDefault="00C8507B" w:rsidP="00D34F97">
      <w:pPr>
        <w:pStyle w:val="Akapitzlist"/>
        <w:numPr>
          <w:ilvl w:val="0"/>
          <w:numId w:val="293"/>
        </w:numPr>
        <w:spacing w:line="300" w:lineRule="atLeast"/>
        <w:ind w:left="1208" w:hanging="357"/>
        <w:jc w:val="both"/>
        <w:rPr>
          <w:sz w:val="24"/>
          <w:szCs w:val="24"/>
          <w:lang w:eastAsia="en-US"/>
        </w:rPr>
      </w:pPr>
      <w:r w:rsidRPr="00E433B9">
        <w:rPr>
          <w:bCs/>
          <w:sz w:val="24"/>
          <w:szCs w:val="24"/>
          <w:lang w:eastAsia="en-US"/>
        </w:rPr>
        <w:t>3</w:t>
      </w:r>
      <w:r w:rsidRPr="00C8507B">
        <w:rPr>
          <w:sz w:val="24"/>
          <w:szCs w:val="24"/>
          <w:lang w:eastAsia="en-US"/>
        </w:rPr>
        <w:t xml:space="preserve"> wnioski o ukaranie za stwierdzone wykroczenia do sądu rejonowego, </w:t>
      </w:r>
    </w:p>
    <w:p w14:paraId="51AD3B2F" w14:textId="77777777" w:rsidR="00C8507B" w:rsidRPr="00C8507B" w:rsidRDefault="00C8507B" w:rsidP="00D34F97">
      <w:pPr>
        <w:pStyle w:val="Akapitzlist"/>
        <w:numPr>
          <w:ilvl w:val="0"/>
          <w:numId w:val="293"/>
        </w:numPr>
        <w:spacing w:line="300" w:lineRule="atLeast"/>
        <w:ind w:left="1208" w:hanging="357"/>
        <w:jc w:val="both"/>
        <w:rPr>
          <w:sz w:val="24"/>
          <w:szCs w:val="24"/>
        </w:rPr>
      </w:pPr>
      <w:r w:rsidRPr="00E433B9">
        <w:rPr>
          <w:bCs/>
          <w:sz w:val="24"/>
          <w:szCs w:val="24"/>
        </w:rPr>
        <w:t>4</w:t>
      </w:r>
      <w:r w:rsidRPr="00C8507B">
        <w:rPr>
          <w:b/>
          <w:bCs/>
          <w:sz w:val="24"/>
          <w:szCs w:val="24"/>
        </w:rPr>
        <w:t xml:space="preserve"> </w:t>
      </w:r>
      <w:r w:rsidRPr="00C8507B">
        <w:rPr>
          <w:bCs/>
          <w:sz w:val="24"/>
          <w:szCs w:val="24"/>
        </w:rPr>
        <w:t>wnioski  do Policji</w:t>
      </w:r>
      <w:r w:rsidRPr="00C8507B">
        <w:rPr>
          <w:b/>
          <w:bCs/>
          <w:sz w:val="24"/>
          <w:szCs w:val="24"/>
        </w:rPr>
        <w:t xml:space="preserve"> </w:t>
      </w:r>
      <w:r w:rsidRPr="00C8507B">
        <w:rPr>
          <w:bCs/>
          <w:sz w:val="24"/>
          <w:szCs w:val="24"/>
        </w:rPr>
        <w:t>o udzielenie pomocy polegającej na asyście w trakcie prowadzonych czynności kontrolnych,</w:t>
      </w:r>
    </w:p>
    <w:p w14:paraId="7DC4678A" w14:textId="77777777" w:rsidR="00C8507B" w:rsidRPr="00C8507B" w:rsidRDefault="00C8507B" w:rsidP="00D34F97">
      <w:pPr>
        <w:pStyle w:val="Akapitzlist"/>
        <w:numPr>
          <w:ilvl w:val="0"/>
          <w:numId w:val="293"/>
        </w:numPr>
        <w:spacing w:line="300" w:lineRule="atLeast"/>
        <w:ind w:left="1208" w:hanging="357"/>
        <w:jc w:val="both"/>
        <w:rPr>
          <w:sz w:val="24"/>
          <w:szCs w:val="24"/>
        </w:rPr>
      </w:pPr>
      <w:r w:rsidRPr="00E433B9">
        <w:rPr>
          <w:bCs/>
          <w:sz w:val="24"/>
          <w:szCs w:val="24"/>
        </w:rPr>
        <w:t>3</w:t>
      </w:r>
      <w:r w:rsidRPr="00C8507B">
        <w:rPr>
          <w:b/>
          <w:bCs/>
          <w:sz w:val="24"/>
          <w:szCs w:val="24"/>
        </w:rPr>
        <w:t xml:space="preserve"> </w:t>
      </w:r>
      <w:r w:rsidRPr="00C8507B">
        <w:rPr>
          <w:bCs/>
          <w:sz w:val="24"/>
          <w:szCs w:val="24"/>
        </w:rPr>
        <w:t xml:space="preserve">wnioski do </w:t>
      </w:r>
      <w:r w:rsidRPr="00C8507B">
        <w:rPr>
          <w:sz w:val="24"/>
          <w:szCs w:val="24"/>
        </w:rPr>
        <w:t xml:space="preserve">starostów / wójta </w:t>
      </w:r>
      <w:r w:rsidRPr="00C8507B">
        <w:rPr>
          <w:bCs/>
          <w:sz w:val="24"/>
          <w:szCs w:val="24"/>
        </w:rPr>
        <w:t>o udzielenie informacji i udostępnienie danych,</w:t>
      </w:r>
    </w:p>
    <w:p w14:paraId="72C527CB" w14:textId="77777777" w:rsidR="00C8507B" w:rsidRPr="009E209E" w:rsidRDefault="00C8507B" w:rsidP="00D34F97">
      <w:pPr>
        <w:pStyle w:val="Akapitzlist"/>
        <w:numPr>
          <w:ilvl w:val="0"/>
          <w:numId w:val="307"/>
        </w:numPr>
        <w:spacing w:line="300" w:lineRule="atLeast"/>
        <w:ind w:left="641" w:hanging="357"/>
        <w:jc w:val="both"/>
        <w:rPr>
          <w:sz w:val="24"/>
          <w:szCs w:val="24"/>
        </w:rPr>
      </w:pPr>
      <w:r w:rsidRPr="009E209E">
        <w:rPr>
          <w:sz w:val="24"/>
          <w:szCs w:val="24"/>
        </w:rPr>
        <w:t xml:space="preserve">skierowano łącznie </w:t>
      </w:r>
      <w:r w:rsidRPr="00E433B9">
        <w:rPr>
          <w:sz w:val="24"/>
          <w:szCs w:val="24"/>
        </w:rPr>
        <w:t>21</w:t>
      </w:r>
      <w:r w:rsidRPr="009E209E">
        <w:rPr>
          <w:sz w:val="24"/>
          <w:szCs w:val="24"/>
        </w:rPr>
        <w:t xml:space="preserve"> pism z informacjami o wynikach kontroli do następujących organów:</w:t>
      </w:r>
    </w:p>
    <w:p w14:paraId="109490F5" w14:textId="77777777" w:rsidR="00C8507B" w:rsidRPr="00C8507B" w:rsidRDefault="00C8507B" w:rsidP="00D34F97">
      <w:pPr>
        <w:pStyle w:val="Akapitzlist"/>
        <w:numPr>
          <w:ilvl w:val="0"/>
          <w:numId w:val="293"/>
        </w:numPr>
        <w:spacing w:line="300" w:lineRule="atLeast"/>
        <w:ind w:left="1208" w:hanging="357"/>
        <w:jc w:val="both"/>
        <w:rPr>
          <w:sz w:val="24"/>
          <w:szCs w:val="24"/>
          <w:lang w:eastAsia="en-US"/>
        </w:rPr>
      </w:pPr>
      <w:r w:rsidRPr="00E433B9">
        <w:rPr>
          <w:bCs/>
          <w:sz w:val="24"/>
          <w:szCs w:val="24"/>
        </w:rPr>
        <w:t>13</w:t>
      </w:r>
      <w:r w:rsidRPr="00C8507B">
        <w:rPr>
          <w:b/>
          <w:bCs/>
          <w:sz w:val="24"/>
          <w:szCs w:val="24"/>
        </w:rPr>
        <w:t xml:space="preserve"> </w:t>
      </w:r>
      <w:r w:rsidRPr="00C8507B">
        <w:rPr>
          <w:bCs/>
          <w:sz w:val="24"/>
          <w:szCs w:val="24"/>
        </w:rPr>
        <w:t>pism do WIOŚ informujących o wynikach przeprowadzonych kontroli,</w:t>
      </w:r>
    </w:p>
    <w:p w14:paraId="2E89C45F" w14:textId="77777777" w:rsidR="00C8507B" w:rsidRPr="00C8507B" w:rsidRDefault="00C8507B" w:rsidP="00D34F97">
      <w:pPr>
        <w:pStyle w:val="Akapitzlist"/>
        <w:numPr>
          <w:ilvl w:val="0"/>
          <w:numId w:val="293"/>
        </w:numPr>
        <w:spacing w:line="300" w:lineRule="atLeast"/>
        <w:ind w:left="1208" w:hanging="357"/>
        <w:jc w:val="both"/>
        <w:rPr>
          <w:sz w:val="24"/>
          <w:szCs w:val="24"/>
        </w:rPr>
      </w:pPr>
      <w:r w:rsidRPr="00E433B9">
        <w:rPr>
          <w:bCs/>
          <w:sz w:val="24"/>
          <w:szCs w:val="24"/>
        </w:rPr>
        <w:t>3</w:t>
      </w:r>
      <w:r w:rsidRPr="00C8507B">
        <w:rPr>
          <w:b/>
          <w:bCs/>
          <w:sz w:val="24"/>
          <w:szCs w:val="24"/>
        </w:rPr>
        <w:t xml:space="preserve"> </w:t>
      </w:r>
      <w:r w:rsidRPr="00C8507B">
        <w:rPr>
          <w:bCs/>
          <w:sz w:val="24"/>
          <w:szCs w:val="24"/>
        </w:rPr>
        <w:t xml:space="preserve">pisma do Głównego Inspektora Ochrony Środowiska informujące o wynikach przeprowadzonych kontroli, </w:t>
      </w:r>
    </w:p>
    <w:p w14:paraId="763F4148" w14:textId="77777777" w:rsidR="00C8507B" w:rsidRPr="00C8507B" w:rsidRDefault="00C8507B" w:rsidP="00D34F97">
      <w:pPr>
        <w:pStyle w:val="Akapitzlist"/>
        <w:numPr>
          <w:ilvl w:val="0"/>
          <w:numId w:val="293"/>
        </w:numPr>
        <w:spacing w:line="300" w:lineRule="atLeast"/>
        <w:ind w:left="1208" w:hanging="357"/>
        <w:jc w:val="both"/>
        <w:rPr>
          <w:sz w:val="24"/>
          <w:szCs w:val="24"/>
        </w:rPr>
      </w:pPr>
      <w:r w:rsidRPr="00E433B9">
        <w:rPr>
          <w:bCs/>
          <w:sz w:val="24"/>
          <w:szCs w:val="24"/>
        </w:rPr>
        <w:t>2</w:t>
      </w:r>
      <w:r w:rsidRPr="00C8507B">
        <w:rPr>
          <w:b/>
          <w:bCs/>
          <w:sz w:val="24"/>
          <w:szCs w:val="24"/>
        </w:rPr>
        <w:t xml:space="preserve"> </w:t>
      </w:r>
      <w:r w:rsidRPr="00C8507B">
        <w:rPr>
          <w:bCs/>
          <w:sz w:val="24"/>
          <w:szCs w:val="24"/>
        </w:rPr>
        <w:t xml:space="preserve">pisma do Ministerstwa Rolnictwa i Rozwoju Wsi informujące o przestrzeganiu wydanych decyzji, </w:t>
      </w:r>
    </w:p>
    <w:p w14:paraId="73B86003" w14:textId="77777777" w:rsidR="00C8507B" w:rsidRPr="00C8507B" w:rsidRDefault="00C8507B" w:rsidP="00D34F97">
      <w:pPr>
        <w:pStyle w:val="Akapitzlist"/>
        <w:numPr>
          <w:ilvl w:val="0"/>
          <w:numId w:val="293"/>
        </w:numPr>
        <w:spacing w:line="300" w:lineRule="atLeast"/>
        <w:ind w:left="1208" w:hanging="357"/>
        <w:jc w:val="both"/>
        <w:rPr>
          <w:sz w:val="24"/>
          <w:szCs w:val="24"/>
        </w:rPr>
      </w:pPr>
      <w:r w:rsidRPr="00E433B9">
        <w:rPr>
          <w:bCs/>
          <w:sz w:val="24"/>
          <w:szCs w:val="24"/>
        </w:rPr>
        <w:t>2</w:t>
      </w:r>
      <w:r w:rsidRPr="00C8507B">
        <w:rPr>
          <w:b/>
          <w:bCs/>
          <w:sz w:val="24"/>
          <w:szCs w:val="24"/>
        </w:rPr>
        <w:t xml:space="preserve"> </w:t>
      </w:r>
      <w:r w:rsidRPr="00C8507B">
        <w:rPr>
          <w:bCs/>
          <w:sz w:val="24"/>
          <w:szCs w:val="24"/>
        </w:rPr>
        <w:t>pisma do</w:t>
      </w:r>
      <w:r w:rsidRPr="00C8507B">
        <w:rPr>
          <w:b/>
          <w:bCs/>
          <w:sz w:val="24"/>
          <w:szCs w:val="24"/>
        </w:rPr>
        <w:t xml:space="preserve"> </w:t>
      </w:r>
      <w:r w:rsidRPr="00C8507B">
        <w:rPr>
          <w:sz w:val="24"/>
          <w:szCs w:val="24"/>
        </w:rPr>
        <w:t>marszałka województwa i prezydenta miasta informujące o wynikach przeprowadzonych kontroli w zakresie gospodarki odpadami,</w:t>
      </w:r>
    </w:p>
    <w:p w14:paraId="034852D9" w14:textId="77777777" w:rsidR="00C8507B" w:rsidRPr="00C8507B" w:rsidRDefault="00C8507B" w:rsidP="00D34F97">
      <w:pPr>
        <w:pStyle w:val="Akapitzlist"/>
        <w:numPr>
          <w:ilvl w:val="0"/>
          <w:numId w:val="293"/>
        </w:numPr>
        <w:spacing w:line="300" w:lineRule="atLeast"/>
        <w:ind w:left="1208" w:hanging="357"/>
        <w:jc w:val="both"/>
        <w:rPr>
          <w:sz w:val="24"/>
          <w:szCs w:val="24"/>
        </w:rPr>
      </w:pPr>
      <w:r w:rsidRPr="00E433B9">
        <w:rPr>
          <w:bCs/>
          <w:sz w:val="24"/>
          <w:szCs w:val="24"/>
        </w:rPr>
        <w:lastRenderedPageBreak/>
        <w:t>1</w:t>
      </w:r>
      <w:r w:rsidRPr="00C8507B">
        <w:rPr>
          <w:b/>
          <w:bCs/>
          <w:sz w:val="24"/>
          <w:szCs w:val="24"/>
        </w:rPr>
        <w:t xml:space="preserve"> </w:t>
      </w:r>
      <w:r w:rsidRPr="00C8507B">
        <w:rPr>
          <w:bCs/>
          <w:sz w:val="24"/>
          <w:szCs w:val="24"/>
        </w:rPr>
        <w:t>pisemna informacja do Instytutu Uprawy Nawożenia i Gleboznawstwa w zakresie przestrzegania zapisów zawartych w opinii dot. wykorzystania odpadów jako środka poprawiającego właściwości gleby,</w:t>
      </w:r>
    </w:p>
    <w:p w14:paraId="089EF6C6" w14:textId="77777777" w:rsidR="00C8507B" w:rsidRPr="009E209E" w:rsidRDefault="00C8507B" w:rsidP="00D34F97">
      <w:pPr>
        <w:pStyle w:val="Akapitzlist"/>
        <w:numPr>
          <w:ilvl w:val="0"/>
          <w:numId w:val="308"/>
        </w:numPr>
        <w:spacing w:line="300" w:lineRule="atLeast"/>
        <w:ind w:left="641" w:hanging="357"/>
        <w:jc w:val="both"/>
        <w:rPr>
          <w:sz w:val="24"/>
          <w:szCs w:val="24"/>
        </w:rPr>
      </w:pPr>
      <w:r w:rsidRPr="009E209E">
        <w:rPr>
          <w:sz w:val="24"/>
          <w:szCs w:val="24"/>
        </w:rPr>
        <w:t xml:space="preserve">w 2022 r. wszczęto łącznie </w:t>
      </w:r>
      <w:r w:rsidRPr="00E433B9">
        <w:rPr>
          <w:bCs/>
          <w:sz w:val="24"/>
          <w:szCs w:val="24"/>
        </w:rPr>
        <w:t>97</w:t>
      </w:r>
      <w:r w:rsidRPr="009E209E">
        <w:rPr>
          <w:sz w:val="24"/>
          <w:szCs w:val="24"/>
        </w:rPr>
        <w:t xml:space="preserve"> postępowań administracyjnych, w tym:</w:t>
      </w:r>
    </w:p>
    <w:p w14:paraId="556DB64A" w14:textId="3CE00590" w:rsidR="00C8507B" w:rsidRPr="00C8507B" w:rsidRDefault="00C8507B" w:rsidP="00D34F97">
      <w:pPr>
        <w:pStyle w:val="Akapitzlist"/>
        <w:numPr>
          <w:ilvl w:val="0"/>
          <w:numId w:val="293"/>
        </w:numPr>
        <w:spacing w:line="300" w:lineRule="atLeast"/>
        <w:ind w:left="1208" w:hanging="357"/>
        <w:jc w:val="both"/>
        <w:rPr>
          <w:sz w:val="24"/>
          <w:szCs w:val="24"/>
        </w:rPr>
      </w:pPr>
      <w:r w:rsidRPr="00E433B9">
        <w:rPr>
          <w:bCs/>
          <w:sz w:val="24"/>
          <w:szCs w:val="24"/>
          <w:lang w:eastAsia="en-US"/>
        </w:rPr>
        <w:t>18</w:t>
      </w:r>
      <w:r w:rsidRPr="00C8507B">
        <w:rPr>
          <w:sz w:val="24"/>
          <w:szCs w:val="24"/>
          <w:lang w:eastAsia="en-US"/>
        </w:rPr>
        <w:t xml:space="preserve"> postępowań administracyjnych w trybie </w:t>
      </w:r>
      <w:r w:rsidRPr="00C8507B">
        <w:rPr>
          <w:color w:val="000000"/>
          <w:sz w:val="24"/>
          <w:szCs w:val="24"/>
          <w:lang w:eastAsia="en-US"/>
        </w:rPr>
        <w:t>art. 32 ust. 1a ustawy</w:t>
      </w:r>
      <w:r w:rsidRPr="00C8507B">
        <w:rPr>
          <w:sz w:val="24"/>
          <w:szCs w:val="24"/>
          <w:lang w:eastAsia="en-US"/>
        </w:rPr>
        <w:t xml:space="preserve"> o odpadach</w:t>
      </w:r>
      <w:r w:rsidRPr="00C8507B">
        <w:rPr>
          <w:color w:val="000000"/>
          <w:sz w:val="24"/>
          <w:szCs w:val="24"/>
          <w:lang w:eastAsia="en-US"/>
        </w:rPr>
        <w:t xml:space="preserve"> </w:t>
      </w:r>
      <w:r w:rsidR="009E209E">
        <w:rPr>
          <w:color w:val="000000"/>
          <w:sz w:val="24"/>
          <w:szCs w:val="24"/>
          <w:lang w:eastAsia="en-US"/>
        </w:rPr>
        <w:br/>
      </w:r>
      <w:r w:rsidRPr="00C8507B">
        <w:rPr>
          <w:bCs/>
          <w:color w:val="000000"/>
          <w:sz w:val="24"/>
          <w:szCs w:val="24"/>
          <w:lang w:eastAsia="en-US"/>
        </w:rPr>
        <w:t xml:space="preserve">w sprawie wstrzymania działalności </w:t>
      </w:r>
      <w:r w:rsidRPr="00C8507B">
        <w:rPr>
          <w:sz w:val="24"/>
          <w:szCs w:val="24"/>
          <w:lang w:eastAsia="en-US"/>
        </w:rPr>
        <w:t xml:space="preserve">prowadzonej bez </w:t>
      </w:r>
      <w:r w:rsidRPr="00C8507B">
        <w:rPr>
          <w:color w:val="000000"/>
          <w:sz w:val="24"/>
          <w:szCs w:val="24"/>
          <w:lang w:eastAsia="en-US"/>
        </w:rPr>
        <w:t>wymaganego zezwolenia na zbieranie lub przetwarzanie odpadów,</w:t>
      </w:r>
    </w:p>
    <w:p w14:paraId="6CF713BB" w14:textId="79F41593" w:rsidR="00C8507B" w:rsidRPr="00C8507B" w:rsidRDefault="00C8507B" w:rsidP="00D34F97">
      <w:pPr>
        <w:pStyle w:val="Akapitzlist"/>
        <w:numPr>
          <w:ilvl w:val="0"/>
          <w:numId w:val="293"/>
        </w:numPr>
        <w:spacing w:line="300" w:lineRule="atLeast"/>
        <w:ind w:left="1208" w:hanging="357"/>
        <w:jc w:val="both"/>
        <w:rPr>
          <w:sz w:val="24"/>
          <w:szCs w:val="24"/>
          <w:lang w:eastAsia="en-US"/>
        </w:rPr>
      </w:pPr>
      <w:r w:rsidRPr="00E433B9">
        <w:rPr>
          <w:bCs/>
          <w:sz w:val="24"/>
          <w:szCs w:val="24"/>
          <w:lang w:eastAsia="en-US"/>
        </w:rPr>
        <w:t>14</w:t>
      </w:r>
      <w:r w:rsidRPr="00C8507B">
        <w:rPr>
          <w:sz w:val="24"/>
          <w:szCs w:val="24"/>
          <w:lang w:eastAsia="en-US"/>
        </w:rPr>
        <w:t xml:space="preserve"> postępowań administracyjnych w trybie art. 194 ust. 1 pkt 2c ustawy o odpadach w sprawie nałożenia </w:t>
      </w:r>
      <w:r w:rsidRPr="00C8507B">
        <w:rPr>
          <w:bCs/>
          <w:color w:val="000000"/>
          <w:sz w:val="24"/>
          <w:szCs w:val="24"/>
          <w:lang w:eastAsia="en-US"/>
        </w:rPr>
        <w:t>administracyjnych kar pieniężnych</w:t>
      </w:r>
      <w:r w:rsidR="009E209E">
        <w:rPr>
          <w:bCs/>
          <w:color w:val="000000"/>
          <w:sz w:val="24"/>
          <w:szCs w:val="24"/>
          <w:lang w:val="pl-PL" w:eastAsia="en-US"/>
        </w:rPr>
        <w:t xml:space="preserve"> </w:t>
      </w:r>
      <w:r w:rsidRPr="00C8507B">
        <w:rPr>
          <w:sz w:val="24"/>
          <w:szCs w:val="24"/>
          <w:lang w:eastAsia="en-US"/>
        </w:rPr>
        <w:t>za </w:t>
      </w:r>
      <w:r w:rsidRPr="00C8507B">
        <w:rPr>
          <w:color w:val="000000"/>
          <w:sz w:val="24"/>
          <w:szCs w:val="24"/>
          <w:lang w:eastAsia="en-US"/>
        </w:rPr>
        <w:t xml:space="preserve">nieprowadzenie wizyjnego systemu kontroli miejsc magazynowania odpadów lub </w:t>
      </w:r>
      <w:r w:rsidRPr="00C8507B">
        <w:rPr>
          <w:sz w:val="24"/>
          <w:szCs w:val="24"/>
          <w:lang w:eastAsia="en-US"/>
        </w:rPr>
        <w:t>prowadzenie tego systemu niezgodnie z warunkami określonymi w art. 25 ust. 6a ustawy o odpadach,</w:t>
      </w:r>
    </w:p>
    <w:p w14:paraId="5DBCDC33" w14:textId="77777777" w:rsidR="00C8507B" w:rsidRPr="00C8507B" w:rsidRDefault="00C8507B" w:rsidP="00D34F97">
      <w:pPr>
        <w:pStyle w:val="Akapitzlist"/>
        <w:numPr>
          <w:ilvl w:val="0"/>
          <w:numId w:val="293"/>
        </w:numPr>
        <w:spacing w:line="300" w:lineRule="atLeast"/>
        <w:ind w:left="1208" w:hanging="357"/>
        <w:jc w:val="both"/>
        <w:rPr>
          <w:sz w:val="24"/>
          <w:szCs w:val="24"/>
          <w:lang w:eastAsia="en-US"/>
        </w:rPr>
      </w:pPr>
      <w:r w:rsidRPr="00E433B9">
        <w:rPr>
          <w:bCs/>
          <w:sz w:val="24"/>
          <w:szCs w:val="24"/>
        </w:rPr>
        <w:t>12</w:t>
      </w:r>
      <w:r w:rsidRPr="00C8507B">
        <w:rPr>
          <w:sz w:val="24"/>
          <w:szCs w:val="24"/>
        </w:rPr>
        <w:t xml:space="preserve"> </w:t>
      </w:r>
      <w:r w:rsidRPr="00C8507B">
        <w:rPr>
          <w:sz w:val="24"/>
          <w:szCs w:val="24"/>
          <w:lang w:eastAsia="en-US"/>
        </w:rPr>
        <w:t xml:space="preserve">postępowań administracyjnych w trybie art. 194 ust. 1 pkt 2b ustawy o odpadach w sprawie nałożenia </w:t>
      </w:r>
      <w:r w:rsidRPr="00C8507B">
        <w:rPr>
          <w:bCs/>
          <w:color w:val="000000"/>
          <w:sz w:val="24"/>
          <w:szCs w:val="24"/>
          <w:lang w:eastAsia="en-US"/>
        </w:rPr>
        <w:t>administracyjnych kar pieniężnych</w:t>
      </w:r>
      <w:r w:rsidRPr="00C8507B">
        <w:rPr>
          <w:sz w:val="24"/>
          <w:szCs w:val="24"/>
          <w:lang w:eastAsia="en-US"/>
        </w:rPr>
        <w:t xml:space="preserve"> za magazynowanie odpadów niezgodnie z wymaganiami, o których mowa w art. 25 ustawy o odpadach,</w:t>
      </w:r>
    </w:p>
    <w:p w14:paraId="315886B1" w14:textId="77777777" w:rsidR="00C8507B" w:rsidRPr="00C8507B" w:rsidRDefault="00C8507B" w:rsidP="00D34F97">
      <w:pPr>
        <w:pStyle w:val="Akapitzlist"/>
        <w:numPr>
          <w:ilvl w:val="0"/>
          <w:numId w:val="293"/>
        </w:numPr>
        <w:spacing w:line="300" w:lineRule="atLeast"/>
        <w:ind w:left="1208" w:hanging="357"/>
        <w:jc w:val="both"/>
        <w:rPr>
          <w:sz w:val="24"/>
          <w:szCs w:val="24"/>
        </w:rPr>
      </w:pPr>
      <w:r w:rsidRPr="00E433B9">
        <w:rPr>
          <w:bCs/>
          <w:sz w:val="24"/>
          <w:szCs w:val="24"/>
        </w:rPr>
        <w:t>12</w:t>
      </w:r>
      <w:r w:rsidRPr="00C8507B">
        <w:rPr>
          <w:sz w:val="24"/>
          <w:szCs w:val="24"/>
        </w:rPr>
        <w:t xml:space="preserve"> </w:t>
      </w:r>
      <w:r w:rsidRPr="00C8507B">
        <w:rPr>
          <w:sz w:val="24"/>
          <w:szCs w:val="24"/>
          <w:lang w:eastAsia="en-US"/>
        </w:rPr>
        <w:t xml:space="preserve">postępowań administracyjnych </w:t>
      </w:r>
      <w:r w:rsidRPr="00C8507B">
        <w:rPr>
          <w:sz w:val="24"/>
          <w:szCs w:val="24"/>
        </w:rPr>
        <w:t xml:space="preserve">w trybie art. 194 ust. 4 ustawy </w:t>
      </w:r>
      <w:r w:rsidRPr="00C8507B">
        <w:rPr>
          <w:sz w:val="24"/>
          <w:szCs w:val="24"/>
        </w:rPr>
        <w:br/>
        <w:t xml:space="preserve">o odpadach w sprawie nałożenia </w:t>
      </w:r>
      <w:r w:rsidRPr="00C8507B">
        <w:rPr>
          <w:bCs/>
          <w:color w:val="000000"/>
          <w:sz w:val="24"/>
          <w:szCs w:val="24"/>
          <w:lang w:eastAsia="en-US"/>
        </w:rPr>
        <w:t>administracyjnych kar pieniężnych</w:t>
      </w:r>
      <w:r w:rsidRPr="00C8507B">
        <w:rPr>
          <w:sz w:val="24"/>
          <w:szCs w:val="24"/>
        </w:rPr>
        <w:t xml:space="preserve"> za zbieranie lub przetwarzanie odpadów bez wymaganego zezwolenia,</w:t>
      </w:r>
    </w:p>
    <w:p w14:paraId="2C33F8F0" w14:textId="77777777" w:rsidR="00C8507B" w:rsidRPr="00C8507B" w:rsidRDefault="00C8507B" w:rsidP="00D34F97">
      <w:pPr>
        <w:pStyle w:val="Akapitzlist"/>
        <w:numPr>
          <w:ilvl w:val="0"/>
          <w:numId w:val="293"/>
        </w:numPr>
        <w:spacing w:line="300" w:lineRule="atLeast"/>
        <w:ind w:left="1208" w:hanging="357"/>
        <w:jc w:val="both"/>
        <w:rPr>
          <w:sz w:val="24"/>
          <w:szCs w:val="24"/>
          <w:lang w:eastAsia="en-US"/>
        </w:rPr>
      </w:pPr>
      <w:r w:rsidRPr="00E433B9">
        <w:rPr>
          <w:bCs/>
          <w:sz w:val="24"/>
          <w:szCs w:val="24"/>
          <w:lang w:eastAsia="en-US"/>
        </w:rPr>
        <w:t>11</w:t>
      </w:r>
      <w:r w:rsidRPr="00C8507B">
        <w:rPr>
          <w:sz w:val="24"/>
          <w:szCs w:val="24"/>
          <w:lang w:eastAsia="en-US"/>
        </w:rPr>
        <w:t xml:space="preserve"> postępowań administracyjnych w trybie art. 53a ust. 1 ustawy o recyklingu pojazdów wycofanych z eksploatacji </w:t>
      </w:r>
      <w:r w:rsidRPr="00C8507B">
        <w:rPr>
          <w:bCs/>
          <w:color w:val="000000"/>
          <w:sz w:val="24"/>
          <w:szCs w:val="24"/>
          <w:lang w:eastAsia="en-US"/>
        </w:rPr>
        <w:t>w sprawie nałożenia administracyjnych kar pieniężnych</w:t>
      </w:r>
      <w:r w:rsidRPr="00C8507B">
        <w:rPr>
          <w:sz w:val="24"/>
          <w:szCs w:val="24"/>
          <w:lang w:eastAsia="en-US"/>
        </w:rPr>
        <w:t xml:space="preserve"> </w:t>
      </w:r>
      <w:r w:rsidRPr="00C8507B">
        <w:rPr>
          <w:bCs/>
          <w:color w:val="000000"/>
          <w:sz w:val="24"/>
          <w:szCs w:val="24"/>
          <w:lang w:eastAsia="en-US"/>
        </w:rPr>
        <w:t>za</w:t>
      </w:r>
      <w:r w:rsidRPr="00C8507B">
        <w:rPr>
          <w:color w:val="000000"/>
          <w:sz w:val="24"/>
          <w:szCs w:val="24"/>
          <w:lang w:eastAsia="en-US"/>
        </w:rPr>
        <w:t xml:space="preserve"> </w:t>
      </w:r>
      <w:r w:rsidRPr="00C8507B">
        <w:rPr>
          <w:sz w:val="24"/>
          <w:szCs w:val="24"/>
          <w:lang w:eastAsia="en-US"/>
        </w:rPr>
        <w:t>dokonywanie demontażu pojazdów poza stacją demontażu,</w:t>
      </w:r>
    </w:p>
    <w:p w14:paraId="60E1D159" w14:textId="48101F70" w:rsidR="00C8507B" w:rsidRPr="00C8507B" w:rsidRDefault="00C8507B" w:rsidP="00D34F97">
      <w:pPr>
        <w:pStyle w:val="Akapitzlist"/>
        <w:numPr>
          <w:ilvl w:val="0"/>
          <w:numId w:val="293"/>
        </w:numPr>
        <w:spacing w:line="300" w:lineRule="atLeast"/>
        <w:ind w:left="1208" w:hanging="357"/>
        <w:jc w:val="both"/>
        <w:rPr>
          <w:sz w:val="24"/>
          <w:szCs w:val="24"/>
          <w:lang w:eastAsia="en-US"/>
        </w:rPr>
      </w:pPr>
      <w:r w:rsidRPr="00E433B9">
        <w:rPr>
          <w:bCs/>
          <w:sz w:val="24"/>
          <w:szCs w:val="24"/>
        </w:rPr>
        <w:t>1</w:t>
      </w:r>
      <w:r w:rsidRPr="00C8507B">
        <w:rPr>
          <w:sz w:val="24"/>
          <w:szCs w:val="24"/>
        </w:rPr>
        <w:t xml:space="preserve"> </w:t>
      </w:r>
      <w:r w:rsidRPr="00C8507B">
        <w:rPr>
          <w:sz w:val="24"/>
          <w:szCs w:val="24"/>
          <w:lang w:eastAsia="en-US"/>
        </w:rPr>
        <w:t>postępowanie administracyjne w trybie art. 32 ust. 2 ustawy</w:t>
      </w:r>
      <w:r w:rsidR="009E209E">
        <w:rPr>
          <w:sz w:val="24"/>
          <w:szCs w:val="24"/>
          <w:lang w:val="pl-PL" w:eastAsia="en-US"/>
        </w:rPr>
        <w:t xml:space="preserve"> </w:t>
      </w:r>
      <w:r w:rsidRPr="00C8507B">
        <w:rPr>
          <w:sz w:val="24"/>
          <w:szCs w:val="24"/>
          <w:lang w:eastAsia="en-US"/>
        </w:rPr>
        <w:t xml:space="preserve">o międzynarodowym przemieszczaniu odpadów w sprawie nałożenia </w:t>
      </w:r>
      <w:r w:rsidRPr="00C8507B">
        <w:rPr>
          <w:bCs/>
          <w:color w:val="000000"/>
          <w:sz w:val="24"/>
          <w:szCs w:val="24"/>
          <w:lang w:eastAsia="en-US"/>
        </w:rPr>
        <w:t>administracyjnej kary pieniężnych</w:t>
      </w:r>
      <w:r w:rsidRPr="00C8507B">
        <w:rPr>
          <w:sz w:val="24"/>
          <w:szCs w:val="24"/>
          <w:lang w:eastAsia="en-US"/>
        </w:rPr>
        <w:t xml:space="preserve"> za naruszenie określone w art. 4 ustawy,</w:t>
      </w:r>
    </w:p>
    <w:p w14:paraId="52292C15" w14:textId="1953030D" w:rsidR="00C8507B" w:rsidRPr="00C8507B" w:rsidRDefault="00C8507B" w:rsidP="00D34F97">
      <w:pPr>
        <w:pStyle w:val="Akapitzlist"/>
        <w:numPr>
          <w:ilvl w:val="0"/>
          <w:numId w:val="293"/>
        </w:numPr>
        <w:spacing w:line="300" w:lineRule="atLeast"/>
        <w:ind w:left="1208" w:hanging="357"/>
        <w:jc w:val="both"/>
        <w:rPr>
          <w:sz w:val="24"/>
          <w:szCs w:val="24"/>
        </w:rPr>
      </w:pPr>
      <w:r w:rsidRPr="00E433B9">
        <w:rPr>
          <w:bCs/>
          <w:sz w:val="24"/>
          <w:szCs w:val="24"/>
        </w:rPr>
        <w:t>2</w:t>
      </w:r>
      <w:r w:rsidRPr="00C8507B">
        <w:rPr>
          <w:sz w:val="24"/>
          <w:szCs w:val="24"/>
        </w:rPr>
        <w:t xml:space="preserve"> </w:t>
      </w:r>
      <w:r w:rsidRPr="00C8507B">
        <w:rPr>
          <w:sz w:val="24"/>
          <w:szCs w:val="24"/>
          <w:lang w:eastAsia="en-US"/>
        </w:rPr>
        <w:t xml:space="preserve">postępowania administracyjne </w:t>
      </w:r>
      <w:r w:rsidRPr="00C8507B">
        <w:rPr>
          <w:sz w:val="24"/>
          <w:szCs w:val="24"/>
        </w:rPr>
        <w:t xml:space="preserve">w trybie art. 194b ust. 1 ustawy o odpadach </w:t>
      </w:r>
      <w:r w:rsidR="003B1E96">
        <w:rPr>
          <w:sz w:val="24"/>
          <w:szCs w:val="24"/>
        </w:rPr>
        <w:br/>
      </w:r>
      <w:r w:rsidRPr="00C8507B">
        <w:rPr>
          <w:sz w:val="24"/>
          <w:szCs w:val="24"/>
        </w:rPr>
        <w:t xml:space="preserve">w sprawie nałożenia </w:t>
      </w:r>
      <w:r w:rsidRPr="00C8507B">
        <w:rPr>
          <w:bCs/>
          <w:color w:val="000000"/>
          <w:sz w:val="24"/>
          <w:szCs w:val="24"/>
          <w:lang w:eastAsia="en-US"/>
        </w:rPr>
        <w:t>administracyjnych kar pieniężnych</w:t>
      </w:r>
      <w:r w:rsidRPr="00C8507B">
        <w:rPr>
          <w:sz w:val="24"/>
          <w:szCs w:val="24"/>
        </w:rPr>
        <w:t xml:space="preserve"> za niedostarczanie odpadów przez transportującego odpady, wbrew przepisom art. 24 ust. 4 ustawy do posiadacza odpadów oraz miejsca przeznaczenia odpadów wskazanego przez zlecającego usługę transportu odpadów, tj. do miejsca i posiadacza odpadów wskazanego w kartach przekazania odpadów,</w:t>
      </w:r>
    </w:p>
    <w:p w14:paraId="108CF8EC" w14:textId="77777777" w:rsidR="00C8507B" w:rsidRPr="00C8507B" w:rsidRDefault="00C8507B" w:rsidP="00D34F97">
      <w:pPr>
        <w:pStyle w:val="Akapitzlist"/>
        <w:numPr>
          <w:ilvl w:val="0"/>
          <w:numId w:val="293"/>
        </w:numPr>
        <w:spacing w:line="300" w:lineRule="atLeast"/>
        <w:ind w:left="1208" w:hanging="357"/>
        <w:jc w:val="both"/>
        <w:rPr>
          <w:sz w:val="24"/>
          <w:szCs w:val="24"/>
        </w:rPr>
      </w:pPr>
      <w:r w:rsidRPr="00E433B9">
        <w:rPr>
          <w:bCs/>
          <w:sz w:val="24"/>
          <w:szCs w:val="24"/>
        </w:rPr>
        <w:t>1</w:t>
      </w:r>
      <w:r w:rsidRPr="00C8507B">
        <w:rPr>
          <w:sz w:val="24"/>
          <w:szCs w:val="24"/>
        </w:rPr>
        <w:t xml:space="preserve"> </w:t>
      </w:r>
      <w:r w:rsidRPr="00C8507B">
        <w:rPr>
          <w:sz w:val="24"/>
          <w:szCs w:val="24"/>
          <w:lang w:eastAsia="en-US"/>
        </w:rPr>
        <w:t xml:space="preserve">postępowanie administracyjne </w:t>
      </w:r>
      <w:r w:rsidRPr="00C8507B">
        <w:rPr>
          <w:sz w:val="24"/>
          <w:szCs w:val="24"/>
        </w:rPr>
        <w:t>w sprawie nałożenia administracyjnej kary pieniężnej na wytwórcę odpadów obowiązanego do prowadzenia ewidencji, za prowadzenie działalności w zakresie, o którym mowa w art. 50 ust. 1, tj. bez wymaganego wpisu do rejestru – Bazy danych o produktach i opakowaniach oraz gospodarce odpadami (BDO),</w:t>
      </w:r>
    </w:p>
    <w:p w14:paraId="0B3640AB" w14:textId="1F1C44AC" w:rsidR="00C8507B" w:rsidRPr="00C8507B" w:rsidRDefault="00C8507B" w:rsidP="00D34F97">
      <w:pPr>
        <w:pStyle w:val="Akapitzlist"/>
        <w:numPr>
          <w:ilvl w:val="0"/>
          <w:numId w:val="293"/>
        </w:numPr>
        <w:spacing w:line="300" w:lineRule="atLeast"/>
        <w:ind w:left="1208" w:hanging="357"/>
        <w:jc w:val="both"/>
        <w:rPr>
          <w:sz w:val="24"/>
          <w:szCs w:val="24"/>
        </w:rPr>
      </w:pPr>
      <w:r w:rsidRPr="00E433B9">
        <w:rPr>
          <w:bCs/>
          <w:sz w:val="24"/>
          <w:szCs w:val="24"/>
        </w:rPr>
        <w:t>9</w:t>
      </w:r>
      <w:r w:rsidRPr="00C8507B">
        <w:rPr>
          <w:sz w:val="24"/>
          <w:szCs w:val="24"/>
        </w:rPr>
        <w:t xml:space="preserve"> </w:t>
      </w:r>
      <w:r w:rsidRPr="00C8507B">
        <w:rPr>
          <w:sz w:val="24"/>
          <w:szCs w:val="24"/>
          <w:lang w:eastAsia="en-US"/>
        </w:rPr>
        <w:t xml:space="preserve">postępowań administracyjnych </w:t>
      </w:r>
      <w:r w:rsidRPr="00C8507B">
        <w:rPr>
          <w:sz w:val="24"/>
          <w:szCs w:val="24"/>
        </w:rPr>
        <w:t xml:space="preserve">w trybie art. 194 ust. 5 ustawy o odpadach </w:t>
      </w:r>
      <w:r w:rsidR="00E433B9">
        <w:rPr>
          <w:sz w:val="24"/>
          <w:szCs w:val="24"/>
        </w:rPr>
        <w:br/>
      </w:r>
      <w:r w:rsidRPr="00C8507B">
        <w:rPr>
          <w:sz w:val="24"/>
          <w:szCs w:val="24"/>
        </w:rPr>
        <w:t xml:space="preserve">w sprawie nałożenia </w:t>
      </w:r>
      <w:r w:rsidRPr="00C8507B">
        <w:rPr>
          <w:bCs/>
          <w:color w:val="000000"/>
          <w:sz w:val="24"/>
          <w:szCs w:val="24"/>
          <w:lang w:eastAsia="en-US"/>
        </w:rPr>
        <w:t>administracyjnych kar pieniężnych</w:t>
      </w:r>
      <w:r w:rsidRPr="00C8507B">
        <w:rPr>
          <w:sz w:val="24"/>
          <w:szCs w:val="24"/>
        </w:rPr>
        <w:t xml:space="preserve"> za gospodarowanie odpadami niezgodnie z posiadanym zezwoleniem, o którym mowa w art. 41 ustawy,</w:t>
      </w:r>
    </w:p>
    <w:p w14:paraId="3B5B85D0" w14:textId="77777777" w:rsidR="00C8507B" w:rsidRPr="00C8507B" w:rsidRDefault="00C8507B" w:rsidP="00D34F97">
      <w:pPr>
        <w:pStyle w:val="Akapitzlist"/>
        <w:numPr>
          <w:ilvl w:val="0"/>
          <w:numId w:val="293"/>
        </w:numPr>
        <w:spacing w:line="300" w:lineRule="atLeast"/>
        <w:ind w:left="1208" w:hanging="357"/>
        <w:jc w:val="both"/>
        <w:rPr>
          <w:b/>
          <w:bCs/>
          <w:sz w:val="24"/>
          <w:szCs w:val="24"/>
        </w:rPr>
      </w:pPr>
      <w:r w:rsidRPr="00E433B9">
        <w:rPr>
          <w:bCs/>
          <w:sz w:val="24"/>
          <w:szCs w:val="24"/>
        </w:rPr>
        <w:t>1</w:t>
      </w:r>
      <w:r w:rsidRPr="00C8507B">
        <w:rPr>
          <w:b/>
          <w:bCs/>
          <w:sz w:val="24"/>
          <w:szCs w:val="24"/>
        </w:rPr>
        <w:t xml:space="preserve"> </w:t>
      </w:r>
      <w:r w:rsidRPr="00C8507B">
        <w:rPr>
          <w:sz w:val="24"/>
          <w:szCs w:val="24"/>
          <w:lang w:eastAsia="en-US"/>
        </w:rPr>
        <w:t>postępowanie</w:t>
      </w:r>
      <w:r w:rsidRPr="00C8507B">
        <w:rPr>
          <w:b/>
          <w:bCs/>
          <w:sz w:val="24"/>
          <w:szCs w:val="24"/>
        </w:rPr>
        <w:t xml:space="preserve"> </w:t>
      </w:r>
      <w:r w:rsidRPr="00C8507B">
        <w:rPr>
          <w:sz w:val="24"/>
          <w:szCs w:val="24"/>
        </w:rPr>
        <w:t xml:space="preserve">administracyjne w trybie art. 194 ust. 1 pkt 3 ustawy o odpadach </w:t>
      </w:r>
      <w:r w:rsidRPr="00C8507B">
        <w:rPr>
          <w:color w:val="000000"/>
          <w:sz w:val="24"/>
          <w:szCs w:val="24"/>
        </w:rPr>
        <w:t xml:space="preserve">w sprawie nałożenia </w:t>
      </w:r>
      <w:r w:rsidRPr="00C8507B">
        <w:rPr>
          <w:bCs/>
          <w:color w:val="000000"/>
          <w:sz w:val="24"/>
          <w:szCs w:val="24"/>
          <w:lang w:eastAsia="en-US"/>
        </w:rPr>
        <w:t>administracyjnej kary pieniężnej</w:t>
      </w:r>
      <w:r w:rsidRPr="00C8507B">
        <w:rPr>
          <w:color w:val="000000"/>
          <w:sz w:val="24"/>
          <w:szCs w:val="24"/>
        </w:rPr>
        <w:t xml:space="preserve"> za </w:t>
      </w:r>
      <w:r w:rsidRPr="00C8507B">
        <w:rPr>
          <w:sz w:val="24"/>
          <w:szCs w:val="24"/>
        </w:rPr>
        <w:t>zbieranie komunalnych osadów ściekowych, wbrew zakazowi,</w:t>
      </w:r>
    </w:p>
    <w:p w14:paraId="41293E0D" w14:textId="77777777" w:rsidR="00C8507B" w:rsidRPr="00C8507B" w:rsidRDefault="00C8507B" w:rsidP="00D34F97">
      <w:pPr>
        <w:pStyle w:val="Akapitzlist"/>
        <w:numPr>
          <w:ilvl w:val="0"/>
          <w:numId w:val="293"/>
        </w:numPr>
        <w:spacing w:line="300" w:lineRule="atLeast"/>
        <w:ind w:left="1208" w:hanging="357"/>
        <w:jc w:val="both"/>
        <w:rPr>
          <w:sz w:val="24"/>
          <w:szCs w:val="24"/>
        </w:rPr>
      </w:pPr>
      <w:r w:rsidRPr="00E433B9">
        <w:rPr>
          <w:bCs/>
          <w:sz w:val="24"/>
          <w:szCs w:val="24"/>
        </w:rPr>
        <w:t>3</w:t>
      </w:r>
      <w:r w:rsidRPr="00C8507B">
        <w:rPr>
          <w:sz w:val="24"/>
          <w:szCs w:val="24"/>
        </w:rPr>
        <w:t xml:space="preserve"> </w:t>
      </w:r>
      <w:r w:rsidRPr="00C8507B">
        <w:rPr>
          <w:sz w:val="24"/>
          <w:szCs w:val="24"/>
          <w:lang w:eastAsia="en-US"/>
        </w:rPr>
        <w:t xml:space="preserve">postępowania administracyjne </w:t>
      </w:r>
      <w:r w:rsidRPr="00C8507B">
        <w:rPr>
          <w:sz w:val="24"/>
          <w:szCs w:val="24"/>
        </w:rPr>
        <w:t xml:space="preserve">w trybie art. 194 ust. 1 pkt 2a ustawy </w:t>
      </w:r>
      <w:r w:rsidRPr="00C8507B">
        <w:rPr>
          <w:sz w:val="24"/>
          <w:szCs w:val="24"/>
        </w:rPr>
        <w:br/>
        <w:t xml:space="preserve">o odpadach w sprawie nałożenia </w:t>
      </w:r>
      <w:r w:rsidRPr="00C8507B">
        <w:rPr>
          <w:bCs/>
          <w:color w:val="000000"/>
          <w:sz w:val="24"/>
          <w:szCs w:val="24"/>
          <w:lang w:eastAsia="en-US"/>
        </w:rPr>
        <w:t>administracyjnych kar pieniężnych</w:t>
      </w:r>
      <w:r w:rsidRPr="00C8507B">
        <w:rPr>
          <w:sz w:val="24"/>
          <w:szCs w:val="24"/>
        </w:rPr>
        <w:t xml:space="preserve"> za transport odpadów niezgodnie z wymaganiami, o których mowa w art. 24 ust. 5 ustawy,</w:t>
      </w:r>
    </w:p>
    <w:p w14:paraId="663E491E" w14:textId="77777777" w:rsidR="00C8507B" w:rsidRPr="00C8507B" w:rsidRDefault="00C8507B" w:rsidP="00D34F97">
      <w:pPr>
        <w:pStyle w:val="Akapitzlist"/>
        <w:numPr>
          <w:ilvl w:val="0"/>
          <w:numId w:val="293"/>
        </w:numPr>
        <w:spacing w:line="300" w:lineRule="atLeast"/>
        <w:ind w:left="1208" w:hanging="357"/>
        <w:jc w:val="both"/>
        <w:rPr>
          <w:color w:val="000000"/>
          <w:sz w:val="24"/>
          <w:szCs w:val="24"/>
        </w:rPr>
      </w:pPr>
      <w:bookmarkStart w:id="338" w:name="_Hlk26458749"/>
      <w:r w:rsidRPr="00E433B9">
        <w:rPr>
          <w:bCs/>
          <w:sz w:val="24"/>
          <w:szCs w:val="24"/>
        </w:rPr>
        <w:lastRenderedPageBreak/>
        <w:t>2</w:t>
      </w:r>
      <w:r w:rsidRPr="00C8507B">
        <w:rPr>
          <w:sz w:val="24"/>
          <w:szCs w:val="24"/>
        </w:rPr>
        <w:t xml:space="preserve"> </w:t>
      </w:r>
      <w:r w:rsidRPr="00C8507B">
        <w:rPr>
          <w:sz w:val="24"/>
          <w:szCs w:val="24"/>
          <w:lang w:eastAsia="en-US"/>
        </w:rPr>
        <w:t xml:space="preserve">postępowania administracyjne </w:t>
      </w:r>
      <w:r w:rsidRPr="00C8507B">
        <w:rPr>
          <w:sz w:val="24"/>
          <w:szCs w:val="24"/>
        </w:rPr>
        <w:t xml:space="preserve">w trybie art. 195a ustawy o odpadach </w:t>
      </w:r>
      <w:r w:rsidRPr="00C8507B">
        <w:rPr>
          <w:bCs/>
          <w:color w:val="000000"/>
          <w:sz w:val="24"/>
          <w:szCs w:val="24"/>
        </w:rPr>
        <w:t xml:space="preserve">w sprawie nałożenia </w:t>
      </w:r>
      <w:r w:rsidRPr="00C8507B">
        <w:rPr>
          <w:bCs/>
          <w:color w:val="000000"/>
          <w:sz w:val="24"/>
          <w:szCs w:val="24"/>
          <w:lang w:eastAsia="en-US"/>
        </w:rPr>
        <w:t>administracyjnych kar pieniężnych</w:t>
      </w:r>
      <w:r w:rsidRPr="00C8507B">
        <w:rPr>
          <w:sz w:val="24"/>
          <w:szCs w:val="24"/>
        </w:rPr>
        <w:t xml:space="preserve"> </w:t>
      </w:r>
      <w:r w:rsidRPr="00C8507B">
        <w:rPr>
          <w:bCs/>
          <w:color w:val="000000"/>
          <w:sz w:val="24"/>
          <w:szCs w:val="24"/>
        </w:rPr>
        <w:t>na</w:t>
      </w:r>
      <w:r w:rsidRPr="00C8507B">
        <w:rPr>
          <w:sz w:val="24"/>
          <w:szCs w:val="24"/>
        </w:rPr>
        <w:t xml:space="preserve"> starostów </w:t>
      </w:r>
      <w:r w:rsidRPr="00C8507B">
        <w:rPr>
          <w:sz w:val="24"/>
          <w:szCs w:val="24"/>
          <w:lang w:eastAsia="en-US"/>
        </w:rPr>
        <w:t>za </w:t>
      </w:r>
      <w:r w:rsidRPr="00C8507B">
        <w:rPr>
          <w:color w:val="000000"/>
          <w:sz w:val="24"/>
          <w:szCs w:val="24"/>
        </w:rPr>
        <w:t xml:space="preserve">nieutworzenie miejsc spełniającego warunki magazynowania odpadów, </w:t>
      </w:r>
      <w:r w:rsidRPr="00C8507B">
        <w:rPr>
          <w:sz w:val="24"/>
          <w:szCs w:val="24"/>
        </w:rPr>
        <w:t>tj. za działanie wbrew przepisom określonym w art. 24a ust. 2 i 4 ustawy</w:t>
      </w:r>
      <w:r w:rsidRPr="00C8507B">
        <w:rPr>
          <w:color w:val="000000"/>
          <w:sz w:val="24"/>
          <w:szCs w:val="24"/>
        </w:rPr>
        <w:t>,</w:t>
      </w:r>
    </w:p>
    <w:p w14:paraId="7E880047" w14:textId="77777777" w:rsidR="00C8507B" w:rsidRPr="00C8507B" w:rsidRDefault="00C8507B" w:rsidP="00D34F97">
      <w:pPr>
        <w:pStyle w:val="Akapitzlist"/>
        <w:numPr>
          <w:ilvl w:val="0"/>
          <w:numId w:val="293"/>
        </w:numPr>
        <w:spacing w:line="300" w:lineRule="atLeast"/>
        <w:ind w:left="1208" w:hanging="357"/>
        <w:jc w:val="both"/>
        <w:rPr>
          <w:color w:val="000000"/>
          <w:sz w:val="24"/>
          <w:szCs w:val="24"/>
        </w:rPr>
      </w:pPr>
      <w:r w:rsidRPr="00E433B9">
        <w:rPr>
          <w:bCs/>
          <w:sz w:val="24"/>
          <w:szCs w:val="24"/>
        </w:rPr>
        <w:t>8</w:t>
      </w:r>
      <w:r w:rsidRPr="00C8507B">
        <w:rPr>
          <w:b/>
          <w:bCs/>
          <w:sz w:val="24"/>
          <w:szCs w:val="24"/>
        </w:rPr>
        <w:t xml:space="preserve"> </w:t>
      </w:r>
      <w:r w:rsidRPr="00C8507B">
        <w:rPr>
          <w:sz w:val="24"/>
          <w:szCs w:val="24"/>
        </w:rPr>
        <w:t xml:space="preserve">postępowań administracyjnych w trybie </w:t>
      </w:r>
      <w:r w:rsidRPr="00C8507B">
        <w:rPr>
          <w:color w:val="000000"/>
          <w:sz w:val="24"/>
          <w:szCs w:val="24"/>
        </w:rPr>
        <w:t>art. 194 ust. 1 pkt 5b</w:t>
      </w:r>
      <w:r w:rsidRPr="00C8507B">
        <w:rPr>
          <w:sz w:val="24"/>
          <w:szCs w:val="24"/>
        </w:rPr>
        <w:t xml:space="preserve"> </w:t>
      </w:r>
      <w:r w:rsidRPr="00C8507B">
        <w:rPr>
          <w:color w:val="000000"/>
          <w:sz w:val="24"/>
          <w:szCs w:val="24"/>
        </w:rPr>
        <w:t xml:space="preserve">ustawy o odpadach </w:t>
      </w:r>
      <w:r w:rsidRPr="00C8507B">
        <w:rPr>
          <w:sz w:val="24"/>
          <w:szCs w:val="24"/>
        </w:rPr>
        <w:t xml:space="preserve">w sprawie nałożenia </w:t>
      </w:r>
      <w:r w:rsidRPr="00C8507B">
        <w:rPr>
          <w:bCs/>
          <w:color w:val="000000"/>
          <w:sz w:val="24"/>
          <w:szCs w:val="24"/>
          <w:lang w:eastAsia="en-US"/>
        </w:rPr>
        <w:t>administracyjnych kar pieniężnych za nieprowadzenie ewidencji odpadów,</w:t>
      </w:r>
    </w:p>
    <w:p w14:paraId="427F91B7" w14:textId="77777777" w:rsidR="00C8507B" w:rsidRPr="00C8507B" w:rsidRDefault="00C8507B" w:rsidP="00D34F97">
      <w:pPr>
        <w:pStyle w:val="Akapitzlist"/>
        <w:numPr>
          <w:ilvl w:val="0"/>
          <w:numId w:val="293"/>
        </w:numPr>
        <w:spacing w:line="300" w:lineRule="atLeast"/>
        <w:ind w:left="1208" w:hanging="357"/>
        <w:jc w:val="both"/>
        <w:rPr>
          <w:b/>
          <w:bCs/>
          <w:sz w:val="24"/>
          <w:szCs w:val="24"/>
        </w:rPr>
      </w:pPr>
      <w:r w:rsidRPr="00E433B9">
        <w:rPr>
          <w:bCs/>
          <w:sz w:val="24"/>
          <w:szCs w:val="24"/>
        </w:rPr>
        <w:t>1</w:t>
      </w:r>
      <w:r w:rsidRPr="00C8507B">
        <w:rPr>
          <w:b/>
          <w:bCs/>
          <w:sz w:val="24"/>
          <w:szCs w:val="24"/>
        </w:rPr>
        <w:t xml:space="preserve"> </w:t>
      </w:r>
      <w:r w:rsidRPr="00C8507B">
        <w:rPr>
          <w:sz w:val="24"/>
          <w:szCs w:val="24"/>
        </w:rPr>
        <w:t>postępowanie administracyjne</w:t>
      </w:r>
      <w:r w:rsidRPr="00C8507B">
        <w:rPr>
          <w:b/>
          <w:bCs/>
          <w:sz w:val="24"/>
          <w:szCs w:val="24"/>
        </w:rPr>
        <w:t xml:space="preserve"> </w:t>
      </w:r>
      <w:r w:rsidRPr="00C8507B">
        <w:rPr>
          <w:sz w:val="24"/>
          <w:szCs w:val="24"/>
        </w:rPr>
        <w:t xml:space="preserve">w trybie z art. 194 ust. 1 pkt 3a ustawy o odpadach </w:t>
      </w:r>
      <w:r w:rsidRPr="00C8507B">
        <w:rPr>
          <w:bCs/>
          <w:color w:val="000000"/>
          <w:sz w:val="24"/>
          <w:szCs w:val="24"/>
        </w:rPr>
        <w:t xml:space="preserve">w sprawie nałożenia </w:t>
      </w:r>
      <w:r w:rsidRPr="00C8507B">
        <w:rPr>
          <w:bCs/>
          <w:color w:val="000000"/>
          <w:sz w:val="24"/>
          <w:szCs w:val="24"/>
          <w:lang w:eastAsia="en-US"/>
        </w:rPr>
        <w:t xml:space="preserve">administracyjnej kary pieniężnej </w:t>
      </w:r>
      <w:r w:rsidRPr="00C8507B">
        <w:rPr>
          <w:sz w:val="24"/>
          <w:szCs w:val="24"/>
        </w:rPr>
        <w:t>za zlecanie wykonywania obowiązku gospodarowania odpadami podmiotowi działającemu bez wymaganej decyzji w zakresie gospodarowania odpadami,</w:t>
      </w:r>
    </w:p>
    <w:bookmarkEnd w:id="338"/>
    <w:p w14:paraId="3305DEF1" w14:textId="77777777" w:rsidR="00C8507B" w:rsidRPr="00C8507B" w:rsidRDefault="00C8507B" w:rsidP="00D34F97">
      <w:pPr>
        <w:pStyle w:val="Akapitzlist"/>
        <w:numPr>
          <w:ilvl w:val="0"/>
          <w:numId w:val="293"/>
        </w:numPr>
        <w:spacing w:line="300" w:lineRule="atLeast"/>
        <w:ind w:left="1208" w:hanging="357"/>
        <w:jc w:val="both"/>
        <w:rPr>
          <w:sz w:val="24"/>
          <w:szCs w:val="24"/>
          <w:lang w:eastAsia="en-US"/>
        </w:rPr>
      </w:pPr>
      <w:r w:rsidRPr="00E433B9">
        <w:rPr>
          <w:bCs/>
          <w:sz w:val="24"/>
          <w:szCs w:val="24"/>
          <w:lang w:eastAsia="en-US"/>
        </w:rPr>
        <w:t>1</w:t>
      </w:r>
      <w:r w:rsidRPr="00C8507B">
        <w:rPr>
          <w:sz w:val="24"/>
          <w:szCs w:val="24"/>
          <w:lang w:eastAsia="en-US"/>
        </w:rPr>
        <w:t xml:space="preserve"> </w:t>
      </w:r>
      <w:r w:rsidRPr="00C8507B">
        <w:rPr>
          <w:sz w:val="24"/>
          <w:szCs w:val="24"/>
        </w:rPr>
        <w:t>postępowanie</w:t>
      </w:r>
      <w:r w:rsidRPr="00C8507B">
        <w:rPr>
          <w:sz w:val="24"/>
          <w:szCs w:val="24"/>
          <w:lang w:eastAsia="en-US"/>
        </w:rPr>
        <w:t xml:space="preserve"> administracyjnie w trybie art. 91 </w:t>
      </w:r>
      <w:r w:rsidRPr="00C8507B">
        <w:rPr>
          <w:color w:val="000000"/>
          <w:sz w:val="24"/>
          <w:szCs w:val="24"/>
        </w:rPr>
        <w:t xml:space="preserve">ustawy o zużytym sprzęcie elektrycznym i elektronicznym w sprawie nałożenia </w:t>
      </w:r>
      <w:r w:rsidRPr="00C8507B">
        <w:rPr>
          <w:bCs/>
          <w:color w:val="000000"/>
          <w:sz w:val="24"/>
          <w:szCs w:val="24"/>
          <w:lang w:eastAsia="en-US"/>
        </w:rPr>
        <w:t>administracyjnej kary pieniężnej</w:t>
      </w:r>
      <w:r w:rsidRPr="00C8507B">
        <w:rPr>
          <w:color w:val="000000"/>
          <w:sz w:val="24"/>
          <w:szCs w:val="24"/>
        </w:rPr>
        <w:t xml:space="preserve"> za:</w:t>
      </w:r>
      <w:r w:rsidRPr="00C8507B">
        <w:rPr>
          <w:sz w:val="24"/>
          <w:szCs w:val="24"/>
          <w:lang w:eastAsia="en-US"/>
        </w:rPr>
        <w:t xml:space="preserve"> magazynowanie zużytego sprzętu elektrycznego i elektronicznego (</w:t>
      </w:r>
      <w:proofErr w:type="spellStart"/>
      <w:r w:rsidRPr="00C8507B">
        <w:rPr>
          <w:sz w:val="24"/>
          <w:szCs w:val="24"/>
          <w:lang w:eastAsia="en-US"/>
        </w:rPr>
        <w:t>ZSEiE</w:t>
      </w:r>
      <w:proofErr w:type="spellEnd"/>
      <w:r w:rsidRPr="00C8507B">
        <w:rPr>
          <w:sz w:val="24"/>
          <w:szCs w:val="24"/>
          <w:lang w:eastAsia="en-US"/>
        </w:rPr>
        <w:t xml:space="preserve">) w miejscach niewyposażonych w utwardzone podłoże oraz zadaszenie; za zbieranie </w:t>
      </w:r>
      <w:proofErr w:type="spellStart"/>
      <w:r w:rsidRPr="00C8507B">
        <w:rPr>
          <w:sz w:val="24"/>
          <w:szCs w:val="24"/>
          <w:lang w:eastAsia="en-US"/>
        </w:rPr>
        <w:t>ZSEiE</w:t>
      </w:r>
      <w:proofErr w:type="spellEnd"/>
      <w:r w:rsidRPr="00C8507B">
        <w:rPr>
          <w:sz w:val="24"/>
          <w:szCs w:val="24"/>
          <w:lang w:eastAsia="en-US"/>
        </w:rPr>
        <w:t xml:space="preserve"> w warunkach, które mogą uniemożliwić przygotowanie do ponownego użycia, recyklingu oraz innych niż recykling procesów odzysku; za prowadzenie demontażu ZSEIE poza zakładem przetwarzania, bez uregulowanego stanu </w:t>
      </w:r>
      <w:proofErr w:type="spellStart"/>
      <w:r w:rsidRPr="00C8507B">
        <w:rPr>
          <w:sz w:val="24"/>
          <w:szCs w:val="24"/>
          <w:lang w:eastAsia="en-US"/>
        </w:rPr>
        <w:t>formalno</w:t>
      </w:r>
      <w:proofErr w:type="spellEnd"/>
      <w:r w:rsidRPr="00C8507B">
        <w:rPr>
          <w:sz w:val="24"/>
          <w:szCs w:val="24"/>
          <w:lang w:eastAsia="en-US"/>
        </w:rPr>
        <w:t xml:space="preserve"> - prawnego w tym zakresie,</w:t>
      </w:r>
    </w:p>
    <w:p w14:paraId="034685A4" w14:textId="77777777" w:rsidR="00C8507B" w:rsidRPr="00C8507B" w:rsidRDefault="00C8507B" w:rsidP="00D34F97">
      <w:pPr>
        <w:pStyle w:val="Akapitzlist"/>
        <w:numPr>
          <w:ilvl w:val="0"/>
          <w:numId w:val="293"/>
        </w:numPr>
        <w:spacing w:line="300" w:lineRule="atLeast"/>
        <w:ind w:left="1208" w:hanging="357"/>
        <w:jc w:val="both"/>
        <w:rPr>
          <w:sz w:val="24"/>
          <w:szCs w:val="24"/>
        </w:rPr>
      </w:pPr>
      <w:r w:rsidRPr="00E433B9">
        <w:rPr>
          <w:bCs/>
          <w:sz w:val="24"/>
          <w:szCs w:val="24"/>
        </w:rPr>
        <w:t>4</w:t>
      </w:r>
      <w:r w:rsidRPr="00E433B9">
        <w:rPr>
          <w:sz w:val="24"/>
          <w:szCs w:val="24"/>
        </w:rPr>
        <w:t xml:space="preserve"> </w:t>
      </w:r>
      <w:r w:rsidRPr="00C8507B">
        <w:rPr>
          <w:sz w:val="24"/>
          <w:szCs w:val="24"/>
          <w:lang w:eastAsia="en-US"/>
        </w:rPr>
        <w:t xml:space="preserve">postępowania administracyjne w trybie </w:t>
      </w:r>
      <w:r w:rsidRPr="00C8507B">
        <w:rPr>
          <w:sz w:val="24"/>
          <w:szCs w:val="24"/>
        </w:rPr>
        <w:t xml:space="preserve">art. 31c ust. 1 ustawy o Inspekcji Ochrony Środowiska </w:t>
      </w:r>
      <w:r w:rsidRPr="00C8507B">
        <w:rPr>
          <w:bCs/>
          <w:color w:val="000000"/>
          <w:sz w:val="24"/>
          <w:szCs w:val="24"/>
        </w:rPr>
        <w:t xml:space="preserve">w sprawie nałożenia administracyjnych kar pieniężnych </w:t>
      </w:r>
      <w:bookmarkStart w:id="339" w:name="_Hlk23409096"/>
      <w:r w:rsidRPr="00C8507B">
        <w:rPr>
          <w:sz w:val="24"/>
          <w:szCs w:val="24"/>
        </w:rPr>
        <w:t>za uniemożliwienie lub utrudnienie organowi Inspekcji Ochrony Środowiska przeprowadzenie kontroli,</w:t>
      </w:r>
    </w:p>
    <w:bookmarkEnd w:id="339"/>
    <w:p w14:paraId="43819FFF" w14:textId="77777777" w:rsidR="00C8507B" w:rsidRPr="00C8507B" w:rsidRDefault="00C8507B" w:rsidP="00D34F97">
      <w:pPr>
        <w:pStyle w:val="Akapitzlist"/>
        <w:numPr>
          <w:ilvl w:val="0"/>
          <w:numId w:val="293"/>
        </w:numPr>
        <w:spacing w:line="300" w:lineRule="atLeast"/>
        <w:ind w:left="1276" w:hanging="357"/>
        <w:jc w:val="both"/>
        <w:rPr>
          <w:sz w:val="24"/>
          <w:szCs w:val="24"/>
        </w:rPr>
      </w:pPr>
      <w:r w:rsidRPr="00C8507B">
        <w:rPr>
          <w:sz w:val="24"/>
          <w:szCs w:val="24"/>
        </w:rPr>
        <w:t xml:space="preserve">wydano </w:t>
      </w:r>
      <w:r w:rsidRPr="00E433B9">
        <w:rPr>
          <w:bCs/>
          <w:sz w:val="24"/>
          <w:szCs w:val="24"/>
        </w:rPr>
        <w:t>8</w:t>
      </w:r>
      <w:r w:rsidRPr="00C8507B">
        <w:rPr>
          <w:sz w:val="24"/>
          <w:szCs w:val="24"/>
        </w:rPr>
        <w:t xml:space="preserve"> pouczeń za stwierdzone nieprawidłowości,</w:t>
      </w:r>
    </w:p>
    <w:p w14:paraId="5EE3D50D" w14:textId="322F1EB4" w:rsidR="00C8507B" w:rsidRPr="00C8507B" w:rsidRDefault="00C8507B" w:rsidP="00D34F97">
      <w:pPr>
        <w:pStyle w:val="Akapitzlist"/>
        <w:numPr>
          <w:ilvl w:val="0"/>
          <w:numId w:val="293"/>
        </w:numPr>
        <w:spacing w:line="300" w:lineRule="atLeast"/>
        <w:ind w:left="1276" w:hanging="357"/>
        <w:jc w:val="both"/>
        <w:rPr>
          <w:sz w:val="24"/>
          <w:szCs w:val="24"/>
        </w:rPr>
      </w:pPr>
      <w:r w:rsidRPr="00C8507B">
        <w:rPr>
          <w:sz w:val="24"/>
          <w:szCs w:val="24"/>
        </w:rPr>
        <w:t xml:space="preserve">wystawiono </w:t>
      </w:r>
      <w:r w:rsidRPr="00E433B9">
        <w:rPr>
          <w:bCs/>
          <w:sz w:val="24"/>
          <w:szCs w:val="24"/>
        </w:rPr>
        <w:t>31</w:t>
      </w:r>
      <w:r w:rsidRPr="00C8507B">
        <w:rPr>
          <w:b/>
          <w:bCs/>
          <w:sz w:val="24"/>
          <w:szCs w:val="24"/>
        </w:rPr>
        <w:t xml:space="preserve"> </w:t>
      </w:r>
      <w:r w:rsidRPr="00C8507B">
        <w:rPr>
          <w:sz w:val="24"/>
          <w:szCs w:val="24"/>
        </w:rPr>
        <w:t>mandat</w:t>
      </w:r>
      <w:r w:rsidR="003B1E96">
        <w:rPr>
          <w:sz w:val="24"/>
          <w:szCs w:val="24"/>
          <w:lang w:val="pl-PL"/>
        </w:rPr>
        <w:t>ów</w:t>
      </w:r>
      <w:r w:rsidRPr="00C8507B">
        <w:rPr>
          <w:sz w:val="24"/>
          <w:szCs w:val="24"/>
        </w:rPr>
        <w:t xml:space="preserve"> za stwierdzone nieprawidłowości w łącznej kwocie </w:t>
      </w:r>
      <w:r w:rsidR="003B1E96">
        <w:rPr>
          <w:sz w:val="24"/>
          <w:szCs w:val="24"/>
        </w:rPr>
        <w:br/>
      </w:r>
      <w:r w:rsidRPr="00E433B9">
        <w:rPr>
          <w:bCs/>
          <w:sz w:val="24"/>
          <w:szCs w:val="24"/>
        </w:rPr>
        <w:t>12 500 zł</w:t>
      </w:r>
      <w:r w:rsidRPr="00C8507B">
        <w:rPr>
          <w:sz w:val="24"/>
          <w:szCs w:val="24"/>
        </w:rPr>
        <w:t>,</w:t>
      </w:r>
    </w:p>
    <w:p w14:paraId="65713547" w14:textId="77777777" w:rsidR="00C8507B" w:rsidRPr="00C8507B" w:rsidRDefault="00C8507B" w:rsidP="00D34F97">
      <w:pPr>
        <w:pStyle w:val="Akapitzlist"/>
        <w:numPr>
          <w:ilvl w:val="0"/>
          <w:numId w:val="293"/>
        </w:numPr>
        <w:spacing w:line="300" w:lineRule="atLeast"/>
        <w:ind w:left="1276" w:hanging="357"/>
        <w:jc w:val="both"/>
        <w:rPr>
          <w:sz w:val="24"/>
          <w:szCs w:val="24"/>
        </w:rPr>
      </w:pPr>
      <w:r w:rsidRPr="00C8507B">
        <w:rPr>
          <w:sz w:val="24"/>
          <w:szCs w:val="24"/>
        </w:rPr>
        <w:t xml:space="preserve">wydano </w:t>
      </w:r>
      <w:r w:rsidRPr="00E433B9">
        <w:rPr>
          <w:bCs/>
          <w:sz w:val="24"/>
          <w:szCs w:val="24"/>
        </w:rPr>
        <w:t>76</w:t>
      </w:r>
      <w:r w:rsidRPr="00C8507B">
        <w:rPr>
          <w:sz w:val="24"/>
          <w:szCs w:val="24"/>
        </w:rPr>
        <w:t xml:space="preserve"> decyzji administracyjnych w zakresie wstrzymania działalności oraz wymierzających administracyjne kary pieniężne za nieprawidłowości w zakresie przestrzegania przepisów ochrony środowiska, na łączną kwotę </w:t>
      </w:r>
      <w:r w:rsidRPr="00C8507B">
        <w:rPr>
          <w:b/>
          <w:bCs/>
          <w:sz w:val="24"/>
          <w:szCs w:val="24"/>
        </w:rPr>
        <w:t>1 972 500 zł.</w:t>
      </w:r>
    </w:p>
    <w:p w14:paraId="4315D1AA" w14:textId="77777777" w:rsidR="00C8507B" w:rsidRPr="00C8507B" w:rsidRDefault="00C8507B" w:rsidP="008F0878">
      <w:pPr>
        <w:pStyle w:val="Akapitzlist"/>
        <w:spacing w:line="300" w:lineRule="atLeast"/>
        <w:ind w:left="0" w:firstLine="567"/>
        <w:jc w:val="both"/>
        <w:rPr>
          <w:sz w:val="24"/>
          <w:szCs w:val="24"/>
        </w:rPr>
      </w:pPr>
      <w:r w:rsidRPr="00C8507B">
        <w:rPr>
          <w:sz w:val="24"/>
          <w:szCs w:val="24"/>
        </w:rPr>
        <w:t>Ponadto, w ramach działań pokontrolnych współdziałano z organami ścigania, udzielano niezbędnego wsparcia merytorycznego oraz wykonywano różne czynności na zlecenie tych organów (udzielano wyjaśnień, analizowano dokumenty, uczestniczono w oględzinach, itp.).</w:t>
      </w:r>
    </w:p>
    <w:p w14:paraId="37193DAD" w14:textId="77777777" w:rsidR="00C8507B" w:rsidRPr="00C8507B" w:rsidRDefault="00C8507B" w:rsidP="00C8507B">
      <w:pPr>
        <w:spacing w:line="300" w:lineRule="atLeast"/>
        <w:contextualSpacing/>
        <w:jc w:val="both"/>
        <w:rPr>
          <w:rFonts w:ascii="Times New Roman" w:hAnsi="Times New Roman" w:cs="Times New Roman"/>
          <w:i/>
          <w:color w:val="4472C4"/>
          <w:sz w:val="24"/>
          <w:szCs w:val="24"/>
        </w:rPr>
      </w:pPr>
    </w:p>
    <w:p w14:paraId="5E5FE44C" w14:textId="77777777" w:rsidR="00C8507B" w:rsidRPr="00C8507B" w:rsidRDefault="00C8507B" w:rsidP="003B1E96">
      <w:pPr>
        <w:spacing w:after="60" w:line="300" w:lineRule="atLeast"/>
        <w:jc w:val="both"/>
        <w:rPr>
          <w:rFonts w:ascii="Times New Roman" w:hAnsi="Times New Roman" w:cs="Times New Roman"/>
          <w:i/>
          <w:color w:val="4472C4"/>
          <w:sz w:val="24"/>
          <w:szCs w:val="24"/>
        </w:rPr>
      </w:pPr>
      <w:r w:rsidRPr="00C8507B">
        <w:rPr>
          <w:rFonts w:ascii="Times New Roman" w:hAnsi="Times New Roman" w:cs="Times New Roman"/>
          <w:i/>
          <w:color w:val="4472C4"/>
          <w:sz w:val="24"/>
          <w:szCs w:val="24"/>
        </w:rPr>
        <w:t>Wojewódzki Inspektorat Ochrony Środowiska w Krakowie</w:t>
      </w:r>
    </w:p>
    <w:p w14:paraId="0D9DCEAF" w14:textId="44E48713" w:rsidR="00C8507B" w:rsidRPr="00C8507B" w:rsidRDefault="00C8507B" w:rsidP="008F0878">
      <w:pPr>
        <w:autoSpaceDE w:val="0"/>
        <w:autoSpaceDN w:val="0"/>
        <w:adjustRightInd w:val="0"/>
        <w:spacing w:after="0" w:line="300" w:lineRule="atLeast"/>
        <w:ind w:firstLine="567"/>
        <w:jc w:val="both"/>
        <w:rPr>
          <w:rFonts w:ascii="Times New Roman" w:hAnsi="Times New Roman" w:cs="Times New Roman"/>
          <w:sz w:val="24"/>
          <w:szCs w:val="24"/>
        </w:rPr>
      </w:pPr>
      <w:r w:rsidRPr="00C8507B">
        <w:rPr>
          <w:rFonts w:ascii="Times New Roman" w:hAnsi="Times New Roman" w:cs="Times New Roman"/>
          <w:sz w:val="24"/>
          <w:szCs w:val="24"/>
        </w:rPr>
        <w:t>W wyniku przeprowadzonych w 2022 roku kontroli interwencyjnych, podjęto następujące</w:t>
      </w:r>
      <w:r w:rsidR="008F0878">
        <w:rPr>
          <w:rFonts w:ascii="Times New Roman" w:hAnsi="Times New Roman" w:cs="Times New Roman"/>
          <w:sz w:val="24"/>
          <w:szCs w:val="24"/>
        </w:rPr>
        <w:t xml:space="preserve"> </w:t>
      </w:r>
      <w:r w:rsidRPr="00C8507B">
        <w:rPr>
          <w:rFonts w:ascii="Times New Roman" w:hAnsi="Times New Roman" w:cs="Times New Roman"/>
          <w:sz w:val="24"/>
          <w:szCs w:val="24"/>
        </w:rPr>
        <w:t>działania:</w:t>
      </w:r>
    </w:p>
    <w:p w14:paraId="7A0ECB37" w14:textId="2C77EABD" w:rsidR="00C8507B" w:rsidRPr="003B1E96" w:rsidRDefault="00C8507B" w:rsidP="00D34F97">
      <w:pPr>
        <w:pStyle w:val="Akapitzlist"/>
        <w:numPr>
          <w:ilvl w:val="0"/>
          <w:numId w:val="309"/>
        </w:numPr>
        <w:autoSpaceDE w:val="0"/>
        <w:autoSpaceDN w:val="0"/>
        <w:adjustRightInd w:val="0"/>
        <w:spacing w:line="300" w:lineRule="atLeast"/>
        <w:rPr>
          <w:sz w:val="24"/>
          <w:szCs w:val="24"/>
        </w:rPr>
      </w:pPr>
      <w:r w:rsidRPr="003B1E96">
        <w:rPr>
          <w:sz w:val="24"/>
          <w:szCs w:val="24"/>
        </w:rPr>
        <w:t xml:space="preserve">udzielono </w:t>
      </w:r>
      <w:r w:rsidRPr="00E433B9">
        <w:rPr>
          <w:bCs/>
          <w:sz w:val="24"/>
          <w:szCs w:val="24"/>
        </w:rPr>
        <w:t>110</w:t>
      </w:r>
      <w:r w:rsidRPr="003B1E96">
        <w:rPr>
          <w:b/>
          <w:bCs/>
          <w:sz w:val="24"/>
          <w:szCs w:val="24"/>
        </w:rPr>
        <w:t xml:space="preserve"> </w:t>
      </w:r>
      <w:r w:rsidRPr="003B1E96">
        <w:rPr>
          <w:sz w:val="24"/>
          <w:szCs w:val="24"/>
        </w:rPr>
        <w:t>pouczeń,</w:t>
      </w:r>
    </w:p>
    <w:p w14:paraId="2496ED4D" w14:textId="1BD3A9B4" w:rsidR="00C8507B" w:rsidRPr="003B1E96" w:rsidRDefault="00C8507B" w:rsidP="00D34F97">
      <w:pPr>
        <w:pStyle w:val="Akapitzlist"/>
        <w:numPr>
          <w:ilvl w:val="0"/>
          <w:numId w:val="309"/>
        </w:numPr>
        <w:autoSpaceDE w:val="0"/>
        <w:autoSpaceDN w:val="0"/>
        <w:adjustRightInd w:val="0"/>
        <w:spacing w:line="300" w:lineRule="atLeast"/>
        <w:rPr>
          <w:sz w:val="24"/>
          <w:szCs w:val="24"/>
        </w:rPr>
      </w:pPr>
      <w:r w:rsidRPr="003B1E96">
        <w:rPr>
          <w:sz w:val="24"/>
          <w:szCs w:val="24"/>
        </w:rPr>
        <w:t xml:space="preserve">nałożono </w:t>
      </w:r>
      <w:r w:rsidRPr="00E433B9">
        <w:rPr>
          <w:bCs/>
          <w:sz w:val="24"/>
          <w:szCs w:val="24"/>
        </w:rPr>
        <w:t>116</w:t>
      </w:r>
      <w:r w:rsidRPr="003B1E96">
        <w:rPr>
          <w:b/>
          <w:bCs/>
          <w:sz w:val="24"/>
          <w:szCs w:val="24"/>
        </w:rPr>
        <w:t xml:space="preserve"> </w:t>
      </w:r>
      <w:r w:rsidRPr="003B1E96">
        <w:rPr>
          <w:sz w:val="24"/>
          <w:szCs w:val="24"/>
        </w:rPr>
        <w:t>mandatów karnych (na łączną kwotę 45 800 zł),</w:t>
      </w:r>
    </w:p>
    <w:p w14:paraId="4D1A613D" w14:textId="1147D57C" w:rsidR="00C8507B" w:rsidRPr="003B1E96" w:rsidRDefault="00C8507B" w:rsidP="00D34F97">
      <w:pPr>
        <w:pStyle w:val="Akapitzlist"/>
        <w:numPr>
          <w:ilvl w:val="0"/>
          <w:numId w:val="309"/>
        </w:numPr>
        <w:autoSpaceDE w:val="0"/>
        <w:autoSpaceDN w:val="0"/>
        <w:adjustRightInd w:val="0"/>
        <w:spacing w:line="300" w:lineRule="atLeast"/>
        <w:rPr>
          <w:sz w:val="24"/>
          <w:szCs w:val="24"/>
        </w:rPr>
      </w:pPr>
      <w:r w:rsidRPr="003B1E96">
        <w:rPr>
          <w:sz w:val="24"/>
          <w:szCs w:val="24"/>
        </w:rPr>
        <w:t xml:space="preserve">wydano </w:t>
      </w:r>
      <w:r w:rsidRPr="00E433B9">
        <w:rPr>
          <w:bCs/>
          <w:sz w:val="24"/>
          <w:szCs w:val="24"/>
        </w:rPr>
        <w:t>182</w:t>
      </w:r>
      <w:r w:rsidRPr="003B1E96">
        <w:rPr>
          <w:b/>
          <w:bCs/>
          <w:sz w:val="24"/>
          <w:szCs w:val="24"/>
        </w:rPr>
        <w:t xml:space="preserve"> </w:t>
      </w:r>
      <w:r w:rsidRPr="003B1E96">
        <w:rPr>
          <w:sz w:val="24"/>
          <w:szCs w:val="24"/>
        </w:rPr>
        <w:t>zarządzenia pokontrolne.</w:t>
      </w:r>
    </w:p>
    <w:p w14:paraId="081138D4" w14:textId="21AC8AA2" w:rsidR="00C8507B" w:rsidRPr="003B1E96" w:rsidRDefault="00C8507B" w:rsidP="00D34F97">
      <w:pPr>
        <w:pStyle w:val="Akapitzlist"/>
        <w:numPr>
          <w:ilvl w:val="0"/>
          <w:numId w:val="309"/>
        </w:numPr>
        <w:autoSpaceDE w:val="0"/>
        <w:autoSpaceDN w:val="0"/>
        <w:adjustRightInd w:val="0"/>
        <w:spacing w:line="300" w:lineRule="atLeast"/>
        <w:rPr>
          <w:sz w:val="24"/>
          <w:szCs w:val="24"/>
        </w:rPr>
      </w:pPr>
      <w:r w:rsidRPr="003B1E96">
        <w:rPr>
          <w:sz w:val="24"/>
          <w:szCs w:val="24"/>
        </w:rPr>
        <w:t xml:space="preserve">skierowano </w:t>
      </w:r>
      <w:r w:rsidRPr="00E433B9">
        <w:rPr>
          <w:bCs/>
          <w:sz w:val="24"/>
          <w:szCs w:val="24"/>
        </w:rPr>
        <w:t>13</w:t>
      </w:r>
      <w:r w:rsidRPr="003B1E96">
        <w:rPr>
          <w:b/>
          <w:bCs/>
          <w:sz w:val="24"/>
          <w:szCs w:val="24"/>
        </w:rPr>
        <w:t xml:space="preserve"> </w:t>
      </w:r>
      <w:r w:rsidRPr="003B1E96">
        <w:rPr>
          <w:sz w:val="24"/>
          <w:szCs w:val="24"/>
        </w:rPr>
        <w:t>wniosków do organów ścigania, w tym:</w:t>
      </w:r>
    </w:p>
    <w:p w14:paraId="35F64CB9" w14:textId="31CC8BC4" w:rsidR="00C8507B" w:rsidRPr="003B1E96" w:rsidRDefault="00C8507B" w:rsidP="00D34F97">
      <w:pPr>
        <w:pStyle w:val="Akapitzlist"/>
        <w:numPr>
          <w:ilvl w:val="0"/>
          <w:numId w:val="310"/>
        </w:numPr>
        <w:autoSpaceDE w:val="0"/>
        <w:autoSpaceDN w:val="0"/>
        <w:adjustRightInd w:val="0"/>
        <w:spacing w:line="300" w:lineRule="atLeast"/>
        <w:ind w:left="1208" w:hanging="357"/>
        <w:jc w:val="both"/>
        <w:rPr>
          <w:sz w:val="24"/>
          <w:szCs w:val="24"/>
        </w:rPr>
      </w:pPr>
      <w:r w:rsidRPr="003B1E96">
        <w:rPr>
          <w:sz w:val="24"/>
          <w:szCs w:val="24"/>
        </w:rPr>
        <w:t>w sprawie nielegalnego demontażu prowadzonego przez osoby fizyczne oraz nielegalnego transgranicznego przemieszczania odpadów (4 wystąpienia),</w:t>
      </w:r>
    </w:p>
    <w:p w14:paraId="44EA1412" w14:textId="45E6AA95" w:rsidR="00C8507B" w:rsidRPr="003B1E96" w:rsidRDefault="00C8507B" w:rsidP="00D34F97">
      <w:pPr>
        <w:pStyle w:val="Akapitzlist"/>
        <w:numPr>
          <w:ilvl w:val="0"/>
          <w:numId w:val="311"/>
        </w:numPr>
        <w:autoSpaceDE w:val="0"/>
        <w:autoSpaceDN w:val="0"/>
        <w:adjustRightInd w:val="0"/>
        <w:spacing w:line="300" w:lineRule="atLeast"/>
        <w:rPr>
          <w:sz w:val="24"/>
          <w:szCs w:val="24"/>
        </w:rPr>
      </w:pPr>
      <w:r w:rsidRPr="003B1E96">
        <w:rPr>
          <w:sz w:val="24"/>
          <w:szCs w:val="24"/>
        </w:rPr>
        <w:t xml:space="preserve">skierowano </w:t>
      </w:r>
      <w:r w:rsidRPr="00E433B9">
        <w:rPr>
          <w:bCs/>
          <w:sz w:val="24"/>
          <w:szCs w:val="24"/>
        </w:rPr>
        <w:t>100</w:t>
      </w:r>
      <w:r w:rsidRPr="003B1E96">
        <w:rPr>
          <w:b/>
          <w:bCs/>
          <w:sz w:val="24"/>
          <w:szCs w:val="24"/>
        </w:rPr>
        <w:t xml:space="preserve"> </w:t>
      </w:r>
      <w:r w:rsidRPr="003B1E96">
        <w:rPr>
          <w:sz w:val="24"/>
          <w:szCs w:val="24"/>
        </w:rPr>
        <w:t>wniosków do organów administracji rządowej,</w:t>
      </w:r>
    </w:p>
    <w:p w14:paraId="6310DF96" w14:textId="309B8D6B" w:rsidR="00C8507B" w:rsidRPr="003B1E96" w:rsidRDefault="00C8507B" w:rsidP="00D34F97">
      <w:pPr>
        <w:pStyle w:val="Akapitzlist"/>
        <w:numPr>
          <w:ilvl w:val="0"/>
          <w:numId w:val="311"/>
        </w:numPr>
        <w:spacing w:line="300" w:lineRule="atLeast"/>
        <w:jc w:val="both"/>
        <w:rPr>
          <w:sz w:val="24"/>
          <w:szCs w:val="24"/>
        </w:rPr>
      </w:pPr>
      <w:r w:rsidRPr="003B1E96">
        <w:rPr>
          <w:sz w:val="24"/>
          <w:szCs w:val="24"/>
        </w:rPr>
        <w:t xml:space="preserve">skierowano </w:t>
      </w:r>
      <w:r w:rsidRPr="00E433B9">
        <w:rPr>
          <w:bCs/>
          <w:sz w:val="24"/>
          <w:szCs w:val="24"/>
        </w:rPr>
        <w:t>41</w:t>
      </w:r>
      <w:r w:rsidRPr="003B1E96">
        <w:rPr>
          <w:b/>
          <w:bCs/>
          <w:sz w:val="24"/>
          <w:szCs w:val="24"/>
        </w:rPr>
        <w:t xml:space="preserve"> </w:t>
      </w:r>
      <w:r w:rsidRPr="003B1E96">
        <w:rPr>
          <w:sz w:val="24"/>
          <w:szCs w:val="24"/>
        </w:rPr>
        <w:t xml:space="preserve">wniosków do organów administracji samorządowej. </w:t>
      </w:r>
    </w:p>
    <w:p w14:paraId="34F0603C" w14:textId="77777777" w:rsidR="001B43F0" w:rsidRPr="003B1E96" w:rsidRDefault="001B43F0" w:rsidP="00C8507B">
      <w:pPr>
        <w:spacing w:line="300" w:lineRule="atLeast"/>
        <w:contextualSpacing/>
        <w:jc w:val="both"/>
        <w:rPr>
          <w:rFonts w:ascii="Times New Roman" w:hAnsi="Times New Roman" w:cs="Times New Roman"/>
          <w:i/>
          <w:color w:val="4472C4"/>
          <w:sz w:val="24"/>
          <w:szCs w:val="24"/>
          <w:lang w:val="x-none"/>
        </w:rPr>
      </w:pPr>
    </w:p>
    <w:p w14:paraId="5714BDD6" w14:textId="77777777" w:rsidR="00C8507B" w:rsidRPr="00C8507B" w:rsidRDefault="00C8507B" w:rsidP="003B1E96">
      <w:pPr>
        <w:spacing w:after="60" w:line="300" w:lineRule="atLeast"/>
        <w:jc w:val="both"/>
        <w:rPr>
          <w:rFonts w:ascii="Times New Roman" w:hAnsi="Times New Roman" w:cs="Times New Roman"/>
          <w:i/>
          <w:color w:val="4472C4"/>
          <w:sz w:val="24"/>
          <w:szCs w:val="24"/>
        </w:rPr>
      </w:pPr>
      <w:r w:rsidRPr="00C8507B">
        <w:rPr>
          <w:rFonts w:ascii="Times New Roman" w:hAnsi="Times New Roman" w:cs="Times New Roman"/>
          <w:i/>
          <w:color w:val="4472C4"/>
          <w:sz w:val="24"/>
          <w:szCs w:val="24"/>
        </w:rPr>
        <w:t>Wojewódzki Inspektorat Ochrony Środowiska w Lublinie</w:t>
      </w:r>
    </w:p>
    <w:p w14:paraId="51C3AEA8" w14:textId="77777777" w:rsidR="00C8507B" w:rsidRPr="00C8507B" w:rsidRDefault="00C8507B" w:rsidP="002D4C96">
      <w:pPr>
        <w:spacing w:line="300" w:lineRule="atLeast"/>
        <w:ind w:firstLine="567"/>
        <w:contextualSpacing/>
        <w:jc w:val="both"/>
        <w:rPr>
          <w:rFonts w:ascii="Times New Roman" w:hAnsi="Times New Roman" w:cs="Times New Roman"/>
          <w:sz w:val="24"/>
          <w:szCs w:val="24"/>
        </w:rPr>
      </w:pPr>
      <w:r w:rsidRPr="00C8507B">
        <w:rPr>
          <w:rFonts w:ascii="Times New Roman" w:hAnsi="Times New Roman" w:cs="Times New Roman"/>
          <w:sz w:val="24"/>
          <w:szCs w:val="24"/>
        </w:rPr>
        <w:lastRenderedPageBreak/>
        <w:t xml:space="preserve">W związku z wykrytymi nieprawidłowościami podczas kontroli nie wnoszono zawiadomienia o możliwości popełnienia przestępstwa.  W 5 przypadkach wydano decyzję karną za prowadzenie nielegalnego demontażu. W 4 przypadkach wydano administracyjną karę pieniężną za zbieranie odpadów bez zezwolenia. W związku z ujawnionym nieprawidłowym postępowaniem z odpadami sprawców ukarano 3 mandatami karnymi z art. 171 ustawy </w:t>
      </w:r>
      <w:r w:rsidRPr="00C8507B">
        <w:rPr>
          <w:rFonts w:ascii="Times New Roman" w:hAnsi="Times New Roman" w:cs="Times New Roman"/>
          <w:sz w:val="24"/>
          <w:szCs w:val="24"/>
        </w:rPr>
        <w:br/>
        <w:t xml:space="preserve">o odpadach. </w:t>
      </w:r>
    </w:p>
    <w:p w14:paraId="5B103CCB" w14:textId="77777777" w:rsidR="00C8507B" w:rsidRPr="00C8507B" w:rsidRDefault="00C8507B" w:rsidP="00C8507B">
      <w:pPr>
        <w:spacing w:line="300" w:lineRule="atLeast"/>
        <w:contextualSpacing/>
        <w:jc w:val="both"/>
        <w:rPr>
          <w:rFonts w:ascii="Times New Roman" w:hAnsi="Times New Roman" w:cs="Times New Roman"/>
          <w:i/>
          <w:color w:val="4472C4"/>
          <w:sz w:val="24"/>
          <w:szCs w:val="24"/>
        </w:rPr>
      </w:pPr>
    </w:p>
    <w:p w14:paraId="18F928D1" w14:textId="77777777" w:rsidR="00C8507B" w:rsidRPr="00C8507B" w:rsidRDefault="00C8507B" w:rsidP="003B1E96">
      <w:pPr>
        <w:spacing w:after="60" w:line="300" w:lineRule="atLeast"/>
        <w:jc w:val="both"/>
        <w:rPr>
          <w:rFonts w:ascii="Times New Roman" w:hAnsi="Times New Roman" w:cs="Times New Roman"/>
          <w:i/>
          <w:color w:val="4472C4"/>
          <w:sz w:val="24"/>
          <w:szCs w:val="24"/>
        </w:rPr>
      </w:pPr>
      <w:r w:rsidRPr="00C8507B">
        <w:rPr>
          <w:rFonts w:ascii="Times New Roman" w:hAnsi="Times New Roman" w:cs="Times New Roman"/>
          <w:i/>
          <w:color w:val="4472C4"/>
          <w:sz w:val="24"/>
          <w:szCs w:val="24"/>
        </w:rPr>
        <w:t>Wojewódzki Inspektorat Ochrony Środowiska w Łodzi</w:t>
      </w:r>
    </w:p>
    <w:p w14:paraId="299F9113" w14:textId="77777777" w:rsidR="00C8507B" w:rsidRPr="00C8507B" w:rsidRDefault="00C8507B" w:rsidP="002D4C96">
      <w:pPr>
        <w:spacing w:after="0" w:line="300" w:lineRule="atLeast"/>
        <w:ind w:firstLine="567"/>
        <w:jc w:val="both"/>
        <w:rPr>
          <w:rFonts w:ascii="Times New Roman" w:hAnsi="Times New Roman" w:cs="Times New Roman"/>
          <w:sz w:val="24"/>
          <w:szCs w:val="24"/>
        </w:rPr>
      </w:pPr>
      <w:r w:rsidRPr="00C8507B">
        <w:rPr>
          <w:rFonts w:ascii="Times New Roman" w:hAnsi="Times New Roman" w:cs="Times New Roman"/>
          <w:sz w:val="24"/>
          <w:szCs w:val="24"/>
        </w:rPr>
        <w:t>W następstwie naruszeń stwierdzonych podczas przeprowadzonych kontroli podjęto następujące działania:</w:t>
      </w:r>
    </w:p>
    <w:p w14:paraId="698D53C0" w14:textId="0B828DB9" w:rsidR="00C8507B" w:rsidRPr="003B1E96" w:rsidRDefault="00C8507B" w:rsidP="00D34F97">
      <w:pPr>
        <w:pStyle w:val="Akapitzlist"/>
        <w:numPr>
          <w:ilvl w:val="0"/>
          <w:numId w:val="312"/>
        </w:numPr>
        <w:spacing w:line="300" w:lineRule="atLeast"/>
        <w:jc w:val="both"/>
        <w:rPr>
          <w:sz w:val="24"/>
          <w:szCs w:val="24"/>
        </w:rPr>
      </w:pPr>
      <w:r w:rsidRPr="003B1E96">
        <w:rPr>
          <w:sz w:val="24"/>
          <w:szCs w:val="24"/>
        </w:rPr>
        <w:t>wydano 21 zarządzeń pokontrolnych,</w:t>
      </w:r>
    </w:p>
    <w:p w14:paraId="6DD2E263" w14:textId="1A99F82B" w:rsidR="00C8507B" w:rsidRPr="003B1E96" w:rsidRDefault="00C8507B" w:rsidP="00D34F97">
      <w:pPr>
        <w:pStyle w:val="Akapitzlist"/>
        <w:numPr>
          <w:ilvl w:val="0"/>
          <w:numId w:val="312"/>
        </w:numPr>
        <w:spacing w:line="300" w:lineRule="atLeast"/>
        <w:jc w:val="both"/>
        <w:rPr>
          <w:sz w:val="24"/>
          <w:szCs w:val="24"/>
        </w:rPr>
      </w:pPr>
      <w:r w:rsidRPr="003B1E96">
        <w:rPr>
          <w:sz w:val="24"/>
          <w:szCs w:val="24"/>
        </w:rPr>
        <w:t>skierowano 22 wystąpienia do administracji rządowej oraz skierowano 24 wystąpienia do administracji samorządowej,</w:t>
      </w:r>
    </w:p>
    <w:p w14:paraId="4E43D08C" w14:textId="5F989897" w:rsidR="00C8507B" w:rsidRPr="003B1E96" w:rsidRDefault="00C8507B" w:rsidP="00D34F97">
      <w:pPr>
        <w:pStyle w:val="Akapitzlist"/>
        <w:numPr>
          <w:ilvl w:val="0"/>
          <w:numId w:val="312"/>
        </w:numPr>
        <w:spacing w:line="300" w:lineRule="atLeast"/>
        <w:jc w:val="both"/>
        <w:rPr>
          <w:sz w:val="24"/>
          <w:szCs w:val="24"/>
        </w:rPr>
      </w:pPr>
      <w:r w:rsidRPr="003B1E96">
        <w:rPr>
          <w:sz w:val="24"/>
          <w:szCs w:val="24"/>
        </w:rPr>
        <w:t>skierowano 6 wystąpień do innych WIOŚ,</w:t>
      </w:r>
    </w:p>
    <w:p w14:paraId="1AA469F2" w14:textId="5A4DC6E9" w:rsidR="00C8507B" w:rsidRPr="003B1E96" w:rsidRDefault="00C8507B" w:rsidP="00D34F97">
      <w:pPr>
        <w:pStyle w:val="Akapitzlist"/>
        <w:numPr>
          <w:ilvl w:val="0"/>
          <w:numId w:val="312"/>
        </w:numPr>
        <w:spacing w:line="300" w:lineRule="atLeast"/>
        <w:jc w:val="both"/>
        <w:rPr>
          <w:sz w:val="24"/>
          <w:szCs w:val="24"/>
        </w:rPr>
      </w:pPr>
      <w:r w:rsidRPr="003B1E96">
        <w:rPr>
          <w:sz w:val="24"/>
          <w:szCs w:val="24"/>
        </w:rPr>
        <w:t>skierowano 1 wystąpienie do GIOŚ,</w:t>
      </w:r>
    </w:p>
    <w:p w14:paraId="30812FA6" w14:textId="23761B2E" w:rsidR="00C8507B" w:rsidRPr="003B1E96" w:rsidRDefault="00C8507B" w:rsidP="00D34F97">
      <w:pPr>
        <w:pStyle w:val="Akapitzlist"/>
        <w:numPr>
          <w:ilvl w:val="0"/>
          <w:numId w:val="312"/>
        </w:numPr>
        <w:spacing w:line="300" w:lineRule="atLeast"/>
        <w:jc w:val="both"/>
        <w:rPr>
          <w:sz w:val="24"/>
          <w:szCs w:val="24"/>
        </w:rPr>
      </w:pPr>
      <w:r w:rsidRPr="003B1E96">
        <w:rPr>
          <w:sz w:val="24"/>
          <w:szCs w:val="24"/>
        </w:rPr>
        <w:t>wystawiono 1 mandat karny,</w:t>
      </w:r>
    </w:p>
    <w:p w14:paraId="670DB8C3" w14:textId="0B634BF9" w:rsidR="00C8507B" w:rsidRPr="003B1E96" w:rsidRDefault="00C8507B" w:rsidP="00D34F97">
      <w:pPr>
        <w:pStyle w:val="Akapitzlist"/>
        <w:numPr>
          <w:ilvl w:val="0"/>
          <w:numId w:val="312"/>
        </w:numPr>
        <w:spacing w:line="300" w:lineRule="atLeast"/>
        <w:jc w:val="both"/>
        <w:rPr>
          <w:sz w:val="24"/>
          <w:szCs w:val="24"/>
        </w:rPr>
      </w:pPr>
      <w:r w:rsidRPr="003B1E96">
        <w:rPr>
          <w:sz w:val="24"/>
          <w:szCs w:val="24"/>
        </w:rPr>
        <w:t xml:space="preserve">wszczęto 8 postępowań administracyjnych w sprawie wymierzenia kar pieniężnych oraz w dwóch przypadkach wydano decyzje wstrzymujące działalność. </w:t>
      </w:r>
    </w:p>
    <w:p w14:paraId="1475F94B" w14:textId="1B007512" w:rsidR="00C8507B" w:rsidRPr="003B1E96" w:rsidRDefault="00C8507B" w:rsidP="00D34F97">
      <w:pPr>
        <w:pStyle w:val="Akapitzlist"/>
        <w:numPr>
          <w:ilvl w:val="0"/>
          <w:numId w:val="312"/>
        </w:numPr>
        <w:spacing w:line="300" w:lineRule="atLeast"/>
        <w:jc w:val="both"/>
        <w:rPr>
          <w:sz w:val="24"/>
          <w:szCs w:val="24"/>
        </w:rPr>
      </w:pPr>
      <w:r w:rsidRPr="003B1E96">
        <w:rPr>
          <w:sz w:val="24"/>
          <w:szCs w:val="24"/>
        </w:rPr>
        <w:t>wystąpiono z 2 wnioskami o ukaranie  do sądu rejonowego,</w:t>
      </w:r>
    </w:p>
    <w:p w14:paraId="0CE96DAB" w14:textId="0FD0BBBF" w:rsidR="00C8507B" w:rsidRPr="003B1E96" w:rsidRDefault="00C8507B" w:rsidP="00D34F97">
      <w:pPr>
        <w:pStyle w:val="Akapitzlist"/>
        <w:numPr>
          <w:ilvl w:val="0"/>
          <w:numId w:val="312"/>
        </w:numPr>
        <w:spacing w:line="300" w:lineRule="atLeast"/>
        <w:ind w:left="714" w:hanging="357"/>
        <w:contextualSpacing w:val="0"/>
        <w:jc w:val="both"/>
        <w:rPr>
          <w:sz w:val="24"/>
          <w:szCs w:val="24"/>
        </w:rPr>
      </w:pPr>
      <w:r w:rsidRPr="003B1E96">
        <w:rPr>
          <w:sz w:val="24"/>
          <w:szCs w:val="24"/>
        </w:rPr>
        <w:t>skierowano 11 zawiadomień o możliwości popełnienia przestępstwa do prokuratury.</w:t>
      </w:r>
    </w:p>
    <w:p w14:paraId="7220EE2B" w14:textId="77777777" w:rsidR="00C8507B" w:rsidRPr="003B1E96" w:rsidRDefault="00C8507B" w:rsidP="00C8507B">
      <w:pPr>
        <w:spacing w:line="300" w:lineRule="atLeast"/>
        <w:contextualSpacing/>
        <w:jc w:val="both"/>
        <w:rPr>
          <w:rFonts w:ascii="Times New Roman" w:hAnsi="Times New Roman" w:cs="Times New Roman"/>
          <w:i/>
          <w:color w:val="4472C4"/>
          <w:sz w:val="24"/>
          <w:szCs w:val="24"/>
          <w:lang w:val="x-none"/>
        </w:rPr>
      </w:pPr>
    </w:p>
    <w:p w14:paraId="745DD889" w14:textId="77777777" w:rsidR="00C8507B" w:rsidRPr="00C8507B" w:rsidRDefault="00C8507B" w:rsidP="003B1E96">
      <w:pPr>
        <w:spacing w:after="60" w:line="300" w:lineRule="atLeast"/>
        <w:jc w:val="both"/>
        <w:rPr>
          <w:rFonts w:ascii="Times New Roman" w:hAnsi="Times New Roman" w:cs="Times New Roman"/>
          <w:i/>
          <w:color w:val="4472C4"/>
          <w:sz w:val="24"/>
          <w:szCs w:val="24"/>
        </w:rPr>
      </w:pPr>
      <w:r w:rsidRPr="00C8507B">
        <w:rPr>
          <w:rFonts w:ascii="Times New Roman" w:hAnsi="Times New Roman" w:cs="Times New Roman"/>
          <w:i/>
          <w:color w:val="4472C4"/>
          <w:sz w:val="24"/>
          <w:szCs w:val="24"/>
        </w:rPr>
        <w:t>Wojewódzki Inspektorat Ochrony Środowiska w Olsztynie</w:t>
      </w:r>
    </w:p>
    <w:p w14:paraId="4F48F5C8" w14:textId="3466777F" w:rsidR="00C8507B" w:rsidRPr="00C8507B" w:rsidRDefault="00C8507B" w:rsidP="002D4C96">
      <w:pPr>
        <w:spacing w:line="300" w:lineRule="atLeast"/>
        <w:ind w:firstLine="567"/>
        <w:contextualSpacing/>
        <w:jc w:val="both"/>
        <w:rPr>
          <w:rFonts w:ascii="Times New Roman" w:hAnsi="Times New Roman" w:cs="Times New Roman"/>
          <w:sz w:val="24"/>
          <w:szCs w:val="24"/>
        </w:rPr>
      </w:pPr>
      <w:r w:rsidRPr="00C8507B">
        <w:rPr>
          <w:rFonts w:ascii="Times New Roman" w:hAnsi="Times New Roman" w:cs="Times New Roman"/>
          <w:sz w:val="24"/>
          <w:szCs w:val="24"/>
        </w:rPr>
        <w:t>Naruszeniami stwierdzanymi podczas kontroli były: prowadzenie nielegalnego demontażu pojazdów wycofanych z eksploatacji, zanieczyszczenie gruntu substancjami ropopochodnymi, spalanie odpadów, magazynowanie odpadów w miejscach na ten cel nieprzeznaczonych, brak uregulowanego stanu formalno</w:t>
      </w:r>
      <w:r w:rsidR="003B1E96">
        <w:rPr>
          <w:rFonts w:ascii="Times New Roman" w:hAnsi="Times New Roman" w:cs="Times New Roman"/>
          <w:sz w:val="24"/>
          <w:szCs w:val="24"/>
        </w:rPr>
        <w:t>-</w:t>
      </w:r>
      <w:r w:rsidRPr="00C8507B">
        <w:rPr>
          <w:rFonts w:ascii="Times New Roman" w:hAnsi="Times New Roman" w:cs="Times New Roman"/>
          <w:sz w:val="24"/>
          <w:szCs w:val="24"/>
        </w:rPr>
        <w:t>prawnego w zakresie gospodarki odpadami, brak lub nierzetelne prowadzenie ewidencji odpadów, nieprowadzenie wizyjnego systemu kontroli miejsc magazynowania odpadów.</w:t>
      </w:r>
    </w:p>
    <w:p w14:paraId="3D09D6CB" w14:textId="77777777" w:rsidR="00C8507B" w:rsidRPr="00C8507B" w:rsidRDefault="00C8507B" w:rsidP="00C8507B">
      <w:pPr>
        <w:spacing w:line="300" w:lineRule="atLeast"/>
        <w:contextualSpacing/>
        <w:jc w:val="both"/>
        <w:rPr>
          <w:rFonts w:ascii="Times New Roman" w:hAnsi="Times New Roman" w:cs="Times New Roman"/>
          <w:i/>
          <w:color w:val="4472C4"/>
          <w:sz w:val="24"/>
          <w:szCs w:val="24"/>
        </w:rPr>
      </w:pPr>
    </w:p>
    <w:p w14:paraId="3D81FB1E" w14:textId="77777777" w:rsidR="00C8507B" w:rsidRPr="00C8507B" w:rsidRDefault="00C8507B" w:rsidP="003B1E96">
      <w:pPr>
        <w:spacing w:after="60" w:line="300" w:lineRule="atLeast"/>
        <w:jc w:val="both"/>
        <w:rPr>
          <w:rFonts w:ascii="Times New Roman" w:hAnsi="Times New Roman" w:cs="Times New Roman"/>
          <w:i/>
          <w:color w:val="4472C4"/>
          <w:sz w:val="24"/>
          <w:szCs w:val="24"/>
        </w:rPr>
      </w:pPr>
      <w:r w:rsidRPr="00C8507B">
        <w:rPr>
          <w:rFonts w:ascii="Times New Roman" w:hAnsi="Times New Roman" w:cs="Times New Roman"/>
          <w:i/>
          <w:color w:val="4472C4"/>
          <w:sz w:val="24"/>
          <w:szCs w:val="24"/>
        </w:rPr>
        <w:t>Wojewódzki Inspektorat Ochrony Środowiska w Opolu</w:t>
      </w:r>
    </w:p>
    <w:p w14:paraId="3E8B91C7" w14:textId="12452C35" w:rsidR="00C8507B" w:rsidRPr="00C8507B" w:rsidRDefault="00C8507B" w:rsidP="002D4C96">
      <w:pPr>
        <w:spacing w:after="0" w:line="300" w:lineRule="atLeast"/>
        <w:ind w:firstLine="567"/>
        <w:jc w:val="both"/>
        <w:rPr>
          <w:rFonts w:ascii="Times New Roman" w:hAnsi="Times New Roman" w:cs="Times New Roman"/>
          <w:sz w:val="24"/>
          <w:szCs w:val="24"/>
        </w:rPr>
      </w:pPr>
      <w:r w:rsidRPr="00C8507B">
        <w:rPr>
          <w:rFonts w:ascii="Times New Roman" w:hAnsi="Times New Roman" w:cs="Times New Roman"/>
          <w:sz w:val="24"/>
          <w:szCs w:val="24"/>
        </w:rPr>
        <w:t>W</w:t>
      </w:r>
      <w:r w:rsidR="00640D96">
        <w:rPr>
          <w:rFonts w:ascii="Times New Roman" w:hAnsi="Times New Roman" w:cs="Times New Roman"/>
          <w:sz w:val="24"/>
          <w:szCs w:val="24"/>
        </w:rPr>
        <w:t xml:space="preserve"> wyniku </w:t>
      </w:r>
      <w:r w:rsidRPr="00C8507B">
        <w:rPr>
          <w:rFonts w:ascii="Times New Roman" w:hAnsi="Times New Roman" w:cs="Times New Roman"/>
          <w:sz w:val="24"/>
          <w:szCs w:val="24"/>
        </w:rPr>
        <w:t>przeprowadzonych kontroli, wszczętych w wyniku działań przeprowadzonych w trybie art. 10b ustawy o Inspekcji Ochrony Środowiska</w:t>
      </w:r>
      <w:r w:rsidR="00640D96">
        <w:rPr>
          <w:rFonts w:ascii="Times New Roman" w:hAnsi="Times New Roman" w:cs="Times New Roman"/>
          <w:sz w:val="24"/>
          <w:szCs w:val="24"/>
        </w:rPr>
        <w:t>,</w:t>
      </w:r>
      <w:r w:rsidRPr="00C8507B">
        <w:rPr>
          <w:rFonts w:ascii="Times New Roman" w:hAnsi="Times New Roman" w:cs="Times New Roman"/>
          <w:sz w:val="24"/>
          <w:szCs w:val="24"/>
        </w:rPr>
        <w:t xml:space="preserve"> podjęto następujące działania pokontrolne:</w:t>
      </w:r>
    </w:p>
    <w:p w14:paraId="0B645E02" w14:textId="7143C23B" w:rsidR="00C8507B" w:rsidRPr="00640D96" w:rsidRDefault="00C8507B" w:rsidP="00D34F97">
      <w:pPr>
        <w:pStyle w:val="Akapitzlist"/>
        <w:numPr>
          <w:ilvl w:val="0"/>
          <w:numId w:val="313"/>
        </w:numPr>
        <w:spacing w:line="300" w:lineRule="atLeast"/>
        <w:ind w:left="641" w:hanging="357"/>
        <w:jc w:val="both"/>
        <w:rPr>
          <w:sz w:val="24"/>
          <w:szCs w:val="24"/>
        </w:rPr>
      </w:pPr>
      <w:r w:rsidRPr="00640D96">
        <w:rPr>
          <w:sz w:val="24"/>
          <w:szCs w:val="24"/>
        </w:rPr>
        <w:t xml:space="preserve">wydano 16 zarządzeń pokontrolnych, </w:t>
      </w:r>
    </w:p>
    <w:p w14:paraId="2477169F" w14:textId="5F8BCD11" w:rsidR="00C8507B" w:rsidRPr="00640D96" w:rsidRDefault="00C8507B" w:rsidP="00D34F97">
      <w:pPr>
        <w:pStyle w:val="Akapitzlist"/>
        <w:numPr>
          <w:ilvl w:val="0"/>
          <w:numId w:val="313"/>
        </w:numPr>
        <w:spacing w:line="300" w:lineRule="atLeast"/>
        <w:ind w:left="641" w:hanging="357"/>
        <w:jc w:val="both"/>
        <w:rPr>
          <w:sz w:val="24"/>
          <w:szCs w:val="24"/>
        </w:rPr>
      </w:pPr>
      <w:r w:rsidRPr="00640D96">
        <w:rPr>
          <w:sz w:val="24"/>
          <w:szCs w:val="24"/>
        </w:rPr>
        <w:t>złożono 2 zawiadomienia do prokuratury o możliwości popełnienia przestępstwa,</w:t>
      </w:r>
    </w:p>
    <w:p w14:paraId="07AB8577" w14:textId="76562C39" w:rsidR="00C8507B" w:rsidRPr="00640D96" w:rsidRDefault="00C8507B" w:rsidP="00D34F97">
      <w:pPr>
        <w:pStyle w:val="Akapitzlist"/>
        <w:numPr>
          <w:ilvl w:val="0"/>
          <w:numId w:val="313"/>
        </w:numPr>
        <w:spacing w:line="300" w:lineRule="atLeast"/>
        <w:ind w:left="641" w:hanging="357"/>
        <w:jc w:val="both"/>
        <w:rPr>
          <w:sz w:val="24"/>
          <w:szCs w:val="24"/>
        </w:rPr>
      </w:pPr>
      <w:r w:rsidRPr="00640D96">
        <w:rPr>
          <w:sz w:val="24"/>
          <w:szCs w:val="24"/>
        </w:rPr>
        <w:t>skierowano 3 wnioski do sądów powszechnych,</w:t>
      </w:r>
    </w:p>
    <w:p w14:paraId="5A2BE671" w14:textId="762FCAF0" w:rsidR="00C8507B" w:rsidRPr="00640D96" w:rsidRDefault="00C8507B" w:rsidP="00D34F97">
      <w:pPr>
        <w:pStyle w:val="Akapitzlist"/>
        <w:numPr>
          <w:ilvl w:val="0"/>
          <w:numId w:val="313"/>
        </w:numPr>
        <w:spacing w:line="300" w:lineRule="atLeast"/>
        <w:ind w:left="641" w:hanging="357"/>
        <w:jc w:val="both"/>
        <w:rPr>
          <w:sz w:val="24"/>
          <w:szCs w:val="24"/>
        </w:rPr>
      </w:pPr>
      <w:r w:rsidRPr="00640D96">
        <w:rPr>
          <w:sz w:val="24"/>
          <w:szCs w:val="24"/>
        </w:rPr>
        <w:t>skierowano 18 wystąpień do organów administracji rządowej</w:t>
      </w:r>
      <w:r w:rsidR="00E433B9">
        <w:rPr>
          <w:sz w:val="24"/>
          <w:szCs w:val="24"/>
          <w:lang w:val="pl-PL"/>
        </w:rPr>
        <w:t>,</w:t>
      </w:r>
    </w:p>
    <w:p w14:paraId="61347070" w14:textId="228957D2" w:rsidR="00C8507B" w:rsidRPr="00640D96" w:rsidRDefault="00C8507B" w:rsidP="00D34F97">
      <w:pPr>
        <w:pStyle w:val="Akapitzlist"/>
        <w:numPr>
          <w:ilvl w:val="0"/>
          <w:numId w:val="313"/>
        </w:numPr>
        <w:spacing w:line="300" w:lineRule="atLeast"/>
        <w:ind w:left="641" w:hanging="357"/>
        <w:jc w:val="both"/>
        <w:rPr>
          <w:sz w:val="24"/>
          <w:szCs w:val="24"/>
        </w:rPr>
      </w:pPr>
      <w:r w:rsidRPr="00640D96">
        <w:rPr>
          <w:sz w:val="24"/>
          <w:szCs w:val="24"/>
        </w:rPr>
        <w:t>skierowano 6 wystąpień do organów administracji samorządowej</w:t>
      </w:r>
      <w:r w:rsidR="00E433B9">
        <w:rPr>
          <w:sz w:val="24"/>
          <w:szCs w:val="24"/>
          <w:lang w:val="pl-PL"/>
        </w:rPr>
        <w:t>,</w:t>
      </w:r>
    </w:p>
    <w:p w14:paraId="33CA6E67" w14:textId="4A8D772F" w:rsidR="00C8507B" w:rsidRPr="00640D96" w:rsidRDefault="00C8507B" w:rsidP="00D34F97">
      <w:pPr>
        <w:pStyle w:val="Akapitzlist"/>
        <w:numPr>
          <w:ilvl w:val="0"/>
          <w:numId w:val="313"/>
        </w:numPr>
        <w:spacing w:line="300" w:lineRule="atLeast"/>
        <w:ind w:left="641" w:hanging="357"/>
        <w:jc w:val="both"/>
        <w:rPr>
          <w:sz w:val="24"/>
          <w:szCs w:val="24"/>
        </w:rPr>
      </w:pPr>
      <w:r w:rsidRPr="00640D96">
        <w:rPr>
          <w:sz w:val="24"/>
          <w:szCs w:val="24"/>
        </w:rPr>
        <w:t>wydano 16 decyzji administracyjnych</w:t>
      </w:r>
      <w:r w:rsidR="00640D96">
        <w:rPr>
          <w:sz w:val="24"/>
          <w:szCs w:val="24"/>
          <w:lang w:val="pl-PL"/>
        </w:rPr>
        <w:t>.</w:t>
      </w:r>
    </w:p>
    <w:p w14:paraId="77FA269A" w14:textId="77777777" w:rsidR="00C8507B" w:rsidRPr="00C8507B" w:rsidRDefault="00C8507B" w:rsidP="00C8507B">
      <w:pPr>
        <w:spacing w:line="300" w:lineRule="atLeast"/>
        <w:contextualSpacing/>
        <w:jc w:val="both"/>
        <w:rPr>
          <w:rFonts w:ascii="Times New Roman" w:hAnsi="Times New Roman" w:cs="Times New Roman"/>
          <w:i/>
          <w:color w:val="4472C4"/>
          <w:sz w:val="24"/>
          <w:szCs w:val="24"/>
        </w:rPr>
      </w:pPr>
    </w:p>
    <w:p w14:paraId="52A7E332" w14:textId="77777777" w:rsidR="00C8507B" w:rsidRPr="00C8507B" w:rsidRDefault="00C8507B" w:rsidP="00640D96">
      <w:pPr>
        <w:spacing w:after="60" w:line="300" w:lineRule="atLeast"/>
        <w:jc w:val="both"/>
        <w:rPr>
          <w:rFonts w:ascii="Times New Roman" w:hAnsi="Times New Roman" w:cs="Times New Roman"/>
          <w:i/>
          <w:color w:val="4472C4"/>
          <w:sz w:val="24"/>
          <w:szCs w:val="24"/>
        </w:rPr>
      </w:pPr>
      <w:r w:rsidRPr="00C8507B">
        <w:rPr>
          <w:rFonts w:ascii="Times New Roman" w:hAnsi="Times New Roman" w:cs="Times New Roman"/>
          <w:i/>
          <w:color w:val="4472C4"/>
          <w:sz w:val="24"/>
          <w:szCs w:val="24"/>
        </w:rPr>
        <w:t>Wojewódzki Inspektorat Ochrony Środowiska w Poznaniu</w:t>
      </w:r>
    </w:p>
    <w:p w14:paraId="0DC3DBBF" w14:textId="77777777" w:rsidR="00C8507B" w:rsidRPr="00C8507B" w:rsidRDefault="00C8507B" w:rsidP="002D4C96">
      <w:pPr>
        <w:spacing w:line="300" w:lineRule="atLeast"/>
        <w:ind w:firstLine="567"/>
        <w:contextualSpacing/>
        <w:jc w:val="both"/>
        <w:rPr>
          <w:rFonts w:ascii="Times New Roman" w:hAnsi="Times New Roman" w:cs="Times New Roman"/>
          <w:sz w:val="24"/>
          <w:szCs w:val="24"/>
        </w:rPr>
      </w:pPr>
      <w:r w:rsidRPr="00C8507B">
        <w:rPr>
          <w:rFonts w:ascii="Times New Roman" w:hAnsi="Times New Roman" w:cs="Times New Roman"/>
          <w:sz w:val="24"/>
          <w:szCs w:val="24"/>
        </w:rPr>
        <w:t>Na podstawie ustaleń kontroli interwencyjnych podjęte zostały następujące działania pokontrolne:</w:t>
      </w:r>
    </w:p>
    <w:p w14:paraId="2DD1D50D" w14:textId="77777777" w:rsidR="00C8507B" w:rsidRPr="00C8507B" w:rsidRDefault="00C8507B" w:rsidP="00D34F97">
      <w:pPr>
        <w:numPr>
          <w:ilvl w:val="0"/>
          <w:numId w:val="303"/>
        </w:numPr>
        <w:spacing w:after="0" w:line="300" w:lineRule="atLeast"/>
        <w:ind w:left="641" w:hanging="357"/>
        <w:contextualSpacing/>
        <w:jc w:val="both"/>
        <w:rPr>
          <w:rFonts w:ascii="Times New Roman" w:hAnsi="Times New Roman" w:cs="Times New Roman"/>
          <w:sz w:val="24"/>
          <w:szCs w:val="24"/>
        </w:rPr>
      </w:pPr>
      <w:r w:rsidRPr="00C8507B">
        <w:rPr>
          <w:rFonts w:ascii="Times New Roman" w:hAnsi="Times New Roman" w:cs="Times New Roman"/>
          <w:sz w:val="24"/>
          <w:szCs w:val="24"/>
        </w:rPr>
        <w:t>nałożono 269 grzywien w drodze mandatu karnego,</w:t>
      </w:r>
    </w:p>
    <w:p w14:paraId="65E72312" w14:textId="77777777" w:rsidR="00C8507B" w:rsidRPr="00C8507B" w:rsidRDefault="00C8507B" w:rsidP="00D34F97">
      <w:pPr>
        <w:numPr>
          <w:ilvl w:val="0"/>
          <w:numId w:val="303"/>
        </w:numPr>
        <w:spacing w:after="0" w:line="300" w:lineRule="atLeast"/>
        <w:ind w:left="641" w:hanging="357"/>
        <w:contextualSpacing/>
        <w:jc w:val="both"/>
        <w:rPr>
          <w:rFonts w:ascii="Times New Roman" w:hAnsi="Times New Roman" w:cs="Times New Roman"/>
          <w:sz w:val="24"/>
          <w:szCs w:val="24"/>
        </w:rPr>
      </w:pPr>
      <w:r w:rsidRPr="00C8507B">
        <w:rPr>
          <w:rFonts w:ascii="Times New Roman" w:hAnsi="Times New Roman" w:cs="Times New Roman"/>
          <w:sz w:val="24"/>
          <w:szCs w:val="24"/>
        </w:rPr>
        <w:t>wydano 274 zarządzenia pokontrolne,</w:t>
      </w:r>
    </w:p>
    <w:p w14:paraId="6F395116" w14:textId="77777777" w:rsidR="00C8507B" w:rsidRPr="00C8507B" w:rsidRDefault="00C8507B" w:rsidP="00D34F97">
      <w:pPr>
        <w:numPr>
          <w:ilvl w:val="0"/>
          <w:numId w:val="303"/>
        </w:numPr>
        <w:spacing w:after="0" w:line="300" w:lineRule="atLeast"/>
        <w:ind w:left="641" w:hanging="357"/>
        <w:contextualSpacing/>
        <w:jc w:val="both"/>
        <w:rPr>
          <w:rFonts w:ascii="Times New Roman" w:hAnsi="Times New Roman" w:cs="Times New Roman"/>
          <w:sz w:val="24"/>
          <w:szCs w:val="24"/>
        </w:rPr>
      </w:pPr>
      <w:r w:rsidRPr="00C8507B">
        <w:rPr>
          <w:rFonts w:ascii="Times New Roman" w:hAnsi="Times New Roman" w:cs="Times New Roman"/>
          <w:sz w:val="24"/>
          <w:szCs w:val="24"/>
        </w:rPr>
        <w:lastRenderedPageBreak/>
        <w:t>skierowano 73 wnioski do organów ścigania o podejrzeniu popełnienia przestępstwa,</w:t>
      </w:r>
    </w:p>
    <w:p w14:paraId="04E8BA3F" w14:textId="77777777" w:rsidR="00C8507B" w:rsidRPr="00C8507B" w:rsidRDefault="00C8507B" w:rsidP="00D34F97">
      <w:pPr>
        <w:numPr>
          <w:ilvl w:val="0"/>
          <w:numId w:val="303"/>
        </w:numPr>
        <w:spacing w:after="0" w:line="300" w:lineRule="atLeast"/>
        <w:ind w:left="641" w:hanging="357"/>
        <w:contextualSpacing/>
        <w:jc w:val="both"/>
        <w:rPr>
          <w:rFonts w:ascii="Times New Roman" w:hAnsi="Times New Roman" w:cs="Times New Roman"/>
          <w:sz w:val="24"/>
          <w:szCs w:val="24"/>
        </w:rPr>
      </w:pPr>
      <w:r w:rsidRPr="00C8507B">
        <w:rPr>
          <w:rFonts w:ascii="Times New Roman" w:hAnsi="Times New Roman" w:cs="Times New Roman"/>
          <w:sz w:val="24"/>
          <w:szCs w:val="24"/>
        </w:rPr>
        <w:t>skierowano 98 wniosków do sądów o ukaranie osób winnych wykroczenia,</w:t>
      </w:r>
    </w:p>
    <w:p w14:paraId="6F3DC319" w14:textId="77777777" w:rsidR="00C8507B" w:rsidRPr="00C8507B" w:rsidRDefault="00C8507B" w:rsidP="00D34F97">
      <w:pPr>
        <w:numPr>
          <w:ilvl w:val="0"/>
          <w:numId w:val="303"/>
        </w:numPr>
        <w:spacing w:after="0" w:line="300" w:lineRule="atLeast"/>
        <w:ind w:left="641" w:hanging="357"/>
        <w:contextualSpacing/>
        <w:jc w:val="both"/>
        <w:rPr>
          <w:rFonts w:ascii="Times New Roman" w:hAnsi="Times New Roman" w:cs="Times New Roman"/>
          <w:sz w:val="24"/>
          <w:szCs w:val="24"/>
        </w:rPr>
      </w:pPr>
      <w:r w:rsidRPr="00C8507B">
        <w:rPr>
          <w:rFonts w:ascii="Times New Roman" w:hAnsi="Times New Roman" w:cs="Times New Roman"/>
          <w:sz w:val="24"/>
          <w:szCs w:val="24"/>
        </w:rPr>
        <w:t>skierowano 152 wystąpienia do organów administracji rządowej,</w:t>
      </w:r>
    </w:p>
    <w:p w14:paraId="2F728979" w14:textId="77777777" w:rsidR="00C8507B" w:rsidRPr="00C8507B" w:rsidRDefault="00C8507B" w:rsidP="00D34F97">
      <w:pPr>
        <w:numPr>
          <w:ilvl w:val="0"/>
          <w:numId w:val="303"/>
        </w:numPr>
        <w:spacing w:after="0" w:line="300" w:lineRule="atLeast"/>
        <w:ind w:left="641" w:hanging="357"/>
        <w:contextualSpacing/>
        <w:jc w:val="both"/>
        <w:rPr>
          <w:rFonts w:ascii="Times New Roman" w:hAnsi="Times New Roman" w:cs="Times New Roman"/>
          <w:sz w:val="24"/>
          <w:szCs w:val="24"/>
        </w:rPr>
      </w:pPr>
      <w:r w:rsidRPr="00C8507B">
        <w:rPr>
          <w:rFonts w:ascii="Times New Roman" w:hAnsi="Times New Roman" w:cs="Times New Roman"/>
          <w:sz w:val="24"/>
          <w:szCs w:val="24"/>
        </w:rPr>
        <w:t>skierowano 258 wystąpień do organów administracji samorządowej,</w:t>
      </w:r>
    </w:p>
    <w:p w14:paraId="5810B64E" w14:textId="77777777" w:rsidR="00C8507B" w:rsidRPr="00C8507B" w:rsidRDefault="00C8507B" w:rsidP="00D34F97">
      <w:pPr>
        <w:numPr>
          <w:ilvl w:val="0"/>
          <w:numId w:val="303"/>
        </w:numPr>
        <w:spacing w:after="0" w:line="300" w:lineRule="atLeast"/>
        <w:ind w:left="641" w:hanging="357"/>
        <w:contextualSpacing/>
        <w:jc w:val="both"/>
        <w:rPr>
          <w:rFonts w:ascii="Times New Roman" w:hAnsi="Times New Roman" w:cs="Times New Roman"/>
          <w:sz w:val="24"/>
          <w:szCs w:val="24"/>
        </w:rPr>
      </w:pPr>
      <w:r w:rsidRPr="00C8507B">
        <w:rPr>
          <w:rFonts w:ascii="Times New Roman" w:hAnsi="Times New Roman" w:cs="Times New Roman"/>
          <w:sz w:val="24"/>
          <w:szCs w:val="24"/>
        </w:rPr>
        <w:t>wszczęto 331 postępowań karno-administracyjnych,</w:t>
      </w:r>
    </w:p>
    <w:p w14:paraId="142EB5E4" w14:textId="77777777" w:rsidR="00C8507B" w:rsidRPr="00C8507B" w:rsidRDefault="00C8507B" w:rsidP="00D34F97">
      <w:pPr>
        <w:numPr>
          <w:ilvl w:val="0"/>
          <w:numId w:val="303"/>
        </w:numPr>
        <w:spacing w:after="0" w:line="300" w:lineRule="atLeast"/>
        <w:ind w:left="641" w:hanging="357"/>
        <w:contextualSpacing/>
        <w:jc w:val="both"/>
        <w:rPr>
          <w:rFonts w:ascii="Times New Roman" w:hAnsi="Times New Roman" w:cs="Times New Roman"/>
          <w:sz w:val="24"/>
          <w:szCs w:val="24"/>
        </w:rPr>
      </w:pPr>
      <w:r w:rsidRPr="00C8507B">
        <w:rPr>
          <w:rFonts w:ascii="Times New Roman" w:hAnsi="Times New Roman" w:cs="Times New Roman"/>
          <w:sz w:val="24"/>
          <w:szCs w:val="24"/>
        </w:rPr>
        <w:t>wydano 51 decyzji nakładających zobowiązania niepieniężne – decyzje nakazujące usunięcie w określonym terminie nieprawidłowości stwierdzonych w trakcie kontroli (34 ostateczne).</w:t>
      </w:r>
    </w:p>
    <w:p w14:paraId="5F04A05A" w14:textId="77777777" w:rsidR="00C8507B" w:rsidRPr="00C8507B" w:rsidRDefault="00C8507B" w:rsidP="00C8507B">
      <w:pPr>
        <w:spacing w:line="300" w:lineRule="atLeast"/>
        <w:contextualSpacing/>
        <w:jc w:val="both"/>
        <w:rPr>
          <w:rFonts w:ascii="Times New Roman" w:hAnsi="Times New Roman" w:cs="Times New Roman"/>
          <w:i/>
          <w:color w:val="4472C4"/>
          <w:sz w:val="24"/>
          <w:szCs w:val="24"/>
        </w:rPr>
      </w:pPr>
    </w:p>
    <w:p w14:paraId="4F888332" w14:textId="77777777" w:rsidR="00C8507B" w:rsidRPr="00C8507B" w:rsidRDefault="00C8507B" w:rsidP="00640D96">
      <w:pPr>
        <w:spacing w:after="60" w:line="300" w:lineRule="atLeast"/>
        <w:jc w:val="both"/>
        <w:rPr>
          <w:rFonts w:ascii="Times New Roman" w:hAnsi="Times New Roman" w:cs="Times New Roman"/>
          <w:i/>
          <w:color w:val="4472C4"/>
          <w:sz w:val="24"/>
          <w:szCs w:val="24"/>
        </w:rPr>
      </w:pPr>
      <w:r w:rsidRPr="00C8507B">
        <w:rPr>
          <w:rFonts w:ascii="Times New Roman" w:hAnsi="Times New Roman" w:cs="Times New Roman"/>
          <w:i/>
          <w:color w:val="4472C4"/>
          <w:sz w:val="24"/>
          <w:szCs w:val="24"/>
        </w:rPr>
        <w:t>Wojewódzki Inspektorat Ochrony Środowiska w Rzeszowie</w:t>
      </w:r>
    </w:p>
    <w:p w14:paraId="712FAAF6" w14:textId="12605A93" w:rsidR="00C8507B" w:rsidRPr="00C8507B" w:rsidRDefault="00C8507B" w:rsidP="002D4C96">
      <w:pPr>
        <w:autoSpaceDE w:val="0"/>
        <w:autoSpaceDN w:val="0"/>
        <w:adjustRightInd w:val="0"/>
        <w:spacing w:after="0" w:line="300" w:lineRule="atLeast"/>
        <w:ind w:firstLine="567"/>
        <w:jc w:val="both"/>
        <w:rPr>
          <w:rFonts w:ascii="Times New Roman" w:hAnsi="Times New Roman" w:cs="Times New Roman"/>
          <w:sz w:val="24"/>
          <w:szCs w:val="24"/>
        </w:rPr>
      </w:pPr>
      <w:r w:rsidRPr="00C8507B">
        <w:rPr>
          <w:rFonts w:ascii="Times New Roman" w:hAnsi="Times New Roman" w:cs="Times New Roman"/>
          <w:sz w:val="24"/>
          <w:szCs w:val="24"/>
        </w:rPr>
        <w:t>W związku z przeprowadzonymi kontrolami wszczętymi w związku z podejrzeniem</w:t>
      </w:r>
      <w:r w:rsidR="00640D96">
        <w:rPr>
          <w:rFonts w:ascii="Times New Roman" w:hAnsi="Times New Roman" w:cs="Times New Roman"/>
          <w:sz w:val="24"/>
          <w:szCs w:val="24"/>
        </w:rPr>
        <w:t xml:space="preserve"> popełnienia </w:t>
      </w:r>
      <w:r w:rsidRPr="00C8507B">
        <w:rPr>
          <w:rFonts w:ascii="Times New Roman" w:hAnsi="Times New Roman" w:cs="Times New Roman"/>
          <w:sz w:val="24"/>
          <w:szCs w:val="24"/>
        </w:rPr>
        <w:t>przestępstwa lub wykroczenia przeciwko środowisku podjęto następujące</w:t>
      </w:r>
      <w:r w:rsidR="00640D96">
        <w:rPr>
          <w:rFonts w:ascii="Times New Roman" w:hAnsi="Times New Roman" w:cs="Times New Roman"/>
          <w:sz w:val="24"/>
          <w:szCs w:val="24"/>
        </w:rPr>
        <w:t xml:space="preserve"> działania:</w:t>
      </w:r>
    </w:p>
    <w:p w14:paraId="443C60FB" w14:textId="5888B6FB" w:rsidR="00C8507B" w:rsidRPr="00640D96" w:rsidRDefault="00C8507B" w:rsidP="00D34F97">
      <w:pPr>
        <w:pStyle w:val="Akapitzlist"/>
        <w:numPr>
          <w:ilvl w:val="0"/>
          <w:numId w:val="314"/>
        </w:numPr>
        <w:autoSpaceDE w:val="0"/>
        <w:autoSpaceDN w:val="0"/>
        <w:adjustRightInd w:val="0"/>
        <w:spacing w:line="300" w:lineRule="atLeast"/>
        <w:ind w:left="641" w:hanging="357"/>
        <w:rPr>
          <w:sz w:val="24"/>
          <w:szCs w:val="24"/>
        </w:rPr>
      </w:pPr>
      <w:r w:rsidRPr="00640D96">
        <w:rPr>
          <w:sz w:val="24"/>
          <w:szCs w:val="24"/>
        </w:rPr>
        <w:t>wydano 72 decyzje administracyjne,</w:t>
      </w:r>
    </w:p>
    <w:p w14:paraId="5B6158E5" w14:textId="38319CCA" w:rsidR="00C8507B" w:rsidRPr="00640D96" w:rsidRDefault="00C8507B" w:rsidP="00D34F97">
      <w:pPr>
        <w:pStyle w:val="Akapitzlist"/>
        <w:numPr>
          <w:ilvl w:val="0"/>
          <w:numId w:val="314"/>
        </w:numPr>
        <w:autoSpaceDE w:val="0"/>
        <w:autoSpaceDN w:val="0"/>
        <w:adjustRightInd w:val="0"/>
        <w:spacing w:line="300" w:lineRule="atLeast"/>
        <w:ind w:left="641" w:hanging="357"/>
        <w:rPr>
          <w:sz w:val="24"/>
          <w:szCs w:val="24"/>
        </w:rPr>
      </w:pPr>
      <w:r w:rsidRPr="00640D96">
        <w:rPr>
          <w:sz w:val="24"/>
          <w:szCs w:val="24"/>
        </w:rPr>
        <w:t>wydano 63 zarządzenia pokontrolne,</w:t>
      </w:r>
    </w:p>
    <w:p w14:paraId="409C2F9E" w14:textId="019ED0B9" w:rsidR="00C8507B" w:rsidRPr="00640D96" w:rsidRDefault="00C8507B" w:rsidP="00D34F97">
      <w:pPr>
        <w:pStyle w:val="Akapitzlist"/>
        <w:numPr>
          <w:ilvl w:val="0"/>
          <w:numId w:val="314"/>
        </w:numPr>
        <w:autoSpaceDE w:val="0"/>
        <w:autoSpaceDN w:val="0"/>
        <w:adjustRightInd w:val="0"/>
        <w:spacing w:line="300" w:lineRule="atLeast"/>
        <w:ind w:left="641" w:hanging="357"/>
        <w:rPr>
          <w:sz w:val="24"/>
          <w:szCs w:val="24"/>
        </w:rPr>
      </w:pPr>
      <w:r w:rsidRPr="00640D96">
        <w:rPr>
          <w:sz w:val="24"/>
          <w:szCs w:val="24"/>
        </w:rPr>
        <w:t>nałożono 39 mandatów,</w:t>
      </w:r>
    </w:p>
    <w:p w14:paraId="42DBA5DA" w14:textId="2C790A42" w:rsidR="00C8507B" w:rsidRPr="00640D96" w:rsidRDefault="00C8507B" w:rsidP="00D34F97">
      <w:pPr>
        <w:pStyle w:val="Akapitzlist"/>
        <w:numPr>
          <w:ilvl w:val="0"/>
          <w:numId w:val="314"/>
        </w:numPr>
        <w:autoSpaceDE w:val="0"/>
        <w:autoSpaceDN w:val="0"/>
        <w:adjustRightInd w:val="0"/>
        <w:spacing w:line="300" w:lineRule="atLeast"/>
        <w:ind w:left="641" w:hanging="357"/>
        <w:rPr>
          <w:sz w:val="24"/>
          <w:szCs w:val="24"/>
        </w:rPr>
      </w:pPr>
      <w:r w:rsidRPr="00640D96">
        <w:rPr>
          <w:sz w:val="24"/>
          <w:szCs w:val="24"/>
        </w:rPr>
        <w:t>udzielono 14 pouczeń na podstawie ustawy Kodeks Wykroczeń,</w:t>
      </w:r>
    </w:p>
    <w:p w14:paraId="7F7673C8" w14:textId="105AA16E" w:rsidR="00C8507B" w:rsidRPr="00640D96" w:rsidRDefault="00C8507B" w:rsidP="00D34F97">
      <w:pPr>
        <w:pStyle w:val="Akapitzlist"/>
        <w:numPr>
          <w:ilvl w:val="0"/>
          <w:numId w:val="314"/>
        </w:numPr>
        <w:autoSpaceDE w:val="0"/>
        <w:autoSpaceDN w:val="0"/>
        <w:adjustRightInd w:val="0"/>
        <w:spacing w:line="300" w:lineRule="atLeast"/>
        <w:ind w:left="641" w:hanging="357"/>
        <w:rPr>
          <w:sz w:val="24"/>
          <w:szCs w:val="24"/>
        </w:rPr>
      </w:pPr>
      <w:r w:rsidRPr="00640D96">
        <w:rPr>
          <w:sz w:val="24"/>
          <w:szCs w:val="24"/>
        </w:rPr>
        <w:t>skierowano 96 wystąpień,</w:t>
      </w:r>
    </w:p>
    <w:p w14:paraId="7E44CCD1" w14:textId="26F0EACB" w:rsidR="00C8507B" w:rsidRPr="00640D96" w:rsidRDefault="00C8507B" w:rsidP="00D34F97">
      <w:pPr>
        <w:pStyle w:val="Akapitzlist"/>
        <w:numPr>
          <w:ilvl w:val="0"/>
          <w:numId w:val="314"/>
        </w:numPr>
        <w:autoSpaceDE w:val="0"/>
        <w:autoSpaceDN w:val="0"/>
        <w:adjustRightInd w:val="0"/>
        <w:spacing w:line="300" w:lineRule="atLeast"/>
        <w:ind w:left="641" w:hanging="357"/>
        <w:rPr>
          <w:sz w:val="24"/>
          <w:szCs w:val="24"/>
        </w:rPr>
      </w:pPr>
      <w:r w:rsidRPr="00640D96">
        <w:rPr>
          <w:sz w:val="24"/>
          <w:szCs w:val="24"/>
        </w:rPr>
        <w:t>skierowano 11 zawiadomień do prokuratury,</w:t>
      </w:r>
    </w:p>
    <w:p w14:paraId="30727639" w14:textId="6BC999C0" w:rsidR="00C8507B" w:rsidRPr="00640D96" w:rsidRDefault="00C8507B" w:rsidP="00D34F97">
      <w:pPr>
        <w:pStyle w:val="Akapitzlist"/>
        <w:numPr>
          <w:ilvl w:val="0"/>
          <w:numId w:val="314"/>
        </w:numPr>
        <w:spacing w:line="300" w:lineRule="atLeast"/>
        <w:ind w:left="641" w:hanging="357"/>
        <w:jc w:val="both"/>
        <w:rPr>
          <w:sz w:val="24"/>
          <w:szCs w:val="24"/>
        </w:rPr>
      </w:pPr>
      <w:r w:rsidRPr="00640D96">
        <w:rPr>
          <w:sz w:val="24"/>
          <w:szCs w:val="24"/>
        </w:rPr>
        <w:t>wystosowano 2 wnioski do sądu o ukaranie za wykroczenie.</w:t>
      </w:r>
    </w:p>
    <w:p w14:paraId="322E2BC5" w14:textId="77777777" w:rsidR="00C8507B" w:rsidRPr="00C8507B" w:rsidRDefault="00C8507B" w:rsidP="00C8507B">
      <w:pPr>
        <w:spacing w:line="300" w:lineRule="atLeast"/>
        <w:contextualSpacing/>
        <w:jc w:val="both"/>
        <w:rPr>
          <w:rFonts w:ascii="Times New Roman" w:hAnsi="Times New Roman" w:cs="Times New Roman"/>
          <w:i/>
          <w:color w:val="4472C4"/>
          <w:sz w:val="24"/>
          <w:szCs w:val="24"/>
        </w:rPr>
      </w:pPr>
    </w:p>
    <w:p w14:paraId="3051EDD9" w14:textId="77777777" w:rsidR="00C8507B" w:rsidRPr="00C8507B" w:rsidRDefault="00C8507B" w:rsidP="005A2908">
      <w:pPr>
        <w:spacing w:after="60" w:line="300" w:lineRule="atLeast"/>
        <w:jc w:val="both"/>
        <w:rPr>
          <w:rFonts w:ascii="Times New Roman" w:hAnsi="Times New Roman" w:cs="Times New Roman"/>
          <w:i/>
          <w:color w:val="4472C4"/>
          <w:sz w:val="24"/>
          <w:szCs w:val="24"/>
        </w:rPr>
      </w:pPr>
      <w:r w:rsidRPr="00C8507B">
        <w:rPr>
          <w:rFonts w:ascii="Times New Roman" w:hAnsi="Times New Roman" w:cs="Times New Roman"/>
          <w:i/>
          <w:color w:val="4472C4"/>
          <w:sz w:val="24"/>
          <w:szCs w:val="24"/>
        </w:rPr>
        <w:t>Wojewódzki Inspektorat Ochrony Środowiska w Szczecinie</w:t>
      </w:r>
    </w:p>
    <w:p w14:paraId="521E6A09" w14:textId="0B4892FB" w:rsidR="00C8507B" w:rsidRPr="00C8507B" w:rsidRDefault="007F39B4" w:rsidP="002D4C96">
      <w:pPr>
        <w:autoSpaceDE w:val="0"/>
        <w:autoSpaceDN w:val="0"/>
        <w:adjustRightInd w:val="0"/>
        <w:spacing w:line="300" w:lineRule="atLeast"/>
        <w:ind w:firstLine="567"/>
        <w:contextualSpacing/>
        <w:jc w:val="both"/>
        <w:rPr>
          <w:rFonts w:ascii="Times New Roman" w:hAnsi="Times New Roman" w:cs="Times New Roman"/>
          <w:sz w:val="24"/>
          <w:szCs w:val="24"/>
        </w:rPr>
      </w:pPr>
      <w:r>
        <w:rPr>
          <w:rFonts w:ascii="Times New Roman" w:hAnsi="Times New Roman" w:cs="Times New Roman"/>
          <w:sz w:val="24"/>
          <w:szCs w:val="24"/>
        </w:rPr>
        <w:t>W 2022 r. p</w:t>
      </w:r>
      <w:r w:rsidR="00C8507B" w:rsidRPr="00C8507B">
        <w:rPr>
          <w:rFonts w:ascii="Times New Roman" w:hAnsi="Times New Roman" w:cs="Times New Roman"/>
          <w:sz w:val="24"/>
          <w:szCs w:val="24"/>
        </w:rPr>
        <w:t>o przeprowadzonych kontrolach interwencyjnych wydano 64 zarządzenia pokontrolne, sporządzono 20 wystąpień do administracji rządowej i 19 do administracji samorządowej.</w:t>
      </w:r>
    </w:p>
    <w:p w14:paraId="73D6AAB1" w14:textId="2E6EEFD2" w:rsidR="00C8507B" w:rsidRDefault="00C8507B" w:rsidP="00C8507B">
      <w:pPr>
        <w:spacing w:line="300" w:lineRule="atLeast"/>
        <w:contextualSpacing/>
        <w:jc w:val="both"/>
        <w:rPr>
          <w:rFonts w:ascii="Times New Roman" w:hAnsi="Times New Roman" w:cs="Times New Roman"/>
          <w:i/>
          <w:color w:val="4472C4"/>
          <w:sz w:val="24"/>
          <w:szCs w:val="24"/>
        </w:rPr>
      </w:pPr>
    </w:p>
    <w:p w14:paraId="0D5F36D3" w14:textId="77777777" w:rsidR="00C8507B" w:rsidRPr="00C8507B" w:rsidRDefault="00C8507B" w:rsidP="00D23FB4">
      <w:pPr>
        <w:spacing w:after="120" w:line="300" w:lineRule="atLeast"/>
        <w:jc w:val="both"/>
        <w:rPr>
          <w:rFonts w:ascii="Times New Roman" w:hAnsi="Times New Roman" w:cs="Times New Roman"/>
          <w:i/>
          <w:color w:val="4472C4"/>
          <w:sz w:val="24"/>
          <w:szCs w:val="24"/>
        </w:rPr>
      </w:pPr>
      <w:r w:rsidRPr="00C8507B">
        <w:rPr>
          <w:rFonts w:ascii="Times New Roman" w:hAnsi="Times New Roman" w:cs="Times New Roman"/>
          <w:i/>
          <w:color w:val="4472C4"/>
          <w:sz w:val="24"/>
          <w:szCs w:val="24"/>
        </w:rPr>
        <w:t>Wojewódzki Inspektorat Ochrony Środowiska w Warszawie</w:t>
      </w:r>
    </w:p>
    <w:p w14:paraId="18C6ED22" w14:textId="4B9869F1" w:rsidR="00C8507B" w:rsidRPr="00D23FB4" w:rsidRDefault="00C8507B" w:rsidP="00C8507B">
      <w:pPr>
        <w:spacing w:line="300" w:lineRule="atLeast"/>
        <w:ind w:left="284"/>
        <w:contextualSpacing/>
        <w:jc w:val="center"/>
        <w:rPr>
          <w:rFonts w:ascii="Times New Roman" w:hAnsi="Times New Roman" w:cs="Times New Roman"/>
          <w:b/>
        </w:rPr>
      </w:pPr>
      <w:r w:rsidRPr="00D23FB4">
        <w:rPr>
          <w:rFonts w:ascii="Times New Roman" w:hAnsi="Times New Roman" w:cs="Times New Roman"/>
          <w:b/>
        </w:rPr>
        <w:t xml:space="preserve">Tabela </w:t>
      </w:r>
      <w:r w:rsidR="00D23FB4" w:rsidRPr="00D23FB4">
        <w:rPr>
          <w:rFonts w:ascii="Times New Roman" w:hAnsi="Times New Roman" w:cs="Times New Roman"/>
          <w:b/>
        </w:rPr>
        <w:t>22</w:t>
      </w:r>
      <w:r w:rsidRPr="00D23FB4">
        <w:rPr>
          <w:rFonts w:ascii="Times New Roman" w:hAnsi="Times New Roman" w:cs="Times New Roman"/>
          <w:b/>
        </w:rPr>
        <w:t xml:space="preserve"> – podjęte działania pokontrolne</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10"/>
        <w:gridCol w:w="1506"/>
        <w:gridCol w:w="946"/>
        <w:gridCol w:w="836"/>
        <w:gridCol w:w="1086"/>
        <w:gridCol w:w="1366"/>
        <w:gridCol w:w="1076"/>
        <w:gridCol w:w="1136"/>
      </w:tblGrid>
      <w:tr w:rsidR="00C8507B" w:rsidRPr="00C8507B" w14:paraId="0EA839C7" w14:textId="77777777" w:rsidTr="007F39B4">
        <w:tc>
          <w:tcPr>
            <w:tcW w:w="711" w:type="pct"/>
            <w:tcBorders>
              <w:top w:val="single" w:sz="4" w:space="0" w:color="000000"/>
              <w:left w:val="single" w:sz="4" w:space="0" w:color="000000"/>
              <w:bottom w:val="single" w:sz="4" w:space="0" w:color="000000"/>
              <w:right w:val="single" w:sz="4" w:space="0" w:color="000000"/>
            </w:tcBorders>
          </w:tcPr>
          <w:p w14:paraId="2283F8D6" w14:textId="77777777" w:rsidR="00C8507B" w:rsidRPr="00D23FB4" w:rsidRDefault="00C8507B" w:rsidP="007F39B4">
            <w:pPr>
              <w:pStyle w:val="Akapitzlist"/>
              <w:spacing w:line="300" w:lineRule="atLeast"/>
              <w:ind w:left="0"/>
              <w:jc w:val="both"/>
              <w:rPr>
                <w:sz w:val="18"/>
                <w:szCs w:val="18"/>
              </w:rPr>
            </w:pPr>
          </w:p>
        </w:tc>
        <w:tc>
          <w:tcPr>
            <w:tcW w:w="929" w:type="pct"/>
            <w:tcBorders>
              <w:top w:val="single" w:sz="4" w:space="0" w:color="000000"/>
              <w:left w:val="single" w:sz="4" w:space="0" w:color="000000"/>
              <w:bottom w:val="single" w:sz="4" w:space="0" w:color="000000"/>
              <w:right w:val="single" w:sz="4" w:space="0" w:color="auto"/>
            </w:tcBorders>
            <w:vAlign w:val="center"/>
            <w:hideMark/>
          </w:tcPr>
          <w:p w14:paraId="3BEDE828" w14:textId="77777777" w:rsidR="00C8507B" w:rsidRPr="00D23FB4" w:rsidRDefault="00C8507B" w:rsidP="007F39B4">
            <w:pPr>
              <w:pStyle w:val="Akapitzlist"/>
              <w:spacing w:line="300" w:lineRule="atLeast"/>
              <w:ind w:left="0"/>
              <w:jc w:val="center"/>
              <w:rPr>
                <w:sz w:val="18"/>
                <w:szCs w:val="18"/>
              </w:rPr>
            </w:pPr>
            <w:r w:rsidRPr="00D23FB4">
              <w:rPr>
                <w:sz w:val="18"/>
                <w:szCs w:val="18"/>
              </w:rPr>
              <w:t>zawiadomienia</w:t>
            </w:r>
          </w:p>
        </w:tc>
        <w:tc>
          <w:tcPr>
            <w:tcW w:w="316" w:type="pct"/>
            <w:tcBorders>
              <w:top w:val="single" w:sz="4" w:space="0" w:color="000000"/>
              <w:left w:val="single" w:sz="4" w:space="0" w:color="000000"/>
              <w:bottom w:val="single" w:sz="4" w:space="0" w:color="000000"/>
              <w:right w:val="single" w:sz="4" w:space="0" w:color="auto"/>
            </w:tcBorders>
            <w:vAlign w:val="center"/>
            <w:hideMark/>
          </w:tcPr>
          <w:p w14:paraId="30F02C23" w14:textId="77777777" w:rsidR="00C8507B" w:rsidRPr="00D23FB4" w:rsidRDefault="00C8507B" w:rsidP="007F39B4">
            <w:pPr>
              <w:pStyle w:val="Akapitzlist"/>
              <w:spacing w:line="300" w:lineRule="atLeast"/>
              <w:ind w:left="0"/>
              <w:jc w:val="center"/>
              <w:rPr>
                <w:sz w:val="18"/>
                <w:szCs w:val="18"/>
              </w:rPr>
            </w:pPr>
            <w:r w:rsidRPr="00D23FB4">
              <w:rPr>
                <w:sz w:val="18"/>
                <w:szCs w:val="18"/>
              </w:rPr>
              <w:t>pouczenia</w:t>
            </w:r>
          </w:p>
        </w:tc>
        <w:tc>
          <w:tcPr>
            <w:tcW w:w="462" w:type="pct"/>
            <w:tcBorders>
              <w:top w:val="single" w:sz="4" w:space="0" w:color="000000"/>
              <w:left w:val="single" w:sz="4" w:space="0" w:color="auto"/>
              <w:bottom w:val="single" w:sz="4" w:space="0" w:color="000000"/>
              <w:right w:val="single" w:sz="4" w:space="0" w:color="000000"/>
            </w:tcBorders>
            <w:vAlign w:val="center"/>
            <w:hideMark/>
          </w:tcPr>
          <w:p w14:paraId="08D9F9E2" w14:textId="77777777" w:rsidR="00C8507B" w:rsidRPr="00D23FB4" w:rsidRDefault="00C8507B" w:rsidP="007F39B4">
            <w:pPr>
              <w:pStyle w:val="Akapitzlist"/>
              <w:spacing w:line="300" w:lineRule="atLeast"/>
              <w:ind w:left="0"/>
              <w:jc w:val="center"/>
              <w:rPr>
                <w:sz w:val="18"/>
                <w:szCs w:val="18"/>
              </w:rPr>
            </w:pPr>
            <w:r w:rsidRPr="00D23FB4">
              <w:rPr>
                <w:sz w:val="18"/>
                <w:szCs w:val="18"/>
              </w:rPr>
              <w:t>grzywna</w:t>
            </w:r>
          </w:p>
        </w:tc>
        <w:tc>
          <w:tcPr>
            <w:tcW w:w="601" w:type="pct"/>
            <w:tcBorders>
              <w:top w:val="single" w:sz="4" w:space="0" w:color="000000"/>
              <w:left w:val="single" w:sz="4" w:space="0" w:color="auto"/>
              <w:bottom w:val="single" w:sz="4" w:space="0" w:color="000000"/>
              <w:right w:val="single" w:sz="4" w:space="0" w:color="000000"/>
            </w:tcBorders>
            <w:vAlign w:val="center"/>
            <w:hideMark/>
          </w:tcPr>
          <w:p w14:paraId="2D540B4D" w14:textId="77777777" w:rsidR="00C8507B" w:rsidRPr="00D23FB4" w:rsidRDefault="00C8507B" w:rsidP="007F39B4">
            <w:pPr>
              <w:pStyle w:val="Akapitzlist"/>
              <w:spacing w:line="300" w:lineRule="atLeast"/>
              <w:ind w:left="0"/>
              <w:jc w:val="center"/>
              <w:rPr>
                <w:sz w:val="18"/>
                <w:szCs w:val="18"/>
              </w:rPr>
            </w:pPr>
            <w:r w:rsidRPr="00D23FB4">
              <w:rPr>
                <w:sz w:val="18"/>
                <w:szCs w:val="18"/>
              </w:rPr>
              <w:t>zarządzenia  pokontrolne</w:t>
            </w:r>
          </w:p>
        </w:tc>
        <w:tc>
          <w:tcPr>
            <w:tcW w:w="756" w:type="pct"/>
            <w:tcBorders>
              <w:top w:val="single" w:sz="4" w:space="0" w:color="000000"/>
              <w:left w:val="single" w:sz="4" w:space="0" w:color="auto"/>
              <w:bottom w:val="single" w:sz="4" w:space="0" w:color="000000"/>
              <w:right w:val="single" w:sz="4" w:space="0" w:color="000000"/>
            </w:tcBorders>
            <w:vAlign w:val="center"/>
            <w:hideMark/>
          </w:tcPr>
          <w:p w14:paraId="0C42454B" w14:textId="77777777" w:rsidR="00C8507B" w:rsidRPr="00D23FB4" w:rsidRDefault="00C8507B" w:rsidP="007F39B4">
            <w:pPr>
              <w:pStyle w:val="Akapitzlist"/>
              <w:spacing w:line="300" w:lineRule="atLeast"/>
              <w:ind w:left="0"/>
              <w:jc w:val="center"/>
              <w:rPr>
                <w:sz w:val="18"/>
                <w:szCs w:val="18"/>
              </w:rPr>
            </w:pPr>
            <w:r w:rsidRPr="00D23FB4">
              <w:rPr>
                <w:sz w:val="18"/>
                <w:szCs w:val="18"/>
              </w:rPr>
              <w:t>kara administracyjna</w:t>
            </w:r>
          </w:p>
        </w:tc>
        <w:tc>
          <w:tcPr>
            <w:tcW w:w="595" w:type="pct"/>
            <w:tcBorders>
              <w:top w:val="single" w:sz="4" w:space="0" w:color="000000"/>
              <w:left w:val="single" w:sz="4" w:space="0" w:color="auto"/>
              <w:bottom w:val="single" w:sz="4" w:space="0" w:color="000000"/>
              <w:right w:val="single" w:sz="4" w:space="0" w:color="000000"/>
            </w:tcBorders>
            <w:vAlign w:val="center"/>
            <w:hideMark/>
          </w:tcPr>
          <w:p w14:paraId="65690A30" w14:textId="77777777" w:rsidR="00C8507B" w:rsidRPr="00D23FB4" w:rsidRDefault="00C8507B" w:rsidP="007F39B4">
            <w:pPr>
              <w:pStyle w:val="Akapitzlist"/>
              <w:spacing w:line="300" w:lineRule="atLeast"/>
              <w:ind w:left="0"/>
              <w:jc w:val="center"/>
              <w:rPr>
                <w:sz w:val="18"/>
                <w:szCs w:val="18"/>
              </w:rPr>
            </w:pPr>
            <w:r w:rsidRPr="00D23FB4">
              <w:rPr>
                <w:sz w:val="18"/>
                <w:szCs w:val="18"/>
              </w:rPr>
              <w:t>wystąpienia</w:t>
            </w:r>
          </w:p>
        </w:tc>
        <w:tc>
          <w:tcPr>
            <w:tcW w:w="629" w:type="pct"/>
            <w:tcBorders>
              <w:top w:val="single" w:sz="4" w:space="0" w:color="000000"/>
              <w:left w:val="single" w:sz="4" w:space="0" w:color="auto"/>
              <w:bottom w:val="single" w:sz="4" w:space="0" w:color="000000"/>
              <w:right w:val="single" w:sz="4" w:space="0" w:color="000000"/>
            </w:tcBorders>
            <w:vAlign w:val="center"/>
            <w:hideMark/>
          </w:tcPr>
          <w:p w14:paraId="09B8B945" w14:textId="77777777" w:rsidR="00C8507B" w:rsidRPr="00D23FB4" w:rsidRDefault="00C8507B" w:rsidP="007F39B4">
            <w:pPr>
              <w:pStyle w:val="Akapitzlist"/>
              <w:spacing w:line="300" w:lineRule="atLeast"/>
              <w:ind w:left="0"/>
              <w:jc w:val="center"/>
              <w:rPr>
                <w:sz w:val="18"/>
                <w:szCs w:val="18"/>
              </w:rPr>
            </w:pPr>
            <w:r w:rsidRPr="00D23FB4">
              <w:rPr>
                <w:sz w:val="18"/>
                <w:szCs w:val="18"/>
              </w:rPr>
              <w:t>wstrzymanie</w:t>
            </w:r>
          </w:p>
        </w:tc>
      </w:tr>
      <w:tr w:rsidR="00C8507B" w:rsidRPr="00C8507B" w14:paraId="565E11AD" w14:textId="77777777" w:rsidTr="007F39B4">
        <w:tc>
          <w:tcPr>
            <w:tcW w:w="711" w:type="pct"/>
            <w:tcBorders>
              <w:top w:val="single" w:sz="4" w:space="0" w:color="000000"/>
              <w:left w:val="single" w:sz="4" w:space="0" w:color="000000"/>
              <w:bottom w:val="single" w:sz="4" w:space="0" w:color="000000"/>
              <w:right w:val="single" w:sz="4" w:space="0" w:color="000000"/>
            </w:tcBorders>
            <w:hideMark/>
          </w:tcPr>
          <w:p w14:paraId="66BD3320" w14:textId="77777777" w:rsidR="00C8507B" w:rsidRPr="00D23FB4" w:rsidRDefault="00C8507B" w:rsidP="007F39B4">
            <w:pPr>
              <w:pStyle w:val="Akapitzlist"/>
              <w:spacing w:line="300" w:lineRule="atLeast"/>
              <w:ind w:left="0"/>
              <w:jc w:val="both"/>
              <w:rPr>
                <w:sz w:val="18"/>
                <w:szCs w:val="18"/>
              </w:rPr>
            </w:pPr>
            <w:r w:rsidRPr="00D23FB4">
              <w:rPr>
                <w:sz w:val="18"/>
                <w:szCs w:val="18"/>
              </w:rPr>
              <w:t>Ciechanów</w:t>
            </w:r>
          </w:p>
        </w:tc>
        <w:tc>
          <w:tcPr>
            <w:tcW w:w="929" w:type="pct"/>
            <w:tcBorders>
              <w:top w:val="single" w:sz="4" w:space="0" w:color="000000"/>
              <w:left w:val="single" w:sz="4" w:space="0" w:color="000000"/>
              <w:bottom w:val="single" w:sz="4" w:space="0" w:color="000000"/>
              <w:right w:val="single" w:sz="4" w:space="0" w:color="auto"/>
            </w:tcBorders>
            <w:hideMark/>
          </w:tcPr>
          <w:p w14:paraId="035F366F" w14:textId="77777777" w:rsidR="00C8507B" w:rsidRPr="00D23FB4" w:rsidRDefault="00C8507B" w:rsidP="007F39B4">
            <w:pPr>
              <w:pStyle w:val="Akapitzlist"/>
              <w:spacing w:line="300" w:lineRule="atLeast"/>
              <w:ind w:left="0"/>
              <w:jc w:val="center"/>
              <w:rPr>
                <w:sz w:val="18"/>
                <w:szCs w:val="18"/>
              </w:rPr>
            </w:pPr>
            <w:r w:rsidRPr="00D23FB4">
              <w:rPr>
                <w:sz w:val="18"/>
                <w:szCs w:val="18"/>
              </w:rPr>
              <w:t>-</w:t>
            </w:r>
          </w:p>
        </w:tc>
        <w:tc>
          <w:tcPr>
            <w:tcW w:w="316" w:type="pct"/>
            <w:tcBorders>
              <w:top w:val="single" w:sz="4" w:space="0" w:color="000000"/>
              <w:left w:val="single" w:sz="4" w:space="0" w:color="000000"/>
              <w:bottom w:val="single" w:sz="4" w:space="0" w:color="000000"/>
              <w:right w:val="single" w:sz="4" w:space="0" w:color="auto"/>
            </w:tcBorders>
            <w:hideMark/>
          </w:tcPr>
          <w:p w14:paraId="76B7F1B3" w14:textId="77777777" w:rsidR="00C8507B" w:rsidRPr="00D23FB4" w:rsidRDefault="00C8507B" w:rsidP="007F39B4">
            <w:pPr>
              <w:pStyle w:val="Akapitzlist"/>
              <w:spacing w:line="300" w:lineRule="atLeast"/>
              <w:ind w:left="0"/>
              <w:jc w:val="center"/>
              <w:rPr>
                <w:sz w:val="18"/>
                <w:szCs w:val="18"/>
              </w:rPr>
            </w:pPr>
            <w:r w:rsidRPr="00D23FB4">
              <w:rPr>
                <w:sz w:val="18"/>
                <w:szCs w:val="18"/>
              </w:rPr>
              <w:t>-</w:t>
            </w:r>
          </w:p>
        </w:tc>
        <w:tc>
          <w:tcPr>
            <w:tcW w:w="462" w:type="pct"/>
            <w:tcBorders>
              <w:top w:val="single" w:sz="4" w:space="0" w:color="000000"/>
              <w:left w:val="single" w:sz="4" w:space="0" w:color="auto"/>
              <w:bottom w:val="single" w:sz="4" w:space="0" w:color="000000"/>
              <w:right w:val="single" w:sz="4" w:space="0" w:color="000000"/>
            </w:tcBorders>
            <w:hideMark/>
          </w:tcPr>
          <w:p w14:paraId="09C054C5" w14:textId="77777777" w:rsidR="00C8507B" w:rsidRPr="00D23FB4" w:rsidRDefault="00C8507B" w:rsidP="007F39B4">
            <w:pPr>
              <w:pStyle w:val="Akapitzlist"/>
              <w:spacing w:line="300" w:lineRule="atLeast"/>
              <w:ind w:left="0"/>
              <w:jc w:val="center"/>
              <w:rPr>
                <w:sz w:val="18"/>
                <w:szCs w:val="18"/>
              </w:rPr>
            </w:pPr>
            <w:r w:rsidRPr="00D23FB4">
              <w:rPr>
                <w:sz w:val="18"/>
                <w:szCs w:val="18"/>
              </w:rPr>
              <w:t>5</w:t>
            </w:r>
          </w:p>
        </w:tc>
        <w:tc>
          <w:tcPr>
            <w:tcW w:w="601" w:type="pct"/>
            <w:tcBorders>
              <w:top w:val="single" w:sz="4" w:space="0" w:color="000000"/>
              <w:left w:val="single" w:sz="4" w:space="0" w:color="auto"/>
              <w:bottom w:val="single" w:sz="4" w:space="0" w:color="000000"/>
              <w:right w:val="single" w:sz="4" w:space="0" w:color="000000"/>
            </w:tcBorders>
            <w:hideMark/>
          </w:tcPr>
          <w:p w14:paraId="3280BD0B" w14:textId="77777777" w:rsidR="00C8507B" w:rsidRPr="00D23FB4" w:rsidRDefault="00C8507B" w:rsidP="007F39B4">
            <w:pPr>
              <w:pStyle w:val="Akapitzlist"/>
              <w:spacing w:line="300" w:lineRule="atLeast"/>
              <w:ind w:left="0"/>
              <w:jc w:val="center"/>
              <w:rPr>
                <w:sz w:val="18"/>
                <w:szCs w:val="18"/>
              </w:rPr>
            </w:pPr>
            <w:r w:rsidRPr="00D23FB4">
              <w:rPr>
                <w:sz w:val="18"/>
                <w:szCs w:val="18"/>
              </w:rPr>
              <w:t>-</w:t>
            </w:r>
          </w:p>
        </w:tc>
        <w:tc>
          <w:tcPr>
            <w:tcW w:w="756" w:type="pct"/>
            <w:tcBorders>
              <w:top w:val="single" w:sz="4" w:space="0" w:color="000000"/>
              <w:left w:val="single" w:sz="4" w:space="0" w:color="auto"/>
              <w:bottom w:val="single" w:sz="4" w:space="0" w:color="000000"/>
              <w:right w:val="single" w:sz="4" w:space="0" w:color="000000"/>
            </w:tcBorders>
            <w:hideMark/>
          </w:tcPr>
          <w:p w14:paraId="0FE120AC" w14:textId="77777777" w:rsidR="00C8507B" w:rsidRPr="00D23FB4" w:rsidRDefault="00C8507B" w:rsidP="007F39B4">
            <w:pPr>
              <w:pStyle w:val="Akapitzlist"/>
              <w:spacing w:line="300" w:lineRule="atLeast"/>
              <w:ind w:left="0"/>
              <w:jc w:val="center"/>
              <w:rPr>
                <w:sz w:val="18"/>
                <w:szCs w:val="18"/>
              </w:rPr>
            </w:pPr>
            <w:r w:rsidRPr="00D23FB4">
              <w:rPr>
                <w:sz w:val="18"/>
                <w:szCs w:val="18"/>
              </w:rPr>
              <w:t>-</w:t>
            </w:r>
          </w:p>
        </w:tc>
        <w:tc>
          <w:tcPr>
            <w:tcW w:w="595" w:type="pct"/>
            <w:tcBorders>
              <w:top w:val="single" w:sz="4" w:space="0" w:color="000000"/>
              <w:left w:val="single" w:sz="4" w:space="0" w:color="auto"/>
              <w:bottom w:val="single" w:sz="4" w:space="0" w:color="000000"/>
              <w:right w:val="single" w:sz="4" w:space="0" w:color="000000"/>
            </w:tcBorders>
            <w:hideMark/>
          </w:tcPr>
          <w:p w14:paraId="4AAF1983" w14:textId="77777777" w:rsidR="00C8507B" w:rsidRPr="00D23FB4" w:rsidRDefault="00C8507B" w:rsidP="007F39B4">
            <w:pPr>
              <w:pStyle w:val="Akapitzlist"/>
              <w:spacing w:line="300" w:lineRule="atLeast"/>
              <w:ind w:left="0"/>
              <w:jc w:val="center"/>
              <w:rPr>
                <w:sz w:val="18"/>
                <w:szCs w:val="18"/>
              </w:rPr>
            </w:pPr>
            <w:r w:rsidRPr="00D23FB4">
              <w:rPr>
                <w:sz w:val="18"/>
                <w:szCs w:val="18"/>
              </w:rPr>
              <w:t>18</w:t>
            </w:r>
          </w:p>
        </w:tc>
        <w:tc>
          <w:tcPr>
            <w:tcW w:w="629" w:type="pct"/>
            <w:tcBorders>
              <w:top w:val="single" w:sz="4" w:space="0" w:color="000000"/>
              <w:left w:val="single" w:sz="4" w:space="0" w:color="auto"/>
              <w:bottom w:val="single" w:sz="4" w:space="0" w:color="000000"/>
              <w:right w:val="single" w:sz="4" w:space="0" w:color="000000"/>
            </w:tcBorders>
            <w:hideMark/>
          </w:tcPr>
          <w:p w14:paraId="3A7284D1" w14:textId="77777777" w:rsidR="00C8507B" w:rsidRPr="00D23FB4" w:rsidRDefault="00C8507B" w:rsidP="007F39B4">
            <w:pPr>
              <w:pStyle w:val="Akapitzlist"/>
              <w:spacing w:line="300" w:lineRule="atLeast"/>
              <w:ind w:left="0"/>
              <w:jc w:val="center"/>
              <w:rPr>
                <w:sz w:val="18"/>
                <w:szCs w:val="18"/>
              </w:rPr>
            </w:pPr>
            <w:r w:rsidRPr="00D23FB4">
              <w:rPr>
                <w:sz w:val="18"/>
                <w:szCs w:val="18"/>
              </w:rPr>
              <w:t>-</w:t>
            </w:r>
          </w:p>
        </w:tc>
      </w:tr>
      <w:tr w:rsidR="00C8507B" w:rsidRPr="00C8507B" w14:paraId="2FA2BD2E" w14:textId="77777777" w:rsidTr="007F39B4">
        <w:tc>
          <w:tcPr>
            <w:tcW w:w="711" w:type="pct"/>
            <w:tcBorders>
              <w:top w:val="single" w:sz="4" w:space="0" w:color="000000"/>
              <w:left w:val="single" w:sz="4" w:space="0" w:color="000000"/>
              <w:bottom w:val="single" w:sz="4" w:space="0" w:color="000000"/>
              <w:right w:val="single" w:sz="4" w:space="0" w:color="000000"/>
            </w:tcBorders>
            <w:hideMark/>
          </w:tcPr>
          <w:p w14:paraId="71D90C2F" w14:textId="77777777" w:rsidR="00C8507B" w:rsidRPr="00D23FB4" w:rsidRDefault="00C8507B" w:rsidP="007F39B4">
            <w:pPr>
              <w:pStyle w:val="Akapitzlist"/>
              <w:spacing w:line="300" w:lineRule="atLeast"/>
              <w:ind w:left="0"/>
              <w:jc w:val="both"/>
              <w:rPr>
                <w:sz w:val="18"/>
                <w:szCs w:val="18"/>
              </w:rPr>
            </w:pPr>
            <w:r w:rsidRPr="00D23FB4">
              <w:rPr>
                <w:sz w:val="18"/>
                <w:szCs w:val="18"/>
              </w:rPr>
              <w:t>Mińsk Mazowiecki</w:t>
            </w:r>
          </w:p>
        </w:tc>
        <w:tc>
          <w:tcPr>
            <w:tcW w:w="929" w:type="pct"/>
            <w:tcBorders>
              <w:top w:val="single" w:sz="4" w:space="0" w:color="000000"/>
              <w:left w:val="single" w:sz="4" w:space="0" w:color="000000"/>
              <w:bottom w:val="single" w:sz="4" w:space="0" w:color="000000"/>
              <w:right w:val="single" w:sz="4" w:space="0" w:color="auto"/>
            </w:tcBorders>
            <w:hideMark/>
          </w:tcPr>
          <w:p w14:paraId="2EB56E52" w14:textId="77777777" w:rsidR="00C8507B" w:rsidRPr="00D23FB4" w:rsidRDefault="00C8507B" w:rsidP="007F39B4">
            <w:pPr>
              <w:pStyle w:val="Akapitzlist"/>
              <w:spacing w:line="300" w:lineRule="atLeast"/>
              <w:ind w:left="0"/>
              <w:jc w:val="center"/>
              <w:rPr>
                <w:sz w:val="18"/>
                <w:szCs w:val="18"/>
              </w:rPr>
            </w:pPr>
            <w:r w:rsidRPr="00D23FB4">
              <w:rPr>
                <w:sz w:val="18"/>
                <w:szCs w:val="18"/>
              </w:rPr>
              <w:t>3</w:t>
            </w:r>
          </w:p>
        </w:tc>
        <w:tc>
          <w:tcPr>
            <w:tcW w:w="316" w:type="pct"/>
            <w:tcBorders>
              <w:top w:val="single" w:sz="4" w:space="0" w:color="000000"/>
              <w:left w:val="single" w:sz="4" w:space="0" w:color="000000"/>
              <w:bottom w:val="single" w:sz="4" w:space="0" w:color="000000"/>
              <w:right w:val="single" w:sz="4" w:space="0" w:color="auto"/>
            </w:tcBorders>
            <w:hideMark/>
          </w:tcPr>
          <w:p w14:paraId="01561463" w14:textId="77777777" w:rsidR="00C8507B" w:rsidRPr="00D23FB4" w:rsidRDefault="00C8507B" w:rsidP="007F39B4">
            <w:pPr>
              <w:pStyle w:val="Akapitzlist"/>
              <w:spacing w:line="300" w:lineRule="atLeast"/>
              <w:ind w:left="0"/>
              <w:jc w:val="center"/>
              <w:rPr>
                <w:sz w:val="18"/>
                <w:szCs w:val="18"/>
              </w:rPr>
            </w:pPr>
            <w:r w:rsidRPr="00D23FB4">
              <w:rPr>
                <w:sz w:val="18"/>
                <w:szCs w:val="18"/>
              </w:rPr>
              <w:t>14</w:t>
            </w:r>
          </w:p>
        </w:tc>
        <w:tc>
          <w:tcPr>
            <w:tcW w:w="462" w:type="pct"/>
            <w:tcBorders>
              <w:top w:val="single" w:sz="4" w:space="0" w:color="000000"/>
              <w:left w:val="single" w:sz="4" w:space="0" w:color="auto"/>
              <w:bottom w:val="single" w:sz="4" w:space="0" w:color="000000"/>
              <w:right w:val="single" w:sz="4" w:space="0" w:color="000000"/>
            </w:tcBorders>
            <w:hideMark/>
          </w:tcPr>
          <w:p w14:paraId="5E58D036" w14:textId="77777777" w:rsidR="00C8507B" w:rsidRPr="00D23FB4" w:rsidRDefault="00C8507B" w:rsidP="007F39B4">
            <w:pPr>
              <w:pStyle w:val="Akapitzlist"/>
              <w:spacing w:line="300" w:lineRule="atLeast"/>
              <w:ind w:left="0"/>
              <w:jc w:val="center"/>
              <w:rPr>
                <w:sz w:val="18"/>
                <w:szCs w:val="18"/>
              </w:rPr>
            </w:pPr>
            <w:r w:rsidRPr="00D23FB4">
              <w:rPr>
                <w:sz w:val="18"/>
                <w:szCs w:val="18"/>
              </w:rPr>
              <w:t>10</w:t>
            </w:r>
          </w:p>
        </w:tc>
        <w:tc>
          <w:tcPr>
            <w:tcW w:w="601" w:type="pct"/>
            <w:tcBorders>
              <w:top w:val="single" w:sz="4" w:space="0" w:color="000000"/>
              <w:left w:val="single" w:sz="4" w:space="0" w:color="auto"/>
              <w:bottom w:val="single" w:sz="4" w:space="0" w:color="000000"/>
              <w:right w:val="single" w:sz="4" w:space="0" w:color="000000"/>
            </w:tcBorders>
            <w:hideMark/>
          </w:tcPr>
          <w:p w14:paraId="103894F1" w14:textId="77777777" w:rsidR="00C8507B" w:rsidRPr="00D23FB4" w:rsidRDefault="00C8507B" w:rsidP="007F39B4">
            <w:pPr>
              <w:pStyle w:val="Akapitzlist"/>
              <w:spacing w:line="300" w:lineRule="atLeast"/>
              <w:ind w:left="0"/>
              <w:jc w:val="center"/>
              <w:rPr>
                <w:sz w:val="18"/>
                <w:szCs w:val="18"/>
              </w:rPr>
            </w:pPr>
            <w:r w:rsidRPr="00D23FB4">
              <w:rPr>
                <w:sz w:val="18"/>
                <w:szCs w:val="18"/>
              </w:rPr>
              <w:t>4</w:t>
            </w:r>
          </w:p>
        </w:tc>
        <w:tc>
          <w:tcPr>
            <w:tcW w:w="756" w:type="pct"/>
            <w:tcBorders>
              <w:top w:val="single" w:sz="4" w:space="0" w:color="000000"/>
              <w:left w:val="single" w:sz="4" w:space="0" w:color="auto"/>
              <w:bottom w:val="single" w:sz="4" w:space="0" w:color="000000"/>
              <w:right w:val="single" w:sz="4" w:space="0" w:color="000000"/>
            </w:tcBorders>
            <w:hideMark/>
          </w:tcPr>
          <w:p w14:paraId="65B6A103" w14:textId="77777777" w:rsidR="00C8507B" w:rsidRPr="00D23FB4" w:rsidRDefault="00C8507B" w:rsidP="007F39B4">
            <w:pPr>
              <w:pStyle w:val="Akapitzlist"/>
              <w:spacing w:line="300" w:lineRule="atLeast"/>
              <w:ind w:left="0"/>
              <w:jc w:val="center"/>
              <w:rPr>
                <w:sz w:val="18"/>
                <w:szCs w:val="18"/>
              </w:rPr>
            </w:pPr>
            <w:r w:rsidRPr="00D23FB4">
              <w:rPr>
                <w:sz w:val="18"/>
                <w:szCs w:val="18"/>
              </w:rPr>
              <w:t>4</w:t>
            </w:r>
          </w:p>
        </w:tc>
        <w:tc>
          <w:tcPr>
            <w:tcW w:w="595" w:type="pct"/>
            <w:tcBorders>
              <w:top w:val="single" w:sz="4" w:space="0" w:color="000000"/>
              <w:left w:val="single" w:sz="4" w:space="0" w:color="auto"/>
              <w:bottom w:val="single" w:sz="4" w:space="0" w:color="000000"/>
              <w:right w:val="single" w:sz="4" w:space="0" w:color="000000"/>
            </w:tcBorders>
            <w:hideMark/>
          </w:tcPr>
          <w:p w14:paraId="2A4BEA86" w14:textId="77777777" w:rsidR="00C8507B" w:rsidRPr="00D23FB4" w:rsidRDefault="00C8507B" w:rsidP="007F39B4">
            <w:pPr>
              <w:pStyle w:val="Akapitzlist"/>
              <w:spacing w:line="300" w:lineRule="atLeast"/>
              <w:ind w:left="0"/>
              <w:jc w:val="center"/>
              <w:rPr>
                <w:sz w:val="18"/>
                <w:szCs w:val="18"/>
              </w:rPr>
            </w:pPr>
            <w:r w:rsidRPr="00D23FB4">
              <w:rPr>
                <w:sz w:val="18"/>
                <w:szCs w:val="18"/>
              </w:rPr>
              <w:t>5</w:t>
            </w:r>
          </w:p>
        </w:tc>
        <w:tc>
          <w:tcPr>
            <w:tcW w:w="629" w:type="pct"/>
            <w:tcBorders>
              <w:top w:val="single" w:sz="4" w:space="0" w:color="000000"/>
              <w:left w:val="single" w:sz="4" w:space="0" w:color="auto"/>
              <w:bottom w:val="single" w:sz="4" w:space="0" w:color="000000"/>
              <w:right w:val="single" w:sz="4" w:space="0" w:color="000000"/>
            </w:tcBorders>
            <w:hideMark/>
          </w:tcPr>
          <w:p w14:paraId="3D70E8E0" w14:textId="77777777" w:rsidR="00C8507B" w:rsidRPr="00D23FB4" w:rsidRDefault="00C8507B" w:rsidP="007F39B4">
            <w:pPr>
              <w:pStyle w:val="Akapitzlist"/>
              <w:spacing w:line="300" w:lineRule="atLeast"/>
              <w:ind w:left="0"/>
              <w:jc w:val="center"/>
              <w:rPr>
                <w:sz w:val="18"/>
                <w:szCs w:val="18"/>
              </w:rPr>
            </w:pPr>
            <w:r w:rsidRPr="00D23FB4">
              <w:rPr>
                <w:sz w:val="18"/>
                <w:szCs w:val="18"/>
              </w:rPr>
              <w:t>-</w:t>
            </w:r>
          </w:p>
        </w:tc>
      </w:tr>
      <w:tr w:rsidR="00C8507B" w:rsidRPr="00C8507B" w14:paraId="502CFCAB" w14:textId="77777777" w:rsidTr="007F39B4">
        <w:tc>
          <w:tcPr>
            <w:tcW w:w="711" w:type="pct"/>
            <w:tcBorders>
              <w:top w:val="single" w:sz="4" w:space="0" w:color="000000"/>
              <w:left w:val="single" w:sz="4" w:space="0" w:color="000000"/>
              <w:bottom w:val="single" w:sz="4" w:space="0" w:color="000000"/>
              <w:right w:val="single" w:sz="4" w:space="0" w:color="000000"/>
            </w:tcBorders>
            <w:hideMark/>
          </w:tcPr>
          <w:p w14:paraId="11406575" w14:textId="77777777" w:rsidR="00C8507B" w:rsidRPr="00D23FB4" w:rsidRDefault="00C8507B" w:rsidP="007F39B4">
            <w:pPr>
              <w:pStyle w:val="Akapitzlist"/>
              <w:spacing w:line="300" w:lineRule="atLeast"/>
              <w:ind w:left="0"/>
              <w:jc w:val="both"/>
              <w:rPr>
                <w:sz w:val="18"/>
                <w:szCs w:val="18"/>
              </w:rPr>
            </w:pPr>
            <w:r w:rsidRPr="00D23FB4">
              <w:rPr>
                <w:sz w:val="18"/>
                <w:szCs w:val="18"/>
              </w:rPr>
              <w:t>Ostrołęka</w:t>
            </w:r>
          </w:p>
        </w:tc>
        <w:tc>
          <w:tcPr>
            <w:tcW w:w="929" w:type="pct"/>
            <w:tcBorders>
              <w:top w:val="single" w:sz="4" w:space="0" w:color="000000"/>
              <w:left w:val="single" w:sz="4" w:space="0" w:color="000000"/>
              <w:bottom w:val="single" w:sz="4" w:space="0" w:color="000000"/>
              <w:right w:val="single" w:sz="4" w:space="0" w:color="auto"/>
            </w:tcBorders>
            <w:hideMark/>
          </w:tcPr>
          <w:p w14:paraId="6E80E183" w14:textId="77777777" w:rsidR="00C8507B" w:rsidRPr="00D23FB4" w:rsidRDefault="00C8507B" w:rsidP="007F39B4">
            <w:pPr>
              <w:pStyle w:val="Akapitzlist"/>
              <w:spacing w:line="300" w:lineRule="atLeast"/>
              <w:ind w:left="0"/>
              <w:jc w:val="center"/>
              <w:rPr>
                <w:sz w:val="18"/>
                <w:szCs w:val="18"/>
              </w:rPr>
            </w:pPr>
            <w:r w:rsidRPr="00D23FB4">
              <w:rPr>
                <w:sz w:val="18"/>
                <w:szCs w:val="18"/>
              </w:rPr>
              <w:t>-</w:t>
            </w:r>
          </w:p>
        </w:tc>
        <w:tc>
          <w:tcPr>
            <w:tcW w:w="316" w:type="pct"/>
            <w:tcBorders>
              <w:top w:val="single" w:sz="4" w:space="0" w:color="000000"/>
              <w:left w:val="single" w:sz="4" w:space="0" w:color="000000"/>
              <w:bottom w:val="single" w:sz="4" w:space="0" w:color="000000"/>
              <w:right w:val="single" w:sz="4" w:space="0" w:color="auto"/>
            </w:tcBorders>
            <w:hideMark/>
          </w:tcPr>
          <w:p w14:paraId="61585EA4" w14:textId="77777777" w:rsidR="00C8507B" w:rsidRPr="00D23FB4" w:rsidRDefault="00C8507B" w:rsidP="007F39B4">
            <w:pPr>
              <w:pStyle w:val="Akapitzlist"/>
              <w:spacing w:line="300" w:lineRule="atLeast"/>
              <w:ind w:left="0"/>
              <w:jc w:val="center"/>
              <w:rPr>
                <w:sz w:val="18"/>
                <w:szCs w:val="18"/>
              </w:rPr>
            </w:pPr>
            <w:r w:rsidRPr="00D23FB4">
              <w:rPr>
                <w:sz w:val="18"/>
                <w:szCs w:val="18"/>
              </w:rPr>
              <w:t>-</w:t>
            </w:r>
          </w:p>
        </w:tc>
        <w:tc>
          <w:tcPr>
            <w:tcW w:w="462" w:type="pct"/>
            <w:tcBorders>
              <w:top w:val="single" w:sz="4" w:space="0" w:color="000000"/>
              <w:left w:val="single" w:sz="4" w:space="0" w:color="auto"/>
              <w:bottom w:val="single" w:sz="4" w:space="0" w:color="000000"/>
              <w:right w:val="single" w:sz="4" w:space="0" w:color="000000"/>
            </w:tcBorders>
            <w:hideMark/>
          </w:tcPr>
          <w:p w14:paraId="1633A3C1" w14:textId="77777777" w:rsidR="00C8507B" w:rsidRPr="00D23FB4" w:rsidRDefault="00C8507B" w:rsidP="007F39B4">
            <w:pPr>
              <w:pStyle w:val="Akapitzlist"/>
              <w:spacing w:line="300" w:lineRule="atLeast"/>
              <w:ind w:left="0"/>
              <w:jc w:val="center"/>
              <w:rPr>
                <w:sz w:val="18"/>
                <w:szCs w:val="18"/>
              </w:rPr>
            </w:pPr>
            <w:r w:rsidRPr="00D23FB4">
              <w:rPr>
                <w:sz w:val="18"/>
                <w:szCs w:val="18"/>
              </w:rPr>
              <w:t>-</w:t>
            </w:r>
          </w:p>
        </w:tc>
        <w:tc>
          <w:tcPr>
            <w:tcW w:w="601" w:type="pct"/>
            <w:tcBorders>
              <w:top w:val="single" w:sz="4" w:space="0" w:color="000000"/>
              <w:left w:val="single" w:sz="4" w:space="0" w:color="auto"/>
              <w:bottom w:val="single" w:sz="4" w:space="0" w:color="000000"/>
              <w:right w:val="single" w:sz="4" w:space="0" w:color="000000"/>
            </w:tcBorders>
            <w:hideMark/>
          </w:tcPr>
          <w:p w14:paraId="561DE559" w14:textId="77777777" w:rsidR="00C8507B" w:rsidRPr="00D23FB4" w:rsidRDefault="00C8507B" w:rsidP="007F39B4">
            <w:pPr>
              <w:pStyle w:val="Akapitzlist"/>
              <w:spacing w:line="300" w:lineRule="atLeast"/>
              <w:ind w:left="0"/>
              <w:jc w:val="center"/>
              <w:rPr>
                <w:sz w:val="18"/>
                <w:szCs w:val="18"/>
              </w:rPr>
            </w:pPr>
            <w:r w:rsidRPr="00D23FB4">
              <w:rPr>
                <w:sz w:val="18"/>
                <w:szCs w:val="18"/>
              </w:rPr>
              <w:t>4</w:t>
            </w:r>
          </w:p>
        </w:tc>
        <w:tc>
          <w:tcPr>
            <w:tcW w:w="756" w:type="pct"/>
            <w:tcBorders>
              <w:top w:val="single" w:sz="4" w:space="0" w:color="000000"/>
              <w:left w:val="single" w:sz="4" w:space="0" w:color="auto"/>
              <w:bottom w:val="single" w:sz="4" w:space="0" w:color="000000"/>
              <w:right w:val="single" w:sz="4" w:space="0" w:color="000000"/>
            </w:tcBorders>
            <w:hideMark/>
          </w:tcPr>
          <w:p w14:paraId="53F4770D" w14:textId="77777777" w:rsidR="00C8507B" w:rsidRPr="00D23FB4" w:rsidRDefault="00C8507B" w:rsidP="007F39B4">
            <w:pPr>
              <w:pStyle w:val="Akapitzlist"/>
              <w:spacing w:line="300" w:lineRule="atLeast"/>
              <w:ind w:left="0"/>
              <w:jc w:val="center"/>
              <w:rPr>
                <w:sz w:val="18"/>
                <w:szCs w:val="18"/>
              </w:rPr>
            </w:pPr>
            <w:r w:rsidRPr="00D23FB4">
              <w:rPr>
                <w:sz w:val="18"/>
                <w:szCs w:val="18"/>
              </w:rPr>
              <w:t>3</w:t>
            </w:r>
          </w:p>
        </w:tc>
        <w:tc>
          <w:tcPr>
            <w:tcW w:w="595" w:type="pct"/>
            <w:tcBorders>
              <w:top w:val="single" w:sz="4" w:space="0" w:color="000000"/>
              <w:left w:val="single" w:sz="4" w:space="0" w:color="auto"/>
              <w:bottom w:val="single" w:sz="4" w:space="0" w:color="000000"/>
              <w:right w:val="single" w:sz="4" w:space="0" w:color="000000"/>
            </w:tcBorders>
            <w:hideMark/>
          </w:tcPr>
          <w:p w14:paraId="648800E4" w14:textId="77777777" w:rsidR="00C8507B" w:rsidRPr="00D23FB4" w:rsidRDefault="00C8507B" w:rsidP="007F39B4">
            <w:pPr>
              <w:pStyle w:val="Akapitzlist"/>
              <w:spacing w:line="300" w:lineRule="atLeast"/>
              <w:ind w:left="0"/>
              <w:jc w:val="center"/>
              <w:rPr>
                <w:sz w:val="18"/>
                <w:szCs w:val="18"/>
              </w:rPr>
            </w:pPr>
            <w:r w:rsidRPr="00D23FB4">
              <w:rPr>
                <w:sz w:val="18"/>
                <w:szCs w:val="18"/>
              </w:rPr>
              <w:t>1</w:t>
            </w:r>
          </w:p>
        </w:tc>
        <w:tc>
          <w:tcPr>
            <w:tcW w:w="629" w:type="pct"/>
            <w:tcBorders>
              <w:top w:val="single" w:sz="4" w:space="0" w:color="000000"/>
              <w:left w:val="single" w:sz="4" w:space="0" w:color="auto"/>
              <w:bottom w:val="single" w:sz="4" w:space="0" w:color="000000"/>
              <w:right w:val="single" w:sz="4" w:space="0" w:color="000000"/>
            </w:tcBorders>
            <w:hideMark/>
          </w:tcPr>
          <w:p w14:paraId="50971C7E" w14:textId="77777777" w:rsidR="00C8507B" w:rsidRPr="00D23FB4" w:rsidRDefault="00C8507B" w:rsidP="007F39B4">
            <w:pPr>
              <w:pStyle w:val="Akapitzlist"/>
              <w:spacing w:line="300" w:lineRule="atLeast"/>
              <w:ind w:left="0"/>
              <w:jc w:val="center"/>
              <w:rPr>
                <w:sz w:val="18"/>
                <w:szCs w:val="18"/>
              </w:rPr>
            </w:pPr>
            <w:r w:rsidRPr="00D23FB4">
              <w:rPr>
                <w:sz w:val="18"/>
                <w:szCs w:val="18"/>
              </w:rPr>
              <w:t>-</w:t>
            </w:r>
          </w:p>
        </w:tc>
      </w:tr>
      <w:tr w:rsidR="00C8507B" w:rsidRPr="00C8507B" w14:paraId="785315EC" w14:textId="77777777" w:rsidTr="007F39B4">
        <w:tc>
          <w:tcPr>
            <w:tcW w:w="711" w:type="pct"/>
            <w:tcBorders>
              <w:top w:val="single" w:sz="4" w:space="0" w:color="000000"/>
              <w:left w:val="single" w:sz="4" w:space="0" w:color="000000"/>
              <w:bottom w:val="single" w:sz="4" w:space="0" w:color="000000"/>
              <w:right w:val="single" w:sz="4" w:space="0" w:color="000000"/>
            </w:tcBorders>
            <w:hideMark/>
          </w:tcPr>
          <w:p w14:paraId="68E5FF5D" w14:textId="77777777" w:rsidR="00C8507B" w:rsidRPr="00D23FB4" w:rsidRDefault="00C8507B" w:rsidP="007F39B4">
            <w:pPr>
              <w:pStyle w:val="Akapitzlist"/>
              <w:spacing w:line="300" w:lineRule="atLeast"/>
              <w:ind w:left="0"/>
              <w:jc w:val="both"/>
              <w:rPr>
                <w:sz w:val="18"/>
                <w:szCs w:val="18"/>
              </w:rPr>
            </w:pPr>
            <w:r w:rsidRPr="00D23FB4">
              <w:rPr>
                <w:sz w:val="18"/>
                <w:szCs w:val="18"/>
              </w:rPr>
              <w:t>Płock</w:t>
            </w:r>
          </w:p>
        </w:tc>
        <w:tc>
          <w:tcPr>
            <w:tcW w:w="929" w:type="pct"/>
            <w:tcBorders>
              <w:top w:val="single" w:sz="4" w:space="0" w:color="000000"/>
              <w:left w:val="single" w:sz="4" w:space="0" w:color="000000"/>
              <w:bottom w:val="single" w:sz="4" w:space="0" w:color="000000"/>
              <w:right w:val="single" w:sz="4" w:space="0" w:color="auto"/>
            </w:tcBorders>
            <w:hideMark/>
          </w:tcPr>
          <w:p w14:paraId="5A828B6B" w14:textId="77777777" w:rsidR="00C8507B" w:rsidRPr="00D23FB4" w:rsidRDefault="00C8507B" w:rsidP="007F39B4">
            <w:pPr>
              <w:pStyle w:val="Akapitzlist"/>
              <w:spacing w:line="300" w:lineRule="atLeast"/>
              <w:ind w:left="0"/>
              <w:jc w:val="center"/>
              <w:rPr>
                <w:sz w:val="18"/>
                <w:szCs w:val="18"/>
              </w:rPr>
            </w:pPr>
            <w:r w:rsidRPr="00D23FB4">
              <w:rPr>
                <w:sz w:val="18"/>
                <w:szCs w:val="18"/>
              </w:rPr>
              <w:t>12</w:t>
            </w:r>
          </w:p>
        </w:tc>
        <w:tc>
          <w:tcPr>
            <w:tcW w:w="316" w:type="pct"/>
            <w:tcBorders>
              <w:top w:val="single" w:sz="4" w:space="0" w:color="000000"/>
              <w:left w:val="single" w:sz="4" w:space="0" w:color="000000"/>
              <w:bottom w:val="single" w:sz="4" w:space="0" w:color="000000"/>
              <w:right w:val="single" w:sz="4" w:space="0" w:color="auto"/>
            </w:tcBorders>
            <w:hideMark/>
          </w:tcPr>
          <w:p w14:paraId="5D2B72A4" w14:textId="77777777" w:rsidR="00C8507B" w:rsidRPr="00D23FB4" w:rsidRDefault="00C8507B" w:rsidP="007F39B4">
            <w:pPr>
              <w:pStyle w:val="Akapitzlist"/>
              <w:spacing w:line="300" w:lineRule="atLeast"/>
              <w:ind w:left="0"/>
              <w:jc w:val="center"/>
              <w:rPr>
                <w:sz w:val="18"/>
                <w:szCs w:val="18"/>
              </w:rPr>
            </w:pPr>
            <w:r w:rsidRPr="00D23FB4">
              <w:rPr>
                <w:sz w:val="18"/>
                <w:szCs w:val="18"/>
              </w:rPr>
              <w:t>11</w:t>
            </w:r>
          </w:p>
        </w:tc>
        <w:tc>
          <w:tcPr>
            <w:tcW w:w="462" w:type="pct"/>
            <w:tcBorders>
              <w:top w:val="single" w:sz="4" w:space="0" w:color="000000"/>
              <w:left w:val="single" w:sz="4" w:space="0" w:color="auto"/>
              <w:bottom w:val="single" w:sz="4" w:space="0" w:color="000000"/>
              <w:right w:val="single" w:sz="4" w:space="0" w:color="000000"/>
            </w:tcBorders>
            <w:hideMark/>
          </w:tcPr>
          <w:p w14:paraId="66D9F78F" w14:textId="77777777" w:rsidR="00C8507B" w:rsidRPr="00D23FB4" w:rsidRDefault="00C8507B" w:rsidP="007F39B4">
            <w:pPr>
              <w:pStyle w:val="Akapitzlist"/>
              <w:spacing w:line="300" w:lineRule="atLeast"/>
              <w:ind w:left="0"/>
              <w:jc w:val="center"/>
              <w:rPr>
                <w:sz w:val="18"/>
                <w:szCs w:val="18"/>
              </w:rPr>
            </w:pPr>
            <w:r w:rsidRPr="00D23FB4">
              <w:rPr>
                <w:sz w:val="18"/>
                <w:szCs w:val="18"/>
              </w:rPr>
              <w:t>23</w:t>
            </w:r>
          </w:p>
        </w:tc>
        <w:tc>
          <w:tcPr>
            <w:tcW w:w="601" w:type="pct"/>
            <w:tcBorders>
              <w:top w:val="single" w:sz="4" w:space="0" w:color="000000"/>
              <w:left w:val="single" w:sz="4" w:space="0" w:color="auto"/>
              <w:bottom w:val="single" w:sz="4" w:space="0" w:color="000000"/>
              <w:right w:val="single" w:sz="4" w:space="0" w:color="000000"/>
            </w:tcBorders>
            <w:hideMark/>
          </w:tcPr>
          <w:p w14:paraId="52FB1E10" w14:textId="77777777" w:rsidR="00C8507B" w:rsidRPr="00D23FB4" w:rsidRDefault="00C8507B" w:rsidP="007F39B4">
            <w:pPr>
              <w:pStyle w:val="Akapitzlist"/>
              <w:spacing w:line="300" w:lineRule="atLeast"/>
              <w:ind w:left="0"/>
              <w:jc w:val="center"/>
              <w:rPr>
                <w:sz w:val="18"/>
                <w:szCs w:val="18"/>
              </w:rPr>
            </w:pPr>
            <w:r w:rsidRPr="00D23FB4">
              <w:rPr>
                <w:sz w:val="18"/>
                <w:szCs w:val="18"/>
              </w:rPr>
              <w:t>23</w:t>
            </w:r>
          </w:p>
        </w:tc>
        <w:tc>
          <w:tcPr>
            <w:tcW w:w="756" w:type="pct"/>
            <w:tcBorders>
              <w:top w:val="single" w:sz="4" w:space="0" w:color="000000"/>
              <w:left w:val="single" w:sz="4" w:space="0" w:color="auto"/>
              <w:bottom w:val="single" w:sz="4" w:space="0" w:color="000000"/>
              <w:right w:val="single" w:sz="4" w:space="0" w:color="000000"/>
            </w:tcBorders>
            <w:hideMark/>
          </w:tcPr>
          <w:p w14:paraId="06BD21FC" w14:textId="77777777" w:rsidR="00C8507B" w:rsidRPr="00D23FB4" w:rsidRDefault="00C8507B" w:rsidP="007F39B4">
            <w:pPr>
              <w:pStyle w:val="Akapitzlist"/>
              <w:spacing w:line="300" w:lineRule="atLeast"/>
              <w:ind w:left="0"/>
              <w:jc w:val="center"/>
              <w:rPr>
                <w:sz w:val="18"/>
                <w:szCs w:val="18"/>
              </w:rPr>
            </w:pPr>
            <w:r w:rsidRPr="00D23FB4">
              <w:rPr>
                <w:sz w:val="18"/>
                <w:szCs w:val="18"/>
              </w:rPr>
              <w:t>-</w:t>
            </w:r>
          </w:p>
        </w:tc>
        <w:tc>
          <w:tcPr>
            <w:tcW w:w="595" w:type="pct"/>
            <w:tcBorders>
              <w:top w:val="single" w:sz="4" w:space="0" w:color="000000"/>
              <w:left w:val="single" w:sz="4" w:space="0" w:color="auto"/>
              <w:bottom w:val="single" w:sz="4" w:space="0" w:color="000000"/>
              <w:right w:val="single" w:sz="4" w:space="0" w:color="000000"/>
            </w:tcBorders>
            <w:hideMark/>
          </w:tcPr>
          <w:p w14:paraId="20CD6FAE" w14:textId="77777777" w:rsidR="00C8507B" w:rsidRPr="00D23FB4" w:rsidRDefault="00C8507B" w:rsidP="007F39B4">
            <w:pPr>
              <w:pStyle w:val="Akapitzlist"/>
              <w:spacing w:line="300" w:lineRule="atLeast"/>
              <w:ind w:left="0"/>
              <w:jc w:val="center"/>
              <w:rPr>
                <w:sz w:val="18"/>
                <w:szCs w:val="18"/>
              </w:rPr>
            </w:pPr>
            <w:r w:rsidRPr="00D23FB4">
              <w:rPr>
                <w:sz w:val="18"/>
                <w:szCs w:val="18"/>
              </w:rPr>
              <w:t>144</w:t>
            </w:r>
          </w:p>
        </w:tc>
        <w:tc>
          <w:tcPr>
            <w:tcW w:w="629" w:type="pct"/>
            <w:tcBorders>
              <w:top w:val="single" w:sz="4" w:space="0" w:color="000000"/>
              <w:left w:val="single" w:sz="4" w:space="0" w:color="auto"/>
              <w:bottom w:val="single" w:sz="4" w:space="0" w:color="000000"/>
              <w:right w:val="single" w:sz="4" w:space="0" w:color="000000"/>
            </w:tcBorders>
            <w:hideMark/>
          </w:tcPr>
          <w:p w14:paraId="0442235B" w14:textId="77777777" w:rsidR="00C8507B" w:rsidRPr="00D23FB4" w:rsidRDefault="00C8507B" w:rsidP="007F39B4">
            <w:pPr>
              <w:pStyle w:val="Akapitzlist"/>
              <w:spacing w:line="300" w:lineRule="atLeast"/>
              <w:ind w:left="0"/>
              <w:jc w:val="center"/>
              <w:rPr>
                <w:sz w:val="18"/>
                <w:szCs w:val="18"/>
              </w:rPr>
            </w:pPr>
            <w:r w:rsidRPr="00D23FB4">
              <w:rPr>
                <w:sz w:val="18"/>
                <w:szCs w:val="18"/>
              </w:rPr>
              <w:t>4</w:t>
            </w:r>
          </w:p>
        </w:tc>
      </w:tr>
      <w:tr w:rsidR="00C8507B" w:rsidRPr="00C8507B" w14:paraId="2FE78D18" w14:textId="77777777" w:rsidTr="007F39B4">
        <w:tc>
          <w:tcPr>
            <w:tcW w:w="711" w:type="pct"/>
            <w:tcBorders>
              <w:top w:val="single" w:sz="4" w:space="0" w:color="000000"/>
              <w:left w:val="single" w:sz="4" w:space="0" w:color="000000"/>
              <w:bottom w:val="single" w:sz="4" w:space="0" w:color="000000"/>
              <w:right w:val="single" w:sz="4" w:space="0" w:color="000000"/>
            </w:tcBorders>
            <w:hideMark/>
          </w:tcPr>
          <w:p w14:paraId="267D03F5" w14:textId="77777777" w:rsidR="00C8507B" w:rsidRPr="00D23FB4" w:rsidRDefault="00C8507B" w:rsidP="007F39B4">
            <w:pPr>
              <w:pStyle w:val="Akapitzlist"/>
              <w:spacing w:line="300" w:lineRule="atLeast"/>
              <w:ind w:left="0"/>
              <w:jc w:val="both"/>
              <w:rPr>
                <w:sz w:val="18"/>
                <w:szCs w:val="18"/>
              </w:rPr>
            </w:pPr>
            <w:r w:rsidRPr="00D23FB4">
              <w:rPr>
                <w:sz w:val="18"/>
                <w:szCs w:val="18"/>
              </w:rPr>
              <w:t>Radom</w:t>
            </w:r>
          </w:p>
        </w:tc>
        <w:tc>
          <w:tcPr>
            <w:tcW w:w="929" w:type="pct"/>
            <w:tcBorders>
              <w:top w:val="single" w:sz="4" w:space="0" w:color="000000"/>
              <w:left w:val="single" w:sz="4" w:space="0" w:color="000000"/>
              <w:bottom w:val="single" w:sz="4" w:space="0" w:color="000000"/>
              <w:right w:val="single" w:sz="4" w:space="0" w:color="auto"/>
            </w:tcBorders>
            <w:hideMark/>
          </w:tcPr>
          <w:p w14:paraId="250DA659" w14:textId="77777777" w:rsidR="00C8507B" w:rsidRPr="00D23FB4" w:rsidRDefault="00C8507B" w:rsidP="007F39B4">
            <w:pPr>
              <w:pStyle w:val="Akapitzlist"/>
              <w:spacing w:line="300" w:lineRule="atLeast"/>
              <w:ind w:left="0"/>
              <w:jc w:val="center"/>
              <w:rPr>
                <w:sz w:val="18"/>
                <w:szCs w:val="18"/>
              </w:rPr>
            </w:pPr>
            <w:r w:rsidRPr="00D23FB4">
              <w:rPr>
                <w:sz w:val="18"/>
                <w:szCs w:val="18"/>
              </w:rPr>
              <w:t>3</w:t>
            </w:r>
          </w:p>
        </w:tc>
        <w:tc>
          <w:tcPr>
            <w:tcW w:w="316" w:type="pct"/>
            <w:tcBorders>
              <w:top w:val="single" w:sz="4" w:space="0" w:color="000000"/>
              <w:left w:val="single" w:sz="4" w:space="0" w:color="000000"/>
              <w:bottom w:val="single" w:sz="4" w:space="0" w:color="000000"/>
              <w:right w:val="single" w:sz="4" w:space="0" w:color="auto"/>
            </w:tcBorders>
            <w:hideMark/>
          </w:tcPr>
          <w:p w14:paraId="17B35DBB" w14:textId="77777777" w:rsidR="00C8507B" w:rsidRPr="00D23FB4" w:rsidRDefault="00C8507B" w:rsidP="007F39B4">
            <w:pPr>
              <w:pStyle w:val="Akapitzlist"/>
              <w:spacing w:line="300" w:lineRule="atLeast"/>
              <w:ind w:left="0"/>
              <w:jc w:val="center"/>
              <w:rPr>
                <w:sz w:val="18"/>
                <w:szCs w:val="18"/>
              </w:rPr>
            </w:pPr>
            <w:r w:rsidRPr="00D23FB4">
              <w:rPr>
                <w:sz w:val="18"/>
                <w:szCs w:val="18"/>
              </w:rPr>
              <w:t>1</w:t>
            </w:r>
          </w:p>
        </w:tc>
        <w:tc>
          <w:tcPr>
            <w:tcW w:w="462" w:type="pct"/>
            <w:tcBorders>
              <w:top w:val="single" w:sz="4" w:space="0" w:color="000000"/>
              <w:left w:val="single" w:sz="4" w:space="0" w:color="auto"/>
              <w:bottom w:val="single" w:sz="4" w:space="0" w:color="000000"/>
              <w:right w:val="single" w:sz="4" w:space="0" w:color="000000"/>
            </w:tcBorders>
            <w:hideMark/>
          </w:tcPr>
          <w:p w14:paraId="571F87A7" w14:textId="77777777" w:rsidR="00C8507B" w:rsidRPr="00D23FB4" w:rsidRDefault="00C8507B" w:rsidP="007F39B4">
            <w:pPr>
              <w:pStyle w:val="Akapitzlist"/>
              <w:spacing w:line="300" w:lineRule="atLeast"/>
              <w:ind w:left="0"/>
              <w:jc w:val="center"/>
              <w:rPr>
                <w:sz w:val="18"/>
                <w:szCs w:val="18"/>
              </w:rPr>
            </w:pPr>
            <w:r w:rsidRPr="00D23FB4">
              <w:rPr>
                <w:sz w:val="18"/>
                <w:szCs w:val="18"/>
              </w:rPr>
              <w:t>-</w:t>
            </w:r>
          </w:p>
        </w:tc>
        <w:tc>
          <w:tcPr>
            <w:tcW w:w="601" w:type="pct"/>
            <w:tcBorders>
              <w:top w:val="single" w:sz="4" w:space="0" w:color="000000"/>
              <w:left w:val="single" w:sz="4" w:space="0" w:color="auto"/>
              <w:bottom w:val="single" w:sz="4" w:space="0" w:color="000000"/>
              <w:right w:val="single" w:sz="4" w:space="0" w:color="000000"/>
            </w:tcBorders>
            <w:hideMark/>
          </w:tcPr>
          <w:p w14:paraId="6FA3FEC3" w14:textId="77777777" w:rsidR="00C8507B" w:rsidRPr="00D23FB4" w:rsidRDefault="00C8507B" w:rsidP="007F39B4">
            <w:pPr>
              <w:pStyle w:val="Akapitzlist"/>
              <w:spacing w:line="300" w:lineRule="atLeast"/>
              <w:ind w:left="0"/>
              <w:jc w:val="center"/>
              <w:rPr>
                <w:sz w:val="18"/>
                <w:szCs w:val="18"/>
              </w:rPr>
            </w:pPr>
            <w:r w:rsidRPr="00D23FB4">
              <w:rPr>
                <w:sz w:val="18"/>
                <w:szCs w:val="18"/>
              </w:rPr>
              <w:t>3</w:t>
            </w:r>
          </w:p>
        </w:tc>
        <w:tc>
          <w:tcPr>
            <w:tcW w:w="756" w:type="pct"/>
            <w:tcBorders>
              <w:top w:val="single" w:sz="4" w:space="0" w:color="000000"/>
              <w:left w:val="single" w:sz="4" w:space="0" w:color="auto"/>
              <w:bottom w:val="single" w:sz="4" w:space="0" w:color="000000"/>
              <w:right w:val="single" w:sz="4" w:space="0" w:color="000000"/>
            </w:tcBorders>
            <w:hideMark/>
          </w:tcPr>
          <w:p w14:paraId="01716AAA" w14:textId="77777777" w:rsidR="00C8507B" w:rsidRPr="00D23FB4" w:rsidRDefault="00C8507B" w:rsidP="007F39B4">
            <w:pPr>
              <w:pStyle w:val="Akapitzlist"/>
              <w:spacing w:line="300" w:lineRule="atLeast"/>
              <w:ind w:left="0"/>
              <w:jc w:val="center"/>
              <w:rPr>
                <w:sz w:val="18"/>
                <w:szCs w:val="18"/>
              </w:rPr>
            </w:pPr>
            <w:r w:rsidRPr="00D23FB4">
              <w:rPr>
                <w:sz w:val="18"/>
                <w:szCs w:val="18"/>
              </w:rPr>
              <w:t>8</w:t>
            </w:r>
          </w:p>
        </w:tc>
        <w:tc>
          <w:tcPr>
            <w:tcW w:w="595" w:type="pct"/>
            <w:tcBorders>
              <w:top w:val="single" w:sz="4" w:space="0" w:color="000000"/>
              <w:left w:val="single" w:sz="4" w:space="0" w:color="auto"/>
              <w:bottom w:val="single" w:sz="4" w:space="0" w:color="000000"/>
              <w:right w:val="single" w:sz="4" w:space="0" w:color="000000"/>
            </w:tcBorders>
            <w:hideMark/>
          </w:tcPr>
          <w:p w14:paraId="7715BDEB" w14:textId="77777777" w:rsidR="00C8507B" w:rsidRPr="00D23FB4" w:rsidRDefault="00C8507B" w:rsidP="007F39B4">
            <w:pPr>
              <w:pStyle w:val="Akapitzlist"/>
              <w:spacing w:line="300" w:lineRule="atLeast"/>
              <w:ind w:left="0"/>
              <w:jc w:val="center"/>
              <w:rPr>
                <w:sz w:val="18"/>
                <w:szCs w:val="18"/>
              </w:rPr>
            </w:pPr>
            <w:r w:rsidRPr="00D23FB4">
              <w:rPr>
                <w:sz w:val="18"/>
                <w:szCs w:val="18"/>
              </w:rPr>
              <w:t>7</w:t>
            </w:r>
          </w:p>
        </w:tc>
        <w:tc>
          <w:tcPr>
            <w:tcW w:w="629" w:type="pct"/>
            <w:tcBorders>
              <w:top w:val="single" w:sz="4" w:space="0" w:color="000000"/>
              <w:left w:val="single" w:sz="4" w:space="0" w:color="auto"/>
              <w:bottom w:val="single" w:sz="4" w:space="0" w:color="000000"/>
              <w:right w:val="single" w:sz="4" w:space="0" w:color="000000"/>
            </w:tcBorders>
            <w:hideMark/>
          </w:tcPr>
          <w:p w14:paraId="1823C920" w14:textId="77777777" w:rsidR="00C8507B" w:rsidRPr="00D23FB4" w:rsidRDefault="00C8507B" w:rsidP="007F39B4">
            <w:pPr>
              <w:pStyle w:val="Akapitzlist"/>
              <w:spacing w:line="300" w:lineRule="atLeast"/>
              <w:ind w:left="0"/>
              <w:jc w:val="center"/>
              <w:rPr>
                <w:sz w:val="18"/>
                <w:szCs w:val="18"/>
              </w:rPr>
            </w:pPr>
            <w:r w:rsidRPr="00D23FB4">
              <w:rPr>
                <w:sz w:val="18"/>
                <w:szCs w:val="18"/>
              </w:rPr>
              <w:t>-</w:t>
            </w:r>
          </w:p>
        </w:tc>
      </w:tr>
      <w:tr w:rsidR="00C8507B" w:rsidRPr="00C8507B" w14:paraId="68D7CC9C" w14:textId="77777777" w:rsidTr="007F39B4">
        <w:tc>
          <w:tcPr>
            <w:tcW w:w="711" w:type="pct"/>
            <w:tcBorders>
              <w:top w:val="single" w:sz="4" w:space="0" w:color="000000"/>
              <w:left w:val="single" w:sz="4" w:space="0" w:color="000000"/>
              <w:bottom w:val="single" w:sz="4" w:space="0" w:color="000000"/>
              <w:right w:val="single" w:sz="4" w:space="0" w:color="000000"/>
            </w:tcBorders>
            <w:hideMark/>
          </w:tcPr>
          <w:p w14:paraId="611C9B99" w14:textId="77777777" w:rsidR="00C8507B" w:rsidRPr="00D23FB4" w:rsidRDefault="00C8507B" w:rsidP="007F39B4">
            <w:pPr>
              <w:pStyle w:val="Akapitzlist"/>
              <w:spacing w:line="300" w:lineRule="atLeast"/>
              <w:ind w:left="0"/>
              <w:jc w:val="both"/>
              <w:rPr>
                <w:sz w:val="18"/>
                <w:szCs w:val="18"/>
              </w:rPr>
            </w:pPr>
            <w:r w:rsidRPr="00D23FB4">
              <w:rPr>
                <w:sz w:val="18"/>
                <w:szCs w:val="18"/>
              </w:rPr>
              <w:t>Warszawa</w:t>
            </w:r>
          </w:p>
        </w:tc>
        <w:tc>
          <w:tcPr>
            <w:tcW w:w="929" w:type="pct"/>
            <w:tcBorders>
              <w:top w:val="single" w:sz="4" w:space="0" w:color="000000"/>
              <w:left w:val="single" w:sz="4" w:space="0" w:color="000000"/>
              <w:bottom w:val="single" w:sz="4" w:space="0" w:color="000000"/>
              <w:right w:val="single" w:sz="4" w:space="0" w:color="auto"/>
            </w:tcBorders>
            <w:hideMark/>
          </w:tcPr>
          <w:p w14:paraId="218A1A2B" w14:textId="77777777" w:rsidR="00C8507B" w:rsidRPr="00D23FB4" w:rsidRDefault="00C8507B" w:rsidP="007F39B4">
            <w:pPr>
              <w:pStyle w:val="Akapitzlist"/>
              <w:spacing w:line="300" w:lineRule="atLeast"/>
              <w:ind w:left="0"/>
              <w:jc w:val="center"/>
              <w:rPr>
                <w:sz w:val="18"/>
                <w:szCs w:val="18"/>
              </w:rPr>
            </w:pPr>
            <w:r w:rsidRPr="00D23FB4">
              <w:rPr>
                <w:sz w:val="18"/>
                <w:szCs w:val="18"/>
              </w:rPr>
              <w:t>5</w:t>
            </w:r>
          </w:p>
        </w:tc>
        <w:tc>
          <w:tcPr>
            <w:tcW w:w="316" w:type="pct"/>
            <w:tcBorders>
              <w:top w:val="single" w:sz="4" w:space="0" w:color="000000"/>
              <w:left w:val="single" w:sz="4" w:space="0" w:color="000000"/>
              <w:bottom w:val="single" w:sz="4" w:space="0" w:color="000000"/>
              <w:right w:val="single" w:sz="4" w:space="0" w:color="auto"/>
            </w:tcBorders>
            <w:hideMark/>
          </w:tcPr>
          <w:p w14:paraId="4A1AB871" w14:textId="77777777" w:rsidR="00C8507B" w:rsidRPr="00D23FB4" w:rsidRDefault="00C8507B" w:rsidP="007F39B4">
            <w:pPr>
              <w:pStyle w:val="Akapitzlist"/>
              <w:spacing w:line="300" w:lineRule="atLeast"/>
              <w:ind w:left="0"/>
              <w:jc w:val="center"/>
              <w:rPr>
                <w:sz w:val="18"/>
                <w:szCs w:val="18"/>
              </w:rPr>
            </w:pPr>
            <w:r w:rsidRPr="00D23FB4">
              <w:rPr>
                <w:sz w:val="18"/>
                <w:szCs w:val="18"/>
              </w:rPr>
              <w:t>-</w:t>
            </w:r>
          </w:p>
        </w:tc>
        <w:tc>
          <w:tcPr>
            <w:tcW w:w="462" w:type="pct"/>
            <w:tcBorders>
              <w:top w:val="single" w:sz="4" w:space="0" w:color="000000"/>
              <w:left w:val="single" w:sz="4" w:space="0" w:color="auto"/>
              <w:bottom w:val="single" w:sz="4" w:space="0" w:color="000000"/>
              <w:right w:val="single" w:sz="4" w:space="0" w:color="000000"/>
            </w:tcBorders>
            <w:hideMark/>
          </w:tcPr>
          <w:p w14:paraId="7E229233" w14:textId="77777777" w:rsidR="00C8507B" w:rsidRPr="00D23FB4" w:rsidRDefault="00C8507B" w:rsidP="007F39B4">
            <w:pPr>
              <w:pStyle w:val="Akapitzlist"/>
              <w:spacing w:line="300" w:lineRule="atLeast"/>
              <w:ind w:left="0"/>
              <w:jc w:val="center"/>
              <w:rPr>
                <w:sz w:val="18"/>
                <w:szCs w:val="18"/>
              </w:rPr>
            </w:pPr>
            <w:r w:rsidRPr="00D23FB4">
              <w:rPr>
                <w:sz w:val="18"/>
                <w:szCs w:val="18"/>
              </w:rPr>
              <w:t>14</w:t>
            </w:r>
          </w:p>
        </w:tc>
        <w:tc>
          <w:tcPr>
            <w:tcW w:w="601" w:type="pct"/>
            <w:tcBorders>
              <w:top w:val="single" w:sz="4" w:space="0" w:color="000000"/>
              <w:left w:val="single" w:sz="4" w:space="0" w:color="auto"/>
              <w:bottom w:val="single" w:sz="4" w:space="0" w:color="000000"/>
              <w:right w:val="single" w:sz="4" w:space="0" w:color="000000"/>
            </w:tcBorders>
            <w:hideMark/>
          </w:tcPr>
          <w:p w14:paraId="0F4FB5DA" w14:textId="77777777" w:rsidR="00C8507B" w:rsidRPr="00D23FB4" w:rsidRDefault="00C8507B" w:rsidP="007F39B4">
            <w:pPr>
              <w:pStyle w:val="Akapitzlist"/>
              <w:spacing w:line="300" w:lineRule="atLeast"/>
              <w:ind w:left="0"/>
              <w:jc w:val="center"/>
              <w:rPr>
                <w:sz w:val="18"/>
                <w:szCs w:val="18"/>
              </w:rPr>
            </w:pPr>
            <w:r w:rsidRPr="00D23FB4">
              <w:rPr>
                <w:sz w:val="18"/>
                <w:szCs w:val="18"/>
              </w:rPr>
              <w:t>-</w:t>
            </w:r>
          </w:p>
        </w:tc>
        <w:tc>
          <w:tcPr>
            <w:tcW w:w="756" w:type="pct"/>
            <w:tcBorders>
              <w:top w:val="single" w:sz="4" w:space="0" w:color="000000"/>
              <w:left w:val="single" w:sz="4" w:space="0" w:color="auto"/>
              <w:bottom w:val="single" w:sz="4" w:space="0" w:color="000000"/>
              <w:right w:val="single" w:sz="4" w:space="0" w:color="000000"/>
            </w:tcBorders>
            <w:hideMark/>
          </w:tcPr>
          <w:p w14:paraId="00002179" w14:textId="77777777" w:rsidR="00C8507B" w:rsidRPr="00D23FB4" w:rsidRDefault="00C8507B" w:rsidP="007F39B4">
            <w:pPr>
              <w:pStyle w:val="Akapitzlist"/>
              <w:spacing w:line="300" w:lineRule="atLeast"/>
              <w:ind w:left="0"/>
              <w:jc w:val="center"/>
              <w:rPr>
                <w:sz w:val="18"/>
                <w:szCs w:val="18"/>
              </w:rPr>
            </w:pPr>
            <w:r w:rsidRPr="00D23FB4">
              <w:rPr>
                <w:sz w:val="18"/>
                <w:szCs w:val="18"/>
              </w:rPr>
              <w:t>-</w:t>
            </w:r>
          </w:p>
        </w:tc>
        <w:tc>
          <w:tcPr>
            <w:tcW w:w="595" w:type="pct"/>
            <w:tcBorders>
              <w:top w:val="single" w:sz="4" w:space="0" w:color="000000"/>
              <w:left w:val="single" w:sz="4" w:space="0" w:color="auto"/>
              <w:bottom w:val="single" w:sz="4" w:space="0" w:color="000000"/>
              <w:right w:val="single" w:sz="4" w:space="0" w:color="000000"/>
            </w:tcBorders>
            <w:hideMark/>
          </w:tcPr>
          <w:p w14:paraId="2010D80E" w14:textId="77777777" w:rsidR="00C8507B" w:rsidRPr="00D23FB4" w:rsidRDefault="00C8507B" w:rsidP="007F39B4">
            <w:pPr>
              <w:pStyle w:val="Akapitzlist"/>
              <w:spacing w:line="300" w:lineRule="atLeast"/>
              <w:ind w:left="0"/>
              <w:jc w:val="center"/>
              <w:rPr>
                <w:sz w:val="18"/>
                <w:szCs w:val="18"/>
              </w:rPr>
            </w:pPr>
            <w:r w:rsidRPr="00D23FB4">
              <w:rPr>
                <w:sz w:val="18"/>
                <w:szCs w:val="18"/>
              </w:rPr>
              <w:t>-</w:t>
            </w:r>
          </w:p>
        </w:tc>
        <w:tc>
          <w:tcPr>
            <w:tcW w:w="629" w:type="pct"/>
            <w:tcBorders>
              <w:top w:val="single" w:sz="4" w:space="0" w:color="000000"/>
              <w:left w:val="single" w:sz="4" w:space="0" w:color="auto"/>
              <w:bottom w:val="single" w:sz="4" w:space="0" w:color="000000"/>
              <w:right w:val="single" w:sz="4" w:space="0" w:color="000000"/>
            </w:tcBorders>
            <w:hideMark/>
          </w:tcPr>
          <w:p w14:paraId="413D544C" w14:textId="77777777" w:rsidR="00C8507B" w:rsidRPr="00D23FB4" w:rsidRDefault="00C8507B" w:rsidP="007F39B4">
            <w:pPr>
              <w:pStyle w:val="Akapitzlist"/>
              <w:spacing w:line="300" w:lineRule="atLeast"/>
              <w:ind w:left="0"/>
              <w:jc w:val="center"/>
              <w:rPr>
                <w:sz w:val="18"/>
                <w:szCs w:val="18"/>
              </w:rPr>
            </w:pPr>
            <w:r w:rsidRPr="00D23FB4">
              <w:rPr>
                <w:sz w:val="18"/>
                <w:szCs w:val="18"/>
              </w:rPr>
              <w:t>-</w:t>
            </w:r>
          </w:p>
        </w:tc>
      </w:tr>
      <w:tr w:rsidR="00C8507B" w:rsidRPr="00C8507B" w14:paraId="5A75F489" w14:textId="77777777" w:rsidTr="007F39B4">
        <w:tc>
          <w:tcPr>
            <w:tcW w:w="711" w:type="pct"/>
            <w:tcBorders>
              <w:top w:val="single" w:sz="4" w:space="0" w:color="000000"/>
              <w:left w:val="single" w:sz="4" w:space="0" w:color="000000"/>
              <w:bottom w:val="single" w:sz="4" w:space="0" w:color="000000"/>
              <w:right w:val="single" w:sz="4" w:space="0" w:color="000000"/>
            </w:tcBorders>
            <w:hideMark/>
          </w:tcPr>
          <w:p w14:paraId="39D1772E" w14:textId="77777777" w:rsidR="00C8507B" w:rsidRPr="00D23FB4" w:rsidRDefault="00C8507B" w:rsidP="007F39B4">
            <w:pPr>
              <w:pStyle w:val="Akapitzlist"/>
              <w:spacing w:line="300" w:lineRule="atLeast"/>
              <w:ind w:left="0"/>
              <w:jc w:val="both"/>
              <w:rPr>
                <w:b/>
                <w:bCs/>
                <w:sz w:val="18"/>
                <w:szCs w:val="18"/>
              </w:rPr>
            </w:pPr>
            <w:r w:rsidRPr="00D23FB4">
              <w:rPr>
                <w:b/>
                <w:bCs/>
                <w:sz w:val="18"/>
                <w:szCs w:val="18"/>
              </w:rPr>
              <w:t>Razem</w:t>
            </w:r>
          </w:p>
        </w:tc>
        <w:tc>
          <w:tcPr>
            <w:tcW w:w="929" w:type="pct"/>
            <w:tcBorders>
              <w:top w:val="single" w:sz="4" w:space="0" w:color="000000"/>
              <w:left w:val="single" w:sz="4" w:space="0" w:color="000000"/>
              <w:bottom w:val="single" w:sz="4" w:space="0" w:color="000000"/>
              <w:right w:val="single" w:sz="4" w:space="0" w:color="auto"/>
            </w:tcBorders>
            <w:hideMark/>
          </w:tcPr>
          <w:p w14:paraId="33D5F8E0" w14:textId="77777777" w:rsidR="00C8507B" w:rsidRPr="00D23FB4" w:rsidRDefault="00C8507B" w:rsidP="007F39B4">
            <w:pPr>
              <w:pStyle w:val="Akapitzlist"/>
              <w:spacing w:line="300" w:lineRule="atLeast"/>
              <w:ind w:left="0"/>
              <w:jc w:val="center"/>
              <w:rPr>
                <w:b/>
                <w:bCs/>
                <w:sz w:val="18"/>
                <w:szCs w:val="18"/>
              </w:rPr>
            </w:pPr>
            <w:r w:rsidRPr="00D23FB4">
              <w:rPr>
                <w:b/>
                <w:bCs/>
                <w:sz w:val="18"/>
                <w:szCs w:val="18"/>
              </w:rPr>
              <w:t>23</w:t>
            </w:r>
          </w:p>
        </w:tc>
        <w:tc>
          <w:tcPr>
            <w:tcW w:w="316" w:type="pct"/>
            <w:tcBorders>
              <w:top w:val="single" w:sz="4" w:space="0" w:color="000000"/>
              <w:left w:val="single" w:sz="4" w:space="0" w:color="000000"/>
              <w:bottom w:val="single" w:sz="4" w:space="0" w:color="000000"/>
              <w:right w:val="single" w:sz="4" w:space="0" w:color="auto"/>
            </w:tcBorders>
            <w:hideMark/>
          </w:tcPr>
          <w:p w14:paraId="32B9890F" w14:textId="77777777" w:rsidR="00C8507B" w:rsidRPr="00D23FB4" w:rsidRDefault="00C8507B" w:rsidP="007F39B4">
            <w:pPr>
              <w:pStyle w:val="Akapitzlist"/>
              <w:spacing w:line="300" w:lineRule="atLeast"/>
              <w:ind w:left="0"/>
              <w:jc w:val="center"/>
              <w:rPr>
                <w:b/>
                <w:bCs/>
                <w:sz w:val="18"/>
                <w:szCs w:val="18"/>
              </w:rPr>
            </w:pPr>
            <w:r w:rsidRPr="00D23FB4">
              <w:rPr>
                <w:b/>
                <w:bCs/>
                <w:sz w:val="18"/>
                <w:szCs w:val="18"/>
              </w:rPr>
              <w:t>26</w:t>
            </w:r>
          </w:p>
        </w:tc>
        <w:tc>
          <w:tcPr>
            <w:tcW w:w="462" w:type="pct"/>
            <w:tcBorders>
              <w:top w:val="single" w:sz="4" w:space="0" w:color="000000"/>
              <w:left w:val="single" w:sz="4" w:space="0" w:color="auto"/>
              <w:bottom w:val="single" w:sz="4" w:space="0" w:color="000000"/>
              <w:right w:val="single" w:sz="4" w:space="0" w:color="000000"/>
            </w:tcBorders>
            <w:hideMark/>
          </w:tcPr>
          <w:p w14:paraId="12CBDC91" w14:textId="77777777" w:rsidR="00C8507B" w:rsidRPr="00D23FB4" w:rsidRDefault="00C8507B" w:rsidP="007F39B4">
            <w:pPr>
              <w:pStyle w:val="Akapitzlist"/>
              <w:spacing w:line="300" w:lineRule="atLeast"/>
              <w:ind w:left="0"/>
              <w:jc w:val="center"/>
              <w:rPr>
                <w:b/>
                <w:bCs/>
                <w:sz w:val="18"/>
                <w:szCs w:val="18"/>
              </w:rPr>
            </w:pPr>
            <w:r w:rsidRPr="00D23FB4">
              <w:rPr>
                <w:b/>
                <w:bCs/>
                <w:sz w:val="18"/>
                <w:szCs w:val="18"/>
              </w:rPr>
              <w:t>52</w:t>
            </w:r>
          </w:p>
        </w:tc>
        <w:tc>
          <w:tcPr>
            <w:tcW w:w="601" w:type="pct"/>
            <w:tcBorders>
              <w:top w:val="single" w:sz="4" w:space="0" w:color="000000"/>
              <w:left w:val="single" w:sz="4" w:space="0" w:color="auto"/>
              <w:bottom w:val="single" w:sz="4" w:space="0" w:color="000000"/>
              <w:right w:val="single" w:sz="4" w:space="0" w:color="000000"/>
            </w:tcBorders>
            <w:hideMark/>
          </w:tcPr>
          <w:p w14:paraId="31D97188" w14:textId="77777777" w:rsidR="00C8507B" w:rsidRPr="00D23FB4" w:rsidRDefault="00C8507B" w:rsidP="007F39B4">
            <w:pPr>
              <w:pStyle w:val="Akapitzlist"/>
              <w:spacing w:line="300" w:lineRule="atLeast"/>
              <w:ind w:left="0"/>
              <w:jc w:val="center"/>
              <w:rPr>
                <w:b/>
                <w:bCs/>
                <w:sz w:val="18"/>
                <w:szCs w:val="18"/>
              </w:rPr>
            </w:pPr>
            <w:r w:rsidRPr="00D23FB4">
              <w:rPr>
                <w:b/>
                <w:bCs/>
                <w:sz w:val="18"/>
                <w:szCs w:val="18"/>
              </w:rPr>
              <w:t>34</w:t>
            </w:r>
          </w:p>
        </w:tc>
        <w:tc>
          <w:tcPr>
            <w:tcW w:w="756" w:type="pct"/>
            <w:tcBorders>
              <w:top w:val="single" w:sz="4" w:space="0" w:color="000000"/>
              <w:left w:val="single" w:sz="4" w:space="0" w:color="auto"/>
              <w:bottom w:val="single" w:sz="4" w:space="0" w:color="000000"/>
              <w:right w:val="single" w:sz="4" w:space="0" w:color="000000"/>
            </w:tcBorders>
            <w:hideMark/>
          </w:tcPr>
          <w:p w14:paraId="7DE5337D" w14:textId="77777777" w:rsidR="00C8507B" w:rsidRPr="00D23FB4" w:rsidRDefault="00C8507B" w:rsidP="007F39B4">
            <w:pPr>
              <w:pStyle w:val="Akapitzlist"/>
              <w:spacing w:line="300" w:lineRule="atLeast"/>
              <w:ind w:left="0"/>
              <w:jc w:val="center"/>
              <w:rPr>
                <w:b/>
                <w:bCs/>
                <w:sz w:val="18"/>
                <w:szCs w:val="18"/>
              </w:rPr>
            </w:pPr>
            <w:r w:rsidRPr="00D23FB4">
              <w:rPr>
                <w:b/>
                <w:bCs/>
                <w:sz w:val="18"/>
                <w:szCs w:val="18"/>
              </w:rPr>
              <w:t>15</w:t>
            </w:r>
          </w:p>
        </w:tc>
        <w:tc>
          <w:tcPr>
            <w:tcW w:w="595" w:type="pct"/>
            <w:tcBorders>
              <w:top w:val="single" w:sz="4" w:space="0" w:color="000000"/>
              <w:left w:val="single" w:sz="4" w:space="0" w:color="auto"/>
              <w:bottom w:val="single" w:sz="4" w:space="0" w:color="000000"/>
              <w:right w:val="single" w:sz="4" w:space="0" w:color="000000"/>
            </w:tcBorders>
            <w:hideMark/>
          </w:tcPr>
          <w:p w14:paraId="5CF52E61" w14:textId="77777777" w:rsidR="00C8507B" w:rsidRPr="00D23FB4" w:rsidRDefault="00C8507B" w:rsidP="007F39B4">
            <w:pPr>
              <w:pStyle w:val="Akapitzlist"/>
              <w:spacing w:line="300" w:lineRule="atLeast"/>
              <w:ind w:left="0"/>
              <w:jc w:val="center"/>
              <w:rPr>
                <w:b/>
                <w:bCs/>
                <w:sz w:val="18"/>
                <w:szCs w:val="18"/>
              </w:rPr>
            </w:pPr>
            <w:r w:rsidRPr="00D23FB4">
              <w:rPr>
                <w:b/>
                <w:bCs/>
                <w:sz w:val="18"/>
                <w:szCs w:val="18"/>
              </w:rPr>
              <w:t>175</w:t>
            </w:r>
          </w:p>
        </w:tc>
        <w:tc>
          <w:tcPr>
            <w:tcW w:w="629" w:type="pct"/>
            <w:tcBorders>
              <w:top w:val="single" w:sz="4" w:space="0" w:color="000000"/>
              <w:left w:val="single" w:sz="4" w:space="0" w:color="auto"/>
              <w:bottom w:val="single" w:sz="4" w:space="0" w:color="000000"/>
              <w:right w:val="single" w:sz="4" w:space="0" w:color="000000"/>
            </w:tcBorders>
            <w:hideMark/>
          </w:tcPr>
          <w:p w14:paraId="450135B3" w14:textId="77777777" w:rsidR="00C8507B" w:rsidRPr="00D23FB4" w:rsidRDefault="00C8507B" w:rsidP="007F39B4">
            <w:pPr>
              <w:pStyle w:val="Akapitzlist"/>
              <w:spacing w:line="300" w:lineRule="atLeast"/>
              <w:ind w:left="0"/>
              <w:jc w:val="center"/>
              <w:rPr>
                <w:b/>
                <w:bCs/>
                <w:sz w:val="18"/>
                <w:szCs w:val="18"/>
              </w:rPr>
            </w:pPr>
            <w:r w:rsidRPr="00D23FB4">
              <w:rPr>
                <w:b/>
                <w:bCs/>
                <w:sz w:val="18"/>
                <w:szCs w:val="18"/>
              </w:rPr>
              <w:t>4</w:t>
            </w:r>
          </w:p>
        </w:tc>
      </w:tr>
    </w:tbl>
    <w:p w14:paraId="5E71511A" w14:textId="77777777" w:rsidR="00471376" w:rsidRDefault="00471376" w:rsidP="00D23FB4">
      <w:pPr>
        <w:spacing w:after="60" w:line="300" w:lineRule="atLeast"/>
        <w:rPr>
          <w:rFonts w:ascii="Times New Roman" w:hAnsi="Times New Roman" w:cs="Times New Roman"/>
          <w:i/>
          <w:color w:val="4472C4"/>
          <w:sz w:val="24"/>
          <w:szCs w:val="24"/>
        </w:rPr>
      </w:pPr>
    </w:p>
    <w:p w14:paraId="12260673" w14:textId="1373D9A5" w:rsidR="00C8507B" w:rsidRPr="00C8507B" w:rsidRDefault="00C8507B" w:rsidP="00D23FB4">
      <w:pPr>
        <w:spacing w:after="60" w:line="300" w:lineRule="atLeast"/>
        <w:rPr>
          <w:rFonts w:ascii="Times New Roman" w:hAnsi="Times New Roman" w:cs="Times New Roman"/>
          <w:i/>
          <w:color w:val="4472C4"/>
          <w:sz w:val="24"/>
          <w:szCs w:val="24"/>
        </w:rPr>
      </w:pPr>
      <w:r w:rsidRPr="00C8507B">
        <w:rPr>
          <w:rFonts w:ascii="Times New Roman" w:hAnsi="Times New Roman" w:cs="Times New Roman"/>
          <w:i/>
          <w:color w:val="4472C4"/>
          <w:sz w:val="24"/>
          <w:szCs w:val="24"/>
        </w:rPr>
        <w:t>Wojewódzki Inspektorat Ochrony Środowiska we Wrocławiu</w:t>
      </w:r>
    </w:p>
    <w:p w14:paraId="57D23322" w14:textId="77777777" w:rsidR="00C8507B" w:rsidRPr="00C8507B" w:rsidRDefault="00C8507B" w:rsidP="002D4C96">
      <w:pPr>
        <w:spacing w:line="300" w:lineRule="atLeast"/>
        <w:ind w:firstLine="567"/>
        <w:contextualSpacing/>
        <w:jc w:val="both"/>
        <w:rPr>
          <w:rFonts w:ascii="Times New Roman" w:hAnsi="Times New Roman" w:cs="Times New Roman"/>
          <w:sz w:val="24"/>
          <w:szCs w:val="24"/>
        </w:rPr>
      </w:pPr>
      <w:r w:rsidRPr="00C8507B">
        <w:rPr>
          <w:rFonts w:ascii="Times New Roman" w:hAnsi="Times New Roman" w:cs="Times New Roman"/>
          <w:sz w:val="24"/>
          <w:szCs w:val="24"/>
        </w:rPr>
        <w:t xml:space="preserve">W kontrolach realizowanych w związku z podejrzeniem popełnienia przestępstwa lub wykroczenia przeciwko środowisku 57 razy zastosowano środki oddziaływania wychowawczego w postaci pouczenia, 22 razy ukarano sprawców mandatami karnymi. Wydano 33 decyzje administracyjne oraz 65 zarządzeń pokontrolnych. W związku ze </w:t>
      </w:r>
      <w:r w:rsidRPr="00C8507B">
        <w:rPr>
          <w:rFonts w:ascii="Times New Roman" w:hAnsi="Times New Roman" w:cs="Times New Roman"/>
          <w:sz w:val="24"/>
          <w:szCs w:val="24"/>
        </w:rPr>
        <w:lastRenderedPageBreak/>
        <w:t>stwierdzonymi nieprawidłowościami 86 razy wystąpiono do innych organów, w tym skierowano 4 wnioski do organów ścigania.</w:t>
      </w:r>
    </w:p>
    <w:p w14:paraId="36007286" w14:textId="77777777" w:rsidR="00C8507B" w:rsidRPr="00C8507B" w:rsidRDefault="00C8507B" w:rsidP="00C8507B">
      <w:pPr>
        <w:spacing w:line="300" w:lineRule="atLeast"/>
        <w:contextualSpacing/>
        <w:rPr>
          <w:rFonts w:ascii="Times New Roman" w:hAnsi="Times New Roman" w:cs="Times New Roman"/>
          <w:i/>
          <w:color w:val="4472C4"/>
          <w:sz w:val="24"/>
          <w:szCs w:val="24"/>
        </w:rPr>
      </w:pPr>
    </w:p>
    <w:p w14:paraId="4A3649FB" w14:textId="77777777" w:rsidR="00C8507B" w:rsidRPr="00C8507B" w:rsidRDefault="00C8507B" w:rsidP="00D23FB4">
      <w:pPr>
        <w:spacing w:after="60" w:line="300" w:lineRule="atLeast"/>
        <w:rPr>
          <w:rFonts w:ascii="Times New Roman" w:hAnsi="Times New Roman" w:cs="Times New Roman"/>
          <w:i/>
          <w:color w:val="4472C4"/>
          <w:sz w:val="24"/>
          <w:szCs w:val="24"/>
        </w:rPr>
      </w:pPr>
      <w:r w:rsidRPr="00C8507B">
        <w:rPr>
          <w:rFonts w:ascii="Times New Roman" w:hAnsi="Times New Roman" w:cs="Times New Roman"/>
          <w:i/>
          <w:color w:val="4472C4"/>
          <w:sz w:val="24"/>
          <w:szCs w:val="24"/>
        </w:rPr>
        <w:t>Wojewódzki Inspektorat Ochrony Środowiska w Zielonej Górze</w:t>
      </w:r>
    </w:p>
    <w:p w14:paraId="30F9F82D" w14:textId="4DBBE703" w:rsidR="00C8507B" w:rsidRPr="00C8507B" w:rsidRDefault="00C8507B" w:rsidP="002D4C96">
      <w:pPr>
        <w:spacing w:after="0" w:line="300" w:lineRule="atLeast"/>
        <w:ind w:firstLine="567"/>
        <w:jc w:val="both"/>
        <w:rPr>
          <w:rFonts w:ascii="Times New Roman" w:hAnsi="Times New Roman" w:cs="Times New Roman"/>
          <w:color w:val="000000"/>
          <w:sz w:val="24"/>
          <w:szCs w:val="24"/>
        </w:rPr>
      </w:pPr>
      <w:r w:rsidRPr="00C8507B">
        <w:rPr>
          <w:rFonts w:ascii="Times New Roman" w:hAnsi="Times New Roman" w:cs="Times New Roman"/>
          <w:sz w:val="24"/>
          <w:szCs w:val="24"/>
        </w:rPr>
        <w:t xml:space="preserve">Zawiadomienia o możliwości popełnienia przestępstwa – 8, wniosek o uznanie szkody </w:t>
      </w:r>
      <w:r w:rsidR="00D23FB4">
        <w:rPr>
          <w:rFonts w:ascii="Times New Roman" w:hAnsi="Times New Roman" w:cs="Times New Roman"/>
          <w:sz w:val="24"/>
          <w:szCs w:val="24"/>
        </w:rPr>
        <w:br/>
      </w:r>
      <w:r w:rsidRPr="00C8507B">
        <w:rPr>
          <w:rFonts w:ascii="Times New Roman" w:hAnsi="Times New Roman" w:cs="Times New Roman"/>
          <w:sz w:val="24"/>
          <w:szCs w:val="24"/>
        </w:rPr>
        <w:t xml:space="preserve">w środowisku do RDOŚ- 2, wstrzymanie działalności w zakresie zbierania i przetwarzania odpadów- 2, pisma do samorządów w sprawie nieprawidłowości związanych ze zbieraniem odpadów przez osoby prywatne </w:t>
      </w:r>
      <w:r w:rsidR="00D23FB4">
        <w:rPr>
          <w:rFonts w:ascii="Times New Roman" w:hAnsi="Times New Roman" w:cs="Times New Roman"/>
          <w:sz w:val="24"/>
          <w:szCs w:val="24"/>
        </w:rPr>
        <w:t>–</w:t>
      </w:r>
      <w:r w:rsidRPr="00C8507B">
        <w:rPr>
          <w:rFonts w:ascii="Times New Roman" w:hAnsi="Times New Roman" w:cs="Times New Roman"/>
          <w:sz w:val="24"/>
          <w:szCs w:val="24"/>
        </w:rPr>
        <w:t xml:space="preserve"> 23</w:t>
      </w:r>
      <w:r w:rsidR="00D23FB4">
        <w:rPr>
          <w:rFonts w:ascii="Times New Roman" w:hAnsi="Times New Roman" w:cs="Times New Roman"/>
          <w:sz w:val="24"/>
          <w:szCs w:val="24"/>
        </w:rPr>
        <w:t xml:space="preserve">. </w:t>
      </w:r>
    </w:p>
    <w:p w14:paraId="4C5EDCE3" w14:textId="2B826C93" w:rsidR="002D4C96" w:rsidRDefault="002D4C96">
      <w:pPr>
        <w:rPr>
          <w:color w:val="000000"/>
          <w:sz w:val="24"/>
          <w:szCs w:val="24"/>
        </w:rPr>
      </w:pPr>
      <w:r>
        <w:rPr>
          <w:color w:val="000000"/>
          <w:sz w:val="24"/>
          <w:szCs w:val="24"/>
        </w:rPr>
        <w:br w:type="page"/>
      </w:r>
    </w:p>
    <w:p w14:paraId="3FA99027" w14:textId="77777777" w:rsidR="00A22034" w:rsidRPr="007F400A" w:rsidRDefault="00A22034" w:rsidP="00D34F97">
      <w:pPr>
        <w:pStyle w:val="Akapitzlist"/>
        <w:numPr>
          <w:ilvl w:val="1"/>
          <w:numId w:val="148"/>
        </w:numPr>
        <w:spacing w:line="300" w:lineRule="atLeast"/>
        <w:ind w:left="567" w:hanging="567"/>
        <w:contextualSpacing w:val="0"/>
        <w:jc w:val="both"/>
        <w:outlineLvl w:val="0"/>
        <w:rPr>
          <w:rStyle w:val="Nagwek3Znak"/>
          <w:rFonts w:ascii="Times New Roman" w:eastAsia="Calibri" w:hAnsi="Times New Roman"/>
          <w:color w:val="000000"/>
          <w:sz w:val="24"/>
          <w:szCs w:val="24"/>
          <w:u w:val="single"/>
          <w:lang w:eastAsia="en-US"/>
        </w:rPr>
      </w:pPr>
      <w:bookmarkStart w:id="340" w:name="_Toc99469621"/>
      <w:r w:rsidRPr="007F400A">
        <w:rPr>
          <w:rStyle w:val="Nagwek3Znak"/>
          <w:rFonts w:ascii="Times New Roman" w:eastAsia="Calibri" w:hAnsi="Times New Roman"/>
          <w:sz w:val="24"/>
          <w:szCs w:val="24"/>
        </w:rPr>
        <w:lastRenderedPageBreak/>
        <w:t xml:space="preserve"> </w:t>
      </w:r>
      <w:bookmarkStart w:id="341" w:name="_Toc135935683"/>
      <w:r w:rsidRPr="007F400A">
        <w:rPr>
          <w:rStyle w:val="Nagwek3Znak"/>
          <w:rFonts w:ascii="Times New Roman" w:eastAsia="Calibri" w:hAnsi="Times New Roman"/>
          <w:color w:val="000000" w:themeColor="text1"/>
          <w:sz w:val="24"/>
          <w:szCs w:val="24"/>
        </w:rPr>
        <w:t>Szczegółowe omówienie wybranych przykładów kontroli</w:t>
      </w:r>
      <w:bookmarkEnd w:id="340"/>
      <w:bookmarkEnd w:id="341"/>
    </w:p>
    <w:p w14:paraId="670BFE7C" w14:textId="1EE10616" w:rsidR="00A22034" w:rsidRPr="002D4C96" w:rsidRDefault="00A22034" w:rsidP="00F27A74">
      <w:pPr>
        <w:spacing w:after="0" w:line="300" w:lineRule="atLeast"/>
        <w:jc w:val="both"/>
        <w:rPr>
          <w:b/>
          <w:color w:val="000000"/>
          <w:sz w:val="24"/>
          <w:szCs w:val="24"/>
          <w:u w:val="single"/>
          <w:lang w:val="x-none"/>
        </w:rPr>
      </w:pPr>
    </w:p>
    <w:p w14:paraId="21224A73" w14:textId="2671A031" w:rsidR="002700B1" w:rsidRDefault="002700B1" w:rsidP="005601DD">
      <w:pPr>
        <w:spacing w:after="60" w:line="300" w:lineRule="atLeast"/>
        <w:jc w:val="both"/>
        <w:rPr>
          <w:rFonts w:ascii="Times New Roman" w:hAnsi="Times New Roman" w:cs="Times New Roman"/>
          <w:sz w:val="24"/>
          <w:szCs w:val="24"/>
        </w:rPr>
      </w:pPr>
      <w:r>
        <w:rPr>
          <w:rFonts w:ascii="Times New Roman" w:hAnsi="Times New Roman" w:cs="Times New Roman"/>
          <w:b/>
          <w:i/>
          <w:iCs/>
          <w:color w:val="000000"/>
          <w:sz w:val="24"/>
          <w:szCs w:val="24"/>
        </w:rPr>
        <w:t xml:space="preserve">Kontrola zakładu przetwarzającego oleje odpadowe i odpady zaolejone, woj. pomorskie </w:t>
      </w:r>
      <w:r w:rsidRPr="002700B1">
        <w:rPr>
          <w:rFonts w:ascii="Times New Roman" w:hAnsi="Times New Roman" w:cs="Times New Roman"/>
          <w:sz w:val="24"/>
          <w:szCs w:val="24"/>
        </w:rPr>
        <w:t xml:space="preserve"> </w:t>
      </w:r>
    </w:p>
    <w:p w14:paraId="4CDD194B" w14:textId="77777777" w:rsidR="002700B1" w:rsidRDefault="002700B1" w:rsidP="002D4C96">
      <w:pPr>
        <w:autoSpaceDE w:val="0"/>
        <w:autoSpaceDN w:val="0"/>
        <w:adjustRightInd w:val="0"/>
        <w:spacing w:line="300" w:lineRule="atLeast"/>
        <w:ind w:firstLine="567"/>
        <w:contextualSpacing/>
        <w:jc w:val="both"/>
        <w:rPr>
          <w:rFonts w:ascii="Times New Roman" w:hAnsi="Times New Roman" w:cs="Times New Roman"/>
          <w:sz w:val="24"/>
          <w:szCs w:val="24"/>
        </w:rPr>
      </w:pPr>
      <w:r w:rsidRPr="00400B09">
        <w:rPr>
          <w:rFonts w:ascii="Times New Roman" w:hAnsi="Times New Roman" w:cs="Times New Roman"/>
          <w:sz w:val="24"/>
          <w:szCs w:val="24"/>
        </w:rPr>
        <w:t>Kontrola została wszczęta w związku z anonimowym zgłoszeniem dot</w:t>
      </w:r>
      <w:r>
        <w:rPr>
          <w:rFonts w:ascii="Times New Roman" w:hAnsi="Times New Roman" w:cs="Times New Roman"/>
          <w:sz w:val="24"/>
          <w:szCs w:val="24"/>
        </w:rPr>
        <w:t>yczącym</w:t>
      </w:r>
      <w:r w:rsidRPr="00400B09">
        <w:rPr>
          <w:rFonts w:ascii="Times New Roman" w:hAnsi="Times New Roman" w:cs="Times New Roman"/>
          <w:sz w:val="24"/>
          <w:szCs w:val="24"/>
        </w:rPr>
        <w:t xml:space="preserve"> nieprawidłowości w zakresie przetwórstwa olejów odpadowych i odpadów zaolejonych. Według zgłoszenia</w:t>
      </w:r>
      <w:r>
        <w:rPr>
          <w:rFonts w:ascii="Times New Roman" w:hAnsi="Times New Roman" w:cs="Times New Roman"/>
          <w:sz w:val="24"/>
          <w:szCs w:val="24"/>
        </w:rPr>
        <w:t>,</w:t>
      </w:r>
      <w:r w:rsidRPr="00400B09">
        <w:rPr>
          <w:rFonts w:ascii="Times New Roman" w:hAnsi="Times New Roman" w:cs="Times New Roman"/>
          <w:sz w:val="24"/>
          <w:szCs w:val="24"/>
        </w:rPr>
        <w:t xml:space="preserve"> spółka prowadząca zakład wykorzystuje elastyczne zapisy posiadanego pozwolenia i dokonuje jedynie wstępnego oczyszczenia olejów, uznając, że doszło do regeneracji oleju odpadowego do oleju bazowego (bazy olejowej dla olejów smarowych), wytwarzając przy tym dokument DPR i wysyłając odpad do innych odbiorców (w tym zagranicznych) poza regulacjami przepisów o odpadach. </w:t>
      </w:r>
    </w:p>
    <w:p w14:paraId="71D7BD3C" w14:textId="6A24CBE7" w:rsidR="002700B1" w:rsidRDefault="002700B1" w:rsidP="002D4C96">
      <w:pPr>
        <w:autoSpaceDE w:val="0"/>
        <w:autoSpaceDN w:val="0"/>
        <w:adjustRightInd w:val="0"/>
        <w:spacing w:line="300" w:lineRule="atLeast"/>
        <w:ind w:firstLine="567"/>
        <w:contextualSpacing/>
        <w:jc w:val="both"/>
        <w:rPr>
          <w:rFonts w:ascii="Times New Roman" w:hAnsi="Times New Roman" w:cs="Times New Roman"/>
          <w:sz w:val="24"/>
          <w:szCs w:val="24"/>
        </w:rPr>
      </w:pPr>
      <w:r w:rsidRPr="00400B09">
        <w:rPr>
          <w:rFonts w:ascii="Times New Roman" w:hAnsi="Times New Roman" w:cs="Times New Roman"/>
          <w:sz w:val="24"/>
          <w:szCs w:val="24"/>
        </w:rPr>
        <w:t xml:space="preserve">Inspektorzy </w:t>
      </w:r>
      <w:r>
        <w:rPr>
          <w:rFonts w:ascii="Times New Roman" w:hAnsi="Times New Roman" w:cs="Times New Roman"/>
          <w:sz w:val="24"/>
          <w:szCs w:val="24"/>
        </w:rPr>
        <w:t xml:space="preserve">nawiązali </w:t>
      </w:r>
      <w:r w:rsidRPr="00400B09">
        <w:rPr>
          <w:rFonts w:ascii="Times New Roman" w:hAnsi="Times New Roman" w:cs="Times New Roman"/>
          <w:sz w:val="24"/>
          <w:szCs w:val="24"/>
        </w:rPr>
        <w:t>współpracę z funkcjonariuszami Pomorskiego Urzędu Celno-Skarbowego</w:t>
      </w:r>
      <w:r>
        <w:rPr>
          <w:rFonts w:ascii="Times New Roman" w:hAnsi="Times New Roman" w:cs="Times New Roman"/>
          <w:sz w:val="24"/>
          <w:szCs w:val="24"/>
        </w:rPr>
        <w:t xml:space="preserve"> (PUC-S)</w:t>
      </w:r>
      <w:r w:rsidRPr="00400B09">
        <w:rPr>
          <w:rFonts w:ascii="Times New Roman" w:hAnsi="Times New Roman" w:cs="Times New Roman"/>
          <w:sz w:val="24"/>
          <w:szCs w:val="24"/>
        </w:rPr>
        <w:t xml:space="preserve">. Po dokonaniu przez Spółkę zgłoszenia SENT (wysyłki „towaru” do Finlandii) pojazd został zatrzymany do kontroli drogowej celnoskarbowej. Jedna z pobranych próbek została przekazana inspektorom WIOŚ. Upoważniony do udziału w kontroli </w:t>
      </w:r>
      <w:proofErr w:type="spellStart"/>
      <w:r w:rsidRPr="00400B09">
        <w:rPr>
          <w:rFonts w:ascii="Times New Roman" w:hAnsi="Times New Roman" w:cs="Times New Roman"/>
          <w:sz w:val="24"/>
          <w:szCs w:val="24"/>
        </w:rPr>
        <w:t>próbobiorca</w:t>
      </w:r>
      <w:proofErr w:type="spellEnd"/>
      <w:r>
        <w:rPr>
          <w:rFonts w:ascii="Times New Roman" w:hAnsi="Times New Roman" w:cs="Times New Roman"/>
          <w:sz w:val="24"/>
          <w:szCs w:val="24"/>
        </w:rPr>
        <w:t xml:space="preserve"> </w:t>
      </w:r>
      <w:r w:rsidRPr="00400B09">
        <w:rPr>
          <w:rFonts w:ascii="Times New Roman" w:hAnsi="Times New Roman" w:cs="Times New Roman"/>
          <w:sz w:val="24"/>
          <w:szCs w:val="24"/>
        </w:rPr>
        <w:t xml:space="preserve">z laboratorium zewnętrznego dokonał poboru próby oleju z cysterny na terenie zakładu przed rozpoczęciem transportu towaru do Niemiec. Właściwości fizyczne próbki oraz zawartość zanieczyszczeń została zbadana przez laboratorium zewnętrzne. Dodatkowo, z racji tego, że przepisy prawa ani normy techniczne nie określają minimalnych wymogów stawianym olejom bazowym, WIOŚ zlecił ocenę wyników badań rzeczoznawcy z listy Inspekcji Handlowej </w:t>
      </w:r>
      <w:proofErr w:type="spellStart"/>
      <w:r w:rsidRPr="00400B09">
        <w:rPr>
          <w:rFonts w:ascii="Times New Roman" w:hAnsi="Times New Roman" w:cs="Times New Roman"/>
          <w:sz w:val="24"/>
          <w:szCs w:val="24"/>
        </w:rPr>
        <w:t>ws</w:t>
      </w:r>
      <w:proofErr w:type="spellEnd"/>
      <w:r w:rsidRPr="00400B09">
        <w:rPr>
          <w:rFonts w:ascii="Times New Roman" w:hAnsi="Times New Roman" w:cs="Times New Roman"/>
          <w:sz w:val="24"/>
          <w:szCs w:val="24"/>
        </w:rPr>
        <w:t xml:space="preserve">. jakości produktów lub usług w zakresie „Określanie i weryfikacja jakości </w:t>
      </w:r>
      <w:r w:rsidR="00662448">
        <w:rPr>
          <w:rFonts w:ascii="Times New Roman" w:hAnsi="Times New Roman" w:cs="Times New Roman"/>
          <w:sz w:val="24"/>
          <w:szCs w:val="24"/>
        </w:rPr>
        <w:br/>
      </w:r>
      <w:r w:rsidRPr="00400B09">
        <w:rPr>
          <w:rFonts w:ascii="Times New Roman" w:hAnsi="Times New Roman" w:cs="Times New Roman"/>
          <w:sz w:val="24"/>
          <w:szCs w:val="24"/>
        </w:rPr>
        <w:t xml:space="preserve">i ilości ropy naftowej, produktów naftowych, paliw i gazu płynnego”. </w:t>
      </w:r>
    </w:p>
    <w:p w14:paraId="5EED1C4D" w14:textId="09FAC5DF" w:rsidR="002700B1" w:rsidRDefault="002700B1" w:rsidP="002D4C96">
      <w:pPr>
        <w:autoSpaceDE w:val="0"/>
        <w:autoSpaceDN w:val="0"/>
        <w:adjustRightInd w:val="0"/>
        <w:spacing w:line="300" w:lineRule="atLeast"/>
        <w:ind w:firstLine="567"/>
        <w:contextualSpacing/>
        <w:jc w:val="both"/>
        <w:rPr>
          <w:rFonts w:ascii="Times New Roman" w:hAnsi="Times New Roman" w:cs="Times New Roman"/>
          <w:sz w:val="24"/>
          <w:szCs w:val="24"/>
        </w:rPr>
      </w:pPr>
      <w:r w:rsidRPr="00400B09">
        <w:rPr>
          <w:rFonts w:ascii="Times New Roman" w:hAnsi="Times New Roman" w:cs="Times New Roman"/>
          <w:sz w:val="24"/>
          <w:szCs w:val="24"/>
        </w:rPr>
        <w:t xml:space="preserve">W wyniku kontroli stwierdzono, że spółka dokonywała nielegalnego międzynarodowego przemieszczania odpadów do Finlandii oraz Niemiec (wysyłka wstępnie oczyszczonego oleju odpadowego „pod szyldem” oleju bazowego), w sposób nieuprawniony wystawia dokumenty DPO i DPR na rzecz organizacji odzysku oraz ewidencjonuje przetworzenie odpadów </w:t>
      </w:r>
      <w:r w:rsidR="00E433B9">
        <w:rPr>
          <w:rFonts w:ascii="Times New Roman" w:hAnsi="Times New Roman" w:cs="Times New Roman"/>
          <w:sz w:val="24"/>
          <w:szCs w:val="24"/>
        </w:rPr>
        <w:br/>
      </w:r>
      <w:r w:rsidRPr="00400B09">
        <w:rPr>
          <w:rFonts w:ascii="Times New Roman" w:hAnsi="Times New Roman" w:cs="Times New Roman"/>
          <w:sz w:val="24"/>
          <w:szCs w:val="24"/>
        </w:rPr>
        <w:t xml:space="preserve">w procesie R9 zamiast R12, tj. niezgodnie ze stanem rzeczywistym. Ponadto spółka nie wykonywała badań międzyprocesowych wymaganych pozwoleniem zintegrowanym. </w:t>
      </w:r>
    </w:p>
    <w:p w14:paraId="6A378EC6" w14:textId="7C8394B7" w:rsidR="002700B1" w:rsidRDefault="002700B1" w:rsidP="002D4C96">
      <w:pPr>
        <w:autoSpaceDE w:val="0"/>
        <w:autoSpaceDN w:val="0"/>
        <w:adjustRightInd w:val="0"/>
        <w:spacing w:line="300" w:lineRule="atLeast"/>
        <w:ind w:firstLine="567"/>
        <w:contextualSpacing/>
        <w:jc w:val="both"/>
        <w:rPr>
          <w:rFonts w:ascii="Times New Roman" w:hAnsi="Times New Roman" w:cs="Times New Roman"/>
          <w:sz w:val="24"/>
          <w:szCs w:val="24"/>
        </w:rPr>
      </w:pPr>
      <w:r w:rsidRPr="00400B09">
        <w:rPr>
          <w:rFonts w:ascii="Times New Roman" w:hAnsi="Times New Roman" w:cs="Times New Roman"/>
          <w:sz w:val="24"/>
          <w:szCs w:val="24"/>
        </w:rPr>
        <w:t>Ustalenia kontroli przekazano (w styczniu 2023 r.) Marszałkowi Województwa Pomorskiemu (organowi, który wydał pozwolenie), Naczelnikowi PUC-S w Gdyni (celem ustalenia czy w sprawie doszło do naruszenia przepisów podatkowych). Zawiadomiono GIOŚ o nielegalnym międzynarodowym przemieszczeniu odpadów. Przygotowywane jest zawiadomienie do prokuratury. W sprawie zostaną wszczęte postępowania w sprawie nałożenia na podmiot administracyjnych kar pieniężnych.</w:t>
      </w:r>
    </w:p>
    <w:p w14:paraId="0979E3BF" w14:textId="77777777" w:rsidR="002700B1" w:rsidRPr="00400B09" w:rsidRDefault="002700B1" w:rsidP="002700B1">
      <w:pPr>
        <w:autoSpaceDE w:val="0"/>
        <w:autoSpaceDN w:val="0"/>
        <w:adjustRightInd w:val="0"/>
        <w:spacing w:line="300" w:lineRule="atLeast"/>
        <w:ind w:firstLine="708"/>
        <w:contextualSpacing/>
        <w:jc w:val="both"/>
        <w:rPr>
          <w:rFonts w:ascii="Times New Roman" w:hAnsi="Times New Roman" w:cs="Times New Roman"/>
          <w:sz w:val="24"/>
          <w:szCs w:val="24"/>
        </w:rPr>
      </w:pPr>
    </w:p>
    <w:p w14:paraId="706D3BC3" w14:textId="77777777" w:rsidR="002700B1" w:rsidRPr="00400B09" w:rsidRDefault="002700B1" w:rsidP="002700B1">
      <w:pPr>
        <w:autoSpaceDE w:val="0"/>
        <w:autoSpaceDN w:val="0"/>
        <w:adjustRightInd w:val="0"/>
        <w:spacing w:line="300" w:lineRule="atLeast"/>
        <w:contextualSpacing/>
        <w:jc w:val="center"/>
        <w:rPr>
          <w:rFonts w:ascii="Times New Roman" w:hAnsi="Times New Roman" w:cs="Times New Roman"/>
          <w:sz w:val="24"/>
          <w:szCs w:val="24"/>
        </w:rPr>
      </w:pPr>
      <w:r w:rsidRPr="00400B09">
        <w:rPr>
          <w:rFonts w:ascii="Times New Roman" w:hAnsi="Times New Roman" w:cs="Times New Roman"/>
          <w:noProof/>
          <w:sz w:val="24"/>
          <w:szCs w:val="24"/>
          <w:lang w:eastAsia="pl-PL"/>
        </w:rPr>
        <w:lastRenderedPageBreak/>
        <w:drawing>
          <wp:inline distT="0" distB="0" distL="0" distR="0" wp14:anchorId="296D6AF0" wp14:editId="2B2F1850">
            <wp:extent cx="4038600" cy="3028950"/>
            <wp:effectExtent l="0" t="0" r="6350" b="0"/>
            <wp:docPr id="156" name="Obraz 156" descr="Zdjęcie 33. Próbnik typu „butelka w koszu” służący do poboru oleju z cyster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Obraz 156" descr="Zdjęcie 33. Próbnik typu „butelka w koszu” służący do poboru oleju z cysterny"/>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038600" cy="3028950"/>
                    </a:xfrm>
                    <a:prstGeom prst="rect">
                      <a:avLst/>
                    </a:prstGeom>
                    <a:noFill/>
                    <a:ln>
                      <a:noFill/>
                    </a:ln>
                  </pic:spPr>
                </pic:pic>
              </a:graphicData>
            </a:graphic>
          </wp:inline>
        </w:drawing>
      </w:r>
    </w:p>
    <w:p w14:paraId="299A8F05" w14:textId="13E8635C" w:rsidR="002700B1" w:rsidRPr="002700B1" w:rsidRDefault="002700B1" w:rsidP="00ED2EE8">
      <w:pPr>
        <w:autoSpaceDE w:val="0"/>
        <w:autoSpaceDN w:val="0"/>
        <w:adjustRightInd w:val="0"/>
        <w:spacing w:after="240" w:line="300" w:lineRule="atLeast"/>
        <w:jc w:val="center"/>
        <w:rPr>
          <w:rFonts w:ascii="Times New Roman" w:hAnsi="Times New Roman" w:cs="Times New Roman"/>
          <w:b/>
        </w:rPr>
      </w:pPr>
      <w:r w:rsidRPr="002700B1">
        <w:rPr>
          <w:rFonts w:ascii="Times New Roman" w:hAnsi="Times New Roman" w:cs="Times New Roman"/>
          <w:b/>
        </w:rPr>
        <w:t>Zdjęcie 3</w:t>
      </w:r>
      <w:r w:rsidR="00F67169">
        <w:rPr>
          <w:rFonts w:ascii="Times New Roman" w:hAnsi="Times New Roman" w:cs="Times New Roman"/>
          <w:b/>
        </w:rPr>
        <w:t>3</w:t>
      </w:r>
      <w:r w:rsidRPr="002700B1">
        <w:rPr>
          <w:rFonts w:ascii="Times New Roman" w:hAnsi="Times New Roman" w:cs="Times New Roman"/>
          <w:b/>
        </w:rPr>
        <w:t>. Próbnik typu „butelka w koszu” służący do poboru oleju z cysterny</w:t>
      </w:r>
    </w:p>
    <w:p w14:paraId="220BE844" w14:textId="5C86AC0D" w:rsidR="002700B1" w:rsidRPr="00ED2EE8" w:rsidRDefault="00662448" w:rsidP="005601DD">
      <w:pPr>
        <w:spacing w:after="60" w:line="300" w:lineRule="atLeast"/>
        <w:jc w:val="both"/>
        <w:rPr>
          <w:rFonts w:ascii="Times New Roman" w:hAnsi="Times New Roman" w:cs="Times New Roman"/>
          <w:b/>
          <w:i/>
          <w:color w:val="000000"/>
          <w:sz w:val="24"/>
          <w:szCs w:val="24"/>
        </w:rPr>
      </w:pPr>
      <w:r>
        <w:rPr>
          <w:rFonts w:ascii="Times New Roman" w:hAnsi="Times New Roman" w:cs="Times New Roman"/>
          <w:b/>
          <w:i/>
          <w:color w:val="000000"/>
          <w:sz w:val="24"/>
          <w:szCs w:val="24"/>
        </w:rPr>
        <w:t>Kontrola podmiotu z siedzibą w Kielcach</w:t>
      </w:r>
      <w:r w:rsidR="00ED2EE8" w:rsidRPr="00ED2EE8">
        <w:rPr>
          <w:rFonts w:ascii="Times New Roman" w:hAnsi="Times New Roman" w:cs="Times New Roman"/>
          <w:b/>
          <w:i/>
          <w:color w:val="000000"/>
          <w:sz w:val="24"/>
          <w:szCs w:val="24"/>
        </w:rPr>
        <w:t>, woj. świętokrzyskie</w:t>
      </w:r>
    </w:p>
    <w:p w14:paraId="4E8A328B" w14:textId="77777777" w:rsidR="00662448" w:rsidRDefault="00662448" w:rsidP="002D4C96">
      <w:pPr>
        <w:spacing w:line="300" w:lineRule="atLeast"/>
        <w:ind w:firstLine="567"/>
        <w:contextualSpacing/>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Kontrola została podjęta w związku ze zgłoszonym zawiadomieniem o podejrzeniu realizacji przetargu niezgodnie z przepisami ochrony środowiska dot</w:t>
      </w:r>
      <w:r>
        <w:rPr>
          <w:rFonts w:ascii="Times New Roman" w:eastAsia="Calibri" w:hAnsi="Times New Roman" w:cs="Times New Roman"/>
          <w:sz w:val="24"/>
          <w:szCs w:val="24"/>
        </w:rPr>
        <w:t>yczącymi</w:t>
      </w:r>
      <w:r w:rsidRPr="00400B09">
        <w:rPr>
          <w:rFonts w:ascii="Times New Roman" w:eastAsia="Calibri" w:hAnsi="Times New Roman" w:cs="Times New Roman"/>
          <w:sz w:val="24"/>
          <w:szCs w:val="24"/>
        </w:rPr>
        <w:t xml:space="preserve"> zagospodarowania odpadów pochodzenia chemicznego. Dodatkowo zakres przedmiotowej kontroli w Spółce został rozszerzony o wpływające w trakcie trwania kontroli liczne wnioski dot</w:t>
      </w:r>
      <w:r>
        <w:rPr>
          <w:rFonts w:ascii="Times New Roman" w:eastAsia="Calibri" w:hAnsi="Times New Roman" w:cs="Times New Roman"/>
          <w:sz w:val="24"/>
          <w:szCs w:val="24"/>
        </w:rPr>
        <w:t>yczącymi</w:t>
      </w:r>
      <w:r w:rsidRPr="00400B09">
        <w:rPr>
          <w:rFonts w:ascii="Times New Roman" w:eastAsia="Calibri" w:hAnsi="Times New Roman" w:cs="Times New Roman"/>
          <w:sz w:val="24"/>
          <w:szCs w:val="24"/>
        </w:rPr>
        <w:t xml:space="preserve"> nieprawidłowego gospodarowania odpadami. </w:t>
      </w:r>
    </w:p>
    <w:p w14:paraId="68F1E888" w14:textId="26C1CADA" w:rsidR="00662448" w:rsidRPr="00400B09" w:rsidRDefault="00662448" w:rsidP="002D4C96">
      <w:pPr>
        <w:spacing w:after="120" w:line="300" w:lineRule="atLeast"/>
        <w:ind w:firstLine="567"/>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W związku z powyższym</w:t>
      </w:r>
      <w:r>
        <w:rPr>
          <w:rFonts w:ascii="Times New Roman" w:eastAsia="Calibri" w:hAnsi="Times New Roman" w:cs="Times New Roman"/>
          <w:sz w:val="24"/>
          <w:szCs w:val="24"/>
        </w:rPr>
        <w:t>,</w:t>
      </w:r>
      <w:r w:rsidRPr="00400B09">
        <w:rPr>
          <w:rFonts w:ascii="Times New Roman" w:eastAsia="Calibri" w:hAnsi="Times New Roman" w:cs="Times New Roman"/>
          <w:sz w:val="24"/>
          <w:szCs w:val="24"/>
        </w:rPr>
        <w:t xml:space="preserve"> kontrolą został objęty teren zakładu, na którym Spółka prowadziła  kompostownię, instalację do przetwarzania odpadów chemicznych, poletka </w:t>
      </w:r>
      <w:proofErr w:type="spellStart"/>
      <w:r w:rsidRPr="00400B09">
        <w:rPr>
          <w:rFonts w:ascii="Times New Roman" w:eastAsia="Calibri" w:hAnsi="Times New Roman" w:cs="Times New Roman"/>
          <w:sz w:val="24"/>
          <w:szCs w:val="24"/>
        </w:rPr>
        <w:t>bioremediacyjne</w:t>
      </w:r>
      <w:proofErr w:type="spellEnd"/>
      <w:r w:rsidRPr="00400B09">
        <w:rPr>
          <w:rFonts w:ascii="Times New Roman" w:eastAsia="Calibri" w:hAnsi="Times New Roman" w:cs="Times New Roman"/>
          <w:sz w:val="24"/>
          <w:szCs w:val="24"/>
        </w:rPr>
        <w:t xml:space="preserve">, na których dokonywano odzysku odpadów, zbierała i magazynowała odpady pochodzenia chemicznego. Dodatkowo kontrolą objęto miejsca, z których Spółka usuwała odpady niebezpieczne w ramach realizacji wykonania zastępczego realizowanego przez samorządy. Na terenie objętym kontrolą w m. Dobrów ujawniono zakopane znaczne ilości odpadów w postaci ustabilizowanych komunalnych osadów ściekowych o kodzie 19 08 05, niesegregowanych (zmieszanych) odpadów komunalnych o kodzie 20 03 01 i </w:t>
      </w:r>
      <w:proofErr w:type="spellStart"/>
      <w:r w:rsidRPr="00400B09">
        <w:rPr>
          <w:rFonts w:ascii="Times New Roman" w:eastAsia="Calibri" w:hAnsi="Times New Roman" w:cs="Times New Roman"/>
          <w:sz w:val="24"/>
          <w:szCs w:val="24"/>
        </w:rPr>
        <w:t>skratek</w:t>
      </w:r>
      <w:proofErr w:type="spellEnd"/>
      <w:r w:rsidRPr="00400B09">
        <w:rPr>
          <w:rFonts w:ascii="Times New Roman" w:eastAsia="Calibri" w:hAnsi="Times New Roman" w:cs="Times New Roman"/>
          <w:sz w:val="24"/>
          <w:szCs w:val="24"/>
        </w:rPr>
        <w:t xml:space="preserve"> o kodzie 19 08 01. W trakcie kontroli stwierdzono liczne naruszenia przepisów ochrony środowiska oraz warunków posiadanych decyzji w zakresie zbierania i przetwarzania odpadów. Podczas kontroli przesłuchano pracowników firmy, w tym dyrektora Spółki, do działań wykorzystano również bezzałogowy statek powietrzny, wynajętą koparkę oraz sprzęt pomiarowy.</w:t>
      </w:r>
    </w:p>
    <w:p w14:paraId="23729920" w14:textId="2A075248" w:rsidR="00662448" w:rsidRPr="00662448" w:rsidRDefault="00662448" w:rsidP="002D4C96">
      <w:pPr>
        <w:spacing w:after="0" w:line="300" w:lineRule="atLeast"/>
        <w:jc w:val="both"/>
        <w:rPr>
          <w:rFonts w:ascii="Times New Roman" w:hAnsi="Times New Roman" w:cs="Times New Roman"/>
          <w:sz w:val="24"/>
          <w:szCs w:val="24"/>
        </w:rPr>
      </w:pPr>
      <w:r w:rsidRPr="00662448">
        <w:rPr>
          <w:rFonts w:ascii="Times New Roman" w:hAnsi="Times New Roman" w:cs="Times New Roman"/>
          <w:sz w:val="24"/>
          <w:szCs w:val="24"/>
        </w:rPr>
        <w:t>Stwierdzone nieprawidłowości:</w:t>
      </w:r>
    </w:p>
    <w:p w14:paraId="7E6933CB" w14:textId="77777777" w:rsidR="00662448" w:rsidRPr="00400B09" w:rsidRDefault="00662448" w:rsidP="00D34F97">
      <w:pPr>
        <w:numPr>
          <w:ilvl w:val="0"/>
          <w:numId w:val="316"/>
        </w:numPr>
        <w:spacing w:after="0" w:line="300" w:lineRule="atLeast"/>
        <w:ind w:left="641" w:hanging="357"/>
        <w:contextualSpacing/>
        <w:jc w:val="both"/>
        <w:rPr>
          <w:rFonts w:ascii="Times New Roman" w:hAnsi="Times New Roman" w:cs="Times New Roman"/>
          <w:sz w:val="24"/>
          <w:szCs w:val="24"/>
        </w:rPr>
      </w:pPr>
      <w:r w:rsidRPr="00400B09">
        <w:rPr>
          <w:rFonts w:ascii="Times New Roman" w:hAnsi="Times New Roman" w:cs="Times New Roman"/>
          <w:sz w:val="24"/>
          <w:szCs w:val="24"/>
        </w:rPr>
        <w:t>przetwarzanie odpadów z czyszczenia ulic bez wymaganego zezwolenia,</w:t>
      </w:r>
    </w:p>
    <w:p w14:paraId="24F4E46A" w14:textId="77777777" w:rsidR="00662448" w:rsidRPr="00400B09" w:rsidRDefault="00662448" w:rsidP="00D34F97">
      <w:pPr>
        <w:numPr>
          <w:ilvl w:val="0"/>
          <w:numId w:val="316"/>
        </w:numPr>
        <w:spacing w:after="0" w:line="300" w:lineRule="atLeast"/>
        <w:ind w:left="641" w:hanging="357"/>
        <w:contextualSpacing/>
        <w:jc w:val="both"/>
        <w:rPr>
          <w:rFonts w:ascii="Times New Roman" w:hAnsi="Times New Roman" w:cs="Times New Roman"/>
          <w:sz w:val="24"/>
          <w:szCs w:val="24"/>
        </w:rPr>
      </w:pPr>
      <w:r w:rsidRPr="00400B09">
        <w:rPr>
          <w:rFonts w:ascii="Times New Roman" w:hAnsi="Times New Roman" w:cs="Times New Roman"/>
          <w:sz w:val="24"/>
          <w:szCs w:val="24"/>
        </w:rPr>
        <w:t xml:space="preserve">przetwarzanie (zakopywanie) odpadów w postaci osadów ściekowych, niesegregowanych (zmieszanych) odpadów komunalnych i </w:t>
      </w:r>
      <w:proofErr w:type="spellStart"/>
      <w:r w:rsidRPr="00400B09">
        <w:rPr>
          <w:rFonts w:ascii="Times New Roman" w:hAnsi="Times New Roman" w:cs="Times New Roman"/>
          <w:sz w:val="24"/>
          <w:szCs w:val="24"/>
        </w:rPr>
        <w:t>skratek</w:t>
      </w:r>
      <w:proofErr w:type="spellEnd"/>
      <w:r w:rsidRPr="00400B09">
        <w:rPr>
          <w:rFonts w:ascii="Times New Roman" w:hAnsi="Times New Roman" w:cs="Times New Roman"/>
          <w:sz w:val="24"/>
          <w:szCs w:val="24"/>
        </w:rPr>
        <w:t xml:space="preserve"> bez wymaganego zezwolenia,</w:t>
      </w:r>
    </w:p>
    <w:p w14:paraId="61EB7F1D" w14:textId="7DB3CDDB" w:rsidR="00662448" w:rsidRPr="00400B09" w:rsidRDefault="00662448" w:rsidP="00D34F97">
      <w:pPr>
        <w:numPr>
          <w:ilvl w:val="0"/>
          <w:numId w:val="316"/>
        </w:numPr>
        <w:spacing w:after="0" w:line="300" w:lineRule="atLeast"/>
        <w:ind w:left="641" w:hanging="357"/>
        <w:contextualSpacing/>
        <w:jc w:val="both"/>
        <w:rPr>
          <w:rFonts w:ascii="Times New Roman" w:hAnsi="Times New Roman" w:cs="Times New Roman"/>
          <w:sz w:val="24"/>
          <w:szCs w:val="24"/>
        </w:rPr>
      </w:pPr>
      <w:r w:rsidRPr="00400B09">
        <w:rPr>
          <w:rFonts w:ascii="Times New Roman" w:hAnsi="Times New Roman" w:cs="Times New Roman"/>
          <w:sz w:val="24"/>
          <w:szCs w:val="24"/>
        </w:rPr>
        <w:t xml:space="preserve">nieprowadzenie procesu kompostowania lub prowadzenie częściowo nierzetelnie </w:t>
      </w:r>
      <w:r>
        <w:rPr>
          <w:rFonts w:ascii="Times New Roman" w:hAnsi="Times New Roman" w:cs="Times New Roman"/>
          <w:sz w:val="24"/>
          <w:szCs w:val="24"/>
        </w:rPr>
        <w:br/>
      </w:r>
      <w:r w:rsidRPr="00400B09">
        <w:rPr>
          <w:rFonts w:ascii="Times New Roman" w:hAnsi="Times New Roman" w:cs="Times New Roman"/>
          <w:sz w:val="24"/>
          <w:szCs w:val="24"/>
        </w:rPr>
        <w:t>i niezgodnie z posiadaną decyzją,</w:t>
      </w:r>
    </w:p>
    <w:p w14:paraId="227855C0" w14:textId="77777777" w:rsidR="00662448" w:rsidRPr="00400B09" w:rsidRDefault="00662448" w:rsidP="00D34F97">
      <w:pPr>
        <w:numPr>
          <w:ilvl w:val="0"/>
          <w:numId w:val="316"/>
        </w:numPr>
        <w:spacing w:after="0" w:line="300" w:lineRule="atLeast"/>
        <w:ind w:left="641" w:hanging="357"/>
        <w:contextualSpacing/>
        <w:jc w:val="both"/>
        <w:rPr>
          <w:rFonts w:ascii="Times New Roman" w:hAnsi="Times New Roman" w:cs="Times New Roman"/>
          <w:sz w:val="24"/>
          <w:szCs w:val="24"/>
        </w:rPr>
      </w:pPr>
      <w:r w:rsidRPr="00400B09">
        <w:rPr>
          <w:rFonts w:ascii="Times New Roman" w:hAnsi="Times New Roman" w:cs="Times New Roman"/>
          <w:sz w:val="24"/>
          <w:szCs w:val="24"/>
        </w:rPr>
        <w:t xml:space="preserve">wykorzystanie do budowy strzelnicy ziemi po procesie </w:t>
      </w:r>
      <w:proofErr w:type="spellStart"/>
      <w:r w:rsidRPr="00400B09">
        <w:rPr>
          <w:rFonts w:ascii="Times New Roman" w:hAnsi="Times New Roman" w:cs="Times New Roman"/>
          <w:sz w:val="24"/>
          <w:szCs w:val="24"/>
        </w:rPr>
        <w:t>bioremediacii</w:t>
      </w:r>
      <w:proofErr w:type="spellEnd"/>
      <w:r w:rsidRPr="00400B09">
        <w:rPr>
          <w:rFonts w:ascii="Times New Roman" w:hAnsi="Times New Roman" w:cs="Times New Roman"/>
          <w:sz w:val="24"/>
          <w:szCs w:val="24"/>
        </w:rPr>
        <w:t xml:space="preserve">, zawierającej zawierającą substancje szczególnie szkodliwe dla środowiska, </w:t>
      </w:r>
    </w:p>
    <w:p w14:paraId="7D7E74E6" w14:textId="77777777" w:rsidR="00662448" w:rsidRPr="00400B09" w:rsidRDefault="00662448" w:rsidP="00D34F97">
      <w:pPr>
        <w:numPr>
          <w:ilvl w:val="0"/>
          <w:numId w:val="316"/>
        </w:numPr>
        <w:spacing w:after="0" w:line="300" w:lineRule="atLeast"/>
        <w:ind w:left="641" w:hanging="357"/>
        <w:contextualSpacing/>
        <w:jc w:val="both"/>
        <w:rPr>
          <w:rFonts w:ascii="Times New Roman" w:hAnsi="Times New Roman" w:cs="Times New Roman"/>
          <w:sz w:val="24"/>
          <w:szCs w:val="24"/>
        </w:rPr>
      </w:pPr>
      <w:r w:rsidRPr="00400B09">
        <w:rPr>
          <w:rFonts w:ascii="Times New Roman" w:hAnsi="Times New Roman" w:cs="Times New Roman"/>
          <w:sz w:val="24"/>
          <w:szCs w:val="24"/>
        </w:rPr>
        <w:t xml:space="preserve">nierzetelne prowadzenie procesu </w:t>
      </w:r>
      <w:proofErr w:type="spellStart"/>
      <w:r w:rsidRPr="00400B09">
        <w:rPr>
          <w:rFonts w:ascii="Times New Roman" w:hAnsi="Times New Roman" w:cs="Times New Roman"/>
          <w:sz w:val="24"/>
          <w:szCs w:val="24"/>
        </w:rPr>
        <w:t>bioremediacji</w:t>
      </w:r>
      <w:proofErr w:type="spellEnd"/>
      <w:r w:rsidRPr="00400B09">
        <w:rPr>
          <w:rFonts w:ascii="Times New Roman" w:hAnsi="Times New Roman" w:cs="Times New Roman"/>
          <w:sz w:val="24"/>
          <w:szCs w:val="24"/>
        </w:rPr>
        <w:t>,</w:t>
      </w:r>
    </w:p>
    <w:p w14:paraId="775786B3" w14:textId="75ED55D9" w:rsidR="00662448" w:rsidRPr="00400B09" w:rsidRDefault="00662448" w:rsidP="00D34F97">
      <w:pPr>
        <w:numPr>
          <w:ilvl w:val="0"/>
          <w:numId w:val="316"/>
        </w:numPr>
        <w:spacing w:after="0" w:line="300" w:lineRule="atLeast"/>
        <w:ind w:left="641" w:hanging="357"/>
        <w:contextualSpacing/>
        <w:jc w:val="both"/>
        <w:rPr>
          <w:rFonts w:ascii="Times New Roman" w:hAnsi="Times New Roman" w:cs="Times New Roman"/>
          <w:sz w:val="24"/>
          <w:szCs w:val="24"/>
        </w:rPr>
      </w:pPr>
      <w:r w:rsidRPr="00400B09">
        <w:rPr>
          <w:rFonts w:ascii="Times New Roman" w:hAnsi="Times New Roman" w:cs="Times New Roman"/>
          <w:sz w:val="24"/>
          <w:szCs w:val="24"/>
        </w:rPr>
        <w:lastRenderedPageBreak/>
        <w:t>brak dokumentów potwierdzających</w:t>
      </w:r>
      <w:r>
        <w:rPr>
          <w:rFonts w:ascii="Times New Roman" w:hAnsi="Times New Roman" w:cs="Times New Roman"/>
          <w:sz w:val="24"/>
          <w:szCs w:val="24"/>
        </w:rPr>
        <w:t>,</w:t>
      </w:r>
      <w:r w:rsidRPr="00400B09">
        <w:rPr>
          <w:rFonts w:ascii="Times New Roman" w:hAnsi="Times New Roman" w:cs="Times New Roman"/>
          <w:sz w:val="24"/>
          <w:szCs w:val="24"/>
        </w:rPr>
        <w:t xml:space="preserve"> jakie związki (oprócz substancji ropopochodnych) mogą być usuwane na instalacji Zblokowanej Jednostki Oczyszczania i Natleniania Wody,</w:t>
      </w:r>
    </w:p>
    <w:p w14:paraId="73D777A3" w14:textId="748B4EBD" w:rsidR="00662448" w:rsidRPr="00400B09" w:rsidRDefault="00662448" w:rsidP="00D34F97">
      <w:pPr>
        <w:numPr>
          <w:ilvl w:val="0"/>
          <w:numId w:val="316"/>
        </w:numPr>
        <w:spacing w:after="0" w:line="300" w:lineRule="atLeast"/>
        <w:ind w:left="641" w:hanging="357"/>
        <w:contextualSpacing/>
        <w:jc w:val="both"/>
        <w:rPr>
          <w:rFonts w:ascii="Times New Roman" w:hAnsi="Times New Roman" w:cs="Times New Roman"/>
          <w:sz w:val="24"/>
          <w:szCs w:val="24"/>
        </w:rPr>
      </w:pPr>
      <w:r w:rsidRPr="00400B09">
        <w:rPr>
          <w:rFonts w:ascii="Times New Roman" w:hAnsi="Times New Roman" w:cs="Times New Roman"/>
          <w:sz w:val="24"/>
          <w:szCs w:val="24"/>
        </w:rPr>
        <w:t xml:space="preserve">zbieranie komunalnych osadów ściekowych wbrew zakazowi określonemu w art. 23 </w:t>
      </w:r>
      <w:r>
        <w:rPr>
          <w:rFonts w:ascii="Times New Roman" w:hAnsi="Times New Roman" w:cs="Times New Roman"/>
          <w:sz w:val="24"/>
          <w:szCs w:val="24"/>
        </w:rPr>
        <w:br/>
      </w:r>
      <w:r w:rsidRPr="00400B09">
        <w:rPr>
          <w:rFonts w:ascii="Times New Roman" w:hAnsi="Times New Roman" w:cs="Times New Roman"/>
          <w:sz w:val="24"/>
          <w:szCs w:val="24"/>
        </w:rPr>
        <w:t>ust. 2 pkt 2 ustawy o odpadach.</w:t>
      </w:r>
    </w:p>
    <w:p w14:paraId="2C1596BC" w14:textId="77777777" w:rsidR="00662448" w:rsidRPr="00400B09" w:rsidRDefault="00662448" w:rsidP="00D34F97">
      <w:pPr>
        <w:numPr>
          <w:ilvl w:val="0"/>
          <w:numId w:val="316"/>
        </w:numPr>
        <w:spacing w:after="0" w:line="300" w:lineRule="atLeast"/>
        <w:ind w:left="641" w:hanging="357"/>
        <w:contextualSpacing/>
        <w:jc w:val="both"/>
        <w:rPr>
          <w:rFonts w:ascii="Times New Roman" w:hAnsi="Times New Roman" w:cs="Times New Roman"/>
          <w:sz w:val="24"/>
          <w:szCs w:val="24"/>
        </w:rPr>
      </w:pPr>
      <w:r w:rsidRPr="00400B09">
        <w:rPr>
          <w:rFonts w:ascii="Times New Roman" w:hAnsi="Times New Roman" w:cs="Times New Roman"/>
          <w:sz w:val="24"/>
          <w:szCs w:val="24"/>
        </w:rPr>
        <w:t xml:space="preserve">prowadzenie gospodarki odpadami niezgodnie z nakazem art. 16 ustawy </w:t>
      </w:r>
      <w:r w:rsidRPr="00400B09">
        <w:rPr>
          <w:rFonts w:ascii="Times New Roman" w:hAnsi="Times New Roman" w:cs="Times New Roman"/>
          <w:sz w:val="24"/>
          <w:szCs w:val="24"/>
        </w:rPr>
        <w:br/>
        <w:t xml:space="preserve">o odpadach, </w:t>
      </w:r>
    </w:p>
    <w:p w14:paraId="53448123" w14:textId="058CF501" w:rsidR="00662448" w:rsidRPr="00400B09" w:rsidRDefault="00662448" w:rsidP="00D34F97">
      <w:pPr>
        <w:numPr>
          <w:ilvl w:val="0"/>
          <w:numId w:val="316"/>
        </w:numPr>
        <w:spacing w:after="0" w:line="300" w:lineRule="atLeast"/>
        <w:ind w:left="641" w:hanging="357"/>
        <w:contextualSpacing/>
        <w:jc w:val="both"/>
        <w:rPr>
          <w:rFonts w:ascii="Times New Roman" w:hAnsi="Times New Roman" w:cs="Times New Roman"/>
          <w:sz w:val="24"/>
          <w:szCs w:val="24"/>
        </w:rPr>
      </w:pPr>
      <w:r w:rsidRPr="00400B09">
        <w:rPr>
          <w:rFonts w:ascii="Times New Roman" w:hAnsi="Times New Roman" w:cs="Times New Roman"/>
          <w:sz w:val="24"/>
          <w:szCs w:val="24"/>
        </w:rPr>
        <w:t xml:space="preserve">magazynowanie odpadów w postaci osadów ściekowych sposób niezgodny </w:t>
      </w:r>
      <w:r>
        <w:rPr>
          <w:rFonts w:ascii="Times New Roman" w:hAnsi="Times New Roman" w:cs="Times New Roman"/>
          <w:sz w:val="24"/>
          <w:szCs w:val="24"/>
        </w:rPr>
        <w:br/>
      </w:r>
      <w:r w:rsidRPr="00400B09">
        <w:rPr>
          <w:rFonts w:ascii="Times New Roman" w:hAnsi="Times New Roman" w:cs="Times New Roman"/>
          <w:sz w:val="24"/>
          <w:szCs w:val="24"/>
        </w:rPr>
        <w:t>z wymaganiami w zakresie ochrony środowiska oraz bezpieczeństwa życia i zdrowia ludzi,</w:t>
      </w:r>
    </w:p>
    <w:p w14:paraId="061B0990" w14:textId="77777777" w:rsidR="00662448" w:rsidRPr="00400B09" w:rsidRDefault="00662448" w:rsidP="00D34F97">
      <w:pPr>
        <w:numPr>
          <w:ilvl w:val="0"/>
          <w:numId w:val="316"/>
        </w:numPr>
        <w:spacing w:after="0" w:line="300" w:lineRule="atLeast"/>
        <w:ind w:left="641" w:hanging="357"/>
        <w:contextualSpacing/>
        <w:jc w:val="both"/>
        <w:rPr>
          <w:rFonts w:ascii="Times New Roman" w:hAnsi="Times New Roman" w:cs="Times New Roman"/>
          <w:sz w:val="24"/>
          <w:szCs w:val="24"/>
        </w:rPr>
      </w:pPr>
      <w:r w:rsidRPr="00400B09">
        <w:rPr>
          <w:rFonts w:ascii="Times New Roman" w:hAnsi="Times New Roman" w:cs="Times New Roman"/>
          <w:sz w:val="24"/>
          <w:szCs w:val="24"/>
        </w:rPr>
        <w:t>przekazanie odpadów niebezpiecznych podmiotowi działającemu bez wymaganego zezwolenia (który utracił tytuł prawny do użytkowania nieruchomości objętej zezwoleniem),</w:t>
      </w:r>
    </w:p>
    <w:p w14:paraId="564A97BA" w14:textId="77777777" w:rsidR="00662448" w:rsidRPr="00400B09" w:rsidRDefault="00662448" w:rsidP="00D34F97">
      <w:pPr>
        <w:numPr>
          <w:ilvl w:val="0"/>
          <w:numId w:val="316"/>
        </w:numPr>
        <w:spacing w:after="0" w:line="300" w:lineRule="atLeast"/>
        <w:ind w:left="641" w:hanging="357"/>
        <w:contextualSpacing/>
        <w:jc w:val="both"/>
        <w:rPr>
          <w:rFonts w:ascii="Times New Roman" w:hAnsi="Times New Roman" w:cs="Times New Roman"/>
          <w:sz w:val="24"/>
          <w:szCs w:val="24"/>
        </w:rPr>
      </w:pPr>
      <w:r w:rsidRPr="00400B09">
        <w:rPr>
          <w:rFonts w:ascii="Times New Roman" w:hAnsi="Times New Roman" w:cs="Times New Roman"/>
          <w:sz w:val="24"/>
          <w:szCs w:val="24"/>
        </w:rPr>
        <w:t>nieprowadzenie wizyjnego systemu kontroli miejsc magazynowania odpadów,</w:t>
      </w:r>
    </w:p>
    <w:p w14:paraId="06ABA02D" w14:textId="77777777" w:rsidR="00662448" w:rsidRPr="00400B09" w:rsidRDefault="00662448" w:rsidP="00D34F97">
      <w:pPr>
        <w:numPr>
          <w:ilvl w:val="0"/>
          <w:numId w:val="316"/>
        </w:numPr>
        <w:spacing w:after="0" w:line="300" w:lineRule="atLeast"/>
        <w:ind w:left="641" w:hanging="357"/>
        <w:contextualSpacing/>
        <w:jc w:val="both"/>
        <w:rPr>
          <w:rFonts w:ascii="Times New Roman" w:hAnsi="Times New Roman" w:cs="Times New Roman"/>
          <w:sz w:val="24"/>
          <w:szCs w:val="24"/>
        </w:rPr>
      </w:pPr>
      <w:r w:rsidRPr="00400B09">
        <w:rPr>
          <w:rFonts w:ascii="Times New Roman" w:hAnsi="Times New Roman" w:cs="Times New Roman"/>
          <w:sz w:val="24"/>
          <w:szCs w:val="24"/>
        </w:rPr>
        <w:t>termicznie przekształcanie odpadów, wbrew przepisowi art. 155 ustawy o odpadach,</w:t>
      </w:r>
    </w:p>
    <w:p w14:paraId="012C9D84" w14:textId="77777777" w:rsidR="00662448" w:rsidRPr="00400B09" w:rsidRDefault="00662448" w:rsidP="00D34F97">
      <w:pPr>
        <w:numPr>
          <w:ilvl w:val="0"/>
          <w:numId w:val="316"/>
        </w:numPr>
        <w:spacing w:after="0" w:line="300" w:lineRule="atLeast"/>
        <w:ind w:left="641" w:hanging="357"/>
        <w:contextualSpacing/>
        <w:jc w:val="both"/>
        <w:rPr>
          <w:rFonts w:ascii="Times New Roman" w:hAnsi="Times New Roman" w:cs="Times New Roman"/>
          <w:sz w:val="24"/>
          <w:szCs w:val="24"/>
        </w:rPr>
      </w:pPr>
      <w:r w:rsidRPr="00400B09">
        <w:rPr>
          <w:rFonts w:ascii="Times New Roman" w:hAnsi="Times New Roman" w:cs="Times New Roman"/>
          <w:sz w:val="24"/>
          <w:szCs w:val="24"/>
        </w:rPr>
        <w:t>przekraczanie przez próbki gleby dopuszczalnych zawartości oleju mineralnego określonych w rozporządzeniu Ministra Środowiska z dnia 1 września 2016 r. w sprawie sposobu prowadzenia oceny zanieczyszczenia powierzchni ziemi,</w:t>
      </w:r>
    </w:p>
    <w:p w14:paraId="27A38927" w14:textId="77777777" w:rsidR="00662448" w:rsidRPr="00400B09" w:rsidRDefault="00662448" w:rsidP="00D34F97">
      <w:pPr>
        <w:numPr>
          <w:ilvl w:val="0"/>
          <w:numId w:val="316"/>
        </w:numPr>
        <w:spacing w:after="0" w:line="300" w:lineRule="atLeast"/>
        <w:ind w:left="641" w:hanging="357"/>
        <w:contextualSpacing/>
        <w:jc w:val="both"/>
        <w:rPr>
          <w:rFonts w:ascii="Times New Roman" w:hAnsi="Times New Roman" w:cs="Times New Roman"/>
          <w:sz w:val="24"/>
          <w:szCs w:val="24"/>
        </w:rPr>
      </w:pPr>
      <w:r w:rsidRPr="00400B09">
        <w:rPr>
          <w:rFonts w:ascii="Times New Roman" w:hAnsi="Times New Roman" w:cs="Times New Roman"/>
          <w:sz w:val="24"/>
          <w:szCs w:val="24"/>
        </w:rPr>
        <w:t xml:space="preserve">naruszenie warunków posiadanych decyzji udzielających zezwolenia na przetwarzanie odpadów metodą kompostowania </w:t>
      </w:r>
      <w:proofErr w:type="spellStart"/>
      <w:r w:rsidRPr="00400B09">
        <w:rPr>
          <w:rFonts w:ascii="Times New Roman" w:hAnsi="Times New Roman" w:cs="Times New Roman"/>
          <w:sz w:val="24"/>
          <w:szCs w:val="24"/>
        </w:rPr>
        <w:t>pryzmowego</w:t>
      </w:r>
      <w:proofErr w:type="spellEnd"/>
      <w:r w:rsidRPr="00400B09">
        <w:rPr>
          <w:rFonts w:ascii="Times New Roman" w:hAnsi="Times New Roman" w:cs="Times New Roman"/>
          <w:sz w:val="24"/>
          <w:szCs w:val="24"/>
        </w:rPr>
        <w:t xml:space="preserve">, poletka </w:t>
      </w:r>
      <w:proofErr w:type="spellStart"/>
      <w:r w:rsidRPr="00400B09">
        <w:rPr>
          <w:rFonts w:ascii="Times New Roman" w:hAnsi="Times New Roman" w:cs="Times New Roman"/>
          <w:sz w:val="24"/>
          <w:szCs w:val="24"/>
        </w:rPr>
        <w:t>bioremediacyjne</w:t>
      </w:r>
      <w:proofErr w:type="spellEnd"/>
      <w:r w:rsidRPr="00400B09">
        <w:rPr>
          <w:rFonts w:ascii="Times New Roman" w:hAnsi="Times New Roman" w:cs="Times New Roman"/>
          <w:sz w:val="24"/>
          <w:szCs w:val="24"/>
        </w:rPr>
        <w:t xml:space="preserve"> do przetwarzania gruntu zanieczyszczonego substancjami ropopochodnymi oraz na zbieranie i przetwarzanie odpadów chemicznych,</w:t>
      </w:r>
    </w:p>
    <w:p w14:paraId="47D1597C" w14:textId="77777777" w:rsidR="00662448" w:rsidRPr="00400B09" w:rsidRDefault="00662448" w:rsidP="00D34F97">
      <w:pPr>
        <w:numPr>
          <w:ilvl w:val="0"/>
          <w:numId w:val="316"/>
        </w:numPr>
        <w:spacing w:after="0" w:line="300" w:lineRule="atLeast"/>
        <w:ind w:left="641" w:hanging="357"/>
        <w:contextualSpacing/>
        <w:jc w:val="both"/>
        <w:rPr>
          <w:rFonts w:ascii="Times New Roman" w:hAnsi="Times New Roman" w:cs="Times New Roman"/>
          <w:sz w:val="24"/>
          <w:szCs w:val="24"/>
        </w:rPr>
      </w:pPr>
      <w:r w:rsidRPr="00400B09">
        <w:rPr>
          <w:rFonts w:ascii="Times New Roman" w:hAnsi="Times New Roman" w:cs="Times New Roman"/>
          <w:sz w:val="24"/>
          <w:szCs w:val="24"/>
        </w:rPr>
        <w:t>przekazanie wytworzonego środka poprawiającego właściwości gleby bez uzyskania stosownej decyzji Ministra Rolnictwa,</w:t>
      </w:r>
    </w:p>
    <w:p w14:paraId="4562D7DB" w14:textId="77777777" w:rsidR="00662448" w:rsidRPr="00400B09" w:rsidRDefault="00662448" w:rsidP="00D34F97">
      <w:pPr>
        <w:numPr>
          <w:ilvl w:val="0"/>
          <w:numId w:val="316"/>
        </w:numPr>
        <w:spacing w:after="0" w:line="300" w:lineRule="atLeast"/>
        <w:ind w:left="641" w:hanging="357"/>
        <w:contextualSpacing/>
        <w:jc w:val="both"/>
        <w:rPr>
          <w:rFonts w:ascii="Times New Roman" w:hAnsi="Times New Roman" w:cs="Times New Roman"/>
          <w:sz w:val="24"/>
          <w:szCs w:val="24"/>
        </w:rPr>
      </w:pPr>
      <w:r w:rsidRPr="00400B09">
        <w:rPr>
          <w:rFonts w:ascii="Times New Roman" w:hAnsi="Times New Roman" w:cs="Times New Roman"/>
          <w:sz w:val="24"/>
          <w:szCs w:val="24"/>
        </w:rPr>
        <w:t xml:space="preserve">nieprowadzenie wymaganej ewidencji odpadów dla ujawnionych odpadów </w:t>
      </w:r>
      <w:r w:rsidRPr="00400B09">
        <w:rPr>
          <w:rFonts w:ascii="Times New Roman" w:hAnsi="Times New Roman" w:cs="Times New Roman"/>
          <w:sz w:val="24"/>
          <w:szCs w:val="24"/>
        </w:rPr>
        <w:br/>
        <w:t>z czyszczenia ulic i placów, zakopanych i zbieranych odpadów.</w:t>
      </w:r>
    </w:p>
    <w:p w14:paraId="7BFFBAA1" w14:textId="0B9FCA35" w:rsidR="00662448" w:rsidRPr="00400B09" w:rsidRDefault="00662448" w:rsidP="00D34F97">
      <w:pPr>
        <w:numPr>
          <w:ilvl w:val="0"/>
          <w:numId w:val="316"/>
        </w:numPr>
        <w:spacing w:after="240" w:line="300" w:lineRule="atLeast"/>
        <w:ind w:left="641" w:hanging="357"/>
        <w:jc w:val="both"/>
        <w:rPr>
          <w:rFonts w:ascii="Times New Roman" w:hAnsi="Times New Roman" w:cs="Times New Roman"/>
          <w:sz w:val="24"/>
          <w:szCs w:val="24"/>
        </w:rPr>
      </w:pPr>
      <w:r w:rsidRPr="00400B09">
        <w:rPr>
          <w:rFonts w:ascii="Times New Roman" w:hAnsi="Times New Roman" w:cs="Times New Roman"/>
          <w:sz w:val="24"/>
          <w:szCs w:val="24"/>
        </w:rPr>
        <w:t>nierzetelne prowadzenie ewidencji odpadów.</w:t>
      </w:r>
      <w:r>
        <w:rPr>
          <w:rFonts w:ascii="Times New Roman" w:hAnsi="Times New Roman" w:cs="Times New Roman"/>
          <w:sz w:val="24"/>
          <w:szCs w:val="24"/>
        </w:rPr>
        <w:t xml:space="preserve"> </w:t>
      </w:r>
    </w:p>
    <w:p w14:paraId="1CA7BD08" w14:textId="77777777" w:rsidR="00662448" w:rsidRPr="00400B09" w:rsidRDefault="00662448" w:rsidP="00FC2CF0">
      <w:pPr>
        <w:spacing w:line="300" w:lineRule="atLeast"/>
        <w:ind w:left="142" w:firstLine="567"/>
        <w:contextualSpacing/>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W związku ze stwierdzonymi nieprawidłowościami Świętokrzyski WIOŚ podjął następujące działania pokontrolne:</w:t>
      </w:r>
    </w:p>
    <w:p w14:paraId="6A0BB033" w14:textId="77777777" w:rsidR="00662448" w:rsidRPr="00400B09" w:rsidRDefault="00662448" w:rsidP="00D34F97">
      <w:pPr>
        <w:numPr>
          <w:ilvl w:val="0"/>
          <w:numId w:val="317"/>
        </w:numPr>
        <w:spacing w:after="0" w:line="300" w:lineRule="atLeast"/>
        <w:ind w:left="641" w:hanging="357"/>
        <w:contextualSpacing/>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skierowano do Spółki zarządzenie pokontrolne, zobowiązujące do przestrzegania przepisów ochrony środowiska,</w:t>
      </w:r>
    </w:p>
    <w:p w14:paraId="5D737BA1" w14:textId="580C2CA8" w:rsidR="00662448" w:rsidRPr="00400B09" w:rsidRDefault="00662448" w:rsidP="00D34F97">
      <w:pPr>
        <w:numPr>
          <w:ilvl w:val="0"/>
          <w:numId w:val="317"/>
        </w:numPr>
        <w:spacing w:after="0" w:line="300" w:lineRule="atLeast"/>
        <w:ind w:left="641" w:hanging="357"/>
        <w:contextualSpacing/>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 xml:space="preserve">wszczęto postępowanie administracyjne w trybie art. 32 ust. 1a </w:t>
      </w:r>
      <w:bookmarkStart w:id="342" w:name="_Hlk60316162"/>
      <w:r w:rsidRPr="00400B09">
        <w:rPr>
          <w:rFonts w:ascii="Times New Roman" w:eastAsia="Calibri" w:hAnsi="Times New Roman" w:cs="Times New Roman"/>
          <w:sz w:val="24"/>
          <w:szCs w:val="24"/>
        </w:rPr>
        <w:t xml:space="preserve">ustawy o odpadach </w:t>
      </w:r>
      <w:bookmarkEnd w:id="342"/>
      <w:r w:rsidRPr="00400B09">
        <w:rPr>
          <w:rFonts w:ascii="Times New Roman" w:eastAsia="Calibri" w:hAnsi="Times New Roman" w:cs="Times New Roman"/>
          <w:sz w:val="24"/>
          <w:szCs w:val="24"/>
        </w:rPr>
        <w:t xml:space="preserve">w sprawie wstrzymania działalności Spółki w związku z przetwarzaniem odpadów </w:t>
      </w:r>
      <w:r w:rsidR="00FC2CF0">
        <w:rPr>
          <w:rFonts w:ascii="Times New Roman" w:eastAsia="Calibri" w:hAnsi="Times New Roman" w:cs="Times New Roman"/>
          <w:sz w:val="24"/>
          <w:szCs w:val="24"/>
        </w:rPr>
        <w:br/>
      </w:r>
      <w:r w:rsidRPr="00400B09">
        <w:rPr>
          <w:rFonts w:ascii="Times New Roman" w:eastAsia="Calibri" w:hAnsi="Times New Roman" w:cs="Times New Roman"/>
          <w:sz w:val="24"/>
          <w:szCs w:val="24"/>
        </w:rPr>
        <w:t xml:space="preserve">w postaci komunalnych osadów ściekowych, niesegregowanych (zmieszanych) odpadów komunalnych, </w:t>
      </w:r>
      <w:proofErr w:type="spellStart"/>
      <w:r w:rsidRPr="00400B09">
        <w:rPr>
          <w:rFonts w:ascii="Times New Roman" w:eastAsia="Calibri" w:hAnsi="Times New Roman" w:cs="Times New Roman"/>
          <w:sz w:val="24"/>
          <w:szCs w:val="24"/>
        </w:rPr>
        <w:t>skratek</w:t>
      </w:r>
      <w:proofErr w:type="spellEnd"/>
      <w:r w:rsidRPr="00400B09">
        <w:rPr>
          <w:rFonts w:ascii="Times New Roman" w:eastAsia="Calibri" w:hAnsi="Times New Roman" w:cs="Times New Roman"/>
          <w:sz w:val="24"/>
          <w:szCs w:val="24"/>
        </w:rPr>
        <w:t xml:space="preserve"> oraz odpadów z czyszczenia placów i ulic, poprzez umieszczenie ich w gruncie, bez wymaganego zezwolenia, </w:t>
      </w:r>
    </w:p>
    <w:p w14:paraId="325AA6EE" w14:textId="77777777" w:rsidR="00662448" w:rsidRPr="00400B09" w:rsidRDefault="00662448" w:rsidP="00D34F97">
      <w:pPr>
        <w:numPr>
          <w:ilvl w:val="0"/>
          <w:numId w:val="317"/>
        </w:numPr>
        <w:spacing w:after="0" w:line="300" w:lineRule="atLeast"/>
        <w:ind w:left="641" w:hanging="357"/>
        <w:contextualSpacing/>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 xml:space="preserve">wszczęto postępowanie administracyjne w trybie art. 32 ust. 1 pkt 3 ww. ustawy </w:t>
      </w:r>
      <w:r w:rsidRPr="00400B09">
        <w:rPr>
          <w:rFonts w:ascii="Times New Roman" w:eastAsia="Calibri" w:hAnsi="Times New Roman" w:cs="Times New Roman"/>
          <w:sz w:val="24"/>
          <w:szCs w:val="24"/>
        </w:rPr>
        <w:br/>
        <w:t xml:space="preserve">o odpadach w sprawie wstrzymania działalności Spółki w związku ze zbieraniem komunalnych osadów ściekowych, wbrew zakazowi, </w:t>
      </w:r>
    </w:p>
    <w:p w14:paraId="5AC2D153" w14:textId="77777777" w:rsidR="00662448" w:rsidRPr="00400B09" w:rsidRDefault="00662448" w:rsidP="00D34F97">
      <w:pPr>
        <w:numPr>
          <w:ilvl w:val="0"/>
          <w:numId w:val="317"/>
        </w:numPr>
        <w:spacing w:after="0" w:line="300" w:lineRule="atLeast"/>
        <w:ind w:left="641" w:hanging="357"/>
        <w:contextualSpacing/>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 xml:space="preserve">wszczęto postępowanie administracyjne w trybie art. 194 ust. 1 pkt 5b ustawy </w:t>
      </w:r>
      <w:r w:rsidRPr="00400B09">
        <w:rPr>
          <w:rFonts w:ascii="Times New Roman" w:eastAsia="Calibri" w:hAnsi="Times New Roman" w:cs="Times New Roman"/>
          <w:sz w:val="24"/>
          <w:szCs w:val="24"/>
        </w:rPr>
        <w:br/>
        <w:t xml:space="preserve">o odpadach za nieprowadzenie ewidencji odpadów dla komunalnych osadów ściekowych, niesegregowanych (zmieszanych) odpadów komunalnych, </w:t>
      </w:r>
      <w:proofErr w:type="spellStart"/>
      <w:r w:rsidRPr="00400B09">
        <w:rPr>
          <w:rFonts w:ascii="Times New Roman" w:eastAsia="Calibri" w:hAnsi="Times New Roman" w:cs="Times New Roman"/>
          <w:sz w:val="24"/>
          <w:szCs w:val="24"/>
        </w:rPr>
        <w:t>skratek</w:t>
      </w:r>
      <w:proofErr w:type="spellEnd"/>
      <w:r w:rsidRPr="00400B09">
        <w:rPr>
          <w:rFonts w:ascii="Times New Roman" w:eastAsia="Calibri" w:hAnsi="Times New Roman" w:cs="Times New Roman"/>
          <w:sz w:val="24"/>
          <w:szCs w:val="24"/>
        </w:rPr>
        <w:t xml:space="preserve"> oraz odpadów z czyszczenia placów i ulic, które zostały poddane przetwarzaniu poprzez umieszczenie w gruncie oraz za prowadzenie ewidencji niezgodnie ze stanem </w:t>
      </w:r>
      <w:r w:rsidRPr="00400B09">
        <w:rPr>
          <w:rFonts w:ascii="Times New Roman" w:eastAsia="Calibri" w:hAnsi="Times New Roman" w:cs="Times New Roman"/>
          <w:sz w:val="24"/>
          <w:szCs w:val="24"/>
        </w:rPr>
        <w:lastRenderedPageBreak/>
        <w:t>rzeczywistym dla odpadów o kodzie 16 81 01*, wbrew przepisom określonym w art. 66 ust. 1 ustawy,</w:t>
      </w:r>
    </w:p>
    <w:p w14:paraId="7EE54752" w14:textId="77777777" w:rsidR="00662448" w:rsidRPr="00400B09" w:rsidRDefault="00662448" w:rsidP="00D34F97">
      <w:pPr>
        <w:numPr>
          <w:ilvl w:val="0"/>
          <w:numId w:val="317"/>
        </w:numPr>
        <w:spacing w:after="0" w:line="300" w:lineRule="atLeast"/>
        <w:ind w:left="641" w:hanging="357"/>
        <w:contextualSpacing/>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wszczęto postępowanie administracyjne w trybie art. 194 ust. 1 pkt 2b ustawy o odpadach za magazynowanie odpadów, niezgodnie z wymaganiami, o których mowa w art. 25 ust. 1 ustawy, tj. za niespełnianie wymagań ochrony środowiska w zakresie magazynowania odpadów,</w:t>
      </w:r>
    </w:p>
    <w:p w14:paraId="3CEE23C1" w14:textId="661A0F4E" w:rsidR="00662448" w:rsidRPr="00400B09" w:rsidRDefault="00662448" w:rsidP="00D34F97">
      <w:pPr>
        <w:numPr>
          <w:ilvl w:val="0"/>
          <w:numId w:val="317"/>
        </w:numPr>
        <w:spacing w:after="0" w:line="300" w:lineRule="atLeast"/>
        <w:ind w:left="641" w:hanging="357"/>
        <w:contextualSpacing/>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 xml:space="preserve">wszczęto postępowanie administracyjne w trybie art. art. 194 ust. 1 pkt 2c ustawy </w:t>
      </w:r>
      <w:r w:rsidR="00FC2CF0">
        <w:rPr>
          <w:rFonts w:ascii="Times New Roman" w:eastAsia="Calibri" w:hAnsi="Times New Roman" w:cs="Times New Roman"/>
          <w:sz w:val="24"/>
          <w:szCs w:val="24"/>
        </w:rPr>
        <w:br/>
      </w:r>
      <w:r w:rsidRPr="00400B09">
        <w:rPr>
          <w:rFonts w:ascii="Times New Roman" w:eastAsia="Calibri" w:hAnsi="Times New Roman" w:cs="Times New Roman"/>
          <w:sz w:val="24"/>
          <w:szCs w:val="24"/>
        </w:rPr>
        <w:t>o odpadach za nieprowadzenie wizyjnego systemu kontroli miejsc magazynowania odpadów, wbrew przepisom określonym w art. 25 ust. 6a ustawy,</w:t>
      </w:r>
    </w:p>
    <w:p w14:paraId="16DE6C79" w14:textId="10CA2138" w:rsidR="00662448" w:rsidRPr="00400B09" w:rsidRDefault="00662448" w:rsidP="00D34F97">
      <w:pPr>
        <w:numPr>
          <w:ilvl w:val="0"/>
          <w:numId w:val="317"/>
        </w:numPr>
        <w:spacing w:after="0" w:line="300" w:lineRule="atLeast"/>
        <w:ind w:left="641" w:hanging="357"/>
        <w:contextualSpacing/>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wszczęto postępowanie administracyjne w trybie art. 194 ust. 5 ustawy o odpadach za gospodarowanie odpadami niezgodnie z pkt 3 i 4 posiadanej decyzji Marszałka Województwa Świętokrzyskiego</w:t>
      </w:r>
      <w:r w:rsidR="00FC2CF0">
        <w:rPr>
          <w:rFonts w:ascii="Times New Roman" w:eastAsia="Calibri" w:hAnsi="Times New Roman" w:cs="Times New Roman"/>
          <w:sz w:val="24"/>
          <w:szCs w:val="24"/>
        </w:rPr>
        <w:t xml:space="preserve"> </w:t>
      </w:r>
      <w:r w:rsidRPr="00400B09">
        <w:rPr>
          <w:rFonts w:ascii="Times New Roman" w:eastAsia="Calibri" w:hAnsi="Times New Roman" w:cs="Times New Roman"/>
          <w:sz w:val="24"/>
          <w:szCs w:val="24"/>
        </w:rPr>
        <w:t>z dnia 26.10.2020 r.,</w:t>
      </w:r>
    </w:p>
    <w:p w14:paraId="6DF40AC3" w14:textId="77777777" w:rsidR="00662448" w:rsidRPr="00400B09" w:rsidRDefault="00662448" w:rsidP="00D34F97">
      <w:pPr>
        <w:numPr>
          <w:ilvl w:val="0"/>
          <w:numId w:val="317"/>
        </w:numPr>
        <w:spacing w:after="0" w:line="300" w:lineRule="atLeast"/>
        <w:ind w:left="641" w:hanging="357"/>
        <w:contextualSpacing/>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wszczęto postępowanie administracyjne w trybie art. 194 ust. 5 ustawy o odpadach za gospodarowanie odpadami niezgodnie z  pkt I.3 i I.5 posiadanej decyzji Marszałka Świętokrzyskiego z dnia 13.01.2016 r.,</w:t>
      </w:r>
    </w:p>
    <w:p w14:paraId="464DCC82" w14:textId="77777777" w:rsidR="00662448" w:rsidRPr="00400B09" w:rsidRDefault="00662448" w:rsidP="00D34F97">
      <w:pPr>
        <w:numPr>
          <w:ilvl w:val="0"/>
          <w:numId w:val="317"/>
        </w:numPr>
        <w:spacing w:after="0" w:line="300" w:lineRule="atLeast"/>
        <w:ind w:left="641" w:hanging="357"/>
        <w:contextualSpacing/>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wszczęto postępowanie administracyjne w trybie art. 194 ust. 5 ustawy o odpadach za gospodarowanie odpadami niezgodnie z  pkt III posiadanej decyzji Starosty Buskiego z dnia 19.12.2014 r. ze zm.,</w:t>
      </w:r>
    </w:p>
    <w:p w14:paraId="31AB5FD5" w14:textId="77777777" w:rsidR="00662448" w:rsidRPr="00400B09" w:rsidRDefault="00662448" w:rsidP="00D34F97">
      <w:pPr>
        <w:numPr>
          <w:ilvl w:val="0"/>
          <w:numId w:val="317"/>
        </w:numPr>
        <w:spacing w:after="0" w:line="300" w:lineRule="atLeast"/>
        <w:ind w:left="641" w:hanging="357"/>
        <w:contextualSpacing/>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 xml:space="preserve">wszczęto postępowanie administracyjne w trybie art. 194 ust. 5 ustawy o odpadach za gospodarowanie odpadami niezgodnie z pkt II.5 posiadanej decyzji Starosty Buskiego z dnia 20.03.2015 r. ze zm., </w:t>
      </w:r>
    </w:p>
    <w:p w14:paraId="16884898" w14:textId="77777777" w:rsidR="00662448" w:rsidRPr="00400B09" w:rsidRDefault="00662448" w:rsidP="00D34F97">
      <w:pPr>
        <w:numPr>
          <w:ilvl w:val="0"/>
          <w:numId w:val="317"/>
        </w:numPr>
        <w:spacing w:after="0" w:line="300" w:lineRule="atLeast"/>
        <w:ind w:left="641" w:hanging="357"/>
        <w:contextualSpacing/>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 xml:space="preserve">wszczęto postępowanie administracyjne w trybie art. 194 ust. 1 pkt 3a ustawy o odpadach za zlecanie wykonywania obowiązku gospodarowania odpadami podmiotowi działającemu bez wymaganej decyzji w zakresie gospodarowania odpadami (który utracił tytuł prawny do użytkowania nieruchomości objętej zezwoleniem), wbrew przepisom art. 27 ust. 2 ustawy z dnia 14 grudnia 2012 r. o odpadach, </w:t>
      </w:r>
    </w:p>
    <w:p w14:paraId="0555BD5F" w14:textId="35691AD1" w:rsidR="00662448" w:rsidRPr="00400B09" w:rsidRDefault="00662448" w:rsidP="00D34F97">
      <w:pPr>
        <w:numPr>
          <w:ilvl w:val="0"/>
          <w:numId w:val="317"/>
        </w:numPr>
        <w:spacing w:after="0" w:line="300" w:lineRule="atLeast"/>
        <w:ind w:left="641" w:hanging="357"/>
        <w:contextualSpacing/>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 xml:space="preserve">wszczęto postępowanie administracyjne w trybie art. 194 ust. 4 ustawy o odpadach </w:t>
      </w:r>
      <w:r w:rsidRPr="00400B09">
        <w:rPr>
          <w:rFonts w:ascii="Times New Roman" w:eastAsia="Calibri" w:hAnsi="Times New Roman" w:cs="Times New Roman"/>
          <w:sz w:val="24"/>
          <w:szCs w:val="24"/>
        </w:rPr>
        <w:br/>
        <w:t xml:space="preserve">za przetwarzanie odpadów w postaci komunalnych osadów ściekowych, niesegregowanych (zmieszanych) odpadów komunalnych, </w:t>
      </w:r>
      <w:proofErr w:type="spellStart"/>
      <w:r w:rsidRPr="00400B09">
        <w:rPr>
          <w:rFonts w:ascii="Times New Roman" w:eastAsia="Calibri" w:hAnsi="Times New Roman" w:cs="Times New Roman"/>
          <w:sz w:val="24"/>
          <w:szCs w:val="24"/>
        </w:rPr>
        <w:t>skratek</w:t>
      </w:r>
      <w:proofErr w:type="spellEnd"/>
      <w:r w:rsidRPr="00400B09">
        <w:rPr>
          <w:rFonts w:ascii="Times New Roman" w:eastAsia="Calibri" w:hAnsi="Times New Roman" w:cs="Times New Roman"/>
          <w:sz w:val="24"/>
          <w:szCs w:val="24"/>
        </w:rPr>
        <w:t xml:space="preserve"> oraz odpadów </w:t>
      </w:r>
      <w:r w:rsidR="00FC2CF0">
        <w:rPr>
          <w:rFonts w:ascii="Times New Roman" w:eastAsia="Calibri" w:hAnsi="Times New Roman" w:cs="Times New Roman"/>
          <w:sz w:val="24"/>
          <w:szCs w:val="24"/>
        </w:rPr>
        <w:br/>
      </w:r>
      <w:r w:rsidRPr="00400B09">
        <w:rPr>
          <w:rFonts w:ascii="Times New Roman" w:eastAsia="Calibri" w:hAnsi="Times New Roman" w:cs="Times New Roman"/>
          <w:sz w:val="24"/>
          <w:szCs w:val="24"/>
        </w:rPr>
        <w:t>z czyszczenia placów i ulic, poprzez umieszczenie ich w gruncie,</w:t>
      </w:r>
    </w:p>
    <w:p w14:paraId="454EAA4C" w14:textId="1C36839E" w:rsidR="00662448" w:rsidRPr="00400B09" w:rsidRDefault="00662448" w:rsidP="00D34F97">
      <w:pPr>
        <w:numPr>
          <w:ilvl w:val="0"/>
          <w:numId w:val="317"/>
        </w:numPr>
        <w:spacing w:after="0" w:line="300" w:lineRule="atLeast"/>
        <w:ind w:left="641" w:hanging="357"/>
        <w:contextualSpacing/>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wszczęto postępowanie administracyjne w trybie art. 194 ust. 1 pkt 3 ustawy o odpadach za zbieranie komunalnych osadów ściekowych, wbrew zakazowi, o którym mowa w art. 23 ust. 2 pkt 2 ustawy,</w:t>
      </w:r>
    </w:p>
    <w:p w14:paraId="75E7F5B4" w14:textId="241DD0A9" w:rsidR="00662448" w:rsidRPr="00400B09" w:rsidRDefault="00662448" w:rsidP="00D34F97">
      <w:pPr>
        <w:numPr>
          <w:ilvl w:val="0"/>
          <w:numId w:val="317"/>
        </w:numPr>
        <w:spacing w:after="0" w:line="300" w:lineRule="atLeast"/>
        <w:ind w:left="641" w:hanging="357"/>
        <w:contextualSpacing/>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poinformowano Prokuraturę Rejonową w Opatowie i Kome</w:t>
      </w:r>
      <w:r>
        <w:rPr>
          <w:rFonts w:ascii="Times New Roman" w:eastAsia="Calibri" w:hAnsi="Times New Roman" w:cs="Times New Roman"/>
          <w:sz w:val="24"/>
          <w:szCs w:val="24"/>
        </w:rPr>
        <w:t>n</w:t>
      </w:r>
      <w:r w:rsidRPr="00400B09">
        <w:rPr>
          <w:rFonts w:ascii="Times New Roman" w:eastAsia="Calibri" w:hAnsi="Times New Roman" w:cs="Times New Roman"/>
          <w:sz w:val="24"/>
          <w:szCs w:val="24"/>
        </w:rPr>
        <w:t xml:space="preserve">dę Wojewódzką Policji </w:t>
      </w:r>
      <w:r w:rsidR="005601DD">
        <w:rPr>
          <w:rFonts w:ascii="Times New Roman" w:eastAsia="Calibri" w:hAnsi="Times New Roman" w:cs="Times New Roman"/>
          <w:sz w:val="24"/>
          <w:szCs w:val="24"/>
        </w:rPr>
        <w:br/>
      </w:r>
      <w:r w:rsidRPr="00400B09">
        <w:rPr>
          <w:rFonts w:ascii="Times New Roman" w:eastAsia="Calibri" w:hAnsi="Times New Roman" w:cs="Times New Roman"/>
          <w:sz w:val="24"/>
          <w:szCs w:val="24"/>
        </w:rPr>
        <w:t>w Kielcach o wynikach przeprowadzonej kontroli,</w:t>
      </w:r>
    </w:p>
    <w:p w14:paraId="5ECA0143" w14:textId="480219AA" w:rsidR="00662448" w:rsidRPr="00400B09" w:rsidRDefault="00662448" w:rsidP="00D34F97">
      <w:pPr>
        <w:numPr>
          <w:ilvl w:val="0"/>
          <w:numId w:val="317"/>
        </w:numPr>
        <w:spacing w:after="0" w:line="300" w:lineRule="atLeast"/>
        <w:ind w:left="641" w:hanging="357"/>
        <w:contextualSpacing/>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 xml:space="preserve">wystąpiono do Wójta Gminy Tuczępy o wydanie decyzji w trybie art. 26 ust. 2 ustawy o odpadach, nakazującej posiadaczowi odpadów, tj. Spółce, usunięcie odpadów </w:t>
      </w:r>
      <w:r w:rsidR="00FC2CF0">
        <w:rPr>
          <w:rFonts w:ascii="Times New Roman" w:eastAsia="Calibri" w:hAnsi="Times New Roman" w:cs="Times New Roman"/>
          <w:sz w:val="24"/>
          <w:szCs w:val="24"/>
        </w:rPr>
        <w:br/>
      </w:r>
      <w:r w:rsidRPr="00400B09">
        <w:rPr>
          <w:rFonts w:ascii="Times New Roman" w:eastAsia="Calibri" w:hAnsi="Times New Roman" w:cs="Times New Roman"/>
          <w:sz w:val="24"/>
          <w:szCs w:val="24"/>
        </w:rPr>
        <w:t xml:space="preserve">(w postaci ustabilizowanych komunalnych osadów ściekowych o kodzie 19 08 05 </w:t>
      </w:r>
      <w:r w:rsidR="00FC2CF0">
        <w:rPr>
          <w:rFonts w:ascii="Times New Roman" w:eastAsia="Calibri" w:hAnsi="Times New Roman" w:cs="Times New Roman"/>
          <w:sz w:val="24"/>
          <w:szCs w:val="24"/>
        </w:rPr>
        <w:br/>
      </w:r>
      <w:r w:rsidRPr="00400B09">
        <w:rPr>
          <w:rFonts w:ascii="Times New Roman" w:eastAsia="Calibri" w:hAnsi="Times New Roman" w:cs="Times New Roman"/>
          <w:sz w:val="24"/>
          <w:szCs w:val="24"/>
        </w:rPr>
        <w:t xml:space="preserve">i odpadów z czyszczenia ulic i placów o kodzie 20 03 03), z miejsca nieprzeznaczonego do ich składowania lub magazynowania oraz zakopanych odpadów (w postaci ustabilizowanych komunalnych osadów ściekowych o kodzie 19 08 05, niesegregowanych (zmieszanych) odpadów komunalnych o kodzie 20 03 01 i </w:t>
      </w:r>
      <w:proofErr w:type="spellStart"/>
      <w:r w:rsidRPr="00400B09">
        <w:rPr>
          <w:rFonts w:ascii="Times New Roman" w:eastAsia="Calibri" w:hAnsi="Times New Roman" w:cs="Times New Roman"/>
          <w:sz w:val="24"/>
          <w:szCs w:val="24"/>
        </w:rPr>
        <w:t>skratek</w:t>
      </w:r>
      <w:proofErr w:type="spellEnd"/>
      <w:r w:rsidRPr="00400B09">
        <w:rPr>
          <w:rFonts w:ascii="Times New Roman" w:eastAsia="Calibri" w:hAnsi="Times New Roman" w:cs="Times New Roman"/>
          <w:sz w:val="24"/>
          <w:szCs w:val="24"/>
        </w:rPr>
        <w:t xml:space="preserve"> </w:t>
      </w:r>
      <w:r w:rsidR="00FC2CF0">
        <w:rPr>
          <w:rFonts w:ascii="Times New Roman" w:eastAsia="Calibri" w:hAnsi="Times New Roman" w:cs="Times New Roman"/>
          <w:sz w:val="24"/>
          <w:szCs w:val="24"/>
        </w:rPr>
        <w:br/>
      </w:r>
      <w:r w:rsidRPr="00400B09">
        <w:rPr>
          <w:rFonts w:ascii="Times New Roman" w:eastAsia="Calibri" w:hAnsi="Times New Roman" w:cs="Times New Roman"/>
          <w:sz w:val="24"/>
          <w:szCs w:val="24"/>
        </w:rPr>
        <w:t>o kodzie 19 08 01,</w:t>
      </w:r>
    </w:p>
    <w:p w14:paraId="069F3F62" w14:textId="77777777" w:rsidR="00662448" w:rsidRPr="00400B09" w:rsidRDefault="00662448" w:rsidP="00D34F97">
      <w:pPr>
        <w:numPr>
          <w:ilvl w:val="0"/>
          <w:numId w:val="317"/>
        </w:numPr>
        <w:spacing w:after="0" w:line="300" w:lineRule="atLeast"/>
        <w:ind w:left="641" w:hanging="357"/>
        <w:contextualSpacing/>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 xml:space="preserve">wystąpiono do Marszałka Województwa Świętokrzyskiego o cofnięcie w oparciu o art. 47 ustawy o odpadach decyzji Marszałka Świętokrzyskiego z dnia 13.01.2016 r. ze zm., </w:t>
      </w:r>
    </w:p>
    <w:p w14:paraId="264F567D" w14:textId="77777777" w:rsidR="00662448" w:rsidRPr="00400B09" w:rsidRDefault="00662448" w:rsidP="00D34F97">
      <w:pPr>
        <w:numPr>
          <w:ilvl w:val="0"/>
          <w:numId w:val="317"/>
        </w:numPr>
        <w:spacing w:after="0" w:line="300" w:lineRule="atLeast"/>
        <w:ind w:left="641" w:hanging="357"/>
        <w:contextualSpacing/>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lastRenderedPageBreak/>
        <w:t xml:space="preserve">wystąpiono do Starosty Buskiego o  cofnięcie w oparciu o art. 47 ustawy </w:t>
      </w:r>
      <w:r w:rsidRPr="00400B09">
        <w:rPr>
          <w:rFonts w:ascii="Times New Roman" w:eastAsia="Calibri" w:hAnsi="Times New Roman" w:cs="Times New Roman"/>
          <w:sz w:val="24"/>
          <w:szCs w:val="24"/>
        </w:rPr>
        <w:br/>
        <w:t xml:space="preserve">o odpadach decyzji Starosty Buskiego z dnia 20.03.2015 r. ze zm. oraz decyzji Starosty Buskiego z dnia 19.12.2014 r. ze zm. </w:t>
      </w:r>
    </w:p>
    <w:p w14:paraId="4CB5C29D" w14:textId="139F5BF0" w:rsidR="00662448" w:rsidRPr="00400B09" w:rsidRDefault="00662448" w:rsidP="00D34F97">
      <w:pPr>
        <w:numPr>
          <w:ilvl w:val="0"/>
          <w:numId w:val="317"/>
        </w:numPr>
        <w:spacing w:after="0" w:line="300" w:lineRule="atLeast"/>
        <w:ind w:left="641" w:hanging="357"/>
        <w:contextualSpacing/>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 xml:space="preserve">wystąpiono do WIOŚ w Warszawie Delegatury w Radomiu, z wnioskiem </w:t>
      </w:r>
      <w:r w:rsidRPr="00400B09">
        <w:rPr>
          <w:rFonts w:ascii="Times New Roman" w:eastAsia="Calibri" w:hAnsi="Times New Roman" w:cs="Times New Roman"/>
          <w:sz w:val="24"/>
          <w:szCs w:val="24"/>
        </w:rPr>
        <w:br/>
        <w:t>o przeprowadzenie kontroli</w:t>
      </w:r>
      <w:r w:rsidR="00FC2CF0">
        <w:rPr>
          <w:rFonts w:ascii="Times New Roman" w:eastAsia="Calibri" w:hAnsi="Times New Roman" w:cs="Times New Roman"/>
          <w:sz w:val="24"/>
          <w:szCs w:val="24"/>
        </w:rPr>
        <w:t xml:space="preserve"> </w:t>
      </w:r>
      <w:r w:rsidRPr="00400B09">
        <w:rPr>
          <w:rFonts w:ascii="Times New Roman" w:eastAsia="Calibri" w:hAnsi="Times New Roman" w:cs="Times New Roman"/>
          <w:sz w:val="24"/>
          <w:szCs w:val="24"/>
        </w:rPr>
        <w:t>innego podmiotu powiązanego ze sprawą,</w:t>
      </w:r>
    </w:p>
    <w:p w14:paraId="73F7ECA1" w14:textId="77777777" w:rsidR="00662448" w:rsidRPr="00400B09" w:rsidRDefault="00662448" w:rsidP="00D34F97">
      <w:pPr>
        <w:numPr>
          <w:ilvl w:val="0"/>
          <w:numId w:val="317"/>
        </w:numPr>
        <w:spacing w:after="0" w:line="300" w:lineRule="atLeast"/>
        <w:ind w:left="641" w:hanging="357"/>
        <w:contextualSpacing/>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poinformowano Ministerstwo Rolnictwa i Rozwoju Wsi o stwierdzonych naruszeniach,</w:t>
      </w:r>
    </w:p>
    <w:p w14:paraId="093DD666" w14:textId="6396D41C" w:rsidR="00662448" w:rsidRPr="00400B09" w:rsidRDefault="00662448" w:rsidP="00D34F97">
      <w:pPr>
        <w:numPr>
          <w:ilvl w:val="0"/>
          <w:numId w:val="317"/>
        </w:numPr>
        <w:spacing w:after="0" w:line="300" w:lineRule="atLeast"/>
        <w:ind w:left="641" w:hanging="357"/>
        <w:contextualSpacing/>
        <w:jc w:val="both"/>
        <w:rPr>
          <w:rFonts w:ascii="Times New Roman" w:eastAsia="Calibri" w:hAnsi="Times New Roman" w:cs="Times New Roman"/>
          <w:b/>
          <w:bCs/>
          <w:sz w:val="24"/>
          <w:szCs w:val="24"/>
        </w:rPr>
      </w:pPr>
      <w:r w:rsidRPr="00400B09">
        <w:rPr>
          <w:rFonts w:ascii="Times New Roman" w:eastAsia="Calibri" w:hAnsi="Times New Roman" w:cs="Times New Roman"/>
          <w:sz w:val="24"/>
          <w:szCs w:val="24"/>
        </w:rPr>
        <w:t>poinformowano oczyszczalnie ścieków</w:t>
      </w:r>
      <w:r w:rsidR="00FC2CF0">
        <w:rPr>
          <w:rFonts w:ascii="Times New Roman" w:eastAsia="Calibri" w:hAnsi="Times New Roman" w:cs="Times New Roman"/>
          <w:sz w:val="24"/>
          <w:szCs w:val="24"/>
        </w:rPr>
        <w:t>,</w:t>
      </w:r>
      <w:r w:rsidRPr="00400B09">
        <w:rPr>
          <w:rFonts w:ascii="Times New Roman" w:eastAsia="Calibri" w:hAnsi="Times New Roman" w:cs="Times New Roman"/>
          <w:sz w:val="24"/>
          <w:szCs w:val="24"/>
        </w:rPr>
        <w:t xml:space="preserve"> z których pochodziły pozyskane komunalne osady ściekowe o stwierdzonych nieprawidłowościach,</w:t>
      </w:r>
    </w:p>
    <w:p w14:paraId="2456CEEA" w14:textId="2C5432C7" w:rsidR="00662448" w:rsidRPr="00400B09" w:rsidRDefault="00662448" w:rsidP="002D4C96">
      <w:pPr>
        <w:numPr>
          <w:ilvl w:val="0"/>
          <w:numId w:val="317"/>
        </w:numPr>
        <w:spacing w:after="120" w:line="300" w:lineRule="atLeast"/>
        <w:ind w:left="641" w:hanging="357"/>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 xml:space="preserve">poinformowano Prokuraturę Regionalną w Katowicach, Regionalnego Dyrektora Ochrony Środowiska w Kielcach, Starostę Kieleckiego, Główny Inspektorat Ochrony Środowiska w Warszawie oraz Wojewódzkie Inspektoraty Ochrony Środowiska </w:t>
      </w:r>
      <w:r w:rsidR="00FC2CF0">
        <w:rPr>
          <w:rFonts w:ascii="Times New Roman" w:eastAsia="Calibri" w:hAnsi="Times New Roman" w:cs="Times New Roman"/>
          <w:sz w:val="24"/>
          <w:szCs w:val="24"/>
        </w:rPr>
        <w:br/>
      </w:r>
      <w:r w:rsidRPr="00400B09">
        <w:rPr>
          <w:rFonts w:ascii="Times New Roman" w:eastAsia="Calibri" w:hAnsi="Times New Roman" w:cs="Times New Roman"/>
          <w:sz w:val="24"/>
          <w:szCs w:val="24"/>
        </w:rPr>
        <w:t>w Katowicach, Opolu, Poznaniu i Rzeszowie, o stwierdzonych nieprawidłowościach.</w:t>
      </w:r>
    </w:p>
    <w:p w14:paraId="314CA1E7" w14:textId="77777777" w:rsidR="00662448" w:rsidRPr="00400B09" w:rsidRDefault="00662448" w:rsidP="00662448">
      <w:pPr>
        <w:spacing w:line="300" w:lineRule="atLeast"/>
        <w:contextualSpacing/>
        <w:jc w:val="center"/>
        <w:rPr>
          <w:rFonts w:ascii="Times New Roman" w:eastAsia="Calibri" w:hAnsi="Times New Roman" w:cs="Times New Roman"/>
          <w:sz w:val="24"/>
          <w:szCs w:val="24"/>
          <w:highlight w:val="yellow"/>
        </w:rPr>
      </w:pPr>
      <w:r w:rsidRPr="00400B09">
        <w:rPr>
          <w:rFonts w:ascii="Times New Roman" w:hAnsi="Times New Roman" w:cs="Times New Roman"/>
          <w:i/>
          <w:noProof/>
          <w:sz w:val="24"/>
          <w:szCs w:val="24"/>
          <w:lang w:eastAsia="pl-PL"/>
        </w:rPr>
        <w:drawing>
          <wp:inline distT="0" distB="0" distL="0" distR="0" wp14:anchorId="2D470CE9" wp14:editId="299B17EE">
            <wp:extent cx="4676775" cy="3505200"/>
            <wp:effectExtent l="0" t="0" r="9525" b="0"/>
            <wp:docPr id="145" name="Obraz 145" descr="Zdjęcie 34. Dobrów, gm. Tuczępy – przetwarzanie odpadów w postaci niesegregowanych (zmieszanych) odpadów komunalnych poprzez umieszczenie ich w gruncie &#10;bez wymaganego zezwoleni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Obraz 145" descr="Zdjęcie 34. Dobrów, gm. Tuczępy – przetwarzanie odpadów w postaci niesegregowanych (zmieszanych) odpadów komunalnych poprzez umieszczenie ich w gruncie &#10;bez wymaganego zezwolenia.&#1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676775" cy="3505200"/>
                    </a:xfrm>
                    <a:prstGeom prst="rect">
                      <a:avLst/>
                    </a:prstGeom>
                    <a:noFill/>
                    <a:ln>
                      <a:noFill/>
                    </a:ln>
                  </pic:spPr>
                </pic:pic>
              </a:graphicData>
            </a:graphic>
          </wp:inline>
        </w:drawing>
      </w:r>
    </w:p>
    <w:p w14:paraId="63EBEBEA" w14:textId="6AA82CE6" w:rsidR="00662448" w:rsidRPr="00400B09" w:rsidRDefault="00FC2CF0" w:rsidP="00662448">
      <w:pPr>
        <w:spacing w:line="300" w:lineRule="atLeast"/>
        <w:contextualSpacing/>
        <w:jc w:val="center"/>
        <w:rPr>
          <w:rFonts w:ascii="Times New Roman" w:eastAsia="Calibri" w:hAnsi="Times New Roman" w:cs="Times New Roman"/>
          <w:i/>
          <w:iCs/>
          <w:sz w:val="24"/>
          <w:szCs w:val="24"/>
        </w:rPr>
      </w:pPr>
      <w:r w:rsidRPr="00FC2CF0">
        <w:rPr>
          <w:rFonts w:ascii="Times New Roman" w:hAnsi="Times New Roman" w:cs="Times New Roman"/>
          <w:b/>
          <w:i/>
          <w:iCs/>
        </w:rPr>
        <w:t xml:space="preserve">Zdjęcie </w:t>
      </w:r>
      <w:r w:rsidR="001A642C">
        <w:rPr>
          <w:rFonts w:ascii="Times New Roman" w:hAnsi="Times New Roman" w:cs="Times New Roman"/>
          <w:b/>
          <w:i/>
          <w:iCs/>
        </w:rPr>
        <w:t>3</w:t>
      </w:r>
      <w:r w:rsidR="00F67169">
        <w:rPr>
          <w:rFonts w:ascii="Times New Roman" w:hAnsi="Times New Roman" w:cs="Times New Roman"/>
          <w:b/>
          <w:i/>
          <w:iCs/>
        </w:rPr>
        <w:t>4</w:t>
      </w:r>
      <w:r w:rsidRPr="00FC2CF0">
        <w:rPr>
          <w:rFonts w:ascii="Times New Roman" w:hAnsi="Times New Roman" w:cs="Times New Roman"/>
          <w:b/>
          <w:i/>
          <w:iCs/>
        </w:rPr>
        <w:t xml:space="preserve">. </w:t>
      </w:r>
      <w:r w:rsidR="00662448" w:rsidRPr="00FC2CF0">
        <w:rPr>
          <w:rFonts w:ascii="Times New Roman" w:hAnsi="Times New Roman" w:cs="Times New Roman"/>
          <w:b/>
          <w:i/>
          <w:iCs/>
        </w:rPr>
        <w:t xml:space="preserve">Dobrów, gm. Tuczępy </w:t>
      </w:r>
      <w:r w:rsidR="00662448" w:rsidRPr="00FC2CF0">
        <w:rPr>
          <w:rFonts w:ascii="Times New Roman" w:eastAsia="Calibri" w:hAnsi="Times New Roman" w:cs="Times New Roman"/>
          <w:b/>
          <w:i/>
          <w:iCs/>
        </w:rPr>
        <w:t xml:space="preserve">– przetwarzanie odpadów w postaci niesegregowanych (zmieszanych) odpadów komunalnych poprzez umieszczenie ich w gruncie </w:t>
      </w:r>
      <w:r>
        <w:rPr>
          <w:rFonts w:ascii="Times New Roman" w:eastAsia="Calibri" w:hAnsi="Times New Roman" w:cs="Times New Roman"/>
          <w:b/>
          <w:i/>
          <w:iCs/>
        </w:rPr>
        <w:br/>
      </w:r>
      <w:r w:rsidR="00662448" w:rsidRPr="00FC2CF0">
        <w:rPr>
          <w:rFonts w:ascii="Times New Roman" w:eastAsia="Calibri" w:hAnsi="Times New Roman" w:cs="Times New Roman"/>
          <w:b/>
          <w:i/>
          <w:iCs/>
        </w:rPr>
        <w:t>bez wymaganego zezwolenia</w:t>
      </w:r>
      <w:r w:rsidR="00662448" w:rsidRPr="00400B09">
        <w:rPr>
          <w:rFonts w:ascii="Times New Roman" w:eastAsia="Calibri" w:hAnsi="Times New Roman" w:cs="Times New Roman"/>
          <w:i/>
          <w:iCs/>
          <w:sz w:val="24"/>
          <w:szCs w:val="24"/>
        </w:rPr>
        <w:t>.</w:t>
      </w:r>
    </w:p>
    <w:p w14:paraId="6CC65768" w14:textId="2FD0D77A" w:rsidR="00662448" w:rsidRPr="00400B09" w:rsidRDefault="00662448" w:rsidP="00662448">
      <w:pPr>
        <w:spacing w:line="300" w:lineRule="atLeast"/>
        <w:contextualSpacing/>
        <w:jc w:val="center"/>
        <w:rPr>
          <w:rFonts w:ascii="Times New Roman" w:eastAsia="Calibri" w:hAnsi="Times New Roman" w:cs="Times New Roman"/>
          <w:i/>
          <w:iCs/>
          <w:sz w:val="24"/>
          <w:szCs w:val="24"/>
        </w:rPr>
      </w:pPr>
    </w:p>
    <w:p w14:paraId="6FB99B89" w14:textId="77777777" w:rsidR="00662448" w:rsidRPr="00400B09" w:rsidRDefault="00662448" w:rsidP="00FF29F3">
      <w:pPr>
        <w:spacing w:line="300" w:lineRule="atLeast"/>
        <w:contextualSpacing/>
        <w:jc w:val="center"/>
        <w:rPr>
          <w:rFonts w:ascii="Times New Roman" w:eastAsia="Calibri" w:hAnsi="Times New Roman" w:cs="Times New Roman"/>
          <w:sz w:val="24"/>
          <w:szCs w:val="24"/>
          <w:highlight w:val="yellow"/>
        </w:rPr>
      </w:pPr>
      <w:r w:rsidRPr="00400B09">
        <w:rPr>
          <w:rFonts w:ascii="Times New Roman" w:eastAsia="Calibri" w:hAnsi="Times New Roman" w:cs="Times New Roman"/>
          <w:noProof/>
          <w:sz w:val="24"/>
          <w:szCs w:val="24"/>
          <w:lang w:eastAsia="pl-PL"/>
        </w:rPr>
        <w:lastRenderedPageBreak/>
        <w:drawing>
          <wp:inline distT="0" distB="0" distL="0" distR="0" wp14:anchorId="1D20006C" wp14:editId="53B3B9E2">
            <wp:extent cx="4512809" cy="3657600"/>
            <wp:effectExtent l="0" t="0" r="2540" b="0"/>
            <wp:docPr id="143" name="Obraz 143" descr="Zdjęcie 35. Dobrów, gm. Tuczępy – przetwarzanie odpadów w postaci komunalnych osadów ściekowych, skratek poprzez umieszczenie ich w gruncie, bez wymaganego zezwole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Obraz 143" descr="Zdjęcie 35. Dobrów, gm. Tuczępy – przetwarzanie odpadów w postaci komunalnych osadów ściekowych, skratek poprzez umieszczenie ich w gruncie, bez wymaganego zezwolenia"/>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45757" cy="3684304"/>
                    </a:xfrm>
                    <a:prstGeom prst="rect">
                      <a:avLst/>
                    </a:prstGeom>
                    <a:noFill/>
                    <a:ln>
                      <a:noFill/>
                    </a:ln>
                  </pic:spPr>
                </pic:pic>
              </a:graphicData>
            </a:graphic>
          </wp:inline>
        </w:drawing>
      </w:r>
    </w:p>
    <w:p w14:paraId="3E90C969" w14:textId="6D978684" w:rsidR="00662448" w:rsidRDefault="00FC2CF0" w:rsidP="00FF29F3">
      <w:pPr>
        <w:spacing w:line="300" w:lineRule="atLeast"/>
        <w:contextualSpacing/>
        <w:jc w:val="center"/>
        <w:rPr>
          <w:rFonts w:ascii="Times New Roman" w:eastAsia="Calibri" w:hAnsi="Times New Roman" w:cs="Times New Roman"/>
          <w:b/>
          <w:i/>
          <w:iCs/>
        </w:rPr>
      </w:pPr>
      <w:r w:rsidRPr="00FC2CF0">
        <w:rPr>
          <w:rFonts w:ascii="Times New Roman" w:hAnsi="Times New Roman" w:cs="Times New Roman"/>
          <w:b/>
          <w:i/>
          <w:iCs/>
        </w:rPr>
        <w:t xml:space="preserve">Zdjęcie </w:t>
      </w:r>
      <w:r w:rsidR="001A642C">
        <w:rPr>
          <w:rFonts w:ascii="Times New Roman" w:hAnsi="Times New Roman" w:cs="Times New Roman"/>
          <w:b/>
          <w:i/>
          <w:iCs/>
        </w:rPr>
        <w:t>3</w:t>
      </w:r>
      <w:r w:rsidR="00F67169">
        <w:rPr>
          <w:rFonts w:ascii="Times New Roman" w:hAnsi="Times New Roman" w:cs="Times New Roman"/>
          <w:b/>
          <w:i/>
          <w:iCs/>
        </w:rPr>
        <w:t>5</w:t>
      </w:r>
      <w:r w:rsidRPr="00FC2CF0">
        <w:rPr>
          <w:rFonts w:ascii="Times New Roman" w:hAnsi="Times New Roman" w:cs="Times New Roman"/>
          <w:b/>
          <w:i/>
          <w:iCs/>
        </w:rPr>
        <w:t xml:space="preserve">. </w:t>
      </w:r>
      <w:r w:rsidR="00662448" w:rsidRPr="00FC2CF0">
        <w:rPr>
          <w:rFonts w:ascii="Times New Roman" w:hAnsi="Times New Roman" w:cs="Times New Roman"/>
          <w:b/>
          <w:i/>
          <w:iCs/>
        </w:rPr>
        <w:t xml:space="preserve">Dobrów, gm. Tuczępy </w:t>
      </w:r>
      <w:r w:rsidR="00662448" w:rsidRPr="00FC2CF0">
        <w:rPr>
          <w:rFonts w:ascii="Times New Roman" w:eastAsia="Calibri" w:hAnsi="Times New Roman" w:cs="Times New Roman"/>
          <w:b/>
          <w:i/>
          <w:iCs/>
        </w:rPr>
        <w:t xml:space="preserve">– przetwarzanie odpadów w postaci komunalnych osadów ściekowych, </w:t>
      </w:r>
      <w:proofErr w:type="spellStart"/>
      <w:r w:rsidR="00662448" w:rsidRPr="00FC2CF0">
        <w:rPr>
          <w:rFonts w:ascii="Times New Roman" w:eastAsia="Calibri" w:hAnsi="Times New Roman" w:cs="Times New Roman"/>
          <w:b/>
          <w:i/>
          <w:iCs/>
        </w:rPr>
        <w:t>skratek</w:t>
      </w:r>
      <w:proofErr w:type="spellEnd"/>
      <w:r w:rsidR="00662448" w:rsidRPr="00FC2CF0">
        <w:rPr>
          <w:rFonts w:ascii="Times New Roman" w:eastAsia="Calibri" w:hAnsi="Times New Roman" w:cs="Times New Roman"/>
          <w:b/>
          <w:i/>
          <w:iCs/>
        </w:rPr>
        <w:t xml:space="preserve"> poprzez umieszczenie ich w gruncie, bez wymaganego zezwolenia</w:t>
      </w:r>
    </w:p>
    <w:p w14:paraId="6910660B" w14:textId="77777777" w:rsidR="002D4C96" w:rsidRPr="00FC2CF0" w:rsidRDefault="002D4C96" w:rsidP="00FF29F3">
      <w:pPr>
        <w:spacing w:line="300" w:lineRule="atLeast"/>
        <w:contextualSpacing/>
        <w:jc w:val="center"/>
        <w:rPr>
          <w:rFonts w:ascii="Times New Roman" w:eastAsia="Calibri" w:hAnsi="Times New Roman" w:cs="Times New Roman"/>
          <w:b/>
          <w:i/>
          <w:iCs/>
        </w:rPr>
      </w:pPr>
    </w:p>
    <w:p w14:paraId="538B97B0" w14:textId="103F0768" w:rsidR="00662448" w:rsidRDefault="00FC2CF0" w:rsidP="005601DD">
      <w:pPr>
        <w:spacing w:after="60" w:line="300" w:lineRule="atLeast"/>
        <w:jc w:val="both"/>
        <w:rPr>
          <w:rFonts w:ascii="Times New Roman" w:hAnsi="Times New Roman" w:cs="Times New Roman"/>
          <w:b/>
          <w:i/>
          <w:sz w:val="24"/>
          <w:szCs w:val="24"/>
        </w:rPr>
      </w:pPr>
      <w:r w:rsidRPr="00FC2CF0">
        <w:rPr>
          <w:rFonts w:ascii="Times New Roman" w:hAnsi="Times New Roman" w:cs="Times New Roman"/>
          <w:b/>
          <w:i/>
          <w:sz w:val="24"/>
          <w:szCs w:val="24"/>
        </w:rPr>
        <w:t xml:space="preserve">Kontrola w związku z informacją o zasypywaniu odpadami wyrobiska </w:t>
      </w:r>
      <w:proofErr w:type="spellStart"/>
      <w:r w:rsidRPr="00FC2CF0">
        <w:rPr>
          <w:rFonts w:ascii="Times New Roman" w:hAnsi="Times New Roman" w:cs="Times New Roman"/>
          <w:b/>
          <w:i/>
          <w:sz w:val="24"/>
          <w:szCs w:val="24"/>
        </w:rPr>
        <w:t>pożwirowego</w:t>
      </w:r>
      <w:proofErr w:type="spellEnd"/>
      <w:r w:rsidRPr="00FC2CF0">
        <w:rPr>
          <w:rFonts w:ascii="Times New Roman" w:hAnsi="Times New Roman" w:cs="Times New Roman"/>
          <w:b/>
          <w:i/>
          <w:sz w:val="24"/>
          <w:szCs w:val="24"/>
        </w:rPr>
        <w:t xml:space="preserve"> w sposób zagrażający środowisku, woj. małopolskie</w:t>
      </w:r>
    </w:p>
    <w:p w14:paraId="308C6B08" w14:textId="77777777" w:rsidR="003F7A89" w:rsidRDefault="00FC2CF0" w:rsidP="002D4C96">
      <w:pPr>
        <w:autoSpaceDE w:val="0"/>
        <w:autoSpaceDN w:val="0"/>
        <w:adjustRightInd w:val="0"/>
        <w:spacing w:line="300" w:lineRule="atLeast"/>
        <w:ind w:firstLine="567"/>
        <w:contextualSpacing/>
        <w:jc w:val="both"/>
        <w:rPr>
          <w:rFonts w:ascii="Times New Roman" w:hAnsi="Times New Roman" w:cs="Times New Roman"/>
          <w:sz w:val="24"/>
          <w:szCs w:val="24"/>
        </w:rPr>
      </w:pPr>
      <w:r w:rsidRPr="00400B09">
        <w:rPr>
          <w:rFonts w:ascii="Times New Roman" w:hAnsi="Times New Roman" w:cs="Times New Roman"/>
          <w:sz w:val="24"/>
          <w:szCs w:val="24"/>
        </w:rPr>
        <w:t xml:space="preserve">W związku z wnioskami o interwencje, w których zawarto informację o zasypywaniu odpadami wyrobiska </w:t>
      </w:r>
      <w:proofErr w:type="spellStart"/>
      <w:r w:rsidRPr="00400B09">
        <w:rPr>
          <w:rFonts w:ascii="Times New Roman" w:hAnsi="Times New Roman" w:cs="Times New Roman"/>
          <w:sz w:val="24"/>
          <w:szCs w:val="24"/>
        </w:rPr>
        <w:t>pożwirowego</w:t>
      </w:r>
      <w:proofErr w:type="spellEnd"/>
      <w:r w:rsidRPr="00400B09">
        <w:rPr>
          <w:rFonts w:ascii="Times New Roman" w:hAnsi="Times New Roman" w:cs="Times New Roman"/>
          <w:sz w:val="24"/>
          <w:szCs w:val="24"/>
        </w:rPr>
        <w:t xml:space="preserve"> w sposób zagrażający środowisku, inspektorzy WIOŚ </w:t>
      </w:r>
      <w:r>
        <w:rPr>
          <w:rFonts w:ascii="Times New Roman" w:hAnsi="Times New Roman" w:cs="Times New Roman"/>
          <w:sz w:val="24"/>
          <w:szCs w:val="24"/>
        </w:rPr>
        <w:br/>
      </w:r>
      <w:r w:rsidRPr="00400B09">
        <w:rPr>
          <w:rFonts w:ascii="Times New Roman" w:hAnsi="Times New Roman" w:cs="Times New Roman"/>
          <w:sz w:val="24"/>
          <w:szCs w:val="24"/>
        </w:rPr>
        <w:t xml:space="preserve">w  Krakowie przy współudziale funkcjonariuszy Komendy Wojewódzkiej Policji w Krakowie oraz Komendy Powiatowej Policji w Oświęcimiu przeprowadzili kontrolę interwencyjną dwóch podmiotów prowadzących działalność na terenie przy ul. Nadwiślańskiej </w:t>
      </w:r>
      <w:r w:rsidR="003F7A89">
        <w:rPr>
          <w:rFonts w:ascii="Times New Roman" w:hAnsi="Times New Roman" w:cs="Times New Roman"/>
          <w:sz w:val="24"/>
          <w:szCs w:val="24"/>
        </w:rPr>
        <w:br/>
      </w:r>
      <w:r w:rsidRPr="00400B09">
        <w:rPr>
          <w:rFonts w:ascii="Times New Roman" w:hAnsi="Times New Roman" w:cs="Times New Roman"/>
          <w:sz w:val="24"/>
          <w:szCs w:val="24"/>
        </w:rPr>
        <w:t xml:space="preserve">w Oświęcimiu. </w:t>
      </w:r>
    </w:p>
    <w:p w14:paraId="47876EA1" w14:textId="77777777" w:rsidR="003F7A89" w:rsidRDefault="00FC2CF0" w:rsidP="002D4C96">
      <w:pPr>
        <w:autoSpaceDE w:val="0"/>
        <w:autoSpaceDN w:val="0"/>
        <w:adjustRightInd w:val="0"/>
        <w:spacing w:line="300" w:lineRule="atLeast"/>
        <w:ind w:firstLine="567"/>
        <w:contextualSpacing/>
        <w:jc w:val="both"/>
        <w:rPr>
          <w:rFonts w:ascii="Times New Roman" w:hAnsi="Times New Roman" w:cs="Times New Roman"/>
          <w:sz w:val="24"/>
          <w:szCs w:val="24"/>
        </w:rPr>
      </w:pPr>
      <w:r w:rsidRPr="00400B09">
        <w:rPr>
          <w:rFonts w:ascii="Times New Roman" w:hAnsi="Times New Roman" w:cs="Times New Roman"/>
          <w:sz w:val="24"/>
          <w:szCs w:val="24"/>
        </w:rPr>
        <w:t xml:space="preserve">W dniu rozpoczęcia działań stwierdzono, że wyrobisko </w:t>
      </w:r>
      <w:proofErr w:type="spellStart"/>
      <w:r w:rsidRPr="00400B09">
        <w:rPr>
          <w:rFonts w:ascii="Times New Roman" w:hAnsi="Times New Roman" w:cs="Times New Roman"/>
          <w:sz w:val="24"/>
          <w:szCs w:val="24"/>
        </w:rPr>
        <w:t>pożwirowe</w:t>
      </w:r>
      <w:proofErr w:type="spellEnd"/>
      <w:r w:rsidRPr="00400B09">
        <w:rPr>
          <w:rFonts w:ascii="Times New Roman" w:hAnsi="Times New Roman" w:cs="Times New Roman"/>
          <w:sz w:val="24"/>
          <w:szCs w:val="24"/>
        </w:rPr>
        <w:t>, które wypełnione było cieczą</w:t>
      </w:r>
      <w:r w:rsidR="003F7A89">
        <w:rPr>
          <w:rFonts w:ascii="Times New Roman" w:hAnsi="Times New Roman" w:cs="Times New Roman"/>
          <w:sz w:val="24"/>
          <w:szCs w:val="24"/>
        </w:rPr>
        <w:t>,</w:t>
      </w:r>
      <w:r w:rsidRPr="00400B09">
        <w:rPr>
          <w:rFonts w:ascii="Times New Roman" w:hAnsi="Times New Roman" w:cs="Times New Roman"/>
          <w:sz w:val="24"/>
          <w:szCs w:val="24"/>
        </w:rPr>
        <w:t xml:space="preserve"> zostało w znacznym stopniu zasypane. W trakcie działań Centralne Laboratorium Badawcze </w:t>
      </w:r>
      <w:r w:rsidR="003F7A89">
        <w:rPr>
          <w:rFonts w:ascii="Times New Roman" w:hAnsi="Times New Roman" w:cs="Times New Roman"/>
          <w:sz w:val="24"/>
          <w:szCs w:val="24"/>
        </w:rPr>
        <w:t xml:space="preserve">(CLB) </w:t>
      </w:r>
      <w:r w:rsidRPr="00400B09">
        <w:rPr>
          <w:rFonts w:ascii="Times New Roman" w:hAnsi="Times New Roman" w:cs="Times New Roman"/>
          <w:sz w:val="24"/>
          <w:szCs w:val="24"/>
        </w:rPr>
        <w:t xml:space="preserve">GIOŚ, Oddział w Krakowie, pobrało próbki wody z wyrobiska, próbki substancji zgromadzonych na tym terenie oraz uśrednioną próbkę gleby z tego terenu. Ponadto CLB GIOŚ wykonało badania </w:t>
      </w:r>
      <w:proofErr w:type="spellStart"/>
      <w:r w:rsidRPr="00400B09">
        <w:rPr>
          <w:rFonts w:ascii="Times New Roman" w:hAnsi="Times New Roman" w:cs="Times New Roman"/>
          <w:sz w:val="24"/>
          <w:szCs w:val="24"/>
        </w:rPr>
        <w:t>georadarem</w:t>
      </w:r>
      <w:proofErr w:type="spellEnd"/>
      <w:r w:rsidRPr="00400B09">
        <w:rPr>
          <w:rFonts w:ascii="Times New Roman" w:hAnsi="Times New Roman" w:cs="Times New Roman"/>
          <w:sz w:val="24"/>
          <w:szCs w:val="24"/>
        </w:rPr>
        <w:t xml:space="preserve">, jak również zobrazowało ten teren przy użyciu bezzałogowego statku powietrznego. </w:t>
      </w:r>
    </w:p>
    <w:p w14:paraId="2EECF8A2" w14:textId="77777777" w:rsidR="003F7A89" w:rsidRDefault="00FC2CF0" w:rsidP="002D4C96">
      <w:pPr>
        <w:autoSpaceDE w:val="0"/>
        <w:autoSpaceDN w:val="0"/>
        <w:adjustRightInd w:val="0"/>
        <w:spacing w:line="300" w:lineRule="atLeast"/>
        <w:ind w:firstLine="567"/>
        <w:contextualSpacing/>
        <w:jc w:val="both"/>
        <w:rPr>
          <w:rFonts w:ascii="Times New Roman" w:hAnsi="Times New Roman" w:cs="Times New Roman"/>
          <w:sz w:val="24"/>
          <w:szCs w:val="24"/>
        </w:rPr>
      </w:pPr>
      <w:r w:rsidRPr="00400B09">
        <w:rPr>
          <w:rFonts w:ascii="Times New Roman" w:hAnsi="Times New Roman" w:cs="Times New Roman"/>
          <w:sz w:val="24"/>
          <w:szCs w:val="24"/>
        </w:rPr>
        <w:t xml:space="preserve">Przeprowadzone działania kontrolne wykazały, że przedmiotowe wyrobisko </w:t>
      </w:r>
      <w:proofErr w:type="spellStart"/>
      <w:r w:rsidRPr="00400B09">
        <w:rPr>
          <w:rFonts w:ascii="Times New Roman" w:hAnsi="Times New Roman" w:cs="Times New Roman"/>
          <w:sz w:val="24"/>
          <w:szCs w:val="24"/>
        </w:rPr>
        <w:t>pożwirowe</w:t>
      </w:r>
      <w:proofErr w:type="spellEnd"/>
      <w:r w:rsidRPr="00400B09">
        <w:rPr>
          <w:rFonts w:ascii="Times New Roman" w:hAnsi="Times New Roman" w:cs="Times New Roman"/>
          <w:sz w:val="24"/>
          <w:szCs w:val="24"/>
        </w:rPr>
        <w:t xml:space="preserve"> jest zasypywane odpadami, w tym odpadami niebezpiecznymi. Ponadto w trakcie kontroli ujawniono, że część substancji użytych do zasypywania tego zbiornika, stanowią odpady nielegalnie sprowadzone zza granicy tj. z terytorium Republiki Słowackiej. W trakcie kontroli przedstawiciel jednego z ww. podmiotów, pomimo prawidłowo kierowanych do niego wezwań do udziału w czynnościach kontrolnych nie wziął udziału w żadnych z podjętych działań. Do obydwu podmiotów kierowano wezwania do udziału w czynnościach kontrolnych za pośrednictwem innych organów tj. KPP w Oświęcimiu w przypadku pierwszego z podmiotów oraz WIOŚ w Katowicach w przypadku drugiego. Obydwa podmioty odmówiły podpisania protokołów kontroli i złożyły do nich swoje zastrzeżenia. </w:t>
      </w:r>
    </w:p>
    <w:p w14:paraId="41329550" w14:textId="77777777" w:rsidR="003F7A89" w:rsidRDefault="00FC2CF0" w:rsidP="002D4C96">
      <w:pPr>
        <w:autoSpaceDE w:val="0"/>
        <w:autoSpaceDN w:val="0"/>
        <w:adjustRightInd w:val="0"/>
        <w:spacing w:line="300" w:lineRule="atLeast"/>
        <w:ind w:firstLine="567"/>
        <w:contextualSpacing/>
        <w:jc w:val="both"/>
        <w:rPr>
          <w:rFonts w:ascii="Times New Roman" w:hAnsi="Times New Roman" w:cs="Times New Roman"/>
          <w:sz w:val="24"/>
          <w:szCs w:val="24"/>
        </w:rPr>
      </w:pPr>
      <w:r w:rsidRPr="00400B09">
        <w:rPr>
          <w:rFonts w:ascii="Times New Roman" w:hAnsi="Times New Roman" w:cs="Times New Roman"/>
          <w:sz w:val="24"/>
          <w:szCs w:val="24"/>
        </w:rPr>
        <w:lastRenderedPageBreak/>
        <w:t xml:space="preserve">WIOŚ w pismach kierowanych w 2023 roku do przedstawicieli kontrolowanych podmiotów, podtrzymał ustalenia zawarte w protokołach kontroli. W wyniku przeprowadzonych działań, wszczęto postępowanie w sprawie wstrzymania działalności </w:t>
      </w:r>
      <w:r w:rsidR="003F7A89">
        <w:rPr>
          <w:rFonts w:ascii="Times New Roman" w:hAnsi="Times New Roman" w:cs="Times New Roman"/>
          <w:sz w:val="24"/>
          <w:szCs w:val="24"/>
        </w:rPr>
        <w:br/>
      </w:r>
      <w:r w:rsidRPr="00400B09">
        <w:rPr>
          <w:rFonts w:ascii="Times New Roman" w:hAnsi="Times New Roman" w:cs="Times New Roman"/>
          <w:sz w:val="24"/>
          <w:szCs w:val="24"/>
        </w:rPr>
        <w:t xml:space="preserve">w zakresie przetwarzania odpadów bez wymaganego zezwolenia. Ponadto zostaną wszczęte postępowania administracyjne w celu wymierzenia administracyjnych kar pieniężnych za przetwarzanie odpadów bez wymaganego zezwolenia, za nielegalne transgraniczne przemieszczenie odpadów, jak również za utrudnianie kontroli. </w:t>
      </w:r>
    </w:p>
    <w:p w14:paraId="313DE788" w14:textId="4BAB5530" w:rsidR="00FC2CF0" w:rsidRPr="00400B09" w:rsidRDefault="00FC2CF0" w:rsidP="002D4C96">
      <w:pPr>
        <w:autoSpaceDE w:val="0"/>
        <w:autoSpaceDN w:val="0"/>
        <w:adjustRightInd w:val="0"/>
        <w:spacing w:line="300" w:lineRule="atLeast"/>
        <w:ind w:firstLine="567"/>
        <w:contextualSpacing/>
        <w:jc w:val="both"/>
        <w:rPr>
          <w:rFonts w:ascii="Times New Roman" w:hAnsi="Times New Roman" w:cs="Times New Roman"/>
          <w:sz w:val="24"/>
          <w:szCs w:val="24"/>
        </w:rPr>
      </w:pPr>
      <w:r w:rsidRPr="00400B09">
        <w:rPr>
          <w:rFonts w:ascii="Times New Roman" w:hAnsi="Times New Roman" w:cs="Times New Roman"/>
          <w:sz w:val="24"/>
          <w:szCs w:val="24"/>
        </w:rPr>
        <w:t xml:space="preserve">O wynikach prowadzonych działań informowano na bieżąco właściwą miejscowo Prokuraturę, która już wcześniej prowadziła postępowanie w sprawie tych podmiotów. </w:t>
      </w:r>
      <w:r w:rsidR="003F7A89">
        <w:rPr>
          <w:rFonts w:ascii="Times New Roman" w:hAnsi="Times New Roman" w:cs="Times New Roman"/>
          <w:sz w:val="24"/>
          <w:szCs w:val="24"/>
        </w:rPr>
        <w:br/>
      </w:r>
      <w:r w:rsidRPr="00400B09">
        <w:rPr>
          <w:rFonts w:ascii="Times New Roman" w:hAnsi="Times New Roman" w:cs="Times New Roman"/>
          <w:sz w:val="24"/>
          <w:szCs w:val="24"/>
        </w:rPr>
        <w:t xml:space="preserve">W związku z odmową podpisania protokołu oraz koniecznością odniesienia się do zastrzeżeń obydwu podmiotów, dalsze współdziałanie z innymi organami (w tym KAS, Prokuraturą oraz GIOŚ), jak również skierowanie wniosku do sądu rejonowego o ukaranie za stwierdzone </w:t>
      </w:r>
      <w:r w:rsidR="003F7A89">
        <w:rPr>
          <w:rFonts w:ascii="Times New Roman" w:hAnsi="Times New Roman" w:cs="Times New Roman"/>
          <w:sz w:val="24"/>
          <w:szCs w:val="24"/>
        </w:rPr>
        <w:br/>
      </w:r>
      <w:r w:rsidRPr="00400B09">
        <w:rPr>
          <w:rFonts w:ascii="Times New Roman" w:hAnsi="Times New Roman" w:cs="Times New Roman"/>
          <w:sz w:val="24"/>
          <w:szCs w:val="24"/>
        </w:rPr>
        <w:t>w trakcie kontroli wykroczenia,</w:t>
      </w:r>
      <w:r w:rsidR="003F7A89">
        <w:rPr>
          <w:rFonts w:ascii="Times New Roman" w:hAnsi="Times New Roman" w:cs="Times New Roman"/>
          <w:sz w:val="24"/>
          <w:szCs w:val="24"/>
        </w:rPr>
        <w:t xml:space="preserve"> zaplanowano prowadzenie dalszych działań w tej sprawie</w:t>
      </w:r>
      <w:r w:rsidRPr="00400B09">
        <w:rPr>
          <w:rFonts w:ascii="Times New Roman" w:hAnsi="Times New Roman" w:cs="Times New Roman"/>
          <w:sz w:val="24"/>
          <w:szCs w:val="24"/>
        </w:rPr>
        <w:t xml:space="preserve">. </w:t>
      </w:r>
    </w:p>
    <w:p w14:paraId="2EE81AA2" w14:textId="77777777" w:rsidR="00FC2CF0" w:rsidRPr="00400B09" w:rsidRDefault="00FC2CF0" w:rsidP="00FC2CF0">
      <w:pPr>
        <w:autoSpaceDE w:val="0"/>
        <w:autoSpaceDN w:val="0"/>
        <w:adjustRightInd w:val="0"/>
        <w:spacing w:line="300" w:lineRule="atLeast"/>
        <w:contextualSpacing/>
        <w:rPr>
          <w:rFonts w:ascii="Times New Roman" w:hAnsi="Times New Roman" w:cs="Times New Roman"/>
          <w:sz w:val="24"/>
          <w:szCs w:val="24"/>
        </w:rPr>
      </w:pPr>
    </w:p>
    <w:p w14:paraId="1952849B" w14:textId="77777777" w:rsidR="00FC2CF0" w:rsidRPr="00400B09" w:rsidRDefault="00FC2CF0" w:rsidP="00FF29F3">
      <w:pPr>
        <w:autoSpaceDE w:val="0"/>
        <w:autoSpaceDN w:val="0"/>
        <w:adjustRightInd w:val="0"/>
        <w:spacing w:line="300" w:lineRule="atLeast"/>
        <w:contextualSpacing/>
        <w:jc w:val="center"/>
        <w:rPr>
          <w:rFonts w:ascii="Times New Roman" w:hAnsi="Times New Roman" w:cs="Times New Roman"/>
          <w:sz w:val="24"/>
          <w:szCs w:val="24"/>
        </w:rPr>
      </w:pPr>
      <w:r w:rsidRPr="00400B09">
        <w:rPr>
          <w:rFonts w:ascii="Times New Roman" w:hAnsi="Times New Roman" w:cs="Times New Roman"/>
          <w:noProof/>
          <w:sz w:val="24"/>
          <w:szCs w:val="24"/>
          <w:lang w:eastAsia="pl-PL"/>
        </w:rPr>
        <w:drawing>
          <wp:inline distT="0" distB="0" distL="0" distR="0" wp14:anchorId="1F3C7AF0" wp14:editId="04C467D6">
            <wp:extent cx="5753100" cy="3228975"/>
            <wp:effectExtent l="0" t="0" r="0" b="9525"/>
            <wp:docPr id="130" name="Obraz 130" descr="Zdjęcie 36. Teren prowadzenia nielegalnej działalności w zakresie gospodarowania&#10;odpadami&#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Obraz 130" descr="Zdjęcie 36. Teren prowadzenia nielegalnej działalności w zakresie gospodarowania&#10;odpadami&#1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53100" cy="3228975"/>
                    </a:xfrm>
                    <a:prstGeom prst="rect">
                      <a:avLst/>
                    </a:prstGeom>
                    <a:noFill/>
                    <a:ln>
                      <a:noFill/>
                    </a:ln>
                  </pic:spPr>
                </pic:pic>
              </a:graphicData>
            </a:graphic>
          </wp:inline>
        </w:drawing>
      </w:r>
    </w:p>
    <w:p w14:paraId="0DB5FA4A" w14:textId="486579C7" w:rsidR="00FC2CF0" w:rsidRPr="003F7A89" w:rsidRDefault="00FC2CF0" w:rsidP="00FF29F3">
      <w:pPr>
        <w:autoSpaceDE w:val="0"/>
        <w:autoSpaceDN w:val="0"/>
        <w:adjustRightInd w:val="0"/>
        <w:spacing w:line="300" w:lineRule="atLeast"/>
        <w:contextualSpacing/>
        <w:jc w:val="center"/>
        <w:rPr>
          <w:rFonts w:ascii="Times New Roman" w:hAnsi="Times New Roman" w:cs="Times New Roman"/>
          <w:b/>
          <w:i/>
        </w:rPr>
      </w:pPr>
      <w:r w:rsidRPr="003F7A89">
        <w:rPr>
          <w:rFonts w:ascii="Times New Roman" w:hAnsi="Times New Roman" w:cs="Times New Roman"/>
          <w:b/>
          <w:i/>
        </w:rPr>
        <w:t xml:space="preserve">Zdjęcie </w:t>
      </w:r>
      <w:r w:rsidR="001A642C">
        <w:rPr>
          <w:rFonts w:ascii="Times New Roman" w:hAnsi="Times New Roman" w:cs="Times New Roman"/>
          <w:b/>
          <w:i/>
        </w:rPr>
        <w:t>3</w:t>
      </w:r>
      <w:r w:rsidR="00F67169">
        <w:rPr>
          <w:rFonts w:ascii="Times New Roman" w:hAnsi="Times New Roman" w:cs="Times New Roman"/>
          <w:b/>
          <w:i/>
        </w:rPr>
        <w:t>6</w:t>
      </w:r>
      <w:r w:rsidR="003F7A89" w:rsidRPr="003F7A89">
        <w:rPr>
          <w:rFonts w:ascii="Times New Roman" w:hAnsi="Times New Roman" w:cs="Times New Roman"/>
          <w:b/>
          <w:i/>
        </w:rPr>
        <w:t xml:space="preserve">. </w:t>
      </w:r>
      <w:r w:rsidR="001A642C">
        <w:rPr>
          <w:rFonts w:ascii="Times New Roman" w:hAnsi="Times New Roman" w:cs="Times New Roman"/>
          <w:b/>
          <w:i/>
        </w:rPr>
        <w:t>T</w:t>
      </w:r>
      <w:r w:rsidRPr="003F7A89">
        <w:rPr>
          <w:rFonts w:ascii="Times New Roman" w:hAnsi="Times New Roman" w:cs="Times New Roman"/>
          <w:b/>
          <w:i/>
        </w:rPr>
        <w:t>eren prowadzenia nielegalnej działalności w zakresie gospodarowania</w:t>
      </w:r>
    </w:p>
    <w:p w14:paraId="194FA368" w14:textId="7411E847" w:rsidR="00FC2CF0" w:rsidRPr="003F7A89" w:rsidRDefault="00FC2CF0" w:rsidP="002D4C96">
      <w:pPr>
        <w:spacing w:line="300" w:lineRule="atLeast"/>
        <w:jc w:val="center"/>
        <w:rPr>
          <w:rFonts w:ascii="Times New Roman" w:hAnsi="Times New Roman" w:cs="Times New Roman"/>
          <w:color w:val="000000" w:themeColor="text1"/>
          <w:sz w:val="24"/>
          <w:szCs w:val="24"/>
        </w:rPr>
      </w:pPr>
      <w:r w:rsidRPr="003F7A89">
        <w:rPr>
          <w:rFonts w:ascii="Times New Roman" w:hAnsi="Times New Roman" w:cs="Times New Roman"/>
          <w:b/>
          <w:i/>
          <w:color w:val="000000" w:themeColor="text1"/>
        </w:rPr>
        <w:t>odpadami</w:t>
      </w:r>
    </w:p>
    <w:p w14:paraId="5D0BE44A" w14:textId="599E48F7" w:rsidR="00FC2CF0" w:rsidRPr="003F7A89" w:rsidRDefault="005C08F4" w:rsidP="005601DD">
      <w:pPr>
        <w:spacing w:after="60" w:line="300" w:lineRule="atLeast"/>
        <w:jc w:val="both"/>
        <w:rPr>
          <w:rFonts w:ascii="Times New Roman" w:hAnsi="Times New Roman" w:cs="Times New Roman"/>
          <w:b/>
          <w:i/>
          <w:color w:val="000000" w:themeColor="text1"/>
          <w:sz w:val="24"/>
          <w:szCs w:val="24"/>
        </w:rPr>
      </w:pPr>
      <w:r>
        <w:rPr>
          <w:rFonts w:ascii="Times New Roman" w:hAnsi="Times New Roman" w:cs="Times New Roman"/>
          <w:b/>
          <w:i/>
          <w:color w:val="000000" w:themeColor="text1"/>
          <w:sz w:val="24"/>
          <w:szCs w:val="24"/>
        </w:rPr>
        <w:t>Kontrola w związku z p</w:t>
      </w:r>
      <w:r w:rsidR="003F7A89" w:rsidRPr="003F7A89">
        <w:rPr>
          <w:rFonts w:ascii="Times New Roman" w:hAnsi="Times New Roman" w:cs="Times New Roman"/>
          <w:b/>
          <w:i/>
          <w:color w:val="000000" w:themeColor="text1"/>
          <w:sz w:val="24"/>
          <w:szCs w:val="24"/>
        </w:rPr>
        <w:t>orzucenie</w:t>
      </w:r>
      <w:r>
        <w:rPr>
          <w:rFonts w:ascii="Times New Roman" w:hAnsi="Times New Roman" w:cs="Times New Roman"/>
          <w:b/>
          <w:i/>
          <w:color w:val="000000" w:themeColor="text1"/>
          <w:sz w:val="24"/>
          <w:szCs w:val="24"/>
        </w:rPr>
        <w:t>m</w:t>
      </w:r>
      <w:r w:rsidR="003F7A89" w:rsidRPr="003F7A89">
        <w:rPr>
          <w:rFonts w:ascii="Times New Roman" w:hAnsi="Times New Roman" w:cs="Times New Roman"/>
          <w:b/>
          <w:i/>
          <w:color w:val="000000" w:themeColor="text1"/>
          <w:sz w:val="24"/>
          <w:szCs w:val="24"/>
        </w:rPr>
        <w:t xml:space="preserve"> odpadów w gm. Łęczyca, woj. łódzkie</w:t>
      </w:r>
    </w:p>
    <w:p w14:paraId="26E5E3CF" w14:textId="77777777" w:rsidR="0077718A" w:rsidRDefault="0077718A" w:rsidP="005601DD">
      <w:pPr>
        <w:spacing w:after="120" w:line="300" w:lineRule="atLeast"/>
        <w:ind w:firstLine="567"/>
        <w:jc w:val="both"/>
        <w:rPr>
          <w:rFonts w:ascii="Times New Roman" w:hAnsi="Times New Roman" w:cs="Times New Roman"/>
          <w:iCs/>
          <w:sz w:val="24"/>
          <w:szCs w:val="24"/>
        </w:rPr>
      </w:pPr>
      <w:r w:rsidRPr="0077718A">
        <w:rPr>
          <w:rFonts w:ascii="Times New Roman" w:hAnsi="Times New Roman" w:cs="Times New Roman"/>
          <w:iCs/>
          <w:sz w:val="24"/>
          <w:szCs w:val="24"/>
        </w:rPr>
        <w:t xml:space="preserve">Kontrolę wszczęto w związku z ujawnionym porzuceniem odpadów w miejscowości Topola Królewska, </w:t>
      </w:r>
      <w:r>
        <w:rPr>
          <w:rFonts w:ascii="Times New Roman" w:hAnsi="Times New Roman" w:cs="Times New Roman"/>
          <w:iCs/>
          <w:sz w:val="24"/>
          <w:szCs w:val="24"/>
        </w:rPr>
        <w:t xml:space="preserve">w gm. </w:t>
      </w:r>
      <w:r w:rsidRPr="0077718A">
        <w:rPr>
          <w:rFonts w:ascii="Times New Roman" w:hAnsi="Times New Roman" w:cs="Times New Roman"/>
          <w:iCs/>
          <w:sz w:val="24"/>
          <w:szCs w:val="24"/>
        </w:rPr>
        <w:t xml:space="preserve">Łęczyca. Na terenie ww. nieruchomości stanowiącej niegdyś warsztat samochodowy, w jednym z pomieszczeń budynku, składającym się z dwóch stref, umieszczone były beczki metalowe w ilości ok. 350 sztuk o pojemności po 200 litrów każda, stanowiące porzucone odpady w postaci substancji niebezpiecznych. Beczki w ilości po 2 lub 4 sztuki owinięte były czarną folią typu </w:t>
      </w:r>
      <w:proofErr w:type="spellStart"/>
      <w:r w:rsidRPr="0077718A">
        <w:rPr>
          <w:rFonts w:ascii="Times New Roman" w:hAnsi="Times New Roman" w:cs="Times New Roman"/>
          <w:iCs/>
          <w:sz w:val="24"/>
          <w:szCs w:val="24"/>
        </w:rPr>
        <w:t>strech</w:t>
      </w:r>
      <w:proofErr w:type="spellEnd"/>
      <w:r w:rsidRPr="0077718A">
        <w:rPr>
          <w:rFonts w:ascii="Times New Roman" w:hAnsi="Times New Roman" w:cs="Times New Roman"/>
          <w:iCs/>
          <w:sz w:val="24"/>
          <w:szCs w:val="24"/>
        </w:rPr>
        <w:t xml:space="preserve">. Pojemniki były ułożone piętrowo, maksymalnie do 3 poziomu. Każda partia beczek umieszczona była na drewnianych paletach. </w:t>
      </w:r>
    </w:p>
    <w:p w14:paraId="1E52BA6E" w14:textId="1025479E" w:rsidR="0077718A" w:rsidRDefault="0077718A" w:rsidP="00FF29F3">
      <w:pPr>
        <w:spacing w:after="0" w:line="300" w:lineRule="atLeast"/>
        <w:ind w:firstLine="567"/>
        <w:jc w:val="center"/>
        <w:rPr>
          <w:rFonts w:ascii="Times New Roman" w:hAnsi="Times New Roman" w:cs="Times New Roman"/>
          <w:iCs/>
          <w:sz w:val="24"/>
          <w:szCs w:val="24"/>
        </w:rPr>
      </w:pPr>
      <w:r w:rsidRPr="00400B09">
        <w:rPr>
          <w:rFonts w:ascii="Times New Roman" w:hAnsi="Times New Roman" w:cs="Times New Roman"/>
          <w:iCs/>
          <w:noProof/>
          <w:color w:val="70AD47"/>
          <w:sz w:val="24"/>
          <w:szCs w:val="24"/>
          <w:lang w:eastAsia="pl-PL"/>
        </w:rPr>
        <w:lastRenderedPageBreak/>
        <w:drawing>
          <wp:inline distT="0" distB="0" distL="0" distR="0" wp14:anchorId="0637F47A" wp14:editId="108D28FA">
            <wp:extent cx="2703195" cy="2178916"/>
            <wp:effectExtent l="0" t="4445" r="0" b="0"/>
            <wp:docPr id="476" name="Obraz 476" descr="Zdjęcia 37-38 pojemniki z etykiet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Obraz 476" descr="Zdjęcia 37-38 pojemniki z etykietami"/>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400000">
                      <a:off x="0" y="0"/>
                      <a:ext cx="2742956" cy="2210965"/>
                    </a:xfrm>
                    <a:prstGeom prst="rect">
                      <a:avLst/>
                    </a:prstGeom>
                    <a:noFill/>
                    <a:ln>
                      <a:noFill/>
                    </a:ln>
                  </pic:spPr>
                </pic:pic>
              </a:graphicData>
            </a:graphic>
          </wp:inline>
        </w:drawing>
      </w:r>
      <w:r w:rsidRPr="00400B09">
        <w:rPr>
          <w:rFonts w:ascii="Times New Roman" w:hAnsi="Times New Roman" w:cs="Times New Roman"/>
          <w:iCs/>
          <w:noProof/>
          <w:color w:val="70AD47"/>
          <w:sz w:val="24"/>
          <w:szCs w:val="24"/>
          <w:lang w:eastAsia="pl-PL"/>
        </w:rPr>
        <w:drawing>
          <wp:inline distT="0" distB="0" distL="0" distR="0" wp14:anchorId="5E2E0C3D" wp14:editId="6AA9CDF4">
            <wp:extent cx="2762250" cy="2198658"/>
            <wp:effectExtent l="0" t="3810" r="0" b="0"/>
            <wp:docPr id="475" name="Obraz 475" descr="Zdjęcia 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Obraz 475" descr="Zdjęcia 37-3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5400000">
                      <a:off x="0" y="0"/>
                      <a:ext cx="2826581" cy="2249864"/>
                    </a:xfrm>
                    <a:prstGeom prst="rect">
                      <a:avLst/>
                    </a:prstGeom>
                    <a:noFill/>
                    <a:ln>
                      <a:noFill/>
                    </a:ln>
                  </pic:spPr>
                </pic:pic>
              </a:graphicData>
            </a:graphic>
          </wp:inline>
        </w:drawing>
      </w:r>
    </w:p>
    <w:p w14:paraId="397F47DD" w14:textId="5C576123" w:rsidR="0002731D" w:rsidRPr="0002731D" w:rsidRDefault="0002731D" w:rsidP="00FF29F3">
      <w:pPr>
        <w:spacing w:after="0" w:line="300" w:lineRule="atLeast"/>
        <w:ind w:firstLine="567"/>
        <w:jc w:val="center"/>
        <w:rPr>
          <w:rFonts w:ascii="Times New Roman" w:hAnsi="Times New Roman" w:cs="Times New Roman"/>
          <w:b/>
          <w:i/>
          <w:iCs/>
        </w:rPr>
      </w:pPr>
      <w:r w:rsidRPr="0002731D">
        <w:rPr>
          <w:rFonts w:ascii="Times New Roman" w:hAnsi="Times New Roman" w:cs="Times New Roman"/>
          <w:b/>
          <w:i/>
          <w:iCs/>
        </w:rPr>
        <w:t xml:space="preserve">Zdjęcia </w:t>
      </w:r>
      <w:r w:rsidR="001A642C">
        <w:rPr>
          <w:rFonts w:ascii="Times New Roman" w:hAnsi="Times New Roman" w:cs="Times New Roman"/>
          <w:b/>
          <w:i/>
          <w:iCs/>
        </w:rPr>
        <w:t>3</w:t>
      </w:r>
      <w:r w:rsidR="00F67169">
        <w:rPr>
          <w:rFonts w:ascii="Times New Roman" w:hAnsi="Times New Roman" w:cs="Times New Roman"/>
          <w:b/>
          <w:i/>
          <w:iCs/>
        </w:rPr>
        <w:t>7</w:t>
      </w:r>
      <w:r w:rsidRPr="0002731D">
        <w:rPr>
          <w:rFonts w:ascii="Times New Roman" w:hAnsi="Times New Roman" w:cs="Times New Roman"/>
          <w:b/>
          <w:i/>
          <w:iCs/>
        </w:rPr>
        <w:t>-</w:t>
      </w:r>
      <w:r w:rsidR="001A642C">
        <w:rPr>
          <w:rFonts w:ascii="Times New Roman" w:hAnsi="Times New Roman" w:cs="Times New Roman"/>
          <w:b/>
          <w:i/>
          <w:iCs/>
        </w:rPr>
        <w:t>3</w:t>
      </w:r>
      <w:r w:rsidR="00F67169">
        <w:rPr>
          <w:rFonts w:ascii="Times New Roman" w:hAnsi="Times New Roman" w:cs="Times New Roman"/>
          <w:b/>
          <w:i/>
          <w:iCs/>
        </w:rPr>
        <w:t>8</w:t>
      </w:r>
    </w:p>
    <w:p w14:paraId="10705D32" w14:textId="245AC309" w:rsidR="0077718A" w:rsidRPr="0077718A" w:rsidRDefault="0077718A" w:rsidP="005601DD">
      <w:pPr>
        <w:spacing w:after="0" w:line="300" w:lineRule="atLeast"/>
        <w:ind w:firstLine="567"/>
        <w:jc w:val="both"/>
        <w:rPr>
          <w:rFonts w:ascii="Times New Roman" w:hAnsi="Times New Roman" w:cs="Times New Roman"/>
          <w:iCs/>
          <w:sz w:val="24"/>
          <w:szCs w:val="24"/>
        </w:rPr>
      </w:pPr>
      <w:r w:rsidRPr="0077718A">
        <w:rPr>
          <w:rFonts w:ascii="Times New Roman" w:hAnsi="Times New Roman" w:cs="Times New Roman"/>
          <w:iCs/>
          <w:sz w:val="24"/>
          <w:szCs w:val="24"/>
        </w:rPr>
        <w:t xml:space="preserve">Podczas oględzin nie stwierdzono plam oraz śladów świadczących o wydostaniu się substancji z ww. pojemników. Po przeprowadzonej kontroli wysłano zawiadomienie </w:t>
      </w:r>
      <w:r>
        <w:rPr>
          <w:rFonts w:ascii="Times New Roman" w:hAnsi="Times New Roman" w:cs="Times New Roman"/>
          <w:iCs/>
          <w:sz w:val="24"/>
          <w:szCs w:val="24"/>
        </w:rPr>
        <w:br/>
      </w:r>
      <w:r w:rsidRPr="0077718A">
        <w:rPr>
          <w:rFonts w:ascii="Times New Roman" w:hAnsi="Times New Roman" w:cs="Times New Roman"/>
          <w:iCs/>
          <w:sz w:val="24"/>
          <w:szCs w:val="24"/>
        </w:rPr>
        <w:t xml:space="preserve">o podejrzeniu popełnienia przestępstwa określonego w art. 183 § 1 k.k. do Prokuratury Rejonowej oraz wystąpienie do Wójta Gminy. </w:t>
      </w:r>
    </w:p>
    <w:p w14:paraId="68FE0C3B" w14:textId="77777777" w:rsidR="0077718A" w:rsidRPr="00400B09" w:rsidRDefault="0077718A" w:rsidP="0077718A">
      <w:pPr>
        <w:pStyle w:val="Akapitzlist"/>
        <w:spacing w:line="300" w:lineRule="atLeast"/>
        <w:ind w:left="709"/>
        <w:jc w:val="both"/>
        <w:rPr>
          <w:iCs/>
          <w:noProof/>
          <w:color w:val="70AD47"/>
          <w:sz w:val="24"/>
          <w:szCs w:val="24"/>
        </w:rPr>
      </w:pPr>
    </w:p>
    <w:p w14:paraId="75281849" w14:textId="30863AC7" w:rsidR="0077718A" w:rsidRDefault="0077718A" w:rsidP="00FF29F3">
      <w:pPr>
        <w:pStyle w:val="Akapitzlist"/>
        <w:spacing w:line="300" w:lineRule="atLeast"/>
        <w:ind w:left="709"/>
        <w:jc w:val="center"/>
        <w:rPr>
          <w:iCs/>
          <w:noProof/>
          <w:color w:val="70AD47"/>
          <w:sz w:val="24"/>
          <w:szCs w:val="24"/>
        </w:rPr>
      </w:pPr>
      <w:r w:rsidRPr="00400B09">
        <w:rPr>
          <w:iCs/>
          <w:noProof/>
          <w:color w:val="70AD47"/>
          <w:sz w:val="24"/>
          <w:szCs w:val="24"/>
          <w:lang w:val="pl-PL"/>
        </w:rPr>
        <w:drawing>
          <wp:inline distT="0" distB="0" distL="0" distR="0" wp14:anchorId="0DBE2C7F" wp14:editId="48B2ABA0">
            <wp:extent cx="4392521" cy="3162300"/>
            <wp:effectExtent l="0" t="0" r="8255" b="0"/>
            <wp:docPr id="474" name="Obraz 474" descr="Zdjęcie 39 pojemnik z etykiet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Obraz 474" descr="Zdjęcie 39 pojemnik z etykietą"/>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400786" cy="3168251"/>
                    </a:xfrm>
                    <a:prstGeom prst="rect">
                      <a:avLst/>
                    </a:prstGeom>
                    <a:noFill/>
                    <a:ln>
                      <a:noFill/>
                    </a:ln>
                  </pic:spPr>
                </pic:pic>
              </a:graphicData>
            </a:graphic>
          </wp:inline>
        </w:drawing>
      </w:r>
    </w:p>
    <w:p w14:paraId="2889ABDA" w14:textId="715E9AE9" w:rsidR="0002731D" w:rsidRPr="00F27A74" w:rsidRDefault="003C429D" w:rsidP="003C429D">
      <w:pPr>
        <w:spacing w:line="300" w:lineRule="atLeast"/>
        <w:jc w:val="center"/>
        <w:rPr>
          <w:rFonts w:ascii="Times New Roman" w:hAnsi="Times New Roman" w:cs="Times New Roman"/>
          <w:b/>
          <w:i/>
          <w:iCs/>
          <w:noProof/>
          <w:color w:val="000000" w:themeColor="text1"/>
        </w:rPr>
      </w:pPr>
      <w:r w:rsidRPr="00F27A74">
        <w:rPr>
          <w:rFonts w:ascii="Times New Roman" w:hAnsi="Times New Roman" w:cs="Times New Roman"/>
          <w:b/>
          <w:i/>
          <w:iCs/>
          <w:noProof/>
          <w:color w:val="000000" w:themeColor="text1"/>
        </w:rPr>
        <w:t xml:space="preserve">Zdjęcie </w:t>
      </w:r>
      <w:r w:rsidR="001A642C" w:rsidRPr="00F27A74">
        <w:rPr>
          <w:rFonts w:ascii="Times New Roman" w:hAnsi="Times New Roman" w:cs="Times New Roman"/>
          <w:b/>
          <w:i/>
          <w:iCs/>
          <w:noProof/>
          <w:color w:val="000000" w:themeColor="text1"/>
        </w:rPr>
        <w:t>3</w:t>
      </w:r>
      <w:r w:rsidR="00F67169">
        <w:rPr>
          <w:rFonts w:ascii="Times New Roman" w:hAnsi="Times New Roman" w:cs="Times New Roman"/>
          <w:b/>
          <w:i/>
          <w:iCs/>
          <w:noProof/>
          <w:color w:val="000000" w:themeColor="text1"/>
        </w:rPr>
        <w:t>9</w:t>
      </w:r>
    </w:p>
    <w:p w14:paraId="7BBC74D5" w14:textId="55094654" w:rsidR="0077718A" w:rsidRPr="0002731D" w:rsidRDefault="0077718A" w:rsidP="0002731D">
      <w:pPr>
        <w:spacing w:after="60" w:line="300" w:lineRule="atLeast"/>
        <w:jc w:val="both"/>
        <w:rPr>
          <w:b/>
          <w:i/>
          <w:iCs/>
          <w:noProof/>
          <w:color w:val="70AD47"/>
          <w:sz w:val="24"/>
          <w:szCs w:val="24"/>
        </w:rPr>
      </w:pPr>
      <w:r w:rsidRPr="0002731D">
        <w:rPr>
          <w:rFonts w:ascii="Times New Roman" w:hAnsi="Times New Roman" w:cs="Times New Roman"/>
          <w:b/>
          <w:bCs/>
          <w:i/>
          <w:iCs/>
          <w:sz w:val="24"/>
          <w:szCs w:val="24"/>
        </w:rPr>
        <w:t xml:space="preserve">Interwencja w związku ze zgłoszeniem spalania odpadów w firmie prowadzącej działalność </w:t>
      </w:r>
      <w:r w:rsidRPr="0002731D">
        <w:rPr>
          <w:rFonts w:ascii="Times New Roman" w:hAnsi="Times New Roman" w:cs="Times New Roman"/>
          <w:b/>
          <w:bCs/>
          <w:i/>
          <w:iCs/>
          <w:sz w:val="24"/>
          <w:szCs w:val="24"/>
        </w:rPr>
        <w:br/>
        <w:t>w gm. Szydłowo, woj. mazowieckie</w:t>
      </w:r>
    </w:p>
    <w:p w14:paraId="2056205B" w14:textId="77777777" w:rsidR="00D961FB" w:rsidRDefault="0002731D" w:rsidP="005601DD">
      <w:pPr>
        <w:pStyle w:val="Akapitzlist"/>
        <w:spacing w:line="300" w:lineRule="atLeast"/>
        <w:ind w:left="0" w:firstLine="567"/>
        <w:contextualSpacing w:val="0"/>
        <w:jc w:val="both"/>
        <w:rPr>
          <w:bCs/>
          <w:iCs/>
          <w:sz w:val="24"/>
          <w:szCs w:val="24"/>
        </w:rPr>
      </w:pPr>
      <w:r w:rsidRPr="00400B09">
        <w:rPr>
          <w:bCs/>
          <w:iCs/>
          <w:sz w:val="24"/>
          <w:szCs w:val="24"/>
        </w:rPr>
        <w:t>W</w:t>
      </w:r>
      <w:r w:rsidRPr="00400B09">
        <w:rPr>
          <w:iCs/>
          <w:sz w:val="24"/>
          <w:szCs w:val="24"/>
        </w:rPr>
        <w:t> </w:t>
      </w:r>
      <w:r w:rsidRPr="00400B09">
        <w:rPr>
          <w:bCs/>
          <w:iCs/>
          <w:sz w:val="24"/>
          <w:szCs w:val="24"/>
        </w:rPr>
        <w:t xml:space="preserve"> dniu 31.05.2022 r. do WIOŚ Delegatura w Ciechanowie zgłoszono wniosek o interwencję dotyczący spalania odpadów</w:t>
      </w:r>
      <w:r>
        <w:rPr>
          <w:bCs/>
          <w:iCs/>
          <w:sz w:val="24"/>
          <w:szCs w:val="24"/>
          <w:lang w:val="pl-PL"/>
        </w:rPr>
        <w:t>,</w:t>
      </w:r>
      <w:r w:rsidRPr="00400B09">
        <w:rPr>
          <w:bCs/>
          <w:iCs/>
          <w:sz w:val="24"/>
          <w:szCs w:val="24"/>
        </w:rPr>
        <w:t xml:space="preserve"> w tym najprawdopodobniej niebezpiecznych</w:t>
      </w:r>
      <w:r>
        <w:rPr>
          <w:bCs/>
          <w:iCs/>
          <w:sz w:val="24"/>
          <w:szCs w:val="24"/>
          <w:lang w:val="pl-PL"/>
        </w:rPr>
        <w:t xml:space="preserve"> </w:t>
      </w:r>
      <w:r w:rsidRPr="00400B09">
        <w:rPr>
          <w:bCs/>
          <w:iCs/>
          <w:sz w:val="24"/>
          <w:szCs w:val="24"/>
        </w:rPr>
        <w:t xml:space="preserve">w firmie prowadzącej działalność w gm. Szydłowo, pow. legionowski. W tym samym dniu inspektorzy WIOŚ w Warszawie Delegatura w Ciechanowie udali się we wskazane miejsce. Przeprowadzono oględziny terenu ujawniając kilkanaście pojemników z nieznaną substancją, </w:t>
      </w:r>
      <w:r w:rsidRPr="00400B09">
        <w:rPr>
          <w:bCs/>
          <w:iCs/>
          <w:sz w:val="24"/>
          <w:szCs w:val="24"/>
        </w:rPr>
        <w:lastRenderedPageBreak/>
        <w:t xml:space="preserve">ślady po spalaniu odpadów, odpady komunalne zasypane w wyrobisku, odpady gruzu budowlanego, ceglanego z domieszką tworzyw sztucznych, szkła, drewna. </w:t>
      </w:r>
    </w:p>
    <w:p w14:paraId="4122D6FC" w14:textId="15EF81E0" w:rsidR="0002731D" w:rsidRPr="00400B09" w:rsidRDefault="0002731D" w:rsidP="00D961FB">
      <w:pPr>
        <w:pStyle w:val="Akapitzlist"/>
        <w:spacing w:after="120" w:line="300" w:lineRule="atLeast"/>
        <w:ind w:left="0" w:firstLine="567"/>
        <w:contextualSpacing w:val="0"/>
        <w:jc w:val="both"/>
        <w:rPr>
          <w:bCs/>
          <w:iCs/>
          <w:sz w:val="24"/>
          <w:szCs w:val="24"/>
        </w:rPr>
      </w:pPr>
      <w:r w:rsidRPr="00400B09">
        <w:rPr>
          <w:bCs/>
          <w:iCs/>
          <w:sz w:val="24"/>
          <w:szCs w:val="24"/>
        </w:rPr>
        <w:t>Biorąc pod uwagę poczynione ustalenia</w:t>
      </w:r>
      <w:r w:rsidR="00D961FB">
        <w:rPr>
          <w:bCs/>
          <w:iCs/>
          <w:sz w:val="24"/>
          <w:szCs w:val="24"/>
          <w:lang w:val="pl-PL"/>
        </w:rPr>
        <w:t>,</w:t>
      </w:r>
      <w:r w:rsidRPr="00400B09">
        <w:rPr>
          <w:bCs/>
          <w:iCs/>
          <w:sz w:val="24"/>
          <w:szCs w:val="24"/>
        </w:rPr>
        <w:t xml:space="preserve"> w dniu 09.06.2022 roku wszczęto kontrolę interwencyjną oraz złożono policjantom z Posterunku Policji w Szydłowie zawiadomienie o możliwości popełnienia przestępstwa z art. 183 par 1 kodeksu karnego. </w:t>
      </w:r>
    </w:p>
    <w:p w14:paraId="709E60EE" w14:textId="77777777" w:rsidR="0002731D" w:rsidRPr="00400B09" w:rsidRDefault="0002731D" w:rsidP="0002731D">
      <w:pPr>
        <w:pStyle w:val="Akapitzlist"/>
        <w:spacing w:line="300" w:lineRule="atLeast"/>
        <w:ind w:left="0"/>
        <w:contextualSpacing w:val="0"/>
        <w:jc w:val="both"/>
        <w:rPr>
          <w:bCs/>
          <w:iCs/>
          <w:sz w:val="24"/>
          <w:szCs w:val="24"/>
        </w:rPr>
      </w:pPr>
      <w:r w:rsidRPr="00400B09">
        <w:rPr>
          <w:bCs/>
          <w:iCs/>
          <w:sz w:val="24"/>
          <w:szCs w:val="24"/>
        </w:rPr>
        <w:t>Stwierdzono m.in. niżej wymienione naruszenia:</w:t>
      </w:r>
    </w:p>
    <w:p w14:paraId="06F96D12" w14:textId="752B7837" w:rsidR="0002731D" w:rsidRPr="00400B09" w:rsidRDefault="0002731D" w:rsidP="00D34F97">
      <w:pPr>
        <w:pStyle w:val="Akapitzlist"/>
        <w:numPr>
          <w:ilvl w:val="0"/>
          <w:numId w:val="318"/>
        </w:numPr>
        <w:spacing w:line="300" w:lineRule="atLeast"/>
        <w:jc w:val="both"/>
        <w:rPr>
          <w:bCs/>
          <w:iCs/>
          <w:sz w:val="24"/>
          <w:szCs w:val="24"/>
        </w:rPr>
      </w:pPr>
      <w:r w:rsidRPr="00400B09">
        <w:rPr>
          <w:bCs/>
          <w:iCs/>
          <w:sz w:val="24"/>
          <w:szCs w:val="24"/>
        </w:rPr>
        <w:t>zbieranie odpadów bez wymaganego zezwolenia,</w:t>
      </w:r>
    </w:p>
    <w:p w14:paraId="29DA0084" w14:textId="1FAFCBD8" w:rsidR="0002731D" w:rsidRPr="00400B09" w:rsidRDefault="0002731D" w:rsidP="00D34F97">
      <w:pPr>
        <w:pStyle w:val="Akapitzlist"/>
        <w:numPr>
          <w:ilvl w:val="0"/>
          <w:numId w:val="318"/>
        </w:numPr>
        <w:spacing w:line="300" w:lineRule="atLeast"/>
        <w:jc w:val="both"/>
        <w:rPr>
          <w:bCs/>
          <w:iCs/>
          <w:sz w:val="24"/>
          <w:szCs w:val="24"/>
        </w:rPr>
      </w:pPr>
      <w:r w:rsidRPr="00400B09">
        <w:rPr>
          <w:bCs/>
          <w:iCs/>
          <w:sz w:val="24"/>
          <w:szCs w:val="24"/>
        </w:rPr>
        <w:t>brak ewidencji wytwarzanych dokumentów,</w:t>
      </w:r>
    </w:p>
    <w:p w14:paraId="2B528B8A" w14:textId="362BECAB" w:rsidR="0002731D" w:rsidRPr="00400B09" w:rsidRDefault="0002731D" w:rsidP="00D34F97">
      <w:pPr>
        <w:pStyle w:val="Akapitzlist"/>
        <w:numPr>
          <w:ilvl w:val="0"/>
          <w:numId w:val="318"/>
        </w:numPr>
        <w:spacing w:line="300" w:lineRule="atLeast"/>
        <w:jc w:val="both"/>
        <w:rPr>
          <w:bCs/>
          <w:iCs/>
          <w:sz w:val="24"/>
          <w:szCs w:val="24"/>
        </w:rPr>
      </w:pPr>
      <w:r w:rsidRPr="00400B09">
        <w:rPr>
          <w:bCs/>
          <w:iCs/>
          <w:sz w:val="24"/>
          <w:szCs w:val="24"/>
        </w:rPr>
        <w:t>termiczne przekształcanie odpadów, spalanie odpadów.</w:t>
      </w:r>
    </w:p>
    <w:p w14:paraId="18C000D5" w14:textId="065FC2A2" w:rsidR="0002731D" w:rsidRPr="00400B09" w:rsidRDefault="0002731D" w:rsidP="0002731D">
      <w:pPr>
        <w:pStyle w:val="Akapitzlist"/>
        <w:spacing w:line="300" w:lineRule="atLeast"/>
        <w:ind w:left="0"/>
        <w:jc w:val="both"/>
        <w:rPr>
          <w:bCs/>
          <w:iCs/>
          <w:sz w:val="24"/>
          <w:szCs w:val="24"/>
        </w:rPr>
      </w:pPr>
      <w:r w:rsidRPr="00400B09">
        <w:rPr>
          <w:bCs/>
          <w:iCs/>
          <w:sz w:val="24"/>
          <w:szCs w:val="24"/>
        </w:rPr>
        <w:t>Po zakończeniu  kontroli  zostanie wszczęte postępowanie administracyjne celem nałożenia kar administracyjnych.</w:t>
      </w:r>
    </w:p>
    <w:p w14:paraId="500DE3CE" w14:textId="77777777" w:rsidR="00ED2EE8" w:rsidRDefault="00ED2EE8" w:rsidP="001B43F0">
      <w:pPr>
        <w:spacing w:after="0" w:line="300" w:lineRule="atLeast"/>
        <w:jc w:val="both"/>
        <w:rPr>
          <w:b/>
          <w:color w:val="000000"/>
          <w:sz w:val="24"/>
          <w:szCs w:val="24"/>
          <w:u w:val="single"/>
        </w:rPr>
      </w:pPr>
    </w:p>
    <w:p w14:paraId="32FB2992" w14:textId="68769A08" w:rsidR="004F4562" w:rsidRPr="004F4562" w:rsidRDefault="004F4562" w:rsidP="005601DD">
      <w:pPr>
        <w:pStyle w:val="Akapitzlist"/>
        <w:spacing w:after="60" w:line="300" w:lineRule="atLeast"/>
        <w:ind w:left="0"/>
        <w:contextualSpacing w:val="0"/>
        <w:jc w:val="both"/>
        <w:rPr>
          <w:b/>
          <w:i/>
          <w:sz w:val="24"/>
          <w:szCs w:val="24"/>
          <w:u w:val="single"/>
        </w:rPr>
      </w:pPr>
      <w:r w:rsidRPr="004F4562">
        <w:rPr>
          <w:b/>
          <w:i/>
          <w:sz w:val="24"/>
          <w:szCs w:val="24"/>
        </w:rPr>
        <w:t xml:space="preserve">Kontrola w </w:t>
      </w:r>
      <w:r w:rsidRPr="004F4562">
        <w:rPr>
          <w:b/>
          <w:i/>
          <w:iCs/>
          <w:sz w:val="24"/>
          <w:szCs w:val="24"/>
        </w:rPr>
        <w:t xml:space="preserve">związku z wnioskiem interwencyjnym dotyczącym zanieczyszczenia osadami węglowymi potoku </w:t>
      </w:r>
      <w:proofErr w:type="spellStart"/>
      <w:r w:rsidRPr="004F4562">
        <w:rPr>
          <w:b/>
          <w:i/>
          <w:iCs/>
          <w:sz w:val="24"/>
          <w:szCs w:val="24"/>
        </w:rPr>
        <w:t>Sobięcinka</w:t>
      </w:r>
      <w:proofErr w:type="spellEnd"/>
      <w:r w:rsidRPr="004F4562">
        <w:rPr>
          <w:b/>
          <w:i/>
          <w:iCs/>
          <w:sz w:val="24"/>
          <w:szCs w:val="24"/>
        </w:rPr>
        <w:t xml:space="preserve"> i rzeki Pełcznica w Wałbrzychu</w:t>
      </w:r>
    </w:p>
    <w:p w14:paraId="7BE0ACB1" w14:textId="00B11A5A" w:rsidR="004F4562" w:rsidRPr="00400B09" w:rsidRDefault="004F4562" w:rsidP="005601DD">
      <w:pPr>
        <w:pStyle w:val="Akapitzlist"/>
        <w:spacing w:line="300" w:lineRule="atLeast"/>
        <w:ind w:left="0" w:firstLine="567"/>
        <w:jc w:val="both"/>
        <w:rPr>
          <w:iCs/>
          <w:sz w:val="24"/>
          <w:szCs w:val="24"/>
        </w:rPr>
      </w:pPr>
      <w:r w:rsidRPr="00400B09">
        <w:rPr>
          <w:iCs/>
          <w:sz w:val="24"/>
          <w:szCs w:val="24"/>
        </w:rPr>
        <w:t xml:space="preserve">Kontrola przeprowadzona przez Dział Inspekcji w Wałbrzychu została wszczęta </w:t>
      </w:r>
      <w:r>
        <w:rPr>
          <w:iCs/>
          <w:sz w:val="24"/>
          <w:szCs w:val="24"/>
        </w:rPr>
        <w:br/>
      </w:r>
      <w:r w:rsidRPr="00400B09">
        <w:rPr>
          <w:iCs/>
          <w:sz w:val="24"/>
          <w:szCs w:val="24"/>
        </w:rPr>
        <w:t xml:space="preserve">w związku z wnioskiem interwencyjnym dotyczącym zanieczyszczenia osadami węglowymi potoku </w:t>
      </w:r>
      <w:proofErr w:type="spellStart"/>
      <w:r w:rsidRPr="00400B09">
        <w:rPr>
          <w:iCs/>
          <w:sz w:val="24"/>
          <w:szCs w:val="24"/>
        </w:rPr>
        <w:t>Sobięcinka</w:t>
      </w:r>
      <w:proofErr w:type="spellEnd"/>
      <w:r w:rsidRPr="00400B09">
        <w:rPr>
          <w:iCs/>
          <w:sz w:val="24"/>
          <w:szCs w:val="24"/>
        </w:rPr>
        <w:t xml:space="preserve"> i rzeki Pełcznica w Wałbrzychu. </w:t>
      </w:r>
    </w:p>
    <w:p w14:paraId="754DFDB4" w14:textId="582D28D4" w:rsidR="004F4562" w:rsidRPr="00400B09" w:rsidRDefault="004F4562" w:rsidP="005601DD">
      <w:pPr>
        <w:pStyle w:val="Akapitzlist"/>
        <w:spacing w:after="120" w:line="300" w:lineRule="atLeast"/>
        <w:ind w:left="0" w:firstLine="567"/>
        <w:contextualSpacing w:val="0"/>
        <w:jc w:val="both"/>
        <w:rPr>
          <w:iCs/>
          <w:sz w:val="24"/>
          <w:szCs w:val="24"/>
        </w:rPr>
      </w:pPr>
      <w:r w:rsidRPr="00400B09">
        <w:rPr>
          <w:iCs/>
          <w:sz w:val="24"/>
          <w:szCs w:val="24"/>
        </w:rPr>
        <w:t xml:space="preserve">W trakcie przeprowadzonej kontroli ustalono, </w:t>
      </w:r>
      <w:r>
        <w:rPr>
          <w:iCs/>
          <w:sz w:val="24"/>
          <w:szCs w:val="24"/>
          <w:lang w:val="pl-PL"/>
        </w:rPr>
        <w:t xml:space="preserve">że </w:t>
      </w:r>
      <w:r w:rsidRPr="00400B09">
        <w:rPr>
          <w:iCs/>
          <w:sz w:val="24"/>
          <w:szCs w:val="24"/>
        </w:rPr>
        <w:t xml:space="preserve">w wyniku demontażu nielegalnie funkcjonującej instalacji do przetwarzania odpadów poflotacyjnych węgla doszło do przerwania wału okalającego osadnik, z którego wydobywane były osady. W wyniku niekontrolowanego wycieku woda wraz z osadami spłynęła poprzez groblę w kierunku cieku wodnego </w:t>
      </w:r>
      <w:proofErr w:type="spellStart"/>
      <w:r w:rsidRPr="00400B09">
        <w:rPr>
          <w:iCs/>
          <w:sz w:val="24"/>
          <w:szCs w:val="24"/>
        </w:rPr>
        <w:t>Sobięcinka</w:t>
      </w:r>
      <w:proofErr w:type="spellEnd"/>
      <w:r w:rsidRPr="00400B09">
        <w:rPr>
          <w:iCs/>
          <w:sz w:val="24"/>
          <w:szCs w:val="24"/>
        </w:rPr>
        <w:t xml:space="preserve">;  część wody wraz z odpadami przedostała się również za pośrednictwem kolektora odprowadzającego wody opadowe z terenu zakładu. W wyniku tego zdarzenia doszło do znacznego zanieczyszczenia </w:t>
      </w:r>
      <w:proofErr w:type="spellStart"/>
      <w:r w:rsidRPr="00400B09">
        <w:rPr>
          <w:iCs/>
          <w:sz w:val="24"/>
          <w:szCs w:val="24"/>
        </w:rPr>
        <w:t>Sobięcinki</w:t>
      </w:r>
      <w:proofErr w:type="spellEnd"/>
      <w:r w:rsidRPr="00400B09">
        <w:rPr>
          <w:iCs/>
          <w:sz w:val="24"/>
          <w:szCs w:val="24"/>
        </w:rPr>
        <w:t xml:space="preserve">, a za jej pośrednictwem rzeki Pełcznica na odcinku kilkunastu kilometrów. W ramach prowadzonych działań pobrano próby wody do analizy które potwierdziły zanieczyszczenie. </w:t>
      </w:r>
    </w:p>
    <w:p w14:paraId="4C0AE8E3" w14:textId="77777777" w:rsidR="004F4562" w:rsidRPr="00400B09" w:rsidRDefault="004F4562" w:rsidP="004F4562">
      <w:pPr>
        <w:pStyle w:val="Akapitzlist"/>
        <w:spacing w:line="300" w:lineRule="atLeast"/>
        <w:ind w:left="0"/>
        <w:jc w:val="both"/>
        <w:rPr>
          <w:iCs/>
          <w:sz w:val="24"/>
          <w:szCs w:val="24"/>
        </w:rPr>
      </w:pPr>
      <w:r w:rsidRPr="00400B09">
        <w:rPr>
          <w:iCs/>
          <w:sz w:val="24"/>
          <w:szCs w:val="24"/>
        </w:rPr>
        <w:t>W związku ze stwierdzonymi naruszeniami tj. :</w:t>
      </w:r>
    </w:p>
    <w:p w14:paraId="5995281A" w14:textId="4C2EDA18" w:rsidR="004F4562" w:rsidRPr="00400B09" w:rsidRDefault="004F4562" w:rsidP="00D34F97">
      <w:pPr>
        <w:pStyle w:val="Akapitzlist"/>
        <w:numPr>
          <w:ilvl w:val="0"/>
          <w:numId w:val="319"/>
        </w:numPr>
        <w:spacing w:line="300" w:lineRule="atLeast"/>
        <w:jc w:val="both"/>
        <w:rPr>
          <w:iCs/>
          <w:sz w:val="24"/>
          <w:szCs w:val="24"/>
        </w:rPr>
      </w:pPr>
      <w:r w:rsidRPr="00400B09">
        <w:rPr>
          <w:iCs/>
          <w:sz w:val="24"/>
          <w:szCs w:val="24"/>
        </w:rPr>
        <w:t xml:space="preserve">odprowadzanie odpadów do wód powierzchniowych </w:t>
      </w:r>
    </w:p>
    <w:p w14:paraId="4A304CE7" w14:textId="6E0ADBE5" w:rsidR="004F4562" w:rsidRPr="00400B09" w:rsidRDefault="004F4562" w:rsidP="00D34F97">
      <w:pPr>
        <w:pStyle w:val="Akapitzlist"/>
        <w:numPr>
          <w:ilvl w:val="0"/>
          <w:numId w:val="319"/>
        </w:numPr>
        <w:spacing w:after="60" w:line="300" w:lineRule="atLeast"/>
        <w:ind w:left="714" w:hanging="357"/>
        <w:contextualSpacing w:val="0"/>
        <w:jc w:val="both"/>
        <w:rPr>
          <w:iCs/>
          <w:sz w:val="24"/>
          <w:szCs w:val="24"/>
        </w:rPr>
      </w:pPr>
      <w:r w:rsidRPr="00400B09">
        <w:rPr>
          <w:iCs/>
          <w:sz w:val="24"/>
          <w:szCs w:val="24"/>
        </w:rPr>
        <w:t>zanieczyszczenie wód powierzchniowych przez prowadzoną działalność   gospodarczą.</w:t>
      </w:r>
    </w:p>
    <w:p w14:paraId="3A03237E" w14:textId="77777777" w:rsidR="004F4562" w:rsidRPr="00400B09" w:rsidRDefault="004F4562" w:rsidP="005601DD">
      <w:pPr>
        <w:pStyle w:val="Akapitzlist"/>
        <w:spacing w:line="300" w:lineRule="atLeast"/>
        <w:ind w:left="0" w:firstLine="567"/>
        <w:jc w:val="both"/>
        <w:rPr>
          <w:iCs/>
          <w:sz w:val="24"/>
          <w:szCs w:val="24"/>
        </w:rPr>
      </w:pPr>
      <w:r w:rsidRPr="00400B09">
        <w:rPr>
          <w:iCs/>
          <w:sz w:val="24"/>
          <w:szCs w:val="24"/>
        </w:rPr>
        <w:t>Osobę odpowiedzialną ukarano mandatem karnym, wydano zarządzenie pokontrolne,  skierowano wystąpienie do Regionalnego Zarządu Gospodarki Wodnej we Wrocławiu, skierowano wystąpienie do Prokuratury Rejonowej w Wałbrzychu. Wydano decyzje wstrzymującą (przetwarzanie odpadów bez wymaganego zezwolenia) oraz wszczęto postępowanie w sprawie wymierzenia kary pieniężnej (przetwarzanie odpadów bez wymaganego zezwolenia).</w:t>
      </w:r>
    </w:p>
    <w:p w14:paraId="25756FFE" w14:textId="6622E89A" w:rsidR="004F4562" w:rsidRDefault="004F4562" w:rsidP="004F4562">
      <w:pPr>
        <w:pStyle w:val="Akapitzlist"/>
        <w:spacing w:line="300" w:lineRule="atLeast"/>
        <w:ind w:left="142"/>
        <w:jc w:val="both"/>
        <w:rPr>
          <w:sz w:val="24"/>
          <w:szCs w:val="24"/>
        </w:rPr>
      </w:pPr>
    </w:p>
    <w:p w14:paraId="64423E8D" w14:textId="77777777" w:rsidR="005601DD" w:rsidRPr="00400B09" w:rsidRDefault="005601DD" w:rsidP="004F4562">
      <w:pPr>
        <w:pStyle w:val="Akapitzlist"/>
        <w:spacing w:line="300" w:lineRule="atLeast"/>
        <w:ind w:left="142"/>
        <w:jc w:val="both"/>
        <w:rPr>
          <w:sz w:val="24"/>
          <w:szCs w:val="24"/>
        </w:rPr>
      </w:pPr>
    </w:p>
    <w:p w14:paraId="2556273C" w14:textId="75736ED0" w:rsidR="004F4562" w:rsidRPr="005940DC" w:rsidRDefault="000820F0" w:rsidP="005940DC">
      <w:pPr>
        <w:spacing w:after="60" w:line="300" w:lineRule="atLeast"/>
        <w:jc w:val="both"/>
        <w:rPr>
          <w:rFonts w:ascii="Times New Roman" w:hAnsi="Times New Roman" w:cs="Times New Roman"/>
          <w:b/>
          <w:i/>
          <w:color w:val="000000" w:themeColor="text1"/>
          <w:sz w:val="24"/>
          <w:szCs w:val="24"/>
        </w:rPr>
      </w:pPr>
      <w:r w:rsidRPr="005940DC">
        <w:rPr>
          <w:rFonts w:ascii="Times New Roman" w:hAnsi="Times New Roman" w:cs="Times New Roman"/>
          <w:b/>
          <w:i/>
          <w:color w:val="000000" w:themeColor="text1"/>
          <w:sz w:val="24"/>
          <w:szCs w:val="24"/>
        </w:rPr>
        <w:t>Kontro</w:t>
      </w:r>
      <w:r w:rsidR="005940DC" w:rsidRPr="005940DC">
        <w:rPr>
          <w:rFonts w:ascii="Times New Roman" w:hAnsi="Times New Roman" w:cs="Times New Roman"/>
          <w:b/>
          <w:i/>
          <w:color w:val="000000" w:themeColor="text1"/>
          <w:sz w:val="24"/>
          <w:szCs w:val="24"/>
        </w:rPr>
        <w:t xml:space="preserve">la </w:t>
      </w:r>
      <w:r w:rsidR="005940DC" w:rsidRPr="005940DC">
        <w:rPr>
          <w:rFonts w:ascii="Times New Roman" w:hAnsi="Times New Roman" w:cs="Times New Roman"/>
          <w:b/>
          <w:i/>
          <w:iCs/>
          <w:sz w:val="24"/>
          <w:szCs w:val="24"/>
        </w:rPr>
        <w:t>w związku z otrzymanym anonimowym zgłoszeniem dot. nieprawidłowości związanych z gospodarką odpadami na terenie dwóch działek w gm. Szumowo, woj. podlaskie</w:t>
      </w:r>
    </w:p>
    <w:p w14:paraId="029755AC" w14:textId="16F291E8" w:rsidR="000D471D" w:rsidRPr="00400B09" w:rsidRDefault="000D471D" w:rsidP="005601DD">
      <w:pPr>
        <w:pStyle w:val="Akapitzlist"/>
        <w:spacing w:line="300" w:lineRule="atLeast"/>
        <w:ind w:left="0" w:firstLine="567"/>
        <w:jc w:val="both"/>
        <w:rPr>
          <w:iCs/>
          <w:sz w:val="24"/>
          <w:szCs w:val="24"/>
        </w:rPr>
      </w:pPr>
      <w:r w:rsidRPr="00400B09">
        <w:rPr>
          <w:iCs/>
          <w:sz w:val="24"/>
          <w:szCs w:val="24"/>
        </w:rPr>
        <w:t>W dniu 02</w:t>
      </w:r>
      <w:r w:rsidR="005940DC">
        <w:rPr>
          <w:iCs/>
          <w:sz w:val="24"/>
          <w:szCs w:val="24"/>
          <w:lang w:val="pl-PL"/>
        </w:rPr>
        <w:t>.02.</w:t>
      </w:r>
      <w:r w:rsidRPr="00400B09">
        <w:rPr>
          <w:iCs/>
          <w:sz w:val="24"/>
          <w:szCs w:val="24"/>
        </w:rPr>
        <w:t xml:space="preserve">2022 r. inspektorzy z WIOŚ w Białymstoku, w trybie art. 10b ust. 2 ustawy o Inspekcji Ochrony Środowiska, przeprowadzili oględziny terenu dwóch działek </w:t>
      </w:r>
      <w:r w:rsidR="005940DC">
        <w:rPr>
          <w:iCs/>
          <w:sz w:val="24"/>
          <w:szCs w:val="24"/>
        </w:rPr>
        <w:br/>
      </w:r>
      <w:r w:rsidRPr="00400B09">
        <w:rPr>
          <w:iCs/>
          <w:sz w:val="24"/>
          <w:szCs w:val="24"/>
        </w:rPr>
        <w:t>w gm. Szumowo, pow. zambrowski. Czynności podjęto w związku z otrzymanym anonimowym zgłoszeniem dot</w:t>
      </w:r>
      <w:r w:rsidR="005940DC">
        <w:rPr>
          <w:iCs/>
          <w:sz w:val="24"/>
          <w:szCs w:val="24"/>
          <w:lang w:val="pl-PL"/>
        </w:rPr>
        <w:t>yczącym</w:t>
      </w:r>
      <w:r w:rsidRPr="00400B09">
        <w:rPr>
          <w:iCs/>
          <w:sz w:val="24"/>
          <w:szCs w:val="24"/>
        </w:rPr>
        <w:t xml:space="preserve"> nieprawidłowości związanych z gospodarką odpadami na ww. terenie. Podczas oględzin stwierdzono, </w:t>
      </w:r>
      <w:r w:rsidR="005940DC">
        <w:rPr>
          <w:iCs/>
          <w:sz w:val="24"/>
          <w:szCs w:val="24"/>
          <w:lang w:val="pl-PL"/>
        </w:rPr>
        <w:t xml:space="preserve">że </w:t>
      </w:r>
      <w:r w:rsidRPr="00400B09">
        <w:rPr>
          <w:iCs/>
          <w:sz w:val="24"/>
          <w:szCs w:val="24"/>
        </w:rPr>
        <w:t xml:space="preserve">na teren nieczynnej kopalni kruszyw naturalnych zlokalizowanych na ww. działkach transportowane są i deponowane odpady, </w:t>
      </w:r>
      <w:r w:rsidRPr="00400B09">
        <w:rPr>
          <w:iCs/>
          <w:sz w:val="24"/>
          <w:szCs w:val="24"/>
        </w:rPr>
        <w:lastRenderedPageBreak/>
        <w:t xml:space="preserve">których skład morfologiczny wskazywał, że są to zmieszane odpady komunalne 20 03 01 lub </w:t>
      </w:r>
      <w:proofErr w:type="spellStart"/>
      <w:r w:rsidRPr="00400B09">
        <w:rPr>
          <w:iCs/>
          <w:sz w:val="24"/>
          <w:szCs w:val="24"/>
        </w:rPr>
        <w:t>posortownicze</w:t>
      </w:r>
      <w:proofErr w:type="spellEnd"/>
      <w:r w:rsidRPr="00400B09">
        <w:rPr>
          <w:iCs/>
          <w:sz w:val="24"/>
          <w:szCs w:val="24"/>
        </w:rPr>
        <w:t xml:space="preserve"> odpady komunalne (kod odpadu 19 12 12). Czynności przeprowadzono </w:t>
      </w:r>
      <w:r w:rsidR="005940DC">
        <w:rPr>
          <w:iCs/>
          <w:sz w:val="24"/>
          <w:szCs w:val="24"/>
        </w:rPr>
        <w:br/>
      </w:r>
      <w:r w:rsidRPr="00400B09">
        <w:rPr>
          <w:iCs/>
          <w:sz w:val="24"/>
          <w:szCs w:val="24"/>
        </w:rPr>
        <w:t>w obecności funkcjonariuszy z Komendy Wojewódzkiej Policji w Białymstoku oraz inspektorów z Departamentu Zwalczania Przestępczości Środowiskowej GIOŚ.</w:t>
      </w:r>
    </w:p>
    <w:p w14:paraId="02BE59EA" w14:textId="7482B2F3" w:rsidR="000D471D" w:rsidRPr="00400B09" w:rsidRDefault="000D471D" w:rsidP="005601DD">
      <w:pPr>
        <w:pStyle w:val="Akapitzlist"/>
        <w:spacing w:line="300" w:lineRule="atLeast"/>
        <w:ind w:left="0" w:firstLine="567"/>
        <w:jc w:val="both"/>
        <w:rPr>
          <w:iCs/>
          <w:sz w:val="24"/>
          <w:szCs w:val="24"/>
        </w:rPr>
      </w:pPr>
      <w:r w:rsidRPr="00400B09">
        <w:rPr>
          <w:iCs/>
          <w:sz w:val="24"/>
          <w:szCs w:val="24"/>
        </w:rPr>
        <w:t xml:space="preserve">W związku z powyższym, w dniach od 01.03.2022 r. do 07.10.2022 r. Inspektorzy </w:t>
      </w:r>
      <w:r w:rsidR="005940DC">
        <w:rPr>
          <w:iCs/>
          <w:sz w:val="24"/>
          <w:szCs w:val="24"/>
        </w:rPr>
        <w:br/>
      </w:r>
      <w:r w:rsidRPr="00400B09">
        <w:rPr>
          <w:iCs/>
          <w:sz w:val="24"/>
          <w:szCs w:val="24"/>
        </w:rPr>
        <w:t>z WIOŚ w Białymstoku przeprowadzili kontrolę właściciela działek, udokumentowaną protokołem kontroli. W trakcie kontroli przeprowadzono ponowne oględziny przedmiotowego terenu w dniu 01.04.2022 r.</w:t>
      </w:r>
      <w:r w:rsidR="005940DC">
        <w:rPr>
          <w:iCs/>
          <w:sz w:val="24"/>
          <w:szCs w:val="24"/>
          <w:lang w:val="pl-PL"/>
        </w:rPr>
        <w:t>,</w:t>
      </w:r>
      <w:r w:rsidRPr="00400B09">
        <w:rPr>
          <w:iCs/>
          <w:sz w:val="24"/>
          <w:szCs w:val="24"/>
        </w:rPr>
        <w:t xml:space="preserve"> w związku z prowadzonymi w tym dniu przez funkcjonariuszy </w:t>
      </w:r>
      <w:r w:rsidR="005940DC">
        <w:rPr>
          <w:iCs/>
          <w:sz w:val="24"/>
          <w:szCs w:val="24"/>
        </w:rPr>
        <w:br/>
      </w:r>
      <w:r w:rsidRPr="00400B09">
        <w:rPr>
          <w:iCs/>
          <w:sz w:val="24"/>
          <w:szCs w:val="24"/>
        </w:rPr>
        <w:t xml:space="preserve">z Komendy Wojewódzkiej Policji (KWP) w Białymstoku czynnościami polegającymi na wykonaniu wykopów na przedmiotowym terenie celem ujawnienia zdeponowanych na ww. działkach odpadów. Dokonano wykopów za pomocą koparki w 19 miejscach na przedmiotowym terenie, gdzie w 16 miejscach stwierdzono zakopane odpady, m.in. odpady komunalne, odpady budowlane, zużyte opony, odpady biodegradowalne, odpady z warsztatów samochodowych. Natomiast charakter ujawnionych odpadów komunalnych zakopanych na przedmiotowym terenie wskazuje, iż mogą one stanowić frakcję </w:t>
      </w:r>
      <w:proofErr w:type="spellStart"/>
      <w:r w:rsidRPr="00400B09">
        <w:rPr>
          <w:iCs/>
          <w:sz w:val="24"/>
          <w:szCs w:val="24"/>
        </w:rPr>
        <w:t>nadsitową</w:t>
      </w:r>
      <w:proofErr w:type="spellEnd"/>
      <w:r w:rsidRPr="00400B09">
        <w:rPr>
          <w:iCs/>
          <w:sz w:val="24"/>
          <w:szCs w:val="24"/>
        </w:rPr>
        <w:t xml:space="preserve"> z sortowania odpadów komunalnych – tj. odpady o kodzie 19 12 12. Obecny podczas oględzin geodeta dokonał na zlecenie WIOŚ pomiarów w miejscach każdego z wykopów. Z kolei biegły sądowy na zlecenie KWP pobrał próby odpadów do badań laboratoryjnych, które posłużyć miały do sporządzenia oceny</w:t>
      </w:r>
      <w:r w:rsidR="005940DC">
        <w:rPr>
          <w:iCs/>
          <w:sz w:val="24"/>
          <w:szCs w:val="24"/>
          <w:lang w:val="pl-PL"/>
        </w:rPr>
        <w:t>,</w:t>
      </w:r>
      <w:r w:rsidRPr="00400B09">
        <w:rPr>
          <w:iCs/>
          <w:sz w:val="24"/>
          <w:szCs w:val="24"/>
        </w:rPr>
        <w:t xml:space="preserve"> czy zdeponowane na przedmiotowym terenie odpady wykazują właściwości niebezpieczne.</w:t>
      </w:r>
    </w:p>
    <w:p w14:paraId="5B8C22DA" w14:textId="69BD4CE8" w:rsidR="000D471D" w:rsidRPr="00400B09" w:rsidRDefault="000D471D" w:rsidP="005601DD">
      <w:pPr>
        <w:pStyle w:val="Akapitzlist"/>
        <w:spacing w:line="300" w:lineRule="atLeast"/>
        <w:ind w:left="0" w:firstLine="567"/>
        <w:jc w:val="both"/>
        <w:rPr>
          <w:iCs/>
          <w:sz w:val="24"/>
          <w:szCs w:val="24"/>
        </w:rPr>
      </w:pPr>
      <w:r w:rsidRPr="00400B09">
        <w:rPr>
          <w:iCs/>
          <w:sz w:val="24"/>
          <w:szCs w:val="24"/>
        </w:rPr>
        <w:t>Na podstawie wykonanych pomiarów, geodeta uprawniony sporządził operat techniczny, w którym przedstawiono wyliczenia dot</w:t>
      </w:r>
      <w:r w:rsidR="005940DC">
        <w:rPr>
          <w:iCs/>
          <w:sz w:val="24"/>
          <w:szCs w:val="24"/>
          <w:lang w:val="pl-PL"/>
        </w:rPr>
        <w:t>yczące</w:t>
      </w:r>
      <w:r w:rsidRPr="00400B09">
        <w:rPr>
          <w:iCs/>
          <w:sz w:val="24"/>
          <w:szCs w:val="24"/>
        </w:rPr>
        <w:t xml:space="preserve"> ilości odpadów zakopanych na przedmiotowym terenie. Z obliczeń wynika, ż</w:t>
      </w:r>
      <w:r w:rsidR="005940DC">
        <w:rPr>
          <w:iCs/>
          <w:sz w:val="24"/>
          <w:szCs w:val="24"/>
          <w:lang w:val="pl-PL"/>
        </w:rPr>
        <w:t>e</w:t>
      </w:r>
      <w:r w:rsidRPr="00400B09">
        <w:rPr>
          <w:iCs/>
          <w:sz w:val="24"/>
          <w:szCs w:val="24"/>
        </w:rPr>
        <w:t xml:space="preserve"> na obu działkach suma objętości odpadów wynosi nie mniej niż 9 415 m</w:t>
      </w:r>
      <w:r w:rsidRPr="00400B09">
        <w:rPr>
          <w:iCs/>
          <w:sz w:val="24"/>
          <w:szCs w:val="24"/>
          <w:vertAlign w:val="superscript"/>
        </w:rPr>
        <w:t>3</w:t>
      </w:r>
      <w:r w:rsidRPr="00400B09">
        <w:rPr>
          <w:iCs/>
          <w:sz w:val="24"/>
          <w:szCs w:val="24"/>
        </w:rPr>
        <w:t>. Natomiast pola powierzchni, na których znajdują się odpady to 1 767 m</w:t>
      </w:r>
      <w:r w:rsidRPr="00400B09">
        <w:rPr>
          <w:iCs/>
          <w:sz w:val="24"/>
          <w:szCs w:val="24"/>
          <w:vertAlign w:val="superscript"/>
        </w:rPr>
        <w:t>2</w:t>
      </w:r>
      <w:r w:rsidRPr="00400B09">
        <w:rPr>
          <w:iCs/>
          <w:sz w:val="24"/>
          <w:szCs w:val="24"/>
        </w:rPr>
        <w:t xml:space="preserve"> na pierwszej oraz 3 029 m</w:t>
      </w:r>
      <w:r w:rsidRPr="00400B09">
        <w:rPr>
          <w:iCs/>
          <w:sz w:val="24"/>
          <w:szCs w:val="24"/>
          <w:vertAlign w:val="superscript"/>
        </w:rPr>
        <w:t>2</w:t>
      </w:r>
      <w:r w:rsidRPr="00400B09">
        <w:rPr>
          <w:iCs/>
          <w:sz w:val="24"/>
          <w:szCs w:val="24"/>
        </w:rPr>
        <w:t xml:space="preserve"> na drugiej z ww. działek.</w:t>
      </w:r>
    </w:p>
    <w:p w14:paraId="2A21E28E" w14:textId="3A396B45" w:rsidR="000D471D" w:rsidRPr="00400B09" w:rsidRDefault="000D471D" w:rsidP="005601DD">
      <w:pPr>
        <w:pStyle w:val="Akapitzlist"/>
        <w:spacing w:line="300" w:lineRule="atLeast"/>
        <w:ind w:left="0" w:firstLine="567"/>
        <w:jc w:val="both"/>
        <w:rPr>
          <w:iCs/>
          <w:sz w:val="24"/>
          <w:szCs w:val="24"/>
        </w:rPr>
      </w:pPr>
      <w:r w:rsidRPr="00400B09">
        <w:rPr>
          <w:iCs/>
          <w:sz w:val="24"/>
          <w:szCs w:val="24"/>
        </w:rPr>
        <w:t xml:space="preserve">Podczas kontroli ustalono, iż na przedmiotowy teren nie została wydana decyzja organu ochrony środowiska zezwalająca na zbieranie odpadów i/lub składowanie odpadów. Stwierdzono w związku z tym nieprawidłowość polegającą na składowaniu odpadów w miejscu na ten cel nieprzeznaczonym. Zgodnie z art. 103 ust. 1 ustawy z dnia 14 grudnia 2012 r. </w:t>
      </w:r>
      <w:r w:rsidR="005940DC">
        <w:rPr>
          <w:iCs/>
          <w:sz w:val="24"/>
          <w:szCs w:val="24"/>
        </w:rPr>
        <w:br/>
      </w:r>
      <w:r w:rsidRPr="00400B09">
        <w:rPr>
          <w:iCs/>
          <w:sz w:val="24"/>
          <w:szCs w:val="24"/>
        </w:rPr>
        <w:t>o odpadach</w:t>
      </w:r>
      <w:r w:rsidR="005940DC">
        <w:rPr>
          <w:rStyle w:val="Odwoanieprzypisudolnego"/>
          <w:iCs/>
          <w:szCs w:val="24"/>
        </w:rPr>
        <w:footnoteReference w:id="64"/>
      </w:r>
      <w:r w:rsidRPr="00400B09">
        <w:rPr>
          <w:iCs/>
          <w:sz w:val="24"/>
          <w:szCs w:val="24"/>
        </w:rPr>
        <w:t xml:space="preserve">, odpady składuje się na składowisku odpadów, w podziemnym składowisku odpadów, o którym mowa w ustawie z dnia 9 czerwca 2011 r. – Prawo geologiczne i górnicze; w obiekcie unieszkodliwiania odpadów wydobywczych, o którym mowa w ustawie z dnia </w:t>
      </w:r>
      <w:r w:rsidR="003C429D">
        <w:rPr>
          <w:iCs/>
          <w:sz w:val="24"/>
          <w:szCs w:val="24"/>
        </w:rPr>
        <w:br/>
      </w:r>
      <w:r w:rsidRPr="00400B09">
        <w:rPr>
          <w:iCs/>
          <w:sz w:val="24"/>
          <w:szCs w:val="24"/>
        </w:rPr>
        <w:t>10 lipca 2008 r. o odpadach wydobywczych. Natomiast zgodnie z art. 293 ust. 2 ustawy z dnia 27 kwietnia 2001 r. Prawo ochrony środowiska</w:t>
      </w:r>
      <w:r w:rsidR="003C429D">
        <w:rPr>
          <w:rStyle w:val="Odwoanieprzypisudolnego"/>
          <w:iCs/>
          <w:szCs w:val="24"/>
        </w:rPr>
        <w:footnoteReference w:id="65"/>
      </w:r>
      <w:r w:rsidRPr="00400B09">
        <w:rPr>
          <w:iCs/>
          <w:sz w:val="24"/>
          <w:szCs w:val="24"/>
        </w:rPr>
        <w:t xml:space="preserve">, magazynowanie odpadów bez wymaganej decyzji określającej sposób i miejsce magazynowania traktuje się jako składowanie odpadów bez wymaganej decyzji zatwierdzającej instrukcję prowadzenia składowiska, z zastrzeżeniem ust. 3. W związku z powyższym, do Marszałka Województwa Podlaskiego, tj. organu właściwego do naliczenia opłaty podwyższonej za składowanie odpadów w miejscu na ten cel nieprzeznaczonym, wystąpiono z pismem celem podjęcia  przez ten organ działań zgodnie </w:t>
      </w:r>
      <w:r w:rsidR="003C429D">
        <w:rPr>
          <w:iCs/>
          <w:sz w:val="24"/>
          <w:szCs w:val="24"/>
        </w:rPr>
        <w:br/>
      </w:r>
      <w:r w:rsidRPr="00400B09">
        <w:rPr>
          <w:iCs/>
          <w:sz w:val="24"/>
          <w:szCs w:val="24"/>
        </w:rPr>
        <w:t>z posiadanymi kompetencjami.</w:t>
      </w:r>
    </w:p>
    <w:p w14:paraId="70FD19DB" w14:textId="1B482C5B" w:rsidR="000D471D" w:rsidRPr="00400B09" w:rsidRDefault="000D471D" w:rsidP="005601DD">
      <w:pPr>
        <w:pStyle w:val="Akapitzlist"/>
        <w:spacing w:line="300" w:lineRule="atLeast"/>
        <w:ind w:left="0" w:firstLine="567"/>
        <w:jc w:val="both"/>
        <w:rPr>
          <w:iCs/>
          <w:sz w:val="24"/>
          <w:szCs w:val="24"/>
        </w:rPr>
      </w:pPr>
      <w:r w:rsidRPr="00400B09">
        <w:rPr>
          <w:iCs/>
          <w:sz w:val="24"/>
          <w:szCs w:val="24"/>
        </w:rPr>
        <w:t xml:space="preserve">Ponadto wystąpiono do Wójta Gminy Szumowo, również w celu podjęcia działań zgodnie z posiadanymi kompetencjami nadanymi art. 26 ust. 2 ustawy z dnia 14 grudnia </w:t>
      </w:r>
      <w:r w:rsidR="003C429D">
        <w:rPr>
          <w:iCs/>
          <w:sz w:val="24"/>
          <w:szCs w:val="24"/>
        </w:rPr>
        <w:br/>
      </w:r>
      <w:r w:rsidRPr="00400B09">
        <w:rPr>
          <w:iCs/>
          <w:sz w:val="24"/>
          <w:szCs w:val="24"/>
        </w:rPr>
        <w:t xml:space="preserve">2012 r. o odpadach, zgodnie z którym w przypadku nieusunięcia odpadów przez ich posiadacza w trybie niezwłocznym, wójt, burmistrz lub prezydent miasta wydaje w drodze decyzji nakaz </w:t>
      </w:r>
      <w:r w:rsidRPr="00400B09">
        <w:rPr>
          <w:iCs/>
          <w:sz w:val="24"/>
          <w:szCs w:val="24"/>
        </w:rPr>
        <w:lastRenderedPageBreak/>
        <w:t xml:space="preserve">usunięcia odpadów z miejsca nieprzeznaczonego do ich magazynowania. W przypadku gdy ze względu na zagrożenie dla życia lub zdrowia ludzi lub środowiska konieczne jest niezwłoczne usunięcie odpadów, właściwy organ podejmuje działania polegające na usunięciu odpadów </w:t>
      </w:r>
      <w:r w:rsidR="003C429D">
        <w:rPr>
          <w:iCs/>
          <w:sz w:val="24"/>
          <w:szCs w:val="24"/>
        </w:rPr>
        <w:br/>
      </w:r>
      <w:r w:rsidRPr="00400B09">
        <w:rPr>
          <w:iCs/>
          <w:sz w:val="24"/>
          <w:szCs w:val="24"/>
        </w:rPr>
        <w:t>i gospodarowaniu nimi.</w:t>
      </w:r>
    </w:p>
    <w:p w14:paraId="38D5D035" w14:textId="77777777" w:rsidR="000D471D" w:rsidRPr="00400B09" w:rsidRDefault="000D471D" w:rsidP="005601DD">
      <w:pPr>
        <w:pStyle w:val="Akapitzlist"/>
        <w:spacing w:line="300" w:lineRule="atLeast"/>
        <w:ind w:left="0" w:firstLine="567"/>
        <w:jc w:val="both"/>
        <w:rPr>
          <w:iCs/>
          <w:sz w:val="24"/>
          <w:szCs w:val="24"/>
        </w:rPr>
      </w:pPr>
      <w:r w:rsidRPr="00400B09">
        <w:rPr>
          <w:iCs/>
          <w:sz w:val="24"/>
          <w:szCs w:val="24"/>
        </w:rPr>
        <w:t>Skierowano także pismo do Wydziału dw. z Przestępczością Gospodarczą Komendy Wojewódzkiej Policji w Białymstoku, który w przedmiotowej sprawie prowadzi śledztwo z art. 183 § 1 Kodeksu Karnego zawierające informację o zakończeniu kontroli właściciela ww. działek oraz o wystąpieniach do organów ochrony środowiska celem podjęcia działań zgodnie z posiadanymi kompetencjami.</w:t>
      </w:r>
    </w:p>
    <w:p w14:paraId="32DCF1A2" w14:textId="197A8783" w:rsidR="000D471D" w:rsidRPr="00400B09" w:rsidRDefault="000D471D" w:rsidP="000D471D">
      <w:pPr>
        <w:pStyle w:val="Akapitzlist"/>
        <w:spacing w:line="300" w:lineRule="atLeast"/>
        <w:ind w:left="0" w:firstLine="1418"/>
        <w:jc w:val="both"/>
        <w:rPr>
          <w:iCs/>
          <w:sz w:val="24"/>
          <w:szCs w:val="24"/>
        </w:rPr>
      </w:pPr>
    </w:p>
    <w:p w14:paraId="612E9C4E" w14:textId="2F6BA5CB" w:rsidR="000D471D" w:rsidRPr="00400B09" w:rsidRDefault="000D471D" w:rsidP="00D50ADC">
      <w:pPr>
        <w:pStyle w:val="Akapitzlist"/>
        <w:spacing w:line="300" w:lineRule="atLeast"/>
        <w:ind w:left="0"/>
        <w:jc w:val="center"/>
        <w:rPr>
          <w:iCs/>
          <w:sz w:val="24"/>
          <w:szCs w:val="24"/>
        </w:rPr>
      </w:pPr>
      <w:r w:rsidRPr="00400B09">
        <w:rPr>
          <w:iCs/>
          <w:noProof/>
          <w:sz w:val="24"/>
          <w:szCs w:val="24"/>
          <w:lang w:val="pl-PL"/>
        </w:rPr>
        <w:drawing>
          <wp:inline distT="0" distB="0" distL="0" distR="0" wp14:anchorId="6CA1444A" wp14:editId="767A464B">
            <wp:extent cx="2409825" cy="3834072"/>
            <wp:effectExtent l="0" t="0" r="0" b="0"/>
            <wp:docPr id="169" name="Obraz 169" descr="Zdjęcie 40. Widok na jedno z miejsc, gdzie zakopano odpa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Obraz 169" descr="Zdjęcie 40. Widok na jedno z miejsc, gdzie zakopano odpady"/>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22991" cy="3855019"/>
                    </a:xfrm>
                    <a:prstGeom prst="rect">
                      <a:avLst/>
                    </a:prstGeom>
                    <a:noFill/>
                    <a:ln>
                      <a:noFill/>
                    </a:ln>
                  </pic:spPr>
                </pic:pic>
              </a:graphicData>
            </a:graphic>
          </wp:inline>
        </w:drawing>
      </w:r>
    </w:p>
    <w:p w14:paraId="542F4EFA" w14:textId="78F16A5B" w:rsidR="000D471D" w:rsidRPr="00AD5603" w:rsidRDefault="000D471D" w:rsidP="00D50ADC">
      <w:pPr>
        <w:pStyle w:val="Akapitzlist"/>
        <w:spacing w:line="300" w:lineRule="atLeast"/>
        <w:ind w:left="0"/>
        <w:jc w:val="center"/>
        <w:rPr>
          <w:b/>
          <w:i/>
          <w:sz w:val="22"/>
          <w:szCs w:val="22"/>
        </w:rPr>
      </w:pPr>
      <w:r w:rsidRPr="00AD5603">
        <w:rPr>
          <w:b/>
          <w:i/>
          <w:sz w:val="22"/>
          <w:szCs w:val="22"/>
        </w:rPr>
        <w:t xml:space="preserve">Zdjęcie </w:t>
      </w:r>
      <w:r w:rsidR="00F67169">
        <w:rPr>
          <w:b/>
          <w:i/>
          <w:sz w:val="22"/>
          <w:szCs w:val="22"/>
          <w:lang w:val="pl-PL"/>
        </w:rPr>
        <w:t>40</w:t>
      </w:r>
      <w:r w:rsidRPr="00AD5603">
        <w:rPr>
          <w:b/>
          <w:i/>
          <w:sz w:val="22"/>
          <w:szCs w:val="22"/>
        </w:rPr>
        <w:t>. Widok na jedno z miejsc, gdzie zakopano odpady</w:t>
      </w:r>
    </w:p>
    <w:p w14:paraId="35F5A337" w14:textId="77777777" w:rsidR="000D471D" w:rsidRPr="00400B09" w:rsidRDefault="000D471D" w:rsidP="000D471D">
      <w:pPr>
        <w:pStyle w:val="Akapitzlist"/>
        <w:spacing w:line="300" w:lineRule="atLeast"/>
        <w:ind w:left="0" w:firstLine="1418"/>
        <w:jc w:val="center"/>
        <w:rPr>
          <w:iCs/>
          <w:sz w:val="24"/>
          <w:szCs w:val="24"/>
        </w:rPr>
      </w:pPr>
    </w:p>
    <w:p w14:paraId="2B833904" w14:textId="34C55E2F" w:rsidR="000D471D" w:rsidRPr="00400B09" w:rsidRDefault="000D471D" w:rsidP="000D471D">
      <w:pPr>
        <w:pStyle w:val="Akapitzlist"/>
        <w:spacing w:line="300" w:lineRule="atLeast"/>
        <w:ind w:left="0" w:firstLine="1418"/>
        <w:jc w:val="center"/>
        <w:rPr>
          <w:sz w:val="24"/>
          <w:szCs w:val="24"/>
        </w:rPr>
      </w:pPr>
      <w:r w:rsidRPr="00400B09">
        <w:rPr>
          <w:noProof/>
          <w:sz w:val="24"/>
          <w:szCs w:val="24"/>
          <w:lang w:val="pl-PL"/>
        </w:rPr>
        <w:lastRenderedPageBreak/>
        <w:drawing>
          <wp:inline distT="0" distB="0" distL="0" distR="0" wp14:anchorId="2CE47921" wp14:editId="3B5CC58F">
            <wp:extent cx="4686300" cy="3676650"/>
            <wp:effectExtent l="0" t="0" r="0" b="0"/>
            <wp:docPr id="164" name="Obraz 164" descr="Zdjęcie 41. Widok na zdeponowane odpa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Obraz 164" descr="Zdjęcie 41. Widok na zdeponowane odpady"/>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686300" cy="3676650"/>
                    </a:xfrm>
                    <a:prstGeom prst="rect">
                      <a:avLst/>
                    </a:prstGeom>
                    <a:noFill/>
                    <a:ln>
                      <a:noFill/>
                    </a:ln>
                  </pic:spPr>
                </pic:pic>
              </a:graphicData>
            </a:graphic>
          </wp:inline>
        </w:drawing>
      </w:r>
    </w:p>
    <w:p w14:paraId="642F2598" w14:textId="349E7C62" w:rsidR="000D471D" w:rsidRDefault="000D471D" w:rsidP="00AD5603">
      <w:pPr>
        <w:pStyle w:val="Akapitzlist"/>
        <w:spacing w:line="300" w:lineRule="atLeast"/>
        <w:ind w:left="0" w:firstLine="1418"/>
        <w:jc w:val="center"/>
        <w:rPr>
          <w:b/>
          <w:i/>
          <w:iCs/>
          <w:sz w:val="24"/>
          <w:szCs w:val="24"/>
        </w:rPr>
      </w:pPr>
      <w:r w:rsidRPr="00AD5603">
        <w:rPr>
          <w:b/>
          <w:i/>
          <w:iCs/>
          <w:sz w:val="24"/>
          <w:szCs w:val="24"/>
        </w:rPr>
        <w:t xml:space="preserve">Zdjęcie </w:t>
      </w:r>
      <w:r w:rsidR="00F67169">
        <w:rPr>
          <w:b/>
          <w:i/>
          <w:iCs/>
          <w:sz w:val="24"/>
          <w:szCs w:val="24"/>
          <w:lang w:val="pl-PL"/>
        </w:rPr>
        <w:t>41</w:t>
      </w:r>
      <w:r w:rsidRPr="00AD5603">
        <w:rPr>
          <w:b/>
          <w:i/>
          <w:iCs/>
          <w:sz w:val="24"/>
          <w:szCs w:val="24"/>
        </w:rPr>
        <w:t>. Widok na zdeponowane odpady</w:t>
      </w:r>
    </w:p>
    <w:p w14:paraId="3F16870E" w14:textId="77777777" w:rsidR="005601DD" w:rsidRPr="00AD5603" w:rsidRDefault="005601DD" w:rsidP="00AD5603">
      <w:pPr>
        <w:pStyle w:val="Akapitzlist"/>
        <w:spacing w:line="300" w:lineRule="atLeast"/>
        <w:ind w:left="0" w:firstLine="1418"/>
        <w:jc w:val="center"/>
        <w:rPr>
          <w:b/>
          <w:i/>
          <w:iCs/>
          <w:sz w:val="24"/>
          <w:szCs w:val="24"/>
        </w:rPr>
      </w:pPr>
    </w:p>
    <w:p w14:paraId="0BC7C76B" w14:textId="71EFBE1E" w:rsidR="000D471D" w:rsidRPr="009E2590" w:rsidRDefault="000D471D" w:rsidP="005601DD">
      <w:pPr>
        <w:spacing w:after="60" w:line="300" w:lineRule="atLeast"/>
        <w:jc w:val="both"/>
        <w:rPr>
          <w:rFonts w:ascii="Times New Roman" w:hAnsi="Times New Roman" w:cs="Times New Roman"/>
          <w:b/>
          <w:i/>
          <w:sz w:val="24"/>
          <w:szCs w:val="24"/>
        </w:rPr>
      </w:pPr>
      <w:bookmarkStart w:id="343" w:name="_Hlk126580036"/>
      <w:r w:rsidRPr="009E2590">
        <w:rPr>
          <w:rFonts w:ascii="Times New Roman" w:hAnsi="Times New Roman" w:cs="Times New Roman"/>
          <w:b/>
          <w:i/>
          <w:sz w:val="24"/>
          <w:szCs w:val="24"/>
        </w:rPr>
        <w:t>Kontrola podmiotu z siedzibą w m. Winiarki gm. Dwikozy</w:t>
      </w:r>
      <w:r w:rsidR="009E2590">
        <w:rPr>
          <w:rFonts w:ascii="Times New Roman" w:hAnsi="Times New Roman" w:cs="Times New Roman"/>
          <w:b/>
          <w:i/>
          <w:sz w:val="24"/>
          <w:szCs w:val="24"/>
        </w:rPr>
        <w:t>, woj. świętokrzyskie</w:t>
      </w:r>
      <w:r w:rsidRPr="009E2590">
        <w:rPr>
          <w:rFonts w:ascii="Times New Roman" w:hAnsi="Times New Roman" w:cs="Times New Roman"/>
          <w:b/>
          <w:i/>
          <w:sz w:val="24"/>
          <w:szCs w:val="24"/>
        </w:rPr>
        <w:t xml:space="preserve"> </w:t>
      </w:r>
    </w:p>
    <w:p w14:paraId="0A3A0A46" w14:textId="01284E08" w:rsidR="000D471D" w:rsidRPr="00400B09" w:rsidRDefault="000D471D" w:rsidP="009E2590">
      <w:pPr>
        <w:spacing w:after="120" w:line="300" w:lineRule="atLeast"/>
        <w:ind w:firstLine="567"/>
        <w:jc w:val="both"/>
        <w:rPr>
          <w:rFonts w:ascii="Times New Roman" w:eastAsia="Calibri" w:hAnsi="Times New Roman" w:cs="Times New Roman"/>
          <w:sz w:val="24"/>
          <w:szCs w:val="24"/>
        </w:rPr>
      </w:pPr>
      <w:bookmarkStart w:id="344" w:name="_Hlk95410574"/>
      <w:r w:rsidRPr="00400B09">
        <w:rPr>
          <w:rFonts w:ascii="Times New Roman" w:eastAsia="Calibri" w:hAnsi="Times New Roman" w:cs="Times New Roman"/>
          <w:sz w:val="24"/>
          <w:szCs w:val="24"/>
        </w:rPr>
        <w:t xml:space="preserve">Kontrola została podjęta w związku ze zgłoszonym zawiadomieniem </w:t>
      </w:r>
      <w:bookmarkEnd w:id="344"/>
      <w:r w:rsidRPr="00400B09">
        <w:rPr>
          <w:rFonts w:ascii="Times New Roman" w:eastAsia="Calibri" w:hAnsi="Times New Roman" w:cs="Times New Roman"/>
          <w:sz w:val="24"/>
          <w:szCs w:val="24"/>
        </w:rPr>
        <w:t xml:space="preserve">o podejrzeniu dokonywania nielegalnego demontażu pojazdów, bez stosownych uregulowań formalno-prawnych w zakresie ochrony środowiska. Na terenie objętym kontrolą stwierdzono bardzo duże nagromadzenie pojazdów, części oraz odpadów pochodzących z prowadzonego demontażu. Kontrolowany nie spełniał żadnych wymagań ochrony środowiska. Ze względu na bardzo duże nagromadzenie odpadów w kontroli brało udział kilku inspektorów, którzy dokonywali oględzin każdego pojazdu, ustalali jego stan techniczny oraz prawny. Inspektorzy ustalali również ilość zgromadzonych odpadów oraz części. Podczas kontroli przesłuchano właściciela firmy, do działań wykorzystano również bezzałogowy statek powietrzny, mobilne biuro oraz sprzęt pomiarowy. </w:t>
      </w:r>
    </w:p>
    <w:p w14:paraId="6FA8CDF5" w14:textId="77777777" w:rsidR="000D471D" w:rsidRPr="00400B09" w:rsidRDefault="000D471D" w:rsidP="000D471D">
      <w:pPr>
        <w:pStyle w:val="Akapitzlist"/>
        <w:spacing w:line="300" w:lineRule="atLeast"/>
        <w:ind w:left="142"/>
        <w:jc w:val="both"/>
        <w:rPr>
          <w:sz w:val="24"/>
          <w:szCs w:val="24"/>
        </w:rPr>
      </w:pPr>
      <w:r w:rsidRPr="00400B09">
        <w:rPr>
          <w:sz w:val="24"/>
          <w:szCs w:val="24"/>
        </w:rPr>
        <w:t>Stwierdzone nieprawidłowości:</w:t>
      </w:r>
    </w:p>
    <w:p w14:paraId="39F2287D" w14:textId="77777777" w:rsidR="000D471D" w:rsidRPr="00400B09" w:rsidRDefault="000D471D" w:rsidP="00D34F97">
      <w:pPr>
        <w:numPr>
          <w:ilvl w:val="0"/>
          <w:numId w:val="315"/>
        </w:numPr>
        <w:spacing w:after="0" w:line="300" w:lineRule="atLeast"/>
        <w:ind w:left="284" w:firstLine="0"/>
        <w:contextualSpacing/>
        <w:jc w:val="both"/>
        <w:rPr>
          <w:rFonts w:ascii="Times New Roman" w:hAnsi="Times New Roman" w:cs="Times New Roman"/>
          <w:sz w:val="24"/>
          <w:szCs w:val="24"/>
        </w:rPr>
      </w:pPr>
      <w:r w:rsidRPr="00400B09">
        <w:rPr>
          <w:rFonts w:ascii="Times New Roman" w:hAnsi="Times New Roman" w:cs="Times New Roman"/>
          <w:sz w:val="24"/>
          <w:szCs w:val="24"/>
        </w:rPr>
        <w:t>dokonywanie nielegalnego demontażu pojazdów wycofanych z eksploatacji,</w:t>
      </w:r>
    </w:p>
    <w:p w14:paraId="1A082040" w14:textId="77777777" w:rsidR="000D471D" w:rsidRPr="00400B09" w:rsidRDefault="000D471D" w:rsidP="00D34F97">
      <w:pPr>
        <w:numPr>
          <w:ilvl w:val="0"/>
          <w:numId w:val="315"/>
        </w:numPr>
        <w:spacing w:after="0" w:line="300" w:lineRule="atLeast"/>
        <w:ind w:left="284" w:firstLine="0"/>
        <w:contextualSpacing/>
        <w:jc w:val="both"/>
        <w:rPr>
          <w:rFonts w:ascii="Times New Roman" w:hAnsi="Times New Roman" w:cs="Times New Roman"/>
          <w:sz w:val="24"/>
          <w:szCs w:val="24"/>
        </w:rPr>
      </w:pPr>
      <w:r w:rsidRPr="00400B09">
        <w:rPr>
          <w:rFonts w:ascii="Times New Roman" w:hAnsi="Times New Roman" w:cs="Times New Roman"/>
          <w:sz w:val="24"/>
          <w:szCs w:val="24"/>
        </w:rPr>
        <w:t>zbieranie odpadów bez wymaganego zezwolenia,</w:t>
      </w:r>
    </w:p>
    <w:p w14:paraId="44C9ECC0" w14:textId="77777777" w:rsidR="000D471D" w:rsidRPr="00400B09" w:rsidRDefault="000D471D" w:rsidP="00D34F97">
      <w:pPr>
        <w:numPr>
          <w:ilvl w:val="0"/>
          <w:numId w:val="315"/>
        </w:numPr>
        <w:spacing w:after="0" w:line="300" w:lineRule="atLeast"/>
        <w:ind w:left="284" w:firstLine="0"/>
        <w:contextualSpacing/>
        <w:jc w:val="both"/>
        <w:rPr>
          <w:rFonts w:ascii="Times New Roman" w:hAnsi="Times New Roman" w:cs="Times New Roman"/>
          <w:sz w:val="24"/>
          <w:szCs w:val="24"/>
        </w:rPr>
      </w:pPr>
      <w:r w:rsidRPr="00400B09">
        <w:rPr>
          <w:rFonts w:ascii="Times New Roman" w:hAnsi="Times New Roman" w:cs="Times New Roman"/>
          <w:sz w:val="24"/>
          <w:szCs w:val="24"/>
        </w:rPr>
        <w:t>magazynowanie odpadów niezgodnie z wymaganiami,</w:t>
      </w:r>
    </w:p>
    <w:p w14:paraId="118C4FC1" w14:textId="77777777" w:rsidR="000D471D" w:rsidRPr="00400B09" w:rsidRDefault="000D471D" w:rsidP="00D34F97">
      <w:pPr>
        <w:numPr>
          <w:ilvl w:val="0"/>
          <w:numId w:val="315"/>
        </w:numPr>
        <w:spacing w:after="0" w:line="300" w:lineRule="atLeast"/>
        <w:ind w:left="284" w:firstLine="0"/>
        <w:contextualSpacing/>
        <w:jc w:val="both"/>
        <w:rPr>
          <w:rFonts w:ascii="Times New Roman" w:hAnsi="Times New Roman" w:cs="Times New Roman"/>
          <w:sz w:val="24"/>
          <w:szCs w:val="24"/>
        </w:rPr>
      </w:pPr>
      <w:r w:rsidRPr="00400B09">
        <w:rPr>
          <w:rFonts w:ascii="Times New Roman" w:hAnsi="Times New Roman" w:cs="Times New Roman"/>
          <w:sz w:val="24"/>
          <w:szCs w:val="24"/>
        </w:rPr>
        <w:t>nieprowadzenie wizyjnego systemu kontroli miejsc magazynowania odpadów,</w:t>
      </w:r>
    </w:p>
    <w:p w14:paraId="4EDC55F6" w14:textId="77777777" w:rsidR="000D471D" w:rsidRPr="00400B09" w:rsidRDefault="000D471D" w:rsidP="00D34F97">
      <w:pPr>
        <w:numPr>
          <w:ilvl w:val="0"/>
          <w:numId w:val="315"/>
        </w:numPr>
        <w:spacing w:after="120" w:line="300" w:lineRule="atLeast"/>
        <w:ind w:left="284" w:firstLine="0"/>
        <w:jc w:val="both"/>
        <w:rPr>
          <w:rFonts w:ascii="Times New Roman" w:hAnsi="Times New Roman" w:cs="Times New Roman"/>
          <w:sz w:val="24"/>
          <w:szCs w:val="24"/>
        </w:rPr>
      </w:pPr>
      <w:r w:rsidRPr="00400B09">
        <w:rPr>
          <w:rFonts w:ascii="Times New Roman" w:hAnsi="Times New Roman" w:cs="Times New Roman"/>
          <w:sz w:val="24"/>
          <w:szCs w:val="24"/>
        </w:rPr>
        <w:t>nieprowadzenie wymaganej ewidencji odpadów oraz sprawozdawczości.</w:t>
      </w:r>
    </w:p>
    <w:p w14:paraId="75DA96B4" w14:textId="77777777" w:rsidR="000D471D" w:rsidRPr="00400B09" w:rsidRDefault="000D471D" w:rsidP="000D471D">
      <w:pPr>
        <w:spacing w:line="300" w:lineRule="atLeast"/>
        <w:ind w:left="142"/>
        <w:contextualSpacing/>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W związku ze stwierdzonymi nieprawidłowościami Świętokrzyski WIOŚ podjął następujące działania pokontrolne:</w:t>
      </w:r>
    </w:p>
    <w:p w14:paraId="5DD47D83" w14:textId="0EBCAEFA" w:rsidR="000D471D" w:rsidRPr="00400B09" w:rsidRDefault="000D471D" w:rsidP="00D34F97">
      <w:pPr>
        <w:numPr>
          <w:ilvl w:val="0"/>
          <w:numId w:val="315"/>
        </w:numPr>
        <w:spacing w:after="0" w:line="300" w:lineRule="atLeast"/>
        <w:ind w:left="568" w:hanging="284"/>
        <w:contextualSpacing/>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 xml:space="preserve">skierowano do kontrolowanego zarządzenie pokontrolne, zobowiązujące </w:t>
      </w:r>
      <w:r w:rsidR="009E2590">
        <w:rPr>
          <w:rFonts w:ascii="Times New Roman" w:eastAsia="Calibri" w:hAnsi="Times New Roman" w:cs="Times New Roman"/>
          <w:sz w:val="24"/>
          <w:szCs w:val="24"/>
        </w:rPr>
        <w:t xml:space="preserve">do </w:t>
      </w:r>
      <w:r w:rsidRPr="00400B09">
        <w:rPr>
          <w:rFonts w:ascii="Times New Roman" w:eastAsia="Calibri" w:hAnsi="Times New Roman" w:cs="Times New Roman"/>
          <w:sz w:val="24"/>
          <w:szCs w:val="24"/>
        </w:rPr>
        <w:br/>
        <w:t>przestrzegania przepisów ochrony środowiska,</w:t>
      </w:r>
    </w:p>
    <w:p w14:paraId="3BDFE9D3" w14:textId="77777777" w:rsidR="000D471D" w:rsidRPr="00400B09" w:rsidRDefault="000D471D" w:rsidP="00D34F97">
      <w:pPr>
        <w:numPr>
          <w:ilvl w:val="0"/>
          <w:numId w:val="315"/>
        </w:numPr>
        <w:spacing w:after="0" w:line="300" w:lineRule="atLeast"/>
        <w:ind w:left="568" w:hanging="284"/>
        <w:contextualSpacing/>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 xml:space="preserve">wszczęto postępowanie administracyjne w trybie art. 32 ust. 1a ww. ustawy o odpadach w sprawie wstrzymania działalności w zakresie przetwarzania odpadów w postaci pojazdów wycofanych z eksploatacji oraz zbierania odpadów w postaci pojazdów </w:t>
      </w:r>
      <w:r w:rsidRPr="00400B09">
        <w:rPr>
          <w:rFonts w:ascii="Times New Roman" w:eastAsia="Calibri" w:hAnsi="Times New Roman" w:cs="Times New Roman"/>
          <w:sz w:val="24"/>
          <w:szCs w:val="24"/>
        </w:rPr>
        <w:lastRenderedPageBreak/>
        <w:t xml:space="preserve">wycofanych z eksploatacji oraz zbierania metali żelaznych i nieżelaznych bez wymaganych zezwoleń, </w:t>
      </w:r>
    </w:p>
    <w:p w14:paraId="181A1853" w14:textId="77916790" w:rsidR="000D471D" w:rsidRPr="00400B09" w:rsidRDefault="000D471D" w:rsidP="00D34F97">
      <w:pPr>
        <w:numPr>
          <w:ilvl w:val="0"/>
          <w:numId w:val="315"/>
        </w:numPr>
        <w:spacing w:after="0" w:line="300" w:lineRule="atLeast"/>
        <w:ind w:left="568" w:hanging="284"/>
        <w:contextualSpacing/>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 xml:space="preserve">wszczęto postępowanie administracyjne w trybie art. 194 ust. 4 ww. ustawy o odpadach w sprawie nałożenia administracyjnej kary pieniężnej za przetwarzanie odpadów </w:t>
      </w:r>
      <w:r w:rsidR="009E2590">
        <w:rPr>
          <w:rFonts w:ascii="Times New Roman" w:eastAsia="Calibri" w:hAnsi="Times New Roman" w:cs="Times New Roman"/>
          <w:sz w:val="24"/>
          <w:szCs w:val="24"/>
        </w:rPr>
        <w:br/>
      </w:r>
      <w:r w:rsidRPr="00400B09">
        <w:rPr>
          <w:rFonts w:ascii="Times New Roman" w:eastAsia="Calibri" w:hAnsi="Times New Roman" w:cs="Times New Roman"/>
          <w:sz w:val="24"/>
          <w:szCs w:val="24"/>
        </w:rPr>
        <w:t xml:space="preserve">w postaci pojazdów wycofanych z eksploatacji oraz zbieranie odpadów w postaci pojazdów wycofanych z eksploatacji oraz zbieranie metali żelaznych i nieżelaznych bez wymaganych zezwoleń, </w:t>
      </w:r>
    </w:p>
    <w:p w14:paraId="3C23E55F" w14:textId="77777777" w:rsidR="000D471D" w:rsidRPr="00400B09" w:rsidRDefault="000D471D" w:rsidP="00D34F97">
      <w:pPr>
        <w:numPr>
          <w:ilvl w:val="0"/>
          <w:numId w:val="315"/>
        </w:numPr>
        <w:spacing w:after="0" w:line="300" w:lineRule="atLeast"/>
        <w:ind w:left="568" w:hanging="284"/>
        <w:contextualSpacing/>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wszczęto postępowanie administracyjne w trybie art. 53a ust. 1 ustawy o recyklingu pojazdów wycofanych z eksploatacji w sprawie nałożenia administracyjnej kary pieniężnej za dokonywanie demontażu pojazdów poza stacją demontażu,</w:t>
      </w:r>
    </w:p>
    <w:p w14:paraId="48233059" w14:textId="203EE8BD" w:rsidR="000D471D" w:rsidRPr="00400B09" w:rsidRDefault="000D471D" w:rsidP="00D34F97">
      <w:pPr>
        <w:numPr>
          <w:ilvl w:val="0"/>
          <w:numId w:val="315"/>
        </w:numPr>
        <w:spacing w:after="0" w:line="300" w:lineRule="atLeast"/>
        <w:ind w:left="568" w:hanging="284"/>
        <w:contextualSpacing/>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 xml:space="preserve">wszczęto postępowanie administracyjne w trybie art. 194 ust. 1 pkt 2b ww. ustawy </w:t>
      </w:r>
      <w:r w:rsidR="009E2590">
        <w:rPr>
          <w:rFonts w:ascii="Times New Roman" w:eastAsia="Calibri" w:hAnsi="Times New Roman" w:cs="Times New Roman"/>
          <w:sz w:val="24"/>
          <w:szCs w:val="24"/>
        </w:rPr>
        <w:br/>
      </w:r>
      <w:r w:rsidRPr="00400B09">
        <w:rPr>
          <w:rFonts w:ascii="Times New Roman" w:eastAsia="Calibri" w:hAnsi="Times New Roman" w:cs="Times New Roman"/>
          <w:sz w:val="24"/>
          <w:szCs w:val="24"/>
        </w:rPr>
        <w:t>o odpadach w sprawie nałożenia administracyjnej kary pieniężnej za magazynowanie odpadów niezgodnie z wymaganiami, o których mowa w art. 25 ust. 1 przedmiotowej ustawy,</w:t>
      </w:r>
    </w:p>
    <w:p w14:paraId="0902A113" w14:textId="28736404" w:rsidR="000D471D" w:rsidRPr="00400B09" w:rsidRDefault="000D471D" w:rsidP="00D34F97">
      <w:pPr>
        <w:numPr>
          <w:ilvl w:val="0"/>
          <w:numId w:val="315"/>
        </w:numPr>
        <w:spacing w:after="0" w:line="300" w:lineRule="atLeast"/>
        <w:ind w:left="568" w:hanging="284"/>
        <w:contextualSpacing/>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 xml:space="preserve">wszczęto postępowanie administracyjne w trybie art. 194 ust. 1 pkt 2c ww. ustawy </w:t>
      </w:r>
      <w:r w:rsidR="009E2590">
        <w:rPr>
          <w:rFonts w:ascii="Times New Roman" w:eastAsia="Calibri" w:hAnsi="Times New Roman" w:cs="Times New Roman"/>
          <w:sz w:val="24"/>
          <w:szCs w:val="24"/>
        </w:rPr>
        <w:br/>
      </w:r>
      <w:r w:rsidRPr="00400B09">
        <w:rPr>
          <w:rFonts w:ascii="Times New Roman" w:eastAsia="Calibri" w:hAnsi="Times New Roman" w:cs="Times New Roman"/>
          <w:sz w:val="24"/>
          <w:szCs w:val="24"/>
        </w:rPr>
        <w:t>o odpadach w sprawie nałożenia administracyjnej kary pieniężnej za nieprowadzenie wizyjnego systemu kontroli miejsc magazynowania odpadów palnych, wbrew przepisom określonym w art. 25 ust. 6a przedmiotowej ustawy,</w:t>
      </w:r>
    </w:p>
    <w:p w14:paraId="44EA081B" w14:textId="77777777" w:rsidR="000D471D" w:rsidRPr="00400B09" w:rsidRDefault="000D471D" w:rsidP="00D34F97">
      <w:pPr>
        <w:numPr>
          <w:ilvl w:val="0"/>
          <w:numId w:val="315"/>
        </w:numPr>
        <w:spacing w:after="0" w:line="300" w:lineRule="atLeast"/>
        <w:ind w:left="568" w:hanging="284"/>
        <w:contextualSpacing/>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skierowano wniosek do Wójta Gminy Dwikozy o wydanie decyzji w trybie art. 26 ust. 2 ww. ustawy o odpadach, nakazującej posiadaczowi odpadów ich usunięcie z miejsca nieprzeznaczonego do ich składowania lub magazynowania,</w:t>
      </w:r>
    </w:p>
    <w:p w14:paraId="6145C21B" w14:textId="77777777" w:rsidR="000D471D" w:rsidRPr="00400B09" w:rsidRDefault="000D471D" w:rsidP="00D34F97">
      <w:pPr>
        <w:numPr>
          <w:ilvl w:val="0"/>
          <w:numId w:val="315"/>
        </w:numPr>
        <w:spacing w:after="0" w:line="300" w:lineRule="atLeast"/>
        <w:ind w:left="568" w:hanging="284"/>
        <w:contextualSpacing/>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 xml:space="preserve">skierowano wniosek do Komendy Powiatowej Państwowej Straży Pożarnej </w:t>
      </w:r>
      <w:r w:rsidRPr="00400B09">
        <w:rPr>
          <w:rFonts w:ascii="Times New Roman" w:eastAsia="Calibri" w:hAnsi="Times New Roman" w:cs="Times New Roman"/>
          <w:sz w:val="24"/>
          <w:szCs w:val="24"/>
        </w:rPr>
        <w:br/>
        <w:t>w Sandomierzu o przeprowadzenie kontroli w zakresie przestrzegania przepisów przeciwpożarowych,</w:t>
      </w:r>
    </w:p>
    <w:p w14:paraId="4C347EE4" w14:textId="77777777" w:rsidR="000D471D" w:rsidRPr="00400B09" w:rsidRDefault="000D471D" w:rsidP="00D34F97">
      <w:pPr>
        <w:numPr>
          <w:ilvl w:val="0"/>
          <w:numId w:val="315"/>
        </w:numPr>
        <w:spacing w:after="0" w:line="300" w:lineRule="atLeast"/>
        <w:ind w:left="568" w:hanging="284"/>
        <w:contextualSpacing/>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poinformowano Komendę Wojewódzką Policji w Kielcach o wynikach kontroli i stwierdzonych nieprawidłowościach,</w:t>
      </w:r>
    </w:p>
    <w:p w14:paraId="14F4DF0D" w14:textId="77777777" w:rsidR="000D471D" w:rsidRPr="00400B09" w:rsidRDefault="000D471D" w:rsidP="00D34F97">
      <w:pPr>
        <w:numPr>
          <w:ilvl w:val="0"/>
          <w:numId w:val="315"/>
        </w:numPr>
        <w:spacing w:after="0" w:line="300" w:lineRule="atLeast"/>
        <w:ind w:left="568" w:hanging="284"/>
        <w:contextualSpacing/>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skierowano wniosek do Urzędu Skarbowego o przeprowadzenie kontroli, pod kątem przestrzegania przepisów podatkowych,</w:t>
      </w:r>
    </w:p>
    <w:p w14:paraId="111DB09F" w14:textId="77777777" w:rsidR="000D471D" w:rsidRPr="00400B09" w:rsidRDefault="000D471D" w:rsidP="00D34F97">
      <w:pPr>
        <w:numPr>
          <w:ilvl w:val="0"/>
          <w:numId w:val="315"/>
        </w:numPr>
        <w:spacing w:after="120" w:line="300" w:lineRule="atLeast"/>
        <w:ind w:left="568" w:hanging="284"/>
        <w:jc w:val="both"/>
        <w:rPr>
          <w:rFonts w:ascii="Times New Roman" w:eastAsia="Calibri" w:hAnsi="Times New Roman" w:cs="Times New Roman"/>
          <w:sz w:val="24"/>
          <w:szCs w:val="24"/>
        </w:rPr>
      </w:pPr>
      <w:r w:rsidRPr="00400B09">
        <w:rPr>
          <w:rFonts w:ascii="Times New Roman" w:eastAsia="Calibri" w:hAnsi="Times New Roman" w:cs="Times New Roman"/>
          <w:sz w:val="24"/>
          <w:szCs w:val="24"/>
        </w:rPr>
        <w:t>poinformowano Ubezpieczeniowy Fundusz Gwarancyjny o podejrzeniu nieprzestrzegania przepisów ustawy z dnia 22 maja 2003 r. o ubezpieczeniach obowiązkowych, Ubezpieczeniowym Funduszu Gwarancyjnym i Polskim Biurze Ubezpieczycieli Komunikacyjnych.</w:t>
      </w:r>
    </w:p>
    <w:p w14:paraId="3B0D6E66" w14:textId="24F786B7" w:rsidR="000D471D" w:rsidRPr="00400B09" w:rsidRDefault="000D471D" w:rsidP="00F34493">
      <w:pPr>
        <w:spacing w:line="300" w:lineRule="atLeast"/>
        <w:contextualSpacing/>
        <w:jc w:val="center"/>
        <w:rPr>
          <w:rFonts w:ascii="Times New Roman" w:eastAsia="Calibri" w:hAnsi="Times New Roman" w:cs="Times New Roman"/>
          <w:sz w:val="24"/>
          <w:szCs w:val="24"/>
          <w:highlight w:val="yellow"/>
        </w:rPr>
      </w:pPr>
      <w:r w:rsidRPr="00400B09">
        <w:rPr>
          <w:rFonts w:ascii="Times New Roman" w:hAnsi="Times New Roman" w:cs="Times New Roman"/>
          <w:noProof/>
          <w:sz w:val="24"/>
          <w:szCs w:val="24"/>
          <w:lang w:eastAsia="pl-PL"/>
        </w:rPr>
        <w:drawing>
          <wp:inline distT="0" distB="0" distL="0" distR="0" wp14:anchorId="05D085E1" wp14:editId="5CF8435E">
            <wp:extent cx="4655185" cy="2625219"/>
            <wp:effectExtent l="0" t="0" r="0" b="3810"/>
            <wp:docPr id="151" name="Obraz 151" descr="Zdjęcie 42. Nielegalny demontaż pojazdów wycofanych z eksploata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Obraz 151" descr="Zdjęcie 42. Nielegalny demontaż pojazdów wycofanych z eksploatacji"/>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686623" cy="2642948"/>
                    </a:xfrm>
                    <a:prstGeom prst="rect">
                      <a:avLst/>
                    </a:prstGeom>
                    <a:noFill/>
                    <a:ln>
                      <a:noFill/>
                    </a:ln>
                  </pic:spPr>
                </pic:pic>
              </a:graphicData>
            </a:graphic>
          </wp:inline>
        </w:drawing>
      </w:r>
    </w:p>
    <w:p w14:paraId="0D510019" w14:textId="540E4559" w:rsidR="000D471D" w:rsidRPr="009E2590" w:rsidRDefault="009E2590" w:rsidP="00F9550A">
      <w:pPr>
        <w:spacing w:after="120" w:line="300" w:lineRule="atLeast"/>
        <w:jc w:val="center"/>
        <w:rPr>
          <w:rFonts w:ascii="Times New Roman" w:eastAsia="Calibri" w:hAnsi="Times New Roman" w:cs="Times New Roman"/>
          <w:b/>
          <w:i/>
          <w:iCs/>
        </w:rPr>
      </w:pPr>
      <w:r w:rsidRPr="009E2590">
        <w:rPr>
          <w:rFonts w:ascii="Times New Roman" w:hAnsi="Times New Roman" w:cs="Times New Roman"/>
          <w:b/>
          <w:i/>
          <w:iCs/>
        </w:rPr>
        <w:lastRenderedPageBreak/>
        <w:t>Zdjęcie 4</w:t>
      </w:r>
      <w:r w:rsidR="00F67169">
        <w:rPr>
          <w:rFonts w:ascii="Times New Roman" w:hAnsi="Times New Roman" w:cs="Times New Roman"/>
          <w:b/>
          <w:i/>
          <w:iCs/>
        </w:rPr>
        <w:t>2</w:t>
      </w:r>
      <w:r w:rsidRPr="009E2590">
        <w:rPr>
          <w:rFonts w:ascii="Times New Roman" w:hAnsi="Times New Roman" w:cs="Times New Roman"/>
          <w:b/>
          <w:i/>
          <w:iCs/>
        </w:rPr>
        <w:t>.</w:t>
      </w:r>
      <w:r w:rsidR="000D471D" w:rsidRPr="009E2590">
        <w:rPr>
          <w:rFonts w:ascii="Times New Roman" w:eastAsia="Calibri" w:hAnsi="Times New Roman" w:cs="Times New Roman"/>
          <w:b/>
          <w:i/>
          <w:iCs/>
        </w:rPr>
        <w:t xml:space="preserve"> </w:t>
      </w:r>
      <w:r w:rsidRPr="009E2590">
        <w:rPr>
          <w:rFonts w:ascii="Times New Roman" w:eastAsia="Calibri" w:hAnsi="Times New Roman" w:cs="Times New Roman"/>
          <w:b/>
          <w:i/>
          <w:iCs/>
        </w:rPr>
        <w:t>N</w:t>
      </w:r>
      <w:r w:rsidR="000D471D" w:rsidRPr="009E2590">
        <w:rPr>
          <w:rFonts w:ascii="Times New Roman" w:eastAsia="Calibri" w:hAnsi="Times New Roman" w:cs="Times New Roman"/>
          <w:b/>
          <w:i/>
          <w:iCs/>
        </w:rPr>
        <w:t>ielegalny demontaż pojazdów wycofanych z eksploatacji</w:t>
      </w:r>
    </w:p>
    <w:p w14:paraId="777D65AB" w14:textId="71985A4F" w:rsidR="000D471D" w:rsidRPr="00400B09" w:rsidRDefault="000D471D" w:rsidP="00F34493">
      <w:pPr>
        <w:spacing w:line="300" w:lineRule="atLeast"/>
        <w:contextualSpacing/>
        <w:jc w:val="center"/>
        <w:rPr>
          <w:rFonts w:ascii="Times New Roman" w:eastAsia="Calibri" w:hAnsi="Times New Roman" w:cs="Times New Roman"/>
          <w:sz w:val="24"/>
          <w:szCs w:val="24"/>
          <w:highlight w:val="yellow"/>
        </w:rPr>
      </w:pPr>
      <w:r w:rsidRPr="00400B09">
        <w:rPr>
          <w:rFonts w:ascii="Times New Roman" w:hAnsi="Times New Roman" w:cs="Times New Roman"/>
          <w:noProof/>
          <w:sz w:val="24"/>
          <w:szCs w:val="24"/>
          <w:lang w:eastAsia="pl-PL"/>
        </w:rPr>
        <w:drawing>
          <wp:inline distT="0" distB="0" distL="0" distR="0" wp14:anchorId="2BACAF54" wp14:editId="776028B8">
            <wp:extent cx="4712335" cy="2649723"/>
            <wp:effectExtent l="0" t="0" r="0" b="0"/>
            <wp:docPr id="150" name="Obraz 150" descr="Zdjęcie 43. Sposób magazynowania odpadów pochodzących z nielegalnego demontażu pojazd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Obraz 150" descr="Zdjęcie 43. Sposób magazynowania odpadów pochodzących z nielegalnego demontażu pojazdów"/>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727435" cy="2658214"/>
                    </a:xfrm>
                    <a:prstGeom prst="rect">
                      <a:avLst/>
                    </a:prstGeom>
                    <a:noFill/>
                    <a:ln>
                      <a:noFill/>
                    </a:ln>
                  </pic:spPr>
                </pic:pic>
              </a:graphicData>
            </a:graphic>
          </wp:inline>
        </w:drawing>
      </w:r>
    </w:p>
    <w:p w14:paraId="20B23FDE" w14:textId="42874212" w:rsidR="000D471D" w:rsidRPr="009E2590" w:rsidRDefault="009E2590" w:rsidP="00F34493">
      <w:pPr>
        <w:spacing w:line="300" w:lineRule="atLeast"/>
        <w:contextualSpacing/>
        <w:jc w:val="center"/>
        <w:rPr>
          <w:rFonts w:ascii="Times New Roman" w:eastAsia="Calibri" w:hAnsi="Times New Roman" w:cs="Times New Roman"/>
          <w:b/>
          <w:i/>
          <w:iCs/>
        </w:rPr>
      </w:pPr>
      <w:r w:rsidRPr="009E2590">
        <w:rPr>
          <w:rFonts w:ascii="Times New Roman" w:eastAsia="Calibri" w:hAnsi="Times New Roman" w:cs="Times New Roman"/>
          <w:b/>
          <w:i/>
          <w:iCs/>
        </w:rPr>
        <w:t>Zdjęcie 4</w:t>
      </w:r>
      <w:r w:rsidR="00F67169">
        <w:rPr>
          <w:rFonts w:ascii="Times New Roman" w:eastAsia="Calibri" w:hAnsi="Times New Roman" w:cs="Times New Roman"/>
          <w:b/>
          <w:i/>
          <w:iCs/>
        </w:rPr>
        <w:t>3</w:t>
      </w:r>
      <w:r w:rsidRPr="009E2590">
        <w:rPr>
          <w:rFonts w:ascii="Times New Roman" w:eastAsia="Calibri" w:hAnsi="Times New Roman" w:cs="Times New Roman"/>
          <w:b/>
          <w:i/>
          <w:iCs/>
        </w:rPr>
        <w:t>. S</w:t>
      </w:r>
      <w:r w:rsidR="000D471D" w:rsidRPr="009E2590">
        <w:rPr>
          <w:rFonts w:ascii="Times New Roman" w:eastAsia="Calibri" w:hAnsi="Times New Roman" w:cs="Times New Roman"/>
          <w:b/>
          <w:i/>
          <w:iCs/>
        </w:rPr>
        <w:t>posób magazynowania odpadów pochodzących z nielegalnego demontażu pojazdów</w:t>
      </w:r>
    </w:p>
    <w:bookmarkEnd w:id="343"/>
    <w:p w14:paraId="3FC1E6C8" w14:textId="77777777" w:rsidR="001355BC" w:rsidRDefault="001355BC" w:rsidP="001355BC">
      <w:pPr>
        <w:spacing w:after="0" w:line="300" w:lineRule="atLeast"/>
        <w:jc w:val="both"/>
        <w:rPr>
          <w:rFonts w:ascii="Times New Roman" w:hAnsi="Times New Roman" w:cs="Times New Roman"/>
          <w:i/>
          <w:color w:val="4472C4"/>
          <w:sz w:val="24"/>
          <w:szCs w:val="24"/>
        </w:rPr>
      </w:pPr>
    </w:p>
    <w:p w14:paraId="25627332" w14:textId="4E44C838" w:rsidR="000D471D" w:rsidRPr="001355BC" w:rsidRDefault="00E02EF9" w:rsidP="00E02EF9">
      <w:pPr>
        <w:spacing w:after="60" w:line="300" w:lineRule="atLeast"/>
        <w:jc w:val="both"/>
        <w:rPr>
          <w:rFonts w:ascii="Times New Roman" w:hAnsi="Times New Roman" w:cs="Times New Roman"/>
          <w:b/>
          <w:i/>
          <w:color w:val="000000" w:themeColor="text1"/>
          <w:sz w:val="24"/>
          <w:szCs w:val="24"/>
        </w:rPr>
      </w:pPr>
      <w:r w:rsidRPr="001355BC">
        <w:rPr>
          <w:rFonts w:ascii="Times New Roman" w:hAnsi="Times New Roman" w:cs="Times New Roman"/>
          <w:b/>
          <w:i/>
          <w:color w:val="000000" w:themeColor="text1"/>
          <w:sz w:val="24"/>
          <w:szCs w:val="24"/>
        </w:rPr>
        <w:t>Kontrola w związku z niewłaściwym magazynowaniem odpadów w Kędzierzynie-Koźlu, woj. opolskie</w:t>
      </w:r>
    </w:p>
    <w:p w14:paraId="4CEA1723" w14:textId="64E27B51" w:rsidR="000D471D" w:rsidRPr="00400B09" w:rsidRDefault="000D471D" w:rsidP="00E02EF9">
      <w:pPr>
        <w:spacing w:after="0" w:line="300" w:lineRule="atLeast"/>
        <w:ind w:firstLine="567"/>
        <w:contextualSpacing/>
        <w:jc w:val="both"/>
        <w:rPr>
          <w:rFonts w:ascii="Times New Roman" w:hAnsi="Times New Roman" w:cs="Times New Roman"/>
          <w:sz w:val="24"/>
          <w:szCs w:val="24"/>
        </w:rPr>
      </w:pPr>
      <w:r w:rsidRPr="00400B09">
        <w:rPr>
          <w:rFonts w:ascii="Times New Roman" w:hAnsi="Times New Roman" w:cs="Times New Roman"/>
          <w:sz w:val="24"/>
          <w:szCs w:val="24"/>
        </w:rPr>
        <w:t>W związku ze zgłoszeniem przez formularz GIOŚ „zgłoś interwencję” dotyczącym niewłaściwego magazynowania odpadów na terenie przemysłowym w Kędzierzynie-Koźlu zostały podjęte czynności w trybie art.10b  ustawy z dnia 20 lipca 1991 r. o Inspekcji Ochrony Środowiska. Czynności polegały na dokonaniu oględzin miejsc oraz sporządzeniu dokumentacji fotograficznej. W wyniku czynności stwierdzono, że odpady są magazynowane niezgodnie z warunkami określonym w przepisach ustawy z dnia 14 grudnia 2012 r. o odpadach Odpady zostały zmagazynowane w nieszczelnych opakowaniach typu „big-</w:t>
      </w:r>
      <w:proofErr w:type="spellStart"/>
      <w:r w:rsidRPr="00400B09">
        <w:rPr>
          <w:rFonts w:ascii="Times New Roman" w:hAnsi="Times New Roman" w:cs="Times New Roman"/>
          <w:sz w:val="24"/>
          <w:szCs w:val="24"/>
        </w:rPr>
        <w:t>bag</w:t>
      </w:r>
      <w:proofErr w:type="spellEnd"/>
      <w:r w:rsidRPr="00400B09">
        <w:rPr>
          <w:rFonts w:ascii="Times New Roman" w:hAnsi="Times New Roman" w:cs="Times New Roman"/>
          <w:sz w:val="24"/>
          <w:szCs w:val="24"/>
        </w:rPr>
        <w:t>” bezpośrednio na glebie, w sposób niezabezpieczający przed oddziaływaniem czynników atmosferycznych. Na powierzchni gleby widoczne były wycieki tych odpadów. W związku z tym w dniach od 31.03.2022r. do 28.06.2022r. (z przerwami) przeprowadzono kontrolę w podmiocie z siedzibą na Pl. Solnym we Wrocławiu</w:t>
      </w:r>
      <w:r w:rsidR="00E02EF9">
        <w:rPr>
          <w:rFonts w:ascii="Times New Roman" w:hAnsi="Times New Roman" w:cs="Times New Roman"/>
          <w:sz w:val="24"/>
          <w:szCs w:val="24"/>
        </w:rPr>
        <w:t>,</w:t>
      </w:r>
      <w:r w:rsidRPr="00400B09">
        <w:rPr>
          <w:rFonts w:ascii="Times New Roman" w:hAnsi="Times New Roman" w:cs="Times New Roman"/>
          <w:sz w:val="24"/>
          <w:szCs w:val="24"/>
        </w:rPr>
        <w:t xml:space="preserve"> prowadząc</w:t>
      </w:r>
      <w:r w:rsidR="00E02EF9">
        <w:rPr>
          <w:rFonts w:ascii="Times New Roman" w:hAnsi="Times New Roman" w:cs="Times New Roman"/>
          <w:sz w:val="24"/>
          <w:szCs w:val="24"/>
        </w:rPr>
        <w:t>ym</w:t>
      </w:r>
      <w:r w:rsidRPr="00400B09">
        <w:rPr>
          <w:rFonts w:ascii="Times New Roman" w:hAnsi="Times New Roman" w:cs="Times New Roman"/>
          <w:sz w:val="24"/>
          <w:szCs w:val="24"/>
        </w:rPr>
        <w:t xml:space="preserve"> działalność w Kędzierzynie-Koźlu przy ul. Szkolnej. Przeprowadzona kontrola wykazała następujące naruszenia:</w:t>
      </w:r>
    </w:p>
    <w:p w14:paraId="4B86689D" w14:textId="04A37AB1" w:rsidR="000D471D" w:rsidRPr="00E02EF9" w:rsidRDefault="000D471D" w:rsidP="00D34F97">
      <w:pPr>
        <w:pStyle w:val="Akapitzlist"/>
        <w:numPr>
          <w:ilvl w:val="0"/>
          <w:numId w:val="320"/>
        </w:numPr>
        <w:spacing w:line="300" w:lineRule="atLeast"/>
        <w:ind w:left="641" w:hanging="357"/>
        <w:jc w:val="both"/>
        <w:rPr>
          <w:sz w:val="24"/>
          <w:szCs w:val="24"/>
        </w:rPr>
      </w:pPr>
      <w:r w:rsidRPr="00E02EF9">
        <w:rPr>
          <w:sz w:val="24"/>
          <w:szCs w:val="24"/>
        </w:rPr>
        <w:t>prowadzenie gospodarki odpadami w sposób niezapewniający ochrony życia i zdrowia ludzi oraz środowiska,</w:t>
      </w:r>
    </w:p>
    <w:p w14:paraId="7E683323" w14:textId="23F45DFF" w:rsidR="000D471D" w:rsidRPr="00E02EF9" w:rsidRDefault="000D471D" w:rsidP="00D34F97">
      <w:pPr>
        <w:pStyle w:val="Akapitzlist"/>
        <w:numPr>
          <w:ilvl w:val="0"/>
          <w:numId w:val="320"/>
        </w:numPr>
        <w:spacing w:line="300" w:lineRule="atLeast"/>
        <w:ind w:left="641" w:hanging="357"/>
        <w:jc w:val="both"/>
        <w:rPr>
          <w:sz w:val="24"/>
          <w:szCs w:val="24"/>
        </w:rPr>
      </w:pPr>
      <w:r w:rsidRPr="00E02EF9">
        <w:rPr>
          <w:sz w:val="24"/>
          <w:szCs w:val="24"/>
        </w:rPr>
        <w:t>magazynowanie odpadów niezgodnie z wymaganiami, o których mowa w art. 25 ust. 1 ustawy z dnia 14 grudnia 2012 r. ustawy o odpadach,</w:t>
      </w:r>
    </w:p>
    <w:p w14:paraId="7E7EB953" w14:textId="1458F41D" w:rsidR="000D471D" w:rsidRPr="00E02EF9" w:rsidRDefault="000D471D" w:rsidP="00D34F97">
      <w:pPr>
        <w:pStyle w:val="Akapitzlist"/>
        <w:numPr>
          <w:ilvl w:val="0"/>
          <w:numId w:val="320"/>
        </w:numPr>
        <w:spacing w:line="300" w:lineRule="atLeast"/>
        <w:ind w:left="641" w:hanging="357"/>
        <w:jc w:val="both"/>
        <w:rPr>
          <w:sz w:val="24"/>
          <w:szCs w:val="24"/>
        </w:rPr>
      </w:pPr>
      <w:r w:rsidRPr="00E02EF9">
        <w:rPr>
          <w:sz w:val="24"/>
          <w:szCs w:val="24"/>
        </w:rPr>
        <w:t>brak ewidencji odpadów,</w:t>
      </w:r>
    </w:p>
    <w:p w14:paraId="229ED3B4" w14:textId="7403AF7C" w:rsidR="000D471D" w:rsidRPr="00E02EF9" w:rsidRDefault="000D471D" w:rsidP="00D34F97">
      <w:pPr>
        <w:pStyle w:val="Akapitzlist"/>
        <w:numPr>
          <w:ilvl w:val="0"/>
          <w:numId w:val="320"/>
        </w:numPr>
        <w:spacing w:after="120" w:line="300" w:lineRule="atLeast"/>
        <w:ind w:left="641" w:hanging="357"/>
        <w:contextualSpacing w:val="0"/>
        <w:jc w:val="both"/>
        <w:rPr>
          <w:sz w:val="24"/>
          <w:szCs w:val="24"/>
        </w:rPr>
      </w:pPr>
      <w:r w:rsidRPr="00E02EF9">
        <w:rPr>
          <w:sz w:val="24"/>
          <w:szCs w:val="24"/>
        </w:rPr>
        <w:t>niesporządzenie rocznego sprawozdania o wytworzonych odpadach i o gospodarowaniu odpadami za rok 2021.</w:t>
      </w:r>
    </w:p>
    <w:p w14:paraId="3A5AD4A8" w14:textId="6306CA0D" w:rsidR="000D471D" w:rsidRPr="00400B09" w:rsidRDefault="000D471D" w:rsidP="00E02EF9">
      <w:pPr>
        <w:spacing w:after="120" w:line="300" w:lineRule="atLeast"/>
        <w:ind w:firstLine="567"/>
        <w:jc w:val="both"/>
        <w:rPr>
          <w:rFonts w:ascii="Times New Roman" w:hAnsi="Times New Roman" w:cs="Times New Roman"/>
          <w:sz w:val="24"/>
          <w:szCs w:val="24"/>
        </w:rPr>
      </w:pPr>
      <w:r w:rsidRPr="00400B09">
        <w:rPr>
          <w:rFonts w:ascii="Times New Roman" w:hAnsi="Times New Roman" w:cs="Times New Roman"/>
          <w:sz w:val="24"/>
          <w:szCs w:val="24"/>
        </w:rPr>
        <w:t>Ponadto</w:t>
      </w:r>
      <w:r w:rsidR="00E02EF9">
        <w:rPr>
          <w:rFonts w:ascii="Times New Roman" w:hAnsi="Times New Roman" w:cs="Times New Roman"/>
          <w:sz w:val="24"/>
          <w:szCs w:val="24"/>
        </w:rPr>
        <w:t>,</w:t>
      </w:r>
      <w:r w:rsidRPr="00400B09">
        <w:rPr>
          <w:rFonts w:ascii="Times New Roman" w:hAnsi="Times New Roman" w:cs="Times New Roman"/>
          <w:sz w:val="24"/>
          <w:szCs w:val="24"/>
        </w:rPr>
        <w:t xml:space="preserve"> w trakcie prowadzonej kontroli Centralne Laboratorium Badawcze</w:t>
      </w:r>
      <w:r w:rsidR="00E02EF9">
        <w:rPr>
          <w:rFonts w:ascii="Times New Roman" w:hAnsi="Times New Roman" w:cs="Times New Roman"/>
          <w:sz w:val="24"/>
          <w:szCs w:val="24"/>
        </w:rPr>
        <w:t xml:space="preserve"> GIOŚ</w:t>
      </w:r>
      <w:r w:rsidRPr="00400B09">
        <w:rPr>
          <w:rFonts w:ascii="Times New Roman" w:hAnsi="Times New Roman" w:cs="Times New Roman"/>
          <w:sz w:val="24"/>
          <w:szCs w:val="24"/>
        </w:rPr>
        <w:t>, Oddział w Opolu dokonało poboru prób gleby w pobliżu magazynowanych w nieszczelnych opakowaniach typu „big-</w:t>
      </w:r>
      <w:proofErr w:type="spellStart"/>
      <w:r w:rsidRPr="00400B09">
        <w:rPr>
          <w:rFonts w:ascii="Times New Roman" w:hAnsi="Times New Roman" w:cs="Times New Roman"/>
          <w:sz w:val="24"/>
          <w:szCs w:val="24"/>
        </w:rPr>
        <w:t>bag</w:t>
      </w:r>
      <w:proofErr w:type="spellEnd"/>
      <w:r w:rsidRPr="00400B09">
        <w:rPr>
          <w:rFonts w:ascii="Times New Roman" w:hAnsi="Times New Roman" w:cs="Times New Roman"/>
          <w:sz w:val="24"/>
          <w:szCs w:val="24"/>
        </w:rPr>
        <w:t>” odpadów o kodzie 05 06 03* (inne smoły). Jedna z trzech pobranych prób gleby wykazała przekroczenie dopuszczalnej zawartości sumy węglowodorów C12-C35, względem Rozporządzenia Ministra Środowiska z dnia 1 września 2016 r. w sprawie sposobu prowadzenia oceny zanieczyszczenia powierzchni ziemi</w:t>
      </w:r>
      <w:r w:rsidR="00E02EF9">
        <w:rPr>
          <w:rStyle w:val="Odwoanieprzypisudolnego"/>
          <w:rFonts w:cs="Times New Roman"/>
          <w:szCs w:val="24"/>
        </w:rPr>
        <w:footnoteReference w:id="66"/>
      </w:r>
      <w:r w:rsidRPr="00400B09">
        <w:rPr>
          <w:rFonts w:ascii="Times New Roman" w:hAnsi="Times New Roman" w:cs="Times New Roman"/>
          <w:sz w:val="24"/>
          <w:szCs w:val="24"/>
        </w:rPr>
        <w:t xml:space="preserve">. Przekroczenie wykazała </w:t>
      </w:r>
      <w:r w:rsidRPr="00400B09">
        <w:rPr>
          <w:rFonts w:ascii="Times New Roman" w:hAnsi="Times New Roman" w:cs="Times New Roman"/>
          <w:sz w:val="24"/>
          <w:szCs w:val="24"/>
        </w:rPr>
        <w:lastRenderedPageBreak/>
        <w:t xml:space="preserve">próba 2 pobrana bezpośrednio spod rozlanego odpadu. Przedstawiciel kontrolowanej jednostki został ukarany mandatem karnym za wykroczenie, o którym mowa w art. 180a ustawy z dnia 14 grudnia 2012 r. o odpadach oraz skierowany został wniosek do sądu o ukaranie z art. 171 ww. ustawy z dnia 14 grudnia 2012 r. o odpadach. </w:t>
      </w:r>
    </w:p>
    <w:p w14:paraId="499D02DA" w14:textId="6F0CA9C4" w:rsidR="000D471D" w:rsidRDefault="000D471D" w:rsidP="00E02EF9">
      <w:pPr>
        <w:spacing w:line="300" w:lineRule="atLeast"/>
        <w:ind w:firstLine="567"/>
        <w:contextualSpacing/>
        <w:jc w:val="both"/>
        <w:rPr>
          <w:rFonts w:ascii="Times New Roman" w:hAnsi="Times New Roman" w:cs="Times New Roman"/>
          <w:sz w:val="24"/>
          <w:szCs w:val="24"/>
        </w:rPr>
      </w:pPr>
      <w:r w:rsidRPr="00400B09">
        <w:rPr>
          <w:rFonts w:ascii="Times New Roman" w:hAnsi="Times New Roman" w:cs="Times New Roman"/>
          <w:sz w:val="24"/>
          <w:szCs w:val="24"/>
        </w:rPr>
        <w:t xml:space="preserve">W ramach działań pokontrolnych Opolski Wojewódzki Inspektor Ochrony Środowiska w Opolu wydał zarządzenie pokontrolne oraz wymierzył administracyjne kary pieniężne na podstawie art. 194 ust. 1 pkt. 2b i art. 194 ust. 1 pkt. 5b ustawy z dnia 14 grudnia 2012 r. </w:t>
      </w:r>
      <w:r w:rsidR="00E02EF9">
        <w:rPr>
          <w:rFonts w:ascii="Times New Roman" w:hAnsi="Times New Roman" w:cs="Times New Roman"/>
          <w:sz w:val="24"/>
          <w:szCs w:val="24"/>
        </w:rPr>
        <w:br/>
      </w:r>
      <w:r w:rsidRPr="00400B09">
        <w:rPr>
          <w:rFonts w:ascii="Times New Roman" w:hAnsi="Times New Roman" w:cs="Times New Roman"/>
          <w:sz w:val="24"/>
          <w:szCs w:val="24"/>
        </w:rPr>
        <w:t xml:space="preserve">o odpadach. Skierowano wystąpienie do Prezydenta Kędzierzyna-Koźla o wszczęcie postępowania w trybie art. 26 ustawy o odpadach w celu niezwłocznego usunięcia odpadów </w:t>
      </w:r>
      <w:r w:rsidR="00E02EF9">
        <w:rPr>
          <w:rFonts w:ascii="Times New Roman" w:hAnsi="Times New Roman" w:cs="Times New Roman"/>
          <w:sz w:val="24"/>
          <w:szCs w:val="24"/>
        </w:rPr>
        <w:br/>
      </w:r>
      <w:r w:rsidRPr="00400B09">
        <w:rPr>
          <w:rFonts w:ascii="Times New Roman" w:hAnsi="Times New Roman" w:cs="Times New Roman"/>
          <w:sz w:val="24"/>
          <w:szCs w:val="24"/>
        </w:rPr>
        <w:t>z miejsca nieprzeznaczonego do ich składowania lub magazynowania. Skierowany również został wniosek do Dyrektora Regionalnej Dyrekcji Ochrony Środowiska w Opolu o podjęcie działań w związku z powstałą szkodą w środowisku, o której mowa w ustawie z dnia 13 kwietnia 2007 r. o zapobieganiu szkodom w środowisku i ich naprawie</w:t>
      </w:r>
      <w:r w:rsidR="007231F1">
        <w:rPr>
          <w:rStyle w:val="Odwoanieprzypisudolnego"/>
          <w:rFonts w:cs="Times New Roman"/>
          <w:szCs w:val="24"/>
        </w:rPr>
        <w:footnoteReference w:id="67"/>
      </w:r>
      <w:r w:rsidRPr="00400B09">
        <w:rPr>
          <w:rFonts w:ascii="Times New Roman" w:hAnsi="Times New Roman" w:cs="Times New Roman"/>
          <w:sz w:val="24"/>
          <w:szCs w:val="24"/>
        </w:rPr>
        <w:t>.</w:t>
      </w:r>
    </w:p>
    <w:p w14:paraId="53D9B412" w14:textId="77777777" w:rsidR="001355BC" w:rsidRPr="00400B09" w:rsidRDefault="001355BC" w:rsidP="00E02EF9">
      <w:pPr>
        <w:spacing w:line="300" w:lineRule="atLeast"/>
        <w:ind w:firstLine="567"/>
        <w:contextualSpacing/>
        <w:jc w:val="both"/>
        <w:rPr>
          <w:rFonts w:ascii="Times New Roman" w:hAnsi="Times New Roman" w:cs="Times New Roman"/>
          <w:sz w:val="24"/>
          <w:szCs w:val="24"/>
        </w:rPr>
      </w:pPr>
    </w:p>
    <w:p w14:paraId="27834C86" w14:textId="2BA56D56" w:rsidR="000D471D" w:rsidRPr="00400B09" w:rsidRDefault="000D471D" w:rsidP="00715A1A">
      <w:pPr>
        <w:spacing w:line="300" w:lineRule="atLeast"/>
        <w:contextualSpacing/>
        <w:jc w:val="center"/>
        <w:rPr>
          <w:rFonts w:ascii="Times New Roman" w:hAnsi="Times New Roman" w:cs="Times New Roman"/>
          <w:sz w:val="24"/>
          <w:szCs w:val="24"/>
        </w:rPr>
      </w:pPr>
      <w:r w:rsidRPr="00400B09">
        <w:rPr>
          <w:rFonts w:ascii="Times New Roman" w:hAnsi="Times New Roman" w:cs="Times New Roman"/>
          <w:noProof/>
          <w:sz w:val="24"/>
          <w:szCs w:val="24"/>
          <w:lang w:eastAsia="pl-PL"/>
        </w:rPr>
        <w:drawing>
          <wp:inline distT="0" distB="0" distL="0" distR="0" wp14:anchorId="0A36DDD6" wp14:editId="746B86EF">
            <wp:extent cx="3471593" cy="2609850"/>
            <wp:effectExtent l="0" t="0" r="0" b="0"/>
            <wp:docPr id="62" name="Obraz 62" descr="Zdjęcie 44. Miejsce magazynowania odpadów o kodzie 05 06 03* (Inne smoł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az 62" descr="Zdjęcie 44. Miejsce magazynowania odpadów o kodzie 05 06 03* (Inne smoły)"/>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503723" cy="2634005"/>
                    </a:xfrm>
                    <a:prstGeom prst="rect">
                      <a:avLst/>
                    </a:prstGeom>
                    <a:noFill/>
                    <a:ln>
                      <a:noFill/>
                    </a:ln>
                  </pic:spPr>
                </pic:pic>
              </a:graphicData>
            </a:graphic>
          </wp:inline>
        </w:drawing>
      </w:r>
    </w:p>
    <w:p w14:paraId="7FA42442" w14:textId="3C93A3E5" w:rsidR="000D471D" w:rsidRPr="007231F1" w:rsidRDefault="007231F1" w:rsidP="000D471D">
      <w:pPr>
        <w:spacing w:line="300" w:lineRule="atLeast"/>
        <w:contextualSpacing/>
        <w:jc w:val="center"/>
        <w:rPr>
          <w:rFonts w:ascii="Times New Roman" w:hAnsi="Times New Roman" w:cs="Times New Roman"/>
          <w:b/>
          <w:i/>
        </w:rPr>
      </w:pPr>
      <w:r w:rsidRPr="007231F1">
        <w:rPr>
          <w:rFonts w:ascii="Times New Roman" w:hAnsi="Times New Roman" w:cs="Times New Roman"/>
          <w:b/>
          <w:i/>
        </w:rPr>
        <w:t xml:space="preserve">Zdjęcie </w:t>
      </w:r>
      <w:r w:rsidR="001A642C">
        <w:rPr>
          <w:rFonts w:ascii="Times New Roman" w:hAnsi="Times New Roman" w:cs="Times New Roman"/>
          <w:b/>
          <w:i/>
        </w:rPr>
        <w:t>4</w:t>
      </w:r>
      <w:r w:rsidR="00F67169">
        <w:rPr>
          <w:rFonts w:ascii="Times New Roman" w:hAnsi="Times New Roman" w:cs="Times New Roman"/>
          <w:b/>
          <w:i/>
        </w:rPr>
        <w:t>4</w:t>
      </w:r>
      <w:r w:rsidRPr="007231F1">
        <w:rPr>
          <w:rFonts w:ascii="Times New Roman" w:hAnsi="Times New Roman" w:cs="Times New Roman"/>
          <w:b/>
          <w:i/>
        </w:rPr>
        <w:t xml:space="preserve">. </w:t>
      </w:r>
      <w:r w:rsidR="000D471D" w:rsidRPr="007231F1">
        <w:rPr>
          <w:rFonts w:ascii="Times New Roman" w:hAnsi="Times New Roman" w:cs="Times New Roman"/>
          <w:b/>
          <w:i/>
        </w:rPr>
        <w:t>Miejsce magazynowania odpadów o kodzie 05 06 03* (Inne smoły)</w:t>
      </w:r>
    </w:p>
    <w:p w14:paraId="2A23ED2B" w14:textId="77777777" w:rsidR="000D471D" w:rsidRPr="00400B09" w:rsidRDefault="000D471D" w:rsidP="000D471D">
      <w:pPr>
        <w:widowControl w:val="0"/>
        <w:autoSpaceDE w:val="0"/>
        <w:autoSpaceDN w:val="0"/>
        <w:adjustRightInd w:val="0"/>
        <w:spacing w:line="300" w:lineRule="atLeast"/>
        <w:contextualSpacing/>
        <w:jc w:val="both"/>
        <w:rPr>
          <w:rFonts w:ascii="Times New Roman" w:hAnsi="Times New Roman" w:cs="Times New Roman"/>
          <w:b/>
          <w:sz w:val="24"/>
          <w:szCs w:val="24"/>
        </w:rPr>
      </w:pPr>
    </w:p>
    <w:p w14:paraId="40F1B456" w14:textId="316B2876" w:rsidR="000D471D" w:rsidRPr="0010593B" w:rsidRDefault="000D471D" w:rsidP="00441148">
      <w:pPr>
        <w:widowControl w:val="0"/>
        <w:autoSpaceDE w:val="0"/>
        <w:autoSpaceDN w:val="0"/>
        <w:adjustRightInd w:val="0"/>
        <w:spacing w:after="60" w:line="300" w:lineRule="atLeast"/>
        <w:jc w:val="both"/>
        <w:rPr>
          <w:rStyle w:val="GenRapStyle0"/>
          <w:b/>
          <w:i/>
          <w:sz w:val="24"/>
          <w:szCs w:val="24"/>
        </w:rPr>
      </w:pPr>
      <w:r w:rsidRPr="0010593B">
        <w:rPr>
          <w:rStyle w:val="GenRapStyle0"/>
          <w:b/>
          <w:i/>
          <w:sz w:val="24"/>
          <w:szCs w:val="24"/>
        </w:rPr>
        <w:t xml:space="preserve">Kontrola interwencyjna w związku z nielegalnym składowaniem odpadów na działce </w:t>
      </w:r>
      <w:r w:rsidR="0010593B">
        <w:rPr>
          <w:rStyle w:val="GenRapStyle0"/>
          <w:b/>
          <w:i/>
          <w:sz w:val="24"/>
          <w:szCs w:val="24"/>
        </w:rPr>
        <w:br/>
      </w:r>
      <w:r w:rsidRPr="0010593B">
        <w:rPr>
          <w:rStyle w:val="GenRapStyle0"/>
          <w:b/>
          <w:i/>
          <w:sz w:val="24"/>
          <w:szCs w:val="24"/>
        </w:rPr>
        <w:t>w Radomiu</w:t>
      </w:r>
      <w:r w:rsidR="00441148">
        <w:rPr>
          <w:rStyle w:val="GenRapStyle0"/>
          <w:b/>
          <w:i/>
          <w:sz w:val="24"/>
          <w:szCs w:val="24"/>
        </w:rPr>
        <w:t>, woj. mazowieckie</w:t>
      </w:r>
    </w:p>
    <w:p w14:paraId="72FE3440" w14:textId="7D362268" w:rsidR="00441148" w:rsidRDefault="000D471D" w:rsidP="001355BC">
      <w:pPr>
        <w:pStyle w:val="Tekstpodstawowy"/>
        <w:spacing w:after="0" w:line="300" w:lineRule="atLeast"/>
        <w:ind w:firstLine="567"/>
        <w:jc w:val="both"/>
      </w:pPr>
      <w:r w:rsidRPr="0010593B">
        <w:t>W dniu  25.04.2022</w:t>
      </w:r>
      <w:r w:rsidR="00441148">
        <w:rPr>
          <w:lang w:val="pl-PL"/>
        </w:rPr>
        <w:t xml:space="preserve"> </w:t>
      </w:r>
      <w:r w:rsidRPr="0010593B">
        <w:t xml:space="preserve">r. przeprowadzono oględziny terenu </w:t>
      </w:r>
      <w:r w:rsidR="0010593B">
        <w:rPr>
          <w:lang w:val="pl-PL"/>
        </w:rPr>
        <w:t xml:space="preserve">podmiotu posiadającego </w:t>
      </w:r>
      <w:r w:rsidRPr="0010593B">
        <w:rPr>
          <w:rStyle w:val="GenRapStyle0"/>
          <w:sz w:val="24"/>
        </w:rPr>
        <w:t>siedzib</w:t>
      </w:r>
      <w:r w:rsidR="0010593B">
        <w:rPr>
          <w:rStyle w:val="GenRapStyle0"/>
          <w:sz w:val="24"/>
          <w:lang w:val="pl-PL"/>
        </w:rPr>
        <w:t>ę</w:t>
      </w:r>
      <w:r w:rsidRPr="0010593B">
        <w:rPr>
          <w:rStyle w:val="GenRapStyle0"/>
          <w:sz w:val="24"/>
        </w:rPr>
        <w:t xml:space="preserve"> w Warszawie przy Al. Niepodległości</w:t>
      </w:r>
      <w:r w:rsidRPr="0010593B">
        <w:t>. Oględziny przeprowadzono wspólnie</w:t>
      </w:r>
      <w:r w:rsidR="0010593B">
        <w:rPr>
          <w:lang w:val="pl-PL"/>
        </w:rPr>
        <w:t xml:space="preserve"> </w:t>
      </w:r>
      <w:r w:rsidR="00441148">
        <w:rPr>
          <w:lang w:val="pl-PL"/>
        </w:rPr>
        <w:br/>
      </w:r>
      <w:r w:rsidR="0010593B">
        <w:rPr>
          <w:lang w:val="pl-PL"/>
        </w:rPr>
        <w:t xml:space="preserve">z </w:t>
      </w:r>
      <w:r w:rsidRPr="0010593B">
        <w:t>przedstawicielami KWP z siedzibą w Radomiu Wydziałem dw. z Przestępczością</w:t>
      </w:r>
      <w:r w:rsidR="0010593B">
        <w:rPr>
          <w:lang w:val="pl-PL"/>
        </w:rPr>
        <w:t xml:space="preserve"> </w:t>
      </w:r>
      <w:r w:rsidRPr="0010593B">
        <w:t>Gospodarczą oraz przedstawicielami II Urzędu Skarbowego w Radomiu.</w:t>
      </w:r>
    </w:p>
    <w:p w14:paraId="0275250B" w14:textId="20D2F23C" w:rsidR="000D471D" w:rsidRPr="0010593B" w:rsidRDefault="000D471D" w:rsidP="001355BC">
      <w:pPr>
        <w:pStyle w:val="Tekstpodstawowy"/>
        <w:spacing w:line="300" w:lineRule="atLeast"/>
        <w:ind w:firstLine="567"/>
        <w:jc w:val="both"/>
      </w:pPr>
      <w:r w:rsidRPr="0010593B">
        <w:t>W Radomiu na terenie prowadzenia działalności przez kontrolowany podmiot znajdowały się odpady tworzyw sztucznych i folii (rozdrobnione i nierozdrobnione)</w:t>
      </w:r>
      <w:r w:rsidR="00441148">
        <w:rPr>
          <w:lang w:val="pl-PL"/>
        </w:rPr>
        <w:t>,</w:t>
      </w:r>
      <w:r w:rsidRPr="0010593B">
        <w:t xml:space="preserve"> zmagazynowane na placu magazynowym i hali magazynowo - warsztatowej oraz opakowania po substancjach chemicznych, mauzery i beczki 200L z substancją niewiadomego pochodzenia zgromadzone na placu na ażurowej kostce betonowej.</w:t>
      </w:r>
    </w:p>
    <w:p w14:paraId="631AD675" w14:textId="77777777" w:rsidR="000D471D" w:rsidRPr="0010593B" w:rsidRDefault="000D471D" w:rsidP="0010593B">
      <w:pPr>
        <w:pStyle w:val="Tekstpodstawowy"/>
        <w:spacing w:line="300" w:lineRule="atLeast"/>
        <w:contextualSpacing/>
        <w:jc w:val="both"/>
        <w:rPr>
          <w:rStyle w:val="GenRapStyle0"/>
          <w:sz w:val="24"/>
        </w:rPr>
      </w:pPr>
      <w:r w:rsidRPr="0010593B">
        <w:rPr>
          <w:rStyle w:val="GenRapStyle0"/>
          <w:sz w:val="24"/>
        </w:rPr>
        <w:t>Podczas oględzin ustalono:</w:t>
      </w:r>
    </w:p>
    <w:p w14:paraId="17A240F1" w14:textId="77777777" w:rsidR="000D471D" w:rsidRPr="0010593B" w:rsidRDefault="000D471D" w:rsidP="001355BC">
      <w:pPr>
        <w:pStyle w:val="Tekstpodstawowy"/>
        <w:spacing w:after="0" w:line="300" w:lineRule="atLeast"/>
        <w:jc w:val="both"/>
      </w:pPr>
      <w:r w:rsidRPr="0010593B">
        <w:t xml:space="preserve">1. Odpady zmagazynowane na zewnątrz hali, we wschodniej stronie działki na ażurowej płycie, tj.: </w:t>
      </w:r>
    </w:p>
    <w:p w14:paraId="46A22063" w14:textId="77777777" w:rsidR="000D471D" w:rsidRPr="00400B09" w:rsidRDefault="000D471D" w:rsidP="00D34F97">
      <w:pPr>
        <w:pStyle w:val="Akapitzlist"/>
        <w:numPr>
          <w:ilvl w:val="0"/>
          <w:numId w:val="321"/>
        </w:numPr>
        <w:spacing w:line="300" w:lineRule="atLeast"/>
        <w:ind w:left="641" w:hanging="357"/>
        <w:jc w:val="both"/>
        <w:rPr>
          <w:sz w:val="24"/>
          <w:szCs w:val="24"/>
        </w:rPr>
      </w:pPr>
      <w:r w:rsidRPr="00400B09">
        <w:rPr>
          <w:sz w:val="24"/>
          <w:szCs w:val="24"/>
        </w:rPr>
        <w:lastRenderedPageBreak/>
        <w:t>rozdrobnione odpady folii i tworzyw o kodzie 07 02 13 - odpady z tworzyw sztucznych znajdujące się w 14 big-</w:t>
      </w:r>
      <w:proofErr w:type="spellStart"/>
      <w:r w:rsidRPr="00400B09">
        <w:rPr>
          <w:sz w:val="24"/>
          <w:szCs w:val="24"/>
        </w:rPr>
        <w:t>bagach</w:t>
      </w:r>
      <w:proofErr w:type="spellEnd"/>
      <w:r w:rsidRPr="00400B09">
        <w:rPr>
          <w:sz w:val="24"/>
          <w:szCs w:val="24"/>
        </w:rPr>
        <w:t xml:space="preserve">   o pojemności 1 m</w:t>
      </w:r>
      <w:r w:rsidRPr="00400B09">
        <w:rPr>
          <w:sz w:val="24"/>
          <w:szCs w:val="24"/>
          <w:vertAlign w:val="superscript"/>
        </w:rPr>
        <w:t>3</w:t>
      </w:r>
      <w:r w:rsidRPr="00400B09">
        <w:rPr>
          <w:sz w:val="24"/>
          <w:szCs w:val="24"/>
        </w:rPr>
        <w:t xml:space="preserve"> (w tym jeden wypełniony zlepami powstałymi z folii  i tworzyw),</w:t>
      </w:r>
    </w:p>
    <w:p w14:paraId="54C150B4" w14:textId="77777777" w:rsidR="000D471D" w:rsidRPr="00400B09" w:rsidRDefault="000D471D" w:rsidP="00D34F97">
      <w:pPr>
        <w:pStyle w:val="Akapitzlist"/>
        <w:numPr>
          <w:ilvl w:val="0"/>
          <w:numId w:val="321"/>
        </w:numPr>
        <w:spacing w:line="300" w:lineRule="atLeast"/>
        <w:ind w:left="641" w:hanging="357"/>
        <w:jc w:val="both"/>
        <w:rPr>
          <w:sz w:val="24"/>
          <w:szCs w:val="24"/>
        </w:rPr>
      </w:pPr>
      <w:r w:rsidRPr="00400B09">
        <w:rPr>
          <w:sz w:val="24"/>
          <w:szCs w:val="24"/>
        </w:rPr>
        <w:t>84m</w:t>
      </w:r>
      <w:r w:rsidRPr="00400B09">
        <w:rPr>
          <w:sz w:val="24"/>
          <w:szCs w:val="24"/>
          <w:vertAlign w:val="superscript"/>
        </w:rPr>
        <w:t>3</w:t>
      </w:r>
      <w:r w:rsidRPr="00400B09">
        <w:rPr>
          <w:sz w:val="24"/>
          <w:szCs w:val="24"/>
        </w:rPr>
        <w:t xml:space="preserve"> (6m x 7mx 2m) pryzma nierozdrobnionych odpadów z tworzyw sztucznych i folii o kodzie 07 02 13 - odpady z tworzyw sztucznych,</w:t>
      </w:r>
    </w:p>
    <w:p w14:paraId="1741E1F5" w14:textId="77777777" w:rsidR="000D471D" w:rsidRPr="00400B09" w:rsidRDefault="000D471D" w:rsidP="00D34F97">
      <w:pPr>
        <w:pStyle w:val="Akapitzlist"/>
        <w:numPr>
          <w:ilvl w:val="0"/>
          <w:numId w:val="321"/>
        </w:numPr>
        <w:spacing w:line="300" w:lineRule="atLeast"/>
        <w:ind w:left="641" w:hanging="357"/>
        <w:jc w:val="both"/>
        <w:rPr>
          <w:sz w:val="24"/>
          <w:szCs w:val="24"/>
        </w:rPr>
      </w:pPr>
      <w:r w:rsidRPr="00400B09">
        <w:rPr>
          <w:sz w:val="24"/>
          <w:szCs w:val="24"/>
        </w:rPr>
        <w:t>78 szt. beczek metalowych 200 L z nieznaną substancją o drażniącym zapachu (napis na beczkach ELASTOSIL 8000N WEISS S1),</w:t>
      </w:r>
    </w:p>
    <w:p w14:paraId="5586424E" w14:textId="77777777" w:rsidR="000D471D" w:rsidRPr="00400B09" w:rsidRDefault="000D471D" w:rsidP="00D34F97">
      <w:pPr>
        <w:pStyle w:val="Akapitzlist"/>
        <w:numPr>
          <w:ilvl w:val="0"/>
          <w:numId w:val="322"/>
        </w:numPr>
        <w:spacing w:line="300" w:lineRule="atLeast"/>
        <w:ind w:left="641" w:hanging="357"/>
        <w:jc w:val="both"/>
        <w:rPr>
          <w:sz w:val="24"/>
          <w:szCs w:val="24"/>
        </w:rPr>
      </w:pPr>
      <w:r w:rsidRPr="00400B09">
        <w:rPr>
          <w:sz w:val="24"/>
          <w:szCs w:val="24"/>
        </w:rPr>
        <w:t>2szt.  beczek metalowych pustych o kodzie 15 01 04 – opakowania z metali,</w:t>
      </w:r>
    </w:p>
    <w:p w14:paraId="1AAA7D0F" w14:textId="77777777" w:rsidR="000D471D" w:rsidRPr="00400B09" w:rsidRDefault="000D471D" w:rsidP="00D34F97">
      <w:pPr>
        <w:pStyle w:val="Akapitzlist"/>
        <w:numPr>
          <w:ilvl w:val="0"/>
          <w:numId w:val="322"/>
        </w:numPr>
        <w:spacing w:line="300" w:lineRule="atLeast"/>
        <w:ind w:left="641" w:hanging="357"/>
        <w:jc w:val="both"/>
        <w:rPr>
          <w:sz w:val="24"/>
          <w:szCs w:val="24"/>
        </w:rPr>
      </w:pPr>
      <w:r w:rsidRPr="00400B09">
        <w:rPr>
          <w:sz w:val="24"/>
          <w:szCs w:val="24"/>
        </w:rPr>
        <w:t>8szt. mauzerów (7szt. – pustych o kodzie 15 01 02 – opakowania z tworzyw sztucznych i 1 szt. wypełniona rozdrobnioną folią i tworzywami  sztucznymi o kodzie 07 02 13 - odpady z tworzyw sztucznych).</w:t>
      </w:r>
    </w:p>
    <w:p w14:paraId="3BBD4198" w14:textId="58727105" w:rsidR="000D471D" w:rsidRPr="00400B09" w:rsidRDefault="000D471D" w:rsidP="00441148">
      <w:pPr>
        <w:spacing w:after="0" w:line="300" w:lineRule="atLeast"/>
        <w:jc w:val="both"/>
        <w:rPr>
          <w:rFonts w:ascii="Times New Roman" w:hAnsi="Times New Roman" w:cs="Times New Roman"/>
          <w:sz w:val="24"/>
          <w:szCs w:val="24"/>
        </w:rPr>
      </w:pPr>
      <w:r w:rsidRPr="00400B09">
        <w:rPr>
          <w:rFonts w:ascii="Times New Roman" w:hAnsi="Times New Roman" w:cs="Times New Roman"/>
          <w:sz w:val="24"/>
          <w:szCs w:val="24"/>
        </w:rPr>
        <w:t xml:space="preserve">2. Odpady zmagazynowane wewnątrz hali </w:t>
      </w:r>
      <w:proofErr w:type="spellStart"/>
      <w:r w:rsidRPr="00400B09">
        <w:rPr>
          <w:rFonts w:ascii="Times New Roman" w:hAnsi="Times New Roman" w:cs="Times New Roman"/>
          <w:sz w:val="24"/>
          <w:szCs w:val="24"/>
        </w:rPr>
        <w:t>magazynowo-warsztatowej</w:t>
      </w:r>
      <w:proofErr w:type="spellEnd"/>
      <w:r w:rsidRPr="00400B09">
        <w:rPr>
          <w:rFonts w:ascii="Times New Roman" w:hAnsi="Times New Roman" w:cs="Times New Roman"/>
          <w:sz w:val="24"/>
          <w:szCs w:val="24"/>
        </w:rPr>
        <w:t xml:space="preserve"> na utwardzonym </w:t>
      </w:r>
      <w:r w:rsidR="00441148">
        <w:rPr>
          <w:rFonts w:ascii="Times New Roman" w:hAnsi="Times New Roman" w:cs="Times New Roman"/>
          <w:sz w:val="24"/>
          <w:szCs w:val="24"/>
        </w:rPr>
        <w:t xml:space="preserve">betonowym </w:t>
      </w:r>
      <w:r w:rsidRPr="00400B09">
        <w:rPr>
          <w:rFonts w:ascii="Times New Roman" w:hAnsi="Times New Roman" w:cs="Times New Roman"/>
          <w:sz w:val="24"/>
          <w:szCs w:val="24"/>
        </w:rPr>
        <w:t>podłożu, tj.:</w:t>
      </w:r>
    </w:p>
    <w:p w14:paraId="668A3537" w14:textId="77777777" w:rsidR="000D471D" w:rsidRPr="00400B09" w:rsidRDefault="000D471D" w:rsidP="00D34F97">
      <w:pPr>
        <w:pStyle w:val="Akapitzlist"/>
        <w:numPr>
          <w:ilvl w:val="0"/>
          <w:numId w:val="323"/>
        </w:numPr>
        <w:spacing w:line="300" w:lineRule="atLeast"/>
        <w:ind w:left="641" w:hanging="357"/>
        <w:contextualSpacing w:val="0"/>
        <w:jc w:val="both"/>
        <w:rPr>
          <w:sz w:val="24"/>
          <w:szCs w:val="24"/>
        </w:rPr>
      </w:pPr>
      <w:r w:rsidRPr="00400B09">
        <w:rPr>
          <w:sz w:val="24"/>
          <w:szCs w:val="24"/>
        </w:rPr>
        <w:t>68 m</w:t>
      </w:r>
      <w:r w:rsidRPr="00400B09">
        <w:rPr>
          <w:sz w:val="24"/>
          <w:szCs w:val="24"/>
          <w:vertAlign w:val="superscript"/>
        </w:rPr>
        <w:t xml:space="preserve">3 </w:t>
      </w:r>
      <w:r w:rsidRPr="00400B09">
        <w:rPr>
          <w:sz w:val="24"/>
          <w:szCs w:val="24"/>
        </w:rPr>
        <w:t>(17m x 2m x 2m) pryzma rozdrobnionych i nierozdrobnionych odpadów folii i tworzyw sztucznych (w tym 8,5m x 2m x 2m nierozdrobnionych odpadów, łącznie 34 m</w:t>
      </w:r>
      <w:r w:rsidRPr="00400B09">
        <w:rPr>
          <w:sz w:val="24"/>
          <w:szCs w:val="24"/>
          <w:vertAlign w:val="superscript"/>
        </w:rPr>
        <w:t>3</w:t>
      </w:r>
      <w:r w:rsidRPr="00400B09">
        <w:rPr>
          <w:sz w:val="24"/>
          <w:szCs w:val="24"/>
        </w:rPr>
        <w:t xml:space="preserve"> o kodzie 07 02 13- odpady z tworzyw sztucznych),</w:t>
      </w:r>
    </w:p>
    <w:p w14:paraId="5F286661" w14:textId="77777777" w:rsidR="000D471D" w:rsidRPr="00400B09" w:rsidRDefault="000D471D" w:rsidP="00D34F97">
      <w:pPr>
        <w:pStyle w:val="Akapitzlist"/>
        <w:numPr>
          <w:ilvl w:val="0"/>
          <w:numId w:val="323"/>
        </w:numPr>
        <w:spacing w:line="300" w:lineRule="atLeast"/>
        <w:ind w:left="641" w:hanging="357"/>
        <w:contextualSpacing w:val="0"/>
        <w:jc w:val="both"/>
        <w:rPr>
          <w:sz w:val="24"/>
          <w:szCs w:val="24"/>
        </w:rPr>
      </w:pPr>
      <w:r w:rsidRPr="00400B09">
        <w:rPr>
          <w:sz w:val="24"/>
          <w:szCs w:val="24"/>
        </w:rPr>
        <w:t>1 szt. big-</w:t>
      </w:r>
      <w:proofErr w:type="spellStart"/>
      <w:r w:rsidRPr="00400B09">
        <w:rPr>
          <w:sz w:val="24"/>
          <w:szCs w:val="24"/>
        </w:rPr>
        <w:t>bag</w:t>
      </w:r>
      <w:proofErr w:type="spellEnd"/>
      <w:r w:rsidRPr="00400B09">
        <w:rPr>
          <w:sz w:val="24"/>
          <w:szCs w:val="24"/>
        </w:rPr>
        <w:t xml:space="preserve"> o poj. 1m</w:t>
      </w:r>
      <w:r w:rsidRPr="00400B09">
        <w:rPr>
          <w:sz w:val="24"/>
          <w:szCs w:val="24"/>
          <w:vertAlign w:val="superscript"/>
        </w:rPr>
        <w:t>3</w:t>
      </w:r>
      <w:r w:rsidRPr="00400B09">
        <w:rPr>
          <w:sz w:val="24"/>
          <w:szCs w:val="24"/>
        </w:rPr>
        <w:t xml:space="preserve"> z rozdrobnionym odpadem folii i tworzyw o kodzie 07 02 13- odpady z tworzyw sztucznych.</w:t>
      </w:r>
    </w:p>
    <w:p w14:paraId="2BEC8A8E" w14:textId="03D90C08" w:rsidR="000D471D" w:rsidRPr="00400B09" w:rsidRDefault="000D471D" w:rsidP="00441148">
      <w:pPr>
        <w:spacing w:after="0" w:line="300" w:lineRule="atLeast"/>
        <w:jc w:val="both"/>
        <w:rPr>
          <w:rFonts w:ascii="Times New Roman" w:hAnsi="Times New Roman" w:cs="Times New Roman"/>
          <w:sz w:val="24"/>
          <w:szCs w:val="24"/>
        </w:rPr>
      </w:pPr>
      <w:r w:rsidRPr="00400B09">
        <w:rPr>
          <w:rFonts w:ascii="Times New Roman" w:hAnsi="Times New Roman" w:cs="Times New Roman"/>
          <w:sz w:val="24"/>
          <w:szCs w:val="24"/>
        </w:rPr>
        <w:t>3. Odpady zgromadzone wewnątrz hali  na utwardzonym podłożu w pomieszczeniu garażowym o </w:t>
      </w:r>
      <w:proofErr w:type="spellStart"/>
      <w:r w:rsidRPr="00400B09">
        <w:rPr>
          <w:rFonts w:ascii="Times New Roman" w:hAnsi="Times New Roman" w:cs="Times New Roman"/>
          <w:sz w:val="24"/>
          <w:szCs w:val="24"/>
        </w:rPr>
        <w:t>rozm</w:t>
      </w:r>
      <w:proofErr w:type="spellEnd"/>
      <w:r w:rsidRPr="00400B09">
        <w:rPr>
          <w:rFonts w:ascii="Times New Roman" w:hAnsi="Times New Roman" w:cs="Times New Roman"/>
          <w:sz w:val="24"/>
          <w:szCs w:val="24"/>
        </w:rPr>
        <w:t xml:space="preserve">. 5m x 5,5m, </w:t>
      </w:r>
      <w:proofErr w:type="spellStart"/>
      <w:r w:rsidRPr="00400B09">
        <w:rPr>
          <w:rFonts w:ascii="Times New Roman" w:hAnsi="Times New Roman" w:cs="Times New Roman"/>
          <w:sz w:val="24"/>
          <w:szCs w:val="24"/>
        </w:rPr>
        <w:t>t.j</w:t>
      </w:r>
      <w:proofErr w:type="spellEnd"/>
      <w:r w:rsidRPr="00400B09">
        <w:rPr>
          <w:rFonts w:ascii="Times New Roman" w:hAnsi="Times New Roman" w:cs="Times New Roman"/>
          <w:sz w:val="24"/>
          <w:szCs w:val="24"/>
        </w:rPr>
        <w:t>:</w:t>
      </w:r>
      <w:r w:rsidR="00441148">
        <w:rPr>
          <w:rFonts w:ascii="Times New Roman" w:hAnsi="Times New Roman" w:cs="Times New Roman"/>
          <w:sz w:val="24"/>
          <w:szCs w:val="24"/>
        </w:rPr>
        <w:t xml:space="preserve"> </w:t>
      </w:r>
    </w:p>
    <w:p w14:paraId="2C8C31F8" w14:textId="77777777" w:rsidR="000D471D" w:rsidRPr="00400B09" w:rsidRDefault="000D471D" w:rsidP="00D34F97">
      <w:pPr>
        <w:pStyle w:val="Akapitzlist"/>
        <w:numPr>
          <w:ilvl w:val="0"/>
          <w:numId w:val="324"/>
        </w:numPr>
        <w:spacing w:line="300" w:lineRule="atLeast"/>
        <w:ind w:left="641" w:hanging="357"/>
        <w:jc w:val="both"/>
        <w:rPr>
          <w:sz w:val="24"/>
          <w:szCs w:val="24"/>
        </w:rPr>
      </w:pPr>
      <w:r w:rsidRPr="00400B09">
        <w:rPr>
          <w:sz w:val="24"/>
          <w:szCs w:val="24"/>
        </w:rPr>
        <w:t>puste pojemniki z tworzywa sztucznego  po nieznanych substancjach   (4 opak. 20L, 2 opak. 30L, 6 opak. 5L o kodzie 15 01 10* -</w:t>
      </w:r>
      <w:r w:rsidRPr="00400B09">
        <w:rPr>
          <w:rStyle w:val="GenRapStyle0"/>
          <w:sz w:val="24"/>
          <w:szCs w:val="24"/>
        </w:rPr>
        <w:t xml:space="preserve"> </w:t>
      </w:r>
      <w:r w:rsidRPr="00400B09">
        <w:rPr>
          <w:rStyle w:val="hgkelc"/>
          <w:sz w:val="24"/>
          <w:szCs w:val="24"/>
        </w:rPr>
        <w:t>opakowania zawierające pozostałości substancji niebezpiecznych lub nimi zanieczyszczone</w:t>
      </w:r>
      <w:r w:rsidRPr="00400B09">
        <w:rPr>
          <w:sz w:val="24"/>
          <w:szCs w:val="24"/>
        </w:rPr>
        <w:t>),</w:t>
      </w:r>
    </w:p>
    <w:p w14:paraId="1965BC68" w14:textId="77777777" w:rsidR="000D471D" w:rsidRPr="00400B09" w:rsidRDefault="000D471D" w:rsidP="00D34F97">
      <w:pPr>
        <w:pStyle w:val="Akapitzlist"/>
        <w:numPr>
          <w:ilvl w:val="0"/>
          <w:numId w:val="324"/>
        </w:numPr>
        <w:spacing w:line="300" w:lineRule="atLeast"/>
        <w:ind w:left="641" w:hanging="357"/>
        <w:jc w:val="both"/>
        <w:rPr>
          <w:sz w:val="24"/>
          <w:szCs w:val="24"/>
        </w:rPr>
      </w:pPr>
      <w:r w:rsidRPr="00400B09">
        <w:rPr>
          <w:sz w:val="24"/>
          <w:szCs w:val="24"/>
        </w:rPr>
        <w:t>pojemniki z napisem</w:t>
      </w:r>
      <w:r w:rsidRPr="00400B09">
        <w:rPr>
          <w:b/>
          <w:sz w:val="24"/>
          <w:szCs w:val="24"/>
        </w:rPr>
        <w:t xml:space="preserve"> </w:t>
      </w:r>
      <w:r w:rsidRPr="00400B09">
        <w:rPr>
          <w:sz w:val="24"/>
          <w:szCs w:val="24"/>
          <w:u w:val="single"/>
        </w:rPr>
        <w:t>esencja octowa 80%</w:t>
      </w:r>
      <w:r w:rsidRPr="00400B09">
        <w:rPr>
          <w:sz w:val="24"/>
          <w:szCs w:val="24"/>
        </w:rPr>
        <w:t xml:space="preserve"> (3 opak. 30L pełne, 1 opak. 30L wypełnione w ¼, 1 opak. 30L wypełnione w  1/5),</w:t>
      </w:r>
    </w:p>
    <w:p w14:paraId="6EF995EE" w14:textId="77777777" w:rsidR="000D471D" w:rsidRPr="00400B09" w:rsidRDefault="000D471D" w:rsidP="00D34F97">
      <w:pPr>
        <w:pStyle w:val="Akapitzlist"/>
        <w:numPr>
          <w:ilvl w:val="0"/>
          <w:numId w:val="324"/>
        </w:numPr>
        <w:spacing w:line="300" w:lineRule="atLeast"/>
        <w:ind w:left="641" w:hanging="357"/>
        <w:jc w:val="both"/>
        <w:rPr>
          <w:sz w:val="24"/>
          <w:szCs w:val="24"/>
        </w:rPr>
      </w:pPr>
      <w:r w:rsidRPr="00400B09">
        <w:rPr>
          <w:sz w:val="24"/>
          <w:szCs w:val="24"/>
        </w:rPr>
        <w:t xml:space="preserve">pojemnik 5L  z napisem </w:t>
      </w:r>
      <w:r w:rsidRPr="00400B09">
        <w:rPr>
          <w:sz w:val="24"/>
          <w:szCs w:val="24"/>
          <w:u w:val="single"/>
        </w:rPr>
        <w:t>octan etylu</w:t>
      </w:r>
      <w:r w:rsidRPr="00400B09">
        <w:rPr>
          <w:sz w:val="24"/>
          <w:szCs w:val="24"/>
        </w:rPr>
        <w:t xml:space="preserve"> – wypełniony w niewielkiej  części pojemnika,</w:t>
      </w:r>
    </w:p>
    <w:p w14:paraId="77F9B57B" w14:textId="77777777" w:rsidR="000D471D" w:rsidRPr="00400B09" w:rsidRDefault="000D471D" w:rsidP="00D34F97">
      <w:pPr>
        <w:pStyle w:val="Akapitzlist"/>
        <w:numPr>
          <w:ilvl w:val="0"/>
          <w:numId w:val="324"/>
        </w:numPr>
        <w:spacing w:line="300" w:lineRule="atLeast"/>
        <w:ind w:left="641" w:hanging="357"/>
        <w:jc w:val="both"/>
        <w:rPr>
          <w:sz w:val="24"/>
          <w:szCs w:val="24"/>
        </w:rPr>
      </w:pPr>
      <w:r w:rsidRPr="00400B09">
        <w:rPr>
          <w:sz w:val="24"/>
          <w:szCs w:val="24"/>
        </w:rPr>
        <w:t xml:space="preserve">pojemniki 5L z napisem </w:t>
      </w:r>
      <w:r w:rsidRPr="00400B09">
        <w:rPr>
          <w:sz w:val="24"/>
          <w:szCs w:val="24"/>
          <w:u w:val="single"/>
        </w:rPr>
        <w:t xml:space="preserve">AQUA TECH </w:t>
      </w:r>
      <w:r w:rsidRPr="00400B09">
        <w:rPr>
          <w:sz w:val="24"/>
          <w:szCs w:val="24"/>
        </w:rPr>
        <w:t>(2 szt. pełne, 1 szt. wypełnione w ¼ pojemnika),</w:t>
      </w:r>
    </w:p>
    <w:p w14:paraId="41B430C9" w14:textId="77777777" w:rsidR="000D471D" w:rsidRPr="00400B09" w:rsidRDefault="000D471D" w:rsidP="00D34F97">
      <w:pPr>
        <w:pStyle w:val="Akapitzlist"/>
        <w:numPr>
          <w:ilvl w:val="0"/>
          <w:numId w:val="324"/>
        </w:numPr>
        <w:spacing w:line="300" w:lineRule="atLeast"/>
        <w:ind w:left="641" w:hanging="357"/>
        <w:jc w:val="both"/>
        <w:rPr>
          <w:sz w:val="24"/>
          <w:szCs w:val="24"/>
        </w:rPr>
      </w:pPr>
      <w:r w:rsidRPr="00400B09">
        <w:rPr>
          <w:sz w:val="24"/>
          <w:szCs w:val="24"/>
        </w:rPr>
        <w:t>pojemniki bez oznaczeń ( 20L – wypełniony w części, 10L pełne, 5L wypełniony w 1/5),</w:t>
      </w:r>
    </w:p>
    <w:p w14:paraId="38C067A9" w14:textId="77777777" w:rsidR="000D471D" w:rsidRPr="00400B09" w:rsidRDefault="000D471D" w:rsidP="00D34F97">
      <w:pPr>
        <w:pStyle w:val="Akapitzlist"/>
        <w:numPr>
          <w:ilvl w:val="0"/>
          <w:numId w:val="324"/>
        </w:numPr>
        <w:spacing w:line="300" w:lineRule="atLeast"/>
        <w:ind w:left="641" w:hanging="357"/>
        <w:jc w:val="both"/>
        <w:rPr>
          <w:sz w:val="24"/>
          <w:szCs w:val="24"/>
        </w:rPr>
      </w:pPr>
      <w:r w:rsidRPr="00400B09">
        <w:rPr>
          <w:sz w:val="24"/>
          <w:szCs w:val="24"/>
        </w:rPr>
        <w:t xml:space="preserve">pojemnik 5L z napisem </w:t>
      </w:r>
      <w:r w:rsidRPr="00400B09">
        <w:rPr>
          <w:sz w:val="24"/>
          <w:szCs w:val="24"/>
          <w:u w:val="single"/>
        </w:rPr>
        <w:t xml:space="preserve">IPA </w:t>
      </w:r>
      <w:r w:rsidRPr="00400B09">
        <w:rPr>
          <w:sz w:val="24"/>
          <w:szCs w:val="24"/>
        </w:rPr>
        <w:t xml:space="preserve">( 1 opak. pełne, drugie opakowanie wypełnione na dnie pojemnika), </w:t>
      </w:r>
    </w:p>
    <w:p w14:paraId="485593AA" w14:textId="77777777" w:rsidR="000D471D" w:rsidRPr="00400B09" w:rsidRDefault="000D471D" w:rsidP="00D34F97">
      <w:pPr>
        <w:pStyle w:val="Akapitzlist"/>
        <w:numPr>
          <w:ilvl w:val="0"/>
          <w:numId w:val="324"/>
        </w:numPr>
        <w:spacing w:line="300" w:lineRule="atLeast"/>
        <w:ind w:left="641" w:hanging="357"/>
        <w:jc w:val="both"/>
        <w:rPr>
          <w:sz w:val="24"/>
          <w:szCs w:val="24"/>
          <w:u w:val="single"/>
        </w:rPr>
      </w:pPr>
      <w:r w:rsidRPr="00400B09">
        <w:rPr>
          <w:sz w:val="24"/>
          <w:szCs w:val="24"/>
        </w:rPr>
        <w:t>pojemnik 5L z napisem</w:t>
      </w:r>
      <w:r w:rsidRPr="00400B09">
        <w:rPr>
          <w:sz w:val="24"/>
          <w:szCs w:val="24"/>
          <w:u w:val="single"/>
        </w:rPr>
        <w:t xml:space="preserve"> ACETON </w:t>
      </w:r>
      <w:r w:rsidRPr="00400B09">
        <w:rPr>
          <w:sz w:val="24"/>
          <w:szCs w:val="24"/>
        </w:rPr>
        <w:t>– 1 opakowanie pełne,</w:t>
      </w:r>
    </w:p>
    <w:p w14:paraId="160EAF5C" w14:textId="77777777" w:rsidR="000D471D" w:rsidRPr="00400B09" w:rsidRDefault="000D471D" w:rsidP="00D34F97">
      <w:pPr>
        <w:pStyle w:val="Akapitzlist"/>
        <w:numPr>
          <w:ilvl w:val="0"/>
          <w:numId w:val="324"/>
        </w:numPr>
        <w:spacing w:line="300" w:lineRule="atLeast"/>
        <w:ind w:left="641" w:hanging="357"/>
        <w:jc w:val="both"/>
        <w:rPr>
          <w:sz w:val="24"/>
          <w:szCs w:val="24"/>
        </w:rPr>
      </w:pPr>
      <w:r w:rsidRPr="00400B09">
        <w:rPr>
          <w:sz w:val="24"/>
          <w:szCs w:val="24"/>
        </w:rPr>
        <w:t xml:space="preserve">pojemniki 5L z napisem </w:t>
      </w:r>
      <w:r w:rsidRPr="00400B09">
        <w:rPr>
          <w:sz w:val="24"/>
          <w:szCs w:val="24"/>
          <w:u w:val="single"/>
        </w:rPr>
        <w:t>HYDROL L-HL-4G</w:t>
      </w:r>
      <w:r w:rsidRPr="00400B09">
        <w:rPr>
          <w:sz w:val="24"/>
          <w:szCs w:val="24"/>
        </w:rPr>
        <w:t xml:space="preserve">  - 1 opakowanie pełne, drugie wypełnione w ½ pojemnika,</w:t>
      </w:r>
    </w:p>
    <w:p w14:paraId="4C6A24A7" w14:textId="77777777" w:rsidR="000D471D" w:rsidRPr="00400B09" w:rsidRDefault="000D471D" w:rsidP="00D34F97">
      <w:pPr>
        <w:pStyle w:val="Akapitzlist"/>
        <w:numPr>
          <w:ilvl w:val="0"/>
          <w:numId w:val="324"/>
        </w:numPr>
        <w:spacing w:line="300" w:lineRule="atLeast"/>
        <w:ind w:left="641" w:hanging="357"/>
        <w:jc w:val="both"/>
        <w:rPr>
          <w:sz w:val="24"/>
          <w:szCs w:val="24"/>
        </w:rPr>
      </w:pPr>
      <w:r w:rsidRPr="00400B09">
        <w:rPr>
          <w:sz w:val="24"/>
          <w:szCs w:val="24"/>
        </w:rPr>
        <w:t xml:space="preserve">pojemniki 5 L z napisem </w:t>
      </w:r>
      <w:r w:rsidRPr="00400B09">
        <w:rPr>
          <w:sz w:val="24"/>
          <w:szCs w:val="24"/>
          <w:u w:val="single"/>
        </w:rPr>
        <w:t xml:space="preserve">woda destylowana </w:t>
      </w:r>
      <w:r w:rsidRPr="00400B09">
        <w:rPr>
          <w:sz w:val="24"/>
          <w:szCs w:val="24"/>
        </w:rPr>
        <w:t xml:space="preserve"> -  2 opakowania pełne,</w:t>
      </w:r>
    </w:p>
    <w:p w14:paraId="1F0CF868" w14:textId="77777777" w:rsidR="000D471D" w:rsidRPr="00400B09" w:rsidRDefault="000D471D" w:rsidP="00D34F97">
      <w:pPr>
        <w:pStyle w:val="Akapitzlist"/>
        <w:numPr>
          <w:ilvl w:val="0"/>
          <w:numId w:val="324"/>
        </w:numPr>
        <w:spacing w:line="300" w:lineRule="atLeast"/>
        <w:ind w:left="641" w:hanging="357"/>
        <w:jc w:val="both"/>
        <w:rPr>
          <w:sz w:val="24"/>
          <w:szCs w:val="24"/>
        </w:rPr>
      </w:pPr>
      <w:r w:rsidRPr="00400B09">
        <w:rPr>
          <w:sz w:val="24"/>
          <w:szCs w:val="24"/>
        </w:rPr>
        <w:t xml:space="preserve">pojemniki z napisem </w:t>
      </w:r>
      <w:r w:rsidRPr="00400B09">
        <w:rPr>
          <w:sz w:val="24"/>
          <w:szCs w:val="24"/>
          <w:u w:val="single"/>
        </w:rPr>
        <w:t>ANTIFOAM R</w:t>
      </w:r>
      <w:r w:rsidRPr="00400B09">
        <w:rPr>
          <w:sz w:val="24"/>
          <w:szCs w:val="24"/>
        </w:rPr>
        <w:t xml:space="preserve"> –  2 opak. 20L pełne, 2 opak.30L pełne i 1 opak. 5L  niepełne,</w:t>
      </w:r>
    </w:p>
    <w:p w14:paraId="4FA26A2C" w14:textId="77777777" w:rsidR="000D471D" w:rsidRPr="00400B09" w:rsidRDefault="000D471D" w:rsidP="00D34F97">
      <w:pPr>
        <w:pStyle w:val="Akapitzlist"/>
        <w:numPr>
          <w:ilvl w:val="0"/>
          <w:numId w:val="324"/>
        </w:numPr>
        <w:spacing w:line="300" w:lineRule="atLeast"/>
        <w:ind w:left="641" w:hanging="357"/>
        <w:jc w:val="both"/>
        <w:rPr>
          <w:sz w:val="24"/>
          <w:szCs w:val="24"/>
        </w:rPr>
      </w:pPr>
      <w:r w:rsidRPr="00400B09">
        <w:rPr>
          <w:sz w:val="24"/>
          <w:szCs w:val="24"/>
        </w:rPr>
        <w:t xml:space="preserve">3 słoiki o różnych pojemnościach z napisem </w:t>
      </w:r>
      <w:r w:rsidRPr="00400B09">
        <w:rPr>
          <w:sz w:val="24"/>
          <w:szCs w:val="24"/>
          <w:u w:val="single"/>
        </w:rPr>
        <w:t>270 STRECH.</w:t>
      </w:r>
      <w:r w:rsidRPr="00400B09">
        <w:rPr>
          <w:sz w:val="24"/>
          <w:szCs w:val="24"/>
        </w:rPr>
        <w:t xml:space="preserve"> </w:t>
      </w:r>
    </w:p>
    <w:p w14:paraId="24D00343" w14:textId="3FFED648" w:rsidR="000D471D" w:rsidRPr="00400B09" w:rsidRDefault="000D471D" w:rsidP="001355BC">
      <w:pPr>
        <w:widowControl w:val="0"/>
        <w:autoSpaceDE w:val="0"/>
        <w:autoSpaceDN w:val="0"/>
        <w:adjustRightInd w:val="0"/>
        <w:spacing w:after="60" w:line="300" w:lineRule="atLeast"/>
        <w:ind w:firstLine="567"/>
        <w:jc w:val="both"/>
        <w:rPr>
          <w:rFonts w:ascii="Times New Roman" w:hAnsi="Times New Roman" w:cs="Times New Roman"/>
          <w:sz w:val="24"/>
          <w:szCs w:val="24"/>
        </w:rPr>
      </w:pPr>
      <w:r w:rsidRPr="00400B09">
        <w:rPr>
          <w:rFonts w:ascii="Times New Roman" w:hAnsi="Times New Roman" w:cs="Times New Roman"/>
          <w:sz w:val="24"/>
          <w:szCs w:val="24"/>
        </w:rPr>
        <w:t>W dniu 28</w:t>
      </w:r>
      <w:r w:rsidR="00441148">
        <w:rPr>
          <w:rFonts w:ascii="Times New Roman" w:hAnsi="Times New Roman" w:cs="Times New Roman"/>
          <w:sz w:val="24"/>
          <w:szCs w:val="24"/>
        </w:rPr>
        <w:t>.06.</w:t>
      </w:r>
      <w:r w:rsidRPr="00400B09">
        <w:rPr>
          <w:rFonts w:ascii="Times New Roman" w:hAnsi="Times New Roman" w:cs="Times New Roman"/>
          <w:sz w:val="24"/>
          <w:szCs w:val="24"/>
        </w:rPr>
        <w:t>2022 r. pracownik Centralnego Laboratorium Badawczego Oddział w Warszawie przeprowadził na terenie posesji przy ul. Wielkopolskiej w  Radomiu analizy chemiczne próbek odpadów pobranych przez straż pożarną. Spośród zgromadzonych beczek pobrano losowo 6 próbek do analizy jakościowej. Wyniki badań 6 pobranych próbek wskaz</w:t>
      </w:r>
      <w:r w:rsidR="00441148">
        <w:rPr>
          <w:rFonts w:ascii="Times New Roman" w:hAnsi="Times New Roman" w:cs="Times New Roman"/>
          <w:sz w:val="24"/>
          <w:szCs w:val="24"/>
        </w:rPr>
        <w:t>ały</w:t>
      </w:r>
      <w:r w:rsidRPr="00400B09">
        <w:rPr>
          <w:rFonts w:ascii="Times New Roman" w:hAnsi="Times New Roman" w:cs="Times New Roman"/>
          <w:sz w:val="24"/>
          <w:szCs w:val="24"/>
        </w:rPr>
        <w:t>, że wśród wykrytych związków znajd</w:t>
      </w:r>
      <w:r w:rsidR="00441148">
        <w:rPr>
          <w:rFonts w:ascii="Times New Roman" w:hAnsi="Times New Roman" w:cs="Times New Roman"/>
          <w:sz w:val="24"/>
          <w:szCs w:val="24"/>
        </w:rPr>
        <w:t>owały</w:t>
      </w:r>
      <w:r w:rsidRPr="00400B09">
        <w:rPr>
          <w:rFonts w:ascii="Times New Roman" w:hAnsi="Times New Roman" w:cs="Times New Roman"/>
          <w:sz w:val="24"/>
          <w:szCs w:val="24"/>
        </w:rPr>
        <w:t xml:space="preserve"> się substancje, które posiadają właściwości palne, żrące i drażniące, działają toksycznie w kontakcie ze skórą, drażniąco na skórę oraz są niebezpieczne dla środowiska (1-Dodecene C</w:t>
      </w:r>
      <w:r w:rsidRPr="00400B09">
        <w:rPr>
          <w:rFonts w:ascii="Times New Roman" w:hAnsi="Times New Roman" w:cs="Times New Roman"/>
          <w:sz w:val="24"/>
          <w:szCs w:val="24"/>
          <w:vertAlign w:val="subscript"/>
        </w:rPr>
        <w:t>12</w:t>
      </w:r>
      <w:r w:rsidRPr="00400B09">
        <w:rPr>
          <w:rFonts w:ascii="Times New Roman" w:hAnsi="Times New Roman" w:cs="Times New Roman"/>
          <w:sz w:val="24"/>
          <w:szCs w:val="24"/>
        </w:rPr>
        <w:t>H</w:t>
      </w:r>
      <w:r w:rsidRPr="00400B09">
        <w:rPr>
          <w:rFonts w:ascii="Times New Roman" w:hAnsi="Times New Roman" w:cs="Times New Roman"/>
          <w:sz w:val="24"/>
          <w:szCs w:val="24"/>
          <w:vertAlign w:val="subscript"/>
        </w:rPr>
        <w:t>24</w:t>
      </w:r>
      <w:r w:rsidRPr="00400B09">
        <w:rPr>
          <w:rFonts w:ascii="Times New Roman" w:hAnsi="Times New Roman" w:cs="Times New Roman"/>
          <w:sz w:val="24"/>
          <w:szCs w:val="24"/>
        </w:rPr>
        <w:t>, 1-Octadecene C</w:t>
      </w:r>
      <w:r w:rsidRPr="00400B09">
        <w:rPr>
          <w:rFonts w:ascii="Times New Roman" w:hAnsi="Times New Roman" w:cs="Times New Roman"/>
          <w:sz w:val="24"/>
          <w:szCs w:val="24"/>
          <w:vertAlign w:val="subscript"/>
        </w:rPr>
        <w:t>18</w:t>
      </w:r>
      <w:r w:rsidRPr="00400B09">
        <w:rPr>
          <w:rFonts w:ascii="Times New Roman" w:hAnsi="Times New Roman" w:cs="Times New Roman"/>
          <w:sz w:val="24"/>
          <w:szCs w:val="24"/>
        </w:rPr>
        <w:t>H</w:t>
      </w:r>
      <w:r w:rsidRPr="00400B09">
        <w:rPr>
          <w:rFonts w:ascii="Times New Roman" w:hAnsi="Times New Roman" w:cs="Times New Roman"/>
          <w:sz w:val="24"/>
          <w:szCs w:val="24"/>
          <w:vertAlign w:val="subscript"/>
        </w:rPr>
        <w:t>36</w:t>
      </w:r>
      <w:r w:rsidRPr="00400B09">
        <w:rPr>
          <w:rFonts w:ascii="Times New Roman" w:hAnsi="Times New Roman" w:cs="Times New Roman"/>
          <w:sz w:val="24"/>
          <w:szCs w:val="24"/>
        </w:rPr>
        <w:t xml:space="preserve">, </w:t>
      </w:r>
      <w:r w:rsidRPr="00400B09">
        <w:rPr>
          <w:rFonts w:ascii="Times New Roman" w:hAnsi="Times New Roman" w:cs="Times New Roman"/>
          <w:sz w:val="24"/>
          <w:szCs w:val="24"/>
        </w:rPr>
        <w:br/>
        <w:t>1-Tertadecene C</w:t>
      </w:r>
      <w:r w:rsidRPr="00400B09">
        <w:rPr>
          <w:rFonts w:ascii="Times New Roman" w:hAnsi="Times New Roman" w:cs="Times New Roman"/>
          <w:sz w:val="24"/>
          <w:szCs w:val="24"/>
          <w:vertAlign w:val="subscript"/>
        </w:rPr>
        <w:t>14</w:t>
      </w:r>
      <w:r w:rsidRPr="00400B09">
        <w:rPr>
          <w:rFonts w:ascii="Times New Roman" w:hAnsi="Times New Roman" w:cs="Times New Roman"/>
          <w:sz w:val="24"/>
          <w:szCs w:val="24"/>
        </w:rPr>
        <w:t>H</w:t>
      </w:r>
      <w:r w:rsidRPr="00400B09">
        <w:rPr>
          <w:rFonts w:ascii="Times New Roman" w:hAnsi="Times New Roman" w:cs="Times New Roman"/>
          <w:sz w:val="24"/>
          <w:szCs w:val="24"/>
          <w:vertAlign w:val="subscript"/>
        </w:rPr>
        <w:t>28</w:t>
      </w:r>
      <w:r w:rsidRPr="00400B09">
        <w:rPr>
          <w:rFonts w:ascii="Times New Roman" w:hAnsi="Times New Roman" w:cs="Times New Roman"/>
          <w:sz w:val="24"/>
          <w:szCs w:val="24"/>
        </w:rPr>
        <w:t>).</w:t>
      </w:r>
    </w:p>
    <w:p w14:paraId="5B19DCAF" w14:textId="77777777" w:rsidR="000D471D" w:rsidRPr="00400B09" w:rsidRDefault="000D471D" w:rsidP="000D471D">
      <w:pPr>
        <w:widowControl w:val="0"/>
        <w:autoSpaceDE w:val="0"/>
        <w:autoSpaceDN w:val="0"/>
        <w:adjustRightInd w:val="0"/>
        <w:spacing w:line="300" w:lineRule="atLeast"/>
        <w:contextualSpacing/>
        <w:jc w:val="both"/>
        <w:rPr>
          <w:rStyle w:val="GenRapStyle0"/>
          <w:bCs/>
          <w:sz w:val="24"/>
          <w:szCs w:val="24"/>
        </w:rPr>
      </w:pPr>
      <w:r w:rsidRPr="00400B09">
        <w:rPr>
          <w:rStyle w:val="GenRapStyle0"/>
          <w:bCs/>
          <w:sz w:val="24"/>
          <w:szCs w:val="24"/>
        </w:rPr>
        <w:t>2. Ustalenia w zakresie przestrzegania zasad ochrony środowiska zgodnie z celem kontroli.</w:t>
      </w:r>
    </w:p>
    <w:p w14:paraId="0A33FA06" w14:textId="77777777" w:rsidR="000D471D" w:rsidRPr="00400B09" w:rsidRDefault="000D471D" w:rsidP="000D471D">
      <w:pPr>
        <w:widowControl w:val="0"/>
        <w:autoSpaceDE w:val="0"/>
        <w:autoSpaceDN w:val="0"/>
        <w:adjustRightInd w:val="0"/>
        <w:spacing w:line="300" w:lineRule="atLeast"/>
        <w:contextualSpacing/>
        <w:jc w:val="both"/>
        <w:rPr>
          <w:rStyle w:val="GenRapStyle0"/>
          <w:sz w:val="24"/>
          <w:szCs w:val="24"/>
        </w:rPr>
      </w:pPr>
      <w:r w:rsidRPr="00400B09">
        <w:rPr>
          <w:rStyle w:val="GenRapStyle0"/>
          <w:sz w:val="24"/>
          <w:szCs w:val="24"/>
        </w:rPr>
        <w:lastRenderedPageBreak/>
        <w:t>2.1. Ochrona powietrza</w:t>
      </w:r>
    </w:p>
    <w:p w14:paraId="070B607F" w14:textId="77777777" w:rsidR="000D471D" w:rsidRPr="00400B09" w:rsidRDefault="000D471D" w:rsidP="000D471D">
      <w:pPr>
        <w:widowControl w:val="0"/>
        <w:autoSpaceDE w:val="0"/>
        <w:autoSpaceDN w:val="0"/>
        <w:adjustRightInd w:val="0"/>
        <w:spacing w:line="300" w:lineRule="atLeast"/>
        <w:contextualSpacing/>
        <w:jc w:val="both"/>
        <w:rPr>
          <w:rStyle w:val="GenRapStyle0"/>
          <w:sz w:val="24"/>
          <w:szCs w:val="24"/>
        </w:rPr>
      </w:pPr>
      <w:r w:rsidRPr="00400B09">
        <w:rPr>
          <w:rStyle w:val="GenRapStyle0"/>
          <w:sz w:val="24"/>
          <w:szCs w:val="24"/>
        </w:rPr>
        <w:t>Stan formalno-prawny</w:t>
      </w:r>
    </w:p>
    <w:p w14:paraId="7FD8FEC8" w14:textId="77777777" w:rsidR="00441148" w:rsidRDefault="000D471D" w:rsidP="001355BC">
      <w:pPr>
        <w:widowControl w:val="0"/>
        <w:autoSpaceDE w:val="0"/>
        <w:autoSpaceDN w:val="0"/>
        <w:adjustRightInd w:val="0"/>
        <w:spacing w:line="300" w:lineRule="atLeast"/>
        <w:ind w:firstLine="567"/>
        <w:contextualSpacing/>
        <w:jc w:val="both"/>
        <w:rPr>
          <w:rStyle w:val="GenRapStyle0"/>
          <w:sz w:val="24"/>
          <w:szCs w:val="24"/>
        </w:rPr>
      </w:pPr>
      <w:r w:rsidRPr="00400B09">
        <w:rPr>
          <w:rStyle w:val="GenRapStyle0"/>
          <w:sz w:val="24"/>
          <w:szCs w:val="24"/>
        </w:rPr>
        <w:t xml:space="preserve">Kontrolowana Spółka posiada pozwolenie na wprowadzanie gazów i pyłów do powietrza z instalacji zlokalizowanej na działce przy ul. Wielkopolskiej - decyzja Prezydenta Miasta Radomia z dnia 08.10.2015 r. Pozwolenie wydane zostało na czas oznaczony - od dnia uprawomocnienia się decyzji zezwalającej na użytkowanie obiektu do dnia 07 października 2025 r. </w:t>
      </w:r>
    </w:p>
    <w:p w14:paraId="5A8190F9" w14:textId="2E6F533C" w:rsidR="000D471D" w:rsidRPr="00400B09" w:rsidRDefault="000D471D" w:rsidP="000D471D">
      <w:pPr>
        <w:widowControl w:val="0"/>
        <w:autoSpaceDE w:val="0"/>
        <w:autoSpaceDN w:val="0"/>
        <w:adjustRightInd w:val="0"/>
        <w:spacing w:line="300" w:lineRule="atLeast"/>
        <w:contextualSpacing/>
        <w:jc w:val="both"/>
        <w:rPr>
          <w:rStyle w:val="GenRapStyle0"/>
          <w:sz w:val="24"/>
          <w:szCs w:val="24"/>
        </w:rPr>
      </w:pPr>
      <w:r w:rsidRPr="00400B09">
        <w:rPr>
          <w:rStyle w:val="GenRapStyle0"/>
          <w:sz w:val="24"/>
          <w:szCs w:val="24"/>
        </w:rPr>
        <w:t>2.2. Gospodarka odpadami</w:t>
      </w:r>
    </w:p>
    <w:p w14:paraId="37A37A12" w14:textId="77777777" w:rsidR="000D471D" w:rsidRPr="00400B09" w:rsidRDefault="000D471D" w:rsidP="000D471D">
      <w:pPr>
        <w:widowControl w:val="0"/>
        <w:autoSpaceDE w:val="0"/>
        <w:autoSpaceDN w:val="0"/>
        <w:adjustRightInd w:val="0"/>
        <w:spacing w:line="300" w:lineRule="atLeast"/>
        <w:contextualSpacing/>
        <w:jc w:val="both"/>
        <w:rPr>
          <w:rStyle w:val="GenRapStyle0"/>
          <w:sz w:val="24"/>
          <w:szCs w:val="24"/>
        </w:rPr>
      </w:pPr>
      <w:r w:rsidRPr="00400B09">
        <w:rPr>
          <w:rStyle w:val="GenRapStyle0"/>
          <w:sz w:val="24"/>
          <w:szCs w:val="24"/>
        </w:rPr>
        <w:t>Stan formalno-prawny</w:t>
      </w:r>
    </w:p>
    <w:p w14:paraId="158EE7AC" w14:textId="5402B3E8" w:rsidR="000D471D" w:rsidRPr="00400B09" w:rsidRDefault="000D471D" w:rsidP="00441148">
      <w:pPr>
        <w:widowControl w:val="0"/>
        <w:autoSpaceDE w:val="0"/>
        <w:autoSpaceDN w:val="0"/>
        <w:adjustRightInd w:val="0"/>
        <w:spacing w:line="300" w:lineRule="atLeast"/>
        <w:ind w:firstLine="567"/>
        <w:contextualSpacing/>
        <w:jc w:val="both"/>
        <w:rPr>
          <w:rStyle w:val="GenRapStyle0"/>
          <w:sz w:val="24"/>
          <w:szCs w:val="24"/>
        </w:rPr>
      </w:pPr>
      <w:r w:rsidRPr="00400B09">
        <w:rPr>
          <w:rStyle w:val="GenRapStyle0"/>
          <w:sz w:val="24"/>
          <w:szCs w:val="24"/>
        </w:rPr>
        <w:t xml:space="preserve">Kontrolowany podmiot posiadał zezwolenie z dnia 14.11.2017r. na prowadzenie działalności w zakresie przetwarzania i zbierania odpadów </w:t>
      </w:r>
      <w:r w:rsidR="002502A9">
        <w:rPr>
          <w:rStyle w:val="GenRapStyle0"/>
          <w:sz w:val="24"/>
          <w:szCs w:val="24"/>
        </w:rPr>
        <w:t xml:space="preserve">na działce </w:t>
      </w:r>
      <w:r w:rsidRPr="00400B09">
        <w:rPr>
          <w:rStyle w:val="GenRapStyle0"/>
          <w:sz w:val="24"/>
          <w:szCs w:val="24"/>
        </w:rPr>
        <w:t>w Radomiu. W związku ze zmianą przepisów – ustawa z dnia 20 lipca 2018 r. o zmianie ustawy o odpadach oraz niektórych innych ustaw</w:t>
      </w:r>
      <w:r w:rsidR="000120C8">
        <w:rPr>
          <w:rStyle w:val="Odwoanieprzypisudolnego"/>
          <w:rFonts w:cs="Times New Roman"/>
          <w:szCs w:val="24"/>
        </w:rPr>
        <w:footnoteReference w:id="68"/>
      </w:r>
      <w:r w:rsidRPr="00400B09">
        <w:rPr>
          <w:rStyle w:val="GenRapStyle0"/>
          <w:sz w:val="24"/>
          <w:szCs w:val="24"/>
        </w:rPr>
        <w:t xml:space="preserve"> </w:t>
      </w:r>
      <w:bookmarkStart w:id="345" w:name="_Hlk111202393"/>
      <w:r w:rsidRPr="00400B09">
        <w:rPr>
          <w:rStyle w:val="GenRapStyle0"/>
          <w:sz w:val="24"/>
          <w:szCs w:val="24"/>
        </w:rPr>
        <w:t xml:space="preserve">ww. podmiot nie złożył wniosku do Prezydenta Miasta Radomia o zmianę posiadanej decyzji, w związku z czym </w:t>
      </w:r>
      <w:bookmarkEnd w:id="345"/>
      <w:r w:rsidRPr="00400B09">
        <w:rPr>
          <w:rStyle w:val="GenRapStyle0"/>
          <w:sz w:val="24"/>
          <w:szCs w:val="24"/>
        </w:rPr>
        <w:t>ww. decyzja „wygasła” z dniem 06.03.2020 r.</w:t>
      </w:r>
    </w:p>
    <w:p w14:paraId="265A70E0" w14:textId="35B2D167" w:rsidR="000D471D" w:rsidRPr="00400B09" w:rsidRDefault="000D471D" w:rsidP="001355BC">
      <w:pPr>
        <w:widowControl w:val="0"/>
        <w:autoSpaceDE w:val="0"/>
        <w:autoSpaceDN w:val="0"/>
        <w:adjustRightInd w:val="0"/>
        <w:spacing w:line="300" w:lineRule="atLeast"/>
        <w:ind w:firstLine="567"/>
        <w:contextualSpacing/>
        <w:jc w:val="both"/>
        <w:rPr>
          <w:rStyle w:val="GenRapStyle0"/>
          <w:sz w:val="24"/>
          <w:szCs w:val="24"/>
        </w:rPr>
      </w:pPr>
      <w:r w:rsidRPr="00400B09">
        <w:rPr>
          <w:rStyle w:val="GenRapStyle0"/>
          <w:sz w:val="24"/>
          <w:szCs w:val="24"/>
        </w:rPr>
        <w:t>W zakładzie prowadzony był odzysk odpadów tworzyw sztucznych. Odpady tworzyw sztucznych do czasu poddania ich odzyskowi magazynowane powinny być w budynku, w jego wydzielonej części magazynowej, w pojemnikach typu big-</w:t>
      </w:r>
      <w:proofErr w:type="spellStart"/>
      <w:r w:rsidRPr="00400B09">
        <w:rPr>
          <w:rStyle w:val="GenRapStyle0"/>
          <w:sz w:val="24"/>
          <w:szCs w:val="24"/>
        </w:rPr>
        <w:t>bag</w:t>
      </w:r>
      <w:proofErr w:type="spellEnd"/>
      <w:r w:rsidRPr="00400B09">
        <w:rPr>
          <w:rStyle w:val="GenRapStyle0"/>
          <w:sz w:val="24"/>
          <w:szCs w:val="24"/>
        </w:rPr>
        <w:t xml:space="preserve">, bądź w boksach i przekazywane do uprawnionych podmiotów. Wg. przekazanych informacji w  protokole z przesłuchania </w:t>
      </w:r>
      <w:r w:rsidRPr="00400B09">
        <w:rPr>
          <w:rFonts w:ascii="Times New Roman" w:hAnsi="Times New Roman" w:cs="Times New Roman"/>
          <w:sz w:val="24"/>
          <w:szCs w:val="24"/>
          <w:lang w:eastAsia="x-none"/>
        </w:rPr>
        <w:t>przedmiotem działalności ww. firmy w Radomiu przy ul. Wielkopolskiej była produkcja oleju parafinowego do wkładów świec. Firma prowadziła wyłącznie próby, była na etapie wdrożenia produktu – nie było nic</w:t>
      </w:r>
      <w:r w:rsidR="00441148">
        <w:rPr>
          <w:rFonts w:ascii="Times New Roman" w:hAnsi="Times New Roman" w:cs="Times New Roman"/>
          <w:sz w:val="24"/>
          <w:szCs w:val="24"/>
          <w:lang w:eastAsia="x-none"/>
        </w:rPr>
        <w:t>zego, co byłoby</w:t>
      </w:r>
      <w:r w:rsidRPr="00400B09">
        <w:rPr>
          <w:rFonts w:ascii="Times New Roman" w:hAnsi="Times New Roman" w:cs="Times New Roman"/>
          <w:sz w:val="24"/>
          <w:szCs w:val="24"/>
          <w:lang w:eastAsia="x-none"/>
        </w:rPr>
        <w:t xml:space="preserve"> wyprodukowane do dalszej sprzedaży. Brak informacji odnośnie umów z firmami, które dostarczały odpady bądź od których były przywożone odpady do Radomia na ul. Wielkopolską. </w:t>
      </w:r>
      <w:r w:rsidR="00441148">
        <w:rPr>
          <w:rFonts w:ascii="Times New Roman" w:hAnsi="Times New Roman" w:cs="Times New Roman"/>
          <w:sz w:val="24"/>
          <w:szCs w:val="24"/>
          <w:lang w:eastAsia="x-none"/>
        </w:rPr>
        <w:t>Brak było r</w:t>
      </w:r>
      <w:r w:rsidRPr="00400B09">
        <w:rPr>
          <w:rFonts w:ascii="Times New Roman" w:hAnsi="Times New Roman" w:cs="Times New Roman"/>
          <w:sz w:val="24"/>
          <w:szCs w:val="24"/>
          <w:lang w:eastAsia="x-none"/>
        </w:rPr>
        <w:t xml:space="preserve">ównież informacji, jakie odpady powstały podczas procesu produkcyjnego, jak również do kogo należą odpady zgromadzone na placu i hali </w:t>
      </w:r>
      <w:proofErr w:type="spellStart"/>
      <w:r w:rsidRPr="00400B09">
        <w:rPr>
          <w:rFonts w:ascii="Times New Roman" w:hAnsi="Times New Roman" w:cs="Times New Roman"/>
          <w:sz w:val="24"/>
          <w:szCs w:val="24"/>
          <w:lang w:eastAsia="x-none"/>
        </w:rPr>
        <w:t>magazynowo-warsztatowej</w:t>
      </w:r>
      <w:proofErr w:type="spellEnd"/>
      <w:r w:rsidRPr="00400B09">
        <w:rPr>
          <w:rFonts w:ascii="Times New Roman" w:hAnsi="Times New Roman" w:cs="Times New Roman"/>
          <w:sz w:val="24"/>
          <w:szCs w:val="24"/>
          <w:lang w:eastAsia="x-none"/>
        </w:rPr>
        <w:t xml:space="preserve"> przy ul. Wielkopolskiej w Radomiu i czy zostaną usunięte.</w:t>
      </w:r>
    </w:p>
    <w:p w14:paraId="76A90E79" w14:textId="77777777" w:rsidR="000D471D" w:rsidRPr="00400B09" w:rsidRDefault="000D471D" w:rsidP="000D471D">
      <w:pPr>
        <w:widowControl w:val="0"/>
        <w:autoSpaceDE w:val="0"/>
        <w:autoSpaceDN w:val="0"/>
        <w:adjustRightInd w:val="0"/>
        <w:spacing w:line="300" w:lineRule="atLeast"/>
        <w:contextualSpacing/>
        <w:jc w:val="both"/>
        <w:rPr>
          <w:rStyle w:val="GenRapStyle0"/>
          <w:sz w:val="24"/>
          <w:szCs w:val="24"/>
        </w:rPr>
      </w:pPr>
      <w:r w:rsidRPr="00400B09">
        <w:rPr>
          <w:rStyle w:val="GenRapStyle0"/>
          <w:sz w:val="24"/>
          <w:szCs w:val="24"/>
        </w:rPr>
        <w:t>2.2.1. Ewidencja odpadów</w:t>
      </w:r>
    </w:p>
    <w:p w14:paraId="4E9D34A3" w14:textId="77777777" w:rsidR="000D471D" w:rsidRPr="00400B09" w:rsidRDefault="000D471D" w:rsidP="00261F10">
      <w:pPr>
        <w:spacing w:after="0" w:line="300" w:lineRule="atLeast"/>
        <w:ind w:firstLine="567"/>
        <w:jc w:val="both"/>
        <w:rPr>
          <w:rFonts w:ascii="Times New Roman" w:hAnsi="Times New Roman" w:cs="Times New Roman"/>
          <w:sz w:val="24"/>
          <w:szCs w:val="24"/>
          <w:lang w:eastAsia="x-none"/>
        </w:rPr>
      </w:pPr>
      <w:r w:rsidRPr="00400B09">
        <w:rPr>
          <w:rStyle w:val="GenRapStyle0"/>
          <w:sz w:val="24"/>
          <w:szCs w:val="24"/>
        </w:rPr>
        <w:t xml:space="preserve">W kontrolowanych latach przedsiębiorca nie prowadził jakościowej i ilościowej ewidencji odpadów. Podmiot  w trakcie kontroli nie przedstawił kart przekazania odpadów, jak również kart ewidencji odpadów. </w:t>
      </w:r>
    </w:p>
    <w:p w14:paraId="7FF934A4" w14:textId="77777777" w:rsidR="000D471D" w:rsidRPr="00400B09" w:rsidRDefault="000D471D" w:rsidP="000D471D">
      <w:pPr>
        <w:widowControl w:val="0"/>
        <w:autoSpaceDE w:val="0"/>
        <w:autoSpaceDN w:val="0"/>
        <w:adjustRightInd w:val="0"/>
        <w:spacing w:line="300" w:lineRule="atLeast"/>
        <w:contextualSpacing/>
        <w:jc w:val="both"/>
        <w:rPr>
          <w:rStyle w:val="GenRapStyle0"/>
          <w:sz w:val="24"/>
          <w:szCs w:val="24"/>
        </w:rPr>
      </w:pPr>
      <w:r w:rsidRPr="00400B09">
        <w:rPr>
          <w:rStyle w:val="GenRapStyle0"/>
          <w:sz w:val="24"/>
          <w:szCs w:val="24"/>
        </w:rPr>
        <w:t>2.2.2. Rejestr podmiotów wprowadzających produkty, produkty w opakowaniach i gospodarujących odpadami (BDO).</w:t>
      </w:r>
    </w:p>
    <w:p w14:paraId="16657935" w14:textId="77777777" w:rsidR="000D471D" w:rsidRPr="00400B09" w:rsidRDefault="000D471D" w:rsidP="00261F10">
      <w:pPr>
        <w:spacing w:line="300" w:lineRule="atLeast"/>
        <w:ind w:firstLine="567"/>
        <w:contextualSpacing/>
        <w:jc w:val="both"/>
        <w:rPr>
          <w:rFonts w:ascii="Times New Roman" w:hAnsi="Times New Roman" w:cs="Times New Roman"/>
          <w:sz w:val="24"/>
          <w:szCs w:val="24"/>
          <w:lang w:eastAsia="x-none"/>
        </w:rPr>
      </w:pPr>
      <w:r w:rsidRPr="00400B09">
        <w:rPr>
          <w:rStyle w:val="GenRapStyle0"/>
          <w:sz w:val="24"/>
          <w:szCs w:val="24"/>
        </w:rPr>
        <w:t>Podmiot nie złożył wniosku o wpis do rejestru podmiotów wprowadzających produkty, produkty w opakowaniach i gospodarujących odpadami (BDO). Do dnia zakończenia kontroli podmiot nie uzyskał wpisu – numeru rejestrowego.</w:t>
      </w:r>
    </w:p>
    <w:p w14:paraId="4DE7A305" w14:textId="571AFAE8" w:rsidR="000D471D" w:rsidRPr="00400B09" w:rsidRDefault="000D471D" w:rsidP="000D471D">
      <w:pPr>
        <w:widowControl w:val="0"/>
        <w:autoSpaceDE w:val="0"/>
        <w:autoSpaceDN w:val="0"/>
        <w:adjustRightInd w:val="0"/>
        <w:spacing w:line="300" w:lineRule="atLeast"/>
        <w:contextualSpacing/>
        <w:jc w:val="both"/>
        <w:rPr>
          <w:rStyle w:val="GenRapStyle0"/>
          <w:sz w:val="24"/>
          <w:szCs w:val="24"/>
        </w:rPr>
      </w:pPr>
      <w:r w:rsidRPr="00400B09">
        <w:rPr>
          <w:rStyle w:val="GenRapStyle0"/>
          <w:sz w:val="24"/>
          <w:szCs w:val="24"/>
        </w:rPr>
        <w:t>2.3. Gospodarka wodno-ściekowa</w:t>
      </w:r>
    </w:p>
    <w:p w14:paraId="4A65DC92" w14:textId="77777777" w:rsidR="000D471D" w:rsidRPr="00400B09" w:rsidRDefault="000D471D" w:rsidP="000D471D">
      <w:pPr>
        <w:widowControl w:val="0"/>
        <w:autoSpaceDE w:val="0"/>
        <w:autoSpaceDN w:val="0"/>
        <w:adjustRightInd w:val="0"/>
        <w:spacing w:line="300" w:lineRule="atLeast"/>
        <w:contextualSpacing/>
        <w:jc w:val="both"/>
        <w:rPr>
          <w:rStyle w:val="GenRapStyle0"/>
          <w:sz w:val="24"/>
          <w:szCs w:val="24"/>
        </w:rPr>
      </w:pPr>
      <w:r w:rsidRPr="00400B09">
        <w:rPr>
          <w:rStyle w:val="GenRapStyle0"/>
          <w:sz w:val="24"/>
          <w:szCs w:val="24"/>
        </w:rPr>
        <w:t>Stan formalno-prawny</w:t>
      </w:r>
    </w:p>
    <w:p w14:paraId="40CB9A24" w14:textId="77777777" w:rsidR="000D471D" w:rsidRPr="00400B09" w:rsidRDefault="000D471D" w:rsidP="001355BC">
      <w:pPr>
        <w:widowControl w:val="0"/>
        <w:autoSpaceDE w:val="0"/>
        <w:autoSpaceDN w:val="0"/>
        <w:adjustRightInd w:val="0"/>
        <w:spacing w:line="300" w:lineRule="atLeast"/>
        <w:ind w:firstLine="567"/>
        <w:contextualSpacing/>
        <w:jc w:val="both"/>
        <w:rPr>
          <w:rStyle w:val="GenRapStyle0"/>
          <w:sz w:val="24"/>
          <w:szCs w:val="24"/>
        </w:rPr>
      </w:pPr>
      <w:r w:rsidRPr="00400B09">
        <w:rPr>
          <w:rStyle w:val="GenRapStyle0"/>
          <w:sz w:val="24"/>
          <w:szCs w:val="24"/>
        </w:rPr>
        <w:t>Kontrolowany podmiot posiada umowę z dnia 01.06.2016 r. z zarządcą sieci - Wodociągami Miejskimi w Radomiu Sp. z o.o. na zaopatrzenie w wodę i odprowadzanie ścieków przemysłowych  oraz pismo dotyczące uzgodnienia warunków technicznych przyjęcia do miejskiej kanalizacji deszczowej wód opadowych. Kserokopia decyzji znajduje się w aktach kontroli z dnia 2017 r.</w:t>
      </w:r>
    </w:p>
    <w:p w14:paraId="5DE52D65" w14:textId="3F28C18B" w:rsidR="000D471D" w:rsidRPr="00400B09" w:rsidRDefault="000D471D" w:rsidP="001355BC">
      <w:pPr>
        <w:widowControl w:val="0"/>
        <w:autoSpaceDE w:val="0"/>
        <w:autoSpaceDN w:val="0"/>
        <w:adjustRightInd w:val="0"/>
        <w:spacing w:after="60" w:line="300" w:lineRule="atLeast"/>
        <w:ind w:firstLine="567"/>
        <w:jc w:val="both"/>
        <w:rPr>
          <w:rStyle w:val="GenRapStyle0"/>
          <w:sz w:val="24"/>
          <w:szCs w:val="24"/>
        </w:rPr>
      </w:pPr>
      <w:r w:rsidRPr="00400B09">
        <w:rPr>
          <w:rStyle w:val="GenRapStyle0"/>
          <w:sz w:val="24"/>
          <w:szCs w:val="24"/>
        </w:rPr>
        <w:t>Woda na potrzeby socjalno-bytowe oraz na potrzeby technologiczne była pobierana z wodociągu miejskiego. Powstawały ścieki socjalno</w:t>
      </w:r>
      <w:r w:rsidR="00261F10">
        <w:rPr>
          <w:rStyle w:val="GenRapStyle0"/>
          <w:sz w:val="24"/>
          <w:szCs w:val="24"/>
        </w:rPr>
        <w:t>-</w:t>
      </w:r>
      <w:r w:rsidRPr="00400B09">
        <w:rPr>
          <w:rStyle w:val="GenRapStyle0"/>
          <w:sz w:val="24"/>
          <w:szCs w:val="24"/>
        </w:rPr>
        <w:t>bytowe</w:t>
      </w:r>
      <w:r w:rsidR="00261F10">
        <w:rPr>
          <w:rStyle w:val="GenRapStyle0"/>
          <w:sz w:val="24"/>
          <w:szCs w:val="24"/>
        </w:rPr>
        <w:t>,</w:t>
      </w:r>
      <w:r w:rsidRPr="00400B09">
        <w:rPr>
          <w:rStyle w:val="GenRapStyle0"/>
          <w:sz w:val="24"/>
          <w:szCs w:val="24"/>
        </w:rPr>
        <w:t xml:space="preserve"> </w:t>
      </w:r>
      <w:r w:rsidR="00261F10">
        <w:rPr>
          <w:rStyle w:val="GenRapStyle0"/>
          <w:sz w:val="24"/>
          <w:szCs w:val="24"/>
        </w:rPr>
        <w:t>n</w:t>
      </w:r>
      <w:r w:rsidRPr="00400B09">
        <w:rPr>
          <w:rStyle w:val="GenRapStyle0"/>
          <w:sz w:val="24"/>
          <w:szCs w:val="24"/>
        </w:rPr>
        <w:t xml:space="preserve">atomiast nie powstawały ścieki przemysłowe </w:t>
      </w:r>
      <w:r w:rsidR="00261F10" w:rsidRPr="00400B09">
        <w:rPr>
          <w:rStyle w:val="GenRapStyle0"/>
          <w:sz w:val="24"/>
          <w:szCs w:val="24"/>
        </w:rPr>
        <w:t>–</w:t>
      </w:r>
      <w:r w:rsidRPr="00400B09">
        <w:rPr>
          <w:rStyle w:val="GenRapStyle0"/>
          <w:sz w:val="24"/>
          <w:szCs w:val="24"/>
        </w:rPr>
        <w:t xml:space="preserve"> chłodzenie prowadzone było w obiegach zamkniętych, nie zostało </w:t>
      </w:r>
      <w:r w:rsidRPr="00400B09">
        <w:rPr>
          <w:rStyle w:val="GenRapStyle0"/>
          <w:sz w:val="24"/>
          <w:szCs w:val="24"/>
        </w:rPr>
        <w:lastRenderedPageBreak/>
        <w:t>przewidziane odprowadzanie wód chłodniczych. Ścieki  socjalno</w:t>
      </w:r>
      <w:r w:rsidR="00261F10">
        <w:rPr>
          <w:rStyle w:val="GenRapStyle0"/>
          <w:sz w:val="24"/>
          <w:szCs w:val="24"/>
        </w:rPr>
        <w:t>-</w:t>
      </w:r>
      <w:r w:rsidRPr="00400B09">
        <w:rPr>
          <w:rStyle w:val="GenRapStyle0"/>
          <w:sz w:val="24"/>
          <w:szCs w:val="24"/>
        </w:rPr>
        <w:t xml:space="preserve">bytowe wprowadzane były do  kanalizacji miejskiej sanitarnej. Wody opadowe i roztopowe z miejsc przeładunku oleju przed wprowadzeniem do kanalizacji miejskiej oczyszczane były w separatorze substancji ropopochodnych. </w:t>
      </w:r>
    </w:p>
    <w:p w14:paraId="3C0B5F1F" w14:textId="77777777" w:rsidR="000D471D" w:rsidRPr="00400B09" w:rsidRDefault="000D471D" w:rsidP="000D471D">
      <w:pPr>
        <w:pStyle w:val="Akapitzlist"/>
        <w:widowControl w:val="0"/>
        <w:autoSpaceDE w:val="0"/>
        <w:autoSpaceDN w:val="0"/>
        <w:adjustRightInd w:val="0"/>
        <w:spacing w:line="300" w:lineRule="atLeast"/>
        <w:ind w:left="0"/>
        <w:jc w:val="both"/>
        <w:rPr>
          <w:rStyle w:val="GenRapStyle0"/>
          <w:sz w:val="24"/>
          <w:szCs w:val="24"/>
        </w:rPr>
      </w:pPr>
      <w:r w:rsidRPr="00400B09">
        <w:rPr>
          <w:rStyle w:val="GenRapStyle0"/>
          <w:sz w:val="24"/>
          <w:szCs w:val="24"/>
        </w:rPr>
        <w:t>3. Informacje o sposobie realizacji obowiązków wynikających z przepisów.</w:t>
      </w:r>
    </w:p>
    <w:p w14:paraId="1B4D0387" w14:textId="77777777" w:rsidR="000D471D" w:rsidRPr="00400B09" w:rsidRDefault="000D471D" w:rsidP="00261F10">
      <w:pPr>
        <w:widowControl w:val="0"/>
        <w:autoSpaceDE w:val="0"/>
        <w:autoSpaceDN w:val="0"/>
        <w:adjustRightInd w:val="0"/>
        <w:spacing w:after="60" w:line="300" w:lineRule="atLeast"/>
        <w:ind w:firstLine="567"/>
        <w:jc w:val="both"/>
        <w:rPr>
          <w:rStyle w:val="GenRapStyle0"/>
          <w:sz w:val="24"/>
          <w:szCs w:val="24"/>
        </w:rPr>
      </w:pPr>
      <w:r w:rsidRPr="00400B09">
        <w:rPr>
          <w:rStyle w:val="GenRapStyle0"/>
          <w:sz w:val="24"/>
          <w:szCs w:val="24"/>
        </w:rPr>
        <w:t>Kontrolowany podmiot jest zobowiązany do terminowego przedkładania nw. informacji  o zakresie korzystania ze środowiska właściwym organom:</w:t>
      </w:r>
    </w:p>
    <w:p w14:paraId="748D0EA8" w14:textId="3BD92157" w:rsidR="000D471D" w:rsidRPr="00400B09" w:rsidRDefault="000D471D" w:rsidP="00D34F97">
      <w:pPr>
        <w:pStyle w:val="Akapitzlist"/>
        <w:numPr>
          <w:ilvl w:val="0"/>
          <w:numId w:val="325"/>
        </w:numPr>
        <w:spacing w:line="300" w:lineRule="atLeast"/>
        <w:jc w:val="both"/>
        <w:rPr>
          <w:sz w:val="24"/>
          <w:szCs w:val="24"/>
        </w:rPr>
      </w:pPr>
      <w:r w:rsidRPr="00400B09">
        <w:rPr>
          <w:sz w:val="24"/>
          <w:szCs w:val="24"/>
        </w:rPr>
        <w:t>informacji o zakresie korzystania ze środowiska oraz wnoszenia opłat z tytułu korzystania ze środowiska</w:t>
      </w:r>
      <w:r w:rsidR="00261F10">
        <w:rPr>
          <w:sz w:val="24"/>
          <w:szCs w:val="24"/>
          <w:lang w:val="pl-PL"/>
        </w:rPr>
        <w:t>,</w:t>
      </w:r>
    </w:p>
    <w:p w14:paraId="62784135" w14:textId="6EC51508" w:rsidR="000D471D" w:rsidRPr="00400B09" w:rsidRDefault="000D471D" w:rsidP="00D34F97">
      <w:pPr>
        <w:pStyle w:val="Akapitzlist"/>
        <w:numPr>
          <w:ilvl w:val="0"/>
          <w:numId w:val="325"/>
        </w:numPr>
        <w:spacing w:line="300" w:lineRule="atLeast"/>
        <w:jc w:val="both"/>
        <w:rPr>
          <w:sz w:val="24"/>
          <w:szCs w:val="24"/>
        </w:rPr>
      </w:pPr>
      <w:r w:rsidRPr="00400B09">
        <w:rPr>
          <w:sz w:val="24"/>
          <w:szCs w:val="24"/>
        </w:rPr>
        <w:t>przekazywania zbiorczego zestawienia danych o odpadach wymienione</w:t>
      </w:r>
      <w:r w:rsidR="00261F10">
        <w:rPr>
          <w:sz w:val="24"/>
          <w:szCs w:val="24"/>
          <w:lang w:val="pl-PL"/>
        </w:rPr>
        <w:t>go</w:t>
      </w:r>
      <w:r w:rsidRPr="00400B09">
        <w:rPr>
          <w:sz w:val="24"/>
          <w:szCs w:val="24"/>
        </w:rPr>
        <w:t xml:space="preserve"> w art. 75 ustawy o odpadach (</w:t>
      </w:r>
      <w:r w:rsidRPr="00400B09">
        <w:rPr>
          <w:i/>
          <w:iCs/>
          <w:sz w:val="24"/>
          <w:szCs w:val="24"/>
        </w:rPr>
        <w:t xml:space="preserve">Roczne sprawozdanie o wytwarzanych odpadach </w:t>
      </w:r>
      <w:r w:rsidR="00261F10">
        <w:rPr>
          <w:i/>
          <w:iCs/>
          <w:sz w:val="24"/>
          <w:szCs w:val="24"/>
        </w:rPr>
        <w:br/>
      </w:r>
      <w:r w:rsidRPr="00400B09">
        <w:rPr>
          <w:i/>
          <w:iCs/>
          <w:sz w:val="24"/>
          <w:szCs w:val="24"/>
        </w:rPr>
        <w:t>i o gospodarowaniu odpadami</w:t>
      </w:r>
      <w:r w:rsidRPr="00400B09">
        <w:rPr>
          <w:sz w:val="24"/>
          <w:szCs w:val="24"/>
        </w:rPr>
        <w:t>),</w:t>
      </w:r>
    </w:p>
    <w:p w14:paraId="3A6A89F6" w14:textId="68D650FC" w:rsidR="000D471D" w:rsidRPr="00400B09" w:rsidRDefault="000D471D" w:rsidP="00D34F97">
      <w:pPr>
        <w:pStyle w:val="Akapitzlist"/>
        <w:numPr>
          <w:ilvl w:val="0"/>
          <w:numId w:val="325"/>
        </w:numPr>
        <w:spacing w:line="300" w:lineRule="atLeast"/>
        <w:rPr>
          <w:sz w:val="24"/>
          <w:szCs w:val="24"/>
        </w:rPr>
      </w:pPr>
      <w:r w:rsidRPr="00400B09">
        <w:rPr>
          <w:sz w:val="24"/>
          <w:szCs w:val="24"/>
        </w:rPr>
        <w:t>przedkładania raportu KOBIZE.</w:t>
      </w:r>
    </w:p>
    <w:p w14:paraId="243B77F0" w14:textId="421A38E6" w:rsidR="000D471D" w:rsidRPr="00400B09" w:rsidRDefault="000D471D" w:rsidP="001355BC">
      <w:pPr>
        <w:widowControl w:val="0"/>
        <w:autoSpaceDE w:val="0"/>
        <w:autoSpaceDN w:val="0"/>
        <w:adjustRightInd w:val="0"/>
        <w:spacing w:line="300" w:lineRule="atLeast"/>
        <w:ind w:firstLine="567"/>
        <w:contextualSpacing/>
        <w:jc w:val="both"/>
        <w:rPr>
          <w:rStyle w:val="GenRapStyle0"/>
          <w:sz w:val="24"/>
          <w:szCs w:val="24"/>
        </w:rPr>
      </w:pPr>
      <w:r w:rsidRPr="00400B09">
        <w:rPr>
          <w:rStyle w:val="GenRapStyle0"/>
          <w:sz w:val="24"/>
          <w:szCs w:val="24"/>
        </w:rPr>
        <w:t xml:space="preserve">Przedsiębiorstwo w wymaganym terminie nie przekazało informacji oraz nie naliczyło i nie wniosło opłat z tytułu gospodarczego korzystania ze środowiska do urzędu marszałkowskiego. Jednocześnie Zakład nie przekazał Marszałkowi Województwa Mazowieckiego  zbiorczego zestawienia danych o rodzajach i ilościach odpadów, o sposobach gospodarowania nimi oraz o instalacjach i urządzeniach służących do odzysku </w:t>
      </w:r>
      <w:r w:rsidR="00261F10">
        <w:rPr>
          <w:rStyle w:val="GenRapStyle0"/>
          <w:sz w:val="24"/>
          <w:szCs w:val="24"/>
        </w:rPr>
        <w:br/>
      </w:r>
      <w:r w:rsidRPr="00400B09">
        <w:rPr>
          <w:rStyle w:val="GenRapStyle0"/>
          <w:sz w:val="24"/>
          <w:szCs w:val="24"/>
        </w:rPr>
        <w:t>i unieszkodliwiania tych odpadów za lata 2018 – 2021 (do 01października).</w:t>
      </w:r>
    </w:p>
    <w:p w14:paraId="5A199FB8" w14:textId="7705B7B0" w:rsidR="000D471D" w:rsidRPr="00400B09" w:rsidRDefault="000D471D" w:rsidP="001355BC">
      <w:pPr>
        <w:widowControl w:val="0"/>
        <w:autoSpaceDE w:val="0"/>
        <w:autoSpaceDN w:val="0"/>
        <w:adjustRightInd w:val="0"/>
        <w:spacing w:after="60" w:line="300" w:lineRule="atLeast"/>
        <w:ind w:firstLine="567"/>
        <w:jc w:val="both"/>
        <w:rPr>
          <w:rStyle w:val="GenRapStyle0"/>
          <w:sz w:val="24"/>
          <w:szCs w:val="24"/>
        </w:rPr>
      </w:pPr>
      <w:r w:rsidRPr="00400B09">
        <w:rPr>
          <w:rStyle w:val="GenRapStyle0"/>
          <w:sz w:val="24"/>
          <w:szCs w:val="24"/>
        </w:rPr>
        <w:t>Do dnia zakończenia kontroli Spółka nie zrealizowała obowiązku dot</w:t>
      </w:r>
      <w:r w:rsidR="00261F10">
        <w:rPr>
          <w:rStyle w:val="GenRapStyle0"/>
          <w:sz w:val="24"/>
          <w:szCs w:val="24"/>
        </w:rPr>
        <w:t>yczącego</w:t>
      </w:r>
      <w:r w:rsidRPr="00400B09">
        <w:rPr>
          <w:rStyle w:val="GenRapStyle0"/>
          <w:sz w:val="24"/>
          <w:szCs w:val="24"/>
        </w:rPr>
        <w:t xml:space="preserve"> składania dorocznych raportów do Krajowego Ośrodka Bilansowania i Zarządzania Emisjami (</w:t>
      </w:r>
      <w:proofErr w:type="spellStart"/>
      <w:r w:rsidRPr="00400B09">
        <w:rPr>
          <w:rStyle w:val="GenRapStyle0"/>
          <w:sz w:val="24"/>
          <w:szCs w:val="24"/>
        </w:rPr>
        <w:t>KOBiZE</w:t>
      </w:r>
      <w:proofErr w:type="spellEnd"/>
      <w:r w:rsidRPr="00400B09">
        <w:rPr>
          <w:rStyle w:val="GenRapStyle0"/>
          <w:sz w:val="24"/>
          <w:szCs w:val="24"/>
        </w:rPr>
        <w:t xml:space="preserve">) określonego w art. 7 ustawy z dnia 17 lipca 2009 r. o systemie zarządzania emisjami gazów cieplarnianych i innych substancji. W związku ze stwierdzeniem nieprawidłowości skierowano zawiadomienie o popełnieniu przestępstwa do Prokuratury, sporządzono wystąpienie do Urzędu Miasta i Gminy </w:t>
      </w:r>
      <w:r w:rsidR="00261F10">
        <w:rPr>
          <w:rStyle w:val="GenRapStyle0"/>
          <w:sz w:val="24"/>
          <w:szCs w:val="24"/>
        </w:rPr>
        <w:t xml:space="preserve">o </w:t>
      </w:r>
      <w:r w:rsidRPr="00400B09">
        <w:rPr>
          <w:rStyle w:val="GenRapStyle0"/>
          <w:sz w:val="24"/>
          <w:szCs w:val="24"/>
        </w:rPr>
        <w:t xml:space="preserve">spowodowanie usunięcia odpadów, wydano jedno zarządzenie pokontrolne oraz nałożono 4 kary administracyjne.  </w:t>
      </w:r>
    </w:p>
    <w:p w14:paraId="24113514" w14:textId="498D2D23" w:rsidR="000D471D" w:rsidRPr="00400B09" w:rsidRDefault="000D471D" w:rsidP="000D471D">
      <w:pPr>
        <w:keepNext/>
        <w:widowControl w:val="0"/>
        <w:autoSpaceDE w:val="0"/>
        <w:autoSpaceDN w:val="0"/>
        <w:adjustRightInd w:val="0"/>
        <w:spacing w:line="300" w:lineRule="atLeast"/>
        <w:contextualSpacing/>
        <w:jc w:val="center"/>
        <w:rPr>
          <w:rFonts w:ascii="Times New Roman" w:hAnsi="Times New Roman" w:cs="Times New Roman"/>
          <w:sz w:val="24"/>
          <w:szCs w:val="24"/>
        </w:rPr>
      </w:pPr>
      <w:r w:rsidRPr="00400B09">
        <w:rPr>
          <w:rFonts w:ascii="Times New Roman" w:hAnsi="Times New Roman" w:cs="Times New Roman"/>
          <w:noProof/>
          <w:color w:val="4472C4"/>
          <w:sz w:val="24"/>
          <w:szCs w:val="24"/>
          <w:lang w:eastAsia="pl-PL"/>
        </w:rPr>
        <w:drawing>
          <wp:inline distT="0" distB="0" distL="0" distR="0" wp14:anchorId="68805979" wp14:editId="5F7180DF">
            <wp:extent cx="4619625" cy="3077204"/>
            <wp:effectExtent l="0" t="0" r="0" b="9525"/>
            <wp:docPr id="41" name="Obraz 41" descr="Zdjęcie 45. Odpady magazynowane na placu przy ul. Wielkopolskiej w Radom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1" descr="Zdjęcie 45. Odpady magazynowane na placu przy ul. Wielkopolskiej w Radomiu"/>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632188" cy="3085573"/>
                    </a:xfrm>
                    <a:prstGeom prst="rect">
                      <a:avLst/>
                    </a:prstGeom>
                    <a:noFill/>
                    <a:ln>
                      <a:noFill/>
                    </a:ln>
                  </pic:spPr>
                </pic:pic>
              </a:graphicData>
            </a:graphic>
          </wp:inline>
        </w:drawing>
      </w:r>
    </w:p>
    <w:p w14:paraId="432E14EF" w14:textId="4B488836" w:rsidR="000D471D" w:rsidRPr="00080275" w:rsidRDefault="000D471D" w:rsidP="000D471D">
      <w:pPr>
        <w:pStyle w:val="Legenda"/>
        <w:spacing w:line="300" w:lineRule="atLeast"/>
        <w:contextualSpacing/>
        <w:jc w:val="center"/>
        <w:rPr>
          <w:i/>
          <w:sz w:val="22"/>
          <w:szCs w:val="22"/>
        </w:rPr>
      </w:pPr>
      <w:r w:rsidRPr="00080275">
        <w:rPr>
          <w:i/>
          <w:color w:val="000000" w:themeColor="text1"/>
          <w:sz w:val="22"/>
          <w:szCs w:val="22"/>
        </w:rPr>
        <w:t xml:space="preserve">Zdjęcie </w:t>
      </w:r>
      <w:r w:rsidR="001A642C">
        <w:rPr>
          <w:i/>
          <w:color w:val="000000" w:themeColor="text1"/>
          <w:sz w:val="22"/>
          <w:szCs w:val="22"/>
          <w:lang w:val="pl-PL"/>
        </w:rPr>
        <w:t>4</w:t>
      </w:r>
      <w:r w:rsidR="00F67169">
        <w:rPr>
          <w:i/>
          <w:color w:val="000000" w:themeColor="text1"/>
          <w:sz w:val="22"/>
          <w:szCs w:val="22"/>
          <w:lang w:val="pl-PL"/>
        </w:rPr>
        <w:t>5</w:t>
      </w:r>
      <w:r w:rsidR="00261F10" w:rsidRPr="00080275">
        <w:rPr>
          <w:i/>
          <w:color w:val="000000" w:themeColor="text1"/>
          <w:sz w:val="22"/>
          <w:szCs w:val="22"/>
          <w:lang w:val="pl-PL"/>
        </w:rPr>
        <w:t>. O</w:t>
      </w:r>
      <w:proofErr w:type="spellStart"/>
      <w:r w:rsidRPr="00080275">
        <w:rPr>
          <w:i/>
          <w:color w:val="000000" w:themeColor="text1"/>
          <w:sz w:val="22"/>
          <w:szCs w:val="22"/>
        </w:rPr>
        <w:t>dpady</w:t>
      </w:r>
      <w:proofErr w:type="spellEnd"/>
      <w:r w:rsidRPr="00080275">
        <w:rPr>
          <w:i/>
          <w:color w:val="000000" w:themeColor="text1"/>
          <w:sz w:val="22"/>
          <w:szCs w:val="22"/>
        </w:rPr>
        <w:t xml:space="preserve"> magazynowane na placu przy ul. Wielkopolskiej w Radomiu</w:t>
      </w:r>
    </w:p>
    <w:p w14:paraId="080A93AB" w14:textId="77777777" w:rsidR="00261F10" w:rsidRPr="00261F10" w:rsidRDefault="00261F10" w:rsidP="00261F10">
      <w:pPr>
        <w:rPr>
          <w:lang w:val="x-none" w:eastAsia="pl-PL"/>
        </w:rPr>
      </w:pPr>
    </w:p>
    <w:p w14:paraId="59E5F867" w14:textId="3AA79523" w:rsidR="000D471D" w:rsidRPr="00400B09" w:rsidRDefault="000D471D" w:rsidP="000D471D">
      <w:pPr>
        <w:keepNext/>
        <w:widowControl w:val="0"/>
        <w:autoSpaceDE w:val="0"/>
        <w:autoSpaceDN w:val="0"/>
        <w:adjustRightInd w:val="0"/>
        <w:spacing w:line="300" w:lineRule="atLeast"/>
        <w:contextualSpacing/>
        <w:jc w:val="center"/>
        <w:rPr>
          <w:rFonts w:ascii="Times New Roman" w:hAnsi="Times New Roman" w:cs="Times New Roman"/>
          <w:sz w:val="24"/>
          <w:szCs w:val="24"/>
        </w:rPr>
      </w:pPr>
      <w:r w:rsidRPr="00400B09">
        <w:rPr>
          <w:rFonts w:ascii="Times New Roman" w:hAnsi="Times New Roman" w:cs="Times New Roman"/>
          <w:noProof/>
          <w:color w:val="4472C4"/>
          <w:sz w:val="24"/>
          <w:szCs w:val="24"/>
          <w:lang w:eastAsia="pl-PL"/>
        </w:rPr>
        <w:lastRenderedPageBreak/>
        <w:drawing>
          <wp:inline distT="0" distB="0" distL="0" distR="0" wp14:anchorId="1EF55CF0" wp14:editId="2C4CD623">
            <wp:extent cx="4991100" cy="3324650"/>
            <wp:effectExtent l="0" t="0" r="0" b="9525"/>
            <wp:docPr id="39" name="Obraz 39" descr="Zdjęcie 46. Plac przy ul. Wielkopolskiej w Radom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descr="Zdjęcie 46. Plac przy ul. Wielkopolskiej w Radomiu"/>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997193" cy="3328709"/>
                    </a:xfrm>
                    <a:prstGeom prst="rect">
                      <a:avLst/>
                    </a:prstGeom>
                    <a:noFill/>
                    <a:ln>
                      <a:noFill/>
                    </a:ln>
                  </pic:spPr>
                </pic:pic>
              </a:graphicData>
            </a:graphic>
          </wp:inline>
        </w:drawing>
      </w:r>
    </w:p>
    <w:p w14:paraId="6677709E" w14:textId="389E57BC" w:rsidR="000D471D" w:rsidRPr="000579EA" w:rsidRDefault="000D471D" w:rsidP="000D471D">
      <w:pPr>
        <w:pStyle w:val="Legenda"/>
        <w:spacing w:line="300" w:lineRule="atLeast"/>
        <w:contextualSpacing/>
        <w:jc w:val="center"/>
        <w:rPr>
          <w:i/>
          <w:sz w:val="22"/>
          <w:szCs w:val="22"/>
        </w:rPr>
      </w:pPr>
      <w:r w:rsidRPr="000579EA">
        <w:rPr>
          <w:i/>
          <w:color w:val="000000" w:themeColor="text1"/>
          <w:sz w:val="22"/>
          <w:szCs w:val="22"/>
        </w:rPr>
        <w:t xml:space="preserve">Zdjęcie </w:t>
      </w:r>
      <w:r w:rsidR="001A642C">
        <w:rPr>
          <w:i/>
          <w:color w:val="000000" w:themeColor="text1"/>
          <w:sz w:val="22"/>
          <w:szCs w:val="22"/>
          <w:lang w:val="pl-PL"/>
        </w:rPr>
        <w:t>4</w:t>
      </w:r>
      <w:r w:rsidR="00CB5B9A">
        <w:rPr>
          <w:i/>
          <w:color w:val="000000" w:themeColor="text1"/>
          <w:sz w:val="22"/>
          <w:szCs w:val="22"/>
          <w:lang w:val="pl-PL"/>
        </w:rPr>
        <w:t>6</w:t>
      </w:r>
      <w:r w:rsidR="00261F10" w:rsidRPr="000579EA">
        <w:rPr>
          <w:i/>
          <w:color w:val="000000" w:themeColor="text1"/>
          <w:sz w:val="22"/>
          <w:szCs w:val="22"/>
          <w:lang w:val="pl-PL"/>
        </w:rPr>
        <w:t>. P</w:t>
      </w:r>
      <w:proofErr w:type="spellStart"/>
      <w:r w:rsidRPr="000579EA">
        <w:rPr>
          <w:i/>
          <w:color w:val="000000" w:themeColor="text1"/>
          <w:sz w:val="22"/>
          <w:szCs w:val="22"/>
        </w:rPr>
        <w:t>lac</w:t>
      </w:r>
      <w:proofErr w:type="spellEnd"/>
      <w:r w:rsidRPr="000579EA">
        <w:rPr>
          <w:i/>
          <w:color w:val="000000" w:themeColor="text1"/>
          <w:sz w:val="22"/>
          <w:szCs w:val="22"/>
        </w:rPr>
        <w:t xml:space="preserve"> przy ul. Wielkopolskiej w Radomiu</w:t>
      </w:r>
    </w:p>
    <w:p w14:paraId="51E7A527" w14:textId="77777777" w:rsidR="00261F10" w:rsidRPr="00261F10" w:rsidRDefault="00261F10" w:rsidP="001355BC">
      <w:pPr>
        <w:spacing w:after="120"/>
        <w:rPr>
          <w:lang w:val="x-none" w:eastAsia="pl-PL"/>
        </w:rPr>
      </w:pPr>
    </w:p>
    <w:p w14:paraId="2F030C87" w14:textId="0AEB996D" w:rsidR="00A22034" w:rsidRPr="007F400A" w:rsidRDefault="00613EB9" w:rsidP="00613EB9">
      <w:pPr>
        <w:spacing w:after="0" w:line="300" w:lineRule="atLeast"/>
        <w:ind w:left="340" w:hanging="340"/>
        <w:jc w:val="both"/>
        <w:outlineLvl w:val="0"/>
        <w:rPr>
          <w:rStyle w:val="Nagwek2Znak"/>
          <w:rFonts w:eastAsia="Calibri"/>
          <w:bCs w:val="0"/>
          <w:color w:val="000000"/>
          <w:szCs w:val="22"/>
          <w:lang w:eastAsia="en-US"/>
        </w:rPr>
      </w:pPr>
      <w:bookmarkStart w:id="346" w:name="_Toc99469622"/>
      <w:bookmarkStart w:id="347" w:name="_Toc135935684"/>
      <w:r w:rsidRPr="007F400A">
        <w:rPr>
          <w:rStyle w:val="Nagwek2Znak"/>
          <w:rFonts w:eastAsia="Calibri"/>
          <w:lang w:val="pl-PL"/>
        </w:rPr>
        <w:t>7.</w:t>
      </w:r>
      <w:r w:rsidR="00A22034" w:rsidRPr="007F400A">
        <w:rPr>
          <w:rStyle w:val="Nagwek2Znak"/>
          <w:rFonts w:eastAsia="Calibri"/>
        </w:rPr>
        <w:t xml:space="preserve"> Zrealizowane zadania prewencyjne oraz współpraca z innymi służbami i organami </w:t>
      </w:r>
      <w:r w:rsidRPr="007F400A">
        <w:rPr>
          <w:rStyle w:val="Nagwek2Znak"/>
          <w:rFonts w:eastAsia="Calibri"/>
        </w:rPr>
        <w:br/>
      </w:r>
      <w:r w:rsidR="00A22034" w:rsidRPr="007F400A">
        <w:rPr>
          <w:rStyle w:val="Nagwek2Znak"/>
          <w:rFonts w:eastAsia="Calibri"/>
        </w:rPr>
        <w:t>w zakresie zwalczania przestępczości środowiskowej</w:t>
      </w:r>
      <w:bookmarkEnd w:id="346"/>
      <w:bookmarkEnd w:id="347"/>
    </w:p>
    <w:p w14:paraId="230453A9" w14:textId="77777777" w:rsidR="00A22034" w:rsidRPr="007F400A" w:rsidRDefault="00A22034" w:rsidP="00A22034">
      <w:pPr>
        <w:pStyle w:val="Akapitzlist"/>
        <w:spacing w:line="300" w:lineRule="atLeast"/>
        <w:ind w:left="360"/>
        <w:jc w:val="both"/>
        <w:rPr>
          <w:b/>
          <w:color w:val="000000"/>
        </w:rPr>
      </w:pPr>
    </w:p>
    <w:p w14:paraId="3F00B6F6" w14:textId="5AF06F4A" w:rsidR="00A22034" w:rsidRPr="001355BC" w:rsidRDefault="00A22034" w:rsidP="001355BC">
      <w:pPr>
        <w:pStyle w:val="Akapitzlist"/>
        <w:numPr>
          <w:ilvl w:val="1"/>
          <w:numId w:val="152"/>
        </w:numPr>
        <w:spacing w:after="120" w:line="300" w:lineRule="atLeast"/>
        <w:contextualSpacing w:val="0"/>
        <w:jc w:val="both"/>
        <w:outlineLvl w:val="0"/>
        <w:rPr>
          <w:b/>
          <w:color w:val="000000" w:themeColor="text1"/>
          <w:sz w:val="24"/>
          <w:szCs w:val="24"/>
          <w:u w:val="single"/>
        </w:rPr>
      </w:pPr>
      <w:bookmarkStart w:id="348" w:name="_Toc99469623"/>
      <w:bookmarkStart w:id="349" w:name="_Toc135935685"/>
      <w:r w:rsidRPr="007F400A">
        <w:rPr>
          <w:rStyle w:val="Nagwek3Znak"/>
          <w:rFonts w:ascii="Times New Roman" w:eastAsia="Calibri" w:hAnsi="Times New Roman"/>
          <w:color w:val="000000" w:themeColor="text1"/>
          <w:sz w:val="24"/>
          <w:szCs w:val="24"/>
        </w:rPr>
        <w:t>Wskazanie ilościowe i omówienie zrealizowanych zadań prewencyjnych, ze szczególnym uwzględnieniem kontroli transportów odpadów</w:t>
      </w:r>
      <w:bookmarkEnd w:id="348"/>
      <w:bookmarkEnd w:id="349"/>
    </w:p>
    <w:p w14:paraId="04F28352" w14:textId="563A8094" w:rsidR="005F7A97" w:rsidRPr="000C0753" w:rsidRDefault="005F7A97" w:rsidP="001355BC">
      <w:pPr>
        <w:pStyle w:val="Bezodstpw"/>
        <w:spacing w:line="300" w:lineRule="atLeast"/>
        <w:ind w:firstLine="567"/>
        <w:contextualSpacing/>
        <w:jc w:val="both"/>
        <w:rPr>
          <w:rFonts w:ascii="Times New Roman" w:hAnsi="Times New Roman"/>
          <w:sz w:val="24"/>
          <w:szCs w:val="24"/>
        </w:rPr>
      </w:pPr>
      <w:r>
        <w:rPr>
          <w:rFonts w:ascii="Times New Roman" w:hAnsi="Times New Roman"/>
          <w:sz w:val="24"/>
          <w:szCs w:val="24"/>
        </w:rPr>
        <w:t>W roku 2022 kontynuowana była o</w:t>
      </w:r>
      <w:r w:rsidRPr="000C0753">
        <w:rPr>
          <w:rFonts w:ascii="Times New Roman" w:hAnsi="Times New Roman"/>
          <w:sz w:val="24"/>
          <w:szCs w:val="24"/>
        </w:rPr>
        <w:t xml:space="preserve">gólnopolska akcja prewencyjnej kontroli transportów odpadów, rozpoczęta w </w:t>
      </w:r>
      <w:r w:rsidR="00CE08DB">
        <w:rPr>
          <w:rFonts w:ascii="Times New Roman" w:hAnsi="Times New Roman"/>
          <w:sz w:val="24"/>
          <w:szCs w:val="24"/>
        </w:rPr>
        <w:t xml:space="preserve">dniu 8 września </w:t>
      </w:r>
      <w:r w:rsidRPr="000C0753">
        <w:rPr>
          <w:rFonts w:ascii="Times New Roman" w:hAnsi="Times New Roman"/>
          <w:sz w:val="24"/>
          <w:szCs w:val="24"/>
        </w:rPr>
        <w:t>2021</w:t>
      </w:r>
      <w:r>
        <w:rPr>
          <w:rFonts w:ascii="Times New Roman" w:hAnsi="Times New Roman"/>
          <w:sz w:val="24"/>
          <w:szCs w:val="24"/>
        </w:rPr>
        <w:t xml:space="preserve"> </w:t>
      </w:r>
      <w:r w:rsidRPr="000C0753">
        <w:rPr>
          <w:rFonts w:ascii="Times New Roman" w:hAnsi="Times New Roman"/>
          <w:sz w:val="24"/>
          <w:szCs w:val="24"/>
        </w:rPr>
        <w:t>r. Dane dotyczące kontroli pojazdów przedstawi</w:t>
      </w:r>
      <w:r w:rsidR="002F7126">
        <w:rPr>
          <w:rFonts w:ascii="Times New Roman" w:hAnsi="Times New Roman"/>
          <w:sz w:val="24"/>
          <w:szCs w:val="24"/>
        </w:rPr>
        <w:t>a</w:t>
      </w:r>
      <w:r w:rsidRPr="000C0753">
        <w:rPr>
          <w:rFonts w:ascii="Times New Roman" w:hAnsi="Times New Roman"/>
          <w:sz w:val="24"/>
          <w:szCs w:val="24"/>
        </w:rPr>
        <w:t xml:space="preserve">  tabel</w:t>
      </w:r>
      <w:r w:rsidR="002F7126">
        <w:rPr>
          <w:rFonts w:ascii="Times New Roman" w:hAnsi="Times New Roman"/>
          <w:sz w:val="24"/>
          <w:szCs w:val="24"/>
        </w:rPr>
        <w:t>a</w:t>
      </w:r>
      <w:r w:rsidRPr="000C0753">
        <w:rPr>
          <w:rFonts w:ascii="Times New Roman" w:hAnsi="Times New Roman"/>
          <w:sz w:val="24"/>
          <w:szCs w:val="24"/>
        </w:rPr>
        <w:t xml:space="preserve"> poniżej.</w:t>
      </w:r>
    </w:p>
    <w:p w14:paraId="52C1C769" w14:textId="77777777" w:rsidR="005F7A97" w:rsidRPr="000C0753" w:rsidRDefault="005F7A97" w:rsidP="005F7A97">
      <w:pPr>
        <w:pStyle w:val="Bezodstpw"/>
        <w:spacing w:line="300" w:lineRule="atLeast"/>
        <w:contextualSpacing/>
        <w:jc w:val="both"/>
        <w:rPr>
          <w:rFonts w:ascii="Times New Roman" w:hAnsi="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85" w:type="dxa"/>
          <w:left w:w="57" w:type="dxa"/>
          <w:bottom w:w="85" w:type="dxa"/>
          <w:right w:w="57" w:type="dxa"/>
        </w:tblCellMar>
        <w:tblLook w:val="04A0" w:firstRow="1" w:lastRow="0" w:firstColumn="1" w:lastColumn="0" w:noHBand="0" w:noVBand="1"/>
      </w:tblPr>
      <w:tblGrid>
        <w:gridCol w:w="679"/>
        <w:gridCol w:w="3886"/>
        <w:gridCol w:w="4496"/>
      </w:tblGrid>
      <w:tr w:rsidR="005F7A97" w:rsidRPr="000C0753" w14:paraId="34E2BF4F" w14:textId="77777777" w:rsidTr="001630C0">
        <w:tc>
          <w:tcPr>
            <w:tcW w:w="9061" w:type="dxa"/>
            <w:gridSpan w:val="3"/>
            <w:tcBorders>
              <w:top w:val="single" w:sz="4" w:space="0" w:color="000000"/>
              <w:left w:val="single" w:sz="4" w:space="0" w:color="000000"/>
              <w:bottom w:val="single" w:sz="4" w:space="0" w:color="000000"/>
              <w:right w:val="single" w:sz="4" w:space="0" w:color="000000"/>
            </w:tcBorders>
            <w:hideMark/>
          </w:tcPr>
          <w:p w14:paraId="6F0BDB23" w14:textId="1C7AF06E" w:rsidR="005F7A97" w:rsidRPr="005F7A97" w:rsidRDefault="005F7A97" w:rsidP="001630C0">
            <w:pPr>
              <w:tabs>
                <w:tab w:val="left" w:pos="3974"/>
              </w:tabs>
              <w:spacing w:line="300" w:lineRule="atLeast"/>
              <w:contextualSpacing/>
              <w:jc w:val="center"/>
              <w:rPr>
                <w:rFonts w:ascii="Times New Roman" w:hAnsi="Times New Roman" w:cs="Times New Roman"/>
                <w:b/>
                <w:strike/>
                <w:sz w:val="24"/>
                <w:szCs w:val="24"/>
              </w:rPr>
            </w:pPr>
            <w:r w:rsidRPr="005F7A97">
              <w:rPr>
                <w:rFonts w:ascii="Times New Roman" w:hAnsi="Times New Roman" w:cs="Times New Roman"/>
                <w:b/>
                <w:sz w:val="24"/>
                <w:szCs w:val="24"/>
              </w:rPr>
              <w:t xml:space="preserve">Dane po zakończeniu akcji za rok 2022 r. </w:t>
            </w:r>
          </w:p>
        </w:tc>
      </w:tr>
      <w:tr w:rsidR="005F7A97" w:rsidRPr="000C0753" w14:paraId="39EF0897" w14:textId="77777777" w:rsidTr="001630C0">
        <w:tc>
          <w:tcPr>
            <w:tcW w:w="679" w:type="dxa"/>
            <w:tcBorders>
              <w:top w:val="single" w:sz="4" w:space="0" w:color="000000"/>
              <w:left w:val="single" w:sz="4" w:space="0" w:color="000000"/>
              <w:bottom w:val="single" w:sz="4" w:space="0" w:color="000000"/>
              <w:right w:val="single" w:sz="4" w:space="0" w:color="000000"/>
            </w:tcBorders>
            <w:vAlign w:val="center"/>
            <w:hideMark/>
          </w:tcPr>
          <w:p w14:paraId="79D1FB42" w14:textId="77777777" w:rsidR="005F7A97" w:rsidRPr="005F7A97" w:rsidRDefault="005F7A97" w:rsidP="001630C0">
            <w:pPr>
              <w:spacing w:line="300" w:lineRule="atLeast"/>
              <w:contextualSpacing/>
              <w:jc w:val="center"/>
              <w:rPr>
                <w:rFonts w:ascii="Times New Roman" w:hAnsi="Times New Roman" w:cs="Times New Roman"/>
                <w:b/>
                <w:sz w:val="24"/>
                <w:szCs w:val="24"/>
              </w:rPr>
            </w:pPr>
            <w:r w:rsidRPr="005F7A97">
              <w:rPr>
                <w:rFonts w:ascii="Times New Roman" w:hAnsi="Times New Roman" w:cs="Times New Roman"/>
                <w:b/>
                <w:sz w:val="24"/>
                <w:szCs w:val="24"/>
              </w:rPr>
              <w:t>Lp.</w:t>
            </w:r>
          </w:p>
        </w:tc>
        <w:tc>
          <w:tcPr>
            <w:tcW w:w="3886" w:type="dxa"/>
            <w:tcBorders>
              <w:top w:val="single" w:sz="4" w:space="0" w:color="000000"/>
              <w:left w:val="single" w:sz="4" w:space="0" w:color="000000"/>
              <w:bottom w:val="single" w:sz="4" w:space="0" w:color="000000"/>
              <w:right w:val="single" w:sz="4" w:space="0" w:color="000000"/>
            </w:tcBorders>
            <w:vAlign w:val="center"/>
            <w:hideMark/>
          </w:tcPr>
          <w:p w14:paraId="07A110B6" w14:textId="77777777" w:rsidR="005F7A97" w:rsidRPr="005F7A97" w:rsidRDefault="005F7A97" w:rsidP="001630C0">
            <w:pPr>
              <w:spacing w:line="300" w:lineRule="atLeast"/>
              <w:contextualSpacing/>
              <w:jc w:val="center"/>
              <w:rPr>
                <w:rFonts w:ascii="Times New Roman" w:hAnsi="Times New Roman" w:cs="Times New Roman"/>
                <w:b/>
                <w:sz w:val="24"/>
                <w:szCs w:val="24"/>
              </w:rPr>
            </w:pPr>
            <w:r w:rsidRPr="005F7A97">
              <w:rPr>
                <w:rFonts w:ascii="Times New Roman" w:hAnsi="Times New Roman" w:cs="Times New Roman"/>
                <w:b/>
                <w:sz w:val="24"/>
                <w:szCs w:val="24"/>
              </w:rPr>
              <w:t>Jednostka, komórka organizacyjna, dane kontaktowe</w:t>
            </w:r>
          </w:p>
        </w:tc>
        <w:tc>
          <w:tcPr>
            <w:tcW w:w="4496" w:type="dxa"/>
            <w:tcBorders>
              <w:top w:val="single" w:sz="4" w:space="0" w:color="000000"/>
              <w:left w:val="single" w:sz="4" w:space="0" w:color="000000"/>
              <w:bottom w:val="single" w:sz="4" w:space="0" w:color="000000"/>
              <w:right w:val="single" w:sz="4" w:space="0" w:color="000000"/>
            </w:tcBorders>
            <w:vAlign w:val="center"/>
          </w:tcPr>
          <w:p w14:paraId="490AC1CD" w14:textId="657A0532" w:rsidR="005F7A97" w:rsidRPr="005F7A97" w:rsidRDefault="005F7A97" w:rsidP="001630C0">
            <w:pPr>
              <w:tabs>
                <w:tab w:val="left" w:pos="4560"/>
              </w:tabs>
              <w:spacing w:line="300" w:lineRule="atLeast"/>
              <w:contextualSpacing/>
              <w:jc w:val="center"/>
              <w:rPr>
                <w:rFonts w:ascii="Times New Roman" w:hAnsi="Times New Roman" w:cs="Times New Roman"/>
                <w:sz w:val="24"/>
                <w:szCs w:val="24"/>
              </w:rPr>
            </w:pPr>
            <w:r w:rsidRPr="005F7A97">
              <w:rPr>
                <w:rFonts w:ascii="Times New Roman" w:hAnsi="Times New Roman" w:cs="Times New Roman"/>
                <w:b/>
                <w:sz w:val="24"/>
                <w:szCs w:val="24"/>
              </w:rPr>
              <w:t>Dane przekazane przez wszystkie WIOŚ biorące udział w działaniach</w:t>
            </w:r>
            <w:r w:rsidRPr="005F7A97">
              <w:rPr>
                <w:rFonts w:ascii="Times New Roman" w:hAnsi="Times New Roman" w:cs="Times New Roman"/>
                <w:sz w:val="24"/>
                <w:szCs w:val="24"/>
              </w:rPr>
              <w:t xml:space="preserve"> </w:t>
            </w:r>
          </w:p>
          <w:p w14:paraId="3CB9AB57" w14:textId="77777777" w:rsidR="005F7A97" w:rsidRPr="005F7A97" w:rsidRDefault="005F7A97" w:rsidP="001630C0">
            <w:pPr>
              <w:tabs>
                <w:tab w:val="left" w:pos="4560"/>
              </w:tabs>
              <w:spacing w:line="300" w:lineRule="atLeast"/>
              <w:contextualSpacing/>
              <w:jc w:val="center"/>
              <w:rPr>
                <w:rFonts w:ascii="Times New Roman" w:hAnsi="Times New Roman" w:cs="Times New Roman"/>
                <w:sz w:val="24"/>
                <w:szCs w:val="24"/>
              </w:rPr>
            </w:pPr>
          </w:p>
        </w:tc>
      </w:tr>
      <w:tr w:rsidR="005F7A97" w:rsidRPr="000C0753" w14:paraId="6D362806" w14:textId="77777777" w:rsidTr="001630C0">
        <w:trPr>
          <w:trHeight w:val="449"/>
        </w:trPr>
        <w:tc>
          <w:tcPr>
            <w:tcW w:w="679" w:type="dxa"/>
            <w:tcBorders>
              <w:top w:val="single" w:sz="4" w:space="0" w:color="000000"/>
              <w:left w:val="single" w:sz="4" w:space="0" w:color="000000"/>
              <w:bottom w:val="single" w:sz="4" w:space="0" w:color="000000"/>
              <w:right w:val="single" w:sz="4" w:space="0" w:color="000000"/>
            </w:tcBorders>
            <w:vAlign w:val="center"/>
            <w:hideMark/>
          </w:tcPr>
          <w:p w14:paraId="2229567C" w14:textId="77777777" w:rsidR="005F7A97" w:rsidRPr="005F7A97" w:rsidRDefault="005F7A97" w:rsidP="001630C0">
            <w:pPr>
              <w:spacing w:line="300" w:lineRule="atLeast"/>
              <w:contextualSpacing/>
              <w:jc w:val="center"/>
              <w:rPr>
                <w:rFonts w:ascii="Times New Roman" w:hAnsi="Times New Roman" w:cs="Times New Roman"/>
                <w:b/>
                <w:sz w:val="24"/>
                <w:szCs w:val="24"/>
              </w:rPr>
            </w:pPr>
            <w:r w:rsidRPr="005F7A97">
              <w:rPr>
                <w:rFonts w:ascii="Times New Roman" w:hAnsi="Times New Roman" w:cs="Times New Roman"/>
                <w:b/>
                <w:sz w:val="24"/>
                <w:szCs w:val="24"/>
              </w:rPr>
              <w:t>1.1</w:t>
            </w:r>
          </w:p>
        </w:tc>
        <w:tc>
          <w:tcPr>
            <w:tcW w:w="3886" w:type="dxa"/>
            <w:tcBorders>
              <w:top w:val="single" w:sz="4" w:space="0" w:color="000000"/>
              <w:left w:val="single" w:sz="4" w:space="0" w:color="000000"/>
              <w:bottom w:val="single" w:sz="4" w:space="0" w:color="000000"/>
              <w:right w:val="single" w:sz="4" w:space="0" w:color="000000"/>
            </w:tcBorders>
            <w:hideMark/>
          </w:tcPr>
          <w:p w14:paraId="26E78D6B" w14:textId="4AAD57CA" w:rsidR="005F7A97" w:rsidRPr="005F7A97" w:rsidRDefault="005F7A97" w:rsidP="001630C0">
            <w:pPr>
              <w:spacing w:line="300" w:lineRule="atLeast"/>
              <w:contextualSpacing/>
              <w:jc w:val="center"/>
              <w:rPr>
                <w:rFonts w:ascii="Times New Roman" w:hAnsi="Times New Roman" w:cs="Times New Roman"/>
                <w:b/>
                <w:sz w:val="24"/>
                <w:szCs w:val="24"/>
              </w:rPr>
            </w:pPr>
            <w:r w:rsidRPr="005F7A97">
              <w:rPr>
                <w:rFonts w:ascii="Times New Roman" w:hAnsi="Times New Roman" w:cs="Times New Roman"/>
                <w:b/>
                <w:sz w:val="24"/>
                <w:szCs w:val="24"/>
              </w:rPr>
              <w:t xml:space="preserve">Liczba </w:t>
            </w:r>
            <w:r w:rsidRPr="005F7A97">
              <w:rPr>
                <w:rFonts w:ascii="Times New Roman" w:hAnsi="Times New Roman" w:cs="Times New Roman"/>
                <w:b/>
                <w:sz w:val="24"/>
                <w:szCs w:val="24"/>
                <w:u w:val="single"/>
              </w:rPr>
              <w:t xml:space="preserve">wszystkich </w:t>
            </w:r>
            <w:r w:rsidRPr="005F7A97">
              <w:rPr>
                <w:rFonts w:ascii="Times New Roman" w:hAnsi="Times New Roman" w:cs="Times New Roman"/>
                <w:b/>
                <w:sz w:val="24"/>
                <w:szCs w:val="24"/>
              </w:rPr>
              <w:t xml:space="preserve">skontrolowanych pojazdów </w:t>
            </w:r>
          </w:p>
        </w:tc>
        <w:tc>
          <w:tcPr>
            <w:tcW w:w="4496" w:type="dxa"/>
            <w:tcBorders>
              <w:top w:val="single" w:sz="4" w:space="0" w:color="000000"/>
              <w:left w:val="single" w:sz="4" w:space="0" w:color="000000"/>
              <w:bottom w:val="single" w:sz="4" w:space="0" w:color="000000"/>
              <w:right w:val="single" w:sz="4" w:space="0" w:color="000000"/>
            </w:tcBorders>
            <w:vAlign w:val="center"/>
            <w:hideMark/>
          </w:tcPr>
          <w:p w14:paraId="1C290875" w14:textId="77777777" w:rsidR="005F7A97" w:rsidRPr="005F7A97" w:rsidRDefault="005F7A97" w:rsidP="001630C0">
            <w:pPr>
              <w:spacing w:line="300" w:lineRule="atLeast"/>
              <w:contextualSpacing/>
              <w:jc w:val="center"/>
              <w:rPr>
                <w:rFonts w:ascii="Times New Roman" w:hAnsi="Times New Roman" w:cs="Times New Roman"/>
                <w:b/>
                <w:sz w:val="24"/>
                <w:szCs w:val="24"/>
              </w:rPr>
            </w:pPr>
            <w:r w:rsidRPr="005F7A97">
              <w:rPr>
                <w:rFonts w:ascii="Times New Roman" w:hAnsi="Times New Roman" w:cs="Times New Roman"/>
                <w:b/>
                <w:sz w:val="24"/>
                <w:szCs w:val="24"/>
              </w:rPr>
              <w:t>3 690</w:t>
            </w:r>
          </w:p>
        </w:tc>
      </w:tr>
      <w:tr w:rsidR="005F7A97" w:rsidRPr="000C0753" w14:paraId="7CCF198A" w14:textId="77777777" w:rsidTr="001630C0">
        <w:tc>
          <w:tcPr>
            <w:tcW w:w="679" w:type="dxa"/>
            <w:tcBorders>
              <w:top w:val="single" w:sz="4" w:space="0" w:color="000000"/>
              <w:left w:val="single" w:sz="4" w:space="0" w:color="000000"/>
              <w:bottom w:val="single" w:sz="4" w:space="0" w:color="000000"/>
              <w:right w:val="single" w:sz="4" w:space="0" w:color="000000"/>
            </w:tcBorders>
            <w:vAlign w:val="center"/>
            <w:hideMark/>
          </w:tcPr>
          <w:p w14:paraId="51AA5EDF" w14:textId="77777777" w:rsidR="005F7A97" w:rsidRPr="005F7A97" w:rsidRDefault="005F7A97" w:rsidP="001630C0">
            <w:pPr>
              <w:spacing w:line="300" w:lineRule="atLeast"/>
              <w:contextualSpacing/>
              <w:jc w:val="center"/>
              <w:rPr>
                <w:rFonts w:ascii="Times New Roman" w:hAnsi="Times New Roman" w:cs="Times New Roman"/>
                <w:b/>
                <w:sz w:val="24"/>
                <w:szCs w:val="24"/>
              </w:rPr>
            </w:pPr>
            <w:r w:rsidRPr="005F7A97">
              <w:rPr>
                <w:rFonts w:ascii="Times New Roman" w:hAnsi="Times New Roman" w:cs="Times New Roman"/>
                <w:b/>
                <w:sz w:val="24"/>
                <w:szCs w:val="24"/>
              </w:rPr>
              <w:t>1.2</w:t>
            </w:r>
          </w:p>
        </w:tc>
        <w:tc>
          <w:tcPr>
            <w:tcW w:w="3886" w:type="dxa"/>
            <w:tcBorders>
              <w:top w:val="single" w:sz="4" w:space="0" w:color="000000"/>
              <w:left w:val="single" w:sz="4" w:space="0" w:color="000000"/>
              <w:bottom w:val="single" w:sz="4" w:space="0" w:color="000000"/>
              <w:right w:val="single" w:sz="4" w:space="0" w:color="000000"/>
            </w:tcBorders>
            <w:hideMark/>
          </w:tcPr>
          <w:p w14:paraId="1006720C" w14:textId="770DBF8A" w:rsidR="005F7A97" w:rsidRPr="005F7A97" w:rsidRDefault="005F7A97" w:rsidP="001630C0">
            <w:pPr>
              <w:spacing w:line="300" w:lineRule="atLeast"/>
              <w:contextualSpacing/>
              <w:jc w:val="center"/>
              <w:rPr>
                <w:rFonts w:ascii="Times New Roman" w:hAnsi="Times New Roman" w:cs="Times New Roman"/>
                <w:b/>
                <w:sz w:val="24"/>
                <w:szCs w:val="24"/>
              </w:rPr>
            </w:pPr>
            <w:r w:rsidRPr="005F7A97">
              <w:rPr>
                <w:rFonts w:ascii="Times New Roman" w:hAnsi="Times New Roman" w:cs="Times New Roman"/>
                <w:b/>
                <w:sz w:val="24"/>
                <w:szCs w:val="24"/>
              </w:rPr>
              <w:t xml:space="preserve">Liczba skontrolowanych pojazdów </w:t>
            </w:r>
            <w:r w:rsidRPr="005F7A97">
              <w:rPr>
                <w:rFonts w:ascii="Times New Roman" w:hAnsi="Times New Roman" w:cs="Times New Roman"/>
                <w:b/>
                <w:sz w:val="24"/>
                <w:szCs w:val="24"/>
                <w:u w:val="single"/>
              </w:rPr>
              <w:t>przewożących odpady</w:t>
            </w:r>
          </w:p>
        </w:tc>
        <w:tc>
          <w:tcPr>
            <w:tcW w:w="4496" w:type="dxa"/>
            <w:tcBorders>
              <w:top w:val="single" w:sz="4" w:space="0" w:color="000000"/>
              <w:left w:val="single" w:sz="4" w:space="0" w:color="000000"/>
              <w:bottom w:val="single" w:sz="4" w:space="0" w:color="000000"/>
              <w:right w:val="single" w:sz="4" w:space="0" w:color="000000"/>
            </w:tcBorders>
            <w:vAlign w:val="center"/>
            <w:hideMark/>
          </w:tcPr>
          <w:p w14:paraId="6251F273" w14:textId="77777777" w:rsidR="005F7A97" w:rsidRPr="005F7A97" w:rsidRDefault="005F7A97" w:rsidP="001630C0">
            <w:pPr>
              <w:spacing w:line="300" w:lineRule="atLeast"/>
              <w:contextualSpacing/>
              <w:jc w:val="center"/>
              <w:rPr>
                <w:rFonts w:ascii="Times New Roman" w:hAnsi="Times New Roman" w:cs="Times New Roman"/>
                <w:b/>
                <w:sz w:val="24"/>
                <w:szCs w:val="24"/>
              </w:rPr>
            </w:pPr>
            <w:r w:rsidRPr="005F7A97">
              <w:rPr>
                <w:rFonts w:ascii="Times New Roman" w:hAnsi="Times New Roman" w:cs="Times New Roman"/>
                <w:b/>
                <w:sz w:val="24"/>
                <w:szCs w:val="24"/>
              </w:rPr>
              <w:t>1 074</w:t>
            </w:r>
          </w:p>
        </w:tc>
      </w:tr>
      <w:tr w:rsidR="005F7A97" w:rsidRPr="000C0753" w14:paraId="564EA683" w14:textId="77777777" w:rsidTr="001630C0">
        <w:tc>
          <w:tcPr>
            <w:tcW w:w="679" w:type="dxa"/>
            <w:tcBorders>
              <w:top w:val="single" w:sz="4" w:space="0" w:color="000000"/>
              <w:left w:val="single" w:sz="4" w:space="0" w:color="000000"/>
              <w:bottom w:val="single" w:sz="4" w:space="0" w:color="000000"/>
              <w:right w:val="single" w:sz="4" w:space="0" w:color="000000"/>
            </w:tcBorders>
            <w:vAlign w:val="center"/>
            <w:hideMark/>
          </w:tcPr>
          <w:p w14:paraId="3013B553" w14:textId="77777777" w:rsidR="005F7A97" w:rsidRPr="005F7A97" w:rsidRDefault="005F7A97" w:rsidP="001630C0">
            <w:pPr>
              <w:spacing w:line="300" w:lineRule="atLeast"/>
              <w:contextualSpacing/>
              <w:jc w:val="center"/>
              <w:rPr>
                <w:rFonts w:ascii="Times New Roman" w:hAnsi="Times New Roman" w:cs="Times New Roman"/>
                <w:b/>
                <w:sz w:val="24"/>
                <w:szCs w:val="24"/>
              </w:rPr>
            </w:pPr>
            <w:r w:rsidRPr="005F7A97">
              <w:rPr>
                <w:rFonts w:ascii="Times New Roman" w:hAnsi="Times New Roman" w:cs="Times New Roman"/>
                <w:b/>
                <w:sz w:val="24"/>
                <w:szCs w:val="24"/>
              </w:rPr>
              <w:t>1.3</w:t>
            </w:r>
          </w:p>
        </w:tc>
        <w:tc>
          <w:tcPr>
            <w:tcW w:w="3886" w:type="dxa"/>
            <w:tcBorders>
              <w:top w:val="single" w:sz="4" w:space="0" w:color="000000"/>
              <w:left w:val="single" w:sz="4" w:space="0" w:color="000000"/>
              <w:bottom w:val="single" w:sz="4" w:space="0" w:color="000000"/>
              <w:right w:val="single" w:sz="4" w:space="0" w:color="000000"/>
            </w:tcBorders>
            <w:hideMark/>
          </w:tcPr>
          <w:p w14:paraId="7F200418" w14:textId="152636F1" w:rsidR="005F7A97" w:rsidRPr="005F7A97" w:rsidRDefault="005F7A97" w:rsidP="001630C0">
            <w:pPr>
              <w:spacing w:line="300" w:lineRule="atLeast"/>
              <w:contextualSpacing/>
              <w:jc w:val="center"/>
              <w:rPr>
                <w:rFonts w:ascii="Times New Roman" w:hAnsi="Times New Roman" w:cs="Times New Roman"/>
                <w:b/>
                <w:sz w:val="24"/>
                <w:szCs w:val="24"/>
              </w:rPr>
            </w:pPr>
            <w:r w:rsidRPr="005F7A97">
              <w:rPr>
                <w:rFonts w:ascii="Times New Roman" w:hAnsi="Times New Roman" w:cs="Times New Roman"/>
                <w:b/>
                <w:sz w:val="24"/>
                <w:szCs w:val="24"/>
              </w:rPr>
              <w:t xml:space="preserve">Liczba ujawnionych </w:t>
            </w:r>
            <w:r w:rsidRPr="005F7A97">
              <w:rPr>
                <w:rFonts w:ascii="Times New Roman" w:hAnsi="Times New Roman" w:cs="Times New Roman"/>
                <w:b/>
                <w:sz w:val="24"/>
                <w:szCs w:val="24"/>
                <w:u w:val="single"/>
              </w:rPr>
              <w:t>nielegalnych</w:t>
            </w:r>
            <w:r w:rsidRPr="005F7A97">
              <w:rPr>
                <w:rFonts w:ascii="Times New Roman" w:hAnsi="Times New Roman" w:cs="Times New Roman"/>
                <w:b/>
                <w:sz w:val="24"/>
                <w:szCs w:val="24"/>
              </w:rPr>
              <w:t xml:space="preserve"> transportów odpadów, w tym:</w:t>
            </w:r>
          </w:p>
        </w:tc>
        <w:tc>
          <w:tcPr>
            <w:tcW w:w="4496" w:type="dxa"/>
            <w:tcBorders>
              <w:top w:val="single" w:sz="4" w:space="0" w:color="000000"/>
              <w:left w:val="single" w:sz="4" w:space="0" w:color="000000"/>
              <w:bottom w:val="single" w:sz="4" w:space="0" w:color="000000"/>
              <w:right w:val="single" w:sz="4" w:space="0" w:color="000000"/>
            </w:tcBorders>
            <w:vAlign w:val="center"/>
            <w:hideMark/>
          </w:tcPr>
          <w:p w14:paraId="0A4A0FD9" w14:textId="77777777" w:rsidR="005F7A97" w:rsidRPr="005F7A97" w:rsidRDefault="005F7A97" w:rsidP="001630C0">
            <w:pPr>
              <w:spacing w:line="300" w:lineRule="atLeast"/>
              <w:contextualSpacing/>
              <w:jc w:val="center"/>
              <w:rPr>
                <w:rFonts w:ascii="Times New Roman" w:hAnsi="Times New Roman" w:cs="Times New Roman"/>
                <w:b/>
                <w:sz w:val="24"/>
                <w:szCs w:val="24"/>
              </w:rPr>
            </w:pPr>
            <w:r w:rsidRPr="005F7A97">
              <w:rPr>
                <w:rFonts w:ascii="Times New Roman" w:hAnsi="Times New Roman" w:cs="Times New Roman"/>
                <w:b/>
                <w:sz w:val="24"/>
                <w:szCs w:val="24"/>
              </w:rPr>
              <w:t>42</w:t>
            </w:r>
          </w:p>
        </w:tc>
      </w:tr>
      <w:tr w:rsidR="005F7A97" w:rsidRPr="000C0753" w14:paraId="0EA51B95" w14:textId="77777777" w:rsidTr="001630C0">
        <w:tc>
          <w:tcPr>
            <w:tcW w:w="679" w:type="dxa"/>
            <w:tcBorders>
              <w:top w:val="single" w:sz="4" w:space="0" w:color="000000"/>
              <w:left w:val="single" w:sz="4" w:space="0" w:color="000000"/>
              <w:bottom w:val="single" w:sz="4" w:space="0" w:color="000000"/>
              <w:right w:val="single" w:sz="4" w:space="0" w:color="000000"/>
            </w:tcBorders>
            <w:vAlign w:val="center"/>
            <w:hideMark/>
          </w:tcPr>
          <w:p w14:paraId="2256CFA6" w14:textId="77777777" w:rsidR="005F7A97" w:rsidRPr="005F7A97" w:rsidRDefault="005F7A97" w:rsidP="001630C0">
            <w:pPr>
              <w:spacing w:line="300" w:lineRule="atLeast"/>
              <w:contextualSpacing/>
              <w:jc w:val="center"/>
              <w:rPr>
                <w:rFonts w:ascii="Times New Roman" w:hAnsi="Times New Roman" w:cs="Times New Roman"/>
                <w:b/>
                <w:sz w:val="24"/>
                <w:szCs w:val="24"/>
              </w:rPr>
            </w:pPr>
            <w:r w:rsidRPr="005F7A97">
              <w:rPr>
                <w:rFonts w:ascii="Times New Roman" w:hAnsi="Times New Roman" w:cs="Times New Roman"/>
                <w:b/>
                <w:sz w:val="24"/>
                <w:szCs w:val="24"/>
              </w:rPr>
              <w:t>1.3.1</w:t>
            </w:r>
          </w:p>
        </w:tc>
        <w:tc>
          <w:tcPr>
            <w:tcW w:w="3886" w:type="dxa"/>
            <w:tcBorders>
              <w:top w:val="single" w:sz="4" w:space="0" w:color="000000"/>
              <w:left w:val="single" w:sz="4" w:space="0" w:color="000000"/>
              <w:bottom w:val="single" w:sz="4" w:space="0" w:color="000000"/>
              <w:right w:val="single" w:sz="4" w:space="0" w:color="000000"/>
            </w:tcBorders>
            <w:hideMark/>
          </w:tcPr>
          <w:p w14:paraId="7768E7E5" w14:textId="77777777" w:rsidR="005F7A97" w:rsidRPr="005F7A97" w:rsidRDefault="005F7A97" w:rsidP="001630C0">
            <w:pPr>
              <w:spacing w:line="300" w:lineRule="atLeast"/>
              <w:contextualSpacing/>
              <w:jc w:val="center"/>
              <w:rPr>
                <w:rFonts w:ascii="Times New Roman" w:hAnsi="Times New Roman" w:cs="Times New Roman"/>
                <w:b/>
                <w:sz w:val="24"/>
                <w:szCs w:val="24"/>
              </w:rPr>
            </w:pPr>
            <w:r w:rsidRPr="005F7A97">
              <w:rPr>
                <w:rFonts w:ascii="Times New Roman" w:hAnsi="Times New Roman" w:cs="Times New Roman"/>
                <w:b/>
                <w:sz w:val="24"/>
                <w:szCs w:val="24"/>
              </w:rPr>
              <w:t xml:space="preserve">Liczba ujawnionych </w:t>
            </w:r>
            <w:r w:rsidRPr="005F7A97">
              <w:rPr>
                <w:rFonts w:ascii="Times New Roman" w:hAnsi="Times New Roman" w:cs="Times New Roman"/>
                <w:b/>
                <w:sz w:val="24"/>
                <w:szCs w:val="24"/>
                <w:u w:val="single"/>
              </w:rPr>
              <w:t>nielegalnych TPO</w:t>
            </w:r>
          </w:p>
        </w:tc>
        <w:tc>
          <w:tcPr>
            <w:tcW w:w="4496" w:type="dxa"/>
            <w:tcBorders>
              <w:top w:val="single" w:sz="4" w:space="0" w:color="000000"/>
              <w:left w:val="single" w:sz="4" w:space="0" w:color="000000"/>
              <w:bottom w:val="single" w:sz="4" w:space="0" w:color="000000"/>
              <w:right w:val="single" w:sz="4" w:space="0" w:color="000000"/>
            </w:tcBorders>
            <w:vAlign w:val="center"/>
            <w:hideMark/>
          </w:tcPr>
          <w:p w14:paraId="0E953F2B" w14:textId="77777777" w:rsidR="005F7A97" w:rsidRPr="005F7A97" w:rsidRDefault="005F7A97" w:rsidP="001630C0">
            <w:pPr>
              <w:spacing w:line="300" w:lineRule="atLeast"/>
              <w:contextualSpacing/>
              <w:jc w:val="center"/>
              <w:rPr>
                <w:rFonts w:ascii="Times New Roman" w:hAnsi="Times New Roman" w:cs="Times New Roman"/>
                <w:b/>
                <w:sz w:val="24"/>
                <w:szCs w:val="24"/>
              </w:rPr>
            </w:pPr>
            <w:r w:rsidRPr="005F7A97">
              <w:rPr>
                <w:rFonts w:ascii="Times New Roman" w:hAnsi="Times New Roman" w:cs="Times New Roman"/>
                <w:b/>
                <w:sz w:val="24"/>
                <w:szCs w:val="24"/>
              </w:rPr>
              <w:t>13</w:t>
            </w:r>
          </w:p>
        </w:tc>
      </w:tr>
      <w:tr w:rsidR="005F7A97" w:rsidRPr="00151E9B" w14:paraId="1E4F95EB" w14:textId="77777777" w:rsidTr="001630C0">
        <w:tc>
          <w:tcPr>
            <w:tcW w:w="679" w:type="dxa"/>
            <w:tcBorders>
              <w:top w:val="single" w:sz="4" w:space="0" w:color="000000"/>
              <w:left w:val="single" w:sz="4" w:space="0" w:color="000000"/>
              <w:bottom w:val="single" w:sz="4" w:space="0" w:color="000000"/>
              <w:right w:val="single" w:sz="4" w:space="0" w:color="000000"/>
            </w:tcBorders>
            <w:vAlign w:val="center"/>
            <w:hideMark/>
          </w:tcPr>
          <w:p w14:paraId="6F1FD720" w14:textId="77777777" w:rsidR="005F7A97" w:rsidRPr="00151E9B" w:rsidRDefault="005F7A97" w:rsidP="001630C0">
            <w:pPr>
              <w:spacing w:line="300" w:lineRule="atLeast"/>
              <w:contextualSpacing/>
              <w:jc w:val="center"/>
              <w:rPr>
                <w:rFonts w:ascii="Times New Roman" w:hAnsi="Times New Roman" w:cs="Times New Roman"/>
                <w:b/>
                <w:sz w:val="24"/>
                <w:szCs w:val="24"/>
              </w:rPr>
            </w:pPr>
            <w:r w:rsidRPr="00151E9B">
              <w:rPr>
                <w:rFonts w:ascii="Times New Roman" w:hAnsi="Times New Roman" w:cs="Times New Roman"/>
                <w:b/>
                <w:sz w:val="24"/>
                <w:szCs w:val="24"/>
              </w:rPr>
              <w:lastRenderedPageBreak/>
              <w:t>1.3.2</w:t>
            </w:r>
          </w:p>
        </w:tc>
        <w:tc>
          <w:tcPr>
            <w:tcW w:w="3886" w:type="dxa"/>
            <w:tcBorders>
              <w:top w:val="single" w:sz="4" w:space="0" w:color="000000"/>
              <w:left w:val="single" w:sz="4" w:space="0" w:color="000000"/>
              <w:bottom w:val="single" w:sz="4" w:space="0" w:color="000000"/>
              <w:right w:val="single" w:sz="4" w:space="0" w:color="000000"/>
            </w:tcBorders>
            <w:vAlign w:val="center"/>
            <w:hideMark/>
          </w:tcPr>
          <w:p w14:paraId="338CE914" w14:textId="53967F5B" w:rsidR="005F7A97" w:rsidRPr="00151E9B" w:rsidRDefault="005F7A97" w:rsidP="001630C0">
            <w:pPr>
              <w:spacing w:line="300" w:lineRule="atLeast"/>
              <w:contextualSpacing/>
              <w:jc w:val="center"/>
              <w:rPr>
                <w:rFonts w:ascii="Times New Roman" w:hAnsi="Times New Roman" w:cs="Times New Roman"/>
                <w:b/>
                <w:sz w:val="24"/>
                <w:szCs w:val="24"/>
              </w:rPr>
            </w:pPr>
            <w:r w:rsidRPr="00151E9B">
              <w:rPr>
                <w:rFonts w:ascii="Times New Roman" w:hAnsi="Times New Roman" w:cs="Times New Roman"/>
                <w:b/>
                <w:sz w:val="24"/>
                <w:szCs w:val="24"/>
              </w:rPr>
              <w:t xml:space="preserve">Liczba ujawnionych </w:t>
            </w:r>
            <w:r w:rsidRPr="00151E9B">
              <w:rPr>
                <w:rFonts w:ascii="Times New Roman" w:hAnsi="Times New Roman" w:cs="Times New Roman"/>
                <w:b/>
                <w:sz w:val="24"/>
                <w:szCs w:val="24"/>
                <w:u w:val="single"/>
              </w:rPr>
              <w:t xml:space="preserve">nielegalnych transportów </w:t>
            </w:r>
            <w:r w:rsidRPr="00151E9B">
              <w:rPr>
                <w:rFonts w:ascii="Times New Roman" w:hAnsi="Times New Roman" w:cs="Times New Roman"/>
                <w:b/>
                <w:sz w:val="24"/>
                <w:szCs w:val="24"/>
                <w:u w:val="single"/>
              </w:rPr>
              <w:br/>
              <w:t>w strumieniu krajowym</w:t>
            </w:r>
          </w:p>
        </w:tc>
        <w:tc>
          <w:tcPr>
            <w:tcW w:w="4496" w:type="dxa"/>
            <w:tcBorders>
              <w:top w:val="single" w:sz="4" w:space="0" w:color="000000"/>
              <w:left w:val="single" w:sz="4" w:space="0" w:color="000000"/>
              <w:bottom w:val="single" w:sz="4" w:space="0" w:color="000000"/>
              <w:right w:val="single" w:sz="4" w:space="0" w:color="000000"/>
            </w:tcBorders>
            <w:vAlign w:val="center"/>
            <w:hideMark/>
          </w:tcPr>
          <w:p w14:paraId="3FD660E2" w14:textId="77777777" w:rsidR="005F7A97" w:rsidRPr="00151E9B" w:rsidRDefault="005F7A97" w:rsidP="001630C0">
            <w:pPr>
              <w:spacing w:line="300" w:lineRule="atLeast"/>
              <w:contextualSpacing/>
              <w:jc w:val="center"/>
              <w:rPr>
                <w:rFonts w:ascii="Times New Roman" w:hAnsi="Times New Roman" w:cs="Times New Roman"/>
                <w:b/>
                <w:sz w:val="24"/>
                <w:szCs w:val="24"/>
              </w:rPr>
            </w:pPr>
            <w:r w:rsidRPr="00151E9B">
              <w:rPr>
                <w:rFonts w:ascii="Times New Roman" w:hAnsi="Times New Roman" w:cs="Times New Roman"/>
                <w:b/>
                <w:sz w:val="24"/>
                <w:szCs w:val="24"/>
              </w:rPr>
              <w:t>29</w:t>
            </w:r>
          </w:p>
        </w:tc>
      </w:tr>
      <w:tr w:rsidR="005F7A97" w:rsidRPr="000C0753" w14:paraId="41205A3B" w14:textId="77777777" w:rsidTr="001630C0">
        <w:tc>
          <w:tcPr>
            <w:tcW w:w="679" w:type="dxa"/>
            <w:tcBorders>
              <w:top w:val="single" w:sz="4" w:space="0" w:color="000000"/>
              <w:left w:val="single" w:sz="4" w:space="0" w:color="000000"/>
              <w:bottom w:val="single" w:sz="4" w:space="0" w:color="000000"/>
              <w:right w:val="single" w:sz="4" w:space="0" w:color="000000"/>
            </w:tcBorders>
            <w:vAlign w:val="center"/>
            <w:hideMark/>
          </w:tcPr>
          <w:p w14:paraId="6E372DB6" w14:textId="77777777" w:rsidR="005F7A97" w:rsidRPr="005F7A97" w:rsidRDefault="005F7A97" w:rsidP="001630C0">
            <w:pPr>
              <w:spacing w:line="300" w:lineRule="atLeast"/>
              <w:contextualSpacing/>
              <w:jc w:val="center"/>
              <w:rPr>
                <w:rFonts w:ascii="Times New Roman" w:hAnsi="Times New Roman" w:cs="Times New Roman"/>
                <w:b/>
                <w:sz w:val="24"/>
                <w:szCs w:val="24"/>
              </w:rPr>
            </w:pPr>
            <w:r w:rsidRPr="005F7A97">
              <w:rPr>
                <w:rFonts w:ascii="Times New Roman" w:hAnsi="Times New Roman" w:cs="Times New Roman"/>
                <w:b/>
                <w:sz w:val="24"/>
                <w:szCs w:val="24"/>
              </w:rPr>
              <w:t xml:space="preserve">1.4 </w:t>
            </w:r>
          </w:p>
        </w:tc>
        <w:tc>
          <w:tcPr>
            <w:tcW w:w="3886" w:type="dxa"/>
            <w:tcBorders>
              <w:top w:val="single" w:sz="4" w:space="0" w:color="000000"/>
              <w:left w:val="single" w:sz="4" w:space="0" w:color="000000"/>
              <w:bottom w:val="single" w:sz="4" w:space="0" w:color="000000"/>
              <w:right w:val="single" w:sz="4" w:space="0" w:color="000000"/>
            </w:tcBorders>
            <w:vAlign w:val="center"/>
            <w:hideMark/>
          </w:tcPr>
          <w:p w14:paraId="55E19B0C" w14:textId="77777777" w:rsidR="005F7A97" w:rsidRPr="005F7A97" w:rsidRDefault="005F7A97" w:rsidP="001630C0">
            <w:pPr>
              <w:spacing w:line="300" w:lineRule="atLeast"/>
              <w:contextualSpacing/>
              <w:jc w:val="center"/>
              <w:rPr>
                <w:rFonts w:ascii="Times New Roman" w:hAnsi="Times New Roman" w:cs="Times New Roman"/>
                <w:b/>
                <w:sz w:val="24"/>
                <w:szCs w:val="24"/>
              </w:rPr>
            </w:pPr>
            <w:r w:rsidRPr="005F7A97">
              <w:rPr>
                <w:rFonts w:ascii="Times New Roman" w:hAnsi="Times New Roman" w:cs="Times New Roman"/>
                <w:b/>
                <w:sz w:val="24"/>
                <w:szCs w:val="24"/>
              </w:rPr>
              <w:t xml:space="preserve">Liczba transportów </w:t>
            </w:r>
            <w:r w:rsidRPr="005F7A97">
              <w:rPr>
                <w:rFonts w:ascii="Times New Roman" w:hAnsi="Times New Roman" w:cs="Times New Roman"/>
                <w:b/>
                <w:sz w:val="24"/>
                <w:szCs w:val="24"/>
                <w:u w:val="single"/>
              </w:rPr>
              <w:t>skierowanych na parkingi</w:t>
            </w:r>
          </w:p>
        </w:tc>
        <w:tc>
          <w:tcPr>
            <w:tcW w:w="4496" w:type="dxa"/>
            <w:tcBorders>
              <w:top w:val="single" w:sz="4" w:space="0" w:color="000000"/>
              <w:left w:val="single" w:sz="4" w:space="0" w:color="000000"/>
              <w:bottom w:val="single" w:sz="4" w:space="0" w:color="000000"/>
              <w:right w:val="single" w:sz="4" w:space="0" w:color="000000"/>
            </w:tcBorders>
            <w:vAlign w:val="center"/>
            <w:hideMark/>
          </w:tcPr>
          <w:p w14:paraId="4B0605FB" w14:textId="77777777" w:rsidR="005F7A97" w:rsidRPr="005F7A97" w:rsidRDefault="005F7A97" w:rsidP="001630C0">
            <w:pPr>
              <w:spacing w:line="300" w:lineRule="atLeast"/>
              <w:contextualSpacing/>
              <w:jc w:val="center"/>
              <w:rPr>
                <w:rFonts w:ascii="Times New Roman" w:hAnsi="Times New Roman" w:cs="Times New Roman"/>
                <w:b/>
                <w:sz w:val="24"/>
                <w:szCs w:val="24"/>
              </w:rPr>
            </w:pPr>
            <w:r w:rsidRPr="005F7A97">
              <w:rPr>
                <w:rFonts w:ascii="Times New Roman" w:hAnsi="Times New Roman" w:cs="Times New Roman"/>
                <w:b/>
                <w:sz w:val="24"/>
                <w:szCs w:val="24"/>
              </w:rPr>
              <w:t>19</w:t>
            </w:r>
          </w:p>
        </w:tc>
      </w:tr>
      <w:tr w:rsidR="005F7A97" w:rsidRPr="000C0753" w14:paraId="2715F444" w14:textId="77777777" w:rsidTr="001630C0">
        <w:tc>
          <w:tcPr>
            <w:tcW w:w="679" w:type="dxa"/>
            <w:tcBorders>
              <w:top w:val="single" w:sz="4" w:space="0" w:color="000000"/>
              <w:left w:val="single" w:sz="4" w:space="0" w:color="000000"/>
              <w:bottom w:val="single" w:sz="4" w:space="0" w:color="000000"/>
              <w:right w:val="single" w:sz="4" w:space="0" w:color="000000"/>
            </w:tcBorders>
            <w:vAlign w:val="center"/>
            <w:hideMark/>
          </w:tcPr>
          <w:p w14:paraId="1132606E" w14:textId="77777777" w:rsidR="005F7A97" w:rsidRPr="005F7A97" w:rsidRDefault="005F7A97" w:rsidP="001630C0">
            <w:pPr>
              <w:spacing w:line="300" w:lineRule="atLeast"/>
              <w:contextualSpacing/>
              <w:jc w:val="center"/>
              <w:rPr>
                <w:rFonts w:ascii="Times New Roman" w:hAnsi="Times New Roman" w:cs="Times New Roman"/>
                <w:b/>
                <w:sz w:val="24"/>
                <w:szCs w:val="24"/>
              </w:rPr>
            </w:pPr>
            <w:r w:rsidRPr="005F7A97">
              <w:rPr>
                <w:rFonts w:ascii="Times New Roman" w:hAnsi="Times New Roman" w:cs="Times New Roman"/>
                <w:b/>
                <w:sz w:val="24"/>
                <w:szCs w:val="24"/>
              </w:rPr>
              <w:t>1.5</w:t>
            </w:r>
          </w:p>
        </w:tc>
        <w:tc>
          <w:tcPr>
            <w:tcW w:w="3886" w:type="dxa"/>
            <w:tcBorders>
              <w:top w:val="single" w:sz="4" w:space="0" w:color="000000"/>
              <w:left w:val="single" w:sz="4" w:space="0" w:color="000000"/>
              <w:bottom w:val="single" w:sz="4" w:space="0" w:color="000000"/>
              <w:right w:val="single" w:sz="4" w:space="0" w:color="000000"/>
            </w:tcBorders>
            <w:hideMark/>
          </w:tcPr>
          <w:p w14:paraId="54AA0B04" w14:textId="77777777" w:rsidR="005F7A97" w:rsidRPr="005F7A97" w:rsidRDefault="005F7A97" w:rsidP="001630C0">
            <w:pPr>
              <w:spacing w:line="300" w:lineRule="atLeast"/>
              <w:contextualSpacing/>
              <w:jc w:val="center"/>
              <w:rPr>
                <w:rFonts w:ascii="Times New Roman" w:hAnsi="Times New Roman" w:cs="Times New Roman"/>
                <w:b/>
                <w:sz w:val="24"/>
                <w:szCs w:val="24"/>
              </w:rPr>
            </w:pPr>
            <w:r w:rsidRPr="005F7A97">
              <w:rPr>
                <w:rFonts w:ascii="Times New Roman" w:hAnsi="Times New Roman" w:cs="Times New Roman"/>
                <w:b/>
                <w:sz w:val="24"/>
                <w:szCs w:val="24"/>
              </w:rPr>
              <w:t xml:space="preserve">Liczba </w:t>
            </w:r>
            <w:r w:rsidRPr="005F7A97">
              <w:rPr>
                <w:rFonts w:ascii="Times New Roman" w:hAnsi="Times New Roman" w:cs="Times New Roman"/>
                <w:b/>
                <w:sz w:val="24"/>
                <w:szCs w:val="24"/>
                <w:u w:val="single"/>
              </w:rPr>
              <w:t>inspektorów i funkcjonariuszy służb</w:t>
            </w:r>
            <w:r w:rsidRPr="005F7A97">
              <w:rPr>
                <w:rFonts w:ascii="Times New Roman" w:hAnsi="Times New Roman" w:cs="Times New Roman"/>
                <w:b/>
                <w:sz w:val="24"/>
                <w:szCs w:val="24"/>
              </w:rPr>
              <w:t xml:space="preserve">  biorących udział we wspólnych działaniach</w:t>
            </w:r>
          </w:p>
        </w:tc>
        <w:tc>
          <w:tcPr>
            <w:tcW w:w="4496" w:type="dxa"/>
            <w:tcBorders>
              <w:top w:val="single" w:sz="4" w:space="0" w:color="000000"/>
              <w:left w:val="single" w:sz="4" w:space="0" w:color="000000"/>
              <w:bottom w:val="single" w:sz="4" w:space="0" w:color="000000"/>
              <w:right w:val="single" w:sz="4" w:space="0" w:color="000000"/>
            </w:tcBorders>
            <w:vAlign w:val="center"/>
            <w:hideMark/>
          </w:tcPr>
          <w:p w14:paraId="1A7574FE" w14:textId="77777777" w:rsidR="005F7A97" w:rsidRPr="005F7A97" w:rsidRDefault="005F7A97" w:rsidP="001630C0">
            <w:pPr>
              <w:spacing w:line="300" w:lineRule="atLeast"/>
              <w:contextualSpacing/>
              <w:jc w:val="center"/>
              <w:rPr>
                <w:rFonts w:ascii="Times New Roman" w:hAnsi="Times New Roman" w:cs="Times New Roman"/>
                <w:b/>
                <w:sz w:val="24"/>
                <w:szCs w:val="24"/>
              </w:rPr>
            </w:pPr>
            <w:r w:rsidRPr="005F7A97">
              <w:rPr>
                <w:rFonts w:ascii="Times New Roman" w:hAnsi="Times New Roman" w:cs="Times New Roman"/>
                <w:b/>
                <w:sz w:val="24"/>
                <w:szCs w:val="24"/>
              </w:rPr>
              <w:t>1 884</w:t>
            </w:r>
          </w:p>
        </w:tc>
      </w:tr>
      <w:tr w:rsidR="005F7A97" w:rsidRPr="000C0753" w14:paraId="2F0FC0B1" w14:textId="77777777" w:rsidTr="001630C0">
        <w:tc>
          <w:tcPr>
            <w:tcW w:w="679" w:type="dxa"/>
            <w:tcBorders>
              <w:top w:val="single" w:sz="4" w:space="0" w:color="000000"/>
              <w:left w:val="single" w:sz="4" w:space="0" w:color="000000"/>
              <w:bottom w:val="single" w:sz="4" w:space="0" w:color="000000"/>
              <w:right w:val="single" w:sz="4" w:space="0" w:color="000000"/>
            </w:tcBorders>
            <w:vAlign w:val="center"/>
            <w:hideMark/>
          </w:tcPr>
          <w:p w14:paraId="220A2722" w14:textId="62A9CF20" w:rsidR="005F7A97" w:rsidRPr="005F7A97" w:rsidRDefault="005F7A97" w:rsidP="001630C0">
            <w:pPr>
              <w:spacing w:line="300" w:lineRule="atLeast"/>
              <w:contextualSpacing/>
              <w:jc w:val="center"/>
              <w:rPr>
                <w:rFonts w:ascii="Times New Roman" w:hAnsi="Times New Roman" w:cs="Times New Roman"/>
                <w:b/>
                <w:sz w:val="24"/>
                <w:szCs w:val="24"/>
              </w:rPr>
            </w:pPr>
            <w:r w:rsidRPr="005F7A97">
              <w:rPr>
                <w:rFonts w:ascii="Times New Roman" w:hAnsi="Times New Roman" w:cs="Times New Roman"/>
                <w:b/>
                <w:sz w:val="24"/>
                <w:szCs w:val="24"/>
              </w:rPr>
              <w:t>1.</w:t>
            </w:r>
            <w:r>
              <w:rPr>
                <w:rFonts w:ascii="Times New Roman" w:hAnsi="Times New Roman" w:cs="Times New Roman"/>
                <w:b/>
                <w:sz w:val="24"/>
                <w:szCs w:val="24"/>
              </w:rPr>
              <w:t>6</w:t>
            </w:r>
            <w:r w:rsidRPr="005F7A97">
              <w:rPr>
                <w:rFonts w:ascii="Times New Roman" w:hAnsi="Times New Roman" w:cs="Times New Roman"/>
                <w:b/>
                <w:sz w:val="24"/>
                <w:szCs w:val="24"/>
              </w:rPr>
              <w:t xml:space="preserve"> </w:t>
            </w:r>
          </w:p>
        </w:tc>
        <w:tc>
          <w:tcPr>
            <w:tcW w:w="3886" w:type="dxa"/>
            <w:tcBorders>
              <w:top w:val="single" w:sz="4" w:space="0" w:color="000000"/>
              <w:left w:val="single" w:sz="4" w:space="0" w:color="000000"/>
              <w:bottom w:val="single" w:sz="4" w:space="0" w:color="000000"/>
              <w:right w:val="single" w:sz="4" w:space="0" w:color="000000"/>
            </w:tcBorders>
            <w:hideMark/>
          </w:tcPr>
          <w:p w14:paraId="7A8C03C9" w14:textId="1C7B4102" w:rsidR="005F7A97" w:rsidRPr="005F7A97" w:rsidRDefault="005F7A97" w:rsidP="001630C0">
            <w:pPr>
              <w:spacing w:line="300" w:lineRule="atLeast"/>
              <w:contextualSpacing/>
              <w:jc w:val="center"/>
              <w:rPr>
                <w:rFonts w:ascii="Times New Roman" w:hAnsi="Times New Roman" w:cs="Times New Roman"/>
                <w:b/>
                <w:bCs/>
                <w:sz w:val="24"/>
                <w:szCs w:val="24"/>
              </w:rPr>
            </w:pPr>
            <w:r>
              <w:rPr>
                <w:rFonts w:ascii="Times New Roman" w:hAnsi="Times New Roman" w:cs="Times New Roman"/>
                <w:b/>
                <w:bCs/>
                <w:sz w:val="24"/>
                <w:szCs w:val="24"/>
                <w:u w:val="single"/>
              </w:rPr>
              <w:t xml:space="preserve">Liczba </w:t>
            </w:r>
            <w:r w:rsidRPr="005F7A97">
              <w:rPr>
                <w:rFonts w:ascii="Times New Roman" w:hAnsi="Times New Roman" w:cs="Times New Roman"/>
                <w:b/>
                <w:bCs/>
                <w:sz w:val="24"/>
                <w:szCs w:val="24"/>
                <w:u w:val="single"/>
              </w:rPr>
              <w:t xml:space="preserve">punktów kontrolnych </w:t>
            </w:r>
            <w:r>
              <w:rPr>
                <w:rFonts w:ascii="Times New Roman" w:hAnsi="Times New Roman" w:cs="Times New Roman"/>
                <w:b/>
                <w:bCs/>
                <w:sz w:val="24"/>
                <w:szCs w:val="24"/>
                <w:u w:val="single"/>
              </w:rPr>
              <w:br/>
            </w:r>
            <w:r w:rsidRPr="005F7A97">
              <w:rPr>
                <w:rFonts w:ascii="Times New Roman" w:hAnsi="Times New Roman" w:cs="Times New Roman"/>
                <w:b/>
                <w:bCs/>
                <w:sz w:val="24"/>
                <w:szCs w:val="24"/>
                <w:u w:val="single"/>
              </w:rPr>
              <w:t>z udziałem IOŚ</w:t>
            </w:r>
          </w:p>
          <w:p w14:paraId="687A3E50" w14:textId="77777777" w:rsidR="005F7A97" w:rsidRPr="005F7A97" w:rsidRDefault="005F7A97" w:rsidP="001630C0">
            <w:pPr>
              <w:spacing w:line="300" w:lineRule="atLeast"/>
              <w:contextualSpacing/>
              <w:jc w:val="center"/>
              <w:rPr>
                <w:rFonts w:ascii="Times New Roman" w:hAnsi="Times New Roman" w:cs="Times New Roman"/>
                <w:b/>
                <w:bCs/>
                <w:sz w:val="24"/>
                <w:szCs w:val="24"/>
              </w:rPr>
            </w:pPr>
            <w:r w:rsidRPr="005F7A97">
              <w:rPr>
                <w:rFonts w:ascii="Times New Roman" w:hAnsi="Times New Roman" w:cs="Times New Roman"/>
                <w:b/>
                <w:bCs/>
                <w:sz w:val="24"/>
                <w:szCs w:val="24"/>
              </w:rPr>
              <w:t>(stacjonarnych i mobilnych)</w:t>
            </w:r>
          </w:p>
        </w:tc>
        <w:tc>
          <w:tcPr>
            <w:tcW w:w="4496" w:type="dxa"/>
            <w:tcBorders>
              <w:top w:val="single" w:sz="4" w:space="0" w:color="000000"/>
              <w:left w:val="single" w:sz="4" w:space="0" w:color="000000"/>
              <w:bottom w:val="single" w:sz="4" w:space="0" w:color="000000"/>
              <w:right w:val="single" w:sz="4" w:space="0" w:color="000000"/>
            </w:tcBorders>
            <w:vAlign w:val="center"/>
            <w:hideMark/>
          </w:tcPr>
          <w:p w14:paraId="34B56C7D" w14:textId="77777777" w:rsidR="005F7A97" w:rsidRPr="005F7A97" w:rsidRDefault="005F7A97" w:rsidP="001630C0">
            <w:pPr>
              <w:spacing w:line="300" w:lineRule="atLeast"/>
              <w:contextualSpacing/>
              <w:jc w:val="center"/>
              <w:rPr>
                <w:rFonts w:ascii="Times New Roman" w:hAnsi="Times New Roman" w:cs="Times New Roman"/>
                <w:b/>
                <w:sz w:val="24"/>
                <w:szCs w:val="24"/>
              </w:rPr>
            </w:pPr>
            <w:r w:rsidRPr="005F7A97">
              <w:rPr>
                <w:rFonts w:ascii="Times New Roman" w:hAnsi="Times New Roman" w:cs="Times New Roman"/>
                <w:b/>
                <w:sz w:val="24"/>
                <w:szCs w:val="24"/>
              </w:rPr>
              <w:t>430</w:t>
            </w:r>
          </w:p>
        </w:tc>
      </w:tr>
    </w:tbl>
    <w:p w14:paraId="05E3EAEF" w14:textId="77777777" w:rsidR="005F7A97" w:rsidRPr="000C0753" w:rsidRDefault="005F7A97" w:rsidP="005F7A97">
      <w:pPr>
        <w:spacing w:line="300" w:lineRule="atLeast"/>
        <w:contextualSpacing/>
        <w:jc w:val="both"/>
        <w:rPr>
          <w:i/>
        </w:rPr>
      </w:pPr>
    </w:p>
    <w:p w14:paraId="13B89570" w14:textId="73122F98" w:rsidR="005F7A97" w:rsidRPr="005F7A97" w:rsidRDefault="005F7A97" w:rsidP="005F7A97">
      <w:pPr>
        <w:spacing w:line="300" w:lineRule="atLeast"/>
        <w:ind w:firstLine="567"/>
        <w:contextualSpacing/>
        <w:jc w:val="both"/>
        <w:rPr>
          <w:rFonts w:ascii="Times New Roman" w:hAnsi="Times New Roman" w:cs="Times New Roman"/>
          <w:sz w:val="24"/>
          <w:szCs w:val="24"/>
        </w:rPr>
      </w:pPr>
      <w:r w:rsidRPr="005F7A97">
        <w:rPr>
          <w:rFonts w:ascii="Times New Roman" w:hAnsi="Times New Roman" w:cs="Times New Roman"/>
          <w:sz w:val="24"/>
          <w:szCs w:val="24"/>
        </w:rPr>
        <w:t xml:space="preserve">W 2022 r. </w:t>
      </w:r>
      <w:r>
        <w:rPr>
          <w:rFonts w:ascii="Times New Roman" w:hAnsi="Times New Roman" w:cs="Times New Roman"/>
          <w:sz w:val="24"/>
          <w:szCs w:val="24"/>
        </w:rPr>
        <w:t xml:space="preserve">w Departamencie Zwalczania Przestępczości Środowiskowej GIOŚ </w:t>
      </w:r>
      <w:r w:rsidRPr="005F7A97">
        <w:rPr>
          <w:rFonts w:ascii="Times New Roman" w:hAnsi="Times New Roman" w:cs="Times New Roman"/>
          <w:sz w:val="24"/>
          <w:szCs w:val="24"/>
        </w:rPr>
        <w:t xml:space="preserve">prowadzone były działania prewencyjne polegające na kontroli pojazdów wraz </w:t>
      </w:r>
      <w:r w:rsidR="00FB094A">
        <w:rPr>
          <w:rFonts w:ascii="Times New Roman" w:hAnsi="Times New Roman" w:cs="Times New Roman"/>
          <w:sz w:val="24"/>
          <w:szCs w:val="24"/>
        </w:rPr>
        <w:br/>
      </w:r>
      <w:r w:rsidRPr="005F7A97">
        <w:rPr>
          <w:rFonts w:ascii="Times New Roman" w:hAnsi="Times New Roman" w:cs="Times New Roman"/>
          <w:sz w:val="24"/>
          <w:szCs w:val="24"/>
        </w:rPr>
        <w:t>z przedstawicielami ITS, Wydziału Ruchu Drogowego KSP, Wydziału Ruchy Drogowego KPP w Otwocku oraz inspektorami Mazowieckiego WIOŚ. W wyniku przeprowadzonych działań prewencyjnych skontrolowano łącznie 41 pojazdów, w tym 38 pojazdów przewożących odpady, ujawniono 4 naruszenia.</w:t>
      </w:r>
    </w:p>
    <w:p w14:paraId="37F25751" w14:textId="77777777" w:rsidR="000D49F5" w:rsidRPr="007F400A" w:rsidRDefault="000D49F5" w:rsidP="00114AA8">
      <w:pPr>
        <w:spacing w:after="0" w:line="300" w:lineRule="atLeast"/>
        <w:ind w:left="1213"/>
        <w:jc w:val="both"/>
        <w:rPr>
          <w:rFonts w:ascii="Times New Roman" w:hAnsi="Times New Roman" w:cs="Times New Roman"/>
          <w:b/>
          <w:color w:val="000000"/>
          <w:sz w:val="24"/>
          <w:szCs w:val="24"/>
        </w:rPr>
      </w:pPr>
    </w:p>
    <w:tbl>
      <w:tblPr>
        <w:tblStyle w:val="Tabela-Siatka"/>
        <w:tblW w:w="0" w:type="auto"/>
        <w:jc w:val="center"/>
        <w:tblLook w:val="04A0" w:firstRow="1" w:lastRow="0" w:firstColumn="1" w:lastColumn="0" w:noHBand="0" w:noVBand="1"/>
      </w:tblPr>
      <w:tblGrid>
        <w:gridCol w:w="2547"/>
        <w:gridCol w:w="6514"/>
      </w:tblGrid>
      <w:tr w:rsidR="00A22034" w:rsidRPr="007F400A" w14:paraId="4976EA9C" w14:textId="77777777" w:rsidTr="00A22034">
        <w:trPr>
          <w:trHeight w:val="384"/>
          <w:jc w:val="center"/>
        </w:trPr>
        <w:tc>
          <w:tcPr>
            <w:tcW w:w="2547" w:type="dxa"/>
          </w:tcPr>
          <w:p w14:paraId="1977D103" w14:textId="77777777" w:rsidR="00A22034" w:rsidRPr="007F400A" w:rsidRDefault="00A22034" w:rsidP="00A22034">
            <w:pPr>
              <w:pStyle w:val="Akapitzlist"/>
              <w:spacing w:after="120" w:line="300" w:lineRule="atLeast"/>
              <w:ind w:left="0"/>
              <w:jc w:val="both"/>
              <w:rPr>
                <w:color w:val="000000"/>
                <w:sz w:val="24"/>
                <w:szCs w:val="24"/>
              </w:rPr>
            </w:pPr>
          </w:p>
        </w:tc>
        <w:tc>
          <w:tcPr>
            <w:tcW w:w="6514" w:type="dxa"/>
          </w:tcPr>
          <w:p w14:paraId="2B399B4E" w14:textId="77777777" w:rsidR="00FB094A" w:rsidRDefault="00A22034" w:rsidP="00A22034">
            <w:pPr>
              <w:pStyle w:val="Akapitzlist"/>
              <w:spacing w:after="120" w:line="300" w:lineRule="atLeast"/>
              <w:ind w:left="0"/>
              <w:jc w:val="center"/>
              <w:rPr>
                <w:b/>
                <w:color w:val="000000"/>
                <w:sz w:val="24"/>
                <w:szCs w:val="24"/>
                <w:lang w:val="pl-PL"/>
              </w:rPr>
            </w:pPr>
            <w:r w:rsidRPr="007F400A">
              <w:rPr>
                <w:b/>
                <w:color w:val="000000"/>
                <w:sz w:val="24"/>
                <w:szCs w:val="24"/>
              </w:rPr>
              <w:t>Liczba i rodzaj zadań prewencyjnych</w:t>
            </w:r>
            <w:r w:rsidR="00FB094A">
              <w:rPr>
                <w:b/>
                <w:color w:val="000000"/>
                <w:sz w:val="24"/>
                <w:szCs w:val="24"/>
                <w:lang w:val="pl-PL"/>
              </w:rPr>
              <w:t xml:space="preserve"> zrealizowanych </w:t>
            </w:r>
          </w:p>
          <w:p w14:paraId="249A2B2C" w14:textId="6F264BDF" w:rsidR="00A22034" w:rsidRPr="00FB094A" w:rsidRDefault="00FB094A" w:rsidP="00A22034">
            <w:pPr>
              <w:pStyle w:val="Akapitzlist"/>
              <w:spacing w:after="120" w:line="300" w:lineRule="atLeast"/>
              <w:ind w:left="0"/>
              <w:jc w:val="center"/>
              <w:rPr>
                <w:b/>
                <w:color w:val="000000"/>
                <w:sz w:val="24"/>
                <w:szCs w:val="24"/>
                <w:lang w:val="pl-PL"/>
              </w:rPr>
            </w:pPr>
            <w:r>
              <w:rPr>
                <w:b/>
                <w:color w:val="000000"/>
                <w:sz w:val="24"/>
                <w:szCs w:val="24"/>
                <w:lang w:val="pl-PL"/>
              </w:rPr>
              <w:t xml:space="preserve">przez wojewódzkie inspektoraty ochrony środowiska </w:t>
            </w:r>
          </w:p>
        </w:tc>
      </w:tr>
      <w:tr w:rsidR="00A22034" w:rsidRPr="007F400A" w14:paraId="7A86A062" w14:textId="77777777" w:rsidTr="00A22034">
        <w:trPr>
          <w:trHeight w:val="546"/>
          <w:jc w:val="center"/>
        </w:trPr>
        <w:tc>
          <w:tcPr>
            <w:tcW w:w="2547" w:type="dxa"/>
            <w:vAlign w:val="center"/>
          </w:tcPr>
          <w:p w14:paraId="72134247" w14:textId="77777777" w:rsidR="00A22034" w:rsidRPr="007F400A" w:rsidRDefault="00A22034" w:rsidP="00A22034">
            <w:pPr>
              <w:pStyle w:val="Akapitzlist"/>
              <w:spacing w:after="120" w:line="300" w:lineRule="atLeast"/>
              <w:ind w:left="0"/>
              <w:rPr>
                <w:b/>
                <w:sz w:val="24"/>
                <w:szCs w:val="24"/>
              </w:rPr>
            </w:pPr>
            <w:r w:rsidRPr="007F400A">
              <w:rPr>
                <w:b/>
                <w:sz w:val="24"/>
                <w:szCs w:val="24"/>
              </w:rPr>
              <w:t>WIOŚ w Białymstoku</w:t>
            </w:r>
          </w:p>
        </w:tc>
        <w:tc>
          <w:tcPr>
            <w:tcW w:w="6514" w:type="dxa"/>
            <w:vAlign w:val="center"/>
          </w:tcPr>
          <w:p w14:paraId="67E2954D" w14:textId="67BF61C0" w:rsidR="00A22034" w:rsidRPr="007F400A" w:rsidRDefault="00FB094A" w:rsidP="0061312B">
            <w:pPr>
              <w:contextualSpacing/>
              <w:jc w:val="both"/>
              <w:rPr>
                <w:rFonts w:ascii="Times New Roman" w:hAnsi="Times New Roman"/>
                <w:sz w:val="24"/>
                <w:szCs w:val="24"/>
              </w:rPr>
            </w:pPr>
            <w:r>
              <w:rPr>
                <w:rFonts w:ascii="Times New Roman" w:hAnsi="Times New Roman"/>
                <w:iCs/>
                <w:sz w:val="24"/>
                <w:szCs w:val="24"/>
              </w:rPr>
              <w:t>U</w:t>
            </w:r>
            <w:r w:rsidRPr="00FB094A">
              <w:rPr>
                <w:rFonts w:ascii="Times New Roman" w:hAnsi="Times New Roman"/>
                <w:iCs/>
                <w:sz w:val="24"/>
                <w:szCs w:val="24"/>
              </w:rPr>
              <w:t>dział w 73 akcjach kontroli przewozu odpadów w ruchu krajowym i międzynarodowym</w:t>
            </w:r>
            <w:r>
              <w:rPr>
                <w:rFonts w:ascii="Times New Roman" w:hAnsi="Times New Roman"/>
                <w:iCs/>
                <w:sz w:val="24"/>
                <w:szCs w:val="24"/>
              </w:rPr>
              <w:t xml:space="preserve">, w ramach których </w:t>
            </w:r>
            <w:r w:rsidRPr="00FB094A">
              <w:rPr>
                <w:rFonts w:ascii="Times New Roman" w:hAnsi="Times New Roman"/>
                <w:iCs/>
                <w:sz w:val="24"/>
                <w:szCs w:val="24"/>
              </w:rPr>
              <w:t xml:space="preserve"> </w:t>
            </w:r>
            <w:r>
              <w:rPr>
                <w:rFonts w:ascii="Times New Roman" w:hAnsi="Times New Roman"/>
                <w:iCs/>
                <w:sz w:val="24"/>
                <w:szCs w:val="24"/>
              </w:rPr>
              <w:t>s</w:t>
            </w:r>
            <w:r w:rsidRPr="00FB094A">
              <w:rPr>
                <w:rFonts w:ascii="Times New Roman" w:hAnsi="Times New Roman"/>
                <w:iCs/>
                <w:sz w:val="24"/>
                <w:szCs w:val="24"/>
              </w:rPr>
              <w:t>kontrolowano łącznie</w:t>
            </w:r>
            <w:r>
              <w:rPr>
                <w:rFonts w:ascii="Times New Roman" w:hAnsi="Times New Roman"/>
                <w:iCs/>
                <w:sz w:val="24"/>
                <w:szCs w:val="24"/>
              </w:rPr>
              <w:t xml:space="preserve"> </w:t>
            </w:r>
            <w:r w:rsidRPr="00FB094A">
              <w:rPr>
                <w:rFonts w:ascii="Times New Roman" w:hAnsi="Times New Roman"/>
                <w:iCs/>
                <w:sz w:val="24"/>
                <w:szCs w:val="24"/>
              </w:rPr>
              <w:t>294 transporty drogow</w:t>
            </w:r>
            <w:r>
              <w:rPr>
                <w:rFonts w:ascii="Times New Roman" w:hAnsi="Times New Roman"/>
                <w:iCs/>
                <w:sz w:val="24"/>
                <w:szCs w:val="24"/>
              </w:rPr>
              <w:t>e</w:t>
            </w:r>
            <w:r w:rsidRPr="00FB094A">
              <w:rPr>
                <w:rFonts w:ascii="Times New Roman" w:hAnsi="Times New Roman"/>
                <w:iCs/>
                <w:sz w:val="24"/>
                <w:szCs w:val="24"/>
              </w:rPr>
              <w:t>,</w:t>
            </w:r>
            <w:r>
              <w:rPr>
                <w:rFonts w:ascii="Times New Roman" w:hAnsi="Times New Roman"/>
                <w:iCs/>
                <w:sz w:val="24"/>
                <w:szCs w:val="24"/>
              </w:rPr>
              <w:t xml:space="preserve"> w tym </w:t>
            </w:r>
            <w:r w:rsidRPr="00FB094A">
              <w:rPr>
                <w:rFonts w:ascii="Times New Roman" w:hAnsi="Times New Roman"/>
                <w:iCs/>
                <w:sz w:val="24"/>
                <w:szCs w:val="24"/>
              </w:rPr>
              <w:t>93 transporty przewożące odpady</w:t>
            </w:r>
            <w:r>
              <w:rPr>
                <w:rFonts w:ascii="Times New Roman" w:hAnsi="Times New Roman"/>
                <w:iCs/>
                <w:sz w:val="24"/>
                <w:szCs w:val="24"/>
              </w:rPr>
              <w:t xml:space="preserve"> i </w:t>
            </w:r>
            <w:r w:rsidRPr="00FB094A">
              <w:rPr>
                <w:rFonts w:ascii="Times New Roman" w:hAnsi="Times New Roman"/>
                <w:iCs/>
                <w:sz w:val="24"/>
                <w:szCs w:val="24"/>
              </w:rPr>
              <w:t xml:space="preserve">wykonano 33 oceny przewożonych towarów na wniosek KAS </w:t>
            </w:r>
            <w:r>
              <w:rPr>
                <w:rFonts w:ascii="Times New Roman" w:hAnsi="Times New Roman"/>
                <w:iCs/>
                <w:sz w:val="24"/>
                <w:szCs w:val="24"/>
              </w:rPr>
              <w:t xml:space="preserve">i </w:t>
            </w:r>
            <w:r w:rsidRPr="00FB094A">
              <w:rPr>
                <w:rFonts w:ascii="Times New Roman" w:hAnsi="Times New Roman"/>
                <w:iCs/>
                <w:sz w:val="24"/>
                <w:szCs w:val="24"/>
              </w:rPr>
              <w:t>WITD</w:t>
            </w:r>
          </w:p>
        </w:tc>
      </w:tr>
      <w:tr w:rsidR="00A22034" w:rsidRPr="007F400A" w14:paraId="4466778B" w14:textId="77777777" w:rsidTr="00A22034">
        <w:trPr>
          <w:trHeight w:val="546"/>
          <w:jc w:val="center"/>
        </w:trPr>
        <w:tc>
          <w:tcPr>
            <w:tcW w:w="2547" w:type="dxa"/>
            <w:vAlign w:val="center"/>
          </w:tcPr>
          <w:p w14:paraId="19C3C1A5" w14:textId="77777777" w:rsidR="00A22034" w:rsidRPr="007F400A" w:rsidRDefault="00A22034" w:rsidP="00A22034">
            <w:pPr>
              <w:pStyle w:val="Akapitzlist"/>
              <w:spacing w:after="120" w:line="300" w:lineRule="atLeast"/>
              <w:ind w:left="0"/>
              <w:rPr>
                <w:b/>
                <w:sz w:val="24"/>
                <w:szCs w:val="24"/>
              </w:rPr>
            </w:pPr>
            <w:r w:rsidRPr="007F400A">
              <w:rPr>
                <w:b/>
                <w:sz w:val="24"/>
                <w:szCs w:val="24"/>
              </w:rPr>
              <w:t xml:space="preserve">WIOŚ w Bydgoszczy </w:t>
            </w:r>
          </w:p>
        </w:tc>
        <w:tc>
          <w:tcPr>
            <w:tcW w:w="6514" w:type="dxa"/>
            <w:vAlign w:val="center"/>
          </w:tcPr>
          <w:p w14:paraId="05E89C1B" w14:textId="3EA8F72F" w:rsidR="00A22034" w:rsidRPr="007F400A" w:rsidRDefault="00A22034" w:rsidP="000877D2">
            <w:pPr>
              <w:jc w:val="both"/>
              <w:rPr>
                <w:rFonts w:ascii="Times New Roman" w:hAnsi="Times New Roman"/>
                <w:sz w:val="24"/>
                <w:szCs w:val="24"/>
              </w:rPr>
            </w:pPr>
            <w:r w:rsidRPr="007F400A">
              <w:rPr>
                <w:rFonts w:ascii="Times New Roman" w:hAnsi="Times New Roman"/>
                <w:sz w:val="24"/>
                <w:szCs w:val="24"/>
              </w:rPr>
              <w:t>1. „Nielegalne odpady 202</w:t>
            </w:r>
            <w:r w:rsidR="00151E9B">
              <w:rPr>
                <w:rFonts w:ascii="Times New Roman" w:hAnsi="Times New Roman"/>
                <w:sz w:val="24"/>
                <w:szCs w:val="24"/>
              </w:rPr>
              <w:t>2</w:t>
            </w:r>
            <w:r w:rsidRPr="007F400A">
              <w:rPr>
                <w:rFonts w:ascii="Times New Roman" w:hAnsi="Times New Roman"/>
                <w:sz w:val="24"/>
                <w:szCs w:val="24"/>
              </w:rPr>
              <w:t xml:space="preserve">” – </w:t>
            </w:r>
            <w:r w:rsidR="00151E9B">
              <w:rPr>
                <w:rFonts w:ascii="Times New Roman" w:hAnsi="Times New Roman"/>
                <w:sz w:val="24"/>
                <w:szCs w:val="24"/>
              </w:rPr>
              <w:t xml:space="preserve">13 </w:t>
            </w:r>
            <w:r w:rsidRPr="007F400A">
              <w:rPr>
                <w:rFonts w:ascii="Times New Roman" w:hAnsi="Times New Roman"/>
                <w:sz w:val="24"/>
                <w:szCs w:val="24"/>
              </w:rPr>
              <w:t>kontrol</w:t>
            </w:r>
            <w:r w:rsidR="00151E9B">
              <w:rPr>
                <w:rFonts w:ascii="Times New Roman" w:hAnsi="Times New Roman"/>
                <w:sz w:val="24"/>
                <w:szCs w:val="24"/>
              </w:rPr>
              <w:t>i</w:t>
            </w:r>
            <w:r w:rsidRPr="007F400A">
              <w:rPr>
                <w:rFonts w:ascii="Times New Roman" w:hAnsi="Times New Roman"/>
                <w:sz w:val="24"/>
                <w:szCs w:val="24"/>
              </w:rPr>
              <w:t xml:space="preserve"> </w:t>
            </w:r>
            <w:r w:rsidR="00151E9B">
              <w:rPr>
                <w:rFonts w:ascii="Times New Roman" w:hAnsi="Times New Roman"/>
                <w:sz w:val="24"/>
                <w:szCs w:val="24"/>
              </w:rPr>
              <w:t xml:space="preserve">drogowych wspólnie </w:t>
            </w:r>
            <w:r w:rsidR="000877D2">
              <w:rPr>
                <w:rFonts w:ascii="Times New Roman" w:hAnsi="Times New Roman"/>
                <w:sz w:val="24"/>
                <w:szCs w:val="24"/>
              </w:rPr>
              <w:br/>
            </w:r>
            <w:r w:rsidR="00151E9B">
              <w:rPr>
                <w:rFonts w:ascii="Times New Roman" w:hAnsi="Times New Roman"/>
                <w:sz w:val="24"/>
                <w:szCs w:val="24"/>
              </w:rPr>
              <w:t>z KAS, Policją i ITD</w:t>
            </w:r>
            <w:r w:rsidRPr="007F400A">
              <w:rPr>
                <w:rFonts w:ascii="Times New Roman" w:hAnsi="Times New Roman"/>
                <w:sz w:val="24"/>
                <w:szCs w:val="24"/>
              </w:rPr>
              <w:t>.</w:t>
            </w:r>
          </w:p>
          <w:p w14:paraId="47B95E06" w14:textId="6E683944" w:rsidR="00A22034" w:rsidRPr="00151E9B" w:rsidRDefault="00A22034" w:rsidP="000877D2">
            <w:pPr>
              <w:jc w:val="both"/>
              <w:rPr>
                <w:rFonts w:ascii="Times New Roman" w:hAnsi="Times New Roman"/>
                <w:sz w:val="24"/>
                <w:szCs w:val="24"/>
              </w:rPr>
            </w:pPr>
            <w:r w:rsidRPr="007F400A">
              <w:rPr>
                <w:rFonts w:ascii="Times New Roman" w:hAnsi="Times New Roman"/>
                <w:sz w:val="24"/>
                <w:szCs w:val="24"/>
              </w:rPr>
              <w:t xml:space="preserve">2. </w:t>
            </w:r>
            <w:r w:rsidR="00151E9B">
              <w:rPr>
                <w:rFonts w:ascii="Times New Roman" w:hAnsi="Times New Roman"/>
                <w:sz w:val="24"/>
                <w:szCs w:val="24"/>
              </w:rPr>
              <w:t>W</w:t>
            </w:r>
            <w:r w:rsidR="00151E9B" w:rsidRPr="00151E9B">
              <w:rPr>
                <w:rFonts w:ascii="Times New Roman" w:hAnsi="Times New Roman"/>
                <w:bCs/>
                <w:iCs/>
                <w:sz w:val="24"/>
                <w:szCs w:val="24"/>
              </w:rPr>
              <w:t>łasne akcj</w:t>
            </w:r>
            <w:r w:rsidR="00151E9B">
              <w:rPr>
                <w:rFonts w:ascii="Times New Roman" w:hAnsi="Times New Roman"/>
                <w:bCs/>
                <w:iCs/>
                <w:sz w:val="24"/>
                <w:szCs w:val="24"/>
              </w:rPr>
              <w:t>e</w:t>
            </w:r>
            <w:r w:rsidR="00151E9B" w:rsidRPr="00151E9B">
              <w:rPr>
                <w:rFonts w:ascii="Times New Roman" w:hAnsi="Times New Roman"/>
                <w:bCs/>
                <w:iCs/>
                <w:sz w:val="24"/>
                <w:szCs w:val="24"/>
              </w:rPr>
              <w:t xml:space="preserve"> kontrolne przewozu odpadów</w:t>
            </w:r>
            <w:r w:rsidR="00151E9B">
              <w:rPr>
                <w:rFonts w:ascii="Times New Roman" w:hAnsi="Times New Roman"/>
                <w:bCs/>
                <w:iCs/>
                <w:sz w:val="24"/>
                <w:szCs w:val="24"/>
              </w:rPr>
              <w:t xml:space="preserve"> </w:t>
            </w:r>
            <w:r w:rsidR="00151E9B" w:rsidRPr="007F400A">
              <w:rPr>
                <w:rFonts w:ascii="Times New Roman" w:hAnsi="Times New Roman"/>
                <w:sz w:val="24"/>
                <w:szCs w:val="24"/>
              </w:rPr>
              <w:t xml:space="preserve">– </w:t>
            </w:r>
            <w:r w:rsidR="00151E9B" w:rsidRPr="00151E9B">
              <w:rPr>
                <w:rFonts w:ascii="Times New Roman" w:hAnsi="Times New Roman"/>
                <w:bCs/>
                <w:iCs/>
                <w:sz w:val="24"/>
                <w:szCs w:val="24"/>
              </w:rPr>
              <w:t xml:space="preserve">7 kontroli drogowych, </w:t>
            </w:r>
            <w:r w:rsidR="00151E9B">
              <w:rPr>
                <w:rFonts w:ascii="Times New Roman" w:hAnsi="Times New Roman"/>
                <w:bCs/>
                <w:iCs/>
                <w:sz w:val="24"/>
                <w:szCs w:val="24"/>
              </w:rPr>
              <w:t xml:space="preserve">w ramach których </w:t>
            </w:r>
            <w:r w:rsidR="00151E9B" w:rsidRPr="00151E9B">
              <w:rPr>
                <w:rFonts w:ascii="Times New Roman" w:hAnsi="Times New Roman"/>
                <w:bCs/>
                <w:iCs/>
                <w:sz w:val="24"/>
                <w:szCs w:val="24"/>
              </w:rPr>
              <w:t>skontrolowano łącznie 69 transportów. Kontrole przeprowadzono wspólnie z Policją</w:t>
            </w:r>
            <w:r w:rsidRPr="00151E9B">
              <w:rPr>
                <w:rFonts w:ascii="Times New Roman" w:hAnsi="Times New Roman"/>
                <w:sz w:val="24"/>
                <w:szCs w:val="24"/>
              </w:rPr>
              <w:t>.</w:t>
            </w:r>
          </w:p>
          <w:p w14:paraId="2D58D815" w14:textId="1CF648E7" w:rsidR="00A22034" w:rsidRPr="007F400A" w:rsidRDefault="00A22034" w:rsidP="000877D2">
            <w:pPr>
              <w:jc w:val="both"/>
              <w:rPr>
                <w:rFonts w:ascii="Times New Roman" w:hAnsi="Times New Roman"/>
                <w:sz w:val="24"/>
                <w:szCs w:val="24"/>
              </w:rPr>
            </w:pPr>
            <w:r w:rsidRPr="007F400A">
              <w:rPr>
                <w:rFonts w:ascii="Times New Roman" w:hAnsi="Times New Roman"/>
                <w:sz w:val="24"/>
                <w:szCs w:val="24"/>
              </w:rPr>
              <w:t xml:space="preserve">3. </w:t>
            </w:r>
            <w:r w:rsidR="00151E9B">
              <w:rPr>
                <w:rFonts w:ascii="Times New Roman" w:hAnsi="Times New Roman"/>
                <w:sz w:val="24"/>
                <w:szCs w:val="24"/>
              </w:rPr>
              <w:t>P</w:t>
            </w:r>
            <w:r w:rsidR="00151E9B" w:rsidRPr="00151E9B">
              <w:rPr>
                <w:rFonts w:ascii="Times New Roman" w:hAnsi="Times New Roman"/>
                <w:bCs/>
                <w:iCs/>
                <w:sz w:val="24"/>
                <w:szCs w:val="24"/>
              </w:rPr>
              <w:t xml:space="preserve">rojekt DEMETER VIII </w:t>
            </w:r>
            <w:r w:rsidR="00151E9B" w:rsidRPr="007F400A">
              <w:rPr>
                <w:rFonts w:ascii="Times New Roman" w:hAnsi="Times New Roman"/>
                <w:sz w:val="24"/>
                <w:szCs w:val="24"/>
              </w:rPr>
              <w:t xml:space="preserve">– </w:t>
            </w:r>
            <w:r w:rsidR="00151E9B" w:rsidRPr="00151E9B">
              <w:rPr>
                <w:rFonts w:ascii="Times New Roman" w:hAnsi="Times New Roman"/>
                <w:bCs/>
                <w:iCs/>
                <w:sz w:val="24"/>
                <w:szCs w:val="24"/>
              </w:rPr>
              <w:t xml:space="preserve">3 kontrole drogowe wspólnie </w:t>
            </w:r>
            <w:r w:rsidR="00151E9B">
              <w:rPr>
                <w:rFonts w:ascii="Times New Roman" w:hAnsi="Times New Roman"/>
                <w:bCs/>
                <w:iCs/>
                <w:sz w:val="24"/>
                <w:szCs w:val="24"/>
              </w:rPr>
              <w:br/>
            </w:r>
            <w:r w:rsidR="00151E9B" w:rsidRPr="00151E9B">
              <w:rPr>
                <w:rFonts w:ascii="Times New Roman" w:hAnsi="Times New Roman"/>
                <w:bCs/>
                <w:iCs/>
                <w:sz w:val="24"/>
                <w:szCs w:val="24"/>
              </w:rPr>
              <w:t>z KAS, ITD i policją</w:t>
            </w:r>
            <w:r w:rsidRPr="00151E9B">
              <w:rPr>
                <w:rFonts w:ascii="Times New Roman" w:hAnsi="Times New Roman"/>
                <w:sz w:val="24"/>
                <w:szCs w:val="24"/>
              </w:rPr>
              <w:t>.</w:t>
            </w:r>
          </w:p>
        </w:tc>
      </w:tr>
      <w:tr w:rsidR="00A22034" w:rsidRPr="007F400A" w14:paraId="54B7A125" w14:textId="77777777" w:rsidTr="00A22034">
        <w:trPr>
          <w:trHeight w:val="546"/>
          <w:jc w:val="center"/>
        </w:trPr>
        <w:tc>
          <w:tcPr>
            <w:tcW w:w="2547" w:type="dxa"/>
            <w:vAlign w:val="center"/>
          </w:tcPr>
          <w:p w14:paraId="2A04E823" w14:textId="77777777" w:rsidR="00A22034" w:rsidRPr="007F400A" w:rsidRDefault="00A22034" w:rsidP="00A22034">
            <w:pPr>
              <w:pStyle w:val="Akapitzlist"/>
              <w:spacing w:after="120" w:line="300" w:lineRule="atLeast"/>
              <w:ind w:left="0"/>
              <w:rPr>
                <w:b/>
                <w:sz w:val="24"/>
                <w:szCs w:val="24"/>
              </w:rPr>
            </w:pPr>
            <w:r w:rsidRPr="007F400A">
              <w:rPr>
                <w:b/>
                <w:sz w:val="24"/>
                <w:szCs w:val="24"/>
              </w:rPr>
              <w:t>WIOŚ w Gdańsku</w:t>
            </w:r>
          </w:p>
        </w:tc>
        <w:tc>
          <w:tcPr>
            <w:tcW w:w="6514" w:type="dxa"/>
            <w:vAlign w:val="center"/>
          </w:tcPr>
          <w:p w14:paraId="4A14B3E5" w14:textId="77777777" w:rsidR="00A22034" w:rsidRDefault="00A22034" w:rsidP="0061312B">
            <w:pPr>
              <w:autoSpaceDE w:val="0"/>
              <w:autoSpaceDN w:val="0"/>
              <w:adjustRightInd w:val="0"/>
              <w:contextualSpacing/>
              <w:jc w:val="both"/>
              <w:rPr>
                <w:rFonts w:ascii="Times New Roman" w:hAnsi="Times New Roman"/>
                <w:bCs/>
                <w:sz w:val="24"/>
                <w:szCs w:val="24"/>
              </w:rPr>
            </w:pPr>
            <w:r w:rsidRPr="007F400A">
              <w:rPr>
                <w:rFonts w:ascii="Times New Roman" w:hAnsi="Times New Roman"/>
                <w:sz w:val="24"/>
                <w:szCs w:val="24"/>
              </w:rPr>
              <w:t>1. „Nielegalne odpady 202</w:t>
            </w:r>
            <w:r w:rsidR="00D14B86">
              <w:rPr>
                <w:rFonts w:ascii="Times New Roman" w:hAnsi="Times New Roman"/>
                <w:sz w:val="24"/>
                <w:szCs w:val="24"/>
              </w:rPr>
              <w:t>2</w:t>
            </w:r>
            <w:r w:rsidRPr="007F400A">
              <w:rPr>
                <w:rFonts w:ascii="Times New Roman" w:hAnsi="Times New Roman"/>
                <w:sz w:val="24"/>
                <w:szCs w:val="24"/>
              </w:rPr>
              <w:t xml:space="preserve">” – kontrola </w:t>
            </w:r>
            <w:r w:rsidR="0061312B">
              <w:rPr>
                <w:rFonts w:ascii="Times New Roman" w:hAnsi="Times New Roman"/>
                <w:sz w:val="24"/>
                <w:szCs w:val="24"/>
              </w:rPr>
              <w:t>259</w:t>
            </w:r>
            <w:r w:rsidRPr="007F400A">
              <w:rPr>
                <w:rFonts w:ascii="Times New Roman" w:hAnsi="Times New Roman"/>
                <w:sz w:val="24"/>
                <w:szCs w:val="24"/>
              </w:rPr>
              <w:t xml:space="preserve"> pojazdów</w:t>
            </w:r>
            <w:r w:rsidR="0061312B">
              <w:rPr>
                <w:rFonts w:ascii="Times New Roman" w:hAnsi="Times New Roman"/>
                <w:sz w:val="24"/>
                <w:szCs w:val="24"/>
              </w:rPr>
              <w:t>, w tym liczba</w:t>
            </w:r>
            <w:r w:rsidR="0061312B" w:rsidRPr="0061312B">
              <w:rPr>
                <w:rFonts w:ascii="Times New Roman" w:hAnsi="Times New Roman"/>
                <w:sz w:val="24"/>
                <w:szCs w:val="24"/>
              </w:rPr>
              <w:t xml:space="preserve"> pojazdów transportujących odpady w strumieniu krajowym – </w:t>
            </w:r>
            <w:r w:rsidR="0061312B" w:rsidRPr="0061312B">
              <w:rPr>
                <w:rFonts w:ascii="Times New Roman" w:hAnsi="Times New Roman"/>
                <w:bCs/>
                <w:sz w:val="24"/>
                <w:szCs w:val="24"/>
              </w:rPr>
              <w:t>95 i liczba</w:t>
            </w:r>
            <w:r w:rsidR="0061312B">
              <w:rPr>
                <w:rFonts w:ascii="Times New Roman" w:hAnsi="Times New Roman"/>
                <w:b/>
                <w:bCs/>
                <w:sz w:val="24"/>
                <w:szCs w:val="24"/>
              </w:rPr>
              <w:t xml:space="preserve"> </w:t>
            </w:r>
            <w:r w:rsidR="0061312B" w:rsidRPr="0061312B">
              <w:rPr>
                <w:rFonts w:ascii="Times New Roman" w:hAnsi="Times New Roman"/>
                <w:sz w:val="24"/>
                <w:szCs w:val="24"/>
              </w:rPr>
              <w:t xml:space="preserve">skontrolowanych pojazdów w strumieniu transgranicznym – </w:t>
            </w:r>
            <w:r w:rsidR="0061312B" w:rsidRPr="0061312B">
              <w:rPr>
                <w:rFonts w:ascii="Times New Roman" w:hAnsi="Times New Roman"/>
                <w:bCs/>
                <w:sz w:val="24"/>
                <w:szCs w:val="24"/>
              </w:rPr>
              <w:t>26</w:t>
            </w:r>
            <w:r w:rsidR="0061312B">
              <w:rPr>
                <w:rFonts w:ascii="Times New Roman" w:hAnsi="Times New Roman"/>
                <w:bCs/>
                <w:sz w:val="24"/>
                <w:szCs w:val="24"/>
              </w:rPr>
              <w:t xml:space="preserve">. </w:t>
            </w:r>
          </w:p>
          <w:p w14:paraId="194A5BFC" w14:textId="1DCC38BA" w:rsidR="0061312B" w:rsidRPr="007F400A" w:rsidRDefault="0061312B" w:rsidP="0061312B">
            <w:pPr>
              <w:autoSpaceDE w:val="0"/>
              <w:autoSpaceDN w:val="0"/>
              <w:adjustRightInd w:val="0"/>
              <w:contextualSpacing/>
              <w:jc w:val="both"/>
              <w:rPr>
                <w:rFonts w:ascii="Times New Roman" w:hAnsi="Times New Roman"/>
                <w:sz w:val="24"/>
                <w:szCs w:val="24"/>
              </w:rPr>
            </w:pPr>
            <w:r>
              <w:rPr>
                <w:rFonts w:ascii="Times New Roman" w:hAnsi="Times New Roman"/>
                <w:sz w:val="24"/>
                <w:szCs w:val="24"/>
              </w:rPr>
              <w:t xml:space="preserve">2. Projekt DEMETER VIII </w:t>
            </w:r>
            <w:r w:rsidRPr="007F400A">
              <w:rPr>
                <w:rFonts w:ascii="Times New Roman" w:hAnsi="Times New Roman"/>
                <w:sz w:val="24"/>
                <w:szCs w:val="24"/>
              </w:rPr>
              <w:t xml:space="preserve">– </w:t>
            </w:r>
            <w:r>
              <w:rPr>
                <w:rFonts w:ascii="Times New Roman" w:hAnsi="Times New Roman"/>
                <w:sz w:val="24"/>
                <w:szCs w:val="24"/>
              </w:rPr>
              <w:t>26</w:t>
            </w:r>
            <w:r w:rsidRPr="00151E9B">
              <w:rPr>
                <w:rFonts w:ascii="Times New Roman" w:hAnsi="Times New Roman"/>
                <w:bCs/>
                <w:iCs/>
                <w:sz w:val="24"/>
                <w:szCs w:val="24"/>
              </w:rPr>
              <w:t xml:space="preserve"> kontrol</w:t>
            </w:r>
            <w:r>
              <w:rPr>
                <w:rFonts w:ascii="Times New Roman" w:hAnsi="Times New Roman"/>
                <w:bCs/>
                <w:iCs/>
                <w:sz w:val="24"/>
                <w:szCs w:val="24"/>
              </w:rPr>
              <w:t>i</w:t>
            </w:r>
            <w:r w:rsidRPr="00151E9B">
              <w:rPr>
                <w:rFonts w:ascii="Times New Roman" w:hAnsi="Times New Roman"/>
                <w:bCs/>
                <w:iCs/>
                <w:sz w:val="24"/>
                <w:szCs w:val="24"/>
              </w:rPr>
              <w:t xml:space="preserve"> drogow</w:t>
            </w:r>
            <w:r>
              <w:rPr>
                <w:rFonts w:ascii="Times New Roman" w:hAnsi="Times New Roman"/>
                <w:bCs/>
                <w:iCs/>
                <w:sz w:val="24"/>
                <w:szCs w:val="24"/>
              </w:rPr>
              <w:t>ych</w:t>
            </w:r>
            <w:r w:rsidR="000877D2">
              <w:rPr>
                <w:rFonts w:ascii="Times New Roman" w:hAnsi="Times New Roman"/>
                <w:bCs/>
                <w:iCs/>
                <w:sz w:val="24"/>
                <w:szCs w:val="24"/>
              </w:rPr>
              <w:t xml:space="preserve">, wspólnie </w:t>
            </w:r>
            <w:r w:rsidR="000877D2">
              <w:rPr>
                <w:rFonts w:ascii="Times New Roman" w:hAnsi="Times New Roman"/>
                <w:bCs/>
                <w:iCs/>
                <w:sz w:val="24"/>
                <w:szCs w:val="24"/>
              </w:rPr>
              <w:br/>
            </w:r>
            <w:r w:rsidR="000877D2" w:rsidRPr="000877D2">
              <w:rPr>
                <w:rFonts w:ascii="Times New Roman" w:hAnsi="Times New Roman"/>
                <w:bCs/>
                <w:iCs/>
                <w:sz w:val="24"/>
                <w:szCs w:val="24"/>
              </w:rPr>
              <w:t xml:space="preserve">z </w:t>
            </w:r>
            <w:r w:rsidR="000877D2" w:rsidRPr="000877D2">
              <w:rPr>
                <w:rFonts w:ascii="Times New Roman" w:hAnsi="Times New Roman"/>
                <w:sz w:val="24"/>
                <w:szCs w:val="24"/>
              </w:rPr>
              <w:t xml:space="preserve">Policją, KAS, WITD </w:t>
            </w:r>
            <w:r w:rsidR="000877D2">
              <w:rPr>
                <w:rFonts w:ascii="Times New Roman" w:hAnsi="Times New Roman"/>
                <w:sz w:val="24"/>
                <w:szCs w:val="24"/>
              </w:rPr>
              <w:t xml:space="preserve">i </w:t>
            </w:r>
            <w:r w:rsidR="000877D2" w:rsidRPr="000877D2">
              <w:rPr>
                <w:rFonts w:ascii="Times New Roman" w:hAnsi="Times New Roman"/>
                <w:sz w:val="24"/>
                <w:szCs w:val="24"/>
              </w:rPr>
              <w:t>Straż</w:t>
            </w:r>
            <w:r w:rsidR="000877D2">
              <w:rPr>
                <w:rFonts w:ascii="Times New Roman" w:hAnsi="Times New Roman"/>
                <w:sz w:val="24"/>
                <w:szCs w:val="24"/>
              </w:rPr>
              <w:t>ą</w:t>
            </w:r>
            <w:r w:rsidR="000877D2" w:rsidRPr="000877D2">
              <w:rPr>
                <w:rFonts w:ascii="Times New Roman" w:hAnsi="Times New Roman"/>
                <w:sz w:val="24"/>
                <w:szCs w:val="24"/>
              </w:rPr>
              <w:t xml:space="preserve"> Graniczn</w:t>
            </w:r>
            <w:r w:rsidR="000877D2">
              <w:rPr>
                <w:rFonts w:ascii="Times New Roman" w:hAnsi="Times New Roman"/>
                <w:sz w:val="24"/>
                <w:szCs w:val="24"/>
              </w:rPr>
              <w:t>ą,</w:t>
            </w:r>
            <w:r w:rsidR="000877D2">
              <w:rPr>
                <w:rFonts w:ascii="Times New Roman" w:hAnsi="Times New Roman"/>
                <w:bCs/>
                <w:iCs/>
                <w:sz w:val="24"/>
                <w:szCs w:val="24"/>
              </w:rPr>
              <w:t xml:space="preserve"> w tym 13 transportów przewożących odpady. </w:t>
            </w:r>
            <w:r w:rsidRPr="00151E9B">
              <w:rPr>
                <w:rFonts w:ascii="Times New Roman" w:hAnsi="Times New Roman"/>
                <w:bCs/>
                <w:iCs/>
                <w:sz w:val="24"/>
                <w:szCs w:val="24"/>
              </w:rPr>
              <w:t xml:space="preserve"> </w:t>
            </w:r>
          </w:p>
        </w:tc>
      </w:tr>
      <w:tr w:rsidR="00A22034" w:rsidRPr="007F400A" w14:paraId="4752F31E" w14:textId="77777777" w:rsidTr="00A22034">
        <w:trPr>
          <w:trHeight w:val="546"/>
          <w:jc w:val="center"/>
        </w:trPr>
        <w:tc>
          <w:tcPr>
            <w:tcW w:w="2547" w:type="dxa"/>
            <w:vAlign w:val="center"/>
          </w:tcPr>
          <w:p w14:paraId="23ADF70A" w14:textId="77777777" w:rsidR="00A22034" w:rsidRPr="007F400A" w:rsidRDefault="00A22034" w:rsidP="00A22034">
            <w:pPr>
              <w:pStyle w:val="Akapitzlist"/>
              <w:spacing w:after="120" w:line="300" w:lineRule="atLeast"/>
              <w:ind w:left="0"/>
              <w:rPr>
                <w:b/>
                <w:sz w:val="24"/>
                <w:szCs w:val="24"/>
              </w:rPr>
            </w:pPr>
            <w:r w:rsidRPr="007F400A">
              <w:rPr>
                <w:b/>
                <w:sz w:val="24"/>
                <w:szCs w:val="24"/>
              </w:rPr>
              <w:t>WIOŚ w Katowicach</w:t>
            </w:r>
          </w:p>
        </w:tc>
        <w:tc>
          <w:tcPr>
            <w:tcW w:w="6514" w:type="dxa"/>
            <w:vAlign w:val="center"/>
          </w:tcPr>
          <w:p w14:paraId="63EAF201" w14:textId="3D0F1E4A" w:rsidR="00A22034" w:rsidRPr="000877D2" w:rsidRDefault="000877D2" w:rsidP="007E1DD6">
            <w:pPr>
              <w:spacing w:line="300" w:lineRule="atLeast"/>
              <w:jc w:val="both"/>
              <w:rPr>
                <w:rFonts w:ascii="Times New Roman" w:hAnsi="Times New Roman"/>
                <w:sz w:val="24"/>
                <w:szCs w:val="24"/>
              </w:rPr>
            </w:pPr>
            <w:r w:rsidRPr="000877D2">
              <w:rPr>
                <w:rFonts w:ascii="Times New Roman" w:hAnsi="Times New Roman"/>
                <w:sz w:val="24"/>
                <w:szCs w:val="24"/>
                <w:lang w:eastAsia="en-US"/>
              </w:rPr>
              <w:t xml:space="preserve">Kontrole środków transportu realizowane były zarówno </w:t>
            </w:r>
            <w:r w:rsidR="007E1DD6">
              <w:rPr>
                <w:rFonts w:ascii="Times New Roman" w:hAnsi="Times New Roman"/>
                <w:sz w:val="24"/>
                <w:szCs w:val="24"/>
                <w:lang w:eastAsia="en-US"/>
              </w:rPr>
              <w:t xml:space="preserve">w </w:t>
            </w:r>
            <w:r w:rsidRPr="000877D2">
              <w:rPr>
                <w:rFonts w:ascii="Times New Roman" w:hAnsi="Times New Roman"/>
                <w:sz w:val="24"/>
                <w:szCs w:val="24"/>
                <w:lang w:eastAsia="en-US"/>
              </w:rPr>
              <w:t xml:space="preserve">ramach </w:t>
            </w:r>
            <w:r w:rsidR="007E1DD6">
              <w:rPr>
                <w:rFonts w:ascii="Times New Roman" w:hAnsi="Times New Roman"/>
                <w:sz w:val="24"/>
                <w:szCs w:val="24"/>
                <w:lang w:eastAsia="en-US"/>
              </w:rPr>
              <w:t>a</w:t>
            </w:r>
            <w:r w:rsidRPr="000877D2">
              <w:rPr>
                <w:rFonts w:ascii="Times New Roman" w:hAnsi="Times New Roman"/>
                <w:sz w:val="24"/>
                <w:szCs w:val="24"/>
                <w:lang w:eastAsia="en-US"/>
              </w:rPr>
              <w:t xml:space="preserve">kcji  </w:t>
            </w:r>
            <w:r w:rsidRPr="000877D2">
              <w:rPr>
                <w:rFonts w:ascii="Times New Roman" w:hAnsi="Times New Roman"/>
                <w:color w:val="000000"/>
                <w:sz w:val="24"/>
                <w:szCs w:val="24"/>
                <w:lang w:eastAsia="en-US"/>
              </w:rPr>
              <w:t xml:space="preserve">„Nielegalne odpady”, </w:t>
            </w:r>
            <w:r w:rsidR="007E1DD6">
              <w:rPr>
                <w:rFonts w:ascii="Times New Roman" w:hAnsi="Times New Roman"/>
                <w:color w:val="000000"/>
                <w:sz w:val="24"/>
                <w:szCs w:val="24"/>
                <w:lang w:eastAsia="en-US"/>
              </w:rPr>
              <w:t xml:space="preserve">projektu </w:t>
            </w:r>
            <w:r w:rsidRPr="000877D2">
              <w:rPr>
                <w:rFonts w:ascii="Times New Roman" w:hAnsi="Times New Roman"/>
                <w:color w:val="000000"/>
                <w:sz w:val="24"/>
                <w:szCs w:val="24"/>
                <w:lang w:eastAsia="en-US"/>
              </w:rPr>
              <w:t>„Demeter”</w:t>
            </w:r>
            <w:r w:rsidR="007E1DD6">
              <w:rPr>
                <w:rFonts w:ascii="Times New Roman" w:hAnsi="Times New Roman"/>
                <w:color w:val="000000"/>
                <w:sz w:val="24"/>
                <w:szCs w:val="24"/>
                <w:lang w:eastAsia="en-US"/>
              </w:rPr>
              <w:t>,</w:t>
            </w:r>
            <w:r w:rsidRPr="000877D2">
              <w:rPr>
                <w:rFonts w:ascii="Times New Roman" w:hAnsi="Times New Roman"/>
                <w:color w:val="000000"/>
                <w:sz w:val="24"/>
                <w:szCs w:val="24"/>
                <w:lang w:eastAsia="en-US"/>
              </w:rPr>
              <w:t xml:space="preserve"> jak i w ramach niezależnie zaplanowanych działań Inspektoratu. Działania kontrolne prowadzone były we współudziale organów, WITD, policji, KAS i Straży Granicznej</w:t>
            </w:r>
            <w:r w:rsidR="007E1DD6">
              <w:rPr>
                <w:rFonts w:ascii="Times New Roman" w:hAnsi="Times New Roman"/>
                <w:color w:val="000000"/>
                <w:sz w:val="24"/>
                <w:szCs w:val="24"/>
                <w:lang w:eastAsia="en-US"/>
              </w:rPr>
              <w:t>. W 2022 r.</w:t>
            </w:r>
            <w:r w:rsidR="007E1DD6" w:rsidRPr="007E1DD6">
              <w:rPr>
                <w:rFonts w:ascii="Times New Roman" w:hAnsi="Times New Roman"/>
                <w:color w:val="000000"/>
                <w:sz w:val="24"/>
                <w:szCs w:val="24"/>
                <w:lang w:eastAsia="en-US"/>
              </w:rPr>
              <w:t xml:space="preserve"> skontrolowane zostały </w:t>
            </w:r>
            <w:r w:rsidR="007E1DD6" w:rsidRPr="007E1DD6">
              <w:rPr>
                <w:rFonts w:ascii="Times New Roman" w:hAnsi="Times New Roman"/>
                <w:color w:val="000000"/>
                <w:sz w:val="24"/>
                <w:szCs w:val="24"/>
                <w:lang w:eastAsia="en-US"/>
              </w:rPr>
              <w:lastRenderedPageBreak/>
              <w:t>73 pojazdy, w tym 64 transportujące odpady, z czego 39 stanowiły pojazdy przewożące odpady w ramach transgranicznego przemieszczania odpadów.</w:t>
            </w:r>
          </w:p>
        </w:tc>
      </w:tr>
      <w:tr w:rsidR="00A22034" w:rsidRPr="007F400A" w14:paraId="53FE1103" w14:textId="77777777" w:rsidTr="00A22034">
        <w:trPr>
          <w:trHeight w:val="546"/>
          <w:jc w:val="center"/>
        </w:trPr>
        <w:tc>
          <w:tcPr>
            <w:tcW w:w="2547" w:type="dxa"/>
            <w:vAlign w:val="center"/>
          </w:tcPr>
          <w:p w14:paraId="5445AF2C" w14:textId="77777777" w:rsidR="00A22034" w:rsidRPr="007F400A" w:rsidRDefault="00A22034" w:rsidP="00A22034">
            <w:pPr>
              <w:pStyle w:val="Akapitzlist"/>
              <w:spacing w:after="120" w:line="300" w:lineRule="atLeast"/>
              <w:ind w:left="0"/>
              <w:rPr>
                <w:b/>
                <w:sz w:val="24"/>
                <w:szCs w:val="24"/>
              </w:rPr>
            </w:pPr>
            <w:r w:rsidRPr="007F400A">
              <w:rPr>
                <w:b/>
                <w:sz w:val="24"/>
                <w:szCs w:val="24"/>
              </w:rPr>
              <w:lastRenderedPageBreak/>
              <w:t>WIOŚ w Kielcach</w:t>
            </w:r>
          </w:p>
        </w:tc>
        <w:tc>
          <w:tcPr>
            <w:tcW w:w="6514" w:type="dxa"/>
            <w:vAlign w:val="center"/>
          </w:tcPr>
          <w:p w14:paraId="0C848C11" w14:textId="1316586D" w:rsidR="00A22034" w:rsidRPr="007E1DD6" w:rsidRDefault="007E1DD6" w:rsidP="00A22034">
            <w:pPr>
              <w:spacing w:line="300" w:lineRule="atLeast"/>
              <w:jc w:val="both"/>
              <w:rPr>
                <w:rFonts w:ascii="Times New Roman" w:hAnsi="Times New Roman"/>
                <w:sz w:val="24"/>
                <w:szCs w:val="24"/>
              </w:rPr>
            </w:pPr>
            <w:r w:rsidRPr="007E1DD6">
              <w:rPr>
                <w:rFonts w:ascii="Times New Roman" w:hAnsi="Times New Roman"/>
                <w:sz w:val="24"/>
                <w:szCs w:val="24"/>
              </w:rPr>
              <w:t xml:space="preserve">W 2022 r. WIOŚ w Kielcach skontrolował </w:t>
            </w:r>
            <w:r w:rsidRPr="007E1DD6">
              <w:rPr>
                <w:rFonts w:ascii="Times New Roman" w:hAnsi="Times New Roman"/>
                <w:bCs/>
                <w:sz w:val="24"/>
                <w:szCs w:val="24"/>
              </w:rPr>
              <w:t>248</w:t>
            </w:r>
            <w:r w:rsidRPr="007E1DD6">
              <w:rPr>
                <w:rFonts w:ascii="Times New Roman" w:hAnsi="Times New Roman"/>
                <w:sz w:val="24"/>
                <w:szCs w:val="24"/>
              </w:rPr>
              <w:t xml:space="preserve"> pojazdów, z czego </w:t>
            </w:r>
            <w:r w:rsidRPr="007E1DD6">
              <w:rPr>
                <w:rFonts w:ascii="Times New Roman" w:hAnsi="Times New Roman"/>
                <w:bCs/>
                <w:sz w:val="24"/>
                <w:szCs w:val="24"/>
              </w:rPr>
              <w:t>110</w:t>
            </w:r>
            <w:r w:rsidRPr="007E1DD6">
              <w:rPr>
                <w:rFonts w:ascii="Times New Roman" w:hAnsi="Times New Roman"/>
                <w:sz w:val="24"/>
                <w:szCs w:val="24"/>
              </w:rPr>
              <w:t xml:space="preserve"> z zatrzymanych pojazdów transportowało odpady, w tym </w:t>
            </w:r>
            <w:r w:rsidRPr="007E1DD6">
              <w:rPr>
                <w:rFonts w:ascii="Times New Roman" w:hAnsi="Times New Roman"/>
                <w:bCs/>
                <w:sz w:val="24"/>
                <w:szCs w:val="24"/>
              </w:rPr>
              <w:t>12</w:t>
            </w:r>
            <w:r w:rsidRPr="007E1DD6">
              <w:rPr>
                <w:rFonts w:ascii="Times New Roman" w:hAnsi="Times New Roman"/>
                <w:sz w:val="24"/>
                <w:szCs w:val="24"/>
              </w:rPr>
              <w:t xml:space="preserve"> transportów wykonywanych było w ramach transgranicznego przemieszczania odpadów</w:t>
            </w:r>
          </w:p>
        </w:tc>
      </w:tr>
      <w:tr w:rsidR="00A22034" w:rsidRPr="007F400A" w14:paraId="7AB5DC50" w14:textId="77777777" w:rsidTr="00A22034">
        <w:trPr>
          <w:trHeight w:val="546"/>
          <w:jc w:val="center"/>
        </w:trPr>
        <w:tc>
          <w:tcPr>
            <w:tcW w:w="2547" w:type="dxa"/>
            <w:vAlign w:val="center"/>
          </w:tcPr>
          <w:p w14:paraId="54DF90B2" w14:textId="77777777" w:rsidR="00A22034" w:rsidRPr="007F400A" w:rsidRDefault="00A22034" w:rsidP="00A22034">
            <w:pPr>
              <w:pStyle w:val="Akapitzlist"/>
              <w:spacing w:after="120" w:line="300" w:lineRule="atLeast"/>
              <w:ind w:left="0"/>
              <w:rPr>
                <w:b/>
                <w:sz w:val="24"/>
                <w:szCs w:val="24"/>
              </w:rPr>
            </w:pPr>
            <w:r w:rsidRPr="007F400A">
              <w:rPr>
                <w:b/>
                <w:sz w:val="24"/>
                <w:szCs w:val="24"/>
              </w:rPr>
              <w:t>WIOŚ w Krakowie</w:t>
            </w:r>
          </w:p>
        </w:tc>
        <w:tc>
          <w:tcPr>
            <w:tcW w:w="6514" w:type="dxa"/>
            <w:vAlign w:val="center"/>
          </w:tcPr>
          <w:p w14:paraId="1FBEEDCF" w14:textId="67741F4C" w:rsidR="00A22034" w:rsidRPr="007F400A" w:rsidRDefault="00B86677" w:rsidP="00B86677">
            <w:pPr>
              <w:autoSpaceDE w:val="0"/>
              <w:autoSpaceDN w:val="0"/>
              <w:adjustRightInd w:val="0"/>
              <w:spacing w:line="300" w:lineRule="atLeast"/>
              <w:contextualSpacing/>
              <w:jc w:val="both"/>
              <w:rPr>
                <w:rFonts w:ascii="Times New Roman" w:hAnsi="Times New Roman"/>
                <w:sz w:val="24"/>
                <w:szCs w:val="24"/>
              </w:rPr>
            </w:pPr>
            <w:r>
              <w:rPr>
                <w:rFonts w:ascii="Times New Roman" w:hAnsi="Times New Roman"/>
                <w:sz w:val="24"/>
                <w:szCs w:val="24"/>
              </w:rPr>
              <w:t>W</w:t>
            </w:r>
            <w:r w:rsidRPr="00B86677">
              <w:rPr>
                <w:rFonts w:ascii="Times New Roman" w:hAnsi="Times New Roman"/>
                <w:sz w:val="24"/>
                <w:szCs w:val="24"/>
              </w:rPr>
              <w:t xml:space="preserve"> ramach akcji „Nielegalne odpady 2022” oraz DEMETER VIII przeprowadzono 33 akcje kontrolne na drogach przy współpracy Krajowej Administracji Skarbowej, Policji oraz Inspekcji Transportu Drogowego. W ramach </w:t>
            </w:r>
            <w:r>
              <w:rPr>
                <w:rFonts w:ascii="Times New Roman" w:hAnsi="Times New Roman"/>
                <w:sz w:val="24"/>
                <w:szCs w:val="24"/>
              </w:rPr>
              <w:t xml:space="preserve">ww. </w:t>
            </w:r>
            <w:r w:rsidRPr="00B86677">
              <w:rPr>
                <w:rFonts w:ascii="Times New Roman" w:hAnsi="Times New Roman"/>
                <w:sz w:val="24"/>
                <w:szCs w:val="24"/>
              </w:rPr>
              <w:t>działań wykonano</w:t>
            </w:r>
            <w:r>
              <w:rPr>
                <w:rFonts w:ascii="Times New Roman" w:hAnsi="Times New Roman"/>
                <w:sz w:val="24"/>
                <w:szCs w:val="24"/>
              </w:rPr>
              <w:t xml:space="preserve"> </w:t>
            </w:r>
            <w:r w:rsidRPr="00B86677">
              <w:rPr>
                <w:rFonts w:ascii="Times New Roman" w:hAnsi="Times New Roman"/>
                <w:bCs/>
                <w:sz w:val="24"/>
                <w:szCs w:val="24"/>
              </w:rPr>
              <w:t>33</w:t>
            </w:r>
            <w:r w:rsidRPr="00B86677">
              <w:rPr>
                <w:rFonts w:ascii="Times New Roman" w:hAnsi="Times New Roman"/>
                <w:b/>
                <w:bCs/>
                <w:sz w:val="24"/>
                <w:szCs w:val="24"/>
              </w:rPr>
              <w:t xml:space="preserve"> </w:t>
            </w:r>
            <w:r w:rsidRPr="00B86677">
              <w:rPr>
                <w:rFonts w:ascii="Times New Roman" w:hAnsi="Times New Roman"/>
                <w:sz w:val="24"/>
                <w:szCs w:val="24"/>
              </w:rPr>
              <w:t>kontrole w terenie bez ustalonego podmiotu (transport towarów lub odpadów)</w:t>
            </w:r>
            <w:r>
              <w:rPr>
                <w:rFonts w:ascii="Times New Roman" w:hAnsi="Times New Roman"/>
                <w:sz w:val="24"/>
                <w:szCs w:val="24"/>
              </w:rPr>
              <w:t xml:space="preserve"> oraz </w:t>
            </w:r>
            <w:r w:rsidRPr="00B86677">
              <w:rPr>
                <w:rFonts w:ascii="Times New Roman" w:hAnsi="Times New Roman"/>
                <w:sz w:val="24"/>
                <w:szCs w:val="24"/>
              </w:rPr>
              <w:t xml:space="preserve">skontrolowano </w:t>
            </w:r>
            <w:r w:rsidRPr="00B86677">
              <w:rPr>
                <w:rFonts w:ascii="Times New Roman" w:hAnsi="Times New Roman"/>
                <w:bCs/>
                <w:sz w:val="24"/>
                <w:szCs w:val="24"/>
              </w:rPr>
              <w:t>270</w:t>
            </w:r>
            <w:r w:rsidRPr="00B86677">
              <w:rPr>
                <w:rFonts w:ascii="Times New Roman" w:hAnsi="Times New Roman"/>
                <w:b/>
                <w:bCs/>
                <w:sz w:val="24"/>
                <w:szCs w:val="24"/>
              </w:rPr>
              <w:t xml:space="preserve"> </w:t>
            </w:r>
            <w:r w:rsidRPr="00B86677">
              <w:rPr>
                <w:rFonts w:ascii="Times New Roman" w:hAnsi="Times New Roman"/>
                <w:sz w:val="24"/>
                <w:szCs w:val="24"/>
              </w:rPr>
              <w:t xml:space="preserve">transportów (ogółem), </w:t>
            </w:r>
            <w:r>
              <w:rPr>
                <w:rFonts w:ascii="Times New Roman" w:hAnsi="Times New Roman"/>
                <w:sz w:val="24"/>
                <w:szCs w:val="24"/>
              </w:rPr>
              <w:br/>
            </w:r>
            <w:r w:rsidRPr="00B86677">
              <w:rPr>
                <w:rFonts w:ascii="Times New Roman" w:hAnsi="Times New Roman"/>
                <w:sz w:val="24"/>
                <w:szCs w:val="24"/>
              </w:rPr>
              <w:t xml:space="preserve">w tym </w:t>
            </w:r>
            <w:r w:rsidRPr="00B86677">
              <w:rPr>
                <w:rFonts w:ascii="Times New Roman" w:hAnsi="Times New Roman"/>
                <w:bCs/>
                <w:sz w:val="24"/>
                <w:szCs w:val="24"/>
              </w:rPr>
              <w:t>72</w:t>
            </w:r>
            <w:r w:rsidRPr="00B86677">
              <w:rPr>
                <w:rFonts w:ascii="Times New Roman" w:hAnsi="Times New Roman"/>
                <w:b/>
                <w:bCs/>
                <w:sz w:val="24"/>
                <w:szCs w:val="24"/>
              </w:rPr>
              <w:t xml:space="preserve"> </w:t>
            </w:r>
            <w:r w:rsidRPr="00B86677">
              <w:rPr>
                <w:rFonts w:ascii="Times New Roman" w:hAnsi="Times New Roman"/>
                <w:sz w:val="24"/>
                <w:szCs w:val="24"/>
              </w:rPr>
              <w:t>transporty odpadów</w:t>
            </w:r>
          </w:p>
        </w:tc>
      </w:tr>
      <w:tr w:rsidR="00A22034" w:rsidRPr="007F400A" w14:paraId="0974F8C7" w14:textId="77777777" w:rsidTr="00A22034">
        <w:trPr>
          <w:trHeight w:val="546"/>
          <w:jc w:val="center"/>
        </w:trPr>
        <w:tc>
          <w:tcPr>
            <w:tcW w:w="2547" w:type="dxa"/>
            <w:vAlign w:val="center"/>
          </w:tcPr>
          <w:p w14:paraId="2DD1D928" w14:textId="77777777" w:rsidR="00A22034" w:rsidRPr="007F400A" w:rsidRDefault="00A22034" w:rsidP="00A22034">
            <w:pPr>
              <w:pStyle w:val="Akapitzlist"/>
              <w:spacing w:after="120" w:line="300" w:lineRule="atLeast"/>
              <w:ind w:left="0"/>
              <w:rPr>
                <w:b/>
                <w:sz w:val="24"/>
                <w:szCs w:val="24"/>
              </w:rPr>
            </w:pPr>
            <w:r w:rsidRPr="007F400A">
              <w:rPr>
                <w:b/>
                <w:sz w:val="24"/>
                <w:szCs w:val="24"/>
              </w:rPr>
              <w:t>WIOŚ w Lublinie</w:t>
            </w:r>
          </w:p>
        </w:tc>
        <w:tc>
          <w:tcPr>
            <w:tcW w:w="6514" w:type="dxa"/>
            <w:vAlign w:val="center"/>
          </w:tcPr>
          <w:p w14:paraId="201BC064" w14:textId="63B08B00" w:rsidR="00A22034" w:rsidRPr="00B86677" w:rsidRDefault="00A22034" w:rsidP="00D34F97">
            <w:pPr>
              <w:pStyle w:val="Akapitzlist"/>
              <w:numPr>
                <w:ilvl w:val="3"/>
                <w:numId w:val="141"/>
              </w:numPr>
              <w:spacing w:line="300" w:lineRule="atLeast"/>
              <w:ind w:left="357" w:hanging="357"/>
              <w:jc w:val="both"/>
              <w:rPr>
                <w:sz w:val="24"/>
                <w:szCs w:val="24"/>
              </w:rPr>
            </w:pPr>
            <w:r w:rsidRPr="00B86677">
              <w:rPr>
                <w:sz w:val="24"/>
                <w:szCs w:val="24"/>
              </w:rPr>
              <w:t>„Nielegalne odpady 202</w:t>
            </w:r>
            <w:r w:rsidR="0061312B" w:rsidRPr="00B86677">
              <w:rPr>
                <w:sz w:val="24"/>
                <w:szCs w:val="24"/>
              </w:rPr>
              <w:t>2</w:t>
            </w:r>
            <w:r w:rsidRPr="00B86677">
              <w:rPr>
                <w:sz w:val="24"/>
                <w:szCs w:val="24"/>
              </w:rPr>
              <w:t xml:space="preserve">” – kontrola </w:t>
            </w:r>
            <w:r w:rsidR="00B86677" w:rsidRPr="00B86677">
              <w:rPr>
                <w:sz w:val="24"/>
                <w:szCs w:val="24"/>
              </w:rPr>
              <w:t xml:space="preserve">11 pojazdów przewożących odpady w strumieniu krajowym oraz 3  </w:t>
            </w:r>
            <w:r w:rsidR="00B86677" w:rsidRPr="00B86677">
              <w:rPr>
                <w:sz w:val="24"/>
                <w:szCs w:val="24"/>
              </w:rPr>
              <w:br/>
              <w:t>w strumieniu zagranicznym</w:t>
            </w:r>
            <w:r w:rsidRPr="00B86677">
              <w:rPr>
                <w:sz w:val="24"/>
                <w:szCs w:val="24"/>
              </w:rPr>
              <w:t>.</w:t>
            </w:r>
          </w:p>
          <w:p w14:paraId="6684A32E" w14:textId="66CBDB61" w:rsidR="00B86677" w:rsidRPr="00B86677" w:rsidRDefault="00B86677" w:rsidP="00D34F97">
            <w:pPr>
              <w:pStyle w:val="Akapitzlist"/>
              <w:numPr>
                <w:ilvl w:val="3"/>
                <w:numId w:val="141"/>
              </w:numPr>
              <w:spacing w:line="300" w:lineRule="atLeast"/>
              <w:ind w:left="357" w:hanging="357"/>
              <w:jc w:val="both"/>
              <w:rPr>
                <w:sz w:val="24"/>
                <w:szCs w:val="24"/>
              </w:rPr>
            </w:pPr>
            <w:r w:rsidRPr="00B86677">
              <w:rPr>
                <w:sz w:val="24"/>
                <w:szCs w:val="24"/>
              </w:rPr>
              <w:t xml:space="preserve">Inspektorzy WIOŚ w Lublinie służyli wsparciem merytorycznym w zakresie oceny prawidłowości realizowanego obrotu odpadami/SZWO/F-gazami podczas Akcji DEMETER VIII. W czasie trwania wspólnych kontroli służb dotyczących międzynarodowego przemieszczania odpadów skontrolowano 8 pociągów oraz 1 828 transportów, w tym 23 transporty przewożące towary wchodzące w zakres akcji DEMETER VIII. </w:t>
            </w:r>
            <w:r>
              <w:rPr>
                <w:sz w:val="24"/>
                <w:szCs w:val="24"/>
                <w:lang w:val="pl-PL"/>
              </w:rPr>
              <w:t>W</w:t>
            </w:r>
            <w:r w:rsidRPr="00B86677">
              <w:rPr>
                <w:sz w:val="24"/>
                <w:szCs w:val="24"/>
              </w:rPr>
              <w:t xml:space="preserve"> czasie trwania akcji DEMETER VIII zatrzymano 8 transportów nielegalnie przewożących odpady</w:t>
            </w:r>
            <w:r>
              <w:rPr>
                <w:sz w:val="24"/>
                <w:szCs w:val="24"/>
                <w:lang w:val="pl-PL"/>
              </w:rPr>
              <w:t>.</w:t>
            </w:r>
          </w:p>
        </w:tc>
      </w:tr>
      <w:tr w:rsidR="00A22034" w:rsidRPr="007F400A" w14:paraId="7254A812" w14:textId="77777777" w:rsidTr="00A22034">
        <w:trPr>
          <w:trHeight w:val="546"/>
          <w:jc w:val="center"/>
        </w:trPr>
        <w:tc>
          <w:tcPr>
            <w:tcW w:w="2547" w:type="dxa"/>
            <w:vAlign w:val="center"/>
          </w:tcPr>
          <w:p w14:paraId="67788E55" w14:textId="77777777" w:rsidR="00A22034" w:rsidRPr="007F400A" w:rsidRDefault="00A22034" w:rsidP="00A22034">
            <w:pPr>
              <w:pStyle w:val="Akapitzlist"/>
              <w:spacing w:after="120" w:line="300" w:lineRule="atLeast"/>
              <w:ind w:left="0"/>
              <w:rPr>
                <w:b/>
                <w:sz w:val="24"/>
                <w:szCs w:val="24"/>
              </w:rPr>
            </w:pPr>
            <w:r w:rsidRPr="007F400A">
              <w:rPr>
                <w:b/>
                <w:sz w:val="24"/>
                <w:szCs w:val="24"/>
              </w:rPr>
              <w:t>WIOŚ w Łodzi</w:t>
            </w:r>
          </w:p>
        </w:tc>
        <w:tc>
          <w:tcPr>
            <w:tcW w:w="6514" w:type="dxa"/>
            <w:vAlign w:val="center"/>
          </w:tcPr>
          <w:p w14:paraId="54439139" w14:textId="5DF641A8" w:rsidR="00A22034" w:rsidRPr="002E0B11" w:rsidRDefault="00A22034" w:rsidP="00D34F97">
            <w:pPr>
              <w:pStyle w:val="Akapitzlist"/>
              <w:numPr>
                <w:ilvl w:val="6"/>
                <w:numId w:val="141"/>
              </w:numPr>
              <w:spacing w:line="300" w:lineRule="atLeast"/>
              <w:ind w:left="357" w:hanging="357"/>
              <w:jc w:val="both"/>
              <w:rPr>
                <w:sz w:val="24"/>
                <w:szCs w:val="24"/>
              </w:rPr>
            </w:pPr>
            <w:r w:rsidRPr="002E0B11">
              <w:rPr>
                <w:sz w:val="24"/>
                <w:szCs w:val="24"/>
              </w:rPr>
              <w:t>„Nielegalne odpady 202</w:t>
            </w:r>
            <w:r w:rsidR="0061312B" w:rsidRPr="002E0B11">
              <w:rPr>
                <w:sz w:val="24"/>
                <w:szCs w:val="24"/>
              </w:rPr>
              <w:t>2</w:t>
            </w:r>
            <w:r w:rsidRPr="002E0B11">
              <w:rPr>
                <w:sz w:val="24"/>
                <w:szCs w:val="24"/>
              </w:rPr>
              <w:t xml:space="preserve">” – kontrola </w:t>
            </w:r>
            <w:r w:rsidR="002E0B11" w:rsidRPr="002E0B11">
              <w:rPr>
                <w:sz w:val="24"/>
                <w:szCs w:val="24"/>
              </w:rPr>
              <w:t xml:space="preserve">454 pojazdów, z których 104 przewoziły odpady w ruchu krajowym </w:t>
            </w:r>
            <w:r w:rsidR="002E0B11">
              <w:rPr>
                <w:sz w:val="24"/>
                <w:szCs w:val="24"/>
              </w:rPr>
              <w:br/>
            </w:r>
            <w:r w:rsidR="002E0B11" w:rsidRPr="002E0B11">
              <w:rPr>
                <w:sz w:val="24"/>
                <w:szCs w:val="24"/>
              </w:rPr>
              <w:t>i międzynarodowym</w:t>
            </w:r>
            <w:r w:rsidRPr="002E0B11">
              <w:rPr>
                <w:sz w:val="24"/>
                <w:szCs w:val="24"/>
              </w:rPr>
              <w:t>.</w:t>
            </w:r>
          </w:p>
          <w:p w14:paraId="16F93AE2" w14:textId="739AE5B3" w:rsidR="002E0B11" w:rsidRPr="002E0B11" w:rsidRDefault="002E0B11" w:rsidP="00D34F97">
            <w:pPr>
              <w:pStyle w:val="Akapitzlist"/>
              <w:numPr>
                <w:ilvl w:val="6"/>
                <w:numId w:val="141"/>
              </w:numPr>
              <w:spacing w:line="300" w:lineRule="atLeast"/>
              <w:ind w:left="357" w:hanging="357"/>
              <w:rPr>
                <w:sz w:val="24"/>
                <w:szCs w:val="24"/>
              </w:rPr>
            </w:pPr>
            <w:r w:rsidRPr="00151E9B">
              <w:rPr>
                <w:bCs/>
                <w:iCs/>
                <w:sz w:val="24"/>
                <w:szCs w:val="24"/>
              </w:rPr>
              <w:t xml:space="preserve">DEMETER VIII </w:t>
            </w:r>
            <w:r w:rsidRPr="007F400A">
              <w:rPr>
                <w:sz w:val="24"/>
                <w:szCs w:val="24"/>
              </w:rPr>
              <w:t xml:space="preserve">– </w:t>
            </w:r>
            <w:r>
              <w:rPr>
                <w:sz w:val="24"/>
                <w:szCs w:val="24"/>
                <w:lang w:val="pl-PL"/>
              </w:rPr>
              <w:t>2</w:t>
            </w:r>
            <w:r w:rsidRPr="00151E9B">
              <w:rPr>
                <w:bCs/>
                <w:iCs/>
                <w:sz w:val="24"/>
                <w:szCs w:val="24"/>
              </w:rPr>
              <w:t xml:space="preserve"> drogowe </w:t>
            </w:r>
            <w:r>
              <w:rPr>
                <w:bCs/>
                <w:iCs/>
                <w:sz w:val="24"/>
                <w:szCs w:val="24"/>
                <w:lang w:val="pl-PL"/>
              </w:rPr>
              <w:t xml:space="preserve">akcje kontrolne </w:t>
            </w:r>
            <w:r w:rsidRPr="00151E9B">
              <w:rPr>
                <w:bCs/>
                <w:iCs/>
                <w:sz w:val="24"/>
                <w:szCs w:val="24"/>
              </w:rPr>
              <w:t>wspólnie z</w:t>
            </w:r>
            <w:r>
              <w:rPr>
                <w:bCs/>
                <w:iCs/>
                <w:sz w:val="24"/>
                <w:szCs w:val="24"/>
                <w:lang w:val="pl-PL"/>
              </w:rPr>
              <w:t xml:space="preserve"> </w:t>
            </w:r>
            <w:r w:rsidRPr="00151E9B">
              <w:rPr>
                <w:bCs/>
                <w:iCs/>
                <w:sz w:val="24"/>
                <w:szCs w:val="24"/>
              </w:rPr>
              <w:t>KAS</w:t>
            </w:r>
            <w:r>
              <w:rPr>
                <w:bCs/>
                <w:iCs/>
                <w:sz w:val="24"/>
                <w:szCs w:val="24"/>
                <w:lang w:val="pl-PL"/>
              </w:rPr>
              <w:t xml:space="preserve">, </w:t>
            </w:r>
          </w:p>
        </w:tc>
      </w:tr>
      <w:tr w:rsidR="00A22034" w:rsidRPr="007F400A" w14:paraId="0BFDB473" w14:textId="77777777" w:rsidTr="00A22034">
        <w:trPr>
          <w:trHeight w:val="546"/>
          <w:jc w:val="center"/>
        </w:trPr>
        <w:tc>
          <w:tcPr>
            <w:tcW w:w="2547" w:type="dxa"/>
            <w:vAlign w:val="center"/>
          </w:tcPr>
          <w:p w14:paraId="34C0AEAE" w14:textId="77777777" w:rsidR="00A22034" w:rsidRPr="007F400A" w:rsidRDefault="00A22034" w:rsidP="00A22034">
            <w:pPr>
              <w:pStyle w:val="Akapitzlist"/>
              <w:spacing w:after="120" w:line="300" w:lineRule="atLeast"/>
              <w:ind w:left="0"/>
              <w:rPr>
                <w:b/>
                <w:color w:val="000000"/>
                <w:sz w:val="24"/>
                <w:szCs w:val="24"/>
              </w:rPr>
            </w:pPr>
            <w:r w:rsidRPr="007F400A">
              <w:rPr>
                <w:b/>
                <w:sz w:val="24"/>
                <w:szCs w:val="24"/>
              </w:rPr>
              <w:t>WIOŚ w Olsztynie</w:t>
            </w:r>
          </w:p>
        </w:tc>
        <w:tc>
          <w:tcPr>
            <w:tcW w:w="6514" w:type="dxa"/>
            <w:vAlign w:val="center"/>
          </w:tcPr>
          <w:p w14:paraId="3A849966" w14:textId="7FCFE52E" w:rsidR="00A22034" w:rsidRPr="002E0B11" w:rsidRDefault="002E0B11" w:rsidP="002E0B11">
            <w:pPr>
              <w:spacing w:line="300" w:lineRule="atLeast"/>
              <w:jc w:val="both"/>
              <w:rPr>
                <w:rFonts w:ascii="Times New Roman" w:hAnsi="Times New Roman"/>
                <w:sz w:val="24"/>
                <w:szCs w:val="24"/>
              </w:rPr>
            </w:pPr>
            <w:r w:rsidRPr="002E0B11">
              <w:rPr>
                <w:rFonts w:ascii="Times New Roman" w:hAnsi="Times New Roman"/>
                <w:iCs/>
                <w:sz w:val="24"/>
                <w:szCs w:val="24"/>
              </w:rPr>
              <w:t>W 2022 r. w ramach akcji „nielegalne odpady”, DEMETER VIII, oraz innych kontroli we współpracy ze Strażą Graniczną, Krajową Administracją Skarbową oraz Inspekcją Transportu Drogowego przeprowadzono 44 kontrole transportów</w:t>
            </w:r>
            <w:r>
              <w:rPr>
                <w:rFonts w:ascii="Times New Roman" w:hAnsi="Times New Roman"/>
                <w:iCs/>
                <w:sz w:val="24"/>
                <w:szCs w:val="24"/>
              </w:rPr>
              <w:t xml:space="preserve">, w ramach których </w:t>
            </w:r>
            <w:r w:rsidRPr="002E0B11">
              <w:rPr>
                <w:rFonts w:ascii="Times New Roman" w:hAnsi="Times New Roman"/>
                <w:iCs/>
                <w:sz w:val="24"/>
                <w:szCs w:val="24"/>
              </w:rPr>
              <w:t xml:space="preserve">skontrolowano 306 pojazdów ogółem, </w:t>
            </w:r>
            <w:r>
              <w:rPr>
                <w:rFonts w:ascii="Times New Roman" w:hAnsi="Times New Roman"/>
                <w:iCs/>
                <w:sz w:val="24"/>
                <w:szCs w:val="24"/>
              </w:rPr>
              <w:t xml:space="preserve">w tym </w:t>
            </w:r>
            <w:r w:rsidRPr="002E0B11">
              <w:rPr>
                <w:rFonts w:ascii="Times New Roman" w:hAnsi="Times New Roman"/>
                <w:iCs/>
                <w:sz w:val="24"/>
                <w:szCs w:val="24"/>
              </w:rPr>
              <w:t>61 pojazdów transportujących odpady w strumieniu krajowym oraz 14 pojazdów w strumieniu transgranicznym</w:t>
            </w:r>
          </w:p>
        </w:tc>
      </w:tr>
      <w:tr w:rsidR="00A22034" w:rsidRPr="007F400A" w14:paraId="35ADE0D5" w14:textId="77777777" w:rsidTr="00A22034">
        <w:trPr>
          <w:trHeight w:val="657"/>
          <w:jc w:val="center"/>
        </w:trPr>
        <w:tc>
          <w:tcPr>
            <w:tcW w:w="2547" w:type="dxa"/>
            <w:vAlign w:val="center"/>
          </w:tcPr>
          <w:p w14:paraId="1F0063D1" w14:textId="77777777" w:rsidR="00A22034" w:rsidRPr="007F400A" w:rsidRDefault="00A22034" w:rsidP="00A22034">
            <w:pPr>
              <w:pStyle w:val="Akapitzlist"/>
              <w:spacing w:after="120" w:line="300" w:lineRule="atLeast"/>
              <w:ind w:left="0"/>
              <w:rPr>
                <w:b/>
                <w:color w:val="000000"/>
                <w:sz w:val="24"/>
                <w:szCs w:val="24"/>
              </w:rPr>
            </w:pPr>
            <w:r w:rsidRPr="007F400A">
              <w:rPr>
                <w:b/>
                <w:sz w:val="24"/>
                <w:szCs w:val="24"/>
              </w:rPr>
              <w:t>WIOŚ w Opolu</w:t>
            </w:r>
          </w:p>
        </w:tc>
        <w:tc>
          <w:tcPr>
            <w:tcW w:w="6514" w:type="dxa"/>
            <w:vAlign w:val="center"/>
          </w:tcPr>
          <w:p w14:paraId="7FD551BE" w14:textId="7FE56A4D" w:rsidR="00A22034" w:rsidRPr="002F7126" w:rsidRDefault="002F7126" w:rsidP="002F7126">
            <w:pPr>
              <w:spacing w:line="300" w:lineRule="atLeast"/>
              <w:contextualSpacing/>
              <w:jc w:val="both"/>
              <w:rPr>
                <w:rFonts w:ascii="Times New Roman" w:hAnsi="Times New Roman"/>
                <w:sz w:val="24"/>
                <w:szCs w:val="24"/>
              </w:rPr>
            </w:pPr>
            <w:r w:rsidRPr="002F7126">
              <w:rPr>
                <w:rFonts w:ascii="Times New Roman" w:hAnsi="Times New Roman"/>
                <w:bCs/>
                <w:sz w:val="24"/>
                <w:szCs w:val="24"/>
              </w:rPr>
              <w:t xml:space="preserve">W roku 2022 w ramach działań prewencyjnych „Nielegalne odpady 2022” i Operacji DEMETER VIII skontrolowano 369 pojazdów, przy udziale funkcjonariuszy z właściwych jednostek policji województwa opolskiego, funkcjonariuszy Inspekcji Transportu Drogowego w Opolu, Urzędu Celno-Skarbowego </w:t>
            </w:r>
            <w:r>
              <w:rPr>
                <w:rFonts w:ascii="Times New Roman" w:hAnsi="Times New Roman"/>
                <w:bCs/>
                <w:sz w:val="24"/>
                <w:szCs w:val="24"/>
              </w:rPr>
              <w:br/>
            </w:r>
            <w:r w:rsidRPr="002F7126">
              <w:rPr>
                <w:rFonts w:ascii="Times New Roman" w:hAnsi="Times New Roman"/>
                <w:bCs/>
                <w:sz w:val="24"/>
                <w:szCs w:val="24"/>
              </w:rPr>
              <w:t>w Opolu oraz Oddziału Straży Granicznej w Opolu</w:t>
            </w:r>
          </w:p>
        </w:tc>
      </w:tr>
      <w:tr w:rsidR="00A22034" w:rsidRPr="007F400A" w14:paraId="390DE606" w14:textId="77777777" w:rsidTr="00A22034">
        <w:trPr>
          <w:trHeight w:val="657"/>
          <w:jc w:val="center"/>
        </w:trPr>
        <w:tc>
          <w:tcPr>
            <w:tcW w:w="2547" w:type="dxa"/>
            <w:vAlign w:val="center"/>
          </w:tcPr>
          <w:p w14:paraId="6A971A20" w14:textId="77777777" w:rsidR="00A22034" w:rsidRPr="007F400A" w:rsidRDefault="00A22034" w:rsidP="00A22034">
            <w:pPr>
              <w:pStyle w:val="Akapitzlist"/>
              <w:spacing w:after="120" w:line="300" w:lineRule="atLeast"/>
              <w:ind w:left="0"/>
              <w:rPr>
                <w:b/>
                <w:color w:val="000000"/>
                <w:sz w:val="24"/>
                <w:szCs w:val="24"/>
              </w:rPr>
            </w:pPr>
            <w:r w:rsidRPr="007F400A">
              <w:rPr>
                <w:b/>
                <w:sz w:val="24"/>
                <w:szCs w:val="24"/>
              </w:rPr>
              <w:lastRenderedPageBreak/>
              <w:t>WIOŚ w Poznaniu</w:t>
            </w:r>
          </w:p>
        </w:tc>
        <w:tc>
          <w:tcPr>
            <w:tcW w:w="6514" w:type="dxa"/>
            <w:vAlign w:val="center"/>
          </w:tcPr>
          <w:p w14:paraId="64C1EB5B" w14:textId="7E6EF572" w:rsidR="00A22034" w:rsidRPr="00CE478A" w:rsidRDefault="00A22034" w:rsidP="00D34F97">
            <w:pPr>
              <w:pStyle w:val="Akapitzlist"/>
              <w:numPr>
                <w:ilvl w:val="3"/>
                <w:numId w:val="140"/>
              </w:numPr>
              <w:spacing w:line="300" w:lineRule="atLeast"/>
              <w:ind w:left="357" w:hanging="357"/>
              <w:jc w:val="both"/>
              <w:rPr>
                <w:sz w:val="24"/>
                <w:szCs w:val="24"/>
              </w:rPr>
            </w:pPr>
            <w:r w:rsidRPr="00CE478A">
              <w:rPr>
                <w:sz w:val="24"/>
                <w:szCs w:val="24"/>
              </w:rPr>
              <w:t>„Nielegalne odpady 202</w:t>
            </w:r>
            <w:r w:rsidR="0061312B" w:rsidRPr="00CE478A">
              <w:rPr>
                <w:sz w:val="24"/>
                <w:szCs w:val="24"/>
              </w:rPr>
              <w:t>2</w:t>
            </w:r>
            <w:r w:rsidRPr="00CE478A">
              <w:rPr>
                <w:sz w:val="24"/>
                <w:szCs w:val="24"/>
              </w:rPr>
              <w:t xml:space="preserve">” – </w:t>
            </w:r>
            <w:r w:rsidR="00CE478A" w:rsidRPr="00CE478A">
              <w:rPr>
                <w:sz w:val="24"/>
                <w:szCs w:val="24"/>
              </w:rPr>
              <w:t xml:space="preserve">2 </w:t>
            </w:r>
            <w:r w:rsidRPr="00CE478A">
              <w:rPr>
                <w:sz w:val="24"/>
                <w:szCs w:val="24"/>
              </w:rPr>
              <w:t>kontrol</w:t>
            </w:r>
            <w:r w:rsidR="00CE478A" w:rsidRPr="00CE478A">
              <w:rPr>
                <w:sz w:val="24"/>
                <w:szCs w:val="24"/>
              </w:rPr>
              <w:t>e</w:t>
            </w:r>
            <w:r w:rsidRPr="00CE478A">
              <w:rPr>
                <w:sz w:val="24"/>
                <w:szCs w:val="24"/>
              </w:rPr>
              <w:t>.</w:t>
            </w:r>
          </w:p>
          <w:p w14:paraId="4065625B" w14:textId="77777777" w:rsidR="00CE478A" w:rsidRPr="00CE478A" w:rsidRDefault="00CE478A" w:rsidP="00D34F97">
            <w:pPr>
              <w:pStyle w:val="Akapitzlist"/>
              <w:numPr>
                <w:ilvl w:val="3"/>
                <w:numId w:val="140"/>
              </w:numPr>
              <w:spacing w:line="300" w:lineRule="atLeast"/>
              <w:ind w:left="357" w:hanging="357"/>
              <w:jc w:val="both"/>
              <w:rPr>
                <w:sz w:val="24"/>
                <w:szCs w:val="24"/>
              </w:rPr>
            </w:pPr>
            <w:r>
              <w:rPr>
                <w:sz w:val="24"/>
                <w:szCs w:val="24"/>
                <w:lang w:val="pl-PL"/>
              </w:rPr>
              <w:t xml:space="preserve">DEMETER VIII </w:t>
            </w:r>
            <w:r w:rsidRPr="00CE478A">
              <w:rPr>
                <w:sz w:val="24"/>
                <w:szCs w:val="24"/>
              </w:rPr>
              <w:t xml:space="preserve">– </w:t>
            </w:r>
            <w:r>
              <w:rPr>
                <w:sz w:val="24"/>
                <w:szCs w:val="24"/>
                <w:lang w:val="pl-PL"/>
              </w:rPr>
              <w:t>8</w:t>
            </w:r>
            <w:r w:rsidRPr="00CE478A">
              <w:rPr>
                <w:sz w:val="24"/>
                <w:szCs w:val="24"/>
              </w:rPr>
              <w:t xml:space="preserve"> kontrol</w:t>
            </w:r>
            <w:r>
              <w:rPr>
                <w:sz w:val="24"/>
                <w:szCs w:val="24"/>
                <w:lang w:val="pl-PL"/>
              </w:rPr>
              <w:t xml:space="preserve">i. </w:t>
            </w:r>
          </w:p>
          <w:p w14:paraId="41D23A28" w14:textId="40D0A66D" w:rsidR="00CE478A" w:rsidRPr="00CE478A" w:rsidRDefault="00CE478A" w:rsidP="001630C0">
            <w:pPr>
              <w:spacing w:line="300" w:lineRule="atLeast"/>
              <w:jc w:val="both"/>
              <w:rPr>
                <w:rFonts w:ascii="Times New Roman" w:hAnsi="Times New Roman"/>
                <w:sz w:val="24"/>
                <w:szCs w:val="24"/>
              </w:rPr>
            </w:pPr>
            <w:r w:rsidRPr="00CE478A">
              <w:rPr>
                <w:rFonts w:ascii="Times New Roman" w:hAnsi="Times New Roman"/>
                <w:sz w:val="24"/>
                <w:szCs w:val="24"/>
              </w:rPr>
              <w:t>Kontrole prowadzone były wspólnie z funkcjonariuszami KAS, Policji i ITD. Łącznie skontrolowano 88 pojazdów, z czego 46 pojazdów przewoziło odpady, natomiast 6 transportów uczestniczyło w międzynarodowym przemieszczaniu odpadów</w:t>
            </w:r>
          </w:p>
        </w:tc>
      </w:tr>
      <w:tr w:rsidR="00A22034" w:rsidRPr="007F400A" w14:paraId="338FDBB2" w14:textId="77777777" w:rsidTr="00A22034">
        <w:trPr>
          <w:trHeight w:val="546"/>
          <w:jc w:val="center"/>
        </w:trPr>
        <w:tc>
          <w:tcPr>
            <w:tcW w:w="2547" w:type="dxa"/>
            <w:vAlign w:val="center"/>
          </w:tcPr>
          <w:p w14:paraId="653E57AF" w14:textId="77777777" w:rsidR="00A22034" w:rsidRPr="007F400A" w:rsidRDefault="00A22034" w:rsidP="00A22034">
            <w:pPr>
              <w:pStyle w:val="Akapitzlist"/>
              <w:spacing w:after="120" w:line="300" w:lineRule="atLeast"/>
              <w:ind w:left="0"/>
              <w:rPr>
                <w:b/>
                <w:color w:val="000000"/>
                <w:sz w:val="24"/>
                <w:szCs w:val="24"/>
              </w:rPr>
            </w:pPr>
            <w:r w:rsidRPr="007F400A">
              <w:rPr>
                <w:b/>
                <w:sz w:val="24"/>
                <w:szCs w:val="24"/>
              </w:rPr>
              <w:t>WIOŚ w Rzeszowie</w:t>
            </w:r>
          </w:p>
        </w:tc>
        <w:tc>
          <w:tcPr>
            <w:tcW w:w="6514" w:type="dxa"/>
            <w:vAlign w:val="center"/>
          </w:tcPr>
          <w:p w14:paraId="44C70A6D" w14:textId="34935E5D" w:rsidR="00CE478A" w:rsidRPr="00CE478A" w:rsidRDefault="00CE478A" w:rsidP="001630C0">
            <w:pPr>
              <w:autoSpaceDE w:val="0"/>
              <w:autoSpaceDN w:val="0"/>
              <w:adjustRightInd w:val="0"/>
              <w:spacing w:line="300" w:lineRule="atLeast"/>
              <w:contextualSpacing/>
              <w:jc w:val="both"/>
              <w:rPr>
                <w:rFonts w:ascii="Times New Roman" w:hAnsi="Times New Roman"/>
                <w:sz w:val="24"/>
                <w:szCs w:val="24"/>
              </w:rPr>
            </w:pPr>
            <w:r w:rsidRPr="00CE478A">
              <w:rPr>
                <w:rFonts w:ascii="Times New Roman" w:hAnsi="Times New Roman"/>
                <w:sz w:val="24"/>
                <w:szCs w:val="24"/>
              </w:rPr>
              <w:t>1. W ramach akcji kontrolnej DEMETER VIII inspektorzy WIOŚ w Rzeszowie, we współ</w:t>
            </w:r>
            <w:r>
              <w:rPr>
                <w:rFonts w:ascii="Times New Roman" w:hAnsi="Times New Roman"/>
                <w:sz w:val="24"/>
                <w:szCs w:val="24"/>
              </w:rPr>
              <w:t>pracy</w:t>
            </w:r>
            <w:r w:rsidRPr="00CE478A">
              <w:rPr>
                <w:rFonts w:ascii="Times New Roman" w:hAnsi="Times New Roman"/>
                <w:sz w:val="24"/>
                <w:szCs w:val="24"/>
              </w:rPr>
              <w:t xml:space="preserve"> z KAS, SG oraz ITD skontrolowali 25 przewoźników, w tym 3 transporty</w:t>
            </w:r>
            <w:r>
              <w:rPr>
                <w:rFonts w:ascii="Times New Roman" w:hAnsi="Times New Roman"/>
                <w:sz w:val="24"/>
                <w:szCs w:val="24"/>
              </w:rPr>
              <w:t xml:space="preserve"> </w:t>
            </w:r>
            <w:r w:rsidRPr="00CE478A">
              <w:rPr>
                <w:rFonts w:ascii="Times New Roman" w:hAnsi="Times New Roman"/>
                <w:sz w:val="24"/>
                <w:szCs w:val="24"/>
              </w:rPr>
              <w:t>odpadów.</w:t>
            </w:r>
          </w:p>
          <w:p w14:paraId="23B6B6CF" w14:textId="768FF91E" w:rsidR="00A22034" w:rsidRPr="007F400A" w:rsidRDefault="00CE478A" w:rsidP="001630C0">
            <w:pPr>
              <w:autoSpaceDE w:val="0"/>
              <w:autoSpaceDN w:val="0"/>
              <w:adjustRightInd w:val="0"/>
              <w:spacing w:line="300" w:lineRule="atLeast"/>
              <w:contextualSpacing/>
              <w:jc w:val="both"/>
              <w:rPr>
                <w:rFonts w:ascii="Times New Roman" w:hAnsi="Times New Roman"/>
                <w:sz w:val="24"/>
                <w:szCs w:val="24"/>
              </w:rPr>
            </w:pPr>
            <w:r w:rsidRPr="00CE478A">
              <w:rPr>
                <w:rFonts w:ascii="Times New Roman" w:hAnsi="Times New Roman"/>
                <w:sz w:val="24"/>
                <w:szCs w:val="24"/>
              </w:rPr>
              <w:t>2. W ramach akcji „STOP Nielegalnym odpadom 2022” oraz kontroli SENT inspektorzy</w:t>
            </w:r>
            <w:r>
              <w:rPr>
                <w:rFonts w:ascii="Times New Roman" w:hAnsi="Times New Roman"/>
                <w:sz w:val="24"/>
                <w:szCs w:val="24"/>
              </w:rPr>
              <w:t xml:space="preserve"> </w:t>
            </w:r>
            <w:r w:rsidRPr="00CE478A">
              <w:rPr>
                <w:rFonts w:ascii="Times New Roman" w:hAnsi="Times New Roman"/>
                <w:sz w:val="24"/>
                <w:szCs w:val="24"/>
              </w:rPr>
              <w:t xml:space="preserve">WIOŚ w Rzeszowie, </w:t>
            </w:r>
            <w:r>
              <w:rPr>
                <w:rFonts w:ascii="Times New Roman" w:hAnsi="Times New Roman"/>
                <w:sz w:val="24"/>
                <w:szCs w:val="24"/>
              </w:rPr>
              <w:t xml:space="preserve">przy </w:t>
            </w:r>
            <w:r w:rsidRPr="00CE478A">
              <w:rPr>
                <w:rFonts w:ascii="Times New Roman" w:hAnsi="Times New Roman"/>
                <w:sz w:val="24"/>
                <w:szCs w:val="24"/>
              </w:rPr>
              <w:t>współudziale SG, KAS, ITD oraz Policj</w:t>
            </w:r>
            <w:r>
              <w:rPr>
                <w:rFonts w:ascii="Times New Roman" w:hAnsi="Times New Roman"/>
                <w:sz w:val="24"/>
                <w:szCs w:val="24"/>
              </w:rPr>
              <w:t>i</w:t>
            </w:r>
            <w:r w:rsidRPr="00CE478A">
              <w:rPr>
                <w:rFonts w:ascii="Times New Roman" w:hAnsi="Times New Roman"/>
                <w:sz w:val="24"/>
                <w:szCs w:val="24"/>
              </w:rPr>
              <w:t xml:space="preserve"> skontrolowali 141 przewoźników, w tym 41 transportujących odpady.</w:t>
            </w:r>
          </w:p>
        </w:tc>
      </w:tr>
      <w:tr w:rsidR="00A22034" w:rsidRPr="007F400A" w14:paraId="048921C5" w14:textId="77777777" w:rsidTr="00A22034">
        <w:trPr>
          <w:trHeight w:val="657"/>
          <w:jc w:val="center"/>
        </w:trPr>
        <w:tc>
          <w:tcPr>
            <w:tcW w:w="2547" w:type="dxa"/>
          </w:tcPr>
          <w:p w14:paraId="30EC13DB" w14:textId="77777777" w:rsidR="00A22034" w:rsidRPr="007F400A" w:rsidRDefault="00A22034" w:rsidP="00A22034">
            <w:pPr>
              <w:pStyle w:val="Akapitzlist"/>
              <w:spacing w:after="120" w:line="300" w:lineRule="atLeast"/>
              <w:ind w:left="0"/>
              <w:rPr>
                <w:b/>
                <w:sz w:val="24"/>
                <w:szCs w:val="24"/>
              </w:rPr>
            </w:pPr>
            <w:r w:rsidRPr="007F400A">
              <w:rPr>
                <w:b/>
                <w:sz w:val="24"/>
                <w:szCs w:val="24"/>
              </w:rPr>
              <w:t>WIOŚ w Szczecinie</w:t>
            </w:r>
          </w:p>
        </w:tc>
        <w:tc>
          <w:tcPr>
            <w:tcW w:w="6514" w:type="dxa"/>
          </w:tcPr>
          <w:p w14:paraId="0D1C7BD7" w14:textId="77777777" w:rsidR="00A22034" w:rsidRDefault="001630C0" w:rsidP="001630C0">
            <w:pPr>
              <w:spacing w:line="300" w:lineRule="atLeast"/>
              <w:jc w:val="both"/>
              <w:rPr>
                <w:rFonts w:ascii="Times New Roman" w:hAnsi="Times New Roman"/>
                <w:sz w:val="24"/>
                <w:szCs w:val="24"/>
              </w:rPr>
            </w:pPr>
            <w:r w:rsidRPr="001630C0">
              <w:rPr>
                <w:rFonts w:ascii="Times New Roman" w:hAnsi="Times New Roman"/>
                <w:sz w:val="24"/>
                <w:szCs w:val="24"/>
              </w:rPr>
              <w:t xml:space="preserve">W roku 2022 przeprowadzono ogółem 18 kontroli drogowych </w:t>
            </w:r>
            <w:r>
              <w:rPr>
                <w:rFonts w:ascii="Times New Roman" w:hAnsi="Times New Roman"/>
                <w:sz w:val="24"/>
                <w:szCs w:val="24"/>
              </w:rPr>
              <w:br/>
            </w:r>
            <w:r w:rsidRPr="001630C0">
              <w:rPr>
                <w:rFonts w:ascii="Times New Roman" w:hAnsi="Times New Roman"/>
                <w:sz w:val="24"/>
                <w:szCs w:val="24"/>
              </w:rPr>
              <w:t>w zakresie transgranicznego przemieszczania odpadów w 21 miejscach, wspólnie z funkcjonariuszami Policji, Straży Granicznej, Straży Leśnej, Krajowej Administracji Skarbowej oraz Inspekcji Transportu Drogowego. Ogółem skontrolowano 158 pojazdów, w tym 21 pojazdów przewożących odpady</w:t>
            </w:r>
            <w:r>
              <w:rPr>
                <w:rFonts w:ascii="Times New Roman" w:hAnsi="Times New Roman"/>
                <w:sz w:val="24"/>
                <w:szCs w:val="24"/>
              </w:rPr>
              <w:t xml:space="preserve">. </w:t>
            </w:r>
          </w:p>
          <w:p w14:paraId="385A8ABC" w14:textId="18C79710" w:rsidR="001630C0" w:rsidRPr="001630C0" w:rsidRDefault="001630C0" w:rsidP="001630C0">
            <w:pPr>
              <w:spacing w:line="300" w:lineRule="atLeast"/>
              <w:jc w:val="both"/>
              <w:rPr>
                <w:rFonts w:ascii="Times New Roman" w:hAnsi="Times New Roman"/>
                <w:sz w:val="24"/>
                <w:szCs w:val="24"/>
              </w:rPr>
            </w:pPr>
            <w:r w:rsidRPr="001630C0">
              <w:rPr>
                <w:rFonts w:ascii="Times New Roman" w:hAnsi="Times New Roman"/>
                <w:sz w:val="24"/>
                <w:szCs w:val="24"/>
              </w:rPr>
              <w:t>Drugim ważnym elementem działań prewencyjnych są kontrole znanych nielegalnych miejsc porzucenia odpadów. W ramach tych działań sprawdzane są co najmniej raz w miesiącu wytypowane miejsca, ze szczególnym uwzględnieniem odpadów palnych i niebezpiecznych. Natomiast trzecim elementem działań prewencyjnych jest sprawdzanie wyrobisk pokopalnianych</w:t>
            </w:r>
          </w:p>
        </w:tc>
      </w:tr>
      <w:tr w:rsidR="00A22034" w:rsidRPr="007F400A" w14:paraId="34B8BB0D" w14:textId="77777777" w:rsidTr="00A22034">
        <w:trPr>
          <w:trHeight w:val="657"/>
          <w:jc w:val="center"/>
        </w:trPr>
        <w:tc>
          <w:tcPr>
            <w:tcW w:w="2547" w:type="dxa"/>
            <w:vAlign w:val="center"/>
          </w:tcPr>
          <w:p w14:paraId="1BE14362" w14:textId="77777777" w:rsidR="00A22034" w:rsidRPr="007F400A" w:rsidRDefault="00A22034" w:rsidP="00A22034">
            <w:pPr>
              <w:pStyle w:val="Akapitzlist"/>
              <w:spacing w:after="120" w:line="300" w:lineRule="atLeast"/>
              <w:ind w:left="0"/>
              <w:rPr>
                <w:b/>
                <w:color w:val="000000"/>
                <w:sz w:val="24"/>
                <w:szCs w:val="24"/>
              </w:rPr>
            </w:pPr>
            <w:r w:rsidRPr="007F400A">
              <w:rPr>
                <w:b/>
                <w:sz w:val="24"/>
                <w:szCs w:val="24"/>
              </w:rPr>
              <w:t>WIOŚ w Warszawie</w:t>
            </w:r>
          </w:p>
        </w:tc>
        <w:tc>
          <w:tcPr>
            <w:tcW w:w="6514" w:type="dxa"/>
            <w:vAlign w:val="center"/>
          </w:tcPr>
          <w:p w14:paraId="03F5631B" w14:textId="77777777" w:rsidR="001630C0" w:rsidRPr="001630C0" w:rsidRDefault="001630C0" w:rsidP="0089438D">
            <w:pPr>
              <w:spacing w:line="300" w:lineRule="atLeast"/>
              <w:contextualSpacing/>
              <w:jc w:val="both"/>
              <w:rPr>
                <w:rFonts w:ascii="Times New Roman" w:hAnsi="Times New Roman"/>
                <w:bCs/>
                <w:sz w:val="24"/>
                <w:szCs w:val="24"/>
              </w:rPr>
            </w:pPr>
            <w:r w:rsidRPr="001630C0">
              <w:rPr>
                <w:rFonts w:ascii="Times New Roman" w:hAnsi="Times New Roman"/>
                <w:bCs/>
                <w:sz w:val="24"/>
                <w:szCs w:val="24"/>
              </w:rPr>
              <w:t>Liczba akcji kontrolnych kontroli: 50, w tym liczba zatrzymanych pojazdów ogółem 465.</w:t>
            </w:r>
          </w:p>
          <w:p w14:paraId="77E7B049" w14:textId="77777777" w:rsidR="001630C0" w:rsidRPr="001630C0" w:rsidRDefault="001630C0" w:rsidP="0089438D">
            <w:pPr>
              <w:spacing w:line="300" w:lineRule="atLeast"/>
              <w:contextualSpacing/>
              <w:jc w:val="both"/>
              <w:rPr>
                <w:rFonts w:ascii="Times New Roman" w:hAnsi="Times New Roman"/>
                <w:bCs/>
                <w:sz w:val="24"/>
                <w:szCs w:val="24"/>
              </w:rPr>
            </w:pPr>
            <w:r w:rsidRPr="001630C0">
              <w:rPr>
                <w:rFonts w:ascii="Times New Roman" w:hAnsi="Times New Roman"/>
                <w:bCs/>
                <w:sz w:val="24"/>
                <w:szCs w:val="24"/>
              </w:rPr>
              <w:t>Z w/w wymienionej liczby zatrzymanych pojazdów:</w:t>
            </w:r>
          </w:p>
          <w:p w14:paraId="0E62EA8A" w14:textId="77777777" w:rsidR="001630C0" w:rsidRPr="001630C0" w:rsidRDefault="001630C0" w:rsidP="00D34F97">
            <w:pPr>
              <w:pStyle w:val="Akapitzlist"/>
              <w:numPr>
                <w:ilvl w:val="0"/>
                <w:numId w:val="326"/>
              </w:numPr>
              <w:spacing w:line="300" w:lineRule="atLeast"/>
              <w:jc w:val="both"/>
              <w:rPr>
                <w:sz w:val="24"/>
                <w:szCs w:val="24"/>
              </w:rPr>
            </w:pPr>
            <w:r w:rsidRPr="001630C0">
              <w:rPr>
                <w:sz w:val="24"/>
                <w:szCs w:val="24"/>
              </w:rPr>
              <w:t>liczba pojazdów, które nie transportowały odpadów 140,</w:t>
            </w:r>
          </w:p>
          <w:p w14:paraId="03CC7A17" w14:textId="77777777" w:rsidR="001630C0" w:rsidRPr="001630C0" w:rsidRDefault="001630C0" w:rsidP="00D34F97">
            <w:pPr>
              <w:pStyle w:val="Akapitzlist"/>
              <w:numPr>
                <w:ilvl w:val="0"/>
                <w:numId w:val="326"/>
              </w:numPr>
              <w:spacing w:line="300" w:lineRule="atLeast"/>
              <w:jc w:val="both"/>
              <w:rPr>
                <w:sz w:val="24"/>
                <w:szCs w:val="24"/>
              </w:rPr>
            </w:pPr>
            <w:r w:rsidRPr="001630C0">
              <w:rPr>
                <w:sz w:val="24"/>
                <w:szCs w:val="24"/>
              </w:rPr>
              <w:t>liczba pojazdów, które transportowały odpady 325, w tym:</w:t>
            </w:r>
          </w:p>
          <w:p w14:paraId="5674828B" w14:textId="77777777" w:rsidR="001630C0" w:rsidRPr="001630C0" w:rsidRDefault="001630C0" w:rsidP="00D34F97">
            <w:pPr>
              <w:pStyle w:val="Akapitzlist"/>
              <w:numPr>
                <w:ilvl w:val="1"/>
                <w:numId w:val="326"/>
              </w:numPr>
              <w:spacing w:line="300" w:lineRule="atLeast"/>
              <w:jc w:val="both"/>
              <w:rPr>
                <w:sz w:val="24"/>
                <w:szCs w:val="24"/>
              </w:rPr>
            </w:pPr>
            <w:r w:rsidRPr="001630C0">
              <w:rPr>
                <w:sz w:val="24"/>
                <w:szCs w:val="24"/>
              </w:rPr>
              <w:t>w ruchu krajowym 308,</w:t>
            </w:r>
          </w:p>
          <w:p w14:paraId="4EC1058E" w14:textId="77777777" w:rsidR="001630C0" w:rsidRPr="001630C0" w:rsidRDefault="001630C0" w:rsidP="00D34F97">
            <w:pPr>
              <w:pStyle w:val="Akapitzlist"/>
              <w:numPr>
                <w:ilvl w:val="1"/>
                <w:numId w:val="326"/>
              </w:numPr>
              <w:spacing w:line="300" w:lineRule="atLeast"/>
              <w:jc w:val="both"/>
              <w:rPr>
                <w:sz w:val="24"/>
                <w:szCs w:val="24"/>
              </w:rPr>
            </w:pPr>
            <w:r w:rsidRPr="001630C0">
              <w:rPr>
                <w:sz w:val="24"/>
                <w:szCs w:val="24"/>
              </w:rPr>
              <w:t>w ruchu międzynarodowym 17.</w:t>
            </w:r>
          </w:p>
          <w:p w14:paraId="2BE2BEA6" w14:textId="55BA57F7" w:rsidR="00A22034" w:rsidRPr="007F400A" w:rsidRDefault="001630C0" w:rsidP="0089438D">
            <w:pPr>
              <w:spacing w:line="300" w:lineRule="atLeast"/>
              <w:jc w:val="both"/>
              <w:rPr>
                <w:rFonts w:ascii="Times New Roman" w:hAnsi="Times New Roman"/>
                <w:sz w:val="24"/>
                <w:szCs w:val="24"/>
              </w:rPr>
            </w:pPr>
            <w:r w:rsidRPr="001630C0">
              <w:rPr>
                <w:rFonts w:ascii="Times New Roman" w:hAnsi="Times New Roman"/>
                <w:bCs/>
                <w:sz w:val="24"/>
                <w:szCs w:val="24"/>
              </w:rPr>
              <w:t>W 2022 r. Zespoły Interwencyjno-Wyjazdowe WIOŚ w Warszawie przeprowadzały kontrole drogowe we współpracy</w:t>
            </w:r>
            <w:r w:rsidR="0089438D">
              <w:rPr>
                <w:rFonts w:ascii="Times New Roman" w:hAnsi="Times New Roman"/>
                <w:bCs/>
                <w:sz w:val="24"/>
                <w:szCs w:val="24"/>
              </w:rPr>
              <w:t xml:space="preserve"> </w:t>
            </w:r>
            <w:r w:rsidRPr="001630C0">
              <w:rPr>
                <w:rFonts w:ascii="Times New Roman" w:hAnsi="Times New Roman"/>
                <w:bCs/>
                <w:sz w:val="24"/>
                <w:szCs w:val="24"/>
              </w:rPr>
              <w:t>z Policją, ITD oraz KAS</w:t>
            </w:r>
            <w:r w:rsidR="00A22034" w:rsidRPr="001630C0">
              <w:rPr>
                <w:rFonts w:ascii="Times New Roman" w:hAnsi="Times New Roman"/>
                <w:sz w:val="24"/>
                <w:szCs w:val="24"/>
              </w:rPr>
              <w:t>.</w:t>
            </w:r>
          </w:p>
        </w:tc>
      </w:tr>
      <w:tr w:rsidR="00A22034" w:rsidRPr="007F400A" w14:paraId="6E1F9688" w14:textId="77777777" w:rsidTr="00A22034">
        <w:trPr>
          <w:trHeight w:val="546"/>
          <w:jc w:val="center"/>
        </w:trPr>
        <w:tc>
          <w:tcPr>
            <w:tcW w:w="2547" w:type="dxa"/>
            <w:vAlign w:val="center"/>
          </w:tcPr>
          <w:p w14:paraId="2DECA5E9" w14:textId="77777777" w:rsidR="00A22034" w:rsidRPr="007F400A" w:rsidRDefault="00A22034" w:rsidP="00A22034">
            <w:pPr>
              <w:pStyle w:val="Akapitzlist"/>
              <w:spacing w:after="120" w:line="300" w:lineRule="atLeast"/>
              <w:ind w:left="0"/>
              <w:rPr>
                <w:b/>
                <w:color w:val="000000"/>
                <w:sz w:val="24"/>
                <w:szCs w:val="24"/>
              </w:rPr>
            </w:pPr>
            <w:r w:rsidRPr="007F400A">
              <w:rPr>
                <w:b/>
                <w:sz w:val="24"/>
                <w:szCs w:val="24"/>
              </w:rPr>
              <w:t>WIOŚ we Wrocławiu</w:t>
            </w:r>
          </w:p>
        </w:tc>
        <w:tc>
          <w:tcPr>
            <w:tcW w:w="6514" w:type="dxa"/>
            <w:vAlign w:val="center"/>
          </w:tcPr>
          <w:p w14:paraId="35926004" w14:textId="77777777" w:rsidR="00A22034" w:rsidRDefault="0089438D" w:rsidP="0089438D">
            <w:pPr>
              <w:spacing w:line="300" w:lineRule="atLeast"/>
              <w:contextualSpacing/>
              <w:jc w:val="both"/>
              <w:rPr>
                <w:rFonts w:ascii="Times New Roman" w:hAnsi="Times New Roman"/>
                <w:sz w:val="24"/>
                <w:szCs w:val="24"/>
              </w:rPr>
            </w:pPr>
            <w:r w:rsidRPr="0089438D">
              <w:rPr>
                <w:rFonts w:ascii="Times New Roman" w:hAnsi="Times New Roman"/>
                <w:sz w:val="24"/>
                <w:szCs w:val="24"/>
              </w:rPr>
              <w:t xml:space="preserve">Inspektorzy Wydziału/Działów </w:t>
            </w:r>
            <w:r>
              <w:rPr>
                <w:rFonts w:ascii="Times New Roman" w:hAnsi="Times New Roman"/>
                <w:sz w:val="24"/>
                <w:szCs w:val="24"/>
              </w:rPr>
              <w:t>WIOŚ</w:t>
            </w:r>
            <w:r w:rsidRPr="0089438D">
              <w:rPr>
                <w:rFonts w:ascii="Times New Roman" w:hAnsi="Times New Roman"/>
                <w:sz w:val="24"/>
                <w:szCs w:val="24"/>
              </w:rPr>
              <w:t xml:space="preserve"> </w:t>
            </w:r>
            <w:r>
              <w:rPr>
                <w:rFonts w:ascii="Times New Roman" w:hAnsi="Times New Roman"/>
                <w:sz w:val="24"/>
                <w:szCs w:val="24"/>
              </w:rPr>
              <w:t xml:space="preserve">w </w:t>
            </w:r>
            <w:r w:rsidRPr="0089438D">
              <w:rPr>
                <w:rFonts w:ascii="Times New Roman" w:hAnsi="Times New Roman"/>
                <w:sz w:val="24"/>
                <w:szCs w:val="24"/>
              </w:rPr>
              <w:t>2022 roku przeprowadzili 9 kontroli</w:t>
            </w:r>
            <w:r>
              <w:rPr>
                <w:rFonts w:ascii="Times New Roman" w:hAnsi="Times New Roman"/>
                <w:sz w:val="24"/>
                <w:szCs w:val="24"/>
              </w:rPr>
              <w:t xml:space="preserve">, w trakcie których </w:t>
            </w:r>
            <w:r w:rsidRPr="0089438D">
              <w:rPr>
                <w:rFonts w:ascii="Times New Roman" w:hAnsi="Times New Roman"/>
                <w:sz w:val="24"/>
                <w:szCs w:val="24"/>
              </w:rPr>
              <w:t>ujawni</w:t>
            </w:r>
            <w:r>
              <w:rPr>
                <w:rFonts w:ascii="Times New Roman" w:hAnsi="Times New Roman"/>
                <w:sz w:val="24"/>
                <w:szCs w:val="24"/>
              </w:rPr>
              <w:t>ono</w:t>
            </w:r>
            <w:r w:rsidRPr="0089438D">
              <w:rPr>
                <w:rFonts w:ascii="Times New Roman" w:hAnsi="Times New Roman"/>
                <w:sz w:val="24"/>
                <w:szCs w:val="24"/>
              </w:rPr>
              <w:t xml:space="preserve">: 55 transportów towarów, w tym w strumieniu krajowym -  26  transportów, w strumieniu zagranicznym - 29 transportów. Wśród skontrolowanych transportów 31 stanowiło transporty </w:t>
            </w:r>
            <w:r>
              <w:rPr>
                <w:rFonts w:ascii="Times New Roman" w:hAnsi="Times New Roman"/>
                <w:sz w:val="24"/>
                <w:szCs w:val="24"/>
              </w:rPr>
              <w:br/>
            </w:r>
            <w:r w:rsidRPr="0089438D">
              <w:rPr>
                <w:rFonts w:ascii="Times New Roman" w:hAnsi="Times New Roman"/>
                <w:sz w:val="24"/>
                <w:szCs w:val="24"/>
              </w:rPr>
              <w:t>z odpadami</w:t>
            </w:r>
            <w:r>
              <w:rPr>
                <w:rFonts w:ascii="Times New Roman" w:hAnsi="Times New Roman"/>
                <w:sz w:val="24"/>
                <w:szCs w:val="24"/>
              </w:rPr>
              <w:t xml:space="preserve">, z których </w:t>
            </w:r>
            <w:r w:rsidRPr="0089438D">
              <w:rPr>
                <w:rFonts w:ascii="Times New Roman" w:hAnsi="Times New Roman"/>
                <w:sz w:val="24"/>
                <w:szCs w:val="24"/>
              </w:rPr>
              <w:t>23 realizowane były w strumieniu zagranicznym, natomiast 8 przypadkach w strumieniu krajowym</w:t>
            </w:r>
            <w:r>
              <w:rPr>
                <w:rFonts w:ascii="Times New Roman" w:hAnsi="Times New Roman"/>
                <w:sz w:val="24"/>
                <w:szCs w:val="24"/>
              </w:rPr>
              <w:t xml:space="preserve">. </w:t>
            </w:r>
          </w:p>
          <w:p w14:paraId="1061F017" w14:textId="77777777" w:rsidR="0089438D" w:rsidRDefault="0089438D" w:rsidP="0089438D">
            <w:pPr>
              <w:spacing w:line="300" w:lineRule="atLeast"/>
              <w:contextualSpacing/>
              <w:jc w:val="both"/>
              <w:rPr>
                <w:rFonts w:ascii="Times New Roman" w:hAnsi="Times New Roman"/>
                <w:bCs/>
                <w:iCs/>
                <w:sz w:val="24"/>
                <w:szCs w:val="24"/>
              </w:rPr>
            </w:pPr>
            <w:r>
              <w:rPr>
                <w:rFonts w:ascii="Times New Roman" w:hAnsi="Times New Roman"/>
                <w:bCs/>
                <w:iCs/>
                <w:sz w:val="24"/>
                <w:szCs w:val="24"/>
              </w:rPr>
              <w:t xml:space="preserve">Inspektorzy z Wydziału Zwalczania Przestępczości Środowiskowej, WIOŚ we Wrocławiu, </w:t>
            </w:r>
            <w:r w:rsidRPr="0089438D">
              <w:rPr>
                <w:rFonts w:ascii="Times New Roman" w:hAnsi="Times New Roman"/>
                <w:bCs/>
                <w:iCs/>
                <w:sz w:val="24"/>
                <w:szCs w:val="24"/>
              </w:rPr>
              <w:t>współpracowa</w:t>
            </w:r>
            <w:r>
              <w:rPr>
                <w:rFonts w:ascii="Times New Roman" w:hAnsi="Times New Roman"/>
                <w:bCs/>
                <w:iCs/>
                <w:sz w:val="24"/>
                <w:szCs w:val="24"/>
              </w:rPr>
              <w:t>li</w:t>
            </w:r>
            <w:r w:rsidRPr="0089438D">
              <w:rPr>
                <w:rFonts w:ascii="Times New Roman" w:hAnsi="Times New Roman"/>
                <w:bCs/>
                <w:iCs/>
                <w:sz w:val="24"/>
                <w:szCs w:val="24"/>
              </w:rPr>
              <w:t xml:space="preserve"> z innymi organami</w:t>
            </w:r>
            <w:r>
              <w:rPr>
                <w:rFonts w:ascii="Times New Roman" w:hAnsi="Times New Roman"/>
                <w:bCs/>
                <w:iCs/>
                <w:sz w:val="24"/>
                <w:szCs w:val="24"/>
              </w:rPr>
              <w:t>,</w:t>
            </w:r>
            <w:r w:rsidRPr="0089438D">
              <w:rPr>
                <w:rFonts w:ascii="Times New Roman" w:hAnsi="Times New Roman"/>
                <w:bCs/>
                <w:iCs/>
                <w:sz w:val="24"/>
                <w:szCs w:val="24"/>
              </w:rPr>
              <w:t xml:space="preserve"> tj. z Inspekcją Transportu Drogowego, Krajową Administracją Skarbową,  Strażą Graniczną oraz z Policją. </w:t>
            </w:r>
            <w:r w:rsidRPr="0089438D">
              <w:rPr>
                <w:rFonts w:ascii="Times New Roman" w:hAnsi="Times New Roman"/>
                <w:bCs/>
                <w:iCs/>
                <w:sz w:val="24"/>
                <w:szCs w:val="24"/>
              </w:rPr>
              <w:lastRenderedPageBreak/>
              <w:t>Łącznie uczestnicz</w:t>
            </w:r>
            <w:r>
              <w:rPr>
                <w:rFonts w:ascii="Times New Roman" w:hAnsi="Times New Roman"/>
                <w:bCs/>
                <w:iCs/>
                <w:sz w:val="24"/>
                <w:szCs w:val="24"/>
              </w:rPr>
              <w:t>yli</w:t>
            </w:r>
            <w:r w:rsidRPr="0089438D">
              <w:rPr>
                <w:rFonts w:ascii="Times New Roman" w:hAnsi="Times New Roman"/>
                <w:bCs/>
                <w:iCs/>
                <w:sz w:val="24"/>
                <w:szCs w:val="24"/>
              </w:rPr>
              <w:t xml:space="preserve"> w 7 akcjach kontrolnych przemieszczania odpadów na szklakach komunikacyjnych, skontrol</w:t>
            </w:r>
            <w:r>
              <w:rPr>
                <w:rFonts w:ascii="Times New Roman" w:hAnsi="Times New Roman"/>
                <w:bCs/>
                <w:iCs/>
                <w:sz w:val="24"/>
                <w:szCs w:val="24"/>
              </w:rPr>
              <w:t>owali</w:t>
            </w:r>
            <w:r w:rsidRPr="0089438D">
              <w:rPr>
                <w:rFonts w:ascii="Times New Roman" w:hAnsi="Times New Roman"/>
                <w:bCs/>
                <w:iCs/>
                <w:sz w:val="24"/>
                <w:szCs w:val="24"/>
              </w:rPr>
              <w:t xml:space="preserve"> 93 pojazdy oraz </w:t>
            </w:r>
            <w:r>
              <w:rPr>
                <w:rFonts w:ascii="Times New Roman" w:hAnsi="Times New Roman"/>
                <w:bCs/>
                <w:iCs/>
                <w:sz w:val="24"/>
                <w:szCs w:val="24"/>
              </w:rPr>
              <w:t xml:space="preserve">wzięli udział </w:t>
            </w:r>
            <w:r w:rsidRPr="0089438D">
              <w:rPr>
                <w:rFonts w:ascii="Times New Roman" w:hAnsi="Times New Roman"/>
                <w:bCs/>
                <w:iCs/>
                <w:sz w:val="24"/>
                <w:szCs w:val="24"/>
              </w:rPr>
              <w:t xml:space="preserve">w </w:t>
            </w:r>
            <w:r w:rsidRPr="0089438D">
              <w:rPr>
                <w:rFonts w:ascii="Times New Roman" w:hAnsi="Times New Roman"/>
                <w:bCs/>
                <w:sz w:val="24"/>
                <w:szCs w:val="24"/>
              </w:rPr>
              <w:t xml:space="preserve">1 kontroli transportu odpadów na wniosek KAS. </w:t>
            </w:r>
            <w:r w:rsidRPr="0089438D">
              <w:rPr>
                <w:rFonts w:ascii="Times New Roman" w:hAnsi="Times New Roman"/>
                <w:bCs/>
                <w:iCs/>
                <w:sz w:val="24"/>
                <w:szCs w:val="24"/>
              </w:rPr>
              <w:t xml:space="preserve">W trakcie </w:t>
            </w:r>
            <w:r>
              <w:rPr>
                <w:rFonts w:ascii="Times New Roman" w:hAnsi="Times New Roman"/>
                <w:bCs/>
                <w:iCs/>
                <w:sz w:val="24"/>
                <w:szCs w:val="24"/>
              </w:rPr>
              <w:t xml:space="preserve">ww. </w:t>
            </w:r>
            <w:r w:rsidRPr="0089438D">
              <w:rPr>
                <w:rFonts w:ascii="Times New Roman" w:hAnsi="Times New Roman"/>
                <w:bCs/>
                <w:iCs/>
                <w:sz w:val="24"/>
                <w:szCs w:val="24"/>
              </w:rPr>
              <w:t>kontroli ujawniono 1 nielegalne transgraniczne przemieszczanie odpadów z Niemiec do Polski</w:t>
            </w:r>
            <w:r>
              <w:rPr>
                <w:rFonts w:ascii="Times New Roman" w:hAnsi="Times New Roman"/>
                <w:bCs/>
                <w:iCs/>
                <w:sz w:val="24"/>
                <w:szCs w:val="24"/>
              </w:rPr>
              <w:t>.</w:t>
            </w:r>
          </w:p>
          <w:p w14:paraId="7CC9BBA8" w14:textId="77777777" w:rsidR="00EE7317" w:rsidRDefault="00EE7317" w:rsidP="0089438D">
            <w:pPr>
              <w:spacing w:line="300" w:lineRule="atLeast"/>
              <w:contextualSpacing/>
              <w:jc w:val="both"/>
              <w:rPr>
                <w:rFonts w:ascii="Times New Roman" w:hAnsi="Times New Roman"/>
                <w:bCs/>
                <w:sz w:val="24"/>
                <w:szCs w:val="24"/>
              </w:rPr>
            </w:pPr>
            <w:r w:rsidRPr="00EE7317">
              <w:rPr>
                <w:rFonts w:ascii="Times New Roman" w:hAnsi="Times New Roman"/>
                <w:bCs/>
                <w:sz w:val="24"/>
                <w:szCs w:val="24"/>
              </w:rPr>
              <w:t>Przeprowadzono również 12 kontroli dokumentacyjnych dot. wydania oceny przewożonego towaru na wniosek Dolnośląskiego Urzędu Celno-Skarbowego. Podczas 5 kontroli ujawniono nielegalne transgraniczne przemieszczanie odpadów</w:t>
            </w:r>
            <w:r>
              <w:rPr>
                <w:rFonts w:ascii="Times New Roman" w:hAnsi="Times New Roman"/>
                <w:bCs/>
                <w:sz w:val="24"/>
                <w:szCs w:val="24"/>
              </w:rPr>
              <w:t>.</w:t>
            </w:r>
          </w:p>
          <w:p w14:paraId="6AA59A5B" w14:textId="33CBA8F3" w:rsidR="00EE7317" w:rsidRPr="00EE7317" w:rsidRDefault="00EE7317" w:rsidP="0089438D">
            <w:pPr>
              <w:spacing w:line="300" w:lineRule="atLeast"/>
              <w:contextualSpacing/>
              <w:jc w:val="both"/>
              <w:rPr>
                <w:rFonts w:ascii="Times New Roman" w:hAnsi="Times New Roman"/>
                <w:sz w:val="24"/>
                <w:szCs w:val="24"/>
              </w:rPr>
            </w:pPr>
            <w:r w:rsidRPr="00EE7317">
              <w:rPr>
                <w:rFonts w:ascii="Times New Roman" w:hAnsi="Times New Roman"/>
                <w:bCs/>
                <w:iCs/>
                <w:sz w:val="24"/>
                <w:szCs w:val="24"/>
              </w:rPr>
              <w:t>Ponadto, w ramach działań prewencyjnych  Wydział Zwalczania Przestępczości Środowiskowej WIOŚ we Wrocławiu prowadzi  kontrolę wyrobisk na terenie województwa dolnośląskiego, w tym celu została sporządzona mapa ze zaznaczonymi miejscami wyrobisk oraz karta wyrobiska, w której umieszczane są informacje pozyskane w trakcie tych czynności.  Od maja  2022 r. sprawdzono 115 wyrobisk, w tym 9 to składowiska odpadów, – 12 z nich ma status historyczny, 34 nieaktywny a pozostałe są aktywne</w:t>
            </w:r>
            <w:r>
              <w:rPr>
                <w:rFonts w:ascii="Times New Roman" w:hAnsi="Times New Roman"/>
                <w:bCs/>
                <w:iCs/>
                <w:sz w:val="24"/>
                <w:szCs w:val="24"/>
              </w:rPr>
              <w:t>.</w:t>
            </w:r>
          </w:p>
        </w:tc>
      </w:tr>
      <w:tr w:rsidR="00A22034" w:rsidRPr="007F400A" w14:paraId="0BB4B13B" w14:textId="77777777" w:rsidTr="00A22034">
        <w:trPr>
          <w:trHeight w:val="819"/>
          <w:jc w:val="center"/>
        </w:trPr>
        <w:tc>
          <w:tcPr>
            <w:tcW w:w="2547" w:type="dxa"/>
            <w:vAlign w:val="center"/>
          </w:tcPr>
          <w:p w14:paraId="4CDEDAD0" w14:textId="77777777" w:rsidR="00A22034" w:rsidRPr="007F400A" w:rsidRDefault="00A22034" w:rsidP="00A22034">
            <w:pPr>
              <w:pStyle w:val="Akapitzlist"/>
              <w:spacing w:after="120" w:line="300" w:lineRule="atLeast"/>
              <w:ind w:left="0"/>
              <w:rPr>
                <w:b/>
                <w:color w:val="000000"/>
                <w:sz w:val="24"/>
                <w:szCs w:val="24"/>
              </w:rPr>
            </w:pPr>
            <w:r w:rsidRPr="007F400A">
              <w:rPr>
                <w:b/>
                <w:sz w:val="24"/>
                <w:szCs w:val="24"/>
              </w:rPr>
              <w:lastRenderedPageBreak/>
              <w:t>WIOŚ w Zielonej Górze</w:t>
            </w:r>
          </w:p>
        </w:tc>
        <w:tc>
          <w:tcPr>
            <w:tcW w:w="6514" w:type="dxa"/>
            <w:vAlign w:val="center"/>
          </w:tcPr>
          <w:p w14:paraId="1C7D3DB3" w14:textId="2A5CF98C" w:rsidR="00A22034" w:rsidRPr="00EE7317" w:rsidRDefault="00EE7317" w:rsidP="00EE7317">
            <w:pPr>
              <w:pStyle w:val="Akapitzlist"/>
              <w:spacing w:line="300" w:lineRule="atLeast"/>
              <w:ind w:left="0"/>
              <w:jc w:val="both"/>
              <w:rPr>
                <w:sz w:val="24"/>
                <w:szCs w:val="24"/>
                <w:lang w:val="pl-PL"/>
              </w:rPr>
            </w:pPr>
            <w:r w:rsidRPr="00EE7317">
              <w:rPr>
                <w:sz w:val="24"/>
                <w:szCs w:val="24"/>
                <w:lang w:val="pl-PL"/>
              </w:rPr>
              <w:t xml:space="preserve">Podczas </w:t>
            </w:r>
            <w:r w:rsidRPr="00EE7317">
              <w:rPr>
                <w:sz w:val="24"/>
                <w:szCs w:val="24"/>
              </w:rPr>
              <w:t>16 akcj</w:t>
            </w:r>
            <w:r w:rsidRPr="00EE7317">
              <w:rPr>
                <w:sz w:val="24"/>
                <w:szCs w:val="24"/>
                <w:lang w:val="pl-PL"/>
              </w:rPr>
              <w:t>i</w:t>
            </w:r>
            <w:r w:rsidRPr="00EE7317">
              <w:rPr>
                <w:sz w:val="24"/>
                <w:szCs w:val="24"/>
              </w:rPr>
              <w:t xml:space="preserve"> prewencyjnych dot. TPO, tj. Odpady 2022, Demeter VIII oraz w cyklicznych  działaniach </w:t>
            </w:r>
            <w:r>
              <w:rPr>
                <w:sz w:val="24"/>
                <w:szCs w:val="24"/>
              </w:rPr>
              <w:br/>
            </w:r>
            <w:r w:rsidRPr="00EE7317">
              <w:rPr>
                <w:sz w:val="24"/>
                <w:szCs w:val="24"/>
              </w:rPr>
              <w:t>z funkcjonariuszami Policji, ITD i KAS pod kątem transportu odpadów w ruchu międzynarodowym i krajowym</w:t>
            </w:r>
            <w:r w:rsidRPr="00EE7317">
              <w:rPr>
                <w:sz w:val="24"/>
                <w:szCs w:val="24"/>
                <w:lang w:val="pl-PL"/>
              </w:rPr>
              <w:t xml:space="preserve"> przeprowadzono 151 </w:t>
            </w:r>
            <w:r w:rsidRPr="00EE7317">
              <w:rPr>
                <w:sz w:val="24"/>
                <w:szCs w:val="24"/>
              </w:rPr>
              <w:t xml:space="preserve">kontroli transportów odpadów, w tym 84 transportów </w:t>
            </w:r>
            <w:r w:rsidRPr="00EE7317">
              <w:rPr>
                <w:sz w:val="24"/>
                <w:szCs w:val="24"/>
                <w:lang w:val="pl-PL"/>
              </w:rPr>
              <w:t xml:space="preserve">o charakterze transgranicznym. </w:t>
            </w:r>
          </w:p>
        </w:tc>
      </w:tr>
    </w:tbl>
    <w:p w14:paraId="2DFFD690" w14:textId="5AB0142D" w:rsidR="00A22034" w:rsidRDefault="00A22034" w:rsidP="00A22034">
      <w:pPr>
        <w:spacing w:line="300" w:lineRule="atLeast"/>
        <w:jc w:val="both"/>
        <w:rPr>
          <w:rFonts w:ascii="Times New Roman" w:hAnsi="Times New Roman" w:cs="Times New Roman"/>
          <w:b/>
          <w:color w:val="000000"/>
          <w:sz w:val="24"/>
          <w:szCs w:val="24"/>
        </w:rPr>
      </w:pPr>
    </w:p>
    <w:p w14:paraId="55A9C971" w14:textId="77777777" w:rsidR="00AC4D5E" w:rsidRPr="000C0753" w:rsidRDefault="00AC4D5E" w:rsidP="00AC4D5E">
      <w:pPr>
        <w:spacing w:line="300" w:lineRule="atLeast"/>
        <w:contextualSpacing/>
        <w:jc w:val="center"/>
        <w:rPr>
          <w:bCs/>
          <w:i/>
          <w:iCs/>
        </w:rPr>
      </w:pPr>
    </w:p>
    <w:p w14:paraId="6DA1E843" w14:textId="4C7398D2" w:rsidR="00AC4D5E" w:rsidRPr="000C0753" w:rsidRDefault="00AC4D5E" w:rsidP="00AC4D5E">
      <w:pPr>
        <w:spacing w:line="300" w:lineRule="atLeast"/>
        <w:contextualSpacing/>
        <w:jc w:val="center"/>
        <w:rPr>
          <w:iCs/>
        </w:rPr>
      </w:pPr>
      <w:r w:rsidRPr="000C0753">
        <w:rPr>
          <w:iCs/>
          <w:noProof/>
          <w:lang w:eastAsia="pl-PL"/>
        </w:rPr>
        <w:drawing>
          <wp:inline distT="0" distB="0" distL="0" distR="0" wp14:anchorId="2A8275B3" wp14:editId="7B6F2637">
            <wp:extent cx="2676294" cy="3551600"/>
            <wp:effectExtent l="0" t="0" r="0" b="0"/>
            <wp:docPr id="27" name="Obraz 27" descr=" &#10;Zdjęcie 47. Transport odpadów tworzyw sztucznych poddany kontroli w ramach akcji kontrolnej „Nielegalne odpady” realizowanej wspólnie z funkcjonariuszami ITD. w dniu 07.09.2022 r. przy drodze krajowej S8 na wysokości miejsc. Rudniki.&#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 &#10;Zdjęcie 47. Transport odpadów tworzyw sztucznych poddany kontroli w ramach akcji kontrolnej „Nielegalne odpady” realizowanej wspólnie z funkcjonariuszami ITD. w dniu 07.09.2022 r. przy drodze krajowej S8 na wysokości miejsc. Rudniki.&#1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79600" cy="3555988"/>
                    </a:xfrm>
                    <a:prstGeom prst="rect">
                      <a:avLst/>
                    </a:prstGeom>
                    <a:noFill/>
                    <a:ln>
                      <a:noFill/>
                    </a:ln>
                  </pic:spPr>
                </pic:pic>
              </a:graphicData>
            </a:graphic>
          </wp:inline>
        </w:drawing>
      </w:r>
    </w:p>
    <w:p w14:paraId="775847F9" w14:textId="414D0E66" w:rsidR="00AC4D5E" w:rsidRPr="00AC4D5E" w:rsidRDefault="00AC4D5E" w:rsidP="00AC4D5E">
      <w:pPr>
        <w:spacing w:line="300" w:lineRule="atLeast"/>
        <w:contextualSpacing/>
        <w:jc w:val="center"/>
        <w:rPr>
          <w:rFonts w:ascii="Times New Roman" w:hAnsi="Times New Roman" w:cs="Times New Roman"/>
          <w:b/>
          <w:i/>
        </w:rPr>
      </w:pPr>
      <w:r w:rsidRPr="00AC4D5E">
        <w:rPr>
          <w:rFonts w:ascii="Times New Roman" w:hAnsi="Times New Roman" w:cs="Times New Roman"/>
          <w:b/>
          <w:i/>
        </w:rPr>
        <w:lastRenderedPageBreak/>
        <w:t>Zdjęcie</w:t>
      </w:r>
      <w:r>
        <w:rPr>
          <w:rFonts w:ascii="Times New Roman" w:hAnsi="Times New Roman" w:cs="Times New Roman"/>
          <w:b/>
          <w:i/>
        </w:rPr>
        <w:t xml:space="preserve"> </w:t>
      </w:r>
      <w:r w:rsidR="001A642C">
        <w:rPr>
          <w:rFonts w:ascii="Times New Roman" w:hAnsi="Times New Roman" w:cs="Times New Roman"/>
          <w:b/>
          <w:i/>
        </w:rPr>
        <w:t>4</w:t>
      </w:r>
      <w:r w:rsidR="00CB5B9A">
        <w:rPr>
          <w:rFonts w:ascii="Times New Roman" w:hAnsi="Times New Roman" w:cs="Times New Roman"/>
          <w:b/>
          <w:i/>
        </w:rPr>
        <w:t>7</w:t>
      </w:r>
      <w:r w:rsidRPr="00AC4D5E">
        <w:rPr>
          <w:rFonts w:ascii="Times New Roman" w:hAnsi="Times New Roman" w:cs="Times New Roman"/>
          <w:b/>
          <w:i/>
        </w:rPr>
        <w:t>. Transport odpadów tworzyw sztucznych poddany kontroli w ramach akcji kontrolnej „Nielegalne odpady” realizowanej wspólnie z funkcjonariuszami ITD. w dniu 07.09.2022 r. przy drodze krajowej S8 na wysokości miejsc. Rudniki.</w:t>
      </w:r>
    </w:p>
    <w:p w14:paraId="163EA015" w14:textId="77777777" w:rsidR="00AC4D5E" w:rsidRPr="000C0753" w:rsidRDefault="00AC4D5E" w:rsidP="00AC4D5E">
      <w:pPr>
        <w:spacing w:line="300" w:lineRule="atLeast"/>
        <w:ind w:right="565"/>
        <w:contextualSpacing/>
        <w:rPr>
          <w:iCs/>
        </w:rPr>
      </w:pPr>
    </w:p>
    <w:p w14:paraId="7B8FFFB2" w14:textId="1E2DF2F7" w:rsidR="00AC4D5E" w:rsidRPr="000C0753" w:rsidRDefault="00AC4D5E" w:rsidP="00AC4D5E">
      <w:pPr>
        <w:spacing w:line="300" w:lineRule="atLeast"/>
        <w:ind w:left="709" w:right="565" w:firstLine="709"/>
        <w:contextualSpacing/>
        <w:jc w:val="center"/>
        <w:rPr>
          <w:iCs/>
        </w:rPr>
      </w:pPr>
      <w:r w:rsidRPr="000C0753">
        <w:rPr>
          <w:iCs/>
          <w:noProof/>
          <w:lang w:eastAsia="pl-PL"/>
        </w:rPr>
        <w:drawing>
          <wp:inline distT="0" distB="0" distL="0" distR="0" wp14:anchorId="70A8C947" wp14:editId="74886403">
            <wp:extent cx="4742711" cy="3562350"/>
            <wp:effectExtent l="0" t="0" r="1270" b="0"/>
            <wp:docPr id="25" name="Obraz 25" descr="FB_IMG_1675423275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B_IMG_167542327521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51331" cy="3568825"/>
                    </a:xfrm>
                    <a:prstGeom prst="rect">
                      <a:avLst/>
                    </a:prstGeom>
                    <a:noFill/>
                    <a:ln>
                      <a:noFill/>
                    </a:ln>
                  </pic:spPr>
                </pic:pic>
              </a:graphicData>
            </a:graphic>
          </wp:inline>
        </w:drawing>
      </w:r>
    </w:p>
    <w:p w14:paraId="5E514719" w14:textId="3A890F0A" w:rsidR="00AC4D5E" w:rsidRPr="00AC4D5E" w:rsidRDefault="00AC4D5E" w:rsidP="00715A1A">
      <w:pPr>
        <w:spacing w:line="300" w:lineRule="atLeast"/>
        <w:ind w:left="-851" w:right="-1136" w:firstLine="567"/>
        <w:contextualSpacing/>
        <w:jc w:val="center"/>
        <w:rPr>
          <w:rFonts w:ascii="Times New Roman" w:hAnsi="Times New Roman" w:cs="Times New Roman"/>
          <w:b/>
          <w:i/>
          <w:iCs/>
        </w:rPr>
      </w:pPr>
      <w:r w:rsidRPr="00AC4D5E">
        <w:rPr>
          <w:rFonts w:ascii="Times New Roman" w:hAnsi="Times New Roman" w:cs="Times New Roman"/>
          <w:b/>
          <w:i/>
          <w:iCs/>
        </w:rPr>
        <w:t>Zdjęcie 4</w:t>
      </w:r>
      <w:r w:rsidR="00CB5B9A">
        <w:rPr>
          <w:rFonts w:ascii="Times New Roman" w:hAnsi="Times New Roman" w:cs="Times New Roman"/>
          <w:b/>
          <w:i/>
          <w:iCs/>
        </w:rPr>
        <w:t>8</w:t>
      </w:r>
      <w:r w:rsidRPr="00AC4D5E">
        <w:rPr>
          <w:rFonts w:ascii="Times New Roman" w:hAnsi="Times New Roman" w:cs="Times New Roman"/>
          <w:b/>
          <w:i/>
          <w:iCs/>
        </w:rPr>
        <w:t>. Kontrola transportu odpadów podczas akcji „nielegalne odpady” z udziałem WIOŚ w Bydgoszczy,</w:t>
      </w:r>
    </w:p>
    <w:p w14:paraId="7F662BB6" w14:textId="686B1CBE" w:rsidR="00491A26" w:rsidRPr="000C0753" w:rsidRDefault="00AC4D5E" w:rsidP="00715A1A">
      <w:pPr>
        <w:spacing w:line="300" w:lineRule="atLeast"/>
        <w:ind w:left="567"/>
        <w:contextualSpacing/>
        <w:jc w:val="center"/>
        <w:rPr>
          <w:i/>
        </w:rPr>
      </w:pPr>
      <w:r w:rsidRPr="00AC4D5E">
        <w:rPr>
          <w:rFonts w:ascii="Times New Roman" w:hAnsi="Times New Roman" w:cs="Times New Roman"/>
          <w:b/>
          <w:i/>
          <w:iCs/>
        </w:rPr>
        <w:t>KAS, ITD i  policji</w:t>
      </w:r>
    </w:p>
    <w:p w14:paraId="0DA7EFD0" w14:textId="057D0645" w:rsidR="00491A26" w:rsidRPr="000C0753" w:rsidRDefault="00491A26" w:rsidP="005D46E7">
      <w:pPr>
        <w:spacing w:line="300" w:lineRule="atLeast"/>
        <w:ind w:left="737"/>
        <w:contextualSpacing/>
        <w:jc w:val="center"/>
      </w:pPr>
      <w:r w:rsidRPr="000C0753">
        <w:rPr>
          <w:i/>
          <w:noProof/>
          <w:lang w:eastAsia="pl-PL"/>
        </w:rPr>
        <w:drawing>
          <wp:inline distT="0" distB="0" distL="0" distR="0" wp14:anchorId="6ED513D1" wp14:editId="2F71C1C0">
            <wp:extent cx="5601758" cy="3190875"/>
            <wp:effectExtent l="0" t="0" r="0" b="0"/>
            <wp:docPr id="24" name="Obraz 24" descr="IMG_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152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603714" cy="3191989"/>
                    </a:xfrm>
                    <a:prstGeom prst="rect">
                      <a:avLst/>
                    </a:prstGeom>
                    <a:noFill/>
                    <a:ln>
                      <a:noFill/>
                    </a:ln>
                  </pic:spPr>
                </pic:pic>
              </a:graphicData>
            </a:graphic>
          </wp:inline>
        </w:drawing>
      </w:r>
    </w:p>
    <w:p w14:paraId="7EA7BA6D" w14:textId="442E2D34" w:rsidR="00491A26" w:rsidRPr="000C0753" w:rsidRDefault="00491A26" w:rsidP="00715A1A">
      <w:pPr>
        <w:spacing w:line="300" w:lineRule="atLeast"/>
        <w:ind w:left="737"/>
        <w:contextualSpacing/>
        <w:jc w:val="center"/>
      </w:pPr>
      <w:r w:rsidRPr="00491A26">
        <w:rPr>
          <w:rFonts w:ascii="Times New Roman" w:hAnsi="Times New Roman" w:cs="Times New Roman"/>
          <w:b/>
          <w:i/>
        </w:rPr>
        <w:t xml:space="preserve">Zdjęcie </w:t>
      </w:r>
      <w:r w:rsidR="001A642C">
        <w:rPr>
          <w:rFonts w:ascii="Times New Roman" w:hAnsi="Times New Roman" w:cs="Times New Roman"/>
          <w:b/>
          <w:i/>
        </w:rPr>
        <w:t>4</w:t>
      </w:r>
      <w:r w:rsidR="00CB5B9A">
        <w:rPr>
          <w:rFonts w:ascii="Times New Roman" w:hAnsi="Times New Roman" w:cs="Times New Roman"/>
          <w:b/>
          <w:i/>
        </w:rPr>
        <w:t>9</w:t>
      </w:r>
      <w:r w:rsidRPr="00491A26">
        <w:rPr>
          <w:rFonts w:ascii="Times New Roman" w:hAnsi="Times New Roman" w:cs="Times New Roman"/>
          <w:b/>
          <w:i/>
        </w:rPr>
        <w:t>. Współdziałanie służb w ramach kontroli drogowych transportujących odpady na terenie województwa świętokrzyskiego</w:t>
      </w:r>
    </w:p>
    <w:p w14:paraId="0734ED40" w14:textId="77777777" w:rsidR="00DB14B8" w:rsidRPr="000C0753" w:rsidRDefault="00DB14B8" w:rsidP="00DB14B8">
      <w:pPr>
        <w:autoSpaceDE w:val="0"/>
        <w:autoSpaceDN w:val="0"/>
        <w:adjustRightInd w:val="0"/>
        <w:spacing w:line="300" w:lineRule="atLeast"/>
        <w:contextualSpacing/>
      </w:pPr>
    </w:p>
    <w:p w14:paraId="3002EBEC" w14:textId="3712C2BB" w:rsidR="00DB14B8" w:rsidRPr="007F400A" w:rsidRDefault="00DB14B8" w:rsidP="005D46E7">
      <w:pPr>
        <w:spacing w:line="300" w:lineRule="atLeast"/>
        <w:jc w:val="center"/>
        <w:rPr>
          <w:rFonts w:ascii="Times New Roman" w:hAnsi="Times New Roman" w:cs="Times New Roman"/>
          <w:b/>
          <w:color w:val="000000"/>
          <w:sz w:val="24"/>
          <w:szCs w:val="24"/>
        </w:rPr>
      </w:pPr>
      <w:r w:rsidRPr="000C0753">
        <w:rPr>
          <w:noProof/>
          <w:lang w:eastAsia="pl-PL"/>
        </w:rPr>
        <w:lastRenderedPageBreak/>
        <w:drawing>
          <wp:inline distT="0" distB="0" distL="0" distR="0" wp14:anchorId="726AD331" wp14:editId="27CC7821">
            <wp:extent cx="5753100" cy="3848100"/>
            <wp:effectExtent l="0" t="0" r="0" b="0"/>
            <wp:docPr id="22" name="Obraz 22" descr="Zdjęcie 50. Akcja drogowa SENT 2022 przeprowadzona przez WIOŚ w Rzeszowie w dniu &#10;10.08.2022 r. wraz z funkcjonariuszami Krajowej Administracji Skarbowej&#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descr="Zdjęcie 50. Akcja drogowa SENT 2022 przeprowadzona przez WIOŚ w Rzeszowie w dniu &#10;10.08.2022 r. wraz z funkcjonariuszami Krajowej Administracji Skarbowej&#1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53100" cy="3848100"/>
                    </a:xfrm>
                    <a:prstGeom prst="rect">
                      <a:avLst/>
                    </a:prstGeom>
                    <a:noFill/>
                    <a:ln>
                      <a:noFill/>
                    </a:ln>
                  </pic:spPr>
                </pic:pic>
              </a:graphicData>
            </a:graphic>
          </wp:inline>
        </w:drawing>
      </w:r>
      <w:r w:rsidRPr="00DB14B8">
        <w:rPr>
          <w:rFonts w:ascii="Times New Roman" w:hAnsi="Times New Roman" w:cs="Times New Roman"/>
          <w:b/>
          <w:i/>
        </w:rPr>
        <w:t xml:space="preserve">Zdjęcie </w:t>
      </w:r>
      <w:r w:rsidR="00CB5B9A">
        <w:rPr>
          <w:rFonts w:ascii="Times New Roman" w:hAnsi="Times New Roman" w:cs="Times New Roman"/>
          <w:b/>
          <w:i/>
        </w:rPr>
        <w:t>50</w:t>
      </w:r>
      <w:r w:rsidRPr="00DB14B8">
        <w:rPr>
          <w:rFonts w:ascii="Times New Roman" w:hAnsi="Times New Roman" w:cs="Times New Roman"/>
          <w:b/>
          <w:i/>
        </w:rPr>
        <w:t xml:space="preserve">. Akcja drogowa SENT 2022 przeprowadzona przez WIOŚ w Rzeszowie w dniu </w:t>
      </w:r>
      <w:r w:rsidR="00491A26">
        <w:rPr>
          <w:rFonts w:ascii="Times New Roman" w:hAnsi="Times New Roman" w:cs="Times New Roman"/>
          <w:b/>
          <w:i/>
        </w:rPr>
        <w:br/>
      </w:r>
      <w:r w:rsidRPr="00DB14B8">
        <w:rPr>
          <w:rFonts w:ascii="Times New Roman" w:hAnsi="Times New Roman" w:cs="Times New Roman"/>
          <w:b/>
          <w:i/>
        </w:rPr>
        <w:t>10.08.2022 r. wraz z funkcjonariuszami Krajowej Administracji Skarbowej</w:t>
      </w:r>
    </w:p>
    <w:p w14:paraId="269524BA" w14:textId="0F9E5C0F" w:rsidR="00A22034" w:rsidRPr="007F400A" w:rsidRDefault="00184DDA" w:rsidP="00613EB9">
      <w:pPr>
        <w:pStyle w:val="Nagwek1"/>
        <w:spacing w:after="120"/>
        <w:ind w:left="709" w:hanging="709"/>
        <w:jc w:val="both"/>
      </w:pPr>
      <w:bookmarkStart w:id="350" w:name="_Toc99469624"/>
      <w:bookmarkStart w:id="351" w:name="_Toc135935686"/>
      <w:r w:rsidRPr="007F400A">
        <w:rPr>
          <w:color w:val="000000" w:themeColor="text1"/>
          <w:lang w:val="pl-PL"/>
        </w:rPr>
        <w:t xml:space="preserve">7.2 </w:t>
      </w:r>
      <w:r w:rsidR="00A22034" w:rsidRPr="007F400A">
        <w:rPr>
          <w:color w:val="000000" w:themeColor="text1"/>
        </w:rPr>
        <w:t xml:space="preserve">Wskazanie ilościowe i omówienie porozumień zawartych z innymi organami </w:t>
      </w:r>
      <w:r w:rsidR="00A22034" w:rsidRPr="007F400A">
        <w:rPr>
          <w:color w:val="000000" w:themeColor="text1"/>
        </w:rPr>
        <w:br/>
        <w:t>i służbami w zakresie zwalczania przestępczości środowiskowej</w:t>
      </w:r>
      <w:bookmarkEnd w:id="350"/>
      <w:bookmarkEnd w:id="351"/>
    </w:p>
    <w:p w14:paraId="4E2011A6" w14:textId="63FBD0E9" w:rsidR="0040530E" w:rsidRPr="0040530E" w:rsidRDefault="00614138" w:rsidP="001355BC">
      <w:pPr>
        <w:pStyle w:val="Akapitzlist"/>
        <w:spacing w:line="300" w:lineRule="atLeast"/>
        <w:ind w:left="0" w:firstLine="567"/>
        <w:contextualSpacing w:val="0"/>
        <w:jc w:val="both"/>
        <w:rPr>
          <w:bCs/>
          <w:color w:val="1B1B1B"/>
          <w:sz w:val="24"/>
          <w:szCs w:val="24"/>
          <w:shd w:val="clear" w:color="auto" w:fill="FFFFFF"/>
        </w:rPr>
      </w:pPr>
      <w:r>
        <w:rPr>
          <w:color w:val="000000"/>
          <w:sz w:val="24"/>
          <w:szCs w:val="24"/>
          <w:lang w:val="pl-PL"/>
        </w:rPr>
        <w:t>Na szczeblu centralnym, w</w:t>
      </w:r>
      <w:r w:rsidR="0040530E" w:rsidRPr="0040530E">
        <w:rPr>
          <w:color w:val="000000"/>
          <w:sz w:val="24"/>
          <w:szCs w:val="24"/>
        </w:rPr>
        <w:t xml:space="preserve"> dniu 14 grudnia 2022 r. </w:t>
      </w:r>
      <w:r w:rsidR="0040530E" w:rsidRPr="0040530E">
        <w:rPr>
          <w:b/>
          <w:bCs/>
          <w:color w:val="1B1B1B"/>
          <w:sz w:val="24"/>
          <w:szCs w:val="24"/>
          <w:shd w:val="clear" w:color="auto" w:fill="FFFFFF"/>
        </w:rPr>
        <w:t> </w:t>
      </w:r>
      <w:r w:rsidR="0040530E" w:rsidRPr="0040530E">
        <w:rPr>
          <w:bCs/>
          <w:color w:val="1B1B1B"/>
          <w:sz w:val="24"/>
          <w:szCs w:val="24"/>
          <w:shd w:val="clear" w:color="auto" w:fill="FFFFFF"/>
        </w:rPr>
        <w:t xml:space="preserve">w siedzibie Wyższego Urzędu Górniczego (WUG) w Katowicach odbyła się uroczystość podpisania porozumienia </w:t>
      </w:r>
      <w:r>
        <w:rPr>
          <w:bCs/>
          <w:color w:val="1B1B1B"/>
          <w:sz w:val="24"/>
          <w:szCs w:val="24"/>
          <w:shd w:val="clear" w:color="auto" w:fill="FFFFFF"/>
        </w:rPr>
        <w:br/>
      </w:r>
      <w:r w:rsidR="0040530E" w:rsidRPr="0040530E">
        <w:rPr>
          <w:bCs/>
          <w:color w:val="1B1B1B"/>
          <w:sz w:val="24"/>
          <w:szCs w:val="24"/>
          <w:shd w:val="clear" w:color="auto" w:fill="FFFFFF"/>
        </w:rPr>
        <w:t xml:space="preserve">o współpracy z Głównym Inspektoratem Ochrony Środowiska. </w:t>
      </w:r>
      <w:r w:rsidR="0040530E" w:rsidRPr="0040530E">
        <w:rPr>
          <w:color w:val="000000"/>
          <w:sz w:val="24"/>
          <w:szCs w:val="24"/>
          <w:shd w:val="clear" w:color="auto" w:fill="FFFFFF"/>
        </w:rPr>
        <w:t>Podczas spotkania obecne było kierownictwo obu instytucji.</w:t>
      </w:r>
      <w:r w:rsidR="0040530E" w:rsidRPr="0040530E">
        <w:rPr>
          <w:bCs/>
          <w:color w:val="1B1B1B"/>
          <w:sz w:val="24"/>
          <w:szCs w:val="24"/>
          <w:shd w:val="clear" w:color="auto" w:fill="FFFFFF"/>
        </w:rPr>
        <w:t xml:space="preserve"> </w:t>
      </w:r>
    </w:p>
    <w:p w14:paraId="3F51DC94" w14:textId="6B6D0A60" w:rsidR="0040530E" w:rsidRPr="0040530E" w:rsidRDefault="0040530E" w:rsidP="001355BC">
      <w:pPr>
        <w:pStyle w:val="Akapitzlist"/>
        <w:spacing w:line="300" w:lineRule="atLeast"/>
        <w:ind w:left="0" w:firstLine="567"/>
        <w:contextualSpacing w:val="0"/>
        <w:jc w:val="both"/>
        <w:rPr>
          <w:color w:val="000000"/>
          <w:sz w:val="24"/>
          <w:szCs w:val="24"/>
          <w:shd w:val="clear" w:color="auto" w:fill="FFFFFF"/>
        </w:rPr>
      </w:pPr>
      <w:r w:rsidRPr="0040530E">
        <w:rPr>
          <w:bCs/>
          <w:color w:val="1B1B1B"/>
          <w:sz w:val="24"/>
          <w:szCs w:val="24"/>
          <w:shd w:val="clear" w:color="auto" w:fill="FFFFFF"/>
        </w:rPr>
        <w:t xml:space="preserve">Umowa określa zasady współdziałania w zakresie kontroli i organizacji działań w ramach ochrony środowiska na szczeblu centralnym oraz terenowym. </w:t>
      </w:r>
      <w:r w:rsidRPr="0040530E">
        <w:rPr>
          <w:color w:val="000000"/>
          <w:sz w:val="24"/>
          <w:szCs w:val="24"/>
          <w:shd w:val="clear" w:color="auto" w:fill="FFFFFF"/>
        </w:rPr>
        <w:t xml:space="preserve">W ramach podpisanego porozumienia urzędy zobowiązały się do współdziałania w zakresie kontroli i przestrzegania przepisów dotyczących ochrony środowiska, w tym przede wszystkim organizacji działań prewencyjnych. Umowa obejmuje również działania na szczeblu wojewódzkim tj. współpracę wojewódzkich inspektorów ochrony środowiska z dyrektorami okręgowych urzędów górniczych. Oba urzędy zobowiązały się do wzajemnego informowania się </w:t>
      </w:r>
      <w:r w:rsidRPr="0040530E">
        <w:rPr>
          <w:color w:val="000000"/>
          <w:sz w:val="24"/>
          <w:szCs w:val="24"/>
          <w:shd w:val="clear" w:color="auto" w:fill="FFFFFF"/>
        </w:rPr>
        <w:br/>
        <w:t xml:space="preserve">o stwierdzanych nieprawidłowościach. Przyjęte ustalenia dotyczą również kontroli w zakładach górniczych, a także systemu szkolenia oraz uczestniczeniu w praktycznych ćwiczeniach obu stron. </w:t>
      </w:r>
    </w:p>
    <w:p w14:paraId="42AECD69" w14:textId="22D0AD41" w:rsidR="00A22034" w:rsidRDefault="0040530E" w:rsidP="001355BC">
      <w:pPr>
        <w:spacing w:line="300" w:lineRule="atLeast"/>
        <w:ind w:firstLine="567"/>
        <w:jc w:val="both"/>
        <w:rPr>
          <w:rFonts w:ascii="Times New Roman" w:hAnsi="Times New Roman" w:cs="Times New Roman"/>
          <w:color w:val="000000"/>
          <w:sz w:val="24"/>
          <w:szCs w:val="24"/>
        </w:rPr>
      </w:pPr>
      <w:r w:rsidRPr="0040530E">
        <w:rPr>
          <w:rFonts w:ascii="Times New Roman" w:hAnsi="Times New Roman" w:cs="Times New Roman"/>
          <w:color w:val="000000"/>
          <w:sz w:val="24"/>
          <w:szCs w:val="24"/>
          <w:shd w:val="clear" w:color="auto" w:fill="FFFFFF"/>
        </w:rPr>
        <w:t xml:space="preserve">Ponadto, GIOŚ i WUG uzgodniły, że przynajmniej raz w roku będą się spotykać </w:t>
      </w:r>
      <w:r>
        <w:rPr>
          <w:rFonts w:ascii="Times New Roman" w:hAnsi="Times New Roman" w:cs="Times New Roman"/>
          <w:color w:val="000000"/>
          <w:sz w:val="24"/>
          <w:szCs w:val="24"/>
          <w:shd w:val="clear" w:color="auto" w:fill="FFFFFF"/>
        </w:rPr>
        <w:br/>
      </w:r>
      <w:r w:rsidRPr="0040530E">
        <w:rPr>
          <w:rFonts w:ascii="Times New Roman" w:hAnsi="Times New Roman" w:cs="Times New Roman"/>
          <w:color w:val="000000"/>
          <w:sz w:val="24"/>
          <w:szCs w:val="24"/>
          <w:shd w:val="clear" w:color="auto" w:fill="FFFFFF"/>
        </w:rPr>
        <w:t>i analizować dotychczasową współpracę oraz wyznaczać priorytety we wzajemnym współdziałaniu na rok następny. Nowa umowa zastąpi</w:t>
      </w:r>
      <w:r>
        <w:rPr>
          <w:rFonts w:ascii="Times New Roman" w:hAnsi="Times New Roman" w:cs="Times New Roman"/>
          <w:color w:val="000000"/>
          <w:sz w:val="24"/>
          <w:szCs w:val="24"/>
          <w:shd w:val="clear" w:color="auto" w:fill="FFFFFF"/>
        </w:rPr>
        <w:t>ła</w:t>
      </w:r>
      <w:r w:rsidRPr="0040530E">
        <w:rPr>
          <w:rFonts w:ascii="Times New Roman" w:hAnsi="Times New Roman" w:cs="Times New Roman"/>
          <w:color w:val="000000"/>
          <w:sz w:val="24"/>
          <w:szCs w:val="24"/>
          <w:shd w:val="clear" w:color="auto" w:fill="FFFFFF"/>
        </w:rPr>
        <w:t xml:space="preserve"> porozumienie zawarte w 2014 roku</w:t>
      </w:r>
      <w:r w:rsidR="00A22034" w:rsidRPr="0040530E">
        <w:rPr>
          <w:rFonts w:ascii="Times New Roman" w:hAnsi="Times New Roman" w:cs="Times New Roman"/>
          <w:color w:val="000000"/>
          <w:sz w:val="24"/>
          <w:szCs w:val="24"/>
        </w:rPr>
        <w:t>.</w:t>
      </w:r>
    </w:p>
    <w:p w14:paraId="35F9ED7F" w14:textId="381ACDB5" w:rsidR="00D032AC" w:rsidRPr="000C0753" w:rsidRDefault="00D032AC" w:rsidP="00D032AC">
      <w:pPr>
        <w:autoSpaceDE w:val="0"/>
        <w:autoSpaceDN w:val="0"/>
        <w:adjustRightInd w:val="0"/>
        <w:spacing w:line="300" w:lineRule="atLeast"/>
        <w:contextualSpacing/>
        <w:jc w:val="center"/>
      </w:pPr>
      <w:r w:rsidRPr="000C0753">
        <w:rPr>
          <w:noProof/>
          <w:lang w:eastAsia="pl-PL"/>
        </w:rPr>
        <w:lastRenderedPageBreak/>
        <w:drawing>
          <wp:inline distT="0" distB="0" distL="0" distR="0" wp14:anchorId="45A715BE" wp14:editId="399CBA63">
            <wp:extent cx="4229100" cy="3162300"/>
            <wp:effectExtent l="0" t="0" r="0" b="0"/>
            <wp:docPr id="47" name="Obraz 47" descr="Zdjęcie 51. Podpisanie Porozumienia między Zachodniopomorskim Wojewódzkim Inspektorem Ochrony Środowiska i Zachodniopomorskim Wojewódzkim Inspektorem Transportu Drogowego w sprawie współdziałania w zakresie przeciwdziałania i wykrywania przestępstw i wykroczeń przeciwko środowisku, 20.01.2022 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az 47" descr="Zdjęcie 51. Podpisanie Porozumienia między Zachodniopomorskim Wojewódzkim Inspektorem Ochrony Środowiska i Zachodniopomorskim Wojewódzkim Inspektorem Transportu Drogowego w sprawie współdziałania w zakresie przeciwdziałania i wykrywania przestępstw i wykroczeń przeciwko środowisku, 20.01.2022 r. "/>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229100" cy="3162300"/>
                    </a:xfrm>
                    <a:prstGeom prst="rect">
                      <a:avLst/>
                    </a:prstGeom>
                    <a:noFill/>
                    <a:ln>
                      <a:noFill/>
                    </a:ln>
                  </pic:spPr>
                </pic:pic>
              </a:graphicData>
            </a:graphic>
          </wp:inline>
        </w:drawing>
      </w:r>
    </w:p>
    <w:p w14:paraId="2D8ACADB" w14:textId="1B0EEDB3" w:rsidR="00D032AC" w:rsidRPr="006528AF" w:rsidRDefault="00D032AC" w:rsidP="00D032AC">
      <w:pPr>
        <w:spacing w:line="240" w:lineRule="auto"/>
        <w:jc w:val="both"/>
        <w:rPr>
          <w:rFonts w:ascii="Times New Roman" w:hAnsi="Times New Roman" w:cs="Times New Roman"/>
          <w:b/>
          <w:sz w:val="20"/>
          <w:szCs w:val="20"/>
        </w:rPr>
      </w:pPr>
      <w:r w:rsidRPr="006528AF">
        <w:rPr>
          <w:rFonts w:ascii="Times New Roman" w:hAnsi="Times New Roman" w:cs="Times New Roman"/>
          <w:b/>
          <w:iCs/>
          <w:sz w:val="20"/>
          <w:szCs w:val="20"/>
        </w:rPr>
        <w:t xml:space="preserve">Zdjęcie </w:t>
      </w:r>
      <w:r w:rsidR="00CB5B9A">
        <w:rPr>
          <w:rFonts w:ascii="Times New Roman" w:hAnsi="Times New Roman" w:cs="Times New Roman"/>
          <w:b/>
          <w:iCs/>
          <w:sz w:val="20"/>
          <w:szCs w:val="20"/>
        </w:rPr>
        <w:t>51</w:t>
      </w:r>
      <w:r w:rsidRPr="006528AF">
        <w:rPr>
          <w:rFonts w:ascii="Times New Roman" w:hAnsi="Times New Roman" w:cs="Times New Roman"/>
          <w:b/>
          <w:iCs/>
          <w:sz w:val="20"/>
          <w:szCs w:val="20"/>
        </w:rPr>
        <w:t xml:space="preserve">. Podpisanie </w:t>
      </w:r>
      <w:r w:rsidR="00614138">
        <w:rPr>
          <w:rFonts w:ascii="Times New Roman" w:hAnsi="Times New Roman" w:cs="Times New Roman"/>
          <w:b/>
          <w:iCs/>
          <w:sz w:val="20"/>
          <w:szCs w:val="20"/>
        </w:rPr>
        <w:t xml:space="preserve">Porozumienia między </w:t>
      </w:r>
      <w:r w:rsidR="00614138" w:rsidRPr="00614138">
        <w:rPr>
          <w:rFonts w:ascii="Times New Roman" w:hAnsi="Times New Roman" w:cs="Times New Roman"/>
          <w:b/>
          <w:sz w:val="20"/>
          <w:szCs w:val="20"/>
        </w:rPr>
        <w:t>Zachodniopomorskim Wojewódzkim Inspektorem Ochrony Środowiska i Zachodniopomorskim Wojewódzkim Inspektorem Transportu Drogowego w sprawie współdziałania w zakresie przeciwdziałania i wykrywania przestępstw i wykroczeń przeciwko środowisku</w:t>
      </w:r>
      <w:r>
        <w:rPr>
          <w:rFonts w:ascii="Times New Roman" w:hAnsi="Times New Roman" w:cs="Times New Roman"/>
          <w:b/>
          <w:iCs/>
          <w:sz w:val="20"/>
          <w:szCs w:val="20"/>
        </w:rPr>
        <w:t xml:space="preserve">, </w:t>
      </w:r>
      <w:r w:rsidR="00614138">
        <w:rPr>
          <w:rFonts w:ascii="Times New Roman" w:hAnsi="Times New Roman" w:cs="Times New Roman"/>
          <w:b/>
          <w:iCs/>
          <w:sz w:val="20"/>
          <w:szCs w:val="20"/>
        </w:rPr>
        <w:t>20</w:t>
      </w:r>
      <w:r>
        <w:rPr>
          <w:rFonts w:ascii="Times New Roman" w:hAnsi="Times New Roman" w:cs="Times New Roman"/>
          <w:b/>
          <w:iCs/>
          <w:sz w:val="20"/>
          <w:szCs w:val="20"/>
        </w:rPr>
        <w:t>.0</w:t>
      </w:r>
      <w:r w:rsidR="00614138">
        <w:rPr>
          <w:rFonts w:ascii="Times New Roman" w:hAnsi="Times New Roman" w:cs="Times New Roman"/>
          <w:b/>
          <w:iCs/>
          <w:sz w:val="20"/>
          <w:szCs w:val="20"/>
        </w:rPr>
        <w:t>1</w:t>
      </w:r>
      <w:r>
        <w:rPr>
          <w:rFonts w:ascii="Times New Roman" w:hAnsi="Times New Roman" w:cs="Times New Roman"/>
          <w:b/>
          <w:iCs/>
          <w:sz w:val="20"/>
          <w:szCs w:val="20"/>
        </w:rPr>
        <w:t>.2022 r.</w:t>
      </w:r>
      <w:r w:rsidRPr="006528AF">
        <w:rPr>
          <w:rFonts w:ascii="Times New Roman" w:hAnsi="Times New Roman" w:cs="Times New Roman"/>
          <w:b/>
          <w:iCs/>
          <w:sz w:val="20"/>
          <w:szCs w:val="20"/>
        </w:rPr>
        <w:t xml:space="preserve"> </w:t>
      </w:r>
    </w:p>
    <w:p w14:paraId="3A935D1F" w14:textId="4268452E" w:rsidR="00D032AC" w:rsidRDefault="00D032AC" w:rsidP="0040530E">
      <w:pPr>
        <w:spacing w:line="300" w:lineRule="atLeast"/>
        <w:ind w:firstLine="567"/>
        <w:jc w:val="both"/>
        <w:rPr>
          <w:rFonts w:ascii="Times New Roman" w:hAnsi="Times New Roman" w:cs="Times New Roman"/>
          <w:color w:val="000000"/>
          <w:sz w:val="24"/>
          <w:szCs w:val="24"/>
        </w:rPr>
      </w:pPr>
    </w:p>
    <w:p w14:paraId="3532C429" w14:textId="779C398D" w:rsidR="00D032AC" w:rsidRDefault="00D032AC" w:rsidP="0040530E">
      <w:pPr>
        <w:spacing w:line="300" w:lineRule="atLeast"/>
        <w:ind w:firstLine="567"/>
        <w:jc w:val="both"/>
        <w:rPr>
          <w:rFonts w:ascii="Times New Roman" w:hAnsi="Times New Roman" w:cs="Times New Roman"/>
          <w:color w:val="000000"/>
          <w:sz w:val="24"/>
          <w:szCs w:val="24"/>
        </w:rPr>
      </w:pPr>
    </w:p>
    <w:p w14:paraId="3F58BC33" w14:textId="77777777" w:rsidR="00D032AC" w:rsidRDefault="00D032AC" w:rsidP="0040530E">
      <w:pPr>
        <w:spacing w:line="300" w:lineRule="atLeast"/>
        <w:ind w:firstLine="567"/>
        <w:jc w:val="both"/>
        <w:rPr>
          <w:rFonts w:ascii="Times New Roman" w:hAnsi="Times New Roman" w:cs="Times New Roman"/>
          <w:color w:val="000000"/>
          <w:sz w:val="24"/>
          <w:szCs w:val="24"/>
        </w:rPr>
      </w:pPr>
    </w:p>
    <w:p w14:paraId="54EEBA3F" w14:textId="2BC25A7C" w:rsidR="006528AF" w:rsidRPr="006528AF" w:rsidRDefault="006528AF" w:rsidP="006528AF">
      <w:pPr>
        <w:spacing w:after="0" w:line="300" w:lineRule="atLeast"/>
        <w:ind w:left="426"/>
        <w:contextualSpacing/>
        <w:jc w:val="center"/>
        <w:rPr>
          <w:rFonts w:ascii="Times New Roman" w:eastAsia="Times New Roman" w:hAnsi="Times New Roman" w:cs="Times New Roman"/>
          <w:i/>
          <w:sz w:val="24"/>
          <w:szCs w:val="24"/>
          <w:highlight w:val="yellow"/>
          <w:lang w:eastAsia="pl-PL"/>
        </w:rPr>
      </w:pPr>
      <w:r w:rsidRPr="006528AF">
        <w:rPr>
          <w:rFonts w:ascii="Times New Roman" w:eastAsia="Times New Roman" w:hAnsi="Times New Roman" w:cs="Times New Roman"/>
          <w:noProof/>
          <w:sz w:val="24"/>
          <w:szCs w:val="24"/>
          <w:lang w:eastAsia="pl-PL"/>
        </w:rPr>
        <w:drawing>
          <wp:inline distT="0" distB="0" distL="0" distR="0" wp14:anchorId="31E682FB" wp14:editId="47E8BE80">
            <wp:extent cx="4715150" cy="2562225"/>
            <wp:effectExtent l="0" t="0" r="9525" b="0"/>
            <wp:docPr id="29" name="Obraz 29" descr="Zdjęcie 52. Podpisanie Porozumienia w sprawie współdziałania w zakresie przeciwdziałania oraz wykrywania przestępstw i wykroczeń przeciwko środowisku w transporcie odpadów między Świętokrzyskim Wojewódzkim Inspektorem Ochrony Środowiska a Świętokrzyskim Wojewódzkim Inspektorem Transportu Drogowego, 11.05.2022 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descr="Zdjęcie 52. Podpisanie Porozumienia w sprawie współdziałania w zakresie przeciwdziałania oraz wykrywania przestępstw i wykroczeń przeciwko środowisku w transporcie odpadów między Świętokrzyskim Wojewódzkim Inspektorem Ochrony Środowiska a Świętokrzyskim Wojewódzkim Inspektorem Transportu Drogowego, 11.05.2022 r. "/>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749122" cy="2580685"/>
                    </a:xfrm>
                    <a:prstGeom prst="rect">
                      <a:avLst/>
                    </a:prstGeom>
                    <a:noFill/>
                    <a:ln>
                      <a:noFill/>
                    </a:ln>
                  </pic:spPr>
                </pic:pic>
              </a:graphicData>
            </a:graphic>
          </wp:inline>
        </w:drawing>
      </w:r>
    </w:p>
    <w:p w14:paraId="0D115952" w14:textId="26C1A473" w:rsidR="00A22034" w:rsidRDefault="006528AF" w:rsidP="006528AF">
      <w:pPr>
        <w:spacing w:line="240" w:lineRule="auto"/>
        <w:jc w:val="both"/>
        <w:rPr>
          <w:rFonts w:ascii="Times New Roman" w:hAnsi="Times New Roman" w:cs="Times New Roman"/>
          <w:b/>
          <w:iCs/>
          <w:sz w:val="20"/>
          <w:szCs w:val="20"/>
        </w:rPr>
      </w:pPr>
      <w:r w:rsidRPr="006528AF">
        <w:rPr>
          <w:rFonts w:ascii="Times New Roman" w:hAnsi="Times New Roman" w:cs="Times New Roman"/>
          <w:b/>
          <w:iCs/>
          <w:sz w:val="20"/>
          <w:szCs w:val="20"/>
        </w:rPr>
        <w:t>Zdjęcie 5</w:t>
      </w:r>
      <w:r w:rsidR="00CB5B9A">
        <w:rPr>
          <w:rFonts w:ascii="Times New Roman" w:hAnsi="Times New Roman" w:cs="Times New Roman"/>
          <w:b/>
          <w:iCs/>
          <w:sz w:val="20"/>
          <w:szCs w:val="20"/>
        </w:rPr>
        <w:t>2</w:t>
      </w:r>
      <w:r w:rsidRPr="006528AF">
        <w:rPr>
          <w:rFonts w:ascii="Times New Roman" w:hAnsi="Times New Roman" w:cs="Times New Roman"/>
          <w:b/>
          <w:iCs/>
          <w:sz w:val="20"/>
          <w:szCs w:val="20"/>
        </w:rPr>
        <w:t xml:space="preserve">. Podpisanie Porozumienia w sprawie współdziałania w zakresie przeciwdziałania oraz wykrywania przestępstw i wykroczeń przeciwko środowisku w transporcie odpadów </w:t>
      </w:r>
      <w:r>
        <w:rPr>
          <w:rFonts w:ascii="Times New Roman" w:hAnsi="Times New Roman" w:cs="Times New Roman"/>
          <w:b/>
          <w:iCs/>
          <w:sz w:val="20"/>
          <w:szCs w:val="20"/>
        </w:rPr>
        <w:t xml:space="preserve">między </w:t>
      </w:r>
      <w:r w:rsidRPr="006528AF">
        <w:rPr>
          <w:rFonts w:ascii="Times New Roman" w:hAnsi="Times New Roman" w:cs="Times New Roman"/>
          <w:b/>
          <w:iCs/>
          <w:sz w:val="20"/>
          <w:szCs w:val="20"/>
        </w:rPr>
        <w:t>Świętokrzyski</w:t>
      </w:r>
      <w:r>
        <w:rPr>
          <w:rFonts w:ascii="Times New Roman" w:hAnsi="Times New Roman" w:cs="Times New Roman"/>
          <w:b/>
          <w:iCs/>
          <w:sz w:val="20"/>
          <w:szCs w:val="20"/>
        </w:rPr>
        <w:t>m</w:t>
      </w:r>
      <w:r w:rsidRPr="006528AF">
        <w:rPr>
          <w:rFonts w:ascii="Times New Roman" w:hAnsi="Times New Roman" w:cs="Times New Roman"/>
          <w:b/>
          <w:iCs/>
          <w:sz w:val="20"/>
          <w:szCs w:val="20"/>
        </w:rPr>
        <w:t xml:space="preserve"> Wojewódzki</w:t>
      </w:r>
      <w:r>
        <w:rPr>
          <w:rFonts w:ascii="Times New Roman" w:hAnsi="Times New Roman" w:cs="Times New Roman"/>
          <w:b/>
          <w:iCs/>
          <w:sz w:val="20"/>
          <w:szCs w:val="20"/>
        </w:rPr>
        <w:t>m</w:t>
      </w:r>
      <w:r w:rsidRPr="006528AF">
        <w:rPr>
          <w:rFonts w:ascii="Times New Roman" w:hAnsi="Times New Roman" w:cs="Times New Roman"/>
          <w:b/>
          <w:iCs/>
          <w:sz w:val="20"/>
          <w:szCs w:val="20"/>
        </w:rPr>
        <w:t xml:space="preserve"> Inspektor</w:t>
      </w:r>
      <w:r>
        <w:rPr>
          <w:rFonts w:ascii="Times New Roman" w:hAnsi="Times New Roman" w:cs="Times New Roman"/>
          <w:b/>
          <w:iCs/>
          <w:sz w:val="20"/>
          <w:szCs w:val="20"/>
        </w:rPr>
        <w:t>em</w:t>
      </w:r>
      <w:r w:rsidRPr="006528AF">
        <w:rPr>
          <w:rFonts w:ascii="Times New Roman" w:hAnsi="Times New Roman" w:cs="Times New Roman"/>
          <w:b/>
          <w:iCs/>
          <w:sz w:val="20"/>
          <w:szCs w:val="20"/>
        </w:rPr>
        <w:t xml:space="preserve"> Ochrony Środowiska </w:t>
      </w:r>
      <w:r w:rsidR="00694CBC">
        <w:rPr>
          <w:rFonts w:ascii="Times New Roman" w:hAnsi="Times New Roman" w:cs="Times New Roman"/>
          <w:b/>
          <w:iCs/>
          <w:sz w:val="20"/>
          <w:szCs w:val="20"/>
        </w:rPr>
        <w:t xml:space="preserve">a </w:t>
      </w:r>
      <w:r w:rsidRPr="006528AF">
        <w:rPr>
          <w:rFonts w:ascii="Times New Roman" w:hAnsi="Times New Roman" w:cs="Times New Roman"/>
          <w:b/>
          <w:iCs/>
          <w:sz w:val="20"/>
          <w:szCs w:val="20"/>
        </w:rPr>
        <w:t>Świętokrzyskim Wojewódzkim Inspektorem Transportu Drogowego</w:t>
      </w:r>
      <w:r w:rsidR="00694CBC">
        <w:rPr>
          <w:rFonts w:ascii="Times New Roman" w:hAnsi="Times New Roman" w:cs="Times New Roman"/>
          <w:b/>
          <w:iCs/>
          <w:sz w:val="20"/>
          <w:szCs w:val="20"/>
        </w:rPr>
        <w:t>, 11.05.2022 r.</w:t>
      </w:r>
      <w:r w:rsidRPr="006528AF">
        <w:rPr>
          <w:rFonts w:ascii="Times New Roman" w:hAnsi="Times New Roman" w:cs="Times New Roman"/>
          <w:b/>
          <w:iCs/>
          <w:sz w:val="20"/>
          <w:szCs w:val="20"/>
        </w:rPr>
        <w:t xml:space="preserve"> </w:t>
      </w:r>
    </w:p>
    <w:p w14:paraId="4F77D890" w14:textId="77777777" w:rsidR="00614138" w:rsidRPr="006528AF" w:rsidRDefault="00614138" w:rsidP="006528AF">
      <w:pPr>
        <w:spacing w:line="240" w:lineRule="auto"/>
        <w:jc w:val="both"/>
        <w:rPr>
          <w:rFonts w:ascii="Times New Roman" w:hAnsi="Times New Roman" w:cs="Times New Roman"/>
          <w:b/>
          <w:sz w:val="20"/>
          <w:szCs w:val="20"/>
        </w:rPr>
      </w:pPr>
    </w:p>
    <w:p w14:paraId="3E673B49" w14:textId="5B834293" w:rsidR="00A22034" w:rsidRPr="007F400A" w:rsidRDefault="00694CBC" w:rsidP="00715A1A">
      <w:pPr>
        <w:spacing w:line="300" w:lineRule="atLeast"/>
        <w:jc w:val="center"/>
        <w:rPr>
          <w:b/>
          <w:color w:val="000000"/>
        </w:rPr>
      </w:pPr>
      <w:r w:rsidRPr="000C0753">
        <w:rPr>
          <w:noProof/>
          <w:lang w:eastAsia="pl-PL"/>
        </w:rPr>
        <w:lastRenderedPageBreak/>
        <w:drawing>
          <wp:inline distT="0" distB="0" distL="0" distR="0" wp14:anchorId="1C865750" wp14:editId="44FC4CCC">
            <wp:extent cx="4880113" cy="3248025"/>
            <wp:effectExtent l="0" t="0" r="0" b="0"/>
            <wp:docPr id="30" name="Obraz 30" descr="Zdjęcie 53. Podpisanie Porozumienia między Małopolskim Wojewódzkim Inspektorem Ochrony Środowiska i Dyrektorem Izby Administracji Skarbowej w sprawie współdziałania w zakresie transgranicznego przemieszczania odpadów w tym objętych monitorowaniem (SENT) oraz w sprawie współdziałania w zakresie przeciwdziałania i wykrywania przestępstw i wykroczeń przeciwko środowisku, 14.06.2022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descr="Zdjęcie 53. Podpisanie Porozumienia między Małopolskim Wojewódzkim Inspektorem Ochrony Środowiska i Dyrektorem Izby Administracji Skarbowej w sprawie współdziałania w zakresie transgranicznego przemieszczania odpadów w tym objętych monitorowaniem (SENT) oraz w sprawie współdziałania w zakresie przeciwdziałania i wykrywania przestępstw i wykroczeń przeciwko środowisku, 14.06.2022 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921978" cy="3275889"/>
                    </a:xfrm>
                    <a:prstGeom prst="rect">
                      <a:avLst/>
                    </a:prstGeom>
                    <a:noFill/>
                    <a:ln>
                      <a:noFill/>
                    </a:ln>
                  </pic:spPr>
                </pic:pic>
              </a:graphicData>
            </a:graphic>
          </wp:inline>
        </w:drawing>
      </w:r>
    </w:p>
    <w:p w14:paraId="195A475F" w14:textId="6DCEA0FF" w:rsidR="00A22034" w:rsidRDefault="002C0D88" w:rsidP="00694CBC">
      <w:pPr>
        <w:spacing w:line="240" w:lineRule="auto"/>
        <w:jc w:val="both"/>
        <w:rPr>
          <w:rFonts w:ascii="Times New Roman" w:hAnsi="Times New Roman" w:cs="Times New Roman"/>
          <w:b/>
          <w:sz w:val="20"/>
          <w:szCs w:val="20"/>
        </w:rPr>
      </w:pPr>
      <w:r w:rsidRPr="007F400A">
        <w:rPr>
          <w:rFonts w:ascii="Times New Roman" w:hAnsi="Times New Roman" w:cs="Times New Roman"/>
          <w:b/>
          <w:sz w:val="20"/>
          <w:szCs w:val="20"/>
        </w:rPr>
        <w:t xml:space="preserve">Zdjęcie </w:t>
      </w:r>
      <w:r w:rsidR="00694CBC">
        <w:rPr>
          <w:rFonts w:ascii="Times New Roman" w:hAnsi="Times New Roman" w:cs="Times New Roman"/>
          <w:b/>
          <w:sz w:val="20"/>
          <w:szCs w:val="20"/>
        </w:rPr>
        <w:t>5</w:t>
      </w:r>
      <w:r w:rsidR="00CB5B9A">
        <w:rPr>
          <w:rFonts w:ascii="Times New Roman" w:hAnsi="Times New Roman" w:cs="Times New Roman"/>
          <w:b/>
          <w:sz w:val="20"/>
          <w:szCs w:val="20"/>
        </w:rPr>
        <w:t>3</w:t>
      </w:r>
      <w:r w:rsidRPr="007F400A">
        <w:rPr>
          <w:rFonts w:ascii="Times New Roman" w:hAnsi="Times New Roman" w:cs="Times New Roman"/>
          <w:b/>
          <w:sz w:val="20"/>
          <w:szCs w:val="20"/>
        </w:rPr>
        <w:t xml:space="preserve">. </w:t>
      </w:r>
      <w:r w:rsidR="00A22034" w:rsidRPr="007F400A">
        <w:rPr>
          <w:rFonts w:ascii="Times New Roman" w:hAnsi="Times New Roman" w:cs="Times New Roman"/>
          <w:b/>
          <w:sz w:val="20"/>
          <w:szCs w:val="20"/>
        </w:rPr>
        <w:t xml:space="preserve">Podpisanie </w:t>
      </w:r>
      <w:r w:rsidR="00694CBC" w:rsidRPr="00694CBC">
        <w:rPr>
          <w:rFonts w:ascii="Times New Roman" w:hAnsi="Times New Roman" w:cs="Times New Roman"/>
          <w:b/>
          <w:sz w:val="20"/>
          <w:szCs w:val="20"/>
        </w:rPr>
        <w:t>Porozumienia między Małopolski</w:t>
      </w:r>
      <w:r w:rsidR="00C41101">
        <w:rPr>
          <w:rFonts w:ascii="Times New Roman" w:hAnsi="Times New Roman" w:cs="Times New Roman"/>
          <w:b/>
          <w:sz w:val="20"/>
          <w:szCs w:val="20"/>
        </w:rPr>
        <w:t>m</w:t>
      </w:r>
      <w:r w:rsidR="00694CBC" w:rsidRPr="00694CBC">
        <w:rPr>
          <w:rFonts w:ascii="Times New Roman" w:hAnsi="Times New Roman" w:cs="Times New Roman"/>
          <w:b/>
          <w:sz w:val="20"/>
          <w:szCs w:val="20"/>
        </w:rPr>
        <w:t xml:space="preserve"> Wojewódzki</w:t>
      </w:r>
      <w:r w:rsidR="00C41101">
        <w:rPr>
          <w:rFonts w:ascii="Times New Roman" w:hAnsi="Times New Roman" w:cs="Times New Roman"/>
          <w:b/>
          <w:sz w:val="20"/>
          <w:szCs w:val="20"/>
        </w:rPr>
        <w:t>m</w:t>
      </w:r>
      <w:r w:rsidR="00694CBC" w:rsidRPr="00694CBC">
        <w:rPr>
          <w:rFonts w:ascii="Times New Roman" w:hAnsi="Times New Roman" w:cs="Times New Roman"/>
          <w:b/>
          <w:sz w:val="20"/>
          <w:szCs w:val="20"/>
        </w:rPr>
        <w:t xml:space="preserve"> Inspektor</w:t>
      </w:r>
      <w:r w:rsidR="00C41101">
        <w:rPr>
          <w:rFonts w:ascii="Times New Roman" w:hAnsi="Times New Roman" w:cs="Times New Roman"/>
          <w:b/>
          <w:sz w:val="20"/>
          <w:szCs w:val="20"/>
        </w:rPr>
        <w:t>em</w:t>
      </w:r>
      <w:r w:rsidR="00694CBC" w:rsidRPr="00694CBC">
        <w:rPr>
          <w:rFonts w:ascii="Times New Roman" w:hAnsi="Times New Roman" w:cs="Times New Roman"/>
          <w:b/>
          <w:sz w:val="20"/>
          <w:szCs w:val="20"/>
        </w:rPr>
        <w:t xml:space="preserve"> Ochrony Środowiska i Dyrektorem Izby Administracji Skarbowej w sprawie współdziałania w zakresie transgranicznego przemieszczania odpadów w tym objętych monitorowaniem (SENT) oraz w sprawie współdziałania w zakresie przeciwdziałania i wykrywania przestępstw i wykroczeń przeciwko środowisku</w:t>
      </w:r>
      <w:r w:rsidR="00A22034" w:rsidRPr="00694CBC">
        <w:rPr>
          <w:rFonts w:ascii="Times New Roman" w:hAnsi="Times New Roman" w:cs="Times New Roman"/>
          <w:b/>
          <w:sz w:val="20"/>
          <w:szCs w:val="20"/>
        </w:rPr>
        <w:t>,</w:t>
      </w:r>
      <w:r w:rsidR="00A22034" w:rsidRPr="007F400A">
        <w:rPr>
          <w:rFonts w:ascii="Times New Roman" w:hAnsi="Times New Roman" w:cs="Times New Roman"/>
          <w:b/>
          <w:sz w:val="20"/>
          <w:szCs w:val="20"/>
        </w:rPr>
        <w:t xml:space="preserve"> </w:t>
      </w:r>
      <w:r w:rsidR="00694CBC">
        <w:rPr>
          <w:rFonts w:ascii="Times New Roman" w:hAnsi="Times New Roman" w:cs="Times New Roman"/>
          <w:b/>
          <w:sz w:val="20"/>
          <w:szCs w:val="20"/>
        </w:rPr>
        <w:t>14</w:t>
      </w:r>
      <w:r w:rsidR="00A22034" w:rsidRPr="007F400A">
        <w:rPr>
          <w:rFonts w:ascii="Times New Roman" w:hAnsi="Times New Roman" w:cs="Times New Roman"/>
          <w:b/>
          <w:sz w:val="20"/>
          <w:szCs w:val="20"/>
        </w:rPr>
        <w:t>.0</w:t>
      </w:r>
      <w:r w:rsidR="00694CBC">
        <w:rPr>
          <w:rFonts w:ascii="Times New Roman" w:hAnsi="Times New Roman" w:cs="Times New Roman"/>
          <w:b/>
          <w:sz w:val="20"/>
          <w:szCs w:val="20"/>
        </w:rPr>
        <w:t>6</w:t>
      </w:r>
      <w:r w:rsidR="00A22034" w:rsidRPr="007F400A">
        <w:rPr>
          <w:rFonts w:ascii="Times New Roman" w:hAnsi="Times New Roman" w:cs="Times New Roman"/>
          <w:b/>
          <w:sz w:val="20"/>
          <w:szCs w:val="20"/>
        </w:rPr>
        <w:t>.202</w:t>
      </w:r>
      <w:r w:rsidR="00694CBC">
        <w:rPr>
          <w:rFonts w:ascii="Times New Roman" w:hAnsi="Times New Roman" w:cs="Times New Roman"/>
          <w:b/>
          <w:sz w:val="20"/>
          <w:szCs w:val="20"/>
        </w:rPr>
        <w:t>2</w:t>
      </w:r>
      <w:r w:rsidR="00A22034" w:rsidRPr="007F400A">
        <w:rPr>
          <w:rFonts w:ascii="Times New Roman" w:hAnsi="Times New Roman" w:cs="Times New Roman"/>
          <w:b/>
          <w:sz w:val="20"/>
          <w:szCs w:val="20"/>
        </w:rPr>
        <w:t xml:space="preserve"> r.</w:t>
      </w:r>
    </w:p>
    <w:p w14:paraId="5006AFA9" w14:textId="2B8DC1E2" w:rsidR="00614138" w:rsidRDefault="00614138" w:rsidP="00694CBC">
      <w:pPr>
        <w:spacing w:line="240" w:lineRule="auto"/>
        <w:jc w:val="both"/>
        <w:rPr>
          <w:rFonts w:ascii="Times New Roman" w:hAnsi="Times New Roman" w:cs="Times New Roman"/>
          <w:b/>
          <w:sz w:val="20"/>
          <w:szCs w:val="20"/>
        </w:rPr>
      </w:pPr>
    </w:p>
    <w:p w14:paraId="7853CC9F" w14:textId="58D8FB2D" w:rsidR="00614138" w:rsidRDefault="00614138" w:rsidP="00715A1A">
      <w:pPr>
        <w:spacing w:line="240" w:lineRule="auto"/>
        <w:jc w:val="center"/>
        <w:rPr>
          <w:rFonts w:ascii="Times New Roman" w:hAnsi="Times New Roman" w:cs="Times New Roman"/>
          <w:b/>
          <w:sz w:val="20"/>
          <w:szCs w:val="20"/>
        </w:rPr>
      </w:pPr>
      <w:r w:rsidRPr="000C0753">
        <w:rPr>
          <w:noProof/>
          <w:color w:val="4472C4"/>
          <w:sz w:val="24"/>
          <w:szCs w:val="24"/>
          <w:lang w:eastAsia="pl-PL"/>
        </w:rPr>
        <w:drawing>
          <wp:inline distT="0" distB="0" distL="0" distR="0" wp14:anchorId="5F222172" wp14:editId="5D6AE80E">
            <wp:extent cx="4552950" cy="3040269"/>
            <wp:effectExtent l="0" t="0" r="0" b="8255"/>
            <wp:docPr id="60" name="Obraz 60" descr="Zdjęcie 54. Podpisanie Porozumienia o współpracy pomiędzy Mazowieckim Wojewódzkim Inspektorem Ochrony Środowiska, a Dyrektorem Izby Administracji Skarbowej w Warszawie, 29.06.2022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Zdjęcie 54. Podpisanie Porozumienia o współpracy pomiędzy Mazowieckim Wojewódzkim Inspektorem Ochrony Środowiska, a Dyrektorem Izby Administracji Skarbowej w Warszawie, 29.06.2022 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92639" cy="3066772"/>
                    </a:xfrm>
                    <a:prstGeom prst="rect">
                      <a:avLst/>
                    </a:prstGeom>
                    <a:noFill/>
                    <a:ln>
                      <a:noFill/>
                    </a:ln>
                  </pic:spPr>
                </pic:pic>
              </a:graphicData>
            </a:graphic>
          </wp:inline>
        </w:drawing>
      </w:r>
    </w:p>
    <w:p w14:paraId="722A6297" w14:textId="2EFF463E" w:rsidR="00614138" w:rsidRDefault="00614138" w:rsidP="00614138">
      <w:pPr>
        <w:spacing w:line="240" w:lineRule="auto"/>
        <w:jc w:val="both"/>
        <w:rPr>
          <w:rFonts w:ascii="Times New Roman" w:hAnsi="Times New Roman" w:cs="Times New Roman"/>
          <w:b/>
          <w:sz w:val="20"/>
          <w:szCs w:val="20"/>
        </w:rPr>
      </w:pPr>
      <w:r w:rsidRPr="007F400A">
        <w:rPr>
          <w:rFonts w:ascii="Times New Roman" w:hAnsi="Times New Roman" w:cs="Times New Roman"/>
          <w:b/>
          <w:sz w:val="20"/>
          <w:szCs w:val="20"/>
        </w:rPr>
        <w:t xml:space="preserve">Zdjęcie </w:t>
      </w:r>
      <w:r w:rsidR="001A642C">
        <w:rPr>
          <w:rFonts w:ascii="Times New Roman" w:hAnsi="Times New Roman" w:cs="Times New Roman"/>
          <w:b/>
          <w:sz w:val="20"/>
          <w:szCs w:val="20"/>
        </w:rPr>
        <w:t>5</w:t>
      </w:r>
      <w:r w:rsidR="00CB5B9A">
        <w:rPr>
          <w:rFonts w:ascii="Times New Roman" w:hAnsi="Times New Roman" w:cs="Times New Roman"/>
          <w:b/>
          <w:sz w:val="20"/>
          <w:szCs w:val="20"/>
        </w:rPr>
        <w:t>4</w:t>
      </w:r>
      <w:r w:rsidRPr="007F400A">
        <w:rPr>
          <w:rFonts w:ascii="Times New Roman" w:hAnsi="Times New Roman" w:cs="Times New Roman"/>
          <w:b/>
          <w:sz w:val="20"/>
          <w:szCs w:val="20"/>
        </w:rPr>
        <w:t xml:space="preserve">. </w:t>
      </w:r>
      <w:r>
        <w:rPr>
          <w:rFonts w:ascii="Times New Roman" w:hAnsi="Times New Roman" w:cs="Times New Roman"/>
          <w:b/>
          <w:sz w:val="20"/>
          <w:szCs w:val="20"/>
        </w:rPr>
        <w:t xml:space="preserve">Podpisanie </w:t>
      </w:r>
      <w:r w:rsidRPr="00614138">
        <w:rPr>
          <w:rFonts w:ascii="Times New Roman" w:hAnsi="Times New Roman" w:cs="Times New Roman"/>
          <w:b/>
          <w:sz w:val="20"/>
          <w:szCs w:val="20"/>
          <w:shd w:val="clear" w:color="auto" w:fill="FFFFFF"/>
        </w:rPr>
        <w:t xml:space="preserve">Porozumienia o współpracy pomiędzy Mazowieckim Wojewódzkim Inspektorem Ochrony Środowiska, </w:t>
      </w:r>
      <w:r w:rsidRPr="00614138">
        <w:rPr>
          <w:rFonts w:ascii="Times New Roman" w:hAnsi="Times New Roman" w:cs="Times New Roman"/>
          <w:b/>
          <w:spacing w:val="-2"/>
          <w:sz w:val="20"/>
          <w:szCs w:val="20"/>
        </w:rPr>
        <w:t>a</w:t>
      </w:r>
      <w:r w:rsidRPr="00614138">
        <w:rPr>
          <w:rFonts w:ascii="Times New Roman" w:hAnsi="Times New Roman" w:cs="Times New Roman"/>
          <w:b/>
          <w:sz w:val="20"/>
          <w:szCs w:val="20"/>
          <w:shd w:val="clear" w:color="auto" w:fill="FFFFFF"/>
        </w:rPr>
        <w:t> </w:t>
      </w:r>
      <w:r w:rsidRPr="00614138">
        <w:rPr>
          <w:rFonts w:ascii="Times New Roman" w:hAnsi="Times New Roman" w:cs="Times New Roman"/>
          <w:b/>
          <w:spacing w:val="-2"/>
          <w:sz w:val="20"/>
          <w:szCs w:val="20"/>
        </w:rPr>
        <w:t>Dyrektorem Izby Administracji Skarbowej w Warszawie</w:t>
      </w:r>
      <w:r w:rsidRPr="00694CBC">
        <w:rPr>
          <w:rFonts w:ascii="Times New Roman" w:hAnsi="Times New Roman" w:cs="Times New Roman"/>
          <w:b/>
          <w:sz w:val="20"/>
          <w:szCs w:val="20"/>
        </w:rPr>
        <w:t>,</w:t>
      </w:r>
      <w:r w:rsidRPr="007F400A">
        <w:rPr>
          <w:rFonts w:ascii="Times New Roman" w:hAnsi="Times New Roman" w:cs="Times New Roman"/>
          <w:b/>
          <w:sz w:val="20"/>
          <w:szCs w:val="20"/>
        </w:rPr>
        <w:t xml:space="preserve"> </w:t>
      </w:r>
      <w:r>
        <w:rPr>
          <w:rFonts w:ascii="Times New Roman" w:hAnsi="Times New Roman" w:cs="Times New Roman"/>
          <w:b/>
          <w:sz w:val="20"/>
          <w:szCs w:val="20"/>
        </w:rPr>
        <w:t>29</w:t>
      </w:r>
      <w:r w:rsidRPr="007F400A">
        <w:rPr>
          <w:rFonts w:ascii="Times New Roman" w:hAnsi="Times New Roman" w:cs="Times New Roman"/>
          <w:b/>
          <w:sz w:val="20"/>
          <w:szCs w:val="20"/>
        </w:rPr>
        <w:t>.0</w:t>
      </w:r>
      <w:r>
        <w:rPr>
          <w:rFonts w:ascii="Times New Roman" w:hAnsi="Times New Roman" w:cs="Times New Roman"/>
          <w:b/>
          <w:sz w:val="20"/>
          <w:szCs w:val="20"/>
        </w:rPr>
        <w:t>6</w:t>
      </w:r>
      <w:r w:rsidRPr="007F400A">
        <w:rPr>
          <w:rFonts w:ascii="Times New Roman" w:hAnsi="Times New Roman" w:cs="Times New Roman"/>
          <w:b/>
          <w:sz w:val="20"/>
          <w:szCs w:val="20"/>
        </w:rPr>
        <w:t>.202</w:t>
      </w:r>
      <w:r>
        <w:rPr>
          <w:rFonts w:ascii="Times New Roman" w:hAnsi="Times New Roman" w:cs="Times New Roman"/>
          <w:b/>
          <w:sz w:val="20"/>
          <w:szCs w:val="20"/>
        </w:rPr>
        <w:t>2</w:t>
      </w:r>
      <w:r w:rsidRPr="007F400A">
        <w:rPr>
          <w:rFonts w:ascii="Times New Roman" w:hAnsi="Times New Roman" w:cs="Times New Roman"/>
          <w:b/>
          <w:sz w:val="20"/>
          <w:szCs w:val="20"/>
        </w:rPr>
        <w:t xml:space="preserve"> r.</w:t>
      </w:r>
    </w:p>
    <w:p w14:paraId="120B82C2" w14:textId="67364430" w:rsidR="00B20AC4" w:rsidRPr="007F400A" w:rsidRDefault="00B20AC4" w:rsidP="00715A1A">
      <w:pPr>
        <w:spacing w:line="240" w:lineRule="auto"/>
        <w:jc w:val="center"/>
        <w:rPr>
          <w:rFonts w:ascii="Times New Roman" w:hAnsi="Times New Roman" w:cs="Times New Roman"/>
          <w:b/>
          <w:sz w:val="20"/>
          <w:szCs w:val="20"/>
        </w:rPr>
      </w:pPr>
      <w:r w:rsidRPr="000C0753">
        <w:rPr>
          <w:noProof/>
          <w:lang w:eastAsia="pl-PL"/>
        </w:rPr>
        <w:lastRenderedPageBreak/>
        <w:drawing>
          <wp:inline distT="0" distB="0" distL="0" distR="0" wp14:anchorId="5EA3FEAD" wp14:editId="09699C6B">
            <wp:extent cx="4629150" cy="2955744"/>
            <wp:effectExtent l="0" t="0" r="0" b="0"/>
            <wp:docPr id="45" name="Obraz 45" descr="Zdjęcie 55. Podpisanie Porozumienia o współdziałaniu w zakresie transgranicznego przemieszczania odpadów między Łódzkim Wojewódzkim Inspektorem Ochrony Środowiska, Dyrektorem Izby Administracji Skarbowej w Łodzi i Komendantem Nadwiślańskiego Oddziału Straży Granicznej, 04.08.2022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 45" descr="Zdjęcie 55. Podpisanie Porozumienia o współdziałaniu w zakresie transgranicznego przemieszczania odpadów między Łódzkim Wojewódzkim Inspektorem Ochrony Środowiska, Dyrektorem Izby Administracji Skarbowej w Łodzi i Komendantem Nadwiślańskiego Oddziału Straży Granicznej, 04.08.2022 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33882" cy="2958765"/>
                    </a:xfrm>
                    <a:prstGeom prst="rect">
                      <a:avLst/>
                    </a:prstGeom>
                    <a:noFill/>
                    <a:ln>
                      <a:noFill/>
                    </a:ln>
                  </pic:spPr>
                </pic:pic>
              </a:graphicData>
            </a:graphic>
          </wp:inline>
        </w:drawing>
      </w:r>
    </w:p>
    <w:p w14:paraId="5152D050" w14:textId="12367E49" w:rsidR="00A22034" w:rsidRPr="007F400A" w:rsidRDefault="002C0D88" w:rsidP="00184DDA">
      <w:pPr>
        <w:spacing w:line="240" w:lineRule="auto"/>
        <w:jc w:val="both"/>
        <w:rPr>
          <w:rFonts w:ascii="Times New Roman" w:hAnsi="Times New Roman" w:cs="Times New Roman"/>
          <w:b/>
          <w:sz w:val="20"/>
          <w:szCs w:val="20"/>
        </w:rPr>
      </w:pPr>
      <w:r w:rsidRPr="007F400A">
        <w:rPr>
          <w:rFonts w:ascii="Times New Roman" w:hAnsi="Times New Roman" w:cs="Times New Roman"/>
          <w:b/>
          <w:sz w:val="20"/>
          <w:szCs w:val="20"/>
        </w:rPr>
        <w:t xml:space="preserve">Zdjęcie </w:t>
      </w:r>
      <w:r w:rsidR="001A642C">
        <w:rPr>
          <w:rFonts w:ascii="Times New Roman" w:hAnsi="Times New Roman" w:cs="Times New Roman"/>
          <w:b/>
          <w:sz w:val="20"/>
          <w:szCs w:val="20"/>
        </w:rPr>
        <w:t>5</w:t>
      </w:r>
      <w:r w:rsidR="00CB5B9A">
        <w:rPr>
          <w:rFonts w:ascii="Times New Roman" w:hAnsi="Times New Roman" w:cs="Times New Roman"/>
          <w:b/>
          <w:sz w:val="20"/>
          <w:szCs w:val="20"/>
        </w:rPr>
        <w:t>5</w:t>
      </w:r>
      <w:r w:rsidRPr="007F400A">
        <w:rPr>
          <w:rFonts w:ascii="Times New Roman" w:hAnsi="Times New Roman" w:cs="Times New Roman"/>
          <w:b/>
          <w:sz w:val="20"/>
          <w:szCs w:val="20"/>
        </w:rPr>
        <w:t xml:space="preserve">. </w:t>
      </w:r>
      <w:r w:rsidR="00A22034" w:rsidRPr="007F400A">
        <w:rPr>
          <w:rFonts w:ascii="Times New Roman" w:hAnsi="Times New Roman" w:cs="Times New Roman"/>
          <w:b/>
          <w:sz w:val="20"/>
          <w:szCs w:val="20"/>
        </w:rPr>
        <w:t xml:space="preserve">Podpisanie Porozumienia </w:t>
      </w:r>
      <w:r w:rsidR="00B20AC4" w:rsidRPr="00B20AC4">
        <w:rPr>
          <w:rFonts w:ascii="Times New Roman" w:hAnsi="Times New Roman" w:cs="Times New Roman"/>
          <w:b/>
          <w:sz w:val="20"/>
          <w:szCs w:val="20"/>
        </w:rPr>
        <w:t>o współdziałaniu w zakresie transgranicznego przemieszczania odpadów</w:t>
      </w:r>
      <w:r w:rsidR="00A22034" w:rsidRPr="007F400A">
        <w:rPr>
          <w:rFonts w:ascii="Times New Roman" w:hAnsi="Times New Roman" w:cs="Times New Roman"/>
          <w:b/>
          <w:color w:val="000000"/>
          <w:sz w:val="20"/>
          <w:szCs w:val="20"/>
        </w:rPr>
        <w:t xml:space="preserve"> </w:t>
      </w:r>
      <w:r w:rsidR="00A22034" w:rsidRPr="007F400A">
        <w:rPr>
          <w:rFonts w:ascii="Times New Roman" w:hAnsi="Times New Roman" w:cs="Times New Roman"/>
          <w:b/>
          <w:sz w:val="20"/>
          <w:szCs w:val="20"/>
        </w:rPr>
        <w:t xml:space="preserve">między </w:t>
      </w:r>
      <w:r w:rsidR="00B20AC4">
        <w:rPr>
          <w:rFonts w:ascii="Times New Roman" w:hAnsi="Times New Roman" w:cs="Times New Roman"/>
          <w:b/>
          <w:sz w:val="20"/>
          <w:szCs w:val="20"/>
        </w:rPr>
        <w:t xml:space="preserve">Łódzkim </w:t>
      </w:r>
      <w:r w:rsidR="00A22034" w:rsidRPr="007F400A">
        <w:rPr>
          <w:rFonts w:ascii="Times New Roman" w:hAnsi="Times New Roman" w:cs="Times New Roman"/>
          <w:b/>
          <w:sz w:val="20"/>
          <w:szCs w:val="20"/>
        </w:rPr>
        <w:t>Wojewódzkim Inspektorem Ochrony Środowiska</w:t>
      </w:r>
      <w:r w:rsidR="00B20AC4">
        <w:rPr>
          <w:rFonts w:ascii="Times New Roman" w:hAnsi="Times New Roman" w:cs="Times New Roman"/>
          <w:b/>
          <w:sz w:val="20"/>
          <w:szCs w:val="20"/>
        </w:rPr>
        <w:t>,</w:t>
      </w:r>
      <w:r w:rsidR="00A22034" w:rsidRPr="007F400A">
        <w:rPr>
          <w:rFonts w:ascii="Times New Roman" w:hAnsi="Times New Roman" w:cs="Times New Roman"/>
          <w:b/>
          <w:sz w:val="20"/>
          <w:szCs w:val="20"/>
        </w:rPr>
        <w:t xml:space="preserve"> </w:t>
      </w:r>
      <w:r w:rsidR="00B20AC4" w:rsidRPr="00B20AC4">
        <w:rPr>
          <w:rFonts w:ascii="Times New Roman" w:hAnsi="Times New Roman" w:cs="Times New Roman"/>
          <w:b/>
          <w:sz w:val="20"/>
          <w:szCs w:val="20"/>
        </w:rPr>
        <w:t>Dyrektorem Izby Administracji Skarbowej w Łodzi i Komendantem Nadwiślańskiego Oddziału Straży Granicznej</w:t>
      </w:r>
      <w:r w:rsidR="00A22034" w:rsidRPr="007F400A">
        <w:rPr>
          <w:rFonts w:ascii="Times New Roman" w:hAnsi="Times New Roman" w:cs="Times New Roman"/>
          <w:b/>
          <w:sz w:val="20"/>
          <w:szCs w:val="20"/>
        </w:rPr>
        <w:t xml:space="preserve">, </w:t>
      </w:r>
      <w:r w:rsidR="00B20AC4">
        <w:rPr>
          <w:rFonts w:ascii="Times New Roman" w:hAnsi="Times New Roman" w:cs="Times New Roman"/>
          <w:b/>
          <w:sz w:val="20"/>
          <w:szCs w:val="20"/>
        </w:rPr>
        <w:t>04</w:t>
      </w:r>
      <w:r w:rsidR="00A22034" w:rsidRPr="007F400A">
        <w:rPr>
          <w:rFonts w:ascii="Times New Roman" w:hAnsi="Times New Roman" w:cs="Times New Roman"/>
          <w:b/>
          <w:sz w:val="20"/>
          <w:szCs w:val="20"/>
        </w:rPr>
        <w:t>.</w:t>
      </w:r>
      <w:r w:rsidR="00B20AC4">
        <w:rPr>
          <w:rFonts w:ascii="Times New Roman" w:hAnsi="Times New Roman" w:cs="Times New Roman"/>
          <w:b/>
          <w:sz w:val="20"/>
          <w:szCs w:val="20"/>
        </w:rPr>
        <w:t>08</w:t>
      </w:r>
      <w:r w:rsidR="00A22034" w:rsidRPr="007F400A">
        <w:rPr>
          <w:rFonts w:ascii="Times New Roman" w:hAnsi="Times New Roman" w:cs="Times New Roman"/>
          <w:b/>
          <w:sz w:val="20"/>
          <w:szCs w:val="20"/>
        </w:rPr>
        <w:t>.202</w:t>
      </w:r>
      <w:r w:rsidR="00B20AC4">
        <w:rPr>
          <w:rFonts w:ascii="Times New Roman" w:hAnsi="Times New Roman" w:cs="Times New Roman"/>
          <w:b/>
          <w:sz w:val="20"/>
          <w:szCs w:val="20"/>
        </w:rPr>
        <w:t>2</w:t>
      </w:r>
      <w:r w:rsidR="00A22034" w:rsidRPr="007F400A">
        <w:rPr>
          <w:rFonts w:ascii="Times New Roman" w:hAnsi="Times New Roman" w:cs="Times New Roman"/>
          <w:b/>
          <w:sz w:val="20"/>
          <w:szCs w:val="20"/>
        </w:rPr>
        <w:t xml:space="preserve"> r.</w:t>
      </w:r>
    </w:p>
    <w:p w14:paraId="710E78E2" w14:textId="3C29B3AB" w:rsidR="00A22034" w:rsidRPr="007F400A" w:rsidRDefault="00614138" w:rsidP="00BE1E44">
      <w:pPr>
        <w:spacing w:after="0" w:line="300" w:lineRule="atLeast"/>
        <w:jc w:val="both"/>
        <w:rPr>
          <w:rFonts w:ascii="Times New Roman" w:hAnsi="Times New Roman" w:cs="Times New Roman"/>
          <w:color w:val="000000"/>
          <w:sz w:val="24"/>
          <w:szCs w:val="24"/>
        </w:rPr>
      </w:pPr>
      <w:r>
        <w:rPr>
          <w:rFonts w:ascii="Times New Roman" w:hAnsi="Times New Roman" w:cs="Times New Roman"/>
          <w:color w:val="000000"/>
          <w:sz w:val="24"/>
          <w:szCs w:val="24"/>
        </w:rPr>
        <w:t>W roku 2022 n</w:t>
      </w:r>
      <w:r w:rsidR="00A22034" w:rsidRPr="007F400A">
        <w:rPr>
          <w:rFonts w:ascii="Times New Roman" w:hAnsi="Times New Roman" w:cs="Times New Roman"/>
          <w:color w:val="000000"/>
          <w:sz w:val="24"/>
          <w:szCs w:val="24"/>
        </w:rPr>
        <w:t xml:space="preserve">a szczeblu wojewódzkim zostały zawarte następujące porozumienia: </w:t>
      </w:r>
    </w:p>
    <w:p w14:paraId="708B81BF" w14:textId="00732221" w:rsidR="00C41101" w:rsidRPr="00C41101" w:rsidRDefault="00C41101" w:rsidP="00D34F97">
      <w:pPr>
        <w:pStyle w:val="Akapitzlist"/>
        <w:numPr>
          <w:ilvl w:val="0"/>
          <w:numId w:val="151"/>
        </w:numPr>
        <w:spacing w:after="200" w:line="300" w:lineRule="atLeast"/>
        <w:jc w:val="both"/>
        <w:rPr>
          <w:color w:val="000000"/>
          <w:sz w:val="24"/>
          <w:szCs w:val="24"/>
        </w:rPr>
      </w:pPr>
      <w:bookmarkStart w:id="352" w:name="_Hlk132217723"/>
      <w:r w:rsidRPr="00C41101">
        <w:rPr>
          <w:sz w:val="24"/>
          <w:szCs w:val="24"/>
          <w:lang w:val="pl-PL"/>
        </w:rPr>
        <w:t>p</w:t>
      </w:r>
      <w:proofErr w:type="spellStart"/>
      <w:r w:rsidRPr="00C41101">
        <w:rPr>
          <w:sz w:val="24"/>
          <w:szCs w:val="24"/>
        </w:rPr>
        <w:t>orozumienie</w:t>
      </w:r>
      <w:proofErr w:type="spellEnd"/>
      <w:r w:rsidRPr="00C41101">
        <w:rPr>
          <w:sz w:val="24"/>
          <w:szCs w:val="24"/>
        </w:rPr>
        <w:t xml:space="preserve"> pomiędzy Łódzkim Wojewódzkim Inspektorem Ochrony Środowiska </w:t>
      </w:r>
      <w:r>
        <w:rPr>
          <w:sz w:val="24"/>
          <w:szCs w:val="24"/>
        </w:rPr>
        <w:br/>
      </w:r>
      <w:r w:rsidRPr="00C41101">
        <w:rPr>
          <w:sz w:val="24"/>
          <w:szCs w:val="24"/>
        </w:rPr>
        <w:t xml:space="preserve">i </w:t>
      </w:r>
      <w:bookmarkStart w:id="353" w:name="_Hlk132218415"/>
      <w:r w:rsidRPr="00C41101">
        <w:rPr>
          <w:sz w:val="24"/>
          <w:szCs w:val="24"/>
        </w:rPr>
        <w:t xml:space="preserve">Łódzkim Komendantem Wojewódzkim Państwowej Straży Pożarnej </w:t>
      </w:r>
      <w:bookmarkEnd w:id="353"/>
      <w:r>
        <w:rPr>
          <w:sz w:val="24"/>
          <w:szCs w:val="24"/>
          <w:lang w:val="pl-PL"/>
        </w:rPr>
        <w:t xml:space="preserve">w sprawie </w:t>
      </w:r>
      <w:r w:rsidRPr="00C41101">
        <w:rPr>
          <w:sz w:val="24"/>
          <w:szCs w:val="24"/>
        </w:rPr>
        <w:t>współpracy w zakresie przestrzegania przepisów o ochronie środowiska, rozpoznawania zagrożeń pożarowych oraz nadzoru nad przestrzeganiem przepisów przeciwpożarowych</w:t>
      </w:r>
      <w:r>
        <w:rPr>
          <w:sz w:val="24"/>
          <w:szCs w:val="24"/>
          <w:lang w:val="pl-PL"/>
        </w:rPr>
        <w:t xml:space="preserve"> (20.01.2022 r.),</w:t>
      </w:r>
    </w:p>
    <w:p w14:paraId="2945BE13" w14:textId="41ACB522" w:rsidR="00A06ACC" w:rsidRPr="00A06ACC" w:rsidRDefault="00A06ACC" w:rsidP="00D34F97">
      <w:pPr>
        <w:pStyle w:val="Akapitzlist"/>
        <w:numPr>
          <w:ilvl w:val="0"/>
          <w:numId w:val="151"/>
        </w:numPr>
        <w:spacing w:after="200" w:line="300" w:lineRule="atLeast"/>
        <w:jc w:val="both"/>
        <w:rPr>
          <w:color w:val="000000"/>
          <w:sz w:val="24"/>
          <w:szCs w:val="24"/>
        </w:rPr>
      </w:pPr>
      <w:r w:rsidRPr="00A06ACC">
        <w:rPr>
          <w:sz w:val="24"/>
          <w:szCs w:val="24"/>
        </w:rPr>
        <w:t xml:space="preserve">porozumienie pomiędzy </w:t>
      </w:r>
      <w:bookmarkStart w:id="354" w:name="_Hlk132219713"/>
      <w:r w:rsidRPr="00A06ACC">
        <w:rPr>
          <w:sz w:val="24"/>
          <w:szCs w:val="24"/>
        </w:rPr>
        <w:t>Zachodniopomorskim Wojewódzkim Inspektorem Ochrony Środowiska i Zachodniopomorskim Wojewódzkim Inspektorem Transportu Drogowego w sprawie współdziałania w zakresie przeciwdziałania i wykrywania przestępstw i wykroczeń przeciwko środowisku</w:t>
      </w:r>
      <w:bookmarkEnd w:id="354"/>
      <w:r>
        <w:rPr>
          <w:sz w:val="24"/>
          <w:szCs w:val="24"/>
          <w:lang w:val="pl-PL"/>
        </w:rPr>
        <w:t xml:space="preserve"> (20.01.2022 r.), </w:t>
      </w:r>
    </w:p>
    <w:p w14:paraId="3EC3E730" w14:textId="5558D905" w:rsidR="00A06ACC" w:rsidRPr="00A06ACC" w:rsidRDefault="00A06ACC" w:rsidP="00D34F97">
      <w:pPr>
        <w:pStyle w:val="Akapitzlist"/>
        <w:numPr>
          <w:ilvl w:val="0"/>
          <w:numId w:val="151"/>
        </w:numPr>
        <w:spacing w:after="200" w:line="300" w:lineRule="atLeast"/>
        <w:jc w:val="both"/>
        <w:rPr>
          <w:color w:val="000000"/>
          <w:sz w:val="24"/>
          <w:szCs w:val="24"/>
        </w:rPr>
      </w:pPr>
      <w:r w:rsidRPr="00A06ACC">
        <w:rPr>
          <w:sz w:val="24"/>
          <w:szCs w:val="24"/>
        </w:rPr>
        <w:t xml:space="preserve">porozumienie pomiędzy Wojewódzkim Inspektoratem Ochrony Środowiska </w:t>
      </w:r>
      <w:r>
        <w:rPr>
          <w:sz w:val="24"/>
          <w:szCs w:val="24"/>
        </w:rPr>
        <w:br/>
      </w:r>
      <w:r w:rsidRPr="00A06ACC">
        <w:rPr>
          <w:sz w:val="24"/>
          <w:szCs w:val="24"/>
        </w:rPr>
        <w:t>w Szczecinie a Izbą Administracji Skarbowej w Szczecinie w zakresie przeciwdziałania i wykrywania przestępstw i wykroczeń przeciwko środowisku</w:t>
      </w:r>
      <w:r w:rsidRPr="00A06ACC">
        <w:rPr>
          <w:sz w:val="24"/>
          <w:szCs w:val="24"/>
          <w:lang w:val="pl-PL"/>
        </w:rPr>
        <w:t xml:space="preserve"> (25.03.2022 r.),</w:t>
      </w:r>
    </w:p>
    <w:p w14:paraId="53405E8D" w14:textId="1C493005" w:rsidR="00A22034" w:rsidRPr="007F400A" w:rsidRDefault="00C41101" w:rsidP="00D34F97">
      <w:pPr>
        <w:pStyle w:val="Akapitzlist"/>
        <w:numPr>
          <w:ilvl w:val="0"/>
          <w:numId w:val="151"/>
        </w:numPr>
        <w:spacing w:after="200" w:line="300" w:lineRule="atLeast"/>
        <w:jc w:val="both"/>
        <w:rPr>
          <w:color w:val="000000"/>
          <w:sz w:val="24"/>
          <w:szCs w:val="24"/>
        </w:rPr>
      </w:pPr>
      <w:r w:rsidRPr="00C41101">
        <w:rPr>
          <w:iCs/>
          <w:sz w:val="24"/>
          <w:szCs w:val="24"/>
          <w:lang w:val="pl-PL"/>
        </w:rPr>
        <w:t xml:space="preserve">porozumienie między </w:t>
      </w:r>
      <w:r w:rsidRPr="00C41101">
        <w:rPr>
          <w:iCs/>
          <w:sz w:val="24"/>
          <w:szCs w:val="24"/>
        </w:rPr>
        <w:t>Świętokrzyski</w:t>
      </w:r>
      <w:r w:rsidRPr="00C41101">
        <w:rPr>
          <w:iCs/>
          <w:sz w:val="24"/>
          <w:szCs w:val="24"/>
          <w:lang w:val="pl-PL"/>
        </w:rPr>
        <w:t>m</w:t>
      </w:r>
      <w:r w:rsidRPr="00C41101">
        <w:rPr>
          <w:iCs/>
          <w:sz w:val="24"/>
          <w:szCs w:val="24"/>
        </w:rPr>
        <w:t xml:space="preserve"> Wojewódzki</w:t>
      </w:r>
      <w:r w:rsidRPr="00C41101">
        <w:rPr>
          <w:iCs/>
          <w:sz w:val="24"/>
          <w:szCs w:val="24"/>
          <w:lang w:val="pl-PL"/>
        </w:rPr>
        <w:t>m</w:t>
      </w:r>
      <w:r w:rsidRPr="00C41101">
        <w:rPr>
          <w:iCs/>
          <w:sz w:val="24"/>
          <w:szCs w:val="24"/>
        </w:rPr>
        <w:t xml:space="preserve"> Inspektor</w:t>
      </w:r>
      <w:r w:rsidRPr="00C41101">
        <w:rPr>
          <w:iCs/>
          <w:sz w:val="24"/>
          <w:szCs w:val="24"/>
          <w:lang w:val="pl-PL"/>
        </w:rPr>
        <w:t>em</w:t>
      </w:r>
      <w:r w:rsidRPr="00C41101">
        <w:rPr>
          <w:iCs/>
          <w:sz w:val="24"/>
          <w:szCs w:val="24"/>
        </w:rPr>
        <w:t xml:space="preserve"> Ochrony Środowiska </w:t>
      </w:r>
      <w:r w:rsidRPr="00C41101">
        <w:rPr>
          <w:iCs/>
          <w:sz w:val="24"/>
          <w:szCs w:val="24"/>
          <w:lang w:val="pl-PL"/>
        </w:rPr>
        <w:t xml:space="preserve">i </w:t>
      </w:r>
      <w:r w:rsidRPr="00C41101">
        <w:rPr>
          <w:iCs/>
          <w:sz w:val="24"/>
          <w:szCs w:val="24"/>
        </w:rPr>
        <w:t xml:space="preserve">Świętokrzyskim Wojewódzkim Inspektorem Transportu Drogowego </w:t>
      </w:r>
      <w:r>
        <w:rPr>
          <w:iCs/>
          <w:sz w:val="24"/>
          <w:szCs w:val="24"/>
        </w:rPr>
        <w:br/>
      </w:r>
      <w:r w:rsidRPr="00C41101">
        <w:rPr>
          <w:iCs/>
          <w:sz w:val="24"/>
          <w:szCs w:val="24"/>
        </w:rPr>
        <w:t xml:space="preserve">w sprawie współdziałania w zakresie przeciwdziałania oraz wykrywania przestępstw </w:t>
      </w:r>
      <w:r>
        <w:rPr>
          <w:iCs/>
          <w:sz w:val="24"/>
          <w:szCs w:val="24"/>
        </w:rPr>
        <w:br/>
      </w:r>
      <w:r w:rsidRPr="00C41101">
        <w:rPr>
          <w:iCs/>
          <w:sz w:val="24"/>
          <w:szCs w:val="24"/>
        </w:rPr>
        <w:t>i wykroczeń przeciwko środowisku w transporcie odpadów</w:t>
      </w:r>
      <w:bookmarkEnd w:id="352"/>
      <w:r w:rsidRPr="007F400A">
        <w:rPr>
          <w:color w:val="000000"/>
          <w:sz w:val="24"/>
          <w:szCs w:val="24"/>
        </w:rPr>
        <w:t xml:space="preserve"> </w:t>
      </w:r>
      <w:r w:rsidR="00A22034" w:rsidRPr="007F400A">
        <w:rPr>
          <w:color w:val="000000"/>
          <w:sz w:val="24"/>
          <w:szCs w:val="24"/>
        </w:rPr>
        <w:t>(</w:t>
      </w:r>
      <w:r>
        <w:rPr>
          <w:color w:val="000000"/>
          <w:sz w:val="24"/>
          <w:szCs w:val="24"/>
          <w:lang w:val="pl-PL"/>
        </w:rPr>
        <w:t>11</w:t>
      </w:r>
      <w:r w:rsidR="00A22034" w:rsidRPr="007F400A">
        <w:rPr>
          <w:color w:val="000000"/>
          <w:sz w:val="24"/>
          <w:szCs w:val="24"/>
        </w:rPr>
        <w:t>.0</w:t>
      </w:r>
      <w:r>
        <w:rPr>
          <w:color w:val="000000"/>
          <w:sz w:val="24"/>
          <w:szCs w:val="24"/>
          <w:lang w:val="pl-PL"/>
        </w:rPr>
        <w:t>5</w:t>
      </w:r>
      <w:r w:rsidR="00A22034" w:rsidRPr="007F400A">
        <w:rPr>
          <w:color w:val="000000"/>
          <w:sz w:val="24"/>
          <w:szCs w:val="24"/>
        </w:rPr>
        <w:t>.202</w:t>
      </w:r>
      <w:r>
        <w:rPr>
          <w:color w:val="000000"/>
          <w:sz w:val="24"/>
          <w:szCs w:val="24"/>
          <w:lang w:val="pl-PL"/>
        </w:rPr>
        <w:t>2</w:t>
      </w:r>
      <w:r w:rsidR="00A22034" w:rsidRPr="007F400A">
        <w:rPr>
          <w:color w:val="000000"/>
          <w:sz w:val="24"/>
          <w:szCs w:val="24"/>
        </w:rPr>
        <w:t xml:space="preserve"> r.)</w:t>
      </w:r>
      <w:r w:rsidR="005E799B" w:rsidRPr="007F400A">
        <w:rPr>
          <w:color w:val="000000"/>
          <w:sz w:val="24"/>
          <w:szCs w:val="24"/>
        </w:rPr>
        <w:t>,</w:t>
      </w:r>
      <w:r w:rsidR="00A22034" w:rsidRPr="007F400A">
        <w:rPr>
          <w:color w:val="000000"/>
          <w:sz w:val="24"/>
          <w:szCs w:val="24"/>
        </w:rPr>
        <w:t xml:space="preserve"> </w:t>
      </w:r>
    </w:p>
    <w:p w14:paraId="67782927" w14:textId="53F793F2" w:rsidR="00A22034" w:rsidRPr="007F400A" w:rsidRDefault="00C41101" w:rsidP="00D34F97">
      <w:pPr>
        <w:pStyle w:val="Akapitzlist"/>
        <w:numPr>
          <w:ilvl w:val="0"/>
          <w:numId w:val="151"/>
        </w:numPr>
        <w:spacing w:after="200" w:line="300" w:lineRule="atLeast"/>
        <w:jc w:val="both"/>
        <w:rPr>
          <w:color w:val="000000"/>
          <w:sz w:val="24"/>
          <w:szCs w:val="24"/>
        </w:rPr>
      </w:pPr>
      <w:bookmarkStart w:id="355" w:name="_Hlk132218105"/>
      <w:r>
        <w:rPr>
          <w:sz w:val="24"/>
          <w:szCs w:val="24"/>
          <w:lang w:val="pl-PL"/>
        </w:rPr>
        <w:t>p</w:t>
      </w:r>
      <w:proofErr w:type="spellStart"/>
      <w:r w:rsidRPr="00C41101">
        <w:rPr>
          <w:sz w:val="24"/>
          <w:szCs w:val="24"/>
        </w:rPr>
        <w:t>orozumienie</w:t>
      </w:r>
      <w:proofErr w:type="spellEnd"/>
      <w:r w:rsidRPr="00C41101">
        <w:rPr>
          <w:sz w:val="24"/>
          <w:szCs w:val="24"/>
        </w:rPr>
        <w:t xml:space="preserve"> pomiędzy Małopolskim Wojewódzkim Inspektorem Ochrony Środowiska i Dyrektorem Izby Administracji Skarbowej w sprawie współdziałania </w:t>
      </w:r>
      <w:r>
        <w:rPr>
          <w:sz w:val="24"/>
          <w:szCs w:val="24"/>
        </w:rPr>
        <w:br/>
      </w:r>
      <w:r w:rsidRPr="00C41101">
        <w:rPr>
          <w:sz w:val="24"/>
          <w:szCs w:val="24"/>
        </w:rPr>
        <w:t>w zakresie transgranicznego przemieszczania odpadów w tym objętych monitorowaniem (SENT) oraz w sprawie współdziałania w zakresie przeciwdziałania i wykrywania przestępstw i wykroczeń przeciwko środowisku</w:t>
      </w:r>
      <w:bookmarkEnd w:id="355"/>
      <w:r w:rsidRPr="007F400A">
        <w:rPr>
          <w:color w:val="000000"/>
          <w:sz w:val="24"/>
          <w:szCs w:val="24"/>
        </w:rPr>
        <w:t xml:space="preserve"> </w:t>
      </w:r>
      <w:r w:rsidR="00A22034" w:rsidRPr="007F400A">
        <w:rPr>
          <w:color w:val="000000"/>
          <w:sz w:val="24"/>
          <w:szCs w:val="24"/>
        </w:rPr>
        <w:t>(</w:t>
      </w:r>
      <w:r>
        <w:rPr>
          <w:color w:val="000000"/>
          <w:sz w:val="24"/>
          <w:szCs w:val="24"/>
          <w:lang w:val="pl-PL"/>
        </w:rPr>
        <w:t>14</w:t>
      </w:r>
      <w:r w:rsidR="00A22034" w:rsidRPr="007F400A">
        <w:rPr>
          <w:color w:val="000000"/>
          <w:sz w:val="24"/>
          <w:szCs w:val="24"/>
        </w:rPr>
        <w:t>.</w:t>
      </w:r>
      <w:r>
        <w:rPr>
          <w:color w:val="000000"/>
          <w:sz w:val="24"/>
          <w:szCs w:val="24"/>
          <w:lang w:val="pl-PL"/>
        </w:rPr>
        <w:t>06</w:t>
      </w:r>
      <w:r w:rsidR="00A22034" w:rsidRPr="007F400A">
        <w:rPr>
          <w:color w:val="000000"/>
          <w:sz w:val="24"/>
          <w:szCs w:val="24"/>
        </w:rPr>
        <w:t>.202</w:t>
      </w:r>
      <w:r>
        <w:rPr>
          <w:color w:val="000000"/>
          <w:sz w:val="24"/>
          <w:szCs w:val="24"/>
          <w:lang w:val="pl-PL"/>
        </w:rPr>
        <w:t>2</w:t>
      </w:r>
      <w:r w:rsidR="00A22034" w:rsidRPr="007F400A">
        <w:rPr>
          <w:color w:val="000000"/>
          <w:sz w:val="24"/>
          <w:szCs w:val="24"/>
        </w:rPr>
        <w:t xml:space="preserve"> r.)</w:t>
      </w:r>
      <w:r w:rsidR="005E799B" w:rsidRPr="007F400A">
        <w:rPr>
          <w:color w:val="000000"/>
          <w:sz w:val="24"/>
          <w:szCs w:val="24"/>
        </w:rPr>
        <w:t>,</w:t>
      </w:r>
      <w:r w:rsidR="00A22034" w:rsidRPr="007F400A">
        <w:rPr>
          <w:color w:val="000000"/>
          <w:sz w:val="24"/>
          <w:szCs w:val="24"/>
        </w:rPr>
        <w:t xml:space="preserve"> </w:t>
      </w:r>
    </w:p>
    <w:p w14:paraId="5C481187" w14:textId="2F361B9E" w:rsidR="00A06ACC" w:rsidRPr="00A06ACC" w:rsidRDefault="00A06ACC" w:rsidP="00D34F97">
      <w:pPr>
        <w:pStyle w:val="Akapitzlist"/>
        <w:numPr>
          <w:ilvl w:val="0"/>
          <w:numId w:val="151"/>
        </w:numPr>
        <w:spacing w:after="200" w:line="300" w:lineRule="atLeast"/>
        <w:jc w:val="both"/>
        <w:rPr>
          <w:color w:val="000000"/>
          <w:sz w:val="24"/>
          <w:szCs w:val="24"/>
        </w:rPr>
      </w:pPr>
      <w:bookmarkStart w:id="356" w:name="_Hlk132220100"/>
      <w:r w:rsidRPr="00A06ACC">
        <w:rPr>
          <w:sz w:val="24"/>
          <w:szCs w:val="24"/>
          <w:shd w:val="clear" w:color="auto" w:fill="FFFFFF"/>
          <w:lang w:val="pl-PL"/>
        </w:rPr>
        <w:t>p</w:t>
      </w:r>
      <w:proofErr w:type="spellStart"/>
      <w:r w:rsidRPr="00A06ACC">
        <w:rPr>
          <w:sz w:val="24"/>
          <w:szCs w:val="24"/>
          <w:shd w:val="clear" w:color="auto" w:fill="FFFFFF"/>
        </w:rPr>
        <w:t>orozumienie</w:t>
      </w:r>
      <w:proofErr w:type="spellEnd"/>
      <w:r w:rsidRPr="00A06ACC">
        <w:rPr>
          <w:sz w:val="24"/>
          <w:szCs w:val="24"/>
          <w:shd w:val="clear" w:color="auto" w:fill="FFFFFF"/>
        </w:rPr>
        <w:t xml:space="preserve"> o współpracy pomiędzy Mazowieckim Wojewódzkim Inspektorem Ochrony Środowiska, </w:t>
      </w:r>
      <w:r w:rsidRPr="00A06ACC">
        <w:rPr>
          <w:spacing w:val="-2"/>
          <w:sz w:val="24"/>
          <w:szCs w:val="24"/>
        </w:rPr>
        <w:t>a</w:t>
      </w:r>
      <w:r w:rsidRPr="00A06ACC">
        <w:rPr>
          <w:sz w:val="24"/>
          <w:szCs w:val="24"/>
          <w:shd w:val="clear" w:color="auto" w:fill="FFFFFF"/>
        </w:rPr>
        <w:t> </w:t>
      </w:r>
      <w:r w:rsidRPr="00A06ACC">
        <w:rPr>
          <w:spacing w:val="-2"/>
          <w:sz w:val="24"/>
          <w:szCs w:val="24"/>
        </w:rPr>
        <w:t>Dyrektorem Izby Administracji Skarbowej w Warszawie</w:t>
      </w:r>
      <w:bookmarkEnd w:id="356"/>
      <w:r w:rsidRPr="00A06ACC">
        <w:rPr>
          <w:spacing w:val="-2"/>
          <w:sz w:val="24"/>
          <w:szCs w:val="24"/>
        </w:rPr>
        <w:t xml:space="preserve">, </w:t>
      </w:r>
      <w:r>
        <w:rPr>
          <w:spacing w:val="-2"/>
          <w:sz w:val="24"/>
          <w:szCs w:val="24"/>
        </w:rPr>
        <w:br/>
      </w:r>
      <w:r w:rsidRPr="00A06ACC">
        <w:rPr>
          <w:spacing w:val="-2"/>
          <w:sz w:val="24"/>
          <w:szCs w:val="24"/>
          <w:shd w:val="clear" w:color="auto" w:fill="FFFFFF"/>
        </w:rPr>
        <w:t>w związku z wejściem w życie nowych uregulowań prawnych, dotyczących międzynarodowego przemieszczania odpadów w ramach</w:t>
      </w:r>
      <w:r w:rsidRPr="00A06ACC">
        <w:rPr>
          <w:spacing w:val="-2"/>
          <w:sz w:val="24"/>
          <w:szCs w:val="24"/>
        </w:rPr>
        <w:t xml:space="preserve"> systemu monitorowania </w:t>
      </w:r>
      <w:r w:rsidRPr="00A06ACC">
        <w:rPr>
          <w:spacing w:val="-2"/>
          <w:sz w:val="24"/>
          <w:szCs w:val="24"/>
        </w:rPr>
        <w:lastRenderedPageBreak/>
        <w:t>drogowego i kolejowego przewozu towarów oraz obrotu paliwami opałowymi SENT</w:t>
      </w:r>
      <w:r w:rsidRPr="00A06ACC">
        <w:rPr>
          <w:spacing w:val="-2"/>
          <w:sz w:val="24"/>
          <w:szCs w:val="24"/>
          <w:lang w:val="pl-PL"/>
        </w:rPr>
        <w:t xml:space="preserve"> (29.06.2022 r.), </w:t>
      </w:r>
    </w:p>
    <w:p w14:paraId="31EB3776" w14:textId="49CE593C" w:rsidR="00C41101" w:rsidRPr="00C41101" w:rsidRDefault="00C41101" w:rsidP="00D34F97">
      <w:pPr>
        <w:pStyle w:val="Akapitzlist"/>
        <w:numPr>
          <w:ilvl w:val="0"/>
          <w:numId w:val="151"/>
        </w:numPr>
        <w:spacing w:after="200" w:line="300" w:lineRule="atLeast"/>
        <w:jc w:val="both"/>
        <w:rPr>
          <w:color w:val="000000"/>
          <w:sz w:val="24"/>
          <w:szCs w:val="24"/>
        </w:rPr>
      </w:pPr>
      <w:r w:rsidRPr="00C41101">
        <w:rPr>
          <w:sz w:val="24"/>
          <w:szCs w:val="24"/>
          <w:lang w:val="pl-PL"/>
        </w:rPr>
        <w:t>p</w:t>
      </w:r>
      <w:proofErr w:type="spellStart"/>
      <w:r w:rsidRPr="00C41101">
        <w:rPr>
          <w:sz w:val="24"/>
          <w:szCs w:val="24"/>
        </w:rPr>
        <w:t>orozumienie</w:t>
      </w:r>
      <w:proofErr w:type="spellEnd"/>
      <w:r w:rsidRPr="00C41101">
        <w:rPr>
          <w:sz w:val="24"/>
          <w:szCs w:val="24"/>
        </w:rPr>
        <w:t xml:space="preserve"> </w:t>
      </w:r>
      <w:bookmarkStart w:id="357" w:name="_Hlk132218673"/>
      <w:r w:rsidR="00A06ACC" w:rsidRPr="00C41101">
        <w:rPr>
          <w:sz w:val="24"/>
          <w:szCs w:val="24"/>
        </w:rPr>
        <w:t>o współdziałaniu w zakresie transgranicznego przemieszczania odpadów</w:t>
      </w:r>
      <w:bookmarkEnd w:id="357"/>
      <w:r w:rsidR="00A06ACC" w:rsidRPr="00C41101">
        <w:rPr>
          <w:sz w:val="24"/>
          <w:szCs w:val="24"/>
        </w:rPr>
        <w:t xml:space="preserve"> </w:t>
      </w:r>
      <w:r w:rsidRPr="00C41101">
        <w:rPr>
          <w:sz w:val="24"/>
          <w:szCs w:val="24"/>
        </w:rPr>
        <w:t xml:space="preserve">pomiędzy Łódzkim Wojewódzkim Inspektorem Ochrony Środowiska w Łodzi, </w:t>
      </w:r>
      <w:bookmarkStart w:id="358" w:name="_Hlk132218753"/>
      <w:r w:rsidRPr="00C41101">
        <w:rPr>
          <w:sz w:val="24"/>
          <w:szCs w:val="24"/>
        </w:rPr>
        <w:t>Dyrektorem Izby Administracji Skarbowej w Łodzi i Komendantem Nadwiślańskiego Oddziału Straży Granicznej</w:t>
      </w:r>
      <w:bookmarkEnd w:id="358"/>
      <w:r w:rsidRPr="00C41101">
        <w:rPr>
          <w:sz w:val="24"/>
          <w:szCs w:val="24"/>
        </w:rPr>
        <w:t xml:space="preserve"> </w:t>
      </w:r>
      <w:r w:rsidR="00A06ACC">
        <w:rPr>
          <w:sz w:val="24"/>
          <w:szCs w:val="24"/>
          <w:lang w:val="pl-PL"/>
        </w:rPr>
        <w:t xml:space="preserve">(04.08.2022 r.), </w:t>
      </w:r>
    </w:p>
    <w:p w14:paraId="07CFA685" w14:textId="4FBD72D5" w:rsidR="00A22034" w:rsidRPr="007F400A" w:rsidRDefault="00C41101" w:rsidP="00D34F97">
      <w:pPr>
        <w:pStyle w:val="Akapitzlist"/>
        <w:numPr>
          <w:ilvl w:val="0"/>
          <w:numId w:val="151"/>
        </w:numPr>
        <w:spacing w:after="200" w:line="300" w:lineRule="atLeast"/>
        <w:jc w:val="both"/>
        <w:rPr>
          <w:color w:val="000000"/>
          <w:sz w:val="24"/>
          <w:szCs w:val="24"/>
        </w:rPr>
      </w:pPr>
      <w:r w:rsidRPr="00C41101">
        <w:rPr>
          <w:sz w:val="24"/>
          <w:szCs w:val="24"/>
          <w:lang w:val="pl-PL"/>
        </w:rPr>
        <w:t>p</w:t>
      </w:r>
      <w:proofErr w:type="spellStart"/>
      <w:r w:rsidRPr="00C41101">
        <w:rPr>
          <w:sz w:val="24"/>
          <w:szCs w:val="24"/>
        </w:rPr>
        <w:t>orozumienie</w:t>
      </w:r>
      <w:proofErr w:type="spellEnd"/>
      <w:r w:rsidRPr="00C41101">
        <w:rPr>
          <w:sz w:val="24"/>
          <w:szCs w:val="24"/>
        </w:rPr>
        <w:t xml:space="preserve"> pomiędzy Małopolskim Wojewódzkim Inspektorem Ochrony Środowiska i Dyrektorem Regionalnego Zarządu Gospodarki Wodnej w Krakowie </w:t>
      </w:r>
      <w:r>
        <w:rPr>
          <w:sz w:val="24"/>
          <w:szCs w:val="24"/>
        </w:rPr>
        <w:br/>
      </w:r>
      <w:r w:rsidRPr="00C41101">
        <w:rPr>
          <w:sz w:val="24"/>
          <w:szCs w:val="24"/>
        </w:rPr>
        <w:t>w sprawie sprawnego i skutecznego współdziałania przy wykonywaniu obowiązków wynikających z ustawy z dnia 20 lipca 2017 r. Prawo wodne</w:t>
      </w:r>
      <w:r w:rsidRPr="007F400A">
        <w:rPr>
          <w:iCs/>
          <w:color w:val="000000"/>
          <w:sz w:val="24"/>
          <w:szCs w:val="24"/>
        </w:rPr>
        <w:t xml:space="preserve"> </w:t>
      </w:r>
      <w:r w:rsidR="00A22034" w:rsidRPr="007F400A">
        <w:rPr>
          <w:iCs/>
          <w:color w:val="000000"/>
          <w:sz w:val="24"/>
          <w:szCs w:val="24"/>
        </w:rPr>
        <w:t>(1</w:t>
      </w:r>
      <w:r>
        <w:rPr>
          <w:iCs/>
          <w:color w:val="000000"/>
          <w:sz w:val="24"/>
          <w:szCs w:val="24"/>
          <w:lang w:val="pl-PL"/>
        </w:rPr>
        <w:t>9</w:t>
      </w:r>
      <w:r w:rsidR="00A22034" w:rsidRPr="007F400A">
        <w:rPr>
          <w:iCs/>
          <w:color w:val="000000"/>
          <w:sz w:val="24"/>
          <w:szCs w:val="24"/>
        </w:rPr>
        <w:t>.</w:t>
      </w:r>
      <w:r>
        <w:rPr>
          <w:iCs/>
          <w:color w:val="000000"/>
          <w:sz w:val="24"/>
          <w:szCs w:val="24"/>
          <w:lang w:val="pl-PL"/>
        </w:rPr>
        <w:t>09</w:t>
      </w:r>
      <w:r w:rsidR="00A22034" w:rsidRPr="007F400A">
        <w:rPr>
          <w:iCs/>
          <w:color w:val="000000"/>
          <w:sz w:val="24"/>
          <w:szCs w:val="24"/>
        </w:rPr>
        <w:t>.202</w:t>
      </w:r>
      <w:r>
        <w:rPr>
          <w:iCs/>
          <w:color w:val="000000"/>
          <w:sz w:val="24"/>
          <w:szCs w:val="24"/>
          <w:lang w:val="pl-PL"/>
        </w:rPr>
        <w:t>2</w:t>
      </w:r>
      <w:r w:rsidR="00A22034" w:rsidRPr="007F400A">
        <w:rPr>
          <w:iCs/>
          <w:color w:val="000000"/>
          <w:sz w:val="24"/>
          <w:szCs w:val="24"/>
        </w:rPr>
        <w:t xml:space="preserve"> r.)</w:t>
      </w:r>
      <w:r w:rsidR="005E799B" w:rsidRPr="007F400A">
        <w:rPr>
          <w:iCs/>
          <w:color w:val="000000"/>
          <w:sz w:val="24"/>
          <w:szCs w:val="24"/>
        </w:rPr>
        <w:t>,</w:t>
      </w:r>
    </w:p>
    <w:p w14:paraId="19BC36D0" w14:textId="3C746E2A" w:rsidR="00A22034" w:rsidRPr="007F400A" w:rsidRDefault="00A06ACC" w:rsidP="00D34F97">
      <w:pPr>
        <w:pStyle w:val="Akapitzlist"/>
        <w:numPr>
          <w:ilvl w:val="0"/>
          <w:numId w:val="151"/>
        </w:numPr>
        <w:spacing w:after="200" w:line="300" w:lineRule="atLeast"/>
        <w:jc w:val="both"/>
        <w:rPr>
          <w:color w:val="000000"/>
          <w:sz w:val="24"/>
          <w:szCs w:val="24"/>
        </w:rPr>
      </w:pPr>
      <w:r>
        <w:rPr>
          <w:iCs/>
          <w:sz w:val="24"/>
          <w:szCs w:val="24"/>
          <w:lang w:val="pl-PL"/>
        </w:rPr>
        <w:t xml:space="preserve">porozumienie między </w:t>
      </w:r>
      <w:r w:rsidRPr="00A06ACC">
        <w:rPr>
          <w:iCs/>
          <w:sz w:val="24"/>
          <w:szCs w:val="24"/>
        </w:rPr>
        <w:t>Opolski</w:t>
      </w:r>
      <w:r>
        <w:rPr>
          <w:iCs/>
          <w:sz w:val="24"/>
          <w:szCs w:val="24"/>
          <w:lang w:val="pl-PL"/>
        </w:rPr>
        <w:t>m</w:t>
      </w:r>
      <w:r w:rsidRPr="00A06ACC">
        <w:rPr>
          <w:iCs/>
          <w:sz w:val="24"/>
          <w:szCs w:val="24"/>
        </w:rPr>
        <w:t xml:space="preserve"> Wojewódzki</w:t>
      </w:r>
      <w:r>
        <w:rPr>
          <w:iCs/>
          <w:sz w:val="24"/>
          <w:szCs w:val="24"/>
          <w:lang w:val="pl-PL"/>
        </w:rPr>
        <w:t>m</w:t>
      </w:r>
      <w:r w:rsidRPr="00A06ACC">
        <w:rPr>
          <w:iCs/>
          <w:sz w:val="24"/>
          <w:szCs w:val="24"/>
        </w:rPr>
        <w:t xml:space="preserve"> Inspektor</w:t>
      </w:r>
      <w:r>
        <w:rPr>
          <w:iCs/>
          <w:sz w:val="24"/>
          <w:szCs w:val="24"/>
          <w:lang w:val="pl-PL"/>
        </w:rPr>
        <w:t>em</w:t>
      </w:r>
      <w:r w:rsidRPr="00A06ACC">
        <w:rPr>
          <w:iCs/>
          <w:sz w:val="24"/>
          <w:szCs w:val="24"/>
        </w:rPr>
        <w:t xml:space="preserve"> Ochrony Środowiska</w:t>
      </w:r>
      <w:r>
        <w:rPr>
          <w:iCs/>
          <w:sz w:val="24"/>
          <w:szCs w:val="24"/>
          <w:lang w:val="pl-PL"/>
        </w:rPr>
        <w:t>,</w:t>
      </w:r>
      <w:r w:rsidRPr="00A06ACC">
        <w:rPr>
          <w:iCs/>
          <w:sz w:val="24"/>
          <w:szCs w:val="24"/>
        </w:rPr>
        <w:t xml:space="preserve"> Dyrektorem Izby Administracji Skarbowej w Opolu i Komendantem Śląskiego Oddziału Straży Granicznej w Raciborzu o współdziałaniu w zakresie kontroli międzynarodowego przemieszczania odpadów</w:t>
      </w:r>
      <w:r w:rsidR="005E799B" w:rsidRPr="007F400A">
        <w:rPr>
          <w:color w:val="000000"/>
          <w:sz w:val="24"/>
          <w:szCs w:val="24"/>
        </w:rPr>
        <w:t>,</w:t>
      </w:r>
    </w:p>
    <w:p w14:paraId="3B7C537D" w14:textId="77777777" w:rsidR="00A22034" w:rsidRPr="007F400A" w:rsidRDefault="00A22034" w:rsidP="00A22034">
      <w:pPr>
        <w:pStyle w:val="Akapitzlist"/>
        <w:spacing w:line="300" w:lineRule="atLeast"/>
        <w:ind w:left="780"/>
        <w:jc w:val="both"/>
        <w:rPr>
          <w:color w:val="000000"/>
          <w:sz w:val="24"/>
          <w:szCs w:val="24"/>
        </w:rPr>
      </w:pPr>
    </w:p>
    <w:p w14:paraId="2B9BC77D" w14:textId="393FD338" w:rsidR="00A22034" w:rsidRPr="007F400A" w:rsidRDefault="00613EB9" w:rsidP="00613EB9">
      <w:pPr>
        <w:spacing w:after="0" w:line="300" w:lineRule="atLeast"/>
        <w:ind w:left="510" w:hanging="510"/>
        <w:jc w:val="both"/>
        <w:outlineLvl w:val="0"/>
        <w:rPr>
          <w:b/>
          <w:color w:val="000000" w:themeColor="text1"/>
          <w:sz w:val="24"/>
          <w:szCs w:val="24"/>
          <w:u w:val="single"/>
        </w:rPr>
      </w:pPr>
      <w:bookmarkStart w:id="359" w:name="_Toc99469625"/>
      <w:bookmarkStart w:id="360" w:name="_Toc135935687"/>
      <w:r w:rsidRPr="007F400A">
        <w:rPr>
          <w:rStyle w:val="Nagwek3Znak"/>
          <w:rFonts w:ascii="Times New Roman" w:eastAsia="Calibri" w:hAnsi="Times New Roman"/>
          <w:color w:val="000000" w:themeColor="text1"/>
          <w:sz w:val="24"/>
          <w:szCs w:val="24"/>
          <w:lang w:val="pl-PL"/>
        </w:rPr>
        <w:t xml:space="preserve">7.3. </w:t>
      </w:r>
      <w:r w:rsidR="00A22034" w:rsidRPr="007F400A">
        <w:rPr>
          <w:rStyle w:val="Nagwek3Znak"/>
          <w:rFonts w:ascii="Times New Roman" w:eastAsia="Calibri" w:hAnsi="Times New Roman"/>
          <w:color w:val="000000" w:themeColor="text1"/>
          <w:sz w:val="24"/>
          <w:szCs w:val="24"/>
        </w:rPr>
        <w:t>Działania i kampanie informacyjne w zakresie przeciwdziałania przestępczości środowiskowej</w:t>
      </w:r>
      <w:bookmarkEnd w:id="359"/>
      <w:r w:rsidR="00A22034" w:rsidRPr="007F400A">
        <w:rPr>
          <w:rStyle w:val="Nagwek3Znak"/>
          <w:rFonts w:ascii="Times New Roman" w:eastAsia="Calibri" w:hAnsi="Times New Roman"/>
          <w:color w:val="000000" w:themeColor="text1"/>
          <w:sz w:val="24"/>
          <w:szCs w:val="24"/>
        </w:rPr>
        <w:t xml:space="preserve"> prowadzone w 202</w:t>
      </w:r>
      <w:r w:rsidR="00CC26FA">
        <w:rPr>
          <w:rStyle w:val="Nagwek3Znak"/>
          <w:rFonts w:ascii="Times New Roman" w:eastAsia="Calibri" w:hAnsi="Times New Roman"/>
          <w:color w:val="000000" w:themeColor="text1"/>
          <w:sz w:val="24"/>
          <w:szCs w:val="24"/>
          <w:lang w:val="pl-PL"/>
        </w:rPr>
        <w:t>2</w:t>
      </w:r>
      <w:r w:rsidR="00A22034" w:rsidRPr="007F400A">
        <w:rPr>
          <w:rStyle w:val="Nagwek3Znak"/>
          <w:rFonts w:ascii="Times New Roman" w:eastAsia="Calibri" w:hAnsi="Times New Roman"/>
          <w:color w:val="000000" w:themeColor="text1"/>
          <w:sz w:val="24"/>
          <w:szCs w:val="24"/>
        </w:rPr>
        <w:t xml:space="preserve"> r.</w:t>
      </w:r>
      <w:bookmarkEnd w:id="360"/>
      <w:r w:rsidR="00A22034" w:rsidRPr="007F400A">
        <w:rPr>
          <w:rStyle w:val="Nagwek3Znak"/>
          <w:rFonts w:ascii="Times New Roman" w:eastAsia="Calibri" w:hAnsi="Times New Roman"/>
          <w:color w:val="000000" w:themeColor="text1"/>
          <w:sz w:val="24"/>
          <w:szCs w:val="24"/>
        </w:rPr>
        <w:t xml:space="preserve"> </w:t>
      </w:r>
    </w:p>
    <w:p w14:paraId="1240E187" w14:textId="6096D72B" w:rsidR="00A22034" w:rsidRPr="00224D2A" w:rsidRDefault="00A22034" w:rsidP="00BE1E44">
      <w:pPr>
        <w:spacing w:after="0" w:line="300" w:lineRule="atLeast"/>
        <w:jc w:val="both"/>
        <w:rPr>
          <w:rFonts w:ascii="Times New Roman" w:hAnsi="Times New Roman" w:cs="Times New Roman"/>
          <w:color w:val="000000"/>
          <w:sz w:val="24"/>
          <w:szCs w:val="24"/>
        </w:rPr>
      </w:pPr>
    </w:p>
    <w:p w14:paraId="682CF04F" w14:textId="77777777" w:rsidR="00224D2A" w:rsidRPr="00224D2A" w:rsidRDefault="00224D2A" w:rsidP="00224D2A">
      <w:pPr>
        <w:spacing w:after="60" w:line="300" w:lineRule="atLeast"/>
        <w:jc w:val="both"/>
        <w:rPr>
          <w:rFonts w:ascii="Times New Roman" w:hAnsi="Times New Roman" w:cs="Times New Roman"/>
          <w:i/>
          <w:color w:val="4472C4"/>
          <w:sz w:val="24"/>
          <w:szCs w:val="24"/>
        </w:rPr>
      </w:pPr>
      <w:r w:rsidRPr="00224D2A">
        <w:rPr>
          <w:rFonts w:ascii="Times New Roman" w:hAnsi="Times New Roman" w:cs="Times New Roman"/>
          <w:i/>
          <w:color w:val="4472C4"/>
          <w:sz w:val="24"/>
          <w:szCs w:val="24"/>
        </w:rPr>
        <w:t>Wojewódzki Inspektorat Ochrony Środowiska w Białymstoku</w:t>
      </w:r>
    </w:p>
    <w:p w14:paraId="15C985EF" w14:textId="6B125B70" w:rsidR="00CC26FA" w:rsidRPr="00224D2A" w:rsidRDefault="00224D2A" w:rsidP="00224D2A">
      <w:pPr>
        <w:spacing w:after="0" w:line="300" w:lineRule="atLeast"/>
        <w:ind w:firstLine="567"/>
        <w:jc w:val="both"/>
        <w:rPr>
          <w:rFonts w:ascii="Times New Roman" w:hAnsi="Times New Roman" w:cs="Times New Roman"/>
          <w:color w:val="000000"/>
          <w:sz w:val="24"/>
          <w:szCs w:val="24"/>
        </w:rPr>
      </w:pPr>
      <w:r w:rsidRPr="00224D2A">
        <w:rPr>
          <w:rFonts w:ascii="Times New Roman" w:hAnsi="Times New Roman" w:cs="Times New Roman"/>
          <w:iCs/>
          <w:sz w:val="24"/>
          <w:szCs w:val="24"/>
        </w:rPr>
        <w:t>Natomiast zagadnienia związane z przestępczością środowiskową były elementem prezentacji pt. „Zadania Inspekcji Ochrony Środowiska” w ramach konferencji „Sorry, taki mamy klimat” zorganizowanej dla młodzieży ze szkoły ponadpodstawowej w Dąbrowie Białostockiej</w:t>
      </w:r>
      <w:r>
        <w:rPr>
          <w:rFonts w:ascii="Times New Roman" w:hAnsi="Times New Roman" w:cs="Times New Roman"/>
          <w:iCs/>
          <w:sz w:val="24"/>
          <w:szCs w:val="24"/>
        </w:rPr>
        <w:t>.</w:t>
      </w:r>
    </w:p>
    <w:p w14:paraId="22344777" w14:textId="77777777" w:rsidR="00224D2A" w:rsidRPr="00224D2A" w:rsidRDefault="00224D2A" w:rsidP="00224D2A">
      <w:pPr>
        <w:spacing w:after="60" w:line="300" w:lineRule="atLeast"/>
        <w:jc w:val="both"/>
        <w:rPr>
          <w:rFonts w:ascii="Times New Roman" w:hAnsi="Times New Roman" w:cs="Times New Roman"/>
          <w:i/>
          <w:color w:val="4472C4"/>
          <w:sz w:val="24"/>
          <w:szCs w:val="24"/>
        </w:rPr>
      </w:pPr>
      <w:r w:rsidRPr="00224D2A">
        <w:rPr>
          <w:rFonts w:ascii="Times New Roman" w:hAnsi="Times New Roman" w:cs="Times New Roman"/>
          <w:i/>
          <w:color w:val="4472C4"/>
          <w:sz w:val="24"/>
          <w:szCs w:val="24"/>
        </w:rPr>
        <w:t>Wojewódzki Inspektorat Ochrony Środowiska w Bydgoszczy</w:t>
      </w:r>
    </w:p>
    <w:p w14:paraId="4AA65A73" w14:textId="77777777" w:rsidR="00224D2A" w:rsidRPr="00224D2A" w:rsidRDefault="00224D2A" w:rsidP="00224D2A">
      <w:pPr>
        <w:spacing w:line="300" w:lineRule="atLeast"/>
        <w:ind w:firstLine="567"/>
        <w:contextualSpacing/>
        <w:jc w:val="both"/>
        <w:rPr>
          <w:rFonts w:ascii="Times New Roman" w:hAnsi="Times New Roman" w:cs="Times New Roman"/>
          <w:iCs/>
          <w:sz w:val="24"/>
          <w:szCs w:val="24"/>
        </w:rPr>
      </w:pPr>
      <w:r w:rsidRPr="00224D2A">
        <w:rPr>
          <w:rFonts w:ascii="Times New Roman" w:hAnsi="Times New Roman" w:cs="Times New Roman"/>
          <w:iCs/>
          <w:sz w:val="24"/>
          <w:szCs w:val="24"/>
        </w:rPr>
        <w:t xml:space="preserve">W ramach działań informacyjnych w WIOŚ w Bydgoszczy prowadzona jest strona internetowa oraz profil na </w:t>
      </w:r>
      <w:proofErr w:type="spellStart"/>
      <w:r w:rsidRPr="00224D2A">
        <w:rPr>
          <w:rFonts w:ascii="Times New Roman" w:hAnsi="Times New Roman" w:cs="Times New Roman"/>
          <w:iCs/>
          <w:sz w:val="24"/>
          <w:szCs w:val="24"/>
        </w:rPr>
        <w:t>facebooku</w:t>
      </w:r>
      <w:proofErr w:type="spellEnd"/>
      <w:r w:rsidRPr="00224D2A">
        <w:rPr>
          <w:rFonts w:ascii="Times New Roman" w:hAnsi="Times New Roman" w:cs="Times New Roman"/>
          <w:iCs/>
          <w:sz w:val="24"/>
          <w:szCs w:val="24"/>
        </w:rPr>
        <w:t>, na których zamieszczane są bieżące komunikaty informacyjne dotyczące m.in. walki z przestępczością środowiskową.</w:t>
      </w:r>
    </w:p>
    <w:p w14:paraId="6AE8CCC9" w14:textId="77777777" w:rsidR="00224D2A" w:rsidRPr="00224D2A" w:rsidRDefault="00224D2A" w:rsidP="00224D2A">
      <w:pPr>
        <w:spacing w:line="300" w:lineRule="atLeast"/>
        <w:ind w:left="284" w:firstLine="567"/>
        <w:contextualSpacing/>
        <w:jc w:val="center"/>
        <w:rPr>
          <w:rFonts w:ascii="Times New Roman" w:hAnsi="Times New Roman" w:cs="Times New Roman"/>
          <w:noProof/>
          <w:sz w:val="24"/>
          <w:szCs w:val="24"/>
        </w:rPr>
      </w:pPr>
    </w:p>
    <w:p w14:paraId="00052127" w14:textId="6DA1B139" w:rsidR="00224D2A" w:rsidRPr="00224D2A" w:rsidRDefault="00224D2A" w:rsidP="00715A1A">
      <w:pPr>
        <w:spacing w:line="300" w:lineRule="atLeast"/>
        <w:ind w:left="284"/>
        <w:contextualSpacing/>
        <w:jc w:val="center"/>
        <w:rPr>
          <w:rFonts w:ascii="Times New Roman" w:hAnsi="Times New Roman" w:cs="Times New Roman"/>
          <w:i/>
          <w:sz w:val="24"/>
          <w:szCs w:val="24"/>
        </w:rPr>
      </w:pPr>
      <w:r w:rsidRPr="00224D2A">
        <w:rPr>
          <w:rFonts w:ascii="Times New Roman" w:hAnsi="Times New Roman" w:cs="Times New Roman"/>
          <w:i/>
          <w:noProof/>
          <w:sz w:val="24"/>
          <w:szCs w:val="24"/>
          <w:lang w:eastAsia="pl-PL"/>
        </w:rPr>
        <w:drawing>
          <wp:inline distT="0" distB="0" distL="0" distR="0" wp14:anchorId="3DC3DB0E" wp14:editId="4FEA7502">
            <wp:extent cx="4314825" cy="2628900"/>
            <wp:effectExtent l="0" t="0" r="9525" b="0"/>
            <wp:docPr id="26" name="Obraz 26" descr="Zdjęcie 56. Zrzut z ekranu przedstawiający stronę internetową WIOŚ w Bydgoszc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descr="Zdjęcie 56. Zrzut z ekranu przedstawiający stronę internetową WIOŚ w Bydgoszczy"/>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14825" cy="2628900"/>
                    </a:xfrm>
                    <a:prstGeom prst="rect">
                      <a:avLst/>
                    </a:prstGeom>
                    <a:noFill/>
                    <a:ln>
                      <a:noFill/>
                    </a:ln>
                  </pic:spPr>
                </pic:pic>
              </a:graphicData>
            </a:graphic>
          </wp:inline>
        </w:drawing>
      </w:r>
    </w:p>
    <w:p w14:paraId="5FD57875" w14:textId="16AAB9F0" w:rsidR="00224D2A" w:rsidRPr="00224D2A" w:rsidRDefault="00B4113E" w:rsidP="00224D2A">
      <w:pPr>
        <w:spacing w:line="300" w:lineRule="atLeast"/>
        <w:ind w:left="284"/>
        <w:contextualSpacing/>
        <w:jc w:val="center"/>
        <w:rPr>
          <w:rFonts w:ascii="Times New Roman" w:hAnsi="Times New Roman" w:cs="Times New Roman"/>
          <w:b/>
          <w:iCs/>
        </w:rPr>
      </w:pPr>
      <w:r>
        <w:rPr>
          <w:rFonts w:ascii="Times New Roman" w:hAnsi="Times New Roman" w:cs="Times New Roman"/>
          <w:b/>
          <w:iCs/>
        </w:rPr>
        <w:t xml:space="preserve">Zdjęcie </w:t>
      </w:r>
      <w:r w:rsidR="001A642C">
        <w:rPr>
          <w:rFonts w:ascii="Times New Roman" w:hAnsi="Times New Roman" w:cs="Times New Roman"/>
          <w:b/>
          <w:iCs/>
        </w:rPr>
        <w:t>5</w:t>
      </w:r>
      <w:r w:rsidR="00CB5B9A">
        <w:rPr>
          <w:rFonts w:ascii="Times New Roman" w:hAnsi="Times New Roman" w:cs="Times New Roman"/>
          <w:b/>
          <w:iCs/>
        </w:rPr>
        <w:t>6</w:t>
      </w:r>
      <w:r>
        <w:rPr>
          <w:rFonts w:ascii="Times New Roman" w:hAnsi="Times New Roman" w:cs="Times New Roman"/>
          <w:b/>
          <w:iCs/>
        </w:rPr>
        <w:t xml:space="preserve">. </w:t>
      </w:r>
      <w:r w:rsidR="00224D2A" w:rsidRPr="00224D2A">
        <w:rPr>
          <w:rFonts w:ascii="Times New Roman" w:hAnsi="Times New Roman" w:cs="Times New Roman"/>
          <w:b/>
          <w:iCs/>
        </w:rPr>
        <w:t>Zrzut z ekranu przedstawiający stronę internetową WIOŚ w Bydgoszczy</w:t>
      </w:r>
    </w:p>
    <w:p w14:paraId="1B7B0F8D" w14:textId="77777777" w:rsidR="00224D2A" w:rsidRPr="00224D2A" w:rsidRDefault="00224D2A" w:rsidP="00224D2A">
      <w:pPr>
        <w:spacing w:line="300" w:lineRule="atLeast"/>
        <w:ind w:left="284"/>
        <w:contextualSpacing/>
        <w:jc w:val="both"/>
        <w:rPr>
          <w:rFonts w:ascii="Times New Roman" w:hAnsi="Times New Roman" w:cs="Times New Roman"/>
          <w:i/>
          <w:sz w:val="24"/>
          <w:szCs w:val="24"/>
        </w:rPr>
      </w:pPr>
    </w:p>
    <w:p w14:paraId="5B105CE7" w14:textId="3EA0A441" w:rsidR="00224D2A" w:rsidRPr="00224D2A" w:rsidRDefault="00224D2A" w:rsidP="00224D2A">
      <w:pPr>
        <w:spacing w:line="300" w:lineRule="atLeast"/>
        <w:ind w:left="284"/>
        <w:contextualSpacing/>
        <w:jc w:val="center"/>
        <w:rPr>
          <w:rFonts w:ascii="Times New Roman" w:hAnsi="Times New Roman" w:cs="Times New Roman"/>
          <w:sz w:val="24"/>
          <w:szCs w:val="24"/>
        </w:rPr>
      </w:pPr>
      <w:r w:rsidRPr="00224D2A">
        <w:rPr>
          <w:rFonts w:ascii="Times New Roman" w:hAnsi="Times New Roman" w:cs="Times New Roman"/>
          <w:noProof/>
          <w:sz w:val="24"/>
          <w:szCs w:val="24"/>
          <w:lang w:eastAsia="pl-PL"/>
        </w:rPr>
        <w:lastRenderedPageBreak/>
        <w:drawing>
          <wp:inline distT="0" distB="0" distL="0" distR="0" wp14:anchorId="1DB775F0" wp14:editId="50C19967">
            <wp:extent cx="2120907" cy="4143375"/>
            <wp:effectExtent l="0" t="0" r="0" b="0"/>
            <wp:docPr id="3" name="Obraz 3" descr="Zdjęcie 57. Zrzut z ekranu przedstawiający profil WIOŚ w Bydgoszczy na Facebo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Zdjęcie 57. Zrzut z ekranu przedstawiający profil WIOŚ w Bydgoszczy na Facebooku"/>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23636" cy="4148706"/>
                    </a:xfrm>
                    <a:prstGeom prst="rect">
                      <a:avLst/>
                    </a:prstGeom>
                    <a:noFill/>
                    <a:ln>
                      <a:noFill/>
                    </a:ln>
                  </pic:spPr>
                </pic:pic>
              </a:graphicData>
            </a:graphic>
          </wp:inline>
        </w:drawing>
      </w:r>
    </w:p>
    <w:p w14:paraId="72C0E743" w14:textId="1A85B62E" w:rsidR="00A22034" w:rsidRDefault="00B4113E" w:rsidP="00224D2A">
      <w:pPr>
        <w:spacing w:after="0" w:line="300" w:lineRule="atLeast"/>
        <w:ind w:firstLine="567"/>
        <w:jc w:val="both"/>
        <w:rPr>
          <w:rFonts w:ascii="Times New Roman" w:hAnsi="Times New Roman" w:cs="Times New Roman"/>
          <w:b/>
        </w:rPr>
      </w:pPr>
      <w:r>
        <w:rPr>
          <w:rFonts w:ascii="Times New Roman" w:hAnsi="Times New Roman" w:cs="Times New Roman"/>
          <w:b/>
        </w:rPr>
        <w:t xml:space="preserve">Zdjęcie </w:t>
      </w:r>
      <w:r w:rsidR="001A642C">
        <w:rPr>
          <w:rFonts w:ascii="Times New Roman" w:hAnsi="Times New Roman" w:cs="Times New Roman"/>
          <w:b/>
        </w:rPr>
        <w:t>5</w:t>
      </w:r>
      <w:r w:rsidR="00CB5B9A">
        <w:rPr>
          <w:rFonts w:ascii="Times New Roman" w:hAnsi="Times New Roman" w:cs="Times New Roman"/>
          <w:b/>
        </w:rPr>
        <w:t>7</w:t>
      </w:r>
      <w:r>
        <w:rPr>
          <w:rFonts w:ascii="Times New Roman" w:hAnsi="Times New Roman" w:cs="Times New Roman"/>
          <w:b/>
        </w:rPr>
        <w:t xml:space="preserve">. </w:t>
      </w:r>
      <w:r w:rsidR="00224D2A" w:rsidRPr="00224D2A">
        <w:rPr>
          <w:rFonts w:ascii="Times New Roman" w:hAnsi="Times New Roman" w:cs="Times New Roman"/>
          <w:b/>
        </w:rPr>
        <w:t>Zrzut z ekranu przedstawiający profil WIOŚ w Bydgoszczy na Facebooku</w:t>
      </w:r>
    </w:p>
    <w:p w14:paraId="33085063" w14:textId="77777777" w:rsidR="001B43F0" w:rsidRPr="00224D2A" w:rsidRDefault="001B43F0" w:rsidP="00224D2A">
      <w:pPr>
        <w:spacing w:after="0" w:line="300" w:lineRule="atLeast"/>
        <w:ind w:firstLine="567"/>
        <w:jc w:val="both"/>
        <w:rPr>
          <w:rFonts w:ascii="Times New Roman" w:hAnsi="Times New Roman" w:cs="Times New Roman"/>
          <w:iCs/>
          <w:color w:val="000000"/>
          <w:sz w:val="24"/>
          <w:szCs w:val="24"/>
        </w:rPr>
      </w:pPr>
    </w:p>
    <w:p w14:paraId="201218D7" w14:textId="77777777" w:rsidR="00B4113E" w:rsidRPr="00B4113E" w:rsidRDefault="00B4113E" w:rsidP="00B4113E">
      <w:pPr>
        <w:spacing w:after="60" w:line="300" w:lineRule="atLeast"/>
        <w:jc w:val="both"/>
        <w:rPr>
          <w:rFonts w:ascii="Times New Roman" w:hAnsi="Times New Roman" w:cs="Times New Roman"/>
          <w:i/>
          <w:color w:val="4472C4"/>
          <w:sz w:val="24"/>
          <w:szCs w:val="24"/>
        </w:rPr>
      </w:pPr>
      <w:r w:rsidRPr="00B4113E">
        <w:rPr>
          <w:rFonts w:ascii="Times New Roman" w:hAnsi="Times New Roman" w:cs="Times New Roman"/>
          <w:i/>
          <w:color w:val="4472C4"/>
          <w:sz w:val="24"/>
          <w:szCs w:val="24"/>
        </w:rPr>
        <w:t>Wojewódzki Inspektorat Ochrony Środowiska w Gdańsku</w:t>
      </w:r>
    </w:p>
    <w:p w14:paraId="6267E19C" w14:textId="4C0A3EDD" w:rsidR="00A22034" w:rsidRPr="00B4113E" w:rsidRDefault="00B4113E" w:rsidP="00B4113E">
      <w:pPr>
        <w:spacing w:after="0" w:line="300" w:lineRule="atLeast"/>
        <w:ind w:firstLine="567"/>
        <w:jc w:val="both"/>
        <w:rPr>
          <w:rFonts w:ascii="Times New Roman" w:hAnsi="Times New Roman" w:cs="Times New Roman"/>
          <w:color w:val="000000" w:themeColor="text1"/>
          <w:sz w:val="24"/>
          <w:szCs w:val="24"/>
        </w:rPr>
      </w:pPr>
      <w:r w:rsidRPr="00B4113E">
        <w:rPr>
          <w:rFonts w:ascii="Times New Roman" w:hAnsi="Times New Roman" w:cs="Times New Roman"/>
          <w:color w:val="000000" w:themeColor="text1"/>
          <w:sz w:val="24"/>
          <w:szCs w:val="24"/>
        </w:rPr>
        <w:t xml:space="preserve">WIOŚ w Gdańsku prowadzi na bieżąco działania informacyjne w zakresie przeciwdziałania przestępczości środowiskowej przy wykorzystaniu różnych kanałów komunikacji. Do własnych środków przekazu należy strona internetowa Inspektoratu – zakładka „Aktualności” z podziałem na „Komunikaty” i „Działania inspektoratu”, jak również konta na portalach Facebook oraz Twitter. Tymi środkami komunikacji przekazywane są </w:t>
      </w:r>
      <w:r w:rsidRPr="00B4113E">
        <w:rPr>
          <w:rFonts w:ascii="Times New Roman" w:hAnsi="Times New Roman" w:cs="Times New Roman"/>
          <w:color w:val="000000" w:themeColor="text1"/>
          <w:sz w:val="24"/>
          <w:szCs w:val="24"/>
        </w:rPr>
        <w:br/>
        <w:t xml:space="preserve">w szczególności: informacje o prowadzonych akcjach prewencyjnych (kontrola ruchu drogowego w zakresie transportu odpadów) oraz sprawach o szczególnym znaczeniu dla środowiska (np. demontaż pojazdów wycofanych z eksploatacji, porzucanie odpadów, nielegalna rekultywacja  żwirowni). Informacje o przeprowadzonych działaniach są ujawniane z zachowaniem ochrony danych podmiotu, którego sprawa dotyczy. Równolegle WIOŚ </w:t>
      </w:r>
      <w:r w:rsidRPr="00B4113E">
        <w:rPr>
          <w:rFonts w:ascii="Times New Roman" w:hAnsi="Times New Roman" w:cs="Times New Roman"/>
          <w:color w:val="000000" w:themeColor="text1"/>
          <w:sz w:val="24"/>
          <w:szCs w:val="24"/>
        </w:rPr>
        <w:br/>
        <w:t xml:space="preserve">w Gdańsku pozostaje w kontakcie z mediami o zasięgu lokalnym oraz ogólnokrajowym, takimi jak prasa, radio, telewizja, portale internetowe, przekazując za ich pośrednictwem informacje </w:t>
      </w:r>
      <w:r w:rsidRPr="00B4113E">
        <w:rPr>
          <w:rFonts w:ascii="Times New Roman" w:hAnsi="Times New Roman" w:cs="Times New Roman"/>
          <w:color w:val="000000" w:themeColor="text1"/>
          <w:sz w:val="24"/>
          <w:szCs w:val="24"/>
        </w:rPr>
        <w:br/>
        <w:t xml:space="preserve">o podejmowanych działaniach nie tylko na wniosek przedstawicieli mediów, ale również </w:t>
      </w:r>
      <w:r w:rsidRPr="00B4113E">
        <w:rPr>
          <w:rFonts w:ascii="Times New Roman" w:hAnsi="Times New Roman" w:cs="Times New Roman"/>
          <w:color w:val="000000" w:themeColor="text1"/>
          <w:sz w:val="24"/>
          <w:szCs w:val="24"/>
        </w:rPr>
        <w:br/>
        <w:t>z urzędu. Informacje o przeprowadzonych działaniach są ujawniane zawsze w z góry określonym zakresie, często ograniczonym ze względu na dobro prowadzonych postępowań, oraz z zachowaniem ochrony danych podmiotu, którego sprawa dotyczy</w:t>
      </w:r>
      <w:r w:rsidR="00A22034" w:rsidRPr="00B4113E">
        <w:rPr>
          <w:rFonts w:ascii="Times New Roman" w:hAnsi="Times New Roman" w:cs="Times New Roman"/>
          <w:color w:val="000000" w:themeColor="text1"/>
          <w:sz w:val="24"/>
          <w:szCs w:val="24"/>
        </w:rPr>
        <w:t>.</w:t>
      </w:r>
    </w:p>
    <w:p w14:paraId="4646FAE2" w14:textId="77777777" w:rsidR="00A22034" w:rsidRPr="00B4113E" w:rsidRDefault="00A22034" w:rsidP="00BE1E44">
      <w:pPr>
        <w:spacing w:after="0" w:line="300" w:lineRule="atLeast"/>
        <w:jc w:val="both"/>
        <w:rPr>
          <w:rFonts w:ascii="Times New Roman" w:hAnsi="Times New Roman" w:cs="Times New Roman"/>
          <w:b/>
          <w:color w:val="000000" w:themeColor="text1"/>
          <w:sz w:val="24"/>
          <w:szCs w:val="24"/>
        </w:rPr>
      </w:pPr>
    </w:p>
    <w:p w14:paraId="3FD74321" w14:textId="77777777" w:rsidR="00B4113E" w:rsidRPr="00B4113E" w:rsidRDefault="00B4113E" w:rsidP="00B4113E">
      <w:pPr>
        <w:spacing w:after="60" w:line="300" w:lineRule="atLeast"/>
        <w:jc w:val="both"/>
        <w:rPr>
          <w:rFonts w:ascii="Times New Roman" w:hAnsi="Times New Roman" w:cs="Times New Roman"/>
          <w:i/>
          <w:color w:val="4472C4"/>
          <w:sz w:val="24"/>
          <w:szCs w:val="24"/>
        </w:rPr>
      </w:pPr>
      <w:r w:rsidRPr="00B4113E">
        <w:rPr>
          <w:rFonts w:ascii="Times New Roman" w:hAnsi="Times New Roman" w:cs="Times New Roman"/>
          <w:i/>
          <w:color w:val="4472C4"/>
          <w:sz w:val="24"/>
          <w:szCs w:val="24"/>
        </w:rPr>
        <w:t>Wojewódzki Inspektorat Ochrony Środowiska w Katowicach</w:t>
      </w:r>
    </w:p>
    <w:p w14:paraId="046636D0" w14:textId="4722947D" w:rsidR="00A22034" w:rsidRPr="00B4113E" w:rsidRDefault="00B4113E" w:rsidP="00B4113E">
      <w:pPr>
        <w:spacing w:after="0" w:line="300" w:lineRule="atLeast"/>
        <w:ind w:firstLine="567"/>
        <w:jc w:val="both"/>
        <w:rPr>
          <w:rFonts w:ascii="Times New Roman" w:hAnsi="Times New Roman" w:cs="Times New Roman"/>
          <w:color w:val="000000"/>
          <w:sz w:val="24"/>
          <w:szCs w:val="24"/>
        </w:rPr>
      </w:pPr>
      <w:r>
        <w:rPr>
          <w:rFonts w:ascii="Times New Roman" w:hAnsi="Times New Roman" w:cs="Times New Roman"/>
          <w:sz w:val="24"/>
          <w:szCs w:val="24"/>
        </w:rPr>
        <w:t>WIOŚ w Katowicach n</w:t>
      </w:r>
      <w:r w:rsidRPr="00B4113E">
        <w:rPr>
          <w:rFonts w:ascii="Times New Roman" w:hAnsi="Times New Roman" w:cs="Times New Roman"/>
          <w:sz w:val="24"/>
          <w:szCs w:val="24"/>
        </w:rPr>
        <w:t xml:space="preserve">a bieżąco </w:t>
      </w:r>
      <w:r>
        <w:rPr>
          <w:rFonts w:ascii="Times New Roman" w:hAnsi="Times New Roman" w:cs="Times New Roman"/>
          <w:sz w:val="24"/>
          <w:szCs w:val="24"/>
        </w:rPr>
        <w:t xml:space="preserve">zamieszczał </w:t>
      </w:r>
      <w:r w:rsidRPr="00B4113E">
        <w:rPr>
          <w:rFonts w:ascii="Times New Roman" w:hAnsi="Times New Roman" w:cs="Times New Roman"/>
          <w:sz w:val="24"/>
          <w:szCs w:val="24"/>
        </w:rPr>
        <w:t>inform</w:t>
      </w:r>
      <w:r>
        <w:rPr>
          <w:rFonts w:ascii="Times New Roman" w:hAnsi="Times New Roman" w:cs="Times New Roman"/>
          <w:sz w:val="24"/>
          <w:szCs w:val="24"/>
        </w:rPr>
        <w:t>acje</w:t>
      </w:r>
      <w:r w:rsidRPr="00B4113E">
        <w:rPr>
          <w:rFonts w:ascii="Times New Roman" w:hAnsi="Times New Roman" w:cs="Times New Roman"/>
          <w:sz w:val="24"/>
          <w:szCs w:val="24"/>
        </w:rPr>
        <w:t xml:space="preserve"> na </w:t>
      </w:r>
      <w:r>
        <w:rPr>
          <w:rFonts w:ascii="Times New Roman" w:hAnsi="Times New Roman" w:cs="Times New Roman"/>
          <w:sz w:val="24"/>
          <w:szCs w:val="24"/>
        </w:rPr>
        <w:t xml:space="preserve">swojej </w:t>
      </w:r>
      <w:r w:rsidRPr="00B4113E">
        <w:rPr>
          <w:rFonts w:ascii="Times New Roman" w:hAnsi="Times New Roman" w:cs="Times New Roman"/>
          <w:sz w:val="24"/>
          <w:szCs w:val="24"/>
        </w:rPr>
        <w:t xml:space="preserve">stronie internetowej o przeprowadzonych akcjach kontrolnych, w celu zwiększenia świadomości społeczeństwa </w:t>
      </w:r>
      <w:r>
        <w:rPr>
          <w:rFonts w:ascii="Times New Roman" w:hAnsi="Times New Roman" w:cs="Times New Roman"/>
          <w:sz w:val="24"/>
          <w:szCs w:val="24"/>
        </w:rPr>
        <w:br/>
        <w:t xml:space="preserve">w zakresie </w:t>
      </w:r>
      <w:r w:rsidRPr="00B4113E">
        <w:rPr>
          <w:rFonts w:ascii="Times New Roman" w:hAnsi="Times New Roman" w:cs="Times New Roman"/>
          <w:sz w:val="24"/>
          <w:szCs w:val="24"/>
        </w:rPr>
        <w:t xml:space="preserve">stosowanych praktyk przestępczych. </w:t>
      </w:r>
      <w:r>
        <w:rPr>
          <w:rFonts w:ascii="Times New Roman" w:hAnsi="Times New Roman" w:cs="Times New Roman"/>
          <w:sz w:val="24"/>
          <w:szCs w:val="24"/>
        </w:rPr>
        <w:t>Przedstawiciele WIOŚ b</w:t>
      </w:r>
      <w:r w:rsidRPr="00B4113E">
        <w:rPr>
          <w:rFonts w:ascii="Times New Roman" w:hAnsi="Times New Roman" w:cs="Times New Roman"/>
          <w:sz w:val="24"/>
          <w:szCs w:val="24"/>
        </w:rPr>
        <w:t>ra</w:t>
      </w:r>
      <w:r>
        <w:rPr>
          <w:rFonts w:ascii="Times New Roman" w:hAnsi="Times New Roman" w:cs="Times New Roman"/>
          <w:sz w:val="24"/>
          <w:szCs w:val="24"/>
        </w:rPr>
        <w:t>li</w:t>
      </w:r>
      <w:r w:rsidRPr="00B4113E">
        <w:rPr>
          <w:rFonts w:ascii="Times New Roman" w:hAnsi="Times New Roman" w:cs="Times New Roman"/>
          <w:sz w:val="24"/>
          <w:szCs w:val="24"/>
        </w:rPr>
        <w:t xml:space="preserve"> udział </w:t>
      </w:r>
      <w:r>
        <w:rPr>
          <w:rFonts w:ascii="Times New Roman" w:hAnsi="Times New Roman" w:cs="Times New Roman"/>
          <w:sz w:val="24"/>
          <w:szCs w:val="24"/>
        </w:rPr>
        <w:br/>
      </w:r>
      <w:r w:rsidRPr="00B4113E">
        <w:rPr>
          <w:rFonts w:ascii="Times New Roman" w:hAnsi="Times New Roman" w:cs="Times New Roman"/>
          <w:sz w:val="24"/>
          <w:szCs w:val="24"/>
        </w:rPr>
        <w:lastRenderedPageBreak/>
        <w:t xml:space="preserve">w spotkaniach </w:t>
      </w:r>
      <w:r>
        <w:rPr>
          <w:rFonts w:ascii="Times New Roman" w:hAnsi="Times New Roman" w:cs="Times New Roman"/>
          <w:sz w:val="24"/>
          <w:szCs w:val="24"/>
        </w:rPr>
        <w:t xml:space="preserve">w </w:t>
      </w:r>
      <w:r w:rsidRPr="00B4113E">
        <w:rPr>
          <w:rFonts w:ascii="Times New Roman" w:hAnsi="Times New Roman" w:cs="Times New Roman"/>
          <w:sz w:val="24"/>
          <w:szCs w:val="24"/>
        </w:rPr>
        <w:t>ramach posiedzenia Polskiej Izby Ekologii i Związku Gmin i Powiatów Województwa Śląskiego, na których wygł</w:t>
      </w:r>
      <w:r>
        <w:rPr>
          <w:rFonts w:ascii="Times New Roman" w:hAnsi="Times New Roman" w:cs="Times New Roman"/>
          <w:sz w:val="24"/>
          <w:szCs w:val="24"/>
        </w:rPr>
        <w:t>a</w:t>
      </w:r>
      <w:r w:rsidRPr="00B4113E">
        <w:rPr>
          <w:rFonts w:ascii="Times New Roman" w:hAnsi="Times New Roman" w:cs="Times New Roman"/>
          <w:sz w:val="24"/>
          <w:szCs w:val="24"/>
        </w:rPr>
        <w:t>sz</w:t>
      </w:r>
      <w:r>
        <w:rPr>
          <w:rFonts w:ascii="Times New Roman" w:hAnsi="Times New Roman" w:cs="Times New Roman"/>
          <w:sz w:val="24"/>
          <w:szCs w:val="24"/>
        </w:rPr>
        <w:t>ali</w:t>
      </w:r>
      <w:r w:rsidRPr="00B4113E">
        <w:rPr>
          <w:rFonts w:ascii="Times New Roman" w:hAnsi="Times New Roman" w:cs="Times New Roman"/>
          <w:sz w:val="24"/>
          <w:szCs w:val="24"/>
        </w:rPr>
        <w:t xml:space="preserve"> prezentacj</w:t>
      </w:r>
      <w:r>
        <w:rPr>
          <w:rFonts w:ascii="Times New Roman" w:hAnsi="Times New Roman" w:cs="Times New Roman"/>
          <w:sz w:val="24"/>
          <w:szCs w:val="24"/>
        </w:rPr>
        <w:t>e</w:t>
      </w:r>
      <w:r w:rsidRPr="00B4113E">
        <w:rPr>
          <w:rFonts w:ascii="Times New Roman" w:hAnsi="Times New Roman" w:cs="Times New Roman"/>
          <w:sz w:val="24"/>
          <w:szCs w:val="24"/>
        </w:rPr>
        <w:t xml:space="preserve"> o aktualnych problemach związanych z gospodarką odpadami</w:t>
      </w:r>
      <w:r w:rsidR="00A22034" w:rsidRPr="00B4113E">
        <w:rPr>
          <w:rFonts w:ascii="Times New Roman" w:hAnsi="Times New Roman" w:cs="Times New Roman"/>
          <w:color w:val="000000"/>
          <w:sz w:val="24"/>
          <w:szCs w:val="24"/>
        </w:rPr>
        <w:t>.</w:t>
      </w:r>
    </w:p>
    <w:p w14:paraId="60518248" w14:textId="77777777" w:rsidR="00A22034" w:rsidRPr="007F400A" w:rsidRDefault="00A22034" w:rsidP="00BE1E44">
      <w:pPr>
        <w:spacing w:after="0" w:line="300" w:lineRule="atLeast"/>
        <w:jc w:val="both"/>
        <w:rPr>
          <w:rFonts w:ascii="Times New Roman" w:hAnsi="Times New Roman" w:cs="Times New Roman"/>
          <w:b/>
          <w:color w:val="000000"/>
          <w:sz w:val="24"/>
          <w:szCs w:val="24"/>
        </w:rPr>
      </w:pPr>
    </w:p>
    <w:p w14:paraId="15006022" w14:textId="77777777" w:rsidR="00B4113E" w:rsidRPr="00B4113E" w:rsidRDefault="00B4113E" w:rsidP="00B4113E">
      <w:pPr>
        <w:spacing w:after="60" w:line="300" w:lineRule="atLeast"/>
        <w:jc w:val="both"/>
        <w:rPr>
          <w:rFonts w:ascii="Times New Roman" w:hAnsi="Times New Roman" w:cs="Times New Roman"/>
          <w:i/>
          <w:color w:val="4472C4"/>
          <w:sz w:val="24"/>
          <w:szCs w:val="24"/>
        </w:rPr>
      </w:pPr>
      <w:r w:rsidRPr="00B4113E">
        <w:rPr>
          <w:rFonts w:ascii="Times New Roman" w:hAnsi="Times New Roman" w:cs="Times New Roman"/>
          <w:i/>
          <w:color w:val="4472C4"/>
          <w:sz w:val="24"/>
          <w:szCs w:val="24"/>
        </w:rPr>
        <w:t>Wojewódzki Inspektorat Ochrony Środowiska w Kielcach</w:t>
      </w:r>
    </w:p>
    <w:p w14:paraId="4A74B472" w14:textId="6100AD12" w:rsidR="00B4113E" w:rsidRDefault="00B4113E" w:rsidP="00B4113E">
      <w:pPr>
        <w:spacing w:line="300" w:lineRule="atLeast"/>
        <w:ind w:firstLine="567"/>
        <w:contextualSpacing/>
        <w:jc w:val="both"/>
        <w:rPr>
          <w:rFonts w:ascii="Times New Roman" w:hAnsi="Times New Roman" w:cs="Times New Roman"/>
          <w:iCs/>
          <w:sz w:val="24"/>
          <w:szCs w:val="24"/>
        </w:rPr>
      </w:pPr>
      <w:r w:rsidRPr="00B4113E">
        <w:rPr>
          <w:rFonts w:ascii="Times New Roman" w:hAnsi="Times New Roman" w:cs="Times New Roman"/>
          <w:iCs/>
          <w:sz w:val="24"/>
          <w:szCs w:val="24"/>
        </w:rPr>
        <w:t>WIOŚ w Kielcach na bieżąco informuje opinię publiczną oraz media o wykrytych przestępstwach i wykroczeniach przeciwko środowisku, za pośrednictwem strony internetowej oraz platformy Twitter. Dodatkowo ŚWIOŚ udziela wywiadów dla mediów, w celu przekazania informacji o istotnych zdarzeniach mających miejsce na terenie województwa świętokrzyskiego. Z przekazanych informacji redaktorzy przygotowują materiał, który ukazuje się w prasie tradycyjnej, telewizji oraz na platformach internetowych.</w:t>
      </w:r>
    </w:p>
    <w:p w14:paraId="71FC73D6" w14:textId="77777777" w:rsidR="001B43F0" w:rsidRPr="00B4113E" w:rsidRDefault="001B43F0" w:rsidP="00B4113E">
      <w:pPr>
        <w:spacing w:line="300" w:lineRule="atLeast"/>
        <w:ind w:firstLine="567"/>
        <w:contextualSpacing/>
        <w:jc w:val="both"/>
        <w:rPr>
          <w:rFonts w:ascii="Times New Roman" w:hAnsi="Times New Roman" w:cs="Times New Roman"/>
          <w:iCs/>
          <w:sz w:val="24"/>
          <w:szCs w:val="24"/>
        </w:rPr>
      </w:pPr>
    </w:p>
    <w:p w14:paraId="7A3B46D0" w14:textId="692033BC" w:rsidR="00B4113E" w:rsidRPr="000C0753" w:rsidRDefault="00B4113E" w:rsidP="00F34493">
      <w:pPr>
        <w:spacing w:line="300" w:lineRule="atLeast"/>
        <w:ind w:left="426"/>
        <w:contextualSpacing/>
        <w:jc w:val="center"/>
        <w:rPr>
          <w:noProof/>
        </w:rPr>
      </w:pPr>
      <w:r w:rsidRPr="000C0753">
        <w:rPr>
          <w:noProof/>
          <w:lang w:eastAsia="pl-PL"/>
        </w:rPr>
        <w:drawing>
          <wp:inline distT="0" distB="0" distL="0" distR="0" wp14:anchorId="3ABA37ED" wp14:editId="14879912">
            <wp:extent cx="3989794" cy="2028825"/>
            <wp:effectExtent l="0" t="0" r="0" b="0"/>
            <wp:docPr id="28" name="Obraz 28" descr="Zdjęcie 58. Jeden z wywiadów udzielanych w sprawie nielegalnego obrotu odpad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28" descr="Zdjęcie 58. Jeden z wywiadów udzielanych w sprawie nielegalnego obrotu odpadami"/>
                    <pic:cNvPicPr>
                      <a:picLocks noChangeAspect="1" noChangeArrowheads="1"/>
                    </pic:cNvPicPr>
                  </pic:nvPicPr>
                  <pic:blipFill>
                    <a:blip r:embed="rId90" cstate="print">
                      <a:lum bright="-20000"/>
                      <a:extLst>
                        <a:ext uri="{28A0092B-C50C-407E-A947-70E740481C1C}">
                          <a14:useLocalDpi xmlns:a14="http://schemas.microsoft.com/office/drawing/2010/main" val="0"/>
                        </a:ext>
                      </a:extLst>
                    </a:blip>
                    <a:srcRect/>
                    <a:stretch>
                      <a:fillRect/>
                    </a:stretch>
                  </pic:blipFill>
                  <pic:spPr bwMode="auto">
                    <a:xfrm>
                      <a:off x="0" y="0"/>
                      <a:ext cx="4010233" cy="2039219"/>
                    </a:xfrm>
                    <a:prstGeom prst="rect">
                      <a:avLst/>
                    </a:prstGeom>
                    <a:noFill/>
                    <a:ln>
                      <a:noFill/>
                    </a:ln>
                  </pic:spPr>
                </pic:pic>
              </a:graphicData>
            </a:graphic>
          </wp:inline>
        </w:drawing>
      </w:r>
    </w:p>
    <w:p w14:paraId="6910AE0A" w14:textId="344FF4AD" w:rsidR="001B43F0" w:rsidRDefault="00B4113E" w:rsidP="00F34493">
      <w:pPr>
        <w:spacing w:line="300" w:lineRule="atLeast"/>
        <w:ind w:left="426"/>
        <w:contextualSpacing/>
        <w:jc w:val="center"/>
        <w:rPr>
          <w:rFonts w:ascii="Times New Roman" w:hAnsi="Times New Roman" w:cs="Times New Roman"/>
          <w:b/>
          <w:iCs/>
          <w:noProof/>
        </w:rPr>
      </w:pPr>
      <w:r>
        <w:rPr>
          <w:rFonts w:ascii="Times New Roman" w:hAnsi="Times New Roman" w:cs="Times New Roman"/>
          <w:b/>
          <w:iCs/>
          <w:noProof/>
        </w:rPr>
        <w:t xml:space="preserve">Zdjęcie </w:t>
      </w:r>
      <w:r w:rsidR="001A642C">
        <w:rPr>
          <w:rFonts w:ascii="Times New Roman" w:hAnsi="Times New Roman" w:cs="Times New Roman"/>
          <w:b/>
          <w:iCs/>
          <w:noProof/>
        </w:rPr>
        <w:t>5</w:t>
      </w:r>
      <w:r w:rsidR="00CB5B9A">
        <w:rPr>
          <w:rFonts w:ascii="Times New Roman" w:hAnsi="Times New Roman" w:cs="Times New Roman"/>
          <w:b/>
          <w:iCs/>
          <w:noProof/>
        </w:rPr>
        <w:t>8</w:t>
      </w:r>
      <w:r>
        <w:rPr>
          <w:rFonts w:ascii="Times New Roman" w:hAnsi="Times New Roman" w:cs="Times New Roman"/>
          <w:b/>
          <w:iCs/>
          <w:noProof/>
        </w:rPr>
        <w:t xml:space="preserve">. </w:t>
      </w:r>
      <w:r w:rsidRPr="00B4113E">
        <w:rPr>
          <w:rFonts w:ascii="Times New Roman" w:hAnsi="Times New Roman" w:cs="Times New Roman"/>
          <w:b/>
          <w:iCs/>
          <w:noProof/>
        </w:rPr>
        <w:t>Jeden z wywiadów udzielany</w:t>
      </w:r>
      <w:r w:rsidR="00715A1A">
        <w:rPr>
          <w:rFonts w:ascii="Times New Roman" w:hAnsi="Times New Roman" w:cs="Times New Roman"/>
          <w:b/>
          <w:iCs/>
          <w:noProof/>
        </w:rPr>
        <w:t>ch</w:t>
      </w:r>
      <w:r w:rsidRPr="00B4113E">
        <w:rPr>
          <w:rFonts w:ascii="Times New Roman" w:hAnsi="Times New Roman" w:cs="Times New Roman"/>
          <w:b/>
          <w:iCs/>
          <w:noProof/>
        </w:rPr>
        <w:t xml:space="preserve"> w sprawie nielegalnego obrotu odpadami</w:t>
      </w:r>
    </w:p>
    <w:p w14:paraId="2D1C208E" w14:textId="77777777" w:rsidR="001B43F0" w:rsidRPr="000C0753" w:rsidRDefault="001B43F0" w:rsidP="00B4113E">
      <w:pPr>
        <w:spacing w:line="300" w:lineRule="atLeast"/>
        <w:ind w:left="426"/>
        <w:contextualSpacing/>
        <w:jc w:val="both"/>
        <w:rPr>
          <w:i/>
          <w:iCs/>
        </w:rPr>
      </w:pPr>
    </w:p>
    <w:p w14:paraId="583AA5C5" w14:textId="77777777" w:rsidR="00B162C3" w:rsidRPr="00B162C3" w:rsidRDefault="00B162C3" w:rsidP="00B162C3">
      <w:pPr>
        <w:spacing w:line="300" w:lineRule="atLeast"/>
        <w:contextualSpacing/>
        <w:jc w:val="both"/>
        <w:rPr>
          <w:rFonts w:ascii="Times New Roman" w:hAnsi="Times New Roman" w:cs="Times New Roman"/>
          <w:i/>
          <w:color w:val="4472C4"/>
          <w:sz w:val="24"/>
          <w:szCs w:val="24"/>
        </w:rPr>
      </w:pPr>
      <w:r w:rsidRPr="00B162C3">
        <w:rPr>
          <w:rFonts w:ascii="Times New Roman" w:hAnsi="Times New Roman" w:cs="Times New Roman"/>
          <w:i/>
          <w:color w:val="4472C4"/>
          <w:sz w:val="24"/>
          <w:szCs w:val="24"/>
        </w:rPr>
        <w:t>Wojewódzki Inspektorat Ochrony Środowiska w Krakowie</w:t>
      </w:r>
    </w:p>
    <w:p w14:paraId="172B4304" w14:textId="77777777" w:rsidR="00B162C3" w:rsidRDefault="00B162C3" w:rsidP="00B162C3">
      <w:pPr>
        <w:spacing w:after="0" w:line="300" w:lineRule="atLeast"/>
        <w:ind w:firstLine="567"/>
        <w:jc w:val="both"/>
        <w:rPr>
          <w:rFonts w:ascii="Times New Roman" w:hAnsi="Times New Roman" w:cs="Times New Roman"/>
          <w:sz w:val="24"/>
          <w:szCs w:val="24"/>
        </w:rPr>
      </w:pPr>
      <w:r w:rsidRPr="00B162C3">
        <w:rPr>
          <w:rFonts w:ascii="Times New Roman" w:hAnsi="Times New Roman" w:cs="Times New Roman"/>
          <w:sz w:val="24"/>
          <w:szCs w:val="24"/>
        </w:rPr>
        <w:t xml:space="preserve">Inspektorzy WIOŚ w Krakowie każdorazowo w trakcie </w:t>
      </w:r>
      <w:r>
        <w:rPr>
          <w:rFonts w:ascii="Times New Roman" w:hAnsi="Times New Roman" w:cs="Times New Roman"/>
          <w:sz w:val="24"/>
          <w:szCs w:val="24"/>
        </w:rPr>
        <w:t xml:space="preserve">realizowanych zadań </w:t>
      </w:r>
      <w:r w:rsidRPr="00B162C3">
        <w:rPr>
          <w:rFonts w:ascii="Times New Roman" w:hAnsi="Times New Roman" w:cs="Times New Roman"/>
          <w:sz w:val="24"/>
          <w:szCs w:val="24"/>
        </w:rPr>
        <w:t xml:space="preserve">prowadzą edukację kontrolowanych w zakresie przestrzegania przepisów ochrony środowiska, w tym przekazują ogólne informacje o intensyfikacji działań w zakresie przeciwdziałania przestępczości przeciwko środowisku, jak również zachęcają do zgłaszania do WIOŚ informacji o podejrzeniach </w:t>
      </w:r>
      <w:r>
        <w:rPr>
          <w:rFonts w:ascii="Times New Roman" w:hAnsi="Times New Roman" w:cs="Times New Roman"/>
          <w:sz w:val="24"/>
          <w:szCs w:val="24"/>
        </w:rPr>
        <w:t xml:space="preserve">dotyczących </w:t>
      </w:r>
      <w:r w:rsidRPr="00B162C3">
        <w:rPr>
          <w:rFonts w:ascii="Times New Roman" w:hAnsi="Times New Roman" w:cs="Times New Roman"/>
          <w:sz w:val="24"/>
          <w:szCs w:val="24"/>
        </w:rPr>
        <w:t xml:space="preserve">prowadzenia takiej działalności. </w:t>
      </w:r>
    </w:p>
    <w:p w14:paraId="472E3BD6" w14:textId="22D02C14" w:rsidR="00A22034" w:rsidRDefault="00B162C3" w:rsidP="001355BC">
      <w:pPr>
        <w:spacing w:after="0" w:line="300" w:lineRule="atLeast"/>
        <w:ind w:firstLine="567"/>
        <w:jc w:val="both"/>
        <w:rPr>
          <w:rFonts w:ascii="Times New Roman" w:hAnsi="Times New Roman" w:cs="Times New Roman"/>
          <w:color w:val="000000"/>
          <w:sz w:val="24"/>
          <w:szCs w:val="24"/>
        </w:rPr>
      </w:pPr>
      <w:r w:rsidRPr="00B162C3">
        <w:rPr>
          <w:rFonts w:ascii="Times New Roman" w:hAnsi="Times New Roman" w:cs="Times New Roman"/>
          <w:sz w:val="24"/>
          <w:szCs w:val="24"/>
        </w:rPr>
        <w:t xml:space="preserve">Jednocześnie na stronie internetowej WIOŚ w Krakowie umieszczane są informacje </w:t>
      </w:r>
      <w:r>
        <w:rPr>
          <w:rFonts w:ascii="Times New Roman" w:hAnsi="Times New Roman" w:cs="Times New Roman"/>
          <w:sz w:val="24"/>
          <w:szCs w:val="24"/>
        </w:rPr>
        <w:br/>
      </w:r>
      <w:r w:rsidRPr="00B162C3">
        <w:rPr>
          <w:rFonts w:ascii="Times New Roman" w:hAnsi="Times New Roman" w:cs="Times New Roman"/>
          <w:sz w:val="24"/>
          <w:szCs w:val="24"/>
        </w:rPr>
        <w:t>o przeprowadzonych działaniach w zakresie przeciwdziałania przestępczości przeciwko środowisku wraz z informacjami w zakresie obowiązujących przepisów prawa</w:t>
      </w:r>
      <w:r w:rsidR="00A22034" w:rsidRPr="00B162C3">
        <w:rPr>
          <w:rFonts w:ascii="Times New Roman" w:hAnsi="Times New Roman" w:cs="Times New Roman"/>
          <w:color w:val="000000"/>
          <w:sz w:val="24"/>
          <w:szCs w:val="24"/>
        </w:rPr>
        <w:t xml:space="preserve">. </w:t>
      </w:r>
    </w:p>
    <w:p w14:paraId="2737B590" w14:textId="77777777" w:rsidR="001355BC" w:rsidRPr="00B162C3" w:rsidRDefault="001355BC" w:rsidP="001355BC">
      <w:pPr>
        <w:spacing w:after="0" w:line="300" w:lineRule="atLeast"/>
        <w:ind w:firstLine="567"/>
        <w:jc w:val="both"/>
        <w:rPr>
          <w:rFonts w:ascii="Times New Roman" w:hAnsi="Times New Roman" w:cs="Times New Roman"/>
          <w:color w:val="000000"/>
          <w:sz w:val="24"/>
          <w:szCs w:val="24"/>
        </w:rPr>
      </w:pPr>
    </w:p>
    <w:p w14:paraId="31582E1B" w14:textId="77777777" w:rsidR="00B162C3" w:rsidRPr="00B162C3" w:rsidRDefault="00B162C3" w:rsidP="00715A1A">
      <w:pPr>
        <w:spacing w:after="60" w:line="300" w:lineRule="atLeast"/>
        <w:jc w:val="both"/>
        <w:rPr>
          <w:rFonts w:ascii="Times New Roman" w:hAnsi="Times New Roman" w:cs="Times New Roman"/>
          <w:i/>
          <w:color w:val="4472C4"/>
          <w:sz w:val="24"/>
          <w:szCs w:val="24"/>
        </w:rPr>
      </w:pPr>
      <w:r w:rsidRPr="00B162C3">
        <w:rPr>
          <w:rFonts w:ascii="Times New Roman" w:hAnsi="Times New Roman" w:cs="Times New Roman"/>
          <w:i/>
          <w:color w:val="4472C4"/>
          <w:sz w:val="24"/>
          <w:szCs w:val="24"/>
        </w:rPr>
        <w:t>Wojewódzki Inspektorat Ochrony Środowiska w Łodzi</w:t>
      </w:r>
    </w:p>
    <w:p w14:paraId="1EED8EEA" w14:textId="5A2CABD4" w:rsidR="00B162C3" w:rsidRDefault="00B162C3" w:rsidP="00715A1A">
      <w:pPr>
        <w:autoSpaceDE w:val="0"/>
        <w:autoSpaceDN w:val="0"/>
        <w:adjustRightInd w:val="0"/>
        <w:spacing w:after="60" w:line="300" w:lineRule="atLeast"/>
        <w:jc w:val="both"/>
        <w:rPr>
          <w:rFonts w:ascii="Times New Roman" w:hAnsi="Times New Roman" w:cs="Times New Roman"/>
          <w:sz w:val="24"/>
          <w:szCs w:val="24"/>
        </w:rPr>
      </w:pPr>
      <w:r w:rsidRPr="00B162C3">
        <w:rPr>
          <w:rFonts w:ascii="Times New Roman" w:hAnsi="Times New Roman" w:cs="Times New Roman"/>
          <w:sz w:val="24"/>
          <w:szCs w:val="24"/>
        </w:rPr>
        <w:t>W grudni</w:t>
      </w:r>
      <w:r>
        <w:rPr>
          <w:rFonts w:ascii="Times New Roman" w:hAnsi="Times New Roman" w:cs="Times New Roman"/>
          <w:sz w:val="24"/>
          <w:szCs w:val="24"/>
        </w:rPr>
        <w:t>u</w:t>
      </w:r>
      <w:r w:rsidRPr="00B162C3">
        <w:rPr>
          <w:rFonts w:ascii="Times New Roman" w:hAnsi="Times New Roman" w:cs="Times New Roman"/>
          <w:sz w:val="24"/>
          <w:szCs w:val="24"/>
        </w:rPr>
        <w:t xml:space="preserve"> 2022 r. na stronie internetowej WIOŚ w Łodzi zamieszczono apel o zachowanie ostrożności podczas wynajmowania powierzchni magazynowych o </w:t>
      </w:r>
      <w:r w:rsidR="00F152C9">
        <w:rPr>
          <w:rFonts w:ascii="Times New Roman" w:hAnsi="Times New Roman" w:cs="Times New Roman"/>
          <w:sz w:val="24"/>
          <w:szCs w:val="24"/>
        </w:rPr>
        <w:t xml:space="preserve">następującej </w:t>
      </w:r>
      <w:r w:rsidRPr="00B162C3">
        <w:rPr>
          <w:rFonts w:ascii="Times New Roman" w:hAnsi="Times New Roman" w:cs="Times New Roman"/>
          <w:sz w:val="24"/>
          <w:szCs w:val="24"/>
        </w:rPr>
        <w:t>treści:</w:t>
      </w:r>
    </w:p>
    <w:tbl>
      <w:tblPr>
        <w:tblStyle w:val="Tabela-Siatka"/>
        <w:tblW w:w="0" w:type="auto"/>
        <w:tblLook w:val="04A0" w:firstRow="1" w:lastRow="0" w:firstColumn="1" w:lastColumn="0" w:noHBand="0" w:noVBand="1"/>
      </w:tblPr>
      <w:tblGrid>
        <w:gridCol w:w="9062"/>
      </w:tblGrid>
      <w:tr w:rsidR="00F152C9" w14:paraId="49AD23AE" w14:textId="77777777" w:rsidTr="00F152C9">
        <w:tc>
          <w:tcPr>
            <w:tcW w:w="9062" w:type="dxa"/>
          </w:tcPr>
          <w:p w14:paraId="47E202A4" w14:textId="77777777" w:rsidR="00F152C9" w:rsidRPr="00B162C3" w:rsidRDefault="00F152C9" w:rsidP="00F152C9">
            <w:pPr>
              <w:autoSpaceDE w:val="0"/>
              <w:autoSpaceDN w:val="0"/>
              <w:adjustRightInd w:val="0"/>
              <w:contextualSpacing/>
              <w:jc w:val="both"/>
              <w:rPr>
                <w:rFonts w:ascii="Times New Roman" w:hAnsi="Times New Roman"/>
              </w:rPr>
            </w:pPr>
            <w:r w:rsidRPr="00B162C3">
              <w:rPr>
                <w:rFonts w:ascii="Times New Roman" w:hAnsi="Times New Roman"/>
              </w:rPr>
              <w:t>Na terenie całej Polski coraz częściej ujawniane są przypadki porzucenia odpadów w wynajętych magazynach, wobec czego Łódzki Wojewódzki Inspektor Ochrony Środowiska apeluje o zachowanie szczególnej ostrożności podczas wynajmowania powierzchni magazynowych.</w:t>
            </w:r>
          </w:p>
          <w:p w14:paraId="31B2FBFE" w14:textId="77777777" w:rsidR="00F152C9" w:rsidRDefault="00F152C9" w:rsidP="00F152C9">
            <w:pPr>
              <w:autoSpaceDE w:val="0"/>
              <w:autoSpaceDN w:val="0"/>
              <w:adjustRightInd w:val="0"/>
              <w:contextualSpacing/>
              <w:jc w:val="both"/>
              <w:rPr>
                <w:rFonts w:ascii="Times New Roman" w:hAnsi="Times New Roman"/>
              </w:rPr>
            </w:pPr>
            <w:r w:rsidRPr="00B162C3">
              <w:rPr>
                <w:rFonts w:ascii="Times New Roman" w:hAnsi="Times New Roman"/>
              </w:rPr>
              <w:t>Co powinno wzbudzić wątpliwości podczas zawierania umowy najmu?</w:t>
            </w:r>
          </w:p>
          <w:p w14:paraId="448C1CDA" w14:textId="3DADDEB8" w:rsidR="00F152C9" w:rsidRPr="00B162C3" w:rsidRDefault="00F152C9" w:rsidP="00F152C9">
            <w:pPr>
              <w:autoSpaceDE w:val="0"/>
              <w:autoSpaceDN w:val="0"/>
              <w:adjustRightInd w:val="0"/>
              <w:contextualSpacing/>
              <w:jc w:val="both"/>
              <w:rPr>
                <w:rFonts w:ascii="Times New Roman" w:hAnsi="Times New Roman"/>
              </w:rPr>
            </w:pPr>
            <w:r w:rsidRPr="00B162C3">
              <w:rPr>
                <w:rFonts w:ascii="Times New Roman" w:hAnsi="Times New Roman"/>
              </w:rPr>
              <w:t>Pierwszą rzeczą, na któr</w:t>
            </w:r>
            <w:r w:rsidR="005B0967">
              <w:rPr>
                <w:rFonts w:ascii="Times New Roman" w:hAnsi="Times New Roman"/>
              </w:rPr>
              <w:t>ą</w:t>
            </w:r>
            <w:r w:rsidRPr="00B162C3">
              <w:rPr>
                <w:rFonts w:ascii="Times New Roman" w:hAnsi="Times New Roman"/>
              </w:rPr>
              <w:t xml:space="preserve"> należy zwrócić szczególną uwagę podczas zawierania umowy najmu jest to</w:t>
            </w:r>
            <w:r>
              <w:rPr>
                <w:rFonts w:ascii="Times New Roman" w:hAnsi="Times New Roman"/>
              </w:rPr>
              <w:t>,</w:t>
            </w:r>
            <w:r w:rsidRPr="00B162C3">
              <w:rPr>
                <w:rFonts w:ascii="Times New Roman" w:hAnsi="Times New Roman"/>
              </w:rPr>
              <w:t> z kim ją zawieramy. Wątpliwości powinny wzbudzić próby zawarcia umowy przez zagraniczne firmy (szczególnie spoza UE), które nie posiadają oddziałów na terenie Polski. Szczególną ostrożność należy również zachować podczas zawierania umów ze spółkami z ograniczoną odpowiedzialnością, w szczególności nowo założonymi, z niskim kapitałem. Informacje o spółkach można nieodpłatnie sprawdzić w Krajowym Rejestrze Sądowym (ekrs.ms.gov.pl). W przypadkach, gdy zgłasza się do nas przedstawiciel jakie</w:t>
            </w:r>
            <w:r w:rsidR="005B0967">
              <w:rPr>
                <w:rFonts w:ascii="Times New Roman" w:hAnsi="Times New Roman"/>
              </w:rPr>
              <w:t>go</w:t>
            </w:r>
            <w:r w:rsidRPr="00B162C3">
              <w:rPr>
                <w:rFonts w:ascii="Times New Roman" w:hAnsi="Times New Roman"/>
              </w:rPr>
              <w:t xml:space="preserve">ś przedsiębiorstwa warto </w:t>
            </w:r>
            <w:r w:rsidRPr="00B162C3">
              <w:rPr>
                <w:rFonts w:ascii="Times New Roman" w:hAnsi="Times New Roman"/>
              </w:rPr>
              <w:lastRenderedPageBreak/>
              <w:t>zweryfikować wiarygodność posiadanego przez niego pełnomocnictwa (m.in. zgodność danych osobowych, potwierdzenie uiszczenia opłaty skarbowej). Zawsze można zwrócić się do przedsiębiorstwa, celem zweryfikowania</w:t>
            </w:r>
            <w:r w:rsidR="005B0967">
              <w:rPr>
                <w:rFonts w:ascii="Times New Roman" w:hAnsi="Times New Roman"/>
              </w:rPr>
              <w:t>,</w:t>
            </w:r>
            <w:r w:rsidRPr="00B162C3">
              <w:rPr>
                <w:rFonts w:ascii="Times New Roman" w:hAnsi="Times New Roman"/>
              </w:rPr>
              <w:t xml:space="preserve"> czy dane osoba faktycznie je reprezentuje. Czujność powinny wzbudzić również osoby fizyczne, nieprowadzące działalności gospodarczej, które są zainteresowane wynajmem wielkopowierzchniowym</w:t>
            </w:r>
            <w:r w:rsidRPr="00B162C3">
              <w:rPr>
                <w:rFonts w:ascii="Times New Roman" w:hAnsi="Times New Roman"/>
                <w:sz w:val="24"/>
                <w:szCs w:val="24"/>
              </w:rPr>
              <w:t xml:space="preserve"> </w:t>
            </w:r>
            <w:r w:rsidRPr="00B162C3">
              <w:rPr>
                <w:rFonts w:ascii="Times New Roman" w:hAnsi="Times New Roman"/>
              </w:rPr>
              <w:t xml:space="preserve">obiektów. </w:t>
            </w:r>
          </w:p>
          <w:p w14:paraId="4E3BB7C7" w14:textId="3F3F9C27" w:rsidR="00F152C9" w:rsidRPr="00B162C3" w:rsidRDefault="00F152C9" w:rsidP="00F152C9">
            <w:pPr>
              <w:autoSpaceDE w:val="0"/>
              <w:autoSpaceDN w:val="0"/>
              <w:adjustRightInd w:val="0"/>
              <w:contextualSpacing/>
              <w:jc w:val="both"/>
              <w:rPr>
                <w:rFonts w:ascii="Times New Roman" w:hAnsi="Times New Roman"/>
              </w:rPr>
            </w:pPr>
            <w:r w:rsidRPr="00B162C3">
              <w:rPr>
                <w:rFonts w:ascii="Times New Roman" w:hAnsi="Times New Roman"/>
              </w:rPr>
              <w:t>Kolejną istotną kwestią jest cel wynajęcia nieruchomości. Fakt, że najemca deklaruje, że nie będzie magazynował odpadów nie oznacza, że tego nie zrobi. Warto ustalić wcześniej,</w:t>
            </w:r>
            <w:r w:rsidR="005B0967">
              <w:rPr>
                <w:rFonts w:ascii="Times New Roman" w:hAnsi="Times New Roman"/>
              </w:rPr>
              <w:t xml:space="preserve"> </w:t>
            </w:r>
            <w:r w:rsidRPr="00B162C3">
              <w:rPr>
                <w:rFonts w:ascii="Times New Roman" w:hAnsi="Times New Roman"/>
              </w:rPr>
              <w:t>w jakich celach nieruchomość będzie wykorzystywana i czy deklarowany sposób wykorzystania jest możliwy np. ze względu na stan techniczny obiektów.</w:t>
            </w:r>
            <w:r>
              <w:rPr>
                <w:rFonts w:ascii="Times New Roman" w:hAnsi="Times New Roman"/>
              </w:rPr>
              <w:t xml:space="preserve"> </w:t>
            </w:r>
            <w:r w:rsidRPr="00B162C3">
              <w:rPr>
                <w:rFonts w:ascii="Times New Roman" w:hAnsi="Times New Roman"/>
              </w:rPr>
              <w:t xml:space="preserve">Przykładowo - najemca deklaruje,  że będzie magazynował żywność w magazynach </w:t>
            </w:r>
            <w:r w:rsidR="005B0967">
              <w:rPr>
                <w:rFonts w:ascii="Times New Roman" w:hAnsi="Times New Roman"/>
              </w:rPr>
              <w:br/>
            </w:r>
            <w:r w:rsidRPr="00B162C3">
              <w:rPr>
                <w:rFonts w:ascii="Times New Roman" w:hAnsi="Times New Roman"/>
              </w:rPr>
              <w:t>z wadliwą instalacją elektryczną, substancje chemiczne w obiektach bez wentylacji lub jakiekolwiek wartościowe materiały na terenie nieruchomości niestrzeżonych, bez monitoringu wizyjnego. Takie sytuacje powinny od razu zniechęcić do wynajęcia nieruchomości.</w:t>
            </w:r>
            <w:r>
              <w:rPr>
                <w:rFonts w:ascii="Times New Roman" w:hAnsi="Times New Roman"/>
              </w:rPr>
              <w:t xml:space="preserve"> </w:t>
            </w:r>
            <w:r w:rsidRPr="00B162C3">
              <w:rPr>
                <w:rFonts w:ascii="Times New Roman" w:hAnsi="Times New Roman"/>
              </w:rPr>
              <w:t xml:space="preserve">Na nielegalne miejsca magazynowania odpadów są często wybierane obiekty znajdujące się na uboczu, mało widoczne, na terenach o nielicznej zabudowie, </w:t>
            </w:r>
            <w:r w:rsidR="006551FB">
              <w:rPr>
                <w:rFonts w:ascii="Times New Roman" w:hAnsi="Times New Roman"/>
              </w:rPr>
              <w:br/>
            </w:r>
            <w:r w:rsidRPr="00B162C3">
              <w:rPr>
                <w:rFonts w:ascii="Times New Roman" w:hAnsi="Times New Roman"/>
              </w:rPr>
              <w:t>z utrudnionym dojazdem lub takie, gdzie zwiększony ruch pojazdów nie wzbudzi podejrzeń. Celem przestępców środowiskowych padają przede wszystkim obiekty w złym stanie technicznym, z przestarzałymi instalacjami, ograniczonym dostępem do mediów, czy ubogim zapleczem socjalnym. Nie powinno to jednak uśpić czujności właścicieli nowych obiektów.</w:t>
            </w:r>
            <w:r>
              <w:rPr>
                <w:rFonts w:ascii="Times New Roman" w:hAnsi="Times New Roman"/>
              </w:rPr>
              <w:t xml:space="preserve"> </w:t>
            </w:r>
            <w:r w:rsidRPr="00B162C3">
              <w:rPr>
                <w:rFonts w:ascii="Times New Roman" w:hAnsi="Times New Roman"/>
              </w:rPr>
              <w:t>Podejrzane są także sytuacje, gdy najemca proponuje zawyżoną cenę za wynajem nieruchomości. Jeżeli wynajmujesz nieruchomość i masz uzasadnione podejrzenia, że są na niej nielegalnie magazynowane odpady sprawę możesz zgłosić do Inspekcji Ochrony Środowiska, organów ścigania oraz władz samorządowych. W przypadku ujawnienia miejsca nagromadzenia odpadów, od razu zgłoś sprawę właściwym organom. Nie próbuj ich zagospodarować samodzielnie, ponieważ mogą stanowić zagrożenie do Twojego zdrowia i życia oraz dla środowiska. Źródłem powyższych informacji jest doświadczenie inspektorów zdobyte podczas kontroli ujawnionych miejsc nielegalnego magazynowania odpadów.</w:t>
            </w:r>
          </w:p>
          <w:p w14:paraId="5BDE6C19" w14:textId="77777777" w:rsidR="00F152C9" w:rsidRPr="00F152C9" w:rsidRDefault="00F152C9" w:rsidP="00F152C9">
            <w:pPr>
              <w:autoSpaceDE w:val="0"/>
              <w:autoSpaceDN w:val="0"/>
              <w:adjustRightInd w:val="0"/>
              <w:contextualSpacing/>
              <w:jc w:val="both"/>
              <w:rPr>
                <w:rFonts w:ascii="Times New Roman" w:hAnsi="Times New Roman"/>
                <w:b/>
              </w:rPr>
            </w:pPr>
            <w:r w:rsidRPr="00F152C9">
              <w:rPr>
                <w:rFonts w:ascii="Times New Roman" w:hAnsi="Times New Roman"/>
                <w:b/>
              </w:rPr>
              <w:t>WAŻNE</w:t>
            </w:r>
          </w:p>
          <w:p w14:paraId="2C761916" w14:textId="03EDC8FC" w:rsidR="00F152C9" w:rsidRPr="00F152C9" w:rsidRDefault="00F152C9" w:rsidP="00F152C9">
            <w:pPr>
              <w:jc w:val="both"/>
              <w:rPr>
                <w:rFonts w:ascii="Times New Roman" w:hAnsi="Times New Roman"/>
                <w:b/>
                <w:color w:val="000000"/>
              </w:rPr>
            </w:pPr>
            <w:r w:rsidRPr="00B162C3">
              <w:rPr>
                <w:rFonts w:ascii="Times New Roman" w:hAnsi="Times New Roman"/>
              </w:rPr>
              <w:t xml:space="preserve">Przed podjęciem decyzji o wynajmie pomieszczeń magazynowych innemu podmiotowi: Dokładnie zweryfikuj, komu chcesz wynająć powierzchnie magazynowe, Unikaj płatności gotówką, bez realnego potwierdzenia danych wpłacającego, W przypadku podpisania umowy – regularnie sprawdzaj, czy w Twoim magazynie są przechowywane przedmioty wpisane w umowie. Podpisując umowę najmu powierzchni magazynowych </w:t>
            </w:r>
            <w:r>
              <w:rPr>
                <w:rFonts w:ascii="Times New Roman" w:hAnsi="Times New Roman"/>
              </w:rPr>
              <w:br/>
            </w:r>
            <w:r w:rsidRPr="00B162C3">
              <w:rPr>
                <w:rFonts w:ascii="Times New Roman" w:hAnsi="Times New Roman"/>
              </w:rPr>
              <w:t>z przestępcą środowiskowym narażasz się na porzucenie odpadów na Twojej nieruchomości. Zgodnie z ustawą o odpadach domniemanym posiadaczem odpadów jest właściciel terenu, na którym są magazynowane, wobec czego możesz zostać obciążony kosztem ich utylizacji</w:t>
            </w:r>
            <w:r w:rsidRPr="00B162C3">
              <w:rPr>
                <w:rFonts w:ascii="Times New Roman" w:hAnsi="Times New Roman"/>
                <w:color w:val="000000"/>
              </w:rPr>
              <w:t>.</w:t>
            </w:r>
          </w:p>
        </w:tc>
      </w:tr>
    </w:tbl>
    <w:p w14:paraId="370A0928" w14:textId="77777777" w:rsidR="00844FA0" w:rsidRPr="00844FA0" w:rsidRDefault="00844FA0" w:rsidP="00F27A74">
      <w:pPr>
        <w:spacing w:before="120" w:after="60" w:line="300" w:lineRule="atLeast"/>
        <w:jc w:val="both"/>
        <w:rPr>
          <w:rFonts w:ascii="Times New Roman" w:hAnsi="Times New Roman" w:cs="Times New Roman"/>
          <w:i/>
          <w:color w:val="4472C4"/>
          <w:sz w:val="24"/>
          <w:szCs w:val="24"/>
        </w:rPr>
      </w:pPr>
      <w:r w:rsidRPr="00844FA0">
        <w:rPr>
          <w:rFonts w:ascii="Times New Roman" w:hAnsi="Times New Roman" w:cs="Times New Roman"/>
          <w:i/>
          <w:color w:val="4472C4"/>
          <w:sz w:val="24"/>
          <w:szCs w:val="24"/>
        </w:rPr>
        <w:lastRenderedPageBreak/>
        <w:t>Wojewódzki Inspektorat Ochrony Środowiska w Rzeszowie</w:t>
      </w:r>
    </w:p>
    <w:p w14:paraId="04F20D38" w14:textId="170E0F96" w:rsidR="00A22034" w:rsidRPr="00844FA0" w:rsidRDefault="00844FA0" w:rsidP="00844FA0">
      <w:pPr>
        <w:spacing w:after="0" w:line="300" w:lineRule="atLeast"/>
        <w:ind w:firstLine="567"/>
        <w:jc w:val="both"/>
        <w:rPr>
          <w:rFonts w:ascii="Times New Roman" w:hAnsi="Times New Roman" w:cs="Times New Roman"/>
          <w:color w:val="000000"/>
          <w:sz w:val="24"/>
          <w:szCs w:val="24"/>
        </w:rPr>
      </w:pPr>
      <w:r w:rsidRPr="00844FA0">
        <w:rPr>
          <w:rFonts w:ascii="Times New Roman" w:hAnsi="Times New Roman" w:cs="Times New Roman"/>
          <w:iCs/>
          <w:sz w:val="24"/>
          <w:szCs w:val="24"/>
        </w:rPr>
        <w:t xml:space="preserve">WIOŚ w Rzeszowie, w 2022 r. prowadził działania informacyjne w zakresie przeciwdziałania przestępczości środowiskowej poprzez komunikaty umieszczane na stronie internetowej Inspektoratu, na </w:t>
      </w:r>
      <w:proofErr w:type="spellStart"/>
      <w:r w:rsidRPr="00844FA0">
        <w:rPr>
          <w:rFonts w:ascii="Times New Roman" w:hAnsi="Times New Roman" w:cs="Times New Roman"/>
          <w:iCs/>
          <w:sz w:val="24"/>
          <w:szCs w:val="24"/>
        </w:rPr>
        <w:t>twitterze</w:t>
      </w:r>
      <w:proofErr w:type="spellEnd"/>
      <w:r w:rsidRPr="00844FA0">
        <w:rPr>
          <w:rFonts w:ascii="Times New Roman" w:hAnsi="Times New Roman" w:cs="Times New Roman"/>
          <w:iCs/>
          <w:sz w:val="24"/>
          <w:szCs w:val="24"/>
        </w:rPr>
        <w:t xml:space="preserve"> oraz komunikaty prasowe kierowane do lokalnych Wydawnictw. Na stronie internetowej umieszczono także formularz „skargi i wnioski” oraz formularz Zgłoś nielegalne postępowanie z odpadami”, które umożliwiają złożenie zawiadomień w zakresie przeciwdziałania przestępczości środowiskowej</w:t>
      </w:r>
      <w:r w:rsidR="00A22034" w:rsidRPr="00844FA0">
        <w:rPr>
          <w:rFonts w:ascii="Times New Roman" w:hAnsi="Times New Roman" w:cs="Times New Roman"/>
          <w:color w:val="000000"/>
          <w:sz w:val="24"/>
          <w:szCs w:val="24"/>
        </w:rPr>
        <w:t>.</w:t>
      </w:r>
    </w:p>
    <w:p w14:paraId="54F1E07B" w14:textId="77777777" w:rsidR="00A22034" w:rsidRPr="007F400A" w:rsidRDefault="00A22034" w:rsidP="00BE1E44">
      <w:pPr>
        <w:spacing w:after="0" w:line="300" w:lineRule="atLeast"/>
        <w:jc w:val="both"/>
        <w:rPr>
          <w:rFonts w:ascii="Times New Roman" w:hAnsi="Times New Roman" w:cs="Times New Roman"/>
          <w:b/>
          <w:color w:val="000000"/>
          <w:sz w:val="24"/>
          <w:szCs w:val="24"/>
        </w:rPr>
      </w:pPr>
    </w:p>
    <w:p w14:paraId="656B888E" w14:textId="77777777" w:rsidR="00844FA0" w:rsidRPr="002175FD" w:rsidRDefault="00844FA0" w:rsidP="002175FD">
      <w:pPr>
        <w:spacing w:after="60" w:line="300" w:lineRule="atLeast"/>
        <w:jc w:val="both"/>
        <w:rPr>
          <w:rFonts w:ascii="Times New Roman" w:hAnsi="Times New Roman" w:cs="Times New Roman"/>
          <w:i/>
          <w:color w:val="4472C4"/>
          <w:sz w:val="24"/>
          <w:szCs w:val="24"/>
        </w:rPr>
      </w:pPr>
      <w:r w:rsidRPr="002175FD">
        <w:rPr>
          <w:rFonts w:ascii="Times New Roman" w:hAnsi="Times New Roman" w:cs="Times New Roman"/>
          <w:i/>
          <w:color w:val="4472C4"/>
          <w:sz w:val="24"/>
          <w:szCs w:val="24"/>
        </w:rPr>
        <w:t>Wojewódzki Inspektorat Ochrony Środowiska w Szczecinie</w:t>
      </w:r>
    </w:p>
    <w:p w14:paraId="69628C92" w14:textId="6F3967D8" w:rsidR="00844FA0" w:rsidRPr="002175FD" w:rsidRDefault="00844FA0" w:rsidP="002175FD">
      <w:pPr>
        <w:autoSpaceDE w:val="0"/>
        <w:autoSpaceDN w:val="0"/>
        <w:adjustRightInd w:val="0"/>
        <w:spacing w:after="0" w:line="300" w:lineRule="atLeast"/>
        <w:ind w:firstLine="567"/>
        <w:jc w:val="both"/>
        <w:rPr>
          <w:rFonts w:ascii="Times New Roman" w:hAnsi="Times New Roman" w:cs="Times New Roman"/>
          <w:sz w:val="24"/>
          <w:szCs w:val="24"/>
        </w:rPr>
      </w:pPr>
      <w:r w:rsidRPr="002175FD">
        <w:rPr>
          <w:rFonts w:ascii="Times New Roman" w:hAnsi="Times New Roman" w:cs="Times New Roman"/>
          <w:sz w:val="24"/>
          <w:szCs w:val="24"/>
        </w:rPr>
        <w:t xml:space="preserve">Wojewódzki Inspektorat Ochrony Środowiska w Szczecinie prowadzi działania informacyjne,  przedstawiając zwięzłe komunikaty o prowadzonych czynnościach i zakresie posiadanych kompetencji. Informacje rozpowszechniane są za pośrednictwem strony internetowej www.wios.szczecin.pl oraz poprzez portal Twitter i Facebook. Na bieżąco umieszczane są informacje o działaniach związanych ze zwalczaniem przestępczości środowiskowej, np. o wynikach przeprowadzonych kontroli transgranicznego przemieszczania odpadów, zawieranych porozumieniach. Na stronie internetowej Inspektoratu umieszczano również szczegółowe informacje o Grupie </w:t>
      </w:r>
      <w:proofErr w:type="spellStart"/>
      <w:r w:rsidRPr="002175FD">
        <w:rPr>
          <w:rFonts w:ascii="Times New Roman" w:hAnsi="Times New Roman" w:cs="Times New Roman"/>
          <w:sz w:val="24"/>
          <w:szCs w:val="24"/>
        </w:rPr>
        <w:t>Interwencyjno</w:t>
      </w:r>
      <w:proofErr w:type="spellEnd"/>
      <w:r w:rsidRPr="002175FD">
        <w:rPr>
          <w:rFonts w:ascii="Times New Roman" w:hAnsi="Times New Roman" w:cs="Times New Roman"/>
          <w:sz w:val="24"/>
          <w:szCs w:val="24"/>
        </w:rPr>
        <w:t xml:space="preserve"> – Wyjazdowej, zakresie jej działania i możliwości przyjmowania zgłoszeń przez całą dobę. Po utworzeniu Wydziału Zwalczan</w:t>
      </w:r>
      <w:r w:rsidR="008747A4">
        <w:rPr>
          <w:rFonts w:ascii="Times New Roman" w:hAnsi="Times New Roman" w:cs="Times New Roman"/>
          <w:sz w:val="24"/>
          <w:szCs w:val="24"/>
        </w:rPr>
        <w:t>i</w:t>
      </w:r>
      <w:r w:rsidRPr="002175FD">
        <w:rPr>
          <w:rFonts w:ascii="Times New Roman" w:hAnsi="Times New Roman" w:cs="Times New Roman"/>
          <w:sz w:val="24"/>
          <w:szCs w:val="24"/>
        </w:rPr>
        <w:t xml:space="preserve">a Przestępczości Środowiskowej na stronie WIOŚ w Szczecinie udostępniony jest w zakładce </w:t>
      </w:r>
      <w:r w:rsidRPr="002175FD">
        <w:rPr>
          <w:rFonts w:ascii="Times New Roman" w:hAnsi="Times New Roman" w:cs="Times New Roman"/>
          <w:i/>
          <w:iCs/>
          <w:sz w:val="24"/>
          <w:szCs w:val="24"/>
        </w:rPr>
        <w:t xml:space="preserve">Zgłaszanie istotnych naruszeń </w:t>
      </w:r>
      <w:r w:rsidRPr="002175FD">
        <w:rPr>
          <w:rFonts w:ascii="Times New Roman" w:hAnsi="Times New Roman" w:cs="Times New Roman"/>
          <w:sz w:val="24"/>
          <w:szCs w:val="24"/>
        </w:rPr>
        <w:t xml:space="preserve">adres poczty elektronicznej oraz całodobowy numer telefonu do kontaktu. </w:t>
      </w:r>
    </w:p>
    <w:p w14:paraId="04B7A6D7" w14:textId="376AE6CC" w:rsidR="00844FA0" w:rsidRPr="002175FD" w:rsidRDefault="00844FA0" w:rsidP="00844FA0">
      <w:pPr>
        <w:autoSpaceDE w:val="0"/>
        <w:autoSpaceDN w:val="0"/>
        <w:adjustRightInd w:val="0"/>
        <w:spacing w:line="300" w:lineRule="atLeast"/>
        <w:contextualSpacing/>
        <w:jc w:val="center"/>
        <w:rPr>
          <w:rFonts w:ascii="Times New Roman" w:hAnsi="Times New Roman" w:cs="Times New Roman"/>
          <w:sz w:val="24"/>
          <w:szCs w:val="24"/>
        </w:rPr>
      </w:pPr>
      <w:r w:rsidRPr="002175FD">
        <w:rPr>
          <w:rFonts w:ascii="Times New Roman" w:hAnsi="Times New Roman" w:cs="Times New Roman"/>
          <w:noProof/>
          <w:sz w:val="24"/>
          <w:szCs w:val="24"/>
          <w:lang w:eastAsia="pl-PL"/>
        </w:rPr>
        <w:lastRenderedPageBreak/>
        <w:drawing>
          <wp:inline distT="0" distB="0" distL="0" distR="0" wp14:anchorId="24A9393B" wp14:editId="1B2006F4">
            <wp:extent cx="4133850" cy="3171825"/>
            <wp:effectExtent l="0" t="0" r="0" b="9525"/>
            <wp:docPr id="35" name="Obraz 35" descr="Zdjęcie 59. Zrzut ekranu profilu WIOŚ w Szczecinie ze strony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35" descr="Zdjęcie 59. Zrzut ekranu profilu WIOŚ w Szczecinie ze strony Twitte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133850" cy="3171825"/>
                    </a:xfrm>
                    <a:prstGeom prst="rect">
                      <a:avLst/>
                    </a:prstGeom>
                    <a:noFill/>
                    <a:ln>
                      <a:noFill/>
                    </a:ln>
                  </pic:spPr>
                </pic:pic>
              </a:graphicData>
            </a:graphic>
          </wp:inline>
        </w:drawing>
      </w:r>
    </w:p>
    <w:p w14:paraId="14884BDE" w14:textId="581EF6D4" w:rsidR="00844FA0" w:rsidRPr="002175FD" w:rsidRDefault="002175FD" w:rsidP="00844FA0">
      <w:pPr>
        <w:spacing w:line="300" w:lineRule="atLeast"/>
        <w:contextualSpacing/>
        <w:jc w:val="center"/>
        <w:rPr>
          <w:rFonts w:ascii="Times New Roman" w:hAnsi="Times New Roman" w:cs="Times New Roman"/>
          <w:b/>
        </w:rPr>
      </w:pPr>
      <w:r w:rsidRPr="002175FD">
        <w:rPr>
          <w:rFonts w:ascii="Times New Roman" w:hAnsi="Times New Roman" w:cs="Times New Roman"/>
          <w:b/>
        </w:rPr>
        <w:t>Zdjęcie 5</w:t>
      </w:r>
      <w:r w:rsidR="00CB5B9A">
        <w:rPr>
          <w:rFonts w:ascii="Times New Roman" w:hAnsi="Times New Roman" w:cs="Times New Roman"/>
          <w:b/>
        </w:rPr>
        <w:t>9</w:t>
      </w:r>
      <w:r w:rsidRPr="002175FD">
        <w:rPr>
          <w:rFonts w:ascii="Times New Roman" w:hAnsi="Times New Roman" w:cs="Times New Roman"/>
          <w:b/>
        </w:rPr>
        <w:t xml:space="preserve">. </w:t>
      </w:r>
      <w:r w:rsidR="00844FA0" w:rsidRPr="002175FD">
        <w:rPr>
          <w:rFonts w:ascii="Times New Roman" w:hAnsi="Times New Roman" w:cs="Times New Roman"/>
          <w:b/>
        </w:rPr>
        <w:t xml:space="preserve">Zrzut ekranu </w:t>
      </w:r>
      <w:r w:rsidR="00CD6E92">
        <w:rPr>
          <w:rFonts w:ascii="Times New Roman" w:hAnsi="Times New Roman" w:cs="Times New Roman"/>
          <w:b/>
        </w:rPr>
        <w:t xml:space="preserve">profilu WIOŚ </w:t>
      </w:r>
      <w:r w:rsidR="00844FA0" w:rsidRPr="002175FD">
        <w:rPr>
          <w:rFonts w:ascii="Times New Roman" w:hAnsi="Times New Roman" w:cs="Times New Roman"/>
          <w:b/>
        </w:rPr>
        <w:t>w Szczecinie</w:t>
      </w:r>
      <w:r w:rsidR="00CD6E92">
        <w:rPr>
          <w:rFonts w:ascii="Times New Roman" w:hAnsi="Times New Roman" w:cs="Times New Roman"/>
          <w:b/>
        </w:rPr>
        <w:t xml:space="preserve"> ze strony Twitter</w:t>
      </w:r>
    </w:p>
    <w:p w14:paraId="4BD33B3F" w14:textId="77777777" w:rsidR="00844FA0" w:rsidRPr="002175FD" w:rsidRDefault="00844FA0" w:rsidP="00844FA0">
      <w:pPr>
        <w:spacing w:line="300" w:lineRule="atLeast"/>
        <w:contextualSpacing/>
        <w:jc w:val="both"/>
        <w:rPr>
          <w:rFonts w:ascii="Times New Roman" w:hAnsi="Times New Roman" w:cs="Times New Roman"/>
          <w:sz w:val="24"/>
          <w:szCs w:val="24"/>
        </w:rPr>
      </w:pPr>
    </w:p>
    <w:p w14:paraId="0194B130" w14:textId="778712B6" w:rsidR="00844FA0" w:rsidRPr="000C0753" w:rsidRDefault="00844FA0" w:rsidP="00715A1A">
      <w:pPr>
        <w:spacing w:line="300" w:lineRule="atLeast"/>
        <w:contextualSpacing/>
        <w:jc w:val="center"/>
      </w:pPr>
      <w:r w:rsidRPr="000C0753">
        <w:rPr>
          <w:noProof/>
          <w:lang w:eastAsia="pl-PL"/>
        </w:rPr>
        <w:drawing>
          <wp:inline distT="0" distB="0" distL="0" distR="0" wp14:anchorId="0B054D1A" wp14:editId="63E36CEE">
            <wp:extent cx="4925340" cy="3219450"/>
            <wp:effectExtent l="0" t="0" r="8890" b="0"/>
            <wp:docPr id="31" name="Obraz 31" descr="Zdjęcie 60. Zrzut ekranu strony internetowej WIOŚ w Szczeci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descr="Zdjęcie 60. Zrzut ekranu strony internetowej WIOŚ w Szczecini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35008" cy="3225769"/>
                    </a:xfrm>
                    <a:prstGeom prst="rect">
                      <a:avLst/>
                    </a:prstGeom>
                    <a:noFill/>
                    <a:ln>
                      <a:noFill/>
                    </a:ln>
                  </pic:spPr>
                </pic:pic>
              </a:graphicData>
            </a:graphic>
          </wp:inline>
        </w:drawing>
      </w:r>
    </w:p>
    <w:p w14:paraId="106DDA15" w14:textId="36F01A27" w:rsidR="00A22034" w:rsidRPr="001355BC" w:rsidRDefault="002175FD" w:rsidP="00715A1A">
      <w:pPr>
        <w:spacing w:after="0" w:line="300" w:lineRule="atLeast"/>
        <w:jc w:val="center"/>
        <w:rPr>
          <w:rFonts w:ascii="Times New Roman" w:hAnsi="Times New Roman" w:cs="Times New Roman"/>
          <w:iCs/>
          <w:color w:val="000000"/>
        </w:rPr>
      </w:pPr>
      <w:r w:rsidRPr="001355BC">
        <w:rPr>
          <w:rFonts w:ascii="Times New Roman" w:hAnsi="Times New Roman" w:cs="Times New Roman"/>
          <w:b/>
          <w:iCs/>
          <w:color w:val="000000"/>
        </w:rPr>
        <w:t xml:space="preserve">Zdjęcie </w:t>
      </w:r>
      <w:r w:rsidR="00CB5B9A" w:rsidRPr="001355BC">
        <w:rPr>
          <w:rFonts w:ascii="Times New Roman" w:hAnsi="Times New Roman" w:cs="Times New Roman"/>
          <w:b/>
          <w:iCs/>
          <w:color w:val="000000"/>
        </w:rPr>
        <w:t>60</w:t>
      </w:r>
      <w:r w:rsidRPr="001355BC">
        <w:rPr>
          <w:rFonts w:ascii="Times New Roman" w:hAnsi="Times New Roman" w:cs="Times New Roman"/>
          <w:b/>
          <w:iCs/>
          <w:color w:val="000000"/>
        </w:rPr>
        <w:t>.</w:t>
      </w:r>
      <w:r w:rsidRPr="001355BC">
        <w:rPr>
          <w:rFonts w:ascii="Times New Roman" w:hAnsi="Times New Roman" w:cs="Times New Roman"/>
          <w:iCs/>
          <w:color w:val="000000"/>
        </w:rPr>
        <w:t xml:space="preserve"> </w:t>
      </w:r>
      <w:r w:rsidRPr="001355BC">
        <w:rPr>
          <w:rFonts w:ascii="Times New Roman" w:hAnsi="Times New Roman" w:cs="Times New Roman"/>
          <w:b/>
        </w:rPr>
        <w:t>Zrzut ekranu strony internetowej WIOŚ w Szczecinie</w:t>
      </w:r>
    </w:p>
    <w:p w14:paraId="61541C56" w14:textId="77777777" w:rsidR="00A22034" w:rsidRPr="001355BC" w:rsidRDefault="00A22034" w:rsidP="00BE5177">
      <w:pPr>
        <w:spacing w:after="0" w:line="300" w:lineRule="atLeast"/>
        <w:jc w:val="both"/>
        <w:rPr>
          <w:rFonts w:ascii="Times New Roman" w:hAnsi="Times New Roman" w:cs="Times New Roman"/>
          <w:b/>
          <w:color w:val="000000"/>
        </w:rPr>
      </w:pPr>
    </w:p>
    <w:p w14:paraId="34D0D331" w14:textId="77777777" w:rsidR="004D6EDF" w:rsidRPr="004D6EDF" w:rsidRDefault="004D6EDF" w:rsidP="00C50057">
      <w:pPr>
        <w:spacing w:after="60" w:line="300" w:lineRule="atLeast"/>
        <w:jc w:val="both"/>
        <w:rPr>
          <w:rFonts w:ascii="Times New Roman" w:hAnsi="Times New Roman" w:cs="Times New Roman"/>
          <w:i/>
          <w:color w:val="4472C4"/>
          <w:sz w:val="24"/>
          <w:szCs w:val="24"/>
        </w:rPr>
      </w:pPr>
      <w:r w:rsidRPr="004D6EDF">
        <w:rPr>
          <w:rFonts w:ascii="Times New Roman" w:hAnsi="Times New Roman" w:cs="Times New Roman"/>
          <w:i/>
          <w:color w:val="4472C4"/>
          <w:sz w:val="24"/>
          <w:szCs w:val="24"/>
        </w:rPr>
        <w:t>Wojewódzki Inspektorat Ochrony Środowiska w Warszawie</w:t>
      </w:r>
    </w:p>
    <w:p w14:paraId="6A0C07CA" w14:textId="77777777" w:rsidR="00C50057" w:rsidRDefault="004D6EDF" w:rsidP="00C50057">
      <w:pPr>
        <w:spacing w:line="300" w:lineRule="atLeast"/>
        <w:ind w:firstLine="567"/>
        <w:contextualSpacing/>
        <w:jc w:val="both"/>
        <w:rPr>
          <w:rFonts w:ascii="Times New Roman" w:hAnsi="Times New Roman" w:cs="Times New Roman"/>
          <w:bCs/>
          <w:sz w:val="24"/>
          <w:szCs w:val="24"/>
        </w:rPr>
      </w:pPr>
      <w:r w:rsidRPr="004D6EDF">
        <w:rPr>
          <w:rFonts w:ascii="Times New Roman" w:hAnsi="Times New Roman" w:cs="Times New Roman"/>
          <w:bCs/>
          <w:sz w:val="24"/>
          <w:szCs w:val="24"/>
        </w:rPr>
        <w:t xml:space="preserve">W roku 2022 na stronie internetowej WIOŚ w Warszawie </w:t>
      </w:r>
      <w:r w:rsidR="00C50057" w:rsidRPr="004D6EDF">
        <w:rPr>
          <w:rFonts w:ascii="Times New Roman" w:hAnsi="Times New Roman" w:cs="Times New Roman"/>
          <w:bCs/>
          <w:sz w:val="24"/>
          <w:szCs w:val="24"/>
        </w:rPr>
        <w:t xml:space="preserve">zamieszczano </w:t>
      </w:r>
      <w:r w:rsidRPr="004D6EDF">
        <w:rPr>
          <w:rFonts w:ascii="Times New Roman" w:hAnsi="Times New Roman" w:cs="Times New Roman"/>
          <w:bCs/>
          <w:sz w:val="24"/>
          <w:szCs w:val="24"/>
        </w:rPr>
        <w:t xml:space="preserve">informacje </w:t>
      </w:r>
      <w:r w:rsidRPr="004D6EDF">
        <w:rPr>
          <w:rFonts w:ascii="Times New Roman" w:hAnsi="Times New Roman" w:cs="Times New Roman"/>
          <w:bCs/>
          <w:sz w:val="24"/>
          <w:szCs w:val="24"/>
        </w:rPr>
        <w:br/>
        <w:t xml:space="preserve">o podejmowanych czynnościach kontrolnych, głównie w trybie art. 10b ustawy o IOŚ. </w:t>
      </w:r>
    </w:p>
    <w:p w14:paraId="4A42C0AA" w14:textId="112B7FDD" w:rsidR="004D6EDF" w:rsidRPr="004D6EDF" w:rsidRDefault="004D6EDF" w:rsidP="00C50057">
      <w:pPr>
        <w:spacing w:line="300" w:lineRule="atLeast"/>
        <w:ind w:firstLine="567"/>
        <w:contextualSpacing/>
        <w:jc w:val="both"/>
        <w:rPr>
          <w:rFonts w:ascii="Times New Roman" w:hAnsi="Times New Roman" w:cs="Times New Roman"/>
          <w:i/>
          <w:color w:val="4472C4"/>
          <w:sz w:val="24"/>
          <w:szCs w:val="24"/>
        </w:rPr>
      </w:pPr>
      <w:r w:rsidRPr="004D6EDF">
        <w:rPr>
          <w:rFonts w:ascii="Times New Roman" w:hAnsi="Times New Roman" w:cs="Times New Roman"/>
          <w:bCs/>
          <w:sz w:val="24"/>
          <w:szCs w:val="24"/>
        </w:rPr>
        <w:t>Łącznie było to 30 komunikatów opatrzonych zdjęciami w zakresie WI</w:t>
      </w:r>
      <w:r w:rsidR="00C50057">
        <w:rPr>
          <w:rFonts w:ascii="Times New Roman" w:hAnsi="Times New Roman" w:cs="Times New Roman"/>
          <w:bCs/>
          <w:sz w:val="24"/>
          <w:szCs w:val="24"/>
        </w:rPr>
        <w:t>,</w:t>
      </w:r>
      <w:r w:rsidRPr="004D6EDF">
        <w:rPr>
          <w:rFonts w:ascii="Times New Roman" w:hAnsi="Times New Roman" w:cs="Times New Roman"/>
          <w:bCs/>
          <w:sz w:val="24"/>
          <w:szCs w:val="24"/>
        </w:rPr>
        <w:t xml:space="preserve"> </w:t>
      </w:r>
      <w:r w:rsidR="00C50057">
        <w:rPr>
          <w:rFonts w:ascii="Times New Roman" w:hAnsi="Times New Roman" w:cs="Times New Roman"/>
          <w:bCs/>
          <w:sz w:val="24"/>
          <w:szCs w:val="24"/>
        </w:rPr>
        <w:t>które d</w:t>
      </w:r>
      <w:r w:rsidRPr="004D6EDF">
        <w:rPr>
          <w:rFonts w:ascii="Times New Roman" w:hAnsi="Times New Roman" w:cs="Times New Roman"/>
          <w:bCs/>
          <w:sz w:val="24"/>
          <w:szCs w:val="24"/>
        </w:rPr>
        <w:t xml:space="preserve">otyczyły zarówno kontroli drogowych wykonywanych o różnych porach dnia i nocy, </w:t>
      </w:r>
      <w:r w:rsidR="00C50057">
        <w:rPr>
          <w:rFonts w:ascii="Times New Roman" w:hAnsi="Times New Roman" w:cs="Times New Roman"/>
          <w:bCs/>
          <w:sz w:val="24"/>
          <w:szCs w:val="24"/>
        </w:rPr>
        <w:t xml:space="preserve">jak i </w:t>
      </w:r>
      <w:r w:rsidRPr="004D6EDF">
        <w:rPr>
          <w:rFonts w:ascii="Times New Roman" w:hAnsi="Times New Roman" w:cs="Times New Roman"/>
          <w:bCs/>
          <w:sz w:val="24"/>
          <w:szCs w:val="24"/>
        </w:rPr>
        <w:t>ujawnionych wykrocze</w:t>
      </w:r>
      <w:r w:rsidR="00C50057">
        <w:rPr>
          <w:rFonts w:ascii="Times New Roman" w:hAnsi="Times New Roman" w:cs="Times New Roman"/>
          <w:bCs/>
          <w:sz w:val="24"/>
          <w:szCs w:val="24"/>
        </w:rPr>
        <w:t>ń</w:t>
      </w:r>
      <w:r w:rsidRPr="004D6EDF">
        <w:rPr>
          <w:rFonts w:ascii="Times New Roman" w:hAnsi="Times New Roman" w:cs="Times New Roman"/>
          <w:bCs/>
          <w:sz w:val="24"/>
          <w:szCs w:val="24"/>
        </w:rPr>
        <w:t xml:space="preserve"> oraz współpracy z </w:t>
      </w:r>
      <w:r w:rsidR="00C50057">
        <w:rPr>
          <w:rFonts w:ascii="Times New Roman" w:hAnsi="Times New Roman" w:cs="Times New Roman"/>
          <w:bCs/>
          <w:sz w:val="24"/>
          <w:szCs w:val="24"/>
        </w:rPr>
        <w:t xml:space="preserve">innymi </w:t>
      </w:r>
      <w:r w:rsidRPr="004D6EDF">
        <w:rPr>
          <w:rFonts w:ascii="Times New Roman" w:hAnsi="Times New Roman" w:cs="Times New Roman"/>
          <w:bCs/>
          <w:sz w:val="24"/>
          <w:szCs w:val="24"/>
        </w:rPr>
        <w:t>służbami</w:t>
      </w:r>
      <w:r w:rsidR="00C50057">
        <w:rPr>
          <w:rFonts w:ascii="Times New Roman" w:hAnsi="Times New Roman" w:cs="Times New Roman"/>
          <w:bCs/>
          <w:sz w:val="24"/>
          <w:szCs w:val="24"/>
        </w:rPr>
        <w:t>.</w:t>
      </w:r>
    </w:p>
    <w:p w14:paraId="41737DB3" w14:textId="77777777" w:rsidR="00C50057" w:rsidRPr="00C50057" w:rsidRDefault="00C50057" w:rsidP="00C50057">
      <w:pPr>
        <w:spacing w:after="60" w:line="300" w:lineRule="atLeast"/>
        <w:rPr>
          <w:rFonts w:ascii="Times New Roman" w:hAnsi="Times New Roman" w:cs="Times New Roman"/>
          <w:i/>
          <w:color w:val="4472C4"/>
          <w:sz w:val="24"/>
          <w:szCs w:val="24"/>
        </w:rPr>
      </w:pPr>
      <w:r w:rsidRPr="00C50057">
        <w:rPr>
          <w:rFonts w:ascii="Times New Roman" w:hAnsi="Times New Roman" w:cs="Times New Roman"/>
          <w:i/>
          <w:color w:val="4472C4"/>
          <w:sz w:val="24"/>
          <w:szCs w:val="24"/>
        </w:rPr>
        <w:t>Wojewódzki Inspektorat Ochrony Środowiska w Zielonej Górze</w:t>
      </w:r>
    </w:p>
    <w:p w14:paraId="20EF8C51" w14:textId="4AE4477B" w:rsidR="00C50057" w:rsidRDefault="00C50057" w:rsidP="00C50057">
      <w:pPr>
        <w:spacing w:after="0" w:line="300" w:lineRule="atLeast"/>
        <w:ind w:firstLine="567"/>
        <w:jc w:val="both"/>
        <w:rPr>
          <w:rFonts w:ascii="Times New Roman" w:hAnsi="Times New Roman" w:cs="Times New Roman"/>
          <w:sz w:val="24"/>
          <w:szCs w:val="24"/>
        </w:rPr>
      </w:pPr>
      <w:r w:rsidRPr="00C50057">
        <w:rPr>
          <w:rFonts w:ascii="Times New Roman" w:hAnsi="Times New Roman" w:cs="Times New Roman"/>
          <w:sz w:val="24"/>
          <w:szCs w:val="24"/>
        </w:rPr>
        <w:lastRenderedPageBreak/>
        <w:t>Podczas zabawy Mikołajkowej zaproszone do siedziby WIOŚ dzieci ze szkoły podstawowej wzięły udział w pogadance na temat zanieczyszczania środowiska, działań IOŚ, wysokości wymierzanych kar. Miały również możliwość zapoznać się z nowoczesnym sprzętem, jakim dysponuje WIOŚ, by prowadzić czynności</w:t>
      </w:r>
      <w:r>
        <w:rPr>
          <w:rFonts w:ascii="Times New Roman" w:hAnsi="Times New Roman" w:cs="Times New Roman"/>
          <w:sz w:val="24"/>
          <w:szCs w:val="24"/>
        </w:rPr>
        <w:t xml:space="preserve"> służbowe. </w:t>
      </w:r>
    </w:p>
    <w:p w14:paraId="32972090" w14:textId="77777777" w:rsidR="00C50057" w:rsidRPr="00C50057" w:rsidRDefault="00C50057" w:rsidP="00C50057">
      <w:pPr>
        <w:spacing w:after="0" w:line="300" w:lineRule="atLeast"/>
        <w:ind w:firstLine="567"/>
        <w:jc w:val="both"/>
        <w:rPr>
          <w:rFonts w:ascii="Times New Roman" w:hAnsi="Times New Roman" w:cs="Times New Roman"/>
          <w:bCs/>
          <w:color w:val="000000"/>
          <w:sz w:val="24"/>
          <w:szCs w:val="24"/>
        </w:rPr>
      </w:pPr>
    </w:p>
    <w:p w14:paraId="0A3433FA" w14:textId="52C8A3D9" w:rsidR="00A22034" w:rsidRPr="007F400A" w:rsidRDefault="00A22034" w:rsidP="00D34F97">
      <w:pPr>
        <w:pStyle w:val="Akapitzlist"/>
        <w:numPr>
          <w:ilvl w:val="1"/>
          <w:numId w:val="153"/>
        </w:numPr>
        <w:spacing w:line="300" w:lineRule="atLeast"/>
        <w:jc w:val="both"/>
        <w:outlineLvl w:val="0"/>
        <w:rPr>
          <w:b/>
          <w:color w:val="000000"/>
          <w:sz w:val="24"/>
          <w:szCs w:val="24"/>
          <w:u w:val="single"/>
        </w:rPr>
      </w:pPr>
      <w:bookmarkStart w:id="361" w:name="_Toc99469626"/>
      <w:bookmarkStart w:id="362" w:name="_Toc135935688"/>
      <w:r w:rsidRPr="007F400A">
        <w:rPr>
          <w:rStyle w:val="Nagwek3Znak"/>
          <w:rFonts w:ascii="Times New Roman" w:eastAsia="Calibri" w:hAnsi="Times New Roman"/>
          <w:color w:val="000000" w:themeColor="text1"/>
          <w:sz w:val="24"/>
          <w:szCs w:val="24"/>
        </w:rPr>
        <w:t>Przeprowadzone szkolenia dla organów i służb</w:t>
      </w:r>
      <w:bookmarkEnd w:id="361"/>
      <w:bookmarkEnd w:id="362"/>
    </w:p>
    <w:p w14:paraId="0FBAB233" w14:textId="77777777" w:rsidR="00A22034" w:rsidRPr="007F400A" w:rsidRDefault="00A22034" w:rsidP="00941A85">
      <w:pPr>
        <w:spacing w:after="0" w:line="300" w:lineRule="atLeast"/>
        <w:ind w:left="1213"/>
        <w:jc w:val="both"/>
        <w:rPr>
          <w:rFonts w:ascii="Times New Roman" w:hAnsi="Times New Roman" w:cs="Times New Roman"/>
          <w:b/>
          <w:color w:val="000000"/>
          <w:sz w:val="24"/>
          <w:szCs w:val="24"/>
          <w:lang w:val="x-none"/>
        </w:rPr>
      </w:pPr>
    </w:p>
    <w:tbl>
      <w:tblPr>
        <w:tblStyle w:val="Tabela-Siatka"/>
        <w:tblW w:w="0" w:type="auto"/>
        <w:tblInd w:w="-5" w:type="dxa"/>
        <w:tblLook w:val="04A0" w:firstRow="1" w:lastRow="0" w:firstColumn="1" w:lastColumn="0" w:noHBand="0" w:noVBand="1"/>
      </w:tblPr>
      <w:tblGrid>
        <w:gridCol w:w="2552"/>
        <w:gridCol w:w="6514"/>
      </w:tblGrid>
      <w:tr w:rsidR="00A22034" w:rsidRPr="007F400A" w14:paraId="588DD484" w14:textId="77777777" w:rsidTr="00A22034">
        <w:tc>
          <w:tcPr>
            <w:tcW w:w="2552" w:type="dxa"/>
          </w:tcPr>
          <w:p w14:paraId="085300BC" w14:textId="77777777" w:rsidR="00A22034" w:rsidRPr="007F400A" w:rsidRDefault="00A22034" w:rsidP="00A22034">
            <w:pPr>
              <w:pStyle w:val="Akapitzlist"/>
              <w:spacing w:after="120" w:line="300" w:lineRule="atLeast"/>
              <w:ind w:left="0"/>
              <w:jc w:val="both"/>
              <w:rPr>
                <w:color w:val="000000"/>
                <w:sz w:val="24"/>
                <w:szCs w:val="24"/>
              </w:rPr>
            </w:pPr>
          </w:p>
        </w:tc>
        <w:tc>
          <w:tcPr>
            <w:tcW w:w="6514" w:type="dxa"/>
          </w:tcPr>
          <w:p w14:paraId="734FD43B" w14:textId="77777777" w:rsidR="00A22034" w:rsidRPr="007F400A" w:rsidRDefault="00A22034" w:rsidP="00A22034">
            <w:pPr>
              <w:pStyle w:val="Akapitzlist"/>
              <w:spacing w:after="120" w:line="300" w:lineRule="atLeast"/>
              <w:ind w:left="0"/>
              <w:jc w:val="center"/>
              <w:rPr>
                <w:b/>
                <w:color w:val="000000"/>
                <w:sz w:val="24"/>
                <w:szCs w:val="24"/>
              </w:rPr>
            </w:pPr>
            <w:r w:rsidRPr="007F400A">
              <w:rPr>
                <w:b/>
                <w:color w:val="000000"/>
                <w:sz w:val="24"/>
                <w:szCs w:val="24"/>
              </w:rPr>
              <w:t>Szkolenia dla organów i służb</w:t>
            </w:r>
          </w:p>
        </w:tc>
      </w:tr>
      <w:tr w:rsidR="00A22034" w:rsidRPr="007F400A" w14:paraId="56911A85" w14:textId="77777777" w:rsidTr="00A22034">
        <w:tc>
          <w:tcPr>
            <w:tcW w:w="2552" w:type="dxa"/>
            <w:vAlign w:val="center"/>
          </w:tcPr>
          <w:p w14:paraId="541EBA2C" w14:textId="77777777" w:rsidR="00A22034" w:rsidRPr="007F400A" w:rsidRDefault="00A22034" w:rsidP="00A22034">
            <w:pPr>
              <w:pStyle w:val="Akapitzlist"/>
              <w:spacing w:after="120" w:line="300" w:lineRule="atLeast"/>
              <w:ind w:left="0"/>
              <w:rPr>
                <w:b/>
                <w:color w:val="000000"/>
                <w:sz w:val="24"/>
                <w:szCs w:val="24"/>
              </w:rPr>
            </w:pPr>
            <w:r w:rsidRPr="007F400A">
              <w:rPr>
                <w:b/>
                <w:sz w:val="24"/>
                <w:szCs w:val="24"/>
              </w:rPr>
              <w:t>WIOŚ w Gdańsku</w:t>
            </w:r>
          </w:p>
        </w:tc>
        <w:tc>
          <w:tcPr>
            <w:tcW w:w="6514" w:type="dxa"/>
            <w:vAlign w:val="center"/>
          </w:tcPr>
          <w:p w14:paraId="72443739" w14:textId="77777777" w:rsidR="00941A85" w:rsidRDefault="00C50057" w:rsidP="00D34F97">
            <w:pPr>
              <w:pStyle w:val="Akapitzlist"/>
              <w:numPr>
                <w:ilvl w:val="1"/>
                <w:numId w:val="79"/>
              </w:numPr>
              <w:spacing w:after="120" w:line="300" w:lineRule="atLeast"/>
              <w:ind w:left="357" w:hanging="357"/>
              <w:jc w:val="both"/>
              <w:rPr>
                <w:sz w:val="24"/>
                <w:szCs w:val="24"/>
                <w:lang w:val="pl-PL"/>
              </w:rPr>
            </w:pPr>
            <w:r>
              <w:rPr>
                <w:color w:val="000000"/>
                <w:sz w:val="24"/>
                <w:szCs w:val="24"/>
                <w:lang w:val="pl-PL"/>
              </w:rPr>
              <w:t>S</w:t>
            </w:r>
            <w:proofErr w:type="spellStart"/>
            <w:r w:rsidRPr="00C50057">
              <w:rPr>
                <w:sz w:val="24"/>
                <w:szCs w:val="24"/>
              </w:rPr>
              <w:t>zkolenie</w:t>
            </w:r>
            <w:proofErr w:type="spellEnd"/>
            <w:r w:rsidRPr="00C50057">
              <w:rPr>
                <w:sz w:val="24"/>
                <w:szCs w:val="24"/>
              </w:rPr>
              <w:t xml:space="preserve"> dla funkcjonariuszy Policji (KPP w Pruszczu Gdańskim) dot</w:t>
            </w:r>
            <w:r>
              <w:rPr>
                <w:sz w:val="24"/>
                <w:szCs w:val="24"/>
                <w:lang w:val="pl-PL"/>
              </w:rPr>
              <w:t>yczące</w:t>
            </w:r>
            <w:r w:rsidRPr="00C50057">
              <w:rPr>
                <w:sz w:val="24"/>
                <w:szCs w:val="24"/>
              </w:rPr>
              <w:t xml:space="preserve"> kontroli transportów odpadów</w:t>
            </w:r>
            <w:r>
              <w:rPr>
                <w:sz w:val="24"/>
                <w:szCs w:val="24"/>
                <w:lang w:val="pl-PL"/>
              </w:rPr>
              <w:t xml:space="preserve"> (maj 2022 r.). </w:t>
            </w:r>
          </w:p>
          <w:p w14:paraId="39D90B3E" w14:textId="3FB203F3" w:rsidR="00C50057" w:rsidRPr="00941A85" w:rsidRDefault="00941A85" w:rsidP="00D34F97">
            <w:pPr>
              <w:pStyle w:val="Akapitzlist"/>
              <w:numPr>
                <w:ilvl w:val="1"/>
                <w:numId w:val="79"/>
              </w:numPr>
              <w:spacing w:after="120" w:line="300" w:lineRule="atLeast"/>
              <w:ind w:left="357" w:hanging="357"/>
              <w:jc w:val="both"/>
              <w:rPr>
                <w:sz w:val="24"/>
                <w:szCs w:val="24"/>
                <w:lang w:val="pl-PL"/>
              </w:rPr>
            </w:pPr>
            <w:r>
              <w:rPr>
                <w:sz w:val="24"/>
                <w:szCs w:val="24"/>
                <w:lang w:val="pl-PL"/>
              </w:rPr>
              <w:t>S</w:t>
            </w:r>
            <w:proofErr w:type="spellStart"/>
            <w:r w:rsidR="00C50057" w:rsidRPr="00941A85">
              <w:rPr>
                <w:sz w:val="24"/>
                <w:szCs w:val="24"/>
              </w:rPr>
              <w:t>zkolenie</w:t>
            </w:r>
            <w:proofErr w:type="spellEnd"/>
            <w:r w:rsidR="00C50057" w:rsidRPr="00941A85">
              <w:rPr>
                <w:sz w:val="24"/>
                <w:szCs w:val="24"/>
              </w:rPr>
              <w:t xml:space="preserve"> on-line dla inspektorów WITD w Gdańsku dotyczące przepisów z zakresu gospodarki odpadami oraz międzynarodowego przemieszczania odpadów pod kątem prowadzenia kontroli ruchu drogowego w zakresie transportu odpadów</w:t>
            </w:r>
            <w:r w:rsidRPr="00941A85">
              <w:rPr>
                <w:sz w:val="24"/>
                <w:szCs w:val="24"/>
              </w:rPr>
              <w:t xml:space="preserve"> (grudzień 2022 r.)</w:t>
            </w:r>
          </w:p>
        </w:tc>
      </w:tr>
      <w:tr w:rsidR="00A22034" w:rsidRPr="007F400A" w14:paraId="4C7B7A1A" w14:textId="77777777" w:rsidTr="00A22034">
        <w:tc>
          <w:tcPr>
            <w:tcW w:w="2552" w:type="dxa"/>
            <w:vAlign w:val="center"/>
          </w:tcPr>
          <w:p w14:paraId="76095314" w14:textId="77777777" w:rsidR="00A22034" w:rsidRPr="007F400A" w:rsidRDefault="00A22034" w:rsidP="00A22034">
            <w:pPr>
              <w:pStyle w:val="Akapitzlist"/>
              <w:spacing w:after="120" w:line="300" w:lineRule="atLeast"/>
              <w:ind w:left="0"/>
              <w:rPr>
                <w:b/>
                <w:sz w:val="24"/>
                <w:szCs w:val="24"/>
              </w:rPr>
            </w:pPr>
            <w:r w:rsidRPr="007F400A">
              <w:rPr>
                <w:b/>
                <w:sz w:val="24"/>
                <w:szCs w:val="24"/>
              </w:rPr>
              <w:t>WIOŚ w Lublinie</w:t>
            </w:r>
          </w:p>
        </w:tc>
        <w:tc>
          <w:tcPr>
            <w:tcW w:w="6514" w:type="dxa"/>
            <w:vAlign w:val="center"/>
          </w:tcPr>
          <w:p w14:paraId="5EC52724" w14:textId="56EB3936" w:rsidR="00A22034" w:rsidRPr="007F400A" w:rsidRDefault="00941A85" w:rsidP="00A22034">
            <w:pPr>
              <w:spacing w:after="120" w:line="300" w:lineRule="atLeast"/>
              <w:jc w:val="both"/>
              <w:rPr>
                <w:rFonts w:ascii="Times New Roman" w:hAnsi="Times New Roman"/>
                <w:color w:val="000000"/>
                <w:sz w:val="24"/>
                <w:szCs w:val="24"/>
              </w:rPr>
            </w:pPr>
            <w:r>
              <w:rPr>
                <w:rFonts w:ascii="Times New Roman" w:hAnsi="Times New Roman"/>
                <w:sz w:val="24"/>
                <w:szCs w:val="24"/>
              </w:rPr>
              <w:t>S</w:t>
            </w:r>
            <w:r w:rsidRPr="00941A85">
              <w:rPr>
                <w:rFonts w:ascii="Times New Roman" w:hAnsi="Times New Roman"/>
                <w:sz w:val="24"/>
                <w:szCs w:val="24"/>
              </w:rPr>
              <w:t>zkolenie online dla inspektorów W</w:t>
            </w:r>
            <w:r>
              <w:rPr>
                <w:rFonts w:ascii="Times New Roman" w:hAnsi="Times New Roman"/>
                <w:sz w:val="24"/>
                <w:szCs w:val="24"/>
              </w:rPr>
              <w:t xml:space="preserve">ojewódzkiego </w:t>
            </w:r>
            <w:r w:rsidRPr="00941A85">
              <w:rPr>
                <w:rFonts w:ascii="Times New Roman" w:hAnsi="Times New Roman"/>
                <w:sz w:val="24"/>
                <w:szCs w:val="24"/>
              </w:rPr>
              <w:t>I</w:t>
            </w:r>
            <w:r>
              <w:rPr>
                <w:rFonts w:ascii="Times New Roman" w:hAnsi="Times New Roman"/>
                <w:sz w:val="24"/>
                <w:szCs w:val="24"/>
              </w:rPr>
              <w:t xml:space="preserve">nspektoratu </w:t>
            </w:r>
            <w:r w:rsidRPr="00941A85">
              <w:rPr>
                <w:rFonts w:ascii="Times New Roman" w:hAnsi="Times New Roman"/>
                <w:sz w:val="24"/>
                <w:szCs w:val="24"/>
              </w:rPr>
              <w:t>T</w:t>
            </w:r>
            <w:r>
              <w:rPr>
                <w:rFonts w:ascii="Times New Roman" w:hAnsi="Times New Roman"/>
                <w:sz w:val="24"/>
                <w:szCs w:val="24"/>
              </w:rPr>
              <w:t xml:space="preserve">ransportu </w:t>
            </w:r>
            <w:r w:rsidRPr="00941A85">
              <w:rPr>
                <w:rFonts w:ascii="Times New Roman" w:hAnsi="Times New Roman"/>
                <w:sz w:val="24"/>
                <w:szCs w:val="24"/>
              </w:rPr>
              <w:t>D</w:t>
            </w:r>
            <w:r>
              <w:rPr>
                <w:rFonts w:ascii="Times New Roman" w:hAnsi="Times New Roman"/>
                <w:sz w:val="24"/>
                <w:szCs w:val="24"/>
              </w:rPr>
              <w:t>rogowego</w:t>
            </w:r>
            <w:r w:rsidRPr="00941A85">
              <w:rPr>
                <w:rFonts w:ascii="Times New Roman" w:hAnsi="Times New Roman"/>
                <w:sz w:val="24"/>
                <w:szCs w:val="24"/>
              </w:rPr>
              <w:t xml:space="preserve"> w Lublinie z zakresu transgranicznego przemieszczania odpadów</w:t>
            </w:r>
            <w:r w:rsidR="00A22034" w:rsidRPr="007F400A">
              <w:rPr>
                <w:rFonts w:ascii="Times New Roman" w:hAnsi="Times New Roman"/>
                <w:color w:val="000000"/>
                <w:sz w:val="24"/>
                <w:szCs w:val="24"/>
              </w:rPr>
              <w:t xml:space="preserve"> </w:t>
            </w:r>
          </w:p>
        </w:tc>
      </w:tr>
      <w:tr w:rsidR="00A22034" w:rsidRPr="007F400A" w14:paraId="586A90FD" w14:textId="77777777" w:rsidTr="00A22034">
        <w:tc>
          <w:tcPr>
            <w:tcW w:w="2552" w:type="dxa"/>
            <w:vAlign w:val="center"/>
          </w:tcPr>
          <w:p w14:paraId="3808121C" w14:textId="77777777" w:rsidR="00A22034" w:rsidRPr="007F400A" w:rsidRDefault="00A22034" w:rsidP="00A22034">
            <w:pPr>
              <w:pStyle w:val="Akapitzlist"/>
              <w:spacing w:after="120" w:line="300" w:lineRule="atLeast"/>
              <w:ind w:left="0"/>
              <w:rPr>
                <w:b/>
                <w:sz w:val="24"/>
                <w:szCs w:val="24"/>
              </w:rPr>
            </w:pPr>
            <w:r w:rsidRPr="007F400A">
              <w:rPr>
                <w:b/>
                <w:sz w:val="24"/>
                <w:szCs w:val="24"/>
              </w:rPr>
              <w:t>WIOŚ w Łodzi</w:t>
            </w:r>
          </w:p>
        </w:tc>
        <w:tc>
          <w:tcPr>
            <w:tcW w:w="6514" w:type="dxa"/>
            <w:vAlign w:val="center"/>
          </w:tcPr>
          <w:p w14:paraId="6CEB7A34" w14:textId="57A7F398" w:rsidR="00A22034" w:rsidRPr="00850F89" w:rsidRDefault="00941A85" w:rsidP="00D34F97">
            <w:pPr>
              <w:pStyle w:val="Akapitzlist"/>
              <w:numPr>
                <w:ilvl w:val="0"/>
                <w:numId w:val="327"/>
              </w:numPr>
              <w:spacing w:after="120" w:line="300" w:lineRule="atLeast"/>
              <w:ind w:left="357" w:hanging="357"/>
              <w:jc w:val="both"/>
              <w:rPr>
                <w:iCs/>
                <w:color w:val="000000"/>
                <w:sz w:val="24"/>
                <w:szCs w:val="24"/>
              </w:rPr>
            </w:pPr>
            <w:r w:rsidRPr="00850F89">
              <w:rPr>
                <w:color w:val="000000"/>
                <w:sz w:val="24"/>
                <w:szCs w:val="24"/>
              </w:rPr>
              <w:t>C</w:t>
            </w:r>
            <w:r w:rsidRPr="00850F89">
              <w:rPr>
                <w:iCs/>
                <w:sz w:val="24"/>
                <w:szCs w:val="24"/>
              </w:rPr>
              <w:t>ykl wzajemnych szkoleń w zakresie gospodarki odpadami oraz krajowego i międzynarodowego przemieszczania odpadów (prowadzonych przez WIOŚ) oraz funkcjonowania Systemu Elektronicznej Nadzoru Transportów (prowadzonych przez KAS), w których wzięło udział 34 inspektorów KAS, 45 inspektorów WIOŚ w Łodzi a także dwóch przedstawicieli WITD</w:t>
            </w:r>
            <w:r w:rsidR="00850F89">
              <w:rPr>
                <w:iCs/>
                <w:sz w:val="24"/>
                <w:szCs w:val="24"/>
                <w:lang w:val="pl-PL"/>
              </w:rPr>
              <w:t xml:space="preserve"> (marzec 2022 r.)</w:t>
            </w:r>
          </w:p>
          <w:p w14:paraId="28AB8DC5" w14:textId="11EC67A7" w:rsidR="00850F89" w:rsidRPr="00850F89" w:rsidRDefault="00850F89" w:rsidP="00D34F97">
            <w:pPr>
              <w:pStyle w:val="Akapitzlist"/>
              <w:numPr>
                <w:ilvl w:val="0"/>
                <w:numId w:val="327"/>
              </w:numPr>
              <w:spacing w:line="300" w:lineRule="atLeast"/>
              <w:ind w:left="357" w:hanging="357"/>
              <w:contextualSpacing w:val="0"/>
              <w:jc w:val="both"/>
              <w:rPr>
                <w:color w:val="000000"/>
                <w:sz w:val="24"/>
                <w:szCs w:val="24"/>
              </w:rPr>
            </w:pPr>
            <w:r>
              <w:rPr>
                <w:sz w:val="24"/>
                <w:szCs w:val="24"/>
                <w:lang w:val="pl-PL"/>
              </w:rPr>
              <w:t>S</w:t>
            </w:r>
            <w:proofErr w:type="spellStart"/>
            <w:r w:rsidRPr="00850F89">
              <w:rPr>
                <w:sz w:val="24"/>
                <w:szCs w:val="24"/>
              </w:rPr>
              <w:t>zkolenie</w:t>
            </w:r>
            <w:proofErr w:type="spellEnd"/>
            <w:r w:rsidRPr="00850F89">
              <w:rPr>
                <w:sz w:val="24"/>
                <w:szCs w:val="24"/>
              </w:rPr>
              <w:t xml:space="preserve"> w zakresie działalności Inspekcji Ochrony Środowiska, ze szczególnym, uwzględnieniem gospodarki odpadami</w:t>
            </w:r>
            <w:r>
              <w:rPr>
                <w:sz w:val="24"/>
                <w:szCs w:val="24"/>
                <w:lang w:val="pl-PL"/>
              </w:rPr>
              <w:t xml:space="preserve">, w którym </w:t>
            </w:r>
            <w:r w:rsidRPr="00850F89">
              <w:rPr>
                <w:sz w:val="24"/>
                <w:szCs w:val="24"/>
              </w:rPr>
              <w:t>wzięło udział kilkudziesięciu funkcjonariuszy Policji z terenu województwa łódzkiego</w:t>
            </w:r>
            <w:r w:rsidR="002F1828">
              <w:rPr>
                <w:sz w:val="24"/>
                <w:szCs w:val="24"/>
                <w:lang w:val="pl-PL"/>
              </w:rPr>
              <w:t xml:space="preserve"> (czerwiec 2022 r.)</w:t>
            </w:r>
          </w:p>
        </w:tc>
      </w:tr>
      <w:tr w:rsidR="00A22034" w:rsidRPr="007F400A" w14:paraId="0E887190" w14:textId="77777777" w:rsidTr="00A22034">
        <w:tc>
          <w:tcPr>
            <w:tcW w:w="2552" w:type="dxa"/>
            <w:vAlign w:val="center"/>
          </w:tcPr>
          <w:p w14:paraId="0B490C43" w14:textId="263F9E7C" w:rsidR="00A22034" w:rsidRPr="002F1828" w:rsidRDefault="00A22034" w:rsidP="00A22034">
            <w:pPr>
              <w:pStyle w:val="Akapitzlist"/>
              <w:spacing w:after="120" w:line="300" w:lineRule="atLeast"/>
              <w:ind w:left="0"/>
              <w:rPr>
                <w:b/>
                <w:color w:val="000000"/>
                <w:sz w:val="24"/>
                <w:szCs w:val="24"/>
                <w:lang w:val="pl-PL"/>
              </w:rPr>
            </w:pPr>
            <w:r w:rsidRPr="007F400A">
              <w:rPr>
                <w:b/>
                <w:sz w:val="24"/>
                <w:szCs w:val="24"/>
              </w:rPr>
              <w:t xml:space="preserve">WIOŚ w </w:t>
            </w:r>
            <w:r w:rsidR="002F1828">
              <w:rPr>
                <w:b/>
                <w:sz w:val="24"/>
                <w:szCs w:val="24"/>
                <w:lang w:val="pl-PL"/>
              </w:rPr>
              <w:t>Rzeszowie</w:t>
            </w:r>
          </w:p>
        </w:tc>
        <w:tc>
          <w:tcPr>
            <w:tcW w:w="6514" w:type="dxa"/>
            <w:vAlign w:val="center"/>
          </w:tcPr>
          <w:p w14:paraId="0C680B5C" w14:textId="6D5EDF59" w:rsidR="00A22034" w:rsidRPr="002F1828" w:rsidRDefault="002F1828" w:rsidP="002F1828">
            <w:pPr>
              <w:autoSpaceDE w:val="0"/>
              <w:autoSpaceDN w:val="0"/>
              <w:adjustRightInd w:val="0"/>
              <w:spacing w:line="300" w:lineRule="atLeast"/>
              <w:contextualSpacing/>
              <w:jc w:val="both"/>
              <w:rPr>
                <w:rFonts w:ascii="Times New Roman" w:hAnsi="Times New Roman"/>
                <w:sz w:val="24"/>
                <w:szCs w:val="24"/>
              </w:rPr>
            </w:pPr>
            <w:r w:rsidRPr="002F1828">
              <w:rPr>
                <w:rFonts w:ascii="Times New Roman" w:hAnsi="Times New Roman"/>
                <w:sz w:val="24"/>
                <w:szCs w:val="24"/>
              </w:rPr>
              <w:t xml:space="preserve">Szkolenie </w:t>
            </w:r>
            <w:r>
              <w:rPr>
                <w:rFonts w:ascii="Times New Roman" w:hAnsi="Times New Roman"/>
                <w:sz w:val="24"/>
                <w:szCs w:val="24"/>
              </w:rPr>
              <w:t xml:space="preserve">dla funkcjonariuszy </w:t>
            </w:r>
            <w:r w:rsidRPr="002F1828">
              <w:rPr>
                <w:rFonts w:ascii="Times New Roman" w:hAnsi="Times New Roman"/>
                <w:sz w:val="24"/>
                <w:szCs w:val="24"/>
              </w:rPr>
              <w:t xml:space="preserve">Inspekcji Transportu Drogowego </w:t>
            </w:r>
            <w:r>
              <w:rPr>
                <w:rFonts w:ascii="Times New Roman" w:hAnsi="Times New Roman"/>
                <w:sz w:val="24"/>
                <w:szCs w:val="24"/>
              </w:rPr>
              <w:br/>
            </w:r>
            <w:r w:rsidRPr="002F1828">
              <w:rPr>
                <w:rFonts w:ascii="Times New Roman" w:hAnsi="Times New Roman"/>
                <w:sz w:val="24"/>
                <w:szCs w:val="24"/>
              </w:rPr>
              <w:t>w Rzeszowie, dotycz</w:t>
            </w:r>
            <w:r>
              <w:rPr>
                <w:rFonts w:ascii="Times New Roman" w:hAnsi="Times New Roman"/>
                <w:sz w:val="24"/>
                <w:szCs w:val="24"/>
              </w:rPr>
              <w:t>ące</w:t>
            </w:r>
            <w:r w:rsidRPr="002F1828">
              <w:rPr>
                <w:rFonts w:ascii="Times New Roman" w:hAnsi="Times New Roman"/>
                <w:sz w:val="24"/>
                <w:szCs w:val="24"/>
              </w:rPr>
              <w:t xml:space="preserve"> bazy danych o produktach </w:t>
            </w:r>
            <w:r>
              <w:rPr>
                <w:rFonts w:ascii="Times New Roman" w:hAnsi="Times New Roman"/>
                <w:sz w:val="24"/>
                <w:szCs w:val="24"/>
              </w:rPr>
              <w:br/>
            </w:r>
            <w:r w:rsidRPr="002F1828">
              <w:rPr>
                <w:rFonts w:ascii="Times New Roman" w:hAnsi="Times New Roman"/>
                <w:sz w:val="24"/>
                <w:szCs w:val="24"/>
              </w:rPr>
              <w:t>i opakowaniach oraz o gospodarce odpadami (BDO), transportu odpadów, wybranych zagadnień z zakresu transgranicznego przemieszczania odpadów, a także systemu SENT</w:t>
            </w:r>
            <w:r>
              <w:rPr>
                <w:rFonts w:ascii="Times New Roman" w:hAnsi="Times New Roman"/>
                <w:sz w:val="24"/>
                <w:szCs w:val="24"/>
              </w:rPr>
              <w:t xml:space="preserve"> (wrzesień </w:t>
            </w:r>
            <w:r>
              <w:rPr>
                <w:rFonts w:ascii="Times New Roman" w:hAnsi="Times New Roman"/>
                <w:sz w:val="24"/>
                <w:szCs w:val="24"/>
              </w:rPr>
              <w:br/>
              <w:t>2022 r.)</w:t>
            </w:r>
          </w:p>
        </w:tc>
      </w:tr>
      <w:tr w:rsidR="00A22034" w:rsidRPr="007F400A" w14:paraId="25AD402D" w14:textId="77777777" w:rsidTr="00A22034">
        <w:tc>
          <w:tcPr>
            <w:tcW w:w="2552" w:type="dxa"/>
            <w:vAlign w:val="center"/>
          </w:tcPr>
          <w:p w14:paraId="54A6E6B3" w14:textId="77777777" w:rsidR="00A22034" w:rsidRPr="007F400A" w:rsidRDefault="00A22034" w:rsidP="00A22034">
            <w:pPr>
              <w:pStyle w:val="Akapitzlist"/>
              <w:spacing w:after="120" w:line="300" w:lineRule="atLeast"/>
              <w:ind w:left="0"/>
              <w:rPr>
                <w:b/>
                <w:color w:val="000000"/>
                <w:sz w:val="24"/>
                <w:szCs w:val="24"/>
              </w:rPr>
            </w:pPr>
            <w:r w:rsidRPr="007F400A">
              <w:rPr>
                <w:b/>
                <w:sz w:val="24"/>
                <w:szCs w:val="24"/>
              </w:rPr>
              <w:t>WIOŚ w Warszawie</w:t>
            </w:r>
          </w:p>
        </w:tc>
        <w:tc>
          <w:tcPr>
            <w:tcW w:w="6514" w:type="dxa"/>
            <w:vAlign w:val="center"/>
          </w:tcPr>
          <w:p w14:paraId="2B8A7229" w14:textId="3763BDA7" w:rsidR="002F1828" w:rsidRPr="002F1828" w:rsidRDefault="002F1828" w:rsidP="00D34F97">
            <w:pPr>
              <w:pStyle w:val="Akapitzlist"/>
              <w:numPr>
                <w:ilvl w:val="0"/>
                <w:numId w:val="328"/>
              </w:numPr>
              <w:spacing w:line="300" w:lineRule="atLeast"/>
              <w:ind w:left="0" w:firstLine="0"/>
              <w:jc w:val="both"/>
              <w:rPr>
                <w:color w:val="000000"/>
                <w:sz w:val="24"/>
                <w:szCs w:val="24"/>
              </w:rPr>
            </w:pPr>
            <w:r w:rsidRPr="002F1828">
              <w:rPr>
                <w:i/>
                <w:iCs/>
                <w:color w:val="000000"/>
                <w:sz w:val="24"/>
                <w:szCs w:val="24"/>
              </w:rPr>
              <w:t>Ochrona środowiska w nielegalnym demontażu pojazdów</w:t>
            </w:r>
            <w:r w:rsidRPr="002F1828">
              <w:rPr>
                <w:color w:val="000000"/>
                <w:sz w:val="24"/>
                <w:szCs w:val="24"/>
              </w:rPr>
              <w:t xml:space="preserve"> – szkolenie on-line </w:t>
            </w:r>
            <w:r>
              <w:rPr>
                <w:color w:val="000000"/>
                <w:sz w:val="24"/>
                <w:szCs w:val="24"/>
                <w:lang w:val="pl-PL"/>
              </w:rPr>
              <w:t xml:space="preserve">dla </w:t>
            </w:r>
            <w:r w:rsidRPr="002F1828">
              <w:rPr>
                <w:color w:val="000000"/>
                <w:sz w:val="24"/>
                <w:szCs w:val="24"/>
              </w:rPr>
              <w:t>przedstawicieli KAS, KWP, KSP oraz jednostek samorządu terytorialnego. Podczas szkolenia zarejestrowano 155  połączeń</w:t>
            </w:r>
            <w:r w:rsidR="00D90249">
              <w:rPr>
                <w:color w:val="000000"/>
                <w:sz w:val="24"/>
                <w:szCs w:val="24"/>
                <w:lang w:val="pl-PL"/>
              </w:rPr>
              <w:t xml:space="preserve"> (kwiecień 2022 r.).</w:t>
            </w:r>
          </w:p>
          <w:p w14:paraId="794A4E35" w14:textId="0D4DE6FD" w:rsidR="002F1828" w:rsidRPr="002F1828" w:rsidRDefault="002F1828" w:rsidP="00D34F97">
            <w:pPr>
              <w:pStyle w:val="Akapitzlist"/>
              <w:numPr>
                <w:ilvl w:val="0"/>
                <w:numId w:val="328"/>
              </w:numPr>
              <w:spacing w:line="300" w:lineRule="atLeast"/>
              <w:ind w:left="0" w:firstLine="0"/>
              <w:jc w:val="both"/>
              <w:rPr>
                <w:color w:val="000000"/>
                <w:sz w:val="24"/>
                <w:szCs w:val="24"/>
              </w:rPr>
            </w:pPr>
            <w:r w:rsidRPr="002F1828">
              <w:rPr>
                <w:i/>
                <w:iCs/>
                <w:color w:val="000000"/>
                <w:sz w:val="24"/>
                <w:szCs w:val="24"/>
              </w:rPr>
              <w:t>Kontrola drogowa transportu odpadów</w:t>
            </w:r>
            <w:r w:rsidRPr="002F1828">
              <w:rPr>
                <w:color w:val="000000"/>
                <w:sz w:val="24"/>
                <w:szCs w:val="24"/>
              </w:rPr>
              <w:t xml:space="preserve">  – szkolenie on-line </w:t>
            </w:r>
            <w:r w:rsidR="00D90249">
              <w:rPr>
                <w:color w:val="000000"/>
                <w:sz w:val="24"/>
                <w:szCs w:val="24"/>
                <w:lang w:val="pl-PL"/>
              </w:rPr>
              <w:t xml:space="preserve">dla </w:t>
            </w:r>
            <w:r w:rsidRPr="002F1828">
              <w:rPr>
                <w:color w:val="000000"/>
                <w:sz w:val="24"/>
                <w:szCs w:val="24"/>
              </w:rPr>
              <w:t>przedstawicieli KAS, WSP, KWP oraz ITD. Podczas szkolenia zarejestrowano 186 połączeń</w:t>
            </w:r>
            <w:r w:rsidR="00D90249">
              <w:rPr>
                <w:color w:val="000000"/>
                <w:sz w:val="24"/>
                <w:szCs w:val="24"/>
                <w:lang w:val="pl-PL"/>
              </w:rPr>
              <w:t xml:space="preserve"> (kwiecień 2022 r)</w:t>
            </w:r>
            <w:r w:rsidRPr="002F1828">
              <w:rPr>
                <w:color w:val="000000"/>
                <w:sz w:val="24"/>
                <w:szCs w:val="24"/>
              </w:rPr>
              <w:t>.</w:t>
            </w:r>
          </w:p>
          <w:p w14:paraId="21ED3F97" w14:textId="02271A02" w:rsidR="00A22034" w:rsidRPr="002F1828" w:rsidRDefault="002F1828" w:rsidP="00D34F97">
            <w:pPr>
              <w:pStyle w:val="Akapitzlist"/>
              <w:numPr>
                <w:ilvl w:val="0"/>
                <w:numId w:val="328"/>
              </w:numPr>
              <w:spacing w:line="300" w:lineRule="atLeast"/>
              <w:ind w:left="0" w:firstLine="0"/>
              <w:jc w:val="both"/>
              <w:rPr>
                <w:color w:val="000000"/>
                <w:sz w:val="24"/>
                <w:szCs w:val="24"/>
              </w:rPr>
            </w:pPr>
            <w:r w:rsidRPr="002F1828">
              <w:rPr>
                <w:i/>
                <w:iCs/>
                <w:color w:val="000000"/>
                <w:sz w:val="24"/>
                <w:szCs w:val="24"/>
              </w:rPr>
              <w:lastRenderedPageBreak/>
              <w:t>Gospodarowanie komunalnymi osadami ściekowymi. Dobre i złe praktyki</w:t>
            </w:r>
            <w:r w:rsidRPr="002F1828">
              <w:rPr>
                <w:color w:val="000000"/>
                <w:sz w:val="24"/>
                <w:szCs w:val="24"/>
              </w:rPr>
              <w:t xml:space="preserve"> – szkolenie on-line </w:t>
            </w:r>
            <w:r w:rsidR="00D90249">
              <w:rPr>
                <w:color w:val="000000"/>
                <w:sz w:val="24"/>
                <w:szCs w:val="24"/>
                <w:lang w:val="pl-PL"/>
              </w:rPr>
              <w:t xml:space="preserve">dla pracowników </w:t>
            </w:r>
            <w:r w:rsidRPr="002F1828">
              <w:rPr>
                <w:sz w:val="24"/>
                <w:szCs w:val="24"/>
              </w:rPr>
              <w:t>urzędów gmin, jednostek budżetowych gmin oraz podmiotów prowadzących komunalne oczyszczalnie ścieków na terenie</w:t>
            </w:r>
            <w:r w:rsidRPr="000C0753">
              <w:t xml:space="preserve"> </w:t>
            </w:r>
            <w:r w:rsidRPr="002F1828">
              <w:rPr>
                <w:sz w:val="24"/>
                <w:szCs w:val="24"/>
              </w:rPr>
              <w:t>województwa mazowieckiego. Łącznie informacja o szkoleniu dotarła do 242 odbiorców-potencjalnych uczestników szkolenia</w:t>
            </w:r>
            <w:r w:rsidR="00D90249">
              <w:rPr>
                <w:sz w:val="24"/>
                <w:szCs w:val="24"/>
                <w:lang w:val="pl-PL"/>
              </w:rPr>
              <w:t xml:space="preserve"> (październik 2022 r.)</w:t>
            </w:r>
            <w:r w:rsidRPr="002F1828">
              <w:rPr>
                <w:sz w:val="24"/>
                <w:szCs w:val="24"/>
              </w:rPr>
              <w:t xml:space="preserve">. </w:t>
            </w:r>
          </w:p>
        </w:tc>
      </w:tr>
      <w:tr w:rsidR="00A22034" w:rsidRPr="007F400A" w14:paraId="3DE94DDA" w14:textId="77777777" w:rsidTr="00A22034">
        <w:tc>
          <w:tcPr>
            <w:tcW w:w="2552" w:type="dxa"/>
            <w:vAlign w:val="center"/>
          </w:tcPr>
          <w:p w14:paraId="06B5E9F6" w14:textId="77777777" w:rsidR="00A22034" w:rsidRPr="007F400A" w:rsidRDefault="00A22034" w:rsidP="00A22034">
            <w:pPr>
              <w:pStyle w:val="Akapitzlist"/>
              <w:spacing w:after="120" w:line="300" w:lineRule="atLeast"/>
              <w:ind w:left="0"/>
              <w:rPr>
                <w:b/>
                <w:color w:val="000000"/>
                <w:sz w:val="24"/>
                <w:szCs w:val="24"/>
              </w:rPr>
            </w:pPr>
            <w:r w:rsidRPr="007F400A">
              <w:rPr>
                <w:b/>
                <w:sz w:val="24"/>
                <w:szCs w:val="24"/>
              </w:rPr>
              <w:lastRenderedPageBreak/>
              <w:t>WIOŚ w Zielonej Górze</w:t>
            </w:r>
          </w:p>
        </w:tc>
        <w:tc>
          <w:tcPr>
            <w:tcW w:w="6514" w:type="dxa"/>
            <w:vAlign w:val="center"/>
          </w:tcPr>
          <w:p w14:paraId="0BDD2536" w14:textId="1F506AAD" w:rsidR="00A22034" w:rsidRPr="007F400A" w:rsidRDefault="00D90249" w:rsidP="00A22034">
            <w:pPr>
              <w:pStyle w:val="Akapitzlist"/>
              <w:spacing w:after="120" w:line="300" w:lineRule="atLeast"/>
              <w:ind w:left="0"/>
              <w:jc w:val="both"/>
              <w:rPr>
                <w:color w:val="000000"/>
                <w:sz w:val="24"/>
                <w:szCs w:val="24"/>
              </w:rPr>
            </w:pPr>
            <w:r w:rsidRPr="00D90249">
              <w:rPr>
                <w:sz w:val="24"/>
                <w:szCs w:val="24"/>
              </w:rPr>
              <w:t xml:space="preserve">szkolenie z zakresu transgranicznego przemieszczania odpadów dla funkcjonariuszy Lubuskiego Urzędu Celno-Skarbowego </w:t>
            </w:r>
            <w:r>
              <w:rPr>
                <w:sz w:val="24"/>
                <w:szCs w:val="24"/>
              </w:rPr>
              <w:br/>
            </w:r>
            <w:r w:rsidRPr="00D90249">
              <w:rPr>
                <w:sz w:val="24"/>
                <w:szCs w:val="24"/>
              </w:rPr>
              <w:t xml:space="preserve">w Gorzowie Wielkopolskim, Pierwszego Działu Realizacji </w:t>
            </w:r>
            <w:r>
              <w:rPr>
                <w:sz w:val="24"/>
                <w:szCs w:val="24"/>
              </w:rPr>
              <w:br/>
            </w:r>
            <w:r w:rsidRPr="00D90249">
              <w:rPr>
                <w:sz w:val="24"/>
                <w:szCs w:val="24"/>
              </w:rPr>
              <w:t>w Świecku</w:t>
            </w:r>
            <w:r>
              <w:rPr>
                <w:sz w:val="24"/>
                <w:szCs w:val="24"/>
                <w:lang w:val="pl-PL"/>
              </w:rPr>
              <w:t xml:space="preserve"> (listopad 2022 r.)</w:t>
            </w:r>
            <w:r w:rsidR="00A22034" w:rsidRPr="007F400A">
              <w:rPr>
                <w:color w:val="000000"/>
                <w:sz w:val="24"/>
                <w:szCs w:val="24"/>
              </w:rPr>
              <w:t>.</w:t>
            </w:r>
          </w:p>
        </w:tc>
      </w:tr>
    </w:tbl>
    <w:p w14:paraId="5054BCE0" w14:textId="77777777" w:rsidR="00D90249" w:rsidRDefault="00D90249" w:rsidP="00715A1A">
      <w:pPr>
        <w:spacing w:line="300" w:lineRule="atLeast"/>
        <w:jc w:val="center"/>
        <w:rPr>
          <w:rFonts w:ascii="Times New Roman" w:hAnsi="Times New Roman" w:cs="Times New Roman"/>
          <w:sz w:val="24"/>
          <w:szCs w:val="24"/>
        </w:rPr>
      </w:pPr>
      <w:r w:rsidRPr="000C0753">
        <w:rPr>
          <w:noProof/>
          <w:lang w:eastAsia="pl-PL"/>
        </w:rPr>
        <w:drawing>
          <wp:inline distT="0" distB="0" distL="0" distR="0" wp14:anchorId="67EF15F0" wp14:editId="20CA2664">
            <wp:extent cx="4327966" cy="2224430"/>
            <wp:effectExtent l="0" t="0" r="0" b="4445"/>
            <wp:docPr id="38" name="Obraz 38" descr="Zdjęcia 61. Szkolenia dla organów i służ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descr="Zdjęcia 61. Szkolenia dla organów i służb"/>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345345" cy="2233362"/>
                    </a:xfrm>
                    <a:prstGeom prst="rect">
                      <a:avLst/>
                    </a:prstGeom>
                    <a:noFill/>
                    <a:ln>
                      <a:noFill/>
                    </a:ln>
                  </pic:spPr>
                </pic:pic>
              </a:graphicData>
            </a:graphic>
          </wp:inline>
        </w:drawing>
      </w:r>
    </w:p>
    <w:p w14:paraId="45527D34" w14:textId="200E181B" w:rsidR="00D90249" w:rsidRDefault="00006E3C" w:rsidP="00715A1A">
      <w:pPr>
        <w:spacing w:line="300" w:lineRule="atLeast"/>
        <w:jc w:val="center"/>
        <w:rPr>
          <w:rFonts w:ascii="Times New Roman" w:hAnsi="Times New Roman" w:cs="Times New Roman"/>
          <w:sz w:val="24"/>
          <w:szCs w:val="24"/>
        </w:rPr>
      </w:pPr>
      <w:r w:rsidRPr="000C0753">
        <w:rPr>
          <w:noProof/>
          <w:lang w:eastAsia="pl-PL"/>
        </w:rPr>
        <w:drawing>
          <wp:inline distT="0" distB="0" distL="0" distR="0" wp14:anchorId="553B5551" wp14:editId="126CD8A9">
            <wp:extent cx="3313651" cy="2495550"/>
            <wp:effectExtent l="0" t="0" r="1270" b="0"/>
            <wp:docPr id="42" name="Obraz 42" descr="Zdjęcia 62. Szkolenia dla organów i służ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descr="Zdjęcia 62. Szkolenia dla organów i służb"/>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329484" cy="2507474"/>
                    </a:xfrm>
                    <a:prstGeom prst="rect">
                      <a:avLst/>
                    </a:prstGeom>
                    <a:noFill/>
                    <a:ln>
                      <a:noFill/>
                    </a:ln>
                  </pic:spPr>
                </pic:pic>
              </a:graphicData>
            </a:graphic>
          </wp:inline>
        </w:drawing>
      </w:r>
    </w:p>
    <w:p w14:paraId="69B161C6" w14:textId="77777777" w:rsidR="00CB5B9A" w:rsidRPr="007F400A" w:rsidRDefault="00CB5B9A" w:rsidP="00CB5B9A">
      <w:pPr>
        <w:spacing w:line="300" w:lineRule="atLeast"/>
        <w:jc w:val="center"/>
        <w:rPr>
          <w:rFonts w:ascii="Times New Roman" w:eastAsia="Calibri" w:hAnsi="Times New Roman" w:cs="Times New Roman"/>
          <w:b/>
          <w:color w:val="000000"/>
          <w:sz w:val="24"/>
          <w:szCs w:val="24"/>
        </w:rPr>
      </w:pPr>
      <w:r w:rsidRPr="007F400A">
        <w:rPr>
          <w:rFonts w:ascii="Times New Roman" w:eastAsia="Calibri" w:hAnsi="Times New Roman" w:cs="Times New Roman"/>
          <w:b/>
          <w:color w:val="000000"/>
          <w:sz w:val="24"/>
          <w:szCs w:val="24"/>
        </w:rPr>
        <w:t xml:space="preserve">Zdjęcia </w:t>
      </w:r>
      <w:r>
        <w:rPr>
          <w:rFonts w:ascii="Times New Roman" w:eastAsia="Calibri" w:hAnsi="Times New Roman" w:cs="Times New Roman"/>
          <w:b/>
          <w:color w:val="000000"/>
          <w:sz w:val="24"/>
          <w:szCs w:val="24"/>
        </w:rPr>
        <w:t>61</w:t>
      </w:r>
      <w:r w:rsidRPr="007F400A">
        <w:rPr>
          <w:rFonts w:ascii="Times New Roman" w:eastAsia="Calibri" w:hAnsi="Times New Roman" w:cs="Times New Roman"/>
          <w:b/>
          <w:color w:val="000000"/>
          <w:sz w:val="24"/>
          <w:szCs w:val="24"/>
        </w:rPr>
        <w:t>-</w:t>
      </w:r>
      <w:r>
        <w:rPr>
          <w:rFonts w:ascii="Times New Roman" w:eastAsia="Calibri" w:hAnsi="Times New Roman" w:cs="Times New Roman"/>
          <w:b/>
          <w:color w:val="000000"/>
          <w:sz w:val="24"/>
          <w:szCs w:val="24"/>
        </w:rPr>
        <w:t>62</w:t>
      </w:r>
      <w:r w:rsidRPr="007F400A">
        <w:rPr>
          <w:rFonts w:ascii="Times New Roman" w:eastAsia="Calibri" w:hAnsi="Times New Roman" w:cs="Times New Roman"/>
          <w:b/>
          <w:color w:val="000000"/>
          <w:sz w:val="24"/>
          <w:szCs w:val="24"/>
        </w:rPr>
        <w:t>. Szkolenia dla organów i służb</w:t>
      </w:r>
    </w:p>
    <w:p w14:paraId="57BF872B" w14:textId="77777777" w:rsidR="00CB5B9A" w:rsidRDefault="00CB5B9A" w:rsidP="00715A1A">
      <w:pPr>
        <w:spacing w:line="300" w:lineRule="atLeast"/>
        <w:jc w:val="center"/>
        <w:rPr>
          <w:rFonts w:ascii="Times New Roman" w:hAnsi="Times New Roman" w:cs="Times New Roman"/>
          <w:sz w:val="24"/>
          <w:szCs w:val="24"/>
        </w:rPr>
      </w:pPr>
    </w:p>
    <w:p w14:paraId="5DA33574" w14:textId="5EBB1217" w:rsidR="00006E3C" w:rsidRPr="000850CD" w:rsidRDefault="00006E3C" w:rsidP="00D34F97">
      <w:pPr>
        <w:pStyle w:val="Akapitzlist"/>
        <w:numPr>
          <w:ilvl w:val="0"/>
          <w:numId w:val="153"/>
        </w:numPr>
        <w:spacing w:line="300" w:lineRule="atLeast"/>
        <w:ind w:left="357" w:hanging="357"/>
        <w:jc w:val="both"/>
        <w:outlineLvl w:val="0"/>
        <w:rPr>
          <w:b/>
          <w:sz w:val="24"/>
          <w:szCs w:val="24"/>
        </w:rPr>
      </w:pPr>
      <w:bookmarkStart w:id="363" w:name="_Toc135935689"/>
      <w:r w:rsidRPr="000850CD">
        <w:rPr>
          <w:b/>
          <w:sz w:val="24"/>
          <w:szCs w:val="24"/>
          <w:lang w:val="pl-PL"/>
        </w:rPr>
        <w:t xml:space="preserve">Najważniejsze </w:t>
      </w:r>
      <w:r w:rsidR="000850CD" w:rsidRPr="000850CD">
        <w:rPr>
          <w:b/>
          <w:sz w:val="24"/>
          <w:szCs w:val="24"/>
          <w:lang w:val="pl-PL"/>
        </w:rPr>
        <w:t xml:space="preserve">w 2022 r. </w:t>
      </w:r>
      <w:r w:rsidR="00521718" w:rsidRPr="000850CD">
        <w:rPr>
          <w:b/>
          <w:sz w:val="24"/>
          <w:szCs w:val="24"/>
          <w:lang w:val="pl-PL"/>
        </w:rPr>
        <w:t xml:space="preserve">wydarzenia i działania w zakresie </w:t>
      </w:r>
      <w:r w:rsidR="00E30D5B" w:rsidRPr="000850CD">
        <w:rPr>
          <w:b/>
          <w:sz w:val="24"/>
          <w:szCs w:val="24"/>
          <w:lang w:val="pl-PL"/>
        </w:rPr>
        <w:t xml:space="preserve">zwalczania przestępczości środowiskowej </w:t>
      </w:r>
      <w:r w:rsidR="000850CD" w:rsidRPr="000850CD">
        <w:rPr>
          <w:b/>
          <w:sz w:val="24"/>
          <w:szCs w:val="24"/>
          <w:lang w:val="pl-PL"/>
        </w:rPr>
        <w:t>–</w:t>
      </w:r>
      <w:r w:rsidR="00E30D5B" w:rsidRPr="000850CD">
        <w:rPr>
          <w:b/>
          <w:sz w:val="24"/>
          <w:szCs w:val="24"/>
          <w:lang w:val="pl-PL"/>
        </w:rPr>
        <w:t xml:space="preserve"> podsumowanie</w:t>
      </w:r>
      <w:bookmarkEnd w:id="363"/>
    </w:p>
    <w:p w14:paraId="16584726" w14:textId="7D4FC702" w:rsidR="000850CD" w:rsidRPr="000850CD" w:rsidRDefault="000850CD" w:rsidP="000850CD">
      <w:pPr>
        <w:spacing w:after="0" w:line="300" w:lineRule="atLeast"/>
        <w:jc w:val="both"/>
        <w:rPr>
          <w:rFonts w:ascii="Times New Roman" w:hAnsi="Times New Roman" w:cs="Times New Roman"/>
          <w:sz w:val="24"/>
          <w:szCs w:val="24"/>
        </w:rPr>
      </w:pPr>
    </w:p>
    <w:p w14:paraId="24F22C1E" w14:textId="77777777" w:rsidR="00775C60" w:rsidRDefault="000850CD" w:rsidP="00D34F97">
      <w:pPr>
        <w:numPr>
          <w:ilvl w:val="0"/>
          <w:numId w:val="329"/>
        </w:numPr>
        <w:spacing w:after="0" w:line="300" w:lineRule="atLeast"/>
        <w:ind w:left="357" w:hanging="357"/>
        <w:contextualSpacing/>
        <w:jc w:val="both"/>
        <w:rPr>
          <w:rFonts w:ascii="Times New Roman" w:hAnsi="Times New Roman" w:cs="Times New Roman"/>
          <w:sz w:val="24"/>
          <w:szCs w:val="24"/>
        </w:rPr>
      </w:pPr>
      <w:r>
        <w:rPr>
          <w:rFonts w:ascii="Times New Roman" w:hAnsi="Times New Roman" w:cs="Times New Roman"/>
          <w:sz w:val="24"/>
          <w:szCs w:val="24"/>
        </w:rPr>
        <w:t xml:space="preserve">W dniu </w:t>
      </w:r>
      <w:r w:rsidRPr="000850CD">
        <w:rPr>
          <w:rFonts w:ascii="Times New Roman" w:hAnsi="Times New Roman" w:cs="Times New Roman"/>
          <w:sz w:val="24"/>
          <w:szCs w:val="24"/>
        </w:rPr>
        <w:t>1</w:t>
      </w:r>
      <w:r>
        <w:rPr>
          <w:rFonts w:ascii="Times New Roman" w:hAnsi="Times New Roman" w:cs="Times New Roman"/>
          <w:sz w:val="24"/>
          <w:szCs w:val="24"/>
        </w:rPr>
        <w:t xml:space="preserve"> września </w:t>
      </w:r>
      <w:r w:rsidRPr="000850CD">
        <w:rPr>
          <w:rFonts w:ascii="Times New Roman" w:hAnsi="Times New Roman" w:cs="Times New Roman"/>
          <w:sz w:val="24"/>
          <w:szCs w:val="24"/>
        </w:rPr>
        <w:t xml:space="preserve">2022 r. weszła w życie ustawa z 22 lipca </w:t>
      </w:r>
      <w:r>
        <w:rPr>
          <w:rFonts w:ascii="Times New Roman" w:hAnsi="Times New Roman" w:cs="Times New Roman"/>
          <w:sz w:val="24"/>
          <w:szCs w:val="24"/>
        </w:rPr>
        <w:t xml:space="preserve">2022 r. </w:t>
      </w:r>
      <w:r w:rsidRPr="000850CD">
        <w:rPr>
          <w:rFonts w:ascii="Times New Roman" w:hAnsi="Times New Roman" w:cs="Times New Roman"/>
          <w:sz w:val="24"/>
          <w:szCs w:val="24"/>
        </w:rPr>
        <w:t xml:space="preserve">o zmianie niektórych ustaw w celu przeciwdziałania przestępczości środowiskowej. Zmiany dotyczą Kodeksu karnego oraz Kodeksu wykroczeń. Nowelizacja ustawy wprowadza podwyższenie dolnych </w:t>
      </w:r>
      <w:r w:rsidRPr="000850CD">
        <w:rPr>
          <w:rFonts w:ascii="Times New Roman" w:hAnsi="Times New Roman" w:cs="Times New Roman"/>
          <w:sz w:val="24"/>
          <w:szCs w:val="24"/>
        </w:rPr>
        <w:lastRenderedPageBreak/>
        <w:t xml:space="preserve">i górnych granic kar za wykroczenia i przestępstwa przeciwko środowisku. W przypadku nielegalnego transgranicznego przewozu odpadów niebezpiecznych będzie groziła kara nawet do 12 lat pozbawienia wolności. Ważna zmiana dotyczy zlikwidowania warunku odpowiedzialności podmiotów zbiorowych, czyli np. spółek, jeśli chodzi o wcześniejsze prawomocne skazanie osoby fizycznej za przestępstwo przeciwko środowisku. Najbardziej zauważalnym dla społeczeństwa efektem nowelizacji </w:t>
      </w:r>
      <w:r>
        <w:rPr>
          <w:rFonts w:ascii="Times New Roman" w:hAnsi="Times New Roman" w:cs="Times New Roman"/>
          <w:sz w:val="24"/>
          <w:szCs w:val="24"/>
        </w:rPr>
        <w:t xml:space="preserve">jest </w:t>
      </w:r>
      <w:r w:rsidRPr="000850CD">
        <w:rPr>
          <w:rFonts w:ascii="Times New Roman" w:hAnsi="Times New Roman" w:cs="Times New Roman"/>
          <w:sz w:val="24"/>
          <w:szCs w:val="24"/>
        </w:rPr>
        <w:t>podwyższenie maksymalnej stawki kary grzywny za zaśmiecanie miejsc publicznych do 5</w:t>
      </w:r>
      <w:r>
        <w:rPr>
          <w:rFonts w:ascii="Times New Roman" w:hAnsi="Times New Roman" w:cs="Times New Roman"/>
          <w:sz w:val="24"/>
          <w:szCs w:val="24"/>
        </w:rPr>
        <w:t xml:space="preserve"> </w:t>
      </w:r>
      <w:r w:rsidRPr="000850CD">
        <w:rPr>
          <w:rFonts w:ascii="Times New Roman" w:hAnsi="Times New Roman" w:cs="Times New Roman"/>
          <w:sz w:val="24"/>
          <w:szCs w:val="24"/>
        </w:rPr>
        <w:t>000 zł.</w:t>
      </w:r>
    </w:p>
    <w:p w14:paraId="6E38F2AD" w14:textId="59403281" w:rsidR="000850CD" w:rsidRPr="000850CD" w:rsidRDefault="000850CD" w:rsidP="00775C60">
      <w:pPr>
        <w:spacing w:after="60" w:line="300" w:lineRule="atLeast"/>
        <w:ind w:left="357"/>
        <w:jc w:val="both"/>
        <w:rPr>
          <w:rFonts w:ascii="Times New Roman" w:hAnsi="Times New Roman" w:cs="Times New Roman"/>
          <w:sz w:val="24"/>
          <w:szCs w:val="24"/>
        </w:rPr>
      </w:pPr>
      <w:r w:rsidRPr="00775C60">
        <w:rPr>
          <w:rFonts w:ascii="Times New Roman" w:hAnsi="Times New Roman" w:cs="Times New Roman"/>
          <w:sz w:val="24"/>
          <w:szCs w:val="24"/>
        </w:rPr>
        <w:t>Ustalona została obligatoryjna nawiązka na rzecz NFOŚiGW nawet do 10 milionów złotych i przede wszystkim kara więzienia aż do 12 lat. To wszystko ma odstraszać, a zarazem pozwalać karać za nielegalny proceder przestępców. Zwiększony został też zakres kompetencji Inspektorów Ochrony Środowiska. Podniesiono też minimalną karę za zaśmiecanie miejsc publicznych - ulic, skwerów czy lasów. W takim przypadku minimalna grzywna wynosi 500 złotych. Zmiany w przepisach opracowane zostały przez Dyrektora D</w:t>
      </w:r>
      <w:r w:rsidR="00775C60">
        <w:rPr>
          <w:rFonts w:ascii="Times New Roman" w:hAnsi="Times New Roman" w:cs="Times New Roman"/>
          <w:sz w:val="24"/>
          <w:szCs w:val="24"/>
        </w:rPr>
        <w:t xml:space="preserve">epartamentu </w:t>
      </w:r>
      <w:r w:rsidRPr="00775C60">
        <w:rPr>
          <w:rFonts w:ascii="Times New Roman" w:hAnsi="Times New Roman" w:cs="Times New Roman"/>
          <w:sz w:val="24"/>
          <w:szCs w:val="24"/>
        </w:rPr>
        <w:t>Z</w:t>
      </w:r>
      <w:r w:rsidR="00775C60">
        <w:rPr>
          <w:rFonts w:ascii="Times New Roman" w:hAnsi="Times New Roman" w:cs="Times New Roman"/>
          <w:sz w:val="24"/>
          <w:szCs w:val="24"/>
        </w:rPr>
        <w:t xml:space="preserve">walczania </w:t>
      </w:r>
      <w:r w:rsidRPr="00775C60">
        <w:rPr>
          <w:rFonts w:ascii="Times New Roman" w:hAnsi="Times New Roman" w:cs="Times New Roman"/>
          <w:sz w:val="24"/>
          <w:szCs w:val="24"/>
        </w:rPr>
        <w:t>P</w:t>
      </w:r>
      <w:r w:rsidR="00775C60">
        <w:rPr>
          <w:rFonts w:ascii="Times New Roman" w:hAnsi="Times New Roman" w:cs="Times New Roman"/>
          <w:sz w:val="24"/>
          <w:szCs w:val="24"/>
        </w:rPr>
        <w:t xml:space="preserve">rzestępczości </w:t>
      </w:r>
      <w:r w:rsidRPr="00775C60">
        <w:rPr>
          <w:rFonts w:ascii="Times New Roman" w:hAnsi="Times New Roman" w:cs="Times New Roman"/>
          <w:sz w:val="24"/>
          <w:szCs w:val="24"/>
        </w:rPr>
        <w:t>Ś</w:t>
      </w:r>
      <w:r w:rsidR="00775C60">
        <w:rPr>
          <w:rFonts w:ascii="Times New Roman" w:hAnsi="Times New Roman" w:cs="Times New Roman"/>
          <w:sz w:val="24"/>
          <w:szCs w:val="24"/>
        </w:rPr>
        <w:t>rodowiskowej</w:t>
      </w:r>
      <w:r w:rsidRPr="00775C60">
        <w:rPr>
          <w:rFonts w:ascii="Times New Roman" w:hAnsi="Times New Roman" w:cs="Times New Roman"/>
          <w:sz w:val="24"/>
          <w:szCs w:val="24"/>
        </w:rPr>
        <w:t xml:space="preserve"> </w:t>
      </w:r>
      <w:r w:rsidR="00775C60">
        <w:rPr>
          <w:rFonts w:ascii="Times New Roman" w:hAnsi="Times New Roman" w:cs="Times New Roman"/>
          <w:sz w:val="24"/>
          <w:szCs w:val="24"/>
        </w:rPr>
        <w:t xml:space="preserve">GIOŚ, p. </w:t>
      </w:r>
      <w:r w:rsidRPr="00775C60">
        <w:rPr>
          <w:rFonts w:ascii="Times New Roman" w:hAnsi="Times New Roman" w:cs="Times New Roman"/>
          <w:sz w:val="24"/>
          <w:szCs w:val="24"/>
        </w:rPr>
        <w:t>Krzysztofa Gołębiewskiego (obecnie Głównego Inspektora Ochrony Środowiska). Nowe kary zostały wprowadzone w związku z potrzebą dostosowania kar adekwatnych do czynów przeciwko środowisku. Są również odpowiedzią na wzrost przestępczości środowiskowej w ostatnich latach.</w:t>
      </w:r>
    </w:p>
    <w:p w14:paraId="68A97C9F" w14:textId="4DEA3FB8" w:rsidR="00775C60" w:rsidRDefault="000850CD" w:rsidP="00D34F97">
      <w:pPr>
        <w:numPr>
          <w:ilvl w:val="0"/>
          <w:numId w:val="329"/>
        </w:numPr>
        <w:spacing w:after="0" w:line="300" w:lineRule="atLeast"/>
        <w:ind w:left="357" w:hanging="357"/>
        <w:contextualSpacing/>
        <w:jc w:val="both"/>
        <w:rPr>
          <w:rFonts w:ascii="Times New Roman" w:hAnsi="Times New Roman" w:cs="Times New Roman"/>
          <w:sz w:val="24"/>
          <w:szCs w:val="24"/>
        </w:rPr>
      </w:pPr>
      <w:r w:rsidRPr="000850CD">
        <w:rPr>
          <w:rFonts w:ascii="Times New Roman" w:hAnsi="Times New Roman" w:cs="Times New Roman"/>
          <w:sz w:val="24"/>
          <w:szCs w:val="24"/>
        </w:rPr>
        <w:t xml:space="preserve">Dołączenie do SENT - Systemu Elektronicznego Nadzoru Transportu Odpadów </w:t>
      </w:r>
      <w:r w:rsidR="00775C60">
        <w:rPr>
          <w:rFonts w:ascii="Times New Roman" w:hAnsi="Times New Roman" w:cs="Times New Roman"/>
          <w:sz w:val="24"/>
          <w:szCs w:val="24"/>
        </w:rPr>
        <w:br/>
        <w:t>w</w:t>
      </w:r>
      <w:r w:rsidRPr="000850CD">
        <w:rPr>
          <w:rFonts w:ascii="Times New Roman" w:hAnsi="Times New Roman" w:cs="Times New Roman"/>
          <w:sz w:val="24"/>
          <w:szCs w:val="24"/>
        </w:rPr>
        <w:t xml:space="preserve"> Strumieniu Międzynarodowym.</w:t>
      </w:r>
    </w:p>
    <w:p w14:paraId="6627D6D5" w14:textId="15E84E49" w:rsidR="000850CD" w:rsidRPr="000850CD" w:rsidRDefault="000850CD" w:rsidP="00775C60">
      <w:pPr>
        <w:spacing w:after="60" w:line="300" w:lineRule="atLeast"/>
        <w:ind w:left="357"/>
        <w:jc w:val="both"/>
        <w:rPr>
          <w:rFonts w:ascii="Times New Roman" w:hAnsi="Times New Roman" w:cs="Times New Roman"/>
          <w:sz w:val="24"/>
          <w:szCs w:val="24"/>
        </w:rPr>
      </w:pPr>
      <w:r w:rsidRPr="00775C60">
        <w:rPr>
          <w:rFonts w:ascii="Times New Roman" w:hAnsi="Times New Roman" w:cs="Times New Roman"/>
          <w:sz w:val="24"/>
          <w:szCs w:val="24"/>
        </w:rPr>
        <w:t xml:space="preserve">Od 22 lutego 2022 r. każdy przywóz odpadów do Polski, oraz przewóz odpadów przez terytorium Polski transportem drogowym oraz kolejowym musi zostać zarejestrowany </w:t>
      </w:r>
      <w:r w:rsidR="00775C60">
        <w:rPr>
          <w:rFonts w:ascii="Times New Roman" w:hAnsi="Times New Roman" w:cs="Times New Roman"/>
          <w:sz w:val="24"/>
          <w:szCs w:val="24"/>
        </w:rPr>
        <w:br/>
      </w:r>
      <w:r w:rsidRPr="00775C60">
        <w:rPr>
          <w:rFonts w:ascii="Times New Roman" w:hAnsi="Times New Roman" w:cs="Times New Roman"/>
          <w:sz w:val="24"/>
          <w:szCs w:val="24"/>
        </w:rPr>
        <w:t>w Systemie Elektronicznej Notyfikacji Transportów (SENT) prowadzonym przez Krajową Administrację Skarbową.</w:t>
      </w:r>
    </w:p>
    <w:p w14:paraId="6CF1F26E" w14:textId="2ADA2721" w:rsidR="000850CD" w:rsidRPr="00775C60" w:rsidRDefault="000850CD" w:rsidP="00D34F97">
      <w:pPr>
        <w:numPr>
          <w:ilvl w:val="0"/>
          <w:numId w:val="329"/>
        </w:numPr>
        <w:spacing w:after="60" w:line="300" w:lineRule="atLeast"/>
        <w:ind w:left="357" w:hanging="357"/>
        <w:jc w:val="both"/>
        <w:rPr>
          <w:rFonts w:ascii="Times New Roman" w:hAnsi="Times New Roman" w:cs="Times New Roman"/>
          <w:sz w:val="24"/>
          <w:szCs w:val="24"/>
        </w:rPr>
      </w:pPr>
      <w:r w:rsidRPr="000850CD">
        <w:rPr>
          <w:rFonts w:ascii="Times New Roman" w:hAnsi="Times New Roman" w:cs="Times New Roman"/>
          <w:sz w:val="24"/>
          <w:szCs w:val="24"/>
        </w:rPr>
        <w:t xml:space="preserve">25 marca 2022 r. zostało opublikowane Rozporządzenie Ministra Klimatu i Środowiska </w:t>
      </w:r>
      <w:r w:rsidR="00775C60">
        <w:rPr>
          <w:rFonts w:ascii="Times New Roman" w:hAnsi="Times New Roman" w:cs="Times New Roman"/>
          <w:sz w:val="24"/>
          <w:szCs w:val="24"/>
        </w:rPr>
        <w:br/>
      </w:r>
      <w:r w:rsidRPr="000850CD">
        <w:rPr>
          <w:rFonts w:ascii="Times New Roman" w:hAnsi="Times New Roman" w:cs="Times New Roman"/>
          <w:sz w:val="24"/>
          <w:szCs w:val="24"/>
        </w:rPr>
        <w:t xml:space="preserve">z dnia 22 marca 2022 r. zmieniające rozporządzenie w sprawie zasad i sposobu organizacji wojewódzkich inspektoratów ochrony środowiska oraz ich delegatur. Nowelizacja rozporządzenia daje możliwość tworzenia nowych komórek organizacyjnych (odrębnych wydziałów) w Wojewódzkich Inspektoratach Ochrony Środowiska, dedykowanych stricte zwalczaniu przestępczości środowiskowej. Obecnie w każdym </w:t>
      </w:r>
      <w:r w:rsidR="00775C60">
        <w:rPr>
          <w:rFonts w:ascii="Times New Roman" w:hAnsi="Times New Roman" w:cs="Times New Roman"/>
          <w:sz w:val="24"/>
          <w:szCs w:val="24"/>
        </w:rPr>
        <w:t>w</w:t>
      </w:r>
      <w:r w:rsidRPr="000850CD">
        <w:rPr>
          <w:rFonts w:ascii="Times New Roman" w:hAnsi="Times New Roman" w:cs="Times New Roman"/>
          <w:sz w:val="24"/>
          <w:szCs w:val="24"/>
        </w:rPr>
        <w:t xml:space="preserve">ojewódzkim </w:t>
      </w:r>
      <w:r w:rsidR="00775C60">
        <w:rPr>
          <w:rFonts w:ascii="Times New Roman" w:hAnsi="Times New Roman" w:cs="Times New Roman"/>
          <w:sz w:val="24"/>
          <w:szCs w:val="24"/>
        </w:rPr>
        <w:t>i</w:t>
      </w:r>
      <w:r w:rsidRPr="000850CD">
        <w:rPr>
          <w:rFonts w:ascii="Times New Roman" w:hAnsi="Times New Roman" w:cs="Times New Roman"/>
          <w:sz w:val="24"/>
          <w:szCs w:val="24"/>
        </w:rPr>
        <w:t xml:space="preserve">nspektoracie </w:t>
      </w:r>
      <w:r w:rsidR="00775C60">
        <w:rPr>
          <w:rFonts w:ascii="Times New Roman" w:hAnsi="Times New Roman" w:cs="Times New Roman"/>
          <w:sz w:val="24"/>
          <w:szCs w:val="24"/>
        </w:rPr>
        <w:t>o</w:t>
      </w:r>
      <w:r w:rsidRPr="000850CD">
        <w:rPr>
          <w:rFonts w:ascii="Times New Roman" w:hAnsi="Times New Roman" w:cs="Times New Roman"/>
          <w:sz w:val="24"/>
          <w:szCs w:val="24"/>
        </w:rPr>
        <w:t xml:space="preserve">chrony </w:t>
      </w:r>
      <w:r w:rsidR="00775C60">
        <w:rPr>
          <w:rFonts w:ascii="Times New Roman" w:hAnsi="Times New Roman" w:cs="Times New Roman"/>
          <w:sz w:val="24"/>
          <w:szCs w:val="24"/>
        </w:rPr>
        <w:t>ś</w:t>
      </w:r>
      <w:r w:rsidRPr="000850CD">
        <w:rPr>
          <w:rFonts w:ascii="Times New Roman" w:hAnsi="Times New Roman" w:cs="Times New Roman"/>
          <w:sz w:val="24"/>
          <w:szCs w:val="24"/>
        </w:rPr>
        <w:t>rodowiska funkcjonuje wyodrębniona w ramach wydziału inspekcji grupa interwencyjno-wyjazdowa. Zmiany zachodzące w IOŚ mają na celu zwiększenie efektywności współpracy inspekcji z organami ścigania, a tym samym ograniczenie przestępstw i wykroczeń środowiskowych.</w:t>
      </w:r>
    </w:p>
    <w:p w14:paraId="18EE4C51" w14:textId="4978EB97" w:rsidR="000850CD" w:rsidRPr="000850CD" w:rsidRDefault="000850CD" w:rsidP="00D34F97">
      <w:pPr>
        <w:numPr>
          <w:ilvl w:val="0"/>
          <w:numId w:val="329"/>
        </w:numPr>
        <w:spacing w:after="60" w:line="300" w:lineRule="atLeast"/>
        <w:ind w:left="357" w:hanging="357"/>
        <w:jc w:val="both"/>
        <w:rPr>
          <w:rFonts w:ascii="Times New Roman" w:hAnsi="Times New Roman" w:cs="Times New Roman"/>
          <w:sz w:val="24"/>
          <w:szCs w:val="24"/>
        </w:rPr>
      </w:pPr>
      <w:r w:rsidRPr="000850CD">
        <w:rPr>
          <w:rFonts w:ascii="Times New Roman" w:hAnsi="Times New Roman" w:cs="Times New Roman"/>
          <w:sz w:val="24"/>
          <w:szCs w:val="24"/>
        </w:rPr>
        <w:t xml:space="preserve">W porozumieniu z Kancelarią Prezesa Rady Ministrów dnia 20 października 2022 r. formularz „zgłoś interwencję” dołączony został do aplikacji mobilnej </w:t>
      </w:r>
      <w:proofErr w:type="spellStart"/>
      <w:r w:rsidRPr="000850CD">
        <w:rPr>
          <w:rFonts w:ascii="Times New Roman" w:hAnsi="Times New Roman" w:cs="Times New Roman"/>
          <w:sz w:val="24"/>
          <w:szCs w:val="24"/>
        </w:rPr>
        <w:t>mObywatel</w:t>
      </w:r>
      <w:proofErr w:type="spellEnd"/>
      <w:r w:rsidRPr="000850CD">
        <w:rPr>
          <w:rFonts w:ascii="Times New Roman" w:hAnsi="Times New Roman" w:cs="Times New Roman"/>
          <w:sz w:val="24"/>
          <w:szCs w:val="24"/>
        </w:rPr>
        <w:t xml:space="preserve">, </w:t>
      </w:r>
      <w:r w:rsidR="00775C60">
        <w:rPr>
          <w:rFonts w:ascii="Times New Roman" w:hAnsi="Times New Roman" w:cs="Times New Roman"/>
          <w:sz w:val="24"/>
          <w:szCs w:val="24"/>
        </w:rPr>
        <w:br/>
      </w:r>
      <w:r w:rsidRPr="000850CD">
        <w:rPr>
          <w:rFonts w:ascii="Times New Roman" w:hAnsi="Times New Roman" w:cs="Times New Roman"/>
          <w:sz w:val="24"/>
          <w:szCs w:val="24"/>
        </w:rPr>
        <w:t xml:space="preserve">w wyniku czego średnia dzienna liczba zgłoszeń wzrosła z </w:t>
      </w:r>
      <w:r w:rsidRPr="000850CD">
        <w:rPr>
          <w:rFonts w:ascii="Times New Roman" w:hAnsi="Times New Roman" w:cs="Times New Roman"/>
          <w:b/>
          <w:sz w:val="24"/>
          <w:szCs w:val="24"/>
        </w:rPr>
        <w:t>8</w:t>
      </w:r>
      <w:r w:rsidRPr="000850CD">
        <w:rPr>
          <w:rFonts w:ascii="Times New Roman" w:hAnsi="Times New Roman" w:cs="Times New Roman"/>
          <w:sz w:val="24"/>
          <w:szCs w:val="24"/>
        </w:rPr>
        <w:t xml:space="preserve"> dziennie (</w:t>
      </w:r>
      <w:r w:rsidR="00775C60">
        <w:rPr>
          <w:rFonts w:ascii="Times New Roman" w:hAnsi="Times New Roman" w:cs="Times New Roman"/>
          <w:sz w:val="24"/>
          <w:szCs w:val="24"/>
        </w:rPr>
        <w:t>w</w:t>
      </w:r>
      <w:r w:rsidRPr="000850CD">
        <w:rPr>
          <w:rFonts w:ascii="Times New Roman" w:hAnsi="Times New Roman" w:cs="Times New Roman"/>
          <w:sz w:val="24"/>
          <w:szCs w:val="24"/>
        </w:rPr>
        <w:t xml:space="preserve"> okres</w:t>
      </w:r>
      <w:r w:rsidR="00775C60">
        <w:rPr>
          <w:rFonts w:ascii="Times New Roman" w:hAnsi="Times New Roman" w:cs="Times New Roman"/>
          <w:sz w:val="24"/>
          <w:szCs w:val="24"/>
        </w:rPr>
        <w:t>ie</w:t>
      </w:r>
      <w:r w:rsidRPr="000850CD">
        <w:rPr>
          <w:rFonts w:ascii="Times New Roman" w:hAnsi="Times New Roman" w:cs="Times New Roman"/>
          <w:sz w:val="24"/>
          <w:szCs w:val="24"/>
        </w:rPr>
        <w:t xml:space="preserve"> </w:t>
      </w:r>
      <w:r w:rsidRPr="000850CD">
        <w:rPr>
          <w:rFonts w:ascii="Times New Roman" w:hAnsi="Times New Roman" w:cs="Times New Roman"/>
          <w:sz w:val="24"/>
          <w:szCs w:val="24"/>
        </w:rPr>
        <w:br/>
        <w:t xml:space="preserve">1 stycznia – 19 października 2022 r.) do </w:t>
      </w:r>
      <w:r w:rsidRPr="000850CD">
        <w:rPr>
          <w:rFonts w:ascii="Times New Roman" w:hAnsi="Times New Roman" w:cs="Times New Roman"/>
          <w:b/>
          <w:sz w:val="24"/>
          <w:szCs w:val="24"/>
        </w:rPr>
        <w:t>27</w:t>
      </w:r>
      <w:r w:rsidRPr="000850CD">
        <w:rPr>
          <w:rFonts w:ascii="Times New Roman" w:hAnsi="Times New Roman" w:cs="Times New Roman"/>
          <w:sz w:val="24"/>
          <w:szCs w:val="24"/>
        </w:rPr>
        <w:t xml:space="preserve"> (</w:t>
      </w:r>
      <w:r w:rsidR="00775C60">
        <w:rPr>
          <w:rFonts w:ascii="Times New Roman" w:hAnsi="Times New Roman" w:cs="Times New Roman"/>
          <w:sz w:val="24"/>
          <w:szCs w:val="24"/>
        </w:rPr>
        <w:t xml:space="preserve">w </w:t>
      </w:r>
      <w:r w:rsidRPr="000850CD">
        <w:rPr>
          <w:rFonts w:ascii="Times New Roman" w:hAnsi="Times New Roman" w:cs="Times New Roman"/>
          <w:sz w:val="24"/>
          <w:szCs w:val="24"/>
        </w:rPr>
        <w:t>okres</w:t>
      </w:r>
      <w:r w:rsidR="00775C60">
        <w:rPr>
          <w:rFonts w:ascii="Times New Roman" w:hAnsi="Times New Roman" w:cs="Times New Roman"/>
          <w:sz w:val="24"/>
          <w:szCs w:val="24"/>
        </w:rPr>
        <w:t>ie</w:t>
      </w:r>
      <w:r w:rsidRPr="000850CD">
        <w:rPr>
          <w:rFonts w:ascii="Times New Roman" w:hAnsi="Times New Roman" w:cs="Times New Roman"/>
          <w:sz w:val="24"/>
          <w:szCs w:val="24"/>
        </w:rPr>
        <w:t xml:space="preserve"> 20 października – 31 grudnia </w:t>
      </w:r>
      <w:r w:rsidR="00775C60">
        <w:rPr>
          <w:rFonts w:ascii="Times New Roman" w:hAnsi="Times New Roman" w:cs="Times New Roman"/>
          <w:sz w:val="24"/>
          <w:szCs w:val="24"/>
        </w:rPr>
        <w:br/>
      </w:r>
      <w:r w:rsidRPr="000850CD">
        <w:rPr>
          <w:rFonts w:ascii="Times New Roman" w:hAnsi="Times New Roman" w:cs="Times New Roman"/>
          <w:sz w:val="24"/>
          <w:szCs w:val="24"/>
        </w:rPr>
        <w:t>2022 r.).</w:t>
      </w:r>
    </w:p>
    <w:p w14:paraId="761CC118" w14:textId="785910D8" w:rsidR="00775C60" w:rsidRDefault="000850CD" w:rsidP="00D34F97">
      <w:pPr>
        <w:numPr>
          <w:ilvl w:val="0"/>
          <w:numId w:val="329"/>
        </w:numPr>
        <w:spacing w:after="60" w:line="300" w:lineRule="atLeast"/>
        <w:ind w:left="357" w:hanging="357"/>
        <w:jc w:val="both"/>
        <w:rPr>
          <w:rFonts w:ascii="Times New Roman" w:hAnsi="Times New Roman" w:cs="Times New Roman"/>
          <w:sz w:val="24"/>
          <w:szCs w:val="24"/>
        </w:rPr>
      </w:pPr>
      <w:r w:rsidRPr="000850CD">
        <w:rPr>
          <w:rFonts w:ascii="Times New Roman" w:hAnsi="Times New Roman" w:cs="Times New Roman"/>
          <w:sz w:val="24"/>
          <w:szCs w:val="24"/>
        </w:rPr>
        <w:t>Powstanie Zespołu Terenowego do spraw Interwencyjnych GIOŚ w Krakowie</w:t>
      </w:r>
    </w:p>
    <w:p w14:paraId="4826FF17" w14:textId="4EEDC882" w:rsidR="000850CD" w:rsidRPr="00775C60" w:rsidRDefault="006551FB" w:rsidP="00775C60">
      <w:pPr>
        <w:spacing w:after="0" w:line="300" w:lineRule="atLeast"/>
        <w:ind w:left="357"/>
        <w:contextualSpacing/>
        <w:jc w:val="both"/>
        <w:rPr>
          <w:rFonts w:ascii="Times New Roman" w:hAnsi="Times New Roman" w:cs="Times New Roman"/>
          <w:sz w:val="24"/>
          <w:szCs w:val="24"/>
        </w:rPr>
      </w:pPr>
      <w:r>
        <w:rPr>
          <w:rFonts w:ascii="Times New Roman" w:hAnsi="Times New Roman" w:cs="Times New Roman"/>
          <w:sz w:val="24"/>
          <w:szCs w:val="24"/>
        </w:rPr>
        <w:t xml:space="preserve">W dniu </w:t>
      </w:r>
      <w:r w:rsidR="000850CD" w:rsidRPr="00775C60">
        <w:rPr>
          <w:rFonts w:ascii="Times New Roman" w:hAnsi="Times New Roman" w:cs="Times New Roman"/>
          <w:sz w:val="24"/>
          <w:szCs w:val="24"/>
        </w:rPr>
        <w:t>16.12.2022 r. rozpoczął działanie pierwszy Zespół Terenowy Departamentu Zwalczania Przestępczości Środowiskowej GIOŚ. tworzenie ogólnopolskich struktur ma być wsparciem dla wojewódzkich inspekcji w jeszcze skuteczniejszej walce o czyste środowisko. Do zadań zespołu terenowego należy:</w:t>
      </w:r>
    </w:p>
    <w:p w14:paraId="0BC4B2E0" w14:textId="77777777" w:rsidR="000850CD" w:rsidRPr="00EA6B52" w:rsidRDefault="000850CD" w:rsidP="00D34F97">
      <w:pPr>
        <w:pStyle w:val="Akapitzlist"/>
        <w:numPr>
          <w:ilvl w:val="0"/>
          <w:numId w:val="331"/>
        </w:numPr>
        <w:spacing w:line="300" w:lineRule="atLeast"/>
        <w:ind w:left="714" w:hanging="357"/>
        <w:jc w:val="both"/>
        <w:rPr>
          <w:sz w:val="24"/>
          <w:szCs w:val="24"/>
        </w:rPr>
      </w:pPr>
      <w:r w:rsidRPr="00EA6B52">
        <w:rPr>
          <w:sz w:val="24"/>
          <w:szCs w:val="24"/>
        </w:rPr>
        <w:t xml:space="preserve">wykonywanie kontroli pozaplanowych interwencyjnych, </w:t>
      </w:r>
    </w:p>
    <w:p w14:paraId="140EFAB1" w14:textId="77777777" w:rsidR="000850CD" w:rsidRPr="00EA6B52" w:rsidRDefault="000850CD" w:rsidP="00D34F97">
      <w:pPr>
        <w:pStyle w:val="Akapitzlist"/>
        <w:numPr>
          <w:ilvl w:val="0"/>
          <w:numId w:val="331"/>
        </w:numPr>
        <w:spacing w:line="300" w:lineRule="atLeast"/>
        <w:ind w:left="714" w:hanging="357"/>
        <w:jc w:val="both"/>
        <w:rPr>
          <w:sz w:val="24"/>
          <w:szCs w:val="24"/>
        </w:rPr>
      </w:pPr>
      <w:r w:rsidRPr="00EA6B52">
        <w:rPr>
          <w:sz w:val="24"/>
          <w:szCs w:val="24"/>
        </w:rPr>
        <w:lastRenderedPageBreak/>
        <w:t xml:space="preserve">wykonywanie czynności o których mowa w art. 10b ust. 2 ustawy o Inspekcji Ochrony Środowiska, </w:t>
      </w:r>
    </w:p>
    <w:p w14:paraId="1DB41E70" w14:textId="77777777" w:rsidR="000850CD" w:rsidRPr="00EA6B52" w:rsidRDefault="000850CD" w:rsidP="00D34F97">
      <w:pPr>
        <w:pStyle w:val="Akapitzlist"/>
        <w:numPr>
          <w:ilvl w:val="0"/>
          <w:numId w:val="331"/>
        </w:numPr>
        <w:spacing w:line="300" w:lineRule="atLeast"/>
        <w:ind w:left="714" w:hanging="357"/>
        <w:jc w:val="both"/>
        <w:rPr>
          <w:sz w:val="24"/>
          <w:szCs w:val="24"/>
        </w:rPr>
      </w:pPr>
      <w:r w:rsidRPr="00EA6B52">
        <w:rPr>
          <w:sz w:val="24"/>
          <w:szCs w:val="24"/>
        </w:rPr>
        <w:t xml:space="preserve">organizacja i przeprowadzania kontroli podmiotów korzystających ze środowiska, </w:t>
      </w:r>
    </w:p>
    <w:p w14:paraId="220062C4" w14:textId="10B9EF5E" w:rsidR="000850CD" w:rsidRPr="00EA6B52" w:rsidRDefault="000850CD" w:rsidP="00D34F97">
      <w:pPr>
        <w:pStyle w:val="Akapitzlist"/>
        <w:numPr>
          <w:ilvl w:val="0"/>
          <w:numId w:val="331"/>
        </w:numPr>
        <w:spacing w:line="300" w:lineRule="atLeast"/>
        <w:ind w:left="714" w:hanging="357"/>
        <w:jc w:val="both"/>
        <w:rPr>
          <w:sz w:val="24"/>
          <w:szCs w:val="24"/>
        </w:rPr>
      </w:pPr>
      <w:r w:rsidRPr="00EA6B52">
        <w:rPr>
          <w:sz w:val="24"/>
          <w:szCs w:val="24"/>
        </w:rPr>
        <w:t>typowanie potencjalnych miejsc przestępstw w zakresie porzucania lub nielegalnego deponowania odpadów, w tym niebezpiecznych</w:t>
      </w:r>
      <w:r w:rsidR="00EA6B52">
        <w:rPr>
          <w:sz w:val="24"/>
          <w:szCs w:val="24"/>
          <w:lang w:val="pl-PL"/>
        </w:rPr>
        <w:t>,</w:t>
      </w:r>
      <w:r w:rsidRPr="00EA6B52">
        <w:rPr>
          <w:sz w:val="24"/>
          <w:szCs w:val="24"/>
        </w:rPr>
        <w:t xml:space="preserve"> </w:t>
      </w:r>
    </w:p>
    <w:p w14:paraId="03D9B5E6" w14:textId="4820B0C8" w:rsidR="000850CD" w:rsidRPr="00EA6B52" w:rsidRDefault="000850CD" w:rsidP="00D34F97">
      <w:pPr>
        <w:pStyle w:val="Akapitzlist"/>
        <w:numPr>
          <w:ilvl w:val="0"/>
          <w:numId w:val="331"/>
        </w:numPr>
        <w:spacing w:line="300" w:lineRule="atLeast"/>
        <w:ind w:left="714" w:hanging="357"/>
        <w:jc w:val="both"/>
        <w:rPr>
          <w:sz w:val="24"/>
          <w:szCs w:val="24"/>
        </w:rPr>
      </w:pPr>
      <w:r w:rsidRPr="00EA6B52">
        <w:rPr>
          <w:sz w:val="24"/>
          <w:szCs w:val="24"/>
        </w:rPr>
        <w:t>typowanie podmiotów, osób i miejsc w zakresie porzucania lub nielegalnego deponowania odpadów, w tym odpadów niebezpiecznych</w:t>
      </w:r>
      <w:r w:rsidR="00EA6B52">
        <w:rPr>
          <w:sz w:val="24"/>
          <w:szCs w:val="24"/>
          <w:lang w:val="pl-PL"/>
        </w:rPr>
        <w:t>,</w:t>
      </w:r>
    </w:p>
    <w:p w14:paraId="47E0780B" w14:textId="0123DD5B" w:rsidR="000850CD" w:rsidRPr="00EA6B52" w:rsidRDefault="000850CD" w:rsidP="00D34F97">
      <w:pPr>
        <w:pStyle w:val="Akapitzlist"/>
        <w:numPr>
          <w:ilvl w:val="0"/>
          <w:numId w:val="331"/>
        </w:numPr>
        <w:spacing w:after="60" w:line="300" w:lineRule="atLeast"/>
        <w:ind w:left="714" w:hanging="357"/>
        <w:jc w:val="both"/>
        <w:rPr>
          <w:sz w:val="24"/>
          <w:szCs w:val="24"/>
        </w:rPr>
      </w:pPr>
      <w:r w:rsidRPr="00EA6B52">
        <w:rPr>
          <w:sz w:val="24"/>
          <w:szCs w:val="24"/>
        </w:rPr>
        <w:t>współpraca z wojewódzkimi inspektorami ochrony środowiska w zakresie przeciwdziałania i wykrywania przestępstw i wykroczeń przeciwko środowisku</w:t>
      </w:r>
      <w:r w:rsidR="00EA6B52" w:rsidRPr="00EA6B52">
        <w:rPr>
          <w:sz w:val="24"/>
          <w:szCs w:val="24"/>
        </w:rPr>
        <w:t>.</w:t>
      </w:r>
    </w:p>
    <w:p w14:paraId="417817D3" w14:textId="77777777" w:rsidR="00EA6B52" w:rsidRDefault="000850CD" w:rsidP="00D34F97">
      <w:pPr>
        <w:numPr>
          <w:ilvl w:val="0"/>
          <w:numId w:val="329"/>
        </w:numPr>
        <w:spacing w:after="60" w:line="300" w:lineRule="atLeast"/>
        <w:ind w:left="357" w:hanging="357"/>
        <w:jc w:val="both"/>
        <w:rPr>
          <w:rFonts w:ascii="Times New Roman" w:hAnsi="Times New Roman" w:cs="Times New Roman"/>
          <w:sz w:val="24"/>
          <w:szCs w:val="24"/>
        </w:rPr>
      </w:pPr>
      <w:r w:rsidRPr="000850CD">
        <w:rPr>
          <w:rFonts w:ascii="Times New Roman" w:hAnsi="Times New Roman" w:cs="Times New Roman"/>
          <w:sz w:val="24"/>
          <w:szCs w:val="24"/>
        </w:rPr>
        <w:t>Utworzenie Wydziałów Zwalczania Przestępczości Środowiskowej</w:t>
      </w:r>
    </w:p>
    <w:p w14:paraId="69C0983C" w14:textId="7E7D0D09" w:rsidR="000850CD" w:rsidRPr="000850CD" w:rsidRDefault="000850CD" w:rsidP="00EA6B52">
      <w:pPr>
        <w:spacing w:after="60" w:line="300" w:lineRule="atLeast"/>
        <w:ind w:left="357"/>
        <w:jc w:val="both"/>
        <w:rPr>
          <w:rFonts w:ascii="Times New Roman" w:hAnsi="Times New Roman" w:cs="Times New Roman"/>
          <w:sz w:val="24"/>
          <w:szCs w:val="24"/>
        </w:rPr>
      </w:pPr>
      <w:r w:rsidRPr="00EA6B52">
        <w:rPr>
          <w:rFonts w:ascii="Times New Roman" w:hAnsi="Times New Roman" w:cs="Times New Roman"/>
          <w:sz w:val="24"/>
          <w:szCs w:val="24"/>
        </w:rPr>
        <w:t xml:space="preserve">Wydziały powstały na podstawie </w:t>
      </w:r>
      <w:r w:rsidR="00EA6B52">
        <w:rPr>
          <w:rFonts w:ascii="Times New Roman" w:hAnsi="Times New Roman" w:cs="Times New Roman"/>
          <w:sz w:val="24"/>
          <w:szCs w:val="24"/>
        </w:rPr>
        <w:t>r</w:t>
      </w:r>
      <w:r w:rsidRPr="00EA6B52">
        <w:rPr>
          <w:rFonts w:ascii="Times New Roman" w:hAnsi="Times New Roman" w:cs="Times New Roman"/>
          <w:sz w:val="24"/>
          <w:szCs w:val="24"/>
        </w:rPr>
        <w:t>ozporządzenia Ministra Klimatu i Środowiska z dnia 22 marca 2022 r. zmieniającego rozporządzenie w sprawie zasad i sposobu organizacji wojewódzkich inspektoratów ochrony środowiska. Rozporządzenie umożliwiło WIOŚ wyodrębnienie w swoich strukturach komórek dedykowan</w:t>
      </w:r>
      <w:r w:rsidR="00EA6B52">
        <w:rPr>
          <w:rFonts w:ascii="Times New Roman" w:hAnsi="Times New Roman" w:cs="Times New Roman"/>
          <w:sz w:val="24"/>
          <w:szCs w:val="24"/>
        </w:rPr>
        <w:t>ych</w:t>
      </w:r>
      <w:r w:rsidRPr="00EA6B52">
        <w:rPr>
          <w:rFonts w:ascii="Times New Roman" w:hAnsi="Times New Roman" w:cs="Times New Roman"/>
          <w:sz w:val="24"/>
          <w:szCs w:val="24"/>
        </w:rPr>
        <w:t xml:space="preserve"> zwalczaniu przestępczości środowiskowej i całkowicie podlegają pod WIOŚ, w ramach którego zostały utworzone. </w:t>
      </w:r>
      <w:r w:rsidR="00EA6B52">
        <w:rPr>
          <w:rFonts w:ascii="Times New Roman" w:hAnsi="Times New Roman" w:cs="Times New Roman"/>
          <w:sz w:val="24"/>
          <w:szCs w:val="24"/>
        </w:rPr>
        <w:br/>
        <w:t>Na koniec 2022 r. w</w:t>
      </w:r>
      <w:r w:rsidRPr="00EA6B52">
        <w:rPr>
          <w:rFonts w:ascii="Times New Roman" w:hAnsi="Times New Roman" w:cs="Times New Roman"/>
          <w:sz w:val="24"/>
          <w:szCs w:val="24"/>
        </w:rPr>
        <w:t xml:space="preserve"> wojewódzkich inspektoratach działa</w:t>
      </w:r>
      <w:r w:rsidR="00EA6B52">
        <w:rPr>
          <w:rFonts w:ascii="Times New Roman" w:hAnsi="Times New Roman" w:cs="Times New Roman"/>
          <w:sz w:val="24"/>
          <w:szCs w:val="24"/>
        </w:rPr>
        <w:t>ło</w:t>
      </w:r>
      <w:r w:rsidRPr="00EA6B52">
        <w:rPr>
          <w:rFonts w:ascii="Times New Roman" w:hAnsi="Times New Roman" w:cs="Times New Roman"/>
          <w:sz w:val="24"/>
          <w:szCs w:val="24"/>
        </w:rPr>
        <w:t xml:space="preserve"> już 7 Wydziałów Zwalczania Przestępczości Środowiskowej </w:t>
      </w:r>
      <w:r w:rsidR="00EA6B52">
        <w:rPr>
          <w:rFonts w:ascii="Times New Roman" w:hAnsi="Times New Roman" w:cs="Times New Roman"/>
          <w:sz w:val="24"/>
          <w:szCs w:val="24"/>
        </w:rPr>
        <w:sym w:font="Symbol" w:char="F02D"/>
      </w:r>
      <w:r w:rsidR="00EA6B52">
        <w:rPr>
          <w:rFonts w:ascii="Times New Roman" w:hAnsi="Times New Roman" w:cs="Times New Roman"/>
          <w:sz w:val="24"/>
          <w:szCs w:val="24"/>
        </w:rPr>
        <w:t xml:space="preserve"> we </w:t>
      </w:r>
      <w:r w:rsidR="00EA6B52" w:rsidRPr="00EA6B52">
        <w:rPr>
          <w:rFonts w:ascii="Times New Roman" w:hAnsi="Times New Roman" w:cs="Times New Roman"/>
          <w:color w:val="1B1B1B"/>
          <w:sz w:val="24"/>
          <w:szCs w:val="24"/>
          <w:shd w:val="clear" w:color="auto" w:fill="FFFFFF"/>
        </w:rPr>
        <w:t>Wrocławiu, Gdańsku, Poznaniu, Kielcach, Katowicach</w:t>
      </w:r>
      <w:r w:rsidR="00EA6B52">
        <w:rPr>
          <w:rFonts w:ascii="Times New Roman" w:hAnsi="Times New Roman" w:cs="Times New Roman"/>
          <w:color w:val="1B1B1B"/>
          <w:sz w:val="24"/>
          <w:szCs w:val="24"/>
          <w:shd w:val="clear" w:color="auto" w:fill="FFFFFF"/>
        </w:rPr>
        <w:t xml:space="preserve">, </w:t>
      </w:r>
      <w:r w:rsidR="00EA6B52" w:rsidRPr="00EA6B52">
        <w:rPr>
          <w:rFonts w:ascii="Times New Roman" w:hAnsi="Times New Roman" w:cs="Times New Roman"/>
          <w:color w:val="1B1B1B"/>
          <w:sz w:val="24"/>
          <w:szCs w:val="24"/>
          <w:shd w:val="clear" w:color="auto" w:fill="FFFFFF"/>
        </w:rPr>
        <w:t>Zielonej Górze</w:t>
      </w:r>
      <w:r w:rsidR="00EA6B52">
        <w:rPr>
          <w:rFonts w:ascii="Times New Roman" w:hAnsi="Times New Roman" w:cs="Times New Roman"/>
          <w:color w:val="1B1B1B"/>
          <w:sz w:val="24"/>
          <w:szCs w:val="24"/>
          <w:shd w:val="clear" w:color="auto" w:fill="FFFFFF"/>
        </w:rPr>
        <w:t xml:space="preserve"> i Opolu</w:t>
      </w:r>
      <w:r w:rsidRPr="00EA6B52">
        <w:rPr>
          <w:rFonts w:ascii="Times New Roman" w:hAnsi="Times New Roman" w:cs="Times New Roman"/>
          <w:sz w:val="24"/>
          <w:szCs w:val="24"/>
        </w:rPr>
        <w:t xml:space="preserve">. </w:t>
      </w:r>
    </w:p>
    <w:p w14:paraId="1C9D1F39" w14:textId="2B7030E1" w:rsidR="000850CD" w:rsidRPr="000850CD" w:rsidRDefault="00EA6B52" w:rsidP="00EA6B52">
      <w:pPr>
        <w:spacing w:line="300" w:lineRule="atLeast"/>
        <w:contextualSpacing/>
        <w:jc w:val="both"/>
        <w:rPr>
          <w:rFonts w:ascii="Times New Roman" w:hAnsi="Times New Roman" w:cs="Times New Roman"/>
          <w:sz w:val="24"/>
          <w:szCs w:val="24"/>
        </w:rPr>
      </w:pPr>
      <w:r>
        <w:rPr>
          <w:rFonts w:ascii="Times New Roman" w:hAnsi="Times New Roman" w:cs="Times New Roman"/>
          <w:sz w:val="24"/>
          <w:szCs w:val="24"/>
        </w:rPr>
        <w:t>Do n</w:t>
      </w:r>
      <w:r w:rsidR="000850CD" w:rsidRPr="000850CD">
        <w:rPr>
          <w:rFonts w:ascii="Times New Roman" w:hAnsi="Times New Roman" w:cs="Times New Roman"/>
          <w:sz w:val="24"/>
          <w:szCs w:val="24"/>
        </w:rPr>
        <w:t>ajważniejsz</w:t>
      </w:r>
      <w:r>
        <w:rPr>
          <w:rFonts w:ascii="Times New Roman" w:hAnsi="Times New Roman" w:cs="Times New Roman"/>
          <w:sz w:val="24"/>
          <w:szCs w:val="24"/>
        </w:rPr>
        <w:t>ych</w:t>
      </w:r>
      <w:r w:rsidR="000850CD" w:rsidRPr="000850CD">
        <w:rPr>
          <w:rFonts w:ascii="Times New Roman" w:hAnsi="Times New Roman" w:cs="Times New Roman"/>
          <w:sz w:val="24"/>
          <w:szCs w:val="24"/>
        </w:rPr>
        <w:t xml:space="preserve"> zada</w:t>
      </w:r>
      <w:r>
        <w:rPr>
          <w:rFonts w:ascii="Times New Roman" w:hAnsi="Times New Roman" w:cs="Times New Roman"/>
          <w:sz w:val="24"/>
          <w:szCs w:val="24"/>
        </w:rPr>
        <w:t>ń</w:t>
      </w:r>
      <w:r w:rsidR="000850CD" w:rsidRPr="000850CD">
        <w:rPr>
          <w:rFonts w:ascii="Times New Roman" w:hAnsi="Times New Roman" w:cs="Times New Roman"/>
          <w:sz w:val="24"/>
          <w:szCs w:val="24"/>
        </w:rPr>
        <w:t xml:space="preserve"> Wydziału Zwalczania Przestępczości Środowiskowej</w:t>
      </w:r>
      <w:r>
        <w:rPr>
          <w:rFonts w:ascii="Times New Roman" w:hAnsi="Times New Roman" w:cs="Times New Roman"/>
          <w:sz w:val="24"/>
          <w:szCs w:val="24"/>
        </w:rPr>
        <w:t xml:space="preserve"> należy</w:t>
      </w:r>
      <w:r w:rsidR="000850CD" w:rsidRPr="000850CD">
        <w:rPr>
          <w:rFonts w:ascii="Times New Roman" w:hAnsi="Times New Roman" w:cs="Times New Roman"/>
          <w:sz w:val="24"/>
          <w:szCs w:val="24"/>
        </w:rPr>
        <w:t>:</w:t>
      </w:r>
    </w:p>
    <w:p w14:paraId="52C396FC" w14:textId="666EEB16" w:rsidR="000850CD" w:rsidRPr="000850CD" w:rsidRDefault="00EA6B52" w:rsidP="00D34F97">
      <w:pPr>
        <w:numPr>
          <w:ilvl w:val="0"/>
          <w:numId w:val="330"/>
        </w:numPr>
        <w:spacing w:after="0" w:line="300" w:lineRule="atLeast"/>
        <w:ind w:left="567" w:hanging="283"/>
        <w:contextualSpacing/>
        <w:jc w:val="both"/>
        <w:rPr>
          <w:rFonts w:ascii="Times New Roman" w:hAnsi="Times New Roman" w:cs="Times New Roman"/>
          <w:sz w:val="24"/>
          <w:szCs w:val="24"/>
        </w:rPr>
      </w:pPr>
      <w:r>
        <w:rPr>
          <w:rFonts w:ascii="Times New Roman" w:hAnsi="Times New Roman" w:cs="Times New Roman"/>
          <w:sz w:val="24"/>
          <w:szCs w:val="24"/>
        </w:rPr>
        <w:t>p</w:t>
      </w:r>
      <w:r w:rsidR="000850CD" w:rsidRPr="000850CD">
        <w:rPr>
          <w:rFonts w:ascii="Times New Roman" w:hAnsi="Times New Roman" w:cs="Times New Roman"/>
          <w:sz w:val="24"/>
          <w:szCs w:val="24"/>
        </w:rPr>
        <w:t>rzeciwdziałanie i wykrywani</w:t>
      </w:r>
      <w:r>
        <w:rPr>
          <w:rFonts w:ascii="Times New Roman" w:hAnsi="Times New Roman" w:cs="Times New Roman"/>
          <w:sz w:val="24"/>
          <w:szCs w:val="24"/>
        </w:rPr>
        <w:t>e</w:t>
      </w:r>
      <w:r w:rsidR="000850CD" w:rsidRPr="000850CD">
        <w:rPr>
          <w:rFonts w:ascii="Times New Roman" w:hAnsi="Times New Roman" w:cs="Times New Roman"/>
          <w:sz w:val="24"/>
          <w:szCs w:val="24"/>
        </w:rPr>
        <w:t xml:space="preserve"> przestępstw i wykroczeń przeciwko środowisku, samodzielnie bądź we współpracy z organami administracji państwowej, organami samorządowymi, sądami, prokuraturą, inspekcjami i służbami uprawnionymi do ścigania przestępstw i wykroczeń oraz organizacjami społecznymi</w:t>
      </w:r>
      <w:r>
        <w:rPr>
          <w:rFonts w:ascii="Times New Roman" w:hAnsi="Times New Roman" w:cs="Times New Roman"/>
          <w:sz w:val="24"/>
          <w:szCs w:val="24"/>
        </w:rPr>
        <w:t>,</w:t>
      </w:r>
    </w:p>
    <w:p w14:paraId="3484341D" w14:textId="088231A8" w:rsidR="000850CD" w:rsidRPr="000850CD" w:rsidRDefault="00EA6B52" w:rsidP="00D34F97">
      <w:pPr>
        <w:numPr>
          <w:ilvl w:val="0"/>
          <w:numId w:val="330"/>
        </w:numPr>
        <w:spacing w:after="0" w:line="300" w:lineRule="atLeast"/>
        <w:ind w:left="567" w:hanging="283"/>
        <w:contextualSpacing/>
        <w:jc w:val="both"/>
        <w:rPr>
          <w:rFonts w:ascii="Times New Roman" w:hAnsi="Times New Roman" w:cs="Times New Roman"/>
          <w:sz w:val="24"/>
          <w:szCs w:val="24"/>
        </w:rPr>
      </w:pPr>
      <w:r>
        <w:rPr>
          <w:rFonts w:ascii="Times New Roman" w:hAnsi="Times New Roman" w:cs="Times New Roman"/>
          <w:sz w:val="24"/>
          <w:szCs w:val="24"/>
        </w:rPr>
        <w:t>p</w:t>
      </w:r>
      <w:r w:rsidR="000850CD" w:rsidRPr="000850CD">
        <w:rPr>
          <w:rFonts w:ascii="Times New Roman" w:hAnsi="Times New Roman" w:cs="Times New Roman"/>
          <w:sz w:val="24"/>
          <w:szCs w:val="24"/>
        </w:rPr>
        <w:t xml:space="preserve">rowadzenie działań rozpoznawczych w przypadku zgłaszanych interwencji dotyczących zanieczyszczenia środowiska na terenie województwa śląskiego. Działania realizowane </w:t>
      </w:r>
      <w:r>
        <w:rPr>
          <w:rFonts w:ascii="Times New Roman" w:hAnsi="Times New Roman" w:cs="Times New Roman"/>
          <w:sz w:val="24"/>
          <w:szCs w:val="24"/>
        </w:rPr>
        <w:t>są</w:t>
      </w:r>
      <w:r w:rsidR="000850CD" w:rsidRPr="000850CD">
        <w:rPr>
          <w:rFonts w:ascii="Times New Roman" w:hAnsi="Times New Roman" w:cs="Times New Roman"/>
          <w:sz w:val="24"/>
          <w:szCs w:val="24"/>
        </w:rPr>
        <w:t xml:space="preserve"> przez 7 dni w tygodniu, 24 godziny na dobę</w:t>
      </w:r>
      <w:r w:rsidR="00715A1A">
        <w:rPr>
          <w:rFonts w:ascii="Times New Roman" w:hAnsi="Times New Roman" w:cs="Times New Roman"/>
          <w:sz w:val="24"/>
          <w:szCs w:val="24"/>
        </w:rPr>
        <w:t>,</w:t>
      </w:r>
    </w:p>
    <w:p w14:paraId="4ED00BF5" w14:textId="05B7BFA5" w:rsidR="000850CD" w:rsidRPr="000850CD" w:rsidRDefault="00C401A7" w:rsidP="00D34F97">
      <w:pPr>
        <w:numPr>
          <w:ilvl w:val="0"/>
          <w:numId w:val="330"/>
        </w:numPr>
        <w:spacing w:after="0" w:line="300" w:lineRule="atLeast"/>
        <w:ind w:left="567" w:hanging="283"/>
        <w:contextualSpacing/>
        <w:jc w:val="both"/>
        <w:rPr>
          <w:rFonts w:ascii="Times New Roman" w:hAnsi="Times New Roman" w:cs="Times New Roman"/>
          <w:sz w:val="24"/>
          <w:szCs w:val="24"/>
        </w:rPr>
      </w:pPr>
      <w:r>
        <w:rPr>
          <w:rFonts w:ascii="Times New Roman" w:hAnsi="Times New Roman" w:cs="Times New Roman"/>
          <w:sz w:val="24"/>
          <w:szCs w:val="24"/>
        </w:rPr>
        <w:t>p</w:t>
      </w:r>
      <w:r w:rsidR="000850CD" w:rsidRPr="000850CD">
        <w:rPr>
          <w:rFonts w:ascii="Times New Roman" w:hAnsi="Times New Roman" w:cs="Times New Roman"/>
          <w:sz w:val="24"/>
          <w:szCs w:val="24"/>
        </w:rPr>
        <w:t>rowadzenie baz danych oraz analiz niezbędnych do ujawniania i przeciwdziałania przestępstwom i wykroczeniom przeciwko środowisku, w szczególności w zakresie ograniczenia tzw. "szarej strefy" występującej na rynku gospodarowania odpadami</w:t>
      </w:r>
      <w:r w:rsidR="00715A1A">
        <w:rPr>
          <w:rFonts w:ascii="Times New Roman" w:hAnsi="Times New Roman" w:cs="Times New Roman"/>
          <w:sz w:val="24"/>
          <w:szCs w:val="24"/>
        </w:rPr>
        <w:t>,</w:t>
      </w:r>
    </w:p>
    <w:p w14:paraId="1E67A487" w14:textId="1ADBE784" w:rsidR="000850CD" w:rsidRPr="000850CD" w:rsidRDefault="00C401A7" w:rsidP="00D34F97">
      <w:pPr>
        <w:numPr>
          <w:ilvl w:val="0"/>
          <w:numId w:val="330"/>
        </w:numPr>
        <w:spacing w:after="0" w:line="300" w:lineRule="atLeast"/>
        <w:ind w:left="567" w:hanging="283"/>
        <w:contextualSpacing/>
        <w:jc w:val="both"/>
        <w:rPr>
          <w:rFonts w:ascii="Times New Roman" w:hAnsi="Times New Roman" w:cs="Times New Roman"/>
          <w:sz w:val="24"/>
          <w:szCs w:val="24"/>
        </w:rPr>
      </w:pPr>
      <w:r>
        <w:rPr>
          <w:rFonts w:ascii="Times New Roman" w:hAnsi="Times New Roman" w:cs="Times New Roman"/>
          <w:sz w:val="24"/>
          <w:szCs w:val="24"/>
        </w:rPr>
        <w:t>w</w:t>
      </w:r>
      <w:r w:rsidR="000850CD" w:rsidRPr="000850CD">
        <w:rPr>
          <w:rFonts w:ascii="Times New Roman" w:hAnsi="Times New Roman" w:cs="Times New Roman"/>
          <w:sz w:val="24"/>
          <w:szCs w:val="24"/>
        </w:rPr>
        <w:t xml:space="preserve">spółpraca z GIOŚ, w tym przygotowywanie odpowiednich materiałów i analiz </w:t>
      </w:r>
      <w:r>
        <w:rPr>
          <w:rFonts w:ascii="Times New Roman" w:hAnsi="Times New Roman" w:cs="Times New Roman"/>
          <w:sz w:val="24"/>
          <w:szCs w:val="24"/>
        </w:rPr>
        <w:br/>
      </w:r>
      <w:r w:rsidR="000850CD" w:rsidRPr="000850CD">
        <w:rPr>
          <w:rFonts w:ascii="Times New Roman" w:hAnsi="Times New Roman" w:cs="Times New Roman"/>
          <w:sz w:val="24"/>
          <w:szCs w:val="24"/>
        </w:rPr>
        <w:t>w zakresie transgranicznego przemieszczania odpadów i poważnych awarii.</w:t>
      </w:r>
    </w:p>
    <w:p w14:paraId="18691F4B" w14:textId="33D92738" w:rsidR="000850CD" w:rsidRPr="000850CD" w:rsidRDefault="000850CD" w:rsidP="000850CD">
      <w:pPr>
        <w:spacing w:line="300" w:lineRule="atLeast"/>
        <w:contextualSpacing/>
        <w:jc w:val="both"/>
        <w:rPr>
          <w:rFonts w:ascii="Times New Roman" w:hAnsi="Times New Roman" w:cs="Times New Roman"/>
          <w:sz w:val="24"/>
          <w:szCs w:val="24"/>
        </w:rPr>
      </w:pPr>
    </w:p>
    <w:bookmarkEnd w:id="281"/>
    <w:p w14:paraId="78928379" w14:textId="77777777" w:rsidR="000850CD" w:rsidRPr="000850CD" w:rsidRDefault="000850CD" w:rsidP="000850CD">
      <w:pPr>
        <w:spacing w:line="300" w:lineRule="atLeast"/>
        <w:jc w:val="both"/>
        <w:rPr>
          <w:sz w:val="24"/>
          <w:szCs w:val="24"/>
        </w:rPr>
      </w:pPr>
    </w:p>
    <w:p w14:paraId="4DED1C96" w14:textId="770A3514" w:rsidR="00895F16" w:rsidRPr="007F400A" w:rsidRDefault="00895F16" w:rsidP="00D90249">
      <w:pPr>
        <w:spacing w:line="300" w:lineRule="atLeast"/>
        <w:jc w:val="both"/>
        <w:rPr>
          <w:rFonts w:ascii="Times New Roman" w:hAnsi="Times New Roman" w:cs="Times New Roman"/>
          <w:sz w:val="24"/>
          <w:szCs w:val="24"/>
        </w:rPr>
      </w:pPr>
      <w:r w:rsidRPr="007F400A">
        <w:rPr>
          <w:rFonts w:ascii="Times New Roman" w:hAnsi="Times New Roman" w:cs="Times New Roman"/>
          <w:sz w:val="24"/>
          <w:szCs w:val="24"/>
        </w:rPr>
        <w:br w:type="page"/>
      </w:r>
    </w:p>
    <w:p w14:paraId="57958F22" w14:textId="72D0963C" w:rsidR="00895F16" w:rsidRPr="007F400A" w:rsidRDefault="004966BE" w:rsidP="00BE5177">
      <w:pPr>
        <w:keepNext/>
        <w:spacing w:after="0" w:line="300" w:lineRule="atLeast"/>
        <w:outlineLvl w:val="0"/>
        <w:rPr>
          <w:rFonts w:ascii="Times New Roman" w:eastAsia="Times New Roman" w:hAnsi="Times New Roman" w:cs="Times New Roman"/>
          <w:b/>
          <w:bCs/>
          <w:sz w:val="24"/>
          <w:szCs w:val="24"/>
          <w:lang w:val="x-none" w:eastAsia="x-none"/>
        </w:rPr>
      </w:pPr>
      <w:r w:rsidRPr="007F400A">
        <w:rPr>
          <w:rFonts w:ascii="Times New Roman" w:eastAsia="Times New Roman" w:hAnsi="Times New Roman" w:cs="Times New Roman"/>
          <w:b/>
          <w:bCs/>
          <w:sz w:val="24"/>
          <w:szCs w:val="24"/>
          <w:lang w:eastAsia="x-none"/>
        </w:rPr>
        <w:lastRenderedPageBreak/>
        <w:t xml:space="preserve"> </w:t>
      </w:r>
      <w:bookmarkStart w:id="364" w:name="_Toc135935690"/>
      <w:r w:rsidR="00895F16" w:rsidRPr="007F400A">
        <w:rPr>
          <w:rFonts w:ascii="Times New Roman" w:eastAsia="Times New Roman" w:hAnsi="Times New Roman" w:cs="Times New Roman"/>
          <w:b/>
          <w:bCs/>
          <w:sz w:val="24"/>
          <w:szCs w:val="24"/>
          <w:lang w:val="x-none" w:eastAsia="x-none"/>
        </w:rPr>
        <w:t>V. MONITORING ŚRODOWISKA</w:t>
      </w:r>
      <w:bookmarkEnd w:id="364"/>
    </w:p>
    <w:p w14:paraId="1FA0EE7C" w14:textId="77777777" w:rsidR="00895F16" w:rsidRPr="007F400A" w:rsidRDefault="00895F16" w:rsidP="00BE5177">
      <w:pPr>
        <w:spacing w:after="0" w:line="300" w:lineRule="atLeast"/>
        <w:jc w:val="both"/>
        <w:rPr>
          <w:b/>
          <w:sz w:val="24"/>
          <w:szCs w:val="24"/>
        </w:rPr>
      </w:pPr>
    </w:p>
    <w:p w14:paraId="7BE9CA6F" w14:textId="77777777" w:rsidR="00895F16" w:rsidRPr="007F400A" w:rsidRDefault="00895F16" w:rsidP="0031165B">
      <w:pPr>
        <w:keepNext/>
        <w:numPr>
          <w:ilvl w:val="1"/>
          <w:numId w:val="3"/>
        </w:numPr>
        <w:tabs>
          <w:tab w:val="num" w:pos="502"/>
          <w:tab w:val="num" w:pos="709"/>
        </w:tabs>
        <w:spacing w:after="120" w:line="300" w:lineRule="atLeast"/>
        <w:ind w:left="709" w:hanging="567"/>
        <w:outlineLvl w:val="0"/>
        <w:rPr>
          <w:rFonts w:ascii="Times New Roman" w:eastAsia="Times New Roman" w:hAnsi="Times New Roman" w:cs="Times New Roman"/>
          <w:b/>
          <w:bCs/>
          <w:sz w:val="24"/>
          <w:szCs w:val="24"/>
          <w:lang w:val="x-none" w:eastAsia="x-none"/>
        </w:rPr>
      </w:pPr>
      <w:bookmarkStart w:id="365" w:name="_Toc36732622"/>
      <w:bookmarkStart w:id="366" w:name="_Toc135935691"/>
      <w:r w:rsidRPr="007F400A">
        <w:rPr>
          <w:rFonts w:ascii="Times New Roman" w:eastAsia="Times New Roman" w:hAnsi="Times New Roman" w:cs="Times New Roman"/>
          <w:b/>
          <w:bCs/>
          <w:sz w:val="24"/>
          <w:szCs w:val="24"/>
          <w:lang w:val="x-none" w:eastAsia="x-none"/>
        </w:rPr>
        <w:t>Charakterystyka zadań Państwowego Monitoringu Środowiska</w:t>
      </w:r>
      <w:bookmarkEnd w:id="365"/>
      <w:bookmarkEnd w:id="366"/>
    </w:p>
    <w:p w14:paraId="7BA8D8FE" w14:textId="77777777" w:rsidR="006C7E98" w:rsidRPr="005E2831" w:rsidRDefault="006C7E98" w:rsidP="00C401A7">
      <w:pPr>
        <w:spacing w:after="60" w:line="300" w:lineRule="atLeast"/>
        <w:ind w:firstLine="567"/>
        <w:jc w:val="both"/>
        <w:rPr>
          <w:rFonts w:ascii="Times New Roman" w:hAnsi="Times New Roman" w:cs="Times New Roman"/>
          <w:sz w:val="24"/>
          <w:szCs w:val="24"/>
        </w:rPr>
      </w:pPr>
      <w:r w:rsidRPr="005E2831">
        <w:rPr>
          <w:rFonts w:ascii="Times New Roman" w:hAnsi="Times New Roman" w:cs="Times New Roman"/>
          <w:sz w:val="24"/>
          <w:szCs w:val="24"/>
        </w:rPr>
        <w:t>Główny Inspektor Ochrony Środowiska (GIOŚ) w 2022 r. realizował zadania Państwowego Monitoringu Środowiska (PMŚ) zgodnie z Strategicznym Programem PMŚ na</w:t>
      </w:r>
      <w:r>
        <w:rPr>
          <w:rFonts w:ascii="Times New Roman" w:hAnsi="Times New Roman" w:cs="Times New Roman"/>
          <w:sz w:val="24"/>
          <w:szCs w:val="24"/>
        </w:rPr>
        <w:t> </w:t>
      </w:r>
      <w:r w:rsidRPr="005E2831">
        <w:rPr>
          <w:rFonts w:ascii="Times New Roman" w:hAnsi="Times New Roman" w:cs="Times New Roman"/>
          <w:sz w:val="24"/>
          <w:szCs w:val="24"/>
        </w:rPr>
        <w:t>lata 2020–2025, zatwierdzonym przez Ministra Klimatu oraz opracowanymi na jego podstawie w</w:t>
      </w:r>
      <w:r>
        <w:rPr>
          <w:rFonts w:ascii="Times New Roman" w:hAnsi="Times New Roman" w:cs="Times New Roman"/>
          <w:sz w:val="24"/>
          <w:szCs w:val="24"/>
        </w:rPr>
        <w:t xml:space="preserve">ykonawczymi </w:t>
      </w:r>
      <w:r w:rsidRPr="005E2831">
        <w:rPr>
          <w:rFonts w:ascii="Times New Roman" w:hAnsi="Times New Roman" w:cs="Times New Roman"/>
          <w:sz w:val="24"/>
          <w:szCs w:val="24"/>
        </w:rPr>
        <w:t>programami monitoringu środowiska.</w:t>
      </w:r>
    </w:p>
    <w:p w14:paraId="73B9D6C6" w14:textId="179977B2" w:rsidR="00895F16" w:rsidRPr="007F400A" w:rsidRDefault="006C7E98" w:rsidP="006C7E98">
      <w:pPr>
        <w:spacing w:after="0" w:line="300" w:lineRule="atLeast"/>
        <w:ind w:firstLine="567"/>
        <w:jc w:val="both"/>
        <w:rPr>
          <w:rFonts w:ascii="Times New Roman" w:hAnsi="Times New Roman" w:cs="Times New Roman"/>
          <w:sz w:val="24"/>
          <w:szCs w:val="24"/>
        </w:rPr>
      </w:pPr>
      <w:r w:rsidRPr="005E2831">
        <w:rPr>
          <w:rFonts w:ascii="Times New Roman" w:hAnsi="Times New Roman" w:cs="Times New Roman"/>
          <w:sz w:val="24"/>
          <w:szCs w:val="24"/>
        </w:rPr>
        <w:t>Dane o stanie środowiska wytwarzane w ramach PMŚ są źródłem informacji niezbędnych zarówno do bieżącego zarządzania zasobami środowiska, wykonywania ocen stanu poszczególnych komponentów środowiska, obserwowania i analizowania wieloletnich trendów zmian zachodzących w środowisku, jak i wykonywania wieloaspektowych zintegrowanych ocen stanu środowiska w powiązaniu ze zmianami społeczno-gospodarczymi</w:t>
      </w:r>
      <w:r w:rsidR="00895F16" w:rsidRPr="007F400A">
        <w:rPr>
          <w:rFonts w:ascii="Times New Roman" w:hAnsi="Times New Roman" w:cs="Times New Roman"/>
          <w:sz w:val="24"/>
          <w:szCs w:val="24"/>
        </w:rPr>
        <w:t>.</w:t>
      </w:r>
    </w:p>
    <w:p w14:paraId="3D5AE601" w14:textId="77777777" w:rsidR="006C7E98" w:rsidRPr="005E2831" w:rsidRDefault="006C7E98" w:rsidP="006C7E98">
      <w:pPr>
        <w:spacing w:after="60" w:line="300" w:lineRule="atLeast"/>
        <w:ind w:firstLine="567"/>
        <w:jc w:val="both"/>
        <w:rPr>
          <w:rFonts w:ascii="Times New Roman" w:hAnsi="Times New Roman" w:cs="Times New Roman"/>
          <w:sz w:val="24"/>
          <w:szCs w:val="24"/>
        </w:rPr>
      </w:pPr>
      <w:r w:rsidRPr="005E2831">
        <w:rPr>
          <w:rFonts w:ascii="Times New Roman" w:hAnsi="Times New Roman" w:cs="Times New Roman"/>
          <w:sz w:val="24"/>
          <w:szCs w:val="24"/>
        </w:rPr>
        <w:t>Priorytetowym zadaniem w 2022 r. było zapewnienie danych i ocen stanu poszczególnych komponentów środowiska na poziomie wojewódzkim i krajowym, a także wypełnienia podpisanych i ratyfikowanych przez Polskę umów międzynarodowych.</w:t>
      </w:r>
    </w:p>
    <w:p w14:paraId="05BCF1A9" w14:textId="633686A2" w:rsidR="00895F16" w:rsidRPr="007F400A" w:rsidRDefault="006C7E98" w:rsidP="006C7E98">
      <w:pPr>
        <w:spacing w:after="0" w:line="300" w:lineRule="atLeast"/>
        <w:ind w:firstLine="567"/>
        <w:jc w:val="both"/>
        <w:rPr>
          <w:rFonts w:ascii="Times New Roman" w:hAnsi="Times New Roman" w:cs="Times New Roman"/>
          <w:sz w:val="24"/>
          <w:szCs w:val="24"/>
        </w:rPr>
      </w:pPr>
      <w:r w:rsidRPr="005E2831">
        <w:rPr>
          <w:rFonts w:ascii="Times New Roman" w:hAnsi="Times New Roman" w:cs="Times New Roman"/>
          <w:sz w:val="24"/>
          <w:szCs w:val="24"/>
        </w:rPr>
        <w:t xml:space="preserve">W 2022 r. w Głównym Inspektoracie Ochrony Środowiska prowadzone były pomiary </w:t>
      </w:r>
      <w:r w:rsidRPr="005E2831">
        <w:rPr>
          <w:rFonts w:ascii="Times New Roman" w:hAnsi="Times New Roman" w:cs="Times New Roman"/>
          <w:sz w:val="24"/>
          <w:szCs w:val="24"/>
        </w:rPr>
        <w:br/>
        <w:t>w zakresie jakości powietrza, analiz fizyko-chemicznych prób opadów atmosferycznych, wód powierzchniowych i podziemnych, gleb, poziomu hałasu i pól elektromagnetycznych (PEM) oraz wykonywane były oceny jakości poszczególnych komponentów środowiska za rok 2021</w:t>
      </w:r>
      <w:r w:rsidR="00895F16" w:rsidRPr="007F400A">
        <w:rPr>
          <w:rFonts w:ascii="Times New Roman" w:hAnsi="Times New Roman" w:cs="Times New Roman"/>
          <w:sz w:val="24"/>
          <w:szCs w:val="24"/>
        </w:rPr>
        <w:t>.</w:t>
      </w:r>
    </w:p>
    <w:p w14:paraId="124B6599" w14:textId="77777777" w:rsidR="006C7E98" w:rsidRPr="005E2831" w:rsidRDefault="006C7E98" w:rsidP="006C7E98">
      <w:pPr>
        <w:spacing w:after="60" w:line="300" w:lineRule="atLeast"/>
        <w:ind w:firstLine="567"/>
        <w:jc w:val="both"/>
        <w:rPr>
          <w:rFonts w:ascii="Times New Roman" w:hAnsi="Times New Roman" w:cs="Times New Roman"/>
          <w:sz w:val="24"/>
          <w:szCs w:val="24"/>
        </w:rPr>
      </w:pPr>
      <w:r w:rsidRPr="005E2831">
        <w:rPr>
          <w:rFonts w:ascii="Times New Roman" w:hAnsi="Times New Roman" w:cs="Times New Roman"/>
          <w:sz w:val="24"/>
          <w:szCs w:val="24"/>
        </w:rPr>
        <w:t xml:space="preserve">Główny Inspektor Ochrony Środowiska realizował jednocześnie krajowe programy badawcze w zakresie monitoringu jakości wód podziemnych, Morza Bałtyckiego, osadów dennych w rzekach i jeziorach, ichtiofauny, gleb, przyrody i skażeń promieniotwórczych oraz gromadził wyniki pomiarów i obserwacji w krajowych bazach danych. Na podstawie zgromadzonych danych wykonywał oceny jakości poszczególnych komponentów środowiska w skali kraju z zastosowaniem określonych prawem standardów </w:t>
      </w:r>
      <w:proofErr w:type="spellStart"/>
      <w:r w:rsidRPr="005E2831">
        <w:rPr>
          <w:rFonts w:ascii="Times New Roman" w:hAnsi="Times New Roman" w:cs="Times New Roman"/>
          <w:sz w:val="24"/>
          <w:szCs w:val="24"/>
        </w:rPr>
        <w:t>imisyjnych</w:t>
      </w:r>
      <w:proofErr w:type="spellEnd"/>
      <w:r>
        <w:rPr>
          <w:rFonts w:ascii="Times New Roman" w:hAnsi="Times New Roman" w:cs="Times New Roman"/>
          <w:sz w:val="24"/>
          <w:szCs w:val="24"/>
        </w:rPr>
        <w:t> </w:t>
      </w:r>
      <w:r w:rsidRPr="005E2831">
        <w:rPr>
          <w:rFonts w:ascii="Times New Roman" w:hAnsi="Times New Roman" w:cs="Times New Roman"/>
          <w:sz w:val="24"/>
          <w:szCs w:val="24"/>
        </w:rPr>
        <w:t>lub</w:t>
      </w:r>
      <w:r>
        <w:rPr>
          <w:rFonts w:ascii="Times New Roman" w:hAnsi="Times New Roman" w:cs="Times New Roman"/>
          <w:sz w:val="24"/>
          <w:szCs w:val="24"/>
        </w:rPr>
        <w:t> </w:t>
      </w:r>
      <w:r w:rsidRPr="005E2831">
        <w:rPr>
          <w:rFonts w:ascii="Times New Roman" w:hAnsi="Times New Roman" w:cs="Times New Roman"/>
          <w:sz w:val="24"/>
          <w:szCs w:val="24"/>
        </w:rPr>
        <w:t>–</w:t>
      </w:r>
      <w:r>
        <w:rPr>
          <w:rFonts w:ascii="Times New Roman" w:hAnsi="Times New Roman" w:cs="Times New Roman"/>
          <w:sz w:val="24"/>
          <w:szCs w:val="24"/>
        </w:rPr>
        <w:t> </w:t>
      </w:r>
      <w:r w:rsidRPr="005E2831">
        <w:rPr>
          <w:rFonts w:ascii="Times New Roman" w:hAnsi="Times New Roman" w:cs="Times New Roman"/>
          <w:sz w:val="24"/>
          <w:szCs w:val="24"/>
        </w:rPr>
        <w:t>w</w:t>
      </w:r>
      <w:r>
        <w:rPr>
          <w:rFonts w:ascii="Times New Roman" w:hAnsi="Times New Roman" w:cs="Times New Roman"/>
          <w:sz w:val="24"/>
          <w:szCs w:val="24"/>
        </w:rPr>
        <w:t> </w:t>
      </w:r>
      <w:r w:rsidRPr="005E2831">
        <w:rPr>
          <w:rFonts w:ascii="Times New Roman" w:hAnsi="Times New Roman" w:cs="Times New Roman"/>
          <w:sz w:val="24"/>
          <w:szCs w:val="24"/>
        </w:rPr>
        <w:t>przypadku ich braku – kryteriów opracowywanych przez jednostki naukowo-badawcze na</w:t>
      </w:r>
      <w:r>
        <w:rPr>
          <w:rFonts w:ascii="Times New Roman" w:hAnsi="Times New Roman" w:cs="Times New Roman"/>
          <w:sz w:val="24"/>
          <w:szCs w:val="24"/>
        </w:rPr>
        <w:t> </w:t>
      </w:r>
      <w:r w:rsidRPr="005E2831">
        <w:rPr>
          <w:rFonts w:ascii="Times New Roman" w:hAnsi="Times New Roman" w:cs="Times New Roman"/>
          <w:sz w:val="24"/>
          <w:szCs w:val="24"/>
        </w:rPr>
        <w:t>potrzeby PMŚ.</w:t>
      </w:r>
    </w:p>
    <w:p w14:paraId="3C8F9D63" w14:textId="71855BB9" w:rsidR="00895F16" w:rsidRPr="007F400A" w:rsidRDefault="006C7E98" w:rsidP="00C401A7">
      <w:pPr>
        <w:spacing w:after="0" w:line="300" w:lineRule="atLeast"/>
        <w:ind w:firstLine="567"/>
        <w:jc w:val="both"/>
        <w:rPr>
          <w:rFonts w:ascii="Times New Roman" w:hAnsi="Times New Roman" w:cs="Times New Roman"/>
          <w:sz w:val="24"/>
          <w:szCs w:val="24"/>
        </w:rPr>
      </w:pPr>
      <w:r w:rsidRPr="005E2831">
        <w:rPr>
          <w:rFonts w:ascii="Times New Roman" w:hAnsi="Times New Roman" w:cs="Times New Roman"/>
          <w:sz w:val="24"/>
          <w:szCs w:val="24"/>
        </w:rPr>
        <w:t>Główny Inspektor przekazał wyniki badań i ocen właściwym organom odpowiedzialnym za zarządzanie i ochronę środowiska, do systemu statystyki publicznej oraz właściwym agendom międzynarodowym zgodnie z przepisami Unii Europejskiej (UE) i umowami międzynarodowymi</w:t>
      </w:r>
      <w:r w:rsidR="00895F16" w:rsidRPr="007F400A">
        <w:rPr>
          <w:rFonts w:ascii="Times New Roman" w:hAnsi="Times New Roman" w:cs="Times New Roman"/>
          <w:sz w:val="24"/>
          <w:szCs w:val="24"/>
        </w:rPr>
        <w:t>.</w:t>
      </w:r>
    </w:p>
    <w:p w14:paraId="6C95B342" w14:textId="77777777" w:rsidR="00895F16" w:rsidRPr="007F400A" w:rsidRDefault="00895F16" w:rsidP="00895F16">
      <w:pPr>
        <w:spacing w:after="0" w:line="300" w:lineRule="atLeast"/>
        <w:ind w:firstLine="709"/>
        <w:jc w:val="both"/>
        <w:rPr>
          <w:rFonts w:ascii="Times New Roman" w:hAnsi="Times New Roman" w:cs="Times New Roman"/>
          <w:sz w:val="24"/>
          <w:szCs w:val="24"/>
        </w:rPr>
      </w:pPr>
    </w:p>
    <w:p w14:paraId="460AD214" w14:textId="77777777" w:rsidR="00895F16" w:rsidRPr="007F400A" w:rsidRDefault="00895F16" w:rsidP="00895F16">
      <w:pPr>
        <w:keepNext/>
        <w:spacing w:after="60" w:line="300" w:lineRule="atLeast"/>
        <w:outlineLvl w:val="0"/>
        <w:rPr>
          <w:rFonts w:ascii="Times New Roman" w:eastAsia="Times New Roman" w:hAnsi="Times New Roman" w:cs="Times New Roman"/>
          <w:b/>
          <w:bCs/>
          <w:sz w:val="24"/>
          <w:szCs w:val="24"/>
          <w:lang w:val="x-none" w:eastAsia="x-none"/>
        </w:rPr>
      </w:pPr>
      <w:bookmarkStart w:id="367" w:name="_Toc36732623"/>
      <w:bookmarkStart w:id="368" w:name="_Toc135935692"/>
      <w:r w:rsidRPr="007F400A">
        <w:rPr>
          <w:rFonts w:ascii="Times New Roman" w:eastAsia="Times New Roman" w:hAnsi="Times New Roman" w:cs="Times New Roman"/>
          <w:b/>
          <w:bCs/>
          <w:sz w:val="24"/>
          <w:szCs w:val="24"/>
          <w:lang w:val="x-none" w:eastAsia="x-none"/>
        </w:rPr>
        <w:t>2. Monitoring jakości powietrza</w:t>
      </w:r>
      <w:bookmarkEnd w:id="367"/>
      <w:bookmarkEnd w:id="368"/>
    </w:p>
    <w:p w14:paraId="282A20B5" w14:textId="77777777" w:rsidR="00895F16" w:rsidRPr="007F400A" w:rsidRDefault="00895F16" w:rsidP="00C401A7">
      <w:pPr>
        <w:keepNext/>
        <w:spacing w:after="120" w:line="300" w:lineRule="atLeast"/>
        <w:outlineLvl w:val="0"/>
        <w:rPr>
          <w:rFonts w:ascii="Times New Roman" w:eastAsia="Times New Roman" w:hAnsi="Times New Roman" w:cs="Times New Roman"/>
          <w:b/>
          <w:bCs/>
          <w:sz w:val="24"/>
          <w:szCs w:val="24"/>
          <w:lang w:val="x-none" w:eastAsia="x-none"/>
        </w:rPr>
      </w:pPr>
      <w:bookmarkStart w:id="369" w:name="_Toc36732624"/>
      <w:bookmarkStart w:id="370" w:name="_Toc135935693"/>
      <w:r w:rsidRPr="007F400A">
        <w:rPr>
          <w:rFonts w:ascii="Times New Roman" w:eastAsia="Times New Roman" w:hAnsi="Times New Roman" w:cs="Times New Roman"/>
          <w:b/>
          <w:bCs/>
          <w:sz w:val="24"/>
          <w:szCs w:val="24"/>
          <w:lang w:val="x-none" w:eastAsia="x-none"/>
        </w:rPr>
        <w:t>2.1 Badania i ocena jakości powietrza</w:t>
      </w:r>
      <w:bookmarkEnd w:id="369"/>
      <w:bookmarkEnd w:id="370"/>
    </w:p>
    <w:p w14:paraId="5F737532" w14:textId="77777777" w:rsidR="006C7E98" w:rsidRPr="005E2831" w:rsidRDefault="006C7E98" w:rsidP="00C401A7">
      <w:pPr>
        <w:autoSpaceDE w:val="0"/>
        <w:autoSpaceDN w:val="0"/>
        <w:adjustRightInd w:val="0"/>
        <w:spacing w:after="60"/>
        <w:ind w:firstLine="567"/>
        <w:jc w:val="both"/>
        <w:rPr>
          <w:rFonts w:ascii="Times New Roman" w:hAnsi="Times New Roman" w:cs="Times New Roman"/>
          <w:sz w:val="24"/>
          <w:szCs w:val="24"/>
        </w:rPr>
      </w:pPr>
      <w:r w:rsidRPr="005E2831">
        <w:rPr>
          <w:rFonts w:ascii="Times New Roman" w:hAnsi="Times New Roman" w:cs="Times New Roman"/>
          <w:sz w:val="24"/>
          <w:szCs w:val="24"/>
        </w:rPr>
        <w:t>W 2022 r. Główny Inspektor Ochrony Środowiska prowadził monitoring stężeń: dwutlenku siarki, dwutlenku azotu, tlenków azotu, benzenu, tlenku węgla, ozonu, pyłu zawieszonego PM10 i PM2,5 w powietrzu, a także pomiary ołowiu, arsenu, kadmu, niklu i </w:t>
      </w:r>
      <w:proofErr w:type="spellStart"/>
      <w:r w:rsidRPr="005E2831">
        <w:rPr>
          <w:rFonts w:ascii="Times New Roman" w:hAnsi="Times New Roman" w:cs="Times New Roman"/>
          <w:sz w:val="24"/>
          <w:szCs w:val="24"/>
        </w:rPr>
        <w:t>benzo</w:t>
      </w:r>
      <w:proofErr w:type="spellEnd"/>
      <w:r w:rsidRPr="005E2831">
        <w:rPr>
          <w:rFonts w:ascii="Times New Roman" w:hAnsi="Times New Roman" w:cs="Times New Roman"/>
          <w:sz w:val="24"/>
          <w:szCs w:val="24"/>
        </w:rPr>
        <w:t>(a)</w:t>
      </w:r>
      <w:proofErr w:type="spellStart"/>
      <w:r w:rsidRPr="005E2831">
        <w:rPr>
          <w:rFonts w:ascii="Times New Roman" w:hAnsi="Times New Roman" w:cs="Times New Roman"/>
          <w:sz w:val="24"/>
          <w:szCs w:val="24"/>
        </w:rPr>
        <w:t>pirenu</w:t>
      </w:r>
      <w:proofErr w:type="spellEnd"/>
      <w:r w:rsidRPr="005E2831">
        <w:rPr>
          <w:rFonts w:ascii="Times New Roman" w:hAnsi="Times New Roman" w:cs="Times New Roman"/>
          <w:sz w:val="24"/>
          <w:szCs w:val="24"/>
        </w:rPr>
        <w:t xml:space="preserve"> (</w:t>
      </w:r>
      <w:r w:rsidRPr="005E2831">
        <w:rPr>
          <w:rFonts w:ascii="Times New Roman" w:hAnsi="Times New Roman" w:cs="Times New Roman"/>
          <w:bCs/>
          <w:sz w:val="24"/>
          <w:szCs w:val="24"/>
        </w:rPr>
        <w:t>B(a)P)</w:t>
      </w:r>
      <w:r w:rsidRPr="005E2831">
        <w:rPr>
          <w:rFonts w:ascii="Times New Roman" w:hAnsi="Times New Roman" w:cs="Times New Roman"/>
          <w:sz w:val="24"/>
          <w:szCs w:val="24"/>
        </w:rPr>
        <w:t xml:space="preserve"> w pyle zawieszonym PM10</w:t>
      </w:r>
      <w:r w:rsidRPr="005E2831">
        <w:rPr>
          <w:rStyle w:val="Odwoanieprzypisudolnego"/>
          <w:rFonts w:cs="Times New Roman"/>
          <w:sz w:val="24"/>
          <w:szCs w:val="24"/>
        </w:rPr>
        <w:footnoteReference w:id="69"/>
      </w:r>
      <w:r w:rsidRPr="005E2831">
        <w:rPr>
          <w:rFonts w:ascii="Times New Roman" w:hAnsi="Times New Roman" w:cs="Times New Roman"/>
          <w:sz w:val="24"/>
          <w:szCs w:val="24"/>
        </w:rPr>
        <w:t xml:space="preserve">. </w:t>
      </w:r>
    </w:p>
    <w:p w14:paraId="6B63F7A5" w14:textId="77777777" w:rsidR="006C7E98" w:rsidRDefault="006C7E98" w:rsidP="003000A7">
      <w:pPr>
        <w:autoSpaceDE w:val="0"/>
        <w:autoSpaceDN w:val="0"/>
        <w:adjustRightInd w:val="0"/>
        <w:spacing w:after="0" w:line="300" w:lineRule="atLeast"/>
        <w:ind w:firstLine="567"/>
        <w:jc w:val="both"/>
        <w:rPr>
          <w:rFonts w:ascii="Times New Roman" w:hAnsi="Times New Roman" w:cs="Times New Roman"/>
          <w:sz w:val="24"/>
          <w:szCs w:val="24"/>
        </w:rPr>
      </w:pPr>
      <w:r>
        <w:rPr>
          <w:rFonts w:ascii="Times New Roman" w:hAnsi="Times New Roman" w:cs="Times New Roman"/>
          <w:sz w:val="24"/>
          <w:szCs w:val="24"/>
        </w:rPr>
        <w:tab/>
      </w:r>
      <w:r w:rsidRPr="005E2831">
        <w:rPr>
          <w:rFonts w:ascii="Times New Roman" w:hAnsi="Times New Roman" w:cs="Times New Roman"/>
          <w:sz w:val="24"/>
          <w:szCs w:val="24"/>
        </w:rPr>
        <w:t xml:space="preserve">Na wybranych stacjach miejskich GIOŚ wykonywał również pomiary składu pyłu zawieszonego PM10 pod kątem zawartości wielopierścieniowych węglowodorów aromatycznych (WWA). Ponadto, na pięciu stacjach w Polsce były prowadzone badania składu </w:t>
      </w:r>
    </w:p>
    <w:p w14:paraId="6A2CCF92" w14:textId="75207823" w:rsidR="00895F16" w:rsidRPr="007F400A" w:rsidRDefault="006C7E98" w:rsidP="003000A7">
      <w:pPr>
        <w:autoSpaceDE w:val="0"/>
        <w:autoSpaceDN w:val="0"/>
        <w:adjustRightInd w:val="0"/>
        <w:spacing w:after="0" w:line="300" w:lineRule="atLeast"/>
        <w:jc w:val="both"/>
        <w:rPr>
          <w:rFonts w:ascii="Times New Roman" w:hAnsi="Times New Roman"/>
          <w:sz w:val="24"/>
          <w:szCs w:val="24"/>
        </w:rPr>
      </w:pPr>
      <w:r w:rsidRPr="005E2831">
        <w:rPr>
          <w:rFonts w:ascii="Times New Roman" w:hAnsi="Times New Roman" w:cs="Times New Roman"/>
          <w:sz w:val="24"/>
          <w:szCs w:val="24"/>
        </w:rPr>
        <w:t>pyłu zawieszonego PM2,5 pod kątem wybranych kationów i anionów oraz węgla organicznego i elementarnego</w:t>
      </w:r>
      <w:r w:rsidR="00895F16" w:rsidRPr="007F400A">
        <w:rPr>
          <w:rFonts w:ascii="Times New Roman" w:hAnsi="Times New Roman"/>
          <w:sz w:val="24"/>
          <w:szCs w:val="24"/>
        </w:rPr>
        <w:t>.</w:t>
      </w:r>
    </w:p>
    <w:p w14:paraId="5442437F" w14:textId="77777777" w:rsidR="00FA1D00" w:rsidRDefault="002F4ADD">
      <w:pPr>
        <w:spacing w:after="0" w:line="300" w:lineRule="atLeast"/>
        <w:jc w:val="center"/>
        <w:rPr>
          <w:rFonts w:ascii="Times New Roman" w:hAnsi="Times New Roman"/>
          <w:sz w:val="24"/>
          <w:szCs w:val="24"/>
        </w:rPr>
      </w:pPr>
      <w:r w:rsidRPr="005E2831">
        <w:rPr>
          <w:rFonts w:ascii="Times New Roman" w:hAnsi="Times New Roman"/>
          <w:noProof/>
          <w:lang w:eastAsia="pl-PL"/>
        </w:rPr>
        <w:lastRenderedPageBreak/>
        <w:drawing>
          <wp:inline distT="0" distB="0" distL="0" distR="0" wp14:anchorId="3210AC33" wp14:editId="2471F0D8">
            <wp:extent cx="5759450" cy="3533775"/>
            <wp:effectExtent l="0" t="0" r="0" b="0"/>
            <wp:docPr id="79" name="Wykres 79" descr="Wykres 18. Stanowiska pomiarowe monitoringu jakości powietrza Inspekcji Ochrony Środowiska  działające w ramach PMŚ w latach 2010–2022 z podziałem na metody pomiaru">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110B8453" w14:textId="77777777" w:rsidR="00FA1D00" w:rsidRDefault="00FA1D00" w:rsidP="00FA1D00">
      <w:pPr>
        <w:spacing w:after="0" w:line="300" w:lineRule="atLeast"/>
        <w:jc w:val="center"/>
        <w:rPr>
          <w:rFonts w:ascii="Times New Roman" w:hAnsi="Times New Roman"/>
          <w:sz w:val="24"/>
          <w:szCs w:val="24"/>
        </w:rPr>
      </w:pPr>
    </w:p>
    <w:p w14:paraId="245AEFCC" w14:textId="77777777" w:rsidR="00FA1D00" w:rsidRDefault="00FA1D00" w:rsidP="00FA1D00">
      <w:pPr>
        <w:spacing w:after="0" w:line="300" w:lineRule="atLeast"/>
        <w:jc w:val="both"/>
        <w:rPr>
          <w:rFonts w:ascii="Times New Roman" w:eastAsia="Calibri" w:hAnsi="Times New Roman" w:cs="Times New Roman"/>
          <w:sz w:val="24"/>
          <w:szCs w:val="24"/>
          <w:lang w:val="x-none" w:eastAsia="x-none"/>
        </w:rPr>
      </w:pPr>
      <w:r w:rsidRPr="005E2831">
        <w:rPr>
          <w:rFonts w:ascii="Times New Roman" w:hAnsi="Times New Roman" w:cs="Times New Roman"/>
          <w:b/>
        </w:rPr>
        <w:t>Wyk</w:t>
      </w:r>
      <w:r>
        <w:rPr>
          <w:rFonts w:ascii="Times New Roman" w:hAnsi="Times New Roman" w:cs="Times New Roman"/>
          <w:b/>
        </w:rPr>
        <w:t xml:space="preserve">res </w:t>
      </w:r>
      <w:r w:rsidRPr="005E2831">
        <w:rPr>
          <w:rFonts w:ascii="Times New Roman" w:hAnsi="Times New Roman" w:cs="Times New Roman"/>
          <w:b/>
        </w:rPr>
        <w:t>1</w:t>
      </w:r>
      <w:r>
        <w:rPr>
          <w:rFonts w:ascii="Times New Roman" w:hAnsi="Times New Roman" w:cs="Times New Roman"/>
          <w:b/>
        </w:rPr>
        <w:t>8</w:t>
      </w:r>
      <w:r w:rsidRPr="005E2831">
        <w:rPr>
          <w:rFonts w:ascii="Times New Roman" w:hAnsi="Times New Roman" w:cs="Times New Roman"/>
          <w:b/>
        </w:rPr>
        <w:t>. Stanowiska</w:t>
      </w:r>
      <w:r w:rsidRPr="005E2831">
        <w:rPr>
          <w:rFonts w:ascii="Times New Roman" w:hAnsi="Times New Roman" w:cs="Times New Roman"/>
          <w:b/>
          <w:i/>
        </w:rPr>
        <w:t xml:space="preserve"> </w:t>
      </w:r>
      <w:r w:rsidRPr="005E2831">
        <w:rPr>
          <w:rFonts w:ascii="Times New Roman" w:hAnsi="Times New Roman" w:cs="Times New Roman"/>
          <w:b/>
        </w:rPr>
        <w:t>pomiarowe monitoringu jakości powietrza Inspekcji Ochrony Środowiska</w:t>
      </w:r>
      <w:r w:rsidRPr="005E2831">
        <w:rPr>
          <w:rStyle w:val="Odwoanieprzypisudolnego"/>
          <w:rFonts w:cs="Times New Roman"/>
          <w:b/>
        </w:rPr>
        <w:footnoteReference w:id="70"/>
      </w:r>
      <w:r w:rsidRPr="005E2831">
        <w:rPr>
          <w:rFonts w:ascii="Times New Roman" w:hAnsi="Times New Roman" w:cs="Times New Roman"/>
          <w:b/>
        </w:rPr>
        <w:t xml:space="preserve"> działające w ramach PMŚ w latach 2010–2022 z podziałem na metody pomiaru</w:t>
      </w:r>
    </w:p>
    <w:p w14:paraId="6CEB61F0" w14:textId="77777777" w:rsidR="00FA1D00" w:rsidRPr="00FA1D00" w:rsidRDefault="00FA1D00" w:rsidP="00FA1D00">
      <w:pPr>
        <w:spacing w:after="0" w:line="300" w:lineRule="atLeast"/>
        <w:jc w:val="center"/>
        <w:rPr>
          <w:rFonts w:ascii="Times New Roman" w:hAnsi="Times New Roman"/>
          <w:sz w:val="24"/>
          <w:szCs w:val="24"/>
          <w:lang w:val="x-none"/>
        </w:rPr>
      </w:pPr>
    </w:p>
    <w:p w14:paraId="1DDEAA4D" w14:textId="44AAF0F9" w:rsidR="006C7E98" w:rsidRDefault="006C7E98" w:rsidP="00FA1D00">
      <w:pPr>
        <w:spacing w:after="0" w:line="300" w:lineRule="atLeast"/>
        <w:jc w:val="both"/>
        <w:rPr>
          <w:rFonts w:ascii="Times New Roman" w:eastAsia="Calibri" w:hAnsi="Times New Roman" w:cs="Times New Roman"/>
          <w:sz w:val="24"/>
          <w:szCs w:val="24"/>
          <w:lang w:val="x-none" w:eastAsia="x-none"/>
        </w:rPr>
      </w:pPr>
      <w:r w:rsidRPr="005E2831">
        <w:rPr>
          <w:rFonts w:ascii="Times New Roman" w:hAnsi="Times New Roman"/>
          <w:sz w:val="24"/>
          <w:szCs w:val="24"/>
        </w:rPr>
        <w:t>Pomiary prowadzono metodami aspiracyjnymi na 1102</w:t>
      </w:r>
      <w:r w:rsidRPr="005E2831">
        <w:rPr>
          <w:rStyle w:val="Odwoanieprzypisudolnego"/>
          <w:sz w:val="24"/>
          <w:szCs w:val="24"/>
        </w:rPr>
        <w:footnoteReference w:id="71"/>
      </w:r>
      <w:r w:rsidRPr="005E2831">
        <w:rPr>
          <w:rFonts w:ascii="Times New Roman" w:hAnsi="Times New Roman"/>
          <w:sz w:val="24"/>
          <w:szCs w:val="24"/>
        </w:rPr>
        <w:t xml:space="preserve"> stanowiskach automatycznych i 781 stanowiskach manualnych oraz metodami pasywnymi na 6 stanowiskach (Wyk</w:t>
      </w:r>
      <w:r w:rsidR="00475E1F">
        <w:rPr>
          <w:rFonts w:ascii="Times New Roman" w:hAnsi="Times New Roman"/>
          <w:sz w:val="24"/>
          <w:szCs w:val="24"/>
        </w:rPr>
        <w:t>resy</w:t>
      </w:r>
      <w:r w:rsidRPr="005E2831">
        <w:rPr>
          <w:rFonts w:ascii="Times New Roman" w:hAnsi="Times New Roman"/>
          <w:sz w:val="24"/>
          <w:szCs w:val="24"/>
        </w:rPr>
        <w:t xml:space="preserve"> 1</w:t>
      </w:r>
      <w:r w:rsidR="00475E1F">
        <w:rPr>
          <w:rFonts w:ascii="Times New Roman" w:hAnsi="Times New Roman"/>
          <w:sz w:val="24"/>
          <w:szCs w:val="24"/>
        </w:rPr>
        <w:t>8</w:t>
      </w:r>
      <w:r w:rsidRPr="005E2831">
        <w:rPr>
          <w:rFonts w:ascii="Times New Roman" w:hAnsi="Times New Roman"/>
          <w:sz w:val="24"/>
          <w:szCs w:val="24"/>
        </w:rPr>
        <w:t xml:space="preserve"> </w:t>
      </w:r>
      <w:r w:rsidR="00475E1F">
        <w:rPr>
          <w:rFonts w:ascii="Times New Roman" w:hAnsi="Times New Roman"/>
          <w:sz w:val="24"/>
          <w:szCs w:val="24"/>
        </w:rPr>
        <w:br/>
      </w:r>
      <w:r w:rsidRPr="005E2831">
        <w:rPr>
          <w:rFonts w:ascii="Times New Roman" w:hAnsi="Times New Roman"/>
          <w:sz w:val="24"/>
          <w:szCs w:val="24"/>
        </w:rPr>
        <w:t xml:space="preserve">i </w:t>
      </w:r>
      <w:r w:rsidR="00475E1F">
        <w:rPr>
          <w:rFonts w:ascii="Times New Roman" w:hAnsi="Times New Roman"/>
          <w:sz w:val="24"/>
          <w:szCs w:val="24"/>
        </w:rPr>
        <w:t>19</w:t>
      </w:r>
      <w:r w:rsidRPr="005E2831">
        <w:rPr>
          <w:rFonts w:ascii="Times New Roman" w:hAnsi="Times New Roman"/>
          <w:sz w:val="24"/>
          <w:szCs w:val="24"/>
        </w:rPr>
        <w:t xml:space="preserve">). Sumaryczna liczba stanowisk pomiarowych </w:t>
      </w:r>
      <w:r w:rsidRPr="005E2831">
        <w:rPr>
          <w:rFonts w:ascii="Times New Roman" w:hAnsi="Times New Roman"/>
          <w:sz w:val="24"/>
          <w:szCs w:val="24"/>
          <w:lang w:eastAsia="zh-CN"/>
        </w:rPr>
        <w:t>w</w:t>
      </w:r>
      <w:r w:rsidRPr="005E2831">
        <w:rPr>
          <w:rFonts w:ascii="Times New Roman" w:hAnsi="Times New Roman"/>
          <w:sz w:val="24"/>
          <w:szCs w:val="24"/>
          <w:lang w:eastAsia="pl-PL"/>
        </w:rPr>
        <w:t xml:space="preserve"> 2022 r. zwiększyła się w stosunku do liczby </w:t>
      </w:r>
      <w:r w:rsidRPr="005E2831">
        <w:rPr>
          <w:rFonts w:ascii="Times New Roman" w:hAnsi="Times New Roman"/>
          <w:sz w:val="24"/>
          <w:szCs w:val="24"/>
        </w:rPr>
        <w:t>stanowisk działających w 2021 r. Rozwój sieci pomiarowej był nakierowany głównie na</w:t>
      </w:r>
      <w:r>
        <w:rPr>
          <w:rFonts w:ascii="Times New Roman" w:hAnsi="Times New Roman"/>
          <w:sz w:val="24"/>
          <w:szCs w:val="24"/>
        </w:rPr>
        <w:t> </w:t>
      </w:r>
      <w:r w:rsidRPr="005E2831">
        <w:rPr>
          <w:rFonts w:ascii="Times New Roman" w:hAnsi="Times New Roman"/>
          <w:sz w:val="24"/>
          <w:szCs w:val="24"/>
        </w:rPr>
        <w:t>zwiększenie liczby stanowisk pomiarowych służących do monitorowania stężeń zanieczyszczeń, dla których występują przekroczenia poziomów dopuszczalnych/docelowych przy jednoczesnej redukcji stanowisk pomiarowych służących do monitorowania stężeń zanieczyszczeń, dla których nie występują przekroczenia poziomów dopuszczalnych/</w:t>
      </w:r>
      <w:r w:rsidR="00C401A7">
        <w:rPr>
          <w:rFonts w:ascii="Times New Roman" w:hAnsi="Times New Roman"/>
          <w:sz w:val="24"/>
          <w:szCs w:val="24"/>
        </w:rPr>
        <w:t xml:space="preserve"> </w:t>
      </w:r>
      <w:r w:rsidRPr="005E2831">
        <w:rPr>
          <w:rFonts w:ascii="Times New Roman" w:hAnsi="Times New Roman"/>
          <w:sz w:val="24"/>
          <w:szCs w:val="24"/>
        </w:rPr>
        <w:t>docelowych</w:t>
      </w:r>
      <w:r w:rsidR="00895F16" w:rsidRPr="007F400A">
        <w:rPr>
          <w:rFonts w:ascii="Times New Roman" w:eastAsia="Calibri" w:hAnsi="Times New Roman" w:cs="Times New Roman"/>
          <w:sz w:val="24"/>
          <w:szCs w:val="24"/>
          <w:lang w:val="x-none" w:eastAsia="x-none"/>
        </w:rPr>
        <w:t>.</w:t>
      </w:r>
    </w:p>
    <w:p w14:paraId="61C6C5E1" w14:textId="21A24353" w:rsidR="002F4ADD" w:rsidRDefault="002F4ADD" w:rsidP="00895F16">
      <w:pPr>
        <w:spacing w:after="0" w:line="300" w:lineRule="atLeast"/>
        <w:rPr>
          <w:rFonts w:ascii="Times New Roman" w:eastAsia="Calibri" w:hAnsi="Times New Roman" w:cs="Times New Roman"/>
          <w:sz w:val="24"/>
          <w:szCs w:val="24"/>
          <w:lang w:val="x-none" w:eastAsia="x-none"/>
        </w:rPr>
      </w:pPr>
    </w:p>
    <w:p w14:paraId="68FD80EB" w14:textId="6047B94C" w:rsidR="002F4ADD" w:rsidRDefault="002F4ADD" w:rsidP="00895F16">
      <w:pPr>
        <w:spacing w:after="0" w:line="300" w:lineRule="atLeast"/>
        <w:rPr>
          <w:rFonts w:ascii="Times New Roman" w:eastAsia="Calibri" w:hAnsi="Times New Roman" w:cs="Times New Roman"/>
          <w:sz w:val="24"/>
          <w:szCs w:val="24"/>
          <w:lang w:val="x-none" w:eastAsia="x-none"/>
        </w:rPr>
      </w:pPr>
    </w:p>
    <w:p w14:paraId="1EABB9C8" w14:textId="75F1EB65" w:rsidR="002F4ADD" w:rsidRDefault="002F4ADD" w:rsidP="002F4ADD">
      <w:pPr>
        <w:pStyle w:val="Tekstkomentarza"/>
        <w:spacing w:line="300" w:lineRule="atLeast"/>
        <w:rPr>
          <w:sz w:val="24"/>
          <w:szCs w:val="24"/>
        </w:rPr>
      </w:pPr>
    </w:p>
    <w:p w14:paraId="3D02DE23" w14:textId="77777777" w:rsidR="002F4ADD" w:rsidRDefault="002F4ADD" w:rsidP="002F4ADD">
      <w:pPr>
        <w:spacing w:after="60"/>
        <w:jc w:val="both"/>
        <w:rPr>
          <w:rFonts w:ascii="Times New Roman" w:hAnsi="Times New Roman" w:cs="Times New Roman"/>
          <w:b/>
        </w:rPr>
      </w:pPr>
    </w:p>
    <w:p w14:paraId="47EF4259" w14:textId="3BCEEC4A" w:rsidR="00BB363C" w:rsidRPr="005E2831" w:rsidRDefault="00BB363C" w:rsidP="00BB363C">
      <w:pPr>
        <w:spacing w:after="60"/>
        <w:jc w:val="both"/>
        <w:rPr>
          <w:rFonts w:ascii="Times New Roman" w:hAnsi="Times New Roman" w:cs="Times New Roman"/>
          <w:b/>
        </w:rPr>
      </w:pPr>
      <w:r w:rsidRPr="005E2831">
        <w:rPr>
          <w:rFonts w:ascii="Times New Roman" w:hAnsi="Times New Roman" w:cs="Times New Roman"/>
          <w:noProof/>
          <w:lang w:eastAsia="pl-PL"/>
        </w:rPr>
        <w:lastRenderedPageBreak/>
        <w:drawing>
          <wp:inline distT="0" distB="0" distL="0" distR="0" wp14:anchorId="4A28D55F" wp14:editId="34B62BC6">
            <wp:extent cx="5537835" cy="4029075"/>
            <wp:effectExtent l="0" t="0" r="5715" b="0"/>
            <wp:docPr id="80" name="Wykres 80" descr="Wykres 19. Stanowiska pomiarowe monitoringu jakości powietrza Głównego Inspektora Ochrony Środowiska działające w ramach PMŚ w 2022 r. w podziale na województwa">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r w:rsidRPr="005E2831">
        <w:rPr>
          <w:rFonts w:ascii="Times New Roman" w:hAnsi="Times New Roman" w:cs="Times New Roman"/>
          <w:b/>
        </w:rPr>
        <w:t>Wyk</w:t>
      </w:r>
      <w:r w:rsidR="003000A7">
        <w:rPr>
          <w:rFonts w:ascii="Times New Roman" w:hAnsi="Times New Roman" w:cs="Times New Roman"/>
          <w:b/>
        </w:rPr>
        <w:t>res</w:t>
      </w:r>
      <w:r w:rsidRPr="005E2831">
        <w:rPr>
          <w:rFonts w:ascii="Times New Roman" w:hAnsi="Times New Roman" w:cs="Times New Roman"/>
          <w:b/>
        </w:rPr>
        <w:t xml:space="preserve"> </w:t>
      </w:r>
      <w:r w:rsidR="003000A7">
        <w:rPr>
          <w:rFonts w:ascii="Times New Roman" w:hAnsi="Times New Roman" w:cs="Times New Roman"/>
          <w:b/>
        </w:rPr>
        <w:t>19</w:t>
      </w:r>
      <w:r w:rsidRPr="005E2831">
        <w:rPr>
          <w:rFonts w:ascii="Times New Roman" w:hAnsi="Times New Roman" w:cs="Times New Roman"/>
          <w:b/>
        </w:rPr>
        <w:t>. Stanowiska pomiarowe monitoringu jakości powietrza Głównego Inspektora Ochrony Środowiska działające w ramach PMŚ w 2022 r. w podziale na województwa</w:t>
      </w:r>
    </w:p>
    <w:p w14:paraId="34907D0B" w14:textId="0AB9D244" w:rsidR="00BB363C" w:rsidRPr="005E2831" w:rsidRDefault="00BB363C" w:rsidP="00BB363C">
      <w:pPr>
        <w:pStyle w:val="Tekstkomentarza"/>
        <w:spacing w:line="300" w:lineRule="atLeast"/>
        <w:ind w:firstLine="567"/>
        <w:rPr>
          <w:color w:val="FF0000"/>
          <w:sz w:val="24"/>
          <w:szCs w:val="24"/>
        </w:rPr>
      </w:pPr>
      <w:r w:rsidRPr="005E2831">
        <w:rPr>
          <w:sz w:val="24"/>
          <w:szCs w:val="24"/>
        </w:rPr>
        <w:t>Z roku na rok wzrasta liczba stanowisk pomiarowych pyłu zawieszonego. W roku 2022 było to o 14 stanowisk więcej w stosunku do roku 2021 (Wy</w:t>
      </w:r>
      <w:r>
        <w:rPr>
          <w:sz w:val="24"/>
          <w:szCs w:val="24"/>
        </w:rPr>
        <w:t>k</w:t>
      </w:r>
      <w:r w:rsidR="00475E1F">
        <w:rPr>
          <w:sz w:val="24"/>
          <w:szCs w:val="24"/>
          <w:lang w:val="pl-PL"/>
        </w:rPr>
        <w:t>res</w:t>
      </w:r>
      <w:r w:rsidRPr="005E2831">
        <w:rPr>
          <w:sz w:val="24"/>
          <w:szCs w:val="24"/>
        </w:rPr>
        <w:t xml:space="preserve"> </w:t>
      </w:r>
      <w:r w:rsidR="00475E1F">
        <w:rPr>
          <w:sz w:val="24"/>
          <w:szCs w:val="24"/>
          <w:lang w:val="pl-PL"/>
        </w:rPr>
        <w:t>20</w:t>
      </w:r>
      <w:r w:rsidRPr="005E2831">
        <w:rPr>
          <w:sz w:val="24"/>
          <w:szCs w:val="24"/>
        </w:rPr>
        <w:t xml:space="preserve">). </w:t>
      </w:r>
    </w:p>
    <w:p w14:paraId="0C67970F" w14:textId="6EC0E94C" w:rsidR="00BB363C" w:rsidRDefault="00BB363C" w:rsidP="00BB363C">
      <w:pPr>
        <w:autoSpaceDE w:val="0"/>
        <w:autoSpaceDN w:val="0"/>
        <w:adjustRightInd w:val="0"/>
        <w:spacing w:after="0" w:line="300" w:lineRule="atLeast"/>
        <w:ind w:firstLine="567"/>
        <w:jc w:val="both"/>
        <w:rPr>
          <w:rFonts w:ascii="Times New Roman" w:hAnsi="Times New Roman"/>
          <w:sz w:val="24"/>
          <w:szCs w:val="24"/>
        </w:rPr>
      </w:pPr>
      <w:r w:rsidRPr="005E2831">
        <w:rPr>
          <w:rFonts w:ascii="Times New Roman" w:hAnsi="Times New Roman" w:cs="Times New Roman"/>
          <w:noProof/>
          <w:lang w:eastAsia="pl-PL"/>
        </w:rPr>
        <w:drawing>
          <wp:inline distT="0" distB="0" distL="0" distR="0" wp14:anchorId="4503D82B" wp14:editId="1E3B8A5D">
            <wp:extent cx="5467350" cy="3248025"/>
            <wp:effectExtent l="0" t="0" r="0" b="0"/>
            <wp:docPr id="81" name="Wykres 81" descr="Wykres 20. Stanowiska pomiarowe monitoringu stężenia pyłu zawieszonego PM10 i PM2,5 "/>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r w:rsidRPr="005E2831">
        <w:rPr>
          <w:rFonts w:ascii="Times New Roman" w:hAnsi="Times New Roman" w:cs="Times New Roman"/>
          <w:b/>
        </w:rPr>
        <w:t>Wyk</w:t>
      </w:r>
      <w:r w:rsidR="003000A7">
        <w:rPr>
          <w:rFonts w:ascii="Times New Roman" w:hAnsi="Times New Roman" w:cs="Times New Roman"/>
          <w:b/>
        </w:rPr>
        <w:t>res</w:t>
      </w:r>
      <w:r w:rsidRPr="005E2831">
        <w:rPr>
          <w:rFonts w:ascii="Times New Roman" w:hAnsi="Times New Roman" w:cs="Times New Roman"/>
          <w:b/>
        </w:rPr>
        <w:t xml:space="preserve"> </w:t>
      </w:r>
      <w:r w:rsidR="003000A7">
        <w:rPr>
          <w:rFonts w:ascii="Times New Roman" w:hAnsi="Times New Roman" w:cs="Times New Roman"/>
          <w:b/>
        </w:rPr>
        <w:t>20</w:t>
      </w:r>
      <w:r w:rsidRPr="005E2831">
        <w:rPr>
          <w:rFonts w:ascii="Times New Roman" w:hAnsi="Times New Roman" w:cs="Times New Roman"/>
          <w:b/>
        </w:rPr>
        <w:t>. Stanowiska pomiarowe monitoringu stężenia pyłu zawieszonego PM10 i PM2,5 Głównego Inspektora Ochrony Środowiska działające w ramach PMŚ w latach 2010-2022</w:t>
      </w:r>
      <w:r>
        <w:rPr>
          <w:rFonts w:ascii="Times New Roman" w:hAnsi="Times New Roman" w:cs="Times New Roman"/>
          <w:b/>
        </w:rPr>
        <w:t xml:space="preserve"> </w:t>
      </w:r>
      <w:r>
        <w:rPr>
          <w:rFonts w:ascii="Times New Roman" w:hAnsi="Times New Roman" w:cs="Times New Roman"/>
          <w:b/>
        </w:rPr>
        <w:br/>
      </w:r>
      <w:r w:rsidRPr="005E2831">
        <w:rPr>
          <w:rFonts w:ascii="Times New Roman" w:hAnsi="Times New Roman" w:cs="Times New Roman"/>
          <w:b/>
        </w:rPr>
        <w:t>z podziałem na metody pomiaru</w:t>
      </w:r>
      <w:r w:rsidRPr="007F400A">
        <w:rPr>
          <w:rFonts w:ascii="Times New Roman" w:hAnsi="Times New Roman"/>
          <w:sz w:val="24"/>
          <w:szCs w:val="24"/>
        </w:rPr>
        <w:t xml:space="preserve"> </w:t>
      </w:r>
    </w:p>
    <w:p w14:paraId="21F431D2" w14:textId="77777777" w:rsidR="00BB363C" w:rsidRPr="005E2831" w:rsidRDefault="00BB363C" w:rsidP="003000A7">
      <w:pPr>
        <w:autoSpaceDE w:val="0"/>
        <w:autoSpaceDN w:val="0"/>
        <w:adjustRightInd w:val="0"/>
        <w:spacing w:after="60" w:line="300" w:lineRule="atLeast"/>
        <w:ind w:firstLine="567"/>
        <w:jc w:val="both"/>
        <w:rPr>
          <w:rFonts w:ascii="Times New Roman" w:hAnsi="Times New Roman" w:cs="Times New Roman"/>
          <w:sz w:val="24"/>
          <w:szCs w:val="24"/>
        </w:rPr>
      </w:pPr>
      <w:r w:rsidRPr="005E2831">
        <w:rPr>
          <w:rFonts w:ascii="Times New Roman" w:hAnsi="Times New Roman" w:cs="Times New Roman"/>
          <w:sz w:val="24"/>
          <w:szCs w:val="24"/>
        </w:rPr>
        <w:lastRenderedPageBreak/>
        <w:t>Ze względu na fakt, iż pomiary pasywne są niereferencyjnymi metodami pomiarów, liczba stanowisk pasywnych uległa redukcji i w roku 2022 funkcjonowało jedynie 6 stanowisk tego typu.</w:t>
      </w:r>
    </w:p>
    <w:p w14:paraId="302813BE" w14:textId="77777777" w:rsidR="00BB363C" w:rsidRPr="005E2831" w:rsidRDefault="00BB363C" w:rsidP="003000A7">
      <w:pPr>
        <w:autoSpaceDE w:val="0"/>
        <w:autoSpaceDN w:val="0"/>
        <w:adjustRightInd w:val="0"/>
        <w:spacing w:after="60" w:line="300" w:lineRule="atLeast"/>
        <w:ind w:firstLine="567"/>
        <w:jc w:val="both"/>
        <w:rPr>
          <w:rFonts w:ascii="Times New Roman" w:hAnsi="Times New Roman" w:cs="Times New Roman"/>
          <w:sz w:val="24"/>
          <w:szCs w:val="24"/>
        </w:rPr>
      </w:pPr>
      <w:r w:rsidRPr="005E2831">
        <w:rPr>
          <w:rFonts w:ascii="Times New Roman" w:hAnsi="Times New Roman" w:cs="Times New Roman"/>
          <w:sz w:val="24"/>
          <w:szCs w:val="24"/>
        </w:rPr>
        <w:t>Liczba stanowisk do pomiarów jakości powietrza w poszczególnych województwach zależy przede wszystkim od wielkości tych województw, liczby mieszkańców i poziomu zanieczyszczenia powietrza. Zgodnie z wymogami dyrektyw i krajowego prawodawstwa na</w:t>
      </w:r>
      <w:r>
        <w:rPr>
          <w:rFonts w:ascii="Times New Roman" w:hAnsi="Times New Roman" w:cs="Times New Roman"/>
          <w:sz w:val="24"/>
          <w:szCs w:val="24"/>
        </w:rPr>
        <w:t> </w:t>
      </w:r>
      <w:r w:rsidRPr="005E2831">
        <w:rPr>
          <w:rFonts w:ascii="Times New Roman" w:hAnsi="Times New Roman" w:cs="Times New Roman"/>
          <w:sz w:val="24"/>
          <w:szCs w:val="24"/>
        </w:rPr>
        <w:t>terenach, na których jakość powietrza jest dobra, monitoring jakości powietrza może być mniej intensywny (</w:t>
      </w:r>
      <w:r>
        <w:rPr>
          <w:rFonts w:ascii="Times New Roman" w:hAnsi="Times New Roman" w:cs="Times New Roman"/>
          <w:sz w:val="24"/>
          <w:szCs w:val="24"/>
        </w:rPr>
        <w:t>Ryc.</w:t>
      </w:r>
      <w:r w:rsidRPr="005E2831">
        <w:rPr>
          <w:rFonts w:ascii="Times New Roman" w:hAnsi="Times New Roman" w:cs="Times New Roman"/>
          <w:sz w:val="24"/>
          <w:szCs w:val="24"/>
        </w:rPr>
        <w:t xml:space="preserve"> 1). </w:t>
      </w:r>
    </w:p>
    <w:p w14:paraId="0C8A1A52" w14:textId="77777777" w:rsidR="00BB363C" w:rsidRPr="005E2831" w:rsidRDefault="00BB363C" w:rsidP="0040482D">
      <w:pPr>
        <w:autoSpaceDE w:val="0"/>
        <w:autoSpaceDN w:val="0"/>
        <w:adjustRightInd w:val="0"/>
        <w:spacing w:after="60"/>
        <w:jc w:val="center"/>
        <w:rPr>
          <w:rFonts w:ascii="Times New Roman" w:hAnsi="Times New Roman" w:cs="Times New Roman"/>
          <w:sz w:val="24"/>
          <w:szCs w:val="24"/>
        </w:rPr>
      </w:pPr>
      <w:r w:rsidRPr="005E2831">
        <w:rPr>
          <w:rFonts w:ascii="Times New Roman" w:hAnsi="Times New Roman" w:cs="Times New Roman"/>
          <w:noProof/>
          <w:lang w:eastAsia="pl-PL"/>
        </w:rPr>
        <w:drawing>
          <wp:inline distT="0" distB="0" distL="0" distR="0" wp14:anchorId="5E2B006C" wp14:editId="6FA8AE85">
            <wp:extent cx="3458817" cy="3366572"/>
            <wp:effectExtent l="0" t="0" r="8890" b="5715"/>
            <wp:docPr id="82" name="Obraz 82" descr="Ryc. 1. Stacje pomiarowe w podziale na rodzaje stanowisk pomiarowych w 2022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Obraz 82" descr="Ryc. 1. Stacje pomiarowe w podziale na rodzaje stanowisk pomiarowych w 2022 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486898" cy="3393904"/>
                    </a:xfrm>
                    <a:prstGeom prst="rect">
                      <a:avLst/>
                    </a:prstGeom>
                    <a:noFill/>
                    <a:ln>
                      <a:noFill/>
                    </a:ln>
                  </pic:spPr>
                </pic:pic>
              </a:graphicData>
            </a:graphic>
          </wp:inline>
        </w:drawing>
      </w:r>
    </w:p>
    <w:p w14:paraId="29207B68" w14:textId="06236FB2" w:rsidR="00BB363C" w:rsidRPr="005E2831" w:rsidRDefault="00BB363C" w:rsidP="00E746F4">
      <w:pPr>
        <w:spacing w:after="60"/>
        <w:jc w:val="both"/>
        <w:rPr>
          <w:rFonts w:ascii="Times New Roman" w:hAnsi="Times New Roman" w:cs="Times New Roman"/>
          <w:b/>
        </w:rPr>
      </w:pPr>
      <w:r>
        <w:rPr>
          <w:rFonts w:ascii="Times New Roman" w:hAnsi="Times New Roman" w:cs="Times New Roman"/>
          <w:b/>
        </w:rPr>
        <w:t>Ryc.</w:t>
      </w:r>
      <w:r w:rsidRPr="005E2831">
        <w:rPr>
          <w:rFonts w:ascii="Times New Roman" w:hAnsi="Times New Roman" w:cs="Times New Roman"/>
          <w:b/>
        </w:rPr>
        <w:t xml:space="preserve"> 1. Stacje pomiarowe w podziale na rodzaje stanowisk pomiarowych w 2022</w:t>
      </w:r>
      <w:r>
        <w:rPr>
          <w:rFonts w:ascii="Times New Roman" w:hAnsi="Times New Roman" w:cs="Times New Roman"/>
          <w:b/>
        </w:rPr>
        <w:t xml:space="preserve"> </w:t>
      </w:r>
      <w:r w:rsidRPr="005E2831">
        <w:rPr>
          <w:rFonts w:ascii="Times New Roman" w:hAnsi="Times New Roman" w:cs="Times New Roman"/>
          <w:b/>
        </w:rPr>
        <w:t>r.</w:t>
      </w:r>
    </w:p>
    <w:p w14:paraId="2B1F8180" w14:textId="77777777" w:rsidR="00895F16" w:rsidRPr="007F400A" w:rsidRDefault="00895F16" w:rsidP="00895F16">
      <w:pPr>
        <w:spacing w:after="0" w:line="300" w:lineRule="atLeast"/>
        <w:rPr>
          <w:rFonts w:ascii="Times New Roman" w:hAnsi="Times New Roman"/>
          <w:b/>
        </w:rPr>
      </w:pPr>
    </w:p>
    <w:p w14:paraId="65F7570F" w14:textId="77777777" w:rsidR="00BB363C" w:rsidRPr="00C66ACD" w:rsidRDefault="00BB363C" w:rsidP="003000A7">
      <w:pPr>
        <w:spacing w:after="60" w:line="300" w:lineRule="atLeast"/>
        <w:ind w:firstLine="567"/>
        <w:jc w:val="both"/>
        <w:rPr>
          <w:rFonts w:ascii="Times New Roman" w:hAnsi="Times New Roman" w:cs="Times New Roman"/>
          <w:sz w:val="24"/>
          <w:szCs w:val="24"/>
        </w:rPr>
      </w:pPr>
      <w:r w:rsidRPr="00C66ACD">
        <w:rPr>
          <w:rFonts w:ascii="Times New Roman" w:hAnsi="Times New Roman" w:cs="Times New Roman"/>
          <w:sz w:val="24"/>
          <w:szCs w:val="24"/>
        </w:rPr>
        <w:t>Główny Inspektor Ochrony Środowiska na bieżąco gromadził dane o jakości powietrza w wojewódzkich bazach danych CAS. Dane te były automatycznie przesyłane do krajowej bazy danych JPOAT2,0. Zgodnie z wymaganiami UE wyniki pomiarów ze stanowisk automatycznych były przesyłane w trybie on-line z bazy JPOAT2,0 na serwer Europejskiej Agencji Środowiska (EEA).</w:t>
      </w:r>
    </w:p>
    <w:p w14:paraId="5CD3CC6A" w14:textId="77777777" w:rsidR="00BB363C" w:rsidRPr="00C66ACD" w:rsidRDefault="00BB363C" w:rsidP="003000A7">
      <w:pPr>
        <w:spacing w:after="60" w:line="300" w:lineRule="atLeast"/>
        <w:ind w:firstLine="567"/>
        <w:jc w:val="both"/>
        <w:rPr>
          <w:rFonts w:ascii="Times New Roman" w:hAnsi="Times New Roman" w:cs="Times New Roman"/>
          <w:sz w:val="24"/>
          <w:szCs w:val="24"/>
        </w:rPr>
      </w:pPr>
      <w:r w:rsidRPr="00C66ACD">
        <w:rPr>
          <w:rFonts w:ascii="Times New Roman" w:hAnsi="Times New Roman" w:cs="Times New Roman"/>
          <w:sz w:val="24"/>
          <w:szCs w:val="24"/>
        </w:rPr>
        <w:t>W 2022 r. Główny Inspektor Ochrony Środowiska dokonał oceny poziomu substancji w powietrzu za 2021 rok na poziomie wojewódzkim, oddzielnie dla kryteriów ochrony zdrowia ludzi i kryteriów ochrony roślin. Ocena została wykonana dla 46 stref, tj. dla: aglomeracji powyżej 250 tys. mieszkańców (12), dużych miast o liczbie około 100 tys. mieszkańców lub</w:t>
      </w:r>
      <w:r>
        <w:rPr>
          <w:rFonts w:ascii="Times New Roman" w:hAnsi="Times New Roman" w:cs="Times New Roman"/>
          <w:sz w:val="24"/>
          <w:szCs w:val="24"/>
        </w:rPr>
        <w:t> </w:t>
      </w:r>
      <w:r w:rsidRPr="00C66ACD">
        <w:rPr>
          <w:rFonts w:ascii="Times New Roman" w:hAnsi="Times New Roman" w:cs="Times New Roman"/>
          <w:sz w:val="24"/>
          <w:szCs w:val="24"/>
        </w:rPr>
        <w:t xml:space="preserve">większych (18) oraz pozostałych obszarów województw (16). </w:t>
      </w:r>
    </w:p>
    <w:p w14:paraId="484C11DA" w14:textId="77777777" w:rsidR="00D33209" w:rsidRDefault="00BB363C" w:rsidP="00D33209">
      <w:pPr>
        <w:spacing w:after="60" w:line="300" w:lineRule="atLeast"/>
        <w:ind w:firstLine="567"/>
        <w:jc w:val="center"/>
        <w:rPr>
          <w:rFonts w:ascii="Times New Roman" w:hAnsi="Times New Roman" w:cs="Times New Roman"/>
          <w:sz w:val="24"/>
          <w:szCs w:val="24"/>
        </w:rPr>
      </w:pPr>
      <w:r w:rsidRPr="00C66ACD">
        <w:rPr>
          <w:rFonts w:ascii="Times New Roman" w:hAnsi="Times New Roman" w:cs="Times New Roman"/>
          <w:sz w:val="24"/>
          <w:szCs w:val="24"/>
        </w:rPr>
        <w:t>Następnie Główny Inspektor dokonał zbiorczej oceny jakości powietrza za 2021 r. w strefach w skali kraju. Z oceny tej wynika, że w 40 strefach na 46 podlegających rocznej ocenie z</w:t>
      </w:r>
      <w:r w:rsidR="0068480F">
        <w:rPr>
          <w:rFonts w:ascii="Times New Roman" w:hAnsi="Times New Roman" w:cs="Times New Roman"/>
          <w:sz w:val="24"/>
          <w:szCs w:val="24"/>
        </w:rPr>
        <w:t>e</w:t>
      </w:r>
      <w:r>
        <w:rPr>
          <w:rFonts w:ascii="Times New Roman" w:hAnsi="Times New Roman" w:cs="Times New Roman"/>
          <w:sz w:val="24"/>
          <w:szCs w:val="24"/>
        </w:rPr>
        <w:t> </w:t>
      </w:r>
      <w:r w:rsidRPr="00C66ACD">
        <w:rPr>
          <w:rFonts w:ascii="Times New Roman" w:hAnsi="Times New Roman" w:cs="Times New Roman"/>
          <w:sz w:val="24"/>
          <w:szCs w:val="24"/>
        </w:rPr>
        <w:t xml:space="preserve"> względu na ochronę zdrowia ludzi, wystąpiły przekroczenia norm jakości powietrza dla</w:t>
      </w:r>
      <w:r>
        <w:rPr>
          <w:rFonts w:ascii="Times New Roman" w:hAnsi="Times New Roman" w:cs="Times New Roman"/>
          <w:sz w:val="24"/>
          <w:szCs w:val="24"/>
        </w:rPr>
        <w:t> </w:t>
      </w:r>
      <w:r w:rsidRPr="00C66ACD">
        <w:rPr>
          <w:rFonts w:ascii="Times New Roman" w:hAnsi="Times New Roman" w:cs="Times New Roman"/>
          <w:sz w:val="24"/>
          <w:szCs w:val="24"/>
        </w:rPr>
        <w:t xml:space="preserve">jednego lub więcej niż jednego zanieczyszczenia. Strefy, w których nie zanotowano przekroczeń norm jakości powietrza to: miasto Płock, aglomeracja białostocka, miasto Olsztyn, miasto Elbląg, aglomeracja szczecińska i miasto Koszalin. Najwięcej </w:t>
      </w:r>
      <w:r w:rsidRPr="00C66ACD">
        <w:rPr>
          <w:rFonts w:ascii="Times New Roman" w:hAnsi="Times New Roman" w:cs="Times New Roman"/>
          <w:sz w:val="24"/>
          <w:szCs w:val="24"/>
        </w:rPr>
        <w:lastRenderedPageBreak/>
        <w:t xml:space="preserve">przekroczeń odnotowano w odniesieniu do wartości normatywnej dla </w:t>
      </w:r>
      <w:proofErr w:type="spellStart"/>
      <w:r w:rsidRPr="00C66ACD">
        <w:rPr>
          <w:rFonts w:ascii="Times New Roman" w:hAnsi="Times New Roman" w:cs="Times New Roman"/>
          <w:sz w:val="24"/>
          <w:szCs w:val="24"/>
        </w:rPr>
        <w:t>benzo</w:t>
      </w:r>
      <w:proofErr w:type="spellEnd"/>
      <w:r w:rsidRPr="00C66ACD">
        <w:rPr>
          <w:rFonts w:ascii="Times New Roman" w:hAnsi="Times New Roman" w:cs="Times New Roman"/>
          <w:sz w:val="24"/>
          <w:szCs w:val="24"/>
        </w:rPr>
        <w:t>(a)</w:t>
      </w:r>
      <w:proofErr w:type="spellStart"/>
      <w:r w:rsidRPr="00C66ACD">
        <w:rPr>
          <w:rFonts w:ascii="Times New Roman" w:hAnsi="Times New Roman" w:cs="Times New Roman"/>
          <w:sz w:val="24"/>
          <w:szCs w:val="24"/>
        </w:rPr>
        <w:t>pirenu</w:t>
      </w:r>
      <w:proofErr w:type="spellEnd"/>
      <w:r w:rsidRPr="00C66ACD">
        <w:rPr>
          <w:rFonts w:ascii="Times New Roman" w:hAnsi="Times New Roman" w:cs="Times New Roman"/>
          <w:sz w:val="24"/>
          <w:szCs w:val="24"/>
        </w:rPr>
        <w:t xml:space="preserve"> w pyle zawieszonym PM10 </w:t>
      </w:r>
      <w:r w:rsidRPr="00C66ACD">
        <w:rPr>
          <w:rFonts w:ascii="Times New Roman" w:hAnsi="Times New Roman" w:cs="Times New Roman"/>
          <w:bCs/>
          <w:sz w:val="24"/>
          <w:szCs w:val="24"/>
        </w:rPr>
        <w:t>–</w:t>
      </w:r>
      <w:r w:rsidRPr="00C66ACD">
        <w:rPr>
          <w:rFonts w:ascii="Times New Roman" w:hAnsi="Times New Roman" w:cs="Times New Roman"/>
          <w:sz w:val="24"/>
          <w:szCs w:val="24"/>
        </w:rPr>
        <w:t xml:space="preserve"> przekroczenia wystąpiły w 39 strefach. W 25 strefach przekroczony </w:t>
      </w:r>
    </w:p>
    <w:p w14:paraId="347969CF" w14:textId="77777777" w:rsidR="00D33209" w:rsidRDefault="00D33209" w:rsidP="00D33209">
      <w:pPr>
        <w:spacing w:after="60" w:line="300" w:lineRule="atLeast"/>
        <w:ind w:firstLine="567"/>
        <w:jc w:val="center"/>
        <w:rPr>
          <w:rFonts w:ascii="Times New Roman" w:hAnsi="Times New Roman" w:cs="Times New Roman"/>
          <w:sz w:val="24"/>
          <w:szCs w:val="24"/>
        </w:rPr>
      </w:pPr>
    </w:p>
    <w:p w14:paraId="031DB882" w14:textId="65E03594" w:rsidR="00B2552D" w:rsidRDefault="00B2552D" w:rsidP="00D33209">
      <w:pPr>
        <w:spacing w:after="60" w:line="300" w:lineRule="atLeast"/>
        <w:ind w:firstLine="567"/>
        <w:jc w:val="center"/>
        <w:rPr>
          <w:rFonts w:ascii="Times New Roman" w:hAnsi="Times New Roman" w:cs="Times New Roman"/>
          <w:sz w:val="24"/>
          <w:szCs w:val="24"/>
        </w:rPr>
      </w:pPr>
      <w:r>
        <w:rPr>
          <w:rFonts w:ascii="Times New Roman" w:hAnsi="Times New Roman" w:cs="Times New Roman"/>
          <w:noProof/>
          <w:sz w:val="24"/>
          <w:szCs w:val="24"/>
          <w:lang w:eastAsia="pl-PL"/>
        </w:rPr>
        <mc:AlternateContent>
          <mc:Choice Requires="wpg">
            <w:drawing>
              <wp:inline distT="0" distB="0" distL="0" distR="0" wp14:anchorId="65746F0A" wp14:editId="0887EC60">
                <wp:extent cx="3508936" cy="3829050"/>
                <wp:effectExtent l="0" t="0" r="0" b="0"/>
                <wp:docPr id="57" name="Grupa 57" descr="Ryc. 2. Klasyfikacja stref w Polsce dla pyłu zawieszonego PM10 na podstawie oceny jakości powietrza za 2021 r. (klasa strefy, ochrona zdrowia) "/>
                <wp:cNvGraphicFramePr/>
                <a:graphic xmlns:a="http://schemas.openxmlformats.org/drawingml/2006/main">
                  <a:graphicData uri="http://schemas.microsoft.com/office/word/2010/wordprocessingGroup">
                    <wpg:wgp>
                      <wpg:cNvGrpSpPr/>
                      <wpg:grpSpPr>
                        <a:xfrm>
                          <a:off x="0" y="0"/>
                          <a:ext cx="3508936" cy="3829050"/>
                          <a:chOff x="0" y="0"/>
                          <a:chExt cx="3429000" cy="3745467"/>
                        </a:xfrm>
                      </wpg:grpSpPr>
                      <pic:pic xmlns:pic="http://schemas.openxmlformats.org/drawingml/2006/picture">
                        <pic:nvPicPr>
                          <pic:cNvPr id="83" name="Obraz 83"/>
                          <pic:cNvPicPr>
                            <a:picLocks noChangeAspect="1"/>
                          </pic:cNvPicPr>
                        </pic:nvPicPr>
                        <pic:blipFill>
                          <a:blip r:embed="rId99">
                            <a:extLst>
                              <a:ext uri="{28A0092B-C50C-407E-A947-70E740481C1C}">
                                <a14:useLocalDpi xmlns:a14="http://schemas.microsoft.com/office/drawing/2010/main" val="0"/>
                              </a:ext>
                            </a:extLst>
                          </a:blip>
                          <a:srcRect/>
                          <a:stretch>
                            <a:fillRect/>
                          </a:stretch>
                        </pic:blipFill>
                        <pic:spPr bwMode="auto">
                          <a:xfrm>
                            <a:off x="238125" y="0"/>
                            <a:ext cx="2944495" cy="2649220"/>
                          </a:xfrm>
                          <a:prstGeom prst="rect">
                            <a:avLst/>
                          </a:prstGeom>
                          <a:noFill/>
                        </pic:spPr>
                      </pic:pic>
                      <wps:wsp>
                        <wps:cNvPr id="53" name="Pole tekstowe 53"/>
                        <wps:cNvSpPr txBox="1"/>
                        <wps:spPr>
                          <a:xfrm>
                            <a:off x="0" y="2676525"/>
                            <a:ext cx="3429000" cy="1068942"/>
                          </a:xfrm>
                          <a:prstGeom prst="rect">
                            <a:avLst/>
                          </a:prstGeom>
                          <a:solidFill>
                            <a:prstClr val="white"/>
                          </a:solidFill>
                          <a:ln>
                            <a:noFill/>
                          </a:ln>
                        </wps:spPr>
                        <wps:txbx>
                          <w:txbxContent>
                            <w:p w14:paraId="16341C99" w14:textId="77777777" w:rsidR="00B2552D" w:rsidRDefault="00B2552D" w:rsidP="00B2552D">
                              <w:pPr>
                                <w:pStyle w:val="Legenda"/>
                                <w:rPr>
                                  <w:sz w:val="22"/>
                                  <w:szCs w:val="22"/>
                                </w:rPr>
                              </w:pPr>
                              <w:r w:rsidRPr="00907EEC">
                                <w:rPr>
                                  <w:color w:val="000000" w:themeColor="text1"/>
                                  <w:sz w:val="22"/>
                                  <w:szCs w:val="22"/>
                                </w:rPr>
                                <w:t>Ryc. 2. Klasyfikacja stref w Polsce dla pyłu zawieszonego PM10 na podstawie oceny jakości powietrza za 2021 r. (klasa strefy, ochrona zdrowia)</w:t>
                              </w:r>
                              <w:r w:rsidRPr="00907EEC">
                                <w:rPr>
                                  <w:sz w:val="22"/>
                                  <w:szCs w:val="22"/>
                                </w:rPr>
                                <w:t xml:space="preserve"> </w:t>
                              </w:r>
                            </w:p>
                            <w:p w14:paraId="27D47659" w14:textId="105E8C2C" w:rsidR="00B2552D" w:rsidRPr="00B2552D" w:rsidRDefault="00B2552D" w:rsidP="00B2552D">
                              <w:pPr>
                                <w:pStyle w:val="Legenda"/>
                                <w:rPr>
                                  <w:b w:val="0"/>
                                  <w:bCs w:val="0"/>
                                  <w:color w:val="auto"/>
                                  <w:sz w:val="20"/>
                                  <w:szCs w:val="20"/>
                                </w:rPr>
                              </w:pPr>
                              <w:r w:rsidRPr="00B2552D">
                                <w:rPr>
                                  <w:b w:val="0"/>
                                  <w:bCs w:val="0"/>
                                  <w:color w:val="auto"/>
                                  <w:sz w:val="20"/>
                                  <w:szCs w:val="20"/>
                                </w:rPr>
                                <w:t>Klasa A – poziom stężeń pyłu zawieszonego PM10 nie przekracza poziomu dopuszczalnego</w:t>
                              </w:r>
                            </w:p>
                            <w:p w14:paraId="6A7D5985" w14:textId="1CCD08B4" w:rsidR="00B2552D" w:rsidRPr="00B2552D" w:rsidRDefault="00B2552D" w:rsidP="00B2552D">
                              <w:pPr>
                                <w:pStyle w:val="Legenda"/>
                                <w:rPr>
                                  <w:rFonts w:eastAsiaTheme="minorHAnsi"/>
                                  <w:b w:val="0"/>
                                  <w:bCs w:val="0"/>
                                  <w:color w:val="auto"/>
                                  <w:sz w:val="20"/>
                                  <w:szCs w:val="20"/>
                                  <w:lang w:eastAsia="en-US"/>
                                </w:rPr>
                              </w:pPr>
                              <w:r w:rsidRPr="00B2552D">
                                <w:rPr>
                                  <w:b w:val="0"/>
                                  <w:bCs w:val="0"/>
                                  <w:color w:val="auto"/>
                                  <w:sz w:val="20"/>
                                  <w:szCs w:val="20"/>
                                </w:rPr>
                                <w:t>Klasa C - poziom stężeń pyłu zawieszonego PM10 przekracza poziom dopuszczalny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65746F0A" id="Grupa 57" o:spid="_x0000_s1027" alt="Ryc. 2. Klasyfikacja stref w Polsce dla pyłu zawieszonego PM10 na podstawie oceny jakości powietrza za 2021 r. (klasa strefy, ochrona zdrowia) " style="width:276.3pt;height:301.5pt;mso-position-horizontal-relative:char;mso-position-vertical-relative:line" coordsize="34290,374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Ha4xAwQAALgIAAAOAAAAZHJzL2Uyb0RvYy54bWycVl1v2zYUfR+w/0Do&#10;aQNWfyi2YwtxCi9ZgqJpYzQd+kxTlMVaIjmSsmw/7m/s9/R/7ZCW7NousK4PUS7Jy8tzzz2X9M3r&#10;TVmQNTdWKDmN+p1eRLhkKhVyOY3+/PjwahwR66hMaaEkn0ZbbqPXtz//dFPrhMcqV0XKDUEQaZNa&#10;T6PcOZ10u5blvKS2ozSXWMyUKanD0Cy7qaE1opdFN+71Rt1amVQbxbi1mL3fL0a3IX6Wceaes8xy&#10;R4ppBGwufE34Lvy3e3tDk6WhOhesgUF/AEVJhcShh1D31FFSGXERqhTMKKsy12Gq7KosE4yHHJBN&#10;v3eWzaNRlQ65LJN6qQ80gdoznn44LHu/nhsi0mk0vI6IpCVq9GgqTYkfp9wykPVhyzok7pC3BbXb&#10;TKwo+0xRVcMzUpO5KizjJC0o0dsvf1dkh/pwu0O5l4rM3/V7CEu0SiEDLBCUSm7JZ7pSX/5hAguY&#10;dGZHsY/EvbhPTIf8ssJJzRHb37AlNwpBdqmBN/2V+LLVepkA/aPRL3pumonlfuQrsclM6f+DY7IJ&#10;Bd8eCs43jjBMXg1748nVKCIMa1fjeNIbNpJgOXRzsY/lf7Q7B3DuQVFh5/VgOBhde1Td9uCux3eA&#10;owVL8NdUENZFBf9b6djlKsOjJkj5XTFKalaVfgWxaerEQhTCbUPjQFYelFzPBZub/eAohvFVK4bn&#10;haE7gjGS8xu8z34H9Rk9KbayRKq7nMoln1mNjsM9EKg4de/64clxi0LoB1EUvkrebhKD4M7U/Q1u&#10;9p1zr1hVcun2V4HhBXJU0uZC24iYhJcLDmWbN2kARBNr2AcARCqwoV/Hcm9mANHMo36HhYD4CNLj&#10;t5AaWdTvVIo+oZVToenPpBZfjfvxMCKXeosng8FggiWvmng0mMRx0NtBNeDUWPfIVUm8AeyAG86g&#10;6yfrgcO1dfHQpfIM+vkWXmNi6HsEt6pticXogtr/dXG85FRzoPFhj1oZHrSCq4ATx1fWqZoTzANX&#10;4+t7lLjN7wpdF4rh5z2bPokz/tBVgZ7r0RA0hmIdGvbrtuv3RuPJIA5aOwZp2flOAq0qRNqq0O+9&#10;KwxZUzwXdS4cb4KfeBXylHma+Bk0fJuRt9xmsQn36iHbhUq3IMEolBUpWs0eBM57otbNqcGrg0m8&#10;pO4Zn6xQ9TRSjRWRXJndt+a9P2qK1YjUeMWmkf2rov6SKN5IVBshXWuY1li0hqzKO4VM+wFNMLHB&#10;uKI1M6PKT3hgZ/4ULFHJcNY0cq155zDCAh5oxmezYO/vmif5onFD9YN4Pa8fN5+o0U1VHAr6XrV6&#10;osmZuve+e5Zn6LJMBOl7XvcsNnRD28EKzyOsk/f363HwOv7guP0XAAD//wMAUEsDBAoAAAAAAAAA&#10;IQAR+/fm81YDAPNWAwAUAAAAZHJzL21lZGlhL2ltYWdlMS5wbmeJUE5HDQoaCgAAAA1JSERSAAAC&#10;TwAAAhMIBgAAAB6L+OIAAAABc1JHQgCuzhzpAAAABGdBTUEAALGPC/xhBQAAAAlwSFlzAAAbhwAA&#10;G4cB6Li47QAA/6VJREFUeF7s/Qd4VEe3JQzPPzPPne+b/5945947N722X9tksMGAySbnLBAZJKIi&#10;kpBEUM4oInLOGRS6z+mWyDnnHJ0zxtg4YDKsf6863VjIre7mNdgIzn6e9bTU53R19amqXat27dr7&#10;P8AUU0wxxRRTTDHFFK/FJE+mmGKKKaaYYoopTyAmeTLFFFNMMcUUU0x5AjHJkymmmGKKKaaYYsoT&#10;iEmeTDHFFFNMMcUUU55ATPJkiimmmGKKKaaY8gRikidTTDHFFFNMMcWUJxCTPJliiimmmGKKKaY8&#10;gZjkyRRTTDHFFFNMMeUJxCRPpphiiimmmGKKKU8gJnkyxRRTTDHFFFNMeQIxyZMppjyn8vDhw9/A&#10;KeX/d0pF75tiiimmmPL0xCRPppjyJ8oDITr3HzzEL7fu4Yef7ihcJ368jWvf38KVb3/B51/fwKdf&#10;/az+vv4jr91R1wj+/ehz8pmv5Z4vv7mB7+Xvn3+56/gWU0wxxRRTnqaY5MkUU/5guX//AX66cRff&#10;Xb+NM5e/x8FT3yB/2VkMj9mDkXF7MWzCLgwZvwuDIneif8R29AnbBp+x29TfQ+Qarw+M2qmuD5W/&#10;+Tn/SXswWD7TT+7pG74NvuHbkTDtGL65dtPxraaYYooppjwtMcmTKaY8Q+EO2v0HD/DV1V9w6eMf&#10;8P6nP2L/8W8wffk5JE4/jtbDStG4vw3v9LWibv9C1B9ciHf9itBsdBFahRahXVQxOscWo2tCsfq7&#10;6cgiNB5ehPdCitBS0ET+bzhEMFQ+E2Dc3yG6GI38C/FmhwKEpx/ExY9+UGTNFFNMMcWUpyMmeTLF&#10;lGcgP/58B1e/u4VDp67Ctv1TTMo7gn7hOzA4ehe6Bm5CnV5FaDSsGF1irOgWb8XAKRrG6TombBJs&#10;1hGzTUf8Lh2J+2xIOWRD6hGb/K1j0lYdE7foiN2pI07A/8dvNBCz3bg/6YBN3dNlohW1uhWjb9h2&#10;zFt3EWff/15tEZpiiimmmPL7xCRPppjyO4SWJTpo3737AJc/+QFHzlzF3mNXMH35ecTlH0PP4K1o&#10;1E9HU38Lmo0pwnvBxfCZbMGoJRrCijQkH9SRetSG9OM2ZJ2zIfu8QF6zzhrIPOPAaeNV3VPmuvN/&#10;53vqHnnNuWBD/G4dA3I1NB1RjPp9NQybuBtb93+Jm7fuOWpviimmmGLK3yImeTLFFC/lzt37avvr&#10;yrc31RZc6a7Psdz6PhYVXsLcNRcRkLgPPQO3ocuozWgyWMe7g4vReYIV/fOsCF2vI3aHYTFKOaI/&#10;TooEk4lTTxckURnyGlqgo76vYYXqMHITZq0+jzOXvlfEzxRTTDHFlCcXkzyZYko5efDgIY6d/RYb&#10;936Bzfu+gL79U6wr+UhtfWXMPYWQ5AMYEr0LHYZvVP5K7/bVlXWpmb8VbcMs6BpnwYiFGsZpxtZb&#10;2nH9EZlR1qFnQJQqQu5FG8KtOur2sqJBHw3vSj3594DI7Vht/xBfXLnh+NWmmGKKKaZ4KyZ5MuWl&#10;l59v3MFnX9/AwZPfYPbqC0iccRy9grahab8StBhUipZD5HWwHc0G2dBsmIamfla0GGVF9wQrhszU&#10;FFEauUhDuEVHwh4dKYd1ZJwQ8uKwLD0Lq5JXkO+ldat7rIZqHYswPucwbDs+Q9/w7ajSqRDv+uoY&#10;nbAXJTs/w0/yDEwxxRRTTPFOTPJkyksrtDDtOvIVwjMOovPIzWjrtxENfHTU6WrBewFW9Ey2wmey&#10;FYOnWzF0lhX+8zSMLdbU9hudtemvpEhSWcLiJExl3/uTQCtX3C4bGg60oM3QDfjki59w+859fPzF&#10;z5i6/CzeE1LIE3mN++uIyDyIvcevOJ6MKaaYYoop7sQkT6a8lHLm8neIyj6EBr105QvUfKQVHaOs&#10;GL1MCFKB4ZuUfU5H5ln6J/2KyXylRefPtCh5CTqNj1lu/D6f0G34+PMf1W+ngzudxs99cB2ps0+g&#10;yQAb3mi/Xm1BJs48jssf/6DuM8UUU0wxxbWY5MmUl0oOnrqKiVOOoFZXC95oXYT3xlgQtFITskG/&#10;JCFM53VFOrjd5YqQVCbwBB5DFjTsb0W19ha09ivFhY9+JUYkUbS+nf/wOoJS9uHVNuuERBWgUX8d&#10;+cvO4JMvf3bcaYoppphiSlkxyZMpL6yQHHCbigEqSZoCk/ehvo+G19utx3ujjG24lMM25F12TT5e&#10;BGSetWH8Rht6Jmio0r4QzQeXYN/xb9TJwbLC57Tn6NfKQlW1YwFebbsOHUduxI5DX6rUMWa+PFNM&#10;McWUX8UkT6a8kHLv/gN89PlP6oRc94AtqNfbilo9itA2zIpRiw1/JcZUol+QK9LxIoGWtIxTOnyz&#10;dNTsWqSeBU8QupIPPv0Rg6J3op6PFdW7FOEduXfSlCP45MufcPfeA8ddpphiiikvt5jkyZQXTu7J&#10;JH/o9FWV440EoP4AC7pOsiJ4LUmTQSZehG25JwGDaaYdtaFTtIa/ti7AvLUXHE/rt0JL3dw1FxSJ&#10;YmiDKh0LMCBqh7JM3br9uMXKFFNMMeVlFJM8mfJCCbej9h2/oiJ71+hahF4pGsYWGlG86QPEbSxX&#10;5OJFB8kiTwZ2nmhFvR66ijTuTugLRcvd5HknUadHMap1LkTn0Zugbf/UDGtgiimmvPRikidTXhi5&#10;8ctdFG76CL2EONXuXgSfNA3Jh3Rk09L0nJ+Me9bg9iStbq2DLXi7u1XFdqKfkyf58soN+MfsRs2u&#10;xajVrUglMl5quYQbN80UL6aYYsrLKyZ5MuWFkC+/4VbTeTTytaNuXwv6ZWlI2Ke/FD5NXsFBHnvE&#10;a6jSthihaQew2v4Bvrl20/EEK5YDJ79By6ElQkiLUae7Bc0G2rGm5EPcvWdu4Zliiikvp5jkyZRK&#10;LZz8LVs+wdi0g6jfU0cTfwtGLzUS7r6sW3QuIeSJDvKD8jXU7GBFg95GShkSKE9y5+4DrLS9j3d8&#10;NLzTx4J6guaD7Niw+3PHHaaYYoopL5eY5MmUSiM8Lf/zL3fVpL1S/wBFmz5WpKn5gBI1qTMJb6TN&#10;iNf0sm/TuQL9niZu1dE/R0PLMRr+0mIdMheccjxd98KEyGHpB1C9ayEaDdTwWtv1SJxxzHHVFFNM&#10;MeXlEpM8mfJcybXvb+GjL35SR+YJOi0Tm/d+gcisQwhJ3S9kqRR1u+l4p4cNDfpa0SbUioAVOlIO&#10;OUiTSZzcIvuCDr+5Ol5rWYiIyQe9DkFAR/x3fKzKgfz19gWqPUwxxRRTXkYxyZMpf7rsOPglllku&#10;Y/76i/CbsBtthm1Ey8GlKiJ2uxEb0HroBjTqa1NRwev5WNBpvBW+WRr6TNYQKKQp9UiZlCkuyIKJ&#10;x8Htu/g9OpoNFyLUzQr7Ltcxn8rL3bsPMGv1OZVUuHqXQqzQPW/5mWKKKaa8iGKSJ1P+FKE1af66&#10;Cxg6YRfe6anhL80L8EabQtT3teC90RoaDbLirR4W+d+qooG3j7AiaLWm0o2kHdORe8kA4xeZliYP&#10;OMk4T6XIu7wFUz7chvyPd2D2lZ0YW7gNNToXq7AOjCLujTCG1rrSD9W2afko5aaYYoopL4uY5MmU&#10;P0wYO+jm7fvImH8Kb/e0oFqnYpm8i1RC3iHTdPjP0xFdwoS8NgSs1PFWNw0N+2kIWaspa4kTJll6&#10;MuRe2oRo+wI0G9IDPWIC0SnCD22DBqDliIGo3n4m3u1XikOnv3G0kimmmGKKKZ7EJE+m/CFCy8bh&#10;01cxPHaPyrHWzN+CPhkawotpSTLyy+VeEnLkCGSZcdKmwg3U6ayhVYCG9BOGw7MrcmCiYmSf34AR&#10;c1Pxl7eqoUard1G7XTPU694GHcP94JMYiN4pq/F6m2JkzPPOcdwUU0wxxRSTPJnyB8j1n25jUeEl&#10;5cNUrVMROozTMGmrkTKEliRXpIgpVJjQ9q3uGpoONchTlkmenghZZ0vkuWn4x7/+BQ16d5D/S+V9&#10;OyaftitSNe3TDQhcacdfmq/HxLwjjtYyxRRTTDHFk5jkyZRnKj/8dAf5y86o4Irv9C9C38kaEvcZ&#10;5MjVhO8ELVATt9hQt6dBnhL26opkmUEvvcRJ+oRtQnjxLPyPf/p79EkJw7TPdiniRNC5PveiDaOX&#10;6HitdQEmmeTJFFNMMcVrMcmTKc9M6OO0xv4hanaxoNlwC4JW60g7blicXE74ZUCilHLEhg4RGt7u&#10;oaHbJA2BK3XEbjdjOHmDrDMl8qqjoU8H1O/VDhM2LRZCuuHRdWXtO2lD7xQNr7YsQNLM445WM8UU&#10;U0wxxZOY5MmUZyZnLn+HDsM34W2fYnVSrqItuoqQI/eHrNPRzN9wHG88WEOHMA0xQqBMC5R75F7a&#10;jGEzE/A///kfMDB3IvI/2o4MIVOP7hECymfIiON/bV2AmPyjKhSBKaaYYoopnsUkT6Y8dXn48CGu&#10;Xb+tAjBW7VCEAXmaIk1PQpwI3p96VMc4TUfgKl1Fxa7ZXsOQGZqa+DNdfMaE4LRdiOcGDMgej7e7&#10;tES9Hm0QvHoK8i5vNrbtHPdx225sgY6a3YrgE7oNX1y54WhBU0wx5UmFwWZv3b6PGzfvOt4x5UUW&#10;kzyZ8tTlyJlvEZZxEG931/DeaCsS9/4+SxG36bjVxyjiLLNrrKZO42WZ23dukbhvLWJ3rECvhBD8&#10;tUFtBK7IQe7lLY+u83Rj8BpdOfEPitqF74TwvgjCND7Xrt9y/GeKKc9ejp+/htTZxxGbf1Qdvthx&#10;6Cuc//A6PvvqZzOB9gsqJnky5akKV18xU4/izXaFaD7CivBiw0pUdlL/W0DyFLdLR0NfDe8O1DBh&#10;syNApot7TThw2i7PqBSZZ+zoFR+Mf6v9JkLXT0fuxU3qOsND0GH8lfcKMDH3iPJRq+zC3IcLCy4h&#10;POOAili/3Po+Vto+wKa9n+P0pe/w5Te/4Obte7h//yHuCUwx5fcKE2cPj9mN2t2LVXDfd3pb0dpv&#10;I9qM2Yb+E/cic9EZLC66hH3Hv8EdL1MhmfL8i0meTHmqsu3Al6jXS0OD/kaS3qyzZfxsfgdIlJIO&#10;2PBuf02VT4uJCpjp4l4Tj4MhC4i/NqiDDuF+mP7pTvU+n9/4Uh3v+Baj7bANeP/THx2tWDnlky9/&#10;RuyUo3i7h1UFYa0nk1jtzhbU6WxFk74l6DxyC/qF78CI2D0YnbAPo+P3InHGcRUxnXn7zl7+HmcE&#10;jH7PCdEUU7yRnYe/Uhbx9pFWTNikw2+RDZ3CizGw33L4+K5EE58i1O2tocXgEujbvUuFZMrzLyZ5&#10;MuWpySdf/IQ2fqWo3qkYw+drHsMRPAkYuiBkva6IEwkUQxeYlifvkEkfqAsb0WRgN/xztdcQv3u1&#10;ivPEazkXdfikaHi9lZEk2Ns0Lc+bbNzzOTqM2IgaXYrR1N8q/cSKxkOsGDrL8JEbPN2K3qlWtAy0&#10;4J1+xajTS9CtGG8Jyarb04q6MvkRb3WzovXgDRiXcRjZC09j1qrzmL36vLyeU68b9nyGK9/+gtt3&#10;zK0YU4xQLOEZB/FKi0L4z9WQ96kdk8/acXhODn4JDsGPwRHYMzoBffutxL+2L8L0FWcdnzSlsotJ&#10;nkx5KsI8Z8Ep+/HXVkXolawr4vQ0QwqQKDFoZj0fDe/00TBOM07vubrXRDlIO/D0XZ/UcGV9Sj5Y&#10;8ChsAaO5J+y1qXyCf2lRgHGZB3Hi/DUUb/kY1364iQcPHuD+/fvqEMDzJKzP/fsPcPLCNQQk7kWt&#10;zka6H6b5YUiMOt00tArUkHvZhikf2JD3Pi1wNiQf4vavDTHbbSpQK18DVmroOklD+3AN7cI0tAm1&#10;ov6QIrzRrgD/3lzQYr28rlf5F2nFau+3ET2CtsBn7Db0CtmKkbF7ULT5Yxw98y2Onf0Wpy5+h5OC&#10;ix9eFzJ6V20R3n9g4Hl7jqYYwnbhtrVqJ7aXwgO8/8mPOHf5e5y+9D3suz5DSOp+lQuSbU90C9is&#10;cnO2lPETs9eOzHN2HJ+VBQQEAqGhwFhB+GhMGLwA/9J9AzqO2qQsnzsOf6XyRJpSecUkT6b8LuFc&#10;8OPPdxCdfRivtylUJ+LidhtbQr+ZxH8HSMQYuqBflo6aHTR0izVO8Lm618RvkXNxE7pEjcArdWsi&#10;dsfKR5YndU2IbsIeG9qO1VCrazFqd7XgzQ4FGB53AGss+zBn1gzcunnT0eJ/nnCCYziF6z/exv4T&#10;32B8zmHU7WVF9c5FUncrxhbqyP/IhkAhQ3W6aOgeJ32kHIFnnyERpyWTfZTg/87ToM7rDOQatNKm&#10;8i2OWKBjODFPw5BZVnRLKEbDIcV4u08R6vYV9CkWWFCnpwW1uxngc2zYR8eo2L3IXnAaOYtOY86a&#10;8zhw8qpyZie+++G2+i20YnEifQSZtMuSLP5tki7vhM+JpMdJfgg+T+ezvXnrnnrmzjZQ+P6WOuRC&#10;Ajxl6RllcSQmTTmCZgPsqo/V7ibobsHbfaWt2eaEr9H2tbtY0WGCDfmnrTg5Y7IQpyAHcRrrQChO&#10;B0xCzJB5aNCzCDW6FKJOL4v04SuOWuM3bW7K8y8meTLlbxaOdTrghqUfwOvtCtE2RJOJWUf2xccn&#10;rN8NmQCZniV6g67CHpA8NR8u37XT3LrzFlln7AhenadStYycn44pH/x66o7BMkkiUg7Z4DdHQ5cJ&#10;VrQP0/BWrxLUaDsd/+vfmuDA4T8v9x0nPE5ylz7+Adq2T5Wlp9lAO2p0L0S7MKtyek87Suuarvpf&#10;5/EGeQpdZxDDss/BW5BE5Ug/5olEhnQg+H+2lMe+GLfThphttFzpys8leK2G/tI3eyQKsRfSRuLW&#10;ZaIVzQOKUaNHAarJhFlbJs5WfqXKWkX0i9iO0Ql7sUJ7H5v2fmFgzxfYfvArfPjZT+o3f331F2X9&#10;oD/XtzLJE3z/eyEAfC6ccF8ER/8nERINhgPgoo3g1hlPivLZXPr4R+w5dgWHTl3FwZPfYK/8ve3A&#10;V+rZbpRnO3ftBYyK3wuf0K3KgtRb2qG3/N3Gv1TFkqvetRBVOxegdp8CNBlZiI6RVulPVjUmfCdr&#10;iCrRMWmr0c/Gb9Tlui5kSEefoAJcmJ4GBDotTk7i5EQQ7sjr2YBYtOy9HrV768rPjm33zXc3sevw&#10;1/j8659furaszGKSJ1P+JqHSvixKfUz8PlTpIEomyor43cYE42oy+j1gmeN0Xfk6Mdo4g2X2TNCQ&#10;fNBI2eLqMyZ+Rfa5Upnol6FOx+Zo1L8LUg4Wwshz9/h9zB3Ira30EzoS99oUAWBanRqdizB92Sm1&#10;HUWHak5SFSl5Tmy/R7htQkvMLzfvKcLAE3LrSz9CXP4x9A3bjro+Frw7pBgdoi0IWK7Lb+Hvo+VM&#10;h/88Da3GGAcKSK65JfcstnadoTMegzw3vq8sXYIMuS/tuDHJBq3RMWaZjhELNfSZbEULIVRNRxaj&#10;maCxvwWNBlsVGva3Kif3d/vpGBi5Uzm/h6QewIDI7Rg2cbcKZMqj8HGCzHmnsLbkQ7VNePDkVZy8&#10;8J16VuVx7v3rOPfBdXwqz5InEW/dvqdiETnB07F/tDjjIZUH60cS9NnXN/DBZz/ig09/FB3zg+pz&#10;aitUfiOx+8jXWG55H9OXn8PMlecxZfFZJE0/jhh5XiSkLYbY0Xb4BkWI+HdDXx3v9JVnPMiKxsMs&#10;aDLcgqajpA1GFKPV2GJ0iS2Gb44VQ2daMXKRtJX0q7BCo+2SD+lIPawjXdqybLuTVDMGXbPhOmr1&#10;0FEwPAsIqYg4ORGEGyERaOmzHnV62ZSf3pHTV5UF9R0fK8YIkf7gUx5WMP3pKoOY5MmUJxaav+nf&#10;MXT8LlTrWKRW2vSbeZoO4mXB1X50qY7GgzTU6qRh8FRRaEdkonoKIRBeBvCkXcqhQrzydnV0ivDD&#10;jM93I+Okm1OQMkmwLeOFkPTNIFnV0Vomos6jN6N70FZMnn8ae45eURNy2YCAn371Mzbs/hxn3/8e&#10;tz1MACTfdE7n1hXL4Qm3ix/9oCZGkgKGGwgV4tB1zGa0GGZDvf5FaC0TXf9cDRGakCZpfxKjpP26&#10;mvDoq/RObw1NhFizzuN0g8C4/H1/BBxEin2U/ZfPkwQr7Zg8V1lk0O+Kk3OkXSbrFRpGLtaUczst&#10;q8z/2Ewmd24LvRdEoliMthHFaDKyCA2HFaHegCK8O8iClv42dAnYhM4BG9E1cDO6BgjkeT16FfQO&#10;2aYwNu0A5qy5gGWWy4L3FRjGoWTnZ+q586QlCcvHX/yk2oRt88U3v6j/r3x7UwVQpTXsq6u/qGvl&#10;DxbcEsL7w893cEMIELfF2Kb8bFnQcnjs3DWU7vocK7Vf66Agf89bd0FtcY7LOIQRsXsxfNIepWO6&#10;B2xBN/l93YLlNwVtRscxG9DCT0eToVY0HSb9U17rDyhWz4XPqleyFd0TjAMCvlka+mVrGDhFnvEi&#10;DaHrNaVLYnfK8xdQb9HiSmuikxyxrUjI2XbqPXlV5NixUFPbu/J+/G4hTyN0vCXk6cDoRCAs2AVh&#10;ciAkBHfHhuDElMnoHS8EWcZUO/8Ngo3qAMO7gy2oKro0NOUA1m/4SFn0TXm+xSRPpjyR/HTjrpog&#10;e8kkWqtbkZqokvYbyuY3E8hTBP2duk7QUb2NkeOOTsCu7jPhAqLo6fPUNngQarRqJBPGWvl/s3qP&#10;caAqIlKcMEhSQ9bZMWCKDd2TS5TVpGanVegyZgsiMo9iUcFFbN73BbYI4qcdQ8uhGzF0wi6sLf1Q&#10;CNbXCtyeYAgL3ueEfcdnWFJ8GbkLz8iEcRBj4vfDf+JuNUk2HWRDw35WvDfaoibDwTOsCCuSCY95&#10;DaVOijQd1JXlqVO0hvp9DWtkr0RNWQzSjjqCssrvdvW7/kw8moxpwXBMyIpklalr+nGb2h7ib5m4&#10;RVeTtHObKMqmI9yiY2yhBr+5VvhMtqBvtgW9Ui3oPKkYHScY6DBeEGVY6DqOt6BVsAVN/TSDbMiz&#10;ajRQQ8P+GtoOL4W/kJTRcXsxOn4fAhP2I2fBGSwtfh/js48gQNolYepxRGUexsjYfYjNO4rFhZex&#10;VEgYLSds91LRB4ylNWP5eSxYfxH5S84iREgAPxuY+CvoKO0bsR3tR21AowFGyiXWgYsikl7W771R&#10;GlqHSJ0d9Sb4O7rGF8Mn06J+b79cC4YvsqqtUoLPgv2Dz4XPKuWwrvoHLUPpJ4VEE45nz+etnr+L&#10;NnDZX+Q9tkcKLVBCfNX/QrRC1uroPFFHzb52vNVLx8WAmIrJU7AQp9BQHJ2dhWmHixC316788rpM&#10;sqBtuEWd0gtcoaNtiFVZVuv2FXI9/ZginBRzK+/5FJM8meK1cOWYu/gMOvhvQp2eMqlN05AmkyuV&#10;0G+UzlOEc2LpOE5D9bYyacw2TvOVv89ExeA2XaQ+D683rIPBU2NlginC2ILpiNm2HNkXNrr8DJFz&#10;gZ+bjYG58UJWpqP1mLGo1nIE/lJ/PGp3X4LWIzeizTCBkKYGfeyo020Fandbj2b9S9F19BaFHgFb&#10;0V5W2K3lHt7XVv5uNawU7w2zo9VoWb2PLEaT4cV4L7AY3eJlMpmnqS0ubtXSspRxQtqbfkeXaCkw&#10;tsC6TNTQQCbfd2US7h6rqTAWSQcM0lSWiFRKSP35O7ggeTS5Oyd9eU+9L+D2KreUSBIUYZDfnyjP&#10;6xH2GeAzpL9g4GouPDSMXmpYuviM++VY0TrUgjZhxWgZbGxltR6jo6WfHU38LGgi/7ccY0XzUdzu&#10;KkaLUXL/SDuaD5K2G7JBtWdractWw+1oE2CTVxua+7FNjfvV9uRoo23bhhejZ7IFQ2ZpGL5AMN94&#10;ZV1Yp8BVQoSEBLGubGdn/Qlu0ace+fX3khApy1C5Z8LnxOdXIRnyFo424CvJDYk5LVhjlvGZ6Wgk&#10;v7N+Dwt6+K5BwMAl+DY4SshTiAviFIzb8rpv4RTkHbEghTHXHGSNbUSyx2Tp/J4o+d3Dl9rQY9Q6&#10;1OpqRXTuYeX/Vrz1U+W/xThk1MF0gjflzxeTPJniUb65dlOdRBkRswfv9NaViXn4fMMPQCkYV8rn&#10;acKhBLtMYBweDc1khWoGyXwyZJ4pkYmmBHW7tkS9bq3RdGB3/KVONbw3vK+0Yak8y19P3xG0Rk15&#10;f6tMXGvRqF9nNBvSHTVaN0S74EGySs5F08EDUa1VNwyZUYz+eRsxaPp2tBw9WwhUIAZNLUTvdB29&#10;0qwK3D6hZUQhzYI+tB7kWDB0toYwi6asKxM364jZakyatBJkSdvSSZv9iyt/TjKjFunoFGWQJlot&#10;SJrYDxKFNDgJRtnf8MJDxgUnYQXH73cFNVkLnJ9T25lCPvg3SVfMDm5jyet2HZOkLcKlTfyEMIQV&#10;aer/8ZuMiP78m9uMo4RADJjCU4cW9EyxoG+mRVnBxhY7iJBcV23qAB2sY7bpiJPvIMGj5ebRbyhT&#10;F4Uyv8VZ70co83sf+/xThrKiy3dQv4UXi74bqKFuD+lzfB1iR92+Orr1WYNFfnk4HhiDy0HjcT80&#10;TMhSOX+noGDcCg/DthXTkX1cFppnfs0rSTh/l9JvgqSLpVi+fQUORiUisO8C1JTFSIcxW9BxeCk6&#10;Bm9H17G74Bu9W2290nXClD9XTPJkiku5efu+ilWzUv9Amdub9JOJt5emJsKJm0sNHwEO/DLK4FmC&#10;CpNK2DdTQ7XWRlweTrCu7jXhGgyWGbp+Kl57pxZqt2+KfpOj8F//539H9ZbvIsI6G9MYedyRODjn&#10;4kYwL1674MFoMqAr4neuxMgFaUJiViP30iZM2rwY7/briDod3sOQqYkIXTcL3WNCFLnKvbxVnX6j&#10;hcAJbqU9wjEDahKVdn00OQpoUSQmyUQeXaJj6EwNnYU0tx8rE1dPDe/4GP+TNNGZ94+YTF9olHv+&#10;BN/LcBCc8tf4rGn1SZf2U87UjvakdVB9jltktAqV/5zjs897W7Hv0dLlJ8S+oxD1lqOMk5u9M20I&#10;W6dh8MCVWDg0T4Ue+DmUJInWJhcWJwdxKl03V8ihPKMyCbldIeHCBizbvBxX4yfifkgQPhVCljh4&#10;NiYMnIO1fpkY2W8xBvZdig69V6PRwFIUy2L2s69/dmhrU/4MMcnTSyzOYHCMncMTTnTyZewRRlOO&#10;m3ZUmeUb9LbhrR4WdI/fjC7js/B2l7YIWTvlN5aKPwK0NHGVTL+NBr7GsWH6Qrm614Rr0MeJRClo&#10;ZS7SjluVA3nVFvXxar0a6BkXJBOhRZ7pRiGm0vY+7YUcNUe4ZRbyLm+Wia9EJsESKccuf9tVsM02&#10;Y/qjyaBuqN+rDf6t1hvoERuI6Z/tejRRugIn2UcoUze2JS0VdO5tMUJDfSFK9fsYhKnpUE0R54AV&#10;mpq0eb8qi58ta7kw8XRQrm1+A0f7PWpPV/dUJshvoDM/t4TbBGmo5yDqPITQYZIsBA5r2LcsH18G&#10;jcONkLF4qAhTBSfrAoNwMyIc1uIFytqU7ub50ApI4rRqwzJ8PzEaD4OkXHViLwTfh4TjmuCWkLQr&#10;IePw1dgwlIxIQ+0eVqmbjiETduHaD2YC7D9LTPL0kghPx/C479GzV9WJJqaaCMs4iLD0g2o7jsfA&#10;fSN24L1BpajSthjV2herxL5dZZU/Tt+E8TK4qzatjb/7f/8L3u7aUk2inExdKYRnBSrq/I909E7R&#10;UKW5prZxGDna1b0mKoCyChi57kiAGHk8Yc8a+M1KFPLzJobNTMDgqTGo3qoRqr/XEJH2+Yo4PeZU&#10;7iArTDiceqQI6cd5imka/j//8T+iR4yQp093/Xqvl+D2HH2cSJpqtNfQ3F9TsaZ4+iyqRFOkOfM0&#10;t4ndnBI0YeJvBLeIJ22zqTAXJE7sh0GrNIzfZUfSPh3H52ThXnCwEBsnaaqAOAUE4+a4cKy3LUYy&#10;D2O4+C4neC1eiNM6+2LcjIwQ4sTyneU6v6MMQoJxOzgEsyYvQJNAG97sUIjpK885NLwpf7SY5OkF&#10;Fx47nrP2AvyFINXuasXrrQtRtUMRanQuRs0uxajVrRh1ejDHVzFqy9+M1Dxsto5Ri3Xl0Dj9082I&#10;ss3C3//l/+I9fx9EFM/Gv1T7K2K3L3/m1idOqFRqTh8Evo7fpKvTQrRIRNkNR2JXnzXhPZj3jrGg&#10;3mj0Nv7H//0/+H/+f/9fDM6PQf6H2+R9921MAsXP02L1P//5H9AuaBDyP9imiJmr+11BbdNt0dUJ&#10;MG6R+KTSQdhwEOc15Qzs8K3Lu7xFfR+3QsqXY8LE3wIuyti/BuXrqN1JQ6dITSUhTztfitxzOk7P&#10;znQRNdwFAoPwi5Cg5VtWIPHiRvfESb4z/tJGFFkX4h7LJTFzVaYTIXKPkKsT83Iw/aKGcJsdtbpa&#10;0Li/TS2KTfnjxSRPL4AwZg4DzzHi8I2b91RwvC37vlQpU9r6bUDV9kUqwjGjMdNXqH8OT7foKjIz&#10;Tykx3omKPSOvqYdlwhJCkneZ22R2pQBqtG6Mtzq/h3nXDqNXXBBerVcT0RsWIu/9LWobyLBCGZOl&#10;2/hBT4DMM7qKM8QjyIOnikKLNgIfMlBmrQ6aivb7rE/5vVSQ9qP1qMnA7mjQuz0yTvD5Phk5nrh5&#10;iZCgZU+8jUOSFCr9sEY74+h6yFpN3jP8mcrex74WuDwH46xzlN9VFrcQn/C7TJh4DCep63QVY4vE&#10;/e3uxtZw1gclyD9SjHNT0oAxHoJfyrUHQq6+nzQei7etUttwLr9LQH1KJJ8rgb1gLh6EhChS5LJc&#10;QhGrENwV8nRwQZ76bNpZu1pQcHubut03bLsKGfHt97fNsAZ/oJjkqZIJt9+ufndLpSVgmgYGo7vw&#10;0XUVeC5z/ilEZh5Gq6GlqNGlCG/1ZvC1YhWLaWyBrmL20K+EpKMi0LHTOdDzP9qOnvHByqIQZZuP&#10;9JMa/rXmm/j3WlXQdHAPvDesNzqN80eATGiTti5Tp7nKKoq/FawDk7UyTx4jilOh8XRVM38NTYeQ&#10;/PFo9uN1NfH7QSsTrTr0eXJ13RNoiXQVudwTuOpnrLBuk3S83dMIP8ATW8ri6LgnW+oUu30F/vH1&#10;v+CVutWVr9WwmYnK7+pJrFwmTJQF+xhPEjYZauiZduEaJu2xY+7B9biUnVwmwa8LYkOQOAn5+SIp&#10;FvN2rUWiG2u8Ij70gZLXzatm4J6yJrlwNneC3yvk6mZ4OHYvmaoWpqmOE3scM9SBHSI0lXOvZtdi&#10;5QPFQKam/DFikqdKIrQsMbrvutKPEJFxAFOWnsWEnMPoNGoT2g3foAILvuVThNo+hWgVaEGfNE3F&#10;J4ndbgxaru6flGzQ8bfxgK4yWdXAVCFSXPn3z4pWKT5C101Dv4xI1OveWm33VG3RAEGr89QE7Kos&#10;b0FlRqdhWiDqdNVUvjySP5IpWqLid9G6ZSgPV583UTnB9qTDLp3C2e7MUs9j9Dyuzuu0NMUIQX9d&#10;+lr7kCEqfMJfG9ZRTu5TPtj6m/JMmPAGXEwGr9XVSU5FnqJ0zNm0Gh/mJAKBZX2QXECIzb3gEHw8&#10;OQGz965H0vmKFw7UwSQ+2cc07F6Uj/u0OMlnXZZLOCxOP0VFYuvKGfJ5EqfHF6dc7FK/D5khenKc&#10;htc7FCBu2jGVPsmUZy8mefqThWkNmOKCaQ2Y2+nqdzdVQDRGZXaCGeQ37P4M47MNq1KdXkWo18eC&#10;+v0taDPWgnYRFpWOYMxyDWHFRswcDi6SJU5K5bc/vAUnJZIl+jhN2LjoUURqWheUheLiRqQeKcaY&#10;pVlqIqvTvpn6nHEiy3WZnsATdTyG/pYoMp6oC16tqfdUMDwH/tbfY+L5BtuZBKq9rP5rdzZiDWWf&#10;k5W2tHeA9LGx66ehavP6eG94H7XF+EbjuvBJDRNitdlleSZMeAJ1CcMtcAvsnT5C3Hvr0COzcTeU&#10;W2mE00G8HLlxEKdzuamYua9AOYe7Kt+JFNGJUw4X49CcbDwgafKCOH0XMx6l6+caFqsKrKvU8ZmX&#10;7EjcYEGXIevwZqdiFf3dlGcvJnn6k+TKtZs4IKSIcZSY3JJJLomUmSfQceQmtBm2QfkrGdiI9waV&#10;CFkqRvtxFgybrSkwIB1zMyXutyH5kEEs6GDLV1cD7UlBEsSTVG93bom63VqrgImGc/EGdY0kioEU&#10;B+ZMULGDBmZPMCxPv2MbhcqAcVY6Rmqo2UF+5ywGa3R9r4kXD2zr4QsMx136uKUe2SSkKQ//Xruq&#10;snLW790eXcePQrUWDeT/NiruFE8OuirLhAmPcFixGdfKJ136XVfROX2X4fCYBHwaMg4fBo3HA2V9&#10;KkOghNgw3crJGZmYerAIyR76H6OKT99fiFPTMoQ4CSGj1aksWSoLB3G6kjgJxdpCFebAXYwoWrMy&#10;T+nYt346VgXm4dU26zFOFtn0gzXl2YpJnv4gYURY5oU7evZbWLZ8goTpx1XqCqY5YDZ1ooGA6Q86&#10;TbCgW4IV3RMNqL8FQauNKL1q4Mig4qrJmaLgWfn/0NoUtDJPyFFNNB7QRcUGGrUgHf0zo9X7PH33&#10;z1VfQ5/ksYpQ8fSVq3KeBAw/wJMvVd7T0Hm8ppTD0yKEJp5fKKui9GMeYuDBADrwxu3ahg5jB6CR&#10;b2cEr5qCsYUzhDCtwttdWqJm68YYvXiyOrjgqjwTJrwFrZ6Mst46SMMb3ewIHbQI4wbPx5iBS3Eu&#10;IPbXvHVCfu7K68F5ucg7bKRbcVUeQYsRHcPn7FmH87mpeOiJODlO1H2eGo/VG5Yp0uQuRhS/O/eo&#10;FTuXTsOtCRG4EhiFVj1Wo3PoDrWDYcqzFZM8PWNhtvgjQpiWFF1G7NSj6Be+A80HlMjkYFX5n5hb&#10;auQSw6eHpzzCNcO3h5m+6RBY9pWE6c8gEZln7QhePQU12zRGw76d8O91qqHZ4B5oGzQIzYf1wt//&#10;+z+jS9QImcToe/L7T9vxtB9PAzLmCkMSkDSaIQlebHABwIUBT4K2Df31kEDa0R3Sz/phQM4ETP9s&#10;N3LOb1BgXr7/9S//iE4R/upgg6syTZh4ErAPMvBui9Ea3ulqQZ0eOqr2tCNi0AIVqBLBQbgdNha7&#10;F+cLabE8ct52BRKnpHOlWLBjNT6anGBs1XlBnD6anIilW1Z5DK6ZcrZU5co7PDcHN8PDVNn3Q0Mw&#10;ftA8vNFdx0rb+4BpfHqmYpKnpyw//XIXP/x0F6W7PsPMVecwImYv2vttQrOBhoWJSTb7ZFgxarGR&#10;/4nJLh873k9rEsG97HIoO3j+SNCaxNX96EWT8Z//7u/wH//Tf0LL4X0Qu2MlQtbkY0h+LAblTsKT&#10;Hm2vCPz9TPkwZJqGt7oa2daZY6rs6SsTLw7o+Dppm66CYtbrraH5CA09E4xM81M/3iUEvSc6CznP&#10;vbzFGB9nSpT16f+88i9oNcoXU2h5kvddlW3ChNdQfUtXfqMD8nUMmqqj+WgddbtbsWxYDq6Pi8DW&#10;1TOReeK3eerKgsQp8Xwplm1ZgS8SY4yo4SRHrkgTwa26wGC8n52M+TvXKFLGE3muyiZSztHiZMHx&#10;mVkq6bCTlD0cG4xTY+LwTo8CdAnaqg4YmfLsxCRPT0Gu/3RbOXYvKb6M4TF7MHTCbrQcvAF1uljR&#10;eIgV7SOsMhA1RGhGkkwSA1polONzJVH6zLzPGD5Vm72jfKCCV+UpR111TFygcls5Ik8/DXBCZRJR&#10;Og/XaKuhX5bp+/RCwjEGGLerVkfDz4kRxXnSjgcSmEbmlXo1VTJikqcpH27D6MWZ+Mtb1VQ/HLkg&#10;HbkXTYdxE08PJD9c0Gad0xGwTMhTHx3NehRiQvwK5AhxSj/rnjglXCjFqtKl+G5SNB7S4qR8psoR&#10;JidIqoQ4XcxLVSf2SJxYhquyCTqm5x8uxplpGbjDch8jZaG4JwQqa8h0/LW7Des3fOiYoUx5FmKS&#10;p79RmA/uyys3sLjokkqc+3Y3bjVYUb+vcQqu03grhs/TMM4mg00GIgdjZSJLv4EQI/6GtGNWpIsC&#10;Md573GL2NMkTQd+n4fMdiYAnynfKd6hn6OJeE5UU0p4kyv4yVmq219AuTBOiLmPlDMMTbMaQqXFG&#10;UNaSBer+aZ/tUmEy/st//X/RIWyYijhuRhs38dTBfnlWdJ4sCrmNXLOThkZDhdQfoXXKxf0CRZyE&#10;8DPdys9Mt+INcQoKxtmpGZh6uMgjceI24LQDRfggO0Wd9HNZdlgg7CPT8W8dLBibcRD37pt7d89K&#10;TPL0BHLr9n3sPX4FJTs/xai4PWg+0I5q0kmrdyxChwgr+mUxB5emTovRupR7kVtNL4hid0WMnvGk&#10;RUuT/1wd1dsaGfX9Zv8a98fECwKZpHhCtFeyYXnqLa903lVE+UyJsni2Ht0PbzSqiypN66Fz9AiV&#10;d48O43QWN1O1mHhWIKmnznlLFsYMndEvR/oZ+6XA1f3xFzc40q2M9dridGJWFrKOa56J0/lSzNhf&#10;qJzJH7pLFSPk6eDoRLzVtQC+Ubvw/Y93HLOXKU9bTPJURni88/79B8LWH+Dm7Xv47votfHHlF8xb&#10;dwETcg/Df9JuVOlQpPLDMR/cu4Mt8BXCFGE1rEp0anaeGOIgczUITHgPPsf4PTKxJukqcGKX8Zo6&#10;Umw+2xcEaiIyUmNwgmJgVCZn5aTlvIdhCFIOFSr/OsYcY1DMUQtlpf7JTiFZJnEy8WxAPZ561IYO&#10;4wy/y0FTjH5W/sAOCQ8duxlZnOlW7tO/yVPU8OBg3AsJwcEFU9TnPTmeJwtxmrt7Ha4kxXjOsRcW&#10;hONj4vFO13VCnnbjukmenpmY5MkhDFL52Vc/Y8Puz2Hd8gkCEvfivcElaD2sFG/1sqBKxwI0GFKE&#10;HgkaeiVqKpAj050Y2wuuO76J3w/m2OsRp6tM+4ErNGWlcHWficoHTkS00jKaOPMVMixF2nHH4sN5&#10;30n+XyKEqhRTPtimTtblXjZ9nEw8W/BwSsx2G+r7GOmCeMCHPph0KHcu3khs0uTv1NN2bFo1ywhF&#10;4JE4heBWRBh2LJ+ukgO7I050Gmc4gqVbV+KbBAdxclWuE1L+g/BAlIxKx6sdixGYvA+37txzzHCm&#10;PG15ackTrUy/3LyH6z/dwcWPfsDs1efRd+x21O1lRc2uRSonXIuAYrQOsWDEQg2h63SM32isPjiw&#10;qPjVKsQxkEw8G3ALp1uMribXXkmaMZmaz/yFAdt3nGbEdWo0SEN0qXmq0sSfD+p2hodhInVGHqdl&#10;tG2wQaJSjhg+eYzDxJN3O5dOxX1u05E8uSI1hIM4/RQ9DpvWzEK6fNYtcRIdx/JXly7Ft3ETgEAP&#10;Fie5dn9sCM6FxWLg0JWo0lXDavsHjtnOlGchLx15+v7H2yr20qmL32Fp8WVMWXIW3QI2K9LUYFAR&#10;eiZZMWiKhrGFuloVJx0wBhK35Eyl/seDk+vw+bqK+8PJNfWwg7S6uNdE5QPbMnaHjub+Gmp11tAn&#10;9VefJ1f3mzDxR4F9k7HH/OZo6B4nJMrH8L0cIPNDhswFU44VY//8XDxgqACSJ1ekhnAQp+8nRqut&#10;PUWM3BAnkiZatYq0hbgWM175Rrks14mQUNwLDcHlvBQMC1uLv3bT0TN4C764csMx65nyLOSlIE/M&#10;GffZ1zewdf+XKqFuQPw+9A7Zhgb9rHjH17Au9U4xYglxtcFBw5UFnZMf20Iw8YcjV0hr30xdOWwy&#10;+m/aUbNNXiRwy3tAjq6iiXNiGpinIYfb4CZ5MvEcgFZuknmmv+LhFS7iGgzWkb65CCfnZhoJfh1x&#10;llyCxCkoBFfjJ8Ji8ZxuRZGqkzrs6+fiupAtnsYDA3S6KpsQUsaI56dmTMb0A4VoEWbDm22LsKjo&#10;kpmi5RnLC02ePvzsR+w49BWmLTuH8IyDaD2kFI0GamgyvBhtwy3wm61hzDJdBatUk7KDNLnq1Cb+&#10;eLAt0o/b0DpYV8fYuQI0rX8vFkiO6YzLaPJ1BVzEcHs8w9yeNfEcgQSKc0SrAA1Ve5YgZuJSIS1C&#10;mkLdECdHKIKvEmOw3r5EbdW5ixqeerYE2cc1bF05Ez9GR7q3ZhFy/XZYGA7Ny0X+kWKkXShBp0ip&#10;X7tiROUckvnvJ8dMaMqzkEpHnhgugH5KnuTE+WsqnEA7v41oPFBHw4EWdJ5ogf98DdEbdMTtEgV9&#10;wpignXDVoU38eeBWaeh6He/01pTj5vhNZqDMFw0cdwl7dBXniQEySaJ4wil+t9H+JoEy8byABCpw&#10;pYbafW3o7rMGXwVG/ZrzrjwcxOmztHis2rjMI3GiYzjTrexdnI8bkRHeEafwMOxaMhU5R60G8ZKF&#10;5eglOhr4WlGjSxGSZh7HL7dMh/FnJZWCPN2+cx8HT36jYixNX3EW4ZMPYsfBr/DggWuz5O6jX6PP&#10;2G2o2bUYbcYaDt+M7s2cccbpHYHpN/PcQ2XYn6+r+D/Mc8a/k/bbHjvKbqLyg0o/ab+OtiEaanXS&#10;0FpW9/1zNQSt0pEuCxxlbTRJlIk/GZwz0o/pMqfoKnyBPiIDCOcJuHKO3NzGCwzGh5lJWLx9tZGn&#10;zkV5TjBq+NSDRTg1LQO3HHnqHiuvPISU0eK0ZdVMZJ4skyrGMUaGTNdQtWMhhozfhZ9v3HXMiqY8&#10;bXmuydOt2/dUiPmY/KNoO2wDWgwoxbt9bKjZxYJOozbh8sc/qHhMN27ew3c/3Fb/T55/Eh2Hb0aN&#10;TsVKAScfKhfd21TClQacNJnOhs7EdXsYR4bbjdWUEyejjz/tiOYm/hw4rUvdYjQVz4tEmRYoOuj2&#10;z9UdY9ggzcpCbLa7iT8J3Gbun6OjWmcbevdbg2Nj4vEwjGTHQXgcFqfz+emYs3edIjZ0/nZVFsHg&#10;l/RVej8rCXdpbeLny5OlspCy74aNRcn6Ocg4bf+N/xTrF27VUaNbIcbE78O9ew8cs6kpT1uea/Jk&#10;3/kZqncuRO1uFrQKtqJjlBXtwq1oFWRF7S5WdBm9GREZBxGauh+9grei08jNqNnJgkaDrRg2kylE&#10;zIjUlRk0k0/YbEPTYQZ5qtfTiPTbN0NH7E7Dsd/V50xUPrCtx+nGFi1THZFINRmq4S1pd8aB8s3S&#10;4TeXJ2AdBMpFGSZMPGuw79FKykUcU7a08CnEDL+peEACFRqkyM2JmZkq/5ynqOEMfkmL0/vZKbgv&#10;n3MbioAIDMatsWGwFs9H6lnX24AkT2FFOqp3EfKUYJKnZynPNXn67OufMShyJ6p2KFLO3QxQlnJU&#10;Q6J0Xsbf4N7uO32LUd+3WJ2ca+Zvhd8cq0ysdCx2WJvKdS4TlQcMiDm2QEf9Pkbqjga+mnL4J4Hq&#10;EGlGG3/RwGjjoesZgFbaVhY+EzZpeG+MkCkhUDzlVK2thtBC3TiN5+LzJkz8EeCijQEze6foqNtX&#10;R5VuJcgZMgO3QkJwfF4Osk4YW2meLE7TDhTgk/REPPAUw4mQe26OC8eakqVIvFBaYdlchIzfIvXq&#10;X4iB43bhh5/NCOPPSp57n6fPr9xAg946uidaVedQJ+IcFofE/TZRsLra2uFRUkb8ZucxfWJeIAg5&#10;Clkn7R+rY5xNR5BMrHWEPNEaNXGzECxpb5efM1EpQSdxgn8zuvykbcZJPG7h9cti3DUjQGH5zz0G&#10;c1vPxDMGCRR1T7hFR6NBOt7sqCNm8krMOGf91QfJBUh6SJxm7V2PL1LivIoa/jAwGD+Oj8SSrStV&#10;4mFX5RIsO12+m4aDjuOsqNXZioOnvnHMpKY8bXnuydOBk1fVdk23eOvjx5fllUqUndgZl8k057+Y&#10;oO9T3iVjMh0+X0PtTsaWDolzrpmu5YUFF0Gjlxl+UDyCTUukc6uWVipaorPK4qzD2mySJxN/ANjX&#10;eKilb7qQp/c0DJxtQ+4Hru8lSG54qm7R9tW4kjBJWZNcEiYnhDg9CArG13Lvgp1rkHhhg8tyCZat&#10;SNtJHQdX5iPWby7+rW0xrNs/dcykpjxtee7Jk3XbJ6jd1YreqVaDMDnJk4mXDtzPD1ylK5+Y+n01&#10;DJnBoJmGJcLsFy8YpD1JlLpONMjy4KmakCnmFdORuFdHdCljtGkYNsuI/+U/V/6eqSHKThLlojwT&#10;Jp4BSJ76Z+uo0lLDIOmjTqtpeTijiq/asAxX4yZ6Jk4hobgfbIQ6YFLgxPOlLsslFHE6bVchC/Ys&#10;zle+V7uHJ6Jmt2IEpx/E1e9umgEzn4FUim275gNL8O4giwo1YDqAv7xg2zMC/JDpOpoMMWI/9U7m&#10;9p0Rs8u0OLxAkMmGFkdGHHdGl4+waghZp6F9uBETiv5v9Xr/mjaDYQ7oyMsUPmYoEhN/BLigG71M&#10;V/2vqZ+GuF2GxbTsPWXTrXw/yZFuxZ2PE4mT4FJ2MmbtW6+2+cqWVxYsl47p+YeKcHhujpFjLyQI&#10;10Mi0apPAWpIvWKnHsW1H245ZlRTnpY89+Tp9u17iJ92FFU6FGLEQt3Mqv8yQ8gRrQrcvg0r1NBl&#10;gqbirXDCHJinI6rEtDq8SCB5Ci0wiDKdxunn1niQkai1bahhdRq50LBK8R4mb+UrJzAVG8pFmSZM&#10;PE3Q74lW0HeFyPNQQ3k/TFqbMk/qKCmYh+sTog3i5IowORESgntCnM7lp2P6/gIVA6rs95WFQZxK&#10;MHNfAU7OmFwmx14oboeGYZ5fPhr3KkSVLsXYcfgrx4xqytOS5548UXYd+VqFIGgfYVVB80zfppcb&#10;ToKUsM+GflmG4nqri4ZO0Yzr9et1E5Ubzq1YBsvsnaqhV5KGngmaClkQu9Pwb+K2yYSNuiJUDfoK&#10;mVqkP/ZZEyaeFWhhSj6oq6TBJO7d4xxpvhzzEy1CWcc1bFk1Cz8x3YoKR+CCMDkhxOeeEKATMzKV&#10;JYn+UeW/0wkSpxQhTvN2rcWFvDQ8UBYnEidneSG4Kd81YsBS/FtHK0p2feaYTU15WlIpyNO339/C&#10;oKidqNmtEOOseoX7yiZefJAYcXXXN0ND8FpNxTTpOM7Y2mk8WFPxn3ji0tVnTVQ+OElQymEmZzUC&#10;Zj6KOi7v8yBBhOiEmh00tA5kbDeTPJt49iBBInEakGuc/mUg35jtv1q+mS4l55gVe5ZM9Trdyh15&#10;PTgvF3mHi90SJ6f/1LLNK/Hh5EQ8VMTJxTZgWDDG9l+AKr1LsOfoFcdsasrTkkpBnigLCi6iWodi&#10;+GZaDb8nc2X50oGkKG63jnZhho8LI1E3HWq8MgYUFZmZUPbFhPNQgFrVO9qX/1MXkEiTPPVM1JDN&#10;bX2z/U08Y3AB7z9Xxzu9NDQaoCm/JyehTxbik3fUIkQoDzcjwj0TpyAjT932ZdOEcGnKYlX++5wg&#10;ceL19fbF+DoxxmFxqsB/KiwIYf3no2a/DTh0+qpjJjXlaUmlIU9fXPkFrYeUKsfxhD3m6vKlAydO&#10;Qf8cDbW7aGgxkmZyw++pV7Km4j9xJWhu6b48oP9jmMWmtuve7a8h0vbrBGbCxLMEw6b4pOioylN2&#10;UxiUWd4X/UQfpWkHC3FqxmTcJoF5bCvNBYKC8cu4CJVuhRkx3MWIInFi+YXaInw/KdogZe4cz8MC&#10;ET1gHl7rYceOQ6bP09OWSkOemAQ4MHk/anYpRsAKUZLm1sxLBZ6eSjloQ4sRxqmqvumaKDBdJepM&#10;P04/F8PXxcTLA/aJHvE6qrXW0D/71wnM1b0mTDxNMLdm3zQdVd7joQUd+fJ/khCbmfsL8FFmIu6S&#10;NFVkEXIiMAg3osYJGVpYYboVJ5hYmOWTOP0wPsozceL3C3mKGLYI/9TOgk17v3DMpKY8Lak05Omr&#10;q7+gw8hNeKtXsfJxMMnTywdaGvznaajRlv4tOuIc/k3mNt3LB678qQd42pIhC6I3VJ6AqZlnSqQv&#10;b1Sv2ec3qL8nl0vwauL5R7dJhuVpxAIdGZ8IcdpXgK+SYvHAUygCQojTz1GRWLVhqbIm0QHc1XcQ&#10;TouTtWg+bo0Lx8NgD+WTWEn5B1bnY+AUDa+3LULCtGO4/8CM9fQ0pdKQp73Hrqj9ZSYGTj9urDpd&#10;dTQTLy5IlDhhNuxvOIjz6Hr8bh4gYPBE158xUXnBLdjs80ZgzLLtS7KcK20+eLpBpDuPrwyHSOQ3&#10;nGS9NyHlcBHGLMkSPcagnvMRuDxHEahpn+1C1lmZSE+aVtTnGSTu3CLmCTsS95DNJZh3ZB2uJHoX&#10;Nfyh3MPTd4u3rUKCp6jhQqoZ56l03RwjhhPhqlyChEqIFcvfunImUi6VIm6vDS2Ga3i1ZQHS5hzH&#10;rdv3HDOqKb9XKg15+uSLn9DE146O0RakHzMUq6sOZ+LFBo8HM58UHcQZV6VDuOFzwLyGZp94MUBy&#10;xK1Y5rUbW6AhYZ+GNG7NklScMYhS4EpdBchkpPmQNZXBEk1/rA2I1OehavN38Jc61VC91bv4a8M6&#10;eKVuDbzr2xldo0dh/MZF8vs2ufi8iT8d0v8UsRUyz2jiTFTddpIdy/atxlWmW/EyT913E6OxcLtn&#10;4pTuCK65ZeUMPOQ2nCfiFBSM22FhsK2fqyKS02JFaz1PATYfoeEvLdfDsuVjx4xqyu+VSkOe1m/8&#10;SCU67J+rmVanlxgkSAQdxRk4kds2jDQeu8OwTLn6jInKA7ZtyhEdPRKMKOLvDjCiizMoZu8UDeFW&#10;BsHU0TFCQ3WZvHjCTvWJ59nyKBNuzqXNGL14Mv656mtoM2YAEvetRYO+HTEwd4L8nlXomxaBf6n2&#10;Oqo0rYfYnSuUBcplWSb+cPBwUtJ+XWUzaB9mBOV9RxZvdfvrSE5bhutJE7yyODFP3TfxE4U4rfYq&#10;T122I9TBfa+IUwh+ihqHYssiVXbZbcD8D21C9nT8e/P1WG3/0DGjmvJ7pdKQp/jpx/DXloUYs1xH&#10;7qXHO5uJlwecKEmSVDbzgRpqdTQmVSoLXnP1mUoNmXhThUxwy+e5JwlPAbQq8di3c1u2W6xBopoM&#10;NkJSNJRJq5m/EdOLlkeSqpTn3OqYKSAZ6hjmp6xMfC/v/S3KipHJeEAXNqr/2cZ/rV8bnSOHY8r7&#10;W39Tjok/Fhxrace4hapjjPTJmu0Nd4F3fHW0CtGRlbQIVyeMN4JfuiI1ToSEquCXH6cnqKCWnvLU&#10;pZ420q0cmpdjxHDyYqvu2qTxWG9brLb4yhInguE7GGj2jQ4FWKF9ADPN3dORSkOeorIP4bX3ClRs&#10;DTNFy8uL9BNGGhaGKeDWXaNBGiK0yuDz4oBMkHzlapZwR4aoBJnLjfndQtYZASJJpNTnSKReQLJI&#10;YuyTqqFaGw190oUYHbJh4hZdRRHnqSYmCq7by0CdLvJs8h2BCZ9jUsltuEjbfLzRqK6yLE3aukwW&#10;gJul/coEQpQJM2bbcvxbrSroGRsk5EnIVJkyTPyxcI6tAFms+042wqGwvzUbrSNwhY41i+bhx9ho&#10;IUYeooYLabonBOfslDTlUO4xT52Q6cfSrRCuyiUcW3VfJ0zE6lI6npf8hjgRdHWgzqzVqwhRWYdx&#10;85bp9/Q0pNKQp7zFp1GtYxHaVIKVpomnD5KMlMM6hkzX0CrA2LJjsMzQ9fRDkHsqiUWGvyNVfgcd&#10;TqNFoTljU1HpPSJS8ntUzqwNOpr5GRYWRjDmFhXjXEWX6sqPgYmy+RknmSr/XZUNKvHzYZtK/Et/&#10;prBCw8rMEAQkVbyetJ+nnGT1z4TAfQzi/LxbounrRMLUJyUcNVo1QuvR/ZBysFB+0wZpN7t6jdu5&#10;CtVbvovX6tdC/K5V0qbmtt0fDY4h53ji1jGtTc7xV4+EvZ+OsLUathXNwo0YR7oVV6TGieAQ5YN0&#10;bFYWpjLdipAbV99LKOIkZHru7nU4L0RL+Th5QZw+S43F8k3LFXGqKNQBx02CLEIaDbWiUV8bPv/6&#10;Z8esasrvkUpDnnKFPFXvVCSd2YqkA0YHd9VRTLyY4AQaVqyjvkyYzKLfP1vH+I2OoIgVKI3nEWVJ&#10;UcvRmoqO7TfHIIXciqQCz5a+zd/lk2psX7UJNras6N9F0sDPdY42goQyMS4T4SbsrfwEiitkkqe2&#10;IcZkNbZAiFFZi6K0M39jzDY+Lx3D59ESZ0x4Zct57qDIvR1TPtiGoFV5qP5eQzQf2gsj5qcpYpUv&#10;7ycfLMD//vd/RqcIf3PL7o8G+5UgYbcNIWt1BK/T4Ztp+Nsx+CoXLS1CbPBNtGDn0mn4JdqRboUE&#10;xhWxIeT6nfAw7F00BXlHLJ7z1Mn1RdtX4/2sJDxgKAJ3MaJIqoKC8P7kJPnMKhUjypXFyYlUIVYz&#10;DhUiYsxi1OhiRcGmjxyzqim/RyoNeVpUeAm1u1rQfLiQp4MmeXrZQDIRWaIr8sBQBXE7jMnW1b3P&#10;M2hBibTrajVL8LRYAyFGdXx0NA/QMWKBpk6ajReCRf8ekqax63UMzNWUQu8UZeTS4mfr9hAyNUBH&#10;m3CbIlO0ZlXGZ0Jw8iKxHCe/ofEg+W09ja1KV7GbSKAYruRRKh7HVujzjkwhUCRRoeunodvE0agm&#10;JMonaSwmbFyE3okheLVeTQSvnmKetvsDoaxNjrmkl5AkLmroa0fy/p4sUkYv0RF7uASxuhCnnFzc&#10;HOdduhWmZdm+fDpyjntOt0LitHzzCnyaFm/EcHJncVLEKRjn8tIwZ/c6Za1yR5xYNv2nzs9Kw/ZR&#10;qXi1kxVBKfsds6opv0cqDXn64psbaNbfjib+FqQeNcnTywa2d7KQZio3btfQelMpT9dx4j9m+PW8&#10;LQShrpDBiYPmYVj/pWjpU6BO8dCi1ClSQ60ORvoZfo6+TqnHRJHv1NEzwXCYbuhnQ/shhejisxb1&#10;ulvRLlxD4r5fk5NWGjiIE/1LmNyXEeQ7yu9PYzw3kqMKPlOZLI5lkXWuFGnHLMryVK1FQ9Tv1Q4N&#10;fDpg+JwUmczNYJl/FOgnmbhfV9Hp6df07kCDtDOLQY94bo9raqtt6tEinJo1GXfCHeTFnY+TEJvb&#10;4eHYsNaRboWE2cV3EyROJFYF+iJcSZhYcYJfJ/jdgcE4PiMLUw8Wqc+6I07J50vVfRdyU3E/NAhX&#10;gqLQtfdytBq5BR998ZNjZjXlb5VKQ56u/3AbTfvbUKdXMcKKpOObTuMvF0TRcJWoctt11irNwQHn&#10;yla9ym+gZWjKZcOBk87u1XrYsHJ4Nr4ICcOeEYl4z6cQtXsYliUSxXG6sTXJzypIOSmHdIRtK0Hi&#10;6vU4FZ+COUPyUbeHFe8O0VRspCnvl7PKyedUXaQeJFaqLoKKSBav8TvV9zru4b38X33eUd7TAkkw&#10;HeNJCNm29Hkqm6H+RQStUHQYpyN5WNEsxO5Y8eh9M0jmswX7N8l67C4dnccb2+H0saM7AC1OoxYz&#10;bpyOlAulmHaoEBfz0nCXW3TutukIITa3wsKgF85ToQYq8kEiSKpIfjS598cJkQZxcle+w+K0b+EU&#10;ZB23qhN57ohT0vkNmHagEB9MTsR9hzXrflggEofMxj/Komxt6QeOmdWUv1UqDXm6d+8B5q67gFpd&#10;LWglq9PEfb8qdhMvBxjZN2i1huptNHSPLecP8xyCBIbWsh5xGgbkGoE82W8nbbWp8Aq1euuo0cuG&#10;k6PjgODRuDAlDROtVgQX2NRWHX26XJWbLEp95oECfJMRgx8CI9DZdx1qSjn1RPkz7yO/g8mzeUSZ&#10;zyzjhDFWuN3Nk3vc4uOptdDCctt8J406s54xO4x60kGbDtnJBxhV2aZ8jdTYexoESr6P9eP2HIkT&#10;w04wvlPSwcq7/fjEIIlyQP1vEqdnCrUAkVe/2boKeVG7k4YmQw3ixP5XUzB8nozVDzZgzr71+Dw1&#10;zojs7QVxoo8T89RVdOrNCeapY7oVmxAnbu8p53BPxCkwCLuWTlXbdM7gma7K5phinKfpQpy+SGaq&#10;mKBfyw4PxOrhOXilQxEyFpxS+WJN+dul0pCnhw8fqsYOTtqHNzsUInjt8z95mni6MMiTrsgT80o9&#10;z+3vJBe9knXUFAVN5dwjVkODgTpq+9hQpYcdjXwsKPbPwMOAIJydPlkFxcu4aFcWNRIfVwSCR51n&#10;iGL8KiUODwMDcSt0rKwm5+D13iWo2dumyq7dx4bGQw0n9BELdUXefCfryhH7re6Gz1TtLoY/VaSu&#10;q+fK7+LzJHHqFKnjbSF2b/eSz4QaubveG2WsyrmlNniqfOYpnHAzrGiGg3iN9ho6RGgqrk6l3I41&#10;8dyDlkwm9OWYqNlBUyd2eyVpSNirYcxyI9n4AJ5mPViKufvX4dv4CWpsekOcfh43Dis2LUfCxccD&#10;VJYHrVHJZ0tQuna2CmHglcWJ6VZWzECSLJposXJXfiIXVvsKcDXWRd3DQnA7JAwdfNag8bCNKl+s&#10;KX+7VBryRPnxxl0Mjd6Nev2LMHHzS7Q6fclhbDHpyP9QV6EJGFmajtNqFfk0LCDPANwWGL1EiIqQ&#10;lXd6W/G2j443upWgUW8LevquQc9+a7B/ZCLujR2NI/Oy1YqRMV5clUVQYXJFO2fPOnwhxIkK2/C9&#10;CMGN0HDsG52EguGZCBu4EH18V+HdXsV4o6MNtdpb1QlF5uHiZEG0GGlsU3C7gk7oo6SefrM1xOzQ&#10;VTwbEqsmPsWCItTqqaNaVxve7mlFvZ6Gv1nwmqezZUqL1thCXcXPacItx63mgsjEMwD1hOgP+gMy&#10;rQoXDfRtIolybk+zP5NYTf54AxbsWYOrcRO9TLcShO9ixmPRttWKOLn8fgHHr9rKk1cSoQckTYSr&#10;cgmSnuBg3A0NwaY1s1VgTXekide4sFq4YzWuT4wGxriqO4lUKIb1W4Y3ZOzvOfq1Y2Y15W+RSkWe&#10;Tl/6Ho36lKBNmMXoNM/pxGni6YDEiKtFHk2nH0KElds6uprc6dQZu90RqsDFZ/9MsM604LQYpaFG&#10;dx2Rgxdg1YgsZA6diU2j0nAtOBI/BYXhVngo9i7OV1s1nogTzfWLt6/CV8mxLpQ6lSLfC8FD+fuu&#10;kKpN/qmIH7cYQ+fbVLwkOmOPWqxj2CwjRlTXSULsRIFyIiEheruXEKq+8l4vHe36FkAfmYGto5Kx&#10;yC8X0YPmo3EfC+p0k2thhgP70xh7tDDRAb7ZcOPkoIrrZJInE08RXHjRh2z4fCNWGi2vXEwMnKKp&#10;xbfTr46khmNw2ZYVuBovxMmLdCv0JfoiJRbzdq1RPkblv9sJJ3HKOq5h9+Kpjjx1bmJEOYjTjXER&#10;sK+fq0iRO/8p1p2n6lZuWIrr0ZGiHwJdl0uEBWPjiDS80cWKcZmHcO/+A8fsasqTSqUiT7uOfI1q&#10;7S3oPEEzleyLDFEUacdsQpZ0hBToaD9OJndZKTbkEfYeVtT3seLtbppKOcAtJ5dl/ImgUmYgy7p9&#10;dbzb24JzAUJ4wgNEeYnCDBOlHBKMnyPDsUNWoBmnSJzcn8hJlwlg5cZluJIYYyh1d6d9ZKV6PzgI&#10;X6fHYuWelZh8ucRYXcvKmqtrnjDK+0CeraarI9kkTQRP/Q3stwITBs/DnlFJUpZ8j9T1YfgYFA+f&#10;jDry/Jv468qB/WlZfFmXcGljbmnypBOfGS12ru41YeKJIWOHxGnkAsPyyoUCferY9xnmgsEjeZ8a&#10;Y6ftWGdfoqxIjKHkcmw5ESLESfBBZjJm712vyM1vvtsBJ3GacrgYB+flGv5THi1OIfh+QhSKLQuU&#10;b5Rb4iT15lZeoXUhbkSN84L0BeGz8IloNqAAzYdsxOVPf3DMrqY8qVQq8rRCex+vtylUx7yfZNvg&#10;kTOmiecfoig4OTOHIYPU1e9jRZPeRWjmU4TaPXUM6r8CffuvwpsdbcqSokztrsp5ilDbg6JoCfrk&#10;MMaQq/sI1p3WlE7RGmr1smHcoAW4oxSXKEzHivKH8VHYtHqWUuBUrK7KIZz+DYX6InzLbQRGNHZH&#10;nGRFe0+U+oWcFMwSpc6jyq7KJehAHqrZ0XNMAYb4Lkfc4Dn4MHAC7iorFpU7X0OVTxUtT290t2P4&#10;3KdDVvkcGcuKMZ06RhkJfjuM01XbP6/bsCYqF9iPmMqJfn8MdMl0Pvw784zhU6f6mXP8CcGyFs/H&#10;9QnRxhhzNbac4BiTBcr5vDTle0hy4+r7CYM4lWDG/gIcn5npCEXghjgxTEFQCK7ET8LakiXKmkRy&#10;5Kpswll3+7o5+JnxpzzVXb7/ZkQYji3LxdDJxXitTTHmrbug/IlNeXKpVORpufUy3mxXpGJyeEue&#10;mPqAHYzHgpnyIPv8RvnsRvWaJe+Zx4KfL9CMzuP2zUYKcepuQcKguZjvl4cl/rlIHTobW0cnI2vY&#10;TLzeRSb+JKPtOBmXL+dpgatTTvRMDcMca8NmGRHB046W+V7HhM//pzisOnX7SP17WWAfmY77YQ7i&#10;JMrt2qRoZYrPkM+4iwFDxZgpyt9WMA/fT3IkH3VHnEQx0j/i5PTJmHaQSr3ibUCC8WtmyH17Uybj&#10;/VHRuB4SIeU4SZOjTKn3DXl/RL+lqNrDrtJV8Pc5tzv+lufOz/DzwWsdwQh7amg8hNsoL3ZoAhN/&#10;HNjHGCOMW3W0ajKo7tCZmjr5WtZqaowxDRvXzMaP471Lt8LFiTHGityOMbXVLuSHPopn89M956lT&#10;xCkYn6bGY9nmFUKc3Ps4cRufdd+ycoYiRMoH0lW5TkjduQ24d+EUTD9twVhZONXsUYjhk3bj5xt3&#10;HDOsKU8ilYo8bT/4Jd5sW6QCB3oiTww2l3qkGEOnxaNXQrCsOuIwdHo8hkyLw5CpsRg2MxHRJQsM&#10;cuXi8yb+HNAi0idNR/VuNowasBTXZPKmNeSeKICboWFCRIJxMiAOjX2K8XYfXR1zf1ans7jdlbBH&#10;x9AZmtRJU6fCGOGcPhPhFk05PFPBOUMBMNdceLGuHLAbCzFoIORp7KCFuBHMqMSBsqKciGLLQuWj&#10;4I44UelmH9OwfcUM/OClUr8jxOrQ3By1PcAVq6tyCdaXq+WZ+9arZKVqK1GhDGl6hFDcl2tzh+aj&#10;ahcbusboihjyN9LRmySXK3j1++XVSaqcxMr5t3pGssp3gjGd6LT+VhcjOCG3Z/mc/xYyZsLEI7AP&#10;OvrbyEVG4nBG8Odih9d5zXmvMcas2LFsOn6OHKfG0G/7fxmQOMkC6MjsbOR7GGPcZksRcsN0K5ez&#10;kr0MfhmE9+Ve+k+xbHfEidfpP7Vn0RTcDBPi5M5/ihD98VN0JLaJPsmR35x+zo50GbMtA41DIKcv&#10;feeYYU15EqlU5OmMNHKjPja0GG1RObDKriKIR/FSBDkXNiDpQAGqNa+P//YP/wst/H3gmz4OdTq2&#10;wF/qVMUbjd5Gr/hgTP98t7JMlS3HxJ8D5wTcOsg44aWNmGz4CKmJ3YkQPBCkDJmNakKw2gihid/9&#10;9AkUJ/L43TZ0jzVM/lTEDFpJKwkd1hmBOOmArk6p9c3UMUwUdL9sI7VIcyEGDQdqqN7LjhZ9CvFz&#10;QDi+TI1Rmc9phndniqdSzz1qxb5F+fhFVopKsdJq5UopEkFCnMLGYpfcT8Xozn/KSZzm71yj/DWU&#10;/4Xb1bBcE9K3NTsPzUfrqNNDQyP5XfyNjQZzq81wvGWEZp7A43YlSVDiXl3lIWScKhIsv7k6Bk4V&#10;5Avy5PkMl0nNR5OFjJGK5tE2Srn6mjDhLbh4oe5g5oF+0h/ZT3midMR8Y5vd6d9EkHzkHrVg/8I8&#10;FWfJI3ES8sEEv3sX5qvPcYyW/e6yUMRJrjNZ72ep8capOo/EKRjn81LVVrtH4iTjl/rh0Jwc3KY+&#10;9KLu1ydGoWTdHEW41FafQ8/2z9VQtX0RMheccsywpjyJVCrydOPmXYyK34s3O66Hb5YoXq54HYOC&#10;pCntuLBqAbfouB3H/4NW5uC//+Pfo2bbJrLyKEHI2qkYuSAd7/RspxJ0ZpzQ5H0zg/nzAE6iE2TC&#10;JUGp2t2O/aOTHOTpcYXwUN47NjJeOWPX7qEjkI7jjKpdZmX5e0Grkm+WroLoMWWI3xwNUaKYR6+x&#10;oV4/HXUH2NAuSl77Mziljnr9dSFM8r+s5Oh8zdAEzfoUYd7gPHyUkYRl21YqxeXO+ZOKM0+U8xFR&#10;jLfCuaL0rBgZ0XjrypnKhK8Uo4tyCUOplxpKPTkWD2nN8kKpn5mWgdkHCxC0zqacbZkklXGjmD7F&#10;GVyQ4Emm1iE62kQKoRW8O8KOxmPsaBpkR315LvVpBRC81deGGkJ6GTdq5CIhV1ueneXQxIsNjneS&#10;biL5kI5R0p9ajpGxJySffZPWJ1o61Rwhr/wMt6uZqPf47Gw1drwZYyRYm1fN/JV8lKuHE7Qms/zV&#10;JUvxdcIkL2M4BePUtMkqGjitVe6IE7cJaVk+JWOSlmaPdZeyv4uZgGLrAmM+LLNoo1V9wmYZlwOK&#10;0dZvIz787EfHLGuKt1KpyBNlz7Gv0dZ/A97uaVExf8ig897fIiuMVJUj6u0urfBu306o3aEZ6nRo&#10;gYZ9OuCVt6ur9/I/3KaIVfaFDQgrmom/yPtBK3ORe3nLY53UxJ+D/A9sGDpDR9VOOlr3LcQHgRNc&#10;kicEBOByVgq6RVpRo7OOjuM0DMrXpE3LWBBFofJEptredUNYXIL3i7JtH2YE0wtcKf1Mykm+XIoi&#10;20JkD5+JVj4FaOZTjF6+q7HMPweTBs1Drd42vN6rFF1818I6PB0HRsThZFY65u9e6zkPlRCbKaLU&#10;T83INBzMSWzcWpyCcFsIlo3+U6eMEzeuyiWUxUmIWYG+WJ0mehjknVI/6tiiSGPWdnkeaUfp66WD&#10;qSu4RcktPFqcOk6UNutmV6f2OvRdhy4CH3kufQS9BemDZ2G1fzZWyHMKHrgIrXutV6efaBkgiWIY&#10;BWV5etJ2MvFSgX2EY5onR40tdZuyfNI6zAMaJPHsU30zNGX15EnWshZNWl2ZJPfs1HQhH9L/1Rhz&#10;0f+dkDH2S2QEtKJ5HrfauTihH1KRdaHyUfQ2+CXHGMmcJ/3AE33T9xfi/cwk3OU2nbuFD3+TlP1N&#10;/ESs3kBrt1G/8mXyZCuNEH9tXYjZq887ZlhTvJVKR57u3n2AvCVnUK1jkfJF4ao1/+Pt6BEbhH+v&#10;VQVdx49CC7/e6BTuh67Ro9BRXsdvXITkg4WinI3OTz8n/v96w7cQsDRLka/yHcvEHwuuIrkV21YI&#10;C+MPFQzPwr1HW3ZllMKYQHw0ORELjxegd4aOGm01Ze2h0uR20qRtRu44Jo8ePk9Xp/Y48VPZll2p&#10;On1y+DcJOOGsCwkXiYEKpierWB6nT/t0A9bZFuNG9Dj8FDQW5wNisWtUMj4OnIibUscfQiKQN2wG&#10;evRbo4jTnaAxuJSfihmHCpWZ35NipAMqc2jdo9J1pxgJITa/yGq4QFuoVrpU7K7KJRRxkknDUjRf&#10;+XZ4VOq8LqttlUPrhLFafVR3KmAHnM8w48NSxBUUonfvVcgeMgNnA2KE9E7E1eAoXA2JxDeCn0LD&#10;cEu+k/g+MASbojPRP09H11jDUsfULMqZ9ylaDk28GHCOT+r5lCPGmA6RRTPjqKm8dI7grwy0ymj4&#10;oetobfqt/5wiH8z1lpXs9RijEznDF3D8uhtjBnGyY8Pa2bghZMu7MRaE/QvyfjvGXIB1n7F/vbIY&#10;32cYBXdlEwFBKqzJkq0rFaGrqGySp8iNNtTuZ0H3gC24eu2mY5Y1xRupdOSJMmvVeVRpX6RCFqg0&#10;FtK5k6Rz/bVBbYxePBkzv9iDvMtbkHtpM3Ivb5aB9PiKgWQpZM0U/Oe/+ztE2uaZ5Ok5QP6HJCw2&#10;1Oyio7GPBXuEmDxmdXIQpwu5KcrvIONyibJYtAowtoxInjgRczVK8sPVaLWOOmr30pUPFXNZ0apF&#10;HyluL/XLkv9n8n9dpR9J2PtrXTiJJ+2Xz0nZ1dtp8C/egJKNC3AnLOyRYnyofK+CVVBKRfDCQpVj&#10;+3dB40TBBeL09AzkHvNuRTlj33p8mp7wax4qd6thuefmuHCs3LBM5bByVzavJQlx0mXlTGuWt6vh&#10;nctnqC1E+mZVVD7zg/H7ZzH/V3Icvg2IVME56Y/26JmUh5T9rayGl+9YiZyP7Ejcb1MnoWgxiC41&#10;CK6r7zLxcoLEifHeeChk0BQjYXTVzkK4+xpjk7HfOPZDCzSVaDv5oC7zwW/9V9lP5+w2IvN7N8aC&#10;8ZMQJ556Y/BLd2PMCFBpx5ZVM410KxxD3oyxZdM9jjGCdZ8tdTfSrQS6L5sQ4vSljMe5u9eqse+u&#10;bFqUc8/o6B1SgDfaFmLbgS8dM6wp3kilJE/2HZ8qy1NTPysmbjUC6+Vc3IhX3qqOhj4dMP3zXS47&#10;ixO5lzYJaZqL//YPf492IYPV/2YsqGcAUX4u3y+H3Is6wi0GsWGi3GZ9i3AqIF4IieMUiawSHwhx&#10;ov8NlcEjh00pX+WqEvLD1Sdzr/XP1lUQ1aqdhUD5rkXXvmtQs5uO6j2EmBHydy1Zrdbs/uv/dbpZ&#10;VXqQ8ZuofA1/p4AVRjTiqj3tmJ8yB4gSpcftrvLKygkqtZBgPJCV4cmZkzFZVpTuHEv5O0iceJRZ&#10;Bb/0KhVEMK5PiMKibSvdpoIgqJRplSpdN8frVBB0IGf8KSpdV2Z+J1TdRanP27UW1xhGQUU0ZvkV&#10;KHbWXX7f10mxhlKXCYmWAU52DFdQu6OGzlGaGSDzJYCy9sqETTDlUrb8T8sSidJj98r/JNMkTbW7&#10;WNXp21rdZcHjuwxdextjunZnphdi2ibDMlXe2mT001Is3LZKjRtv0618P3E8Fm1fhQTp42XLKwuW&#10;Tf8nHtCgP5RXYywoWFm9GBqB6VYqHGMnfx1j83esVgEzuXB0Wa4TUj6J4Wdp8crxnLrFZdkCls1F&#10;Ha1e52dnqKC41boUY+jEXWay4CeQSkmevrp6E11Hb0HDwcWI2WYTsrQdfdMj8Hf/9f9B/Z7tlMXJ&#10;uUVXEaZ+vBMNhGj9n1f/VZT2RmS6mehM/A0QxcAgdcqE7lQSfBWo/08bCjT7nK7SrnDrpmYXw9E6&#10;fegsIU6OyViI0x2Z2A/PyTUGfbnTZFS8tBrx6PvbQnZqSRnVu9rQq98aIWCx+DIkAraR6Rg5cCnG&#10;DlyEjKEzsdQ/FxMGzUeUIGfIdLTtsx41uuhoH6Eh+YDh19OSVichWKl+s3FbrVY9KEZZUd6R+h6e&#10;n6uct90RJ2O1WoLFotS/dkYNd1WuE1SMonjpw7Bg52q1GnVVLsFn5PTP2CxE6D5Xul4QJzrF2tfP&#10;M4hTmfLKw6h7KVZsXIYfVSoIz3UnKeNW66y96x4pdfYBWq98M2RylEnQSV5NAlXJ4RjjBjj2f0WW&#10;jPfxG3TlnzhspobgdTrGFtkQVSLj7IihD5yf5SKG0ezr9RHd0KsYkTJWd4xIxpWoSERFL0NVWfhw&#10;zPNErKvtXmc/5QEJb/vpA1mcMKfdgh1rPI4xjq/Mkxp2LZ1mxHDygjhxq10rmq/KZhmuyiZ4jT6K&#10;T1J3kjKGOmBATo5hV+UShg4twdRDxTg3NV3qFYgfg8LR02cl6vUvwcmL1xyzrCmepFKSp4sf/YCm&#10;viVoO9aqVhzZFzciUp+rfJ1eebsaJm5ZAgbCdNV5CG7jMUjm251bolG/LugZG4hWo/oZ10wL1O8G&#10;lRmPDPdK0NA/R1O56XiEPW4Xt8d0ZWKnz0sfWTX6CBr5iZLsaVWpQYqF6PzsDNgoSummKAce26dT&#10;NPfvK/q+0EJZlS60Y3zmKiwbno0TY+KkDFquDDy+lSRli8J5GBKMa6kxGJO2Dg39bMp6xa0BOpzW&#10;ERLHMAOfB4537bTuBBWjKC4GoNu9ZKoKe+GWOMnEwBXrmtKljqjhHhQjrW5S/qcphtWGWdNdlUsY&#10;Sl3+FvK2bcV0lUKCSttluYRDqf8gCrq42LtUEFyx0vfrp0hpI09KncRXnveFKWmYKUqd5TvLYpvR&#10;z4nhH+i3Qn+V2B0k07/9XhPPJ+hLSKLjXBwxkKwa47sZpsKGAVN0lXi6X5YB/s1FEsNU1O+noZ5y&#10;8Lbi3UEausZTH2gqhhhJF/vBkOk6qnSxY8yAJTLGgvDThHBsK5qtvmf4Qh3jNNeBVdmH2U/XlizF&#10;d7SMelqcqDEWjM9lIcMwHh7HmJRNJ2/6LCmLkyeLNMfY+Eis1xcra5Y74mSMsRKstS+WcelFuhWO&#10;sdCxOJufoXy6PAbulLJp7X4/O0VtT/Lz1G+rhufgXztYMD73MG7dvueYaU1xJ5WSPH342U9oM2QD&#10;3guyOAawjvyPtmP4vBS8WrcG4navUuTIVQcieOKOBKpB7/b4pzdewf/4p/+Det3bqM+Y5Ol3QhQX&#10;Q0gwkGmtDoYzZ8tRgkBdxQpqEaCjsb+Ohj2K0aR7oaAIjXoXI3HwHHxH0hRO8zQVTgh+FkKyY9m0&#10;RwrL5fcJ1IR/sUTlcvt6cowoLJZRnjRImU6IwrgfGoLPMxKwfNtKpJywI3qjjtbBRhBM+k7x5Fz/&#10;fitxT/lG8HNly3KAilEIHtOtbF49U5nbqbRd1ZFQjqFSV4t1Ia4rpe6G2BBST2NFmYTZovA8rijl&#10;u3mUmfFrGAnZbfA8RfpkpR0zHgX6IqV03Sl1Pn8+Z6axoFOsW6XOZybPheEWjs/KklVukdpCLFse&#10;t1iSDtjUZEqLISO3q/fZlmXuM/F8g/o3yqYjYIWQnyxjfDcfY0MLfw3vyrgmMX6rqwEGZHxvtIZB&#10;c20Yk1OIxEFzkCCIGLAAHXutRd0uFrw7VBZBs3WMWWFDcymrVg8dlmEZuB4bBd26AGmyMMmQvkO/&#10;xrKHPJxwOl8Xc4xNjPZijDEyf6iy2sxxbCmXL9MJpx7iqTf2a2+3w+mvtLZ0idqq82aMGYc7vBtj&#10;N2WMHZmT7TE4rpNQLt6+Gp+K3lOLNtZPlSd1DBmHvr4rULuPHXuOXjFTtnghlZI8/fTzHYyYtAe1&#10;exXKwDUGErfqeNKORCiqZAHy3t+qCFJF6VdyL25GwPIc/Nf/+d9U0Mwh02KRdsxikqffCa4Y6YfG&#10;bZi6zGDeV0OzMTo6jS7CCN+lGNF3CUb7LsacYfkoGpEJy8gMFAu+DBJFRwsPlYIQJ2YH37RmlrLk&#10;UCG6+i7CaQ1ZVWrEVvG8UgsR4hSKSzkpWCCrTLVSk9Urt4vGaaLYpxgxYqr0KMHMYVOVA7RL8qQU&#10;Ywi+FcWoFzqOMks9XNWRMH6DDpvc+yN9GNxZhAipJwnQ6Xzm0HrcalMeBnGS+u5bjxMzM71W6l8m&#10;xajnZjiuui6bUIRQ2oG+Gkqpe7KWyXf/Mi4cB2VlPuVIBUqd3ycT76DpOupJH2EeQ/q9MVnwb+41&#10;8VyCVv/wIiFMDHraR4iRTyH691kB/95LEDJwEcIy16qAsUziTZI8fJ6GiC12TDtUiGOzMlX/vh0S&#10;hm+DI7FrTCJm++WjT99VaOJTjAbSJxr2tiC8/wJ8EBsPzb7QQS7cjDG5zi1zBoT0dozxIAXTrXCM&#10;ed7usj9Kt6Icw4nyZTrBMSbf/4WMMSb19mTVNcaYpnwOVZ46T3pMxhjH4t5F+ciTMebR2i11X7F5&#10;BT5PiTeeyyPi5IDo3sLhWXijczFC0w/i9h3T+uRJKiV5olPbzJXn8WabImXaZeyP3IubMCBrPF5/&#10;9y0VniBQiBE7jkq/4qLT0vpEstSwT0e806Mtmg7pgdajfBGzfbmsaCpefZhwD0byTdwvq09RqDw+&#10;3DpMR0xxMUqzpuATIUjEpwKmWjGcjKngCPmbA1pWitdkxagXzBeFJcTJDSFxEidmH7/qzP9WViGU&#10;h4M4nZuaoZQgJ3XnSpDmf0YMZ9yYt/vpqN/LimNj6LTuQokp8hGCrxMnqaS9Th+j8vVzwlDqupBB&#10;5tDyQqlL2Ty5xxgwrqw2ZWEo9RKV1uFCXqpn4kSLlJDTj2T1uWTLSs/ESa4zOOD25dONiOde1J2W&#10;qV1LpnqMxkzSOvm4Dt9xhajR1qqCcKqx6qY+Jv5gSFsYPooOON6jTxKtTp2ijMMZjOm1fvhknB41&#10;EZ+EToBt7kzkHy1G/yk21OqoqeCVSafsmHd4vYy/tDK53jiJy2tYsEpCfSIgDov98jBLFi7LhmZj&#10;f3w61m9YgnTRK57IR7b0060rZuDnKKZb8dxPb4eNxcF5uUa6FY9jzI4FO1bjsiy61BhzR5wcY+zj&#10;dBljW2WMCXFy6hlX4BhhqhiOGRUc14sxRl8o/lZ+ThEvF+USfGa8vlYWSV8JkXNJnIgwWbAGj0O/&#10;vstQp48dR85cdcy2plQklZI8UY6fv4bGfe1oHykK+igtHnYky+ohcEUuuk8KwFudWqDD2KGI27kK&#10;GTJxkSzRD4oki3+zY9HKNH7TYpXzjmlb/uHVf0V0yUJZ/W76TSc04R2UI7AounZj6QCuIzi3ACcX&#10;ZOFOpCiFUCoFKh2n0iwziBVxCsKVuElYb1tsrJbcKEsSEioFW8FcfE+nSi8Uzj35vhMzs5RTJRWW&#10;U6FxBZ2wT0c3pmIR4tTMpwiL/fPw4yOCV6YcpRiDZQUX5whA5341zKjBOcc0lUPrJ6XU3Shdgkp9&#10;LFNBTPGcCkJA8rNk2yp8mJFohCJg/VyVS/CakNNL2SnqpJy7GDAEJ5RcUc4H5uep7QGPdZfn8lP0&#10;OHVsmxOZJ+LLNt6mz0Zi4HxU76ajQX9NxddytR1j4o+FGsdCbplgl9urfCX4PvUtrYT+86TN+mp4&#10;pecGjBu8EPeDA/CLjPN9y6dimhCnrIt2TNxqw7sDjQVJ0uI1+DCfud5krLrsp3zPyCF3V8jHJ0I+&#10;Vm1ZrvqRO+LEMcCxwthk9D30ZozxgATJSs5Rkg83Y4y/V64v27JCkaEnGmM71zymZ1yBdaf/1OG5&#10;ObjFz3sxxnhykKdoszxkFeA1LuoYuJOHTZRvlivipBCKh2MDsWxYDv6tk4bUOSdg7ty5l0pLnk5e&#10;+A5N+5WgZbAFSYdoOeCJDjqC09JkR5/UcFRpXh9vNq6rctjRyjRyYToClmcjTQbalA+2qXuHzUxA&#10;VbmPMaLaBg1S75lbd78DomxoxaEFh6fV4kIX4l6EDNgQD+QmIBCfJ8di+ZaVasC7U5ZKKQh4RPhH&#10;L1eZ9F06JKtMWnLKkgYSpwlbdHSPN3LRtfdZD21kBn7m9mEFxIlKnStKb5R6jvS1Awvz1Ekbz4pR&#10;iJOQFK4oM4V8uFtRsv7ccly+eTm+kudmrIbdKXW5Lkr99NQMzNz3OHl0BW4zcMvt+IzJQubk814o&#10;9R9EqZPMek4VI+0n388J4OdJ4VgwNA91eul4qwez3+uqTVx9zsQfA0VeZQFEh+w+GbKoiNHQO0VD&#10;zyQdw2bTCVxHE39pr/52VO1VgjZ9C7BiSBZ+iQ7DxrWOHGrSxk4CxlxzVbraETRsidomMxZR5fqP&#10;E+zDMp7p57d4x2qkezHGSD5opfU23cqtceFqe0ydinXbT43yV29Yhq+TYrweY6dkjM3gGPOwOOEY&#10;Y8Rz3u9VuhWp+3eTomEp/m26lfIwdKRNbbV/R98vt8RJIHV/GBqE0ilTUWe4jvb+m/DJFz87ZltT&#10;XEmlJU8HTn6Dhn1saDzUok5wlV2t0sJE61LjAV3xyts10G9ypApLQKfw+r3a413fTugY5oc2gQPQ&#10;eGA3vFqvBrpEj0DK4SLjlF4FflImvAMnv0ibjhpCnrr0XYuP3Z1Yo9IICMKnaQnqpIsiJC7KdIKT&#10;PpXarsVTccMbQiKK+G7YWOyV+5lQk+WXJU6Ruo6Wow0Hceai2zQyXcgCyyxXrrKMBePDzCTlK+WJ&#10;OCnFeLgYJ2dmep2n7mZEBOwq3Yqh/FyVS/A6j/yv3LAU38RN8Eoxsvyjs7JFWdM/wn1gvmQpW0U8&#10;z0nGXX7W3YRBSNnfx4xHkbZIlevOEmcodbv6ncz0zlNUV4Kj4D9gmYrl0zvZIE8q0asDKh2HSaie&#10;LU7KM5fJljHOYrY7kusON/I21paxUbO33Uh/0l9HXV9dhQ+IHTQX2cNm4Lh/LL6YMAHF2kJVTtn2&#10;pw9krJTXcJCGul2tWOKfp7boHrM6O+Hop+empKkDEmXHqitwjHExdNaZ681TPxVdwACzdiH4aoy5&#10;6adO4kQrOP0a1fh1N8Z4Xep+RKVbkTHmqe4yxng6jhaqu/ysp7qL7mE91tkXS7nUPRXXXZE2qT8P&#10;2/DQjce6O547Hc+nnbKgS5yON9oWoWjzx47Z1hRXUmnJ041f7mLAuB2o2bVYHYt/pFylUzHRb5eo&#10;EajWogEi7fMVaaIvVHTJAsTvXo3G/bqgRuvG+Lc6VdBqlK8Qp5H4n//yj2g6uDtSDhXKgDd9nn4P&#10;SGQZe4l5y6rKhJg6ZDYQLuQpPEAGa5lBTIU3JtARn6TQ40qNxClNXg/LIL/tnNTdKQVRCHfDwo3E&#10;uUKIqXDKlj/1IxsG5et4s4MRF+rA6ARZGbtQ7PyOwCBcykl1WG3cK0YSm+kHinApN03Ih6OO7uop&#10;Zd8SIlhoXajKdkfK+L2ME7O2ZImy9KgEv54Uoyje/QumIPOYYRFwX/cNalvz09Q43PdUNiHElyEX&#10;6BSrCKWLMp1wEidu6zFnmEEoQ2TiC8Og/itQrasNHcbpKsch028k7tMRv0tHlN1IIOzqWLqJpwOS&#10;nPTjNpUfslWwrhJz0wF8oV+eio/m028V1vpnIUXGMg9SHA+Ix/ch4fgxIAA/CHFetWmFy/ZX1qfT&#10;ukooXdtHFig+RTjJMCJh5YI+OibwE8ynKITIE3EyxlghLmc70q146qcyxpghoNjieYzxGomZtXiB&#10;IvjeROZncM3di/OVH5jnMVaKGVL3z1LjvR5j3HZj3CdPukeRNqn//kVTjG1APldP+kHqwC1PBvbN&#10;vGhX6ahqdStG/4gduGmGLahQKi154lHKlfoHqN6xWMUPcVqeaHFKP2ZBzbZNUKtdU7Ul989VXkOy&#10;kCJalUiseOop99IW9M0Yh/8r15gT7z/8h/+A//Sf/zP6pIWb6VqeAhj5e8g0DdXaampLJmnoHCwY&#10;nosrwdEyaKkwZOCODsRlISR5yu/Ag1IQ4sTrZ6am4743aQpEIZCQ0MJhWKseL59kO/mADW1DNPxL&#10;lw2Y7TcV98NHy2fLlUvyI+SDyUSnHDZ8kDwpxllCPr5IS1RB9zyvKINwQ1bDq4UM8bPuyuY13lMo&#10;K3x+xiviJPcwkB8VuielTlLGE3tXRFE/SmPhqlwn5J5vkmJUNGZONu7KZvtyQty1dCru8rPOCSks&#10;FL+EhuO9vkWoKuSpy0Qj1UaHCA3tpG1ajDCOuTNvYXSpeRrvWYDEKfmQDd1juNWuo1pPOyIHLcC5&#10;wIlCOILxC0lScIS0W4jKT3hbxog6hSrj8FrsBCxUp1Yrbn8SKB4O6D7Zhlc6lWDi4Pkq/tejsca+&#10;IP30gEz4XOR4RT44xoR8eDvGuG2+1rbY4xhTBFDAbb3b8hlvUxptWz5dnsFv9Ux5cIyx7l97O8aE&#10;OHFbfv7O1WDQT3dlM00Mr5OA3mO9vCFOwcHYIfrBqSO5QEk7akPLQAve7m7F3mNfO2ZcU8pLpSVP&#10;D4Q8haTsR40uxRiz3EgQ7OxEDFGQdswK/7nJ+MfX/wL/2UnI+2DrYx2NYHiDoTPi8I9//XfUaNVI&#10;nbxrGzzIQbAev9fEk4HbLrE7ZDIcb4QreLOHHX/puUFF934gJOVhwBicz09VypJO1a7KIKgMFGGR&#10;Fd353FRFuFwqAidEWZBU3IyMQKF1kUtlyW2gkPUamg2TesmE3Vwm7n1jEh/fWqTSEcXJso7Nylbb&#10;ETTjly2nPBjHRaUsoZmfirFsvcqD9aRSjxyHpVuYbqXiuGSsPxUbfwu3HNRJJW7VuSqXYN2l3lTO&#10;21bO9Bg1nEg8LwRy73p8P0nIrafgl6y73PNlaizmlIka7gqsu5qQpP4HFuQaE+Vjk10o7gvih8xV&#10;W6f1B+po0E9D7U4aarTT0GSwplK4MBZUIyFQDCeR974Ridqwajgm53Lfa0Igz4W+oE4/xNxLPDjz&#10;+D3Um4yo33Gcjlc72JUFdvvoZCFHbCMhJo42emxR4Wj/b+MmYN5uz/HHSIbyPrAhfspK1O9ajDrS&#10;zuEDF+E+F1AyeTPt0B4h1WmiB3ivq3IIlkXywX6qUhp5NcaC8fP4SCzd6nmMkeBznOxZnO/opx7G&#10;mNSdY2zLqlmqXizDVdmEqruMsTl71iu/JW/SrfAZf5oer/ynPD3jFKk7/z47bbLxXFg/V+USqu4h&#10;yupFv1EG7iyrH3h6fcwyHa+1LERYxgE115ryW6nU5Cky85AiT0FrHydPBAkQc9Yx8KU7MqRO1skE&#10;nsUJ5oSmEgy7us/Ek0P5q0i7jFyoo9FADXV6amjgY0XOwOmwTc5H9oFiJMugr2jyU0pBVlMMAMet&#10;Pa8UjiiE66KcGF3YFXHid7FeXWWV/Xp7O4YOWIajY+JwT4jToyjkDuVCP4r9NGfL50jgypZTFqqe&#10;surkqTf6/nhFPqSe38q9C7ev9phDi8SDym3Lyhkq1Yk3xOl2WJhyyKZFwB1xYvn0v2CqmO/pWOpF&#10;3al0P2a6FVlBe0OcmCD56Owso94uJyRGIg/BNL9paNa7CG91saKpv4YR83XE7dYRsFJX/jZ1Omsq&#10;BMaYpZo6HZl6WIi3IFUmfxIEV3V4WUGSRFIUZddU1G9a84ZMN1LgMG0SQ4pwHPDZ9UzS8NdOdvj2&#10;X4kvg8c5ttQ4Fsq3k0Dan6mCmGR3LgO3ekOc5fX44mwcHpmA5j6FqNq7BN2FpD0IlnYPD8WOFdO9&#10;Ik7syzz15u3i5IH0N8Z+Y7oVb/LU8XXvoilq/HgkTmqMjVVjjKSIn3VVNuGsOw+ZfD+B6VY86zGO&#10;c25JTlNRw90/Y5K+3CMWFYLFK+IkdadVnoc7yhMngrs4jP7fYrQF7/TUVdgCkz/9VioteaJs3PM5&#10;qnYoUqZ+KoHyqypvQUuVsZKVidyNFcTEk4NtQkzaYoQvYO66qj3saDzShlZBmtraY0Ty8m3nVArc&#10;RvpAJmpvFA5Pw1wVZblq43JFCCpSaLQ8+WbrKrlo6z6FmDZsKraMSsWlwEn4hWWJ4vwlIkJlPvcU&#10;NZyKh75ayzevwLc8DuyFUr8vSv1LmuJ3rVGK11W5BOtP4pRzzCqr4SnGaR/CVbkEFaOshn+MioRW&#10;PN+jxYm+ESSFqzYsxfWJUVJ3D884JFT5cF3MTVFbD56UOifEaQcLcZqrYdbb7fZKiHKcPRCZigEJ&#10;RRg6z9j6ZQBc9o9hszXl2M8tPB6PJ4liSpd2ERo6RwuZ2ivjX8jAY/V4SQkVxxJJZZ80I/hocz8j&#10;SCWtd/y/Z7KG+D3MK6ejXTi31eWevkXYMCrNEeHfVfsIpP3oX/RRZpKyoHgzqbPvHpmbI58dgyK/&#10;yajR2650wKSBc/F5+HjsXDNTbZORvLgqh6APEsuis/SPJB/ejDGpJ0/FMp6bpzFG0pYjBJ+R+VUu&#10;SC8sTgw7wjx1rhZoZWHUnelWlqgwHt6MsTvyHWempTtivHl+xhyLTIFE9wJVP1flErwmuocxonhi&#10;j9ayivRD3iUbBk/X8WrrAmQtPIV79032VF4qNXk6fek7NB9Ugrd6WjBYJmHViV9ShflcQ9qEpuDY&#10;nbqyQtGfhc7kTINSt4emTMRcDTvbjgqHW2QLd6zGp2nxhjWEJn5XCoEQhUNi8UVqnJCYlUqpV6TQ&#10;+H7GeVkNlxYiJmghuvVZg3o+VpWAtJushouGT8a18eOwdfVMda97pW5sR60TxciEomrF6qp+Tkg9&#10;qZw/mJyE2V5sd1Ex8nTcobnZ3iUfFaV+jelWbIvVM6jQKdbh1Jp+yogBw7xbSvG6KtcJ+X6GLDgj&#10;RMhYDXvYapUJgxPseSp11tsdcVJ1Z7T28bCULFTRkB+zRgoZIJEas1xX6T7elsm+nuCdHtJuAgZh&#10;HD5fV/fwflqk4nfrmLBZR/IhHRlCvh6V9aJAno9acJR9TtKufI9WpcHTjQj/DftraBVgBKls4/Ah&#10;Y8qkNkI8GwzR0axnIfz7L8NmEif6MblqH0Lan5M621PlKfRgiWX7TxXifGJGpuqXGBsA+8gM1PUx&#10;FlBNexVh1JgViNZk8eRxjNlgsSx0kA/P/ZRxoi7mpCjLKBdRrsolnON76sEiHJ3j7RgLwbVJzpRG&#10;bsaYgGOMgX6tQrJULkgv6s5wC8dmZ3lOtyKgfqCbwPvyWw1rmRdjLGaCyk1J3eOu7pPP2ZC01Yr3&#10;+hfIHFuKSx//4Jh1TXFKpSZPt+/cR+7i08r61GiQVSZnY5vIZWcw8afDuY2XuM+GmG02dI8zFHlT&#10;WRkPyNMwfqNxokqlEti4XKU2MMzQLpSBE6JwmAD3o8xEtfXkLkebk5DM2rseJ+Zl4XrEOJwYHYuZ&#10;/vmIGLQI1WRV3K7XOiyctwC554yTaa7KIRSpOimKUVZwJCxKeXmoJ3NonWO6FS+2uzj5TJf7OPk8&#10;YIwsKnZX5RJUmvL9XyVMwurSpeoZuLM4pfJ3Sd1L1jrTrXhW6iqH1twcRebcKnVRyLQ4cTtSbbVy&#10;4vSk1GmJk7ZesWmZ4dvhQqnTqTl+r66OUXeLsCAjaC6mDp0C3/6rlKN5z0RdRYgfW6Arq2KnSTJB&#10;j9RVkme/OTpitr4gp/Xk2ZAgcUuOybZTjxhbcE7SRCsdt+icuSU7R+tqvDFcAE/ATthkQ/soHfV9&#10;NZUKZe3wbHwVLORZEacK2kkmXZ7cOjYrS1kS3bU/+y6v0y+JfV2REbZ/WAjeD5yIjr7rVeiDur2l&#10;fj1taDxMQ8g617G9OMYy5ffQz+9HEnwv+inHGC2dRpJcz4sT1vP09AxHDCfPY0ylNNrAdCvux5ih&#10;HzRsXD3LiPHmqe7y/UxpxGTDjFvlzk2AhJLlL9uyEh+nJxplcxy5KpeQujMw6ZdJsepULMdYRTqS&#10;YNk5x63YtWoaZvhNw5tdNUTkHMGZy9/j51/uOmZfUyo1ebry7U1MzDuCakKeeiRYVeRbtRpz0SFM&#10;PD/gJMZ9dWc8Ga6OuaXQUZR6sNWONZbFjoi4VAoulIETouyYbuVCXhrmywqMSrsiheZU6vN3rcbF&#10;3FQhJKJsVODOEDwUfCkTiE+/1Xi9ewl8JutIk1W8mmzltXxZVLrZJzSVboXhArxRjDxhxsmHx7A9&#10;Tj6imLldeUYmn1/TWLgol1DkIxifpMVj2eYVxjNws6KkUs4SxbhzKeNkhXlVd6ZboRNtnqeI54o4&#10;2dUW5idU6l4RJ6Pui7e6txgSaefsSNlSjJL8qfglKgIPxo5B8tA5+LceG1B/mA1tJ9jQcLgN7/S0&#10;ok2f9RjqswyN+1hQR/oWs/qrE7luns3zDhJIpj7idhv9l7hdSYt7qJAPnkRkJgVa52hlYr65Wp00&#10;5dKg4mTJZ9mfMy/YMWGHDTPS5uGoLBxU4uuK4i4RQmwZT40R7z1N6s4xxjQmDHJpECdH31XkaRI6&#10;OMhTw34y7oXA0YJIcsvt2bJlcfGQdVzHlpUzvU63cld+Cw93eCL4rCfHMOO1MaWRxzx1DuLElEZc&#10;oHErzdMYY4T9nUun4RfGePNijP0cOQ47l01TQXUZjsBVuYQiTgL6dH6RHGuU7W6MqbqH4KN0qbsX&#10;Y4zfza1WdSp2XCg+D4xG/34rUM9HQ99xO7B+w0cqPZoplZg83bv3ABnzTuKtbla0DrKoidgZrsBE&#10;JYCQklxRmHG7bGob7y2Z4Gr2sqvtvPej4mTQe/BrcBCSkzOylCWJCqsipeBU6nN3r8UHotQfijJ5&#10;XOHI32FBKBoxGc19ivCWrw3+c7RHq/myZfF7lA/SkqlK4akJwh3Bk+s82u1cUXpDnOinwcTFDzyR&#10;Dyp8UZ6XspLVRMCy3StGplux4MC8XNwOk3I9TkjBasWv0q3Ib+aE46pcggqdFif6dtCfy3gu7uou&#10;1wKD8X5mkiK+3AZyW3cpm8TzyIJsUeqOoKPSZqWj0uHTfxX6+K6Cj4+89l2F6cOmYYNfMvYkTEbf&#10;RCtqdNLRKpCO0w5C7KL8ygBamvrnaGg0VEc9Xx01utnUdvO7svhoLb/Pd/KvfmE84crTiYGrft0O&#10;V20kKC2cgx8nRUr7cIy5aSPpWyTOm1fOUFHD3bU/yQStMSTOn6bGG32rbPuHB2L7qFS808uKRn4a&#10;hs3UMHKRjlFLaDEUUleGjKh+etSK3YuFJHuZboVbisxT52mMsZ4sn87bH01OdFic3PVTuS799IKM&#10;R5UP0yP5MPQDUxrRodxt3ak35BlzAcYk6CRcbseYXCN50ovn42qsp3QrAqk7D6Zcyk5W23vu9APf&#10;5xhjgM99C6Y4orUH457oiWMBccovtG6XtWg7ahPOffC9YxZ+uaVSkqe7Qpy2HvgSDXrraD7KgvEb&#10;ZVX5IpjkXyKQlKQds6FvpoYGg3S8LW3Z1XcN5g6dgptB4TL43SgdKksZ3FRQjITNQe9OKZCQMBYR&#10;o4MbDqGuFE4obgjsI9PRokch6vXTMXyBkahWWTOF7FH5TBHlfFiU9K1wb9KtGKfetssKNPu45wSe&#10;rOfibaLUZZXo7TbCuSnpijwy3IM7pc4VJyeWEzMz1UTjTd2vT4yGvXCeEXvHo1K3QZd7le+Xqrs7&#10;pS7XZEI6n5tm1N2NUieSz5Zi6gE6nmcY8YEe1T0UP4eG43TgRJwMjDEQMAk/jBmLK4mTsH7nMoTr&#10;NjRwWDh8UjXl/1TpQhuwDwoYz46kyGlZS+g3G2FRy9E93Y42wcYCpHYXDT0TSEw0jF4mxIl+UPJZ&#10;9j1aZXli80du1Xps/yDlFF26do7H9jeIUynWlCxVp9tU2Y9N6owNFYKpQmrf6F6C5iM0xO4wFrts&#10;97LtQRLNfqpyvXkZmZ9jkbGKSFrcjzG7IjfcdqPVxts8dYwtxy10ZxwlV2UTzjF2XMbYbW/GmJT9&#10;3aTx6nCHM76Vq3IJNcYEG9fOxg9MLl6enJYHdYfcc1rqPsOLMea0dp+aPhm3xpZ97vyOEPwk42zk&#10;wCX45/YWLNPed8zEL7dUOvLEI5OzVp9D59GbUK2dRZ3CybssSsJFhzDx/CLnvOEA/HZvUfo9NeT7&#10;T1eT348hYXioLDkVKAZRCHciwlXgR5q4qVQqUgp8nwqN21mfp8Y5tsDcKBxREneCAxA1ehHe6GJX&#10;ky5zrVG5U7kwSObJmVnKcdotsSGUUg/DhjWzZQJzP/mwnlzRMtEwJ32PFicqNimf/lCKPHpS6udL&#10;lQPq2fx0I+K5p7qLUr8WMwGFXqZb4eS5ZZVMyirdipTtVqnLNSn/mEww5fMMugKtGdMOFOBcXiru&#10;uaw7v4vvORAYqCZGxvVJPyfPRcgDSQe3hUk8Qtbrqu+5+q7nFSqI5QGbIh01uumYNmw6jvpPwonU&#10;NMzYtQ6Jx+yYtFVHryQNnSI19XfmGV39dhIvPmMSJ0bAvuENIZH2YWRtnibj97trf7Y9fWiKrIuU&#10;I7XrST0ElhGT0d53nQqYy216+jeWD3jKtqZ18aRM4N6OMUaqZ7iAyUKKPRE8EgiVbkUIvlfBL6V8&#10;EiHWyWM/lTHG+85OScPdYFf9tBzkGV+NM5y3jTHmulxCtZ9c37ZihmML01PdjVAox2ZJ3Q+z7p5I&#10;Xwnm7F5nRGuvaIyFBSJn2Az8a2cb+o3bgXMfXnfMyC+vVDryxLQsHUduVGlZ+mRoKg5Mtml1qhwQ&#10;BcCJi86hKYeN9C2vdyuB/4Dl+EFWNg/DOGjdKAVRCIz6u5lJPR0rtYqUAt+nQlu1cZnyn1KWHHcK&#10;h4QtIBAfZ8Zj8oZC+OTZ1bFu+maEbSnFjJPFOPeIfLgphxDFyKztVllRso7uFCOvUXmRqHw/Mcqz&#10;Uud1eQ7cosiVlba7Z0Aw3cr0g4X4MDPRSGPhse5BuCZKneELFDFyUaYTVMpU7NuWz5DfK5Myla7H&#10;uocoi6FKHutRqZdilqyGub1yzxOhJMYEqtOZ83auNSY7IQ/0peHJO54yq9mBCW51dfLT1fc9b6DF&#10;k8SdY2bYLCNliq/vKvwwKgwf5SRg5sECpNM/Ru5R1qUjxulCZlBwWnOUxUHGyuE5ObjlVd8NVNtI&#10;JBnsm277roAHH2wF89xP6mHB2DIyDXV8dNTuZoSYoO9W2d2C5HMb1Om8S7mpXo8xEjymNCK580Tw&#10;2JeK1clSWm089VO5JuPg0LwctV3tzRjjIZCPMxJwT8amN8/468QYtcXpzRjjd9Pn7Ca30jyNMV6X&#10;37dfxhi3Ab0ZY9w257hRqWIqrHswLgVMwqA+y1Cju47eY7dh3/Erjln55ZRKR54KNn6E2l0s6DTe&#10;ivTjDuLEFZaLjmHi+YFTUY7fwLAENgyfp6NWDx0d+66TQRmjFKwn4kSLU+n6uYbCcaPQ+D6VOuPC&#10;cOuJqzC3CoeQiZdJOqcctSDz/RIVB4cTbm1fG+IKivDxtBRDuXgqR5Q6/TTo++Mu1hRBpc7Jjdtd&#10;tyIivCZOdOZMk896UoxGupUCdcrmgQr34KHucs9VIZr0B/Fk5ud3E7uXTMUdp5nfg1KnrxmdYtUW&#10;kscJqVSFc/giOcZIweFF+32YkagmsUfbK5z8j9vgI4Spfh8NNdpqaBfGuGK/kos/EyR2tL6wLipG&#10;laNOHCtTPqCPk2E165Goo8EwY7xsH5qET6cmG1tUnrZi5HrmCQ2npqbjnjq16rn9GWB25ablvz7D&#10;CsC+m3ihFBvWznb49rhrI8MnKW7gbCGANhVBfuJmIbGXpSzR3WxrRtFmXCbGQPNYT/ktPwnB48KI&#10;k7+nevI5kODdlnHp1RiT/sYDEvysxzEmdWew0K+EDHmbbuWLlNiKfRTlO5lGLIexqWT8Zso9JxdM&#10;wV3RDyB5clc+iZPoBx4G4RjztLjkc1+4fZUsLid5McZCcT9wDHZNzkaHGBuqdipCp1Eb8fnXNxwz&#10;88snlY48jc85jH9tuh6BKzXkf+joDCZ5eq7htDT1iNPUqY2O4zQ092ceLRtGDVgiK81wUQwy8F0O&#10;WgGJU3iYCgvAAe8NcWL8olve5H+jxUkm3gtT05B9ST5/uURNaMGrdVSXyarbiAJ8mJCAh3Rgp3Jy&#10;VYYTojx59H/plhVIuOg+6jBXm1SedBRVUcO9IB9U6kxyzN/nHXFar8IoPBzjhVKXujNP3bzda1X5&#10;7sp2Eic6wavn603d5T7mC2NEY88reZmQZDX8HevuifSx/UYH4INsIRRCfMtOSLnSngErdNTpqqkI&#10;5YPyZdLeIsSJKUvKfN+fAVq/Qtbq6DpJx4gFmrIY0QeQJGriVjqG68qPiT5MXOlzuyur73RcnJGG&#10;DHn23hAnWvc+yErGQ3k+HttfxsC12PFqUldjzEWZTijiJPfwNJkiI26Jk4DWjOBAbJw9HS2i7Kjd&#10;mRZATQXyTL5I62IBribEeG5rQu6hZWzRNiMyv7tnQD3B57CRY0zVwUM/5XU1xmZ4Ncb4/Qx0e32C&#10;LNC8rDvz8XFcVkT6GKR56LR4NBvug7gdK3BkTg4+8umLJU2b44Nhw2QCHA/Q37J82RxjUv/Nq2aq&#10;oKDejDGeHPzBm7qrMSY6ckoa8mTsJB61o8VIK95sV4Qt+790zMwvn1Q68jRlyRm82aYQfTOtj8za&#10;rjqHiecD9NegD0arMZoKZthspK5ivDA4JrOsd/Bdh+8exZkpP2iNvfufaZ7X3Sf15PtUllxxMS7M&#10;bW+O4Uv590VZnpidhdSTdoy12zFyoRFM8J3+RiT0eSPyRVlx8nHxeSdYTyEf38VEq8CeCbJydFVH&#10;4lE9BdtWTHdMPi5+uxNUajI5MVXMhrVzPEcNF/A5Ldq2UlndqLBdluuElM9V56cZCSrmDT/rqlyC&#10;ZXNC4XbAkTnZql5uCaWqewjuyN8l6+Z6JJS8Rt8ykk9OSJzQXZZLsD1kQqRF5fS0dGQfk8lYJsqy&#10;5SmCsl5HPelv9Hfyn6tjwiYjNlJFekO9/4x1SvZ5HeEWTfnUVW0vY0GI3buDNXXqlJaxhgNlrHQ2&#10;TtNxq2v60Kn4bGQ09szOU9t07OOuyiXUM5TnMO1AkTpaT2Lp8vk5wfaXPsITknP3SPtL/3JVLuFs&#10;f07MB+bnSt+S9nG3RcX2l/7BJLUH5+cpS1PURptqD26h+uTZsPzAGmXtJHl3WYYTUhbHGLeUSfC4&#10;OHBVR8JZz8yTGvYuyn+iMVayfo6yqHnqp0nnS9TR/x+jo7waY7Raf5iVhOkHGJnf9WnAaZ/sQI/Y&#10;QPzn//J3+O//9Pd4tU41VP2nf0Cj5g3war0a8PnLq1jaqjXODR78K4FSdQ9R1j+71N0ToeQ1jrEV&#10;m5bjR25huqt7mTF2Ynqmobfks1lndLQOtqJK+yLsOfbybt1VOvL00ec/4b3BJaJwLOrosRkU8/kG&#10;tx/8Zuuo1kYmi8E64pasg/+oVajTU1eJYBOHzMFNRUzKKWFRCvRTonPnmhJugVWsFPg+FTods3ms&#10;/g4ViyfiJAr9tuDIolxM2GlDp3gb6sskVqebTGSDNBUfaGD/FULsxsn97hUvc2hx8uFxYM9K3Xhl&#10;FvZHFqewMNwX8GRe+bKp1BkSQS+ap4iNJ4sALRJ0PP+BztueJiRRjAwqeNnLdCuctOkUa0SNlnp7&#10;JE7BuDEuAtaiBWo1XFH7Ec4tkrUlix0Rzz3UXb6fGf558nHyCSFELggFrTg8Bt86WNq1O0+jWYW0&#10;W9VJtPJhTbgQSz8m/XOXkTPvWS3KqK8i7TqajeACwophA5erODpd+6xB3Z5W1JFFBY/zd5RFxeiB&#10;S2AZniG/MwTHpJ9meEGc6Os1T8gFc8+5JZ8EJ0YZJ5ezU1RQSW9SgTBG2KE5OcakyzZ2VS6h2t8I&#10;rrp76TTVtpMv2hEvOpvbdjV62BAdvwI/pIz3ijgxnx63xtQY45ZWufo5wXryu3jqjVYb1U8JV+US&#10;jn5Kn60iq3f9lEl4V5U+wRgTXMhPU4TW3TOe9tkutBzti6aDe2DEvDQMnRGPwbOTEHewAHF716Jv&#10;7kRU8+2I+LfrAlFCfFi+PBfW3WLxNlWMXelTr+oeHCo6MlT5ftF/kH2LC5KAFTKeehSj6YASnHv/&#10;5Q1bUOnI0w8/3UHbYRtQr68F8bsNy4arjmLiT4AMTuW/UQbMOdgjXkeVDjqColfh6+wYXBwTg7Qh&#10;s5A7bDq+Do6WgVqO6MiAJbHgBLBi0wq1UqtIKTiVpQrstmQq7pKAuFOWhFz/RVZqXJVOPm9HiNWm&#10;nMO5RdI6SMPsmYtgCZyMjwNEsbsjTqqewfgkPR5zvEi3wnpmH7Ng1+Kpv24jSDlfBgVht48PVrRv&#10;j2vMfeX0bZCyv5sQrZzJSWweI07ybMuWz1UhCSS3KxmbBwFekEd5PT19sjqxV9FqmDDq7owanW7U&#10;m/UvX6YTrLsQyu+FBBVpCxWhdE/6jC2GYpkAvE3BwVNj9O1Qv1ueq6tyiUwhKyNW2BE6bgViBs7F&#10;O0KgWoziltGvfngkTvFCmgZM0fHeSA190jUkH+T23m/L+z1QIS9O6+gWp+PNTjYED1yMT4KicTUk&#10;Ah8ETsQUGQ9pQ2dhqt80nA6IxQ9BY3EjIhQ76CcmpNjd73ROjAx18YWQDI/WEHmGdwRnp6Yj/3Cx&#10;53QrQtwYfFIRZy5MPLW/lM1QB1zMqKS/UjfqA/qgdYvV8UZXG/L9Z+B2KAmem7Lke3jQ4bO0OLWV&#10;S+dsV3UkVD+V/sBTnAyWqfqpY4y5hHOMTYxSKZa82Qbk7+B4/DnKuzHGeEkMD8JnXN4yWhbMM5n/&#10;8Q609veRxWYSZl/Zj7zLW5Ar4FZelnx27rXD6DU7Eelv1wMiDcf37yZFq1QxnqxlzjFGB3sVrd1T&#10;3aXsX6Tuu5Y4fb9KVP9lqI8uE6x45b0C5C05o+ItvqxS6ciTfeenRm6msVakHjHiBbnqLCb+eMRs&#10;MyId03eDr6EFOnzSNGVhYvTu88Gi1FVgPio0J8opTlE4jBpOX41F21crE3NFSoHvczVEZcltgTue&#10;gtIRoix/jAhXW2ZKKcikQKXAJKqvtbdjUvRS3EqRCdwRfdxlGYTUk8d6L+SmGD4MHogT68nUFjz1&#10;pGJNsZ4kSYLI+vXR9dVX8dp//+/Y1KOHrCqFUMr738gkyNg56hmI8ss+twE5FzfJyi8Hw+elyGRk&#10;TKZU6FwZ2tfPdaRb8bSiNCwCjKXjSakbitOOhdvXqKPMqt6sv6tyCUWcgnElbqJymve0zagm1RMa&#10;Std5kSqGFkq2n9xnTMoGYXRVLqEIhbTv8m0rcDVtIoqHTcZbojsaDTECM9IKROfx8GIdHaJ01Oqm&#10;K2sQ8+cxzUv5qNdlQSLg6v2KQKJGXUWrVx1fO1r5FOBkQJy0M8kDn2c5BAfienSEiuvDvuP+dxoW&#10;qRUblqnn7pE4SRsycKua1I94FzWc8bjOMU+hN8RJyqevna1w3m/aKO+y4YdWs6eOdn3WY8foZBXh&#10;3yWBkn7GqOHn81LVqUuPllFpa97HWEUe46Q5+unX8ZOwUp6bNylLeN1WIGOMgTu9GGNMy3LAq3Qr&#10;ArlesGMN+jVugIFzkjD14+2P3yfPkGO/YdAA5NdvqMjT14mT1KlYLnw8jTHGmWPYFBJat2OMcIwx&#10;+leWXZxwPIzfaMNbvSxo5GvDvhPmabtKJbH5R/Faq0IVf4dHeMt3FBOPg8SgLFzd83vBLRBud9Bn&#10;g5GOB+bpYDLShgOEOPnY0NDHgo0j02WiKKtwXCvLe/J6Pj9dRQOn0q5IoRnK0lDqx2dlqc+pib1s&#10;eeUhSoPWkJK1cwylLsiUcvhcegt5eqWTrO788qWeY1x/3gn5HvpHMB4NCZEnqw0nNkYnZrC9x5Q6&#10;yVNkJLq88gqCatdGz9dew8r27XF6mB+Ojg3GQtsipF/ejCzHajtm10qEFs/Cq/Vq4l+qvIqUw0VI&#10;l2sM20BHURWN2aNiDFFbaTxNlOtFuhXW3Ui3kmA8X48TZzA+TY1TsbV+Yy0rB5bNo+Dblk9Teb08&#10;1l2uX5f2KxVC4SR1rsolOGHzOi0KX9OnJngM5g7LR43uNrVlRssTDwaMLdTQeKj01T5W+A1YhhZ9&#10;ClG7u6acuelwXrbMR2NIvjtFhQSQ/x0kSl3j347/H4O8R4dwJsCuP0hXyYyX+udJn2U/KPc8HZP6&#10;t5OiYSmer9rHHXFSv1OwXluEb2ImeLbaSRvSGnJoXq4QZ++I0/ydjjyFbB8viBMndVpDWDYn37Jl&#10;kkQm7DN0xZvd7QgcuNhIEVP+OUg53MZmSiMujrwZYzxyf1GIlrfEqWw/rUjPELS60PmeqWK86qcy&#10;BkhS6FCfc5SBO92NMaOfrtm4XAh+IiZVr4EWE0dJm0p/ksUS78nkODm/UfpQEf7LP/09ZjVqgm/y&#10;MpRvoLsx5nwujBrOE7oMn+Kx7nL9+wlRyn+qLHEiOF4ibTZU7ViEXsFb8eONO45Z+eWUSkWerv90&#10;B/0idqBm9yJEWCtPvJY/BTL4aI1IOSKQiYLKm6db+B5X3ITatngKJxWZzZ7JPXmKhqkhGM250TAd&#10;3eJ1DPNbgVlDp+IXnqhzRZicEIVHAnRSVsNcPVLxVqTQnEqdztnMns4s6u6VukCUwjeyGua2FhXK&#10;owmJSkrQM0nHqx1LMG3YNNwc67SOlSuHkHoyyvWBeTmeM59LubzO6ObM9aUcV51KPSIC9+X1O/k/&#10;q0kTBNWpg05CojoLYho0gE/zRugRPQrDFqZjzPqp6JUZhS4DuqHpe43Q9S+voMrf/28MWJCKaRc2&#10;YfeSfCP5KMsvW9fykGdApc5ge56iMTsn5TVCPrxLtyLXpXz+zvmygnZHfAlOKCoVxMIpRv4vL+pO&#10;QsEM9Zws+GxdlUtQ4bPuWtE8XKPTvHyWoTBOBcShSa8iFdGelieS/g7jNNTsJkQocA7OhkyAvxCo&#10;Kj3s6B6vIcpu+EY5XQOSD9pUZOzRSzX0y9QwaolxSo79h2OMlnCG4eD//BwJFfPK0QrLAJYNB+t4&#10;r3cBZkgf+zFEiG75PsbnK+Tnq/hJWGtf7CAfv/19TvB38lnoBfPwnUx46neWLa885Dr7yZ7FUxVx&#10;Ljsxlge/l5Hdl25ZqXIPem5/uSblf5Yar5LPknBUVHdaMLh1WaWLHfGD58o44HNwli2vQj5uST33&#10;LjLy6XkaY3xOS7auwgeZzjHmrp5yXer5weQklbzaUz/ldRKgfQvzjDhLXvTT6xMi1Qk/Z5wlV+US&#10;zjFGonmFkdml/K09eqJeneroFTEcQ/JiVN3SjvNwVIn0pY2o2bYJBtSsgUXW+Ui7uNFj3bkl73W0&#10;9sAgRcCLhIizXuWJL9stXOZdJuL3Cd2GGzdf7iTBlYo82Xd+hjrdrGg7VlZMR0VpcRVYpnFN/Ao+&#10;m+A19DfSVIiAbrEaesrfzCcVvUGXFYQuE4Fxn6vPewtOLLE7eeTaIE6tAzT4ZMt3F9qgLZqF86Ex&#10;+CGYE4UbhSaDmnnqmLVfRcwWhVORUuD7XIUu2rYKn2QkeJc4V5TCl4kxWLlhqZq0yysFknAGIaze&#10;VSa5fmuQLZPb5cCJ8vly5QYZq3b6Vqlcb+6UuoDKiytbTijMav5IqUsZHwwfjinNm8O3ShXMbdUK&#10;AbVrI+LttxHy1lvY6euLFZ06YVnXzmhZ/y3079wGfRrVx/zWraF374Ezgwaj0b//K3yShWyumCl1&#10;kjLdKUYHeeQRb5VuwxulLtcZVPCbuAlG2Z6Ik9zDCOYkvt5MSNP3F6oo4x7zfxFU6nETsV5n4Mbf&#10;KvWycBLjjUzaXHaLIowO5mPh328pavexYUCehrGFOpoKyecW0pJReepU5Y5RyejdbzVq9LahxRhm&#10;/NfUWKHVqGeiEWaDEbJ5YuzdgRoG5wuJWqyju4yx3slGRHpuS/GEKQkafUSGTNdRt6eGakLKwgct&#10;xPVQmcjKjwdHP/0sKVb1GU/ESY0RHpBYOfPx31kR5Dp94VSeQg/tr4iTjDGmMWGMMJIZb4jTRxmJ&#10;WCwkJs1D3bMu2tEvS8hTdzsiBi7EjRB5HsoqzTEixCk6AttXeZdPj89p5cbl+DyFY0z6kRfE6Xxu&#10;qrIE87Nu++m5UkwRgn90VpayNHszxlS6FUZmdwTxdVUuocaYgKlZrsXKGHO0Hw9BlHbrjpWdO6HO&#10;m6+h++RItAwahA5Rw0Wf5yPCMhuv1q6C0csykXNps8uy+Zs4xmbuL1BbmF6lY5K+95UQOLY5+4ar&#10;9uOCIEYWD+8Os+JdXzsyF5zCDz/ddszOL59UGvL0/Y+3MSByB6p3KlY5m8wtuwpw0ohvQ4dXxomh&#10;fxijZDcZIsp+gJFEtOkwDY0HGdtr5bcmngS0XNHPqX2YhndkMmk6VENYiR0px23YuWwqbkSFi1Lh&#10;oHWj0EQx08l738J8lTeOA9c9cZLV8NaV+CyNsZc8KHUiIAifimKl9YeKuCKlECcEsGOkPC+Z5Kr3&#10;tiN1yCxlrXhUd1FuNHtzRckj0O4mH2c9eeqNub6UUnfWMzwcX40ahc6vvoqW//qvePef/gk9XntN&#10;WZ0uDR2KzwMCFLmiVep2YCC29eiBU0OG4NywYfhZ3rsp781t2wZN3qqJvUnjjeB57sgjERiM72m1&#10;sSzwrNQdFgP6dvAzHokTozHLszk+M8tIY+FhQuJz4VbrRUaSZrluia9A2u9zmcCXb1ou9XLdfk4o&#10;x2S5vn35dMMv5dGEEYIH0o4FIzLVqbaa3YT89NNRz8+Ouv1tqCbtPXLAUtXed+TeI2PikDR4Nmr3&#10;0lFnSAnq+ct9A23KF4rxorg1PXiqMa54QpOvJFMcUxxj9X01tAyWBUWCDb1TmX9Tx5s9SlC1V4ly&#10;Cn98+5q/U55DQKDKaTh/5xqDOLn4fU5wAZB5QleWmRs8WerFxMjUOQwUmSWfc9f+fL70/6E15Fuv&#10;iLNck/5FH0XGCGMbuGt/TuqzDxdgXfp0tO29Xp6fFelDZ2Hu8CmY4z8FM4dOxbSEeUjapWHyBXf1&#10;NGI4MRDulXgv063Ic1ApjQ4UutUzBPspF3Lnp6R5ST6C8a2QID43luu+nxoLgE2P8tSVq7u06S2p&#10;a0KDBqj3+mvwq1Mbkzu0Ret2zVG3S0tUb9MYk7YtUz6Qrspn3en2cDnH+zH2WXKcivtEH1B3dWeo&#10;jFBZUNTrZ0Wd7hZYtnzimKFfPqkU5OnQ6asISz+IGh0taBNiVSZy0+rkGrQE8RQiLUyNB2tqK42r&#10;7JjtOsKKNRWxmAEqa7TTVIA+5aPhZrBUBG5N0DG8U5R8RycN7cbKCn2brKbk2sFFubhJ0qEGrRuF&#10;JpMug1/ukMnOUyoBvk+lwC2BK4zm60lZEqIUGOtm9h5uA1ZcNvsSJ6uO8lt4pL1q7xIs8c/9lTxJ&#10;PelPxBVlOu91M/nwOzj5rC1dqlahv1HqohivBwUp4tTjr39FfP36aPXP/wJ7t26KMJE4lf0NypeL&#10;70VG4tygQehd5U10atcC20f64x7fd7fSJkQJMzbO2pIlqt7uFCMnZdaf/hHe5tDipHHQmcbCiwlp&#10;5t4CfDg5yQjT4K7uVOpjAvGxEAoevVcTjosynTAsNXa1DXiTn1d9jwhSSWnny8TcoKdFhaHolGjH&#10;4JRihAxaiM591+LVXhswYfD8R+3NbaRrIeOQJZP6yP7LEOS7EKMGL0NnIddcuNG/j47mg6dpaETC&#10;NFDD0Fkaokt0DJmlo/NEHa2HFqNp7yIVw6lFnyKMHLgMGUNn4osgISRlA8Ly+crvvJyZpKJseyKf&#10;7McMzcBj+LRSuJ0YCRkD16UfMocan5/biVGu8cSotXgefpwQKe3vYXHCa9K/LggRppXDG0sOQyIw&#10;IO3P8oxLR6ShSZ9ivNmrFDV9bAq1eut4hzklZz+e+45j1BmF3WnV5Ra8yiDgqZ/yuvRTxqbidrWn&#10;fsrxy3q+L/3UY0oj9lN5BkwBRauNxzGmyIkdu5ZNV76HFY2xhzK2v5WF1ClfX3zu54f9QpTDVuWh&#10;StO6GDhlInIvu7Y6cYzN27VGbbV6O8aoI5nbzp2OJJR+kN92cGGOCjHz104WDJ6wC/cfvJwn7p57&#10;8rSk+DKaD7KjVhcSJ01tEdFS4KpxX2qcNE6y0OJEZ+16PQW9ZAU8RlNWFXVy6DT9xHSMWe5IlNpH&#10;wzjb3+Y7pgjHcR5b1VCzvRCxVDtyLtlUIs27NEG7U2aE3MM8dRvWzVEDkgqlooHL96nU6fzLiUBt&#10;gXkqn1GnZULiaTJPSj3tXAlyj1nQfkwxqnazYabfVPzitJiJYiRx4ndTYbtTjPwOHsvnvTxyz3Qk&#10;rur5ICICh/v1Q16TJhhapSre+Kd/wC4fHzwcJ4Sl3L0KokgZb8W3RjV09fPBxahwIVVCnDw9A5k4&#10;mWh42daVHp+BYZWz46BMMPTpUpOyu/KplKX8faLU+TlaM9yVz/abvWcdvpQVrsc0N1Tq0n5MlzP1&#10;ENvPfdmqXU7ZcWx2Nu6qyYintMLwoxCgDwInIGnoHJV8mpNygKUE2TIOeHLsurTP2TGxWDc8C18G&#10;MWQG25x1YN1ClaXveynvelg47GvnqkCq7Ku/OoZz+1sWDXYuQnRkyJjgqUtuLx6JTMau4cmwj8jA&#10;vtHJ+D40XJX3UP1ux293/E6Sj1yeyPLCakOL06lpk70bYzIxMvksLQqe2p/9mjGOeCJL5SmsYFJ/&#10;BLa/EJIz0zKU75qnupOQMNTFh1nJxqQuZdPKt390ElYOz8G6EVkKi/zz0Lh3MRrKwo/bn07LePIB&#10;HYn7dKSekL4q45VWtBuRMsY81ZPXZQwzLRCtku70DJEk41elNEqOlX4a5PkZyxj4KinGq2fM9qPl&#10;96j0UwaO9TzGQuT3hWLPkmnS56Te8ox5SKSi72AYB6Y0Yn0YF8tt2Y6+x4MAaox50ff47I7NzMLd&#10;ENGtgRNRt7dFWWdtOz51zNYvlzy35OnuvQeYuuwsqrQvRM3OxcK2ZcVwzCROFYFkJmaHDYPzdUWa&#10;GM3bJ1WTZ/Z4QEBapnjahaSqemsNIWt0RbrKluUtpjgcxau009AtyopLM1PxQBS2R4UjA/tWZISs&#10;cBeqlZI3xKlIX4hfoiI8p1shHEqBR+A56N0rBTuyTmr4eFoy/H2X4VVZBZ+RCVUdIZfJgatDbhkl&#10;enDO5DVOPkWWhbgbHuaxng+E/JAAbVs7B7WCB2JszVpATAwwTlb8kYKyFighW1/7+6Px66/hwtig&#10;iklWWVCpp8Qp872nY9jKT0iwf8EUPCAx9WbiHBOEHUunqrbxhjixHpzIH0q9PLdfIM5PSVULAk9K&#10;nRMW635WJvEHYwKMCSksCIv9c5VVo1Uf0R89bKjZScPABbLAkEXE+9nJeMh7pR48Jn9f2vqhgzA9&#10;Vg+ZPO+Ej4VWOM/IU6gI0+PIOmfoJJIP9mX6if0SNU6eYyAehAULgqSt5Zk+Kt/xHY7J63R+GtJl&#10;QvVm4qWPE/11vBpj0j7X4ieqvGt8/u7KVsRJSAMPEihi6037y30kAWob2IMlh6lc6HhOC+hDGVO/&#10;lh2qng2fv4EAQRDyBk3HGx11NPPXlBM+XQPodsDt0H55Nmwpmi33CRH1WE+5LsSJfl6Mg+SJOPEZ&#10;MFXMN7FST2+esfTlz1PjlWWbbe+p/fisSJRV+3mxOOHia6u0SfJ5g7ioshx9kH2hbPlsY1qcaAHz&#10;doxx61zpSG/HmPTVB9JnuTi5J3pokf8U/N+2RYiZehQPHxrz9sskzw15eihPnwG3bty8h11HvoZ/&#10;zG682b4IDfpZMXyuro6UO4PamSgHh9WJwee4HUfnVPo1Tdxi+D+VvTfvfR1+cw1y9d4Iw5LnbZT2&#10;7LO0YPF+w5LF49o8cvxKt1JED1ggStfDEX8Z0FSeP02IxtqSpTLg3UcNp8JgjCMmzqWVigrbZblO&#10;iMJ5IErh7BSZkETJKIVVrlwnWD6v0zL1eU48TgyLQWuZaF/vXYrjYxJEcY3BdZVDa5VKK+KqDILl&#10;ULGQgNAfSpn5aXFyVT+CSk1+B2NEbV47G5kfb0fH2EBU/6d/hH/9d+BfuxZi67yFayNHKguV+owQ&#10;qYdRUfCrVh3DqlQVgiXkqSy5KgspnwlKP81IVFspVOqu6k2w7qw3Qx2odCt8vpwYXZVLsP3kt7Hu&#10;zjx1FbUfwWv8fq7KjVQxMmm4KtcJtp9MLLRmqLpxi6pMeeXB69zu5SSgomk7J4zwAOT7Tce/99yI&#10;t/tIPx+lYeRaufeQBR9nJ6qJ4zffXRbqdwpxFhJUwCCfbsgH3yd55ARUsn6u2oZ2209JmmTivC/P&#10;4tjsTDUxsQ1cle0E7+HpuPczvay7lE3rAyd1TqquyiRU3eW7OQ4YukLFLvLQ/iRWDPBKH0U6hrur&#10;O8vn93PxwTFPsuGyXCfUcx+Di3GJeC/crggvF3ntww2d9mY3O4KGLcU9HjJQcdjKfd4J1lONsRB1&#10;QIKkqKL2I3iNCx+GOvh+YpQini7LdULK5xijFW26ClXiOcYbnd8ZRkG1H/uAq3IJPgNZwDB8A0Ny&#10;uBtjfJ/g9y/fsgI/0EfRizHGvndmqmOMeex7jCovdc9JKVf3EFwLjkTHXivRKXg7vvrmF8dM/vLI&#10;c0Gebt66h4+/+AlLi9/HoKidaCgKr0rHQrX9FFViTNQvo4/Tr9sDHkAn8Ys6eiUbPk50EuepHx6T&#10;LntflpCfgJVGTi2SJ54OyhYypFYxLr5Hff8p43rGCR0RFp7W0xC8RlM5wjpE6KjS2YbhA5bhkqvT&#10;aWVBhSNK4btYwzfA3WqY7ztXiUyce5tOsVyxuiqXUBNSKO5I+TwZ4/SJcFU2oZSGXKfj8meT47Bj&#10;aBLe9bGgWu8SjBiwFFcDwnElYbwKhUDF66oMguVw8uEEvmeRTD4kTrTcuKoj4VDqjBVjF0KoJjap&#10;R/KBdfBfkoVhK3PQPTsKNTs2R7NX/oKP/PweEaWH0dEYWbMmQurUMd6roHySt8ui6JhDixYnV/Um&#10;VN3lu6ceseDUzCyj3lwNsxxXxIx1l7JvCKEjmU0UQunOB4nXqHh5wpEk1JuJ846Uz21fngZk+7gq&#10;l2DdaTGcerDIiD9E4lS2rLAALPHPw6tdS9F2rCwi9pZg/okCfJKZ8Nt7y+NRP52ANaVL3E68fN+w&#10;CDjTAnkiTvIMpZ/eltd9C/LUb/REPjjxThcS/CHDBdBa5qpcJ6RcbjV9lh5v5CmUhYercgnV/vLd&#10;tDzQgqTaxwvixBACtFAp53wPdec9PDmoHM+9aP/7DtI/+9B6xB+0qYModNKnPqOj/huysEkePBt3&#10;x7INK6irqqeMMWkLW+FcJLjRM4RTV9CXUuWp86J/3BXidj4/TR2Q8Cb+FLfFLjLAqPw+T8RJjbHI&#10;cFiL5ini5GmMsQ3opP4T0624e8ZldCQXSqpuHsaYUfciXOYYc0Xaw4Lh138Z3uih48T5bx2z+csj&#10;fzp5+lIY6+KiS+gRuAU1uxbh3aHFaB1iwZAZunJ8Vr465Rr2hYWQFSdJZDwmWoUYIyb1qHHtN/c7&#10;QMsRE43SQbx+X01NGAxDUNZSly1/M0ZNMz9DIdEnqslwHR0n6hiUryOFyVL53Y468PvpZD5mmaai&#10;b3ceb5wmUieOhNw29tNRrbsdQwYsx2f0Fyl/gqgsRCkwpMBXycYxbHcmbr5vEBIrdi6b7t1KXhSO&#10;M91KunzWk1Jg+Qu2r8bnzP8VMAb5w6Yri1OffqvxRUAUPk+PUQ6USRc8kA+ZOBnriVHD1RYC4aqO&#10;hEOpXx8fpVKW8Bk4FaMzhguRe2kLct/fIhNFOyxq2hzfCVk5P2wYPhQwBtTJAQNckycqRplQzsqK&#10;cipXw2c9E6dZMimfzk7GtZGjcG30aPws9WOewc9HjMDV0WMMh2QHkeLv+36iIxWEG4shQasff1uh&#10;/E6e8lKTRvn6OqGUeghuSvvR3yrzuLGF5apcgt/LyY6pOlT8IVoJfjMhBeMjIfMd+qxDrQF2pC1f&#10;g68y2daeJy/2Ux7PX7Z5uUfLKCcXOiDvXjJNhdrwSJw4MUp/3iH92hNxUhOj9K9FW1fic8bZ8jSp&#10;S72ZQ+2SEGf67Hi2hhjBE09OmyzPRcr2gjj9ND4SGxjxXOrujjix/fkd62xLjGP47tqfYN2l/PO5&#10;KSoFDLdIqbvoqzlstq5OMNbtpaFGbzsG9F+Jr4KE5Kit0HLllB1j1sfHmCuQ+NIPqtAq5IMHJDz2&#10;UyG+8veJWZnqZHCKhzFG4ksSy9yBqm+wfuXLdUKucYzRQmtYOz2lNJJXWdSSINJC6vEZS9m/yCtP&#10;aGac8qwjaUmlDuSBDddjTCDkKWjgYrzS2arCCHH36GWSP5U8/fjzHURlH0KdbhbU9S1C3wwN43Qd&#10;yYcMq4fy1ZFJ3FUDvzCQ38nfms5J47AQxj08FWcoDZIgKo7h8w0rEkkN71UWIXkuaUe5721Y5njy&#10;p3obDe0jNBVfpryljgRrwmZdhRNg8tGRA5fCp+8qtOy2Hm93s6JnkpGSgs6vcbsZCFBX2x08hq1C&#10;HAhoPudpovZSr+Y9C9HFdy0OjZHB5Y44icJhOhKuKBnIzhviRELCU1NGnjo3ExIhSkGl61gpq2Eq&#10;Qw9Kndc5MT7K/yUKYNPINLzZqwQj+y/FJ7mJmLOPq3bPFiceZWYEZK+IkyhPxiqiM7m7Z0AiRaVe&#10;pVNzjH6zCpa0a4fBVatiYJUqaP4v/4JLQ4YoH6jHypfnyyB4jLSef5jJRz2RxxIs3b0eK8LHIOe9&#10;99Qx6KwuHbGgc0cs79ABQU3eRUzzpirX3unBg3FD2uBqQgxWl3Kr1f1Knm1Ap2amivFqQgoKUWEF&#10;GDuLVhBOOK7KJdh+VPpLnISiwrKlz0nZA2WifaXnBpSOSZdn5MFq4+inH2ckqK1a+plU9Dud7c9+&#10;Sj8x5bzvrp+q3xmMHyLHYcPqWV6RD4LP+2tv061IH2OeQpXg18PESIsgrVmnp2XIM5R6y+92WS6h&#10;CIlBnJmc2nPd5ZpM6tbi+SrvmluLMeGoO1PFkMw96rvy+0mgeFKYTsmd+65D8MBFsI6YrOJ1/cby&#10;pOrp3Rgj2E+5QLRJP1Wn3ryoJ0OVHJyX613gTnlGtFx/lJnkeMbuiRPLvxI/SaVjUv51Lsp1gs+f&#10;W2ncOlcRzz1Z5aXsn+Q3bl0+wyDlXowxxuv6NEXGmLu+J7pzkV8e3uxiwaiEvbh//+U6dfenkqdD&#10;p75Bgz4a6g8oxogFmurMJExOC4irxn2RwN+ZdEBXpGXEfMZd0pQPEa1DDMRH8FRc8xEaJm0TcnVM&#10;Ov5RmwrAR3IzdKamTs5FaLointVaa+gyQVeO3OW/i8+VlqSm/jre7iGr5VEpOC6r8y0jk+A3dAXq&#10;9tfRZJiGFiM1tA3RVOZzWpp6pxqRlCOF1E7aKWVdktXw0kWwjUyXMpJwXymxChSDKGXmqeM20gIP&#10;UacNpV6CGaL81akpfl4GvctynRBlycjK9oK5SqG4U+pKWcrrOtsiI12HMzGmED/6OFXvbkN7/yLM&#10;PFCAVJk4XZVBOOvJYJCnp2YYIRM8TT4ycX6ezCTHy90+AyKd24T71sGvRWMEVq+Boq5dFUbWqIGJ&#10;77yD62PGSJ0Na5CCfP8NUaAHZBJnQD+3Sl2QIdeLhDjtHh+O9m++jpZjh6Df1FgMnp2I7hF+aOPb&#10;GT1TwtBx/Ci06tMRA9s0V8E8l8oKN/XSJrd15/NnyAI6uaoJyZ0lhpDr30dHyiQw21gMuGk/Tsok&#10;VqtLmW5lkofJLlTFtxnQV8hTjw1Y5pcjBIf3V9RPSbaMPIV0umWS3Ip+p2p/qQfbn8TZYz91EKdv&#10;J0Qrx3O13UWCUa5cJ3iNE1ihdQGuTRrvxaQerPIUclJXeQrdTIysO/vHvF1rleOyqrfHSV2Ic+xE&#10;5QjPGEBu6+6Y1GmdUvGLPLU/6y59mVuY3Pou23e52IvZZlNhIN7sXoK4IXPxdYiQcbVQK9eW8hvo&#10;o/ZZaqxKJeRpjLH9WE8uuG5440spz4l5F3cLwc9lcFw3z5iWLBInBu78NJWR2aVsd8+YdZfyGUjX&#10;k1We4DNmxPMdS6cZ6VZYvqtynZDf9h1TGq0THSlt5679nKRvlZB2Bsx0b80SshcciYmD5qFmTysS&#10;ZhwzydMfKXuOfo36XFVMtKhj7y+yQ7iyGjnA38lXWnl4Io7bbQ19je0wWoZ4/H/4PA1BqzW171+n&#10;qxFHqU+aDt/JuhHlWMhNg74aGolyoXM4/ZgaD9EweJojLEG578+9bFMWrCpdbejXbyW+k46PkNH4&#10;Nj4as1cuh99SO3okaCocRMtRmorfxO8nYVP1vyjk47wdFssCfJcgSl0pME4aFU1IRroVOv8ymq87&#10;haYmJLnO+3i/ynXlbkIiOCHFRCvzPBWK+wlJvoOrzIJ5+JaOy1SWjtXrDyHhSBk6B9W72NAiQFcT&#10;hOHr9Vs4Jx8euVenZtTk427ilGcj3/VhRqKR5NiTUpfryn9q4RR8HRCAq6NHG1YmwbdCmr6T9x6W&#10;LZ9KPWocti9z5NCSz7sql6BipH/VspIl2BEViuhqNVF/WE91/JnbhUw6mny0GLF710jflHqe1JEo&#10;ZKxLfDD+9//+nxhnn19hRGOCSpdOzaw7J3O3E5KDUFyNmQBL8QL1TNwRJ6X05Xqx9L2rMV4QCpmQ&#10;HoSFIDhiJWoPK0X7PutwbEy8PDsXn5N72d/oQMtj3p4SUZOcMJAlTwPSuuWROEldv4kbj3W661xv&#10;ZcHfyXZigFKVbsXT75RnSJLKbUCVbsdN+zv77uKtK1UkcHWowd2krohTCL5KZKqYJfL8PdRd2od9&#10;kAFKvU0+S+KyTe6npZJ1K1sedSTT4VAXVu/BxOKrUDIyDUcDY3Ba8ID1o/5xjDHGyVog7eKJfBhj&#10;TBaPi/JVtgDP9QxRW88kWtnH3Ec8d5KTQmlrBsdVZat6uiiXcDxjpjRasGO157o7xtheGWMq3Yqn&#10;ust1jpdii0NHuqk729Y5xr5RFkMP1s6wAGwemYo3uxRjyMTd+OTLnx2z+ssjfyp5+v+z9x/gUV3J&#10;ujB8/3v/7957zvlOvPecM2eixxljwDbGxjlim4xA5ByVkQQCRJAIkkBCEogsEAiRQSj1bomcwSQD&#10;zoDBOIxztjHYxoT3q7d2b9yIrb32eDz2GNPPU49suru69lq1qt5Vq1bV8Te+wAPd1uCh6Eo9qrsS&#10;wRMdMXOWBi4IoM+cgJYT4ALhXwIV5hAx0sO8oy65lraMSN9l96AjCGJUiq0fmgrAYnVwfp6F+Qi6&#10;WCE8MsvOR+qQabebGLfX7rVVWw5Go5hE/scna+xmnNEJeD89FStkl+EUn2MdFV4LTt1oIW27fRWW&#10;IM/ZcdbIjvIz5rDoovUwCmIQeOTGQn6MJNFg1WUUGA1h7gB3jOzazwiAJyAhRcfi/TEjsEKAABe8&#10;AoNafB1y3udxyecXZQ/xkV2s1X+i5lPcIUC08+SADXBd+FF+RiToOI+LobaBk8cY8Bnkt47kTtD8&#10;HK8xYNSFTpu1fpjMybwK5cFE+fD/Do84CW8mYnOXz120l2Hk3OWIYZ6ytADdHn0Akc0eQqM7G6Lz&#10;tNGY8dZOWXditAUssQFpDp2YPD/rykz/0w4MKMrC/7nudxi5ZYmCLDf+dHxT9pdjv8hut4rxMOoE&#10;FNFxeEc7wi9S2UxOmcRbU9/pXi2e4STzQh16fsYkZO+oRMf8IG4SYBzVbSHe44YhvEAlPyt/D86a&#10;rMddZj21+ymekPnnEZ83+BASPX1bnnPpuhLlbdJTgvx11FM/4EOAFUHKuhVz7KrhHvPP32ViM5Oi&#10;39Z2KyK7yanL7zNywpty5O0lOyMxPMKkU79Y+NGNr0MiO49qeZuMaQd1HSNxLQ4XWxQpG8bG7avQ&#10;tEMlWnVeiR5dlmBOn6k4FjNCZI3By/mZevmDdsS4xgTgaa83ymHSUxmDT2SzxSa5xpZGOkbVelzN&#10;4rjK22uMqTvC/3B+hm7GPO2DEHWPkUWVXdeYxxgraI/VCDvtu2n++D6JDdP9rbE4fDtiMGalzsav&#10;m5UhZ/4LIY/+y3r9pODp5Jdn8NSA9WjQtgKjtgQvNuC8kogAaGCJpVEiHoU1S7CBTqvUABq2tK9R&#10;p24QoMJjC0Z5RMkvAZHy72N3W9oImb3qCKSYxM0mv5mHZFHtszSxkv9Pp0+Dw++Ey0AieGKPrZue&#10;tPBkh1XYlTYRpZucXm/2Z/hd/rYTGeO/8X0ade4QT/J83WQYZeF9I7uiXcUFalC5KL0cEndby8WJ&#10;atVwk0Mi8Rq27OpKNthHYOThxpuk4XUBBZT9i8uMuvxOUiwm9pqFP7RYo/PBAqOcL+ph+BhQfsrJ&#10;XCkmmRsL0PF35DPPF0zEDFZe9hgDEh2bnbw70dxOgSTO51PdUYaiNj7Ax0bZfW4e0AeP/+a3uKbh&#10;zfjj7fVw1yNN0bVgtID1FfK8dvIr/04+vFaJgKrF0H741Q1/QNrOFZeBJ/4254DP+LzIrm0sfABf&#10;OnDmLSmgCONXm1T3RHbe7jLrnryXEItzQwS0L8jFdAFzU96o1r5z1z5VjV5dl+AT9lh0wJPw+nZw&#10;IvYU5auees2R6qmMC7vYv5GVLsCZz+kx/yHg9EbGGMxnWyDZfJiek+/zKOYkI42mNSaOkber2PiY&#10;MnuBT65t3rpcHSzGh0ze9uPU5fd5w4pA0aS76tT3VehRuzbO9aG7Xwjo0wbPIhvn140vie9nHF6D&#10;8lXzUNQrH326LkJkl+W4tX0Qt7WXzWKnImydlI1Z+83Vzbl+mavEBHm/a+zDMal66YHrwBvg2zZ0&#10;89KZ+mw6f55jzOKX8XjOyVGT79clO/+doO/iGgt935WvQ2Ij3x43SvXVDNrtY2SusS982vev5HO7&#10;SmdgyLJK3Ny6HFHpT2v7tF/a6ycFT2e+PYuWgzbg1tYVGLlJgMYV2K+OdZZ6z7T06E37X7HYW6QA&#10;pxYB3NsrgPhSu8ieRjtqK7kDguTf9X3ungQssTWEOnbnOw6Ff7cWMYeADU55zMffHrO6HPlHLU+D&#10;4zi3XeJgTvsxjAROYvw3Lp2lIW4uSi+jQIO2THbDH4uR0qRrL4NDiorBmwJeGP0xAid5n8cBzKc4&#10;nSTfvUx2+a2kGBT0mY4/tlmDR2J4TGmhz+yARvMGzBf5DwiYkHFjWwkmodL5GOXk78g4MIKUbwCP&#10;JCZg8zow66hodWwTeBTHSaPO9i806F6GUZ2y0Ibls3Bq+FCcku8e6dMHy5o3x9LmT6G8bVv0vLU+&#10;us4Zj2lvblfANG7vaozatAijty7Bo1Fd8G+//RV+U/8GpG1fdhl44rgwf+a1SePwLZ/bJHuU3WfQ&#10;6d9m1D15vh3FU/XaubfuxeF4TCryuhcgb+hcZG6qwARWA5f10nIkj6qrMavPNC1YqfMu88NbnFsW&#10;Tbf11GOObD1lrlWJv7ZAfE+ekzWZZu5iWyDzc0583sLueWxpJN83rTGZw89lLunUqf9e88/3qF8E&#10;Kq491GqT6m48Xi7I0hphJt1lpId94njkqY1zjRsfW/aV1cXK2yQ77QNbIp0cMQQn4wbjzfhknIhN&#10;1eKMDdtbqN/KQo+sCuSwQ4IHL47BtL1lOJY73vcae08jhuyn6D3GNris1pvBpzUHyTDGfF9oX2Eu&#10;8g+wqry37jlrjN0S/K2xGLyemY5527nGvOePukcbvXPBFL2tbNQ9WTenhyZj3ao5yH3BQvq+IB6O&#10;qtIi1gdeulqq4Ed98Wpjy6gNsggq1LH7Ldb4o5AsGI0+hEeBvgflCMjhMRyr5TZsHUCX3AD6FQY0&#10;gpRcFXA9IvKkP/fzIeLv8Hl4U67+kwH0nO1drV3BiXyHSbFnZNEYF6185mvZkawpLbxo1L2MAg0a&#10;C2Wyno4RkNAwi1E4MWms8TYRie/z5tbB2SK7l7FMjMNL0aPxQPsy7azPPDIW42OtLNaVaTXaLiK6&#10;rnouvhyeLHKadu3yW7Jj5U1BAjc/wInOh72ltBWE1xiHohkfpo3UxFInWuHGl8Q6SPztnQsLdF4u&#10;7igFBPPIgvkeZ4YMwZCb6qHpkN6Y9PJa9Jw6Gtc3vQ033dcYD/WPxG2tHkGz+B4YWDwJGWLoeZTn&#10;8B8vQGuOGHXeejNG4kiyG+a151nsM+ix0yZx/hjtfEYczDd+HMbgKEzvUYDr2tXgTpnDBwdaaD7C&#10;0khrky4W6kVUY06fAgXLNsBP0jYkrBhuAviM2pQGizXSZ5x/vid6ysRzvfUoz2F6TkZG2fKC9XeM&#10;z0nwkTpMj6vpdL3mn+uPxT1rSufYN7J8Rpx4600bdBtk540w9uLjZRAtDOtj/j8dkWLrroAuL0DC&#10;OaHjZ9HZ006rGE0TiMeFxHiclrUwtdd0bePCiy4JsgGty3ew3ASBIKOAftcYW7PYjcQNwFfmgLKy&#10;RMo3zubSaxzkOWjrWC5gEpuLm3RPxpiV2d8ZNwrnTPNHEt0jyNJotwE40T7w9/cV5uEbjq9J9wRQ&#10;fiXAKRiKGJI45q3FRl7/eBn2PPdByKv/cl4/KXh698PTeKTXWgVPLLr4twSemMBO0MMjs79ULlbl&#10;jlliF3tjcjf55h/jMdulJfb/2sTn4NVfRp54gy/rYCiiVetzuuuXvwwTnxNjYly0CpySEagoUofg&#10;Bzix1tEp7f9mckhC6pAyQzdyzEaBwOmlgszvZCcPN95ikM/HxqB8cC5ajAuCTZM7C/UVcMt2EPVl&#10;nO7rb2FbYhY+j066tC9ZbaLhlGdhk2MaXS/DSLJbQZTa0YwYceqmMZZneU+M6PytvA1mSooVkCNO&#10;mQVDz2pisItRF+D0Zt+++F///b/jv37177j/sftx86NN0TFrCAaXTsMfG9fHr2++DollMzHl1U16&#10;dOHw5/yx3cr76SPNrSBC86d9BvfZtwG9Zbf1R3VPDLb7/MnzOBcWZMzPpiZh6uwSNOpVjdsiAmjS&#10;vkr+CmhqG1QQfF37GozvNUfGYZAeOfDSA6NJJj1l5IMXElhHx6yn8p48J6MwbNxrAh8cB+aqHc6n&#10;nvqY/6hYfDJqhB53Ui4v3nwuAqcNy2bhLPmawI3qbryCVeqNSXbOP5PrWYzzvGwWzLLH4GMBn4U7&#10;zAndjDZy/bB0xVkChstkl/+WTc8ZoUHdSnBdi2o8Gmu3cXGO2R3iGPASykdjUrUiuFFO0eU3M8do&#10;DpLXxQESj9poI/fNzQ014DWMMT8jtGXJdFm/jLp52weOMW/nsmr4BZPsXB+DaCMzkBtKavfibUec&#10;gnhuxqTv1pgbX4dkjtlyqDywQMdF140Q/UnEhABubFaOvc9/GPLqv5zXTwKeWEvr48++Rs/h22Tg&#10;K9AyVVA4HXkt5f+pKPewhS55Ae0Rx6uyg1fblbj/nCgRP8vnmfyygC+h4QIOH+gXQIPmdjmCCfvt&#10;SJDbd/9axFyemKWWJp0TxBE8MTLmvM8F5+yG9SqzGD3XxeSQLDo6ldNDh+gNEy74uhYt/50Gg44/&#10;UMF2K7JTo0Ny4+uQGKTz4ljoSBnFUVBQi69Dtux2cU02lGXfsLpBkxBl525YjPrSLUvsW3YyFiQe&#10;tbKgaJvRFm6V+Wrctgr3RlZi48AM2flyTMKMDQ2PPAePc1h3hTtdGhc3GUmUk8CJoXitg0PwES5X&#10;bVI5Y/G27Jy1arSMsRtfEnnrccjzFp6fnm3zrsswJiXhvQED0O/mejjQvgNWF+Uh7dkqTH1tizz/&#10;BqRuWIjha+Yjm/oQxp+/v2DrMk2k1eKKbrxJHHvOX1S0AoTaV9Frkz1/NciWHfkruWxj4VaXScZC&#10;ANP7ccNwOHo0PotJxslRQ1FRVoQBy6tx/wAL17et1ryYyv4T0abzCtRvX40/RKxFapdCfDUsEauD&#10;3kU++e+OnlZVzvNZNdzW04Mz7XYrnAM33iR9TnFA+QcqNJLqr92KHXGcyz6FpvkX2VlZnI1wVW46&#10;dTe+JEd2ASl7i6bo+uL33XiTyF/nf8syBfK+dFdsyAcCshlhZX85N74kR3au4d1F+TZv12hIvObW&#10;TetdgPrtglrOpd9cAfZha468OMfzti7Xgpm2nORl0yV9DKmnoTHmLUTKSYAXLls46fxRT2WD9vLU&#10;LI3IeEez5D0ZY4JYJshzDMjDjTdJx1h+f8mGxfhi+FDvMdY1JhtAWWMvTp2ogMZsIwkKQ/bdj+4J&#10;cGJx1JU1C3Xuw2UneOKG86Yny7Fl7zsh7/7Lef0k4On8+QsYO+Mg/vhoqQIn3kbT6M6fAU7+WkTH&#10;yeRs7lh5hMM6S3fIf/eezeKTNhDiDRGban2fgEmIbVBY9JJHPlElApaSAnpsp7yEZ+tRNnj6S48E&#10;/ywSuQieuhfYiersGVU78sSFxZYDvDqrwMkEPsQ4E3y4Laxw4r/TIRFUrBcDcoa5ASbgJPyZn8Ab&#10;ezZw8na8NBo0fIxw+DEKPGp6e/xovQmnDilsHEiOPvaZbeH+gUHc1L4GrTqtwCsxI3Xn6/Dhjp3X&#10;hllrymsMSHyPhpGJ52oYWbm3tmzhJPy5q2UPLYbiTUadO07e2HtW261wN2ww6vKZr0cMx4aqBVrD&#10;KRwo8XYec6Au4S/v84bcF37archvs/P/IZHFvopet1En8X3VPa/5S4zHB3FD0b3LYjzSsQxdOy1F&#10;t4Er8EhyELe0sfQYp4MAp82DBDwnRuG9uCHI7DkL3Touwa6UDKxa609PJwqtXTnHN8Dn0fC+uXka&#10;MeEcuPEmkT/XGJvPvqnV0c16ysgAC3eyGjx1x40vibz1mPi5oOb52cDJPP9MQObRLhOHTbLz+Xhk&#10;+JkCZx+6K7LzSHrK/kp7jdXi6ZAjOzdte2Qc6wZOJB7bJaF/lxLc0KoaTw4JCA/a5e948VbsknVc&#10;Y6KnssZYi+60yPO1fPeU2LSP4lLwDaOWBFDyO4xwvSJggu1+jO1WVE8rBOCPt+XkOLrKKSTv8ZiO&#10;UXmn3Qp5uPEm2fztMf6S9oHAzI2vQ6E1dmDOZNVbP7rHNXZMeySaW/3QRn40eoTmfrmtG9rIvgJc&#10;b25egcKVR0Le/Zfz+knA0zdnziEifjNuaV2OjpOqMLTGvi3G2056PFDLkf1YpNGiFyz0nBHALU/Y&#10;BSM7TrJrKTFaw4XKkgMsZjlIQBGP9pxr/pPke5kHBDBttTCoOIAOE+yEcIIwEpPEWwzj93kU+ONH&#10;nWxQF8TjCXZfu/Br+Qw/0zAyXP16nS0vwogLS4wCj224sLxC8fx3GkYeUWxZPAPfmnbyJHFIrCLM&#10;3CHuRr2Aky17tYKgi60E3Hg6JLy/FWN5Inu8OjEvh6SR0CPVyN1WhoF9F+P3bdYipXuROOaQ0RQ+&#10;LH+gx0CMOLnwcIjGjc+yKlisBff8GEbusJm8yzwvU7sVjgH72fHYiICOz+nKlxSSnTeDWPzQKxJD&#10;Iugl2e1WfFQNl9/+anCiXl2nM/cFKKh7pvkT0HoseqRsZqpwS4dqNOhgoWn7StzbrhwPC5ha2S8H&#10;XyaIfqljlM8nxGme0pvpY1C6YaHOkZeeZsj8UE83L/Hbp85uebFNwAd11Os5HT2du3VFqN2KHz2N&#10;1+Nq9kbzM/95z1Ro9Mvf/LO4anKoT519I9ONN4lzT90trS62AQlzh9z4OhSSnY1wmT9lAn0EJLkH&#10;K3FgtoB+T+AkRNll/VXHTsKtkUE07hRAD9kQ0vZOlGfIEl6MLl5cY6Izz0WlIb/3dBT3zUd2r5na&#10;UmpZv1ycjk/CtwKgWJm9QHPU6pZT50/meM6uVbqZUd4GG8kx/iw1RVMU/KwxjvHqwII/Y42xQfMU&#10;tS203258SfYY076Xhuy7AbTL+HPT9s6EMXpjry77TvCUVMHE/QpEj3saX39zLuThfxmvnyzyVLru&#10;NTzUqwZ3tLP0COmxxAo8nlSFuJW2U/+xARSBRcYzFiIz7EKVt7MZpQCeQYsCGFBsH3UxZ8lJKGZy&#10;8fC1dt4S+88llAYQMS6AhwfZQIn0WJz823i7gjijWQRNeUdDTtlFhr8m8TcnPhvUI0MeHfJGmY6x&#10;/DsXFovn8Xqrn4gCu6rzyvbCjd75F/x37mh5RfjpBU67FQ+jTqJRF8e1vYS7YRp1D+Ak8tNpUA51&#10;SLoTdOHpkPBm/68XBJBwl8njEze+JMrOvIZpvAk3JwPB/hPx63brEd+9WHhFa9SNuzIWEOQYeAEn&#10;PgdlZYVpX5W3xTAymnVQdpRaNVrmx40vyR5jcco7WDV6gjyjj4iDONePRg7TRGhTtIwGnRGBQFmh&#10;FuQ0GnXhfTI5CZuWzgzNn7dTpuPkMZCv+RMwdHLwEHTotVLb6UR2XoYdg8Zhd3Q6nolmEUw+d2hs&#10;ZQy0T13GGCzZZO6nSD3StkCOnnoCJyF5n1e7WTyR68f4nPI+HZFWbvY67iSJnhI4Pzcj1EPNRzSE&#10;wPklNp/1Az6EP2uErVk1W52ul+ycf25oWRbjU9YvMukuZZff5zX8PAFEJt3luLDNEct0qG4ZZOcR&#10;4wfZo1Awa6HWZqNdbtxebHSJpc3Ry8uLcEqBUwzOC4j+TABScvf5uCZiLRoK2OYpQv32Qb2tt25Q&#10;Fl4ozPFVmZ/jtHDzMq0EbgMnbzkZcWJDZEaRjO1WZIyzZYzZcNvY0ogka+xLWWMsSKqbMpPuXbLG&#10;zMCJR4yvCkDUoqMyLnXJzgtHY3YFcX+fCtzdKYhdB98PefhfxusnSxg/8+05bSZYtPooEjP3ok3U&#10;JtzXaQ3u7l6pQOOnyAdiGxKCptvb2AuSYIlRKEbFWo0MoGnXAFrLX4IiLlpWv+XtOdZq0grfPQJ4&#10;sH8AnSYxMmVh9BYe39m8WT9Io1RO+YEfkQicqOjD19l5V8zj6Zwj4EkWFXN9lq0twbtsWWJatOKM&#10;WI2ZIW4tFyBGva6FZRvGGjHq5Xr0xmrjNKyufEkhh8QCgeuXzfLheO2ky+VinN7Vdh00aLV4hpP8&#10;Nm+ZsR6NyVhSdo2G7CrFYTqk+EHYOmACfh2xAQO6LsJJ4cWcDxYd9HLKJDoHgg/e7tKrzD6AE29H&#10;7V4w1b7KLPPjxpdEw8gxYhLxa8yfIW/5vitfkjrO7wpU+gF9jMQwl+tL3tjykl3nL17nT5vH+pg/&#10;JiYzcskq1mbQbueNvD5tPIblr8A1LWvQvfMScY4CdHiLzilDEPbZV3PGaa0iP8BphoCPA6IbZj2V&#10;35Dn/GTEUARXz7GBkzyLG2+So6crBGS/J87UuMZCeso1Y8+/WU/nCHC+eIzkAzh9IGu90qk67SG7&#10;zv+zAQFZc3y2W7FlZ7FUVjzXNVaHvdNxF92m7Cwky6RkT9llTgmGX5NN26KtSzFqbw1ajbLsFlay&#10;oe06PYj5pSVYOCgfa/tk4GjscOwdNBZ5vWegeadVuFHAdly3YhT1nYL7OpbrxYIevZYis6YcE48a&#10;9FSIeqp5XqYEeT6DyEmgwqNDk33gGLNq+Ca2iiHoM64x20aymCrlMq0x2uAlYqfeIWj3Yd/Zbuhw&#10;wUTMYdFRk32X+V24eznGjFiI3z5WgUnzngt591/G6ycDT+GvP733JZ49/DFmLjuMW5qX4+GYKq10&#10;zWa4bhP3QxOTpnm80DYtgAYt7ZYojCIRGKXtEOBzNKh/2UduzLYgUqotPf7icRwjUMxpiswMaDI2&#10;C17y5gcBE0FLeE7RT0W83ceGy21Gh0ChAL/BAXnvlRo9irFbXpiNOh3L87IbZuIyDaPXwuL7vJHD&#10;5qNGh0QSo8DWKdx9Zcq4mYwCf6OyYp6/dh0CGHg1n7kgrDBsdEhiNLjr0vwbNWYxeDYqDU0iq3Bf&#10;uwqUjp6C0i3+inTS+XCH6As4yRhx58kbe9puQ77vxpfkRDNYf4iFO5W3GD9XviQx+DzCYlJs8Wbz&#10;jS3yplHfXlzgT3aZg09GDNMWOI7DceNLcoz6amsBPmDhRnVILjwdkudi3spLBVlYsHcVhm2sxr39&#10;LNwdUYH5ffNFv/jcIYcmnz0r//2ifFbbApmAk8wh+9m9LA7j4s202r/vkAKnOLwvMnPdmIAT3+M8&#10;VZbPw8fMEzKusTjtV8ajmLxnvOdf9VR+n02MT0xMD82/h1MPPdvbE0Zr1Wny5jy48SZx/qmDWqA0&#10;xUfVaXmfRTJZl4v9DU1rjO8z2n2CR7VG4GSnCbAWmlPjjRtRNkDvNsVCg1YBPD6oEr37LMH9bcrw&#10;SORq9O1aoqCpsazZBwQsPdGxVNu7bB00AU0jK3FbB0t8jYWBi4PIP+Yup73GavS4kk17dQwMwEnX&#10;mGxktLm0D9DO/CkmyPtqtyLjxIgxa185Gyc33qSLsoevMTeeDsn4MuLK5uLsCuHHvhP4vjFtLEoH&#10;TMa/P1alecy/pNffBHhyXixdkJKzDzc/VY7mw6oweut3IMRtEn8oIn/+TpfJFuo1C6BTjgCgA6Kc&#10;Qs7xocog/+3kDg1ba2myXPQSCyM38vN2rhb5/NhHjnURo01stcKk/EeiQgnrsuPqkC2GR56tumKu&#10;bdRNi1YXlh218dvGgkaONzrsditeRl1IFvb7shtmPhAXPK/RuvEm2bthSws/sm6MbdBq8QwnGnUx&#10;TNsWTgsBEm+Dw4RRRnI0oTdWHKkaSwE18cno360Ef3yqBlGFlcg/bhsRNz4kjgF/7+miUK83L6dM&#10;EjmZRM4oD6M9XobR2XGWBRZo3pny9jTq8r58xmkV47WjJHF+eYS1dy5bQfiTnUeYvNavRt0LUIjc&#10;fJ/92z4WsGWcP+qe/KVRZ70eypYtej1gQQC3trfwYGQZtg8cr7fw9LOqp+IA5LN+HADnmpcMtFea&#10;J/gUEvDz9thRWLrWX7sV/gajcGx+rM/pxtcheZ95OgTafvSUc8jWKW+x872Oodf8y3vi1F8X4Lxo&#10;I2+WmkF//v5K7Fww1V+7Fcoun9u4dKbeQjPKLr/PaLceIxllF+As8mvvQYJhkc2ZU6ZAMMe0xYgA&#10;HuzD8hQB3B8XxH195f87lKF318WY2bsAawZmYNugcVjRPwdPdirF7bLpZUsm3qROqrR0c1xbTl1j&#10;QpWi0zx+s+V0kc+h0BojwNM15kP3ZuwuU70+47PdyvtjxEZqn0E7munGm6RrTIhpAh+n+osYsk7V&#10;/nl5eoTqad9pI+V9HmGyCj1rrFX1m4T/bFYh4OlQyJP/Ml5/U+CJLzYYTMraixufKMPjCVUKTthz&#10;TQs6ehir70t6pCVgiLff2KLj5kcZdbIw5YQNlNy+Q+L3sp6V/5bP8HN/bYD3fYjPxdt1PGJk8vr9&#10;vQPoUmBh3MEgNqyYaffQMhlGeZ8OabeAAObf0LDWubCEuLBY2O112X3R6Hk6JJIYBRpRu/Cjt1Hg&#10;+zTOrAFDY22UXYzGafnchmUzjYCEsrMuzHIeYSogCTfqcfggLgVduizFDS3EcS+yFDy58eExBXec&#10;zPM6NCvb7lPnQ85PQ1E3rRHkZRhDRt1iNINRN/I2OE7mXzzPVhAh8FHX/JFo1FmNmTkrvmSPjtXx&#10;YgSMc+cFKHR+5e8GtoIY6k/3zoru7ZmXr7eEqHu0A1kyxjx2ZsX+eu2r0bbzShwflIpzyfEatTHp&#10;qTovAR+LBHy8zXY71FEjwLfbrRRvYrsVb+Ck4EHmkQ2b/bY0YsSRx2OMVHrNvzovkZ03XLnh8DP/&#10;5K/NZ2VDY5Kd88+x3j8nV0C/D9llXJjgbK2eq9H7LK81Jr9L/kzo1mgInbqX7PLb50V+Furlps0B&#10;pOE8+ZtjdlgKgroWybMtX4nKYXlY0ycTx2KHa+NvvUCQFIOSvnm4LmKN5rKyH2jCKjutwvErTIAm&#10;kJr8igCzlwJYWzpH16V5jO3il89Pm2SDdg/dI3EM7JSALHOrGOqerLG3BLSz/yfTLLzmj7pD/bvY&#10;I5F2zI2vQzIHZ2Sed7Kdltgsfrcu2R3d41p/dxzbaXFMorFJwOm1T6xG2oxnQ178l/H6mwNPfL31&#10;/ilFsVouILICTw6pQvyKsJYkLhP7fYjHdewP12+ehfYT7GM4RmcGzHffjdRJorDamV6IHemZ45Ij&#10;f/n/OWHXvX9MUuAnhuWRaAFPrexeej1mycI9YGHn4qn40o9hlIXHhcWaMdwNuxkvh/jvvBFUahVr&#10;XRddWCaHJEaBN6zYSoBX1b12wwp8ZFyZ0OurVYwYdTokBSTyPS9Qxt/ljSAexWj9okuAk1BiDHZG&#10;jcOtbSzcP8CuOq5gvhYfEoFTwb4yvJyX4buH1sfiSHiERTlMO0oaN0YztNSB0ajLe/IZ5qCwd54J&#10;UNAwzny6VCNUTKw3yh4do0eGBBSUzcuoO79NcHPKtNMmyRx8K5/jNXoetZI/1z/Xa6+Z9oWMBu0t&#10;3BNZiR4dF+GNhFTR6wKtJ2XW0xp1RKzcbK4aLiR6+qpsBubs8NHAVZ6TAGiv7OK1rYzpOYU3r/7z&#10;1qOCDwNwop5WVDF5249Tl/fEOR7Nm6BH6H4Kd7LcB4/aFTgb5z9Wo7/abkXkNq0xro2qiiK79tLF&#10;qK4LX5LMCzdfe2QcTb0HqRfjWDtt6wq8MSldZE+w1174cW5iHE7EjNCjvJtbB9G/KKBlaZyNL/8O&#10;LrcQu8zCgFIBkHMX4+QwkdOkHzIHBE77CifbcnqMseqerDHqEROytTK7aYyjYvBGZhqK5NmYI+YJ&#10;nET3OM66ufQZ7eYxMXvy8ajVtG54uYSg/ZNRYbqXGIuDg9LR6KkVSJ12NfL0N/H69PNvsGXvuxic&#10;uQd3RFTh7q5VGFz2l1f7DidGZlhywEkOZ/4Se5tpDScPJQ0nNlIdubEEXXOHY1hNkYKmgte3Yvze&#10;1UiumKU9wvKPb5QFSsPiUhvqr0RO1IygkLWlGKa+Z1AQ63On4OshXLSi+HQMbouKxB2JLCwej/Em&#10;CI2j98Jai0ox6nTqNCaeBockRoEOiYm6XoaRRKPOnTz7QX2jTt3AOyZGdsNDNcRtiobQ2PAaMSM5&#10;er3ZTXbZtW4ZNAF/bFGjO9bco+7zyDHgzpM3Ec9yV22UM1aAZqomnpvBhx1xYmKp3W7DMMb8bZFh&#10;t4AVRuu8DCOJjm3etuV4M2uMXdnZJHto/ux2K+b5o+z2/FH3hNx4OiSOlXlyW5bM0BpR/C43OuN2&#10;iz6Pl/XaMYDr29YgqttC7Oqfhhfi0rB+xSzdLBiBE6OLsnP+KG2E3tzyo6dHc8ejYG/ZRQDoxpvE&#10;52T3/UMzs3FGn9PAW8DnxyOHazIyIzbURTe+JAVOol+sJ6a3Hv3MvwDzl6baN0tN88/cMOru0VwB&#10;/X+G7DwGzBBAwAKNbnxJfC463upSkd2JGHvJLnrLY1SCAIJhrmEv2Vk/iXJwLX3Xe7A2/wScE0c/&#10;r+8U1GsTxKPxluZMTXnVTrUYsMASHyN2UmzlrbKBZumL6b2nyfeE32W8QiS/RVu3q3jKxYihl5wc&#10;g8KddmV2bbfic43pcbWPNcZx5hr72lljXvZdbA+LG9fInNAvmew7143TpugSQKmgNBUPtFqKgRP2&#10;4duz50Me/Mp//c2CJ77OnjuPL09/i6mLXsQ1j5Tivl5VmsPDHYPbJP85xMgSdxkETI1ksUSMDWDE&#10;BpZJ+PPqTOUeXY+4FVPxv/7+7/D3//KPuKv9E+iWl4rG7R7X3mB/uKMemg/pKwu19JIihD8GEUCx&#10;WCd36ryie0vbIF4YOEaU3nBdVYzuV7KwmJjIRUXDXdfCcgwjK4x/KYDFF3AaFI1jk8fr0ZafYyQ6&#10;f9Zi8QVIomK1crddRsGbN99jte91K+eE8g5qO1MaTiEBTxsGZih4ap7iHpVMP7JGQ/HvpYkBlx25&#10;cQzkM++OH63Vur2uA5M4RnR+OxdO1WiMP8cZi+0l09TompwPoxnFm5fpLSxfbSwGxWjVcJ0/g1F3&#10;jol47V7nz8RbgNOZxEQBQ3P0mR2jzvyW+NUWbpeNTiNxcKN6FOJk7GCcS07AmrI5Cmw89VTe43My&#10;wsdaRcZ2KyR5zpensDq6nQDt9ZyOnrLq9Fkm55p4i2Nko+kivQ3ozZuy2+1WZtahp7WI8y/Pxz51&#10;bHxsAn1cv6yz9cbEsTjnZ1xE9o9Hs93KSh1TT9mFuDaYy8fyC0bZ5fcZNeLn+dwmQJJ2dJ02Fyeg&#10;NM9pnFalb9l+Jeq1ssCyLdyQ83Y0c0FZwoU3qVmj745uFu5sX4ltA5nXI3xr8woBJ+aomdYY/53j&#10;xIrn72g7Jj9rLFo7JdhHaWb7wLFSG+mHt3zmVMpQbbdiWjcqu+hHZUVRqE1RLduTGI/P4oagdcRi&#10;tEzYhvc/Oh3y3lf+628aPDkvAqjheftx3WNlqtwZP0BrExpj3o5j3gSPAHiLjrsQt8/WRWyUSvB0&#10;d8fm+G//7b/hycTeeGRQZ/zdP/2/2pE+5+W1SBBg9fuGNyNhZQHyjm105fPXJN4kiV1u6e2S+zpU&#10;4ETsSN0tXLKYwonASUDQ6uoSDYV77ShZiZmfYU+7b/3cyCKJUeAxAo1NhhgUN74OcTfMHR2L7Rkr&#10;4pJkN/zR6FTMfnq1giI3ng7x99NfWYdNy2apMbk0GiLGISkapxOS8U7cMDH6iYjuthA3t65GhwwB&#10;T2G3QLOFxooB59XeL5icaaqjQhLg9FZmuu4oGU0Il6s2OYX7eMtRx9cEHvkcwp9Rm3SRi89Zm2c4&#10;cf6YC/MFk7cJ+tx4OsSdrACKlwomqsEmufF0iPPLwoVa7sFU9Z0kz3cm2e6RaOved7JzzIevC+Ku&#10;rrIJaBNEoO8kzZuqYgHCI+su+Wxt4nvjhR+ji770lM5B9I1tgfw+J6Nex7QtkI/nFPDBo+2ZLNJq&#10;0lMZP+rXdrZbUT31Mf/i4PbPy9djOpPs/P3CHav8tVshiexMoJ6+t0y+u86Vp0MEvyxMupWyk7dJ&#10;dpmXc/KXm7ba8+9G6a+sx/K1i2RDkWieU5LI8GH2GCTNKcNtkUFN0XCIJQ9YZoY9VnmM91CUpZvN&#10;pX3zxBbUGhduXoQY7eTcGNeYjAGPiU/6qcyvaywah6dm6vP70T3+/hHZzPizkbEixzAsW79E5fJj&#10;36tXz8VZvTjiMsYyNm/EpuKxiBW4r896vPrmFyGvfeW/fhbgiS9WJe+TugM3PF6uJQTYbNdtwv0S&#10;jwHG7rLrHvHq/rA1we9VGmHy4XW4M6IZbrz/TqRuLMHUE1swYX+ZHtMRPM14exeadmmBmCW5AmR+&#10;fPCk+QB75DkHWKjf2sLuQeP0nPqyRSAOw263MkJrAHG34bUb4YLlrnDtqjk+qjGTEnRXxN0Rd6Pc&#10;qbvxJpE/32fu0Alt12HuU8fdHCM5M58299Ci7Nwtbitx6/8Vj1PxQ7Cqf7YmiDeKsJDafR7ujyjH&#10;HZ0EZIdugDq8OE4sQKc3/0zASZwHd/avTh6nCbA8Kqstn0PkTcPJ6I4aRpPzocMXg87IRI3MCY8y&#10;OM5uvEk6xi/bSdO27B5GnWMvv82ICpuJqmwyfm58ScpbZGepA3bdNxr1kO59LuDTq3AnI6k9eQFC&#10;5qRRiyp0GV2O7GOy4xcdr/1ZEnnYkdNqbFg+21zdXp8zXp+TOSwKnHw8JxOsT0z016eOUUkW7tR2&#10;K/KcbnxJKrv8Nm+eaq+3ywB+LQrNP4EEcxT9tFuh7LxtSCBnduq27GxpRN1lJMyNL8mRfdJzAeyb&#10;Z2q3IhSafx6b8wYpozQm3eXaWS268rWp/hgptO7Y5oagb9KJGrQeaWmxY6ZssO5dr1msLSgbo1cE&#10;pG+oxq3tg2jRcSU+jJO1oRFo4RMaY7btYY0vU7sV6h3HmIV0fRWY1TUWq1Fa8vWq8ea8P5lrbPJ4&#10;X2vsfGwsPhbgWyJz7se+U3+0uTQ3k5cBJ5kz2YS/EzsMvbsswh9bVGLi3Oe0APYv5fWzAU98PXf4&#10;YzzSa60YzwrErwr8RflPGnlabOmug9f403cJoKojCdiL2ES15fCBuLN9MxS8sQ3ZL60RPmJYxOgx&#10;MkXAVP+xe3CTgCsqJf/Njc9fi+hwCApbj7FQr3UQ0/sU4IKGocOMGReWGAXuPhdtWOpZEZf/TofE&#10;XJTNS2eYd31qcBLwtfzl1XddlGJQ3HiTyJ+LljVEtJWAT0DCHlozZCdvBCTCm8cru+c7/b9qOSQx&#10;CBk9Z+OadmvRsFMQ9/SSHagY0kZtLdWTCfvsqKfdhNO+eXKSV9FjzHIyCfvw1Cy9DsyompuMJEdO&#10;Ju9q1IbOh+Poxpck7/EIgfV4GF730wqCrUho1DXx3Muok2T+mGvGG1hMvvfqU6eyy7gwqsKaUsb5&#10;C+kejwy1cKeH7lGXs2XND5pZiTtaVuK2LhYGLJRNlMhU+7PkQV3jLUuCCZY78KOnX4kT21k8VZ/B&#10;BD545MHr82+w6nSUef6ZS8ayCH77FDKJ95k5k80RJ5VdQP/QIdiwYpbKruClFl+HOP8cG16Q+IyJ&#10;5zxmdOPrEGWXsWPdM7v/mwk41SD3QJXdKobzb5CdR0FMgGcy8vjD5iNM8md0SoGTSXflt3XdyTqa&#10;GpI9l21FKi3c093OcSKIYlFj3rCmrUy3KlCvbRAdOi8XHpRdyFljstZZbZ3gsS45+e/OURhr0Z1m&#10;nSzjGmNLKibI5ytwpG658SaRL9+nHr3KNWbSPeHL/L53BPgWy0aPY+Alu9p3Ab7cXGqNvsvWjfAT&#10;QPmOAMuorsX4Q0sLQ3P24aNPvw556l/G62cFnvhateYEbhXD+cDACi2kyciKmxLUSc/ZRnjKsSC6&#10;5ARww0MBdJ8SQP73zKMieLq+aSP8pv4NSFg9HSnBuch4plwBFJPH846ux12RT+G//4//gd4zx2LK&#10;q5td+fygJM8X/v8T9lnoPi2AG9tWo2/XRZd2FRfDck4AxJ8y02Vhmasx0yiz8vGuBU7+jZdDEpL3&#10;2UqAoXt7N1O3UbANYzWKNy2x69cYgZPstIVeyZ0QckhmUMZr7Lz6rAZBDNalPGkU4tCdJQna1uDR&#10;uIAeefaZY8nciYEI2vlwlJHPwhtSJ5lkHm1yPnYdlefEmbBPGXejbjKSbMNZrUcpGrWhnHSObnxJ&#10;fE/4O61iuKP02rVTbrbbqBLnw952no5T589ul8P51jIKIpsbX5KCMnm2ItGjP7FwJ406ebjxJonu&#10;sUzAWxljNOHXj+4VPFuJHUUFGNZlnnYD4LF71KKAOsTwz3IMmS/ChHm7SKvXc8oYyvsnWdZCNgR0&#10;zqbnpIMpoZ6OC7WVcePrkDwjW5bwajoLEBr1VMBpgXyO5SJ0fuT7rnxJKns8Pk8dhiALzBqBk52b&#10;w8/aoN+su0x+Zy4Xb5P5WWOMTLEFkh/Qx9uO76WPxNJQxXvycONN0ucS3V0nAJG3xDzBMEnkZp2y&#10;Q7NzNIJ7iewyh3ErLDw11C6IPHKr/NuRaizbthTrMvL0yC6i8wqbT4KMv/DiGuMlFNMao24w3WDd&#10;ytl2nSyfa4xghce0xjUm+jmPNwt9gfZ4nJNNwRsT00LV9usGp/x3/jZv5jLaeS4k26U8Zc4EOL0c&#10;PQq9OpeInRTfMmwb3nrvy5CH/uW8fnbg6dRXZ9Fn5A40al2JJ5KqMGpL3ZXIdacaotrvjdxk4bFY&#10;e9cRxbo93xM8sfN8r2ljcHvrR9Esvgfu6dYKzZP7Im3nCgVQPNYbEijEP//q39ExcwimvrbFlc9f&#10;RPJ8rFeSWG4herE4+WpLEyGjlloYJM/WOs1C425C4mjK+8tu0Ml54sISA8Y2Fkxc9SqeaBtG1gAq&#10;x/5CH+1WSLKj/EwMNI0dF6XJqJOWsYYIjxF87NTOyOJmXgrrEnkBEsrO93kN/0VxAmp0XY26AEkh&#10;5jfd2LoaTXsEtBhj5iELeQK2GXGic+CV8upVhaEeWmY5WaGbxxfsLk9w4SYjyTaMdh+qE5NC1c2N&#10;zidea66wFYQpeZfjz9tLzNWwW0EYZJf5+1w+t2nJDHValM2NL4lzx/cXb1iMd8YKoKDD8AROdvHD&#10;17LHYYFP3SvYV64lAC4kJeCt2KGY0HM2bmwZRLOEgB5NcyPFzxL8qJ6yLZCrAwgjvi/j/OnwoTKn&#10;drsVPoubHCTVU/lLoPoBiyeagJP8trYFmpmj8nvNvz6nvG+3LBnva/7Jn8nbvOlqkp3zz4hxdekc&#10;GziZwEdI9v1zcrRcBC82uPElObIX7vTbbsWOOLJXHGu8cX3WNf8k6hbLpTCK+I0evxpsj/A+lZxs&#10;V2uX77nZB40y7Qxi/DMi/2G7R+a7E0fj2f5jtJ1Lxy7LZIyZGM6ojbkdk617tpxMJP/aD8CT97Ul&#10;1fKQjTToHseBR+1vcY1pRNqFp0Oyxlg1n4nnc1mZ3ccaI/Dl5lKLG8sYXsqT9jEeB6PT0KnjYtza&#10;cQ1G5D+DF499GvLOv6zXzw488bX/hQ8Rlb4L1z5cpg1u2XtOE8hDIIlGlP9PYJVQyiupofflPR7N&#10;EVg0S7SLR7L69ri93yOCFUas7TRhXxnG7S7Vm3d3tHlUE8b7z8tEz4IxevvulkeaIm37cpGj7pD3&#10;9yUm0zIqwt56d3WqwkMxFu7rw9ILVWjSOYA7IyrRo9Nivab7abw4TZ7hhxYWw9lsKutlvHRhyfuz&#10;nl5t35pyXVi1SIzCxyOHaYRDjYKQG28SDQaBA/MdfLXrEN7cURLEsb2BETiJ0Zi3bTmOCUhUYybP&#10;7spXiLuqzQMmIDKmVAEnexZ2EB1jE2iOAcHHZjGMftutfDl0CHZorSL71oybjCQHOC0Rw/hmpr92&#10;K4yWsE7Wwk3eoXgSeWu7FZHFuGsPAQrWvKKjJV/T/JE/85U+SBuJc5w/Hue68SaFgNNR9kj0WY2Z&#10;x4DPCgBR0B4v/JMHamXxG9rV6KagW35Ai2dmHrb1lDfNzO1WhERWtvjhUQzn18t52e9ZemRE3faM&#10;KJBkDE/JWD/NPoWhm4lufEnOczI6wCNoP1EbPtv7Y0dq+xATcOJv06mzCvhJdu33sX4pu7ZbeTag&#10;/N34ksJlPzFprA/gFK/AiceAbGPC71L/3XiT+L4C57l55mrcJHmfNd4IYLKf9W4VM0n8wcSXqjXy&#10;Zbc5isHMXgW4vv0apHSfp7r22qR0vY3qZ40x2rlrwRRzu5XQGmMFcG1JJXPnb40twHt+bKSMwRn5&#10;++L0Sb7aaXGMtJ1WwcQ6qu3bwGnroHFo02EpGnaqwZSSl/DhJ7+so7rw188SPPG1+9n38XiftWjQ&#10;rhytx1QhsTygAIlEMJVYYaF5SkBrd3QU58fk8CmsCv2CpQUj6z8Z0PdZ3v/75DrVJgIoEm/fjdq8&#10;CJ2yhqDdmFi0GRWNNqlRCqCYQO723b+UWLqBILERjzEiqtA6cgXSu8/W1gTTe03D3D5T8GL0KLvw&#10;HYGTLCy7j1G2RmO4cLwWFhcendwRAVp2uxWD8ZKFzV05nalt1N15k2gwuJO3VhfiE5/tVghcGOK2&#10;AUndBod8WbiTO9s3M0KAhPK78SXxPfnMOxNGo6BmJfouqsbDUXYpi8eHWMjcUI59xfkC3OSzPAZi&#10;4r0SjWQtvsKHzVS5o+RVdy/DSKdH48jxYhRJnYOXnHRMsbHaHoF92bwMI4mgbcp+Oh8f7VYUUMRq&#10;yQUt3ClzZ4pmcA60FcToVLzRszdGN2mCVc2b20CnNoiS36YOabsNMdZeusff5rOxQCCPvAiGeMz3&#10;aswI7IpKQ2m/HNSLCGreClsq6Wd38LOZNnDy0tPQc7IhNjvf+9FTRt84n58zT4y65MbXIXmfwJkJ&#10;two+POefCdAs3CnA2Y+e6vzHadSG1/RNxRP5bHni1HcUF9gRR6/5J6nsydiwfKb5qFaIsusac3os&#10;esnO+Zd5YQkItjHhuHjpLueUR/IvTpvor+is/D7nh4VkKbvXuHPNcdyo5++O5bqj7HFY2DcfN0RU&#10;I7HrfByRNUad8rvGtJaZCeCFdI89EvnbjhxufEkcf36Ga+yijXTj65C8z0s8+2W9M0Ge+lHnGhPS&#10;dbNthaYJ2F0hOH/hJHMmf4MDstAsYjluE+A0Z+URfH7yTMgb/zJfP1vwdObbc9i89x30HL5djGcV&#10;7uldgf7zA4hZYqFDZgAP9A2gSccA7pe/jDCxjtOQKkuLYjbtJqCqix1NCL92/kPRZO5QxNCO3b1K&#10;6zuRsmTX5/bZH4IYNcs6wLolFq5vWY3CPlPxfkIiTofoKyH7xogshNh4DXvvKZpiHyPIovdcWGIY&#10;ues6kT1eHZcZOIlRSBuphf/I27QbZkIv69doKwGTURDezDFauzLUxsLDMPKZeIzFHeW7Ppt68jNv&#10;ZKarIyCgZli/X6Fd/6WeGIyi0bPw7VDhEx+DT+KHaM8spQEZOO20gSAv4cNaU8wr0SKPXgZc3uMY&#10;VVXM05wK24B7ySm/IeD0cF6G1pUyGXW+zyTfQzN8tIqhUY+Oxdvj2C5nqc6P0agL8ViWx7NMKh9+&#10;xx146ve/xyO/+Q2O9+4NDJF5dfjLbzNx+8CcyZr746l78rvUPc7fnzLT7N1wQixeE+A0sGsJ2nZa&#10;gfYdl6NRhKxzWcvxFUEs37pYm7LSOXsDJ+Elz8l8pRIWeZQx8gQfHAf5u2Ux2634AB+ip5/LeFTL&#10;/DuFO934kvi7BB8EcMz90eMoH3rKCA/Xpb3G3HmTdP73V2CfOFK/7Va4xtjgmXOj4EOewY23I7u2&#10;61DZDborv03gzGMhRhK9gDOJkR42d35lsk/bI7//mYALggzyJeBw40vic018nm2O5uKjUWwVExp3&#10;2Qi9FD0GjcSnPNK9HFPWrdIG6qY1xssdLI7qd429M3akHrXziNm0OSEpaPdjI+V9RpZ3yObSrszu&#10;vcY4f1wD7Ht4XoAj15jjK5zc2C/Ff5T2z8H9bVehcVcB+VXH8cWXv2zgxNfPFjzxxSKax9/8ArOX&#10;H8E9XapRv22ZViJnm5UH+ts3KKIWi3HtHKrlwSOsSJuYLM7O3LWTq38wkgXBcgUO8f9dP/cXEksu&#10;8AYYjy3u72/hmtZrsW5AptYp+m7nEDJosrC+FuO/ZfEMvQ3DRVnnwhJiYiSPkd7R/l/CQ3cktRZr&#10;OEXFiEMapV37td2Kx9hyUVMGJiae8mvUhw3R4xWTYXRkZ3LnR6yI69Mh8covj/co2yQZV4JS9lBj&#10;13b2w1oj4/q2gKSK/hMxuPsC3B1ZqR3a748sx56osXYUSoANix+ymznlNBlGvs/EUhp9dQ6ecsr7&#10;wv/QjEkKiIw9tMQwctfOgpZ+260wejBfW0GIUXfh6ZCTVM3+bbwQgKRk7OvcGU8IcHqpb19kNm2K&#10;xEaNgGQBG6FoF0sFMPGcRxteusd/5/zxOIqA8mLhVXFsTw8aqwVfG0ZaaBKqCH1bewtPDA/ilfFs&#10;8OvjuEue80RWmjavNj2nOlkBD9uLC+y2QD70lBHHisB84WtHDNz4krg++Jy8eKANup3ndONL4nPJ&#10;Z45MydBK1QqcXPg6pE59bxmeF33RaIhp/kV2VubnLTw7GuItO8ENm0HbzcUNssumgNFANsqmU/ea&#10;fxLHZe72lXhjYjrOcVxMtkfWxScjh+u6o2xesuv6ls0tuydwri4Zd9Gx12NScS9Lk3SWzfZiy+5h&#10;6sKH8nOMeSx2JJ+V2YWHcY3F6mWK+VvEzhhsJMeI87Bl0XTf7VZOC/Bdv2K2phfwu3WNsdpImT89&#10;amdl9oRobX7+WtxwrJfN4MSeMzWnMKPnLKR2L8SdLVbIJqUG5Rtex6nT34Y88C/79bMGT87r5Klv&#10;sXH3O0jK2qNRqAatKtEuPYCsg1QUu2kkc6PYWoO5TuxdxxtofzXg9CPSZAGATH4nQGQLlrSec/Bu&#10;eG2SsIX1lQAn1mXSdisCDLwWFg0jQ8ofpqXigsmpczclwIk9mLTzuckhyfs5BwPaUfwb8vVh1BmK&#10;Z5KuOgyPeeN7LJBJh+S7/5uMDY+RwlvF8Ph3/J6gFs5jT7tWnVdhdp+p6NhlKe7qUIUbI6rRo+sS&#10;xHYvxk3ta9CzyxKcjhqMT8ba7VY0WuEhp/M+gezFoxQvOfm+OCjmffAKuyOnG28S52+mGHVGKOwe&#10;Wh68SWLU3xBAMZv92wygzAEc7Dv2lTN/KSlY+dRTaPqf/4lne/bEJ9HRaH3NNVjbti0uCLA6O2IY&#10;tq2edzFiWBd//jtlX7GmxG4FIXPznWOLxep+2WjYzpKNQgADF1q4u6+Fm9sGNRL1WZzMt1s1aIfI&#10;R4ATQbKfJsn2+5bm1n1NHfehpwTBK6vNTZL5HgFCsKwQJ1N8zL8Cpzi9gcdkeFOfOo4hgfMrF3ss&#10;evAmyfxTdpaLuLjGDBGnIBPP/eiuzCGBEyN3ToNuL9lZBoDHSKwpdd4Eykgy7gTZS9Yy2m1Yd7Q9&#10;IsMe2bSdJrC/zLbF48v4RAzpNh/1ZF3zhILN1fXSURhfR095pMx1Y1xjaiPZy3Osgi3T+qWcBD9s&#10;yM7yGUbdi2XV8GSNdvP7JvtO4GRVzsMXqbI2ZYw3DByPIV3n4bGI5XggYhVua1eJRhGVstb4twp9&#10;R+/C+l1v4+tvzoa87tXXFQGe+GJPHZ7BllQeQ9NOQZn8KgVN2spFFIm5TsyFGrfb0p3klQCcSLyi&#10;3SXP0n5M93SoxOHoUXrd/mK0SRcWI052uxXbuHg7L11YsghPy2I0Nk4lCXB6JWccpuxjY0xvo0Bg&#10;lSPO/1m2Egh3jHWRGPXPxagzxM3vevHme+lH7Yq4Xydzp2bgrw4pXkGckz/l8Cd4yjwQxOMJdn7c&#10;bW2rUL9DELdHBtCm8wpM6zMN74uzHiVg9br2a9A1cgleG5uORVvtrvvUL9Yhcy4qhBN/h4aRiaVM&#10;6rzcgNeiOPtWHdut0DF4zR+JRp25UKzrcl525J68aZgHxWgPLd60MQEKp4HzszMm4dvw+UtKwnsD&#10;ByKhYUO0vfZa9KlfH4MbNcKd//Ef6HL9DYjuFoHkdQuQ//pWTH1tM/KPbcCUE5vtlkUhJ83fpeMs&#10;FfDxReowLZz4newJMlZx2s/uhtbVaC4bobHi5BfOnY9t/cfjWDR3z/xsHc8aAvgv5Wfac218TpFL&#10;gN5zzLXxo6fC+9ORw7F4vX0M6MWbc8jn5K1HO3/OMP8hPWXNJ7uBqzd/gjIe6bLOlt92K5/KeBdv&#10;YUsjw41NkZ3AiUftvInnBzjxqI7P6kd3WbF74eZl+JitgvzILvaBeYK8us9IqxtPh2ibcg5V6Xq/&#10;mD91GX9Za0kDUdinANe2W6OXEfrNs/NpHT6Un2NMObUJuklOXWNstzJeo24TDMCJ73OcDszKFt0z&#10;jC9JwCNtNTeMBKZcn3Xx53vcXG6omoPPZDO9sd94rdV0a4tSbbQdmbQVBUtextb972LXofex8+D7&#10;+vfTL775RfWt8/O6YsCT8zp3/gKWBo/j5qcq9CYdlZ5HW1Sc2ruHK4EInqIW221mbomQZ+010z4+&#10;chaWLGw2gGTvORYg9FpYjlEgcGKy78XjEodXbQo5JBZ+zJYduh/HS+B0RHbD5+V7fgwjO84v2LJc&#10;5fLirUbhsBgFMeq6W/WTOySf2Ts3X/m67QRZSXzYWtl5Tg3gseFBNJEdWFk/MbyyOz0njpzFRuO7&#10;L8BNbasRHbcEC/euQNaxGgVNPBIeEgxiFCuSE0QJLx4DcoxoGBnN0Ma0RsfJq9Ls9TVTn88rFM9/&#10;J/At2bhUneEFMarGMRajflyMul9AQQfIiwPnter7pbwvJCbirICoU/FxWN28Of71f/5PjGzcGJXt&#10;2mGw/K33+9/iwbhuaJOVjC4zx6L1hESk71op42L/LmUvt+ZrX8XL+pSJTq/sPxkNO9iV8m/vVY3V&#10;y+bh7MhkAU0xekvSBJyenxaqju7jOQlSOC5uz3kZRcXi41HDUbRN9NQAPqin1OXNS2bojTM/88/P&#10;MEeRwMUkO3+fNcLeHTcaF2T9mGW3e+yxwbNxjcnvEzgRxCsoN8kuc8iIE5sZE5SZgFOabHy4SWKi&#10;/QU/oF+e708ZYzRibBp3RtOYf8g2R6y0XfeGJU7THlp0WoUbn7TQLo3FmK2L5W74GxwngmTaJr9r&#10;jF0CGPH3t8aqNaHel+7JOJ0aNhSrWGBUx9gbOGUekfkrn4nnYtMQ1XEBbmhZgRvbBhA7YQ9qtv1J&#10;AdK5c+dx/sKFS+jq6/LXFQee+Prgk6/QrN9aLabZNZ8A6i9r5fK3THTwY3eLY+8SQP22lh4tKXiS&#10;RUcHxH5KK2tKPA0j/50Llgt7zarZdtVwGka3xUqi4ZLd8DkxHLyxx90Ov+vGm0T+NArcdR1juxUC&#10;Jze+DlF24c3Ec+Y90DC68SWRNwEFa9AwSZIG1Tt8Lu/Js52Vz2glaTGqlN+NNyMiBD05b4pDWrcc&#10;Lw4eI98X/uqkSfHo13Ux6rWvxl09LTw82NK6UDHLAhqxYr+s+/vYzUZZpDRtXzVmPFeBIzMnytxw&#10;jrzG2JbzW/kdRtK4W6xr/kh8j8aTdbLYoFnHwY2vQ8L/XHSM3mLirSSNtNTi6ZAzf7zqrv3bTPMn&#10;dGHEcMxt0RzNr/kDzlGfUlPxeq/eyL3jTvS54Ua0u+km1PuHf8TdEc2Q/coGZIh+Bsvn4cxl7TYS&#10;cF70mfkYPBq9KaIaj8o4J8WW4PO4ITLX4Z+tRY6eyljsn2O3W6lzroX0OQUcMPmXR9B+263weGn2&#10;Th96ynUi+ka902c06qkNPnYWF9jFL0XP3XiTnPnn1X+Wi/Az/5T9rfFjULDX3G7F2Vw8zVYx5G2Q&#10;nRFrtjFhqRJTNIvv0T4xTUBrOBE4ufElcVwou3yGbY7YGoffdeNLUtll00bd1f6QXmAnMQ6vRI/E&#10;g5FluiFqNjiA4evtOoLkQ2DCdcCSKqdY7oG83Pg4JL/DNcaWRix+yTF0k5FE/s7m8qj2SDS3W6GN&#10;/HzkMCxjjTcf9p2+wlo+Bwv75qFp69W4Tp6xf9pOjS79ktqq/FCvKxI8MfqUM/95XPdomd66G71N&#10;FoAojpti/dxJc3P2BfFwdAAN2liY0WeantkzqvERW16sM/epU6MsuyIWQ2RH+0udlwuF2nUw/8Zx&#10;CG68SeTP93mMwBsdWjWcTs2NL4nOTgwjr2Ez/4bRMje+JOUtsrOVwJ/T/4s1WJjozOf2MmjcqfH9&#10;JbLL/HhsqvAId6Y0wPEo6jsF9zBxvH2lljS4s6NQB/uGpyYzy781bGX//wODg1iQMRuB3ll4LyZF&#10;jDVldTHkKqfsKGUHXlVZZARONOqch1XVxZrw6+k4Q4BC260U5upumInnbnxJOsbiMHik91p2qBWE&#10;1/zRqMscfDJuNAa1aob/8d//f3i+Sxd8myLPO2QILiQnCyAYjLOJSchr3AS3Rz6JyQKeNqyYLY7z&#10;cuDE/lkvxoxCQvcFaNAuiAd6VqJihujpMH7WAPBDerpr/hR9BpPzop4W7lhh1/uJMjgv4ctj5xM5&#10;4+3q9gY95fxkHwromrGBk0lP47TI4pYl0+W73qBPIwry/tK1i+0bmybgFJKdxXGnPlMhstddQsWR&#10;PfdApV2Z3xdwitejdo12CxilfG68SdRdjjtzv7SGk8n2yLixq8DLUzN1M2a0DyI7c8ReKphogzIv&#10;2QWkb+o/AXfKWm4otjQyM6C1AvU2c2iNEQwai+PWWmO6MfWYv+/W2GqcYI0v6p5hjTFq+f7YUdpw&#10;mGNMHnXx5u9PeaEKi4rnY1DXYjRoXYXHBmzEsupX9db61df3e12R4OnEn75A84Hr0ahdJXpMs2zF&#10;EuV3U64rgRgdSSyzcHdPCw0jLEzvWYDj48diySZ/LS946427Ya3L48N4nRYjx9tH/C4NuxtvkgM+&#10;eOxmt+swGXXbMB692G7FbBhZfPCAT6NOh8QGnay9Y8vu4ZBEX/gb3A1/wsRlV2MpTkj+Hogegxm9&#10;C3BHpIXGHe1K7iQW2GzaPYA2owN4NMauF/VQm9Xa2HZIjyK8GTscpylXOIDi/wsoYPLuaqvYF3Di&#10;+yx1cIpXmT2NOseArSCStE6WCTzqGItRZ3XiN9kKwuSUQ0b9gwmjsXz9YtzSvhn+4V/+Eetbt0Zl&#10;y5b4U7/+ONqjJ6xWrVDVug3uvvYaDCzJxt4VcwRMyfcv0z3mOSUgrWchftduHRrL+E6Pn4lvhwrA&#10;94w4ffecTFJmtMDrOW09rUHxpmV6hdyPnrLdCluQsGo8a4m58SU5ejplX7nmidnAKWy+a5PKHqcV&#10;wHlryhQt4/yzV2NVRZHeNjNGQ0JrjJX2tWq4jzXG+kXM/fKzxrhp4yWTFWvsYyQv3bU3bUGtJ2Xs&#10;PUiS32YpABZA5TGzadwzX6rWUgdH8zPscTHKHovX09PQb2IZ7o8OomHLAB4cEEDq5iDyDgc1Z5S3&#10;2Twr8ytoF90TfWZdLb/ASdeY2khDtFOe4azM3xuyEZ0v3zHZd0a8ph2swKrCQnTouBQ3tQkiJW8/&#10;Xjr+y6wK/kO+rkjwNHnBC7jhiTJ0yAioEjk5T1cysV4V28yw7k3j9lXItMq0V5PXwqJR5pV3FnZz&#10;75xdi8QonBySpBEqGj6TUednlqxbZBego+H12k0Jb968YxVpTaqU3ZQbX5IaHHF2jIbwlpy9ozRH&#10;nJgHVLNqjho0L9kpNx1STWmh7qA9jxEU+ESjul8WGnWwcHsHO+L00MAAes8KIHaZhcyDQQxbY6HT&#10;JDHGMUHcNyio1+v7dF2MDQMn2Mes5BNynKyyzro/4wwNfh0516ycrXki3scdQuKcvhDjv265P6fM&#10;z7BlBes+mfsMJmh9pTey0rXn28RXN2FwYA4a3ngtYurXx39d/3tE3XMXWv/+D7ihaSP89o76aNO3&#10;I/bNmYzzLHXgqnsJepuvoNd03C5g9J4uVRjRqwgHBo3BBY3a1f68EMdQnvMzAZIslJh1dJ2sg3Wy&#10;wVhjlwxxe075d+opC4MaAaLokbZbmT1ZHbjpuJNHRrz1+LI6cOop9cWFLymkp8yfsni5Q77rqafy&#10;Xu4huxWIOnUf65drjAnT3DAxYuHGl3RR9qdL8dKUTDP4kPd4VEeQzbpBHBeOrRtvEsecxWO3L5yK&#10;bxVwGGQX3foqKVFtFUGfl31wbM/CzUvtiucmwErZ5TOvi+xsFTRR7OaIDUE8NMi+LNIqI4jlK+bj&#10;S412esipayxe19iGpTONdkZBu4wTx+tttZGmNUbgm6D5UyxVYYo48bdn712NldNmY2DnYtzcUgDn&#10;7Gc1+fvq6y9/XZHgqefwbbj+8bLvbtvVUqwrkXJlZ5Qoz8saVnQ0SUE7Udnts7ZhtHu9sd2Kex+j&#10;MAo5XhZCpEOi4fM06mI0+BurrfkCBMQheYIPITGc3FHumZuvuQkmh8T3uaNk4rmfHSX5vy+OkTWi&#10;KBvJjTeJoIzVmHmsp5Eco0MS2YcmIm/UaVoaTwAA//RJREFUPDTsyFueATwaK+Mvc8EyEpwXJpvy&#10;2DhDQNSIHeI0Fi9Dt46L8et267WPnpZrGEynHa8RusXrvXMYSBx/JjVvEsf5Fa9cexl1kryv/dsE&#10;ECpw8hgDvsc5XlFTgvfG+Jg/MeoE39zhM2ma+UuTBPg9HN0FMdfdgCduuB6dZqThqeEDcMNdDTFo&#10;9XSMXzUdh+iUFTh56J6ApI9ikpAdW4gHBHj+vs06jOoxF+d1vGrNO8dRnvOj1BQEKuZhvIx76tal&#10;GL52PkasL9YWSlrlP+TUHV1YZRWH2gL5AE7iwNn5nuDDj56yZ+QxHnf6BE68OeZU5vecI5kfXrnf&#10;tmi6fdTuQ095s2/3vDwFLUbZhT/nkrdojbLL/LMWk90j0181bqf5rN5685p/krx/SjZtOxdMUZ33&#10;kp3AiaBl+doSvDUhzV4XPmRntX72FNRInPDIPRrUpuDsb3ljuxpk95+Fs/E8yvWQVddYiq4xR7fc&#10;ZCRRRh6XL5c19r6uMbPuMTrHUhWMynuNMf+d+rPg6ZUI5hVgQKdiNJLNWurUA3jng9MhL3n19Ze+&#10;rkjwNIh97x5bjX7zQq1XQsbySiZG18bssNByeACNWoVaz2y7vPWMY9SZiM02FnY5fgNwkoX9geyG&#10;Kwk+ZMGbjDrzp4KrC+3ieSbHKwbntDgkHhtOPmhoYyFE48YCc7qjpMNQ4OHCl8TnEqPDGzmsgkze&#10;nrthGZep+ys0L0V7U5mMOmVPFtkXFWDslip0yA6i3diARpl42y68IbWG7w/XYMmOpXg9ZyxSuszD&#10;dRFrcF9kBQL9J+HgoFRsT8nA/E3eTXJJlJPO5+n5+bIbFzm85AzN30cjZf4qOH/eY8D3Ob+VAj4+&#10;1GMgk1MWoy5OmSBc69eIbLw9lyU6cOsjd6PF7Q3xRKeWGC9Ob9zeMsRWzcb8PeU4PjsXF/h9L91T&#10;cBSLT8cPw7SsItw7MIib2on8vWZdDp6oB/KcjB6trC7GpFc2YMSmRbi3W2u0Gj4Qjw7qjCcG90JS&#10;xSzkiIx8TtZw0rYyI1jk0ayn7JDPm2YE+J56KuPLqABB8J8mjLZ5m/RU1uGbWelalJZjaNJTHldT&#10;FjviZNZT9qljU10CLm/ZxakLf8r+hp9WMfLbjDgyOsUNDWXz0l3yZg7Sgdk5mgzvPf9C8vus8bZx&#10;2Qyj7PacBvXKPjdLOi4+ZH+eNd5CgOQiP47/c0EttNy4q4WH26xG1YCJoY1OLZn5b2ojR2jRUF9r&#10;TKhc7Km/NSYbNLFHzxTmatFTjrEbXxKfn5dnSrYtw3OTszCsy1zc1KoKowoO4L2Pvgp5yKuvH+J1&#10;RYKn0rUncF8XdsWv0ibAV2qyeG1ilC16kaVn9cy5SVh9aeTNAU7F7NqfPS4EnDyMizreOLydPlJv&#10;cRE40biG/2Y40SBoDgPbrfA2ihreWjzDSd7/KnQMaDTqQrzNxLYvb40Xh2QyjHwu+Qyfc+GmpSHZ&#10;3XmTOC5TBJCwlo6v5qMi+2lxpuvlWXkFOuulak3cd7r7h/Pm75I/CxCyO/u52HiM7zkbN7evxq0d&#10;gniiYym6dVqM1r1LEV9RjfxXbeBFPlriIExu8mFbHeZ52a0gDIZX5o/RI0YzKIfRqMv7a1bOwWd+&#10;5k/GiDcz9wvYdIx6uOOMXZKHHjPTMWLDQkyS8c84shbFO0vx6uTx6rS8QTt1Mw7Hk1Mxb/FCNEux&#10;tL7TkO5FOBojjjHcgYUA4p/Gjdb+cJQj9/hGJKyYipsfaoKU6nkYVJwt4Kknbn6wCTrmDNN+c5v8&#10;tgWS97XX2zIBXqKnqudhzxlOHF8CJ861tluhY/Shp6/mjNd1SdmNerrPBvja4Nmkp/L7lH3Nitm6&#10;Nk2gj/xX1iz0325F5vBZAc4EHzzm8wJO3Pjwc0ze5i1ST9k5p/L7bHPE0inckHmNOwE/f5s3U3ns&#10;6Ud25g49M3tync3Fuf7Is99cC7d3DeKBDuWolI2O3csyjFc0eySG28hL+YQTc5D4HDWlczQSbMsZ&#10;xqs2iZzsU/f0ArsyO+evrjHmv/M5Fm9agncmjcH8Xnmo17IcfdN24Y13Toa849XXD/W6IsHTi8c+&#10;QbvYTajfvFKrif81+tf9rZE6WKHO2fY5PROUx+21IyB834nacEf5VkZaqFeUh3Hhghaj8GZmml5/&#10;5qL1MgoMxfPmFhORvxRQoYbRyyioUR+iOUjZh8QweoAy/i6BE1svfMg+VMaIk22Yna79NGheRp2R&#10;HgKSZwlICJy8nDpJHDWrQtOoM3rhyO4AnnDejkPSau08GlKwk4ATscMxssdcbe/C1i8NBEQ1aGvh&#10;qaE26GVBV970GWLJfz9j86Wc6nymZuGMgos65FTjLhQbo/lKnHPKaJo/vs/8GV/920K74V3FbLfi&#10;3m4jm+MilC1zp7q3YYnmRPnSvYQYHIpOQ88eS/BQnGwIZDPEXL7dUeNwQXPEnM8KH9HT14Uvj8gc&#10;AJd7ZB2eiO+JRwZ0wvQ3tyPv6HqM3roU//hf/44HI5vjmUUzQsey5rlm5INzrX0KPcbQ0dPv5lp4&#10;G/U0To87mcPiR08JUp+bmW03ePahpzxqr6icr3y915gdcSqvKtIopd5k9AQfcbr5Yg7SVFY893Dq&#10;JB5Ds/4Uj8dYJsRz/kliHz5S0L9AbZeX7M5vM8GePQWN407Z5f2dC6Zq/pQXKFMAJdQjpxK/b7EG&#10;KQLeL4IntZExetTODZraSBceDjlrjJtF5kXZcobJVZsEWPFIfqusybyD5pZGvHnI29XvT0jFngFj&#10;cW+blXio73o8f/TjkGe8+vohX1ckeEqffhC3tKjE44OrMPbpyyMBVyoxStF3rjjiFvYtr04CpMbv&#10;lfdYzkCMOm/AfCg7JC3O52VcQsDpxKRxsDvfextGOiwu7n2Fshv2DT5o1IvU2Hg5db7P4pA8ctJo&#10;llF2eU+MzktT7VC8ySFxXNh5/OWLgMSDN0nGheUAmCdDY2aSnVEI3tLRTvyXyB6P9+NSsH3QOAQH&#10;TEKzTqVo2D6I29vaPRhbjgjg8fiAtodpPSaA1D1rMHf3Ko1QeLeCEGAWk4ojA0fgcMZYLNy1Ahkv&#10;iNGuJVs4abRD/vJKv6/5k/H9NmmwAq3JBL4eRp1OmWPMIn4sneFL96IEtOenY3ThSjToGMSdEZWI&#10;6bYQVf0n4pQ2uQ59n3zEebF2GPP3HOCkIFZ+9493NkDz5H4K4NisO1cA1GMJPXHjzdei4PHHcGEw&#10;eYX9dm2Suf40dThKqxdiovDwnGt5jwAhUDHXnwPn/KmeZoUqu3uvMY7hTNFnHrX7bbfCCxLL1tit&#10;grx423q6Ro/aNRJnkl3e55Eb+xRqj0wZGy/+446swXwBtm8LyDD2qeP8i314j9fwCfoNa8yZ881L&#10;ZvprcyRjTtk3L5kumz1vUEYiGC7fuhCzUmbhV63WY0j3+QKeQondUTF4LWss5rClUUgONx4kvk/g&#10;vVPWGG8r+1ljX8nzsO8lL4V4tlsRvpw/Rpc/TRuGT2KS0L3TItzUzsLKNSe06OXV1w//uuLA08bd&#10;b+PuyCDukB19Ss0vI+rkEGs+sWcfr8azrhDrDY3aLgbiuL0b/jw1RWuweBoX0iBxSLnjtQCdyShw&#10;t8oEa956+9YPbzE4n44Qo77WzkHy4k2jkC6GlyFu5kVdNIysBzRUHBT/hvNWhxSv+TfMCfFy6iQ6&#10;O9afYq0eBSQm2emQRqSIUV+iUQAvQML3aHgZWbOPV2pHy/jfCTgrIOpMYixm9JyKG1pWa7I5C2xy&#10;/lhgs3HHAG6LtDB54VK8O5FHfrX5hJHsiGsGZOHhjuV4qEMZ2g8tw4gtohd1XBwgOccVz87Kxhka&#10;dNMYyO+zHhPbbXBsCY7qNOpCHGPmoJwU8OhX947LfMw8VI64QDXu7GJpEv7z0WPkd6NDnd7lc3Sy&#10;Wrk5A/k8zqilp5MFcEdmJOL//P7XeGRQJwVP/LesZ2V9jI3H//mf/xO720YAw4dfLgNJ9PTD0al6&#10;Y8u0BjgGLDLJW48Xj9K8njOkp7xyTz018ecYzmGdNNnM+NJTyj5quJYI4fwqbwEKbrwd0Lduhciu&#10;iecG/iHwsUnBh7lPXfqRdVi0YYkepflq9SRrjNXRw6OIbnxJfDb2SuSR1jc+ZSfw5Jp0okBufB1i&#10;mZBlGxbh/dRUxHRagFvaV8MSAI+kKBnjaO2RyPwtkx1z5oAFhc9wDEzAl1F52Siy/ATXkOcaC81f&#10;jQBfphEwYjurdwF++2QlBmftwVdfX+1F99d6XRHgidVRX3/7JGYvP4z7u1ajfosK9J8X+MXkOoUT&#10;nzl9l4UH+rEfWwCx5bIrK52Jb8So+3Ne0VpniUbJ1IOJxo0NfnkNm9WK/Rj1T0aN0Bs53Cl58abR&#10;SBfjxfypszQ4jBLQ0Y0Ygc8HDcIzkR3x4cCBAhhC0QP+thidQzNztBghjaMXfxocHpW8nTEG52Wn&#10;68eofzpymHbiZwmBupwRib9Lw0uHxLyKy4GTQ/w3obgYfBw/BKOnL0fq0zWaN5W6wULXXJlDlp4Q&#10;ELxjcAYuJMjzCoCwd761+cn/i1FnTtC1EWtwB9uYNA8gYnzdDbAZ7aDxZbLveS1e6iZjGNH5JCdq&#10;hIIOwQ9wCghw+kaM+gXTMRBJHNIR0b38lwIYsqkaTQQ4NhId5pHmon65+EDGSJ8zBJxemJqluTBu&#10;TjbvlQ24r0cb/NN//B90njRUo05Zh6o0/ylT/t7S4iE0uularG/X7nIQLnrKnmV6Hfywtx5x/Aic&#10;GMnQ4yhfwClOk3/tPB6zns7dsRLvjPeppyI7j7u4KVA9deHpkCM7j5EUlPkBTjL+BB+8KeY1/6S0&#10;o+s094tJ7Ze123EjWWOs1k7ZeQTlxVuBk6xzAlDdUJiAv+gf12JFVZGOqRdvEm0PN0lfpSThm+gE&#10;dO+yWHtYTuw1E69EjdA6Wbm0M6aovNhQjjM/f07mxjgGjMrLBm1VTcnFDVpd/PnvlJM3oO3k+1i8&#10;Ej0Kd7dbjabda3D8jc9DHvLq66/xuiLA02tvfYn7uwdxU/MyNGhZiZ7T7ZL6v4RbduHE40lG2gig&#10;2k8I4MY21YgZVGKf0ZvCxLL42EuJfcu0lYAYBbffIHHR0ngx4nQ8x0e7DuF9QT7DBNrpe+pup8Cj&#10;FuaqTH5lPXKObcD2xTPUmNC5HenRA6MaN9ZeaQ//4ff47//y/yJV/psVq+mQeBykFc+FBw2WG38S&#10;ZadTKZZd+cdsY0H+bjI7RNkFWPAqO406QZEbXxJ58/fpkAj66Gw8d5nkLUadCerByiJMOipy85ae&#10;zOOUV4NIWGUpcGLT58c7rEZe7+mY1Wcq5gp9FDdUe+sxEsO+buy3t33QeDzZqVTbxdwZWaW3Ljtk&#10;2rXO9Oha1sNEcdikzBdqkH9I5k92zxjoY/7kWZgjVB6Y7+l8+O90quPE8K9bGSp+Safsxtch6p4A&#10;J1aN5nezjtQgfWdQ22PwGJPlN26MqEHnzkvxcewQAXrRuosnaHKba0aYWJ7g//nf/wt/uP0Wfd78&#10;Yxsxfs9q/O7WG3Fb60eQECzE39W7Fnf/+79r5XNHDuopywXM8NBTks61/DaPZdngmY7fNNccB+YJ&#10;8fMETfy+G2+SradrNHr0kSae+9BTyp6eqtEQL+DkyE7nzGK3fmTn/LPOEnOiGFGta/5JfI9OfVWw&#10;2M4h5Dpw4+sQ+YsMb8lGZpqPcVfbc6BS+7/puHBs3fiSQrKzTANvYRLQufF1SGWXsSPo4/Pa4x6H&#10;F6NH48GO5aqHDdtZ6LMgiJyj7jxI5EMbyjy5Y7Ih8NVuRcaABXlLNi31tcaoe2tlg2aXmonDObHz&#10;id3m4zdPBTBnxeGQd7z6+mu9rgjwNGvpy7jpqXJETgwgdb3lmrh7pRP7943eaml9IeZ5PZkcwA1t&#10;ajCgs4AnJg+7LVgSd/Gy+Ng5/tCMbF2UJuBEp8UckxNZ6XrM4srXIeHNnSHbrTC3oy7DyOvjGc9U&#10;YGDxJPSYn4Xx45Lxaf+B+EwczjcpKci56y78qsUDuL13O8SL43tqwmBEXnON7sYZ2dhWYlc8NwEn&#10;ys6kys+YeE6n4SazQ47sE8Zo/pQJODk78W0LC+zGpl6AlcZSgNOplKHaxmKc8OZ3w3lShwcttPT4&#10;roEY7GvbrcUfI9biGqFuXZbgSPRIfCgg6rXY4UjpMU9ruRA4FfSeprkZ1z5VjagSC1NPsN6UheHr&#10;LDwaF8DDgwK4J7oaM5Nn4cvYaJzXHnt1OCCRk1WjGTFkuQc/Rn2irL/NAh7P8/saNazFM5xU9+Jx&#10;cCZ1z96pM6rH/L2sQ0HEC4BkpfZbIqrxeGQpXpNd/8H5OXUCJxKLYVKX2o1LwL/94dcYWjMPU1/d&#10;LM5uPe7p3gZ3//0/olX9m/HYr36FXR0jAQJwzrXo0htZaRcbzbrxJvE59bhKQBkTpv0CJ7Zb2bx0&#10;psrulWtD/vwMyxZ8zDppJj2VuaPsvNxhAyez7HTq+9gqRmU36WkcvhieglXVLNzqDZwYKaFTZ8V7&#10;rRrOdVCbp0McFyFGvZhIzsRzk+wETuw9yONalZ083HiTVPZ4kX0olgoYSjcAJ8pOQFkmGwS7x17Y&#10;uCfGYHrvAtRvH9QOAb0LBaTXkRJiy1mNKfI8r7Kkig/gdF7GmHleCxjZNume6A5lZc7heT6/jB+S&#10;YrBhQCZubFmJDslb8fHnX4e849XXX+v1swdPZ749j4FpO1GvRTnixNDmHxcl+yVFnORZ6WSiSgJ4&#10;JNo+quuUE0Db9ACua1uD3l0Xy8KvwzgSOMnCO52YiKfnTwkBJ48CdEJseVAku2HWTjIadTHKNIzH&#10;s8dr3yYe1bnxzXlpDdJ3rsB94th+Ve9a/Nvvfo3//ONvMahJYyTe1xQrnnoKI+o3wPUtH9SowpwP&#10;9qLj9DHo/pvf4YuUIdhcWmhsvEnHzOdjy5PPWX/Kq8UCSZyhbdTH6Q0no0MS3sxfUWcqhtAz2qJG&#10;PU7zQNi02esIkwY6ZUM1+syzUDB8Dhb2ykWLTiu1RlTbzivQr2sJWstflj1oLf++qK84xMQoZPSY&#10;hT+0qEG3/IDm/g0qDuCpIXafvXt6BHBHJwv3tSnDpF4zcTwmVRwdnRwdUZgzkjHgzbh3xrMEgL9W&#10;P0wg375omrat8RwDkvD+KjEBu+fl6/fDdc++PWqh58wAbm1roVPkUmyKzsDmkulaFoK/Ff774ZT1&#10;vNiBVzdhwrKpuKNhPbRPi8ewTYvQbkwsGt9/J4bUvxVfDuARaJJNIgfz9RghUD310W4lT8DZIQF8&#10;6mB9ACfmfK0ptXNtPGVXPQ2iVPT0U165D3fgbhSSnc1keeXe5Hj5+9zEPDudlfkpu1lPGXVdKhsO&#10;41G7rAEC5zWr5vjrUydys9zGC9MnYYqsnbrsA8nRr7k7VmmpCwVlHNvaPB2i7ALcWYCSFby9Nj4k&#10;B5AExZboTcba9kFs6GfxQ3F/+zI07hbE2D02wK/Nh3IS4M3euUpvgBqj8qI7TKIn8HXardTm6ZAz&#10;Bqwzxrp457hW5btcs18nxuqm6d8eq0Ru8Qsh73j19dd8/ezBEyumPtZnLW6PrEDqRobs3RXvSiWn&#10;MfD9fcUxthSnGOqpdld3JoxXIUecoyt4Chn1L4YOwaalM3RR8ijB7TdINOg0MNwNa/+vGJ7f1+IZ&#10;TjTqCfEaWqex5o7OjS9pyolNiMhIxG//+Z/w4I3X49bbbkFc+Qy0mzgELSYMxqNdW+HeB+7C7e0e&#10;R+bBSkx7Yxu6zxqLB37zG6xeOl2crDgk8qojD0l3+c9ZWnX6C7Zb8WHUefOOvctYNJM7aTe+JNsh&#10;sY3Fajwvnzc6JAIS+X0eDS2VsTQ5JM7L5JcC2LJ6Ji4Ml+8nRGNBn3zc17EC94rOsykx/47pMRev&#10;xowQ/nH4ZkQCRsUswI1tq/XW5b297KMv3sJ8KCqA1A1B9Cu0cFsHS0HYkB7zsWZABt6Jc5oVC9Go&#10;y3OwmTOPODkGdcnpGHWWLNg9f2roqM5jjEOg/cshSaEGzfx+aIzlvwmctGbZYtHpdiJ7m0pUxeVg&#10;78qpCt75W7VlcEjBx4tBLBdn/5aM8a6I9hjYqCFuFJ2KuPEGVD7VAkd69bLlCCUZ61yLA5+2r1wd&#10;nxtfks61/P703atVN/wBJ0bthmvyrynixPd4s4qFO81tgYREdhZtZNVpAneTnnKMeTOMOY3GaBn1&#10;VGRn8jYTvv3oKfMkNy2dqbW/vOdffld067QA171OVwEP2XXTJvyLNy+1m4tz3MnDjTcpJDuPAXnL&#10;z1ck7lAAG8WWnOH33exDCDw9IOCpUWQQ8SvtAsQXi+FSb0XvJop+lIicf5rgtFvxktO+tcgLEvO0&#10;urn3GqOd4SUe1qJzjurIn5dOmMh+f9tVuL/nWuw6+F7IO159/TVfP3vw9Mnn36B9/GZxBBUYWm39&#10;4sCTE2XrOcNOLGZrlrs7VKJ358WaZPueJtnWcuZ0XmIgPhkxzG4lIIsyw8Ooc0eZ9Xy15gz4bSXA&#10;HSWTt9k7z+SQtP/YsgLMb90SO9tEoNUtN6P/8nzkv7pZI01pe0qRUDUb43aXal7U1BNb0EfA039c&#10;+zv0mj0O7cYNxrhdq5D/ygYxYPJbApQc/o5RXyu7YYbv/e6GWTyPDmmCYSfInTxvBnHnr7tVT+AU&#10;r0n7rxGQbF6mDqMuY0mio2bvsu0LC8JyR+I132nNwAxYA7JQPSBTgc8ncTLP8dFaEHHPkgIMW1WJ&#10;RxIs3NvTbhfDyvPNEgJ6DMjoLAF3jwILd0dW4ZaIoALtMT0LsW3QeByLGa5GnTcu2bCUY+Bt1O1o&#10;xoHCXPuoRp7R9flJqnvx+HTYUKxbMUsAg+0UFPjKf7O+FSvjp+200HJkAI2eqkRKVDFWrJ6vjsoE&#10;PigPj10+HM2ojYzXkCH4cMAAFD3yKI4RNDG/icd0lEXk5A2z/YV52uDXpKd8v1CcHJPadS685lqd&#10;Wzw+SEvVm64ETlxHbrxJlJ15PJsXT9dSGH70lDdQ97DdirYsMeip6BIvO5yY5KfdCsGH6GlWujZL&#10;5nPXNf8kPlu+yM7SBRdvvbnxdUicPht0U68nC2jxGnd70xbUTZtGu3XcvQEJZWf5isLtKz0jcSQe&#10;r7Fa/675+XUDJyXRlfgkpHabi8ZtK3F/fwtxKyyN6lJfWVNvzG6RN1iKXSOzcCraBkZndIPJ8ag1&#10;JgROiQk4Mj0Lc8W+ZR71Bk5M0NcNmgBlu05aiF9iHF6IHo2HIlaiac91WL32Nb1AdfX1139dETlP&#10;hSuPot5TFeg9J2CHUkOA4pdCjD5lHggKiJCdetsAmravwOw+BXg9LkUTiS/Z/dCoi4Ggc7FbCZh3&#10;w9z5sVbRRyP9tVtha5Oni/I1FO91DOg4pPlbluE1gg86tqEpKLjzLjTp0RZ5xzcpGCJNfnmtDYzk&#10;O7lH1mNokEbscVzX9Db83T//I/oVTsDYXSuRLuTwp8OgQ9qyZIYaa7NDspNi2UPLT489PtuijUvw&#10;emZayCHVMpDhpEY9Dq/kZejRg8kh8X0adTpHG5CEyy6/w0sADrFVibzPTvyMIhIsEpAMX2MhZinb&#10;xQQ0Dy5tu6V6wqJ/2bJOSivmI7/3DHTqvBSPdSzDHZEBLXMwuNt8HJiWjQW7vfuUOfPHthwvTJtk&#10;PqpzdG/UcFRUzFNgSyIv7trTBTB1zQugxQghAXu3izxP9i5DYeUSldcTfAifiQLAqlcXajmJS45d&#10;6NCpW+G36kQOtlvZ6rRbkedw40tynrN401K8Nind1iMvBx4CTm+PH4MV2hbIGzhxrgjUdxdNkbUj&#10;Mpr0lLILAGTOCyNVJtn5Pos4fqenHrKLnvIY6WjeBAFbYaUO6iC+zzyrQ7NzzMCZJO+z5hkvVKjs&#10;oTXtRs4R5irZtL3D5tQcF46tG19SSHbeHmVOJmVz4+uQyr5HZJ8VahXjJbu8f0F06rnxGeiYUo76&#10;bSw07RrQW80tU+2LGW3HWoiMWoV+HUowr88UrUu2ou9k2YyMwPvxAogdEJUQh3NDBbRPzUFm5WoM&#10;21Yjm4WQXLV8lzN/BILM8zrPubtoZxJwSsDZ0G7zcF3rAOaWHsXZs1drOv1YrysCPG14+h0tT9Bj&#10;hoAnARLhyvdLIYLGUVst7QR+RwdxPp1WoX+3EgQHTJRFFmaMY2LxXnqqbdQFXNA4ufEjqWN7zsLa&#10;FbPwmRO10Z1UHSTv8yiG17aN/b+EGHnhdeC3wvt/DR2KLU88Jc/wJHKPbRRj4s6DEajU9cWax9JE&#10;Pvtw/45o0Ow+9JqRrjf2bKNehv2FuXb9E5NRp0MS2TcuDRl1D8PLMSN/FvFjBW+jUZff5m6Ru0YW&#10;OuR3vRwSj0iYFPusfF53wz5kZ0HENaWFmgjsjLtzw45/uS5IzBfi2FdWzsMnaSPwaWwyDkaPwvoB&#10;mcjsNRsPdihX0JI8dzVGbrWNd235SPx3Pge70L+SO8E+Rrho1Osg6l6a6F71wssABRux9i+ytL7V&#10;bW0CAoyr8ECvSs3lm/ySpbk04b8fTo6espO933Yr/JwWIJTvOQDOjXSuRU+Xr1kocz3SnguvueYY&#10;yGd4vLRoY6gtkAtfh6hnU/eXY6+AZF9RG5GdeX68ns5onecaE9l5FMRk6bfHjfKlp7wN+Ny0iZjF&#10;4rjC21tP7YsjPJr3Nf/UUwG2wdX+2q3YelqED8eMkO8axl1k5xp7RoAQwRx1042vQ+z/RtlfnJKl&#10;z+w57vxd0d03BHyu2rwII7dYAvDtqO5dnQK4s6OdKtFE/t7TowpNegZxT4cK2ZCs1iP1Pl0WYVTP&#10;uSjrPwmHokdjY/9xWJpSgP4T5P3BNXgwPoinkgOIXmLpGtV1K3PrrLFi2Vy+mj0uFHEKG4PEWAT7&#10;Z+HWVmXoMmw7Pvj4au+6H/N1RYCnnQffxy3NK9B6dCjyVGuh/JIoucrSo5n7+lu4tu0aBVB2dEIW&#10;W3Qs3h07UqMltvNy50FSoywGjjkpvtp1iHE5KUbdTx8qGkVepWYPLT0GDDfqQ4Zg4T33oUm3Vsg/&#10;sblO8ESa/NIavfGUtnMFmnZpiX/6j39D7NI8TDyxCTMEfLC2ij/wEavViYOlc9RgecnO95lDwavM&#10;2nzUh1Hnbpggjjk1BKyeDkl4syTCK5PZxoLG0iR7HD4ePQIVVQts2T3Gi+8RhFTLc36iSfPkTZKd&#10;sOxiP0xIwqRes7SezT29LbRNExB5wAZd4Xw4f3ScSzYswZ/EoXzXp85jHET36MCZP+MWieFx++DV&#10;llZVv6d7AA2bV6HrpCq7vZBBT6kDjCB96RSodPt9h2LYaDZFK9ab5toGH2vsY0BGXRn985rrkBN+&#10;ZfIEFG1bgUxxfF5rjI6Rx9osu6CNqE1zHVpjbNpMvmbZa7TqNBO+/QCnswnxegOPwN2PnvII0+6R&#10;6cy/C1+HCJxE5xjtVtm99FTnlInnhbaemsadsgvtLsrXSLNXNItE2ZnQfTzHh+ycU9GZ4/KcTOim&#10;bIyCjhYAxb6pscssRC36jgYHgoiYFMT1Lao1p/D+yHLZCFZpKgX/du6yDM06luL2zkE07FyNiPbL&#10;0KnrMtzVNYC7uwUwYIHdi5XrIVPmz26nNeZy4CTr9uO4ZHTptBj1I4PY8PTbIW949fVjva4I8PTS&#10;sU9x05PluK93QM+ff6nRJ5LuWuQvQ8k3tq7G0B5FutCcHkxFoVC8aTfMAnS8gXexsne4QalN4hg/&#10;G5aivedoFL0MI3+XdZDokOzjFeEdbhgFPO1t0w43NmmAsbIjn3zE43qxGFjmRPFa+v+95jd4sG8H&#10;THxtM2aL8T+WlxECHx5Gl0RnOmwIykLd0E2yEzjxGOGTVPb/Mht1htntNhaseO4dcSLvOeKQ3sgQ&#10;QEKHYXJIIvv76SOxvKZEHBKjiF4Oib9taXf6k65tbuS/ZSfLpru8odmwTQD3ynoauelS8KTASUAr&#10;bwmykKQWXpVnPJeQiG8utk4J48tIZUj35onuUbfq1j1Lfs/CY7EB1H8igL6FAUzh7VnXzxI41WiU&#10;kEebvDHqR0/pwFcFF+rtTK/xooNnvkyVbAa0SbIPB85xeHHaRI1oEDh5gg9GbdhuRQG+8DXNta6x&#10;oVo7iYDRU0/lPUbLqsrn4TMBimaAb/d6Yw6S0+vNS3auX4JDderk7WONfSQAboVslsjbpKeMnmqP&#10;RUYRL9PTWkTZ5fe5yaMukL8bX4e4xngE9jplD82ZK18Sf1cAK3tkzpYNTfj61STx0H8T6NEWccxn&#10;PFuBionTkNV1Jgr7TNWK/yv6TcbSvpMxUTYmbALerNNqZPacjcIeU/BsfDpKS4vQIS+IW0Tn7+4S&#10;QLcpFoZursbKtQvxcfoI9+LGiTFYJnz/8FQFhk7ef7WS+E/wuiLA09vvfYk2MRs174kFMnlTx1Hs&#10;XxrlCHjKOhjEg4MsLVtwICpdDG8UXp04VmsVETh5GUa+T0evXfsd8OF1VCdGnTkMPBowHQPyd3ll&#10;2Cqbp8d7roZRwNOMe+/H//Of/4Yes8fpEZzmOtVhcHl8xxpRt7V4GA8n98Hil9bh9Ulj7VC8l9El&#10;iWF0ZNdx8ZD9ojMVh8SGxn6cKSNObOqpR0PyfW+HtFYTet8bO1Jv43ny5nyIQ3pn3BhN6NVxd+Hp&#10;EN9nNJDXm7V9COfVlX8CzgqA2jtwLO5qU6GNih8aENAdda7shDk+jBjy1uJJccoXjboY8vl9p6BD&#10;l+UIaPsK1rWR98gzKgYnVPe+6z3nJiPJvmFn2f39xIkMW1v3WqajmiTOkrXJzlAOowOPwacjh+sN&#10;R1PUVedanOyaVbNxyolmec0Hx1M+c3DOZL1xaIzaiB4xusjIhwJ8L94kAZ8sr6FROx96SnDLY73L&#10;ZGfeF4n/TbBJ4n+njsAm+fxEAS1GPZX1u2DLMnwowJk5fEbZZY1Rpxcy2i2ye4071yBbvuyWTdvF&#10;SJwXf1knvNG7diUvHnjbHhLX2PytyzRibF5j8p7YNhZu5TEgdcZrXHipgv09CbS+kjH/XDYSX+qG&#10;IgFfkWRtfSHr9uXoUTgcPRqfx8RrtLumrFA2gBbG7ApqW6Zbm9utme7uH0RM1CJ8EDNU5knG4ZJN&#10;SRw+iBuKFu2X4Y4uNTj48kchT3j19WO+rgjwxNsFiwPHce0jZWiVGkDWs5fuDH5JxHBvYoWFxp0s&#10;3NmuCh8OGIITU8bJwraTYr0NQA0K9pXjeO54nBXnbDSM3MmPGIaFm3iV2Zs332PVYTokvYFSl+EV&#10;g77kyScx6Z57cOsff4/B1XM1uuRUH3fjnX98IyKyhyGyUyt8PD0H533K/snIYViweZk4Sm/ZbYdU&#10;o7fDLt7I8eIvz8Yw+7rlszRKwJ22F3+OC69UfzxSdpk+ZX8rMx1zdtpJsZ5zKu8TOPFGma/2IXGx&#10;YuSTMSCrDA/EBdFAjPmD/QJI3x3UHolszcJij9/thkVeAUtJ3efjdxHr9JhiZp8CsOkxogS0C0Bg&#10;JXovOXnUzhuAQy1Ljy8atQtoP7unhgaQKRuB2pFk8mJOnebaiHM2j1eMRj7o9AksTHNN4MTcN1tP&#10;DePFMZW53lOUH8o3854PJ/JhtwXyMdcCPj8aZbcFMpUL0IiTjM3mxTPwbfhcEzDJuqps2RIbIyLw&#10;pejntyLzV/L3cJeuGNmtA0buXIEcWV9e/NOPrkWJrHVG7/zqKZsB84jMNO6Um9FuAlC7pZFh3Amc&#10;BExUVsw1jguJlcUJ4BiJM8rOsRPZX5ierceApkgc55R1v/QI86I+utN52VScj4vBl8OStTiuc5OV&#10;a2Dk5gBajxIaHcDDURaua1WNKb2ny/qKCvV0JMm4JMZpIvofW1Rh2OT9Vxv//kSvKwI88VW0+ih+&#10;98AqtB8fQO5RSyMwbop+pROLKsatFPDUUXYvbStQPaUAeS+x/1fd4WwuXgIn3u5ihWVf7VbEIXEn&#10;P4/XgcV4uPElkTeNDwECQ/E0SsZQ+VAxcEKP1r8ZzccPxrVNGuL6uxuhe16qRqAIpBz+jEpNfW0r&#10;ui/KQdTN9YRH2I7ajVR2uw2CtlvxITvHZnvJNI32mGRnUUE2H+XtRI6Ll9Hle3RIvAnF1ifK342v&#10;Q/LblP2NiWMV5NJpuPElkTfBMm/esVGy8ubYuvElUXZxWJS9qqoIE4/Kcz8TRLPEAOo/ZaHrtCA2&#10;VBXK2PJzMoeyG6ZBPx47HCV989G4QxVu6VCN69vX4PqIGvTruBB7puUg98WAjh9l4oamNnGtjt9r&#10;aWJ4k65sAlyFuztW4vYOFhq0DGiF9NwjdtcALWUQ0tO3JqXhglZu5jPV8Vx8JtHlD9NGamNd5rrU&#10;HieHnLmmPmwvKdCIiVFPZbw4ZjuLC3SsGbVx400if+rDvK0rRB4fVcNDsn8wZiSm+ynSKrIT4Gur&#10;mKgw2ZOTcaRnT0Refz0a/Nu/od6//itaXHMNfvUP/4Db/u//RWS9eviPv/97PDkqGvnHNrhGeB09&#10;ZWX+rxkx9tJTAk7qqYwfI8BaJ80gO4ETQcrhKaHaWRxbN94kjoussTOyznn8miZyufF1SGUX28NG&#10;5GcYzfKUPTSnMjcHZ0/W72ruZxi/cOL7XINsTP1m5hh73N34OkTZ5fdPpwzVoqOUK5yfkyjOFlss&#10;g1C/vYW2HVfC6p+F3l0WY6hsUFgu4cLgWLSJXI5bZb29dPzTkAe8+vqxX1cMeFoWfBXXN1uN+/pW&#10;YdCiADL20+DaIEoNb5iSXslE8JRQZqFJZAB3tg9gxHYBG3W0ESA5xouVlU+wlYAP4MQdM5N/WXDP&#10;j1Hnbl6Nuk+HdCYpCduWz8ZjMd3w6wY3omNGMm55+G78///X/8SEfWVatoD8CaLG7FyuxxjNMhMx&#10;vEFDva3nypsUkv2t8aMx42l/wInHCHuKKLs/4MQjvdXBBTIul7dbCSfH8K6oLrGPAb2MOkn4Mw+K&#10;VbAJnEyVpDmnvMX10lR/xRzZxoLlHFjLS9tYyJjmHQ1qu5/GnS00bB/E2thJ+CI2AW/EpOLThESs&#10;G5iFJgKa2IiYbWGGdi/C5F4zcUd7u3ZU30UcQztyRGINJzY9zjxgyTwKoH/GQsJqu4l1g1YBNIwI&#10;IKvnLGQLj0Yd5P/bBPBA3wDG7g5oUvi4g9WapPz6hHS80nc4vogfgrMXK6Nf/kx2u5V0zNjtD3ww&#10;d4XlAjSy6EdPxYFvXTRdo038vhtvkjMfvFnK5H4/wOlcrICPiek6h35kp9PdW5h3+VwPG4Y+ApAe&#10;/93v8NaAAXimc2e83KMH5j32GDZFRACpqdjaqjX+cO3vMGbv6otrK5w/9bS8aoF95MuxCZe1Nslv&#10;M3n7aH6GHmGaAL5je46xVAnXAMfWjS9J9ZQlOYbohQ0COje+Dqnswr+iar5dNdxrjYXmlBE7Hhte&#10;HNcwfuGkssuzMRfqbd4W5pwSOLrxJoVk56aN1frrrHgu645R2LhSFrEN4Dax4WyMXT9E/buWYFyP&#10;ObizbRmeitqAt977MuQBr75+7NcVA55OnvoWyZP2okHrStwRUYVmSVXoUxhQ48yd7S8FQHHXErNU&#10;HF6oG//orXZI2O2zNADcWRVus5OU/bQSOCsG4DUBWSzYZox8CG+G4nnTzFfESYwXO7BvWDZTE27H&#10;H6zEyA0LMfPtXYhdlo9//c1/ovOkFEw+vE675Pealobf33wt7mjxMOrXvwnb6QzqAk9q1OO01xRv&#10;E42r5STCyTGc3A0fmDPZNroG2RmBYCSOJSBMwIlgkjkavDWlDsnTqAvJb7MKNpORp8gu11y4sxpz&#10;t6+wK0nT2XFs3XiT1KjH6xEmIwu1d8PMOeqUbeGPT1YjqstCDOq2EI90KkOrzivRNLJSQTorlGf0&#10;moWvBFDtHjQOD3Qs15tGjUQHe820L3FwJ83r2Kx23i7d7q/3cLSFO7sIMGtj4SYBXynd52meyCmR&#10;a82ATDTvtAr1Iyw0k+91zAng8eFBzEyYiewuM3B3+0rEd1uADQMn4FMWCA0HUDJe2rIkBDT96CmP&#10;AQ/Mlrk2FToN6ekpAbwbeCwreuqdvG3PNUEpHacRJKvscVpniRE2k+zU09wDVVqQ1m2NfSkbkUCr&#10;VugrAOpizhOLhKakXPzvt3r1wl3X/xFDty65BDxRdh4Fsvms1nDyAk4X9XSwluTwVWD2peqLuV/+&#10;Ik7x+EjGcNGGxZfpaW1S2eVv9ao5tuwm4CRzfjo5EVsWz9Bn9oo4kTfnnU2btf5UtI8Np+jMB+mp&#10;GmVm7pUbXxLHZfIxWQvLK3B/+3ItXntXZJU2+tYm4R2DqNexRk8WuEkZNfWZkAe8+vqxX1cMeOLr&#10;jbe/RGDzmxg99QBaDtogu+IgmnSu0ptnqRvtK6BuCnslEXctXXIsva3UfGhAdvehcHCtz9lGPahJ&#10;qFqryLQbFuNyRowjIxkFAj6Y41Sbp0O2Q6rRVgKsVeQHfNAh8Qo5c6LobOgUcoQHgRJ55glYGlCU&#10;iWsa1xdQPAFx5TNx3T23o++112H+44/Dkt3zJUUQw0lk546SxfOm7DMfI1B2XiF/1jnu8pJd3uOO&#10;kk09F4tRHyfjQh5uvEl8LkazmD+lXdtNDknGhZ87MCfXdkhitN34knROhb/O6XiZUz8OSfi/m24n&#10;9DLCUVt23nbrOc3S1i4NImQ9daxCxy7LBNiUon3n5VjSLxfnNDmczxEv/z0YW6PSMb7nHNzRphL3&#10;9gn1XGxjt4h5aGAAd7NlTF/598jV6NZpCXp2XYynhB/bzvBIQnklxmB1/2y0k994sF0ZHupUjgd6&#10;iQORjdFtHS007RtEo87iSEQmzQvRchy2E7zYssRPax1x4ATTzwswJXA6Qz3X8eG41Rq7kJ5+xsr8&#10;qwtVTzjebrxJeqvsOUub5H6eyltvHnNN4m+HZCdwN68xtooJyV474pSYiON9+2Lmww9jTJMmSL79&#10;9u8qq4eTbDa2t22HP/7mv5C6fdlF8DRR9IxHviwBYefKGWSXcWF0h61DCOaMeipjU7R1BV7NZp86&#10;g57K7zPBmzo9XwCLV8SYpGtMZN+4ZIY9l55rzJ7Tz4cN1Z58mWz1VNecPvfdGmPkS49faR+8Ik6U&#10;XYjpEJpzZ7Q91ZgqoHn33HxZR+NQ1DsPY3oUoono/Z2dAhhQbJdI6DnDwg1PlKFj0paQ97v6+rFf&#10;VxR4cl6ff3kGB176CHNWHEHixL24+YlKtBoZSiS/gnOh+Gxsa8FbG/Uet2uG5B+7/HM06jQCvDrM&#10;ooVG4ETDKH9pGE0OnAaA7/O69kv5mZcb9doUMl5M6OVNNhomdTq1+Go4+9gG9BLg1DK6K5o81BS/&#10;a3Irkm+7DRgx4rtbRLVJeH8jxo1d+ym7semryM7eZawRZQMnjyiEvMcd5RuZ6dpuxZQ070Q4ti+c&#10;KkZdnpvXvN34kkLj8uXQZL0lZ3ZIBJxsY7FEyxfYRt1j3EV2Aqc3M8Zohfe6joZ4ASGpykLr8UE8&#10;3KsSM/tPw1txKTgQlYbXY0fgvAKMWs8hwOdkXCIyowtxhxj8RgKc9Ap2fkALbw5YHMTUwhJUDcrC&#10;GzHD8HZsCp6PGo1XYkaGEmPJR0BjQiJORA/D0v65GD9lCYaWV6FTroWuwof1zNpPCOD6VtVo02mF&#10;fFf0OCEOZ5IHY9+8POQfZOTDBJzY621lKEIXg8/jklDRfxKqBkzCu/KMZ8OfTQEE262M1GMgu4ZT&#10;3cCJesyoK2+9+WoLJPPBNbZf1pjdbsVjroWoS2ydo22B3NZYSgriGjbEY7/9LZ7u2hXvDBx46fsO&#10;CaB6vnMX1P/j75H69Eqwen/24bXI2FuGXUX5310ycPsuKQTwTycn4emiKSo7x9VNbpLqqRDbrbzJ&#10;xrkcFy/7IOPC4+oTE9M1mup1hEniuFCG7bJmmFBuXmNx2jmBdb9Mc8r3qDflVUWhOmnmOeX48Uhy&#10;rqFVDPlSZ9jmiK2hmFjOPpavydqI77oADdoH0XxYQD87/c0ghlgCnpqVo//oHSGvd/X1Y7+uSPAU&#10;/nrt7ZNoMXA9GrSpUIPLSsa1FfeKIAEXWYeCaJtu7/IfjhJHxWibOL/wz9FwcaGyPQbbZBgNgBgX&#10;9v/aNV8M4yFzyxI6LBqKYzmyo1TDaDZe74wfhdKguUYUjXKB7P52ilEveuxx3PQv/4roBg08gROj&#10;Nk8X5ZnBh5A6JDHQh/NC+Rdesst77Np+fPJ4zNu2Up+bz+/Gm8TfJnjbOzc3dBPKY9zVIbGYI9ut&#10;zFQnTNnc+JIIhGnYWXTUXxsLRpzswn98XhPoyzwsDmlXBQKj83AqjjwoO8eGVOt3+Lvy+x9kjMDC&#10;hfPRpLtd8b7n9AAynxdAcSSIsuB8fDhWAC8Tz5VHOL8wXiLj10kJCoYKninHpJdtHWO9Kh4npm6w&#10;cG9fC01kbffvVIINfSdg89QpyHmmCuOeranzqJ48mAuzeMtSccpj5Hei9Tr53D5TcVdkJe7vUI60&#10;7nNQKSDqk/hkeSaRT3SJN8eWa2V+byfL96fuq8A2Fu7UWkUec02S8eIa27lgqsy1WU/5/sKNS/Ga&#10;V1sgAU+drr8eix5/XPOe6ozKkhKT0K9RQ7SfNhoTZXORsnkRWveJxI727fU91+84JOCEFc8ZoaLs&#10;jMa5yU3i2qb8LNz57thQxXMDcOLm5OX8DK147nWESeK48Fh7z9w8vfjgvcZsPWXZgtWW3aaqzjkV&#10;m8P1R72rKZ2jUSqV3Y2vQyI7jwt5hMmjScpW1xrjvyuQ37lKPj9Ri5Wej4/Foeg0AU7zcVvLKjyW&#10;aGHUFrtnJ/NaBy60UO/JCgxK24lNe97By69+hrffP4VNu99R+uCTr3Dqq2/x9ZlzIU949fVDv654&#10;8PTRp1+jY+IW3BZZjuHrBEx4JE//nMlOyA1qF33WyWGOSe0r3hqOfs7CGtkNf6LF88xGnTtKFqDz&#10;48Bp3BZuWobXM0M7Sk8HLgZfiEmxrKJrR5zceZMcw7hvnuyGhybj3OBEzeXYogbe5Xadyp6MzYum&#10;273e5PtufEn8XT4bd8NvZI7RYzhPoy4GnTWcXp6apbe4vAwjicCKuTfMSzHv5G2jzhwkHg2Z2ofw&#10;Pf4221h8oNXahbdh3OmQGFmjUTcdDfHZtFXMrGycHyJ8OW9ufEn8XXHm74hjXLlhEdL3V+PxwXbL&#10;lVjRxxnHA1hfKrp38QjLQ06dvyQBIAXaHPmyMZA5IzjSquTiWG7rWYOHIsvQdngV2udWo0OWpY3C&#10;nXw/rgVGZvk362UBmutL8OzYCXhu4Ai8HDMCh6LG4L7ICtRvF0STbgLIugQURE3rVYDPEpLwp9yx&#10;CrYyZby89JR6xvHibS3tU+c11yR5Tm0LtGRGqNSB1xpjKQIeGZXgrfEC+ryiiwKeBtSvj2VPPFH3&#10;5sIhWScbWrdBwyaN0CqpD7p2aYt7/+u/EF3vFvsZeNzHNRYOwEJ6+tmIFLUnPCbzkt3RU95C/XCU&#10;v3YrLFnw7IxJMp4+2q1wje21Wxr5XWM8Bly+ZpHR9hBY0W5ukjk6ycsdqrsufB2S3+bNPlZr57o3&#10;2h55n6VKGAFlxfPz8XF4etBYdOq8DLe2t/BQTADxKwMXa54x/YQNie/rE8C9nWWN9V6LfqN2IiVn&#10;Px7vuxbNhMbNOITsoue1392hwx8psLr6+mFfVzR4+vDTr5BV+JxGYlqmVonxFOTusUh+zuSAJ1ZZ&#10;Z2LhqC32kYvzvho2Mc6sAXNSwIcfo/7lkGStVWSq3MvdJMPpzAO4uKP0Mox0wPL7vDlWJEbDZLwI&#10;yngj59mZ2d/1/+JfN9BEio1V2desnKPP7Cm7OCQaL+6G9QiTshuAE4+7DrKHljhJ7rS9gJMte5nW&#10;JGJBP0/wQRKHyBtZ5ZXzla9nJE6ei5+pWRXWbsXgkLT/1+wczUczy16DWU+X4nB+pu2QvGTn74rs&#10;rCTOnKuJh2swXvSReXe3PhVA81Gio0VLcTg5TcAb9cOFh0PCh8eVTFQm8K1r/gieeNNyxNMCaHIX&#10;YXDn+YjsvBwPyEbpzogqPBIVQMqagK6D2OUWes+yMGB5NRaVLcTR0WMxpusctO6wAl0il2Bw9wVo&#10;2NbSXmW9ZwXQp9DCHV0tNG1ZhmlDZ+umYNyhGmR61JCjg2eu3PPTfPYkjInVqA1rZzGqYdJT8mcV&#10;/w/89HpLGYb4hg2R1KiR9w1UkqwjFhotfPQR5D/yMHZ07IidHTqg6X/+Jybeey8WPvkkips1Q2Xr&#10;1t+tOZkjHrVXCGhXPfWQ3QZVlvYSZL6YRoQMenpO1gojSFp01COaReIa40aAEWPe9POjp7yFWbJx&#10;iawvbzDMMacOshzFxaKjbnwdknn5Rj63vWTqxRpRbnxJCpzkfdpNyqMtWBLicDI+GQO7LkS9iGq0&#10;G2thxAZLC5g6vkv1XvSQl6E6TqpC27GVeCy+SsBUFe7qXonb21eqHt8eEcA9nYJoF7cRw3L34dMv&#10;vsFX35zFF1+ewZenv9X/vvr6/q8rGjwFtrwhClSF2ztU6hlxTq0jrCuJCJ6YHM5r343bB/RIwwFP&#10;ND7c1bJNyCkmKRsduICPlKEIhPrUeR1ROMCpLLAAH2v/LxoAD8MY2hUy8Xz2Tj9tLMQwigNnR3G9&#10;NeMFbEgiO9s6VFQUiWymNha2cWTUxu6hZZBdjD5BBK8yT3nGX/G8WdpDa7y5hxbBhBh15tTw+I1j&#10;7mXU1Sg/F8Rm2Q3TAZtlF4ckv6+tYpiX4mHUSUxsZVkA3k5klM1z3Pm70bF4beJYvYFE2SYfDWLY&#10;2qBGQRu2sotePtFlNfp0XoQTzE9y+i3WJtW9IdoWhWPrpXt8f9yRNVi9rhjviyN/KzoFL0WPwY5B&#10;6RjSvQh/bFGDiLEBLRrLXTpvAN7V00Lf/ksR06kYd7atROOeQdzb30LDllW4p4eApjkBZBywdKPV&#10;e15QSzDcLd8h+HtquIVO2QGk7wpqxfVwWXgMyAr+LxZMFJAsz2FaYzJejNrwuJrz7LnGQnrKnMBP&#10;3FoaXUaJ+CwqGo//16+Rcffd9s06189dSiye+TlvGzLCJJQtwKnrjTcKqHoUY++6Cy2vuQYX+FnZ&#10;YGhboDUlur68ZL+op0tl0+ZLT1nAM0GPPHkM6AU+SFxjLCDKhGxtaeTFm++JfvF2n/YeFN60X258&#10;SQqc9LbwZLvUgWlO5fe/kXHbuMxuLm62PdVqN5l4rq1iKJ+si8/jhqBVxxVaooC986ackO/UtgWh&#10;/888aJf9GLHeQnLA0vzEQSWiu7MD6JDF261V2jSfddh4My9t+kHETdiNhMw9GJ67H88e/jjkLa++&#10;/tzXFQ2enj/6KR7sXoM7OlbqkV1dV/avBCJ4GrvHPrbjraa0HfbtQhoAJlA+MycXX/OYxGjUYzTX&#10;Rvt/qWF0/z2SA5ws2TlrONtkGPnb8pnnZ0zSHXp4ryg3Gv/yWk08P5E9VkP4nrxJdEgi+3IBHwSM&#10;nrKr8arRXT+jHEbZxWHw1swWPV6xDaOX7KzjwnyityaMtsGHD9kZtSvx2YmfoHaH7Ia9262ESJzt&#10;eXmfxw6U2SQ7Sy1o77JxIrspEsffFZ05Nnm81rxxWpOwoS9BRmRmQPPwuk+VXXCvAG5qW429UWPF&#10;ObtcUohxdK9YZTTpHq98E/h+wRwU1esETTg/nxSN4IBJuDGiBjd3rEGDbjW4pV0QXTouwQOdyhXI&#10;8ar3gwMDiC+1tA1M92n2LSbWk6JjmnCUNXxWYV7SNLRqv0IbuzKa1ai9pYCMz+bYEyfywfw3Vu42&#10;z3UMPhrJK/fmliVcg7zByZtgjKaa9VRAcnIyrBlZaBL5JK7/v/8HT0dGmo/uXOhTAVJvDBqETwUQ&#10;RN16K677p3/ChbgEvDt+tF651zXmIrNDGjGSTduOhdNsPfWxxs7K++uXz0RW6GabG1+HOP/FIsd7&#10;suHw3W5lSpaC3AzDGuCcMkfxxYIsvQFp3LTJ77PyPueJfE22h1HdMms+PhcwzEi2LTspHp/GJyO9&#10;5xzc2K5aq+wTGNV10UmjoCHif2fLv7FeWdYh2fTK2DPP97G4ABq0EN1tbefDNmpTidsjKnFz8zJM&#10;mPUszl+4EPKYV19/zuuKBk9nz55XdF2vRTkGFl+ePH0lEcHTOIKnbjZ4St8pC+gVGzi9ILthbbdi&#10;MgBRMfgsdZg6cAILL+NCA8Arw6x18w2/azKM/G0xMAdm8TaR3fnc04EfWYPCnavwpuwojYaRxIrn&#10;qSlY6OPWGw0+P8NyAd+wIrkPh0SnuG7lnIvAxos/i/cxAsNjjfPcyRtlj8U74pB4e4oRDC/eE7gT&#10;F6O4V5Ni5bsmZy3PRuDJDvXMveK8efEn6CvevBQfjxpulp3vic68NDVT89Fq93RTw65gxC6O+WD/&#10;AK5vU6MlCNiE+BJeMn9fyPyx3INpDPge6/ywrMXXifLdS+aPf9lPLBFZvWahf9dFiOpcjFFdCrF8&#10;5hy9sdd9hgAm2Uxxg0EZWUg35+XvHBQ3BEzefU1A+9cJcXgndjiOxY7A+gGZuEtA1A0Ra7RlTcwy&#10;CxnH1mDujpVaYdoY+SBFxeKjMamYp4n63hXoOVeUhZEM3hj1Az54w2zdslnIP7EZ7SYNwT//7/+N&#10;DW3bmY/uvEi+G2zVCs3+69d4Oysd89gWyLDGqAvM19tblG8nb5v0lLKLjWC0m2vTC5SR0gU4MVeS&#10;Pf80R9GLN22PrDHmHPIozTnuduNL4phTn9mT8RztpmlO5fdZeZ0lKXRcqPcufEkOcCLo/1JAfzhw&#10;+lr+skBsm84r0LzjKu0t2ahVQDfE8Su/h/+S3+J3eHTdNs0uXdNuHFNYAloL8SYBTyPy9uObb68m&#10;lX+f1xUNnhaUvyLAqQJ3d6nEqK1XfuRp/L4g7glFnkburcH0Q+W6G2abBzUgXnkm8pkPxdmzDxWN&#10;h6dRF6Lz2rRkOs7HCG+TUafhFADyTGGeftdkvAjKGPn4MD3VZw8t7uSHYfauler8TQ6Jn2HvMgUH&#10;JocnhpHHXUx05fcYCfDiz3FZJEad0Syj7JwPMeq8ss0q2Dwq8+LtRJyYb6W8jQ7JTg7nNWz29vID&#10;nBgNOZlC2X0AJxn3QwKGKROPQBzeNNgk6iTBCdu86O5Xdr5Myt48cMKlx3aiezzy5a1F37q3dIbo&#10;Xt3zxwjUOfmNc/ExAmpi8Nz8XEwWEDeRNwcFKKlsLrt56p72GRwzQtt0kDd5XRgsYzk4Fvujx2BC&#10;z9m48SkLD6dUo3j3Snw4duTFz9aW4xKS5+TtLubAGZ9TI05rsHVRQeg5fYAP+VtVXoTxMj75b27H&#10;NQ/eibzb7sB53rar/fk/h5KS8PnAgbj317/G0KKJmPTqJk/ZufFimsCzvvXUjjiVWsWqp168SZx/&#10;HhmyqKV5jcl7Mje8aDJRxjRcT92IY84j+bcmjMGFQWLbvHiTRPavhibZlflFLq4xN74k6i6BkyUA&#10;8ZskkV3W50X+iTF4IXo06nWoxq0dgmjcScBOSkCPku/tGdAjue+7+ecRNJsPTz5iIf9VSzbWlvqJ&#10;+s2r0KhdBbbseSfkMa++/pzXFQuePjt5Bm1iNuGWVmVIKGV/LHfFulKIzsC5bccigrllK/B2tr8+&#10;defFCfIaNm+GGFuWiAGiceSREY2SZzSLhkGcG406axXxu145DORP47Jkw2Kt1s38BFe+Dqnsdtf2&#10;mbtL1fm78SWRNx0SZd/MHnti9NSou/ElCW/uCnnjqywwX48IvIwu36NDpBE9w/wIGnU3vg7JuPFI&#10;7FhehiZv87nd+JLImzt5GnXm1Oi4OEbXjXTc7aKFzKmgQ3LjSyJvEqMgrPv1FY+GvMadvGXcWGn+&#10;6flTNILIOeVxgRppASY8Zhgw39KaTA8MDODJFPasC+Cm9jXI6zVDHYXDi/P3/thRekTG8XOTkUQZ&#10;L+reQr+6Z18X31EyTWU06x5viy7BZ8zdcx0D0YmkKAQHTMQf2q5Bt+gV+HT8CJ96GqPRRW2tw+d8&#10;rm45VFZxwsyt8/OcjLywxc/KYDHGyRrIPbYBLcfG4e5f/Se+iIrGBd6Wc/uuXxLwNeG22/FPt1yP&#10;sc8GtHhtXbJzfviMh6eGarxxHtx4kkKyMxF7mYAhLz0lkT/BzargAt996phATtvDjQf1x40vSedf&#10;5oXHr++MG2WPuxtfh0Kyf5H6XWV+8qiLN20P55V1v84yWkrgpLzEDggwfzl6FCI6rxB/ZeHxePtY&#10;mKVnxu6WZ94ja0vsuxvv70MMIsSvsvCY/E6j1lW4s0MAY6YdwLb972HL3nfxxalv9dTm6sv7dcWC&#10;p88FPHVK2orbO5Vj5OYrHzxxF80dPo9Gbm4XxMh+RfhG6+h4GK+QA2d4eupe7oa9wYc6SdlRav8v&#10;Z0fpxpcUMl6nZVfGKI/JeTkRKd56O8mr7D4cEo9JXstK11tvRscrvHMOBrRelcousrnyJYUM4+cj&#10;hikYIu+6DCOJu02CG948+tqPURdiHsULM1i401wFmw5p5u7VOCpAyx53g0OSZzs5bKjIvlCNuhtf&#10;h5xoFHO/CBSNssuc86hsmwBQxyExujR+n6UGud04C017Wri1VQB3ta3EU+1X4p4Iu13LHyPWIqPX&#10;bBs8Ca9z4kBel/nTVj8+5o/Hlbvn5YtjM4+BrXvJ2Lh8li/d4/u89aS95+oag0TOWyK6dV2i0YGd&#10;A8eJHAY9FTkJNF/NZpNcc6sYHgvnHqjEM7Pc261cQpxr4f2JbDSWiuy6fuU5Jsvf27q1wvCbb8Fr&#10;/QfglR498DkjxM5NuT+XhgzBjvYd0PCa36FTfiryj29ylZ0J0Dx6ZkNgv8CJJTkYqU0/4g2c7DVW&#10;g8ryuVoTy6inMv/83FbRUz/zzzU2f+uyUNNmHxtO4c+uAsz9MtpNWSO8sbd5yXTZWMn35bkv8kqM&#10;w4vRo9Gs42rcFFGtx2vD13ITYtt0jZD+gMDJodzDItfBIDpksJRIpazXCjRoU4n6LcvRZ+QOrNn+&#10;p6u5UIbXFQueeB2zc/JW3NyiTGvB5L1iFxi7kokLrd+8gBr2R9uXasXmOm81iRNk/69Xcidg2l4/&#10;Rr1aEyhZv8aPA6fxIvioLi1Uh+BpvMQw8mZcVUURTmo1ZrNDYg7SkbwJmniulXsNO3nuhnncZctu&#10;Ak7xWjOJO0ryJg833iQaRr5fXTpHQ/GXGMbaFMpRsttYOIU76x53jgtln7d1OU5ks/+X8ObYuvEm&#10;qexxepV9ybrFnkeY/HfynyxGnTWGvq1t1GtTaE6/HJKkhTt5S5KyETgxyZpGmCUyeLOueeQqjO05&#10;Bwv75eJI9Egs75eDLl2W4t6OFQj0nyT8YnT+juZm6BGWH93TPoPUPZ8RJybirhHdsyNj7rxJDnhk&#10;dNEY7RTw9HV8Eh6PXK2J4zxm+S53y0UmeUa2e2GZiqlsFeMj4sTxeKEgy9dzsuTDe+mjsGiDOPAw&#10;Pc17ZT3iVkxFw7tvw/2NG+Lmm69Dxj1N7ZpNfw6ACvvs10OHYs4dTXDTE/cjR8BCePRJNz4CnAgk&#10;eNzlBzhR9nfHjtTK/GOP1D3/JHuNWVi7ctbl4KM2heafF1iYK8YxJbnxJSkok2fhemHagjHiJHPC&#10;Y/w3JqajKHTMHM5P14OAfOfiQZb8NsstMEp7juv/EtkFjA+OxaaBGajX1j41GDA/oBGnuhLEf0jS&#10;dmUiIwEb1+4j0VVoNjiAPzxcio5Jm/H+x6dD3vTqy+11xYKnM9+ex5Dsfbj+8dVoObISKdWilAft&#10;BFE3RfrZkzwXz8RjVwRwSwe7ZQVbTFxWtZkkxoWRD/bEIqjwcuA0yNyVzXg61LKEi9+H8/pIHHhF&#10;JSv3mq8y8/ZazapCTaD0NIwk4c0EdRbDY1KnSXZGs5j8SwdmlF3e447yTxlj7KR5A3Aib15l3rhk&#10;ph1xuhiKr4OE96khyXhaywWYCnfat83sgoihquE+ZGe7leJQuxWT7LxMwCKUvvp/yfufDU/RYwfK&#10;5cwpi86yDs1dPSw80q4U43vOxtaB48Patth0RID89qhxOBtHhxGv/dv0uNKH7hFQsHaScQxCusfo&#10;ERNy1XEadc/SqNsXWgLAoHvxcTgzNAkpyYv0CDK6azE+iEsOASjneUPyiRza0kgAey5bxRhAMnWB&#10;pSGOsFWMaXMizlvnOjMNxZvcL0jkHlmH5OBcDFyWj87FWWjS6BYsf+IJvDNokHuPO4c4hgKaLgxO&#10;xEfy2eM9emJ3p05Y2aY1In/7O9zR/gltyp0dGlfKzjFevH6JHksaAX5IT18T8DFv23LPiCOJc8Tx&#10;YwVzf33q4vCpzGWNAOdwPXUj1Q8hRru1abNx02a3W2HTZrb1qQ36uXlluRgCoNhlAaTtqcYM0d1D&#10;c3K0ajh14jt+YgsSEhEckKVrhk2AG7WzNF912Bq7wXs4778WUeZRmy30n29h+HpLy3rc2bkKTQRM&#10;5S14Ae9+cBVA1fW6ohPG9zz3AboN3YoHu1fj3t6VGFgcUJDhpkQ/dyJwGhoUBxYbQH3ZxWT2mo0L&#10;blEnGnUxjvsLc0Pgw3xkxHYrr7DdCneUYkAu4+lQyHkxZ4DHXXozzWO8abjowDfJDvHLYSx1YHBe&#10;wvsr2XmyeB4jEbzZ4saXRNkJENhIVLu2q+P1kJ0OSYg1mYpo1OW5vcAHxyXvmUrsECCkOU6XGMZa&#10;FLopxTo3WxZPx2St1l637HRGHJvVLIjoFO704ZDYEmfuDu/+X/a42K1ieIRpLObI35Xf59X6qrJ5&#10;ItulDolVj1ms74a21RjUdSG+0EsJ5FdLXupiQowe+e2bK7onv+9H9wh8j7BHomn+QrrHcg90hhw/&#10;k+PkPDA6wSNOzzEgyftfJYnsC/MxcWsFHooL4rqW1Sjqk4/DsknZO2gsXowZhW/EIVKPeQRK3SC4&#10;Nj0nZSFY5/G5H+DEyMer2eO0wCx516WnPL6bdGITZj9XjeLovoi55RYMb9wYe7t10+bJrvxFl1nv&#10;qbplK6Q98iCSnnoMHdo+gfZJffCHxvUROSERBa9tVf4OwF9RU+KzLZAtOyOOnFdjnp+MCzd3e8VW&#10;MaHcj54y6lpRVaRyec0/I0L8DV4E+ZQ13jjubnwdkt/mTUbmHLJ8Sm3bo2kT+yx0yxfw0TGAu7sG&#10;0HKcrI+sBTgUPUbGlHz4GxwfeY7EGK0ifk9kpXy2Cg/0rBRgGsATiaEyGH+Fo7q6iLLrEWEoEhW9&#10;xML9/SvRsHWVAqgzV1u8uL6uaPB0/vwFvPDKJ1hmvYqHuq9B0x6VWtPlx1TMH4P4PGO2WxpyvblN&#10;EMN7FOGYE3Wi01IQZRsXGvXtCws0r4LGyY0fyb4ZskZ7aPlrt2Lz526YbU7UedXiGU40+nTgTOZk&#10;borReYVk5w6UgMs7amPv5BdvWII3MtLMsstvE3xo4c5dbLfifSOH4zJ1XxkOzsr2AT6E5PdZEJEV&#10;lr0qZpNsp8/mo/O11IEv2cUh2UZ9taczJdHo86iTR5janNhTdnlfAPO76SP1JhRBXW0wTPAUs9TS&#10;gpTDeswDkqPceclzsNYPLxrkhUpVhPMJJ0f3eKTDhrAqoyeg4HPE4U+ie0vXmVv9UDeo/yzEeCrl&#10;z9M9gqHJJ6rRc7qF+m0sPBGxCt0jF6F15Ar07roYzw4cg9PDk7BlxUzkvOCvuv2yNYvwth/woXOd&#10;oHo6RzY0HENvPbULdz4/PRtISsbxvn0x4o470Ox3v8Px3r0vj0AlJWlUd8a99+HhR+5Fu/GDEb08&#10;H4lWIcYfqsLgspkYs3WpOFr7yJa/XV61QG8Q+tXT56ZNxPTdZZ6AkuTI/hx7ven8esxRyPaw3cqK&#10;Ggc4u/Plsanq3nOWliphXTHj/Mv7vHhwcHYOpu8tu8z2EHhkHAiiU45dR+mR6IDa4tsFDD3erhQd&#10;Oi1DSb88vB8/RI/oVvXPxonY4VjebzJuaF2Dh2Mt7VXXNc/SDfBfI8fJL/Fkhmu67xwL1z9ajuaD&#10;1uGNt0+GPOrVV/jrigZPzuvrb84ibsLTuKlZBSKz7HYNborzcyU2O06qsHSxsjfXjD4FIfAUh+ej&#10;R8vORwyzGIDTw+x2K9rrzcuoC9F4LV23SPuUGQ2jGEV+hjtnOjwaJ0/gJI5xmuwon5Ed5dfJslPn&#10;9934OiS7QqddB42ep+yy+GmYeXPMV6sYGRcWsTwkYMI2jN7AibklNOovTcmwC3d6ya7gI05rJrEG&#10;jF7pN0RDOG48RvqY+Tc06oZxJ+ijUbePX+t2SHwmAifumnn86k/2WLw5YYzmg9jA6XLZaWhZ0fj6&#10;5rJj7bYQn2nkScY8nJeMAY8rGeUh+PACFJSTwIn5Zm/71T0ZA0ZiWONLdc8DOHGMCNr3FOXj9JBQ&#10;gVE3vg7J71N2OlpH9+gsR2+10KMggIfiLDycGMTdfS3Uk41LYpf5WFlciHG7Akjfbzsjt2g3ZWR0&#10;k9Xk/YIPgoiDsybbRR4NwIl6yrIjjPJcrBA/ZAjeHjAAd/7Hf2AXC2eyhAGjpiR57wsBoDl3N0Wj&#10;hvXQtyRHc5t4RJcjvCbJ3DOSFQ6c2HuRuu1P9niNdmtbIA89JXH+KTuPMG3ZPeaIzyX6RdtjF5g1&#10;A2fav+0lBd8Vx3Xj61BsvOYy7p2fj2kHK5B1uPqyzTf1IevZIFqkyub18QBaj7KTvnvNFBCVJHoR&#10;EcSjkasxtHsRmndYhbsjKpHQbQGyes7SlkD39w0gdaPNy2tOfyyiP0mpttA4skqTyLfsu1rKwO31&#10;iwBPLALWLnaj3ijoN+/718v4WyXd+Txjoc1oC7e2COCBNmXo27UEc/pOQcfOy9G2wwrMGTBVHXjO&#10;S94OnM6b5Qp49PEhDSONi9F5xWlTy8Lt5pYHNIyznl6Nlwuy8A2TP03OSxw4249Uiuw0il6Ol+/T&#10;afC4i8dMegzoadTtquG8PchjJDpGT4ck48Jch1dZPM9k1AkiRHa2sVhVvVDHxMuo63PJrpjVlS/u&#10;hg0Oibfq9szLRx4jcX5kF4dEkOELOEWzjcV4zNtqz2ldvPMZeVoV1OKX93SoxOgehXiWYF2P7oRX&#10;aP6s8rl2k2OD7lFO6t5Ho8SxM4fMqHvx2rqHhSpNuqdRN3HeLJboq90GQd/QJC3cyMKHtXUv84CF&#10;kZvsujlJlRbui6/WwoZtxwTw6MgatBpjIXpxQAtwTpI1evF7woubk/LKIn8tjQScnBucoMesPGr3&#10;mg8Sb39py5LMdAXX4VE71nxitfDFzZpha6dOSG1yJ3LuuhsvdumKvNsbo+H9jTFwSZ6CJE0Kr5Xg&#10;rhsX+TcCYX96atdJ2148VSPGtcewNnH+C7ev1Fu0F0GfG1+SAqdYvfTCfDHTuHD+Jx+qwr7CyfaN&#10;PdP8i+wETtuXTUfOgUr0WxhEl9wA4paHcmfD1vNkWQcDFsoGtm0V7uoSwMjNtMt2IdaI8QG9fdqw&#10;dQDNRwbwYKx8LiKAe1uXo6HYax7X8aZq3rHv+P3URNk7ZARw3WNlmL/6lZAnvfoKf/0iwNOHn3yl&#10;bVoaCeIfvU0U/QoslqmJf7Ibbjc2gMcGy+LsEEDjdlW4TRZmw3ayQOW/u+TZOV8EW248bOC0VhO9&#10;P3fyQHw4rxemTdSEcrNRX6M3x9gEU3MYvAwjiY5X5GC7DlNEQYGT8F8dENnVqBuAkzgkggjuQJ2j&#10;NE/ZWfFcwCGPBrTiuZfs/F2RnXkgPDokby/ZGe1iVGPbwmnaYd/sTONFBpF9YYEm23sBJ/47AeVc&#10;GXdGkbQKtkn26Bi8nJ+pya7MW6uLt+oRq9jvKMfomPlo2q5Ce8GxiKQeFYfmr9TixQF7jtz4kPgb&#10;vB1YUeVX9+Q9+czz0yfpMZBp/gjaWYj08JRMf+02QqCPQNyePxen76wlsScTj1Rj1ryFaCcblQbt&#10;LXTvvAT3dyhH4y4WohYFLh7FkA+Bkyap++n1Jrp2RoA4W+vYUTvv6AT1dIEAXkZdXSvzp6RgkQCn&#10;5NtvR/Jtt2HM7XdgQqun0Oy+Jmh6353oMz8L+cc22gnhopPhvBm1yRYZdi0o8KmncdoMe+PSGXr7&#10;zAs4k7h+525brhckqN+evPmeAHy73Yq3npJ4MSHvQJVektF8r8uAU63fEtlZ82z9qtnIfl7mc1ZQ&#10;6yHxNimLVrKVT76AHV6YyBHihrxmySxEyGa1XisLKdV2VJZ2mblQ7DPXfoIA7V2W+CDhN9XCE8mW&#10;Vv3uXhDA+L3fVbj/yUnAMWXvXmDhxifKkZCxB+fOXS1bUPv1iwBP05e8hHpPVeCBflWipLZCuyrN&#10;T0misLwhM/W1LZhyYrMdKq+16zOSGHMaKTY27ZJvAyj2RhpYEsADA+ydT7cplrajqP1dAie2FQmW&#10;FuIr3hwzgY8QcHpmzmRNnDaDj7VYsNmuo2I0jCQxjJ+mpoCdz3lTySuioMBJHBLLImitIpPs8v4F&#10;kZ+7Z36X5CU7nTqTcz8cw3YrBt4kcbzMv2GivekYkMdIBECMIPlqc0PZZfwoO0GTWfY12v+L17B9&#10;9f+KitH8KTqai6BMfqP2mlGncDCIzD0BHJ+Wgc39x6NpZIX2k7NYjiB6kOZ5LVm3SJ/Ra/74Gxxj&#10;Vl7+c3SPZTPszvWGIyxxyjwGYv0h7bpvmj/RPcq+aL3onqxDb92r1nFas3I2Tg1NxPGoVAT6TcRH&#10;ccko6Zurkaj7+gbEgcrnD9tFPjcsm2VHPvyAD/lbs2qOAA8/erpOywV8PHp43ZW35d9Oyfh9GBuL&#10;DwdG4U0BWfO2LMPgNUVIf3rVJdGUcKLcbNTLo3bNleMcGGTnBolHezr/dfB1iPXI1D5oWyAfeioA&#10;/4Vpk7QMgNH2yPzzqJb9F1lz63Le8XYZASehmxHHYclaty37WDVSN9tlOO7tIQCIUaSnArhHAFSn&#10;bAudJ1voNS+I8pJCHEwciyfar0LDyCCGr7v0xhztMnvNMWJF0v9n/zkhp6xBuMw/NVH2QYykRVRq&#10;o/n1O98KedOrL+d1RYOns+fOY3n1q3YjxA4VSCj928l30rC4GOac0BVm5hYMXzMfnSYOQY8po5C+&#10;c6XmGNT+nh/SHYwsSIaMJ+y3BJDJTkd2Nw2aB/BwlOxexelp2Dn0eY04ifGiQ1bjYnTg8r4YTx53&#10;8ftm52U3mv14jP92K5+OGqb9v7iT9uJNo0zjzK7tehxlAmY06vI5XmVmBIDOz4u/Y9S1gadJ9tBR&#10;HQs/Mi+F0Q4v3rqTF4P67MxsuwGvD2dK2a2yQo0QmhwSP8P+X18MH+qvjYUAJ5YQoExOTg3XCxuN&#10;UpcImKhb+ceDGFYTxIPRFh7rVY4J3WfhyY6rcEP7avTquhinBsXjs1EpCjjpuLzGgO8RtK8VgGDP&#10;n0HOUMRpr4DNbJHL5Dg5BjxqfWf8GBkDQ/0hEkG7OHBb98ytfjhOWxZPs0GZENu4nEuMxRcJiSju&#10;m4fb2YS4k4V02bRlHqnR0hB+55o94XgbTPVUfs9LljQZwyUbluBLzrXXGDr/LmPBCPDMPbae0g45&#10;5QfUmYfx5gUK3kwkWNGND+fJIDuje7z0QPDuJTeJa4xtgb5MGeJPT2WOePSaI3pae/7D7RqJKQgz&#10;9pfh00xu2gYJD5H9kihTPDYMyMDgbvNRLqD/THQCvhkxBKvWLUTG8TVaeJiAibaz14yA6L+FHtNk&#10;M9o/gJseCaD+kwGtnv9k51V4JHI16guwajNGPidy/M1Ekr4H6Ti+YKHP7Crc0rICbWM34u33T4U8&#10;69UXX1c0eGKV8Ud6r8HNT1Wgs+wSGIp0U5QfncRIjd21AqkbSjBy0yJMlh1j6qYS/PN//TtuaHob&#10;rru7If5w+y0YKzvBiwCqlkHzQ3R2eUeDiFpsn6szH4ptM5xjSxodhtIZ0t5RPFWcJ0sRGAyXGP1z&#10;8nfboukXCyXW/l2HyJ91XFh36JMx/tpYXBAZ3ksfqYnNdHxufEkquzguyr9rgchO3gbZGbFhnlVF&#10;1QJfTp2AkpGTU0wspVF340siaBL+7JX3as44FOxj1XDvcgEEfIzusGu7ys6xdeNNcmRPStRjJFP/&#10;L75HwLq8ZiFO80aV17jzd8UZnhOHxMTzic/bkRTyIXAaXBZA82Gy0+4V0BtBEw7YrVeayi68cetK&#10;3BlRhT9GrMF17YXk764+6Tg1dqhGekytfghcOQ/sU6eg16fu7SwuUL0z6R7HgJFL9qnzpXsyBqwa&#10;rbonc+/Gl0Te/O0Jon8EQ5fpXlK0tnC5rt0aNGwbQGSuvc72zGd1dD96GqcFLXmTzRf4FFlXVRfr&#10;bUZfeirysucl86f86Gn+M1U4PMWvnorsIsfKmhIFxW58SeRNGivAsFR02ldlfuqp8N83L091J0PI&#10;ic7bYMXS4y9GeBhd57PN27sKz4zMxLTO+dgwMAOfxg3RY1Dte5gUhffiUvBgZLnq701tgliSOBUV&#10;64uRemANMg9Z6D3LBkiN2gT0JhyP6pibNG53EIMW8dKAhQf6BXCL2NZbWsp/DwhoHtzfyib9LyEe&#10;SfYvkmdvW4mGbSqwec+7Ic969cXXFQ2eXn/7JJ7otx6N2ldqQuffgkLrbZWDlbjxgca4RgDSH++8&#10;FQ/174g/3FEPD/bpoCBphCze3ze6Gff1aCtAhwZIgNP3AE983lFbgri7iyyAVgE0SwxcjCDQcNEA&#10;8TyfR0baA8+H86Jh3LDsuwrTbr9L4k6ZTphtI+yWF2bndU7Ax58y0jB992p1fG58SZSdv517sEpv&#10;8KjR9QGcvkhhy5JiBWXk4cabRNmZXEqgctrY601IfptRk5enZmGKT+DEPJ2L7VY4tm68SZRdxp3H&#10;SMvXikMyRUOEGNFiMrLtTL1ktx3SNyL/bnHsjDA5wIk1X9ijjjeBGrWowu1tqnBHZABNe/IKtoUb&#10;21Tr7aF1AydgQq85GNVjLhb3nIw3JqRh7q5Sdfq1ZXNI5090j38V+DJSEudP9xhhNAEnnT95n+1p&#10;GDH0p3txGomxm/aadY95cruLZN1Q9kt0T3gJeFrVbzJ+32INHh9qIfuZShyc5686OvWUOXvM8zMB&#10;JyfqyujUGVYP9wIfJPlt5iDpsazIxIiWG1+SPudFPWWfOh96KmPBo3be0uURohtfEnlzjngUWb1q&#10;jl3d3gScOP/y39sXTrOBE/MECZiUp6VVvQeVBHB/7wDapQuA2VWNuTtX4oPxIzGr6xT8od1a3Nmh&#10;Co9Frsao7nNlfnJQOSALA7otxC0RQT2Wqy8AqOcMC53yLU36ZlNeFq28o10AvWZdWuLG2ZiSYldY&#10;eDROQHKmhTE7Lj2u+7kS1/+YbZZsmqpwc/MKZBU+q4Wnr76+e13R4Cmn6Hnc/FQ5Ho0NaOXXv4Uw&#10;qgOeftfoJtzTtRVSquehW+4I9CwYrcd4k4Xyj23A8HXFuPmhu8RxPaQRqu9zhGdfOQ2iQcuAGoNB&#10;iwK6K6PRoQOYeoAtL3JwMto+DrosadKhkPFiMcE1K+fIdw3ASfjTOLLlxecsQEcH48bXIRp1+X1e&#10;TeZtKKPjpewCUg7NyLaNrsruwpcUMuofsd0K+3/J+Ho7JPvGVrCMuV/ikLxkJ3ASp68Vz2dNlh26&#10;d8VzBTYydrxNxJtsvnbyMu4fiuxMPPc6AlGHJOM+SZx6TekcO3fIq2JyaE7ZlHXroun6fQc4kbjD&#10;ZsG/G5oHEde1GGX9J6FflxL07LhYi2FO6DUbx7X9D/uAxYr+RONPk9MxK3QMFC5bODm/w1ylZ7TV&#10;DwGF9/w5urdWdc8AnFS3qXsLcHI4q4YbgJPoHo/ceGPLr+4RIB/QVj+1ZU/AyYRk7I1KR9fOS7Rw&#10;aL9JZXh5/kRfwIktSz5IG6F1nziGdc01yQGf7N1nrrwtJL9NPWWeGGtcEXS58SUpsJHnZLFYRlL9&#10;6CnzlFhyoWTTUtVTN74O6fw9F9BEckaBvGUPzf/QZGxYfmm7FYJ9RtH7zLGLS97VWYB92wBuE3og&#10;Vv49dhmGdZqDJ9uvwh1dLTQfYeGh+CDu6BZE/Q7VqNeuGg07WHhyiF2bqVFrAV/9BTB1lE1C9wAe&#10;E7/xZHJA65h5tUzhZYCxT8tf0b1wgPVzJUbtuMlulcqIWyUe7rUGB1/6KORVr76c1xUNnuauPIJb&#10;BDW3GlWliXm1z8N/Cso/vhH952XiVzdcg97T0zD9rR3If3UT8l/ZcMnn8o5txOCyGfi33/0XElZN&#10;R16t9/0Qdw+sVkvDQIPCqrfdpwYw8XA1Zu4tw84peajslYWpvaaHHKGLEQsZLzbwZEJvuPFyI77H&#10;BGgmbzPXxrwbjsc3YkB5a8rPMQIdL/OJtP+XOi8Poy7v0ajz9g5rwJgcEnkzorBhyQy7jIIROMVr&#10;gvqeoilaLsDTIalTr9Z2Gq+z8KNP4ETZeezJaEhdsjvjQkCybVGBXfHc6JDYbsUGwwSMted0yvGg&#10;JsP+oXkNsnvNxNnEWHwWPwSfCn0u9C0raTPBVmSkA3ypYKLW7mLELpxPOFFOHnVd7N/mEzh9PGoE&#10;qsrnmXVPnoMRWpbk+MwXaGfvuQS9LepH9/jbl+repcDpgoxRhYDMph0qcWtHAU7DVmD/2Az5nA89&#10;led8MyNNjxl5jG7SU177503Rc/w+E+xr8wwn4c2NACPM/J5JT6kPPK5+awILdxr0VGWPU9mLtrK6&#10;vfcmj7IzYswCpWe5WTPpaazYnhFie3T+azCR+Vdi11iHiDfWes20cF+fABrKBvGRGDsvib3a7ulW&#10;hbt7Wmjcpxp3yd8uOQFkHhCQw+O2EuaAWnqZhnX/xu/j8bQAq0F2tOlR4ZNQaiFjv+irvEdAZNp4&#10;u13C+VlSCAAyAndriyo06WipH/3q67Mhr3r15byuaPD0/NGPcVekLKCOlbIzsBRMuCrMj0TZYrSy&#10;xXg0ePIBNO3UApPDkjQv+Rx3lbIzezS6K26493aM3rb0e0WeSDy6486JOzNWv71LANSg5RamZRVh&#10;tOzKeL38923XIkcc5Ck1kmGGMuS83k8bqTt5Og8aVrffIakDF8PIFiSaJ2RyXsKb7TrYfoFVp72M&#10;ujpeeX/2rlU4zOMuGnUvxxtySCcmjcV8MepGhyRGmY16nxYgpFeZjeAjXq/hs2u7tlvxkJ1Onbt5&#10;HsVo41TyNjjTC+KQXp84Vuv1MFrmxtchjjujXruL8kJRCAMgkd//YDTbWLCEgJ00X5snjyOY43Rr&#10;RBARHZfjwzgBwgquyZtkjwGjGfvnsNWP/3YrRycz6mYYg9AYMwfJb7sVXuVnEVjOi+cYkIQ3x+qZ&#10;2TkKOk2yc34Ld6zCEdU9yl6bv+ibgMmpvafjd23WoumAINal5+LduGRN/L5kXYWT8KGeviJjwrk2&#10;tQWiHBzrfbJmzC1LhOT9L4cka1kLk55yfEmsS8Y1r8+pstfi65Aje854115vtUmBk6wxFij9NiSb&#10;K1+So6djRmC12B6V++VqpO0IIm6FhSeTbMDE47YmnQLonGNh5GbbxjMKNCRgV+smDbEsGwTJe4wS&#10;ERwQ7LBszQQBSLSRBEc8pub3mLOkn/EBmq44CgUYCCpvbVmFhm0rsOPAeyGPevUV/rqiwdPsFYc1&#10;8sRu0Swi+VMvBN6o65Kdgt/eeoMs6rl6PKf5TLU+xyhTjykj8ZtbrkfMkrzvFXVyiNE2Vr9lGLbD&#10;BDsczSO8B9qVoYn8fXKYhXv7CXWowOaB4hic6FPIMDMHafmaEh/AiUZdHPj8KZqb4mc3zKgNE9VN&#10;u2F1XvL7CzYvx7Fsx/F6GN4QcDqcl4lCcdamBr/8bcq+f85knKND95KdRl+MOvth8RjJrrNUt+wc&#10;Nx4vMGr3kZ9qzAqc7CNMu/9X3bI748J2K/tnT9beW34cEtutcE753HXNqSbc7rdwv+gGr9sfjxl1&#10;aWRS+JxOStT2OnSIXk6ZcvI5eOPyVQGzxoiho3uZaXrUytwbPZKsxdchjj+vom8vmYYvhw6xx9iN&#10;r0PUPZGdRScZBVHdCyUe16Zw3Xt1ktMj0V123rR7MXok+ncuQYOOQQzutgBDuxXhKMeudtV1kugw&#10;C0jy0sAsbQvkDZz4/rS9ZXh2RrZ+z3uuhUL5UzweUz31mCPnGLCqsshnP0Vb9hemZmmNN6/8KRJl&#10;nxrSU7996tjdYOWahbbcsrlhVfc2Yyz7eK6dXYalbyEvwQQUBDm5RrTzBETh5Gb7FRxRr0Jzz4gW&#10;P/tTb7J/SuKYjNtj4cH+VWjQuhK9Urfj1T9dbc/i9rpiwdN7H51G27iNqNeiHFElfwPJ4mKcmNPU&#10;OnUQbrj3Djwe2w0jNy5CrktEacqrm/T96+5uhIi0OPQrnCBK7b2r8ySGYkM7MoasuUuLzA6iX5Gl&#10;ETmGv69tVaNJv9ohnoZZiPkOCzctCwEnF74homFkvgjzKb5x6te4GUWHxDCy5QUTz3ktntEPN74k&#10;/i6NJ9t1/Gl8qP+Xl+OV3yZw4jGgtrGQ73o5JBr96XtW69EN8678GPWPeIxUMU9BEcfGjS9JgZP8&#10;ZQ6SFu704ZAc2Z3+XybZtd1KgU/ZBbRwDJesX6Lj4jWn2UeqEV9Tgzu7WmgcUYXXYsShOuBJwOup&#10;5GRsXGK3WyG4cONBovzMI1q0aakA8VDUzXMM5D15jhNstyLf8aN7BL575+bbCfJeY0Ci7D51j7KT&#10;/+L1ontOxNA0f4NjEcibhidSg2gsY3dje5nDnrPkfY5dmGwiJ4E6c6cIiDiGprmmPrPIpwInUvhv&#10;h1MI4LN1SqCsUI8yTXpKAMFyEZ/6qXiusts13thuhWPkxtchR/aLbYG85oi/K7KzoCvLbDjzT2DT&#10;ZbJ98YXlVlivbti671IxfnERor8S0U+k7WRz4yrc2rICBYtfwrnzVxPF3V5XJHh676OvMKXkRdR7&#10;sgLNkqr0JsbfxOKShZ62fTmSK2fj7s7N8VhUV7CarxMqdYhAiZGpjplJ+NWN1+DaJg00auV2xPfn&#10;EA2N3qg6IAZTiMaa49J2nIV6rYOY2XuaGK8YNW6H8zNDLQ/sGjNu/Eg8Zpi+pxwvzJhkHxl5GXWS&#10;GMaTKcmwVhcawQejIny/PDAfH4zx1/+LLR14pEEwZwRO4tRnyo6fRyZmhyS/K473g7Tv2q1ojk0t&#10;ng7ZztDChuVsPpoispllZ++yvXPzLh6B1SU7/50OieUAbNmFr1H2WG3wfLH3YC2dCyeO2/QXKpGT&#10;WYy72lRosdUj0aHIk8wBozuskK3tVjzmj3LyyJHRI7apMY5ByLHyFuLc7eZWPxwjRt0YiVHQ7kv3&#10;hmidLMrmqXtC5L9Cj7D8N749IBuImftWY/TOau1Of3sn2cV3KMPmgRNwSvPEhAfnOiEee+Zxrit0&#10;PtxkcIh6OmfnShzL8amnIiujRzzuzBIdNOkpwdXmpTPt405fehqPp+fn2xFHA/hkxJFHesdkI2Zu&#10;aWTLzqN2Rvoom+qpEDe/PKqr/0RANn2st2T/+99CHuuVRBzXrINBtBgW0FObHsO34Z0PToc869VX&#10;+OuKA0/H3/gcseOfRpP2Fu7oUIlBxZbeOnNTlJ+Csg5VCXCpRFLFTPy2/o0CkuYh95X1l30u79gG&#10;DLUK8U//8W+4p0tL++juhzAUIYND4i6DFdeZUNk0ohKvDBInER8bitpwN2yKfAj4eHo1jgrQ0iMj&#10;r4gQScAHIzDa8kJ+3+sYkAafzo3VlW3wIUbX06jHaQ2gHSUFehTD73rJzmgIj8Xe1B5a4jC8ZOdO&#10;XsDHe2MZtTF37ecxE3fy2xZNs3O/6DB8yL6tZLq/VjEi+7xtK/VYy1+7FfapG6e3/EwRDgKGySLD&#10;kcKJKOufo+19bu0QREV/3myM1ltvLH7I5/eaP4IPFpnkXPOygXH++AzyGUbRqFOmMaDuOZEY37o3&#10;IgWlFvOnDLLLs3EcWGH60xGU3QdwEuKRdb6sbcrOIyTmzvCYvH5EEE91WmUf38XH4LzIu3vZVBS8&#10;VKUVrJlfxpo6brLw5tr8rcs1V07Bh5ccIT19ZzzbAvnTU0bftoueakkOE/+Qnm5e/J2euvF1iHo6&#10;X0CQtjQib5OeiuxH8+zj6nA9pa1S8JRs11zqmhv4ZeYj/QjEMaVPaDE8oK1Zug7dik8+/ybkXa++&#10;wl9XFHj65sw5jJl2ADc8UYZ7elQhfmVAo05uSvJTEG/UDS6djj/cdgueTOyNf/3Nr9ByaH9XYDT1&#10;xGY9rvvf//QPGBIoFAN7OcD6S4kGibkCd3Wz0KBNAPN75ePl2RORv99ueUGZ6kqc5K0aRqZeY8sL&#10;EzggiQPXdh3rze066NgI3Fjx/HQyjwENzkt2q4za8PPawFXIy/GyACKTc99Nr6P/VzjxPZH9bXFe&#10;C7Ysg6ndCqM2jMgwKfZi81kv/vJsTChev2KWPjcduxtfEn+XDokVz1lI1G8bCybY84abETi9XKPA&#10;86WpWeIkozCr11RcG7FGr3WP6FKIkyOSsWLtQuXjOX9C2m6lfK4mKxvnj2MkzpVVoxmJoe55yakR&#10;QwFYPFb2rXupKXoMpLpXa62FkwOcWIFega8P3WM0iJcknMbHXFfskv9YPGtiBXBbhwBye83A1/Hy&#10;2WTR06UzkLg6gLjyoDaE5YWOxAo7tSA83yb9yDq9ffcRW+uY5NC5jhWQlaa5Zaaoq+qp2EbeFL0Y&#10;tTM8J6uGr105W0GT1xjaerpWy2t8xFYxJj0lqBLZX5w2USOJbsCZYzNwQaicQO+A5j/9knOT/lrE&#10;MeVNxrs6ETyVIS5jN86fv9rXzu11xYCnDU+/jYHpu3DLUxWy26vC8HVisA7bNY3clOSnoLyj68So&#10;luBf/uvfcX/Ptmg7KgYDijLtfKZacuYeWS/PsECA1s1Iqpj1g4MnAiKebUeMEwMfYeHe9uUoKlyA&#10;6S9+B5y442OeFMsd8JjP2R3TMfL458M0Hw6cJIaReUI06l5X7kk0yjySYiPUi3k8BqN+Xt6v0R5a&#10;a/T7XvxZ9XihyM6r7L7arYjsjE7N2sXEc5NDqlYHylwQbddhckjiECk7QYYzLl78WbGbbSwYifPb&#10;buWF6ZMEEFV6A6fn7EhO3jNVeDV7HM7F8Hp6PN6JS8HwHvNwY9tqtOq1CovEkbPFiJeMBE4s5Ll+&#10;+azQ/Jkcpz3H++bmaVKzCTgRPPLGJS8y+NO9GHwycnjoGr33xQECHwKnDUtn2jfkfAAnHtWtUd2z&#10;AQX5s8xDv7kWbnk8gDs6WLg7shIxXYsxp08+qssK0Wd+UDcrLDraOCKAm1sF9Xiv1cgAUoJ2fbZ0&#10;sRXM8+MRqRF8kEJ6yhw4zqXXc/IZGTniEeNZFic16an8PiNOjMSNN6xfEu3DsrUlOJliaBVDCgGn&#10;Z+bkikw2+HTjb0fJLTwQzeOkAHpMFft+BRSj/FsjjjMvV93VtQp3RFRh/a63Qx726qv262cPni5c&#10;uICte99Fg7bluO6xMi2Vn/w3Uk28Nk05vhHRJTmaCJ51KICC17eKsrongrNJMFu3/Lre9RhYNPEv&#10;unHnRmwxMGCBhXpi4FnC4J7OlegzrQqjBSjlv2KpYWLxucY08ELNBsu4BgLIfrUGK0Wuk35qOInR&#10;vCDOi+0xeMRiarfCyAsdHHfxxlIE5C2GmU1KeeXeVDWc76WJUWfFc7+tINgLjWCCBTnpkNz4ksib&#10;wIkO6fkZk/T4wXhEIYCBDpr5XMZ2KzIufD7Kfprd7MnfjS/JkV2A0z5xSHRGBE5ufAma+Lt8NuZZ&#10;aVI0K807vBJj8ErMKD26a9ghiF7i9Am63TYk5MP5o+Nk6x46ROMYUE4ZB97YI2jyOgYif+oGI4bv&#10;jx1p83fj65Dw5xh8MmqY3mSjXG58SeTN3+Y47ShmuxXRDR+6xzINZcFiBeTh80fwk1huifORcWth&#10;X6ev174aDTsGNZG8SXcL9dvK2pN/uzZiLTp3WYbHI1fj+ieDuK9HFZJ3rEHZ+oV25W0t8ukxjhxD&#10;GYvXJ6X70lOCPI0uTpvoS0/5nKzszcr87J/nxtch8idwXlFTYtdJ87PGRHb2yOTYU1fd+JJ0fMX2&#10;JC6qxF1Plmm0fMSGv51epVcKcTzjV1po1K4SD3avxslT34Y87dVX7dfPHjx9/c1ZdE/ZhpueKNdb&#10;GGk76fzdFeOnJhbDHDAvE42aP4gccRY5DK0/FzpWrGU4eOMuYVUB/u6f/19ELcz+wcFTroxR7HJL&#10;a6Q8PMguYXDLkwHc2zuAbnkBMUyWFozj7RZeC2ZNlSadA3h0RDXWDs7GN3F0st6Gl5EBOmTeZmP+&#10;i5scJHVe8vx0viz859d5nUoZglU1xeoYw51XbeJ7414O9dDyadR5HMR2K/n7y304JDtx+eUpbGPh&#10;wyHFxeErAUGlPh0S+bNau7l3mS37GaHtAmD4PS+H5EScGK14d9yoS4GTUgK+HRyHib1m4bpW1bhf&#10;Niass1P7uMSZPwIQXv/32yPxm+REbF7Cditm4MRjpqXrF/vuU8f+bW/LM80U0E6H7saXpLLLbzPq&#10;xWR9e/786d5KAbOMEJHHZbwFYA5fayHZstB8dFB73N3WXgBTmyAe6FCO+O4LsHXQBKUP44bieEwq&#10;orotxG/brMXwwcX4ZkQ8vpY1dibRiQrVGk9GReXfGeE8ljsBU/f7Afg1mLGnDK/k+m+3whw3gnY+&#10;pxtfh8ifEePVoqd6XO1HT+UvgTaP6HnU7saXZPNeg+U7lmLryElo1n4Vbm5hoa9s7q6Cpx+WuGnu&#10;lG2hQcsq3NqqArOWv4xzV4/tXF8/e/C0Ze87usNr2rNKi6Fp819xCm6K8ZOSOBfemHsividuffxe&#10;BU5a+FKMRuYzlRi3p1SBFItoTthXhoxnKtBrRjr+1z/8HaIXTf7BwROJLQdYRG7sbjvnguX4OZZs&#10;ccBaUARNrUbYzYR5pECgVV9A1H3tK7BuQAaQRCfmYoDFcZ4VgMCcFF7DZsTA7fdJ6rxkbFinZ9/c&#10;XD0iMPU5Y/+vj0cOw4o1i4S3N3DiUQqdY6BsrjbW9Y7aCIlRZ0ThwCwZcxZPFIfgxpekDkkMP29C&#10;2e1WRHYjcIrHJ6kpWmeJOS0m2XljjzfbvmLul8khCW/WL9q0dKYWBa0zf0rWB3kzWrZgy3Kt+8Tj&#10;rcv5yjjHJyFGnPoNrYLoNuVyZ2WPgV2gkkdvviJOIueXKUP1arz2SPQAeJRzkoxxoGoBTrFPnXwX&#10;dM5uvEkh3TsxaZzmeVE/3PiSHN3jPPMIy9f8hXRvuQAKr2gWKedoEFNfC6IgZwFatl2OJzuWYlLP&#10;WdgTlS46Jr/DsiBsb8NbjPLfGfLe79qtQ+/IRSjpnY0FfadgVf8cfBQrzx1e5oAkclJP/VTm51Eq&#10;1wAvGbzGWlXR8nuch3B+4aTPaRdSLdmwxBN8kjhH/I1gaaGdP+VHT2UjwIbQNnDymH8hgr7FG5fg&#10;y9HJWNsrE7e0ZQNeuyim0+T8Kv0wxNxW+oPWo9jouBxP9l+Lo699ric8V1+Xvn724Gn3sx9oFfE7&#10;u1Ro4mX6ru9qf/yt0WRxlt2njMSvb7lOgFGaJrNPfX2LRqNua/Uw+hZO0P9mMvn9PdvhtpYP4+//&#10;5Z8wYl2xAi83nn8pOcngdIpMHo9aZKFZQgD39rTbHKQ/zSiYvPdMELHLZJwFQN0qxmtSr5l4Pz5Z&#10;DCKNepghFvDB46gXpmbKbrhck3vdfpekzkuMJ6MDz09zjrs8dv3iMM6L83pv7EhN/mU0yQt8qFEW&#10;QLp2xSz7qI7AzI0vicApZNT3hBdPdOFLckAZc79YCdxXGwuVfZTmLXlFy/jvWQpIqjS5WHfynrLb&#10;DumLoUOwbsXsECBx501SZyrAiREF5qK5H4GJAx0cqzfurm9drf0hx8raCo86UU46P9b6OTgz25bR&#10;AD4o56cjh8P6/9j7D/CoziVdFL7P+e+55557zpw5M3tm9sze22E7gskGZ3AAk7OQiCKDspBQAAlQ&#10;ACWUEQiERA4CSSh1tyRyDibY4Ag44JwTxjbYBsP711urGzfy0lq9z+xkrPU89TRoddeq9YWq96uv&#10;vqpqo9yGlceJnsh8+U5V+RI8P3UKDg4dhjMTJ+Lt6dPxFeORmvN3ezOYuLHAh7FH0FckAOukbrUK&#10;Px9AO7cMeeLSl7HHxRAPAlyKjcZLQYk4GTJXeBH8UXavZ6kXKRTVYbnoPI7xTy50GNWA+/wb0GZ4&#10;A+aPX4bvIt3zzA3wuX17tCzfGKcWAF/HqcjC4G3Giekcsxun0rY83bdSgDXj7Mz4eoi8dZxuWGwA&#10;Qh/G6VfxsdhWKeNUfqtz1IQvSQ9QCG3ZuhqnZyVjx6QUBI5ejzZDCORFz7/8d5KC5iYjznHGuPLE&#10;3Z29tiB5yXO48mNrrqfm1y8ePPEkQFTGM+g0pB5d/eswMMF9EoOxGSYD429J9Cqxtl3PoFG459Eu&#10;CpIYDP506Dj83//t/0HP4NHo2O9x9I4Yp96moNVZGDhrOlIOV8r7WCuxPwdp6QKZONyyY60ngim2&#10;I/MxEVxRUY3KceCh0Q48NkKM04Rl+DaCXgA34BHFyG0xFhvOe1ZWwxYy/7Qa3qxFWW0NrxgMHnd+&#10;MyMZq/awTp218aJhZObyPeuKjNWwlVInCW8G5zJdgFHGwl6pM3/R9XIrlgbJkP2cgKwVezepJ64l&#10;2T1GnYDk0KoCI3eWnUGS+18kxKNhy3JtU8pnxlsNDfv4RSdqHSvxeUKcGzhRdm/5WeA2CoeDUjHQ&#10;vwKdRgioXm/EwXl4qZwC0pYe3oKXuV2pMWpWbSD3pA2Yf8go9cNTby23Md8jT8DHkmXpyH66J6Lu&#10;a4++t96KOQ8+iNzu3VH85JP4gQBqpgB4FnCWNr4k/cxiw/Qk2W5hCf9lByqMrVYde1ag3YjNeic9&#10;SQvf+jr29q4twg8atyT83d6lG9vZTRx7cTOxbW0xgje4MLHUhemrnRi50IGO/i6tldcwLQNXOM/k&#10;u8xVxe0uxtixD8xkILF9KSe3qzXPlg/jlOkQXl+YitIDlZbgk8Q+osf40Mp8I2u4gEtTviQFTkww&#10;OwuOmrLrc8iML0nH8QsNqHeswLeJsSgatwgdRjg1/o76xy/dicAiB+btF13fCqD+bKQpbERH5Jx2&#10;wm+BU+OI5xSewJUrreCp+fWLB0+8XnrtSxStfxljYvZqMUNmom0psPVvTQwQTzqwCeML5+LpsHHo&#10;FTYW7Z5+FN2G9da/xzWIYhGlyC09fpfeKjM+fwrRaBIUcWL4slLT70v7Nffg8e/pz7kwdYUTD09j&#10;UKEDO7h9R8MgSpeV/A+KwbctPipEjwWPYb/JIrk+GC+uhllXjOkR7E698dkFJ2o1CSG3NiibKV+S&#10;KvUInJ8drwkts0861fiZ8SVRqfPZBABMF2BvkGQlL/Kfzk/TpJY0vGZ8PcSAXm43nVy60H3iy0Z2&#10;ef7Hc2dr4DkNUouARPqSYHjO4QaUbFqHL+KZvyhE+ESKUSY/voP7WdKfzwYnoU9AlcbqDJrj1JWo&#10;Z0HC92cfrNi/Ga+JofUluJ/vwXQPm7XUjzVwYvvnCYA9tGEJhrVri8ROneEYNgwNQ4di75gx2C7/&#10;7iNA6p3Jk/H6tGl4d8pUXJwVhyMblyJfDC7b0IwvibKTP9M9vL6QHkPfxt5rOfM13xLHlt3YY53B&#10;ozL2FPha9p+Q3GdySqbZIGhn/Ta2M4Eqvb1j8ow8WwMDKvBlaAy+TjC8i3YJSglMOM+YCZ+Zxn0F&#10;TswCzhg4ljQy4+shvifH6XNLs30epx+mJBqJO63GqZAxx5yamf/r2Sy3E4bCiUW4y68J90lbdORO&#10;Q0C9FjsfPNehVRI8Y7OV/hMkOoKlvHjCetIyBx4cV4e7e29B3a633Za29fK+bgrwxItVn3c98wE6&#10;DKrDk8H16i3xBSj8tYmufIIiFglmssy4xhWYvipTUxgwDkrLtVgolj+VGBPAunaMbeJR39Qj/4m8&#10;V9KmVFL0Qo1f4sAfBzQiafxyUbzBms9n14bFWKheG+ttBBo3HsN+z1NuxUqpi1JmHp0XFhvJE22N&#10;lxh1xlmdLPYFfAjJ83mU3bWlVLf4LA2S3GNuHBovrVNHz4et7JF4fkmWGhor2RWQyP0lz2zBC4sy&#10;jazhdgbJHRTN002UTeODmvEl0RAzYaPfAgf6JTgxZsomrBmfiwNByWicloGqKdlwTM3EJ57iv1Fh&#10;WDG5AHcMaUT3yQ7EN/20uuczCACZtoCV9H0xyqQ3M1OMVAcWcpI4dphn7OjqRfguLgZP/Pbfsalv&#10;XyBWZKOHadYsvC2g6dH/+A+kPPQQ5j/8MFLv74qF08djZvUSxO1aK6DfvA/5XHoUN8jY05OFPvQf&#10;PYYvSn8Q+FI2O+CkZYpk7NnWbyNJ2zFxJxPBmo09pgZhnbGHAh3oMrgezhnZ2F63THWI3TilnPTw&#10;aIJS7SOT53tIx2mEys25w/cw40vScSr9z8z89DhyYWANPjlOw/G2jBXmeDOAszlvEhdVnGO7Ny7B&#10;Bel/lV1A/bmwWYgeuwpjRm/UYPv08cXo51+JNoOcejpMY11N+LWSb0S9zrE2cakslhId6Di8Fo+N&#10;aUBS0bP48NPWDONm100Dnngde+FTBU+PTaqXVfbf/344t/EWUlm8LGBKPs2+858heo64hTks2YHH&#10;pzo0pxMnBrfkCt8w/40vxBgontS7vX8jIkeuwhfxshquFQMg96yUOlfCLOdS2bAaH2u5FVG6Phiv&#10;455yK26jYMabxG2GpYcrNUuxJk+0UuoKPowyFvQika/VNoLhjXJi77oifK3JE32TnUHUPpXgEEDN&#10;zMqvquzC11b2MJzLSMFqH2oPEvSOyeMJGgceEaXYwc+Fx/xr0XNkNR73q8HjQ6vRY3g14gNXoHxq&#10;Nt4ITcDoURvRbqgBkj1xTuw/bjlublqDj3wpl+MGgHwn5vhinJWVnBwbSwQ4vbZqMT4MDkL2o4/h&#10;yd//HoNvvx2fBQcb4GnmTLw1aRLyu3fH0iefxAF/f7gGDkJoj0fxaI8HcE+PburBZZ40b958LkGB&#10;jj0fy63cUOpH+s9u7BHcs6yRff8JyfMJ2utrV+hCr/m84dxlGaXIKicemyjgaVA9/EMqkbKvHlmn&#10;7cfptoplmpTWdpzKHORcObIiH3knjHxgZnw9xHI79P7yMIhtqRgFTkZ2e3rtdJya8PQQ+4cHD3hi&#10;k7GHhuwefhF4WwDUyyFz8FZ4HD6ZEYniSYvQdrATQ5KdyOBi2WoOtFKLxHbjjgJ1RGe/OrGhteg7&#10;dTvW1L6Kjz9rBU4tXTcVeHrx1S/QkeBpYr2i6F+1K5eKRBQKg/54go65ZpiOgBl6+8U4EF1nBNbT&#10;i/QnxQzIb9iujDe4t78TY6duwobq1Ug+6ECm/J2AVUn+7c2XxouGl/EXjM+xVerhzNwciYOrFyHv&#10;OSbutAZODGxl+ZG30pMUtPgCPng8nx4wyma9jSTA55RL808ZZSzsV/IMDmfMksZPWRgkvhOBUyll&#10;z0jWLSI1OmZ8SW7ZuYVJb4iu5Jvx9CYCwoAs6fsxDtw5tAlzA0s12J8Fa4P8VyMmeA2GprvQI9SF&#10;jkMc6D68BiP9N+KB4XXoIuOG8W8cI3wG25hAk6cFfQG+7AOWW1l6uEqD2C3BxyuNKD1Wiz1ZSdg8&#10;aCBmde6Mnn/4A277h3/AI7/9Lb4MCTHAk/CmR5EB4+fZVlFRuCx0btJkjLzjDtzevSvmHK5Azqs7&#10;dOubvBW0C//qupV/wtiLwP61Rdf7z27sEfiey2SpH763Vf8JCWj/LGk2Klgj0WTseUAAgesj4386&#10;+dp+kAPBG5wtpmLhOGWiSQX49Nr48J6XRVZ+35dyK3zP0n0V6nHk+LZ8T96TccrtaubZsmtD9g+D&#10;3+kxZl4p8/krf1PPaCjeCYvF8kmF6DasDg8FOpHyjKGXzHi3kjXRM82YxvaD6zAwaAfyVr8ktvRL&#10;XPj2B7dlbb3MrpsKPL353gUBB3V4VMATt6h+7eCJ78/4LybBfHCUAw8EGEn7Ogh183eIcubpRAE1&#10;R4ztPbq+vYOCzYjAiIUj6cHqIMr88cn1GDLPgadnODAsxYHh8x1qrFl/KsZp8MwS40uvAjNpfx1P&#10;pW6z6hfFTOPFHEC6nSHvYmm8zmzVQGx6FHwtt8LgX54molK3Ww1nPe/AYQFCjOlSpW5pkAyP014B&#10;WozbIHixkp1H6Zku4GMBcj7JHhyCF4uyNFDXziCln27A4udq8PTkWrQfwlqPDg08/nJGFJomLsAb&#10;sXM16H2ByDh7uxPT1zgxIlMM9gSnguyHxxp50xZK/6Wc2abbQF/7VANN7sl3Ti7L1vxDdsA39ZWt&#10;amA/KsxCdd9+6PTPv0FFv37YNWIEhgkgWvjYY/iR23ZmzyIJeOL20YC778ItAx5H37FD8MCgpzB9&#10;Yy5yzm5X0O7g2Iv1fezt0lI/9JRZy85j/KUHNuMj6b8ffRx7H6TOxbqdG42x5wZK3kTwlC0UWOJC&#10;pxFOdBXgRPA7JMmBeQfM9RrHKYEeT+D5NE7lPbm1uHWTURbITA5v4nuu4Dj1paoAgZO854tFmShk&#10;2hUr4CwLPC4eOJ4JtC5zbLUIysJ1a3njlByMHb0RXYfUo9OgelnIOZHFhZrNO7SSOVH3j8p24p5e&#10;tegzdStee+uC26K2XlbXTQWeLnxzGZMSD+Du3jWYIMCA20tmg+VXQaJImOl4/GIjbxMBVI/JDj3B&#10;Q3os2IX2w13oNt6FJ0K51y3Gc5VTUxUwOLglReTZCiVgYgLNTsK3syj3rsxCLaCs00ABVfI8rpQZ&#10;LzOpTBSvKPy9FUuMrMO2xsuoU7e1okTjU6jU7YwXQRBz7/hUskRWw29lpWCZGGsaHCveuo0gK3KW&#10;W9H4KR8MEj0PrP/F31rJzr9zJb9214afy+7entJ8Rp5P3gsOxfOLs67HlVnKLiv5gpN1WJuxFE/4&#10;VePe4Q3YNCXXOE4eEopvEmOxbpcYcPke+9rwFjqRccqpJ5gCFzkQVcMAZqONWevtewFdtv1H4yfE&#10;nF005vSMWclJ8Eiv2/tpSbgm/F8ePx4dfvMbhHXogPv/7d8Q3L49Towda8Q8mT3PTdekzQ4HBGBa&#10;x4446DcCufd3xe2d2yJJ2mlrVanPY4/Aif3H9rUFFGeNscf4N5/GngAKFnOmh9R27J1uxNLjWxAQ&#10;XoV7+jgxrkD64kUezzf5rvCi1+b54uyftqtt3vOHyBkKhhkYbiUHiZn5V8tYocfR1/c8VbxQZOI4&#10;tVs8GMDpnMxJoyxQC7yjwtA0PQN9R1bi/qH1aDfIiUcnOTRGh9uUrVt2/4ck7UbwxDCMrv71uKdv&#10;NUo2n2lNjOnDdVOBJyby2n/iQ82Men9AHWbWO5H/usmAuYmJWywEjfzkqYkB8QbI6TOTx3odyJN7&#10;ee82onTDOkwIWI9eI7Yo0LlrgICpfsZ35+1rwQUuq0R6kgi0mHGc24FMrDlrmxPxTQ7E1DswdaML&#10;05bW4f4xTtw5uFHrdvWbXI0LkbLqnzFNXe6mypEkSv2qACfGgbAciR1wYnbuNaLUL8bFaCkVa6Uu&#10;JEr9XHaqekN8ObFH4MRipcrbB4NE70dt/QokvbpNCxRb8ef7bdi2HhdjZ94ouwClC2Lk6wcNQq8/&#10;/AHT2rUzwFRohJ7AY5vYASdugZScrEFTah4eHlSNtgKcRo3aiK8jpA9CgvX01bKDFWq4fsaHRkiM&#10;dN6rYpBkDBEgbN+0zJCRwMiqDdzA6RDLrbzYYAucUs40aSzUZ/Nma5kORAgIiovDs6NGYdAf/4hj&#10;8vm7//E/8E//7b/hlQkTgBiOIZPnuokA6mq8AFEBWucnT8Fj97dH3eoCXKMnwwfgdE36z1XNOoP2&#10;NRI59tZt36DbuPaAQkje782FqZqJnv1jxZsHKnia7s3Fadg7eYGChceDeODj5/OS45Qg9UxBhs/j&#10;lKcrK11GdnsrOUgEzhu3rdPs9r4Cp2dLctWba9n/okvYzowH5ClMltJpkbcAp63T0tHGrwGdAmSx&#10;Fyx6ZqUTyYe5pdwKnP7TJO2Xc8aJIXMdaNuvFk9NbGoty+LDdVOBJ8+1dNNpGQQ1uH9EHcLKHbKq&#10;vvknGN9voRi9qFqHli0Yle3AQ2OM7TkCInqKcl4VgybKlivO7+NmqrH/IjwW26YvwMQx69FhqBO9&#10;wh16RNoMPPFvzD7LMjjt+jowaZlxck+3+8TQZr3eiCVitN/JScLa8XmIGbcST/jXoM1QWX0GLsXa&#10;qTmompKD7yMYuyJK3qMcRWlqyQsBEltYK0yAhZVS5z0qXmbp1sr3VOreytabaLjkPbmlcrogHfma&#10;jbnl4G3ypkFigs8zeWnqqbIzGJT9G5GjsmGNGCS7rOENRtC8vOe33nXqBDR9L0a/buBAPUk29t57&#10;sXbAAATceScm3XMvjq0skBViE9Lk92Z8SXwu343lcD5bMBvPT5qDdn4CioWqpiwUOYM0wSi9bvR6&#10;mfEgkQ/BT9rLTdi3rkgNrhrl5u/uIbaP3L8cNQN7NixWo2kVP6NtLHIyWegXPLXoaQOhyzNn4pXA&#10;QBQ/8QSW9eyJzv/yL4js2BGfewLGvZ/bEgmAWvbkk2j3m99oKRzL+DTtvwgFB7V1K80BpRfxHr9T&#10;If2n22NWY4/kHntn8tNsM4FruwhwYqoDlgZCWCi+DYvGU/5btLZgwq6fcm0Z3zVO972WK+OU4NOH&#10;cfq1zHsW7eU4bf58b+I4ZaHtmvqVvtWpE9B8Wdr68EoCZwKnFvpfQBNlZzswJQK3MH9eFsibqKNi&#10;4BdQjrsHNaJnCEsEOTTuyzthayv954iLbVboYE27Jyc04fyF1ngnu+umBE+XL1/FuvrX0c1PBsPQ&#10;OkxeTgAlg+QmBVB8N1bCHl9kBJe262fUomPMCuvW+ac5kLjHAFgsifFTmRIq20hcnRmE7IlLNfXA&#10;2EKH8jIDm6wWH7zWqR6qRyc4MGe3E3lnRRmKQqQiZwCzHgHXUh9c4UZoXbQeATW4e3gj/jh8KzqI&#10;ETgSlKqrSVWObqV+niVLRKnbl1sxCriywrtvtd4iweLB3O7i9gCNthlfEp/LoNulhyrxeg7Lrfhg&#10;kMRgfDknXlfnduU66M2g/PU1pT+T/QcBT0z82O3f/g153bvjMoHCrFnqhep9223olxKOuQc2CYA1&#10;N74eY8q4FM0/FRKCLwWkBo1dg38fth2bJ+bgs4WJWHJ4i60BZ/uy1tuRsnxDRjvgJIaTtd6YwkGB&#10;kwXAYxvQsDK9AjONewOni8JrTe/e6HnLLXha3jmqc2cc4pYdty1J3s+1IgFgL8rv6Ln7cOrUlkEX&#10;+0/G3oWEeFQJ8LUDTur1E9nrZOzZF5cWkrHHgGzG/hAQ2Y+9Bo390qSxyjscr4Um4tERNepxCS13&#10;atoRfp8nFwmCX8+R7/oAnBinRKDKdBFW45RyeLxuTRXLfEvSKv1/Udp4D+sUSt/bAmcZp/QYfzrX&#10;lzqFwluekRldhg5jG9XbPXCWw0j54g4haKX/PBE88XBIp+F16DmxCd+0ep5sr5sSPHmu9Y7X0XlI&#10;PbqNqsecPTdvAHn+ay6EbxZQ09+IPRqR7sCkEqf+be4+I2g570UHdm4sFqUvhuQGZRiJbyNmYNrY&#10;tbhjaBO6T3eivygnlmIhb42FcQOp9OeMrMf39XboKb7MU/J3aVMqyzU7N+IDNdreypClWqKwO2g+&#10;iiYV4cmAatzn14CVk/JxeQYVfoQaL9ZWW79jva3x4nMMpe5LuRVDqdM7wOPmec/aJO50G3UGnhuJ&#10;O20MkhhFeiw+TJkjhkAMkg3oI2/mr9lebiK7GPtjI0ei029+A+egQUacE/uJz4+LwwG51/s/foc+&#10;sVNQ9M6+G3kLcPUAyvUC4D6Zm6AG6WpUOJ4JTkF3MbzthjtRsGAF1h6vsPW6UU5ua55cstAwbNzy&#10;8n5vb6J8AqzOC/jwpdwKxyGD6J3VpfqbG9ogJgZH5T3/+f/9fzGpbVu8HxSkp+joRfLZ4+RN8psn&#10;fv97ZD36qPl2n/ZfuAJNFhwmoLQ7tUiD3VRRgu8IfK3GHknGHrPtP7cs2wDtPow9HufX2nPXs7WH&#10;43RIIgaP3KynZbv6O/BUuMzr2gYs370Zb2mST/txquVW5s/Fqj3llh5HEuXgNuDu9UUyR4Wv3RyT&#10;+yy30lhpZLe3Bs7GOKXHWE893qArTEhk54nbd7KSse7gJkze0KALQp4CnVxqJMe82XcU/lpE8BRe&#10;4UTHIXXoNWkrvvjqe7cVbb1aum5q8PTtpSuYMucA2vSr1VpIdifJfpEkyoOgkJmI2z7tQJ8o91ba&#10;WcOtnXG6AfnP1mHfmiLD4yQG/0YlFYlLskqOHrcCDwTUo7dfFe4fWIuHREnFNYpyeklWuwedCFon&#10;wCnLUOBU5EFrBYyepbJ0YVPjGmMVaaoMRcHyeHF0KJZNKkRbAU/TBag1Tc3At2Ez8H56koCPcjXq&#10;VuCDSjdXlDpLXvhWQ8vYojiwZpFmPGeckBlfEpU6lT4BnG+JH7mSN8p10OAR9JnxJXkACdMtaB/w&#10;9837IDYWq3v1Qvt//mdcDA290djLv58bOxZjbr0NA+aEYNHbe2/gT7lJW5hCgHl93N6QK1GRyJiw&#10;FHcNacSTE+uQvKseWWfsPQJMK6DlVtTjZNEG0j6MEfo0KUG3dgic2I5mvElsg+xT9di+qRgXeeqt&#10;ef8J2Hl38mRkPvYYAu+9FzkCesp798HJUaPwJQGC93d9IWnT8cJnogAxBWDe90Runoh8h6V+pP98&#10;GXsGoFjsLvVj4Ykj0RMjAOsZ5k6SuWc39kgEcFp77oaxJ+NMFiCHg1KQNWEJIsasQteh9egyqRFV&#10;sQXyvRCbcWocYOBioHT/ZstxSuJ7clv7sMjta9bwzxLjUSf9T48tQaAZXxL7n/erHSvxJYGTncdJ&#10;ZOdpQOZsY+Ht9LPMhefC0GQHOg4yDqRMKDZ2FFoB1H+SpP1oG1kMuE3fWkyddxDftnqebK+bGjyx&#10;EHThupdxR89qDEsW8CSAwnTw/IKJwImB8ZrDSZSKf4ZTPVHcSqPSZoDqM6X5htJvURlG4ERwEqom&#10;Z6AqPh/DY2vQbqATg2Y7MKXMCAq/38/IE9UzVJTWEgfSXhBlKM+urSvD574ow8gwvB2XiAHjt+Ce&#10;oQ14avgW7MzIxdoD5WK0rT1OfA9uezxTmmecJhJgZPoMErdLRKkzQeAOMdTcfqJRMONLIvCg8WLy&#10;xA9TfSu3wnZk4j8mC0w93bLh5d952kj7QMt18LcmssfFYVO/fvjX//7fUdOnD96cPEX/zlOH30dF&#10;Y/Jdd4tS64GEHWuQffqnWBWPQWJ29POy+v9pG4klVyIROW4V2g5xofcMWaU/I0amBc8r5aTnhQZW&#10;y63YASfek35gXT+j3IrRhma8SQp8n3NgnwBfFrRtcRzKGP1RQNRL4wKxRNrhoScewsCH7sf63r1t&#10;g8WvE71U9NxJm0Z07KjE7c/r9xU4heNsbhpKDlXZAicCSgIgAgqj3IrN2JN3+1r6grmTFLQLqDDj&#10;S9KxJ591rlX4OJWJOzmHyJ/t42l/fkYo6H4/PAbhAqB+O3g7VozPx7Uoltfxer43uYHTK3lGniUr&#10;jyOJ78liyseX5eBHH4ETvXYVMm84P+36nyfimipLjHHKOWbG10MiO2sCvrAkyygVI/wJknj4Z0qp&#10;U8MSHgigd9yhJ8XMntlKfwK5wVPfGAfu7V2LiLQj+P6HH91WtPVq6brpwVNx+Wnc3bsaY/NvTvCU&#10;e9qF4SkOjUNi8su4BicWikKhQisV485YH59qbIWG4oOUWajbsQpx21x4KszYAmR+KMYZMO0AT9nN&#10;3ePEgpMNmhDTVblMlKGJF6E5icHhqbLaBYvQa0It2g914onp9cjYXatH4e2MF8EHt5EYP0LFavoM&#10;klupfz5nNlzVZfCl3Aqf7agtw6fzZhuG0Qo4SRvSIDHw3GOQWpKdfydwWnaoUmNerqc6MOMbG4tD&#10;/v547Lf/jqfatUF4j0ex4cmnsLRnT+T364s+j3RDcG0x8l7bqaCY/D1HwLdtXmokRPTug6hwfBke&#10;q7Xp2g1xIiDTHfPnls2bjASSTVizu1wTjCofqzaQd2CRXKZ7YPyMehya8fQm9p96M1YWGHFeVuOQ&#10;JPcvxcVi//olSNy3Eb1SIjDsj3/EFYJ/aafrW5r8PwEVPz3/lr+/PXUqTowbh2fGjkWfW25BzYAB&#10;PwEvN6B4eVEGio9Yl8shMbCfBZp9q98mJG3H4/yMK2SmbEvQ7h57jbXL8dGcBDw/PRF7p8/He9Jv&#10;H4TH4ZJ3wW0Sx87MEBTFLMPv/bdjbuByfKf9ZCKTyMlFximvskBmMnjImGPVOCW6wjYzP+egvCdj&#10;G+kts+t/6iFuV/MgwbfMEeY9TpXkWRr/6H6myP69jBPWBtTM7jLHCPqZPiVkg+i4WAfa9pZFYroR&#10;89TqdfrzELftxhU60G5ALfpP346Ll664rWjr1dJ1U4MnXss2ncFdvarFgNyc4IkrL3qG2vd14OlI&#10;BxaIkkk/04jVWvg01aixZaUMeT8kTJUhC/VS2fGYPdMP8OTdfX0c6DFFQJlLgMgJeeZZUfpyfydr&#10;T/Gk28+UYTOS+xdnz0TTimL0DqrTquh+yQ7MdDoVOFnFodGoLz5iVO33teTFJ0mJqHb6UG5FwAe9&#10;UtxG0m0EH4DT1fBIPCuGtEjAnAe8mPEmEVjRM/VqznzNHWQpu9Dl0DDUR4diWlkaxhfNQ59BvTBo&#10;+miMzYxF+MY8g6/7fdhHBIbMgM2agjca9Qh8GjETCycW4wG/Oi3sO3EZC03/XEbKz62c9WIEP0id&#10;I+0nRsyqDdzv8Vouy62w3IYNcJI2IPB9dlkOviPAsWkD9h9L3zDPEg1u/tt7MefQZtx17x1Y1L07&#10;KoYPw6a+/fD2hIn4PiQUNUOGoFQA5oqnn0bt0KFY17cvYrp0QWK3bnhagFO8/Psin8nTYvLJ06XM&#10;YL3Ypn4byTP2Xir0ceyFhgsAT9BgciOxq8XYcwOnXZVL8ZmMvZUT8uA/qhwDR2xG8KjViBi9Cqsm&#10;5Qs4IoDi/JJ+iRYwVLIQUzO24PZhW5EwrhQ/aF816y8CJ/n70dJcBa06Vpo935v4njwg8Up+mv04&#10;ZTvIe76Zkaxb7Ty5awecme6DCWYvMmTghnFKkrEUmoDG6Wl4J0zmYGQYvp81U8c1Qw0yXpF2OmV4&#10;RTQP0QhjMcftJcawqtfJvZhopf8cUT9E1RgxT70nb8Wl71o9T3bXTQ+eWJ/n9ieqBWDcfOCJyoMF&#10;X3mirmN/BwYIiEp9SYzh7g2aO4WrbMvtFzdweiMzGWX7N6ui9ShDTiYqrEcnOjBpuaGo0ulpEWV1&#10;YHUhvjVVhs1IFO03cTHYXluC5D0i43BRgH71GDTLCPhMOiCGRAAZlSPTHXi74GnUlx2swhsL57tX&#10;wzbvIYaX5VY2bV0nhsul21keXs2JSj/3VD2eWZ2Pb2Ld3hAr0ECDJM9nzS0Gnlt5FEgETtwCYzFc&#10;n/sgKxWrBWxlMb/VC07M3rMeSUcqkXayHqyB6OFNg0TQx63YSwQkN/SBrNrF4KaML9FSKw+MdmBM&#10;PrOEM3btRhk9wIklQjReza4N2AfyHR6hZ7/YgUcCJxY5ZnkW9XxaGWWSgMcLs2L1FCUze2e+3KQn&#10;C0MqF+H//cNv8dv//t/Rf9IIDJzghzEPd0NMrycw4u67sUqA0/KnntJM5NmPPQaXgKjnx41DuQCp&#10;t6dMMbxUAowJDJi4k8HwHvBiJjeJ9dv4jue4+PBx7H2UImOvaa1uX1nH/hD4unCovAiHoxZg7tgS&#10;PDq0Gh1GyDwOd+LhCQ508Xeiu18Nsicuwb7pqXgzOA57c3MRUlyDBya5tMxO5dRsXGueM03koIds&#10;P+P8ZNzYj9MmrNi7GW+zrIzde/Ke9BEXAxzbfA/L/pdxym1L1qXUcis3jFNSBC5ERGNWYBkeDajF&#10;9NFrsGZyDhpLFuvhlkwBTmGbjThL/wyHLuTayUKOFQx+CXVLf2lEfc9UBe1ZWH98Iz4//53bgrZe&#10;LV03NXjaffQDDArZgTZ96mQS3nzgiUHhMx1OjUfqPsWBmD2N2Lhng54A0/puVsaQ94JDRRkuwBJZ&#10;YavHyZu/GAAWi5yz16kFSmkMedroeEmOsV1gZwzDaAzjUF9bpt6lVOHRP97Idn7/MCP/VK8IUYYp&#10;Dkxb7VSaWefUIHcepS7btxnvzp9rvIel8RISpf4BPWe7Nup2iJnxyhEZ6P7PEKOfK+DjeFkePouI&#10;xWWWEhFFbqzwSfy/1/PEIHElv+t6qZiWDS//TsPLIHKebtIyFnaGlwYpd4FuA3q2cshrIUESjZ/X&#10;u3gM0gtFWQKS5LfN+yAqHAfF2D44vA7dAp164jJDZG6+tUGAzNOBDPT+Kt6H4rFqWLkNxKr7NbaG&#10;k23AwHN6qIztSgveJGmDL2fHueOnBFzIexac240JxSl4uH0bBLZtg7v/8R/xH13bYcKqTEQIoFo+&#10;Pw6nJ0zAVzLOGFDOJJqfBAcbQE1ApefTA5wOrCnUtvNuYzNi4k6CA3pifR570tdrd7Y89jzk8Rge&#10;FVk+j4pH8MjV6ODvwhMhDozO42LCqYc0xuQ70TnAiS4yr58IqEa/gEr0CqpDl/ENaDNcxq+AqvPq&#10;lfLqfzdw2l5erM+y8nzpOBXgzFOiPOmqdeos+1/uCcB/pSBddYVdG84X0Jv7XB1eXCzA2WyckqII&#10;nmZi1OiNWmexs58Ax6G16BMkQGq9CyHrHHhskhEyQGKFhJ5hTPRr1Fo0e24r/Z8TdSPrwfaKqEf7&#10;AXVYtO5lXPyudevO6rppwdO7H36jlaE7DKnFkDmGYrqp8oKIkubqizWJ7u3pQL+0BlQfWI8v5sy2&#10;rz3Fe0GheLkg4/ppoJaU4UIhjTsQwPHiogxctuNNEkX7lRhDejU8BoWyph5xqmvYb4EDj08TwCfK&#10;sZOAqfuGGLXUGIw+++RWrN1Xji/nzJL3sNlG4j15Fk9NscQHwUXz9yBwoEcrab9LS/b0iXNiaGwd&#10;gsevxYRR6zB1zFrMCVyOk8FJGmviCdDVTOgRoZqNmcewmbzQyjCSaHgZB/T5XNbY80F2Aa/0zDB5&#10;oq1BEkBCg3Q2Lw1XWuqDqDCsnpyHe4c14OFAB2ZU/9zQEDgxa3RTVYmR5NFuu5KGU4zf8dJc5D5r&#10;Dz6Yp2vpwSq8LX3yox1vUkio5h9iqguWCmFcV7+oSbitS1v8w7/9BvV9++GL6GicnTQJhd174Hcd&#10;70VmYTK+YuC5Nx8CJe//k6SdeNR9B+u38YCDBfAlEbRrqZ95PtRI5DiRsfde2jwtlms29ryJ9xkH&#10;daw0D5ejw/By0FzcN9iFHkEGINDSKzK+qKNSTzUivrIOWdNLMHNMGYaOqkDvgCo8MqIOQTJevxbQ&#10;oSdYPbII+Lksn65qH8epACfmJWNuNaZrsO1/6aOTS7KQd8K+QDdBWd6Jevc4tQBlAp7eDE3A8NGb&#10;0WZQgwLGEZlOdBspC6sAI0cdc9WxQkJUrRMzRG/Qy+69mGilPy9xMR6+WXTykDp0HlaH4y9+6ram&#10;rZfZdVOCJ6aWj846ijt7VqubV1P432RuXnpo5u51aeqAziPFSBasxbdzY30rFcEaaaIMqQStgBPJ&#10;o/TfWJiKq8E2R6NJYlC+TIzH2h0bMN99Eu06fwIZMebMhE4v1pyDLkxZ5UDgtE3oKOCp22QXlqxZ&#10;i+8SfSl5QaUepnlxip6p1q2yn72HPC/jpBEISTDRZogLbQc7FaxxBd9phFNXvXf7NWkKhb5ioNLG&#10;L0PWhGJsmJiL1yIS0dRQhtRXt13fzjQjPpcGacP2dRq87ZPs0gcnl2Yj65QR1G7VBwROBLncXrEs&#10;YyGg71JkNELGrsHd/V0aXJvjlZ7D43HatbFYs177EudFOry6QOPcbD1O0gbLD1Tio9S5RqkQK94k&#10;6T+WiuFvNHGjgBt63ALSZ6LrsN74f/7n/4etvfvii2nT8QHjnOQ3y594Ep3/+Z9Rx0Dw5ikIvEne&#10;jx7DutoVKhcBhZXsBJSrd23QrUNfy628l5aEYnfSUSvenEPc7iWguKq8Q3EoKBV3Dm3EA6MciBSQ&#10;S8Ol35VxnCMLlZdKFuJKBL1J0qcR0XgnbBaOByXjQriML2/vqLwnvTtVjlXyDtbZ7XmPAH9z4xo9&#10;9egbcArT4G2OHV+AExcCTOFxjYlyW+QdITJHYcbYlWg71IVHxzv0IMqit52afoCgqUN/I59TRJUD&#10;he5yUy2dFm2lPx/RVg6cXY8/PlWNpeWvuC1q62V23ZTg6bW3vsLdfavxwMh6PcZ/s+V34jZYwTmn&#10;VsJn2YYhYytwcTaPAIvBMlVWQlT4ERFafPP48hwFTVSGZvxJVJJU+lSGb/MUVlCz+IrmJIryWmio&#10;xn6U7dukWzdmfD3E7bOMM404WVUIV+hC3DpkK/pPrsbZOAEINLxRHgPhoZ+eQ6VOI3Q2P91d8sI8&#10;KJYep7itDIJ04AFZSY0ZvRHOaZl4JSwRp0Pm4tXQRLwin8njSzA6YAMeHFqLPw5qxB1uenpMNSas&#10;EFkF4HjHY3mIbURiugKmOuApIW7j3NAu3qSyG31wZGWBnlSy6gMSDTO3yt5fwDIWFkfTlcLgnJqJ&#10;/iMr0U7A6Ig0kVvGPmXkNg55cftKM8CbbaV4iH0ZbqQ74JF7DQy22wYS3jyk8Nk8I0mnKV8Pkb/I&#10;8ElSgoIPAjpvfgVv7MLSj46gf8wUdO3cDk/2eBCPP3I/xrdpg1F33437/umfcWjkSPNiweQtoICJ&#10;LKsa1iLZplwO7xFQMLv9d97lcsyI/SfEscd4KPaL1Tgnb51Dx2r1dCKBiM7DGeF4WcZd/1FV6nll&#10;EHTCDllQvGp89wzzbOl3PeOen+wvATueueB+z0si86ZG+3Ir+p4CbrY4V2kagJ/SWpgQnyugmQD7&#10;oIwXQ1eY8/UQgVPxkS0ad4hgu/5nDOEMxI0tw10DGtTbFLTGoWEVC467MHSecUiFyX4ZY9l6ou6v&#10;R+yDgQkO3PN0rTogPv7sEn788aphWFuvG66b0/P0zQ8ITj2Eu5+uQUCWuzgwJ+AveRKK8lLv2fNO&#10;RNc6MbbQCb8MJ9oJeOofUIHvw0XxK+AwU1bydwEc3wsdWiVG20fgxBwr7/pitIX/j2EReDszVXPn&#10;UJGa8SWRN59NbxaTCCIiDB+GxGH0mI24b7gLA/wr8FF4PH6MClPjTbqmRkTIDQC50mYFeWZuvgE4&#10;NevfXFmtTipxoN0w+Ry9ToOp1QDp0WgSDUioyB6G13LnI2ptLQKXuTBthVPzgjHAnQn5+sc5EOvy&#10;2gJzn/ChN4PvwhNWvpWKidDg2V0bl2j7thiXIvw9fcATe4xhs67/JST8r8p7lQQtUq8aPRpz9xox&#10;ZBqnJePmGZZboVG2AU40nExkyXIrdgCPHgkGJjNY+vO5N5ZbMSXhT6P8Tto8jZ9JpcepGU8laduF&#10;8uykU/VIOVaN3SUL8dX0IOwaNgx1nizsJrwJKJjjq1zL5djVGWQbs37bCuM0oCVwEpJ2Y1wRg+aZ&#10;woBg1Iwvic/lPFsmc+jNbLNSPxF4PyweAaPK0WagC/7ZLpQdqcQ5X8sCyXsyKeq6HevV42Qmg4eM&#10;95RxWltm5HvzATgxCz7j/Ni3VuOU/U9v2co95fikxUS5XiT8mWfro/Q5WFyxEX65Lo1pelAAlDFe&#10;hWRxqKBJ9B3/TfDkIVM5WunPRnQ0DEp0aLWKTkPrMSR8J7YdfA9XrrQCqObXTRvztLnxHG59ogq9&#10;o8XwNTq1Xhs9CH+TCeiZ+N5k9j0zku8yxwk9aIwXGieg6cExDnQZWIcHBtfi/hEORIxd7QYGJgrX&#10;rQy/EWW4W5ShGm0LY6hGW4wWy5S8r6tIG6MtgIwn0V7NS9PcObYGRZ5dcKIWzy3LUbmgAduykg9N&#10;wJOsgefXiPVT8rA/KAV7pi9Qej10joIoGi8ttyIggEkX+S7k62lblo/h0WZVtKJ46YKeXlQr4MmJ&#10;wFHrcdkkd85loVcK0lQmFjbm9gmTjGYIn6mlTjwVIuCrr1FPiwGVnndRT4yMJ9b/MjK3Wxledx/E&#10;RGO7ABK2kV1AL9uJ9b+YesHWIEn7M7bng9wkxM5ahw5DjBqHNEaZZ5igsh4n2N4KnEzGiIdolEXO&#10;rxLi4aopU4+TlZw0yqRaBp6LIbdsA5I8m+19NneBpjCwBdny/CUCUp5fmv2T3ARNZgkzKbsAis/m&#10;zcaG7azfZlPqR96LsjdWLTcK38pvf8bTQ+w/eT4B1rMlOQLa6xUwmPEleQDlSj3JltICGOL/wzFl&#10;zDrcMawJT0+swRsZqTJOrLa7hOQewcfHyYlYvXujsd3Z7PnepO/JBJUcp768p/Q/00Vsl+/rIkva&#10;yIwvydAVDdi4dZ1u1fs6Tt/MSkHpvs3IPCfzQHTbYxONgPDHpzswYZlDD44wVUryQSciqpwIr3Dp&#10;p5ZjsfGAtdJ/juhhn7rSiT5iN3uK7rtvUA0eHe3C6XPn3Za19fJcNy14Ov7SpxgQtB1d/Orx0FhB&#10;0En1GJtvFLPlBPyrgShZQbG+HJUBA0N5bHz+Ucb8iPLh6spGDno7eALnkXHGCTXG6fQNrEZx0GJU&#10;Ts1E+dRsvBUmKz5vUOAhKkOuxONitSaXnceJxoRKf9329fgoKcEHZRihp5peKcrEEptkfB5AwFNl&#10;L8n3FTjJ7w1eNBYRSBhfhkf86+Q96/GYfy0eHlGLriPqdbvthaC5uBg3AwfXFiL3BQfST8uz3G3H&#10;No0RcBmQ7cS0VU7dAmE/M9XCsIhqdBjuxKjR5fgugkHG7mfK87+PnIFTxdkaT3SD7O5VL0FU5Ban&#10;EVfGdo8x6gUy1xUBye51nnIddgZJ+mAW638ZfWC1BcZ7NHgsnOtT4VQCEnmP1wS8rn6mAkNzGjT4&#10;nuUrxiyV9n6uWuPb1Ntwvb1NyG04CT5qHUa5Fauxwns8RMCs0cyobdkGJHk2Y5Yoi7HVag+ySw4Y&#10;+Yd8kZ11BnnCkQH7BGWWwEl4M/8Qc5XZ95+QtMu3AigOrZKxJ/1uNc45h8ifcjAmquXcWcaYr5qy&#10;EI/71+AhGfd7pi6Q+URZzL4vJH3NE4BvZSRpigEG55vJQOL7Uw4G+e9eV2ScPrQbp9KGX84W4Fzt&#10;rlMnZMabZIDPBlQ7VuFLGds+jVN5r7PSnyxorP0vbUUdOHWlA70jHarjmMuJXtPHxXD3meXU4PEH&#10;RB+wdNTQJAfmHRD93Rr79Jcl6RfaKCZcfmS8AKgBNShY+xJOv3Eel1pP4F2/blrwxPTyh577GJml&#10;z2P6vEPoMbpRBkGtGMB6Pb3BQGKi7L8kkCL/eQKc+s504LHJTvRPcGLAXDHyC8XIC7qfXGqAKj0F&#10;2IIMzH9Er1OHAaJExjkxIXELmhJzcTmaSklWqXrqxsSwqDIM0yR8TBfgk9EWZVnlXIVP53D7xULR&#10;kgg+xPCw8GmRTdJBXaHKfR7hZ+JOAzg1NxCReD88DqWTChEyZg2SxizHnNg1okBduHtoAyJGrUR5&#10;ShESm+qRfLxBk+RFS7tEVDp1j56r14eH16pX7tEgWc0Gu/CQtFdHARF3DW9E9sRi/KjtJM8VMMMc&#10;SUfowRLj0pLsHBsLTrgwucwJPwFh7fvUo+cMJ3IO1eLIak+5DhtAIgbrs8RZ0gcrFBBY9oHed6G+&#10;pkyP7vvSB5ejZuCFxVmaGiDjbCNm7xSFF+hAhyFOhKZW4tUlAj5oNK3Ah/QFPU4fps5FRSNPSFqP&#10;FW7lEXCyziAzx1u2AUnucxvoSFmeLfgwgFOjpqp4LZtFcu1kN8qtMKaIhW+ZFdwKOHlkP7i60If+&#10;ExJAwSDy3QK07LKGK3CSdqtoWosPpC1VdlPg5CaR/Vp0KBZMKcFtg7fCf9Qm7JyedmNAuNd3mXKB&#10;aS1KDlb6sGXYgEWyoGFRbE0XYfmexjhlUekaAUNG/5vzJlFP8L5TxunXsjDzaZzOiFLgzK1ab6+d&#10;R/cmCyiKlLk8UhZAfplCQVXoN7wCsWNXIGfCIkwctR5393Nh/BJ3GIb79630lyG1jfI5ZK4sHIfW&#10;o8+UbRg1cw/qd72Nq1evua3sr/u6acGT52KuirNvfoWaHW8hdP5hPODnxEPja7XUCGOHePxVk65x&#10;NWOhMP5PiPv1gUXG6ZEuMgCZ+K5/QKWuMjv6O9FliKy4ZjgUHJmBOP6NW1GTlzvRdqATT06uw7G8&#10;hfgxRpSdlUFxK0N6jypd9rWnVBnKp3PL8huKy7ZIogwZ4/PMigIUHme2bXvgxIzE14vu/gw4uUmA&#10;4IXwmXgrKB5nklNRsXMd4nc14PFgJ7oOrUOPCXXoGSlgaZbRbo9PFaA0yYH2w5x4UO4XTFiChLGl&#10;CPRfj7CRqzB7TCnix63AxDHr8XzIPCPWSZ7P7bM96xYbxtDOkIuipxwH5qZjhF857hzVhNXzinE5&#10;VtrfB4PEPDpVLjFIBKc2fcB4tu2bluICC+fareTl2QSvJ8Q4ErzyPTiGmXT0YQGS3UbU4/DsdPmu&#10;RXuT3IaVqQU2bF9vGxzO59BzdLQ0TwGRZRuQ5D7LcrCuXY7XVqsZGcCpAet2bNAs1pZjhUTwERGO&#10;M/lpWoqIvK2AE+8zVokHJmyBE0mAE+OntlYy4zmBU8uyG54YYwtTt1ptZTcA69niNCSVbcbjkQ1o&#10;O6IBY0dvNGrLeYMnN3B6nh5eAR8tHZAgeeYbPbwvLMr0uU7d+/PnqrfTHjhznBplgS744nGUZ+s4&#10;LcnFomMtLLKk3fRAhozfBfLssm3lODwnHXunpWhc2A9RIVg1uQC39GvSwsAae/hn1tWt9HOiPZq9&#10;3YEh8xy4f0Qd7u1Xjb7TtuHMua/c1vXXfd304Mlz8cTAm+99jaL1L6P72EZ0HF6LrmNr0WdmPUak&#10;OXRrjIrnT/JCWXyXgbrMa8Tkld2G1aFw4mLUTM3E7qD5yA5cggGjKvFEsAxKP2OvP3STQ/kRMOnv&#10;5TPjORfGFcjvx7l06yl+/Ar8QI9TpJUyFAoJ0y2M9dvWu4HTz+XzEJUhXec7N/wJ5VbEuO8V8MEV&#10;vJVrn8+lsqRRfj9NwAt5q2Ew4UvSlX4Y3kmfhw07N2h5BgIC5isamuIUwCTAd6xRZ6+HUK9oJ3pO&#10;r8NDfnVIClyOT8Nj1Xv1csgcvCOfH8r/35PP18JmG6UuBJBciIvR7TNNeOmD7DQoH6Uk4GpkMJLG&#10;L8e/DN2BTROzBYhZBNHzHeVZ7yyQ9yAgkecQnJo9h8S4kaznHdi7dhG+ZeC5LwZJgAvrxRHIeLwh&#10;BOvzj7nwQKALj/rV4uNQ5q2y4KXgIwKv58zHqj3ucisWY4XtwecdF0PoG/gIx7fuwPMsG/DB53Ks&#10;sr0/YIC83ViRZzN7+6nihSg+Yp/xnICDdd6u1xn0QfYvEuLhqC61HSu8x2czfoo5q5S3lewKhiJV&#10;9iUEFC82ag6y+4a5MGLUJlzhPPCAJ+HFmEImpy1grTdpIzMZPETPm5YFyl2ggMtykUVwJwulc5kp&#10;WMtyK3bjVHgv5DhdZ1YWyITkPk+gcruTMYV2XjsuVNbv2oB3sgQ4q5eYY1c+ZdHzfEiSjOkadBvv&#10;1MTA1K9mfFrpz0tGShx3FYvBdegyvB67jnzgtqq/7utXA5481xdffY8dh99H2rLnEb7gGTwR2Ij7&#10;Blajx9R6hGwwTnqYDSJv8niJGFSs3zcxODwiHut0outIJx4R4/5u6CxcjgrH1YgwfBoRizXLyjBr&#10;r6w0C5zoPNShuU6mrXQYx+JlZcVTD9yS6uzvxFN+VSiTldcbobNtwIfcE+DEVfuKfZvVWFkbbVHE&#10;ogx5Ak+Ntp0yJPiQ1aan8Kkd+ODWAhNlMrhVlbgPsr+VKbLvvbFUDFe6qYeN1AwsDjp7mxOxOxuQ&#10;tq0GdWmFqJq4EO+GidGKovx8Bon/9iLhTa8aj2pTNisvEO/zCHqNYyU+YyBseCiuRIUiWcDTPw3d&#10;qQHtiG4hkN79HtyeLJP38BhWs+eQ1CBJWx4ty2+h/lczCjeO4e8TA8YtRwW/bl5UdPFbnbh/lBOP&#10;CXj6TMCj0SZmfOTv0ic8OcbYIgInO/DBfFrPL1loxAlZGWWSjBXmvHLUlBk5omzam+2wxbHKXSrG&#10;DjgZyS8Pr8wXo1x3QxuYEWOg6Ikx6gwKX1vZWaduto4Vym63hblQwBVzZzGjvrarpewCnGTxc2RF&#10;vp4WJejjfB+W6kSbwTLvJy7BNW7F00sq70mgx3JI3O60Ah8kzjfWHOT8t82OrsApTIP3mWeL72E5&#10;TqX/WfKFJW58HaeXZs7E7o2LRXb77U72P0srfSiLPnrkbmzDSAHrESietEgLXfeN4+GfP3Gh20r/&#10;R8TFKxfxXKx2GFQn9rIBJRVncOGbH9wW9dd7/erAE6/LV67i8/Pf4/1PvsXWA+9hQsJ+PDBCVusT&#10;6zVGKddzJN2EqOgImCYtc2jmcp6A4//zX/3Ja0RPzpQyJ56OcKATt+dGOHAkKEUUVih+FEVwcO0i&#10;5J+qR9YrstITJTCx2Dhtwnwv4xc7sOCYU1aiDvSY5kC7oS6snJSPrxUEWChDKpvgULyaPV9TDBB8&#10;WClDXcGK0j/ma7kVUbTnZSVOQKFHlEVxtcSf9+aLweIR/vOJs0yUYTPivZBQjXFhMKmZ7FSUJB65&#10;TzvdiILn6vD8sixcipqBS2okPGTCX8DM5wKCNtATRyNhoXQVOInszupSfBU/ExfDItE4NR2zAkvR&#10;a+QWTarJuBTNQN78OZRD3uMlASQsKmtnkFjGgiD0uWIBJL70QVg4vpcVPzNm0wPA3Dve/Dk2CbiZ&#10;YoHB9q+FCGg1A0/yHPYJg+UJiOzGCoEkx9TpvHQNTrc0yiRpbwKnLdyuFKPJNjXjS+JzCcwYl8eg&#10;elvwIW3A5Jd71i/WrTSCMivZmduInhgmbrSvMygk4/wjAfvMwE25rWRnu2nhWwE3TDqp/Wcluzyf&#10;MuyX+c/CxwoohD9Bb+9oJ+4Z1IBng5PxnYzj08GJOB8dg93lP5UFMpPBQ6lnBDjt2aQFnm2zo+s4&#10;DdPs9vTG2Y3TNGlDJvl8viir5XIr3iTPvxQ7Uw8TUHaCz5b4s30VODtX43MBzi3qCgGTrqmZ6DjU&#10;iV6RxoGbm6pixN8pqc4VG9U/ljaqHvcPr8ejY1xawePXfv0qwZP39cPlH/HJ55cwOfEA7uldg8nL&#10;HT9zCasnSIifCbucWqiykwCizsMceHSCAJ5iJ6avdiL5sFNPaKUeFSDGAp9DhQQ8Mf7k6FS6osM0&#10;xw8ViSfpnIKCl5yYUurEAwEOPDTGgX4zhbf87u6hjXjMvwbvqVeFLuxmCsVDVDbBIWrcdCVuYwyp&#10;rOhxYo20H+wMColeGwFBGxV8WBsrBR9ibBurSoxgYjuD4lbkp/PTjaKtdrKLoS04XqMek8vXFa0F&#10;fwEzDIBn2Q3+1soTR9l5xL2pYqmsrmfI6j0MJRMLNR0ETzmSVk/Ox0UzoKZ9EKr137JlhW7ncSK4&#10;zBHgdLpAAIkvfRAajm8FkLgE1PEdeIS8OX+CdwLv/rMcuHdwA+aPX2Z4MLz56LNYJDdPK9fbGU4C&#10;SQUfGSlGkVyrviRJXzLYnduV2t4ipxlfkjFWGuHiWCH4sDP6cp+eo62bl9qCMhKzhtOL+XGSLyWL&#10;hAQ4sdwKA89tPTFu4HRSFh+6hekDcCIw2CHz3xMfRf6c/9Q3rNvWbpATeROWYN745Xh8yBYkpa3T&#10;1Bn277kNq3ZvxCdzBHz4CJy4ZciUC5bzWQBK5tltKH7WgTdzF+AKTw76ME6/iY/VnFJ2fcR7bEdm&#10;gf9qVrz1Ikv035xxy3HPQBcGzHbo9nQrePrrEMdo8iEnRucyzKQe9w2sQcmmM7jyK0+e+asHT54r&#10;Mv0I7u1bo+5JFsTlgPEMHpZBid/q0ppsPMnUZqATj4+pxf0CcO7za0Db4UKDDU9TCnMByW8fHCur&#10;/+F1OBI0H2enz9IV+7ZKI8dP85UYgyWpDBjPQ8DFpI48qh84egOapmXgipXXicomKESDSTNE2fkC&#10;PjIFOJ3OT8OPzDRtpWhJbuDEgG8mFLTiTWVIY7uzfKnILL+1UoYk3nMrcl1d28hOD0Xh0Rq8kZ2K&#10;q/I7W9kFzHw6NwElBytULhoDM74kyk7gtGfDYqN2nMh+dUY4Fk0swu+Hb8e0setwJnS2HrduCTix&#10;3ArltwOYHAPchuHWnk/vIUb9m1mxGvxvjJ+fAycP5b7uQvAWF+7o34jQcatvBE9i4GmgDq8qNNrb&#10;Rk7mEOL278cpLB7rg5wynjhW+Bvb9hZif9KLdpkG2W6syH3G8DRuKVVwbiU3iRm3V8uYvSBAzqdy&#10;OdLGLPXDjOessWfF3wBOTry4OMuo3+cDcOI2WmPFcm0XbwDvAU+D58i8f9qBu/q5cOfgRrQb4kKP&#10;EHmPA3LfIpSAAHHtzg0KWGzfk+0s4/RZGafcarQCiPTw5r6+E3G712FC36fww7QggNt1Znw9JG14&#10;ISFeE6Z6SjOZ8SZ5gBPrRjIuyhI4kSLDcTZkDh6fXI/2Ax2atoC5+7z1dCv95YjbdyyrxeDxtv1q&#10;NXCcITC/5qsVPLmviQkHcHfvGoxIdxeflFUNK/HP3e/UY/CstURiRm+/uFo8H5+K8im5GCcAZ/a4&#10;Us1FxFIDvQRAhax3oNsYAUAjavF96Az8GBOOuroyVXRmCoXKcf4zLnSfKsBsWAOeCqjGfgFdP2XB&#10;NlMmQqK0WW/uxLJcBU00hs15e4jPpbJiZflzLBXhS7kVMeyfzkvAij2bVRma8SWRN59Nw75v7SLD&#10;EFqtUKkkaVAEpDDWR5Mx2shO3jyO/x5LxYgBMOXrIcou32HgMbel1JA34+khQ/ZGDbQ9tNKTgdst&#10;e3QomqZn4t+H7UDa+BJgZvDPnqN9IKDh+PI85WO1veJ5D3rONAeQL+8hBvFLASTrt6/XLSgzviTy&#10;JmhbdqYOucvW47aBTQgft8YAT+RDOeW99q4v0ra2a28CpzW7N+K8pq3wAmBmRP7Sbtzu4mmw5uVW&#10;vMlo7waNt9uzrkg9FQo+zPiSyDvMyCfGbWDyJg8z3iTeSz67VT1fFxnHZyW7ewuSsjNPllWpHxJ5&#10;K4CX/nst150CgmPAjDfJLTvBYa3ITkBnJjsBQKrM/4nLnRi/ogHxc9ajv18F2g02kkPSm938N+TD&#10;7OxMLaGnHi3f0z3f5Ds632SMtjhOBTTxM/+NXUjetQ73dGqL/+8Pv0Xy/V3xI8vhREubmvBnSSUG&#10;y6/dxcSddvOtQYHbjvIlvp0GdMt+bFU+hot+vreXA4MSuEPwU9LaVvoLk4xRgqeRWQZ4Ghy641cf&#10;99QKntyXBzzxZBdzK3ErreB1p5Z3ad/PgccmyYRNa0BKxRYBH6kyqWn4IvBVRAyuREVgn4CdJ0dW&#10;o8NQp27zsNBscWAhvp0dg+qG1S0CJxL/Tm9Uwh4XcmeX4cz0ROFN0NSCYnYr/R/E6DBo1hfgRKVf&#10;JIbtLa1TZ19uhcDm/fnzNN+OPfgwns16bT4BJ5Gb2Y73r1mkgM5Odr4fc0QxnsMXwMHacW9lJPuW&#10;xVqezfgTnmbSmlzesgt4ahDw9FsBT3MDyzQnz/U+cb8H+4Cgi3ys3oPEGKdlByt9L7cihvdj+e6a&#10;3eX6HpRXeaki+4mvvoeMn5wX6rF5ZRmKJy3GLcO2IozgibnAREbWbdtRzu0uAryfftucyIseRgbv&#10;MsbNF+DEcissWsz4GauM19fb+6TDKBXjC3CS8fRNnMwh5yo1ytfbwIQ83iwGevtWZzASV4T/S0VZ&#10;yH/WHjjRa1t8SOYQs4az/zgPzXiTPLLHzMQWh8x/ixp7jN/JlAVU9rlGbNtehitzIxE9eiVu79+A&#10;0HKH6qPr33VTmvS3s6YUlxm8z3Y0k4HE9xQ5GFN3YK0vwNmJhdKH81yleKpzBzwdNg5RDWW45e7b&#10;UdK9B74UXpe8AZTw9YxTntj0BTjR63VAFllX3bLdIK838T7Hrsy5fZVLMPtYEx50JwtmFvLc0+bP&#10;aaU/P3GBz5Q+dCTc178WyzaddlvOX+/VCp7c14TZ+xU8MfdTjMMJv/kOjFzoQHcBTe36OzB5nQvr&#10;jlfgw4UCPsJFKXNi6yTn5Oe/w3EqeB6mjVmLB/zqce9QFyrjC+DaIUrfYrV8XaGIAd9dWYwrcVQa&#10;9qtInnhhriI74ESDwrpWZft8BB9ug8LCp0zGR0NqxpekSlyenXeiDidK8nwDTvId5v2hIafs/L0Z&#10;bxJd+wSVDN5lEVn1Cpnx9ZAoWsYPcUvS1yzWi47V4MWiDN1y+pnsUUb1+zYChANGl+PdsHgjgaFX&#10;H+xdv1jBiN17cKXNchr6HnaFU0UOBha/w1OTe+n1M96DgImGlkeHmVqD5WL0b6LYGL/00upsxI1b&#10;ibtYrd+/HkUTFwmvEHw9KxYNW5g12tozRjl5n+CDJVp8L7eShsJjtbqdZsaX5BnnzLPEAHk1+Bwv&#10;ZnxJ0saM3/l8ziwt2mu3VcdxwrHeUFlieGLoFTLjSyLokWcz4znLBDEYmmPRjC+JfNl/PJXGfFgK&#10;yq7PfxOi7ML/M5GdpUsIKK1kZ7twm4z5pL4V2fdPTka/gEq0GeDC1BWOGwqb61x/3iHzp9gI3rd8&#10;T2OcEsBt1zgxG10h/Z8tuiqvvhSd77sHj0/yQ+rRLVj01l7MEDD1sF8fBHbtgqInn8T33K6UZ3iP&#10;U1/6n/Pt2ZJc3zxOMrbOx87E2pxlGJbXiMEpTj1Yw6LBetquNebpr0YMLUnUBLz1mmz68MmP3Zbz&#10;13u1gif3NTHxAO7tX6NBcY/L5Ow0yFjhPDDagb6znVheuR6fZAj4oNJvccUZjk/DZmJRYBEGR9Yg&#10;dWutrOJajivxKBTGvzBb82UqfbdSMiVV+uH4irlzNrlrT9koQxrD9QI+PvbJaLPo7gy8UpCuuXM0&#10;PsqEL4l/J2BggsYXliw0YhbslKHc/yo+Fk2Vy32Q3QCUNfUr8ZkvBWeF9/cCbJ4rzpb2bFZupRlR&#10;dgLKJYercIbbL95bdTdQOD4Mj8N0AcQEULHjVhg1BCPC8NUs6YOKEmQIHxL5EsioQpdPz7O0D+Rv&#10;jAP5bI5v5VYYFP1G9nwj8aOnD4QPDUbQWid6hTnwsKzAByY6ELNVDN6ROrxQko3z4dGYOHI9bh2+&#10;DfkTFuOrsEg9wcTtLrs6ddoXYsAdNaXuOnUW45Ak7c2TVy8UZSL/hL3XhvyXHarUk4jaBqbt7Sa5&#10;Z3g+5+o2kF38DHnz5B0L2WoOJx8ABZO8Hlthn/HcM4fW7ixXkODLVh0znn8wf47WJuTCyYwvydMu&#10;DDxnBvPL0RHYOjkN3UfUovNoF/pEOTBrq5HTyPNdykuPrcbe2b1nGMutxGmdQoI/7WOv53sT5xvf&#10;07ltI44GTUWbf/4nhNQWo+CNXQrsCt7Yjdida/DHXg/jvv/9T/h48hRciYrWHGEElXb9T13BdBEv&#10;s/+pJ0TXmMpNouxy//0ZcchJLMNDIQ1aKYA58aiXh8nCVueY1zxrpb8cUadlPOfE0HkOdBhYh0dk&#10;bJ546VO35fz1Xq3gyX0FpxxC24E1etqNE5QlVUIrXUpr1q7C58kCPqzc4yQq/cgwvJSRhvSdNUg/&#10;bQ2cqNAYP8Fkh0aNLRuFIsry84Q4zZ1D8EGFZ8abpCtxIZZbYXkQX8AHV+xciTNOyA58MD9NiRj3&#10;VwqoDA1lZ8qX5Jb9i8R4Nc52sqtBOenA1s0lAlKYxdhe9otRM3B4RYH8zukDcGpE6f4KvMZq9yHS&#10;p1aGfEYYDkybj86sueVfjy9CY/F+bBxKC8oQusWF2G3CU56Z/qxRC4oJ/JgclSeBaIxofAkAmXDR&#10;HjhFaILEM/npWN6sBAe9D0yLoeNTVt/3D6vXrOsPhTZgYkIVDgWnYOPEXNw3wqW10s4EJeCT+bNQ&#10;6fKl3EqDnvxj0WKfs0aL8WaRXK0L6ANw4gk2X8utEIi/kZWKMukjtkFLc4jEcXgdUNh6YoQE2HwT&#10;OxMH5PsE2fy9GV+S0X8N2MxyKwLklDfHshlvklt2xhQy35Kdt4wA/rrsMn6/Dw/FtDHrcPugJozO&#10;cyDpwE955zhmmWiSJW6YqkEBiJkMJPd8+2Regm53Ws43HjKR/qGc2wRkfz03EW+OHosu//qvGLow&#10;Dnmv7hAZmjB3XzmeHDcEkQ8/iJpBgzUG7WUBzoxDZIC9KW8h8iV/AmcuylTH2ekK6aNPRN8mxa5C&#10;h1EutBvowPAUB6ascKBfrAOxMs+an4hupb8c5Z51qW7rJPqmqwDYsqqzuPDNZbfl/PVereDJfU1P&#10;Pqjg6f7hDi1GOWmVDJrXRKE4SnFhDrcwbAwKgZMotLN5aSg7WIFMmwBrKu0lz2zBs8uyZRUpv7dT&#10;hgLcPp43W0t9UJFaGUPeo8Gqry5110izMdqi0C7OnKn1voykg3ayN+oJHxqJawQeVuDDrcg/9lLk&#10;dh4Qepx2lheLkYuxb3e5/21MNHatX6yeE/I340ui7Fwhr95djjcZ+0UwbCU7+zQqHPvmZqEr00iM&#10;qMPmSTlIDF+Fh6cbJyp7hjowbpGMl2UOzcL72AQHxuQ4kHpCninAidnM6W2zfQ/p/x/EgDIJpXHi&#10;60ZvC8ETk672mGqUoxkwsgr5ExfDL2AjHh9ejSf8q/F4QA3uGiYGe1wx3such03b12lfWgInaS8G&#10;sDMLNLOB27e3AbKZWNXOa+MZKyy38jbbW4+6WwMnnl47I0Z2qfvUmxlfD/HZ9HodZf02/t5uDsl9&#10;etW45aWleWSsmfElsc0ov0MAxaf02rJdyMOMN0nnf7i79pxR+Na7/7zJaJcGbfdnSvOk3yNwcvo8&#10;rJicr+Wb7u1vBIoXvGF8n+/J7c5nly7UbOO+AKf3U+dq3BrbnwC+uQwe0vkm82b7xiV4NXg6Dgwf&#10;gamdO6HHiH6Y6VwuIKUJhW/uQb/Z0zHod7/H+5Mm4/LsWaK3crD4qG/FwLmlR72oW3V2wElln4Py&#10;HevQN6kB7Qc4tK4ndwRSDhu1QLl17R3z10p/WSKAH5PvwL19ajB17gFc+r61ODCvVvDkvpZXnEb7&#10;wbV4aHQ9JqwQI3vchR0VshJn4UsfDB9PMnELw8zweZOhOBtReqASLy/KMFbLdspQwA8ViifJo50y&#10;ZIzG1s3LcD7ON/DBmIjdG4q19hh/b8aXxOfy3RiDovFT5G1jUPid9xbM07glO0VueEDqNQHi12rI&#10;LdqFJLxZUmar9JNHUZvxJfG5BE4bRA62pbH9aiE7+1Tuny5Kx+Ktm/F0jBNdBtfjyeFbcH+AUws9&#10;0zv5gIAqVoLvNsqpwJsxGd1GORCQ7xRAt0TeI9poJ7NneEiexazhz5TlaZA728l7/HjHdnDlfc/g&#10;BowYtRkXIqJxIjQBFVOzETJ2DYYEbELCmFLszMjDxj0btD04Fjy/bU40fPQynmSSTno+rcYhyT1W&#10;uD3GrSbKacaXRPBB/jwlyFJB9mPF8No8vzjL1iiTCE64ZXxqcabPgIJbmEx+SrBgNc4997ZWLjeC&#10;5snbRnZ+5wWZz1r4tln/NSfOIX7vlLzr5UimYAhDzLiVmkeMY+nhsQ5d6bNKgX73cBVeFN6aZ8uH&#10;93w7PVkWNxtt+5/9x348sm4xPg0KwrgO7TF21GD0iZ6IOfvLkfOKseXILTu/jBg8dvutWPlUT+xb&#10;noMiuzgxmW+8TznelEXWVcrOfjKTm0TZRc8RZDM2MO1MIyJrjMK0D4524BFpk34xDo1FTdhpeHbN&#10;nttKf17SLbuTLq3A0X5gHaq3v+W2mK1XK3hyX6fPnUfHIXV4ILAe85rqcKhyseH5sFJWJLlP5c2V&#10;GIMhmxs+b+LfqQx5KoUB2balIqhQQkL1hBx/Q95WytADnFgj7WsmHbSTncZQABZrjzFvjZVHyAM+&#10;KhvWaOkKW2PoVuRvaLV7t+xWwEnus9zIoZW+l4r5Oj5WvWvkawf6mIqAW5ifMH7KTnbpE/YNM3Bz&#10;WyJD3ptlTwbMcqBPrBOTSpyIqnZizm4nQjY6MSLHhadHV6ObXz3u93fgzmGNmBi4Ht/MZJJQG+Ak&#10;slwSQMIUAgy8b/4e3J5grp8xBdy2cGo9xLuHNCJi7Gr5vfCOCsf3AsDfDo3D8WnzcDA3FysPsCyM&#10;9Vgh+ODpOMagaC01q3FIEjnZ3q4ty+X31uCD7U0AsblxDT5KStTj+pbtLX3NHE4MJGbguRUIJjGA&#10;nouUM3kLDEBhN4fotU1OQJVrtbaJ1Tj3PHsXCzRruRX7sUKPMz3I9A5xK645Tw/p/Jd2Yd4xlkVR&#10;0BcZiuPByVq3ret4F8YWOjBjixNpzzqx4AwTlG7G69ksK2PznuQl78ncYfT0cJFlCeBEDm7VErD/&#10;IHruk/ET8dt/+t8YU5KKhTI2CJyyhcdCaQ9u2y04UYvburbDY727I1vGTZZFLBf7n/OZcX7vy8LJ&#10;V+D0msjOOD+PDqWHKfUoC6M78Pg0WajIooSlrJjjifdaY57+8qTg6ZQLPcPr0W5ALfJWv4h3PvwW&#10;n37xndty/nqvVvDkvriHG5JyGHcOqsfEiE34Ik4Up6wITSe7hwic5PPgqkLjxI6FwvIoFHo+6Inx&#10;SaEEGzXSGC/gUShmvElGnTqnHgG/yN/bgo9wXIiPk5V4mf7OehvQMLa19Ss055DytjQoci8sTF31&#10;BB+2sst9no57bmk2vtPf28geYmSxZtJIT1yKGV8ST8JRdoe853lfjKHc5/bCUTEqNORqaKmkhZhl&#10;N+mgtNVJd34Z8hZDvmJnOSqj8tFteD26+dcjKnAlTgbPw7VIAieLZwkgIXhlrUAtNeINGoS3HlF/&#10;0YlhKQ50GS7GY6wT9/o34umALXghZJ7wcLeTjqUwvLgkCyVHqpSPVXsTBDN4l7mNDPBhISNJxsqX&#10;s+P1FB7bwxpkGx6n2jp3nJcPwIk5qBj3x/gpO6PPlA0EH29mJutJL2vgJCRGmV5SLdAsbWo1Vvjs&#10;LDEU+9cuxrfMjm83zim7EAE/86fZyc52Z8oNeleM5JrCOzoEKycX4Nb+jRg8x6nxczRYDJJfuadc&#10;i0v7WqfujPQnU2H4IkfuyXpN6qplgaKj8c7Eifhv//W/IrBkPpZ98gwWSh8mH9uCNHmv3DPbFKzc&#10;2rktxi2eh5yz2035kjz976lTqAdJrNqQsst8fiU/XcC8PE/Ap8pOcCSfbIt0aZNEWagwQWPHQQ5N&#10;JuwdD9ZKf1nKPu3C5FKeOq/HkxOaMHXuIYTNP4ITL33mtp6/zqsVPLmvq1ev4fQbX6Ln5G24d2At&#10;6qdk3ZiduTmJ4bs8Iwo7NxbrZLcyWPw7y1Bw5ctEcqoMrRQKlX5wKE6LMuQ2DpWRlTJUcCIAiEfA&#10;jXIrQmZ8PSSKlpmX6YmhsrPyUBA40WC5tpSqobc1KLwnxvalokwNhrcFTtIuhUer8XKBu9yKnSEP&#10;CVUAt06MIXlTPjO+JJVdgNO2imX4dqZ7W8pKdrlP4MTYLxrDn/Upn+X1PLbLqn2b8GnGHMwZV4q7&#10;hosBHLUZn0bMxI92tQiljb6NN8pYsA+8y614XOXcnpi+yokOI1wYFLAZhROKMHnMOtRPzfqJv/Q1&#10;DdSJklwNKKbHyaq92R4E429lpIgBl99btQdJxsqXc+KxfvsGGYcEquZ8SbxHw82aZte9tlb8BVgR&#10;vBl16uj5/KkNzIgn15h37CPNeG4DgjmHxCi/mz5Pa77RKFuNc84xbucdXZGP7zyFj+1kl/fbLbIz&#10;N1LzOoPexL+z3XlykEWymRfJ4B2Bj8NjMXrURrQZ5FKPZsHrxrgi2Ptsng9lZdzg44XFWer5tgfO&#10;TerhfaUw3cjsThLw9I0sdgbcciv+sf1dCFyRjp4xk9Cle1d06NsdA2Kn4uHRg3D3o12RIuCcnigz&#10;3h7gVF9Tiq9loeITcBI9x21jDd5vQXbGNzHmb+BsI1Fx32iH5hz6u966s5gnvzRi2ydsN7aUOw6q&#10;l4VcPdr0q8HI6D14890Lbgv667tawZPXRQCVkH8cdw2oQ68AWZmHzJFJTiPVbNKLQvtejDG3MAwD&#10;bg2c6J1g4Utue9gqFN4LCsWLizKvx5VYKkO5zzihs/lpuCIG2ZI3SRQtARzr1NFbZWcMqWwJPn5g&#10;YjxflKHw53YXtwFtZRfgxKB5llthYktb2aVdGDTPk3J8byve7BMarN0bluAHymUnu9y/GhmheZvI&#10;184IaVkMMYafJyVIn4YgffxS/NFvq3qedk9bYA28pZ++EeNS1bD6OgC8/iz5Nz1bI9KMVBnt/GTF&#10;P3SrxjRdmhGOrwUU/KCgzP1OYuTptdGxYgOcmMCQdeo+oDfDziNEkr6k92DFXvuTY2wvGj/GQzHd&#10;ha2HT+YQgWpT5TL9ndUcIjFr+Krd5Xpi07YMCUlkZ2qBpQIU7coK0eDzlObJpTk/bQPajBWeeGuo&#10;XK7gn6CsJf78OzPDEwx9mdBM9qhwnBEd02mYAw+McSCq3oncN1xwbFuJ72ZF4RoD7K3k4LiWefPs&#10;8hzdgrMFziIHA+zPeeYbf+/mdW3mTJybPBnD/vhHDLnzThQ99RS29+2PggH90CdoNB4eOxiztq5U&#10;L5QZb45htiNrWnIb2leP09HSPGMr1WK+ETzlnHVpjOF9vR2IrHJozT+z7/5NSeTkZzbHk4y5HG5t&#10;CiD/2fd+gcTs4mz3KWUOhG5g0uh63Nu3GjOznsGVK9fcFvTXdbWCp2bX5+e/w+S5h3DP4HotAvsz&#10;I0iP08xo1DhWGVmDRembDTYS77GEQlXDGq2Gz9/ewKs5UdkEhej2FZUyDasZXw95isu+lZlsX26F&#10;FByGz+clYCWzhltkgiZliDLjd/ZsKDaMCcmMp4couyhDHl+n3LoFYsLXQ/NFsTBo9v20efI7X2QP&#10;xUepc1Aoyj9VfrvQhKeHKDsTEx5aXWjw9jISpqTAKRI7Ny2Vdm/S35vx9VDyq9tQvn0DvmUaBRrD&#10;qAh8EhaH8HGr0davEX1GbsEH4bP07z97lnz/WwFO5QJeU0wMEWOcUg45NadNV1nhjRpdjrjAFXg7&#10;LOFGfiIzt7v2exKl2owVtge9Np/x5Bhl9pbJjKQvOVaKpY9SZZyb8fQQDR8ByoE1LLdyo1E2Jc4h&#10;+dSs4TqHzPl6KPnV7Vi3cwO+41aanexuj9PbWSkoOlarc8SMp4cWyP1cAZ6nCzMN2a0MPokeJ/lO&#10;jWMlkkQuK7BCYrtXNK3Fd5z/zWWPkmfNDMbSSYtwJ4H3+AZE5VXhyIz5eH7qXHwTGSPfa0EeN/g4&#10;sqpQx2y6RawViXOZhbcZg2Q63/jeAqA4DzS+KkbG9rxENByoQv47+5DrTllgxpvzhTIw8e01Bc42&#10;uoKyiy46uHqRzgG7+UbgVPRMDfpOrUWnoQ7Eupx/c/C0UPQbk4cuensfiqR9mA+LwLL4g0OYWbsU&#10;j0/0w4wtS5BrERv2SyOmLMh/3YVFb7oQ1+gS0F+Hh0e6cOr0F27r+eu6WsFTs+vqtWtYvOEV/K5f&#10;PRZMWKYlOnTCi1Jh4CuzNVc2rFalaLXa5EqaJRTq68pw0Q44UXGJwrosq/VnVuQr8KBBMuNNIn+C&#10;K8YIsAq8L3Xqrorifle+y9xMNChWsntWsAdXecqtWChDj+wRrFOXp0bcKuBXZRclTG/Gh6lzFRSZ&#10;8vUQlbkYiXOZKRoTw9WzGV+SITu3Zxp0RatGgvKZ8SXJPa6QuVJukBUzV87sNzPeJF1dS7vzxNbP&#10;+1RAUUQ0/EaV4/fDt6FhaiauKfB2P5/Pku9/PjdBvRA0ZmZ9wAKcC4678GSorLKHOLFuci6uRQcJ&#10;D3cfuGWmJ3C7gD2+r91YofeQsXZfzvEh35fw51jhiUSjTp19ezPj9REZtwoObMYK24DbvzxGb1Wy&#10;hMR77O8KmW9MR2Epu/CmUWYc1Nn8dN0ypmfTjC+JvDkO+Y5v5C6wB07udmc6B8pD2c34eojeFI4n&#10;xv5cVNl/GivMUs88WZ+Gx6F2WgbGjtmI9n4NeMKvWsFB++FO3OUnC6MJS3CFhwK8ARRlZP/Lu+5d&#10;V6S6wsp77Ol/ehw/SUq0n29RURqP+UlyopHk04dyK4yHoiw+nXqk7EJMCsptWDvZF8piYt7ueowI&#10;rUK3frXoHW0UBP5bxjvRo5R6pAp9IsfjySkB6D5hGB4LHIJHRg9C9/FDcXvntvj//df/G90Dh2Lx&#10;u/tNefySiQs81mJ8Yno92vav0bxP3LX5tV2t4KnZdf6r7zXbOAPHiybKSjraUKoETl8mxusxfV+A&#10;E921PELP7T3L1bJ7pXZJFCRPyXE7yiogl/yplFk65b35PpZbEdmZEFKPUYsiNeNL8ihD5u85sTxX&#10;5BK57ZShKNpL0TOwb60ocspuYcgN97yRI+ojJh0VUGTK10Mi+2Uxtmfy01QmGoGWKvVTdoK2bPke&#10;PXfaLlTmZnxJ7j7lUfS6upXSpvbxPIzJ2SlKXwOVzcBwVLgYvGLcLYZv+KhNuChgSr1F8iz+5kN3&#10;xuzUVyzKdcgzss80IGhFPe4d5MKY0RvEyNIDYfCht4nbvw1Vyw2QbSuzu9yKL/m+OFZEzjcXpmga&#10;AFugKrxznqvDcY4VBU527W0kSt2wY4POITO+HlLZ5f0YE8b8V/bAiRnPZ+D54oVaqsZunHOsEhyw&#10;mLHKTh5mvEmUXdqFhxTKZf5zy9aML4m8KTvHen1NmbvGnvdYEXAqfblpSo4G/nObl9nrEwNLcSY0&#10;AWnjl6LzCOl7v0ZMGLMen4cLSPcCzpyPF0WnbN9UjAUy3i11hchBXcH5xjI3th5e4c9A9nfTkrDC&#10;x5qWnhOyPtWpo+wCzni6l4sHy/kmRIBU1LQZ/abVaExYFyaqDXBgSqlDt5HMfveXpoXS3owv7TFx&#10;OP7nb/43gtYsxLiCRAStysTMuqXwT4tGQPpMtH3qIcyoXgKeVmRMnBmvXzIxDiqwyKm5n3pP3YY3&#10;3vn1xT61gqdm1wtnv0An3TKpxb7p82Xih6niZJAqV+9UKC0ZPo9CyT9Rryd2vme5FTMj6yG3QrkQ&#10;MxM7RBnagg9RNgQIq0Xpf0ilb6cM1aBE4pXCDPVSEZiZ8SV5DAqPrzP4VIGTjTGk7F/Fx2jdLHvZ&#10;jbgWHl//hKkObIGTUcyUubM0GaONF4HtwpxFzIejvO0MucjO4N2KhjVqYKwUOQ0UA5p3bSw20kvI&#10;b035Cnh6IzQRXfydeCygFt9GiOGLDNNtnnMCXsv2b7b1hrANS45twd5FuQgMWI/bhm1Fw7RM4R2i&#10;z2W8Gsut8H2tDKfeE6Cpgf4CtizHIck9Vl4qTNdThlbbXZ72XiTtfWqJjBXytmpvuUfg9GHyHKwj&#10;eLTgTdJxJAZqm4wrDd72YQ5dFJDCYG+7xJ06hwQoMwCeeZ90rHABY8ab5Bkr8xI0ZxU9cXx/M94k&#10;yq7Z2mU+XzKd/wJQ5HPAyErcPnwrBo2swEYBUh+HC7iNDsEn8tlNwFP7ES6sn5wn/c55Iu/I9xRe&#10;TLiqwFnewRo4Gx7JzY1rjUS5Psw3lrZ5LXe+Lsx86X8uxk6U5PhWp05kPy+6gjUWuQiyBE4iO8nh&#10;XIEX45IR4r8KA6W9OKeYXf/BUUbZGtZbM/v9X5LyX9+JwbOn4x//418wLClcwRSzsHPLzqDt+v8n&#10;p43Eg/798ei4wVhwrFq3+cz4/VKJOchmb3fh0fEO3CMAKirjKM68eR6Xr1x1W9Kb/2oFT82ukk2n&#10;Nd5p7KgN+CY8WhRDON7OSNJVqlXQrMfwFR2twdHSfFzhatlSoQiJQvliViycolA08JQGrxlfD3mU&#10;IXOnfOxR+mZ8PSTP/l5kOCUrccrUkkFhLheNZTi9FWXMnSNAS4+X+wCcPhM5eLJGgZOF7Ao+TjrV&#10;6H+e6EOZEuHNlAXHSnJtjaEqcjEkywWYnNVyK8Lb0pAzoWmEbndy+0yD5pvx9Ca2OWXYt27xT0Hz&#10;ZnxJAp6qpmaj7YgGDB21Gd+FR+FyVIQmQ112yMg6bfYMEmXge/B7p6UPrkWGYG5gKX4zbKeerkNU&#10;ED5JTcSWhtUqkyXYk/s04DsE7OmReyvwQWJ7y1hhrjJujc5vIbaFxOeS/7IDFXiZ5TbYl9KepnxJ&#10;bG/h/w5zle0u1zlkxtdDNMo86bhP67fJ761k13EYjq/jYvTEnmYNlzY040vyGOVyWQR9lDLXfhwS&#10;9FH2BfM0K71vC6daHFhd6CU7x6KHyNfwPCUHLtc4p6Cxa9xbc0IyVr4Ij8EQ/824d3iD5vJ6M1zm&#10;S6S0r/D6bE486msFONuAfcYQ8X5t/Uqc17g8u/cU4Cz9/yKT/Aogsux/IXoESznf8tLcKVcs+t8N&#10;nD5NnKVliuyAE9uQn3U1ZUZm/tBQvCOAco0AyR7+Neg8woknpjkQ3/Q3Ak+v7cTA2Cn4X//6z5i2&#10;Il3jnpp/h/o0+VAF7nmsK/7ltt/rFl9L8WK/ZKJncHSOAw+MrMd9A2sxPGIXDpz4CJ98fsltTW/u&#10;qxU8eV0ffnoRfjN24c6B9aielIVrM0J1y4iKgtsAVoqTWyjMacRtA+Z+sjSyVCih4fhEwEe1Y6Vb&#10;GVqDD1JN/Z8APmTVe4wZq48z6aAJ+CBPMZTBaxYicFkqRucnYFnEVLwwZqzhgjfjS1JlSE/cHI39&#10;spVdlCFzYPEUluZZsjPkcv9bASkHVhnpAsjfjC+J7U5gtXpXOd70VLu384BI2/B0H42hHXDis1mu&#10;5sjKAnxvB5xoFCPCMWn0Oi3Mu2pCHq5ER+K5kmz1+vniOWP9t1fFIHFrjjUSZwauxO+GbceSCYuw&#10;OzQVuQVrkXy8AZkWR7QJHgiA9q9epMVv1YNoKq+b5J3otTm02r7cimE4G7B+x3q8npVi9KWV4ZR7&#10;1+T5r+XM12B1tkFLc4jEZ2u5FZYsUWBkNYeE5Pncdt1escxIdeA2vGbE+UP5q52r1eOosluNc/dY&#10;YT2+UpGdHkMr2TlW6Pk8LoBfT0Oq7ORPD2qU+9/kLX+PCsXZkDl4JKAOTwZU4xU91SvySFtdiolC&#10;fnIZOk9o0NinOQKyeDLy0wWJqN66GhnynBbn2/PGOOJnU4XvZYG+jxbgXOJjTUuZM54kv/qOPgCn&#10;90VXcNFnt0BU2U+xpuVSXGBaFJU9Qhai4cgcX4y7hzViYIID0XUCkp916ik8Mz5/MXreicJzu9En&#10;IhD/81/+N0LWZqPg9V03fIdbejlntqqHquvQp9F/5iTkvbbjpkpd4CGmVGEdz6A1TvSNqUeHITUY&#10;EroTC5adwnsffeu2qjfv1QqevC7X3nfV6zRwxCa8FzYLrxR7amy1rDj5dyocVhbn9phP9ZvEyH+Q&#10;bCgUA3yY8ybRIPAZjWIgzvuiDOU+A1RZ+DRf69S1oKxEiTGLcJvej+EPt/4Het3XBsNu/yMG334b&#10;vpLVHnO//Iw3gYnwZ0yEloqxkZ2KlsCJddOMAGuLdiFJuzA/EGuPZTHVgYUx5HPZ7ky58B4Dz+3i&#10;VghIhJjSgYacIMPKGJI3437ojfnBrnQJDXlEGD6Jn4Vh4ytw+5Am7A9bgJdXLdTkn3bvwXbklhC9&#10;MzTY9DRcFJ5BY9fiDr+t6BNQhT6jtuDBcU5MKm15xU2ZtV5aWb6CZ0uZSdKX9EwxjotJOu28NhyL&#10;3ObU8jYch1btLc9mnNdLbq8bY8rs2nuRtDdz/vhcbiVxlgbv22U898whZ02ZeksVUNrKHqm5yopl&#10;QWQfeN6I4iNVeKEoy6tobyS+E9B0MCgVJZMK8XKIjNGoMLwpeuVo8DzsD16APmOq8MCIOhyW7yAi&#10;RLcoD6/OVxAzscyJDn5O9BpRhdNpC7Cmei0S9ksfMOavhTnH+caUFXvWFRkB9uwjs/fzkLQDQwuO&#10;rMy3rWnpGacst/JWpgBnvqPNQoVzktUR1sjixg44q+wnRfa1zWWPlMVohKYCuWNQo8bZaM0/C73z&#10;lyJu0TF56G2d2+B//NM/YmhiKFIOVYCpCTzf4b/n7t2A0dnxuKd7V12c8iSeN5+bieh9Ioias8eJ&#10;CUsc6DKyFu0H1mLuomex9cB7+OzLmzcTeSt48ro2N57Db3vWIHLcKpwozcWSY9WWRtajOBnL8nru&#10;fEPp2wGnkDC8kzZPtwFtwQeNmaxkqAy13Iot+DBOMhF80ItgtZXGEyOzdq3FPwpwGnPr7Tg8aTLW&#10;Pd0b//Bf/yvqBg4EYhik7MXbowwzk7F6ty/lVhq03AhPYV2y9doICXD6clYsHGLg2K5WxpDPpUFj&#10;hnHmffLFGLL24EtFhiEnmLFS5NxaWHpoC14Rw6/bL1Z9SpJ2OT8nHlUVK/BUmAP39Xdg8eLVWH5K&#10;xo/Ne7AdWbX/QwISHT98j0h8FTkT88Yvx0P+dXg8oBqdRzjQYbADY3IdpuCJnlHGoDxfnGXUqbOT&#10;OSxMt7uYl4fgw1pO5nBq1MBzjVfzATgRqB4vyTFq9fnQ3twuYtV9+zkkJO392dwE3QbSBJUW41zf&#10;i/FTXHww9ofj0Ep2ebbKvswoFcP5bSf7soNVOJPvLrdyXfYIvB06G8NHb9KSPaHjVqN86kIEj12D&#10;/iMrMXh0BTr4u+An978KmaEep10bFqu3Netsg2azf3CMA49I/8/M3IzB85zoM9OJwEUOzD/G+esl&#10;hwAqyknwQS/pxWh5vt18E11ySXTKPtEt+VodwX6clm9dp6lFDIBv0Ya8J330avZ8zclm14bkzfc+&#10;skJk/9lCxThMExu4Anf2b8CYPAFPr5nz+UsTt95SDlfgyWkBuPPBjvjfv/s3xNSXaIyT5ztMWzAk&#10;MRgd+/XAqKxYpB6pvAFc3ZQk44MAil63iUuZZqUOXYY40HPiVixYegrnv/7BbWFvrqsVPLmvHy7/&#10;iPzVL+I2AU9TUrag5Pnq6ytWswHDvzMAm3Ecb18vFWGjUAQ4vZ6VqgqFCsNKoagylFUka0/9XKGY&#10;kIAPZg3XlbgMYjvgNP9kPdrLBJ/e9j6cHT8BiI/HN/Kcp/7wB4y/994bwZMqwzC8sTBVjzz7Ijs9&#10;Lqz3dT1bs7eszYnAKSEeFY1rtM09sms8lrs4KT1lrPBOYm6e+toyfKHG0AcvgvTLc6wCLyt6qz4l&#10;MSanTPrn3ELWExO+Vn1KEiPBIO6qpjVIO9WAp8IdaN+nHlFb6pHzqjFOzJ7DYF+2E2OYPpvHRJve&#10;BklW2wIS3hTjuz9oPg5Mn68ns9oNpfF03mg4hQwDXqkV/Rn0ay+zAKdZMboN7PEoefPzJjWc0g+M&#10;tfki0Zf2DhcQEYGDaxYpgLcDTmxvyv7GQnfGc6uxwucKcPs4KVEDoSm7JYDn+DnlxH4uPrgNdEMb&#10;m5DcJwA6tMrYwrTzTrJqQMmBSpyTOf2z+R8VgVdDE9HVvx4dRzj1pFgX+WQw+KQx6+TvDt3eney/&#10;FhfjotC4ReYttx7lnQxD5MLQeQ50GuRAt9EOdPUzart1kd+NznMg9aiRd4ff5TiivMZ8M97jhvdq&#10;TtKGF2NjsH0Ta1r+VBZIvQhCPIruSQXA9iV/LlSYvsAn4CR6jvFwiwUQ27UhPVLcZn6WpZkIjJvL&#10;HhWOUyHz8NDwOjwwxolZ2/42sU4eypT2IiAK25iHe3t0E6AUggwBrQwW5/Yc9VOPCcNxS4d7FUzc&#10;9MDJizgWM55zYtpKhxYw7+Jfq/nqth96321lb66rFTy5L8Y79ZzQhC6CmiMqZYKKYmpp0vPvNFg8&#10;sfNhyhz72lNUKMGhWgyUwdu+gA9uo5yiF4HGxA58iLLiUeRKGhT5fYsGRRQyV095r+/E3KJk3PI/&#10;/ieeGzkK12Jjlc83IufIu+/GvG7dfgJPfK/QUC3CSvDhi+yMs+J2jWb2tmoXksj+6ZzZuh1A3tdl&#10;l08GXcY2lKpCyhFK2LkWc45WY2fNCp/LfzB+i94vbmHaASfmtGEqAeafMgqx2sguIOSzubOwfscG&#10;lX2hgJpxhQ50HODAyGxHi1sLHuDEbaSvmHXa9D34fyO4+EcxIKsm52vqgr4xopC9jAeDmFlu5e0M&#10;HwA8SWRmEPFmgj1tbyvg1KALBFfVcnyt7W0DnMQoc9t6J7dd3R4h6/beqvFE76XO8WHxISSyf8B0&#10;Dzs3aF9aASe2Lz0xxz1bmOxPK9nl3RhrxnIrnsVHS7ITWGQLMGZpnvcWyFhhu1yXXZ7DE3LRIZr3&#10;i14mnpwLH7sapZMLUDc1C++Hx2k9u7TRxWiMzFIAzXfxfp9cGUthmxiMa2Sa53iassqJB0Q/tR3e&#10;oONg6kon5p9yofBEDU4LWPnBVlfwXiguJsbAUVOq7+fpf75TjNOJgEyCM6cRkH3WKLfCwHOmafEN&#10;OIXi+cVZyDthbFdb9T8D0zkvTxdQV5jJzmdFYE5gKe4d0oCx+QQjf8Nj/zIu+El9xMDxxycOx+3d&#10;2iNdgOvM+hI9Ydex3+O4rct9uOuRLvruN9spOztiHBr7KHidjNXR9egwuA6bGt5wW9mb62oFT+7r&#10;tbfOo9OQejwyoR7zZVXXUt0kKjhuGW1xrNYaa/Y1tuReUAheLMxwr2ZtwIfw5gqUR8Z9K7cSqokX&#10;1zGuQCaqFW/u16cIPTzVH33vuQsre/bCFW6pxcXpVl2bf/on3Pm//hdeHjdOsw3rs8VgsVRMrqwO&#10;7WRnu3CbRivG27ULSQAlvS5GuRXjNEru2e3I4Sru1R14KKA/7ny4MwbETcUTk0agzeMP4H/d8u/I&#10;e/xxMU4iH71aZnxJ9ICI8mW5FU8wsZXsKWe3Kgg6L33KY/XWsouSDxPZ5xqlSzzBxDR401Y50Gmw&#10;UQU+S8YQa5Wph8C9kqdRZh/v2LxMM2ZbGyT+Xe6Hh2DLtIUCnhrwVKgBnqikCD5WSNu9Lwbctl4i&#10;SYAqA6zX7tqg4N+qPQjC+V5Nm0t+ip+y4i9txlppTXqMXkBZM37Nie3NAPnP58TLHBKwYcWb90R2&#10;eniXH9isBt1Kdt5nyaIXl2T/VL/Nir+8GwGQ5k6i7F4gxpu4smZm68QDLsyuqsFHSbJwiggywJJS&#10;CL6MiDW8hUGpOBSUrAHfvx++HVHjVuHSjDD8oOAqApfkfb6cFY+Nu9ab94XIwKBo1jectcOJeS9v&#10;xfYty9AwKQ2Bozbg7qENaDfciT6JLryyYL7IH2ryjt7/j8SF8Jk4Mj0ZazesQvY5aUOPjnO/r98C&#10;BzoI8O88xIHHJjs1k/c2AQUX42J8A05BoepBUvBpB5wE9Bccq8Xr9Di2qOf4N1nQjdqk4InpCTiX&#10;zPj9NYnAaXzRXNzaqQ1m1i1Dwbnd6DK4F+5+rCsen+KP8M2FmL19jeX738yU/5oLI9KcaNevHg8I&#10;8H/2Ji0g3Aqe3FdpxRm0G1CLp8LqkSGrOSrK5oOCBoHKlTXtePrK1si6FcrzSxaqMvEVODGh5TUB&#10;XJa8SfTazJut5VassoaTaBAyz25D04p8TLrtj3jqd7/D+dBQXCWfhAQMuP123PYP/4Ajo0fjmm61&#10;ybNFqT27LBcZ0ha+ACcGur6VkYxrTFBpJ7t85+OkBCw+8lMyRrq4g9dmI66hFHGuMvyvf/sX3NLx&#10;Xs3e2z9mCmKdyzEyZxb+5fbfo6lXH4AeM8rqBoD6f4I+AVbXZkZrkD37y06Rs24a0xZ8GxfrA3AK&#10;w6mpc/HS3BSUHa00jq+7g3ipNHj6hHlo6C3wz3BiXCEDKZ2Yu1dWraeNlfyeDUuME41caVs9i/ek&#10;j04ICHh0qhPtBzs1QSDBE71kPDH45ZzZuCYA19exwm0mqySvJPU4iUHfuXGxsTiwBU5GTJmjtsw2&#10;azSJ7U1PI72HtrLznsj+ugByBpR7gKoZX5IBnFhuJcPgrW1swtdD8m4EBq7q5UgW0M53N+NPfZD6&#10;jPTnIqcCiy6D6hA7pgxLJxegeNIiPUpfNiUX48esxx3Dm3C3X6N8blV6aEQ9tk1LNwAWAYEseJi0&#10;dOX+TdpeVu+TJaA75fWt2Fq1TAHy1chQfBMRrekrho3ajLsEVGSOW6rA7UawFK6ZzA1PGPPBhaBs&#10;UgHuGCyLp2kuTFru1HfybAGz7AZrlhE8sQAst4gHjKvCe9EJuBbhQx/JfD5Wmqf9YwucZGxRV9CL&#10;aK0r+PdIjB5VruApaLWAp2Zb1n9toicpQxbB9C75p0Wh8M09SD6wCe17P4anw8Zi2adHNSyCC1Wz&#10;3/8aiGNqZr0T9/vX48EAp+7q3IxXK3iS68qPV7G65lXc178Ww1LrjSOwXgaAioBKlQCCgaeaisAq&#10;eJvKQJT2jyHhOFqae92Aew8wbyJ/fifveC3ezEhST5UpXw8J/6tiGFjrTRMvnm55opK3AjchZgJW&#10;UCSAY0bnzuhzyy3of9ttCO/YET0ETJ0JDARmzVKDwlNDLM/Cd/ZFdnqPuIWhmb3NZPYQZRdjyBpb&#10;NIYe4MQTKaEbcvGvf/wD7uneDbff3w739OiKvlETkScrPeZTYVxBiSin3pHj8ftbf4fodh3wrfB7&#10;bfx4VPTujZ1DhmBZjx5Y9uhjqFhbiHQBi1aGnLLz+RWNjDuJUbBoKrPbCP0oVDstC48OrcGT0+sR&#10;u6tBZGIMkhMLjjswa7sTYZud6D7VgU5ifNoNFMAzyImOg2QlL+Bn7n4nDm0sMsDIz7YovCkS1yIN&#10;b8jRNflYIP376HQnOg10YEKxA+mvNWLj9nX4KkEAY4syu8k9Vtje3HalsTZrC5JnrGS84MRB1gUk&#10;b44XM74k4U3gcWlmlKbcsAMCnvZmotTvmEbBSnYCHs4hAW8M3DeyhluPc45D1m97LS9NAZclaHLL&#10;/l30DFTXr0SSALqWZCfISH/Ohf7xDrTvb2S5ZjD3PYMbcO+wBtwzvFFze/GTZVWYzJFJMCeOXYf4&#10;wDK8EDxPnmmAhGsiF5NzMq7OrvSNB8TuKi9Wz56OG5VfPqODdQuQz2VQOU/sfccxo6ApAkeDUjQ4&#10;fdGExdgXkoIdoel40K8OnUcy7sqBtr0dGJ7qRNJ+B3JkDBeeM2JVOsgYYzwW+Y4ZuQFfhUk/8XnN&#10;248k78M+opd5/5pF2rd2840HG1gi6iPWWLTVFQIWZQ5MHLUO9w52YcqKv228k5L0CcERg8Y79Omu&#10;uZyYkqDLkJ6YXDJfQOjNe7LOV6L9zDzlQvdJPDxTi7D5h/Hmu19rXPHNdLWCJ7kOn/wYD49y6v7s&#10;ZFmReYIlSR4lxnihHZuWGsfW7YATlbJ80gD5BD5kNVN8qBLvsminD+CDBoWJOzUTsMVKnH9nQjvG&#10;fmitNypgN3iit+YVAUsV/fujrFcvNA4davAXZcjTcXvWL9GAWzvZCcroRdDcOTRYzeX1Jnk2Fe3r&#10;C1NReKzmhizGzJ8ysTgZdz7cCTGO5YiqKVYl5X2SxUNpJ2RCVi9BB1FaI7p2Rrt/+Q3u6fc42shv&#10;b+3cFr97oAPGLZ+v7vTmv/UQlTzfra52Bb5V4NSS7Iw7isTnETOxL2gBHhtRi/uGu9B+iAM9Jjsw&#10;fokTU1Y60S/OgYfGO9BxuBMPy3cGjKrElDFrMX3sWvTxr0Jbvwakx63AtZkydq4bQTOK1FiZd4Pi&#10;sKesEDN3NmBUUQMeFmPdeagDU9e4ULdtFS7OjsV3YaFGTqHr1IyXjBWWW2GgvzdQNSPtSxmr3J5l&#10;riIDOFmPc3rpLrDWo4Ch1DP2nk+CGwap6+lLS+Ak7yJjhe92amk28mSlbwecKDvzrL3BRKnkTR5m&#10;vEkqe4TKTiBnVW5FSfRBxlEHek6rUyA8YoFD4yLHFLsQkrQZiRNKMXH0Oq1Ft2VqNo4EJ+NsaCIu&#10;MMO8JsCUdpRn0ov33vy5WC7Aya4vNObqeacm3FR9c8OYMfp70pj1uE9ADgPSHxpRh+ixK7F9eho+&#10;CYtX8HavgDmO1Q5y/+nR1eg4TMbrYgdiG5x6KpRAsIcA/RHpBpDqPk1Av4xfJqLk6U6+y1X1WpmP&#10;LcrELOqsjuATcJI+YnUEI7O7jZ6T/me9zLOL0tBvusy5AU6EbhSg9zf2PJF4iCXlSBX8UmZgwuIk&#10;1UcMNaC+Yp+Z/ebXRrShk0tlwSc6q/PQevSduhXF5a+4Le7NcbWCJ7nKKs/glscr0SvcgaSDP4En&#10;VWJiYHOec2iG6cs8yUIAYjbZSW6F8o2sqndu/FPKrZTjgxQW7bQHH4zheDVvgZE7x86gCG+eejvJ&#10;Wm9Uvs2NIbe4uN3l2fIS3qybtm3zMkN2gsZmfD1E2VmAlyfkPlVlaCd7BL4X/i8VZmoixBuyGMtz&#10;GITZfcJw3NalLVKf2WIJfOgSpxeKimrS+lw8HjIGibvWIfVEDWbtWKMAjKvAlvKr8L0Wym8Z46K1&#10;x6z6VAzf6yGJCB27Gg8H1KGbgOxBCWJs0oyTU12GG9scXYfWwS+gHFMFMG2ckou3w2bhKwFBjIEJ&#10;HLNB65dVT8ySMWLVTjJ+osJQPjkXT/ptwaBkJx6Z7sKDw+rwgDyrU4AL43PqsGJGESomLMSGKXlw&#10;TM3CZ2KkjS0aL5JV+w9Cr7DcioyBGzJ7S99xdageVvm/Z6xcL83ji8dJ2ozbrlrkWAwneVzn34w8&#10;wdeNlSWaV8h6DgnJWPUkeWXsEseiGV+SZw4RwL+d7k6UynloxptEECP8KbuWW7HYwuTfyT/n+Xrs&#10;21CEzMlL0UFAMz2L8btdWPvMZvUUfxcWifPhMVp2hdu6xvacGzTxb9KWBLFMLMmThfQmmT2PxGdS&#10;Z/AEmtYMZFv9DMQafew/ZhPukXFFQD8wsArtxzYqiAodvRoPDpexOtKhJ/YenWiA+n4xDpkj9PK6&#10;sGb9KoTI99oOkYWAAMJOg+rRfXgNJo1dh8cDavR0YPaEYpwLnYXL+h5eberWc0zCydO9dsCJ91hn&#10;b3PDGnzGJL++6Ap5BhMOF52sxchClx7C6BnqQNpxY7vR7Dl/LTJO0TWpfmH8E+vXmX3v10y0oWnP&#10;OTWO7pFAB+7uuwUDg3bgm28vu63uL//61YOnH69eQ8nm07ilRxWGJTuMwF5OdhkAVGIEH0zyaCRK&#10;tFH6ouiYq8gTNGsHnHh/U+Nq38GHfNK4+ZSx+uUGTfDHYG9T4ORNbmX4ZQJTHZSpJ8xadrn3vEu9&#10;Ngyab9lr4ybhfUk+j4oxYD6X5rIz1in92Vr879/9Fg+PHqhKyReFxFQGXO3lnN6mPArP7UH45gL8&#10;7r67MGvbKg0+b/4bGloWMz2wepGWr7HsU6VQ5Ewsxh1Dm3TLg6spZvlm8s/8pDJEj16B2WPLkD1x&#10;CV4ImYsPwgSI0thEyViIjML2ael4MKAe/UZW4TPWL/MY1OtkGEL+nZX234qIQ8Docq171lmAWXe/&#10;GiyeUIS08cvQe+QWPMAj2zSM/vXqIaDXYf74EhwPTsa74fF6kuvDsFgBVNF4oWQhCk/+fLsr6YAT&#10;8VudSNzpRPpJGYcyVpiC4jS3u+yAk9zjVgqBCgO+rUoWkTiOCIB2b1hsHKO3BE7GOPwmZiYOrS7U&#10;Axb0VpjxJXnmEL1HTF9g63G6LnuSyL5JjL61x0nHishwYF0hPo+MQfa4xWg33IUHAp3IL12HjxfO&#10;lffh2GefkkyeLfOO6SNeKsjAEgGn7IuW2kvnrYxpxgOdIog1BU4kPicSSeOXK+AJCt6AxRvXI3hz&#10;Ax4U2e4f7dS0Bn2iBCw948L01UYCwzkHZJEi+o1pPi4lxeC56UnoFbBFvVSzA0uxY3oa3hCwtHZy&#10;HoaP2ox7hjcgftwK7AtOxQ+e57J9Ra7P5sxCtWOVD8CJusKpp/u+Et3oi6646AbO3KrNfK0R8Y1O&#10;PYTx2AQHUo787cFTK/lGPHTFw1czqp14IrhOPefOPe/gxx+vua3vL/v61YOnz89/hwkJ+3FP7xqM&#10;L3Igz52bh+CHGaa5haGJEglAmk90D7mBE+s31bJoq/xWlUazweQhrsSpcPjdzxN8KbcSbhQ+Lc3X&#10;7S6CGzO+JMpOg8NYKOb9UeVrB5xEdpaK4ZaKrexiUHh6jV4ELbditf1CEt4st8JaZfydqTGU5xEE&#10;9YmagD90uQ8RVUXyfyOnk9aEspDnOsl38gQs9QwahbZPPqTt0LyeFA0TvTBae5CyWfUpie0eH4Ws&#10;wvXoNr1BJ//kNS4seqUeh9cuwrezYvBF2Eycj5iJi5HRCpiug6PoMOydvgAPjqjXrZVlkwpx9fp9&#10;w/h5jO6nETF4KTQRVVOzEB64Gh1GuNDdvxYLJizFlmmZuCj8GSTcMC0DZZPzsWJSAVaLgVsysQgB&#10;o8rRyd+J/v4ViBUQN2tsKeaOWY7MqcuQUl+DpBONamw0OPiMCwk7nBgy14EnZRXfK9KB4HIn1hzY&#10;pFuphrGmXM3awUMyjphS4NWcBVhus2VMYl8zUerhsnz3HLIYK+45RG8GS/lonToZa2Z8SRyHnEM1&#10;zlWapsMAMc14epMbOPEwRqkARasaex4QQw8ps2//GB2O9RNy0MXPgU4BAjiTVuPdxATjfaziquQ+&#10;AeOJ5TnGvDUb+27yzFt6pl7JT3f3hfW8fT8kDmtnLsKyLRtQeNqh3p3pqx2YUmYcLIgT0EGwxAMN&#10;nNd5LzqwbXOJBqtTth8iotA4PQN7g+bLGHaPXyGWxjkxfR5Gj9mIjiNd6CPA/4SAcw08F7k+TE7Q&#10;6gj0oF0HTvLZHNSorhDg1FSxzMizZacrRCYeItgnc0tLM0kf5J526ak/bpc+MdXR4mGeVvr7JI6/&#10;PJ6+S3fgrl41CIzfh09vkqzjv3rwdPylT3HfgFo8Mr4ec3Ybx8BViR2qVC/PZRo5S+Ak9wX8fCAK&#10;hStgA3yYDySSKn35bKjysfaU3P8mdib2rlusHhMrg8LncmW7bucGPfWmclM+M74k3hP+H6TM0aSD&#10;drLzPj1xLML6dbwoQx9k/zpmJnaUL1XjwHc340vKFvCUfLQK7bt1xK0d78X09TmiKB1IOlShbnKW&#10;RjD7nTcRbE0qTtZAzsGzg274HfuUGbhfWLIQl2nwrAwTibKzdEl5MfJfcWDSCifu7ePEsOgaHN9Q&#10;gB+4/UTj6QZABhjy+n10KBqnZOD2QU3oNFwMmwChXUEp+DJ8Jo6JISI9FzwPW6YuRFrgUowasVEA&#10;U416lELHrkGl/P1LGjTd/iFvD0VoDBYiwnUbtC67CMNSnbh/jBMPjHOq56HbWFmpi6Hn9tKINAFI&#10;6x2YvsaBefudmCrvwViXh4bX4v7BdegR6sKxtEzhJ4bRaqzIWGLm7ReLslB8xLoGGomBwYsEMDxX&#10;7E4XYDeHpL1ZboWg3HPU3YwvSe/Jd1ih/wt6PhXEWMgucnOrjhnMiw+z8K096KP3h4lVNenojBBE&#10;B67CLcO2YdS4cnycIMApks80eZaH5H0uzozSRYNuPVq8D2UhEGHaC99ALNsrAh+mJqLWtUrBhGfe&#10;erZjvbdl00QnFDxXh/0E/J78aMqLz/CQV/+Eh+H72BlYUbQCD4c24PbBTRr/hOhp+CBrHjbu24CM&#10;12RhI2CcMUj0MNCDmfbsT8CGwGfhKda0XKyeRH0nD/+fEdsyDBfmxWFnTQlyX/opcSfBEwF/l2Ey&#10;nic7sODvYNuulf404inkMblOtOtfj05D6/DSa1+6re8v+/pVg6d3P/wGMzKewX39auGfwVMnMvlP&#10;N2DNvnKcy5uPHyNFoViu/oRCwvCOO3Efla4tcJL7OzYuwQVfqt3L/W8EpGzfvPR6riIzviQPcOKK&#10;8ENWjKdBsVPA8p230pMFbPlQKkaUIT1xJ0py1AtmaQxJAigvxMXCWbVcV8T2sjehZts6bJ82GVEd&#10;OuDh3t3RbcxAdOzbHePyE5F7Zruubs1+ryT3WKuPp/ICC+fgt3ffpjWmGNxJDwmDic/Iit7IGm4j&#10;u7T7BWl3AlyW/8h5owFhm5y4o38Dgieuw+V4H3iEh+C5qFT0jnbgwbFCojQG+Fdg9thSjAwoR4DQ&#10;6IANeGRYDR5iGY4ZjYiYvhaOqZl4I2y2O87E7Bl8drgCmReWZKLsWCXmHnAhtNypMoZXOBGy0Ymh&#10;KQ48GSTPHeVA165UreYAAP/0SURBVFFOdB3JoGAHRmY5tMzFzHErMH60caz++HS3V+Fnz3KT9DU9&#10;Ts8tzRZAVKtjpXnbq7GWVaYaUmlvZpdmlmlNNmo1VtzA6ZOkBNQ43OVWLMaK3nvehZ2blkofuRcf&#10;PgCnk7IQKnqmxnbbjHN4qSycXmaeNfKl7NFhSBlfohnBsycscfe9xTNFJs6R7UwWKiDPFjidNpKz&#10;8sAICylbz1t5tvBnUlTGm2UIb6t5y/dhmZkTy/N8K5Mkz2cQ+L6KxZi/sw4PTXHh0eE1cE7OxOGo&#10;ZOSsL0fUtkbENro08JyfYZUujF3kUh1KoJNx1ii3wtO6BJDaR8qf78Xne9rP+PdrobM1yH7l4jJN&#10;1Dl7j+GxoPxG7IwLfWQe3S+LkOi6v49cT63kOzHXHROctutbj/aDarFs8xm3Bf5lX79a8HT16jVN&#10;T3D30zXoGVavOVwyXmnAgtoteHFBGs6HzZSVvUz4aBoV92T3JMPjvxU4heKcKDGj0Kz1apbgg+5z&#10;HunlNpY9+DBOMjVUL1fXt13wNgFCbe0KfDaHtd6Et41BoUJ7LXeBZni2k50KmFsYp5Ys1LgcW+Ag&#10;wIlFjFl7jFuA9rILcKpbic8ZTCrt+nFwCDYPHIjUx3tgxG23419u+x3CtyzR4Ewazp/xEf70MDFo&#10;PL5phR4dfmBEX/VcLTi7TU8lnste4GO5FaPGXk3dCvUQZsqY4MqJ+X3uGtSIsLGr8T29Dma/9ZD0&#10;HYub1lWVIvFAA4LWOzFSVl6PTBQgEyAr6OlODEtzok+sAyPyGjBpfQNWr1mFN2NmKygyDEsLcopx&#10;43eOLc9F4XFmq5e2pfF0k+FtcOp4ZrHOscsb4DetCk8Pq8L9AqIYPHzr0G1YPqkA0YEr1ZuyaXKO&#10;e2ybACj3844yBoVZ2vk8r7ZXT+1xl9a0ClzsRPCWBhTurcLbuUnS3gQCFmOFY5ReW1l8bNq6Ttvb&#10;EgjQmyFzgYc3fMowL/eZjoBtpUWybUqFcBxyLvN0IkvMXJdd2qZwYhH+OHyrnqhjkktDJzR7Hkn7&#10;fiYaKwR4y1i1AoKUhXFX5bJo+IinVQmcLOet3OO8zZ6PlXs3KW+r9qJOoPfvhSXZGi9pP2+NcdtY&#10;uUwWIk4kHmxQ72W3gbUYMbwc/f0r8dBEGcfjjSDgByY34KGpLvSYVI9HRxsxLUMXOLH0uWo8uzwb&#10;l24oFcP3isT5iBhciojGD5FR+DJiJl4JmYNpY9ai36gqPDa+Hg8FOjUwnAkxOe9yZUHLkiw9w4w0&#10;CgPiHZh/7MYT0a30900Eu0FrnHhwtAMdB9fhqfFN2Hvsw1987NOvFjx99OlFDAndibb9ajVOYN4+&#10;F0blyCQdX4Npo9fqqjx9wlLsDUrBZ+GxuCgTfu/0+Tgk/1cjLMDp1dz5KGbwtg/gg1tIDJi+5MuW&#10;Eb02s+O0LAKVo5WC9IAPbndc8MWguBXwy4UZuo2loM6Er4cWvNykWcNfXJypsRC2socYWazLuQ0o&#10;gMZaduaxadTtlwvXa48Jj6gofCdynpfPF8aOxbBbbkXnJx/CvEMVmkeF8VGegHKWbSk4twdBq7LQ&#10;qf8T6BU6Fo+OG6wB42mv79QM3FylKyixAk58rrQ7t4HKm0R2aRceUed2BBO+DUpwaqI+v1Gb8LEn&#10;KNyMj/Dgdh+Bo4JG3WIQ8HtSVumyqmYeqNnbnZh/VMDNfjGezxtlWi4wZ5NuBVnIGGZ4gJgCg1tB&#10;6cK7pb7j1sb8V5tQvK8SrybMxeLAItw5vAl3DW/E9LHrdLW/ako+7vFrRN+RVVg1OQ8nQpiPiM/n&#10;u7EvBFBFR+DQ+kXIfcGBzNMNmmeHWzUkGjbGCDK9x/0jHFqGpNPERkyNLNfs2ro9qtuOzd6DxPeU&#10;tnonLUmTfSoQMHkPDxHg0/t6ZFWB5pXyBTixrfavZqyddfwU25BziMfo309ltnaCPi/eAp7mBi7H&#10;LcO3oXjiIj3daLRTs3eT9/lW+p51AA0gaP1M5sWqcrFSQbx9clb3vH2lIANLfShuzZguzm+WbfG1&#10;3iHDA7iI0ZhM4U+AMnWFA08GO9BrhhN9ZzkxYJYD/eSz72wxiJPWImnMMqyZlIu08Utx59AGdBzb&#10;gEWJy/GDjJufdEUkrkRF6tbfxDHrkSRtuXBCMSaMWq8nVDsOEWDEbOnRTj3x3En+P3C2AKhtMk+O&#10;uTRGj8DsIb869T5NWOpoBU+/JKKNEsAb63JgdI4AqKG16DNlG159+yu3Nf5lXr9a8LTzyAcKnB6f&#10;Vq+nUR6V1RQnZpfh9binfzXu7leD9kNq8ZB/PYLGrtVtDla4f3RELQ5MS8WbJQv0JFPmWTGyFgCB&#10;wCmbpSKKMnGZ+VrslJiAD55g40rcTkESmPC0yzZZ5dLV7itwOlWcrafF7DxOBDZUwK/lzNej1pa8&#10;ScGh+HTOLC2WbAcoVXZR8DvKl+hJPFPZBTz9KPSJUOgdd6P3vFAFRZEVi6TNG1AgQIpVzcM3FaD9&#10;049hyJwQUapNWmsq9ew2NcqfsPYg291Odml3rv5X7jFkJ+hhYkTGDLG+GIO+bx+2FbGBK3HF44n8&#10;GY9QrRu3Yds65XEDGJD39cSg8N80TtxC2lolfafboDbGU+7Ti7Jnw2JpV6caZqv21bpx+zfr+1+L&#10;CMXH4fGaQoEnqXjq70cBBB+HxWvB4bZ+LrQfJoZL/v1ccDKuRUVogPprwQlYlV6iyT9TxYixVAgL&#10;E/unOxGQ5cTITKeWYXhwrFMN28LxxQgYuVFrr3X0c+pW10ey8PgZyHADVaPcSoUPAN7IVfZsSa6R&#10;14pG2aqtZIwTLG/ftNQAAtLeVvw5hzZs36DldjSjevP+jQ7DjHGr8e/DdmitOqajSB6/HB9Km17/&#10;nowfBkVXNKy2BYKUhf1TL6D5ItOF2HqcRB4Zw6xUwJhD8rd+n62ayuQdWTT4NG/dsnPLv/m4zRDA&#10;Om+fE8mHnHr0PP35BqRIfzkrS/F5dDS+Co+U+RuB92RMRY9bifYylnr4V+NU0FxptyDhz7YU0Bcy&#10;R5OHdvJ3ofOweqPg8SgHHp3swJB5TozKduiCIuFIA7pOFBAuuvjRyQLSYmR8jXeio/x/9OiN6Dqk&#10;Dk+EOHRuXp9PrfT3T9JX2S85Zdw60S9ebGzvGjTuf9dtjX+Z168SPH154XuMiNyN9oNr0SvOpdW6&#10;uwxlzp56FK1/GXMLn0VC/gkMDd+JjsPq0FFW1FxVd/GT7wxzYFJQOWaW12HMYpfGl3jKczQfMAQf&#10;zNfyWnYqrjL5pQ9K7Is5CRr/wJWwlYI0wEejBjRfPzlmxZ/3xGCdEAPkOX1jxV+Bkyhg9dqIXLay&#10;y/t9kpSIYvkNjZG97E3Yt67IqIFnJ3tMLHb6+aHNQ53QtufD+O//+A/oOqw3npo2Ussk/Pau2/Bf&#10;/n//BQPjp2LxO/uRLMBp/Y6NCkKv8YSPD+3OrSMGE3tk58o2+ZBLt9m6ibKfMmYdsiYsxadMN6Db&#10;Nj/nQQ8Cg37tMm3z/Wmkdm1cYsTVsA2sZBTjSi8Ks9urcbMBTix/QgDL1BOe8ifMA3VFjNhlIU9O&#10;KAaevxw8V0/wjQvciHsGuTQuK338UowUQ9VjRA3uHynGizFZE5zoFuhUkHXnoAahRv1sO9ipOazG&#10;yPe5FUOvXInwe9q/Cv8xbDuKJhZJewXL8whK5Ll8T2mrNzNTNC7qhhgkaRd6zBg7RVc/vVoLX29A&#10;viw+XirK0jawB05GagAejWc/sK2bt483Mcv3xq3rNb+ZjhW2kXrMjDZSnlHhaJyWbmwv+VWii7QJ&#10;t/BiBCzoCTUBzdxi50ENu3nLe5RrKysV8D3s+t694GGZJAJIe+DEQtFV+CB1rn3pG5L0BWVnrrmW&#10;xq2CFCHWwmM1g+0VS2UsCV+CPnc7XZN2+y4yGtNkoXmr31ZMGr0OO4IW4FueQpV7k2T+MBs7t/wY&#10;PDws2aidR48EK/FnCkhLfbUJaw6UIzdkKe4XfcycVSwT84R/jeaeelj+30108ISlRtB4K3j65RG9&#10;1TOqZTE6oAbBSYcMg/wLvX514OnatWvYcfh99TI9HFiHnKL1eNi/Tk8nEUyVVp7R7/Dafug9Te51&#10;7wBZnQ+s0SKHPA3FVfU9fetwn1C3gHo9Epz36k+ZZamACD64SnwvzbdyK9dEAbPcSukBo16a94Dz&#10;JvKmAqXR4ekZBR5W3iwqT/nOVTEMzJ1C0MTfm/EmGbI3aRbkD0UBU7ma8vUQZRfg9PaCeXos3e4I&#10;uMouMhxekW8kBbWRnd6WH6JmYFeVGMNDFUh5ZgvGFyXh8cl+eDp8HMbmJSCwcC76zpiAGFcpFryx&#10;E5WecivqRTDh6yFt9zAFiJpI0qvdCZ5Sjxg5fR4dXot3QmfJSrp5/bCfeDDpIrdTaIC839mbvN9/&#10;rwBHPbp9fWvDhNzvT3DM/Fs09ORhxpvEeylntmHjtvVGUD+NZ3Oe3iT8r4aF4JP8eVi6pwIDklya&#10;TLHNUFkoMD5qirGN0n2a/DuwHoMCNmPMqI3YNT0du8Uw7pqehslj1muuqaop2cKT7R2Ba5FBeDVs&#10;Dh72q9OSILPGleGlkLkCSlg+JAxv5C/QorAcwx7ZaQzTn3Ui5bBRDHfEAlmhJjgxKsOB53OZ88hm&#10;8cG2EuD0Q3S0boWx3Ip32zQnthX7mydk1fOnwClC5Rw3egMSAssUDF7PsB0ZqouIurJlmLjChTsE&#10;PNIDdS0kGJ/PnaWxUqw3aPYsEp9H0Jsq4GP3+sXGvOLcNXsXEt+V81boeGme/tZu3vJ96G2kHvGl&#10;7zluma+J3j+rLOvk7dE5uzcsMbYYTWUPx4Gg+Zra4B4BSqyjN0pANev+DRm1GW0HOTFagBNBMYlz&#10;zAPMUl7dKovGclx0n+JlaoSTIUk4JPxOh83G0kmFuHNIo4B4B+buYUmkn8vZSn//xH5L3O1Ex8H1&#10;aDewDks2vPKLjX361YEnFikcHrlLlJ8DM8evxOdR0VgycRE6CzBqP6QOvadsxWfnjTwUV65cxUbn&#10;G0gpPomFK14QYHUWD47knm0dJiUewMDg7egggOvRCfWIrmPpALolXapklh6uxHvzWW7FHjixhtlb&#10;Wal6IozeJLNBR/IoseznnXiG4IMKzMb48j6DRZkU0hfgxKDaNbvLjQBWAXSmfD0k/LXcSnaqAKd6&#10;n0Bf1imXer+0DI0PwOmb+Fg4asoUcGQJMGEyTCbR9JRu4b8LXt+JbPl3ppCjuhTfcyvEB+B0Rdr9&#10;tRwx5MfrbigVQ1Lw9IwTPaY71CvJHEtGHqcbebBUznvpSRr7xhIl3jy8Sd9fDCBPX2ndODVA9mCA&#10;2ynVTncywmY8vUm9WTJ2WGNOs3j7YDy5pXOmIB2FR2uRLqt+ApjwzU4NBn54rMwPh3FQIfNIPfYt&#10;ycfXYdEa+6eB5W66EBGDV0MSjezawpNjkmksnE0rMarApXmR7h7WiD4BVZgzZjlWhi9Czu5qeZ4X&#10;cKJXQ9qFSWofcNeN6zhY5uNAB+4Y2IjSCQXyLHqvWmgvtpU8lyckNzetVc8b29u7fTzEvxunP92l&#10;Yq4DJ+Eh4G7CmA241W8b7vJrVM9SU1CavPMMTVlyaE0hit5wItrpxB0DGhA2cjU+Sk/EMs5bu7Ev&#10;z2T/HVgjCx72jQ8LHs7bw6sK9fd2MVucH+t3bMCnrBlHYNacpzcJfy6mPpw/19A5dsCJsgvpYk3H&#10;rZXOkX4InYmiyGL0nVmPNv4N6CKLzQeG1+OxScZpPG/g4/HCcruT8WLXZdeDOULugwzfREYLWF2H&#10;NkNcWhJJY57kt96yttLfP2ks5jEXAou43V+Pe/pUywLmTXx76ZeXefxXBZ7oUXLufQe39KnBaFlB&#10;G/EYoVpGwzktEx2G1OKpSU2awsDsuvTdFew59iGqt7+Jjz+7iFNnPkdQ8iHc1bMG/ePqkc50ArKy&#10;LNu7CR+lyOqPAKG5cvEmUaDMgUMDVnS05saSJc3Io0B56u3k0oW+ASf5zjcx0di9cYkCJysFTCVG&#10;Q7lx6zp8Nm+2vfGVZ18WerEwQ48l+yJ7HmVn5mSCMlvgFK7JD7cIcKAX72fbL17/Z/wQY6C2b1qm&#10;Xipb4KSyR+pxdJ7CMpM9VxR8bKNTQLUTffwr8VZoghZc/YkHQW8EXs9K0RQO9sCxEfnHa3FsubvG&#10;oKUBMoAT8x4RDNCbRx5mvEn0SmSIUnJtKXVn8bboO25JieyarX5JFgqkT3gogHyYZoClOwIynGjT&#10;0wH/HBcWn6rBqdJs+Y3IrKcMm8vN/5MMmb9MmIXyres1WJ0n8QKLHOjK5JJiQLn13XZoA4awIO1B&#10;JzJOGtsvDEKfd8CJx6cJYJJFTV9p78DR6/Ggfx3u8NuKlMASfO32ahkAymvseLXVhu3rbMutEAgw&#10;gHzb5qVGnOD1thLQFz4TQ0ZVoJ3IyXI49/k1oI2AqOKxBdi3qggZMg6zX29AVI2R82tESBWWn6j6&#10;GfD2Jk/fc8vtmTJPfUnrvufYIJBgPjX+Xk9UevH0JmPeugRgr8Z5aQOdt7rt2AK5x+25zBQsOeLL&#10;uDWS4jLtANvZdtzKvD2fGIuGphVIOd6A6etcGCeGklttjJ27Yd7KuCV/Lo5u7AsTEhBFrxaDy/vE&#10;cJvPMMTe8rbSL4RkDOS/7sKYfNELw+q0rmzh2pfw2ZffiY12G9tfwPWrAk/vfPA1xs3ej7tkVcuj&#10;2tePZsvn66GJuG9QLfyj9+Dyn1D9efczH2iV8g5D6hFW68KmfevxIUtF2HltRIHSgL3I/DPH7bMP&#10;E3wweJun5HxVwF8mxGuuIjuPk8bQyMqfQOVTpjqwA07C+ztR0CeLs38qt2KWQkDIo/yXyAqXSQp1&#10;ZWkFnOQetyoYg0Qgx3ax8rjwvSgDV8WXoxg0TyNrwtdDlF0+KTvj0by3jkj0gnBVy/aY6XRqUGtn&#10;WTVnj1+C7z2xMNL2P4icp/PT9CQitzm9eXiTxwAxc/SLi3zoO+FLLwoTl67bISBEjBt5mPEmab+K&#10;rAQDRtFq+/c3stWz/MWNpXL47syz0zfGgXZDnPCbsQUn8zNlPIm8Vn3mHm/0Vhq17gwAQ1BEkBSQ&#10;4UBApgNj8qQ9Axy4X8BUH3lG4BKnltvg9xiYzJNcfxzQiLyJS/COLGwix61SIMNA9hWTC3AmbDbe&#10;Cot3x2wZz/W01dodGyy3NY1+MFJuMF3I5eYgW4zz4empeMC/Ho8IaGOsVvL4Eq3x1kH0BU8JZck4&#10;ZizWtFXSPr3lHeIFDNCD5gUImj+TwfDcEn52Wc6fMG/j0CTzluPeat56PJmu6lJcYLZ/u76XZ+ti&#10;TcYtk4D6ssXOVAf0FLOdKZspX5JnDIjuK5d5ywXJQulX9RAJL51X8n8Pf+O9jOzjtvUOlcKwj+Bp&#10;qAP94h2t4OkXTh4PFJP2dp9Wh7b9apBU9BxefPVLnHv3a1y+ctVtYf9+r18NeHr/42+RUHAC9wyq&#10;g9/ITRrbYMRohOOcKOWQMatx37B6rKx+9XrMky+Xc/c7hoIVA7uoYBW+SPURfIiho0Jl2QarlaUq&#10;YAEQpfsq8GrOfLcCtjdknqSDVN4ER2a8SVRiXFm6qpYr2DK2MEz4ekh4XxLZWXJDSyjYgD6CH8aD&#10;vMbMyXbbFXKPwOnNrBSs2WWcevuZx8mLCCjpOSEQuJ7Q0Iyvh+Q+62Yx3spMdk7otBMuPV0UutGp&#10;R7S5jXTX8CZMGL0eX/GIeoRRvuLZ4oXqSWoOvryJxo8yaubobE/maAsZ+f7ynbcyWTduk3rc2IZm&#10;vEmUn+/BvEccTwyWNuVLIvCT9/86Nka3jpq/P98946QLT0cKMBgsCs2/Bs7IhWCqAl/A3rtpSdJn&#10;POhwo8w0mswKTXBEgD042SmrTQe6DCEodWBIihMztjDZIsGTE7cPbNJcStdkQfNOeDzmjStBZ/n+&#10;/TK/Ro/cqNnXXw9NkGeHGWMlIxkrWafOwjunc0iBgIyVsjwjIPyGsUJAHaH1A+/0a0KwPIMpRb6K&#10;mIH0Cctw71CXZm1P3GV4TthGHQcK+FvccpV/z9hnfcmXdMFj045e85ZlmwiMFBw14+shY97Sg7YM&#10;38YxWagFb5Lw/oELniULNWkmk9Ka8SVpe4lOYn60lwj4uSDxcQys3bFR58QNC55mc5h9QU8c46dY&#10;ANoSOLGv5NkXZ8/E/PhVuE/6Ysg8AbLCpxU8/bKJ/cf5w5jhnuH1GgLjF7EbU+YcRMO+d/DuR9/i&#10;i/Pf4fsffHdm/DWvXwV4YpzT3EXP6rbB8ICNOByUcv3EEYOAeXz7Pwa4MCpmLz75/JL7V/YXK0QH&#10;pRxG28E1mB+0HO9HC/jg9oaZEvCQKLmLMdE4vLJAV6SaT8hkYJE8Cnj17o1qUH0FTu/Pn6vbPTSO&#10;VsCJSoyFT3dtLMZX7kBNU74ekvvcBmSwM5Wflewe4MDK9W8zaN4WOBnlP17NW4AV+zbpe7dkDEm8&#10;z1XxsyU5PgMn5l/iVojKLr/35seJzEk8KpvJK514ItyJtgOd6vkYOLISNVOzcCU8TMHXEQFf6rVq&#10;xsObPAabJyff1L7zDTiezVmgtde4crd7fxZOpSy6VWn3/jLuvpoVhx3lxaZ9R68AwVO/WAfuHtwg&#10;IGW1bsuq18mMH4nvI88lMGTSRm7/mcnMtiWIyjjTiAWNNZgztQzJY5dpnh/m93lovBOPTXOi80gX&#10;nvLfgn3T5+MqFzaRYXg9bh6GRlTjkakudJ3QgLuGNiE5sARfiFFlnrWSA6yxZwOcBAgUH9miGdJ/&#10;Plbk/1HhOCI6oduIejwRUK3Byj8yvi0qDJ+Ex2LEqE0q54DZDs3izpgwes/m7DGUv9kz2T9cNLya&#10;7VnwWLTj9Xk7DxWNa2yBk2fe7hXw8Y0vByOEN7dzj8qCh9vUvoxbFn32FfATOHkSd5J3S31B4n3O&#10;nUOrCvC9j57ir2fFYl/FEoxewCBjJ8YWOAzgZLGwaqVfCEkfcg4xW72f9G+fuFp09KvBk4FNiMs5&#10;hnlFz+HES5+5Le7f13XTgyfGL9Ed2F6UXfDoVXgmWAw5t+s8x80FPJVNKsC/9XMiKuOZP8ld+NFn&#10;l9A3aAc6DqtFU5Cs0GbYbNWJImL2Ya64WKfOyiWvgZSyguPJqfcXzDOUDJWsGV8SDZnw58mxtT6W&#10;W6EiZfAyZbJVYgJ+mMiysWKZbhVQwZrxJans8vxK12p8xABWerMsZTeAE1e5XO2St5UCZm0yGkOj&#10;9qD8/gZjaELSLudnx+kWJmVv3u407EzfQOPI4PABIyowOGAz+gpo4pbR1mkZ+FbAD7Mv73QXreUW&#10;kDcPb+L7s/2ZOZpA1r7vjFNVLy3K1BN7dgaI3p0iAY7PFy808h758P4sQM2YqCzG5TV/fzdwZHzS&#10;4yFO3DO0ERum5CqoMOVHcsv8SmG60Wd2Mst9ellPlWTjw8hYfBQWg2cFpDBzd+K4UswYvRLpgUvh&#10;mJZpJJKV9mbqByZQZbLE6DojforGkyVtcsKWGjmiTtsba26ZMlmkOcgW4z8jQnMU3Tm8EcsnFcrf&#10;+N7sLwG0cu/otCRETFitJW48wIkB9SmHb9yKIlEWgjl64d5OF11D8OHLvBWAvW7HBh37lvNW3scA&#10;H4WyCOO8te97enf2rC1CjsmiwZu44GF7bdixHu+muXUO5TPjS3KPAYYSLDtYZT8GZNxqvUMBsZrx&#10;3AfZzyfEaS603Jed6B0ni5k+DvUK88i72TNa6ZdF3NblVjj7M/05J+Y/40Twelm8Bteh45A63Nqz&#10;EqtrXnNb3L+v66YGT3T3pSw5iU7DZUUpK9riSYtwKmQuTocm4lMNFpfJGx2ENZML8K8yKecWnsCP&#10;P/oOnr77/kckFj6Lf+9bj8UTF7mPspsoARLBh6ygmipLDONrsbKk8qSxqWxYrbmTVMlYKWDeE0Xz&#10;hqwUV7jLrVgpYCpI5tg5Jcb3enJNM74eChFDJuCj2p3x3A70UUkyw/ZnLLdiZzzk2ax/Rlk04/nL&#10;NsDpdJMazbN5aYYxlN+a8iWpEQ7XrOHVjlWmsjOnEFc+TLrHk3U8Qls7dSFOyDh5JigFh4NScSk0&#10;EhfiowV8LNffKI8WYrw8BqiqYY1uweh2is370wA9uyxbDw0Q1Fq9PwN8uRV0JncBrtCw+fD+n86d&#10;jS3y/lo3rtm4Y5A44464FdVFQAGDtJkU9uOW8lmR3EbzxLIcDZa3k5lggjE2LxVkuLNdE5wID/n3&#10;15FR+ECe9VbYLHwRPlO3lgicPheZOYYoMzO9a1D5fieGJksfDXGg+4R6LHjOyIJt9kwFMdIPyw9s&#10;Vg+K1tgzbSuCpxkYPKoCd/s1YvMUlqqhfO77Mm8vxUZjffkqTFrl0jxFTJrKzNv6LK95xmdy+5Cx&#10;eh/ytKrd2HcDJ5aDWbV3ky1w4rgiAGUM0vUs62Z8PSS8mTWcOaVsFzxC5M/UDR/7JLsxBnh4ZbH0&#10;rS/jlt97JT9N464sZffM2znxqKtbYYyBMw0Ym+9A+35GjcZWz9Mvn6h76b2NrHLqIQzm/WIyVn4O&#10;TXKgbf8adB1Rj33HP3Rb3L+v66YGT+cvfI8nJzShTf9qPOlfrVsCw0Zuwkj/dQiTlS6TA74rICp3&#10;whL8tnedAK3n3L/0/SIq/ten6zAnsFSTEBor1mbKQMDHF7Lyr6UBE6NrGYPkBh/MPsyVtyoZKyXG&#10;e2JsXhVjymPHvqz+6LU5XSBKjL+1Mr4kkZ25YDY2GRnPrWQ3gFOTpgv4SuMwbBSwrGyviiI9Vpqr&#10;cRgEJXYKmEbm3fRk3+rUieyfzktAuchO3s1lZ9Dp3H1GLEvyYReeDHWizWAXnqV3UmsaimEV4/mV&#10;gN4tDqNshT3obdJYM40fs31/wwAxBoveBLv3Zw4pAsd30pM0vYXl+9MAhYbjo5REfX++u5lhJijR&#10;qvXMYTasHstkEfC2ABl6XEzHslvmgysLdOvIlz4j2Du3cP6N9eKUyL8ZSXuzzyoa194os3zSYCYf&#10;/qmEx5QVRrB582eS+NwVezdrHI51W0kfR0Zg3pgSAU9NGD16A76MiJG/i5whAj7iYsSAlyH7RSMN&#10;CQvTssQOkzrSY+l5Hu/xmfS2ao1GO2+jzttw3aYuOcgs6/Kubl5mxHm1WIDqy0WZ+GGGACe7eSt9&#10;T9kZP2W0ox1watI0Fzy16Avg51adZxvQftw2qUf1rawUI+O5D7LrGJDFI/ufsrOf5+x14pFxDi2k&#10;Hb+15b5vpb9/4oI1rNyBpyNkMTS8Bl0CatF9sgN9ZtbjgcBqtBm0RU/hrat/Dd9c/PtMY3BTg6cr&#10;P16VldQ59JrcpEkuOwytk46qR+/p29FNOqbj4Gr09yvHo0Mr8funKjE7//ifFCzO6/Qb5/H4hK2i&#10;zGtxPDjZ7X3yUg4hobqKpitcDbjJQPIQDbNmDd9YjG+1ZIeNEqNBEGPD7S4j8NwaODFIlKfDXqXX&#10;xs74koJDNW0BA3K5KjUzvh7iPRoPDWD1eLOsZBfDwdw5PPnE4GVbBXxmq+ax+UyUKo23JW+StPun&#10;SbM1dsNM9lyZvIm7XHo8/rGJDo31eXSCQ5P7HQ9OMcCTgC8Cp+un/mzen14xZrbmat/WeMr70xvC&#10;hIlZp+wzR/P9GQvGbVAtIWLFm/dEdiY5Zc4uK8NMz03yURceCXah3RAX/EeX40zoHBh5dprxlXbn&#10;MfddG4pVVqvaeiTKzC2zd+fP9UFmIRnLTPDIoGOzubJQiC7+iUtlVdpXjKgYUp6IvCHuiDKdacD6&#10;3Rv09J99aR65NzMUDSn5aBfQgG4j6rA/iHFKQTg/Kw4bt69Xb6j2fXNyP5NtQGBLkEXAwuP6ls/k&#10;vJP2YKoMw2tj3fcZZ7dj1dFavJeXblQTYB6zGAF4HmrOX9rxQnysllux80LzuZy39PCw2LKmI7CS&#10;3T0G9q8tQjbHregsuzFQur8CHwiI1zFgCfjlnsj+sZ40dY8BL9m5tTOuUPq+lwOj3Mk2vZ/VSr8M&#10;4lZ30n5ZrAY70KZvLYKSDmH8rH3q5HggwIGQ5MOIyzmuJdQuXrritrR/f9dNH/P0w+WrOPvmV9oR&#10;+45/hP0nPsKZN8/j6AufIj73OB4Y5ULMwmOau+lV+fufCp6YHbWq6Rzu6FeLkaM2InLsShyj8WVc&#10;lRhwbt2s3LdZV3aWClKUBF3++9cU4TLBAVdndgpYVmjc7uJpOV88TtxiObcwFVdFQVkbFCEBTjTU&#10;9BrYHZen7Fxd7tqw2JCdZMWfwEE+WXuMv7UDDkx6yPghBo7aFlAlSbsz43cJA6+lTVviPTTJic6D&#10;HXjEr04Dgn83bLt6Hlj5HSEhCpxW7SpX42L3/mzfrRVL8QOf7wNwYowXt3AXuA2z3fuvFgD71Wx3&#10;CREr3gQhApzocVl+oFJBnxVvxtUVnqpDaeoyDJeFBEutBI9di6+1rIbXc6RP6W1oqijRNrWVWYxm&#10;2f7N+GLOLPvx5pE5PUkNrZXM3GZMfrYBQ+Lq0blfPZ4Kc2DBcQMEsgr/ghcaUOAUYz07QdpKFjKW&#10;Y0XuhYXhUE4O/ObV4a5hjeg3sgqfT4/ChYRYPSXpSbtgJguJ95LObtMtXe17u/HpBk6ct7nP1dkC&#10;J9ZoLGxajV1h0zHl7nsw9p570OuWW5DXowemt2+PgLvuwsfTphmAivylHQmc1uzcaDtueY/9VF9b&#10;hu/ozfLR47RD5q3hhbYbt9sU8J+fHa/ZzK37Qki+w/hOYwz8XPaC142j7fc84YB/hlNzBXnfb6Vf&#10;BnGeTi5x4q5etfCL3IXPzn+vOZ52HnkfR059gm8vXsbF766o8+Pv+brpwZPdxcSX/9mLbsVJs/fj&#10;P3puwS2DGvCgfz2enTIPX6fOQslBH7IPiyLidzTzNA2N3eqMSkyM6DNl+QqaqMjMeJPIn8aOeZbe&#10;Y+A5S6KY8fWQ8L8m3/lUVn/cSvNVdgawalJQKwVJ3qKgeTqM5UY8RtiMN4n8qdw3bV2L7xgcS8Nk&#10;xtdD5E/gJLJrHpsWZOd2C2OcHhzn0Lwxj/vXIGB0OWYFlmH39AXSttM1wJzgy6eyFdIHe9cXGfJZ&#10;bUm435/bpXW1K5Q3eZjxJun7Ezjt2mgE9XNsmPH1kDybRurtTCNxJ9vXjC+JvAmcaMBPL8rAtRnB&#10;qJicrYkhewTU4IsId8wT+1PG248iN/MJ+SJzknyHBZaZHZ0G0VRWD2mfheEtAfWaKNZOZmnrJS/U&#10;4kRmFnoOrUJnfwEYz7iQd9apGdEHJjjRYYgDI/034mzIHFxTDxrHpIeMZ2pbRYRi6cRCtBvViLuH&#10;NaDzCCdqAjNxKTEGpQcr1ZtkJgeJsnA7icCJNQe176WdfvZ+HnK3I/uf85bjvvmJR28i//RXt2Pp&#10;1jV4+p67MPWuu5H80ENwDhqEkXffjQlt2qDnH/6A/+v/+r+w9umn1QPFduS4JfjwZdxyftBTrHL7&#10;IDs9To1Vy/V3Vh508ufz6bHW04B2Y8A9bt/NSFZPXEvzlkY3aI0RNE6vBXOItW7d/cJIxj09xYxf&#10;u7XHFuSuetFtRX95168ePP25rvNff4+9xz9EdOYzuGNAPfwnbkbptk1IP2ujIAl8nndpriI9lWYL&#10;nMIVfOxbu0gNif6+GV8PkT+3HLh15VPGc+FPBfl2VioKxZClv7ELC8nfBOB4ZGcyyaO+llsRw8Fy&#10;K7WOlQZwasbTm8ifAb/MnHyJWxM+ACeWSjmXlayyt6SAleR9WOR0Wha3bRko3ITU8ctwNSoEV8OC&#10;8WFKIpYeEuNpa4Aa1evHdAFG39kAJ+m7S7EzscW50icQQo8fU07oqSryN+NLoudG+Gu5lfx03cKl&#10;J8yML4m8CZx4aIDByggNwefhMzFyTDn+MGwbSicV4ooGTVPmCHw3Mxr1AvbYprYyS79ualxrC/YY&#10;pP19dDQuRUXjzKJMTdthJzPHcuGJWpwrWIBPp8cahYvHuBC5xQn/DAc6CBC+b5BL4xvvHN6EwDHr&#10;8V7oLHwdMRPfuwPU2U4EApejI7CjsBBdxjfgnqENWvT35akJ+DJlNsoOVqgn1UwOEmUhcOKiZa/M&#10;Q/UG2vQ9n8lYJW53aeyczbzlFnvlvgocmDYJo269HYiNBeIE0NLDNGsWMHs23p88Gf/tv/wX9L7l&#10;FumnSHyaOldPPvoybhmE7Vu5FfcYiJExUOfbGNCg+W3rjfxTPoBnztvXcuYb4Pl0y2OAMW/zn3Vp&#10;Etf7nnYgeJ1Tt3HNvttKf5+kYQKHXHhiugN3PV2N4k2n9eAVnRhXr/6yaty1gqc/88XUCP4zduOe&#10;AbUIqzFWSwwu1cHjASEClgwl1oC8Z+v/pOzDLNvAMiR2wInAhKtbbnd9wnIrITbASYDPFVHux+Oj&#10;MHjaKDwRNRH+C6IR4yhBxnN1IvtPz7ouuxiyU0sWGrztgJMAB556q2xYYwAnE0DmId4juarLFGxY&#10;AgeSPJuJK18pzNCkmVbeCxLLuSw+tAUv5mWiILBIDS2rwH8dFiXAMUlP/dl5Hfj+fBZPyRkGyP79&#10;GUReIe9P3lYGiO9O/gz29Qk48f3l30zdwGLU9gkQeQqtQtNaKMCJDkHjtEzcIsCJBVzfDY83TpzJ&#10;eGNuKJ7Us/M2UGaCiRqR2agX18xoMqePkNbAEwDw6fTpWP/kUyjwH4bcA5uRdmabKV+Syiy8iw9v&#10;wau5adLeofgqLEbzb3Xyd+GBMU6tvj8kYDOKJxfiSFASpo1eg3uHN2DQyM2IGLsKayfn4vMwMeaR&#10;PD0Xha3LF6NPggttBDgFjCrHFyEx+DwzAcsFNPuSeZsnZp/RBY+8py/zNi5Gt7vsgJOn7+t2lmNf&#10;0BRMuvMuTGzTxgBP3nzl/8dGjsT9//qv2D9iBM4kxGLx/s1ItSiIrLLL83k44Rhl9wE48T5P2m6R&#10;RYwvY4Cys1KBeh3t5q3w57xlqgOmMLAdt8J7zbEKTIyvRJu+DkxdaZ+yQIP6hRgv5/m32fda6a9D&#10;nrQwPDF5T+8aTEo8iJLNp1Gw9iW8+d7Xf3LYzN/yagVPf+aL6REi05/B7U9uQcgGJ+budWLqKgdm&#10;1Dix4JhRy4uULqtobi3R4KkCswEfasiYq2jLcnvgJAqSyoapBRhz4ovb/Ht5xitrl6Df1AD8z1v+&#10;HU9M9Ufbpx5C+96PYUDMFMQ3rgCL8ZLvAnm2lophuRUaD8pnxpck964KcPgkOVG9KFSQVgqY77Xw&#10;eYcamu+4ypbfmvL1kMjuydaeK0bBznuR/ZITaTtqMWfOWkSMWqmZtLv51aNmShbeXCSrX3ptbLwO&#10;XLnz/V8oyjQMhA8Ffvn+5bIat8qETdJ+fd6px8t9yr4s44LH1mkM7RJ3st3Jn8kMPcDpcmQEPoyI&#10;waxxZbhVwFPhxMUar0dvA088MeiYYNRSZvd4a6hajkvRnkK7XnJK/3wm/Xh24kQ4Bg3CC/KZ2707&#10;ev3ud2j7m99gbEkqFp3bY8qbMnN7iyfnDC+Z8JY2/XFGJPZOX4DwsasxauRGBUjHeGCDss8Igmt2&#10;DnolNKBHuAvtA1y4c1gjDk6bj68TZqBhzTL0meXSODdS5aQcvJ+XhGXPVNl7v0SWguM1xoKHY9+m&#10;7415G6/bXWx7X+ZtrYCPS8lzkdSpC+76x3/E8TFjBOAyBs2Ld0wMDgUEoPM//wYBf7wDj3Z/ADF7&#10;1guYMAehhuyic45Wa7yVrx4nHhjhGLAdt27ZubVreB0txi2J81bG93PSjvkszG0zbtnujKF7NycJ&#10;CWOX485BAnqzHFhwwtCpZr/j35mGY0a1E9H1Tq3mz2z3LAvDY/It/a6V/rJEbyHLQPWYwioDdbhv&#10;UDXu7F2lp93/lFRBf+urFTz9ma+3BD0PDNmBdoNrMSbXgacj67Uw6iPj6zF8Qb3msJh3pAGlBytw&#10;plBW0RGME6KiaUGRqQJmkVwj54lxeqZlBUwlxkSIDGBl/INmtjbj6yFRkJo1uywPxW/tRbexg/Gv&#10;f/wD5u7bKIqmGpNL5qNjv8fRY+Jw5L2+0/Ba7K/QjMI8yq3ymfEliYJkYDQT7m0Q4GDIbi63xzCx&#10;9tjBNYvwvee0oRlfD8l9Jq5ktmImALQEDlzxiPHYvGMt0matQKch9egs/TJx5DqsmpKPw8V5KHrW&#10;PuaGBqhUlPiZPHpA5P2tQK/cowF6R95/7c4NChytDBB58z32ri1ST5IlcCIJ729iZ+LA6kLkPGeT&#10;AFHGBdNg8MTiO8z4zmzpIt/W6WmIHbcSnUaIMguowStBc3VMMsEjk63aASfKvFBk3rlxieFxai6z&#10;GP1TY8di/iOPIKR9ezz1+99jyB13qDfl+ITxmHHHXeg1OwiLZOw1502ZSRsosyfh5PX25mcEPgqP&#10;w9nQRHwbKUBTgKCnvRknlvJcAxJ2OdE/zoE2A12IH1OGVdnLMbrAhY7DnOgowIl17BLGlmJOaQWS&#10;Tja2aFC176V9lxzeghcXCWi263s3cPp87izd8lSPE+dmM74eIqji6TUC0AuJs/BDUDB6/Md/IKJj&#10;R/xArxM9d9784+KwqXdv3PLv/4ZOXe5D9+mjkCN9tdDkGZ65texQlSx4fK+vyFOS61lfUQCl1YKH&#10;Y4CeOJ4SNh0DzUl406N6ZEWBbcZzY9w2aNLRtzJThHcoDk1PwcCACnSQPpxU4kQet+688q6xD3mi&#10;i4tV/3QHugY48OhE0cUznRiW7kLYZgcSdjqRdMC9I9BKf30SXRRd68S0VUYZrLb9ajExYT+u/AJq&#10;2nmuVvD0Z77oehwYvF0Ucy0eHm9kSY3JOobw+c+g81DmsKhBv3lOrE5dijdC4jXT8ofhsfg8PEYU&#10;CxWal0KmAhZF9FFyAqpcq1QBWgIntxLbXr4UF3wst6IZz9ctxsIXhO9rOzA2LwH/8C//hIHx01D4&#10;5l6kP1ePLoN7omfoGFVya/dswjkaMq4srYyH3GNKAXoLqPgWqOzmcpO48qQ3h7W3fMsaTuAQg93r&#10;l2jckW3Gb2mbzdvW4cP5c5A2phh3DGvC8IBNeD58npbKKTjpQ9kKxo/tLscbWVTidgbIyIf0+p9Q&#10;toJbbj/VXrPoO7fH6av4WDVY7HOODTO+JIImjhtumX6QKuBIZL8oY2vzlGw8HlCtwClwzAasmpyr&#10;R/vfyJmvQcc0mnYy09vHgw4s/2HWZ1/LexAoJXbtijVi7I8JkFrUoweOjhwJJCZiS89euOuph7FA&#10;3qHg9V0Gb2aBd8u8RWT+MHWOu73NxhufKeQGThxvLIvCmC4aUa5yZ9a78DhXufKeD493aobwhya5&#10;MCFxCxKnlOERv1p0HefE+CUO432bjVP+jfw0OWvOAh17ln3vBk5MNsncSR4A4M3TmxQ0yzxj5YGv&#10;pU/5WyaSXNazJ/rfdhs29O1rpCSgJ1bA6Pfy7LeDgjD+D7eKnnkacVtXYe7ejch++efAX2WXfmJ/&#10;Mhec/bg1gBNP5bK+oi/jNk8AEOeQ1lf0YdxyS2+v6BzmCbMetwZ4Lm9a65XxXPo5KhRrJufj9n6N&#10;GDjb2Lq7vj0nxPqUDCYncGo3zIX+IyoVIAcEbMTjw6vxwAQnnghxym9ZYqdZqotW+qsR458K3nBh&#10;+HynpiyYMHs/3n7/a7Wh333/95uiwHO1gqc/8/XdDz8ibP5h3N13iwKn+JzjeEsGxOvvXMDCFS9g&#10;TMw+PDhSJvTwckwfuRIzRpYiQihx3HI8r8WK3caACTdFWbw7fx42itFXr41n4DVT7iQqISqjfWuL&#10;FFRYKjGSgJ8L8r2tFSXCrwGZZ7ZhVGYsnpgagP/+v/4nOg14QlZ025H2bC3uffIh9EsKQ+X+Srzv&#10;MWRWHidRkD/KfcYyUGnTOFgpYAKnZYcqcVaUO7f4LJU7SZ7/dVysT5mTPQp4i4DPj1OZADAc40ev&#10;x93DGhEQuAnb1i3Ro/rWXhvDSKzbSa+NKHEf3p/A6cVFGbraJ2/L9xfDzPxbBI5sN/7elK+HxHgz&#10;forlZlgc1moriPf4bB5H5zYcPU6ICtb6jg/51+EBoZViiF78/7P3H+BRXUnaOP79vv3mv7uz3zc7&#10;YT2esccJ2+ScTLTBBJOFQIGcQRlJICGSRJKEhETOOYNQ7m5J5JwztsnYxgmDbZxIJr//eut2YyFa&#10;9/bMeGbtdZ/nqUfQt7tu3XPOrXpPnTpVQXG4LfdlzrDZe7M8MppTDubi0JxUw0vmTuahQ7GpY0eN&#10;y/k2JAQPufUkAEAzw9PQyr8/7NMXtZ75MzqMG4xBi5Mx/kA2ktTbZYcjZwG+HMUs7Rb9zfki8+bU&#10;5ETt78dAn4wdk6FG59vhn2LTYONWox2IXZaNg5NTsT5oPHp0WYnKHQRY9bDp1k5xY0o+9L7x0IVR&#10;o9BKFo6fvLfjR2MNk7Pq/PuBX0nSfhTQvE/AB2teFu/HO9JfOW3aoMmzz2Jxy5bI8/HB+/364XK/&#10;/uj26qso8/IL6DZ9NGZ8uluBEw9vFOftkp0pF95XwC+8LfqRwOnUlEStGWg1bwkopxzM0SLZmnDX&#10;ct4aZZL43mqVBQ/mrT17vi4edYxdskcFa8mklzoUoUFPGyKybPL8xvYdDw90TrSjVawdlXwdaOGX&#10;iZwBKbgSPgQHg0ejUH43uOtCvNExCxVaGQXAp7zvBF8lZPDSP574rvWbz5yL+XijexHCxu1D0Jg9&#10;KNz5sdOi/nSbFzz9A9r2g59h+oqTWJh1VgPIXe3qN99rUs1V9vcwaOxedB22E80GbEKLQZtRpZMd&#10;Xf2XY1bvqdg9cAwuh0bj/bSxWCJKO5FKTF5uKodJXGXRLS2o3TUBH63+Fk7GTU+2u0JC1WuRJwaV&#10;wCJZlGCqgK8a7ZuiSstGqN+lLRr27Ij0c5swbOMSlGtUCxGd2uJqqnOrykwBy70JAI7MnqSeJJcS&#10;LP7CFCfGUszbvQ7vp451JtGzkl0U8LChmoySYJLB3+74klyGyyHfvTpyGC6HROOTsBgk9JyLirIi&#10;bdQ1D8Ns+Ug5WzoP9VpJ/7Jgq5bcUHBnboAInBhIziBYT8rNzNyfjTOTmbhU+Jo9P/td+ojlVnLz&#10;WLrEeEZ3fEkuULlx7RwBWzE6Nl+HDcHH4dGY22cq/tRxI3p3XY4boTJnwoNxfDYr7hvJVkvyKk40&#10;yIzXIzjW4sGlyHxnyBCEVqmCoTVqGJ6TkltPQg8EINgEFITXfw0v1qyEEbvXIFWAPGVmsLrOZbP5&#10;Jvdm7q+3ZySrTKUZfL4z4w7aMXy/vCubMnF2eiI+DotDt8AVaOyXi+q+3Fq3abZ1V7068mGeJ251&#10;XuKiwXLsjfF5P2WMelutgJP2o4BmxiDdZnxbyX6U/nooADO5fn3UefppjKxRE/0qVEB0rZp4+pk/&#10;wj89DknH8nXxU5I3ZSe44bYbt98IijyZtycEwHtSboXzlhnPCbQe5aVzx5dEj5P0C99BbmEankWT&#10;91Z1RoHmgWOiUu33R3OAf8MwpdcMlOtUgGrtjbQFXaewYLAdDfvbNYaRW7L+AauxYeAE3NDfUT5S&#10;BD4UIDUgYClebkvPlU3rOqrXSuaIO3m89I8j9vnoXXZ0GsskxfmoHZiHl1tmIjrloNNq/nSbFzz9&#10;A9qdO/dx7cYd3CglOyqPZdI1ee7itzh+5iu8ffYrpC15F9U62VDTJwetfNdgQLelSFq3DinnRMkI&#10;UHId8WQQeq9ZNsRtFCUvqJ3AiYksj4kC1q0TMyVGCmadulissy9RJUXwlCpKfMKhHPz2z0+hzdD+&#10;SDqaj2EbFmPqB9vQOW0YKv3lWVzo1UuUuRhZU+AUpitQrqK5mrbyOPH0DrdYGMtAxW2q3EkiO8vc&#10;rHMYdeoouzu+JBdoY+D5d3FR2NxvPHp2WYkegcsR4L8SNXzzUbGVDb3nycqzlGR7CpyED2PNeFLQ&#10;0pDLdWYN37vIKLfiyfOzbAW3mjwrtxKqW0GsP8ZnN3t+3Q4RI7Vj+Qwj105YKK6GDUV090Xo2nUl&#10;2gauwwu+6xHbdb5eOzx/ksabmW2jkCiznnpjvTgzoylg6XyfPnj63/8d9rZtnzwtVowIsqbVqIWq&#10;PdrL4mADtsuYGTJb9zeN8qG5aU7ZS+9vfj7+TCEW7M3Ae7IoeTA4GCt6p6ECDXBnO6q1NUpFMGcU&#10;3zV+n8/KviZY9QTE8TunJyfq9h5lMYsTondsxv4cnJqWrJn2S+1HAVCfDxqEnb6dcS4iFIHdO+LZ&#10;quUQvDQFE47m6btb0uPEeUu9kOlYorJbJpYVuQmuDs5L05QRRiqDx+UtTq45cN5qDrhI7k+vJ7eN&#10;CYrM31vj3ptWzzI86E94y8JwLngEWvhnopqfHW8MsuG13iwvJGNIEtA0oedsXYS+EzQKWjhbQZPz&#10;9+QVEYQxkYtQzq9I41Ff729Dr9k29VB6PVD/DSR9PnafXW1aQKoNL72ZhfAJ+53W8qfbvODpJ9JY&#10;h2/b/s+w0vE+ug/bifJtc9FssA1d0mwIlAnFo52s+1OpQw6qdcjT+l5cRS/Yv07jE7TYpiX4CBEQ&#10;EIvlG1fqCt21KuYpuoQ9GZpwzz8xGrM+3aOfT31/K8JyZ+MPT/0eW9u1E4NYugGkgtQTUM7q7VSQ&#10;ZgqYx/UZU3FZS3eUVJBuSIADDYEhu/A2UXI0XAQOzKlzc0gE9gxIwOt+2VpkskmfPNTraUNt/3yj&#10;FICAUXdlHrgy5n14SuqaaxvUwgDRkDCWQ2OwRL7iz89TUCQG9KbJs48/t1GN7KXxowzgZMabwEmA&#10;46cst7KZZSvMA3hpOFPk+fcLiNXCz2rcwnApLFaNDlMzNA/IxMxe03Bq4HDsWzzl0TaK1Zix3Mon&#10;E0Zrbh7T+SaAaF7TpprI8cP+/d16nR5RVBT6vFgGzeMG4nD+EqPoLWW26G+CAh4WMGLezIET8wdx&#10;vl1hf4cHyT0HILHXHJTpVIiavmJAB3D7x67Gk3OLz5qTv9CIHbQaH/aDyPP2zBQ9zWYJmk+tV6/s&#10;eS3u7MncD8PN2KHIKVqOuO0rMXBZisjpHuSyZA4BMD2zzDTO99KqH7lw2b1kmry3+TrvLefAHpkD&#10;42UOWAF+kry3zDFH753VvHUBd+O9pTfUTd9EhmkR9grtHWg/xo4hWwsxb+pCrO+XiJx+KSgakKSL&#10;hGvyO83rpeDJ+Vv+X3TgmfTxmLgtB+F5BVqWqZIsol4fKMB53+MefS/980gXLCccaDPMhldbZKNH&#10;7I6fbE07V/OCp59QYzp6pjp476Pv4B+9DWXfykaldrmo3D4XFdrkooqAprDx+9B64EYBV7JSWrUG&#10;n6WNNra7zBQkaVCIrv7o6WGMUXEFqZ4nWbn//rk/o3qbJmBiTMZQJOzPRPU+vmjz/Au4xlxOpRlA&#10;uT+DnDfLapF8rYATE0TyJBePQVvWAXMCBwYN85SfVRCzAZwc2L9wihGHERGMHQPHo0ZnGxp1zEHw&#10;1GxEFzgQtNyGoQ4BeceePHFjeJwK9Xlu85mtwJ08P4HTRvm+sVXz+POzL4fY5iEyeyYSj+QizDEX&#10;CwoW46oYFRYeNn9+uSbP//GEBM/KrRA4CZg4OidNnl/kfmSAeLw/DJsHTkBNAZG1fPPxdshoHMmc&#10;qglDrYwmx2y+zJ0rrC3oyXyTcX3h33+NEbVr4/7w4U9eZ/wT+1b+MgDap8xLmNnNH/dGlohvcUdO&#10;g88TfurhMZGdn9NTsmr9Cq3SfyckQuNe1vRLRdcuq1DBx4EaPjYMzrbpdh2BE5/Vnj0P31NGq2el&#10;rCKLpso46kmh5PVawPujiQnWoJkkY08QtHLjCnlvizDR+W66480x5P113hI0W8nu6sdS5m1JYrZ7&#10;Av7L8axTZzVvhUT2S+NGYqGWpzLnrdut+t5ONmLoSpsDAp6m956uBbz9psnixrYAt4YPlbkepl6m&#10;u4MFVCtgcpHzd5QnKERj+hicn3yKixgHfEbbUf5NG/rMsxmn9tzI5qV/PHHRwi28LpNsqNo2HxXb&#10;5mBxzjmnZfxpNi94+gk2Jgq78uVN7D56GbmbLmJR9lkcfPcLHDt9FXfv3kf3YTvwfKt8FIRP1LIa&#10;lgpYgBMLczKehYbEnRKj9yk8Yyp++8wfMWhpCmZ9fgAvN6qJ5s88g09699HYC7e8xQBwheeqeWZp&#10;hJ116m7GeFqnLhQfJY7WgGqrXDOurZIjcydpuQcaByrQB5EhiO2+AGV8ClG/lw3xO1kXyy5GyB1w&#10;YrmVAuxYPt0wEORhJqMAKxogHjFn35Y0QNyGGr55Gf5SpSz+8PyzKNuwFl5pUhevVSyHMwGBxgkq&#10;d3xJTgP0wcSxmL7fyBpu9vyUmx4nekAUlD1hgIy+yO0/Ea9IX3TstQ7hOdJvPOYtyssdTxIzVmup&#10;Da2t54HRlO9cmpKE13r6YGS1GgDBE4EIt+6YHTsmBt8NCsJt9m9cHCbWrw+/V181Tlny92b8nQaf&#10;+c5YO83K4NNTwvxiTLb6MDQEy/ul4xXfIvW+8ah7HT8xnHNkIcKtL1HeBE4b1sw2AKLV2KvHKQwH&#10;xeBTBk88dwTAlwVQWPYjScaeud244DHLGk4y5m2hem300IWV7HKdW3VFnLfC2xPgxMDz70QeT2X/&#10;JDFeQwo8eW95Xd9bPcVrIntkKGYKeHrZtxCR/ZfgDmM8w+U3jwGmEr8lL9GBDG3goohAjUCJaWOq&#10;dzC8jgl7vaVe/rtJvX7yHqr3qXk2gsftxR2xdz/V5gVPP8NGMFW2fT5ad16L90K4qjeUx0NZdT1w&#10;kq6+RGk8CGKtswTNp0Lj7m7SumjGpT2o16UdKjRvgDejeqPOC8/h5kABZ+4MvPCm8r01JAr2nAWq&#10;uM1c8lSO406tR65tsfxG+NE4leRZnESBPhBFykByxk+ZyU7eNFzMdaQJABU4GEqUtc0uhsShTcA6&#10;VBJjSWXJ3CIljye7eNDrpDUGKR+VuDvZSK7nF1CQl7fIFJQm7F6DZyu+gpfrVUN03hzEbliM35b5&#10;C2wtnUfQn+AtJPfm1ti59AlaY5DAqSRvF/G+7H/G/ZyUlbWmkXBrfOQzWbnfCB+Mfl2X41UxQFXa&#10;2tB3vuF1cceXz7Vi4wp8pxmjpV+f4OmkYjK/lzoec98uRMj6hWjw6st4L6ArPu7TBwXt2yO5Xn0k&#10;1KmDRi8+j7blymJIzZqo/Ic/4HSPHu77wkWu/hZjmZu/SI25u/52ET1I3KpjXcRrMZxvIfgqfCga&#10;+OeiSmcHanW2oV43GyIyBUifl1XvKQEfYliZtkM9jRZjT/DBU4N7F0+RBYMBANzJQaKcHL/lm1YY&#10;sXNm/UgSviymzFNmPD1IQOeOL4m8XV4jAidP5y09UzZnyR2r95bgauWGldZzgOScAwwl0Dp1FvOW&#10;/TbpSD5OzJzolN3dvHVSRDi+C49C9y4r8aLvemzuP0E+N6mcwHESee4J3+J1QJltnECp12y76Dob&#10;Oo6xI83N1r2X/vnE1AX+SXaUb5mH5n3X48qXt5xW76fXvODpZ9gYkD5ozF4838aG2b2n4fvIEFwT&#10;43UhZAQODByDg4MScDk0BrdkRcb9/TRRTtZZswswVRTw+vih6PHsc0ipXhPHe/Q0PAZulBKzZn83&#10;PEbjQhQ4mXgueI38i9bNwx3dBrMCThG4J7KfmjIBkzVruLnsVIj0TGnywkfAIQK3hdeZ0DhM7DUb&#10;ZXyK0LCnTRMmxhbS6/Q4D8Zj0J2vJTc8MkBhugpf5zDKVpBHcblIjG/iicX4XWvw9CvPo3rbJph3&#10;9RC6zxmLV/791/i4b58ngakq/AiNYXtnerKz3Ix5EDeNPrdTLojBMgNOBNVfhkdj+6Bx6Bi4FpUF&#10;TNbrakP3yfS8CK9iY2hsXRYgy7YIN1kih568J3g6qZjMDIDWUhvSJ5Pl2VsND0Kr5o3xWoVX8X//&#10;769R1udNNB7aFz1XpWHo7HHIDPDDDt9OGmjvljfJ2d/Xhg3FuoLFGHNmg9v+JvFzgoEJ0vfZAtRv&#10;Ml5NDT4N7xC09l+Hqn4O9Jlj1xw/Ke/YEb/XgYTtNuxbPFnGXr4r4MKtHCQ+qxPEMRifoIVz250s&#10;JJVF3o+MgiUif4wxPu74ukj4E3wwSSkTcnKbzx1fks59uT+T4u5dPNXw5FrITuDEfsyxlw74XcQ5&#10;QG8my/PoKV4mxXXHl8R+EdI5MNUot2L53gpvPbVJwK/vnLt56yTyF6C0N2wcqgfY0TogA5/Iu61l&#10;hEr7vsypW/JvgkqePHSNE7eHko450HqYDZVb2+CfbF3mxUv/HOIijqcf6wTmo0ZHm55O/6k2L3j6&#10;mbbVjvfwVLNcDOuxABn9kjGx+0y091utsT11OuWhr99SrEucgRnHnLXeaBxlclJxPDqSK5+pEhOl&#10;Mv2gocQeCgh7wIznjJmgh0iMjnosiiklbgu4Tn0xfsoMOHFVzBicbStnau08T4ATS8WwbA1PrFkp&#10;YCpEFkMlSFQjqUpWjMTgMOwSkPCGf7b0iR0N+xheBj1N4+yL4jwIvo7OctapszLk8p0r8cM1DoXG&#10;zZ0BInAauWUF4jYuRejqKfjTKy+g6QB/zPx0N/ovTcHvfvUrnOcJxuKn0Oi9EeOm5WbmTlLgOL6U&#10;+BaSC+AwcSeDuPX5SzNAYmQuCaBmGZPaMkcq+TjQSPqEpSsUOBXjq7EzwtuexXIrMmZm3gb2t0vm&#10;OWnqJXTJ7Mp2PfaEHV0FMDYb3AuJMhcmnt+IFftzcHmqgF0eQrDwOHFMmGGfXqQxZ8wNPgOm6fqn&#10;7I8XJ2YJokhEyPOX7+hAs0g7esyy62GMN4c4EBCUgU+DY3A/wvpZvxPwwWP0hsepdGDr2gpjQd1v&#10;mSrCrB9JMnYs7szs/QQVBDfu+JJc85bvyP4FAvjld1bAidd56IKFm608ToY3yyi5o7FfVrILb572&#10;PSbv0GTOAQ8WPAT8Rq1CD4CT6JxPhsUiYcxyvNB5AwZ0WYbrshB47CTdY98Px/UhUXpqj4u74gCX&#10;BnrgEiNZKj2QA5fKOyDzUvViCf3gpX8ucQyojxr1y0dNAU/vnP3KafF+es0Lnn6mbfvBy6jpZ0e9&#10;DuvQuIsogR4b8XqfDYhJP4zeI3ejfDsHWowuwIQTAl4ImEQpJB13YNwBuxL/zc9ZY2/e7gwcm5SM&#10;7X3G4ODABFwKj8HXEdH4SpTTFaF7NOoEUAIqGBjNUhnLN600PE5uXgAXUUHSm8NyK/eo1MyUO0kV&#10;cCQOCnBIO2pdtoHKnXJoAkCu6B8pYHpZwpDeayZe7LheyzPQSNLb5M7jRPD17tREa+Ak1wgcCVRY&#10;/sNtLIcY7rSzGzFy6wpUfLMeXqlXHXUDWuOV6hVQ8Y26Cp76rEhF9d/9Hme798A9GiYSPXLy/DT4&#10;9CJo9mUZm8d4FyOXx4MA7tNxo4znp9FwJ7cYmCthQ5Haa5YmB63bwwafeBvCM2waNFv8eDbHjIk3&#10;GfyutfXked3zFFKwF6YlYvYsmSqG3I3MIqfrAEIqY5Skz1ZuXolPx3uQbFTGk0D1M57WMgGqLmJ/&#10;sN82C1D/nif2yP8RPwEm0g8MmI/svgjNOmehfrscTRRaQ4xolQ52jOk+F0UDx+NzAZnGVngxWZwG&#10;+UsBHzzJZgDM0seHsjD+bP26ubjJ7S5uBRbnV5KENw84vDs1CVMFyHvibeWJPW5TWyaWlX5knNhn&#10;Y1luZaXytupHzgECDz0wYTYHSMKb5VYY7G1ZX1HnrUPzYL2v5VYou/kc4Pz9LHEkoqOWo0rvItT1&#10;zcPq/pPw0J3XieMkPL8WgFsofa/Aqdg48f0fK/qPuaF4yq52gA2thguITrdrIlXVi8XeBy/9k0n6&#10;nnYpYKINFVvnYubKk06L99NrXvD0M208xjlr1SkEDNmBqStOIW/zRTi2f4Rvr93Bqfe+wes9ClG9&#10;Ux5G7zBKVFAhBK2wo/1oG9qNysegZXaM2leApdtX48OJI5HVKwX1OuWind8aDOkyD2m9piO150wM&#10;F4OyZUAivg+nYjJWxSw3UjzVgTvideaMObBgMu6WUrrjMZLr10UBM96IgMtMAbvSAGTaF+OSGFa3&#10;RjgyFNsHjkM9v1wNDG4yyKZlG1zgibJTkVOJX0gd65ES59YRv8sCpaUZIJ5cjN+1GvV7+qBC8/rw&#10;S4zGgEXJGCjUe2YC0s9vwvBtK1HPpwV61auNXR19caBrN5zu2Qs3hw/TEh2pxzwpWyHP71iCK2NG&#10;OJ/fjcyPKAQb+ieitp+ABB87fMc4c9qIkirOl/ck+NjJ2oI6Zm6Mk4t4PwEETGS5RYws01PQoBfn&#10;V5wU7Ap/eit5dN3tmBUnjoV852JSvGb35razlcHnfGOZEJWd/J/gy/sxUWg0CvuOx+zIWYhcnquG&#10;szYXINI/dTrnYUrvGTgbGvvDb5zAiSc+uU3Le5kBJ100yBhuXTUTNzTNhfXc5xbz4TmT1HNnFd9G&#10;/gwiZ2JVy/gs9qPwfz85AUu2Sj8Kb9MFj7x3WqlA54BnwMlVbkXfWwtPHImFhj8Zb5QJMn3nnON1&#10;YtgYTJi3GjX7F6JOh1ys6peGm4+uF/u+Ezh9MXIYcvNc4QSPjxPf/zF77ego78DrIXY0G5SndfIa&#10;dRIgLYsKpi5hPGRqiXfDS/884hZqyGobyrXMwcT5J5wW76fXvODpZ9yYG+rM+9/g+o3H82Hcu/8Q&#10;rQds1BQHwzcbRjJ4pQ31e+VpwHR9fyYGzMFb8Q6sTJiJayHhGBC4BFW6bULvUbvRPGiLGNp8vBZo&#10;R9WAQjTvlIHcPhNxZmoiFuyxLrdCpTVzfxZOyKpYT1CZKXeSKDxmPOdWCLf4zIywCzgwU7EmL6QC&#10;dmuEI3BdPu/bdTleaVeAtsNtj1aVhhJ3aNbwT+i1oXEzNeTGCa/TUxI1zxGfr7Tnn/L+FvRemIjn&#10;XnoOTXr4oO3oUPSYEa/el7SzRsV7bmeNln58a3QIAgRAvflyGfi88CKy56Vi8skiNc4l+bqI12j8&#10;bLksXeJB8ka5/iAqDGtHTUeNrgWo2t6GnjOdAfPSBy6+fCZutzBRIg256ZgpcJLV/fBYzYNFD4uV&#10;F4Z9zkDvz+OHe9zfLNczf5dRp660/lYwIbIzOPnIbJaKEb7k744vSWUPweWEYcgSIMR+GC+guv8i&#10;O9oMt2um/9cEQCX1nIWH/D77QfjR28oyScazuJeFRFnofdm5bJp6Y0xlIUk/EqTsFtDH2ET+3h1f&#10;Eu/L60zz8YFHXhvpRwFXZ9MnSD/Keyu/tXpvebCE24A6B6z6UYAVwTOzwbM4tOW8lTnAOLQr8S7A&#10;byK7LNSYPHTvsER0D8tA7X4FeLVTEQZ3WySyUa4SslGekFBcShih7zWf1WycRu0vQFxBPlYmz8L2&#10;AWOxrE86arbPQ+NBds0y70phwvmhYIqLLhN+XvpxiPqZ9ipwUj6qtMtD0c6fbpkWL3j6H9juC3jq&#10;OmQ7KrbJRd95NgzOsqNO1zzU7ixGbu5xrCl4D8Fj9qJu10J09l+FqbLSrtU2A4ExO3DqwtfYe+wK&#10;0pe+izlrz2DigrdRydeOpu0yEDt7HVLOiIIsZVVGxUyPzFxR1IxB0jptZkaYJEqUJ5BsOQv096YK&#10;WEFPAew58/HVcGb8NlPAEbghCpXg6eU2BQoeeTyZCpVGgkGwn7PWm5USpwESOj4zRbdJrAxQ4rmN&#10;SLEvwLJAP0xo3Ajdq1RGpZeeR18BVFPe2/roe0yYyQzRAxYl4Y/lXsIzFV/BiI1LMen8psf4FScX&#10;aC3KnItvBLiYP7+Qyh6BYwtSMT4/C6/1FDDc1tiy060JpzHgmE07kI3jMyYaubGsDH4IY5Di9JQh&#10;a9BZeWEoc0GmjJknWdops3znhMjC/jYDqiReZ5Z2LRVDvmbzjdfFwDLZ6MoNKx4BIRpHJkhsN8Lw&#10;PlXwdWBV3zQBT6HKjxngGVdmBZwoCz1HBwV8MKDcE+B0Q763ZRW9jVaeOwM40WtjlIoR3hbAicHh&#10;J6ZP1GzgVvNW58DBHJnnE3HHwznA8bRnL7AEz7qVK98plHl7dZTMAXrLLOYAosORH56K9v2yUDnA&#10;gRodxZiK/lrVbxIQWeKEnXNcWU9w6abHEwC7I8qTfiIfe1ZMw/WYaDwMD8Mt0RVMZ1LBtwCtY23o&#10;mm6Td9OG8HV2hK8VQLXZAFMpxbb9vfTjk4InoU4T8rXe3bYDl5xW7afXvODpf2DbcegztOy/QZF7&#10;yygxlgksRZKH1EVv48rVW7j5/T18eOk6kuefwAtvrkPl1pl4sUUmxs0+5uQAfPXtbd0C5PfnrDmN&#10;1wIK8FqvfETnOWt/uVFOjElZtH0tPkqKN05PmbrkhUQBfzE6DhkFSx8Bo5I8XaSG6+0CbMiYo7Xt&#10;LI2wGL7Tg0agqV82agTaEVtkxyQBTzRwXP16XG5F6OD8dI/LzczZnYkPJo3HbVHGXwq4Sa9fH//1&#10;q1+h24x4zL16UADUFq0jyP7j39RT61Gj/ZsCnl5G77njFFS5461lK044xNDOcma99kB2GYN9Cydj&#10;soC0cScK0GG0DdXbM7u6sT1B9ziNJkHKWQG7ZnXqlHR1HyagMw6ZjqXqATM1Us7+4raeZrv2UOaD&#10;89KNciuWBt+IV7uQOk4DrU3nG+8bHKrbgNy+omyu7SvWi4zKd2gAcfXONtT1y8OegczaH6rerwWy&#10;GOD8s5KFdepYG063DT2Y+yxB48iap3zNFg28Tu+bq9yKR/0odHjuJAFEns3bWa454Eqs6o4vyTkH&#10;+N5m2RcLX7vFeytzXYDT9uXTjVQH5G0mO68LcNo4IR3N++einICZyG6LkNd/InL7p+DzMMajFfu9&#10;c1wvTByD+TvXWs4Zvv/clqSH9Yfs+8IjMhQHg8ZouZ4KnRyo6u9ApS6FqNHFgdcCbWgRwVN5Rlks&#10;xglSB/L9IdErpdt8Ju+ClzwjAieGFLw1JB/VffJx6J3PnRbpp9e84Ol/YBsvIOj5NzNQ0zcfdeXF&#10;r9A+C22DNmlh4uLt7PvfYtTUo0iYeQzTVpzEpc9vOK883r67fscAWk0z0bh/PsIzH08oR2U1RhTw&#10;si2rZVU8yghgNVOQJFkpcgtn+WaWbXCu6Es55aKGThQ0gcMNHpt3azzknvQU8K+sJO8NH4xZI+dq&#10;JuIGvWwYtkUM/flC3e76VsGXhYyhRtbwXc4YLCvjOfZMkSrvT8aN/uH5hw7FDl9fVHn6j6jVtT3a&#10;jgmHz5gIjNufKQq3SMu0pIoyj9uwBC3CuqNis3oYfzBbVrePb93QINAAGWUrSnv+YiT3p/dm+7Kp&#10;GvhLYEqFH5Vv10KqjH3iycPkDwywdzGJ2a6Fp6XBN2rr6faVgt3H+6A4uWTes7TY9pWpzIaHj/3t&#10;8sKY9bfLw8kj/Zay877BIepBItgqOZacyyGrHaKsbajha3ifAgNXYVKvGYhIzEDCEQEHJjEwBB8K&#10;QCdPcHq/rPuRYJLgg7KYeW0I8Pis3PLUQslWnlLpC3qc9iwyDh14Mm/ZJxc96UdSsTnAd9LKw8N7&#10;75QxVaBC/hayIzIcWQlT0SLUhjK+RXo6lMW87wzmaUl+r9jvneNKL/eMfaUXhXYRr6cdy9dwAp7o&#10;fRwkhuNa+BDM6TNNxn2meuOTAmcgJnwZmoYbJ/P47rwpcrE6wYjNds0Xx1N7/DeL2yYec27vubm3&#10;lzwjgtDEI6Kze7MKgk0W+decVuin17zg6X9gs239CG2DN6Jiuxy80iITb/Vfj6W5T6a6ZzkYAiMS&#10;ixgzs3lp7bMvbiJk3F7hl416PQRAZfBUmTHhmf141YYV+HbEMM9Kd8hKkUHDC3eseaJUTElyGVGe&#10;2DOCmN0p4Ah8HBqHcyEjcDgoAUk9ZqJ/n5VoOsgwhlU72BCSV4DN9rnO7RRrA8SaY5vWzHIaCHMD&#10;xOdfsm01vhr55PMzduRU797oX6EC6guI+rf/9x94oUEN1GzbFDGFCzUD+ZQLW2TFVYBKb9bDqO0r&#10;NOjcxZsrZcaBcSvItGyFi0R2gjeelGLfuYLrCRDidxnpCeoE2DBwjQPztq3Fd+NiROZgc568JmPG&#10;E3KuwwJm/aEyH7PjyNw0IwbJI5lZbmWWE0wYMrvjTSJYYbbry2NGaCJVS9kHheCUABsmG2VQfEne&#10;XO0mHnVgkBhFFprlnKkpAKq6GMyqAqhcXrriv3ERE0jOE/DxUfJfUW5FQBBPSfI4v1nwNuXk3GKq&#10;A82z5AFwYj9uXTFTf+/JvGU/MnbO8r3lNc4BWRxwDnCMzXgb/SzgWYDTHfXEWc+BhxHhKJw/E41D&#10;HCjfwaHAiadEHwqgMkBTsd+TV1Ao3pmWpEk2LefkKc7JfE3HwqSZT8oSIfePwE35e13oRnAwro6O&#10;w7LtqzFitwNDbHbd1iWAquMv82SADVXayPxoZ8yZpmF2tIy2IzLHVupc8ZI1EXwmHrGjfk8jz9Mn&#10;V246LdBPr3nB0//Adp+g6MYdLMs7j+krTuHip9dx794D59W/rRFY3bh1F6OnHUWlNnlo2CcfI7bJ&#10;qvj99cgoWq7JCD0qtxIUoitXLdsgRtBcARvKn8BBDZMoWHdK7ytZMXYIzNCkj9U75KOyjx0VfRy6&#10;RVVdDOHLHQuxZOxs3I+R37vlUYzkOreO7Nnz9YQXV9ZmMsaf3YClW1fpiaPSylY8jIpSEHVLVvWZ&#10;zZqjR6s38YcXnsVfqpTTQPLhG5egQfcOeL5aBYzdt+4ReKKBShUQwpxXWjzZAwNE7wFLl9AwPia7&#10;/JuxPX5JNlRsbkOl9g4M7LYMi3pPxong0fJ76V93PLnaF6P5YfIYzGbSRjFCpkaKwEnA3slpyQaw&#10;8UBmgoINa+c4y4SU3t/8nF6YZZtXggWutQSPGW9eE+DEZKOugwil8TYCgo3SENXEILLeXWUxjh0T&#10;jPqHGiNW4jcst7Jwp4CP+BEelyzhlvPCbWv0Wc36kf3ArUDGCTGTueW7Jf1I4FS0ziiTZAWc4s+y&#10;5M5qPahh3Y9C8p1PEhM047nVHFCvo/w9NHcS7nPecowtZOcc2JI3B92XF6F8xwL0DVyGm+HRmq/t&#10;MdBEIi/RI8xKzuf0CMzL+DOn1APW6CxVFn5u8L6SMFKflVnqGcBMzy0TqnafYsyP17oYRdvbx9tQ&#10;QYBeVdE51dvlo34Pm4YIuMvY7yVr4nuYsMeOmoG56DVsF67fvOO0QD+95gVP3uZxIyi7+u338Ivc&#10;ijJNctFjZRFsm5fgrmtV7FYhCVH5isJiyQkGdTI4mcDJ3ctDoiKkoeO2w9ss21CqchejEhmMRX0m&#10;42WfAtTrZUeLSDv6zbdpltpIRwG6z7Rjdew03B5EBS70BA8nCX8tWxEZqTFRBB/uZHMRZeR3mH/o&#10;NivA03i640ui7Hx+6aPPp6VgzdnNiLDNxSv1a6DpoEC8UK086nVth2FFix/xp8LnySc9ju4BSGDG&#10;d3rmcvIWqWF0Z0yomOh9ajvcjjdC7KgRYMfTPhs1keieQWM17qM4TwIfAiAtEXOICUsf304sTrwf&#10;ZU6XMTs7JdHoD0uZwzTOikV4S5PZxVvBxMkiZDmc5X3YJ+74kjjfhO99+Q6P/9ObxfnkjreLWOuQ&#10;J+6qCmCiAWRqi3bDWWn/8S1qEuVhfB9BM72tpmNP4rOKLAyWnrszwyi3UsoWNXlTXsb3sb6ivlcE&#10;F+74kshbrt+RZ7ZlL9A5WVo/kniNoI8n9ljvz3zeCgng53v7Xuo4TSRLYOaOL4m8Nd3FsXy8MzPZ&#10;kN1iO9WQPRy2rPlI+nQDuk624/nWRVjSNx2IKhkYLuQc14Nz03S+sa/cyUKiPJyz1DfcmiaQfoxf&#10;SdJxCtE8bq5aksX5uVJ7DNvo0Oz0qRcKNE/eitEzcKBvvJY8KtOCxW3tmHLhh995yXOafM6BblPs&#10;eKlpJuasOeO0PD/N5gVP3uZxy9/6EXoN36lbGtUCHJibugB3RogCNgNOJFGg98LCcGHSON06sQRO&#10;opBmiMI74zLCpSngyDB8HBqDzgGr8WpbBwaI8ZssSku9CGcLMfWdPBxZmCZKkfJZGCB5hu9ihmrw&#10;+hiLumk05BrAK9/V7RR6WNzxJTkVPstWvDstGVPk+ROdJVuYQPN3z/4RnccNxrQPtyP93Ebn8xfq&#10;Can3mH/KExAiBogeDZYAsZKd1eQnChiwrZuHraFjENttAf7UcRPieiz4wVgVk/mdGRMxRUCcFXCi&#10;0Zy9NxPvpYwz+sMDmW8I6GR5H+v+NuKC8nMX4HvL/pb7ity3hfYtmqxymRlYEr0EE3bno3VoHiq0&#10;sKHHdJt8bjcCgEt4nLjNRqPNefI1T3x6AJwImnnCj6cC6XEqzq84sQ8o66TjNhxg1nBPgJN8hyfG&#10;svMXadyhaT8KcRzXFi3V33gCnBiIz/fQk/qKnLfTXe8ty9x4MAfosWXs17gLGzB6jx1NQ20o286B&#10;ggECvoqfqnONq/zdvXiK3ssKOBEwL962xkgiGxT8+P1LkvDldh5rabqKkLvjy/mQdlr4n2ESVBuO&#10;zk+V3wZjQZ8p6vmu29WmyTa9W3d/G006Y9eDLS++no3sjRedluen2bzgyds8are+v4euQ7bhuTez&#10;UL+3DfNHzsHNKFHAWtHcjTIiuRSe/JvH4D0tt8KcNARa5h6XCHwdHo1xPeaiTNtCtIo2kmDyKHEi&#10;lfj+bLw9w8PVr3zn6qg4rN6w3HIrkUacxG292+pxMzNAct+wCM2aflhWyukCQmh4yWeS9IPP6FBU&#10;fasxhuTP0Rp4NG58/kXbV+Mi8/h4AJxomL8czVIxy8HSJSXlfUSi9FksN/WEHZvWzsadIZHCYwBy&#10;B6TgKQFPo3vMw0M1Vi6ZB+PwvDT1/rm2YdwRZSZAWSRG6uMJ8c4xcyOri9jfYjR52pH5eOgFKa2/&#10;+TmBKo/CF2XMdfa3xXwjKIuK1NNd7EszjxP5J8v19K1Z6BmZgept87XCPmsfMq1Fye9TFgI5JmC8&#10;zhOPVsDJCT7eSxmjAeVWiwaeTJt6MAdH50xSTyIBrFu+JGc/Xh0p/ShgyNN5S9m1VqEH81bfW5Zb&#10;YX1FkzlgyG6UW9H31iPAb7xzLLkz9vx6TDjiQJvhNj3gEdF9Mb4pXnrFNa4y/kwia+VxMsbJoWkd&#10;9HQi52RJGYqTLhTCZXGTpM/qekfdEZ+Vc4qnb5lOAyHyzoh8Yd2XoJKPXQ+n8EReqgAs/Y231IvH&#10;RMAZt4lbdjnwCd2icbY/5eYFT97mUWPupwZdHajgY0N88ELcHSaGTD06bpSRi0Th3YyK0pilSUdt&#10;6q1x99KQqOyoEJlN+hFwKBX0ROCG/J3eZzqq+tpQrycDNe165JyGfM6edTg1JUl4EDhZGyDmzVmx&#10;aYVlFmsqTZ4E27R6pgIic0MuRIU/hOVWpigIcaeUE4/l61/X8zPwXvP4kLelAQo3cttsWVWq10GP&#10;/ooCn3Bc7nHAhi0rZujWJMJE6UcFY2W/NPzFd6NuOTA4l2CY3rR9TNpYiswucsnM+2u5FTWabmR1&#10;kVPmT8ex3MpK3foyNfgylszUzTxIRo09C+Akfcbj8AyWV2+VyOaOL4lAkoAyeF0BAkPWoUGHbFST&#10;udRrllE0mls0j3L6SP8RePD0oD1nAa4x7YLZ2JNk3jFf0kmZh7pNbbndVaDexnemu4rkWs/bz8aM&#10;0MBzxuWYBZ5rPygAlQWPFQAlCe9bfG/npzvrK5rMASF9b7eu/iFxJ8fCHV8Srwn/SxNGYfnmVToH&#10;mEKEW+0VOzjgH7Aap0JG/LCFrN8PwzcyrpTfyuOkwEn+ZjqYjiTWfM6QRJbv5e+x2alaXsgSOMl1&#10;xmuefOQV5zhF4FToMIR0XYLyvgXonGhDZK5dY3fcxcp5yT2ln5N5sMCGV5pla2ztT715wZO3ldoe&#10;PDBO3/FUXvrid/Dn5tloHbAOZ4NEuZUWYOwiUUqsebZj2XTj6LmFEU4Shbhy00rN5Gy57TM4FIcH&#10;xqOWbx5q93Toyb+UU6LE5R4sW3EuTVa/VgZIrvFU2sXkBFX83JKwAk70nDETtJ4go2fAHV+S00Bw&#10;G3CbgBUtXcJEgSX5ikHmKbtkGnqhdQVLNZje8vkFVDI4mDX9FmxfK8azdBDClRxjebrOKUD/CVlY&#10;MmAyNvYbjw/DYnA+LBZJrHfXqRCVOzmwrf94fB87GDuXTy9dZicZW2kOrGXSRm6LWBlNp8wExgxU&#10;tvSUSH9PFmPG1AW3o+T3Zgaf95XrX8XFaLA85VKw44YvibITOGXmL8aA/itQvX0+KsnzV2Ey2HA7&#10;wmQ+jdhiGD9mpacsnMOb187GtWGe1alj/BnzLNFDYbZocBnkeTszNBO49bw1+vHDpASNubKctzKG&#10;BKD0xFkDfmPe8r3dtXSaM+O5OVBhPxPAqddRZTeZA+QfEY6PUhMwp3ANgvKLMGCZUVOu4UC7Zr9f&#10;P0DAo8sDqvIY5VbychcosNGxcyMLidfYF/kCcJn93hPgxMXdnkWTLRcKrnHi+3Y+hdvpJZ41eiCW&#10;9J2Mcp0LUa+HcaK1twDxyefl917vkzXJXBq1Xd6/sDxNjrn36BW1PT/l5gVP3ua2nX7/G2Rt+AA7&#10;D1+GfdtHaBWyBZV98jCvzxRRFsZq6zFFVJxEKTGPjZZbkRUvvUFuXxghKl+uFLPtSzzzuAjvh0PD&#10;MT9uNl5uW4AWg236+6TThgfkAwFD1gaIuXDCcMZZtmL8SXNDTqXK7MsMPjYycJsoZfU4GaVL1rNs&#10;xXHmLLJ4fqEc22J88SjjeQmexUkUNr0Op0V2LRVTivFkHM/onXa0GmJDXf981PfPQ6POOajfKRdv&#10;BmRhULel6NV1BRr75+iR/I6d1+D40LHYtXaGAAUxmmYyC5hgnzPDuJZbsTKaTpmZj2fernUeAVXG&#10;2NDzwa0j8/6W+8r9Px81HNm2RY8Muju+JNd802zXsTE4NGAEZvSejuDuSxEifdLcNxN1etvxZpQd&#10;bWJtiNnkwLQTedi3bKqAiqG6xWssHPi8nGMl3gV5TnrJ9tDb6IEng9d59J9be9bzlnMvHGcnjcNC&#10;WSRw7Pks7niTyJvgbb+r5I7KXoJncZLrzCW1efUsY8FjOW8dAviLvbelzgF+LtcFOL2TOB6jF2Sg&#10;dWIR6vV1oH43mZsDWBbHoRm+v4vgdrL0gXNc6V1jPUQ+ixlwojzsz/UZc40kuh486zUBidtWzjQW&#10;CjLn3PElucaJh0M+oof1UTwXyRivnYMSkNhrNup2zkN1AeFVWtvQeqjopqNe75M7Yp9QR5HSBWAS&#10;OLWOYYHuXPQZsQvXrv90T9m5mhc8edtj7evvbuPd819hcNJ+vBboQLuQzXi930bU6JiLuX2m4koY&#10;YxFKU5JCsiJjEkpPMifzGreU7Fnz8aWWbaCCdcdbFBQrqIeHKXg5ujQdYfNzUamtDfV6i4HbUoCs&#10;TcuMOnX0Crjl4SQxPkxF4Cr/wdWkmSFnjBbrpjHYm7mf+Hu3fEkEPfIMjENhuRnd7rF6fvnL+nD8&#10;jfI2k13uT6/D29Mpe7apYWbMTkS+A+XaO/CW3zqs6JuGjH6puk0XLCChVUAmWgoN6b4QK3qlwDF0&#10;Egqy5yP1hHWNMpeRMkrkWMtMwMF4Emax9gSoMl6N5XAsy4Swv0NC8YkY79VFy9UA0qC740vidd57&#10;86qZajgNAxuG78KjcDEsBu+FDkN+/4noE7gcbTpnoFI7O/zH5uH0ohR8EjkcU3rO0EzX50LiNGHj&#10;p6Ex+EB+8whACT8Cpy0s7sx+NBkfykEQScBPb6uCMg/G/t2pyRp4zn4y60fOWwY+c55bZo4nyf0Z&#10;h8b3VsutmM0BBU5GAL8CftM5EK6pRM5InxWFJKHXsExU61uEOp3zERa4GHN6TUFf6e/0XjOlX4WX&#10;giz5nYzrx/I+M4ku31GzcaWsBJEbV8/WAHRTsE0SHcUs/YUZsrixeFY+J0EqD2Nc5rM+8gobY/55&#10;mNwvMhTxPeahoV+uZqdnktVasiCp6WvDUPsP+fB+cSRjRpCk9K6RKiWNxPCKww6M3GpXooe3zxwb&#10;yrXIRa+4nXj77FdaYuyn3rzgydseNXqZ4qcfQbeh2+XFt6NaYD5e65GHhh2zsLxvuhgZ56rQnUIi&#10;iWL5Oi5GT1CpB8BCASe/XaDeKaPcijvjYSipb8OjtXjnZ+ExOLh6CtKP56NlrOHmbyWrldVLFuDq&#10;GJatEB5mHhBR8jRALHyq5VYsDBC3lrRsxaTxznIzJs+uCj8Mn8eP0HgLT2q+MQ5lK8ut6PObGSAh&#10;yi73P+jcCrKSPemcGM/8tejotwa1xVCx9MTdyBAw0eZ7YsiOhYzCkeBR+GjQEN0qZJHcFA/r1G1d&#10;OctppCxkZn+JUT46K0UDoa1kJiBgxnN6BC1r7PF6MMutJGAR686J3KbA6aQhO5OtMqD8cQPL+xj0&#10;fUQkzobGYmO/RFTxseGNwBzkBU1ETLeFqNkpH807ZiLQfxVm9JmO8G5L0D1wJRzcaooIxZ24KGzM&#10;nYNJJ+2YwPntLERdUhaXQWaw9GdjPKhTJ9fpuTvCcisHsmUcLICTzFuC6zNpEzwG/Cy3whQdHtUq&#10;lEUBwfPXcayvKLxLnQMReBgRprnEfALXokWXLFTyL0Qn/zUC4ifhfQGe10SnnJX5+LUALH3fyUuA&#10;0wdJ8ZrA0wo4cVxTj9t0m/E647nMnpUkc4Y6ioHzfA6zZ+V9CUJzRZ9d5bM+ArjhuCryciFCb1nm&#10;gGQM7bEQlTo7FDgxgz+TZ77e34bRO5xFuN3w/6kQY/t+VO+Y8HKl9+A7kHTModvgIavtCFpm12S0&#10;voliV/rnKjUamIsaAdmo5pMH+7YPndbop9+84MnbNIEmJ22boI2o2iEPVdrko0a/AoxOXoGdUROw&#10;f+AY3FB3uomCF4V3VVauPOGiK0FThVeoK77tK2bg+lAzIxyGvYPGIKT7ErzVaZ0s8JZhZH4eIgsK&#10;0DTEhsoC8CaOXIRvRggPGolSlbiQ3IMnn6hkuSVBpWlmgAicuC32Iev0uQV2xci5Uub2BeM/GHNj&#10;+fzH7di7eKoRwOuJ7PKdXUtZuoRbaqXLzs8TzxRixZ7VuDJxOBK7z8afOm5EVPfF+DA0RlbJNC5y&#10;L+a8CgnBp+NHYeWmFUiSlaGVkSLYI/i4GR0tMpGHucw8CUigyvI2VjLTSHEryqNSMbxvcIjGnswW&#10;sGUFJgzQZldZGBxs7oUR3uHB+GxIHJoNykO1DjY07pyj8VC9+q7CwKFrULNnAWrJe1Kzsw3V/O1o&#10;7JuDZQIG1syZh+HbHRhS5ECn8Xa0G2VHtM1In8HDDJSFHhKCxFzbInzNRJ98Vot+ZKJJBvAzh1ai&#10;jJPZs7LcCpOZfjBxjPzOs3l7WcutyBzwcN7uXixAhe+t1bwND8VXEUPh32ctynQsQkcBUARNp0NG&#10;aiZvQ58UI8rDcU0dh1n0rlmMK/sx7UieJuO0HlchAU5fDY/F2sIl8pzmOorXqAMc2fPxbclakpGh&#10;OB08Es38s1DNz456HXNRt30uqstcobeJyXnrdbchaIXNAE4/0ZgnTf4p83LMPnneH6m0jKZokL7j&#10;icOuk21oOyIfrYblodGgXFTtnI0K7bJQpWMOWg1cj8DobVrAntQpfAtmrT6lyZ1/Ls0Lnn7h7fad&#10;+2Dh3wZd6cmRSd4/H53nFGHSklUaR3JPVo73dVXuVBzuSJQSS2Us3rpKFZp5HEaBKmAaAx6Hf0wp&#10;FafIENwIj0bXLquMYN4OdlTrKIqqh02PA9cTYpBzxoBJ8n1XDEIJHi4S8EPPEU9tURlbAScmGpy/&#10;MwOXxoxUAGBpgOT5GTDL4/pmIIHE/uFK+fA8ZzyPlQES2Zlhmif8qNCtjGfSaTE4W3KwOHYGborR&#10;3SPgs7ko+QqdCzCqxzxV/Ho/ypwoq3sBLAS7VjITOO1fMNk4qacyu5HVRRxTkXuHgD3tbwvgRCO1&#10;dMtqo9yK1bYrrwWFaHC1erOsvDBO2Y/PSsEdymUGykghYbgRE40i+3wM2+qAf6od1elJaJuPrsOy&#10;kHrUhvBsOxr0taHXTFlFy0qaxYTryKq5fpd8vNbThto9GcMjJHO2UYgd3acZ1fl5qiz5dAEKsuYa&#10;NRqt5pb0IcHVtuXT9Rks5+3p9Zi7J0NLqFjOW5LMgUsCno1CydZAhfF7DIL3aN4yhYkA9Z3Zs+Az&#10;sQDPti7SenG3IoPx8BFgKvZ957iyjM6UQ9ZeSm550gN7emqiZ+MqoOwL0WfcJrV6Vr5nPL26YS3T&#10;sTi9WcWfNSoU34YNQWCX1SjboQAtY+zoMsUOn3gDNDWPsGFooV3u4cwV9t8BnuS+ukUm5Eru+dg1&#10;ATnjDjjQd54db0XbtPIAE8I+8d2/gnivITaHnjZkuoHqPNAj74Z/5FbEpB5EyoK3MX3FSczLOIOj&#10;J7/UVASXnfTZ5zdx7cZdp1X6eTQvePqFt5SFb6NiW1lZtxXg1Dcfg7cVIWPnSlwfPaxYHEYpiskJ&#10;HD4ZP1qP75rlcCIRWNDjdHjeJPUCuVfA8pkY+E/DYjTxHFf8tWV13zbOhjdDxIjJqo7J6Mp3KtAY&#10;g3OyAjQCeIvzKEZyH3oy1mvZCmMLwExxJpzdoIn1vhkRg4eP4hvc8CXxGrcYksfo87NWmZUBShXg&#10;+PbMVMObZWWABEgQODEORY+jm8jOz+lxWrBxNboOXIu6HXLhL8q9T7cVaBIgKz7pL9/ANRp/gpBg&#10;PfVmyGxlNAswUWQ+NttszIqRs783rp3t7G9r4LRi00p8MzzWusQJrw0K1uP/6s2yMrA0+DLfTotB&#10;ZlZqU94kGe+bsUOQV7QIEUWFaDfajmZhhjehWvt8NYzDNjB2wygEy3Idk07Z4TvOhoYCppoE2/F6&#10;hANNu+QgtcdMrO6fihadM/FCm0L1UvVaWIC81fNxN1Lk4Phb9mMYNmbM0XljOW8F8PMkGOsrWs9b&#10;ISfgZ1Fg6zngBKCct9QJBCql8uf8EHARaaQWCMopQL0+djzXYT0W9Z0iwCNIvlPit+QlwOltLaPD&#10;U57WwInxXCz0zOznluOq5VaGY64eVjB/R9nP9N5tXTHDiBXjnH+Mfzg+CR0Ge/9k9Oq6Ei+/VYDe&#10;c5hR3K7B4SwSPGbvk1np/6kkz8BTorHrhYpk/A4an/GapuAQCl5lV33KUjP0mHGbMTrvb4/Poteq&#10;/0JZSHTKQ9kWOfAN34Il2edw+r1vcPnLm5onkAt10p279x+d5P45Ny94+gW3d859pbmbKrfP1arh&#10;PikFyN22DLc0+7AoyeIKqCSJAmXJiYsTx2AKk+iZACcqKwIn1mljRXMCDrcKLzIMl0Nj9PRTM78s&#10;lPd1oFqHfATK6n/Ke/LSy2qp35Q8BHRdDd+ANShgrIl6xUrwIQl/Jhpk7Iwt17OyFSwRwhM1TMan&#10;MrrjS6LszudnUkCugKnQ3fElkTcNEHNdnZrmzD/l7vld5JSdBVUZP5bgQcZzgpCcoiX4IioWTTtm&#10;oUpnB6oKqdeusx21xHi/5FOERd3S8UXaSEz7K2RmnTqV2Wx1T5nF0BAYMJDYU5lXr19ueGHY3/RE&#10;lsKboO2hGMETM1OM1A4yn9zxJfG+fDYCrI8eleWg7OF44CTWTHuMwkNwbVQM1m5ersaTma4rv2XT&#10;4qRNgwQc9bKhUW8BT+uNfGKPckAJ0VCOFQM1+u1C5OYvwofhw0RePk+IBpQP6bFITzTSE5Xfm3PW&#10;fG5x7O9FGPUVPZm3BPz0qDDFAEGRW75K0gfkL339oby3zAZu+d7SU3zMpvUVS5+3wpP9Ks/7Xshw&#10;JHSbKwA+A2+OKkRlmXvlfYzEl5/Jgugx4FRsXA/PTVXQZD2uRZixL9vIKya/e1yOEsRnle8wlcZ0&#10;Zg2XBYg7viTyZl4x8ud2us7HJ+a78JNnHN1zPl7wXa8FpF/rakNU7g/bVa4cYe7u8c8gxi5NPmdH&#10;j6l2WRTLHPYRkCRzOSrfhinnGX9lR9BKu4ImAqbXutlQN9D4N0taUc+642tG3JqMtnFhm4d6/g6s&#10;LXwfNwUs/U9vXvD0C24n3/sarQZsQMXWuWgzoQDpS1bhXkyksZ3wmNIoRly1ilK6Jwr+rKzo0xU4&#10;mSslAicCjHepgEv1AETgQRTr1E3Bn302oEZAAWr75WvOD9+xNozaYceoQ7JyXzAb10IH42ueclHg&#10;RCrBj0pTDPn1IdHOOnXmq01VyqK4Geh9m256S+BkxE+xQrsBHC2eX3hzpXwm3dOab0auHZ7woWF0&#10;x5dE3kz2yFNdDIC9OyQSt4Ii8XpAjoKlvYPG4UjwaPgHrkZFAaL1fXMxOXERFh8x0gW440kiXwIn&#10;GhwWU/VI5rAwAUFDkG1fbAqcVGYhzgnKrHXqyF+AExOfXue2YAne7O+70icH56WrJ4vbLu54k1R2&#10;eTaepPx4/Cj1VOncknlyLSJSgfn8vlOxLygBeweOwy6hvf3HYH/kOCzIWo7Oswo10Le2v8w9MT4D&#10;l9iReESA0S4Hxuwt5Z4yBklnClGYMx/3dCu6mFEXY3stPBqv++eghozJ20Fi9HlytPgzukj7MRw3&#10;h0QhT0CYVRJRbo8TgDLO0KN6fwLIOG+55cnUG9YLnkJMlfeW89wMOLFvr8j7yDxH3CJ+sdN61OqU&#10;j1odRK/4ZyC7fwpu6neLLXSc43pHAArTOnC+WQEnvkdzd2UYqRE8AE73ZV7RK8x57ImOYgA505Eg&#10;SPrR3UJBxu2KAMDOXVajfEeHgqd+C386RYCNU2129J1nQyUBrM07ZaJDwFqUb2NHwz42DFhsR8to&#10;G+oIWKrW3ihDxDndLESAfWsbes6wIX7nX/88BI4sqfJys2zkbvr5BHz/vc0Lnn7hbd3691GtY556&#10;J5oHZGHPgDGyuqJyd4ESFzkVSFiEHiGni92TcitUStweOjPZAjjIPS/KKr2d3xrU6lqEFfnnsVzI&#10;J3Sznvxr2C8PTSMESHVeiex+SbKKHYLbYgxY6+p2cRnl/wQfzC68xoOyFfSAMFjakTXfiMEy87jR&#10;AInCZ8zH0dmpRvZlS6XMBIjrnHXqSjNATqLsYtwY1LpaDCK3Ysxk15NCJ4zSJbeiCXpDcDVsqBb6&#10;rSrjuX3geM0ifnbQcKztPwkLJi/A9MM5pjLTIHPMFm5fq15Fz8BeGL4eFYeMjSsx7vwmTKQRFLnc&#10;8XfFPxVkzhOZnUBVANP3wiexXj3E1qyJT4KDcccFoggm5N8M9DeAk3sDq6eFOJYnC7Bk+xpcHjNc&#10;jCCBkwGw3wkepSej6IkjVZP+cVFVmV+1ejh0y40Z62u1y0OjHnnoOMaGcQcN46A5adwE1Grgsfwt&#10;WjcXdwaLzCXnT2S4xu419s8VQJuPCyEjcF/frxJ96hz7r4fHaO4kT+Yt+4Jevpsce/ZjcX7FSeet&#10;UW6FhbZZX9Fy3gpQYUoELpD0mdx6HeXZBJAeFUDInGFlfQvRROYeY5u2DBqLDQMmyPMy/QBlKwGc&#10;OK7OtA5WwEnnpIwrk9lqEtlgC+Akst4V/qenJOqizfodLdCyLG/Tw8o54/ZZSaE4HzwCrfzXoWon&#10;u27nvhlmw/DNhjfSxVNBjJNK/l8/c37+YxO3kCMyBRgJSK/nm4dNAyfgbGgcxvSci7ry/yo+dtRp&#10;n4dW/XMEKNk1SJwFjP2TbWjY04bqPF06kF4qO8YfcsZrubnPYyTf4VZfq6E2vNosB/tPfO60LP/z&#10;mxc8/cLbpc9vIHn+CbQasBFl2tnh12UNPgyNxaWIKFwKH4LLQl/Lv1XZO4HDEQEOk46aF4ulcqdx&#10;Z0Dyo3pXpSolUhgW907HX2SV5BO2GZ9cvqGZzc9/+K1mN2/SowjtBm1Goz4bUcvfjgGBS5DTNxnZ&#10;fScip18KPuNJMlHQD0XGz8aNxMotYsgtDJAqbDHyG9fM0iP85h43p8IXg79/4WTrBIjy/MyavmzL&#10;Ks0G7UmhVAZL8+TT8k0rTbdr+DmNNk/eMTZDgYbWKgtHVv9UVBdAUMcvH4cHyX3DQ3FzyGCcXJSK&#10;2cey1Si640lSL5aAvdXrl+Hz0XFGf7iTmfdzkRjmL8aMxFL7IsTsz8SInasx/mC2GInHjSFl5nzg&#10;YYH1a2fjNtMFuPp7yBCc6dkTf/r1r1HvT39CVI0aWNeuHb4RQ3YjZqjm7+FYuTWwInOqgN/YIllx&#10;L3FgyPIcnB09BpeCIvC5gJbLMnc/FlAe0GUVynYqUA9QdPdFGNdrziMa1XM+WvpnolHHbLwuFBCZ&#10;hfiiPC1po4CplIBfA7wyb5TJ/BHwdD08Cu3oAfAtQB8BGR+KPI/F6UkfEzhx7FdvWKHbS1bzlsHI&#10;TMJqjL31vGW5lUPz0x+rr+iOjPfWlbhTAD95u31vI3BLwERu/4mo75eHitK3UdKvJ4JH4j51RaQA&#10;HC2xUkI2lScM38YMUfnp8TUFTk49smrjCo1bMt+WFKKOkjl5bFaq8ayWILFAvZSn02WhQY+Tu/nu&#10;IrnGU68zh8xBp0kFeGOQDRWa2dB7NrfDBBg5wfW4g3aMO2AQj+qPL/b/cfudwKSYHH8vEZBxnsYU&#10;2tBIwA9B0uw+03QrlWPwvYzHsr7pCPBbiSFxols25WlFBr43/D0XCCO2OtAiyoaqbYxtPJYp0q3I&#10;Evd6jOS+Y+V5eBiiYd881Oxow9GTV52W5X9+84Inb8PDhw+xLO88mvQuQlWfPDUuQ7rNR2TgfAzv&#10;Ng+Tes3EJ8ExuBsdYRw9F6NtpYDpzeGx/Q9ZbqVUBewkUUh0/c8bNRu1+9pRL6AA4eP3Y/eRKyIb&#10;cOfOfWzdfwn7j3+OzXsvIWHWcbzZfxNq+/NFd+jJprju88UoDcXFsfFIXbUGUZtFKcvKqrTVEz1C&#10;zCy8fdl0D4CTkCh85jbawdIlGqxcusKnsmcfZDqWqEFU3mZKWZ6foO8DAVkMVrfyOhAAaamYxVOM&#10;k08CugxPRjgGd1+MMp3W4w0BCddCo3E9Nho7tESMucwur05GwVJnTTAaksflfCh0Q57jTO/eKOzY&#10;Eet9OqLA3w8rNq9Eh7RYtGrfHH0CO6B1ZG8kHrc9BqDY39ziZbkerVPn6hMa/9hYnBOeL//mN5jS&#10;uDGWt2mDF3/9H5jXsT32bFiNFBZNlmdOduPNYnzJyG12NA83Yoqa+GYhOmABhnZbiARZcY/oMU+T&#10;gvKAAbOp2/ona44ewxPCPmOl/khsHzgGRf3GY0HCbIzaatPVtFnsCvuKY7Bz6TSL+SMGV+6V2y8Z&#10;TQJy8LzvBvXMfK+gQu4v7wW3PD+aEK9xS/Tkmo693JeHDlj2xxh763nLtAJabsVi3up7K2O2cuNK&#10;fJzITNrCuxTgxBO4jgGJ8A1ci2d8N6Jv1+W4zAS6Cpjc/UaI4y08rw6PgS1nvuoQ3s+dLCReY1/k&#10;2BbhSyaRNfOukbi4kbnFU6F8R00XN0K8zrI4F7TcigVw0nGShdn4UVgni4u08wXoJaCJsUMsJk0A&#10;NWyDHWFr7egwyoZWw+1oO8qu2748UNB+pE0/bzfChk4TjPxP7jyZfwtxng512NE4yMh9x0znxoLX&#10;6e0LD8P9sAgUJU3G3L3rkHRG+ryYXiToYxkZlrnSVAsdjO1q1pojb4Is9ZgVuydPjtLj1l6eqU6X&#10;fNQXPZw49zi+/va206r8z29e8ORt2nhMdE3BBVTvmIdy7fJQp/t6vBW6DXW7Felx3LnB03F0ZbpR&#10;tsFEKRE40IPBpIuaANBlJEsqIxeJQuJq7t3pSZi/LwNhOQ40i8hHudbZ6Dx4q3qgSjZmQd+y7xJm&#10;rz2DBVnnEDJhP8q1z0dUl/mIGrEC9UMc6n6OkBWRu9UTlSa33PYtnIy7VPRiYNzKRlKFH66J9bTc&#10;DE8Dma6UDYVvy56nea+M53fD10WilHk67aysfBnPYbkNKsaPcSgEsU/IHhkG+4Bk9Twxvuno4LHY&#10;tm6WGlszmQ2wV6DxSl+4yq0Ul5EUHY2T3bsj/Y03EFa1Klo+/zx8XyqDt158ET1mj8FrvToi6MUy&#10;2OfbGVWffQa9FyVh8oXNhsxybwYnH5iXZgCNYjJ/FxqK4336YG3btqjz9NNIql8fGD4c/cq8ggqN&#10;6yC2aBEiC+YjUYzhpFPrH5Obq/0hdrsaJCr8ZgKgmkXYUaN3AWp1d6g3hEelmUndL3D1D6WFHm2b&#10;OUnm3/3wEJydMhZL9q1F8iljDIvfy0Uuo8tklTy271EyT3nGy+NHIG76WlTuWoDXO2Vj9yAx2BGh&#10;mrT1QuoP5VZKuy+J92Xx2j2LpuphArfj5CLnvP02dii2rHKVWzGbA5y78t7aS763JUn6Sj4vGJiI&#10;1tKvr/oW4S35u0GAFKJMttNUnjBcHh2nsYV8FjPgRG9UygkbCtex3EqMgBuTZyUJbxbh3r6c5YX4&#10;rNbAiSkaLmotTc+A04fJY/RkaKK8g/TcJOy2o8skG+ozPYXMs8b9jVQF1f3taNEtG2/4ZKFOV5mP&#10;HY0YI1KVNsbfiCwDnLiTz1MioOHWGxNPEjhx8TBeFgzfhAtw0jkusjv165mpSViwbx0mlOKJ47tE&#10;4EdZ63WzIaZAeB00sn/H7zLi/lyAi4CKXjTfcfmo0DIPoWP3IXP9B7j69fdODf3LaF7w5G2P2jfX&#10;biN++lE06VWEJTlndf86ZtJBPN80FwMSszD7dK65AlaFZ9fEcl8+qtNmopTkxb4viunwnFQNqOaL&#10;zdXYiK12vDVUXsxWucjddNEp3ZONyT3vP3iI8xe/RXTKQdT0s6NJ3/Vo3mc9yjXLM07pXXhcRm41&#10;Mlj22KwUMXyGDG5lIzkV/pcj4wQMzdctPrMtBmM7xYh/eZRYzx1fF4lSeyDPf1xLxViX3OB1bjFo&#10;ziJ3skeG43JoLF73z9XTM4OHr8aUk/kKjtzxI3E8eXptc/4SXI0fqcb8MZ7sAwbRC6CZ2rgxKv7+&#10;91jUrBls7dphc7duGFGpCsq2bIianVtiVZOmuCq/b/H7p/DWiEGYeWm3ysyYNy0TQl7F+Q8Vw+7r&#10;i+YCxAJffRUr33oLpwVI8fOdHX1RvcwL6NjyDbRsUh/NYwdg5M7VmHxu0yOPFr1DnRPtqNTSpp4n&#10;bt0N21aAsDU2zIqfh7E95mJBn6nYGxSPI0GjccO1/Vz8+UQeZm4/NnOiluGhvCX7qDgxHQVjgd4V&#10;Y2SdvVvuJUb/4/GjsXbjMp0/vuPtKNfBgb5dluOT8BhcmMYahR6Mvcxbxu8cmSsA1HLeCsm8ZX1F&#10;xpYR8FvN26R37Bo/9eWo4tu1AuyF100xxjeE+L4wNm3/oDFoFpClsWMDuy7DLgGCt8yS6Go/hOLT&#10;saOwcsNyXXwRqLmThcQ5Sc8Rt6S/YyZ7yuOOr4vkOrcBN66dY7lQ4H3Zlys3rMAnIs8Pz+qGL4lj&#10;LHR+0jjdyuS2tmucCCK4BReVZ0fHBKMYcKNQASGTs7AtPlXDCt4QoFytk123wghKCK4CkhmobWz1&#10;8aRmSXLF1+m/+Ve+x7+836PvyP/T5PPBOXYBaIxxykFyr9n4LCxW5P4BOFG/Utfp3C4me0niPduO&#10;caBCOweq+Mvic7CR6LXDaDvaDLOh33y7BtRTBv5lnBTTErQP3oSTF752auRfVvOCJ297rH1y5QZ2&#10;Hb6Ma85Mr0xo9lzjdeqCTpYXh6slvrglXz5VzqK4tqyeaawUqdzNlJJcvysv9t7FU3T7o7jCI+Dp&#10;NtWG5xtnYcrSd1QOq/bRpevI3/oRNu27pLmrXmyapaVbuNVDZUO+Y8XwGfENzrIVJHeykVThh2mc&#10;Raasxql0zECIyzhtWj1biyIbW2lu+LpI7n1Pnv/QPJZbYVLA0nnz3jSu83YZlff5O7fGMzIU2f1S&#10;9FQXM2N3n2lHqkncgva5GJOt6+Zh78B+KGjfHpMbNcL5Xr3U06Q8BTh9PGAAMjt0gN8rr6DKH/6A&#10;22FheEhAFRuLFc2bo8LLz+M///wUPpbfrWnZEn/+//2rgJ3+GC/9tfRALs6V1t/y+8UCxKoJz0Lh&#10;f4c8SZGR+CYoCNsFWO3u1BnZLVqifcXyqN/pLQRlTEPq6SKhTei7wI5GfW0Knng0O+WCGN1Tdmxa&#10;OxtfxcXgi7AojTcyjAnvXWI+Sh9SrgPz0zVg2Mzokgi8F+zMwHup49RbaDp/OEYyf95PHqMeDs6P&#10;VAF73K5pNEDGp42A2piFWLhnHRKFrxlwYuwePXfvCGDzzNMlgF9AENMmWJUgUU+x/F2/bo4Gq+u8&#10;JQ8B4oxb2jxwAuK6L8Co7vMwW4Aot/C7dFmlecMY43SWAeHuAuCLyyPAiR4eTcZpBZzkPeD24t6F&#10;k42UIWbPShLerKWZr7UkzUvL8L7sS26nXzGL6XORjC8XE6ek3+kVpjer5Di54o3ooRmUVYBxmVk4&#10;MTUZD4dG4GZYJAKlr8p3LECTQQKaUmwIWi4yHrVrMdyx+xy61RdXjPj/4Vvo7XEgttCuuZf4GQvn&#10;0tsTt8n4//hDxlxqHmnHq+0L1Kv6hc519pc8E+e2PNuBBenOZLKle1OpAyacKUT8/AwMDFwq47sS&#10;7f3W6mEKlnaiLnm9n023x6dddCA80y4gKweBUduw5+hl3L//wKmFf1nNC5687YnGGChXe/vsV2jR&#10;d72sMnIxYIkd/cRgRec/nomWqzEqLmZCputcFZ6ZUhLjyy0nriwZd1RyVcyitkEr7KjYJkfT9n/6&#10;+ZNbd+4aA8zpiWJitrZBGzX5Z7fJXDHZMfG8AT4uJY+W1RhPYZnETzgVPo9Er5KVMpWu6RaDGIQU&#10;MVLcMtBcO/r8bvi6SK4/kHvsYuV9MRR8flPjKaBv0fa1zlIxwpuG+Qm+RhwKC/2W9SlAoz6i7ETh&#10;ugO6amTogTu1Hicy5mNB29Z4/U9/wsQGDdDgz3/G7CZNgBgxpAJiboqcQZUro/ULLyBRrqcLuNL7&#10;MVZJ/l4JEQPb0Qcj69TGXRnXt7t3R2iVKqhTrSJe82uF+REDcD96yKPvP0bDhmFtq1ZoLPe8xYB3&#10;AifnNcZXkfg7nqg8I8Bszptvolr1imjYvzOaRYehetdcVPMtQI0O+ei7rADpZ+wak3adecoU2DgN&#10;iZPnYySyclW+fZmAMecYPNFPxYhxaEu2rVYvknrn3I6Bk5zz59ykcZqYUUGZvC8TxOANWGTXQGMe&#10;DW/YKx+jdwuocoJ7d8R0BbP3ZuJC6lgPAL+Q9OPnCSOwtnCZ5bx1gQFm3v+hoK6Mg4ChvUFjMKfv&#10;FHQJXKUncWsH2FC/c66MaZ6AczsqdS7ADp7mZGC4GXAKNvphzm4BH1beNbnOIO+jczwvt3J1RCzW&#10;FSzV5zQDZQqc5D1iwW5uwVvrKCMOkQWq6bUxBR9C4wV8MJ7o3GRZKHBLVX57PyIc/bouw/Md16Nq&#10;QAHeCLOrp7TPXNGj843YKFZLaNDTyCNG4r8ZQ9VqiHGtfncb6vW0o+lgO9on2FF3QAFq9S1AhzF2&#10;tI6zo2zHQrnHclzROD4niBVQSP26c9l0pB/Ns9QvTOWiBarHjsLFkKE4FxqLt4PjBZBNxjABzpV9&#10;HMZWnoA5grY3I/JQuW0eCnZ8LPr2lwmc2LzgydtM2917D5C14SLKtsrSlPusfddYViFDbLJ6OmN4&#10;L/hi8kW9RQNJhWemlOTFZtwLj9fzCLI7hUdgNuGwHU2C8vFqi2y8e/6vcwtzO+/gO1+gcfcClG+d&#10;g47JAiIKM/HVhGH4LGgo9g0agw9DZeWpxrWEfDRAopSNcissW2G+YksRoDfjRC6OL07TE02Wzy9K&#10;mbl2GPBLviy34pa3k6jwuWK/rKVizHhH4HZ4JHr5LccrbQs0I/s4UXRuvYQnizBRQOvqtARc6NsX&#10;jf74JywUYHKpXz/87l//FV3LljXAk9D96Gi0FeA0oX59fCXP923J+8uY35O/X8vnD4Xuyf+/EEB1&#10;TEDUSgFGdf/4NBLq1cOuzp11JfzYb+PiMF6uVfv97/Gd/KY4eHqChC9zQK1p3gxhFcogukZ1RHeZ&#10;gRYBOajQwYHQxfk4vHqKEYzuwRykcdmwdrbOPzOjS2LZExoXxoM9IMAw401QJfPn1NTEx4wuARKD&#10;eplUkXEldbvYNDO1u/u5iPcl4P903EjP6tTJfZkQctnmVTKvCvX9csdXPQ0CnqefyMPxZem4NZT9&#10;FaTbcuflvbgQEqe5wSr52FG5TT46jrMjYJL8u60N1XxE/k42VBbwtF8AlgGeSsii8rAfQnBySqLG&#10;6HkCnLiQeGdaMu5w/MzAKUl4Xx01TJPaEgSW+qxC9EYR/HK8HxUPNutLuc6t3EPz0zBZwJwV+KBH&#10;myBZ6wkWm3s87bZhQBJ6C7gJEBDaQMBnRek35lzjyTTmEaPnlOVRWg4WihSSfzPzN4sLNws1As9b&#10;RuRrHT2C195dVuiWb53O+XjFt0gPQ1wKi9UDNwqcQgz9uiFjjshGT5zhuXYnN4npUHiw56sRw/Tg&#10;gqETBTjKM1yPDMXhoATUE8DMOEpm22dcYZnmmQgfv+8XkQjTrHnBk7dZtus372JJzjl0j9kBv8it&#10;KNsiF62G2jHhhAOTxPjvWzjF2E6wMlrOFzs3b5Eoy9JPFdEVzq22N2McKNc6H4MT96OQq5z7nqf0&#10;pyv5wIkvdE/+xbey0SYgA9N7T1M3esXODj0lpAkLiwMopwH6MGmMUbbCQuGzBEL3eQXoMzwTOwfJ&#10;Kpz1vDxQyutFsY2T5+dq2Yw/62vREPL0myelYh6GhiJ5zBJU6V6IGmLkuqTbHss/Q5ogin7aCTsG&#10;D+iGCv/5W1T+3e/w6//zf3QrjkZrfvPmqPnUUwitWhUX+/fXAO4//vu/I40eJ27lESC7u38JeiDf&#10;uzNkCHb5+2uAuf8rrxhzxPV7uTbzjTc0hupQQAAeyP9L8lDibwiqeO+hUbgcFoe0ntMwv1cavg2P&#10;Uk/bsz4bsDRqOu7FSB9ZzUEncMrLW6jxS2b9T2KS0uWbV+pWtEflemT+MAs6t6KLG13GrdBjy9gX&#10;TVA4Q8bmlID6UsAzjRprJX5JoxZiEdDsnLefJMbr6bHS5q3Lw5Uk7+20o7mYOGkpJvWchWm9pmNq&#10;n2kY3mMB3vJbhx6BK1ChrR1vBBmnrsYeMAKHGdfTJtYmixqbAIACzNUAfBrcErJRVs0GP/HRAROz&#10;fmYMElN/8NAEE1uaPitJeF+JH4EFDLK34E3wQHCjp2o5NzwATvQ47V4yDRNPGEH2ZvyZUmTB9jX4&#10;TEDrk/UEI0TfReBboathQ7B94Dis65mMiWHz0DjMoYVzGd/JMj9Jxwyil3zMPp7as2H0fgE+Iv8e&#10;0a/HBo3C1v7jZfESie+ENwP0V/dNw1dhQ/GQW6wcA5mf3ws4zM1f/Gh71Ex2VlRYtX65eh1/KMX1&#10;g+zUjTdkQRYl71jFTg5dOL/SMgtRyfu1Ht0vvXnBk7dZNm7jkW7cuouD73yOWrIqKi8r0q5pNrw9&#10;P1WNtidG63bkYC3HwZfW7KUmJZ4rxMRla1DfNw//1YJlBvLhF7UVFz76zimVdaPMV67eQtzkQ6jU&#10;IR+/bZqLFwRIceVc1c8OR/8kMeZU/iKf0wAxtw1jBBjfYiZj6gUH+i51oMpb+Sgnhqaq8NRyMdED&#10;n3x2kihlepwYlBsvBtlKsVEpEzjdoGKzNJ5yTQzKoXlpWmNr4HIHKrcyglMZR+GK+WKdOgbUXpqd&#10;jiHlK+J//6//pdtwXV59FTdlDB8KsHk4bBg+HzAAPmXKoMOLL6Kt0AEBN/QueQqcihP5rWvVCuEC&#10;oB7GMpjVeS0mBq1eeAFzmzTBQ3q5iv3mMRJQ9eWgQZhUsw6ym76BoC7z8JzvJs2ZxFNeLMrbKmAd&#10;Pgxm7iSLfiJwkutMQskxsJqD8TIGzLl1WwySJXByepwOzU3TsS1pdAmeonLtCmrpcXiNnqdZ7k9c&#10;8f2gt5FZw/W+asjc3JPknLdMaGqUW/lh3jKgnqdN6cklJeyyo9MEO5oMsCFx2CLU75SDp3024b86&#10;bsazbdajzFsFqC3grlw7O5qGiPHeacfU9+3qqUoV+WncO423oaa/DX/puAHje84WGZyGu7g8g0Jw&#10;dHaKAht3cULFiZ5VBoe/N3EsHjIbvFkfk2Se0ws7Q5/VHPxyHLglxbxsyttKR3FxE2EUEDdkLx04&#10;8XMubjg/ro6KM3lH+ZksbEjBA3FnTAyWHFiLhCMFsrApZVtd5E45XyALnQJ9px/K+D6MCJP3U+7h&#10;4if/ZqkYeoj0MwKnqEg9DejK8G/WN5xjGYVLcVd08pPAyUm8h7xTk3rNQvn2eVrod8rSd3Wrrnho&#10;xy+1ecGTt/3VbfPeT1GpoxiADtn4aJCsjB+91CVePpK8lDQAPDWzfOMKfWndvcwu4gvPOA/mdvk+&#10;OhKHB4zCrD5T0bRzJsq2ykTzfutx7uK3Tkk8b7uOXMa6oveRteED5VFejBhPp9wVBXRfFMT98DDN&#10;SMwthvFuamCpAXIqOsY4LT+0FlHDVsoK3aYJKemO9wnMwLy+6bhf/OQRnz+MpUuikWlfrAa5JG8X&#10;uRQevVIsucH8PIydeaJPXUSFJwbhnii//Yum6Gpz0oUCPXJMA80Td6z6zxwuNAZ8tgtp4+V3g3G8&#10;Wzc0fuYZRFSrhlG1a+N7AmAXOKKnR0DLtWAxOPzMFTz+1xLBmBABWFrDhrgzfDjuCK9vQkLwRVAQ&#10;av/xj+hRrpyxRVjit/dFhrtDh+Lj/gPQ+Pf/hbLtG6L+oFiUfWstXuvqwGu97KgbkK9Zu+N6zJff&#10;mPcTDQTj0divBE7u+t9FNLoEIVkyXswbRMPkli+JYyBGlxmt9yyeCm4RmcVP9VtoQ/uxdl2AMKdO&#10;vwU2BVa8Zsz9IjDO7voQGQOrsRfidt65yTJvDxYrE0T5D7FMh13Hf8IRO/wSbVqig0HAVTrYdKuz&#10;nADQiT1mIlcWEXHTM9B3eYFuLYastmPMfgN4ueRmHGJMkR2V2tvRqHM2FvadXCxfllMe11xckK7z&#10;zawf+Kycrzy5+MmEeAVFTzxjcRL+DwgSkxI8Ki2j25bSDyzpo7wpnzu+JLnGVATfS5+zgLjKbhIr&#10;ZryjhVr66YbWATUZJ5JT9g/lOaceYo29osdiRkvyJuBkmoaDAsQJjK3i61S/DhtqACcT/UJS2eX+&#10;PExQep4wI35yb1CCLFaWoEzrfLQauBEb93zq1KbexuYFT972V7cHsuqInngAZdrkYVDXpfisuOu4&#10;+EtIpSEvJ4/6L928CgkCity90C4yVuwOODLnafyFvtgKzEK1qOiAbsvwx2Y5yDFJX2DVWM279aCN&#10;YkByMVyM7po+qdjZfwwOTJ2kuZ/GvVv0yIWudNwgnjRhTqHxxwuwYE8G0kcuQIMOmajaKR9J844j&#10;OGE3XmjvwJv+2SK7EzxRsYUapWJYbsUqa7jm2pG/uXkLcEuNp7XRviX/ZrwZjQXjp2jkaPzoeWrY&#10;2ygdMfGcGKm9mXpKTBU9fyvg6IqAI98yZfDqf/6nep6e8Czx/yU/+yuJQd+8x4hatbCmbVsNEGeO&#10;qJd+8xt0F+D0Xt++T9yDv9nt74/V7dqi4UvP4+WGNTFq5yJE5OxGxZYO1KfnZMVaHIibgE+DYnTr&#10;whS8yzy6OjxWYzvMjAvHgHOQsSJFGXNwz125leLkGgMBWNtXzFCwYAoYhHfKOZk/m1bjrV5ZqNzm&#10;hzGiZ4dgggb5Udkad/d0kQAVLZM0YyKmaCZtA0zQk8FTWa1jjBOXNQWkvT5IgHRHO+r45moyy8m9&#10;Z2gC0ZHd5uLz8FgcXTsZk8/akSYgm0CuZIJQ8uTR+jZxNi3yG9djgYwZwY6zb4rNxR1Lp1kCJ85x&#10;Xl+ydZWRU8qTcivyHp1Nm+Aswm0FnAqQdiwfR1mEnLwpnzu+JM4Pkf2agA/7o8Sd7nmTeI3vWZ6+&#10;owKc3IKPYkTZhf+Z9PEaPzWOucpOuOdN2XnakCc/j8901gG1AE7Ur/R80QPGRac7vi5S2QUUFmXO&#10;NTzJbmWX/hCdeyxoNF7vnIVKAesRPmG/FpH3tsebFzx529/UTr33NVr034BX29sQ0m0JvuEqtDiA&#10;kpeep5I+GTdKYze42nL3QruILzXz0WxaNVONwg8vNvmF4XpkGIK6L8Uzb+VjTcF7Tin++nbj1j28&#10;2acIVdrnok6AHbW7FKFe51z4DM3FoLUO9JxuQ9vh+Wg7Mh9thufBd3w+Ok3IR+NBeajXI09X8EGx&#10;q1G7TRYa99qAactPagmZgfF7UL59PqaIYXpAmeX5NSOxGIdlVGwmxYldCp/bF0zEqcbTTCmrsQrD&#10;taHRmhqBv3WtlOllirbZtTAwvU+95jmwfO8aXEweY/B0GZLoaJzu0QP1nn4aWwWoEEy5C9i+Tm8C&#10;//23gij53Q4/P922i6peHdPeeANzmzXDorfewqX+/TWnU8nv35Fno1fqT7UqwnfiEEw4mov43eu1&#10;jhirxA/ouRznhsfLMxBgsJ+c3o+SpHMwDJdkDJZsWWU9BzkGYnQZzK/xWVZjINfpUWUMW/ExcEeM&#10;b+M2UMbG5bgSPxKB/qtQydehyT37LRHQK+PmyJqn5X9MARtJxoSA7fC8tMfKrTB+isCpy2Q7KgrI&#10;6ey/Gv4Bq1GNSRo7ySKg12xcZkFtblWH8Yh/NArlngRepQEGzSwtFJgqwKmtAz4Ba3E6ZITI4ZTR&#10;NRcFSGxaPUsBIPvCHS+SnoqTv2sLl+IL5pQiQCj5fMVJnpWnLXnqzQAfT3qFXWSADxa0ztY8XI8W&#10;Cu74kuQa31GCD3q6DY+Te94kys6TqoWyuLvO04lm84OksrNUTIoGw1uWipEFEFOpvDvFgwLiTv3K&#10;AwJLt6zG2GLbte6IY0L9+mhuy5g9yVc+l7nxaVgsegUaWflnrzmtMa/e9mTzgidv+5sa970Ltn+M&#10;N/tu0P3wWb2n41IYt1/kpRSlwSP176eM0QBWs5UiiUaFRmD3oinGcWx9sWkQDeXzfmgs1vZLRUO/&#10;HM1+vmnf3+4+/v77ewiI2opX38qEb8QWLMg6i57Dd6N86zzUDszTIslNuq9HmwGb0VzAUfPeG9C4&#10;WyFa9t2Ihl0LBJDkom5gATqEbdGjunfu8jTiB3i+ZS78AmUlHS5gwJk5+qPEeCzaal5uxQBOxpba&#10;Hnn+u5o5uhQwQKLiE6XNPEY0tobHSRSjGE5S4jE7Bi03yixU62jHG8F2HEhIljEpoYwFLI2rW1e9&#10;Pxelz9/t0wcXBMwwhULx+814/XU42rY1aqgRXP0tIEqA2i0Z09scW+eWoCsVwhPflc9uBIdgeM2a&#10;aFi5IlqNTkTwio2aqK9ieztaBGbh3OCR8iwyR0yNizEHLybHY+EOc/BujIGx4ucY3KPXU37rli/J&#10;NQbDY2DPnq+/VcNagq+LXNe5Dfj1qFjcDIpEh4AMzdzfoK8dCZvzsX3dTI1ZMR97IZGLW8DcIjTK&#10;rRgGmVvKI7bY4RNv12r/b/plYsvA8XgneKRmnZ4uoP5jeY90e1PG4ouRw5CTv0jBiJmnhWU4Yjc6&#10;dIuUKTBieyzEl658QuwH4eWai4bXxqQfnOCDcX8sfm0JnORZeYKXW2/Fn9UdKfiQ63P2rMPZSeMN&#10;3qbzwwBOVwRYM9UBf2vWDxxDerM2C0C8yXQkVsCJsst47lswGakCWlwA1x0RTNLjNH/nWk3roMBJ&#10;5HPLl8S5LcQ4NybutIr9Uv16JB97ZW4zO7z7uc37yWJPwDU9ki/Lojhu8mEvcDJpXvDkbX9XY028&#10;+gIqGNA9vuccfBcWiQfhYXpEmfEMjA1w90K7yLVSZLFhTf4ovyVg+iJsKL4Kj8SBQWMwsNsyNPfP&#10;1or3DFrcvO/S3xywyFN4m/Z+ivAJ+5BR9L7wAXYe+kzTGlSTZ/AN24rCnR9j3/HPsfPwZS0Ds279&#10;+xoztTT3vJ40WSZ/j5760skRCqJeaWdDoP9yvC3G6pYoKGYknk/gKM9nptioVGfuz8bR2R6W+hDF&#10;ejl+uBpiNSaidAmaeEJncLYdnSfY0Ki/3fBq+NlRTfps/4Ax8vsShkoATJsXXkCz557DsFq1EFGz&#10;BrpXroQLPXs+8kJdHxSEV59/FtWrVcCypm/ianAwvhZgoykH3HipTIlAyUPgxW2770XelBZd8IeG&#10;k1DLrxBVfO0aIL62f4rw4bOY9JMYFoLXU+kT1JiaeStIDKSffiAHR+ZOMuag1RiI4bwyejiybYss&#10;gZMr6LhAwMU3zC8kvyU4m9lnOlr7r0PFroUIH7UG28In4FoI+0f4u72vkAArJmDdunKmesh4b96D&#10;48/4JN+xdvUODeiyFNsHJeA6t48j+T7JO0m52Wdy/0sJIzX2i54QK8Aw4908pC9coXFS1TvZtT5g&#10;FseAiyRnP3AuWgIn4cWi0BvWio7QJLIW4EOuM0nmrqXTNRcc+9EdXxLBB59l8dbVeD85wfDcmYIP&#10;AzhxcWNkPDfPEcV70+tFWW5yO92t16YYieyMWduxfIZRzonvqRu+JAVOwn/Z5pW4mMRSMRayi9zM&#10;T3Z68gRNY8F+t9IvrN5wZA7ntvH7J/lGqLf8ZMhIjOo2B1U75KD3qN348NJ1Q8F5m9vmBU/e9ne1&#10;r769rSVUWgVt1qOsy/tNxruzkzFDXliz1RaJ1wmwTk9NFMDFlWIIvggfgoV9pmhB4oRus9AncCle&#10;8XEocGLuk0rtcwXAHMCtvyPHiOsUnosHV1eZApBmrT6txYdLNlcG3dt37uPKlzdx9+7jieG++Op7&#10;DE09iDr+dvTstAwrR07Dov3rrN308vwz9mXh7enJqhBp9J9UbE5yAqePx47Cqk0rkHS2ECmnhc9x&#10;ByIy7egQb0P9HjZUFQP3Zr88BHZbrZnGWwesw0f0OOiWajF+AmSWNm+OBU2a6N/kqEH4/SvPI6Fq&#10;dXzJOJHYWOxs0w6V61SF38x41HutOiLr10VQ1aqaRPM7ylo8kNxDYOQxRUXg1KBYdOex+U4FKNup&#10;ED26rMTR4NE4HjJC7s97uzFiYhzoveQ2z/T9ns1BjsE7OgbyTGbAiWMUGqpb0WsFfBjAyT1fEseX&#10;xnPryhm6xfqD0Y3AdxFiXAeOR0DgatQS0E4gdVAWCgYwLHFfJ2BjckeW/qEnI+lUgW7T6WktkYFZ&#10;n+vJ+L/YoQhFA5Ok/4L0Pq77uebPhxNG6zayWaoQkkv2fSun4ujgBDTslINKMg7MN7R1wHiRJ0T6&#10;YaQedWfZDysQxjgfnmK77onXRq7z+Dy3pHk61AUS3REBGxcoqwUEfcL4KfJWoOiGL4nAWuiCLG40&#10;47nwtgIfPH3LIHimATCdHySn7OvXztbfm4I+kZ2eYyY0/XSsZ3VAucA6JgvNmftYbsVC9lNFmLVX&#10;5vbUJGNuuwVl8pkAbOa+6+6/TE9SDp54ECfOXHVqN28rrXnBk7f93Y1B2LNWncLLLXLhG56N2Uey&#10;dTXn7oV2EbdR5jGxXKqRNXt9/wlY2n+SBrLW7ZyHel0L0LhHIRoJNelViAZdHSjbOhvl22Rj+OTD&#10;fxd4ctfu3L3/dyV9e//j7xApoO7lN3PRZWI+0i6YKza62hU4Tk40tipJTyg2JzkN3weyql66Y40a&#10;tqBVRpbirukGaGLixSaDHeg+1Y6c9Fk4EToSs3pP03wwzGv0gyH9gW4IT56Oend+OlKKlqBMo5qo&#10;V78mouu9huT6DRDwUhlUb9sEqWc2IDxnFlqPDoWPf1u8+eyzGF67Nq4ysaXTS/W91Wr8ryYqda6G&#10;R2mV+NYBGWjol4sOgRnw67IaiT3nYAeL6xb3QMk8omGkoWNgsdmKn8T8P7PFuJxJm+BxuZUPkhLU&#10;S2AKnAQo0Ogyho2y6Im9J4xuOB4K+Bsn8/3VTkV4wz8H7zDvGMGTi/hsulUXhm/GxcFRsNA4AXem&#10;AGP3GTXVWLajzxyZA33sWgaEIOw8Y5KKJ6/U+ROi6QCYG4n9YgWcCNC4zcMTr7dkjqT0mqUAtkPA&#10;WlwdOASXkkf9UG7FDQ8XUQ/w5Ng2Zt9Xr41JH5NkTn7D4G2tJenc6nPDl8T+5xjS8/U546c8AE4P&#10;ZRyZwJReGwIbM9kVWO/P1pgl3VI1mx8kkZ019mzZC5SvFegj6MzOF9lHeiB7qAAn+btryVQ9IGAF&#10;+tgv83bLXLAqJSTA6d3gUfDzW4EagYWYteY0Pvz0mlOreZtZ84Inb/tRGj03rzbPQcshNqRQwZus&#10;RHkqhPv7nyaOxCfBQ7GodzqadF6Hmj45qNw+B3W7FGCV/T3sPvI5dh2+gr3HrmBZ/gUERG/DuNnH&#10;8NFn1xWw/VTaqQtf6xYfiyi/3DRHszEzcNvds1PhcRtp9u5MnE8Z61wRmihlJ3B6L20cFuxfp8aq&#10;50wbXutm06BwVnN/M9iGbnMcGLnVjh3cWmBR4ogwfBcRqQrXHXBSoCEK+fDcNEw7lo+EwzkIWZmG&#10;CAFJvaeORKV6NdAiqCuGOuYjVRRx4rlNmLN9Nc4mjsa+zp1R5je/QZsXX0Rehw5aNmVw1apanuXH&#10;9UBR7ghcjYjC8eCRWNx3MjoHrtHj9qzmH919kRNkyHfl3nelH2lcmJjRzHBxDFxZod9nVmg1LiaG&#10;yzkGjEfhvCVvM8NFo8sYHRpdBju7Bwy8XzgCBQi+2lEWCQIMY3osxN5BY3AiZCT2BSXgk9BhAkyD&#10;8emIEZgxaymiHQ4M3eBA6Bo7WsbY0WigHW9G2lGrix3VBTwP7LYcR+R33PZ+NOa8f3ConvbiiUvK&#10;Ziq7zE3Gxxx2lUhR2cPwWWisbpsy+Hz9hHSs2L3KEoTxXhyLfQsnlwIgS5D08dcjYpHpWKzAyGwb&#10;0AWcWNPua24Dcu6ZgQ+5N8ulHJ9Fr02W9RhKP3DLl+lLmOjSI+A0LAZZtsUK+MxlL9C+yxeQZZSK&#10;sZLdSC7M7Vp6A83mNon6daGA5A8T4/XARKlzW96dT8Ji0SdwGcp3yMe0Fafw7TWjpqm3WTcvePK2&#10;H6Vlb7yo4Ik1mTSrdSngicf1F29bg8/GxOGToCHo2WWFxjE16FGE7nE7UTfQrhnFuZVGgOQi/p97&#10;8Fe/ue2840+j0ePUMXwzGgrgq+Xj0AzSEVlGxXR3z0+PGw3wx+PjcZ/BwSaKzYhTCsHZyRMwdVe2&#10;5pcaWuDQ7UtmqWZfD1hkw4i9YgiO2XFAgMPtIc4VsipjF5XgTSMmSnXP4imPlDENCU9WpXAL5oQd&#10;I3euwthD2Ug5WaReMsaTfCrKWGvORUVhRevWWij4hf/3//QkXf0//QlLmjc3AsHNDMFfTWH4XsDA&#10;t+FDsLLfJIR0X4rKnRyo75eHQiYl5ckxWbUzEJYnNfkcZt4KEpMb0mvCU3ha8sYD4HRKjOjMvdZG&#10;l32VdiQPJ6clCZiU35ZqdHnPcCzuNRmv+TMBoQ01O9ngE7gW7QIy8Lp/Dvp3XYYZA6YgPHQFagtA&#10;Yo2zBr3le13l353ztFwHvXGMBxvafSE+DRv6Q5kO3oOyB4XgnanJmHLQKHxsKruM9ZTDuTg5VQAD&#10;5X4ke4SMewT8BbiW9ynASEeeFpw2BR8yVxknxGzrCiCtwIcAPGZTZzoJ9nGpXj0hXmOuooLMubjm&#10;ikEym3My3+mRPDg/DVMOeVBuRXgv2JGhAdlGHKYJb5LI/oXIvmLDCt1KM5Odc5PAaf3aOU7ZpV/M&#10;ZJe5zdOujBWjzGagjET9ytN3l+NHGMCpNN6iXz6Xdyq022K81CYPI6ce0RAMb/O8ecGTt/0oLW/L&#10;h3i5WbbWZ9IcMW4UCEtdLNuyCt8Mj8XDsEFYL8bvhXYOBAzZhgMnPsfnV7/HhQ+/w5dff/+TzWDL&#10;unmH3/1SPU3zM8/Cb/BWVG6Xh9e65aPVUBsGC3BylzWYio9KWWukjY4zjPYTik0+i2TR4nCcCh6J&#10;owNGwR47CX2TctB8qEP5N+5jbNFVamXTtAkTL8jq/l07jsxNg+bGoqJ3pzDpEWKMEgO9Y2OwM3cR&#10;Ut/brMrcnSFJoYERopFavnkFvlSZf1DG3wuvq0FBONGtG66Kks5t0wavP/MMPpPPfjzvUzj2DRqL&#10;oG5Ldauurl8+KnV2KHBY0ncybhNgikx35ZkLMnnay9xwGWNg1PL6ejjLnlgYXfalGMbjMybqadDS&#10;+spF9ITQa3M2bbwBjM14k0JDcU3A5vSs1fCZWKBJTZn7qUp7O6rIvyu1tcvcYk05O17rIdf8CvBy&#10;xyLEdFuopT4YI/VO8GjskH9/yVxXxVOF8N7BITg8e9JjANmd3CSVXZ5Rt3me2ELiv8MRGLga5ToU&#10;IGa944myP8WJAJKJLJmXidvClv0gAO+L0cOxkLUkBViYycnxJfjlqbfvKRdBmRl/J3BiuZXU4wyy&#10;N+fPd5SpVT4bJ8DaCtiQRPbP44cbpWJOmfPm/CGo3LZy5g9ePTP+0nesylCQNV9/a7bFSKJ+ZQUH&#10;esBKzRpOigzBlbAYhMh79UKrXASP3Ytvr932Zg3/K5sXPHnbj9J2HPoMldrloGZnekPsj2UnJjGz&#10;+Or1yzSPzcOwIPUUDOi6FK+0y9ctP3qX+PK66KfWbt2+j8XZ5xA8Zg9q+Nnx/Ft5KNcyF1V98lDH&#10;Px+hq22YfMEcOK3esAzXYksrtxKOo0HxGNNrLob1WICmftlawb5cBwcqtRFjKka1mhjUugFCgTbU&#10;62pD31UFSDtpxzszJxrARg1JcZ4/EANNjwYGaqmUqLYtUa1TS/iMChWQW/pKljIz2/W12KHugYaA&#10;JHqhMCQa3w4ahKf/z69Q0L69Bps/9r3iVBJY8f/0VjF2qvjnNIwCBrp0WYlXOhWhsoCmBtIfy/um&#10;43jwKAEL3O4wTv7xyD2TX5oZLhIL7bIkxU2WPbEy6rwmwIm5lCY6g5atjC69Gh8mJ2g5DVPeJLk/&#10;5wLlYfA/6ySGyBwauNSO4JV2BK0wssN3m2KHb7IDQxw2TIpfgCU90xUkPxgcql4mFp/Vv3o/5z35&#10;bzHqLEtCY+2Jt4wxYh9NGI2HbrNxh+FA0BgNGq/dndvDRjJNt7zkfowT+jgpvhReJUi+Qw8gA5sJ&#10;1M3kdAGnHcum476eSrMGTqxTt22lkcDUyvPGUi5M5vu1abmVYiSyfzpulJ4WJvg04837M4fU3kWT&#10;8YCyWwEn+c4dAU7MBM7xsfI4MWt+RsESBWXmczsCOwV0+wauwbOiw7rG7MAXX93yAqe/oXnBk7f9&#10;KO3e/YcYPvkQXmiyTgx7PobYbAKg7KpQaFhybYtwX17cu6HBuBg6DON7zEHZdnloH7IJX337099n&#10;z9n0AV5qkYkyrXLQxDcToX2XoeNYMXJi6MbuN7a8Sio0PjsVPlek2fbFzqzh3Ipzo9QiwzCs53w8&#10;23EjXulQiCod7KjawYbX+9kQmGKHf5IdvWfbMWav9Kfcb/ThAkw5kodzTKgXbKIso6NxuX9/1P/z&#10;n1Hpd79Ht/LlEVatGtY1fB1Ny5dFzK41Mk4bBPQV6padyizEpHusAac5bajs3fEm8b5izO8LKG7R&#10;qC4GVayI28zM7c77JEDrqoAsZjO/LWDploCmLwcMwPIWLbDP3x+3RNbbQloHTCkM9gHJWtG9XKcC&#10;9Oi6Uo/dc+XMeoo8yr62aKlpuRU+D4lxZjREGgNG41JSNhfxecSw3Rf++xZNUU+F2Ykp1/ym8dds&#10;2UGljK+LhD+B6DcjhmlW6OJZ51nnjsky9a+TJp4u0JN1uzJmAEPZ1+Rfylg7Zae3Z8eyGSLXemtP&#10;nBhmnjYkgGFNOnd8WUONyV+fb1+kiUrH7f+hXmJxXuzjOXsycYknxwic3PB6RCLrA/nOx4nxmiaC&#10;AKE4v+JE3hwDBp8fEEBIUGu11cpUBHdkvm1cO1sBZGn9QN4qu4whFwrfDBdQbjbfSZRd3uMPkxJ0&#10;m5Pj7443SWWX+6dqDFyqMT+sZJfxY2km5p8iWHTH10XkT9DHBcR9/t5sbgvIvicUELgKz7a16wnh&#10;b697Y5z+1uYFT972ozWm8PcJ24JKbXJRr1s+QteKkj3HcgBzNGv4/bAgrOyXhuZ+mVpbrkanfORv&#10;+dD56592W1v4Hsq0zkObzhkoDJ+I/KJFSL3A4p7O4+IllBqJCpvkyJ6P7+mhKVUpG0BhQs/ZKN/B&#10;Ab9kO/rOtaPdSBviNhpZw+nJ42o/RYxW4hkxUgez8L4m1BOe0rdu+RLACA2oUAH1/vQnHOnWzcjo&#10;TS+P/A0oVw6dpo3E2ANZiMqbg2HyTCqzAAYCDc1pYwWcZGV/W+6xe0E6KjasiZAKTvBU8rvyHSY8&#10;HFK9Olo89xwmNGiA6Fq10Or559FN5OhathxialTHmNdew5WIOHwYOhwfh8bgcNAYLeRMAJXff6Lw&#10;CVXj8vXwWKzYxHIrFnXqSLJqZyZtboFYPo8YXa7edy2fjmT5HT0G7viSaLgIjJmokNualmVGhD+3&#10;gj4bO0JjrsZalIrhVg1Pve0QWTS3lvzWLV+S8zr7mFta9LJZASeCikXbVuOL+OEmYCdC+iMMY3vO&#10;xSu+hagu722fubbHwJPBq0D7gUV7PQFOBHjnU8c7a/JZAyfmemIuOO1jD4ATC2oXZi/ABAEfZv3A&#10;+UH+tpwF6mEtdXHjIqfs3JJMl8ULQZc7viRD9kLdDn17RrJnoE94Xx1hlBLiGJKHO94kPhf5M0Ep&#10;vVTmwEl4CwhmnGDVDrlo0L0QH3hP1f1dzQuevO1Hbec//A79R+9C+ZYCoILsiJ2ZgU8iYnA7PATv&#10;hQ5DM791KNe5SJNN2rZ+qDFEP4f2yeUb6D1iF2q0yUSXkAyErBMgI6CJ9e+YNbl4jBcVHhVbinzO&#10;QM/bmjnaRClHCAAJH4yBXZbh1bYFWpuOHojEo48DM1XGYqQWi8H7KJHJAIUnjaY7ni4S0DagTi00&#10;+8tf8EAMq8Y9yd9v5Xd+L5ZBmdfroKrQ7/7wOzSL7IVJooyLsuabe8lIvK8YqevybDvWzsWQnavw&#10;0tNP4XSXrk+WXBFi3TMGlFf5wx/gU6YMkho1whZfXyxo1kxPybFQ8J7OnVDz5Xrw67IGTQNy0Cwg&#10;C038sxU4Mebpk9BYAR8h6uFZIn1Ar42rb9wRwQfHZvOqmSa1vJzkfB4tM7JmNpIEFDFAP0V40CNH&#10;Ks6bgCxZrmeIkWPtRgVl7F/hxaD6B8V5k8Ro3g+LUG8F42OsvBWUnfFTDOo3PArWwOm7odGajJMG&#10;3RQwyDWCQnpavhw5zAL0heNKmHGwo2KnAtTsaBQYHlpgR5oAKAUfIuvyzStxOUFAGAGCWz5OkrG+&#10;I33x7rRkDShnvil3MpIM8FGgeZYYxO5pnbqv5Zny7IuRcDQfYw7nILUUAKxj+La8oxmztSiw6TtK&#10;UtnDNS9bmoyNgj7TOnVGDjEeNrAETjo/wnUbkIczOD/Iwx1v0g9ze5b13BbgxEK/9Pj7dF6JKv5F&#10;sIvu/SmdWP45Ni948rYfvX106TpCx+1FjU521GcxUr/FsA1IRErPmfhLazvi0g9pgOLPrTElQb9R&#10;u1CurQ2N+tkQkWlDj+k2hGXYMO4gg6x/MHzMAL11xQz1ylgbbZbLiEOPsAyUa1eguZsImooDJ2OV&#10;WYCVG1bgM26LWAEnpyG5Mmk8Bob2RO+XX8GngwZp9nOCmx2dO+OF3/4Wz//2P/G7//W/8Hz1Ckjc&#10;uAx7MubgVrQHMst1HhEvXDcXE89tRMTGxSj756dR0Lq1Hqt+7PsC2E726IFaTz2FzLZt8W2x/FBK&#10;CuoicDBoLGq1noOyYqTr+eVpZvk+3ZZrLqQjQTx2zar68Viwk+DDAjhJX/GYPONjtFYiTx6VlMtF&#10;+jzhWm7FIcBx4pkNiHLMQ5/ZYzFi2wrEbVqK2I1LMOnsBkw6vUHzXnGbc03OPFwaMhif9RuAA4GB&#10;uNivn9YC5Bbk5o4dscHHB2/T2zc4Uj1H59LGa24zK08LZZ++L1vTSNxjDJul7GG4GheDvNyFytsc&#10;ODGovgBZtkXGMXkrsCNz6EZMJGYlLUDj6ELU6mRD5dY2maNGIWHei0keeQjC0msjvG5FDsYhea60&#10;oyxmbJ1Edu7uDKNkCeXks7rjS5JrnO/0fOVsXoWx79jReKA/Xh8YgER5Fzlek+illGfnv13zg7Uk&#10;uVVsDj6EhPdt+ctM3Xy36bVzJzfJJTtzSZ1V77AnwImeuHGYszvTdH6QqAeYCmP3kqkay2g6P7jF&#10;GxGGd4JHoUfACrzSXnTVrKNe4PQjNC948rZ/SLv46TUszjqHUdOP4o2BW9DILwe12meifehmnHn/&#10;G+e3fn6NRYC7x2zXZJ11uuQJQMxD3S756CbGZMIRMSanjJXy7sVTDFe6KF33Sk3IafhYZ8xWtBgD&#10;l9pQzceGBj1tGH/wh+BzKnoaqUz7EnweP8Kp6M2VMRUqvRzLdqxF/cie6Fi/DgbXroUz3bprgPb7&#10;vXsj7fXXEV6lCir+7neo9FYj2Oam4C633ExlFpL781h5Tt5Cw4gIkInfsxbVmtZDvb88I2CinwGK&#10;XL8RoLRHwFq1//ovfDBggJvgcDHQwjeq+2KU89uo8U1du6zC1fBoLdNzIywS98NDcX7SWDGm1uVW&#10;uJUxmbUCF072bLtLnodJFnPti5FybhNG7F2HN9u8id7Vq6FOh2ao26YJGsjfsKwZiLTNRUTBPIyY&#10;MRZDXm+AiXVeQ0zNmuhStixiatRAuvRpv4oVESn/ZhqH2GrVcV/6m56WWcyzZAUYZKyZf4oZzx9w&#10;HAWMuZWb5JT9isi+zrFE+8UMOHEe8R627Pn4RreorABDGG4MjdLTYenHbeg1144aMj+ZJqPTRAH3&#10;J2yw5S/EVZkLHvGKjpL3Yqpn5VZkXi3cvlaTkloCJ+kn9tUnE8ciY2cG4g/noP2YCDzz61+j/J//&#10;hGYh3dBnQaKMnQDiOeMwZP0iTBHwQWCtMX1m84MksjNP1d6FU1R2nfOleJzUE8ctzK0sFTPGGjjJ&#10;ve+FGeVWmDXcCjjx3gzuZ70/rUpgNbcFOH09fCgi+i7BSx0KMHLqYXx65YZTm3nb39O84Mnb/qHt&#10;86u3sP3gZ0hc8A7iph7FzkOX8XM/2LFxzyfoFbcDzfqsx4jJh+EXsQ2V2+VqdfzFh9dpckT1vpit&#10;CJ2G77OEEciQlXvKhUL0nm/XE3WvDxAFfUjA07uGFyv57QI4MucZxVStjsCLQuUK3KittxYTzm7A&#10;sA2L4TNxKCo9/xd82KPno607ApxPBw6E3ccH7cuXRd+qVXCPRrA48ClOLpnjhyOjYKmzLIdhBNPP&#10;bkTPeePx0jNP41KfPsbWHfnIvb6TfmCs0//91a8w/Y03jNN1j/gKz8gwbB44ATX98vWU4age87Ci&#10;b7p+zlqHrJX4zrQkzbNkvSpnZfpsHJspQNAT4yLPw9IY3H6jx2n0IQHFQYEYWK483uvTF9V/93u0&#10;fPZZTGjYAEM7tEJYh7cQ69ceUY0aoH+FCkhv1Ajxdesit317TG3cGIOrVcNmX1+8JwCy/h+fxtq2&#10;bfC2GN3p+7OtvRUCKLgle56pDjyRXcbq43GjdPuNvM2Ak4IVATsbV8/CdzECXuW5XXNAif8mufjL&#10;dX6PW5ipJ+xIFmDWOsYATtX97Qiem4etq2fiuzgZZ/IqLltJkussT8MtphQCJwEX7mQksR8IAhlM&#10;/9H40Qb4MJ3vRh9dnJqMBRuXY+TRXDQK6YoetWtgbpOmyGvTBmEy94KbvY7OzV9H02qV0CSgNQ4L&#10;cNKtOrN3lETZpR82OxNU0qPkTm6SK36K9fI+Gj/KAJRmwElk5zifmDFRTyiazQ8Sr7MOJr/vUQ1G&#10;ebavxsVhxaz5qNklG22Dt+CSFzj9aM0Lnrztn9KYufbqN8zf5PzgZ9xYGubs+99g6/5LuPzlTcxf&#10;dwYvvZmFegMdWJM4U08VWhu+UD0avkKMRPLZQow/6kCLwXZUektW+LOMgFyXp4BbC98yaziNFD0/&#10;7niSVBkbMRk8/ZUkgGbY+sVoN2wgqnRqCd9yZY3vFTeSNJxDhmBXp04o95//iY0dOz65pcbv8b4i&#10;M+u6MZiVRoTGwqXYJ5/fhFbxoWjx9J/wqYCO871741SvnrgmzzqvaVNU/cMfEFK16g/89f7SDwKQ&#10;eMw+uNtSTUkwo/d0LQh9nZX7ncbl8NxJmjfICnzQq8NtsTPpznIrHoCPD5LisWLrGowVw9gpNQbt&#10;AtuhVc2q2NfRFxg2DBt9OmKvvz+uy/cv9uqNk1264oOevfBu9+64JMDzlsh4jbEy0lc3xFhdDgrC&#10;QwGMVwQ8tXjhBdhmylgcpafFxOgK6GF/sl8/SkrQ4/WmRtcp+3usqr9tjfYLn98dbxLvTcO/Y+lU&#10;9f7QqLLPP+nfHyd79sR5Absf9O2Lr5iji2Mu9/5mWIzmzqKHJVnADoF883AbKra1o/WgHOyaOxm3&#10;YgxebmV0kcj57bChGoul5VbMPE7SDxxD1g3kokLBB5/VHV+S9BOf49TkCYibMlrk66Hj16xKRbzr&#10;H2gc0pD5+2VwMC7IM2Y3b4G6v/8DRtSvh7sj4vT3bvm6SGWP0VIx7F9L2eU6PYAs3G28qyayy9wk&#10;uNe5fSDHFJSR9CTj7nVGDjGdHxZzW+7/xfgRWJO9BG1H2vBq61zMWHnSqcG87cdoXvDkbd72dzYm&#10;9uwzYhfKdrChX+AyUV5UbKUoTiq24FCtM7Zw+xpMPGOAkF4zjTxOTYJsGLPXjokCqJLF2LCY6rUY&#10;bi1YACe5zsr5B+anYeohQxmnCXgKXzsFv3nhGVR/6ik4mIPJBYjoGaIHikBG/s94jokNGqDl888j&#10;rnZtLG3ZEge7dMF3TmBAmS8mxqtnhKvr4sbaCKouwJtivGpXr4jQpo3RrVoV9CpXDhPq1dPs49Ne&#10;fx2XRMbbj5S+0UffRkRi58BxmjG8SmcHCvsza3iIPg+BEwOmmbHbbJuHxCBpnva6KODD03IrF1LG&#10;YsHODCSdWY/m0X3RtmJ52Nq1w9sCJL53ycm+MiPXd1y8+W/pr68GDdLn7pw4BOkfbDPd5uFJNQIG&#10;xuvQa2hqdJ2yEyDO3sNyPY+PRUkiGGGNvQPz0jTeSAGlyHdZwJ3/K68g8NVX0b9SJQW2oVWqILtN&#10;G3w6JBI22yLha0eS9DuBE4tP1+tuQ6WODiwLmYLbTJtgCT5C1FuaY1usz+nyUrojXmPahJz8hfhy&#10;pAceVnkOAqczi6eh74hQPFX2RbT+y18ws35D7JSFwJeDiiVr5V+Z5x8NGIDXnn4aI2vVMvKTkUry&#10;dZH0MU+9caucsmmAthu5SQRVnJ8sFfOl/MZadpnb8nfPIg/r1MncZrkVzm0jn5vF/JB39pIszNZu&#10;WY7us+0o1zYHg+L34LMvbjo1lrf9GM0LnrzN2/7Odu/+Axx65wutD9Wwc45mB3db8Z+KLThEVsqJ&#10;mLUvC8kCnBIEKHWeYMNrXW2o2taG5mE2jNrrwNST+di7ZKomdFQjZWFI7gkQ2bV02qO6blTGKQKg&#10;Eo/k4tl61dD09/+F89yyE9B0XYzaRjEwx7p2xXEGNDu38b4SpbupY0eNgxpYuTKG1ayJARUr4lK/&#10;/vgoPRFzdomxNlH0I7euQJh9HiJWpSMnpD/2+XbGoYAAHBD6Rlb/PxircNwMj0RW/xSE9liMlv6Z&#10;mgSTp7mWcrsuLFiDvHlKjieKzAwXZaHRZeZ2nsIzreVF4jUxjIwxYa23JDFM40/Y8GLlshhXrYYR&#10;XM7+4HfN+rw48bn4m2L0QPp5Yf1GqFqrKmI2L9NA85Kyq7dCxihLDPRVJma0Ak4qewjenpaMqeqt&#10;sABOwnvy4Vwcnz5RQKv81gV2YmNxpkcP/Nu//IuRY0vmwH4ByjObNkXH519AYKc2mHJhs8rH/GUE&#10;8e1HGlntq3RyILN/Ku5FcH6byCpg+6uRwzTjNcePvNzJSOJ1gl+WW/lWFwrW8/2BLFDotZn1TiEC&#10;p49C5aavoVWbpvCrURW+ZcqgS4XyRsHtYr/j4Y0D8pzNn3sOUwXM3y0NPInsX8p4qIdVt6bdy03i&#10;u8ZcYCy3otuhVrIL+HHVqSv+rrrjTWIOpyVbPZzbvK/MbebOWrFnDUJzHKjaORdNexbh6KmrTm3l&#10;bT9W84Inb/O2H6HduHUX4eP34Zk2dkzsNVvACMuslFBsQWL4ZkzUkzJUykxH0H8hs4fno26AHQ27&#10;FehppvpRhUibsBh3op3K0sqQyHf0eL0o+UTniT8qXtcxe5/RoXihank0fOkF7BYgs8ffH3/69a/x&#10;xjPPoMXzz6uXxAVseOz5S1HSl4WuCJgaVbs22opBnZA9W0/VmSl65tRJe9uOk9OT9Tg6j+tzhf3Q&#10;5QFQkmeJDMeCPpNR2y/fmTk8V2u5tQjIxOVBQ3FfrjN3jZXhIjFXEvM9fTVimEVmZSH2pRhGBmNP&#10;PZT7yHAxSWirEUEo95+/xSd9+/4Anjwh6bf3evfGDj8/vBvYBfPqN8SSRq9rLNTAGtXx7L/9G7rP&#10;TMDUD7Y/Jjefi1sxuXkL8R3LaVgZXef8OTp7kkdGl7FhzHxN79rd4t4KGQtuMw6rVQu/+dWvcKZX&#10;LwV6HKvr8tyFzVqgVus3MP3KPiP9hgCnSScdmpqgSbBNs+uzpt6GAYnCK/RJOUki5+ejhxteSgFw&#10;xbd3SxKzbhP8bhEwoZ4xDxYK3Nbcu2iKetQIXJKOS38czdNTdSEC3Cv6NEMDmdtMGfHI++SkBwIc&#10;89u1w8v/+Z+4OnDgk94nmR9X4kdosDq9dqayyxjw+Xiqlqk4LGUPYdbwSD3RqZ44IbMxZA6zlRuX&#10;eza3ndvqPCSy6OA6jNhbiMYD81G1fR7sWz/62aSE+Tk1L3jyNm/7ERrLG6y2v4enm+WgZ9eVuBYh&#10;SlmNiyg8Kr1BIZrkj0ZT41/k77QPHOgzxy4r+nzU8WfpFTtq+Obj1fYOBPit0pNmxvZWCUXpIjEk&#10;3KIqWjdXDRC3F55QxgRQQolHbWiZMhSNnn4aVX7/B8x+4w2837+/pg8o99vfIq9t22KxSE4SRf+9&#10;fNavfAV0W5OOqe9vfZx3MWJZDhr1c6nj8EAMUOmKPhxngkdpqZWynQrRyj9Dy618EhqHCwPjNEFl&#10;tm2RZYJAEkuyrBTgdF1W/JZ16nhN5DoyJ/UJ8DHlva3ou2Yymv/pz7jGNAqleSRKkvQPvXiVfvc7&#10;vPzv/4FutWugnm9L1PVpjtZRfdB17li0F+CaLEaeY+CSm4CBHrzCdfNwy9NSMQJI9s9PNwy2J8Bp&#10;fzY+mhD/5FgIQIqtUQPtXnoJ69q0wb3izypjfcCnI5555UUEpMdhwuFclZueJwL9kdvsaNTHhmc7&#10;rMfE3rJAiHKTH4rAKWGEnook+DCT0wWc9iyZinti+D0BTizrtH35dOdCoRh/+T9p5md70TisByr+&#10;3/+Lb+ntZIyX6/d81tGjsbRFCzQWcHWHnpzizy+yfyHAada+TI/yLBE48fTgPQJfS+AUqif21hUu&#10;1Wc2401iOau1j0oJWfDmNRnnDyaOwewj2RhxsBDNwmx44Y1MJMw85gVO/6DmBU/e5m0/UsvZeBEv&#10;NVuHVzoWYEDX5XhPAMHdMFntBofgwILJYkyKROE7NIaE21HjD9sRkCKrw7b5qNU5H9U75qFl//Vo&#10;0a8IL/oUILt/iih3erDoxQmTlTSBlChKUZYPRfEzcNSWMx/xAiJKU8b8nJmyky5swcrc+VjTsiXW&#10;d/AxgNLQobg8aBDq/PGPGFSpkp6Cc63W6S3iEfsHccPRp1w5tJ8+WvjZHwMBLqKxZrZlbhdgUAmP&#10;22MkckeGYFXfSajQqQA1/Gw4KcCJRpjlVu5HRmjOIBY4LXmP4sRnYoJMbgl9zwSkBE5u7ydEwyL9&#10;9EBADmu9EXwU3wbk8zDYvVZga/zv/+//Q1br1k+CyBLEeBmlYcPUw+T33AvYO6AvMreuQfrHOzD5&#10;g21Iv7BZPVqTz29+TG4afN6fWcPV20Rycw8ll+xiGPcsnqalOsw8ceRPw0yP05UxIxQMPMZPxpTU&#10;5oUX0L1sWTwYId/hZ67r8kzcuu317HP43//nXzB6xyrNjcT8ZYnH7PCJt6GsAHvm4NodNFZ+U6zf&#10;OSflfh+NG40pHmQN5ziwBNCBeenGnOGzuniVJJ3v4bgnsq7PmKPbkaX1Q/q5TRi4eCJ+/dyfUFsW&#10;Bu/36avz/MHw4Zp3q7k8OxcLSwRAadyfi78sbliihmkALBOY6hxyKJj1KOO5zM8bQ4dg+ZZVHs3t&#10;BAFOObKAYPJYDTx3x5fEPnPOj3PpEzD1WB4S3i5E05B8vPJmDiKS9uO7G3ed2snbfuzmBU/e5m0/&#10;UuMpvKnL3lXvUWVfB+p2zsNQVsBfOh3JpwTA8NTSSTvGHbCj4xgb6gTmo6aAJn6f9ErLTKQtfgej&#10;ph3B0y3zYe+fjO8EbFwTRXlg0BhcDInDdwKg7oghuTEkErl5C1TRUuGWpoiNFXoBcnMX4nvm9hki&#10;5EoVIMr3bmws0gQA9K5QQT//XkAZTye937MX5jZtilyfjsht2w41//iUrGZ7YPpHOwz+Jwz+NGQ8&#10;Zs2Tg1bAicb2g9Bh6NRljZb6iOy+CA8jwsUwhuJbkY1H7vk8JZ/DRfo8Qlzx83k0c7sVcJK+ui1/&#10;dy6f9gRwItHY9l+agj//9jcYVLkyLvTubbptR9DEbTrGDH0hgKzRU39EdKtmKNiTg3FiGM3GgvdP&#10;OW7XLScFTR4AJ8YqbVvOOnXWwIljMXdnBi4zF1hJ4OQiGWNmev/3f/kX7PT1xVV5hqtioK8KaLo6&#10;OBLdK5RH/XZNMWjJRD1wQN70OvWeY0fZVg74BqxB0cBE4VVMdpGVhXrfTxmr5VYI4ErK5yJXP3Dx&#10;wISTKieftbiMxUmuETix3ArLHJkBJ9f8mHFxO6InDceL//5rDYy/IWOW0aYNGvz5z2goNLVJkx8A&#10;svBneo4Pkseo7Ga15FyyM4fY29MnqrfHE+D0dVwslglwGmMyt0l8rnEni3RBRA+bJ8CJJ/ZOzEzR&#10;UICkC4UYnGNDhda56BCyCTdFH3nbP655wZO3eduP2Lh9t/3gZSzPv4Cafg5U7mxDVJERMJsshnP0&#10;DjtaRAm4ap2PdkGb0XXIdoSN34eesTsQGL0V7577GrNXn0a5tnnw9VuFyG4LMLzHfLzhl4WOYriG&#10;dZuHzdHJKFi/UJVxsokh4eqYRoqrdT22XVIZy8r7XQEBbz3/vMbAYORIbOvYEa2rVESDcq+iYkAr&#10;VHz1Jezx80Pgn59F46AumOYET+RPEMNs3ywpUaqxdpGAJMYypfSbjT913Ii+XZfjaliUllv5YlSc&#10;s0iuheFyPs/GNayVKDytjIsY3esst7J6tlvgROKWXav4MC0bczAwUNMSvN+nDx5If/EE4k0aV/KL&#10;jMRdIQKxxn9+Bm8IDahQEQ1fq4H0oiVIPmcADXf0yOgezlMPpBpGK+BE2aOjNBDZk3Ir3Mpbtnml&#10;BjqbFieWZ2B8U6sXXsCLz/wJgY3rI7B+HfRo2gi9mr2Bmg1qYeiW5Zji3KLVLbsLDnRNs+G5twqR&#10;1msm7mk8n1N+MeAE8+9OSdIabvSulpTPRTpntB9ycXwGwYdnwOmbEbFa+NYyCahzfHfalmBTr+6o&#10;J8CWRbEnNWyIZ//jPxBWtapmgGfAvPKn7ELvTE36odxKCZ4ucs33mfuzcDp9gm7DWcn+IDQcV+KH&#10;62EGM28WiVvuSe/YsWHNbOPQggfA6ZbMURZKnsSYr7OFGLvfjjcj8lClXT5yNl10aiRv+0c1L3jy&#10;Nm/7BzR6oboO2Ybqvvlo2D8PAZPyEZCWj2aD81CpTR6GTDyAY6e+xKef38T1m3fx9be3ceGj7/S3&#10;X3/7PZLmHcfr/TahTo8NKNeBp/EK8FqP9XillR09UkXRH3Vg/BH3ithlrGkQtEQMPTQllbEY0Tuy&#10;+mbw7O/+9V+N7arhwzGueg1U7O2DLrMSEL83A22H9kPHwb3QJqwHBmfN0K0oGjDyX7FxJT6jl4OG&#10;pDjvkiSrY54GvDB1PPqNXIdn2wuPnrPFCAzEx+NHYfH2NWJczD1Oxoo/T08Uelqn7hvmF8qcpzXq&#10;3AEnEmv5jdyTgdf7dEJki6YYWas2OpYpgz1duiBT+mRRs2bY6OOD8wMGoFD+5rdtiwZP/wmdX34Z&#10;62LCkbZpOZI8kJ3euWOzUzWdhCfA6au4GD36bsSyuedNMoxuAdYWLDWOydMb4o6vi4Q349jsSSPR&#10;MSUGfTOmoNuC8RiQNQ1BebMQt3UFJgrIJ28XYFi5dzVmjpyLah3y0TYgA5fD5D5MYEpekYNxdM4k&#10;TSdBr1BJ+Vxk8CrATK315gQfVl4b4X8lYQQyHUtMPU4k9rGrJNL92KH4tHcftHnxRaQ0aKBFsTNl&#10;nmu2eS4iyF94M0D9MMutHM3X+KzS0km4xnD2nkxNEWEJnOS5WACaMWeLt60xLR5MUtlFhh3LpjmB&#10;tdncFhLe12OideuXWd6TzhRi3EE72o/KR7lWuYiddAjXRKd42z+2ecGTt3nbP6Ddf/AQR09+iQlz&#10;j6Nxt0I0DCxAo66F+u+EmUc187pZu3bjLg68/TlWOd7TgsTTV5xC+pJ3Ub51Lmp2z0OzqDx0n2JD&#10;VK5dvQMMlmVsisaniDKefiAH+xZNcdbWK2Gs5bPvhQiYgmU1XvOpp3R1zi0cBj8HzhiNOZ/v13gg&#10;5m9KFnDgqudG7w8p075YS7RYAydZ3cvfU7OSMX3bOrw1woEy7QoR330ePk4dhYV712L8OTEuJoaR&#10;BpwB0EfmTvK43ApL3uTmL5K+oNF1D5xIBFXJ8p2MtbPwZewQXBfeIVWq6CnEwLJl0U/+PaBSJU3d&#10;wCDjJmKIA8qXw6jQ3lhxKB/J0i/u+JIUMEj/Mbkhy7N4XG5l9HAFDJ54WniPvNwFmtTScizk2W5G&#10;R2HfwsmYfsyOlLMbMenUekyS8dW/AtRSnd4X3R6Vflkixv+TpHh8GxIJn8C1eLlTEXYMHC+yhuL7&#10;mEjsWzxZS5bQgHPulZTRxYvghwWRz6WMtQZOco3A6dPxozWujeNv1g/sY1etN53vnB9Dh2LGG2+g&#10;zG9+g9F16ujC4FF8l1xnstBdi6cg1SprOOe79AOL9V6YyHIrAmxMZTcS1V5IZYb/DN2G4xi5400i&#10;oGSup4Pz0z2b23KdSUd5upZeWJaDIv9uogsqim4IHrMXFz+97tQi3vaPbF7w5G3e9g9s33x3B/lb&#10;PkTW+g80oNy27SN89a3nRZHv33+A9z/+Djdu3cPHl69jcNI+dInariVhane2oWlwvuaKYh28UTvs&#10;GLVXjPX+TLwjYIXeHmMVW0zZiwG5Fx2tAbOVfv97LGzWDBlt2+LdPn2w8I0m+Jd/+1e0iumP2MKF&#10;mieKp/Vcip6gjIaQaQS+9tBY0+t1lFmUd2Wh27wC1O0qSr69Hb1D12LelrWI3FSIIXa7lqMpCaBo&#10;FGh06bU5McMJPqyMi4APZqdeV7DEEjjR6NLLsmHtHFxj6RsCm+ghum03R/rlWPfumq7h7R49MKtJ&#10;Eyxr1hyr27RB+qjBmLIvU0FlaYaRn9MwEjDQW2FkDbeW/ZOxznIrVsBJZGf8FLd5vmV+IbPYL5Lw&#10;ZpmRbStmPEqV4Y4vifcloFi1YQU+YYkU+S0GhyK19yy80qkQId2WYHv/schJno7ItfkIWleAmAI7&#10;4ncZHqvi5BpDbilqXJwHXhsCpw8mjtXfMIGoOXAyar3tXTRZ5lrUD/ND/s0M6gzoZ9HmR3Fs7Act&#10;FTNTx177oRSPkwIn7Yfl+Fj7wQL0yb1ZNuXd6cnqpbI6bch+4aLg+KwUj+c2k44a2drtIluBViII&#10;XmVHtU65aDNoE05f+PnWDf25NS948jZv+xk1Flw+ef5rHDt9FW0HbUb1zrkYIoYrItMmoMeGNgkO&#10;pCcvxpHg0VjSOw27BjlPRXGbRQwIgUBKo4Zo/swfEVWlonGUm4aFW3gCoobVr4dWlSqgWodmSDu/&#10;6RF4ItCgh2vTqllqfAyD6kbJu0hAG+OsGBw983iOxn3V7WJkUWdx2aZhNnSdZteM6m8MsCEqTwCg&#10;GILixoWeFxbTPT0l0Uh4aAU+xDBryZuNKx4BveL8ihPBAT0mO1myhIlISz4PDTE9FS4S43Zbvndw&#10;yTTMPJKPJPl9aYaRRpd1/5ZuXaVB1B55nER2FsFdsnW1GlUzo0uDz3QLO5ZOE9ndxLKVJA1ajkFh&#10;5jz1tLBv3PElEWzy/kzcyXxHypvyyfw5HTISjf1z8KpvkdYgbNDPjlr9ClCvhw2N+9vgM8aGCYeN&#10;xJoGL+mHU0VaB5H1EB/xcicjSfqIfXVWwCYzanPOmY2hAT5yNPD8dpT83g34YJ6xR/+X+38Xw63c&#10;udq/Vv3AOUIP4OUET8qthOli5eC8NGe5FcMj5I43ifFVcwRgnZ6c6Hm5lVFxmheMcY6Uj+/LqO0O&#10;NOyXh7qdHVi/+xNN2Ott/5zmBU/e5m0/0xY//QjKNM+EX7IApyE2DRSt7JOHpp0y0LnzctTqmAMf&#10;/zVY1z8F50OHAWJAJ9Wvi9/9228w/K0BWN9rKD6PYPwKjWOkbnl8KyBqwCuvovYAf6QTPImiV0Mg&#10;K93dAhyuR3NbxMJYh4bjlhh15uNJF6CRfLoACXsc8EsSI9vXhuodbKjV2Ybafsa/a/raMDjbrqvo&#10;R8bldJHmCjqfMk7jR0yNC8GJAASWvFm0bbXT4/S4sSpONLppR/NwaO6kH0qWuOPrIjFctwRkbl9u&#10;eG3Mja4BzFZuWIGPBcgZspsYXSdwOps6DvN2ZehvTYETvQ0iw4H56bg1mGNhIbvwZhB5toAh8rXa&#10;wmTf8LTXVW7JcpwfAQYBj0Ir+6VhULdliOi+GIO7LEJcjwXwj8xCVV876gTYMGyDAYLZD5oElOVW&#10;6NWjZ8wD4MQksgQVCtbdyOgiBdbyvXemJRtFuM3mByk4VLe7cgR8UDZPxjAvj+VWpB+sgJNcZ99w&#10;vhtevdJ5kxg8Pn9HhtYmtJzbOj/CBMDRm7pUZVPgdNKh/cx3qtxbOUiadwJ37t53agZv+2c0L3jy&#10;Nm/7mbZdRy7jjZ6FqOKTg2q+uajaIU9jHkbPOIpeI3YjacE7qC4gpUqbTPTpuhwnIxKwrXMnvFZn&#10;EBoH5KNT1wyEdF+CzyPjcb5HFwwsWx7xVWugxbPPYlDuLKSf3aheDnqcaKyZwNIToHFzaDQ2rp1t&#10;eDne+WF7KPGIHUNsdvSZY0P/hTb0nGVHrW5CnWwIW/MDeKJx4XYXA27v03CZgQ8FTka5FRpdGsVS&#10;ja48B40ugdM705L0pJWl0RUAwUSW69fM0eK6pQWek2jYCD4yHUvxefxwz4BTkFGuh9s3Vt4KA/Tl&#10;49isFD31ZzkWAhhodFduWqn9Qvnc8SXxOgEDtzC/GzrE4P0EYIjAtYhIfBw2FJ+GRQnFYFtKOuKy&#10;c1Gri4yjzLXYIjtSThvgl9u7RrkVC/Ah93oQMRiHnF4b0zEUIu95OzM0rugu60h6AJzoeaMHTL1Z&#10;VgBSvsODBkyf4b4fipF6nAZr8W79vfy2JM/ixFQIDCL/dOwomR8Wc5v3DQ3FJwLCeRrVNYYaWyZz&#10;OVTemSqyQGofvFm39L3tn9u84MnbvO1n2r6/fR97j19Bp8FbUbNTPmavPoUrV29pTBWLgH5z7Q5W&#10;2i+gS8wOlGubi+adMjCix3x06LIOFX0ZJ2FDJb/1yO0Siy5/+TOeq1ERDTq2wOsBbZGwNwNJzPNz&#10;wo7jM1P0OLqpoicJiLkhBic/x1mFXhQ9/7JEDA1HCg2IGnA7kmXlzJiTfoPXoGIrGzrGC3g6awAn&#10;xrqwvIcWQTUzXJRHDOPbLLdyUIyuGH9To3vKSOZ5ZvJ43LMCZSQ+T8xQ2HIWIOltC/AhRpfgIz93&#10;Ab4bHqtxO6ay81pwiB7Z5xF/Balu+LqI21+U/ZSAxLuejIXwZqFhnmSkXKZbmGKUCcx2Lpv2gyeu&#10;VNnl8wgByKERSBo0F60G5aLxABuqtbehfk8bEvYLv/NFCsJu6ClPK/BhZA3fs3jqI6+eWT+MPbVe&#10;C2p/QmBt1cck6YcvRsdpugA+o9kY6ladjMOm1bNwQz2sFvzpcYqMFKA1X39rBspIzIhPEMTtN4+y&#10;ysv847YvA89dW5jcEp1wyAG/CXbU8MtFhTbZWFf0Ph48eOjUCt72z2pe8ORt3vYzbgwo/+iz61qY&#10;mGCqZLt9576CKSberNnZhvLt8vBSi0zU72JH4x4FqBWwEQ3qdsB//L//QK9ZCZj+0U4FOwQaDEhm&#10;vNH9YAtFTxJFf23YUGQ6FhvGmsBJgBczVNNw8KSeKyA8WQwBvQfHcqaiKHQiyrxVgDZxdiR+UIS1&#10;G5bjO+HjaZ26o3NSMemozRx8yCqdoIz5hWiM7ous1s8ThusCBI1j8lalOgyv0Pp1c/H9UE/LaYSo&#10;pyVZQJknnpZpB7K1/IZHsgeF4NK4UboNaFkixQmc9i+YLKCMgNIa7CA6HPbJ01G/Lz0fdtTrZsNb&#10;UTZE5Nq1n7etnOEE29a8Hsh3uN1FGa36gVnll25epSVULIE1SfqYWcN52pHz2bIfZA5tXzZd6zJa&#10;AieZH3ejBgtYXqjA1ow3Kf7sBj05+J3MKU+B0/n0CXpqluPj4p8uC4z+i+yoLO9xw64FWJh5VtOi&#10;eNs/v3nBk7d52y+kvXv+a8zPOKNAKnXR22jRZyMa9cvHsO1ZiNs8Hwm7MxTkjOfR9WM2PfFkmfyS&#10;JIqe3hZuD7FQr0vRT31/G2ILFqJ6+zfhMz5Sy5ZMubgNafL5vrUzcHRgPLr5rxRA50Dr0Q5s2rxQ&#10;DTPCgo04LHf3IjmBExMEEjTR41TcUJWkcSLTVAFOPPpumkDSRQSCcTFYwcSdFuU0kuT+NJ5bVs/C&#10;Qxo9Gl13PF3klJ3xY2MFWNJou+PrIua/miHA6TN35VbckXznM3nOWWJ0Cbrc8XQR+42yH5mbpkDD&#10;EowQ7Mh3tq2bjZGHivB6kF0PAAx12DHtowIZ2wIcW+pByRKS8Lo/2ChoPV7kTLLoB47Dyo0rdJ5p&#10;/JQ7nsVJ+uHTCaO1ADTH3x1PF7EfCPj3LZqsY2PZD3J/niLNLFiqgK60RLVKci3h3AYF4Xfp1SNw&#10;csfTRU7gdGpaMtKOMf/U42M4/aIDASl2PNcoEyvyzzvfbG/772he8ORt3vYLbJv2fopyrXNQJzAP&#10;beMcGLl9PdJOF2qBX6YG0CPqgyyMtSj6B6LoP48fgSWaRfkH4JQqoCKmYAHKvlkPv/7Vr/Dac8+i&#10;bvOGeKlFA7zVpC4uhw2Bf8AavNKpCDU72VC7hwPJA+Zgcc807Bg0Dp+FxYpxpaEpZshoWMTosiQF&#10;k2VqnbhScgspaYxTkXoeuIWlRr24/CWJzyPGjfFKS7asVsPolq8Qn5PAjXFQNLp6YsoMODllp1dj&#10;68qZ6qEx20Iif3q8GNvzBU+qWQEn4U+v1IXUsVrbjrFd7viSVHYZZ57Y45asJWCQa9yGvMOM5+vm&#10;YsLZQoze58Dr/RlPZ0PzcBtax9nROiofmb1TcC2M2dhLjF0JXt8PiUZh5lz1qphtd2k/yBiyoO71&#10;WKbHsAYfLBXDfuA251iZ0+74ksib4JWeSxaMtgaQIrvw/m5YDNasX67xS+ThjjeJ1zgOjP26S75m&#10;wInXZQ7xVOmJWSm6eGHfFOfHmpgjttrRJCRPE5buOPSZ8232tv+O5gVP3uZtv8B27/5DrLRdQFWf&#10;PJRvno/OiXakvG8kMuRWh0fGOixMV/eLtq9RkOJS8pNoVMQg/vaV59HgqT9ievPmuNq/P/JbtUb3&#10;F8ug9q9/hbxe8ajqV4RqnW1aILiWbz5q++ahtl8+ashnbwVkYl/QGNx1ASincbkZFYUtq2aq0bMK&#10;3iZAWLqF8VNxYnQ9ex6CRsbUENy440syjG6hxiodmitGN0xkswJOIjsTM27ImKsg0zT2RoiyL+MW&#10;FcutWIE+AWTcJjs1NUljvzRbdgmeLqLs5M3cSCenJhvAycxLRNmF9/VY1pZboGAg2QlY+863o0Ev&#10;48RkjY4CgAMETHVyYGDXpbANSMYtZsMuAX4JnL4dHoP8vIWWwIl9xC3RPPkut4QtgZM8B+PB2A88&#10;5Vl8TpYkF3BixvOT05z9wGd1x5ck1wismcCUderMMuKTKDtp4+qZujXpCXBiOaDD89IU1JYETjxM&#10;MXyLHQ375aNyu1wMnXQQ39/xnq7772xe8ORt3vYLbIyP4sq1poCWWoE2hGQXYPX2FRqo7Ymx5gr5&#10;PVndz9+59jEvBz1Okbmz0XdGAp7+r99hXqPGwKhRRt6k2Fh81q8fWj33F3wyMAST+85BM/8sdOuy&#10;Cqm9ZmJ2n2mY1nsaorstRNXOdrzun4OLoQIeCKBodGOHqudDPU6mRteII2KizG/iYgzD6O45XKTP&#10;EyHPM049PZ4YXYKUIwKcNDCc4MkdX5KCjzAtFcPAc/I2BU6UXa5niOxfc4vKUvZwTVlweG6aUVuu&#10;hNEtTi7gNHvPOpxNG6/bQ1aAQWUXOfLzFqgHyCU7A5d5XD7aZtdUGT1n2BGdZ0frIfko16EAlTs7&#10;sJ2ZyCOd8gsv9hW9aFmOxU7g9KSMLuL4MuauUMabRYEtt7sIPuQeR2ezSK5NPaju+JJcYzhfFgr0&#10;UHnSDwTWHybGy+JC5oeFx4m86ZFkLBfnlZ42dMeXpH3szPzOjOcETjK/i/NLkX5mMfE2cfla9Dd5&#10;/gl8cuWG8032tv+u5gVP3uZtv8B29NSXaNFvPSq2yUNgug2ZRUvw5ahhHhnru/L39NREzcNUPCCZ&#10;pT0S9q5DxQa1EFGzBma0aIEP+/b9oZ5YZCSuhYai3Usv4XT3LrgXNQRbxMCeDRkhPGVlL3Q/Igyn&#10;I0ehWZdsvOxbhJPBo8W4BOHLkcO0DAkNk5m3gtcpjy17gYAtZt724Hki5HmmJGqqAyvgxFNPzB7N&#10;7S6Pkl+K0f9ixDBk2RYryLQCDPQ6MREij9ZbjoUYXRY+3rV0um7zmOUX4n0JnBZtW4MPkj0oM+I0&#10;6tzCZMJMt2BH/p922qEFabtOtqPvrHyEpmaiqo9Nx445oRAlQFzuQ+8LvXpW5VZcwIZFlHdqElAm&#10;MDXpY5LIeUvmFtNpuPPaFCfDq1eg3sWLSQnWwEnkvi/yE2zO3peltQbd8XURt3IJYlkC5z7TKIhs&#10;bvmSnH3MIPLtK6YrWKRsj/F81wCpXeUdrdAqDyHj9upJWm/7729e8ORt3vYLbAff+QINuxWgbFsb&#10;EtNX4NoYD8utRA7WchKz9mepkXq0AhfDT/DULKYf3vrLX3A1KFjri2l2btfv5d9fCXiq+oc/ILpG&#10;DSBGrmt1fhINSSi+HDcMc6ctRO2udlTxteNC0Ah8MSZWvUg0LGbAyQUeinhMXo2uhbdCnueO83lm&#10;7st+/HlKkAs4MfP1GWaFpuHzADhdih+BNUXLFGSaAifKfsKBgnVz1Zhayi7XmY9p86pZ+jtPgNPK&#10;TSvw8TiWGRHepoAhQsvJMB0AwU5pXiImaRy9044e022o1tmuoKlBt3zU8ctDWLfFAnxHyn3CNN8V&#10;TznypBzBhRlw4r2mHczRgr0cG1OvDUmehVnWmWaB3h7yd8ebpMBJrjNdwMXEeANAWgAnelhZboVx&#10;gGZxZCTKTo8kC0BrRnwr4CSyfyXAmt5UBU5uxtDVx/V65mlm/tPvecuv/FSaFzx5m7f9Atvdew8w&#10;Yc5xvNw2H6E9lhjKvnh8SkkSQ8ByK/sXpLstP8HtuqRj+agW0BrN/vxnXArmibnHgdN9+T1rxP32&#10;X/8VSQ0aGOCK19SQhOKTsSORsWkZYrYW4LVeYozb5SMnMg25W5Yi+YwAG+aGknu5yn8UJ4ID5qTi&#10;MfnrnpQs0eeJxAF5nql8HjOj6wQfzD/FdAFGnTpz8MH7fyjgY5kYajNQRuK9afi3iuzXPAF9cv3b&#10;YTEootFljTMTQEmwSdmZINKjMiPybPQSXZg0Hku2rilVdo4BP/dPsaO6r02LBg/vMR8Dui7D7L5T&#10;8V7oMOEjwEn6grX9XOVWzPqB9yJIOTZLwAdl1DnpRkYXsR8EaG5YaxTJVfAhQNIdb+0Hub62cCk+&#10;ZUyfVT/I/KAMRwUIEcxRNnd8XURgNWtvFt6dmqj95wmw5hZ5bt4i7RN3Y0jgFL/bAZ/4fFRom4M+&#10;w3fipjctwU+mecGTt3nbL7S9ffYr1O9eiLq+2TgUlCAApxSjLYqeWbZ3LGO5FSZ0dG8EU94uQLRj&#10;Pn73/J+x8s03NcbpEY/oaDwQsNS7QgX867/8C7LbtDHAEw1JSBguJsWLsV6lx8ZTxGhwm6LyW/no&#10;FJyFhN12jD0gBvC4YVCSjhkBtAqixFjSsKUes2P34im4ycSMZit+kvN5mNPHSFBp7rUh/7VFyzXV&#10;gcY4WQEneZ7zmtxQAIP81gww8Dq3mnYvmmzIbrVFFRKKrxlwnbtQf2/mieM1ys7vfjlCxoJeHDPA&#10;IAafwJAB1HN3Z6ps9Na4482tpPiDBWgyyIZy7R0Y0n2hlgB6PywG3xGEK3AyvDY87WgJnE4VYfbe&#10;TA325jaqJ8DpK+kHBpNTRk8AZE7+InzOrWmrfpAxIHBi7qsph3MtZedWHnNqMQZQE3d6AJw+HTdK&#10;PZJG8tUnZefcZibxgBQbKrXNRdCYPfq+emvX/XSaFzx5m7f9QhsTaA5LO4RnW+UjufdsAU9uAsUF&#10;CFwfOkSr9zOuhkaqNEOSdmYDRuxei/969QWsa9YMiIszvE8Ckj7q3x8zmjZFzaeewmtPP423u3UD&#10;oqIVDJwvUdeNhnn0DjteH2BDlfY2tI61oU2cDd2m2DBomR1dBFiFrrZr2Zjxpwu11tuRuZM8Lh9z&#10;47HyMdbAiYk/GeiswMkUfMg1eZ6TUxIxc2+WPI+1p4WlYnhM/nsCBivZhffVkXEqT2lG10XcBmR/&#10;0jtllBmx9rQQOB2fnYoZ++mJK112fs5+X7V1JRLCF6GMTyFe98tFVI+FWNIvDceDRmpB3mPyXPQk&#10;ueLQ3PEiMc6M439+0jjDA2oGTknSD6zXt7ZQwIf0gY5hKR4n3pvEcitfD4vxADiFKXjjNmDaEdap&#10;M/c4jRHZGUf28YR4mR/C20x2BU6h+DgxXk9SUm63W5jyGZNhxm1yoKZ/Lpr2Wo8LH33rfGu97afS&#10;vODJ27ztF9oePnyoJ+6q+BWgvf9qfB7GbbRicU+i6K/HDIEtm+VWuD1kGM4nlL0QUxOknt+ExgMC&#10;0KdsWXwrv3+nZ0+EV62K+S1aoFf58mjy7LOY2aQJ3unRw6grFxyqWzqsjO8CTi5+9CxF5trw+kCj&#10;cHC1TnaUEzlrBNhR08+G2v429FvqwOx3cvHu1CTcoWHywFuhz8PyMe/YTcGHAqdThcjLX4hvRvwV&#10;5VZmpiDdA28FeU/WdAEe1tiTvroiAG7lxpWlG10nESzwtNnWVSwzEmWAMjPZeV3o0Lx0PeJvBnb4&#10;OcEO83p9OWEEPg6JRa8uK9BAwFNdvzytpRggc6lo1gzMOGpdp44pIXiC7SMBFIbXxkROkrMfWG5F&#10;54xFP5AYF+ZRP8h8vxfJOnVzdBuQfWwm+5gzLCXEjOesY2gBynhNQN/F5DH6vJwfpXn1CARjixxo&#10;FZOPV1tmY+qyd/Vd9bafVvOCJ2/ztl9wYyX2/qP34LlWeZjWezruuoK3RdGzTApPibkMYGmGhEZg&#10;8vktiJ81Ds/97re43Ls3jnTrhupPPYXwatUQW7MmhgmdEzB1KyoKDwZHah4pgh6u7umBccc75V07&#10;Ru+yo/eyAoRNzkJq75lo2TkTNTrZUKdDHuqEFWJ7SroY3RBzw0WS59HyMfbFehTczCjSaBJ8EGTx&#10;mLxnwCkUB+emqdG1BgyFGjf2vpZbsTC6JGYNHzcaC3Qb0Jw3701QsW/RFNzR7TML2Xldnm/fwike&#10;yi7AaetqwxMnYPSBzJfLobE4GJSA7P4pqNspD5U72tFvjg2TzprzIvhYvG21JjD1qNyK9MOVhBHO&#10;dBLmY0iASWIy1UdFlM34y/xgDBy3Adl/pQIbJ405ux6rNizX2DNPy618kDIOs/fQI1m67JPOONB7&#10;NuvW5aF86xyEjd+Hy196T9f9FJsXPHnb/7+98wCTqsr2/cs53fveu2nuu3fm6ow6OsZRR0fHAIjk&#10;nCWnTtBNzjnnnHOGjlXV3QRJkkSQJCBZxRzISk7/t3+76mDRFlWF0NDg/n/f/iqcc9aOZ6//WXuf&#10;tRx+4ZiZfUCPlPfppSqZOpWCT50EnerQ1iqHWJ6wOcaej7UZk3SgQQOV+tU/qtHvf6/H/vqvNeX1&#10;13WpUyddatdOl9oaJcMSHorEKMFtYwZeU/TRlGAfiMaOHH023BCNlOY6nNhBexM7qkWdafrrssuV&#10;WW+glJYQWWl5yRCUUx3aaM4yvEL/6AU9UqI+WIUWLxqvi6a8cREnUx/IB20Vk3wY2XgAJ6r+VXNd&#10;VNmkZok63L+7Rm3KsoQuKmEIteeWsQN1hbcd4yRO6wzBgMBGKzv/Uz8cRB4lsO010tfChqW52tIQ&#10;qdRETWowXL+vkKtXEgzxfSdgl2AjyYM48dbb8U7tjawY7gJIEEhDsoj1xniL2Q6GIL83eZiu4LMs&#10;VjuY/M+3StO8pbNNuZZa2dHkdzPEaWH+DEu24otjmKSDQ3vbUDE3elAgDdmXq5T0gB43DwZ/rpmn&#10;Wb4DOvXDBWd1KqJw5MnB4ReOE6fO67na+fpzpQx9n9BKJ7q315xVc9V7342VFP+z9GCf7meO0lWW&#10;W1q0tK/wr6hcWe2eeUYnmjf/0ccTSsQosUvmKX3TpKFWyaPkIskmIR/rAsry037drPLEpcGltOb6&#10;KKGjilfLsEtEm5r10DVHjAWTyRPFfMwoe16TjyfcCuRp5dwxQVcEEKdIcklh9WEjfZBkRq8Pm6In&#10;rF1ol52C9Ykg10tGPop/37C+Gro1uu8iW3arlAPaObq/IVyGOFG+SHJJXtnN9xVzx1rZ8Sxhzl88&#10;Syc7trdkNKLctERtbt7DBgt+oqJfyQv8Grr/elnBfl2shXkzLUG/oSwv2XZIsnuKRmzKtu0cLi88&#10;eX04YHtAW8YPtqQl1h4kSCAOTGesnG+D90aS6yXkQ77xw4VfMpaBI8olhdoY55q7R/UPejyP0YfD&#10;D+WqwRiffvViho096VC04ciTg8MvHCe/P6+STZfp8XJZqlt5ptoMW6i0pfnq8k7Abl6NNNFDfNhA&#10;vmnSsCDJCPey3apV8E07z1VBSJGwoXvt9BHXrBwF5XrJkz/5nfn6HL9EhkRcTU3RsZRWSm800IZu&#10;+adKS9SpzqRQ/LtQvuEJpWvK9aW5ftoqwq3EIk55QeeGU4fHR5zM8bOpQfKBFSWadc7KN3W2+4Ss&#10;I9IYxMko/ItG6e4a2V+DtxviZIhLJLmkYNnzrVNJlkGtbMoXSS7JHMOaxnJk/qKJ1opzo7Ij23uT&#10;Lds3VT/YEClRfIGlJmpL8276Y+Ucu9G/RAtT9k25NiablWXyoV9zsibrDF7DYxEn0w6XTDvsHdLL&#10;1i9aoGOvjYe9n63tYwYE2yEGcWKpECvadDM+ohFrki377jwtTp8Qd5w6L9zKYAL8xiBO/U0fz145&#10;Vy0SZui3pf3KWPJx6O50KKpw5MnB4ReOy1euKmvZJ6qQtFzP112qx6sG9FRln4ol+9VuSXDppb95&#10;mu+7zZApM9ETAX/kpmzrDDCuuG7m+A9tWunteWOtgoOoFFQgXkJJYQWZt2RmyEKDsk7R1yltlFZn&#10;qo2d9kwVv9rUmaKdzTubYxwvoCRRukZ54ZOJWH3xWCtGb8zQjtFG6aJw46jPybZtlJs+0Sp0NtJH&#10;kk0KEoZczVkyy3pJt9aQSHK9hNI1efDWG9aKeCxOxGfbN7RPkNjEIAwQp2OdO9jX9oMezyP3BbIt&#10;wd0RUF7GJH1vHXfGKnuyTrdMVe/eM/RE7Twb8LnLamIdBgnYwB1+LVk4QWfi8WVl6kE77BhDuJX4&#10;4tSNxdXB8L7BNqafIsklmWMQJ5ZOg8Q6utdwW3ZDYlfNHh30PxUHccJx57rpIcedUfrQElczPljC&#10;7NZ6mh57M1N12q/RkRPnQnenQ1GFI08ODg66fPmqDhw+qdzVn6nD0M1K6vWuHiudo9dTfEqcH1Cj&#10;KX7VG+tXYkauRrxDMNV+sZ1FWkWTouMd2hgFPDGmxQlFgiLM8k3RUfwSeVaO1GT5G/fXw5Xz9FDl&#10;fDWsNVO+Jv202CRCuxDW5RqBMuWx4VaGEW5lkSUIkfIiBZVuvg0zs2e4IR+Qpjjq850hQZCPaFYb&#10;EqSK4+n+qaYNwupzo2TyP4vjzklDLWEoGOMsPHnECXJ4yJBEK5vyRZJLMscgTt/06GQdRUJGopcd&#10;y6LPEt4zbeKILWdkn0ltqU3Th6nvymw991ZAz1bzq/MqI29fno03B/k4FxdxCgaAfndyKNxKlD70&#10;LGP4CDs0IBSnLlofmmO81QexxnFnNFJGYrwO2RKySDI+eKsuklwS7W/OOdm+jVbMj8fze559WzBn&#10;yTRNbjNGT5bJVOmkFdb7v0PRhyNPDg4O14GgwZ9+9YMad1mrJyv69MdqPr38Vp5eqJWrP9TL15hO&#10;E4yyQEnFsNAYJfldF4hG6A0moywiKRESSgpv2bmZE4Nx3a5b0knWzoTOeqvmHD1WOVevVcvUG1XT&#10;9UxVn+rXmq33m3fTVd4SxGqTmqodhFshfEzM5S6WBhdoP0FyUYxx1Oer7jcTbgWrzUSdwGoTa4nK&#10;KGXi1K2ZMcoSp1jWOdqT1+Q/7dPNlCs2YYDo4g5g9rLZoT1OkWWTKDvLZGtnjtQZvLVHIwwk0y7f&#10;t2mlVbNGa/CugDq9m6eXGvj1ZHm/6k/O1ZhtWdpgyMd59r/RzpFkeMkcx0pJUN1grLfoVhvaae6S&#10;WcHlXUhZNAJpZEOA9gzrY52ARtuDRKKdvFAx1mt4tLJb4pRsgznnp0804yv45mIkuSSO9f8gT0v8&#10;k/Ruh74qXX6unqu9WCs3fhm6Cx2KOhx5cnBwiIgP9h/T0Om71GXEFs3KOaiW/Tbqb0sGNLDOWLu/&#10;JaISIaFIDFn4MmTlCBKnyEqEhALEwoCV4xTBfH9imTDK35Cj95t3V9+641St6hxVa7pI5Tv79VDF&#10;PEuqvmzeVpdatwiGWzEK7ycBVsOSRz545f6jQT3t3qjYFqckHe7TVbPenmuVKuQrkmwSy4DUZ/mc&#10;MZYQ/bQ+BZI5jiPLt+eFHHdGUboQUPKnXb+MJ8wI9TL1I7Yc9aXeUctujkMYaMdzrVKjEwaS6efj&#10;7dvYmHxYgfqF2r32ML8eLh1QueQsfTBxYDBOXTRySjJ1Ia7f0gXjrQPU6O1gjpu2IOwMhDZmO5h6&#10;sFcJP1zEMYzVDpDjse9maOeo/rpMueMg1t916WC9uSM32lKu3dRuiPXSjAn6skMntasxUQ+U9Wvs&#10;3D02bJLDvQFHnhwcHG4IXpX++rsz1h/UbP9B/e0bPvWpO15X7RtuEZQVyjoxSZ/27notrls8xGnN&#10;zFFBonFDKwd5tdDxhJZan9pLo33zlbQoV4+UzdXLVYyyb9FLm2fh5JFwKzGsFaZMWGB4iy+upUdD&#10;EA4a8jFl9YKYxImlNixHG6YO02kbbiUGcTKyj3ZqL3/W5Gt+liLJJUEWyJ8lw++6doiDOJm6GdJw&#10;YEjvuELFIJv9U1juCAAdD3Gi7Bn+qZYseGUfdiBXyQsCerBsnmrVnqvLaaaMsYiTkQWBpB0s+YhB&#10;IDmelWPawRCW2MQpWRfMJ9av4Ztzoi6HkljKm7hukfYP6RV/nLruHZWRO/3aMmIkuaQgsQ5o9VxD&#10;rNu31uS6w/Rw2WzV77xO3xw9G7rrHO4FOPLk4OAQF3YQC6/uEpWqPF+fJbU3ygMCVUCRGOJ0aED3&#10;kENHQ5wiKBAvocQgTu9OCcV1i6msk2w8s+zAVA0/mKv2ywN6pmZAfy6TqREjpmvMzuyY1goIAj56&#10;vu7ZKW7nl3sN+Ri7PhjrLRb5GLzFp/fHDbJvWsVTn2+6YZ2bafe+xFrWRH7+ognBZc1YZQ9t5OcN&#10;vHGEijHX36js/M/eMJay9g7rG3ybLBbZSUi0gW1ZMkO2R5CJx9Z7c65KdwjoofLm/7rjzPkxCKRp&#10;4xMd2ykjEHTISuiZgmX0EseJf8hyaFztYIgNRBAv44N46SFKO5DYPD51tRnffbsHvYbHJNZJNk4d&#10;PtHov2gPCvQfxJr9U2fattTOpl30QoV0vd7kbX148LiuXHH+nO4lOPLk4OAQF4iFV73VKv26tE9b&#10;bSDhMPJkFUmi9g/uZaPLxyIaHIc4vW9j0sWjrInr1l5zls5Wvz3B0BYJswN6NcGvR0v41HSaX0MP&#10;Rc6LhGUE5ZXtm6JjRk58xCnoBd0uA8ZQur13L9aQ93O0c2R/XUB2HPX5umdnTV85/zryESl5xGn5&#10;vLEh61yMsnPckKdt4wbbtyKxdkQnToRIWaBPBvSML7Zc80R93a2jpoWWAcPLPnRvrhpOCFhfTyWq&#10;putzSPaN/HCRTDsc6dTekI/ZRlaoHaLEqSO/JQvH2z1W8RIn3AtYa1UUckrCXQEbz7/uboh1LGsW&#10;xxKTrQNTvKQjO+qDgik3+8h2mD45l2auT0lW69qT9WA5v2b7DjhHmPcgHHlycHCIG60HbtJvDHlK&#10;bzToR6VoiUaSdo3sF4zrZhRFdKIRDIj7waj+uhjLQzPJKGsCwaKs++0z1+5nT01AT1Xy68kKfr1Y&#10;z6/2y3I1ZE/k/FDIlCnfKNG4wq1AHgxx2jJuoCV4sawVkA/8C+0b3FuXjEKNh3x82bOLJoUFQ44k&#10;l2SJ04f5WjNjpM5RZshNtLKbul0x+WPdiFV2/ocwsAHexmeLJZvUPMHutcLZJ/1YUCZOMct1CejB&#10;krlqUGuW9iR0sT66cDfxE1kQSENUsPRQR/Y5FZTnJdw90Fb2jT1vSTFaWU0/XEhNlT97sr0uGjkl&#10;dd+7VHPenq0THeMNt5KsA0P7aNyG9KjklIRVD+L0oSHWlxgbLZJ0NiVNxaoutC9AfPbVD6G7y+Fe&#10;giNPDg4OcWPxms/1SEW/GtSYoR+MAlALo8SMEtw2dqBRfsG3o2IpEiw5hwb1sp6jYyvrRH3brZN1&#10;J9Bn/2L13hRQzcEBPVkpR4+UytJjZXx6PdGvXu8Z8rTX5FFASXrEic3oFwmnERdxStLGKcOsUoxN&#10;nPI13NTncN9uuoLX8Djq82XvrnYpDdIVTTYWKcpOmJHLKPR4iJM5DsHABUOsskOcWDL8nvhskL5Y&#10;ZW+WYJeoiMtHvSPJpg+wCD5ZJWCDOf+pao66151gHZxeR6AMOf3SyBqzMdMulVlZUS1OeVo3fYT1&#10;6B6zHazFKVWZgenWD1cs4oRncQjkmVZpcROnPcP7aXiMcCskOz4McTpoiNYV28ZJOmHaovtbE/TA&#10;GxlK6btRZ85dCt1dDvcSHHlycHCIGwcOn9ITRjE+WTlHq5v01pWkBOuXCCWCkoukQEgoGBQJS3qf&#10;G/IAiYionLxklNTVZolWWY/emGWIU74GfxhQ5d5+PVw8R8UbLlHTbuvs5+/LZ+qVxj7VGOS3zjwH&#10;4tQz9LYWDj3fmUX4GKNwIU6R8iKhFM05lxOTbLgViEU0pUt9UPqj383Qlz07x1cfQxgO9+tul9Ji&#10;ulGgPc3njlH9grJjKHRIIbH4li6cECQMYfIKyuYY58xZNjvkNdwo9UhyvYR8U4aP+3e3gZyj+Uay&#10;RGJfnnrlZalao4X6fcU8PVh5sfYndDGygsSEdvjEtMOwzTkxHZhaAmhI+eYJhFsx7RDNqodsUxd8&#10;SS0wZCiW13Dkc06mf5oNVYMPr4hySbS/GR841/xg7CC7fyqWHy7GO3EMCQgMIUfGZUMgx9cfoV+X&#10;z1O5pLe1c/+x0J3lcK/BkScHB4e48cW3Z/R0jTy9WildnyZ30HszhwcVfQzixDnTVs+3+3ziIRos&#10;f2GdGsky4L7F6rEhoIo9/dbv1KNls5X/zme2PO/t+E6NuqzVs5UDeqKcX+W7+tXnfUMQjOLitf8N&#10;00bE56PHnEP4GNwFoNBjEScsIdNWzNM3XeOLU4fFZP/QPpY4oVQjySUhGyLKW4P4I4orTp2pG8uR&#10;gczJltjcqOzIhjjRV+m5M3SqfXyx5S4aQrnXlGWw9fQdvezIHrUlS/vH9FWnmpP0q4rL1LLONJ1q&#10;QVDo5GvtYGO9xSBhyBq2OVsf4Pkd8hGLOCUl6Vin9pq9bI7pw9gBoOlDvKfHG26F896fEHLcafoo&#10;klwS+TLeccL5eR/CC0GcgrIgTwPrjtWvywbUf/IO+zYrb7K6PU/3Hhx5cnBwiBtM9J1HbtEjJTNU&#10;v8UC9X7PKIEPb0ycUFJs1mWj97eEW0GRFFRO4SmkpHaN6qdhOIvcm2+jzeM36PclfSrZeKkmLNyr&#10;c2FLHSe/v6Dl736hv9TJ1x/K5aj9KqPAd+RYX0XxOTdMsRuQcW6I0o1GnLz6zM+fYR0ixlOf80bp&#10;41+IfVHxKF2sFXhIt5YWyhdJLilU9lMd2iknh3Ar0YkTm+Zx3og7gB+s4854yp6iLWMH2jAj8ZR9&#10;zLvpOjSkpy41S1ar2lP1UKU8G4twWZM+umiIA0TIek/fHZs4jdmQoQ+9dohGnMwxljW/YgN+HOFW&#10;7FuNOwJaPneMLkFq4iBOeH7fyD6yuBx35tvx/k13M95p4xBxsik1SbsTuuhPlTOtU8xuo7bKv/Kw&#10;jh534VjuNTjy5ODgcFPYsuuIXqm3WA+W8ispPaBhB4OvqLNcxme4IkERZvqmBgPixrRypOiMUVar&#10;+wxRl8U+pb2drzZ5fnVaGdAbqT49UCxTGUsjB0zlyb1s4tt6pHyOBuYs0q6JA+z+n5jEySjOYx3a&#10;KjsG+SChdKkPUfV/6gU9QsIilJam96YMN4TBkI8oyzxYhFDKE9cu1MFBPU25ULpRCEOobke7dlBm&#10;YJp6xyJOhowQyHnZgvH6gaC80QgDycg+k5qqDabsyIiHOFF2GyrGEspk7UjspK5vTdSvKy5RtWrz&#10;tHnUIA3bETteH2Xl7T/bDpCPqMQp6DUcP1zsiyNkTiS5XmIfGVa99dOG6zJyo3lPD7Xx96a98ENm&#10;PZ5H6UMvHM/C/JlmvEOcIskmZl+qfI0HqFa1WXqp/CI9XDZHWW9/EhrJDvcKHHlycHC4Kew6cFzF&#10;GizWI29mq+l0o1DeD6j7+oC6rQvYKPoQKPYaYeUIZE7SCUs0Yls5CAWS0Wm43kj26dlGfr1QP0d/&#10;qpejFxvk6PGK2fpz7TzrDycSrhjyVLnlSv2unE/zOo00T/hGcRmZEfMihYjTN106aFFu7I3FKHT2&#10;UREM2HpBj1WfpKA1a+WcsTbsTCyP5xCKGcvn6pO+3YKyYxAn9nB91bOL3fDNtdGIE4SBt73Y+3U2&#10;Lo/nKdYlwsrZo64t80WSTeI4+fMm5CeEigm3lqUmaGvzbnquSo6eN6nR8Gz12JavgTcoK3UgzX57&#10;jt0TFbMdTBvgWoFgwKM3ZkZdBiRB8NjkTbiVYJy6WBbJZDt2l80fF+zDKO1g3SCYc/AwfrQzjjuN&#10;7HCL03XJyDYPCp+ltFHvNlP0q9LZ6j9xhy457+L3FBx5cnBwuCnMDRzSr4st0qNlsvVKYo5KdchR&#10;iTY5Kp6Wo6r9/Gqdn6tBH/iVmzHRBkmNbeUIxkab3320Xmvq0xOV89S403ql9H5Pyb02KqnHu2rR&#10;d6Pm53+kU6cvhEpxPbA8DZ+xSw+U8Sml5lSd5E1A65U8Qn4oxsRkfW7Ix5yls+w+nmjEySpNoxiX&#10;zR+rU/gXikk+jNJt10ZLFk6w10clHyZfyMe8xTP1hQ23EsvSYo4ZwvBJ/x7XQsVEJU7m+CgbbmWY&#10;ztpwK7HLfrKtKfuC8VZusO6R5QeP5wdjy7GXrSDZSU3Rd8mt1aDmbD1cMU/P1AgocY5fgz6MLAt3&#10;BItyp8UXdsYQH1773zZ2gA0nE20vFol2gmDtGD0gGI4nJnEyZe/aQYGsSbbvo/UhbYRVaunC8cEH&#10;hVjjw/QfIV/2jOujQYvT9dRbPlVIXO48jN9jcOTJwcHhprB97zHVarNaFZOXq3ziCpVstEz721zX&#10;AABW10lEQVTlE1bY9KcauXo+MU9TxkzWyU7xEY3THVorZ/p4lUj16eGyPnUbucW+1ff516dtgGLS&#10;59+ctk46o+HwFz+ofMpKPVouW8ub9DXKO8JGbsiHIU4f4dxw5XyrVCEZkZQiCXLAfp93ZozUaYLk&#10;xlEflvSwuNklKCwSBWR6iWPkn+Wfpm/jCTNiFC4+nPYN62M3I0OMopUd2cRx2z5uUDC2XDTCQDLt&#10;cqJ9W/myJtuyRSd9ebZtCBWD9S64REUiD+pgUmqy9URfuvpC/aFyQE9W9KvZzIAGF/DHZWWZsuJh&#10;nEDSwTYOyYhUzhBx2jxxqLUkcW24vIIJi9T49Yu0b2ifoMXJtGNEuSTGh8mf/VPpeTOClrcbkFMS&#10;bcA+qFVzxtjlvZhtbMueYt8eHPl+lnqbNn6lmU+Pl83Roc9OhUayw70AR54cHBxuChcuXtGeQye0&#10;7cOj2mrS+q3faNueozY16bpOf1cyoHmNhxhlkfBT5RGeEpOsss7Ln6KOywN6okaOXqu3WHs/OhHK&#10;6eZw+fJV9Z2wXX9dzKfxDUfqalqB/K3FKUl7h/a2+2NiEqfdefYNMzaen72JWG+Z/qlWrt2YXECm&#10;lzhG/ljnjncMWSviIE47xgwMeXAP7r+KJJuE7PHr060/IuK6RSUMpISgp2+WMG2cuihl94hV3iIv&#10;RErQ4rS1eVfttC4JyIu6JNu37BJqT9cjlfL0TBW/2i0O+eMKyQqSsDxr4TnaCfIB4U0ObuS2MgqU&#10;O8mQD3Ns3bSR9o29aEtpJDaPs38KNwvBANBR2iFEnAjNgsPM4B6mG8uHtLGPbN10Q6w9j+eR5HoJ&#10;4mTaae204cEYjB/madCuXFXp69cjpbKVviTyfj6HoglHnhwcHG4J4TG5uo/Zqr8tka1FeCBPi2D5&#10;8ZJR1sc6tbNR8Qfuy1Pzebl6qGSWmvdYr4sXo1uYomFh/kd60DzFl682X0eTjUJLhUCFlHBSknaO&#10;7GedPMZjtcFb+vbRA+zbcvGQj++6drTOFr2Nw5HkkiAeyGcvTTDMSAziZJQum9/fnzhEI2y4lRsT&#10;J/5nCctuPB/cK+jROo6yf9u1g2Ytm20tKcTZiySbvUrsZcMaQ6y479k/lWLKnpqo/Kb9VabaAlWu&#10;Pk8zGw7RLJMm1x+uQ0kdNKDeWD1QLl+vJ/nVY0PutWW7/vYFg4DWLRqlo23aamezTnaZb3diZ/Ws&#10;O1ET6o/USetcE0uUKadpJ4jgyjljRHDdaASPBHGasXKuvurRJe44dSyHTl013/ZRtD6k/wZv9QeX&#10;Q724jDfc42QSZTd5LDdlZ4nPs+oNNkSyZWbAjv3GXdaGRrHDvQBHnhwcHG4LcFXTY+w2/Z0hTzmN&#10;BxrydAPLU0KiXaaavmKe+u7J1wCjRMt28lsF0tNcfyvAb06lFiv0UJls69l6XbMeOp2SpvOJLbV1&#10;7ED7mnw08kHizTW8oB8Y0lsXrbUiitIlNU80Cpo4dXMt+YBcRJJLIm+I22o2b6capQuxiUGcrpr8&#10;N0wdYa0cKN1oxIm3zQh38nnfbsElqmiySabs7LWa+A7hVn4an22wITpD9gSJU9/thvhs92nLtKE6&#10;y7UQJ0NKlzbtq5erZOq5Wov1TLVcPV0+U89WzNKT5bNUpuoClamxUI+UCqjOCL+GHzIycGJq5PXe&#10;6FfmtAma0WSoutaZYGU0rzVdFarO1SNls/X7Cqav6o4zhMnUoUWiLrZN1RLfRHst+6PCyxmeaIfu&#10;e5fYjedYAuPyGm4I5KGBPTUeT/ZxjA8sR1gBL0CYbB8WkBmeTP7nDcEKpE+0ssOtWRDJnhtz9Zdm&#10;OXq+aq427/wuNJIdijoceXJwcLgtOHfhspJ6b9A/vJGjKQ2H60qkgLBGWRPPjCWlXrsX2/0vrQMB&#10;vVjXr9++kalWAzeGpP18ZC8/rAfeSNf/ezPHKuQaNeaqWuW56uD3adD+6IqRt+5GbczQ4b5d4w4f&#10;81nvbkbpxg6G7FmciDt3yZKyG5Gb0H+GNOE5fN2MkVbhRiNOpL5787Vg+Swd7dFBV2K5OiA1S9Cn&#10;fbpdC7dyTdaOoFIndVpp+scXUI2Bfr3YNFc1UxZqR0JXc32Cdfg4q9FQPV0pR//v9XRNztivdVu/&#10;UddRWzVi1m51GbVFDxkS9NtSWXq0dI7ebONXj3eDb2M2nBjQq018qlhzgZ6o6NdvSmebzxxzfo6e&#10;rZFrXxAonbhcj5v/xjUYqaUNe6tX/1nqsMa0gbk+Wjt037dE8/Nn6QxxDOMhTolJliiPfC/T9k/U&#10;8WGIE4479w7vGwqZY66PJj8xSJwyQm90RpI9bH+u6o/16/+9nK6Bkz8IjWKHog5HnhwcHG4b+k/a&#10;oX96I0vFqqbrSFJbu2nYkgGjYK4mEdeti431hSJh70v7JQE9X8unP5Tz6blqfq15/+uQpJ+Ps+cu&#10;aXr2AXUc+r6erOLXo5Vy9VCZXDWfG7huv03BhNVmzLsZ+taQu3i8hhM+5uOBPYPeso3SjSSThMKE&#10;WGHZ2TKeMCMesQlPhkiZz6smsUSHK4KraS20ZuEY9d6Tr35YWsLeemO5a8DOgP2E5PTfl6eZvln6&#10;JK2TLjRHRksjKygzctkT9PGAHnYJqeCbaliG2pl+qdLHb/rGkNriWfqd6VM2Nf+utE9PGkKzplkv&#10;nUxubS1MOHucmXNQx0+dD/XAj5icsU+dh7+vsglv68ESmXo9yacyHfx6ukqOHn4zW78rYwhTaUPe&#10;xm3T0nWfy7fisDbu+NZeu9aMhd8Z4vXrUjk2GPXvygT0XE2fOizza9hBU3/aYWeuIeB8D7ZD9/1L&#10;lR6YZpfIghvPC9TdSxynjU1f7BnRL+S4M3ofMj5GGaJ5uH8cbhRoY0OciJfHG50QukhySbR3t3W5&#10;eq6+T8XqLdGnX7pAwfcCHHlycHC4bThx6oLqtF9j/S0tajjIkKcknTdK/HRyoj5o30ND3sux4VbY&#10;KMsTd+Mpfv3m1Uw17LzWvl13O8FerI8+/1612qzS74zixks5iuqanyHzacmH+a/f3nxNWrNA38Yb&#10;bsUoz91G6Q7eFoipdO3GYqOcPyBOXRhxYjnqrGkb0vctUnXetNUniR3VqNYsdag9UR1Tpql5ep76&#10;GdJFe3kyWUrrsCygV5v5DMHxqefGgOqO86tE9XS9WWmBylZfoJLVMrSg0SBd8shrWNkvG6W+Z1hv&#10;G74mkm+koaZfKvUM6OHX/Xqmst9aE5P7vKtV732luYGD+n0lv56tlKXGNWfosbKZeqPx0pjhRfDP&#10;Vavtav3BELCHS2YbohywriUg2yNm7QqddT0um/6bm3tITbqtU0q/jSqX+LYeLZ2tvzT2qXWAvjRt&#10;vzmgJtP9KpbiV/2pucrPmKArqRAniGNYn4Un2t8Qp4smbRs3KC7iBDmevGahviAuI30YiZR6CeJk&#10;iNup9m00a/kcdYtCnJDNMuRgU5fyLbP0wOuZ9gUMh6IPR54cHBxuGyBA9Tqu0SPlfcowyvuH1BQt&#10;NJ9da0/Qmw0y9EbXPLXyBV9ZZ6Ns6Q4+/fq1dCX12nDdxvPbhTNnL6m+Kc8DxTJUspVPnVYF1PPd&#10;gPpuDVjP5dUG+VW2Z64aDMrSR11QjDGIU4ohPckpdr/L4DhClnAca8X+wb2CpCxEnM6kpGpRo8Ea&#10;Um+MRtQdpRa1p2lGw6FKqxMMafJ41Vw9V2uJnqziU/kufttWgwzRY8kLclN9oF+/L+HTkxV8erlx&#10;jh6vkKNiDZepYto7KtZ0uR6ukq8/V8nS5ubd7YbuYNlTTNmTbYgUnD7eKDgx1rkm0wN6uqpffzDy&#10;JyzYo+Mnz18jSBlLP9LztfL0bO3FKtFoiaZn7bdvOsbCsVPnbSiS9KUfa83mm7cwbt9zxIytd/RU&#10;Bb/+WN2nOsP91or1eBmfHjfj7SlT1ln1huhg8w46Z/cgeZY3L5n/QsTpbFqaXT6FQEbrQ8/XFSTo&#10;2+6eL6vQWIiUQsTpm27s6Zur7nuiEyc2vQ/a5tO6OSOU03SgHimTo0np+0I1dijKcOTJwcHhtmG2&#10;/6BdamFpZ1aDIZpUf6ieq5ipP9R6W5VartazlQJ6tlaOUczsbcnRC9Vz9Xz1gNoP2XxLb9ndCLsP&#10;HleFpOV6oZYhI9X8eqFejt5I86nWML9eamjKUCVXfzRk5XelA8ppMCD6G4JG6RI8ePOEIRpsFB6b&#10;wyMpRRIbr7E4TVgXClliiVNITmqyVjXtrScqB/RY1Tw9WS1PD1Y0n5UMGaqUo0fLZ6ta2kotyP9I&#10;LfttNOTAr+fr5qj+BJ9a5waUtCCgP9XP1qtvLVa7wZv1ivms2nKl1m35Wl98e1o79x/Xy28ZmeVz&#10;1bXuBH0XIgznDYHYNGGw9VsVjTBYD/GGXCX0WqQ3KyzQY6Y8fSZsv25ZLmf5YS1c/JH1x3Ung9ri&#10;SJJ9QY+VzbZBoh8zZIPA0K0HvWddIfyxYrbeqLZQ+U366cuUNH2d0tqmS7Q77WCI7/ftWlu/TANi&#10;hFthnxnkKT13ug04HHUZkGSINe4QPu/dVVNWz1ePWMTJkLJhW3K0btpwXWmRpN1NOuuRcjkaOefD&#10;UG0dijIceXJwcLht+PDQcVVusUJ/rGoUfo2AnqlmyFKNXI2avVvb9xzVyFm7VK/9GjXusk5NTJq8&#10;aJ/y13xmSU5hgP1P7KMidhhLRPXar9VLtfP1SGlD8Cr4TLk+VMdhm/U3bwY0scEIXU1rHlkxGqV4&#10;ulWaNkwbYZfg4gm3Mm3VPB2+Fm7Fk2UUeGqS5jYaogfL5apk02UaNHWnfU29VMLbqtvBtE3XtbZN&#10;wHfHz6nLyC0qn7hcfzTk4E/1DfGsma3nqgbUafj7Nijysg1fGMJ0zJ4PsAJhyfuXN7NUolq6+tUd&#10;q73JnfTu9GEatDNglygjlZtk3RGYzw6L/RrSabL61xqrpypk6aEyWbb/igKOHDtnCfFDb2bqKUM2&#10;6d+jJ85pwOQdqmXG1uOGjBavNF+pNSba5c92dSZrQ7OehtwkWQ/geH6HvGBRitQGJCxC9CNxDOP1&#10;Gg5xOkCMvbWL7J6+SHJJwbyDAaDfN2QWp5lKSdSmZt0teeoz8QMbbsihaMORJwcHh9uGK1euGGX2&#10;laak77NvX01cuM+GVTkRslqcPntRn4U8hn9hUmFYm24E3Bh89PkpTcs6oArJy9XPkKkfzlxUtiFW&#10;/1LOrxa1p+pki1SjDENLPF4yivP7Nq21cs5oDdrmj6p07TKPIU5zl87S5726GOKExclbPgruPzpt&#10;fq83yvyB0j7VbvuOvj99UQcOn9TKjV9q38cnbbtcvvxjnLMjhkCxiXrMnA9Vs9VqlU1YrvEL9t7Q&#10;mSh6d7khVH+pm6/HKvkNSfSrccM56va2T93fz1OX1QEbp+/a3i8vmd/8nzgvoFea5ujVCul6s8oC&#10;PVMpW9VSV+mjIuIBm+XdxWs+U5WWK9Rh6GZ9eywY1oS+pE36TNyu0okr9GqT5Xqx3hI9XGWxaleb&#10;rX3tumhxTsjzezTixLEdAeVmTtLxTu3iIk4XW7TQrpH9NGZDesR9ZF6yxMmMj3Hr0rVzVH8bpoXr&#10;sUbuSeis3xvyVNm09aWw/ncomnDkycHB4bYDBUdi029RA/ug8Kdz9ESQ0LFP640my/R4+SwdSuxk&#10;Fdk1xWgUJ1608xdNtPtjYnnexuLEMs833Tqaa5Ps3qa1higtbDxIvib9lNF4oMbXH66h9cfot6Wz&#10;VaPVKluGeHDu/CVr/YFInTREMBpYYnvbECgsWg+XydLjlQKq3C/4Bl2Jln4lzAnYjed2I7ohTP1N&#10;2Qd/GFDSbJ9eqOvTn6rnqsvo7eo2bocGTflA7+86ogsxwuPcSVy8eMV6uCckT0FApjZu/1arNn2l&#10;RUs+VuNu6/Xw6xnq0H+eRuyP3odYhOhnHJie7GCIUzLEN4woFUzm+EXzuXniYOsbLNpyKMSJ45PW&#10;LLRe7q/zeG7G3EEz9iBPuGhw5Know5EnBweHXzROfH9epRKW6+nyGfo4scOP5CkhSd916Whjz6H4&#10;ooXq4BgWBb8NM2KUbkqCDie2V/d6E1W26nw9XS5Dfyq/UM+WW6TnKmXpjxUyrC+qNoM2hUpROHhn&#10;89d6vrpfD5fOsvvM2FP1RDn2e/mVODegfttN+XfnaqghTr3nL9Jf6vn0YPFMDTSE6esjZ63Vi83i&#10;9yqIh0jYkweLZ6lY64B6vhckjZH6EGIzZKtfa2eMtJZGS2yibQ5PSrEez9dOH6GhW3Oi7p9i/PT8&#10;MN/uhcJFRJA4hVk4zZjbnxi0PFVqubJIPnQ4XA9HnhwcHH7ROHrynN5ovlwvVlikz5PaB8mTIU5f&#10;de9kvVR7+18iKUWS5/xy6YLxOtmutX2jbVtCFyXVnmH3sLxcb4kGTd+t4XP2aPjsDzUxfZ/6TfpA&#10;XUdu0b5PToZKUThgz1fe6k/VY8w2FWu4RNXSVlnXAr8vna3na/tVZ5QhE3tz5VswUZ0bT9YDpXwq&#10;3XyZ3Qh+v4B9YwSyfqhUhir1JERM8K3F8D7EFQFewwmBcy3cikdsIqVQqJjlc8dowI6g5/dweeHJ&#10;Eqc9i+0euM96ESqmAHEimTG314wZyFPdDmvv6CZ8h58HR54cHBx+0WCJpGKLlXq4TLbdd6LEZvqi&#10;Z2drJcCaEC3cikecVs8epTNpLXXRKMW+9capZPV0PVrBrxdr58m/6lO7sfvUaZN+uGD35rCsxibn&#10;O7ExGOvLsRPntevAcR369JTdj8aG/offzNJLTQJqPTFDjevM1KuGPP5z8Qy7Qf3Spftn2QgiQtDq&#10;0k2X6bcl0/Vqc79SFgadatKH7FEavjlbu0f1DzrXhNhEtTgFidPiRRNiEmuPOM0yJJzYh1fYP0Ue&#10;BWUa8rQvtOeJZUaHoo/bSp4YpBcuXLiONfP77Nmzunz5smbNmqXFixeHjtw+fP311+rZs6dGjhxp&#10;bvpLNr+LFy/q3LlzmjBhgt59993QmT8fbIT15N5t0L779+9X586dlZ6ebst2O0B7UcdIOH/+fMRj&#10;lIX/OR4J9MftarPvv/9ew4cP14cfuld5HW4fIBflklbokbI5+rRpO33bt5PGrVtk/SCh/CIpRZJH&#10;nDZMGW59PxGyZEXTvnqqil8PlfPpH19ZqN7jtunCHdwUHw0QNXu/nruk9Vu/VtNu6/TgGxl6uHSG&#10;nqrk0zOGUGGZgmTdb+ANxH0fn1Dvsdv0tCG1rzT3qe/WXPXet1gjDHE6MLS3LuNY09uDdKMEcUpt&#10;qZzsyTbGXTRiHVyqW6yF+dN1sn2b6KFiUpP0frNu1lJZq907pp9CBXcosrit5GnTpk166qmn9N57&#10;79nfW7du1dNPP22V/Oeff67//b//t0qXLm2P3U68+OKL+nf/7t+pQYMGGjNmjP7bf/tv6tOnj1Xo&#10;/+bf/BtVrVr1lgnGqlWrrNzu3buH/vn5+OKLL2xb3YhwxMJnn32mf/zHf9S///f/XvXr19cPP9ya&#10;O3/IZ7du3azMv//7v1fjxo311VdfhY5K8+bN069//Wv9j//xP5SamnotP+pQqlQp269/+MMfNH78&#10;+Ovq9M477+iVV15R27ZtQ//cGj766CPbnxBiB4fbhbzVn+mxCj49XS5bma2Gaur76ZYURSNOvHHH&#10;OVvGD9JVfDilJOtyyxbq8NYkPVgpT2USlqnt4E12z1BRBCTq+zMX1Xn4Frtp3b/yU3313Rn75l/4&#10;w+/9BOqF1e9P1XEAmqO26/I1alu2PhnY04ZpscTmRuSGFLI4LcyboW77lkYdH57FKSdnii6aOTN6&#10;jL1kbW/eVWWrL7ThasbO3e3I0z2A20qecnNz9a/+1b9Sfn6+tUZAav7zf/7P1vLzzTff6K/+6q9U&#10;pkwZey6WKM45deqUVcZYKAADnO/8xzEsV/w+c+aMvQZAhDwrCYr/P/7H/2gVPr8hbH379tWWLVt0&#10;7NgxW56KFSvaa7CAeHIK5h9uHaEMkAAsHd75n376qXr37q3Vq1fbc8KvP32aV4sjP10it2BdOnXq&#10;pP/wH/6DLSP/efXx6sl3wG9kc61HSvgPUkK9Jk6caM/3Jjs+KRMyw397dSt43MPcuXMtMapTp47+&#10;+Z//2cpu0qSJPX/mzJmWsFSrVk3t2rXTv/7X/9qexzHaFbLMJ+dw3QcfBANbtjSTwv/8n//T/l+p&#10;UiX7X0F4bejVm+/A+029+c9rW8gTeXjkyRsDkerFsYL1dHCIhC+/Oa0Wfd+1+4CeqZer9quCIVBu&#10;pBQhTTiaxFP3Na/hqcn6IbmV6lSfpUcq5cq/6nBIukNRAsunJRsv1aNVfOo8dZG+GBJnnDpDfn5o&#10;29q6oIA4RRobJMYHFkn8gLGshwuDqK4O7NhprjFvjdTflVusv7yVp43bvzE6wbGnoo7bSp5YkkO5&#10;QaLatGmj//W//tc1RXf48GFroShfvrz9vXbtWksisETVrFlTGRkZVtmRsrOz9dZbb6lcuXKaPXu2&#10;1q9fr2bNmlliBL788kt17NjRWoGwvJDnc889pw4dOth8e/ToYZe1jh49ao+h+FGmM2bMUGJioj75&#10;5BNt3LhRXbp0sWSO4xAICAqKGCWN5QqrSvPmzbVu3Tr7P3muWbPGloH/yItzKOuSJUt+YkmiLsit&#10;VauWrff06dOttebJJ5+05apSpYrmzJmjQ4cOWcuPz+ez9enfv78lA5mZmWrYsKEtI/999913lnCV&#10;LVvWXo9FjWs8UMcW5mYcO3asJWQQLyxFECB+0x5paWk2z3AcOXJEBw4csOeMGDHCyi5RooQlL8WL&#10;F9ff/u3fWgJGfR555BH9l//yX6xsLGgnTpywROfhhx+213nkEmvT0qVLrcWKfowE+qh169bKy8uz&#10;VkP6DbmBQMCSN/KGhNHmlO3jjz+2edCPlI3+p58gV+3bt9eCBQtCkmWPTZs2LfTLweHGOPXDRbUe&#10;tEmPlsnWszX9apkVOYCwpxiJqv/hiL7BUC4hpXu1ZbLWNe2lZ8pn6i/1l2h/IW8Ed/h5wN9Y8SbL&#10;9GzVLO3p1ENXW5g+tD64wtP15IZ9SuxXmrFirnrsje41nLcu8QWGTzACPMckTskpOtM+VaP6T9ET&#10;9fP0dCW/KrdcYX19ORRtFAp5gkxgWYGceICwQJ6wUoCUlBRLDCAUEJ//+l//q95//31rSfrv//2/&#10;W8LBHqlevXpZYsXx2rVrW0XJPh/yQbGimPn+0EMPWYvI448/bn9DAiAgWEpq1Khhl54gAXXr1rUW&#10;KYhPvXr1rCJ+6aWXbHkhRFg9vKUoiAjlhQhAjJA1YIB52jTgP6xdU6dOtdaX//t//6+2bdtmj3mA&#10;HLC0Rv6QQAgQhIiyUkaWtFhmxFKH9Qyrzx//+Ee7fysnJ8cuE9JOnIMVh/wgnX/+85/t9X/60580&#10;efLkUG6yJObRRx+110FCICWc96tf/cr+pg34PXDgwNAV14O60y6cM2jQIH377be2Xr/73e9CZ8iS&#10;FKxJLMN6oM/Ig3MhOB4gnP/0T/9kyV4kQDjJ67e//a0dA8hetGiR7X9INX1Pm5AOHjxoSTPnU2fq&#10;QH+OGzfOysJyxnjyAGmrXLly6JeDQ2SwD4hgt4+UytJLDX1KXhiwziI9hRj+VhYBeqesW6CDgwpa&#10;K1roWHJrvVVztn5bLqBe47aHpDsUNeDb6+W6+Xq0bLYG1BmtnQldtCuxi75IbqfTLVrqUjiBMv17&#10;1cy/eImfvGaBIU43dn5J6rsr34ZbeXfKMF1m03lybOJ0sl0b5WdPthvP30jz26DJBFAOD4XjUDRR&#10;KOQJqwVkB/LkWWNQquGWJywdLD9lZWXpzTfftNdBErCuoIixBkGaOA/F//rrr9v9OFiFUJLIYikQ&#10;gvJv/+2/tRYVltnYNI6s0aNHW/IEKXriiSf0N3/zNypWrJi1snj5Q0QgKR4BGzx4sLVo8D0pKcla&#10;Wo4fP27LBOFiX5VHnrAWUX7IEISMayBB4aBsKH6WrbCKYH2DoLRq1cqez/XkgYWG35AplgdPnjyp&#10;6tWrW+KFRQpLEhYf6s/1WOY43+/3X1viA5CVUaNG2WMQOSxxyKB9KAuyaA/yKAgsOytXrrxG4DiH&#10;BKkjbw/9+vWz8qkLoD0hsRA2yA7l84DMaORp2bJlVhb9AjGi3hBayJNXxmHDhtlzIJ70BfXBEkf/&#10;Q2DJA/AbK6EHCCpt6OAQDV9+e1p126/Rg8UyVX9sQMMPGUUYIk944O71XkApiwJqNj+gbrlZeq9n&#10;f33SNE3nUvBEHtpcnJao7MYD9UAZn2q2XaNPv7y1PYgOhQc2y4+YuUulE5brz3Xy9XqVRTa1rDVZ&#10;E+oN0ztNe+n7UN+eNwRof/9emrAhdriVoEUyR5smDtEVNp1Hc3UAccKa1bm9sn1T1X9/vlr6Anq+&#10;ll+P87Zdl7Vav+2bUIkdiioKhTzNnz/fLimhULF+oOAKWp6wMmAZwLqDsuY6rAksD02ZMsVanlgK&#10;Qg7/YaHC4oFV5u/+7u+sksUKxeZpSA1LagCrBLLCydOzzz5rN0P/5S9/sUoasGQIqUHxP//889cU&#10;NGSA75AwD1h0WPJCcQ8ZMsTuYYIAQbooP1YSroEMhINys0SGReyBBx6wZYZMsqTE+d7+II88UWcP&#10;FSpU0H/6T//JWq24jkSZgUc6IF8FwXIkVhgIHTIgLlijIBYvvPCC3YdWEJRz+fLleuaZZyyRgVQC&#10;No1Dfn7zm9/Y34AlVtoBkgmhhCBDdml/yGw4PPLkEeaC8OrBkqwHljL/4R/+4RoJo/04ByIIuSJv&#10;SOb/+T//R02bNrWEGTC2aGfAuMCaRds5ONwIPGxMXrTXWp1KtvGp29pcDdkXVIi8xt59fUAVu/v1&#10;Un3CleSpVOMM1a84Vc2qT9WCRoN1rEWaUYZGEaY11+SGI/RXxf3WuaRD0QYhgt7b8a3m5x1Si4Gb&#10;lTJgs0o2X67Hq+bq1YoLNKn+ML1tSFR600FqMXiRUhbn/8QvlJcgTjhHHbUxQ1vGDdIla3GKTZy+&#10;7NFZ8xfPVJ8P8zXIjLmq/fx6rJTfupAgZh8vG5z4/oLOFSGv7g7X47aSJ2+ZCEWM5YPlHhQyJAFF&#10;jFJHoTNpYdFgTwsKFAsB12HVwZICKYCIvfbaa/Z/FDUJAsJyDKQCixFgOYflNJabAMs4XFNw2Y7f&#10;WDQgOyjhv/7rv7bLXxAXlhm5ho3mWLlYIoNk8IYd1iSW9iBMKG6sYyxZYc2hbpQ/ISHBXs8yVDgg&#10;E+zX4hzPugU5Ix++Q9B27tx5jXRCFD1AKKgn59CeyPZcLrAniPP5vyCwzkAusPyxjMZSKASRskM+&#10;IaYFQRnZh0Wb0H7sMaIPII2QJUgwVkDqAWmBhEK42EDPsVdffVVvv/22vWbHjh1WJvmy/wlSw/Ii&#10;x+ircHjLdux38oAFkZcMIMuQOPY+QY7pB5YROZ8yQkDZezVp0iR7HRYzxgdlZK8TfUi/OjjcCLgQ&#10;qJ62So+WzVLTaQF1eSegnhuDm8UhUViiflssSxUSV2hW9kEl9NyoCmlr9FrTFXqmYramNBwupSbq&#10;kkkD643T377h0+CpjjzdKyB+IKFcvj5yRis2fqmx8z5UhZar9WK1HL1caZFerJKpp2oEVCzJb4i0&#10;GRd7fowHCJki9d+dp4nrFmrXiH4/xqkrSJi8BLFKTNYnfbtp5vK5lnT1N/LYX9dggl9PlvPrqQqG&#10;RJXNVqWUFeo+eqvSl35sHiRdqJaiiNtKnlCgKGAUGOBtMN6wY3mFzcUoN/YtQZ4gCiwHsb8IiwvW&#10;DYgJyh/rR8mSJa3lCeLjLf2x7ITyZBnOW35jORCFzjGA0qUM5A154nujRo3sxmaW+1j6QiknJydb&#10;64SXP3lBarCWsAkZiwmWGhQ/yhprBkqcZSSsHVz3L//yL/aTMpLPihUrbBk84I+IepAgJxAoruU8&#10;rsUiRLlZLuP68D07WJC86/iEELFkBmhfzvc2rxcEMjnO0hVtx34rSAwWIshaQWCto5+w+ECMIJWQ&#10;R8gKZYMk4oqAfUkk2o96sFeMfB577DG9/PLL9hr2aAE2vvObviFfvkNgw+HVG0LrgTrR/5QdmcjG&#10;ygd5xcrI+QsXLrRkHIsh/cMSH0uG1IHyseTL9bwc4OBwI+DfqWzzt/VQ6QyVbu/XK0nZqtzbr6Yz&#10;/Go4IaAX6vn0QIkM9Ry71RCtKzr46Snt2HtMC/I+0q9L5ah4xfla0HigtjbvqjJV5umFtxZr087v&#10;QtId7jXgxmDrh0c0ePpuvdZomSq1XKWnK/r1RDmf6o7x26DJhLPBKtnn/Vz1eD9PI5cv0oGBvQxx&#10;So6LOB0Y1EuT31lg38bDauURse4bApasl2zl17PV/Ppj7YAeqZCjcglva/8nkQNAO9xd3FbyxN4g&#10;z0IAICz8RiFi0YE0YJEAWCHYs8PbYlimsFKwn4k9QLytx74eLCz8B9kCc8KWcDxgHcFys3fvXvsb&#10;RUqeLBNCePjuvaXHPiVko4Qhc17+27dvt9aXPXv22PNYjkKxe2XgfPY2YcViaY/ycC7HsIBxPflQ&#10;/3BAMLDGIYd89u3bZ8kZZaa+/MfbcxBBrg/fcE7ZIV+cw/Ukj/jQvpzvEciCoM04zgZ48uN82ghL&#10;Ff1QELQV59M21MfLj3MhX5s3b772P+VFJpYn+pXraEfvGvIEWO34Tf29/ixI3LzxEv4/+e3ateta&#10;vSGK3nIg7cb59Ad9QFmQTzsgy2tr+pty0C8ODjcCr4NnmCf7kk2WWCeREKnnqvv1eOUsPVo+S89V&#10;C1gnl5CmcPC6e7+JO/R6/cV6tny6atWYo8fKZqpKy5VFxiGmw88H3tgJHE1cwOeqB/RQyUw991a2&#10;SnXwqc5In1pkBFS+q08l2vpULjlTMxsM1eUWECdDkG5InJK0e3hfjduQbr3We8TpWsKiZchZ55UB&#10;NVmQp9aTM1Wqfrp+XyGgxl3XadeBY6HSORQV3FbyhEJDsXpkB/AbIuAdI3kI/81x7zrvmvBzUapY&#10;iFiO8vYKgYJ5Fvwd/h3w25Mb/t27zoP3m7RhwwZriWLfFNY1DxyjnN738Hw8eOfwGQ5PPp/h3wsi&#10;0vXRzvdQ8Hi08z15BVPB60nhuNF1INL/BfP3ri/4P4h0TaTzw9vGuwZ45zo4RMOZs5e0bc8RLcz/&#10;SNv3HFXW259oyqL9Ju1T/prPbAiVSOPz2Mnzenf7t2rYZb0eLpOlf359kYo3WKJvjpwJneFwL4M+&#10;P3f+khYs/kiDpnyguh3W6MWauda55qOVMvRExRy98la+nq4S0HOVs5XReKD1Eh4kTGEkCuKUkKQd&#10;owdoxKYsu7H8J8QplAaa1HvvYg17P0eHhvXWyia9VbLaIuutnjfwKMfiNT++5exwd3FbyVNhAksH&#10;1g/2KIW/0XUnwCZz9j1hNQt/u83BweHeBxYolvC8T97IIrFUFw3smYFcTVq0V027rdew6Tt11ihc&#10;h/sDlkCZ8cBy3jdHzmrfRyc0Zs4eNe2+XqNmf2gtkuPm7dEDZX16s+pCfWmDSifovH1bDzcFJiUn&#10;aeuUwRq206cBe/PtXjr2OEXagI5HckLFHBzYQ1eSknTRXL8tIeh5/J8r5Ou3pXNUutnbmuM/qI+/&#10;CL4o43D3cM+QJwZyJAvOnQB5Q9icJcPBwaEg2NAL6bpoPpkrHO4/0K9BPXB9X2O5bD3wPf19sUzV&#10;qDFX3epOUOOaM9S/7jh927yV1o4dptZLc9VqSZ7aLQ6ocq+Aag0OWBcYQ/eHiNOOXOtDaszGTH3b&#10;vZOueF7rW7bQldRk7UnsrNmNhqhmzbl6opJfvymerqSeLnjw3cY9Q54cHBwcHByKGi4YMtV20Cb9&#10;Y4ks/VPZXP22Qq4eLO/XK1Uy9Vwdv56q4dMz1XJM8umhN7L1yBs5KpHmU6scv93r1MsQp/FrF+pI&#10;5/bBcD922S88JVt3GKua9NFzVXL02zJZdgnP4e7CkScHBwcHB4dbwJlzl7R0/RdaufFLrdn8ldoO&#10;2ayX6i9RicbLVC11pSolr7BLbvgBa9J1nZ6tHNAfyvmUkJGn+evn6GTHtrqQkKBzOOc0ic9zhjgR&#10;bNoSqLREdXlrsn5VJleNu67VqdMubufdhiNPDg4ODg4OtxFsNt+y+4h9S45QK7xg8N2xc7p85aq+&#10;P31Rw2fu1O/eyFGx1Bwd7NRVnzVrpZzGAzS7wSClNxqoeQ0Ha1aDodrSvLslUlieetWboP9XOldN&#10;u60z8t1bnXcbjjw5ODg4ODjcQbABPbHXBj1ZIUcNq05T/eoz9EzlHD1dM19PVw3o0Yp+PVY1X8Wr&#10;LJKvcX8dbd1Cw5PH65FKAT1dxa+Dh693n+Fw5+HIk4ODg4ODwx3GR5+d0rDpu1S25Tv6Y+3FatB5&#10;nWZkH1CPsdvUvOcGu8SHN/sXyy1Sv+bj1aDNQj1Z1W/dJEzJ2O+sT3cZjjw5ODg4ODjcBbC8t+mD&#10;77Rw8UfafeC4/e/I8XPWsnTq+wtasvZzlUlaoaeq5er5t/x6oY7fhhOq3GKFvvzW+RS7m3DkycHB&#10;wcHB4S7iRvHr2CP13gff2jh3D5fK0tPVcvRQqQzVbLPKkiyHuwdHnhwcHBwcHIowPvr8lEbO2q2B&#10;kz/QhAV7tHrTV7p02fkdvJu4I+Rp//79Ns5bOAh8e+DAAR09elSHDx8O/Vv0gaNMYqedPHnS1qko&#10;lJ24fu+8845NxHT7/PMfXfhTRmLQFYwrh8f2d999V5s2bfqJx3Zi4xUEeRAQ2AvSfDtAzD0C/N6P&#10;wIEeY5wYf8R0JB7f7QRxIyP1090G9wX1pnwODg63B1igTv1wwcbdw+N5LO/3DoWPO0Kehg0bZomS&#10;h4yMDDVv3twGvkV5z5w5M3Sk6APS0bt3b1sfSOGsWbNCR+4e+vbtq3Llyqlhw4Zq0qSJunbtqqys&#10;LEv0KGPx4sXVrl270NlBEBi5QoUKqlu3rg2464EgvtQvHPPmzVPr1q3VqFEjDRo0yAYSvh0gUDHB&#10;fO83nDp1SqNGjVKXLl1sgOnJkyerVatW18VFvFVAZhctWhT6dXsB8eMeJSD0zYAHoSFDhtgxxX3t&#10;4ODgcL/ijpAnFO6hQ4fs97lz51olv2PHDhtuZf369Zo6dao95gHFgHWHSTwcXBNJce/Zs+cnlpXb&#10;BcgSMe08y5l1yW/IBmUnQPH06dPt/5EAQfk5kf1/+OEHq7iIqRcP2rdvrx49euj48eM6duyYtXKg&#10;wLZt22YtY2XLllWDBg2uk0c/8D/Bls+ePWvrCYmFIIWTJ6wIyP/666+t/Dlz5lgyTP1/LiDNKFos&#10;Yj6fL/RvsL0+/fTT0K97E1jmRowYoX79+lkrDO1KPETqStuGj1/qSp090G+MtUjWvd27d193LtbC&#10;8PMYn4wZxk44KAP3UiyLIWP5448/tt8Z45UrV7YE3AP/cZ+Fy+F3eH3ee+89O84op4sB6eDgcD/j&#10;jlmeUBQLFy5U06ZNrTXEw4YNGzRt2jT7HWvOwIEDrVUKgtWzZ087EaMQJk2aZCfmhIQES1guXLig&#10;ffv2qVevXva/xo0b23yOHDliZQEUDJYhFA9YtmyZlYMiIC1evFjp6el2+YrfAEvBkiVLLNkbPny4&#10;Ro4caYlI27Zt7dM055E/ig7lQcBg/qPskECWK7D4zJ8/X2lpabYeEBvKxfINxBCgdAYMGKDvvvvO&#10;Xk/bQLQCgYA6deqk+vXrq0WLFlZOrEDIWJWGDh1q8yVBbKpXr67Vq1fbdq9du7a6deumBQsW2PM5&#10;h7pxTZUqVayio42xNrAUNHbsWHsemDJlivx+f+iXLDnr3Llz1GUZCPHgwYM1ZswYTZgwwVpgWJ7D&#10;IoNs+op+6969u11qZJkR6wztlJqaaonVvQrGRc2aNa8t09G3Xtq1a5cloRyDoLZs2dISLX7TVlj3&#10;GOO0L2OSfofQMsZos+TkZNtHAFLMWEUu7d2mTRs7Tjt06GD7nf8hbB07drSkjbbm4YP/w0F/0vaM&#10;02bNmtnxhoWsZMmSdsxznyGH79y73HP0/bhx4+xvyoRlEgLOvYsFNDs7OyTdwcHB4f7EHSFPKFKW&#10;kkqXLm2VMU/jHsLJE3tqeNrlaRlFi0LhqZlzIAgQDZQPRAMriLfsw7lM6CgfLCMeUBRM7PwHYaAc&#10;kAqU1TfffKM+ffpYAoVy58kdZYVS37Jli1VAKAaexiEW+fn5VuEhJykpySpCSCCyIUQoJ6w0EBdI&#10;EnLY04NcFB55U9bRo0dbGZC2MmXKWCsM5AVyA3FBeaGguA65lMFTxDcC5adMlJE8Jk6caAkYbYSs&#10;t956yypELICUD4sUxA2iVrFixeuW7fgOsfIA+Sxo1aMOKN0b4fTp07avIIxcD4mkT2fPnm0T/UX7&#10;U2b6HBJaokQJS1jpx1hksSgDog6J90B7M1YgLowX2obf1apVs/3Nb/qZfqfutA3WOGRAXOh/+ov/&#10;GSsQTOBZPRmbjHvk8517hX7lPmFc0KZciwzGGOeEY+nSpZawevvPuF8oZ9WqVe3Y5h6CAHMvIoex&#10;yvhiyZDy0scs1XG/sN8O0h+vxdTBwcHhXsUdIU88/fJEzBOst/fDI1Dh5ImJmKdoyBFWHJaLIE+Q&#10;ACZonmx54kWJ8KSLhQKiwoSPIqlXr561LIUD4gFJwgKDAkApcQ2TPdexDAHxQRlBErB2AaxU4UoQ&#10;pcM+FpQhT/kofGTznbpBTLyliv79+1ty5IE8sPJQP5ZzUGyQSMpDPmwqRiEhG7KGpQeSQV2wwsVa&#10;ykIporSQiRUB5ekRLpQ5lhAsY9QNZYriY28Tlgv2PYWTJ0gO1hAPWD5YSvIAsaFdopEnQP9gwfOs&#10;a5BByhEuyysDBA8yQT/f62BcMN4gPsDre8YYS2FY2qgvfe+BscWSFySbcUz7Q1AhVnx64J7x+oZ+&#10;hXBBVMIthYC8GT9YHMmHcYsFFUsmJCscECb6M/zeYjxAnrwlVSxfHoHmnqtTp44lccimfBD1zMxM&#10;WwesV+HjycHBweF+xB0hT5AJb/KFHCUmJl7bUAp5QmFgjWGSZ0LGGsREzKTOJ8oFJcG1niWD6/kO&#10;yeJ8frMMwlNyQUDOkM2TNOeRB9YVlBhAiaMEuBZZgCdyrEUeeMr2yBNP+ihJlt6wiGGpQjlByKgH&#10;SgjSAdHgN0SGNuA3S2cQJcqEBYL/qSftw1IMihdyA6mAbFIn/scCUHDJxQNlgKREOgcly9Ic5AVS&#10;RdkgUZQJRV6+fPmfkKdwyxPlpX9Q3NSFensWjBuVCXm0H4QXosh1EAGsKLQRbYg89l1BHOkHLILe&#10;ch3n36iuRR1Y1CAQjFvqST1oe4gzllcsg1h2wscp1lb6HdLMGGfZKxJ5gpB6fUO/Qv6xGNHO5EG7&#10;0S8s+dG2LGd7Dwr0B4S+4NuNjGvuLe5DCBdjm+8QJG/5DfLEwwWANEPoGcOMT2RD+uhDrmMpjzI4&#10;ODg43M+4I+QJxX7w4EH7nQmeSRyrEssWTPQoZ56WWeqCOGD+ZwkMZYsyQdlAlPjOBI2i4ThP4ZAd&#10;zocUsW8DclAQPE1DIFjmQ1mwf4M31DwFjWWEt9SwkKHkAHJ5GveAVYT8UIgscyCT5RbvTUFIBct6&#10;1JNjKDTICQlFgwICHGdfCwoTAgE54ikexYhVBmJDfVC+PPljrYGAQNS8shUECo/6RAIEjaU5iAnW&#10;pxo1algrCHmjUFk6DCdPtA+WEg+exQoyB9HBygGhoh/pF8pdEPQpdcQywrIcChyLBzKwjCGHfsQK&#10;iQKmHekfjzzRDuR7L4J2haTSH9QR4guxgGSwb4nlM4hPuOWJNoUk0VYQcayT3DOQp3ArIG3t9Q39&#10;ytjDssVYg+jQrowZZEOIkEnbIxdrL/3hWcQ8sM+O+8+7txjzbDyHkHvWVMauZ7Gi36kf9yPnkyBd&#10;1JN7kH535MnBweF+xx0hTyjbcN9DKAGsQJj6mZRR4kzKEBAsSUzgTPZ8Z+kHpeoto0GOUK4oKa5l&#10;qQpFw3GexCO9+o6CQZlBagDlQaGEA0IUvuSHAmH50AMKAcIDeaIMKAusN5QPUH6UF7/5zvVYl1B2&#10;lMkjBtQdAkFdAd9zcnLsd6wHkC2UIZYJ5PHJXhPao+DeIw+QM+oeCSwDQs7In7KjEGl3AEFjX4y3&#10;3Aiop7cp2QNElXLQhljpvLqgNCGeBUEbQIywqkF0IWsoW0gaSpp+JA8UPhYNliUhztQT0O/0570K&#10;2pm+YzzxoMA4oI8Yc5AXiKHX54D6cx6kiTHGeOEhgr4I33zNOPb6hn71xh6EnPMh74xtb5xD2hjD&#10;9AOf3C+MzXBAyBlbBe8txi/3FZYmCJj3tizAOgnpxdoKQYMYQvS8h4ZIhNrBwcHhfsIdIU8oWCb+&#10;cDDZogCYiMP3uvAdKwtLXCgP7/VsrEQQMJZFwsHkjxwmfPKItBcHhcFyhUcSOMcrD58oCvZthCsI&#10;iEw4MUAhkhfl4KkeWQXzo8zh5YNkQLAKKiyu8cqCzPD6I59rsDYBjlE3rDnUMxKoG8s3kUA+ED1k&#10;ANrTs2BBVjgWXj6vngWBfCyF1NEDit4jUuGgfih02pPE9/DX7PlO3ihZ+ph2hEB4sunnSGW410A9&#10;saqRwvsHElmw3fiP/qU9GAPUnz4LP49+8tqFfg0fe7Qlbc19FQ7vPiv4fzgi3VvkxX/0DdbISISI&#10;+nEveCAPrik43h0cHBzuN9wR8lSUATlh2YKn56I86UOmUKxFCZA8j4Q6ODg4ODj8UvCLJ08so/AE&#10;7VmCiiogdlgIihKKWnkcHBwcHBzuBH7x5MnBwcHBwcHB4WbgyJODg4ODg4ODw03AkScHBwcHBwcH&#10;h5uAI08ODrcRV65e1ZUrtye5PWUODg4ORROFTp6sMrl6JfR5Kykow8GhKAKic+r0Be396Li27Tmi&#10;HXuP/uy03aRtHx7RF9+e1sVL7rV/BwcHh6KGQiVPkJ0vzxzXgVNf69Cpb24p7T/5lb46e+NI/g4O&#10;dxPnL1zW2HkfqmSTpSqfvFwVU1aogvn8OaliynKVSVimWm1WafdBN+YdHBwcihoKlTxdvHJZiw5t&#10;Uv8dAQ3ZmX9Lqfd2n3yHt4YkxwccPjqHfQ53At8cOatX6+XrmSo+jZ7zocbN32PI1M9LkxbuVdqA&#10;9/Sb4umakRV/mBqcjOJYk3F/O4CsaM417wTIH4/sheXjjPkBB6Xhzl9/LnB5EslpLO2Ik9Tb1S8O&#10;Dg53H4VOnuYefFc9t2Wr3w7/LaWuWzOV+cmPEfljAU/MhLYglpiDQ2Hj6+/O6uU6edbydOEipP3q&#10;z05g6brPLXmamrHf/o4GHJUSVoWYc8Rk5DNS2JybBaFzvBAwtwoIys2WiWsIlkyIH+IoFgZwkss8&#10;UTBywc0CL+yE4YkUQomwNcQHjORLzotKcDvIm4ODw51DoZOn+Yc2WqvRgA9ybyl1NwQs+/CWkOTo&#10;4AmPqPKVK1e2Ueid9cmhsIHl6ZW6+ZY8Xbp86+Nt2fovLHmaHsPyBHEirl3Xrl1tQGDGPXECCT6M&#10;QkZhYw0hDBJAyWMh4TpCEAFCr/Cb83jo8DaqE58P2QBZhNAJDyVEeBhCvxQMNgyQTZglPrkfCQpN&#10;3DssScjnE3Lkha3hHqVchBryfhNzj0DDEKhYxAtZXggZPr3vlM2LmejVITz0D+FlCMzskSfaiTp5&#10;12Px8ogN3726kh8JcJyYlBAk2tcDMmlT5BNomfOQT5tQf37TRsSeJIQP7cT/Xh589zz4U56iFmHA&#10;weGXjPuSPPGkl5aWZgOzEqDWm5AdHAoL4eTpdmzyjpc8EUC5cePGNngvRASSQQxClDTxEGfOnGkD&#10;LWNFIvbd+PHjbZBiPgnODQjMTeBmwhQRlBvywFITgZ+5DmU/f/58S84IYAz58QJfEzDa5/NdU/KA&#10;eInI4hgWMeS1bt1aNWvWtEGmIR2UgaDCWH0gGARD5hr+I2g2RKFDhw6qVKmSzSsWIFpeMGnkELgY&#10;AoYljtBLED3qS5l4oILsAC8YOUQGKzXtQNtQT66nfMRmhLwQCBkLGOSGduV/yBJyOYaFjGDbkKAN&#10;GzZo1KhRto3eeustG5yZNqWe5EcQZsgi+RQvXtwGOKcdiBe5ZcsWWx6uJ7gz10Fike3g4FA0cN+R&#10;JyZxosszORMPjsmXCdvBoTBxt8hTmzZt1LdvX6vQsToNGzZMy5cvtwQHwpKamqp169bZgL2dO3fW&#10;iBEjLCHCosPDBQSBoNgQFUhK+fLltXbtWnt+tWrVLPFBwZPPrl27LMFAofNwgqJH6WNV8axYAIKA&#10;fO47yBzWHgjEwoUL7T0JyStXrpwtN4QOYpCSkmLzpbwQFurTs2dPW5/wJTVkYVWjXOF7iCAv/fr1&#10;s2UrU6aMJShYnOrUqWPbg9/MC5Cl7t27W9kAaxh1gAQlJSVp3rx5lgxRP+R37NjR1hPLGSSHMmIl&#10;gghCEpFLvpCqAQMGWKsfe7QgtNQDkkY7svyJPNq+adOmtl4eKaX9uB6CRjtDWjdt2qRixYpZ6x9k&#10;uHr16rbsDg4ORQP3HXniKZNJLjEx0U6SfEd5ODgUJu4WeUIRY60BW7dutQQABQ55qlq1qlXOEJHt&#10;27fbc7F2sByEQsfCwbIRRIfjPHiw1I2FAwIACdmxY4eViWULmVhBMjIyVKpUKUu+sOKg6MOJDOQC&#10;MtSlSxdrBYZAQcogNgCLGPcnBA0LS7du3ZSQkGBJDFYf/sdaDEGhjB7IG8sQ5+fm5lri54FyJCcn&#10;2zJx32O1gUxCCglgzUMU1iiAdQ3CAmgHSA57lTgH6xrXMo9QXyzXECjIDstrEL3BgwfbskLgqlSp&#10;YkkloAzkDdlq27atbWeOkQekkbqyhAdx85YOIbiTJ0+2eYEWLVpYksd51BNyRv9CNMOtew4ODncX&#10;9xV5wuzdqFEjOzkxuTEJvvLKK/bpzcGhMHG3yBPkgDGPlQeiUrduXWsJweoCKYL8ACwnWGEgWAsW&#10;LNBLL71kLRpYRiA2KHaPYGEZgixBMJAJqWBpju+QLywzWI44D+sLZMcDe6wgKyyTVaxY0Vqb2FdU&#10;okQJu4QHIHcQBAgDBAPSA1ng/vWWDFkSe+21167bKM751IvzuM4jHADS9PLLL1uSAZmrV6+eateu&#10;bYkgFp7XX3/dtgGWLtoFggNoL9oA6xTnkz919PZitW/fXi+++KJdpuN65EImOQdLEO1IvShnjRo1&#10;7GZ9CBZ1gjhhjSpbtqxtF/7HggSJ8/ZG8Rty5G0mZ+8aD3wQKpYiIbOUF0IaXl8HB4e7i/uKPPEE&#10;yRIEExHKwHuqZf+Bg0NhIpw83Q4lt/zd+MgT5AUFj0LHioEFB1IE+UFxQ0QAe6A4j2Ux9uFgFYKA&#10;sAyFwgYsz0FiKD/WFYgA17OHqFmzZnZJCfIBUWBZi3OwyHgWJQDpwLJDgiRhdYI81a9fX0OHDrXn&#10;sP8HcgDIC2sS5Ucelhb+Y3kQUhhro7gHyA9EhHqzqZ1lQvYVYZ2iDuQH0cQiBBHCUgaxpE2w6ECG&#10;IDyUjXbz6gSxwXJEm0Jg+O4ti7Ivi/aiXZCDXGTRRizbsQcKSxYWKQim10+0C+UEWKrI1yOJkE0s&#10;blj+WJ7EepiZmXmdlc3BweHuo9DJ05yDG9R9a5b6GgJ1K6nzlgxlfBJ94yhkycHhbsBzVVCs4RJ9&#10;8sX3+vLb0/rim5+Xvj16VvPzDulfSsTnqgDwwOC9IQbCl9E8oPCjLf2EK+iC1yM7/FrOhZB5FhMP&#10;Xh4cCwfyouXNMaxK3MPsC4KsQfJuJ8LfkIPMQM4gPh4oO1Yq75x4AQkt2A7UN3w+QjZtxifLqF77&#10;8ptrHTlycLi3UKjk6ZIhT8u/2K2ZB9Zp7qENt5Sm7V+jNV//+ITr4FCUcOzEeVVLW6U/lM9W6eZv&#10;q2zC2ypjPn9OKp+0XK/Wz7eyst7+JJTDLwdYolh6Z3musMA+SCxuWIkcHBwcbhaFSp4AIVou27h0&#10;t5aCMtyav0PRxcYd36rzyC1qM3iT2g3Z/LNT2yGb1GbQJuul/MSpX94m4TthQcby46w9Dg4OPxeF&#10;Tp4cHH5JOHv+kk6dvqjvbzGd+uGnjicdHBwcHIoGHHlycHBwcHBwcLgJOPLk4ODg4ODg4HATcOTJ&#10;wcHBwcHBweEmULjkiQ3eBBIlvMKtpq+/xllNSLCDQ9EDPokIw4FfHpww3mrC8aVzv+Hg4OBQ9FC4&#10;5AkHfQsXSn37SoMG3Vrq1Uvy+UKCHRyKHoin6Hn4xtnirSScvf7lL39xQa0dHBwciiAKlzxduCCN&#10;GSM1ayalpNxaatRIukmnefiJIUxEYQCngXglLkqvO1MeQmPEAh6Y8WCMg76bAd6sw4O0OlwPLyA1&#10;Y+5WE/34wgsv2DAl8YJ+pX9wwng74IVfuZugHQifEq+n8XiBd3Da1vPAXhRAvxMeBqebtHu4o1Lu&#10;VeIQcs7NgPrRhuEOVB0cHG4dd4Y8NW9OxMtbS40bx02eUCLEuiI4KaEPiBF1s0QhFghdQXDTorSs&#10;gsWC4KWxkJOTY+Nl3WzZCe1B9PqbAYoPj9G/BECevLAjtwqIMHHT4iFPkBxCqBDEFs/chCS6GdJ1&#10;I0AEuYduB1D8+fn5oV/xgWC65E/YFq6/nSA48ZtvvnnbSdnPBfPThAkTbAgbQubg/Tzc0zn3asOG&#10;De29ezMgpAyhcQgvEy946CSWYTh5c3BwuB6FT57GjpUSEqSWLW8tNWkioyFCgm8MntqIIUVsKwKd&#10;EiOLFAtYkFBYRFf/9NNP7ZMf/5FQRAQB5amPOF0AcgYBYdLjqY7rIAlMPPxHeAqeIlEAxKgi7AOk&#10;jnhafAJkoxQILEoeXMdkTugInhY9yxZykMF13jKOdy11xNpAeAuCoHKdd83mzZttXfjtgUmYSPXU&#10;Jxye1Yq8CQCLPO8711A29uCQJ99R2NQX+VzHEy75EBMM+QQ+pS7EGyOOGudzHfnQBhwrKorrdoFY&#10;ZreLPNH2kKdYHrAZb03MvcFDAn2FkoTY0/eMOcYsY4vz6B+Ocx796BEsxhT9Q170H0qbvmLMEUiY&#10;70eOHLFjzbsGxYoc+prrOccD+dDPlIFP5I0YMUJlypSx45KxhRzuJX5zPvcteXEfYRXiHGLCValS&#10;xY6vcPmR4OVJMF4+iRVH2BOuoy0Zc9SBBJYuXWqXWMk3/P7lONeQP/cuZUQm5xE+hu/8D8iTstEG&#10;3n3BPcp3EuOb/5BB24WPea5ljqHO5Mk9RsBgvlNeYt9xjgeOr169+tr8A6gf9eQa+oI+pK2pC3MC&#10;eVNWxgN1RJ43lzAuvLmKMtFXjA1kEl/v1VdftfW6XVZMB4f7DfcdecrNzbVRzCM9aTFRoOSZEAqa&#10;64nEztMeT+8E9fSsSsuWLbMEAKsL/3mBU4cMGWIDjzI5EdyTCPQoMGJlMfkTjLh06dI2yjuR2Lme&#10;7yVLlrTBVJFNlHaCufLE2bx5cztxIZ/gowReJQApcmrVqnXNioblh0lw8eLF1srA3hhigPEkTVR4&#10;Jm8sbQRA5X/qEk6UmCgJNspkGQ726RA9n0+i4WPBgoSi8Ai4zCRNHZhw+U5btGjRwgai5YmYSZun&#10;YgKfzp071yoL6kV9qT8Ekf9Q9NSF6P2D2Mt2H+FukCfGC22KMvQIOuOPMTplyhQ7ZjiO4mW81alT&#10;x/YrwWcZe5yHxYxxAsmlvxhLKFvGEOME6wX9zRinjoxTguAS3gSCQ8BdyIUHlDN5UjasKKtWrVK5&#10;cuVUuXJlzZgxw5aRMcbDB2MAIoVcZJEPFiqUP8SJe5m8KGfB+5ffgE9IiHefIQNrC23C/9zXtANj&#10;zrOcMr7Z2E9ZOnbsaNukpZlnuP+pC2OcOnTu3NnKpW24tkKFCjawL3lSL+rO/9yjyGL+oa5cS9vR&#10;FuRL/tyv3F9cy3m0OX3AfUNZy5cvb/OdP3++7ZNw8sT9w5wQvgeOOe6NN96w849XZ6x03N/ch8gk&#10;DA33J/3JGIAwct9SPu5THvIoGxYvCCWEibFBPQmQHG79cnBw+BH3FXliUuIJl8kqEpiMmBxYSuLp&#10;zANEhkmTCOhYTJjgmDh4gmXixYTN0x2TeUZGhp1cmfh4Cp09e7adqLiOpzomQJ4CUQCQGZQgSgEC&#10;xlM9yoLlNZ5YUSYQnPXr11tFhFyUCAqAp1LyJ59FixZZ0sOkxvkQGK5FMXENkyQTH/9RP/IiPhiW&#10;KIgK/3kgX6+MHmgXjyxBBskTUsbTM4qFSPfUm/w5l7hjEEGUBQSSPHhSp24oE+qMgkM5MaGTJ+cy&#10;qaMoaCsUFXW9n3A3yBNjfdSoUfY7Spd2HT16tLUMQU5QrFgHsVjQrxBhLBQoW7/fb4kWypOxz/8o&#10;fiwgjGXIP2Ng4MCBtr89csYDBccg6dwbkAmsMh4g9ihpiAtEizpw7/AwwHhlPEDU8/LyrDzuWc5n&#10;vDK2kIuy50GEsU8ZAWOP+5b7F2uyt6yETMYrDzTcGxAexiVlIl9vzFFnSALzBPcK1h3aDFJCOSgv&#10;9yz3Bm87UibucdqJsUs9yAP5lI/jkBVICQ8/EJvx48fb+YB2Qyb3DJYc8od8cp/xP31D21E3ykm9&#10;IDTMEdxPvLUZDvoH0hNOqLgGksNDCW0J8WVOoP2Zt5hDKB8kif6nLSDQzBfMEXPmzLHlhPjRFpSF&#10;skEW582bZ8vs4OAQGfcVeWJigfQwSfJExWQP6fHAZMskwcSIRccD56BAIBkoLSY8jnv7Inj6gsgw&#10;4fK0yeSPkuEpkYmUyZHJlAkP5cVEBYlYsGCBLROKx9uLxMQIseFaFAjKAaJF3kz8ECeIEOC/119/&#10;3RInSA2THMqPCZ0ykg+THZMeeVF3FF+xYsXseUyoPLGGA8UHUQyPes9TPuViaQMSxMSKoqNOTPJY&#10;riCJKAgUFddTV65jwqf+tC3lQvnxhM21TNosn2IlQLGwFEAeTOoocib5+wl3gzzRb+xxoj8Zp4w/&#10;xiRtzniFiAAsEPQV4wVrSPHixe0YRPEylvif8cd3jvM/44AxCKHgXkA+pBilW6pUKdt/jDHkeGC8&#10;M1axMNWoUcNezzjBQgIxAIwXSDnEinHDvcIDC+OecUddqD/3mHcNQDb3JWMbAsVDD+DlB8iNt6RG&#10;uT3C8sorr1gyxD3LuKQ9IA/cS8iA3FMfxityGePkT7tCSiFaWIohL3yHKPLwA3HhXNoAKxK/aT+I&#10;B3MEgIy+9tpr1qrNvUr+nM89Sl94y2z0FdYriBn3CW1Lu3kgXyxRtFM4sCxSFsDDDXkDxiD3Ifcy&#10;ljvIHdY97j/yZExhgWQuJH8ecmgPlvfoD9qdOoQTNQcHh+tx31memMyZEHmi5IkTshALTHpYXbCw&#10;sEkWywwTDMsVKH8mdSZPiASKwDOhQ7p4wmXiJ1+UFpMjCoaJjEnTeyrmqZryMSkjD2sABAIix2TK&#10;0ycKCxM7eQBIC4qLyY2EYoR4oFA4D8IE8aKsPJUy4XEMpcVEiFyeLMOBgscyEQ7KST2ZbLE4sJQA&#10;WUThMMkiA+sAT+AoGawZTPYoHdqK62kL8mfjMuSVelM3yo9y5TjlwnLGfjH6CIVyP+FukCdIAkqc&#10;TwgtxBarAeMESwfjDDC2GHvcEyhpyAZEAwKBlQIwXuhbFCp9B3ngHJbvWIJDPsQDsoCyhehAqsKt&#10;TvQ7RI0xDlmA7DCe6XvyBjxIeNYyxhyWLQgKSh4CBCA8PLhEWn4vCMYRdeOhhLqTFxYYSBDlhMRT&#10;fiwvlB9LL/VkTJI39y/3ESSUMQ1p4B6gDSBojFXqyX3NOdQfwsZ9zfzCuKedSOTNMcBDD/kz3iGT&#10;WKo4B6JFeSkr7UN78xsyxH3H/UP/eeA4Y4t7Ohw8aDEHANqTew/wsEZ9KS9zFkSMcUCfQ7I4xlxC&#10;vzAvQSiZPzjGNdSXcUy+Dg4OkVH45IlJEuKTlHRryUwCZnYJCb4xmByZzJiYMIuHP7neCJAaJjEm&#10;IpQJSgKFwKTMJILVhckUZcS5PMV5Fh0IBpMOZI1JmcmHCRflweSM9YvJiadsrmVSZ9JCaXjLBpAS&#10;CBxPnZAvnkQBiggFhXWKzayQFCZ2CAyTNkqBPCkLe5M4jhUKudQfuQWVL/Vj8g4HEzbkj6dOJlmU&#10;H/lgjUAWbcp1fAKWN5DPfygd6kn5aQcUDoqPukLEUGhYMqgTZU5PT7fyWT6gre4nYB2AHN4OMEb+&#10;/Oc/X9ugfSPQ3/QDY5exxNjHugDhReHTp4AxwzjEusIYZFwxBulvrgf0mzeueTnAy5uxB6lgjKBQ&#10;KRtji/yQyTjxwHH+g8whgzz4j3HhPcjQ/4whDzykMMa5BkXPPUM7Yp3ieyxwv5EX5eGTMct4hDxB&#10;SBiD7FmCzDGuyc+rJySVNuFeou1oT+RRRu5/xi31ZoxTF9oKUsQ53HvcB1yPHOrJ3EG+gPO9+5dz&#10;GfP8R4IoekvrPCQ1MXMk55IPcxHnePD62Lv/PFBPz+qHPO5jgEzqSJ/zPxY4ykY96AfaiMTYoFy0&#10;G/IpN/8xB0F0ud7BwSEyCp888TSEublr11tL5unXzK4hwbEB8fBISDxgUoXgeN8BExBPjZACzPUQ&#10;IsAEAznwAAkgPw8c82TwyUQLwv/3wMToTZTh53ogL69cniIEnEueTNo8dfJkitL0EC43HMgoWAbK&#10;5cnm0/vOeSSOUy6vznx6E2u4LP7zyuqB316dONc7XrCe9wNYQuEJHiXIWPm5CfKBUn7iiSeuWY5i&#10;AeUYPgZp3/DxAvgvfKx5n16/hl/Dd+9/gPzwPuM8j2gUBPcDx8LBf17eXBs+bgDjgvKTJ+SBBxWP&#10;1MUD5BUck5AcSBikDAsTxAb55B/eNgXLy/WeDO98Pr3v4Qi/zzhesF7h5fLkAD6pL4SF+xfrFyTU&#10;yyccyIjUzuHywo97ZeAzXBbneGX1zueTOhQ8r+B97ODgcD0KlzxxE3/8MY+uEub4W0k7dshokpDg&#10;OwOe2LCaQKKwYBXFCYXJlyUZSFTBSdfhzoKneJaDUIYsc/7cxJIoG31R+OGE6JcCrLlYRwsSsJsF&#10;9ytWHRL3b1G0pFBG6lpwed3BwaFoo3DJE4BA3c7k4FBEgSJkqQcie6uJJRiWaRwhdnBwcCh6KHzy&#10;5ODg4ODg4OBwH8GRJwcHBwcHBweHm4AjTw4ODg4ODg4ON4FCJU/s17h05XKBdEWXzedV3oSLM125&#10;dEkXzTWXr7o9Tw4ODg4ODg53F4VKns5evqD3vvvIpEPBzyMf6d2jH+uj/R/oyqpV0sqV0dOKlbq8&#10;fIW+2L1Va42MA6eCziMdHBwcHBwcHO4WCpU8HTt/WgM/yFW/HQH135mnvrvyNWv5XH3eq6uuprSI&#10;7EncSy1a6JI558CQ3pqwbpG6bs9R9ic/hiyIB/hBKeh35V4BTjoLOsUrTNBWeD92b3g5ODg4ODhE&#10;R6GTp/6GOPUm7czVnMUz9XW3jlJCEkG5bpySknXRfO4a3ldjNqSrlyFeXbdmKeuT6+O03Qg4gsNb&#10;Mp52SZ7n3aIASApehPmMBjw444H45wCvzDg1vBkQFgO/QniBvlcJp4ODg4ODw51AoZOnfob4QJzS&#10;c6frmy6GOCUmR7Y0eSk5RefN55bxgzXqvUz12Z2vAR/kqvu2bGUfjm15wqs44QWIyD5hwgQbkw6P&#10;z7GAV10IB4mwIuHeyfHfQ5iTcEsQzgtxoomFyCNCOKwkXEJ4rC/kIg9vxwAHgMOHD78udhV+fZAN&#10;6fMccRLYk+jsXjk4n/AtkcD/ONkjL8pAOAjCS3CtJxPv4175KTuhN7zQFxzDgzoOHgnd4f2PPK6J&#10;RfQcHBwcHBx+SShU8nTkwhlLfjKzJ+top/ZB4tQiAmHyUlKyzqWlav3UERr+frb67MqzxOlmyBMW&#10;FILcEiQTixPhLSAnsUAwT+J3EdOJ4J/EoQJcT9wwyAWeoyExkAlCPcycOdMGEsaSBEEiT2Jo8T+E&#10;hrAPWHII20FMKeJtEUiYqOlYlSA3WMYGDBhgryEkB6QGMpOcnGwDDXMNAVvxPD1o0KBrQUcBFiK8&#10;i0MQkUHZiLNVrVo1WweCqhLvjth8lB1iRJsQbgYrE4GQ+U1ZCBpKGWgDygooG6EtvJAODg4ODg4O&#10;DnfA8pSfMVHH2rW2xCg6cUrSmVZpWjFnjIZs9alvGHGKlzyxVwcCULNmzeusPx4gG1iGCHQK2QkH&#10;BKROnTqW7EBUCCKK1QUrEaEysF41btzYEiTkENi0ffv2NqI9VqkOHTpYMkJcMiKWUw6IFxHSCS5M&#10;mBcsVViTiMa+efNmWw5IEmQGslaxYkUbzBUCV65cOW3bts0G82zatKm1otWuXduSGw/UMSEhwRI7&#10;8oV0YXWCnHEdAVzJi6j5BEmmDBAwouRT30qVKmnHjh02MCiBhckPoofVDnAeZA8LlIODg4ODg0MQ&#10;hUqeLh47ou/bGUVsCAMbwH9CmLyUmKwf2qQpf+EEDdweUN+d1xOneMkTpIYAm2lpaaF/rgeWnh49&#10;elgyMmPGjNC/QUBiIEks20FmIDnEKqtevbpdakM2/0GsAFacVq1a2ejsRCiHbGGB4rzWrVtr9OjR&#10;dvkLCw9kiujmHIPIEMEd6xVEqEGDBjbmFsSG71isIEJYj/jetWtXpaSk2ACnlJmo8x6wbI0fP94e&#10;x+KEhYglS8rFUh3HscJxLb8pc+XKldW3b19r5cKqhGWLT/KhTNQd8sS5RHonrp+Dg4ODg4PDjyhU&#10;8iSi/GNtYhN4QcLkpcQk/dC2tbJypqifIUn9dl5Pmm6GPGF5grRAELCosKSFpckD5AUywP/hm8ix&#10;rGBBGjp0qCUxkIbc3Fy7b6hEiRL2P6xENWrUsJHe+Y4VCEsT5AMrD+SLJbf8/HzVq1fPXkOcM5bZ&#10;sD5hxQEQJJb6IDZYpBo2bGiXGokiz54jCAzLaJA8SBvWLqxJnEPZuc4Dy5Es1XE+ZeZ8lg2xRHGM&#10;8yF13lIfhKl06dJ2KY86cC11x3pFHQAyqAv1w8rmrE4ODg4ODg7Xo3DJE5ukU1NvTJ4SknSyfRvN&#10;XzzT7o3qH4E0eambIU/pn28LCb4x2OeD5adWrVrWyrN06dLQkSAgUKTw1/HZUwThYZ8QlhosUCyJ&#10;QYwgMRAYyBVvwEFe2ItUvnx5SzBYDmM5DmtP/fr1TXVTtWLFCks6IEmc27FjR7scB7CKcR1WKkgM&#10;e43IAxIF8QPIQC4ysDZBjFh+mzRpki27B5b3IEvkHQgE7Pmcw/Ifv5EBKfMIEOSOc2kflhyxLtEO&#10;LNlhGQPIp+0ow61GtXdwcHBwcLgfUfjkieU6lu0gUOGpeYIlTtOWz1G3D/PVd0fA+oOKlPp+EFDX&#10;rZlaveOdkOAbAzLA8hU+i7xltFiAcFSpUsUu2bFUhvUHOSTIEhakcFl8Z38R50IwOI832LBmQaQ8&#10;csabb+x74tO7lu/sRSIP/uMtPJb3+N/bpwVp8zZpcx7nY0kiD+R6YCmO/ymLJ5/zqTvXIzf8DUGu&#10;ZYmQcnIOCasVxNHbA8aeL9piz5491+Xl4ODg4ODgEEThkidDMtSpk9S+vdSx44+pXXud6N1d89Zm&#10;auCBFRqxe5lGmsRnpDR433KtnDdWl+fMDQm+vWDJauzYsaFfvxzwNh1LdixjAogWG8qxnDk4ODg4&#10;ODhERuGSp8uXpRMnfpqOH9fFH37Q8SsX9P3Fc/r+QvR0ypzDNSqkZSSsS1hsfmnw/EB5oB3cUp2D&#10;g4ODg0N0FC55cnBwcHBwcHC4z+DIk4ODg4ODg4PDTcCRJwcHBwcHBweHm4AjTw4ODg4ODg4ONwFH&#10;nhwcHBwcHBwcbgKOPDk4ODg4ODg43AQceXJwcHBwcHBwuAk48uTg4ODg4ODgcBNw5MnBwcHBwcHB&#10;IW5I/x/wnAFvklzMegAAAABJRU5ErkJgglBLAwQUAAYACAAAACEAOa1r09wAAAAFAQAADwAAAGRy&#10;cy9kb3ducmV2LnhtbEyPQUvDQBCF74L/YRnBm91NS4LEbEop6qkItoJ4m2anSWh2NmS3SfrvXb3o&#10;ZeDxHu99U6xn24mRBt861pAsFAjiypmWaw0fh5eHRxA+IBvsHJOGK3lYl7c3BebGTfxO4z7UIpaw&#10;z1FDE0KfS+mrhiz6heuJo3dyg8UQ5VBLM+AUy20nl0pl0mLLcaHBnrYNVef9xWp4nXDarJLncXc+&#10;ba9fh/Ttc5eQ1vd38+YJRKA5/IXhBz+iQxmZju7CxotOQ3wk/N7opekyA3HUkKmVAlkW8j99+Q0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vHa4xAwQAALgIAAAO&#10;AAAAAAAAAAAAAAAAADoCAABkcnMvZTJvRG9jLnhtbFBLAQItAAoAAAAAAAAAIQAR+/fm81YDAPNW&#10;AwAUAAAAAAAAAAAAAAAAAGkGAABkcnMvbWVkaWEvaW1hZ2UxLnBuZ1BLAQItABQABgAIAAAAIQA5&#10;rWvT3AAAAAUBAAAPAAAAAAAAAAAAAAAAAI5dAwBkcnMvZG93bnJldi54bWxQSwECLQAUAAYACAAA&#10;ACEAqiYOvrwAAAAhAQAAGQAAAAAAAAAAAAAAAACXXgMAZHJzL19yZWxzL2Uyb0RvYy54bWwucmVs&#10;c1BLBQYAAAAABgAGAHwBAACKX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83" o:spid="_x0000_s1028" type="#_x0000_t75" style="position:absolute;left:2381;width:29445;height:26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SsswgAAANsAAAAPAAAAZHJzL2Rvd25yZXYueG1sRI9Ba8JA&#10;FITvBf/D8gRvdaOGEqKriEXIJYdYf8Az+0wWs29Ddmviv+8WCj0OM/MNsztMthNPGrxxrGC1TEAQ&#10;104bbhRcv87vGQgfkDV2jknBizwc9rO3HebajVzR8xIaESHsc1TQhtDnUvq6JYt+6Xri6N3dYDFE&#10;OTRSDzhGuO3kOkk+pEXDcaHFnk4t1Y/Lt1XwebSr22gepg5pQdW6zEpOvVKL+XTcggg0hf/wX7vQ&#10;CrIN/H6JP0DufwAAAP//AwBQSwECLQAUAAYACAAAACEA2+H2y+4AAACFAQAAEwAAAAAAAAAAAAAA&#10;AAAAAAAAW0NvbnRlbnRfVHlwZXNdLnhtbFBLAQItABQABgAIAAAAIQBa9CxbvwAAABUBAAALAAAA&#10;AAAAAAAAAAAAAB8BAABfcmVscy8ucmVsc1BLAQItABQABgAIAAAAIQCtkSsswgAAANsAAAAPAAAA&#10;AAAAAAAAAAAAAAcCAABkcnMvZG93bnJldi54bWxQSwUGAAAAAAMAAwC3AAAA9gIAAAAA&#10;">
                  <v:imagedata r:id="rId100" o:title=""/>
                </v:shape>
                <v:shapetype id="_x0000_t202" coordsize="21600,21600" o:spt="202" path="m,l,21600r21600,l21600,xe">
                  <v:stroke joinstyle="miter"/>
                  <v:path gradientshapeok="t" o:connecttype="rect"/>
                </v:shapetype>
                <v:shape id="Pole tekstowe 53" o:spid="_x0000_s1029" type="#_x0000_t202" style="position:absolute;top:26765;width:34290;height:10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PpxQAAANsAAAAPAAAAZHJzL2Rvd25yZXYueG1sRI9Pa8JA&#10;FMTvBb/D8oReim6aUpHoKta00EN70IrnR/aZBLNvw+6aP9++Wyh4HGbmN8x6O5hGdOR8bVnB8zwB&#10;QVxYXXOp4PTzMVuC8AFZY2OZFIzkYbuZPKwx07bnA3XHUIoIYZ+hgiqENpPSFxUZ9HPbEkfvYp3B&#10;EKUrpXbYR7hpZJokC2mw5rhQYUv7iorr8WYULHJ36w+8f8pP71/43Zbp+W08K/U4HXYrEIGGcA//&#10;tz+1gtcX+PsSf4Dc/AIAAP//AwBQSwECLQAUAAYACAAAACEA2+H2y+4AAACFAQAAEwAAAAAAAAAA&#10;AAAAAAAAAAAAW0NvbnRlbnRfVHlwZXNdLnhtbFBLAQItABQABgAIAAAAIQBa9CxbvwAAABUBAAAL&#10;AAAAAAAAAAAAAAAAAB8BAABfcmVscy8ucmVsc1BLAQItABQABgAIAAAAIQD/mvPpxQAAANsAAAAP&#10;AAAAAAAAAAAAAAAAAAcCAABkcnMvZG93bnJldi54bWxQSwUGAAAAAAMAAwC3AAAA+QIAAAAA&#10;" stroked="f">
                  <v:textbox inset="0,0,0,0">
                    <w:txbxContent>
                      <w:p w14:paraId="16341C99" w14:textId="77777777" w:rsidR="00B2552D" w:rsidRDefault="00B2552D" w:rsidP="00B2552D">
                        <w:pPr>
                          <w:pStyle w:val="Legenda"/>
                          <w:rPr>
                            <w:sz w:val="22"/>
                            <w:szCs w:val="22"/>
                          </w:rPr>
                        </w:pPr>
                        <w:r w:rsidRPr="00907EEC">
                          <w:rPr>
                            <w:color w:val="000000" w:themeColor="text1"/>
                            <w:sz w:val="22"/>
                            <w:szCs w:val="22"/>
                          </w:rPr>
                          <w:t>Ryc. 2. Klasyfikacja stref w Polsce dla pyłu zawieszonego PM10 na podstawie oceny jakości powietrza za 2021 r. (klasa strefy, ochrona zdrowia)</w:t>
                        </w:r>
                        <w:r w:rsidRPr="00907EEC">
                          <w:rPr>
                            <w:sz w:val="22"/>
                            <w:szCs w:val="22"/>
                          </w:rPr>
                          <w:t xml:space="preserve"> </w:t>
                        </w:r>
                      </w:p>
                      <w:p w14:paraId="27D47659" w14:textId="105E8C2C" w:rsidR="00B2552D" w:rsidRPr="00B2552D" w:rsidRDefault="00B2552D" w:rsidP="00B2552D">
                        <w:pPr>
                          <w:pStyle w:val="Legenda"/>
                          <w:rPr>
                            <w:b w:val="0"/>
                            <w:bCs w:val="0"/>
                            <w:color w:val="auto"/>
                            <w:sz w:val="20"/>
                            <w:szCs w:val="20"/>
                          </w:rPr>
                        </w:pPr>
                        <w:r w:rsidRPr="00B2552D">
                          <w:rPr>
                            <w:b w:val="0"/>
                            <w:bCs w:val="0"/>
                            <w:color w:val="auto"/>
                            <w:sz w:val="20"/>
                            <w:szCs w:val="20"/>
                          </w:rPr>
                          <w:t>Klasa A – poziom stężeń pyłu zawieszonego PM10 nie przekracza poziomu dopuszczalnego</w:t>
                        </w:r>
                      </w:p>
                      <w:p w14:paraId="6A7D5985" w14:textId="1CCD08B4" w:rsidR="00B2552D" w:rsidRPr="00B2552D" w:rsidRDefault="00B2552D" w:rsidP="00B2552D">
                        <w:pPr>
                          <w:pStyle w:val="Legenda"/>
                          <w:rPr>
                            <w:rFonts w:eastAsiaTheme="minorHAnsi"/>
                            <w:b w:val="0"/>
                            <w:bCs w:val="0"/>
                            <w:color w:val="auto"/>
                            <w:sz w:val="20"/>
                            <w:szCs w:val="20"/>
                            <w:lang w:eastAsia="en-US"/>
                          </w:rPr>
                        </w:pPr>
                        <w:r w:rsidRPr="00B2552D">
                          <w:rPr>
                            <w:b w:val="0"/>
                            <w:bCs w:val="0"/>
                            <w:color w:val="auto"/>
                            <w:sz w:val="20"/>
                            <w:szCs w:val="20"/>
                          </w:rPr>
                          <w:t>Klasa C - poziom stężeń pyłu zawieszonego PM10 przekracza poziom dopuszczalny</w:t>
                        </w:r>
                      </w:p>
                    </w:txbxContent>
                  </v:textbox>
                </v:shape>
                <w10:anchorlock/>
              </v:group>
            </w:pict>
          </mc:Fallback>
        </mc:AlternateContent>
      </w:r>
    </w:p>
    <w:p w14:paraId="512CBC8F" w14:textId="77777777" w:rsidR="00B2552D" w:rsidRDefault="00B2552D" w:rsidP="00D33209">
      <w:pPr>
        <w:spacing w:after="60" w:line="300" w:lineRule="atLeast"/>
        <w:ind w:firstLine="567"/>
        <w:jc w:val="center"/>
        <w:rPr>
          <w:rFonts w:ascii="Times New Roman" w:hAnsi="Times New Roman" w:cs="Times New Roman"/>
          <w:sz w:val="24"/>
          <w:szCs w:val="24"/>
        </w:rPr>
      </w:pPr>
    </w:p>
    <w:p w14:paraId="4455E2E9" w14:textId="2BE96E7C" w:rsidR="00BB363C" w:rsidRPr="00C66ACD" w:rsidRDefault="00BB363C" w:rsidP="00B2552D">
      <w:pPr>
        <w:spacing w:after="60" w:line="300" w:lineRule="atLeast"/>
        <w:jc w:val="both"/>
        <w:rPr>
          <w:rFonts w:ascii="Times New Roman" w:hAnsi="Times New Roman" w:cs="Times New Roman"/>
          <w:sz w:val="24"/>
          <w:szCs w:val="24"/>
        </w:rPr>
      </w:pPr>
      <w:r w:rsidRPr="00C66ACD">
        <w:rPr>
          <w:rFonts w:ascii="Times New Roman" w:hAnsi="Times New Roman" w:cs="Times New Roman"/>
          <w:sz w:val="24"/>
          <w:szCs w:val="24"/>
        </w:rPr>
        <w:t>był standard dobowy dla</w:t>
      </w:r>
      <w:r>
        <w:rPr>
          <w:rFonts w:ascii="Times New Roman" w:hAnsi="Times New Roman" w:cs="Times New Roman"/>
          <w:sz w:val="24"/>
          <w:szCs w:val="24"/>
        </w:rPr>
        <w:t> </w:t>
      </w:r>
      <w:r w:rsidRPr="00C66ACD">
        <w:rPr>
          <w:rFonts w:ascii="Times New Roman" w:hAnsi="Times New Roman" w:cs="Times New Roman"/>
          <w:sz w:val="24"/>
          <w:szCs w:val="24"/>
        </w:rPr>
        <w:t>pyłu zawieszonego PM10 (</w:t>
      </w:r>
      <w:r>
        <w:rPr>
          <w:rFonts w:ascii="Times New Roman" w:hAnsi="Times New Roman" w:cs="Times New Roman"/>
          <w:sz w:val="24"/>
          <w:szCs w:val="24"/>
        </w:rPr>
        <w:t>Ryc.</w:t>
      </w:r>
      <w:r w:rsidRPr="00C66ACD">
        <w:rPr>
          <w:rFonts w:ascii="Times New Roman" w:hAnsi="Times New Roman" w:cs="Times New Roman"/>
          <w:sz w:val="24"/>
          <w:szCs w:val="24"/>
        </w:rPr>
        <w:t xml:space="preserve"> 2), standard roczny przekroczony był w 2 strefach.</w:t>
      </w:r>
    </w:p>
    <w:p w14:paraId="2DEEEDC5" w14:textId="4910429A" w:rsidR="00BB363C" w:rsidRPr="005E2831" w:rsidRDefault="00BB363C" w:rsidP="00BB363C">
      <w:pPr>
        <w:spacing w:after="60"/>
        <w:jc w:val="both"/>
        <w:rPr>
          <w:rFonts w:ascii="Times New Roman" w:hAnsi="Times New Roman" w:cs="Times New Roman"/>
          <w:b/>
        </w:rPr>
      </w:pPr>
    </w:p>
    <w:p w14:paraId="0B4329EF" w14:textId="1B000B30" w:rsidR="00BB363C" w:rsidRPr="005E2831" w:rsidRDefault="00B2552D" w:rsidP="00B2552D">
      <w:pPr>
        <w:spacing w:after="60" w:line="240" w:lineRule="auto"/>
        <w:jc w:val="center"/>
        <w:rPr>
          <w:rFonts w:ascii="Times New Roman" w:hAnsi="Times New Roman" w:cs="Times New Roman"/>
          <w:i/>
          <w:sz w:val="20"/>
          <w:szCs w:val="20"/>
        </w:rPr>
      </w:pPr>
      <w:r w:rsidRPr="005E2831">
        <w:rPr>
          <w:rFonts w:ascii="Times New Roman" w:eastAsia="Times New Roman" w:hAnsi="Times New Roman" w:cs="Times New Roman"/>
          <w:noProof/>
          <w:color w:val="000000"/>
          <w:sz w:val="24"/>
          <w:szCs w:val="24"/>
          <w:lang w:eastAsia="pl-PL"/>
        </w:rPr>
        <w:drawing>
          <wp:inline distT="0" distB="0" distL="0" distR="0" wp14:anchorId="5F205B98" wp14:editId="7766B141">
            <wp:extent cx="2946400" cy="2781300"/>
            <wp:effectExtent l="0" t="0" r="6350" b="0"/>
            <wp:docPr id="84" name="Obraz 84" descr="Obraz zawierający mapę rozkładu przestrzennego stężenia pyłu zawieszonego PM10 na obszarze Polski w 2021 rok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Obraz 84" descr="Obraz zawierający mapę rozkładu przestrzennego stężenia pyłu zawieszonego PM10 na obszarze Polski w 2021 roku&#10;"/>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946400" cy="2781300"/>
                    </a:xfrm>
                    <a:prstGeom prst="rect">
                      <a:avLst/>
                    </a:prstGeom>
                  </pic:spPr>
                </pic:pic>
              </a:graphicData>
            </a:graphic>
          </wp:inline>
        </w:drawing>
      </w:r>
    </w:p>
    <w:p w14:paraId="3DC8ED44" w14:textId="77873F4E" w:rsidR="00895F16" w:rsidRPr="007F400A" w:rsidRDefault="00895F16" w:rsidP="003000A7">
      <w:pPr>
        <w:spacing w:after="0"/>
        <w:rPr>
          <w:rFonts w:ascii="Times New Roman" w:hAnsi="Times New Roman"/>
          <w:sz w:val="24"/>
          <w:szCs w:val="24"/>
        </w:rPr>
      </w:pPr>
    </w:p>
    <w:p w14:paraId="1AF46DFD" w14:textId="77777777" w:rsidR="00094027" w:rsidRPr="007F400A" w:rsidRDefault="00094027" w:rsidP="00094027">
      <w:pPr>
        <w:spacing w:after="0"/>
        <w:rPr>
          <w:rFonts w:ascii="Times New Roman" w:hAnsi="Times New Roman"/>
          <w:b/>
        </w:rPr>
      </w:pPr>
      <w:r>
        <w:rPr>
          <w:rFonts w:ascii="Times New Roman" w:hAnsi="Times New Roman" w:cs="Times New Roman"/>
          <w:b/>
        </w:rPr>
        <w:t>Ryc.</w:t>
      </w:r>
      <w:r w:rsidRPr="005E2831">
        <w:rPr>
          <w:rFonts w:ascii="Times New Roman" w:hAnsi="Times New Roman" w:cs="Times New Roman"/>
          <w:b/>
        </w:rPr>
        <w:t xml:space="preserve"> 3. Rozkład przestrzenny stężenia</w:t>
      </w:r>
      <w:r>
        <w:rPr>
          <w:rFonts w:ascii="Times New Roman" w:hAnsi="Times New Roman" w:cs="Times New Roman"/>
          <w:b/>
        </w:rPr>
        <w:t xml:space="preserve"> pyłu zawieszonego</w:t>
      </w:r>
      <w:r w:rsidRPr="005E2831">
        <w:rPr>
          <w:rFonts w:ascii="Times New Roman" w:hAnsi="Times New Roman" w:cs="Times New Roman"/>
          <w:b/>
        </w:rPr>
        <w:t xml:space="preserve"> PM10 na obszarze Polski w 2021 roku, wyrażony jako 36-</w:t>
      </w:r>
      <w:r>
        <w:rPr>
          <w:rFonts w:ascii="Times New Roman" w:hAnsi="Times New Roman" w:cs="Times New Roman"/>
          <w:b/>
        </w:rPr>
        <w:t>t</w:t>
      </w:r>
      <w:r w:rsidRPr="005E2831">
        <w:rPr>
          <w:rFonts w:ascii="Times New Roman" w:hAnsi="Times New Roman" w:cs="Times New Roman"/>
          <w:b/>
        </w:rPr>
        <w:t>e</w:t>
      </w:r>
      <w:r>
        <w:rPr>
          <w:rFonts w:ascii="Times New Roman" w:hAnsi="Times New Roman" w:cs="Times New Roman"/>
          <w:b/>
        </w:rPr>
        <w:t> </w:t>
      </w:r>
      <w:r w:rsidRPr="005E2831">
        <w:rPr>
          <w:rFonts w:ascii="Times New Roman" w:hAnsi="Times New Roman" w:cs="Times New Roman"/>
          <w:b/>
        </w:rPr>
        <w:t>maksymalne stężenie średnie dobowe, określony na podstawie modelowania matematycznego oraz obiektywnego szacowania</w:t>
      </w:r>
    </w:p>
    <w:p w14:paraId="0B910A48" w14:textId="77777777" w:rsidR="00094027" w:rsidRDefault="00094027" w:rsidP="003000A7">
      <w:pPr>
        <w:spacing w:after="60"/>
        <w:ind w:firstLine="567"/>
        <w:jc w:val="both"/>
        <w:rPr>
          <w:rFonts w:ascii="Times New Roman" w:hAnsi="Times New Roman" w:cs="Times New Roman"/>
          <w:sz w:val="24"/>
          <w:szCs w:val="24"/>
        </w:rPr>
      </w:pPr>
    </w:p>
    <w:p w14:paraId="00C2C205" w14:textId="6446CF71" w:rsidR="00BB363C" w:rsidRPr="005E2831" w:rsidRDefault="00BB363C" w:rsidP="003000A7">
      <w:pPr>
        <w:spacing w:after="60"/>
        <w:ind w:firstLine="567"/>
        <w:jc w:val="both"/>
        <w:rPr>
          <w:rFonts w:ascii="Times New Roman" w:hAnsi="Times New Roman" w:cs="Times New Roman"/>
          <w:sz w:val="24"/>
          <w:szCs w:val="24"/>
        </w:rPr>
      </w:pPr>
      <w:r w:rsidRPr="005E2831">
        <w:rPr>
          <w:rFonts w:ascii="Times New Roman" w:hAnsi="Times New Roman" w:cs="Times New Roman"/>
          <w:sz w:val="24"/>
          <w:szCs w:val="24"/>
        </w:rPr>
        <w:t xml:space="preserve">Przekroczenia dobowego poziomu dopuszczalnego pyłu </w:t>
      </w:r>
      <w:r>
        <w:rPr>
          <w:rFonts w:ascii="Times New Roman" w:hAnsi="Times New Roman" w:cs="Times New Roman"/>
          <w:sz w:val="24"/>
          <w:szCs w:val="24"/>
        </w:rPr>
        <w:t xml:space="preserve">zawieszonego </w:t>
      </w:r>
      <w:r w:rsidRPr="005E2831">
        <w:rPr>
          <w:rFonts w:ascii="Times New Roman" w:hAnsi="Times New Roman" w:cs="Times New Roman"/>
          <w:sz w:val="24"/>
          <w:szCs w:val="24"/>
        </w:rPr>
        <w:t>PM10 obserwowane były w 2021 r. głównie w województwach małopolskim i śląskim oraz na niewielkich obszarach na terenach zurbanizowanych (</w:t>
      </w:r>
      <w:r>
        <w:rPr>
          <w:rFonts w:ascii="Times New Roman" w:hAnsi="Times New Roman" w:cs="Times New Roman"/>
          <w:sz w:val="24"/>
          <w:szCs w:val="24"/>
        </w:rPr>
        <w:t>Ryc.</w:t>
      </w:r>
      <w:r w:rsidRPr="005E2831">
        <w:rPr>
          <w:rFonts w:ascii="Times New Roman" w:hAnsi="Times New Roman" w:cs="Times New Roman"/>
          <w:sz w:val="24"/>
          <w:szCs w:val="24"/>
        </w:rPr>
        <w:t xml:space="preserve"> 3).</w:t>
      </w:r>
    </w:p>
    <w:p w14:paraId="389CAB19" w14:textId="77777777" w:rsidR="00BB363C" w:rsidRPr="005E2831" w:rsidRDefault="00BB363C" w:rsidP="003000A7">
      <w:pPr>
        <w:spacing w:after="60"/>
        <w:ind w:firstLine="567"/>
        <w:jc w:val="both"/>
        <w:rPr>
          <w:rFonts w:ascii="Times New Roman" w:hAnsi="Times New Roman" w:cs="Times New Roman"/>
          <w:sz w:val="24"/>
          <w:szCs w:val="24"/>
        </w:rPr>
      </w:pPr>
      <w:r w:rsidRPr="005E2831">
        <w:rPr>
          <w:rFonts w:ascii="Times New Roman" w:hAnsi="Times New Roman" w:cs="Times New Roman"/>
          <w:sz w:val="24"/>
          <w:szCs w:val="24"/>
        </w:rPr>
        <w:t>Liczba stref z przekroczeniami poziomu dopuszczalnego 20 µg/m</w:t>
      </w:r>
      <w:r w:rsidRPr="005E2831">
        <w:rPr>
          <w:rFonts w:ascii="Times New Roman" w:hAnsi="Times New Roman" w:cs="Times New Roman"/>
          <w:sz w:val="24"/>
          <w:szCs w:val="24"/>
          <w:vertAlign w:val="superscript"/>
        </w:rPr>
        <w:t>3</w:t>
      </w:r>
      <w:r w:rsidRPr="005E2831">
        <w:rPr>
          <w:rFonts w:ascii="Times New Roman" w:hAnsi="Times New Roman" w:cs="Times New Roman"/>
          <w:sz w:val="24"/>
          <w:szCs w:val="24"/>
        </w:rPr>
        <w:t xml:space="preserve"> (faza II) </w:t>
      </w:r>
      <w:r w:rsidRPr="005E2831">
        <w:rPr>
          <w:rFonts w:ascii="Times New Roman" w:hAnsi="Times New Roman" w:cs="Times New Roman"/>
          <w:bCs/>
        </w:rPr>
        <w:t>–</w:t>
      </w:r>
      <w:r w:rsidRPr="005E2831">
        <w:rPr>
          <w:rFonts w:ascii="Times New Roman" w:hAnsi="Times New Roman" w:cs="Times New Roman"/>
          <w:sz w:val="24"/>
          <w:szCs w:val="24"/>
        </w:rPr>
        <w:t xml:space="preserve"> dla pyłu zawieszonego PM2,5, który obowiązuje od początku 2020 r. </w:t>
      </w:r>
      <w:r w:rsidRPr="005E2831">
        <w:rPr>
          <w:rFonts w:ascii="Times New Roman" w:hAnsi="Times New Roman" w:cs="Times New Roman"/>
          <w:bCs/>
        </w:rPr>
        <w:t>–</w:t>
      </w:r>
      <w:r w:rsidRPr="005E2831">
        <w:rPr>
          <w:rFonts w:ascii="Times New Roman" w:hAnsi="Times New Roman" w:cs="Times New Roman"/>
          <w:sz w:val="24"/>
          <w:szCs w:val="24"/>
        </w:rPr>
        <w:t xml:space="preserve"> wynosiła 29 (</w:t>
      </w:r>
      <w:r>
        <w:rPr>
          <w:rFonts w:ascii="Times New Roman" w:hAnsi="Times New Roman" w:cs="Times New Roman"/>
          <w:sz w:val="24"/>
          <w:szCs w:val="24"/>
        </w:rPr>
        <w:t>Ryc.</w:t>
      </w:r>
      <w:r w:rsidRPr="005E2831">
        <w:rPr>
          <w:rFonts w:ascii="Times New Roman" w:hAnsi="Times New Roman" w:cs="Times New Roman"/>
          <w:sz w:val="24"/>
          <w:szCs w:val="24"/>
        </w:rPr>
        <w:t xml:space="preserve"> 4). Standard pyłu zawieszonego PM2,5 wynoszący 25 µg/m</w:t>
      </w:r>
      <w:r w:rsidRPr="005E2831">
        <w:rPr>
          <w:rFonts w:ascii="Times New Roman" w:hAnsi="Times New Roman" w:cs="Times New Roman"/>
          <w:sz w:val="24"/>
          <w:szCs w:val="24"/>
          <w:vertAlign w:val="superscript"/>
        </w:rPr>
        <w:t>3</w:t>
      </w:r>
      <w:r w:rsidRPr="005E2831">
        <w:rPr>
          <w:rFonts w:ascii="Times New Roman" w:hAnsi="Times New Roman" w:cs="Times New Roman"/>
          <w:sz w:val="24"/>
          <w:szCs w:val="24"/>
        </w:rPr>
        <w:t xml:space="preserve"> (faza I), który obowiązywał w Polsce do końca 2019 r., został przekroczony w 6 strefach. </w:t>
      </w:r>
    </w:p>
    <w:p w14:paraId="6D5CBE36" w14:textId="77777777" w:rsidR="00BB363C" w:rsidRPr="005E2831" w:rsidRDefault="00BB363C" w:rsidP="0040482D">
      <w:pPr>
        <w:keepLines/>
        <w:tabs>
          <w:tab w:val="left" w:pos="284"/>
        </w:tabs>
        <w:spacing w:after="60"/>
        <w:jc w:val="center"/>
        <w:rPr>
          <w:rFonts w:ascii="Times New Roman" w:hAnsi="Times New Roman" w:cs="Times New Roman"/>
          <w:noProof/>
          <w:color w:val="000000"/>
          <w:lang w:eastAsia="pl-PL"/>
        </w:rPr>
      </w:pPr>
      <w:r w:rsidRPr="005E2831">
        <w:rPr>
          <w:rFonts w:ascii="Times New Roman" w:hAnsi="Times New Roman" w:cs="Times New Roman"/>
          <w:noProof/>
          <w:lang w:eastAsia="pl-PL"/>
        </w:rPr>
        <w:drawing>
          <wp:inline distT="0" distB="0" distL="0" distR="0" wp14:anchorId="53D9E925" wp14:editId="610394A5">
            <wp:extent cx="2998144" cy="2934031"/>
            <wp:effectExtent l="0" t="0" r="0" b="0"/>
            <wp:docPr id="118" name="Obraz 118" descr="Obraz zawierający mapę Ryc. 4. Klasyfikacja stref w Polsce dla pyłu zawieszonego PM2,5 na podstawie rocznej oceny jakości powietrza za 2021 r. (ochrona zdrow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Obraz 118" descr="Obraz zawierający mapę Ryc. 4. Klasyfikacja stref w Polsce dla pyłu zawieszonego PM2,5 na podstawie rocznej oceny jakości powietrza za 2021 r. (ochrona zdrowia)"/>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031733" cy="2966902"/>
                    </a:xfrm>
                    <a:prstGeom prst="rect">
                      <a:avLst/>
                    </a:prstGeom>
                  </pic:spPr>
                </pic:pic>
              </a:graphicData>
            </a:graphic>
          </wp:inline>
        </w:drawing>
      </w:r>
    </w:p>
    <w:p w14:paraId="19FA1F8C" w14:textId="77777777" w:rsidR="00BB363C" w:rsidRPr="005E2831" w:rsidRDefault="00BB363C" w:rsidP="00BB363C">
      <w:pPr>
        <w:spacing w:after="60"/>
        <w:jc w:val="both"/>
        <w:rPr>
          <w:rFonts w:ascii="Times New Roman" w:hAnsi="Times New Roman" w:cs="Times New Roman"/>
          <w:b/>
        </w:rPr>
      </w:pPr>
      <w:r>
        <w:rPr>
          <w:rFonts w:ascii="Times New Roman" w:hAnsi="Times New Roman" w:cs="Times New Roman"/>
          <w:b/>
        </w:rPr>
        <w:t>Ryc.</w:t>
      </w:r>
      <w:r w:rsidRPr="005E2831">
        <w:rPr>
          <w:rFonts w:ascii="Times New Roman" w:hAnsi="Times New Roman" w:cs="Times New Roman"/>
          <w:b/>
        </w:rPr>
        <w:t xml:space="preserve"> 4. Klasyfikacja stref w Polsce dla pyłu zawieszonego PM2,5 na podstawie rocznej oceny jakości powietrza za 2021 r. (ochrona zdrowia)</w:t>
      </w:r>
    </w:p>
    <w:p w14:paraId="2B98F023" w14:textId="77777777" w:rsidR="00BB363C" w:rsidRPr="005E2831" w:rsidRDefault="00BB363C" w:rsidP="00BB363C">
      <w:pPr>
        <w:spacing w:after="60"/>
        <w:ind w:firstLine="708"/>
        <w:jc w:val="both"/>
        <w:rPr>
          <w:rFonts w:ascii="Times New Roman" w:hAnsi="Times New Roman" w:cs="Times New Roman"/>
          <w:i/>
          <w:sz w:val="20"/>
          <w:szCs w:val="20"/>
        </w:rPr>
      </w:pPr>
      <w:r w:rsidRPr="005E2831">
        <w:rPr>
          <w:rFonts w:ascii="Times New Roman" w:hAnsi="Times New Roman" w:cs="Times New Roman"/>
          <w:i/>
          <w:sz w:val="20"/>
          <w:szCs w:val="20"/>
        </w:rPr>
        <w:t>Klasa A – poziom stężeń pyłu zawieszonego PM2,5 nie przekracza poziomu dopuszczalnego</w:t>
      </w:r>
    </w:p>
    <w:p w14:paraId="36F9CD89" w14:textId="254143FC" w:rsidR="00895F16" w:rsidRPr="007F400A" w:rsidRDefault="00BB363C" w:rsidP="00BB363C">
      <w:pPr>
        <w:spacing w:after="0"/>
        <w:ind w:hanging="709"/>
        <w:jc w:val="center"/>
        <w:rPr>
          <w:rFonts w:ascii="Times New Roman" w:hAnsi="Times New Roman"/>
          <w:i/>
          <w:sz w:val="20"/>
          <w:szCs w:val="20"/>
        </w:rPr>
      </w:pPr>
      <w:r w:rsidRPr="005E2831">
        <w:rPr>
          <w:rFonts w:ascii="Times New Roman" w:hAnsi="Times New Roman" w:cs="Times New Roman"/>
          <w:i/>
          <w:sz w:val="20"/>
          <w:szCs w:val="20"/>
        </w:rPr>
        <w:t>Klasa C - poziom stężeń pyłu zawieszonego PM2,5 przekracza poziom dopuszczalny</w:t>
      </w:r>
      <w:r w:rsidR="00895F16" w:rsidRPr="007F400A">
        <w:rPr>
          <w:rFonts w:ascii="Times New Roman" w:hAnsi="Times New Roman"/>
          <w:i/>
          <w:sz w:val="20"/>
          <w:szCs w:val="20"/>
        </w:rPr>
        <w:t xml:space="preserve"> </w:t>
      </w:r>
    </w:p>
    <w:p w14:paraId="633E5B1E" w14:textId="77777777" w:rsidR="00BB363C" w:rsidRDefault="00BB363C" w:rsidP="00895F16">
      <w:pPr>
        <w:spacing w:after="0" w:line="300" w:lineRule="atLeast"/>
        <w:ind w:firstLine="567"/>
        <w:jc w:val="both"/>
        <w:rPr>
          <w:rFonts w:ascii="Times New Roman" w:hAnsi="Times New Roman"/>
          <w:sz w:val="24"/>
          <w:szCs w:val="24"/>
        </w:rPr>
      </w:pPr>
    </w:p>
    <w:p w14:paraId="38E409DC" w14:textId="77777777" w:rsidR="00BB363C" w:rsidRPr="005E2831" w:rsidRDefault="00BB363C" w:rsidP="003000A7">
      <w:pPr>
        <w:spacing w:after="60"/>
        <w:ind w:firstLine="567"/>
        <w:jc w:val="both"/>
        <w:rPr>
          <w:rFonts w:ascii="Times New Roman" w:hAnsi="Times New Roman" w:cs="Times New Roman"/>
          <w:sz w:val="24"/>
          <w:szCs w:val="24"/>
        </w:rPr>
      </w:pPr>
      <w:r w:rsidRPr="005E2831">
        <w:rPr>
          <w:rFonts w:ascii="Times New Roman" w:hAnsi="Times New Roman" w:cs="Times New Roman"/>
          <w:sz w:val="24"/>
          <w:szCs w:val="24"/>
        </w:rPr>
        <w:t xml:space="preserve">Utrzymujące się wciąż przekroczenia wartości normatywnych dla pyłu zawieszonego PM10, PM2,5 i </w:t>
      </w:r>
      <w:proofErr w:type="spellStart"/>
      <w:r w:rsidRPr="005E2831">
        <w:rPr>
          <w:rFonts w:ascii="Times New Roman" w:hAnsi="Times New Roman" w:cs="Times New Roman"/>
          <w:sz w:val="24"/>
          <w:szCs w:val="24"/>
        </w:rPr>
        <w:t>benzo</w:t>
      </w:r>
      <w:proofErr w:type="spellEnd"/>
      <w:r w:rsidRPr="005E2831">
        <w:rPr>
          <w:rFonts w:ascii="Times New Roman" w:hAnsi="Times New Roman" w:cs="Times New Roman"/>
          <w:sz w:val="24"/>
          <w:szCs w:val="24"/>
        </w:rPr>
        <w:t>(a)</w:t>
      </w:r>
      <w:proofErr w:type="spellStart"/>
      <w:r w:rsidRPr="005E2831">
        <w:rPr>
          <w:rFonts w:ascii="Times New Roman" w:hAnsi="Times New Roman" w:cs="Times New Roman"/>
          <w:sz w:val="24"/>
          <w:szCs w:val="24"/>
        </w:rPr>
        <w:t>pirenu</w:t>
      </w:r>
      <w:proofErr w:type="spellEnd"/>
      <w:r w:rsidRPr="005E2831">
        <w:rPr>
          <w:rFonts w:ascii="Times New Roman" w:hAnsi="Times New Roman" w:cs="Times New Roman"/>
          <w:sz w:val="24"/>
          <w:szCs w:val="24"/>
        </w:rPr>
        <w:t xml:space="preserve"> w pyle zawieszonym PM10 spowodowane są głównie przez wysoki poziom emisji tych zanieczyszczeń i ich prekursorów z procesów spalania, zwłaszcza w piecach domowych i </w:t>
      </w:r>
      <w:proofErr w:type="spellStart"/>
      <w:r w:rsidRPr="005E2831">
        <w:rPr>
          <w:rFonts w:ascii="Times New Roman" w:hAnsi="Times New Roman" w:cs="Times New Roman"/>
          <w:sz w:val="24"/>
          <w:szCs w:val="24"/>
        </w:rPr>
        <w:t>niskosprawnych</w:t>
      </w:r>
      <w:proofErr w:type="spellEnd"/>
      <w:r w:rsidRPr="005E2831">
        <w:rPr>
          <w:rFonts w:ascii="Times New Roman" w:hAnsi="Times New Roman" w:cs="Times New Roman"/>
          <w:sz w:val="24"/>
          <w:szCs w:val="24"/>
        </w:rPr>
        <w:t xml:space="preserve"> ciepłowniach lokalnych. </w:t>
      </w:r>
    </w:p>
    <w:p w14:paraId="1F5B0AA0" w14:textId="77777777" w:rsidR="00BB363C" w:rsidRPr="005E2831" w:rsidRDefault="00BB363C" w:rsidP="003000A7">
      <w:pPr>
        <w:spacing w:after="60"/>
        <w:ind w:firstLine="567"/>
        <w:jc w:val="both"/>
        <w:rPr>
          <w:rFonts w:ascii="Times New Roman" w:hAnsi="Times New Roman" w:cs="Times New Roman"/>
          <w:sz w:val="24"/>
          <w:szCs w:val="24"/>
        </w:rPr>
      </w:pPr>
      <w:r w:rsidRPr="005E2831">
        <w:rPr>
          <w:rFonts w:ascii="Times New Roman" w:hAnsi="Times New Roman" w:cs="Times New Roman"/>
          <w:sz w:val="24"/>
          <w:szCs w:val="24"/>
        </w:rPr>
        <w:t>W 2022 r. Główny Inspektor Ochrony Środowiska przekazał wyniki ocen jakości powietrza za</w:t>
      </w:r>
      <w:r>
        <w:rPr>
          <w:rFonts w:ascii="Times New Roman" w:hAnsi="Times New Roman" w:cs="Times New Roman"/>
          <w:sz w:val="24"/>
          <w:szCs w:val="24"/>
        </w:rPr>
        <w:t> </w:t>
      </w:r>
      <w:r w:rsidRPr="005E2831">
        <w:rPr>
          <w:rFonts w:ascii="Times New Roman" w:hAnsi="Times New Roman" w:cs="Times New Roman"/>
          <w:sz w:val="24"/>
          <w:szCs w:val="24"/>
        </w:rPr>
        <w:t>rok 2021 dla poszczególnych województw zarządom województw, które odpowiadają za</w:t>
      </w:r>
      <w:r>
        <w:rPr>
          <w:rFonts w:ascii="Times New Roman" w:hAnsi="Times New Roman" w:cs="Times New Roman"/>
          <w:sz w:val="24"/>
          <w:szCs w:val="24"/>
        </w:rPr>
        <w:t> </w:t>
      </w:r>
      <w:r w:rsidRPr="005E2831">
        <w:rPr>
          <w:rFonts w:ascii="Times New Roman" w:hAnsi="Times New Roman" w:cs="Times New Roman"/>
          <w:sz w:val="24"/>
          <w:szCs w:val="24"/>
        </w:rPr>
        <w:t>sporządzanie i aktualizację programów ochrony powietrza.</w:t>
      </w:r>
    </w:p>
    <w:p w14:paraId="02B35D77" w14:textId="77777777" w:rsidR="00BB363C" w:rsidRPr="005E2831" w:rsidRDefault="00BB363C" w:rsidP="003000A7">
      <w:pPr>
        <w:spacing w:after="60"/>
        <w:ind w:firstLine="567"/>
        <w:jc w:val="both"/>
        <w:rPr>
          <w:rFonts w:ascii="Times New Roman" w:hAnsi="Times New Roman" w:cs="Times New Roman"/>
          <w:sz w:val="24"/>
          <w:szCs w:val="24"/>
        </w:rPr>
      </w:pPr>
      <w:r w:rsidRPr="005E2831">
        <w:rPr>
          <w:rFonts w:ascii="Times New Roman" w:hAnsi="Times New Roman" w:cs="Times New Roman"/>
          <w:sz w:val="24"/>
          <w:szCs w:val="24"/>
        </w:rPr>
        <w:t>Główny Inspektor Ochrony Środowiska, realizując obowiązki sprawozdawcze Ministra Klimatu i Środowiska wynikające z dyrektyw i decyzji</w:t>
      </w:r>
      <w:r w:rsidRPr="005E2831">
        <w:rPr>
          <w:rFonts w:ascii="Times New Roman" w:hAnsi="Times New Roman" w:cs="Times New Roman"/>
          <w:sz w:val="24"/>
          <w:szCs w:val="24"/>
          <w:vertAlign w:val="superscript"/>
        </w:rPr>
        <w:footnoteReference w:id="72"/>
      </w:r>
      <w:r w:rsidRPr="005E2831">
        <w:rPr>
          <w:rFonts w:ascii="Times New Roman" w:hAnsi="Times New Roman" w:cs="Times New Roman"/>
          <w:sz w:val="24"/>
          <w:szCs w:val="24"/>
        </w:rPr>
        <w:t xml:space="preserve">, opracował i przekazał do Komisji Europejskiej w 2022 r.: informacje o działającym w 2021 r. systemie oceny jakości powietrza, </w:t>
      </w:r>
      <w:r w:rsidRPr="005E2831">
        <w:rPr>
          <w:rFonts w:ascii="Times New Roman" w:hAnsi="Times New Roman" w:cs="Times New Roman"/>
          <w:sz w:val="24"/>
          <w:szCs w:val="24"/>
        </w:rPr>
        <w:lastRenderedPageBreak/>
        <w:t>wyniki pomiarów zanieczyszczenia powietrza uzyskane na stacjach monitoringu jakości powietrza (do europejskiej bazy danych EEA), wyniki modelowania matematycznego wykorzystane w rocznej ocenie jakości powietrza, a także wyniki rocznej oceny jakości powietrza za 2021 r. i raport dotyczący systemu oceny jakości powietrza planowanego na</w:t>
      </w:r>
      <w:r>
        <w:rPr>
          <w:rFonts w:ascii="Times New Roman" w:hAnsi="Times New Roman" w:cs="Times New Roman"/>
          <w:sz w:val="24"/>
          <w:szCs w:val="24"/>
        </w:rPr>
        <w:t> </w:t>
      </w:r>
      <w:r w:rsidRPr="005E2831">
        <w:rPr>
          <w:rFonts w:ascii="Times New Roman" w:hAnsi="Times New Roman" w:cs="Times New Roman"/>
          <w:sz w:val="24"/>
          <w:szCs w:val="24"/>
        </w:rPr>
        <w:t>2023 r. Jednocześnie w 2022 r. przekazywał na bieżąco (co godzinę) dane o</w:t>
      </w:r>
      <w:r>
        <w:rPr>
          <w:rFonts w:ascii="Times New Roman" w:hAnsi="Times New Roman" w:cs="Times New Roman"/>
          <w:sz w:val="24"/>
          <w:szCs w:val="24"/>
        </w:rPr>
        <w:t> </w:t>
      </w:r>
      <w:r w:rsidRPr="005E2831">
        <w:rPr>
          <w:rFonts w:ascii="Times New Roman" w:hAnsi="Times New Roman" w:cs="Times New Roman"/>
          <w:sz w:val="24"/>
          <w:szCs w:val="24"/>
        </w:rPr>
        <w:t>zanieczyszczeniu powietrza z automatycznych stacji pomiarowych do EEA.</w:t>
      </w:r>
    </w:p>
    <w:p w14:paraId="7EF82CE2" w14:textId="361560B1" w:rsidR="00895F16" w:rsidRPr="007F400A" w:rsidRDefault="00BB363C" w:rsidP="00535853">
      <w:pPr>
        <w:spacing w:after="0" w:line="300" w:lineRule="atLeast"/>
        <w:ind w:firstLine="567"/>
        <w:jc w:val="both"/>
        <w:rPr>
          <w:rFonts w:ascii="Times New Roman" w:hAnsi="Times New Roman"/>
          <w:sz w:val="24"/>
          <w:szCs w:val="24"/>
        </w:rPr>
      </w:pPr>
      <w:r w:rsidRPr="005E2831">
        <w:rPr>
          <w:rFonts w:ascii="Times New Roman" w:hAnsi="Times New Roman" w:cs="Times New Roman"/>
          <w:sz w:val="24"/>
          <w:szCs w:val="24"/>
        </w:rPr>
        <w:t xml:space="preserve">Wyniki rocznej oceny jakości powietrza i zweryfikowane wyniki pomiarów za 2021 r. zostały zamieszczone na portalu </w:t>
      </w:r>
      <w:r w:rsidRPr="005E2831">
        <w:rPr>
          <w:rFonts w:ascii="Times New Roman" w:hAnsi="Times New Roman" w:cs="Times New Roman"/>
          <w:sz w:val="24"/>
          <w:szCs w:val="24"/>
          <w:lang w:eastAsia="pl-PL"/>
        </w:rPr>
        <w:t>internetowym GIOŚ „Jakość powietrza”</w:t>
      </w:r>
      <w:r w:rsidR="00895F16" w:rsidRPr="007F400A">
        <w:rPr>
          <w:rFonts w:ascii="Times New Roman" w:hAnsi="Times New Roman"/>
          <w:sz w:val="24"/>
          <w:szCs w:val="24"/>
        </w:rPr>
        <w:t>.</w:t>
      </w:r>
    </w:p>
    <w:p w14:paraId="11DEE612" w14:textId="77777777" w:rsidR="00895F16" w:rsidRPr="007F400A" w:rsidRDefault="00895F16" w:rsidP="00895F16">
      <w:pPr>
        <w:spacing w:after="0" w:line="300" w:lineRule="atLeast"/>
        <w:ind w:firstLine="709"/>
        <w:jc w:val="both"/>
        <w:rPr>
          <w:rFonts w:ascii="Times New Roman" w:hAnsi="Times New Roman" w:cs="Times New Roman"/>
          <w:sz w:val="24"/>
          <w:szCs w:val="24"/>
        </w:rPr>
      </w:pPr>
    </w:p>
    <w:p w14:paraId="2F2CFFB4" w14:textId="77777777" w:rsidR="00895F16" w:rsidRPr="007F400A" w:rsidRDefault="00895F16" w:rsidP="00895F16">
      <w:pPr>
        <w:keepNext/>
        <w:spacing w:after="60" w:line="300" w:lineRule="atLeast"/>
        <w:jc w:val="both"/>
        <w:outlineLvl w:val="0"/>
        <w:rPr>
          <w:rFonts w:ascii="Times New Roman" w:eastAsia="Times New Roman" w:hAnsi="Times New Roman" w:cs="Times New Roman"/>
          <w:b/>
          <w:bCs/>
          <w:sz w:val="24"/>
          <w:szCs w:val="24"/>
          <w:lang w:eastAsia="x-none"/>
        </w:rPr>
      </w:pPr>
      <w:bookmarkStart w:id="372" w:name="_Toc36732626"/>
      <w:bookmarkStart w:id="373" w:name="_Toc135935694"/>
      <w:r w:rsidRPr="007F400A">
        <w:rPr>
          <w:rFonts w:ascii="Times New Roman" w:eastAsia="Times New Roman" w:hAnsi="Times New Roman" w:cs="Times New Roman"/>
          <w:b/>
          <w:bCs/>
          <w:sz w:val="24"/>
          <w:szCs w:val="24"/>
          <w:lang w:val="x-none" w:eastAsia="x-none"/>
        </w:rPr>
        <w:t>2.</w:t>
      </w:r>
      <w:r w:rsidRPr="007F400A">
        <w:rPr>
          <w:rFonts w:ascii="Times New Roman" w:eastAsia="Times New Roman" w:hAnsi="Times New Roman" w:cs="Times New Roman"/>
          <w:b/>
          <w:bCs/>
          <w:sz w:val="24"/>
          <w:szCs w:val="24"/>
          <w:lang w:eastAsia="x-none"/>
        </w:rPr>
        <w:t>2</w:t>
      </w:r>
      <w:r w:rsidRPr="007F400A">
        <w:rPr>
          <w:rFonts w:ascii="Times New Roman" w:eastAsia="Times New Roman" w:hAnsi="Times New Roman" w:cs="Times New Roman"/>
          <w:b/>
          <w:bCs/>
          <w:sz w:val="24"/>
          <w:szCs w:val="24"/>
          <w:lang w:val="x-none" w:eastAsia="x-none"/>
        </w:rPr>
        <w:t xml:space="preserve"> </w:t>
      </w:r>
      <w:bookmarkEnd w:id="372"/>
      <w:r w:rsidRPr="007F400A">
        <w:rPr>
          <w:rFonts w:ascii="Times New Roman" w:eastAsia="Times New Roman" w:hAnsi="Times New Roman" w:cs="Times New Roman"/>
          <w:b/>
          <w:sz w:val="24"/>
          <w:szCs w:val="24"/>
          <w:lang w:val="x-none" w:eastAsia="x-none"/>
        </w:rPr>
        <w:t>Wykorzystanie metod modelowania matematycznego w ocen</w:t>
      </w:r>
      <w:r w:rsidRPr="007F400A">
        <w:rPr>
          <w:rFonts w:ascii="Times New Roman" w:eastAsia="Times New Roman" w:hAnsi="Times New Roman" w:cs="Times New Roman"/>
          <w:b/>
          <w:sz w:val="24"/>
          <w:szCs w:val="24"/>
          <w:lang w:eastAsia="x-none"/>
        </w:rPr>
        <w:t>ach</w:t>
      </w:r>
      <w:r w:rsidRPr="007F400A">
        <w:rPr>
          <w:rFonts w:ascii="Times New Roman" w:eastAsia="Times New Roman" w:hAnsi="Times New Roman" w:cs="Times New Roman"/>
          <w:b/>
          <w:sz w:val="24"/>
          <w:szCs w:val="24"/>
          <w:lang w:val="x-none" w:eastAsia="x-none"/>
        </w:rPr>
        <w:t xml:space="preserve"> i prognozach jakości powietrza</w:t>
      </w:r>
      <w:bookmarkEnd w:id="373"/>
    </w:p>
    <w:p w14:paraId="6C5A7AF3" w14:textId="1987F943" w:rsidR="00895F16" w:rsidRPr="007F400A" w:rsidRDefault="00895F16" w:rsidP="00535853">
      <w:pPr>
        <w:keepNext/>
        <w:spacing w:after="120" w:line="240" w:lineRule="auto"/>
        <w:jc w:val="both"/>
        <w:outlineLvl w:val="0"/>
        <w:rPr>
          <w:rFonts w:ascii="Times New Roman" w:eastAsia="Times New Roman" w:hAnsi="Times New Roman" w:cs="Times New Roman"/>
          <w:b/>
          <w:bCs/>
          <w:sz w:val="24"/>
          <w:szCs w:val="24"/>
          <w:lang w:val="x-none" w:eastAsia="x-none"/>
        </w:rPr>
      </w:pPr>
      <w:bookmarkStart w:id="374" w:name="_Toc135935695"/>
      <w:r w:rsidRPr="007F400A">
        <w:rPr>
          <w:rFonts w:ascii="Times New Roman" w:eastAsia="Times New Roman" w:hAnsi="Times New Roman" w:cs="Times New Roman"/>
          <w:b/>
          <w:bCs/>
          <w:sz w:val="24"/>
          <w:szCs w:val="24"/>
          <w:lang w:val="x-none" w:eastAsia="x-none"/>
        </w:rPr>
        <w:t xml:space="preserve">2.2.1 </w:t>
      </w:r>
      <w:r w:rsidR="00BB363C" w:rsidRPr="00BB363C">
        <w:rPr>
          <w:rFonts w:ascii="Times New Roman" w:hAnsi="Times New Roman" w:cs="Times New Roman"/>
          <w:b/>
          <w:sz w:val="24"/>
          <w:szCs w:val="24"/>
        </w:rPr>
        <w:t>Modelowanie na potrzeby rocznych ocen jakości powietrza i wyznaczenia reprezentatywności stanowisk pomiarowych</w:t>
      </w:r>
      <w:bookmarkEnd w:id="374"/>
    </w:p>
    <w:p w14:paraId="1BD9B49D" w14:textId="77777777" w:rsidR="00AC3A0B" w:rsidRPr="005E2831" w:rsidRDefault="00AC3A0B" w:rsidP="00AC3A0B">
      <w:pPr>
        <w:spacing w:after="60"/>
        <w:ind w:firstLine="566"/>
        <w:jc w:val="both"/>
        <w:rPr>
          <w:rFonts w:ascii="Times New Roman" w:hAnsi="Times New Roman" w:cs="Times New Roman"/>
          <w:sz w:val="24"/>
          <w:szCs w:val="24"/>
        </w:rPr>
      </w:pPr>
      <w:r w:rsidRPr="005E2831">
        <w:rPr>
          <w:rFonts w:ascii="Times New Roman" w:hAnsi="Times New Roman" w:cs="Times New Roman"/>
          <w:sz w:val="24"/>
          <w:szCs w:val="24"/>
        </w:rPr>
        <w:t>W 2022 r. modelowanie matematyczne transportu i przemian substancji w powietrzu dla</w:t>
      </w:r>
      <w:r>
        <w:rPr>
          <w:rFonts w:ascii="Times New Roman" w:hAnsi="Times New Roman" w:cs="Times New Roman"/>
          <w:sz w:val="24"/>
          <w:szCs w:val="24"/>
        </w:rPr>
        <w:t> </w:t>
      </w:r>
      <w:r w:rsidRPr="005E2831">
        <w:rPr>
          <w:rFonts w:ascii="Times New Roman" w:hAnsi="Times New Roman" w:cs="Times New Roman"/>
          <w:sz w:val="24"/>
          <w:szCs w:val="24"/>
        </w:rPr>
        <w:t>potrzeb rocznej ocen jakości powietrza</w:t>
      </w:r>
      <w:r w:rsidRPr="005E2831">
        <w:rPr>
          <w:rStyle w:val="Odwoanieprzypisudolnego"/>
          <w:rFonts w:cs="Times New Roman"/>
          <w:sz w:val="24"/>
          <w:szCs w:val="24"/>
        </w:rPr>
        <w:footnoteReference w:id="73"/>
      </w:r>
      <w:r w:rsidRPr="005E2831">
        <w:rPr>
          <w:rFonts w:ascii="Times New Roman" w:hAnsi="Times New Roman" w:cs="Times New Roman"/>
          <w:sz w:val="24"/>
          <w:szCs w:val="24"/>
        </w:rPr>
        <w:t xml:space="preserve"> za 2021 r. zostało wykonane w zakresie: ozonu troposferycznego,</w:t>
      </w:r>
      <w:r w:rsidRPr="005E2831">
        <w:rPr>
          <w:rFonts w:ascii="Times New Roman" w:hAnsi="Times New Roman" w:cs="Times New Roman"/>
          <w:bCs/>
          <w:sz w:val="24"/>
          <w:szCs w:val="24"/>
        </w:rPr>
        <w:t xml:space="preserve"> pyłu zawieszonego PM10 i PM2,5, SO</w:t>
      </w:r>
      <w:r w:rsidRPr="005E2831">
        <w:rPr>
          <w:rFonts w:ascii="Times New Roman" w:hAnsi="Times New Roman" w:cs="Times New Roman"/>
          <w:bCs/>
          <w:sz w:val="24"/>
          <w:szCs w:val="24"/>
          <w:vertAlign w:val="subscript"/>
        </w:rPr>
        <w:t>2</w:t>
      </w:r>
      <w:r w:rsidRPr="005E2831">
        <w:rPr>
          <w:rFonts w:ascii="Times New Roman" w:hAnsi="Times New Roman" w:cs="Times New Roman"/>
          <w:bCs/>
          <w:sz w:val="24"/>
          <w:szCs w:val="24"/>
        </w:rPr>
        <w:t>, NO</w:t>
      </w:r>
      <w:r w:rsidRPr="005E2831">
        <w:rPr>
          <w:rFonts w:ascii="Times New Roman" w:hAnsi="Times New Roman" w:cs="Times New Roman"/>
          <w:bCs/>
          <w:sz w:val="24"/>
          <w:szCs w:val="24"/>
          <w:vertAlign w:val="subscript"/>
        </w:rPr>
        <w:t>2</w:t>
      </w:r>
      <w:r w:rsidRPr="005E2831">
        <w:rPr>
          <w:rFonts w:ascii="Times New Roman" w:hAnsi="Times New Roman" w:cs="Times New Roman"/>
          <w:bCs/>
          <w:sz w:val="24"/>
          <w:szCs w:val="24"/>
        </w:rPr>
        <w:t>, NO</w:t>
      </w:r>
      <w:r w:rsidRPr="00712170">
        <w:rPr>
          <w:rFonts w:ascii="Times New Roman" w:hAnsi="Times New Roman" w:cs="Times New Roman"/>
          <w:bCs/>
          <w:sz w:val="24"/>
          <w:szCs w:val="24"/>
          <w:vertAlign w:val="subscript"/>
        </w:rPr>
        <w:t>X</w:t>
      </w:r>
      <w:r w:rsidRPr="005E2831">
        <w:rPr>
          <w:rFonts w:ascii="Times New Roman" w:hAnsi="Times New Roman" w:cs="Times New Roman"/>
          <w:bCs/>
          <w:sz w:val="24"/>
          <w:szCs w:val="24"/>
        </w:rPr>
        <w:t xml:space="preserve"> oraz </w:t>
      </w:r>
      <w:proofErr w:type="spellStart"/>
      <w:r w:rsidRPr="005E2831">
        <w:rPr>
          <w:rFonts w:ascii="Times New Roman" w:hAnsi="Times New Roman" w:cs="Times New Roman"/>
          <w:bCs/>
          <w:sz w:val="24"/>
          <w:szCs w:val="24"/>
        </w:rPr>
        <w:t>benzo</w:t>
      </w:r>
      <w:proofErr w:type="spellEnd"/>
      <w:r w:rsidRPr="005E2831">
        <w:rPr>
          <w:rFonts w:ascii="Times New Roman" w:hAnsi="Times New Roman" w:cs="Times New Roman"/>
          <w:bCs/>
          <w:sz w:val="24"/>
          <w:szCs w:val="24"/>
        </w:rPr>
        <w:t>(a)</w:t>
      </w:r>
      <w:proofErr w:type="spellStart"/>
      <w:r w:rsidRPr="005E2831">
        <w:rPr>
          <w:rFonts w:ascii="Times New Roman" w:hAnsi="Times New Roman" w:cs="Times New Roman"/>
          <w:bCs/>
          <w:sz w:val="24"/>
          <w:szCs w:val="24"/>
        </w:rPr>
        <w:t>pirenu</w:t>
      </w:r>
      <w:proofErr w:type="spellEnd"/>
      <w:r w:rsidRPr="005E2831">
        <w:rPr>
          <w:rFonts w:ascii="Times New Roman" w:hAnsi="Times New Roman" w:cs="Times New Roman"/>
          <w:bCs/>
          <w:sz w:val="24"/>
          <w:szCs w:val="24"/>
        </w:rPr>
        <w:t xml:space="preserve"> w pyle zawieszonym PM10, dla wszystkich </w:t>
      </w:r>
      <w:r w:rsidRPr="005E2831">
        <w:rPr>
          <w:rFonts w:ascii="Times New Roman" w:hAnsi="Times New Roman" w:cs="Times New Roman"/>
          <w:sz w:val="24"/>
          <w:szCs w:val="24"/>
        </w:rPr>
        <w:t xml:space="preserve">stref w kraju, przez Instytut Ochrony Środowiska </w:t>
      </w:r>
      <w:r w:rsidRPr="005E2831">
        <w:rPr>
          <w:rFonts w:ascii="Times New Roman" w:hAnsi="Times New Roman" w:cs="Times New Roman"/>
          <w:bCs/>
        </w:rPr>
        <w:t>–</w:t>
      </w:r>
      <w:r w:rsidRPr="005E2831">
        <w:rPr>
          <w:rFonts w:ascii="Times New Roman" w:hAnsi="Times New Roman" w:cs="Times New Roman"/>
          <w:sz w:val="24"/>
          <w:szCs w:val="24"/>
        </w:rPr>
        <w:t xml:space="preserve"> Państwowy Instytut Badawczy</w:t>
      </w:r>
      <w:r w:rsidRPr="005E2831">
        <w:rPr>
          <w:rStyle w:val="Odwoanieprzypisudolnego"/>
          <w:rFonts w:cs="Times New Roman"/>
          <w:sz w:val="24"/>
          <w:szCs w:val="24"/>
        </w:rPr>
        <w:footnoteReference w:id="74"/>
      </w:r>
      <w:r w:rsidRPr="005E2831">
        <w:rPr>
          <w:rFonts w:ascii="Times New Roman" w:hAnsi="Times New Roman" w:cs="Times New Roman"/>
          <w:sz w:val="24"/>
          <w:szCs w:val="24"/>
        </w:rPr>
        <w:t xml:space="preserve"> (IOŚ-PIB). Do obliczeń </w:t>
      </w:r>
      <w:r w:rsidRPr="005E2831">
        <w:rPr>
          <w:rFonts w:ascii="Times New Roman" w:hAnsi="Times New Roman" w:cs="Times New Roman"/>
          <w:color w:val="000000"/>
          <w:sz w:val="24"/>
          <w:szCs w:val="24"/>
        </w:rPr>
        <w:t>stężeń</w:t>
      </w:r>
      <w:r w:rsidRPr="005E2831">
        <w:rPr>
          <w:rFonts w:ascii="Times New Roman" w:hAnsi="Times New Roman" w:cs="Times New Roman"/>
          <w:sz w:val="24"/>
          <w:szCs w:val="24"/>
        </w:rPr>
        <w:t xml:space="preserve"> zanieczyszczeń przy powierzchni ziemi zastosowano model jakości powietrza GEM-AQ</w:t>
      </w:r>
      <w:r w:rsidRPr="005E2831">
        <w:rPr>
          <w:rStyle w:val="Odwoanieprzypisudolnego"/>
          <w:rFonts w:cs="Times New Roman"/>
          <w:sz w:val="24"/>
          <w:szCs w:val="24"/>
        </w:rPr>
        <w:footnoteReference w:id="75"/>
      </w:r>
      <w:r w:rsidRPr="005E2831">
        <w:rPr>
          <w:rFonts w:ascii="Times New Roman" w:hAnsi="Times New Roman" w:cs="Times New Roman"/>
          <w:sz w:val="24"/>
          <w:szCs w:val="24"/>
        </w:rPr>
        <w:t>.</w:t>
      </w:r>
    </w:p>
    <w:p w14:paraId="09F2B4D8" w14:textId="77777777" w:rsidR="00AC3A0B" w:rsidRPr="005E2831" w:rsidRDefault="00AC3A0B" w:rsidP="00AC3A0B">
      <w:pPr>
        <w:spacing w:after="60"/>
        <w:jc w:val="both"/>
        <w:rPr>
          <w:rFonts w:ascii="Times New Roman" w:hAnsi="Times New Roman" w:cs="Times New Roman"/>
          <w:sz w:val="24"/>
          <w:szCs w:val="24"/>
        </w:rPr>
      </w:pPr>
      <w:r w:rsidRPr="005E2831">
        <w:rPr>
          <w:rFonts w:ascii="Times New Roman" w:hAnsi="Times New Roman" w:cs="Times New Roman"/>
          <w:sz w:val="24"/>
          <w:szCs w:val="24"/>
        </w:rPr>
        <w:t xml:space="preserve">Dane emisyjne do tego modelowania zapewnił </w:t>
      </w:r>
      <w:r w:rsidRPr="005E2831">
        <w:rPr>
          <w:rFonts w:ascii="Times New Roman" w:hAnsi="Times New Roman" w:cs="Times New Roman"/>
          <w:bCs/>
          <w:sz w:val="24"/>
          <w:szCs w:val="24"/>
        </w:rPr>
        <w:t>Krajowy Ośrodek Bilansowania i Zarządzania Emisjami (</w:t>
      </w:r>
      <w:proofErr w:type="spellStart"/>
      <w:r w:rsidRPr="005E2831">
        <w:rPr>
          <w:rFonts w:ascii="Times New Roman" w:hAnsi="Times New Roman" w:cs="Times New Roman"/>
          <w:bCs/>
          <w:sz w:val="24"/>
          <w:szCs w:val="24"/>
        </w:rPr>
        <w:t>KOBiZE</w:t>
      </w:r>
      <w:proofErr w:type="spellEnd"/>
      <w:r w:rsidRPr="005E2831">
        <w:rPr>
          <w:rFonts w:ascii="Times New Roman" w:hAnsi="Times New Roman" w:cs="Times New Roman"/>
          <w:bCs/>
          <w:sz w:val="24"/>
          <w:szCs w:val="24"/>
        </w:rPr>
        <w:t xml:space="preserve">) znajdujący się w IOŚ-PIB. </w:t>
      </w:r>
    </w:p>
    <w:p w14:paraId="26BB3F66" w14:textId="3F1072B9" w:rsidR="00895F16" w:rsidRPr="007F400A" w:rsidRDefault="00AC3A0B" w:rsidP="00AC3A0B">
      <w:pPr>
        <w:spacing w:after="0" w:line="300" w:lineRule="atLeast"/>
        <w:ind w:firstLine="567"/>
        <w:jc w:val="both"/>
        <w:rPr>
          <w:rFonts w:ascii="Times New Roman" w:hAnsi="Times New Roman"/>
          <w:sz w:val="24"/>
          <w:szCs w:val="24"/>
        </w:rPr>
      </w:pPr>
      <w:r w:rsidRPr="005E2831">
        <w:rPr>
          <w:rFonts w:ascii="Times New Roman" w:eastAsia="Times New Roman" w:hAnsi="Times New Roman" w:cs="Times New Roman"/>
          <w:sz w:val="24"/>
          <w:szCs w:val="24"/>
          <w:lang w:eastAsia="pl-PL"/>
        </w:rPr>
        <w:t>W ramach realizacji modelowania matematycznego Główny Inspektor</w:t>
      </w:r>
      <w:r w:rsidRPr="005E2831">
        <w:rPr>
          <w:rStyle w:val="Odwoanieprzypisudolnego"/>
          <w:rFonts w:eastAsia="Times New Roman" w:cs="Times New Roman"/>
          <w:sz w:val="24"/>
          <w:szCs w:val="24"/>
          <w:lang w:eastAsia="pl-PL"/>
        </w:rPr>
        <w:footnoteReference w:id="76"/>
      </w:r>
      <w:r w:rsidRPr="005E2831">
        <w:rPr>
          <w:rFonts w:ascii="Times New Roman" w:eastAsia="Times New Roman" w:hAnsi="Times New Roman" w:cs="Times New Roman"/>
          <w:sz w:val="24"/>
          <w:szCs w:val="24"/>
          <w:lang w:eastAsia="pl-PL"/>
        </w:rPr>
        <w:t xml:space="preserve"> przekazał do IOŚ-PIB</w:t>
      </w:r>
      <w:r w:rsidR="00895F16" w:rsidRPr="007F400A">
        <w:rPr>
          <w:rFonts w:ascii="Times New Roman" w:eastAsia="Times New Roman" w:hAnsi="Times New Roman"/>
          <w:sz w:val="24"/>
          <w:szCs w:val="24"/>
          <w:lang w:eastAsia="pl-PL"/>
        </w:rPr>
        <w:t xml:space="preserve">: </w:t>
      </w:r>
    </w:p>
    <w:p w14:paraId="787BFC00" w14:textId="4AAD8E26" w:rsidR="00895F16" w:rsidRPr="007F400A" w:rsidRDefault="002568F9" w:rsidP="00D34F97">
      <w:pPr>
        <w:numPr>
          <w:ilvl w:val="0"/>
          <w:numId w:val="46"/>
        </w:numPr>
        <w:autoSpaceDE w:val="0"/>
        <w:autoSpaceDN w:val="0"/>
        <w:spacing w:after="0" w:line="300" w:lineRule="atLeast"/>
        <w:ind w:left="567" w:hanging="567"/>
        <w:jc w:val="both"/>
        <w:rPr>
          <w:rFonts w:ascii="Times New Roman" w:eastAsia="Times New Roman" w:hAnsi="Times New Roman"/>
          <w:sz w:val="24"/>
          <w:szCs w:val="24"/>
          <w:lang w:eastAsia="pl-PL"/>
        </w:rPr>
      </w:pPr>
      <w:r w:rsidRPr="005E2831">
        <w:rPr>
          <w:rFonts w:ascii="Times New Roman" w:eastAsia="Times New Roman" w:hAnsi="Times New Roman" w:cs="Times New Roman"/>
          <w:sz w:val="24"/>
          <w:szCs w:val="24"/>
          <w:lang w:eastAsia="pl-PL"/>
        </w:rPr>
        <w:t xml:space="preserve">wyniki pomiarów stężeń zanieczyszczeń za 2021 r. w odniesieniu do: </w:t>
      </w:r>
      <w:r w:rsidRPr="005E2831">
        <w:rPr>
          <w:rFonts w:ascii="Times New Roman" w:hAnsi="Times New Roman" w:cs="Times New Roman"/>
          <w:bCs/>
          <w:sz w:val="24"/>
          <w:szCs w:val="24"/>
        </w:rPr>
        <w:t>SO</w:t>
      </w:r>
      <w:r w:rsidRPr="005E2831">
        <w:rPr>
          <w:rFonts w:ascii="Times New Roman" w:hAnsi="Times New Roman" w:cs="Times New Roman"/>
          <w:bCs/>
          <w:sz w:val="24"/>
          <w:szCs w:val="24"/>
          <w:vertAlign w:val="subscript"/>
        </w:rPr>
        <w:t>2</w:t>
      </w:r>
      <w:r w:rsidRPr="005E2831">
        <w:rPr>
          <w:rFonts w:ascii="Times New Roman" w:hAnsi="Times New Roman" w:cs="Times New Roman"/>
          <w:bCs/>
          <w:sz w:val="24"/>
          <w:szCs w:val="24"/>
        </w:rPr>
        <w:t>, NO</w:t>
      </w:r>
      <w:r w:rsidRPr="005E2831">
        <w:rPr>
          <w:rFonts w:ascii="Times New Roman" w:hAnsi="Times New Roman" w:cs="Times New Roman"/>
          <w:bCs/>
          <w:sz w:val="24"/>
          <w:szCs w:val="24"/>
          <w:vertAlign w:val="subscript"/>
        </w:rPr>
        <w:t>2</w:t>
      </w:r>
      <w:r w:rsidRPr="005E2831">
        <w:rPr>
          <w:rFonts w:ascii="Times New Roman" w:hAnsi="Times New Roman" w:cs="Times New Roman"/>
          <w:bCs/>
          <w:sz w:val="24"/>
          <w:szCs w:val="24"/>
        </w:rPr>
        <w:t>, NO</w:t>
      </w:r>
      <w:r w:rsidRPr="00712170">
        <w:rPr>
          <w:rFonts w:ascii="Times New Roman" w:hAnsi="Times New Roman" w:cs="Times New Roman"/>
          <w:bCs/>
          <w:sz w:val="24"/>
          <w:szCs w:val="24"/>
          <w:vertAlign w:val="subscript"/>
        </w:rPr>
        <w:t>X</w:t>
      </w:r>
      <w:r w:rsidRPr="005E2831">
        <w:rPr>
          <w:rFonts w:ascii="Times New Roman" w:eastAsia="Times New Roman" w:hAnsi="Times New Roman" w:cs="Times New Roman"/>
          <w:sz w:val="24"/>
          <w:szCs w:val="24"/>
          <w:lang w:eastAsia="pl-PL"/>
        </w:rPr>
        <w:t>, pyłu zawieszonego PM10, pyłu zawieszonego PM2,5, O</w:t>
      </w:r>
      <w:r w:rsidRPr="005E2831">
        <w:rPr>
          <w:rFonts w:ascii="Times New Roman" w:eastAsia="Times New Roman" w:hAnsi="Times New Roman" w:cs="Times New Roman"/>
          <w:sz w:val="24"/>
          <w:szCs w:val="24"/>
          <w:vertAlign w:val="subscript"/>
          <w:lang w:eastAsia="pl-PL"/>
        </w:rPr>
        <w:t>3</w:t>
      </w:r>
      <w:r w:rsidRPr="005E2831">
        <w:rPr>
          <w:rFonts w:ascii="Times New Roman" w:eastAsia="Times New Roman" w:hAnsi="Times New Roman" w:cs="Times New Roman"/>
          <w:sz w:val="24"/>
          <w:szCs w:val="24"/>
          <w:lang w:eastAsia="pl-PL"/>
        </w:rPr>
        <w:t xml:space="preserve"> i CO oraz </w:t>
      </w:r>
      <w:proofErr w:type="spellStart"/>
      <w:r w:rsidRPr="005E2831">
        <w:rPr>
          <w:rFonts w:ascii="Times New Roman" w:eastAsia="Times New Roman" w:hAnsi="Times New Roman" w:cs="Times New Roman"/>
          <w:sz w:val="24"/>
          <w:szCs w:val="24"/>
          <w:lang w:eastAsia="pl-PL"/>
        </w:rPr>
        <w:t>benzo</w:t>
      </w:r>
      <w:proofErr w:type="spellEnd"/>
      <w:r w:rsidRPr="005E2831">
        <w:rPr>
          <w:rFonts w:ascii="Times New Roman" w:eastAsia="Times New Roman" w:hAnsi="Times New Roman" w:cs="Times New Roman"/>
          <w:sz w:val="24"/>
          <w:szCs w:val="24"/>
          <w:lang w:eastAsia="pl-PL"/>
        </w:rPr>
        <w:t>(a)</w:t>
      </w:r>
      <w:proofErr w:type="spellStart"/>
      <w:r w:rsidRPr="005E2831">
        <w:rPr>
          <w:rFonts w:ascii="Times New Roman" w:eastAsia="Times New Roman" w:hAnsi="Times New Roman" w:cs="Times New Roman"/>
          <w:sz w:val="24"/>
          <w:szCs w:val="24"/>
          <w:lang w:eastAsia="pl-PL"/>
        </w:rPr>
        <w:t>pirenu</w:t>
      </w:r>
      <w:proofErr w:type="spellEnd"/>
      <w:r w:rsidRPr="005E2831">
        <w:rPr>
          <w:rFonts w:ascii="Times New Roman" w:eastAsia="Times New Roman" w:hAnsi="Times New Roman" w:cs="Times New Roman"/>
          <w:sz w:val="24"/>
          <w:szCs w:val="24"/>
          <w:lang w:eastAsia="pl-PL"/>
        </w:rPr>
        <w:t xml:space="preserve"> w pyle zawieszonym PM10</w:t>
      </w:r>
      <w:r w:rsidR="00895F16" w:rsidRPr="007F400A">
        <w:rPr>
          <w:rFonts w:ascii="Times New Roman" w:eastAsia="Times New Roman" w:hAnsi="Times New Roman"/>
          <w:sz w:val="24"/>
          <w:szCs w:val="24"/>
          <w:lang w:eastAsia="pl-PL"/>
        </w:rPr>
        <w:t>,</w:t>
      </w:r>
    </w:p>
    <w:p w14:paraId="477F84EF" w14:textId="584F29DA" w:rsidR="00895F16" w:rsidRPr="002568F9" w:rsidRDefault="002568F9" w:rsidP="00D34F97">
      <w:pPr>
        <w:numPr>
          <w:ilvl w:val="0"/>
          <w:numId w:val="46"/>
        </w:numPr>
        <w:autoSpaceDE w:val="0"/>
        <w:autoSpaceDN w:val="0"/>
        <w:spacing w:after="0" w:line="300" w:lineRule="atLeast"/>
        <w:ind w:left="567" w:hanging="567"/>
        <w:jc w:val="both"/>
        <w:rPr>
          <w:rFonts w:ascii="Times New Roman" w:hAnsi="Times New Roman"/>
          <w:sz w:val="23"/>
          <w:szCs w:val="23"/>
          <w:lang w:eastAsia="pl-PL"/>
        </w:rPr>
      </w:pPr>
      <w:r w:rsidRPr="005E2831">
        <w:rPr>
          <w:rFonts w:ascii="Times New Roman" w:eastAsia="Times New Roman" w:hAnsi="Times New Roman" w:cs="Times New Roman"/>
          <w:sz w:val="24"/>
          <w:szCs w:val="24"/>
          <w:lang w:eastAsia="pl-PL"/>
        </w:rPr>
        <w:t>informację o nowych stanowiskach pomiarowych</w:t>
      </w:r>
      <w:r w:rsidRPr="005E2831">
        <w:rPr>
          <w:rFonts w:ascii="Times New Roman" w:hAnsi="Times New Roman" w:cs="Times New Roman"/>
          <w:sz w:val="24"/>
          <w:szCs w:val="24"/>
        </w:rPr>
        <w:t xml:space="preserve"> pyłu zawieszonego PM10, pyłu zawieszonego PM2,5, SO</w:t>
      </w:r>
      <w:r w:rsidRPr="005E2831">
        <w:rPr>
          <w:rFonts w:ascii="Times New Roman" w:hAnsi="Times New Roman" w:cs="Times New Roman"/>
          <w:sz w:val="24"/>
          <w:szCs w:val="24"/>
          <w:vertAlign w:val="subscript"/>
        </w:rPr>
        <w:t>2</w:t>
      </w:r>
      <w:r w:rsidRPr="005E2831">
        <w:rPr>
          <w:rFonts w:ascii="Times New Roman" w:hAnsi="Times New Roman" w:cs="Times New Roman"/>
          <w:sz w:val="24"/>
          <w:szCs w:val="24"/>
        </w:rPr>
        <w:t>, NO</w:t>
      </w:r>
      <w:r w:rsidRPr="005E2831">
        <w:rPr>
          <w:rFonts w:ascii="Times New Roman" w:hAnsi="Times New Roman" w:cs="Times New Roman"/>
          <w:sz w:val="24"/>
          <w:szCs w:val="24"/>
          <w:vertAlign w:val="subscript"/>
        </w:rPr>
        <w:t>2</w:t>
      </w:r>
      <w:r w:rsidRPr="005E2831">
        <w:rPr>
          <w:rFonts w:ascii="Times New Roman" w:hAnsi="Times New Roman" w:cs="Times New Roman"/>
          <w:sz w:val="24"/>
          <w:szCs w:val="24"/>
        </w:rPr>
        <w:t xml:space="preserve">, </w:t>
      </w:r>
      <w:r w:rsidRPr="005E2831">
        <w:rPr>
          <w:rFonts w:ascii="Times New Roman" w:hAnsi="Times New Roman" w:cs="Times New Roman"/>
          <w:bCs/>
          <w:sz w:val="24"/>
          <w:szCs w:val="24"/>
        </w:rPr>
        <w:t>NO</w:t>
      </w:r>
      <w:r w:rsidRPr="00712170">
        <w:rPr>
          <w:rFonts w:ascii="Times New Roman" w:hAnsi="Times New Roman" w:cs="Times New Roman"/>
          <w:bCs/>
          <w:sz w:val="24"/>
          <w:szCs w:val="24"/>
          <w:vertAlign w:val="subscript"/>
        </w:rPr>
        <w:t>X</w:t>
      </w:r>
      <w:r w:rsidRPr="005E2831">
        <w:rPr>
          <w:rFonts w:ascii="Times New Roman" w:hAnsi="Times New Roman" w:cs="Times New Roman"/>
          <w:sz w:val="24"/>
          <w:szCs w:val="24"/>
        </w:rPr>
        <w:t>, O</w:t>
      </w:r>
      <w:r w:rsidRPr="005E2831">
        <w:rPr>
          <w:rFonts w:ascii="Times New Roman" w:hAnsi="Times New Roman" w:cs="Times New Roman"/>
          <w:sz w:val="24"/>
          <w:szCs w:val="24"/>
          <w:vertAlign w:val="subscript"/>
        </w:rPr>
        <w:t>3</w:t>
      </w:r>
      <w:r w:rsidRPr="005E2831">
        <w:rPr>
          <w:rFonts w:ascii="Times New Roman" w:hAnsi="Times New Roman" w:cs="Times New Roman"/>
          <w:sz w:val="24"/>
          <w:szCs w:val="24"/>
        </w:rPr>
        <w:t>, benzenu, CO oraz Pb, As, Cd, Ni i </w:t>
      </w:r>
      <w:proofErr w:type="spellStart"/>
      <w:r w:rsidRPr="005E2831">
        <w:rPr>
          <w:rFonts w:ascii="Times New Roman" w:hAnsi="Times New Roman" w:cs="Times New Roman"/>
          <w:sz w:val="24"/>
          <w:szCs w:val="24"/>
        </w:rPr>
        <w:t>benzo</w:t>
      </w:r>
      <w:proofErr w:type="spellEnd"/>
      <w:r w:rsidRPr="005E2831">
        <w:rPr>
          <w:rFonts w:ascii="Times New Roman" w:hAnsi="Times New Roman" w:cs="Times New Roman"/>
          <w:sz w:val="24"/>
          <w:szCs w:val="24"/>
        </w:rPr>
        <w:t>(a)</w:t>
      </w:r>
      <w:proofErr w:type="spellStart"/>
      <w:r w:rsidRPr="005E2831">
        <w:rPr>
          <w:rFonts w:ascii="Times New Roman" w:hAnsi="Times New Roman" w:cs="Times New Roman"/>
          <w:sz w:val="24"/>
          <w:szCs w:val="24"/>
        </w:rPr>
        <w:t>pirenu</w:t>
      </w:r>
      <w:proofErr w:type="spellEnd"/>
      <w:r w:rsidRPr="005E2831">
        <w:rPr>
          <w:rFonts w:ascii="Times New Roman" w:hAnsi="Times New Roman" w:cs="Times New Roman"/>
          <w:sz w:val="24"/>
          <w:szCs w:val="24"/>
        </w:rPr>
        <w:t xml:space="preserve"> w pyle zawieszonym PM10</w:t>
      </w:r>
      <w:r w:rsidRPr="005E2831">
        <w:rPr>
          <w:rFonts w:ascii="Times New Roman" w:eastAsia="Times New Roman" w:hAnsi="Times New Roman" w:cs="Times New Roman"/>
          <w:sz w:val="24"/>
          <w:szCs w:val="24"/>
          <w:lang w:eastAsia="pl-PL"/>
        </w:rPr>
        <w:t xml:space="preserve"> funkcjonujących w 2021 r., dla których trzeba było wyznaczyć reprezentatywność oraz informację o </w:t>
      </w:r>
      <w:r w:rsidRPr="005E2831">
        <w:rPr>
          <w:rFonts w:ascii="Times New Roman" w:eastAsia="Times New Roman" w:hAnsi="Times New Roman" w:cs="Times New Roman"/>
          <w:color w:val="000000"/>
          <w:sz w:val="24"/>
          <w:szCs w:val="24"/>
          <w:lang w:eastAsia="pl-PL"/>
        </w:rPr>
        <w:t xml:space="preserve">funkcjonujących </w:t>
      </w:r>
      <w:r w:rsidRPr="005E2831">
        <w:rPr>
          <w:rFonts w:ascii="Times New Roman" w:hAnsi="Times New Roman" w:cs="Times New Roman"/>
          <w:sz w:val="24"/>
          <w:szCs w:val="24"/>
        </w:rPr>
        <w:t>stanowiskach pomiarowych pyłu zawieszonego PM10, pyłu zawieszonego PM2,5, SO</w:t>
      </w:r>
      <w:r w:rsidRPr="005E2831">
        <w:rPr>
          <w:rFonts w:ascii="Times New Roman" w:hAnsi="Times New Roman" w:cs="Times New Roman"/>
          <w:sz w:val="24"/>
          <w:szCs w:val="24"/>
          <w:vertAlign w:val="subscript"/>
        </w:rPr>
        <w:t>2</w:t>
      </w:r>
      <w:r w:rsidRPr="005E2831">
        <w:rPr>
          <w:rFonts w:ascii="Times New Roman" w:hAnsi="Times New Roman" w:cs="Times New Roman"/>
          <w:sz w:val="24"/>
          <w:szCs w:val="24"/>
        </w:rPr>
        <w:t>, NO</w:t>
      </w:r>
      <w:r w:rsidRPr="005E2831">
        <w:rPr>
          <w:rFonts w:ascii="Times New Roman" w:hAnsi="Times New Roman" w:cs="Times New Roman"/>
          <w:sz w:val="24"/>
          <w:szCs w:val="24"/>
          <w:vertAlign w:val="subscript"/>
        </w:rPr>
        <w:t>2</w:t>
      </w:r>
      <w:r w:rsidRPr="005E2831">
        <w:rPr>
          <w:rFonts w:ascii="Times New Roman" w:hAnsi="Times New Roman" w:cs="Times New Roman"/>
          <w:sz w:val="24"/>
          <w:szCs w:val="24"/>
        </w:rPr>
        <w:t xml:space="preserve">, </w:t>
      </w:r>
      <w:r w:rsidRPr="005E2831">
        <w:rPr>
          <w:rFonts w:ascii="Times New Roman" w:hAnsi="Times New Roman" w:cs="Times New Roman"/>
          <w:bCs/>
          <w:sz w:val="24"/>
          <w:szCs w:val="24"/>
        </w:rPr>
        <w:t>NO</w:t>
      </w:r>
      <w:r w:rsidRPr="00712170">
        <w:rPr>
          <w:rFonts w:ascii="Times New Roman" w:hAnsi="Times New Roman" w:cs="Times New Roman"/>
          <w:bCs/>
          <w:sz w:val="24"/>
          <w:szCs w:val="24"/>
          <w:vertAlign w:val="subscript"/>
        </w:rPr>
        <w:t>X</w:t>
      </w:r>
      <w:r w:rsidRPr="005E2831">
        <w:rPr>
          <w:rFonts w:ascii="Times New Roman" w:hAnsi="Times New Roman" w:cs="Times New Roman"/>
          <w:sz w:val="24"/>
          <w:szCs w:val="24"/>
        </w:rPr>
        <w:t>, O</w:t>
      </w:r>
      <w:r w:rsidRPr="005E2831">
        <w:rPr>
          <w:rFonts w:ascii="Times New Roman" w:hAnsi="Times New Roman" w:cs="Times New Roman"/>
          <w:sz w:val="24"/>
          <w:szCs w:val="24"/>
          <w:vertAlign w:val="subscript"/>
        </w:rPr>
        <w:t>3</w:t>
      </w:r>
      <w:r w:rsidRPr="005E2831">
        <w:rPr>
          <w:rFonts w:ascii="Times New Roman" w:hAnsi="Times New Roman" w:cs="Times New Roman"/>
          <w:sz w:val="24"/>
          <w:szCs w:val="24"/>
        </w:rPr>
        <w:t>, benzenu, CO oraz Pb, As, Cd, Ni i </w:t>
      </w:r>
      <w:proofErr w:type="spellStart"/>
      <w:r w:rsidRPr="005E2831">
        <w:rPr>
          <w:rFonts w:ascii="Times New Roman" w:hAnsi="Times New Roman" w:cs="Times New Roman"/>
          <w:sz w:val="24"/>
          <w:szCs w:val="24"/>
        </w:rPr>
        <w:t>benzo</w:t>
      </w:r>
      <w:proofErr w:type="spellEnd"/>
      <w:r w:rsidRPr="005E2831">
        <w:rPr>
          <w:rFonts w:ascii="Times New Roman" w:hAnsi="Times New Roman" w:cs="Times New Roman"/>
          <w:sz w:val="24"/>
          <w:szCs w:val="24"/>
        </w:rPr>
        <w:t>(a)</w:t>
      </w:r>
      <w:proofErr w:type="spellStart"/>
      <w:r w:rsidRPr="005E2831">
        <w:rPr>
          <w:rFonts w:ascii="Times New Roman" w:hAnsi="Times New Roman" w:cs="Times New Roman"/>
          <w:sz w:val="24"/>
          <w:szCs w:val="24"/>
        </w:rPr>
        <w:t>pirenu</w:t>
      </w:r>
      <w:proofErr w:type="spellEnd"/>
      <w:r w:rsidRPr="005E2831">
        <w:rPr>
          <w:rFonts w:ascii="Times New Roman" w:hAnsi="Times New Roman" w:cs="Times New Roman"/>
          <w:sz w:val="24"/>
          <w:szCs w:val="24"/>
        </w:rPr>
        <w:t xml:space="preserve"> w pyle zawieszonym PM10, dla których należało wyznaczyć reprezentatywność na okres kolejnych pięciu lat</w:t>
      </w:r>
      <w:r w:rsidR="00895F16" w:rsidRPr="007F400A">
        <w:rPr>
          <w:rFonts w:ascii="Times New Roman" w:hAnsi="Times New Roman"/>
          <w:sz w:val="24"/>
          <w:szCs w:val="24"/>
        </w:rPr>
        <w:t>.</w:t>
      </w:r>
    </w:p>
    <w:p w14:paraId="70057100" w14:textId="77777777" w:rsidR="002568F9" w:rsidRPr="007F400A" w:rsidRDefault="002568F9" w:rsidP="002568F9">
      <w:pPr>
        <w:autoSpaceDE w:val="0"/>
        <w:autoSpaceDN w:val="0"/>
        <w:spacing w:after="0" w:line="300" w:lineRule="atLeast"/>
        <w:ind w:left="567"/>
        <w:jc w:val="both"/>
        <w:rPr>
          <w:rFonts w:ascii="Times New Roman" w:hAnsi="Times New Roman"/>
          <w:sz w:val="23"/>
          <w:szCs w:val="23"/>
          <w:lang w:eastAsia="pl-PL"/>
        </w:rPr>
      </w:pPr>
    </w:p>
    <w:p w14:paraId="4E2E6C37" w14:textId="77777777" w:rsidR="002568F9" w:rsidRPr="005E2831" w:rsidRDefault="002568F9" w:rsidP="00535853">
      <w:pPr>
        <w:autoSpaceDE w:val="0"/>
        <w:autoSpaceDN w:val="0"/>
        <w:spacing w:after="60"/>
        <w:ind w:firstLine="567"/>
        <w:jc w:val="both"/>
        <w:rPr>
          <w:rFonts w:ascii="Times New Roman" w:eastAsia="Times New Roman" w:hAnsi="Times New Roman" w:cs="Times New Roman"/>
          <w:sz w:val="24"/>
          <w:szCs w:val="24"/>
          <w:lang w:eastAsia="pl-PL"/>
        </w:rPr>
      </w:pPr>
      <w:r w:rsidRPr="005E2831">
        <w:rPr>
          <w:rFonts w:ascii="Times New Roman" w:hAnsi="Times New Roman" w:cs="Times New Roman"/>
          <w:sz w:val="24"/>
          <w:szCs w:val="24"/>
        </w:rPr>
        <w:t xml:space="preserve">Główny Inspektor przeanalizował wyniki modelowania stężeń zanieczyszczeń powietrza, wykonywanego przez IOŚ-PIB, pod kątem ich wykorzystania dla potrzeb oceny jakości </w:t>
      </w:r>
      <w:r w:rsidRPr="005E2831">
        <w:rPr>
          <w:rFonts w:ascii="Times New Roman" w:hAnsi="Times New Roman" w:cs="Times New Roman"/>
          <w:sz w:val="24"/>
          <w:szCs w:val="24"/>
        </w:rPr>
        <w:lastRenderedPageBreak/>
        <w:t>powietrza za 2021 r. w poszczególnych strefach, jako informacji wspomagającej ww. ocenę. W wyniku przeprowadzonej analizy, do</w:t>
      </w:r>
      <w:r w:rsidRPr="005E2831">
        <w:rPr>
          <w:rFonts w:ascii="Times New Roman" w:eastAsia="Times New Roman" w:hAnsi="Times New Roman" w:cs="Times New Roman"/>
          <w:sz w:val="24"/>
          <w:szCs w:val="24"/>
          <w:lang w:eastAsia="pl-PL"/>
        </w:rPr>
        <w:t xml:space="preserve"> określenia obszarów przekroczeń norm jakości powietrza, </w:t>
      </w:r>
      <w:r w:rsidRPr="005E2831">
        <w:rPr>
          <w:rFonts w:ascii="Times New Roman" w:hAnsi="Times New Roman" w:cs="Times New Roman"/>
          <w:bCs/>
          <w:sz w:val="24"/>
          <w:szCs w:val="24"/>
        </w:rPr>
        <w:t xml:space="preserve">Główny Inspektor </w:t>
      </w:r>
      <w:r w:rsidRPr="005E2831">
        <w:rPr>
          <w:rFonts w:ascii="Times New Roman" w:eastAsia="Times New Roman" w:hAnsi="Times New Roman" w:cs="Times New Roman"/>
          <w:sz w:val="24"/>
          <w:szCs w:val="24"/>
          <w:lang w:eastAsia="pl-PL"/>
        </w:rPr>
        <w:t>wykorzystał otrzymane wyniki w odniesieniu do O</w:t>
      </w:r>
      <w:r w:rsidRPr="005E2831">
        <w:rPr>
          <w:rFonts w:ascii="Times New Roman" w:eastAsia="Times New Roman" w:hAnsi="Times New Roman" w:cs="Times New Roman"/>
          <w:sz w:val="24"/>
          <w:szCs w:val="24"/>
          <w:vertAlign w:val="subscript"/>
          <w:lang w:eastAsia="pl-PL"/>
        </w:rPr>
        <w:t>3</w:t>
      </w:r>
      <w:r w:rsidRPr="005E2831">
        <w:rPr>
          <w:rFonts w:ascii="Times New Roman" w:eastAsia="Times New Roman" w:hAnsi="Times New Roman" w:cs="Times New Roman"/>
          <w:sz w:val="24"/>
          <w:szCs w:val="24"/>
          <w:lang w:eastAsia="pl-PL"/>
        </w:rPr>
        <w:t xml:space="preserve">, </w:t>
      </w:r>
      <w:r w:rsidRPr="005E2831">
        <w:rPr>
          <w:rFonts w:ascii="Times New Roman" w:hAnsi="Times New Roman" w:cs="Times New Roman"/>
          <w:bCs/>
          <w:sz w:val="24"/>
          <w:szCs w:val="24"/>
        </w:rPr>
        <w:t>NO</w:t>
      </w:r>
      <w:r w:rsidRPr="005E2831">
        <w:rPr>
          <w:rFonts w:ascii="Times New Roman" w:hAnsi="Times New Roman" w:cs="Times New Roman"/>
          <w:bCs/>
          <w:sz w:val="24"/>
          <w:szCs w:val="24"/>
          <w:vertAlign w:val="subscript"/>
        </w:rPr>
        <w:t>2</w:t>
      </w:r>
      <w:r w:rsidRPr="005E2831">
        <w:rPr>
          <w:rFonts w:ascii="Times New Roman" w:hAnsi="Times New Roman" w:cs="Times New Roman"/>
          <w:bCs/>
          <w:sz w:val="24"/>
          <w:szCs w:val="24"/>
        </w:rPr>
        <w:t>, NO</w:t>
      </w:r>
      <w:r w:rsidRPr="00712170">
        <w:rPr>
          <w:rFonts w:ascii="Times New Roman" w:hAnsi="Times New Roman" w:cs="Times New Roman"/>
          <w:bCs/>
          <w:sz w:val="24"/>
          <w:szCs w:val="24"/>
          <w:vertAlign w:val="subscript"/>
        </w:rPr>
        <w:t>X</w:t>
      </w:r>
      <w:r w:rsidRPr="005E2831">
        <w:rPr>
          <w:rFonts w:ascii="Times New Roman" w:eastAsia="Times New Roman" w:hAnsi="Times New Roman" w:cs="Times New Roman"/>
          <w:sz w:val="24"/>
          <w:szCs w:val="24"/>
          <w:lang w:eastAsia="pl-PL"/>
        </w:rPr>
        <w:t xml:space="preserve">, pyłu zawieszonego PM10, pyłu zawieszonego PM2,5 oraz </w:t>
      </w:r>
      <w:proofErr w:type="spellStart"/>
      <w:r w:rsidRPr="005E2831">
        <w:rPr>
          <w:rFonts w:ascii="Times New Roman" w:eastAsia="Times New Roman" w:hAnsi="Times New Roman" w:cs="Times New Roman"/>
          <w:sz w:val="24"/>
          <w:szCs w:val="24"/>
          <w:lang w:eastAsia="pl-PL"/>
        </w:rPr>
        <w:t>benzo</w:t>
      </w:r>
      <w:proofErr w:type="spellEnd"/>
      <w:r w:rsidRPr="005E2831">
        <w:rPr>
          <w:rFonts w:ascii="Times New Roman" w:eastAsia="Times New Roman" w:hAnsi="Times New Roman" w:cs="Times New Roman"/>
          <w:sz w:val="24"/>
          <w:szCs w:val="24"/>
          <w:lang w:eastAsia="pl-PL"/>
        </w:rPr>
        <w:t>(a)</w:t>
      </w:r>
      <w:proofErr w:type="spellStart"/>
      <w:r w:rsidRPr="005E2831">
        <w:rPr>
          <w:rFonts w:ascii="Times New Roman" w:eastAsia="Times New Roman" w:hAnsi="Times New Roman" w:cs="Times New Roman"/>
          <w:sz w:val="24"/>
          <w:szCs w:val="24"/>
          <w:lang w:eastAsia="pl-PL"/>
        </w:rPr>
        <w:t>pirenu</w:t>
      </w:r>
      <w:proofErr w:type="spellEnd"/>
      <w:r w:rsidRPr="005E2831">
        <w:rPr>
          <w:rFonts w:ascii="Times New Roman" w:eastAsia="Times New Roman" w:hAnsi="Times New Roman" w:cs="Times New Roman"/>
          <w:sz w:val="24"/>
          <w:szCs w:val="24"/>
          <w:lang w:eastAsia="pl-PL"/>
        </w:rPr>
        <w:t xml:space="preserve"> w pyle zawieszonym PM10. Do wyznaczenia obszarów przekroczeń wykorzystano metodę szacowania przy uwzględnieniu wyników pomiarów jakości powietrza (wykonanych w roku 2021 w ramach PMŚ), danych emisyjnych przekazanych przez </w:t>
      </w:r>
      <w:proofErr w:type="spellStart"/>
      <w:r w:rsidRPr="005E2831">
        <w:rPr>
          <w:rFonts w:ascii="Times New Roman" w:eastAsia="Times New Roman" w:hAnsi="Times New Roman" w:cs="Times New Roman"/>
          <w:sz w:val="24"/>
          <w:szCs w:val="24"/>
          <w:lang w:eastAsia="pl-PL"/>
        </w:rPr>
        <w:t>KOBiZE</w:t>
      </w:r>
      <w:proofErr w:type="spellEnd"/>
      <w:r w:rsidRPr="005E2831">
        <w:rPr>
          <w:rFonts w:ascii="Times New Roman" w:eastAsia="Times New Roman" w:hAnsi="Times New Roman" w:cs="Times New Roman"/>
          <w:sz w:val="24"/>
          <w:szCs w:val="24"/>
          <w:lang w:eastAsia="pl-PL"/>
        </w:rPr>
        <w:t xml:space="preserve"> oraz wyników modelowania matematycznego wykonanego przez IOŚ-PIB dla roku 2021 r. </w:t>
      </w:r>
    </w:p>
    <w:p w14:paraId="65FA64FA" w14:textId="77777777" w:rsidR="002568F9" w:rsidRPr="005E2831" w:rsidRDefault="002568F9" w:rsidP="00535853">
      <w:pPr>
        <w:spacing w:after="60"/>
        <w:ind w:firstLine="567"/>
        <w:jc w:val="both"/>
        <w:rPr>
          <w:rFonts w:ascii="Times New Roman" w:eastAsia="Times New Roman" w:hAnsi="Times New Roman" w:cs="Times New Roman"/>
          <w:bCs/>
          <w:kern w:val="24"/>
          <w:sz w:val="24"/>
          <w:szCs w:val="24"/>
          <w:lang w:eastAsia="pl-PL"/>
        </w:rPr>
      </w:pPr>
      <w:r w:rsidRPr="005E2831">
        <w:rPr>
          <w:rFonts w:ascii="Times New Roman" w:hAnsi="Times New Roman" w:cs="Times New Roman"/>
          <w:sz w:val="24"/>
          <w:szCs w:val="24"/>
        </w:rPr>
        <w:t xml:space="preserve">W </w:t>
      </w:r>
      <w:r w:rsidRPr="005E2831">
        <w:rPr>
          <w:rFonts w:ascii="Times New Roman" w:eastAsia="Times New Roman" w:hAnsi="Times New Roman" w:cs="Times New Roman"/>
          <w:bCs/>
          <w:kern w:val="24"/>
          <w:sz w:val="24"/>
          <w:szCs w:val="24"/>
          <w:lang w:eastAsia="pl-PL"/>
        </w:rPr>
        <w:t>2022 r. zespół GIOŚ do spraw weryfikacji danych emisyjnych i wyników modelowania matematycznego</w:t>
      </w:r>
      <w:r w:rsidRPr="005E2831">
        <w:rPr>
          <w:rStyle w:val="Odwoanieprzypisudolnego"/>
          <w:rFonts w:eastAsia="Times New Roman" w:cs="Times New Roman"/>
          <w:bCs/>
          <w:kern w:val="24"/>
          <w:sz w:val="24"/>
          <w:szCs w:val="24"/>
          <w:lang w:eastAsia="pl-PL"/>
        </w:rPr>
        <w:footnoteReference w:id="77"/>
      </w:r>
      <w:r w:rsidRPr="005E2831">
        <w:rPr>
          <w:rFonts w:ascii="Times New Roman" w:eastAsia="Times New Roman" w:hAnsi="Times New Roman" w:cs="Times New Roman"/>
          <w:bCs/>
          <w:kern w:val="24"/>
          <w:sz w:val="24"/>
          <w:szCs w:val="24"/>
          <w:lang w:eastAsia="pl-PL"/>
        </w:rPr>
        <w:t>, którego celem jest zapewnienie systemu wsparcia weryfikacji danych o emisjach zanieczyszczeń do powietrza oraz wykorzystywania wyników modelowania do ocen jakości powietrza, wykonał prace związane z weryfikacją informacji zawartych w </w:t>
      </w:r>
      <w:r w:rsidRPr="005E2831">
        <w:rPr>
          <w:rFonts w:ascii="Times New Roman" w:hAnsi="Times New Roman" w:cs="Times New Roman"/>
          <w:sz w:val="24"/>
          <w:szCs w:val="24"/>
        </w:rPr>
        <w:t xml:space="preserve">Centralnej Bazie Emisyjnej (CBE), utworzonej przez </w:t>
      </w:r>
      <w:proofErr w:type="spellStart"/>
      <w:r w:rsidRPr="005E2831">
        <w:rPr>
          <w:rFonts w:ascii="Times New Roman" w:hAnsi="Times New Roman" w:cs="Times New Roman"/>
          <w:sz w:val="24"/>
          <w:szCs w:val="24"/>
        </w:rPr>
        <w:t>KOBiZE</w:t>
      </w:r>
      <w:proofErr w:type="spellEnd"/>
      <w:r w:rsidRPr="005E2831">
        <w:rPr>
          <w:rFonts w:ascii="Times New Roman" w:hAnsi="Times New Roman" w:cs="Times New Roman"/>
          <w:sz w:val="24"/>
          <w:szCs w:val="24"/>
        </w:rPr>
        <w:t>, na potrzeby modelowania matematycznego i opracowywania ocen jakości powietrza za 2022 r.</w:t>
      </w:r>
    </w:p>
    <w:p w14:paraId="7CB208BA" w14:textId="5200B358" w:rsidR="00895F16" w:rsidRPr="007F400A" w:rsidRDefault="002568F9" w:rsidP="002568F9">
      <w:pPr>
        <w:autoSpaceDE w:val="0"/>
        <w:autoSpaceDN w:val="0"/>
        <w:adjustRightInd w:val="0"/>
        <w:spacing w:after="0" w:line="300" w:lineRule="atLeast"/>
        <w:ind w:firstLine="567"/>
        <w:jc w:val="both"/>
        <w:rPr>
          <w:rFonts w:ascii="Times New Roman" w:hAnsi="Times New Roman"/>
          <w:sz w:val="24"/>
          <w:szCs w:val="24"/>
        </w:rPr>
      </w:pPr>
      <w:r w:rsidRPr="005E2831">
        <w:rPr>
          <w:rFonts w:ascii="Times New Roman" w:hAnsi="Times New Roman" w:cs="Times New Roman"/>
          <w:sz w:val="24"/>
          <w:szCs w:val="24"/>
        </w:rPr>
        <w:t>IOŚ-PIB przekazał również Głównemu Inspektorowi wyniki modelowania matematycznego i</w:t>
      </w:r>
      <w:r>
        <w:rPr>
          <w:rFonts w:ascii="Times New Roman" w:hAnsi="Times New Roman" w:cs="Times New Roman"/>
          <w:sz w:val="24"/>
          <w:szCs w:val="24"/>
        </w:rPr>
        <w:t> </w:t>
      </w:r>
      <w:r w:rsidRPr="005E2831">
        <w:rPr>
          <w:rFonts w:ascii="Times New Roman" w:hAnsi="Times New Roman" w:cs="Times New Roman"/>
          <w:sz w:val="24"/>
          <w:szCs w:val="24"/>
        </w:rPr>
        <w:t>ich analizę na potrzeby wyznaczania reprezentatywności stanowisk pomiarowych</w:t>
      </w:r>
      <w:r w:rsidRPr="005E2831">
        <w:rPr>
          <w:rStyle w:val="Odwoanieprzypisudolnego"/>
          <w:rFonts w:cs="Times New Roman"/>
          <w:sz w:val="24"/>
          <w:szCs w:val="24"/>
        </w:rPr>
        <w:footnoteReference w:id="78"/>
      </w:r>
      <w:r w:rsidRPr="005E2831">
        <w:rPr>
          <w:rFonts w:ascii="Times New Roman" w:hAnsi="Times New Roman" w:cs="Times New Roman"/>
          <w:sz w:val="24"/>
          <w:szCs w:val="24"/>
        </w:rPr>
        <w:t>. Reprezentatywność w odniesieniu do: pyłu zawieszonego PM10, pyłu zawieszonego PM2,5, SO</w:t>
      </w:r>
      <w:r w:rsidRPr="005E2831">
        <w:rPr>
          <w:rFonts w:ascii="Times New Roman" w:hAnsi="Times New Roman" w:cs="Times New Roman"/>
          <w:sz w:val="24"/>
          <w:szCs w:val="24"/>
          <w:vertAlign w:val="subscript"/>
        </w:rPr>
        <w:t>2</w:t>
      </w:r>
      <w:r w:rsidRPr="005E2831">
        <w:rPr>
          <w:rFonts w:ascii="Times New Roman" w:hAnsi="Times New Roman" w:cs="Times New Roman"/>
          <w:sz w:val="24"/>
          <w:szCs w:val="24"/>
        </w:rPr>
        <w:t>, NO</w:t>
      </w:r>
      <w:r w:rsidRPr="005E2831">
        <w:rPr>
          <w:rFonts w:ascii="Times New Roman" w:hAnsi="Times New Roman" w:cs="Times New Roman"/>
          <w:sz w:val="24"/>
          <w:szCs w:val="24"/>
          <w:vertAlign w:val="subscript"/>
        </w:rPr>
        <w:t>2</w:t>
      </w:r>
      <w:r w:rsidRPr="005E2831">
        <w:rPr>
          <w:rFonts w:ascii="Times New Roman" w:hAnsi="Times New Roman" w:cs="Times New Roman"/>
          <w:sz w:val="24"/>
          <w:szCs w:val="24"/>
        </w:rPr>
        <w:t xml:space="preserve">, </w:t>
      </w:r>
      <w:r w:rsidRPr="005E2831">
        <w:rPr>
          <w:rFonts w:ascii="Times New Roman" w:hAnsi="Times New Roman" w:cs="Times New Roman"/>
          <w:bCs/>
          <w:sz w:val="24"/>
          <w:szCs w:val="24"/>
        </w:rPr>
        <w:t>NO</w:t>
      </w:r>
      <w:r w:rsidRPr="00712170">
        <w:rPr>
          <w:rFonts w:ascii="Times New Roman" w:hAnsi="Times New Roman" w:cs="Times New Roman"/>
          <w:bCs/>
          <w:sz w:val="24"/>
          <w:szCs w:val="24"/>
          <w:vertAlign w:val="subscript"/>
        </w:rPr>
        <w:t>X</w:t>
      </w:r>
      <w:r w:rsidRPr="005E2831">
        <w:rPr>
          <w:rFonts w:ascii="Times New Roman" w:hAnsi="Times New Roman" w:cs="Times New Roman"/>
          <w:sz w:val="24"/>
          <w:szCs w:val="24"/>
        </w:rPr>
        <w:t>, O</w:t>
      </w:r>
      <w:r w:rsidRPr="005E2831">
        <w:rPr>
          <w:rFonts w:ascii="Times New Roman" w:hAnsi="Times New Roman" w:cs="Times New Roman"/>
          <w:sz w:val="24"/>
          <w:szCs w:val="24"/>
          <w:vertAlign w:val="subscript"/>
        </w:rPr>
        <w:t>3</w:t>
      </w:r>
      <w:r w:rsidRPr="005E2831">
        <w:rPr>
          <w:rFonts w:ascii="Times New Roman" w:hAnsi="Times New Roman" w:cs="Times New Roman"/>
          <w:sz w:val="24"/>
          <w:szCs w:val="24"/>
        </w:rPr>
        <w:t>, C</w:t>
      </w:r>
      <w:r w:rsidRPr="005E2831">
        <w:rPr>
          <w:rFonts w:ascii="Times New Roman" w:hAnsi="Times New Roman" w:cs="Times New Roman"/>
          <w:sz w:val="24"/>
          <w:szCs w:val="24"/>
          <w:vertAlign w:val="subscript"/>
        </w:rPr>
        <w:t>6</w:t>
      </w:r>
      <w:r w:rsidRPr="005E2831">
        <w:rPr>
          <w:rFonts w:ascii="Times New Roman" w:hAnsi="Times New Roman" w:cs="Times New Roman"/>
          <w:sz w:val="24"/>
          <w:szCs w:val="24"/>
        </w:rPr>
        <w:t>H</w:t>
      </w:r>
      <w:r w:rsidRPr="005E2831">
        <w:rPr>
          <w:rFonts w:ascii="Times New Roman" w:hAnsi="Times New Roman" w:cs="Times New Roman"/>
          <w:sz w:val="24"/>
          <w:szCs w:val="24"/>
          <w:vertAlign w:val="subscript"/>
        </w:rPr>
        <w:t>6</w:t>
      </w:r>
      <w:r w:rsidRPr="005E2831">
        <w:rPr>
          <w:rFonts w:ascii="Times New Roman" w:hAnsi="Times New Roman" w:cs="Times New Roman"/>
          <w:sz w:val="24"/>
          <w:szCs w:val="24"/>
        </w:rPr>
        <w:t>, CO oraz Pb, As, Cd, Ni i </w:t>
      </w:r>
      <w:proofErr w:type="spellStart"/>
      <w:r w:rsidRPr="005E2831">
        <w:rPr>
          <w:rFonts w:ascii="Times New Roman" w:hAnsi="Times New Roman" w:cs="Times New Roman"/>
          <w:sz w:val="24"/>
          <w:szCs w:val="24"/>
        </w:rPr>
        <w:t>benzo</w:t>
      </w:r>
      <w:proofErr w:type="spellEnd"/>
      <w:r w:rsidRPr="005E2831">
        <w:rPr>
          <w:rFonts w:ascii="Times New Roman" w:hAnsi="Times New Roman" w:cs="Times New Roman"/>
          <w:sz w:val="24"/>
          <w:szCs w:val="24"/>
        </w:rPr>
        <w:t>(a)</w:t>
      </w:r>
      <w:proofErr w:type="spellStart"/>
      <w:r w:rsidRPr="005E2831">
        <w:rPr>
          <w:rFonts w:ascii="Times New Roman" w:hAnsi="Times New Roman" w:cs="Times New Roman"/>
          <w:sz w:val="24"/>
          <w:szCs w:val="24"/>
        </w:rPr>
        <w:t>pirenu</w:t>
      </w:r>
      <w:proofErr w:type="spellEnd"/>
      <w:r w:rsidRPr="005E2831">
        <w:rPr>
          <w:rFonts w:ascii="Times New Roman" w:hAnsi="Times New Roman" w:cs="Times New Roman"/>
          <w:sz w:val="24"/>
          <w:szCs w:val="24"/>
        </w:rPr>
        <w:t xml:space="preserve"> w pyle zawieszonym PM10 została wyznaczona łącznie dla 647 stanowisk pomiarowych na okres kolejnych pięciu lat (162</w:t>
      </w:r>
      <w:r>
        <w:rPr>
          <w:rFonts w:ascii="Times New Roman" w:hAnsi="Times New Roman" w:cs="Times New Roman"/>
          <w:sz w:val="24"/>
          <w:szCs w:val="24"/>
        </w:rPr>
        <w:t> </w:t>
      </w:r>
      <w:r w:rsidRPr="005E2831">
        <w:rPr>
          <w:rFonts w:ascii="Times New Roman" w:hAnsi="Times New Roman" w:cs="Times New Roman"/>
          <w:sz w:val="24"/>
          <w:szCs w:val="24"/>
        </w:rPr>
        <w:t>stacje)</w:t>
      </w:r>
      <w:r w:rsidR="00895F16" w:rsidRPr="007F400A">
        <w:rPr>
          <w:rFonts w:ascii="Times New Roman" w:hAnsi="Times New Roman"/>
          <w:sz w:val="24"/>
          <w:szCs w:val="24"/>
        </w:rPr>
        <w:t>.</w:t>
      </w:r>
    </w:p>
    <w:p w14:paraId="5505CDC4" w14:textId="77777777" w:rsidR="00895F16" w:rsidRPr="007F400A" w:rsidRDefault="00895F16" w:rsidP="00895F16">
      <w:pPr>
        <w:autoSpaceDE w:val="0"/>
        <w:autoSpaceDN w:val="0"/>
        <w:adjustRightInd w:val="0"/>
        <w:spacing w:after="0" w:line="300" w:lineRule="atLeast"/>
        <w:ind w:firstLine="567"/>
        <w:jc w:val="both"/>
        <w:rPr>
          <w:rFonts w:ascii="Times New Roman" w:hAnsi="Times New Roman"/>
          <w:sz w:val="24"/>
          <w:szCs w:val="24"/>
        </w:rPr>
      </w:pPr>
    </w:p>
    <w:p w14:paraId="5AB3BE54" w14:textId="77777777" w:rsidR="00895F16" w:rsidRPr="007F400A" w:rsidRDefault="00895F16" w:rsidP="00895F16">
      <w:pPr>
        <w:keepNext/>
        <w:spacing w:after="120" w:line="240" w:lineRule="auto"/>
        <w:outlineLvl w:val="0"/>
        <w:rPr>
          <w:rFonts w:ascii="Times New Roman" w:eastAsia="Times New Roman" w:hAnsi="Times New Roman" w:cs="Times New Roman"/>
          <w:b/>
          <w:bCs/>
          <w:sz w:val="24"/>
          <w:szCs w:val="24"/>
          <w:lang w:val="x-none" w:eastAsia="x-none"/>
        </w:rPr>
      </w:pPr>
      <w:bookmarkStart w:id="375" w:name="_Toc135935696"/>
      <w:r w:rsidRPr="007F400A">
        <w:rPr>
          <w:rFonts w:ascii="Times New Roman" w:eastAsia="Times New Roman" w:hAnsi="Times New Roman" w:cs="Times New Roman"/>
          <w:b/>
          <w:bCs/>
          <w:sz w:val="24"/>
          <w:szCs w:val="24"/>
          <w:lang w:val="x-none" w:eastAsia="x-none"/>
        </w:rPr>
        <w:t>2.2.2 Modelowanie na potrzeby prognoz krótkoterminowych</w:t>
      </w:r>
      <w:bookmarkEnd w:id="375"/>
    </w:p>
    <w:p w14:paraId="73556F34" w14:textId="77777777" w:rsidR="002568F9" w:rsidRPr="005E2831" w:rsidRDefault="002568F9" w:rsidP="002568F9">
      <w:pPr>
        <w:pStyle w:val="punktygios"/>
        <w:numPr>
          <w:ilvl w:val="0"/>
          <w:numId w:val="0"/>
        </w:numPr>
        <w:tabs>
          <w:tab w:val="left" w:pos="708"/>
        </w:tabs>
        <w:spacing w:line="300" w:lineRule="atLeast"/>
        <w:ind w:firstLine="567"/>
        <w:rPr>
          <w:bCs/>
        </w:rPr>
      </w:pPr>
      <w:r w:rsidRPr="005E2831">
        <w:t>W 20</w:t>
      </w:r>
      <w:r w:rsidRPr="005E2831">
        <w:rPr>
          <w:lang w:val="pl-PL"/>
        </w:rPr>
        <w:t>22 r.</w:t>
      </w:r>
      <w:r w:rsidRPr="005E2831">
        <w:t xml:space="preserve"> modelowanie matematyczne transportu i przemian substancji w powietrzu dla potrzeb krótkoterminowych prognoz zanieczyszczenia powietrza</w:t>
      </w:r>
      <w:r w:rsidRPr="005E2831">
        <w:rPr>
          <w:rStyle w:val="Odwoanieprzypisudolnego"/>
        </w:rPr>
        <w:footnoteReference w:id="79"/>
      </w:r>
      <w:r w:rsidRPr="005E2831">
        <w:t xml:space="preserve"> było wykonywane przez I</w:t>
      </w:r>
      <w:r w:rsidRPr="005E2831">
        <w:rPr>
          <w:lang w:val="pl-PL"/>
        </w:rPr>
        <w:t>OŚ-PIB</w:t>
      </w:r>
      <w:r w:rsidRPr="005E2831">
        <w:rPr>
          <w:rStyle w:val="Odwoanieprzypisudolnego"/>
        </w:rPr>
        <w:footnoteReference w:id="80"/>
      </w:r>
      <w:r w:rsidRPr="005E2831">
        <w:t>. Dane emisyjne do tego modelowania zapewni</w:t>
      </w:r>
      <w:r w:rsidRPr="005E2831">
        <w:rPr>
          <w:lang w:val="pl-PL"/>
        </w:rPr>
        <w:t>ł</w:t>
      </w:r>
      <w:r w:rsidRPr="005E2831">
        <w:t xml:space="preserve"> </w:t>
      </w:r>
      <w:proofErr w:type="spellStart"/>
      <w:r w:rsidRPr="005E2831">
        <w:rPr>
          <w:bCs/>
        </w:rPr>
        <w:t>KOBiZE</w:t>
      </w:r>
      <w:proofErr w:type="spellEnd"/>
      <w:r w:rsidRPr="005E2831">
        <w:rPr>
          <w:bCs/>
        </w:rPr>
        <w:t xml:space="preserve">. </w:t>
      </w:r>
    </w:p>
    <w:p w14:paraId="69AE4C94" w14:textId="2F980119" w:rsidR="00895F16" w:rsidRPr="002568F9" w:rsidRDefault="002568F9" w:rsidP="00535853">
      <w:pPr>
        <w:tabs>
          <w:tab w:val="left" w:pos="708"/>
        </w:tabs>
        <w:spacing w:after="60" w:line="300" w:lineRule="atLeast"/>
        <w:ind w:firstLine="567"/>
        <w:jc w:val="both"/>
        <w:rPr>
          <w:rFonts w:ascii="Times New Roman" w:eastAsia="Times New Roman" w:hAnsi="Times New Roman" w:cs="Times New Roman"/>
          <w:bCs/>
          <w:sz w:val="24"/>
          <w:szCs w:val="24"/>
          <w:lang w:val="x-none" w:eastAsia="pl-PL"/>
        </w:rPr>
      </w:pPr>
      <w:r w:rsidRPr="002568F9">
        <w:rPr>
          <w:rFonts w:ascii="Times New Roman" w:hAnsi="Times New Roman" w:cs="Times New Roman"/>
          <w:bCs/>
          <w:sz w:val="24"/>
          <w:szCs w:val="24"/>
        </w:rPr>
        <w:t>W 2022 r. modelowanie obejmowało</w:t>
      </w:r>
      <w:r w:rsidRPr="002568F9">
        <w:rPr>
          <w:rStyle w:val="Odwoanieprzypisudolnego"/>
          <w:rFonts w:cs="Times New Roman"/>
          <w:bCs/>
          <w:sz w:val="24"/>
          <w:szCs w:val="24"/>
        </w:rPr>
        <w:footnoteReference w:id="81"/>
      </w:r>
      <w:r w:rsidR="00895F16" w:rsidRPr="002568F9">
        <w:rPr>
          <w:rFonts w:ascii="Times New Roman" w:eastAsia="Times New Roman" w:hAnsi="Times New Roman" w:cs="Times New Roman"/>
          <w:bCs/>
          <w:sz w:val="24"/>
          <w:szCs w:val="24"/>
          <w:lang w:val="x-none" w:eastAsia="pl-PL"/>
        </w:rPr>
        <w:t>:</w:t>
      </w:r>
    </w:p>
    <w:p w14:paraId="1A9CB70B" w14:textId="77777777" w:rsidR="002568F9" w:rsidRPr="005E2831" w:rsidRDefault="002568F9" w:rsidP="00535853">
      <w:pPr>
        <w:pStyle w:val="punktygios"/>
        <w:numPr>
          <w:ilvl w:val="0"/>
          <w:numId w:val="36"/>
        </w:numPr>
        <w:tabs>
          <w:tab w:val="left" w:pos="567"/>
        </w:tabs>
        <w:spacing w:after="60" w:line="300" w:lineRule="atLeast"/>
        <w:ind w:left="851" w:hanging="567"/>
        <w:rPr>
          <w:bCs/>
        </w:rPr>
      </w:pPr>
      <w:r w:rsidRPr="005E2831">
        <w:rPr>
          <w:bCs/>
        </w:rPr>
        <w:t xml:space="preserve">pył zawieszony PM10  </w:t>
      </w:r>
      <w:r w:rsidRPr="005E2831">
        <w:rPr>
          <w:bCs/>
          <w:lang w:val="pl-PL"/>
        </w:rPr>
        <w:t>(</w:t>
      </w:r>
      <w:r w:rsidRPr="005E2831">
        <w:rPr>
          <w:bCs/>
        </w:rPr>
        <w:t>zakres czasowy realizacji prognoz – rok kalendarzowy</w:t>
      </w:r>
      <w:r w:rsidRPr="005E2831">
        <w:rPr>
          <w:bCs/>
          <w:lang w:val="pl-PL"/>
        </w:rPr>
        <w:t>)</w:t>
      </w:r>
      <w:r w:rsidRPr="005E2831">
        <w:rPr>
          <w:bCs/>
        </w:rPr>
        <w:t>,</w:t>
      </w:r>
    </w:p>
    <w:p w14:paraId="0926F046" w14:textId="77777777" w:rsidR="002568F9" w:rsidRPr="005E2831" w:rsidRDefault="002568F9" w:rsidP="00535853">
      <w:pPr>
        <w:pStyle w:val="punktygios"/>
        <w:numPr>
          <w:ilvl w:val="0"/>
          <w:numId w:val="36"/>
        </w:numPr>
        <w:tabs>
          <w:tab w:val="left" w:pos="567"/>
        </w:tabs>
        <w:spacing w:after="60" w:line="300" w:lineRule="atLeast"/>
        <w:ind w:left="851" w:hanging="567"/>
        <w:rPr>
          <w:bCs/>
        </w:rPr>
      </w:pPr>
      <w:r w:rsidRPr="005E2831">
        <w:rPr>
          <w:bCs/>
        </w:rPr>
        <w:t>NO</w:t>
      </w:r>
      <w:r w:rsidRPr="005E2831">
        <w:rPr>
          <w:bCs/>
          <w:vertAlign w:val="subscript"/>
        </w:rPr>
        <w:t>2</w:t>
      </w:r>
      <w:r w:rsidRPr="005E2831">
        <w:rPr>
          <w:bCs/>
        </w:rPr>
        <w:t xml:space="preserve"> (zakres czasowy realizacji prognoz – rok kalendarzowy</w:t>
      </w:r>
      <w:r w:rsidRPr="005E2831">
        <w:rPr>
          <w:bCs/>
          <w:lang w:val="pl-PL"/>
        </w:rPr>
        <w:t>)</w:t>
      </w:r>
      <w:r w:rsidRPr="005E2831">
        <w:rPr>
          <w:bCs/>
        </w:rPr>
        <w:t>,</w:t>
      </w:r>
    </w:p>
    <w:p w14:paraId="35DC67A6" w14:textId="77777777" w:rsidR="002568F9" w:rsidRPr="005E2831" w:rsidRDefault="002568F9" w:rsidP="00535853">
      <w:pPr>
        <w:pStyle w:val="punktygios"/>
        <w:numPr>
          <w:ilvl w:val="0"/>
          <w:numId w:val="36"/>
        </w:numPr>
        <w:tabs>
          <w:tab w:val="left" w:pos="567"/>
        </w:tabs>
        <w:spacing w:after="60" w:line="300" w:lineRule="atLeast"/>
        <w:ind w:left="568" w:hanging="284"/>
        <w:rPr>
          <w:bCs/>
        </w:rPr>
      </w:pPr>
      <w:r w:rsidRPr="005E2831">
        <w:rPr>
          <w:bCs/>
        </w:rPr>
        <w:t>SO</w:t>
      </w:r>
      <w:r w:rsidRPr="005E2831">
        <w:rPr>
          <w:bCs/>
          <w:vertAlign w:val="subscript"/>
        </w:rPr>
        <w:t>2</w:t>
      </w:r>
      <w:r w:rsidRPr="005E2831">
        <w:rPr>
          <w:bCs/>
        </w:rPr>
        <w:t xml:space="preserve"> (zakres czasowy realizacji prognoz – od 1 stycznia do 31 marca oraz</w:t>
      </w:r>
      <w:r>
        <w:rPr>
          <w:bCs/>
          <w:lang w:val="pl-PL"/>
        </w:rPr>
        <w:t> </w:t>
      </w:r>
      <w:r w:rsidRPr="005E2831">
        <w:rPr>
          <w:bCs/>
        </w:rPr>
        <w:t>od</w:t>
      </w:r>
      <w:r>
        <w:rPr>
          <w:bCs/>
          <w:lang w:val="pl-PL"/>
        </w:rPr>
        <w:t> </w:t>
      </w:r>
      <w:r w:rsidRPr="005E2831">
        <w:rPr>
          <w:bCs/>
        </w:rPr>
        <w:t>1</w:t>
      </w:r>
      <w:r w:rsidRPr="005E2831">
        <w:rPr>
          <w:bCs/>
          <w:lang w:val="pl-PL"/>
        </w:rPr>
        <w:t> </w:t>
      </w:r>
      <w:r w:rsidRPr="005E2831">
        <w:rPr>
          <w:bCs/>
        </w:rPr>
        <w:t>października do 31 grudnia</w:t>
      </w:r>
      <w:r w:rsidRPr="005E2831">
        <w:rPr>
          <w:bCs/>
          <w:lang w:val="pl-PL"/>
        </w:rPr>
        <w:t>),</w:t>
      </w:r>
    </w:p>
    <w:p w14:paraId="250A74A7" w14:textId="0D45A083" w:rsidR="00895F16" w:rsidRDefault="002568F9" w:rsidP="00535853">
      <w:pPr>
        <w:numPr>
          <w:ilvl w:val="0"/>
          <w:numId w:val="36"/>
        </w:numPr>
        <w:tabs>
          <w:tab w:val="left" w:pos="567"/>
        </w:tabs>
        <w:spacing w:after="60" w:line="300" w:lineRule="atLeast"/>
        <w:ind w:left="851" w:hanging="567"/>
        <w:jc w:val="both"/>
        <w:rPr>
          <w:rFonts w:ascii="Times New Roman" w:eastAsia="Times New Roman" w:hAnsi="Times New Roman" w:cs="Times New Roman"/>
          <w:bCs/>
          <w:sz w:val="24"/>
          <w:szCs w:val="24"/>
          <w:lang w:val="x-none" w:eastAsia="pl-PL"/>
        </w:rPr>
      </w:pPr>
      <w:r w:rsidRPr="002568F9">
        <w:rPr>
          <w:rFonts w:ascii="Times New Roman" w:hAnsi="Times New Roman" w:cs="Times New Roman"/>
          <w:bCs/>
          <w:sz w:val="24"/>
          <w:szCs w:val="24"/>
        </w:rPr>
        <w:t>O</w:t>
      </w:r>
      <w:r w:rsidRPr="002568F9">
        <w:rPr>
          <w:rFonts w:ascii="Times New Roman" w:hAnsi="Times New Roman" w:cs="Times New Roman"/>
          <w:bCs/>
          <w:sz w:val="24"/>
          <w:szCs w:val="24"/>
          <w:vertAlign w:val="subscript"/>
        </w:rPr>
        <w:t>3</w:t>
      </w:r>
      <w:r w:rsidRPr="002568F9">
        <w:rPr>
          <w:rFonts w:ascii="Times New Roman" w:hAnsi="Times New Roman" w:cs="Times New Roman"/>
          <w:bCs/>
          <w:sz w:val="24"/>
          <w:szCs w:val="24"/>
        </w:rPr>
        <w:t xml:space="preserve"> (zakres czasowy realizacji prognoz – od 1 kwietnia do 30 września)</w:t>
      </w:r>
      <w:r w:rsidR="00895F16" w:rsidRPr="002568F9">
        <w:rPr>
          <w:rFonts w:ascii="Times New Roman" w:eastAsia="Times New Roman" w:hAnsi="Times New Roman" w:cs="Times New Roman"/>
          <w:bCs/>
          <w:sz w:val="24"/>
          <w:szCs w:val="24"/>
          <w:lang w:val="x-none" w:eastAsia="pl-PL"/>
        </w:rPr>
        <w:t>.</w:t>
      </w:r>
    </w:p>
    <w:p w14:paraId="1D29F4C6" w14:textId="5FF2EE58" w:rsidR="00895F16" w:rsidRPr="002568F9" w:rsidRDefault="002568F9" w:rsidP="00895F16">
      <w:pPr>
        <w:tabs>
          <w:tab w:val="left" w:pos="708"/>
        </w:tabs>
        <w:spacing w:after="0" w:line="300" w:lineRule="atLeast"/>
        <w:ind w:firstLine="567"/>
        <w:contextualSpacing/>
        <w:jc w:val="both"/>
        <w:rPr>
          <w:rFonts w:ascii="Times New Roman" w:eastAsia="Times New Roman" w:hAnsi="Times New Roman" w:cs="Times New Roman"/>
          <w:sz w:val="24"/>
          <w:szCs w:val="24"/>
          <w:lang w:val="x-none" w:eastAsia="pl-PL"/>
        </w:rPr>
      </w:pPr>
      <w:r w:rsidRPr="002568F9">
        <w:rPr>
          <w:rFonts w:ascii="Times New Roman" w:hAnsi="Times New Roman" w:cs="Times New Roman"/>
          <w:sz w:val="24"/>
          <w:szCs w:val="24"/>
          <w:lang w:eastAsia="pl-PL"/>
        </w:rPr>
        <w:t xml:space="preserve">IOŚ-PIB codziennie przygotowywał i przekazywał do GIOŚ (najpóźniej do godziny 8:30) wyniki modelowania matematycznego transportu i przemian substancji w powietrzu. Prognozy zanieczyszczeń powietrza były wykonane w siatce o rozdzielczości nominalnej 0,025 x 0,025 </w:t>
      </w:r>
      <w:r w:rsidRPr="002568F9">
        <w:rPr>
          <w:rFonts w:ascii="Times New Roman" w:hAnsi="Times New Roman" w:cs="Times New Roman"/>
          <w:sz w:val="24"/>
          <w:szCs w:val="24"/>
          <w:lang w:eastAsia="pl-PL"/>
        </w:rPr>
        <w:lastRenderedPageBreak/>
        <w:t>stopnia i były prezentowane na 3 kolejne doby. Krótkoterminowe prognozy zanieczyszczenia powietrza były prezentowane na portalu internetowym GIOŚ „Jakość powietrza” zarówno dla całego kraju, jak i odrębnie dla poszczególnych województw i służyły</w:t>
      </w:r>
      <w:r w:rsidR="00535853">
        <w:rPr>
          <w:rFonts w:ascii="Times New Roman" w:hAnsi="Times New Roman" w:cs="Times New Roman"/>
          <w:sz w:val="24"/>
          <w:szCs w:val="24"/>
          <w:lang w:eastAsia="pl-PL"/>
        </w:rPr>
        <w:t xml:space="preserve"> m.in. do </w:t>
      </w:r>
      <w:r w:rsidRPr="002568F9">
        <w:rPr>
          <w:rFonts w:ascii="Times New Roman" w:hAnsi="Times New Roman" w:cs="Times New Roman"/>
          <w:sz w:val="24"/>
          <w:szCs w:val="24"/>
          <w:lang w:eastAsia="pl-PL"/>
        </w:rPr>
        <w:t>przygotowywania przez GIOŚ informacji o ryzyku wystąpienia przekroczenia poziomu alarmowego i poziomu informowania dla pyłu zawieszonego PM10 oraz poziomu informowania dla ozonu (pkt. 2.3)</w:t>
      </w:r>
      <w:r w:rsidR="00895F16" w:rsidRPr="002568F9">
        <w:rPr>
          <w:rFonts w:ascii="Times New Roman" w:hAnsi="Times New Roman" w:cs="Times New Roman"/>
          <w:sz w:val="24"/>
          <w:szCs w:val="24"/>
          <w:lang w:eastAsia="pl-PL"/>
        </w:rPr>
        <w:t>.</w:t>
      </w:r>
    </w:p>
    <w:p w14:paraId="6DA01C0E" w14:textId="77777777" w:rsidR="00895F16" w:rsidRPr="007F400A" w:rsidRDefault="00895F16" w:rsidP="00895F16">
      <w:pPr>
        <w:spacing w:after="0" w:line="300" w:lineRule="atLeast"/>
        <w:contextualSpacing/>
        <w:jc w:val="both"/>
        <w:rPr>
          <w:rFonts w:ascii="Times New Roman" w:eastAsia="Calibri" w:hAnsi="Times New Roman" w:cs="Times New Roman"/>
          <w:b/>
          <w:sz w:val="24"/>
          <w:szCs w:val="24"/>
          <w:lang w:val="x-none" w:eastAsia="pl-PL"/>
        </w:rPr>
      </w:pPr>
    </w:p>
    <w:p w14:paraId="326133E8" w14:textId="77777777" w:rsidR="00895F16" w:rsidRPr="007F400A" w:rsidRDefault="00895F16" w:rsidP="00895F16">
      <w:pPr>
        <w:keepNext/>
        <w:spacing w:after="120" w:line="300" w:lineRule="atLeast"/>
        <w:jc w:val="both"/>
        <w:outlineLvl w:val="0"/>
        <w:rPr>
          <w:rFonts w:ascii="Times New Roman" w:eastAsia="Times New Roman" w:hAnsi="Times New Roman" w:cs="Times New Roman"/>
          <w:b/>
          <w:bCs/>
          <w:sz w:val="24"/>
          <w:szCs w:val="24"/>
          <w:lang w:eastAsia="x-none"/>
        </w:rPr>
      </w:pPr>
      <w:bookmarkStart w:id="376" w:name="_Toc36732627"/>
      <w:bookmarkStart w:id="377" w:name="_Toc135935697"/>
      <w:r w:rsidRPr="007F400A">
        <w:rPr>
          <w:rFonts w:ascii="Times New Roman" w:eastAsia="Times New Roman" w:hAnsi="Times New Roman" w:cs="Times New Roman"/>
          <w:b/>
          <w:bCs/>
          <w:sz w:val="24"/>
          <w:szCs w:val="24"/>
          <w:lang w:val="x-none" w:eastAsia="x-none"/>
        </w:rPr>
        <w:t>2.</w:t>
      </w:r>
      <w:r w:rsidRPr="007F400A">
        <w:rPr>
          <w:rFonts w:ascii="Times New Roman" w:eastAsia="Times New Roman" w:hAnsi="Times New Roman" w:cs="Times New Roman"/>
          <w:b/>
          <w:bCs/>
          <w:sz w:val="24"/>
          <w:szCs w:val="24"/>
          <w:lang w:eastAsia="x-none"/>
        </w:rPr>
        <w:t>3</w:t>
      </w:r>
      <w:r w:rsidRPr="007F400A">
        <w:rPr>
          <w:rFonts w:ascii="Times New Roman" w:eastAsia="Times New Roman" w:hAnsi="Times New Roman" w:cs="Times New Roman"/>
          <w:b/>
          <w:bCs/>
          <w:sz w:val="24"/>
          <w:szCs w:val="24"/>
          <w:lang w:val="x-none" w:eastAsia="x-none"/>
        </w:rPr>
        <w:t xml:space="preserve"> </w:t>
      </w:r>
      <w:bookmarkEnd w:id="376"/>
      <w:r w:rsidRPr="007F400A">
        <w:rPr>
          <w:rFonts w:ascii="Times New Roman" w:eastAsia="Times New Roman" w:hAnsi="Times New Roman" w:cs="Times New Roman"/>
          <w:b/>
          <w:sz w:val="24"/>
          <w:szCs w:val="24"/>
          <w:lang w:val="x-none" w:eastAsia="pl-PL"/>
        </w:rPr>
        <w:t>Informowanie o ryzyku wystąpienia przekroczenia lub wystąpieniu przekroczenia poziomu informowania, poziomu alarmowego, poziomu dopuszczalnego i poziomu docelowego substancji w powietrzu</w:t>
      </w:r>
      <w:bookmarkEnd w:id="377"/>
    </w:p>
    <w:p w14:paraId="0CB84B1C" w14:textId="77777777" w:rsidR="002568F9" w:rsidRPr="005E2831" w:rsidRDefault="00895F16" w:rsidP="00535853">
      <w:pPr>
        <w:tabs>
          <w:tab w:val="left" w:pos="708"/>
        </w:tabs>
        <w:spacing w:after="60"/>
        <w:ind w:firstLine="567"/>
        <w:contextualSpacing/>
        <w:jc w:val="both"/>
        <w:rPr>
          <w:rFonts w:ascii="Times New Roman" w:eastAsia="Times New Roman" w:hAnsi="Times New Roman" w:cs="Times New Roman"/>
          <w:sz w:val="24"/>
          <w:szCs w:val="18"/>
          <w:lang w:val="x-none"/>
        </w:rPr>
      </w:pPr>
      <w:r w:rsidRPr="007F400A">
        <w:rPr>
          <w:rFonts w:ascii="Times New Roman" w:eastAsia="Times New Roman" w:hAnsi="Times New Roman"/>
          <w:sz w:val="24"/>
          <w:szCs w:val="18"/>
          <w:lang w:val="x-none"/>
        </w:rPr>
        <w:tab/>
      </w:r>
      <w:r w:rsidR="002568F9" w:rsidRPr="005E2831">
        <w:rPr>
          <w:rFonts w:ascii="Times New Roman" w:eastAsia="Times New Roman" w:hAnsi="Times New Roman" w:cs="Times New Roman"/>
          <w:sz w:val="24"/>
          <w:szCs w:val="18"/>
          <w:lang w:val="x-none"/>
        </w:rPr>
        <w:t>W 20</w:t>
      </w:r>
      <w:r w:rsidR="002568F9" w:rsidRPr="005E2831">
        <w:rPr>
          <w:rFonts w:ascii="Times New Roman" w:eastAsia="Times New Roman" w:hAnsi="Times New Roman" w:cs="Times New Roman"/>
          <w:sz w:val="24"/>
          <w:szCs w:val="18"/>
        </w:rPr>
        <w:t>22 r.</w:t>
      </w:r>
      <w:r w:rsidR="002568F9" w:rsidRPr="005E2831">
        <w:rPr>
          <w:rFonts w:ascii="Times New Roman" w:eastAsia="Times New Roman" w:hAnsi="Times New Roman" w:cs="Times New Roman"/>
          <w:sz w:val="24"/>
          <w:szCs w:val="18"/>
          <w:lang w:val="x-none"/>
        </w:rPr>
        <w:t xml:space="preserve"> Główny Inspektor na bieżąco informował o ryzyku przekroczenia lub przekroczeniu norm jakości powietrza dla pyłu </w:t>
      </w:r>
      <w:r w:rsidR="002568F9" w:rsidRPr="005E2831">
        <w:rPr>
          <w:rFonts w:ascii="Times New Roman" w:eastAsia="Times New Roman" w:hAnsi="Times New Roman" w:cs="Times New Roman"/>
          <w:sz w:val="24"/>
          <w:szCs w:val="18"/>
        </w:rPr>
        <w:t xml:space="preserve">zawieszonego </w:t>
      </w:r>
      <w:r w:rsidR="002568F9" w:rsidRPr="005E2831">
        <w:rPr>
          <w:rFonts w:ascii="Times New Roman" w:eastAsia="Times New Roman" w:hAnsi="Times New Roman" w:cs="Times New Roman"/>
          <w:sz w:val="24"/>
          <w:szCs w:val="18"/>
          <w:lang w:val="x-none"/>
        </w:rPr>
        <w:t>PM10 i PM2,5, SO</w:t>
      </w:r>
      <w:r w:rsidR="002568F9" w:rsidRPr="005E2831">
        <w:rPr>
          <w:rFonts w:ascii="Times New Roman" w:eastAsia="Times New Roman" w:hAnsi="Times New Roman" w:cs="Times New Roman"/>
          <w:sz w:val="24"/>
          <w:szCs w:val="18"/>
          <w:vertAlign w:val="subscript"/>
          <w:lang w:val="x-none"/>
        </w:rPr>
        <w:t>2</w:t>
      </w:r>
      <w:r w:rsidR="002568F9" w:rsidRPr="005E2831">
        <w:rPr>
          <w:rFonts w:ascii="Times New Roman" w:eastAsia="Times New Roman" w:hAnsi="Times New Roman" w:cs="Times New Roman"/>
          <w:sz w:val="24"/>
          <w:szCs w:val="18"/>
          <w:lang w:val="x-none"/>
        </w:rPr>
        <w:t>, NO</w:t>
      </w:r>
      <w:r w:rsidR="002568F9" w:rsidRPr="005E2831">
        <w:rPr>
          <w:rFonts w:ascii="Times New Roman" w:eastAsia="Times New Roman" w:hAnsi="Times New Roman" w:cs="Times New Roman"/>
          <w:sz w:val="24"/>
          <w:szCs w:val="18"/>
          <w:vertAlign w:val="subscript"/>
          <w:lang w:val="x-none"/>
        </w:rPr>
        <w:t>2</w:t>
      </w:r>
      <w:r w:rsidR="002568F9" w:rsidRPr="005E2831">
        <w:rPr>
          <w:rFonts w:ascii="Times New Roman" w:eastAsia="Times New Roman" w:hAnsi="Times New Roman" w:cs="Times New Roman"/>
          <w:sz w:val="24"/>
          <w:szCs w:val="18"/>
          <w:lang w:val="x-none"/>
        </w:rPr>
        <w:t xml:space="preserve">, </w:t>
      </w:r>
      <w:r w:rsidR="002568F9" w:rsidRPr="005E2831">
        <w:rPr>
          <w:rFonts w:ascii="Times New Roman" w:hAnsi="Times New Roman" w:cs="Times New Roman"/>
          <w:bCs/>
          <w:sz w:val="24"/>
          <w:szCs w:val="24"/>
        </w:rPr>
        <w:t>NO</w:t>
      </w:r>
      <w:r w:rsidR="002568F9" w:rsidRPr="00712170">
        <w:rPr>
          <w:rFonts w:ascii="Times New Roman" w:hAnsi="Times New Roman" w:cs="Times New Roman"/>
          <w:bCs/>
          <w:sz w:val="24"/>
          <w:szCs w:val="24"/>
          <w:vertAlign w:val="subscript"/>
        </w:rPr>
        <w:t>X</w:t>
      </w:r>
      <w:r w:rsidR="002568F9" w:rsidRPr="005E2831">
        <w:rPr>
          <w:rFonts w:ascii="Times New Roman" w:eastAsia="Times New Roman" w:hAnsi="Times New Roman" w:cs="Times New Roman"/>
          <w:sz w:val="24"/>
          <w:szCs w:val="18"/>
          <w:lang w:val="x-none"/>
        </w:rPr>
        <w:t>, O</w:t>
      </w:r>
      <w:r w:rsidR="002568F9" w:rsidRPr="005E2831">
        <w:rPr>
          <w:rFonts w:ascii="Times New Roman" w:eastAsia="Times New Roman" w:hAnsi="Times New Roman" w:cs="Times New Roman"/>
          <w:sz w:val="24"/>
          <w:szCs w:val="18"/>
          <w:vertAlign w:val="subscript"/>
          <w:lang w:val="x-none"/>
        </w:rPr>
        <w:t>3</w:t>
      </w:r>
      <w:r w:rsidR="002568F9" w:rsidRPr="005E2831">
        <w:rPr>
          <w:rFonts w:ascii="Times New Roman" w:eastAsia="Times New Roman" w:hAnsi="Times New Roman" w:cs="Times New Roman"/>
          <w:sz w:val="24"/>
          <w:szCs w:val="18"/>
          <w:lang w:val="x-none"/>
        </w:rPr>
        <w:t>, C</w:t>
      </w:r>
      <w:r w:rsidR="002568F9" w:rsidRPr="005E2831">
        <w:rPr>
          <w:rFonts w:ascii="Times New Roman" w:eastAsia="Times New Roman" w:hAnsi="Times New Roman" w:cs="Times New Roman"/>
          <w:sz w:val="24"/>
          <w:szCs w:val="18"/>
          <w:vertAlign w:val="subscript"/>
          <w:lang w:val="x-none"/>
        </w:rPr>
        <w:t>6</w:t>
      </w:r>
      <w:r w:rsidR="002568F9" w:rsidRPr="005E2831">
        <w:rPr>
          <w:rFonts w:ascii="Times New Roman" w:eastAsia="Times New Roman" w:hAnsi="Times New Roman" w:cs="Times New Roman"/>
          <w:sz w:val="24"/>
          <w:szCs w:val="18"/>
          <w:lang w:val="x-none"/>
        </w:rPr>
        <w:t>H</w:t>
      </w:r>
      <w:r w:rsidR="002568F9" w:rsidRPr="005E2831">
        <w:rPr>
          <w:rFonts w:ascii="Times New Roman" w:eastAsia="Times New Roman" w:hAnsi="Times New Roman" w:cs="Times New Roman"/>
          <w:sz w:val="24"/>
          <w:szCs w:val="18"/>
          <w:vertAlign w:val="subscript"/>
          <w:lang w:val="x-none"/>
        </w:rPr>
        <w:t>6</w:t>
      </w:r>
      <w:r w:rsidR="002568F9" w:rsidRPr="005E2831">
        <w:rPr>
          <w:rFonts w:ascii="Times New Roman" w:eastAsia="Times New Roman" w:hAnsi="Times New Roman" w:cs="Times New Roman"/>
          <w:sz w:val="24"/>
          <w:szCs w:val="18"/>
          <w:lang w:val="x-none"/>
        </w:rPr>
        <w:t>, CO oraz Pb, As, Cd, Ni i </w:t>
      </w:r>
      <w:proofErr w:type="spellStart"/>
      <w:r w:rsidR="002568F9" w:rsidRPr="005E2831">
        <w:rPr>
          <w:rFonts w:ascii="Times New Roman" w:eastAsia="Times New Roman" w:hAnsi="Times New Roman" w:cs="Times New Roman"/>
          <w:sz w:val="24"/>
          <w:szCs w:val="18"/>
          <w:lang w:val="x-none"/>
        </w:rPr>
        <w:t>benzo</w:t>
      </w:r>
      <w:proofErr w:type="spellEnd"/>
      <w:r w:rsidR="002568F9" w:rsidRPr="005E2831">
        <w:rPr>
          <w:rFonts w:ascii="Times New Roman" w:eastAsia="Times New Roman" w:hAnsi="Times New Roman" w:cs="Times New Roman"/>
          <w:sz w:val="24"/>
          <w:szCs w:val="18"/>
          <w:lang w:val="x-none"/>
        </w:rPr>
        <w:t>(a)</w:t>
      </w:r>
      <w:proofErr w:type="spellStart"/>
      <w:r w:rsidR="002568F9" w:rsidRPr="005E2831">
        <w:rPr>
          <w:rFonts w:ascii="Times New Roman" w:eastAsia="Times New Roman" w:hAnsi="Times New Roman" w:cs="Times New Roman"/>
          <w:sz w:val="24"/>
          <w:szCs w:val="18"/>
          <w:lang w:val="x-none"/>
        </w:rPr>
        <w:t>pirenu</w:t>
      </w:r>
      <w:proofErr w:type="spellEnd"/>
      <w:r w:rsidR="002568F9" w:rsidRPr="005E2831">
        <w:rPr>
          <w:rFonts w:ascii="Times New Roman" w:eastAsia="Times New Roman" w:hAnsi="Times New Roman" w:cs="Times New Roman"/>
          <w:sz w:val="24"/>
          <w:szCs w:val="18"/>
          <w:lang w:val="x-none"/>
        </w:rPr>
        <w:t xml:space="preserve"> w pyle </w:t>
      </w:r>
      <w:r w:rsidR="002568F9" w:rsidRPr="005E2831">
        <w:rPr>
          <w:rFonts w:ascii="Times New Roman" w:eastAsia="Times New Roman" w:hAnsi="Times New Roman" w:cs="Times New Roman"/>
          <w:sz w:val="24"/>
          <w:szCs w:val="18"/>
        </w:rPr>
        <w:t xml:space="preserve">zawieszonym </w:t>
      </w:r>
      <w:r w:rsidR="002568F9" w:rsidRPr="005E2831">
        <w:rPr>
          <w:rFonts w:ascii="Times New Roman" w:eastAsia="Times New Roman" w:hAnsi="Times New Roman" w:cs="Times New Roman"/>
          <w:sz w:val="24"/>
          <w:szCs w:val="18"/>
          <w:lang w:val="x-none"/>
        </w:rPr>
        <w:t>PM10</w:t>
      </w:r>
      <w:r w:rsidR="002568F9" w:rsidRPr="005E2831">
        <w:rPr>
          <w:rFonts w:ascii="Times New Roman" w:eastAsia="Times New Roman" w:hAnsi="Times New Roman" w:cs="Times New Roman"/>
          <w:sz w:val="24"/>
          <w:szCs w:val="18"/>
        </w:rPr>
        <w:t>,</w:t>
      </w:r>
      <w:r w:rsidR="002568F9" w:rsidRPr="005E2831">
        <w:rPr>
          <w:rFonts w:ascii="Times New Roman" w:eastAsia="Times New Roman" w:hAnsi="Times New Roman" w:cs="Times New Roman"/>
          <w:sz w:val="24"/>
          <w:szCs w:val="18"/>
          <w:lang w:val="x-none"/>
        </w:rPr>
        <w:t xml:space="preserve"> czyli zanieczyszczeń podlegającym roczn</w:t>
      </w:r>
      <w:r w:rsidR="002568F9" w:rsidRPr="005E2831">
        <w:rPr>
          <w:rFonts w:ascii="Times New Roman" w:eastAsia="Times New Roman" w:hAnsi="Times New Roman" w:cs="Times New Roman"/>
          <w:sz w:val="24"/>
          <w:szCs w:val="18"/>
        </w:rPr>
        <w:t>ej</w:t>
      </w:r>
      <w:r w:rsidR="002568F9" w:rsidRPr="005E2831">
        <w:rPr>
          <w:rFonts w:ascii="Times New Roman" w:eastAsia="Times New Roman" w:hAnsi="Times New Roman" w:cs="Times New Roman"/>
          <w:sz w:val="24"/>
          <w:szCs w:val="18"/>
          <w:lang w:val="x-none"/>
        </w:rPr>
        <w:t xml:space="preserve"> ocen</w:t>
      </w:r>
      <w:r w:rsidR="002568F9" w:rsidRPr="005E2831">
        <w:rPr>
          <w:rFonts w:ascii="Times New Roman" w:eastAsia="Times New Roman" w:hAnsi="Times New Roman" w:cs="Times New Roman"/>
          <w:sz w:val="24"/>
          <w:szCs w:val="18"/>
        </w:rPr>
        <w:t>ie</w:t>
      </w:r>
      <w:r w:rsidR="002568F9" w:rsidRPr="005E2831">
        <w:rPr>
          <w:rFonts w:ascii="Times New Roman" w:eastAsia="Times New Roman" w:hAnsi="Times New Roman" w:cs="Times New Roman"/>
          <w:sz w:val="24"/>
          <w:szCs w:val="18"/>
          <w:lang w:val="x-none"/>
        </w:rPr>
        <w:t xml:space="preserve"> jakości powietrza. Zadanie to było realizowane przez GIOŚ przez cały rok, w tym w dni wolne od pracy.</w:t>
      </w:r>
    </w:p>
    <w:p w14:paraId="15261E95" w14:textId="1CD47977" w:rsidR="002568F9" w:rsidRPr="005E2831" w:rsidRDefault="00535853" w:rsidP="002568F9">
      <w:pPr>
        <w:tabs>
          <w:tab w:val="left" w:pos="708"/>
        </w:tabs>
        <w:spacing w:after="60" w:line="276" w:lineRule="auto"/>
        <w:contextualSpacing/>
        <w:jc w:val="both"/>
        <w:rPr>
          <w:rFonts w:ascii="Times New Roman" w:eastAsia="Times New Roman" w:hAnsi="Times New Roman" w:cs="Times New Roman"/>
          <w:sz w:val="24"/>
          <w:szCs w:val="18"/>
          <w:lang w:val="x-none"/>
        </w:rPr>
      </w:pPr>
      <w:r>
        <w:rPr>
          <w:rFonts w:ascii="Times New Roman" w:eastAsia="Times New Roman" w:hAnsi="Times New Roman" w:cs="Times New Roman"/>
          <w:sz w:val="24"/>
          <w:szCs w:val="18"/>
          <w:lang w:val="x-none"/>
        </w:rPr>
        <w:tab/>
      </w:r>
      <w:r w:rsidR="002568F9" w:rsidRPr="005E2831">
        <w:rPr>
          <w:rFonts w:ascii="Times New Roman" w:eastAsia="Times New Roman" w:hAnsi="Times New Roman" w:cs="Times New Roman"/>
          <w:sz w:val="24"/>
          <w:szCs w:val="18"/>
          <w:lang w:val="x-none"/>
        </w:rPr>
        <w:t>W przypadku stwierdzenia w danym dniu ryzyka wystąpienia przekroczenia lub wystąpienia przekroczenia poziomu informowania</w:t>
      </w:r>
      <w:r w:rsidR="002568F9" w:rsidRPr="005E2831">
        <w:rPr>
          <w:rFonts w:ascii="Times New Roman" w:eastAsia="Times New Roman" w:hAnsi="Times New Roman" w:cs="Times New Roman"/>
          <w:sz w:val="24"/>
          <w:szCs w:val="18"/>
        </w:rPr>
        <w:t xml:space="preserve">, </w:t>
      </w:r>
      <w:r w:rsidR="002568F9" w:rsidRPr="005E2831">
        <w:rPr>
          <w:rFonts w:ascii="Times New Roman" w:eastAsia="Times New Roman" w:hAnsi="Times New Roman" w:cs="Times New Roman"/>
          <w:sz w:val="24"/>
          <w:szCs w:val="18"/>
          <w:lang w:val="x-none"/>
        </w:rPr>
        <w:t>poziomu alarmowego</w:t>
      </w:r>
      <w:r w:rsidR="002568F9" w:rsidRPr="005E2831">
        <w:rPr>
          <w:rFonts w:ascii="Times New Roman" w:eastAsia="Times New Roman" w:hAnsi="Times New Roman" w:cs="Times New Roman"/>
          <w:sz w:val="24"/>
          <w:szCs w:val="18"/>
        </w:rPr>
        <w:t>,</w:t>
      </w:r>
      <w:r w:rsidR="002568F9" w:rsidRPr="005E2831">
        <w:rPr>
          <w:rFonts w:ascii="Times New Roman" w:eastAsia="Times New Roman" w:hAnsi="Times New Roman" w:cs="Times New Roman"/>
          <w:sz w:val="24"/>
          <w:szCs w:val="24"/>
        </w:rPr>
        <w:t xml:space="preserve"> przekroczenia </w:t>
      </w:r>
      <w:r w:rsidR="002568F9" w:rsidRPr="005E2831">
        <w:rPr>
          <w:rFonts w:ascii="Times New Roman" w:eastAsia="Times New Roman" w:hAnsi="Times New Roman" w:cs="Times New Roman"/>
          <w:sz w:val="24"/>
          <w:szCs w:val="24"/>
          <w:lang w:val="x-none"/>
        </w:rPr>
        <w:t>poziom</w:t>
      </w:r>
      <w:r w:rsidR="002568F9" w:rsidRPr="005E2831">
        <w:rPr>
          <w:rFonts w:ascii="Times New Roman" w:eastAsia="Times New Roman" w:hAnsi="Times New Roman" w:cs="Times New Roman"/>
          <w:sz w:val="24"/>
          <w:szCs w:val="24"/>
        </w:rPr>
        <w:t>u</w:t>
      </w:r>
      <w:r w:rsidR="002568F9" w:rsidRPr="005E2831">
        <w:rPr>
          <w:rFonts w:ascii="Times New Roman" w:eastAsia="Times New Roman" w:hAnsi="Times New Roman" w:cs="Times New Roman"/>
          <w:sz w:val="24"/>
          <w:szCs w:val="24"/>
          <w:lang w:val="x-none"/>
        </w:rPr>
        <w:t xml:space="preserve"> dopuszczaln</w:t>
      </w:r>
      <w:r w:rsidR="002568F9" w:rsidRPr="005E2831">
        <w:rPr>
          <w:rFonts w:ascii="Times New Roman" w:eastAsia="Times New Roman" w:hAnsi="Times New Roman" w:cs="Times New Roman"/>
          <w:sz w:val="24"/>
          <w:szCs w:val="24"/>
        </w:rPr>
        <w:t>ego</w:t>
      </w:r>
      <w:r w:rsidR="002568F9" w:rsidRPr="005E2831">
        <w:rPr>
          <w:rFonts w:ascii="Times New Roman" w:eastAsia="Times New Roman" w:hAnsi="Times New Roman" w:cs="Times New Roman"/>
          <w:sz w:val="24"/>
          <w:szCs w:val="24"/>
          <w:lang w:val="x-none"/>
        </w:rPr>
        <w:t xml:space="preserve"> </w:t>
      </w:r>
      <w:r w:rsidR="002568F9" w:rsidRPr="005E2831">
        <w:rPr>
          <w:rFonts w:ascii="Times New Roman" w:eastAsia="Times New Roman" w:hAnsi="Times New Roman" w:cs="Times New Roman"/>
          <w:sz w:val="24"/>
          <w:szCs w:val="24"/>
        </w:rPr>
        <w:t>lub</w:t>
      </w:r>
      <w:r w:rsidR="002568F9" w:rsidRPr="005E2831">
        <w:rPr>
          <w:rFonts w:ascii="Times New Roman" w:eastAsia="Times New Roman" w:hAnsi="Times New Roman" w:cs="Times New Roman"/>
          <w:sz w:val="24"/>
          <w:szCs w:val="24"/>
          <w:lang w:val="x-none"/>
        </w:rPr>
        <w:t xml:space="preserve"> docelow</w:t>
      </w:r>
      <w:r w:rsidR="002568F9" w:rsidRPr="005E2831">
        <w:rPr>
          <w:rFonts w:ascii="Times New Roman" w:eastAsia="Times New Roman" w:hAnsi="Times New Roman" w:cs="Times New Roman"/>
          <w:sz w:val="24"/>
          <w:szCs w:val="24"/>
        </w:rPr>
        <w:t>ego,</w:t>
      </w:r>
      <w:r w:rsidR="002568F9" w:rsidRPr="005E2831">
        <w:rPr>
          <w:rFonts w:ascii="Times New Roman" w:eastAsia="Times New Roman" w:hAnsi="Times New Roman" w:cs="Times New Roman"/>
          <w:sz w:val="24"/>
          <w:szCs w:val="18"/>
          <w:lang w:val="x-none"/>
        </w:rPr>
        <w:t xml:space="preserve"> </w:t>
      </w:r>
      <w:bookmarkStart w:id="378" w:name="_Hlk97639378"/>
      <w:r w:rsidR="002568F9" w:rsidRPr="005E2831">
        <w:rPr>
          <w:rFonts w:ascii="Times New Roman" w:eastAsia="Times New Roman" w:hAnsi="Times New Roman" w:cs="Times New Roman"/>
          <w:sz w:val="24"/>
          <w:szCs w:val="18"/>
          <w:lang w:val="x-none"/>
        </w:rPr>
        <w:t>Główny Inspektor przygotowywał powiadomienie</w:t>
      </w:r>
      <w:r w:rsidR="002568F9" w:rsidRPr="005E2831">
        <w:rPr>
          <w:rFonts w:ascii="Times New Roman" w:eastAsia="Times New Roman" w:hAnsi="Times New Roman" w:cs="Times New Roman"/>
          <w:sz w:val="24"/>
          <w:szCs w:val="18"/>
        </w:rPr>
        <w:t xml:space="preserve">, które </w:t>
      </w:r>
      <w:r w:rsidR="002568F9" w:rsidRPr="005E2831">
        <w:rPr>
          <w:rFonts w:ascii="Times New Roman" w:eastAsia="Times New Roman" w:hAnsi="Times New Roman" w:cs="Times New Roman"/>
          <w:sz w:val="24"/>
          <w:szCs w:val="18"/>
          <w:lang w:val="x-none"/>
        </w:rPr>
        <w:t>był</w:t>
      </w:r>
      <w:r w:rsidR="002568F9" w:rsidRPr="005E2831">
        <w:rPr>
          <w:rFonts w:ascii="Times New Roman" w:eastAsia="Times New Roman" w:hAnsi="Times New Roman" w:cs="Times New Roman"/>
          <w:sz w:val="24"/>
          <w:szCs w:val="18"/>
        </w:rPr>
        <w:t>o</w:t>
      </w:r>
      <w:r w:rsidR="002568F9" w:rsidRPr="005E2831">
        <w:rPr>
          <w:rFonts w:ascii="Times New Roman" w:eastAsia="Times New Roman" w:hAnsi="Times New Roman" w:cs="Times New Roman"/>
          <w:sz w:val="24"/>
          <w:szCs w:val="18"/>
          <w:lang w:val="x-none"/>
        </w:rPr>
        <w:t xml:space="preserve"> przekazywane do właściwego wojewódzkiego centrum zarządzania kryzysowego, zarządu województwa</w:t>
      </w:r>
      <w:bookmarkEnd w:id="378"/>
      <w:r w:rsidR="002568F9" w:rsidRPr="005E2831">
        <w:rPr>
          <w:rFonts w:ascii="Times New Roman" w:eastAsia="Times New Roman" w:hAnsi="Times New Roman" w:cs="Times New Roman"/>
          <w:sz w:val="24"/>
          <w:szCs w:val="18"/>
          <w:lang w:val="x-none"/>
        </w:rPr>
        <w:t xml:space="preserve"> oraz Ministerstwa Klimatu</w:t>
      </w:r>
      <w:r w:rsidR="002568F9" w:rsidRPr="005E2831">
        <w:rPr>
          <w:rFonts w:ascii="Times New Roman" w:eastAsia="Times New Roman" w:hAnsi="Times New Roman" w:cs="Times New Roman"/>
          <w:sz w:val="24"/>
          <w:szCs w:val="18"/>
        </w:rPr>
        <w:t xml:space="preserve"> i Środowiska</w:t>
      </w:r>
      <w:r w:rsidR="002568F9" w:rsidRPr="005E2831">
        <w:rPr>
          <w:rFonts w:ascii="Times New Roman" w:eastAsia="Times New Roman" w:hAnsi="Times New Roman" w:cs="Times New Roman"/>
          <w:sz w:val="24"/>
          <w:szCs w:val="18"/>
          <w:lang w:val="x-none"/>
        </w:rPr>
        <w:t xml:space="preserve">. </w:t>
      </w:r>
    </w:p>
    <w:p w14:paraId="726FF073" w14:textId="77777777" w:rsidR="002568F9" w:rsidRPr="005E2831" w:rsidRDefault="002568F9" w:rsidP="002568F9">
      <w:pPr>
        <w:tabs>
          <w:tab w:val="left" w:pos="708"/>
        </w:tabs>
        <w:spacing w:after="60" w:line="276" w:lineRule="auto"/>
        <w:contextualSpacing/>
        <w:jc w:val="both"/>
        <w:rPr>
          <w:rFonts w:ascii="Times New Roman" w:eastAsia="Times New Roman" w:hAnsi="Times New Roman" w:cs="Times New Roman"/>
          <w:sz w:val="24"/>
          <w:szCs w:val="18"/>
        </w:rPr>
      </w:pPr>
      <w:r>
        <w:rPr>
          <w:rFonts w:ascii="Times New Roman" w:eastAsia="Times New Roman" w:hAnsi="Times New Roman" w:cs="Times New Roman"/>
          <w:sz w:val="24"/>
          <w:szCs w:val="18"/>
        </w:rPr>
        <w:tab/>
      </w:r>
      <w:r w:rsidRPr="005E2831">
        <w:rPr>
          <w:rFonts w:ascii="Times New Roman" w:eastAsia="Times New Roman" w:hAnsi="Times New Roman" w:cs="Times New Roman"/>
          <w:sz w:val="24"/>
          <w:szCs w:val="18"/>
        </w:rPr>
        <w:t>P</w:t>
      </w:r>
      <w:proofErr w:type="spellStart"/>
      <w:r w:rsidRPr="005E2831">
        <w:rPr>
          <w:rFonts w:ascii="Times New Roman" w:eastAsia="Times New Roman" w:hAnsi="Times New Roman" w:cs="Times New Roman"/>
          <w:sz w:val="24"/>
          <w:szCs w:val="18"/>
          <w:lang w:val="x-none"/>
        </w:rPr>
        <w:t>oziom</w:t>
      </w:r>
      <w:proofErr w:type="spellEnd"/>
      <w:r w:rsidRPr="005E2831">
        <w:rPr>
          <w:rFonts w:ascii="Times New Roman" w:eastAsia="Times New Roman" w:hAnsi="Times New Roman" w:cs="Times New Roman"/>
          <w:sz w:val="24"/>
          <w:szCs w:val="18"/>
          <w:lang w:val="x-none"/>
        </w:rPr>
        <w:t xml:space="preserve"> alarmowy dla pyłu </w:t>
      </w:r>
      <w:r w:rsidRPr="005E2831">
        <w:rPr>
          <w:rFonts w:ascii="Times New Roman" w:eastAsia="Times New Roman" w:hAnsi="Times New Roman" w:cs="Times New Roman"/>
          <w:sz w:val="24"/>
          <w:szCs w:val="18"/>
        </w:rPr>
        <w:t xml:space="preserve">zawieszonego </w:t>
      </w:r>
      <w:r w:rsidRPr="005E2831">
        <w:rPr>
          <w:rFonts w:ascii="Times New Roman" w:eastAsia="Times New Roman" w:hAnsi="Times New Roman" w:cs="Times New Roman"/>
          <w:sz w:val="24"/>
          <w:szCs w:val="18"/>
          <w:lang w:val="x-none"/>
        </w:rPr>
        <w:t>PM10 (wartość średn</w:t>
      </w:r>
      <w:r w:rsidRPr="005E2831">
        <w:rPr>
          <w:rFonts w:ascii="Times New Roman" w:eastAsia="Times New Roman" w:hAnsi="Times New Roman" w:cs="Times New Roman"/>
          <w:sz w:val="24"/>
          <w:szCs w:val="18"/>
        </w:rPr>
        <w:t>iodobowa) w</w:t>
      </w:r>
      <w:r w:rsidRPr="005E2831">
        <w:rPr>
          <w:rFonts w:ascii="Times New Roman" w:eastAsia="Times New Roman" w:hAnsi="Times New Roman" w:cs="Times New Roman"/>
          <w:sz w:val="24"/>
          <w:szCs w:val="18"/>
          <w:lang w:val="x-none"/>
        </w:rPr>
        <w:t xml:space="preserve"> 20</w:t>
      </w:r>
      <w:r w:rsidRPr="005E2831">
        <w:rPr>
          <w:rFonts w:ascii="Times New Roman" w:eastAsia="Times New Roman" w:hAnsi="Times New Roman" w:cs="Times New Roman"/>
          <w:sz w:val="24"/>
          <w:szCs w:val="18"/>
        </w:rPr>
        <w:t>22</w:t>
      </w:r>
      <w:r w:rsidRPr="005E2831">
        <w:rPr>
          <w:rFonts w:ascii="Times New Roman" w:eastAsia="Times New Roman" w:hAnsi="Times New Roman" w:cs="Times New Roman"/>
          <w:sz w:val="24"/>
          <w:szCs w:val="18"/>
          <w:lang w:val="x-none"/>
        </w:rPr>
        <w:t xml:space="preserve"> r. został przekroczony </w:t>
      </w:r>
      <w:r w:rsidRPr="005E2831">
        <w:rPr>
          <w:rFonts w:ascii="Times New Roman" w:eastAsia="Times New Roman" w:hAnsi="Times New Roman" w:cs="Times New Roman"/>
          <w:sz w:val="24"/>
          <w:szCs w:val="18"/>
        </w:rPr>
        <w:t xml:space="preserve">10 </w:t>
      </w:r>
      <w:r w:rsidRPr="005E2831">
        <w:rPr>
          <w:rFonts w:ascii="Times New Roman" w:eastAsia="Times New Roman" w:hAnsi="Times New Roman" w:cs="Times New Roman"/>
          <w:sz w:val="24"/>
          <w:szCs w:val="18"/>
          <w:lang w:val="x-none"/>
        </w:rPr>
        <w:t xml:space="preserve">razy, a poziom informowania </w:t>
      </w:r>
      <w:r w:rsidRPr="005E2831">
        <w:rPr>
          <w:rFonts w:ascii="Times New Roman" w:eastAsia="Times New Roman" w:hAnsi="Times New Roman" w:cs="Times New Roman"/>
          <w:sz w:val="24"/>
          <w:szCs w:val="18"/>
        </w:rPr>
        <w:t>- 228</w:t>
      </w:r>
      <w:r w:rsidRPr="005E2831">
        <w:rPr>
          <w:rFonts w:ascii="Times New Roman" w:eastAsia="Times New Roman" w:hAnsi="Times New Roman" w:cs="Times New Roman"/>
          <w:sz w:val="24"/>
          <w:szCs w:val="18"/>
          <w:lang w:val="x-none"/>
        </w:rPr>
        <w:t xml:space="preserve"> razy</w:t>
      </w:r>
      <w:r w:rsidRPr="005E2831">
        <w:rPr>
          <w:rFonts w:ascii="Times New Roman" w:eastAsia="Times New Roman" w:hAnsi="Times New Roman" w:cs="Times New Roman"/>
          <w:sz w:val="24"/>
          <w:szCs w:val="18"/>
        </w:rPr>
        <w:t>. W przypadku</w:t>
      </w:r>
      <w:r w:rsidRPr="005E2831">
        <w:rPr>
          <w:rFonts w:ascii="Times New Roman" w:eastAsia="Times New Roman" w:hAnsi="Times New Roman" w:cs="Times New Roman"/>
          <w:sz w:val="24"/>
          <w:szCs w:val="18"/>
          <w:lang w:val="x-none"/>
        </w:rPr>
        <w:t xml:space="preserve"> ozonu przekroczenie poziomu informowania</w:t>
      </w:r>
      <w:r w:rsidRPr="005E2831">
        <w:rPr>
          <w:rFonts w:ascii="Times New Roman" w:eastAsia="Times New Roman" w:hAnsi="Times New Roman" w:cs="Times New Roman"/>
          <w:sz w:val="24"/>
          <w:szCs w:val="18"/>
        </w:rPr>
        <w:t xml:space="preserve"> </w:t>
      </w:r>
      <w:r w:rsidRPr="005E2831">
        <w:rPr>
          <w:rFonts w:ascii="Times New Roman" w:eastAsia="Times New Roman" w:hAnsi="Times New Roman" w:cs="Times New Roman"/>
          <w:sz w:val="24"/>
          <w:szCs w:val="18"/>
          <w:lang w:val="x-none"/>
        </w:rPr>
        <w:t>wystąpiło</w:t>
      </w:r>
      <w:r w:rsidRPr="005E2831">
        <w:rPr>
          <w:rFonts w:ascii="Times New Roman" w:eastAsia="Times New Roman" w:hAnsi="Times New Roman" w:cs="Times New Roman"/>
          <w:sz w:val="24"/>
          <w:szCs w:val="18"/>
        </w:rPr>
        <w:t xml:space="preserve"> 15</w:t>
      </w:r>
      <w:r w:rsidRPr="005E2831">
        <w:rPr>
          <w:rFonts w:ascii="Times New Roman" w:eastAsia="Times New Roman" w:hAnsi="Times New Roman" w:cs="Times New Roman"/>
          <w:sz w:val="24"/>
          <w:szCs w:val="18"/>
          <w:lang w:val="x-none"/>
        </w:rPr>
        <w:t xml:space="preserve"> raz</w:t>
      </w:r>
      <w:r w:rsidRPr="005E2831">
        <w:rPr>
          <w:rFonts w:ascii="Times New Roman" w:eastAsia="Times New Roman" w:hAnsi="Times New Roman" w:cs="Times New Roman"/>
          <w:sz w:val="24"/>
          <w:szCs w:val="18"/>
        </w:rPr>
        <w:t>y,</w:t>
      </w:r>
      <w:r w:rsidRPr="005E2831">
        <w:rPr>
          <w:rFonts w:ascii="Times New Roman" w:eastAsia="Times New Roman" w:hAnsi="Times New Roman" w:cs="Times New Roman"/>
          <w:sz w:val="24"/>
          <w:szCs w:val="18"/>
          <w:lang w:val="x-none"/>
        </w:rPr>
        <w:t xml:space="preserve"> nie wystąpiły natomiast przekroczenia poziomu alarmowego. </w:t>
      </w:r>
      <w:r w:rsidRPr="005E2831">
        <w:rPr>
          <w:rFonts w:ascii="Times New Roman" w:eastAsia="Times New Roman" w:hAnsi="Times New Roman" w:cs="Times New Roman"/>
          <w:sz w:val="24"/>
          <w:szCs w:val="18"/>
        </w:rPr>
        <w:t>W 2022 r. GIOŚ stwierdził jednocześnie wystąpienie 97 przypadków ryzyka przekroczenia poziomu dopuszczalnego dla pyłu zawieszonego PM10 i 49 przypadków przekroczenia tego poziomu, 24 przypadki ryzyka przekroczenia poziomu dopuszczalnego dla</w:t>
      </w:r>
      <w:r>
        <w:rPr>
          <w:rFonts w:ascii="Times New Roman" w:eastAsia="Times New Roman" w:hAnsi="Times New Roman" w:cs="Times New Roman"/>
          <w:sz w:val="24"/>
          <w:szCs w:val="18"/>
        </w:rPr>
        <w:t> </w:t>
      </w:r>
      <w:r w:rsidRPr="005E2831">
        <w:rPr>
          <w:rFonts w:ascii="Times New Roman" w:eastAsia="Times New Roman" w:hAnsi="Times New Roman" w:cs="Times New Roman"/>
          <w:sz w:val="24"/>
          <w:szCs w:val="18"/>
        </w:rPr>
        <w:t>pyłu zawieszonego PM2,5, 4 przypadki ryzyka przekroczenia poziomu dopuszczalnego dla</w:t>
      </w:r>
      <w:r>
        <w:rPr>
          <w:rFonts w:ascii="Times New Roman" w:eastAsia="Times New Roman" w:hAnsi="Times New Roman" w:cs="Times New Roman"/>
          <w:sz w:val="24"/>
          <w:szCs w:val="18"/>
        </w:rPr>
        <w:t> </w:t>
      </w:r>
      <w:r w:rsidRPr="005E2831">
        <w:rPr>
          <w:rFonts w:ascii="Times New Roman" w:eastAsia="Times New Roman" w:hAnsi="Times New Roman" w:cs="Times New Roman"/>
          <w:sz w:val="24"/>
          <w:szCs w:val="18"/>
        </w:rPr>
        <w:t>NO</w:t>
      </w:r>
      <w:r w:rsidRPr="005E2831">
        <w:rPr>
          <w:rFonts w:ascii="Times New Roman" w:eastAsia="Times New Roman" w:hAnsi="Times New Roman" w:cs="Times New Roman"/>
          <w:sz w:val="24"/>
          <w:szCs w:val="18"/>
          <w:vertAlign w:val="subscript"/>
        </w:rPr>
        <w:t>2</w:t>
      </w:r>
      <w:r w:rsidRPr="005E2831">
        <w:rPr>
          <w:rFonts w:ascii="Times New Roman" w:eastAsia="Times New Roman" w:hAnsi="Times New Roman" w:cs="Times New Roman"/>
          <w:sz w:val="24"/>
          <w:szCs w:val="18"/>
        </w:rPr>
        <w:t xml:space="preserve"> oraz 1 przypadek dla SO</w:t>
      </w:r>
      <w:r w:rsidRPr="005E2831">
        <w:rPr>
          <w:rFonts w:ascii="Times New Roman" w:eastAsia="Times New Roman" w:hAnsi="Times New Roman" w:cs="Times New Roman"/>
          <w:sz w:val="24"/>
          <w:szCs w:val="18"/>
          <w:vertAlign w:val="subscript"/>
        </w:rPr>
        <w:t>2</w:t>
      </w:r>
      <w:r w:rsidRPr="005E2831">
        <w:rPr>
          <w:rFonts w:ascii="Times New Roman" w:eastAsia="Times New Roman" w:hAnsi="Times New Roman" w:cs="Times New Roman"/>
          <w:sz w:val="24"/>
          <w:szCs w:val="18"/>
        </w:rPr>
        <w:t xml:space="preserve">. Ponadto, GIOŚ stwierdził 90 przypadków </w:t>
      </w:r>
      <w:bookmarkStart w:id="379" w:name="_Hlk97643272"/>
      <w:r w:rsidRPr="005E2831">
        <w:rPr>
          <w:rFonts w:ascii="Times New Roman" w:eastAsia="Times New Roman" w:hAnsi="Times New Roman" w:cs="Times New Roman"/>
          <w:sz w:val="24"/>
          <w:szCs w:val="18"/>
        </w:rPr>
        <w:t xml:space="preserve">ryzyka przekroczenia poziomu docelowego </w:t>
      </w:r>
      <w:bookmarkEnd w:id="379"/>
      <w:r w:rsidRPr="005E2831">
        <w:rPr>
          <w:rFonts w:ascii="Times New Roman" w:eastAsia="Times New Roman" w:hAnsi="Times New Roman" w:cs="Times New Roman"/>
          <w:sz w:val="24"/>
          <w:szCs w:val="18"/>
        </w:rPr>
        <w:t xml:space="preserve">dla </w:t>
      </w:r>
      <w:proofErr w:type="spellStart"/>
      <w:r w:rsidRPr="005E2831">
        <w:rPr>
          <w:rFonts w:ascii="Times New Roman" w:eastAsia="Times New Roman" w:hAnsi="Times New Roman" w:cs="Times New Roman"/>
          <w:sz w:val="24"/>
          <w:szCs w:val="18"/>
        </w:rPr>
        <w:t>benzo</w:t>
      </w:r>
      <w:proofErr w:type="spellEnd"/>
      <w:r w:rsidRPr="005E2831">
        <w:rPr>
          <w:rFonts w:ascii="Times New Roman" w:eastAsia="Times New Roman" w:hAnsi="Times New Roman" w:cs="Times New Roman"/>
          <w:sz w:val="24"/>
          <w:szCs w:val="18"/>
        </w:rPr>
        <w:t>(a)</w:t>
      </w:r>
      <w:proofErr w:type="spellStart"/>
      <w:r w:rsidRPr="005E2831">
        <w:rPr>
          <w:rFonts w:ascii="Times New Roman" w:eastAsia="Times New Roman" w:hAnsi="Times New Roman" w:cs="Times New Roman"/>
          <w:sz w:val="24"/>
          <w:szCs w:val="18"/>
        </w:rPr>
        <w:t>pirenu</w:t>
      </w:r>
      <w:proofErr w:type="spellEnd"/>
      <w:r w:rsidRPr="005E2831">
        <w:rPr>
          <w:rFonts w:ascii="Times New Roman" w:eastAsia="Times New Roman" w:hAnsi="Times New Roman" w:cs="Times New Roman"/>
          <w:sz w:val="24"/>
          <w:szCs w:val="18"/>
        </w:rPr>
        <w:t xml:space="preserve"> w pyle zawieszonym PM10 oraz</w:t>
      </w:r>
      <w:r>
        <w:rPr>
          <w:rFonts w:ascii="Times New Roman" w:eastAsia="Times New Roman" w:hAnsi="Times New Roman" w:cs="Times New Roman"/>
          <w:sz w:val="24"/>
          <w:szCs w:val="18"/>
        </w:rPr>
        <w:t> </w:t>
      </w:r>
      <w:r w:rsidRPr="005E2831">
        <w:rPr>
          <w:rFonts w:ascii="Times New Roman" w:eastAsia="Times New Roman" w:hAnsi="Times New Roman" w:cs="Times New Roman"/>
          <w:sz w:val="24"/>
          <w:szCs w:val="18"/>
        </w:rPr>
        <w:t>2</w:t>
      </w:r>
      <w:r>
        <w:rPr>
          <w:rFonts w:ascii="Times New Roman" w:eastAsia="Times New Roman" w:hAnsi="Times New Roman" w:cs="Times New Roman"/>
          <w:sz w:val="24"/>
          <w:szCs w:val="18"/>
        </w:rPr>
        <w:t> </w:t>
      </w:r>
      <w:r w:rsidRPr="005E2831">
        <w:rPr>
          <w:rFonts w:ascii="Times New Roman" w:eastAsia="Times New Roman" w:hAnsi="Times New Roman" w:cs="Times New Roman"/>
          <w:sz w:val="24"/>
          <w:szCs w:val="18"/>
        </w:rPr>
        <w:t>przypadki ryzyka przekroczenia poziomu docelowego  dla arsenu  w pyle zawieszonym PM10.</w:t>
      </w:r>
    </w:p>
    <w:p w14:paraId="2467C8B6" w14:textId="4DBF79D6" w:rsidR="00895F16" w:rsidRDefault="002568F9" w:rsidP="00535853">
      <w:pPr>
        <w:tabs>
          <w:tab w:val="left" w:pos="708"/>
        </w:tabs>
        <w:spacing w:after="0" w:line="300" w:lineRule="atLeast"/>
        <w:ind w:firstLine="567"/>
        <w:contextualSpacing/>
        <w:jc w:val="both"/>
        <w:rPr>
          <w:rFonts w:ascii="Times New Roman" w:eastAsia="Times New Roman" w:hAnsi="Times New Roman"/>
          <w:sz w:val="24"/>
          <w:szCs w:val="24"/>
          <w:lang w:eastAsia="pl-PL"/>
        </w:rPr>
      </w:pPr>
      <w:r>
        <w:rPr>
          <w:rFonts w:ascii="Times New Roman" w:eastAsia="Times New Roman" w:hAnsi="Times New Roman" w:cs="Times New Roman"/>
          <w:sz w:val="24"/>
          <w:szCs w:val="24"/>
          <w:shd w:val="clear" w:color="auto" w:fill="FFFFFF"/>
          <w:lang w:eastAsia="pl-PL"/>
        </w:rPr>
        <w:tab/>
      </w:r>
      <w:r w:rsidRPr="005E2831">
        <w:rPr>
          <w:rFonts w:ascii="Times New Roman" w:eastAsia="Times New Roman" w:hAnsi="Times New Roman" w:cs="Times New Roman"/>
          <w:sz w:val="24"/>
          <w:szCs w:val="24"/>
          <w:shd w:val="clear" w:color="auto" w:fill="FFFFFF"/>
          <w:lang w:eastAsia="pl-PL"/>
        </w:rPr>
        <w:t>W 2022 r. kontynuowano funkcjonowanie systemu wysyłania powiadomień przez GIOŚ do</w:t>
      </w:r>
      <w:r>
        <w:rPr>
          <w:rFonts w:ascii="Times New Roman" w:eastAsia="Times New Roman" w:hAnsi="Times New Roman" w:cs="Times New Roman"/>
          <w:sz w:val="24"/>
          <w:szCs w:val="24"/>
          <w:shd w:val="clear" w:color="auto" w:fill="FFFFFF"/>
          <w:lang w:eastAsia="pl-PL"/>
        </w:rPr>
        <w:t> </w:t>
      </w:r>
      <w:r w:rsidRPr="005E2831">
        <w:rPr>
          <w:rFonts w:ascii="Times New Roman" w:eastAsia="Times New Roman" w:hAnsi="Times New Roman" w:cs="Times New Roman"/>
          <w:sz w:val="24"/>
          <w:szCs w:val="24"/>
          <w:shd w:val="clear" w:color="auto" w:fill="FFFFFF"/>
          <w:lang w:eastAsia="pl-PL"/>
        </w:rPr>
        <w:t xml:space="preserve">Rządowego Centrum Bezpieczeństwa, </w:t>
      </w:r>
      <w:r w:rsidRPr="005E2831">
        <w:rPr>
          <w:rFonts w:ascii="Times New Roman" w:eastAsia="Times New Roman" w:hAnsi="Times New Roman" w:cs="Times New Roman"/>
          <w:sz w:val="24"/>
          <w:szCs w:val="24"/>
          <w:lang w:eastAsia="pl-PL"/>
        </w:rPr>
        <w:t>w przypadku stwierdzenia w danym dniu ryzyka wystąpienia przekroczenia poziomu alarmowego dla pyłu zawieszonego PM10. Powiadomienia te</w:t>
      </w:r>
      <w:r>
        <w:rPr>
          <w:rFonts w:ascii="Times New Roman" w:eastAsia="Times New Roman" w:hAnsi="Times New Roman" w:cs="Times New Roman"/>
          <w:sz w:val="24"/>
          <w:szCs w:val="24"/>
          <w:lang w:eastAsia="pl-PL"/>
        </w:rPr>
        <w:t xml:space="preserve"> były</w:t>
      </w:r>
      <w:r w:rsidRPr="005E2831">
        <w:rPr>
          <w:rFonts w:ascii="Times New Roman" w:eastAsia="Times New Roman" w:hAnsi="Times New Roman" w:cs="Times New Roman"/>
          <w:sz w:val="24"/>
          <w:szCs w:val="24"/>
          <w:lang w:eastAsia="pl-PL"/>
        </w:rPr>
        <w:t xml:space="preserve"> następnie rozsyłane przez RCB, w formie wiadomości SMS na numery telefonów komórkowych znajdujących się na obszarze powiatu, którego dotyczyło ryzyko przekroczenia. W 2022 r. wysłano </w:t>
      </w:r>
      <w:r w:rsidRPr="005E2831">
        <w:rPr>
          <w:rFonts w:ascii="Times New Roman" w:eastAsia="Times New Roman" w:hAnsi="Times New Roman" w:cs="Times New Roman"/>
          <w:sz w:val="24"/>
          <w:szCs w:val="24"/>
          <w:shd w:val="clear" w:color="auto" w:fill="FFFFFF"/>
          <w:lang w:eastAsia="pl-PL"/>
        </w:rPr>
        <w:t xml:space="preserve">przez GIOŚ do RCB </w:t>
      </w:r>
      <w:r w:rsidRPr="005E2831">
        <w:rPr>
          <w:rFonts w:ascii="Times New Roman" w:eastAsia="Times New Roman" w:hAnsi="Times New Roman" w:cs="Times New Roman"/>
          <w:sz w:val="24"/>
          <w:szCs w:val="24"/>
          <w:lang w:eastAsia="pl-PL"/>
        </w:rPr>
        <w:t>40 powiadomień o ryzyku wystąpienia przekroczenia poziomu alarmowego dla pyłu zawieszonego PM10</w:t>
      </w:r>
      <w:r w:rsidR="00895F16" w:rsidRPr="007F400A">
        <w:rPr>
          <w:rFonts w:ascii="Times New Roman" w:eastAsia="Times New Roman" w:hAnsi="Times New Roman"/>
          <w:sz w:val="24"/>
          <w:szCs w:val="24"/>
          <w:lang w:eastAsia="pl-PL"/>
        </w:rPr>
        <w:t>.</w:t>
      </w:r>
    </w:p>
    <w:p w14:paraId="45B1E6A6" w14:textId="77777777" w:rsidR="0040482D" w:rsidRPr="007F400A" w:rsidRDefault="0040482D" w:rsidP="00535853">
      <w:pPr>
        <w:tabs>
          <w:tab w:val="left" w:pos="708"/>
        </w:tabs>
        <w:spacing w:after="0" w:line="300" w:lineRule="atLeast"/>
        <w:ind w:firstLine="567"/>
        <w:contextualSpacing/>
        <w:jc w:val="both"/>
        <w:rPr>
          <w:rFonts w:ascii="Times New Roman" w:eastAsia="Times New Roman" w:hAnsi="Times New Roman" w:cs="Times New Roman"/>
          <w:sz w:val="24"/>
          <w:szCs w:val="18"/>
          <w:lang w:eastAsia="pl-PL"/>
        </w:rPr>
      </w:pPr>
    </w:p>
    <w:p w14:paraId="54A90B8B" w14:textId="77777777" w:rsidR="00895F16" w:rsidRPr="007F400A" w:rsidRDefault="00895F16" w:rsidP="00535853">
      <w:pPr>
        <w:keepNext/>
        <w:spacing w:after="120" w:line="300" w:lineRule="atLeast"/>
        <w:jc w:val="both"/>
        <w:outlineLvl w:val="0"/>
        <w:rPr>
          <w:rFonts w:ascii="Times New Roman" w:eastAsia="Times New Roman" w:hAnsi="Times New Roman" w:cs="Times New Roman"/>
          <w:b/>
          <w:sz w:val="24"/>
          <w:szCs w:val="24"/>
          <w:lang w:eastAsia="x-none"/>
        </w:rPr>
      </w:pPr>
      <w:bookmarkStart w:id="380" w:name="_Toc36732628"/>
      <w:bookmarkStart w:id="381" w:name="_Toc135935698"/>
      <w:r w:rsidRPr="007F400A">
        <w:rPr>
          <w:rFonts w:ascii="Times New Roman" w:eastAsia="Times New Roman" w:hAnsi="Times New Roman" w:cs="Times New Roman"/>
          <w:b/>
          <w:bCs/>
          <w:sz w:val="24"/>
          <w:szCs w:val="24"/>
          <w:lang w:val="x-none" w:eastAsia="x-none"/>
        </w:rPr>
        <w:t>2.</w:t>
      </w:r>
      <w:r w:rsidRPr="007F400A">
        <w:rPr>
          <w:rFonts w:ascii="Times New Roman" w:eastAsia="Times New Roman" w:hAnsi="Times New Roman" w:cs="Times New Roman"/>
          <w:b/>
          <w:bCs/>
          <w:sz w:val="24"/>
          <w:szCs w:val="24"/>
          <w:lang w:eastAsia="x-none"/>
        </w:rPr>
        <w:t>4</w:t>
      </w:r>
      <w:r w:rsidRPr="007F400A">
        <w:rPr>
          <w:rFonts w:ascii="Times New Roman" w:eastAsia="Times New Roman" w:hAnsi="Times New Roman" w:cs="Times New Roman"/>
          <w:b/>
          <w:bCs/>
          <w:sz w:val="24"/>
          <w:szCs w:val="24"/>
          <w:lang w:val="x-none" w:eastAsia="x-none"/>
        </w:rPr>
        <w:t xml:space="preserve"> </w:t>
      </w:r>
      <w:bookmarkEnd w:id="380"/>
      <w:r w:rsidRPr="007F400A">
        <w:rPr>
          <w:rFonts w:ascii="Times New Roman" w:eastAsia="Times New Roman" w:hAnsi="Times New Roman" w:cs="Times New Roman"/>
          <w:b/>
          <w:sz w:val="24"/>
          <w:szCs w:val="24"/>
          <w:lang w:val="x-none" w:eastAsia="pl-PL"/>
        </w:rPr>
        <w:t>Określanie tła substancji w powietrzu</w:t>
      </w:r>
      <w:bookmarkEnd w:id="381"/>
    </w:p>
    <w:p w14:paraId="742CBC78" w14:textId="19870F6D" w:rsidR="00895F16" w:rsidRPr="007F400A" w:rsidRDefault="002568F9" w:rsidP="00D0218B">
      <w:pPr>
        <w:spacing w:after="0" w:line="300" w:lineRule="atLeast"/>
        <w:ind w:firstLine="567"/>
        <w:contextualSpacing/>
        <w:jc w:val="both"/>
        <w:rPr>
          <w:rFonts w:ascii="Times New Roman" w:eastAsia="Times New Roman" w:hAnsi="Times New Roman" w:cs="Times New Roman"/>
          <w:sz w:val="24"/>
          <w:szCs w:val="18"/>
          <w:lang w:eastAsia="pl-PL"/>
        </w:rPr>
      </w:pPr>
      <w:r w:rsidRPr="002568F9">
        <w:rPr>
          <w:rFonts w:ascii="Times New Roman" w:hAnsi="Times New Roman" w:cs="Times New Roman"/>
          <w:sz w:val="24"/>
          <w:szCs w:val="24"/>
          <w:lang w:eastAsia="pl-PL"/>
        </w:rPr>
        <w:t xml:space="preserve">Główny Inspektor  Ochrony Środowiska w 2022 r. </w:t>
      </w:r>
      <w:r w:rsidRPr="002568F9">
        <w:rPr>
          <w:rFonts w:ascii="Times New Roman" w:hAnsi="Times New Roman" w:cs="Times New Roman"/>
          <w:sz w:val="24"/>
          <w:szCs w:val="24"/>
        </w:rPr>
        <w:t>na podstawie danych wykorzystanych do rocznej oceny jakości powietrza za rok 2021 określił przestrzenny rozkład stężeń dla pyłu zawieszonego PM10 i PM2,5, SO</w:t>
      </w:r>
      <w:r w:rsidRPr="002568F9">
        <w:rPr>
          <w:rFonts w:ascii="Times New Roman" w:hAnsi="Times New Roman" w:cs="Times New Roman"/>
          <w:sz w:val="24"/>
          <w:szCs w:val="24"/>
          <w:vertAlign w:val="subscript"/>
        </w:rPr>
        <w:t>2</w:t>
      </w:r>
      <w:r w:rsidRPr="002568F9">
        <w:rPr>
          <w:rFonts w:ascii="Times New Roman" w:hAnsi="Times New Roman" w:cs="Times New Roman"/>
          <w:sz w:val="24"/>
          <w:szCs w:val="24"/>
        </w:rPr>
        <w:t>, NO</w:t>
      </w:r>
      <w:r w:rsidRPr="002568F9">
        <w:rPr>
          <w:rFonts w:ascii="Times New Roman" w:hAnsi="Times New Roman" w:cs="Times New Roman"/>
          <w:sz w:val="24"/>
          <w:szCs w:val="24"/>
          <w:vertAlign w:val="subscript"/>
        </w:rPr>
        <w:t>2</w:t>
      </w:r>
      <w:r w:rsidRPr="002568F9">
        <w:rPr>
          <w:rFonts w:ascii="Times New Roman" w:hAnsi="Times New Roman" w:cs="Times New Roman"/>
          <w:sz w:val="24"/>
          <w:szCs w:val="24"/>
        </w:rPr>
        <w:t>, C</w:t>
      </w:r>
      <w:r w:rsidRPr="002568F9">
        <w:rPr>
          <w:rFonts w:ascii="Times New Roman" w:hAnsi="Times New Roman" w:cs="Times New Roman"/>
          <w:sz w:val="24"/>
          <w:szCs w:val="24"/>
          <w:vertAlign w:val="subscript"/>
        </w:rPr>
        <w:t>6</w:t>
      </w:r>
      <w:r w:rsidRPr="002568F9">
        <w:rPr>
          <w:rFonts w:ascii="Times New Roman" w:hAnsi="Times New Roman" w:cs="Times New Roman"/>
          <w:sz w:val="24"/>
          <w:szCs w:val="24"/>
        </w:rPr>
        <w:t>H</w:t>
      </w:r>
      <w:r w:rsidRPr="002568F9">
        <w:rPr>
          <w:rFonts w:ascii="Times New Roman" w:hAnsi="Times New Roman" w:cs="Times New Roman"/>
          <w:sz w:val="24"/>
          <w:szCs w:val="24"/>
          <w:vertAlign w:val="subscript"/>
        </w:rPr>
        <w:t>6</w:t>
      </w:r>
      <w:r w:rsidRPr="002568F9">
        <w:rPr>
          <w:rFonts w:ascii="Times New Roman" w:hAnsi="Times New Roman" w:cs="Times New Roman"/>
          <w:sz w:val="24"/>
          <w:szCs w:val="24"/>
        </w:rPr>
        <w:t xml:space="preserve">, oraz Pb w pyle zawieszonym PM10 </w:t>
      </w:r>
      <w:r w:rsidRPr="002568F9">
        <w:rPr>
          <w:rFonts w:ascii="Times New Roman" w:hAnsi="Times New Roman" w:cs="Times New Roman"/>
          <w:sz w:val="24"/>
          <w:szCs w:val="24"/>
          <w:lang w:eastAsia="pl-PL"/>
        </w:rPr>
        <w:t xml:space="preserve">na potrzeby określania tła substancji w powietrzu. Informacje o tle substancji w powietrzu były </w:t>
      </w:r>
      <w:r w:rsidRPr="002568F9">
        <w:rPr>
          <w:rFonts w:ascii="Times New Roman" w:hAnsi="Times New Roman" w:cs="Times New Roman"/>
          <w:sz w:val="24"/>
          <w:szCs w:val="24"/>
          <w:lang w:eastAsia="pl-PL"/>
        </w:rPr>
        <w:lastRenderedPageBreak/>
        <w:t xml:space="preserve">udostępniane na potrzeby ocen oddziaływania przedsięwzięć na środowisko w procesie wydawania pozwoleń. </w:t>
      </w:r>
      <w:r w:rsidRPr="002568F9">
        <w:rPr>
          <w:rFonts w:ascii="Times New Roman" w:hAnsi="Times New Roman" w:cs="Times New Roman"/>
          <w:sz w:val="24"/>
          <w:szCs w:val="24"/>
        </w:rPr>
        <w:t xml:space="preserve">Tło substancji w powietrzu w okresie od 1 stycznia do 30 kwietnia 2022 r. było określane w oparciu o wyniki oceny jakości powietrza za 2020 r., a w okresie od 1 maja do 31 grudnia 2022 r. - w oparciu o wyniki oceny jakości powietrza za 2021 r. W 2022 r. GIOŚ udzielił odpowiedzi na 8 520 wniosków o informacje o tle substancji </w:t>
      </w:r>
      <w:r w:rsidR="00D0218B">
        <w:rPr>
          <w:rFonts w:ascii="Times New Roman" w:hAnsi="Times New Roman" w:cs="Times New Roman"/>
          <w:sz w:val="24"/>
          <w:szCs w:val="24"/>
        </w:rPr>
        <w:br/>
      </w:r>
      <w:r w:rsidRPr="002568F9">
        <w:rPr>
          <w:rFonts w:ascii="Times New Roman" w:hAnsi="Times New Roman" w:cs="Times New Roman"/>
          <w:sz w:val="24"/>
          <w:szCs w:val="24"/>
        </w:rPr>
        <w:t>w powietrzu</w:t>
      </w:r>
      <w:r w:rsidR="00895F16" w:rsidRPr="007F400A">
        <w:rPr>
          <w:rFonts w:ascii="Times New Roman" w:eastAsia="Times New Roman" w:hAnsi="Times New Roman" w:cs="Times New Roman"/>
          <w:sz w:val="24"/>
          <w:szCs w:val="18"/>
          <w:lang w:eastAsia="pl-PL"/>
        </w:rPr>
        <w:t>.</w:t>
      </w:r>
    </w:p>
    <w:p w14:paraId="734733CA" w14:textId="77777777" w:rsidR="00895F16" w:rsidRPr="007F400A" w:rsidRDefault="00895F16" w:rsidP="00895F16">
      <w:pPr>
        <w:spacing w:after="0" w:line="300" w:lineRule="atLeast"/>
        <w:ind w:firstLine="567"/>
        <w:contextualSpacing/>
        <w:jc w:val="both"/>
        <w:rPr>
          <w:rFonts w:ascii="Times New Roman" w:eastAsia="Times New Roman" w:hAnsi="Times New Roman" w:cs="Times New Roman"/>
          <w:sz w:val="24"/>
          <w:szCs w:val="18"/>
          <w:lang w:eastAsia="pl-PL"/>
        </w:rPr>
      </w:pPr>
    </w:p>
    <w:p w14:paraId="0D9AB151" w14:textId="11AD57A7" w:rsidR="00895F16" w:rsidRPr="007F400A" w:rsidRDefault="00895F16" w:rsidP="00535853">
      <w:pPr>
        <w:spacing w:after="120" w:line="300" w:lineRule="atLeast"/>
        <w:jc w:val="both"/>
        <w:outlineLvl w:val="0"/>
        <w:rPr>
          <w:rFonts w:ascii="Times New Roman" w:eastAsia="Times New Roman" w:hAnsi="Times New Roman" w:cs="Times New Roman"/>
          <w:sz w:val="24"/>
          <w:szCs w:val="24"/>
        </w:rPr>
      </w:pPr>
      <w:bookmarkStart w:id="382" w:name="_Toc135935699"/>
      <w:r w:rsidRPr="007F400A">
        <w:rPr>
          <w:rFonts w:ascii="Times New Roman" w:eastAsia="Calibri" w:hAnsi="Times New Roman" w:cs="Times New Roman"/>
          <w:b/>
          <w:sz w:val="24"/>
          <w:szCs w:val="24"/>
          <w:lang w:eastAsia="pl-PL"/>
        </w:rPr>
        <w:t xml:space="preserve">2.5 </w:t>
      </w:r>
      <w:r w:rsidRPr="007F400A">
        <w:rPr>
          <w:rFonts w:ascii="Times New Roman" w:eastAsia="Calibri" w:hAnsi="Times New Roman" w:cs="Times New Roman"/>
          <w:b/>
          <w:sz w:val="24"/>
          <w:szCs w:val="24"/>
          <w:lang w:val="x-none" w:eastAsia="pl-PL"/>
        </w:rPr>
        <w:t>Pomiary stanu zanieczyszczenia powietrza pyłem</w:t>
      </w:r>
      <w:r w:rsidRPr="007F400A">
        <w:rPr>
          <w:rFonts w:ascii="Times New Roman" w:eastAsia="Calibri" w:hAnsi="Times New Roman" w:cs="Times New Roman"/>
          <w:b/>
          <w:sz w:val="24"/>
          <w:szCs w:val="24"/>
          <w:lang w:eastAsia="pl-PL"/>
        </w:rPr>
        <w:t xml:space="preserve"> zawieszonym</w:t>
      </w:r>
      <w:r w:rsidRPr="007F400A">
        <w:rPr>
          <w:rFonts w:ascii="Times New Roman" w:eastAsia="Calibri" w:hAnsi="Times New Roman" w:cs="Times New Roman"/>
          <w:b/>
          <w:sz w:val="24"/>
          <w:szCs w:val="24"/>
          <w:lang w:val="x-none" w:eastAsia="pl-PL"/>
        </w:rPr>
        <w:t xml:space="preserve"> PM2,5 dla potrzeb monitorowania procesu osiągania krajowego celu redukcji </w:t>
      </w:r>
      <w:proofErr w:type="spellStart"/>
      <w:r w:rsidRPr="007F400A">
        <w:rPr>
          <w:rFonts w:ascii="Times New Roman" w:eastAsia="Calibri" w:hAnsi="Times New Roman" w:cs="Times New Roman"/>
          <w:b/>
          <w:sz w:val="24"/>
          <w:szCs w:val="24"/>
          <w:lang w:val="x-none" w:eastAsia="pl-PL"/>
        </w:rPr>
        <w:t>naraż</w:t>
      </w:r>
      <w:r w:rsidR="002568F9">
        <w:rPr>
          <w:rFonts w:ascii="Times New Roman" w:eastAsia="Calibri" w:hAnsi="Times New Roman" w:cs="Times New Roman"/>
          <w:b/>
          <w:sz w:val="24"/>
          <w:szCs w:val="24"/>
          <w:lang w:eastAsia="pl-PL"/>
        </w:rPr>
        <w:t>e</w:t>
      </w:r>
      <w:r w:rsidRPr="007F400A">
        <w:rPr>
          <w:rFonts w:ascii="Times New Roman" w:eastAsia="Calibri" w:hAnsi="Times New Roman" w:cs="Times New Roman"/>
          <w:b/>
          <w:sz w:val="24"/>
          <w:szCs w:val="24"/>
          <w:lang w:val="x-none" w:eastAsia="pl-PL"/>
        </w:rPr>
        <w:t>nia</w:t>
      </w:r>
      <w:bookmarkEnd w:id="382"/>
      <w:proofErr w:type="spellEnd"/>
      <w:r w:rsidRPr="007F400A">
        <w:rPr>
          <w:rFonts w:ascii="Times New Roman" w:eastAsia="Times New Roman" w:hAnsi="Times New Roman" w:cs="Times New Roman"/>
          <w:sz w:val="24"/>
          <w:szCs w:val="24"/>
        </w:rPr>
        <w:t xml:space="preserve"> </w:t>
      </w:r>
    </w:p>
    <w:p w14:paraId="4F1258F1" w14:textId="026E7EAB" w:rsidR="00EC380E" w:rsidRDefault="002568F9" w:rsidP="00D0218B">
      <w:pPr>
        <w:spacing w:after="0" w:line="300" w:lineRule="atLeast"/>
        <w:ind w:firstLine="567"/>
        <w:jc w:val="both"/>
        <w:rPr>
          <w:rFonts w:ascii="Times New Roman" w:eastAsia="Times New Roman" w:hAnsi="Times New Roman" w:cs="Times New Roman"/>
          <w:sz w:val="24"/>
          <w:szCs w:val="24"/>
          <w:lang w:val="x-none" w:eastAsia="x-none"/>
        </w:rPr>
      </w:pPr>
      <w:r w:rsidRPr="005E2831">
        <w:rPr>
          <w:rFonts w:ascii="Times New Roman" w:hAnsi="Times New Roman"/>
          <w:sz w:val="24"/>
          <w:szCs w:val="24"/>
        </w:rPr>
        <w:t>W 2022 r. GIOŚ wykonywał pomiary pyłu zawieszonego PM2,5 pod kątem monitorowania krajowego wskaźnika średniego narażenia</w:t>
      </w:r>
      <w:r w:rsidRPr="005E2831">
        <w:rPr>
          <w:rStyle w:val="Odwoanieprzypisudolnego"/>
          <w:sz w:val="24"/>
          <w:szCs w:val="24"/>
        </w:rPr>
        <w:footnoteReference w:id="82"/>
      </w:r>
      <w:r w:rsidRPr="005E2831">
        <w:rPr>
          <w:rFonts w:ascii="Times New Roman" w:hAnsi="Times New Roman"/>
          <w:sz w:val="24"/>
          <w:szCs w:val="24"/>
        </w:rPr>
        <w:t xml:space="preserve"> i wskaźników średniego narażenia dla aglomeracji i miast powyżej 100 tys. mieszkańców</w:t>
      </w:r>
      <w:r w:rsidRPr="005E2831">
        <w:rPr>
          <w:rStyle w:val="Odwoanieprzypisudolnego"/>
          <w:sz w:val="24"/>
          <w:szCs w:val="24"/>
        </w:rPr>
        <w:footnoteReference w:id="83"/>
      </w:r>
      <w:r w:rsidRPr="005E2831">
        <w:rPr>
          <w:rFonts w:ascii="Times New Roman" w:hAnsi="Times New Roman"/>
          <w:sz w:val="24"/>
          <w:szCs w:val="24"/>
        </w:rPr>
        <w:t xml:space="preserve"> (Zdjęcie </w:t>
      </w:r>
      <w:r w:rsidR="00D622D8">
        <w:rPr>
          <w:rFonts w:ascii="Times New Roman" w:hAnsi="Times New Roman"/>
          <w:sz w:val="24"/>
          <w:szCs w:val="24"/>
        </w:rPr>
        <w:t>6</w:t>
      </w:r>
      <w:r w:rsidRPr="005E2831">
        <w:rPr>
          <w:rFonts w:ascii="Times New Roman" w:hAnsi="Times New Roman"/>
          <w:sz w:val="24"/>
          <w:szCs w:val="24"/>
        </w:rPr>
        <w:t>1)</w:t>
      </w:r>
      <w:r w:rsidR="00895F16" w:rsidRPr="007F400A">
        <w:rPr>
          <w:rFonts w:ascii="Times New Roman" w:eastAsia="Times New Roman" w:hAnsi="Times New Roman" w:cs="Times New Roman"/>
          <w:sz w:val="24"/>
          <w:szCs w:val="24"/>
          <w:lang w:val="x-none" w:eastAsia="x-none"/>
        </w:rPr>
        <w:t>.</w:t>
      </w:r>
    </w:p>
    <w:p w14:paraId="3EEF3AC1" w14:textId="77777777" w:rsidR="00EC380E" w:rsidRPr="005E2831" w:rsidRDefault="00EC380E" w:rsidP="00EC380E">
      <w:pPr>
        <w:pStyle w:val="Tekstpodstawowy"/>
      </w:pPr>
    </w:p>
    <w:p w14:paraId="7AADC119" w14:textId="77777777" w:rsidR="00EC380E" w:rsidRPr="005E2831" w:rsidRDefault="00EC380E" w:rsidP="0040482D">
      <w:pPr>
        <w:pStyle w:val="Tekstpodstawowy"/>
        <w:spacing w:line="276" w:lineRule="auto"/>
        <w:jc w:val="center"/>
        <w:rPr>
          <w:b/>
          <w:color w:val="000000" w:themeColor="text1"/>
        </w:rPr>
      </w:pPr>
      <w:r w:rsidRPr="005E2831">
        <w:rPr>
          <w:noProof/>
          <w:lang w:val="pl-PL" w:eastAsia="pl-PL"/>
        </w:rPr>
        <w:drawing>
          <wp:inline distT="0" distB="0" distL="0" distR="0" wp14:anchorId="01EA16E1" wp14:editId="6E06810F">
            <wp:extent cx="3983668" cy="3164619"/>
            <wp:effectExtent l="0" t="0" r="8255" b="0"/>
            <wp:docPr id="123" name="Obraz 123" descr="Zdjęcie 63. Stanowisko monitoringu pyłu zawieszonego PM2,5 w Radomiu, ul. Hall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Obraz 123" descr="Zdjęcie 63. Stanowisko monitoringu pyłu zawieszonego PM2,5 w Radomiu, ul. Hallera"/>
                    <pic:cNvPicPr/>
                  </pic:nvPicPr>
                  <pic:blipFill rotWithShape="1">
                    <a:blip r:embed="rId103"/>
                    <a:srcRect l="22689" t="7438" r="16306" b="2883"/>
                    <a:stretch/>
                  </pic:blipFill>
                  <pic:spPr bwMode="auto">
                    <a:xfrm>
                      <a:off x="0" y="0"/>
                      <a:ext cx="3983668" cy="3164619"/>
                    </a:xfrm>
                    <a:prstGeom prst="rect">
                      <a:avLst/>
                    </a:prstGeom>
                    <a:ln>
                      <a:noFill/>
                    </a:ln>
                    <a:extLst>
                      <a:ext uri="{53640926-AAD7-44D8-BBD7-CCE9431645EC}">
                        <a14:shadowObscured xmlns:a14="http://schemas.microsoft.com/office/drawing/2010/main"/>
                      </a:ext>
                    </a:extLst>
                  </pic:spPr>
                </pic:pic>
              </a:graphicData>
            </a:graphic>
          </wp:inline>
        </w:drawing>
      </w:r>
    </w:p>
    <w:p w14:paraId="4690F2AC" w14:textId="108D54A4" w:rsidR="00EC380E" w:rsidRDefault="00EC380E" w:rsidP="00EC380E">
      <w:pPr>
        <w:spacing w:after="0" w:line="300" w:lineRule="atLeast"/>
        <w:jc w:val="both"/>
        <w:rPr>
          <w:rFonts w:ascii="Times New Roman" w:eastAsia="Times New Roman" w:hAnsi="Times New Roman" w:cs="Times New Roman"/>
          <w:sz w:val="24"/>
          <w:szCs w:val="24"/>
          <w:lang w:val="x-none" w:eastAsia="x-none"/>
        </w:rPr>
      </w:pPr>
      <w:r w:rsidRPr="005E2831">
        <w:rPr>
          <w:rFonts w:ascii="Times New Roman" w:hAnsi="Times New Roman"/>
          <w:b/>
          <w:color w:val="000000" w:themeColor="text1"/>
        </w:rPr>
        <w:t xml:space="preserve">Zdjęcie </w:t>
      </w:r>
      <w:r w:rsidR="001A642C">
        <w:rPr>
          <w:rFonts w:ascii="Times New Roman" w:hAnsi="Times New Roman"/>
          <w:b/>
          <w:color w:val="000000" w:themeColor="text1"/>
        </w:rPr>
        <w:t>6</w:t>
      </w:r>
      <w:r w:rsidR="00CB5B9A">
        <w:rPr>
          <w:rFonts w:ascii="Times New Roman" w:hAnsi="Times New Roman"/>
          <w:b/>
          <w:color w:val="000000" w:themeColor="text1"/>
        </w:rPr>
        <w:t>3</w:t>
      </w:r>
      <w:r w:rsidRPr="005E2831">
        <w:rPr>
          <w:rFonts w:ascii="Times New Roman" w:hAnsi="Times New Roman"/>
          <w:b/>
          <w:color w:val="000000" w:themeColor="text1"/>
        </w:rPr>
        <w:t xml:space="preserve">. </w:t>
      </w:r>
      <w:r w:rsidR="00346965">
        <w:rPr>
          <w:rFonts w:ascii="Times New Roman" w:hAnsi="Times New Roman"/>
          <w:b/>
          <w:color w:val="000000" w:themeColor="text1"/>
        </w:rPr>
        <w:t>Stanowisko</w:t>
      </w:r>
      <w:r w:rsidR="00346965" w:rsidRPr="005E2831">
        <w:rPr>
          <w:rFonts w:ascii="Times New Roman" w:hAnsi="Times New Roman"/>
          <w:b/>
          <w:color w:val="000000" w:themeColor="text1"/>
        </w:rPr>
        <w:t xml:space="preserve"> </w:t>
      </w:r>
      <w:r w:rsidRPr="005E2831">
        <w:rPr>
          <w:rFonts w:ascii="Times New Roman" w:hAnsi="Times New Roman"/>
          <w:b/>
          <w:color w:val="000000" w:themeColor="text1"/>
        </w:rPr>
        <w:t>monitoringu pyłu zawieszonego PM2,5 w Radomiu, ul. Hallera</w:t>
      </w:r>
    </w:p>
    <w:p w14:paraId="40C9145F" w14:textId="77777777" w:rsidR="00EC380E" w:rsidRPr="005E2831" w:rsidRDefault="00EC380E" w:rsidP="0040482D">
      <w:pPr>
        <w:pStyle w:val="NormalnyWeb"/>
        <w:spacing w:before="120" w:beforeAutospacing="0" w:after="60" w:afterAutospacing="0" w:line="300" w:lineRule="atLeast"/>
        <w:ind w:firstLine="567"/>
        <w:jc w:val="both"/>
      </w:pPr>
      <w:r w:rsidRPr="005E2831">
        <w:t>Na podstawie pomiarów przeprowadzonych w latach 2019-2021, Główny Inspektor obliczył w 2022 r. krajowy wskaźnik średniego narażenia oraz wskaźniki średniego narażenia dla miast powyżej 100 tys. mieszkańców i aglomeracji dla roku 2021. Wskaźniki te zostały opublikowane w Monitorze Polskim</w:t>
      </w:r>
      <w:r w:rsidRPr="005E2831">
        <w:rPr>
          <w:rStyle w:val="Odwoanieprzypisudolnego"/>
        </w:rPr>
        <w:footnoteReference w:id="84"/>
      </w:r>
      <w:r w:rsidRPr="005E2831">
        <w:t xml:space="preserve">. Ze względu na to, iż Legnica i Kalisz straciły status </w:t>
      </w:r>
      <w:r w:rsidRPr="005E2831">
        <w:lastRenderedPageBreak/>
        <w:t>miasta o liczbie mieszkańców 100 tys., dla potrzeb obliczania wskaźników średniego narażenia dla miast i aglomeracji oraz krajowego wskaźnika średniego narażenia dla roku 2021 wykorzystano 30 stanowisk. Przy czym, w aglomeracji warszawskiej i aglomeracji górnośląskiej pomiary dla potrzeb wyznaczenia ww. wskaźników były prowadzone na dwóch stanowiskach pomiarowych, w pozostałych aglomeracjach i miastach powyżej 100 tys. mieszkańców pomiary były prowadzone na jednym stanowisku pomiarowym.</w:t>
      </w:r>
    </w:p>
    <w:p w14:paraId="27DEA99C" w14:textId="6ECC980E" w:rsidR="00EC380E" w:rsidRDefault="00EC380E" w:rsidP="00EC380E">
      <w:pPr>
        <w:spacing w:after="0" w:line="300" w:lineRule="atLeast"/>
        <w:ind w:firstLine="567"/>
        <w:jc w:val="both"/>
        <w:rPr>
          <w:rFonts w:ascii="Times New Roman" w:eastAsia="Times New Roman" w:hAnsi="Times New Roman" w:cs="Times New Roman"/>
          <w:sz w:val="24"/>
          <w:szCs w:val="24"/>
          <w:lang w:eastAsia="pl-PL"/>
        </w:rPr>
      </w:pPr>
      <w:r w:rsidRPr="005E2831">
        <w:rPr>
          <w:rFonts w:ascii="Times New Roman" w:eastAsia="Times New Roman" w:hAnsi="Times New Roman"/>
          <w:sz w:val="24"/>
          <w:szCs w:val="24"/>
          <w:lang w:eastAsia="pl-PL"/>
        </w:rPr>
        <w:t>Krajowy wskaźnik średniego narażenia na pył zawieszony PM2,5 dla roku 2021 wyniósł 17 µg/m</w:t>
      </w:r>
      <w:r w:rsidRPr="005E2831">
        <w:rPr>
          <w:rFonts w:ascii="Times New Roman" w:eastAsia="Times New Roman" w:hAnsi="Times New Roman"/>
          <w:sz w:val="24"/>
          <w:szCs w:val="24"/>
          <w:vertAlign w:val="superscript"/>
          <w:lang w:eastAsia="pl-PL"/>
        </w:rPr>
        <w:t>3</w:t>
      </w:r>
      <w:r w:rsidRPr="005E2831">
        <w:rPr>
          <w:rFonts w:ascii="Times New Roman" w:eastAsia="Times New Roman" w:hAnsi="Times New Roman"/>
          <w:sz w:val="24"/>
          <w:szCs w:val="24"/>
          <w:lang w:eastAsia="pl-PL"/>
        </w:rPr>
        <w:t xml:space="preserve">. </w:t>
      </w:r>
      <w:r w:rsidRPr="005E2831">
        <w:rPr>
          <w:rFonts w:ascii="Times New Roman" w:hAnsi="Times New Roman"/>
          <w:sz w:val="24"/>
          <w:szCs w:val="24"/>
        </w:rPr>
        <w:t>Wartość ta jest o 2 µg/m</w:t>
      </w:r>
      <w:r w:rsidRPr="005E2831">
        <w:rPr>
          <w:rFonts w:ascii="Times New Roman" w:hAnsi="Times New Roman"/>
          <w:sz w:val="24"/>
          <w:szCs w:val="24"/>
          <w:vertAlign w:val="superscript"/>
        </w:rPr>
        <w:t>3</w:t>
      </w:r>
      <w:r w:rsidRPr="005E2831">
        <w:rPr>
          <w:rFonts w:ascii="Times New Roman" w:hAnsi="Times New Roman"/>
          <w:sz w:val="24"/>
          <w:szCs w:val="24"/>
        </w:rPr>
        <w:t xml:space="preserve"> mniejsza od wartości krajowego wskaźnika średniego narażenia dla roku 2020</w:t>
      </w:r>
      <w:r w:rsidRPr="005E2831">
        <w:rPr>
          <w:rFonts w:ascii="Times New Roman" w:hAnsi="Times New Roman"/>
          <w:color w:val="000000" w:themeColor="text1"/>
          <w:sz w:val="24"/>
          <w:szCs w:val="24"/>
        </w:rPr>
        <w:t xml:space="preserve"> (Wyk</w:t>
      </w:r>
      <w:r w:rsidR="00C4429C">
        <w:rPr>
          <w:rFonts w:ascii="Times New Roman" w:hAnsi="Times New Roman"/>
          <w:color w:val="000000" w:themeColor="text1"/>
          <w:sz w:val="24"/>
          <w:szCs w:val="24"/>
        </w:rPr>
        <w:t>resy</w:t>
      </w:r>
      <w:r w:rsidRPr="005E2831">
        <w:rPr>
          <w:rFonts w:ascii="Times New Roman" w:hAnsi="Times New Roman"/>
          <w:color w:val="000000" w:themeColor="text1"/>
          <w:sz w:val="24"/>
          <w:szCs w:val="24"/>
        </w:rPr>
        <w:t xml:space="preserve"> </w:t>
      </w:r>
      <w:r w:rsidR="00475E1F">
        <w:rPr>
          <w:rFonts w:ascii="Times New Roman" w:hAnsi="Times New Roman"/>
          <w:color w:val="000000" w:themeColor="text1"/>
          <w:sz w:val="24"/>
          <w:szCs w:val="24"/>
        </w:rPr>
        <w:t>21</w:t>
      </w:r>
      <w:r w:rsidRPr="005E2831">
        <w:rPr>
          <w:rFonts w:ascii="Times New Roman" w:hAnsi="Times New Roman"/>
          <w:color w:val="000000" w:themeColor="text1"/>
          <w:sz w:val="24"/>
          <w:szCs w:val="24"/>
        </w:rPr>
        <w:t xml:space="preserve"> i </w:t>
      </w:r>
      <w:r w:rsidR="00475E1F">
        <w:rPr>
          <w:rFonts w:ascii="Times New Roman" w:hAnsi="Times New Roman"/>
          <w:color w:val="000000" w:themeColor="text1"/>
          <w:sz w:val="24"/>
          <w:szCs w:val="24"/>
        </w:rPr>
        <w:t>22</w:t>
      </w:r>
      <w:r w:rsidRPr="005E2831">
        <w:rPr>
          <w:rFonts w:ascii="Times New Roman" w:hAnsi="Times New Roman"/>
          <w:color w:val="000000" w:themeColor="text1"/>
          <w:sz w:val="24"/>
          <w:szCs w:val="24"/>
        </w:rPr>
        <w:t>)</w:t>
      </w:r>
      <w:r w:rsidR="00895F16" w:rsidRPr="007F400A">
        <w:rPr>
          <w:rFonts w:ascii="Times New Roman" w:eastAsia="Times New Roman" w:hAnsi="Times New Roman" w:cs="Times New Roman"/>
          <w:sz w:val="24"/>
          <w:szCs w:val="24"/>
          <w:lang w:eastAsia="pl-PL"/>
        </w:rPr>
        <w:t>.</w:t>
      </w:r>
    </w:p>
    <w:p w14:paraId="65E4508C" w14:textId="77777777" w:rsidR="00EC380E" w:rsidRPr="005E2831" w:rsidRDefault="00EC380E" w:rsidP="00EC380E">
      <w:pPr>
        <w:pStyle w:val="Tekstpodstawowy"/>
        <w:spacing w:line="276" w:lineRule="auto"/>
      </w:pPr>
    </w:p>
    <w:p w14:paraId="02F307EB" w14:textId="77777777" w:rsidR="00EC380E" w:rsidRPr="005E2831" w:rsidRDefault="00EC380E" w:rsidP="00094027">
      <w:pPr>
        <w:pStyle w:val="Tekstpodstawowy"/>
        <w:jc w:val="center"/>
      </w:pPr>
      <w:r w:rsidRPr="005E2831">
        <w:rPr>
          <w:noProof/>
          <w:lang w:val="pl-PL" w:eastAsia="pl-PL"/>
        </w:rPr>
        <w:drawing>
          <wp:inline distT="0" distB="0" distL="0" distR="0" wp14:anchorId="0F35AD09" wp14:editId="238B756A">
            <wp:extent cx="5685155" cy="3593804"/>
            <wp:effectExtent l="0" t="0" r="0" b="6985"/>
            <wp:docPr id="125" name="Wykres 125" descr="Wykres 21. Krajowe wskaźniki średniego narażenia na pył zawieszony PM2,5 w latach 2011-2021 w odniesieniu do: (a) krajowego celu redukcji narażenia (linia żółta);(b) pułapu stężenia ekspozycji (linia czerwona)">
              <a:extLst xmlns:a="http://schemas.openxmlformats.org/drawingml/2006/main">
                <a:ext uri="{FF2B5EF4-FFF2-40B4-BE49-F238E27FC236}">
                  <a16:creationId xmlns:a16="http://schemas.microsoft.com/office/drawing/2014/main" id="{35ABB925-142A-4F2B-9A53-5429C68A5B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782F6D07" w14:textId="15443156" w:rsidR="00EC380E" w:rsidRDefault="00EC380E" w:rsidP="00EC380E">
      <w:pPr>
        <w:spacing w:after="0" w:line="300" w:lineRule="atLeast"/>
        <w:jc w:val="both"/>
        <w:rPr>
          <w:rFonts w:ascii="Times New Roman" w:eastAsia="Times New Roman" w:hAnsi="Times New Roman" w:cs="Times New Roman"/>
          <w:sz w:val="24"/>
          <w:szCs w:val="24"/>
          <w:lang w:eastAsia="pl-PL"/>
        </w:rPr>
      </w:pPr>
      <w:r w:rsidRPr="005E2831">
        <w:rPr>
          <w:rFonts w:ascii="Times New Roman" w:eastAsia="Times New Roman" w:hAnsi="Times New Roman" w:cs="Times New Roman"/>
          <w:b/>
          <w:lang w:eastAsia="pl-PL"/>
        </w:rPr>
        <w:t>Wyk</w:t>
      </w:r>
      <w:r w:rsidR="00D0218B">
        <w:rPr>
          <w:rFonts w:ascii="Times New Roman" w:eastAsia="Times New Roman" w:hAnsi="Times New Roman" w:cs="Times New Roman"/>
          <w:b/>
          <w:lang w:eastAsia="pl-PL"/>
        </w:rPr>
        <w:t>res</w:t>
      </w:r>
      <w:r w:rsidRPr="005E2831">
        <w:rPr>
          <w:rFonts w:ascii="Times New Roman" w:eastAsia="Times New Roman" w:hAnsi="Times New Roman" w:cs="Times New Roman"/>
          <w:b/>
          <w:lang w:eastAsia="pl-PL"/>
        </w:rPr>
        <w:t xml:space="preserve"> </w:t>
      </w:r>
      <w:r w:rsidR="00D0218B">
        <w:rPr>
          <w:rFonts w:ascii="Times New Roman" w:eastAsia="Times New Roman" w:hAnsi="Times New Roman" w:cs="Times New Roman"/>
          <w:b/>
          <w:lang w:eastAsia="pl-PL"/>
        </w:rPr>
        <w:t>21</w:t>
      </w:r>
      <w:r w:rsidRPr="005E2831">
        <w:rPr>
          <w:rFonts w:ascii="Times New Roman" w:eastAsia="Times New Roman" w:hAnsi="Times New Roman" w:cs="Times New Roman"/>
          <w:b/>
          <w:lang w:eastAsia="pl-PL"/>
        </w:rPr>
        <w:t xml:space="preserve">. </w:t>
      </w:r>
      <w:r w:rsidRPr="005E2831">
        <w:rPr>
          <w:rFonts w:ascii="Times New Roman" w:hAnsi="Times New Roman" w:cs="Times New Roman"/>
          <w:b/>
        </w:rPr>
        <w:t xml:space="preserve">Krajowe wskaźniki średniego narażenia na pył zawieszony PM2,5 w latach 2011-2021 </w:t>
      </w:r>
      <w:r w:rsidRPr="005E2831">
        <w:rPr>
          <w:rFonts w:ascii="Times New Roman" w:hAnsi="Times New Roman" w:cs="Times New Roman"/>
          <w:b/>
          <w:bCs/>
        </w:rPr>
        <w:t>w odniesieniu do:</w:t>
      </w:r>
      <w:r>
        <w:rPr>
          <w:rFonts w:ascii="Times New Roman" w:hAnsi="Times New Roman" w:cs="Times New Roman"/>
          <w:b/>
          <w:bCs/>
        </w:rPr>
        <w:t xml:space="preserve"> </w:t>
      </w:r>
      <w:r w:rsidRPr="005E2831">
        <w:rPr>
          <w:rFonts w:ascii="Times New Roman" w:hAnsi="Times New Roman" w:cs="Times New Roman"/>
          <w:b/>
          <w:bCs/>
        </w:rPr>
        <w:t>(a) krajowego celu redukcji narażenia (linia żółta);(b) pułapu stężenia ekspozycji (linia czerwona)</w:t>
      </w:r>
    </w:p>
    <w:p w14:paraId="35BF04CB" w14:textId="77777777" w:rsidR="00EC380E" w:rsidRDefault="00EC380E" w:rsidP="00EC380E">
      <w:pPr>
        <w:spacing w:after="0" w:line="300" w:lineRule="atLeast"/>
        <w:ind w:firstLine="567"/>
        <w:jc w:val="both"/>
        <w:rPr>
          <w:rFonts w:ascii="Times New Roman" w:eastAsia="Times New Roman" w:hAnsi="Times New Roman" w:cs="Times New Roman"/>
          <w:sz w:val="24"/>
          <w:szCs w:val="24"/>
          <w:lang w:eastAsia="pl-PL"/>
        </w:rPr>
      </w:pPr>
    </w:p>
    <w:p w14:paraId="51ED3937" w14:textId="77777777" w:rsidR="00EC380E" w:rsidRPr="005E2831" w:rsidRDefault="00EC380E" w:rsidP="00EC380E">
      <w:pPr>
        <w:pStyle w:val="Tekstpodstawowy"/>
        <w:spacing w:after="0" w:line="276" w:lineRule="auto"/>
      </w:pPr>
      <w:r w:rsidRPr="005E2831">
        <w:t>Wartość krajowego wskaźnika średniego narażenia dla 2021 r. jest o 15% mniejsza od pułapu stężenia ekspozycji (20 µg/m</w:t>
      </w:r>
      <w:r w:rsidRPr="005E2831">
        <w:rPr>
          <w:vertAlign w:val="superscript"/>
        </w:rPr>
        <w:t>3</w:t>
      </w:r>
      <w:r w:rsidRPr="005E2831">
        <w:t xml:space="preserve">), </w:t>
      </w:r>
      <w:r w:rsidRPr="005E2831">
        <w:rPr>
          <w:bCs/>
        </w:rPr>
        <w:t>będącego w tym względzie standardem jakości powietrza, który należy dotrzymywać od roku 2015</w:t>
      </w:r>
      <w:r w:rsidRPr="005E2831">
        <w:t>.</w:t>
      </w:r>
    </w:p>
    <w:p w14:paraId="6089B1AB" w14:textId="6FD89F10" w:rsidR="00895F16" w:rsidRDefault="00EC380E" w:rsidP="00EC380E">
      <w:pPr>
        <w:keepNext/>
        <w:keepLines/>
        <w:spacing w:after="0" w:line="300" w:lineRule="atLeast"/>
        <w:ind w:firstLine="567"/>
        <w:jc w:val="both"/>
        <w:rPr>
          <w:rFonts w:ascii="Times New Roman" w:hAnsi="Times New Roman"/>
          <w:sz w:val="24"/>
          <w:szCs w:val="24"/>
        </w:rPr>
      </w:pPr>
      <w:r w:rsidRPr="005E2831">
        <w:rPr>
          <w:rFonts w:ascii="Times New Roman" w:hAnsi="Times New Roman" w:cs="Times New Roman"/>
          <w:bCs/>
          <w:sz w:val="24"/>
          <w:szCs w:val="24"/>
        </w:rPr>
        <w:lastRenderedPageBreak/>
        <w:t>Jednocześnie, wskaźnik ten jest o</w:t>
      </w:r>
      <w:r w:rsidRPr="005E2831">
        <w:rPr>
          <w:rFonts w:ascii="Times New Roman" w:hAnsi="Times New Roman" w:cs="Times New Roman"/>
          <w:b/>
          <w:sz w:val="24"/>
          <w:szCs w:val="24"/>
        </w:rPr>
        <w:t> </w:t>
      </w:r>
      <w:r w:rsidRPr="005E2831">
        <w:rPr>
          <w:rFonts w:ascii="Times New Roman" w:hAnsi="Times New Roman" w:cs="Times New Roman"/>
          <w:sz w:val="24"/>
          <w:szCs w:val="24"/>
        </w:rPr>
        <w:t>1 µg/m</w:t>
      </w:r>
      <w:r w:rsidRPr="005E2831">
        <w:rPr>
          <w:rFonts w:ascii="Times New Roman" w:hAnsi="Times New Roman" w:cs="Times New Roman"/>
          <w:sz w:val="24"/>
          <w:szCs w:val="24"/>
          <w:vertAlign w:val="superscript"/>
        </w:rPr>
        <w:t>3</w:t>
      </w:r>
      <w:r w:rsidRPr="005E2831">
        <w:rPr>
          <w:rFonts w:ascii="Times New Roman" w:hAnsi="Times New Roman" w:cs="Times New Roman"/>
          <w:sz w:val="24"/>
          <w:szCs w:val="24"/>
        </w:rPr>
        <w:t xml:space="preserve"> (6%) </w:t>
      </w:r>
      <w:r w:rsidRPr="005E2831">
        <w:rPr>
          <w:rFonts w:ascii="Times New Roman" w:hAnsi="Times New Roman" w:cs="Times New Roman"/>
          <w:bCs/>
          <w:sz w:val="24"/>
          <w:szCs w:val="24"/>
        </w:rPr>
        <w:t>mniejszy od krajowego celu redukcji narażenia na pył zawieszony PM2,5 (18 µg/m</w:t>
      </w:r>
      <w:r w:rsidRPr="005E2831">
        <w:rPr>
          <w:rFonts w:ascii="Times New Roman" w:hAnsi="Times New Roman" w:cs="Times New Roman"/>
          <w:bCs/>
          <w:sz w:val="24"/>
          <w:szCs w:val="24"/>
          <w:vertAlign w:val="superscript"/>
        </w:rPr>
        <w:t>3</w:t>
      </w:r>
      <w:r w:rsidRPr="005E2831">
        <w:rPr>
          <w:rFonts w:ascii="Times New Roman" w:hAnsi="Times New Roman" w:cs="Times New Roman"/>
          <w:bCs/>
          <w:sz w:val="24"/>
          <w:szCs w:val="24"/>
        </w:rPr>
        <w:t>), który należało osiągnąć do roku 2020</w:t>
      </w:r>
      <w:r w:rsidR="00895F16" w:rsidRPr="007F400A">
        <w:rPr>
          <w:rFonts w:ascii="Times New Roman" w:hAnsi="Times New Roman"/>
          <w:bCs/>
          <w:sz w:val="24"/>
          <w:szCs w:val="24"/>
        </w:rPr>
        <w:t>.</w:t>
      </w:r>
      <w:r w:rsidR="00895F16" w:rsidRPr="007F400A">
        <w:rPr>
          <w:rFonts w:ascii="Times New Roman" w:hAnsi="Times New Roman"/>
          <w:sz w:val="24"/>
          <w:szCs w:val="24"/>
        </w:rPr>
        <w:t xml:space="preserve"> </w:t>
      </w:r>
    </w:p>
    <w:p w14:paraId="645B129C" w14:textId="14E5D6CC" w:rsidR="00EC380E" w:rsidRDefault="00EC380E" w:rsidP="00EC380E">
      <w:pPr>
        <w:keepNext/>
        <w:keepLines/>
        <w:spacing w:after="0" w:line="300" w:lineRule="atLeast"/>
        <w:ind w:firstLine="567"/>
        <w:jc w:val="both"/>
        <w:rPr>
          <w:rFonts w:ascii="Times New Roman" w:hAnsi="Times New Roman"/>
          <w:sz w:val="24"/>
          <w:szCs w:val="24"/>
        </w:rPr>
      </w:pPr>
    </w:p>
    <w:p w14:paraId="76605114" w14:textId="77777777" w:rsidR="00EC380E" w:rsidRPr="005E2831" w:rsidRDefault="00EC380E" w:rsidP="00094027">
      <w:pPr>
        <w:pStyle w:val="Tekstpodstawowy"/>
        <w:spacing w:line="276" w:lineRule="auto"/>
        <w:jc w:val="center"/>
        <w:rPr>
          <w:b/>
          <w:color w:val="000000" w:themeColor="text1"/>
        </w:rPr>
      </w:pPr>
      <w:r w:rsidRPr="005E2831">
        <w:rPr>
          <w:noProof/>
          <w:lang w:val="pl-PL" w:eastAsia="pl-PL"/>
        </w:rPr>
        <w:drawing>
          <wp:inline distT="0" distB="0" distL="0" distR="0" wp14:anchorId="4969499E" wp14:editId="324E74EA">
            <wp:extent cx="5759450" cy="5343277"/>
            <wp:effectExtent l="0" t="0" r="12700" b="0"/>
            <wp:docPr id="126" name="Wykres 126" descr="Wykres 22.  Wartości wskaźnika średniego narażenia dla poszczególnych miast i aglomeracji oraz krajowy wskaźnik średniego narażenia dla 2021 roku (uszeregowane według wartości wskaźnika)">
              <a:extLst xmlns:a="http://schemas.openxmlformats.org/drawingml/2006/main">
                <a:ext uri="{FF2B5EF4-FFF2-40B4-BE49-F238E27FC236}">
                  <a16:creationId xmlns:a16="http://schemas.microsoft.com/office/drawing/2014/main" id="{2BAF3D3C-F530-42DC-B475-3F25812C9D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506E07B5" w14:textId="7EE9F1F2" w:rsidR="00EC380E" w:rsidRDefault="00EC380E" w:rsidP="00D0218B">
      <w:pPr>
        <w:keepNext/>
        <w:keepLines/>
        <w:spacing w:after="0" w:line="300" w:lineRule="atLeast"/>
        <w:jc w:val="both"/>
        <w:rPr>
          <w:rFonts w:ascii="Times New Roman" w:hAnsi="Times New Roman"/>
          <w:sz w:val="24"/>
          <w:szCs w:val="24"/>
        </w:rPr>
      </w:pPr>
      <w:r w:rsidRPr="005E2831">
        <w:rPr>
          <w:rFonts w:ascii="Times New Roman" w:hAnsi="Times New Roman" w:cs="Times New Roman"/>
          <w:b/>
        </w:rPr>
        <w:t>Wyk</w:t>
      </w:r>
      <w:r w:rsidR="00D0218B">
        <w:rPr>
          <w:rFonts w:ascii="Times New Roman" w:hAnsi="Times New Roman" w:cs="Times New Roman"/>
          <w:b/>
        </w:rPr>
        <w:t>res</w:t>
      </w:r>
      <w:r w:rsidRPr="005E2831">
        <w:rPr>
          <w:rFonts w:ascii="Times New Roman" w:hAnsi="Times New Roman" w:cs="Times New Roman"/>
          <w:b/>
        </w:rPr>
        <w:t xml:space="preserve"> </w:t>
      </w:r>
      <w:r w:rsidR="00D0218B">
        <w:rPr>
          <w:rFonts w:ascii="Times New Roman" w:hAnsi="Times New Roman" w:cs="Times New Roman"/>
          <w:b/>
        </w:rPr>
        <w:t>22</w:t>
      </w:r>
      <w:r w:rsidRPr="005E2831">
        <w:rPr>
          <w:rFonts w:ascii="Times New Roman" w:hAnsi="Times New Roman" w:cs="Times New Roman"/>
          <w:b/>
        </w:rPr>
        <w:t>.  Wartości wskaźnika średniego narażenia dla poszczególnych miast i aglomeracji oraz krajowy wskaźnik średniego narażenia dla 2021 roku (uszeregowane według wartości wskaźnika)</w:t>
      </w:r>
    </w:p>
    <w:p w14:paraId="5D8586ED" w14:textId="77777777" w:rsidR="00895F16" w:rsidRPr="007F400A" w:rsidRDefault="00895F16" w:rsidP="00895F16">
      <w:pPr>
        <w:spacing w:after="0" w:line="276" w:lineRule="auto"/>
        <w:rPr>
          <w:rFonts w:ascii="Times New Roman" w:eastAsia="Times New Roman" w:hAnsi="Times New Roman" w:cs="Times New Roman"/>
          <w:sz w:val="24"/>
          <w:szCs w:val="24"/>
          <w:lang w:val="x-none" w:eastAsia="pl-PL"/>
        </w:rPr>
      </w:pPr>
    </w:p>
    <w:p w14:paraId="06F9D11B" w14:textId="77777777" w:rsidR="00895F16" w:rsidRPr="007F400A" w:rsidRDefault="00895F16" w:rsidP="00895F16">
      <w:pPr>
        <w:keepNext/>
        <w:spacing w:after="120" w:line="300" w:lineRule="atLeast"/>
        <w:jc w:val="both"/>
        <w:outlineLvl w:val="0"/>
        <w:rPr>
          <w:rFonts w:ascii="Times New Roman" w:eastAsia="Times New Roman" w:hAnsi="Times New Roman" w:cs="Times New Roman"/>
          <w:bCs/>
          <w:sz w:val="24"/>
          <w:szCs w:val="24"/>
          <w:lang w:val="x-none" w:eastAsia="x-none"/>
        </w:rPr>
      </w:pPr>
      <w:bookmarkStart w:id="383" w:name="_Toc36732630"/>
      <w:bookmarkStart w:id="384" w:name="_Toc135935700"/>
      <w:r w:rsidRPr="007F400A">
        <w:rPr>
          <w:rFonts w:ascii="Times New Roman" w:eastAsia="Times New Roman" w:hAnsi="Times New Roman" w:cs="Times New Roman"/>
          <w:b/>
          <w:bCs/>
          <w:sz w:val="24"/>
          <w:szCs w:val="24"/>
          <w:lang w:val="x-none" w:eastAsia="x-none"/>
        </w:rPr>
        <w:t>2.</w:t>
      </w:r>
      <w:r w:rsidRPr="007F400A">
        <w:rPr>
          <w:rFonts w:ascii="Times New Roman" w:eastAsia="Times New Roman" w:hAnsi="Times New Roman" w:cs="Times New Roman"/>
          <w:b/>
          <w:bCs/>
          <w:sz w:val="24"/>
          <w:szCs w:val="24"/>
          <w:lang w:eastAsia="x-none"/>
        </w:rPr>
        <w:t>6</w:t>
      </w:r>
      <w:r w:rsidRPr="007F400A">
        <w:rPr>
          <w:rFonts w:ascii="Times New Roman" w:eastAsia="Times New Roman" w:hAnsi="Times New Roman" w:cs="Times New Roman"/>
          <w:b/>
          <w:bCs/>
          <w:sz w:val="24"/>
          <w:szCs w:val="24"/>
          <w:lang w:val="x-none" w:eastAsia="x-none"/>
        </w:rPr>
        <w:t xml:space="preserve"> </w:t>
      </w:r>
      <w:bookmarkEnd w:id="383"/>
      <w:r w:rsidRPr="007F400A">
        <w:rPr>
          <w:rFonts w:ascii="Times New Roman" w:eastAsia="Times New Roman" w:hAnsi="Times New Roman" w:cs="Times New Roman"/>
          <w:b/>
          <w:sz w:val="24"/>
          <w:szCs w:val="24"/>
          <w:lang w:val="x-none" w:eastAsia="x-none"/>
        </w:rPr>
        <w:t>Monitoring tła regionalnego</w:t>
      </w:r>
      <w:bookmarkEnd w:id="384"/>
    </w:p>
    <w:p w14:paraId="38D7B26E" w14:textId="1773768C" w:rsidR="00895F16" w:rsidRPr="007F400A" w:rsidRDefault="00C412C6" w:rsidP="00895F16">
      <w:pPr>
        <w:spacing w:after="0" w:line="300" w:lineRule="atLeast"/>
        <w:ind w:firstLine="567"/>
        <w:jc w:val="both"/>
        <w:rPr>
          <w:rFonts w:ascii="Times New Roman" w:hAnsi="Times New Roman"/>
          <w:bCs/>
          <w:sz w:val="24"/>
          <w:szCs w:val="24"/>
        </w:rPr>
      </w:pPr>
      <w:r w:rsidRPr="005E2831">
        <w:rPr>
          <w:rFonts w:ascii="Times New Roman" w:hAnsi="Times New Roman" w:cs="Times New Roman"/>
          <w:bCs/>
          <w:sz w:val="24"/>
          <w:szCs w:val="24"/>
        </w:rPr>
        <w:t>W ramach monitoringu tła regionalnego w 2022 r. Główny Inspektor kontynuował pomiary</w:t>
      </w:r>
      <w:r w:rsidR="00895F16" w:rsidRPr="007F400A">
        <w:rPr>
          <w:rFonts w:ascii="Times New Roman" w:hAnsi="Times New Roman"/>
          <w:bCs/>
          <w:sz w:val="24"/>
          <w:szCs w:val="24"/>
        </w:rPr>
        <w:t>:</w:t>
      </w:r>
    </w:p>
    <w:p w14:paraId="45E4F396" w14:textId="6FF3D276" w:rsidR="00895F16" w:rsidRPr="007F400A" w:rsidRDefault="00C412C6" w:rsidP="00D0218B">
      <w:pPr>
        <w:numPr>
          <w:ilvl w:val="0"/>
          <w:numId w:val="29"/>
        </w:numPr>
        <w:spacing w:after="0" w:line="300" w:lineRule="atLeast"/>
        <w:ind w:left="851" w:hanging="567"/>
        <w:jc w:val="both"/>
        <w:rPr>
          <w:rFonts w:ascii="Times New Roman" w:hAnsi="Times New Roman"/>
          <w:sz w:val="24"/>
          <w:szCs w:val="24"/>
          <w:lang w:val="x-none"/>
        </w:rPr>
      </w:pPr>
      <w:r w:rsidRPr="005E2831">
        <w:rPr>
          <w:rFonts w:ascii="Times New Roman" w:hAnsi="Times New Roman" w:cs="Times New Roman"/>
          <w:sz w:val="24"/>
          <w:szCs w:val="24"/>
          <w:lang w:val="x-none"/>
        </w:rPr>
        <w:t>rtęci w stanie gazowym na stacj</w:t>
      </w:r>
      <w:r w:rsidRPr="005E2831">
        <w:rPr>
          <w:rFonts w:ascii="Times New Roman" w:hAnsi="Times New Roman" w:cs="Times New Roman"/>
          <w:sz w:val="24"/>
          <w:szCs w:val="24"/>
        </w:rPr>
        <w:t>ach:</w:t>
      </w:r>
      <w:r w:rsidRPr="005E2831">
        <w:rPr>
          <w:rFonts w:ascii="Times New Roman" w:hAnsi="Times New Roman" w:cs="Times New Roman"/>
          <w:sz w:val="24"/>
          <w:szCs w:val="24"/>
          <w:lang w:val="x-none"/>
        </w:rPr>
        <w:t xml:space="preserve"> „Osieczów” w województwie dolnośląskim, „Zielonka” w województwie kujawsko-pomorskim, „Złoty Potok” w województwie śląskim i „Granica” w województwie mazowieckim</w:t>
      </w:r>
      <w:r w:rsidR="00895F16" w:rsidRPr="007F400A">
        <w:rPr>
          <w:rFonts w:ascii="Times New Roman" w:hAnsi="Times New Roman"/>
          <w:sz w:val="24"/>
          <w:szCs w:val="24"/>
        </w:rPr>
        <w:t>,</w:t>
      </w:r>
    </w:p>
    <w:p w14:paraId="7B61A239" w14:textId="77DDFB50" w:rsidR="00895F16" w:rsidRPr="007F400A" w:rsidRDefault="00C412C6" w:rsidP="00D0218B">
      <w:pPr>
        <w:numPr>
          <w:ilvl w:val="0"/>
          <w:numId w:val="29"/>
        </w:numPr>
        <w:spacing w:after="0" w:line="300" w:lineRule="atLeast"/>
        <w:ind w:left="851" w:hanging="567"/>
        <w:jc w:val="both"/>
        <w:rPr>
          <w:rFonts w:ascii="Times New Roman" w:hAnsi="Times New Roman"/>
          <w:sz w:val="24"/>
          <w:szCs w:val="24"/>
          <w:lang w:val="x-none"/>
        </w:rPr>
      </w:pPr>
      <w:r w:rsidRPr="005E2831">
        <w:rPr>
          <w:rFonts w:ascii="Times New Roman" w:hAnsi="Times New Roman" w:cs="Times New Roman"/>
          <w:sz w:val="24"/>
          <w:szCs w:val="24"/>
          <w:lang w:val="x-none"/>
        </w:rPr>
        <w:t>prekursorów ozonu na stacji „Zielonka”</w:t>
      </w:r>
      <w:r w:rsidR="00895F16" w:rsidRPr="007F400A">
        <w:rPr>
          <w:rFonts w:ascii="Times New Roman" w:hAnsi="Times New Roman"/>
          <w:sz w:val="24"/>
          <w:szCs w:val="24"/>
        </w:rPr>
        <w:t>,</w:t>
      </w:r>
    </w:p>
    <w:p w14:paraId="6B9951A7" w14:textId="19FF3569" w:rsidR="00895F16" w:rsidRPr="007F400A" w:rsidRDefault="00C412C6" w:rsidP="00D0218B">
      <w:pPr>
        <w:numPr>
          <w:ilvl w:val="0"/>
          <w:numId w:val="29"/>
        </w:numPr>
        <w:spacing w:after="0" w:line="300" w:lineRule="atLeast"/>
        <w:ind w:left="851" w:hanging="567"/>
        <w:jc w:val="both"/>
        <w:rPr>
          <w:rFonts w:ascii="Times New Roman" w:hAnsi="Times New Roman"/>
          <w:sz w:val="24"/>
          <w:szCs w:val="24"/>
          <w:lang w:val="x-none"/>
        </w:rPr>
      </w:pPr>
      <w:r w:rsidRPr="005E2831">
        <w:rPr>
          <w:rFonts w:ascii="Times New Roman" w:hAnsi="Times New Roman" w:cs="Times New Roman"/>
          <w:sz w:val="24"/>
          <w:szCs w:val="24"/>
          <w:lang w:val="x-none"/>
        </w:rPr>
        <w:t xml:space="preserve">składu pyłu </w:t>
      </w:r>
      <w:r w:rsidRPr="005E2831">
        <w:rPr>
          <w:rFonts w:ascii="Times New Roman" w:hAnsi="Times New Roman" w:cs="Times New Roman"/>
          <w:sz w:val="24"/>
          <w:szCs w:val="24"/>
        </w:rPr>
        <w:t xml:space="preserve">zawieszonego </w:t>
      </w:r>
      <w:r w:rsidRPr="005E2831">
        <w:rPr>
          <w:rFonts w:ascii="Times New Roman" w:hAnsi="Times New Roman" w:cs="Times New Roman"/>
          <w:sz w:val="24"/>
          <w:szCs w:val="24"/>
          <w:lang w:val="x-none"/>
        </w:rPr>
        <w:t>PM10 pod kątem zawartości metali ciężkich i WWA oraz</w:t>
      </w:r>
      <w:r w:rsidRPr="005E2831">
        <w:rPr>
          <w:rFonts w:ascii="Times New Roman" w:hAnsi="Times New Roman" w:cs="Times New Roman"/>
          <w:sz w:val="24"/>
          <w:szCs w:val="24"/>
        </w:rPr>
        <w:t> </w:t>
      </w:r>
      <w:r w:rsidRPr="005E2831">
        <w:rPr>
          <w:rFonts w:ascii="Times New Roman" w:hAnsi="Times New Roman" w:cs="Times New Roman"/>
          <w:sz w:val="24"/>
          <w:szCs w:val="24"/>
          <w:lang w:val="x-none"/>
        </w:rPr>
        <w:t>depozycji całkowitej tych zanieczyszczeń do podłoża na stacjach „Osieczów” i</w:t>
      </w:r>
      <w:r w:rsidRPr="005E2831">
        <w:rPr>
          <w:rFonts w:ascii="Times New Roman" w:hAnsi="Times New Roman" w:cs="Times New Roman"/>
          <w:sz w:val="24"/>
          <w:szCs w:val="24"/>
        </w:rPr>
        <w:t> </w:t>
      </w:r>
      <w:r w:rsidRPr="005E2831">
        <w:rPr>
          <w:rFonts w:ascii="Times New Roman" w:hAnsi="Times New Roman" w:cs="Times New Roman"/>
          <w:sz w:val="24"/>
          <w:szCs w:val="24"/>
          <w:lang w:val="x-none"/>
        </w:rPr>
        <w:t>„Zielonka”</w:t>
      </w:r>
      <w:r w:rsidR="00895F16" w:rsidRPr="007F400A">
        <w:rPr>
          <w:rFonts w:ascii="Times New Roman" w:hAnsi="Times New Roman"/>
          <w:sz w:val="24"/>
          <w:szCs w:val="24"/>
        </w:rPr>
        <w:t>,</w:t>
      </w:r>
    </w:p>
    <w:p w14:paraId="73DE51B3" w14:textId="402FDF68" w:rsidR="00895F16" w:rsidRPr="007F400A" w:rsidRDefault="00C412C6" w:rsidP="00D0218B">
      <w:pPr>
        <w:numPr>
          <w:ilvl w:val="0"/>
          <w:numId w:val="29"/>
        </w:numPr>
        <w:spacing w:after="0" w:line="300" w:lineRule="atLeast"/>
        <w:ind w:left="851" w:hanging="567"/>
        <w:jc w:val="both"/>
        <w:rPr>
          <w:rFonts w:ascii="Times New Roman" w:hAnsi="Times New Roman"/>
          <w:sz w:val="24"/>
          <w:szCs w:val="24"/>
          <w:lang w:val="x-none"/>
        </w:rPr>
      </w:pPr>
      <w:r w:rsidRPr="005E2831">
        <w:rPr>
          <w:rFonts w:ascii="Times New Roman" w:hAnsi="Times New Roman" w:cs="Times New Roman"/>
          <w:sz w:val="24"/>
          <w:szCs w:val="24"/>
          <w:lang w:val="x-none"/>
        </w:rPr>
        <w:lastRenderedPageBreak/>
        <w:t xml:space="preserve">składu pyłu </w:t>
      </w:r>
      <w:r w:rsidRPr="005E2831">
        <w:rPr>
          <w:rFonts w:ascii="Times New Roman" w:hAnsi="Times New Roman" w:cs="Times New Roman"/>
          <w:sz w:val="24"/>
          <w:szCs w:val="24"/>
        </w:rPr>
        <w:t xml:space="preserve">zawieszonego </w:t>
      </w:r>
      <w:r w:rsidRPr="005E2831">
        <w:rPr>
          <w:rFonts w:ascii="Times New Roman" w:hAnsi="Times New Roman" w:cs="Times New Roman"/>
          <w:sz w:val="24"/>
          <w:szCs w:val="24"/>
          <w:lang w:val="x-none"/>
        </w:rPr>
        <w:t>PM2,5 pod kątem podstawowych kationów i anionów na</w:t>
      </w:r>
      <w:r w:rsidRPr="005E2831">
        <w:rPr>
          <w:rFonts w:ascii="Times New Roman" w:hAnsi="Times New Roman" w:cs="Times New Roman"/>
          <w:sz w:val="24"/>
          <w:szCs w:val="24"/>
        </w:rPr>
        <w:t> </w:t>
      </w:r>
      <w:r w:rsidRPr="005E2831">
        <w:rPr>
          <w:rFonts w:ascii="Times New Roman" w:hAnsi="Times New Roman" w:cs="Times New Roman"/>
          <w:sz w:val="24"/>
          <w:szCs w:val="24"/>
          <w:lang w:val="x-none"/>
        </w:rPr>
        <w:t>stacjach: „Osieczów”, „Złoty Potok” i „Zielonka”</w:t>
      </w:r>
      <w:r w:rsidR="00895F16" w:rsidRPr="007F400A">
        <w:rPr>
          <w:rFonts w:ascii="Times New Roman" w:hAnsi="Times New Roman"/>
          <w:sz w:val="24"/>
          <w:szCs w:val="24"/>
        </w:rPr>
        <w:t>,</w:t>
      </w:r>
    </w:p>
    <w:p w14:paraId="32F13EBB" w14:textId="1C3AA212" w:rsidR="00895F16" w:rsidRPr="007F400A" w:rsidRDefault="00C412C6" w:rsidP="00D0218B">
      <w:pPr>
        <w:numPr>
          <w:ilvl w:val="0"/>
          <w:numId w:val="29"/>
        </w:numPr>
        <w:spacing w:after="0" w:line="300" w:lineRule="atLeast"/>
        <w:ind w:left="851" w:hanging="567"/>
        <w:jc w:val="both"/>
        <w:rPr>
          <w:rFonts w:ascii="Times New Roman" w:hAnsi="Times New Roman"/>
          <w:sz w:val="24"/>
          <w:szCs w:val="24"/>
          <w:lang w:val="x-none"/>
        </w:rPr>
      </w:pPr>
      <w:r w:rsidRPr="005E2831">
        <w:rPr>
          <w:rFonts w:ascii="Times New Roman" w:hAnsi="Times New Roman" w:cs="Times New Roman"/>
          <w:sz w:val="24"/>
          <w:szCs w:val="24"/>
          <w:lang w:val="x-none"/>
        </w:rPr>
        <w:t xml:space="preserve">zawartości węgla elementarnego i organicznego w pyle </w:t>
      </w:r>
      <w:r w:rsidRPr="005E2831">
        <w:rPr>
          <w:rFonts w:ascii="Times New Roman" w:hAnsi="Times New Roman" w:cs="Times New Roman"/>
          <w:sz w:val="24"/>
          <w:szCs w:val="24"/>
        </w:rPr>
        <w:t xml:space="preserve">zawieszonym </w:t>
      </w:r>
      <w:r w:rsidRPr="005E2831">
        <w:rPr>
          <w:rFonts w:ascii="Times New Roman" w:hAnsi="Times New Roman" w:cs="Times New Roman"/>
          <w:sz w:val="24"/>
          <w:szCs w:val="24"/>
          <w:lang w:val="x-none"/>
        </w:rPr>
        <w:t>PM2,5 na stacjach „Osieczów” i</w:t>
      </w:r>
      <w:r w:rsidRPr="005E2831">
        <w:rPr>
          <w:rFonts w:ascii="Times New Roman" w:hAnsi="Times New Roman" w:cs="Times New Roman"/>
          <w:sz w:val="24"/>
          <w:szCs w:val="24"/>
        </w:rPr>
        <w:t> </w:t>
      </w:r>
      <w:r w:rsidRPr="005E2831">
        <w:rPr>
          <w:rFonts w:ascii="Times New Roman" w:hAnsi="Times New Roman" w:cs="Times New Roman"/>
          <w:sz w:val="24"/>
          <w:szCs w:val="24"/>
          <w:lang w:val="x-none"/>
        </w:rPr>
        <w:t>„Zielonka”</w:t>
      </w:r>
      <w:r w:rsidR="00895F16" w:rsidRPr="007F400A">
        <w:rPr>
          <w:rFonts w:ascii="Times New Roman" w:hAnsi="Times New Roman"/>
          <w:sz w:val="24"/>
          <w:szCs w:val="24"/>
          <w:lang w:val="x-none"/>
        </w:rPr>
        <w:t xml:space="preserve">. </w:t>
      </w:r>
    </w:p>
    <w:p w14:paraId="6C006BC4" w14:textId="77777777" w:rsidR="00895F16" w:rsidRPr="007F400A" w:rsidRDefault="00895F16" w:rsidP="00895F16">
      <w:pPr>
        <w:spacing w:after="0" w:line="300" w:lineRule="atLeast"/>
        <w:ind w:firstLine="567"/>
        <w:jc w:val="both"/>
        <w:rPr>
          <w:rFonts w:ascii="Times New Roman" w:hAnsi="Times New Roman"/>
          <w:sz w:val="24"/>
          <w:szCs w:val="24"/>
        </w:rPr>
      </w:pPr>
    </w:p>
    <w:p w14:paraId="67332441" w14:textId="79654922" w:rsidR="00895F16" w:rsidRPr="007F400A" w:rsidRDefault="00C412C6" w:rsidP="00895F16">
      <w:pPr>
        <w:spacing w:after="0" w:line="300" w:lineRule="atLeast"/>
        <w:ind w:firstLine="567"/>
        <w:jc w:val="both"/>
        <w:rPr>
          <w:rFonts w:ascii="Times New Roman" w:hAnsi="Times New Roman"/>
          <w:sz w:val="24"/>
          <w:szCs w:val="24"/>
        </w:rPr>
      </w:pPr>
      <w:r w:rsidRPr="005E2831">
        <w:rPr>
          <w:rFonts w:ascii="Times New Roman" w:hAnsi="Times New Roman" w:cs="Times New Roman"/>
          <w:sz w:val="24"/>
          <w:szCs w:val="24"/>
        </w:rPr>
        <w:t>Jednocześnie Główny Inspektor kontynuował pomiary składu pyłu zawieszonego PM10 i PM2,5, rtęci w stanie gazowym oraz depozycji całkowitej pod kątem zawartości metali ciężkich i WWA na stacji „Puszcza Borecka”</w:t>
      </w:r>
      <w:r w:rsidR="00895F16" w:rsidRPr="007F400A">
        <w:rPr>
          <w:rFonts w:ascii="Times New Roman" w:hAnsi="Times New Roman"/>
          <w:sz w:val="24"/>
          <w:szCs w:val="24"/>
        </w:rPr>
        <w:t>.</w:t>
      </w:r>
    </w:p>
    <w:p w14:paraId="3002BABD" w14:textId="77777777" w:rsidR="00895F16" w:rsidRPr="007F400A" w:rsidRDefault="00895F16" w:rsidP="00895F16">
      <w:pPr>
        <w:spacing w:after="0" w:line="300" w:lineRule="atLeast"/>
        <w:ind w:firstLine="709"/>
        <w:jc w:val="both"/>
        <w:rPr>
          <w:rFonts w:ascii="Times New Roman" w:hAnsi="Times New Roman" w:cs="Times New Roman"/>
          <w:sz w:val="24"/>
          <w:szCs w:val="24"/>
        </w:rPr>
      </w:pPr>
    </w:p>
    <w:p w14:paraId="73C2B86D" w14:textId="77777777" w:rsidR="00895F16" w:rsidRPr="007F400A" w:rsidRDefault="00895F16" w:rsidP="00895F16">
      <w:pPr>
        <w:spacing w:after="120" w:line="300" w:lineRule="atLeast"/>
        <w:jc w:val="both"/>
        <w:outlineLvl w:val="0"/>
        <w:rPr>
          <w:rFonts w:ascii="Times New Roman" w:eastAsia="Times New Roman" w:hAnsi="Times New Roman" w:cs="Times New Roman"/>
          <w:sz w:val="24"/>
          <w:szCs w:val="24"/>
          <w:lang w:eastAsia="pl-PL"/>
        </w:rPr>
      </w:pPr>
      <w:bookmarkStart w:id="385" w:name="_Toc135935701"/>
      <w:r w:rsidRPr="007F400A">
        <w:rPr>
          <w:rFonts w:ascii="Times New Roman" w:eastAsia="Calibri" w:hAnsi="Times New Roman" w:cs="Times New Roman"/>
          <w:b/>
          <w:sz w:val="24"/>
          <w:szCs w:val="24"/>
          <w:lang w:eastAsia="pl-PL"/>
        </w:rPr>
        <w:t xml:space="preserve">2.7 </w:t>
      </w:r>
      <w:r w:rsidRPr="007F400A">
        <w:rPr>
          <w:rFonts w:ascii="Times New Roman" w:eastAsia="Calibri" w:hAnsi="Times New Roman" w:cs="Times New Roman"/>
          <w:b/>
          <w:sz w:val="24"/>
          <w:szCs w:val="24"/>
          <w:lang w:val="x-none" w:eastAsia="pl-PL"/>
        </w:rPr>
        <w:t>Badania tła zanieczyszczenia atmosfery na stacjach w Łebie, Jarczewie, Puszczy Boreckiej i na Śnieżce według programów międzynarodowych</w:t>
      </w:r>
      <w:bookmarkEnd w:id="385"/>
    </w:p>
    <w:p w14:paraId="7B20251D" w14:textId="77777777" w:rsidR="00C412C6" w:rsidRPr="005E2831" w:rsidRDefault="00C412C6" w:rsidP="004B2168">
      <w:pPr>
        <w:autoSpaceDE w:val="0"/>
        <w:autoSpaceDN w:val="0"/>
        <w:adjustRightInd w:val="0"/>
        <w:spacing w:after="60"/>
        <w:ind w:firstLine="567"/>
        <w:jc w:val="both"/>
        <w:rPr>
          <w:rFonts w:ascii="Times New Roman" w:eastAsia="Times New Roman" w:hAnsi="Times New Roman" w:cs="Times New Roman"/>
          <w:sz w:val="24"/>
          <w:szCs w:val="24"/>
          <w:lang w:eastAsia="pl-PL"/>
        </w:rPr>
      </w:pPr>
      <w:r w:rsidRPr="005E2831">
        <w:rPr>
          <w:rFonts w:ascii="Times New Roman" w:eastAsia="Times New Roman" w:hAnsi="Times New Roman" w:cs="Times New Roman"/>
          <w:sz w:val="24"/>
          <w:szCs w:val="24"/>
          <w:lang w:eastAsia="pl-PL"/>
        </w:rPr>
        <w:t>W 2022 r. Główny Inspektor kontynuował pomiary tła zanieczyszczenia atmosfery na stacjach w Łebie, Jarczewie, Puszczy Boreckiej i na Śnieżce według „Wspólnego programu monitoringu i oceny przenoszenia zanieczyszczeń powietrza na dalekie odległości” (EMEP). Dodatkowo – na stacji w Łebie – były wykonywane pomiary dla potrzeb Komisji Helsińskiej, a na stacji w</w:t>
      </w:r>
      <w:r>
        <w:rPr>
          <w:rFonts w:ascii="Times New Roman" w:eastAsia="Times New Roman" w:hAnsi="Times New Roman" w:cs="Times New Roman"/>
          <w:sz w:val="24"/>
          <w:szCs w:val="24"/>
          <w:lang w:eastAsia="pl-PL"/>
        </w:rPr>
        <w:t> </w:t>
      </w:r>
      <w:r w:rsidRPr="005E2831">
        <w:rPr>
          <w:rFonts w:ascii="Times New Roman" w:eastAsia="Times New Roman" w:hAnsi="Times New Roman" w:cs="Times New Roman"/>
          <w:sz w:val="24"/>
          <w:szCs w:val="24"/>
          <w:lang w:eastAsia="pl-PL"/>
        </w:rPr>
        <w:t>Puszczy Boreckiej – dla potrzeb Komisji Europejskiej</w:t>
      </w:r>
      <w:r w:rsidRPr="005E2831">
        <w:rPr>
          <w:rFonts w:ascii="Times New Roman" w:eastAsia="Times New Roman" w:hAnsi="Times New Roman" w:cs="Times New Roman"/>
          <w:sz w:val="24"/>
          <w:szCs w:val="24"/>
          <w:vertAlign w:val="superscript"/>
          <w:lang w:eastAsia="pl-PL"/>
        </w:rPr>
        <w:footnoteReference w:id="85"/>
      </w:r>
      <w:r w:rsidRPr="005E2831">
        <w:rPr>
          <w:rFonts w:ascii="Times New Roman" w:eastAsia="Times New Roman" w:hAnsi="Times New Roman" w:cs="Times New Roman"/>
          <w:sz w:val="24"/>
          <w:szCs w:val="24"/>
          <w:lang w:eastAsia="pl-PL"/>
        </w:rPr>
        <w:t>. Program badań obejmował pomiary stężeń substancji zakwaszających, fotoutleniających i toksycznych (WWA i metale ciężkie).</w:t>
      </w:r>
    </w:p>
    <w:p w14:paraId="1B3CBD14" w14:textId="6729972A" w:rsidR="00C412C6" w:rsidRPr="005E2831" w:rsidRDefault="00C412C6" w:rsidP="004B2168">
      <w:pPr>
        <w:spacing w:after="60" w:line="276" w:lineRule="auto"/>
        <w:ind w:firstLine="567"/>
        <w:jc w:val="both"/>
        <w:rPr>
          <w:rFonts w:ascii="Times New Roman" w:hAnsi="Times New Roman" w:cs="Times New Roman"/>
          <w:sz w:val="24"/>
          <w:szCs w:val="24"/>
        </w:rPr>
      </w:pPr>
      <w:r w:rsidRPr="005E2831">
        <w:rPr>
          <w:rFonts w:ascii="Times New Roman" w:hAnsi="Times New Roman" w:cs="Times New Roman"/>
          <w:sz w:val="24"/>
          <w:szCs w:val="24"/>
        </w:rPr>
        <w:t xml:space="preserve">Ze stacji stowarzyszonej z EMEP </w:t>
      </w:r>
      <w:r w:rsidRPr="005E2831">
        <w:rPr>
          <w:rFonts w:ascii="Times New Roman" w:eastAsia="Times New Roman" w:hAnsi="Times New Roman" w:cs="Times New Roman"/>
          <w:sz w:val="24"/>
          <w:szCs w:val="24"/>
          <w:lang w:eastAsia="pl-PL"/>
        </w:rPr>
        <w:t>–</w:t>
      </w:r>
      <w:r w:rsidRPr="005E2831">
        <w:rPr>
          <w:rFonts w:ascii="Times New Roman" w:hAnsi="Times New Roman" w:cs="Times New Roman"/>
          <w:sz w:val="24"/>
          <w:szCs w:val="24"/>
        </w:rPr>
        <w:t xml:space="preserve"> w Zielonce </w:t>
      </w:r>
      <w:r w:rsidRPr="005E2831">
        <w:rPr>
          <w:rFonts w:ascii="Times New Roman" w:eastAsia="Times New Roman" w:hAnsi="Times New Roman" w:cs="Times New Roman"/>
          <w:sz w:val="24"/>
          <w:szCs w:val="24"/>
          <w:lang w:eastAsia="pl-PL"/>
        </w:rPr>
        <w:t>–</w:t>
      </w:r>
      <w:r w:rsidRPr="005E2831">
        <w:rPr>
          <w:rFonts w:ascii="Times New Roman" w:hAnsi="Times New Roman" w:cs="Times New Roman"/>
          <w:sz w:val="24"/>
          <w:szCs w:val="24"/>
        </w:rPr>
        <w:t xml:space="preserve"> przekazano do bazy danych EMEP dane dotyczące pyłu zawieszonego PM10 i zawartych w nim metali ciężkich oraz wielopierścieniowych węglowodorów aromatycznych, a także dane dotyczące pyłu zawieszonego PM2,5 i zawartych w nim wybranych kationów i anionów oraz węgla organicznego i elementarnego za 2021 r. </w:t>
      </w:r>
    </w:p>
    <w:p w14:paraId="042E5F58" w14:textId="4199063E" w:rsidR="00C412C6" w:rsidRPr="005E2831" w:rsidRDefault="00C412C6" w:rsidP="004B2168">
      <w:pPr>
        <w:autoSpaceDE w:val="0"/>
        <w:autoSpaceDN w:val="0"/>
        <w:adjustRightInd w:val="0"/>
        <w:spacing w:after="60" w:line="276" w:lineRule="auto"/>
        <w:ind w:firstLine="567"/>
        <w:jc w:val="both"/>
        <w:rPr>
          <w:rFonts w:ascii="Times New Roman" w:eastAsia="Times New Roman" w:hAnsi="Times New Roman" w:cs="Times New Roman"/>
          <w:sz w:val="24"/>
          <w:szCs w:val="24"/>
          <w:lang w:eastAsia="pl-PL"/>
        </w:rPr>
      </w:pPr>
      <w:r w:rsidRPr="005E2831">
        <w:rPr>
          <w:rFonts w:ascii="Times New Roman" w:eastAsia="Times New Roman" w:hAnsi="Times New Roman" w:cs="Times New Roman"/>
          <w:sz w:val="24"/>
          <w:szCs w:val="24"/>
          <w:lang w:eastAsia="pl-PL"/>
        </w:rPr>
        <w:t xml:space="preserve">W 2022 r. wykonano analizę serii danych uzyskanych w poprzednim roku i porównano z wynikami uzyskanymi w latach wcześniejszych. </w:t>
      </w:r>
    </w:p>
    <w:p w14:paraId="020C537E" w14:textId="612C2046" w:rsidR="00C412C6" w:rsidRPr="005E2831" w:rsidRDefault="00C412C6" w:rsidP="004B2168">
      <w:pPr>
        <w:spacing w:after="0" w:line="276" w:lineRule="auto"/>
        <w:ind w:firstLine="567"/>
        <w:jc w:val="both"/>
        <w:rPr>
          <w:rFonts w:ascii="Times New Roman" w:hAnsi="Times New Roman" w:cs="Times New Roman"/>
          <w:sz w:val="24"/>
          <w:szCs w:val="24"/>
        </w:rPr>
      </w:pPr>
      <w:r w:rsidRPr="005E2831">
        <w:rPr>
          <w:rFonts w:ascii="Times New Roman" w:hAnsi="Times New Roman" w:cs="Times New Roman"/>
          <w:sz w:val="24"/>
          <w:szCs w:val="24"/>
        </w:rPr>
        <w:t xml:space="preserve">Na stacjach w Puszczy Boreckiej i na Śnieżce zmniejszyła się kwasowość opadów atmosferycznych (wyrażona wzrostem wartości </w:t>
      </w:r>
      <w:proofErr w:type="spellStart"/>
      <w:r w:rsidRPr="005E2831">
        <w:rPr>
          <w:rFonts w:ascii="Times New Roman" w:hAnsi="Times New Roman" w:cs="Times New Roman"/>
          <w:sz w:val="24"/>
          <w:szCs w:val="24"/>
        </w:rPr>
        <w:t>pH</w:t>
      </w:r>
      <w:proofErr w:type="spellEnd"/>
      <w:r w:rsidRPr="005E2831">
        <w:rPr>
          <w:rFonts w:ascii="Times New Roman" w:hAnsi="Times New Roman" w:cs="Times New Roman"/>
          <w:sz w:val="24"/>
          <w:szCs w:val="24"/>
        </w:rPr>
        <w:t xml:space="preserve"> opadów), w Łebie - pozostała na tym samym poziomie co w 2020 roku, a w Jarczewie nieznacznie zwiększyła się ta wartość (Wyk</w:t>
      </w:r>
      <w:r w:rsidR="00C4429C">
        <w:rPr>
          <w:rFonts w:ascii="Times New Roman" w:hAnsi="Times New Roman" w:cs="Times New Roman"/>
          <w:sz w:val="24"/>
          <w:szCs w:val="24"/>
        </w:rPr>
        <w:t>res</w:t>
      </w:r>
      <w:r w:rsidRPr="005E2831">
        <w:rPr>
          <w:rFonts w:ascii="Times New Roman" w:hAnsi="Times New Roman" w:cs="Times New Roman"/>
          <w:sz w:val="24"/>
          <w:szCs w:val="24"/>
        </w:rPr>
        <w:t> </w:t>
      </w:r>
      <w:r w:rsidR="00475E1F">
        <w:rPr>
          <w:rFonts w:ascii="Times New Roman" w:hAnsi="Times New Roman" w:cs="Times New Roman"/>
          <w:sz w:val="24"/>
          <w:szCs w:val="24"/>
        </w:rPr>
        <w:t>23</w:t>
      </w:r>
      <w:r w:rsidRPr="005E2831">
        <w:rPr>
          <w:rFonts w:ascii="Times New Roman" w:hAnsi="Times New Roman" w:cs="Times New Roman"/>
          <w:sz w:val="24"/>
          <w:szCs w:val="24"/>
        </w:rPr>
        <w:t xml:space="preserve">). Od wielu lat </w:t>
      </w:r>
      <w:proofErr w:type="spellStart"/>
      <w:r w:rsidRPr="005E2831">
        <w:rPr>
          <w:rFonts w:ascii="Times New Roman" w:hAnsi="Times New Roman" w:cs="Times New Roman"/>
          <w:sz w:val="24"/>
          <w:szCs w:val="24"/>
        </w:rPr>
        <w:t>pH</w:t>
      </w:r>
      <w:proofErr w:type="spellEnd"/>
      <w:r w:rsidRPr="005E2831">
        <w:rPr>
          <w:rFonts w:ascii="Times New Roman" w:hAnsi="Times New Roman" w:cs="Times New Roman"/>
          <w:sz w:val="24"/>
          <w:szCs w:val="24"/>
        </w:rPr>
        <w:t xml:space="preserve"> opadów atmosferycznych na Śnieżce oscyluje wokół wartości 4,5. Na pozostałych stacjach monitoringu tła zanieczyszczenia atmosfery wieloletni przebieg wartości </w:t>
      </w:r>
      <w:proofErr w:type="spellStart"/>
      <w:r w:rsidRPr="005E2831">
        <w:rPr>
          <w:rFonts w:ascii="Times New Roman" w:hAnsi="Times New Roman" w:cs="Times New Roman"/>
          <w:sz w:val="24"/>
          <w:szCs w:val="24"/>
        </w:rPr>
        <w:t>pH</w:t>
      </w:r>
      <w:proofErr w:type="spellEnd"/>
      <w:r w:rsidRPr="005E2831">
        <w:rPr>
          <w:rFonts w:ascii="Times New Roman" w:hAnsi="Times New Roman" w:cs="Times New Roman"/>
          <w:sz w:val="24"/>
          <w:szCs w:val="24"/>
        </w:rPr>
        <w:t xml:space="preserve"> wody opadowej świadczy o utrzymaniu się korzystnej wzrostowej tendencji tego wskaźnika, czyli o spadku kwasowości opadów. </w:t>
      </w:r>
    </w:p>
    <w:p w14:paraId="227D764A" w14:textId="2DEBB5CF" w:rsidR="00895F16" w:rsidRPr="007F400A" w:rsidRDefault="00C412C6" w:rsidP="004B2168">
      <w:pPr>
        <w:spacing w:after="0" w:line="300" w:lineRule="atLeast"/>
        <w:ind w:firstLine="567"/>
        <w:jc w:val="both"/>
        <w:rPr>
          <w:rFonts w:ascii="Times New Roman" w:hAnsi="Times New Roman"/>
          <w:sz w:val="24"/>
          <w:szCs w:val="24"/>
        </w:rPr>
      </w:pPr>
      <w:r>
        <w:rPr>
          <w:rFonts w:ascii="Times New Roman" w:hAnsi="Times New Roman" w:cs="Times New Roman"/>
          <w:sz w:val="24"/>
          <w:szCs w:val="24"/>
        </w:rPr>
        <w:tab/>
      </w:r>
      <w:r w:rsidRPr="005E2831">
        <w:rPr>
          <w:rFonts w:ascii="Times New Roman" w:hAnsi="Times New Roman" w:cs="Times New Roman"/>
          <w:sz w:val="24"/>
          <w:szCs w:val="24"/>
        </w:rPr>
        <w:t xml:space="preserve">W 2022 r. wyniki pomiarów ze stacji EMEP za 2021 r. zostały przekazane </w:t>
      </w:r>
      <w:r w:rsidRPr="005E2831">
        <w:rPr>
          <w:rFonts w:ascii="Times New Roman" w:hAnsi="Times New Roman" w:cs="Times New Roman"/>
          <w:color w:val="000000"/>
          <w:sz w:val="24"/>
          <w:szCs w:val="24"/>
        </w:rPr>
        <w:t>do Chemicznego Centrum Koordynacyjnego EMEP w Norwegii. Dane zasiliły: Centrum</w:t>
      </w:r>
      <w:r w:rsidRPr="005E2831">
        <w:rPr>
          <w:rFonts w:ascii="Times New Roman" w:hAnsi="Times New Roman" w:cs="Times New Roman"/>
          <w:sz w:val="24"/>
          <w:szCs w:val="24"/>
        </w:rPr>
        <w:t xml:space="preserve"> Danych Programu Monitoringu Bałtyku (wyniki ze stacji w Łebie), Światowe Centrum Danych o Aerozolach GAW/WMO/WDCA w Norwegii i światowe centrum danych o składzie chemicznym opadów atmosferycznych GAW/WMO/WDCPC w USA. Na bieżąco wyniki uzyskane w 2022 r. przekazywano również do Światowego Centrum Danych o Gazach Cieplarnianych GAW/WMO/WDCGG w Japonii</w:t>
      </w:r>
      <w:r w:rsidR="00895F16" w:rsidRPr="007F400A">
        <w:rPr>
          <w:rFonts w:ascii="Times New Roman" w:hAnsi="Times New Roman"/>
          <w:sz w:val="24"/>
          <w:szCs w:val="24"/>
        </w:rPr>
        <w:t xml:space="preserve">. </w:t>
      </w:r>
    </w:p>
    <w:p w14:paraId="44FB6BEA" w14:textId="77777777" w:rsidR="00C412C6" w:rsidRPr="005E2831" w:rsidRDefault="00C412C6" w:rsidP="00C412C6">
      <w:pPr>
        <w:spacing w:after="60" w:line="276" w:lineRule="auto"/>
        <w:jc w:val="both"/>
        <w:rPr>
          <w:rFonts w:ascii="Times New Roman" w:hAnsi="Times New Roman" w:cs="Times New Roman"/>
          <w:sz w:val="24"/>
          <w:szCs w:val="24"/>
        </w:rPr>
      </w:pPr>
      <w:r w:rsidRPr="005E2831">
        <w:rPr>
          <w:rFonts w:ascii="Times New Roman" w:hAnsi="Times New Roman" w:cs="Times New Roman"/>
          <w:noProof/>
          <w:lang w:eastAsia="pl-PL"/>
        </w:rPr>
        <w:lastRenderedPageBreak/>
        <w:drawing>
          <wp:inline distT="0" distB="0" distL="0" distR="0" wp14:anchorId="34DF99B2" wp14:editId="3BA6C6D8">
            <wp:extent cx="5843905" cy="3362325"/>
            <wp:effectExtent l="0" t="0" r="4445" b="0"/>
            <wp:docPr id="127" name="Wykres 127" descr="Wykres 23. Zmiany kwasowości opadów atmosferycznych na stacjach EMEP w latach 1994–20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7C67CAE4" w14:textId="7582A7A6" w:rsidR="00C412C6" w:rsidRPr="005E2831" w:rsidRDefault="00C412C6" w:rsidP="0040482D">
      <w:pPr>
        <w:spacing w:after="0" w:line="276" w:lineRule="auto"/>
        <w:jc w:val="both"/>
        <w:rPr>
          <w:rFonts w:ascii="Times New Roman" w:hAnsi="Times New Roman" w:cs="Times New Roman"/>
          <w:b/>
        </w:rPr>
      </w:pPr>
      <w:r w:rsidRPr="005E2831">
        <w:rPr>
          <w:rFonts w:ascii="Times New Roman" w:hAnsi="Times New Roman" w:cs="Times New Roman"/>
          <w:b/>
        </w:rPr>
        <w:t>Wyk</w:t>
      </w:r>
      <w:r w:rsidR="004B2168">
        <w:rPr>
          <w:rFonts w:ascii="Times New Roman" w:hAnsi="Times New Roman" w:cs="Times New Roman"/>
          <w:b/>
        </w:rPr>
        <w:t>res</w:t>
      </w:r>
      <w:r w:rsidRPr="005E2831">
        <w:rPr>
          <w:rFonts w:ascii="Times New Roman" w:hAnsi="Times New Roman" w:cs="Times New Roman"/>
          <w:b/>
        </w:rPr>
        <w:t xml:space="preserve"> </w:t>
      </w:r>
      <w:r w:rsidR="004B2168">
        <w:rPr>
          <w:rFonts w:ascii="Times New Roman" w:hAnsi="Times New Roman" w:cs="Times New Roman"/>
          <w:b/>
        </w:rPr>
        <w:t>23</w:t>
      </w:r>
      <w:r w:rsidRPr="005E2831">
        <w:rPr>
          <w:rFonts w:ascii="Times New Roman" w:hAnsi="Times New Roman" w:cs="Times New Roman"/>
          <w:b/>
        </w:rPr>
        <w:t>. Zmiany kwasowości opadów atmosferycznych na stacjach EMEP w latach 1994–2021</w:t>
      </w:r>
    </w:p>
    <w:p w14:paraId="57555397" w14:textId="77777777" w:rsidR="00895F16" w:rsidRPr="007F400A" w:rsidRDefault="00895F16" w:rsidP="00895F16">
      <w:pPr>
        <w:spacing w:after="0" w:line="300" w:lineRule="atLeast"/>
        <w:ind w:firstLine="709"/>
        <w:jc w:val="both"/>
        <w:rPr>
          <w:rFonts w:ascii="Times New Roman" w:hAnsi="Times New Roman" w:cs="Times New Roman"/>
          <w:sz w:val="24"/>
          <w:szCs w:val="24"/>
        </w:rPr>
      </w:pPr>
    </w:p>
    <w:p w14:paraId="7F74A9A2" w14:textId="77777777" w:rsidR="00895F16" w:rsidRPr="007F400A" w:rsidRDefault="00895F16" w:rsidP="00895F16">
      <w:pPr>
        <w:spacing w:after="120" w:line="300" w:lineRule="atLeast"/>
        <w:jc w:val="both"/>
        <w:outlineLvl w:val="0"/>
        <w:rPr>
          <w:rFonts w:ascii="Times New Roman" w:eastAsia="Calibri" w:hAnsi="Times New Roman" w:cs="Times New Roman"/>
          <w:b/>
          <w:sz w:val="24"/>
          <w:szCs w:val="24"/>
          <w:lang w:val="x-none" w:eastAsia="pl-PL"/>
        </w:rPr>
      </w:pPr>
      <w:bookmarkStart w:id="386" w:name="_Toc135935702"/>
      <w:r w:rsidRPr="007F400A">
        <w:rPr>
          <w:rFonts w:ascii="Times New Roman" w:eastAsia="Calibri" w:hAnsi="Times New Roman" w:cs="Times New Roman"/>
          <w:b/>
          <w:sz w:val="24"/>
          <w:szCs w:val="24"/>
          <w:lang w:eastAsia="pl-PL"/>
        </w:rPr>
        <w:t xml:space="preserve">2.8 </w:t>
      </w:r>
      <w:r w:rsidRPr="007F400A">
        <w:rPr>
          <w:rFonts w:ascii="Times New Roman" w:eastAsia="Calibri" w:hAnsi="Times New Roman" w:cs="Times New Roman"/>
          <w:b/>
          <w:sz w:val="24"/>
          <w:szCs w:val="24"/>
          <w:lang w:val="x-none" w:eastAsia="pl-PL"/>
        </w:rPr>
        <w:t>Badania chemizmu opadów atmosferycznych i ocena depozycji zanieczyszczeń do podłoża</w:t>
      </w:r>
      <w:bookmarkEnd w:id="386"/>
    </w:p>
    <w:p w14:paraId="5D03E2C1" w14:textId="77777777" w:rsidR="005C6D45" w:rsidRPr="005E2831" w:rsidRDefault="005C6D45" w:rsidP="004B2168">
      <w:pPr>
        <w:suppressAutoHyphens/>
        <w:spacing w:after="60"/>
        <w:ind w:firstLine="567"/>
        <w:jc w:val="both"/>
        <w:rPr>
          <w:rFonts w:ascii="Times New Roman" w:eastAsia="Lucida Sans Unicode" w:hAnsi="Times New Roman" w:cs="Times New Roman"/>
          <w:kern w:val="1"/>
          <w:sz w:val="24"/>
          <w:szCs w:val="24"/>
          <w:lang w:eastAsia="ar-SA"/>
        </w:rPr>
      </w:pPr>
      <w:r w:rsidRPr="005E2831">
        <w:rPr>
          <w:rFonts w:ascii="Times New Roman" w:eastAsia="Lucida Sans Unicode" w:hAnsi="Times New Roman" w:cs="Times New Roman"/>
          <w:kern w:val="1"/>
          <w:sz w:val="24"/>
          <w:szCs w:val="24"/>
          <w:lang w:eastAsia="ar-SA"/>
        </w:rPr>
        <w:t>W 2022 r. Główny Inspektor kontynuował badania chemizmu opadów atmosferycznych</w:t>
      </w:r>
      <w:r w:rsidRPr="005E2831">
        <w:rPr>
          <w:rFonts w:ascii="Times New Roman" w:eastAsia="Lucida Sans Unicode" w:hAnsi="Times New Roman" w:cs="Times New Roman"/>
          <w:color w:val="000000"/>
          <w:kern w:val="1"/>
          <w:sz w:val="24"/>
          <w:szCs w:val="24"/>
          <w:lang w:eastAsia="ar-SA"/>
        </w:rPr>
        <w:t xml:space="preserve"> wraz z oceną depozycji zanieczyszczeń do podłoża w skali całego kraju, w oparciu o krajową </w:t>
      </w:r>
      <w:r w:rsidRPr="005E2831">
        <w:rPr>
          <w:rFonts w:ascii="Times New Roman" w:eastAsia="Lucida Sans Unicode" w:hAnsi="Times New Roman" w:cs="Times New Roman"/>
          <w:kern w:val="1"/>
          <w:sz w:val="24"/>
          <w:szCs w:val="24"/>
          <w:lang w:eastAsia="ar-SA"/>
        </w:rPr>
        <w:t xml:space="preserve">sieć 22 </w:t>
      </w:r>
      <w:r w:rsidRPr="005E2831">
        <w:rPr>
          <w:rFonts w:ascii="Times New Roman" w:eastAsia="Lucida Sans Unicode" w:hAnsi="Times New Roman" w:cs="Times New Roman"/>
          <w:color w:val="000000"/>
          <w:kern w:val="1"/>
          <w:sz w:val="24"/>
          <w:szCs w:val="24"/>
          <w:lang w:eastAsia="ar-SA"/>
        </w:rPr>
        <w:t xml:space="preserve">stacji monitoringu chemizmu opadów. Oddziały Centralnego </w:t>
      </w:r>
      <w:r w:rsidRPr="005E2831">
        <w:rPr>
          <w:rFonts w:ascii="Times New Roman" w:hAnsi="Times New Roman" w:cs="Times New Roman"/>
          <w:color w:val="000000"/>
          <w:kern w:val="1"/>
          <w:sz w:val="24"/>
          <w:szCs w:val="24"/>
          <w:lang w:eastAsia="ar-SA"/>
        </w:rPr>
        <w:t xml:space="preserve">Laboratorium Badawczego GIOŚ wykonywały na bieżąco analizy fizyko-chemiczne miesięcznych prób opadów pobranych przez Instytut Meteorologii i Gospodarki Wodnej – Państwowy Instytut Badawczy (IMGW-PIB) w zakresie </w:t>
      </w:r>
      <w:r w:rsidRPr="005E2831">
        <w:rPr>
          <w:rFonts w:ascii="Times New Roman" w:hAnsi="Times New Roman" w:cs="Times New Roman"/>
          <w:kern w:val="1"/>
          <w:sz w:val="24"/>
          <w:szCs w:val="24"/>
          <w:lang w:eastAsia="ar-SA"/>
        </w:rPr>
        <w:t xml:space="preserve">21 </w:t>
      </w:r>
      <w:r w:rsidRPr="005E2831">
        <w:rPr>
          <w:rFonts w:ascii="Times New Roman" w:hAnsi="Times New Roman" w:cs="Times New Roman"/>
          <w:color w:val="000000"/>
          <w:kern w:val="1"/>
          <w:sz w:val="24"/>
          <w:szCs w:val="24"/>
          <w:lang w:eastAsia="ar-SA"/>
        </w:rPr>
        <w:t xml:space="preserve">wskaźników. </w:t>
      </w:r>
      <w:r w:rsidRPr="005E2831">
        <w:rPr>
          <w:rFonts w:ascii="Times New Roman" w:eastAsia="Lucida Sans Unicode" w:hAnsi="Times New Roman" w:cs="Times New Roman"/>
          <w:color w:val="000000"/>
          <w:kern w:val="1"/>
          <w:sz w:val="24"/>
          <w:szCs w:val="24"/>
          <w:lang w:eastAsia="ar-SA"/>
        </w:rPr>
        <w:t xml:space="preserve">W realizacji programu wykorzystano dane o opadach ze 162 posterunków IMGW-PIB. </w:t>
      </w:r>
    </w:p>
    <w:p w14:paraId="791EEAF7" w14:textId="77777777" w:rsidR="005C6D45" w:rsidRPr="005E2831" w:rsidRDefault="005C6D45" w:rsidP="004B2168">
      <w:pPr>
        <w:autoSpaceDE w:val="0"/>
        <w:autoSpaceDN w:val="0"/>
        <w:adjustRightInd w:val="0"/>
        <w:spacing w:after="60" w:line="276" w:lineRule="auto"/>
        <w:ind w:firstLine="567"/>
        <w:jc w:val="both"/>
        <w:rPr>
          <w:rFonts w:ascii="Times New Roman" w:hAnsi="Times New Roman" w:cs="Times New Roman"/>
          <w:sz w:val="24"/>
          <w:szCs w:val="24"/>
        </w:rPr>
      </w:pPr>
      <w:r>
        <w:rPr>
          <w:rFonts w:ascii="Times New Roman" w:hAnsi="Times New Roman" w:cs="Times New Roman"/>
          <w:sz w:val="24"/>
          <w:szCs w:val="24"/>
        </w:rPr>
        <w:tab/>
      </w:r>
      <w:r w:rsidRPr="005E2831">
        <w:rPr>
          <w:rFonts w:ascii="Times New Roman" w:hAnsi="Times New Roman" w:cs="Times New Roman"/>
          <w:sz w:val="24"/>
          <w:szCs w:val="24"/>
        </w:rPr>
        <w:t>Ponadto, Główny Inspektor dokonał oceny depozycji zanieczyszczeń za 2021 rok, w tym przestrzennego rozkładu ładunków zanieczyszczeń wprowadzanych z opadami atmosferycznymi do podłoża w powiązaniu z kierunkami cyrkulacji mas powietrza. W ocenie wykazano, że największe obciążenie azotem ogólnym wystąpiło w województwie dolnośląskim, a najmniejsze – w województwie pomorskim. W przypadku fosforu ogólnego największe obciążenie wystąpiło również w województwie dolnośląskim, a najmniejsze – w województwie łódzkim (</w:t>
      </w:r>
      <w:r>
        <w:rPr>
          <w:rFonts w:ascii="Times New Roman" w:hAnsi="Times New Roman" w:cs="Times New Roman"/>
          <w:sz w:val="24"/>
          <w:szCs w:val="24"/>
        </w:rPr>
        <w:t>Ryc.</w:t>
      </w:r>
      <w:r w:rsidRPr="005E2831">
        <w:rPr>
          <w:rFonts w:ascii="Times New Roman" w:hAnsi="Times New Roman" w:cs="Times New Roman"/>
          <w:sz w:val="24"/>
          <w:szCs w:val="24"/>
        </w:rPr>
        <w:t xml:space="preserve"> 5).</w:t>
      </w:r>
    </w:p>
    <w:p w14:paraId="3228F24E" w14:textId="77777777" w:rsidR="005C6D45" w:rsidRPr="005E2831" w:rsidRDefault="005C6D45" w:rsidP="004B2168">
      <w:pPr>
        <w:autoSpaceDE w:val="0"/>
        <w:autoSpaceDN w:val="0"/>
        <w:adjustRightInd w:val="0"/>
        <w:spacing w:after="60" w:line="276" w:lineRule="auto"/>
        <w:ind w:firstLine="567"/>
        <w:jc w:val="both"/>
        <w:rPr>
          <w:rFonts w:ascii="Times New Roman" w:hAnsi="Times New Roman" w:cs="Times New Roman"/>
          <w:sz w:val="24"/>
          <w:szCs w:val="24"/>
        </w:rPr>
      </w:pPr>
      <w:r>
        <w:rPr>
          <w:rFonts w:ascii="Times New Roman" w:hAnsi="Times New Roman" w:cs="Times New Roman"/>
          <w:sz w:val="24"/>
          <w:szCs w:val="24"/>
        </w:rPr>
        <w:tab/>
      </w:r>
      <w:r w:rsidRPr="005E2831">
        <w:rPr>
          <w:rFonts w:ascii="Times New Roman" w:hAnsi="Times New Roman" w:cs="Times New Roman"/>
          <w:sz w:val="24"/>
          <w:szCs w:val="24"/>
        </w:rPr>
        <w:t>Depozycja związków biogennych, przyczyniających się do zmian warunków troficznych i stymulacji procesu eutrofizacji wód powierzchniowych w 2021 r., kształtowała się średnio na poziomie 9,21 kg/ha</w:t>
      </w:r>
      <w:r w:rsidRPr="005E2831">
        <w:rPr>
          <w:rFonts w:ascii="Times New Roman" w:hAnsi="Times New Roman" w:cs="Times New Roman"/>
          <w:sz w:val="24"/>
          <w:szCs w:val="24"/>
        </w:rPr>
        <w:sym w:font="Symbol" w:char="F0D7"/>
      </w:r>
      <w:r w:rsidRPr="005E2831">
        <w:rPr>
          <w:rFonts w:ascii="Times New Roman" w:hAnsi="Times New Roman" w:cs="Times New Roman"/>
          <w:sz w:val="24"/>
          <w:szCs w:val="24"/>
        </w:rPr>
        <w:t>rok azotu ogólnego (wartość wyższa niż w 2020 r.) i 0,253 kg/ha</w:t>
      </w:r>
      <w:r w:rsidRPr="005E2831">
        <w:rPr>
          <w:rFonts w:ascii="Times New Roman" w:hAnsi="Times New Roman" w:cs="Times New Roman"/>
          <w:sz w:val="24"/>
          <w:szCs w:val="24"/>
        </w:rPr>
        <w:sym w:font="Symbol" w:char="F0D7"/>
      </w:r>
      <w:r w:rsidRPr="005E2831">
        <w:rPr>
          <w:rFonts w:ascii="Times New Roman" w:hAnsi="Times New Roman" w:cs="Times New Roman"/>
          <w:sz w:val="24"/>
          <w:szCs w:val="24"/>
        </w:rPr>
        <w:t>rok fosforu ogólnego (wartość niższa niż w 2020 r.).</w:t>
      </w:r>
    </w:p>
    <w:p w14:paraId="4ABDC40B" w14:textId="67E45574" w:rsidR="00895F16" w:rsidRPr="007F400A" w:rsidRDefault="005C6D45" w:rsidP="004B2168">
      <w:pPr>
        <w:autoSpaceDE w:val="0"/>
        <w:autoSpaceDN w:val="0"/>
        <w:adjustRightInd w:val="0"/>
        <w:spacing w:after="0" w:line="300" w:lineRule="atLeast"/>
        <w:ind w:firstLine="567"/>
        <w:jc w:val="both"/>
        <w:rPr>
          <w:rFonts w:ascii="Times New Roman" w:hAnsi="Times New Roman"/>
          <w:sz w:val="24"/>
          <w:szCs w:val="24"/>
        </w:rPr>
      </w:pPr>
      <w:r>
        <w:rPr>
          <w:rFonts w:ascii="Times New Roman" w:hAnsi="Times New Roman" w:cs="Times New Roman"/>
          <w:sz w:val="24"/>
          <w:szCs w:val="24"/>
        </w:rPr>
        <w:tab/>
      </w:r>
      <w:r w:rsidRPr="005E2831">
        <w:rPr>
          <w:rFonts w:ascii="Times New Roman" w:hAnsi="Times New Roman" w:cs="Times New Roman"/>
          <w:sz w:val="24"/>
          <w:szCs w:val="24"/>
        </w:rPr>
        <w:t>Główny Inspektor udostępnił dane o depozycji zanieczyszczeń m.in. Czeskiemu Instytutowi Hydrometeorologicznemu na potrzeby oceny sytuacji w rejonie przygranicznym południowo-zachodniej Polski</w:t>
      </w:r>
      <w:r w:rsidR="00895F16" w:rsidRPr="007F400A">
        <w:rPr>
          <w:rFonts w:ascii="Times New Roman" w:hAnsi="Times New Roman"/>
          <w:sz w:val="24"/>
          <w:szCs w:val="24"/>
        </w:rPr>
        <w:t>.</w:t>
      </w:r>
    </w:p>
    <w:p w14:paraId="6D16A991" w14:textId="77777777" w:rsidR="00895F16" w:rsidRPr="007F400A" w:rsidRDefault="00895F16" w:rsidP="00895F16">
      <w:pPr>
        <w:autoSpaceDE w:val="0"/>
        <w:autoSpaceDN w:val="0"/>
        <w:adjustRightInd w:val="0"/>
        <w:spacing w:after="0" w:line="276" w:lineRule="auto"/>
        <w:rPr>
          <w:rFonts w:ascii="Times New Roman" w:hAnsi="Times New Roman"/>
          <w:sz w:val="24"/>
          <w:szCs w:val="24"/>
        </w:rPr>
      </w:pPr>
    </w:p>
    <w:p w14:paraId="25F8A7F4" w14:textId="77777777" w:rsidR="005C6D45" w:rsidRPr="005E2831" w:rsidRDefault="005C6D45" w:rsidP="00094027">
      <w:pPr>
        <w:autoSpaceDE w:val="0"/>
        <w:autoSpaceDN w:val="0"/>
        <w:adjustRightInd w:val="0"/>
        <w:spacing w:after="60" w:line="276" w:lineRule="auto"/>
        <w:ind w:left="708" w:firstLine="709"/>
        <w:jc w:val="center"/>
        <w:rPr>
          <w:rFonts w:ascii="Times New Roman" w:hAnsi="Times New Roman" w:cs="Times New Roman"/>
          <w:b/>
          <w:sz w:val="24"/>
          <w:szCs w:val="24"/>
        </w:rPr>
      </w:pPr>
      <w:r w:rsidRPr="005E2831">
        <w:rPr>
          <w:rFonts w:ascii="Times New Roman" w:hAnsi="Times New Roman" w:cs="Times New Roman"/>
          <w:b/>
          <w:sz w:val="24"/>
          <w:szCs w:val="24"/>
        </w:rPr>
        <w:t>azot ogólny [kg/ha]</w:t>
      </w:r>
      <w:r w:rsidRPr="005E2831">
        <w:rPr>
          <w:rFonts w:ascii="Times New Roman" w:hAnsi="Times New Roman" w:cs="Times New Roman"/>
          <w:b/>
          <w:sz w:val="24"/>
          <w:szCs w:val="24"/>
        </w:rPr>
        <w:tab/>
      </w:r>
      <w:r w:rsidRPr="005E2831">
        <w:rPr>
          <w:rFonts w:ascii="Times New Roman" w:hAnsi="Times New Roman" w:cs="Times New Roman"/>
          <w:b/>
          <w:sz w:val="24"/>
          <w:szCs w:val="24"/>
        </w:rPr>
        <w:tab/>
      </w:r>
      <w:r w:rsidRPr="005E2831">
        <w:rPr>
          <w:rFonts w:ascii="Times New Roman" w:hAnsi="Times New Roman" w:cs="Times New Roman"/>
          <w:b/>
          <w:sz w:val="24"/>
          <w:szCs w:val="24"/>
        </w:rPr>
        <w:tab/>
      </w:r>
      <w:r w:rsidRPr="005E2831">
        <w:rPr>
          <w:rFonts w:ascii="Times New Roman" w:hAnsi="Times New Roman" w:cs="Times New Roman"/>
          <w:b/>
          <w:sz w:val="24"/>
          <w:szCs w:val="24"/>
        </w:rPr>
        <w:tab/>
        <w:t>fosfor ogólny [kg/ha]</w:t>
      </w:r>
    </w:p>
    <w:p w14:paraId="4F500F43" w14:textId="0282A339" w:rsidR="005C6D45" w:rsidRPr="005E2831" w:rsidRDefault="005C6D45" w:rsidP="00094027">
      <w:pPr>
        <w:autoSpaceDE w:val="0"/>
        <w:autoSpaceDN w:val="0"/>
        <w:adjustRightInd w:val="0"/>
        <w:spacing w:after="60" w:line="276" w:lineRule="auto"/>
        <w:jc w:val="center"/>
        <w:rPr>
          <w:rFonts w:ascii="Times New Roman" w:hAnsi="Times New Roman" w:cs="Times New Roman"/>
          <w:b/>
          <w:sz w:val="24"/>
          <w:szCs w:val="24"/>
        </w:rPr>
      </w:pPr>
      <w:r w:rsidRPr="005E2831">
        <w:rPr>
          <w:rFonts w:ascii="Times New Roman" w:hAnsi="Times New Roman" w:cs="Times New Roman"/>
          <w:noProof/>
          <w:lang w:eastAsia="pl-PL"/>
        </w:rPr>
        <w:lastRenderedPageBreak/>
        <w:drawing>
          <wp:inline distT="0" distB="0" distL="0" distR="0" wp14:anchorId="6814817D" wp14:editId="4AB7D7D2">
            <wp:extent cx="2857500" cy="2847975"/>
            <wp:effectExtent l="0" t="0" r="0" b="9525"/>
            <wp:docPr id="131" name="Obraz 131" descr="Ryc. 5. Rozkład przestrzenny rocznych ładunków azotu ogólnego i fosforu ogólnego deponowanych wraz z opadami na obszarze Polski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Obraz 131" descr="Ryc. 5. Rozkład przestrzenny rocznych ładunków azotu ogólnego i fosforu ogólnego deponowanych wraz z opadami na obszarze Polski w 2021 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57500" cy="2847975"/>
                    </a:xfrm>
                    <a:prstGeom prst="rect">
                      <a:avLst/>
                    </a:prstGeom>
                    <a:noFill/>
                    <a:ln>
                      <a:noFill/>
                    </a:ln>
                  </pic:spPr>
                </pic:pic>
              </a:graphicData>
            </a:graphic>
          </wp:inline>
        </w:drawing>
      </w:r>
      <w:r w:rsidRPr="005E2831">
        <w:rPr>
          <w:rFonts w:ascii="Times New Roman" w:hAnsi="Times New Roman" w:cs="Times New Roman"/>
          <w:noProof/>
          <w:lang w:eastAsia="pl-PL"/>
        </w:rPr>
        <w:drawing>
          <wp:inline distT="0" distB="0" distL="0" distR="0" wp14:anchorId="4145C470" wp14:editId="6990C330">
            <wp:extent cx="2857500" cy="2847975"/>
            <wp:effectExtent l="0" t="0" r="0" b="9525"/>
            <wp:docPr id="132" name="Obraz 132" descr="Ryc. 5. Rozkład przestrzenny rocznych ładunków azotu ogólnego i fosforu ogólnego deponowanych wraz z opadami na obszarze Polski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Obraz 132" descr="Ryc. 5. Rozkład przestrzenny rocznych ładunków azotu ogólnego i fosforu ogólnego deponowanych wraz z opadami na obszarze Polski w 2021 r."/>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57500" cy="2847975"/>
                    </a:xfrm>
                    <a:prstGeom prst="rect">
                      <a:avLst/>
                    </a:prstGeom>
                    <a:noFill/>
                    <a:ln>
                      <a:noFill/>
                    </a:ln>
                  </pic:spPr>
                </pic:pic>
              </a:graphicData>
            </a:graphic>
          </wp:inline>
        </w:drawing>
      </w:r>
    </w:p>
    <w:p w14:paraId="4D664C17" w14:textId="68BC60CD" w:rsidR="005C6D45" w:rsidRPr="005E2831" w:rsidRDefault="005C6D45" w:rsidP="00094027">
      <w:pPr>
        <w:autoSpaceDE w:val="0"/>
        <w:autoSpaceDN w:val="0"/>
        <w:adjustRightInd w:val="0"/>
        <w:spacing w:after="60" w:line="276" w:lineRule="auto"/>
        <w:jc w:val="center"/>
        <w:rPr>
          <w:rFonts w:ascii="Times New Roman" w:hAnsi="Times New Roman" w:cs="Times New Roman"/>
          <w:sz w:val="20"/>
          <w:szCs w:val="20"/>
        </w:rPr>
      </w:pPr>
      <w:r w:rsidRPr="005E2831">
        <w:rPr>
          <w:rFonts w:ascii="Times New Roman" w:hAnsi="Times New Roman" w:cs="Times New Roman"/>
          <w:noProof/>
          <w:sz w:val="20"/>
          <w:szCs w:val="20"/>
          <w:lang w:eastAsia="pl-PL"/>
        </w:rPr>
        <mc:AlternateContent>
          <mc:Choice Requires="wps">
            <w:drawing>
              <wp:anchor distT="0" distB="0" distL="114300" distR="114300" simplePos="0" relativeHeight="251748352" behindDoc="0" locked="0" layoutInCell="1" allowOverlap="1" wp14:anchorId="58324D4D" wp14:editId="450331EA">
                <wp:simplePos x="0" y="0"/>
                <wp:positionH relativeFrom="column">
                  <wp:posOffset>113665</wp:posOffset>
                </wp:positionH>
                <wp:positionV relativeFrom="paragraph">
                  <wp:posOffset>47625</wp:posOffset>
                </wp:positionV>
                <wp:extent cx="102870" cy="87630"/>
                <wp:effectExtent l="19050" t="19050" r="30480" b="26670"/>
                <wp:wrapNone/>
                <wp:docPr id="128" name="Trójkąt równoramienny 1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 cy="87630"/>
                        </a:xfrm>
                        <a:prstGeom prst="triangle">
                          <a:avLst>
                            <a:gd name="adj" fmla="val 52468"/>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ED3985"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ójkąt równoramienny 128" o:spid="_x0000_s1026" type="#_x0000_t5" alt="&quot;&quot;" style="position:absolute;margin-left:8.95pt;margin-top:3.75pt;width:8.1pt;height:6.9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6iRSwIAAH0EAAAOAAAAZHJzL2Uyb0RvYy54bWysVNtuEzEQfUfiHyy/002WpJdVN1XVEoRU&#10;oFLLB0xsb9atb4ydbMI7X8QnwIcx601DCjwh8mDN7Mwcz5zjyfnFxhq2Vhi1dzUfH404U054qd2y&#10;5p/u569OOYsJnATjnar5VkV+MXv54rwLlSp9641UyAjExaoLNW9TClVRRNEqC/HIB+Uo2Hi0kMjF&#10;ZSEROkK3pihHo+Oi8ygDeqFipK/XQ5DPMn7TKJE+Nk1UiZmaU28pn5jPRX8Ws3Oolgih1WLXBvxD&#10;Fxa0o0v3UNeQgK1Q/wFltUAffZOOhLeFbxotVJ6BphmPfpvmroWg8ixETgx7muL/gxUf1rfItCTt&#10;SpLKgSWR7vH7t4fHH18TI6NzHsFq5dyW9TnEWBdiRYV34Rb7mWO48eIxMuevWnBLdYnou1aBpD7H&#10;fX7xrKB3IpWyRffeS7oOVsln8jYN2h6QaGGbrNF2r5HaJCbo43hUnp6QkoJCpyfHr7OEBVRPtQFj&#10;equ8Zb1R84SaWjI9i1DB+iamrJLcTQrygbPGGtJ8DYZNy8lxnpAAd8lkPUHmWb3Rcq6NyQ4uF1cG&#10;GZXWfD4f0S+PS5QcphnHupqfTctp7uJZLB5C9AB/h7A60ZoYbWnofRJUPclvnMyPOIE2g00tG7dj&#10;vSd6EGzh5ZZIRz/sAO0sGa3HL5x19P5rHj+vABVn5p0j4c7Gk0m/MNmZTE9KcvAwsjiMgBMERXRz&#10;NphXaViyVUC9bOmmcZ7d+UsSu9Hp6VUMXe2apTdO1rMlOvRz1q9/jdlPAAAA//8DAFBLAwQUAAYA&#10;CAAAACEA8URC2NoAAAAGAQAADwAAAGRycy9kb3ducmV2LnhtbEyOTU/DMBBE70j8B2uRuFHnA1oI&#10;cSoE9FhEC+3ZjbdxRLyOYrdN/32XExxHM3rzyvnoOnHEIbSeFKSTBARS7U1LjYLvr8XdI4gQNRnd&#10;eUIFZwwwr66vSl0Yf6IVHtexEQyhUGgFNsa+kDLUFp0OE98jcbf3g9OR49BIM+gTw10nsySZSqdb&#10;4gere3y1WP+sD07BZmkpZPlnbrfL971ZbD829g2Vur0ZX55BRBzj3xh+9VkdKnba+QOZIDrOsyde&#10;Kpg9gOA6v09B7BRkaQ6yKuV//eoCAAD//wMAUEsBAi0AFAAGAAgAAAAhALaDOJL+AAAA4QEAABMA&#10;AAAAAAAAAAAAAAAAAAAAAFtDb250ZW50X1R5cGVzXS54bWxQSwECLQAUAAYACAAAACEAOP0h/9YA&#10;AACUAQAACwAAAAAAAAAAAAAAAAAvAQAAX3JlbHMvLnJlbHNQSwECLQAUAAYACAAAACEAVK+okUsC&#10;AAB9BAAADgAAAAAAAAAAAAAAAAAuAgAAZHJzL2Uyb0RvYy54bWxQSwECLQAUAAYACAAAACEA8URC&#10;2NoAAAAGAQAADwAAAAAAAAAAAAAAAAClBAAAZHJzL2Rvd25yZXYueG1sUEsFBgAAAAAEAAQA8wAA&#10;AKwFAAAAAA==&#10;" adj="11333" fillcolor="red"/>
            </w:pict>
          </mc:Fallback>
        </mc:AlternateContent>
      </w:r>
      <w:r w:rsidRPr="005E2831">
        <w:rPr>
          <w:rFonts w:ascii="Times New Roman" w:hAnsi="Times New Roman" w:cs="Times New Roman"/>
          <w:sz w:val="20"/>
          <w:szCs w:val="20"/>
        </w:rPr>
        <w:t>- stacja monitoringu chemizmu opadów atmosferycznych</w:t>
      </w:r>
    </w:p>
    <w:p w14:paraId="6881E485" w14:textId="77777777" w:rsidR="005C6D45" w:rsidRPr="005E2831" w:rsidRDefault="005C6D45" w:rsidP="005C6D45">
      <w:pPr>
        <w:spacing w:after="60" w:line="240" w:lineRule="auto"/>
        <w:jc w:val="both"/>
        <w:rPr>
          <w:rFonts w:ascii="Times New Roman" w:hAnsi="Times New Roman" w:cs="Times New Roman"/>
          <w:b/>
        </w:rPr>
      </w:pPr>
    </w:p>
    <w:p w14:paraId="0F209DD9" w14:textId="67DAA02E" w:rsidR="00895F16" w:rsidRPr="007F400A" w:rsidRDefault="005C6D45" w:rsidP="005C6D45">
      <w:pPr>
        <w:spacing w:after="0" w:line="240" w:lineRule="auto"/>
        <w:jc w:val="both"/>
        <w:rPr>
          <w:rFonts w:ascii="Times New Roman" w:hAnsi="Times New Roman"/>
          <w:b/>
        </w:rPr>
      </w:pPr>
      <w:r>
        <w:rPr>
          <w:rFonts w:ascii="Times New Roman" w:hAnsi="Times New Roman" w:cs="Times New Roman"/>
          <w:b/>
        </w:rPr>
        <w:t>Ryc.</w:t>
      </w:r>
      <w:r w:rsidRPr="005E2831">
        <w:rPr>
          <w:rFonts w:ascii="Times New Roman" w:hAnsi="Times New Roman" w:cs="Times New Roman"/>
          <w:b/>
        </w:rPr>
        <w:t xml:space="preserve"> 5. Rozkład przestrzenny rocznych ładunków azotu ogólnego i fosforu ogólnego deponowanych wraz z opadami na obszarze Polski w 2021 r.</w:t>
      </w:r>
    </w:p>
    <w:p w14:paraId="71543491" w14:textId="77777777" w:rsidR="00895F16" w:rsidRPr="007F400A" w:rsidRDefault="00895F16" w:rsidP="00895F16">
      <w:pPr>
        <w:spacing w:after="0" w:line="240" w:lineRule="auto"/>
        <w:rPr>
          <w:rFonts w:ascii="Times New Roman" w:hAnsi="Times New Roman"/>
          <w:b/>
        </w:rPr>
      </w:pPr>
    </w:p>
    <w:p w14:paraId="26EDA35F" w14:textId="77777777" w:rsidR="005C6D45" w:rsidRPr="005E2831" w:rsidRDefault="005C6D45" w:rsidP="004B2168">
      <w:pPr>
        <w:autoSpaceDE w:val="0"/>
        <w:autoSpaceDN w:val="0"/>
        <w:adjustRightInd w:val="0"/>
        <w:spacing w:after="60"/>
        <w:ind w:firstLine="567"/>
        <w:jc w:val="both"/>
        <w:rPr>
          <w:rFonts w:ascii="Times New Roman" w:eastAsia="Times New Roman" w:hAnsi="Times New Roman" w:cs="Times New Roman"/>
          <w:sz w:val="24"/>
          <w:szCs w:val="24"/>
          <w:lang w:eastAsia="pl-PL"/>
        </w:rPr>
      </w:pPr>
      <w:r w:rsidRPr="005E2831">
        <w:rPr>
          <w:rFonts w:ascii="Times New Roman" w:hAnsi="Times New Roman" w:cs="Times New Roman"/>
          <w:sz w:val="24"/>
          <w:szCs w:val="24"/>
        </w:rPr>
        <w:t xml:space="preserve">Główny Inspektor w 2022 r. realizował projekt pt. </w:t>
      </w:r>
      <w:r w:rsidRPr="005E2831">
        <w:rPr>
          <w:rFonts w:ascii="Times New Roman" w:eastAsia="Times New Roman" w:hAnsi="Times New Roman" w:cs="Times New Roman"/>
          <w:bCs/>
          <w:sz w:val="24"/>
          <w:szCs w:val="24"/>
          <w:lang w:eastAsia="pl-PL"/>
        </w:rPr>
        <w:t>„</w:t>
      </w:r>
      <w:r w:rsidRPr="005E2831">
        <w:rPr>
          <w:rFonts w:ascii="Times New Roman" w:eastAsia="Times New Roman" w:hAnsi="Times New Roman" w:cs="Times New Roman"/>
          <w:bCs/>
          <w:iCs/>
          <w:sz w:val="24"/>
          <w:szCs w:val="24"/>
          <w:lang w:eastAsia="pl-PL"/>
        </w:rPr>
        <w:t>Wzmocnienie oceny depozycji atmosferycznej w Polsce w oparciu o doświadczenia norweskie</w:t>
      </w:r>
      <w:r w:rsidRPr="005E2831">
        <w:rPr>
          <w:rFonts w:ascii="Times New Roman" w:eastAsia="Times New Roman" w:hAnsi="Times New Roman" w:cs="Times New Roman"/>
          <w:bCs/>
          <w:sz w:val="24"/>
          <w:szCs w:val="24"/>
          <w:lang w:eastAsia="pl-PL"/>
        </w:rPr>
        <w:t>”</w:t>
      </w:r>
      <w:r w:rsidRPr="005E2831">
        <w:rPr>
          <w:rFonts w:ascii="Times New Roman" w:eastAsia="Times New Roman" w:hAnsi="Times New Roman" w:cs="Times New Roman"/>
          <w:sz w:val="24"/>
          <w:szCs w:val="24"/>
          <w:lang w:eastAsia="pl-PL"/>
        </w:rPr>
        <w:t xml:space="preserve"> w ramach programu „Środowisko, Energia i Zmiany Klimatu”, </w:t>
      </w:r>
      <w:r w:rsidRPr="005E2831">
        <w:rPr>
          <w:rFonts w:ascii="Times New Roman" w:hAnsi="Times New Roman" w:cs="Times New Roman"/>
          <w:bCs/>
          <w:sz w:val="24"/>
          <w:szCs w:val="24"/>
        </w:rPr>
        <w:t>obszar</w:t>
      </w:r>
      <w:r>
        <w:rPr>
          <w:rFonts w:ascii="Times New Roman" w:hAnsi="Times New Roman" w:cs="Times New Roman"/>
          <w:bCs/>
          <w:sz w:val="24"/>
          <w:szCs w:val="24"/>
        </w:rPr>
        <w:t>u</w:t>
      </w:r>
      <w:r w:rsidRPr="005E2831">
        <w:rPr>
          <w:rFonts w:ascii="Times New Roman" w:hAnsi="Times New Roman" w:cs="Times New Roman"/>
          <w:bCs/>
          <w:sz w:val="24"/>
          <w:szCs w:val="24"/>
        </w:rPr>
        <w:t xml:space="preserve"> „Łagodzenie zmian klimatu i </w:t>
      </w:r>
      <w:r w:rsidRPr="005E2831">
        <w:rPr>
          <w:rFonts w:ascii="Times New Roman" w:hAnsi="Times New Roman" w:cs="Times New Roman"/>
          <w:sz w:val="24"/>
          <w:szCs w:val="24"/>
          <w:shd w:val="clear" w:color="auto" w:fill="FFFFFF"/>
        </w:rPr>
        <w:t>adaptacja do ich skutków</w:t>
      </w:r>
      <w:r w:rsidRPr="005E2831">
        <w:rPr>
          <w:rFonts w:ascii="Times New Roman" w:hAnsi="Times New Roman" w:cs="Times New Roman"/>
          <w:bCs/>
          <w:sz w:val="24"/>
          <w:szCs w:val="24"/>
        </w:rPr>
        <w:t xml:space="preserve">”, </w:t>
      </w:r>
      <w:r w:rsidRPr="005E2831">
        <w:rPr>
          <w:rFonts w:ascii="Times New Roman" w:eastAsia="Times New Roman" w:hAnsi="Times New Roman" w:cs="Times New Roman"/>
          <w:sz w:val="24"/>
          <w:szCs w:val="24"/>
          <w:lang w:eastAsia="pl-PL"/>
        </w:rPr>
        <w:t xml:space="preserve">finansowany ze środków Mechanizmu Finansowego Europejskiego Obszaru Gospodarczego 2014-2021 (MF EOG 2014-2021). </w:t>
      </w:r>
      <w:r w:rsidRPr="005E2831">
        <w:rPr>
          <w:rFonts w:ascii="Times New Roman" w:hAnsi="Times New Roman" w:cs="Times New Roman"/>
          <w:sz w:val="24"/>
          <w:szCs w:val="24"/>
        </w:rPr>
        <w:t>Projekt ten jest realizowany we współpracy z Norweskim Instytutem Badań Powietrza (NILU).</w:t>
      </w:r>
    </w:p>
    <w:p w14:paraId="0F61D57E" w14:textId="16977916" w:rsidR="00895F16" w:rsidRPr="007F400A" w:rsidRDefault="005C6D45" w:rsidP="004B2168">
      <w:pPr>
        <w:spacing w:after="0" w:line="300" w:lineRule="atLeast"/>
        <w:jc w:val="both"/>
        <w:rPr>
          <w:rFonts w:ascii="Times New Roman" w:hAnsi="Times New Roman"/>
          <w:sz w:val="24"/>
          <w:szCs w:val="24"/>
        </w:rPr>
      </w:pPr>
      <w:r w:rsidRPr="005E2831">
        <w:rPr>
          <w:rFonts w:ascii="Times New Roman" w:hAnsi="Times New Roman" w:cs="Times New Roman"/>
          <w:sz w:val="24"/>
          <w:szCs w:val="24"/>
        </w:rPr>
        <w:t>W ramach projektu w 2022 r</w:t>
      </w:r>
      <w:r w:rsidR="00895F16" w:rsidRPr="007F400A">
        <w:rPr>
          <w:rFonts w:ascii="Times New Roman" w:hAnsi="Times New Roman"/>
          <w:sz w:val="24"/>
          <w:szCs w:val="24"/>
        </w:rPr>
        <w:t>.</w:t>
      </w:r>
      <w:r>
        <w:rPr>
          <w:rFonts w:ascii="Times New Roman" w:hAnsi="Times New Roman"/>
          <w:sz w:val="24"/>
          <w:szCs w:val="24"/>
        </w:rPr>
        <w:t>:</w:t>
      </w:r>
      <w:r w:rsidR="00895F16" w:rsidRPr="007F400A">
        <w:rPr>
          <w:rFonts w:ascii="Times New Roman" w:hAnsi="Times New Roman"/>
          <w:sz w:val="24"/>
          <w:szCs w:val="24"/>
        </w:rPr>
        <w:t xml:space="preserve"> </w:t>
      </w:r>
    </w:p>
    <w:p w14:paraId="112DE7EA" w14:textId="77777777" w:rsidR="005C6D45" w:rsidRPr="005E2831" w:rsidRDefault="005C6D45" w:rsidP="00D34F97">
      <w:pPr>
        <w:pStyle w:val="Akapitzlist"/>
        <w:numPr>
          <w:ilvl w:val="0"/>
          <w:numId w:val="204"/>
        </w:numPr>
        <w:spacing w:after="60" w:line="300" w:lineRule="atLeast"/>
        <w:ind w:left="721" w:hanging="437"/>
        <w:jc w:val="both"/>
        <w:rPr>
          <w:sz w:val="24"/>
          <w:szCs w:val="24"/>
        </w:rPr>
      </w:pPr>
      <w:r w:rsidRPr="005E2831">
        <w:rPr>
          <w:sz w:val="24"/>
          <w:szCs w:val="24"/>
        </w:rPr>
        <w:t>opracowano koncepcję modernizacji i optymalizacji pomiarów depozycji w Polsce,</w:t>
      </w:r>
    </w:p>
    <w:p w14:paraId="2926C331" w14:textId="77777777" w:rsidR="005C6D45" w:rsidRPr="005E2831" w:rsidRDefault="005C6D45" w:rsidP="00D34F97">
      <w:pPr>
        <w:pStyle w:val="Akapitzlist"/>
        <w:numPr>
          <w:ilvl w:val="0"/>
          <w:numId w:val="204"/>
        </w:numPr>
        <w:spacing w:after="60" w:line="300" w:lineRule="atLeast"/>
        <w:ind w:hanging="436"/>
        <w:jc w:val="both"/>
        <w:rPr>
          <w:sz w:val="24"/>
          <w:szCs w:val="24"/>
        </w:rPr>
      </w:pPr>
      <w:r w:rsidRPr="005E2831">
        <w:rPr>
          <w:sz w:val="24"/>
          <w:szCs w:val="24"/>
        </w:rPr>
        <w:t xml:space="preserve">realizowano prace dotyczące koncepcji uruchomienia systemu zapewnienia jakości/ kontroli jakości (QA/QC) do pomiarów depozycji, </w:t>
      </w:r>
    </w:p>
    <w:p w14:paraId="4F1AF7B5" w14:textId="77777777" w:rsidR="005C6D45" w:rsidRPr="005E2831" w:rsidRDefault="005C6D45" w:rsidP="00D34F97">
      <w:pPr>
        <w:pStyle w:val="Akapitzlist"/>
        <w:numPr>
          <w:ilvl w:val="0"/>
          <w:numId w:val="204"/>
        </w:numPr>
        <w:spacing w:after="60" w:line="300" w:lineRule="atLeast"/>
        <w:ind w:hanging="436"/>
        <w:jc w:val="both"/>
        <w:rPr>
          <w:sz w:val="24"/>
          <w:szCs w:val="24"/>
        </w:rPr>
      </w:pPr>
      <w:r w:rsidRPr="005E2831">
        <w:rPr>
          <w:sz w:val="24"/>
          <w:szCs w:val="24"/>
        </w:rPr>
        <w:t xml:space="preserve">rozpoczęto prace w zakresie opracowania wytycznych do wykonywania oceny depozycji w atmosferze, w tym propozycji właściwej techniki modelowania depozycji, </w:t>
      </w:r>
    </w:p>
    <w:p w14:paraId="589DAA7A" w14:textId="77777777" w:rsidR="005C6D45" w:rsidRPr="005E2831" w:rsidRDefault="005C6D45" w:rsidP="00D34F97">
      <w:pPr>
        <w:pStyle w:val="Akapitzlist"/>
        <w:numPr>
          <w:ilvl w:val="0"/>
          <w:numId w:val="204"/>
        </w:numPr>
        <w:spacing w:after="60" w:line="300" w:lineRule="atLeast"/>
        <w:ind w:hanging="436"/>
        <w:jc w:val="both"/>
        <w:rPr>
          <w:sz w:val="24"/>
          <w:szCs w:val="24"/>
        </w:rPr>
      </w:pPr>
      <w:r w:rsidRPr="005E2831">
        <w:rPr>
          <w:sz w:val="24"/>
          <w:szCs w:val="24"/>
        </w:rPr>
        <w:t>uruchomiono postępowanie przetargowe na zakup urządzeń do pomiarów depozycji atmosferycznej,</w:t>
      </w:r>
    </w:p>
    <w:p w14:paraId="40740ED9" w14:textId="77777777" w:rsidR="005C6D45" w:rsidRPr="005C6D45" w:rsidRDefault="005C6D45" w:rsidP="00D34F97">
      <w:pPr>
        <w:pStyle w:val="Akapitzlist"/>
        <w:numPr>
          <w:ilvl w:val="0"/>
          <w:numId w:val="204"/>
        </w:numPr>
        <w:autoSpaceDE w:val="0"/>
        <w:autoSpaceDN w:val="0"/>
        <w:adjustRightInd w:val="0"/>
        <w:spacing w:after="60" w:line="276" w:lineRule="auto"/>
        <w:ind w:hanging="436"/>
        <w:jc w:val="both"/>
        <w:rPr>
          <w:sz w:val="24"/>
          <w:szCs w:val="24"/>
        </w:rPr>
      </w:pPr>
      <w:r w:rsidRPr="005E2831">
        <w:rPr>
          <w:sz w:val="24"/>
          <w:szCs w:val="24"/>
        </w:rPr>
        <w:t>na bieżąco odbywały się uzgodnienia/ konsultacje merytoryczne, w tym spotkania robocze z partnerem norweskim (NILU), związane z realizacją poszczególnych działań w projekcie,</w:t>
      </w:r>
      <w:r w:rsidRPr="005E2831">
        <w:rPr>
          <w:sz w:val="24"/>
          <w:szCs w:val="24"/>
          <w:shd w:val="clear" w:color="auto" w:fill="FFFFFF"/>
        </w:rPr>
        <w:t xml:space="preserve"> </w:t>
      </w:r>
    </w:p>
    <w:p w14:paraId="071C010D" w14:textId="73B9E8C1" w:rsidR="00895F16" w:rsidRPr="005C6D45" w:rsidRDefault="005C6D45" w:rsidP="00D34F97">
      <w:pPr>
        <w:pStyle w:val="Akapitzlist"/>
        <w:numPr>
          <w:ilvl w:val="0"/>
          <w:numId w:val="204"/>
        </w:numPr>
        <w:autoSpaceDE w:val="0"/>
        <w:autoSpaceDN w:val="0"/>
        <w:adjustRightInd w:val="0"/>
        <w:spacing w:after="60" w:line="276" w:lineRule="auto"/>
        <w:ind w:hanging="436"/>
        <w:jc w:val="both"/>
        <w:rPr>
          <w:sz w:val="24"/>
          <w:szCs w:val="24"/>
        </w:rPr>
      </w:pPr>
      <w:r w:rsidRPr="005C6D45">
        <w:rPr>
          <w:sz w:val="24"/>
          <w:szCs w:val="24"/>
        </w:rPr>
        <w:t>zorganizowano wizytę studyjną pracowników GIOŚ w NILU, w trakcie której uczestnicy zapoznali się z systemem pomiarów i ocen depozycji atmosferycznej, funkcjonującym w Norwegii</w:t>
      </w:r>
      <w:r w:rsidR="00895F16" w:rsidRPr="005C6D45">
        <w:rPr>
          <w:sz w:val="24"/>
          <w:szCs w:val="24"/>
        </w:rPr>
        <w:t xml:space="preserve">. </w:t>
      </w:r>
    </w:p>
    <w:p w14:paraId="5860FEB4" w14:textId="4B7CFD59" w:rsidR="00895F16" w:rsidRPr="007F400A" w:rsidRDefault="005C6D45" w:rsidP="00895F16">
      <w:pPr>
        <w:autoSpaceDE w:val="0"/>
        <w:autoSpaceDN w:val="0"/>
        <w:adjustRightInd w:val="0"/>
        <w:spacing w:after="0" w:line="300" w:lineRule="atLeast"/>
        <w:ind w:firstLine="567"/>
        <w:jc w:val="both"/>
        <w:rPr>
          <w:color w:val="0563C1"/>
          <w:u w:val="single"/>
          <w:shd w:val="clear" w:color="auto" w:fill="FFFFFF"/>
        </w:rPr>
      </w:pPr>
      <w:r w:rsidRPr="005E2831">
        <w:rPr>
          <w:rFonts w:ascii="Times New Roman" w:hAnsi="Times New Roman" w:cs="Times New Roman"/>
          <w:sz w:val="24"/>
          <w:szCs w:val="24"/>
        </w:rPr>
        <w:t>Wszystkie informacje związane z realizacją projektu zostały udostępnione na stronie internetowej projektu</w:t>
      </w:r>
      <w:r w:rsidRPr="005E2831">
        <w:rPr>
          <w:rFonts w:ascii="Times New Roman" w:hAnsi="Times New Roman" w:cs="Times New Roman"/>
          <w:sz w:val="24"/>
          <w:szCs w:val="24"/>
          <w:shd w:val="clear" w:color="auto" w:fill="FFFFFF"/>
        </w:rPr>
        <w:t xml:space="preserve"> pod adresem: </w:t>
      </w:r>
      <w:hyperlink r:id="rId109" w:history="1">
        <w:r w:rsidRPr="005E2831">
          <w:rPr>
            <w:rFonts w:ascii="Times New Roman" w:hAnsi="Times New Roman" w:cs="Times New Roman"/>
            <w:sz w:val="24"/>
            <w:szCs w:val="24"/>
            <w:u w:val="single"/>
            <w:shd w:val="clear" w:color="auto" w:fill="FFFFFF"/>
          </w:rPr>
          <w:t>https://mfeog.gios.gov.pl/index.php/pl/</w:t>
        </w:r>
      </w:hyperlink>
      <w:r w:rsidRPr="005E2831">
        <w:rPr>
          <w:rFonts w:ascii="Times New Roman" w:hAnsi="Times New Roman" w:cs="Times New Roman"/>
          <w:sz w:val="24"/>
          <w:szCs w:val="24"/>
          <w:u w:val="single"/>
          <w:shd w:val="clear" w:color="auto" w:fill="FFFFFF"/>
        </w:rPr>
        <w:t>.</w:t>
      </w:r>
      <w:r w:rsidRPr="005E2831">
        <w:rPr>
          <w:rFonts w:ascii="Times New Roman" w:hAnsi="Times New Roman" w:cs="Times New Roman"/>
          <w:sz w:val="24"/>
          <w:szCs w:val="24"/>
        </w:rPr>
        <w:t xml:space="preserve"> Na stronie projektu został również zamieszczony </w:t>
      </w:r>
      <w:r w:rsidRPr="005E2831">
        <w:rPr>
          <w:rFonts w:ascii="Times New Roman" w:hAnsi="Times New Roman" w:cs="Times New Roman"/>
          <w:sz w:val="24"/>
          <w:szCs w:val="24"/>
          <w:shd w:val="clear" w:color="auto" w:fill="FFFFFF"/>
        </w:rPr>
        <w:t xml:space="preserve">biuletyn informacyjny pod adresem: </w:t>
      </w:r>
      <w:hyperlink r:id="rId110" w:history="1">
        <w:r w:rsidRPr="005E2831">
          <w:rPr>
            <w:rFonts w:ascii="Times New Roman" w:hAnsi="Times New Roman" w:cs="Times New Roman"/>
            <w:sz w:val="24"/>
            <w:szCs w:val="24"/>
            <w:u w:val="single"/>
            <w:shd w:val="clear" w:color="auto" w:fill="FFFFFF"/>
          </w:rPr>
          <w:t>https://mfeog.gios.gov.pl/index.php/pl/publikacje/biuletyny</w:t>
        </w:r>
      </w:hyperlink>
      <w:r w:rsidRPr="005E2831">
        <w:rPr>
          <w:rFonts w:ascii="Times New Roman" w:hAnsi="Times New Roman" w:cs="Times New Roman"/>
          <w:sz w:val="24"/>
          <w:szCs w:val="24"/>
          <w:shd w:val="clear" w:color="auto" w:fill="FFFFFF"/>
        </w:rPr>
        <w:t xml:space="preserve">. </w:t>
      </w:r>
      <w:r w:rsidRPr="005E2831">
        <w:rPr>
          <w:rFonts w:ascii="Times New Roman" w:hAnsi="Times New Roman" w:cs="Times New Roman"/>
          <w:sz w:val="24"/>
          <w:szCs w:val="24"/>
        </w:rPr>
        <w:t>W celu ułatwienia dostępu do</w:t>
      </w:r>
      <w:r>
        <w:rPr>
          <w:rFonts w:ascii="Times New Roman" w:hAnsi="Times New Roman" w:cs="Times New Roman"/>
          <w:sz w:val="24"/>
          <w:szCs w:val="24"/>
        </w:rPr>
        <w:t> </w:t>
      </w:r>
      <w:r w:rsidRPr="005E2831">
        <w:rPr>
          <w:rFonts w:ascii="Times New Roman" w:hAnsi="Times New Roman" w:cs="Times New Roman"/>
          <w:sz w:val="24"/>
          <w:szCs w:val="24"/>
        </w:rPr>
        <w:t>informacji o projekcie na portalu GIOŚ „Jakość Powietrza” utworzono zakładkę „Projekty”</w:t>
      </w:r>
      <w:r w:rsidR="00895F16" w:rsidRPr="007F400A">
        <w:rPr>
          <w:rFonts w:ascii="Times New Roman" w:hAnsi="Times New Roman"/>
          <w:sz w:val="24"/>
          <w:szCs w:val="24"/>
          <w:shd w:val="clear" w:color="auto" w:fill="FFFFFF"/>
        </w:rPr>
        <w:t xml:space="preserve">. </w:t>
      </w:r>
    </w:p>
    <w:p w14:paraId="1C1814F6" w14:textId="77777777" w:rsidR="00895F16" w:rsidRPr="007F400A" w:rsidRDefault="00895F16" w:rsidP="00895F16">
      <w:pPr>
        <w:autoSpaceDE w:val="0"/>
        <w:autoSpaceDN w:val="0"/>
        <w:adjustRightInd w:val="0"/>
        <w:spacing w:after="0" w:line="300" w:lineRule="atLeast"/>
        <w:ind w:firstLine="709"/>
        <w:jc w:val="both"/>
        <w:rPr>
          <w:rFonts w:ascii="Times New Roman" w:hAnsi="Times New Roman" w:cs="Times New Roman"/>
          <w:sz w:val="24"/>
          <w:szCs w:val="24"/>
        </w:rPr>
      </w:pPr>
    </w:p>
    <w:p w14:paraId="62E8E57A" w14:textId="77777777" w:rsidR="00895F16" w:rsidRPr="007F400A" w:rsidRDefault="00895F16" w:rsidP="00895F16">
      <w:pPr>
        <w:spacing w:after="120" w:line="300" w:lineRule="atLeast"/>
        <w:jc w:val="both"/>
        <w:outlineLvl w:val="0"/>
        <w:rPr>
          <w:rFonts w:ascii="Times New Roman" w:eastAsia="Calibri" w:hAnsi="Times New Roman" w:cs="Times New Roman"/>
          <w:b/>
          <w:sz w:val="24"/>
          <w:szCs w:val="24"/>
          <w:lang w:val="x-none" w:eastAsia="pl-PL"/>
        </w:rPr>
      </w:pPr>
      <w:bookmarkStart w:id="387" w:name="_Toc135935703"/>
      <w:r w:rsidRPr="007F400A">
        <w:rPr>
          <w:rFonts w:ascii="Times New Roman" w:eastAsia="Calibri" w:hAnsi="Times New Roman" w:cs="Times New Roman"/>
          <w:b/>
          <w:sz w:val="24"/>
          <w:szCs w:val="24"/>
          <w:lang w:eastAsia="pl-PL"/>
        </w:rPr>
        <w:t xml:space="preserve">2.9 </w:t>
      </w:r>
      <w:r w:rsidRPr="007F400A">
        <w:rPr>
          <w:rFonts w:ascii="Times New Roman" w:eastAsia="Calibri" w:hAnsi="Times New Roman" w:cs="Times New Roman"/>
          <w:b/>
          <w:sz w:val="24"/>
          <w:szCs w:val="24"/>
          <w:lang w:val="x-none" w:eastAsia="pl-PL"/>
        </w:rPr>
        <w:t xml:space="preserve">Prezentowanie informacji o </w:t>
      </w:r>
      <w:r w:rsidRPr="007F400A">
        <w:rPr>
          <w:rFonts w:ascii="Times New Roman" w:eastAsia="Calibri" w:hAnsi="Times New Roman" w:cs="Times New Roman"/>
          <w:b/>
          <w:sz w:val="24"/>
          <w:szCs w:val="24"/>
          <w:lang w:eastAsia="pl-PL"/>
        </w:rPr>
        <w:t>jakości powietrza</w:t>
      </w:r>
      <w:r w:rsidRPr="007F400A">
        <w:rPr>
          <w:rFonts w:ascii="Times New Roman" w:eastAsia="Calibri" w:hAnsi="Times New Roman" w:cs="Times New Roman"/>
          <w:b/>
          <w:sz w:val="24"/>
          <w:szCs w:val="24"/>
          <w:lang w:val="x-none" w:eastAsia="pl-PL"/>
        </w:rPr>
        <w:t xml:space="preserve"> poprzez portal </w:t>
      </w:r>
      <w:r w:rsidRPr="007F400A">
        <w:rPr>
          <w:rFonts w:ascii="Times New Roman" w:eastAsia="Calibri" w:hAnsi="Times New Roman" w:cs="Times New Roman"/>
          <w:b/>
          <w:sz w:val="24"/>
          <w:szCs w:val="24"/>
          <w:lang w:eastAsia="pl-PL"/>
        </w:rPr>
        <w:t>jakości</w:t>
      </w:r>
      <w:r w:rsidRPr="007F400A">
        <w:rPr>
          <w:rFonts w:ascii="Times New Roman" w:eastAsia="Calibri" w:hAnsi="Times New Roman" w:cs="Times New Roman"/>
          <w:b/>
          <w:sz w:val="24"/>
          <w:szCs w:val="24"/>
          <w:lang w:val="x-none" w:eastAsia="pl-PL"/>
        </w:rPr>
        <w:t xml:space="preserve"> powietrza i</w:t>
      </w:r>
      <w:r w:rsidRPr="007F400A">
        <w:rPr>
          <w:rFonts w:ascii="Times New Roman" w:eastAsia="Calibri" w:hAnsi="Times New Roman" w:cs="Times New Roman"/>
          <w:b/>
          <w:sz w:val="24"/>
          <w:szCs w:val="24"/>
          <w:lang w:eastAsia="pl-PL"/>
        </w:rPr>
        <w:t> </w:t>
      </w:r>
      <w:r w:rsidRPr="007F400A">
        <w:rPr>
          <w:rFonts w:ascii="Times New Roman" w:eastAsia="Calibri" w:hAnsi="Times New Roman" w:cs="Times New Roman"/>
          <w:b/>
          <w:sz w:val="24"/>
          <w:szCs w:val="24"/>
          <w:lang w:val="x-none" w:eastAsia="pl-PL"/>
        </w:rPr>
        <w:t>aplikacje mobilne</w:t>
      </w:r>
      <w:bookmarkEnd w:id="387"/>
    </w:p>
    <w:p w14:paraId="11DA2F25" w14:textId="77777777" w:rsidR="005C6D45" w:rsidRPr="005E2831" w:rsidRDefault="005C6D45" w:rsidP="002E6B73">
      <w:pPr>
        <w:spacing w:after="0"/>
        <w:ind w:firstLine="567"/>
        <w:jc w:val="both"/>
        <w:rPr>
          <w:rFonts w:ascii="Times New Roman" w:eastAsia="Times New Roman" w:hAnsi="Times New Roman" w:cs="Times New Roman"/>
          <w:bCs/>
          <w:color w:val="000000"/>
          <w:sz w:val="24"/>
          <w:szCs w:val="24"/>
          <w:lang w:eastAsia="pl-PL"/>
        </w:rPr>
      </w:pPr>
      <w:r w:rsidRPr="005E2831">
        <w:rPr>
          <w:rFonts w:ascii="Times New Roman" w:eastAsia="Times New Roman" w:hAnsi="Times New Roman" w:cs="Times New Roman"/>
          <w:bCs/>
          <w:sz w:val="24"/>
          <w:szCs w:val="24"/>
          <w:lang w:eastAsia="pl-PL"/>
        </w:rPr>
        <w:t xml:space="preserve">W 2022 roku kontynuowano realizację zadania polegającego na udostępnianiu informacji o jakości powietrza poprzez dedykowane narzędzia informatyczne Głównego Inspektoratu Ochrony Środowiska: </w:t>
      </w:r>
      <w:r w:rsidRPr="005E2831">
        <w:rPr>
          <w:rFonts w:ascii="Times New Roman" w:eastAsia="Times New Roman" w:hAnsi="Times New Roman" w:cs="Times New Roman"/>
          <w:bCs/>
          <w:color w:val="000000"/>
          <w:sz w:val="24"/>
          <w:szCs w:val="24"/>
          <w:lang w:eastAsia="pl-PL"/>
        </w:rPr>
        <w:t>portal „Jakość Powietrza” wraz z usługami API oraz</w:t>
      </w:r>
      <w:r>
        <w:rPr>
          <w:rFonts w:ascii="Times New Roman" w:eastAsia="Times New Roman" w:hAnsi="Times New Roman" w:cs="Times New Roman"/>
          <w:bCs/>
          <w:color w:val="000000"/>
          <w:sz w:val="24"/>
          <w:szCs w:val="24"/>
          <w:lang w:eastAsia="pl-PL"/>
        </w:rPr>
        <w:t> </w:t>
      </w:r>
      <w:r w:rsidRPr="005E2831">
        <w:rPr>
          <w:rFonts w:ascii="Times New Roman" w:eastAsia="Times New Roman" w:hAnsi="Times New Roman" w:cs="Times New Roman"/>
          <w:bCs/>
          <w:color w:val="000000"/>
          <w:sz w:val="24"/>
          <w:szCs w:val="24"/>
          <w:lang w:eastAsia="pl-PL"/>
        </w:rPr>
        <w:t>aplikacje mobilne „Jakość Powietrza w Polsce”. Za pomocą tych narzędzi informacje o</w:t>
      </w:r>
      <w:r>
        <w:rPr>
          <w:rFonts w:ascii="Times New Roman" w:eastAsia="Times New Roman" w:hAnsi="Times New Roman" w:cs="Times New Roman"/>
          <w:bCs/>
          <w:color w:val="000000"/>
          <w:sz w:val="24"/>
          <w:szCs w:val="24"/>
          <w:lang w:eastAsia="pl-PL"/>
        </w:rPr>
        <w:t> </w:t>
      </w:r>
      <w:r w:rsidRPr="005E2831">
        <w:rPr>
          <w:rFonts w:ascii="Times New Roman" w:eastAsia="Times New Roman" w:hAnsi="Times New Roman" w:cs="Times New Roman"/>
          <w:bCs/>
          <w:color w:val="000000"/>
          <w:sz w:val="24"/>
          <w:szCs w:val="24"/>
          <w:lang w:eastAsia="pl-PL"/>
        </w:rPr>
        <w:t xml:space="preserve">aktualnym stanie jakości powietrza prezentowane były w postaci Polskiego Indeksu Jakości Powietrza oraz indeksów poszczególnych zanieczyszczeń, a także jako tabele i wykresy obrazujące trendy zmian stężeń jednogodzinnych w wybranym zakresie czasu. </w:t>
      </w:r>
    </w:p>
    <w:p w14:paraId="09FEF633" w14:textId="7A4F5AC1" w:rsidR="00895F16" w:rsidRPr="007F400A" w:rsidRDefault="005C6D45" w:rsidP="005C6D45">
      <w:pPr>
        <w:spacing w:after="0" w:line="300" w:lineRule="atLeast"/>
        <w:ind w:firstLine="567"/>
        <w:jc w:val="both"/>
        <w:rPr>
          <w:rFonts w:ascii="Times New Roman" w:eastAsia="Times New Roman" w:hAnsi="Times New Roman"/>
          <w:bCs/>
          <w:color w:val="000000"/>
          <w:sz w:val="24"/>
          <w:szCs w:val="24"/>
          <w:lang w:eastAsia="pl-PL"/>
        </w:rPr>
      </w:pPr>
      <w:r>
        <w:rPr>
          <w:rFonts w:ascii="Times New Roman" w:eastAsia="Times New Roman" w:hAnsi="Times New Roman" w:cs="Times New Roman"/>
          <w:bCs/>
          <w:color w:val="000000"/>
          <w:sz w:val="24"/>
          <w:szCs w:val="24"/>
          <w:lang w:eastAsia="pl-PL"/>
        </w:rPr>
        <w:tab/>
      </w:r>
      <w:r w:rsidRPr="005E2831">
        <w:rPr>
          <w:rFonts w:ascii="Times New Roman" w:eastAsia="Times New Roman" w:hAnsi="Times New Roman" w:cs="Times New Roman"/>
          <w:bCs/>
          <w:color w:val="000000"/>
          <w:sz w:val="24"/>
          <w:szCs w:val="24"/>
          <w:lang w:eastAsia="pl-PL"/>
        </w:rPr>
        <w:t>Udostępniane dane pomiarowe po</w:t>
      </w:r>
      <w:r w:rsidRPr="005E2831">
        <w:rPr>
          <w:rFonts w:ascii="Times New Roman" w:hAnsi="Times New Roman" w:cs="Times New Roman"/>
          <w:bCs/>
          <w:color w:val="000000"/>
          <w:sz w:val="24"/>
          <w:szCs w:val="24"/>
        </w:rPr>
        <w:t>chodziły z 285</w:t>
      </w:r>
      <w:r w:rsidRPr="005E2831">
        <w:rPr>
          <w:rFonts w:ascii="Times New Roman" w:eastAsia="Times New Roman" w:hAnsi="Times New Roman" w:cs="Times New Roman"/>
          <w:bCs/>
          <w:color w:val="000000"/>
          <w:sz w:val="24"/>
          <w:szCs w:val="24"/>
          <w:lang w:eastAsia="pl-PL"/>
        </w:rPr>
        <w:t xml:space="preserve"> stacji monitoringu jakości powietrza funkcjonujących w ramach Państwowego Monitoringu Środowiska (PMŚ), w tym 209 stacji automatycznych lub automatyczno-manualnych, z których wyniki prezentowano na mapie „Bieżące dane pomiarowe” </w:t>
      </w:r>
      <w:r w:rsidRPr="005E2831">
        <w:rPr>
          <w:rFonts w:ascii="Times New Roman" w:eastAsia="Times New Roman" w:hAnsi="Times New Roman" w:cs="Times New Roman"/>
          <w:bCs/>
          <w:sz w:val="24"/>
          <w:szCs w:val="24"/>
          <w:lang w:eastAsia="pl-PL"/>
        </w:rPr>
        <w:t xml:space="preserve">(Ryc. </w:t>
      </w:r>
      <w:r>
        <w:rPr>
          <w:rFonts w:ascii="Times New Roman" w:eastAsia="Times New Roman" w:hAnsi="Times New Roman" w:cs="Times New Roman"/>
          <w:bCs/>
          <w:sz w:val="24"/>
          <w:szCs w:val="24"/>
          <w:lang w:eastAsia="pl-PL"/>
        </w:rPr>
        <w:t>6</w:t>
      </w:r>
      <w:r w:rsidRPr="005E2831">
        <w:rPr>
          <w:rFonts w:ascii="Times New Roman" w:eastAsia="Times New Roman" w:hAnsi="Times New Roman" w:cs="Times New Roman"/>
          <w:bCs/>
          <w:sz w:val="24"/>
          <w:szCs w:val="24"/>
          <w:lang w:eastAsia="pl-PL"/>
        </w:rPr>
        <w:t>)</w:t>
      </w:r>
      <w:r w:rsidR="00895F16" w:rsidRPr="007F400A">
        <w:rPr>
          <w:rFonts w:ascii="Times New Roman" w:eastAsia="Times New Roman" w:hAnsi="Times New Roman"/>
          <w:bCs/>
          <w:color w:val="000000"/>
          <w:sz w:val="24"/>
          <w:szCs w:val="24"/>
          <w:lang w:eastAsia="pl-PL"/>
        </w:rPr>
        <w:t xml:space="preserve">. </w:t>
      </w:r>
    </w:p>
    <w:p w14:paraId="6F58A5DF" w14:textId="77777777" w:rsidR="002E6B73" w:rsidRPr="005E2831" w:rsidRDefault="002E6B73" w:rsidP="00094027">
      <w:pPr>
        <w:spacing w:after="60"/>
        <w:jc w:val="center"/>
        <w:rPr>
          <w:rFonts w:ascii="Times New Roman" w:eastAsia="Times New Roman" w:hAnsi="Times New Roman" w:cs="Times New Roman"/>
          <w:bCs/>
          <w:color w:val="000000"/>
          <w:sz w:val="24"/>
          <w:szCs w:val="24"/>
          <w:lang w:eastAsia="pl-PL"/>
        </w:rPr>
      </w:pPr>
      <w:r w:rsidRPr="005E2831">
        <w:rPr>
          <w:rFonts w:ascii="Times New Roman" w:hAnsi="Times New Roman" w:cs="Times New Roman"/>
          <w:noProof/>
          <w:lang w:eastAsia="pl-PL"/>
        </w:rPr>
        <w:drawing>
          <wp:inline distT="0" distB="0" distL="0" distR="0" wp14:anchorId="56D16C13" wp14:editId="4C6057C1">
            <wp:extent cx="5760720" cy="2862469"/>
            <wp:effectExtent l="0" t="0" r="0" b="0"/>
            <wp:docPr id="133" name="Obraz 133" descr="Mapa bieżących danych pomiarowych prezentująca nowy pasek wskazań wstecznych indeksu jakości powietr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pa bieżących danych pomiarowych prezentująca nowy pasek wskazań wstecznych indeksu jakości powietrza"/>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67523" cy="2865850"/>
                    </a:xfrm>
                    <a:prstGeom prst="rect">
                      <a:avLst/>
                    </a:prstGeom>
                    <a:noFill/>
                    <a:ln>
                      <a:noFill/>
                    </a:ln>
                  </pic:spPr>
                </pic:pic>
              </a:graphicData>
            </a:graphic>
          </wp:inline>
        </w:drawing>
      </w:r>
    </w:p>
    <w:p w14:paraId="1537B0D6" w14:textId="36E052B3" w:rsidR="00895F16" w:rsidRPr="007F400A" w:rsidRDefault="002E6B73" w:rsidP="0040482D">
      <w:pPr>
        <w:spacing w:after="0"/>
        <w:rPr>
          <w:rFonts w:ascii="Times New Roman" w:eastAsia="Times New Roman" w:hAnsi="Times New Roman"/>
          <w:bCs/>
          <w:color w:val="000000"/>
          <w:sz w:val="24"/>
          <w:szCs w:val="24"/>
          <w:lang w:eastAsia="pl-PL"/>
        </w:rPr>
      </w:pPr>
      <w:r w:rsidRPr="005E2831">
        <w:rPr>
          <w:rFonts w:ascii="Times New Roman" w:eastAsia="Times New Roman" w:hAnsi="Times New Roman" w:cs="Times New Roman"/>
          <w:b/>
          <w:szCs w:val="24"/>
          <w:lang w:eastAsia="pl-PL"/>
        </w:rPr>
        <w:t xml:space="preserve">Ryc. </w:t>
      </w:r>
      <w:r>
        <w:rPr>
          <w:rFonts w:ascii="Times New Roman" w:eastAsia="Times New Roman" w:hAnsi="Times New Roman" w:cs="Times New Roman"/>
          <w:b/>
          <w:szCs w:val="24"/>
          <w:lang w:eastAsia="pl-PL"/>
        </w:rPr>
        <w:t>6</w:t>
      </w:r>
      <w:r w:rsidRPr="005E2831">
        <w:rPr>
          <w:rFonts w:ascii="Times New Roman" w:eastAsia="Times New Roman" w:hAnsi="Times New Roman" w:cs="Times New Roman"/>
          <w:b/>
          <w:szCs w:val="24"/>
          <w:lang w:eastAsia="pl-PL"/>
        </w:rPr>
        <w:t xml:space="preserve">. </w:t>
      </w:r>
      <w:r w:rsidRPr="005E2831">
        <w:rPr>
          <w:rFonts w:ascii="Times New Roman" w:eastAsia="Times New Roman" w:hAnsi="Times New Roman" w:cs="Times New Roman"/>
          <w:b/>
          <w:color w:val="000000"/>
          <w:szCs w:val="24"/>
          <w:lang w:eastAsia="pl-PL"/>
        </w:rPr>
        <w:t>Mapa bieżących danych pomiarowych, portal „Jakość Powietrza”</w:t>
      </w:r>
    </w:p>
    <w:p w14:paraId="1487BEF6" w14:textId="4485EDAF" w:rsidR="00895F16" w:rsidRPr="007F400A" w:rsidRDefault="00895F16" w:rsidP="00895F16">
      <w:pPr>
        <w:spacing w:after="0"/>
        <w:rPr>
          <w:rFonts w:ascii="Times New Roman" w:eastAsia="Times New Roman" w:hAnsi="Times New Roman"/>
          <w:bCs/>
          <w:color w:val="000000"/>
          <w:sz w:val="24"/>
          <w:szCs w:val="24"/>
          <w:lang w:eastAsia="pl-PL"/>
        </w:rPr>
      </w:pPr>
    </w:p>
    <w:p w14:paraId="6A3FCFC4" w14:textId="77777777" w:rsidR="002E6B73" w:rsidRPr="005E2831" w:rsidRDefault="002E6B73" w:rsidP="002E6B73">
      <w:pPr>
        <w:spacing w:after="60"/>
        <w:ind w:firstLine="426"/>
        <w:jc w:val="both"/>
        <w:rPr>
          <w:rFonts w:ascii="Times New Roman" w:eastAsia="Times New Roman" w:hAnsi="Times New Roman" w:cs="Times New Roman"/>
          <w:bCs/>
          <w:color w:val="000000"/>
          <w:sz w:val="24"/>
          <w:szCs w:val="24"/>
          <w:lang w:eastAsia="pl-PL"/>
        </w:rPr>
      </w:pPr>
      <w:r w:rsidRPr="005E2831">
        <w:rPr>
          <w:rFonts w:ascii="Times New Roman" w:eastAsia="Times New Roman" w:hAnsi="Times New Roman" w:cs="Times New Roman"/>
          <w:bCs/>
          <w:color w:val="000000"/>
          <w:sz w:val="24"/>
          <w:szCs w:val="24"/>
          <w:lang w:eastAsia="pl-PL"/>
        </w:rPr>
        <w:t xml:space="preserve">Wyniki pomiarów wykonywanych na stacjach manualnych oraz archiwalne dane pomiarowe udostępniane były do samodzielnego wyszukiwania i pobierania w module „Bank danych pomiarowych” portalu. </w:t>
      </w:r>
    </w:p>
    <w:p w14:paraId="2178D407" w14:textId="77777777" w:rsidR="002E6B73" w:rsidRDefault="002E6B73" w:rsidP="002E6B73">
      <w:pPr>
        <w:spacing w:after="60" w:line="276" w:lineRule="auto"/>
        <w:ind w:firstLine="426"/>
        <w:jc w:val="both"/>
        <w:rPr>
          <w:rFonts w:ascii="Times New Roman" w:hAnsi="Times New Roman" w:cs="Times New Roman"/>
          <w:sz w:val="24"/>
          <w:szCs w:val="24"/>
          <w:lang w:eastAsia="pl-PL"/>
        </w:rPr>
      </w:pPr>
      <w:r w:rsidRPr="005E2831">
        <w:rPr>
          <w:rFonts w:ascii="Times New Roman" w:hAnsi="Times New Roman" w:cs="Times New Roman"/>
          <w:sz w:val="24"/>
        </w:rPr>
        <w:t>Na portalu „</w:t>
      </w:r>
      <w:r w:rsidRPr="005E2831">
        <w:rPr>
          <w:rFonts w:ascii="Times New Roman" w:eastAsia="Times New Roman" w:hAnsi="Times New Roman" w:cs="Times New Roman"/>
          <w:bCs/>
          <w:color w:val="000000"/>
          <w:sz w:val="24"/>
          <w:szCs w:val="24"/>
          <w:lang w:eastAsia="pl-PL"/>
        </w:rPr>
        <w:t>Jakość Powietrza” oraz w aplikacjach mobilnych</w:t>
      </w:r>
      <w:r w:rsidRPr="005E2831">
        <w:rPr>
          <w:rFonts w:ascii="Times New Roman" w:hAnsi="Times New Roman" w:cs="Times New Roman"/>
          <w:sz w:val="24"/>
        </w:rPr>
        <w:t xml:space="preserve"> udostępniane były </w:t>
      </w:r>
      <w:r w:rsidRPr="005E2831">
        <w:rPr>
          <w:rFonts w:ascii="Times New Roman" w:eastAsia="Times New Roman" w:hAnsi="Times New Roman" w:cs="Times New Roman"/>
          <w:bCs/>
          <w:sz w:val="24"/>
          <w:szCs w:val="24"/>
          <w:lang w:eastAsia="pl-PL"/>
        </w:rPr>
        <w:t>prognozy jakości powietrza</w:t>
      </w:r>
      <w:r w:rsidRPr="005E2831">
        <w:rPr>
          <w:rFonts w:ascii="Times New Roman" w:eastAsia="Times New Roman" w:hAnsi="Times New Roman" w:cs="Times New Roman"/>
          <w:bCs/>
          <w:sz w:val="24"/>
          <w:szCs w:val="24"/>
          <w:vertAlign w:val="superscript"/>
          <w:lang w:eastAsia="pl-PL"/>
        </w:rPr>
        <w:footnoteReference w:id="86"/>
      </w:r>
      <w:r w:rsidRPr="005E2831">
        <w:rPr>
          <w:rFonts w:ascii="Times New Roman" w:eastAsia="Times New Roman" w:hAnsi="Times New Roman" w:cs="Times New Roman"/>
          <w:bCs/>
          <w:sz w:val="24"/>
          <w:szCs w:val="24"/>
          <w:lang w:eastAsia="pl-PL"/>
        </w:rPr>
        <w:t xml:space="preserve">, prezentowane jako </w:t>
      </w:r>
      <w:r w:rsidRPr="005E2831">
        <w:rPr>
          <w:rFonts w:ascii="Times New Roman" w:hAnsi="Times New Roman" w:cs="Times New Roman"/>
          <w:sz w:val="24"/>
        </w:rPr>
        <w:t xml:space="preserve">statyczne mapy prognozowanych stężeń maksymalnych i średniodobowych, oraz jako dynamiczne animacje prognozowanych jednogodzinnych stężeń pyłu zawieszonego PM10, dwutlenku azotu, dwutlenku siarki (w sezonie zimowym) i ozonu (w sezonie letnim). Informacje </w:t>
      </w:r>
      <w:r w:rsidRPr="005E2831">
        <w:rPr>
          <w:rFonts w:ascii="Times New Roman" w:eastAsia="Times New Roman" w:hAnsi="Times New Roman" w:cs="Times New Roman"/>
          <w:bCs/>
          <w:sz w:val="24"/>
          <w:szCs w:val="24"/>
          <w:lang w:eastAsia="pl-PL"/>
        </w:rPr>
        <w:t xml:space="preserve">dotyczące prognozowanego stanu jakości powietrza opracowywane były przez Instytut Ochrony Środowiska </w:t>
      </w:r>
      <w:r w:rsidRPr="005E2831">
        <w:rPr>
          <w:rFonts w:ascii="Times New Roman" w:eastAsia="Times New Roman" w:hAnsi="Times New Roman" w:cs="Times New Roman"/>
          <w:sz w:val="24"/>
          <w:szCs w:val="24"/>
          <w:lang w:eastAsia="pl-PL"/>
        </w:rPr>
        <w:t>–</w:t>
      </w:r>
      <w:r w:rsidRPr="005E2831">
        <w:rPr>
          <w:rFonts w:ascii="Times New Roman" w:eastAsia="Times New Roman" w:hAnsi="Times New Roman" w:cs="Times New Roman"/>
          <w:bCs/>
          <w:sz w:val="24"/>
          <w:szCs w:val="24"/>
          <w:lang w:eastAsia="pl-PL"/>
        </w:rPr>
        <w:t xml:space="preserve"> Państwowy </w:t>
      </w:r>
      <w:r w:rsidRPr="005E2831">
        <w:rPr>
          <w:rFonts w:ascii="Times New Roman" w:eastAsia="Times New Roman" w:hAnsi="Times New Roman" w:cs="Times New Roman"/>
          <w:bCs/>
          <w:sz w:val="24"/>
          <w:szCs w:val="24"/>
          <w:lang w:eastAsia="pl-PL"/>
        </w:rPr>
        <w:lastRenderedPageBreak/>
        <w:t xml:space="preserve">Instytut Badawczy </w:t>
      </w:r>
      <w:r w:rsidRPr="005E2831">
        <w:rPr>
          <w:rFonts w:ascii="Times New Roman" w:hAnsi="Times New Roman" w:cs="Times New Roman"/>
          <w:sz w:val="24"/>
        </w:rPr>
        <w:t>na dzień bieżący i dwa kolejne dni i były codziennie aktualizowane</w:t>
      </w:r>
      <w:r w:rsidRPr="005E2831">
        <w:rPr>
          <w:rFonts w:ascii="Times New Roman" w:eastAsia="Times New Roman" w:hAnsi="Times New Roman" w:cs="Times New Roman"/>
          <w:bCs/>
          <w:sz w:val="24"/>
          <w:szCs w:val="24"/>
          <w:lang w:eastAsia="pl-PL"/>
        </w:rPr>
        <w:t xml:space="preserve"> (pkt. 2.2.2)</w:t>
      </w:r>
      <w:r w:rsidRPr="005E2831">
        <w:rPr>
          <w:rFonts w:ascii="Times New Roman" w:hAnsi="Times New Roman" w:cs="Times New Roman"/>
          <w:sz w:val="24"/>
        </w:rPr>
        <w:t>.</w:t>
      </w:r>
    </w:p>
    <w:p w14:paraId="13828273" w14:textId="7EFE458E" w:rsidR="00895F16" w:rsidRDefault="002E6B73" w:rsidP="002E6B73">
      <w:pPr>
        <w:spacing w:after="60" w:line="276" w:lineRule="auto"/>
        <w:ind w:firstLine="426"/>
        <w:jc w:val="both"/>
        <w:rPr>
          <w:rFonts w:ascii="Times New Roman" w:eastAsia="Times New Roman" w:hAnsi="Times New Roman" w:cs="Times New Roman"/>
          <w:color w:val="000000"/>
          <w:sz w:val="24"/>
          <w:szCs w:val="24"/>
          <w:lang w:eastAsia="pl-PL"/>
        </w:rPr>
      </w:pPr>
      <w:r w:rsidRPr="005E2831">
        <w:rPr>
          <w:rFonts w:ascii="Times New Roman" w:hAnsi="Times New Roman" w:cs="Times New Roman"/>
          <w:bCs/>
          <w:color w:val="000000"/>
          <w:sz w:val="24"/>
          <w:szCs w:val="24"/>
        </w:rPr>
        <w:t xml:space="preserve">Na portalu </w:t>
      </w:r>
      <w:r w:rsidRPr="005E2831">
        <w:rPr>
          <w:rFonts w:ascii="Times New Roman" w:eastAsia="Times New Roman" w:hAnsi="Times New Roman" w:cs="Times New Roman"/>
          <w:color w:val="000000"/>
          <w:sz w:val="24"/>
          <w:szCs w:val="24"/>
          <w:lang w:eastAsia="pl-PL"/>
        </w:rPr>
        <w:t xml:space="preserve">prezentowano również powiadomienia o ryzyku </w:t>
      </w:r>
      <w:r>
        <w:rPr>
          <w:rFonts w:ascii="Times New Roman" w:eastAsia="Times New Roman" w:hAnsi="Times New Roman" w:cs="Times New Roman"/>
          <w:color w:val="000000"/>
          <w:sz w:val="24"/>
          <w:szCs w:val="24"/>
          <w:lang w:eastAsia="pl-PL"/>
        </w:rPr>
        <w:t xml:space="preserve">wystąpienia </w:t>
      </w:r>
      <w:r w:rsidRPr="005E2831">
        <w:rPr>
          <w:rFonts w:ascii="Times New Roman" w:eastAsia="Times New Roman" w:hAnsi="Times New Roman" w:cs="Times New Roman"/>
          <w:color w:val="000000"/>
          <w:sz w:val="24"/>
          <w:szCs w:val="24"/>
          <w:lang w:eastAsia="pl-PL"/>
        </w:rPr>
        <w:t>i wystąpieniu przekroczenia poziomu informowania, alarmowego, dopuszczalnego i docelowego substancji, komunikaty o aktualnym i prognozowanym stanie jakości powietrza, wyniki ocen jakości powietrza, w tym wojewódzkie raporty z wykonanej w 2022 r. rocznej oceny jakości powietrza za 2021 rok, informacje o sieci pomiarowej, mapy rozkładów stężeń zanieczyszczeń oraz wiele innych opracowań i map tematycznych</w:t>
      </w:r>
      <w:r>
        <w:rPr>
          <w:rFonts w:ascii="Times New Roman" w:eastAsia="Times New Roman" w:hAnsi="Times New Roman" w:cs="Times New Roman"/>
          <w:color w:val="000000"/>
          <w:sz w:val="24"/>
          <w:szCs w:val="24"/>
          <w:lang w:eastAsia="pl-PL"/>
        </w:rPr>
        <w:t xml:space="preserve">. </w:t>
      </w:r>
    </w:p>
    <w:p w14:paraId="7BBF6779" w14:textId="44158D81" w:rsidR="002E6B73" w:rsidRPr="002E6B73" w:rsidRDefault="002E6B73" w:rsidP="002E6B73">
      <w:pPr>
        <w:spacing w:after="60" w:line="276" w:lineRule="auto"/>
        <w:ind w:firstLine="426"/>
        <w:jc w:val="both"/>
        <w:rPr>
          <w:rFonts w:ascii="Times New Roman" w:hAnsi="Times New Roman" w:cs="Times New Roman"/>
          <w:sz w:val="24"/>
          <w:szCs w:val="24"/>
          <w:lang w:eastAsia="pl-PL"/>
        </w:rPr>
      </w:pPr>
      <w:r w:rsidRPr="005E2831">
        <w:rPr>
          <w:rFonts w:ascii="Times New Roman" w:eastAsia="Times New Roman" w:hAnsi="Times New Roman" w:cs="Times New Roman"/>
          <w:bCs/>
          <w:sz w:val="24"/>
          <w:szCs w:val="24"/>
          <w:lang w:eastAsia="pl-PL"/>
        </w:rPr>
        <w:t xml:space="preserve">W 2022 roku prowadzono dalsze prace rozwojowe narzędzi informatycznych Głównego Inspektoratu Ochrony Środowiska </w:t>
      </w:r>
      <w:r w:rsidRPr="005E2831">
        <w:rPr>
          <w:rFonts w:ascii="Times New Roman" w:hAnsi="Times New Roman" w:cs="Times New Roman"/>
          <w:sz w:val="24"/>
          <w:szCs w:val="24"/>
          <w:lang w:eastAsia="pl-PL"/>
        </w:rPr>
        <w:t>służących do informowania społeczeństwa o stanie jakości powietrza</w:t>
      </w:r>
      <w:r>
        <w:rPr>
          <w:rFonts w:ascii="Times New Roman" w:hAnsi="Times New Roman" w:cs="Times New Roman"/>
          <w:sz w:val="24"/>
          <w:szCs w:val="24"/>
          <w:lang w:eastAsia="pl-PL"/>
        </w:rPr>
        <w:t>:</w:t>
      </w:r>
    </w:p>
    <w:p w14:paraId="397C3825" w14:textId="77777777" w:rsidR="000F4B2A" w:rsidRDefault="00026250" w:rsidP="00D34F97">
      <w:pPr>
        <w:pStyle w:val="Akapitzlist"/>
        <w:numPr>
          <w:ilvl w:val="0"/>
          <w:numId w:val="205"/>
        </w:numPr>
        <w:spacing w:after="60" w:line="300" w:lineRule="atLeast"/>
        <w:jc w:val="both"/>
        <w:rPr>
          <w:sz w:val="24"/>
          <w:szCs w:val="24"/>
        </w:rPr>
      </w:pPr>
      <w:r w:rsidRPr="000F4B2A">
        <w:rPr>
          <w:sz w:val="24"/>
          <w:szCs w:val="24"/>
        </w:rPr>
        <w:t>w listopadzie 2022 roku udostępniono aktualizacje aplikacji mobilnej „Jakość Powietrza w Polsce” na systemy operacyjne iOS i Android, rozbudowane o aktualności wojewódzkie oraz  funkcjonalność wyświetlania wartości średniej dobowej dla pyłu zawieszonego PM10 i PM2,5, dwutlenku siarki i dwutlenku azotu (Ryc. 7)</w:t>
      </w:r>
      <w:r w:rsidR="00895F16" w:rsidRPr="000F4B2A">
        <w:rPr>
          <w:sz w:val="24"/>
          <w:szCs w:val="24"/>
        </w:rPr>
        <w:t>,</w:t>
      </w:r>
    </w:p>
    <w:p w14:paraId="3ECEC2C6" w14:textId="77777777" w:rsidR="00094027" w:rsidRPr="00094027" w:rsidRDefault="000F4B2A" w:rsidP="00AD4299">
      <w:pPr>
        <w:pStyle w:val="Akapitzlist"/>
        <w:numPr>
          <w:ilvl w:val="0"/>
          <w:numId w:val="205"/>
        </w:numPr>
        <w:spacing w:line="300" w:lineRule="atLeast"/>
        <w:jc w:val="both"/>
        <w:rPr>
          <w:rFonts w:eastAsia="Times New Roman"/>
          <w:bCs/>
          <w:sz w:val="24"/>
          <w:szCs w:val="24"/>
        </w:rPr>
      </w:pPr>
      <w:r w:rsidRPr="00094027">
        <w:rPr>
          <w:sz w:val="24"/>
          <w:szCs w:val="24"/>
        </w:rPr>
        <w:t>również w listopadzie na portalu „Jakość Powietrza” udostępniono nową funkcjonalność prezentującą wsteczne wskazania indeksu jakości powietrza i indeksów poszczególnych zanieczyszczeń z ostatnich 24 godzin, nową podstronę „Projekty”, a także dokonano modyfikacji i usprawnień wyszukiwania danych w „Banku danych pomiarowych”</w:t>
      </w:r>
      <w:r w:rsidR="00895F16" w:rsidRPr="00094027">
        <w:rPr>
          <w:sz w:val="24"/>
          <w:szCs w:val="24"/>
        </w:rPr>
        <w:t>,</w:t>
      </w:r>
      <w:r w:rsidR="004966BE" w:rsidRPr="00094027">
        <w:rPr>
          <w:sz w:val="24"/>
          <w:szCs w:val="24"/>
        </w:rPr>
        <w:t xml:space="preserve"> </w:t>
      </w:r>
    </w:p>
    <w:p w14:paraId="4755B871" w14:textId="1985A442" w:rsidR="000F4B2A" w:rsidRPr="00BE0455" w:rsidRDefault="000F4B2A" w:rsidP="00AD4299">
      <w:pPr>
        <w:pStyle w:val="Akapitzlist"/>
        <w:numPr>
          <w:ilvl w:val="0"/>
          <w:numId w:val="205"/>
        </w:numPr>
        <w:spacing w:line="300" w:lineRule="atLeast"/>
        <w:jc w:val="both"/>
        <w:rPr>
          <w:rFonts w:eastAsia="Times New Roman"/>
          <w:bCs/>
          <w:sz w:val="24"/>
          <w:szCs w:val="24"/>
        </w:rPr>
      </w:pPr>
      <w:r w:rsidRPr="00094027">
        <w:rPr>
          <w:sz w:val="24"/>
          <w:szCs w:val="24"/>
        </w:rPr>
        <w:t>w 2022 roku utworzono nowe i rozbudowano usługi API portalu „Jakość Powietrza” GIOŚ, poszerzając zakres udostępnianych zasobów oraz podnosząc poziom ich otwartości. Opracowano również automatyczną dokumentację nowych usług API</w:t>
      </w:r>
      <w:r w:rsidR="00895F16" w:rsidRPr="00094027">
        <w:rPr>
          <w:sz w:val="24"/>
          <w:szCs w:val="24"/>
        </w:rPr>
        <w:t>.</w:t>
      </w:r>
      <w:r w:rsidR="004966BE" w:rsidRPr="00094027">
        <w:rPr>
          <w:sz w:val="24"/>
          <w:szCs w:val="24"/>
        </w:rPr>
        <w:t xml:space="preserve"> </w:t>
      </w:r>
    </w:p>
    <w:p w14:paraId="36FB2DC7" w14:textId="77777777" w:rsidR="00BE0455" w:rsidRPr="00094027" w:rsidRDefault="00BE0455" w:rsidP="00BE0455">
      <w:pPr>
        <w:pStyle w:val="Akapitzlist"/>
        <w:spacing w:line="300" w:lineRule="atLeast"/>
        <w:jc w:val="both"/>
        <w:rPr>
          <w:rFonts w:eastAsia="Times New Roman"/>
          <w:bCs/>
          <w:sz w:val="24"/>
          <w:szCs w:val="24"/>
        </w:rPr>
      </w:pPr>
    </w:p>
    <w:p w14:paraId="7FE732F1" w14:textId="77777777" w:rsidR="00B2552D" w:rsidRDefault="00BE0455" w:rsidP="00895F16">
      <w:pPr>
        <w:spacing w:after="0" w:line="300" w:lineRule="atLeast"/>
        <w:ind w:firstLine="567"/>
        <w:jc w:val="both"/>
        <w:rPr>
          <w:rFonts w:ascii="Times New Roman" w:eastAsia="Times New Roman" w:hAnsi="Times New Roman" w:cs="Times New Roman"/>
          <w:bCs/>
          <w:sz w:val="24"/>
          <w:szCs w:val="24"/>
          <w:lang w:eastAsia="pl-PL"/>
        </w:rPr>
      </w:pPr>
      <w:r w:rsidRPr="005E2831">
        <w:rPr>
          <w:rFonts w:ascii="Times New Roman" w:hAnsi="Times New Roman" w:cs="Times New Roman"/>
          <w:noProof/>
          <w:sz w:val="24"/>
          <w:szCs w:val="24"/>
          <w:lang w:eastAsia="pl-PL"/>
        </w:rPr>
        <w:drawing>
          <wp:inline distT="0" distB="0" distL="0" distR="0" wp14:anchorId="0FB659DB" wp14:editId="763AFE6E">
            <wp:extent cx="1752600" cy="3076575"/>
            <wp:effectExtent l="0" t="0" r="0" b="9525"/>
            <wp:docPr id="452" name="Obraz 22" descr="Ryc. 7. Widok aplikacja mobilnej „Jakość powietrza w Polsce”">
              <a:extLst xmlns:a="http://schemas.openxmlformats.org/drawingml/2006/main">
                <a:ext uri="{FF2B5EF4-FFF2-40B4-BE49-F238E27FC236}">
                  <a16:creationId xmlns:a16="http://schemas.microsoft.com/office/drawing/2014/main" id="{BC4B15A6-3CB2-4496-86FB-A7C7F5F859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Obraz 22" descr="Ryc. 7. Widok aplikacja mobilnej „Jakość powietrza w Polsce”">
                      <a:extLst>
                        <a:ext uri="{FF2B5EF4-FFF2-40B4-BE49-F238E27FC236}">
                          <a16:creationId xmlns:a16="http://schemas.microsoft.com/office/drawing/2014/main" id="{BC4B15A6-3CB2-4496-86FB-A7C7F5F859C4}"/>
                        </a:ext>
                      </a:extLst>
                    </pic:cNvPr>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752600" cy="3076575"/>
                    </a:xfrm>
                    <a:prstGeom prst="rect">
                      <a:avLst/>
                    </a:prstGeom>
                  </pic:spPr>
                </pic:pic>
              </a:graphicData>
            </a:graphic>
          </wp:inline>
        </w:drawing>
      </w:r>
      <w:r w:rsidR="00907EEC" w:rsidRPr="005E2831">
        <w:rPr>
          <w:rFonts w:ascii="Times New Roman" w:hAnsi="Times New Roman" w:cs="Times New Roman"/>
          <w:noProof/>
          <w:sz w:val="24"/>
          <w:szCs w:val="24"/>
          <w:lang w:eastAsia="pl-PL"/>
        </w:rPr>
        <w:drawing>
          <wp:inline distT="0" distB="0" distL="0" distR="0" wp14:anchorId="639113F6" wp14:editId="4EDFC612">
            <wp:extent cx="1704975" cy="3101975"/>
            <wp:effectExtent l="0" t="0" r="9525" b="3175"/>
            <wp:docPr id="451" name="Obraz 2" descr="Ryc. 7. Widok aplikacja mobilnej „Jakość powietrza w Polsce”">
              <a:extLst xmlns:a="http://schemas.openxmlformats.org/drawingml/2006/main">
                <a:ext uri="{FF2B5EF4-FFF2-40B4-BE49-F238E27FC236}">
                  <a16:creationId xmlns:a16="http://schemas.microsoft.com/office/drawing/2014/main" id="{FF3E6D8C-CBBF-4DD0-8D51-0792786DAB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Obraz 2" descr="Ryc. 7. Widok aplikacja mobilnej „Jakość powietrza w Polsce”">
                      <a:extLst>
                        <a:ext uri="{FF2B5EF4-FFF2-40B4-BE49-F238E27FC236}">
                          <a16:creationId xmlns:a16="http://schemas.microsoft.com/office/drawing/2014/main" id="{FF3E6D8C-CBBF-4DD0-8D51-0792786DABD9}"/>
                        </a:ext>
                      </a:extLst>
                    </pic:cNvPr>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704975" cy="3101975"/>
                    </a:xfrm>
                    <a:prstGeom prst="rect">
                      <a:avLst/>
                    </a:prstGeom>
                  </pic:spPr>
                </pic:pic>
              </a:graphicData>
            </a:graphic>
          </wp:inline>
        </w:drawing>
      </w:r>
      <w:r w:rsidR="00907EEC" w:rsidRPr="005E2831">
        <w:rPr>
          <w:rFonts w:ascii="Times New Roman" w:hAnsi="Times New Roman" w:cs="Times New Roman"/>
          <w:noProof/>
          <w:sz w:val="24"/>
          <w:szCs w:val="24"/>
          <w:lang w:eastAsia="pl-PL"/>
        </w:rPr>
        <w:drawing>
          <wp:inline distT="0" distB="0" distL="0" distR="0" wp14:anchorId="738248A4" wp14:editId="1826C363">
            <wp:extent cx="1653540" cy="3104515"/>
            <wp:effectExtent l="0" t="0" r="3810" b="635"/>
            <wp:docPr id="138" name="Obraz 24" descr="Ryc. 7. Widok aplikacja mobilnej „Jakość powietrza w Polsce”">
              <a:extLst xmlns:a="http://schemas.openxmlformats.org/drawingml/2006/main">
                <a:ext uri="{FF2B5EF4-FFF2-40B4-BE49-F238E27FC236}">
                  <a16:creationId xmlns:a16="http://schemas.microsoft.com/office/drawing/2014/main" id="{6A6F450F-3042-4A4F-B690-7B9592A3A2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Obraz 24" descr="Ryc. 7. Widok aplikacja mobilnej „Jakość powietrza w Polsce”">
                      <a:extLst>
                        <a:ext uri="{FF2B5EF4-FFF2-40B4-BE49-F238E27FC236}">
                          <a16:creationId xmlns:a16="http://schemas.microsoft.com/office/drawing/2014/main" id="{6A6F450F-3042-4A4F-B690-7B9592A3A275}"/>
                        </a:ext>
                      </a:extLst>
                    </pic:cNvPr>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653540" cy="3104515"/>
                    </a:xfrm>
                    <a:prstGeom prst="rect">
                      <a:avLst/>
                    </a:prstGeom>
                  </pic:spPr>
                </pic:pic>
              </a:graphicData>
            </a:graphic>
          </wp:inline>
        </w:drawing>
      </w:r>
    </w:p>
    <w:p w14:paraId="103E6961" w14:textId="77777777" w:rsidR="00B2552D" w:rsidRDefault="00B2552D" w:rsidP="00895F16">
      <w:pPr>
        <w:spacing w:after="0" w:line="300" w:lineRule="atLeast"/>
        <w:ind w:firstLine="567"/>
        <w:jc w:val="both"/>
        <w:rPr>
          <w:rFonts w:ascii="Times New Roman" w:eastAsia="Times New Roman" w:hAnsi="Times New Roman" w:cs="Times New Roman"/>
          <w:bCs/>
          <w:sz w:val="24"/>
          <w:szCs w:val="24"/>
          <w:lang w:eastAsia="pl-PL"/>
        </w:rPr>
      </w:pPr>
    </w:p>
    <w:p w14:paraId="0C118199" w14:textId="123DD27B" w:rsidR="00B2552D" w:rsidRDefault="00B2552D" w:rsidP="00B2552D">
      <w:pPr>
        <w:spacing w:after="0" w:line="300" w:lineRule="atLeast"/>
        <w:ind w:firstLine="567"/>
        <w:jc w:val="center"/>
        <w:rPr>
          <w:rFonts w:ascii="Times New Roman" w:hAnsi="Times New Roman" w:cs="Times New Roman"/>
          <w:b/>
        </w:rPr>
      </w:pPr>
      <w:r w:rsidRPr="005E2831">
        <w:rPr>
          <w:rFonts w:ascii="Times New Roman" w:hAnsi="Times New Roman" w:cs="Times New Roman"/>
          <w:b/>
        </w:rPr>
        <w:t xml:space="preserve">Ryc. </w:t>
      </w:r>
      <w:r>
        <w:rPr>
          <w:rFonts w:ascii="Times New Roman" w:hAnsi="Times New Roman" w:cs="Times New Roman"/>
          <w:b/>
        </w:rPr>
        <w:t>7</w:t>
      </w:r>
      <w:r w:rsidRPr="005E2831">
        <w:rPr>
          <w:rFonts w:ascii="Times New Roman" w:hAnsi="Times New Roman" w:cs="Times New Roman"/>
          <w:b/>
        </w:rPr>
        <w:t>. Aplikacja mobilna „Jakość powietrza w Polsce”</w:t>
      </w:r>
    </w:p>
    <w:p w14:paraId="68C076C2" w14:textId="77777777" w:rsidR="00B2552D" w:rsidRDefault="00B2552D" w:rsidP="00B2552D">
      <w:pPr>
        <w:spacing w:after="0" w:line="300" w:lineRule="atLeast"/>
        <w:ind w:firstLine="567"/>
        <w:jc w:val="center"/>
        <w:rPr>
          <w:rFonts w:ascii="Times New Roman" w:eastAsia="Times New Roman" w:hAnsi="Times New Roman" w:cs="Times New Roman"/>
          <w:bCs/>
          <w:sz w:val="24"/>
          <w:szCs w:val="24"/>
          <w:lang w:eastAsia="pl-PL"/>
        </w:rPr>
      </w:pPr>
    </w:p>
    <w:p w14:paraId="18DF91B1" w14:textId="42889038" w:rsidR="00895F16" w:rsidRPr="007F400A" w:rsidRDefault="00AD3EF5" w:rsidP="00895F16">
      <w:pPr>
        <w:spacing w:after="0" w:line="300" w:lineRule="atLeast"/>
        <w:ind w:firstLine="567"/>
        <w:jc w:val="both"/>
        <w:rPr>
          <w:rFonts w:ascii="Times New Roman" w:hAnsi="Times New Roman"/>
          <w:sz w:val="24"/>
          <w:szCs w:val="24"/>
        </w:rPr>
      </w:pPr>
      <w:r w:rsidRPr="005E2831">
        <w:rPr>
          <w:rFonts w:ascii="Times New Roman" w:eastAsia="Times New Roman" w:hAnsi="Times New Roman" w:cs="Times New Roman"/>
          <w:bCs/>
          <w:sz w:val="24"/>
          <w:szCs w:val="24"/>
          <w:lang w:eastAsia="pl-PL"/>
        </w:rPr>
        <w:t xml:space="preserve">Informacje udostępniane na portalu „Jakość Powietrza” cieszyły się dużym zainteresowaniem użytkowników. </w:t>
      </w:r>
      <w:r w:rsidRPr="005E2831">
        <w:rPr>
          <w:rFonts w:ascii="Times New Roman" w:eastAsia="Times New Roman" w:hAnsi="Times New Roman" w:cs="Times New Roman"/>
          <w:color w:val="000000"/>
          <w:sz w:val="24"/>
          <w:szCs w:val="24"/>
        </w:rPr>
        <w:t xml:space="preserve">W 2022 roku usługa mapy bieżących danych pomiarowych </w:t>
      </w:r>
      <w:r w:rsidRPr="005E2831">
        <w:rPr>
          <w:rFonts w:ascii="Times New Roman" w:eastAsia="Times New Roman" w:hAnsi="Times New Roman" w:cs="Times New Roman"/>
          <w:color w:val="000000"/>
          <w:sz w:val="24"/>
          <w:szCs w:val="24"/>
        </w:rPr>
        <w:lastRenderedPageBreak/>
        <w:t xml:space="preserve">osiągnęła średnio 10 379 </w:t>
      </w:r>
      <w:proofErr w:type="spellStart"/>
      <w:r w:rsidRPr="005E2831">
        <w:rPr>
          <w:rFonts w:ascii="Times New Roman" w:eastAsia="Times New Roman" w:hAnsi="Times New Roman" w:cs="Times New Roman"/>
          <w:color w:val="000000"/>
          <w:sz w:val="24"/>
          <w:szCs w:val="24"/>
        </w:rPr>
        <w:t>wywołań</w:t>
      </w:r>
      <w:proofErr w:type="spellEnd"/>
      <w:r w:rsidRPr="005E2831">
        <w:rPr>
          <w:rFonts w:ascii="Times New Roman" w:eastAsia="Times New Roman" w:hAnsi="Times New Roman" w:cs="Times New Roman"/>
          <w:color w:val="000000"/>
          <w:sz w:val="24"/>
          <w:szCs w:val="24"/>
        </w:rPr>
        <w:t xml:space="preserve"> dziennie. Jest to nieznaczny spadek </w:t>
      </w:r>
      <w:proofErr w:type="spellStart"/>
      <w:r w:rsidRPr="005E2831">
        <w:rPr>
          <w:rFonts w:ascii="Times New Roman" w:eastAsia="Times New Roman" w:hAnsi="Times New Roman" w:cs="Times New Roman"/>
          <w:color w:val="000000"/>
          <w:sz w:val="24"/>
          <w:szCs w:val="24"/>
        </w:rPr>
        <w:t>wywołań</w:t>
      </w:r>
      <w:proofErr w:type="spellEnd"/>
      <w:r w:rsidRPr="005E2831">
        <w:rPr>
          <w:rFonts w:ascii="Times New Roman" w:eastAsia="Times New Roman" w:hAnsi="Times New Roman" w:cs="Times New Roman"/>
          <w:color w:val="000000"/>
          <w:sz w:val="24"/>
          <w:szCs w:val="24"/>
        </w:rPr>
        <w:t xml:space="preserve"> w porównaniu z rokiem 2021, który można wiązać z niższymi stężeniami zanieczyszczeń odnotowywanymi w sezonie zimowym w 2022 roku. </w:t>
      </w:r>
      <w:r w:rsidRPr="005E2831">
        <w:rPr>
          <w:rFonts w:ascii="Times New Roman" w:eastAsia="Times New Roman" w:hAnsi="Times New Roman" w:cs="Times New Roman"/>
          <w:bCs/>
          <w:sz w:val="24"/>
          <w:szCs w:val="24"/>
          <w:lang w:eastAsia="pl-PL"/>
        </w:rPr>
        <w:t xml:space="preserve">Ilość wyświetleń strony znacznie wzrastała w dni charakteryzujące się dużym zanieczyszczeniem powietrza. </w:t>
      </w:r>
      <w:r w:rsidRPr="005E2831">
        <w:rPr>
          <w:rFonts w:ascii="Times New Roman" w:hAnsi="Times New Roman" w:cs="Times New Roman"/>
          <w:sz w:val="24"/>
          <w:szCs w:val="24"/>
        </w:rPr>
        <w:t xml:space="preserve">Odnotowano również duże zainteresowanie możliwością korzystania z informacji o jakości powietrza udostępnianych poprzez interfejs programistyczny aplikacji (API) Głównego Inspektoratu Ochrony Środowiska. Usługi API GIOŚ wykorzystywano m.in. do publikowania wyników pomiarów na tablicach informacyjnych, przystankach komunikacji miejskiej, portalach urzędów, czy </w:t>
      </w:r>
      <w:r w:rsidR="004B2168">
        <w:rPr>
          <w:rFonts w:ascii="Times New Roman" w:hAnsi="Times New Roman" w:cs="Times New Roman"/>
          <w:sz w:val="24"/>
          <w:szCs w:val="24"/>
        </w:rPr>
        <w:br/>
      </w:r>
      <w:r w:rsidRPr="005E2831">
        <w:rPr>
          <w:rFonts w:ascii="Times New Roman" w:hAnsi="Times New Roman" w:cs="Times New Roman"/>
          <w:sz w:val="24"/>
          <w:szCs w:val="24"/>
        </w:rPr>
        <w:t>w aplikacjach mobilnych. Ponadto, dzięki dbałości o jakość i rzetelność udostępnianych informacji były one przywoływane jako źródło i wykorzystywane przez media w prasie, programach radiowych i telewizyjnych, czy w pracach badawczych</w:t>
      </w:r>
      <w:r w:rsidR="00895F16" w:rsidRPr="007F400A">
        <w:rPr>
          <w:rFonts w:ascii="Times New Roman" w:hAnsi="Times New Roman"/>
          <w:sz w:val="24"/>
          <w:szCs w:val="24"/>
        </w:rPr>
        <w:t xml:space="preserve">. </w:t>
      </w:r>
    </w:p>
    <w:p w14:paraId="20E4A21E" w14:textId="38C258BE" w:rsidR="00907EEC" w:rsidRDefault="00907EEC" w:rsidP="00907EEC">
      <w:pPr>
        <w:spacing w:after="0" w:line="300" w:lineRule="atLeast"/>
        <w:jc w:val="both"/>
        <w:rPr>
          <w:rFonts w:ascii="Times New Roman" w:eastAsia="Times New Roman" w:hAnsi="Times New Roman"/>
          <w:bCs/>
          <w:sz w:val="24"/>
          <w:szCs w:val="24"/>
          <w:lang w:val="x-none" w:eastAsia="pl-PL"/>
        </w:rPr>
      </w:pPr>
    </w:p>
    <w:p w14:paraId="136A33E1" w14:textId="77777777" w:rsidR="00895F16" w:rsidRPr="00FC57DB" w:rsidRDefault="00895F16" w:rsidP="00895F16">
      <w:pPr>
        <w:spacing w:after="0" w:line="300" w:lineRule="atLeast"/>
        <w:ind w:firstLine="709"/>
        <w:jc w:val="both"/>
        <w:rPr>
          <w:rFonts w:ascii="Times New Roman" w:hAnsi="Times New Roman" w:cs="Times New Roman"/>
          <w:color w:val="000000"/>
          <w:sz w:val="24"/>
          <w:szCs w:val="24"/>
          <w:lang w:val="x-none"/>
        </w:rPr>
      </w:pPr>
    </w:p>
    <w:p w14:paraId="6C550CE3" w14:textId="77777777" w:rsidR="00895F16" w:rsidRPr="007F400A" w:rsidRDefault="00895F16" w:rsidP="00895F16">
      <w:pPr>
        <w:spacing w:after="120" w:line="300" w:lineRule="atLeast"/>
        <w:jc w:val="both"/>
        <w:outlineLvl w:val="0"/>
        <w:rPr>
          <w:rFonts w:ascii="Times New Roman" w:eastAsia="Calibri" w:hAnsi="Times New Roman" w:cs="Times New Roman"/>
          <w:b/>
          <w:sz w:val="24"/>
          <w:szCs w:val="24"/>
          <w:lang w:val="x-none" w:eastAsia="pl-PL"/>
        </w:rPr>
      </w:pPr>
      <w:bookmarkStart w:id="389" w:name="_Toc135935704"/>
      <w:r w:rsidRPr="007F400A">
        <w:rPr>
          <w:rFonts w:ascii="Times New Roman" w:eastAsia="Calibri" w:hAnsi="Times New Roman" w:cs="Times New Roman"/>
          <w:b/>
          <w:sz w:val="24"/>
          <w:szCs w:val="24"/>
          <w:lang w:eastAsia="pl-PL"/>
        </w:rPr>
        <w:t xml:space="preserve">2.10. </w:t>
      </w:r>
      <w:r w:rsidRPr="007F400A">
        <w:rPr>
          <w:rFonts w:ascii="Times New Roman" w:eastAsia="Calibri" w:hAnsi="Times New Roman" w:cs="Times New Roman"/>
          <w:b/>
          <w:sz w:val="24"/>
          <w:szCs w:val="24"/>
          <w:lang w:val="x-none" w:eastAsia="pl-PL"/>
        </w:rPr>
        <w:t>Badania stanu warstwy ozonowej oraz pomiary natężenia promieniowania UV-B nad Polską</w:t>
      </w:r>
      <w:bookmarkEnd w:id="389"/>
    </w:p>
    <w:p w14:paraId="2C292CC8" w14:textId="77777777" w:rsidR="001F5E7A" w:rsidRPr="005E2831" w:rsidRDefault="001F5E7A" w:rsidP="001F5E7A">
      <w:pPr>
        <w:suppressAutoHyphens/>
        <w:overflowPunct w:val="0"/>
        <w:autoSpaceDE w:val="0"/>
        <w:spacing w:after="60"/>
        <w:jc w:val="both"/>
        <w:textAlignment w:val="baseline"/>
        <w:rPr>
          <w:rFonts w:ascii="Times New Roman" w:hAnsi="Times New Roman" w:cs="Times New Roman"/>
          <w:sz w:val="24"/>
          <w:szCs w:val="24"/>
          <w:lang w:eastAsia="zh-CN"/>
        </w:rPr>
      </w:pPr>
      <w:r w:rsidRPr="005E2831">
        <w:rPr>
          <w:rFonts w:ascii="Times New Roman" w:hAnsi="Times New Roman" w:cs="Times New Roman"/>
          <w:sz w:val="24"/>
          <w:szCs w:val="24"/>
          <w:lang w:eastAsia="zh-CN"/>
        </w:rPr>
        <w:t>Główny Inspektor Ochrony Środowiska w ramach umów z Polską Akademią Nauk (PAN) i</w:t>
      </w:r>
      <w:r>
        <w:rPr>
          <w:rFonts w:ascii="Times New Roman" w:hAnsi="Times New Roman" w:cs="Times New Roman"/>
          <w:sz w:val="24"/>
          <w:szCs w:val="24"/>
          <w:lang w:eastAsia="zh-CN"/>
        </w:rPr>
        <w:t> </w:t>
      </w:r>
      <w:r w:rsidRPr="005E2831">
        <w:rPr>
          <w:rFonts w:ascii="Times New Roman" w:hAnsi="Times New Roman" w:cs="Times New Roman"/>
          <w:sz w:val="24"/>
          <w:szCs w:val="24"/>
          <w:lang w:eastAsia="zh-CN"/>
        </w:rPr>
        <w:t>Instytutem Meteorologii i Gospodarki Wodnej – Państwowym Instytutem Badawczym (IMGW-PIB) realizował program pomiarowy zgodnie z Konwencją Wiedeńską</w:t>
      </w:r>
      <w:r w:rsidRPr="005E2831">
        <w:rPr>
          <w:rFonts w:ascii="Times New Roman" w:hAnsi="Times New Roman" w:cs="Times New Roman"/>
          <w:sz w:val="24"/>
          <w:szCs w:val="24"/>
          <w:vertAlign w:val="superscript"/>
          <w:lang w:eastAsia="zh-CN"/>
        </w:rPr>
        <w:footnoteReference w:id="87"/>
      </w:r>
      <w:r w:rsidRPr="005E2831">
        <w:rPr>
          <w:rFonts w:ascii="Times New Roman" w:hAnsi="Times New Roman" w:cs="Times New Roman"/>
          <w:sz w:val="24"/>
          <w:szCs w:val="24"/>
          <w:vertAlign w:val="superscript"/>
          <w:lang w:eastAsia="zh-CN"/>
        </w:rPr>
        <w:t xml:space="preserve"> </w:t>
      </w:r>
      <w:r w:rsidRPr="005E2831">
        <w:rPr>
          <w:rFonts w:ascii="Times New Roman" w:hAnsi="Times New Roman" w:cs="Times New Roman"/>
          <w:sz w:val="24"/>
          <w:szCs w:val="24"/>
          <w:lang w:eastAsia="zh-CN"/>
        </w:rPr>
        <w:t>o ochronie warstwy ozonowej, który obejmował:</w:t>
      </w:r>
    </w:p>
    <w:p w14:paraId="3F4D9649" w14:textId="42A7B758" w:rsidR="00895F16" w:rsidRPr="007F400A" w:rsidRDefault="001F5E7A" w:rsidP="00D34F97">
      <w:pPr>
        <w:numPr>
          <w:ilvl w:val="0"/>
          <w:numId w:val="47"/>
        </w:numPr>
        <w:suppressAutoHyphens/>
        <w:spacing w:after="60" w:line="300" w:lineRule="atLeast"/>
        <w:ind w:left="284" w:hanging="284"/>
        <w:jc w:val="both"/>
        <w:rPr>
          <w:rFonts w:ascii="Times New Roman" w:hAnsi="Times New Roman"/>
          <w:sz w:val="24"/>
          <w:szCs w:val="24"/>
          <w:lang w:eastAsia="zh-CN"/>
        </w:rPr>
      </w:pPr>
      <w:r w:rsidRPr="005E2831">
        <w:rPr>
          <w:rFonts w:ascii="Times New Roman" w:hAnsi="Times New Roman" w:cs="Times New Roman"/>
          <w:sz w:val="24"/>
          <w:szCs w:val="24"/>
          <w:lang w:eastAsia="zh-CN"/>
        </w:rPr>
        <w:t>Pomiary całkowitej zawartości i profilu pionowego ozonu</w:t>
      </w:r>
      <w:r w:rsidR="00895F16" w:rsidRPr="007F400A">
        <w:rPr>
          <w:rFonts w:ascii="Times New Roman" w:hAnsi="Times New Roman"/>
          <w:sz w:val="24"/>
          <w:szCs w:val="24"/>
          <w:lang w:eastAsia="zh-CN"/>
        </w:rPr>
        <w:t>:</w:t>
      </w:r>
    </w:p>
    <w:p w14:paraId="7B146E97" w14:textId="77777777" w:rsidR="001F5E7A" w:rsidRPr="005E2831" w:rsidRDefault="001F5E7A" w:rsidP="001F5E7A">
      <w:pPr>
        <w:numPr>
          <w:ilvl w:val="1"/>
          <w:numId w:val="35"/>
        </w:numPr>
        <w:suppressAutoHyphens/>
        <w:spacing w:after="0" w:line="276" w:lineRule="auto"/>
        <w:ind w:left="709" w:hanging="425"/>
        <w:jc w:val="both"/>
        <w:rPr>
          <w:rFonts w:ascii="Times New Roman" w:hAnsi="Times New Roman" w:cs="Times New Roman"/>
          <w:sz w:val="24"/>
          <w:szCs w:val="24"/>
          <w:lang w:eastAsia="zh-CN"/>
        </w:rPr>
      </w:pPr>
      <w:r w:rsidRPr="005E2831">
        <w:rPr>
          <w:rFonts w:ascii="Times New Roman" w:hAnsi="Times New Roman" w:cs="Times New Roman"/>
          <w:sz w:val="24"/>
          <w:szCs w:val="24"/>
          <w:lang w:eastAsia="zh-CN"/>
        </w:rPr>
        <w:t xml:space="preserve">codzienne spektrofotometryczne pomiary całkowitej zawartości ozonu w atmosferze (spektrofotometry Dobsona i </w:t>
      </w:r>
      <w:proofErr w:type="spellStart"/>
      <w:r w:rsidRPr="005E2831">
        <w:rPr>
          <w:rFonts w:ascii="Times New Roman" w:hAnsi="Times New Roman" w:cs="Times New Roman"/>
          <w:sz w:val="24"/>
          <w:szCs w:val="24"/>
          <w:lang w:eastAsia="zh-CN"/>
        </w:rPr>
        <w:t>Brewera</w:t>
      </w:r>
      <w:proofErr w:type="spellEnd"/>
      <w:r w:rsidRPr="005E2831">
        <w:rPr>
          <w:rFonts w:ascii="Times New Roman" w:hAnsi="Times New Roman" w:cs="Times New Roman"/>
          <w:sz w:val="24"/>
          <w:szCs w:val="24"/>
          <w:lang w:eastAsia="zh-CN"/>
        </w:rPr>
        <w:t xml:space="preserve">) oraz w wybrane dni - rozkładu pionowego ozonu metodą </w:t>
      </w:r>
      <w:proofErr w:type="spellStart"/>
      <w:r w:rsidRPr="005E2831">
        <w:rPr>
          <w:rFonts w:ascii="Times New Roman" w:hAnsi="Times New Roman" w:cs="Times New Roman"/>
          <w:sz w:val="24"/>
          <w:szCs w:val="24"/>
          <w:lang w:eastAsia="zh-CN"/>
        </w:rPr>
        <w:t>Umkehr</w:t>
      </w:r>
      <w:proofErr w:type="spellEnd"/>
      <w:r w:rsidRPr="005E2831">
        <w:rPr>
          <w:rFonts w:ascii="Times New Roman" w:hAnsi="Times New Roman" w:cs="Times New Roman"/>
          <w:sz w:val="24"/>
          <w:szCs w:val="24"/>
          <w:lang w:eastAsia="zh-CN"/>
        </w:rPr>
        <w:t xml:space="preserve">, wykonywane na stacji PAN w Belsku. W 2022 r. wykonano 225 serii pomiarowych, przy pomocy spektrofotometru </w:t>
      </w:r>
      <w:proofErr w:type="spellStart"/>
      <w:r w:rsidRPr="005E2831">
        <w:rPr>
          <w:rFonts w:ascii="Times New Roman" w:hAnsi="Times New Roman" w:cs="Times New Roman"/>
          <w:sz w:val="24"/>
          <w:szCs w:val="24"/>
          <w:lang w:eastAsia="zh-CN"/>
        </w:rPr>
        <w:t>Brewera</w:t>
      </w:r>
      <w:proofErr w:type="spellEnd"/>
      <w:r w:rsidRPr="005E2831">
        <w:rPr>
          <w:rFonts w:ascii="Times New Roman" w:hAnsi="Times New Roman" w:cs="Times New Roman"/>
          <w:sz w:val="24"/>
          <w:szCs w:val="24"/>
          <w:lang w:eastAsia="zh-CN"/>
        </w:rPr>
        <w:t xml:space="preserve">, pozwalających wyznaczyć rozkład pionowy ozonu w warstwie atmosfery leżącej poniżej 50 km (w dziesięciu warstwach o grubości około 5 km), </w:t>
      </w:r>
    </w:p>
    <w:p w14:paraId="17697A75" w14:textId="77777777" w:rsidR="001F5E7A" w:rsidRDefault="001F5E7A" w:rsidP="001F5E7A">
      <w:pPr>
        <w:numPr>
          <w:ilvl w:val="1"/>
          <w:numId w:val="35"/>
        </w:numPr>
        <w:suppressAutoHyphens/>
        <w:spacing w:after="0" w:line="276" w:lineRule="auto"/>
        <w:ind w:left="709" w:hanging="425"/>
        <w:jc w:val="both"/>
        <w:rPr>
          <w:rFonts w:ascii="Times New Roman" w:hAnsi="Times New Roman" w:cs="Times New Roman"/>
          <w:sz w:val="24"/>
          <w:szCs w:val="24"/>
          <w:lang w:eastAsia="zh-CN"/>
        </w:rPr>
      </w:pPr>
      <w:r w:rsidRPr="005E2831">
        <w:rPr>
          <w:rFonts w:ascii="Times New Roman" w:hAnsi="Times New Roman" w:cs="Times New Roman"/>
          <w:sz w:val="24"/>
          <w:szCs w:val="24"/>
          <w:lang w:eastAsia="zh-CN"/>
        </w:rPr>
        <w:t>pomiary profili ozonowych metodą sondażową wykonywane były na stacji IMGW-PIB w Legionowie średnio raz w tygodniu. W 2022 r. wykonano 53 sondaże ozonu, osiągając średnią wysokość 33,4 km,</w:t>
      </w:r>
    </w:p>
    <w:p w14:paraId="57104105" w14:textId="37DC3EFE" w:rsidR="00895F16" w:rsidRPr="001F5E7A" w:rsidRDefault="001F5E7A" w:rsidP="001F5E7A">
      <w:pPr>
        <w:numPr>
          <w:ilvl w:val="1"/>
          <w:numId w:val="35"/>
        </w:numPr>
        <w:suppressAutoHyphens/>
        <w:spacing w:after="0" w:line="276" w:lineRule="auto"/>
        <w:ind w:left="709" w:hanging="425"/>
        <w:jc w:val="both"/>
        <w:rPr>
          <w:rFonts w:ascii="Times New Roman" w:hAnsi="Times New Roman" w:cs="Times New Roman"/>
          <w:sz w:val="24"/>
          <w:szCs w:val="24"/>
          <w:lang w:eastAsia="zh-CN"/>
        </w:rPr>
      </w:pPr>
      <w:r w:rsidRPr="001F5E7A">
        <w:rPr>
          <w:rFonts w:ascii="Times New Roman" w:hAnsi="Times New Roman" w:cs="Times New Roman"/>
          <w:sz w:val="24"/>
          <w:szCs w:val="24"/>
          <w:lang w:eastAsia="zh-CN"/>
        </w:rPr>
        <w:t xml:space="preserve">codzienny monitoring całkowitej zawartości ozonu nad Europą Środkową metodą obserwacji satelitarnych prowadzonych przez IMGW-PIB z wykorzystaniem danych z czujnika </w:t>
      </w:r>
      <w:proofErr w:type="spellStart"/>
      <w:r w:rsidRPr="001F5E7A">
        <w:rPr>
          <w:rFonts w:ascii="Times New Roman" w:hAnsi="Times New Roman" w:cs="Times New Roman"/>
          <w:sz w:val="24"/>
          <w:szCs w:val="24"/>
          <w:lang w:eastAsia="zh-CN"/>
        </w:rPr>
        <w:t>Ozone</w:t>
      </w:r>
      <w:proofErr w:type="spellEnd"/>
      <w:r w:rsidRPr="001F5E7A">
        <w:rPr>
          <w:rFonts w:ascii="Times New Roman" w:hAnsi="Times New Roman" w:cs="Times New Roman"/>
          <w:sz w:val="24"/>
          <w:szCs w:val="24"/>
          <w:lang w:eastAsia="zh-CN"/>
        </w:rPr>
        <w:t xml:space="preserve"> </w:t>
      </w:r>
      <w:proofErr w:type="spellStart"/>
      <w:r w:rsidRPr="001F5E7A">
        <w:rPr>
          <w:rFonts w:ascii="Times New Roman" w:hAnsi="Times New Roman" w:cs="Times New Roman"/>
          <w:sz w:val="24"/>
          <w:szCs w:val="24"/>
          <w:lang w:eastAsia="zh-CN"/>
        </w:rPr>
        <w:t>Mapping</w:t>
      </w:r>
      <w:proofErr w:type="spellEnd"/>
      <w:r w:rsidRPr="001F5E7A">
        <w:rPr>
          <w:rFonts w:ascii="Times New Roman" w:hAnsi="Times New Roman" w:cs="Times New Roman"/>
          <w:sz w:val="24"/>
          <w:szCs w:val="24"/>
          <w:lang w:eastAsia="zh-CN"/>
        </w:rPr>
        <w:t xml:space="preserve"> and Profiler Suite (OMPS) (Ryc. 8)</w:t>
      </w:r>
      <w:r w:rsidR="00895F16" w:rsidRPr="001F5E7A">
        <w:rPr>
          <w:rFonts w:ascii="Times New Roman" w:hAnsi="Times New Roman"/>
          <w:sz w:val="24"/>
          <w:szCs w:val="24"/>
          <w:lang w:eastAsia="zh-CN"/>
        </w:rPr>
        <w:t>.</w:t>
      </w:r>
    </w:p>
    <w:p w14:paraId="259B4558" w14:textId="77777777" w:rsidR="00895F16" w:rsidRPr="007F400A" w:rsidRDefault="00895F16" w:rsidP="00D34F97">
      <w:pPr>
        <w:numPr>
          <w:ilvl w:val="0"/>
          <w:numId w:val="47"/>
        </w:numPr>
        <w:suppressAutoHyphens/>
        <w:spacing w:after="60" w:line="300" w:lineRule="atLeast"/>
        <w:ind w:left="284" w:hanging="284"/>
        <w:jc w:val="both"/>
        <w:rPr>
          <w:rFonts w:ascii="Times New Roman" w:hAnsi="Times New Roman"/>
          <w:sz w:val="24"/>
          <w:szCs w:val="24"/>
          <w:lang w:eastAsia="zh-CN"/>
        </w:rPr>
      </w:pPr>
      <w:r w:rsidRPr="007F400A">
        <w:rPr>
          <w:rFonts w:ascii="Times New Roman" w:hAnsi="Times New Roman"/>
          <w:sz w:val="24"/>
          <w:szCs w:val="24"/>
          <w:lang w:eastAsia="zh-CN"/>
        </w:rPr>
        <w:t>Pomiary promieniowania UV-B:</w:t>
      </w:r>
    </w:p>
    <w:p w14:paraId="50C0035B" w14:textId="06589A4D" w:rsidR="00895F16" w:rsidRPr="007F400A" w:rsidRDefault="001F5E7A" w:rsidP="00483D42">
      <w:pPr>
        <w:numPr>
          <w:ilvl w:val="1"/>
          <w:numId w:val="34"/>
        </w:numPr>
        <w:suppressAutoHyphens/>
        <w:spacing w:after="60" w:line="300" w:lineRule="atLeast"/>
        <w:ind w:left="567" w:hanging="567"/>
        <w:jc w:val="both"/>
        <w:rPr>
          <w:rFonts w:ascii="Times New Roman" w:hAnsi="Times New Roman"/>
          <w:lang w:eastAsia="pl-PL"/>
        </w:rPr>
      </w:pPr>
      <w:r w:rsidRPr="005E2831">
        <w:rPr>
          <w:rFonts w:ascii="Times New Roman" w:hAnsi="Times New Roman" w:cs="Times New Roman"/>
          <w:sz w:val="24"/>
          <w:szCs w:val="24"/>
          <w:lang w:eastAsia="zh-CN"/>
        </w:rPr>
        <w:t>pomiary natężenia promieniowania UV-B wykonywano na stacji Instytutu Geofizyki PAN w Belsku i trzech stacjach IMGW-PIB w: Łebie, Legionowie i Zakopanem</w:t>
      </w:r>
      <w:r w:rsidR="00895F16" w:rsidRPr="007F400A">
        <w:rPr>
          <w:rFonts w:ascii="Times New Roman" w:hAnsi="Times New Roman"/>
          <w:sz w:val="24"/>
          <w:szCs w:val="24"/>
          <w:lang w:eastAsia="zh-CN"/>
        </w:rPr>
        <w:t>.</w:t>
      </w:r>
    </w:p>
    <w:p w14:paraId="714D9159" w14:textId="27E1F942" w:rsidR="00895F16" w:rsidRPr="007F400A" w:rsidRDefault="000F3BE9" w:rsidP="00895F16">
      <w:pPr>
        <w:autoSpaceDE w:val="0"/>
        <w:spacing w:after="0" w:line="300" w:lineRule="atLeast"/>
        <w:ind w:firstLine="284"/>
        <w:jc w:val="both"/>
        <w:rPr>
          <w:rFonts w:ascii="Times New Roman" w:hAnsi="Times New Roman"/>
          <w:sz w:val="24"/>
          <w:szCs w:val="24"/>
          <w:lang w:eastAsia="pl-PL"/>
        </w:rPr>
      </w:pPr>
      <w:r w:rsidRPr="005E2831">
        <w:rPr>
          <w:rFonts w:ascii="Times New Roman" w:hAnsi="Times New Roman" w:cs="Times New Roman"/>
          <w:sz w:val="24"/>
          <w:szCs w:val="24"/>
        </w:rPr>
        <w:t>Analiza danych o zawartości ozonu w atmosferze</w:t>
      </w:r>
      <w:r w:rsidRPr="005E2831">
        <w:rPr>
          <w:rFonts w:ascii="Times New Roman" w:hAnsi="Times New Roman" w:cs="Times New Roman"/>
          <w:sz w:val="24"/>
          <w:szCs w:val="24"/>
          <w:lang w:eastAsia="zh-CN"/>
        </w:rPr>
        <w:t xml:space="preserve"> w</w:t>
      </w:r>
      <w:r w:rsidRPr="005E2831">
        <w:rPr>
          <w:rFonts w:ascii="Times New Roman" w:hAnsi="Times New Roman" w:cs="Times New Roman"/>
          <w:sz w:val="24"/>
          <w:szCs w:val="24"/>
        </w:rPr>
        <w:t xml:space="preserve"> Belsku, </w:t>
      </w:r>
      <w:r w:rsidRPr="005E2831">
        <w:rPr>
          <w:rFonts w:ascii="Times New Roman" w:hAnsi="Times New Roman" w:cs="Times New Roman"/>
          <w:sz w:val="24"/>
          <w:szCs w:val="24"/>
          <w:lang w:eastAsia="zh-CN"/>
        </w:rPr>
        <w:t>profili ozonowych w Legionowie i</w:t>
      </w:r>
      <w:r>
        <w:rPr>
          <w:rFonts w:ascii="Times New Roman" w:hAnsi="Times New Roman" w:cs="Times New Roman"/>
          <w:sz w:val="24"/>
          <w:szCs w:val="24"/>
          <w:lang w:eastAsia="zh-CN"/>
        </w:rPr>
        <w:t> </w:t>
      </w:r>
      <w:r w:rsidRPr="005E2831">
        <w:rPr>
          <w:rFonts w:ascii="Times New Roman" w:hAnsi="Times New Roman" w:cs="Times New Roman"/>
          <w:sz w:val="24"/>
          <w:szCs w:val="24"/>
          <w:lang w:eastAsia="zh-CN"/>
        </w:rPr>
        <w:t xml:space="preserve">satelitarnego monitoringu ozonu </w:t>
      </w:r>
      <w:r w:rsidRPr="005E2831">
        <w:rPr>
          <w:rFonts w:ascii="Times New Roman" w:hAnsi="Times New Roman" w:cs="Times New Roman"/>
          <w:sz w:val="24"/>
          <w:szCs w:val="24"/>
        </w:rPr>
        <w:t>pozwala stwierdzić, że w 2022 r. przeważały niewielkie ujemne odchylenia wartości średnich miesięcznych całkowitej zawartości ozonu od</w:t>
      </w:r>
      <w:r>
        <w:rPr>
          <w:rFonts w:ascii="Times New Roman" w:hAnsi="Times New Roman" w:cs="Times New Roman"/>
          <w:sz w:val="24"/>
          <w:szCs w:val="24"/>
        </w:rPr>
        <w:t> </w:t>
      </w:r>
      <w:r w:rsidRPr="005E2831">
        <w:rPr>
          <w:rFonts w:ascii="Times New Roman" w:hAnsi="Times New Roman" w:cs="Times New Roman"/>
          <w:sz w:val="24"/>
          <w:szCs w:val="24"/>
        </w:rPr>
        <w:t>średniej wieloletniej z lat 1963-2021</w:t>
      </w:r>
      <w:r w:rsidR="00895F16" w:rsidRPr="007F400A">
        <w:rPr>
          <w:rFonts w:ascii="Times New Roman" w:hAnsi="Times New Roman"/>
          <w:sz w:val="24"/>
          <w:szCs w:val="24"/>
        </w:rPr>
        <w:t>.</w:t>
      </w:r>
    </w:p>
    <w:p w14:paraId="47CDF4A0" w14:textId="77777777" w:rsidR="00895F16" w:rsidRPr="007F400A" w:rsidRDefault="00895F16" w:rsidP="00895F16">
      <w:pPr>
        <w:suppressAutoHyphens/>
        <w:autoSpaceDE w:val="0"/>
        <w:rPr>
          <w:rFonts w:ascii="Times New Roman" w:hAnsi="Times New Roman"/>
          <w:b/>
          <w:lang w:eastAsia="zh-CN"/>
        </w:rPr>
      </w:pPr>
    </w:p>
    <w:p w14:paraId="432E6A2D" w14:textId="7CD52323" w:rsidR="00895F16" w:rsidRPr="007F400A" w:rsidRDefault="00FA5E85" w:rsidP="00895F16">
      <w:pPr>
        <w:suppressAutoHyphens/>
        <w:autoSpaceDE w:val="0"/>
        <w:spacing w:after="0" w:line="276" w:lineRule="auto"/>
        <w:ind w:firstLine="284"/>
        <w:jc w:val="center"/>
        <w:rPr>
          <w:rFonts w:ascii="Times New Roman" w:hAnsi="Times New Roman"/>
          <w:b/>
          <w:lang w:eastAsia="zh-CN"/>
        </w:rPr>
      </w:pPr>
      <w:r w:rsidRPr="005E2831">
        <w:rPr>
          <w:rFonts w:ascii="Times New Roman" w:hAnsi="Times New Roman" w:cs="Times New Roman"/>
          <w:noProof/>
          <w:sz w:val="20"/>
          <w:szCs w:val="20"/>
          <w:lang w:eastAsia="pl-PL"/>
        </w:rPr>
        <w:lastRenderedPageBreak/>
        <w:drawing>
          <wp:inline distT="0" distB="0" distL="0" distR="0" wp14:anchorId="68C6F256" wp14:editId="334BC91A">
            <wp:extent cx="4076700" cy="3867150"/>
            <wp:effectExtent l="0" t="0" r="0" b="0"/>
            <wp:docPr id="50" name="Obraz 50" descr="20220629_S_1102_N_1110_o3_omps_eu_cen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220629_S_1102_N_1110_o3_omps_eu_centr"/>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076700" cy="3867150"/>
                    </a:xfrm>
                    <a:prstGeom prst="rect">
                      <a:avLst/>
                    </a:prstGeom>
                    <a:noFill/>
                    <a:ln>
                      <a:noFill/>
                    </a:ln>
                  </pic:spPr>
                </pic:pic>
              </a:graphicData>
            </a:graphic>
          </wp:inline>
        </w:drawing>
      </w:r>
    </w:p>
    <w:p w14:paraId="043B0B38" w14:textId="77777777" w:rsidR="000F3BE9" w:rsidRPr="005E2831" w:rsidRDefault="000F3BE9" w:rsidP="000F3BE9">
      <w:pPr>
        <w:suppressAutoHyphens/>
        <w:autoSpaceDE w:val="0"/>
        <w:spacing w:after="60" w:line="240" w:lineRule="auto"/>
        <w:jc w:val="both"/>
        <w:rPr>
          <w:rFonts w:ascii="Times New Roman" w:hAnsi="Times New Roman" w:cs="Times New Roman"/>
          <w:b/>
          <w:lang w:eastAsia="zh-CN"/>
        </w:rPr>
      </w:pPr>
      <w:r>
        <w:rPr>
          <w:rFonts w:ascii="Times New Roman" w:hAnsi="Times New Roman" w:cs="Times New Roman"/>
          <w:b/>
          <w:lang w:eastAsia="zh-CN"/>
        </w:rPr>
        <w:t>Ryc.</w:t>
      </w:r>
      <w:r w:rsidRPr="005E2831">
        <w:rPr>
          <w:rFonts w:ascii="Times New Roman" w:hAnsi="Times New Roman" w:cs="Times New Roman"/>
          <w:b/>
          <w:lang w:eastAsia="zh-CN"/>
        </w:rPr>
        <w:t xml:space="preserve"> </w:t>
      </w:r>
      <w:r>
        <w:rPr>
          <w:rFonts w:ascii="Times New Roman" w:hAnsi="Times New Roman" w:cs="Times New Roman"/>
          <w:b/>
          <w:lang w:eastAsia="zh-CN"/>
        </w:rPr>
        <w:t>8</w:t>
      </w:r>
      <w:r w:rsidRPr="005E2831">
        <w:rPr>
          <w:rFonts w:ascii="Times New Roman" w:hAnsi="Times New Roman" w:cs="Times New Roman"/>
          <w:b/>
          <w:lang w:eastAsia="zh-CN"/>
        </w:rPr>
        <w:t xml:space="preserve">. Satelitarny monitoring ozonu nad Polską z wykorzystaniem danych z czujnika OMPS, </w:t>
      </w:r>
    </w:p>
    <w:p w14:paraId="0989E61E" w14:textId="682A037C" w:rsidR="00895F16" w:rsidRPr="007F400A" w:rsidRDefault="000F3BE9" w:rsidP="000F3BE9">
      <w:pPr>
        <w:suppressAutoHyphens/>
        <w:autoSpaceDE w:val="0"/>
        <w:spacing w:after="0" w:line="240" w:lineRule="auto"/>
        <w:rPr>
          <w:rFonts w:ascii="Times New Roman" w:hAnsi="Times New Roman"/>
          <w:b/>
          <w:lang w:eastAsia="zh-CN"/>
        </w:rPr>
      </w:pPr>
      <w:r w:rsidRPr="005E2831">
        <w:rPr>
          <w:rFonts w:ascii="Times New Roman" w:hAnsi="Times New Roman" w:cs="Times New Roman"/>
          <w:b/>
          <w:lang w:eastAsia="zh-CN"/>
        </w:rPr>
        <w:t>mapa całkowitej zawartości ozonu z dnia 29 czerwca 2022 r. (przykład letniego ubytku ozonu)</w:t>
      </w:r>
    </w:p>
    <w:p w14:paraId="0A4DD475" w14:textId="77777777" w:rsidR="00895F16" w:rsidRPr="007F400A" w:rsidRDefault="00895F16" w:rsidP="00895F16">
      <w:pPr>
        <w:spacing w:after="0" w:line="276" w:lineRule="auto"/>
        <w:ind w:firstLine="709"/>
        <w:rPr>
          <w:rFonts w:ascii="Times New Roman" w:hAnsi="Times New Roman"/>
          <w:sz w:val="24"/>
          <w:szCs w:val="24"/>
        </w:rPr>
      </w:pPr>
    </w:p>
    <w:p w14:paraId="4BB020B7" w14:textId="20F2D752" w:rsidR="000F3BE9" w:rsidRPr="005E2831" w:rsidRDefault="000F3BE9" w:rsidP="00FA5E85">
      <w:pPr>
        <w:spacing w:after="60" w:line="276" w:lineRule="auto"/>
        <w:ind w:firstLine="709"/>
        <w:jc w:val="both"/>
        <w:rPr>
          <w:rFonts w:ascii="Times New Roman" w:hAnsi="Times New Roman" w:cs="Times New Roman"/>
          <w:sz w:val="24"/>
          <w:szCs w:val="24"/>
        </w:rPr>
      </w:pPr>
      <w:r w:rsidRPr="005E2831">
        <w:rPr>
          <w:rFonts w:ascii="Times New Roman" w:hAnsi="Times New Roman" w:cs="Times New Roman"/>
          <w:sz w:val="24"/>
          <w:szCs w:val="24"/>
        </w:rPr>
        <w:t>W seriach pomiarowych promieniowania UV-B w 2022 r. wyróżniają się dane dla Zakopanego z czerwca (Wy</w:t>
      </w:r>
      <w:r>
        <w:rPr>
          <w:rFonts w:ascii="Times New Roman" w:hAnsi="Times New Roman" w:cs="Times New Roman"/>
          <w:sz w:val="24"/>
          <w:szCs w:val="24"/>
        </w:rPr>
        <w:t>k</w:t>
      </w:r>
      <w:r w:rsidR="006A603B">
        <w:rPr>
          <w:rFonts w:ascii="Times New Roman" w:hAnsi="Times New Roman" w:cs="Times New Roman"/>
          <w:sz w:val="24"/>
          <w:szCs w:val="24"/>
        </w:rPr>
        <w:t>res</w:t>
      </w:r>
      <w:r w:rsidRPr="005E2831">
        <w:rPr>
          <w:rFonts w:ascii="Times New Roman" w:hAnsi="Times New Roman" w:cs="Times New Roman"/>
          <w:sz w:val="24"/>
          <w:szCs w:val="24"/>
        </w:rPr>
        <w:t xml:space="preserve"> </w:t>
      </w:r>
      <w:r w:rsidR="00475E1F">
        <w:rPr>
          <w:rFonts w:ascii="Times New Roman" w:hAnsi="Times New Roman" w:cs="Times New Roman"/>
          <w:sz w:val="24"/>
          <w:szCs w:val="24"/>
        </w:rPr>
        <w:t>24</w:t>
      </w:r>
      <w:r w:rsidRPr="005E2831">
        <w:rPr>
          <w:rFonts w:ascii="Times New Roman" w:hAnsi="Times New Roman" w:cs="Times New Roman"/>
          <w:sz w:val="24"/>
          <w:szCs w:val="24"/>
        </w:rPr>
        <w:t xml:space="preserve">). Duże wartości promieniowania związane były z małą ilością aerozoli, wyżową pogodą z obniżoną ilością ozonu całkowitego w stosunku do średniej wieloletniej z lat 1996-2021 oraz dużą liczbą dni z bezchmurnym niebem. </w:t>
      </w:r>
    </w:p>
    <w:p w14:paraId="3EE3EE56" w14:textId="1F3B2F92" w:rsidR="000F3BE9" w:rsidRPr="005E2831" w:rsidRDefault="000F3BE9" w:rsidP="000F3BE9">
      <w:pPr>
        <w:spacing w:after="60" w:line="276" w:lineRule="auto"/>
        <w:ind w:firstLine="567"/>
        <w:jc w:val="both"/>
        <w:rPr>
          <w:rFonts w:ascii="Times New Roman" w:hAnsi="Times New Roman" w:cs="Times New Roman"/>
          <w:sz w:val="24"/>
          <w:szCs w:val="24"/>
        </w:rPr>
      </w:pPr>
      <w:r w:rsidRPr="005E2831">
        <w:rPr>
          <w:rFonts w:ascii="Times New Roman" w:hAnsi="Times New Roman" w:cs="Times New Roman"/>
          <w:sz w:val="24"/>
          <w:szCs w:val="24"/>
        </w:rPr>
        <w:t>Największe wartości Indeksu UV dla stacji zmierzono: w Zakopanem (UVI 8,7) w dniu 18</w:t>
      </w:r>
      <w:r>
        <w:rPr>
          <w:rFonts w:ascii="Times New Roman" w:hAnsi="Times New Roman" w:cs="Times New Roman"/>
          <w:sz w:val="24"/>
          <w:szCs w:val="24"/>
        </w:rPr>
        <w:t> </w:t>
      </w:r>
      <w:r w:rsidRPr="005E2831">
        <w:rPr>
          <w:rFonts w:ascii="Times New Roman" w:hAnsi="Times New Roman" w:cs="Times New Roman"/>
          <w:sz w:val="24"/>
          <w:szCs w:val="24"/>
        </w:rPr>
        <w:t>czerwca, w Belsku (UVI 7,3) - 04 lipca, w Łebie (UVI 7,1) - 23 czerwca i w Legionowie (UVI 6,9) - 3 lipca. Największe dawki dzienne rumieniowego promieniowania UV zanotowano: 18 czerwca w Zakopanem (24,66 MED</w:t>
      </w:r>
      <w:r w:rsidRPr="005E2831">
        <w:rPr>
          <w:rFonts w:ascii="Times New Roman" w:hAnsi="Times New Roman" w:cs="Times New Roman"/>
          <w:sz w:val="24"/>
          <w:szCs w:val="24"/>
          <w:vertAlign w:val="superscript"/>
        </w:rPr>
        <w:footnoteReference w:id="88"/>
      </w:r>
      <w:r w:rsidRPr="005E2831">
        <w:rPr>
          <w:rFonts w:ascii="Times New Roman" w:hAnsi="Times New Roman" w:cs="Times New Roman"/>
          <w:sz w:val="24"/>
          <w:szCs w:val="24"/>
        </w:rPr>
        <w:t>) oraz 3 lipca w Łebie (21,67 MED), w Legionowie (20,33 MED) i w Belsku (20,30 MED) (Wyk</w:t>
      </w:r>
      <w:r w:rsidR="006A603B">
        <w:rPr>
          <w:rFonts w:ascii="Times New Roman" w:hAnsi="Times New Roman" w:cs="Times New Roman"/>
          <w:sz w:val="24"/>
          <w:szCs w:val="24"/>
        </w:rPr>
        <w:t>res</w:t>
      </w:r>
      <w:r w:rsidRPr="005E2831">
        <w:rPr>
          <w:rFonts w:ascii="Times New Roman" w:hAnsi="Times New Roman" w:cs="Times New Roman"/>
          <w:sz w:val="24"/>
          <w:szCs w:val="24"/>
        </w:rPr>
        <w:t xml:space="preserve"> </w:t>
      </w:r>
      <w:r w:rsidR="00475E1F">
        <w:rPr>
          <w:rFonts w:ascii="Times New Roman" w:hAnsi="Times New Roman" w:cs="Times New Roman"/>
          <w:sz w:val="24"/>
          <w:szCs w:val="24"/>
        </w:rPr>
        <w:t>25</w:t>
      </w:r>
      <w:r w:rsidRPr="005E2831">
        <w:rPr>
          <w:rFonts w:ascii="Times New Roman" w:hAnsi="Times New Roman" w:cs="Times New Roman"/>
          <w:sz w:val="24"/>
          <w:szCs w:val="24"/>
        </w:rPr>
        <w:t>).</w:t>
      </w:r>
    </w:p>
    <w:p w14:paraId="4B00F3D1" w14:textId="493B3B9F" w:rsidR="00895F16" w:rsidRPr="007F400A" w:rsidRDefault="000F3BE9" w:rsidP="000F3BE9">
      <w:pPr>
        <w:ind w:firstLine="567"/>
        <w:jc w:val="both"/>
        <w:rPr>
          <w:rFonts w:ascii="Times New Roman" w:hAnsi="Times New Roman"/>
          <w:sz w:val="24"/>
          <w:szCs w:val="24"/>
          <w:lang w:eastAsia="pl-PL"/>
        </w:rPr>
      </w:pPr>
      <w:r w:rsidRPr="005E2831">
        <w:rPr>
          <w:rFonts w:ascii="Times New Roman" w:hAnsi="Times New Roman" w:cs="Times New Roman"/>
          <w:sz w:val="24"/>
          <w:szCs w:val="24"/>
          <w:lang w:eastAsia="pl-PL"/>
        </w:rPr>
        <w:t xml:space="preserve">Wyniki pomiarów całkowitej zawartości ozonu i rozkładu pionowego ozonu wykonane metodą </w:t>
      </w:r>
      <w:proofErr w:type="spellStart"/>
      <w:r w:rsidRPr="005E2831">
        <w:rPr>
          <w:rFonts w:ascii="Times New Roman" w:hAnsi="Times New Roman" w:cs="Times New Roman"/>
          <w:sz w:val="24"/>
          <w:szCs w:val="24"/>
          <w:lang w:eastAsia="pl-PL"/>
        </w:rPr>
        <w:t>Umkehr</w:t>
      </w:r>
      <w:proofErr w:type="spellEnd"/>
      <w:r w:rsidRPr="005E2831">
        <w:rPr>
          <w:rFonts w:ascii="Times New Roman" w:hAnsi="Times New Roman" w:cs="Times New Roman"/>
          <w:sz w:val="24"/>
          <w:szCs w:val="24"/>
          <w:lang w:eastAsia="pl-PL"/>
        </w:rPr>
        <w:t xml:space="preserve"> na stacji w Belsku były systematycznie przekazywane do Światowego Centrum Danych o Ozonie i Promieniowaniu Ultrafioletowym (WOUDC) w Toronto w Kanadzie. Średnie dzienne wartości całkowitej zawartości ozonu (przekazywane do WOUDC w Kanadzie i do Laboratorium Fizyki Atmosfery Uniwersytetu w Salonikach w Grecji) były wykorzystywane do sporządzania dobowych map ozonu dla półkuli północnej</w:t>
      </w:r>
      <w:r w:rsidR="00895F16" w:rsidRPr="007F400A">
        <w:rPr>
          <w:rFonts w:ascii="Times New Roman" w:hAnsi="Times New Roman"/>
          <w:sz w:val="24"/>
          <w:szCs w:val="24"/>
          <w:lang w:eastAsia="pl-PL"/>
        </w:rPr>
        <w:t xml:space="preserve">. </w:t>
      </w:r>
    </w:p>
    <w:p w14:paraId="7E9673F6" w14:textId="10767DBF" w:rsidR="00895F16" w:rsidRPr="007F400A" w:rsidRDefault="000F3BE9" w:rsidP="00895F16">
      <w:pPr>
        <w:suppressAutoHyphens/>
        <w:autoSpaceDE w:val="0"/>
        <w:spacing w:after="0" w:line="276" w:lineRule="auto"/>
        <w:jc w:val="center"/>
        <w:rPr>
          <w:rFonts w:ascii="Times New Roman" w:hAnsi="Times New Roman"/>
          <w:sz w:val="24"/>
          <w:szCs w:val="24"/>
          <w:lang w:eastAsia="pl-PL"/>
        </w:rPr>
      </w:pPr>
      <w:r w:rsidRPr="005E2831">
        <w:rPr>
          <w:rFonts w:ascii="Times New Roman" w:hAnsi="Times New Roman" w:cs="Times New Roman"/>
          <w:noProof/>
          <w:sz w:val="20"/>
          <w:szCs w:val="20"/>
          <w:lang w:eastAsia="pl-PL"/>
        </w:rPr>
        <w:lastRenderedPageBreak/>
        <w:drawing>
          <wp:inline distT="0" distB="0" distL="0" distR="0" wp14:anchorId="2F4BF19A" wp14:editId="07D7E024">
            <wp:extent cx="5534025" cy="3100528"/>
            <wp:effectExtent l="0" t="0" r="0" b="5080"/>
            <wp:docPr id="454" name="Obraz 454" descr="UVI2022za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az1" descr="UVI2022zak"/>
                    <pic:cNvPicPr>
                      <a:picLocks noRo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80588" cy="3126616"/>
                    </a:xfrm>
                    <a:prstGeom prst="rect">
                      <a:avLst/>
                    </a:prstGeom>
                    <a:noFill/>
                    <a:ln>
                      <a:noFill/>
                    </a:ln>
                    <a:effectLst/>
                  </pic:spPr>
                </pic:pic>
              </a:graphicData>
            </a:graphic>
          </wp:inline>
        </w:drawing>
      </w:r>
    </w:p>
    <w:p w14:paraId="6C714E18" w14:textId="7C97FF7A" w:rsidR="000F3BE9" w:rsidRPr="005E2831" w:rsidRDefault="00895F16" w:rsidP="004E37F6">
      <w:pPr>
        <w:suppressAutoHyphens/>
        <w:autoSpaceDE w:val="0"/>
        <w:spacing w:after="60" w:line="240" w:lineRule="auto"/>
        <w:jc w:val="both"/>
        <w:rPr>
          <w:rFonts w:ascii="Times New Roman" w:hAnsi="Times New Roman" w:cs="Times New Roman"/>
          <w:b/>
          <w:lang w:eastAsia="zh-CN"/>
        </w:rPr>
      </w:pPr>
      <w:r w:rsidRPr="007F400A">
        <w:rPr>
          <w:rFonts w:ascii="Times New Roman" w:hAnsi="Times New Roman"/>
          <w:b/>
          <w:lang w:eastAsia="zh-CN"/>
        </w:rPr>
        <w:t>Wyk</w:t>
      </w:r>
      <w:r w:rsidR="005275C6" w:rsidRPr="007F400A">
        <w:rPr>
          <w:rFonts w:ascii="Times New Roman" w:hAnsi="Times New Roman"/>
          <w:b/>
          <w:lang w:eastAsia="zh-CN"/>
        </w:rPr>
        <w:t>res</w:t>
      </w:r>
      <w:r w:rsidRPr="007F400A">
        <w:rPr>
          <w:rFonts w:ascii="Times New Roman" w:hAnsi="Times New Roman"/>
          <w:b/>
          <w:lang w:eastAsia="zh-CN"/>
        </w:rPr>
        <w:t xml:space="preserve"> </w:t>
      </w:r>
      <w:r w:rsidR="00D0218B">
        <w:rPr>
          <w:rFonts w:ascii="Times New Roman" w:hAnsi="Times New Roman"/>
          <w:b/>
          <w:lang w:eastAsia="zh-CN"/>
        </w:rPr>
        <w:t>2</w:t>
      </w:r>
      <w:r w:rsidR="00802629">
        <w:rPr>
          <w:rFonts w:ascii="Times New Roman" w:hAnsi="Times New Roman"/>
          <w:b/>
          <w:lang w:eastAsia="zh-CN"/>
        </w:rPr>
        <w:t>4</w:t>
      </w:r>
      <w:r w:rsidRPr="007F400A">
        <w:rPr>
          <w:rFonts w:ascii="Times New Roman" w:hAnsi="Times New Roman"/>
          <w:b/>
          <w:lang w:eastAsia="zh-CN"/>
        </w:rPr>
        <w:t xml:space="preserve">. </w:t>
      </w:r>
      <w:r w:rsidR="000F3BE9" w:rsidRPr="005E2831">
        <w:rPr>
          <w:rFonts w:ascii="Times New Roman" w:hAnsi="Times New Roman" w:cs="Times New Roman"/>
          <w:b/>
          <w:lang w:eastAsia="zh-CN"/>
        </w:rPr>
        <w:t xml:space="preserve">Monitoring promieniowania UV-B, maksymalne wartości Indeksu UV w 2022 r. </w:t>
      </w:r>
    </w:p>
    <w:p w14:paraId="2551FB2B" w14:textId="51CDE2DB" w:rsidR="00895F16" w:rsidRPr="007F400A" w:rsidRDefault="000F3BE9" w:rsidP="000F3BE9">
      <w:pPr>
        <w:suppressAutoHyphens/>
        <w:autoSpaceDE w:val="0"/>
        <w:spacing w:after="0" w:line="240" w:lineRule="auto"/>
        <w:rPr>
          <w:rFonts w:ascii="Times New Roman" w:hAnsi="Times New Roman"/>
          <w:b/>
          <w:lang w:eastAsia="zh-CN"/>
        </w:rPr>
      </w:pPr>
      <w:r w:rsidRPr="005E2831">
        <w:rPr>
          <w:rFonts w:ascii="Times New Roman" w:hAnsi="Times New Roman" w:cs="Times New Roman"/>
          <w:b/>
          <w:lang w:eastAsia="zh-CN"/>
        </w:rPr>
        <w:t>zmierzone na stacji IMGW-PIB w Zakopanem</w:t>
      </w:r>
    </w:p>
    <w:p w14:paraId="551D5C7D" w14:textId="77777777" w:rsidR="00895F16" w:rsidRPr="007F400A" w:rsidRDefault="00895F16" w:rsidP="00895F16">
      <w:pPr>
        <w:suppressAutoHyphens/>
        <w:autoSpaceDE w:val="0"/>
        <w:spacing w:after="0" w:line="276" w:lineRule="auto"/>
        <w:ind w:firstLine="284"/>
        <w:jc w:val="center"/>
        <w:rPr>
          <w:rFonts w:ascii="Times New Roman" w:hAnsi="Times New Roman"/>
          <w:b/>
          <w:lang w:eastAsia="zh-CN"/>
        </w:rPr>
      </w:pPr>
    </w:p>
    <w:p w14:paraId="62720645" w14:textId="423E7DEE" w:rsidR="00895F16" w:rsidRPr="007F400A" w:rsidRDefault="000F3BE9" w:rsidP="00895F16">
      <w:pPr>
        <w:suppressAutoHyphens/>
        <w:autoSpaceDE w:val="0"/>
        <w:spacing w:after="0" w:line="276" w:lineRule="auto"/>
        <w:ind w:firstLine="284"/>
        <w:jc w:val="center"/>
        <w:rPr>
          <w:rFonts w:ascii="Times New Roman" w:hAnsi="Times New Roman"/>
          <w:b/>
          <w:lang w:eastAsia="zh-CN"/>
        </w:rPr>
      </w:pPr>
      <w:r w:rsidRPr="005E2831">
        <w:rPr>
          <w:rFonts w:ascii="Times New Roman" w:hAnsi="Times New Roman" w:cs="Times New Roman"/>
          <w:sz w:val="20"/>
          <w:szCs w:val="20"/>
        </w:rPr>
        <w:fldChar w:fldCharType="begin"/>
      </w:r>
      <w:r w:rsidRPr="005E2831">
        <w:rPr>
          <w:rFonts w:ascii="Times New Roman" w:hAnsi="Times New Roman" w:cs="Times New Roman"/>
          <w:sz w:val="20"/>
          <w:szCs w:val="20"/>
        </w:rPr>
        <w:instrText xml:space="preserve"> INCLUDEPICTURE "http://uvb.igf.edu.pl/archiwum/uvb2022.png" \* MERGEFORMATINET </w:instrText>
      </w:r>
      <w:r w:rsidRPr="005E2831">
        <w:rPr>
          <w:rFonts w:ascii="Times New Roman" w:hAnsi="Times New Roman" w:cs="Times New Roman"/>
          <w:sz w:val="20"/>
          <w:szCs w:val="20"/>
        </w:rPr>
        <w:fldChar w:fldCharType="separate"/>
      </w:r>
      <w:r w:rsidRPr="005E2831">
        <w:rPr>
          <w:rFonts w:ascii="Times New Roman" w:hAnsi="Times New Roman" w:cs="Times New Roman"/>
          <w:sz w:val="20"/>
          <w:szCs w:val="20"/>
        </w:rPr>
        <w:fldChar w:fldCharType="begin"/>
      </w:r>
      <w:r w:rsidRPr="005E2831">
        <w:rPr>
          <w:rFonts w:ascii="Times New Roman" w:hAnsi="Times New Roman" w:cs="Times New Roman"/>
          <w:sz w:val="20"/>
          <w:szCs w:val="20"/>
        </w:rPr>
        <w:instrText xml:space="preserve"> INCLUDEPICTURE  "http://uvb.igf.edu.pl/archiwum/uvb2022.png" \* MERGEFORMATINET </w:instrText>
      </w:r>
      <w:r w:rsidRPr="005E2831">
        <w:rPr>
          <w:rFonts w:ascii="Times New Roman" w:hAnsi="Times New Roman" w:cs="Times New Roman"/>
          <w:sz w:val="20"/>
          <w:szCs w:val="20"/>
        </w:rPr>
        <w:fldChar w:fldCharType="separate"/>
      </w:r>
      <w:r w:rsidRPr="005E2831">
        <w:rPr>
          <w:rFonts w:ascii="Times New Roman" w:hAnsi="Times New Roman" w:cs="Times New Roman"/>
          <w:sz w:val="20"/>
          <w:szCs w:val="20"/>
        </w:rPr>
        <w:fldChar w:fldCharType="begin"/>
      </w:r>
      <w:r w:rsidRPr="005E2831">
        <w:rPr>
          <w:rFonts w:ascii="Times New Roman" w:hAnsi="Times New Roman" w:cs="Times New Roman"/>
          <w:sz w:val="20"/>
          <w:szCs w:val="20"/>
        </w:rPr>
        <w:instrText xml:space="preserve"> INCLUDEPICTURE  "http://uvb.igf.edu.pl/archiwum/uvb2022.png" \* MERGEFORMATINET </w:instrText>
      </w:r>
      <w:r w:rsidRPr="005E2831">
        <w:rPr>
          <w:rFonts w:ascii="Times New Roman" w:hAnsi="Times New Roman" w:cs="Times New Roman"/>
          <w:sz w:val="20"/>
          <w:szCs w:val="20"/>
        </w:rPr>
        <w:fldChar w:fldCharType="separate"/>
      </w:r>
      <w:r w:rsidRPr="005E2831">
        <w:rPr>
          <w:rFonts w:ascii="Times New Roman" w:hAnsi="Times New Roman" w:cs="Times New Roman"/>
          <w:sz w:val="20"/>
          <w:szCs w:val="20"/>
        </w:rPr>
        <w:fldChar w:fldCharType="begin"/>
      </w:r>
      <w:r w:rsidRPr="005E2831">
        <w:rPr>
          <w:rFonts w:ascii="Times New Roman" w:hAnsi="Times New Roman" w:cs="Times New Roman"/>
          <w:sz w:val="20"/>
          <w:szCs w:val="20"/>
        </w:rPr>
        <w:instrText xml:space="preserve"> INCLUDEPICTURE  "http://uvb.igf.edu.pl/archiwum/uvb2022.png" \* MERGEFORMATINET </w:instrText>
      </w:r>
      <w:r w:rsidRPr="005E2831">
        <w:rPr>
          <w:rFonts w:ascii="Times New Roman" w:hAnsi="Times New Roman" w:cs="Times New Roman"/>
          <w:sz w:val="20"/>
          <w:szCs w:val="20"/>
        </w:rPr>
        <w:fldChar w:fldCharType="separate"/>
      </w:r>
      <w:r w:rsidRPr="005E2831">
        <w:rPr>
          <w:rFonts w:ascii="Times New Roman" w:hAnsi="Times New Roman" w:cs="Times New Roman"/>
          <w:sz w:val="20"/>
          <w:szCs w:val="20"/>
        </w:rPr>
        <w:fldChar w:fldCharType="begin"/>
      </w:r>
      <w:r w:rsidRPr="005E2831">
        <w:rPr>
          <w:rFonts w:ascii="Times New Roman" w:hAnsi="Times New Roman" w:cs="Times New Roman"/>
          <w:sz w:val="20"/>
          <w:szCs w:val="20"/>
        </w:rPr>
        <w:instrText xml:space="preserve"> INCLUDEPICTURE  "http://uvb.igf.edu.pl/archiwum/uvb2022.png" \* MERGEFORMATINET </w:instrText>
      </w:r>
      <w:r w:rsidRPr="005E2831">
        <w:rPr>
          <w:rFonts w:ascii="Times New Roman" w:hAnsi="Times New Roman" w:cs="Times New Roman"/>
          <w:sz w:val="20"/>
          <w:szCs w:val="20"/>
        </w:rPr>
        <w:fldChar w:fldCharType="separate"/>
      </w:r>
      <w:r w:rsidRPr="005E2831">
        <w:rPr>
          <w:rFonts w:ascii="Times New Roman" w:hAnsi="Times New Roman" w:cs="Times New Roman"/>
          <w:sz w:val="20"/>
          <w:szCs w:val="20"/>
        </w:rPr>
        <w:fldChar w:fldCharType="begin"/>
      </w:r>
      <w:r w:rsidRPr="005E2831">
        <w:rPr>
          <w:rFonts w:ascii="Times New Roman" w:hAnsi="Times New Roman" w:cs="Times New Roman"/>
          <w:sz w:val="20"/>
          <w:szCs w:val="20"/>
        </w:rPr>
        <w:instrText xml:space="preserve"> INCLUDEPICTURE  "http://uvb.igf.edu.pl/archiwum/uvb2022.png" \* MERGEFORMATINET </w:instrText>
      </w:r>
      <w:r w:rsidRPr="005E2831">
        <w:rPr>
          <w:rFonts w:ascii="Times New Roman" w:hAnsi="Times New Roman" w:cs="Times New Roman"/>
          <w:sz w:val="20"/>
          <w:szCs w:val="20"/>
        </w:rPr>
        <w:fldChar w:fldCharType="separate"/>
      </w:r>
      <w:r w:rsidRPr="005E2831">
        <w:rPr>
          <w:rFonts w:ascii="Times New Roman" w:hAnsi="Times New Roman" w:cs="Times New Roman"/>
          <w:sz w:val="20"/>
          <w:szCs w:val="20"/>
        </w:rPr>
        <w:fldChar w:fldCharType="begin"/>
      </w:r>
      <w:r w:rsidRPr="005E2831">
        <w:rPr>
          <w:rFonts w:ascii="Times New Roman" w:hAnsi="Times New Roman" w:cs="Times New Roman"/>
          <w:sz w:val="20"/>
          <w:szCs w:val="20"/>
        </w:rPr>
        <w:instrText xml:space="preserve"> INCLUDEPICTURE  "http://uvb.igf.edu.pl/archiwum/uvb2022.png" \* MERGEFORMATINET </w:instrText>
      </w:r>
      <w:r w:rsidRPr="005E2831">
        <w:rPr>
          <w:rFonts w:ascii="Times New Roman" w:hAnsi="Times New Roman" w:cs="Times New Roman"/>
          <w:sz w:val="20"/>
          <w:szCs w:val="20"/>
        </w:rPr>
        <w:fldChar w:fldCharType="separate"/>
      </w:r>
      <w:r>
        <w:rPr>
          <w:rFonts w:ascii="Times New Roman" w:hAnsi="Times New Roman" w:cs="Times New Roman"/>
          <w:sz w:val="20"/>
          <w:szCs w:val="20"/>
        </w:rPr>
        <w:fldChar w:fldCharType="begin"/>
      </w:r>
      <w:r>
        <w:rPr>
          <w:rFonts w:ascii="Times New Roman" w:hAnsi="Times New Roman" w:cs="Times New Roman"/>
          <w:sz w:val="20"/>
          <w:szCs w:val="20"/>
        </w:rPr>
        <w:instrText xml:space="preserve"> INCLUDEPICTURE  "http://uvb.igf.edu.pl/archiwum/uvb2022.png" \* MERGEFORMATINET </w:instrText>
      </w:r>
      <w:r>
        <w:rPr>
          <w:rFonts w:ascii="Times New Roman" w:hAnsi="Times New Roman" w:cs="Times New Roman"/>
          <w:sz w:val="20"/>
          <w:szCs w:val="20"/>
        </w:rPr>
        <w:fldChar w:fldCharType="separate"/>
      </w:r>
      <w:r>
        <w:rPr>
          <w:rFonts w:ascii="Times New Roman" w:hAnsi="Times New Roman" w:cs="Times New Roman"/>
          <w:sz w:val="20"/>
          <w:szCs w:val="20"/>
        </w:rPr>
        <w:fldChar w:fldCharType="begin"/>
      </w:r>
      <w:r>
        <w:rPr>
          <w:rFonts w:ascii="Times New Roman" w:hAnsi="Times New Roman" w:cs="Times New Roman"/>
          <w:sz w:val="20"/>
          <w:szCs w:val="20"/>
        </w:rPr>
        <w:instrText xml:space="preserve"> INCLUDEPICTURE  "http://uvb.igf.edu.pl/archiwum/uvb2022.png" \* MERGEFORMATINET </w:instrText>
      </w:r>
      <w:r>
        <w:rPr>
          <w:rFonts w:ascii="Times New Roman" w:hAnsi="Times New Roman" w:cs="Times New Roman"/>
          <w:sz w:val="20"/>
          <w:szCs w:val="20"/>
        </w:rPr>
        <w:fldChar w:fldCharType="separate"/>
      </w:r>
      <w:r>
        <w:rPr>
          <w:rFonts w:ascii="Times New Roman" w:hAnsi="Times New Roman" w:cs="Times New Roman"/>
          <w:sz w:val="20"/>
          <w:szCs w:val="20"/>
        </w:rPr>
        <w:fldChar w:fldCharType="begin"/>
      </w:r>
      <w:r>
        <w:rPr>
          <w:rFonts w:ascii="Times New Roman" w:hAnsi="Times New Roman" w:cs="Times New Roman"/>
          <w:sz w:val="20"/>
          <w:szCs w:val="20"/>
        </w:rPr>
        <w:instrText xml:space="preserve"> INCLUDEPICTURE  "http://uvb.igf.edu.pl/archiwum/uvb2022.png" \* MERGEFORMATINET </w:instrText>
      </w:r>
      <w:r>
        <w:rPr>
          <w:rFonts w:ascii="Times New Roman" w:hAnsi="Times New Roman" w:cs="Times New Roman"/>
          <w:sz w:val="20"/>
          <w:szCs w:val="20"/>
        </w:rPr>
        <w:fldChar w:fldCharType="separate"/>
      </w:r>
      <w:r>
        <w:rPr>
          <w:rFonts w:ascii="Times New Roman" w:hAnsi="Times New Roman" w:cs="Times New Roman"/>
          <w:sz w:val="20"/>
          <w:szCs w:val="20"/>
        </w:rPr>
        <w:fldChar w:fldCharType="begin"/>
      </w:r>
      <w:r>
        <w:rPr>
          <w:rFonts w:ascii="Times New Roman" w:hAnsi="Times New Roman" w:cs="Times New Roman"/>
          <w:sz w:val="20"/>
          <w:szCs w:val="20"/>
        </w:rPr>
        <w:instrText xml:space="preserve"> INCLUDEPICTURE  "http://uvb.igf.edu.pl/archiwum/uvb2022.png" \* MERGEFORMATINET </w:instrText>
      </w:r>
      <w:r>
        <w:rPr>
          <w:rFonts w:ascii="Times New Roman" w:hAnsi="Times New Roman" w:cs="Times New Roman"/>
          <w:sz w:val="20"/>
          <w:szCs w:val="20"/>
        </w:rPr>
        <w:fldChar w:fldCharType="separate"/>
      </w:r>
      <w:r>
        <w:rPr>
          <w:rFonts w:ascii="Times New Roman" w:hAnsi="Times New Roman" w:cs="Times New Roman"/>
          <w:sz w:val="20"/>
          <w:szCs w:val="20"/>
        </w:rPr>
        <w:fldChar w:fldCharType="begin"/>
      </w:r>
      <w:r>
        <w:rPr>
          <w:rFonts w:ascii="Times New Roman" w:hAnsi="Times New Roman" w:cs="Times New Roman"/>
          <w:sz w:val="20"/>
          <w:szCs w:val="20"/>
        </w:rPr>
        <w:instrText xml:space="preserve"> INCLUDEPICTURE  "http://uvb.igf.edu.pl/archiwum/uvb2022.png" \* MERGEFORMATINET </w:instrText>
      </w:r>
      <w:r>
        <w:rPr>
          <w:rFonts w:ascii="Times New Roman" w:hAnsi="Times New Roman" w:cs="Times New Roman"/>
          <w:sz w:val="20"/>
          <w:szCs w:val="20"/>
        </w:rPr>
        <w:fldChar w:fldCharType="separate"/>
      </w:r>
      <w:r>
        <w:rPr>
          <w:rFonts w:ascii="Times New Roman" w:hAnsi="Times New Roman" w:cs="Times New Roman"/>
          <w:sz w:val="20"/>
          <w:szCs w:val="20"/>
        </w:rPr>
        <w:fldChar w:fldCharType="begin"/>
      </w:r>
      <w:r>
        <w:rPr>
          <w:rFonts w:ascii="Times New Roman" w:hAnsi="Times New Roman" w:cs="Times New Roman"/>
          <w:sz w:val="20"/>
          <w:szCs w:val="20"/>
        </w:rPr>
        <w:instrText xml:space="preserve"> INCLUDEPICTURE  "http://uvb.igf.edu.pl/archiwum/uvb2022.png" \* MERGEFORMATINET </w:instrText>
      </w:r>
      <w:r>
        <w:rPr>
          <w:rFonts w:ascii="Times New Roman" w:hAnsi="Times New Roman" w:cs="Times New Roman"/>
          <w:sz w:val="20"/>
          <w:szCs w:val="20"/>
        </w:rPr>
        <w:fldChar w:fldCharType="separate"/>
      </w:r>
      <w:r>
        <w:rPr>
          <w:rFonts w:ascii="Times New Roman" w:hAnsi="Times New Roman" w:cs="Times New Roman"/>
          <w:sz w:val="20"/>
          <w:szCs w:val="20"/>
        </w:rPr>
        <w:fldChar w:fldCharType="begin"/>
      </w:r>
      <w:r>
        <w:rPr>
          <w:rFonts w:ascii="Times New Roman" w:hAnsi="Times New Roman" w:cs="Times New Roman"/>
          <w:sz w:val="20"/>
          <w:szCs w:val="20"/>
        </w:rPr>
        <w:instrText xml:space="preserve"> INCLUDEPICTURE  "http://uvb.igf.edu.pl/archiwum/uvb2022.png" \* MERGEFORMATINET </w:instrText>
      </w:r>
      <w:r>
        <w:rPr>
          <w:rFonts w:ascii="Times New Roman" w:hAnsi="Times New Roman" w:cs="Times New Roman"/>
          <w:sz w:val="20"/>
          <w:szCs w:val="20"/>
        </w:rPr>
        <w:fldChar w:fldCharType="separate"/>
      </w:r>
      <w:r>
        <w:rPr>
          <w:rFonts w:ascii="Times New Roman" w:hAnsi="Times New Roman" w:cs="Times New Roman"/>
          <w:sz w:val="20"/>
          <w:szCs w:val="20"/>
        </w:rPr>
        <w:fldChar w:fldCharType="begin"/>
      </w:r>
      <w:r>
        <w:rPr>
          <w:rFonts w:ascii="Times New Roman" w:hAnsi="Times New Roman" w:cs="Times New Roman"/>
          <w:sz w:val="20"/>
          <w:szCs w:val="20"/>
        </w:rPr>
        <w:instrText xml:space="preserve"> INCLUDEPICTURE  "http://uvb.igf.edu.pl/archiwum/uvb2022.png" \* MERGEFORMATINET </w:instrText>
      </w:r>
      <w:r>
        <w:rPr>
          <w:rFonts w:ascii="Times New Roman" w:hAnsi="Times New Roman" w:cs="Times New Roman"/>
          <w:sz w:val="20"/>
          <w:szCs w:val="20"/>
        </w:rPr>
        <w:fldChar w:fldCharType="separate"/>
      </w:r>
      <w:r w:rsidR="00DB2E04">
        <w:rPr>
          <w:rFonts w:ascii="Times New Roman" w:hAnsi="Times New Roman" w:cs="Times New Roman"/>
          <w:sz w:val="20"/>
          <w:szCs w:val="20"/>
        </w:rPr>
        <w:fldChar w:fldCharType="begin"/>
      </w:r>
      <w:r w:rsidR="00DB2E04">
        <w:rPr>
          <w:rFonts w:ascii="Times New Roman" w:hAnsi="Times New Roman" w:cs="Times New Roman"/>
          <w:sz w:val="20"/>
          <w:szCs w:val="20"/>
        </w:rPr>
        <w:instrText xml:space="preserve"> INCLUDEPICTURE  "http://uvb.igf.edu.pl/archiwum/uvb2022.png" \* MERGEFORMATINET </w:instrText>
      </w:r>
      <w:r w:rsidR="00DB2E04">
        <w:rPr>
          <w:rFonts w:ascii="Times New Roman" w:hAnsi="Times New Roman" w:cs="Times New Roman"/>
          <w:sz w:val="20"/>
          <w:szCs w:val="20"/>
        </w:rPr>
        <w:fldChar w:fldCharType="separate"/>
      </w:r>
      <w:r w:rsidR="00F32A02">
        <w:rPr>
          <w:rFonts w:ascii="Times New Roman" w:hAnsi="Times New Roman" w:cs="Times New Roman"/>
          <w:sz w:val="20"/>
          <w:szCs w:val="20"/>
        </w:rPr>
        <w:fldChar w:fldCharType="begin"/>
      </w:r>
      <w:r w:rsidR="00F32A02">
        <w:rPr>
          <w:rFonts w:ascii="Times New Roman" w:hAnsi="Times New Roman" w:cs="Times New Roman"/>
          <w:sz w:val="20"/>
          <w:szCs w:val="20"/>
        </w:rPr>
        <w:instrText xml:space="preserve"> INCLUDEPICTURE  "http://uvb.igf.edu.pl/archiwum/uvb2022.png" \* MERGEFORMATINET </w:instrText>
      </w:r>
      <w:r w:rsidR="00F32A02">
        <w:rPr>
          <w:rFonts w:ascii="Times New Roman" w:hAnsi="Times New Roman" w:cs="Times New Roman"/>
          <w:sz w:val="20"/>
          <w:szCs w:val="20"/>
        </w:rPr>
        <w:fldChar w:fldCharType="separate"/>
      </w:r>
      <w:r w:rsidR="00F54A47">
        <w:rPr>
          <w:rFonts w:ascii="Times New Roman" w:hAnsi="Times New Roman" w:cs="Times New Roman"/>
          <w:sz w:val="20"/>
          <w:szCs w:val="20"/>
        </w:rPr>
        <w:fldChar w:fldCharType="begin"/>
      </w:r>
      <w:r w:rsidR="00F54A47">
        <w:rPr>
          <w:rFonts w:ascii="Times New Roman" w:hAnsi="Times New Roman" w:cs="Times New Roman"/>
          <w:sz w:val="20"/>
          <w:szCs w:val="20"/>
        </w:rPr>
        <w:instrText xml:space="preserve"> INCLUDEPICTURE  "http://uvb.igf.edu.pl/archiwum/uvb2022.png" \* MERGEFORMATINET </w:instrText>
      </w:r>
      <w:r w:rsidR="00F54A47">
        <w:rPr>
          <w:rFonts w:ascii="Times New Roman" w:hAnsi="Times New Roman" w:cs="Times New Roman"/>
          <w:sz w:val="20"/>
          <w:szCs w:val="20"/>
        </w:rPr>
        <w:fldChar w:fldCharType="separate"/>
      </w:r>
      <w:r w:rsidR="00740B87">
        <w:rPr>
          <w:rFonts w:ascii="Times New Roman" w:hAnsi="Times New Roman" w:cs="Times New Roman"/>
          <w:sz w:val="20"/>
          <w:szCs w:val="20"/>
        </w:rPr>
        <w:fldChar w:fldCharType="begin"/>
      </w:r>
      <w:r w:rsidR="00740B87">
        <w:rPr>
          <w:rFonts w:ascii="Times New Roman" w:hAnsi="Times New Roman" w:cs="Times New Roman"/>
          <w:sz w:val="20"/>
          <w:szCs w:val="20"/>
        </w:rPr>
        <w:instrText xml:space="preserve"> INCLUDEPICTURE  "http://uvb.igf.edu.pl/archiwum/uvb2022.png" \* MERGEFORMATINET </w:instrText>
      </w:r>
      <w:r w:rsidR="00740B87">
        <w:rPr>
          <w:rFonts w:ascii="Times New Roman" w:hAnsi="Times New Roman" w:cs="Times New Roman"/>
          <w:sz w:val="20"/>
          <w:szCs w:val="20"/>
        </w:rPr>
        <w:fldChar w:fldCharType="separate"/>
      </w:r>
      <w:r w:rsidR="00DB6C50">
        <w:rPr>
          <w:rFonts w:ascii="Times New Roman" w:hAnsi="Times New Roman" w:cs="Times New Roman"/>
          <w:sz w:val="20"/>
          <w:szCs w:val="20"/>
        </w:rPr>
        <w:fldChar w:fldCharType="begin"/>
      </w:r>
      <w:r w:rsidR="00DB6C50">
        <w:rPr>
          <w:rFonts w:ascii="Times New Roman" w:hAnsi="Times New Roman" w:cs="Times New Roman"/>
          <w:sz w:val="20"/>
          <w:szCs w:val="20"/>
        </w:rPr>
        <w:instrText xml:space="preserve"> INCLUDEPICTURE  "http://uvb.igf.edu.pl/archiwum/uvb2022.png" \* MERGEFORMATINET </w:instrText>
      </w:r>
      <w:r w:rsidR="00DB6C50">
        <w:rPr>
          <w:rFonts w:ascii="Times New Roman" w:hAnsi="Times New Roman" w:cs="Times New Roman"/>
          <w:sz w:val="20"/>
          <w:szCs w:val="20"/>
        </w:rPr>
        <w:fldChar w:fldCharType="separate"/>
      </w:r>
      <w:r w:rsidR="005D5ED1">
        <w:rPr>
          <w:rFonts w:ascii="Times New Roman" w:hAnsi="Times New Roman" w:cs="Times New Roman"/>
          <w:sz w:val="20"/>
          <w:szCs w:val="20"/>
        </w:rPr>
        <w:fldChar w:fldCharType="begin"/>
      </w:r>
      <w:r w:rsidR="005D5ED1">
        <w:rPr>
          <w:rFonts w:ascii="Times New Roman" w:hAnsi="Times New Roman" w:cs="Times New Roman"/>
          <w:sz w:val="20"/>
          <w:szCs w:val="20"/>
        </w:rPr>
        <w:instrText xml:space="preserve"> INCLUDEPICTURE  "http://uvb.igf.edu.pl/archiwum/uvb2022.png" \* MERGEFORMATINET </w:instrText>
      </w:r>
      <w:r w:rsidR="005D5ED1">
        <w:rPr>
          <w:rFonts w:ascii="Times New Roman" w:hAnsi="Times New Roman" w:cs="Times New Roman"/>
          <w:sz w:val="20"/>
          <w:szCs w:val="20"/>
        </w:rPr>
        <w:fldChar w:fldCharType="separate"/>
      </w:r>
      <w:r w:rsidR="00A104D1">
        <w:rPr>
          <w:rFonts w:ascii="Times New Roman" w:hAnsi="Times New Roman" w:cs="Times New Roman"/>
          <w:sz w:val="20"/>
          <w:szCs w:val="20"/>
        </w:rPr>
        <w:fldChar w:fldCharType="begin"/>
      </w:r>
      <w:r w:rsidR="00A104D1">
        <w:rPr>
          <w:rFonts w:ascii="Times New Roman" w:hAnsi="Times New Roman" w:cs="Times New Roman"/>
          <w:sz w:val="20"/>
          <w:szCs w:val="20"/>
        </w:rPr>
        <w:instrText xml:space="preserve"> INCLUDEPICTURE  "http://uvb.igf.edu.pl/archiwum/uvb2022.png" \* MERGEFORMATINET </w:instrText>
      </w:r>
      <w:r w:rsidR="00A104D1">
        <w:rPr>
          <w:rFonts w:ascii="Times New Roman" w:hAnsi="Times New Roman" w:cs="Times New Roman"/>
          <w:sz w:val="20"/>
          <w:szCs w:val="20"/>
        </w:rPr>
        <w:fldChar w:fldCharType="separate"/>
      </w:r>
      <w:r w:rsidR="005C08F4">
        <w:rPr>
          <w:rFonts w:ascii="Times New Roman" w:hAnsi="Times New Roman" w:cs="Times New Roman"/>
          <w:sz w:val="20"/>
          <w:szCs w:val="20"/>
        </w:rPr>
        <w:fldChar w:fldCharType="begin"/>
      </w:r>
      <w:r w:rsidR="005C08F4">
        <w:rPr>
          <w:rFonts w:ascii="Times New Roman" w:hAnsi="Times New Roman" w:cs="Times New Roman"/>
          <w:sz w:val="20"/>
          <w:szCs w:val="20"/>
        </w:rPr>
        <w:instrText xml:space="preserve"> INCLUDEPICTURE  "http://uvb.igf.edu.pl/archiwum/uvb2022.png" \* MERGEFORMATINET </w:instrText>
      </w:r>
      <w:r w:rsidR="005C08F4">
        <w:rPr>
          <w:rFonts w:ascii="Times New Roman" w:hAnsi="Times New Roman" w:cs="Times New Roman"/>
          <w:sz w:val="20"/>
          <w:szCs w:val="20"/>
        </w:rPr>
        <w:fldChar w:fldCharType="separate"/>
      </w:r>
      <w:r w:rsidR="00224D2A">
        <w:rPr>
          <w:rFonts w:ascii="Times New Roman" w:hAnsi="Times New Roman" w:cs="Times New Roman"/>
          <w:sz w:val="20"/>
          <w:szCs w:val="20"/>
        </w:rPr>
        <w:fldChar w:fldCharType="begin"/>
      </w:r>
      <w:r w:rsidR="00224D2A">
        <w:rPr>
          <w:rFonts w:ascii="Times New Roman" w:hAnsi="Times New Roman" w:cs="Times New Roman"/>
          <w:sz w:val="20"/>
          <w:szCs w:val="20"/>
        </w:rPr>
        <w:instrText xml:space="preserve"> INCLUDEPICTURE  "http://uvb.igf.edu.pl/archiwum/uvb2022.png" \* MERGEFORMATINET </w:instrText>
      </w:r>
      <w:r w:rsidR="00224D2A">
        <w:rPr>
          <w:rFonts w:ascii="Times New Roman" w:hAnsi="Times New Roman" w:cs="Times New Roman"/>
          <w:sz w:val="20"/>
          <w:szCs w:val="20"/>
        </w:rPr>
        <w:fldChar w:fldCharType="separate"/>
      </w:r>
      <w:r w:rsidR="00A70AA2">
        <w:rPr>
          <w:rFonts w:ascii="Times New Roman" w:hAnsi="Times New Roman" w:cs="Times New Roman"/>
          <w:sz w:val="20"/>
          <w:szCs w:val="20"/>
        </w:rPr>
        <w:fldChar w:fldCharType="begin"/>
      </w:r>
      <w:r w:rsidR="00A70AA2">
        <w:rPr>
          <w:rFonts w:ascii="Times New Roman" w:hAnsi="Times New Roman" w:cs="Times New Roman"/>
          <w:sz w:val="20"/>
          <w:szCs w:val="20"/>
        </w:rPr>
        <w:instrText xml:space="preserve"> INCLUDEPICTURE  "http://uvb.igf.edu.pl/archiwum/uvb2022.png" \* MERGEFORMATINET </w:instrText>
      </w:r>
      <w:r w:rsidR="00A70AA2">
        <w:rPr>
          <w:rFonts w:ascii="Times New Roman" w:hAnsi="Times New Roman" w:cs="Times New Roman"/>
          <w:sz w:val="20"/>
          <w:szCs w:val="20"/>
        </w:rPr>
        <w:fldChar w:fldCharType="separate"/>
      </w:r>
      <w:r w:rsidR="00B27D81">
        <w:rPr>
          <w:rFonts w:ascii="Times New Roman" w:hAnsi="Times New Roman" w:cs="Times New Roman"/>
          <w:sz w:val="20"/>
          <w:szCs w:val="20"/>
        </w:rPr>
        <w:fldChar w:fldCharType="begin"/>
      </w:r>
      <w:r w:rsidR="00B27D81">
        <w:rPr>
          <w:rFonts w:ascii="Times New Roman" w:hAnsi="Times New Roman" w:cs="Times New Roman"/>
          <w:sz w:val="20"/>
          <w:szCs w:val="20"/>
        </w:rPr>
        <w:instrText xml:space="preserve"> INCLUDEPICTURE  "http://uvb.igf.edu.pl/archiwum/uvb2022.png" \* MERGEFORMATINET </w:instrText>
      </w:r>
      <w:r w:rsidR="00B27D81">
        <w:rPr>
          <w:rFonts w:ascii="Times New Roman" w:hAnsi="Times New Roman" w:cs="Times New Roman"/>
          <w:sz w:val="20"/>
          <w:szCs w:val="20"/>
        </w:rPr>
        <w:fldChar w:fldCharType="separate"/>
      </w:r>
      <w:r w:rsidR="00811286">
        <w:rPr>
          <w:rFonts w:ascii="Times New Roman" w:hAnsi="Times New Roman" w:cs="Times New Roman"/>
          <w:sz w:val="20"/>
          <w:szCs w:val="20"/>
        </w:rPr>
        <w:fldChar w:fldCharType="begin"/>
      </w:r>
      <w:r w:rsidR="00811286">
        <w:rPr>
          <w:rFonts w:ascii="Times New Roman" w:hAnsi="Times New Roman" w:cs="Times New Roman"/>
          <w:sz w:val="20"/>
          <w:szCs w:val="20"/>
        </w:rPr>
        <w:instrText xml:space="preserve"> INCLUDEPICTURE  "http://uvb.igf.edu.pl/archiwum/uvb2022.png" \* MERGEFORMATINET </w:instrText>
      </w:r>
      <w:r w:rsidR="00811286">
        <w:rPr>
          <w:rFonts w:ascii="Times New Roman" w:hAnsi="Times New Roman" w:cs="Times New Roman"/>
          <w:sz w:val="20"/>
          <w:szCs w:val="20"/>
        </w:rPr>
        <w:fldChar w:fldCharType="separate"/>
      </w:r>
      <w:r w:rsidR="0052194D">
        <w:rPr>
          <w:rFonts w:ascii="Times New Roman" w:hAnsi="Times New Roman" w:cs="Times New Roman"/>
          <w:sz w:val="20"/>
          <w:szCs w:val="20"/>
        </w:rPr>
        <w:fldChar w:fldCharType="begin"/>
      </w:r>
      <w:r w:rsidR="0052194D">
        <w:rPr>
          <w:rFonts w:ascii="Times New Roman" w:hAnsi="Times New Roman" w:cs="Times New Roman"/>
          <w:sz w:val="20"/>
          <w:szCs w:val="20"/>
        </w:rPr>
        <w:instrText xml:space="preserve"> INCLUDEPICTURE  "http://uvb.igf.edu.pl/archiwum/uvb2022.png" \* MERGEFORMATINET </w:instrText>
      </w:r>
      <w:r w:rsidR="0052194D">
        <w:rPr>
          <w:rFonts w:ascii="Times New Roman" w:hAnsi="Times New Roman" w:cs="Times New Roman"/>
          <w:sz w:val="20"/>
          <w:szCs w:val="20"/>
        </w:rPr>
        <w:fldChar w:fldCharType="separate"/>
      </w:r>
      <w:r w:rsidR="00466585">
        <w:rPr>
          <w:rFonts w:ascii="Times New Roman" w:hAnsi="Times New Roman" w:cs="Times New Roman"/>
          <w:sz w:val="20"/>
          <w:szCs w:val="20"/>
        </w:rPr>
        <w:fldChar w:fldCharType="begin"/>
      </w:r>
      <w:r w:rsidR="00466585">
        <w:rPr>
          <w:rFonts w:ascii="Times New Roman" w:hAnsi="Times New Roman" w:cs="Times New Roman"/>
          <w:sz w:val="20"/>
          <w:szCs w:val="20"/>
        </w:rPr>
        <w:instrText xml:space="preserve"> INCLUDEPICTURE  "http://uvb.igf.edu.pl/archiwum/uvb2022.png" \* MERGEFORMATINET </w:instrText>
      </w:r>
      <w:r w:rsidR="00466585">
        <w:rPr>
          <w:rFonts w:ascii="Times New Roman" w:hAnsi="Times New Roman" w:cs="Times New Roman"/>
          <w:sz w:val="20"/>
          <w:szCs w:val="20"/>
        </w:rPr>
        <w:fldChar w:fldCharType="separate"/>
      </w:r>
      <w:r w:rsidR="005F6965">
        <w:rPr>
          <w:rFonts w:ascii="Times New Roman" w:hAnsi="Times New Roman" w:cs="Times New Roman"/>
          <w:sz w:val="20"/>
          <w:szCs w:val="20"/>
        </w:rPr>
        <w:fldChar w:fldCharType="begin"/>
      </w:r>
      <w:r w:rsidR="005F6965">
        <w:rPr>
          <w:rFonts w:ascii="Times New Roman" w:hAnsi="Times New Roman" w:cs="Times New Roman"/>
          <w:sz w:val="20"/>
          <w:szCs w:val="20"/>
        </w:rPr>
        <w:instrText xml:space="preserve"> INCLUDEPICTURE  "http://uvb.igf.edu.pl/archiwum/uvb2022.png" \* MERGEFORMATINET </w:instrText>
      </w:r>
      <w:r w:rsidR="005F6965">
        <w:rPr>
          <w:rFonts w:ascii="Times New Roman" w:hAnsi="Times New Roman" w:cs="Times New Roman"/>
          <w:sz w:val="20"/>
          <w:szCs w:val="20"/>
        </w:rPr>
        <w:fldChar w:fldCharType="separate"/>
      </w:r>
      <w:r w:rsidR="00A61720">
        <w:rPr>
          <w:rFonts w:ascii="Times New Roman" w:hAnsi="Times New Roman" w:cs="Times New Roman"/>
          <w:sz w:val="20"/>
          <w:szCs w:val="20"/>
        </w:rPr>
        <w:fldChar w:fldCharType="begin"/>
      </w:r>
      <w:r w:rsidR="00A61720">
        <w:rPr>
          <w:rFonts w:ascii="Times New Roman" w:hAnsi="Times New Roman" w:cs="Times New Roman"/>
          <w:sz w:val="20"/>
          <w:szCs w:val="20"/>
        </w:rPr>
        <w:instrText xml:space="preserve"> INCLUDEPICTURE  "http://uvb.igf.edu.pl/archiwum/uvb2022.png" \* MERGEFORMATINET </w:instrText>
      </w:r>
      <w:r w:rsidR="00A61720">
        <w:rPr>
          <w:rFonts w:ascii="Times New Roman" w:hAnsi="Times New Roman" w:cs="Times New Roman"/>
          <w:sz w:val="20"/>
          <w:szCs w:val="20"/>
        </w:rPr>
        <w:fldChar w:fldCharType="separate"/>
      </w:r>
      <w:r w:rsidR="00764ADA">
        <w:rPr>
          <w:rFonts w:ascii="Times New Roman" w:hAnsi="Times New Roman" w:cs="Times New Roman"/>
          <w:sz w:val="20"/>
          <w:szCs w:val="20"/>
        </w:rPr>
        <w:fldChar w:fldCharType="begin"/>
      </w:r>
      <w:r w:rsidR="00764ADA">
        <w:rPr>
          <w:rFonts w:ascii="Times New Roman" w:hAnsi="Times New Roman" w:cs="Times New Roman"/>
          <w:sz w:val="20"/>
          <w:szCs w:val="20"/>
        </w:rPr>
        <w:instrText xml:space="preserve"> INCLUDEPICTURE  "http://uvb.igf.edu.pl/archiwum/uvb2022.png" \* MERGEFORMATINET </w:instrText>
      </w:r>
      <w:r w:rsidR="00764ADA">
        <w:rPr>
          <w:rFonts w:ascii="Times New Roman" w:hAnsi="Times New Roman" w:cs="Times New Roman"/>
          <w:sz w:val="20"/>
          <w:szCs w:val="20"/>
        </w:rPr>
        <w:fldChar w:fldCharType="separate"/>
      </w:r>
      <w:r w:rsidR="00E7722E">
        <w:rPr>
          <w:rFonts w:ascii="Times New Roman" w:hAnsi="Times New Roman" w:cs="Times New Roman"/>
          <w:sz w:val="20"/>
          <w:szCs w:val="20"/>
        </w:rPr>
        <w:fldChar w:fldCharType="begin"/>
      </w:r>
      <w:r w:rsidR="00E7722E">
        <w:rPr>
          <w:rFonts w:ascii="Times New Roman" w:hAnsi="Times New Roman" w:cs="Times New Roman"/>
          <w:sz w:val="20"/>
          <w:szCs w:val="20"/>
        </w:rPr>
        <w:instrText xml:space="preserve"> INCLUDEPICTURE  "http://uvb.igf.edu.pl/archiwum/uvb2022.png" \* MERGEFORMATINET </w:instrText>
      </w:r>
      <w:r w:rsidR="00E7722E">
        <w:rPr>
          <w:rFonts w:ascii="Times New Roman" w:hAnsi="Times New Roman" w:cs="Times New Roman"/>
          <w:sz w:val="20"/>
          <w:szCs w:val="20"/>
        </w:rPr>
        <w:fldChar w:fldCharType="separate"/>
      </w:r>
      <w:r w:rsidR="009364CB">
        <w:rPr>
          <w:rFonts w:ascii="Times New Roman" w:hAnsi="Times New Roman" w:cs="Times New Roman"/>
          <w:sz w:val="20"/>
          <w:szCs w:val="20"/>
        </w:rPr>
        <w:fldChar w:fldCharType="begin"/>
      </w:r>
      <w:r w:rsidR="009364CB">
        <w:rPr>
          <w:rFonts w:ascii="Times New Roman" w:hAnsi="Times New Roman" w:cs="Times New Roman"/>
          <w:sz w:val="20"/>
          <w:szCs w:val="20"/>
        </w:rPr>
        <w:instrText xml:space="preserve"> INCLUDEPICTURE  "http://uvb.igf.edu.pl/archiwum/uvb2022.png" \* MERGEFORMATINET </w:instrText>
      </w:r>
      <w:r w:rsidR="009364CB">
        <w:rPr>
          <w:rFonts w:ascii="Times New Roman" w:hAnsi="Times New Roman" w:cs="Times New Roman"/>
          <w:sz w:val="20"/>
          <w:szCs w:val="20"/>
        </w:rPr>
        <w:fldChar w:fldCharType="separate"/>
      </w:r>
      <w:r w:rsidR="00363201">
        <w:rPr>
          <w:rFonts w:ascii="Times New Roman" w:hAnsi="Times New Roman" w:cs="Times New Roman"/>
          <w:sz w:val="20"/>
          <w:szCs w:val="20"/>
        </w:rPr>
        <w:fldChar w:fldCharType="begin"/>
      </w:r>
      <w:r w:rsidR="00363201">
        <w:rPr>
          <w:rFonts w:ascii="Times New Roman" w:hAnsi="Times New Roman" w:cs="Times New Roman"/>
          <w:sz w:val="20"/>
          <w:szCs w:val="20"/>
        </w:rPr>
        <w:instrText xml:space="preserve"> INCLUDEPICTURE  "http://uvb.igf.edu.pl/archiwum/uvb2022.png" \* MERGEFORMATINET </w:instrText>
      </w:r>
      <w:r w:rsidR="00363201">
        <w:rPr>
          <w:rFonts w:ascii="Times New Roman" w:hAnsi="Times New Roman" w:cs="Times New Roman"/>
          <w:sz w:val="20"/>
          <w:szCs w:val="20"/>
        </w:rPr>
        <w:fldChar w:fldCharType="separate"/>
      </w:r>
      <w:r w:rsidR="00753F18">
        <w:rPr>
          <w:rFonts w:ascii="Times New Roman" w:hAnsi="Times New Roman" w:cs="Times New Roman"/>
          <w:sz w:val="20"/>
          <w:szCs w:val="20"/>
        </w:rPr>
        <w:fldChar w:fldCharType="begin"/>
      </w:r>
      <w:r w:rsidR="00753F18">
        <w:rPr>
          <w:rFonts w:ascii="Times New Roman" w:hAnsi="Times New Roman" w:cs="Times New Roman"/>
          <w:sz w:val="20"/>
          <w:szCs w:val="20"/>
        </w:rPr>
        <w:instrText xml:space="preserve"> INCLUDEPICTURE  "http://uvb.igf.edu.pl/archiwum/uvb2022.png" \* MERGEFORMATINET </w:instrText>
      </w:r>
      <w:r w:rsidR="00753F18">
        <w:rPr>
          <w:rFonts w:ascii="Times New Roman" w:hAnsi="Times New Roman" w:cs="Times New Roman"/>
          <w:sz w:val="20"/>
          <w:szCs w:val="20"/>
        </w:rPr>
        <w:fldChar w:fldCharType="separate"/>
      </w:r>
      <w:r w:rsidR="00ED7777">
        <w:rPr>
          <w:rFonts w:ascii="Times New Roman" w:hAnsi="Times New Roman" w:cs="Times New Roman"/>
          <w:sz w:val="20"/>
          <w:szCs w:val="20"/>
        </w:rPr>
        <w:fldChar w:fldCharType="begin"/>
      </w:r>
      <w:r w:rsidR="00ED7777">
        <w:rPr>
          <w:rFonts w:ascii="Times New Roman" w:hAnsi="Times New Roman" w:cs="Times New Roman"/>
          <w:sz w:val="20"/>
          <w:szCs w:val="20"/>
        </w:rPr>
        <w:instrText xml:space="preserve"> INCLUDEPICTURE  "http://uvb.igf.edu.pl/archiwum/uvb2022.png" \* MERGEFORMATINET </w:instrText>
      </w:r>
      <w:r w:rsidR="00ED7777">
        <w:rPr>
          <w:rFonts w:ascii="Times New Roman" w:hAnsi="Times New Roman" w:cs="Times New Roman"/>
          <w:sz w:val="20"/>
          <w:szCs w:val="20"/>
        </w:rPr>
        <w:fldChar w:fldCharType="separate"/>
      </w:r>
      <w:r w:rsidR="00DA1745">
        <w:rPr>
          <w:rFonts w:ascii="Times New Roman" w:hAnsi="Times New Roman" w:cs="Times New Roman"/>
          <w:sz w:val="20"/>
          <w:szCs w:val="20"/>
        </w:rPr>
        <w:fldChar w:fldCharType="begin"/>
      </w:r>
      <w:r w:rsidR="00DA1745">
        <w:rPr>
          <w:rFonts w:ascii="Times New Roman" w:hAnsi="Times New Roman" w:cs="Times New Roman"/>
          <w:sz w:val="20"/>
          <w:szCs w:val="20"/>
        </w:rPr>
        <w:instrText xml:space="preserve"> INCLUDEPICTURE  "http://uvb.igf.edu.pl/archiwum/uvb2022.png" \* MERGEFORMATINET </w:instrText>
      </w:r>
      <w:r w:rsidR="00DA1745">
        <w:rPr>
          <w:rFonts w:ascii="Times New Roman" w:hAnsi="Times New Roman" w:cs="Times New Roman"/>
          <w:sz w:val="20"/>
          <w:szCs w:val="20"/>
        </w:rPr>
        <w:fldChar w:fldCharType="separate"/>
      </w:r>
      <w:r w:rsidR="00842947">
        <w:rPr>
          <w:rFonts w:ascii="Times New Roman" w:hAnsi="Times New Roman" w:cs="Times New Roman"/>
          <w:sz w:val="20"/>
          <w:szCs w:val="20"/>
        </w:rPr>
        <w:fldChar w:fldCharType="begin"/>
      </w:r>
      <w:r w:rsidR="00842947">
        <w:rPr>
          <w:rFonts w:ascii="Times New Roman" w:hAnsi="Times New Roman" w:cs="Times New Roman"/>
          <w:sz w:val="20"/>
          <w:szCs w:val="20"/>
        </w:rPr>
        <w:instrText xml:space="preserve"> INCLUDEPICTURE  "http://uvb.igf.edu.pl/archiwum/uvb2022.png" \* MERGEFORMATINET </w:instrText>
      </w:r>
      <w:r w:rsidR="00842947">
        <w:rPr>
          <w:rFonts w:ascii="Times New Roman" w:hAnsi="Times New Roman" w:cs="Times New Roman"/>
          <w:sz w:val="20"/>
          <w:szCs w:val="20"/>
        </w:rPr>
        <w:fldChar w:fldCharType="separate"/>
      </w:r>
      <w:r w:rsidR="00624913">
        <w:rPr>
          <w:rFonts w:ascii="Times New Roman" w:hAnsi="Times New Roman" w:cs="Times New Roman"/>
          <w:sz w:val="20"/>
          <w:szCs w:val="20"/>
        </w:rPr>
        <w:fldChar w:fldCharType="begin"/>
      </w:r>
      <w:r w:rsidR="00624913">
        <w:rPr>
          <w:rFonts w:ascii="Times New Roman" w:hAnsi="Times New Roman" w:cs="Times New Roman"/>
          <w:sz w:val="20"/>
          <w:szCs w:val="20"/>
        </w:rPr>
        <w:instrText xml:space="preserve"> INCLUDEPICTURE  "http://uvb.igf.edu.pl/archiwum/uvb2022.png" \* MERGEFORMATINET </w:instrText>
      </w:r>
      <w:r w:rsidR="00624913">
        <w:rPr>
          <w:rFonts w:ascii="Times New Roman" w:hAnsi="Times New Roman" w:cs="Times New Roman"/>
          <w:sz w:val="20"/>
          <w:szCs w:val="20"/>
        </w:rPr>
        <w:fldChar w:fldCharType="separate"/>
      </w:r>
      <w:r w:rsidR="003265A5">
        <w:rPr>
          <w:rFonts w:ascii="Times New Roman" w:hAnsi="Times New Roman" w:cs="Times New Roman"/>
          <w:sz w:val="20"/>
          <w:szCs w:val="20"/>
        </w:rPr>
        <w:fldChar w:fldCharType="begin"/>
      </w:r>
      <w:r w:rsidR="003265A5">
        <w:rPr>
          <w:rFonts w:ascii="Times New Roman" w:hAnsi="Times New Roman" w:cs="Times New Roman"/>
          <w:sz w:val="20"/>
          <w:szCs w:val="20"/>
        </w:rPr>
        <w:instrText xml:space="preserve"> INCLUDEPICTURE  "http://uvb.igf.edu.pl/archiwum/uvb2022.png" \* MERGEFORMATINET </w:instrText>
      </w:r>
      <w:r w:rsidR="003265A5">
        <w:rPr>
          <w:rFonts w:ascii="Times New Roman" w:hAnsi="Times New Roman" w:cs="Times New Roman"/>
          <w:sz w:val="20"/>
          <w:szCs w:val="20"/>
        </w:rPr>
        <w:fldChar w:fldCharType="separate"/>
      </w:r>
      <w:r w:rsidR="00C1212E">
        <w:rPr>
          <w:rFonts w:ascii="Times New Roman" w:hAnsi="Times New Roman" w:cs="Times New Roman"/>
          <w:sz w:val="20"/>
          <w:szCs w:val="20"/>
        </w:rPr>
        <w:fldChar w:fldCharType="begin"/>
      </w:r>
      <w:r w:rsidR="00C1212E">
        <w:rPr>
          <w:rFonts w:ascii="Times New Roman" w:hAnsi="Times New Roman" w:cs="Times New Roman"/>
          <w:sz w:val="20"/>
          <w:szCs w:val="20"/>
        </w:rPr>
        <w:instrText xml:space="preserve"> INCLUDEPICTURE  "http://uvb.igf.edu.pl/archiwum/uvb2022.png" \* MERGEFORMATINET </w:instrText>
      </w:r>
      <w:r w:rsidR="00C1212E">
        <w:rPr>
          <w:rFonts w:ascii="Times New Roman" w:hAnsi="Times New Roman" w:cs="Times New Roman"/>
          <w:sz w:val="20"/>
          <w:szCs w:val="20"/>
        </w:rPr>
        <w:fldChar w:fldCharType="separate"/>
      </w:r>
      <w:r w:rsidR="00A25F00">
        <w:rPr>
          <w:rFonts w:ascii="Times New Roman" w:hAnsi="Times New Roman" w:cs="Times New Roman"/>
          <w:sz w:val="20"/>
          <w:szCs w:val="20"/>
        </w:rPr>
        <w:fldChar w:fldCharType="begin"/>
      </w:r>
      <w:r w:rsidR="00A25F00">
        <w:rPr>
          <w:rFonts w:ascii="Times New Roman" w:hAnsi="Times New Roman" w:cs="Times New Roman"/>
          <w:sz w:val="20"/>
          <w:szCs w:val="20"/>
        </w:rPr>
        <w:instrText xml:space="preserve"> INCLUDEPICTURE  "http://uvb.igf.edu.pl/archiwum/uvb2022.png" \* MERGEFORMATINET </w:instrText>
      </w:r>
      <w:r w:rsidR="00A25F00">
        <w:rPr>
          <w:rFonts w:ascii="Times New Roman" w:hAnsi="Times New Roman" w:cs="Times New Roman"/>
          <w:sz w:val="20"/>
          <w:szCs w:val="20"/>
        </w:rPr>
        <w:fldChar w:fldCharType="separate"/>
      </w:r>
      <w:r w:rsidR="00A87581">
        <w:rPr>
          <w:rFonts w:ascii="Times New Roman" w:hAnsi="Times New Roman" w:cs="Times New Roman"/>
          <w:sz w:val="20"/>
          <w:szCs w:val="20"/>
        </w:rPr>
        <w:fldChar w:fldCharType="begin"/>
      </w:r>
      <w:r w:rsidR="00A87581">
        <w:rPr>
          <w:rFonts w:ascii="Times New Roman" w:hAnsi="Times New Roman" w:cs="Times New Roman"/>
          <w:sz w:val="20"/>
          <w:szCs w:val="20"/>
        </w:rPr>
        <w:instrText xml:space="preserve"> INCLUDEPICTURE  "http://uvb.igf.edu.pl/archiwum/uvb2022.png" \* MERGEFORMATINET </w:instrText>
      </w:r>
      <w:r w:rsidR="00A87581">
        <w:rPr>
          <w:rFonts w:ascii="Times New Roman" w:hAnsi="Times New Roman" w:cs="Times New Roman"/>
          <w:sz w:val="20"/>
          <w:szCs w:val="20"/>
        </w:rPr>
        <w:fldChar w:fldCharType="separate"/>
      </w:r>
      <w:r w:rsidR="0045205E">
        <w:rPr>
          <w:rFonts w:ascii="Times New Roman" w:hAnsi="Times New Roman" w:cs="Times New Roman"/>
          <w:sz w:val="20"/>
          <w:szCs w:val="20"/>
        </w:rPr>
        <w:fldChar w:fldCharType="begin"/>
      </w:r>
      <w:r w:rsidR="0045205E">
        <w:rPr>
          <w:rFonts w:ascii="Times New Roman" w:hAnsi="Times New Roman" w:cs="Times New Roman"/>
          <w:sz w:val="20"/>
          <w:szCs w:val="20"/>
        </w:rPr>
        <w:instrText xml:space="preserve"> INCLUDEPICTURE  "http://uvb.igf.edu.pl/archiwum/uvb2022.png" \* MERGEFORMATINET </w:instrText>
      </w:r>
      <w:r w:rsidR="0045205E">
        <w:rPr>
          <w:rFonts w:ascii="Times New Roman" w:hAnsi="Times New Roman" w:cs="Times New Roman"/>
          <w:sz w:val="20"/>
          <w:szCs w:val="20"/>
        </w:rPr>
        <w:fldChar w:fldCharType="separate"/>
      </w:r>
      <w:r w:rsidR="006A0254">
        <w:rPr>
          <w:rFonts w:ascii="Times New Roman" w:hAnsi="Times New Roman" w:cs="Times New Roman"/>
          <w:sz w:val="20"/>
          <w:szCs w:val="20"/>
        </w:rPr>
        <w:fldChar w:fldCharType="begin"/>
      </w:r>
      <w:r w:rsidR="006A0254">
        <w:rPr>
          <w:rFonts w:ascii="Times New Roman" w:hAnsi="Times New Roman" w:cs="Times New Roman"/>
          <w:sz w:val="20"/>
          <w:szCs w:val="20"/>
        </w:rPr>
        <w:instrText xml:space="preserve"> INCLUDEPICTURE  "http://uvb.igf.edu.pl/archiwum/uvb2022.png" \* MERGEFORMATINET </w:instrText>
      </w:r>
      <w:r w:rsidR="006A0254">
        <w:rPr>
          <w:rFonts w:ascii="Times New Roman" w:hAnsi="Times New Roman" w:cs="Times New Roman"/>
          <w:sz w:val="20"/>
          <w:szCs w:val="20"/>
        </w:rPr>
        <w:fldChar w:fldCharType="separate"/>
      </w:r>
      <w:r w:rsidR="00A5399A">
        <w:rPr>
          <w:rFonts w:ascii="Times New Roman" w:hAnsi="Times New Roman" w:cs="Times New Roman"/>
          <w:sz w:val="20"/>
          <w:szCs w:val="20"/>
        </w:rPr>
        <w:fldChar w:fldCharType="begin"/>
      </w:r>
      <w:r w:rsidR="00A5399A">
        <w:rPr>
          <w:rFonts w:ascii="Times New Roman" w:hAnsi="Times New Roman" w:cs="Times New Roman"/>
          <w:sz w:val="20"/>
          <w:szCs w:val="20"/>
        </w:rPr>
        <w:instrText xml:space="preserve"> INCLUDEPICTURE  "http://uvb.igf.edu.pl/archiwum/uvb2022.png" \* MERGEFORMATINET </w:instrText>
      </w:r>
      <w:r w:rsidR="00A5399A">
        <w:rPr>
          <w:rFonts w:ascii="Times New Roman" w:hAnsi="Times New Roman" w:cs="Times New Roman"/>
          <w:sz w:val="20"/>
          <w:szCs w:val="20"/>
        </w:rPr>
        <w:fldChar w:fldCharType="separate"/>
      </w:r>
      <w:r w:rsidR="00F459E7">
        <w:rPr>
          <w:rFonts w:ascii="Times New Roman" w:hAnsi="Times New Roman" w:cs="Times New Roman"/>
          <w:sz w:val="20"/>
          <w:szCs w:val="20"/>
        </w:rPr>
        <w:fldChar w:fldCharType="begin"/>
      </w:r>
      <w:r w:rsidR="00F459E7">
        <w:rPr>
          <w:rFonts w:ascii="Times New Roman" w:hAnsi="Times New Roman" w:cs="Times New Roman"/>
          <w:sz w:val="20"/>
          <w:szCs w:val="20"/>
        </w:rPr>
        <w:instrText xml:space="preserve"> INCLUDEPICTURE  "http://uvb.igf.edu.pl/archiwum/uvb2022.png" \* MERGEFORMATINET </w:instrText>
      </w:r>
      <w:r w:rsidR="00F459E7">
        <w:rPr>
          <w:rFonts w:ascii="Times New Roman" w:hAnsi="Times New Roman" w:cs="Times New Roman"/>
          <w:sz w:val="20"/>
          <w:szCs w:val="20"/>
        </w:rPr>
        <w:fldChar w:fldCharType="separate"/>
      </w:r>
      <w:r w:rsidR="00777759">
        <w:rPr>
          <w:rFonts w:ascii="Times New Roman" w:hAnsi="Times New Roman" w:cs="Times New Roman"/>
          <w:sz w:val="20"/>
          <w:szCs w:val="20"/>
        </w:rPr>
        <w:fldChar w:fldCharType="begin"/>
      </w:r>
      <w:r w:rsidR="00777759">
        <w:rPr>
          <w:rFonts w:ascii="Times New Roman" w:hAnsi="Times New Roman" w:cs="Times New Roman"/>
          <w:sz w:val="20"/>
          <w:szCs w:val="20"/>
        </w:rPr>
        <w:instrText xml:space="preserve"> INCLUDEPICTURE  "http://uvb.igf.edu.pl/archiwum/uvb2022.png" \* MERGEFORMATINET </w:instrText>
      </w:r>
      <w:r w:rsidR="00777759">
        <w:rPr>
          <w:rFonts w:ascii="Times New Roman" w:hAnsi="Times New Roman" w:cs="Times New Roman"/>
          <w:sz w:val="20"/>
          <w:szCs w:val="20"/>
        </w:rPr>
        <w:fldChar w:fldCharType="separate"/>
      </w:r>
      <w:r w:rsidR="006529A9">
        <w:rPr>
          <w:rFonts w:ascii="Times New Roman" w:hAnsi="Times New Roman" w:cs="Times New Roman"/>
          <w:sz w:val="20"/>
          <w:szCs w:val="20"/>
        </w:rPr>
        <w:fldChar w:fldCharType="begin"/>
      </w:r>
      <w:r w:rsidR="006529A9">
        <w:rPr>
          <w:rFonts w:ascii="Times New Roman" w:hAnsi="Times New Roman" w:cs="Times New Roman"/>
          <w:sz w:val="20"/>
          <w:szCs w:val="20"/>
        </w:rPr>
        <w:instrText xml:space="preserve"> INCLUDEPICTURE  "http://uvb.igf.edu.pl/archiwum/uvb2022.png" \* MERGEFORMATINET </w:instrText>
      </w:r>
      <w:r w:rsidR="006529A9">
        <w:rPr>
          <w:rFonts w:ascii="Times New Roman" w:hAnsi="Times New Roman" w:cs="Times New Roman"/>
          <w:sz w:val="20"/>
          <w:szCs w:val="20"/>
        </w:rPr>
        <w:fldChar w:fldCharType="separate"/>
      </w:r>
      <w:r w:rsidR="00E8307D">
        <w:rPr>
          <w:rFonts w:ascii="Times New Roman" w:hAnsi="Times New Roman" w:cs="Times New Roman"/>
          <w:sz w:val="20"/>
          <w:szCs w:val="20"/>
        </w:rPr>
        <w:fldChar w:fldCharType="begin"/>
      </w:r>
      <w:r w:rsidR="00E8307D">
        <w:rPr>
          <w:rFonts w:ascii="Times New Roman" w:hAnsi="Times New Roman" w:cs="Times New Roman"/>
          <w:sz w:val="20"/>
          <w:szCs w:val="20"/>
        </w:rPr>
        <w:instrText xml:space="preserve"> INCLUDEPICTURE  "http://uvb.igf.edu.pl/archiwum/uvb2022.png" \* MERGEFORMATINET </w:instrText>
      </w:r>
      <w:r w:rsidR="00E8307D">
        <w:rPr>
          <w:rFonts w:ascii="Times New Roman" w:hAnsi="Times New Roman" w:cs="Times New Roman"/>
          <w:sz w:val="20"/>
          <w:szCs w:val="20"/>
        </w:rPr>
        <w:fldChar w:fldCharType="separate"/>
      </w:r>
      <w:r w:rsidR="007125A7">
        <w:rPr>
          <w:rFonts w:ascii="Times New Roman" w:hAnsi="Times New Roman" w:cs="Times New Roman"/>
          <w:sz w:val="20"/>
          <w:szCs w:val="20"/>
        </w:rPr>
        <w:fldChar w:fldCharType="begin"/>
      </w:r>
      <w:r w:rsidR="007125A7">
        <w:rPr>
          <w:rFonts w:ascii="Times New Roman" w:hAnsi="Times New Roman" w:cs="Times New Roman"/>
          <w:sz w:val="20"/>
          <w:szCs w:val="20"/>
        </w:rPr>
        <w:instrText xml:space="preserve"> INCLUDEPICTURE  "http://uvb.igf.edu.pl/archiwum/uvb2022.png" \* MERGEFORMATINET </w:instrText>
      </w:r>
      <w:r w:rsidR="007125A7">
        <w:rPr>
          <w:rFonts w:ascii="Times New Roman" w:hAnsi="Times New Roman" w:cs="Times New Roman"/>
          <w:sz w:val="20"/>
          <w:szCs w:val="20"/>
        </w:rPr>
        <w:fldChar w:fldCharType="separate"/>
      </w:r>
      <w:r w:rsidR="00DE29AF">
        <w:rPr>
          <w:rFonts w:ascii="Times New Roman" w:hAnsi="Times New Roman" w:cs="Times New Roman"/>
          <w:sz w:val="20"/>
          <w:szCs w:val="20"/>
        </w:rPr>
        <w:fldChar w:fldCharType="begin"/>
      </w:r>
      <w:r w:rsidR="00DE29AF">
        <w:rPr>
          <w:rFonts w:ascii="Times New Roman" w:hAnsi="Times New Roman" w:cs="Times New Roman"/>
          <w:sz w:val="20"/>
          <w:szCs w:val="20"/>
        </w:rPr>
        <w:instrText xml:space="preserve"> INCLUDEPICTURE  "http://uvb.igf.edu.pl/archiwum/uvb2022.png" \* MERGEFORMATINET </w:instrText>
      </w:r>
      <w:r w:rsidR="00DE29AF">
        <w:rPr>
          <w:rFonts w:ascii="Times New Roman" w:hAnsi="Times New Roman" w:cs="Times New Roman"/>
          <w:sz w:val="20"/>
          <w:szCs w:val="20"/>
        </w:rPr>
        <w:fldChar w:fldCharType="separate"/>
      </w:r>
      <w:r w:rsidR="006954D6">
        <w:rPr>
          <w:rFonts w:ascii="Times New Roman" w:hAnsi="Times New Roman" w:cs="Times New Roman"/>
          <w:sz w:val="20"/>
          <w:szCs w:val="20"/>
        </w:rPr>
        <w:fldChar w:fldCharType="begin"/>
      </w:r>
      <w:r w:rsidR="006954D6">
        <w:rPr>
          <w:rFonts w:ascii="Times New Roman" w:hAnsi="Times New Roman" w:cs="Times New Roman"/>
          <w:sz w:val="20"/>
          <w:szCs w:val="20"/>
        </w:rPr>
        <w:instrText xml:space="preserve"> INCLUDEPICTURE  "http://uvb.igf.edu.pl/archiwum/uvb2022.png" \* MERGEFORMATINET </w:instrText>
      </w:r>
      <w:r w:rsidR="006954D6">
        <w:rPr>
          <w:rFonts w:ascii="Times New Roman" w:hAnsi="Times New Roman" w:cs="Times New Roman"/>
          <w:sz w:val="20"/>
          <w:szCs w:val="20"/>
        </w:rPr>
        <w:fldChar w:fldCharType="separate"/>
      </w:r>
      <w:r w:rsidR="0054266C">
        <w:rPr>
          <w:rFonts w:ascii="Times New Roman" w:hAnsi="Times New Roman" w:cs="Times New Roman"/>
          <w:sz w:val="20"/>
          <w:szCs w:val="20"/>
        </w:rPr>
        <w:fldChar w:fldCharType="begin"/>
      </w:r>
      <w:r w:rsidR="0054266C">
        <w:rPr>
          <w:rFonts w:ascii="Times New Roman" w:hAnsi="Times New Roman" w:cs="Times New Roman"/>
          <w:sz w:val="20"/>
          <w:szCs w:val="20"/>
        </w:rPr>
        <w:instrText xml:space="preserve"> INCLUDEPICTURE  "http://uvb.igf.edu.pl/archiwum/uvb2022.png" \* MERGEFORMATINET </w:instrText>
      </w:r>
      <w:r w:rsidR="0054266C">
        <w:rPr>
          <w:rFonts w:ascii="Times New Roman" w:hAnsi="Times New Roman" w:cs="Times New Roman"/>
          <w:sz w:val="20"/>
          <w:szCs w:val="20"/>
        </w:rPr>
        <w:fldChar w:fldCharType="separate"/>
      </w:r>
      <w:r w:rsidR="0006742A">
        <w:rPr>
          <w:rFonts w:ascii="Times New Roman" w:hAnsi="Times New Roman" w:cs="Times New Roman"/>
          <w:sz w:val="20"/>
          <w:szCs w:val="20"/>
        </w:rPr>
        <w:fldChar w:fldCharType="begin"/>
      </w:r>
      <w:r w:rsidR="0006742A">
        <w:rPr>
          <w:rFonts w:ascii="Times New Roman" w:hAnsi="Times New Roman" w:cs="Times New Roman"/>
          <w:sz w:val="20"/>
          <w:szCs w:val="20"/>
        </w:rPr>
        <w:instrText xml:space="preserve"> INCLUDEPICTURE  "http://uvb.igf.edu.pl/archiwum/uvb2022.png" \* MERGEFORMATINET </w:instrText>
      </w:r>
      <w:r w:rsidR="0006742A">
        <w:rPr>
          <w:rFonts w:ascii="Times New Roman" w:hAnsi="Times New Roman" w:cs="Times New Roman"/>
          <w:sz w:val="20"/>
          <w:szCs w:val="20"/>
        </w:rPr>
        <w:fldChar w:fldCharType="separate"/>
      </w:r>
      <w:r w:rsidR="00BD6CA9">
        <w:rPr>
          <w:rFonts w:ascii="Times New Roman" w:hAnsi="Times New Roman" w:cs="Times New Roman"/>
          <w:sz w:val="20"/>
          <w:szCs w:val="20"/>
        </w:rPr>
        <w:fldChar w:fldCharType="begin"/>
      </w:r>
      <w:r w:rsidR="00BD6CA9">
        <w:rPr>
          <w:rFonts w:ascii="Times New Roman" w:hAnsi="Times New Roman" w:cs="Times New Roman"/>
          <w:sz w:val="20"/>
          <w:szCs w:val="20"/>
        </w:rPr>
        <w:instrText xml:space="preserve"> INCLUDEPICTURE  "http://uvb.igf.edu.pl/archiwum/uvb2022.png" \* MERGEFORMATINET </w:instrText>
      </w:r>
      <w:r w:rsidR="00BD6CA9">
        <w:rPr>
          <w:rFonts w:ascii="Times New Roman" w:hAnsi="Times New Roman" w:cs="Times New Roman"/>
          <w:sz w:val="20"/>
          <w:szCs w:val="20"/>
        </w:rPr>
        <w:fldChar w:fldCharType="separate"/>
      </w:r>
      <w:r w:rsidR="006D5355">
        <w:rPr>
          <w:rFonts w:ascii="Times New Roman" w:hAnsi="Times New Roman" w:cs="Times New Roman"/>
          <w:sz w:val="20"/>
          <w:szCs w:val="20"/>
        </w:rPr>
        <w:fldChar w:fldCharType="begin"/>
      </w:r>
      <w:r w:rsidR="006D5355">
        <w:rPr>
          <w:rFonts w:ascii="Times New Roman" w:hAnsi="Times New Roman" w:cs="Times New Roman"/>
          <w:sz w:val="20"/>
          <w:szCs w:val="20"/>
        </w:rPr>
        <w:instrText xml:space="preserve"> INCLUDEPICTURE  "http://uvb.igf.edu.pl/archiwum/uvb2022.png" \* MERGEFORMATINET </w:instrText>
      </w:r>
      <w:r w:rsidR="006D5355">
        <w:rPr>
          <w:rFonts w:ascii="Times New Roman" w:hAnsi="Times New Roman" w:cs="Times New Roman"/>
          <w:sz w:val="20"/>
          <w:szCs w:val="20"/>
        </w:rPr>
        <w:fldChar w:fldCharType="separate"/>
      </w:r>
      <w:r w:rsidR="006D64E9">
        <w:rPr>
          <w:rFonts w:ascii="Times New Roman" w:hAnsi="Times New Roman" w:cs="Times New Roman"/>
          <w:sz w:val="20"/>
          <w:szCs w:val="20"/>
        </w:rPr>
        <w:fldChar w:fldCharType="begin"/>
      </w:r>
      <w:r w:rsidR="006D64E9">
        <w:rPr>
          <w:rFonts w:ascii="Times New Roman" w:hAnsi="Times New Roman" w:cs="Times New Roman"/>
          <w:sz w:val="20"/>
          <w:szCs w:val="20"/>
        </w:rPr>
        <w:instrText xml:space="preserve"> INCLUDEPICTURE  "http://uvb.igf.edu.pl/archiwum/uvb2022.png" \* MERGEFORMATINET </w:instrText>
      </w:r>
      <w:r w:rsidR="006D64E9">
        <w:rPr>
          <w:rFonts w:ascii="Times New Roman" w:hAnsi="Times New Roman" w:cs="Times New Roman"/>
          <w:sz w:val="20"/>
          <w:szCs w:val="20"/>
        </w:rPr>
        <w:fldChar w:fldCharType="separate"/>
      </w:r>
      <w:r w:rsidR="00323C5D">
        <w:rPr>
          <w:rFonts w:ascii="Times New Roman" w:hAnsi="Times New Roman" w:cs="Times New Roman"/>
          <w:sz w:val="20"/>
          <w:szCs w:val="20"/>
        </w:rPr>
        <w:fldChar w:fldCharType="begin"/>
      </w:r>
      <w:r w:rsidR="00323C5D">
        <w:rPr>
          <w:rFonts w:ascii="Times New Roman" w:hAnsi="Times New Roman" w:cs="Times New Roman"/>
          <w:sz w:val="20"/>
          <w:szCs w:val="20"/>
        </w:rPr>
        <w:instrText xml:space="preserve"> INCLUDEPICTURE  "http://uvb.igf.edu.pl/archiwum/uvb2022.png" \* MERGEFORMATINET </w:instrText>
      </w:r>
      <w:r w:rsidR="00323C5D">
        <w:rPr>
          <w:rFonts w:ascii="Times New Roman" w:hAnsi="Times New Roman" w:cs="Times New Roman"/>
          <w:sz w:val="20"/>
          <w:szCs w:val="20"/>
        </w:rPr>
        <w:fldChar w:fldCharType="separate"/>
      </w:r>
      <w:r w:rsidR="00FC19F2">
        <w:rPr>
          <w:rFonts w:ascii="Times New Roman" w:hAnsi="Times New Roman" w:cs="Times New Roman"/>
          <w:sz w:val="20"/>
          <w:szCs w:val="20"/>
        </w:rPr>
        <w:fldChar w:fldCharType="begin"/>
      </w:r>
      <w:r w:rsidR="00FC19F2">
        <w:rPr>
          <w:rFonts w:ascii="Times New Roman" w:hAnsi="Times New Roman" w:cs="Times New Roman"/>
          <w:sz w:val="20"/>
          <w:szCs w:val="20"/>
        </w:rPr>
        <w:instrText xml:space="preserve"> INCLUDEPICTURE  "http://uvb.igf.edu.pl/archiwum/uvb2022.png" \* MERGEFORMATINET </w:instrText>
      </w:r>
      <w:r w:rsidR="00FC19F2">
        <w:rPr>
          <w:rFonts w:ascii="Times New Roman" w:hAnsi="Times New Roman" w:cs="Times New Roman"/>
          <w:sz w:val="20"/>
          <w:szCs w:val="20"/>
        </w:rPr>
        <w:fldChar w:fldCharType="separate"/>
      </w:r>
      <w:r w:rsidR="00511B92">
        <w:rPr>
          <w:rFonts w:ascii="Times New Roman" w:hAnsi="Times New Roman" w:cs="Times New Roman"/>
          <w:sz w:val="20"/>
          <w:szCs w:val="20"/>
        </w:rPr>
        <w:fldChar w:fldCharType="begin"/>
      </w:r>
      <w:r w:rsidR="00511B92">
        <w:rPr>
          <w:rFonts w:ascii="Times New Roman" w:hAnsi="Times New Roman" w:cs="Times New Roman"/>
          <w:sz w:val="20"/>
          <w:szCs w:val="20"/>
        </w:rPr>
        <w:instrText xml:space="preserve"> INCLUDEPICTURE  "http://uvb.igf.edu.pl/archiwum/uvb2022.png" \* MERGEFORMATINET </w:instrText>
      </w:r>
      <w:r w:rsidR="00511B92">
        <w:rPr>
          <w:rFonts w:ascii="Times New Roman" w:hAnsi="Times New Roman" w:cs="Times New Roman"/>
          <w:sz w:val="20"/>
          <w:szCs w:val="20"/>
        </w:rPr>
        <w:fldChar w:fldCharType="separate"/>
      </w:r>
      <w:r w:rsidR="00072AE9">
        <w:rPr>
          <w:rFonts w:ascii="Times New Roman" w:hAnsi="Times New Roman" w:cs="Times New Roman"/>
          <w:sz w:val="20"/>
          <w:szCs w:val="20"/>
        </w:rPr>
        <w:fldChar w:fldCharType="begin"/>
      </w:r>
      <w:r w:rsidR="00072AE9">
        <w:rPr>
          <w:rFonts w:ascii="Times New Roman" w:hAnsi="Times New Roman" w:cs="Times New Roman"/>
          <w:sz w:val="20"/>
          <w:szCs w:val="20"/>
        </w:rPr>
        <w:instrText xml:space="preserve"> INCLUDEPICTURE  "http://uvb.igf.edu.pl/archiwum/uvb2022.png" \* MERGEFORMATINET </w:instrText>
      </w:r>
      <w:r w:rsidR="00072AE9">
        <w:rPr>
          <w:rFonts w:ascii="Times New Roman" w:hAnsi="Times New Roman" w:cs="Times New Roman"/>
          <w:sz w:val="20"/>
          <w:szCs w:val="20"/>
        </w:rPr>
        <w:fldChar w:fldCharType="separate"/>
      </w:r>
      <w:r w:rsidR="00AD0857">
        <w:rPr>
          <w:rFonts w:ascii="Times New Roman" w:hAnsi="Times New Roman" w:cs="Times New Roman"/>
          <w:sz w:val="20"/>
          <w:szCs w:val="20"/>
        </w:rPr>
        <w:fldChar w:fldCharType="begin"/>
      </w:r>
      <w:r w:rsidR="00AD0857">
        <w:rPr>
          <w:rFonts w:ascii="Times New Roman" w:hAnsi="Times New Roman" w:cs="Times New Roman"/>
          <w:sz w:val="20"/>
          <w:szCs w:val="20"/>
        </w:rPr>
        <w:instrText xml:space="preserve"> INCLUDEPICTURE  "http://uvb.igf.edu.pl/archiwum/uvb2022.png" \* MERGEFORMATINET </w:instrText>
      </w:r>
      <w:r w:rsidR="00AD0857">
        <w:rPr>
          <w:rFonts w:ascii="Times New Roman" w:hAnsi="Times New Roman" w:cs="Times New Roman"/>
          <w:sz w:val="20"/>
          <w:szCs w:val="20"/>
        </w:rPr>
        <w:fldChar w:fldCharType="separate"/>
      </w:r>
      <w:r w:rsidR="005A3E9A">
        <w:rPr>
          <w:rFonts w:ascii="Times New Roman" w:hAnsi="Times New Roman" w:cs="Times New Roman"/>
          <w:sz w:val="20"/>
          <w:szCs w:val="20"/>
        </w:rPr>
        <w:fldChar w:fldCharType="begin"/>
      </w:r>
      <w:r w:rsidR="005A3E9A">
        <w:rPr>
          <w:rFonts w:ascii="Times New Roman" w:hAnsi="Times New Roman" w:cs="Times New Roman"/>
          <w:sz w:val="20"/>
          <w:szCs w:val="20"/>
        </w:rPr>
        <w:instrText xml:space="preserve"> INCLUDEPICTURE  "http://uvb.igf.edu.pl/archiwum/uvb2022.png" \* MERGEFORMATINET </w:instrText>
      </w:r>
      <w:r w:rsidR="005A3E9A">
        <w:rPr>
          <w:rFonts w:ascii="Times New Roman" w:hAnsi="Times New Roman" w:cs="Times New Roman"/>
          <w:sz w:val="20"/>
          <w:szCs w:val="20"/>
        </w:rPr>
        <w:fldChar w:fldCharType="separate"/>
      </w:r>
      <w:r w:rsidR="000F7C80">
        <w:rPr>
          <w:rFonts w:ascii="Times New Roman" w:hAnsi="Times New Roman" w:cs="Times New Roman"/>
          <w:sz w:val="20"/>
          <w:szCs w:val="20"/>
        </w:rPr>
        <w:fldChar w:fldCharType="begin"/>
      </w:r>
      <w:r w:rsidR="000F7C80">
        <w:rPr>
          <w:rFonts w:ascii="Times New Roman" w:hAnsi="Times New Roman" w:cs="Times New Roman"/>
          <w:sz w:val="20"/>
          <w:szCs w:val="20"/>
        </w:rPr>
        <w:instrText xml:space="preserve"> INCLUDEPICTURE  "http://uvb.igf.edu.pl/archiwum/uvb2022.png" \* MERGEFORMATINET </w:instrText>
      </w:r>
      <w:r w:rsidR="000F7C80">
        <w:rPr>
          <w:rFonts w:ascii="Times New Roman" w:hAnsi="Times New Roman" w:cs="Times New Roman"/>
          <w:sz w:val="20"/>
          <w:szCs w:val="20"/>
        </w:rPr>
        <w:fldChar w:fldCharType="separate"/>
      </w:r>
      <w:r w:rsidR="00E9510D">
        <w:rPr>
          <w:rFonts w:ascii="Times New Roman" w:hAnsi="Times New Roman" w:cs="Times New Roman"/>
          <w:sz w:val="20"/>
          <w:szCs w:val="20"/>
        </w:rPr>
        <w:fldChar w:fldCharType="begin"/>
      </w:r>
      <w:r w:rsidR="00E9510D">
        <w:rPr>
          <w:rFonts w:ascii="Times New Roman" w:hAnsi="Times New Roman" w:cs="Times New Roman"/>
          <w:sz w:val="20"/>
          <w:szCs w:val="20"/>
        </w:rPr>
        <w:instrText xml:space="preserve"> INCLUDEPICTURE  "http://uvb.igf.edu.pl/archiwum/uvb2022.png" \* MERGEFORMATINET </w:instrText>
      </w:r>
      <w:r w:rsidR="00E9510D">
        <w:rPr>
          <w:rFonts w:ascii="Times New Roman" w:hAnsi="Times New Roman" w:cs="Times New Roman"/>
          <w:sz w:val="20"/>
          <w:szCs w:val="20"/>
        </w:rPr>
        <w:fldChar w:fldCharType="separate"/>
      </w:r>
      <w:r w:rsidR="00924275">
        <w:rPr>
          <w:rFonts w:ascii="Times New Roman" w:hAnsi="Times New Roman" w:cs="Times New Roman"/>
          <w:sz w:val="20"/>
          <w:szCs w:val="20"/>
        </w:rPr>
        <w:fldChar w:fldCharType="begin"/>
      </w:r>
      <w:r w:rsidR="00924275">
        <w:rPr>
          <w:rFonts w:ascii="Times New Roman" w:hAnsi="Times New Roman" w:cs="Times New Roman"/>
          <w:sz w:val="20"/>
          <w:szCs w:val="20"/>
        </w:rPr>
        <w:instrText xml:space="preserve"> INCLUDEPICTURE  "http://uvb.igf.edu.pl/archiwum/uvb2022.png" \* MERGEFORMATINET </w:instrText>
      </w:r>
      <w:r w:rsidR="00924275">
        <w:rPr>
          <w:rFonts w:ascii="Times New Roman" w:hAnsi="Times New Roman" w:cs="Times New Roman"/>
          <w:sz w:val="20"/>
          <w:szCs w:val="20"/>
        </w:rPr>
        <w:fldChar w:fldCharType="separate"/>
      </w:r>
      <w:r w:rsidR="001453E3">
        <w:rPr>
          <w:rFonts w:ascii="Times New Roman" w:hAnsi="Times New Roman" w:cs="Times New Roman"/>
          <w:sz w:val="20"/>
          <w:szCs w:val="20"/>
        </w:rPr>
        <w:fldChar w:fldCharType="begin"/>
      </w:r>
      <w:r w:rsidR="001453E3">
        <w:rPr>
          <w:rFonts w:ascii="Times New Roman" w:hAnsi="Times New Roman" w:cs="Times New Roman"/>
          <w:sz w:val="20"/>
          <w:szCs w:val="20"/>
        </w:rPr>
        <w:instrText xml:space="preserve"> INCLUDEPICTURE  "http://uvb.igf.edu.pl/archiwum/uvb2022.png" \* MERGEFORMATINET </w:instrText>
      </w:r>
      <w:r w:rsidR="001453E3">
        <w:rPr>
          <w:rFonts w:ascii="Times New Roman" w:hAnsi="Times New Roman" w:cs="Times New Roman"/>
          <w:sz w:val="20"/>
          <w:szCs w:val="20"/>
        </w:rPr>
        <w:fldChar w:fldCharType="separate"/>
      </w:r>
      <w:r w:rsidR="002F5150">
        <w:rPr>
          <w:rFonts w:ascii="Times New Roman" w:hAnsi="Times New Roman" w:cs="Times New Roman"/>
          <w:sz w:val="20"/>
          <w:szCs w:val="20"/>
        </w:rPr>
        <w:fldChar w:fldCharType="begin"/>
      </w:r>
      <w:r w:rsidR="002F5150">
        <w:rPr>
          <w:rFonts w:ascii="Times New Roman" w:hAnsi="Times New Roman" w:cs="Times New Roman"/>
          <w:sz w:val="20"/>
          <w:szCs w:val="20"/>
        </w:rPr>
        <w:instrText xml:space="preserve"> INCLUDEPICTURE  "http://uvb.igf.edu.pl/archiwum/uvb2022.png" \* MERGEFORMATINET </w:instrText>
      </w:r>
      <w:r w:rsidR="002F5150">
        <w:rPr>
          <w:rFonts w:ascii="Times New Roman" w:hAnsi="Times New Roman" w:cs="Times New Roman"/>
          <w:sz w:val="20"/>
          <w:szCs w:val="20"/>
        </w:rPr>
        <w:fldChar w:fldCharType="separate"/>
      </w:r>
      <w:r w:rsidR="004819A1">
        <w:rPr>
          <w:rFonts w:ascii="Times New Roman" w:hAnsi="Times New Roman" w:cs="Times New Roman"/>
          <w:sz w:val="20"/>
          <w:szCs w:val="20"/>
        </w:rPr>
        <w:fldChar w:fldCharType="begin"/>
      </w:r>
      <w:r w:rsidR="004819A1">
        <w:rPr>
          <w:rFonts w:ascii="Times New Roman" w:hAnsi="Times New Roman" w:cs="Times New Roman"/>
          <w:sz w:val="20"/>
          <w:szCs w:val="20"/>
        </w:rPr>
        <w:instrText xml:space="preserve"> INCLUDEPICTURE  "http://uvb.igf.edu.pl/archiwum/uvb2022.png" \* MERGEFORMATINET </w:instrText>
      </w:r>
      <w:r w:rsidR="004819A1">
        <w:rPr>
          <w:rFonts w:ascii="Times New Roman" w:hAnsi="Times New Roman" w:cs="Times New Roman"/>
          <w:sz w:val="20"/>
          <w:szCs w:val="20"/>
        </w:rPr>
        <w:fldChar w:fldCharType="separate"/>
      </w:r>
      <w:r w:rsidR="006E1924">
        <w:rPr>
          <w:rFonts w:ascii="Times New Roman" w:hAnsi="Times New Roman" w:cs="Times New Roman"/>
          <w:sz w:val="20"/>
          <w:szCs w:val="20"/>
        </w:rPr>
        <w:fldChar w:fldCharType="begin"/>
      </w:r>
      <w:r w:rsidR="006E1924">
        <w:rPr>
          <w:rFonts w:ascii="Times New Roman" w:hAnsi="Times New Roman" w:cs="Times New Roman"/>
          <w:sz w:val="20"/>
          <w:szCs w:val="20"/>
        </w:rPr>
        <w:instrText xml:space="preserve"> INCLUDEPICTURE  "http://uvb.igf.edu.pl/archiwum/uvb2022.png" \* MERGEFORMATINET </w:instrText>
      </w:r>
      <w:r w:rsidR="006E1924">
        <w:rPr>
          <w:rFonts w:ascii="Times New Roman" w:hAnsi="Times New Roman" w:cs="Times New Roman"/>
          <w:sz w:val="20"/>
          <w:szCs w:val="20"/>
        </w:rPr>
        <w:fldChar w:fldCharType="separate"/>
      </w:r>
      <w:r w:rsidR="005C01BB">
        <w:rPr>
          <w:rFonts w:ascii="Times New Roman" w:hAnsi="Times New Roman" w:cs="Times New Roman"/>
          <w:sz w:val="20"/>
          <w:szCs w:val="20"/>
        </w:rPr>
        <w:fldChar w:fldCharType="begin"/>
      </w:r>
      <w:r w:rsidR="005C01BB">
        <w:rPr>
          <w:rFonts w:ascii="Times New Roman" w:hAnsi="Times New Roman" w:cs="Times New Roman"/>
          <w:sz w:val="20"/>
          <w:szCs w:val="20"/>
        </w:rPr>
        <w:instrText xml:space="preserve"> INCLUDEPICTURE  "http://uvb.igf.edu.pl/archiwum/uvb2022.png" \* MERGEFORMATINET </w:instrText>
      </w:r>
      <w:r w:rsidR="005C01BB">
        <w:rPr>
          <w:rFonts w:ascii="Times New Roman" w:hAnsi="Times New Roman" w:cs="Times New Roman"/>
          <w:sz w:val="20"/>
          <w:szCs w:val="20"/>
        </w:rPr>
        <w:fldChar w:fldCharType="separate"/>
      </w:r>
      <w:r w:rsidR="00F33D14">
        <w:rPr>
          <w:rFonts w:ascii="Times New Roman" w:hAnsi="Times New Roman" w:cs="Times New Roman"/>
          <w:sz w:val="20"/>
          <w:szCs w:val="20"/>
        </w:rPr>
        <w:fldChar w:fldCharType="begin"/>
      </w:r>
      <w:r w:rsidR="00F33D14">
        <w:rPr>
          <w:rFonts w:ascii="Times New Roman" w:hAnsi="Times New Roman" w:cs="Times New Roman"/>
          <w:sz w:val="20"/>
          <w:szCs w:val="20"/>
        </w:rPr>
        <w:instrText xml:space="preserve"> INCLUDEPICTURE  "http://uvb.igf.edu.pl/archiwum/uvb2022.png" \* MERGEFORMATINET </w:instrText>
      </w:r>
      <w:r w:rsidR="00F33D14">
        <w:rPr>
          <w:rFonts w:ascii="Times New Roman" w:hAnsi="Times New Roman" w:cs="Times New Roman"/>
          <w:sz w:val="20"/>
          <w:szCs w:val="20"/>
        </w:rPr>
        <w:fldChar w:fldCharType="separate"/>
      </w:r>
      <w:r w:rsidR="007108E8">
        <w:rPr>
          <w:rFonts w:ascii="Times New Roman" w:hAnsi="Times New Roman" w:cs="Times New Roman"/>
          <w:sz w:val="20"/>
          <w:szCs w:val="20"/>
        </w:rPr>
        <w:fldChar w:fldCharType="begin"/>
      </w:r>
      <w:r w:rsidR="007108E8">
        <w:rPr>
          <w:rFonts w:ascii="Times New Roman" w:hAnsi="Times New Roman" w:cs="Times New Roman"/>
          <w:sz w:val="20"/>
          <w:szCs w:val="20"/>
        </w:rPr>
        <w:instrText xml:space="preserve"> INCLUDEPICTURE  "http://uvb.igf.edu.pl/archiwum/uvb2022.png" \* MERGEFORMATINET </w:instrText>
      </w:r>
      <w:r w:rsidR="007108E8">
        <w:rPr>
          <w:rFonts w:ascii="Times New Roman" w:hAnsi="Times New Roman" w:cs="Times New Roman"/>
          <w:sz w:val="20"/>
          <w:szCs w:val="20"/>
        </w:rPr>
        <w:fldChar w:fldCharType="separate"/>
      </w:r>
      <w:r w:rsidR="00D61D6A">
        <w:rPr>
          <w:rFonts w:ascii="Times New Roman" w:hAnsi="Times New Roman" w:cs="Times New Roman"/>
          <w:sz w:val="20"/>
          <w:szCs w:val="20"/>
        </w:rPr>
        <w:fldChar w:fldCharType="begin"/>
      </w:r>
      <w:r w:rsidR="00D61D6A">
        <w:rPr>
          <w:rFonts w:ascii="Times New Roman" w:hAnsi="Times New Roman" w:cs="Times New Roman"/>
          <w:sz w:val="20"/>
          <w:szCs w:val="20"/>
        </w:rPr>
        <w:instrText xml:space="preserve"> INCLUDEPICTURE  "http://uvb.igf.edu.pl/archiwum/uvb2022.png" \* MERGEFORMATINET </w:instrText>
      </w:r>
      <w:r w:rsidR="00D61D6A">
        <w:rPr>
          <w:rFonts w:ascii="Times New Roman" w:hAnsi="Times New Roman" w:cs="Times New Roman"/>
          <w:sz w:val="20"/>
          <w:szCs w:val="20"/>
        </w:rPr>
        <w:fldChar w:fldCharType="separate"/>
      </w:r>
      <w:r w:rsidR="00484980">
        <w:rPr>
          <w:rFonts w:ascii="Times New Roman" w:hAnsi="Times New Roman" w:cs="Times New Roman"/>
          <w:sz w:val="20"/>
          <w:szCs w:val="20"/>
        </w:rPr>
        <w:fldChar w:fldCharType="begin"/>
      </w:r>
      <w:r w:rsidR="00484980">
        <w:rPr>
          <w:rFonts w:ascii="Times New Roman" w:hAnsi="Times New Roman" w:cs="Times New Roman"/>
          <w:sz w:val="20"/>
          <w:szCs w:val="20"/>
        </w:rPr>
        <w:instrText xml:space="preserve"> INCLUDEPICTURE  "http://uvb.igf.edu.pl/archiwum/uvb2022.png" \* MERGEFORMATINET </w:instrText>
      </w:r>
      <w:r w:rsidR="00484980">
        <w:rPr>
          <w:rFonts w:ascii="Times New Roman" w:hAnsi="Times New Roman" w:cs="Times New Roman"/>
          <w:sz w:val="20"/>
          <w:szCs w:val="20"/>
        </w:rPr>
        <w:fldChar w:fldCharType="separate"/>
      </w:r>
      <w:r w:rsidR="00D75222">
        <w:rPr>
          <w:rFonts w:ascii="Times New Roman" w:hAnsi="Times New Roman" w:cs="Times New Roman"/>
          <w:sz w:val="20"/>
          <w:szCs w:val="20"/>
        </w:rPr>
        <w:fldChar w:fldCharType="begin"/>
      </w:r>
      <w:r w:rsidR="00D75222">
        <w:rPr>
          <w:rFonts w:ascii="Times New Roman" w:hAnsi="Times New Roman" w:cs="Times New Roman"/>
          <w:sz w:val="20"/>
          <w:szCs w:val="20"/>
        </w:rPr>
        <w:instrText xml:space="preserve"> INCLUDEPICTURE  "http://uvb.igf.edu.pl/archiwum/uvb2022.png" \* MERGEFORMATINET </w:instrText>
      </w:r>
      <w:r w:rsidR="00D75222">
        <w:rPr>
          <w:rFonts w:ascii="Times New Roman" w:hAnsi="Times New Roman" w:cs="Times New Roman"/>
          <w:sz w:val="20"/>
          <w:szCs w:val="20"/>
        </w:rPr>
        <w:fldChar w:fldCharType="separate"/>
      </w:r>
      <w:r>
        <w:rPr>
          <w:rFonts w:ascii="Times New Roman" w:hAnsi="Times New Roman" w:cs="Times New Roman"/>
          <w:sz w:val="20"/>
          <w:szCs w:val="20"/>
        </w:rPr>
        <w:fldChar w:fldCharType="begin"/>
      </w:r>
      <w:r>
        <w:rPr>
          <w:rFonts w:ascii="Times New Roman" w:hAnsi="Times New Roman" w:cs="Times New Roman"/>
          <w:sz w:val="20"/>
          <w:szCs w:val="20"/>
        </w:rPr>
        <w:instrText xml:space="preserve"> INCLUDEPICTURE  "http://uvb.igf.edu.pl/archiwum/uvb2022.png" \* MERGEFORMATINET </w:instrText>
      </w:r>
      <w:r>
        <w:rPr>
          <w:rFonts w:ascii="Times New Roman" w:hAnsi="Times New Roman" w:cs="Times New Roman"/>
          <w:sz w:val="20"/>
          <w:szCs w:val="20"/>
        </w:rPr>
        <w:fldChar w:fldCharType="separate"/>
      </w:r>
      <w:r>
        <w:rPr>
          <w:rFonts w:ascii="Times New Roman" w:hAnsi="Times New Roman" w:cs="Times New Roman"/>
          <w:sz w:val="20"/>
          <w:szCs w:val="20"/>
        </w:rPr>
        <w:fldChar w:fldCharType="begin"/>
      </w:r>
      <w:r>
        <w:rPr>
          <w:rFonts w:ascii="Times New Roman" w:hAnsi="Times New Roman" w:cs="Times New Roman"/>
          <w:sz w:val="20"/>
          <w:szCs w:val="20"/>
        </w:rPr>
        <w:instrText xml:space="preserve"> INCLUDEPICTURE  "http://uvb.igf.edu.pl/archiwum/uvb2022.png" \* MERGEFORMATINET </w:instrText>
      </w:r>
      <w:r>
        <w:rPr>
          <w:rFonts w:ascii="Times New Roman" w:hAnsi="Times New Roman" w:cs="Times New Roman"/>
          <w:sz w:val="20"/>
          <w:szCs w:val="20"/>
        </w:rPr>
        <w:fldChar w:fldCharType="separate"/>
      </w:r>
      <w:r>
        <w:rPr>
          <w:rFonts w:ascii="Times New Roman" w:hAnsi="Times New Roman" w:cs="Times New Roman"/>
          <w:sz w:val="20"/>
          <w:szCs w:val="20"/>
        </w:rPr>
        <w:fldChar w:fldCharType="begin"/>
      </w:r>
      <w:r>
        <w:rPr>
          <w:rFonts w:ascii="Times New Roman" w:hAnsi="Times New Roman" w:cs="Times New Roman"/>
          <w:sz w:val="20"/>
          <w:szCs w:val="20"/>
        </w:rPr>
        <w:instrText xml:space="preserve"> INCLUDEPICTURE  "http://uvb.igf.edu.pl/archiwum/uvb2022.png" \* MERGEFORMATINET </w:instrText>
      </w:r>
      <w:r>
        <w:rPr>
          <w:rFonts w:ascii="Times New Roman" w:hAnsi="Times New Roman" w:cs="Times New Roman"/>
          <w:sz w:val="20"/>
          <w:szCs w:val="20"/>
        </w:rPr>
        <w:fldChar w:fldCharType="separate"/>
      </w:r>
      <w:r w:rsidR="00222619">
        <w:rPr>
          <w:rFonts w:ascii="Times New Roman" w:hAnsi="Times New Roman" w:cs="Times New Roman"/>
          <w:sz w:val="20"/>
          <w:szCs w:val="20"/>
        </w:rPr>
        <w:fldChar w:fldCharType="begin"/>
      </w:r>
      <w:r w:rsidR="00222619">
        <w:rPr>
          <w:rFonts w:ascii="Times New Roman" w:hAnsi="Times New Roman" w:cs="Times New Roman"/>
          <w:sz w:val="20"/>
          <w:szCs w:val="20"/>
        </w:rPr>
        <w:instrText xml:space="preserve"> INCLUDEPICTURE  "http://uvb.igf.edu.pl/archiwum/uvb2022.png" \* MERGEFORMATINET </w:instrText>
      </w:r>
      <w:r w:rsidR="00222619">
        <w:rPr>
          <w:rFonts w:ascii="Times New Roman" w:hAnsi="Times New Roman" w:cs="Times New Roman"/>
          <w:sz w:val="20"/>
          <w:szCs w:val="20"/>
        </w:rPr>
        <w:fldChar w:fldCharType="separate"/>
      </w:r>
      <w:r w:rsidR="00D073CD">
        <w:rPr>
          <w:rFonts w:ascii="Times New Roman" w:hAnsi="Times New Roman" w:cs="Times New Roman"/>
          <w:sz w:val="20"/>
          <w:szCs w:val="20"/>
        </w:rPr>
        <w:fldChar w:fldCharType="begin"/>
      </w:r>
      <w:r w:rsidR="00D073CD">
        <w:rPr>
          <w:rFonts w:ascii="Times New Roman" w:hAnsi="Times New Roman" w:cs="Times New Roman"/>
          <w:sz w:val="20"/>
          <w:szCs w:val="20"/>
        </w:rPr>
        <w:instrText xml:space="preserve"> INCLUDEPICTURE  "http://uvb.igf.edu.pl/archiwum/uvb2022.png" \* MERGEFORMATINET </w:instrText>
      </w:r>
      <w:r w:rsidR="00D073CD">
        <w:rPr>
          <w:rFonts w:ascii="Times New Roman" w:hAnsi="Times New Roman" w:cs="Times New Roman"/>
          <w:sz w:val="20"/>
          <w:szCs w:val="20"/>
        </w:rPr>
        <w:fldChar w:fldCharType="separate"/>
      </w:r>
      <w:r w:rsidR="00A21B15">
        <w:rPr>
          <w:rFonts w:ascii="Times New Roman" w:hAnsi="Times New Roman" w:cs="Times New Roman"/>
          <w:sz w:val="20"/>
          <w:szCs w:val="20"/>
        </w:rPr>
        <w:fldChar w:fldCharType="begin"/>
      </w:r>
      <w:r w:rsidR="00A21B15">
        <w:rPr>
          <w:rFonts w:ascii="Times New Roman" w:hAnsi="Times New Roman" w:cs="Times New Roman"/>
          <w:sz w:val="20"/>
          <w:szCs w:val="20"/>
        </w:rPr>
        <w:instrText xml:space="preserve"> INCLUDEPICTURE  "http://uvb.igf.edu.pl/archiwum/uvb2022.png" \* MERGEFORMATINET </w:instrText>
      </w:r>
      <w:r w:rsidR="00A21B15">
        <w:rPr>
          <w:rFonts w:ascii="Times New Roman" w:hAnsi="Times New Roman" w:cs="Times New Roman"/>
          <w:sz w:val="20"/>
          <w:szCs w:val="20"/>
        </w:rPr>
        <w:fldChar w:fldCharType="separate"/>
      </w:r>
      <w:r w:rsidR="00DD5C49">
        <w:rPr>
          <w:rFonts w:ascii="Times New Roman" w:hAnsi="Times New Roman" w:cs="Times New Roman"/>
          <w:sz w:val="20"/>
          <w:szCs w:val="20"/>
        </w:rPr>
        <w:fldChar w:fldCharType="begin"/>
      </w:r>
      <w:r w:rsidR="00DD5C49">
        <w:rPr>
          <w:rFonts w:ascii="Times New Roman" w:hAnsi="Times New Roman" w:cs="Times New Roman"/>
          <w:sz w:val="20"/>
          <w:szCs w:val="20"/>
        </w:rPr>
        <w:instrText xml:space="preserve"> INCLUDEPICTURE  "http://uvb.igf.edu.pl/archiwum/uvb2022.png" \* MERGEFORMATINET </w:instrText>
      </w:r>
      <w:r w:rsidR="00DD5C49">
        <w:rPr>
          <w:rFonts w:ascii="Times New Roman" w:hAnsi="Times New Roman" w:cs="Times New Roman"/>
          <w:sz w:val="20"/>
          <w:szCs w:val="20"/>
        </w:rPr>
        <w:fldChar w:fldCharType="separate"/>
      </w:r>
      <w:r w:rsidR="00DA5876">
        <w:rPr>
          <w:rFonts w:ascii="Times New Roman" w:hAnsi="Times New Roman" w:cs="Times New Roman"/>
          <w:sz w:val="20"/>
          <w:szCs w:val="20"/>
        </w:rPr>
        <w:fldChar w:fldCharType="begin"/>
      </w:r>
      <w:r w:rsidR="00DA5876">
        <w:rPr>
          <w:rFonts w:ascii="Times New Roman" w:hAnsi="Times New Roman" w:cs="Times New Roman"/>
          <w:sz w:val="20"/>
          <w:szCs w:val="20"/>
        </w:rPr>
        <w:instrText xml:space="preserve"> INCLUDEPICTURE  "http://uvb.igf.edu.pl/archiwum/uvb2022.png" \* MERGEFORMATINET </w:instrText>
      </w:r>
      <w:r w:rsidR="00DA5876">
        <w:rPr>
          <w:rFonts w:ascii="Times New Roman" w:hAnsi="Times New Roman" w:cs="Times New Roman"/>
          <w:sz w:val="20"/>
          <w:szCs w:val="20"/>
        </w:rPr>
        <w:fldChar w:fldCharType="separate"/>
      </w:r>
      <w:r w:rsidR="006C1A1A">
        <w:rPr>
          <w:rFonts w:ascii="Times New Roman" w:hAnsi="Times New Roman" w:cs="Times New Roman"/>
          <w:sz w:val="20"/>
          <w:szCs w:val="20"/>
        </w:rPr>
        <w:fldChar w:fldCharType="begin"/>
      </w:r>
      <w:r w:rsidR="006C1A1A">
        <w:rPr>
          <w:rFonts w:ascii="Times New Roman" w:hAnsi="Times New Roman" w:cs="Times New Roman"/>
          <w:sz w:val="20"/>
          <w:szCs w:val="20"/>
        </w:rPr>
        <w:instrText xml:space="preserve"> INCLUDEPICTURE  "http://uvb.igf.edu.pl/archiwum/uvb2022.png" \* MERGEFORMATINET </w:instrText>
      </w:r>
      <w:r w:rsidR="006C1A1A">
        <w:rPr>
          <w:rFonts w:ascii="Times New Roman" w:hAnsi="Times New Roman" w:cs="Times New Roman"/>
          <w:sz w:val="20"/>
          <w:szCs w:val="20"/>
        </w:rPr>
        <w:fldChar w:fldCharType="separate"/>
      </w:r>
      <w:r w:rsidR="009909D8">
        <w:rPr>
          <w:rFonts w:ascii="Times New Roman" w:hAnsi="Times New Roman" w:cs="Times New Roman"/>
          <w:sz w:val="20"/>
          <w:szCs w:val="20"/>
        </w:rPr>
        <w:fldChar w:fldCharType="begin"/>
      </w:r>
      <w:r w:rsidR="009909D8">
        <w:rPr>
          <w:rFonts w:ascii="Times New Roman" w:hAnsi="Times New Roman" w:cs="Times New Roman"/>
          <w:sz w:val="20"/>
          <w:szCs w:val="20"/>
        </w:rPr>
        <w:instrText xml:space="preserve"> INCLUDEPICTURE  "http://uvb.igf.edu.pl/archiwum/uvb2022.png" \* MERGEFORMATINET </w:instrText>
      </w:r>
      <w:r w:rsidR="009909D8">
        <w:rPr>
          <w:rFonts w:ascii="Times New Roman" w:hAnsi="Times New Roman" w:cs="Times New Roman"/>
          <w:sz w:val="20"/>
          <w:szCs w:val="20"/>
        </w:rPr>
        <w:fldChar w:fldCharType="separate"/>
      </w:r>
      <w:r w:rsidR="00CF4649">
        <w:rPr>
          <w:rFonts w:ascii="Times New Roman" w:hAnsi="Times New Roman" w:cs="Times New Roman"/>
          <w:sz w:val="20"/>
          <w:szCs w:val="20"/>
        </w:rPr>
        <w:fldChar w:fldCharType="begin"/>
      </w:r>
      <w:r w:rsidR="00CF4649">
        <w:rPr>
          <w:rFonts w:ascii="Times New Roman" w:hAnsi="Times New Roman" w:cs="Times New Roman"/>
          <w:sz w:val="20"/>
          <w:szCs w:val="20"/>
        </w:rPr>
        <w:instrText xml:space="preserve"> INCLUDEPICTURE  "http://uvb.igf.edu.pl/archiwum/uvb2022.png" \* MERGEFORMATINET </w:instrText>
      </w:r>
      <w:r w:rsidR="00CF4649">
        <w:rPr>
          <w:rFonts w:ascii="Times New Roman" w:hAnsi="Times New Roman" w:cs="Times New Roman"/>
          <w:sz w:val="20"/>
          <w:szCs w:val="20"/>
        </w:rPr>
        <w:fldChar w:fldCharType="separate"/>
      </w:r>
      <w:r w:rsidR="00253BEC">
        <w:rPr>
          <w:rFonts w:ascii="Times New Roman" w:hAnsi="Times New Roman" w:cs="Times New Roman"/>
          <w:sz w:val="20"/>
          <w:szCs w:val="20"/>
        </w:rPr>
        <w:fldChar w:fldCharType="begin"/>
      </w:r>
      <w:r w:rsidR="00253BEC">
        <w:rPr>
          <w:rFonts w:ascii="Times New Roman" w:hAnsi="Times New Roman" w:cs="Times New Roman"/>
          <w:sz w:val="20"/>
          <w:szCs w:val="20"/>
        </w:rPr>
        <w:instrText xml:space="preserve"> INCLUDEPICTURE  "http://uvb.igf.edu.pl/archiwum/uvb2022.png" \* MERGEFORMATINET </w:instrText>
      </w:r>
      <w:r w:rsidR="00253BEC">
        <w:rPr>
          <w:rFonts w:ascii="Times New Roman" w:hAnsi="Times New Roman" w:cs="Times New Roman"/>
          <w:sz w:val="20"/>
          <w:szCs w:val="20"/>
        </w:rPr>
        <w:fldChar w:fldCharType="separate"/>
      </w:r>
      <w:r w:rsidR="00E04073">
        <w:rPr>
          <w:rFonts w:ascii="Times New Roman" w:hAnsi="Times New Roman" w:cs="Times New Roman"/>
          <w:sz w:val="20"/>
          <w:szCs w:val="20"/>
        </w:rPr>
        <w:fldChar w:fldCharType="begin"/>
      </w:r>
      <w:r w:rsidR="00E04073">
        <w:rPr>
          <w:rFonts w:ascii="Times New Roman" w:hAnsi="Times New Roman" w:cs="Times New Roman"/>
          <w:sz w:val="20"/>
          <w:szCs w:val="20"/>
        </w:rPr>
        <w:instrText xml:space="preserve"> INCLUDEPICTURE  "http://uvb.igf.edu.pl/archiwum/uvb2022.png" \* MERGEFORMATINET </w:instrText>
      </w:r>
      <w:r w:rsidR="00E04073">
        <w:rPr>
          <w:rFonts w:ascii="Times New Roman" w:hAnsi="Times New Roman" w:cs="Times New Roman"/>
          <w:sz w:val="20"/>
          <w:szCs w:val="20"/>
        </w:rPr>
        <w:fldChar w:fldCharType="separate"/>
      </w:r>
      <w:r w:rsidR="007D216E">
        <w:rPr>
          <w:rFonts w:ascii="Times New Roman" w:hAnsi="Times New Roman" w:cs="Times New Roman"/>
          <w:sz w:val="20"/>
          <w:szCs w:val="20"/>
        </w:rPr>
        <w:fldChar w:fldCharType="begin"/>
      </w:r>
      <w:r w:rsidR="007D216E">
        <w:rPr>
          <w:rFonts w:ascii="Times New Roman" w:hAnsi="Times New Roman" w:cs="Times New Roman"/>
          <w:sz w:val="20"/>
          <w:szCs w:val="20"/>
        </w:rPr>
        <w:instrText xml:space="preserve"> INCLUDEPICTURE  "http://uvb.igf.edu.pl/archiwum/uvb2022.png" \* MERGEFORMATINET </w:instrText>
      </w:r>
      <w:r w:rsidR="007D216E">
        <w:rPr>
          <w:rFonts w:ascii="Times New Roman" w:hAnsi="Times New Roman" w:cs="Times New Roman"/>
          <w:sz w:val="20"/>
          <w:szCs w:val="20"/>
        </w:rPr>
        <w:fldChar w:fldCharType="separate"/>
      </w:r>
      <w:r w:rsidR="00CB3B76">
        <w:rPr>
          <w:rFonts w:ascii="Times New Roman" w:hAnsi="Times New Roman" w:cs="Times New Roman"/>
          <w:sz w:val="20"/>
          <w:szCs w:val="20"/>
        </w:rPr>
        <w:fldChar w:fldCharType="begin"/>
      </w:r>
      <w:r w:rsidR="00CB3B76">
        <w:rPr>
          <w:rFonts w:ascii="Times New Roman" w:hAnsi="Times New Roman" w:cs="Times New Roman"/>
          <w:sz w:val="20"/>
          <w:szCs w:val="20"/>
        </w:rPr>
        <w:instrText xml:space="preserve"> INCLUDEPICTURE  "http://uvb.igf.edu.pl/archiwum/uvb2022.png" \* MERGEFORMATINET </w:instrText>
      </w:r>
      <w:r w:rsidR="00CB3B76">
        <w:rPr>
          <w:rFonts w:ascii="Times New Roman" w:hAnsi="Times New Roman" w:cs="Times New Roman"/>
          <w:sz w:val="20"/>
          <w:szCs w:val="20"/>
        </w:rPr>
        <w:fldChar w:fldCharType="separate"/>
      </w:r>
      <w:r w:rsidR="00735A64">
        <w:rPr>
          <w:rFonts w:ascii="Times New Roman" w:hAnsi="Times New Roman" w:cs="Times New Roman"/>
          <w:sz w:val="20"/>
          <w:szCs w:val="20"/>
        </w:rPr>
        <w:fldChar w:fldCharType="begin"/>
      </w:r>
      <w:r w:rsidR="00735A64">
        <w:rPr>
          <w:rFonts w:ascii="Times New Roman" w:hAnsi="Times New Roman" w:cs="Times New Roman"/>
          <w:sz w:val="20"/>
          <w:szCs w:val="20"/>
        </w:rPr>
        <w:instrText xml:space="preserve"> INCLUDEPICTURE  "http://uvb.igf.edu.pl/archiwum/uvb2022.png" \* MERGEFORMATINET </w:instrText>
      </w:r>
      <w:r w:rsidR="00735A64">
        <w:rPr>
          <w:rFonts w:ascii="Times New Roman" w:hAnsi="Times New Roman" w:cs="Times New Roman"/>
          <w:sz w:val="20"/>
          <w:szCs w:val="20"/>
        </w:rPr>
        <w:fldChar w:fldCharType="separate"/>
      </w:r>
      <w:r w:rsidR="00354542">
        <w:rPr>
          <w:rFonts w:ascii="Times New Roman" w:hAnsi="Times New Roman" w:cs="Times New Roman"/>
          <w:sz w:val="20"/>
          <w:szCs w:val="20"/>
        </w:rPr>
        <w:fldChar w:fldCharType="begin"/>
      </w:r>
      <w:r w:rsidR="00354542">
        <w:rPr>
          <w:rFonts w:ascii="Times New Roman" w:hAnsi="Times New Roman" w:cs="Times New Roman"/>
          <w:sz w:val="20"/>
          <w:szCs w:val="20"/>
        </w:rPr>
        <w:instrText xml:space="preserve"> INCLUDEPICTURE  "http://uvb.igf.edu.pl/archiwum/uvb2022.png" \* MERGEFORMATINET </w:instrText>
      </w:r>
      <w:r w:rsidR="00354542">
        <w:rPr>
          <w:rFonts w:ascii="Times New Roman" w:hAnsi="Times New Roman" w:cs="Times New Roman"/>
          <w:sz w:val="20"/>
          <w:szCs w:val="20"/>
        </w:rPr>
        <w:fldChar w:fldCharType="separate"/>
      </w:r>
      <w:r w:rsidR="00635688">
        <w:rPr>
          <w:rFonts w:ascii="Times New Roman" w:hAnsi="Times New Roman" w:cs="Times New Roman"/>
          <w:sz w:val="20"/>
          <w:szCs w:val="20"/>
        </w:rPr>
        <w:fldChar w:fldCharType="begin"/>
      </w:r>
      <w:r w:rsidR="00635688">
        <w:rPr>
          <w:rFonts w:ascii="Times New Roman" w:hAnsi="Times New Roman" w:cs="Times New Roman"/>
          <w:sz w:val="20"/>
          <w:szCs w:val="20"/>
        </w:rPr>
        <w:instrText xml:space="preserve"> INCLUDEPICTURE  "http://uvb.igf.edu.pl/archiwum/uvb2022.png" \* MERGEFORMATINET </w:instrText>
      </w:r>
      <w:r w:rsidR="00635688">
        <w:rPr>
          <w:rFonts w:ascii="Times New Roman" w:hAnsi="Times New Roman" w:cs="Times New Roman"/>
          <w:sz w:val="20"/>
          <w:szCs w:val="20"/>
        </w:rPr>
        <w:fldChar w:fldCharType="separate"/>
      </w:r>
      <w:r w:rsidR="007D306E">
        <w:rPr>
          <w:rFonts w:ascii="Times New Roman" w:hAnsi="Times New Roman" w:cs="Times New Roman"/>
          <w:sz w:val="20"/>
          <w:szCs w:val="20"/>
        </w:rPr>
        <w:fldChar w:fldCharType="begin"/>
      </w:r>
      <w:r w:rsidR="007D306E">
        <w:rPr>
          <w:rFonts w:ascii="Times New Roman" w:hAnsi="Times New Roman" w:cs="Times New Roman"/>
          <w:sz w:val="20"/>
          <w:szCs w:val="20"/>
        </w:rPr>
        <w:instrText xml:space="preserve"> INCLUDEPICTURE  "http://uvb.igf.edu.pl/archiwum/uvb2022.png" \* MERGEFORMATINET </w:instrText>
      </w:r>
      <w:r w:rsidR="007D306E">
        <w:rPr>
          <w:rFonts w:ascii="Times New Roman" w:hAnsi="Times New Roman" w:cs="Times New Roman"/>
          <w:sz w:val="20"/>
          <w:szCs w:val="20"/>
        </w:rPr>
        <w:fldChar w:fldCharType="separate"/>
      </w:r>
      <w:r w:rsidR="0072686D">
        <w:rPr>
          <w:rFonts w:ascii="Times New Roman" w:hAnsi="Times New Roman" w:cs="Times New Roman"/>
          <w:sz w:val="20"/>
          <w:szCs w:val="20"/>
        </w:rPr>
        <w:fldChar w:fldCharType="begin"/>
      </w:r>
      <w:r w:rsidR="0072686D">
        <w:rPr>
          <w:rFonts w:ascii="Times New Roman" w:hAnsi="Times New Roman" w:cs="Times New Roman"/>
          <w:sz w:val="20"/>
          <w:szCs w:val="20"/>
        </w:rPr>
        <w:instrText xml:space="preserve"> INCLUDEPICTURE  "http://uvb.igf.edu.pl/archiwum/uvb2022.png" \* MERGEFORMATINET </w:instrText>
      </w:r>
      <w:r w:rsidR="0072686D">
        <w:rPr>
          <w:rFonts w:ascii="Times New Roman" w:hAnsi="Times New Roman" w:cs="Times New Roman"/>
          <w:sz w:val="20"/>
          <w:szCs w:val="20"/>
        </w:rPr>
        <w:fldChar w:fldCharType="separate"/>
      </w:r>
      <w:r w:rsidR="00324B5A">
        <w:rPr>
          <w:rFonts w:ascii="Times New Roman" w:hAnsi="Times New Roman" w:cs="Times New Roman"/>
          <w:sz w:val="20"/>
          <w:szCs w:val="20"/>
        </w:rPr>
        <w:fldChar w:fldCharType="begin"/>
      </w:r>
      <w:r w:rsidR="00324B5A">
        <w:rPr>
          <w:rFonts w:ascii="Times New Roman" w:hAnsi="Times New Roman" w:cs="Times New Roman"/>
          <w:sz w:val="20"/>
          <w:szCs w:val="20"/>
        </w:rPr>
        <w:instrText xml:space="preserve"> INCLUDEPICTURE  "http://uvb.igf.edu.pl/archiwum/uvb2022.png" \* MERGEFORMATINET </w:instrText>
      </w:r>
      <w:r w:rsidR="00324B5A">
        <w:rPr>
          <w:rFonts w:ascii="Times New Roman" w:hAnsi="Times New Roman" w:cs="Times New Roman"/>
          <w:sz w:val="20"/>
          <w:szCs w:val="20"/>
        </w:rPr>
        <w:fldChar w:fldCharType="separate"/>
      </w:r>
      <w:r w:rsidR="007E5276">
        <w:rPr>
          <w:rFonts w:ascii="Times New Roman" w:hAnsi="Times New Roman" w:cs="Times New Roman"/>
          <w:sz w:val="20"/>
          <w:szCs w:val="20"/>
        </w:rPr>
        <w:fldChar w:fldCharType="begin"/>
      </w:r>
      <w:r w:rsidR="007E5276">
        <w:rPr>
          <w:rFonts w:ascii="Times New Roman" w:hAnsi="Times New Roman" w:cs="Times New Roman"/>
          <w:sz w:val="20"/>
          <w:szCs w:val="20"/>
        </w:rPr>
        <w:instrText xml:space="preserve"> INCLUDEPICTURE  "http://uvb.igf.edu.pl/archiwum/uvb2022.png" \* MERGEFORMATINET </w:instrText>
      </w:r>
      <w:r w:rsidR="007E5276">
        <w:rPr>
          <w:rFonts w:ascii="Times New Roman" w:hAnsi="Times New Roman" w:cs="Times New Roman"/>
          <w:sz w:val="20"/>
          <w:szCs w:val="20"/>
        </w:rPr>
        <w:fldChar w:fldCharType="separate"/>
      </w:r>
      <w:r w:rsidR="00AD3E53">
        <w:rPr>
          <w:rFonts w:ascii="Times New Roman" w:hAnsi="Times New Roman" w:cs="Times New Roman"/>
          <w:sz w:val="20"/>
          <w:szCs w:val="20"/>
        </w:rPr>
        <w:fldChar w:fldCharType="begin"/>
      </w:r>
      <w:r w:rsidR="00AD3E53">
        <w:rPr>
          <w:rFonts w:ascii="Times New Roman" w:hAnsi="Times New Roman" w:cs="Times New Roman"/>
          <w:sz w:val="20"/>
          <w:szCs w:val="20"/>
        </w:rPr>
        <w:instrText xml:space="preserve"> INCLUDEPICTURE  "http://uvb.igf.edu.pl/archiwum/uvb2022.png" \* MERGEFORMATINET </w:instrText>
      </w:r>
      <w:r w:rsidR="00AD3E53">
        <w:rPr>
          <w:rFonts w:ascii="Times New Roman" w:hAnsi="Times New Roman" w:cs="Times New Roman"/>
          <w:sz w:val="20"/>
          <w:szCs w:val="20"/>
        </w:rPr>
        <w:fldChar w:fldCharType="separate"/>
      </w:r>
      <w:r w:rsidR="00252974">
        <w:rPr>
          <w:rFonts w:ascii="Times New Roman" w:hAnsi="Times New Roman" w:cs="Times New Roman"/>
          <w:sz w:val="20"/>
          <w:szCs w:val="20"/>
        </w:rPr>
        <w:fldChar w:fldCharType="begin"/>
      </w:r>
      <w:r w:rsidR="00252974">
        <w:rPr>
          <w:rFonts w:ascii="Times New Roman" w:hAnsi="Times New Roman" w:cs="Times New Roman"/>
          <w:sz w:val="20"/>
          <w:szCs w:val="20"/>
        </w:rPr>
        <w:instrText xml:space="preserve"> INCLUDEPICTURE  "http://uvb.igf.edu.pl/archiwum/uvb2022.png" \* MERGEFORMATINET </w:instrText>
      </w:r>
      <w:r w:rsidR="00252974">
        <w:rPr>
          <w:rFonts w:ascii="Times New Roman" w:hAnsi="Times New Roman" w:cs="Times New Roman"/>
          <w:sz w:val="20"/>
          <w:szCs w:val="20"/>
        </w:rPr>
        <w:fldChar w:fldCharType="separate"/>
      </w:r>
      <w:r w:rsidR="007704D8">
        <w:rPr>
          <w:rFonts w:ascii="Times New Roman" w:hAnsi="Times New Roman" w:cs="Times New Roman"/>
          <w:sz w:val="20"/>
          <w:szCs w:val="20"/>
        </w:rPr>
        <w:fldChar w:fldCharType="begin"/>
      </w:r>
      <w:r w:rsidR="007704D8">
        <w:rPr>
          <w:rFonts w:ascii="Times New Roman" w:hAnsi="Times New Roman" w:cs="Times New Roman"/>
          <w:sz w:val="20"/>
          <w:szCs w:val="20"/>
        </w:rPr>
        <w:instrText xml:space="preserve"> INCLUDEPICTURE  "http://uvb.igf.edu.pl/archiwum/uvb2022.png" \* MERGEFORMATINET </w:instrText>
      </w:r>
      <w:r w:rsidR="007704D8">
        <w:rPr>
          <w:rFonts w:ascii="Times New Roman" w:hAnsi="Times New Roman" w:cs="Times New Roman"/>
          <w:sz w:val="20"/>
          <w:szCs w:val="20"/>
        </w:rPr>
        <w:fldChar w:fldCharType="separate"/>
      </w:r>
      <w:r w:rsidR="0025663C">
        <w:rPr>
          <w:rFonts w:ascii="Times New Roman" w:hAnsi="Times New Roman" w:cs="Times New Roman"/>
          <w:sz w:val="20"/>
          <w:szCs w:val="20"/>
        </w:rPr>
        <w:fldChar w:fldCharType="begin"/>
      </w:r>
      <w:r w:rsidR="0025663C">
        <w:rPr>
          <w:rFonts w:ascii="Times New Roman" w:hAnsi="Times New Roman" w:cs="Times New Roman"/>
          <w:sz w:val="20"/>
          <w:szCs w:val="20"/>
        </w:rPr>
        <w:instrText xml:space="preserve"> INCLUDEPICTURE  "http://uvb.igf.edu.pl/archiwum/uvb2022.png" \* MERGEFORMATINET </w:instrText>
      </w:r>
      <w:r w:rsidR="0025663C">
        <w:rPr>
          <w:rFonts w:ascii="Times New Roman" w:hAnsi="Times New Roman" w:cs="Times New Roman"/>
          <w:sz w:val="20"/>
          <w:szCs w:val="20"/>
        </w:rPr>
        <w:fldChar w:fldCharType="separate"/>
      </w:r>
      <w:r w:rsidR="00245B16">
        <w:rPr>
          <w:rFonts w:ascii="Times New Roman" w:hAnsi="Times New Roman" w:cs="Times New Roman"/>
          <w:sz w:val="20"/>
          <w:szCs w:val="20"/>
        </w:rPr>
        <w:fldChar w:fldCharType="begin"/>
      </w:r>
      <w:r w:rsidR="00245B16">
        <w:rPr>
          <w:rFonts w:ascii="Times New Roman" w:hAnsi="Times New Roman" w:cs="Times New Roman"/>
          <w:sz w:val="20"/>
          <w:szCs w:val="20"/>
        </w:rPr>
        <w:instrText xml:space="preserve"> INCLUDEPICTURE  "http://uvb.igf.edu.pl/archiwum/uvb2022.png" \* MERGEFORMATINET </w:instrText>
      </w:r>
      <w:r w:rsidR="00245B16">
        <w:rPr>
          <w:rFonts w:ascii="Times New Roman" w:hAnsi="Times New Roman" w:cs="Times New Roman"/>
          <w:sz w:val="20"/>
          <w:szCs w:val="20"/>
        </w:rPr>
        <w:fldChar w:fldCharType="separate"/>
      </w:r>
      <w:r w:rsidR="00847794">
        <w:rPr>
          <w:rFonts w:ascii="Times New Roman" w:hAnsi="Times New Roman" w:cs="Times New Roman"/>
          <w:sz w:val="20"/>
          <w:szCs w:val="20"/>
        </w:rPr>
        <w:fldChar w:fldCharType="begin"/>
      </w:r>
      <w:r w:rsidR="00847794">
        <w:rPr>
          <w:rFonts w:ascii="Times New Roman" w:hAnsi="Times New Roman" w:cs="Times New Roman"/>
          <w:sz w:val="20"/>
          <w:szCs w:val="20"/>
        </w:rPr>
        <w:instrText xml:space="preserve"> INCLUDEPICTURE  "http://uvb.igf.edu.pl/archiwum/uvb2022.png" \* MERGEFORMATINET </w:instrText>
      </w:r>
      <w:r w:rsidR="00847794">
        <w:rPr>
          <w:rFonts w:ascii="Times New Roman" w:hAnsi="Times New Roman" w:cs="Times New Roman"/>
          <w:sz w:val="20"/>
          <w:szCs w:val="20"/>
        </w:rPr>
        <w:fldChar w:fldCharType="separate"/>
      </w:r>
      <w:r w:rsidR="00F90508">
        <w:rPr>
          <w:rFonts w:ascii="Times New Roman" w:hAnsi="Times New Roman" w:cs="Times New Roman"/>
          <w:sz w:val="20"/>
          <w:szCs w:val="20"/>
        </w:rPr>
        <w:fldChar w:fldCharType="begin"/>
      </w:r>
      <w:r w:rsidR="00F90508">
        <w:rPr>
          <w:rFonts w:ascii="Times New Roman" w:hAnsi="Times New Roman" w:cs="Times New Roman"/>
          <w:sz w:val="20"/>
          <w:szCs w:val="20"/>
        </w:rPr>
        <w:instrText xml:space="preserve"> INCLUDEPICTURE  "http://uvb.igf.edu.pl/archiwum/uvb2022.png" \* MERGEFORMATINET </w:instrText>
      </w:r>
      <w:r w:rsidR="00F90508">
        <w:rPr>
          <w:rFonts w:ascii="Times New Roman" w:hAnsi="Times New Roman" w:cs="Times New Roman"/>
          <w:sz w:val="20"/>
          <w:szCs w:val="20"/>
        </w:rPr>
        <w:fldChar w:fldCharType="separate"/>
      </w:r>
      <w:r w:rsidR="00C601FE">
        <w:rPr>
          <w:rFonts w:ascii="Times New Roman" w:hAnsi="Times New Roman" w:cs="Times New Roman"/>
          <w:sz w:val="20"/>
          <w:szCs w:val="20"/>
        </w:rPr>
        <w:fldChar w:fldCharType="begin"/>
      </w:r>
      <w:r w:rsidR="00C601FE">
        <w:rPr>
          <w:rFonts w:ascii="Times New Roman" w:hAnsi="Times New Roman" w:cs="Times New Roman"/>
          <w:sz w:val="20"/>
          <w:szCs w:val="20"/>
        </w:rPr>
        <w:instrText xml:space="preserve"> </w:instrText>
      </w:r>
      <w:r w:rsidR="00C601FE">
        <w:rPr>
          <w:rFonts w:ascii="Times New Roman" w:hAnsi="Times New Roman" w:cs="Times New Roman"/>
          <w:sz w:val="20"/>
          <w:szCs w:val="20"/>
        </w:rPr>
        <w:instrText>INCLUDEPICTURE  "http://uvb.igf.edu.pl/archiwum/uvb2022.png" \* MERGEFORMATINET</w:instrText>
      </w:r>
      <w:r w:rsidR="00C601FE">
        <w:rPr>
          <w:rFonts w:ascii="Times New Roman" w:hAnsi="Times New Roman" w:cs="Times New Roman"/>
          <w:sz w:val="20"/>
          <w:szCs w:val="20"/>
        </w:rPr>
        <w:instrText xml:space="preserve"> </w:instrText>
      </w:r>
      <w:r w:rsidR="00C601FE">
        <w:rPr>
          <w:rFonts w:ascii="Times New Roman" w:hAnsi="Times New Roman" w:cs="Times New Roman"/>
          <w:sz w:val="20"/>
          <w:szCs w:val="20"/>
        </w:rPr>
        <w:fldChar w:fldCharType="separate"/>
      </w:r>
      <w:r w:rsidR="00C601FE">
        <w:rPr>
          <w:rFonts w:ascii="Times New Roman" w:hAnsi="Times New Roman" w:cs="Times New Roman"/>
          <w:sz w:val="20"/>
          <w:szCs w:val="20"/>
        </w:rPr>
        <w:pict w14:anchorId="4B316D64">
          <v:shape id="_x0000_i1025" type="#_x0000_t75" alt="uvb" style="width:371.25pt;height:241.5pt">
            <v:imagedata r:id="rId117" r:href="rId118"/>
          </v:shape>
        </w:pict>
      </w:r>
      <w:r w:rsidR="00C601FE">
        <w:rPr>
          <w:rFonts w:ascii="Times New Roman" w:hAnsi="Times New Roman" w:cs="Times New Roman"/>
          <w:sz w:val="20"/>
          <w:szCs w:val="20"/>
        </w:rPr>
        <w:fldChar w:fldCharType="end"/>
      </w:r>
      <w:r w:rsidR="00F90508">
        <w:rPr>
          <w:rFonts w:ascii="Times New Roman" w:hAnsi="Times New Roman" w:cs="Times New Roman"/>
          <w:sz w:val="20"/>
          <w:szCs w:val="20"/>
        </w:rPr>
        <w:fldChar w:fldCharType="end"/>
      </w:r>
      <w:r w:rsidR="00847794">
        <w:rPr>
          <w:rFonts w:ascii="Times New Roman" w:hAnsi="Times New Roman" w:cs="Times New Roman"/>
          <w:sz w:val="20"/>
          <w:szCs w:val="20"/>
        </w:rPr>
        <w:fldChar w:fldCharType="end"/>
      </w:r>
      <w:r w:rsidR="00245B16">
        <w:rPr>
          <w:rFonts w:ascii="Times New Roman" w:hAnsi="Times New Roman" w:cs="Times New Roman"/>
          <w:sz w:val="20"/>
          <w:szCs w:val="20"/>
        </w:rPr>
        <w:fldChar w:fldCharType="end"/>
      </w:r>
      <w:r w:rsidR="0025663C">
        <w:rPr>
          <w:rFonts w:ascii="Times New Roman" w:hAnsi="Times New Roman" w:cs="Times New Roman"/>
          <w:sz w:val="20"/>
          <w:szCs w:val="20"/>
        </w:rPr>
        <w:fldChar w:fldCharType="end"/>
      </w:r>
      <w:r w:rsidR="007704D8">
        <w:rPr>
          <w:rFonts w:ascii="Times New Roman" w:hAnsi="Times New Roman" w:cs="Times New Roman"/>
          <w:sz w:val="20"/>
          <w:szCs w:val="20"/>
        </w:rPr>
        <w:fldChar w:fldCharType="end"/>
      </w:r>
      <w:r w:rsidR="00252974">
        <w:rPr>
          <w:rFonts w:ascii="Times New Roman" w:hAnsi="Times New Roman" w:cs="Times New Roman"/>
          <w:sz w:val="20"/>
          <w:szCs w:val="20"/>
        </w:rPr>
        <w:fldChar w:fldCharType="end"/>
      </w:r>
      <w:r w:rsidR="00AD3E53">
        <w:rPr>
          <w:rFonts w:ascii="Times New Roman" w:hAnsi="Times New Roman" w:cs="Times New Roman"/>
          <w:sz w:val="20"/>
          <w:szCs w:val="20"/>
        </w:rPr>
        <w:fldChar w:fldCharType="end"/>
      </w:r>
      <w:r w:rsidR="007E5276">
        <w:rPr>
          <w:rFonts w:ascii="Times New Roman" w:hAnsi="Times New Roman" w:cs="Times New Roman"/>
          <w:sz w:val="20"/>
          <w:szCs w:val="20"/>
        </w:rPr>
        <w:fldChar w:fldCharType="end"/>
      </w:r>
      <w:r w:rsidR="00324B5A">
        <w:rPr>
          <w:rFonts w:ascii="Times New Roman" w:hAnsi="Times New Roman" w:cs="Times New Roman"/>
          <w:sz w:val="20"/>
          <w:szCs w:val="20"/>
        </w:rPr>
        <w:fldChar w:fldCharType="end"/>
      </w:r>
      <w:r w:rsidR="0072686D">
        <w:rPr>
          <w:rFonts w:ascii="Times New Roman" w:hAnsi="Times New Roman" w:cs="Times New Roman"/>
          <w:sz w:val="20"/>
          <w:szCs w:val="20"/>
        </w:rPr>
        <w:fldChar w:fldCharType="end"/>
      </w:r>
      <w:r w:rsidR="007D306E">
        <w:rPr>
          <w:rFonts w:ascii="Times New Roman" w:hAnsi="Times New Roman" w:cs="Times New Roman"/>
          <w:sz w:val="20"/>
          <w:szCs w:val="20"/>
        </w:rPr>
        <w:fldChar w:fldCharType="end"/>
      </w:r>
      <w:r w:rsidR="00635688">
        <w:rPr>
          <w:rFonts w:ascii="Times New Roman" w:hAnsi="Times New Roman" w:cs="Times New Roman"/>
          <w:sz w:val="20"/>
          <w:szCs w:val="20"/>
        </w:rPr>
        <w:fldChar w:fldCharType="end"/>
      </w:r>
      <w:r w:rsidR="00354542">
        <w:rPr>
          <w:rFonts w:ascii="Times New Roman" w:hAnsi="Times New Roman" w:cs="Times New Roman"/>
          <w:sz w:val="20"/>
          <w:szCs w:val="20"/>
        </w:rPr>
        <w:fldChar w:fldCharType="end"/>
      </w:r>
      <w:r w:rsidR="00735A64">
        <w:rPr>
          <w:rFonts w:ascii="Times New Roman" w:hAnsi="Times New Roman" w:cs="Times New Roman"/>
          <w:sz w:val="20"/>
          <w:szCs w:val="20"/>
        </w:rPr>
        <w:fldChar w:fldCharType="end"/>
      </w:r>
      <w:r w:rsidR="00CB3B76">
        <w:rPr>
          <w:rFonts w:ascii="Times New Roman" w:hAnsi="Times New Roman" w:cs="Times New Roman"/>
          <w:sz w:val="20"/>
          <w:szCs w:val="20"/>
        </w:rPr>
        <w:fldChar w:fldCharType="end"/>
      </w:r>
      <w:r w:rsidR="007D216E">
        <w:rPr>
          <w:rFonts w:ascii="Times New Roman" w:hAnsi="Times New Roman" w:cs="Times New Roman"/>
          <w:sz w:val="20"/>
          <w:szCs w:val="20"/>
        </w:rPr>
        <w:fldChar w:fldCharType="end"/>
      </w:r>
      <w:r w:rsidR="00E04073">
        <w:rPr>
          <w:rFonts w:ascii="Times New Roman" w:hAnsi="Times New Roman" w:cs="Times New Roman"/>
          <w:sz w:val="20"/>
          <w:szCs w:val="20"/>
        </w:rPr>
        <w:fldChar w:fldCharType="end"/>
      </w:r>
      <w:r w:rsidR="00253BEC">
        <w:rPr>
          <w:rFonts w:ascii="Times New Roman" w:hAnsi="Times New Roman" w:cs="Times New Roman"/>
          <w:sz w:val="20"/>
          <w:szCs w:val="20"/>
        </w:rPr>
        <w:fldChar w:fldCharType="end"/>
      </w:r>
      <w:r w:rsidR="00CF4649">
        <w:rPr>
          <w:rFonts w:ascii="Times New Roman" w:hAnsi="Times New Roman" w:cs="Times New Roman"/>
          <w:sz w:val="20"/>
          <w:szCs w:val="20"/>
        </w:rPr>
        <w:fldChar w:fldCharType="end"/>
      </w:r>
      <w:r w:rsidR="009909D8">
        <w:rPr>
          <w:rFonts w:ascii="Times New Roman" w:hAnsi="Times New Roman" w:cs="Times New Roman"/>
          <w:sz w:val="20"/>
          <w:szCs w:val="20"/>
        </w:rPr>
        <w:fldChar w:fldCharType="end"/>
      </w:r>
      <w:r w:rsidR="006C1A1A">
        <w:rPr>
          <w:rFonts w:ascii="Times New Roman" w:hAnsi="Times New Roman" w:cs="Times New Roman"/>
          <w:sz w:val="20"/>
          <w:szCs w:val="20"/>
        </w:rPr>
        <w:fldChar w:fldCharType="end"/>
      </w:r>
      <w:r w:rsidR="00DA5876">
        <w:rPr>
          <w:rFonts w:ascii="Times New Roman" w:hAnsi="Times New Roman" w:cs="Times New Roman"/>
          <w:sz w:val="20"/>
          <w:szCs w:val="20"/>
        </w:rPr>
        <w:fldChar w:fldCharType="end"/>
      </w:r>
      <w:r w:rsidR="00DD5C49">
        <w:rPr>
          <w:rFonts w:ascii="Times New Roman" w:hAnsi="Times New Roman" w:cs="Times New Roman"/>
          <w:sz w:val="20"/>
          <w:szCs w:val="20"/>
        </w:rPr>
        <w:fldChar w:fldCharType="end"/>
      </w:r>
      <w:r w:rsidR="00A21B15">
        <w:rPr>
          <w:rFonts w:ascii="Times New Roman" w:hAnsi="Times New Roman" w:cs="Times New Roman"/>
          <w:sz w:val="20"/>
          <w:szCs w:val="20"/>
        </w:rPr>
        <w:fldChar w:fldCharType="end"/>
      </w:r>
      <w:r w:rsidR="00D073CD">
        <w:rPr>
          <w:rFonts w:ascii="Times New Roman" w:hAnsi="Times New Roman" w:cs="Times New Roman"/>
          <w:sz w:val="20"/>
          <w:szCs w:val="20"/>
        </w:rPr>
        <w:fldChar w:fldCharType="end"/>
      </w:r>
      <w:r w:rsidR="00222619">
        <w:rPr>
          <w:rFonts w:ascii="Times New Roman" w:hAnsi="Times New Roman" w:cs="Times New Roman"/>
          <w:sz w:val="20"/>
          <w:szCs w:val="20"/>
        </w:rPr>
        <w:fldChar w:fldCharType="end"/>
      </w:r>
      <w:r>
        <w:rPr>
          <w:rFonts w:ascii="Times New Roman" w:hAnsi="Times New Roman" w:cs="Times New Roman"/>
          <w:sz w:val="20"/>
          <w:szCs w:val="20"/>
        </w:rPr>
        <w:fldChar w:fldCharType="end"/>
      </w:r>
      <w:r>
        <w:rPr>
          <w:rFonts w:ascii="Times New Roman" w:hAnsi="Times New Roman" w:cs="Times New Roman"/>
          <w:sz w:val="20"/>
          <w:szCs w:val="20"/>
        </w:rPr>
        <w:fldChar w:fldCharType="end"/>
      </w:r>
      <w:r>
        <w:rPr>
          <w:rFonts w:ascii="Times New Roman" w:hAnsi="Times New Roman" w:cs="Times New Roman"/>
          <w:sz w:val="20"/>
          <w:szCs w:val="20"/>
        </w:rPr>
        <w:fldChar w:fldCharType="end"/>
      </w:r>
      <w:r w:rsidR="00D75222">
        <w:rPr>
          <w:rFonts w:ascii="Times New Roman" w:hAnsi="Times New Roman" w:cs="Times New Roman"/>
          <w:sz w:val="20"/>
          <w:szCs w:val="20"/>
        </w:rPr>
        <w:fldChar w:fldCharType="end"/>
      </w:r>
      <w:r w:rsidR="00484980">
        <w:rPr>
          <w:rFonts w:ascii="Times New Roman" w:hAnsi="Times New Roman" w:cs="Times New Roman"/>
          <w:sz w:val="20"/>
          <w:szCs w:val="20"/>
        </w:rPr>
        <w:fldChar w:fldCharType="end"/>
      </w:r>
      <w:r w:rsidR="00D61D6A">
        <w:rPr>
          <w:rFonts w:ascii="Times New Roman" w:hAnsi="Times New Roman" w:cs="Times New Roman"/>
          <w:sz w:val="20"/>
          <w:szCs w:val="20"/>
        </w:rPr>
        <w:fldChar w:fldCharType="end"/>
      </w:r>
      <w:r w:rsidR="007108E8">
        <w:rPr>
          <w:rFonts w:ascii="Times New Roman" w:hAnsi="Times New Roman" w:cs="Times New Roman"/>
          <w:sz w:val="20"/>
          <w:szCs w:val="20"/>
        </w:rPr>
        <w:fldChar w:fldCharType="end"/>
      </w:r>
      <w:r w:rsidR="00F33D14">
        <w:rPr>
          <w:rFonts w:ascii="Times New Roman" w:hAnsi="Times New Roman" w:cs="Times New Roman"/>
          <w:sz w:val="20"/>
          <w:szCs w:val="20"/>
        </w:rPr>
        <w:fldChar w:fldCharType="end"/>
      </w:r>
      <w:r w:rsidR="005C01BB">
        <w:rPr>
          <w:rFonts w:ascii="Times New Roman" w:hAnsi="Times New Roman" w:cs="Times New Roman"/>
          <w:sz w:val="20"/>
          <w:szCs w:val="20"/>
        </w:rPr>
        <w:fldChar w:fldCharType="end"/>
      </w:r>
      <w:r w:rsidR="006E1924">
        <w:rPr>
          <w:rFonts w:ascii="Times New Roman" w:hAnsi="Times New Roman" w:cs="Times New Roman"/>
          <w:sz w:val="20"/>
          <w:szCs w:val="20"/>
        </w:rPr>
        <w:fldChar w:fldCharType="end"/>
      </w:r>
      <w:r w:rsidR="004819A1">
        <w:rPr>
          <w:rFonts w:ascii="Times New Roman" w:hAnsi="Times New Roman" w:cs="Times New Roman"/>
          <w:sz w:val="20"/>
          <w:szCs w:val="20"/>
        </w:rPr>
        <w:fldChar w:fldCharType="end"/>
      </w:r>
      <w:r w:rsidR="002F5150">
        <w:rPr>
          <w:rFonts w:ascii="Times New Roman" w:hAnsi="Times New Roman" w:cs="Times New Roman"/>
          <w:sz w:val="20"/>
          <w:szCs w:val="20"/>
        </w:rPr>
        <w:fldChar w:fldCharType="end"/>
      </w:r>
      <w:r w:rsidR="001453E3">
        <w:rPr>
          <w:rFonts w:ascii="Times New Roman" w:hAnsi="Times New Roman" w:cs="Times New Roman"/>
          <w:sz w:val="20"/>
          <w:szCs w:val="20"/>
        </w:rPr>
        <w:fldChar w:fldCharType="end"/>
      </w:r>
      <w:r w:rsidR="00924275">
        <w:rPr>
          <w:rFonts w:ascii="Times New Roman" w:hAnsi="Times New Roman" w:cs="Times New Roman"/>
          <w:sz w:val="20"/>
          <w:szCs w:val="20"/>
        </w:rPr>
        <w:fldChar w:fldCharType="end"/>
      </w:r>
      <w:r w:rsidR="00E9510D">
        <w:rPr>
          <w:rFonts w:ascii="Times New Roman" w:hAnsi="Times New Roman" w:cs="Times New Roman"/>
          <w:sz w:val="20"/>
          <w:szCs w:val="20"/>
        </w:rPr>
        <w:fldChar w:fldCharType="end"/>
      </w:r>
      <w:r w:rsidR="000F7C80">
        <w:rPr>
          <w:rFonts w:ascii="Times New Roman" w:hAnsi="Times New Roman" w:cs="Times New Roman"/>
          <w:sz w:val="20"/>
          <w:szCs w:val="20"/>
        </w:rPr>
        <w:fldChar w:fldCharType="end"/>
      </w:r>
      <w:r w:rsidR="005A3E9A">
        <w:rPr>
          <w:rFonts w:ascii="Times New Roman" w:hAnsi="Times New Roman" w:cs="Times New Roman"/>
          <w:sz w:val="20"/>
          <w:szCs w:val="20"/>
        </w:rPr>
        <w:fldChar w:fldCharType="end"/>
      </w:r>
      <w:r w:rsidR="00AD0857">
        <w:rPr>
          <w:rFonts w:ascii="Times New Roman" w:hAnsi="Times New Roman" w:cs="Times New Roman"/>
          <w:sz w:val="20"/>
          <w:szCs w:val="20"/>
        </w:rPr>
        <w:fldChar w:fldCharType="end"/>
      </w:r>
      <w:r w:rsidR="00072AE9">
        <w:rPr>
          <w:rFonts w:ascii="Times New Roman" w:hAnsi="Times New Roman" w:cs="Times New Roman"/>
          <w:sz w:val="20"/>
          <w:szCs w:val="20"/>
        </w:rPr>
        <w:fldChar w:fldCharType="end"/>
      </w:r>
      <w:r w:rsidR="00511B92">
        <w:rPr>
          <w:rFonts w:ascii="Times New Roman" w:hAnsi="Times New Roman" w:cs="Times New Roman"/>
          <w:sz w:val="20"/>
          <w:szCs w:val="20"/>
        </w:rPr>
        <w:fldChar w:fldCharType="end"/>
      </w:r>
      <w:r w:rsidR="00FC19F2">
        <w:rPr>
          <w:rFonts w:ascii="Times New Roman" w:hAnsi="Times New Roman" w:cs="Times New Roman"/>
          <w:sz w:val="20"/>
          <w:szCs w:val="20"/>
        </w:rPr>
        <w:fldChar w:fldCharType="end"/>
      </w:r>
      <w:r w:rsidR="00323C5D">
        <w:rPr>
          <w:rFonts w:ascii="Times New Roman" w:hAnsi="Times New Roman" w:cs="Times New Roman"/>
          <w:sz w:val="20"/>
          <w:szCs w:val="20"/>
        </w:rPr>
        <w:fldChar w:fldCharType="end"/>
      </w:r>
      <w:r w:rsidR="006D64E9">
        <w:rPr>
          <w:rFonts w:ascii="Times New Roman" w:hAnsi="Times New Roman" w:cs="Times New Roman"/>
          <w:sz w:val="20"/>
          <w:szCs w:val="20"/>
        </w:rPr>
        <w:fldChar w:fldCharType="end"/>
      </w:r>
      <w:r w:rsidR="006D5355">
        <w:rPr>
          <w:rFonts w:ascii="Times New Roman" w:hAnsi="Times New Roman" w:cs="Times New Roman"/>
          <w:sz w:val="20"/>
          <w:szCs w:val="20"/>
        </w:rPr>
        <w:fldChar w:fldCharType="end"/>
      </w:r>
      <w:r w:rsidR="00BD6CA9">
        <w:rPr>
          <w:rFonts w:ascii="Times New Roman" w:hAnsi="Times New Roman" w:cs="Times New Roman"/>
          <w:sz w:val="20"/>
          <w:szCs w:val="20"/>
        </w:rPr>
        <w:fldChar w:fldCharType="end"/>
      </w:r>
      <w:r w:rsidR="0006742A">
        <w:rPr>
          <w:rFonts w:ascii="Times New Roman" w:hAnsi="Times New Roman" w:cs="Times New Roman"/>
          <w:sz w:val="20"/>
          <w:szCs w:val="20"/>
        </w:rPr>
        <w:fldChar w:fldCharType="end"/>
      </w:r>
      <w:r w:rsidR="0054266C">
        <w:rPr>
          <w:rFonts w:ascii="Times New Roman" w:hAnsi="Times New Roman" w:cs="Times New Roman"/>
          <w:sz w:val="20"/>
          <w:szCs w:val="20"/>
        </w:rPr>
        <w:fldChar w:fldCharType="end"/>
      </w:r>
      <w:r w:rsidR="006954D6">
        <w:rPr>
          <w:rFonts w:ascii="Times New Roman" w:hAnsi="Times New Roman" w:cs="Times New Roman"/>
          <w:sz w:val="20"/>
          <w:szCs w:val="20"/>
        </w:rPr>
        <w:fldChar w:fldCharType="end"/>
      </w:r>
      <w:r w:rsidR="00DE29AF">
        <w:rPr>
          <w:rFonts w:ascii="Times New Roman" w:hAnsi="Times New Roman" w:cs="Times New Roman"/>
          <w:sz w:val="20"/>
          <w:szCs w:val="20"/>
        </w:rPr>
        <w:fldChar w:fldCharType="end"/>
      </w:r>
      <w:r w:rsidR="007125A7">
        <w:rPr>
          <w:rFonts w:ascii="Times New Roman" w:hAnsi="Times New Roman" w:cs="Times New Roman"/>
          <w:sz w:val="20"/>
          <w:szCs w:val="20"/>
        </w:rPr>
        <w:fldChar w:fldCharType="end"/>
      </w:r>
      <w:r w:rsidR="00E8307D">
        <w:rPr>
          <w:rFonts w:ascii="Times New Roman" w:hAnsi="Times New Roman" w:cs="Times New Roman"/>
          <w:sz w:val="20"/>
          <w:szCs w:val="20"/>
        </w:rPr>
        <w:fldChar w:fldCharType="end"/>
      </w:r>
      <w:r w:rsidR="006529A9">
        <w:rPr>
          <w:rFonts w:ascii="Times New Roman" w:hAnsi="Times New Roman" w:cs="Times New Roman"/>
          <w:sz w:val="20"/>
          <w:szCs w:val="20"/>
        </w:rPr>
        <w:fldChar w:fldCharType="end"/>
      </w:r>
      <w:r w:rsidR="00777759">
        <w:rPr>
          <w:rFonts w:ascii="Times New Roman" w:hAnsi="Times New Roman" w:cs="Times New Roman"/>
          <w:sz w:val="20"/>
          <w:szCs w:val="20"/>
        </w:rPr>
        <w:fldChar w:fldCharType="end"/>
      </w:r>
      <w:r w:rsidR="00F459E7">
        <w:rPr>
          <w:rFonts w:ascii="Times New Roman" w:hAnsi="Times New Roman" w:cs="Times New Roman"/>
          <w:sz w:val="20"/>
          <w:szCs w:val="20"/>
        </w:rPr>
        <w:fldChar w:fldCharType="end"/>
      </w:r>
      <w:r w:rsidR="00A5399A">
        <w:rPr>
          <w:rFonts w:ascii="Times New Roman" w:hAnsi="Times New Roman" w:cs="Times New Roman"/>
          <w:sz w:val="20"/>
          <w:szCs w:val="20"/>
        </w:rPr>
        <w:fldChar w:fldCharType="end"/>
      </w:r>
      <w:r w:rsidR="006A0254">
        <w:rPr>
          <w:rFonts w:ascii="Times New Roman" w:hAnsi="Times New Roman" w:cs="Times New Roman"/>
          <w:sz w:val="20"/>
          <w:szCs w:val="20"/>
        </w:rPr>
        <w:fldChar w:fldCharType="end"/>
      </w:r>
      <w:r w:rsidR="0045205E">
        <w:rPr>
          <w:rFonts w:ascii="Times New Roman" w:hAnsi="Times New Roman" w:cs="Times New Roman"/>
          <w:sz w:val="20"/>
          <w:szCs w:val="20"/>
        </w:rPr>
        <w:fldChar w:fldCharType="end"/>
      </w:r>
      <w:r w:rsidR="00A87581">
        <w:rPr>
          <w:rFonts w:ascii="Times New Roman" w:hAnsi="Times New Roman" w:cs="Times New Roman"/>
          <w:sz w:val="20"/>
          <w:szCs w:val="20"/>
        </w:rPr>
        <w:fldChar w:fldCharType="end"/>
      </w:r>
      <w:r w:rsidR="00A25F00">
        <w:rPr>
          <w:rFonts w:ascii="Times New Roman" w:hAnsi="Times New Roman" w:cs="Times New Roman"/>
          <w:sz w:val="20"/>
          <w:szCs w:val="20"/>
        </w:rPr>
        <w:fldChar w:fldCharType="end"/>
      </w:r>
      <w:r w:rsidR="00C1212E">
        <w:rPr>
          <w:rFonts w:ascii="Times New Roman" w:hAnsi="Times New Roman" w:cs="Times New Roman"/>
          <w:sz w:val="20"/>
          <w:szCs w:val="20"/>
        </w:rPr>
        <w:fldChar w:fldCharType="end"/>
      </w:r>
      <w:r w:rsidR="003265A5">
        <w:rPr>
          <w:rFonts w:ascii="Times New Roman" w:hAnsi="Times New Roman" w:cs="Times New Roman"/>
          <w:sz w:val="20"/>
          <w:szCs w:val="20"/>
        </w:rPr>
        <w:fldChar w:fldCharType="end"/>
      </w:r>
      <w:r w:rsidR="00624913">
        <w:rPr>
          <w:rFonts w:ascii="Times New Roman" w:hAnsi="Times New Roman" w:cs="Times New Roman"/>
          <w:sz w:val="20"/>
          <w:szCs w:val="20"/>
        </w:rPr>
        <w:fldChar w:fldCharType="end"/>
      </w:r>
      <w:r w:rsidR="00842947">
        <w:rPr>
          <w:rFonts w:ascii="Times New Roman" w:hAnsi="Times New Roman" w:cs="Times New Roman"/>
          <w:sz w:val="20"/>
          <w:szCs w:val="20"/>
        </w:rPr>
        <w:fldChar w:fldCharType="end"/>
      </w:r>
      <w:r w:rsidR="00DA1745">
        <w:rPr>
          <w:rFonts w:ascii="Times New Roman" w:hAnsi="Times New Roman" w:cs="Times New Roman"/>
          <w:sz w:val="20"/>
          <w:szCs w:val="20"/>
        </w:rPr>
        <w:fldChar w:fldCharType="end"/>
      </w:r>
      <w:r w:rsidR="00ED7777">
        <w:rPr>
          <w:rFonts w:ascii="Times New Roman" w:hAnsi="Times New Roman" w:cs="Times New Roman"/>
          <w:sz w:val="20"/>
          <w:szCs w:val="20"/>
        </w:rPr>
        <w:fldChar w:fldCharType="end"/>
      </w:r>
      <w:r w:rsidR="00753F18">
        <w:rPr>
          <w:rFonts w:ascii="Times New Roman" w:hAnsi="Times New Roman" w:cs="Times New Roman"/>
          <w:sz w:val="20"/>
          <w:szCs w:val="20"/>
        </w:rPr>
        <w:fldChar w:fldCharType="end"/>
      </w:r>
      <w:r w:rsidR="00363201">
        <w:rPr>
          <w:rFonts w:ascii="Times New Roman" w:hAnsi="Times New Roman" w:cs="Times New Roman"/>
          <w:sz w:val="20"/>
          <w:szCs w:val="20"/>
        </w:rPr>
        <w:fldChar w:fldCharType="end"/>
      </w:r>
      <w:r w:rsidR="009364CB">
        <w:rPr>
          <w:rFonts w:ascii="Times New Roman" w:hAnsi="Times New Roman" w:cs="Times New Roman"/>
          <w:sz w:val="20"/>
          <w:szCs w:val="20"/>
        </w:rPr>
        <w:fldChar w:fldCharType="end"/>
      </w:r>
      <w:r w:rsidR="00E7722E">
        <w:rPr>
          <w:rFonts w:ascii="Times New Roman" w:hAnsi="Times New Roman" w:cs="Times New Roman"/>
          <w:sz w:val="20"/>
          <w:szCs w:val="20"/>
        </w:rPr>
        <w:fldChar w:fldCharType="end"/>
      </w:r>
      <w:r w:rsidR="00764ADA">
        <w:rPr>
          <w:rFonts w:ascii="Times New Roman" w:hAnsi="Times New Roman" w:cs="Times New Roman"/>
          <w:sz w:val="20"/>
          <w:szCs w:val="20"/>
        </w:rPr>
        <w:fldChar w:fldCharType="end"/>
      </w:r>
      <w:r w:rsidR="00A61720">
        <w:rPr>
          <w:rFonts w:ascii="Times New Roman" w:hAnsi="Times New Roman" w:cs="Times New Roman"/>
          <w:sz w:val="20"/>
          <w:szCs w:val="20"/>
        </w:rPr>
        <w:fldChar w:fldCharType="end"/>
      </w:r>
      <w:r w:rsidR="005F6965">
        <w:rPr>
          <w:rFonts w:ascii="Times New Roman" w:hAnsi="Times New Roman" w:cs="Times New Roman"/>
          <w:sz w:val="20"/>
          <w:szCs w:val="20"/>
        </w:rPr>
        <w:fldChar w:fldCharType="end"/>
      </w:r>
      <w:r w:rsidR="00466585">
        <w:rPr>
          <w:rFonts w:ascii="Times New Roman" w:hAnsi="Times New Roman" w:cs="Times New Roman"/>
          <w:sz w:val="20"/>
          <w:szCs w:val="20"/>
        </w:rPr>
        <w:fldChar w:fldCharType="end"/>
      </w:r>
      <w:r w:rsidR="0052194D">
        <w:rPr>
          <w:rFonts w:ascii="Times New Roman" w:hAnsi="Times New Roman" w:cs="Times New Roman"/>
          <w:sz w:val="20"/>
          <w:szCs w:val="20"/>
        </w:rPr>
        <w:fldChar w:fldCharType="end"/>
      </w:r>
      <w:r w:rsidR="00811286">
        <w:rPr>
          <w:rFonts w:ascii="Times New Roman" w:hAnsi="Times New Roman" w:cs="Times New Roman"/>
          <w:sz w:val="20"/>
          <w:szCs w:val="20"/>
        </w:rPr>
        <w:fldChar w:fldCharType="end"/>
      </w:r>
      <w:r w:rsidR="00B27D81">
        <w:rPr>
          <w:rFonts w:ascii="Times New Roman" w:hAnsi="Times New Roman" w:cs="Times New Roman"/>
          <w:sz w:val="20"/>
          <w:szCs w:val="20"/>
        </w:rPr>
        <w:fldChar w:fldCharType="end"/>
      </w:r>
      <w:r w:rsidR="00A70AA2">
        <w:rPr>
          <w:rFonts w:ascii="Times New Roman" w:hAnsi="Times New Roman" w:cs="Times New Roman"/>
          <w:sz w:val="20"/>
          <w:szCs w:val="20"/>
        </w:rPr>
        <w:fldChar w:fldCharType="end"/>
      </w:r>
      <w:r w:rsidR="00224D2A">
        <w:rPr>
          <w:rFonts w:ascii="Times New Roman" w:hAnsi="Times New Roman" w:cs="Times New Roman"/>
          <w:sz w:val="20"/>
          <w:szCs w:val="20"/>
        </w:rPr>
        <w:fldChar w:fldCharType="end"/>
      </w:r>
      <w:r w:rsidR="005C08F4">
        <w:rPr>
          <w:rFonts w:ascii="Times New Roman" w:hAnsi="Times New Roman" w:cs="Times New Roman"/>
          <w:sz w:val="20"/>
          <w:szCs w:val="20"/>
        </w:rPr>
        <w:fldChar w:fldCharType="end"/>
      </w:r>
      <w:r w:rsidR="00A104D1">
        <w:rPr>
          <w:rFonts w:ascii="Times New Roman" w:hAnsi="Times New Roman" w:cs="Times New Roman"/>
          <w:sz w:val="20"/>
          <w:szCs w:val="20"/>
        </w:rPr>
        <w:fldChar w:fldCharType="end"/>
      </w:r>
      <w:r w:rsidR="005D5ED1">
        <w:rPr>
          <w:rFonts w:ascii="Times New Roman" w:hAnsi="Times New Roman" w:cs="Times New Roman"/>
          <w:sz w:val="20"/>
          <w:szCs w:val="20"/>
        </w:rPr>
        <w:fldChar w:fldCharType="end"/>
      </w:r>
      <w:r w:rsidR="00DB6C50">
        <w:rPr>
          <w:rFonts w:ascii="Times New Roman" w:hAnsi="Times New Roman" w:cs="Times New Roman"/>
          <w:sz w:val="20"/>
          <w:szCs w:val="20"/>
        </w:rPr>
        <w:fldChar w:fldCharType="end"/>
      </w:r>
      <w:r w:rsidR="00740B87">
        <w:rPr>
          <w:rFonts w:ascii="Times New Roman" w:hAnsi="Times New Roman" w:cs="Times New Roman"/>
          <w:sz w:val="20"/>
          <w:szCs w:val="20"/>
        </w:rPr>
        <w:fldChar w:fldCharType="end"/>
      </w:r>
      <w:r w:rsidR="00F54A47">
        <w:rPr>
          <w:rFonts w:ascii="Times New Roman" w:hAnsi="Times New Roman" w:cs="Times New Roman"/>
          <w:sz w:val="20"/>
          <w:szCs w:val="20"/>
        </w:rPr>
        <w:fldChar w:fldCharType="end"/>
      </w:r>
      <w:r w:rsidR="00F32A02">
        <w:rPr>
          <w:rFonts w:ascii="Times New Roman" w:hAnsi="Times New Roman" w:cs="Times New Roman"/>
          <w:sz w:val="20"/>
          <w:szCs w:val="20"/>
        </w:rPr>
        <w:fldChar w:fldCharType="end"/>
      </w:r>
      <w:r w:rsidR="00DB2E04">
        <w:rPr>
          <w:rFonts w:ascii="Times New Roman" w:hAnsi="Times New Roman" w:cs="Times New Roman"/>
          <w:sz w:val="20"/>
          <w:szCs w:val="20"/>
        </w:rPr>
        <w:fldChar w:fldCharType="end"/>
      </w:r>
      <w:r>
        <w:rPr>
          <w:rFonts w:ascii="Times New Roman" w:hAnsi="Times New Roman" w:cs="Times New Roman"/>
          <w:sz w:val="20"/>
          <w:szCs w:val="20"/>
        </w:rPr>
        <w:fldChar w:fldCharType="end"/>
      </w:r>
      <w:r>
        <w:rPr>
          <w:rFonts w:ascii="Times New Roman" w:hAnsi="Times New Roman" w:cs="Times New Roman"/>
          <w:sz w:val="20"/>
          <w:szCs w:val="20"/>
        </w:rPr>
        <w:fldChar w:fldCharType="end"/>
      </w:r>
      <w:r>
        <w:rPr>
          <w:rFonts w:ascii="Times New Roman" w:hAnsi="Times New Roman" w:cs="Times New Roman"/>
          <w:sz w:val="20"/>
          <w:szCs w:val="20"/>
        </w:rPr>
        <w:fldChar w:fldCharType="end"/>
      </w:r>
      <w:r>
        <w:rPr>
          <w:rFonts w:ascii="Times New Roman" w:hAnsi="Times New Roman" w:cs="Times New Roman"/>
          <w:sz w:val="20"/>
          <w:szCs w:val="20"/>
        </w:rPr>
        <w:fldChar w:fldCharType="end"/>
      </w:r>
      <w:r>
        <w:rPr>
          <w:rFonts w:ascii="Times New Roman" w:hAnsi="Times New Roman" w:cs="Times New Roman"/>
          <w:sz w:val="20"/>
          <w:szCs w:val="20"/>
        </w:rPr>
        <w:fldChar w:fldCharType="end"/>
      </w:r>
      <w:r>
        <w:rPr>
          <w:rFonts w:ascii="Times New Roman" w:hAnsi="Times New Roman" w:cs="Times New Roman"/>
          <w:sz w:val="20"/>
          <w:szCs w:val="20"/>
        </w:rPr>
        <w:fldChar w:fldCharType="end"/>
      </w:r>
      <w:r>
        <w:rPr>
          <w:rFonts w:ascii="Times New Roman" w:hAnsi="Times New Roman" w:cs="Times New Roman"/>
          <w:sz w:val="20"/>
          <w:szCs w:val="20"/>
        </w:rPr>
        <w:fldChar w:fldCharType="end"/>
      </w:r>
      <w:r>
        <w:rPr>
          <w:rFonts w:ascii="Times New Roman" w:hAnsi="Times New Roman" w:cs="Times New Roman"/>
          <w:sz w:val="20"/>
          <w:szCs w:val="20"/>
        </w:rPr>
        <w:fldChar w:fldCharType="end"/>
      </w:r>
      <w:r w:rsidRPr="005E2831">
        <w:rPr>
          <w:rFonts w:ascii="Times New Roman" w:hAnsi="Times New Roman" w:cs="Times New Roman"/>
          <w:sz w:val="20"/>
          <w:szCs w:val="20"/>
        </w:rPr>
        <w:fldChar w:fldCharType="end"/>
      </w:r>
      <w:r w:rsidRPr="005E2831">
        <w:rPr>
          <w:rFonts w:ascii="Times New Roman" w:hAnsi="Times New Roman" w:cs="Times New Roman"/>
          <w:sz w:val="20"/>
          <w:szCs w:val="20"/>
        </w:rPr>
        <w:fldChar w:fldCharType="end"/>
      </w:r>
      <w:r w:rsidRPr="005E2831">
        <w:rPr>
          <w:rFonts w:ascii="Times New Roman" w:hAnsi="Times New Roman" w:cs="Times New Roman"/>
          <w:sz w:val="20"/>
          <w:szCs w:val="20"/>
        </w:rPr>
        <w:fldChar w:fldCharType="end"/>
      </w:r>
      <w:r w:rsidRPr="005E2831">
        <w:rPr>
          <w:rFonts w:ascii="Times New Roman" w:hAnsi="Times New Roman" w:cs="Times New Roman"/>
          <w:sz w:val="20"/>
          <w:szCs w:val="20"/>
        </w:rPr>
        <w:fldChar w:fldCharType="end"/>
      </w:r>
      <w:r w:rsidRPr="005E2831">
        <w:rPr>
          <w:rFonts w:ascii="Times New Roman" w:hAnsi="Times New Roman" w:cs="Times New Roman"/>
          <w:sz w:val="20"/>
          <w:szCs w:val="20"/>
        </w:rPr>
        <w:fldChar w:fldCharType="end"/>
      </w:r>
      <w:r w:rsidRPr="005E2831">
        <w:rPr>
          <w:rFonts w:ascii="Times New Roman" w:hAnsi="Times New Roman" w:cs="Times New Roman"/>
          <w:sz w:val="20"/>
          <w:szCs w:val="20"/>
        </w:rPr>
        <w:fldChar w:fldCharType="end"/>
      </w:r>
      <w:r w:rsidRPr="005E2831">
        <w:rPr>
          <w:rFonts w:ascii="Times New Roman" w:hAnsi="Times New Roman" w:cs="Times New Roman"/>
          <w:sz w:val="20"/>
          <w:szCs w:val="20"/>
        </w:rPr>
        <w:fldChar w:fldCharType="end"/>
      </w:r>
    </w:p>
    <w:p w14:paraId="4B675D42" w14:textId="77777777" w:rsidR="00895F16" w:rsidRPr="007F400A" w:rsidRDefault="00895F16" w:rsidP="00895F16">
      <w:pPr>
        <w:suppressAutoHyphens/>
        <w:autoSpaceDE w:val="0"/>
        <w:spacing w:after="0" w:line="276" w:lineRule="auto"/>
        <w:ind w:firstLine="284"/>
        <w:jc w:val="center"/>
        <w:rPr>
          <w:rFonts w:ascii="Times New Roman" w:hAnsi="Times New Roman"/>
          <w:b/>
          <w:color w:val="C00000"/>
          <w:lang w:eastAsia="zh-CN"/>
        </w:rPr>
      </w:pPr>
    </w:p>
    <w:p w14:paraId="644F4ED6" w14:textId="630AE4FB" w:rsidR="000F3BE9" w:rsidRPr="005E2831" w:rsidRDefault="00895F16" w:rsidP="004E37F6">
      <w:pPr>
        <w:suppressAutoHyphens/>
        <w:autoSpaceDE w:val="0"/>
        <w:spacing w:after="60" w:line="240" w:lineRule="auto"/>
        <w:jc w:val="both"/>
        <w:rPr>
          <w:rFonts w:ascii="Times New Roman" w:hAnsi="Times New Roman" w:cs="Times New Roman"/>
          <w:b/>
          <w:lang w:eastAsia="zh-CN"/>
        </w:rPr>
      </w:pPr>
      <w:r w:rsidRPr="007F400A">
        <w:rPr>
          <w:rFonts w:ascii="Times New Roman" w:hAnsi="Times New Roman"/>
          <w:b/>
          <w:lang w:eastAsia="zh-CN"/>
        </w:rPr>
        <w:t>Wyk</w:t>
      </w:r>
      <w:r w:rsidR="005275C6" w:rsidRPr="007F400A">
        <w:rPr>
          <w:rFonts w:ascii="Times New Roman" w:hAnsi="Times New Roman"/>
          <w:b/>
          <w:lang w:eastAsia="zh-CN"/>
        </w:rPr>
        <w:t>res</w:t>
      </w:r>
      <w:r w:rsidRPr="007F400A">
        <w:rPr>
          <w:rFonts w:ascii="Times New Roman" w:hAnsi="Times New Roman"/>
          <w:b/>
          <w:lang w:eastAsia="zh-CN"/>
        </w:rPr>
        <w:t xml:space="preserve"> </w:t>
      </w:r>
      <w:r w:rsidR="00D0218B">
        <w:rPr>
          <w:rFonts w:ascii="Times New Roman" w:hAnsi="Times New Roman"/>
          <w:b/>
          <w:lang w:eastAsia="zh-CN"/>
        </w:rPr>
        <w:t>2</w:t>
      </w:r>
      <w:r w:rsidR="00802629">
        <w:rPr>
          <w:rFonts w:ascii="Times New Roman" w:hAnsi="Times New Roman"/>
          <w:b/>
          <w:lang w:eastAsia="zh-CN"/>
        </w:rPr>
        <w:t>5</w:t>
      </w:r>
      <w:r w:rsidRPr="007F400A">
        <w:rPr>
          <w:rFonts w:ascii="Times New Roman" w:hAnsi="Times New Roman"/>
          <w:b/>
          <w:lang w:eastAsia="zh-CN"/>
        </w:rPr>
        <w:t xml:space="preserve">. </w:t>
      </w:r>
      <w:r w:rsidR="000F3BE9" w:rsidRPr="005E2831">
        <w:rPr>
          <w:rFonts w:ascii="Times New Roman" w:hAnsi="Times New Roman" w:cs="Times New Roman"/>
          <w:b/>
          <w:lang w:eastAsia="zh-CN"/>
        </w:rPr>
        <w:t xml:space="preserve">Monitoring promieniowania UV-B, maksymalne wartości Indeksu UV w 2022 r. </w:t>
      </w:r>
    </w:p>
    <w:p w14:paraId="381A3F70" w14:textId="519063E6" w:rsidR="00895F16" w:rsidRPr="007F400A" w:rsidRDefault="000F3BE9" w:rsidP="000F3BE9">
      <w:pPr>
        <w:suppressAutoHyphens/>
        <w:autoSpaceDE w:val="0"/>
        <w:spacing w:after="0" w:line="240" w:lineRule="auto"/>
        <w:rPr>
          <w:rFonts w:ascii="Times New Roman" w:hAnsi="Times New Roman"/>
          <w:b/>
          <w:lang w:eastAsia="zh-CN"/>
        </w:rPr>
      </w:pPr>
      <w:r w:rsidRPr="005E2831">
        <w:rPr>
          <w:rFonts w:ascii="Times New Roman" w:hAnsi="Times New Roman" w:cs="Times New Roman"/>
          <w:b/>
          <w:lang w:eastAsia="zh-CN"/>
        </w:rPr>
        <w:t>zmierzone na stacji IGF</w:t>
      </w:r>
      <w:r w:rsidRPr="005E2831">
        <w:rPr>
          <w:rFonts w:ascii="Times New Roman" w:hAnsi="Times New Roman" w:cs="Times New Roman"/>
          <w:b/>
          <w:i/>
          <w:lang w:eastAsia="zh-CN"/>
        </w:rPr>
        <w:t xml:space="preserve"> </w:t>
      </w:r>
      <w:r w:rsidRPr="005E2831">
        <w:rPr>
          <w:rFonts w:ascii="Times New Roman" w:hAnsi="Times New Roman" w:cs="Times New Roman"/>
          <w:b/>
          <w:lang w:eastAsia="zh-CN"/>
        </w:rPr>
        <w:t>PAN w Belsku</w:t>
      </w:r>
    </w:p>
    <w:p w14:paraId="620071AB" w14:textId="77777777" w:rsidR="00895F16" w:rsidRPr="007F400A" w:rsidRDefault="00895F16" w:rsidP="00895F16">
      <w:pPr>
        <w:suppressAutoHyphens/>
        <w:autoSpaceDE w:val="0"/>
        <w:spacing w:after="0" w:line="276" w:lineRule="auto"/>
        <w:rPr>
          <w:rFonts w:ascii="Times New Roman" w:hAnsi="Times New Roman"/>
          <w:sz w:val="24"/>
          <w:szCs w:val="24"/>
          <w:lang w:eastAsia="pl-PL"/>
        </w:rPr>
      </w:pPr>
    </w:p>
    <w:p w14:paraId="46A771D8" w14:textId="5DC9FBC0" w:rsidR="00895F16" w:rsidRPr="007F400A" w:rsidRDefault="005A18CE" w:rsidP="00895F16">
      <w:pPr>
        <w:suppressAutoHyphens/>
        <w:autoSpaceDE w:val="0"/>
        <w:spacing w:after="0" w:line="300" w:lineRule="atLeast"/>
        <w:ind w:firstLine="567"/>
        <w:jc w:val="both"/>
        <w:rPr>
          <w:rFonts w:ascii="Times New Roman" w:hAnsi="Times New Roman"/>
          <w:sz w:val="24"/>
          <w:szCs w:val="24"/>
          <w:lang w:eastAsia="pl-PL"/>
        </w:rPr>
      </w:pPr>
      <w:r w:rsidRPr="005E2831">
        <w:rPr>
          <w:rFonts w:ascii="Times New Roman" w:hAnsi="Times New Roman" w:cs="Times New Roman"/>
          <w:sz w:val="24"/>
          <w:szCs w:val="24"/>
          <w:lang w:eastAsia="pl-PL"/>
        </w:rPr>
        <w:t>Wyniki pomiarów profili ozonu z IMGW-PIB zostały przekazane do: Norweskiego Instytutu Ochrony Powietrza (NILU), Światowego Centrum Danych o Ozonie i Promieniowaniu Ultrafioletowym (WOUDC) w Kanadzie i Globalnej Sieci Detekcji Zmian Składu Atmosfery (NDACC) w USA</w:t>
      </w:r>
      <w:r w:rsidR="00895F16" w:rsidRPr="007F400A">
        <w:rPr>
          <w:rFonts w:ascii="Times New Roman" w:hAnsi="Times New Roman"/>
          <w:sz w:val="24"/>
          <w:szCs w:val="24"/>
          <w:lang w:eastAsia="pl-PL"/>
        </w:rPr>
        <w:t>.</w:t>
      </w:r>
    </w:p>
    <w:p w14:paraId="20C74982" w14:textId="77777777" w:rsidR="00895F16" w:rsidRPr="007F400A" w:rsidRDefault="00895F16" w:rsidP="00895F16">
      <w:pPr>
        <w:suppressAutoHyphens/>
        <w:autoSpaceDE w:val="0"/>
        <w:spacing w:after="0" w:line="300" w:lineRule="atLeast"/>
        <w:ind w:firstLine="709"/>
        <w:jc w:val="both"/>
        <w:rPr>
          <w:rFonts w:ascii="Times New Roman" w:hAnsi="Times New Roman" w:cs="Times New Roman"/>
          <w:sz w:val="24"/>
          <w:szCs w:val="24"/>
          <w:lang w:eastAsia="zh-CN"/>
        </w:rPr>
      </w:pPr>
    </w:p>
    <w:p w14:paraId="185BB222" w14:textId="77777777" w:rsidR="00895F16" w:rsidRPr="007F400A" w:rsidRDefault="00895F16" w:rsidP="00895F16">
      <w:pPr>
        <w:keepNext/>
        <w:spacing w:after="60" w:line="300" w:lineRule="atLeast"/>
        <w:jc w:val="both"/>
        <w:outlineLvl w:val="0"/>
        <w:rPr>
          <w:rFonts w:ascii="Times New Roman" w:eastAsia="Times New Roman" w:hAnsi="Times New Roman" w:cs="Times New Roman"/>
          <w:b/>
          <w:bCs/>
          <w:sz w:val="24"/>
          <w:szCs w:val="24"/>
          <w:lang w:val="x-none" w:eastAsia="x-none"/>
        </w:rPr>
      </w:pPr>
      <w:bookmarkStart w:id="390" w:name="_Toc36732632"/>
      <w:bookmarkStart w:id="391" w:name="_Toc135935705"/>
      <w:r w:rsidRPr="007F400A">
        <w:rPr>
          <w:rFonts w:ascii="Times New Roman" w:eastAsia="Times New Roman" w:hAnsi="Times New Roman" w:cs="Times New Roman"/>
          <w:b/>
          <w:bCs/>
          <w:sz w:val="24"/>
          <w:szCs w:val="24"/>
          <w:lang w:val="x-none" w:eastAsia="x-none"/>
        </w:rPr>
        <w:lastRenderedPageBreak/>
        <w:t>3. Monitoring jakości wód</w:t>
      </w:r>
      <w:bookmarkEnd w:id="390"/>
      <w:bookmarkEnd w:id="391"/>
    </w:p>
    <w:p w14:paraId="10CD74C8" w14:textId="77777777" w:rsidR="00895F16" w:rsidRPr="007F400A" w:rsidRDefault="00895F16" w:rsidP="00895F16">
      <w:pPr>
        <w:keepNext/>
        <w:spacing w:after="120" w:line="300" w:lineRule="atLeast"/>
        <w:jc w:val="both"/>
        <w:outlineLvl w:val="0"/>
        <w:rPr>
          <w:rFonts w:ascii="Times New Roman" w:eastAsia="Times New Roman" w:hAnsi="Times New Roman" w:cs="Times New Roman"/>
          <w:b/>
          <w:bCs/>
          <w:sz w:val="24"/>
          <w:szCs w:val="24"/>
          <w:lang w:val="x-none" w:eastAsia="x-none"/>
        </w:rPr>
      </w:pPr>
      <w:bookmarkStart w:id="392" w:name="_Toc36732633"/>
      <w:bookmarkStart w:id="393" w:name="_Toc135935706"/>
      <w:r w:rsidRPr="007F400A">
        <w:rPr>
          <w:rFonts w:ascii="Times New Roman" w:eastAsia="Times New Roman" w:hAnsi="Times New Roman" w:cs="Times New Roman"/>
          <w:b/>
          <w:bCs/>
          <w:sz w:val="24"/>
          <w:szCs w:val="24"/>
          <w:lang w:val="x-none" w:eastAsia="x-none"/>
        </w:rPr>
        <w:t>3.1 Badania i ocena jakości wód w rzekach i zbiornikach zaporowych</w:t>
      </w:r>
      <w:bookmarkEnd w:id="392"/>
      <w:bookmarkEnd w:id="393"/>
    </w:p>
    <w:p w14:paraId="5F747379" w14:textId="77777777" w:rsidR="005A18CE" w:rsidRPr="005E2831" w:rsidRDefault="005A18CE" w:rsidP="005A18CE">
      <w:pPr>
        <w:spacing w:after="60" w:line="300" w:lineRule="atLeast"/>
        <w:ind w:firstLine="567"/>
        <w:jc w:val="both"/>
        <w:rPr>
          <w:rFonts w:ascii="Times New Roman" w:eastAsia="Calibri" w:hAnsi="Times New Roman" w:cs="Times New Roman"/>
          <w:sz w:val="24"/>
          <w:szCs w:val="24"/>
          <w:lang w:eastAsia="pl-PL"/>
        </w:rPr>
      </w:pPr>
      <w:r w:rsidRPr="005E2831">
        <w:rPr>
          <w:rFonts w:ascii="Times New Roman" w:eastAsia="Calibri" w:hAnsi="Times New Roman" w:cs="Times New Roman"/>
          <w:sz w:val="24"/>
          <w:szCs w:val="24"/>
          <w:lang w:eastAsia="pl-PL"/>
        </w:rPr>
        <w:t>W 2022 r. Główny Inspektor Ochrony Środowiska zaplanował monitoring 2 200 jednolitych części wód powierzchniowych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w 2 224 punktach pomiarowo-kontrolnych (</w:t>
      </w:r>
      <w:proofErr w:type="spellStart"/>
      <w:r w:rsidRPr="005E2831">
        <w:rPr>
          <w:rFonts w:ascii="Times New Roman" w:eastAsia="Calibri" w:hAnsi="Times New Roman" w:cs="Times New Roman"/>
          <w:sz w:val="24"/>
          <w:szCs w:val="24"/>
          <w:lang w:eastAsia="pl-PL"/>
        </w:rPr>
        <w:t>ppk</w:t>
      </w:r>
      <w:proofErr w:type="spellEnd"/>
      <w:r w:rsidRPr="005E2831">
        <w:rPr>
          <w:rFonts w:ascii="Times New Roman" w:eastAsia="Calibri" w:hAnsi="Times New Roman" w:cs="Times New Roman"/>
          <w:sz w:val="24"/>
          <w:szCs w:val="24"/>
          <w:lang w:eastAsia="pl-PL"/>
        </w:rPr>
        <w:t xml:space="preserve">) (2 185 </w:t>
      </w:r>
      <w:proofErr w:type="spellStart"/>
      <w:r w:rsidRPr="005E2831">
        <w:rPr>
          <w:rFonts w:ascii="Times New Roman" w:eastAsia="Calibri" w:hAnsi="Times New Roman" w:cs="Times New Roman"/>
          <w:sz w:val="24"/>
          <w:szCs w:val="24"/>
          <w:lang w:eastAsia="pl-PL"/>
        </w:rPr>
        <w:t>ppk</w:t>
      </w:r>
      <w:proofErr w:type="spellEnd"/>
      <w:r w:rsidRPr="005E2831">
        <w:rPr>
          <w:rFonts w:ascii="Times New Roman" w:eastAsia="Calibri" w:hAnsi="Times New Roman" w:cs="Times New Roman"/>
          <w:sz w:val="24"/>
          <w:szCs w:val="24"/>
          <w:lang w:eastAsia="pl-PL"/>
        </w:rPr>
        <w:t xml:space="preserve"> na rzekach i 39 </w:t>
      </w:r>
      <w:proofErr w:type="spellStart"/>
      <w:r w:rsidRPr="005E2831">
        <w:rPr>
          <w:rFonts w:ascii="Times New Roman" w:eastAsia="Calibri" w:hAnsi="Times New Roman" w:cs="Times New Roman"/>
          <w:sz w:val="24"/>
          <w:szCs w:val="24"/>
          <w:lang w:eastAsia="pl-PL"/>
        </w:rPr>
        <w:t>ppk</w:t>
      </w:r>
      <w:proofErr w:type="spellEnd"/>
      <w:r w:rsidRPr="005E2831">
        <w:rPr>
          <w:rFonts w:ascii="Times New Roman" w:eastAsia="Calibri" w:hAnsi="Times New Roman" w:cs="Times New Roman"/>
          <w:sz w:val="24"/>
          <w:szCs w:val="24"/>
          <w:lang w:eastAsia="pl-PL"/>
        </w:rPr>
        <w:t xml:space="preserve"> na zbiornikach zaporowych)</w:t>
      </w:r>
      <w:r w:rsidRPr="005E2831">
        <w:rPr>
          <w:rFonts w:ascii="Times New Roman" w:eastAsia="Calibri" w:hAnsi="Times New Roman" w:cs="Times New Roman"/>
          <w:bCs/>
          <w:sz w:val="24"/>
          <w:szCs w:val="24"/>
          <w:lang w:eastAsia="pl-PL"/>
        </w:rPr>
        <w:t>, zgodnie z programem obejmującym monitoring diagnostyczny, operacyjny, badawczy.</w:t>
      </w:r>
      <w:r w:rsidRPr="005E2831">
        <w:rPr>
          <w:rFonts w:ascii="Times New Roman" w:eastAsia="Calibri" w:hAnsi="Times New Roman" w:cs="Times New Roman"/>
          <w:sz w:val="24"/>
          <w:szCs w:val="24"/>
          <w:lang w:eastAsia="pl-PL"/>
        </w:rPr>
        <w:t xml:space="preserve"> Był to pierwszy rok realizacji monitoringu wód w ramach czwartego cyklu gospodarowania wodami na lata 2022-2027.</w:t>
      </w:r>
    </w:p>
    <w:p w14:paraId="0DCDC5E8" w14:textId="117ED11C" w:rsidR="00895F16" w:rsidRPr="007F400A" w:rsidRDefault="005A18CE" w:rsidP="005A18CE">
      <w:pPr>
        <w:spacing w:after="0" w:line="300" w:lineRule="atLeast"/>
        <w:ind w:firstLine="567"/>
        <w:jc w:val="both"/>
        <w:rPr>
          <w:rFonts w:ascii="Times New Roman" w:hAnsi="Times New Roman"/>
          <w:sz w:val="24"/>
          <w:szCs w:val="24"/>
          <w:lang w:eastAsia="pl-PL"/>
        </w:rPr>
      </w:pPr>
      <w:r w:rsidRPr="005E2831">
        <w:rPr>
          <w:rFonts w:ascii="Times New Roman" w:eastAsia="Calibri" w:hAnsi="Times New Roman" w:cs="Times New Roman"/>
          <w:sz w:val="24"/>
          <w:szCs w:val="24"/>
          <w:lang w:eastAsia="pl-PL"/>
        </w:rPr>
        <w:t xml:space="preserve">Spośród zaplanowanych do badań na 2022 r. 2 200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poboru prób dokonano w 2 150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na 3 975 stanowiskach. Zakres badań obejmował, zgodnie z rozporządzeniem monitoringowym</w:t>
      </w:r>
      <w:r w:rsidRPr="005E2831">
        <w:rPr>
          <w:rFonts w:ascii="Times New Roman" w:eastAsia="Calibri" w:hAnsi="Times New Roman" w:cs="Times New Roman"/>
          <w:sz w:val="20"/>
          <w:szCs w:val="20"/>
          <w:vertAlign w:val="superscript"/>
          <w:lang w:eastAsia="pl-PL"/>
        </w:rPr>
        <w:footnoteReference w:id="89"/>
      </w:r>
      <w:r w:rsidRPr="005E2831">
        <w:rPr>
          <w:rFonts w:ascii="Times New Roman" w:eastAsia="Calibri" w:hAnsi="Times New Roman" w:cs="Times New Roman"/>
          <w:sz w:val="24"/>
          <w:szCs w:val="24"/>
          <w:lang w:eastAsia="pl-PL"/>
        </w:rPr>
        <w:t xml:space="preserve">, wskaźniki biologiczne (fitoplankton, fitobentos, </w:t>
      </w:r>
      <w:proofErr w:type="spellStart"/>
      <w:r w:rsidRPr="005E2831">
        <w:rPr>
          <w:rFonts w:ascii="Times New Roman" w:eastAsia="Calibri" w:hAnsi="Times New Roman" w:cs="Times New Roman"/>
          <w:sz w:val="24"/>
          <w:szCs w:val="24"/>
          <w:lang w:eastAsia="pl-PL"/>
        </w:rPr>
        <w:t>makrofity</w:t>
      </w:r>
      <w:proofErr w:type="spellEnd"/>
      <w:r w:rsidRPr="005E2831">
        <w:rPr>
          <w:rFonts w:ascii="Times New Roman" w:eastAsia="Calibri" w:hAnsi="Times New Roman" w:cs="Times New Roman"/>
          <w:sz w:val="24"/>
          <w:szCs w:val="24"/>
          <w:lang w:eastAsia="pl-PL"/>
        </w:rPr>
        <w:t xml:space="preserve"> i</w:t>
      </w:r>
      <w:r>
        <w:rPr>
          <w:rFonts w:ascii="Times New Roman" w:eastAsia="Calibri" w:hAnsi="Times New Roman" w:cs="Times New Roman"/>
          <w:sz w:val="24"/>
          <w:szCs w:val="24"/>
          <w:lang w:eastAsia="pl-PL"/>
        </w:rPr>
        <w:t> </w:t>
      </w:r>
      <w:proofErr w:type="spellStart"/>
      <w:r w:rsidRPr="005E2831">
        <w:rPr>
          <w:rFonts w:ascii="Times New Roman" w:eastAsia="Calibri" w:hAnsi="Times New Roman" w:cs="Times New Roman"/>
          <w:sz w:val="24"/>
          <w:szCs w:val="24"/>
          <w:lang w:eastAsia="pl-PL"/>
        </w:rPr>
        <w:t>makrobezkręgowce</w:t>
      </w:r>
      <w:proofErr w:type="spellEnd"/>
      <w:r w:rsidRPr="005E2831">
        <w:rPr>
          <w:rFonts w:ascii="Times New Roman" w:eastAsia="Calibri" w:hAnsi="Times New Roman" w:cs="Times New Roman"/>
          <w:sz w:val="24"/>
          <w:szCs w:val="24"/>
          <w:lang w:eastAsia="pl-PL"/>
        </w:rPr>
        <w:t xml:space="preserve"> bentosowe w ilości 1 880 oznaczeń), wskaźniki fizykochemiczne (w tym specyficzne zanieczyszczenia syntetyczne i niesyntetyczne) w ilości 268 720 oznaczeń oraz wskaźniki chemiczne (w tym substancje priorytetowe w dziedzinie polityki wodnej) w ilości 233 071 oznaczeń. Powody niewykonania badań w zaplanowanej ilości opisane są w rozdziale dotyczącym działalności Centralnego Laboratorium Badawczego</w:t>
      </w:r>
      <w:r w:rsidR="00895F16" w:rsidRPr="007F400A">
        <w:rPr>
          <w:rFonts w:ascii="Times New Roman" w:hAnsi="Times New Roman"/>
          <w:sz w:val="24"/>
          <w:szCs w:val="24"/>
          <w:lang w:eastAsia="pl-PL"/>
        </w:rPr>
        <w:t xml:space="preserve">. </w:t>
      </w:r>
    </w:p>
    <w:p w14:paraId="21710109" w14:textId="77777777" w:rsidR="005A18CE" w:rsidRPr="005E2831" w:rsidRDefault="005A18CE" w:rsidP="005A18CE">
      <w:pPr>
        <w:spacing w:after="60" w:line="300" w:lineRule="atLeast"/>
        <w:ind w:firstLine="567"/>
        <w:jc w:val="both"/>
        <w:rPr>
          <w:rFonts w:ascii="Times New Roman" w:eastAsia="Calibri" w:hAnsi="Times New Roman" w:cs="Times New Roman"/>
          <w:sz w:val="24"/>
          <w:szCs w:val="24"/>
          <w:lang w:eastAsia="pl-PL"/>
        </w:rPr>
      </w:pPr>
    </w:p>
    <w:p w14:paraId="07418686" w14:textId="77777777" w:rsidR="005A18CE" w:rsidRPr="005E2831" w:rsidRDefault="005A18CE" w:rsidP="00094027">
      <w:pPr>
        <w:spacing w:after="60" w:line="240" w:lineRule="auto"/>
        <w:jc w:val="center"/>
        <w:rPr>
          <w:rFonts w:ascii="Times New Roman" w:eastAsia="Times New Roman" w:hAnsi="Times New Roman" w:cs="Times New Roman"/>
          <w:b/>
          <w:bCs/>
          <w:lang w:eastAsia="x-none"/>
        </w:rPr>
      </w:pPr>
      <w:r w:rsidRPr="005E2831">
        <w:rPr>
          <w:rFonts w:ascii="Times New Roman" w:hAnsi="Times New Roman" w:cs="Times New Roman"/>
          <w:noProof/>
          <w:lang w:eastAsia="pl-PL"/>
        </w:rPr>
        <w:drawing>
          <wp:inline distT="0" distB="0" distL="0" distR="0" wp14:anchorId="5D626CDA" wp14:editId="184F7B8C">
            <wp:extent cx="5878006" cy="3895090"/>
            <wp:effectExtent l="0" t="0" r="8890" b="10160"/>
            <wp:docPr id="8" name="Wykres 8" descr="Wykres 26. Liczba jcwp rzecznych, w których wykonano badania w 2022 r. w stosunku do liczby jcwp zaplanowanych do badań">
              <a:extLst xmlns:a="http://schemas.openxmlformats.org/drawingml/2006/main">
                <a:ext uri="{FF2B5EF4-FFF2-40B4-BE49-F238E27FC236}">
                  <a16:creationId xmlns:a16="http://schemas.microsoft.com/office/drawing/2014/main" id="{F48E0013-EFE3-4A32-B83E-ED7C6C7DAD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429A1195" w14:textId="5189BEEF" w:rsidR="00895F16" w:rsidRPr="007F400A" w:rsidRDefault="005A18CE" w:rsidP="005A18CE">
      <w:pPr>
        <w:spacing w:after="200" w:line="240" w:lineRule="auto"/>
        <w:rPr>
          <w:rFonts w:ascii="Times New Roman" w:eastAsia="Times New Roman" w:hAnsi="Times New Roman"/>
          <w:b/>
          <w:bCs/>
          <w:lang w:eastAsia="x-none"/>
        </w:rPr>
      </w:pPr>
      <w:r w:rsidRPr="005E2831">
        <w:rPr>
          <w:rFonts w:ascii="Times New Roman" w:eastAsia="Times New Roman" w:hAnsi="Times New Roman" w:cs="Times New Roman"/>
          <w:b/>
          <w:bCs/>
          <w:lang w:eastAsia="x-none"/>
        </w:rPr>
        <w:t>Wyk</w:t>
      </w:r>
      <w:r w:rsidR="00802629">
        <w:rPr>
          <w:rFonts w:ascii="Times New Roman" w:eastAsia="Times New Roman" w:hAnsi="Times New Roman" w:cs="Times New Roman"/>
          <w:b/>
          <w:bCs/>
          <w:lang w:eastAsia="x-none"/>
        </w:rPr>
        <w:t>res 26</w:t>
      </w:r>
      <w:r w:rsidRPr="005E2831">
        <w:rPr>
          <w:rFonts w:ascii="Times New Roman" w:eastAsia="Times New Roman" w:hAnsi="Times New Roman" w:cs="Times New Roman"/>
          <w:b/>
          <w:bCs/>
          <w:lang w:eastAsia="x-none"/>
        </w:rPr>
        <w:t xml:space="preserve">. </w:t>
      </w:r>
      <w:r w:rsidRPr="005E2831">
        <w:rPr>
          <w:rFonts w:ascii="Times New Roman" w:eastAsia="Times New Roman" w:hAnsi="Times New Roman" w:cs="Times New Roman"/>
          <w:b/>
          <w:bCs/>
          <w:lang w:val="x-none" w:eastAsia="x-none"/>
        </w:rPr>
        <w:t xml:space="preserve">Liczba </w:t>
      </w:r>
      <w:proofErr w:type="spellStart"/>
      <w:r w:rsidRPr="005E2831">
        <w:rPr>
          <w:rFonts w:ascii="Times New Roman" w:eastAsia="Times New Roman" w:hAnsi="Times New Roman" w:cs="Times New Roman"/>
          <w:b/>
          <w:bCs/>
          <w:lang w:eastAsia="x-none"/>
        </w:rPr>
        <w:t>jcwp</w:t>
      </w:r>
      <w:proofErr w:type="spellEnd"/>
      <w:r w:rsidRPr="005E2831">
        <w:rPr>
          <w:rFonts w:ascii="Times New Roman" w:eastAsia="Times New Roman" w:hAnsi="Times New Roman" w:cs="Times New Roman"/>
          <w:b/>
          <w:bCs/>
          <w:lang w:eastAsia="x-none"/>
        </w:rPr>
        <w:t xml:space="preserve"> rzecznych</w:t>
      </w:r>
      <w:r w:rsidRPr="005E2831">
        <w:rPr>
          <w:rFonts w:ascii="Times New Roman" w:eastAsia="Times New Roman" w:hAnsi="Times New Roman" w:cs="Times New Roman"/>
          <w:b/>
          <w:bCs/>
          <w:lang w:val="x-none" w:eastAsia="x-none"/>
        </w:rPr>
        <w:t>, w których</w:t>
      </w:r>
      <w:r w:rsidRPr="005E2831">
        <w:rPr>
          <w:rFonts w:ascii="Times New Roman" w:eastAsia="Times New Roman" w:hAnsi="Times New Roman" w:cs="Times New Roman"/>
          <w:b/>
          <w:bCs/>
          <w:lang w:eastAsia="x-none"/>
        </w:rPr>
        <w:t xml:space="preserve"> </w:t>
      </w:r>
      <w:r w:rsidRPr="005E2831">
        <w:rPr>
          <w:rFonts w:ascii="Times New Roman" w:eastAsia="Times New Roman" w:hAnsi="Times New Roman" w:cs="Times New Roman"/>
          <w:b/>
          <w:bCs/>
          <w:lang w:val="x-none" w:eastAsia="x-none"/>
        </w:rPr>
        <w:t>wykon</w:t>
      </w:r>
      <w:r w:rsidRPr="005E2831">
        <w:rPr>
          <w:rFonts w:ascii="Times New Roman" w:eastAsia="Times New Roman" w:hAnsi="Times New Roman" w:cs="Times New Roman"/>
          <w:b/>
          <w:bCs/>
          <w:lang w:eastAsia="x-none"/>
        </w:rPr>
        <w:t>ano</w:t>
      </w:r>
      <w:r w:rsidRPr="005E2831">
        <w:rPr>
          <w:rFonts w:ascii="Times New Roman" w:eastAsia="Times New Roman" w:hAnsi="Times New Roman" w:cs="Times New Roman"/>
          <w:b/>
          <w:bCs/>
          <w:lang w:val="x-none" w:eastAsia="x-none"/>
        </w:rPr>
        <w:t xml:space="preserve"> badania</w:t>
      </w:r>
      <w:r w:rsidRPr="005E2831">
        <w:rPr>
          <w:rFonts w:ascii="Times New Roman" w:eastAsia="Times New Roman" w:hAnsi="Times New Roman" w:cs="Times New Roman"/>
          <w:b/>
          <w:bCs/>
          <w:lang w:eastAsia="x-none"/>
        </w:rPr>
        <w:t xml:space="preserve"> w 2022 r.</w:t>
      </w:r>
      <w:r w:rsidRPr="005E2831">
        <w:rPr>
          <w:rFonts w:ascii="Times New Roman" w:eastAsia="Times New Roman" w:hAnsi="Times New Roman" w:cs="Times New Roman"/>
          <w:b/>
          <w:bCs/>
          <w:lang w:val="x-none" w:eastAsia="x-none"/>
        </w:rPr>
        <w:t xml:space="preserve"> w stosunku do liczby </w:t>
      </w:r>
      <w:proofErr w:type="spellStart"/>
      <w:r w:rsidRPr="005E2831">
        <w:rPr>
          <w:rFonts w:ascii="Times New Roman" w:eastAsia="Times New Roman" w:hAnsi="Times New Roman" w:cs="Times New Roman"/>
          <w:b/>
          <w:bCs/>
          <w:lang w:eastAsia="x-none"/>
        </w:rPr>
        <w:t>jcwp</w:t>
      </w:r>
      <w:proofErr w:type="spellEnd"/>
      <w:r w:rsidRPr="005E2831">
        <w:rPr>
          <w:rFonts w:ascii="Times New Roman" w:eastAsia="Times New Roman" w:hAnsi="Times New Roman" w:cs="Times New Roman"/>
          <w:b/>
          <w:bCs/>
          <w:lang w:eastAsia="x-none"/>
        </w:rPr>
        <w:t xml:space="preserve"> </w:t>
      </w:r>
      <w:r w:rsidRPr="005E2831">
        <w:rPr>
          <w:rFonts w:ascii="Times New Roman" w:eastAsia="Times New Roman" w:hAnsi="Times New Roman" w:cs="Times New Roman"/>
          <w:b/>
          <w:bCs/>
          <w:lang w:val="x-none" w:eastAsia="x-none"/>
        </w:rPr>
        <w:t>zaplanowanych do badań</w:t>
      </w:r>
    </w:p>
    <w:p w14:paraId="2BA147CA" w14:textId="77777777" w:rsidR="00895F16" w:rsidRPr="007F400A" w:rsidRDefault="00895F16" w:rsidP="00895F16">
      <w:pPr>
        <w:spacing w:after="0"/>
        <w:ind w:firstLine="708"/>
        <w:rPr>
          <w:rFonts w:ascii="Times New Roman" w:hAnsi="Times New Roman"/>
          <w:sz w:val="24"/>
          <w:szCs w:val="24"/>
          <w:lang w:eastAsia="pl-PL"/>
        </w:rPr>
      </w:pPr>
    </w:p>
    <w:p w14:paraId="18D21904" w14:textId="77777777" w:rsidR="000C1458" w:rsidRPr="005E2831" w:rsidRDefault="000C1458" w:rsidP="004E37F6">
      <w:pPr>
        <w:spacing w:after="60" w:line="240" w:lineRule="auto"/>
        <w:jc w:val="center"/>
        <w:rPr>
          <w:rFonts w:ascii="Times New Roman" w:eastAsia="Times New Roman" w:hAnsi="Times New Roman" w:cs="Times New Roman"/>
          <w:b/>
          <w:bCs/>
          <w:sz w:val="24"/>
          <w:szCs w:val="24"/>
          <w:lang w:eastAsia="x-none"/>
        </w:rPr>
      </w:pPr>
      <w:r w:rsidRPr="005E2831">
        <w:rPr>
          <w:rFonts w:ascii="Times New Roman" w:hAnsi="Times New Roman" w:cs="Times New Roman"/>
          <w:noProof/>
          <w:lang w:eastAsia="pl-PL"/>
        </w:rPr>
        <w:lastRenderedPageBreak/>
        <w:drawing>
          <wp:inline distT="0" distB="0" distL="0" distR="0" wp14:anchorId="291974BD" wp14:editId="2253049F">
            <wp:extent cx="4923790" cy="4581001"/>
            <wp:effectExtent l="0" t="0" r="0" b="0"/>
            <wp:docPr id="455" name="Obraz 455" descr="Ryc. 9. Rozmieszczenie punktów pomiarowo-kontrolnych zaplanowanych do badań jednolitych części wód powierzchniowych rzecznych w roku 2022 na tle podziału administracyjnego na województ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Obraz 455" descr="Ryc. 9. Rozmieszczenie punktów pomiarowo-kontrolnych zaplanowanych do badań jednolitych części wód powierzchniowych rzecznych w roku 2022 na tle podziału administracyjnego na województwa"/>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a:stretch/>
                  </pic:blipFill>
                  <pic:spPr bwMode="auto">
                    <a:xfrm>
                      <a:off x="0" y="0"/>
                      <a:ext cx="4924920" cy="4582052"/>
                    </a:xfrm>
                    <a:prstGeom prst="rect">
                      <a:avLst/>
                    </a:prstGeom>
                    <a:noFill/>
                    <a:ln>
                      <a:noFill/>
                    </a:ln>
                    <a:extLst>
                      <a:ext uri="{53640926-AAD7-44D8-BBD7-CCE9431645EC}">
                        <a14:shadowObscured xmlns:a14="http://schemas.microsoft.com/office/drawing/2010/main"/>
                      </a:ext>
                    </a:extLst>
                  </pic:spPr>
                </pic:pic>
              </a:graphicData>
            </a:graphic>
          </wp:inline>
        </w:drawing>
      </w:r>
    </w:p>
    <w:p w14:paraId="1B4926EF" w14:textId="2D6BBC25" w:rsidR="00895F16" w:rsidRDefault="000C1458" w:rsidP="000C1458">
      <w:pPr>
        <w:spacing w:after="0" w:line="240" w:lineRule="auto"/>
        <w:rPr>
          <w:rFonts w:ascii="Times New Roman" w:eastAsia="Times New Roman" w:hAnsi="Times New Roman" w:cs="Times New Roman"/>
          <w:b/>
          <w:bCs/>
          <w:lang w:val="x-none" w:eastAsia="x-none"/>
        </w:rPr>
      </w:pPr>
      <w:r w:rsidRPr="005E2831">
        <w:rPr>
          <w:rFonts w:ascii="Times New Roman" w:eastAsia="Times New Roman" w:hAnsi="Times New Roman" w:cs="Times New Roman"/>
          <w:b/>
          <w:bCs/>
          <w:lang w:eastAsia="x-none"/>
        </w:rPr>
        <w:t xml:space="preserve">Ryc. </w:t>
      </w:r>
      <w:r>
        <w:rPr>
          <w:rFonts w:ascii="Times New Roman" w:eastAsia="Times New Roman" w:hAnsi="Times New Roman" w:cs="Times New Roman"/>
          <w:b/>
          <w:bCs/>
          <w:lang w:eastAsia="x-none"/>
        </w:rPr>
        <w:t>9</w:t>
      </w:r>
      <w:r w:rsidRPr="005E2831">
        <w:rPr>
          <w:rFonts w:ascii="Times New Roman" w:eastAsia="Times New Roman" w:hAnsi="Times New Roman" w:cs="Times New Roman"/>
          <w:b/>
          <w:bCs/>
          <w:lang w:eastAsia="x-none"/>
        </w:rPr>
        <w:t xml:space="preserve">. </w:t>
      </w:r>
      <w:r w:rsidRPr="005E2831">
        <w:rPr>
          <w:rFonts w:ascii="Times New Roman" w:eastAsia="Times New Roman" w:hAnsi="Times New Roman" w:cs="Times New Roman"/>
          <w:b/>
          <w:bCs/>
          <w:lang w:val="x-none" w:eastAsia="x-none"/>
        </w:rPr>
        <w:t>Rozmieszczenie p</w:t>
      </w:r>
      <w:r w:rsidRPr="005E2831">
        <w:rPr>
          <w:rFonts w:ascii="Times New Roman" w:eastAsia="Times New Roman" w:hAnsi="Times New Roman" w:cs="Times New Roman"/>
          <w:b/>
          <w:bCs/>
          <w:lang w:eastAsia="x-none"/>
        </w:rPr>
        <w:t xml:space="preserve">unktów </w:t>
      </w:r>
      <w:r w:rsidRPr="005E2831">
        <w:rPr>
          <w:rFonts w:ascii="Times New Roman" w:eastAsia="Times New Roman" w:hAnsi="Times New Roman" w:cs="Times New Roman"/>
          <w:b/>
          <w:bCs/>
          <w:lang w:val="x-none" w:eastAsia="x-none"/>
        </w:rPr>
        <w:t>p</w:t>
      </w:r>
      <w:r w:rsidRPr="005E2831">
        <w:rPr>
          <w:rFonts w:ascii="Times New Roman" w:eastAsia="Times New Roman" w:hAnsi="Times New Roman" w:cs="Times New Roman"/>
          <w:b/>
          <w:bCs/>
          <w:lang w:eastAsia="x-none"/>
        </w:rPr>
        <w:t>omiarowo-</w:t>
      </w:r>
      <w:r w:rsidRPr="005E2831">
        <w:rPr>
          <w:rFonts w:ascii="Times New Roman" w:eastAsia="Times New Roman" w:hAnsi="Times New Roman" w:cs="Times New Roman"/>
          <w:b/>
          <w:bCs/>
          <w:lang w:val="x-none" w:eastAsia="x-none"/>
        </w:rPr>
        <w:t>k</w:t>
      </w:r>
      <w:r w:rsidRPr="005E2831">
        <w:rPr>
          <w:rFonts w:ascii="Times New Roman" w:eastAsia="Times New Roman" w:hAnsi="Times New Roman" w:cs="Times New Roman"/>
          <w:b/>
          <w:bCs/>
          <w:lang w:eastAsia="x-none"/>
        </w:rPr>
        <w:t xml:space="preserve">ontrolnych </w:t>
      </w:r>
      <w:r w:rsidRPr="005E2831">
        <w:rPr>
          <w:rFonts w:ascii="Times New Roman" w:eastAsia="Times New Roman" w:hAnsi="Times New Roman" w:cs="Times New Roman"/>
          <w:b/>
          <w:bCs/>
          <w:lang w:val="x-none" w:eastAsia="x-none"/>
        </w:rPr>
        <w:t xml:space="preserve">zaplanowanych do badań </w:t>
      </w:r>
      <w:r w:rsidRPr="005E2831">
        <w:rPr>
          <w:rFonts w:ascii="Times New Roman" w:eastAsia="Times New Roman" w:hAnsi="Times New Roman" w:cs="Times New Roman"/>
          <w:b/>
          <w:bCs/>
          <w:lang w:eastAsia="x-none"/>
        </w:rPr>
        <w:t xml:space="preserve">jednolitych </w:t>
      </w:r>
      <w:r w:rsidRPr="005E2831">
        <w:rPr>
          <w:rFonts w:ascii="Times New Roman" w:eastAsia="Times New Roman" w:hAnsi="Times New Roman" w:cs="Times New Roman"/>
          <w:b/>
          <w:bCs/>
          <w:lang w:val="x-none" w:eastAsia="x-none"/>
        </w:rPr>
        <w:t>części</w:t>
      </w:r>
      <w:r w:rsidRPr="005E2831">
        <w:rPr>
          <w:rFonts w:ascii="Times New Roman" w:eastAsia="Times New Roman" w:hAnsi="Times New Roman" w:cs="Times New Roman"/>
          <w:b/>
          <w:bCs/>
          <w:lang w:eastAsia="x-none"/>
        </w:rPr>
        <w:t xml:space="preserve"> </w:t>
      </w:r>
      <w:r w:rsidRPr="005E2831">
        <w:rPr>
          <w:rFonts w:ascii="Times New Roman" w:eastAsia="Times New Roman" w:hAnsi="Times New Roman" w:cs="Times New Roman"/>
          <w:b/>
          <w:bCs/>
          <w:lang w:val="x-none" w:eastAsia="x-none"/>
        </w:rPr>
        <w:t>w</w:t>
      </w:r>
      <w:r w:rsidRPr="005E2831">
        <w:rPr>
          <w:rFonts w:ascii="Times New Roman" w:eastAsia="Times New Roman" w:hAnsi="Times New Roman" w:cs="Times New Roman"/>
          <w:b/>
          <w:bCs/>
          <w:lang w:eastAsia="x-none"/>
        </w:rPr>
        <w:t xml:space="preserve">ód </w:t>
      </w:r>
      <w:r w:rsidRPr="005E2831">
        <w:rPr>
          <w:rFonts w:ascii="Times New Roman" w:eastAsia="Times New Roman" w:hAnsi="Times New Roman" w:cs="Times New Roman"/>
          <w:b/>
          <w:bCs/>
          <w:lang w:val="x-none" w:eastAsia="x-none"/>
        </w:rPr>
        <w:t>p</w:t>
      </w:r>
      <w:r w:rsidRPr="005E2831">
        <w:rPr>
          <w:rFonts w:ascii="Times New Roman" w:eastAsia="Times New Roman" w:hAnsi="Times New Roman" w:cs="Times New Roman"/>
          <w:b/>
          <w:bCs/>
          <w:lang w:eastAsia="x-none"/>
        </w:rPr>
        <w:t>owierzchniowych</w:t>
      </w:r>
      <w:r w:rsidRPr="005E2831">
        <w:rPr>
          <w:rFonts w:ascii="Times New Roman" w:eastAsia="Times New Roman" w:hAnsi="Times New Roman" w:cs="Times New Roman"/>
          <w:b/>
          <w:bCs/>
          <w:lang w:val="x-none" w:eastAsia="x-none"/>
        </w:rPr>
        <w:t xml:space="preserve"> rzecznych w roku 20</w:t>
      </w:r>
      <w:r w:rsidRPr="005E2831">
        <w:rPr>
          <w:rFonts w:ascii="Times New Roman" w:eastAsia="Times New Roman" w:hAnsi="Times New Roman" w:cs="Times New Roman"/>
          <w:b/>
          <w:bCs/>
          <w:lang w:eastAsia="x-none"/>
        </w:rPr>
        <w:t>22</w:t>
      </w:r>
      <w:r w:rsidRPr="005E2831">
        <w:rPr>
          <w:rFonts w:ascii="Times New Roman" w:eastAsia="Times New Roman" w:hAnsi="Times New Roman" w:cs="Times New Roman"/>
          <w:b/>
          <w:bCs/>
          <w:lang w:val="x-none" w:eastAsia="x-none"/>
        </w:rPr>
        <w:t xml:space="preserve"> na tle podziału administracyjnego na województwa</w:t>
      </w:r>
    </w:p>
    <w:p w14:paraId="191D9E8D" w14:textId="77777777" w:rsidR="000C1458" w:rsidRPr="007F400A" w:rsidRDefault="000C1458" w:rsidP="000C1458">
      <w:pPr>
        <w:spacing w:after="0" w:line="240" w:lineRule="auto"/>
        <w:rPr>
          <w:rFonts w:ascii="Times New Roman" w:eastAsia="Times New Roman" w:hAnsi="Times New Roman"/>
          <w:b/>
          <w:bCs/>
          <w:lang w:eastAsia="x-none"/>
        </w:rPr>
      </w:pPr>
    </w:p>
    <w:p w14:paraId="68C9DD7E" w14:textId="77777777" w:rsidR="000C1458" w:rsidRPr="005E2831" w:rsidRDefault="000C1458" w:rsidP="0009242C">
      <w:pPr>
        <w:spacing w:after="60" w:line="300" w:lineRule="atLeast"/>
        <w:ind w:firstLine="567"/>
        <w:jc w:val="both"/>
        <w:rPr>
          <w:rFonts w:ascii="Times New Roman" w:eastAsia="Calibri" w:hAnsi="Times New Roman" w:cs="Times New Roman"/>
          <w:noProof/>
          <w:sz w:val="20"/>
          <w:szCs w:val="20"/>
          <w:lang w:eastAsia="pl-PL"/>
        </w:rPr>
      </w:pPr>
      <w:r w:rsidRPr="005E2831">
        <w:rPr>
          <w:rFonts w:ascii="Times New Roman" w:eastAsia="Calibri" w:hAnsi="Times New Roman" w:cs="Times New Roman"/>
          <w:sz w:val="24"/>
          <w:szCs w:val="24"/>
          <w:lang w:eastAsia="pl-PL"/>
        </w:rPr>
        <w:t xml:space="preserve">Wykonanie obserwacji </w:t>
      </w:r>
      <w:proofErr w:type="spellStart"/>
      <w:r w:rsidRPr="005E2831">
        <w:rPr>
          <w:rFonts w:ascii="Times New Roman" w:eastAsia="Calibri" w:hAnsi="Times New Roman" w:cs="Times New Roman"/>
          <w:sz w:val="24"/>
          <w:szCs w:val="24"/>
          <w:lang w:eastAsia="pl-PL"/>
        </w:rPr>
        <w:t>hydromorfologicznych</w:t>
      </w:r>
      <w:proofErr w:type="spellEnd"/>
      <w:r w:rsidRPr="005E2831">
        <w:rPr>
          <w:rFonts w:ascii="Times New Roman" w:eastAsia="Calibri" w:hAnsi="Times New Roman" w:cs="Times New Roman"/>
          <w:sz w:val="24"/>
          <w:szCs w:val="24"/>
          <w:lang w:eastAsia="pl-PL"/>
        </w:rPr>
        <w:t xml:space="preserve"> zaplanowano w 690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(678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rzecznych i 12 zbiorników zaporowych) i  badania zrealizowano we wszystkich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p>
    <w:p w14:paraId="234327FB" w14:textId="77777777" w:rsidR="000C1458" w:rsidRPr="005E2831" w:rsidRDefault="000C1458" w:rsidP="000C1458">
      <w:pPr>
        <w:spacing w:after="60" w:line="300" w:lineRule="atLeast"/>
        <w:ind w:firstLine="567"/>
        <w:jc w:val="both"/>
        <w:rPr>
          <w:rFonts w:ascii="Times New Roman" w:eastAsia="Calibri" w:hAnsi="Times New Roman" w:cs="Times New Roman"/>
          <w:sz w:val="24"/>
          <w:szCs w:val="24"/>
          <w:lang w:eastAsia="pl-PL"/>
        </w:rPr>
      </w:pPr>
      <w:r w:rsidRPr="005E2831">
        <w:rPr>
          <w:rFonts w:ascii="Times New Roman" w:eastAsia="Calibri" w:hAnsi="Times New Roman" w:cs="Times New Roman"/>
          <w:sz w:val="24"/>
          <w:szCs w:val="24"/>
          <w:lang w:eastAsia="pl-PL"/>
        </w:rPr>
        <w:t xml:space="preserve">Oprócz badań wykonywanych przez CLB, na zlecenie DMŚ, przewidziano badania ichtiofauny w 300 </w:t>
      </w:r>
      <w:proofErr w:type="spellStart"/>
      <w:r w:rsidRPr="005E2831">
        <w:rPr>
          <w:rFonts w:ascii="Times New Roman" w:eastAsia="Calibri" w:hAnsi="Times New Roman" w:cs="Times New Roman"/>
          <w:sz w:val="24"/>
          <w:szCs w:val="24"/>
          <w:lang w:eastAsia="pl-PL"/>
        </w:rPr>
        <w:t>ppk</w:t>
      </w:r>
      <w:proofErr w:type="spellEnd"/>
      <w:r w:rsidRPr="005E2831">
        <w:rPr>
          <w:rFonts w:ascii="Times New Roman" w:eastAsia="Calibri" w:hAnsi="Times New Roman" w:cs="Times New Roman"/>
          <w:sz w:val="24"/>
          <w:szCs w:val="24"/>
          <w:lang w:eastAsia="pl-PL"/>
        </w:rPr>
        <w:t xml:space="preserve">, przy czym ze względu na warunki hydrologiczne (głównie brak wody), badania wykonano w 295 </w:t>
      </w:r>
      <w:proofErr w:type="spellStart"/>
      <w:r w:rsidRPr="005E2831">
        <w:rPr>
          <w:rFonts w:ascii="Times New Roman" w:eastAsia="Calibri" w:hAnsi="Times New Roman" w:cs="Times New Roman"/>
          <w:sz w:val="24"/>
          <w:szCs w:val="24"/>
          <w:lang w:eastAsia="pl-PL"/>
        </w:rPr>
        <w:t>ppk</w:t>
      </w:r>
      <w:proofErr w:type="spellEnd"/>
      <w:r w:rsidRPr="005E2831">
        <w:rPr>
          <w:rFonts w:ascii="Times New Roman" w:eastAsia="Calibri" w:hAnsi="Times New Roman" w:cs="Times New Roman"/>
          <w:sz w:val="24"/>
          <w:szCs w:val="24"/>
          <w:lang w:eastAsia="pl-PL"/>
        </w:rPr>
        <w:t xml:space="preserve">. Ze względów metodycznych udało się sklasyfikować stan lub potencjał ekologiczny tego elementu biologicznego w 262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 w pozostałych wystąpiło zbyt mało ryb, aby wykonać wiarygodną klasyfikację.</w:t>
      </w:r>
    </w:p>
    <w:p w14:paraId="62618FAA" w14:textId="4532980A" w:rsidR="000C1458" w:rsidRPr="005E2831" w:rsidRDefault="000C1458" w:rsidP="000C1458">
      <w:pPr>
        <w:spacing w:after="60" w:line="300" w:lineRule="atLeast"/>
        <w:ind w:firstLine="567"/>
        <w:jc w:val="both"/>
        <w:rPr>
          <w:rFonts w:ascii="Times New Roman" w:eastAsia="Calibri" w:hAnsi="Times New Roman" w:cs="Times New Roman"/>
          <w:sz w:val="24"/>
          <w:szCs w:val="24"/>
          <w:lang w:eastAsia="pl-PL"/>
        </w:rPr>
      </w:pPr>
      <w:r w:rsidRPr="005E2831">
        <w:rPr>
          <w:rFonts w:ascii="Times New Roman" w:eastAsia="Calibri" w:hAnsi="Times New Roman" w:cs="Times New Roman"/>
          <w:sz w:val="24"/>
          <w:szCs w:val="24"/>
          <w:lang w:eastAsia="pl-PL"/>
        </w:rPr>
        <w:t xml:space="preserve">W 2022 r., Główny Inspektor Ochrony Środowiska zlecił wykonanie badań substancji priorytetowych w tkankach organizmów żywych. Badania wykonano w 300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rzecznych. W pobranych próbach oznaczono 11 substancji priorytetowych: </w:t>
      </w:r>
      <w:proofErr w:type="spellStart"/>
      <w:r w:rsidRPr="005E2831">
        <w:rPr>
          <w:rFonts w:ascii="Times New Roman" w:eastAsia="Calibri" w:hAnsi="Times New Roman" w:cs="Times New Roman"/>
          <w:sz w:val="24"/>
          <w:szCs w:val="24"/>
          <w:lang w:eastAsia="pl-PL"/>
        </w:rPr>
        <w:t>difenyloetery</w:t>
      </w:r>
      <w:proofErr w:type="spellEnd"/>
      <w:r w:rsidRPr="005E2831">
        <w:rPr>
          <w:rFonts w:ascii="Times New Roman" w:eastAsia="Calibri" w:hAnsi="Times New Roman" w:cs="Times New Roman"/>
          <w:sz w:val="24"/>
          <w:szCs w:val="24"/>
          <w:lang w:eastAsia="pl-PL"/>
        </w:rPr>
        <w:t xml:space="preserve"> bromowane, </w:t>
      </w:r>
      <w:proofErr w:type="spellStart"/>
      <w:r w:rsidRPr="005E2831">
        <w:rPr>
          <w:rFonts w:ascii="Times New Roman" w:eastAsia="Calibri" w:hAnsi="Times New Roman" w:cs="Times New Roman"/>
          <w:sz w:val="24"/>
          <w:szCs w:val="24"/>
          <w:lang w:eastAsia="pl-PL"/>
        </w:rPr>
        <w:t>fluoranten</w:t>
      </w:r>
      <w:proofErr w:type="spellEnd"/>
      <w:r w:rsidRPr="005E2831">
        <w:rPr>
          <w:rFonts w:ascii="Times New Roman" w:eastAsia="Calibri" w:hAnsi="Times New Roman" w:cs="Times New Roman"/>
          <w:sz w:val="24"/>
          <w:szCs w:val="24"/>
          <w:lang w:eastAsia="pl-PL"/>
        </w:rPr>
        <w:t xml:space="preserve">, </w:t>
      </w:r>
      <w:proofErr w:type="spellStart"/>
      <w:r w:rsidRPr="005E2831">
        <w:rPr>
          <w:rFonts w:ascii="Times New Roman" w:eastAsia="Calibri" w:hAnsi="Times New Roman" w:cs="Times New Roman"/>
          <w:sz w:val="24"/>
          <w:szCs w:val="24"/>
          <w:lang w:eastAsia="pl-PL"/>
        </w:rPr>
        <w:t>heksachlorobenzen</w:t>
      </w:r>
      <w:proofErr w:type="spellEnd"/>
      <w:r w:rsidRPr="005E2831">
        <w:rPr>
          <w:rFonts w:ascii="Times New Roman" w:eastAsia="Calibri" w:hAnsi="Times New Roman" w:cs="Times New Roman"/>
          <w:sz w:val="24"/>
          <w:szCs w:val="24"/>
          <w:lang w:eastAsia="pl-PL"/>
        </w:rPr>
        <w:t xml:space="preserve"> (HCB), </w:t>
      </w:r>
      <w:proofErr w:type="spellStart"/>
      <w:r w:rsidRPr="005E2831">
        <w:rPr>
          <w:rFonts w:ascii="Times New Roman" w:eastAsia="Calibri" w:hAnsi="Times New Roman" w:cs="Times New Roman"/>
          <w:sz w:val="24"/>
          <w:szCs w:val="24"/>
          <w:lang w:eastAsia="pl-PL"/>
        </w:rPr>
        <w:t>heksachlorobutadien</w:t>
      </w:r>
      <w:proofErr w:type="spellEnd"/>
      <w:r w:rsidRPr="005E2831">
        <w:rPr>
          <w:rFonts w:ascii="Times New Roman" w:eastAsia="Calibri" w:hAnsi="Times New Roman" w:cs="Times New Roman"/>
          <w:sz w:val="24"/>
          <w:szCs w:val="24"/>
          <w:lang w:eastAsia="pl-PL"/>
        </w:rPr>
        <w:t xml:space="preserve"> (HCBD), rtęć i jej związki, </w:t>
      </w:r>
      <w:proofErr w:type="spellStart"/>
      <w:r w:rsidRPr="005E2831">
        <w:rPr>
          <w:rFonts w:ascii="Times New Roman" w:eastAsia="Calibri" w:hAnsi="Times New Roman" w:cs="Times New Roman"/>
          <w:sz w:val="24"/>
          <w:szCs w:val="24"/>
          <w:lang w:eastAsia="pl-PL"/>
        </w:rPr>
        <w:t>benzo</w:t>
      </w:r>
      <w:proofErr w:type="spellEnd"/>
      <w:r w:rsidRPr="005E2831">
        <w:rPr>
          <w:rFonts w:ascii="Times New Roman" w:eastAsia="Calibri" w:hAnsi="Times New Roman" w:cs="Times New Roman"/>
          <w:sz w:val="24"/>
          <w:szCs w:val="24"/>
          <w:lang w:eastAsia="pl-PL"/>
        </w:rPr>
        <w:t>(a)</w:t>
      </w:r>
      <w:proofErr w:type="spellStart"/>
      <w:r w:rsidRPr="005E2831">
        <w:rPr>
          <w:rFonts w:ascii="Times New Roman" w:eastAsia="Calibri" w:hAnsi="Times New Roman" w:cs="Times New Roman"/>
          <w:sz w:val="24"/>
          <w:szCs w:val="24"/>
          <w:lang w:eastAsia="pl-PL"/>
        </w:rPr>
        <w:t>piren</w:t>
      </w:r>
      <w:proofErr w:type="spellEnd"/>
      <w:r w:rsidRPr="005E2831">
        <w:rPr>
          <w:rFonts w:ascii="Times New Roman" w:eastAsia="Calibri" w:hAnsi="Times New Roman" w:cs="Times New Roman"/>
          <w:sz w:val="24"/>
          <w:szCs w:val="24"/>
          <w:lang w:eastAsia="pl-PL"/>
        </w:rPr>
        <w:t xml:space="preserve">, </w:t>
      </w:r>
      <w:proofErr w:type="spellStart"/>
      <w:r w:rsidRPr="005E2831">
        <w:rPr>
          <w:rFonts w:ascii="Times New Roman" w:eastAsia="Calibri" w:hAnsi="Times New Roman" w:cs="Times New Roman"/>
          <w:sz w:val="24"/>
          <w:szCs w:val="24"/>
          <w:lang w:eastAsia="pl-PL"/>
        </w:rPr>
        <w:t>dikofol</w:t>
      </w:r>
      <w:proofErr w:type="spellEnd"/>
      <w:r w:rsidRPr="005E2831">
        <w:rPr>
          <w:rFonts w:ascii="Times New Roman" w:eastAsia="Calibri" w:hAnsi="Times New Roman" w:cs="Times New Roman"/>
          <w:sz w:val="24"/>
          <w:szCs w:val="24"/>
          <w:lang w:eastAsia="pl-PL"/>
        </w:rPr>
        <w:t xml:space="preserve">, kwas </w:t>
      </w:r>
      <w:proofErr w:type="spellStart"/>
      <w:r w:rsidRPr="005E2831">
        <w:rPr>
          <w:rFonts w:ascii="Times New Roman" w:eastAsia="Calibri" w:hAnsi="Times New Roman" w:cs="Times New Roman"/>
          <w:sz w:val="24"/>
          <w:szCs w:val="24"/>
          <w:lang w:eastAsia="pl-PL"/>
        </w:rPr>
        <w:t>perfluorooktanosulfonowy</w:t>
      </w:r>
      <w:proofErr w:type="spellEnd"/>
      <w:r w:rsidRPr="005E2831">
        <w:rPr>
          <w:rFonts w:ascii="Times New Roman" w:eastAsia="Calibri" w:hAnsi="Times New Roman" w:cs="Times New Roman"/>
          <w:sz w:val="24"/>
          <w:szCs w:val="24"/>
          <w:lang w:eastAsia="pl-PL"/>
        </w:rPr>
        <w:t xml:space="preserve"> (PFOS), dioksyny, </w:t>
      </w:r>
      <w:proofErr w:type="spellStart"/>
      <w:r w:rsidRPr="005E2831">
        <w:rPr>
          <w:rFonts w:ascii="Times New Roman" w:eastAsia="Calibri" w:hAnsi="Times New Roman" w:cs="Times New Roman"/>
          <w:sz w:val="24"/>
          <w:szCs w:val="24"/>
          <w:lang w:eastAsia="pl-PL"/>
        </w:rPr>
        <w:t>heksabromocyklododekan</w:t>
      </w:r>
      <w:proofErr w:type="spellEnd"/>
      <w:r w:rsidRPr="005E2831">
        <w:rPr>
          <w:rFonts w:ascii="Times New Roman" w:eastAsia="Calibri" w:hAnsi="Times New Roman" w:cs="Times New Roman"/>
          <w:sz w:val="24"/>
          <w:szCs w:val="24"/>
          <w:lang w:eastAsia="pl-PL"/>
        </w:rPr>
        <w:t xml:space="preserve">, </w:t>
      </w:r>
      <w:proofErr w:type="spellStart"/>
      <w:r w:rsidRPr="005E2831">
        <w:rPr>
          <w:rFonts w:ascii="Times New Roman" w:eastAsia="Calibri" w:hAnsi="Times New Roman" w:cs="Times New Roman"/>
          <w:sz w:val="24"/>
          <w:szCs w:val="24"/>
          <w:lang w:eastAsia="pl-PL"/>
        </w:rPr>
        <w:t>heptachlor</w:t>
      </w:r>
      <w:proofErr w:type="spellEnd"/>
      <w:r w:rsidRPr="005E2831">
        <w:rPr>
          <w:rFonts w:ascii="Times New Roman" w:eastAsia="Calibri" w:hAnsi="Times New Roman" w:cs="Times New Roman"/>
          <w:sz w:val="24"/>
          <w:szCs w:val="24"/>
          <w:lang w:eastAsia="pl-PL"/>
        </w:rPr>
        <w:t xml:space="preserve">  i epoksyd </w:t>
      </w:r>
      <w:proofErr w:type="spellStart"/>
      <w:r w:rsidRPr="005E2831">
        <w:rPr>
          <w:rFonts w:ascii="Times New Roman" w:eastAsia="Calibri" w:hAnsi="Times New Roman" w:cs="Times New Roman"/>
          <w:sz w:val="24"/>
          <w:szCs w:val="24"/>
          <w:lang w:eastAsia="pl-PL"/>
        </w:rPr>
        <w:t>heptachloru</w:t>
      </w:r>
      <w:proofErr w:type="spellEnd"/>
      <w:r w:rsidRPr="005E2831">
        <w:rPr>
          <w:rFonts w:ascii="Times New Roman" w:eastAsia="Calibri" w:hAnsi="Times New Roman" w:cs="Times New Roman"/>
          <w:sz w:val="24"/>
          <w:szCs w:val="24"/>
          <w:lang w:eastAsia="pl-PL"/>
        </w:rPr>
        <w:t xml:space="preserve">. </w:t>
      </w:r>
    </w:p>
    <w:p w14:paraId="53D15189" w14:textId="77777777" w:rsidR="000C1458" w:rsidRPr="005E2831" w:rsidRDefault="000C1458" w:rsidP="0009242C">
      <w:pPr>
        <w:spacing w:after="60" w:line="300" w:lineRule="atLeast"/>
        <w:ind w:firstLine="567"/>
        <w:jc w:val="both"/>
        <w:rPr>
          <w:rFonts w:ascii="Times New Roman" w:eastAsia="Calibri" w:hAnsi="Times New Roman" w:cs="Times New Roman"/>
          <w:sz w:val="24"/>
          <w:szCs w:val="24"/>
          <w:lang w:eastAsia="pl-PL"/>
        </w:rPr>
      </w:pPr>
      <w:r w:rsidRPr="005E2831">
        <w:rPr>
          <w:rFonts w:ascii="Times New Roman" w:eastAsia="Calibri" w:hAnsi="Times New Roman" w:cs="Times New Roman"/>
          <w:sz w:val="24"/>
          <w:szCs w:val="24"/>
          <w:lang w:eastAsia="pl-PL"/>
        </w:rPr>
        <w:t>Wśród wykonanych badań w 2022 r., analogicznie do lat ubiegłych zaczynając od 2016</w:t>
      </w:r>
      <w:r>
        <w:rPr>
          <w:rFonts w:ascii="Times New Roman" w:eastAsia="Calibri" w:hAnsi="Times New Roman" w:cs="Times New Roman"/>
          <w:sz w:val="24"/>
          <w:szCs w:val="24"/>
          <w:lang w:eastAsia="pl-PL"/>
        </w:rPr>
        <w:t> </w:t>
      </w:r>
      <w:r w:rsidRPr="005E2831">
        <w:rPr>
          <w:rFonts w:ascii="Times New Roman" w:eastAsia="Calibri" w:hAnsi="Times New Roman" w:cs="Times New Roman"/>
          <w:sz w:val="24"/>
          <w:szCs w:val="24"/>
          <w:lang w:eastAsia="pl-PL"/>
        </w:rPr>
        <w:t>r., największą częstotliwość przekroczeń dopuszczalnej normy dla stężenia w tkankach biologicznych (EQS) wykazały 2 substancje priorytetowe. W wszystkich przebadanych 300</w:t>
      </w:r>
      <w:r>
        <w:rPr>
          <w:rFonts w:ascii="Times New Roman" w:eastAsia="Calibri" w:hAnsi="Times New Roman" w:cs="Times New Roman"/>
          <w:sz w:val="24"/>
          <w:szCs w:val="24"/>
          <w:lang w:eastAsia="pl-PL"/>
        </w:rPr>
        <w:t> </w:t>
      </w:r>
      <w:r w:rsidRPr="005E2831">
        <w:rPr>
          <w:rFonts w:ascii="Times New Roman" w:eastAsia="Calibri" w:hAnsi="Times New Roman" w:cs="Times New Roman"/>
          <w:sz w:val="24"/>
          <w:szCs w:val="24"/>
          <w:lang w:eastAsia="pl-PL"/>
        </w:rPr>
        <w:t xml:space="preserve">JCWP rzecznych stwierdzono przekroczenie EQS bromowanych </w:t>
      </w:r>
      <w:proofErr w:type="spellStart"/>
      <w:r w:rsidRPr="005E2831">
        <w:rPr>
          <w:rFonts w:ascii="Times New Roman" w:eastAsia="Calibri" w:hAnsi="Times New Roman" w:cs="Times New Roman"/>
          <w:sz w:val="24"/>
          <w:szCs w:val="24"/>
          <w:lang w:eastAsia="pl-PL"/>
        </w:rPr>
        <w:t>difenyloeterów</w:t>
      </w:r>
      <w:proofErr w:type="spellEnd"/>
      <w:r w:rsidRPr="005E2831">
        <w:rPr>
          <w:rFonts w:ascii="Times New Roman" w:eastAsia="Calibri" w:hAnsi="Times New Roman" w:cs="Times New Roman"/>
          <w:sz w:val="24"/>
          <w:szCs w:val="24"/>
          <w:lang w:eastAsia="pl-PL"/>
        </w:rPr>
        <w:t xml:space="preserve"> </w:t>
      </w:r>
      <w:r w:rsidRPr="005E2831">
        <w:rPr>
          <w:rFonts w:ascii="Times New Roman" w:eastAsia="Calibri" w:hAnsi="Times New Roman" w:cs="Times New Roman"/>
          <w:sz w:val="24"/>
          <w:szCs w:val="24"/>
          <w:lang w:eastAsia="pl-PL"/>
        </w:rPr>
        <w:lastRenderedPageBreak/>
        <w:t>w</w:t>
      </w:r>
      <w:r>
        <w:rPr>
          <w:rFonts w:ascii="Times New Roman" w:eastAsia="Calibri" w:hAnsi="Times New Roman" w:cs="Times New Roman"/>
          <w:sz w:val="24"/>
          <w:szCs w:val="24"/>
          <w:lang w:eastAsia="pl-PL"/>
        </w:rPr>
        <w:t> </w:t>
      </w:r>
      <w:r w:rsidRPr="005E2831">
        <w:rPr>
          <w:rFonts w:ascii="Times New Roman" w:eastAsia="Calibri" w:hAnsi="Times New Roman" w:cs="Times New Roman"/>
          <w:sz w:val="24"/>
          <w:szCs w:val="24"/>
          <w:lang w:eastAsia="pl-PL"/>
        </w:rPr>
        <w:t>tkankach organizmów wodnych. Około 88% prób wykazało wartości powyżej dopuszczalnych norm dla rtęci i jej związków.</w:t>
      </w:r>
    </w:p>
    <w:p w14:paraId="2031DA60" w14:textId="77777777" w:rsidR="000C1458" w:rsidRPr="005E2831" w:rsidRDefault="000C1458" w:rsidP="0009242C">
      <w:pPr>
        <w:spacing w:after="60" w:line="300" w:lineRule="atLeast"/>
        <w:ind w:firstLine="567"/>
        <w:jc w:val="both"/>
        <w:rPr>
          <w:rFonts w:ascii="Times New Roman" w:eastAsia="Calibri" w:hAnsi="Times New Roman" w:cs="Times New Roman"/>
          <w:sz w:val="24"/>
          <w:szCs w:val="24"/>
          <w:lang w:eastAsia="pl-PL"/>
        </w:rPr>
      </w:pPr>
      <w:r w:rsidRPr="005E2831">
        <w:rPr>
          <w:rFonts w:ascii="Times New Roman" w:eastAsia="Calibri" w:hAnsi="Times New Roman" w:cs="Times New Roman"/>
          <w:sz w:val="24"/>
          <w:szCs w:val="24"/>
          <w:lang w:eastAsia="pl-PL"/>
        </w:rPr>
        <w:t xml:space="preserve">Warte odnotowania są również przekroczenia EQS dla: </w:t>
      </w:r>
      <w:proofErr w:type="spellStart"/>
      <w:r w:rsidRPr="005E2831">
        <w:rPr>
          <w:rFonts w:ascii="Times New Roman" w:eastAsia="Calibri" w:hAnsi="Times New Roman" w:cs="Times New Roman"/>
          <w:sz w:val="24"/>
          <w:szCs w:val="24"/>
          <w:lang w:eastAsia="pl-PL"/>
        </w:rPr>
        <w:t>fluorantenu</w:t>
      </w:r>
      <w:proofErr w:type="spellEnd"/>
      <w:r w:rsidRPr="005E2831">
        <w:rPr>
          <w:rFonts w:ascii="Times New Roman" w:eastAsia="Calibri" w:hAnsi="Times New Roman" w:cs="Times New Roman"/>
          <w:sz w:val="24"/>
          <w:szCs w:val="24"/>
          <w:lang w:eastAsia="pl-PL"/>
        </w:rPr>
        <w:t xml:space="preserve">, </w:t>
      </w:r>
      <w:proofErr w:type="spellStart"/>
      <w:r w:rsidRPr="005E2831">
        <w:rPr>
          <w:rFonts w:ascii="Times New Roman" w:eastAsia="Calibri" w:hAnsi="Times New Roman" w:cs="Times New Roman"/>
          <w:sz w:val="24"/>
          <w:szCs w:val="24"/>
          <w:lang w:eastAsia="pl-PL"/>
        </w:rPr>
        <w:t>benzo</w:t>
      </w:r>
      <w:proofErr w:type="spellEnd"/>
      <w:r w:rsidRPr="005E2831">
        <w:rPr>
          <w:rFonts w:ascii="Times New Roman" w:eastAsia="Calibri" w:hAnsi="Times New Roman" w:cs="Times New Roman"/>
          <w:sz w:val="24"/>
          <w:szCs w:val="24"/>
          <w:lang w:eastAsia="pl-PL"/>
        </w:rPr>
        <w:t>(a)</w:t>
      </w:r>
      <w:proofErr w:type="spellStart"/>
      <w:r w:rsidRPr="005E2831">
        <w:rPr>
          <w:rFonts w:ascii="Times New Roman" w:eastAsia="Calibri" w:hAnsi="Times New Roman" w:cs="Times New Roman"/>
          <w:sz w:val="24"/>
          <w:szCs w:val="24"/>
          <w:lang w:eastAsia="pl-PL"/>
        </w:rPr>
        <w:t>pirenu</w:t>
      </w:r>
      <w:proofErr w:type="spellEnd"/>
      <w:r w:rsidRPr="005E2831">
        <w:rPr>
          <w:rFonts w:ascii="Times New Roman" w:eastAsia="Calibri" w:hAnsi="Times New Roman" w:cs="Times New Roman"/>
          <w:sz w:val="24"/>
          <w:szCs w:val="24"/>
          <w:lang w:eastAsia="pl-PL"/>
        </w:rPr>
        <w:t xml:space="preserve"> i</w:t>
      </w:r>
      <w:r>
        <w:rPr>
          <w:rFonts w:ascii="Times New Roman" w:eastAsia="Calibri" w:hAnsi="Times New Roman" w:cs="Times New Roman"/>
          <w:sz w:val="24"/>
          <w:szCs w:val="24"/>
          <w:lang w:eastAsia="pl-PL"/>
        </w:rPr>
        <w:t> </w:t>
      </w:r>
      <w:r w:rsidRPr="005E2831">
        <w:rPr>
          <w:rFonts w:ascii="Times New Roman" w:eastAsia="Calibri" w:hAnsi="Times New Roman" w:cs="Times New Roman"/>
          <w:sz w:val="24"/>
          <w:szCs w:val="24"/>
          <w:lang w:eastAsia="pl-PL"/>
        </w:rPr>
        <w:t xml:space="preserve"> kwasu </w:t>
      </w:r>
      <w:proofErr w:type="spellStart"/>
      <w:r w:rsidRPr="005E2831">
        <w:rPr>
          <w:rFonts w:ascii="Times New Roman" w:eastAsia="Calibri" w:hAnsi="Times New Roman" w:cs="Times New Roman"/>
          <w:sz w:val="24"/>
          <w:szCs w:val="24"/>
          <w:lang w:eastAsia="pl-PL"/>
        </w:rPr>
        <w:t>perfluorooktanosulfonowego</w:t>
      </w:r>
      <w:proofErr w:type="spellEnd"/>
      <w:r w:rsidRPr="005E2831">
        <w:rPr>
          <w:rFonts w:ascii="Times New Roman" w:eastAsia="Calibri" w:hAnsi="Times New Roman" w:cs="Times New Roman"/>
          <w:sz w:val="24"/>
          <w:szCs w:val="24"/>
          <w:lang w:eastAsia="pl-PL"/>
        </w:rPr>
        <w:t xml:space="preserve"> (PFOS), które wynosiły odpowiednio jedynie: około 8%</w:t>
      </w:r>
      <w:r>
        <w:rPr>
          <w:rFonts w:ascii="Times New Roman" w:eastAsia="Calibri" w:hAnsi="Times New Roman" w:cs="Times New Roman"/>
          <w:sz w:val="24"/>
          <w:szCs w:val="24"/>
          <w:lang w:eastAsia="pl-PL"/>
        </w:rPr>
        <w:t>,</w:t>
      </w:r>
      <w:r w:rsidRPr="005E2831">
        <w:rPr>
          <w:rFonts w:ascii="Times New Roman" w:eastAsia="Calibri" w:hAnsi="Times New Roman" w:cs="Times New Roman"/>
          <w:sz w:val="24"/>
          <w:szCs w:val="24"/>
          <w:lang w:eastAsia="pl-PL"/>
        </w:rPr>
        <w:t xml:space="preserve"> około 7% i 3% przebadanych prób.</w:t>
      </w:r>
    </w:p>
    <w:p w14:paraId="3393540A" w14:textId="77777777" w:rsidR="000C1458" w:rsidRPr="005E2831" w:rsidRDefault="000C1458" w:rsidP="000C1458">
      <w:pPr>
        <w:spacing w:after="60" w:line="300" w:lineRule="atLeast"/>
        <w:ind w:firstLine="567"/>
        <w:jc w:val="both"/>
        <w:rPr>
          <w:rFonts w:ascii="Times New Roman" w:eastAsia="Calibri" w:hAnsi="Times New Roman" w:cs="Times New Roman"/>
          <w:sz w:val="24"/>
          <w:szCs w:val="24"/>
          <w:lang w:eastAsia="pl-PL"/>
        </w:rPr>
      </w:pPr>
      <w:r w:rsidRPr="005E2831">
        <w:rPr>
          <w:rFonts w:ascii="Times New Roman" w:eastAsia="Calibri" w:hAnsi="Times New Roman" w:cs="Times New Roman"/>
          <w:sz w:val="24"/>
          <w:szCs w:val="24"/>
          <w:lang w:eastAsia="pl-PL"/>
        </w:rPr>
        <w:t>Dla pozostałych 6 substancji priorytetowych stwierdzono pojedyncze przekroczenia wartości EQS bądź ich nie stwierdzono. Badania stężeń substancji priorytetowych w</w:t>
      </w:r>
      <w:r>
        <w:rPr>
          <w:rFonts w:ascii="Times New Roman" w:eastAsia="Calibri" w:hAnsi="Times New Roman" w:cs="Times New Roman"/>
          <w:sz w:val="24"/>
          <w:szCs w:val="24"/>
          <w:lang w:eastAsia="pl-PL"/>
        </w:rPr>
        <w:t> </w:t>
      </w:r>
      <w:r w:rsidRPr="005E2831">
        <w:rPr>
          <w:rFonts w:ascii="Times New Roman" w:eastAsia="Calibri" w:hAnsi="Times New Roman" w:cs="Times New Roman"/>
          <w:sz w:val="24"/>
          <w:szCs w:val="24"/>
          <w:lang w:eastAsia="pl-PL"/>
        </w:rPr>
        <w:t>organizmach wodnych będą kontynuowane w następnych latach.</w:t>
      </w:r>
    </w:p>
    <w:p w14:paraId="360BE231" w14:textId="386C4736" w:rsidR="000C1458" w:rsidRPr="005E2831" w:rsidRDefault="000C1458" w:rsidP="000C1458">
      <w:pPr>
        <w:spacing w:after="60" w:line="300" w:lineRule="atLeast"/>
        <w:ind w:firstLine="709"/>
        <w:jc w:val="both"/>
        <w:rPr>
          <w:rFonts w:ascii="Times New Roman" w:hAnsi="Times New Roman" w:cs="Times New Roman"/>
          <w:sz w:val="24"/>
          <w:szCs w:val="24"/>
        </w:rPr>
      </w:pPr>
      <w:r w:rsidRPr="005E2831">
        <w:rPr>
          <w:rFonts w:ascii="Times New Roman" w:hAnsi="Times New Roman" w:cs="Times New Roman"/>
          <w:sz w:val="24"/>
          <w:szCs w:val="24"/>
        </w:rPr>
        <w:t xml:space="preserve">W 2022 r. wykonano klasyfikację i ocenę stanu </w:t>
      </w:r>
      <w:proofErr w:type="spellStart"/>
      <w:r w:rsidRPr="005E2831">
        <w:rPr>
          <w:rFonts w:ascii="Times New Roman" w:hAnsi="Times New Roman" w:cs="Times New Roman"/>
          <w:sz w:val="24"/>
          <w:szCs w:val="24"/>
        </w:rPr>
        <w:t>jcwp</w:t>
      </w:r>
      <w:proofErr w:type="spellEnd"/>
      <w:r w:rsidRPr="005E2831">
        <w:rPr>
          <w:rFonts w:ascii="Times New Roman" w:hAnsi="Times New Roman" w:cs="Times New Roman"/>
          <w:sz w:val="24"/>
          <w:szCs w:val="24"/>
        </w:rPr>
        <w:t xml:space="preserve"> rzecznych za 2021 rok na</w:t>
      </w:r>
      <w:r>
        <w:rPr>
          <w:rFonts w:ascii="Times New Roman" w:hAnsi="Times New Roman" w:cs="Times New Roman"/>
          <w:sz w:val="24"/>
          <w:szCs w:val="24"/>
        </w:rPr>
        <w:t> </w:t>
      </w:r>
      <w:r w:rsidRPr="005E2831">
        <w:rPr>
          <w:rFonts w:ascii="Times New Roman" w:hAnsi="Times New Roman" w:cs="Times New Roman"/>
          <w:sz w:val="24"/>
          <w:szCs w:val="24"/>
        </w:rPr>
        <w:t>podstawie zweryfikowanych danych monitoringowych z lat 2016-2021, zgodnie rozporządzeniem Ministra Infrastruktury z dnia 25 czerwca 2021 r. w sprawie klasyfikacji stanu ekologicznego, potencjału ekologicznego i stanu chemicznego oraz sposobu klasyfikacji stanu jednolitych części wód powierzchniowych, a także środowiskowych norm jakości dla</w:t>
      </w:r>
      <w:r>
        <w:rPr>
          <w:rFonts w:ascii="Times New Roman" w:hAnsi="Times New Roman" w:cs="Times New Roman"/>
          <w:sz w:val="24"/>
          <w:szCs w:val="24"/>
        </w:rPr>
        <w:t> </w:t>
      </w:r>
      <w:r w:rsidRPr="005E2831">
        <w:rPr>
          <w:rFonts w:ascii="Times New Roman" w:hAnsi="Times New Roman" w:cs="Times New Roman"/>
          <w:sz w:val="24"/>
          <w:szCs w:val="24"/>
        </w:rPr>
        <w:t>substancji priorytetowych</w:t>
      </w:r>
      <w:r w:rsidR="000120C8">
        <w:rPr>
          <w:rStyle w:val="Odwoanieprzypisudolnego"/>
          <w:rFonts w:cs="Times New Roman"/>
          <w:szCs w:val="24"/>
        </w:rPr>
        <w:footnoteReference w:id="90"/>
      </w:r>
      <w:r w:rsidRPr="005E2831">
        <w:rPr>
          <w:rFonts w:ascii="Times New Roman" w:hAnsi="Times New Roman" w:cs="Times New Roman"/>
          <w:sz w:val="24"/>
          <w:szCs w:val="24"/>
        </w:rPr>
        <w:t xml:space="preserve">. </w:t>
      </w:r>
    </w:p>
    <w:p w14:paraId="00F1547C" w14:textId="77777777" w:rsidR="000C1458" w:rsidRPr="005E2831" w:rsidRDefault="000C1458" w:rsidP="000C1458">
      <w:pPr>
        <w:spacing w:after="60" w:line="300" w:lineRule="atLeast"/>
        <w:ind w:firstLine="709"/>
        <w:jc w:val="both"/>
        <w:rPr>
          <w:rFonts w:ascii="Times New Roman" w:hAnsi="Times New Roman" w:cs="Times New Roman"/>
          <w:sz w:val="24"/>
          <w:szCs w:val="24"/>
        </w:rPr>
      </w:pPr>
      <w:r w:rsidRPr="005E2831">
        <w:rPr>
          <w:rFonts w:ascii="Times New Roman" w:hAnsi="Times New Roman" w:cs="Times New Roman"/>
          <w:sz w:val="24"/>
          <w:szCs w:val="24"/>
        </w:rPr>
        <w:t xml:space="preserve">Klasyfikację na podstawie monitoringu przeprowadzono dla: 2 649 naturalnych </w:t>
      </w:r>
      <w:proofErr w:type="spellStart"/>
      <w:r w:rsidRPr="005E2831">
        <w:rPr>
          <w:rFonts w:ascii="Times New Roman" w:hAnsi="Times New Roman" w:cs="Times New Roman"/>
          <w:sz w:val="24"/>
          <w:szCs w:val="24"/>
        </w:rPr>
        <w:t>jcwp</w:t>
      </w:r>
      <w:proofErr w:type="spellEnd"/>
      <w:r w:rsidRPr="005E2831">
        <w:rPr>
          <w:rFonts w:ascii="Times New Roman" w:hAnsi="Times New Roman" w:cs="Times New Roman"/>
          <w:sz w:val="24"/>
          <w:szCs w:val="24"/>
        </w:rPr>
        <w:t xml:space="preserve"> rzecznych pod kątem stanu ekologicznego, 1029 silnie zmienionych i sztucznych </w:t>
      </w:r>
      <w:proofErr w:type="spellStart"/>
      <w:r w:rsidRPr="005E2831">
        <w:rPr>
          <w:rFonts w:ascii="Times New Roman" w:hAnsi="Times New Roman" w:cs="Times New Roman"/>
          <w:sz w:val="24"/>
          <w:szCs w:val="24"/>
        </w:rPr>
        <w:t>jcwp</w:t>
      </w:r>
      <w:proofErr w:type="spellEnd"/>
      <w:r w:rsidRPr="005E2831">
        <w:rPr>
          <w:rFonts w:ascii="Times New Roman" w:hAnsi="Times New Roman" w:cs="Times New Roman"/>
          <w:sz w:val="24"/>
          <w:szCs w:val="24"/>
        </w:rPr>
        <w:t xml:space="preserve"> rzecznych pod kątem potencjału ekologicznego i 2 638 </w:t>
      </w:r>
      <w:proofErr w:type="spellStart"/>
      <w:r w:rsidRPr="005E2831">
        <w:rPr>
          <w:rFonts w:ascii="Times New Roman" w:hAnsi="Times New Roman" w:cs="Times New Roman"/>
          <w:sz w:val="24"/>
          <w:szCs w:val="24"/>
        </w:rPr>
        <w:t>jcwp</w:t>
      </w:r>
      <w:proofErr w:type="spellEnd"/>
      <w:r w:rsidRPr="005E2831">
        <w:rPr>
          <w:rFonts w:ascii="Times New Roman" w:hAnsi="Times New Roman" w:cs="Times New Roman"/>
          <w:sz w:val="24"/>
          <w:szCs w:val="24"/>
        </w:rPr>
        <w:t xml:space="preserve"> rzecznych pod kątem stanu chemicznego, zaś oceny stanu dokonano dla 3 685 </w:t>
      </w:r>
      <w:proofErr w:type="spellStart"/>
      <w:r w:rsidRPr="005E2831">
        <w:rPr>
          <w:rFonts w:ascii="Times New Roman" w:hAnsi="Times New Roman" w:cs="Times New Roman"/>
          <w:sz w:val="24"/>
          <w:szCs w:val="24"/>
        </w:rPr>
        <w:t>jcwp</w:t>
      </w:r>
      <w:proofErr w:type="spellEnd"/>
      <w:r w:rsidRPr="005E2831">
        <w:rPr>
          <w:rFonts w:ascii="Times New Roman" w:hAnsi="Times New Roman" w:cs="Times New Roman"/>
          <w:sz w:val="24"/>
          <w:szCs w:val="24"/>
        </w:rPr>
        <w:t xml:space="preserve"> rzecznych.</w:t>
      </w:r>
    </w:p>
    <w:p w14:paraId="63301B21" w14:textId="302B699A" w:rsidR="00895F16" w:rsidRDefault="000C1458" w:rsidP="00802629">
      <w:pPr>
        <w:spacing w:after="0" w:line="300" w:lineRule="atLeast"/>
        <w:ind w:firstLine="567"/>
        <w:jc w:val="both"/>
        <w:rPr>
          <w:rFonts w:ascii="Times New Roman" w:hAnsi="Times New Roman"/>
          <w:sz w:val="24"/>
          <w:szCs w:val="24"/>
          <w:lang w:eastAsia="pl-PL"/>
        </w:rPr>
      </w:pPr>
      <w:r w:rsidRPr="005E2831">
        <w:rPr>
          <w:rFonts w:ascii="Times New Roman" w:hAnsi="Times New Roman" w:cs="Times New Roman"/>
          <w:sz w:val="24"/>
          <w:szCs w:val="24"/>
        </w:rPr>
        <w:t xml:space="preserve">Statystyczne podsumowanie klasyfikacji i oceny </w:t>
      </w:r>
      <w:proofErr w:type="spellStart"/>
      <w:r w:rsidRPr="005E2831">
        <w:rPr>
          <w:rFonts w:ascii="Times New Roman" w:hAnsi="Times New Roman" w:cs="Times New Roman"/>
          <w:sz w:val="24"/>
          <w:szCs w:val="24"/>
        </w:rPr>
        <w:t>jcwp</w:t>
      </w:r>
      <w:proofErr w:type="spellEnd"/>
      <w:r w:rsidRPr="005E2831">
        <w:rPr>
          <w:rFonts w:ascii="Times New Roman" w:hAnsi="Times New Roman" w:cs="Times New Roman"/>
          <w:sz w:val="24"/>
          <w:szCs w:val="24"/>
        </w:rPr>
        <w:t xml:space="preserve"> rzecznych na podstawie monitoringu przedstawiono w tabeli </w:t>
      </w:r>
      <w:r w:rsidR="00406CC6">
        <w:rPr>
          <w:rFonts w:ascii="Times New Roman" w:hAnsi="Times New Roman" w:cs="Times New Roman"/>
          <w:sz w:val="24"/>
          <w:szCs w:val="24"/>
        </w:rPr>
        <w:t>23</w:t>
      </w:r>
      <w:r w:rsidRPr="005E2831">
        <w:rPr>
          <w:rFonts w:ascii="Times New Roman" w:hAnsi="Times New Roman" w:cs="Times New Roman"/>
          <w:sz w:val="24"/>
          <w:szCs w:val="24"/>
        </w:rPr>
        <w:t xml:space="preserve">. Uwzględniono przy tym podział na dorzecza, a także wskazano łączną liczbę klasyfikowanych i ocenianych </w:t>
      </w:r>
      <w:proofErr w:type="spellStart"/>
      <w:r w:rsidRPr="005E2831">
        <w:rPr>
          <w:rFonts w:ascii="Times New Roman" w:hAnsi="Times New Roman" w:cs="Times New Roman"/>
          <w:sz w:val="24"/>
          <w:szCs w:val="24"/>
        </w:rPr>
        <w:t>jcwp</w:t>
      </w:r>
      <w:proofErr w:type="spellEnd"/>
      <w:r w:rsidRPr="005E2831">
        <w:rPr>
          <w:rFonts w:ascii="Times New Roman" w:hAnsi="Times New Roman" w:cs="Times New Roman"/>
          <w:sz w:val="24"/>
          <w:szCs w:val="24"/>
        </w:rPr>
        <w:t xml:space="preserve">. Liczba niesklasyfikowanych </w:t>
      </w:r>
      <w:proofErr w:type="spellStart"/>
      <w:r w:rsidRPr="005E2831">
        <w:rPr>
          <w:rFonts w:ascii="Times New Roman" w:hAnsi="Times New Roman" w:cs="Times New Roman"/>
          <w:sz w:val="24"/>
          <w:szCs w:val="24"/>
        </w:rPr>
        <w:t>jcwp</w:t>
      </w:r>
      <w:proofErr w:type="spellEnd"/>
      <w:r w:rsidRPr="005E2831">
        <w:rPr>
          <w:rFonts w:ascii="Times New Roman" w:hAnsi="Times New Roman" w:cs="Times New Roman"/>
          <w:sz w:val="24"/>
          <w:szCs w:val="24"/>
        </w:rPr>
        <w:t xml:space="preserve"> oznacza w tym przypadku liczbę </w:t>
      </w:r>
      <w:proofErr w:type="spellStart"/>
      <w:r w:rsidRPr="005E2831">
        <w:rPr>
          <w:rFonts w:ascii="Times New Roman" w:hAnsi="Times New Roman" w:cs="Times New Roman"/>
          <w:sz w:val="24"/>
          <w:szCs w:val="24"/>
        </w:rPr>
        <w:t>jcwp</w:t>
      </w:r>
      <w:proofErr w:type="spellEnd"/>
      <w:r w:rsidRPr="005E2831">
        <w:rPr>
          <w:rFonts w:ascii="Times New Roman" w:hAnsi="Times New Roman" w:cs="Times New Roman"/>
          <w:sz w:val="24"/>
          <w:szCs w:val="24"/>
        </w:rPr>
        <w:t>, dla których badania monitoringowe nie były wystarczające do przeprowadzenia klasyfikacji stanu/potencjału ekologicznego lub stanu chemicznego</w:t>
      </w:r>
      <w:r w:rsidR="00895F16" w:rsidRPr="007F400A">
        <w:rPr>
          <w:rFonts w:ascii="Times New Roman" w:hAnsi="Times New Roman"/>
          <w:sz w:val="24"/>
          <w:szCs w:val="24"/>
          <w:lang w:eastAsia="pl-PL"/>
        </w:rPr>
        <w:t>.</w:t>
      </w:r>
    </w:p>
    <w:p w14:paraId="27AF1B17" w14:textId="77777777" w:rsidR="002F5150" w:rsidRPr="005E2831" w:rsidRDefault="002F5150" w:rsidP="002F5150">
      <w:pPr>
        <w:spacing w:after="60" w:line="300" w:lineRule="atLeast"/>
        <w:ind w:firstLine="709"/>
        <w:jc w:val="both"/>
        <w:rPr>
          <w:rFonts w:ascii="Times New Roman" w:hAnsi="Times New Roman" w:cs="Times New Roman"/>
          <w:sz w:val="24"/>
          <w:szCs w:val="24"/>
        </w:rPr>
      </w:pPr>
      <w:r w:rsidRPr="005E2831">
        <w:rPr>
          <w:rFonts w:ascii="Times New Roman" w:hAnsi="Times New Roman" w:cs="Times New Roman"/>
          <w:sz w:val="24"/>
          <w:szCs w:val="24"/>
        </w:rPr>
        <w:t xml:space="preserve">Klasyfikacja stanu ekologicznego w oparciu o wyniki monitoringu była możliwa </w:t>
      </w:r>
      <w:r w:rsidRPr="005E2831">
        <w:rPr>
          <w:rFonts w:ascii="Times New Roman" w:hAnsi="Times New Roman" w:cs="Times New Roman"/>
          <w:sz w:val="24"/>
          <w:szCs w:val="24"/>
        </w:rPr>
        <w:br/>
        <w:t xml:space="preserve">w 2 552 monitorowanych naturalnych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hAnsi="Times New Roman" w:cs="Times New Roman"/>
          <w:sz w:val="24"/>
          <w:szCs w:val="24"/>
        </w:rPr>
        <w:t xml:space="preserve"> rzecznych. Największy udział w sklasyfikowanych naturalnych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hAnsi="Times New Roman" w:cs="Times New Roman"/>
          <w:sz w:val="24"/>
          <w:szCs w:val="24"/>
        </w:rPr>
        <w:t xml:space="preserve"> stanowią te o umiarkowanym stanie ekologicznym (53,7%). Bardzo dobry stan ekologiczny odnotowano w 1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hAnsi="Times New Roman" w:cs="Times New Roman"/>
          <w:sz w:val="24"/>
          <w:szCs w:val="24"/>
        </w:rPr>
        <w:t xml:space="preserve"> rzecznej, stan dobry natomiast w 134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rzecznych. Około 37,5% ocenionych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rzecznych osiągnęło słaby lub zły stan ekologiczny. </w:t>
      </w:r>
      <w:r w:rsidRPr="005E2831">
        <w:rPr>
          <w:rFonts w:ascii="Times New Roman" w:hAnsi="Times New Roman" w:cs="Times New Roman"/>
          <w:sz w:val="24"/>
          <w:szCs w:val="24"/>
        </w:rPr>
        <w:br/>
        <w:t xml:space="preserve">W przypadku 3,7%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rzecznych nie można było wykonać klasyfikacji.</w:t>
      </w:r>
    </w:p>
    <w:p w14:paraId="6B54D931" w14:textId="5CD29F87" w:rsidR="000C1458" w:rsidRDefault="002F5150" w:rsidP="002F5150">
      <w:pPr>
        <w:spacing w:after="0" w:line="300" w:lineRule="atLeast"/>
        <w:ind w:firstLine="709"/>
        <w:jc w:val="both"/>
        <w:rPr>
          <w:rFonts w:ascii="Times New Roman" w:hAnsi="Times New Roman" w:cs="Times New Roman"/>
          <w:sz w:val="24"/>
          <w:szCs w:val="24"/>
        </w:rPr>
      </w:pPr>
      <w:r w:rsidRPr="005E2831">
        <w:rPr>
          <w:rFonts w:ascii="Times New Roman" w:hAnsi="Times New Roman" w:cs="Times New Roman"/>
          <w:sz w:val="24"/>
          <w:szCs w:val="24"/>
        </w:rPr>
        <w:t xml:space="preserve">Klasyfikacja potencjału ekologicznego była możliwa natomiast w 999 monitorowanych silnie zmienionych oraz sztucznych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rzecznych. Największy udział w sklasyfikowanych naturalnych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stanowią te o umiarkowanym potencjale ekologicznym (45,1%). Nie</w:t>
      </w:r>
      <w:r>
        <w:rPr>
          <w:rFonts w:ascii="Times New Roman" w:hAnsi="Times New Roman" w:cs="Times New Roman"/>
          <w:sz w:val="24"/>
          <w:szCs w:val="24"/>
        </w:rPr>
        <w:t> </w:t>
      </w:r>
      <w:r w:rsidRPr="005E2831">
        <w:rPr>
          <w:rFonts w:ascii="Times New Roman" w:hAnsi="Times New Roman" w:cs="Times New Roman"/>
          <w:sz w:val="24"/>
          <w:szCs w:val="24"/>
        </w:rPr>
        <w:t xml:space="preserve">odnotowano żadnej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rzecznej z maksymalnym potencjałem ekologicznym, potencjał dobry osiągnęło natomiast 73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hAnsi="Times New Roman" w:cs="Times New Roman"/>
          <w:sz w:val="24"/>
          <w:szCs w:val="24"/>
        </w:rPr>
        <w:t xml:space="preserve">. Słaby lub zły potencjał ekologiczny osiągnęło 44,9% ocenionych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rzecznych. W przypadku 2,9%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rzecznych nie można było wykonać klasyfikacji.</w:t>
      </w:r>
    </w:p>
    <w:p w14:paraId="173ED7F6" w14:textId="5753C19B" w:rsidR="002F5150" w:rsidRDefault="002F5150" w:rsidP="002F5150">
      <w:pPr>
        <w:spacing w:after="0" w:line="300" w:lineRule="atLeast"/>
        <w:ind w:firstLine="709"/>
        <w:jc w:val="both"/>
        <w:rPr>
          <w:rFonts w:ascii="Times New Roman" w:hAnsi="Times New Roman" w:cs="Times New Roman"/>
          <w:sz w:val="24"/>
          <w:szCs w:val="24"/>
        </w:rPr>
      </w:pPr>
    </w:p>
    <w:p w14:paraId="43373AF7" w14:textId="77777777" w:rsidR="002F5150" w:rsidRDefault="002F5150" w:rsidP="004E37F6">
      <w:pPr>
        <w:spacing w:after="0" w:line="300" w:lineRule="atLeast"/>
        <w:ind w:firstLine="709"/>
        <w:jc w:val="both"/>
        <w:rPr>
          <w:rFonts w:ascii="Times New Roman" w:hAnsi="Times New Roman" w:cs="Times New Roman"/>
          <w:sz w:val="24"/>
          <w:szCs w:val="24"/>
        </w:rPr>
      </w:pPr>
    </w:p>
    <w:p w14:paraId="7962E4DA" w14:textId="77777777" w:rsidR="000C1458" w:rsidRPr="005E2831" w:rsidRDefault="000C1458" w:rsidP="000C1458">
      <w:pPr>
        <w:spacing w:after="60" w:line="300" w:lineRule="atLeast"/>
        <w:jc w:val="both"/>
        <w:rPr>
          <w:rFonts w:ascii="Times New Roman" w:hAnsi="Times New Roman" w:cs="Times New Roman"/>
        </w:rPr>
      </w:pPr>
      <w:r w:rsidRPr="005E2831">
        <w:rPr>
          <w:rFonts w:ascii="Times New Roman" w:eastAsia="Times New Roman" w:hAnsi="Times New Roman" w:cs="Times New Roman"/>
          <w:b/>
          <w:bCs/>
          <w:iCs/>
        </w:rPr>
        <w:t xml:space="preserve">Tabela </w:t>
      </w:r>
      <w:r w:rsidR="001D61F0">
        <w:rPr>
          <w:rFonts w:ascii="Times New Roman" w:eastAsia="Times New Roman" w:hAnsi="Times New Roman" w:cs="Times New Roman"/>
          <w:b/>
          <w:bCs/>
          <w:iCs/>
        </w:rPr>
        <w:t>23</w:t>
      </w:r>
      <w:r w:rsidRPr="005E2831">
        <w:rPr>
          <w:rFonts w:ascii="Times New Roman" w:eastAsia="Times New Roman" w:hAnsi="Times New Roman" w:cs="Times New Roman"/>
          <w:b/>
          <w:bCs/>
          <w:iCs/>
        </w:rPr>
        <w:t xml:space="preserve">. </w:t>
      </w:r>
      <w:r w:rsidRPr="005E2831">
        <w:rPr>
          <w:rFonts w:ascii="Times New Roman" w:hAnsi="Times New Roman" w:cs="Times New Roman"/>
          <w:b/>
          <w:bCs/>
          <w:iCs/>
        </w:rPr>
        <w:t>Podsumowanie statystyczne klasyfikacji i oceny jednolitych części wód rzecznych dokonanej za 2021 rok na podstawie monitoringu, w podziale na dorzecza</w:t>
      </w:r>
      <w:r w:rsidRPr="005E2831">
        <w:rPr>
          <w:rFonts w:ascii="Times New Roman" w:hAnsi="Times New Roman" w:cs="Times New Roman"/>
        </w:rPr>
        <w:fldChar w:fldCharType="begin"/>
      </w:r>
      <w:r w:rsidRPr="005E2831">
        <w:rPr>
          <w:rFonts w:ascii="Times New Roman" w:hAnsi="Times New Roman" w:cs="Times New Roman"/>
        </w:rPr>
        <w:instrText xml:space="preserve"> LINK Excel.Sheet.12 "\\\\192.168.0.240\\dm\\Katalog DM\\WODY\\SPRAWOZDANIA Z DZIALALNOSCI\\SPRAWOZDANIE ZA 2022\\Tabele ocenowe do sprawozdania.xlsx" "Tab. 2!W4K1:W32K12" \a \f 4 \h  \* MERGEFORMAT </w:instrText>
      </w:r>
      <w:r w:rsidRPr="005E2831">
        <w:rPr>
          <w:rFonts w:ascii="Times New Roman" w:hAnsi="Times New Roman" w:cs="Times New Roman"/>
        </w:rPr>
        <w:fldChar w:fldCharType="separate"/>
      </w:r>
    </w:p>
    <w:tbl>
      <w:tblPr>
        <w:tblW w:w="9634" w:type="dxa"/>
        <w:tblLayout w:type="fixed"/>
        <w:tblCellMar>
          <w:left w:w="70" w:type="dxa"/>
          <w:right w:w="70" w:type="dxa"/>
        </w:tblCellMar>
        <w:tblLook w:val="04A0" w:firstRow="1" w:lastRow="0" w:firstColumn="1" w:lastColumn="0" w:noHBand="0" w:noVBand="1"/>
      </w:tblPr>
      <w:tblGrid>
        <w:gridCol w:w="704"/>
        <w:gridCol w:w="1747"/>
        <w:gridCol w:w="571"/>
        <w:gridCol w:w="565"/>
        <w:gridCol w:w="789"/>
        <w:gridCol w:w="643"/>
        <w:gridCol w:w="930"/>
        <w:gridCol w:w="567"/>
        <w:gridCol w:w="850"/>
        <w:gridCol w:w="709"/>
        <w:gridCol w:w="709"/>
        <w:gridCol w:w="850"/>
      </w:tblGrid>
      <w:tr w:rsidR="000C1458" w:rsidRPr="005E2831" w14:paraId="07A8C905" w14:textId="77777777" w:rsidTr="0025528B">
        <w:trPr>
          <w:trHeight w:val="450"/>
        </w:trPr>
        <w:tc>
          <w:tcPr>
            <w:tcW w:w="2451" w:type="dxa"/>
            <w:gridSpan w:val="2"/>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61F28577" w14:textId="77777777" w:rsidR="000C1458" w:rsidRPr="00B05424" w:rsidRDefault="000C1458" w:rsidP="0025528B">
            <w:pPr>
              <w:spacing w:after="60"/>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Oceny jednolitych części wód powierzchniowych rzecznych</w:t>
            </w:r>
          </w:p>
        </w:tc>
        <w:tc>
          <w:tcPr>
            <w:tcW w:w="6333" w:type="dxa"/>
            <w:gridSpan w:val="9"/>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2FF71341"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Dorzecze</w:t>
            </w:r>
          </w:p>
        </w:tc>
        <w:tc>
          <w:tcPr>
            <w:tcW w:w="850"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34AA631B"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Łącznie</w:t>
            </w:r>
          </w:p>
        </w:tc>
      </w:tr>
      <w:tr w:rsidR="000C1458" w:rsidRPr="005E2831" w14:paraId="011DB16B" w14:textId="77777777" w:rsidTr="0025528B">
        <w:trPr>
          <w:trHeight w:val="450"/>
        </w:trPr>
        <w:tc>
          <w:tcPr>
            <w:tcW w:w="2451" w:type="dxa"/>
            <w:gridSpan w:val="2"/>
            <w:vMerge/>
            <w:tcBorders>
              <w:top w:val="single" w:sz="4" w:space="0" w:color="auto"/>
              <w:left w:val="single" w:sz="4" w:space="0" w:color="auto"/>
              <w:bottom w:val="single" w:sz="4" w:space="0" w:color="auto"/>
              <w:right w:val="single" w:sz="4" w:space="0" w:color="auto"/>
            </w:tcBorders>
            <w:vAlign w:val="center"/>
            <w:hideMark/>
          </w:tcPr>
          <w:p w14:paraId="71347FDB"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p>
        </w:tc>
        <w:tc>
          <w:tcPr>
            <w:tcW w:w="6333" w:type="dxa"/>
            <w:gridSpan w:val="9"/>
            <w:vMerge/>
            <w:tcBorders>
              <w:top w:val="single" w:sz="4" w:space="0" w:color="auto"/>
              <w:left w:val="single" w:sz="4" w:space="0" w:color="auto"/>
              <w:bottom w:val="single" w:sz="4" w:space="0" w:color="auto"/>
              <w:right w:val="single" w:sz="4" w:space="0" w:color="auto"/>
            </w:tcBorders>
            <w:vAlign w:val="center"/>
            <w:hideMark/>
          </w:tcPr>
          <w:p w14:paraId="0619F9DC"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2D9325CB"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p>
        </w:tc>
      </w:tr>
      <w:tr w:rsidR="000C1458" w:rsidRPr="005E2831" w14:paraId="3198C46A" w14:textId="77777777" w:rsidTr="0025528B">
        <w:trPr>
          <w:trHeight w:val="225"/>
        </w:trPr>
        <w:tc>
          <w:tcPr>
            <w:tcW w:w="2451" w:type="dxa"/>
            <w:gridSpan w:val="2"/>
            <w:vMerge/>
            <w:tcBorders>
              <w:top w:val="single" w:sz="4" w:space="0" w:color="auto"/>
              <w:left w:val="single" w:sz="4" w:space="0" w:color="auto"/>
              <w:bottom w:val="single" w:sz="4" w:space="0" w:color="auto"/>
              <w:right w:val="single" w:sz="4" w:space="0" w:color="auto"/>
            </w:tcBorders>
            <w:vAlign w:val="center"/>
            <w:hideMark/>
          </w:tcPr>
          <w:p w14:paraId="6B2C1316"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p>
        </w:tc>
        <w:tc>
          <w:tcPr>
            <w:tcW w:w="571" w:type="dxa"/>
            <w:tcBorders>
              <w:top w:val="nil"/>
              <w:left w:val="nil"/>
              <w:bottom w:val="single" w:sz="4" w:space="0" w:color="auto"/>
              <w:right w:val="single" w:sz="4" w:space="0" w:color="auto"/>
            </w:tcBorders>
            <w:shd w:val="clear" w:color="000000" w:fill="BFBFBF"/>
            <w:vAlign w:val="center"/>
            <w:hideMark/>
          </w:tcPr>
          <w:p w14:paraId="14E51C32"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Wisła</w:t>
            </w:r>
          </w:p>
        </w:tc>
        <w:tc>
          <w:tcPr>
            <w:tcW w:w="565" w:type="dxa"/>
            <w:tcBorders>
              <w:top w:val="nil"/>
              <w:left w:val="nil"/>
              <w:bottom w:val="single" w:sz="4" w:space="0" w:color="auto"/>
              <w:right w:val="single" w:sz="4" w:space="0" w:color="auto"/>
            </w:tcBorders>
            <w:shd w:val="clear" w:color="000000" w:fill="BFBFBF"/>
            <w:vAlign w:val="center"/>
            <w:hideMark/>
          </w:tcPr>
          <w:p w14:paraId="34776A14"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Odra</w:t>
            </w:r>
          </w:p>
        </w:tc>
        <w:tc>
          <w:tcPr>
            <w:tcW w:w="789" w:type="dxa"/>
            <w:tcBorders>
              <w:top w:val="nil"/>
              <w:left w:val="nil"/>
              <w:bottom w:val="single" w:sz="4" w:space="0" w:color="auto"/>
              <w:right w:val="single" w:sz="4" w:space="0" w:color="auto"/>
            </w:tcBorders>
            <w:shd w:val="clear" w:color="000000" w:fill="BFBFBF"/>
            <w:vAlign w:val="center"/>
            <w:hideMark/>
          </w:tcPr>
          <w:p w14:paraId="642D58C8"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Dniestr</w:t>
            </w:r>
          </w:p>
        </w:tc>
        <w:tc>
          <w:tcPr>
            <w:tcW w:w="643" w:type="dxa"/>
            <w:tcBorders>
              <w:top w:val="nil"/>
              <w:left w:val="nil"/>
              <w:bottom w:val="single" w:sz="4" w:space="0" w:color="auto"/>
              <w:right w:val="single" w:sz="4" w:space="0" w:color="auto"/>
            </w:tcBorders>
            <w:shd w:val="clear" w:color="000000" w:fill="BFBFBF"/>
            <w:vAlign w:val="center"/>
            <w:hideMark/>
          </w:tcPr>
          <w:p w14:paraId="3AB3D07D"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Dunaj</w:t>
            </w:r>
          </w:p>
        </w:tc>
        <w:tc>
          <w:tcPr>
            <w:tcW w:w="930" w:type="dxa"/>
            <w:tcBorders>
              <w:top w:val="nil"/>
              <w:left w:val="nil"/>
              <w:bottom w:val="single" w:sz="4" w:space="0" w:color="auto"/>
              <w:right w:val="single" w:sz="4" w:space="0" w:color="auto"/>
            </w:tcBorders>
            <w:shd w:val="clear" w:color="000000" w:fill="BFBFBF"/>
            <w:vAlign w:val="center"/>
            <w:hideMark/>
          </w:tcPr>
          <w:p w14:paraId="1F523177"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proofErr w:type="spellStart"/>
            <w:r w:rsidRPr="00B05424">
              <w:rPr>
                <w:rFonts w:ascii="Times New Roman" w:eastAsia="Times New Roman" w:hAnsi="Times New Roman" w:cs="Times New Roman"/>
                <w:color w:val="000000"/>
                <w:sz w:val="18"/>
                <w:szCs w:val="20"/>
                <w:lang w:eastAsia="pl-PL"/>
              </w:rPr>
              <w:t>Banówka</w:t>
            </w:r>
            <w:proofErr w:type="spellEnd"/>
          </w:p>
        </w:tc>
        <w:tc>
          <w:tcPr>
            <w:tcW w:w="567" w:type="dxa"/>
            <w:tcBorders>
              <w:top w:val="nil"/>
              <w:left w:val="nil"/>
              <w:bottom w:val="single" w:sz="4" w:space="0" w:color="auto"/>
              <w:right w:val="single" w:sz="4" w:space="0" w:color="auto"/>
            </w:tcBorders>
            <w:shd w:val="clear" w:color="000000" w:fill="BFBFBF"/>
            <w:vAlign w:val="center"/>
            <w:hideMark/>
          </w:tcPr>
          <w:p w14:paraId="2F4064D8"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Łaba</w:t>
            </w:r>
          </w:p>
        </w:tc>
        <w:tc>
          <w:tcPr>
            <w:tcW w:w="850" w:type="dxa"/>
            <w:tcBorders>
              <w:top w:val="nil"/>
              <w:left w:val="nil"/>
              <w:bottom w:val="single" w:sz="4" w:space="0" w:color="auto"/>
              <w:right w:val="single" w:sz="4" w:space="0" w:color="auto"/>
            </w:tcBorders>
            <w:shd w:val="clear" w:color="000000" w:fill="BFBFBF"/>
            <w:vAlign w:val="center"/>
            <w:hideMark/>
          </w:tcPr>
          <w:p w14:paraId="5469784D"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Niemen</w:t>
            </w:r>
          </w:p>
        </w:tc>
        <w:tc>
          <w:tcPr>
            <w:tcW w:w="709" w:type="dxa"/>
            <w:tcBorders>
              <w:top w:val="nil"/>
              <w:left w:val="nil"/>
              <w:bottom w:val="single" w:sz="4" w:space="0" w:color="auto"/>
              <w:right w:val="single" w:sz="4" w:space="0" w:color="auto"/>
            </w:tcBorders>
            <w:shd w:val="clear" w:color="000000" w:fill="BFBFBF"/>
            <w:vAlign w:val="center"/>
            <w:hideMark/>
          </w:tcPr>
          <w:p w14:paraId="6D3906E6"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Pregoła</w:t>
            </w:r>
          </w:p>
        </w:tc>
        <w:tc>
          <w:tcPr>
            <w:tcW w:w="709" w:type="dxa"/>
            <w:tcBorders>
              <w:top w:val="nil"/>
              <w:left w:val="nil"/>
              <w:bottom w:val="single" w:sz="4" w:space="0" w:color="auto"/>
              <w:right w:val="single" w:sz="4" w:space="0" w:color="auto"/>
            </w:tcBorders>
            <w:shd w:val="clear" w:color="000000" w:fill="BFBFBF"/>
            <w:vAlign w:val="center"/>
            <w:hideMark/>
          </w:tcPr>
          <w:p w14:paraId="3FCA9918"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Świeża</w:t>
            </w: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5A600B27"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p>
        </w:tc>
      </w:tr>
      <w:tr w:rsidR="000C1458" w:rsidRPr="005E2831" w14:paraId="2FF5AD22" w14:textId="77777777" w:rsidTr="004E37F6">
        <w:trPr>
          <w:trHeight w:val="450"/>
        </w:trPr>
        <w:tc>
          <w:tcPr>
            <w:tcW w:w="704"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14:paraId="4CB3E9E7"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Klasyfikacja stanu</w:t>
            </w:r>
            <w:r w:rsidRPr="00B05424">
              <w:rPr>
                <w:rFonts w:ascii="Times New Roman" w:eastAsia="Times New Roman" w:hAnsi="Times New Roman" w:cs="Times New Roman"/>
                <w:color w:val="000000"/>
                <w:sz w:val="18"/>
                <w:szCs w:val="20"/>
                <w:lang w:eastAsia="pl-PL"/>
              </w:rPr>
              <w:br/>
              <w:t>ekologicznego</w:t>
            </w:r>
          </w:p>
        </w:tc>
        <w:tc>
          <w:tcPr>
            <w:tcW w:w="1747" w:type="dxa"/>
            <w:tcBorders>
              <w:top w:val="nil"/>
              <w:left w:val="nil"/>
              <w:bottom w:val="single" w:sz="4" w:space="0" w:color="auto"/>
              <w:right w:val="single" w:sz="4" w:space="0" w:color="auto"/>
            </w:tcBorders>
            <w:shd w:val="clear" w:color="000000" w:fill="00B0F0"/>
            <w:vAlign w:val="center"/>
            <w:hideMark/>
          </w:tcPr>
          <w:p w14:paraId="2D212321"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Bardzo dobry</w:t>
            </w:r>
          </w:p>
        </w:tc>
        <w:tc>
          <w:tcPr>
            <w:tcW w:w="571" w:type="dxa"/>
            <w:tcBorders>
              <w:top w:val="nil"/>
              <w:left w:val="nil"/>
              <w:bottom w:val="single" w:sz="4" w:space="0" w:color="auto"/>
              <w:right w:val="single" w:sz="4" w:space="0" w:color="auto"/>
            </w:tcBorders>
            <w:shd w:val="clear" w:color="auto" w:fill="auto"/>
            <w:noWrap/>
            <w:vAlign w:val="center"/>
            <w:hideMark/>
          </w:tcPr>
          <w:p w14:paraId="6B4D6527"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565" w:type="dxa"/>
            <w:tcBorders>
              <w:top w:val="nil"/>
              <w:left w:val="nil"/>
              <w:bottom w:val="single" w:sz="4" w:space="0" w:color="auto"/>
              <w:right w:val="single" w:sz="4" w:space="0" w:color="auto"/>
            </w:tcBorders>
            <w:shd w:val="clear" w:color="auto" w:fill="auto"/>
            <w:noWrap/>
            <w:vAlign w:val="center"/>
            <w:hideMark/>
          </w:tcPr>
          <w:p w14:paraId="132E83E7"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w:t>
            </w:r>
          </w:p>
        </w:tc>
        <w:tc>
          <w:tcPr>
            <w:tcW w:w="789" w:type="dxa"/>
            <w:tcBorders>
              <w:top w:val="nil"/>
              <w:left w:val="nil"/>
              <w:bottom w:val="single" w:sz="4" w:space="0" w:color="auto"/>
              <w:right w:val="single" w:sz="4" w:space="0" w:color="auto"/>
            </w:tcBorders>
            <w:shd w:val="clear" w:color="auto" w:fill="auto"/>
            <w:noWrap/>
            <w:vAlign w:val="center"/>
            <w:hideMark/>
          </w:tcPr>
          <w:p w14:paraId="7A86FCC5"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643" w:type="dxa"/>
            <w:tcBorders>
              <w:top w:val="nil"/>
              <w:left w:val="nil"/>
              <w:bottom w:val="single" w:sz="4" w:space="0" w:color="auto"/>
              <w:right w:val="single" w:sz="4" w:space="0" w:color="auto"/>
            </w:tcBorders>
            <w:shd w:val="clear" w:color="auto" w:fill="auto"/>
            <w:noWrap/>
            <w:vAlign w:val="center"/>
            <w:hideMark/>
          </w:tcPr>
          <w:p w14:paraId="279C1930"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930" w:type="dxa"/>
            <w:tcBorders>
              <w:top w:val="nil"/>
              <w:left w:val="nil"/>
              <w:bottom w:val="single" w:sz="4" w:space="0" w:color="auto"/>
              <w:right w:val="single" w:sz="4" w:space="0" w:color="auto"/>
            </w:tcBorders>
            <w:shd w:val="clear" w:color="auto" w:fill="auto"/>
            <w:noWrap/>
            <w:vAlign w:val="center"/>
            <w:hideMark/>
          </w:tcPr>
          <w:p w14:paraId="2A7F1796"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567" w:type="dxa"/>
            <w:tcBorders>
              <w:top w:val="nil"/>
              <w:left w:val="nil"/>
              <w:bottom w:val="single" w:sz="4" w:space="0" w:color="auto"/>
              <w:right w:val="single" w:sz="4" w:space="0" w:color="auto"/>
            </w:tcBorders>
            <w:shd w:val="clear" w:color="auto" w:fill="auto"/>
            <w:noWrap/>
            <w:vAlign w:val="center"/>
            <w:hideMark/>
          </w:tcPr>
          <w:p w14:paraId="68B8A477"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14:paraId="0E8A544E"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709" w:type="dxa"/>
            <w:tcBorders>
              <w:top w:val="nil"/>
              <w:left w:val="nil"/>
              <w:bottom w:val="single" w:sz="4" w:space="0" w:color="auto"/>
              <w:right w:val="single" w:sz="4" w:space="0" w:color="auto"/>
            </w:tcBorders>
            <w:shd w:val="clear" w:color="auto" w:fill="auto"/>
            <w:noWrap/>
            <w:vAlign w:val="center"/>
            <w:hideMark/>
          </w:tcPr>
          <w:p w14:paraId="6BD0FD77"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709" w:type="dxa"/>
            <w:tcBorders>
              <w:top w:val="nil"/>
              <w:left w:val="nil"/>
              <w:bottom w:val="single" w:sz="4" w:space="0" w:color="auto"/>
              <w:right w:val="single" w:sz="4" w:space="0" w:color="auto"/>
            </w:tcBorders>
            <w:shd w:val="clear" w:color="auto" w:fill="auto"/>
            <w:noWrap/>
            <w:vAlign w:val="center"/>
            <w:hideMark/>
          </w:tcPr>
          <w:p w14:paraId="4B98A2DC"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14:paraId="39ACA9AA"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w:t>
            </w:r>
          </w:p>
        </w:tc>
      </w:tr>
      <w:tr w:rsidR="000C1458" w:rsidRPr="005E2831" w14:paraId="1E5D6DFC" w14:textId="77777777" w:rsidTr="004E37F6">
        <w:trPr>
          <w:trHeight w:val="225"/>
        </w:trPr>
        <w:tc>
          <w:tcPr>
            <w:tcW w:w="704" w:type="dxa"/>
            <w:vMerge/>
            <w:tcBorders>
              <w:top w:val="nil"/>
              <w:left w:val="single" w:sz="4" w:space="0" w:color="auto"/>
              <w:bottom w:val="single" w:sz="4" w:space="0" w:color="000000"/>
              <w:right w:val="single" w:sz="4" w:space="0" w:color="auto"/>
            </w:tcBorders>
            <w:vAlign w:val="center"/>
            <w:hideMark/>
          </w:tcPr>
          <w:p w14:paraId="7EFFCB0A"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p>
        </w:tc>
        <w:tc>
          <w:tcPr>
            <w:tcW w:w="1747" w:type="dxa"/>
            <w:tcBorders>
              <w:top w:val="nil"/>
              <w:left w:val="nil"/>
              <w:bottom w:val="single" w:sz="4" w:space="0" w:color="auto"/>
              <w:right w:val="single" w:sz="4" w:space="0" w:color="auto"/>
            </w:tcBorders>
            <w:shd w:val="clear" w:color="000000" w:fill="92D050"/>
            <w:vAlign w:val="center"/>
            <w:hideMark/>
          </w:tcPr>
          <w:p w14:paraId="361D28BB"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Dobry</w:t>
            </w:r>
          </w:p>
        </w:tc>
        <w:tc>
          <w:tcPr>
            <w:tcW w:w="571" w:type="dxa"/>
            <w:tcBorders>
              <w:top w:val="nil"/>
              <w:left w:val="nil"/>
              <w:bottom w:val="single" w:sz="4" w:space="0" w:color="auto"/>
              <w:right w:val="single" w:sz="4" w:space="0" w:color="auto"/>
            </w:tcBorders>
            <w:shd w:val="clear" w:color="auto" w:fill="auto"/>
            <w:noWrap/>
            <w:vAlign w:val="center"/>
            <w:hideMark/>
          </w:tcPr>
          <w:p w14:paraId="17B06F91"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86</w:t>
            </w:r>
          </w:p>
        </w:tc>
        <w:tc>
          <w:tcPr>
            <w:tcW w:w="565" w:type="dxa"/>
            <w:tcBorders>
              <w:top w:val="nil"/>
              <w:left w:val="nil"/>
              <w:bottom w:val="single" w:sz="4" w:space="0" w:color="auto"/>
              <w:right w:val="single" w:sz="4" w:space="0" w:color="auto"/>
            </w:tcBorders>
            <w:shd w:val="clear" w:color="auto" w:fill="auto"/>
            <w:noWrap/>
            <w:vAlign w:val="center"/>
            <w:hideMark/>
          </w:tcPr>
          <w:p w14:paraId="66B4DB26"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43</w:t>
            </w:r>
          </w:p>
        </w:tc>
        <w:tc>
          <w:tcPr>
            <w:tcW w:w="789" w:type="dxa"/>
            <w:tcBorders>
              <w:top w:val="nil"/>
              <w:left w:val="nil"/>
              <w:bottom w:val="single" w:sz="4" w:space="0" w:color="auto"/>
              <w:right w:val="single" w:sz="4" w:space="0" w:color="auto"/>
            </w:tcBorders>
            <w:shd w:val="clear" w:color="auto" w:fill="auto"/>
            <w:noWrap/>
            <w:vAlign w:val="center"/>
            <w:hideMark/>
          </w:tcPr>
          <w:p w14:paraId="434839F7"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643" w:type="dxa"/>
            <w:tcBorders>
              <w:top w:val="nil"/>
              <w:left w:val="nil"/>
              <w:bottom w:val="single" w:sz="4" w:space="0" w:color="auto"/>
              <w:right w:val="single" w:sz="4" w:space="0" w:color="auto"/>
            </w:tcBorders>
            <w:shd w:val="clear" w:color="auto" w:fill="auto"/>
            <w:noWrap/>
            <w:vAlign w:val="center"/>
            <w:hideMark/>
          </w:tcPr>
          <w:p w14:paraId="44E4878E"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930" w:type="dxa"/>
            <w:tcBorders>
              <w:top w:val="nil"/>
              <w:left w:val="nil"/>
              <w:bottom w:val="single" w:sz="4" w:space="0" w:color="auto"/>
              <w:right w:val="single" w:sz="4" w:space="0" w:color="auto"/>
            </w:tcBorders>
            <w:shd w:val="clear" w:color="auto" w:fill="auto"/>
            <w:noWrap/>
            <w:vAlign w:val="center"/>
            <w:hideMark/>
          </w:tcPr>
          <w:p w14:paraId="0E312FBA"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567" w:type="dxa"/>
            <w:tcBorders>
              <w:top w:val="nil"/>
              <w:left w:val="nil"/>
              <w:bottom w:val="single" w:sz="4" w:space="0" w:color="auto"/>
              <w:right w:val="single" w:sz="4" w:space="0" w:color="auto"/>
            </w:tcBorders>
            <w:shd w:val="clear" w:color="auto" w:fill="auto"/>
            <w:noWrap/>
            <w:vAlign w:val="center"/>
            <w:hideMark/>
          </w:tcPr>
          <w:p w14:paraId="10009D95"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w:t>
            </w:r>
          </w:p>
        </w:tc>
        <w:tc>
          <w:tcPr>
            <w:tcW w:w="850" w:type="dxa"/>
            <w:tcBorders>
              <w:top w:val="nil"/>
              <w:left w:val="nil"/>
              <w:bottom w:val="single" w:sz="4" w:space="0" w:color="auto"/>
              <w:right w:val="single" w:sz="4" w:space="0" w:color="auto"/>
            </w:tcBorders>
            <w:shd w:val="clear" w:color="auto" w:fill="auto"/>
            <w:noWrap/>
            <w:vAlign w:val="center"/>
            <w:hideMark/>
          </w:tcPr>
          <w:p w14:paraId="02AA1AA6"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3</w:t>
            </w:r>
          </w:p>
        </w:tc>
        <w:tc>
          <w:tcPr>
            <w:tcW w:w="709" w:type="dxa"/>
            <w:tcBorders>
              <w:top w:val="nil"/>
              <w:left w:val="nil"/>
              <w:bottom w:val="single" w:sz="4" w:space="0" w:color="auto"/>
              <w:right w:val="single" w:sz="4" w:space="0" w:color="auto"/>
            </w:tcBorders>
            <w:shd w:val="clear" w:color="auto" w:fill="auto"/>
            <w:noWrap/>
            <w:vAlign w:val="center"/>
            <w:hideMark/>
          </w:tcPr>
          <w:p w14:paraId="52CD0AA6"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w:t>
            </w:r>
          </w:p>
        </w:tc>
        <w:tc>
          <w:tcPr>
            <w:tcW w:w="709" w:type="dxa"/>
            <w:tcBorders>
              <w:top w:val="nil"/>
              <w:left w:val="nil"/>
              <w:bottom w:val="single" w:sz="4" w:space="0" w:color="auto"/>
              <w:right w:val="single" w:sz="4" w:space="0" w:color="auto"/>
            </w:tcBorders>
            <w:shd w:val="clear" w:color="auto" w:fill="auto"/>
            <w:noWrap/>
            <w:vAlign w:val="center"/>
            <w:hideMark/>
          </w:tcPr>
          <w:p w14:paraId="1F1E72ED"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14:paraId="6E2BB8CC"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134</w:t>
            </w:r>
          </w:p>
        </w:tc>
      </w:tr>
      <w:tr w:rsidR="000C1458" w:rsidRPr="005E2831" w14:paraId="53A9B5CA" w14:textId="77777777" w:rsidTr="004E37F6">
        <w:trPr>
          <w:trHeight w:val="225"/>
        </w:trPr>
        <w:tc>
          <w:tcPr>
            <w:tcW w:w="704" w:type="dxa"/>
            <w:vMerge/>
            <w:tcBorders>
              <w:top w:val="nil"/>
              <w:left w:val="single" w:sz="4" w:space="0" w:color="auto"/>
              <w:bottom w:val="single" w:sz="4" w:space="0" w:color="000000"/>
              <w:right w:val="single" w:sz="4" w:space="0" w:color="auto"/>
            </w:tcBorders>
            <w:vAlign w:val="center"/>
            <w:hideMark/>
          </w:tcPr>
          <w:p w14:paraId="01512A67"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p>
        </w:tc>
        <w:tc>
          <w:tcPr>
            <w:tcW w:w="1747" w:type="dxa"/>
            <w:tcBorders>
              <w:top w:val="nil"/>
              <w:left w:val="nil"/>
              <w:bottom w:val="single" w:sz="4" w:space="0" w:color="auto"/>
              <w:right w:val="single" w:sz="4" w:space="0" w:color="auto"/>
            </w:tcBorders>
            <w:shd w:val="clear" w:color="000000" w:fill="FFFF00"/>
            <w:vAlign w:val="center"/>
            <w:hideMark/>
          </w:tcPr>
          <w:p w14:paraId="21D45A55"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Umiarkowany</w:t>
            </w:r>
          </w:p>
        </w:tc>
        <w:tc>
          <w:tcPr>
            <w:tcW w:w="571" w:type="dxa"/>
            <w:tcBorders>
              <w:top w:val="nil"/>
              <w:left w:val="nil"/>
              <w:bottom w:val="single" w:sz="4" w:space="0" w:color="auto"/>
              <w:right w:val="single" w:sz="4" w:space="0" w:color="auto"/>
            </w:tcBorders>
            <w:shd w:val="clear" w:color="auto" w:fill="auto"/>
            <w:noWrap/>
            <w:vAlign w:val="center"/>
            <w:hideMark/>
          </w:tcPr>
          <w:p w14:paraId="6A9A2919"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906</w:t>
            </w:r>
          </w:p>
        </w:tc>
        <w:tc>
          <w:tcPr>
            <w:tcW w:w="565" w:type="dxa"/>
            <w:tcBorders>
              <w:top w:val="nil"/>
              <w:left w:val="nil"/>
              <w:bottom w:val="single" w:sz="4" w:space="0" w:color="auto"/>
              <w:right w:val="single" w:sz="4" w:space="0" w:color="auto"/>
            </w:tcBorders>
            <w:shd w:val="clear" w:color="auto" w:fill="auto"/>
            <w:noWrap/>
            <w:vAlign w:val="center"/>
            <w:hideMark/>
          </w:tcPr>
          <w:p w14:paraId="37278E98"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426</w:t>
            </w:r>
          </w:p>
        </w:tc>
        <w:tc>
          <w:tcPr>
            <w:tcW w:w="789" w:type="dxa"/>
            <w:tcBorders>
              <w:top w:val="nil"/>
              <w:left w:val="nil"/>
              <w:bottom w:val="single" w:sz="4" w:space="0" w:color="auto"/>
              <w:right w:val="single" w:sz="4" w:space="0" w:color="auto"/>
            </w:tcBorders>
            <w:shd w:val="clear" w:color="auto" w:fill="auto"/>
            <w:noWrap/>
            <w:vAlign w:val="center"/>
            <w:hideMark/>
          </w:tcPr>
          <w:p w14:paraId="03962B99"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2</w:t>
            </w:r>
          </w:p>
        </w:tc>
        <w:tc>
          <w:tcPr>
            <w:tcW w:w="643" w:type="dxa"/>
            <w:tcBorders>
              <w:top w:val="nil"/>
              <w:left w:val="nil"/>
              <w:bottom w:val="single" w:sz="4" w:space="0" w:color="auto"/>
              <w:right w:val="single" w:sz="4" w:space="0" w:color="auto"/>
            </w:tcBorders>
            <w:shd w:val="clear" w:color="auto" w:fill="auto"/>
            <w:noWrap/>
            <w:vAlign w:val="center"/>
            <w:hideMark/>
          </w:tcPr>
          <w:p w14:paraId="33133FE9"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7</w:t>
            </w:r>
          </w:p>
        </w:tc>
        <w:tc>
          <w:tcPr>
            <w:tcW w:w="930" w:type="dxa"/>
            <w:tcBorders>
              <w:top w:val="nil"/>
              <w:left w:val="nil"/>
              <w:bottom w:val="single" w:sz="4" w:space="0" w:color="auto"/>
              <w:right w:val="single" w:sz="4" w:space="0" w:color="auto"/>
            </w:tcBorders>
            <w:shd w:val="clear" w:color="auto" w:fill="auto"/>
            <w:noWrap/>
            <w:vAlign w:val="center"/>
            <w:hideMark/>
          </w:tcPr>
          <w:p w14:paraId="04879162"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3</w:t>
            </w:r>
          </w:p>
        </w:tc>
        <w:tc>
          <w:tcPr>
            <w:tcW w:w="567" w:type="dxa"/>
            <w:tcBorders>
              <w:top w:val="nil"/>
              <w:left w:val="nil"/>
              <w:bottom w:val="single" w:sz="4" w:space="0" w:color="auto"/>
              <w:right w:val="single" w:sz="4" w:space="0" w:color="auto"/>
            </w:tcBorders>
            <w:shd w:val="clear" w:color="auto" w:fill="auto"/>
            <w:noWrap/>
            <w:vAlign w:val="center"/>
            <w:hideMark/>
          </w:tcPr>
          <w:p w14:paraId="5FE117DE"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4</w:t>
            </w:r>
          </w:p>
        </w:tc>
        <w:tc>
          <w:tcPr>
            <w:tcW w:w="850" w:type="dxa"/>
            <w:tcBorders>
              <w:top w:val="nil"/>
              <w:left w:val="nil"/>
              <w:bottom w:val="single" w:sz="4" w:space="0" w:color="auto"/>
              <w:right w:val="single" w:sz="4" w:space="0" w:color="auto"/>
            </w:tcBorders>
            <w:shd w:val="clear" w:color="auto" w:fill="auto"/>
            <w:noWrap/>
            <w:vAlign w:val="center"/>
            <w:hideMark/>
          </w:tcPr>
          <w:p w14:paraId="595D937D"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19</w:t>
            </w:r>
          </w:p>
        </w:tc>
        <w:tc>
          <w:tcPr>
            <w:tcW w:w="709" w:type="dxa"/>
            <w:tcBorders>
              <w:top w:val="nil"/>
              <w:left w:val="nil"/>
              <w:bottom w:val="single" w:sz="4" w:space="0" w:color="auto"/>
              <w:right w:val="single" w:sz="4" w:space="0" w:color="auto"/>
            </w:tcBorders>
            <w:shd w:val="clear" w:color="auto" w:fill="auto"/>
            <w:noWrap/>
            <w:vAlign w:val="center"/>
            <w:hideMark/>
          </w:tcPr>
          <w:p w14:paraId="75EFF534"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53</w:t>
            </w:r>
          </w:p>
        </w:tc>
        <w:tc>
          <w:tcPr>
            <w:tcW w:w="709" w:type="dxa"/>
            <w:tcBorders>
              <w:top w:val="nil"/>
              <w:left w:val="nil"/>
              <w:bottom w:val="single" w:sz="4" w:space="0" w:color="auto"/>
              <w:right w:val="single" w:sz="4" w:space="0" w:color="auto"/>
            </w:tcBorders>
            <w:shd w:val="clear" w:color="auto" w:fill="auto"/>
            <w:noWrap/>
            <w:vAlign w:val="center"/>
            <w:hideMark/>
          </w:tcPr>
          <w:p w14:paraId="119EC115"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3</w:t>
            </w:r>
          </w:p>
        </w:tc>
        <w:tc>
          <w:tcPr>
            <w:tcW w:w="850" w:type="dxa"/>
            <w:tcBorders>
              <w:top w:val="nil"/>
              <w:left w:val="nil"/>
              <w:bottom w:val="single" w:sz="4" w:space="0" w:color="auto"/>
              <w:right w:val="single" w:sz="4" w:space="0" w:color="auto"/>
            </w:tcBorders>
            <w:shd w:val="clear" w:color="auto" w:fill="auto"/>
            <w:noWrap/>
            <w:vAlign w:val="center"/>
            <w:hideMark/>
          </w:tcPr>
          <w:p w14:paraId="1261F968"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1423</w:t>
            </w:r>
          </w:p>
        </w:tc>
      </w:tr>
      <w:tr w:rsidR="000C1458" w:rsidRPr="005E2831" w14:paraId="226E87A0" w14:textId="77777777" w:rsidTr="004E37F6">
        <w:trPr>
          <w:trHeight w:val="225"/>
        </w:trPr>
        <w:tc>
          <w:tcPr>
            <w:tcW w:w="704" w:type="dxa"/>
            <w:vMerge/>
            <w:tcBorders>
              <w:top w:val="nil"/>
              <w:left w:val="single" w:sz="4" w:space="0" w:color="auto"/>
              <w:bottom w:val="single" w:sz="4" w:space="0" w:color="000000"/>
              <w:right w:val="single" w:sz="4" w:space="0" w:color="auto"/>
            </w:tcBorders>
            <w:vAlign w:val="center"/>
            <w:hideMark/>
          </w:tcPr>
          <w:p w14:paraId="30AFEA43"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p>
        </w:tc>
        <w:tc>
          <w:tcPr>
            <w:tcW w:w="1747" w:type="dxa"/>
            <w:tcBorders>
              <w:top w:val="nil"/>
              <w:left w:val="nil"/>
              <w:bottom w:val="single" w:sz="4" w:space="0" w:color="auto"/>
              <w:right w:val="single" w:sz="4" w:space="0" w:color="auto"/>
            </w:tcBorders>
            <w:shd w:val="clear" w:color="000000" w:fill="FFC000"/>
            <w:vAlign w:val="center"/>
            <w:hideMark/>
          </w:tcPr>
          <w:p w14:paraId="67BAEB0C"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Słaby</w:t>
            </w:r>
          </w:p>
        </w:tc>
        <w:tc>
          <w:tcPr>
            <w:tcW w:w="571" w:type="dxa"/>
            <w:tcBorders>
              <w:top w:val="nil"/>
              <w:left w:val="nil"/>
              <w:bottom w:val="single" w:sz="4" w:space="0" w:color="auto"/>
              <w:right w:val="single" w:sz="4" w:space="0" w:color="auto"/>
            </w:tcBorders>
            <w:shd w:val="clear" w:color="auto" w:fill="auto"/>
            <w:noWrap/>
            <w:vAlign w:val="center"/>
            <w:hideMark/>
          </w:tcPr>
          <w:p w14:paraId="08D81BFB"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424</w:t>
            </w:r>
          </w:p>
        </w:tc>
        <w:tc>
          <w:tcPr>
            <w:tcW w:w="565" w:type="dxa"/>
            <w:tcBorders>
              <w:top w:val="nil"/>
              <w:left w:val="nil"/>
              <w:bottom w:val="single" w:sz="4" w:space="0" w:color="auto"/>
              <w:right w:val="single" w:sz="4" w:space="0" w:color="auto"/>
            </w:tcBorders>
            <w:shd w:val="clear" w:color="auto" w:fill="auto"/>
            <w:noWrap/>
            <w:vAlign w:val="center"/>
            <w:hideMark/>
          </w:tcPr>
          <w:p w14:paraId="65B61FE2"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208</w:t>
            </w:r>
          </w:p>
        </w:tc>
        <w:tc>
          <w:tcPr>
            <w:tcW w:w="789" w:type="dxa"/>
            <w:tcBorders>
              <w:top w:val="nil"/>
              <w:left w:val="nil"/>
              <w:bottom w:val="single" w:sz="4" w:space="0" w:color="auto"/>
              <w:right w:val="single" w:sz="4" w:space="0" w:color="auto"/>
            </w:tcBorders>
            <w:shd w:val="clear" w:color="auto" w:fill="auto"/>
            <w:noWrap/>
            <w:vAlign w:val="center"/>
            <w:hideMark/>
          </w:tcPr>
          <w:p w14:paraId="16F207AE"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643" w:type="dxa"/>
            <w:tcBorders>
              <w:top w:val="nil"/>
              <w:left w:val="nil"/>
              <w:bottom w:val="single" w:sz="4" w:space="0" w:color="auto"/>
              <w:right w:val="single" w:sz="4" w:space="0" w:color="auto"/>
            </w:tcBorders>
            <w:shd w:val="clear" w:color="auto" w:fill="auto"/>
            <w:noWrap/>
            <w:vAlign w:val="center"/>
            <w:hideMark/>
          </w:tcPr>
          <w:p w14:paraId="5E1D6B3C"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930" w:type="dxa"/>
            <w:tcBorders>
              <w:top w:val="nil"/>
              <w:left w:val="nil"/>
              <w:bottom w:val="single" w:sz="4" w:space="0" w:color="auto"/>
              <w:right w:val="single" w:sz="4" w:space="0" w:color="auto"/>
            </w:tcBorders>
            <w:shd w:val="clear" w:color="auto" w:fill="auto"/>
            <w:noWrap/>
            <w:vAlign w:val="center"/>
            <w:hideMark/>
          </w:tcPr>
          <w:p w14:paraId="29A7D283"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2</w:t>
            </w:r>
          </w:p>
        </w:tc>
        <w:tc>
          <w:tcPr>
            <w:tcW w:w="567" w:type="dxa"/>
            <w:tcBorders>
              <w:top w:val="nil"/>
              <w:left w:val="nil"/>
              <w:bottom w:val="single" w:sz="4" w:space="0" w:color="auto"/>
              <w:right w:val="single" w:sz="4" w:space="0" w:color="auto"/>
            </w:tcBorders>
            <w:shd w:val="clear" w:color="auto" w:fill="auto"/>
            <w:noWrap/>
            <w:vAlign w:val="center"/>
            <w:hideMark/>
          </w:tcPr>
          <w:p w14:paraId="2643ACC8"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w:t>
            </w:r>
          </w:p>
        </w:tc>
        <w:tc>
          <w:tcPr>
            <w:tcW w:w="850" w:type="dxa"/>
            <w:tcBorders>
              <w:top w:val="nil"/>
              <w:left w:val="nil"/>
              <w:bottom w:val="single" w:sz="4" w:space="0" w:color="auto"/>
              <w:right w:val="single" w:sz="4" w:space="0" w:color="auto"/>
            </w:tcBorders>
            <w:shd w:val="clear" w:color="auto" w:fill="auto"/>
            <w:noWrap/>
            <w:vAlign w:val="center"/>
            <w:hideMark/>
          </w:tcPr>
          <w:p w14:paraId="0D48292F"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8</w:t>
            </w:r>
          </w:p>
        </w:tc>
        <w:tc>
          <w:tcPr>
            <w:tcW w:w="709" w:type="dxa"/>
            <w:tcBorders>
              <w:top w:val="nil"/>
              <w:left w:val="nil"/>
              <w:bottom w:val="single" w:sz="4" w:space="0" w:color="auto"/>
              <w:right w:val="single" w:sz="4" w:space="0" w:color="auto"/>
            </w:tcBorders>
            <w:shd w:val="clear" w:color="auto" w:fill="auto"/>
            <w:noWrap/>
            <w:vAlign w:val="center"/>
            <w:hideMark/>
          </w:tcPr>
          <w:p w14:paraId="2460B037"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15</w:t>
            </w:r>
          </w:p>
        </w:tc>
        <w:tc>
          <w:tcPr>
            <w:tcW w:w="709" w:type="dxa"/>
            <w:tcBorders>
              <w:top w:val="nil"/>
              <w:left w:val="nil"/>
              <w:bottom w:val="single" w:sz="4" w:space="0" w:color="auto"/>
              <w:right w:val="single" w:sz="4" w:space="0" w:color="auto"/>
            </w:tcBorders>
            <w:shd w:val="clear" w:color="auto" w:fill="auto"/>
            <w:noWrap/>
            <w:vAlign w:val="center"/>
            <w:hideMark/>
          </w:tcPr>
          <w:p w14:paraId="2C54F40A"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14:paraId="5222F71A"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658</w:t>
            </w:r>
          </w:p>
        </w:tc>
      </w:tr>
      <w:tr w:rsidR="000C1458" w:rsidRPr="005E2831" w14:paraId="65ED9358" w14:textId="77777777" w:rsidTr="004E37F6">
        <w:trPr>
          <w:trHeight w:val="225"/>
        </w:trPr>
        <w:tc>
          <w:tcPr>
            <w:tcW w:w="704" w:type="dxa"/>
            <w:vMerge/>
            <w:tcBorders>
              <w:top w:val="nil"/>
              <w:left w:val="single" w:sz="4" w:space="0" w:color="auto"/>
              <w:bottom w:val="single" w:sz="4" w:space="0" w:color="000000"/>
              <w:right w:val="single" w:sz="4" w:space="0" w:color="auto"/>
            </w:tcBorders>
            <w:vAlign w:val="center"/>
            <w:hideMark/>
          </w:tcPr>
          <w:p w14:paraId="0555BD2D"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p>
        </w:tc>
        <w:tc>
          <w:tcPr>
            <w:tcW w:w="1747" w:type="dxa"/>
            <w:tcBorders>
              <w:top w:val="nil"/>
              <w:left w:val="nil"/>
              <w:bottom w:val="single" w:sz="4" w:space="0" w:color="auto"/>
              <w:right w:val="single" w:sz="4" w:space="0" w:color="auto"/>
            </w:tcBorders>
            <w:shd w:val="clear" w:color="000000" w:fill="FF0000"/>
            <w:vAlign w:val="center"/>
            <w:hideMark/>
          </w:tcPr>
          <w:p w14:paraId="454715BA"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Zły</w:t>
            </w:r>
          </w:p>
        </w:tc>
        <w:tc>
          <w:tcPr>
            <w:tcW w:w="571" w:type="dxa"/>
            <w:tcBorders>
              <w:top w:val="nil"/>
              <w:left w:val="nil"/>
              <w:bottom w:val="single" w:sz="4" w:space="0" w:color="auto"/>
              <w:right w:val="single" w:sz="4" w:space="0" w:color="auto"/>
            </w:tcBorders>
            <w:shd w:val="clear" w:color="auto" w:fill="auto"/>
            <w:noWrap/>
            <w:vAlign w:val="center"/>
            <w:hideMark/>
          </w:tcPr>
          <w:p w14:paraId="53196B1E"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203</w:t>
            </w:r>
          </w:p>
        </w:tc>
        <w:tc>
          <w:tcPr>
            <w:tcW w:w="565" w:type="dxa"/>
            <w:tcBorders>
              <w:top w:val="nil"/>
              <w:left w:val="nil"/>
              <w:bottom w:val="single" w:sz="4" w:space="0" w:color="auto"/>
              <w:right w:val="single" w:sz="4" w:space="0" w:color="auto"/>
            </w:tcBorders>
            <w:shd w:val="clear" w:color="auto" w:fill="auto"/>
            <w:noWrap/>
            <w:vAlign w:val="center"/>
            <w:hideMark/>
          </w:tcPr>
          <w:p w14:paraId="112F42FB"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111</w:t>
            </w:r>
          </w:p>
        </w:tc>
        <w:tc>
          <w:tcPr>
            <w:tcW w:w="789" w:type="dxa"/>
            <w:tcBorders>
              <w:top w:val="nil"/>
              <w:left w:val="nil"/>
              <w:bottom w:val="single" w:sz="4" w:space="0" w:color="auto"/>
              <w:right w:val="single" w:sz="4" w:space="0" w:color="auto"/>
            </w:tcBorders>
            <w:shd w:val="clear" w:color="auto" w:fill="auto"/>
            <w:noWrap/>
            <w:vAlign w:val="center"/>
            <w:hideMark/>
          </w:tcPr>
          <w:p w14:paraId="5D294BEF"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643" w:type="dxa"/>
            <w:tcBorders>
              <w:top w:val="nil"/>
              <w:left w:val="nil"/>
              <w:bottom w:val="single" w:sz="4" w:space="0" w:color="auto"/>
              <w:right w:val="single" w:sz="4" w:space="0" w:color="auto"/>
            </w:tcBorders>
            <w:shd w:val="clear" w:color="auto" w:fill="auto"/>
            <w:noWrap/>
            <w:vAlign w:val="center"/>
            <w:hideMark/>
          </w:tcPr>
          <w:p w14:paraId="1452E4DF"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w:t>
            </w:r>
          </w:p>
        </w:tc>
        <w:tc>
          <w:tcPr>
            <w:tcW w:w="930" w:type="dxa"/>
            <w:tcBorders>
              <w:top w:val="nil"/>
              <w:left w:val="nil"/>
              <w:bottom w:val="single" w:sz="4" w:space="0" w:color="auto"/>
              <w:right w:val="single" w:sz="4" w:space="0" w:color="auto"/>
            </w:tcBorders>
            <w:shd w:val="clear" w:color="auto" w:fill="auto"/>
            <w:noWrap/>
            <w:vAlign w:val="center"/>
            <w:hideMark/>
          </w:tcPr>
          <w:p w14:paraId="4B22F8B5"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567" w:type="dxa"/>
            <w:tcBorders>
              <w:top w:val="nil"/>
              <w:left w:val="nil"/>
              <w:bottom w:val="single" w:sz="4" w:space="0" w:color="auto"/>
              <w:right w:val="single" w:sz="4" w:space="0" w:color="auto"/>
            </w:tcBorders>
            <w:shd w:val="clear" w:color="auto" w:fill="auto"/>
            <w:noWrap/>
            <w:vAlign w:val="center"/>
            <w:hideMark/>
          </w:tcPr>
          <w:p w14:paraId="17AC0C5A"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14:paraId="3E628EF2"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7</w:t>
            </w:r>
          </w:p>
        </w:tc>
        <w:tc>
          <w:tcPr>
            <w:tcW w:w="709" w:type="dxa"/>
            <w:tcBorders>
              <w:top w:val="nil"/>
              <w:left w:val="nil"/>
              <w:bottom w:val="single" w:sz="4" w:space="0" w:color="auto"/>
              <w:right w:val="single" w:sz="4" w:space="0" w:color="auto"/>
            </w:tcBorders>
            <w:shd w:val="clear" w:color="auto" w:fill="auto"/>
            <w:noWrap/>
            <w:vAlign w:val="center"/>
            <w:hideMark/>
          </w:tcPr>
          <w:p w14:paraId="6612A0DF"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14</w:t>
            </w:r>
          </w:p>
        </w:tc>
        <w:tc>
          <w:tcPr>
            <w:tcW w:w="709" w:type="dxa"/>
            <w:tcBorders>
              <w:top w:val="nil"/>
              <w:left w:val="nil"/>
              <w:bottom w:val="single" w:sz="4" w:space="0" w:color="auto"/>
              <w:right w:val="single" w:sz="4" w:space="0" w:color="auto"/>
            </w:tcBorders>
            <w:shd w:val="clear" w:color="auto" w:fill="auto"/>
            <w:noWrap/>
            <w:vAlign w:val="center"/>
            <w:hideMark/>
          </w:tcPr>
          <w:p w14:paraId="73B2655F"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14:paraId="1DE7EFF7"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336</w:t>
            </w:r>
          </w:p>
        </w:tc>
      </w:tr>
      <w:tr w:rsidR="000C1458" w:rsidRPr="005E2831" w14:paraId="0D9499F6" w14:textId="77777777" w:rsidTr="004E37F6">
        <w:trPr>
          <w:trHeight w:val="609"/>
        </w:trPr>
        <w:tc>
          <w:tcPr>
            <w:tcW w:w="704" w:type="dxa"/>
            <w:vMerge/>
            <w:tcBorders>
              <w:top w:val="nil"/>
              <w:left w:val="single" w:sz="4" w:space="0" w:color="auto"/>
              <w:bottom w:val="single" w:sz="4" w:space="0" w:color="000000"/>
              <w:right w:val="single" w:sz="4" w:space="0" w:color="auto"/>
            </w:tcBorders>
            <w:vAlign w:val="center"/>
            <w:hideMark/>
          </w:tcPr>
          <w:p w14:paraId="663A9525"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p>
        </w:tc>
        <w:tc>
          <w:tcPr>
            <w:tcW w:w="1747" w:type="dxa"/>
            <w:tcBorders>
              <w:top w:val="nil"/>
              <w:left w:val="nil"/>
              <w:bottom w:val="single" w:sz="4" w:space="0" w:color="auto"/>
              <w:right w:val="single" w:sz="4" w:space="0" w:color="auto"/>
            </w:tcBorders>
            <w:shd w:val="clear" w:color="000000" w:fill="BFBFBF"/>
            <w:vAlign w:val="center"/>
            <w:hideMark/>
          </w:tcPr>
          <w:p w14:paraId="7078A825"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 xml:space="preserve">Liczba naturalnych </w:t>
            </w:r>
            <w:proofErr w:type="spellStart"/>
            <w:r w:rsidRPr="00B05424">
              <w:rPr>
                <w:rFonts w:ascii="Times New Roman" w:eastAsia="Times New Roman" w:hAnsi="Times New Roman" w:cs="Times New Roman"/>
                <w:color w:val="000000"/>
                <w:sz w:val="18"/>
                <w:szCs w:val="20"/>
                <w:lang w:eastAsia="pl-PL"/>
              </w:rPr>
              <w:t>jcwp</w:t>
            </w:r>
            <w:proofErr w:type="spellEnd"/>
            <w:r w:rsidRPr="00B05424">
              <w:rPr>
                <w:rFonts w:ascii="Times New Roman" w:eastAsia="Times New Roman" w:hAnsi="Times New Roman" w:cs="Times New Roman"/>
                <w:color w:val="000000"/>
                <w:sz w:val="18"/>
                <w:szCs w:val="20"/>
                <w:lang w:eastAsia="pl-PL"/>
              </w:rPr>
              <w:t xml:space="preserve"> sklasyfikowanych</w:t>
            </w:r>
          </w:p>
        </w:tc>
        <w:tc>
          <w:tcPr>
            <w:tcW w:w="571" w:type="dxa"/>
            <w:tcBorders>
              <w:top w:val="nil"/>
              <w:left w:val="nil"/>
              <w:bottom w:val="single" w:sz="4" w:space="0" w:color="auto"/>
              <w:right w:val="single" w:sz="4" w:space="0" w:color="auto"/>
            </w:tcBorders>
            <w:shd w:val="clear" w:color="auto" w:fill="auto"/>
            <w:noWrap/>
            <w:vAlign w:val="center"/>
            <w:hideMark/>
          </w:tcPr>
          <w:p w14:paraId="5FD78F5F"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1619</w:t>
            </w:r>
          </w:p>
        </w:tc>
        <w:tc>
          <w:tcPr>
            <w:tcW w:w="565" w:type="dxa"/>
            <w:tcBorders>
              <w:top w:val="nil"/>
              <w:left w:val="nil"/>
              <w:bottom w:val="single" w:sz="4" w:space="0" w:color="auto"/>
              <w:right w:val="single" w:sz="4" w:space="0" w:color="auto"/>
            </w:tcBorders>
            <w:shd w:val="clear" w:color="auto" w:fill="auto"/>
            <w:noWrap/>
            <w:vAlign w:val="center"/>
            <w:hideMark/>
          </w:tcPr>
          <w:p w14:paraId="6BA41A22"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789</w:t>
            </w:r>
          </w:p>
        </w:tc>
        <w:tc>
          <w:tcPr>
            <w:tcW w:w="789" w:type="dxa"/>
            <w:tcBorders>
              <w:top w:val="nil"/>
              <w:left w:val="nil"/>
              <w:bottom w:val="single" w:sz="4" w:space="0" w:color="auto"/>
              <w:right w:val="single" w:sz="4" w:space="0" w:color="auto"/>
            </w:tcBorders>
            <w:shd w:val="clear" w:color="auto" w:fill="auto"/>
            <w:noWrap/>
            <w:vAlign w:val="center"/>
            <w:hideMark/>
          </w:tcPr>
          <w:p w14:paraId="118B7667"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2</w:t>
            </w:r>
          </w:p>
        </w:tc>
        <w:tc>
          <w:tcPr>
            <w:tcW w:w="643" w:type="dxa"/>
            <w:tcBorders>
              <w:top w:val="nil"/>
              <w:left w:val="nil"/>
              <w:bottom w:val="single" w:sz="4" w:space="0" w:color="auto"/>
              <w:right w:val="single" w:sz="4" w:space="0" w:color="auto"/>
            </w:tcBorders>
            <w:shd w:val="clear" w:color="auto" w:fill="auto"/>
            <w:noWrap/>
            <w:vAlign w:val="center"/>
            <w:hideMark/>
          </w:tcPr>
          <w:p w14:paraId="2E49FE33"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8</w:t>
            </w:r>
          </w:p>
        </w:tc>
        <w:tc>
          <w:tcPr>
            <w:tcW w:w="930" w:type="dxa"/>
            <w:tcBorders>
              <w:top w:val="nil"/>
              <w:left w:val="nil"/>
              <w:bottom w:val="single" w:sz="4" w:space="0" w:color="auto"/>
              <w:right w:val="single" w:sz="4" w:space="0" w:color="auto"/>
            </w:tcBorders>
            <w:shd w:val="clear" w:color="auto" w:fill="auto"/>
            <w:noWrap/>
            <w:vAlign w:val="center"/>
            <w:hideMark/>
          </w:tcPr>
          <w:p w14:paraId="67A9A784"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5</w:t>
            </w:r>
          </w:p>
        </w:tc>
        <w:tc>
          <w:tcPr>
            <w:tcW w:w="567" w:type="dxa"/>
            <w:tcBorders>
              <w:top w:val="nil"/>
              <w:left w:val="nil"/>
              <w:bottom w:val="single" w:sz="4" w:space="0" w:color="auto"/>
              <w:right w:val="single" w:sz="4" w:space="0" w:color="auto"/>
            </w:tcBorders>
            <w:shd w:val="clear" w:color="auto" w:fill="auto"/>
            <w:noWrap/>
            <w:vAlign w:val="center"/>
            <w:hideMark/>
          </w:tcPr>
          <w:p w14:paraId="728C6D9C"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6</w:t>
            </w:r>
          </w:p>
        </w:tc>
        <w:tc>
          <w:tcPr>
            <w:tcW w:w="850" w:type="dxa"/>
            <w:tcBorders>
              <w:top w:val="nil"/>
              <w:left w:val="nil"/>
              <w:bottom w:val="single" w:sz="4" w:space="0" w:color="auto"/>
              <w:right w:val="single" w:sz="4" w:space="0" w:color="auto"/>
            </w:tcBorders>
            <w:shd w:val="clear" w:color="auto" w:fill="auto"/>
            <w:noWrap/>
            <w:vAlign w:val="center"/>
            <w:hideMark/>
          </w:tcPr>
          <w:p w14:paraId="1055E0C7"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37</w:t>
            </w:r>
          </w:p>
        </w:tc>
        <w:tc>
          <w:tcPr>
            <w:tcW w:w="709" w:type="dxa"/>
            <w:tcBorders>
              <w:top w:val="nil"/>
              <w:left w:val="nil"/>
              <w:bottom w:val="single" w:sz="4" w:space="0" w:color="auto"/>
              <w:right w:val="single" w:sz="4" w:space="0" w:color="auto"/>
            </w:tcBorders>
            <w:shd w:val="clear" w:color="auto" w:fill="auto"/>
            <w:noWrap/>
            <w:vAlign w:val="center"/>
            <w:hideMark/>
          </w:tcPr>
          <w:p w14:paraId="499CE35F"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83</w:t>
            </w:r>
          </w:p>
        </w:tc>
        <w:tc>
          <w:tcPr>
            <w:tcW w:w="709" w:type="dxa"/>
            <w:tcBorders>
              <w:top w:val="nil"/>
              <w:left w:val="nil"/>
              <w:bottom w:val="single" w:sz="4" w:space="0" w:color="auto"/>
              <w:right w:val="single" w:sz="4" w:space="0" w:color="auto"/>
            </w:tcBorders>
            <w:shd w:val="clear" w:color="auto" w:fill="auto"/>
            <w:noWrap/>
            <w:vAlign w:val="center"/>
            <w:hideMark/>
          </w:tcPr>
          <w:p w14:paraId="22CB8C61"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3</w:t>
            </w:r>
          </w:p>
        </w:tc>
        <w:tc>
          <w:tcPr>
            <w:tcW w:w="850" w:type="dxa"/>
            <w:tcBorders>
              <w:top w:val="nil"/>
              <w:left w:val="nil"/>
              <w:bottom w:val="single" w:sz="4" w:space="0" w:color="auto"/>
              <w:right w:val="single" w:sz="4" w:space="0" w:color="auto"/>
            </w:tcBorders>
            <w:shd w:val="clear" w:color="auto" w:fill="auto"/>
            <w:noWrap/>
            <w:vAlign w:val="center"/>
            <w:hideMark/>
          </w:tcPr>
          <w:p w14:paraId="75D5290C"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2552</w:t>
            </w:r>
          </w:p>
        </w:tc>
      </w:tr>
      <w:tr w:rsidR="000C1458" w:rsidRPr="005E2831" w14:paraId="4104BDD9" w14:textId="77777777" w:rsidTr="004E37F6">
        <w:trPr>
          <w:trHeight w:val="561"/>
        </w:trPr>
        <w:tc>
          <w:tcPr>
            <w:tcW w:w="704" w:type="dxa"/>
            <w:vMerge/>
            <w:tcBorders>
              <w:top w:val="nil"/>
              <w:left w:val="single" w:sz="4" w:space="0" w:color="auto"/>
              <w:bottom w:val="single" w:sz="4" w:space="0" w:color="000000"/>
              <w:right w:val="single" w:sz="4" w:space="0" w:color="auto"/>
            </w:tcBorders>
            <w:vAlign w:val="center"/>
            <w:hideMark/>
          </w:tcPr>
          <w:p w14:paraId="18E33BBA"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p>
        </w:tc>
        <w:tc>
          <w:tcPr>
            <w:tcW w:w="1747" w:type="dxa"/>
            <w:tcBorders>
              <w:top w:val="nil"/>
              <w:left w:val="nil"/>
              <w:bottom w:val="single" w:sz="4" w:space="0" w:color="auto"/>
              <w:right w:val="single" w:sz="4" w:space="0" w:color="auto"/>
            </w:tcBorders>
            <w:shd w:val="clear" w:color="000000" w:fill="F2F2F2"/>
            <w:vAlign w:val="center"/>
            <w:hideMark/>
          </w:tcPr>
          <w:p w14:paraId="6076FB60"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 xml:space="preserve">Liczba naturalnych </w:t>
            </w:r>
            <w:proofErr w:type="spellStart"/>
            <w:r w:rsidRPr="00B05424">
              <w:rPr>
                <w:rFonts w:ascii="Times New Roman" w:eastAsia="Times New Roman" w:hAnsi="Times New Roman" w:cs="Times New Roman"/>
                <w:color w:val="000000"/>
                <w:sz w:val="18"/>
                <w:szCs w:val="20"/>
                <w:lang w:eastAsia="pl-PL"/>
              </w:rPr>
              <w:t>jcwp</w:t>
            </w:r>
            <w:proofErr w:type="spellEnd"/>
            <w:r w:rsidRPr="00B05424">
              <w:rPr>
                <w:rFonts w:ascii="Times New Roman" w:eastAsia="Times New Roman" w:hAnsi="Times New Roman" w:cs="Times New Roman"/>
                <w:color w:val="000000"/>
                <w:sz w:val="18"/>
                <w:szCs w:val="20"/>
                <w:lang w:eastAsia="pl-PL"/>
              </w:rPr>
              <w:t xml:space="preserve"> niesklasyfikowanych</w:t>
            </w:r>
          </w:p>
        </w:tc>
        <w:tc>
          <w:tcPr>
            <w:tcW w:w="571" w:type="dxa"/>
            <w:tcBorders>
              <w:top w:val="nil"/>
              <w:left w:val="nil"/>
              <w:bottom w:val="single" w:sz="4" w:space="0" w:color="auto"/>
              <w:right w:val="single" w:sz="4" w:space="0" w:color="auto"/>
            </w:tcBorders>
            <w:shd w:val="clear" w:color="auto" w:fill="auto"/>
            <w:noWrap/>
            <w:vAlign w:val="center"/>
            <w:hideMark/>
          </w:tcPr>
          <w:p w14:paraId="4F96838A"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40</w:t>
            </w:r>
          </w:p>
        </w:tc>
        <w:tc>
          <w:tcPr>
            <w:tcW w:w="565" w:type="dxa"/>
            <w:tcBorders>
              <w:top w:val="nil"/>
              <w:left w:val="nil"/>
              <w:bottom w:val="single" w:sz="4" w:space="0" w:color="auto"/>
              <w:right w:val="single" w:sz="4" w:space="0" w:color="auto"/>
            </w:tcBorders>
            <w:shd w:val="clear" w:color="auto" w:fill="auto"/>
            <w:noWrap/>
            <w:vAlign w:val="center"/>
            <w:hideMark/>
          </w:tcPr>
          <w:p w14:paraId="5C413406"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56</w:t>
            </w:r>
          </w:p>
        </w:tc>
        <w:tc>
          <w:tcPr>
            <w:tcW w:w="789" w:type="dxa"/>
            <w:tcBorders>
              <w:top w:val="nil"/>
              <w:left w:val="nil"/>
              <w:bottom w:val="single" w:sz="4" w:space="0" w:color="auto"/>
              <w:right w:val="single" w:sz="4" w:space="0" w:color="auto"/>
            </w:tcBorders>
            <w:shd w:val="clear" w:color="auto" w:fill="auto"/>
            <w:noWrap/>
            <w:vAlign w:val="center"/>
            <w:hideMark/>
          </w:tcPr>
          <w:p w14:paraId="4C75C3CA"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643" w:type="dxa"/>
            <w:tcBorders>
              <w:top w:val="nil"/>
              <w:left w:val="nil"/>
              <w:bottom w:val="single" w:sz="4" w:space="0" w:color="auto"/>
              <w:right w:val="single" w:sz="4" w:space="0" w:color="auto"/>
            </w:tcBorders>
            <w:shd w:val="clear" w:color="auto" w:fill="auto"/>
            <w:noWrap/>
            <w:vAlign w:val="center"/>
            <w:hideMark/>
          </w:tcPr>
          <w:p w14:paraId="5CE4EEA7"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930" w:type="dxa"/>
            <w:tcBorders>
              <w:top w:val="nil"/>
              <w:left w:val="nil"/>
              <w:bottom w:val="single" w:sz="4" w:space="0" w:color="auto"/>
              <w:right w:val="single" w:sz="4" w:space="0" w:color="auto"/>
            </w:tcBorders>
            <w:shd w:val="clear" w:color="auto" w:fill="auto"/>
            <w:noWrap/>
            <w:vAlign w:val="center"/>
            <w:hideMark/>
          </w:tcPr>
          <w:p w14:paraId="55A46771"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567" w:type="dxa"/>
            <w:tcBorders>
              <w:top w:val="nil"/>
              <w:left w:val="nil"/>
              <w:bottom w:val="single" w:sz="4" w:space="0" w:color="auto"/>
              <w:right w:val="single" w:sz="4" w:space="0" w:color="auto"/>
            </w:tcBorders>
            <w:shd w:val="clear" w:color="auto" w:fill="auto"/>
            <w:noWrap/>
            <w:vAlign w:val="center"/>
            <w:hideMark/>
          </w:tcPr>
          <w:p w14:paraId="1F212DAC"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14:paraId="56E1EE3C"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709" w:type="dxa"/>
            <w:tcBorders>
              <w:top w:val="nil"/>
              <w:left w:val="nil"/>
              <w:bottom w:val="single" w:sz="4" w:space="0" w:color="auto"/>
              <w:right w:val="single" w:sz="4" w:space="0" w:color="auto"/>
            </w:tcBorders>
            <w:shd w:val="clear" w:color="auto" w:fill="auto"/>
            <w:noWrap/>
            <w:vAlign w:val="center"/>
            <w:hideMark/>
          </w:tcPr>
          <w:p w14:paraId="347D49F7"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w:t>
            </w:r>
          </w:p>
        </w:tc>
        <w:tc>
          <w:tcPr>
            <w:tcW w:w="709" w:type="dxa"/>
            <w:tcBorders>
              <w:top w:val="nil"/>
              <w:left w:val="nil"/>
              <w:bottom w:val="single" w:sz="4" w:space="0" w:color="auto"/>
              <w:right w:val="single" w:sz="4" w:space="0" w:color="auto"/>
            </w:tcBorders>
            <w:shd w:val="clear" w:color="auto" w:fill="auto"/>
            <w:noWrap/>
            <w:vAlign w:val="center"/>
            <w:hideMark/>
          </w:tcPr>
          <w:p w14:paraId="458B5E39"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14:paraId="0EAA9437"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97</w:t>
            </w:r>
          </w:p>
        </w:tc>
      </w:tr>
      <w:tr w:rsidR="000C1458" w:rsidRPr="005E2831" w14:paraId="531A9CDB" w14:textId="77777777" w:rsidTr="004E37F6">
        <w:trPr>
          <w:trHeight w:val="225"/>
        </w:trPr>
        <w:tc>
          <w:tcPr>
            <w:tcW w:w="704" w:type="dxa"/>
            <w:vMerge/>
            <w:tcBorders>
              <w:top w:val="nil"/>
              <w:left w:val="single" w:sz="4" w:space="0" w:color="auto"/>
              <w:bottom w:val="single" w:sz="4" w:space="0" w:color="000000"/>
              <w:right w:val="single" w:sz="4" w:space="0" w:color="auto"/>
            </w:tcBorders>
            <w:vAlign w:val="center"/>
            <w:hideMark/>
          </w:tcPr>
          <w:p w14:paraId="6DF40CB0"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p>
        </w:tc>
        <w:tc>
          <w:tcPr>
            <w:tcW w:w="1747" w:type="dxa"/>
            <w:tcBorders>
              <w:top w:val="nil"/>
              <w:left w:val="nil"/>
              <w:bottom w:val="single" w:sz="4" w:space="0" w:color="auto"/>
              <w:right w:val="single" w:sz="4" w:space="0" w:color="auto"/>
            </w:tcBorders>
            <w:shd w:val="clear" w:color="000000" w:fill="FFFFFF"/>
            <w:vAlign w:val="center"/>
            <w:hideMark/>
          </w:tcPr>
          <w:p w14:paraId="4697BA7E"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Łącznie</w:t>
            </w:r>
          </w:p>
        </w:tc>
        <w:tc>
          <w:tcPr>
            <w:tcW w:w="571" w:type="dxa"/>
            <w:tcBorders>
              <w:top w:val="nil"/>
              <w:left w:val="nil"/>
              <w:bottom w:val="single" w:sz="4" w:space="0" w:color="auto"/>
              <w:right w:val="single" w:sz="4" w:space="0" w:color="auto"/>
            </w:tcBorders>
            <w:shd w:val="clear" w:color="auto" w:fill="auto"/>
            <w:noWrap/>
            <w:vAlign w:val="center"/>
            <w:hideMark/>
          </w:tcPr>
          <w:p w14:paraId="45DA45AC"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1659</w:t>
            </w:r>
          </w:p>
        </w:tc>
        <w:tc>
          <w:tcPr>
            <w:tcW w:w="565" w:type="dxa"/>
            <w:tcBorders>
              <w:top w:val="nil"/>
              <w:left w:val="nil"/>
              <w:bottom w:val="single" w:sz="4" w:space="0" w:color="auto"/>
              <w:right w:val="single" w:sz="4" w:space="0" w:color="auto"/>
            </w:tcBorders>
            <w:shd w:val="clear" w:color="auto" w:fill="auto"/>
            <w:noWrap/>
            <w:vAlign w:val="center"/>
            <w:hideMark/>
          </w:tcPr>
          <w:p w14:paraId="61AF9F6A"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845</w:t>
            </w:r>
          </w:p>
        </w:tc>
        <w:tc>
          <w:tcPr>
            <w:tcW w:w="789" w:type="dxa"/>
            <w:tcBorders>
              <w:top w:val="nil"/>
              <w:left w:val="nil"/>
              <w:bottom w:val="single" w:sz="4" w:space="0" w:color="auto"/>
              <w:right w:val="single" w:sz="4" w:space="0" w:color="auto"/>
            </w:tcBorders>
            <w:shd w:val="clear" w:color="auto" w:fill="auto"/>
            <w:noWrap/>
            <w:vAlign w:val="center"/>
            <w:hideMark/>
          </w:tcPr>
          <w:p w14:paraId="29838DBC"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2</w:t>
            </w:r>
          </w:p>
        </w:tc>
        <w:tc>
          <w:tcPr>
            <w:tcW w:w="643" w:type="dxa"/>
            <w:tcBorders>
              <w:top w:val="nil"/>
              <w:left w:val="nil"/>
              <w:bottom w:val="single" w:sz="4" w:space="0" w:color="auto"/>
              <w:right w:val="single" w:sz="4" w:space="0" w:color="auto"/>
            </w:tcBorders>
            <w:shd w:val="clear" w:color="auto" w:fill="auto"/>
            <w:noWrap/>
            <w:vAlign w:val="center"/>
            <w:hideMark/>
          </w:tcPr>
          <w:p w14:paraId="36E1322D"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8</w:t>
            </w:r>
          </w:p>
        </w:tc>
        <w:tc>
          <w:tcPr>
            <w:tcW w:w="930" w:type="dxa"/>
            <w:tcBorders>
              <w:top w:val="nil"/>
              <w:left w:val="nil"/>
              <w:bottom w:val="single" w:sz="4" w:space="0" w:color="auto"/>
              <w:right w:val="single" w:sz="4" w:space="0" w:color="auto"/>
            </w:tcBorders>
            <w:shd w:val="clear" w:color="auto" w:fill="auto"/>
            <w:noWrap/>
            <w:vAlign w:val="center"/>
            <w:hideMark/>
          </w:tcPr>
          <w:p w14:paraId="784EA9C2"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5</w:t>
            </w:r>
          </w:p>
        </w:tc>
        <w:tc>
          <w:tcPr>
            <w:tcW w:w="567" w:type="dxa"/>
            <w:tcBorders>
              <w:top w:val="nil"/>
              <w:left w:val="nil"/>
              <w:bottom w:val="single" w:sz="4" w:space="0" w:color="auto"/>
              <w:right w:val="single" w:sz="4" w:space="0" w:color="auto"/>
            </w:tcBorders>
            <w:shd w:val="clear" w:color="auto" w:fill="auto"/>
            <w:noWrap/>
            <w:vAlign w:val="center"/>
            <w:hideMark/>
          </w:tcPr>
          <w:p w14:paraId="7CD36744"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6</w:t>
            </w:r>
          </w:p>
        </w:tc>
        <w:tc>
          <w:tcPr>
            <w:tcW w:w="850" w:type="dxa"/>
            <w:tcBorders>
              <w:top w:val="nil"/>
              <w:left w:val="nil"/>
              <w:bottom w:val="single" w:sz="4" w:space="0" w:color="auto"/>
              <w:right w:val="single" w:sz="4" w:space="0" w:color="auto"/>
            </w:tcBorders>
            <w:shd w:val="clear" w:color="auto" w:fill="auto"/>
            <w:noWrap/>
            <w:vAlign w:val="center"/>
            <w:hideMark/>
          </w:tcPr>
          <w:p w14:paraId="552D9C34"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37</w:t>
            </w:r>
          </w:p>
        </w:tc>
        <w:tc>
          <w:tcPr>
            <w:tcW w:w="709" w:type="dxa"/>
            <w:tcBorders>
              <w:top w:val="nil"/>
              <w:left w:val="nil"/>
              <w:bottom w:val="single" w:sz="4" w:space="0" w:color="auto"/>
              <w:right w:val="single" w:sz="4" w:space="0" w:color="auto"/>
            </w:tcBorders>
            <w:shd w:val="clear" w:color="auto" w:fill="auto"/>
            <w:noWrap/>
            <w:vAlign w:val="center"/>
            <w:hideMark/>
          </w:tcPr>
          <w:p w14:paraId="51CE6483"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84</w:t>
            </w:r>
          </w:p>
        </w:tc>
        <w:tc>
          <w:tcPr>
            <w:tcW w:w="709" w:type="dxa"/>
            <w:tcBorders>
              <w:top w:val="nil"/>
              <w:left w:val="nil"/>
              <w:bottom w:val="single" w:sz="4" w:space="0" w:color="auto"/>
              <w:right w:val="single" w:sz="4" w:space="0" w:color="auto"/>
            </w:tcBorders>
            <w:shd w:val="clear" w:color="auto" w:fill="auto"/>
            <w:noWrap/>
            <w:vAlign w:val="center"/>
            <w:hideMark/>
          </w:tcPr>
          <w:p w14:paraId="75F2C576"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3</w:t>
            </w:r>
          </w:p>
        </w:tc>
        <w:tc>
          <w:tcPr>
            <w:tcW w:w="850" w:type="dxa"/>
            <w:tcBorders>
              <w:top w:val="nil"/>
              <w:left w:val="nil"/>
              <w:bottom w:val="single" w:sz="4" w:space="0" w:color="auto"/>
              <w:right w:val="single" w:sz="4" w:space="0" w:color="auto"/>
            </w:tcBorders>
            <w:shd w:val="clear" w:color="auto" w:fill="auto"/>
            <w:noWrap/>
            <w:vAlign w:val="center"/>
            <w:hideMark/>
          </w:tcPr>
          <w:p w14:paraId="7D8E31D4"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2649</w:t>
            </w:r>
          </w:p>
        </w:tc>
      </w:tr>
      <w:tr w:rsidR="000C1458" w:rsidRPr="005E2831" w14:paraId="5C7025F9" w14:textId="77777777" w:rsidTr="006457A4">
        <w:trPr>
          <w:trHeight w:val="300"/>
        </w:trPr>
        <w:tc>
          <w:tcPr>
            <w:tcW w:w="704"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14:paraId="3F006DBA"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Klasyfikacja potencjału</w:t>
            </w:r>
            <w:r w:rsidRPr="00B05424">
              <w:rPr>
                <w:rFonts w:ascii="Times New Roman" w:eastAsia="Times New Roman" w:hAnsi="Times New Roman" w:cs="Times New Roman"/>
                <w:color w:val="000000"/>
                <w:sz w:val="18"/>
                <w:szCs w:val="20"/>
                <w:lang w:eastAsia="pl-PL"/>
              </w:rPr>
              <w:br/>
              <w:t>ekologicznego</w:t>
            </w:r>
          </w:p>
        </w:tc>
        <w:tc>
          <w:tcPr>
            <w:tcW w:w="1747" w:type="dxa"/>
            <w:tcBorders>
              <w:top w:val="nil"/>
              <w:left w:val="nil"/>
              <w:bottom w:val="single" w:sz="4" w:space="0" w:color="auto"/>
              <w:right w:val="single" w:sz="4" w:space="0" w:color="auto"/>
            </w:tcBorders>
            <w:shd w:val="clear" w:color="auto" w:fill="538135" w:themeFill="accent6" w:themeFillShade="BF"/>
            <w:noWrap/>
            <w:vAlign w:val="center"/>
            <w:hideMark/>
          </w:tcPr>
          <w:p w14:paraId="0E7E4F31"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Maksymalny</w:t>
            </w:r>
          </w:p>
        </w:tc>
        <w:tc>
          <w:tcPr>
            <w:tcW w:w="571" w:type="dxa"/>
            <w:tcBorders>
              <w:top w:val="nil"/>
              <w:left w:val="nil"/>
              <w:bottom w:val="single" w:sz="4" w:space="0" w:color="auto"/>
              <w:right w:val="single" w:sz="4" w:space="0" w:color="auto"/>
            </w:tcBorders>
            <w:shd w:val="clear" w:color="auto" w:fill="auto"/>
            <w:noWrap/>
            <w:vAlign w:val="center"/>
            <w:hideMark/>
          </w:tcPr>
          <w:p w14:paraId="1EB0BD61"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565" w:type="dxa"/>
            <w:tcBorders>
              <w:top w:val="nil"/>
              <w:left w:val="nil"/>
              <w:bottom w:val="single" w:sz="4" w:space="0" w:color="auto"/>
              <w:right w:val="single" w:sz="4" w:space="0" w:color="auto"/>
            </w:tcBorders>
            <w:shd w:val="clear" w:color="auto" w:fill="auto"/>
            <w:noWrap/>
            <w:vAlign w:val="center"/>
            <w:hideMark/>
          </w:tcPr>
          <w:p w14:paraId="7D5DFD03"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789" w:type="dxa"/>
            <w:tcBorders>
              <w:top w:val="nil"/>
              <w:left w:val="nil"/>
              <w:bottom w:val="single" w:sz="4" w:space="0" w:color="auto"/>
              <w:right w:val="single" w:sz="4" w:space="0" w:color="auto"/>
            </w:tcBorders>
            <w:shd w:val="clear" w:color="auto" w:fill="auto"/>
            <w:noWrap/>
            <w:vAlign w:val="center"/>
            <w:hideMark/>
          </w:tcPr>
          <w:p w14:paraId="19C066EF"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643" w:type="dxa"/>
            <w:tcBorders>
              <w:top w:val="nil"/>
              <w:left w:val="nil"/>
              <w:bottom w:val="single" w:sz="4" w:space="0" w:color="auto"/>
              <w:right w:val="single" w:sz="4" w:space="0" w:color="auto"/>
            </w:tcBorders>
            <w:shd w:val="clear" w:color="auto" w:fill="auto"/>
            <w:noWrap/>
            <w:vAlign w:val="center"/>
            <w:hideMark/>
          </w:tcPr>
          <w:p w14:paraId="0539A8A2"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930" w:type="dxa"/>
            <w:tcBorders>
              <w:top w:val="nil"/>
              <w:left w:val="nil"/>
              <w:bottom w:val="single" w:sz="4" w:space="0" w:color="auto"/>
              <w:right w:val="single" w:sz="4" w:space="0" w:color="auto"/>
            </w:tcBorders>
            <w:shd w:val="clear" w:color="auto" w:fill="auto"/>
            <w:noWrap/>
            <w:vAlign w:val="center"/>
            <w:hideMark/>
          </w:tcPr>
          <w:p w14:paraId="1006FF1C"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567" w:type="dxa"/>
            <w:tcBorders>
              <w:top w:val="nil"/>
              <w:left w:val="nil"/>
              <w:bottom w:val="single" w:sz="4" w:space="0" w:color="auto"/>
              <w:right w:val="single" w:sz="4" w:space="0" w:color="auto"/>
            </w:tcBorders>
            <w:shd w:val="clear" w:color="auto" w:fill="auto"/>
            <w:noWrap/>
            <w:vAlign w:val="center"/>
            <w:hideMark/>
          </w:tcPr>
          <w:p w14:paraId="777587BF"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14:paraId="72E59B87"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709" w:type="dxa"/>
            <w:tcBorders>
              <w:top w:val="nil"/>
              <w:left w:val="nil"/>
              <w:bottom w:val="single" w:sz="4" w:space="0" w:color="auto"/>
              <w:right w:val="single" w:sz="4" w:space="0" w:color="auto"/>
            </w:tcBorders>
            <w:shd w:val="clear" w:color="auto" w:fill="auto"/>
            <w:noWrap/>
            <w:vAlign w:val="center"/>
            <w:hideMark/>
          </w:tcPr>
          <w:p w14:paraId="6D8C6EAB"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709" w:type="dxa"/>
            <w:tcBorders>
              <w:top w:val="nil"/>
              <w:left w:val="nil"/>
              <w:bottom w:val="single" w:sz="4" w:space="0" w:color="auto"/>
              <w:right w:val="single" w:sz="4" w:space="0" w:color="auto"/>
            </w:tcBorders>
            <w:shd w:val="clear" w:color="auto" w:fill="auto"/>
            <w:noWrap/>
            <w:vAlign w:val="center"/>
            <w:hideMark/>
          </w:tcPr>
          <w:p w14:paraId="3F7E943A"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14:paraId="76094384"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r>
      <w:tr w:rsidR="000C1458" w:rsidRPr="005E2831" w14:paraId="427E7693" w14:textId="77777777" w:rsidTr="00AA0413">
        <w:trPr>
          <w:trHeight w:val="225"/>
        </w:trPr>
        <w:tc>
          <w:tcPr>
            <w:tcW w:w="704" w:type="dxa"/>
            <w:vMerge/>
            <w:tcBorders>
              <w:top w:val="nil"/>
              <w:left w:val="single" w:sz="4" w:space="0" w:color="auto"/>
              <w:bottom w:val="single" w:sz="4" w:space="0" w:color="000000"/>
              <w:right w:val="single" w:sz="4" w:space="0" w:color="auto"/>
            </w:tcBorders>
            <w:vAlign w:val="center"/>
            <w:hideMark/>
          </w:tcPr>
          <w:p w14:paraId="556DA795"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p>
        </w:tc>
        <w:tc>
          <w:tcPr>
            <w:tcW w:w="1747" w:type="dxa"/>
            <w:tcBorders>
              <w:top w:val="nil"/>
              <w:left w:val="nil"/>
              <w:bottom w:val="single" w:sz="4" w:space="0" w:color="auto"/>
              <w:right w:val="single" w:sz="4" w:space="0" w:color="auto"/>
            </w:tcBorders>
            <w:shd w:val="clear" w:color="auto" w:fill="00B050"/>
            <w:noWrap/>
            <w:vAlign w:val="center"/>
            <w:hideMark/>
          </w:tcPr>
          <w:p w14:paraId="6AC2EF12"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Dobry</w:t>
            </w:r>
          </w:p>
        </w:tc>
        <w:tc>
          <w:tcPr>
            <w:tcW w:w="571" w:type="dxa"/>
            <w:tcBorders>
              <w:top w:val="nil"/>
              <w:left w:val="nil"/>
              <w:bottom w:val="single" w:sz="4" w:space="0" w:color="auto"/>
              <w:right w:val="single" w:sz="4" w:space="0" w:color="auto"/>
            </w:tcBorders>
            <w:shd w:val="clear" w:color="auto" w:fill="auto"/>
            <w:noWrap/>
            <w:vAlign w:val="center"/>
            <w:hideMark/>
          </w:tcPr>
          <w:p w14:paraId="535A6D9D"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36</w:t>
            </w:r>
          </w:p>
        </w:tc>
        <w:tc>
          <w:tcPr>
            <w:tcW w:w="565" w:type="dxa"/>
            <w:tcBorders>
              <w:top w:val="nil"/>
              <w:left w:val="nil"/>
              <w:bottom w:val="single" w:sz="4" w:space="0" w:color="auto"/>
              <w:right w:val="single" w:sz="4" w:space="0" w:color="auto"/>
            </w:tcBorders>
            <w:shd w:val="clear" w:color="auto" w:fill="auto"/>
            <w:noWrap/>
            <w:vAlign w:val="center"/>
            <w:hideMark/>
          </w:tcPr>
          <w:p w14:paraId="4F2C0556"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37</w:t>
            </w:r>
          </w:p>
        </w:tc>
        <w:tc>
          <w:tcPr>
            <w:tcW w:w="789" w:type="dxa"/>
            <w:tcBorders>
              <w:top w:val="nil"/>
              <w:left w:val="nil"/>
              <w:bottom w:val="single" w:sz="4" w:space="0" w:color="auto"/>
              <w:right w:val="single" w:sz="4" w:space="0" w:color="auto"/>
            </w:tcBorders>
            <w:shd w:val="clear" w:color="auto" w:fill="auto"/>
            <w:noWrap/>
            <w:vAlign w:val="center"/>
            <w:hideMark/>
          </w:tcPr>
          <w:p w14:paraId="66D5A442"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643" w:type="dxa"/>
            <w:tcBorders>
              <w:top w:val="nil"/>
              <w:left w:val="nil"/>
              <w:bottom w:val="single" w:sz="4" w:space="0" w:color="auto"/>
              <w:right w:val="single" w:sz="4" w:space="0" w:color="auto"/>
            </w:tcBorders>
            <w:shd w:val="clear" w:color="auto" w:fill="auto"/>
            <w:noWrap/>
            <w:vAlign w:val="center"/>
            <w:hideMark/>
          </w:tcPr>
          <w:p w14:paraId="2D0B6706"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930" w:type="dxa"/>
            <w:tcBorders>
              <w:top w:val="nil"/>
              <w:left w:val="nil"/>
              <w:bottom w:val="single" w:sz="4" w:space="0" w:color="auto"/>
              <w:right w:val="single" w:sz="4" w:space="0" w:color="auto"/>
            </w:tcBorders>
            <w:shd w:val="clear" w:color="auto" w:fill="auto"/>
            <w:noWrap/>
            <w:vAlign w:val="center"/>
            <w:hideMark/>
          </w:tcPr>
          <w:p w14:paraId="297C0C00"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567" w:type="dxa"/>
            <w:tcBorders>
              <w:top w:val="nil"/>
              <w:left w:val="nil"/>
              <w:bottom w:val="single" w:sz="4" w:space="0" w:color="auto"/>
              <w:right w:val="single" w:sz="4" w:space="0" w:color="auto"/>
            </w:tcBorders>
            <w:shd w:val="clear" w:color="auto" w:fill="auto"/>
            <w:noWrap/>
            <w:vAlign w:val="center"/>
            <w:hideMark/>
          </w:tcPr>
          <w:p w14:paraId="16E52608"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14:paraId="6FF0C610"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709" w:type="dxa"/>
            <w:tcBorders>
              <w:top w:val="nil"/>
              <w:left w:val="nil"/>
              <w:bottom w:val="single" w:sz="4" w:space="0" w:color="auto"/>
              <w:right w:val="single" w:sz="4" w:space="0" w:color="auto"/>
            </w:tcBorders>
            <w:shd w:val="clear" w:color="auto" w:fill="auto"/>
            <w:noWrap/>
            <w:vAlign w:val="center"/>
            <w:hideMark/>
          </w:tcPr>
          <w:p w14:paraId="02EB46C2"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709" w:type="dxa"/>
            <w:tcBorders>
              <w:top w:val="nil"/>
              <w:left w:val="nil"/>
              <w:bottom w:val="single" w:sz="4" w:space="0" w:color="auto"/>
              <w:right w:val="single" w:sz="4" w:space="0" w:color="auto"/>
            </w:tcBorders>
            <w:shd w:val="clear" w:color="auto" w:fill="auto"/>
            <w:noWrap/>
            <w:vAlign w:val="center"/>
            <w:hideMark/>
          </w:tcPr>
          <w:p w14:paraId="1706262B"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14:paraId="61F3011C"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73</w:t>
            </w:r>
          </w:p>
        </w:tc>
      </w:tr>
      <w:tr w:rsidR="000C1458" w:rsidRPr="005E2831" w14:paraId="73FD94FA" w14:textId="77777777" w:rsidTr="00D61CF7">
        <w:trPr>
          <w:trHeight w:val="225"/>
        </w:trPr>
        <w:tc>
          <w:tcPr>
            <w:tcW w:w="704" w:type="dxa"/>
            <w:vMerge/>
            <w:tcBorders>
              <w:top w:val="nil"/>
              <w:left w:val="single" w:sz="4" w:space="0" w:color="auto"/>
              <w:bottom w:val="single" w:sz="4" w:space="0" w:color="000000"/>
              <w:right w:val="single" w:sz="4" w:space="0" w:color="auto"/>
            </w:tcBorders>
            <w:vAlign w:val="center"/>
            <w:hideMark/>
          </w:tcPr>
          <w:p w14:paraId="0897B25B"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p>
        </w:tc>
        <w:tc>
          <w:tcPr>
            <w:tcW w:w="1747" w:type="dxa"/>
            <w:tcBorders>
              <w:top w:val="nil"/>
              <w:left w:val="nil"/>
              <w:bottom w:val="single" w:sz="4" w:space="0" w:color="auto"/>
              <w:right w:val="single" w:sz="4" w:space="0" w:color="auto"/>
            </w:tcBorders>
            <w:shd w:val="clear" w:color="auto" w:fill="FFFF00"/>
            <w:noWrap/>
            <w:vAlign w:val="center"/>
            <w:hideMark/>
          </w:tcPr>
          <w:p w14:paraId="3EA21571"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Umiarkowany</w:t>
            </w:r>
          </w:p>
        </w:tc>
        <w:tc>
          <w:tcPr>
            <w:tcW w:w="571" w:type="dxa"/>
            <w:tcBorders>
              <w:top w:val="nil"/>
              <w:left w:val="nil"/>
              <w:bottom w:val="single" w:sz="4" w:space="0" w:color="auto"/>
              <w:right w:val="single" w:sz="4" w:space="0" w:color="auto"/>
            </w:tcBorders>
            <w:shd w:val="clear" w:color="auto" w:fill="auto"/>
            <w:noWrap/>
            <w:vAlign w:val="center"/>
            <w:hideMark/>
          </w:tcPr>
          <w:p w14:paraId="6B1D555B"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225</w:t>
            </w:r>
          </w:p>
        </w:tc>
        <w:tc>
          <w:tcPr>
            <w:tcW w:w="565" w:type="dxa"/>
            <w:tcBorders>
              <w:top w:val="nil"/>
              <w:left w:val="nil"/>
              <w:bottom w:val="single" w:sz="4" w:space="0" w:color="auto"/>
              <w:right w:val="single" w:sz="4" w:space="0" w:color="auto"/>
            </w:tcBorders>
            <w:shd w:val="clear" w:color="auto" w:fill="auto"/>
            <w:noWrap/>
            <w:vAlign w:val="center"/>
            <w:hideMark/>
          </w:tcPr>
          <w:p w14:paraId="5F6084EF"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237</w:t>
            </w:r>
          </w:p>
        </w:tc>
        <w:tc>
          <w:tcPr>
            <w:tcW w:w="789" w:type="dxa"/>
            <w:tcBorders>
              <w:top w:val="nil"/>
              <w:left w:val="nil"/>
              <w:bottom w:val="single" w:sz="4" w:space="0" w:color="auto"/>
              <w:right w:val="single" w:sz="4" w:space="0" w:color="auto"/>
            </w:tcBorders>
            <w:shd w:val="clear" w:color="auto" w:fill="auto"/>
            <w:noWrap/>
            <w:vAlign w:val="center"/>
            <w:hideMark/>
          </w:tcPr>
          <w:p w14:paraId="14D8AEDA"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643" w:type="dxa"/>
            <w:tcBorders>
              <w:top w:val="nil"/>
              <w:left w:val="nil"/>
              <w:bottom w:val="single" w:sz="4" w:space="0" w:color="auto"/>
              <w:right w:val="single" w:sz="4" w:space="0" w:color="auto"/>
            </w:tcBorders>
            <w:shd w:val="clear" w:color="auto" w:fill="auto"/>
            <w:noWrap/>
            <w:vAlign w:val="center"/>
            <w:hideMark/>
          </w:tcPr>
          <w:p w14:paraId="57B8957F"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2</w:t>
            </w:r>
          </w:p>
        </w:tc>
        <w:tc>
          <w:tcPr>
            <w:tcW w:w="930" w:type="dxa"/>
            <w:tcBorders>
              <w:top w:val="nil"/>
              <w:left w:val="nil"/>
              <w:bottom w:val="single" w:sz="4" w:space="0" w:color="auto"/>
              <w:right w:val="single" w:sz="4" w:space="0" w:color="auto"/>
            </w:tcBorders>
            <w:shd w:val="clear" w:color="auto" w:fill="auto"/>
            <w:noWrap/>
            <w:vAlign w:val="center"/>
            <w:hideMark/>
          </w:tcPr>
          <w:p w14:paraId="5F4BFABB"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567" w:type="dxa"/>
            <w:tcBorders>
              <w:top w:val="nil"/>
              <w:left w:val="nil"/>
              <w:bottom w:val="single" w:sz="4" w:space="0" w:color="auto"/>
              <w:right w:val="single" w:sz="4" w:space="0" w:color="auto"/>
            </w:tcBorders>
            <w:shd w:val="clear" w:color="auto" w:fill="auto"/>
            <w:noWrap/>
            <w:vAlign w:val="center"/>
            <w:hideMark/>
          </w:tcPr>
          <w:p w14:paraId="00DED0B9"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14:paraId="7EF9F530"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709" w:type="dxa"/>
            <w:tcBorders>
              <w:top w:val="nil"/>
              <w:left w:val="nil"/>
              <w:bottom w:val="single" w:sz="4" w:space="0" w:color="auto"/>
              <w:right w:val="single" w:sz="4" w:space="0" w:color="auto"/>
            </w:tcBorders>
            <w:shd w:val="clear" w:color="auto" w:fill="auto"/>
            <w:noWrap/>
            <w:vAlign w:val="center"/>
            <w:hideMark/>
          </w:tcPr>
          <w:p w14:paraId="5640242E"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709" w:type="dxa"/>
            <w:tcBorders>
              <w:top w:val="nil"/>
              <w:left w:val="nil"/>
              <w:bottom w:val="single" w:sz="4" w:space="0" w:color="auto"/>
              <w:right w:val="single" w:sz="4" w:space="0" w:color="auto"/>
            </w:tcBorders>
            <w:shd w:val="clear" w:color="auto" w:fill="auto"/>
            <w:noWrap/>
            <w:vAlign w:val="center"/>
            <w:hideMark/>
          </w:tcPr>
          <w:p w14:paraId="75B8D3BF"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14:paraId="4EA03AD3"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464</w:t>
            </w:r>
          </w:p>
        </w:tc>
      </w:tr>
      <w:tr w:rsidR="000C1458" w:rsidRPr="005E2831" w14:paraId="2764661B" w14:textId="77777777" w:rsidTr="00AA0413">
        <w:trPr>
          <w:trHeight w:val="225"/>
        </w:trPr>
        <w:tc>
          <w:tcPr>
            <w:tcW w:w="704" w:type="dxa"/>
            <w:vMerge/>
            <w:tcBorders>
              <w:top w:val="nil"/>
              <w:left w:val="single" w:sz="4" w:space="0" w:color="auto"/>
              <w:bottom w:val="single" w:sz="4" w:space="0" w:color="000000"/>
              <w:right w:val="single" w:sz="4" w:space="0" w:color="auto"/>
            </w:tcBorders>
            <w:vAlign w:val="center"/>
            <w:hideMark/>
          </w:tcPr>
          <w:p w14:paraId="62494357"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p>
        </w:tc>
        <w:tc>
          <w:tcPr>
            <w:tcW w:w="1747" w:type="dxa"/>
            <w:tcBorders>
              <w:top w:val="nil"/>
              <w:left w:val="nil"/>
              <w:bottom w:val="single" w:sz="4" w:space="0" w:color="auto"/>
              <w:right w:val="single" w:sz="4" w:space="0" w:color="auto"/>
            </w:tcBorders>
            <w:shd w:val="clear" w:color="auto" w:fill="FFC000"/>
            <w:noWrap/>
            <w:vAlign w:val="center"/>
            <w:hideMark/>
          </w:tcPr>
          <w:p w14:paraId="2FA938A6"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Słaby</w:t>
            </w:r>
          </w:p>
        </w:tc>
        <w:tc>
          <w:tcPr>
            <w:tcW w:w="571" w:type="dxa"/>
            <w:tcBorders>
              <w:top w:val="nil"/>
              <w:left w:val="nil"/>
              <w:bottom w:val="single" w:sz="4" w:space="0" w:color="auto"/>
              <w:right w:val="single" w:sz="4" w:space="0" w:color="auto"/>
            </w:tcBorders>
            <w:shd w:val="clear" w:color="auto" w:fill="auto"/>
            <w:noWrap/>
            <w:vAlign w:val="center"/>
            <w:hideMark/>
          </w:tcPr>
          <w:p w14:paraId="09EEFC31"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150</w:t>
            </w:r>
          </w:p>
        </w:tc>
        <w:tc>
          <w:tcPr>
            <w:tcW w:w="565" w:type="dxa"/>
            <w:tcBorders>
              <w:top w:val="nil"/>
              <w:left w:val="nil"/>
              <w:bottom w:val="single" w:sz="4" w:space="0" w:color="auto"/>
              <w:right w:val="single" w:sz="4" w:space="0" w:color="auto"/>
            </w:tcBorders>
            <w:shd w:val="clear" w:color="auto" w:fill="auto"/>
            <w:noWrap/>
            <w:vAlign w:val="center"/>
            <w:hideMark/>
          </w:tcPr>
          <w:p w14:paraId="304DAD02"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171</w:t>
            </w:r>
          </w:p>
        </w:tc>
        <w:tc>
          <w:tcPr>
            <w:tcW w:w="789" w:type="dxa"/>
            <w:tcBorders>
              <w:top w:val="nil"/>
              <w:left w:val="nil"/>
              <w:bottom w:val="single" w:sz="4" w:space="0" w:color="auto"/>
              <w:right w:val="single" w:sz="4" w:space="0" w:color="auto"/>
            </w:tcBorders>
            <w:shd w:val="clear" w:color="auto" w:fill="auto"/>
            <w:noWrap/>
            <w:vAlign w:val="center"/>
            <w:hideMark/>
          </w:tcPr>
          <w:p w14:paraId="2EF2EAF6"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643" w:type="dxa"/>
            <w:tcBorders>
              <w:top w:val="nil"/>
              <w:left w:val="nil"/>
              <w:bottom w:val="single" w:sz="4" w:space="0" w:color="auto"/>
              <w:right w:val="single" w:sz="4" w:space="0" w:color="auto"/>
            </w:tcBorders>
            <w:shd w:val="clear" w:color="auto" w:fill="auto"/>
            <w:noWrap/>
            <w:vAlign w:val="center"/>
            <w:hideMark/>
          </w:tcPr>
          <w:p w14:paraId="382CB2EA"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930" w:type="dxa"/>
            <w:tcBorders>
              <w:top w:val="nil"/>
              <w:left w:val="nil"/>
              <w:bottom w:val="single" w:sz="4" w:space="0" w:color="auto"/>
              <w:right w:val="single" w:sz="4" w:space="0" w:color="auto"/>
            </w:tcBorders>
            <w:shd w:val="clear" w:color="auto" w:fill="auto"/>
            <w:noWrap/>
            <w:vAlign w:val="center"/>
            <w:hideMark/>
          </w:tcPr>
          <w:p w14:paraId="25D882CB"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567" w:type="dxa"/>
            <w:tcBorders>
              <w:top w:val="nil"/>
              <w:left w:val="nil"/>
              <w:bottom w:val="single" w:sz="4" w:space="0" w:color="auto"/>
              <w:right w:val="single" w:sz="4" w:space="0" w:color="auto"/>
            </w:tcBorders>
            <w:shd w:val="clear" w:color="auto" w:fill="auto"/>
            <w:noWrap/>
            <w:vAlign w:val="center"/>
            <w:hideMark/>
          </w:tcPr>
          <w:p w14:paraId="7E1E59AB"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14:paraId="6D62F09A"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w:t>
            </w:r>
          </w:p>
        </w:tc>
        <w:tc>
          <w:tcPr>
            <w:tcW w:w="709" w:type="dxa"/>
            <w:tcBorders>
              <w:top w:val="nil"/>
              <w:left w:val="nil"/>
              <w:bottom w:val="single" w:sz="4" w:space="0" w:color="auto"/>
              <w:right w:val="single" w:sz="4" w:space="0" w:color="auto"/>
            </w:tcBorders>
            <w:shd w:val="clear" w:color="auto" w:fill="auto"/>
            <w:noWrap/>
            <w:vAlign w:val="center"/>
            <w:hideMark/>
          </w:tcPr>
          <w:p w14:paraId="07B52AFA"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709" w:type="dxa"/>
            <w:tcBorders>
              <w:top w:val="nil"/>
              <w:left w:val="nil"/>
              <w:bottom w:val="single" w:sz="4" w:space="0" w:color="auto"/>
              <w:right w:val="single" w:sz="4" w:space="0" w:color="auto"/>
            </w:tcBorders>
            <w:shd w:val="clear" w:color="auto" w:fill="auto"/>
            <w:noWrap/>
            <w:vAlign w:val="center"/>
            <w:hideMark/>
          </w:tcPr>
          <w:p w14:paraId="4C3E6301"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14:paraId="10690152"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322</w:t>
            </w:r>
          </w:p>
        </w:tc>
      </w:tr>
      <w:tr w:rsidR="000C1458" w:rsidRPr="005E2831" w14:paraId="75C6BA57" w14:textId="77777777" w:rsidTr="00AA0413">
        <w:trPr>
          <w:trHeight w:val="225"/>
        </w:trPr>
        <w:tc>
          <w:tcPr>
            <w:tcW w:w="704" w:type="dxa"/>
            <w:vMerge/>
            <w:tcBorders>
              <w:top w:val="nil"/>
              <w:left w:val="single" w:sz="4" w:space="0" w:color="auto"/>
              <w:bottom w:val="single" w:sz="4" w:space="0" w:color="000000"/>
              <w:right w:val="single" w:sz="4" w:space="0" w:color="auto"/>
            </w:tcBorders>
            <w:vAlign w:val="center"/>
            <w:hideMark/>
          </w:tcPr>
          <w:p w14:paraId="51ADDFF1"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p>
        </w:tc>
        <w:tc>
          <w:tcPr>
            <w:tcW w:w="1747" w:type="dxa"/>
            <w:tcBorders>
              <w:top w:val="nil"/>
              <w:left w:val="nil"/>
              <w:bottom w:val="single" w:sz="4" w:space="0" w:color="auto"/>
              <w:right w:val="single" w:sz="4" w:space="0" w:color="auto"/>
            </w:tcBorders>
            <w:shd w:val="clear" w:color="auto" w:fill="FF0000"/>
            <w:noWrap/>
            <w:vAlign w:val="center"/>
            <w:hideMark/>
          </w:tcPr>
          <w:p w14:paraId="1674FAFE"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Zły</w:t>
            </w:r>
          </w:p>
        </w:tc>
        <w:tc>
          <w:tcPr>
            <w:tcW w:w="571" w:type="dxa"/>
            <w:tcBorders>
              <w:top w:val="nil"/>
              <w:left w:val="nil"/>
              <w:bottom w:val="single" w:sz="4" w:space="0" w:color="auto"/>
              <w:right w:val="single" w:sz="4" w:space="0" w:color="auto"/>
            </w:tcBorders>
            <w:shd w:val="clear" w:color="auto" w:fill="auto"/>
            <w:noWrap/>
            <w:vAlign w:val="center"/>
            <w:hideMark/>
          </w:tcPr>
          <w:p w14:paraId="20CD9EF8"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55</w:t>
            </w:r>
          </w:p>
        </w:tc>
        <w:tc>
          <w:tcPr>
            <w:tcW w:w="565" w:type="dxa"/>
            <w:tcBorders>
              <w:top w:val="nil"/>
              <w:left w:val="nil"/>
              <w:bottom w:val="single" w:sz="4" w:space="0" w:color="auto"/>
              <w:right w:val="single" w:sz="4" w:space="0" w:color="auto"/>
            </w:tcBorders>
            <w:shd w:val="clear" w:color="auto" w:fill="auto"/>
            <w:noWrap/>
            <w:vAlign w:val="center"/>
            <w:hideMark/>
          </w:tcPr>
          <w:p w14:paraId="0B584885"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84</w:t>
            </w:r>
          </w:p>
        </w:tc>
        <w:tc>
          <w:tcPr>
            <w:tcW w:w="789" w:type="dxa"/>
            <w:tcBorders>
              <w:top w:val="nil"/>
              <w:left w:val="nil"/>
              <w:bottom w:val="single" w:sz="4" w:space="0" w:color="auto"/>
              <w:right w:val="single" w:sz="4" w:space="0" w:color="auto"/>
            </w:tcBorders>
            <w:shd w:val="clear" w:color="auto" w:fill="auto"/>
            <w:noWrap/>
            <w:vAlign w:val="center"/>
            <w:hideMark/>
          </w:tcPr>
          <w:p w14:paraId="54E2C12D"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643" w:type="dxa"/>
            <w:tcBorders>
              <w:top w:val="nil"/>
              <w:left w:val="nil"/>
              <w:bottom w:val="single" w:sz="4" w:space="0" w:color="auto"/>
              <w:right w:val="single" w:sz="4" w:space="0" w:color="auto"/>
            </w:tcBorders>
            <w:shd w:val="clear" w:color="auto" w:fill="auto"/>
            <w:noWrap/>
            <w:vAlign w:val="center"/>
            <w:hideMark/>
          </w:tcPr>
          <w:p w14:paraId="1A19B14B"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930" w:type="dxa"/>
            <w:tcBorders>
              <w:top w:val="nil"/>
              <w:left w:val="nil"/>
              <w:bottom w:val="single" w:sz="4" w:space="0" w:color="auto"/>
              <w:right w:val="single" w:sz="4" w:space="0" w:color="auto"/>
            </w:tcBorders>
            <w:shd w:val="clear" w:color="auto" w:fill="auto"/>
            <w:noWrap/>
            <w:vAlign w:val="center"/>
            <w:hideMark/>
          </w:tcPr>
          <w:p w14:paraId="66B34AD5"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567" w:type="dxa"/>
            <w:tcBorders>
              <w:top w:val="nil"/>
              <w:left w:val="nil"/>
              <w:bottom w:val="single" w:sz="4" w:space="0" w:color="auto"/>
              <w:right w:val="single" w:sz="4" w:space="0" w:color="auto"/>
            </w:tcBorders>
            <w:shd w:val="clear" w:color="auto" w:fill="auto"/>
            <w:noWrap/>
            <w:vAlign w:val="center"/>
            <w:hideMark/>
          </w:tcPr>
          <w:p w14:paraId="074ABD40"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14:paraId="594AFAFE"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709" w:type="dxa"/>
            <w:tcBorders>
              <w:top w:val="nil"/>
              <w:left w:val="nil"/>
              <w:bottom w:val="single" w:sz="4" w:space="0" w:color="auto"/>
              <w:right w:val="single" w:sz="4" w:space="0" w:color="auto"/>
            </w:tcBorders>
            <w:shd w:val="clear" w:color="auto" w:fill="auto"/>
            <w:noWrap/>
            <w:vAlign w:val="center"/>
            <w:hideMark/>
          </w:tcPr>
          <w:p w14:paraId="2C8BCBB3"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w:t>
            </w:r>
          </w:p>
        </w:tc>
        <w:tc>
          <w:tcPr>
            <w:tcW w:w="709" w:type="dxa"/>
            <w:tcBorders>
              <w:top w:val="nil"/>
              <w:left w:val="nil"/>
              <w:bottom w:val="single" w:sz="4" w:space="0" w:color="auto"/>
              <w:right w:val="single" w:sz="4" w:space="0" w:color="auto"/>
            </w:tcBorders>
            <w:shd w:val="clear" w:color="auto" w:fill="auto"/>
            <w:noWrap/>
            <w:vAlign w:val="center"/>
            <w:hideMark/>
          </w:tcPr>
          <w:p w14:paraId="0A125B50"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14:paraId="7D45B1E6"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140</w:t>
            </w:r>
          </w:p>
        </w:tc>
      </w:tr>
      <w:tr w:rsidR="000C1458" w:rsidRPr="005E2831" w14:paraId="049F57DD" w14:textId="77777777" w:rsidTr="004E37F6">
        <w:trPr>
          <w:trHeight w:val="633"/>
        </w:trPr>
        <w:tc>
          <w:tcPr>
            <w:tcW w:w="704" w:type="dxa"/>
            <w:vMerge/>
            <w:tcBorders>
              <w:top w:val="nil"/>
              <w:left w:val="single" w:sz="4" w:space="0" w:color="auto"/>
              <w:bottom w:val="single" w:sz="4" w:space="0" w:color="000000"/>
              <w:right w:val="single" w:sz="4" w:space="0" w:color="auto"/>
            </w:tcBorders>
            <w:vAlign w:val="center"/>
            <w:hideMark/>
          </w:tcPr>
          <w:p w14:paraId="63E78A1F"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p>
        </w:tc>
        <w:tc>
          <w:tcPr>
            <w:tcW w:w="1747" w:type="dxa"/>
            <w:tcBorders>
              <w:top w:val="nil"/>
              <w:left w:val="nil"/>
              <w:bottom w:val="single" w:sz="4" w:space="0" w:color="auto"/>
              <w:right w:val="single" w:sz="4" w:space="0" w:color="auto"/>
            </w:tcBorders>
            <w:shd w:val="clear" w:color="000000" w:fill="BFBFBF"/>
            <w:vAlign w:val="center"/>
            <w:hideMark/>
          </w:tcPr>
          <w:p w14:paraId="44AAC478"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 xml:space="preserve">Liczba silnie zmienionych </w:t>
            </w:r>
            <w:proofErr w:type="spellStart"/>
            <w:r w:rsidRPr="00B05424">
              <w:rPr>
                <w:rFonts w:ascii="Times New Roman" w:eastAsia="Times New Roman" w:hAnsi="Times New Roman" w:cs="Times New Roman"/>
                <w:color w:val="000000"/>
                <w:sz w:val="18"/>
                <w:szCs w:val="20"/>
                <w:lang w:eastAsia="pl-PL"/>
              </w:rPr>
              <w:t>jcwp</w:t>
            </w:r>
            <w:proofErr w:type="spellEnd"/>
            <w:r w:rsidRPr="00B05424">
              <w:rPr>
                <w:rFonts w:ascii="Times New Roman" w:eastAsia="Times New Roman" w:hAnsi="Times New Roman" w:cs="Times New Roman"/>
                <w:color w:val="000000"/>
                <w:sz w:val="18"/>
                <w:szCs w:val="20"/>
                <w:lang w:eastAsia="pl-PL"/>
              </w:rPr>
              <w:t xml:space="preserve"> sklasyfikowanych</w:t>
            </w:r>
          </w:p>
        </w:tc>
        <w:tc>
          <w:tcPr>
            <w:tcW w:w="571" w:type="dxa"/>
            <w:tcBorders>
              <w:top w:val="nil"/>
              <w:left w:val="nil"/>
              <w:bottom w:val="single" w:sz="4" w:space="0" w:color="auto"/>
              <w:right w:val="single" w:sz="4" w:space="0" w:color="auto"/>
            </w:tcBorders>
            <w:shd w:val="clear" w:color="auto" w:fill="auto"/>
            <w:noWrap/>
            <w:vAlign w:val="center"/>
            <w:hideMark/>
          </w:tcPr>
          <w:p w14:paraId="663FF713"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466</w:t>
            </w:r>
          </w:p>
        </w:tc>
        <w:tc>
          <w:tcPr>
            <w:tcW w:w="565" w:type="dxa"/>
            <w:tcBorders>
              <w:top w:val="nil"/>
              <w:left w:val="nil"/>
              <w:bottom w:val="single" w:sz="4" w:space="0" w:color="auto"/>
              <w:right w:val="single" w:sz="4" w:space="0" w:color="auto"/>
            </w:tcBorders>
            <w:shd w:val="clear" w:color="auto" w:fill="auto"/>
            <w:noWrap/>
            <w:vAlign w:val="center"/>
            <w:hideMark/>
          </w:tcPr>
          <w:p w14:paraId="3EF678AE"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529</w:t>
            </w:r>
          </w:p>
        </w:tc>
        <w:tc>
          <w:tcPr>
            <w:tcW w:w="789" w:type="dxa"/>
            <w:tcBorders>
              <w:top w:val="nil"/>
              <w:left w:val="nil"/>
              <w:bottom w:val="single" w:sz="4" w:space="0" w:color="auto"/>
              <w:right w:val="single" w:sz="4" w:space="0" w:color="auto"/>
            </w:tcBorders>
            <w:shd w:val="clear" w:color="auto" w:fill="auto"/>
            <w:noWrap/>
            <w:vAlign w:val="center"/>
            <w:hideMark/>
          </w:tcPr>
          <w:p w14:paraId="108090D1"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643" w:type="dxa"/>
            <w:tcBorders>
              <w:top w:val="nil"/>
              <w:left w:val="nil"/>
              <w:bottom w:val="single" w:sz="4" w:space="0" w:color="auto"/>
              <w:right w:val="single" w:sz="4" w:space="0" w:color="auto"/>
            </w:tcBorders>
            <w:shd w:val="clear" w:color="auto" w:fill="auto"/>
            <w:noWrap/>
            <w:vAlign w:val="center"/>
            <w:hideMark/>
          </w:tcPr>
          <w:p w14:paraId="2F406117"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2</w:t>
            </w:r>
          </w:p>
        </w:tc>
        <w:tc>
          <w:tcPr>
            <w:tcW w:w="930" w:type="dxa"/>
            <w:tcBorders>
              <w:top w:val="nil"/>
              <w:left w:val="nil"/>
              <w:bottom w:val="single" w:sz="4" w:space="0" w:color="auto"/>
              <w:right w:val="single" w:sz="4" w:space="0" w:color="auto"/>
            </w:tcBorders>
            <w:shd w:val="clear" w:color="auto" w:fill="auto"/>
            <w:noWrap/>
            <w:vAlign w:val="center"/>
            <w:hideMark/>
          </w:tcPr>
          <w:p w14:paraId="53D98DEA"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567" w:type="dxa"/>
            <w:tcBorders>
              <w:top w:val="nil"/>
              <w:left w:val="nil"/>
              <w:bottom w:val="single" w:sz="4" w:space="0" w:color="auto"/>
              <w:right w:val="single" w:sz="4" w:space="0" w:color="auto"/>
            </w:tcBorders>
            <w:shd w:val="clear" w:color="auto" w:fill="auto"/>
            <w:noWrap/>
            <w:vAlign w:val="center"/>
            <w:hideMark/>
          </w:tcPr>
          <w:p w14:paraId="5C262CB0"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14:paraId="3F8D3E3E"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w:t>
            </w:r>
          </w:p>
        </w:tc>
        <w:tc>
          <w:tcPr>
            <w:tcW w:w="709" w:type="dxa"/>
            <w:tcBorders>
              <w:top w:val="nil"/>
              <w:left w:val="nil"/>
              <w:bottom w:val="single" w:sz="4" w:space="0" w:color="auto"/>
              <w:right w:val="single" w:sz="4" w:space="0" w:color="auto"/>
            </w:tcBorders>
            <w:shd w:val="clear" w:color="auto" w:fill="auto"/>
            <w:noWrap/>
            <w:vAlign w:val="center"/>
            <w:hideMark/>
          </w:tcPr>
          <w:p w14:paraId="2899B65A"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w:t>
            </w:r>
          </w:p>
        </w:tc>
        <w:tc>
          <w:tcPr>
            <w:tcW w:w="709" w:type="dxa"/>
            <w:tcBorders>
              <w:top w:val="nil"/>
              <w:left w:val="nil"/>
              <w:bottom w:val="single" w:sz="4" w:space="0" w:color="auto"/>
              <w:right w:val="single" w:sz="4" w:space="0" w:color="auto"/>
            </w:tcBorders>
            <w:shd w:val="clear" w:color="auto" w:fill="auto"/>
            <w:noWrap/>
            <w:vAlign w:val="center"/>
            <w:hideMark/>
          </w:tcPr>
          <w:p w14:paraId="2BF56EC4"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14:paraId="01A72767"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999</w:t>
            </w:r>
          </w:p>
        </w:tc>
      </w:tr>
      <w:tr w:rsidR="000C1458" w:rsidRPr="005E2831" w14:paraId="7D01AF38" w14:textId="77777777" w:rsidTr="004E37F6">
        <w:trPr>
          <w:trHeight w:val="557"/>
        </w:trPr>
        <w:tc>
          <w:tcPr>
            <w:tcW w:w="704" w:type="dxa"/>
            <w:vMerge/>
            <w:tcBorders>
              <w:top w:val="nil"/>
              <w:left w:val="single" w:sz="4" w:space="0" w:color="auto"/>
              <w:bottom w:val="single" w:sz="4" w:space="0" w:color="000000"/>
              <w:right w:val="single" w:sz="4" w:space="0" w:color="auto"/>
            </w:tcBorders>
            <w:vAlign w:val="center"/>
            <w:hideMark/>
          </w:tcPr>
          <w:p w14:paraId="6FFA6AA9"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p>
        </w:tc>
        <w:tc>
          <w:tcPr>
            <w:tcW w:w="1747" w:type="dxa"/>
            <w:tcBorders>
              <w:top w:val="nil"/>
              <w:left w:val="nil"/>
              <w:bottom w:val="single" w:sz="4" w:space="0" w:color="auto"/>
              <w:right w:val="single" w:sz="4" w:space="0" w:color="auto"/>
            </w:tcBorders>
            <w:shd w:val="clear" w:color="000000" w:fill="F2F2F2"/>
            <w:vAlign w:val="center"/>
            <w:hideMark/>
          </w:tcPr>
          <w:p w14:paraId="74DAD5A0"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 xml:space="preserve">Liczba silnie zmienionych </w:t>
            </w:r>
            <w:proofErr w:type="spellStart"/>
            <w:r w:rsidRPr="00B05424">
              <w:rPr>
                <w:rFonts w:ascii="Times New Roman" w:eastAsia="Times New Roman" w:hAnsi="Times New Roman" w:cs="Times New Roman"/>
                <w:color w:val="000000"/>
                <w:sz w:val="18"/>
                <w:szCs w:val="20"/>
                <w:lang w:eastAsia="pl-PL"/>
              </w:rPr>
              <w:t>jcwp</w:t>
            </w:r>
            <w:proofErr w:type="spellEnd"/>
            <w:r w:rsidRPr="00B05424">
              <w:rPr>
                <w:rFonts w:ascii="Times New Roman" w:eastAsia="Times New Roman" w:hAnsi="Times New Roman" w:cs="Times New Roman"/>
                <w:color w:val="000000"/>
                <w:sz w:val="18"/>
                <w:szCs w:val="20"/>
                <w:lang w:eastAsia="pl-PL"/>
              </w:rPr>
              <w:t xml:space="preserve"> niesklasyfikowanych</w:t>
            </w:r>
          </w:p>
        </w:tc>
        <w:tc>
          <w:tcPr>
            <w:tcW w:w="571" w:type="dxa"/>
            <w:tcBorders>
              <w:top w:val="nil"/>
              <w:left w:val="nil"/>
              <w:bottom w:val="single" w:sz="4" w:space="0" w:color="auto"/>
              <w:right w:val="single" w:sz="4" w:space="0" w:color="auto"/>
            </w:tcBorders>
            <w:shd w:val="clear" w:color="auto" w:fill="auto"/>
            <w:noWrap/>
            <w:vAlign w:val="center"/>
            <w:hideMark/>
          </w:tcPr>
          <w:p w14:paraId="0A426239"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9</w:t>
            </w:r>
          </w:p>
        </w:tc>
        <w:tc>
          <w:tcPr>
            <w:tcW w:w="565" w:type="dxa"/>
            <w:tcBorders>
              <w:top w:val="nil"/>
              <w:left w:val="nil"/>
              <w:bottom w:val="single" w:sz="4" w:space="0" w:color="auto"/>
              <w:right w:val="single" w:sz="4" w:space="0" w:color="auto"/>
            </w:tcBorders>
            <w:shd w:val="clear" w:color="auto" w:fill="auto"/>
            <w:noWrap/>
            <w:vAlign w:val="center"/>
            <w:hideMark/>
          </w:tcPr>
          <w:p w14:paraId="2FBEEB5E"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20</w:t>
            </w:r>
          </w:p>
        </w:tc>
        <w:tc>
          <w:tcPr>
            <w:tcW w:w="789" w:type="dxa"/>
            <w:tcBorders>
              <w:top w:val="nil"/>
              <w:left w:val="nil"/>
              <w:bottom w:val="single" w:sz="4" w:space="0" w:color="auto"/>
              <w:right w:val="single" w:sz="4" w:space="0" w:color="auto"/>
            </w:tcBorders>
            <w:shd w:val="clear" w:color="auto" w:fill="auto"/>
            <w:noWrap/>
            <w:vAlign w:val="center"/>
            <w:hideMark/>
          </w:tcPr>
          <w:p w14:paraId="4A5833A3"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643" w:type="dxa"/>
            <w:tcBorders>
              <w:top w:val="nil"/>
              <w:left w:val="nil"/>
              <w:bottom w:val="single" w:sz="4" w:space="0" w:color="auto"/>
              <w:right w:val="single" w:sz="4" w:space="0" w:color="auto"/>
            </w:tcBorders>
            <w:shd w:val="clear" w:color="auto" w:fill="auto"/>
            <w:noWrap/>
            <w:vAlign w:val="center"/>
            <w:hideMark/>
          </w:tcPr>
          <w:p w14:paraId="34C1E0C9"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930" w:type="dxa"/>
            <w:tcBorders>
              <w:top w:val="nil"/>
              <w:left w:val="nil"/>
              <w:bottom w:val="single" w:sz="4" w:space="0" w:color="auto"/>
              <w:right w:val="single" w:sz="4" w:space="0" w:color="auto"/>
            </w:tcBorders>
            <w:shd w:val="clear" w:color="auto" w:fill="auto"/>
            <w:noWrap/>
            <w:vAlign w:val="center"/>
            <w:hideMark/>
          </w:tcPr>
          <w:p w14:paraId="0CD9606E"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567" w:type="dxa"/>
            <w:tcBorders>
              <w:top w:val="nil"/>
              <w:left w:val="nil"/>
              <w:bottom w:val="single" w:sz="4" w:space="0" w:color="auto"/>
              <w:right w:val="single" w:sz="4" w:space="0" w:color="auto"/>
            </w:tcBorders>
            <w:shd w:val="clear" w:color="auto" w:fill="auto"/>
            <w:noWrap/>
            <w:vAlign w:val="center"/>
            <w:hideMark/>
          </w:tcPr>
          <w:p w14:paraId="0A551489"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14:paraId="7D018490"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709" w:type="dxa"/>
            <w:tcBorders>
              <w:top w:val="nil"/>
              <w:left w:val="nil"/>
              <w:bottom w:val="single" w:sz="4" w:space="0" w:color="auto"/>
              <w:right w:val="single" w:sz="4" w:space="0" w:color="auto"/>
            </w:tcBorders>
            <w:shd w:val="clear" w:color="auto" w:fill="auto"/>
            <w:noWrap/>
            <w:vAlign w:val="center"/>
            <w:hideMark/>
          </w:tcPr>
          <w:p w14:paraId="3E477C60"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w:t>
            </w:r>
          </w:p>
        </w:tc>
        <w:tc>
          <w:tcPr>
            <w:tcW w:w="709" w:type="dxa"/>
            <w:tcBorders>
              <w:top w:val="nil"/>
              <w:left w:val="nil"/>
              <w:bottom w:val="single" w:sz="4" w:space="0" w:color="auto"/>
              <w:right w:val="single" w:sz="4" w:space="0" w:color="auto"/>
            </w:tcBorders>
            <w:shd w:val="clear" w:color="auto" w:fill="auto"/>
            <w:noWrap/>
            <w:vAlign w:val="center"/>
            <w:hideMark/>
          </w:tcPr>
          <w:p w14:paraId="577B56A6"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14:paraId="31B80E19"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30</w:t>
            </w:r>
          </w:p>
        </w:tc>
      </w:tr>
      <w:tr w:rsidR="000C1458" w:rsidRPr="005E2831" w14:paraId="7782FE12" w14:textId="77777777" w:rsidTr="004E37F6">
        <w:trPr>
          <w:trHeight w:val="225"/>
        </w:trPr>
        <w:tc>
          <w:tcPr>
            <w:tcW w:w="704" w:type="dxa"/>
            <w:vMerge/>
            <w:tcBorders>
              <w:top w:val="nil"/>
              <w:left w:val="single" w:sz="4" w:space="0" w:color="auto"/>
              <w:bottom w:val="single" w:sz="4" w:space="0" w:color="000000"/>
              <w:right w:val="single" w:sz="4" w:space="0" w:color="auto"/>
            </w:tcBorders>
            <w:vAlign w:val="center"/>
            <w:hideMark/>
          </w:tcPr>
          <w:p w14:paraId="44ABE4E4"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p>
        </w:tc>
        <w:tc>
          <w:tcPr>
            <w:tcW w:w="1747" w:type="dxa"/>
            <w:tcBorders>
              <w:top w:val="nil"/>
              <w:left w:val="nil"/>
              <w:bottom w:val="single" w:sz="4" w:space="0" w:color="auto"/>
              <w:right w:val="single" w:sz="4" w:space="0" w:color="auto"/>
            </w:tcBorders>
            <w:shd w:val="clear" w:color="000000" w:fill="FFFFFF"/>
            <w:vAlign w:val="center"/>
            <w:hideMark/>
          </w:tcPr>
          <w:p w14:paraId="1178C7E3"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Łącznie</w:t>
            </w:r>
          </w:p>
        </w:tc>
        <w:tc>
          <w:tcPr>
            <w:tcW w:w="571" w:type="dxa"/>
            <w:tcBorders>
              <w:top w:val="nil"/>
              <w:left w:val="nil"/>
              <w:bottom w:val="single" w:sz="4" w:space="0" w:color="auto"/>
              <w:right w:val="single" w:sz="4" w:space="0" w:color="auto"/>
            </w:tcBorders>
            <w:shd w:val="clear" w:color="auto" w:fill="auto"/>
            <w:noWrap/>
            <w:vAlign w:val="center"/>
            <w:hideMark/>
          </w:tcPr>
          <w:p w14:paraId="619906C3"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475</w:t>
            </w:r>
          </w:p>
        </w:tc>
        <w:tc>
          <w:tcPr>
            <w:tcW w:w="565" w:type="dxa"/>
            <w:tcBorders>
              <w:top w:val="nil"/>
              <w:left w:val="nil"/>
              <w:bottom w:val="single" w:sz="4" w:space="0" w:color="auto"/>
              <w:right w:val="single" w:sz="4" w:space="0" w:color="auto"/>
            </w:tcBorders>
            <w:shd w:val="clear" w:color="auto" w:fill="auto"/>
            <w:noWrap/>
            <w:vAlign w:val="center"/>
            <w:hideMark/>
          </w:tcPr>
          <w:p w14:paraId="46A542A0"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549</w:t>
            </w:r>
          </w:p>
        </w:tc>
        <w:tc>
          <w:tcPr>
            <w:tcW w:w="789" w:type="dxa"/>
            <w:tcBorders>
              <w:top w:val="nil"/>
              <w:left w:val="nil"/>
              <w:bottom w:val="single" w:sz="4" w:space="0" w:color="auto"/>
              <w:right w:val="single" w:sz="4" w:space="0" w:color="auto"/>
            </w:tcBorders>
            <w:shd w:val="clear" w:color="auto" w:fill="auto"/>
            <w:noWrap/>
            <w:vAlign w:val="center"/>
            <w:hideMark/>
          </w:tcPr>
          <w:p w14:paraId="4CF9E185"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643" w:type="dxa"/>
            <w:tcBorders>
              <w:top w:val="nil"/>
              <w:left w:val="nil"/>
              <w:bottom w:val="single" w:sz="4" w:space="0" w:color="auto"/>
              <w:right w:val="single" w:sz="4" w:space="0" w:color="auto"/>
            </w:tcBorders>
            <w:shd w:val="clear" w:color="auto" w:fill="auto"/>
            <w:noWrap/>
            <w:vAlign w:val="center"/>
            <w:hideMark/>
          </w:tcPr>
          <w:p w14:paraId="294D8CA6"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2</w:t>
            </w:r>
          </w:p>
        </w:tc>
        <w:tc>
          <w:tcPr>
            <w:tcW w:w="930" w:type="dxa"/>
            <w:tcBorders>
              <w:top w:val="nil"/>
              <w:left w:val="nil"/>
              <w:bottom w:val="single" w:sz="4" w:space="0" w:color="auto"/>
              <w:right w:val="single" w:sz="4" w:space="0" w:color="auto"/>
            </w:tcBorders>
            <w:shd w:val="clear" w:color="auto" w:fill="auto"/>
            <w:noWrap/>
            <w:vAlign w:val="center"/>
            <w:hideMark/>
          </w:tcPr>
          <w:p w14:paraId="1F199446"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567" w:type="dxa"/>
            <w:tcBorders>
              <w:top w:val="nil"/>
              <w:left w:val="nil"/>
              <w:bottom w:val="single" w:sz="4" w:space="0" w:color="auto"/>
              <w:right w:val="single" w:sz="4" w:space="0" w:color="auto"/>
            </w:tcBorders>
            <w:shd w:val="clear" w:color="auto" w:fill="auto"/>
            <w:noWrap/>
            <w:vAlign w:val="center"/>
            <w:hideMark/>
          </w:tcPr>
          <w:p w14:paraId="3359FE59"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14:paraId="1E7F69A9"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w:t>
            </w:r>
          </w:p>
        </w:tc>
        <w:tc>
          <w:tcPr>
            <w:tcW w:w="709" w:type="dxa"/>
            <w:tcBorders>
              <w:top w:val="nil"/>
              <w:left w:val="nil"/>
              <w:bottom w:val="single" w:sz="4" w:space="0" w:color="auto"/>
              <w:right w:val="single" w:sz="4" w:space="0" w:color="auto"/>
            </w:tcBorders>
            <w:shd w:val="clear" w:color="auto" w:fill="auto"/>
            <w:noWrap/>
            <w:vAlign w:val="center"/>
            <w:hideMark/>
          </w:tcPr>
          <w:p w14:paraId="19053D42"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2</w:t>
            </w:r>
          </w:p>
        </w:tc>
        <w:tc>
          <w:tcPr>
            <w:tcW w:w="709" w:type="dxa"/>
            <w:tcBorders>
              <w:top w:val="nil"/>
              <w:left w:val="nil"/>
              <w:bottom w:val="single" w:sz="4" w:space="0" w:color="auto"/>
              <w:right w:val="single" w:sz="4" w:space="0" w:color="auto"/>
            </w:tcBorders>
            <w:shd w:val="clear" w:color="auto" w:fill="auto"/>
            <w:noWrap/>
            <w:vAlign w:val="center"/>
            <w:hideMark/>
          </w:tcPr>
          <w:p w14:paraId="790BBDAD"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14:paraId="52789899"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1029</w:t>
            </w:r>
          </w:p>
        </w:tc>
      </w:tr>
      <w:tr w:rsidR="000C1458" w:rsidRPr="005E2831" w14:paraId="4F4F113A" w14:textId="77777777" w:rsidTr="004E37F6">
        <w:trPr>
          <w:trHeight w:val="300"/>
        </w:trPr>
        <w:tc>
          <w:tcPr>
            <w:tcW w:w="704"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14:paraId="7759E63B"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Klasyfikacja</w:t>
            </w:r>
            <w:r w:rsidRPr="00B05424">
              <w:rPr>
                <w:rFonts w:ascii="Times New Roman" w:eastAsia="Times New Roman" w:hAnsi="Times New Roman" w:cs="Times New Roman"/>
                <w:color w:val="000000"/>
                <w:sz w:val="18"/>
                <w:szCs w:val="20"/>
                <w:lang w:eastAsia="pl-PL"/>
              </w:rPr>
              <w:br/>
              <w:t>stanu</w:t>
            </w:r>
            <w:r w:rsidRPr="00B05424">
              <w:rPr>
                <w:rFonts w:ascii="Times New Roman" w:eastAsia="Times New Roman" w:hAnsi="Times New Roman" w:cs="Times New Roman"/>
                <w:color w:val="000000"/>
                <w:sz w:val="18"/>
                <w:szCs w:val="20"/>
                <w:lang w:eastAsia="pl-PL"/>
              </w:rPr>
              <w:br/>
              <w:t>chemicznego</w:t>
            </w:r>
          </w:p>
        </w:tc>
        <w:tc>
          <w:tcPr>
            <w:tcW w:w="1747" w:type="dxa"/>
            <w:tcBorders>
              <w:top w:val="nil"/>
              <w:left w:val="nil"/>
              <w:bottom w:val="single" w:sz="4" w:space="0" w:color="auto"/>
              <w:right w:val="single" w:sz="4" w:space="0" w:color="auto"/>
            </w:tcBorders>
            <w:shd w:val="clear" w:color="000000" w:fill="00B0F0"/>
            <w:vAlign w:val="center"/>
            <w:hideMark/>
          </w:tcPr>
          <w:p w14:paraId="4EE262A3"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Dobry</w:t>
            </w:r>
          </w:p>
        </w:tc>
        <w:tc>
          <w:tcPr>
            <w:tcW w:w="571" w:type="dxa"/>
            <w:tcBorders>
              <w:top w:val="nil"/>
              <w:left w:val="nil"/>
              <w:bottom w:val="single" w:sz="4" w:space="0" w:color="auto"/>
              <w:right w:val="single" w:sz="4" w:space="0" w:color="auto"/>
            </w:tcBorders>
            <w:shd w:val="clear" w:color="auto" w:fill="auto"/>
            <w:noWrap/>
            <w:vAlign w:val="center"/>
            <w:hideMark/>
          </w:tcPr>
          <w:p w14:paraId="5DEEF522"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219</w:t>
            </w:r>
          </w:p>
        </w:tc>
        <w:tc>
          <w:tcPr>
            <w:tcW w:w="565" w:type="dxa"/>
            <w:tcBorders>
              <w:top w:val="nil"/>
              <w:left w:val="nil"/>
              <w:bottom w:val="single" w:sz="4" w:space="0" w:color="auto"/>
              <w:right w:val="single" w:sz="4" w:space="0" w:color="auto"/>
            </w:tcBorders>
            <w:shd w:val="clear" w:color="auto" w:fill="auto"/>
            <w:noWrap/>
            <w:vAlign w:val="center"/>
            <w:hideMark/>
          </w:tcPr>
          <w:p w14:paraId="333F0519"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76</w:t>
            </w:r>
          </w:p>
        </w:tc>
        <w:tc>
          <w:tcPr>
            <w:tcW w:w="789" w:type="dxa"/>
            <w:tcBorders>
              <w:top w:val="nil"/>
              <w:left w:val="nil"/>
              <w:bottom w:val="single" w:sz="4" w:space="0" w:color="auto"/>
              <w:right w:val="single" w:sz="4" w:space="0" w:color="auto"/>
            </w:tcBorders>
            <w:shd w:val="clear" w:color="auto" w:fill="auto"/>
            <w:noWrap/>
            <w:vAlign w:val="center"/>
            <w:hideMark/>
          </w:tcPr>
          <w:p w14:paraId="13B37191"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643" w:type="dxa"/>
            <w:tcBorders>
              <w:top w:val="nil"/>
              <w:left w:val="nil"/>
              <w:bottom w:val="single" w:sz="4" w:space="0" w:color="auto"/>
              <w:right w:val="single" w:sz="4" w:space="0" w:color="auto"/>
            </w:tcBorders>
            <w:shd w:val="clear" w:color="auto" w:fill="auto"/>
            <w:noWrap/>
            <w:vAlign w:val="center"/>
            <w:hideMark/>
          </w:tcPr>
          <w:p w14:paraId="66188737"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w:t>
            </w:r>
          </w:p>
        </w:tc>
        <w:tc>
          <w:tcPr>
            <w:tcW w:w="930" w:type="dxa"/>
            <w:tcBorders>
              <w:top w:val="nil"/>
              <w:left w:val="nil"/>
              <w:bottom w:val="single" w:sz="4" w:space="0" w:color="auto"/>
              <w:right w:val="single" w:sz="4" w:space="0" w:color="auto"/>
            </w:tcBorders>
            <w:shd w:val="clear" w:color="auto" w:fill="auto"/>
            <w:noWrap/>
            <w:vAlign w:val="center"/>
            <w:hideMark/>
          </w:tcPr>
          <w:p w14:paraId="56082404"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2</w:t>
            </w:r>
          </w:p>
        </w:tc>
        <w:tc>
          <w:tcPr>
            <w:tcW w:w="567" w:type="dxa"/>
            <w:tcBorders>
              <w:top w:val="nil"/>
              <w:left w:val="nil"/>
              <w:bottom w:val="single" w:sz="4" w:space="0" w:color="auto"/>
              <w:right w:val="single" w:sz="4" w:space="0" w:color="auto"/>
            </w:tcBorders>
            <w:shd w:val="clear" w:color="auto" w:fill="auto"/>
            <w:noWrap/>
            <w:vAlign w:val="center"/>
            <w:hideMark/>
          </w:tcPr>
          <w:p w14:paraId="115AA1E5"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14:paraId="5D018C01"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14</w:t>
            </w:r>
          </w:p>
        </w:tc>
        <w:tc>
          <w:tcPr>
            <w:tcW w:w="709" w:type="dxa"/>
            <w:tcBorders>
              <w:top w:val="nil"/>
              <w:left w:val="nil"/>
              <w:bottom w:val="single" w:sz="4" w:space="0" w:color="auto"/>
              <w:right w:val="single" w:sz="4" w:space="0" w:color="auto"/>
            </w:tcBorders>
            <w:shd w:val="clear" w:color="auto" w:fill="auto"/>
            <w:noWrap/>
            <w:vAlign w:val="center"/>
            <w:hideMark/>
          </w:tcPr>
          <w:p w14:paraId="1F64FCF3"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7</w:t>
            </w:r>
          </w:p>
        </w:tc>
        <w:tc>
          <w:tcPr>
            <w:tcW w:w="709" w:type="dxa"/>
            <w:tcBorders>
              <w:top w:val="nil"/>
              <w:left w:val="nil"/>
              <w:bottom w:val="single" w:sz="4" w:space="0" w:color="auto"/>
              <w:right w:val="single" w:sz="4" w:space="0" w:color="auto"/>
            </w:tcBorders>
            <w:shd w:val="clear" w:color="auto" w:fill="auto"/>
            <w:noWrap/>
            <w:vAlign w:val="center"/>
            <w:hideMark/>
          </w:tcPr>
          <w:p w14:paraId="0048B00D"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14:paraId="7F9697EB"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319</w:t>
            </w:r>
          </w:p>
        </w:tc>
      </w:tr>
      <w:tr w:rsidR="000C1458" w:rsidRPr="005E2831" w14:paraId="0D8E0ADB" w14:textId="77777777" w:rsidTr="004E37F6">
        <w:trPr>
          <w:trHeight w:val="450"/>
        </w:trPr>
        <w:tc>
          <w:tcPr>
            <w:tcW w:w="704" w:type="dxa"/>
            <w:vMerge/>
            <w:tcBorders>
              <w:top w:val="nil"/>
              <w:left w:val="single" w:sz="4" w:space="0" w:color="auto"/>
              <w:bottom w:val="single" w:sz="4" w:space="0" w:color="000000"/>
              <w:right w:val="single" w:sz="4" w:space="0" w:color="auto"/>
            </w:tcBorders>
            <w:vAlign w:val="center"/>
            <w:hideMark/>
          </w:tcPr>
          <w:p w14:paraId="2754B3DD"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p>
        </w:tc>
        <w:tc>
          <w:tcPr>
            <w:tcW w:w="1747" w:type="dxa"/>
            <w:tcBorders>
              <w:top w:val="nil"/>
              <w:left w:val="nil"/>
              <w:bottom w:val="single" w:sz="4" w:space="0" w:color="auto"/>
              <w:right w:val="single" w:sz="4" w:space="0" w:color="auto"/>
            </w:tcBorders>
            <w:shd w:val="clear" w:color="000000" w:fill="FF0000"/>
            <w:vAlign w:val="center"/>
            <w:hideMark/>
          </w:tcPr>
          <w:p w14:paraId="7784FE4C"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Poniżej dobrego</w:t>
            </w:r>
          </w:p>
        </w:tc>
        <w:tc>
          <w:tcPr>
            <w:tcW w:w="571" w:type="dxa"/>
            <w:tcBorders>
              <w:top w:val="nil"/>
              <w:left w:val="nil"/>
              <w:bottom w:val="single" w:sz="4" w:space="0" w:color="auto"/>
              <w:right w:val="single" w:sz="4" w:space="0" w:color="auto"/>
            </w:tcBorders>
            <w:shd w:val="clear" w:color="auto" w:fill="auto"/>
            <w:noWrap/>
            <w:vAlign w:val="center"/>
            <w:hideMark/>
          </w:tcPr>
          <w:p w14:paraId="441CA1B8"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1378</w:t>
            </w:r>
          </w:p>
        </w:tc>
        <w:tc>
          <w:tcPr>
            <w:tcW w:w="565" w:type="dxa"/>
            <w:tcBorders>
              <w:top w:val="nil"/>
              <w:left w:val="nil"/>
              <w:bottom w:val="single" w:sz="4" w:space="0" w:color="auto"/>
              <w:right w:val="single" w:sz="4" w:space="0" w:color="auto"/>
            </w:tcBorders>
            <w:shd w:val="clear" w:color="auto" w:fill="auto"/>
            <w:noWrap/>
            <w:vAlign w:val="center"/>
            <w:hideMark/>
          </w:tcPr>
          <w:p w14:paraId="1974F047"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831</w:t>
            </w:r>
          </w:p>
        </w:tc>
        <w:tc>
          <w:tcPr>
            <w:tcW w:w="789" w:type="dxa"/>
            <w:tcBorders>
              <w:top w:val="nil"/>
              <w:left w:val="nil"/>
              <w:bottom w:val="single" w:sz="4" w:space="0" w:color="auto"/>
              <w:right w:val="single" w:sz="4" w:space="0" w:color="auto"/>
            </w:tcBorders>
            <w:shd w:val="clear" w:color="auto" w:fill="auto"/>
            <w:noWrap/>
            <w:vAlign w:val="center"/>
            <w:hideMark/>
          </w:tcPr>
          <w:p w14:paraId="3632A4DE"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w:t>
            </w:r>
          </w:p>
        </w:tc>
        <w:tc>
          <w:tcPr>
            <w:tcW w:w="643" w:type="dxa"/>
            <w:tcBorders>
              <w:top w:val="nil"/>
              <w:left w:val="nil"/>
              <w:bottom w:val="single" w:sz="4" w:space="0" w:color="auto"/>
              <w:right w:val="single" w:sz="4" w:space="0" w:color="auto"/>
            </w:tcBorders>
            <w:shd w:val="clear" w:color="auto" w:fill="auto"/>
            <w:noWrap/>
            <w:vAlign w:val="center"/>
            <w:hideMark/>
          </w:tcPr>
          <w:p w14:paraId="4FEBA0A7"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5</w:t>
            </w:r>
          </w:p>
        </w:tc>
        <w:tc>
          <w:tcPr>
            <w:tcW w:w="930" w:type="dxa"/>
            <w:tcBorders>
              <w:top w:val="nil"/>
              <w:left w:val="nil"/>
              <w:bottom w:val="single" w:sz="4" w:space="0" w:color="auto"/>
              <w:right w:val="single" w:sz="4" w:space="0" w:color="auto"/>
            </w:tcBorders>
            <w:shd w:val="clear" w:color="auto" w:fill="auto"/>
            <w:noWrap/>
            <w:vAlign w:val="center"/>
            <w:hideMark/>
          </w:tcPr>
          <w:p w14:paraId="1D7F15DD"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3</w:t>
            </w:r>
          </w:p>
        </w:tc>
        <w:tc>
          <w:tcPr>
            <w:tcW w:w="567" w:type="dxa"/>
            <w:tcBorders>
              <w:top w:val="nil"/>
              <w:left w:val="nil"/>
              <w:bottom w:val="single" w:sz="4" w:space="0" w:color="auto"/>
              <w:right w:val="single" w:sz="4" w:space="0" w:color="auto"/>
            </w:tcBorders>
            <w:shd w:val="clear" w:color="auto" w:fill="auto"/>
            <w:noWrap/>
            <w:vAlign w:val="center"/>
            <w:hideMark/>
          </w:tcPr>
          <w:p w14:paraId="2F76880B"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7</w:t>
            </w:r>
          </w:p>
        </w:tc>
        <w:tc>
          <w:tcPr>
            <w:tcW w:w="850" w:type="dxa"/>
            <w:tcBorders>
              <w:top w:val="nil"/>
              <w:left w:val="nil"/>
              <w:bottom w:val="single" w:sz="4" w:space="0" w:color="auto"/>
              <w:right w:val="single" w:sz="4" w:space="0" w:color="auto"/>
            </w:tcBorders>
            <w:shd w:val="clear" w:color="auto" w:fill="auto"/>
            <w:noWrap/>
            <w:vAlign w:val="center"/>
            <w:hideMark/>
          </w:tcPr>
          <w:p w14:paraId="714DCFC8"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24</w:t>
            </w:r>
          </w:p>
        </w:tc>
        <w:tc>
          <w:tcPr>
            <w:tcW w:w="709" w:type="dxa"/>
            <w:tcBorders>
              <w:top w:val="nil"/>
              <w:left w:val="nil"/>
              <w:bottom w:val="single" w:sz="4" w:space="0" w:color="auto"/>
              <w:right w:val="single" w:sz="4" w:space="0" w:color="auto"/>
            </w:tcBorders>
            <w:shd w:val="clear" w:color="auto" w:fill="auto"/>
            <w:noWrap/>
            <w:vAlign w:val="center"/>
            <w:hideMark/>
          </w:tcPr>
          <w:p w14:paraId="512917ED"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59</w:t>
            </w:r>
          </w:p>
        </w:tc>
        <w:tc>
          <w:tcPr>
            <w:tcW w:w="709" w:type="dxa"/>
            <w:tcBorders>
              <w:top w:val="nil"/>
              <w:left w:val="nil"/>
              <w:bottom w:val="single" w:sz="4" w:space="0" w:color="auto"/>
              <w:right w:val="single" w:sz="4" w:space="0" w:color="auto"/>
            </w:tcBorders>
            <w:shd w:val="clear" w:color="auto" w:fill="auto"/>
            <w:noWrap/>
            <w:vAlign w:val="center"/>
            <w:hideMark/>
          </w:tcPr>
          <w:p w14:paraId="3087CB12"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3</w:t>
            </w:r>
          </w:p>
        </w:tc>
        <w:tc>
          <w:tcPr>
            <w:tcW w:w="850" w:type="dxa"/>
            <w:tcBorders>
              <w:top w:val="nil"/>
              <w:left w:val="nil"/>
              <w:bottom w:val="single" w:sz="4" w:space="0" w:color="auto"/>
              <w:right w:val="single" w:sz="4" w:space="0" w:color="auto"/>
            </w:tcBorders>
            <w:shd w:val="clear" w:color="auto" w:fill="auto"/>
            <w:noWrap/>
            <w:vAlign w:val="center"/>
            <w:hideMark/>
          </w:tcPr>
          <w:p w14:paraId="64864190"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2311</w:t>
            </w:r>
          </w:p>
        </w:tc>
      </w:tr>
      <w:tr w:rsidR="000C1458" w:rsidRPr="005E2831" w14:paraId="3A20FCDC" w14:textId="77777777" w:rsidTr="004E37F6">
        <w:trPr>
          <w:trHeight w:val="537"/>
        </w:trPr>
        <w:tc>
          <w:tcPr>
            <w:tcW w:w="704" w:type="dxa"/>
            <w:vMerge/>
            <w:tcBorders>
              <w:top w:val="nil"/>
              <w:left w:val="single" w:sz="4" w:space="0" w:color="auto"/>
              <w:bottom w:val="single" w:sz="4" w:space="0" w:color="000000"/>
              <w:right w:val="single" w:sz="4" w:space="0" w:color="auto"/>
            </w:tcBorders>
            <w:vAlign w:val="center"/>
            <w:hideMark/>
          </w:tcPr>
          <w:p w14:paraId="1D43295C"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p>
        </w:tc>
        <w:tc>
          <w:tcPr>
            <w:tcW w:w="1747" w:type="dxa"/>
            <w:tcBorders>
              <w:top w:val="nil"/>
              <w:left w:val="nil"/>
              <w:bottom w:val="single" w:sz="4" w:space="0" w:color="auto"/>
              <w:right w:val="single" w:sz="4" w:space="0" w:color="auto"/>
            </w:tcBorders>
            <w:shd w:val="clear" w:color="000000" w:fill="BFBFBF"/>
            <w:vAlign w:val="center"/>
            <w:hideMark/>
          </w:tcPr>
          <w:p w14:paraId="349671EF"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 xml:space="preserve">Liczba </w:t>
            </w:r>
            <w:proofErr w:type="spellStart"/>
            <w:r w:rsidRPr="00B05424">
              <w:rPr>
                <w:rFonts w:ascii="Times New Roman" w:eastAsia="Times New Roman" w:hAnsi="Times New Roman" w:cs="Times New Roman"/>
                <w:color w:val="000000"/>
                <w:sz w:val="18"/>
                <w:szCs w:val="20"/>
                <w:lang w:eastAsia="pl-PL"/>
              </w:rPr>
              <w:t>jcwp</w:t>
            </w:r>
            <w:proofErr w:type="spellEnd"/>
            <w:r w:rsidRPr="00B05424">
              <w:rPr>
                <w:rFonts w:ascii="Times New Roman" w:eastAsia="Times New Roman" w:hAnsi="Times New Roman" w:cs="Times New Roman"/>
                <w:color w:val="000000"/>
                <w:sz w:val="18"/>
                <w:szCs w:val="20"/>
                <w:lang w:eastAsia="pl-PL"/>
              </w:rPr>
              <w:t xml:space="preserve"> sklasyfikowanych</w:t>
            </w:r>
          </w:p>
        </w:tc>
        <w:tc>
          <w:tcPr>
            <w:tcW w:w="571" w:type="dxa"/>
            <w:tcBorders>
              <w:top w:val="nil"/>
              <w:left w:val="nil"/>
              <w:bottom w:val="single" w:sz="4" w:space="0" w:color="auto"/>
              <w:right w:val="single" w:sz="4" w:space="0" w:color="auto"/>
            </w:tcBorders>
            <w:shd w:val="clear" w:color="auto" w:fill="auto"/>
            <w:noWrap/>
            <w:vAlign w:val="center"/>
            <w:hideMark/>
          </w:tcPr>
          <w:p w14:paraId="0A9DAA8E"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1597</w:t>
            </w:r>
          </w:p>
        </w:tc>
        <w:tc>
          <w:tcPr>
            <w:tcW w:w="565" w:type="dxa"/>
            <w:tcBorders>
              <w:top w:val="nil"/>
              <w:left w:val="nil"/>
              <w:bottom w:val="single" w:sz="4" w:space="0" w:color="auto"/>
              <w:right w:val="single" w:sz="4" w:space="0" w:color="auto"/>
            </w:tcBorders>
            <w:shd w:val="clear" w:color="auto" w:fill="auto"/>
            <w:noWrap/>
            <w:vAlign w:val="center"/>
            <w:hideMark/>
          </w:tcPr>
          <w:p w14:paraId="5DA4BD0F"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907</w:t>
            </w:r>
          </w:p>
        </w:tc>
        <w:tc>
          <w:tcPr>
            <w:tcW w:w="789" w:type="dxa"/>
            <w:tcBorders>
              <w:top w:val="nil"/>
              <w:left w:val="nil"/>
              <w:bottom w:val="single" w:sz="4" w:space="0" w:color="auto"/>
              <w:right w:val="single" w:sz="4" w:space="0" w:color="auto"/>
            </w:tcBorders>
            <w:shd w:val="clear" w:color="auto" w:fill="auto"/>
            <w:noWrap/>
            <w:vAlign w:val="center"/>
            <w:hideMark/>
          </w:tcPr>
          <w:p w14:paraId="13F5E07D"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w:t>
            </w:r>
          </w:p>
        </w:tc>
        <w:tc>
          <w:tcPr>
            <w:tcW w:w="643" w:type="dxa"/>
            <w:tcBorders>
              <w:top w:val="nil"/>
              <w:left w:val="nil"/>
              <w:bottom w:val="single" w:sz="4" w:space="0" w:color="auto"/>
              <w:right w:val="single" w:sz="4" w:space="0" w:color="auto"/>
            </w:tcBorders>
            <w:shd w:val="clear" w:color="auto" w:fill="auto"/>
            <w:noWrap/>
            <w:vAlign w:val="center"/>
            <w:hideMark/>
          </w:tcPr>
          <w:p w14:paraId="5AB1CE6F"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6</w:t>
            </w:r>
          </w:p>
        </w:tc>
        <w:tc>
          <w:tcPr>
            <w:tcW w:w="930" w:type="dxa"/>
            <w:tcBorders>
              <w:top w:val="nil"/>
              <w:left w:val="nil"/>
              <w:bottom w:val="single" w:sz="4" w:space="0" w:color="auto"/>
              <w:right w:val="single" w:sz="4" w:space="0" w:color="auto"/>
            </w:tcBorders>
            <w:shd w:val="clear" w:color="auto" w:fill="auto"/>
            <w:noWrap/>
            <w:vAlign w:val="center"/>
            <w:hideMark/>
          </w:tcPr>
          <w:p w14:paraId="72496CE9"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5</w:t>
            </w:r>
          </w:p>
        </w:tc>
        <w:tc>
          <w:tcPr>
            <w:tcW w:w="567" w:type="dxa"/>
            <w:tcBorders>
              <w:top w:val="nil"/>
              <w:left w:val="nil"/>
              <w:bottom w:val="single" w:sz="4" w:space="0" w:color="auto"/>
              <w:right w:val="single" w:sz="4" w:space="0" w:color="auto"/>
            </w:tcBorders>
            <w:shd w:val="clear" w:color="auto" w:fill="auto"/>
            <w:noWrap/>
            <w:vAlign w:val="center"/>
            <w:hideMark/>
          </w:tcPr>
          <w:p w14:paraId="05E418C4"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7</w:t>
            </w:r>
          </w:p>
        </w:tc>
        <w:tc>
          <w:tcPr>
            <w:tcW w:w="850" w:type="dxa"/>
            <w:tcBorders>
              <w:top w:val="nil"/>
              <w:left w:val="nil"/>
              <w:bottom w:val="single" w:sz="4" w:space="0" w:color="auto"/>
              <w:right w:val="single" w:sz="4" w:space="0" w:color="auto"/>
            </w:tcBorders>
            <w:shd w:val="clear" w:color="auto" w:fill="auto"/>
            <w:noWrap/>
            <w:vAlign w:val="center"/>
            <w:hideMark/>
          </w:tcPr>
          <w:p w14:paraId="1A96BCE5"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38</w:t>
            </w:r>
          </w:p>
        </w:tc>
        <w:tc>
          <w:tcPr>
            <w:tcW w:w="709" w:type="dxa"/>
            <w:tcBorders>
              <w:top w:val="nil"/>
              <w:left w:val="nil"/>
              <w:bottom w:val="single" w:sz="4" w:space="0" w:color="auto"/>
              <w:right w:val="single" w:sz="4" w:space="0" w:color="auto"/>
            </w:tcBorders>
            <w:shd w:val="clear" w:color="auto" w:fill="auto"/>
            <w:noWrap/>
            <w:vAlign w:val="center"/>
            <w:hideMark/>
          </w:tcPr>
          <w:p w14:paraId="23D95EAE"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66</w:t>
            </w:r>
          </w:p>
        </w:tc>
        <w:tc>
          <w:tcPr>
            <w:tcW w:w="709" w:type="dxa"/>
            <w:tcBorders>
              <w:top w:val="nil"/>
              <w:left w:val="nil"/>
              <w:bottom w:val="single" w:sz="4" w:space="0" w:color="auto"/>
              <w:right w:val="single" w:sz="4" w:space="0" w:color="auto"/>
            </w:tcBorders>
            <w:shd w:val="clear" w:color="auto" w:fill="auto"/>
            <w:noWrap/>
            <w:vAlign w:val="center"/>
            <w:hideMark/>
          </w:tcPr>
          <w:p w14:paraId="6512099B"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3</w:t>
            </w:r>
          </w:p>
        </w:tc>
        <w:tc>
          <w:tcPr>
            <w:tcW w:w="850" w:type="dxa"/>
            <w:tcBorders>
              <w:top w:val="nil"/>
              <w:left w:val="nil"/>
              <w:bottom w:val="single" w:sz="4" w:space="0" w:color="auto"/>
              <w:right w:val="single" w:sz="4" w:space="0" w:color="auto"/>
            </w:tcBorders>
            <w:shd w:val="clear" w:color="auto" w:fill="auto"/>
            <w:noWrap/>
            <w:vAlign w:val="center"/>
            <w:hideMark/>
          </w:tcPr>
          <w:p w14:paraId="00077BB2"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2630</w:t>
            </w:r>
          </w:p>
        </w:tc>
      </w:tr>
      <w:tr w:rsidR="000C1458" w:rsidRPr="005E2831" w14:paraId="5B0FC1F5" w14:textId="77777777" w:rsidTr="004E37F6">
        <w:trPr>
          <w:trHeight w:val="575"/>
        </w:trPr>
        <w:tc>
          <w:tcPr>
            <w:tcW w:w="704" w:type="dxa"/>
            <w:vMerge/>
            <w:tcBorders>
              <w:top w:val="nil"/>
              <w:left w:val="single" w:sz="4" w:space="0" w:color="auto"/>
              <w:bottom w:val="single" w:sz="4" w:space="0" w:color="000000"/>
              <w:right w:val="single" w:sz="4" w:space="0" w:color="auto"/>
            </w:tcBorders>
            <w:vAlign w:val="center"/>
            <w:hideMark/>
          </w:tcPr>
          <w:p w14:paraId="1E91494F"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p>
        </w:tc>
        <w:tc>
          <w:tcPr>
            <w:tcW w:w="1747" w:type="dxa"/>
            <w:tcBorders>
              <w:top w:val="nil"/>
              <w:left w:val="nil"/>
              <w:bottom w:val="single" w:sz="4" w:space="0" w:color="auto"/>
              <w:right w:val="single" w:sz="4" w:space="0" w:color="auto"/>
            </w:tcBorders>
            <w:shd w:val="clear" w:color="000000" w:fill="F2F2F2"/>
            <w:vAlign w:val="center"/>
            <w:hideMark/>
          </w:tcPr>
          <w:p w14:paraId="46B62474"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 xml:space="preserve">Liczba </w:t>
            </w:r>
            <w:proofErr w:type="spellStart"/>
            <w:r w:rsidRPr="00B05424">
              <w:rPr>
                <w:rFonts w:ascii="Times New Roman" w:eastAsia="Times New Roman" w:hAnsi="Times New Roman" w:cs="Times New Roman"/>
                <w:color w:val="000000"/>
                <w:sz w:val="18"/>
                <w:szCs w:val="20"/>
                <w:lang w:eastAsia="pl-PL"/>
              </w:rPr>
              <w:t>jcwp</w:t>
            </w:r>
            <w:proofErr w:type="spellEnd"/>
            <w:r w:rsidRPr="00B05424">
              <w:rPr>
                <w:rFonts w:ascii="Times New Roman" w:eastAsia="Times New Roman" w:hAnsi="Times New Roman" w:cs="Times New Roman"/>
                <w:color w:val="000000"/>
                <w:sz w:val="18"/>
                <w:szCs w:val="20"/>
                <w:lang w:eastAsia="pl-PL"/>
              </w:rPr>
              <w:t xml:space="preserve"> niesklasyfikowanych</w:t>
            </w:r>
          </w:p>
        </w:tc>
        <w:tc>
          <w:tcPr>
            <w:tcW w:w="571" w:type="dxa"/>
            <w:tcBorders>
              <w:top w:val="nil"/>
              <w:left w:val="nil"/>
              <w:bottom w:val="single" w:sz="4" w:space="0" w:color="auto"/>
              <w:right w:val="single" w:sz="4" w:space="0" w:color="auto"/>
            </w:tcBorders>
            <w:shd w:val="clear" w:color="auto" w:fill="auto"/>
            <w:noWrap/>
            <w:vAlign w:val="center"/>
            <w:hideMark/>
          </w:tcPr>
          <w:p w14:paraId="54A15E4A"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3</w:t>
            </w:r>
          </w:p>
        </w:tc>
        <w:tc>
          <w:tcPr>
            <w:tcW w:w="565" w:type="dxa"/>
            <w:tcBorders>
              <w:top w:val="nil"/>
              <w:left w:val="nil"/>
              <w:bottom w:val="single" w:sz="4" w:space="0" w:color="auto"/>
              <w:right w:val="single" w:sz="4" w:space="0" w:color="auto"/>
            </w:tcBorders>
            <w:shd w:val="clear" w:color="auto" w:fill="auto"/>
            <w:noWrap/>
            <w:vAlign w:val="center"/>
            <w:hideMark/>
          </w:tcPr>
          <w:p w14:paraId="4DAB2927"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5</w:t>
            </w:r>
          </w:p>
        </w:tc>
        <w:tc>
          <w:tcPr>
            <w:tcW w:w="789" w:type="dxa"/>
            <w:tcBorders>
              <w:top w:val="nil"/>
              <w:left w:val="nil"/>
              <w:bottom w:val="single" w:sz="4" w:space="0" w:color="auto"/>
              <w:right w:val="single" w:sz="4" w:space="0" w:color="auto"/>
            </w:tcBorders>
            <w:shd w:val="clear" w:color="auto" w:fill="auto"/>
            <w:noWrap/>
            <w:vAlign w:val="center"/>
            <w:hideMark/>
          </w:tcPr>
          <w:p w14:paraId="3A56A911"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643" w:type="dxa"/>
            <w:tcBorders>
              <w:top w:val="nil"/>
              <w:left w:val="nil"/>
              <w:bottom w:val="single" w:sz="4" w:space="0" w:color="auto"/>
              <w:right w:val="single" w:sz="4" w:space="0" w:color="auto"/>
            </w:tcBorders>
            <w:shd w:val="clear" w:color="auto" w:fill="auto"/>
            <w:noWrap/>
            <w:vAlign w:val="center"/>
            <w:hideMark/>
          </w:tcPr>
          <w:p w14:paraId="29A0BA3C"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930" w:type="dxa"/>
            <w:tcBorders>
              <w:top w:val="nil"/>
              <w:left w:val="nil"/>
              <w:bottom w:val="single" w:sz="4" w:space="0" w:color="auto"/>
              <w:right w:val="single" w:sz="4" w:space="0" w:color="auto"/>
            </w:tcBorders>
            <w:shd w:val="clear" w:color="auto" w:fill="auto"/>
            <w:noWrap/>
            <w:vAlign w:val="center"/>
            <w:hideMark/>
          </w:tcPr>
          <w:p w14:paraId="16154719"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567" w:type="dxa"/>
            <w:tcBorders>
              <w:top w:val="nil"/>
              <w:left w:val="nil"/>
              <w:bottom w:val="single" w:sz="4" w:space="0" w:color="auto"/>
              <w:right w:val="single" w:sz="4" w:space="0" w:color="auto"/>
            </w:tcBorders>
            <w:shd w:val="clear" w:color="auto" w:fill="auto"/>
            <w:noWrap/>
            <w:vAlign w:val="center"/>
            <w:hideMark/>
          </w:tcPr>
          <w:p w14:paraId="49553F81"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14:paraId="66722542"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709" w:type="dxa"/>
            <w:tcBorders>
              <w:top w:val="nil"/>
              <w:left w:val="nil"/>
              <w:bottom w:val="single" w:sz="4" w:space="0" w:color="auto"/>
              <w:right w:val="single" w:sz="4" w:space="0" w:color="auto"/>
            </w:tcBorders>
            <w:shd w:val="clear" w:color="auto" w:fill="auto"/>
            <w:noWrap/>
            <w:vAlign w:val="center"/>
            <w:hideMark/>
          </w:tcPr>
          <w:p w14:paraId="440C364F"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709" w:type="dxa"/>
            <w:tcBorders>
              <w:top w:val="nil"/>
              <w:left w:val="nil"/>
              <w:bottom w:val="single" w:sz="4" w:space="0" w:color="auto"/>
              <w:right w:val="single" w:sz="4" w:space="0" w:color="auto"/>
            </w:tcBorders>
            <w:shd w:val="clear" w:color="auto" w:fill="auto"/>
            <w:noWrap/>
            <w:vAlign w:val="center"/>
            <w:hideMark/>
          </w:tcPr>
          <w:p w14:paraId="238C4CAB"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14:paraId="5865F909"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8</w:t>
            </w:r>
          </w:p>
        </w:tc>
      </w:tr>
      <w:tr w:rsidR="000C1458" w:rsidRPr="005E2831" w14:paraId="2AD2BCC4" w14:textId="77777777" w:rsidTr="004E37F6">
        <w:trPr>
          <w:trHeight w:val="225"/>
        </w:trPr>
        <w:tc>
          <w:tcPr>
            <w:tcW w:w="704" w:type="dxa"/>
            <w:vMerge/>
            <w:tcBorders>
              <w:top w:val="nil"/>
              <w:left w:val="single" w:sz="4" w:space="0" w:color="auto"/>
              <w:bottom w:val="single" w:sz="4" w:space="0" w:color="000000"/>
              <w:right w:val="single" w:sz="4" w:space="0" w:color="auto"/>
            </w:tcBorders>
            <w:vAlign w:val="center"/>
            <w:hideMark/>
          </w:tcPr>
          <w:p w14:paraId="0690BF3B"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p>
        </w:tc>
        <w:tc>
          <w:tcPr>
            <w:tcW w:w="1747" w:type="dxa"/>
            <w:tcBorders>
              <w:top w:val="nil"/>
              <w:left w:val="nil"/>
              <w:bottom w:val="single" w:sz="4" w:space="0" w:color="auto"/>
              <w:right w:val="single" w:sz="4" w:space="0" w:color="auto"/>
            </w:tcBorders>
            <w:shd w:val="clear" w:color="000000" w:fill="FFFFFF"/>
            <w:vAlign w:val="center"/>
            <w:hideMark/>
          </w:tcPr>
          <w:p w14:paraId="7A04EB22"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Łącznie</w:t>
            </w:r>
          </w:p>
        </w:tc>
        <w:tc>
          <w:tcPr>
            <w:tcW w:w="571" w:type="dxa"/>
            <w:tcBorders>
              <w:top w:val="nil"/>
              <w:left w:val="nil"/>
              <w:bottom w:val="single" w:sz="4" w:space="0" w:color="auto"/>
              <w:right w:val="single" w:sz="4" w:space="0" w:color="auto"/>
            </w:tcBorders>
            <w:shd w:val="clear" w:color="auto" w:fill="auto"/>
            <w:noWrap/>
            <w:vAlign w:val="center"/>
            <w:hideMark/>
          </w:tcPr>
          <w:p w14:paraId="29BD7A1A"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1600</w:t>
            </w:r>
          </w:p>
        </w:tc>
        <w:tc>
          <w:tcPr>
            <w:tcW w:w="565" w:type="dxa"/>
            <w:tcBorders>
              <w:top w:val="nil"/>
              <w:left w:val="nil"/>
              <w:bottom w:val="single" w:sz="4" w:space="0" w:color="auto"/>
              <w:right w:val="single" w:sz="4" w:space="0" w:color="auto"/>
            </w:tcBorders>
            <w:shd w:val="clear" w:color="auto" w:fill="auto"/>
            <w:noWrap/>
            <w:vAlign w:val="center"/>
            <w:hideMark/>
          </w:tcPr>
          <w:p w14:paraId="65020FEF"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912</w:t>
            </w:r>
          </w:p>
        </w:tc>
        <w:tc>
          <w:tcPr>
            <w:tcW w:w="789" w:type="dxa"/>
            <w:tcBorders>
              <w:top w:val="nil"/>
              <w:left w:val="nil"/>
              <w:bottom w:val="single" w:sz="4" w:space="0" w:color="auto"/>
              <w:right w:val="single" w:sz="4" w:space="0" w:color="auto"/>
            </w:tcBorders>
            <w:shd w:val="clear" w:color="auto" w:fill="auto"/>
            <w:noWrap/>
            <w:vAlign w:val="center"/>
            <w:hideMark/>
          </w:tcPr>
          <w:p w14:paraId="1B2A3186"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w:t>
            </w:r>
          </w:p>
        </w:tc>
        <w:tc>
          <w:tcPr>
            <w:tcW w:w="643" w:type="dxa"/>
            <w:tcBorders>
              <w:top w:val="nil"/>
              <w:left w:val="nil"/>
              <w:bottom w:val="single" w:sz="4" w:space="0" w:color="auto"/>
              <w:right w:val="single" w:sz="4" w:space="0" w:color="auto"/>
            </w:tcBorders>
            <w:shd w:val="clear" w:color="auto" w:fill="auto"/>
            <w:noWrap/>
            <w:vAlign w:val="center"/>
            <w:hideMark/>
          </w:tcPr>
          <w:p w14:paraId="3CBA9229"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6</w:t>
            </w:r>
          </w:p>
        </w:tc>
        <w:tc>
          <w:tcPr>
            <w:tcW w:w="930" w:type="dxa"/>
            <w:tcBorders>
              <w:top w:val="nil"/>
              <w:left w:val="nil"/>
              <w:bottom w:val="single" w:sz="4" w:space="0" w:color="auto"/>
              <w:right w:val="single" w:sz="4" w:space="0" w:color="auto"/>
            </w:tcBorders>
            <w:shd w:val="clear" w:color="auto" w:fill="auto"/>
            <w:noWrap/>
            <w:vAlign w:val="center"/>
            <w:hideMark/>
          </w:tcPr>
          <w:p w14:paraId="5C85F660"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5</w:t>
            </w:r>
          </w:p>
        </w:tc>
        <w:tc>
          <w:tcPr>
            <w:tcW w:w="567" w:type="dxa"/>
            <w:tcBorders>
              <w:top w:val="nil"/>
              <w:left w:val="nil"/>
              <w:bottom w:val="single" w:sz="4" w:space="0" w:color="auto"/>
              <w:right w:val="single" w:sz="4" w:space="0" w:color="auto"/>
            </w:tcBorders>
            <w:shd w:val="clear" w:color="auto" w:fill="auto"/>
            <w:noWrap/>
            <w:vAlign w:val="center"/>
            <w:hideMark/>
          </w:tcPr>
          <w:p w14:paraId="1A49A5A8"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7</w:t>
            </w:r>
          </w:p>
        </w:tc>
        <w:tc>
          <w:tcPr>
            <w:tcW w:w="850" w:type="dxa"/>
            <w:tcBorders>
              <w:top w:val="nil"/>
              <w:left w:val="nil"/>
              <w:bottom w:val="single" w:sz="4" w:space="0" w:color="auto"/>
              <w:right w:val="single" w:sz="4" w:space="0" w:color="auto"/>
            </w:tcBorders>
            <w:shd w:val="clear" w:color="auto" w:fill="auto"/>
            <w:noWrap/>
            <w:vAlign w:val="center"/>
            <w:hideMark/>
          </w:tcPr>
          <w:p w14:paraId="1664DD46"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38</w:t>
            </w:r>
          </w:p>
        </w:tc>
        <w:tc>
          <w:tcPr>
            <w:tcW w:w="709" w:type="dxa"/>
            <w:tcBorders>
              <w:top w:val="nil"/>
              <w:left w:val="nil"/>
              <w:bottom w:val="single" w:sz="4" w:space="0" w:color="auto"/>
              <w:right w:val="single" w:sz="4" w:space="0" w:color="auto"/>
            </w:tcBorders>
            <w:shd w:val="clear" w:color="auto" w:fill="auto"/>
            <w:noWrap/>
            <w:vAlign w:val="center"/>
            <w:hideMark/>
          </w:tcPr>
          <w:p w14:paraId="36898598"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66</w:t>
            </w:r>
          </w:p>
        </w:tc>
        <w:tc>
          <w:tcPr>
            <w:tcW w:w="709" w:type="dxa"/>
            <w:tcBorders>
              <w:top w:val="nil"/>
              <w:left w:val="nil"/>
              <w:bottom w:val="single" w:sz="4" w:space="0" w:color="auto"/>
              <w:right w:val="single" w:sz="4" w:space="0" w:color="auto"/>
            </w:tcBorders>
            <w:shd w:val="clear" w:color="auto" w:fill="auto"/>
            <w:noWrap/>
            <w:vAlign w:val="center"/>
            <w:hideMark/>
          </w:tcPr>
          <w:p w14:paraId="54D6F6C7"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3</w:t>
            </w:r>
          </w:p>
        </w:tc>
        <w:tc>
          <w:tcPr>
            <w:tcW w:w="850" w:type="dxa"/>
            <w:tcBorders>
              <w:top w:val="nil"/>
              <w:left w:val="nil"/>
              <w:bottom w:val="single" w:sz="4" w:space="0" w:color="auto"/>
              <w:right w:val="single" w:sz="4" w:space="0" w:color="auto"/>
            </w:tcBorders>
            <w:shd w:val="clear" w:color="auto" w:fill="auto"/>
            <w:noWrap/>
            <w:vAlign w:val="center"/>
            <w:hideMark/>
          </w:tcPr>
          <w:p w14:paraId="55C612F9"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2638</w:t>
            </w:r>
          </w:p>
        </w:tc>
      </w:tr>
      <w:tr w:rsidR="000C1458" w:rsidRPr="005E2831" w14:paraId="4F291CA3" w14:textId="77777777" w:rsidTr="004E37F6">
        <w:trPr>
          <w:trHeight w:val="300"/>
        </w:trPr>
        <w:tc>
          <w:tcPr>
            <w:tcW w:w="704"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71A06AAA"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Ocena</w:t>
            </w:r>
            <w:r w:rsidRPr="00B05424">
              <w:rPr>
                <w:rFonts w:ascii="Times New Roman" w:eastAsia="Times New Roman" w:hAnsi="Times New Roman" w:cs="Times New Roman"/>
                <w:color w:val="000000"/>
                <w:sz w:val="18"/>
                <w:szCs w:val="20"/>
                <w:lang w:eastAsia="pl-PL"/>
              </w:rPr>
              <w:br/>
              <w:t>stanu</w:t>
            </w:r>
          </w:p>
        </w:tc>
        <w:tc>
          <w:tcPr>
            <w:tcW w:w="1747" w:type="dxa"/>
            <w:tcBorders>
              <w:top w:val="nil"/>
              <w:left w:val="nil"/>
              <w:bottom w:val="single" w:sz="4" w:space="0" w:color="auto"/>
              <w:right w:val="single" w:sz="4" w:space="0" w:color="auto"/>
            </w:tcBorders>
            <w:shd w:val="clear" w:color="000000" w:fill="00B0F0"/>
            <w:vAlign w:val="center"/>
            <w:hideMark/>
          </w:tcPr>
          <w:p w14:paraId="3228F631"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Dobry</w:t>
            </w:r>
          </w:p>
        </w:tc>
        <w:tc>
          <w:tcPr>
            <w:tcW w:w="571" w:type="dxa"/>
            <w:tcBorders>
              <w:top w:val="nil"/>
              <w:left w:val="nil"/>
              <w:bottom w:val="single" w:sz="4" w:space="0" w:color="auto"/>
              <w:right w:val="single" w:sz="4" w:space="0" w:color="auto"/>
            </w:tcBorders>
            <w:shd w:val="clear" w:color="auto" w:fill="auto"/>
            <w:noWrap/>
            <w:vAlign w:val="center"/>
            <w:hideMark/>
          </w:tcPr>
          <w:p w14:paraId="68798825"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10</w:t>
            </w:r>
          </w:p>
        </w:tc>
        <w:tc>
          <w:tcPr>
            <w:tcW w:w="565" w:type="dxa"/>
            <w:tcBorders>
              <w:top w:val="nil"/>
              <w:left w:val="nil"/>
              <w:bottom w:val="single" w:sz="4" w:space="0" w:color="auto"/>
              <w:right w:val="single" w:sz="4" w:space="0" w:color="auto"/>
            </w:tcBorders>
            <w:shd w:val="clear" w:color="auto" w:fill="auto"/>
            <w:noWrap/>
            <w:vAlign w:val="center"/>
            <w:hideMark/>
          </w:tcPr>
          <w:p w14:paraId="1968E52F"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w:t>
            </w:r>
          </w:p>
        </w:tc>
        <w:tc>
          <w:tcPr>
            <w:tcW w:w="789" w:type="dxa"/>
            <w:tcBorders>
              <w:top w:val="nil"/>
              <w:left w:val="nil"/>
              <w:bottom w:val="single" w:sz="4" w:space="0" w:color="auto"/>
              <w:right w:val="single" w:sz="4" w:space="0" w:color="auto"/>
            </w:tcBorders>
            <w:shd w:val="clear" w:color="auto" w:fill="auto"/>
            <w:noWrap/>
            <w:vAlign w:val="center"/>
            <w:hideMark/>
          </w:tcPr>
          <w:p w14:paraId="682D0B92"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643" w:type="dxa"/>
            <w:tcBorders>
              <w:top w:val="nil"/>
              <w:left w:val="nil"/>
              <w:bottom w:val="single" w:sz="4" w:space="0" w:color="auto"/>
              <w:right w:val="single" w:sz="4" w:space="0" w:color="auto"/>
            </w:tcBorders>
            <w:shd w:val="clear" w:color="auto" w:fill="auto"/>
            <w:noWrap/>
            <w:vAlign w:val="center"/>
            <w:hideMark/>
          </w:tcPr>
          <w:p w14:paraId="2321D587"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930" w:type="dxa"/>
            <w:tcBorders>
              <w:top w:val="nil"/>
              <w:left w:val="nil"/>
              <w:bottom w:val="single" w:sz="4" w:space="0" w:color="auto"/>
              <w:right w:val="single" w:sz="4" w:space="0" w:color="auto"/>
            </w:tcBorders>
            <w:shd w:val="clear" w:color="auto" w:fill="auto"/>
            <w:noWrap/>
            <w:vAlign w:val="center"/>
            <w:hideMark/>
          </w:tcPr>
          <w:p w14:paraId="64096EB0"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567" w:type="dxa"/>
            <w:tcBorders>
              <w:top w:val="nil"/>
              <w:left w:val="nil"/>
              <w:bottom w:val="single" w:sz="4" w:space="0" w:color="auto"/>
              <w:right w:val="single" w:sz="4" w:space="0" w:color="auto"/>
            </w:tcBorders>
            <w:shd w:val="clear" w:color="auto" w:fill="auto"/>
            <w:noWrap/>
            <w:vAlign w:val="center"/>
            <w:hideMark/>
          </w:tcPr>
          <w:p w14:paraId="58E83D30"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14:paraId="60803FD0"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2</w:t>
            </w:r>
          </w:p>
        </w:tc>
        <w:tc>
          <w:tcPr>
            <w:tcW w:w="709" w:type="dxa"/>
            <w:tcBorders>
              <w:top w:val="nil"/>
              <w:left w:val="nil"/>
              <w:bottom w:val="single" w:sz="4" w:space="0" w:color="auto"/>
              <w:right w:val="single" w:sz="4" w:space="0" w:color="auto"/>
            </w:tcBorders>
            <w:shd w:val="clear" w:color="auto" w:fill="auto"/>
            <w:noWrap/>
            <w:vAlign w:val="center"/>
            <w:hideMark/>
          </w:tcPr>
          <w:p w14:paraId="331D058D"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709" w:type="dxa"/>
            <w:tcBorders>
              <w:top w:val="nil"/>
              <w:left w:val="nil"/>
              <w:bottom w:val="single" w:sz="4" w:space="0" w:color="auto"/>
              <w:right w:val="single" w:sz="4" w:space="0" w:color="auto"/>
            </w:tcBorders>
            <w:shd w:val="clear" w:color="auto" w:fill="auto"/>
            <w:noWrap/>
            <w:vAlign w:val="center"/>
            <w:hideMark/>
          </w:tcPr>
          <w:p w14:paraId="7B6AB6C7"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14:paraId="47F2F836"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13</w:t>
            </w:r>
          </w:p>
        </w:tc>
      </w:tr>
      <w:tr w:rsidR="000C1458" w:rsidRPr="005E2831" w14:paraId="631D80E6" w14:textId="77777777" w:rsidTr="004E37F6">
        <w:trPr>
          <w:trHeight w:val="225"/>
        </w:trPr>
        <w:tc>
          <w:tcPr>
            <w:tcW w:w="704" w:type="dxa"/>
            <w:vMerge/>
            <w:tcBorders>
              <w:top w:val="nil"/>
              <w:left w:val="single" w:sz="4" w:space="0" w:color="auto"/>
              <w:bottom w:val="single" w:sz="4" w:space="0" w:color="auto"/>
              <w:right w:val="single" w:sz="4" w:space="0" w:color="auto"/>
            </w:tcBorders>
            <w:vAlign w:val="center"/>
            <w:hideMark/>
          </w:tcPr>
          <w:p w14:paraId="773C7E11"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p>
        </w:tc>
        <w:tc>
          <w:tcPr>
            <w:tcW w:w="1747" w:type="dxa"/>
            <w:tcBorders>
              <w:top w:val="nil"/>
              <w:left w:val="nil"/>
              <w:bottom w:val="single" w:sz="4" w:space="0" w:color="auto"/>
              <w:right w:val="single" w:sz="4" w:space="0" w:color="auto"/>
            </w:tcBorders>
            <w:shd w:val="clear" w:color="000000" w:fill="FF0000"/>
            <w:vAlign w:val="center"/>
            <w:hideMark/>
          </w:tcPr>
          <w:p w14:paraId="66BD3EBF"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Zły</w:t>
            </w:r>
          </w:p>
        </w:tc>
        <w:tc>
          <w:tcPr>
            <w:tcW w:w="571" w:type="dxa"/>
            <w:tcBorders>
              <w:top w:val="nil"/>
              <w:left w:val="nil"/>
              <w:bottom w:val="single" w:sz="4" w:space="0" w:color="auto"/>
              <w:right w:val="single" w:sz="4" w:space="0" w:color="auto"/>
            </w:tcBorders>
            <w:shd w:val="clear" w:color="auto" w:fill="auto"/>
            <w:noWrap/>
            <w:vAlign w:val="center"/>
            <w:hideMark/>
          </w:tcPr>
          <w:p w14:paraId="051D06DF"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2049</w:t>
            </w:r>
          </w:p>
        </w:tc>
        <w:tc>
          <w:tcPr>
            <w:tcW w:w="565" w:type="dxa"/>
            <w:tcBorders>
              <w:top w:val="nil"/>
              <w:left w:val="nil"/>
              <w:bottom w:val="single" w:sz="4" w:space="0" w:color="auto"/>
              <w:right w:val="single" w:sz="4" w:space="0" w:color="auto"/>
            </w:tcBorders>
            <w:shd w:val="clear" w:color="auto" w:fill="auto"/>
            <w:noWrap/>
            <w:vAlign w:val="center"/>
            <w:hideMark/>
          </w:tcPr>
          <w:p w14:paraId="459D588D"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1291</w:t>
            </w:r>
          </w:p>
        </w:tc>
        <w:tc>
          <w:tcPr>
            <w:tcW w:w="789" w:type="dxa"/>
            <w:tcBorders>
              <w:top w:val="nil"/>
              <w:left w:val="nil"/>
              <w:bottom w:val="single" w:sz="4" w:space="0" w:color="auto"/>
              <w:right w:val="single" w:sz="4" w:space="0" w:color="auto"/>
            </w:tcBorders>
            <w:shd w:val="clear" w:color="auto" w:fill="auto"/>
            <w:noWrap/>
            <w:vAlign w:val="center"/>
            <w:hideMark/>
          </w:tcPr>
          <w:p w14:paraId="405AF443"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2</w:t>
            </w:r>
          </w:p>
        </w:tc>
        <w:tc>
          <w:tcPr>
            <w:tcW w:w="643" w:type="dxa"/>
            <w:tcBorders>
              <w:top w:val="nil"/>
              <w:left w:val="nil"/>
              <w:bottom w:val="single" w:sz="4" w:space="0" w:color="auto"/>
              <w:right w:val="single" w:sz="4" w:space="0" w:color="auto"/>
            </w:tcBorders>
            <w:shd w:val="clear" w:color="auto" w:fill="auto"/>
            <w:noWrap/>
            <w:vAlign w:val="center"/>
            <w:hideMark/>
          </w:tcPr>
          <w:p w14:paraId="7C597C69"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10</w:t>
            </w:r>
          </w:p>
        </w:tc>
        <w:tc>
          <w:tcPr>
            <w:tcW w:w="930" w:type="dxa"/>
            <w:tcBorders>
              <w:top w:val="nil"/>
              <w:left w:val="nil"/>
              <w:bottom w:val="single" w:sz="4" w:space="0" w:color="auto"/>
              <w:right w:val="single" w:sz="4" w:space="0" w:color="auto"/>
            </w:tcBorders>
            <w:shd w:val="clear" w:color="auto" w:fill="auto"/>
            <w:noWrap/>
            <w:vAlign w:val="center"/>
            <w:hideMark/>
          </w:tcPr>
          <w:p w14:paraId="1006D2B1"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5</w:t>
            </w:r>
          </w:p>
        </w:tc>
        <w:tc>
          <w:tcPr>
            <w:tcW w:w="567" w:type="dxa"/>
            <w:tcBorders>
              <w:top w:val="nil"/>
              <w:left w:val="nil"/>
              <w:bottom w:val="single" w:sz="4" w:space="0" w:color="auto"/>
              <w:right w:val="single" w:sz="4" w:space="0" w:color="auto"/>
            </w:tcBorders>
            <w:shd w:val="clear" w:color="auto" w:fill="auto"/>
            <w:noWrap/>
            <w:vAlign w:val="center"/>
            <w:hideMark/>
          </w:tcPr>
          <w:p w14:paraId="70CD7E3B"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7</w:t>
            </w:r>
          </w:p>
        </w:tc>
        <w:tc>
          <w:tcPr>
            <w:tcW w:w="850" w:type="dxa"/>
            <w:tcBorders>
              <w:top w:val="nil"/>
              <w:left w:val="nil"/>
              <w:bottom w:val="single" w:sz="4" w:space="0" w:color="auto"/>
              <w:right w:val="single" w:sz="4" w:space="0" w:color="auto"/>
            </w:tcBorders>
            <w:shd w:val="clear" w:color="auto" w:fill="auto"/>
            <w:noWrap/>
            <w:vAlign w:val="center"/>
            <w:hideMark/>
          </w:tcPr>
          <w:p w14:paraId="1670848A"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36</w:t>
            </w:r>
          </w:p>
        </w:tc>
        <w:tc>
          <w:tcPr>
            <w:tcW w:w="709" w:type="dxa"/>
            <w:tcBorders>
              <w:top w:val="nil"/>
              <w:left w:val="nil"/>
              <w:bottom w:val="single" w:sz="4" w:space="0" w:color="auto"/>
              <w:right w:val="single" w:sz="4" w:space="0" w:color="auto"/>
            </w:tcBorders>
            <w:shd w:val="clear" w:color="auto" w:fill="auto"/>
            <w:noWrap/>
            <w:vAlign w:val="center"/>
            <w:hideMark/>
          </w:tcPr>
          <w:p w14:paraId="75995335"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84</w:t>
            </w:r>
          </w:p>
        </w:tc>
        <w:tc>
          <w:tcPr>
            <w:tcW w:w="709" w:type="dxa"/>
            <w:tcBorders>
              <w:top w:val="nil"/>
              <w:left w:val="nil"/>
              <w:bottom w:val="single" w:sz="4" w:space="0" w:color="auto"/>
              <w:right w:val="single" w:sz="4" w:space="0" w:color="auto"/>
            </w:tcBorders>
            <w:shd w:val="clear" w:color="auto" w:fill="auto"/>
            <w:noWrap/>
            <w:vAlign w:val="center"/>
            <w:hideMark/>
          </w:tcPr>
          <w:p w14:paraId="161A177C"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3</w:t>
            </w:r>
          </w:p>
        </w:tc>
        <w:tc>
          <w:tcPr>
            <w:tcW w:w="850" w:type="dxa"/>
            <w:tcBorders>
              <w:top w:val="nil"/>
              <w:left w:val="nil"/>
              <w:bottom w:val="single" w:sz="4" w:space="0" w:color="auto"/>
              <w:right w:val="single" w:sz="4" w:space="0" w:color="auto"/>
            </w:tcBorders>
            <w:shd w:val="clear" w:color="auto" w:fill="auto"/>
            <w:noWrap/>
            <w:vAlign w:val="center"/>
            <w:hideMark/>
          </w:tcPr>
          <w:p w14:paraId="0203B403"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3487</w:t>
            </w:r>
          </w:p>
        </w:tc>
      </w:tr>
      <w:tr w:rsidR="000C1458" w:rsidRPr="005E2831" w14:paraId="30061C4D" w14:textId="77777777" w:rsidTr="004E37F6">
        <w:trPr>
          <w:trHeight w:val="621"/>
        </w:trPr>
        <w:tc>
          <w:tcPr>
            <w:tcW w:w="704" w:type="dxa"/>
            <w:vMerge/>
            <w:tcBorders>
              <w:top w:val="nil"/>
              <w:left w:val="single" w:sz="4" w:space="0" w:color="auto"/>
              <w:bottom w:val="single" w:sz="4" w:space="0" w:color="auto"/>
              <w:right w:val="single" w:sz="4" w:space="0" w:color="auto"/>
            </w:tcBorders>
            <w:vAlign w:val="center"/>
            <w:hideMark/>
          </w:tcPr>
          <w:p w14:paraId="7DE6DF08"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p>
        </w:tc>
        <w:tc>
          <w:tcPr>
            <w:tcW w:w="1747" w:type="dxa"/>
            <w:tcBorders>
              <w:top w:val="nil"/>
              <w:left w:val="nil"/>
              <w:bottom w:val="single" w:sz="4" w:space="0" w:color="auto"/>
              <w:right w:val="single" w:sz="4" w:space="0" w:color="auto"/>
            </w:tcBorders>
            <w:shd w:val="clear" w:color="000000" w:fill="BFBFBF"/>
            <w:vAlign w:val="center"/>
            <w:hideMark/>
          </w:tcPr>
          <w:p w14:paraId="1D0720D5"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 xml:space="preserve">Liczba </w:t>
            </w:r>
            <w:proofErr w:type="spellStart"/>
            <w:r w:rsidRPr="00B05424">
              <w:rPr>
                <w:rFonts w:ascii="Times New Roman" w:eastAsia="Times New Roman" w:hAnsi="Times New Roman" w:cs="Times New Roman"/>
                <w:color w:val="000000"/>
                <w:sz w:val="18"/>
                <w:szCs w:val="20"/>
                <w:lang w:eastAsia="pl-PL"/>
              </w:rPr>
              <w:t>jcwp</w:t>
            </w:r>
            <w:proofErr w:type="spellEnd"/>
            <w:r w:rsidRPr="00B05424">
              <w:rPr>
                <w:rFonts w:ascii="Times New Roman" w:eastAsia="Times New Roman" w:hAnsi="Times New Roman" w:cs="Times New Roman"/>
                <w:color w:val="000000"/>
                <w:sz w:val="18"/>
                <w:szCs w:val="20"/>
                <w:lang w:eastAsia="pl-PL"/>
              </w:rPr>
              <w:t xml:space="preserve"> sklasyfikowanych</w:t>
            </w:r>
          </w:p>
        </w:tc>
        <w:tc>
          <w:tcPr>
            <w:tcW w:w="571" w:type="dxa"/>
            <w:tcBorders>
              <w:top w:val="nil"/>
              <w:left w:val="nil"/>
              <w:bottom w:val="single" w:sz="4" w:space="0" w:color="auto"/>
              <w:right w:val="single" w:sz="4" w:space="0" w:color="auto"/>
            </w:tcBorders>
            <w:shd w:val="clear" w:color="auto" w:fill="auto"/>
            <w:noWrap/>
            <w:vAlign w:val="center"/>
            <w:hideMark/>
          </w:tcPr>
          <w:p w14:paraId="358346A6"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2059</w:t>
            </w:r>
          </w:p>
        </w:tc>
        <w:tc>
          <w:tcPr>
            <w:tcW w:w="565" w:type="dxa"/>
            <w:tcBorders>
              <w:top w:val="nil"/>
              <w:left w:val="nil"/>
              <w:bottom w:val="single" w:sz="4" w:space="0" w:color="auto"/>
              <w:right w:val="single" w:sz="4" w:space="0" w:color="auto"/>
            </w:tcBorders>
            <w:shd w:val="clear" w:color="auto" w:fill="auto"/>
            <w:noWrap/>
            <w:vAlign w:val="center"/>
            <w:hideMark/>
          </w:tcPr>
          <w:p w14:paraId="083A1BC9"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1292</w:t>
            </w:r>
          </w:p>
        </w:tc>
        <w:tc>
          <w:tcPr>
            <w:tcW w:w="789" w:type="dxa"/>
            <w:tcBorders>
              <w:top w:val="nil"/>
              <w:left w:val="nil"/>
              <w:bottom w:val="single" w:sz="4" w:space="0" w:color="auto"/>
              <w:right w:val="single" w:sz="4" w:space="0" w:color="auto"/>
            </w:tcBorders>
            <w:shd w:val="clear" w:color="auto" w:fill="auto"/>
            <w:noWrap/>
            <w:vAlign w:val="center"/>
            <w:hideMark/>
          </w:tcPr>
          <w:p w14:paraId="38489A74"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2</w:t>
            </w:r>
          </w:p>
        </w:tc>
        <w:tc>
          <w:tcPr>
            <w:tcW w:w="643" w:type="dxa"/>
            <w:tcBorders>
              <w:top w:val="nil"/>
              <w:left w:val="nil"/>
              <w:bottom w:val="single" w:sz="4" w:space="0" w:color="auto"/>
              <w:right w:val="single" w:sz="4" w:space="0" w:color="auto"/>
            </w:tcBorders>
            <w:shd w:val="clear" w:color="auto" w:fill="auto"/>
            <w:noWrap/>
            <w:vAlign w:val="center"/>
            <w:hideMark/>
          </w:tcPr>
          <w:p w14:paraId="545A22F7"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10</w:t>
            </w:r>
          </w:p>
        </w:tc>
        <w:tc>
          <w:tcPr>
            <w:tcW w:w="930" w:type="dxa"/>
            <w:tcBorders>
              <w:top w:val="nil"/>
              <w:left w:val="nil"/>
              <w:bottom w:val="single" w:sz="4" w:space="0" w:color="auto"/>
              <w:right w:val="single" w:sz="4" w:space="0" w:color="auto"/>
            </w:tcBorders>
            <w:shd w:val="clear" w:color="auto" w:fill="auto"/>
            <w:noWrap/>
            <w:vAlign w:val="center"/>
            <w:hideMark/>
          </w:tcPr>
          <w:p w14:paraId="20FC3ADE"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5</w:t>
            </w:r>
          </w:p>
        </w:tc>
        <w:tc>
          <w:tcPr>
            <w:tcW w:w="567" w:type="dxa"/>
            <w:tcBorders>
              <w:top w:val="nil"/>
              <w:left w:val="nil"/>
              <w:bottom w:val="single" w:sz="4" w:space="0" w:color="auto"/>
              <w:right w:val="single" w:sz="4" w:space="0" w:color="auto"/>
            </w:tcBorders>
            <w:shd w:val="clear" w:color="auto" w:fill="auto"/>
            <w:noWrap/>
            <w:vAlign w:val="center"/>
            <w:hideMark/>
          </w:tcPr>
          <w:p w14:paraId="076B2806"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7</w:t>
            </w:r>
          </w:p>
        </w:tc>
        <w:tc>
          <w:tcPr>
            <w:tcW w:w="850" w:type="dxa"/>
            <w:tcBorders>
              <w:top w:val="nil"/>
              <w:left w:val="nil"/>
              <w:bottom w:val="single" w:sz="4" w:space="0" w:color="auto"/>
              <w:right w:val="single" w:sz="4" w:space="0" w:color="auto"/>
            </w:tcBorders>
            <w:shd w:val="clear" w:color="auto" w:fill="auto"/>
            <w:noWrap/>
            <w:vAlign w:val="center"/>
            <w:hideMark/>
          </w:tcPr>
          <w:p w14:paraId="34EB2BB2"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38</w:t>
            </w:r>
          </w:p>
        </w:tc>
        <w:tc>
          <w:tcPr>
            <w:tcW w:w="709" w:type="dxa"/>
            <w:tcBorders>
              <w:top w:val="nil"/>
              <w:left w:val="nil"/>
              <w:bottom w:val="single" w:sz="4" w:space="0" w:color="auto"/>
              <w:right w:val="single" w:sz="4" w:space="0" w:color="auto"/>
            </w:tcBorders>
            <w:shd w:val="clear" w:color="auto" w:fill="auto"/>
            <w:noWrap/>
            <w:vAlign w:val="center"/>
            <w:hideMark/>
          </w:tcPr>
          <w:p w14:paraId="3CF82A60"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84</w:t>
            </w:r>
          </w:p>
        </w:tc>
        <w:tc>
          <w:tcPr>
            <w:tcW w:w="709" w:type="dxa"/>
            <w:tcBorders>
              <w:top w:val="nil"/>
              <w:left w:val="nil"/>
              <w:bottom w:val="single" w:sz="4" w:space="0" w:color="auto"/>
              <w:right w:val="single" w:sz="4" w:space="0" w:color="auto"/>
            </w:tcBorders>
            <w:shd w:val="clear" w:color="auto" w:fill="auto"/>
            <w:noWrap/>
            <w:vAlign w:val="center"/>
            <w:hideMark/>
          </w:tcPr>
          <w:p w14:paraId="177E6F22"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3</w:t>
            </w:r>
          </w:p>
        </w:tc>
        <w:tc>
          <w:tcPr>
            <w:tcW w:w="850" w:type="dxa"/>
            <w:tcBorders>
              <w:top w:val="nil"/>
              <w:left w:val="nil"/>
              <w:bottom w:val="single" w:sz="4" w:space="0" w:color="auto"/>
              <w:right w:val="single" w:sz="4" w:space="0" w:color="auto"/>
            </w:tcBorders>
            <w:shd w:val="clear" w:color="auto" w:fill="auto"/>
            <w:noWrap/>
            <w:vAlign w:val="center"/>
            <w:hideMark/>
          </w:tcPr>
          <w:p w14:paraId="687A1F0D"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3500</w:t>
            </w:r>
          </w:p>
        </w:tc>
      </w:tr>
      <w:tr w:rsidR="000C1458" w:rsidRPr="005E2831" w14:paraId="1181882B" w14:textId="77777777" w:rsidTr="004E37F6">
        <w:trPr>
          <w:trHeight w:val="844"/>
        </w:trPr>
        <w:tc>
          <w:tcPr>
            <w:tcW w:w="704" w:type="dxa"/>
            <w:vMerge/>
            <w:tcBorders>
              <w:top w:val="nil"/>
              <w:left w:val="single" w:sz="4" w:space="0" w:color="auto"/>
              <w:bottom w:val="single" w:sz="4" w:space="0" w:color="auto"/>
              <w:right w:val="single" w:sz="4" w:space="0" w:color="auto"/>
            </w:tcBorders>
            <w:vAlign w:val="center"/>
            <w:hideMark/>
          </w:tcPr>
          <w:p w14:paraId="757882FF"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p>
        </w:tc>
        <w:tc>
          <w:tcPr>
            <w:tcW w:w="1747" w:type="dxa"/>
            <w:tcBorders>
              <w:top w:val="nil"/>
              <w:left w:val="nil"/>
              <w:bottom w:val="single" w:sz="4" w:space="0" w:color="auto"/>
              <w:right w:val="single" w:sz="4" w:space="0" w:color="auto"/>
            </w:tcBorders>
            <w:shd w:val="clear" w:color="000000" w:fill="F2F2F2"/>
            <w:vAlign w:val="center"/>
            <w:hideMark/>
          </w:tcPr>
          <w:p w14:paraId="2B46665A" w14:textId="038F4661"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 xml:space="preserve">Liczba </w:t>
            </w:r>
            <w:proofErr w:type="spellStart"/>
            <w:r w:rsidRPr="00B05424">
              <w:rPr>
                <w:rFonts w:ascii="Times New Roman" w:eastAsia="Times New Roman" w:hAnsi="Times New Roman" w:cs="Times New Roman"/>
                <w:color w:val="000000"/>
                <w:sz w:val="18"/>
                <w:szCs w:val="20"/>
                <w:lang w:eastAsia="pl-PL"/>
              </w:rPr>
              <w:t>jcwp</w:t>
            </w:r>
            <w:proofErr w:type="spellEnd"/>
            <w:r w:rsidRPr="00B05424">
              <w:rPr>
                <w:rFonts w:ascii="Times New Roman" w:eastAsia="Times New Roman" w:hAnsi="Times New Roman" w:cs="Times New Roman"/>
                <w:color w:val="000000"/>
                <w:sz w:val="18"/>
                <w:szCs w:val="20"/>
                <w:lang w:eastAsia="pl-PL"/>
              </w:rPr>
              <w:t xml:space="preserve"> </w:t>
            </w:r>
            <w:r w:rsidR="00802629">
              <w:rPr>
                <w:rFonts w:ascii="Times New Roman" w:eastAsia="Times New Roman" w:hAnsi="Times New Roman" w:cs="Times New Roman"/>
                <w:color w:val="000000"/>
                <w:sz w:val="18"/>
                <w:szCs w:val="20"/>
                <w:lang w:eastAsia="pl-PL"/>
              </w:rPr>
              <w:br/>
            </w:r>
            <w:r w:rsidRPr="00B05424">
              <w:rPr>
                <w:rFonts w:ascii="Times New Roman" w:eastAsia="Times New Roman" w:hAnsi="Times New Roman" w:cs="Times New Roman"/>
                <w:color w:val="000000"/>
                <w:sz w:val="18"/>
                <w:szCs w:val="20"/>
                <w:lang w:eastAsia="pl-PL"/>
              </w:rPr>
              <w:t>z brakiem możliwości oceny stanu na podstawie monitoringu</w:t>
            </w:r>
          </w:p>
        </w:tc>
        <w:tc>
          <w:tcPr>
            <w:tcW w:w="571" w:type="dxa"/>
            <w:tcBorders>
              <w:top w:val="nil"/>
              <w:left w:val="nil"/>
              <w:bottom w:val="single" w:sz="4" w:space="0" w:color="auto"/>
              <w:right w:val="single" w:sz="4" w:space="0" w:color="auto"/>
            </w:tcBorders>
            <w:shd w:val="clear" w:color="auto" w:fill="auto"/>
            <w:noWrap/>
            <w:vAlign w:val="center"/>
            <w:hideMark/>
          </w:tcPr>
          <w:p w14:paraId="46D14BF5"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80</w:t>
            </w:r>
          </w:p>
        </w:tc>
        <w:tc>
          <w:tcPr>
            <w:tcW w:w="565" w:type="dxa"/>
            <w:tcBorders>
              <w:top w:val="nil"/>
              <w:left w:val="nil"/>
              <w:bottom w:val="single" w:sz="4" w:space="0" w:color="auto"/>
              <w:right w:val="single" w:sz="4" w:space="0" w:color="auto"/>
            </w:tcBorders>
            <w:shd w:val="clear" w:color="auto" w:fill="auto"/>
            <w:noWrap/>
            <w:vAlign w:val="center"/>
            <w:hideMark/>
          </w:tcPr>
          <w:p w14:paraId="665BD7DC"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103</w:t>
            </w:r>
          </w:p>
        </w:tc>
        <w:tc>
          <w:tcPr>
            <w:tcW w:w="789" w:type="dxa"/>
            <w:tcBorders>
              <w:top w:val="nil"/>
              <w:left w:val="nil"/>
              <w:bottom w:val="single" w:sz="4" w:space="0" w:color="auto"/>
              <w:right w:val="single" w:sz="4" w:space="0" w:color="auto"/>
            </w:tcBorders>
            <w:shd w:val="clear" w:color="auto" w:fill="auto"/>
            <w:noWrap/>
            <w:vAlign w:val="center"/>
            <w:hideMark/>
          </w:tcPr>
          <w:p w14:paraId="6C74F54D"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643" w:type="dxa"/>
            <w:tcBorders>
              <w:top w:val="nil"/>
              <w:left w:val="nil"/>
              <w:bottom w:val="single" w:sz="4" w:space="0" w:color="auto"/>
              <w:right w:val="single" w:sz="4" w:space="0" w:color="auto"/>
            </w:tcBorders>
            <w:shd w:val="clear" w:color="auto" w:fill="auto"/>
            <w:noWrap/>
            <w:vAlign w:val="center"/>
            <w:hideMark/>
          </w:tcPr>
          <w:p w14:paraId="5DF377C4"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930" w:type="dxa"/>
            <w:tcBorders>
              <w:top w:val="nil"/>
              <w:left w:val="nil"/>
              <w:bottom w:val="single" w:sz="4" w:space="0" w:color="auto"/>
              <w:right w:val="single" w:sz="4" w:space="0" w:color="auto"/>
            </w:tcBorders>
            <w:shd w:val="clear" w:color="auto" w:fill="auto"/>
            <w:noWrap/>
            <w:vAlign w:val="center"/>
            <w:hideMark/>
          </w:tcPr>
          <w:p w14:paraId="60469083"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567" w:type="dxa"/>
            <w:tcBorders>
              <w:top w:val="nil"/>
              <w:left w:val="nil"/>
              <w:bottom w:val="single" w:sz="4" w:space="0" w:color="auto"/>
              <w:right w:val="single" w:sz="4" w:space="0" w:color="auto"/>
            </w:tcBorders>
            <w:shd w:val="clear" w:color="auto" w:fill="auto"/>
            <w:noWrap/>
            <w:vAlign w:val="center"/>
            <w:hideMark/>
          </w:tcPr>
          <w:p w14:paraId="0E22EA87"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14:paraId="6C8BF6F6"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709" w:type="dxa"/>
            <w:tcBorders>
              <w:top w:val="nil"/>
              <w:left w:val="nil"/>
              <w:bottom w:val="single" w:sz="4" w:space="0" w:color="auto"/>
              <w:right w:val="single" w:sz="4" w:space="0" w:color="auto"/>
            </w:tcBorders>
            <w:shd w:val="clear" w:color="auto" w:fill="auto"/>
            <w:noWrap/>
            <w:vAlign w:val="center"/>
            <w:hideMark/>
          </w:tcPr>
          <w:p w14:paraId="508E24DE"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2</w:t>
            </w:r>
          </w:p>
        </w:tc>
        <w:tc>
          <w:tcPr>
            <w:tcW w:w="709" w:type="dxa"/>
            <w:tcBorders>
              <w:top w:val="nil"/>
              <w:left w:val="nil"/>
              <w:bottom w:val="single" w:sz="4" w:space="0" w:color="auto"/>
              <w:right w:val="single" w:sz="4" w:space="0" w:color="auto"/>
            </w:tcBorders>
            <w:shd w:val="clear" w:color="auto" w:fill="auto"/>
            <w:noWrap/>
            <w:vAlign w:val="center"/>
            <w:hideMark/>
          </w:tcPr>
          <w:p w14:paraId="782928E5"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14:paraId="5E12C7A2"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185</w:t>
            </w:r>
          </w:p>
        </w:tc>
      </w:tr>
      <w:tr w:rsidR="000C1458" w:rsidRPr="005E2831" w14:paraId="60A4E049" w14:textId="77777777" w:rsidTr="004E37F6">
        <w:trPr>
          <w:trHeight w:val="225"/>
        </w:trPr>
        <w:tc>
          <w:tcPr>
            <w:tcW w:w="704" w:type="dxa"/>
            <w:vMerge/>
            <w:tcBorders>
              <w:top w:val="nil"/>
              <w:left w:val="single" w:sz="4" w:space="0" w:color="auto"/>
              <w:bottom w:val="single" w:sz="4" w:space="0" w:color="auto"/>
              <w:right w:val="single" w:sz="4" w:space="0" w:color="auto"/>
            </w:tcBorders>
            <w:vAlign w:val="center"/>
            <w:hideMark/>
          </w:tcPr>
          <w:p w14:paraId="315185D4"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p>
        </w:tc>
        <w:tc>
          <w:tcPr>
            <w:tcW w:w="1747" w:type="dxa"/>
            <w:tcBorders>
              <w:top w:val="nil"/>
              <w:left w:val="nil"/>
              <w:bottom w:val="single" w:sz="4" w:space="0" w:color="auto"/>
              <w:right w:val="single" w:sz="4" w:space="0" w:color="auto"/>
            </w:tcBorders>
            <w:shd w:val="clear" w:color="000000" w:fill="FFFFFF"/>
            <w:vAlign w:val="center"/>
            <w:hideMark/>
          </w:tcPr>
          <w:p w14:paraId="1F87F64D" w14:textId="77777777" w:rsidR="000C1458" w:rsidRPr="00B05424"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B05424">
              <w:rPr>
                <w:rFonts w:ascii="Times New Roman" w:eastAsia="Times New Roman" w:hAnsi="Times New Roman" w:cs="Times New Roman"/>
                <w:color w:val="000000"/>
                <w:sz w:val="18"/>
                <w:szCs w:val="20"/>
                <w:lang w:eastAsia="pl-PL"/>
              </w:rPr>
              <w:t>Łącznie</w:t>
            </w:r>
          </w:p>
        </w:tc>
        <w:tc>
          <w:tcPr>
            <w:tcW w:w="571" w:type="dxa"/>
            <w:tcBorders>
              <w:top w:val="nil"/>
              <w:left w:val="nil"/>
              <w:bottom w:val="single" w:sz="4" w:space="0" w:color="auto"/>
              <w:right w:val="single" w:sz="4" w:space="0" w:color="auto"/>
            </w:tcBorders>
            <w:shd w:val="clear" w:color="auto" w:fill="auto"/>
            <w:noWrap/>
            <w:vAlign w:val="center"/>
            <w:hideMark/>
          </w:tcPr>
          <w:p w14:paraId="3E00AB1C"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2139</w:t>
            </w:r>
          </w:p>
        </w:tc>
        <w:tc>
          <w:tcPr>
            <w:tcW w:w="565" w:type="dxa"/>
            <w:tcBorders>
              <w:top w:val="nil"/>
              <w:left w:val="nil"/>
              <w:bottom w:val="single" w:sz="4" w:space="0" w:color="auto"/>
              <w:right w:val="single" w:sz="4" w:space="0" w:color="auto"/>
            </w:tcBorders>
            <w:shd w:val="clear" w:color="auto" w:fill="auto"/>
            <w:noWrap/>
            <w:vAlign w:val="center"/>
            <w:hideMark/>
          </w:tcPr>
          <w:p w14:paraId="3AB1216C"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1395</w:t>
            </w:r>
          </w:p>
        </w:tc>
        <w:tc>
          <w:tcPr>
            <w:tcW w:w="789" w:type="dxa"/>
            <w:tcBorders>
              <w:top w:val="nil"/>
              <w:left w:val="nil"/>
              <w:bottom w:val="single" w:sz="4" w:space="0" w:color="auto"/>
              <w:right w:val="single" w:sz="4" w:space="0" w:color="auto"/>
            </w:tcBorders>
            <w:shd w:val="clear" w:color="auto" w:fill="auto"/>
            <w:noWrap/>
            <w:vAlign w:val="center"/>
            <w:hideMark/>
          </w:tcPr>
          <w:p w14:paraId="385BF451"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2</w:t>
            </w:r>
          </w:p>
        </w:tc>
        <w:tc>
          <w:tcPr>
            <w:tcW w:w="643" w:type="dxa"/>
            <w:tcBorders>
              <w:top w:val="nil"/>
              <w:left w:val="nil"/>
              <w:bottom w:val="single" w:sz="4" w:space="0" w:color="auto"/>
              <w:right w:val="single" w:sz="4" w:space="0" w:color="auto"/>
            </w:tcBorders>
            <w:shd w:val="clear" w:color="auto" w:fill="auto"/>
            <w:noWrap/>
            <w:vAlign w:val="center"/>
            <w:hideMark/>
          </w:tcPr>
          <w:p w14:paraId="3AB8973A"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10</w:t>
            </w:r>
          </w:p>
        </w:tc>
        <w:tc>
          <w:tcPr>
            <w:tcW w:w="930" w:type="dxa"/>
            <w:tcBorders>
              <w:top w:val="nil"/>
              <w:left w:val="nil"/>
              <w:bottom w:val="single" w:sz="4" w:space="0" w:color="auto"/>
              <w:right w:val="single" w:sz="4" w:space="0" w:color="auto"/>
            </w:tcBorders>
            <w:shd w:val="clear" w:color="auto" w:fill="auto"/>
            <w:noWrap/>
            <w:vAlign w:val="center"/>
            <w:hideMark/>
          </w:tcPr>
          <w:p w14:paraId="568E50B4"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5</w:t>
            </w:r>
          </w:p>
        </w:tc>
        <w:tc>
          <w:tcPr>
            <w:tcW w:w="567" w:type="dxa"/>
            <w:tcBorders>
              <w:top w:val="nil"/>
              <w:left w:val="nil"/>
              <w:bottom w:val="single" w:sz="4" w:space="0" w:color="auto"/>
              <w:right w:val="single" w:sz="4" w:space="0" w:color="auto"/>
            </w:tcBorders>
            <w:shd w:val="clear" w:color="auto" w:fill="auto"/>
            <w:noWrap/>
            <w:vAlign w:val="center"/>
            <w:hideMark/>
          </w:tcPr>
          <w:p w14:paraId="2CBAF1EB"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7</w:t>
            </w:r>
          </w:p>
        </w:tc>
        <w:tc>
          <w:tcPr>
            <w:tcW w:w="850" w:type="dxa"/>
            <w:tcBorders>
              <w:top w:val="nil"/>
              <w:left w:val="nil"/>
              <w:bottom w:val="single" w:sz="4" w:space="0" w:color="auto"/>
              <w:right w:val="single" w:sz="4" w:space="0" w:color="auto"/>
            </w:tcBorders>
            <w:shd w:val="clear" w:color="auto" w:fill="auto"/>
            <w:noWrap/>
            <w:vAlign w:val="center"/>
            <w:hideMark/>
          </w:tcPr>
          <w:p w14:paraId="1ADF86C3"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38</w:t>
            </w:r>
          </w:p>
        </w:tc>
        <w:tc>
          <w:tcPr>
            <w:tcW w:w="709" w:type="dxa"/>
            <w:tcBorders>
              <w:top w:val="nil"/>
              <w:left w:val="nil"/>
              <w:bottom w:val="single" w:sz="4" w:space="0" w:color="auto"/>
              <w:right w:val="single" w:sz="4" w:space="0" w:color="auto"/>
            </w:tcBorders>
            <w:shd w:val="clear" w:color="auto" w:fill="auto"/>
            <w:noWrap/>
            <w:vAlign w:val="center"/>
            <w:hideMark/>
          </w:tcPr>
          <w:p w14:paraId="0C4197C6"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86</w:t>
            </w:r>
          </w:p>
        </w:tc>
        <w:tc>
          <w:tcPr>
            <w:tcW w:w="709" w:type="dxa"/>
            <w:tcBorders>
              <w:top w:val="nil"/>
              <w:left w:val="nil"/>
              <w:bottom w:val="single" w:sz="4" w:space="0" w:color="auto"/>
              <w:right w:val="single" w:sz="4" w:space="0" w:color="auto"/>
            </w:tcBorders>
            <w:shd w:val="clear" w:color="auto" w:fill="auto"/>
            <w:noWrap/>
            <w:vAlign w:val="center"/>
            <w:hideMark/>
          </w:tcPr>
          <w:p w14:paraId="4B682B7F"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3</w:t>
            </w:r>
          </w:p>
        </w:tc>
        <w:tc>
          <w:tcPr>
            <w:tcW w:w="850" w:type="dxa"/>
            <w:tcBorders>
              <w:top w:val="nil"/>
              <w:left w:val="nil"/>
              <w:bottom w:val="single" w:sz="4" w:space="0" w:color="auto"/>
              <w:right w:val="single" w:sz="4" w:space="0" w:color="auto"/>
            </w:tcBorders>
            <w:shd w:val="clear" w:color="auto" w:fill="auto"/>
            <w:noWrap/>
            <w:vAlign w:val="center"/>
            <w:hideMark/>
          </w:tcPr>
          <w:p w14:paraId="76597330" w14:textId="77777777" w:rsidR="000C1458" w:rsidRPr="00AA0413" w:rsidRDefault="000C1458" w:rsidP="0025528B">
            <w:pPr>
              <w:spacing w:after="60" w:line="240" w:lineRule="auto"/>
              <w:jc w:val="center"/>
              <w:rPr>
                <w:rFonts w:ascii="Times New Roman" w:eastAsia="Times New Roman" w:hAnsi="Times New Roman" w:cs="Times New Roman"/>
                <w:color w:val="000000"/>
                <w:sz w:val="18"/>
                <w:szCs w:val="20"/>
                <w:lang w:eastAsia="pl-PL"/>
              </w:rPr>
            </w:pPr>
            <w:r w:rsidRPr="00AA0413">
              <w:rPr>
                <w:rFonts w:ascii="Times New Roman" w:eastAsia="Times New Roman" w:hAnsi="Times New Roman" w:cs="Times New Roman"/>
                <w:color w:val="000000"/>
                <w:sz w:val="18"/>
                <w:szCs w:val="20"/>
                <w:lang w:eastAsia="pl-PL"/>
              </w:rPr>
              <w:t>3685</w:t>
            </w:r>
          </w:p>
        </w:tc>
      </w:tr>
    </w:tbl>
    <w:p w14:paraId="303D476F" w14:textId="77777777" w:rsidR="000C1458" w:rsidRPr="005E2831" w:rsidRDefault="000C1458" w:rsidP="000C1458">
      <w:pPr>
        <w:spacing w:after="60" w:line="300" w:lineRule="atLeast"/>
        <w:jc w:val="both"/>
        <w:rPr>
          <w:rFonts w:ascii="Times New Roman" w:hAnsi="Times New Roman" w:cs="Times New Roman"/>
          <w:b/>
        </w:rPr>
      </w:pPr>
      <w:r w:rsidRPr="005E2831">
        <w:rPr>
          <w:rFonts w:ascii="Times New Roman" w:hAnsi="Times New Roman" w:cs="Times New Roman"/>
        </w:rPr>
        <w:fldChar w:fldCharType="end"/>
      </w:r>
    </w:p>
    <w:p w14:paraId="49F47E12" w14:textId="67A7D90A" w:rsidR="000C1458" w:rsidRPr="005E2831" w:rsidRDefault="000C1458" w:rsidP="004E37F6">
      <w:pPr>
        <w:spacing w:after="60" w:line="300" w:lineRule="atLeast"/>
        <w:ind w:firstLine="709"/>
        <w:jc w:val="both"/>
        <w:rPr>
          <w:rFonts w:ascii="Times New Roman" w:hAnsi="Times New Roman" w:cs="Times New Roman"/>
          <w:sz w:val="24"/>
          <w:szCs w:val="24"/>
        </w:rPr>
      </w:pPr>
      <w:r w:rsidRPr="005E2831">
        <w:rPr>
          <w:rFonts w:ascii="Times New Roman" w:hAnsi="Times New Roman" w:cs="Times New Roman"/>
          <w:sz w:val="24"/>
          <w:szCs w:val="24"/>
        </w:rPr>
        <w:t xml:space="preserve">Przeprowadzenie klasyfikacji stanu chemicznego było możliwe dla 2630 monitorowanych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rzecznych, przy czym 87,6%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osiągnęło stan chemiczny poniżej dobrego.</w:t>
      </w:r>
    </w:p>
    <w:p w14:paraId="439552FA" w14:textId="77777777" w:rsidR="000C1458" w:rsidRPr="005E2831" w:rsidRDefault="000C1458" w:rsidP="0068480F">
      <w:pPr>
        <w:spacing w:after="60" w:line="300" w:lineRule="atLeast"/>
        <w:ind w:firstLine="567"/>
        <w:jc w:val="both"/>
        <w:rPr>
          <w:rFonts w:ascii="Times New Roman" w:hAnsi="Times New Roman" w:cs="Times New Roman"/>
          <w:sz w:val="24"/>
          <w:szCs w:val="24"/>
        </w:rPr>
      </w:pPr>
      <w:r w:rsidRPr="005E2831">
        <w:rPr>
          <w:rFonts w:ascii="Times New Roman" w:hAnsi="Times New Roman" w:cs="Times New Roman"/>
          <w:sz w:val="24"/>
          <w:szCs w:val="24"/>
        </w:rPr>
        <w:t xml:space="preserve">Oceny ogólnego stanu dokonano w 3500 </w:t>
      </w:r>
      <w:proofErr w:type="spellStart"/>
      <w:r w:rsidRPr="005E2831">
        <w:rPr>
          <w:rFonts w:ascii="Times New Roman" w:hAnsi="Times New Roman" w:cs="Times New Roman"/>
          <w:sz w:val="24"/>
          <w:szCs w:val="24"/>
        </w:rPr>
        <w:t>jcwp</w:t>
      </w:r>
      <w:proofErr w:type="spellEnd"/>
      <w:r w:rsidRPr="005E2831">
        <w:rPr>
          <w:rFonts w:ascii="Times New Roman" w:hAnsi="Times New Roman" w:cs="Times New Roman"/>
          <w:sz w:val="24"/>
          <w:szCs w:val="24"/>
        </w:rPr>
        <w:t xml:space="preserve">, z czego tylko w przypadku 13 (0,4%) stwierdzono stan dobry, natomiast w 3487 (94,6%) stwierdzono stan zły, dla 185 (5%) nie było </w:t>
      </w:r>
      <w:r w:rsidRPr="005E2831">
        <w:rPr>
          <w:rFonts w:ascii="Times New Roman" w:hAnsi="Times New Roman" w:cs="Times New Roman"/>
          <w:sz w:val="24"/>
          <w:szCs w:val="24"/>
        </w:rPr>
        <w:lastRenderedPageBreak/>
        <w:t xml:space="preserve">możliwości wykonania oceny. Ocena stanu wód w przypadku braku informacji o stanie chemicznym wykonywana była tylko jeżeli klasyfikacja stanu/potencjału ekologicznego dała wynik poniżej dobrego. Stan dla takich </w:t>
      </w:r>
      <w:proofErr w:type="spellStart"/>
      <w:r w:rsidRPr="005E2831">
        <w:rPr>
          <w:rFonts w:ascii="Times New Roman" w:hAnsi="Times New Roman" w:cs="Times New Roman"/>
          <w:sz w:val="24"/>
          <w:szCs w:val="24"/>
        </w:rPr>
        <w:t>jcwp</w:t>
      </w:r>
      <w:proofErr w:type="spellEnd"/>
      <w:r w:rsidRPr="005E2831">
        <w:rPr>
          <w:rFonts w:ascii="Times New Roman" w:hAnsi="Times New Roman" w:cs="Times New Roman"/>
          <w:sz w:val="24"/>
          <w:szCs w:val="24"/>
        </w:rPr>
        <w:t xml:space="preserve"> ustalano jako zły. </w:t>
      </w:r>
    </w:p>
    <w:p w14:paraId="529D23E0" w14:textId="77777777" w:rsidR="000C1458" w:rsidRPr="005E2831" w:rsidRDefault="000C1458" w:rsidP="0068480F">
      <w:pPr>
        <w:spacing w:after="60" w:line="300" w:lineRule="atLeast"/>
        <w:ind w:firstLine="567"/>
        <w:jc w:val="both"/>
        <w:rPr>
          <w:rFonts w:ascii="Times New Roman" w:hAnsi="Times New Roman" w:cs="Times New Roman"/>
          <w:sz w:val="24"/>
          <w:szCs w:val="24"/>
        </w:rPr>
      </w:pPr>
      <w:r w:rsidRPr="005E2831">
        <w:rPr>
          <w:rFonts w:ascii="Times New Roman" w:hAnsi="Times New Roman" w:cs="Times New Roman"/>
          <w:sz w:val="24"/>
          <w:szCs w:val="24"/>
        </w:rPr>
        <w:t xml:space="preserve">Wśród elementów, które w największym stopniu decydowały o stanie/potencjale ekologicznym poniżej dobrego, należy w przypadku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rzecznych wyróżnić elementy fizykochemiczne (3.1 – 3.5) i biologiczne. Natomiast spośród elementów biologicznych </w:t>
      </w:r>
      <w:r w:rsidRPr="005E2831">
        <w:rPr>
          <w:rFonts w:ascii="Times New Roman" w:hAnsi="Times New Roman" w:cs="Times New Roman"/>
          <w:sz w:val="24"/>
          <w:szCs w:val="24"/>
        </w:rPr>
        <w:br/>
        <w:t xml:space="preserve">o stanie/potencjale ekologicznym poniżej dobrego decydowały najczęściej: </w:t>
      </w:r>
      <w:proofErr w:type="spellStart"/>
      <w:r w:rsidRPr="005E2831">
        <w:rPr>
          <w:rFonts w:ascii="Times New Roman" w:hAnsi="Times New Roman" w:cs="Times New Roman"/>
          <w:sz w:val="24"/>
          <w:szCs w:val="24"/>
        </w:rPr>
        <w:t>makrobezkręgowce</w:t>
      </w:r>
      <w:proofErr w:type="spellEnd"/>
      <w:r w:rsidRPr="005E2831">
        <w:rPr>
          <w:rFonts w:ascii="Times New Roman" w:hAnsi="Times New Roman" w:cs="Times New Roman"/>
          <w:sz w:val="24"/>
          <w:szCs w:val="24"/>
        </w:rPr>
        <w:t xml:space="preserve"> bentosowe (32,9% przypadków) oraz ichtiofauna (31,6% przypadków). Stan chemiczny prawie wszystkich badanych rzek jest zły, przy czym zawsze przynajmniej jednym z parametrów </w:t>
      </w:r>
      <w:r w:rsidRPr="005E2831">
        <w:rPr>
          <w:rFonts w:ascii="Times New Roman" w:hAnsi="Times New Roman" w:cs="Times New Roman"/>
          <w:sz w:val="24"/>
          <w:szCs w:val="24"/>
        </w:rPr>
        <w:br/>
        <w:t xml:space="preserve">o tym decydujących jest zawartość </w:t>
      </w:r>
      <w:bookmarkStart w:id="394" w:name="_Hlk118650004"/>
      <w:r w:rsidRPr="005E2831">
        <w:rPr>
          <w:rFonts w:ascii="Times New Roman" w:hAnsi="Times New Roman" w:cs="Times New Roman"/>
          <w:sz w:val="24"/>
          <w:szCs w:val="24"/>
        </w:rPr>
        <w:t xml:space="preserve">bromowanych </w:t>
      </w:r>
      <w:proofErr w:type="spellStart"/>
      <w:r w:rsidRPr="005E2831">
        <w:rPr>
          <w:rFonts w:ascii="Times New Roman" w:hAnsi="Times New Roman" w:cs="Times New Roman"/>
          <w:sz w:val="24"/>
          <w:szCs w:val="24"/>
        </w:rPr>
        <w:t>difenyloeterów</w:t>
      </w:r>
      <w:bookmarkEnd w:id="394"/>
      <w:proofErr w:type="spellEnd"/>
      <w:r w:rsidRPr="005E2831">
        <w:rPr>
          <w:rFonts w:ascii="Times New Roman" w:hAnsi="Times New Roman" w:cs="Times New Roman"/>
          <w:sz w:val="24"/>
          <w:szCs w:val="24"/>
        </w:rPr>
        <w:t xml:space="preserve"> (</w:t>
      </w:r>
      <w:proofErr w:type="spellStart"/>
      <w:r w:rsidRPr="005E2831">
        <w:rPr>
          <w:rFonts w:ascii="Times New Roman" w:hAnsi="Times New Roman" w:cs="Times New Roman"/>
          <w:sz w:val="24"/>
          <w:szCs w:val="24"/>
        </w:rPr>
        <w:t>pBDE</w:t>
      </w:r>
      <w:proofErr w:type="spellEnd"/>
      <w:r w:rsidRPr="005E2831">
        <w:rPr>
          <w:rFonts w:ascii="Times New Roman" w:hAnsi="Times New Roman" w:cs="Times New Roman"/>
          <w:sz w:val="24"/>
          <w:szCs w:val="24"/>
        </w:rPr>
        <w:t xml:space="preserve">) w tkankach ryb. </w:t>
      </w:r>
    </w:p>
    <w:p w14:paraId="71762728" w14:textId="2A07B6CE" w:rsidR="000C1458" w:rsidRPr="005E2831" w:rsidRDefault="000C1458" w:rsidP="0068480F">
      <w:pPr>
        <w:spacing w:after="60" w:line="300" w:lineRule="atLeast"/>
        <w:ind w:firstLine="567"/>
        <w:jc w:val="both"/>
        <w:rPr>
          <w:rFonts w:ascii="Times New Roman" w:hAnsi="Times New Roman" w:cs="Times New Roman"/>
          <w:sz w:val="24"/>
          <w:szCs w:val="24"/>
        </w:rPr>
      </w:pPr>
      <w:r w:rsidRPr="005E2831">
        <w:rPr>
          <w:rFonts w:ascii="Times New Roman" w:hAnsi="Times New Roman" w:cs="Times New Roman"/>
          <w:sz w:val="24"/>
          <w:szCs w:val="24"/>
        </w:rPr>
        <w:t xml:space="preserve">W </w:t>
      </w:r>
      <w:proofErr w:type="spellStart"/>
      <w:r w:rsidRPr="005E2831">
        <w:rPr>
          <w:rFonts w:ascii="Times New Roman" w:hAnsi="Times New Roman" w:cs="Times New Roman"/>
          <w:sz w:val="24"/>
          <w:szCs w:val="24"/>
        </w:rPr>
        <w:t>jcwp</w:t>
      </w:r>
      <w:proofErr w:type="spellEnd"/>
      <w:r w:rsidRPr="005E2831">
        <w:rPr>
          <w:rFonts w:ascii="Times New Roman" w:hAnsi="Times New Roman" w:cs="Times New Roman"/>
          <w:sz w:val="24"/>
          <w:szCs w:val="24"/>
        </w:rPr>
        <w:t xml:space="preserve">, w których z różnych względów nie wykonano badań w reprezentatywnym punkcie pomiarowo-kontrolnym w latach 2016-2021, ich klasyfikacja i ocena wykonana została metodą przeniesienia z </w:t>
      </w:r>
      <w:proofErr w:type="spellStart"/>
      <w:r w:rsidRPr="005E2831">
        <w:rPr>
          <w:rFonts w:ascii="Times New Roman" w:hAnsi="Times New Roman" w:cs="Times New Roman"/>
          <w:sz w:val="24"/>
          <w:szCs w:val="24"/>
        </w:rPr>
        <w:t>jcwp</w:t>
      </w:r>
      <w:proofErr w:type="spellEnd"/>
      <w:r w:rsidRPr="005E2831">
        <w:rPr>
          <w:rFonts w:ascii="Times New Roman" w:hAnsi="Times New Roman" w:cs="Times New Roman"/>
          <w:sz w:val="24"/>
          <w:szCs w:val="24"/>
        </w:rPr>
        <w:t xml:space="preserve"> monitorowanych na niemonitorowane. Statystyczne podsumowanie klasyfikacji i oceny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rzecznych metodą przeniesienia przedstawiono w</w:t>
      </w:r>
      <w:r>
        <w:rPr>
          <w:rFonts w:ascii="Times New Roman" w:hAnsi="Times New Roman" w:cs="Times New Roman"/>
          <w:sz w:val="24"/>
          <w:szCs w:val="24"/>
        </w:rPr>
        <w:t> </w:t>
      </w:r>
      <w:r w:rsidRPr="005E2831">
        <w:rPr>
          <w:rFonts w:ascii="Times New Roman" w:hAnsi="Times New Roman" w:cs="Times New Roman"/>
          <w:sz w:val="24"/>
          <w:szCs w:val="24"/>
        </w:rPr>
        <w:t>tabeli 2</w:t>
      </w:r>
      <w:r w:rsidR="00743C80">
        <w:rPr>
          <w:rFonts w:ascii="Times New Roman" w:hAnsi="Times New Roman" w:cs="Times New Roman"/>
          <w:sz w:val="24"/>
          <w:szCs w:val="24"/>
        </w:rPr>
        <w:t>4</w:t>
      </w:r>
      <w:r w:rsidRPr="005E2831">
        <w:rPr>
          <w:rFonts w:ascii="Times New Roman" w:hAnsi="Times New Roman" w:cs="Times New Roman"/>
          <w:sz w:val="24"/>
          <w:szCs w:val="24"/>
        </w:rPr>
        <w:t xml:space="preserve">. Uwzględniono przy tym podział na dorzecza, a także wskazano łączną liczbę klasyfikowanych i ocenianych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hAnsi="Times New Roman" w:cs="Times New Roman"/>
          <w:sz w:val="24"/>
          <w:szCs w:val="24"/>
        </w:rPr>
        <w:t>.</w:t>
      </w:r>
    </w:p>
    <w:p w14:paraId="2CABA83B" w14:textId="77777777" w:rsidR="002F5150" w:rsidRPr="005E2831" w:rsidRDefault="002F5150" w:rsidP="002F5150">
      <w:pPr>
        <w:spacing w:after="60" w:line="300" w:lineRule="atLeast"/>
        <w:ind w:firstLine="567"/>
        <w:jc w:val="both"/>
        <w:rPr>
          <w:rFonts w:ascii="Times New Roman" w:hAnsi="Times New Roman" w:cs="Times New Roman"/>
          <w:sz w:val="24"/>
          <w:szCs w:val="24"/>
        </w:rPr>
      </w:pPr>
      <w:r w:rsidRPr="005E2831">
        <w:rPr>
          <w:rFonts w:ascii="Times New Roman" w:hAnsi="Times New Roman" w:cs="Times New Roman"/>
          <w:sz w:val="24"/>
          <w:szCs w:val="24"/>
        </w:rPr>
        <w:t xml:space="preserve">Klasyfikacja stanu ekologicznego w oparciu o przeniesienie była możliwa w 903 naturalnych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rzecznych. Największy udział w sklasyfikowanych naturalnych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stanowią te o umiarkowanym stanie ekologicznym (57,9%). Bardzo dobry stan ekologiczny odnotowano w 1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hAnsi="Times New Roman" w:cs="Times New Roman"/>
          <w:sz w:val="24"/>
          <w:szCs w:val="24"/>
        </w:rPr>
        <w:t xml:space="preserve">, przy czym 10,4% analizowanych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rzecznych osiągnęło stan dobry. Stan słaby oraz zły odnotowano w 31,6%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rzecznych, objętych klasyfikacją w oparciu </w:t>
      </w:r>
      <w:r w:rsidRPr="005E2831">
        <w:rPr>
          <w:rFonts w:ascii="Times New Roman" w:hAnsi="Times New Roman" w:cs="Times New Roman"/>
          <w:sz w:val="24"/>
          <w:szCs w:val="24"/>
        </w:rPr>
        <w:br/>
        <w:t>o przeniesienie.</w:t>
      </w:r>
    </w:p>
    <w:p w14:paraId="5061AF28" w14:textId="77777777" w:rsidR="002F5150" w:rsidRPr="005E2831" w:rsidRDefault="002F5150" w:rsidP="002F5150">
      <w:pPr>
        <w:spacing w:after="60" w:line="300" w:lineRule="atLeast"/>
        <w:ind w:firstLine="567"/>
        <w:jc w:val="both"/>
        <w:rPr>
          <w:rFonts w:ascii="Times New Roman" w:hAnsi="Times New Roman" w:cs="Times New Roman"/>
          <w:sz w:val="24"/>
          <w:szCs w:val="24"/>
        </w:rPr>
      </w:pPr>
      <w:r w:rsidRPr="005E2831">
        <w:rPr>
          <w:rFonts w:ascii="Times New Roman" w:hAnsi="Times New Roman" w:cs="Times New Roman"/>
          <w:sz w:val="24"/>
          <w:szCs w:val="24"/>
        </w:rPr>
        <w:t xml:space="preserve">Klasyfikacja potencjału ekologicznego metodą przeniesienia była możliwa dla 172 silnie zmienionych i sztucznych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rzecznych. Największy udział w sklasyfikowanych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hAnsi="Times New Roman" w:cs="Times New Roman"/>
          <w:sz w:val="24"/>
          <w:szCs w:val="24"/>
        </w:rPr>
        <w:t xml:space="preserve">, analogicznie jak w przypadku stanu ekologicznego, stanowią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rzeczne o umiarkowanym potencjale ekologicznym (44,2%). W żadnym przypadku nie odnotowano maksymalnego potencjału ekologicznego, przy czym 22,1% analizowanych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rzecznych osiągnęło potencjał dobry. Słaby oraz zły potencjał ekologiczny odnotowano w 33,7%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rzecznych, objętych klasyfikacją w oparciu o przeniesienie.</w:t>
      </w:r>
    </w:p>
    <w:p w14:paraId="4E89758F" w14:textId="77777777" w:rsidR="002F5150" w:rsidRPr="005E2831" w:rsidRDefault="002F5150" w:rsidP="002F5150">
      <w:pPr>
        <w:spacing w:after="60" w:line="300" w:lineRule="atLeast"/>
        <w:ind w:firstLine="567"/>
        <w:jc w:val="both"/>
        <w:rPr>
          <w:rFonts w:ascii="Times New Roman" w:hAnsi="Times New Roman" w:cs="Times New Roman"/>
          <w:sz w:val="24"/>
          <w:szCs w:val="24"/>
        </w:rPr>
      </w:pPr>
      <w:r w:rsidRPr="005E2831">
        <w:rPr>
          <w:rFonts w:ascii="Times New Roman" w:hAnsi="Times New Roman" w:cs="Times New Roman"/>
          <w:sz w:val="24"/>
          <w:szCs w:val="24"/>
        </w:rPr>
        <w:t xml:space="preserve">Klasyfikacja stanu chemicznego przy wykorzystaniu metody przeniesienia była możliwa dla 753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rzecznych, przy czym 91,1%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osiągnęło stan chemiczny poniżej dobrego.</w:t>
      </w:r>
    </w:p>
    <w:p w14:paraId="5CC9211E" w14:textId="0A6FDB99" w:rsidR="000C1458" w:rsidRPr="005E2831" w:rsidRDefault="002F5150" w:rsidP="004E37F6">
      <w:pPr>
        <w:spacing w:after="60" w:line="300" w:lineRule="atLeast"/>
        <w:ind w:firstLine="567"/>
        <w:jc w:val="both"/>
        <w:rPr>
          <w:rFonts w:ascii="Times New Roman" w:hAnsi="Times New Roman" w:cs="Times New Roman"/>
          <w:b/>
        </w:rPr>
      </w:pPr>
      <w:r w:rsidRPr="005E2831">
        <w:rPr>
          <w:rFonts w:ascii="Times New Roman" w:hAnsi="Times New Roman" w:cs="Times New Roman"/>
          <w:sz w:val="24"/>
          <w:szCs w:val="24"/>
        </w:rPr>
        <w:t xml:space="preserve">Ocena stanu metodą przeniesienia wykonana dla 1085 rzek wykazała, iż zły stan wód odnotowano w 99,2%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rzecznych.</w:t>
      </w:r>
    </w:p>
    <w:p w14:paraId="1D41FFA4" w14:textId="77777777" w:rsidR="008A0D53" w:rsidRDefault="008A0D53" w:rsidP="000C1458">
      <w:pPr>
        <w:spacing w:after="60" w:line="300" w:lineRule="atLeast"/>
        <w:jc w:val="both"/>
        <w:rPr>
          <w:rFonts w:ascii="Times New Roman" w:hAnsi="Times New Roman" w:cs="Times New Roman"/>
          <w:b/>
        </w:rPr>
      </w:pPr>
    </w:p>
    <w:p w14:paraId="765428EE" w14:textId="77777777" w:rsidR="008A0D53" w:rsidRDefault="008A0D53" w:rsidP="000C1458">
      <w:pPr>
        <w:spacing w:after="60" w:line="300" w:lineRule="atLeast"/>
        <w:jc w:val="both"/>
        <w:rPr>
          <w:rFonts w:ascii="Times New Roman" w:hAnsi="Times New Roman" w:cs="Times New Roman"/>
          <w:b/>
        </w:rPr>
      </w:pPr>
    </w:p>
    <w:p w14:paraId="18018631" w14:textId="77777777" w:rsidR="008A0D53" w:rsidRDefault="008A0D53" w:rsidP="000C1458">
      <w:pPr>
        <w:spacing w:after="60" w:line="300" w:lineRule="atLeast"/>
        <w:jc w:val="both"/>
        <w:rPr>
          <w:rFonts w:ascii="Times New Roman" w:hAnsi="Times New Roman" w:cs="Times New Roman"/>
          <w:b/>
        </w:rPr>
      </w:pPr>
    </w:p>
    <w:p w14:paraId="6866A164" w14:textId="15B33B95" w:rsidR="000C1458" w:rsidRPr="005E2831" w:rsidRDefault="000C1458" w:rsidP="000C1458">
      <w:pPr>
        <w:spacing w:after="60" w:line="300" w:lineRule="atLeast"/>
        <w:jc w:val="both"/>
        <w:rPr>
          <w:rFonts w:ascii="Times New Roman" w:hAnsi="Times New Roman" w:cs="Times New Roman"/>
        </w:rPr>
      </w:pPr>
      <w:r w:rsidRPr="005E2831">
        <w:rPr>
          <w:rFonts w:ascii="Times New Roman" w:hAnsi="Times New Roman" w:cs="Times New Roman"/>
          <w:b/>
        </w:rPr>
        <w:t>Tabela 2</w:t>
      </w:r>
      <w:r w:rsidR="001D61F0">
        <w:rPr>
          <w:rFonts w:ascii="Times New Roman" w:hAnsi="Times New Roman" w:cs="Times New Roman"/>
          <w:b/>
        </w:rPr>
        <w:t>4</w:t>
      </w:r>
      <w:r w:rsidRPr="005E2831">
        <w:rPr>
          <w:rFonts w:ascii="Times New Roman" w:hAnsi="Times New Roman" w:cs="Times New Roman"/>
          <w:b/>
        </w:rPr>
        <w:t xml:space="preserve">. Podsumowanie statystyczne klasyfikacji i oceny jednolitych części wód rzecznych dokonanej </w:t>
      </w:r>
      <w:r w:rsidRPr="005E2831">
        <w:rPr>
          <w:rFonts w:ascii="Times New Roman" w:hAnsi="Times New Roman" w:cs="Times New Roman"/>
          <w:b/>
          <w:bCs/>
          <w:iCs/>
        </w:rPr>
        <w:t xml:space="preserve">za 2021 rok </w:t>
      </w:r>
      <w:r w:rsidRPr="005E2831">
        <w:rPr>
          <w:rFonts w:ascii="Times New Roman" w:hAnsi="Times New Roman" w:cs="Times New Roman"/>
          <w:b/>
        </w:rPr>
        <w:t>metodą przeniesienia, w podziale na dorzecza</w:t>
      </w:r>
      <w:r w:rsidRPr="005E2831">
        <w:rPr>
          <w:rFonts w:ascii="Times New Roman" w:eastAsia="Calibri" w:hAnsi="Times New Roman" w:cs="Times New Roman"/>
          <w:sz w:val="24"/>
          <w:szCs w:val="24"/>
          <w:lang w:eastAsia="pl-PL"/>
        </w:rPr>
        <w:fldChar w:fldCharType="begin"/>
      </w:r>
      <w:r w:rsidRPr="005E2831">
        <w:rPr>
          <w:rFonts w:ascii="Times New Roman" w:eastAsia="Calibri" w:hAnsi="Times New Roman" w:cs="Times New Roman"/>
          <w:sz w:val="24"/>
          <w:szCs w:val="24"/>
          <w:lang w:eastAsia="pl-PL"/>
        </w:rPr>
        <w:instrText xml:space="preserve"> LINK Excel.Sheet.12 "\\\\192.168.0.240\\dm\\Katalog DM\\WODY\\SPRAWOZDANIA Z DZIALALNOSCI\\SPRAWOZDANIE ZA 2022\\Tabele ocenowe do sprawozdania.xlsx" "Tab. 3!W4K1:W24K12" \a \f 4 \h  \* MERGEFORMAT </w:instrText>
      </w:r>
      <w:r w:rsidRPr="005E2831">
        <w:rPr>
          <w:rFonts w:ascii="Times New Roman" w:eastAsia="Calibri" w:hAnsi="Times New Roman" w:cs="Times New Roman"/>
          <w:sz w:val="24"/>
          <w:szCs w:val="24"/>
          <w:lang w:eastAsia="pl-PL"/>
        </w:rPr>
        <w:fldChar w:fldCharType="separate"/>
      </w:r>
    </w:p>
    <w:tbl>
      <w:tblPr>
        <w:tblW w:w="9351" w:type="dxa"/>
        <w:tblCellMar>
          <w:left w:w="70" w:type="dxa"/>
          <w:right w:w="70" w:type="dxa"/>
        </w:tblCellMar>
        <w:tblLook w:val="04A0" w:firstRow="1" w:lastRow="0" w:firstColumn="1" w:lastColumn="0" w:noHBand="0" w:noVBand="1"/>
      </w:tblPr>
      <w:tblGrid>
        <w:gridCol w:w="845"/>
        <w:gridCol w:w="1920"/>
        <w:gridCol w:w="620"/>
        <w:gridCol w:w="608"/>
        <w:gridCol w:w="670"/>
        <w:gridCol w:w="624"/>
        <w:gridCol w:w="820"/>
        <w:gridCol w:w="608"/>
        <w:gridCol w:w="710"/>
        <w:gridCol w:w="690"/>
        <w:gridCol w:w="660"/>
        <w:gridCol w:w="710"/>
      </w:tblGrid>
      <w:tr w:rsidR="000C1458" w:rsidRPr="005E2831" w14:paraId="1C7CBEE4" w14:textId="77777777" w:rsidTr="0025528B">
        <w:trPr>
          <w:trHeight w:val="450"/>
        </w:trPr>
        <w:tc>
          <w:tcPr>
            <w:tcW w:w="2765" w:type="dxa"/>
            <w:gridSpan w:val="2"/>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444A74F6" w14:textId="77777777" w:rsidR="000C1458" w:rsidRPr="00D75E6D" w:rsidRDefault="000C1458" w:rsidP="0025528B">
            <w:pPr>
              <w:spacing w:after="60"/>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Oceny jednolitych części wód powierzchniowych rzecznych</w:t>
            </w:r>
          </w:p>
        </w:tc>
        <w:tc>
          <w:tcPr>
            <w:tcW w:w="6010" w:type="dxa"/>
            <w:gridSpan w:val="9"/>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7775CFF7"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Dorzecze</w:t>
            </w:r>
          </w:p>
        </w:tc>
        <w:tc>
          <w:tcPr>
            <w:tcW w:w="576"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7DB82552"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Łącznie</w:t>
            </w:r>
          </w:p>
        </w:tc>
      </w:tr>
      <w:tr w:rsidR="000C1458" w:rsidRPr="005E2831" w14:paraId="1C22F933" w14:textId="77777777" w:rsidTr="0025528B">
        <w:trPr>
          <w:trHeight w:val="450"/>
        </w:trPr>
        <w:tc>
          <w:tcPr>
            <w:tcW w:w="2765" w:type="dxa"/>
            <w:gridSpan w:val="2"/>
            <w:vMerge/>
            <w:tcBorders>
              <w:top w:val="single" w:sz="4" w:space="0" w:color="auto"/>
              <w:left w:val="single" w:sz="4" w:space="0" w:color="auto"/>
              <w:bottom w:val="single" w:sz="4" w:space="0" w:color="auto"/>
              <w:right w:val="single" w:sz="4" w:space="0" w:color="auto"/>
            </w:tcBorders>
            <w:vAlign w:val="center"/>
            <w:hideMark/>
          </w:tcPr>
          <w:p w14:paraId="78B3ED4B"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6010" w:type="dxa"/>
            <w:gridSpan w:val="9"/>
            <w:vMerge/>
            <w:tcBorders>
              <w:top w:val="single" w:sz="4" w:space="0" w:color="auto"/>
              <w:left w:val="single" w:sz="4" w:space="0" w:color="auto"/>
              <w:bottom w:val="single" w:sz="4" w:space="0" w:color="auto"/>
              <w:right w:val="single" w:sz="4" w:space="0" w:color="auto"/>
            </w:tcBorders>
            <w:vAlign w:val="center"/>
            <w:hideMark/>
          </w:tcPr>
          <w:p w14:paraId="29A3467E"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576" w:type="dxa"/>
            <w:vMerge/>
            <w:tcBorders>
              <w:top w:val="single" w:sz="4" w:space="0" w:color="auto"/>
              <w:left w:val="single" w:sz="4" w:space="0" w:color="auto"/>
              <w:bottom w:val="single" w:sz="4" w:space="0" w:color="auto"/>
              <w:right w:val="single" w:sz="4" w:space="0" w:color="auto"/>
            </w:tcBorders>
            <w:vAlign w:val="center"/>
            <w:hideMark/>
          </w:tcPr>
          <w:p w14:paraId="77D40724"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r>
      <w:tr w:rsidR="000C1458" w:rsidRPr="005E2831" w14:paraId="502D897D" w14:textId="77777777" w:rsidTr="0025528B">
        <w:trPr>
          <w:trHeight w:val="300"/>
        </w:trPr>
        <w:tc>
          <w:tcPr>
            <w:tcW w:w="2765" w:type="dxa"/>
            <w:gridSpan w:val="2"/>
            <w:vMerge/>
            <w:tcBorders>
              <w:top w:val="single" w:sz="4" w:space="0" w:color="auto"/>
              <w:left w:val="single" w:sz="4" w:space="0" w:color="auto"/>
              <w:bottom w:val="single" w:sz="4" w:space="0" w:color="auto"/>
              <w:right w:val="single" w:sz="4" w:space="0" w:color="auto"/>
            </w:tcBorders>
            <w:vAlign w:val="center"/>
            <w:hideMark/>
          </w:tcPr>
          <w:p w14:paraId="04BEDC98"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620" w:type="dxa"/>
            <w:tcBorders>
              <w:top w:val="nil"/>
              <w:left w:val="nil"/>
              <w:bottom w:val="single" w:sz="4" w:space="0" w:color="auto"/>
              <w:right w:val="single" w:sz="4" w:space="0" w:color="auto"/>
            </w:tcBorders>
            <w:shd w:val="clear" w:color="000000" w:fill="BFBFBF"/>
            <w:vAlign w:val="center"/>
            <w:hideMark/>
          </w:tcPr>
          <w:p w14:paraId="29215623"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Wisła</w:t>
            </w:r>
          </w:p>
        </w:tc>
        <w:tc>
          <w:tcPr>
            <w:tcW w:w="608" w:type="dxa"/>
            <w:tcBorders>
              <w:top w:val="nil"/>
              <w:left w:val="nil"/>
              <w:bottom w:val="single" w:sz="4" w:space="0" w:color="auto"/>
              <w:right w:val="single" w:sz="4" w:space="0" w:color="auto"/>
            </w:tcBorders>
            <w:shd w:val="clear" w:color="000000" w:fill="BFBFBF"/>
            <w:vAlign w:val="center"/>
            <w:hideMark/>
          </w:tcPr>
          <w:p w14:paraId="7EF248EA"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Odra</w:t>
            </w:r>
          </w:p>
        </w:tc>
        <w:tc>
          <w:tcPr>
            <w:tcW w:w="670" w:type="dxa"/>
            <w:tcBorders>
              <w:top w:val="nil"/>
              <w:left w:val="nil"/>
              <w:bottom w:val="single" w:sz="4" w:space="0" w:color="auto"/>
              <w:right w:val="single" w:sz="4" w:space="0" w:color="auto"/>
            </w:tcBorders>
            <w:shd w:val="clear" w:color="000000" w:fill="BFBFBF"/>
            <w:vAlign w:val="center"/>
            <w:hideMark/>
          </w:tcPr>
          <w:p w14:paraId="2FE42ECC"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Dniestr</w:t>
            </w:r>
          </w:p>
        </w:tc>
        <w:tc>
          <w:tcPr>
            <w:tcW w:w="624" w:type="dxa"/>
            <w:tcBorders>
              <w:top w:val="nil"/>
              <w:left w:val="nil"/>
              <w:bottom w:val="single" w:sz="4" w:space="0" w:color="auto"/>
              <w:right w:val="single" w:sz="4" w:space="0" w:color="auto"/>
            </w:tcBorders>
            <w:shd w:val="clear" w:color="000000" w:fill="BFBFBF"/>
            <w:vAlign w:val="center"/>
            <w:hideMark/>
          </w:tcPr>
          <w:p w14:paraId="5FE41044"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Dunaj</w:t>
            </w:r>
          </w:p>
        </w:tc>
        <w:tc>
          <w:tcPr>
            <w:tcW w:w="820" w:type="dxa"/>
            <w:tcBorders>
              <w:top w:val="nil"/>
              <w:left w:val="nil"/>
              <w:bottom w:val="single" w:sz="4" w:space="0" w:color="auto"/>
              <w:right w:val="single" w:sz="4" w:space="0" w:color="auto"/>
            </w:tcBorders>
            <w:shd w:val="clear" w:color="000000" w:fill="BFBFBF"/>
            <w:vAlign w:val="center"/>
            <w:hideMark/>
          </w:tcPr>
          <w:p w14:paraId="4B50D778"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proofErr w:type="spellStart"/>
            <w:r w:rsidRPr="00D75E6D">
              <w:rPr>
                <w:rFonts w:ascii="Times New Roman" w:eastAsia="Times New Roman" w:hAnsi="Times New Roman" w:cs="Times New Roman"/>
                <w:color w:val="000000"/>
                <w:sz w:val="18"/>
                <w:szCs w:val="18"/>
                <w:lang w:eastAsia="pl-PL"/>
              </w:rPr>
              <w:t>Banówka</w:t>
            </w:r>
            <w:proofErr w:type="spellEnd"/>
          </w:p>
        </w:tc>
        <w:tc>
          <w:tcPr>
            <w:tcW w:w="608" w:type="dxa"/>
            <w:tcBorders>
              <w:top w:val="nil"/>
              <w:left w:val="nil"/>
              <w:bottom w:val="single" w:sz="4" w:space="0" w:color="auto"/>
              <w:right w:val="single" w:sz="4" w:space="0" w:color="auto"/>
            </w:tcBorders>
            <w:shd w:val="clear" w:color="000000" w:fill="BFBFBF"/>
            <w:vAlign w:val="center"/>
            <w:hideMark/>
          </w:tcPr>
          <w:p w14:paraId="7766FD78"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Łaba</w:t>
            </w:r>
          </w:p>
        </w:tc>
        <w:tc>
          <w:tcPr>
            <w:tcW w:w="710" w:type="dxa"/>
            <w:tcBorders>
              <w:top w:val="nil"/>
              <w:left w:val="nil"/>
              <w:bottom w:val="single" w:sz="4" w:space="0" w:color="auto"/>
              <w:right w:val="single" w:sz="4" w:space="0" w:color="auto"/>
            </w:tcBorders>
            <w:shd w:val="clear" w:color="000000" w:fill="BFBFBF"/>
            <w:vAlign w:val="center"/>
            <w:hideMark/>
          </w:tcPr>
          <w:p w14:paraId="4516CD7E"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Niemen</w:t>
            </w:r>
          </w:p>
        </w:tc>
        <w:tc>
          <w:tcPr>
            <w:tcW w:w="690" w:type="dxa"/>
            <w:tcBorders>
              <w:top w:val="nil"/>
              <w:left w:val="nil"/>
              <w:bottom w:val="single" w:sz="4" w:space="0" w:color="auto"/>
              <w:right w:val="single" w:sz="4" w:space="0" w:color="auto"/>
            </w:tcBorders>
            <w:shd w:val="clear" w:color="000000" w:fill="BFBFBF"/>
            <w:vAlign w:val="center"/>
            <w:hideMark/>
          </w:tcPr>
          <w:p w14:paraId="16D64001"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Pregoła</w:t>
            </w:r>
          </w:p>
        </w:tc>
        <w:tc>
          <w:tcPr>
            <w:tcW w:w="660" w:type="dxa"/>
            <w:tcBorders>
              <w:top w:val="nil"/>
              <w:left w:val="nil"/>
              <w:bottom w:val="single" w:sz="4" w:space="0" w:color="auto"/>
              <w:right w:val="single" w:sz="4" w:space="0" w:color="auto"/>
            </w:tcBorders>
            <w:shd w:val="clear" w:color="000000" w:fill="BFBFBF"/>
            <w:vAlign w:val="center"/>
            <w:hideMark/>
          </w:tcPr>
          <w:p w14:paraId="3462290D"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Świeża</w:t>
            </w:r>
          </w:p>
        </w:tc>
        <w:tc>
          <w:tcPr>
            <w:tcW w:w="576" w:type="dxa"/>
            <w:vMerge/>
            <w:tcBorders>
              <w:top w:val="single" w:sz="4" w:space="0" w:color="auto"/>
              <w:left w:val="single" w:sz="4" w:space="0" w:color="auto"/>
              <w:bottom w:val="single" w:sz="4" w:space="0" w:color="auto"/>
              <w:right w:val="single" w:sz="4" w:space="0" w:color="auto"/>
            </w:tcBorders>
            <w:vAlign w:val="center"/>
            <w:hideMark/>
          </w:tcPr>
          <w:p w14:paraId="34CDA486"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r>
      <w:tr w:rsidR="000C1458" w:rsidRPr="005E2831" w14:paraId="02ADFFE4" w14:textId="77777777" w:rsidTr="0025528B">
        <w:trPr>
          <w:trHeight w:val="300"/>
        </w:trPr>
        <w:tc>
          <w:tcPr>
            <w:tcW w:w="845" w:type="dxa"/>
            <w:vMerge w:val="restart"/>
            <w:tcBorders>
              <w:top w:val="nil"/>
              <w:left w:val="single" w:sz="4" w:space="0" w:color="auto"/>
              <w:bottom w:val="nil"/>
              <w:right w:val="single" w:sz="4" w:space="0" w:color="auto"/>
            </w:tcBorders>
            <w:shd w:val="clear" w:color="auto" w:fill="auto"/>
            <w:textDirection w:val="btLr"/>
            <w:vAlign w:val="center"/>
            <w:hideMark/>
          </w:tcPr>
          <w:p w14:paraId="7E004DF5"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Klasyfikacja stanu</w:t>
            </w:r>
            <w:r w:rsidRPr="00D75E6D">
              <w:rPr>
                <w:rFonts w:ascii="Times New Roman" w:eastAsia="Times New Roman" w:hAnsi="Times New Roman" w:cs="Times New Roman"/>
                <w:color w:val="000000"/>
                <w:sz w:val="18"/>
                <w:szCs w:val="18"/>
                <w:lang w:eastAsia="pl-PL"/>
              </w:rPr>
              <w:br/>
              <w:t>ekologicznego</w:t>
            </w:r>
          </w:p>
        </w:tc>
        <w:tc>
          <w:tcPr>
            <w:tcW w:w="1920" w:type="dxa"/>
            <w:tcBorders>
              <w:top w:val="nil"/>
              <w:left w:val="nil"/>
              <w:bottom w:val="single" w:sz="4" w:space="0" w:color="auto"/>
              <w:right w:val="single" w:sz="4" w:space="0" w:color="auto"/>
            </w:tcBorders>
            <w:shd w:val="clear" w:color="000000" w:fill="00B0F0"/>
            <w:vAlign w:val="center"/>
            <w:hideMark/>
          </w:tcPr>
          <w:p w14:paraId="6CBBB021"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Bardzo dobry</w:t>
            </w:r>
          </w:p>
        </w:tc>
        <w:tc>
          <w:tcPr>
            <w:tcW w:w="620" w:type="dxa"/>
            <w:tcBorders>
              <w:top w:val="nil"/>
              <w:left w:val="nil"/>
              <w:bottom w:val="single" w:sz="4" w:space="0" w:color="auto"/>
              <w:right w:val="single" w:sz="4" w:space="0" w:color="auto"/>
            </w:tcBorders>
            <w:shd w:val="clear" w:color="auto" w:fill="auto"/>
            <w:noWrap/>
            <w:vAlign w:val="center"/>
            <w:hideMark/>
          </w:tcPr>
          <w:p w14:paraId="7760D334"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08" w:type="dxa"/>
            <w:tcBorders>
              <w:top w:val="nil"/>
              <w:left w:val="nil"/>
              <w:bottom w:val="single" w:sz="4" w:space="0" w:color="auto"/>
              <w:right w:val="single" w:sz="4" w:space="0" w:color="auto"/>
            </w:tcBorders>
            <w:shd w:val="clear" w:color="auto" w:fill="auto"/>
            <w:noWrap/>
            <w:vAlign w:val="center"/>
            <w:hideMark/>
          </w:tcPr>
          <w:p w14:paraId="58935D69"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70" w:type="dxa"/>
            <w:tcBorders>
              <w:top w:val="nil"/>
              <w:left w:val="nil"/>
              <w:bottom w:val="single" w:sz="4" w:space="0" w:color="auto"/>
              <w:right w:val="single" w:sz="4" w:space="0" w:color="auto"/>
            </w:tcBorders>
            <w:shd w:val="clear" w:color="auto" w:fill="auto"/>
            <w:noWrap/>
            <w:vAlign w:val="center"/>
            <w:hideMark/>
          </w:tcPr>
          <w:p w14:paraId="28737829"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24" w:type="dxa"/>
            <w:tcBorders>
              <w:top w:val="nil"/>
              <w:left w:val="nil"/>
              <w:bottom w:val="single" w:sz="4" w:space="0" w:color="auto"/>
              <w:right w:val="single" w:sz="4" w:space="0" w:color="auto"/>
            </w:tcBorders>
            <w:shd w:val="clear" w:color="auto" w:fill="auto"/>
            <w:noWrap/>
            <w:vAlign w:val="center"/>
            <w:hideMark/>
          </w:tcPr>
          <w:p w14:paraId="70D58FC3"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820" w:type="dxa"/>
            <w:tcBorders>
              <w:top w:val="nil"/>
              <w:left w:val="nil"/>
              <w:bottom w:val="single" w:sz="4" w:space="0" w:color="auto"/>
              <w:right w:val="single" w:sz="4" w:space="0" w:color="auto"/>
            </w:tcBorders>
            <w:shd w:val="clear" w:color="auto" w:fill="auto"/>
            <w:noWrap/>
            <w:vAlign w:val="center"/>
            <w:hideMark/>
          </w:tcPr>
          <w:p w14:paraId="4BF927FF"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08" w:type="dxa"/>
            <w:tcBorders>
              <w:top w:val="nil"/>
              <w:left w:val="nil"/>
              <w:bottom w:val="single" w:sz="4" w:space="0" w:color="auto"/>
              <w:right w:val="single" w:sz="4" w:space="0" w:color="auto"/>
            </w:tcBorders>
            <w:shd w:val="clear" w:color="auto" w:fill="auto"/>
            <w:noWrap/>
            <w:vAlign w:val="center"/>
            <w:hideMark/>
          </w:tcPr>
          <w:p w14:paraId="30803ABA"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4259CA49"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90" w:type="dxa"/>
            <w:tcBorders>
              <w:top w:val="nil"/>
              <w:left w:val="nil"/>
              <w:bottom w:val="single" w:sz="4" w:space="0" w:color="auto"/>
              <w:right w:val="single" w:sz="4" w:space="0" w:color="auto"/>
            </w:tcBorders>
            <w:shd w:val="clear" w:color="auto" w:fill="auto"/>
            <w:noWrap/>
            <w:vAlign w:val="center"/>
            <w:hideMark/>
          </w:tcPr>
          <w:p w14:paraId="09B22EC3"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60" w:type="dxa"/>
            <w:tcBorders>
              <w:top w:val="nil"/>
              <w:left w:val="nil"/>
              <w:bottom w:val="single" w:sz="4" w:space="0" w:color="auto"/>
              <w:right w:val="single" w:sz="4" w:space="0" w:color="auto"/>
            </w:tcBorders>
            <w:shd w:val="clear" w:color="auto" w:fill="auto"/>
            <w:noWrap/>
            <w:vAlign w:val="center"/>
            <w:hideMark/>
          </w:tcPr>
          <w:p w14:paraId="13B892F5"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576" w:type="dxa"/>
            <w:tcBorders>
              <w:top w:val="nil"/>
              <w:left w:val="nil"/>
              <w:bottom w:val="single" w:sz="4" w:space="0" w:color="auto"/>
              <w:right w:val="single" w:sz="4" w:space="0" w:color="auto"/>
            </w:tcBorders>
            <w:shd w:val="clear" w:color="auto" w:fill="auto"/>
            <w:noWrap/>
            <w:vAlign w:val="center"/>
            <w:hideMark/>
          </w:tcPr>
          <w:p w14:paraId="2AEA899C"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w:t>
            </w:r>
          </w:p>
        </w:tc>
      </w:tr>
      <w:tr w:rsidR="000C1458" w:rsidRPr="005E2831" w14:paraId="737D271D" w14:textId="77777777" w:rsidTr="0025528B">
        <w:trPr>
          <w:trHeight w:val="300"/>
        </w:trPr>
        <w:tc>
          <w:tcPr>
            <w:tcW w:w="845" w:type="dxa"/>
            <w:vMerge/>
            <w:tcBorders>
              <w:top w:val="nil"/>
              <w:left w:val="single" w:sz="4" w:space="0" w:color="auto"/>
              <w:bottom w:val="nil"/>
              <w:right w:val="single" w:sz="4" w:space="0" w:color="auto"/>
            </w:tcBorders>
            <w:vAlign w:val="center"/>
            <w:hideMark/>
          </w:tcPr>
          <w:p w14:paraId="683E759D"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1920" w:type="dxa"/>
            <w:tcBorders>
              <w:top w:val="nil"/>
              <w:left w:val="nil"/>
              <w:bottom w:val="single" w:sz="4" w:space="0" w:color="auto"/>
              <w:right w:val="single" w:sz="4" w:space="0" w:color="auto"/>
            </w:tcBorders>
            <w:shd w:val="clear" w:color="000000" w:fill="92D050"/>
            <w:vAlign w:val="center"/>
            <w:hideMark/>
          </w:tcPr>
          <w:p w14:paraId="3F32F32F"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Dobry</w:t>
            </w:r>
          </w:p>
        </w:tc>
        <w:tc>
          <w:tcPr>
            <w:tcW w:w="620" w:type="dxa"/>
            <w:tcBorders>
              <w:top w:val="nil"/>
              <w:left w:val="nil"/>
              <w:bottom w:val="single" w:sz="4" w:space="0" w:color="auto"/>
              <w:right w:val="single" w:sz="4" w:space="0" w:color="auto"/>
            </w:tcBorders>
            <w:shd w:val="clear" w:color="auto" w:fill="auto"/>
            <w:noWrap/>
            <w:vAlign w:val="center"/>
            <w:hideMark/>
          </w:tcPr>
          <w:p w14:paraId="20A8392E"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15</w:t>
            </w:r>
          </w:p>
        </w:tc>
        <w:tc>
          <w:tcPr>
            <w:tcW w:w="608" w:type="dxa"/>
            <w:tcBorders>
              <w:top w:val="nil"/>
              <w:left w:val="nil"/>
              <w:bottom w:val="single" w:sz="4" w:space="0" w:color="auto"/>
              <w:right w:val="single" w:sz="4" w:space="0" w:color="auto"/>
            </w:tcBorders>
            <w:shd w:val="clear" w:color="auto" w:fill="auto"/>
            <w:noWrap/>
            <w:vAlign w:val="center"/>
            <w:hideMark/>
          </w:tcPr>
          <w:p w14:paraId="70A64AC9"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10</w:t>
            </w:r>
          </w:p>
        </w:tc>
        <w:tc>
          <w:tcPr>
            <w:tcW w:w="670" w:type="dxa"/>
            <w:tcBorders>
              <w:top w:val="nil"/>
              <w:left w:val="nil"/>
              <w:bottom w:val="single" w:sz="4" w:space="0" w:color="auto"/>
              <w:right w:val="single" w:sz="4" w:space="0" w:color="auto"/>
            </w:tcBorders>
            <w:shd w:val="clear" w:color="auto" w:fill="auto"/>
            <w:noWrap/>
            <w:vAlign w:val="center"/>
            <w:hideMark/>
          </w:tcPr>
          <w:p w14:paraId="36900040"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24" w:type="dxa"/>
            <w:tcBorders>
              <w:top w:val="nil"/>
              <w:left w:val="nil"/>
              <w:bottom w:val="single" w:sz="4" w:space="0" w:color="auto"/>
              <w:right w:val="single" w:sz="4" w:space="0" w:color="auto"/>
            </w:tcBorders>
            <w:shd w:val="clear" w:color="auto" w:fill="auto"/>
            <w:noWrap/>
            <w:vAlign w:val="center"/>
            <w:hideMark/>
          </w:tcPr>
          <w:p w14:paraId="4D665B36"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820" w:type="dxa"/>
            <w:tcBorders>
              <w:top w:val="nil"/>
              <w:left w:val="nil"/>
              <w:bottom w:val="single" w:sz="4" w:space="0" w:color="auto"/>
              <w:right w:val="single" w:sz="4" w:space="0" w:color="auto"/>
            </w:tcBorders>
            <w:shd w:val="clear" w:color="auto" w:fill="auto"/>
            <w:noWrap/>
            <w:vAlign w:val="center"/>
            <w:hideMark/>
          </w:tcPr>
          <w:p w14:paraId="6AC5F6CA"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08" w:type="dxa"/>
            <w:tcBorders>
              <w:top w:val="nil"/>
              <w:left w:val="nil"/>
              <w:bottom w:val="single" w:sz="4" w:space="0" w:color="auto"/>
              <w:right w:val="single" w:sz="4" w:space="0" w:color="auto"/>
            </w:tcBorders>
            <w:shd w:val="clear" w:color="auto" w:fill="auto"/>
            <w:noWrap/>
            <w:vAlign w:val="center"/>
            <w:hideMark/>
          </w:tcPr>
          <w:p w14:paraId="47998ADC"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6870EDEA"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90" w:type="dxa"/>
            <w:tcBorders>
              <w:top w:val="nil"/>
              <w:left w:val="nil"/>
              <w:bottom w:val="single" w:sz="4" w:space="0" w:color="auto"/>
              <w:right w:val="single" w:sz="4" w:space="0" w:color="auto"/>
            </w:tcBorders>
            <w:shd w:val="clear" w:color="auto" w:fill="auto"/>
            <w:noWrap/>
            <w:vAlign w:val="center"/>
            <w:hideMark/>
          </w:tcPr>
          <w:p w14:paraId="4F641B99"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60" w:type="dxa"/>
            <w:tcBorders>
              <w:top w:val="nil"/>
              <w:left w:val="nil"/>
              <w:bottom w:val="single" w:sz="4" w:space="0" w:color="auto"/>
              <w:right w:val="single" w:sz="4" w:space="0" w:color="auto"/>
            </w:tcBorders>
            <w:shd w:val="clear" w:color="auto" w:fill="auto"/>
            <w:noWrap/>
            <w:vAlign w:val="center"/>
            <w:hideMark/>
          </w:tcPr>
          <w:p w14:paraId="4E83A482"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576" w:type="dxa"/>
            <w:tcBorders>
              <w:top w:val="nil"/>
              <w:left w:val="nil"/>
              <w:bottom w:val="single" w:sz="4" w:space="0" w:color="auto"/>
              <w:right w:val="single" w:sz="4" w:space="0" w:color="auto"/>
            </w:tcBorders>
            <w:shd w:val="clear" w:color="auto" w:fill="auto"/>
            <w:noWrap/>
            <w:vAlign w:val="center"/>
            <w:hideMark/>
          </w:tcPr>
          <w:p w14:paraId="2B4AE698"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94</w:t>
            </w:r>
          </w:p>
        </w:tc>
      </w:tr>
      <w:tr w:rsidR="000C1458" w:rsidRPr="005E2831" w14:paraId="1428F7AA" w14:textId="77777777" w:rsidTr="0025528B">
        <w:trPr>
          <w:trHeight w:val="300"/>
        </w:trPr>
        <w:tc>
          <w:tcPr>
            <w:tcW w:w="845" w:type="dxa"/>
            <w:vMerge/>
            <w:tcBorders>
              <w:top w:val="nil"/>
              <w:left w:val="single" w:sz="4" w:space="0" w:color="auto"/>
              <w:bottom w:val="nil"/>
              <w:right w:val="single" w:sz="4" w:space="0" w:color="auto"/>
            </w:tcBorders>
            <w:vAlign w:val="center"/>
            <w:hideMark/>
          </w:tcPr>
          <w:p w14:paraId="235271D5"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1920" w:type="dxa"/>
            <w:tcBorders>
              <w:top w:val="nil"/>
              <w:left w:val="nil"/>
              <w:bottom w:val="single" w:sz="4" w:space="0" w:color="auto"/>
              <w:right w:val="single" w:sz="4" w:space="0" w:color="auto"/>
            </w:tcBorders>
            <w:shd w:val="clear" w:color="000000" w:fill="FFFF00"/>
            <w:vAlign w:val="center"/>
            <w:hideMark/>
          </w:tcPr>
          <w:p w14:paraId="2CE5BA3E"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Umiarkowany</w:t>
            </w:r>
          </w:p>
        </w:tc>
        <w:tc>
          <w:tcPr>
            <w:tcW w:w="620" w:type="dxa"/>
            <w:tcBorders>
              <w:top w:val="nil"/>
              <w:left w:val="nil"/>
              <w:bottom w:val="single" w:sz="4" w:space="0" w:color="auto"/>
              <w:right w:val="single" w:sz="4" w:space="0" w:color="auto"/>
            </w:tcBorders>
            <w:shd w:val="clear" w:color="auto" w:fill="auto"/>
            <w:noWrap/>
            <w:vAlign w:val="center"/>
            <w:hideMark/>
          </w:tcPr>
          <w:p w14:paraId="0426A967"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322</w:t>
            </w:r>
          </w:p>
        </w:tc>
        <w:tc>
          <w:tcPr>
            <w:tcW w:w="608" w:type="dxa"/>
            <w:tcBorders>
              <w:top w:val="nil"/>
              <w:left w:val="nil"/>
              <w:bottom w:val="single" w:sz="4" w:space="0" w:color="auto"/>
              <w:right w:val="single" w:sz="4" w:space="0" w:color="auto"/>
            </w:tcBorders>
            <w:shd w:val="clear" w:color="auto" w:fill="auto"/>
            <w:noWrap/>
            <w:vAlign w:val="center"/>
            <w:hideMark/>
          </w:tcPr>
          <w:p w14:paraId="5A3D95D4"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178</w:t>
            </w:r>
          </w:p>
        </w:tc>
        <w:tc>
          <w:tcPr>
            <w:tcW w:w="670" w:type="dxa"/>
            <w:tcBorders>
              <w:top w:val="nil"/>
              <w:left w:val="nil"/>
              <w:bottom w:val="single" w:sz="4" w:space="0" w:color="auto"/>
              <w:right w:val="single" w:sz="4" w:space="0" w:color="auto"/>
            </w:tcBorders>
            <w:shd w:val="clear" w:color="auto" w:fill="auto"/>
            <w:noWrap/>
            <w:vAlign w:val="center"/>
            <w:hideMark/>
          </w:tcPr>
          <w:p w14:paraId="07A9D5D0"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w:t>
            </w:r>
          </w:p>
        </w:tc>
        <w:tc>
          <w:tcPr>
            <w:tcW w:w="624" w:type="dxa"/>
            <w:tcBorders>
              <w:top w:val="nil"/>
              <w:left w:val="nil"/>
              <w:bottom w:val="single" w:sz="4" w:space="0" w:color="auto"/>
              <w:right w:val="single" w:sz="4" w:space="0" w:color="auto"/>
            </w:tcBorders>
            <w:shd w:val="clear" w:color="auto" w:fill="auto"/>
            <w:noWrap/>
            <w:vAlign w:val="center"/>
            <w:hideMark/>
          </w:tcPr>
          <w:p w14:paraId="197C4057"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w:t>
            </w:r>
          </w:p>
        </w:tc>
        <w:tc>
          <w:tcPr>
            <w:tcW w:w="820" w:type="dxa"/>
            <w:tcBorders>
              <w:top w:val="nil"/>
              <w:left w:val="nil"/>
              <w:bottom w:val="single" w:sz="4" w:space="0" w:color="auto"/>
              <w:right w:val="single" w:sz="4" w:space="0" w:color="auto"/>
            </w:tcBorders>
            <w:shd w:val="clear" w:color="auto" w:fill="auto"/>
            <w:noWrap/>
            <w:vAlign w:val="center"/>
            <w:hideMark/>
          </w:tcPr>
          <w:p w14:paraId="4EBD10C9"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08" w:type="dxa"/>
            <w:tcBorders>
              <w:top w:val="nil"/>
              <w:left w:val="nil"/>
              <w:bottom w:val="single" w:sz="4" w:space="0" w:color="auto"/>
              <w:right w:val="single" w:sz="4" w:space="0" w:color="auto"/>
            </w:tcBorders>
            <w:shd w:val="clear" w:color="auto" w:fill="auto"/>
            <w:noWrap/>
            <w:vAlign w:val="center"/>
            <w:hideMark/>
          </w:tcPr>
          <w:p w14:paraId="4639DE4A"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35118C9C"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w:t>
            </w:r>
          </w:p>
        </w:tc>
        <w:tc>
          <w:tcPr>
            <w:tcW w:w="690" w:type="dxa"/>
            <w:tcBorders>
              <w:top w:val="nil"/>
              <w:left w:val="nil"/>
              <w:bottom w:val="single" w:sz="4" w:space="0" w:color="auto"/>
              <w:right w:val="single" w:sz="4" w:space="0" w:color="auto"/>
            </w:tcBorders>
            <w:shd w:val="clear" w:color="auto" w:fill="auto"/>
            <w:noWrap/>
            <w:vAlign w:val="center"/>
            <w:hideMark/>
          </w:tcPr>
          <w:p w14:paraId="7D4BFA56"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19</w:t>
            </w:r>
          </w:p>
        </w:tc>
        <w:tc>
          <w:tcPr>
            <w:tcW w:w="660" w:type="dxa"/>
            <w:tcBorders>
              <w:top w:val="nil"/>
              <w:left w:val="nil"/>
              <w:bottom w:val="single" w:sz="4" w:space="0" w:color="auto"/>
              <w:right w:val="single" w:sz="4" w:space="0" w:color="auto"/>
            </w:tcBorders>
            <w:shd w:val="clear" w:color="auto" w:fill="auto"/>
            <w:noWrap/>
            <w:vAlign w:val="center"/>
            <w:hideMark/>
          </w:tcPr>
          <w:p w14:paraId="66CFA1E3"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w:t>
            </w:r>
          </w:p>
        </w:tc>
        <w:tc>
          <w:tcPr>
            <w:tcW w:w="576" w:type="dxa"/>
            <w:tcBorders>
              <w:top w:val="nil"/>
              <w:left w:val="nil"/>
              <w:bottom w:val="single" w:sz="4" w:space="0" w:color="auto"/>
              <w:right w:val="single" w:sz="4" w:space="0" w:color="auto"/>
            </w:tcBorders>
            <w:shd w:val="clear" w:color="auto" w:fill="auto"/>
            <w:noWrap/>
            <w:vAlign w:val="center"/>
            <w:hideMark/>
          </w:tcPr>
          <w:p w14:paraId="468269FD"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523</w:t>
            </w:r>
          </w:p>
        </w:tc>
      </w:tr>
      <w:tr w:rsidR="000C1458" w:rsidRPr="005E2831" w14:paraId="560196BE" w14:textId="77777777" w:rsidTr="0025528B">
        <w:trPr>
          <w:trHeight w:val="300"/>
        </w:trPr>
        <w:tc>
          <w:tcPr>
            <w:tcW w:w="845" w:type="dxa"/>
            <w:vMerge/>
            <w:tcBorders>
              <w:top w:val="nil"/>
              <w:left w:val="single" w:sz="4" w:space="0" w:color="auto"/>
              <w:bottom w:val="nil"/>
              <w:right w:val="single" w:sz="4" w:space="0" w:color="auto"/>
            </w:tcBorders>
            <w:vAlign w:val="center"/>
            <w:hideMark/>
          </w:tcPr>
          <w:p w14:paraId="02B1E5B1"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1920" w:type="dxa"/>
            <w:tcBorders>
              <w:top w:val="nil"/>
              <w:left w:val="nil"/>
              <w:bottom w:val="single" w:sz="4" w:space="0" w:color="auto"/>
              <w:right w:val="single" w:sz="4" w:space="0" w:color="auto"/>
            </w:tcBorders>
            <w:shd w:val="clear" w:color="000000" w:fill="FFC000"/>
            <w:vAlign w:val="center"/>
            <w:hideMark/>
          </w:tcPr>
          <w:p w14:paraId="7DC55BDD"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Słaby</w:t>
            </w:r>
          </w:p>
        </w:tc>
        <w:tc>
          <w:tcPr>
            <w:tcW w:w="620" w:type="dxa"/>
            <w:tcBorders>
              <w:top w:val="nil"/>
              <w:left w:val="nil"/>
              <w:bottom w:val="single" w:sz="4" w:space="0" w:color="auto"/>
              <w:right w:val="single" w:sz="4" w:space="0" w:color="auto"/>
            </w:tcBorders>
            <w:shd w:val="clear" w:color="auto" w:fill="auto"/>
            <w:noWrap/>
            <w:vAlign w:val="center"/>
            <w:hideMark/>
          </w:tcPr>
          <w:p w14:paraId="17621FB5"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92</w:t>
            </w:r>
          </w:p>
        </w:tc>
        <w:tc>
          <w:tcPr>
            <w:tcW w:w="608" w:type="dxa"/>
            <w:tcBorders>
              <w:top w:val="nil"/>
              <w:left w:val="nil"/>
              <w:bottom w:val="single" w:sz="4" w:space="0" w:color="auto"/>
              <w:right w:val="single" w:sz="4" w:space="0" w:color="auto"/>
            </w:tcBorders>
            <w:shd w:val="clear" w:color="auto" w:fill="auto"/>
            <w:noWrap/>
            <w:vAlign w:val="center"/>
            <w:hideMark/>
          </w:tcPr>
          <w:p w14:paraId="2A6714E2"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90</w:t>
            </w:r>
          </w:p>
        </w:tc>
        <w:tc>
          <w:tcPr>
            <w:tcW w:w="670" w:type="dxa"/>
            <w:tcBorders>
              <w:top w:val="nil"/>
              <w:left w:val="nil"/>
              <w:bottom w:val="single" w:sz="4" w:space="0" w:color="auto"/>
              <w:right w:val="single" w:sz="4" w:space="0" w:color="auto"/>
            </w:tcBorders>
            <w:shd w:val="clear" w:color="auto" w:fill="auto"/>
            <w:noWrap/>
            <w:vAlign w:val="center"/>
            <w:hideMark/>
          </w:tcPr>
          <w:p w14:paraId="4F98E96F"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24" w:type="dxa"/>
            <w:tcBorders>
              <w:top w:val="nil"/>
              <w:left w:val="nil"/>
              <w:bottom w:val="single" w:sz="4" w:space="0" w:color="auto"/>
              <w:right w:val="single" w:sz="4" w:space="0" w:color="auto"/>
            </w:tcBorders>
            <w:shd w:val="clear" w:color="auto" w:fill="auto"/>
            <w:noWrap/>
            <w:vAlign w:val="center"/>
            <w:hideMark/>
          </w:tcPr>
          <w:p w14:paraId="38401E2B"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820" w:type="dxa"/>
            <w:tcBorders>
              <w:top w:val="nil"/>
              <w:left w:val="nil"/>
              <w:bottom w:val="single" w:sz="4" w:space="0" w:color="auto"/>
              <w:right w:val="single" w:sz="4" w:space="0" w:color="auto"/>
            </w:tcBorders>
            <w:shd w:val="clear" w:color="auto" w:fill="auto"/>
            <w:noWrap/>
            <w:vAlign w:val="center"/>
            <w:hideMark/>
          </w:tcPr>
          <w:p w14:paraId="0ED21F1B"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08" w:type="dxa"/>
            <w:tcBorders>
              <w:top w:val="nil"/>
              <w:left w:val="nil"/>
              <w:bottom w:val="single" w:sz="4" w:space="0" w:color="auto"/>
              <w:right w:val="single" w:sz="4" w:space="0" w:color="auto"/>
            </w:tcBorders>
            <w:shd w:val="clear" w:color="auto" w:fill="auto"/>
            <w:noWrap/>
            <w:vAlign w:val="center"/>
            <w:hideMark/>
          </w:tcPr>
          <w:p w14:paraId="2E000D3A"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w:t>
            </w:r>
          </w:p>
        </w:tc>
        <w:tc>
          <w:tcPr>
            <w:tcW w:w="710" w:type="dxa"/>
            <w:tcBorders>
              <w:top w:val="nil"/>
              <w:left w:val="nil"/>
              <w:bottom w:val="single" w:sz="4" w:space="0" w:color="auto"/>
              <w:right w:val="single" w:sz="4" w:space="0" w:color="auto"/>
            </w:tcBorders>
            <w:shd w:val="clear" w:color="auto" w:fill="auto"/>
            <w:noWrap/>
            <w:vAlign w:val="center"/>
            <w:hideMark/>
          </w:tcPr>
          <w:p w14:paraId="5308294F"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90" w:type="dxa"/>
            <w:tcBorders>
              <w:top w:val="nil"/>
              <w:left w:val="nil"/>
              <w:bottom w:val="single" w:sz="4" w:space="0" w:color="auto"/>
              <w:right w:val="single" w:sz="4" w:space="0" w:color="auto"/>
            </w:tcBorders>
            <w:shd w:val="clear" w:color="auto" w:fill="auto"/>
            <w:noWrap/>
            <w:vAlign w:val="center"/>
            <w:hideMark/>
          </w:tcPr>
          <w:p w14:paraId="7B25A139"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60" w:type="dxa"/>
            <w:tcBorders>
              <w:top w:val="nil"/>
              <w:left w:val="nil"/>
              <w:bottom w:val="single" w:sz="4" w:space="0" w:color="auto"/>
              <w:right w:val="single" w:sz="4" w:space="0" w:color="auto"/>
            </w:tcBorders>
            <w:shd w:val="clear" w:color="auto" w:fill="auto"/>
            <w:noWrap/>
            <w:vAlign w:val="center"/>
            <w:hideMark/>
          </w:tcPr>
          <w:p w14:paraId="6DA70CA1"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576" w:type="dxa"/>
            <w:tcBorders>
              <w:top w:val="nil"/>
              <w:left w:val="nil"/>
              <w:bottom w:val="single" w:sz="4" w:space="0" w:color="auto"/>
              <w:right w:val="single" w:sz="4" w:space="0" w:color="auto"/>
            </w:tcBorders>
            <w:shd w:val="clear" w:color="auto" w:fill="auto"/>
            <w:noWrap/>
            <w:vAlign w:val="center"/>
            <w:hideMark/>
          </w:tcPr>
          <w:p w14:paraId="3C9C5F52"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183</w:t>
            </w:r>
          </w:p>
        </w:tc>
      </w:tr>
      <w:tr w:rsidR="000C1458" w:rsidRPr="005E2831" w14:paraId="6AB0E1A0" w14:textId="77777777" w:rsidTr="0025528B">
        <w:trPr>
          <w:trHeight w:val="300"/>
        </w:trPr>
        <w:tc>
          <w:tcPr>
            <w:tcW w:w="845" w:type="dxa"/>
            <w:vMerge/>
            <w:tcBorders>
              <w:top w:val="nil"/>
              <w:left w:val="single" w:sz="4" w:space="0" w:color="auto"/>
              <w:bottom w:val="nil"/>
              <w:right w:val="single" w:sz="4" w:space="0" w:color="auto"/>
            </w:tcBorders>
            <w:vAlign w:val="center"/>
            <w:hideMark/>
          </w:tcPr>
          <w:p w14:paraId="1600DB95"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1920" w:type="dxa"/>
            <w:tcBorders>
              <w:top w:val="nil"/>
              <w:left w:val="nil"/>
              <w:bottom w:val="single" w:sz="4" w:space="0" w:color="auto"/>
              <w:right w:val="single" w:sz="4" w:space="0" w:color="auto"/>
            </w:tcBorders>
            <w:shd w:val="clear" w:color="000000" w:fill="FF0000"/>
            <w:vAlign w:val="center"/>
            <w:hideMark/>
          </w:tcPr>
          <w:p w14:paraId="39F48D77"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Zły</w:t>
            </w:r>
          </w:p>
        </w:tc>
        <w:tc>
          <w:tcPr>
            <w:tcW w:w="620" w:type="dxa"/>
            <w:tcBorders>
              <w:top w:val="nil"/>
              <w:left w:val="nil"/>
              <w:bottom w:val="single" w:sz="4" w:space="0" w:color="auto"/>
              <w:right w:val="single" w:sz="4" w:space="0" w:color="auto"/>
            </w:tcBorders>
            <w:shd w:val="clear" w:color="auto" w:fill="auto"/>
            <w:noWrap/>
            <w:vAlign w:val="center"/>
            <w:hideMark/>
          </w:tcPr>
          <w:p w14:paraId="75E3D9C1"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52</w:t>
            </w:r>
          </w:p>
        </w:tc>
        <w:tc>
          <w:tcPr>
            <w:tcW w:w="608" w:type="dxa"/>
            <w:tcBorders>
              <w:top w:val="nil"/>
              <w:left w:val="nil"/>
              <w:bottom w:val="single" w:sz="4" w:space="0" w:color="auto"/>
              <w:right w:val="single" w:sz="4" w:space="0" w:color="auto"/>
            </w:tcBorders>
            <w:shd w:val="clear" w:color="auto" w:fill="auto"/>
            <w:noWrap/>
            <w:vAlign w:val="center"/>
            <w:hideMark/>
          </w:tcPr>
          <w:p w14:paraId="4125C4EA"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39</w:t>
            </w:r>
          </w:p>
        </w:tc>
        <w:tc>
          <w:tcPr>
            <w:tcW w:w="670" w:type="dxa"/>
            <w:tcBorders>
              <w:top w:val="nil"/>
              <w:left w:val="nil"/>
              <w:bottom w:val="single" w:sz="4" w:space="0" w:color="auto"/>
              <w:right w:val="single" w:sz="4" w:space="0" w:color="auto"/>
            </w:tcBorders>
            <w:shd w:val="clear" w:color="auto" w:fill="auto"/>
            <w:noWrap/>
            <w:vAlign w:val="center"/>
            <w:hideMark/>
          </w:tcPr>
          <w:p w14:paraId="61000BF7"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24" w:type="dxa"/>
            <w:tcBorders>
              <w:top w:val="nil"/>
              <w:left w:val="nil"/>
              <w:bottom w:val="single" w:sz="4" w:space="0" w:color="auto"/>
              <w:right w:val="single" w:sz="4" w:space="0" w:color="auto"/>
            </w:tcBorders>
            <w:shd w:val="clear" w:color="auto" w:fill="auto"/>
            <w:noWrap/>
            <w:vAlign w:val="center"/>
            <w:hideMark/>
          </w:tcPr>
          <w:p w14:paraId="59D7DD18"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820" w:type="dxa"/>
            <w:tcBorders>
              <w:top w:val="nil"/>
              <w:left w:val="nil"/>
              <w:bottom w:val="single" w:sz="4" w:space="0" w:color="auto"/>
              <w:right w:val="single" w:sz="4" w:space="0" w:color="auto"/>
            </w:tcBorders>
            <w:shd w:val="clear" w:color="auto" w:fill="auto"/>
            <w:noWrap/>
            <w:vAlign w:val="center"/>
            <w:hideMark/>
          </w:tcPr>
          <w:p w14:paraId="4949BDCE"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08" w:type="dxa"/>
            <w:tcBorders>
              <w:top w:val="nil"/>
              <w:left w:val="nil"/>
              <w:bottom w:val="single" w:sz="4" w:space="0" w:color="auto"/>
              <w:right w:val="single" w:sz="4" w:space="0" w:color="auto"/>
            </w:tcBorders>
            <w:shd w:val="clear" w:color="auto" w:fill="auto"/>
            <w:noWrap/>
            <w:vAlign w:val="center"/>
            <w:hideMark/>
          </w:tcPr>
          <w:p w14:paraId="2D036ABE"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7722CBDE"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90" w:type="dxa"/>
            <w:tcBorders>
              <w:top w:val="nil"/>
              <w:left w:val="nil"/>
              <w:bottom w:val="single" w:sz="4" w:space="0" w:color="auto"/>
              <w:right w:val="single" w:sz="4" w:space="0" w:color="auto"/>
            </w:tcBorders>
            <w:shd w:val="clear" w:color="auto" w:fill="auto"/>
            <w:noWrap/>
            <w:vAlign w:val="center"/>
            <w:hideMark/>
          </w:tcPr>
          <w:p w14:paraId="0CF4037B"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11</w:t>
            </w:r>
          </w:p>
        </w:tc>
        <w:tc>
          <w:tcPr>
            <w:tcW w:w="660" w:type="dxa"/>
            <w:tcBorders>
              <w:top w:val="nil"/>
              <w:left w:val="nil"/>
              <w:bottom w:val="single" w:sz="4" w:space="0" w:color="auto"/>
              <w:right w:val="single" w:sz="4" w:space="0" w:color="auto"/>
            </w:tcBorders>
            <w:shd w:val="clear" w:color="auto" w:fill="auto"/>
            <w:noWrap/>
            <w:vAlign w:val="center"/>
            <w:hideMark/>
          </w:tcPr>
          <w:p w14:paraId="083634AB"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576" w:type="dxa"/>
            <w:tcBorders>
              <w:top w:val="nil"/>
              <w:left w:val="nil"/>
              <w:bottom w:val="single" w:sz="4" w:space="0" w:color="auto"/>
              <w:right w:val="single" w:sz="4" w:space="0" w:color="auto"/>
            </w:tcBorders>
            <w:shd w:val="clear" w:color="auto" w:fill="auto"/>
            <w:noWrap/>
            <w:vAlign w:val="center"/>
            <w:hideMark/>
          </w:tcPr>
          <w:p w14:paraId="228F3354"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102</w:t>
            </w:r>
          </w:p>
        </w:tc>
      </w:tr>
      <w:tr w:rsidR="000C1458" w:rsidRPr="005E2831" w14:paraId="1AD8C7E2" w14:textId="77777777" w:rsidTr="0025528B">
        <w:trPr>
          <w:trHeight w:val="478"/>
        </w:trPr>
        <w:tc>
          <w:tcPr>
            <w:tcW w:w="845" w:type="dxa"/>
            <w:vMerge/>
            <w:tcBorders>
              <w:top w:val="nil"/>
              <w:left w:val="single" w:sz="4" w:space="0" w:color="auto"/>
              <w:bottom w:val="nil"/>
              <w:right w:val="single" w:sz="4" w:space="0" w:color="auto"/>
            </w:tcBorders>
            <w:vAlign w:val="center"/>
            <w:hideMark/>
          </w:tcPr>
          <w:p w14:paraId="1ECC953D"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1920" w:type="dxa"/>
            <w:tcBorders>
              <w:top w:val="nil"/>
              <w:left w:val="nil"/>
              <w:bottom w:val="single" w:sz="4" w:space="0" w:color="auto"/>
              <w:right w:val="single" w:sz="4" w:space="0" w:color="auto"/>
            </w:tcBorders>
            <w:shd w:val="clear" w:color="auto" w:fill="auto"/>
            <w:vAlign w:val="center"/>
            <w:hideMark/>
          </w:tcPr>
          <w:p w14:paraId="2985FE08"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 xml:space="preserve">Liczba ocenionych naturalnych </w:t>
            </w:r>
            <w:proofErr w:type="spellStart"/>
            <w:r w:rsidRPr="00D75E6D">
              <w:rPr>
                <w:rFonts w:ascii="Times New Roman" w:eastAsia="Times New Roman" w:hAnsi="Times New Roman" w:cs="Times New Roman"/>
                <w:color w:val="000000"/>
                <w:sz w:val="18"/>
                <w:szCs w:val="18"/>
                <w:lang w:eastAsia="pl-PL"/>
              </w:rPr>
              <w:t>jcwp</w:t>
            </w:r>
            <w:proofErr w:type="spellEnd"/>
          </w:p>
        </w:tc>
        <w:tc>
          <w:tcPr>
            <w:tcW w:w="620" w:type="dxa"/>
            <w:tcBorders>
              <w:top w:val="nil"/>
              <w:left w:val="nil"/>
              <w:bottom w:val="single" w:sz="4" w:space="0" w:color="auto"/>
              <w:right w:val="single" w:sz="4" w:space="0" w:color="auto"/>
            </w:tcBorders>
            <w:shd w:val="clear" w:color="auto" w:fill="auto"/>
            <w:noWrap/>
            <w:vAlign w:val="center"/>
            <w:hideMark/>
          </w:tcPr>
          <w:p w14:paraId="146F4D94"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481</w:t>
            </w:r>
          </w:p>
        </w:tc>
        <w:tc>
          <w:tcPr>
            <w:tcW w:w="608" w:type="dxa"/>
            <w:tcBorders>
              <w:top w:val="nil"/>
              <w:left w:val="nil"/>
              <w:bottom w:val="single" w:sz="4" w:space="0" w:color="auto"/>
              <w:right w:val="single" w:sz="4" w:space="0" w:color="auto"/>
            </w:tcBorders>
            <w:shd w:val="clear" w:color="auto" w:fill="auto"/>
            <w:noWrap/>
            <w:vAlign w:val="center"/>
            <w:hideMark/>
          </w:tcPr>
          <w:p w14:paraId="0CFFE3FC"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317</w:t>
            </w:r>
          </w:p>
        </w:tc>
        <w:tc>
          <w:tcPr>
            <w:tcW w:w="670" w:type="dxa"/>
            <w:tcBorders>
              <w:top w:val="nil"/>
              <w:left w:val="nil"/>
              <w:bottom w:val="single" w:sz="4" w:space="0" w:color="auto"/>
              <w:right w:val="single" w:sz="4" w:space="0" w:color="auto"/>
            </w:tcBorders>
            <w:shd w:val="clear" w:color="auto" w:fill="auto"/>
            <w:noWrap/>
            <w:vAlign w:val="center"/>
            <w:hideMark/>
          </w:tcPr>
          <w:p w14:paraId="4FD9FD62"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w:t>
            </w:r>
          </w:p>
        </w:tc>
        <w:tc>
          <w:tcPr>
            <w:tcW w:w="624" w:type="dxa"/>
            <w:tcBorders>
              <w:top w:val="nil"/>
              <w:left w:val="nil"/>
              <w:bottom w:val="single" w:sz="4" w:space="0" w:color="auto"/>
              <w:right w:val="single" w:sz="4" w:space="0" w:color="auto"/>
            </w:tcBorders>
            <w:shd w:val="clear" w:color="auto" w:fill="auto"/>
            <w:noWrap/>
            <w:vAlign w:val="center"/>
            <w:hideMark/>
          </w:tcPr>
          <w:p w14:paraId="78DA7356"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w:t>
            </w:r>
          </w:p>
        </w:tc>
        <w:tc>
          <w:tcPr>
            <w:tcW w:w="820" w:type="dxa"/>
            <w:tcBorders>
              <w:top w:val="nil"/>
              <w:left w:val="nil"/>
              <w:bottom w:val="single" w:sz="4" w:space="0" w:color="auto"/>
              <w:right w:val="single" w:sz="4" w:space="0" w:color="auto"/>
            </w:tcBorders>
            <w:shd w:val="clear" w:color="auto" w:fill="auto"/>
            <w:noWrap/>
            <w:vAlign w:val="center"/>
            <w:hideMark/>
          </w:tcPr>
          <w:p w14:paraId="6F87A92B"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08" w:type="dxa"/>
            <w:tcBorders>
              <w:top w:val="nil"/>
              <w:left w:val="nil"/>
              <w:bottom w:val="single" w:sz="4" w:space="0" w:color="auto"/>
              <w:right w:val="single" w:sz="4" w:space="0" w:color="auto"/>
            </w:tcBorders>
            <w:shd w:val="clear" w:color="auto" w:fill="auto"/>
            <w:noWrap/>
            <w:vAlign w:val="center"/>
            <w:hideMark/>
          </w:tcPr>
          <w:p w14:paraId="4271CB6F"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w:t>
            </w:r>
          </w:p>
        </w:tc>
        <w:tc>
          <w:tcPr>
            <w:tcW w:w="710" w:type="dxa"/>
            <w:tcBorders>
              <w:top w:val="nil"/>
              <w:left w:val="nil"/>
              <w:bottom w:val="single" w:sz="4" w:space="0" w:color="auto"/>
              <w:right w:val="single" w:sz="4" w:space="0" w:color="auto"/>
            </w:tcBorders>
            <w:shd w:val="clear" w:color="auto" w:fill="auto"/>
            <w:noWrap/>
            <w:vAlign w:val="center"/>
            <w:hideMark/>
          </w:tcPr>
          <w:p w14:paraId="2296420F"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w:t>
            </w:r>
          </w:p>
        </w:tc>
        <w:tc>
          <w:tcPr>
            <w:tcW w:w="690" w:type="dxa"/>
            <w:tcBorders>
              <w:top w:val="nil"/>
              <w:left w:val="nil"/>
              <w:bottom w:val="single" w:sz="4" w:space="0" w:color="auto"/>
              <w:right w:val="single" w:sz="4" w:space="0" w:color="auto"/>
            </w:tcBorders>
            <w:shd w:val="clear" w:color="auto" w:fill="auto"/>
            <w:noWrap/>
            <w:vAlign w:val="center"/>
            <w:hideMark/>
          </w:tcPr>
          <w:p w14:paraId="79710007"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30</w:t>
            </w:r>
          </w:p>
        </w:tc>
        <w:tc>
          <w:tcPr>
            <w:tcW w:w="660" w:type="dxa"/>
            <w:tcBorders>
              <w:top w:val="nil"/>
              <w:left w:val="nil"/>
              <w:bottom w:val="single" w:sz="4" w:space="0" w:color="auto"/>
              <w:right w:val="single" w:sz="4" w:space="0" w:color="auto"/>
            </w:tcBorders>
            <w:shd w:val="clear" w:color="auto" w:fill="auto"/>
            <w:noWrap/>
            <w:vAlign w:val="center"/>
            <w:hideMark/>
          </w:tcPr>
          <w:p w14:paraId="7F1B10CA"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w:t>
            </w:r>
          </w:p>
        </w:tc>
        <w:tc>
          <w:tcPr>
            <w:tcW w:w="576" w:type="dxa"/>
            <w:tcBorders>
              <w:top w:val="nil"/>
              <w:left w:val="nil"/>
              <w:bottom w:val="single" w:sz="4" w:space="0" w:color="auto"/>
              <w:right w:val="single" w:sz="4" w:space="0" w:color="auto"/>
            </w:tcBorders>
            <w:shd w:val="clear" w:color="auto" w:fill="auto"/>
            <w:noWrap/>
            <w:vAlign w:val="center"/>
            <w:hideMark/>
          </w:tcPr>
          <w:p w14:paraId="4C600626"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903</w:t>
            </w:r>
          </w:p>
        </w:tc>
      </w:tr>
      <w:tr w:rsidR="000C1458" w:rsidRPr="005E2831" w14:paraId="28D233B4" w14:textId="77777777" w:rsidTr="006457A4">
        <w:trPr>
          <w:trHeight w:val="300"/>
        </w:trPr>
        <w:tc>
          <w:tcPr>
            <w:tcW w:w="845" w:type="dxa"/>
            <w:vMerge w:val="restart"/>
            <w:tcBorders>
              <w:top w:val="single" w:sz="4" w:space="0" w:color="auto"/>
              <w:left w:val="single" w:sz="4" w:space="0" w:color="auto"/>
              <w:bottom w:val="nil"/>
              <w:right w:val="single" w:sz="4" w:space="0" w:color="auto"/>
            </w:tcBorders>
            <w:shd w:val="clear" w:color="auto" w:fill="auto"/>
            <w:textDirection w:val="btLr"/>
            <w:vAlign w:val="center"/>
            <w:hideMark/>
          </w:tcPr>
          <w:p w14:paraId="0978E80C"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Klasyfikacja potencjału</w:t>
            </w:r>
            <w:r w:rsidRPr="00D75E6D">
              <w:rPr>
                <w:rFonts w:ascii="Times New Roman" w:eastAsia="Times New Roman" w:hAnsi="Times New Roman" w:cs="Times New Roman"/>
                <w:color w:val="000000"/>
                <w:sz w:val="18"/>
                <w:szCs w:val="18"/>
                <w:lang w:eastAsia="pl-PL"/>
              </w:rPr>
              <w:br/>
              <w:t>ekologicznego</w:t>
            </w:r>
          </w:p>
        </w:tc>
        <w:tc>
          <w:tcPr>
            <w:tcW w:w="1920" w:type="dxa"/>
            <w:tcBorders>
              <w:top w:val="nil"/>
              <w:left w:val="nil"/>
              <w:bottom w:val="single" w:sz="4" w:space="0" w:color="auto"/>
              <w:right w:val="single" w:sz="4" w:space="0" w:color="auto"/>
            </w:tcBorders>
            <w:shd w:val="clear" w:color="auto" w:fill="538135" w:themeFill="accent6" w:themeFillShade="BF"/>
            <w:noWrap/>
            <w:vAlign w:val="center"/>
            <w:hideMark/>
          </w:tcPr>
          <w:p w14:paraId="7E6AB7A6"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Maksymalny</w:t>
            </w:r>
          </w:p>
        </w:tc>
        <w:tc>
          <w:tcPr>
            <w:tcW w:w="620" w:type="dxa"/>
            <w:tcBorders>
              <w:top w:val="nil"/>
              <w:left w:val="nil"/>
              <w:bottom w:val="single" w:sz="4" w:space="0" w:color="auto"/>
              <w:right w:val="single" w:sz="4" w:space="0" w:color="auto"/>
            </w:tcBorders>
            <w:shd w:val="clear" w:color="auto" w:fill="auto"/>
            <w:noWrap/>
            <w:vAlign w:val="center"/>
            <w:hideMark/>
          </w:tcPr>
          <w:p w14:paraId="5F144A59"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08" w:type="dxa"/>
            <w:tcBorders>
              <w:top w:val="nil"/>
              <w:left w:val="nil"/>
              <w:bottom w:val="single" w:sz="4" w:space="0" w:color="auto"/>
              <w:right w:val="single" w:sz="4" w:space="0" w:color="auto"/>
            </w:tcBorders>
            <w:shd w:val="clear" w:color="auto" w:fill="auto"/>
            <w:noWrap/>
            <w:vAlign w:val="center"/>
            <w:hideMark/>
          </w:tcPr>
          <w:p w14:paraId="287519AA"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70" w:type="dxa"/>
            <w:tcBorders>
              <w:top w:val="nil"/>
              <w:left w:val="nil"/>
              <w:bottom w:val="single" w:sz="4" w:space="0" w:color="auto"/>
              <w:right w:val="single" w:sz="4" w:space="0" w:color="auto"/>
            </w:tcBorders>
            <w:shd w:val="clear" w:color="auto" w:fill="auto"/>
            <w:noWrap/>
            <w:vAlign w:val="center"/>
            <w:hideMark/>
          </w:tcPr>
          <w:p w14:paraId="2F6666BA"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24" w:type="dxa"/>
            <w:tcBorders>
              <w:top w:val="nil"/>
              <w:left w:val="nil"/>
              <w:bottom w:val="single" w:sz="4" w:space="0" w:color="auto"/>
              <w:right w:val="single" w:sz="4" w:space="0" w:color="auto"/>
            </w:tcBorders>
            <w:shd w:val="clear" w:color="auto" w:fill="auto"/>
            <w:noWrap/>
            <w:vAlign w:val="center"/>
            <w:hideMark/>
          </w:tcPr>
          <w:p w14:paraId="067FAA7E"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820" w:type="dxa"/>
            <w:tcBorders>
              <w:top w:val="nil"/>
              <w:left w:val="nil"/>
              <w:bottom w:val="single" w:sz="4" w:space="0" w:color="auto"/>
              <w:right w:val="single" w:sz="4" w:space="0" w:color="auto"/>
            </w:tcBorders>
            <w:shd w:val="clear" w:color="auto" w:fill="auto"/>
            <w:noWrap/>
            <w:vAlign w:val="center"/>
            <w:hideMark/>
          </w:tcPr>
          <w:p w14:paraId="6ABC4ABC"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08" w:type="dxa"/>
            <w:tcBorders>
              <w:top w:val="nil"/>
              <w:left w:val="nil"/>
              <w:bottom w:val="single" w:sz="4" w:space="0" w:color="auto"/>
              <w:right w:val="single" w:sz="4" w:space="0" w:color="auto"/>
            </w:tcBorders>
            <w:shd w:val="clear" w:color="auto" w:fill="auto"/>
            <w:noWrap/>
            <w:vAlign w:val="center"/>
            <w:hideMark/>
          </w:tcPr>
          <w:p w14:paraId="548BF985"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18F03A63"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90" w:type="dxa"/>
            <w:tcBorders>
              <w:top w:val="nil"/>
              <w:left w:val="nil"/>
              <w:bottom w:val="single" w:sz="4" w:space="0" w:color="auto"/>
              <w:right w:val="single" w:sz="4" w:space="0" w:color="auto"/>
            </w:tcBorders>
            <w:shd w:val="clear" w:color="auto" w:fill="auto"/>
            <w:noWrap/>
            <w:vAlign w:val="center"/>
            <w:hideMark/>
          </w:tcPr>
          <w:p w14:paraId="52FC9DFD"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60" w:type="dxa"/>
            <w:tcBorders>
              <w:top w:val="nil"/>
              <w:left w:val="nil"/>
              <w:bottom w:val="single" w:sz="4" w:space="0" w:color="auto"/>
              <w:right w:val="single" w:sz="4" w:space="0" w:color="auto"/>
            </w:tcBorders>
            <w:shd w:val="clear" w:color="auto" w:fill="auto"/>
            <w:noWrap/>
            <w:vAlign w:val="center"/>
            <w:hideMark/>
          </w:tcPr>
          <w:p w14:paraId="4045CB53"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576" w:type="dxa"/>
            <w:tcBorders>
              <w:top w:val="nil"/>
              <w:left w:val="nil"/>
              <w:bottom w:val="single" w:sz="4" w:space="0" w:color="auto"/>
              <w:right w:val="single" w:sz="4" w:space="0" w:color="auto"/>
            </w:tcBorders>
            <w:shd w:val="clear" w:color="auto" w:fill="auto"/>
            <w:noWrap/>
            <w:vAlign w:val="center"/>
            <w:hideMark/>
          </w:tcPr>
          <w:p w14:paraId="509615E1"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r>
      <w:tr w:rsidR="000C1458" w:rsidRPr="005E2831" w14:paraId="1A9FFE75" w14:textId="77777777" w:rsidTr="00AA0413">
        <w:trPr>
          <w:trHeight w:val="300"/>
        </w:trPr>
        <w:tc>
          <w:tcPr>
            <w:tcW w:w="845" w:type="dxa"/>
            <w:vMerge/>
            <w:tcBorders>
              <w:top w:val="single" w:sz="4" w:space="0" w:color="auto"/>
              <w:left w:val="single" w:sz="4" w:space="0" w:color="auto"/>
              <w:bottom w:val="nil"/>
              <w:right w:val="single" w:sz="4" w:space="0" w:color="auto"/>
            </w:tcBorders>
            <w:vAlign w:val="center"/>
            <w:hideMark/>
          </w:tcPr>
          <w:p w14:paraId="23164780"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1920" w:type="dxa"/>
            <w:tcBorders>
              <w:top w:val="nil"/>
              <w:left w:val="nil"/>
              <w:bottom w:val="single" w:sz="4" w:space="0" w:color="auto"/>
              <w:right w:val="single" w:sz="4" w:space="0" w:color="auto"/>
            </w:tcBorders>
            <w:shd w:val="clear" w:color="auto" w:fill="00B050"/>
            <w:noWrap/>
            <w:vAlign w:val="center"/>
            <w:hideMark/>
          </w:tcPr>
          <w:p w14:paraId="28C1BB70"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Dobry</w:t>
            </w:r>
          </w:p>
        </w:tc>
        <w:tc>
          <w:tcPr>
            <w:tcW w:w="620" w:type="dxa"/>
            <w:tcBorders>
              <w:top w:val="nil"/>
              <w:left w:val="nil"/>
              <w:bottom w:val="single" w:sz="4" w:space="0" w:color="auto"/>
              <w:right w:val="single" w:sz="4" w:space="0" w:color="auto"/>
            </w:tcBorders>
            <w:shd w:val="clear" w:color="auto" w:fill="auto"/>
            <w:noWrap/>
            <w:vAlign w:val="center"/>
            <w:hideMark/>
          </w:tcPr>
          <w:p w14:paraId="2B408B89"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7</w:t>
            </w:r>
          </w:p>
        </w:tc>
        <w:tc>
          <w:tcPr>
            <w:tcW w:w="608" w:type="dxa"/>
            <w:tcBorders>
              <w:top w:val="nil"/>
              <w:left w:val="nil"/>
              <w:bottom w:val="single" w:sz="4" w:space="0" w:color="auto"/>
              <w:right w:val="single" w:sz="4" w:space="0" w:color="auto"/>
            </w:tcBorders>
            <w:shd w:val="clear" w:color="auto" w:fill="auto"/>
            <w:noWrap/>
            <w:vAlign w:val="center"/>
            <w:hideMark/>
          </w:tcPr>
          <w:p w14:paraId="6635C40F"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3</w:t>
            </w:r>
          </w:p>
        </w:tc>
        <w:tc>
          <w:tcPr>
            <w:tcW w:w="670" w:type="dxa"/>
            <w:tcBorders>
              <w:top w:val="nil"/>
              <w:left w:val="nil"/>
              <w:bottom w:val="single" w:sz="4" w:space="0" w:color="auto"/>
              <w:right w:val="single" w:sz="4" w:space="0" w:color="auto"/>
            </w:tcBorders>
            <w:shd w:val="clear" w:color="auto" w:fill="auto"/>
            <w:noWrap/>
            <w:vAlign w:val="center"/>
            <w:hideMark/>
          </w:tcPr>
          <w:p w14:paraId="37AF639E"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24" w:type="dxa"/>
            <w:tcBorders>
              <w:top w:val="nil"/>
              <w:left w:val="nil"/>
              <w:bottom w:val="single" w:sz="4" w:space="0" w:color="auto"/>
              <w:right w:val="single" w:sz="4" w:space="0" w:color="auto"/>
            </w:tcBorders>
            <w:shd w:val="clear" w:color="auto" w:fill="auto"/>
            <w:noWrap/>
            <w:vAlign w:val="center"/>
            <w:hideMark/>
          </w:tcPr>
          <w:p w14:paraId="5E8D7B04"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820" w:type="dxa"/>
            <w:tcBorders>
              <w:top w:val="nil"/>
              <w:left w:val="nil"/>
              <w:bottom w:val="single" w:sz="4" w:space="0" w:color="auto"/>
              <w:right w:val="single" w:sz="4" w:space="0" w:color="auto"/>
            </w:tcBorders>
            <w:shd w:val="clear" w:color="auto" w:fill="auto"/>
            <w:noWrap/>
            <w:vAlign w:val="center"/>
            <w:hideMark/>
          </w:tcPr>
          <w:p w14:paraId="74B52164"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08" w:type="dxa"/>
            <w:tcBorders>
              <w:top w:val="nil"/>
              <w:left w:val="nil"/>
              <w:bottom w:val="single" w:sz="4" w:space="0" w:color="auto"/>
              <w:right w:val="single" w:sz="4" w:space="0" w:color="auto"/>
            </w:tcBorders>
            <w:shd w:val="clear" w:color="auto" w:fill="auto"/>
            <w:noWrap/>
            <w:vAlign w:val="center"/>
            <w:hideMark/>
          </w:tcPr>
          <w:p w14:paraId="63CEEA78"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1405E23A"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90" w:type="dxa"/>
            <w:tcBorders>
              <w:top w:val="nil"/>
              <w:left w:val="nil"/>
              <w:bottom w:val="single" w:sz="4" w:space="0" w:color="auto"/>
              <w:right w:val="single" w:sz="4" w:space="0" w:color="auto"/>
            </w:tcBorders>
            <w:shd w:val="clear" w:color="auto" w:fill="auto"/>
            <w:noWrap/>
            <w:vAlign w:val="center"/>
            <w:hideMark/>
          </w:tcPr>
          <w:p w14:paraId="40C47C60"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60" w:type="dxa"/>
            <w:tcBorders>
              <w:top w:val="nil"/>
              <w:left w:val="nil"/>
              <w:bottom w:val="single" w:sz="4" w:space="0" w:color="auto"/>
              <w:right w:val="single" w:sz="4" w:space="0" w:color="auto"/>
            </w:tcBorders>
            <w:shd w:val="clear" w:color="auto" w:fill="auto"/>
            <w:noWrap/>
            <w:vAlign w:val="center"/>
            <w:hideMark/>
          </w:tcPr>
          <w:p w14:paraId="4CE43648"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576" w:type="dxa"/>
            <w:tcBorders>
              <w:top w:val="nil"/>
              <w:left w:val="nil"/>
              <w:bottom w:val="single" w:sz="4" w:space="0" w:color="auto"/>
              <w:right w:val="single" w:sz="4" w:space="0" w:color="auto"/>
            </w:tcBorders>
            <w:shd w:val="clear" w:color="auto" w:fill="auto"/>
            <w:noWrap/>
            <w:vAlign w:val="center"/>
            <w:hideMark/>
          </w:tcPr>
          <w:p w14:paraId="6A0345F7"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38</w:t>
            </w:r>
          </w:p>
        </w:tc>
      </w:tr>
      <w:tr w:rsidR="000C1458" w:rsidRPr="005E2831" w14:paraId="4DB78FA3" w14:textId="77777777" w:rsidTr="0025528B">
        <w:trPr>
          <w:trHeight w:val="300"/>
        </w:trPr>
        <w:tc>
          <w:tcPr>
            <w:tcW w:w="845" w:type="dxa"/>
            <w:vMerge/>
            <w:tcBorders>
              <w:top w:val="single" w:sz="4" w:space="0" w:color="auto"/>
              <w:left w:val="single" w:sz="4" w:space="0" w:color="auto"/>
              <w:bottom w:val="nil"/>
              <w:right w:val="single" w:sz="4" w:space="0" w:color="auto"/>
            </w:tcBorders>
            <w:vAlign w:val="center"/>
            <w:hideMark/>
          </w:tcPr>
          <w:p w14:paraId="06F18D4C"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1920" w:type="dxa"/>
            <w:tcBorders>
              <w:top w:val="nil"/>
              <w:left w:val="nil"/>
              <w:bottom w:val="single" w:sz="4" w:space="0" w:color="auto"/>
              <w:right w:val="single" w:sz="4" w:space="0" w:color="auto"/>
            </w:tcBorders>
            <w:shd w:val="thinDiagStripe" w:color="262626" w:fill="DEDE13"/>
            <w:noWrap/>
            <w:vAlign w:val="center"/>
            <w:hideMark/>
          </w:tcPr>
          <w:p w14:paraId="7BC65853"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Umiarkowany</w:t>
            </w:r>
          </w:p>
        </w:tc>
        <w:tc>
          <w:tcPr>
            <w:tcW w:w="620" w:type="dxa"/>
            <w:tcBorders>
              <w:top w:val="nil"/>
              <w:left w:val="nil"/>
              <w:bottom w:val="single" w:sz="4" w:space="0" w:color="auto"/>
              <w:right w:val="single" w:sz="4" w:space="0" w:color="auto"/>
            </w:tcBorders>
            <w:shd w:val="clear" w:color="auto" w:fill="auto"/>
            <w:noWrap/>
            <w:vAlign w:val="center"/>
            <w:hideMark/>
          </w:tcPr>
          <w:p w14:paraId="03375F71"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35</w:t>
            </w:r>
          </w:p>
        </w:tc>
        <w:tc>
          <w:tcPr>
            <w:tcW w:w="608" w:type="dxa"/>
            <w:tcBorders>
              <w:top w:val="nil"/>
              <w:left w:val="nil"/>
              <w:bottom w:val="single" w:sz="4" w:space="0" w:color="auto"/>
              <w:right w:val="single" w:sz="4" w:space="0" w:color="auto"/>
            </w:tcBorders>
            <w:shd w:val="clear" w:color="auto" w:fill="auto"/>
            <w:noWrap/>
            <w:vAlign w:val="center"/>
            <w:hideMark/>
          </w:tcPr>
          <w:p w14:paraId="7E552C1E"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39</w:t>
            </w:r>
          </w:p>
        </w:tc>
        <w:tc>
          <w:tcPr>
            <w:tcW w:w="670" w:type="dxa"/>
            <w:tcBorders>
              <w:top w:val="nil"/>
              <w:left w:val="nil"/>
              <w:bottom w:val="single" w:sz="4" w:space="0" w:color="auto"/>
              <w:right w:val="single" w:sz="4" w:space="0" w:color="auto"/>
            </w:tcBorders>
            <w:shd w:val="clear" w:color="auto" w:fill="auto"/>
            <w:noWrap/>
            <w:vAlign w:val="center"/>
            <w:hideMark/>
          </w:tcPr>
          <w:p w14:paraId="248A7257"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24" w:type="dxa"/>
            <w:tcBorders>
              <w:top w:val="nil"/>
              <w:left w:val="nil"/>
              <w:bottom w:val="single" w:sz="4" w:space="0" w:color="auto"/>
              <w:right w:val="single" w:sz="4" w:space="0" w:color="auto"/>
            </w:tcBorders>
            <w:shd w:val="clear" w:color="auto" w:fill="auto"/>
            <w:noWrap/>
            <w:vAlign w:val="center"/>
            <w:hideMark/>
          </w:tcPr>
          <w:p w14:paraId="6E512C53"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820" w:type="dxa"/>
            <w:tcBorders>
              <w:top w:val="nil"/>
              <w:left w:val="nil"/>
              <w:bottom w:val="single" w:sz="4" w:space="0" w:color="auto"/>
              <w:right w:val="single" w:sz="4" w:space="0" w:color="auto"/>
            </w:tcBorders>
            <w:shd w:val="clear" w:color="auto" w:fill="auto"/>
            <w:noWrap/>
            <w:vAlign w:val="center"/>
            <w:hideMark/>
          </w:tcPr>
          <w:p w14:paraId="3B1E5940"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08" w:type="dxa"/>
            <w:tcBorders>
              <w:top w:val="nil"/>
              <w:left w:val="nil"/>
              <w:bottom w:val="single" w:sz="4" w:space="0" w:color="auto"/>
              <w:right w:val="single" w:sz="4" w:space="0" w:color="auto"/>
            </w:tcBorders>
            <w:shd w:val="clear" w:color="auto" w:fill="auto"/>
            <w:noWrap/>
            <w:vAlign w:val="center"/>
            <w:hideMark/>
          </w:tcPr>
          <w:p w14:paraId="1652B1B6"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7D785533"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90" w:type="dxa"/>
            <w:tcBorders>
              <w:top w:val="nil"/>
              <w:left w:val="nil"/>
              <w:bottom w:val="single" w:sz="4" w:space="0" w:color="auto"/>
              <w:right w:val="single" w:sz="4" w:space="0" w:color="auto"/>
            </w:tcBorders>
            <w:shd w:val="clear" w:color="auto" w:fill="auto"/>
            <w:noWrap/>
            <w:vAlign w:val="center"/>
            <w:hideMark/>
          </w:tcPr>
          <w:p w14:paraId="0C698DAD"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2</w:t>
            </w:r>
          </w:p>
        </w:tc>
        <w:tc>
          <w:tcPr>
            <w:tcW w:w="660" w:type="dxa"/>
            <w:tcBorders>
              <w:top w:val="nil"/>
              <w:left w:val="nil"/>
              <w:bottom w:val="single" w:sz="4" w:space="0" w:color="auto"/>
              <w:right w:val="single" w:sz="4" w:space="0" w:color="auto"/>
            </w:tcBorders>
            <w:shd w:val="clear" w:color="auto" w:fill="auto"/>
            <w:noWrap/>
            <w:vAlign w:val="center"/>
            <w:hideMark/>
          </w:tcPr>
          <w:p w14:paraId="486CDAF9"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576" w:type="dxa"/>
            <w:tcBorders>
              <w:top w:val="nil"/>
              <w:left w:val="nil"/>
              <w:bottom w:val="single" w:sz="4" w:space="0" w:color="auto"/>
              <w:right w:val="single" w:sz="4" w:space="0" w:color="auto"/>
            </w:tcBorders>
            <w:shd w:val="clear" w:color="auto" w:fill="auto"/>
            <w:noWrap/>
            <w:vAlign w:val="center"/>
            <w:hideMark/>
          </w:tcPr>
          <w:p w14:paraId="131953FB"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76</w:t>
            </w:r>
          </w:p>
        </w:tc>
      </w:tr>
      <w:tr w:rsidR="000C1458" w:rsidRPr="005E2831" w14:paraId="302250EE" w14:textId="77777777" w:rsidTr="00AA0413">
        <w:trPr>
          <w:trHeight w:val="300"/>
        </w:trPr>
        <w:tc>
          <w:tcPr>
            <w:tcW w:w="845" w:type="dxa"/>
            <w:vMerge/>
            <w:tcBorders>
              <w:top w:val="single" w:sz="4" w:space="0" w:color="auto"/>
              <w:left w:val="single" w:sz="4" w:space="0" w:color="auto"/>
              <w:bottom w:val="nil"/>
              <w:right w:val="single" w:sz="4" w:space="0" w:color="auto"/>
            </w:tcBorders>
            <w:vAlign w:val="center"/>
            <w:hideMark/>
          </w:tcPr>
          <w:p w14:paraId="160E36AF"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1920" w:type="dxa"/>
            <w:tcBorders>
              <w:top w:val="nil"/>
              <w:left w:val="nil"/>
              <w:bottom w:val="single" w:sz="4" w:space="0" w:color="auto"/>
              <w:right w:val="single" w:sz="4" w:space="0" w:color="auto"/>
            </w:tcBorders>
            <w:shd w:val="clear" w:color="auto" w:fill="FFC000"/>
            <w:noWrap/>
            <w:vAlign w:val="center"/>
            <w:hideMark/>
          </w:tcPr>
          <w:p w14:paraId="3A54A294"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Słaby</w:t>
            </w:r>
          </w:p>
        </w:tc>
        <w:tc>
          <w:tcPr>
            <w:tcW w:w="620" w:type="dxa"/>
            <w:tcBorders>
              <w:top w:val="nil"/>
              <w:left w:val="nil"/>
              <w:bottom w:val="single" w:sz="4" w:space="0" w:color="auto"/>
              <w:right w:val="single" w:sz="4" w:space="0" w:color="auto"/>
            </w:tcBorders>
            <w:shd w:val="clear" w:color="auto" w:fill="auto"/>
            <w:noWrap/>
            <w:vAlign w:val="center"/>
            <w:hideMark/>
          </w:tcPr>
          <w:p w14:paraId="5BEDDAC9"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25</w:t>
            </w:r>
          </w:p>
        </w:tc>
        <w:tc>
          <w:tcPr>
            <w:tcW w:w="608" w:type="dxa"/>
            <w:tcBorders>
              <w:top w:val="nil"/>
              <w:left w:val="nil"/>
              <w:bottom w:val="single" w:sz="4" w:space="0" w:color="auto"/>
              <w:right w:val="single" w:sz="4" w:space="0" w:color="auto"/>
            </w:tcBorders>
            <w:shd w:val="clear" w:color="auto" w:fill="auto"/>
            <w:noWrap/>
            <w:vAlign w:val="center"/>
            <w:hideMark/>
          </w:tcPr>
          <w:p w14:paraId="4EEF34C0"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19</w:t>
            </w:r>
          </w:p>
        </w:tc>
        <w:tc>
          <w:tcPr>
            <w:tcW w:w="670" w:type="dxa"/>
            <w:tcBorders>
              <w:top w:val="nil"/>
              <w:left w:val="nil"/>
              <w:bottom w:val="single" w:sz="4" w:space="0" w:color="auto"/>
              <w:right w:val="single" w:sz="4" w:space="0" w:color="auto"/>
            </w:tcBorders>
            <w:shd w:val="clear" w:color="auto" w:fill="auto"/>
            <w:noWrap/>
            <w:vAlign w:val="center"/>
            <w:hideMark/>
          </w:tcPr>
          <w:p w14:paraId="49C77A86"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24" w:type="dxa"/>
            <w:tcBorders>
              <w:top w:val="nil"/>
              <w:left w:val="nil"/>
              <w:bottom w:val="single" w:sz="4" w:space="0" w:color="auto"/>
              <w:right w:val="single" w:sz="4" w:space="0" w:color="auto"/>
            </w:tcBorders>
            <w:shd w:val="clear" w:color="auto" w:fill="auto"/>
            <w:noWrap/>
            <w:vAlign w:val="center"/>
            <w:hideMark/>
          </w:tcPr>
          <w:p w14:paraId="04B4392E"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820" w:type="dxa"/>
            <w:tcBorders>
              <w:top w:val="nil"/>
              <w:left w:val="nil"/>
              <w:bottom w:val="single" w:sz="4" w:space="0" w:color="auto"/>
              <w:right w:val="single" w:sz="4" w:space="0" w:color="auto"/>
            </w:tcBorders>
            <w:shd w:val="clear" w:color="auto" w:fill="auto"/>
            <w:noWrap/>
            <w:vAlign w:val="center"/>
            <w:hideMark/>
          </w:tcPr>
          <w:p w14:paraId="11024CAA"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08" w:type="dxa"/>
            <w:tcBorders>
              <w:top w:val="nil"/>
              <w:left w:val="nil"/>
              <w:bottom w:val="single" w:sz="4" w:space="0" w:color="auto"/>
              <w:right w:val="single" w:sz="4" w:space="0" w:color="auto"/>
            </w:tcBorders>
            <w:shd w:val="clear" w:color="auto" w:fill="auto"/>
            <w:noWrap/>
            <w:vAlign w:val="center"/>
            <w:hideMark/>
          </w:tcPr>
          <w:p w14:paraId="2043DD04"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6682B253"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90" w:type="dxa"/>
            <w:tcBorders>
              <w:top w:val="nil"/>
              <w:left w:val="nil"/>
              <w:bottom w:val="single" w:sz="4" w:space="0" w:color="auto"/>
              <w:right w:val="single" w:sz="4" w:space="0" w:color="auto"/>
            </w:tcBorders>
            <w:shd w:val="clear" w:color="auto" w:fill="auto"/>
            <w:noWrap/>
            <w:vAlign w:val="center"/>
            <w:hideMark/>
          </w:tcPr>
          <w:p w14:paraId="3F000C1E"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60" w:type="dxa"/>
            <w:tcBorders>
              <w:top w:val="nil"/>
              <w:left w:val="nil"/>
              <w:bottom w:val="single" w:sz="4" w:space="0" w:color="auto"/>
              <w:right w:val="single" w:sz="4" w:space="0" w:color="auto"/>
            </w:tcBorders>
            <w:shd w:val="clear" w:color="auto" w:fill="auto"/>
            <w:noWrap/>
            <w:vAlign w:val="center"/>
            <w:hideMark/>
          </w:tcPr>
          <w:p w14:paraId="7FDDBF4C"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576" w:type="dxa"/>
            <w:tcBorders>
              <w:top w:val="nil"/>
              <w:left w:val="nil"/>
              <w:bottom w:val="single" w:sz="4" w:space="0" w:color="auto"/>
              <w:right w:val="single" w:sz="4" w:space="0" w:color="auto"/>
            </w:tcBorders>
            <w:shd w:val="clear" w:color="auto" w:fill="auto"/>
            <w:noWrap/>
            <w:vAlign w:val="center"/>
            <w:hideMark/>
          </w:tcPr>
          <w:p w14:paraId="7900D618"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44</w:t>
            </w:r>
          </w:p>
        </w:tc>
      </w:tr>
      <w:tr w:rsidR="000C1458" w:rsidRPr="005E2831" w14:paraId="6A4BFE16" w14:textId="77777777" w:rsidTr="00AA0413">
        <w:trPr>
          <w:trHeight w:val="300"/>
        </w:trPr>
        <w:tc>
          <w:tcPr>
            <w:tcW w:w="845" w:type="dxa"/>
            <w:vMerge/>
            <w:tcBorders>
              <w:top w:val="single" w:sz="4" w:space="0" w:color="auto"/>
              <w:left w:val="single" w:sz="4" w:space="0" w:color="auto"/>
              <w:bottom w:val="nil"/>
              <w:right w:val="single" w:sz="4" w:space="0" w:color="auto"/>
            </w:tcBorders>
            <w:vAlign w:val="center"/>
            <w:hideMark/>
          </w:tcPr>
          <w:p w14:paraId="2F8777D4"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1920" w:type="dxa"/>
            <w:tcBorders>
              <w:top w:val="nil"/>
              <w:left w:val="nil"/>
              <w:bottom w:val="single" w:sz="4" w:space="0" w:color="auto"/>
              <w:right w:val="single" w:sz="4" w:space="0" w:color="auto"/>
            </w:tcBorders>
            <w:shd w:val="clear" w:color="auto" w:fill="FF0000"/>
            <w:noWrap/>
            <w:vAlign w:val="center"/>
            <w:hideMark/>
          </w:tcPr>
          <w:p w14:paraId="7B0CD0C9"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Zły</w:t>
            </w:r>
          </w:p>
        </w:tc>
        <w:tc>
          <w:tcPr>
            <w:tcW w:w="620" w:type="dxa"/>
            <w:tcBorders>
              <w:top w:val="nil"/>
              <w:left w:val="nil"/>
              <w:bottom w:val="single" w:sz="4" w:space="0" w:color="auto"/>
              <w:right w:val="single" w:sz="4" w:space="0" w:color="auto"/>
            </w:tcBorders>
            <w:shd w:val="clear" w:color="auto" w:fill="auto"/>
            <w:noWrap/>
            <w:vAlign w:val="center"/>
            <w:hideMark/>
          </w:tcPr>
          <w:p w14:paraId="35B2A7E1"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2</w:t>
            </w:r>
          </w:p>
        </w:tc>
        <w:tc>
          <w:tcPr>
            <w:tcW w:w="608" w:type="dxa"/>
            <w:tcBorders>
              <w:top w:val="nil"/>
              <w:left w:val="nil"/>
              <w:bottom w:val="single" w:sz="4" w:space="0" w:color="auto"/>
              <w:right w:val="single" w:sz="4" w:space="0" w:color="auto"/>
            </w:tcBorders>
            <w:shd w:val="clear" w:color="auto" w:fill="auto"/>
            <w:noWrap/>
            <w:vAlign w:val="center"/>
            <w:hideMark/>
          </w:tcPr>
          <w:p w14:paraId="21DF3C21"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9</w:t>
            </w:r>
          </w:p>
        </w:tc>
        <w:tc>
          <w:tcPr>
            <w:tcW w:w="670" w:type="dxa"/>
            <w:tcBorders>
              <w:top w:val="nil"/>
              <w:left w:val="nil"/>
              <w:bottom w:val="single" w:sz="4" w:space="0" w:color="auto"/>
              <w:right w:val="single" w:sz="4" w:space="0" w:color="auto"/>
            </w:tcBorders>
            <w:shd w:val="clear" w:color="auto" w:fill="auto"/>
            <w:noWrap/>
            <w:vAlign w:val="center"/>
            <w:hideMark/>
          </w:tcPr>
          <w:p w14:paraId="0C128C38"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24" w:type="dxa"/>
            <w:tcBorders>
              <w:top w:val="nil"/>
              <w:left w:val="nil"/>
              <w:bottom w:val="single" w:sz="4" w:space="0" w:color="auto"/>
              <w:right w:val="single" w:sz="4" w:space="0" w:color="auto"/>
            </w:tcBorders>
            <w:shd w:val="clear" w:color="auto" w:fill="auto"/>
            <w:noWrap/>
            <w:vAlign w:val="center"/>
            <w:hideMark/>
          </w:tcPr>
          <w:p w14:paraId="3E99E5BC"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820" w:type="dxa"/>
            <w:tcBorders>
              <w:top w:val="nil"/>
              <w:left w:val="nil"/>
              <w:bottom w:val="single" w:sz="4" w:space="0" w:color="auto"/>
              <w:right w:val="single" w:sz="4" w:space="0" w:color="auto"/>
            </w:tcBorders>
            <w:shd w:val="clear" w:color="auto" w:fill="auto"/>
            <w:noWrap/>
            <w:vAlign w:val="center"/>
            <w:hideMark/>
          </w:tcPr>
          <w:p w14:paraId="310F2947"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08" w:type="dxa"/>
            <w:tcBorders>
              <w:top w:val="nil"/>
              <w:left w:val="nil"/>
              <w:bottom w:val="single" w:sz="4" w:space="0" w:color="auto"/>
              <w:right w:val="single" w:sz="4" w:space="0" w:color="auto"/>
            </w:tcBorders>
            <w:shd w:val="clear" w:color="auto" w:fill="auto"/>
            <w:noWrap/>
            <w:vAlign w:val="center"/>
            <w:hideMark/>
          </w:tcPr>
          <w:p w14:paraId="2DAF4350"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37B62895"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90" w:type="dxa"/>
            <w:tcBorders>
              <w:top w:val="nil"/>
              <w:left w:val="nil"/>
              <w:bottom w:val="single" w:sz="4" w:space="0" w:color="auto"/>
              <w:right w:val="single" w:sz="4" w:space="0" w:color="auto"/>
            </w:tcBorders>
            <w:shd w:val="clear" w:color="auto" w:fill="auto"/>
            <w:noWrap/>
            <w:vAlign w:val="center"/>
            <w:hideMark/>
          </w:tcPr>
          <w:p w14:paraId="623FB1C5"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3</w:t>
            </w:r>
          </w:p>
        </w:tc>
        <w:tc>
          <w:tcPr>
            <w:tcW w:w="660" w:type="dxa"/>
            <w:tcBorders>
              <w:top w:val="nil"/>
              <w:left w:val="nil"/>
              <w:bottom w:val="single" w:sz="4" w:space="0" w:color="auto"/>
              <w:right w:val="single" w:sz="4" w:space="0" w:color="auto"/>
            </w:tcBorders>
            <w:shd w:val="clear" w:color="auto" w:fill="auto"/>
            <w:noWrap/>
            <w:vAlign w:val="center"/>
            <w:hideMark/>
          </w:tcPr>
          <w:p w14:paraId="4093C402"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576" w:type="dxa"/>
            <w:tcBorders>
              <w:top w:val="nil"/>
              <w:left w:val="nil"/>
              <w:bottom w:val="single" w:sz="4" w:space="0" w:color="auto"/>
              <w:right w:val="single" w:sz="4" w:space="0" w:color="auto"/>
            </w:tcBorders>
            <w:shd w:val="clear" w:color="auto" w:fill="auto"/>
            <w:noWrap/>
            <w:vAlign w:val="center"/>
            <w:hideMark/>
          </w:tcPr>
          <w:p w14:paraId="7FD35AB6"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14</w:t>
            </w:r>
          </w:p>
        </w:tc>
      </w:tr>
      <w:tr w:rsidR="000C1458" w:rsidRPr="005E2831" w14:paraId="3B4A1179" w14:textId="77777777" w:rsidTr="0025528B">
        <w:trPr>
          <w:trHeight w:val="861"/>
        </w:trPr>
        <w:tc>
          <w:tcPr>
            <w:tcW w:w="845" w:type="dxa"/>
            <w:vMerge/>
            <w:tcBorders>
              <w:top w:val="single" w:sz="4" w:space="0" w:color="auto"/>
              <w:left w:val="single" w:sz="4" w:space="0" w:color="auto"/>
              <w:bottom w:val="nil"/>
              <w:right w:val="single" w:sz="4" w:space="0" w:color="auto"/>
            </w:tcBorders>
            <w:vAlign w:val="center"/>
            <w:hideMark/>
          </w:tcPr>
          <w:p w14:paraId="005F8982"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1920" w:type="dxa"/>
            <w:tcBorders>
              <w:top w:val="nil"/>
              <w:left w:val="nil"/>
              <w:bottom w:val="single" w:sz="4" w:space="0" w:color="auto"/>
              <w:right w:val="single" w:sz="4" w:space="0" w:color="auto"/>
            </w:tcBorders>
            <w:shd w:val="clear" w:color="auto" w:fill="auto"/>
            <w:vAlign w:val="center"/>
            <w:hideMark/>
          </w:tcPr>
          <w:p w14:paraId="6C2AE8D6"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 xml:space="preserve">Liczba ocenionych silnie zmienionych/sztucznych </w:t>
            </w:r>
            <w:proofErr w:type="spellStart"/>
            <w:r w:rsidRPr="00D75E6D">
              <w:rPr>
                <w:rFonts w:ascii="Times New Roman" w:eastAsia="Times New Roman" w:hAnsi="Times New Roman" w:cs="Times New Roman"/>
                <w:color w:val="000000"/>
                <w:sz w:val="18"/>
                <w:szCs w:val="18"/>
                <w:lang w:eastAsia="pl-PL"/>
              </w:rPr>
              <w:t>jcwp</w:t>
            </w:r>
            <w:proofErr w:type="spellEnd"/>
          </w:p>
        </w:tc>
        <w:tc>
          <w:tcPr>
            <w:tcW w:w="620" w:type="dxa"/>
            <w:tcBorders>
              <w:top w:val="nil"/>
              <w:left w:val="nil"/>
              <w:bottom w:val="single" w:sz="4" w:space="0" w:color="auto"/>
              <w:right w:val="single" w:sz="4" w:space="0" w:color="auto"/>
            </w:tcBorders>
            <w:shd w:val="clear" w:color="auto" w:fill="auto"/>
            <w:noWrap/>
            <w:vAlign w:val="center"/>
            <w:hideMark/>
          </w:tcPr>
          <w:p w14:paraId="453344D1"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69</w:t>
            </w:r>
          </w:p>
        </w:tc>
        <w:tc>
          <w:tcPr>
            <w:tcW w:w="608" w:type="dxa"/>
            <w:tcBorders>
              <w:top w:val="nil"/>
              <w:left w:val="nil"/>
              <w:bottom w:val="single" w:sz="4" w:space="0" w:color="auto"/>
              <w:right w:val="single" w:sz="4" w:space="0" w:color="auto"/>
            </w:tcBorders>
            <w:shd w:val="clear" w:color="auto" w:fill="auto"/>
            <w:noWrap/>
            <w:vAlign w:val="center"/>
            <w:hideMark/>
          </w:tcPr>
          <w:p w14:paraId="5AE3DD84"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70</w:t>
            </w:r>
          </w:p>
        </w:tc>
        <w:tc>
          <w:tcPr>
            <w:tcW w:w="670" w:type="dxa"/>
            <w:tcBorders>
              <w:top w:val="nil"/>
              <w:left w:val="nil"/>
              <w:bottom w:val="single" w:sz="4" w:space="0" w:color="auto"/>
              <w:right w:val="single" w:sz="4" w:space="0" w:color="auto"/>
            </w:tcBorders>
            <w:shd w:val="clear" w:color="auto" w:fill="auto"/>
            <w:noWrap/>
            <w:vAlign w:val="center"/>
            <w:hideMark/>
          </w:tcPr>
          <w:p w14:paraId="72B5F7C1"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24" w:type="dxa"/>
            <w:tcBorders>
              <w:top w:val="nil"/>
              <w:left w:val="nil"/>
              <w:bottom w:val="single" w:sz="4" w:space="0" w:color="auto"/>
              <w:right w:val="single" w:sz="4" w:space="0" w:color="auto"/>
            </w:tcBorders>
            <w:shd w:val="clear" w:color="auto" w:fill="auto"/>
            <w:noWrap/>
            <w:vAlign w:val="center"/>
            <w:hideMark/>
          </w:tcPr>
          <w:p w14:paraId="49EE890B"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820" w:type="dxa"/>
            <w:tcBorders>
              <w:top w:val="nil"/>
              <w:left w:val="nil"/>
              <w:bottom w:val="single" w:sz="4" w:space="0" w:color="auto"/>
              <w:right w:val="single" w:sz="4" w:space="0" w:color="auto"/>
            </w:tcBorders>
            <w:shd w:val="clear" w:color="auto" w:fill="auto"/>
            <w:noWrap/>
            <w:vAlign w:val="center"/>
            <w:hideMark/>
          </w:tcPr>
          <w:p w14:paraId="5F0C546B"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08" w:type="dxa"/>
            <w:tcBorders>
              <w:top w:val="nil"/>
              <w:left w:val="nil"/>
              <w:bottom w:val="single" w:sz="4" w:space="0" w:color="auto"/>
              <w:right w:val="single" w:sz="4" w:space="0" w:color="auto"/>
            </w:tcBorders>
            <w:shd w:val="clear" w:color="auto" w:fill="auto"/>
            <w:noWrap/>
            <w:vAlign w:val="center"/>
            <w:hideMark/>
          </w:tcPr>
          <w:p w14:paraId="770F7C83"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2828A028"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90" w:type="dxa"/>
            <w:tcBorders>
              <w:top w:val="nil"/>
              <w:left w:val="nil"/>
              <w:bottom w:val="single" w:sz="4" w:space="0" w:color="auto"/>
              <w:right w:val="single" w:sz="4" w:space="0" w:color="auto"/>
            </w:tcBorders>
            <w:shd w:val="clear" w:color="auto" w:fill="auto"/>
            <w:noWrap/>
            <w:vAlign w:val="center"/>
            <w:hideMark/>
          </w:tcPr>
          <w:p w14:paraId="3994EE08"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5</w:t>
            </w:r>
          </w:p>
        </w:tc>
        <w:tc>
          <w:tcPr>
            <w:tcW w:w="660" w:type="dxa"/>
            <w:tcBorders>
              <w:top w:val="nil"/>
              <w:left w:val="nil"/>
              <w:bottom w:val="single" w:sz="4" w:space="0" w:color="auto"/>
              <w:right w:val="single" w:sz="4" w:space="0" w:color="auto"/>
            </w:tcBorders>
            <w:shd w:val="clear" w:color="auto" w:fill="auto"/>
            <w:noWrap/>
            <w:vAlign w:val="center"/>
            <w:hideMark/>
          </w:tcPr>
          <w:p w14:paraId="217C7808"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576" w:type="dxa"/>
            <w:tcBorders>
              <w:top w:val="nil"/>
              <w:left w:val="nil"/>
              <w:bottom w:val="single" w:sz="4" w:space="0" w:color="auto"/>
              <w:right w:val="single" w:sz="4" w:space="0" w:color="auto"/>
            </w:tcBorders>
            <w:shd w:val="clear" w:color="auto" w:fill="auto"/>
            <w:noWrap/>
            <w:vAlign w:val="center"/>
            <w:hideMark/>
          </w:tcPr>
          <w:p w14:paraId="3F159D8D"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172</w:t>
            </w:r>
          </w:p>
        </w:tc>
      </w:tr>
      <w:tr w:rsidR="000C1458" w:rsidRPr="005E2831" w14:paraId="352BD4FA" w14:textId="77777777" w:rsidTr="0025528B">
        <w:trPr>
          <w:trHeight w:val="300"/>
        </w:trPr>
        <w:tc>
          <w:tcPr>
            <w:tcW w:w="845" w:type="dxa"/>
            <w:vMerge w:val="restart"/>
            <w:tcBorders>
              <w:top w:val="single" w:sz="4" w:space="0" w:color="auto"/>
              <w:left w:val="single" w:sz="4" w:space="0" w:color="auto"/>
              <w:bottom w:val="nil"/>
              <w:right w:val="single" w:sz="4" w:space="0" w:color="auto"/>
            </w:tcBorders>
            <w:shd w:val="clear" w:color="auto" w:fill="auto"/>
            <w:textDirection w:val="btLr"/>
            <w:vAlign w:val="center"/>
            <w:hideMark/>
          </w:tcPr>
          <w:p w14:paraId="238D3456"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Klasyfikacja</w:t>
            </w:r>
            <w:r w:rsidRPr="00D75E6D">
              <w:rPr>
                <w:rFonts w:ascii="Times New Roman" w:eastAsia="Times New Roman" w:hAnsi="Times New Roman" w:cs="Times New Roman"/>
                <w:color w:val="000000"/>
                <w:sz w:val="18"/>
                <w:szCs w:val="18"/>
                <w:lang w:eastAsia="pl-PL"/>
              </w:rPr>
              <w:br/>
              <w:t>stanu</w:t>
            </w:r>
            <w:r w:rsidRPr="00D75E6D">
              <w:rPr>
                <w:rFonts w:ascii="Times New Roman" w:eastAsia="Times New Roman" w:hAnsi="Times New Roman" w:cs="Times New Roman"/>
                <w:color w:val="000000"/>
                <w:sz w:val="18"/>
                <w:szCs w:val="18"/>
                <w:lang w:eastAsia="pl-PL"/>
              </w:rPr>
              <w:br/>
              <w:t>chemicznego</w:t>
            </w:r>
          </w:p>
        </w:tc>
        <w:tc>
          <w:tcPr>
            <w:tcW w:w="1920" w:type="dxa"/>
            <w:tcBorders>
              <w:top w:val="nil"/>
              <w:left w:val="nil"/>
              <w:bottom w:val="single" w:sz="4" w:space="0" w:color="auto"/>
              <w:right w:val="single" w:sz="4" w:space="0" w:color="auto"/>
            </w:tcBorders>
            <w:shd w:val="clear" w:color="000000" w:fill="00B0F0"/>
            <w:vAlign w:val="center"/>
            <w:hideMark/>
          </w:tcPr>
          <w:p w14:paraId="7B1D97DD"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Dobry</w:t>
            </w:r>
          </w:p>
        </w:tc>
        <w:tc>
          <w:tcPr>
            <w:tcW w:w="620" w:type="dxa"/>
            <w:tcBorders>
              <w:top w:val="nil"/>
              <w:left w:val="nil"/>
              <w:bottom w:val="single" w:sz="4" w:space="0" w:color="auto"/>
              <w:right w:val="single" w:sz="4" w:space="0" w:color="auto"/>
            </w:tcBorders>
            <w:shd w:val="clear" w:color="auto" w:fill="auto"/>
            <w:noWrap/>
            <w:vAlign w:val="center"/>
            <w:hideMark/>
          </w:tcPr>
          <w:p w14:paraId="3957E435"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36</w:t>
            </w:r>
          </w:p>
        </w:tc>
        <w:tc>
          <w:tcPr>
            <w:tcW w:w="608" w:type="dxa"/>
            <w:tcBorders>
              <w:top w:val="nil"/>
              <w:left w:val="nil"/>
              <w:bottom w:val="single" w:sz="4" w:space="0" w:color="auto"/>
              <w:right w:val="single" w:sz="4" w:space="0" w:color="auto"/>
            </w:tcBorders>
            <w:shd w:val="clear" w:color="auto" w:fill="auto"/>
            <w:noWrap/>
            <w:vAlign w:val="center"/>
            <w:hideMark/>
          </w:tcPr>
          <w:p w14:paraId="7BDAA6E2"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23</w:t>
            </w:r>
          </w:p>
        </w:tc>
        <w:tc>
          <w:tcPr>
            <w:tcW w:w="670" w:type="dxa"/>
            <w:tcBorders>
              <w:top w:val="nil"/>
              <w:left w:val="nil"/>
              <w:bottom w:val="single" w:sz="4" w:space="0" w:color="auto"/>
              <w:right w:val="single" w:sz="4" w:space="0" w:color="auto"/>
            </w:tcBorders>
            <w:shd w:val="clear" w:color="auto" w:fill="auto"/>
            <w:noWrap/>
            <w:vAlign w:val="center"/>
            <w:hideMark/>
          </w:tcPr>
          <w:p w14:paraId="0E411FF2"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24" w:type="dxa"/>
            <w:tcBorders>
              <w:top w:val="nil"/>
              <w:left w:val="nil"/>
              <w:bottom w:val="single" w:sz="4" w:space="0" w:color="auto"/>
              <w:right w:val="single" w:sz="4" w:space="0" w:color="auto"/>
            </w:tcBorders>
            <w:shd w:val="clear" w:color="auto" w:fill="auto"/>
            <w:noWrap/>
            <w:vAlign w:val="center"/>
            <w:hideMark/>
          </w:tcPr>
          <w:p w14:paraId="7373337E"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820" w:type="dxa"/>
            <w:tcBorders>
              <w:top w:val="nil"/>
              <w:left w:val="nil"/>
              <w:bottom w:val="single" w:sz="4" w:space="0" w:color="auto"/>
              <w:right w:val="single" w:sz="4" w:space="0" w:color="auto"/>
            </w:tcBorders>
            <w:shd w:val="clear" w:color="auto" w:fill="auto"/>
            <w:noWrap/>
            <w:vAlign w:val="center"/>
            <w:hideMark/>
          </w:tcPr>
          <w:p w14:paraId="258B6BE6"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08" w:type="dxa"/>
            <w:tcBorders>
              <w:top w:val="nil"/>
              <w:left w:val="nil"/>
              <w:bottom w:val="single" w:sz="4" w:space="0" w:color="auto"/>
              <w:right w:val="single" w:sz="4" w:space="0" w:color="auto"/>
            </w:tcBorders>
            <w:shd w:val="clear" w:color="auto" w:fill="auto"/>
            <w:noWrap/>
            <w:vAlign w:val="center"/>
            <w:hideMark/>
          </w:tcPr>
          <w:p w14:paraId="70B72B98"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3E106CA4"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90" w:type="dxa"/>
            <w:tcBorders>
              <w:top w:val="nil"/>
              <w:left w:val="nil"/>
              <w:bottom w:val="single" w:sz="4" w:space="0" w:color="auto"/>
              <w:right w:val="single" w:sz="4" w:space="0" w:color="auto"/>
            </w:tcBorders>
            <w:shd w:val="clear" w:color="auto" w:fill="auto"/>
            <w:noWrap/>
            <w:vAlign w:val="center"/>
            <w:hideMark/>
          </w:tcPr>
          <w:p w14:paraId="1724A453"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2</w:t>
            </w:r>
          </w:p>
        </w:tc>
        <w:tc>
          <w:tcPr>
            <w:tcW w:w="660" w:type="dxa"/>
            <w:tcBorders>
              <w:top w:val="nil"/>
              <w:left w:val="nil"/>
              <w:bottom w:val="single" w:sz="4" w:space="0" w:color="auto"/>
              <w:right w:val="single" w:sz="4" w:space="0" w:color="auto"/>
            </w:tcBorders>
            <w:shd w:val="clear" w:color="auto" w:fill="auto"/>
            <w:noWrap/>
            <w:vAlign w:val="center"/>
            <w:hideMark/>
          </w:tcPr>
          <w:p w14:paraId="73C0C856"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576" w:type="dxa"/>
            <w:tcBorders>
              <w:top w:val="nil"/>
              <w:left w:val="nil"/>
              <w:bottom w:val="single" w:sz="4" w:space="0" w:color="auto"/>
              <w:right w:val="single" w:sz="4" w:space="0" w:color="auto"/>
            </w:tcBorders>
            <w:shd w:val="clear" w:color="auto" w:fill="auto"/>
            <w:noWrap/>
            <w:vAlign w:val="center"/>
            <w:hideMark/>
          </w:tcPr>
          <w:p w14:paraId="45D27052"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61</w:t>
            </w:r>
          </w:p>
        </w:tc>
      </w:tr>
      <w:tr w:rsidR="000C1458" w:rsidRPr="005E2831" w14:paraId="6C79DD41" w14:textId="77777777" w:rsidTr="0025528B">
        <w:trPr>
          <w:trHeight w:val="450"/>
        </w:trPr>
        <w:tc>
          <w:tcPr>
            <w:tcW w:w="845" w:type="dxa"/>
            <w:vMerge/>
            <w:tcBorders>
              <w:top w:val="single" w:sz="4" w:space="0" w:color="auto"/>
              <w:left w:val="single" w:sz="4" w:space="0" w:color="auto"/>
              <w:bottom w:val="nil"/>
              <w:right w:val="single" w:sz="4" w:space="0" w:color="auto"/>
            </w:tcBorders>
            <w:vAlign w:val="center"/>
            <w:hideMark/>
          </w:tcPr>
          <w:p w14:paraId="6D9656D4"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1920" w:type="dxa"/>
            <w:tcBorders>
              <w:top w:val="nil"/>
              <w:left w:val="nil"/>
              <w:bottom w:val="single" w:sz="4" w:space="0" w:color="auto"/>
              <w:right w:val="single" w:sz="4" w:space="0" w:color="auto"/>
            </w:tcBorders>
            <w:shd w:val="clear" w:color="000000" w:fill="FF0000"/>
            <w:vAlign w:val="center"/>
            <w:hideMark/>
          </w:tcPr>
          <w:p w14:paraId="3B8E0551"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Poniżej dobrego</w:t>
            </w:r>
          </w:p>
        </w:tc>
        <w:tc>
          <w:tcPr>
            <w:tcW w:w="620" w:type="dxa"/>
            <w:tcBorders>
              <w:top w:val="nil"/>
              <w:left w:val="nil"/>
              <w:bottom w:val="single" w:sz="4" w:space="0" w:color="auto"/>
              <w:right w:val="single" w:sz="4" w:space="0" w:color="auto"/>
            </w:tcBorders>
            <w:shd w:val="clear" w:color="auto" w:fill="auto"/>
            <w:noWrap/>
            <w:vAlign w:val="center"/>
            <w:hideMark/>
          </w:tcPr>
          <w:p w14:paraId="526EC978"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358</w:t>
            </w:r>
          </w:p>
        </w:tc>
        <w:tc>
          <w:tcPr>
            <w:tcW w:w="608" w:type="dxa"/>
            <w:tcBorders>
              <w:top w:val="nil"/>
              <w:left w:val="nil"/>
              <w:bottom w:val="single" w:sz="4" w:space="0" w:color="auto"/>
              <w:right w:val="single" w:sz="4" w:space="0" w:color="auto"/>
            </w:tcBorders>
            <w:shd w:val="clear" w:color="auto" w:fill="auto"/>
            <w:noWrap/>
            <w:vAlign w:val="center"/>
            <w:hideMark/>
          </w:tcPr>
          <w:p w14:paraId="7F33E0A6"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311</w:t>
            </w:r>
          </w:p>
        </w:tc>
        <w:tc>
          <w:tcPr>
            <w:tcW w:w="670" w:type="dxa"/>
            <w:tcBorders>
              <w:top w:val="nil"/>
              <w:left w:val="nil"/>
              <w:bottom w:val="single" w:sz="4" w:space="0" w:color="auto"/>
              <w:right w:val="single" w:sz="4" w:space="0" w:color="auto"/>
            </w:tcBorders>
            <w:shd w:val="clear" w:color="auto" w:fill="auto"/>
            <w:noWrap/>
            <w:vAlign w:val="center"/>
            <w:hideMark/>
          </w:tcPr>
          <w:p w14:paraId="043E3B44"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24" w:type="dxa"/>
            <w:tcBorders>
              <w:top w:val="nil"/>
              <w:left w:val="nil"/>
              <w:bottom w:val="single" w:sz="4" w:space="0" w:color="auto"/>
              <w:right w:val="single" w:sz="4" w:space="0" w:color="auto"/>
            </w:tcBorders>
            <w:shd w:val="clear" w:color="auto" w:fill="auto"/>
            <w:noWrap/>
            <w:vAlign w:val="center"/>
            <w:hideMark/>
          </w:tcPr>
          <w:p w14:paraId="62745606"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820" w:type="dxa"/>
            <w:tcBorders>
              <w:top w:val="nil"/>
              <w:left w:val="nil"/>
              <w:bottom w:val="single" w:sz="4" w:space="0" w:color="auto"/>
              <w:right w:val="single" w:sz="4" w:space="0" w:color="auto"/>
            </w:tcBorders>
            <w:shd w:val="clear" w:color="auto" w:fill="auto"/>
            <w:noWrap/>
            <w:vAlign w:val="center"/>
            <w:hideMark/>
          </w:tcPr>
          <w:p w14:paraId="24151878"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08" w:type="dxa"/>
            <w:tcBorders>
              <w:top w:val="nil"/>
              <w:left w:val="nil"/>
              <w:bottom w:val="single" w:sz="4" w:space="0" w:color="auto"/>
              <w:right w:val="single" w:sz="4" w:space="0" w:color="auto"/>
            </w:tcBorders>
            <w:shd w:val="clear" w:color="auto" w:fill="auto"/>
            <w:noWrap/>
            <w:vAlign w:val="center"/>
            <w:hideMark/>
          </w:tcPr>
          <w:p w14:paraId="585889D6"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w:t>
            </w:r>
          </w:p>
        </w:tc>
        <w:tc>
          <w:tcPr>
            <w:tcW w:w="710" w:type="dxa"/>
            <w:tcBorders>
              <w:top w:val="nil"/>
              <w:left w:val="nil"/>
              <w:bottom w:val="single" w:sz="4" w:space="0" w:color="auto"/>
              <w:right w:val="single" w:sz="4" w:space="0" w:color="auto"/>
            </w:tcBorders>
            <w:shd w:val="clear" w:color="auto" w:fill="auto"/>
            <w:noWrap/>
            <w:vAlign w:val="center"/>
            <w:hideMark/>
          </w:tcPr>
          <w:p w14:paraId="57ACB334"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w:t>
            </w:r>
          </w:p>
        </w:tc>
        <w:tc>
          <w:tcPr>
            <w:tcW w:w="690" w:type="dxa"/>
            <w:tcBorders>
              <w:top w:val="nil"/>
              <w:left w:val="nil"/>
              <w:bottom w:val="single" w:sz="4" w:space="0" w:color="auto"/>
              <w:right w:val="single" w:sz="4" w:space="0" w:color="auto"/>
            </w:tcBorders>
            <w:shd w:val="clear" w:color="auto" w:fill="auto"/>
            <w:noWrap/>
            <w:vAlign w:val="center"/>
            <w:hideMark/>
          </w:tcPr>
          <w:p w14:paraId="1763B147"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14</w:t>
            </w:r>
          </w:p>
        </w:tc>
        <w:tc>
          <w:tcPr>
            <w:tcW w:w="660" w:type="dxa"/>
            <w:tcBorders>
              <w:top w:val="nil"/>
              <w:left w:val="nil"/>
              <w:bottom w:val="single" w:sz="4" w:space="0" w:color="auto"/>
              <w:right w:val="single" w:sz="4" w:space="0" w:color="auto"/>
            </w:tcBorders>
            <w:shd w:val="clear" w:color="auto" w:fill="auto"/>
            <w:noWrap/>
            <w:vAlign w:val="center"/>
            <w:hideMark/>
          </w:tcPr>
          <w:p w14:paraId="6694AD09"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w:t>
            </w:r>
          </w:p>
        </w:tc>
        <w:tc>
          <w:tcPr>
            <w:tcW w:w="576" w:type="dxa"/>
            <w:tcBorders>
              <w:top w:val="nil"/>
              <w:left w:val="nil"/>
              <w:bottom w:val="single" w:sz="4" w:space="0" w:color="auto"/>
              <w:right w:val="single" w:sz="4" w:space="0" w:color="auto"/>
            </w:tcBorders>
            <w:shd w:val="clear" w:color="auto" w:fill="auto"/>
            <w:noWrap/>
            <w:vAlign w:val="center"/>
            <w:hideMark/>
          </w:tcPr>
          <w:p w14:paraId="70BF0D9B"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686</w:t>
            </w:r>
          </w:p>
        </w:tc>
      </w:tr>
      <w:tr w:rsidR="000C1458" w:rsidRPr="005E2831" w14:paraId="35940300" w14:textId="77777777" w:rsidTr="0025528B">
        <w:trPr>
          <w:trHeight w:val="501"/>
        </w:trPr>
        <w:tc>
          <w:tcPr>
            <w:tcW w:w="845" w:type="dxa"/>
            <w:vMerge/>
            <w:tcBorders>
              <w:top w:val="single" w:sz="4" w:space="0" w:color="auto"/>
              <w:left w:val="single" w:sz="4" w:space="0" w:color="auto"/>
              <w:bottom w:val="nil"/>
              <w:right w:val="single" w:sz="4" w:space="0" w:color="auto"/>
            </w:tcBorders>
            <w:vAlign w:val="center"/>
            <w:hideMark/>
          </w:tcPr>
          <w:p w14:paraId="1A2A00D3"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1920" w:type="dxa"/>
            <w:tcBorders>
              <w:top w:val="nil"/>
              <w:left w:val="nil"/>
              <w:bottom w:val="single" w:sz="4" w:space="0" w:color="auto"/>
              <w:right w:val="single" w:sz="4" w:space="0" w:color="auto"/>
            </w:tcBorders>
            <w:shd w:val="clear" w:color="auto" w:fill="auto"/>
            <w:vAlign w:val="center"/>
            <w:hideMark/>
          </w:tcPr>
          <w:p w14:paraId="586E5C04"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 xml:space="preserve">Liczba ocenionych </w:t>
            </w:r>
            <w:proofErr w:type="spellStart"/>
            <w:r w:rsidRPr="00D75E6D">
              <w:rPr>
                <w:rFonts w:ascii="Times New Roman" w:eastAsia="Times New Roman" w:hAnsi="Times New Roman" w:cs="Times New Roman"/>
                <w:color w:val="000000"/>
                <w:sz w:val="18"/>
                <w:szCs w:val="18"/>
                <w:lang w:eastAsia="pl-PL"/>
              </w:rPr>
              <w:t>jcwp</w:t>
            </w:r>
            <w:proofErr w:type="spellEnd"/>
          </w:p>
        </w:tc>
        <w:tc>
          <w:tcPr>
            <w:tcW w:w="620" w:type="dxa"/>
            <w:tcBorders>
              <w:top w:val="nil"/>
              <w:left w:val="nil"/>
              <w:bottom w:val="single" w:sz="4" w:space="0" w:color="auto"/>
              <w:right w:val="single" w:sz="4" w:space="0" w:color="auto"/>
            </w:tcBorders>
            <w:shd w:val="clear" w:color="auto" w:fill="auto"/>
            <w:noWrap/>
            <w:vAlign w:val="center"/>
            <w:hideMark/>
          </w:tcPr>
          <w:p w14:paraId="1CCCFC97"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394</w:t>
            </w:r>
          </w:p>
        </w:tc>
        <w:tc>
          <w:tcPr>
            <w:tcW w:w="608" w:type="dxa"/>
            <w:tcBorders>
              <w:top w:val="nil"/>
              <w:left w:val="nil"/>
              <w:bottom w:val="single" w:sz="4" w:space="0" w:color="auto"/>
              <w:right w:val="single" w:sz="4" w:space="0" w:color="auto"/>
            </w:tcBorders>
            <w:shd w:val="clear" w:color="auto" w:fill="auto"/>
            <w:noWrap/>
            <w:vAlign w:val="center"/>
            <w:hideMark/>
          </w:tcPr>
          <w:p w14:paraId="7F02FF59"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334</w:t>
            </w:r>
          </w:p>
        </w:tc>
        <w:tc>
          <w:tcPr>
            <w:tcW w:w="670" w:type="dxa"/>
            <w:tcBorders>
              <w:top w:val="nil"/>
              <w:left w:val="nil"/>
              <w:bottom w:val="single" w:sz="4" w:space="0" w:color="auto"/>
              <w:right w:val="single" w:sz="4" w:space="0" w:color="auto"/>
            </w:tcBorders>
            <w:shd w:val="clear" w:color="auto" w:fill="auto"/>
            <w:noWrap/>
            <w:vAlign w:val="center"/>
            <w:hideMark/>
          </w:tcPr>
          <w:p w14:paraId="310AF903"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24" w:type="dxa"/>
            <w:tcBorders>
              <w:top w:val="nil"/>
              <w:left w:val="nil"/>
              <w:bottom w:val="single" w:sz="4" w:space="0" w:color="auto"/>
              <w:right w:val="single" w:sz="4" w:space="0" w:color="auto"/>
            </w:tcBorders>
            <w:shd w:val="clear" w:color="auto" w:fill="auto"/>
            <w:noWrap/>
            <w:vAlign w:val="center"/>
            <w:hideMark/>
          </w:tcPr>
          <w:p w14:paraId="0CFFAF5A"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820" w:type="dxa"/>
            <w:tcBorders>
              <w:top w:val="nil"/>
              <w:left w:val="nil"/>
              <w:bottom w:val="single" w:sz="4" w:space="0" w:color="auto"/>
              <w:right w:val="single" w:sz="4" w:space="0" w:color="auto"/>
            </w:tcBorders>
            <w:shd w:val="clear" w:color="auto" w:fill="auto"/>
            <w:noWrap/>
            <w:vAlign w:val="center"/>
            <w:hideMark/>
          </w:tcPr>
          <w:p w14:paraId="47F6B935"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08" w:type="dxa"/>
            <w:tcBorders>
              <w:top w:val="nil"/>
              <w:left w:val="nil"/>
              <w:bottom w:val="single" w:sz="4" w:space="0" w:color="auto"/>
              <w:right w:val="single" w:sz="4" w:space="0" w:color="auto"/>
            </w:tcBorders>
            <w:shd w:val="clear" w:color="auto" w:fill="auto"/>
            <w:noWrap/>
            <w:vAlign w:val="center"/>
            <w:hideMark/>
          </w:tcPr>
          <w:p w14:paraId="5F2BF1DB"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w:t>
            </w:r>
          </w:p>
        </w:tc>
        <w:tc>
          <w:tcPr>
            <w:tcW w:w="710" w:type="dxa"/>
            <w:tcBorders>
              <w:top w:val="nil"/>
              <w:left w:val="nil"/>
              <w:bottom w:val="single" w:sz="4" w:space="0" w:color="auto"/>
              <w:right w:val="single" w:sz="4" w:space="0" w:color="auto"/>
            </w:tcBorders>
            <w:shd w:val="clear" w:color="auto" w:fill="auto"/>
            <w:noWrap/>
            <w:vAlign w:val="center"/>
            <w:hideMark/>
          </w:tcPr>
          <w:p w14:paraId="33EA42F7"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w:t>
            </w:r>
          </w:p>
        </w:tc>
        <w:tc>
          <w:tcPr>
            <w:tcW w:w="690" w:type="dxa"/>
            <w:tcBorders>
              <w:top w:val="nil"/>
              <w:left w:val="nil"/>
              <w:bottom w:val="single" w:sz="4" w:space="0" w:color="auto"/>
              <w:right w:val="single" w:sz="4" w:space="0" w:color="auto"/>
            </w:tcBorders>
            <w:shd w:val="clear" w:color="auto" w:fill="auto"/>
            <w:noWrap/>
            <w:vAlign w:val="center"/>
            <w:hideMark/>
          </w:tcPr>
          <w:p w14:paraId="3D17C07E"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16</w:t>
            </w:r>
          </w:p>
        </w:tc>
        <w:tc>
          <w:tcPr>
            <w:tcW w:w="660" w:type="dxa"/>
            <w:tcBorders>
              <w:top w:val="nil"/>
              <w:left w:val="nil"/>
              <w:bottom w:val="single" w:sz="4" w:space="0" w:color="auto"/>
              <w:right w:val="single" w:sz="4" w:space="0" w:color="auto"/>
            </w:tcBorders>
            <w:shd w:val="clear" w:color="auto" w:fill="auto"/>
            <w:noWrap/>
            <w:vAlign w:val="center"/>
            <w:hideMark/>
          </w:tcPr>
          <w:p w14:paraId="5340758B"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w:t>
            </w:r>
          </w:p>
        </w:tc>
        <w:tc>
          <w:tcPr>
            <w:tcW w:w="576" w:type="dxa"/>
            <w:tcBorders>
              <w:top w:val="nil"/>
              <w:left w:val="nil"/>
              <w:bottom w:val="single" w:sz="4" w:space="0" w:color="auto"/>
              <w:right w:val="single" w:sz="4" w:space="0" w:color="auto"/>
            </w:tcBorders>
            <w:shd w:val="clear" w:color="auto" w:fill="auto"/>
            <w:noWrap/>
            <w:vAlign w:val="center"/>
            <w:hideMark/>
          </w:tcPr>
          <w:p w14:paraId="6AEA322E"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753</w:t>
            </w:r>
          </w:p>
        </w:tc>
      </w:tr>
      <w:tr w:rsidR="000C1458" w:rsidRPr="005E2831" w14:paraId="56E1735F" w14:textId="77777777" w:rsidTr="0025528B">
        <w:trPr>
          <w:trHeight w:val="300"/>
        </w:trPr>
        <w:tc>
          <w:tcPr>
            <w:tcW w:w="845"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0A43ED3F"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Ocena</w:t>
            </w:r>
            <w:r w:rsidRPr="00D75E6D">
              <w:rPr>
                <w:rFonts w:ascii="Times New Roman" w:eastAsia="Times New Roman" w:hAnsi="Times New Roman" w:cs="Times New Roman"/>
                <w:color w:val="000000"/>
                <w:sz w:val="18"/>
                <w:szCs w:val="18"/>
                <w:lang w:eastAsia="pl-PL"/>
              </w:rPr>
              <w:br/>
              <w:t>stanu</w:t>
            </w:r>
          </w:p>
        </w:tc>
        <w:tc>
          <w:tcPr>
            <w:tcW w:w="1920" w:type="dxa"/>
            <w:tcBorders>
              <w:top w:val="nil"/>
              <w:left w:val="nil"/>
              <w:bottom w:val="single" w:sz="4" w:space="0" w:color="auto"/>
              <w:right w:val="single" w:sz="4" w:space="0" w:color="auto"/>
            </w:tcBorders>
            <w:shd w:val="clear" w:color="000000" w:fill="00B0F0"/>
            <w:vAlign w:val="center"/>
            <w:hideMark/>
          </w:tcPr>
          <w:p w14:paraId="6AF13FFC"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Dobry</w:t>
            </w:r>
          </w:p>
        </w:tc>
        <w:tc>
          <w:tcPr>
            <w:tcW w:w="620" w:type="dxa"/>
            <w:tcBorders>
              <w:top w:val="nil"/>
              <w:left w:val="nil"/>
              <w:bottom w:val="single" w:sz="4" w:space="0" w:color="auto"/>
              <w:right w:val="single" w:sz="4" w:space="0" w:color="auto"/>
            </w:tcBorders>
            <w:shd w:val="clear" w:color="auto" w:fill="auto"/>
            <w:noWrap/>
            <w:vAlign w:val="center"/>
            <w:hideMark/>
          </w:tcPr>
          <w:p w14:paraId="443085EE"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7</w:t>
            </w:r>
          </w:p>
        </w:tc>
        <w:tc>
          <w:tcPr>
            <w:tcW w:w="608" w:type="dxa"/>
            <w:tcBorders>
              <w:top w:val="nil"/>
              <w:left w:val="nil"/>
              <w:bottom w:val="single" w:sz="4" w:space="0" w:color="auto"/>
              <w:right w:val="single" w:sz="4" w:space="0" w:color="auto"/>
            </w:tcBorders>
            <w:shd w:val="clear" w:color="auto" w:fill="auto"/>
            <w:noWrap/>
            <w:vAlign w:val="center"/>
            <w:hideMark/>
          </w:tcPr>
          <w:p w14:paraId="148EDE25"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2</w:t>
            </w:r>
          </w:p>
        </w:tc>
        <w:tc>
          <w:tcPr>
            <w:tcW w:w="670" w:type="dxa"/>
            <w:tcBorders>
              <w:top w:val="nil"/>
              <w:left w:val="nil"/>
              <w:bottom w:val="single" w:sz="4" w:space="0" w:color="auto"/>
              <w:right w:val="single" w:sz="4" w:space="0" w:color="auto"/>
            </w:tcBorders>
            <w:shd w:val="clear" w:color="auto" w:fill="auto"/>
            <w:noWrap/>
            <w:vAlign w:val="center"/>
            <w:hideMark/>
          </w:tcPr>
          <w:p w14:paraId="47ECED62"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24" w:type="dxa"/>
            <w:tcBorders>
              <w:top w:val="nil"/>
              <w:left w:val="nil"/>
              <w:bottom w:val="single" w:sz="4" w:space="0" w:color="auto"/>
              <w:right w:val="single" w:sz="4" w:space="0" w:color="auto"/>
            </w:tcBorders>
            <w:shd w:val="clear" w:color="auto" w:fill="auto"/>
            <w:noWrap/>
            <w:vAlign w:val="center"/>
            <w:hideMark/>
          </w:tcPr>
          <w:p w14:paraId="675BAE6D"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820" w:type="dxa"/>
            <w:tcBorders>
              <w:top w:val="nil"/>
              <w:left w:val="nil"/>
              <w:bottom w:val="single" w:sz="4" w:space="0" w:color="auto"/>
              <w:right w:val="single" w:sz="4" w:space="0" w:color="auto"/>
            </w:tcBorders>
            <w:shd w:val="clear" w:color="auto" w:fill="auto"/>
            <w:noWrap/>
            <w:vAlign w:val="center"/>
            <w:hideMark/>
          </w:tcPr>
          <w:p w14:paraId="433F8608"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08" w:type="dxa"/>
            <w:tcBorders>
              <w:top w:val="nil"/>
              <w:left w:val="nil"/>
              <w:bottom w:val="single" w:sz="4" w:space="0" w:color="auto"/>
              <w:right w:val="single" w:sz="4" w:space="0" w:color="auto"/>
            </w:tcBorders>
            <w:shd w:val="clear" w:color="auto" w:fill="auto"/>
            <w:noWrap/>
            <w:vAlign w:val="center"/>
            <w:hideMark/>
          </w:tcPr>
          <w:p w14:paraId="7705B319"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30B4D040"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90" w:type="dxa"/>
            <w:tcBorders>
              <w:top w:val="nil"/>
              <w:left w:val="nil"/>
              <w:bottom w:val="single" w:sz="4" w:space="0" w:color="auto"/>
              <w:right w:val="single" w:sz="4" w:space="0" w:color="auto"/>
            </w:tcBorders>
            <w:shd w:val="clear" w:color="auto" w:fill="auto"/>
            <w:noWrap/>
            <w:vAlign w:val="center"/>
            <w:hideMark/>
          </w:tcPr>
          <w:p w14:paraId="23A5FEFE"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60" w:type="dxa"/>
            <w:tcBorders>
              <w:top w:val="nil"/>
              <w:left w:val="nil"/>
              <w:bottom w:val="single" w:sz="4" w:space="0" w:color="auto"/>
              <w:right w:val="single" w:sz="4" w:space="0" w:color="auto"/>
            </w:tcBorders>
            <w:shd w:val="clear" w:color="auto" w:fill="auto"/>
            <w:noWrap/>
            <w:vAlign w:val="center"/>
            <w:hideMark/>
          </w:tcPr>
          <w:p w14:paraId="323424A6"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576" w:type="dxa"/>
            <w:tcBorders>
              <w:top w:val="nil"/>
              <w:left w:val="nil"/>
              <w:bottom w:val="single" w:sz="4" w:space="0" w:color="auto"/>
              <w:right w:val="single" w:sz="4" w:space="0" w:color="auto"/>
            </w:tcBorders>
            <w:shd w:val="clear" w:color="auto" w:fill="auto"/>
            <w:noWrap/>
            <w:vAlign w:val="center"/>
            <w:hideMark/>
          </w:tcPr>
          <w:p w14:paraId="156ECDFF"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9</w:t>
            </w:r>
          </w:p>
        </w:tc>
      </w:tr>
      <w:tr w:rsidR="000C1458" w:rsidRPr="005E2831" w14:paraId="297F83B0" w14:textId="77777777" w:rsidTr="0025528B">
        <w:trPr>
          <w:trHeight w:val="300"/>
        </w:trPr>
        <w:tc>
          <w:tcPr>
            <w:tcW w:w="845" w:type="dxa"/>
            <w:vMerge/>
            <w:tcBorders>
              <w:top w:val="single" w:sz="4" w:space="0" w:color="auto"/>
              <w:left w:val="single" w:sz="4" w:space="0" w:color="auto"/>
              <w:bottom w:val="single" w:sz="4" w:space="0" w:color="auto"/>
              <w:right w:val="single" w:sz="4" w:space="0" w:color="auto"/>
            </w:tcBorders>
            <w:vAlign w:val="center"/>
            <w:hideMark/>
          </w:tcPr>
          <w:p w14:paraId="2213E525"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1920" w:type="dxa"/>
            <w:tcBorders>
              <w:top w:val="nil"/>
              <w:left w:val="nil"/>
              <w:bottom w:val="single" w:sz="4" w:space="0" w:color="auto"/>
              <w:right w:val="single" w:sz="4" w:space="0" w:color="auto"/>
            </w:tcBorders>
            <w:shd w:val="clear" w:color="000000" w:fill="FF0000"/>
            <w:vAlign w:val="center"/>
            <w:hideMark/>
          </w:tcPr>
          <w:p w14:paraId="704A89EA"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Zły</w:t>
            </w:r>
          </w:p>
        </w:tc>
        <w:tc>
          <w:tcPr>
            <w:tcW w:w="620" w:type="dxa"/>
            <w:tcBorders>
              <w:top w:val="nil"/>
              <w:left w:val="nil"/>
              <w:bottom w:val="single" w:sz="4" w:space="0" w:color="auto"/>
              <w:right w:val="single" w:sz="4" w:space="0" w:color="auto"/>
            </w:tcBorders>
            <w:shd w:val="clear" w:color="auto" w:fill="auto"/>
            <w:noWrap/>
            <w:vAlign w:val="center"/>
            <w:hideMark/>
          </w:tcPr>
          <w:p w14:paraId="7699CF2A"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595</w:t>
            </w:r>
          </w:p>
        </w:tc>
        <w:tc>
          <w:tcPr>
            <w:tcW w:w="608" w:type="dxa"/>
            <w:tcBorders>
              <w:top w:val="nil"/>
              <w:left w:val="nil"/>
              <w:bottom w:val="single" w:sz="4" w:space="0" w:color="auto"/>
              <w:right w:val="single" w:sz="4" w:space="0" w:color="auto"/>
            </w:tcBorders>
            <w:shd w:val="clear" w:color="auto" w:fill="auto"/>
            <w:noWrap/>
            <w:vAlign w:val="center"/>
            <w:hideMark/>
          </w:tcPr>
          <w:p w14:paraId="05AD7386"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440</w:t>
            </w:r>
          </w:p>
        </w:tc>
        <w:tc>
          <w:tcPr>
            <w:tcW w:w="670" w:type="dxa"/>
            <w:tcBorders>
              <w:top w:val="nil"/>
              <w:left w:val="nil"/>
              <w:bottom w:val="single" w:sz="4" w:space="0" w:color="auto"/>
              <w:right w:val="single" w:sz="4" w:space="0" w:color="auto"/>
            </w:tcBorders>
            <w:shd w:val="clear" w:color="auto" w:fill="auto"/>
            <w:noWrap/>
            <w:vAlign w:val="center"/>
            <w:hideMark/>
          </w:tcPr>
          <w:p w14:paraId="6A35997E"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w:t>
            </w:r>
          </w:p>
        </w:tc>
        <w:tc>
          <w:tcPr>
            <w:tcW w:w="624" w:type="dxa"/>
            <w:tcBorders>
              <w:top w:val="nil"/>
              <w:left w:val="nil"/>
              <w:bottom w:val="single" w:sz="4" w:space="0" w:color="auto"/>
              <w:right w:val="single" w:sz="4" w:space="0" w:color="auto"/>
            </w:tcBorders>
            <w:shd w:val="clear" w:color="auto" w:fill="auto"/>
            <w:noWrap/>
            <w:vAlign w:val="center"/>
            <w:hideMark/>
          </w:tcPr>
          <w:p w14:paraId="254E715C"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w:t>
            </w:r>
          </w:p>
        </w:tc>
        <w:tc>
          <w:tcPr>
            <w:tcW w:w="820" w:type="dxa"/>
            <w:tcBorders>
              <w:top w:val="nil"/>
              <w:left w:val="nil"/>
              <w:bottom w:val="single" w:sz="4" w:space="0" w:color="auto"/>
              <w:right w:val="single" w:sz="4" w:space="0" w:color="auto"/>
            </w:tcBorders>
            <w:shd w:val="clear" w:color="auto" w:fill="auto"/>
            <w:noWrap/>
            <w:vAlign w:val="center"/>
            <w:hideMark/>
          </w:tcPr>
          <w:p w14:paraId="4D5F9031"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08" w:type="dxa"/>
            <w:tcBorders>
              <w:top w:val="nil"/>
              <w:left w:val="nil"/>
              <w:bottom w:val="single" w:sz="4" w:space="0" w:color="auto"/>
              <w:right w:val="single" w:sz="4" w:space="0" w:color="auto"/>
            </w:tcBorders>
            <w:shd w:val="clear" w:color="auto" w:fill="auto"/>
            <w:noWrap/>
            <w:vAlign w:val="center"/>
            <w:hideMark/>
          </w:tcPr>
          <w:p w14:paraId="662B835C"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w:t>
            </w:r>
          </w:p>
        </w:tc>
        <w:tc>
          <w:tcPr>
            <w:tcW w:w="710" w:type="dxa"/>
            <w:tcBorders>
              <w:top w:val="nil"/>
              <w:left w:val="nil"/>
              <w:bottom w:val="single" w:sz="4" w:space="0" w:color="auto"/>
              <w:right w:val="single" w:sz="4" w:space="0" w:color="auto"/>
            </w:tcBorders>
            <w:shd w:val="clear" w:color="auto" w:fill="auto"/>
            <w:noWrap/>
            <w:vAlign w:val="center"/>
            <w:hideMark/>
          </w:tcPr>
          <w:p w14:paraId="2E5B5F47"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w:t>
            </w:r>
          </w:p>
        </w:tc>
        <w:tc>
          <w:tcPr>
            <w:tcW w:w="690" w:type="dxa"/>
            <w:tcBorders>
              <w:top w:val="nil"/>
              <w:left w:val="nil"/>
              <w:bottom w:val="single" w:sz="4" w:space="0" w:color="auto"/>
              <w:right w:val="single" w:sz="4" w:space="0" w:color="auto"/>
            </w:tcBorders>
            <w:shd w:val="clear" w:color="auto" w:fill="auto"/>
            <w:noWrap/>
            <w:vAlign w:val="center"/>
            <w:hideMark/>
          </w:tcPr>
          <w:p w14:paraId="0262EE21"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36</w:t>
            </w:r>
          </w:p>
        </w:tc>
        <w:tc>
          <w:tcPr>
            <w:tcW w:w="660" w:type="dxa"/>
            <w:tcBorders>
              <w:top w:val="nil"/>
              <w:left w:val="nil"/>
              <w:bottom w:val="single" w:sz="4" w:space="0" w:color="auto"/>
              <w:right w:val="single" w:sz="4" w:space="0" w:color="auto"/>
            </w:tcBorders>
            <w:shd w:val="clear" w:color="auto" w:fill="auto"/>
            <w:noWrap/>
            <w:vAlign w:val="center"/>
            <w:hideMark/>
          </w:tcPr>
          <w:p w14:paraId="28561878"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w:t>
            </w:r>
          </w:p>
        </w:tc>
        <w:tc>
          <w:tcPr>
            <w:tcW w:w="576" w:type="dxa"/>
            <w:tcBorders>
              <w:top w:val="nil"/>
              <w:left w:val="nil"/>
              <w:bottom w:val="single" w:sz="4" w:space="0" w:color="auto"/>
              <w:right w:val="single" w:sz="4" w:space="0" w:color="auto"/>
            </w:tcBorders>
            <w:shd w:val="clear" w:color="auto" w:fill="auto"/>
            <w:noWrap/>
            <w:vAlign w:val="center"/>
            <w:hideMark/>
          </w:tcPr>
          <w:p w14:paraId="09F57B15"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1076</w:t>
            </w:r>
          </w:p>
        </w:tc>
      </w:tr>
      <w:tr w:rsidR="000C1458" w:rsidRPr="005E2831" w14:paraId="2D36C1C5" w14:textId="77777777" w:rsidTr="0025528B">
        <w:trPr>
          <w:trHeight w:val="362"/>
        </w:trPr>
        <w:tc>
          <w:tcPr>
            <w:tcW w:w="845" w:type="dxa"/>
            <w:vMerge/>
            <w:tcBorders>
              <w:top w:val="single" w:sz="4" w:space="0" w:color="auto"/>
              <w:left w:val="single" w:sz="4" w:space="0" w:color="auto"/>
              <w:bottom w:val="single" w:sz="4" w:space="0" w:color="auto"/>
              <w:right w:val="single" w:sz="4" w:space="0" w:color="auto"/>
            </w:tcBorders>
            <w:vAlign w:val="center"/>
            <w:hideMark/>
          </w:tcPr>
          <w:p w14:paraId="1BEBAD1D"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1920" w:type="dxa"/>
            <w:tcBorders>
              <w:top w:val="nil"/>
              <w:left w:val="nil"/>
              <w:bottom w:val="single" w:sz="4" w:space="0" w:color="auto"/>
              <w:right w:val="single" w:sz="4" w:space="0" w:color="auto"/>
            </w:tcBorders>
            <w:shd w:val="clear" w:color="auto" w:fill="auto"/>
            <w:vAlign w:val="center"/>
            <w:hideMark/>
          </w:tcPr>
          <w:p w14:paraId="3B5CF186"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 xml:space="preserve">Liczba ocenionych </w:t>
            </w:r>
            <w:proofErr w:type="spellStart"/>
            <w:r w:rsidRPr="00D75E6D">
              <w:rPr>
                <w:rFonts w:ascii="Times New Roman" w:eastAsia="Times New Roman" w:hAnsi="Times New Roman" w:cs="Times New Roman"/>
                <w:color w:val="000000"/>
                <w:sz w:val="18"/>
                <w:szCs w:val="18"/>
                <w:lang w:eastAsia="pl-PL"/>
              </w:rPr>
              <w:t>jcwp</w:t>
            </w:r>
            <w:proofErr w:type="spellEnd"/>
          </w:p>
        </w:tc>
        <w:tc>
          <w:tcPr>
            <w:tcW w:w="620" w:type="dxa"/>
            <w:tcBorders>
              <w:top w:val="nil"/>
              <w:left w:val="nil"/>
              <w:bottom w:val="single" w:sz="4" w:space="0" w:color="auto"/>
              <w:right w:val="single" w:sz="4" w:space="0" w:color="auto"/>
            </w:tcBorders>
            <w:shd w:val="clear" w:color="auto" w:fill="auto"/>
            <w:noWrap/>
            <w:vAlign w:val="center"/>
            <w:hideMark/>
          </w:tcPr>
          <w:p w14:paraId="77AA8029"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602</w:t>
            </w:r>
          </w:p>
        </w:tc>
        <w:tc>
          <w:tcPr>
            <w:tcW w:w="608" w:type="dxa"/>
            <w:tcBorders>
              <w:top w:val="nil"/>
              <w:left w:val="nil"/>
              <w:bottom w:val="single" w:sz="4" w:space="0" w:color="auto"/>
              <w:right w:val="single" w:sz="4" w:space="0" w:color="auto"/>
            </w:tcBorders>
            <w:shd w:val="clear" w:color="auto" w:fill="auto"/>
            <w:noWrap/>
            <w:vAlign w:val="center"/>
            <w:hideMark/>
          </w:tcPr>
          <w:p w14:paraId="6303A6F8"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442</w:t>
            </w:r>
          </w:p>
        </w:tc>
        <w:tc>
          <w:tcPr>
            <w:tcW w:w="670" w:type="dxa"/>
            <w:tcBorders>
              <w:top w:val="nil"/>
              <w:left w:val="nil"/>
              <w:bottom w:val="single" w:sz="4" w:space="0" w:color="auto"/>
              <w:right w:val="single" w:sz="4" w:space="0" w:color="auto"/>
            </w:tcBorders>
            <w:shd w:val="clear" w:color="auto" w:fill="auto"/>
            <w:noWrap/>
            <w:vAlign w:val="center"/>
            <w:hideMark/>
          </w:tcPr>
          <w:p w14:paraId="1E295E86"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w:t>
            </w:r>
          </w:p>
        </w:tc>
        <w:tc>
          <w:tcPr>
            <w:tcW w:w="624" w:type="dxa"/>
            <w:tcBorders>
              <w:top w:val="nil"/>
              <w:left w:val="nil"/>
              <w:bottom w:val="single" w:sz="4" w:space="0" w:color="auto"/>
              <w:right w:val="single" w:sz="4" w:space="0" w:color="auto"/>
            </w:tcBorders>
            <w:shd w:val="clear" w:color="auto" w:fill="auto"/>
            <w:noWrap/>
            <w:vAlign w:val="center"/>
            <w:hideMark/>
          </w:tcPr>
          <w:p w14:paraId="341BF9C5"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w:t>
            </w:r>
          </w:p>
        </w:tc>
        <w:tc>
          <w:tcPr>
            <w:tcW w:w="820" w:type="dxa"/>
            <w:tcBorders>
              <w:top w:val="nil"/>
              <w:left w:val="nil"/>
              <w:bottom w:val="single" w:sz="4" w:space="0" w:color="auto"/>
              <w:right w:val="single" w:sz="4" w:space="0" w:color="auto"/>
            </w:tcBorders>
            <w:shd w:val="clear" w:color="auto" w:fill="auto"/>
            <w:noWrap/>
            <w:vAlign w:val="center"/>
            <w:hideMark/>
          </w:tcPr>
          <w:p w14:paraId="3049D229"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0</w:t>
            </w:r>
          </w:p>
        </w:tc>
        <w:tc>
          <w:tcPr>
            <w:tcW w:w="608" w:type="dxa"/>
            <w:tcBorders>
              <w:top w:val="nil"/>
              <w:left w:val="nil"/>
              <w:bottom w:val="single" w:sz="4" w:space="0" w:color="auto"/>
              <w:right w:val="single" w:sz="4" w:space="0" w:color="auto"/>
            </w:tcBorders>
            <w:shd w:val="clear" w:color="auto" w:fill="auto"/>
            <w:noWrap/>
            <w:vAlign w:val="center"/>
            <w:hideMark/>
          </w:tcPr>
          <w:p w14:paraId="1B102F56"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w:t>
            </w:r>
          </w:p>
        </w:tc>
        <w:tc>
          <w:tcPr>
            <w:tcW w:w="710" w:type="dxa"/>
            <w:tcBorders>
              <w:top w:val="nil"/>
              <w:left w:val="nil"/>
              <w:bottom w:val="single" w:sz="4" w:space="0" w:color="auto"/>
              <w:right w:val="single" w:sz="4" w:space="0" w:color="auto"/>
            </w:tcBorders>
            <w:shd w:val="clear" w:color="auto" w:fill="auto"/>
            <w:noWrap/>
            <w:vAlign w:val="center"/>
            <w:hideMark/>
          </w:tcPr>
          <w:p w14:paraId="56F4B1CF"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w:t>
            </w:r>
          </w:p>
        </w:tc>
        <w:tc>
          <w:tcPr>
            <w:tcW w:w="690" w:type="dxa"/>
            <w:tcBorders>
              <w:top w:val="nil"/>
              <w:left w:val="nil"/>
              <w:bottom w:val="single" w:sz="4" w:space="0" w:color="auto"/>
              <w:right w:val="single" w:sz="4" w:space="0" w:color="auto"/>
            </w:tcBorders>
            <w:shd w:val="clear" w:color="auto" w:fill="auto"/>
            <w:noWrap/>
            <w:vAlign w:val="center"/>
            <w:hideMark/>
          </w:tcPr>
          <w:p w14:paraId="04563B8D"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36</w:t>
            </w:r>
          </w:p>
        </w:tc>
        <w:tc>
          <w:tcPr>
            <w:tcW w:w="660" w:type="dxa"/>
            <w:tcBorders>
              <w:top w:val="nil"/>
              <w:left w:val="nil"/>
              <w:bottom w:val="single" w:sz="4" w:space="0" w:color="auto"/>
              <w:right w:val="single" w:sz="4" w:space="0" w:color="auto"/>
            </w:tcBorders>
            <w:shd w:val="clear" w:color="auto" w:fill="auto"/>
            <w:noWrap/>
            <w:vAlign w:val="center"/>
            <w:hideMark/>
          </w:tcPr>
          <w:p w14:paraId="7B375288"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w:t>
            </w:r>
          </w:p>
        </w:tc>
        <w:tc>
          <w:tcPr>
            <w:tcW w:w="576" w:type="dxa"/>
            <w:tcBorders>
              <w:top w:val="nil"/>
              <w:left w:val="nil"/>
              <w:bottom w:val="single" w:sz="4" w:space="0" w:color="auto"/>
              <w:right w:val="single" w:sz="4" w:space="0" w:color="auto"/>
            </w:tcBorders>
            <w:shd w:val="clear" w:color="auto" w:fill="auto"/>
            <w:noWrap/>
            <w:vAlign w:val="center"/>
            <w:hideMark/>
          </w:tcPr>
          <w:p w14:paraId="14662218" w14:textId="77777777" w:rsidR="000C1458" w:rsidRPr="00D75E6D"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D75E6D">
              <w:rPr>
                <w:rFonts w:ascii="Times New Roman" w:eastAsia="Times New Roman" w:hAnsi="Times New Roman" w:cs="Times New Roman"/>
                <w:color w:val="000000"/>
                <w:sz w:val="18"/>
                <w:szCs w:val="18"/>
                <w:lang w:eastAsia="pl-PL"/>
              </w:rPr>
              <w:t>1085</w:t>
            </w:r>
          </w:p>
        </w:tc>
      </w:tr>
    </w:tbl>
    <w:p w14:paraId="15FCB6F1" w14:textId="7AA8D0FE" w:rsidR="000C1458" w:rsidRPr="005E2831" w:rsidRDefault="000C1458" w:rsidP="0068480F">
      <w:pPr>
        <w:spacing w:after="60" w:line="300" w:lineRule="atLeast"/>
        <w:ind w:firstLine="567"/>
        <w:jc w:val="both"/>
        <w:rPr>
          <w:rFonts w:ascii="Times New Roman" w:hAnsi="Times New Roman" w:cs="Times New Roman"/>
          <w:sz w:val="24"/>
          <w:szCs w:val="24"/>
        </w:rPr>
      </w:pPr>
      <w:r w:rsidRPr="005E2831">
        <w:rPr>
          <w:rFonts w:ascii="Times New Roman" w:eastAsia="Calibri" w:hAnsi="Times New Roman" w:cs="Times New Roman"/>
          <w:sz w:val="24"/>
          <w:szCs w:val="24"/>
          <w:lang w:eastAsia="pl-PL"/>
        </w:rPr>
        <w:fldChar w:fldCharType="end"/>
      </w:r>
    </w:p>
    <w:p w14:paraId="1B02FBD8" w14:textId="69366225" w:rsidR="000C1458" w:rsidRPr="005E2831" w:rsidRDefault="000C1458" w:rsidP="0068480F">
      <w:pPr>
        <w:spacing w:after="60" w:line="300" w:lineRule="atLeast"/>
        <w:ind w:firstLine="567"/>
        <w:jc w:val="both"/>
        <w:rPr>
          <w:rFonts w:ascii="Times New Roman" w:hAnsi="Times New Roman" w:cs="Times New Roman"/>
          <w:sz w:val="24"/>
          <w:szCs w:val="24"/>
        </w:rPr>
      </w:pPr>
      <w:r w:rsidRPr="005E2831">
        <w:rPr>
          <w:rFonts w:ascii="Times New Roman" w:hAnsi="Times New Roman" w:cs="Times New Roman"/>
          <w:sz w:val="24"/>
          <w:szCs w:val="24"/>
        </w:rPr>
        <w:t xml:space="preserve">Statystyczne podsumowanie klasyfikacji i oceny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rzecznych dokonanej zarówno na podstawie monitoringu jak i metodą przeniesienia przedstawiono w tabeli </w:t>
      </w:r>
      <w:r w:rsidR="00094027">
        <w:rPr>
          <w:rFonts w:ascii="Times New Roman" w:hAnsi="Times New Roman" w:cs="Times New Roman"/>
          <w:sz w:val="24"/>
          <w:szCs w:val="24"/>
        </w:rPr>
        <w:t>25</w:t>
      </w:r>
      <w:r w:rsidRPr="005E2831">
        <w:rPr>
          <w:rFonts w:ascii="Times New Roman" w:hAnsi="Times New Roman" w:cs="Times New Roman"/>
          <w:sz w:val="24"/>
          <w:szCs w:val="24"/>
        </w:rPr>
        <w:t xml:space="preserve">. Uwzględniono przy tym podział na dorzecza, a także wskazano łączną liczbę ocenianych JCWP. </w:t>
      </w:r>
    </w:p>
    <w:p w14:paraId="5C843B19" w14:textId="38A6AB1A" w:rsidR="0068480F" w:rsidRDefault="0068480F">
      <w:pPr>
        <w:rPr>
          <w:rFonts w:ascii="Times New Roman" w:eastAsia="Times New Roman" w:hAnsi="Times New Roman" w:cs="Times New Roman"/>
          <w:b/>
          <w:bCs/>
          <w:iCs/>
        </w:rPr>
      </w:pPr>
      <w:r>
        <w:rPr>
          <w:rFonts w:ascii="Times New Roman" w:eastAsia="Times New Roman" w:hAnsi="Times New Roman" w:cs="Times New Roman"/>
          <w:b/>
          <w:bCs/>
          <w:iCs/>
        </w:rPr>
        <w:br w:type="page"/>
      </w:r>
    </w:p>
    <w:p w14:paraId="57DC1FAC" w14:textId="741AFB32" w:rsidR="000C1458" w:rsidRPr="005E2831" w:rsidRDefault="000C1458" w:rsidP="000C1458">
      <w:pPr>
        <w:spacing w:after="60"/>
        <w:jc w:val="both"/>
        <w:rPr>
          <w:rFonts w:ascii="Times New Roman" w:hAnsi="Times New Roman" w:cs="Times New Roman"/>
          <w:sz w:val="24"/>
          <w:szCs w:val="24"/>
        </w:rPr>
      </w:pPr>
      <w:r w:rsidRPr="005E2831">
        <w:rPr>
          <w:rFonts w:ascii="Times New Roman" w:eastAsia="Times New Roman" w:hAnsi="Times New Roman" w:cs="Times New Roman"/>
          <w:b/>
          <w:bCs/>
          <w:iCs/>
        </w:rPr>
        <w:lastRenderedPageBreak/>
        <w:t xml:space="preserve">Tabela </w:t>
      </w:r>
      <w:r w:rsidR="001D61F0">
        <w:rPr>
          <w:rFonts w:ascii="Times New Roman" w:eastAsia="Times New Roman" w:hAnsi="Times New Roman" w:cs="Times New Roman"/>
          <w:b/>
          <w:bCs/>
          <w:iCs/>
        </w:rPr>
        <w:t>25</w:t>
      </w:r>
      <w:r w:rsidRPr="005E2831">
        <w:rPr>
          <w:rFonts w:ascii="Times New Roman" w:eastAsia="Times New Roman" w:hAnsi="Times New Roman" w:cs="Times New Roman"/>
          <w:b/>
          <w:bCs/>
          <w:iCs/>
        </w:rPr>
        <w:t xml:space="preserve">. </w:t>
      </w:r>
      <w:r w:rsidRPr="005E2831">
        <w:rPr>
          <w:rFonts w:ascii="Times New Roman" w:hAnsi="Times New Roman" w:cs="Times New Roman"/>
          <w:b/>
          <w:bCs/>
          <w:iCs/>
        </w:rPr>
        <w:t>Podsumowanie statystyczne klasyfikacji i oceny jednolitych części wód rzecznych dokonanej za 2021 rok na podstawie monitoringu oraz metodą przeniesienia, w podziale na</w:t>
      </w:r>
      <w:r>
        <w:rPr>
          <w:rFonts w:ascii="Times New Roman" w:hAnsi="Times New Roman" w:cs="Times New Roman"/>
          <w:b/>
          <w:bCs/>
          <w:iCs/>
        </w:rPr>
        <w:t> </w:t>
      </w:r>
      <w:r w:rsidRPr="005E2831">
        <w:rPr>
          <w:rFonts w:ascii="Times New Roman" w:hAnsi="Times New Roman" w:cs="Times New Roman"/>
          <w:b/>
          <w:bCs/>
          <w:iCs/>
        </w:rPr>
        <w:t>dorzecza</w:t>
      </w:r>
    </w:p>
    <w:tbl>
      <w:tblPr>
        <w:tblpPr w:leftFromText="141" w:rightFromText="141" w:vertAnchor="text" w:tblpY="-25"/>
        <w:tblW w:w="9788" w:type="dxa"/>
        <w:tblCellMar>
          <w:left w:w="70" w:type="dxa"/>
          <w:right w:w="70" w:type="dxa"/>
        </w:tblCellMar>
        <w:tblLook w:val="04A0" w:firstRow="1" w:lastRow="0" w:firstColumn="1" w:lastColumn="0" w:noHBand="0" w:noVBand="1"/>
      </w:tblPr>
      <w:tblGrid>
        <w:gridCol w:w="845"/>
        <w:gridCol w:w="1985"/>
        <w:gridCol w:w="601"/>
        <w:gridCol w:w="654"/>
        <w:gridCol w:w="688"/>
        <w:gridCol w:w="670"/>
        <w:gridCol w:w="820"/>
        <w:gridCol w:w="654"/>
        <w:gridCol w:w="710"/>
        <w:gridCol w:w="690"/>
        <w:gridCol w:w="761"/>
        <w:gridCol w:w="710"/>
      </w:tblGrid>
      <w:tr w:rsidR="000C1458" w:rsidRPr="005E2831" w14:paraId="2AD16A58" w14:textId="77777777" w:rsidTr="0025528B">
        <w:trPr>
          <w:trHeight w:val="450"/>
        </w:trPr>
        <w:tc>
          <w:tcPr>
            <w:tcW w:w="2830" w:type="dxa"/>
            <w:gridSpan w:val="2"/>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32B7F169" w14:textId="77777777" w:rsidR="000C1458" w:rsidRPr="00105859" w:rsidRDefault="000C1458" w:rsidP="0025528B">
            <w:pPr>
              <w:spacing w:after="60"/>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Oceny jednolitych części wód powierzchniowych rzecznych</w:t>
            </w:r>
          </w:p>
        </w:tc>
        <w:tc>
          <w:tcPr>
            <w:tcW w:w="6248" w:type="dxa"/>
            <w:gridSpan w:val="9"/>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55B52083"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Dorzecze</w:t>
            </w:r>
          </w:p>
        </w:tc>
        <w:tc>
          <w:tcPr>
            <w:tcW w:w="710"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20AD137D"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Łącznie</w:t>
            </w:r>
          </w:p>
        </w:tc>
      </w:tr>
      <w:tr w:rsidR="000C1458" w:rsidRPr="005E2831" w14:paraId="562F6DC2" w14:textId="77777777" w:rsidTr="0025528B">
        <w:trPr>
          <w:trHeight w:val="450"/>
        </w:trPr>
        <w:tc>
          <w:tcPr>
            <w:tcW w:w="2830" w:type="dxa"/>
            <w:gridSpan w:val="2"/>
            <w:vMerge/>
            <w:tcBorders>
              <w:top w:val="single" w:sz="4" w:space="0" w:color="auto"/>
              <w:left w:val="single" w:sz="4" w:space="0" w:color="auto"/>
              <w:bottom w:val="single" w:sz="4" w:space="0" w:color="auto"/>
              <w:right w:val="single" w:sz="4" w:space="0" w:color="auto"/>
            </w:tcBorders>
            <w:vAlign w:val="center"/>
            <w:hideMark/>
          </w:tcPr>
          <w:p w14:paraId="3EE973D5"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6248" w:type="dxa"/>
            <w:gridSpan w:val="9"/>
            <w:vMerge/>
            <w:tcBorders>
              <w:top w:val="single" w:sz="4" w:space="0" w:color="auto"/>
              <w:left w:val="single" w:sz="4" w:space="0" w:color="auto"/>
              <w:bottom w:val="single" w:sz="4" w:space="0" w:color="auto"/>
              <w:right w:val="single" w:sz="4" w:space="0" w:color="auto"/>
            </w:tcBorders>
            <w:vAlign w:val="center"/>
            <w:hideMark/>
          </w:tcPr>
          <w:p w14:paraId="1D0D7F42"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710" w:type="dxa"/>
            <w:vMerge/>
            <w:tcBorders>
              <w:top w:val="single" w:sz="4" w:space="0" w:color="auto"/>
              <w:left w:val="single" w:sz="4" w:space="0" w:color="auto"/>
              <w:bottom w:val="single" w:sz="4" w:space="0" w:color="auto"/>
              <w:right w:val="single" w:sz="4" w:space="0" w:color="auto"/>
            </w:tcBorders>
            <w:vAlign w:val="center"/>
            <w:hideMark/>
          </w:tcPr>
          <w:p w14:paraId="29D7C864"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r>
      <w:tr w:rsidR="000C1458" w:rsidRPr="005E2831" w14:paraId="31FE532B" w14:textId="77777777" w:rsidTr="0025528B">
        <w:trPr>
          <w:trHeight w:val="300"/>
        </w:trPr>
        <w:tc>
          <w:tcPr>
            <w:tcW w:w="2830" w:type="dxa"/>
            <w:gridSpan w:val="2"/>
            <w:vMerge/>
            <w:tcBorders>
              <w:top w:val="single" w:sz="4" w:space="0" w:color="auto"/>
              <w:left w:val="single" w:sz="4" w:space="0" w:color="auto"/>
              <w:bottom w:val="single" w:sz="4" w:space="0" w:color="auto"/>
              <w:right w:val="single" w:sz="4" w:space="0" w:color="auto"/>
            </w:tcBorders>
            <w:vAlign w:val="center"/>
            <w:hideMark/>
          </w:tcPr>
          <w:p w14:paraId="7492859D"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601" w:type="dxa"/>
            <w:tcBorders>
              <w:top w:val="nil"/>
              <w:left w:val="nil"/>
              <w:bottom w:val="single" w:sz="4" w:space="0" w:color="auto"/>
              <w:right w:val="single" w:sz="4" w:space="0" w:color="auto"/>
            </w:tcBorders>
            <w:shd w:val="clear" w:color="000000" w:fill="BFBFBF"/>
            <w:vAlign w:val="center"/>
            <w:hideMark/>
          </w:tcPr>
          <w:p w14:paraId="341CC595"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Wisła</w:t>
            </w:r>
          </w:p>
        </w:tc>
        <w:tc>
          <w:tcPr>
            <w:tcW w:w="654" w:type="dxa"/>
            <w:tcBorders>
              <w:top w:val="nil"/>
              <w:left w:val="nil"/>
              <w:bottom w:val="single" w:sz="4" w:space="0" w:color="auto"/>
              <w:right w:val="single" w:sz="4" w:space="0" w:color="auto"/>
            </w:tcBorders>
            <w:shd w:val="clear" w:color="000000" w:fill="BFBFBF"/>
            <w:vAlign w:val="center"/>
            <w:hideMark/>
          </w:tcPr>
          <w:p w14:paraId="4ED4AE2F"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Odra</w:t>
            </w:r>
          </w:p>
        </w:tc>
        <w:tc>
          <w:tcPr>
            <w:tcW w:w="688" w:type="dxa"/>
            <w:tcBorders>
              <w:top w:val="nil"/>
              <w:left w:val="nil"/>
              <w:bottom w:val="single" w:sz="4" w:space="0" w:color="auto"/>
              <w:right w:val="single" w:sz="4" w:space="0" w:color="auto"/>
            </w:tcBorders>
            <w:shd w:val="clear" w:color="000000" w:fill="BFBFBF"/>
            <w:vAlign w:val="center"/>
            <w:hideMark/>
          </w:tcPr>
          <w:p w14:paraId="502B1EBC"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Dniestr</w:t>
            </w:r>
          </w:p>
        </w:tc>
        <w:tc>
          <w:tcPr>
            <w:tcW w:w="670" w:type="dxa"/>
            <w:tcBorders>
              <w:top w:val="nil"/>
              <w:left w:val="nil"/>
              <w:bottom w:val="single" w:sz="4" w:space="0" w:color="auto"/>
              <w:right w:val="single" w:sz="4" w:space="0" w:color="auto"/>
            </w:tcBorders>
            <w:shd w:val="clear" w:color="000000" w:fill="BFBFBF"/>
            <w:vAlign w:val="center"/>
            <w:hideMark/>
          </w:tcPr>
          <w:p w14:paraId="2146EE16"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Dunaj</w:t>
            </w:r>
          </w:p>
        </w:tc>
        <w:tc>
          <w:tcPr>
            <w:tcW w:w="820" w:type="dxa"/>
            <w:tcBorders>
              <w:top w:val="nil"/>
              <w:left w:val="nil"/>
              <w:bottom w:val="single" w:sz="4" w:space="0" w:color="auto"/>
              <w:right w:val="single" w:sz="4" w:space="0" w:color="auto"/>
            </w:tcBorders>
            <w:shd w:val="clear" w:color="000000" w:fill="BFBFBF"/>
            <w:vAlign w:val="center"/>
            <w:hideMark/>
          </w:tcPr>
          <w:p w14:paraId="39288906"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proofErr w:type="spellStart"/>
            <w:r w:rsidRPr="00105859">
              <w:rPr>
                <w:rFonts w:ascii="Times New Roman" w:eastAsia="Times New Roman" w:hAnsi="Times New Roman" w:cs="Times New Roman"/>
                <w:color w:val="000000"/>
                <w:sz w:val="18"/>
                <w:szCs w:val="18"/>
                <w:lang w:eastAsia="pl-PL"/>
              </w:rPr>
              <w:t>Banówka</w:t>
            </w:r>
            <w:proofErr w:type="spellEnd"/>
          </w:p>
        </w:tc>
        <w:tc>
          <w:tcPr>
            <w:tcW w:w="654" w:type="dxa"/>
            <w:tcBorders>
              <w:top w:val="nil"/>
              <w:left w:val="nil"/>
              <w:bottom w:val="single" w:sz="4" w:space="0" w:color="auto"/>
              <w:right w:val="single" w:sz="4" w:space="0" w:color="auto"/>
            </w:tcBorders>
            <w:shd w:val="clear" w:color="000000" w:fill="BFBFBF"/>
            <w:vAlign w:val="center"/>
            <w:hideMark/>
          </w:tcPr>
          <w:p w14:paraId="631D8C82"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Łaba</w:t>
            </w:r>
          </w:p>
        </w:tc>
        <w:tc>
          <w:tcPr>
            <w:tcW w:w="710" w:type="dxa"/>
            <w:tcBorders>
              <w:top w:val="nil"/>
              <w:left w:val="nil"/>
              <w:bottom w:val="single" w:sz="4" w:space="0" w:color="auto"/>
              <w:right w:val="single" w:sz="4" w:space="0" w:color="auto"/>
            </w:tcBorders>
            <w:shd w:val="clear" w:color="000000" w:fill="BFBFBF"/>
            <w:vAlign w:val="center"/>
            <w:hideMark/>
          </w:tcPr>
          <w:p w14:paraId="7FA4558D"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Niemen</w:t>
            </w:r>
          </w:p>
        </w:tc>
        <w:tc>
          <w:tcPr>
            <w:tcW w:w="690" w:type="dxa"/>
            <w:tcBorders>
              <w:top w:val="nil"/>
              <w:left w:val="nil"/>
              <w:bottom w:val="single" w:sz="4" w:space="0" w:color="auto"/>
              <w:right w:val="single" w:sz="4" w:space="0" w:color="auto"/>
            </w:tcBorders>
            <w:shd w:val="clear" w:color="000000" w:fill="BFBFBF"/>
            <w:vAlign w:val="center"/>
            <w:hideMark/>
          </w:tcPr>
          <w:p w14:paraId="5E730BDD"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Pregoła</w:t>
            </w:r>
          </w:p>
        </w:tc>
        <w:tc>
          <w:tcPr>
            <w:tcW w:w="761" w:type="dxa"/>
            <w:tcBorders>
              <w:top w:val="nil"/>
              <w:left w:val="nil"/>
              <w:bottom w:val="single" w:sz="4" w:space="0" w:color="auto"/>
              <w:right w:val="single" w:sz="4" w:space="0" w:color="auto"/>
            </w:tcBorders>
            <w:shd w:val="clear" w:color="000000" w:fill="BFBFBF"/>
            <w:vAlign w:val="center"/>
            <w:hideMark/>
          </w:tcPr>
          <w:p w14:paraId="7E9B110C"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Świeża</w:t>
            </w:r>
          </w:p>
        </w:tc>
        <w:tc>
          <w:tcPr>
            <w:tcW w:w="710" w:type="dxa"/>
            <w:vMerge/>
            <w:tcBorders>
              <w:top w:val="single" w:sz="4" w:space="0" w:color="auto"/>
              <w:left w:val="single" w:sz="4" w:space="0" w:color="auto"/>
              <w:bottom w:val="single" w:sz="4" w:space="0" w:color="auto"/>
              <w:right w:val="single" w:sz="4" w:space="0" w:color="auto"/>
            </w:tcBorders>
            <w:vAlign w:val="center"/>
            <w:hideMark/>
          </w:tcPr>
          <w:p w14:paraId="1DE9EB8D"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r>
      <w:tr w:rsidR="000C1458" w:rsidRPr="005E2831" w14:paraId="0C13D227" w14:textId="77777777" w:rsidTr="0025528B">
        <w:trPr>
          <w:trHeight w:val="300"/>
        </w:trPr>
        <w:tc>
          <w:tcPr>
            <w:tcW w:w="845" w:type="dxa"/>
            <w:vMerge w:val="restart"/>
            <w:tcBorders>
              <w:top w:val="nil"/>
              <w:left w:val="single" w:sz="4" w:space="0" w:color="auto"/>
              <w:bottom w:val="nil"/>
              <w:right w:val="single" w:sz="4" w:space="0" w:color="auto"/>
            </w:tcBorders>
            <w:shd w:val="clear" w:color="auto" w:fill="auto"/>
            <w:textDirection w:val="btLr"/>
            <w:vAlign w:val="center"/>
            <w:hideMark/>
          </w:tcPr>
          <w:p w14:paraId="04C97563"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Klasyfikacja stanu</w:t>
            </w:r>
            <w:r w:rsidRPr="00105859">
              <w:rPr>
                <w:rFonts w:ascii="Times New Roman" w:eastAsia="Times New Roman" w:hAnsi="Times New Roman" w:cs="Times New Roman"/>
                <w:color w:val="000000"/>
                <w:sz w:val="18"/>
                <w:szCs w:val="18"/>
                <w:lang w:eastAsia="pl-PL"/>
              </w:rPr>
              <w:br/>
              <w:t>ekologicznego</w:t>
            </w:r>
          </w:p>
        </w:tc>
        <w:tc>
          <w:tcPr>
            <w:tcW w:w="1985" w:type="dxa"/>
            <w:tcBorders>
              <w:top w:val="nil"/>
              <w:left w:val="nil"/>
              <w:bottom w:val="single" w:sz="4" w:space="0" w:color="auto"/>
              <w:right w:val="single" w:sz="4" w:space="0" w:color="auto"/>
            </w:tcBorders>
            <w:shd w:val="clear" w:color="000000" w:fill="00B0F0"/>
            <w:vAlign w:val="center"/>
            <w:hideMark/>
          </w:tcPr>
          <w:p w14:paraId="3FA9057F"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Bardzo dobry</w:t>
            </w:r>
          </w:p>
        </w:tc>
        <w:tc>
          <w:tcPr>
            <w:tcW w:w="601" w:type="dxa"/>
            <w:tcBorders>
              <w:top w:val="nil"/>
              <w:left w:val="nil"/>
              <w:bottom w:val="single" w:sz="4" w:space="0" w:color="auto"/>
              <w:right w:val="single" w:sz="4" w:space="0" w:color="auto"/>
            </w:tcBorders>
            <w:shd w:val="clear" w:color="auto" w:fill="auto"/>
            <w:noWrap/>
            <w:vAlign w:val="center"/>
            <w:hideMark/>
          </w:tcPr>
          <w:p w14:paraId="5244AB42"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654" w:type="dxa"/>
            <w:tcBorders>
              <w:top w:val="nil"/>
              <w:left w:val="nil"/>
              <w:bottom w:val="single" w:sz="4" w:space="0" w:color="auto"/>
              <w:right w:val="single" w:sz="4" w:space="0" w:color="auto"/>
            </w:tcBorders>
            <w:shd w:val="clear" w:color="auto" w:fill="auto"/>
            <w:noWrap/>
            <w:vAlign w:val="center"/>
            <w:hideMark/>
          </w:tcPr>
          <w:p w14:paraId="2F6ADFD0"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w:t>
            </w:r>
          </w:p>
        </w:tc>
        <w:tc>
          <w:tcPr>
            <w:tcW w:w="688" w:type="dxa"/>
            <w:tcBorders>
              <w:top w:val="nil"/>
              <w:left w:val="nil"/>
              <w:bottom w:val="single" w:sz="4" w:space="0" w:color="auto"/>
              <w:right w:val="single" w:sz="4" w:space="0" w:color="auto"/>
            </w:tcBorders>
            <w:shd w:val="clear" w:color="auto" w:fill="auto"/>
            <w:noWrap/>
            <w:vAlign w:val="center"/>
            <w:hideMark/>
          </w:tcPr>
          <w:p w14:paraId="32190A6D"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670" w:type="dxa"/>
            <w:tcBorders>
              <w:top w:val="nil"/>
              <w:left w:val="nil"/>
              <w:bottom w:val="single" w:sz="4" w:space="0" w:color="auto"/>
              <w:right w:val="single" w:sz="4" w:space="0" w:color="auto"/>
            </w:tcBorders>
            <w:shd w:val="clear" w:color="auto" w:fill="auto"/>
            <w:noWrap/>
            <w:vAlign w:val="center"/>
            <w:hideMark/>
          </w:tcPr>
          <w:p w14:paraId="05B1C59A"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820" w:type="dxa"/>
            <w:tcBorders>
              <w:top w:val="nil"/>
              <w:left w:val="nil"/>
              <w:bottom w:val="single" w:sz="4" w:space="0" w:color="auto"/>
              <w:right w:val="single" w:sz="4" w:space="0" w:color="auto"/>
            </w:tcBorders>
            <w:shd w:val="clear" w:color="auto" w:fill="auto"/>
            <w:noWrap/>
            <w:vAlign w:val="center"/>
            <w:hideMark/>
          </w:tcPr>
          <w:p w14:paraId="0FF65BCC"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654" w:type="dxa"/>
            <w:tcBorders>
              <w:top w:val="nil"/>
              <w:left w:val="nil"/>
              <w:bottom w:val="single" w:sz="4" w:space="0" w:color="auto"/>
              <w:right w:val="single" w:sz="4" w:space="0" w:color="auto"/>
            </w:tcBorders>
            <w:shd w:val="clear" w:color="auto" w:fill="auto"/>
            <w:noWrap/>
            <w:vAlign w:val="center"/>
            <w:hideMark/>
          </w:tcPr>
          <w:p w14:paraId="792C5315"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347C52C0"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690" w:type="dxa"/>
            <w:tcBorders>
              <w:top w:val="nil"/>
              <w:left w:val="nil"/>
              <w:bottom w:val="single" w:sz="4" w:space="0" w:color="auto"/>
              <w:right w:val="single" w:sz="4" w:space="0" w:color="auto"/>
            </w:tcBorders>
            <w:shd w:val="clear" w:color="auto" w:fill="auto"/>
            <w:noWrap/>
            <w:vAlign w:val="center"/>
            <w:hideMark/>
          </w:tcPr>
          <w:p w14:paraId="207F6EFC"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761" w:type="dxa"/>
            <w:tcBorders>
              <w:top w:val="nil"/>
              <w:left w:val="nil"/>
              <w:bottom w:val="single" w:sz="4" w:space="0" w:color="auto"/>
              <w:right w:val="single" w:sz="4" w:space="0" w:color="auto"/>
            </w:tcBorders>
            <w:shd w:val="clear" w:color="auto" w:fill="auto"/>
            <w:noWrap/>
            <w:vAlign w:val="center"/>
            <w:hideMark/>
          </w:tcPr>
          <w:p w14:paraId="53D18E37"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2949B790"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w:t>
            </w:r>
          </w:p>
        </w:tc>
      </w:tr>
      <w:tr w:rsidR="000C1458" w:rsidRPr="005E2831" w14:paraId="5086AFB8" w14:textId="77777777" w:rsidTr="0025528B">
        <w:trPr>
          <w:trHeight w:val="300"/>
        </w:trPr>
        <w:tc>
          <w:tcPr>
            <w:tcW w:w="845" w:type="dxa"/>
            <w:vMerge/>
            <w:tcBorders>
              <w:top w:val="nil"/>
              <w:left w:val="single" w:sz="4" w:space="0" w:color="auto"/>
              <w:bottom w:val="nil"/>
              <w:right w:val="single" w:sz="4" w:space="0" w:color="auto"/>
            </w:tcBorders>
            <w:vAlign w:val="center"/>
            <w:hideMark/>
          </w:tcPr>
          <w:p w14:paraId="6F71D68A"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1985" w:type="dxa"/>
            <w:tcBorders>
              <w:top w:val="nil"/>
              <w:left w:val="nil"/>
              <w:bottom w:val="single" w:sz="4" w:space="0" w:color="auto"/>
              <w:right w:val="single" w:sz="4" w:space="0" w:color="auto"/>
            </w:tcBorders>
            <w:shd w:val="clear" w:color="000000" w:fill="92D050"/>
            <w:vAlign w:val="center"/>
            <w:hideMark/>
          </w:tcPr>
          <w:p w14:paraId="7D406B0F"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Dobry</w:t>
            </w:r>
          </w:p>
        </w:tc>
        <w:tc>
          <w:tcPr>
            <w:tcW w:w="601" w:type="dxa"/>
            <w:tcBorders>
              <w:top w:val="nil"/>
              <w:left w:val="nil"/>
              <w:bottom w:val="single" w:sz="4" w:space="0" w:color="auto"/>
              <w:right w:val="single" w:sz="4" w:space="0" w:color="auto"/>
            </w:tcBorders>
            <w:shd w:val="clear" w:color="auto" w:fill="auto"/>
            <w:noWrap/>
            <w:vAlign w:val="center"/>
            <w:hideMark/>
          </w:tcPr>
          <w:p w14:paraId="2B581344"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101</w:t>
            </w:r>
          </w:p>
        </w:tc>
        <w:tc>
          <w:tcPr>
            <w:tcW w:w="654" w:type="dxa"/>
            <w:tcBorders>
              <w:top w:val="nil"/>
              <w:left w:val="nil"/>
              <w:bottom w:val="single" w:sz="4" w:space="0" w:color="auto"/>
              <w:right w:val="single" w:sz="4" w:space="0" w:color="auto"/>
            </w:tcBorders>
            <w:shd w:val="clear" w:color="auto" w:fill="auto"/>
            <w:noWrap/>
            <w:vAlign w:val="center"/>
            <w:hideMark/>
          </w:tcPr>
          <w:p w14:paraId="6CE7D212"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53</w:t>
            </w:r>
          </w:p>
        </w:tc>
        <w:tc>
          <w:tcPr>
            <w:tcW w:w="688" w:type="dxa"/>
            <w:tcBorders>
              <w:top w:val="nil"/>
              <w:left w:val="nil"/>
              <w:bottom w:val="single" w:sz="4" w:space="0" w:color="auto"/>
              <w:right w:val="single" w:sz="4" w:space="0" w:color="auto"/>
            </w:tcBorders>
            <w:shd w:val="clear" w:color="auto" w:fill="auto"/>
            <w:noWrap/>
            <w:vAlign w:val="center"/>
            <w:hideMark/>
          </w:tcPr>
          <w:p w14:paraId="1472E97D"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670" w:type="dxa"/>
            <w:tcBorders>
              <w:top w:val="nil"/>
              <w:left w:val="nil"/>
              <w:bottom w:val="single" w:sz="4" w:space="0" w:color="auto"/>
              <w:right w:val="single" w:sz="4" w:space="0" w:color="auto"/>
            </w:tcBorders>
            <w:shd w:val="clear" w:color="auto" w:fill="auto"/>
            <w:noWrap/>
            <w:vAlign w:val="center"/>
            <w:hideMark/>
          </w:tcPr>
          <w:p w14:paraId="17741816"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820" w:type="dxa"/>
            <w:tcBorders>
              <w:top w:val="nil"/>
              <w:left w:val="nil"/>
              <w:bottom w:val="nil"/>
              <w:right w:val="single" w:sz="4" w:space="0" w:color="auto"/>
            </w:tcBorders>
            <w:shd w:val="clear" w:color="auto" w:fill="auto"/>
            <w:noWrap/>
            <w:vAlign w:val="center"/>
            <w:hideMark/>
          </w:tcPr>
          <w:p w14:paraId="5BCCB5E5"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654" w:type="dxa"/>
            <w:tcBorders>
              <w:top w:val="nil"/>
              <w:left w:val="nil"/>
              <w:bottom w:val="single" w:sz="4" w:space="0" w:color="auto"/>
              <w:right w:val="single" w:sz="4" w:space="0" w:color="auto"/>
            </w:tcBorders>
            <w:shd w:val="clear" w:color="auto" w:fill="auto"/>
            <w:noWrap/>
            <w:vAlign w:val="center"/>
            <w:hideMark/>
          </w:tcPr>
          <w:p w14:paraId="576AEAFB"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w:t>
            </w:r>
          </w:p>
        </w:tc>
        <w:tc>
          <w:tcPr>
            <w:tcW w:w="710" w:type="dxa"/>
            <w:tcBorders>
              <w:top w:val="nil"/>
              <w:left w:val="nil"/>
              <w:bottom w:val="single" w:sz="4" w:space="0" w:color="auto"/>
              <w:right w:val="single" w:sz="4" w:space="0" w:color="auto"/>
            </w:tcBorders>
            <w:shd w:val="clear" w:color="auto" w:fill="auto"/>
            <w:noWrap/>
            <w:vAlign w:val="center"/>
            <w:hideMark/>
          </w:tcPr>
          <w:p w14:paraId="3BC58264"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3</w:t>
            </w:r>
          </w:p>
        </w:tc>
        <w:tc>
          <w:tcPr>
            <w:tcW w:w="690" w:type="dxa"/>
            <w:tcBorders>
              <w:top w:val="nil"/>
              <w:left w:val="nil"/>
              <w:bottom w:val="single" w:sz="4" w:space="0" w:color="auto"/>
              <w:right w:val="single" w:sz="4" w:space="0" w:color="auto"/>
            </w:tcBorders>
            <w:shd w:val="clear" w:color="auto" w:fill="auto"/>
            <w:noWrap/>
            <w:vAlign w:val="center"/>
            <w:hideMark/>
          </w:tcPr>
          <w:p w14:paraId="2327FCB0"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w:t>
            </w:r>
          </w:p>
        </w:tc>
        <w:tc>
          <w:tcPr>
            <w:tcW w:w="761" w:type="dxa"/>
            <w:tcBorders>
              <w:top w:val="nil"/>
              <w:left w:val="nil"/>
              <w:bottom w:val="single" w:sz="4" w:space="0" w:color="auto"/>
              <w:right w:val="single" w:sz="4" w:space="0" w:color="auto"/>
            </w:tcBorders>
            <w:shd w:val="clear" w:color="auto" w:fill="auto"/>
            <w:noWrap/>
            <w:vAlign w:val="center"/>
            <w:hideMark/>
          </w:tcPr>
          <w:p w14:paraId="5015B4EB"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6BCA7210"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159</w:t>
            </w:r>
          </w:p>
        </w:tc>
      </w:tr>
      <w:tr w:rsidR="000C1458" w:rsidRPr="005E2831" w14:paraId="5727F3EC" w14:textId="77777777" w:rsidTr="0025528B">
        <w:trPr>
          <w:trHeight w:val="300"/>
        </w:trPr>
        <w:tc>
          <w:tcPr>
            <w:tcW w:w="845" w:type="dxa"/>
            <w:vMerge/>
            <w:tcBorders>
              <w:top w:val="nil"/>
              <w:left w:val="single" w:sz="4" w:space="0" w:color="auto"/>
              <w:bottom w:val="nil"/>
              <w:right w:val="single" w:sz="4" w:space="0" w:color="auto"/>
            </w:tcBorders>
            <w:vAlign w:val="center"/>
            <w:hideMark/>
          </w:tcPr>
          <w:p w14:paraId="5A1012DD"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1985" w:type="dxa"/>
            <w:tcBorders>
              <w:top w:val="nil"/>
              <w:left w:val="nil"/>
              <w:bottom w:val="single" w:sz="4" w:space="0" w:color="auto"/>
              <w:right w:val="single" w:sz="4" w:space="0" w:color="auto"/>
            </w:tcBorders>
            <w:shd w:val="clear" w:color="000000" w:fill="FFFF00"/>
            <w:vAlign w:val="center"/>
            <w:hideMark/>
          </w:tcPr>
          <w:p w14:paraId="35B08D24"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Umiarkowany</w:t>
            </w:r>
          </w:p>
        </w:tc>
        <w:tc>
          <w:tcPr>
            <w:tcW w:w="601" w:type="dxa"/>
            <w:tcBorders>
              <w:top w:val="nil"/>
              <w:left w:val="nil"/>
              <w:bottom w:val="single" w:sz="4" w:space="0" w:color="auto"/>
              <w:right w:val="single" w:sz="4" w:space="0" w:color="auto"/>
            </w:tcBorders>
            <w:shd w:val="clear" w:color="auto" w:fill="auto"/>
            <w:noWrap/>
            <w:vAlign w:val="center"/>
            <w:hideMark/>
          </w:tcPr>
          <w:p w14:paraId="51236449"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1228</w:t>
            </w:r>
          </w:p>
        </w:tc>
        <w:tc>
          <w:tcPr>
            <w:tcW w:w="654" w:type="dxa"/>
            <w:tcBorders>
              <w:top w:val="nil"/>
              <w:left w:val="nil"/>
              <w:bottom w:val="single" w:sz="4" w:space="0" w:color="auto"/>
              <w:right w:val="single" w:sz="4" w:space="0" w:color="auto"/>
            </w:tcBorders>
            <w:shd w:val="clear" w:color="auto" w:fill="auto"/>
            <w:noWrap/>
            <w:vAlign w:val="center"/>
            <w:hideMark/>
          </w:tcPr>
          <w:p w14:paraId="55CB25ED"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604</w:t>
            </w:r>
          </w:p>
        </w:tc>
        <w:tc>
          <w:tcPr>
            <w:tcW w:w="688" w:type="dxa"/>
            <w:tcBorders>
              <w:top w:val="nil"/>
              <w:left w:val="nil"/>
              <w:bottom w:val="single" w:sz="4" w:space="0" w:color="auto"/>
              <w:right w:val="single" w:sz="4" w:space="0" w:color="auto"/>
            </w:tcBorders>
            <w:shd w:val="clear" w:color="auto" w:fill="auto"/>
            <w:noWrap/>
            <w:vAlign w:val="center"/>
            <w:hideMark/>
          </w:tcPr>
          <w:p w14:paraId="6D7AD408"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3</w:t>
            </w:r>
          </w:p>
        </w:tc>
        <w:tc>
          <w:tcPr>
            <w:tcW w:w="670" w:type="dxa"/>
            <w:tcBorders>
              <w:top w:val="nil"/>
              <w:left w:val="nil"/>
              <w:bottom w:val="single" w:sz="4" w:space="0" w:color="auto"/>
              <w:right w:val="single" w:sz="4" w:space="0" w:color="auto"/>
            </w:tcBorders>
            <w:shd w:val="clear" w:color="auto" w:fill="auto"/>
            <w:noWrap/>
            <w:vAlign w:val="center"/>
            <w:hideMark/>
          </w:tcPr>
          <w:p w14:paraId="1C251611"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8</w:t>
            </w:r>
          </w:p>
        </w:tc>
        <w:tc>
          <w:tcPr>
            <w:tcW w:w="820" w:type="dxa"/>
            <w:tcBorders>
              <w:top w:val="single" w:sz="4" w:space="0" w:color="auto"/>
              <w:left w:val="nil"/>
              <w:bottom w:val="single" w:sz="4" w:space="0" w:color="auto"/>
              <w:right w:val="single" w:sz="4" w:space="0" w:color="auto"/>
            </w:tcBorders>
            <w:shd w:val="clear" w:color="auto" w:fill="auto"/>
            <w:noWrap/>
            <w:vAlign w:val="center"/>
            <w:hideMark/>
          </w:tcPr>
          <w:p w14:paraId="55CC5806"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3</w:t>
            </w:r>
          </w:p>
        </w:tc>
        <w:tc>
          <w:tcPr>
            <w:tcW w:w="654" w:type="dxa"/>
            <w:tcBorders>
              <w:top w:val="nil"/>
              <w:left w:val="nil"/>
              <w:bottom w:val="single" w:sz="4" w:space="0" w:color="auto"/>
              <w:right w:val="single" w:sz="4" w:space="0" w:color="auto"/>
            </w:tcBorders>
            <w:shd w:val="clear" w:color="auto" w:fill="auto"/>
            <w:noWrap/>
            <w:vAlign w:val="center"/>
            <w:hideMark/>
          </w:tcPr>
          <w:p w14:paraId="1B59D3D2"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4</w:t>
            </w:r>
          </w:p>
        </w:tc>
        <w:tc>
          <w:tcPr>
            <w:tcW w:w="710" w:type="dxa"/>
            <w:tcBorders>
              <w:top w:val="nil"/>
              <w:left w:val="nil"/>
              <w:bottom w:val="single" w:sz="4" w:space="0" w:color="auto"/>
              <w:right w:val="single" w:sz="4" w:space="0" w:color="auto"/>
            </w:tcBorders>
            <w:shd w:val="clear" w:color="auto" w:fill="auto"/>
            <w:noWrap/>
            <w:vAlign w:val="center"/>
            <w:hideMark/>
          </w:tcPr>
          <w:p w14:paraId="601FD982"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20</w:t>
            </w:r>
          </w:p>
        </w:tc>
        <w:tc>
          <w:tcPr>
            <w:tcW w:w="690" w:type="dxa"/>
            <w:tcBorders>
              <w:top w:val="nil"/>
              <w:left w:val="nil"/>
              <w:bottom w:val="single" w:sz="4" w:space="0" w:color="auto"/>
              <w:right w:val="single" w:sz="4" w:space="0" w:color="auto"/>
            </w:tcBorders>
            <w:shd w:val="clear" w:color="auto" w:fill="auto"/>
            <w:noWrap/>
            <w:vAlign w:val="center"/>
            <w:hideMark/>
          </w:tcPr>
          <w:p w14:paraId="40E82F3C"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72</w:t>
            </w:r>
          </w:p>
        </w:tc>
        <w:tc>
          <w:tcPr>
            <w:tcW w:w="761" w:type="dxa"/>
            <w:tcBorders>
              <w:top w:val="nil"/>
              <w:left w:val="nil"/>
              <w:bottom w:val="single" w:sz="4" w:space="0" w:color="auto"/>
              <w:right w:val="single" w:sz="4" w:space="0" w:color="auto"/>
            </w:tcBorders>
            <w:shd w:val="clear" w:color="auto" w:fill="auto"/>
            <w:noWrap/>
            <w:vAlign w:val="center"/>
            <w:hideMark/>
          </w:tcPr>
          <w:p w14:paraId="2668F6ED"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4</w:t>
            </w:r>
          </w:p>
        </w:tc>
        <w:tc>
          <w:tcPr>
            <w:tcW w:w="710" w:type="dxa"/>
            <w:tcBorders>
              <w:top w:val="nil"/>
              <w:left w:val="nil"/>
              <w:bottom w:val="single" w:sz="4" w:space="0" w:color="auto"/>
              <w:right w:val="single" w:sz="4" w:space="0" w:color="auto"/>
            </w:tcBorders>
            <w:shd w:val="clear" w:color="auto" w:fill="auto"/>
            <w:noWrap/>
            <w:vAlign w:val="center"/>
            <w:hideMark/>
          </w:tcPr>
          <w:p w14:paraId="23D5ABAE"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1946</w:t>
            </w:r>
          </w:p>
        </w:tc>
      </w:tr>
      <w:tr w:rsidR="000C1458" w:rsidRPr="005E2831" w14:paraId="634F7A4F" w14:textId="77777777" w:rsidTr="0025528B">
        <w:trPr>
          <w:trHeight w:val="300"/>
        </w:trPr>
        <w:tc>
          <w:tcPr>
            <w:tcW w:w="845" w:type="dxa"/>
            <w:vMerge/>
            <w:tcBorders>
              <w:top w:val="nil"/>
              <w:left w:val="single" w:sz="4" w:space="0" w:color="auto"/>
              <w:bottom w:val="nil"/>
              <w:right w:val="single" w:sz="4" w:space="0" w:color="auto"/>
            </w:tcBorders>
            <w:vAlign w:val="center"/>
            <w:hideMark/>
          </w:tcPr>
          <w:p w14:paraId="32C58A0A"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1985" w:type="dxa"/>
            <w:tcBorders>
              <w:top w:val="nil"/>
              <w:left w:val="nil"/>
              <w:bottom w:val="single" w:sz="4" w:space="0" w:color="auto"/>
              <w:right w:val="single" w:sz="4" w:space="0" w:color="auto"/>
            </w:tcBorders>
            <w:shd w:val="clear" w:color="000000" w:fill="FFC000"/>
            <w:vAlign w:val="center"/>
            <w:hideMark/>
          </w:tcPr>
          <w:p w14:paraId="5F4D6B49"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Słaby</w:t>
            </w:r>
          </w:p>
        </w:tc>
        <w:tc>
          <w:tcPr>
            <w:tcW w:w="601" w:type="dxa"/>
            <w:tcBorders>
              <w:top w:val="nil"/>
              <w:left w:val="nil"/>
              <w:bottom w:val="single" w:sz="4" w:space="0" w:color="auto"/>
              <w:right w:val="single" w:sz="4" w:space="0" w:color="auto"/>
            </w:tcBorders>
            <w:shd w:val="clear" w:color="auto" w:fill="auto"/>
            <w:noWrap/>
            <w:vAlign w:val="center"/>
            <w:hideMark/>
          </w:tcPr>
          <w:p w14:paraId="3819BE90"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516</w:t>
            </w:r>
          </w:p>
        </w:tc>
        <w:tc>
          <w:tcPr>
            <w:tcW w:w="654" w:type="dxa"/>
            <w:tcBorders>
              <w:top w:val="nil"/>
              <w:left w:val="nil"/>
              <w:bottom w:val="single" w:sz="4" w:space="0" w:color="auto"/>
              <w:right w:val="single" w:sz="4" w:space="0" w:color="auto"/>
            </w:tcBorders>
            <w:shd w:val="clear" w:color="auto" w:fill="auto"/>
            <w:noWrap/>
            <w:vAlign w:val="center"/>
            <w:hideMark/>
          </w:tcPr>
          <w:p w14:paraId="4EB07B7E"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298</w:t>
            </w:r>
          </w:p>
        </w:tc>
        <w:tc>
          <w:tcPr>
            <w:tcW w:w="688" w:type="dxa"/>
            <w:tcBorders>
              <w:top w:val="nil"/>
              <w:left w:val="nil"/>
              <w:bottom w:val="single" w:sz="4" w:space="0" w:color="auto"/>
              <w:right w:val="single" w:sz="4" w:space="0" w:color="auto"/>
            </w:tcBorders>
            <w:shd w:val="clear" w:color="auto" w:fill="auto"/>
            <w:noWrap/>
            <w:vAlign w:val="center"/>
            <w:hideMark/>
          </w:tcPr>
          <w:p w14:paraId="637E812A"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670" w:type="dxa"/>
            <w:tcBorders>
              <w:top w:val="nil"/>
              <w:left w:val="nil"/>
              <w:bottom w:val="single" w:sz="4" w:space="0" w:color="auto"/>
              <w:right w:val="single" w:sz="4" w:space="0" w:color="auto"/>
            </w:tcBorders>
            <w:shd w:val="clear" w:color="auto" w:fill="auto"/>
            <w:noWrap/>
            <w:vAlign w:val="center"/>
            <w:hideMark/>
          </w:tcPr>
          <w:p w14:paraId="072E13C9"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820" w:type="dxa"/>
            <w:tcBorders>
              <w:top w:val="nil"/>
              <w:left w:val="nil"/>
              <w:bottom w:val="single" w:sz="4" w:space="0" w:color="auto"/>
              <w:right w:val="single" w:sz="4" w:space="0" w:color="auto"/>
            </w:tcBorders>
            <w:shd w:val="clear" w:color="auto" w:fill="auto"/>
            <w:noWrap/>
            <w:vAlign w:val="center"/>
            <w:hideMark/>
          </w:tcPr>
          <w:p w14:paraId="0DB9AC3D"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2</w:t>
            </w:r>
          </w:p>
        </w:tc>
        <w:tc>
          <w:tcPr>
            <w:tcW w:w="654" w:type="dxa"/>
            <w:tcBorders>
              <w:top w:val="nil"/>
              <w:left w:val="nil"/>
              <w:bottom w:val="single" w:sz="4" w:space="0" w:color="auto"/>
              <w:right w:val="single" w:sz="4" w:space="0" w:color="auto"/>
            </w:tcBorders>
            <w:shd w:val="clear" w:color="auto" w:fill="auto"/>
            <w:noWrap/>
            <w:vAlign w:val="center"/>
            <w:hideMark/>
          </w:tcPr>
          <w:p w14:paraId="271145B3"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2</w:t>
            </w:r>
          </w:p>
        </w:tc>
        <w:tc>
          <w:tcPr>
            <w:tcW w:w="710" w:type="dxa"/>
            <w:tcBorders>
              <w:top w:val="nil"/>
              <w:left w:val="nil"/>
              <w:bottom w:val="single" w:sz="4" w:space="0" w:color="auto"/>
              <w:right w:val="single" w:sz="4" w:space="0" w:color="auto"/>
            </w:tcBorders>
            <w:shd w:val="clear" w:color="auto" w:fill="auto"/>
            <w:noWrap/>
            <w:vAlign w:val="center"/>
            <w:hideMark/>
          </w:tcPr>
          <w:p w14:paraId="5CABBDF1"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8</w:t>
            </w:r>
          </w:p>
        </w:tc>
        <w:tc>
          <w:tcPr>
            <w:tcW w:w="690" w:type="dxa"/>
            <w:tcBorders>
              <w:top w:val="nil"/>
              <w:left w:val="nil"/>
              <w:bottom w:val="single" w:sz="4" w:space="0" w:color="auto"/>
              <w:right w:val="single" w:sz="4" w:space="0" w:color="auto"/>
            </w:tcBorders>
            <w:shd w:val="clear" w:color="auto" w:fill="auto"/>
            <w:noWrap/>
            <w:vAlign w:val="center"/>
            <w:hideMark/>
          </w:tcPr>
          <w:p w14:paraId="43A29F31"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15</w:t>
            </w:r>
          </w:p>
        </w:tc>
        <w:tc>
          <w:tcPr>
            <w:tcW w:w="761" w:type="dxa"/>
            <w:tcBorders>
              <w:top w:val="nil"/>
              <w:left w:val="nil"/>
              <w:bottom w:val="single" w:sz="4" w:space="0" w:color="auto"/>
              <w:right w:val="single" w:sz="4" w:space="0" w:color="auto"/>
            </w:tcBorders>
            <w:shd w:val="clear" w:color="auto" w:fill="auto"/>
            <w:noWrap/>
            <w:vAlign w:val="center"/>
            <w:hideMark/>
          </w:tcPr>
          <w:p w14:paraId="50C1F012"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3B23B124"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841</w:t>
            </w:r>
          </w:p>
        </w:tc>
      </w:tr>
      <w:tr w:rsidR="000C1458" w:rsidRPr="005E2831" w14:paraId="61D46B18" w14:textId="77777777" w:rsidTr="0025528B">
        <w:trPr>
          <w:trHeight w:val="300"/>
        </w:trPr>
        <w:tc>
          <w:tcPr>
            <w:tcW w:w="845" w:type="dxa"/>
            <w:vMerge/>
            <w:tcBorders>
              <w:top w:val="nil"/>
              <w:left w:val="single" w:sz="4" w:space="0" w:color="auto"/>
              <w:bottom w:val="nil"/>
              <w:right w:val="single" w:sz="4" w:space="0" w:color="auto"/>
            </w:tcBorders>
            <w:vAlign w:val="center"/>
            <w:hideMark/>
          </w:tcPr>
          <w:p w14:paraId="7B14066E"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1985" w:type="dxa"/>
            <w:tcBorders>
              <w:top w:val="nil"/>
              <w:left w:val="nil"/>
              <w:bottom w:val="single" w:sz="4" w:space="0" w:color="auto"/>
              <w:right w:val="single" w:sz="4" w:space="0" w:color="auto"/>
            </w:tcBorders>
            <w:shd w:val="clear" w:color="000000" w:fill="FF0000"/>
            <w:vAlign w:val="center"/>
            <w:hideMark/>
          </w:tcPr>
          <w:p w14:paraId="4A47B314"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Zły</w:t>
            </w:r>
          </w:p>
        </w:tc>
        <w:tc>
          <w:tcPr>
            <w:tcW w:w="601" w:type="dxa"/>
            <w:tcBorders>
              <w:top w:val="nil"/>
              <w:left w:val="nil"/>
              <w:bottom w:val="single" w:sz="4" w:space="0" w:color="auto"/>
              <w:right w:val="single" w:sz="4" w:space="0" w:color="auto"/>
            </w:tcBorders>
            <w:shd w:val="clear" w:color="auto" w:fill="auto"/>
            <w:noWrap/>
            <w:vAlign w:val="center"/>
            <w:hideMark/>
          </w:tcPr>
          <w:p w14:paraId="3BADEFB1"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255</w:t>
            </w:r>
          </w:p>
        </w:tc>
        <w:tc>
          <w:tcPr>
            <w:tcW w:w="654" w:type="dxa"/>
            <w:tcBorders>
              <w:top w:val="nil"/>
              <w:left w:val="nil"/>
              <w:bottom w:val="single" w:sz="4" w:space="0" w:color="auto"/>
              <w:right w:val="single" w:sz="4" w:space="0" w:color="auto"/>
            </w:tcBorders>
            <w:shd w:val="clear" w:color="auto" w:fill="auto"/>
            <w:noWrap/>
            <w:vAlign w:val="center"/>
            <w:hideMark/>
          </w:tcPr>
          <w:p w14:paraId="1AD12295"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150</w:t>
            </w:r>
          </w:p>
        </w:tc>
        <w:tc>
          <w:tcPr>
            <w:tcW w:w="688" w:type="dxa"/>
            <w:tcBorders>
              <w:top w:val="nil"/>
              <w:left w:val="nil"/>
              <w:bottom w:val="single" w:sz="4" w:space="0" w:color="auto"/>
              <w:right w:val="single" w:sz="4" w:space="0" w:color="auto"/>
            </w:tcBorders>
            <w:shd w:val="clear" w:color="auto" w:fill="auto"/>
            <w:noWrap/>
            <w:vAlign w:val="center"/>
            <w:hideMark/>
          </w:tcPr>
          <w:p w14:paraId="64287A54"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670" w:type="dxa"/>
            <w:tcBorders>
              <w:top w:val="nil"/>
              <w:left w:val="nil"/>
              <w:bottom w:val="single" w:sz="4" w:space="0" w:color="auto"/>
              <w:right w:val="single" w:sz="4" w:space="0" w:color="auto"/>
            </w:tcBorders>
            <w:shd w:val="clear" w:color="auto" w:fill="auto"/>
            <w:noWrap/>
            <w:vAlign w:val="center"/>
            <w:hideMark/>
          </w:tcPr>
          <w:p w14:paraId="7FE9DE4D"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w:t>
            </w:r>
          </w:p>
        </w:tc>
        <w:tc>
          <w:tcPr>
            <w:tcW w:w="820" w:type="dxa"/>
            <w:tcBorders>
              <w:top w:val="nil"/>
              <w:left w:val="nil"/>
              <w:bottom w:val="single" w:sz="4" w:space="0" w:color="auto"/>
              <w:right w:val="single" w:sz="4" w:space="0" w:color="auto"/>
            </w:tcBorders>
            <w:shd w:val="clear" w:color="auto" w:fill="auto"/>
            <w:noWrap/>
            <w:vAlign w:val="center"/>
            <w:hideMark/>
          </w:tcPr>
          <w:p w14:paraId="4A021E7E"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654" w:type="dxa"/>
            <w:tcBorders>
              <w:top w:val="nil"/>
              <w:left w:val="nil"/>
              <w:bottom w:val="single" w:sz="4" w:space="0" w:color="auto"/>
              <w:right w:val="single" w:sz="4" w:space="0" w:color="auto"/>
            </w:tcBorders>
            <w:shd w:val="clear" w:color="auto" w:fill="auto"/>
            <w:noWrap/>
            <w:vAlign w:val="center"/>
            <w:hideMark/>
          </w:tcPr>
          <w:p w14:paraId="4E589E9D"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38C9DAE1"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7</w:t>
            </w:r>
          </w:p>
        </w:tc>
        <w:tc>
          <w:tcPr>
            <w:tcW w:w="690" w:type="dxa"/>
            <w:tcBorders>
              <w:top w:val="nil"/>
              <w:left w:val="nil"/>
              <w:bottom w:val="single" w:sz="4" w:space="0" w:color="auto"/>
              <w:right w:val="single" w:sz="4" w:space="0" w:color="auto"/>
            </w:tcBorders>
            <w:shd w:val="clear" w:color="auto" w:fill="auto"/>
            <w:noWrap/>
            <w:vAlign w:val="center"/>
            <w:hideMark/>
          </w:tcPr>
          <w:p w14:paraId="32DECE85"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25</w:t>
            </w:r>
          </w:p>
        </w:tc>
        <w:tc>
          <w:tcPr>
            <w:tcW w:w="761" w:type="dxa"/>
            <w:tcBorders>
              <w:top w:val="nil"/>
              <w:left w:val="nil"/>
              <w:bottom w:val="nil"/>
              <w:right w:val="single" w:sz="4" w:space="0" w:color="auto"/>
            </w:tcBorders>
            <w:shd w:val="clear" w:color="auto" w:fill="auto"/>
            <w:noWrap/>
            <w:vAlign w:val="center"/>
            <w:hideMark/>
          </w:tcPr>
          <w:p w14:paraId="28A5838F"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70B4C41C"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438</w:t>
            </w:r>
          </w:p>
        </w:tc>
      </w:tr>
      <w:tr w:rsidR="000C1458" w:rsidRPr="005E2831" w14:paraId="72562E07" w14:textId="77777777" w:rsidTr="0025528B">
        <w:trPr>
          <w:trHeight w:val="495"/>
        </w:trPr>
        <w:tc>
          <w:tcPr>
            <w:tcW w:w="845" w:type="dxa"/>
            <w:vMerge/>
            <w:tcBorders>
              <w:top w:val="nil"/>
              <w:left w:val="single" w:sz="4" w:space="0" w:color="auto"/>
              <w:bottom w:val="nil"/>
              <w:right w:val="single" w:sz="4" w:space="0" w:color="auto"/>
            </w:tcBorders>
            <w:vAlign w:val="center"/>
            <w:hideMark/>
          </w:tcPr>
          <w:p w14:paraId="2D1D5A8D"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1985" w:type="dxa"/>
            <w:tcBorders>
              <w:top w:val="nil"/>
              <w:left w:val="nil"/>
              <w:bottom w:val="single" w:sz="4" w:space="0" w:color="auto"/>
              <w:right w:val="single" w:sz="4" w:space="0" w:color="auto"/>
            </w:tcBorders>
            <w:shd w:val="clear" w:color="auto" w:fill="auto"/>
            <w:vAlign w:val="center"/>
            <w:hideMark/>
          </w:tcPr>
          <w:p w14:paraId="5A279D1A"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 xml:space="preserve">Liczba ocenionych naturalnych </w:t>
            </w:r>
            <w:proofErr w:type="spellStart"/>
            <w:r w:rsidRPr="00105859">
              <w:rPr>
                <w:rFonts w:ascii="Times New Roman" w:eastAsia="Times New Roman" w:hAnsi="Times New Roman" w:cs="Times New Roman"/>
                <w:color w:val="000000"/>
                <w:sz w:val="18"/>
                <w:szCs w:val="18"/>
                <w:lang w:eastAsia="pl-PL"/>
              </w:rPr>
              <w:t>jcwp</w:t>
            </w:r>
            <w:proofErr w:type="spellEnd"/>
          </w:p>
        </w:tc>
        <w:tc>
          <w:tcPr>
            <w:tcW w:w="601" w:type="dxa"/>
            <w:tcBorders>
              <w:top w:val="nil"/>
              <w:left w:val="nil"/>
              <w:bottom w:val="single" w:sz="4" w:space="0" w:color="auto"/>
              <w:right w:val="single" w:sz="4" w:space="0" w:color="auto"/>
            </w:tcBorders>
            <w:shd w:val="clear" w:color="auto" w:fill="auto"/>
            <w:noWrap/>
            <w:vAlign w:val="center"/>
            <w:hideMark/>
          </w:tcPr>
          <w:p w14:paraId="3CC2CC08"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2100</w:t>
            </w:r>
          </w:p>
        </w:tc>
        <w:tc>
          <w:tcPr>
            <w:tcW w:w="654" w:type="dxa"/>
            <w:tcBorders>
              <w:top w:val="nil"/>
              <w:left w:val="nil"/>
              <w:bottom w:val="single" w:sz="4" w:space="0" w:color="auto"/>
              <w:right w:val="single" w:sz="4" w:space="0" w:color="auto"/>
            </w:tcBorders>
            <w:shd w:val="clear" w:color="auto" w:fill="auto"/>
            <w:noWrap/>
            <w:vAlign w:val="center"/>
            <w:hideMark/>
          </w:tcPr>
          <w:p w14:paraId="181A23BA"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1106</w:t>
            </w:r>
          </w:p>
        </w:tc>
        <w:tc>
          <w:tcPr>
            <w:tcW w:w="688" w:type="dxa"/>
            <w:tcBorders>
              <w:top w:val="nil"/>
              <w:left w:val="nil"/>
              <w:bottom w:val="single" w:sz="4" w:space="0" w:color="auto"/>
              <w:right w:val="single" w:sz="4" w:space="0" w:color="auto"/>
            </w:tcBorders>
            <w:shd w:val="clear" w:color="auto" w:fill="auto"/>
            <w:noWrap/>
            <w:vAlign w:val="center"/>
            <w:hideMark/>
          </w:tcPr>
          <w:p w14:paraId="3DD961B9"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3</w:t>
            </w:r>
          </w:p>
        </w:tc>
        <w:tc>
          <w:tcPr>
            <w:tcW w:w="670" w:type="dxa"/>
            <w:tcBorders>
              <w:top w:val="nil"/>
              <w:left w:val="nil"/>
              <w:bottom w:val="single" w:sz="4" w:space="0" w:color="auto"/>
              <w:right w:val="single" w:sz="4" w:space="0" w:color="auto"/>
            </w:tcBorders>
            <w:shd w:val="clear" w:color="auto" w:fill="auto"/>
            <w:noWrap/>
            <w:vAlign w:val="center"/>
            <w:hideMark/>
          </w:tcPr>
          <w:p w14:paraId="5786D72A"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9</w:t>
            </w:r>
          </w:p>
        </w:tc>
        <w:tc>
          <w:tcPr>
            <w:tcW w:w="820" w:type="dxa"/>
            <w:tcBorders>
              <w:top w:val="nil"/>
              <w:left w:val="nil"/>
              <w:bottom w:val="single" w:sz="4" w:space="0" w:color="auto"/>
              <w:right w:val="single" w:sz="4" w:space="0" w:color="auto"/>
            </w:tcBorders>
            <w:shd w:val="clear" w:color="auto" w:fill="auto"/>
            <w:noWrap/>
            <w:vAlign w:val="center"/>
            <w:hideMark/>
          </w:tcPr>
          <w:p w14:paraId="6AF941BE"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5</w:t>
            </w:r>
          </w:p>
        </w:tc>
        <w:tc>
          <w:tcPr>
            <w:tcW w:w="654" w:type="dxa"/>
            <w:tcBorders>
              <w:top w:val="nil"/>
              <w:left w:val="nil"/>
              <w:bottom w:val="single" w:sz="4" w:space="0" w:color="auto"/>
              <w:right w:val="single" w:sz="4" w:space="0" w:color="auto"/>
            </w:tcBorders>
            <w:shd w:val="clear" w:color="auto" w:fill="auto"/>
            <w:noWrap/>
            <w:vAlign w:val="center"/>
            <w:hideMark/>
          </w:tcPr>
          <w:p w14:paraId="775C0DE8"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7</w:t>
            </w:r>
          </w:p>
        </w:tc>
        <w:tc>
          <w:tcPr>
            <w:tcW w:w="710" w:type="dxa"/>
            <w:tcBorders>
              <w:top w:val="nil"/>
              <w:left w:val="nil"/>
              <w:bottom w:val="single" w:sz="4" w:space="0" w:color="auto"/>
              <w:right w:val="single" w:sz="4" w:space="0" w:color="auto"/>
            </w:tcBorders>
            <w:shd w:val="clear" w:color="auto" w:fill="auto"/>
            <w:noWrap/>
            <w:vAlign w:val="center"/>
            <w:hideMark/>
          </w:tcPr>
          <w:p w14:paraId="218E6F19"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38</w:t>
            </w:r>
          </w:p>
        </w:tc>
        <w:tc>
          <w:tcPr>
            <w:tcW w:w="690" w:type="dxa"/>
            <w:tcBorders>
              <w:top w:val="nil"/>
              <w:left w:val="nil"/>
              <w:bottom w:val="single" w:sz="4" w:space="0" w:color="auto"/>
              <w:right w:val="single" w:sz="4" w:space="0" w:color="auto"/>
            </w:tcBorders>
            <w:shd w:val="clear" w:color="auto" w:fill="auto"/>
            <w:noWrap/>
            <w:vAlign w:val="center"/>
            <w:hideMark/>
          </w:tcPr>
          <w:p w14:paraId="7048E89F"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113</w:t>
            </w:r>
          </w:p>
        </w:tc>
        <w:tc>
          <w:tcPr>
            <w:tcW w:w="761" w:type="dxa"/>
            <w:tcBorders>
              <w:top w:val="single" w:sz="4" w:space="0" w:color="auto"/>
              <w:left w:val="nil"/>
              <w:bottom w:val="single" w:sz="4" w:space="0" w:color="auto"/>
              <w:right w:val="single" w:sz="4" w:space="0" w:color="auto"/>
            </w:tcBorders>
            <w:shd w:val="clear" w:color="auto" w:fill="auto"/>
            <w:noWrap/>
            <w:vAlign w:val="center"/>
            <w:hideMark/>
          </w:tcPr>
          <w:p w14:paraId="38111419"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4</w:t>
            </w:r>
          </w:p>
        </w:tc>
        <w:tc>
          <w:tcPr>
            <w:tcW w:w="710" w:type="dxa"/>
            <w:tcBorders>
              <w:top w:val="nil"/>
              <w:left w:val="nil"/>
              <w:bottom w:val="single" w:sz="4" w:space="0" w:color="auto"/>
              <w:right w:val="single" w:sz="4" w:space="0" w:color="auto"/>
            </w:tcBorders>
            <w:shd w:val="clear" w:color="auto" w:fill="auto"/>
            <w:noWrap/>
            <w:vAlign w:val="center"/>
            <w:hideMark/>
          </w:tcPr>
          <w:p w14:paraId="023CD223"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3385</w:t>
            </w:r>
          </w:p>
        </w:tc>
      </w:tr>
      <w:tr w:rsidR="000C1458" w:rsidRPr="005E2831" w14:paraId="39257DC6" w14:textId="77777777" w:rsidTr="006457A4">
        <w:trPr>
          <w:trHeight w:val="300"/>
        </w:trPr>
        <w:tc>
          <w:tcPr>
            <w:tcW w:w="845" w:type="dxa"/>
            <w:vMerge w:val="restart"/>
            <w:tcBorders>
              <w:top w:val="single" w:sz="4" w:space="0" w:color="auto"/>
              <w:left w:val="single" w:sz="4" w:space="0" w:color="auto"/>
              <w:bottom w:val="nil"/>
              <w:right w:val="single" w:sz="4" w:space="0" w:color="auto"/>
            </w:tcBorders>
            <w:shd w:val="clear" w:color="auto" w:fill="auto"/>
            <w:textDirection w:val="btLr"/>
            <w:vAlign w:val="center"/>
            <w:hideMark/>
          </w:tcPr>
          <w:p w14:paraId="6F30ADEA"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Klasyfikacja potencjału</w:t>
            </w:r>
            <w:r w:rsidRPr="00105859">
              <w:rPr>
                <w:rFonts w:ascii="Times New Roman" w:eastAsia="Times New Roman" w:hAnsi="Times New Roman" w:cs="Times New Roman"/>
                <w:color w:val="000000"/>
                <w:sz w:val="18"/>
                <w:szCs w:val="18"/>
                <w:lang w:eastAsia="pl-PL"/>
              </w:rPr>
              <w:br/>
              <w:t>ekologicznego</w:t>
            </w:r>
          </w:p>
        </w:tc>
        <w:tc>
          <w:tcPr>
            <w:tcW w:w="1985" w:type="dxa"/>
            <w:tcBorders>
              <w:top w:val="nil"/>
              <w:left w:val="nil"/>
              <w:bottom w:val="single" w:sz="4" w:space="0" w:color="auto"/>
              <w:right w:val="single" w:sz="4" w:space="0" w:color="auto"/>
            </w:tcBorders>
            <w:shd w:val="clear" w:color="auto" w:fill="538135" w:themeFill="accent6" w:themeFillShade="BF"/>
            <w:noWrap/>
            <w:vAlign w:val="center"/>
            <w:hideMark/>
          </w:tcPr>
          <w:p w14:paraId="398CE604"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Maksymalny</w:t>
            </w:r>
          </w:p>
        </w:tc>
        <w:tc>
          <w:tcPr>
            <w:tcW w:w="601" w:type="dxa"/>
            <w:tcBorders>
              <w:top w:val="nil"/>
              <w:left w:val="nil"/>
              <w:bottom w:val="single" w:sz="4" w:space="0" w:color="auto"/>
              <w:right w:val="single" w:sz="4" w:space="0" w:color="auto"/>
            </w:tcBorders>
            <w:shd w:val="clear" w:color="auto" w:fill="auto"/>
            <w:noWrap/>
            <w:vAlign w:val="center"/>
            <w:hideMark/>
          </w:tcPr>
          <w:p w14:paraId="6D60F29B"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654" w:type="dxa"/>
            <w:tcBorders>
              <w:top w:val="nil"/>
              <w:left w:val="nil"/>
              <w:bottom w:val="single" w:sz="4" w:space="0" w:color="auto"/>
              <w:right w:val="single" w:sz="4" w:space="0" w:color="auto"/>
            </w:tcBorders>
            <w:shd w:val="clear" w:color="auto" w:fill="auto"/>
            <w:noWrap/>
            <w:vAlign w:val="center"/>
            <w:hideMark/>
          </w:tcPr>
          <w:p w14:paraId="3B480544"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688" w:type="dxa"/>
            <w:tcBorders>
              <w:top w:val="nil"/>
              <w:left w:val="nil"/>
              <w:bottom w:val="single" w:sz="4" w:space="0" w:color="auto"/>
              <w:right w:val="single" w:sz="4" w:space="0" w:color="auto"/>
            </w:tcBorders>
            <w:shd w:val="clear" w:color="auto" w:fill="auto"/>
            <w:noWrap/>
            <w:vAlign w:val="center"/>
            <w:hideMark/>
          </w:tcPr>
          <w:p w14:paraId="54FEDD57"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670" w:type="dxa"/>
            <w:tcBorders>
              <w:top w:val="nil"/>
              <w:left w:val="nil"/>
              <w:bottom w:val="single" w:sz="4" w:space="0" w:color="auto"/>
              <w:right w:val="single" w:sz="4" w:space="0" w:color="auto"/>
            </w:tcBorders>
            <w:shd w:val="clear" w:color="auto" w:fill="auto"/>
            <w:noWrap/>
            <w:vAlign w:val="center"/>
            <w:hideMark/>
          </w:tcPr>
          <w:p w14:paraId="507E3210"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820" w:type="dxa"/>
            <w:tcBorders>
              <w:top w:val="nil"/>
              <w:left w:val="nil"/>
              <w:bottom w:val="single" w:sz="4" w:space="0" w:color="auto"/>
              <w:right w:val="single" w:sz="4" w:space="0" w:color="auto"/>
            </w:tcBorders>
            <w:shd w:val="clear" w:color="auto" w:fill="auto"/>
            <w:noWrap/>
            <w:vAlign w:val="center"/>
            <w:hideMark/>
          </w:tcPr>
          <w:p w14:paraId="14537964"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654" w:type="dxa"/>
            <w:tcBorders>
              <w:top w:val="nil"/>
              <w:left w:val="nil"/>
              <w:bottom w:val="single" w:sz="4" w:space="0" w:color="auto"/>
              <w:right w:val="single" w:sz="4" w:space="0" w:color="auto"/>
            </w:tcBorders>
            <w:shd w:val="clear" w:color="auto" w:fill="auto"/>
            <w:noWrap/>
            <w:vAlign w:val="center"/>
            <w:hideMark/>
          </w:tcPr>
          <w:p w14:paraId="6164A22E"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6CAEA908"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690" w:type="dxa"/>
            <w:tcBorders>
              <w:top w:val="nil"/>
              <w:left w:val="nil"/>
              <w:bottom w:val="single" w:sz="4" w:space="0" w:color="auto"/>
              <w:right w:val="single" w:sz="4" w:space="0" w:color="auto"/>
            </w:tcBorders>
            <w:shd w:val="clear" w:color="auto" w:fill="auto"/>
            <w:noWrap/>
            <w:vAlign w:val="center"/>
            <w:hideMark/>
          </w:tcPr>
          <w:p w14:paraId="03978E72"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761" w:type="dxa"/>
            <w:tcBorders>
              <w:top w:val="nil"/>
              <w:left w:val="nil"/>
              <w:bottom w:val="single" w:sz="4" w:space="0" w:color="auto"/>
              <w:right w:val="single" w:sz="4" w:space="0" w:color="auto"/>
            </w:tcBorders>
            <w:shd w:val="clear" w:color="auto" w:fill="auto"/>
            <w:noWrap/>
            <w:vAlign w:val="center"/>
            <w:hideMark/>
          </w:tcPr>
          <w:p w14:paraId="68406CAD"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0A960AB5"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r>
      <w:tr w:rsidR="000C1458" w:rsidRPr="005E2831" w14:paraId="38AF2CF1" w14:textId="77777777" w:rsidTr="00AA0413">
        <w:trPr>
          <w:trHeight w:val="300"/>
        </w:trPr>
        <w:tc>
          <w:tcPr>
            <w:tcW w:w="845" w:type="dxa"/>
            <w:vMerge/>
            <w:tcBorders>
              <w:top w:val="single" w:sz="4" w:space="0" w:color="auto"/>
              <w:left w:val="single" w:sz="4" w:space="0" w:color="auto"/>
              <w:bottom w:val="nil"/>
              <w:right w:val="single" w:sz="4" w:space="0" w:color="auto"/>
            </w:tcBorders>
            <w:vAlign w:val="center"/>
            <w:hideMark/>
          </w:tcPr>
          <w:p w14:paraId="6E56DB5C"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1985" w:type="dxa"/>
            <w:tcBorders>
              <w:top w:val="nil"/>
              <w:left w:val="nil"/>
              <w:bottom w:val="single" w:sz="4" w:space="0" w:color="auto"/>
              <w:right w:val="single" w:sz="4" w:space="0" w:color="auto"/>
            </w:tcBorders>
            <w:shd w:val="clear" w:color="auto" w:fill="00B050"/>
            <w:noWrap/>
            <w:vAlign w:val="center"/>
            <w:hideMark/>
          </w:tcPr>
          <w:p w14:paraId="152A4EBD"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Dobry</w:t>
            </w:r>
          </w:p>
        </w:tc>
        <w:tc>
          <w:tcPr>
            <w:tcW w:w="601" w:type="dxa"/>
            <w:tcBorders>
              <w:top w:val="nil"/>
              <w:left w:val="nil"/>
              <w:bottom w:val="single" w:sz="4" w:space="0" w:color="auto"/>
              <w:right w:val="single" w:sz="4" w:space="0" w:color="auto"/>
            </w:tcBorders>
            <w:shd w:val="clear" w:color="auto" w:fill="auto"/>
            <w:noWrap/>
            <w:vAlign w:val="center"/>
            <w:hideMark/>
          </w:tcPr>
          <w:p w14:paraId="131B54F2"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43</w:t>
            </w:r>
          </w:p>
        </w:tc>
        <w:tc>
          <w:tcPr>
            <w:tcW w:w="654" w:type="dxa"/>
            <w:tcBorders>
              <w:top w:val="nil"/>
              <w:left w:val="nil"/>
              <w:bottom w:val="single" w:sz="4" w:space="0" w:color="auto"/>
              <w:right w:val="single" w:sz="4" w:space="0" w:color="auto"/>
            </w:tcBorders>
            <w:shd w:val="clear" w:color="auto" w:fill="auto"/>
            <w:noWrap/>
            <w:vAlign w:val="center"/>
            <w:hideMark/>
          </w:tcPr>
          <w:p w14:paraId="1A9688CE"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40</w:t>
            </w:r>
          </w:p>
        </w:tc>
        <w:tc>
          <w:tcPr>
            <w:tcW w:w="688" w:type="dxa"/>
            <w:tcBorders>
              <w:top w:val="nil"/>
              <w:left w:val="nil"/>
              <w:bottom w:val="single" w:sz="4" w:space="0" w:color="auto"/>
              <w:right w:val="single" w:sz="4" w:space="0" w:color="auto"/>
            </w:tcBorders>
            <w:shd w:val="clear" w:color="auto" w:fill="auto"/>
            <w:noWrap/>
            <w:vAlign w:val="center"/>
            <w:hideMark/>
          </w:tcPr>
          <w:p w14:paraId="1C0B05DA"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670" w:type="dxa"/>
            <w:tcBorders>
              <w:top w:val="nil"/>
              <w:left w:val="nil"/>
              <w:bottom w:val="single" w:sz="4" w:space="0" w:color="auto"/>
              <w:right w:val="single" w:sz="4" w:space="0" w:color="auto"/>
            </w:tcBorders>
            <w:shd w:val="clear" w:color="auto" w:fill="auto"/>
            <w:noWrap/>
            <w:vAlign w:val="center"/>
            <w:hideMark/>
          </w:tcPr>
          <w:p w14:paraId="6DEC4CD1"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820" w:type="dxa"/>
            <w:tcBorders>
              <w:top w:val="nil"/>
              <w:left w:val="nil"/>
              <w:bottom w:val="single" w:sz="4" w:space="0" w:color="auto"/>
              <w:right w:val="single" w:sz="4" w:space="0" w:color="auto"/>
            </w:tcBorders>
            <w:shd w:val="clear" w:color="auto" w:fill="auto"/>
            <w:noWrap/>
            <w:vAlign w:val="center"/>
            <w:hideMark/>
          </w:tcPr>
          <w:p w14:paraId="1D4BD8DA"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654" w:type="dxa"/>
            <w:tcBorders>
              <w:top w:val="nil"/>
              <w:left w:val="nil"/>
              <w:bottom w:val="single" w:sz="4" w:space="0" w:color="auto"/>
              <w:right w:val="single" w:sz="4" w:space="0" w:color="auto"/>
            </w:tcBorders>
            <w:shd w:val="clear" w:color="auto" w:fill="auto"/>
            <w:noWrap/>
            <w:vAlign w:val="center"/>
            <w:hideMark/>
          </w:tcPr>
          <w:p w14:paraId="01CADE78"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5EC548B4"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690" w:type="dxa"/>
            <w:tcBorders>
              <w:top w:val="nil"/>
              <w:left w:val="nil"/>
              <w:bottom w:val="single" w:sz="4" w:space="0" w:color="auto"/>
              <w:right w:val="single" w:sz="4" w:space="0" w:color="auto"/>
            </w:tcBorders>
            <w:shd w:val="clear" w:color="auto" w:fill="auto"/>
            <w:noWrap/>
            <w:vAlign w:val="center"/>
            <w:hideMark/>
          </w:tcPr>
          <w:p w14:paraId="51831A8D"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761" w:type="dxa"/>
            <w:tcBorders>
              <w:top w:val="nil"/>
              <w:left w:val="nil"/>
              <w:bottom w:val="single" w:sz="4" w:space="0" w:color="auto"/>
              <w:right w:val="single" w:sz="4" w:space="0" w:color="auto"/>
            </w:tcBorders>
            <w:shd w:val="clear" w:color="auto" w:fill="auto"/>
            <w:noWrap/>
            <w:vAlign w:val="center"/>
            <w:hideMark/>
          </w:tcPr>
          <w:p w14:paraId="2D9E790D"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3396BBCB"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83</w:t>
            </w:r>
          </w:p>
        </w:tc>
      </w:tr>
      <w:tr w:rsidR="000C1458" w:rsidRPr="005E2831" w14:paraId="063A3AE1" w14:textId="77777777" w:rsidTr="000902C5">
        <w:trPr>
          <w:trHeight w:val="300"/>
        </w:trPr>
        <w:tc>
          <w:tcPr>
            <w:tcW w:w="845" w:type="dxa"/>
            <w:vMerge/>
            <w:tcBorders>
              <w:top w:val="single" w:sz="4" w:space="0" w:color="auto"/>
              <w:left w:val="single" w:sz="4" w:space="0" w:color="auto"/>
              <w:bottom w:val="nil"/>
              <w:right w:val="single" w:sz="4" w:space="0" w:color="auto"/>
            </w:tcBorders>
            <w:vAlign w:val="center"/>
            <w:hideMark/>
          </w:tcPr>
          <w:p w14:paraId="335BFD5B"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1985" w:type="dxa"/>
            <w:tcBorders>
              <w:top w:val="nil"/>
              <w:left w:val="nil"/>
              <w:bottom w:val="single" w:sz="4" w:space="0" w:color="auto"/>
              <w:right w:val="single" w:sz="4" w:space="0" w:color="auto"/>
            </w:tcBorders>
            <w:shd w:val="clear" w:color="auto" w:fill="FFFF00"/>
            <w:noWrap/>
            <w:vAlign w:val="center"/>
            <w:hideMark/>
          </w:tcPr>
          <w:p w14:paraId="6B1363CC"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Umiarkowany</w:t>
            </w:r>
          </w:p>
        </w:tc>
        <w:tc>
          <w:tcPr>
            <w:tcW w:w="601" w:type="dxa"/>
            <w:tcBorders>
              <w:top w:val="nil"/>
              <w:left w:val="nil"/>
              <w:bottom w:val="single" w:sz="4" w:space="0" w:color="auto"/>
              <w:right w:val="single" w:sz="4" w:space="0" w:color="auto"/>
            </w:tcBorders>
            <w:shd w:val="clear" w:color="auto" w:fill="auto"/>
            <w:noWrap/>
            <w:vAlign w:val="center"/>
            <w:hideMark/>
          </w:tcPr>
          <w:p w14:paraId="61E87DD9"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260</w:t>
            </w:r>
          </w:p>
        </w:tc>
        <w:tc>
          <w:tcPr>
            <w:tcW w:w="654" w:type="dxa"/>
            <w:tcBorders>
              <w:top w:val="nil"/>
              <w:left w:val="nil"/>
              <w:bottom w:val="single" w:sz="4" w:space="0" w:color="auto"/>
              <w:right w:val="single" w:sz="4" w:space="0" w:color="auto"/>
            </w:tcBorders>
            <w:shd w:val="clear" w:color="auto" w:fill="auto"/>
            <w:noWrap/>
            <w:vAlign w:val="center"/>
            <w:hideMark/>
          </w:tcPr>
          <w:p w14:paraId="2F30C7AC"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276</w:t>
            </w:r>
          </w:p>
        </w:tc>
        <w:tc>
          <w:tcPr>
            <w:tcW w:w="688" w:type="dxa"/>
            <w:tcBorders>
              <w:top w:val="nil"/>
              <w:left w:val="nil"/>
              <w:bottom w:val="single" w:sz="4" w:space="0" w:color="auto"/>
              <w:right w:val="single" w:sz="4" w:space="0" w:color="auto"/>
            </w:tcBorders>
            <w:shd w:val="clear" w:color="auto" w:fill="auto"/>
            <w:noWrap/>
            <w:vAlign w:val="center"/>
            <w:hideMark/>
          </w:tcPr>
          <w:p w14:paraId="7D68E327"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670" w:type="dxa"/>
            <w:tcBorders>
              <w:top w:val="nil"/>
              <w:left w:val="nil"/>
              <w:bottom w:val="single" w:sz="4" w:space="0" w:color="auto"/>
              <w:right w:val="single" w:sz="4" w:space="0" w:color="auto"/>
            </w:tcBorders>
            <w:shd w:val="clear" w:color="auto" w:fill="auto"/>
            <w:noWrap/>
            <w:vAlign w:val="center"/>
            <w:hideMark/>
          </w:tcPr>
          <w:p w14:paraId="3BDF4EEC"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2</w:t>
            </w:r>
          </w:p>
        </w:tc>
        <w:tc>
          <w:tcPr>
            <w:tcW w:w="820" w:type="dxa"/>
            <w:tcBorders>
              <w:top w:val="nil"/>
              <w:left w:val="nil"/>
              <w:bottom w:val="single" w:sz="4" w:space="0" w:color="auto"/>
              <w:right w:val="single" w:sz="4" w:space="0" w:color="auto"/>
            </w:tcBorders>
            <w:shd w:val="clear" w:color="auto" w:fill="auto"/>
            <w:noWrap/>
            <w:vAlign w:val="center"/>
            <w:hideMark/>
          </w:tcPr>
          <w:p w14:paraId="00E3820A"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654" w:type="dxa"/>
            <w:tcBorders>
              <w:top w:val="nil"/>
              <w:left w:val="nil"/>
              <w:bottom w:val="single" w:sz="4" w:space="0" w:color="auto"/>
              <w:right w:val="single" w:sz="4" w:space="0" w:color="auto"/>
            </w:tcBorders>
            <w:shd w:val="clear" w:color="auto" w:fill="auto"/>
            <w:noWrap/>
            <w:vAlign w:val="center"/>
            <w:hideMark/>
          </w:tcPr>
          <w:p w14:paraId="330065FE"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31558922"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690" w:type="dxa"/>
            <w:tcBorders>
              <w:top w:val="nil"/>
              <w:left w:val="nil"/>
              <w:bottom w:val="single" w:sz="4" w:space="0" w:color="auto"/>
              <w:right w:val="single" w:sz="4" w:space="0" w:color="auto"/>
            </w:tcBorders>
            <w:shd w:val="clear" w:color="auto" w:fill="auto"/>
            <w:noWrap/>
            <w:vAlign w:val="center"/>
            <w:hideMark/>
          </w:tcPr>
          <w:p w14:paraId="397AA3BF"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2</w:t>
            </w:r>
          </w:p>
        </w:tc>
        <w:tc>
          <w:tcPr>
            <w:tcW w:w="761" w:type="dxa"/>
            <w:tcBorders>
              <w:top w:val="nil"/>
              <w:left w:val="nil"/>
              <w:bottom w:val="single" w:sz="4" w:space="0" w:color="auto"/>
              <w:right w:val="single" w:sz="4" w:space="0" w:color="auto"/>
            </w:tcBorders>
            <w:shd w:val="clear" w:color="auto" w:fill="auto"/>
            <w:noWrap/>
            <w:vAlign w:val="center"/>
            <w:hideMark/>
          </w:tcPr>
          <w:p w14:paraId="30E8B609"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6A9C38C1"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540</w:t>
            </w:r>
          </w:p>
        </w:tc>
      </w:tr>
      <w:tr w:rsidR="000C1458" w:rsidRPr="005E2831" w14:paraId="02B78469" w14:textId="77777777" w:rsidTr="00AA0413">
        <w:trPr>
          <w:trHeight w:val="300"/>
        </w:trPr>
        <w:tc>
          <w:tcPr>
            <w:tcW w:w="845" w:type="dxa"/>
            <w:vMerge/>
            <w:tcBorders>
              <w:top w:val="single" w:sz="4" w:space="0" w:color="auto"/>
              <w:left w:val="single" w:sz="4" w:space="0" w:color="auto"/>
              <w:bottom w:val="nil"/>
              <w:right w:val="single" w:sz="4" w:space="0" w:color="auto"/>
            </w:tcBorders>
            <w:vAlign w:val="center"/>
            <w:hideMark/>
          </w:tcPr>
          <w:p w14:paraId="02F17966"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1985" w:type="dxa"/>
            <w:tcBorders>
              <w:top w:val="nil"/>
              <w:left w:val="nil"/>
              <w:bottom w:val="single" w:sz="4" w:space="0" w:color="auto"/>
              <w:right w:val="single" w:sz="4" w:space="0" w:color="auto"/>
            </w:tcBorders>
            <w:shd w:val="clear" w:color="auto" w:fill="FFC000"/>
            <w:noWrap/>
            <w:vAlign w:val="center"/>
            <w:hideMark/>
          </w:tcPr>
          <w:p w14:paraId="04CADF40"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Słaby</w:t>
            </w:r>
          </w:p>
        </w:tc>
        <w:tc>
          <w:tcPr>
            <w:tcW w:w="601" w:type="dxa"/>
            <w:tcBorders>
              <w:top w:val="nil"/>
              <w:left w:val="nil"/>
              <w:bottom w:val="single" w:sz="4" w:space="0" w:color="auto"/>
              <w:right w:val="single" w:sz="4" w:space="0" w:color="auto"/>
            </w:tcBorders>
            <w:shd w:val="clear" w:color="auto" w:fill="auto"/>
            <w:noWrap/>
            <w:vAlign w:val="center"/>
            <w:hideMark/>
          </w:tcPr>
          <w:p w14:paraId="75E35FA2"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175</w:t>
            </w:r>
          </w:p>
        </w:tc>
        <w:tc>
          <w:tcPr>
            <w:tcW w:w="654" w:type="dxa"/>
            <w:tcBorders>
              <w:top w:val="nil"/>
              <w:left w:val="nil"/>
              <w:bottom w:val="single" w:sz="4" w:space="0" w:color="auto"/>
              <w:right w:val="single" w:sz="4" w:space="0" w:color="auto"/>
            </w:tcBorders>
            <w:shd w:val="clear" w:color="auto" w:fill="auto"/>
            <w:noWrap/>
            <w:vAlign w:val="center"/>
            <w:hideMark/>
          </w:tcPr>
          <w:p w14:paraId="2ED8C254"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190</w:t>
            </w:r>
          </w:p>
        </w:tc>
        <w:tc>
          <w:tcPr>
            <w:tcW w:w="688" w:type="dxa"/>
            <w:tcBorders>
              <w:top w:val="nil"/>
              <w:left w:val="nil"/>
              <w:bottom w:val="single" w:sz="4" w:space="0" w:color="auto"/>
              <w:right w:val="single" w:sz="4" w:space="0" w:color="auto"/>
            </w:tcBorders>
            <w:shd w:val="clear" w:color="auto" w:fill="auto"/>
            <w:noWrap/>
            <w:vAlign w:val="center"/>
            <w:hideMark/>
          </w:tcPr>
          <w:p w14:paraId="4CA3DE37"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670" w:type="dxa"/>
            <w:tcBorders>
              <w:top w:val="nil"/>
              <w:left w:val="nil"/>
              <w:bottom w:val="single" w:sz="4" w:space="0" w:color="auto"/>
              <w:right w:val="single" w:sz="4" w:space="0" w:color="auto"/>
            </w:tcBorders>
            <w:shd w:val="clear" w:color="auto" w:fill="auto"/>
            <w:noWrap/>
            <w:vAlign w:val="center"/>
            <w:hideMark/>
          </w:tcPr>
          <w:p w14:paraId="4590CBAE"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820" w:type="dxa"/>
            <w:tcBorders>
              <w:top w:val="nil"/>
              <w:left w:val="nil"/>
              <w:bottom w:val="single" w:sz="4" w:space="0" w:color="auto"/>
              <w:right w:val="single" w:sz="4" w:space="0" w:color="auto"/>
            </w:tcBorders>
            <w:shd w:val="clear" w:color="auto" w:fill="auto"/>
            <w:noWrap/>
            <w:vAlign w:val="center"/>
            <w:hideMark/>
          </w:tcPr>
          <w:p w14:paraId="5EE2BB09"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654" w:type="dxa"/>
            <w:tcBorders>
              <w:top w:val="nil"/>
              <w:left w:val="nil"/>
              <w:bottom w:val="single" w:sz="4" w:space="0" w:color="auto"/>
              <w:right w:val="single" w:sz="4" w:space="0" w:color="auto"/>
            </w:tcBorders>
            <w:shd w:val="clear" w:color="auto" w:fill="auto"/>
            <w:noWrap/>
            <w:vAlign w:val="center"/>
            <w:hideMark/>
          </w:tcPr>
          <w:p w14:paraId="3B2E2688"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7488F636"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w:t>
            </w:r>
          </w:p>
        </w:tc>
        <w:tc>
          <w:tcPr>
            <w:tcW w:w="690" w:type="dxa"/>
            <w:tcBorders>
              <w:top w:val="nil"/>
              <w:left w:val="nil"/>
              <w:bottom w:val="single" w:sz="4" w:space="0" w:color="auto"/>
              <w:right w:val="single" w:sz="4" w:space="0" w:color="auto"/>
            </w:tcBorders>
            <w:shd w:val="clear" w:color="auto" w:fill="auto"/>
            <w:noWrap/>
            <w:vAlign w:val="center"/>
            <w:hideMark/>
          </w:tcPr>
          <w:p w14:paraId="455A6868"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761" w:type="dxa"/>
            <w:tcBorders>
              <w:top w:val="nil"/>
              <w:left w:val="nil"/>
              <w:bottom w:val="single" w:sz="4" w:space="0" w:color="auto"/>
              <w:right w:val="single" w:sz="4" w:space="0" w:color="auto"/>
            </w:tcBorders>
            <w:shd w:val="clear" w:color="auto" w:fill="auto"/>
            <w:noWrap/>
            <w:vAlign w:val="center"/>
            <w:hideMark/>
          </w:tcPr>
          <w:p w14:paraId="3864421C"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79490E53"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366</w:t>
            </w:r>
          </w:p>
        </w:tc>
      </w:tr>
      <w:tr w:rsidR="000C1458" w:rsidRPr="005E2831" w14:paraId="5211D76B" w14:textId="77777777" w:rsidTr="00AA0413">
        <w:trPr>
          <w:trHeight w:val="300"/>
        </w:trPr>
        <w:tc>
          <w:tcPr>
            <w:tcW w:w="845" w:type="dxa"/>
            <w:vMerge/>
            <w:tcBorders>
              <w:top w:val="single" w:sz="4" w:space="0" w:color="auto"/>
              <w:left w:val="single" w:sz="4" w:space="0" w:color="auto"/>
              <w:bottom w:val="nil"/>
              <w:right w:val="single" w:sz="4" w:space="0" w:color="auto"/>
            </w:tcBorders>
            <w:vAlign w:val="center"/>
            <w:hideMark/>
          </w:tcPr>
          <w:p w14:paraId="555F662B"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1985" w:type="dxa"/>
            <w:tcBorders>
              <w:top w:val="nil"/>
              <w:left w:val="nil"/>
              <w:bottom w:val="single" w:sz="4" w:space="0" w:color="auto"/>
              <w:right w:val="single" w:sz="4" w:space="0" w:color="auto"/>
            </w:tcBorders>
            <w:shd w:val="clear" w:color="auto" w:fill="FF0000"/>
            <w:noWrap/>
            <w:vAlign w:val="center"/>
            <w:hideMark/>
          </w:tcPr>
          <w:p w14:paraId="47DF580A"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Zły</w:t>
            </w:r>
          </w:p>
        </w:tc>
        <w:tc>
          <w:tcPr>
            <w:tcW w:w="601" w:type="dxa"/>
            <w:tcBorders>
              <w:top w:val="nil"/>
              <w:left w:val="nil"/>
              <w:bottom w:val="single" w:sz="4" w:space="0" w:color="auto"/>
              <w:right w:val="single" w:sz="4" w:space="0" w:color="auto"/>
            </w:tcBorders>
            <w:shd w:val="clear" w:color="auto" w:fill="auto"/>
            <w:noWrap/>
            <w:vAlign w:val="center"/>
            <w:hideMark/>
          </w:tcPr>
          <w:p w14:paraId="5E414EFF"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57</w:t>
            </w:r>
          </w:p>
        </w:tc>
        <w:tc>
          <w:tcPr>
            <w:tcW w:w="654" w:type="dxa"/>
            <w:tcBorders>
              <w:top w:val="nil"/>
              <w:left w:val="nil"/>
              <w:bottom w:val="single" w:sz="4" w:space="0" w:color="auto"/>
              <w:right w:val="single" w:sz="4" w:space="0" w:color="auto"/>
            </w:tcBorders>
            <w:shd w:val="clear" w:color="auto" w:fill="auto"/>
            <w:noWrap/>
            <w:vAlign w:val="center"/>
            <w:hideMark/>
          </w:tcPr>
          <w:p w14:paraId="0A8084E6"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93</w:t>
            </w:r>
          </w:p>
        </w:tc>
        <w:tc>
          <w:tcPr>
            <w:tcW w:w="688" w:type="dxa"/>
            <w:tcBorders>
              <w:top w:val="nil"/>
              <w:left w:val="nil"/>
              <w:bottom w:val="single" w:sz="4" w:space="0" w:color="auto"/>
              <w:right w:val="single" w:sz="4" w:space="0" w:color="auto"/>
            </w:tcBorders>
            <w:shd w:val="clear" w:color="auto" w:fill="auto"/>
            <w:noWrap/>
            <w:vAlign w:val="center"/>
            <w:hideMark/>
          </w:tcPr>
          <w:p w14:paraId="7F77337B"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670" w:type="dxa"/>
            <w:tcBorders>
              <w:top w:val="nil"/>
              <w:left w:val="nil"/>
              <w:bottom w:val="single" w:sz="4" w:space="0" w:color="auto"/>
              <w:right w:val="single" w:sz="4" w:space="0" w:color="auto"/>
            </w:tcBorders>
            <w:shd w:val="clear" w:color="auto" w:fill="auto"/>
            <w:noWrap/>
            <w:vAlign w:val="center"/>
            <w:hideMark/>
          </w:tcPr>
          <w:p w14:paraId="1AFF0446"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820" w:type="dxa"/>
            <w:tcBorders>
              <w:top w:val="nil"/>
              <w:left w:val="nil"/>
              <w:bottom w:val="single" w:sz="4" w:space="0" w:color="auto"/>
              <w:right w:val="single" w:sz="4" w:space="0" w:color="auto"/>
            </w:tcBorders>
            <w:shd w:val="clear" w:color="auto" w:fill="auto"/>
            <w:noWrap/>
            <w:vAlign w:val="center"/>
            <w:hideMark/>
          </w:tcPr>
          <w:p w14:paraId="4453BE62"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654" w:type="dxa"/>
            <w:tcBorders>
              <w:top w:val="nil"/>
              <w:left w:val="nil"/>
              <w:bottom w:val="single" w:sz="4" w:space="0" w:color="auto"/>
              <w:right w:val="single" w:sz="4" w:space="0" w:color="auto"/>
            </w:tcBorders>
            <w:shd w:val="clear" w:color="auto" w:fill="auto"/>
            <w:noWrap/>
            <w:vAlign w:val="center"/>
            <w:hideMark/>
          </w:tcPr>
          <w:p w14:paraId="5BBB7DFB"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42DCF1DB"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690" w:type="dxa"/>
            <w:tcBorders>
              <w:top w:val="nil"/>
              <w:left w:val="nil"/>
              <w:bottom w:val="single" w:sz="4" w:space="0" w:color="auto"/>
              <w:right w:val="single" w:sz="4" w:space="0" w:color="auto"/>
            </w:tcBorders>
            <w:shd w:val="clear" w:color="auto" w:fill="auto"/>
            <w:noWrap/>
            <w:vAlign w:val="center"/>
            <w:hideMark/>
          </w:tcPr>
          <w:p w14:paraId="31373913"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4</w:t>
            </w:r>
          </w:p>
        </w:tc>
        <w:tc>
          <w:tcPr>
            <w:tcW w:w="761" w:type="dxa"/>
            <w:tcBorders>
              <w:top w:val="nil"/>
              <w:left w:val="nil"/>
              <w:bottom w:val="single" w:sz="4" w:space="0" w:color="auto"/>
              <w:right w:val="single" w:sz="4" w:space="0" w:color="auto"/>
            </w:tcBorders>
            <w:shd w:val="clear" w:color="auto" w:fill="auto"/>
            <w:noWrap/>
            <w:vAlign w:val="center"/>
            <w:hideMark/>
          </w:tcPr>
          <w:p w14:paraId="2E955190"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3166DBFA"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154</w:t>
            </w:r>
          </w:p>
        </w:tc>
      </w:tr>
      <w:tr w:rsidR="000C1458" w:rsidRPr="005E2831" w14:paraId="4F4AA7B2" w14:textId="77777777" w:rsidTr="0025528B">
        <w:trPr>
          <w:trHeight w:val="911"/>
        </w:trPr>
        <w:tc>
          <w:tcPr>
            <w:tcW w:w="845" w:type="dxa"/>
            <w:vMerge/>
            <w:tcBorders>
              <w:top w:val="single" w:sz="4" w:space="0" w:color="auto"/>
              <w:left w:val="single" w:sz="4" w:space="0" w:color="auto"/>
              <w:bottom w:val="nil"/>
              <w:right w:val="single" w:sz="4" w:space="0" w:color="auto"/>
            </w:tcBorders>
            <w:vAlign w:val="center"/>
            <w:hideMark/>
          </w:tcPr>
          <w:p w14:paraId="1181F64C"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1985" w:type="dxa"/>
            <w:tcBorders>
              <w:top w:val="nil"/>
              <w:left w:val="nil"/>
              <w:bottom w:val="single" w:sz="4" w:space="0" w:color="auto"/>
              <w:right w:val="single" w:sz="4" w:space="0" w:color="auto"/>
            </w:tcBorders>
            <w:shd w:val="clear" w:color="auto" w:fill="auto"/>
            <w:vAlign w:val="center"/>
            <w:hideMark/>
          </w:tcPr>
          <w:p w14:paraId="41D26D98"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 xml:space="preserve">Liczba ocenionych silnie zmienionych/sztucznych </w:t>
            </w:r>
            <w:proofErr w:type="spellStart"/>
            <w:r w:rsidRPr="00105859">
              <w:rPr>
                <w:rFonts w:ascii="Times New Roman" w:eastAsia="Times New Roman" w:hAnsi="Times New Roman" w:cs="Times New Roman"/>
                <w:color w:val="000000"/>
                <w:sz w:val="18"/>
                <w:szCs w:val="18"/>
                <w:lang w:eastAsia="pl-PL"/>
              </w:rPr>
              <w:t>jcwp</w:t>
            </w:r>
            <w:proofErr w:type="spellEnd"/>
          </w:p>
        </w:tc>
        <w:tc>
          <w:tcPr>
            <w:tcW w:w="601" w:type="dxa"/>
            <w:tcBorders>
              <w:top w:val="nil"/>
              <w:left w:val="nil"/>
              <w:bottom w:val="single" w:sz="4" w:space="0" w:color="auto"/>
              <w:right w:val="single" w:sz="4" w:space="0" w:color="auto"/>
            </w:tcBorders>
            <w:shd w:val="clear" w:color="auto" w:fill="auto"/>
            <w:noWrap/>
            <w:vAlign w:val="center"/>
            <w:hideMark/>
          </w:tcPr>
          <w:p w14:paraId="40C32B99"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535</w:t>
            </w:r>
          </w:p>
        </w:tc>
        <w:tc>
          <w:tcPr>
            <w:tcW w:w="654" w:type="dxa"/>
            <w:tcBorders>
              <w:top w:val="nil"/>
              <w:left w:val="nil"/>
              <w:bottom w:val="single" w:sz="4" w:space="0" w:color="auto"/>
              <w:right w:val="single" w:sz="4" w:space="0" w:color="auto"/>
            </w:tcBorders>
            <w:shd w:val="clear" w:color="auto" w:fill="auto"/>
            <w:noWrap/>
            <w:vAlign w:val="center"/>
            <w:hideMark/>
          </w:tcPr>
          <w:p w14:paraId="1A6C5C15"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599</w:t>
            </w:r>
          </w:p>
        </w:tc>
        <w:tc>
          <w:tcPr>
            <w:tcW w:w="688" w:type="dxa"/>
            <w:tcBorders>
              <w:top w:val="nil"/>
              <w:left w:val="nil"/>
              <w:bottom w:val="single" w:sz="4" w:space="0" w:color="auto"/>
              <w:right w:val="single" w:sz="4" w:space="0" w:color="auto"/>
            </w:tcBorders>
            <w:shd w:val="clear" w:color="auto" w:fill="auto"/>
            <w:noWrap/>
            <w:vAlign w:val="center"/>
            <w:hideMark/>
          </w:tcPr>
          <w:p w14:paraId="4A1560C1"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670" w:type="dxa"/>
            <w:tcBorders>
              <w:top w:val="nil"/>
              <w:left w:val="nil"/>
              <w:bottom w:val="single" w:sz="4" w:space="0" w:color="auto"/>
              <w:right w:val="single" w:sz="4" w:space="0" w:color="auto"/>
            </w:tcBorders>
            <w:shd w:val="clear" w:color="auto" w:fill="auto"/>
            <w:noWrap/>
            <w:vAlign w:val="center"/>
            <w:hideMark/>
          </w:tcPr>
          <w:p w14:paraId="312D9EC3"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2</w:t>
            </w:r>
          </w:p>
        </w:tc>
        <w:tc>
          <w:tcPr>
            <w:tcW w:w="820" w:type="dxa"/>
            <w:tcBorders>
              <w:top w:val="nil"/>
              <w:left w:val="nil"/>
              <w:bottom w:val="single" w:sz="4" w:space="0" w:color="auto"/>
              <w:right w:val="single" w:sz="4" w:space="0" w:color="auto"/>
            </w:tcBorders>
            <w:shd w:val="clear" w:color="auto" w:fill="auto"/>
            <w:noWrap/>
            <w:vAlign w:val="center"/>
            <w:hideMark/>
          </w:tcPr>
          <w:p w14:paraId="3E305FBA"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654" w:type="dxa"/>
            <w:tcBorders>
              <w:top w:val="nil"/>
              <w:left w:val="nil"/>
              <w:bottom w:val="single" w:sz="4" w:space="0" w:color="auto"/>
              <w:right w:val="single" w:sz="4" w:space="0" w:color="auto"/>
            </w:tcBorders>
            <w:shd w:val="clear" w:color="auto" w:fill="auto"/>
            <w:noWrap/>
            <w:vAlign w:val="center"/>
            <w:hideMark/>
          </w:tcPr>
          <w:p w14:paraId="60D547F2"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713605E6"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w:t>
            </w:r>
          </w:p>
        </w:tc>
        <w:tc>
          <w:tcPr>
            <w:tcW w:w="690" w:type="dxa"/>
            <w:tcBorders>
              <w:top w:val="nil"/>
              <w:left w:val="nil"/>
              <w:bottom w:val="single" w:sz="4" w:space="0" w:color="auto"/>
              <w:right w:val="single" w:sz="4" w:space="0" w:color="auto"/>
            </w:tcBorders>
            <w:shd w:val="clear" w:color="auto" w:fill="auto"/>
            <w:noWrap/>
            <w:vAlign w:val="center"/>
            <w:hideMark/>
          </w:tcPr>
          <w:p w14:paraId="408D337A"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6</w:t>
            </w:r>
          </w:p>
        </w:tc>
        <w:tc>
          <w:tcPr>
            <w:tcW w:w="761" w:type="dxa"/>
            <w:tcBorders>
              <w:top w:val="nil"/>
              <w:left w:val="nil"/>
              <w:bottom w:val="single" w:sz="4" w:space="0" w:color="auto"/>
              <w:right w:val="single" w:sz="4" w:space="0" w:color="auto"/>
            </w:tcBorders>
            <w:shd w:val="clear" w:color="auto" w:fill="auto"/>
            <w:noWrap/>
            <w:vAlign w:val="center"/>
            <w:hideMark/>
          </w:tcPr>
          <w:p w14:paraId="03FCB0F5"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101D4E1F"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1143</w:t>
            </w:r>
          </w:p>
        </w:tc>
      </w:tr>
      <w:tr w:rsidR="000C1458" w:rsidRPr="005E2831" w14:paraId="0F5C2D98" w14:textId="77777777" w:rsidTr="0025528B">
        <w:trPr>
          <w:trHeight w:val="300"/>
        </w:trPr>
        <w:tc>
          <w:tcPr>
            <w:tcW w:w="845" w:type="dxa"/>
            <w:vMerge w:val="restart"/>
            <w:tcBorders>
              <w:top w:val="single" w:sz="4" w:space="0" w:color="auto"/>
              <w:left w:val="single" w:sz="4" w:space="0" w:color="auto"/>
              <w:bottom w:val="nil"/>
              <w:right w:val="single" w:sz="4" w:space="0" w:color="auto"/>
            </w:tcBorders>
            <w:shd w:val="clear" w:color="auto" w:fill="auto"/>
            <w:textDirection w:val="btLr"/>
            <w:vAlign w:val="center"/>
            <w:hideMark/>
          </w:tcPr>
          <w:p w14:paraId="7E10267C"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Klasyfikacja</w:t>
            </w:r>
            <w:r w:rsidRPr="00105859">
              <w:rPr>
                <w:rFonts w:ascii="Times New Roman" w:eastAsia="Times New Roman" w:hAnsi="Times New Roman" w:cs="Times New Roman"/>
                <w:color w:val="000000"/>
                <w:sz w:val="18"/>
                <w:szCs w:val="18"/>
                <w:lang w:eastAsia="pl-PL"/>
              </w:rPr>
              <w:br/>
              <w:t>stanu</w:t>
            </w:r>
            <w:r w:rsidRPr="00105859">
              <w:rPr>
                <w:rFonts w:ascii="Times New Roman" w:eastAsia="Times New Roman" w:hAnsi="Times New Roman" w:cs="Times New Roman"/>
                <w:color w:val="000000"/>
                <w:sz w:val="18"/>
                <w:szCs w:val="18"/>
                <w:lang w:eastAsia="pl-PL"/>
              </w:rPr>
              <w:br/>
              <w:t>chemicznego</w:t>
            </w:r>
          </w:p>
        </w:tc>
        <w:tc>
          <w:tcPr>
            <w:tcW w:w="1985" w:type="dxa"/>
            <w:tcBorders>
              <w:top w:val="nil"/>
              <w:left w:val="nil"/>
              <w:bottom w:val="single" w:sz="4" w:space="0" w:color="auto"/>
              <w:right w:val="single" w:sz="4" w:space="0" w:color="auto"/>
            </w:tcBorders>
            <w:shd w:val="clear" w:color="000000" w:fill="00B0F0"/>
            <w:vAlign w:val="center"/>
            <w:hideMark/>
          </w:tcPr>
          <w:p w14:paraId="4CA1668C"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Dobry</w:t>
            </w:r>
          </w:p>
        </w:tc>
        <w:tc>
          <w:tcPr>
            <w:tcW w:w="601" w:type="dxa"/>
            <w:tcBorders>
              <w:top w:val="nil"/>
              <w:left w:val="nil"/>
              <w:bottom w:val="single" w:sz="4" w:space="0" w:color="auto"/>
              <w:right w:val="single" w:sz="4" w:space="0" w:color="auto"/>
            </w:tcBorders>
            <w:shd w:val="clear" w:color="auto" w:fill="auto"/>
            <w:noWrap/>
            <w:vAlign w:val="center"/>
            <w:hideMark/>
          </w:tcPr>
          <w:p w14:paraId="66E7DA4E"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255</w:t>
            </w:r>
          </w:p>
        </w:tc>
        <w:tc>
          <w:tcPr>
            <w:tcW w:w="654" w:type="dxa"/>
            <w:tcBorders>
              <w:top w:val="nil"/>
              <w:left w:val="nil"/>
              <w:bottom w:val="single" w:sz="4" w:space="0" w:color="auto"/>
              <w:right w:val="single" w:sz="4" w:space="0" w:color="auto"/>
            </w:tcBorders>
            <w:shd w:val="clear" w:color="auto" w:fill="auto"/>
            <w:noWrap/>
            <w:vAlign w:val="center"/>
            <w:hideMark/>
          </w:tcPr>
          <w:p w14:paraId="67AECD2E"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99</w:t>
            </w:r>
          </w:p>
        </w:tc>
        <w:tc>
          <w:tcPr>
            <w:tcW w:w="688" w:type="dxa"/>
            <w:tcBorders>
              <w:top w:val="nil"/>
              <w:left w:val="nil"/>
              <w:bottom w:val="single" w:sz="4" w:space="0" w:color="auto"/>
              <w:right w:val="single" w:sz="4" w:space="0" w:color="auto"/>
            </w:tcBorders>
            <w:shd w:val="clear" w:color="auto" w:fill="auto"/>
            <w:noWrap/>
            <w:vAlign w:val="center"/>
            <w:hideMark/>
          </w:tcPr>
          <w:p w14:paraId="38025EAA"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670" w:type="dxa"/>
            <w:tcBorders>
              <w:top w:val="nil"/>
              <w:left w:val="nil"/>
              <w:bottom w:val="single" w:sz="4" w:space="0" w:color="auto"/>
              <w:right w:val="single" w:sz="4" w:space="0" w:color="auto"/>
            </w:tcBorders>
            <w:shd w:val="clear" w:color="auto" w:fill="auto"/>
            <w:noWrap/>
            <w:vAlign w:val="center"/>
            <w:hideMark/>
          </w:tcPr>
          <w:p w14:paraId="4DF66A63"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w:t>
            </w:r>
          </w:p>
        </w:tc>
        <w:tc>
          <w:tcPr>
            <w:tcW w:w="820" w:type="dxa"/>
            <w:tcBorders>
              <w:top w:val="nil"/>
              <w:left w:val="nil"/>
              <w:bottom w:val="single" w:sz="4" w:space="0" w:color="auto"/>
              <w:right w:val="single" w:sz="4" w:space="0" w:color="auto"/>
            </w:tcBorders>
            <w:shd w:val="clear" w:color="auto" w:fill="auto"/>
            <w:noWrap/>
            <w:vAlign w:val="center"/>
            <w:hideMark/>
          </w:tcPr>
          <w:p w14:paraId="015C2E83"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2</w:t>
            </w:r>
          </w:p>
        </w:tc>
        <w:tc>
          <w:tcPr>
            <w:tcW w:w="654" w:type="dxa"/>
            <w:tcBorders>
              <w:top w:val="nil"/>
              <w:left w:val="nil"/>
              <w:bottom w:val="single" w:sz="4" w:space="0" w:color="auto"/>
              <w:right w:val="single" w:sz="4" w:space="0" w:color="auto"/>
            </w:tcBorders>
            <w:shd w:val="clear" w:color="auto" w:fill="auto"/>
            <w:noWrap/>
            <w:vAlign w:val="center"/>
            <w:hideMark/>
          </w:tcPr>
          <w:p w14:paraId="48710333"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32948A6E"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14</w:t>
            </w:r>
          </w:p>
        </w:tc>
        <w:tc>
          <w:tcPr>
            <w:tcW w:w="690" w:type="dxa"/>
            <w:tcBorders>
              <w:top w:val="nil"/>
              <w:left w:val="nil"/>
              <w:bottom w:val="single" w:sz="4" w:space="0" w:color="auto"/>
              <w:right w:val="single" w:sz="4" w:space="0" w:color="auto"/>
            </w:tcBorders>
            <w:shd w:val="clear" w:color="auto" w:fill="auto"/>
            <w:noWrap/>
            <w:vAlign w:val="center"/>
            <w:hideMark/>
          </w:tcPr>
          <w:p w14:paraId="078F672B"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9</w:t>
            </w:r>
          </w:p>
        </w:tc>
        <w:tc>
          <w:tcPr>
            <w:tcW w:w="761" w:type="dxa"/>
            <w:tcBorders>
              <w:top w:val="nil"/>
              <w:left w:val="nil"/>
              <w:bottom w:val="single" w:sz="4" w:space="0" w:color="auto"/>
              <w:right w:val="single" w:sz="4" w:space="0" w:color="auto"/>
            </w:tcBorders>
            <w:shd w:val="clear" w:color="auto" w:fill="auto"/>
            <w:noWrap/>
            <w:vAlign w:val="center"/>
            <w:hideMark/>
          </w:tcPr>
          <w:p w14:paraId="2375A1DB"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72CF221A"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380</w:t>
            </w:r>
          </w:p>
        </w:tc>
      </w:tr>
      <w:tr w:rsidR="000C1458" w:rsidRPr="005E2831" w14:paraId="4E5A9E07" w14:textId="77777777" w:rsidTr="0025528B">
        <w:trPr>
          <w:trHeight w:val="525"/>
        </w:trPr>
        <w:tc>
          <w:tcPr>
            <w:tcW w:w="845" w:type="dxa"/>
            <w:vMerge/>
            <w:tcBorders>
              <w:top w:val="single" w:sz="4" w:space="0" w:color="auto"/>
              <w:left w:val="single" w:sz="4" w:space="0" w:color="auto"/>
              <w:bottom w:val="nil"/>
              <w:right w:val="single" w:sz="4" w:space="0" w:color="auto"/>
            </w:tcBorders>
            <w:vAlign w:val="center"/>
            <w:hideMark/>
          </w:tcPr>
          <w:p w14:paraId="5E4DD44B"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1985" w:type="dxa"/>
            <w:tcBorders>
              <w:top w:val="nil"/>
              <w:left w:val="nil"/>
              <w:bottom w:val="single" w:sz="4" w:space="0" w:color="auto"/>
              <w:right w:val="single" w:sz="4" w:space="0" w:color="auto"/>
            </w:tcBorders>
            <w:shd w:val="clear" w:color="000000" w:fill="FF0000"/>
            <w:vAlign w:val="center"/>
            <w:hideMark/>
          </w:tcPr>
          <w:p w14:paraId="6AD6244D"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Poniżej dobrego</w:t>
            </w:r>
          </w:p>
        </w:tc>
        <w:tc>
          <w:tcPr>
            <w:tcW w:w="601" w:type="dxa"/>
            <w:tcBorders>
              <w:top w:val="nil"/>
              <w:left w:val="nil"/>
              <w:bottom w:val="single" w:sz="4" w:space="0" w:color="auto"/>
              <w:right w:val="single" w:sz="4" w:space="0" w:color="auto"/>
            </w:tcBorders>
            <w:shd w:val="clear" w:color="auto" w:fill="auto"/>
            <w:noWrap/>
            <w:vAlign w:val="center"/>
            <w:hideMark/>
          </w:tcPr>
          <w:p w14:paraId="343B7CC2"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1736</w:t>
            </w:r>
          </w:p>
        </w:tc>
        <w:tc>
          <w:tcPr>
            <w:tcW w:w="654" w:type="dxa"/>
            <w:tcBorders>
              <w:top w:val="nil"/>
              <w:left w:val="nil"/>
              <w:bottom w:val="single" w:sz="4" w:space="0" w:color="auto"/>
              <w:right w:val="single" w:sz="4" w:space="0" w:color="auto"/>
            </w:tcBorders>
            <w:shd w:val="clear" w:color="auto" w:fill="auto"/>
            <w:noWrap/>
            <w:vAlign w:val="center"/>
            <w:hideMark/>
          </w:tcPr>
          <w:p w14:paraId="692DEFC6"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1142</w:t>
            </w:r>
          </w:p>
        </w:tc>
        <w:tc>
          <w:tcPr>
            <w:tcW w:w="688" w:type="dxa"/>
            <w:tcBorders>
              <w:top w:val="nil"/>
              <w:left w:val="nil"/>
              <w:bottom w:val="single" w:sz="4" w:space="0" w:color="auto"/>
              <w:right w:val="single" w:sz="4" w:space="0" w:color="auto"/>
            </w:tcBorders>
            <w:shd w:val="clear" w:color="auto" w:fill="auto"/>
            <w:noWrap/>
            <w:vAlign w:val="center"/>
            <w:hideMark/>
          </w:tcPr>
          <w:p w14:paraId="22545BD8"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w:t>
            </w:r>
          </w:p>
        </w:tc>
        <w:tc>
          <w:tcPr>
            <w:tcW w:w="670" w:type="dxa"/>
            <w:tcBorders>
              <w:top w:val="nil"/>
              <w:left w:val="nil"/>
              <w:bottom w:val="single" w:sz="4" w:space="0" w:color="auto"/>
              <w:right w:val="single" w:sz="4" w:space="0" w:color="auto"/>
            </w:tcBorders>
            <w:shd w:val="clear" w:color="auto" w:fill="auto"/>
            <w:noWrap/>
            <w:vAlign w:val="center"/>
            <w:hideMark/>
          </w:tcPr>
          <w:p w14:paraId="195429F0"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5</w:t>
            </w:r>
          </w:p>
        </w:tc>
        <w:tc>
          <w:tcPr>
            <w:tcW w:w="820" w:type="dxa"/>
            <w:tcBorders>
              <w:top w:val="nil"/>
              <w:left w:val="nil"/>
              <w:bottom w:val="single" w:sz="4" w:space="0" w:color="auto"/>
              <w:right w:val="single" w:sz="4" w:space="0" w:color="auto"/>
            </w:tcBorders>
            <w:shd w:val="clear" w:color="auto" w:fill="auto"/>
            <w:noWrap/>
            <w:vAlign w:val="center"/>
            <w:hideMark/>
          </w:tcPr>
          <w:p w14:paraId="4CD9A611"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3</w:t>
            </w:r>
          </w:p>
        </w:tc>
        <w:tc>
          <w:tcPr>
            <w:tcW w:w="654" w:type="dxa"/>
            <w:tcBorders>
              <w:top w:val="nil"/>
              <w:left w:val="nil"/>
              <w:bottom w:val="single" w:sz="4" w:space="0" w:color="auto"/>
              <w:right w:val="single" w:sz="4" w:space="0" w:color="auto"/>
            </w:tcBorders>
            <w:shd w:val="clear" w:color="auto" w:fill="auto"/>
            <w:noWrap/>
            <w:vAlign w:val="center"/>
            <w:hideMark/>
          </w:tcPr>
          <w:p w14:paraId="54C4B7C3"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8</w:t>
            </w:r>
          </w:p>
        </w:tc>
        <w:tc>
          <w:tcPr>
            <w:tcW w:w="710" w:type="dxa"/>
            <w:tcBorders>
              <w:top w:val="nil"/>
              <w:left w:val="nil"/>
              <w:bottom w:val="single" w:sz="4" w:space="0" w:color="auto"/>
              <w:right w:val="single" w:sz="4" w:space="0" w:color="auto"/>
            </w:tcBorders>
            <w:shd w:val="clear" w:color="auto" w:fill="auto"/>
            <w:noWrap/>
            <w:vAlign w:val="center"/>
            <w:hideMark/>
          </w:tcPr>
          <w:p w14:paraId="19CA88A9"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25</w:t>
            </w:r>
          </w:p>
        </w:tc>
        <w:tc>
          <w:tcPr>
            <w:tcW w:w="690" w:type="dxa"/>
            <w:tcBorders>
              <w:top w:val="nil"/>
              <w:left w:val="nil"/>
              <w:bottom w:val="single" w:sz="4" w:space="0" w:color="auto"/>
              <w:right w:val="single" w:sz="4" w:space="0" w:color="auto"/>
            </w:tcBorders>
            <w:shd w:val="clear" w:color="auto" w:fill="auto"/>
            <w:noWrap/>
            <w:vAlign w:val="center"/>
            <w:hideMark/>
          </w:tcPr>
          <w:p w14:paraId="09E9868D"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73</w:t>
            </w:r>
          </w:p>
        </w:tc>
        <w:tc>
          <w:tcPr>
            <w:tcW w:w="761" w:type="dxa"/>
            <w:tcBorders>
              <w:top w:val="nil"/>
              <w:left w:val="nil"/>
              <w:bottom w:val="single" w:sz="4" w:space="0" w:color="auto"/>
              <w:right w:val="single" w:sz="4" w:space="0" w:color="auto"/>
            </w:tcBorders>
            <w:shd w:val="clear" w:color="auto" w:fill="auto"/>
            <w:noWrap/>
            <w:vAlign w:val="center"/>
            <w:hideMark/>
          </w:tcPr>
          <w:p w14:paraId="5EDB89D1"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4</w:t>
            </w:r>
          </w:p>
        </w:tc>
        <w:tc>
          <w:tcPr>
            <w:tcW w:w="710" w:type="dxa"/>
            <w:tcBorders>
              <w:top w:val="nil"/>
              <w:left w:val="nil"/>
              <w:bottom w:val="single" w:sz="4" w:space="0" w:color="auto"/>
              <w:right w:val="single" w:sz="4" w:space="0" w:color="auto"/>
            </w:tcBorders>
            <w:shd w:val="clear" w:color="auto" w:fill="auto"/>
            <w:noWrap/>
            <w:vAlign w:val="center"/>
            <w:hideMark/>
          </w:tcPr>
          <w:p w14:paraId="2742F26A"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2997</w:t>
            </w:r>
          </w:p>
        </w:tc>
      </w:tr>
      <w:tr w:rsidR="000C1458" w:rsidRPr="005E2831" w14:paraId="24A62B34" w14:textId="77777777" w:rsidTr="0025528B">
        <w:trPr>
          <w:trHeight w:val="675"/>
        </w:trPr>
        <w:tc>
          <w:tcPr>
            <w:tcW w:w="845" w:type="dxa"/>
            <w:vMerge/>
            <w:tcBorders>
              <w:top w:val="single" w:sz="4" w:space="0" w:color="auto"/>
              <w:left w:val="single" w:sz="4" w:space="0" w:color="auto"/>
              <w:bottom w:val="nil"/>
              <w:right w:val="single" w:sz="4" w:space="0" w:color="auto"/>
            </w:tcBorders>
            <w:vAlign w:val="center"/>
            <w:hideMark/>
          </w:tcPr>
          <w:p w14:paraId="056D645D"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1985" w:type="dxa"/>
            <w:tcBorders>
              <w:top w:val="nil"/>
              <w:left w:val="nil"/>
              <w:bottom w:val="single" w:sz="4" w:space="0" w:color="auto"/>
              <w:right w:val="single" w:sz="4" w:space="0" w:color="auto"/>
            </w:tcBorders>
            <w:shd w:val="clear" w:color="auto" w:fill="auto"/>
            <w:vAlign w:val="center"/>
            <w:hideMark/>
          </w:tcPr>
          <w:p w14:paraId="50AFF3E3"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 xml:space="preserve">Liczba ocenionych </w:t>
            </w:r>
            <w:proofErr w:type="spellStart"/>
            <w:r w:rsidRPr="00105859">
              <w:rPr>
                <w:rFonts w:ascii="Times New Roman" w:eastAsia="Times New Roman" w:hAnsi="Times New Roman" w:cs="Times New Roman"/>
                <w:color w:val="000000"/>
                <w:sz w:val="18"/>
                <w:szCs w:val="18"/>
                <w:lang w:eastAsia="pl-PL"/>
              </w:rPr>
              <w:t>jcwp</w:t>
            </w:r>
            <w:proofErr w:type="spellEnd"/>
          </w:p>
        </w:tc>
        <w:tc>
          <w:tcPr>
            <w:tcW w:w="601" w:type="dxa"/>
            <w:tcBorders>
              <w:top w:val="nil"/>
              <w:left w:val="nil"/>
              <w:bottom w:val="single" w:sz="4" w:space="0" w:color="auto"/>
              <w:right w:val="single" w:sz="4" w:space="0" w:color="auto"/>
            </w:tcBorders>
            <w:shd w:val="clear" w:color="auto" w:fill="auto"/>
            <w:noWrap/>
            <w:vAlign w:val="center"/>
            <w:hideMark/>
          </w:tcPr>
          <w:p w14:paraId="092C3CD6"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1991</w:t>
            </w:r>
          </w:p>
        </w:tc>
        <w:tc>
          <w:tcPr>
            <w:tcW w:w="654" w:type="dxa"/>
            <w:tcBorders>
              <w:top w:val="nil"/>
              <w:left w:val="nil"/>
              <w:bottom w:val="single" w:sz="4" w:space="0" w:color="auto"/>
              <w:right w:val="single" w:sz="4" w:space="0" w:color="auto"/>
            </w:tcBorders>
            <w:shd w:val="clear" w:color="auto" w:fill="auto"/>
            <w:noWrap/>
            <w:vAlign w:val="center"/>
            <w:hideMark/>
          </w:tcPr>
          <w:p w14:paraId="01268A67"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1241</w:t>
            </w:r>
          </w:p>
        </w:tc>
        <w:tc>
          <w:tcPr>
            <w:tcW w:w="688" w:type="dxa"/>
            <w:tcBorders>
              <w:top w:val="nil"/>
              <w:left w:val="nil"/>
              <w:bottom w:val="single" w:sz="4" w:space="0" w:color="auto"/>
              <w:right w:val="single" w:sz="4" w:space="0" w:color="auto"/>
            </w:tcBorders>
            <w:shd w:val="clear" w:color="auto" w:fill="auto"/>
            <w:noWrap/>
            <w:vAlign w:val="center"/>
            <w:hideMark/>
          </w:tcPr>
          <w:p w14:paraId="3E984EC9"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w:t>
            </w:r>
          </w:p>
        </w:tc>
        <w:tc>
          <w:tcPr>
            <w:tcW w:w="670" w:type="dxa"/>
            <w:tcBorders>
              <w:top w:val="nil"/>
              <w:left w:val="nil"/>
              <w:bottom w:val="single" w:sz="4" w:space="0" w:color="auto"/>
              <w:right w:val="single" w:sz="4" w:space="0" w:color="auto"/>
            </w:tcBorders>
            <w:shd w:val="clear" w:color="auto" w:fill="auto"/>
            <w:noWrap/>
            <w:vAlign w:val="center"/>
            <w:hideMark/>
          </w:tcPr>
          <w:p w14:paraId="741345CA"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6</w:t>
            </w:r>
          </w:p>
        </w:tc>
        <w:tc>
          <w:tcPr>
            <w:tcW w:w="820" w:type="dxa"/>
            <w:tcBorders>
              <w:top w:val="nil"/>
              <w:left w:val="nil"/>
              <w:bottom w:val="single" w:sz="4" w:space="0" w:color="auto"/>
              <w:right w:val="single" w:sz="4" w:space="0" w:color="auto"/>
            </w:tcBorders>
            <w:shd w:val="clear" w:color="auto" w:fill="auto"/>
            <w:noWrap/>
            <w:vAlign w:val="center"/>
            <w:hideMark/>
          </w:tcPr>
          <w:p w14:paraId="22695AB5"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5</w:t>
            </w:r>
          </w:p>
        </w:tc>
        <w:tc>
          <w:tcPr>
            <w:tcW w:w="654" w:type="dxa"/>
            <w:tcBorders>
              <w:top w:val="nil"/>
              <w:left w:val="nil"/>
              <w:bottom w:val="single" w:sz="4" w:space="0" w:color="auto"/>
              <w:right w:val="single" w:sz="4" w:space="0" w:color="auto"/>
            </w:tcBorders>
            <w:shd w:val="clear" w:color="auto" w:fill="auto"/>
            <w:noWrap/>
            <w:vAlign w:val="center"/>
            <w:hideMark/>
          </w:tcPr>
          <w:p w14:paraId="3EC9A334"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8</w:t>
            </w:r>
          </w:p>
        </w:tc>
        <w:tc>
          <w:tcPr>
            <w:tcW w:w="710" w:type="dxa"/>
            <w:tcBorders>
              <w:top w:val="nil"/>
              <w:left w:val="nil"/>
              <w:bottom w:val="single" w:sz="4" w:space="0" w:color="auto"/>
              <w:right w:val="single" w:sz="4" w:space="0" w:color="auto"/>
            </w:tcBorders>
            <w:shd w:val="clear" w:color="auto" w:fill="auto"/>
            <w:noWrap/>
            <w:vAlign w:val="center"/>
            <w:hideMark/>
          </w:tcPr>
          <w:p w14:paraId="5886C660"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39</w:t>
            </w:r>
          </w:p>
        </w:tc>
        <w:tc>
          <w:tcPr>
            <w:tcW w:w="690" w:type="dxa"/>
            <w:tcBorders>
              <w:top w:val="nil"/>
              <w:left w:val="nil"/>
              <w:bottom w:val="single" w:sz="4" w:space="0" w:color="auto"/>
              <w:right w:val="single" w:sz="4" w:space="0" w:color="auto"/>
            </w:tcBorders>
            <w:shd w:val="clear" w:color="auto" w:fill="auto"/>
            <w:noWrap/>
            <w:vAlign w:val="center"/>
            <w:hideMark/>
          </w:tcPr>
          <w:p w14:paraId="45752B77"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82</w:t>
            </w:r>
          </w:p>
        </w:tc>
        <w:tc>
          <w:tcPr>
            <w:tcW w:w="761" w:type="dxa"/>
            <w:tcBorders>
              <w:top w:val="nil"/>
              <w:left w:val="nil"/>
              <w:bottom w:val="single" w:sz="4" w:space="0" w:color="auto"/>
              <w:right w:val="single" w:sz="4" w:space="0" w:color="auto"/>
            </w:tcBorders>
            <w:shd w:val="clear" w:color="auto" w:fill="auto"/>
            <w:noWrap/>
            <w:vAlign w:val="center"/>
            <w:hideMark/>
          </w:tcPr>
          <w:p w14:paraId="3B113EDC"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4</w:t>
            </w:r>
          </w:p>
        </w:tc>
        <w:tc>
          <w:tcPr>
            <w:tcW w:w="710" w:type="dxa"/>
            <w:tcBorders>
              <w:top w:val="nil"/>
              <w:left w:val="nil"/>
              <w:bottom w:val="single" w:sz="4" w:space="0" w:color="auto"/>
              <w:right w:val="single" w:sz="4" w:space="0" w:color="auto"/>
            </w:tcBorders>
            <w:shd w:val="clear" w:color="auto" w:fill="auto"/>
            <w:noWrap/>
            <w:vAlign w:val="center"/>
            <w:hideMark/>
          </w:tcPr>
          <w:p w14:paraId="1FA55477"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3377</w:t>
            </w:r>
          </w:p>
        </w:tc>
      </w:tr>
      <w:tr w:rsidR="000C1458" w:rsidRPr="005E2831" w14:paraId="1148C9F6" w14:textId="77777777" w:rsidTr="0025528B">
        <w:trPr>
          <w:trHeight w:val="300"/>
        </w:trPr>
        <w:tc>
          <w:tcPr>
            <w:tcW w:w="845"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15D438CB"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Ocena</w:t>
            </w:r>
            <w:r w:rsidRPr="00105859">
              <w:rPr>
                <w:rFonts w:ascii="Times New Roman" w:eastAsia="Times New Roman" w:hAnsi="Times New Roman" w:cs="Times New Roman"/>
                <w:color w:val="000000"/>
                <w:sz w:val="18"/>
                <w:szCs w:val="18"/>
                <w:lang w:eastAsia="pl-PL"/>
              </w:rPr>
              <w:br/>
              <w:t>stanu</w:t>
            </w:r>
          </w:p>
        </w:tc>
        <w:tc>
          <w:tcPr>
            <w:tcW w:w="1985" w:type="dxa"/>
            <w:tcBorders>
              <w:top w:val="nil"/>
              <w:left w:val="nil"/>
              <w:bottom w:val="single" w:sz="4" w:space="0" w:color="auto"/>
              <w:right w:val="single" w:sz="4" w:space="0" w:color="auto"/>
            </w:tcBorders>
            <w:shd w:val="clear" w:color="000000" w:fill="00B0F0"/>
            <w:vAlign w:val="center"/>
            <w:hideMark/>
          </w:tcPr>
          <w:p w14:paraId="0993817E"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Dobry</w:t>
            </w:r>
          </w:p>
        </w:tc>
        <w:tc>
          <w:tcPr>
            <w:tcW w:w="601" w:type="dxa"/>
            <w:tcBorders>
              <w:top w:val="nil"/>
              <w:left w:val="nil"/>
              <w:bottom w:val="single" w:sz="4" w:space="0" w:color="auto"/>
              <w:right w:val="single" w:sz="4" w:space="0" w:color="auto"/>
            </w:tcBorders>
            <w:shd w:val="clear" w:color="auto" w:fill="auto"/>
            <w:noWrap/>
            <w:vAlign w:val="center"/>
            <w:hideMark/>
          </w:tcPr>
          <w:p w14:paraId="7ADB65A8"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17</w:t>
            </w:r>
          </w:p>
        </w:tc>
        <w:tc>
          <w:tcPr>
            <w:tcW w:w="654" w:type="dxa"/>
            <w:tcBorders>
              <w:top w:val="nil"/>
              <w:left w:val="nil"/>
              <w:bottom w:val="single" w:sz="4" w:space="0" w:color="auto"/>
              <w:right w:val="single" w:sz="4" w:space="0" w:color="auto"/>
            </w:tcBorders>
            <w:shd w:val="clear" w:color="auto" w:fill="auto"/>
            <w:noWrap/>
            <w:vAlign w:val="center"/>
            <w:hideMark/>
          </w:tcPr>
          <w:p w14:paraId="4DD7E8A6"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3</w:t>
            </w:r>
          </w:p>
        </w:tc>
        <w:tc>
          <w:tcPr>
            <w:tcW w:w="688" w:type="dxa"/>
            <w:tcBorders>
              <w:top w:val="nil"/>
              <w:left w:val="nil"/>
              <w:bottom w:val="single" w:sz="4" w:space="0" w:color="auto"/>
              <w:right w:val="single" w:sz="4" w:space="0" w:color="auto"/>
            </w:tcBorders>
            <w:shd w:val="clear" w:color="auto" w:fill="auto"/>
            <w:noWrap/>
            <w:vAlign w:val="center"/>
            <w:hideMark/>
          </w:tcPr>
          <w:p w14:paraId="6F0503A4"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670" w:type="dxa"/>
            <w:tcBorders>
              <w:top w:val="nil"/>
              <w:left w:val="nil"/>
              <w:bottom w:val="single" w:sz="4" w:space="0" w:color="auto"/>
              <w:right w:val="single" w:sz="4" w:space="0" w:color="auto"/>
            </w:tcBorders>
            <w:shd w:val="clear" w:color="auto" w:fill="auto"/>
            <w:noWrap/>
            <w:vAlign w:val="center"/>
            <w:hideMark/>
          </w:tcPr>
          <w:p w14:paraId="2E699487"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820" w:type="dxa"/>
            <w:tcBorders>
              <w:top w:val="nil"/>
              <w:left w:val="nil"/>
              <w:bottom w:val="single" w:sz="4" w:space="0" w:color="auto"/>
              <w:right w:val="single" w:sz="4" w:space="0" w:color="auto"/>
            </w:tcBorders>
            <w:shd w:val="clear" w:color="auto" w:fill="auto"/>
            <w:noWrap/>
            <w:vAlign w:val="center"/>
            <w:hideMark/>
          </w:tcPr>
          <w:p w14:paraId="2373D2E4"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654" w:type="dxa"/>
            <w:tcBorders>
              <w:top w:val="nil"/>
              <w:left w:val="nil"/>
              <w:bottom w:val="single" w:sz="4" w:space="0" w:color="auto"/>
              <w:right w:val="single" w:sz="4" w:space="0" w:color="auto"/>
            </w:tcBorders>
            <w:shd w:val="clear" w:color="auto" w:fill="auto"/>
            <w:noWrap/>
            <w:vAlign w:val="center"/>
            <w:hideMark/>
          </w:tcPr>
          <w:p w14:paraId="2D6E321F"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77859910"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2</w:t>
            </w:r>
          </w:p>
        </w:tc>
        <w:tc>
          <w:tcPr>
            <w:tcW w:w="690" w:type="dxa"/>
            <w:tcBorders>
              <w:top w:val="nil"/>
              <w:left w:val="nil"/>
              <w:bottom w:val="single" w:sz="4" w:space="0" w:color="auto"/>
              <w:right w:val="single" w:sz="4" w:space="0" w:color="auto"/>
            </w:tcBorders>
            <w:shd w:val="clear" w:color="auto" w:fill="auto"/>
            <w:noWrap/>
            <w:vAlign w:val="center"/>
            <w:hideMark/>
          </w:tcPr>
          <w:p w14:paraId="5B4DF7CB"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761" w:type="dxa"/>
            <w:tcBorders>
              <w:top w:val="nil"/>
              <w:left w:val="nil"/>
              <w:bottom w:val="single" w:sz="4" w:space="0" w:color="auto"/>
              <w:right w:val="single" w:sz="4" w:space="0" w:color="auto"/>
            </w:tcBorders>
            <w:shd w:val="clear" w:color="auto" w:fill="auto"/>
            <w:noWrap/>
            <w:vAlign w:val="center"/>
            <w:hideMark/>
          </w:tcPr>
          <w:p w14:paraId="5927FFAF"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0</w:t>
            </w:r>
          </w:p>
        </w:tc>
        <w:tc>
          <w:tcPr>
            <w:tcW w:w="710" w:type="dxa"/>
            <w:tcBorders>
              <w:top w:val="nil"/>
              <w:left w:val="nil"/>
              <w:bottom w:val="single" w:sz="4" w:space="0" w:color="auto"/>
              <w:right w:val="single" w:sz="4" w:space="0" w:color="auto"/>
            </w:tcBorders>
            <w:shd w:val="clear" w:color="auto" w:fill="auto"/>
            <w:noWrap/>
            <w:vAlign w:val="center"/>
            <w:hideMark/>
          </w:tcPr>
          <w:p w14:paraId="6E88CDB7"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22</w:t>
            </w:r>
          </w:p>
        </w:tc>
      </w:tr>
      <w:tr w:rsidR="000C1458" w:rsidRPr="005E2831" w14:paraId="2649F034" w14:textId="77777777" w:rsidTr="0025528B">
        <w:trPr>
          <w:trHeight w:val="300"/>
        </w:trPr>
        <w:tc>
          <w:tcPr>
            <w:tcW w:w="845" w:type="dxa"/>
            <w:vMerge/>
            <w:tcBorders>
              <w:top w:val="single" w:sz="4" w:space="0" w:color="auto"/>
              <w:left w:val="single" w:sz="4" w:space="0" w:color="auto"/>
              <w:bottom w:val="single" w:sz="4" w:space="0" w:color="auto"/>
              <w:right w:val="single" w:sz="4" w:space="0" w:color="auto"/>
            </w:tcBorders>
            <w:vAlign w:val="center"/>
            <w:hideMark/>
          </w:tcPr>
          <w:p w14:paraId="3078AC2C"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1985" w:type="dxa"/>
            <w:tcBorders>
              <w:top w:val="nil"/>
              <w:left w:val="nil"/>
              <w:bottom w:val="single" w:sz="4" w:space="0" w:color="auto"/>
              <w:right w:val="single" w:sz="4" w:space="0" w:color="auto"/>
            </w:tcBorders>
            <w:shd w:val="clear" w:color="000000" w:fill="FF0000"/>
            <w:vAlign w:val="center"/>
            <w:hideMark/>
          </w:tcPr>
          <w:p w14:paraId="2071EA9B"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Zły</w:t>
            </w:r>
          </w:p>
        </w:tc>
        <w:tc>
          <w:tcPr>
            <w:tcW w:w="601" w:type="dxa"/>
            <w:tcBorders>
              <w:top w:val="nil"/>
              <w:left w:val="nil"/>
              <w:bottom w:val="single" w:sz="4" w:space="0" w:color="auto"/>
              <w:right w:val="single" w:sz="4" w:space="0" w:color="auto"/>
            </w:tcBorders>
            <w:shd w:val="clear" w:color="auto" w:fill="auto"/>
            <w:noWrap/>
            <w:vAlign w:val="center"/>
            <w:hideMark/>
          </w:tcPr>
          <w:p w14:paraId="4D41EEE2"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2644</w:t>
            </w:r>
          </w:p>
        </w:tc>
        <w:tc>
          <w:tcPr>
            <w:tcW w:w="654" w:type="dxa"/>
            <w:tcBorders>
              <w:top w:val="nil"/>
              <w:left w:val="nil"/>
              <w:bottom w:val="single" w:sz="4" w:space="0" w:color="auto"/>
              <w:right w:val="single" w:sz="4" w:space="0" w:color="auto"/>
            </w:tcBorders>
            <w:shd w:val="clear" w:color="auto" w:fill="auto"/>
            <w:noWrap/>
            <w:vAlign w:val="center"/>
            <w:hideMark/>
          </w:tcPr>
          <w:p w14:paraId="7576453E"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1731</w:t>
            </w:r>
          </w:p>
        </w:tc>
        <w:tc>
          <w:tcPr>
            <w:tcW w:w="688" w:type="dxa"/>
            <w:tcBorders>
              <w:top w:val="nil"/>
              <w:left w:val="nil"/>
              <w:bottom w:val="single" w:sz="4" w:space="0" w:color="auto"/>
              <w:right w:val="single" w:sz="4" w:space="0" w:color="auto"/>
            </w:tcBorders>
            <w:shd w:val="clear" w:color="auto" w:fill="auto"/>
            <w:noWrap/>
            <w:vAlign w:val="center"/>
            <w:hideMark/>
          </w:tcPr>
          <w:p w14:paraId="554B4000"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3</w:t>
            </w:r>
          </w:p>
        </w:tc>
        <w:tc>
          <w:tcPr>
            <w:tcW w:w="670" w:type="dxa"/>
            <w:tcBorders>
              <w:top w:val="nil"/>
              <w:left w:val="nil"/>
              <w:bottom w:val="single" w:sz="4" w:space="0" w:color="auto"/>
              <w:right w:val="single" w:sz="4" w:space="0" w:color="auto"/>
            </w:tcBorders>
            <w:shd w:val="clear" w:color="auto" w:fill="auto"/>
            <w:noWrap/>
            <w:vAlign w:val="center"/>
            <w:hideMark/>
          </w:tcPr>
          <w:p w14:paraId="42E3302B"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11</w:t>
            </w:r>
          </w:p>
        </w:tc>
        <w:tc>
          <w:tcPr>
            <w:tcW w:w="820" w:type="dxa"/>
            <w:tcBorders>
              <w:top w:val="nil"/>
              <w:left w:val="nil"/>
              <w:bottom w:val="single" w:sz="4" w:space="0" w:color="auto"/>
              <w:right w:val="single" w:sz="4" w:space="0" w:color="auto"/>
            </w:tcBorders>
            <w:shd w:val="clear" w:color="auto" w:fill="auto"/>
            <w:noWrap/>
            <w:vAlign w:val="center"/>
            <w:hideMark/>
          </w:tcPr>
          <w:p w14:paraId="20BBB83E"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5</w:t>
            </w:r>
          </w:p>
        </w:tc>
        <w:tc>
          <w:tcPr>
            <w:tcW w:w="654" w:type="dxa"/>
            <w:tcBorders>
              <w:top w:val="nil"/>
              <w:left w:val="nil"/>
              <w:bottom w:val="single" w:sz="4" w:space="0" w:color="auto"/>
              <w:right w:val="single" w:sz="4" w:space="0" w:color="auto"/>
            </w:tcBorders>
            <w:shd w:val="clear" w:color="auto" w:fill="auto"/>
            <w:noWrap/>
            <w:vAlign w:val="center"/>
            <w:hideMark/>
          </w:tcPr>
          <w:p w14:paraId="5C97D519"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8</w:t>
            </w:r>
          </w:p>
        </w:tc>
        <w:tc>
          <w:tcPr>
            <w:tcW w:w="710" w:type="dxa"/>
            <w:tcBorders>
              <w:top w:val="nil"/>
              <w:left w:val="nil"/>
              <w:bottom w:val="single" w:sz="4" w:space="0" w:color="auto"/>
              <w:right w:val="single" w:sz="4" w:space="0" w:color="auto"/>
            </w:tcBorders>
            <w:shd w:val="clear" w:color="auto" w:fill="auto"/>
            <w:noWrap/>
            <w:vAlign w:val="center"/>
            <w:hideMark/>
          </w:tcPr>
          <w:p w14:paraId="47D71139"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37</w:t>
            </w:r>
          </w:p>
        </w:tc>
        <w:tc>
          <w:tcPr>
            <w:tcW w:w="690" w:type="dxa"/>
            <w:tcBorders>
              <w:top w:val="nil"/>
              <w:left w:val="nil"/>
              <w:bottom w:val="single" w:sz="4" w:space="0" w:color="auto"/>
              <w:right w:val="single" w:sz="4" w:space="0" w:color="auto"/>
            </w:tcBorders>
            <w:shd w:val="clear" w:color="auto" w:fill="auto"/>
            <w:noWrap/>
            <w:vAlign w:val="center"/>
            <w:hideMark/>
          </w:tcPr>
          <w:p w14:paraId="20BC9C30"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120</w:t>
            </w:r>
          </w:p>
        </w:tc>
        <w:tc>
          <w:tcPr>
            <w:tcW w:w="761" w:type="dxa"/>
            <w:tcBorders>
              <w:top w:val="nil"/>
              <w:left w:val="nil"/>
              <w:bottom w:val="single" w:sz="4" w:space="0" w:color="auto"/>
              <w:right w:val="single" w:sz="4" w:space="0" w:color="auto"/>
            </w:tcBorders>
            <w:shd w:val="clear" w:color="auto" w:fill="auto"/>
            <w:noWrap/>
            <w:vAlign w:val="center"/>
            <w:hideMark/>
          </w:tcPr>
          <w:p w14:paraId="7EC0A72A"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4</w:t>
            </w:r>
          </w:p>
        </w:tc>
        <w:tc>
          <w:tcPr>
            <w:tcW w:w="710" w:type="dxa"/>
            <w:tcBorders>
              <w:top w:val="nil"/>
              <w:left w:val="nil"/>
              <w:bottom w:val="single" w:sz="4" w:space="0" w:color="auto"/>
              <w:right w:val="single" w:sz="4" w:space="0" w:color="auto"/>
            </w:tcBorders>
            <w:shd w:val="clear" w:color="auto" w:fill="auto"/>
            <w:noWrap/>
            <w:vAlign w:val="center"/>
            <w:hideMark/>
          </w:tcPr>
          <w:p w14:paraId="3FD9EC45"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4563</w:t>
            </w:r>
          </w:p>
        </w:tc>
      </w:tr>
      <w:tr w:rsidR="000C1458" w:rsidRPr="005E2831" w14:paraId="702EA14C" w14:textId="77777777" w:rsidTr="0025528B">
        <w:trPr>
          <w:trHeight w:val="630"/>
        </w:trPr>
        <w:tc>
          <w:tcPr>
            <w:tcW w:w="845" w:type="dxa"/>
            <w:vMerge/>
            <w:tcBorders>
              <w:top w:val="single" w:sz="4" w:space="0" w:color="auto"/>
              <w:left w:val="single" w:sz="4" w:space="0" w:color="auto"/>
              <w:bottom w:val="single" w:sz="4" w:space="0" w:color="auto"/>
              <w:right w:val="single" w:sz="4" w:space="0" w:color="auto"/>
            </w:tcBorders>
            <w:vAlign w:val="center"/>
            <w:hideMark/>
          </w:tcPr>
          <w:p w14:paraId="7D90CC42"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p>
        </w:tc>
        <w:tc>
          <w:tcPr>
            <w:tcW w:w="1985" w:type="dxa"/>
            <w:tcBorders>
              <w:top w:val="nil"/>
              <w:left w:val="nil"/>
              <w:bottom w:val="single" w:sz="4" w:space="0" w:color="auto"/>
              <w:right w:val="single" w:sz="4" w:space="0" w:color="auto"/>
            </w:tcBorders>
            <w:shd w:val="clear" w:color="auto" w:fill="auto"/>
            <w:vAlign w:val="center"/>
            <w:hideMark/>
          </w:tcPr>
          <w:p w14:paraId="36F90A38"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 xml:space="preserve">Liczba ocenionych </w:t>
            </w:r>
            <w:proofErr w:type="spellStart"/>
            <w:r w:rsidRPr="00105859">
              <w:rPr>
                <w:rFonts w:ascii="Times New Roman" w:eastAsia="Times New Roman" w:hAnsi="Times New Roman" w:cs="Times New Roman"/>
                <w:color w:val="000000"/>
                <w:sz w:val="18"/>
                <w:szCs w:val="18"/>
                <w:lang w:eastAsia="pl-PL"/>
              </w:rPr>
              <w:t>jcwp</w:t>
            </w:r>
            <w:proofErr w:type="spellEnd"/>
          </w:p>
        </w:tc>
        <w:tc>
          <w:tcPr>
            <w:tcW w:w="601" w:type="dxa"/>
            <w:tcBorders>
              <w:top w:val="nil"/>
              <w:left w:val="nil"/>
              <w:bottom w:val="single" w:sz="4" w:space="0" w:color="auto"/>
              <w:right w:val="single" w:sz="4" w:space="0" w:color="auto"/>
            </w:tcBorders>
            <w:shd w:val="clear" w:color="auto" w:fill="auto"/>
            <w:noWrap/>
            <w:vAlign w:val="center"/>
            <w:hideMark/>
          </w:tcPr>
          <w:p w14:paraId="0B09E522"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2661</w:t>
            </w:r>
          </w:p>
        </w:tc>
        <w:tc>
          <w:tcPr>
            <w:tcW w:w="654" w:type="dxa"/>
            <w:tcBorders>
              <w:top w:val="nil"/>
              <w:left w:val="nil"/>
              <w:bottom w:val="single" w:sz="4" w:space="0" w:color="auto"/>
              <w:right w:val="single" w:sz="4" w:space="0" w:color="auto"/>
            </w:tcBorders>
            <w:shd w:val="clear" w:color="auto" w:fill="auto"/>
            <w:noWrap/>
            <w:vAlign w:val="center"/>
            <w:hideMark/>
          </w:tcPr>
          <w:p w14:paraId="15A7F437"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1734</w:t>
            </w:r>
          </w:p>
        </w:tc>
        <w:tc>
          <w:tcPr>
            <w:tcW w:w="688" w:type="dxa"/>
            <w:tcBorders>
              <w:top w:val="nil"/>
              <w:left w:val="nil"/>
              <w:bottom w:val="single" w:sz="4" w:space="0" w:color="auto"/>
              <w:right w:val="single" w:sz="4" w:space="0" w:color="auto"/>
            </w:tcBorders>
            <w:shd w:val="clear" w:color="auto" w:fill="auto"/>
            <w:noWrap/>
            <w:vAlign w:val="center"/>
            <w:hideMark/>
          </w:tcPr>
          <w:p w14:paraId="6750918F"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3</w:t>
            </w:r>
          </w:p>
        </w:tc>
        <w:tc>
          <w:tcPr>
            <w:tcW w:w="670" w:type="dxa"/>
            <w:tcBorders>
              <w:top w:val="nil"/>
              <w:left w:val="nil"/>
              <w:bottom w:val="single" w:sz="4" w:space="0" w:color="auto"/>
              <w:right w:val="single" w:sz="4" w:space="0" w:color="auto"/>
            </w:tcBorders>
            <w:shd w:val="clear" w:color="auto" w:fill="auto"/>
            <w:noWrap/>
            <w:vAlign w:val="center"/>
            <w:hideMark/>
          </w:tcPr>
          <w:p w14:paraId="18ED01E7"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11</w:t>
            </w:r>
          </w:p>
        </w:tc>
        <w:tc>
          <w:tcPr>
            <w:tcW w:w="820" w:type="dxa"/>
            <w:tcBorders>
              <w:top w:val="nil"/>
              <w:left w:val="nil"/>
              <w:bottom w:val="single" w:sz="4" w:space="0" w:color="auto"/>
              <w:right w:val="single" w:sz="4" w:space="0" w:color="auto"/>
            </w:tcBorders>
            <w:shd w:val="clear" w:color="auto" w:fill="auto"/>
            <w:noWrap/>
            <w:vAlign w:val="center"/>
            <w:hideMark/>
          </w:tcPr>
          <w:p w14:paraId="576EC46C"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5</w:t>
            </w:r>
          </w:p>
        </w:tc>
        <w:tc>
          <w:tcPr>
            <w:tcW w:w="654" w:type="dxa"/>
            <w:tcBorders>
              <w:top w:val="nil"/>
              <w:left w:val="nil"/>
              <w:bottom w:val="single" w:sz="4" w:space="0" w:color="auto"/>
              <w:right w:val="single" w:sz="4" w:space="0" w:color="auto"/>
            </w:tcBorders>
            <w:shd w:val="clear" w:color="auto" w:fill="auto"/>
            <w:noWrap/>
            <w:vAlign w:val="center"/>
            <w:hideMark/>
          </w:tcPr>
          <w:p w14:paraId="4F724457"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8</w:t>
            </w:r>
          </w:p>
        </w:tc>
        <w:tc>
          <w:tcPr>
            <w:tcW w:w="710" w:type="dxa"/>
            <w:tcBorders>
              <w:top w:val="nil"/>
              <w:left w:val="nil"/>
              <w:bottom w:val="single" w:sz="4" w:space="0" w:color="auto"/>
              <w:right w:val="single" w:sz="4" w:space="0" w:color="auto"/>
            </w:tcBorders>
            <w:shd w:val="clear" w:color="auto" w:fill="auto"/>
            <w:noWrap/>
            <w:vAlign w:val="center"/>
            <w:hideMark/>
          </w:tcPr>
          <w:p w14:paraId="6DB4A707"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39</w:t>
            </w:r>
          </w:p>
        </w:tc>
        <w:tc>
          <w:tcPr>
            <w:tcW w:w="690" w:type="dxa"/>
            <w:tcBorders>
              <w:top w:val="nil"/>
              <w:left w:val="nil"/>
              <w:bottom w:val="single" w:sz="4" w:space="0" w:color="auto"/>
              <w:right w:val="single" w:sz="4" w:space="0" w:color="auto"/>
            </w:tcBorders>
            <w:shd w:val="clear" w:color="auto" w:fill="auto"/>
            <w:noWrap/>
            <w:vAlign w:val="center"/>
            <w:hideMark/>
          </w:tcPr>
          <w:p w14:paraId="4678A730"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120</w:t>
            </w:r>
          </w:p>
        </w:tc>
        <w:tc>
          <w:tcPr>
            <w:tcW w:w="761" w:type="dxa"/>
            <w:tcBorders>
              <w:top w:val="nil"/>
              <w:left w:val="nil"/>
              <w:bottom w:val="single" w:sz="4" w:space="0" w:color="auto"/>
              <w:right w:val="single" w:sz="4" w:space="0" w:color="auto"/>
            </w:tcBorders>
            <w:shd w:val="clear" w:color="auto" w:fill="auto"/>
            <w:noWrap/>
            <w:vAlign w:val="center"/>
            <w:hideMark/>
          </w:tcPr>
          <w:p w14:paraId="1DB2A8CB"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4</w:t>
            </w:r>
          </w:p>
        </w:tc>
        <w:tc>
          <w:tcPr>
            <w:tcW w:w="710" w:type="dxa"/>
            <w:tcBorders>
              <w:top w:val="nil"/>
              <w:left w:val="nil"/>
              <w:bottom w:val="single" w:sz="4" w:space="0" w:color="auto"/>
              <w:right w:val="single" w:sz="4" w:space="0" w:color="auto"/>
            </w:tcBorders>
            <w:shd w:val="clear" w:color="auto" w:fill="auto"/>
            <w:noWrap/>
            <w:vAlign w:val="center"/>
            <w:hideMark/>
          </w:tcPr>
          <w:p w14:paraId="6A022ABE" w14:textId="77777777" w:rsidR="000C1458" w:rsidRPr="00105859" w:rsidRDefault="000C1458" w:rsidP="0025528B">
            <w:pPr>
              <w:spacing w:after="60" w:line="240" w:lineRule="auto"/>
              <w:jc w:val="center"/>
              <w:rPr>
                <w:rFonts w:ascii="Times New Roman" w:eastAsia="Times New Roman" w:hAnsi="Times New Roman" w:cs="Times New Roman"/>
                <w:color w:val="000000"/>
                <w:sz w:val="18"/>
                <w:szCs w:val="18"/>
                <w:lang w:eastAsia="pl-PL"/>
              </w:rPr>
            </w:pPr>
            <w:r w:rsidRPr="00105859">
              <w:rPr>
                <w:rFonts w:ascii="Times New Roman" w:eastAsia="Times New Roman" w:hAnsi="Times New Roman" w:cs="Times New Roman"/>
                <w:color w:val="000000"/>
                <w:sz w:val="18"/>
                <w:szCs w:val="18"/>
                <w:lang w:eastAsia="pl-PL"/>
              </w:rPr>
              <w:t>4585</w:t>
            </w:r>
          </w:p>
        </w:tc>
      </w:tr>
    </w:tbl>
    <w:p w14:paraId="47EEDE7D" w14:textId="77777777" w:rsidR="000C1458" w:rsidRPr="005E2831" w:rsidRDefault="000C1458" w:rsidP="000C1458">
      <w:pPr>
        <w:spacing w:after="60" w:line="300" w:lineRule="atLeast"/>
        <w:jc w:val="both"/>
        <w:rPr>
          <w:rFonts w:ascii="Times New Roman" w:hAnsi="Times New Roman" w:cs="Times New Roman"/>
        </w:rPr>
      </w:pPr>
      <w:r w:rsidRPr="005E2831">
        <w:rPr>
          <w:rFonts w:ascii="Times New Roman" w:hAnsi="Times New Roman" w:cs="Times New Roman"/>
          <w:sz w:val="24"/>
          <w:szCs w:val="24"/>
        </w:rPr>
        <w:fldChar w:fldCharType="begin"/>
      </w:r>
      <w:r w:rsidRPr="005E2831">
        <w:rPr>
          <w:rFonts w:ascii="Times New Roman" w:hAnsi="Times New Roman" w:cs="Times New Roman"/>
          <w:sz w:val="24"/>
          <w:szCs w:val="24"/>
        </w:rPr>
        <w:instrText xml:space="preserve"> LINK Excel.Sheet.12 "\\\\192.168.0.240\\dm\\Katalog DM\\WODY\\SPRAWOZDANIA Z DZIALALNOSCI\\SPRAWOZDANIE ZA 2022\\Tabele ocenowe do sprawozdania.xlsx" "RW monitoring + przeniesienie!W4K1:W24K12" \a \f 4 \h  \* MERGEFORMAT </w:instrText>
      </w:r>
      <w:r w:rsidRPr="005E2831">
        <w:rPr>
          <w:rFonts w:ascii="Times New Roman" w:hAnsi="Times New Roman" w:cs="Times New Roman"/>
          <w:sz w:val="24"/>
          <w:szCs w:val="24"/>
        </w:rPr>
        <w:fldChar w:fldCharType="separate"/>
      </w:r>
    </w:p>
    <w:p w14:paraId="31DA413F" w14:textId="77777777" w:rsidR="000C1458" w:rsidRPr="005E2831" w:rsidRDefault="000C1458" w:rsidP="000C1458">
      <w:pPr>
        <w:spacing w:after="60" w:line="300" w:lineRule="atLeast"/>
        <w:jc w:val="both"/>
        <w:rPr>
          <w:rFonts w:ascii="Times New Roman" w:hAnsi="Times New Roman" w:cs="Times New Roman"/>
          <w:sz w:val="24"/>
          <w:szCs w:val="24"/>
        </w:rPr>
      </w:pPr>
      <w:r w:rsidRPr="005E2831">
        <w:rPr>
          <w:rFonts w:ascii="Times New Roman" w:hAnsi="Times New Roman" w:cs="Times New Roman"/>
          <w:sz w:val="24"/>
          <w:szCs w:val="24"/>
        </w:rPr>
        <w:fldChar w:fldCharType="end"/>
      </w:r>
      <w:r>
        <w:rPr>
          <w:rFonts w:ascii="Times New Roman" w:hAnsi="Times New Roman" w:cs="Times New Roman"/>
          <w:sz w:val="24"/>
          <w:szCs w:val="24"/>
        </w:rPr>
        <w:tab/>
      </w:r>
      <w:r w:rsidRPr="005E2831">
        <w:rPr>
          <w:rFonts w:ascii="Times New Roman" w:hAnsi="Times New Roman" w:cs="Times New Roman"/>
          <w:sz w:val="24"/>
          <w:szCs w:val="24"/>
        </w:rPr>
        <w:t xml:space="preserve">Klasyfikacja stanu ekologicznego była możliwa w 3385 naturalnych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rzecznych. Największy udział w sklasyfikowanych naturalnych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stanowią te o umiarkowanym stanie ekologicznym (57,5%). Bardzo dobry stan ekologiczny odnotowano w 1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rzecznej, dodatkowo 4,7% rzek osiągnęło dobry stan ekologiczny. Rzeki o słabym i złym stanie ekologicznym stanowią 37,8% wszystkich analizowanych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rzecznych.</w:t>
      </w:r>
    </w:p>
    <w:p w14:paraId="1D05CD94" w14:textId="77777777" w:rsidR="000C1458" w:rsidRPr="005E2831" w:rsidRDefault="000C1458" w:rsidP="000C1458">
      <w:pPr>
        <w:spacing w:after="60" w:line="300" w:lineRule="atLeast"/>
        <w:ind w:firstLine="708"/>
        <w:jc w:val="both"/>
        <w:rPr>
          <w:rFonts w:ascii="Times New Roman" w:hAnsi="Times New Roman" w:cs="Times New Roman"/>
          <w:sz w:val="24"/>
          <w:szCs w:val="24"/>
        </w:rPr>
      </w:pPr>
      <w:r w:rsidRPr="005E2831">
        <w:rPr>
          <w:rFonts w:ascii="Times New Roman" w:hAnsi="Times New Roman" w:cs="Times New Roman"/>
          <w:sz w:val="24"/>
          <w:szCs w:val="24"/>
        </w:rPr>
        <w:t xml:space="preserve">Klasyfikacja potencjału ekologicznego była możliwa dla 1143 silnie zmienionych </w:t>
      </w:r>
      <w:r w:rsidRPr="005E2831">
        <w:rPr>
          <w:rFonts w:ascii="Times New Roman" w:hAnsi="Times New Roman" w:cs="Times New Roman"/>
          <w:sz w:val="24"/>
          <w:szCs w:val="24"/>
        </w:rPr>
        <w:br/>
        <w:t xml:space="preserve">i sztucznych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rzecznych. Największy udział w sklasyfikowanych silnie zmienionych </w:t>
      </w:r>
      <w:r w:rsidRPr="005E2831">
        <w:rPr>
          <w:rFonts w:ascii="Times New Roman" w:hAnsi="Times New Roman" w:cs="Times New Roman"/>
          <w:sz w:val="24"/>
          <w:szCs w:val="24"/>
        </w:rPr>
        <w:br/>
        <w:t xml:space="preserve">i sztucznych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stanowią te o umiarkowanym potencjale ekologicznym (47,2%). W żadnej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rzecznej nie odnotowano maksymalnego potencjału ekologicznego, dobry potencjał zaobserwowano w 83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hAnsi="Times New Roman" w:cs="Times New Roman"/>
          <w:sz w:val="24"/>
          <w:szCs w:val="24"/>
        </w:rPr>
        <w:t xml:space="preserve">. Rzeczne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o słabym i złym potencjale stanowią 45,5% wszystkich sklasyfikowanych naturalnych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hAnsi="Times New Roman" w:cs="Times New Roman"/>
          <w:sz w:val="24"/>
          <w:szCs w:val="24"/>
        </w:rPr>
        <w:t>.</w:t>
      </w:r>
    </w:p>
    <w:p w14:paraId="02AC6962" w14:textId="6EE9871F" w:rsidR="000C1458" w:rsidRPr="005E2831" w:rsidRDefault="000C1458" w:rsidP="000C1458">
      <w:pPr>
        <w:spacing w:after="60" w:line="300" w:lineRule="atLeast"/>
        <w:ind w:firstLine="708"/>
        <w:jc w:val="both"/>
        <w:rPr>
          <w:rFonts w:ascii="Times New Roman" w:hAnsi="Times New Roman" w:cs="Times New Roman"/>
          <w:sz w:val="24"/>
          <w:szCs w:val="24"/>
        </w:rPr>
      </w:pPr>
      <w:r w:rsidRPr="005E2831">
        <w:rPr>
          <w:rFonts w:ascii="Times New Roman" w:hAnsi="Times New Roman" w:cs="Times New Roman"/>
          <w:sz w:val="24"/>
          <w:szCs w:val="24"/>
        </w:rPr>
        <w:t>Klasyfikacja stanu chemicznego była możliwa dla  3</w:t>
      </w:r>
      <w:r w:rsidR="001D61F0">
        <w:rPr>
          <w:rFonts w:ascii="Times New Roman" w:hAnsi="Times New Roman" w:cs="Times New Roman"/>
          <w:sz w:val="24"/>
          <w:szCs w:val="24"/>
        </w:rPr>
        <w:t xml:space="preserve"> </w:t>
      </w:r>
      <w:r w:rsidRPr="005E2831">
        <w:rPr>
          <w:rFonts w:ascii="Times New Roman" w:hAnsi="Times New Roman" w:cs="Times New Roman"/>
          <w:sz w:val="24"/>
          <w:szCs w:val="24"/>
        </w:rPr>
        <w:t xml:space="preserve">377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rzecznych, przy czym 88,7%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osiągnęło stan chemiczny poniżej dobrego.</w:t>
      </w:r>
    </w:p>
    <w:p w14:paraId="2B537413" w14:textId="77777777" w:rsidR="000C1458" w:rsidRPr="005E2831" w:rsidRDefault="000C1458" w:rsidP="000C1458">
      <w:pPr>
        <w:spacing w:after="60" w:line="300" w:lineRule="atLeast"/>
        <w:ind w:firstLine="708"/>
        <w:jc w:val="both"/>
        <w:rPr>
          <w:rFonts w:ascii="Times New Roman" w:hAnsi="Times New Roman" w:cs="Times New Roman"/>
          <w:sz w:val="24"/>
          <w:szCs w:val="24"/>
        </w:rPr>
      </w:pPr>
      <w:r w:rsidRPr="005E2831">
        <w:rPr>
          <w:rFonts w:ascii="Times New Roman" w:hAnsi="Times New Roman" w:cs="Times New Roman"/>
          <w:sz w:val="24"/>
          <w:szCs w:val="24"/>
        </w:rPr>
        <w:lastRenderedPageBreak/>
        <w:t xml:space="preserve">Ocena stanu wykonana dla 4 585  rzek wykazała, iż zły stan wód odnotowano w 99,5% </w:t>
      </w:r>
      <w:proofErr w:type="spellStart"/>
      <w:r w:rsidRPr="005E2831">
        <w:rPr>
          <w:rFonts w:ascii="Times New Roman" w:hAnsi="Times New Roman" w:cs="Times New Roman"/>
          <w:sz w:val="24"/>
          <w:szCs w:val="24"/>
        </w:rPr>
        <w:t>jcwp</w:t>
      </w:r>
      <w:proofErr w:type="spellEnd"/>
      <w:r w:rsidRPr="005E2831">
        <w:rPr>
          <w:rFonts w:ascii="Times New Roman" w:hAnsi="Times New Roman" w:cs="Times New Roman"/>
          <w:sz w:val="24"/>
          <w:szCs w:val="24"/>
        </w:rPr>
        <w:t xml:space="preserve"> rzecznych. </w:t>
      </w:r>
    </w:p>
    <w:p w14:paraId="44FB8C37" w14:textId="6D5CCEC5" w:rsidR="000C1458" w:rsidRPr="007F400A" w:rsidRDefault="000C1458" w:rsidP="000C1458">
      <w:pPr>
        <w:spacing w:after="0" w:line="300" w:lineRule="atLeast"/>
        <w:ind w:firstLine="708"/>
        <w:jc w:val="both"/>
        <w:rPr>
          <w:rFonts w:ascii="Times New Roman" w:hAnsi="Times New Roman" w:cs="Times New Roman"/>
          <w:sz w:val="24"/>
          <w:szCs w:val="24"/>
        </w:rPr>
      </w:pPr>
      <w:r w:rsidRPr="005E2831">
        <w:rPr>
          <w:rFonts w:ascii="Times New Roman" w:hAnsi="Times New Roman" w:cs="Times New Roman"/>
          <w:sz w:val="24"/>
          <w:szCs w:val="24"/>
        </w:rPr>
        <w:t xml:space="preserve">Uzyskane dane zostały opracowane w układzie </w:t>
      </w:r>
      <w:proofErr w:type="spellStart"/>
      <w:r w:rsidRPr="005E2831">
        <w:rPr>
          <w:rFonts w:ascii="Times New Roman" w:hAnsi="Times New Roman" w:cs="Times New Roman"/>
          <w:sz w:val="24"/>
          <w:szCs w:val="24"/>
        </w:rPr>
        <w:t>zlewniowym</w:t>
      </w:r>
      <w:proofErr w:type="spellEnd"/>
      <w:r w:rsidRPr="005E2831">
        <w:rPr>
          <w:rFonts w:ascii="Times New Roman" w:hAnsi="Times New Roman" w:cs="Times New Roman"/>
          <w:sz w:val="24"/>
          <w:szCs w:val="24"/>
        </w:rPr>
        <w:t xml:space="preserve"> i w układzie województw oraz zostały przygotowane zgodnie z wymaganiami sprawozdawczymi Europejskiej Agencji Środowiska na potrzeby </w:t>
      </w:r>
      <w:proofErr w:type="spellStart"/>
      <w:r w:rsidRPr="005E2831">
        <w:rPr>
          <w:rFonts w:ascii="Times New Roman" w:hAnsi="Times New Roman" w:cs="Times New Roman"/>
          <w:sz w:val="24"/>
          <w:szCs w:val="24"/>
        </w:rPr>
        <w:t>Water</w:t>
      </w:r>
      <w:proofErr w:type="spellEnd"/>
      <w:r w:rsidRPr="005E2831">
        <w:rPr>
          <w:rFonts w:ascii="Times New Roman" w:hAnsi="Times New Roman" w:cs="Times New Roman"/>
          <w:sz w:val="24"/>
          <w:szCs w:val="24"/>
        </w:rPr>
        <w:t xml:space="preserve"> Information System for Europe </w:t>
      </w:r>
      <w:proofErr w:type="spellStart"/>
      <w:r w:rsidRPr="005E2831">
        <w:rPr>
          <w:rFonts w:ascii="Times New Roman" w:hAnsi="Times New Roman" w:cs="Times New Roman"/>
          <w:sz w:val="24"/>
          <w:szCs w:val="24"/>
        </w:rPr>
        <w:t>State</w:t>
      </w:r>
      <w:proofErr w:type="spellEnd"/>
      <w:r w:rsidRPr="005E2831">
        <w:rPr>
          <w:rFonts w:ascii="Times New Roman" w:hAnsi="Times New Roman" w:cs="Times New Roman"/>
          <w:sz w:val="24"/>
          <w:szCs w:val="24"/>
        </w:rPr>
        <w:t xml:space="preserve"> of Environment (WISE </w:t>
      </w:r>
      <w:proofErr w:type="spellStart"/>
      <w:r w:rsidRPr="005E2831">
        <w:rPr>
          <w:rFonts w:ascii="Times New Roman" w:hAnsi="Times New Roman" w:cs="Times New Roman"/>
          <w:sz w:val="24"/>
          <w:szCs w:val="24"/>
        </w:rPr>
        <w:t>SoE</w:t>
      </w:r>
      <w:proofErr w:type="spellEnd"/>
      <w:r w:rsidRPr="005E2831">
        <w:rPr>
          <w:rFonts w:ascii="Times New Roman" w:hAnsi="Times New Roman" w:cs="Times New Roman"/>
          <w:sz w:val="24"/>
          <w:szCs w:val="24"/>
        </w:rPr>
        <w:t>)</w:t>
      </w:r>
      <w:r>
        <w:rPr>
          <w:rFonts w:ascii="Times New Roman" w:hAnsi="Times New Roman" w:cs="Times New Roman"/>
          <w:sz w:val="24"/>
          <w:szCs w:val="24"/>
        </w:rPr>
        <w:t>.</w:t>
      </w:r>
    </w:p>
    <w:p w14:paraId="478DA52B" w14:textId="77777777" w:rsidR="00895F16" w:rsidRPr="007F400A" w:rsidRDefault="00895F16" w:rsidP="00895F16">
      <w:pPr>
        <w:spacing w:after="0" w:line="300" w:lineRule="atLeast"/>
        <w:ind w:firstLine="708"/>
        <w:jc w:val="both"/>
        <w:rPr>
          <w:rFonts w:ascii="Times New Roman" w:hAnsi="Times New Roman" w:cs="Times New Roman"/>
          <w:sz w:val="24"/>
          <w:szCs w:val="24"/>
        </w:rPr>
      </w:pPr>
    </w:p>
    <w:p w14:paraId="200636D8" w14:textId="77777777" w:rsidR="00895F16" w:rsidRPr="007F400A" w:rsidRDefault="00895F16" w:rsidP="00895F16">
      <w:pPr>
        <w:keepNext/>
        <w:spacing w:after="120" w:line="300" w:lineRule="atLeast"/>
        <w:jc w:val="both"/>
        <w:outlineLvl w:val="0"/>
        <w:rPr>
          <w:rFonts w:ascii="Times New Roman" w:eastAsia="Times New Roman" w:hAnsi="Times New Roman" w:cs="Times New Roman"/>
          <w:b/>
          <w:bCs/>
          <w:sz w:val="24"/>
          <w:szCs w:val="24"/>
          <w:lang w:val="x-none" w:eastAsia="x-none"/>
        </w:rPr>
      </w:pPr>
      <w:bookmarkStart w:id="395" w:name="_Toc36732634"/>
      <w:bookmarkStart w:id="396" w:name="_Toc135935707"/>
      <w:r w:rsidRPr="007F400A">
        <w:rPr>
          <w:rFonts w:ascii="Times New Roman" w:eastAsia="Times New Roman" w:hAnsi="Times New Roman" w:cs="Times New Roman"/>
          <w:b/>
          <w:bCs/>
          <w:sz w:val="24"/>
          <w:szCs w:val="24"/>
          <w:lang w:val="x-none" w:eastAsia="x-none"/>
        </w:rPr>
        <w:t>3.2 Badania i ocena jakości wód w jeziorach</w:t>
      </w:r>
      <w:bookmarkEnd w:id="395"/>
      <w:bookmarkEnd w:id="396"/>
    </w:p>
    <w:p w14:paraId="4A0647EB" w14:textId="219107E9" w:rsidR="0025528B" w:rsidRDefault="0025528B" w:rsidP="0025528B">
      <w:pPr>
        <w:spacing w:after="0" w:line="300" w:lineRule="atLeast"/>
        <w:ind w:firstLine="567"/>
        <w:jc w:val="both"/>
        <w:rPr>
          <w:rFonts w:ascii="Times New Roman" w:eastAsia="Calibri" w:hAnsi="Times New Roman" w:cs="Times New Roman"/>
          <w:sz w:val="24"/>
          <w:szCs w:val="24"/>
          <w:lang w:eastAsia="pl-PL"/>
        </w:rPr>
      </w:pPr>
      <w:r w:rsidRPr="005E2831">
        <w:rPr>
          <w:rFonts w:ascii="Times New Roman" w:eastAsia="Calibri" w:hAnsi="Times New Roman" w:cs="Times New Roman"/>
          <w:sz w:val="24"/>
          <w:szCs w:val="24"/>
          <w:lang w:eastAsia="pl-PL"/>
        </w:rPr>
        <w:t>W 2022 r. monitoring jednolitych części wód powierzchniowych jeziornych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jeziornych) zaplanowano w dziewięciu województwach. Spośród 634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jeziornych zaplanowanych do badań, badania wykonano w 345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na 673 stanowiskach. Zakres badań obejmował, zgodnie z rozporządzeniem monitoringowym, wskaźniki biologiczne (fitoplankton, fitobentos, </w:t>
      </w:r>
      <w:proofErr w:type="spellStart"/>
      <w:r w:rsidRPr="005E2831">
        <w:rPr>
          <w:rFonts w:ascii="Times New Roman" w:eastAsia="Calibri" w:hAnsi="Times New Roman" w:cs="Times New Roman"/>
          <w:sz w:val="24"/>
          <w:szCs w:val="24"/>
          <w:lang w:eastAsia="pl-PL"/>
        </w:rPr>
        <w:t>makrofity</w:t>
      </w:r>
      <w:proofErr w:type="spellEnd"/>
      <w:r w:rsidRPr="005E2831">
        <w:rPr>
          <w:rFonts w:ascii="Times New Roman" w:eastAsia="Calibri" w:hAnsi="Times New Roman" w:cs="Times New Roman"/>
          <w:sz w:val="24"/>
          <w:szCs w:val="24"/>
          <w:lang w:eastAsia="pl-PL"/>
        </w:rPr>
        <w:t xml:space="preserve"> i </w:t>
      </w:r>
      <w:proofErr w:type="spellStart"/>
      <w:r w:rsidRPr="005E2831">
        <w:rPr>
          <w:rFonts w:ascii="Times New Roman" w:eastAsia="Calibri" w:hAnsi="Times New Roman" w:cs="Times New Roman"/>
          <w:sz w:val="24"/>
          <w:szCs w:val="24"/>
          <w:lang w:eastAsia="pl-PL"/>
        </w:rPr>
        <w:t>makrobezkręgowce</w:t>
      </w:r>
      <w:proofErr w:type="spellEnd"/>
      <w:r w:rsidRPr="005E2831">
        <w:rPr>
          <w:rFonts w:ascii="Times New Roman" w:eastAsia="Calibri" w:hAnsi="Times New Roman" w:cs="Times New Roman"/>
          <w:sz w:val="24"/>
          <w:szCs w:val="24"/>
          <w:lang w:eastAsia="pl-PL"/>
        </w:rPr>
        <w:t xml:space="preserve"> bentosowe w ilości 739 oznaczeń), wskaźniki fizykochemiczne (w tym specyficzne zanieczyszczenia syntetyczne i</w:t>
      </w:r>
      <w:r>
        <w:rPr>
          <w:rFonts w:ascii="Times New Roman" w:eastAsia="Calibri" w:hAnsi="Times New Roman" w:cs="Times New Roman"/>
          <w:sz w:val="24"/>
          <w:szCs w:val="24"/>
          <w:lang w:eastAsia="pl-PL"/>
        </w:rPr>
        <w:t> </w:t>
      </w:r>
      <w:r w:rsidRPr="005E2831">
        <w:rPr>
          <w:rFonts w:ascii="Times New Roman" w:eastAsia="Calibri" w:hAnsi="Times New Roman" w:cs="Times New Roman"/>
          <w:sz w:val="24"/>
          <w:szCs w:val="24"/>
          <w:lang w:eastAsia="pl-PL"/>
        </w:rPr>
        <w:t>niesyntetyczne) w ilości  15 806 oznaczeń oraz wskaźniki chemiczne (w tym</w:t>
      </w:r>
      <w:r w:rsidRPr="005E2831">
        <w:rPr>
          <w:rFonts w:ascii="Times New Roman" w:eastAsia="Calibri" w:hAnsi="Times New Roman" w:cs="Times New Roman"/>
          <w:sz w:val="20"/>
          <w:szCs w:val="20"/>
          <w:lang w:eastAsia="pl-PL"/>
        </w:rPr>
        <w:t xml:space="preserve"> </w:t>
      </w:r>
      <w:r w:rsidRPr="005E2831">
        <w:rPr>
          <w:rFonts w:ascii="Times New Roman" w:eastAsia="Calibri" w:hAnsi="Times New Roman" w:cs="Times New Roman"/>
          <w:sz w:val="24"/>
          <w:szCs w:val="24"/>
          <w:lang w:eastAsia="pl-PL"/>
        </w:rPr>
        <w:t>substancje priorytetowe w dziedzinie polityki wodnej) w ilości 31 713 oznaczeń. Powody niewykonania badań w zaplanowanej ilości opisane są w rozdziale dotyczącym działalności Centralnego Laboratorium Badawczego.</w:t>
      </w:r>
    </w:p>
    <w:p w14:paraId="3B6F1AB3" w14:textId="156F2A76" w:rsidR="00895F16" w:rsidRDefault="00B2552D" w:rsidP="0025528B">
      <w:pPr>
        <w:spacing w:after="0"/>
        <w:rPr>
          <w:rFonts w:ascii="Times New Roman" w:eastAsia="Times New Roman" w:hAnsi="Times New Roman" w:cs="Times New Roman"/>
          <w:b/>
          <w:bCs/>
          <w:lang w:eastAsia="x-none"/>
        </w:rPr>
      </w:pPr>
      <w:r w:rsidRPr="005E2831">
        <w:rPr>
          <w:rFonts w:ascii="Times New Roman" w:hAnsi="Times New Roman" w:cs="Times New Roman"/>
          <w:noProof/>
          <w:lang w:eastAsia="pl-PL"/>
        </w:rPr>
        <w:drawing>
          <wp:inline distT="0" distB="0" distL="0" distR="0" wp14:anchorId="64BCB859" wp14:editId="36F9131D">
            <wp:extent cx="5735320" cy="2766695"/>
            <wp:effectExtent l="0" t="0" r="17780" b="14605"/>
            <wp:docPr id="456" name="Wykres 456" descr="Wykres 27. Liczba jcwp jeziornych, w których wykonano badania w 2022 r. w stosunku do liczby jcwp jeziornych zaplanowanych do badań">
              <a:extLst xmlns:a="http://schemas.openxmlformats.org/drawingml/2006/main">
                <a:ext uri="{FF2B5EF4-FFF2-40B4-BE49-F238E27FC236}">
                  <a16:creationId xmlns:a16="http://schemas.microsoft.com/office/drawing/2014/main" id="{5F2E6109-9E99-49C1-AC49-9691339325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r w:rsidR="0025528B" w:rsidRPr="005E2831">
        <w:rPr>
          <w:rFonts w:ascii="Times New Roman" w:eastAsia="Times New Roman" w:hAnsi="Times New Roman" w:cs="Times New Roman"/>
          <w:b/>
          <w:bCs/>
          <w:lang w:eastAsia="x-none"/>
        </w:rPr>
        <w:t>Wyk</w:t>
      </w:r>
      <w:r w:rsidR="00475E1F">
        <w:rPr>
          <w:rFonts w:ascii="Times New Roman" w:eastAsia="Times New Roman" w:hAnsi="Times New Roman" w:cs="Times New Roman"/>
          <w:b/>
          <w:bCs/>
          <w:lang w:eastAsia="x-none"/>
        </w:rPr>
        <w:t>res</w:t>
      </w:r>
      <w:r w:rsidR="0025528B" w:rsidRPr="005E2831">
        <w:rPr>
          <w:rFonts w:ascii="Times New Roman" w:eastAsia="Times New Roman" w:hAnsi="Times New Roman" w:cs="Times New Roman"/>
          <w:b/>
          <w:bCs/>
          <w:lang w:eastAsia="x-none"/>
        </w:rPr>
        <w:t xml:space="preserve"> </w:t>
      </w:r>
      <w:r w:rsidR="00475E1F">
        <w:rPr>
          <w:rFonts w:ascii="Times New Roman" w:eastAsia="Times New Roman" w:hAnsi="Times New Roman" w:cs="Times New Roman"/>
          <w:b/>
          <w:bCs/>
          <w:lang w:eastAsia="x-none"/>
        </w:rPr>
        <w:t>27</w:t>
      </w:r>
      <w:r w:rsidR="0025528B" w:rsidRPr="005E2831">
        <w:rPr>
          <w:rFonts w:ascii="Times New Roman" w:eastAsia="Times New Roman" w:hAnsi="Times New Roman" w:cs="Times New Roman"/>
          <w:b/>
          <w:bCs/>
          <w:lang w:eastAsia="x-none"/>
        </w:rPr>
        <w:t xml:space="preserve">. </w:t>
      </w:r>
      <w:r w:rsidR="0025528B" w:rsidRPr="005E2831">
        <w:rPr>
          <w:rFonts w:ascii="Times New Roman" w:eastAsia="Times New Roman" w:hAnsi="Times New Roman" w:cs="Times New Roman"/>
          <w:b/>
          <w:bCs/>
          <w:lang w:val="x-none" w:eastAsia="x-none"/>
        </w:rPr>
        <w:t xml:space="preserve">Liczba </w:t>
      </w:r>
      <w:proofErr w:type="spellStart"/>
      <w:r w:rsidR="0025528B" w:rsidRPr="005E2831">
        <w:rPr>
          <w:rFonts w:ascii="Times New Roman" w:eastAsia="Times New Roman" w:hAnsi="Times New Roman" w:cs="Times New Roman"/>
          <w:b/>
          <w:bCs/>
          <w:lang w:eastAsia="x-none"/>
        </w:rPr>
        <w:t>jcwp</w:t>
      </w:r>
      <w:proofErr w:type="spellEnd"/>
      <w:r w:rsidR="0025528B" w:rsidRPr="005E2831">
        <w:rPr>
          <w:rFonts w:ascii="Times New Roman" w:eastAsia="Times New Roman" w:hAnsi="Times New Roman" w:cs="Times New Roman"/>
          <w:b/>
          <w:bCs/>
          <w:lang w:eastAsia="x-none"/>
        </w:rPr>
        <w:t xml:space="preserve"> jeziornych</w:t>
      </w:r>
      <w:r w:rsidR="0025528B" w:rsidRPr="005E2831">
        <w:rPr>
          <w:rFonts w:ascii="Times New Roman" w:eastAsia="Times New Roman" w:hAnsi="Times New Roman" w:cs="Times New Roman"/>
          <w:b/>
          <w:bCs/>
          <w:lang w:val="x-none" w:eastAsia="x-none"/>
        </w:rPr>
        <w:t>, w których wykonano badania w</w:t>
      </w:r>
      <w:r w:rsidR="0025528B" w:rsidRPr="005E2831">
        <w:rPr>
          <w:rFonts w:ascii="Times New Roman" w:eastAsia="Times New Roman" w:hAnsi="Times New Roman" w:cs="Times New Roman"/>
          <w:b/>
          <w:bCs/>
          <w:lang w:eastAsia="x-none"/>
        </w:rPr>
        <w:t> </w:t>
      </w:r>
      <w:r w:rsidR="0025528B" w:rsidRPr="005E2831">
        <w:rPr>
          <w:rFonts w:ascii="Times New Roman" w:eastAsia="Times New Roman" w:hAnsi="Times New Roman" w:cs="Times New Roman"/>
          <w:b/>
          <w:bCs/>
          <w:lang w:val="x-none" w:eastAsia="x-none"/>
        </w:rPr>
        <w:t>20</w:t>
      </w:r>
      <w:r w:rsidR="0025528B" w:rsidRPr="005E2831">
        <w:rPr>
          <w:rFonts w:ascii="Times New Roman" w:eastAsia="Times New Roman" w:hAnsi="Times New Roman" w:cs="Times New Roman"/>
          <w:b/>
          <w:bCs/>
          <w:lang w:eastAsia="x-none"/>
        </w:rPr>
        <w:t>22</w:t>
      </w:r>
      <w:r w:rsidR="0025528B" w:rsidRPr="005E2831">
        <w:rPr>
          <w:rFonts w:ascii="Times New Roman" w:eastAsia="Times New Roman" w:hAnsi="Times New Roman" w:cs="Times New Roman"/>
          <w:b/>
          <w:bCs/>
          <w:lang w:val="x-none" w:eastAsia="x-none"/>
        </w:rPr>
        <w:t xml:space="preserve"> r. w stosunku do liczby </w:t>
      </w:r>
      <w:proofErr w:type="spellStart"/>
      <w:r w:rsidR="0025528B" w:rsidRPr="005E2831">
        <w:rPr>
          <w:rFonts w:ascii="Times New Roman" w:eastAsia="Times New Roman" w:hAnsi="Times New Roman" w:cs="Times New Roman"/>
          <w:b/>
          <w:bCs/>
          <w:lang w:eastAsia="x-none"/>
        </w:rPr>
        <w:t>jcwp</w:t>
      </w:r>
      <w:proofErr w:type="spellEnd"/>
      <w:r w:rsidR="0025528B" w:rsidRPr="005E2831">
        <w:rPr>
          <w:rFonts w:ascii="Times New Roman" w:eastAsia="Times New Roman" w:hAnsi="Times New Roman" w:cs="Times New Roman"/>
          <w:b/>
          <w:bCs/>
          <w:lang w:eastAsia="x-none"/>
        </w:rPr>
        <w:t xml:space="preserve"> jeziornych </w:t>
      </w:r>
      <w:r w:rsidR="0025528B" w:rsidRPr="005E2831">
        <w:rPr>
          <w:rFonts w:ascii="Times New Roman" w:eastAsia="Times New Roman" w:hAnsi="Times New Roman" w:cs="Times New Roman"/>
          <w:b/>
          <w:bCs/>
          <w:lang w:val="x-none" w:eastAsia="x-none"/>
        </w:rPr>
        <w:t xml:space="preserve">zaplanowanych </w:t>
      </w:r>
      <w:r w:rsidR="0025528B" w:rsidRPr="005E2831">
        <w:rPr>
          <w:rFonts w:ascii="Times New Roman" w:eastAsia="Times New Roman" w:hAnsi="Times New Roman" w:cs="Times New Roman"/>
          <w:b/>
          <w:bCs/>
          <w:lang w:eastAsia="x-none"/>
        </w:rPr>
        <w:t>do badań</w:t>
      </w:r>
    </w:p>
    <w:p w14:paraId="238E30FE" w14:textId="20FA3C71" w:rsidR="0025528B" w:rsidRDefault="0025528B" w:rsidP="0025528B">
      <w:pPr>
        <w:spacing w:after="0"/>
        <w:rPr>
          <w:rFonts w:ascii="Times New Roman" w:hAnsi="Times New Roman"/>
          <w:b/>
          <w:lang w:eastAsia="pl-PL"/>
        </w:rPr>
      </w:pPr>
    </w:p>
    <w:p w14:paraId="195295E0" w14:textId="77777777" w:rsidR="0025528B" w:rsidRPr="003C2FCD" w:rsidRDefault="0025528B" w:rsidP="0025528B">
      <w:pPr>
        <w:spacing w:after="0" w:line="300" w:lineRule="atLeast"/>
        <w:jc w:val="both"/>
        <w:rPr>
          <w:rFonts w:ascii="Times New Roman" w:eastAsia="Calibri" w:hAnsi="Times New Roman" w:cs="Times New Roman"/>
          <w:sz w:val="24"/>
          <w:szCs w:val="24"/>
          <w:lang w:eastAsia="pl-PL"/>
        </w:rPr>
      </w:pPr>
    </w:p>
    <w:p w14:paraId="104C6541" w14:textId="77777777" w:rsidR="0025528B" w:rsidRPr="005E2831" w:rsidRDefault="0025528B" w:rsidP="0025528B">
      <w:pPr>
        <w:spacing w:after="60" w:line="300" w:lineRule="atLeast"/>
        <w:jc w:val="both"/>
        <w:rPr>
          <w:rFonts w:ascii="Times New Roman" w:eastAsia="Times New Roman" w:hAnsi="Times New Roman" w:cs="Times New Roman"/>
          <w:sz w:val="24"/>
          <w:szCs w:val="24"/>
          <w:lang w:eastAsia="pl-PL"/>
        </w:rPr>
      </w:pPr>
      <w:r w:rsidRPr="005E2831">
        <w:rPr>
          <w:rFonts w:ascii="Times New Roman" w:hAnsi="Times New Roman" w:cs="Times New Roman"/>
          <w:noProof/>
          <w:lang w:eastAsia="pl-PL"/>
        </w:rPr>
        <w:lastRenderedPageBreak/>
        <w:drawing>
          <wp:inline distT="0" distB="0" distL="0" distR="0" wp14:anchorId="3273D7DD" wp14:editId="26D40BCA">
            <wp:extent cx="4975225" cy="4643120"/>
            <wp:effectExtent l="0" t="0" r="0" b="5080"/>
            <wp:docPr id="457" name="Obraz 457" descr="Ryc. 10. Rozmieszczenie punktów pomiarowo-kontrolnych zaplanowanych do badań jednolitych części wód powierzchniowych jeziornych w roku 2022 na tle podziału administracyjnego na województ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Obraz 457" descr="Ryc. 10. Rozmieszczenie punktów pomiarowo-kontrolnych zaplanowanych do badań jednolitych części wód powierzchniowych jeziornych w roku 2022 na tle podziału administracyjnego na województwa"/>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a:stretch/>
                  </pic:blipFill>
                  <pic:spPr bwMode="auto">
                    <a:xfrm>
                      <a:off x="0" y="0"/>
                      <a:ext cx="4975225" cy="4643120"/>
                    </a:xfrm>
                    <a:prstGeom prst="rect">
                      <a:avLst/>
                    </a:prstGeom>
                    <a:noFill/>
                    <a:ln>
                      <a:noFill/>
                    </a:ln>
                    <a:extLst>
                      <a:ext uri="{53640926-AAD7-44D8-BBD7-CCE9431645EC}">
                        <a14:shadowObscured xmlns:a14="http://schemas.microsoft.com/office/drawing/2010/main"/>
                      </a:ext>
                    </a:extLst>
                  </pic:spPr>
                </pic:pic>
              </a:graphicData>
            </a:graphic>
          </wp:inline>
        </w:drawing>
      </w:r>
    </w:p>
    <w:p w14:paraId="170233C4" w14:textId="77777777" w:rsidR="0025528B" w:rsidRPr="005E2831" w:rsidRDefault="0025528B" w:rsidP="00B2552D">
      <w:pPr>
        <w:keepNext/>
        <w:spacing w:after="60" w:line="240" w:lineRule="auto"/>
        <w:jc w:val="both"/>
        <w:rPr>
          <w:rFonts w:ascii="Times New Roman" w:eastAsia="Times New Roman" w:hAnsi="Times New Roman" w:cs="Times New Roman"/>
          <w:b/>
          <w:bCs/>
          <w:lang w:eastAsia="x-none"/>
        </w:rPr>
      </w:pPr>
      <w:r w:rsidRPr="005E2831">
        <w:rPr>
          <w:rFonts w:ascii="Times New Roman" w:eastAsia="Times New Roman" w:hAnsi="Times New Roman" w:cs="Times New Roman"/>
          <w:b/>
          <w:bCs/>
          <w:lang w:eastAsia="x-none"/>
        </w:rPr>
        <w:t xml:space="preserve">Ryc. </w:t>
      </w:r>
      <w:r>
        <w:rPr>
          <w:rFonts w:ascii="Times New Roman" w:eastAsia="Times New Roman" w:hAnsi="Times New Roman" w:cs="Times New Roman"/>
          <w:b/>
          <w:bCs/>
          <w:lang w:eastAsia="x-none"/>
        </w:rPr>
        <w:t>10</w:t>
      </w:r>
      <w:r w:rsidRPr="005E2831">
        <w:rPr>
          <w:rFonts w:ascii="Times New Roman" w:eastAsia="Times New Roman" w:hAnsi="Times New Roman" w:cs="Times New Roman"/>
          <w:b/>
          <w:bCs/>
          <w:lang w:eastAsia="x-none"/>
        </w:rPr>
        <w:t xml:space="preserve">. </w:t>
      </w:r>
      <w:r w:rsidRPr="005E2831">
        <w:rPr>
          <w:rFonts w:ascii="Times New Roman" w:eastAsia="Times New Roman" w:hAnsi="Times New Roman" w:cs="Times New Roman"/>
          <w:b/>
          <w:bCs/>
          <w:lang w:val="x-none" w:eastAsia="x-none"/>
        </w:rPr>
        <w:t>Rozmieszczenie punktów pomiarowo-kontrolnych zaplanowanych do badań</w:t>
      </w:r>
      <w:r w:rsidRPr="005E2831">
        <w:rPr>
          <w:rFonts w:ascii="Times New Roman" w:eastAsia="Times New Roman" w:hAnsi="Times New Roman" w:cs="Times New Roman"/>
          <w:b/>
          <w:bCs/>
          <w:lang w:eastAsia="x-none"/>
        </w:rPr>
        <w:t xml:space="preserve"> </w:t>
      </w:r>
      <w:r w:rsidRPr="005E2831">
        <w:rPr>
          <w:rFonts w:ascii="Times New Roman" w:eastAsia="Times New Roman" w:hAnsi="Times New Roman" w:cs="Times New Roman"/>
          <w:b/>
          <w:bCs/>
          <w:lang w:val="x-none" w:eastAsia="x-none"/>
        </w:rPr>
        <w:t>jednolitych części</w:t>
      </w:r>
      <w:r w:rsidRPr="005E2831">
        <w:rPr>
          <w:rFonts w:ascii="Times New Roman" w:eastAsia="Times New Roman" w:hAnsi="Times New Roman" w:cs="Times New Roman"/>
          <w:b/>
          <w:bCs/>
          <w:lang w:eastAsia="x-none"/>
        </w:rPr>
        <w:t xml:space="preserve"> </w:t>
      </w:r>
      <w:r w:rsidRPr="005E2831">
        <w:rPr>
          <w:rFonts w:ascii="Times New Roman" w:eastAsia="Times New Roman" w:hAnsi="Times New Roman" w:cs="Times New Roman"/>
          <w:b/>
          <w:bCs/>
          <w:lang w:val="x-none" w:eastAsia="x-none"/>
        </w:rPr>
        <w:t>wód powierzchniowych jeziornych w roku 20</w:t>
      </w:r>
      <w:r w:rsidRPr="005E2831">
        <w:rPr>
          <w:rFonts w:ascii="Times New Roman" w:eastAsia="Times New Roman" w:hAnsi="Times New Roman" w:cs="Times New Roman"/>
          <w:b/>
          <w:bCs/>
          <w:lang w:eastAsia="x-none"/>
        </w:rPr>
        <w:t>22</w:t>
      </w:r>
      <w:r w:rsidRPr="005E2831">
        <w:rPr>
          <w:rFonts w:ascii="Times New Roman" w:eastAsia="Times New Roman" w:hAnsi="Times New Roman" w:cs="Times New Roman"/>
          <w:b/>
          <w:bCs/>
          <w:lang w:val="x-none" w:eastAsia="x-none"/>
        </w:rPr>
        <w:t xml:space="preserve"> na tle podziału administracyjnego </w:t>
      </w:r>
      <w:r w:rsidRPr="005E2831">
        <w:rPr>
          <w:rFonts w:ascii="Times New Roman" w:eastAsia="Times New Roman" w:hAnsi="Times New Roman" w:cs="Times New Roman"/>
          <w:b/>
          <w:bCs/>
          <w:lang w:eastAsia="x-none"/>
        </w:rPr>
        <w:t>na województwa</w:t>
      </w:r>
    </w:p>
    <w:p w14:paraId="4A8894F5" w14:textId="77777777" w:rsidR="0025528B" w:rsidRPr="005E2831" w:rsidRDefault="0025528B" w:rsidP="0025528B">
      <w:pPr>
        <w:keepNext/>
        <w:spacing w:after="60" w:line="240" w:lineRule="auto"/>
        <w:ind w:left="142"/>
        <w:jc w:val="both"/>
        <w:rPr>
          <w:rFonts w:ascii="Times New Roman" w:eastAsia="Times New Roman" w:hAnsi="Times New Roman" w:cs="Times New Roman"/>
          <w:b/>
          <w:bCs/>
          <w:lang w:val="x-none" w:eastAsia="x-none"/>
        </w:rPr>
      </w:pPr>
    </w:p>
    <w:p w14:paraId="74C76207" w14:textId="77777777" w:rsidR="0025528B" w:rsidRPr="005E2831" w:rsidRDefault="0025528B" w:rsidP="0025528B">
      <w:pPr>
        <w:spacing w:after="60" w:line="300" w:lineRule="atLeast"/>
        <w:ind w:firstLine="709"/>
        <w:jc w:val="both"/>
        <w:rPr>
          <w:rFonts w:ascii="Times New Roman" w:eastAsia="Calibri" w:hAnsi="Times New Roman" w:cs="Times New Roman"/>
          <w:sz w:val="24"/>
          <w:szCs w:val="24"/>
          <w:lang w:eastAsia="pl-PL"/>
        </w:rPr>
      </w:pPr>
      <w:r w:rsidRPr="005E2831">
        <w:rPr>
          <w:rFonts w:ascii="Times New Roman" w:eastAsia="Calibri" w:hAnsi="Times New Roman" w:cs="Times New Roman"/>
          <w:sz w:val="24"/>
          <w:szCs w:val="24"/>
          <w:lang w:eastAsia="pl-PL"/>
        </w:rPr>
        <w:t xml:space="preserve">Badania elementów </w:t>
      </w:r>
      <w:proofErr w:type="spellStart"/>
      <w:r w:rsidRPr="005E2831">
        <w:rPr>
          <w:rFonts w:ascii="Times New Roman" w:eastAsia="Calibri" w:hAnsi="Times New Roman" w:cs="Times New Roman"/>
          <w:sz w:val="24"/>
          <w:szCs w:val="24"/>
          <w:lang w:eastAsia="pl-PL"/>
        </w:rPr>
        <w:t>hydromorfologicznych</w:t>
      </w:r>
      <w:proofErr w:type="spellEnd"/>
      <w:r w:rsidRPr="005E2831">
        <w:rPr>
          <w:rFonts w:ascii="Times New Roman" w:eastAsia="Calibri" w:hAnsi="Times New Roman" w:cs="Times New Roman"/>
          <w:sz w:val="24"/>
          <w:szCs w:val="24"/>
          <w:lang w:eastAsia="pl-PL"/>
        </w:rPr>
        <w:t xml:space="preserve"> zaplanowano w 170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z czego badania zrealizowano w 144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Powodem realizacji mniejszej ilości badań był: w przypadku 2 jezior  brak możliwości dostępu do jezior (jeziora otoczone są bardzo szerokim pasmem szuwarów, a</w:t>
      </w:r>
      <w:r>
        <w:rPr>
          <w:rFonts w:ascii="Times New Roman" w:eastAsia="Calibri" w:hAnsi="Times New Roman" w:cs="Times New Roman"/>
          <w:sz w:val="24"/>
          <w:szCs w:val="24"/>
          <w:lang w:eastAsia="pl-PL"/>
        </w:rPr>
        <w:t> </w:t>
      </w:r>
      <w:r w:rsidRPr="005E2831">
        <w:rPr>
          <w:rFonts w:ascii="Times New Roman" w:eastAsia="Calibri" w:hAnsi="Times New Roman" w:cs="Times New Roman"/>
          <w:sz w:val="24"/>
          <w:szCs w:val="24"/>
          <w:lang w:eastAsia="pl-PL"/>
        </w:rPr>
        <w:t>teren wokół jest podmokły) i wykonania badań zarówno z łodzi jak i lądu, natomiast w</w:t>
      </w:r>
      <w:r>
        <w:rPr>
          <w:rFonts w:ascii="Times New Roman" w:eastAsia="Calibri" w:hAnsi="Times New Roman" w:cs="Times New Roman"/>
          <w:sz w:val="24"/>
          <w:szCs w:val="24"/>
          <w:lang w:eastAsia="pl-PL"/>
        </w:rPr>
        <w:t> </w:t>
      </w:r>
      <w:r w:rsidRPr="005E2831">
        <w:rPr>
          <w:rFonts w:ascii="Times New Roman" w:eastAsia="Calibri" w:hAnsi="Times New Roman" w:cs="Times New Roman"/>
          <w:sz w:val="24"/>
          <w:szCs w:val="24"/>
          <w:lang w:eastAsia="pl-PL"/>
        </w:rPr>
        <w:t>przypadku pozostałych, powodem niewykonania był fakt, że badania tych jezior zostały zrealizowane w roku 2021.</w:t>
      </w:r>
    </w:p>
    <w:p w14:paraId="058A6F61" w14:textId="77777777" w:rsidR="0025528B" w:rsidRPr="005E2831" w:rsidRDefault="0025528B" w:rsidP="0025528B">
      <w:pPr>
        <w:spacing w:after="60" w:line="300" w:lineRule="atLeast"/>
        <w:ind w:firstLine="567"/>
        <w:jc w:val="both"/>
        <w:rPr>
          <w:rFonts w:ascii="Times New Roman" w:eastAsia="Calibri" w:hAnsi="Times New Roman" w:cs="Times New Roman"/>
          <w:sz w:val="24"/>
          <w:szCs w:val="24"/>
          <w:lang w:eastAsia="pl-PL"/>
        </w:rPr>
      </w:pPr>
      <w:r w:rsidRPr="005E2831">
        <w:rPr>
          <w:rFonts w:ascii="Times New Roman" w:eastAsia="Calibri" w:hAnsi="Times New Roman" w:cs="Times New Roman"/>
          <w:sz w:val="24"/>
          <w:szCs w:val="24"/>
          <w:lang w:eastAsia="pl-PL"/>
        </w:rPr>
        <w:t xml:space="preserve">Oprócz badań wykonywanych przez CLB, na zlecenie DMŚ wykonano badania ichtiofauny w 80 </w:t>
      </w:r>
      <w:proofErr w:type="spellStart"/>
      <w:r w:rsidRPr="005E2831">
        <w:rPr>
          <w:rFonts w:ascii="Times New Roman" w:eastAsia="Calibri" w:hAnsi="Times New Roman" w:cs="Times New Roman"/>
          <w:sz w:val="24"/>
          <w:szCs w:val="24"/>
          <w:lang w:eastAsia="pl-PL"/>
        </w:rPr>
        <w:t>ppk</w:t>
      </w:r>
      <w:proofErr w:type="spellEnd"/>
      <w:r w:rsidRPr="005E2831">
        <w:rPr>
          <w:rFonts w:ascii="Times New Roman" w:eastAsia="Calibri" w:hAnsi="Times New Roman" w:cs="Times New Roman"/>
          <w:sz w:val="24"/>
          <w:szCs w:val="24"/>
          <w:lang w:eastAsia="pl-PL"/>
        </w:rPr>
        <w:t xml:space="preserve">, przy czym w 61 </w:t>
      </w:r>
      <w:proofErr w:type="spellStart"/>
      <w:r w:rsidRPr="005E2831">
        <w:rPr>
          <w:rFonts w:ascii="Times New Roman" w:eastAsia="Calibri" w:hAnsi="Times New Roman" w:cs="Times New Roman"/>
          <w:sz w:val="24"/>
          <w:szCs w:val="24"/>
          <w:lang w:eastAsia="pl-PL"/>
        </w:rPr>
        <w:t>ppk</w:t>
      </w:r>
      <w:proofErr w:type="spellEnd"/>
      <w:r w:rsidRPr="005E2831">
        <w:rPr>
          <w:rFonts w:ascii="Times New Roman" w:eastAsia="Calibri" w:hAnsi="Times New Roman" w:cs="Times New Roman"/>
          <w:sz w:val="24"/>
          <w:szCs w:val="24"/>
          <w:lang w:eastAsia="pl-PL"/>
        </w:rPr>
        <w:t xml:space="preserve"> wykonano  badania polegające na odłowach monitoringowych (LFI-CEN_PL), a w 29 </w:t>
      </w:r>
      <w:proofErr w:type="spellStart"/>
      <w:r w:rsidRPr="005E2831">
        <w:rPr>
          <w:rFonts w:ascii="Times New Roman" w:eastAsia="Calibri" w:hAnsi="Times New Roman" w:cs="Times New Roman"/>
          <w:sz w:val="24"/>
          <w:szCs w:val="24"/>
          <w:lang w:eastAsia="pl-PL"/>
        </w:rPr>
        <w:t>ppk</w:t>
      </w:r>
      <w:proofErr w:type="spellEnd"/>
      <w:r w:rsidRPr="005E2831">
        <w:rPr>
          <w:rFonts w:ascii="Times New Roman" w:eastAsia="Calibri" w:hAnsi="Times New Roman" w:cs="Times New Roman"/>
          <w:sz w:val="24"/>
          <w:szCs w:val="24"/>
          <w:lang w:eastAsia="pl-PL"/>
        </w:rPr>
        <w:t xml:space="preserve"> wykonano analizę danych z połowów gospodarczych (LFI+_PL). </w:t>
      </w:r>
    </w:p>
    <w:p w14:paraId="2ADF8740" w14:textId="77777777" w:rsidR="0025528B" w:rsidRPr="005E2831" w:rsidRDefault="0025528B" w:rsidP="0025528B">
      <w:pPr>
        <w:spacing w:after="60" w:line="300" w:lineRule="atLeast"/>
        <w:ind w:firstLine="567"/>
        <w:jc w:val="both"/>
        <w:rPr>
          <w:rFonts w:ascii="Times New Roman" w:eastAsia="Calibri" w:hAnsi="Times New Roman" w:cs="Times New Roman"/>
          <w:sz w:val="24"/>
          <w:szCs w:val="24"/>
          <w:lang w:eastAsia="pl-PL"/>
        </w:rPr>
      </w:pPr>
      <w:r w:rsidRPr="005E2831">
        <w:rPr>
          <w:rFonts w:ascii="Times New Roman" w:eastAsia="Calibri" w:hAnsi="Times New Roman" w:cs="Times New Roman"/>
          <w:sz w:val="24"/>
          <w:szCs w:val="24"/>
          <w:lang w:eastAsia="pl-PL"/>
        </w:rPr>
        <w:t xml:space="preserve">W 2022 r., Główny Inspektor Ochrony Środowiska zlecił wykonanie badań substancji priorytetowych w tkankach organizmów żywych. Badania wykonano w 80 JCWP jeziornych. W pobranych próbach oznaczono 11 substancji priorytetowych: </w:t>
      </w:r>
      <w:proofErr w:type="spellStart"/>
      <w:r w:rsidRPr="005E2831">
        <w:rPr>
          <w:rFonts w:ascii="Times New Roman" w:eastAsia="Calibri" w:hAnsi="Times New Roman" w:cs="Times New Roman"/>
          <w:sz w:val="24"/>
          <w:szCs w:val="24"/>
          <w:lang w:eastAsia="pl-PL"/>
        </w:rPr>
        <w:t>difenyloetery</w:t>
      </w:r>
      <w:proofErr w:type="spellEnd"/>
      <w:r w:rsidRPr="005E2831">
        <w:rPr>
          <w:rFonts w:ascii="Times New Roman" w:eastAsia="Calibri" w:hAnsi="Times New Roman" w:cs="Times New Roman"/>
          <w:sz w:val="24"/>
          <w:szCs w:val="24"/>
          <w:lang w:eastAsia="pl-PL"/>
        </w:rPr>
        <w:t xml:space="preserve"> bromowane, </w:t>
      </w:r>
      <w:proofErr w:type="spellStart"/>
      <w:r w:rsidRPr="005E2831">
        <w:rPr>
          <w:rFonts w:ascii="Times New Roman" w:eastAsia="Calibri" w:hAnsi="Times New Roman" w:cs="Times New Roman"/>
          <w:sz w:val="24"/>
          <w:szCs w:val="24"/>
          <w:lang w:eastAsia="pl-PL"/>
        </w:rPr>
        <w:t>fluoranten</w:t>
      </w:r>
      <w:proofErr w:type="spellEnd"/>
      <w:r w:rsidRPr="005E2831">
        <w:rPr>
          <w:rFonts w:ascii="Times New Roman" w:eastAsia="Calibri" w:hAnsi="Times New Roman" w:cs="Times New Roman"/>
          <w:sz w:val="24"/>
          <w:szCs w:val="24"/>
          <w:lang w:eastAsia="pl-PL"/>
        </w:rPr>
        <w:t xml:space="preserve">, </w:t>
      </w:r>
      <w:proofErr w:type="spellStart"/>
      <w:r w:rsidRPr="005E2831">
        <w:rPr>
          <w:rFonts w:ascii="Times New Roman" w:eastAsia="Calibri" w:hAnsi="Times New Roman" w:cs="Times New Roman"/>
          <w:sz w:val="24"/>
          <w:szCs w:val="24"/>
          <w:lang w:eastAsia="pl-PL"/>
        </w:rPr>
        <w:t>heksachlorobenzen</w:t>
      </w:r>
      <w:proofErr w:type="spellEnd"/>
      <w:r w:rsidRPr="005E2831">
        <w:rPr>
          <w:rFonts w:ascii="Times New Roman" w:eastAsia="Calibri" w:hAnsi="Times New Roman" w:cs="Times New Roman"/>
          <w:sz w:val="24"/>
          <w:szCs w:val="24"/>
          <w:lang w:eastAsia="pl-PL"/>
        </w:rPr>
        <w:t xml:space="preserve"> (HCB), </w:t>
      </w:r>
      <w:proofErr w:type="spellStart"/>
      <w:r w:rsidRPr="005E2831">
        <w:rPr>
          <w:rFonts w:ascii="Times New Roman" w:eastAsia="Calibri" w:hAnsi="Times New Roman" w:cs="Times New Roman"/>
          <w:sz w:val="24"/>
          <w:szCs w:val="24"/>
          <w:lang w:eastAsia="pl-PL"/>
        </w:rPr>
        <w:t>heksachlorobutadien</w:t>
      </w:r>
      <w:proofErr w:type="spellEnd"/>
      <w:r w:rsidRPr="005E2831">
        <w:rPr>
          <w:rFonts w:ascii="Times New Roman" w:eastAsia="Calibri" w:hAnsi="Times New Roman" w:cs="Times New Roman"/>
          <w:sz w:val="24"/>
          <w:szCs w:val="24"/>
          <w:lang w:eastAsia="pl-PL"/>
        </w:rPr>
        <w:t xml:space="preserve"> (HCBD), rtęć i jej związki, </w:t>
      </w:r>
      <w:proofErr w:type="spellStart"/>
      <w:r w:rsidRPr="005E2831">
        <w:rPr>
          <w:rFonts w:ascii="Times New Roman" w:eastAsia="Calibri" w:hAnsi="Times New Roman" w:cs="Times New Roman"/>
          <w:sz w:val="24"/>
          <w:szCs w:val="24"/>
          <w:lang w:eastAsia="pl-PL"/>
        </w:rPr>
        <w:t>benzo</w:t>
      </w:r>
      <w:proofErr w:type="spellEnd"/>
      <w:r w:rsidRPr="005E2831">
        <w:rPr>
          <w:rFonts w:ascii="Times New Roman" w:eastAsia="Calibri" w:hAnsi="Times New Roman" w:cs="Times New Roman"/>
          <w:sz w:val="24"/>
          <w:szCs w:val="24"/>
          <w:lang w:eastAsia="pl-PL"/>
        </w:rPr>
        <w:t>(a)</w:t>
      </w:r>
      <w:proofErr w:type="spellStart"/>
      <w:r w:rsidRPr="005E2831">
        <w:rPr>
          <w:rFonts w:ascii="Times New Roman" w:eastAsia="Calibri" w:hAnsi="Times New Roman" w:cs="Times New Roman"/>
          <w:sz w:val="24"/>
          <w:szCs w:val="24"/>
          <w:lang w:eastAsia="pl-PL"/>
        </w:rPr>
        <w:t>piren</w:t>
      </w:r>
      <w:proofErr w:type="spellEnd"/>
      <w:r w:rsidRPr="005E2831">
        <w:rPr>
          <w:rFonts w:ascii="Times New Roman" w:eastAsia="Calibri" w:hAnsi="Times New Roman" w:cs="Times New Roman"/>
          <w:sz w:val="24"/>
          <w:szCs w:val="24"/>
          <w:lang w:eastAsia="pl-PL"/>
        </w:rPr>
        <w:t xml:space="preserve">, </w:t>
      </w:r>
      <w:proofErr w:type="spellStart"/>
      <w:r w:rsidRPr="005E2831">
        <w:rPr>
          <w:rFonts w:ascii="Times New Roman" w:eastAsia="Calibri" w:hAnsi="Times New Roman" w:cs="Times New Roman"/>
          <w:sz w:val="24"/>
          <w:szCs w:val="24"/>
          <w:lang w:eastAsia="pl-PL"/>
        </w:rPr>
        <w:t>dikofol</w:t>
      </w:r>
      <w:proofErr w:type="spellEnd"/>
      <w:r w:rsidRPr="005E2831">
        <w:rPr>
          <w:rFonts w:ascii="Times New Roman" w:eastAsia="Calibri" w:hAnsi="Times New Roman" w:cs="Times New Roman"/>
          <w:sz w:val="24"/>
          <w:szCs w:val="24"/>
          <w:lang w:eastAsia="pl-PL"/>
        </w:rPr>
        <w:t xml:space="preserve">, kwas </w:t>
      </w:r>
      <w:proofErr w:type="spellStart"/>
      <w:r w:rsidRPr="005E2831">
        <w:rPr>
          <w:rFonts w:ascii="Times New Roman" w:eastAsia="Calibri" w:hAnsi="Times New Roman" w:cs="Times New Roman"/>
          <w:sz w:val="24"/>
          <w:szCs w:val="24"/>
          <w:lang w:eastAsia="pl-PL"/>
        </w:rPr>
        <w:t>perfluorooktanosulfonowy</w:t>
      </w:r>
      <w:proofErr w:type="spellEnd"/>
      <w:r w:rsidRPr="005E2831">
        <w:rPr>
          <w:rFonts w:ascii="Times New Roman" w:eastAsia="Calibri" w:hAnsi="Times New Roman" w:cs="Times New Roman"/>
          <w:sz w:val="24"/>
          <w:szCs w:val="24"/>
          <w:lang w:eastAsia="pl-PL"/>
        </w:rPr>
        <w:t xml:space="preserve"> (PFOS), dioksyny, </w:t>
      </w:r>
      <w:proofErr w:type="spellStart"/>
      <w:r w:rsidRPr="005E2831">
        <w:rPr>
          <w:rFonts w:ascii="Times New Roman" w:eastAsia="Calibri" w:hAnsi="Times New Roman" w:cs="Times New Roman"/>
          <w:sz w:val="24"/>
          <w:szCs w:val="24"/>
          <w:lang w:eastAsia="pl-PL"/>
        </w:rPr>
        <w:t>heksabromocyklododekan</w:t>
      </w:r>
      <w:proofErr w:type="spellEnd"/>
      <w:r w:rsidRPr="005E2831">
        <w:rPr>
          <w:rFonts w:ascii="Times New Roman" w:eastAsia="Calibri" w:hAnsi="Times New Roman" w:cs="Times New Roman"/>
          <w:sz w:val="24"/>
          <w:szCs w:val="24"/>
          <w:lang w:eastAsia="pl-PL"/>
        </w:rPr>
        <w:t xml:space="preserve">, </w:t>
      </w:r>
      <w:proofErr w:type="spellStart"/>
      <w:r w:rsidRPr="005E2831">
        <w:rPr>
          <w:rFonts w:ascii="Times New Roman" w:eastAsia="Calibri" w:hAnsi="Times New Roman" w:cs="Times New Roman"/>
          <w:sz w:val="24"/>
          <w:szCs w:val="24"/>
          <w:lang w:eastAsia="pl-PL"/>
        </w:rPr>
        <w:t>heptachlor</w:t>
      </w:r>
      <w:proofErr w:type="spellEnd"/>
      <w:r w:rsidRPr="005E2831">
        <w:rPr>
          <w:rFonts w:ascii="Times New Roman" w:eastAsia="Calibri" w:hAnsi="Times New Roman" w:cs="Times New Roman"/>
          <w:sz w:val="24"/>
          <w:szCs w:val="24"/>
          <w:lang w:eastAsia="pl-PL"/>
        </w:rPr>
        <w:t xml:space="preserve"> i epoksyd </w:t>
      </w:r>
      <w:proofErr w:type="spellStart"/>
      <w:r w:rsidRPr="005E2831">
        <w:rPr>
          <w:rFonts w:ascii="Times New Roman" w:eastAsia="Calibri" w:hAnsi="Times New Roman" w:cs="Times New Roman"/>
          <w:sz w:val="24"/>
          <w:szCs w:val="24"/>
          <w:lang w:eastAsia="pl-PL"/>
        </w:rPr>
        <w:t>heptachloru</w:t>
      </w:r>
      <w:proofErr w:type="spellEnd"/>
      <w:r w:rsidRPr="005E2831">
        <w:rPr>
          <w:rFonts w:ascii="Times New Roman" w:eastAsia="Calibri" w:hAnsi="Times New Roman" w:cs="Times New Roman"/>
          <w:sz w:val="24"/>
          <w:szCs w:val="24"/>
          <w:lang w:eastAsia="pl-PL"/>
        </w:rPr>
        <w:t>.</w:t>
      </w:r>
    </w:p>
    <w:p w14:paraId="5C545FC4" w14:textId="77777777" w:rsidR="0025528B" w:rsidRPr="005E2831" w:rsidRDefault="0025528B" w:rsidP="0025528B">
      <w:pPr>
        <w:spacing w:after="60" w:line="300" w:lineRule="atLeast"/>
        <w:ind w:firstLine="567"/>
        <w:jc w:val="both"/>
        <w:rPr>
          <w:rFonts w:ascii="Times New Roman" w:eastAsia="Calibri" w:hAnsi="Times New Roman" w:cs="Times New Roman"/>
          <w:sz w:val="24"/>
          <w:szCs w:val="24"/>
          <w:lang w:eastAsia="pl-PL"/>
        </w:rPr>
      </w:pPr>
      <w:r w:rsidRPr="005E2831">
        <w:rPr>
          <w:rFonts w:ascii="Times New Roman" w:eastAsia="Calibri" w:hAnsi="Times New Roman" w:cs="Times New Roman"/>
          <w:sz w:val="24"/>
          <w:szCs w:val="24"/>
          <w:lang w:eastAsia="pl-PL"/>
        </w:rPr>
        <w:lastRenderedPageBreak/>
        <w:t>Wśród wykonanych badań w 2022 r., podobnie jak w latach ubiegłych zaczynając od</w:t>
      </w:r>
      <w:r>
        <w:rPr>
          <w:rFonts w:ascii="Times New Roman" w:eastAsia="Calibri" w:hAnsi="Times New Roman" w:cs="Times New Roman"/>
          <w:sz w:val="24"/>
          <w:szCs w:val="24"/>
          <w:lang w:eastAsia="pl-PL"/>
        </w:rPr>
        <w:t> </w:t>
      </w:r>
      <w:r w:rsidRPr="005E2831">
        <w:rPr>
          <w:rFonts w:ascii="Times New Roman" w:eastAsia="Calibri" w:hAnsi="Times New Roman" w:cs="Times New Roman"/>
          <w:sz w:val="24"/>
          <w:szCs w:val="24"/>
          <w:lang w:eastAsia="pl-PL"/>
        </w:rPr>
        <w:t>2016 r., największa częstotliwość przekroczeń dopuszczalnej normy dla stężenia w tkankach biologicznych (EQS), analogicznie do badań w rzekach, wykazały 2 substancje priorytetowe. We wszystkich przebadanych 80 JCWP jeziornych stwierdzono przekroczenie EQS dla</w:t>
      </w:r>
      <w:r>
        <w:rPr>
          <w:rFonts w:ascii="Times New Roman" w:eastAsia="Calibri" w:hAnsi="Times New Roman" w:cs="Times New Roman"/>
          <w:sz w:val="24"/>
          <w:szCs w:val="24"/>
          <w:lang w:eastAsia="pl-PL"/>
        </w:rPr>
        <w:t> </w:t>
      </w:r>
      <w:r w:rsidRPr="005E2831">
        <w:rPr>
          <w:rFonts w:ascii="Times New Roman" w:eastAsia="Calibri" w:hAnsi="Times New Roman" w:cs="Times New Roman"/>
          <w:sz w:val="24"/>
          <w:szCs w:val="24"/>
          <w:lang w:eastAsia="pl-PL"/>
        </w:rPr>
        <w:t xml:space="preserve">bromowanych </w:t>
      </w:r>
      <w:proofErr w:type="spellStart"/>
      <w:r w:rsidRPr="005E2831">
        <w:rPr>
          <w:rFonts w:ascii="Times New Roman" w:eastAsia="Calibri" w:hAnsi="Times New Roman" w:cs="Times New Roman"/>
          <w:sz w:val="24"/>
          <w:szCs w:val="24"/>
          <w:lang w:eastAsia="pl-PL"/>
        </w:rPr>
        <w:t>difenyloeterów</w:t>
      </w:r>
      <w:proofErr w:type="spellEnd"/>
      <w:r w:rsidRPr="005E2831">
        <w:rPr>
          <w:rFonts w:ascii="Times New Roman" w:eastAsia="Calibri" w:hAnsi="Times New Roman" w:cs="Times New Roman"/>
          <w:sz w:val="24"/>
          <w:szCs w:val="24"/>
          <w:lang w:eastAsia="pl-PL"/>
        </w:rPr>
        <w:t xml:space="preserve"> w tkankach organizmów wodnych. Około 79% prób wykazała wartości powyżej dopuszczalnych norm dla rtęci i jej związków. </w:t>
      </w:r>
    </w:p>
    <w:p w14:paraId="2BEAC0EA" w14:textId="77777777" w:rsidR="0025528B" w:rsidRPr="005E2831" w:rsidRDefault="0025528B" w:rsidP="0025528B">
      <w:pPr>
        <w:spacing w:after="60" w:line="300" w:lineRule="atLeast"/>
        <w:ind w:firstLine="567"/>
        <w:jc w:val="both"/>
        <w:rPr>
          <w:rFonts w:ascii="Times New Roman" w:eastAsia="Calibri" w:hAnsi="Times New Roman" w:cs="Times New Roman"/>
          <w:sz w:val="24"/>
          <w:szCs w:val="24"/>
          <w:lang w:eastAsia="pl-PL"/>
        </w:rPr>
      </w:pPr>
      <w:r w:rsidRPr="005E2831">
        <w:rPr>
          <w:rFonts w:ascii="Times New Roman" w:eastAsia="Calibri" w:hAnsi="Times New Roman" w:cs="Times New Roman"/>
          <w:sz w:val="24"/>
          <w:szCs w:val="24"/>
          <w:lang w:eastAsia="pl-PL"/>
        </w:rPr>
        <w:t xml:space="preserve">Warte odnotowania są również przekroczenia EQS dla kwasu </w:t>
      </w:r>
      <w:proofErr w:type="spellStart"/>
      <w:r w:rsidRPr="005E2831">
        <w:rPr>
          <w:rFonts w:ascii="Times New Roman" w:eastAsia="Calibri" w:hAnsi="Times New Roman" w:cs="Times New Roman"/>
          <w:sz w:val="24"/>
          <w:szCs w:val="24"/>
          <w:lang w:eastAsia="pl-PL"/>
        </w:rPr>
        <w:t>perfluorooktanosulfonowego</w:t>
      </w:r>
      <w:proofErr w:type="spellEnd"/>
      <w:r w:rsidRPr="005E2831">
        <w:rPr>
          <w:rFonts w:ascii="Times New Roman" w:eastAsia="Calibri" w:hAnsi="Times New Roman" w:cs="Times New Roman"/>
          <w:sz w:val="24"/>
          <w:szCs w:val="24"/>
          <w:lang w:eastAsia="pl-PL"/>
        </w:rPr>
        <w:t xml:space="preserve"> (PFOS), ale wynosiły one jedynie około 1,5% przebadanych prób</w:t>
      </w:r>
      <w:r>
        <w:rPr>
          <w:rFonts w:ascii="Times New Roman" w:eastAsia="Calibri" w:hAnsi="Times New Roman" w:cs="Times New Roman"/>
          <w:sz w:val="24"/>
          <w:szCs w:val="24"/>
          <w:lang w:eastAsia="pl-PL"/>
        </w:rPr>
        <w:t>.</w:t>
      </w:r>
    </w:p>
    <w:p w14:paraId="67F79B42" w14:textId="77777777" w:rsidR="0025528B" w:rsidRPr="005E2831" w:rsidRDefault="0025528B" w:rsidP="0025528B">
      <w:pPr>
        <w:spacing w:after="60" w:line="300" w:lineRule="atLeast"/>
        <w:ind w:firstLine="567"/>
        <w:jc w:val="both"/>
        <w:rPr>
          <w:rFonts w:ascii="Times New Roman" w:eastAsia="Calibri" w:hAnsi="Times New Roman" w:cs="Times New Roman"/>
          <w:sz w:val="24"/>
          <w:szCs w:val="24"/>
          <w:lang w:eastAsia="pl-PL"/>
        </w:rPr>
      </w:pPr>
      <w:r w:rsidRPr="005E2831">
        <w:rPr>
          <w:rFonts w:ascii="Times New Roman" w:eastAsia="Calibri" w:hAnsi="Times New Roman" w:cs="Times New Roman"/>
          <w:sz w:val="24"/>
          <w:szCs w:val="24"/>
          <w:lang w:eastAsia="pl-PL"/>
        </w:rPr>
        <w:t>Dla pozostałych 8 substancji priorytetowych stwierdzono pojedyncze przekroczenia wartości EQS bądź ich nie stwierdzono. Badania stężeń substancji priorytetowych w</w:t>
      </w:r>
      <w:r>
        <w:rPr>
          <w:rFonts w:ascii="Times New Roman" w:eastAsia="Calibri" w:hAnsi="Times New Roman" w:cs="Times New Roman"/>
          <w:sz w:val="24"/>
          <w:szCs w:val="24"/>
          <w:lang w:eastAsia="pl-PL"/>
        </w:rPr>
        <w:t> </w:t>
      </w:r>
      <w:r w:rsidRPr="005E2831">
        <w:rPr>
          <w:rFonts w:ascii="Times New Roman" w:eastAsia="Calibri" w:hAnsi="Times New Roman" w:cs="Times New Roman"/>
          <w:sz w:val="24"/>
          <w:szCs w:val="24"/>
          <w:lang w:eastAsia="pl-PL"/>
        </w:rPr>
        <w:t xml:space="preserve">organizmach wodnych będą kontynuowane w następnych latach. </w:t>
      </w:r>
    </w:p>
    <w:p w14:paraId="210C3368" w14:textId="4B8962B1" w:rsidR="0025528B" w:rsidRPr="005E2831" w:rsidRDefault="0025528B" w:rsidP="0025528B">
      <w:pPr>
        <w:spacing w:after="60" w:line="300" w:lineRule="atLeast"/>
        <w:ind w:firstLine="567"/>
        <w:jc w:val="both"/>
        <w:rPr>
          <w:rFonts w:ascii="Times New Roman" w:eastAsia="Calibri" w:hAnsi="Times New Roman" w:cs="Times New Roman"/>
          <w:sz w:val="24"/>
          <w:szCs w:val="24"/>
          <w:lang w:eastAsia="pl-PL"/>
        </w:rPr>
      </w:pPr>
      <w:r w:rsidRPr="005E2831">
        <w:rPr>
          <w:rFonts w:ascii="Times New Roman" w:eastAsia="Calibri" w:hAnsi="Times New Roman" w:cs="Times New Roman"/>
          <w:sz w:val="24"/>
          <w:szCs w:val="24"/>
          <w:lang w:eastAsia="pl-PL"/>
        </w:rPr>
        <w:t xml:space="preserve">W 2022 r. wykonano klasyfikację i ocenę stanu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jeziornych za 2021 rok, na</w:t>
      </w:r>
      <w:r>
        <w:rPr>
          <w:rFonts w:ascii="Times New Roman" w:eastAsia="Calibri" w:hAnsi="Times New Roman" w:cs="Times New Roman"/>
          <w:sz w:val="24"/>
          <w:szCs w:val="24"/>
          <w:lang w:eastAsia="pl-PL"/>
        </w:rPr>
        <w:t> </w:t>
      </w:r>
      <w:r w:rsidRPr="005E2831">
        <w:rPr>
          <w:rFonts w:ascii="Times New Roman" w:eastAsia="Calibri" w:hAnsi="Times New Roman" w:cs="Times New Roman"/>
          <w:sz w:val="24"/>
          <w:szCs w:val="24"/>
          <w:lang w:eastAsia="pl-PL"/>
        </w:rPr>
        <w:t>podstawie zweryfikowanych danych monitoringowych z lat 2016-2021, zgodnie rozporządzeniem Ministra Infrastruktury z dnia 25 czerwca 2021 r. w sprawie klasyfikacji stanu ekologicznego, potencjału ekologicznego i stanu chemicznego oraz sposobu klasyfikacji stanu jednolitych części wód powierzchniowych, a także środowiskowych norm jakości dla</w:t>
      </w:r>
      <w:r>
        <w:rPr>
          <w:rFonts w:ascii="Times New Roman" w:eastAsia="Calibri" w:hAnsi="Times New Roman" w:cs="Times New Roman"/>
          <w:sz w:val="24"/>
          <w:szCs w:val="24"/>
          <w:lang w:eastAsia="pl-PL"/>
        </w:rPr>
        <w:t> </w:t>
      </w:r>
      <w:r w:rsidRPr="005E2831">
        <w:rPr>
          <w:rFonts w:ascii="Times New Roman" w:eastAsia="Calibri" w:hAnsi="Times New Roman" w:cs="Times New Roman"/>
          <w:sz w:val="24"/>
          <w:szCs w:val="24"/>
          <w:lang w:eastAsia="pl-PL"/>
        </w:rPr>
        <w:t>substancji priorytetowych</w:t>
      </w:r>
      <w:r w:rsidR="000120C8">
        <w:rPr>
          <w:rStyle w:val="Odwoanieprzypisudolnego"/>
          <w:rFonts w:eastAsia="Calibri" w:cs="Times New Roman"/>
          <w:szCs w:val="24"/>
          <w:lang w:eastAsia="pl-PL"/>
        </w:rPr>
        <w:footnoteReference w:id="91"/>
      </w:r>
      <w:r w:rsidRPr="005E2831">
        <w:rPr>
          <w:rFonts w:ascii="Times New Roman" w:eastAsia="Calibri" w:hAnsi="Times New Roman" w:cs="Times New Roman"/>
          <w:sz w:val="24"/>
          <w:szCs w:val="24"/>
          <w:lang w:eastAsia="pl-PL"/>
        </w:rPr>
        <w:t xml:space="preserve">. </w:t>
      </w:r>
    </w:p>
    <w:p w14:paraId="6C1CDCFE" w14:textId="77777777" w:rsidR="0025528B" w:rsidRPr="005E2831" w:rsidRDefault="0025528B" w:rsidP="0025528B">
      <w:pPr>
        <w:spacing w:after="60" w:line="300" w:lineRule="atLeast"/>
        <w:ind w:firstLine="567"/>
        <w:jc w:val="both"/>
        <w:rPr>
          <w:rFonts w:ascii="Times New Roman" w:eastAsia="Calibri" w:hAnsi="Times New Roman" w:cs="Times New Roman"/>
          <w:sz w:val="24"/>
          <w:szCs w:val="24"/>
          <w:lang w:eastAsia="pl-PL"/>
        </w:rPr>
      </w:pPr>
      <w:r w:rsidRPr="005E2831">
        <w:rPr>
          <w:rFonts w:ascii="Times New Roman" w:eastAsia="Calibri" w:hAnsi="Times New Roman" w:cs="Times New Roman"/>
          <w:sz w:val="24"/>
          <w:szCs w:val="24"/>
          <w:lang w:eastAsia="pl-PL"/>
        </w:rPr>
        <w:t xml:space="preserve"> Klasyfikację na podstawie monitoringu przeprowadzono dla: 720 naturalnych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jeziornych pod kątem stanu ekologicznego, 119 silnie zmienionych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jeziornych pod kątem potencjału ekologicznego i 712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jeziornych pod kątem stanu chemicznego, zaś oceny stanu dokonano dla 891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jeziornych.</w:t>
      </w:r>
    </w:p>
    <w:p w14:paraId="2A56EFAA" w14:textId="14E1C6A9" w:rsidR="0025528B" w:rsidRPr="005E2831" w:rsidRDefault="0025528B" w:rsidP="0025528B">
      <w:pPr>
        <w:spacing w:after="60" w:line="300" w:lineRule="atLeast"/>
        <w:ind w:firstLine="567"/>
        <w:jc w:val="both"/>
        <w:rPr>
          <w:rFonts w:ascii="Times New Roman" w:eastAsia="Calibri" w:hAnsi="Times New Roman" w:cs="Times New Roman"/>
          <w:sz w:val="24"/>
          <w:szCs w:val="24"/>
          <w:lang w:eastAsia="pl-PL"/>
        </w:rPr>
      </w:pPr>
      <w:r w:rsidRPr="005E2831">
        <w:rPr>
          <w:rFonts w:ascii="Times New Roman" w:eastAsia="Calibri" w:hAnsi="Times New Roman" w:cs="Times New Roman"/>
          <w:sz w:val="24"/>
          <w:szCs w:val="24"/>
          <w:lang w:eastAsia="pl-PL"/>
        </w:rPr>
        <w:t xml:space="preserve">Statystyczne podsumowanie klasyfikacji i oceny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jeziornych na podstawie monitoringu przedstawiono w tabeli </w:t>
      </w:r>
      <w:r w:rsidR="00406CC6">
        <w:rPr>
          <w:rFonts w:ascii="Times New Roman" w:eastAsia="Calibri" w:hAnsi="Times New Roman" w:cs="Times New Roman"/>
          <w:sz w:val="24"/>
          <w:szCs w:val="24"/>
          <w:lang w:eastAsia="pl-PL"/>
        </w:rPr>
        <w:t>26</w:t>
      </w:r>
      <w:r w:rsidRPr="005E2831">
        <w:rPr>
          <w:rFonts w:ascii="Times New Roman" w:eastAsia="Calibri" w:hAnsi="Times New Roman" w:cs="Times New Roman"/>
          <w:sz w:val="24"/>
          <w:szCs w:val="24"/>
          <w:lang w:eastAsia="pl-PL"/>
        </w:rPr>
        <w:t xml:space="preserve">. Uwzględniono przy tym podział na dorzecza, a także wskazano łączną liczbę klasyfikowanych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Liczba niesklasyfikowanych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oznacza w</w:t>
      </w:r>
      <w:r>
        <w:rPr>
          <w:rFonts w:ascii="Times New Roman" w:eastAsia="Calibri" w:hAnsi="Times New Roman" w:cs="Times New Roman"/>
          <w:sz w:val="24"/>
          <w:szCs w:val="24"/>
          <w:lang w:eastAsia="pl-PL"/>
        </w:rPr>
        <w:t> </w:t>
      </w:r>
      <w:r w:rsidRPr="005E2831">
        <w:rPr>
          <w:rFonts w:ascii="Times New Roman" w:eastAsia="Calibri" w:hAnsi="Times New Roman" w:cs="Times New Roman"/>
          <w:sz w:val="24"/>
          <w:szCs w:val="24"/>
          <w:lang w:eastAsia="pl-PL"/>
        </w:rPr>
        <w:t xml:space="preserve">tym przypadku liczbę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dla których badania monitoringowe nie były wystarczające do</w:t>
      </w:r>
      <w:r>
        <w:rPr>
          <w:rFonts w:ascii="Times New Roman" w:eastAsia="Calibri" w:hAnsi="Times New Roman" w:cs="Times New Roman"/>
          <w:sz w:val="24"/>
          <w:szCs w:val="24"/>
          <w:lang w:eastAsia="pl-PL"/>
        </w:rPr>
        <w:t> </w:t>
      </w:r>
      <w:r w:rsidRPr="005E2831">
        <w:rPr>
          <w:rFonts w:ascii="Times New Roman" w:eastAsia="Calibri" w:hAnsi="Times New Roman" w:cs="Times New Roman"/>
          <w:sz w:val="24"/>
          <w:szCs w:val="24"/>
          <w:lang w:eastAsia="pl-PL"/>
        </w:rPr>
        <w:t>przeprowadzenia klasyfikacji stanu/potencjału ekologicznego lub stanu chemicznego.</w:t>
      </w:r>
    </w:p>
    <w:p w14:paraId="7E8F1EEA" w14:textId="77777777" w:rsidR="008A0D53" w:rsidRPr="005E2831" w:rsidRDefault="008A0D53" w:rsidP="008A0D53">
      <w:pPr>
        <w:spacing w:after="60" w:line="300" w:lineRule="atLeast"/>
        <w:ind w:firstLine="709"/>
        <w:jc w:val="both"/>
        <w:rPr>
          <w:rFonts w:ascii="Times New Roman" w:hAnsi="Times New Roman" w:cs="Times New Roman"/>
          <w:sz w:val="24"/>
          <w:szCs w:val="24"/>
        </w:rPr>
      </w:pPr>
      <w:r w:rsidRPr="005E2831">
        <w:rPr>
          <w:rFonts w:ascii="Times New Roman" w:hAnsi="Times New Roman" w:cs="Times New Roman"/>
          <w:sz w:val="24"/>
          <w:szCs w:val="24"/>
        </w:rPr>
        <w:t xml:space="preserve">Klasyfikacja stanu ekologicznego w oparciu o wyniki monitoringu była możliwa </w:t>
      </w:r>
      <w:r w:rsidRPr="005E2831">
        <w:rPr>
          <w:rFonts w:ascii="Times New Roman" w:hAnsi="Times New Roman" w:cs="Times New Roman"/>
          <w:sz w:val="24"/>
          <w:szCs w:val="24"/>
        </w:rPr>
        <w:br/>
        <w:t xml:space="preserve">w 641 monitorowanych naturalnych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jeziornych. Największy udział w sklasyfikowanych</w:t>
      </w:r>
      <w:r w:rsidRPr="005E2831">
        <w:rPr>
          <w:rFonts w:ascii="Times New Roman" w:hAnsi="Times New Roman" w:cs="Times New Roman"/>
          <w:sz w:val="24"/>
          <w:szCs w:val="24"/>
        </w:rPr>
        <w:br/>
        <w:t xml:space="preserve">naturalnych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stanowią te o umiarkowanym stanie ekologicznym (44,6%). Bardzo dobry stan ekologiczny odnotowano w 1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jeziornej, stan zły natomiast w 84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hAnsi="Times New Roman" w:cs="Times New Roman"/>
          <w:sz w:val="24"/>
          <w:szCs w:val="24"/>
        </w:rPr>
        <w:t xml:space="preserve">, co stanowi 11,7% wszystkich sklasyfikowanych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hAnsi="Times New Roman" w:cs="Times New Roman"/>
          <w:sz w:val="24"/>
          <w:szCs w:val="24"/>
        </w:rPr>
        <w:t xml:space="preserve">. Pozostałe jeziora osiągnęły stan dobry (12,8%) lub słaby (19,9%). Dla 11%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jeziornych nie można było wykonać klasyfikacji.</w:t>
      </w:r>
    </w:p>
    <w:p w14:paraId="64351C1B" w14:textId="53A1EBD2" w:rsidR="0025528B" w:rsidRDefault="008A0D53" w:rsidP="004E37F6">
      <w:pPr>
        <w:spacing w:after="60" w:line="300" w:lineRule="atLeast"/>
        <w:ind w:firstLine="709"/>
        <w:jc w:val="both"/>
        <w:rPr>
          <w:rFonts w:ascii="Times New Roman" w:eastAsia="Calibri" w:hAnsi="Times New Roman" w:cs="Times New Roman"/>
          <w:sz w:val="24"/>
          <w:szCs w:val="24"/>
          <w:lang w:eastAsia="pl-PL"/>
        </w:rPr>
      </w:pPr>
      <w:r w:rsidRPr="005E2831">
        <w:rPr>
          <w:rFonts w:ascii="Times New Roman" w:hAnsi="Times New Roman" w:cs="Times New Roman"/>
          <w:sz w:val="24"/>
          <w:szCs w:val="24"/>
        </w:rPr>
        <w:t xml:space="preserve">Klasyfikacja potencjału ekologicznego była możliwa natomiast w 108 monitorowanych silnie zmienionych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jeziornych. Procentowy rozkład wyników przedstawia się następująco – 10,1% jezior osiągnęła dobry potencjał ekologiczny, 34,5% umiarkowany potencjał ekologiczny, w 21% </w:t>
      </w:r>
      <w:proofErr w:type="spellStart"/>
      <w:r w:rsidRPr="005E2831">
        <w:rPr>
          <w:rFonts w:ascii="Times New Roman" w:hAnsi="Times New Roman" w:cs="Times New Roman"/>
          <w:sz w:val="24"/>
          <w:szCs w:val="24"/>
        </w:rPr>
        <w:t>jcwp</w:t>
      </w:r>
      <w:proofErr w:type="spellEnd"/>
      <w:r w:rsidRPr="005E2831">
        <w:rPr>
          <w:rFonts w:ascii="Times New Roman" w:hAnsi="Times New Roman" w:cs="Times New Roman"/>
          <w:sz w:val="24"/>
          <w:szCs w:val="24"/>
        </w:rPr>
        <w:t xml:space="preserve"> odnotowano słaby potencjał ekologiczny a w 25% zły potencjał ekologiczny. W żadnej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jeziornej nie odnotowano maksymalnego potencjału ekologicznego. Dla 9,2%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jeziornych nie można było wykonać klasyfikacji.</w:t>
      </w:r>
    </w:p>
    <w:p w14:paraId="4F952FE3" w14:textId="77777777" w:rsidR="008A0D53" w:rsidRDefault="008A0D53" w:rsidP="0025528B">
      <w:pPr>
        <w:spacing w:after="60" w:line="300" w:lineRule="atLeast"/>
        <w:jc w:val="both"/>
        <w:rPr>
          <w:rFonts w:ascii="Times New Roman" w:eastAsia="Times New Roman" w:hAnsi="Times New Roman" w:cs="Times New Roman"/>
          <w:b/>
          <w:bCs/>
          <w:iCs/>
        </w:rPr>
      </w:pPr>
    </w:p>
    <w:p w14:paraId="64841F5C" w14:textId="13B987A3" w:rsidR="0025528B" w:rsidRPr="005E2831" w:rsidRDefault="0025528B" w:rsidP="0025528B">
      <w:pPr>
        <w:spacing w:after="60" w:line="300" w:lineRule="atLeast"/>
        <w:jc w:val="both"/>
        <w:rPr>
          <w:rFonts w:ascii="Times New Roman" w:hAnsi="Times New Roman" w:cs="Times New Roman"/>
          <w:b/>
        </w:rPr>
      </w:pPr>
      <w:r w:rsidRPr="005E2831">
        <w:rPr>
          <w:rFonts w:ascii="Times New Roman" w:eastAsia="Times New Roman" w:hAnsi="Times New Roman" w:cs="Times New Roman"/>
          <w:b/>
          <w:bCs/>
          <w:iCs/>
        </w:rPr>
        <w:t xml:space="preserve">Tabela </w:t>
      </w:r>
      <w:r w:rsidR="001D61F0">
        <w:rPr>
          <w:rFonts w:ascii="Times New Roman" w:eastAsia="Times New Roman" w:hAnsi="Times New Roman" w:cs="Times New Roman"/>
          <w:b/>
          <w:bCs/>
          <w:iCs/>
        </w:rPr>
        <w:t>26</w:t>
      </w:r>
      <w:r w:rsidRPr="005E2831">
        <w:rPr>
          <w:rFonts w:ascii="Times New Roman" w:eastAsia="Times New Roman" w:hAnsi="Times New Roman" w:cs="Times New Roman"/>
          <w:b/>
          <w:bCs/>
          <w:iCs/>
        </w:rPr>
        <w:t xml:space="preserve">. </w:t>
      </w:r>
      <w:r w:rsidRPr="005E2831">
        <w:rPr>
          <w:rFonts w:ascii="Times New Roman" w:hAnsi="Times New Roman" w:cs="Times New Roman"/>
          <w:b/>
          <w:bCs/>
          <w:iCs/>
        </w:rPr>
        <w:t>Podsumowanie statystyczne klasyfikacji i oceny jednolitych części wód jeziornych dokonanej za 2021 rok na podstawie monitoringu, w podziale na dorzecza</w:t>
      </w:r>
      <w:r w:rsidRPr="005E2831">
        <w:rPr>
          <w:rFonts w:ascii="Times New Roman" w:hAnsi="Times New Roman" w:cs="Times New Roman"/>
        </w:rPr>
        <w:fldChar w:fldCharType="begin"/>
      </w:r>
      <w:r w:rsidRPr="005E2831">
        <w:rPr>
          <w:rFonts w:ascii="Times New Roman" w:hAnsi="Times New Roman" w:cs="Times New Roman"/>
        </w:rPr>
        <w:instrText xml:space="preserve"> LINK Excel.Sheet.12 "\\\\192.168.0.240\\dm\\Katalog DM\\WODY\\SPRAWOZDANIA Z DZIALALNOSCI\\SPRAWOZDANIE ZA 2022\\Tabele ocenowe do sprawozdania.xlsx" "Tab. 7!W4K1:W32K8" \a \f 4 \h  \* MERGEFORMAT </w:instrText>
      </w:r>
      <w:r w:rsidRPr="005E2831">
        <w:rPr>
          <w:rFonts w:ascii="Times New Roman" w:hAnsi="Times New Roman" w:cs="Times New Roman"/>
        </w:rPr>
        <w:fldChar w:fldCharType="separate"/>
      </w:r>
    </w:p>
    <w:tbl>
      <w:tblPr>
        <w:tblW w:w="9100" w:type="dxa"/>
        <w:jc w:val="center"/>
        <w:tblCellMar>
          <w:left w:w="70" w:type="dxa"/>
          <w:right w:w="70" w:type="dxa"/>
        </w:tblCellMar>
        <w:tblLook w:val="04A0" w:firstRow="1" w:lastRow="0" w:firstColumn="1" w:lastColumn="0" w:noHBand="0" w:noVBand="1"/>
      </w:tblPr>
      <w:tblGrid>
        <w:gridCol w:w="960"/>
        <w:gridCol w:w="2440"/>
        <w:gridCol w:w="960"/>
        <w:gridCol w:w="960"/>
        <w:gridCol w:w="960"/>
        <w:gridCol w:w="960"/>
        <w:gridCol w:w="960"/>
        <w:gridCol w:w="900"/>
      </w:tblGrid>
      <w:tr w:rsidR="0025528B" w:rsidRPr="005E2831" w14:paraId="27FA75D3" w14:textId="77777777" w:rsidTr="0025528B">
        <w:trPr>
          <w:trHeight w:val="450"/>
          <w:jc w:val="center"/>
        </w:trPr>
        <w:tc>
          <w:tcPr>
            <w:tcW w:w="3400" w:type="dxa"/>
            <w:gridSpan w:val="2"/>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3BB3E74F"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lastRenderedPageBreak/>
              <w:t>Oceny jednolitych części wód powierzchniowych jeziornych</w:t>
            </w:r>
          </w:p>
        </w:tc>
        <w:tc>
          <w:tcPr>
            <w:tcW w:w="4800" w:type="dxa"/>
            <w:gridSpan w:val="5"/>
            <w:vMerge w:val="restart"/>
            <w:tcBorders>
              <w:top w:val="single" w:sz="4" w:space="0" w:color="auto"/>
              <w:left w:val="single" w:sz="4" w:space="0" w:color="auto"/>
              <w:bottom w:val="single" w:sz="4" w:space="0" w:color="000000"/>
              <w:right w:val="single" w:sz="4" w:space="0" w:color="000000"/>
            </w:tcBorders>
            <w:shd w:val="clear" w:color="000000" w:fill="BFBFBF"/>
            <w:vAlign w:val="center"/>
            <w:hideMark/>
          </w:tcPr>
          <w:p w14:paraId="7FBDA833"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Dorzecze</w:t>
            </w:r>
          </w:p>
        </w:tc>
        <w:tc>
          <w:tcPr>
            <w:tcW w:w="900" w:type="dxa"/>
            <w:vMerge w:val="restart"/>
            <w:tcBorders>
              <w:top w:val="single" w:sz="4" w:space="0" w:color="auto"/>
              <w:left w:val="single" w:sz="4" w:space="0" w:color="auto"/>
              <w:bottom w:val="single" w:sz="4" w:space="0" w:color="000000"/>
              <w:right w:val="single" w:sz="4" w:space="0" w:color="auto"/>
            </w:tcBorders>
            <w:shd w:val="clear" w:color="000000" w:fill="BFBFBF"/>
            <w:vAlign w:val="center"/>
            <w:hideMark/>
          </w:tcPr>
          <w:p w14:paraId="29EA98F3"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Łącznie</w:t>
            </w:r>
          </w:p>
        </w:tc>
      </w:tr>
      <w:tr w:rsidR="0025528B" w:rsidRPr="005E2831" w14:paraId="41BD0A32" w14:textId="77777777" w:rsidTr="0025528B">
        <w:trPr>
          <w:trHeight w:val="450"/>
          <w:jc w:val="center"/>
        </w:trPr>
        <w:tc>
          <w:tcPr>
            <w:tcW w:w="3400" w:type="dxa"/>
            <w:gridSpan w:val="2"/>
            <w:vMerge/>
            <w:tcBorders>
              <w:top w:val="single" w:sz="4" w:space="0" w:color="auto"/>
              <w:left w:val="single" w:sz="4" w:space="0" w:color="auto"/>
              <w:bottom w:val="single" w:sz="4" w:space="0" w:color="auto"/>
              <w:right w:val="single" w:sz="4" w:space="0" w:color="auto"/>
            </w:tcBorders>
            <w:vAlign w:val="center"/>
            <w:hideMark/>
          </w:tcPr>
          <w:p w14:paraId="4E86E76F"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4800" w:type="dxa"/>
            <w:gridSpan w:val="5"/>
            <w:vMerge/>
            <w:tcBorders>
              <w:top w:val="single" w:sz="4" w:space="0" w:color="auto"/>
              <w:left w:val="single" w:sz="4" w:space="0" w:color="auto"/>
              <w:bottom w:val="single" w:sz="4" w:space="0" w:color="000000"/>
              <w:right w:val="single" w:sz="4" w:space="0" w:color="000000"/>
            </w:tcBorders>
            <w:vAlign w:val="center"/>
            <w:hideMark/>
          </w:tcPr>
          <w:p w14:paraId="2869679D"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900" w:type="dxa"/>
            <w:vMerge/>
            <w:tcBorders>
              <w:top w:val="single" w:sz="4" w:space="0" w:color="auto"/>
              <w:left w:val="single" w:sz="4" w:space="0" w:color="auto"/>
              <w:bottom w:val="single" w:sz="4" w:space="0" w:color="000000"/>
              <w:right w:val="single" w:sz="4" w:space="0" w:color="auto"/>
            </w:tcBorders>
            <w:vAlign w:val="center"/>
            <w:hideMark/>
          </w:tcPr>
          <w:p w14:paraId="6EB8C727"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r>
      <w:tr w:rsidR="0025528B" w:rsidRPr="005E2831" w14:paraId="79FF3C05" w14:textId="77777777" w:rsidTr="0025528B">
        <w:trPr>
          <w:trHeight w:val="300"/>
          <w:jc w:val="center"/>
        </w:trPr>
        <w:tc>
          <w:tcPr>
            <w:tcW w:w="3400" w:type="dxa"/>
            <w:gridSpan w:val="2"/>
            <w:vMerge/>
            <w:tcBorders>
              <w:top w:val="single" w:sz="4" w:space="0" w:color="auto"/>
              <w:left w:val="single" w:sz="4" w:space="0" w:color="auto"/>
              <w:bottom w:val="single" w:sz="4" w:space="0" w:color="auto"/>
              <w:right w:val="single" w:sz="4" w:space="0" w:color="auto"/>
            </w:tcBorders>
            <w:vAlign w:val="center"/>
            <w:hideMark/>
          </w:tcPr>
          <w:p w14:paraId="0C3CF0B7"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960" w:type="dxa"/>
            <w:tcBorders>
              <w:top w:val="nil"/>
              <w:left w:val="nil"/>
              <w:bottom w:val="single" w:sz="4" w:space="0" w:color="auto"/>
              <w:right w:val="single" w:sz="4" w:space="0" w:color="auto"/>
            </w:tcBorders>
            <w:shd w:val="clear" w:color="000000" w:fill="BFBFBF"/>
            <w:vAlign w:val="center"/>
            <w:hideMark/>
          </w:tcPr>
          <w:p w14:paraId="18EB5A13"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Wisła</w:t>
            </w:r>
          </w:p>
        </w:tc>
        <w:tc>
          <w:tcPr>
            <w:tcW w:w="960" w:type="dxa"/>
            <w:tcBorders>
              <w:top w:val="nil"/>
              <w:left w:val="nil"/>
              <w:bottom w:val="single" w:sz="4" w:space="0" w:color="auto"/>
              <w:right w:val="single" w:sz="4" w:space="0" w:color="auto"/>
            </w:tcBorders>
            <w:shd w:val="clear" w:color="000000" w:fill="BFBFBF"/>
            <w:vAlign w:val="center"/>
            <w:hideMark/>
          </w:tcPr>
          <w:p w14:paraId="17EB4A38"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Odra</w:t>
            </w:r>
          </w:p>
        </w:tc>
        <w:tc>
          <w:tcPr>
            <w:tcW w:w="960" w:type="dxa"/>
            <w:tcBorders>
              <w:top w:val="nil"/>
              <w:left w:val="nil"/>
              <w:bottom w:val="single" w:sz="4" w:space="0" w:color="auto"/>
              <w:right w:val="single" w:sz="4" w:space="0" w:color="auto"/>
            </w:tcBorders>
            <w:shd w:val="clear" w:color="000000" w:fill="BFBFBF"/>
            <w:vAlign w:val="center"/>
            <w:hideMark/>
          </w:tcPr>
          <w:p w14:paraId="388B0C7A"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Niemen</w:t>
            </w:r>
          </w:p>
        </w:tc>
        <w:tc>
          <w:tcPr>
            <w:tcW w:w="960" w:type="dxa"/>
            <w:tcBorders>
              <w:top w:val="nil"/>
              <w:left w:val="nil"/>
              <w:bottom w:val="single" w:sz="4" w:space="0" w:color="auto"/>
              <w:right w:val="single" w:sz="4" w:space="0" w:color="auto"/>
            </w:tcBorders>
            <w:shd w:val="clear" w:color="000000" w:fill="BFBFBF"/>
            <w:vAlign w:val="center"/>
            <w:hideMark/>
          </w:tcPr>
          <w:p w14:paraId="496A7EC2"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Pregoła</w:t>
            </w:r>
          </w:p>
        </w:tc>
        <w:tc>
          <w:tcPr>
            <w:tcW w:w="960" w:type="dxa"/>
            <w:tcBorders>
              <w:top w:val="nil"/>
              <w:left w:val="nil"/>
              <w:bottom w:val="single" w:sz="4" w:space="0" w:color="auto"/>
              <w:right w:val="single" w:sz="4" w:space="0" w:color="auto"/>
            </w:tcBorders>
            <w:shd w:val="clear" w:color="000000" w:fill="BFBFBF"/>
            <w:vAlign w:val="center"/>
            <w:hideMark/>
          </w:tcPr>
          <w:p w14:paraId="158DBB89"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Świeża</w:t>
            </w:r>
          </w:p>
        </w:tc>
        <w:tc>
          <w:tcPr>
            <w:tcW w:w="900" w:type="dxa"/>
            <w:vMerge/>
            <w:tcBorders>
              <w:top w:val="single" w:sz="4" w:space="0" w:color="auto"/>
              <w:left w:val="single" w:sz="4" w:space="0" w:color="auto"/>
              <w:bottom w:val="single" w:sz="4" w:space="0" w:color="000000"/>
              <w:right w:val="single" w:sz="4" w:space="0" w:color="auto"/>
            </w:tcBorders>
            <w:vAlign w:val="center"/>
            <w:hideMark/>
          </w:tcPr>
          <w:p w14:paraId="79602F30"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r>
      <w:tr w:rsidR="0025528B" w:rsidRPr="005E2831" w14:paraId="09534810" w14:textId="77777777" w:rsidTr="0025528B">
        <w:trPr>
          <w:trHeight w:val="450"/>
          <w:jc w:val="center"/>
        </w:trPr>
        <w:tc>
          <w:tcPr>
            <w:tcW w:w="96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4FAE881F"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Klasyfikacja stanu</w:t>
            </w:r>
            <w:r w:rsidRPr="00C00651">
              <w:rPr>
                <w:rFonts w:ascii="Times New Roman" w:eastAsia="Times New Roman" w:hAnsi="Times New Roman" w:cs="Times New Roman"/>
                <w:color w:val="000000"/>
                <w:sz w:val="18"/>
                <w:szCs w:val="18"/>
                <w:lang w:eastAsia="pl-PL"/>
              </w:rPr>
              <w:br/>
              <w:t>ekologicznego</w:t>
            </w:r>
          </w:p>
        </w:tc>
        <w:tc>
          <w:tcPr>
            <w:tcW w:w="2440" w:type="dxa"/>
            <w:tcBorders>
              <w:top w:val="nil"/>
              <w:left w:val="nil"/>
              <w:bottom w:val="single" w:sz="4" w:space="0" w:color="auto"/>
              <w:right w:val="single" w:sz="4" w:space="0" w:color="auto"/>
            </w:tcBorders>
            <w:shd w:val="clear" w:color="000000" w:fill="00B0F0"/>
            <w:vAlign w:val="center"/>
            <w:hideMark/>
          </w:tcPr>
          <w:p w14:paraId="75A8F449"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Bardzo dobry</w:t>
            </w:r>
          </w:p>
        </w:tc>
        <w:tc>
          <w:tcPr>
            <w:tcW w:w="960" w:type="dxa"/>
            <w:tcBorders>
              <w:top w:val="nil"/>
              <w:left w:val="nil"/>
              <w:bottom w:val="single" w:sz="4" w:space="0" w:color="auto"/>
              <w:right w:val="single" w:sz="4" w:space="0" w:color="auto"/>
            </w:tcBorders>
            <w:shd w:val="clear" w:color="auto" w:fill="auto"/>
            <w:noWrap/>
            <w:vAlign w:val="center"/>
            <w:hideMark/>
          </w:tcPr>
          <w:p w14:paraId="6DB08B5A"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28DEFF32"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0DF0F29D"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w:t>
            </w:r>
          </w:p>
        </w:tc>
        <w:tc>
          <w:tcPr>
            <w:tcW w:w="960" w:type="dxa"/>
            <w:tcBorders>
              <w:top w:val="nil"/>
              <w:left w:val="nil"/>
              <w:bottom w:val="single" w:sz="4" w:space="0" w:color="auto"/>
              <w:right w:val="single" w:sz="4" w:space="0" w:color="auto"/>
            </w:tcBorders>
            <w:shd w:val="clear" w:color="auto" w:fill="auto"/>
            <w:noWrap/>
            <w:vAlign w:val="center"/>
            <w:hideMark/>
          </w:tcPr>
          <w:p w14:paraId="6F983584"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3D4A09E8"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00" w:type="dxa"/>
            <w:tcBorders>
              <w:top w:val="nil"/>
              <w:left w:val="nil"/>
              <w:bottom w:val="single" w:sz="4" w:space="0" w:color="auto"/>
              <w:right w:val="single" w:sz="4" w:space="0" w:color="auto"/>
            </w:tcBorders>
            <w:shd w:val="clear" w:color="auto" w:fill="auto"/>
            <w:noWrap/>
            <w:vAlign w:val="center"/>
            <w:hideMark/>
          </w:tcPr>
          <w:p w14:paraId="5C6AD3FC"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w:t>
            </w:r>
          </w:p>
        </w:tc>
      </w:tr>
      <w:tr w:rsidR="0025528B" w:rsidRPr="005E2831" w14:paraId="4EF4A44F" w14:textId="77777777" w:rsidTr="0025528B">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5B00354C"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440" w:type="dxa"/>
            <w:tcBorders>
              <w:top w:val="nil"/>
              <w:left w:val="nil"/>
              <w:bottom w:val="single" w:sz="4" w:space="0" w:color="auto"/>
              <w:right w:val="single" w:sz="4" w:space="0" w:color="auto"/>
            </w:tcBorders>
            <w:shd w:val="clear" w:color="000000" w:fill="92D050"/>
            <w:vAlign w:val="center"/>
            <w:hideMark/>
          </w:tcPr>
          <w:p w14:paraId="32099A3F"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Dobry</w:t>
            </w:r>
          </w:p>
        </w:tc>
        <w:tc>
          <w:tcPr>
            <w:tcW w:w="960" w:type="dxa"/>
            <w:tcBorders>
              <w:top w:val="nil"/>
              <w:left w:val="nil"/>
              <w:bottom w:val="single" w:sz="4" w:space="0" w:color="auto"/>
              <w:right w:val="single" w:sz="4" w:space="0" w:color="auto"/>
            </w:tcBorders>
            <w:shd w:val="clear" w:color="auto" w:fill="auto"/>
            <w:noWrap/>
            <w:vAlign w:val="center"/>
            <w:hideMark/>
          </w:tcPr>
          <w:p w14:paraId="356F4378"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36</w:t>
            </w:r>
          </w:p>
        </w:tc>
        <w:tc>
          <w:tcPr>
            <w:tcW w:w="960" w:type="dxa"/>
            <w:tcBorders>
              <w:top w:val="nil"/>
              <w:left w:val="nil"/>
              <w:bottom w:val="single" w:sz="4" w:space="0" w:color="auto"/>
              <w:right w:val="single" w:sz="4" w:space="0" w:color="auto"/>
            </w:tcBorders>
            <w:shd w:val="clear" w:color="auto" w:fill="auto"/>
            <w:noWrap/>
            <w:vAlign w:val="center"/>
            <w:hideMark/>
          </w:tcPr>
          <w:p w14:paraId="087C319B"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33</w:t>
            </w:r>
          </w:p>
        </w:tc>
        <w:tc>
          <w:tcPr>
            <w:tcW w:w="960" w:type="dxa"/>
            <w:tcBorders>
              <w:top w:val="nil"/>
              <w:left w:val="nil"/>
              <w:bottom w:val="single" w:sz="4" w:space="0" w:color="auto"/>
              <w:right w:val="single" w:sz="4" w:space="0" w:color="auto"/>
            </w:tcBorders>
            <w:shd w:val="clear" w:color="auto" w:fill="auto"/>
            <w:noWrap/>
            <w:vAlign w:val="center"/>
            <w:hideMark/>
          </w:tcPr>
          <w:p w14:paraId="1F87C713"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17</w:t>
            </w:r>
          </w:p>
        </w:tc>
        <w:tc>
          <w:tcPr>
            <w:tcW w:w="960" w:type="dxa"/>
            <w:tcBorders>
              <w:top w:val="nil"/>
              <w:left w:val="nil"/>
              <w:bottom w:val="single" w:sz="4" w:space="0" w:color="auto"/>
              <w:right w:val="single" w:sz="4" w:space="0" w:color="auto"/>
            </w:tcBorders>
            <w:shd w:val="clear" w:color="auto" w:fill="auto"/>
            <w:noWrap/>
            <w:vAlign w:val="center"/>
            <w:hideMark/>
          </w:tcPr>
          <w:p w14:paraId="36ECED7C"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6</w:t>
            </w:r>
          </w:p>
        </w:tc>
        <w:tc>
          <w:tcPr>
            <w:tcW w:w="960" w:type="dxa"/>
            <w:tcBorders>
              <w:top w:val="nil"/>
              <w:left w:val="nil"/>
              <w:bottom w:val="single" w:sz="4" w:space="0" w:color="auto"/>
              <w:right w:val="single" w:sz="4" w:space="0" w:color="auto"/>
            </w:tcBorders>
            <w:shd w:val="clear" w:color="auto" w:fill="auto"/>
            <w:noWrap/>
            <w:vAlign w:val="center"/>
            <w:hideMark/>
          </w:tcPr>
          <w:p w14:paraId="3A5F6FC2"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00" w:type="dxa"/>
            <w:tcBorders>
              <w:top w:val="nil"/>
              <w:left w:val="nil"/>
              <w:bottom w:val="single" w:sz="4" w:space="0" w:color="auto"/>
              <w:right w:val="single" w:sz="4" w:space="0" w:color="auto"/>
            </w:tcBorders>
            <w:shd w:val="clear" w:color="auto" w:fill="auto"/>
            <w:noWrap/>
            <w:vAlign w:val="center"/>
            <w:hideMark/>
          </w:tcPr>
          <w:p w14:paraId="7A4F4AC7"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92</w:t>
            </w:r>
          </w:p>
        </w:tc>
      </w:tr>
      <w:tr w:rsidR="0025528B" w:rsidRPr="005E2831" w14:paraId="45633DCC" w14:textId="77777777" w:rsidTr="0025528B">
        <w:trPr>
          <w:trHeight w:val="450"/>
          <w:jc w:val="center"/>
        </w:trPr>
        <w:tc>
          <w:tcPr>
            <w:tcW w:w="960" w:type="dxa"/>
            <w:vMerge/>
            <w:tcBorders>
              <w:top w:val="nil"/>
              <w:left w:val="single" w:sz="4" w:space="0" w:color="auto"/>
              <w:bottom w:val="single" w:sz="4" w:space="0" w:color="auto"/>
              <w:right w:val="single" w:sz="4" w:space="0" w:color="auto"/>
            </w:tcBorders>
            <w:vAlign w:val="center"/>
            <w:hideMark/>
          </w:tcPr>
          <w:p w14:paraId="1A5059D2"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440" w:type="dxa"/>
            <w:tcBorders>
              <w:top w:val="nil"/>
              <w:left w:val="nil"/>
              <w:bottom w:val="single" w:sz="4" w:space="0" w:color="auto"/>
              <w:right w:val="single" w:sz="4" w:space="0" w:color="auto"/>
            </w:tcBorders>
            <w:shd w:val="clear" w:color="000000" w:fill="FFFF00"/>
            <w:vAlign w:val="center"/>
            <w:hideMark/>
          </w:tcPr>
          <w:p w14:paraId="17928F14"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Umiarkowany</w:t>
            </w:r>
          </w:p>
        </w:tc>
        <w:tc>
          <w:tcPr>
            <w:tcW w:w="960" w:type="dxa"/>
            <w:tcBorders>
              <w:top w:val="nil"/>
              <w:left w:val="nil"/>
              <w:bottom w:val="single" w:sz="4" w:space="0" w:color="auto"/>
              <w:right w:val="single" w:sz="4" w:space="0" w:color="auto"/>
            </w:tcBorders>
            <w:shd w:val="clear" w:color="auto" w:fill="auto"/>
            <w:noWrap/>
            <w:vAlign w:val="center"/>
            <w:hideMark/>
          </w:tcPr>
          <w:p w14:paraId="6C87B82C"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160</w:t>
            </w:r>
          </w:p>
        </w:tc>
        <w:tc>
          <w:tcPr>
            <w:tcW w:w="960" w:type="dxa"/>
            <w:tcBorders>
              <w:top w:val="nil"/>
              <w:left w:val="nil"/>
              <w:bottom w:val="single" w:sz="4" w:space="0" w:color="auto"/>
              <w:right w:val="single" w:sz="4" w:space="0" w:color="auto"/>
            </w:tcBorders>
            <w:shd w:val="clear" w:color="auto" w:fill="auto"/>
            <w:noWrap/>
            <w:vAlign w:val="center"/>
            <w:hideMark/>
          </w:tcPr>
          <w:p w14:paraId="2DB15BE2"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111</w:t>
            </w:r>
          </w:p>
        </w:tc>
        <w:tc>
          <w:tcPr>
            <w:tcW w:w="960" w:type="dxa"/>
            <w:tcBorders>
              <w:top w:val="nil"/>
              <w:left w:val="nil"/>
              <w:bottom w:val="single" w:sz="4" w:space="0" w:color="auto"/>
              <w:right w:val="single" w:sz="4" w:space="0" w:color="auto"/>
            </w:tcBorders>
            <w:shd w:val="clear" w:color="auto" w:fill="auto"/>
            <w:noWrap/>
            <w:vAlign w:val="center"/>
            <w:hideMark/>
          </w:tcPr>
          <w:p w14:paraId="081EB629"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18</w:t>
            </w:r>
          </w:p>
        </w:tc>
        <w:tc>
          <w:tcPr>
            <w:tcW w:w="960" w:type="dxa"/>
            <w:tcBorders>
              <w:top w:val="nil"/>
              <w:left w:val="nil"/>
              <w:bottom w:val="single" w:sz="4" w:space="0" w:color="auto"/>
              <w:right w:val="single" w:sz="4" w:space="0" w:color="auto"/>
            </w:tcBorders>
            <w:shd w:val="clear" w:color="auto" w:fill="auto"/>
            <w:noWrap/>
            <w:vAlign w:val="center"/>
            <w:hideMark/>
          </w:tcPr>
          <w:p w14:paraId="1D3EFA32"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32</w:t>
            </w:r>
          </w:p>
        </w:tc>
        <w:tc>
          <w:tcPr>
            <w:tcW w:w="960" w:type="dxa"/>
            <w:tcBorders>
              <w:top w:val="nil"/>
              <w:left w:val="nil"/>
              <w:bottom w:val="single" w:sz="4" w:space="0" w:color="auto"/>
              <w:right w:val="single" w:sz="4" w:space="0" w:color="auto"/>
            </w:tcBorders>
            <w:shd w:val="clear" w:color="auto" w:fill="auto"/>
            <w:noWrap/>
            <w:vAlign w:val="center"/>
            <w:hideMark/>
          </w:tcPr>
          <w:p w14:paraId="14110597"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00" w:type="dxa"/>
            <w:tcBorders>
              <w:top w:val="nil"/>
              <w:left w:val="nil"/>
              <w:bottom w:val="single" w:sz="4" w:space="0" w:color="auto"/>
              <w:right w:val="single" w:sz="4" w:space="0" w:color="auto"/>
            </w:tcBorders>
            <w:shd w:val="clear" w:color="auto" w:fill="auto"/>
            <w:noWrap/>
            <w:vAlign w:val="center"/>
            <w:hideMark/>
          </w:tcPr>
          <w:p w14:paraId="6C1038E3"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321</w:t>
            </w:r>
          </w:p>
        </w:tc>
      </w:tr>
      <w:tr w:rsidR="0025528B" w:rsidRPr="005E2831" w14:paraId="5C6DC1E1" w14:textId="77777777" w:rsidTr="0025528B">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0B469327"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440" w:type="dxa"/>
            <w:tcBorders>
              <w:top w:val="nil"/>
              <w:left w:val="nil"/>
              <w:bottom w:val="single" w:sz="4" w:space="0" w:color="auto"/>
              <w:right w:val="single" w:sz="4" w:space="0" w:color="auto"/>
            </w:tcBorders>
            <w:shd w:val="clear" w:color="000000" w:fill="FFC000"/>
            <w:vAlign w:val="center"/>
            <w:hideMark/>
          </w:tcPr>
          <w:p w14:paraId="2D88030E"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Słaby</w:t>
            </w:r>
          </w:p>
        </w:tc>
        <w:tc>
          <w:tcPr>
            <w:tcW w:w="960" w:type="dxa"/>
            <w:tcBorders>
              <w:top w:val="nil"/>
              <w:left w:val="nil"/>
              <w:bottom w:val="single" w:sz="4" w:space="0" w:color="auto"/>
              <w:right w:val="single" w:sz="4" w:space="0" w:color="auto"/>
            </w:tcBorders>
            <w:shd w:val="clear" w:color="auto" w:fill="auto"/>
            <w:noWrap/>
            <w:vAlign w:val="center"/>
            <w:hideMark/>
          </w:tcPr>
          <w:p w14:paraId="55E9F94A"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87</w:t>
            </w:r>
          </w:p>
        </w:tc>
        <w:tc>
          <w:tcPr>
            <w:tcW w:w="960" w:type="dxa"/>
            <w:tcBorders>
              <w:top w:val="nil"/>
              <w:left w:val="nil"/>
              <w:bottom w:val="single" w:sz="4" w:space="0" w:color="auto"/>
              <w:right w:val="single" w:sz="4" w:space="0" w:color="auto"/>
            </w:tcBorders>
            <w:shd w:val="clear" w:color="auto" w:fill="auto"/>
            <w:noWrap/>
            <w:vAlign w:val="center"/>
            <w:hideMark/>
          </w:tcPr>
          <w:p w14:paraId="0C0D777C"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42</w:t>
            </w:r>
          </w:p>
        </w:tc>
        <w:tc>
          <w:tcPr>
            <w:tcW w:w="960" w:type="dxa"/>
            <w:tcBorders>
              <w:top w:val="nil"/>
              <w:left w:val="nil"/>
              <w:bottom w:val="single" w:sz="4" w:space="0" w:color="auto"/>
              <w:right w:val="single" w:sz="4" w:space="0" w:color="auto"/>
            </w:tcBorders>
            <w:shd w:val="clear" w:color="auto" w:fill="auto"/>
            <w:noWrap/>
            <w:vAlign w:val="center"/>
            <w:hideMark/>
          </w:tcPr>
          <w:p w14:paraId="7BAD7D3A"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49AA0837"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13</w:t>
            </w:r>
          </w:p>
        </w:tc>
        <w:tc>
          <w:tcPr>
            <w:tcW w:w="960" w:type="dxa"/>
            <w:tcBorders>
              <w:top w:val="nil"/>
              <w:left w:val="nil"/>
              <w:bottom w:val="single" w:sz="4" w:space="0" w:color="auto"/>
              <w:right w:val="single" w:sz="4" w:space="0" w:color="auto"/>
            </w:tcBorders>
            <w:shd w:val="clear" w:color="auto" w:fill="auto"/>
            <w:noWrap/>
            <w:vAlign w:val="center"/>
            <w:hideMark/>
          </w:tcPr>
          <w:p w14:paraId="1B0A006C"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w:t>
            </w:r>
          </w:p>
        </w:tc>
        <w:tc>
          <w:tcPr>
            <w:tcW w:w="900" w:type="dxa"/>
            <w:tcBorders>
              <w:top w:val="nil"/>
              <w:left w:val="nil"/>
              <w:bottom w:val="single" w:sz="4" w:space="0" w:color="auto"/>
              <w:right w:val="single" w:sz="4" w:space="0" w:color="auto"/>
            </w:tcBorders>
            <w:shd w:val="clear" w:color="auto" w:fill="auto"/>
            <w:noWrap/>
            <w:vAlign w:val="center"/>
            <w:hideMark/>
          </w:tcPr>
          <w:p w14:paraId="69BEEBED"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143</w:t>
            </w:r>
          </w:p>
        </w:tc>
      </w:tr>
      <w:tr w:rsidR="0025528B" w:rsidRPr="005E2831" w14:paraId="551A3D91" w14:textId="77777777" w:rsidTr="0025528B">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79B3CC52"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440" w:type="dxa"/>
            <w:tcBorders>
              <w:top w:val="nil"/>
              <w:left w:val="nil"/>
              <w:bottom w:val="single" w:sz="4" w:space="0" w:color="auto"/>
              <w:right w:val="single" w:sz="4" w:space="0" w:color="auto"/>
            </w:tcBorders>
            <w:shd w:val="clear" w:color="000000" w:fill="FF0000"/>
            <w:vAlign w:val="center"/>
            <w:hideMark/>
          </w:tcPr>
          <w:p w14:paraId="01B26219"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Zły</w:t>
            </w:r>
          </w:p>
        </w:tc>
        <w:tc>
          <w:tcPr>
            <w:tcW w:w="960" w:type="dxa"/>
            <w:tcBorders>
              <w:top w:val="nil"/>
              <w:left w:val="nil"/>
              <w:bottom w:val="single" w:sz="4" w:space="0" w:color="auto"/>
              <w:right w:val="single" w:sz="4" w:space="0" w:color="auto"/>
            </w:tcBorders>
            <w:shd w:val="clear" w:color="auto" w:fill="auto"/>
            <w:noWrap/>
            <w:vAlign w:val="center"/>
            <w:hideMark/>
          </w:tcPr>
          <w:p w14:paraId="336A19BF"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38</w:t>
            </w:r>
          </w:p>
        </w:tc>
        <w:tc>
          <w:tcPr>
            <w:tcW w:w="960" w:type="dxa"/>
            <w:tcBorders>
              <w:top w:val="nil"/>
              <w:left w:val="nil"/>
              <w:bottom w:val="single" w:sz="4" w:space="0" w:color="auto"/>
              <w:right w:val="single" w:sz="4" w:space="0" w:color="auto"/>
            </w:tcBorders>
            <w:shd w:val="clear" w:color="auto" w:fill="auto"/>
            <w:noWrap/>
            <w:vAlign w:val="center"/>
            <w:hideMark/>
          </w:tcPr>
          <w:p w14:paraId="086A84DE"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43</w:t>
            </w:r>
          </w:p>
        </w:tc>
        <w:tc>
          <w:tcPr>
            <w:tcW w:w="960" w:type="dxa"/>
            <w:tcBorders>
              <w:top w:val="nil"/>
              <w:left w:val="nil"/>
              <w:bottom w:val="single" w:sz="4" w:space="0" w:color="auto"/>
              <w:right w:val="single" w:sz="4" w:space="0" w:color="auto"/>
            </w:tcBorders>
            <w:shd w:val="clear" w:color="auto" w:fill="auto"/>
            <w:noWrap/>
            <w:vAlign w:val="center"/>
            <w:hideMark/>
          </w:tcPr>
          <w:p w14:paraId="7977DFE8"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06D5CE61"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w:t>
            </w:r>
          </w:p>
        </w:tc>
        <w:tc>
          <w:tcPr>
            <w:tcW w:w="960" w:type="dxa"/>
            <w:tcBorders>
              <w:top w:val="nil"/>
              <w:left w:val="nil"/>
              <w:bottom w:val="single" w:sz="4" w:space="0" w:color="auto"/>
              <w:right w:val="single" w:sz="4" w:space="0" w:color="auto"/>
            </w:tcBorders>
            <w:shd w:val="clear" w:color="auto" w:fill="auto"/>
            <w:noWrap/>
            <w:vAlign w:val="center"/>
            <w:hideMark/>
          </w:tcPr>
          <w:p w14:paraId="535B25E5"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00" w:type="dxa"/>
            <w:tcBorders>
              <w:top w:val="nil"/>
              <w:left w:val="nil"/>
              <w:bottom w:val="single" w:sz="4" w:space="0" w:color="auto"/>
              <w:right w:val="single" w:sz="4" w:space="0" w:color="auto"/>
            </w:tcBorders>
            <w:shd w:val="clear" w:color="auto" w:fill="auto"/>
            <w:noWrap/>
            <w:vAlign w:val="center"/>
            <w:hideMark/>
          </w:tcPr>
          <w:p w14:paraId="6AC9A70B"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84</w:t>
            </w:r>
          </w:p>
        </w:tc>
      </w:tr>
      <w:tr w:rsidR="0025528B" w:rsidRPr="005E2831" w14:paraId="1096F9C4" w14:textId="77777777" w:rsidTr="0025528B">
        <w:trPr>
          <w:trHeight w:val="480"/>
          <w:jc w:val="center"/>
        </w:trPr>
        <w:tc>
          <w:tcPr>
            <w:tcW w:w="960" w:type="dxa"/>
            <w:vMerge/>
            <w:tcBorders>
              <w:top w:val="nil"/>
              <w:left w:val="single" w:sz="4" w:space="0" w:color="auto"/>
              <w:bottom w:val="single" w:sz="4" w:space="0" w:color="auto"/>
              <w:right w:val="single" w:sz="4" w:space="0" w:color="auto"/>
            </w:tcBorders>
            <w:vAlign w:val="center"/>
            <w:hideMark/>
          </w:tcPr>
          <w:p w14:paraId="6AB8C528"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440" w:type="dxa"/>
            <w:tcBorders>
              <w:top w:val="nil"/>
              <w:left w:val="nil"/>
              <w:bottom w:val="single" w:sz="4" w:space="0" w:color="auto"/>
              <w:right w:val="single" w:sz="4" w:space="0" w:color="auto"/>
            </w:tcBorders>
            <w:shd w:val="clear" w:color="000000" w:fill="BFBFBF"/>
            <w:vAlign w:val="center"/>
            <w:hideMark/>
          </w:tcPr>
          <w:p w14:paraId="4D70756F"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 xml:space="preserve">Liczba naturalnych </w:t>
            </w:r>
            <w:proofErr w:type="spellStart"/>
            <w:r w:rsidRPr="00C00651">
              <w:rPr>
                <w:rFonts w:ascii="Times New Roman" w:eastAsia="Times New Roman" w:hAnsi="Times New Roman" w:cs="Times New Roman"/>
                <w:color w:val="000000"/>
                <w:sz w:val="18"/>
                <w:szCs w:val="18"/>
                <w:lang w:eastAsia="pl-PL"/>
              </w:rPr>
              <w:t>jcwp</w:t>
            </w:r>
            <w:proofErr w:type="spellEnd"/>
            <w:r w:rsidRPr="00C00651">
              <w:rPr>
                <w:rFonts w:ascii="Times New Roman" w:eastAsia="Times New Roman" w:hAnsi="Times New Roman" w:cs="Times New Roman"/>
                <w:color w:val="000000"/>
                <w:sz w:val="18"/>
                <w:szCs w:val="18"/>
                <w:lang w:eastAsia="pl-PL"/>
              </w:rPr>
              <w:t xml:space="preserve"> sklasyfikowanych</w:t>
            </w:r>
          </w:p>
        </w:tc>
        <w:tc>
          <w:tcPr>
            <w:tcW w:w="960" w:type="dxa"/>
            <w:tcBorders>
              <w:top w:val="nil"/>
              <w:left w:val="nil"/>
              <w:bottom w:val="single" w:sz="4" w:space="0" w:color="auto"/>
              <w:right w:val="single" w:sz="4" w:space="0" w:color="auto"/>
            </w:tcBorders>
            <w:shd w:val="clear" w:color="auto" w:fill="auto"/>
            <w:noWrap/>
            <w:vAlign w:val="center"/>
            <w:hideMark/>
          </w:tcPr>
          <w:p w14:paraId="6E55FE5C"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321</w:t>
            </w:r>
          </w:p>
        </w:tc>
        <w:tc>
          <w:tcPr>
            <w:tcW w:w="960" w:type="dxa"/>
            <w:tcBorders>
              <w:top w:val="nil"/>
              <w:left w:val="nil"/>
              <w:bottom w:val="single" w:sz="4" w:space="0" w:color="auto"/>
              <w:right w:val="single" w:sz="4" w:space="0" w:color="auto"/>
            </w:tcBorders>
            <w:shd w:val="clear" w:color="auto" w:fill="auto"/>
            <w:noWrap/>
            <w:vAlign w:val="center"/>
            <w:hideMark/>
          </w:tcPr>
          <w:p w14:paraId="740C03DC"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229</w:t>
            </w:r>
          </w:p>
        </w:tc>
        <w:tc>
          <w:tcPr>
            <w:tcW w:w="960" w:type="dxa"/>
            <w:tcBorders>
              <w:top w:val="nil"/>
              <w:left w:val="nil"/>
              <w:bottom w:val="single" w:sz="4" w:space="0" w:color="auto"/>
              <w:right w:val="single" w:sz="4" w:space="0" w:color="auto"/>
            </w:tcBorders>
            <w:shd w:val="clear" w:color="auto" w:fill="auto"/>
            <w:noWrap/>
            <w:vAlign w:val="center"/>
            <w:hideMark/>
          </w:tcPr>
          <w:p w14:paraId="0BFCF341"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36</w:t>
            </w:r>
          </w:p>
        </w:tc>
        <w:tc>
          <w:tcPr>
            <w:tcW w:w="960" w:type="dxa"/>
            <w:tcBorders>
              <w:top w:val="nil"/>
              <w:left w:val="nil"/>
              <w:bottom w:val="single" w:sz="4" w:space="0" w:color="auto"/>
              <w:right w:val="single" w:sz="4" w:space="0" w:color="auto"/>
            </w:tcBorders>
            <w:shd w:val="clear" w:color="auto" w:fill="auto"/>
            <w:noWrap/>
            <w:vAlign w:val="center"/>
            <w:hideMark/>
          </w:tcPr>
          <w:p w14:paraId="020CC07C"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54</w:t>
            </w:r>
          </w:p>
        </w:tc>
        <w:tc>
          <w:tcPr>
            <w:tcW w:w="960" w:type="dxa"/>
            <w:tcBorders>
              <w:top w:val="nil"/>
              <w:left w:val="nil"/>
              <w:bottom w:val="single" w:sz="4" w:space="0" w:color="auto"/>
              <w:right w:val="single" w:sz="4" w:space="0" w:color="auto"/>
            </w:tcBorders>
            <w:shd w:val="clear" w:color="auto" w:fill="auto"/>
            <w:noWrap/>
            <w:vAlign w:val="center"/>
            <w:hideMark/>
          </w:tcPr>
          <w:p w14:paraId="3E410D8B"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w:t>
            </w:r>
          </w:p>
        </w:tc>
        <w:tc>
          <w:tcPr>
            <w:tcW w:w="900" w:type="dxa"/>
            <w:tcBorders>
              <w:top w:val="nil"/>
              <w:left w:val="nil"/>
              <w:bottom w:val="single" w:sz="4" w:space="0" w:color="auto"/>
              <w:right w:val="single" w:sz="4" w:space="0" w:color="auto"/>
            </w:tcBorders>
            <w:shd w:val="clear" w:color="auto" w:fill="auto"/>
            <w:noWrap/>
            <w:vAlign w:val="center"/>
            <w:hideMark/>
          </w:tcPr>
          <w:p w14:paraId="60B165B0"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641</w:t>
            </w:r>
          </w:p>
        </w:tc>
      </w:tr>
      <w:tr w:rsidR="0025528B" w:rsidRPr="005E2831" w14:paraId="6BA7067F" w14:textId="77777777" w:rsidTr="0025528B">
        <w:trPr>
          <w:trHeight w:val="480"/>
          <w:jc w:val="center"/>
        </w:trPr>
        <w:tc>
          <w:tcPr>
            <w:tcW w:w="960" w:type="dxa"/>
            <w:vMerge/>
            <w:tcBorders>
              <w:top w:val="nil"/>
              <w:left w:val="single" w:sz="4" w:space="0" w:color="auto"/>
              <w:bottom w:val="single" w:sz="4" w:space="0" w:color="auto"/>
              <w:right w:val="single" w:sz="4" w:space="0" w:color="auto"/>
            </w:tcBorders>
            <w:vAlign w:val="center"/>
            <w:hideMark/>
          </w:tcPr>
          <w:p w14:paraId="0AF88C1A"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440" w:type="dxa"/>
            <w:tcBorders>
              <w:top w:val="nil"/>
              <w:left w:val="nil"/>
              <w:bottom w:val="single" w:sz="4" w:space="0" w:color="auto"/>
              <w:right w:val="single" w:sz="4" w:space="0" w:color="auto"/>
            </w:tcBorders>
            <w:shd w:val="clear" w:color="000000" w:fill="F2F2F2"/>
            <w:vAlign w:val="center"/>
            <w:hideMark/>
          </w:tcPr>
          <w:p w14:paraId="7C238840"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 xml:space="preserve">Liczba naturalnych </w:t>
            </w:r>
            <w:proofErr w:type="spellStart"/>
            <w:r w:rsidRPr="00C00651">
              <w:rPr>
                <w:rFonts w:ascii="Times New Roman" w:eastAsia="Times New Roman" w:hAnsi="Times New Roman" w:cs="Times New Roman"/>
                <w:color w:val="000000"/>
                <w:sz w:val="18"/>
                <w:szCs w:val="18"/>
                <w:lang w:eastAsia="pl-PL"/>
              </w:rPr>
              <w:t>jcwp</w:t>
            </w:r>
            <w:proofErr w:type="spellEnd"/>
            <w:r w:rsidRPr="00C00651">
              <w:rPr>
                <w:rFonts w:ascii="Times New Roman" w:eastAsia="Times New Roman" w:hAnsi="Times New Roman" w:cs="Times New Roman"/>
                <w:color w:val="000000"/>
                <w:sz w:val="18"/>
                <w:szCs w:val="18"/>
                <w:lang w:eastAsia="pl-PL"/>
              </w:rPr>
              <w:t xml:space="preserve"> niesklasyfikowanych</w:t>
            </w:r>
          </w:p>
        </w:tc>
        <w:tc>
          <w:tcPr>
            <w:tcW w:w="960" w:type="dxa"/>
            <w:tcBorders>
              <w:top w:val="nil"/>
              <w:left w:val="nil"/>
              <w:bottom w:val="single" w:sz="4" w:space="0" w:color="auto"/>
              <w:right w:val="single" w:sz="4" w:space="0" w:color="auto"/>
            </w:tcBorders>
            <w:shd w:val="clear" w:color="auto" w:fill="auto"/>
            <w:noWrap/>
            <w:vAlign w:val="center"/>
            <w:hideMark/>
          </w:tcPr>
          <w:p w14:paraId="7A2EF209"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36</w:t>
            </w:r>
          </w:p>
        </w:tc>
        <w:tc>
          <w:tcPr>
            <w:tcW w:w="960" w:type="dxa"/>
            <w:tcBorders>
              <w:top w:val="nil"/>
              <w:left w:val="nil"/>
              <w:bottom w:val="single" w:sz="4" w:space="0" w:color="auto"/>
              <w:right w:val="single" w:sz="4" w:space="0" w:color="auto"/>
            </w:tcBorders>
            <w:shd w:val="clear" w:color="auto" w:fill="auto"/>
            <w:noWrap/>
            <w:vAlign w:val="center"/>
            <w:hideMark/>
          </w:tcPr>
          <w:p w14:paraId="76084DF5"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33</w:t>
            </w:r>
          </w:p>
        </w:tc>
        <w:tc>
          <w:tcPr>
            <w:tcW w:w="960" w:type="dxa"/>
            <w:tcBorders>
              <w:top w:val="nil"/>
              <w:left w:val="nil"/>
              <w:bottom w:val="single" w:sz="4" w:space="0" w:color="auto"/>
              <w:right w:val="single" w:sz="4" w:space="0" w:color="auto"/>
            </w:tcBorders>
            <w:shd w:val="clear" w:color="auto" w:fill="auto"/>
            <w:noWrap/>
            <w:vAlign w:val="center"/>
            <w:hideMark/>
          </w:tcPr>
          <w:p w14:paraId="37A3B899"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1EEDA485"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10</w:t>
            </w:r>
          </w:p>
        </w:tc>
        <w:tc>
          <w:tcPr>
            <w:tcW w:w="960" w:type="dxa"/>
            <w:tcBorders>
              <w:top w:val="nil"/>
              <w:left w:val="nil"/>
              <w:bottom w:val="single" w:sz="4" w:space="0" w:color="auto"/>
              <w:right w:val="single" w:sz="4" w:space="0" w:color="auto"/>
            </w:tcBorders>
            <w:shd w:val="clear" w:color="auto" w:fill="auto"/>
            <w:noWrap/>
            <w:vAlign w:val="center"/>
            <w:hideMark/>
          </w:tcPr>
          <w:p w14:paraId="1DCD3B1D"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00" w:type="dxa"/>
            <w:tcBorders>
              <w:top w:val="nil"/>
              <w:left w:val="nil"/>
              <w:bottom w:val="single" w:sz="4" w:space="0" w:color="auto"/>
              <w:right w:val="single" w:sz="4" w:space="0" w:color="auto"/>
            </w:tcBorders>
            <w:shd w:val="clear" w:color="auto" w:fill="auto"/>
            <w:noWrap/>
            <w:vAlign w:val="center"/>
            <w:hideMark/>
          </w:tcPr>
          <w:p w14:paraId="6561953C"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79</w:t>
            </w:r>
          </w:p>
        </w:tc>
      </w:tr>
      <w:tr w:rsidR="0025528B" w:rsidRPr="005E2831" w14:paraId="784BA4DA" w14:textId="77777777" w:rsidTr="0025528B">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01B11EF7"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440" w:type="dxa"/>
            <w:tcBorders>
              <w:top w:val="nil"/>
              <w:left w:val="nil"/>
              <w:bottom w:val="single" w:sz="4" w:space="0" w:color="auto"/>
              <w:right w:val="single" w:sz="4" w:space="0" w:color="auto"/>
            </w:tcBorders>
            <w:shd w:val="clear" w:color="000000" w:fill="FFFFFF"/>
            <w:vAlign w:val="center"/>
            <w:hideMark/>
          </w:tcPr>
          <w:p w14:paraId="02FDA1B5"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Łącznie</w:t>
            </w:r>
          </w:p>
        </w:tc>
        <w:tc>
          <w:tcPr>
            <w:tcW w:w="960" w:type="dxa"/>
            <w:tcBorders>
              <w:top w:val="nil"/>
              <w:left w:val="nil"/>
              <w:bottom w:val="single" w:sz="4" w:space="0" w:color="auto"/>
              <w:right w:val="single" w:sz="4" w:space="0" w:color="auto"/>
            </w:tcBorders>
            <w:shd w:val="clear" w:color="auto" w:fill="auto"/>
            <w:noWrap/>
            <w:vAlign w:val="center"/>
            <w:hideMark/>
          </w:tcPr>
          <w:p w14:paraId="5731442B"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357</w:t>
            </w:r>
          </w:p>
        </w:tc>
        <w:tc>
          <w:tcPr>
            <w:tcW w:w="960" w:type="dxa"/>
            <w:tcBorders>
              <w:top w:val="nil"/>
              <w:left w:val="nil"/>
              <w:bottom w:val="single" w:sz="4" w:space="0" w:color="auto"/>
              <w:right w:val="single" w:sz="4" w:space="0" w:color="auto"/>
            </w:tcBorders>
            <w:shd w:val="clear" w:color="auto" w:fill="auto"/>
            <w:noWrap/>
            <w:vAlign w:val="center"/>
            <w:hideMark/>
          </w:tcPr>
          <w:p w14:paraId="181104EE"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262</w:t>
            </w:r>
          </w:p>
        </w:tc>
        <w:tc>
          <w:tcPr>
            <w:tcW w:w="960" w:type="dxa"/>
            <w:tcBorders>
              <w:top w:val="nil"/>
              <w:left w:val="nil"/>
              <w:bottom w:val="single" w:sz="4" w:space="0" w:color="auto"/>
              <w:right w:val="single" w:sz="4" w:space="0" w:color="auto"/>
            </w:tcBorders>
            <w:shd w:val="clear" w:color="auto" w:fill="auto"/>
            <w:noWrap/>
            <w:vAlign w:val="center"/>
            <w:hideMark/>
          </w:tcPr>
          <w:p w14:paraId="5FF6CC17"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36</w:t>
            </w:r>
          </w:p>
        </w:tc>
        <w:tc>
          <w:tcPr>
            <w:tcW w:w="960" w:type="dxa"/>
            <w:tcBorders>
              <w:top w:val="nil"/>
              <w:left w:val="nil"/>
              <w:bottom w:val="single" w:sz="4" w:space="0" w:color="auto"/>
              <w:right w:val="single" w:sz="4" w:space="0" w:color="auto"/>
            </w:tcBorders>
            <w:shd w:val="clear" w:color="auto" w:fill="auto"/>
            <w:noWrap/>
            <w:vAlign w:val="center"/>
            <w:hideMark/>
          </w:tcPr>
          <w:p w14:paraId="1A007FF3"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64</w:t>
            </w:r>
          </w:p>
        </w:tc>
        <w:tc>
          <w:tcPr>
            <w:tcW w:w="960" w:type="dxa"/>
            <w:tcBorders>
              <w:top w:val="nil"/>
              <w:left w:val="nil"/>
              <w:bottom w:val="single" w:sz="4" w:space="0" w:color="auto"/>
              <w:right w:val="single" w:sz="4" w:space="0" w:color="auto"/>
            </w:tcBorders>
            <w:shd w:val="clear" w:color="auto" w:fill="auto"/>
            <w:noWrap/>
            <w:vAlign w:val="center"/>
            <w:hideMark/>
          </w:tcPr>
          <w:p w14:paraId="20394ED8"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w:t>
            </w:r>
          </w:p>
        </w:tc>
        <w:tc>
          <w:tcPr>
            <w:tcW w:w="900" w:type="dxa"/>
            <w:tcBorders>
              <w:top w:val="nil"/>
              <w:left w:val="nil"/>
              <w:bottom w:val="single" w:sz="4" w:space="0" w:color="auto"/>
              <w:right w:val="single" w:sz="4" w:space="0" w:color="auto"/>
            </w:tcBorders>
            <w:shd w:val="clear" w:color="auto" w:fill="auto"/>
            <w:noWrap/>
            <w:vAlign w:val="center"/>
            <w:hideMark/>
          </w:tcPr>
          <w:p w14:paraId="51926579"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720</w:t>
            </w:r>
          </w:p>
        </w:tc>
      </w:tr>
      <w:tr w:rsidR="0025528B" w:rsidRPr="005E2831" w14:paraId="790D0168" w14:textId="77777777" w:rsidTr="00E05362">
        <w:trPr>
          <w:trHeight w:val="300"/>
          <w:jc w:val="center"/>
        </w:trPr>
        <w:tc>
          <w:tcPr>
            <w:tcW w:w="96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09002D7E"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Klasyfikacja potencjału</w:t>
            </w:r>
            <w:r w:rsidRPr="00C00651">
              <w:rPr>
                <w:rFonts w:ascii="Times New Roman" w:eastAsia="Times New Roman" w:hAnsi="Times New Roman" w:cs="Times New Roman"/>
                <w:color w:val="000000"/>
                <w:sz w:val="18"/>
                <w:szCs w:val="18"/>
                <w:lang w:eastAsia="pl-PL"/>
              </w:rPr>
              <w:br/>
              <w:t>ekologicznego</w:t>
            </w:r>
          </w:p>
        </w:tc>
        <w:tc>
          <w:tcPr>
            <w:tcW w:w="2440" w:type="dxa"/>
            <w:tcBorders>
              <w:top w:val="nil"/>
              <w:left w:val="nil"/>
              <w:bottom w:val="single" w:sz="4" w:space="0" w:color="auto"/>
              <w:right w:val="single" w:sz="4" w:space="0" w:color="auto"/>
            </w:tcBorders>
            <w:shd w:val="clear" w:color="auto" w:fill="538135" w:themeFill="accent6" w:themeFillShade="BF"/>
            <w:vAlign w:val="center"/>
            <w:hideMark/>
          </w:tcPr>
          <w:p w14:paraId="66DDFCA2"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Maksymalny</w:t>
            </w:r>
          </w:p>
        </w:tc>
        <w:tc>
          <w:tcPr>
            <w:tcW w:w="960" w:type="dxa"/>
            <w:tcBorders>
              <w:top w:val="nil"/>
              <w:left w:val="nil"/>
              <w:bottom w:val="single" w:sz="4" w:space="0" w:color="auto"/>
              <w:right w:val="single" w:sz="4" w:space="0" w:color="auto"/>
            </w:tcBorders>
            <w:shd w:val="clear" w:color="auto" w:fill="auto"/>
            <w:noWrap/>
            <w:vAlign w:val="center"/>
            <w:hideMark/>
          </w:tcPr>
          <w:p w14:paraId="6D31C617"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29894822"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12A109DC"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4703F7AA"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7E411E2E"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00" w:type="dxa"/>
            <w:tcBorders>
              <w:top w:val="nil"/>
              <w:left w:val="nil"/>
              <w:bottom w:val="single" w:sz="4" w:space="0" w:color="auto"/>
              <w:right w:val="single" w:sz="4" w:space="0" w:color="auto"/>
            </w:tcBorders>
            <w:shd w:val="clear" w:color="auto" w:fill="auto"/>
            <w:noWrap/>
            <w:vAlign w:val="center"/>
            <w:hideMark/>
          </w:tcPr>
          <w:p w14:paraId="232FBA5B"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r>
      <w:tr w:rsidR="0025528B" w:rsidRPr="005E2831" w14:paraId="42EEFB88" w14:textId="77777777" w:rsidTr="00C30B14">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02FBF682"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440" w:type="dxa"/>
            <w:tcBorders>
              <w:top w:val="nil"/>
              <w:left w:val="nil"/>
              <w:bottom w:val="single" w:sz="4" w:space="0" w:color="auto"/>
              <w:right w:val="single" w:sz="4" w:space="0" w:color="auto"/>
            </w:tcBorders>
            <w:shd w:val="clear" w:color="auto" w:fill="00B050"/>
            <w:vAlign w:val="center"/>
            <w:hideMark/>
          </w:tcPr>
          <w:p w14:paraId="172C994B"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Dobry</w:t>
            </w:r>
          </w:p>
        </w:tc>
        <w:tc>
          <w:tcPr>
            <w:tcW w:w="960" w:type="dxa"/>
            <w:tcBorders>
              <w:top w:val="nil"/>
              <w:left w:val="nil"/>
              <w:bottom w:val="single" w:sz="4" w:space="0" w:color="auto"/>
              <w:right w:val="single" w:sz="4" w:space="0" w:color="auto"/>
            </w:tcBorders>
            <w:shd w:val="clear" w:color="auto" w:fill="auto"/>
            <w:noWrap/>
            <w:vAlign w:val="center"/>
            <w:hideMark/>
          </w:tcPr>
          <w:p w14:paraId="25019157"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2</w:t>
            </w:r>
          </w:p>
        </w:tc>
        <w:tc>
          <w:tcPr>
            <w:tcW w:w="960" w:type="dxa"/>
            <w:tcBorders>
              <w:top w:val="nil"/>
              <w:left w:val="nil"/>
              <w:bottom w:val="single" w:sz="4" w:space="0" w:color="auto"/>
              <w:right w:val="single" w:sz="4" w:space="0" w:color="auto"/>
            </w:tcBorders>
            <w:shd w:val="clear" w:color="auto" w:fill="auto"/>
            <w:noWrap/>
            <w:vAlign w:val="center"/>
            <w:hideMark/>
          </w:tcPr>
          <w:p w14:paraId="48317ED6"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10</w:t>
            </w:r>
          </w:p>
        </w:tc>
        <w:tc>
          <w:tcPr>
            <w:tcW w:w="960" w:type="dxa"/>
            <w:tcBorders>
              <w:top w:val="nil"/>
              <w:left w:val="nil"/>
              <w:bottom w:val="single" w:sz="4" w:space="0" w:color="auto"/>
              <w:right w:val="single" w:sz="4" w:space="0" w:color="auto"/>
            </w:tcBorders>
            <w:shd w:val="clear" w:color="auto" w:fill="auto"/>
            <w:noWrap/>
            <w:vAlign w:val="center"/>
            <w:hideMark/>
          </w:tcPr>
          <w:p w14:paraId="2DDBB57B"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60CDEC13"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56E67E2D"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00" w:type="dxa"/>
            <w:tcBorders>
              <w:top w:val="nil"/>
              <w:left w:val="nil"/>
              <w:bottom w:val="single" w:sz="4" w:space="0" w:color="auto"/>
              <w:right w:val="single" w:sz="4" w:space="0" w:color="auto"/>
            </w:tcBorders>
            <w:shd w:val="clear" w:color="auto" w:fill="auto"/>
            <w:noWrap/>
            <w:vAlign w:val="center"/>
            <w:hideMark/>
          </w:tcPr>
          <w:p w14:paraId="6383660D"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12</w:t>
            </w:r>
          </w:p>
        </w:tc>
      </w:tr>
      <w:tr w:rsidR="0025528B" w:rsidRPr="005E2831" w14:paraId="307BFE2C" w14:textId="77777777" w:rsidTr="000B66E0">
        <w:trPr>
          <w:trHeight w:val="450"/>
          <w:jc w:val="center"/>
        </w:trPr>
        <w:tc>
          <w:tcPr>
            <w:tcW w:w="960" w:type="dxa"/>
            <w:vMerge/>
            <w:tcBorders>
              <w:top w:val="nil"/>
              <w:left w:val="single" w:sz="4" w:space="0" w:color="auto"/>
              <w:bottom w:val="single" w:sz="4" w:space="0" w:color="auto"/>
              <w:right w:val="single" w:sz="4" w:space="0" w:color="auto"/>
            </w:tcBorders>
            <w:vAlign w:val="center"/>
            <w:hideMark/>
          </w:tcPr>
          <w:p w14:paraId="65345F14"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440" w:type="dxa"/>
            <w:tcBorders>
              <w:top w:val="nil"/>
              <w:left w:val="nil"/>
              <w:bottom w:val="single" w:sz="4" w:space="0" w:color="auto"/>
              <w:right w:val="single" w:sz="4" w:space="0" w:color="auto"/>
            </w:tcBorders>
            <w:shd w:val="clear" w:color="auto" w:fill="FFFF00"/>
            <w:vAlign w:val="center"/>
            <w:hideMark/>
          </w:tcPr>
          <w:p w14:paraId="253077D4"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Umiarkowany</w:t>
            </w:r>
          </w:p>
        </w:tc>
        <w:tc>
          <w:tcPr>
            <w:tcW w:w="960" w:type="dxa"/>
            <w:tcBorders>
              <w:top w:val="nil"/>
              <w:left w:val="nil"/>
              <w:bottom w:val="single" w:sz="4" w:space="0" w:color="auto"/>
              <w:right w:val="single" w:sz="4" w:space="0" w:color="auto"/>
            </w:tcBorders>
            <w:shd w:val="clear" w:color="auto" w:fill="auto"/>
            <w:noWrap/>
            <w:vAlign w:val="center"/>
            <w:hideMark/>
          </w:tcPr>
          <w:p w14:paraId="4F71D9A1"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11</w:t>
            </w:r>
          </w:p>
        </w:tc>
        <w:tc>
          <w:tcPr>
            <w:tcW w:w="960" w:type="dxa"/>
            <w:tcBorders>
              <w:top w:val="nil"/>
              <w:left w:val="nil"/>
              <w:bottom w:val="single" w:sz="4" w:space="0" w:color="auto"/>
              <w:right w:val="single" w:sz="4" w:space="0" w:color="auto"/>
            </w:tcBorders>
            <w:shd w:val="clear" w:color="auto" w:fill="auto"/>
            <w:noWrap/>
            <w:vAlign w:val="center"/>
            <w:hideMark/>
          </w:tcPr>
          <w:p w14:paraId="5DB6D89E"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29</w:t>
            </w:r>
          </w:p>
        </w:tc>
        <w:tc>
          <w:tcPr>
            <w:tcW w:w="960" w:type="dxa"/>
            <w:tcBorders>
              <w:top w:val="nil"/>
              <w:left w:val="nil"/>
              <w:bottom w:val="single" w:sz="4" w:space="0" w:color="auto"/>
              <w:right w:val="single" w:sz="4" w:space="0" w:color="auto"/>
            </w:tcBorders>
            <w:shd w:val="clear" w:color="auto" w:fill="auto"/>
            <w:noWrap/>
            <w:vAlign w:val="center"/>
            <w:hideMark/>
          </w:tcPr>
          <w:p w14:paraId="4AA10B27"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1F35A446"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w:t>
            </w:r>
          </w:p>
        </w:tc>
        <w:tc>
          <w:tcPr>
            <w:tcW w:w="960" w:type="dxa"/>
            <w:tcBorders>
              <w:top w:val="nil"/>
              <w:left w:val="nil"/>
              <w:bottom w:val="single" w:sz="4" w:space="0" w:color="auto"/>
              <w:right w:val="single" w:sz="4" w:space="0" w:color="auto"/>
            </w:tcBorders>
            <w:shd w:val="clear" w:color="auto" w:fill="auto"/>
            <w:noWrap/>
            <w:vAlign w:val="center"/>
            <w:hideMark/>
          </w:tcPr>
          <w:p w14:paraId="67EBC162"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00" w:type="dxa"/>
            <w:tcBorders>
              <w:top w:val="nil"/>
              <w:left w:val="nil"/>
              <w:bottom w:val="single" w:sz="4" w:space="0" w:color="auto"/>
              <w:right w:val="single" w:sz="4" w:space="0" w:color="auto"/>
            </w:tcBorders>
            <w:shd w:val="clear" w:color="auto" w:fill="auto"/>
            <w:noWrap/>
            <w:vAlign w:val="center"/>
            <w:hideMark/>
          </w:tcPr>
          <w:p w14:paraId="5A66B008"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41</w:t>
            </w:r>
          </w:p>
        </w:tc>
      </w:tr>
      <w:tr w:rsidR="0025528B" w:rsidRPr="005E2831" w14:paraId="51C4A02C" w14:textId="77777777" w:rsidTr="00AA0413">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1FD29A9B"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440" w:type="dxa"/>
            <w:tcBorders>
              <w:top w:val="nil"/>
              <w:left w:val="nil"/>
              <w:bottom w:val="single" w:sz="4" w:space="0" w:color="auto"/>
              <w:right w:val="single" w:sz="4" w:space="0" w:color="auto"/>
            </w:tcBorders>
            <w:shd w:val="clear" w:color="auto" w:fill="FFC000"/>
            <w:vAlign w:val="center"/>
            <w:hideMark/>
          </w:tcPr>
          <w:p w14:paraId="6D81DDC2"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Słaby</w:t>
            </w:r>
          </w:p>
        </w:tc>
        <w:tc>
          <w:tcPr>
            <w:tcW w:w="960" w:type="dxa"/>
            <w:tcBorders>
              <w:top w:val="nil"/>
              <w:left w:val="nil"/>
              <w:bottom w:val="single" w:sz="4" w:space="0" w:color="auto"/>
              <w:right w:val="single" w:sz="4" w:space="0" w:color="auto"/>
            </w:tcBorders>
            <w:shd w:val="clear" w:color="auto" w:fill="auto"/>
            <w:noWrap/>
            <w:vAlign w:val="center"/>
            <w:hideMark/>
          </w:tcPr>
          <w:p w14:paraId="2A25572F"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w:t>
            </w:r>
          </w:p>
        </w:tc>
        <w:tc>
          <w:tcPr>
            <w:tcW w:w="960" w:type="dxa"/>
            <w:tcBorders>
              <w:top w:val="nil"/>
              <w:left w:val="nil"/>
              <w:bottom w:val="single" w:sz="4" w:space="0" w:color="auto"/>
              <w:right w:val="single" w:sz="4" w:space="0" w:color="auto"/>
            </w:tcBorders>
            <w:shd w:val="clear" w:color="auto" w:fill="auto"/>
            <w:noWrap/>
            <w:vAlign w:val="center"/>
            <w:hideMark/>
          </w:tcPr>
          <w:p w14:paraId="758E7BB7"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22</w:t>
            </w:r>
          </w:p>
        </w:tc>
        <w:tc>
          <w:tcPr>
            <w:tcW w:w="960" w:type="dxa"/>
            <w:tcBorders>
              <w:top w:val="nil"/>
              <w:left w:val="nil"/>
              <w:bottom w:val="single" w:sz="4" w:space="0" w:color="auto"/>
              <w:right w:val="single" w:sz="4" w:space="0" w:color="auto"/>
            </w:tcBorders>
            <w:shd w:val="clear" w:color="auto" w:fill="auto"/>
            <w:noWrap/>
            <w:vAlign w:val="center"/>
            <w:hideMark/>
          </w:tcPr>
          <w:p w14:paraId="762D0CEB"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395593E0"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2316BFA2"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00" w:type="dxa"/>
            <w:tcBorders>
              <w:top w:val="nil"/>
              <w:left w:val="nil"/>
              <w:bottom w:val="single" w:sz="4" w:space="0" w:color="auto"/>
              <w:right w:val="single" w:sz="4" w:space="0" w:color="auto"/>
            </w:tcBorders>
            <w:shd w:val="clear" w:color="auto" w:fill="auto"/>
            <w:noWrap/>
            <w:vAlign w:val="center"/>
            <w:hideMark/>
          </w:tcPr>
          <w:p w14:paraId="3AC279BA"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25</w:t>
            </w:r>
          </w:p>
        </w:tc>
      </w:tr>
      <w:tr w:rsidR="0025528B" w:rsidRPr="005E2831" w14:paraId="723823F9" w14:textId="77777777" w:rsidTr="00AA0413">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7F419C62"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440" w:type="dxa"/>
            <w:tcBorders>
              <w:top w:val="nil"/>
              <w:left w:val="nil"/>
              <w:bottom w:val="single" w:sz="4" w:space="0" w:color="auto"/>
              <w:right w:val="single" w:sz="4" w:space="0" w:color="auto"/>
            </w:tcBorders>
            <w:shd w:val="clear" w:color="auto" w:fill="FF0000"/>
            <w:vAlign w:val="center"/>
            <w:hideMark/>
          </w:tcPr>
          <w:p w14:paraId="13196B18"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Zły</w:t>
            </w:r>
          </w:p>
        </w:tc>
        <w:tc>
          <w:tcPr>
            <w:tcW w:w="960" w:type="dxa"/>
            <w:tcBorders>
              <w:top w:val="nil"/>
              <w:left w:val="nil"/>
              <w:bottom w:val="single" w:sz="4" w:space="0" w:color="auto"/>
              <w:right w:val="single" w:sz="4" w:space="0" w:color="auto"/>
            </w:tcBorders>
            <w:shd w:val="clear" w:color="auto" w:fill="auto"/>
            <w:noWrap/>
            <w:vAlign w:val="center"/>
            <w:hideMark/>
          </w:tcPr>
          <w:p w14:paraId="512E2533"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w:t>
            </w:r>
          </w:p>
        </w:tc>
        <w:tc>
          <w:tcPr>
            <w:tcW w:w="960" w:type="dxa"/>
            <w:tcBorders>
              <w:top w:val="nil"/>
              <w:left w:val="nil"/>
              <w:bottom w:val="single" w:sz="4" w:space="0" w:color="auto"/>
              <w:right w:val="single" w:sz="4" w:space="0" w:color="auto"/>
            </w:tcBorders>
            <w:shd w:val="clear" w:color="auto" w:fill="auto"/>
            <w:noWrap/>
            <w:vAlign w:val="center"/>
            <w:hideMark/>
          </w:tcPr>
          <w:p w14:paraId="7255F92E"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27</w:t>
            </w:r>
          </w:p>
        </w:tc>
        <w:tc>
          <w:tcPr>
            <w:tcW w:w="960" w:type="dxa"/>
            <w:tcBorders>
              <w:top w:val="nil"/>
              <w:left w:val="nil"/>
              <w:bottom w:val="single" w:sz="4" w:space="0" w:color="auto"/>
              <w:right w:val="single" w:sz="4" w:space="0" w:color="auto"/>
            </w:tcBorders>
            <w:shd w:val="clear" w:color="auto" w:fill="auto"/>
            <w:noWrap/>
            <w:vAlign w:val="center"/>
            <w:hideMark/>
          </w:tcPr>
          <w:p w14:paraId="674549E0"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6830136E"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176642DF"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00" w:type="dxa"/>
            <w:tcBorders>
              <w:top w:val="nil"/>
              <w:left w:val="nil"/>
              <w:bottom w:val="single" w:sz="4" w:space="0" w:color="auto"/>
              <w:right w:val="single" w:sz="4" w:space="0" w:color="auto"/>
            </w:tcBorders>
            <w:shd w:val="clear" w:color="auto" w:fill="auto"/>
            <w:noWrap/>
            <w:vAlign w:val="center"/>
            <w:hideMark/>
          </w:tcPr>
          <w:p w14:paraId="49202BAB"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30</w:t>
            </w:r>
          </w:p>
        </w:tc>
      </w:tr>
      <w:tr w:rsidR="0025528B" w:rsidRPr="005E2831" w14:paraId="30C16BC2" w14:textId="77777777" w:rsidTr="0025528B">
        <w:trPr>
          <w:trHeight w:val="480"/>
          <w:jc w:val="center"/>
        </w:trPr>
        <w:tc>
          <w:tcPr>
            <w:tcW w:w="960" w:type="dxa"/>
            <w:vMerge/>
            <w:tcBorders>
              <w:top w:val="nil"/>
              <w:left w:val="single" w:sz="4" w:space="0" w:color="auto"/>
              <w:bottom w:val="single" w:sz="4" w:space="0" w:color="auto"/>
              <w:right w:val="single" w:sz="4" w:space="0" w:color="auto"/>
            </w:tcBorders>
            <w:vAlign w:val="center"/>
            <w:hideMark/>
          </w:tcPr>
          <w:p w14:paraId="6EC8F407"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440" w:type="dxa"/>
            <w:tcBorders>
              <w:top w:val="nil"/>
              <w:left w:val="nil"/>
              <w:bottom w:val="single" w:sz="4" w:space="0" w:color="auto"/>
              <w:right w:val="single" w:sz="4" w:space="0" w:color="auto"/>
            </w:tcBorders>
            <w:shd w:val="clear" w:color="000000" w:fill="BFBFBF"/>
            <w:vAlign w:val="center"/>
            <w:hideMark/>
          </w:tcPr>
          <w:p w14:paraId="2E469207"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 xml:space="preserve">Liczba silnie zmienionych </w:t>
            </w:r>
            <w:proofErr w:type="spellStart"/>
            <w:r w:rsidRPr="00C00651">
              <w:rPr>
                <w:rFonts w:ascii="Times New Roman" w:eastAsia="Times New Roman" w:hAnsi="Times New Roman" w:cs="Times New Roman"/>
                <w:color w:val="000000"/>
                <w:sz w:val="18"/>
                <w:szCs w:val="18"/>
                <w:lang w:eastAsia="pl-PL"/>
              </w:rPr>
              <w:t>jcwp</w:t>
            </w:r>
            <w:proofErr w:type="spellEnd"/>
            <w:r w:rsidRPr="00C00651">
              <w:rPr>
                <w:rFonts w:ascii="Times New Roman" w:eastAsia="Times New Roman" w:hAnsi="Times New Roman" w:cs="Times New Roman"/>
                <w:color w:val="000000"/>
                <w:sz w:val="18"/>
                <w:szCs w:val="18"/>
                <w:lang w:eastAsia="pl-PL"/>
              </w:rPr>
              <w:t xml:space="preserve"> sklasyfikowanych</w:t>
            </w:r>
          </w:p>
        </w:tc>
        <w:tc>
          <w:tcPr>
            <w:tcW w:w="960" w:type="dxa"/>
            <w:tcBorders>
              <w:top w:val="nil"/>
              <w:left w:val="nil"/>
              <w:bottom w:val="single" w:sz="4" w:space="0" w:color="auto"/>
              <w:right w:val="single" w:sz="4" w:space="0" w:color="auto"/>
            </w:tcBorders>
            <w:shd w:val="clear" w:color="auto" w:fill="auto"/>
            <w:noWrap/>
            <w:vAlign w:val="center"/>
            <w:hideMark/>
          </w:tcPr>
          <w:p w14:paraId="645CD628"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19</w:t>
            </w:r>
          </w:p>
        </w:tc>
        <w:tc>
          <w:tcPr>
            <w:tcW w:w="960" w:type="dxa"/>
            <w:tcBorders>
              <w:top w:val="nil"/>
              <w:left w:val="nil"/>
              <w:bottom w:val="single" w:sz="4" w:space="0" w:color="auto"/>
              <w:right w:val="single" w:sz="4" w:space="0" w:color="auto"/>
            </w:tcBorders>
            <w:shd w:val="clear" w:color="auto" w:fill="auto"/>
            <w:noWrap/>
            <w:vAlign w:val="center"/>
            <w:hideMark/>
          </w:tcPr>
          <w:p w14:paraId="58909E89"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88</w:t>
            </w:r>
          </w:p>
        </w:tc>
        <w:tc>
          <w:tcPr>
            <w:tcW w:w="960" w:type="dxa"/>
            <w:tcBorders>
              <w:top w:val="nil"/>
              <w:left w:val="nil"/>
              <w:bottom w:val="single" w:sz="4" w:space="0" w:color="auto"/>
              <w:right w:val="single" w:sz="4" w:space="0" w:color="auto"/>
            </w:tcBorders>
            <w:shd w:val="clear" w:color="auto" w:fill="auto"/>
            <w:noWrap/>
            <w:vAlign w:val="center"/>
            <w:hideMark/>
          </w:tcPr>
          <w:p w14:paraId="3F1EDE16"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1E3AD68C"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w:t>
            </w:r>
          </w:p>
        </w:tc>
        <w:tc>
          <w:tcPr>
            <w:tcW w:w="960" w:type="dxa"/>
            <w:tcBorders>
              <w:top w:val="nil"/>
              <w:left w:val="nil"/>
              <w:bottom w:val="single" w:sz="4" w:space="0" w:color="auto"/>
              <w:right w:val="single" w:sz="4" w:space="0" w:color="auto"/>
            </w:tcBorders>
            <w:shd w:val="clear" w:color="auto" w:fill="auto"/>
            <w:noWrap/>
            <w:vAlign w:val="center"/>
            <w:hideMark/>
          </w:tcPr>
          <w:p w14:paraId="5245898E"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00" w:type="dxa"/>
            <w:tcBorders>
              <w:top w:val="nil"/>
              <w:left w:val="nil"/>
              <w:bottom w:val="single" w:sz="4" w:space="0" w:color="auto"/>
              <w:right w:val="single" w:sz="4" w:space="0" w:color="auto"/>
            </w:tcBorders>
            <w:shd w:val="clear" w:color="auto" w:fill="auto"/>
            <w:noWrap/>
            <w:vAlign w:val="center"/>
            <w:hideMark/>
          </w:tcPr>
          <w:p w14:paraId="50BAFE7A"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108</w:t>
            </w:r>
          </w:p>
        </w:tc>
      </w:tr>
      <w:tr w:rsidR="0025528B" w:rsidRPr="005E2831" w14:paraId="4BBE3FA9" w14:textId="77777777" w:rsidTr="0025528B">
        <w:trPr>
          <w:trHeight w:val="480"/>
          <w:jc w:val="center"/>
        </w:trPr>
        <w:tc>
          <w:tcPr>
            <w:tcW w:w="960" w:type="dxa"/>
            <w:vMerge/>
            <w:tcBorders>
              <w:top w:val="nil"/>
              <w:left w:val="single" w:sz="4" w:space="0" w:color="auto"/>
              <w:bottom w:val="single" w:sz="4" w:space="0" w:color="auto"/>
              <w:right w:val="single" w:sz="4" w:space="0" w:color="auto"/>
            </w:tcBorders>
            <w:vAlign w:val="center"/>
            <w:hideMark/>
          </w:tcPr>
          <w:p w14:paraId="074FB85D"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440" w:type="dxa"/>
            <w:tcBorders>
              <w:top w:val="nil"/>
              <w:left w:val="nil"/>
              <w:bottom w:val="single" w:sz="4" w:space="0" w:color="auto"/>
              <w:right w:val="single" w:sz="4" w:space="0" w:color="auto"/>
            </w:tcBorders>
            <w:shd w:val="clear" w:color="000000" w:fill="F2F2F2"/>
            <w:vAlign w:val="center"/>
            <w:hideMark/>
          </w:tcPr>
          <w:p w14:paraId="186074D2"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 xml:space="preserve">Liczba silnie zmienionych </w:t>
            </w:r>
            <w:proofErr w:type="spellStart"/>
            <w:r w:rsidRPr="00C00651">
              <w:rPr>
                <w:rFonts w:ascii="Times New Roman" w:eastAsia="Times New Roman" w:hAnsi="Times New Roman" w:cs="Times New Roman"/>
                <w:color w:val="000000"/>
                <w:sz w:val="18"/>
                <w:szCs w:val="18"/>
                <w:lang w:eastAsia="pl-PL"/>
              </w:rPr>
              <w:t>jcwp</w:t>
            </w:r>
            <w:proofErr w:type="spellEnd"/>
            <w:r w:rsidRPr="00C00651">
              <w:rPr>
                <w:rFonts w:ascii="Times New Roman" w:eastAsia="Times New Roman" w:hAnsi="Times New Roman" w:cs="Times New Roman"/>
                <w:color w:val="000000"/>
                <w:sz w:val="18"/>
                <w:szCs w:val="18"/>
                <w:lang w:eastAsia="pl-PL"/>
              </w:rPr>
              <w:t xml:space="preserve"> niesklasyfikowanych</w:t>
            </w:r>
          </w:p>
        </w:tc>
        <w:tc>
          <w:tcPr>
            <w:tcW w:w="960" w:type="dxa"/>
            <w:tcBorders>
              <w:top w:val="nil"/>
              <w:left w:val="nil"/>
              <w:bottom w:val="single" w:sz="4" w:space="0" w:color="auto"/>
              <w:right w:val="single" w:sz="4" w:space="0" w:color="auto"/>
            </w:tcBorders>
            <w:shd w:val="clear" w:color="auto" w:fill="auto"/>
            <w:noWrap/>
            <w:vAlign w:val="center"/>
            <w:hideMark/>
          </w:tcPr>
          <w:p w14:paraId="476E5622"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6EEB38E1"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11</w:t>
            </w:r>
          </w:p>
        </w:tc>
        <w:tc>
          <w:tcPr>
            <w:tcW w:w="960" w:type="dxa"/>
            <w:tcBorders>
              <w:top w:val="nil"/>
              <w:left w:val="nil"/>
              <w:bottom w:val="single" w:sz="4" w:space="0" w:color="auto"/>
              <w:right w:val="single" w:sz="4" w:space="0" w:color="auto"/>
            </w:tcBorders>
            <w:shd w:val="clear" w:color="auto" w:fill="auto"/>
            <w:noWrap/>
            <w:vAlign w:val="center"/>
            <w:hideMark/>
          </w:tcPr>
          <w:p w14:paraId="50F20A78"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70888BD0"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41688BD2"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00" w:type="dxa"/>
            <w:tcBorders>
              <w:top w:val="nil"/>
              <w:left w:val="nil"/>
              <w:bottom w:val="single" w:sz="4" w:space="0" w:color="auto"/>
              <w:right w:val="single" w:sz="4" w:space="0" w:color="auto"/>
            </w:tcBorders>
            <w:shd w:val="clear" w:color="auto" w:fill="auto"/>
            <w:noWrap/>
            <w:vAlign w:val="center"/>
            <w:hideMark/>
          </w:tcPr>
          <w:p w14:paraId="62C8C86F"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11</w:t>
            </w:r>
          </w:p>
        </w:tc>
      </w:tr>
      <w:tr w:rsidR="0025528B" w:rsidRPr="005E2831" w14:paraId="3D480C18" w14:textId="77777777" w:rsidTr="0025528B">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5C9D2177"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440" w:type="dxa"/>
            <w:tcBorders>
              <w:top w:val="nil"/>
              <w:left w:val="nil"/>
              <w:bottom w:val="single" w:sz="4" w:space="0" w:color="auto"/>
              <w:right w:val="single" w:sz="4" w:space="0" w:color="auto"/>
            </w:tcBorders>
            <w:shd w:val="clear" w:color="000000" w:fill="FFFFFF"/>
            <w:vAlign w:val="center"/>
            <w:hideMark/>
          </w:tcPr>
          <w:p w14:paraId="1319C1BA"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Łącznie</w:t>
            </w:r>
          </w:p>
        </w:tc>
        <w:tc>
          <w:tcPr>
            <w:tcW w:w="960" w:type="dxa"/>
            <w:tcBorders>
              <w:top w:val="nil"/>
              <w:left w:val="nil"/>
              <w:bottom w:val="single" w:sz="4" w:space="0" w:color="auto"/>
              <w:right w:val="single" w:sz="4" w:space="0" w:color="auto"/>
            </w:tcBorders>
            <w:shd w:val="clear" w:color="auto" w:fill="auto"/>
            <w:noWrap/>
            <w:vAlign w:val="center"/>
            <w:hideMark/>
          </w:tcPr>
          <w:p w14:paraId="5E29BAD6"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19</w:t>
            </w:r>
          </w:p>
        </w:tc>
        <w:tc>
          <w:tcPr>
            <w:tcW w:w="960" w:type="dxa"/>
            <w:tcBorders>
              <w:top w:val="nil"/>
              <w:left w:val="nil"/>
              <w:bottom w:val="single" w:sz="4" w:space="0" w:color="auto"/>
              <w:right w:val="single" w:sz="4" w:space="0" w:color="auto"/>
            </w:tcBorders>
            <w:shd w:val="clear" w:color="auto" w:fill="auto"/>
            <w:noWrap/>
            <w:vAlign w:val="center"/>
            <w:hideMark/>
          </w:tcPr>
          <w:p w14:paraId="01F17B6A"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99</w:t>
            </w:r>
          </w:p>
        </w:tc>
        <w:tc>
          <w:tcPr>
            <w:tcW w:w="960" w:type="dxa"/>
            <w:tcBorders>
              <w:top w:val="nil"/>
              <w:left w:val="nil"/>
              <w:bottom w:val="single" w:sz="4" w:space="0" w:color="auto"/>
              <w:right w:val="single" w:sz="4" w:space="0" w:color="auto"/>
            </w:tcBorders>
            <w:shd w:val="clear" w:color="auto" w:fill="auto"/>
            <w:noWrap/>
            <w:vAlign w:val="center"/>
            <w:hideMark/>
          </w:tcPr>
          <w:p w14:paraId="2818328E"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43582909"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w:t>
            </w:r>
          </w:p>
        </w:tc>
        <w:tc>
          <w:tcPr>
            <w:tcW w:w="960" w:type="dxa"/>
            <w:tcBorders>
              <w:top w:val="nil"/>
              <w:left w:val="nil"/>
              <w:bottom w:val="single" w:sz="4" w:space="0" w:color="auto"/>
              <w:right w:val="single" w:sz="4" w:space="0" w:color="auto"/>
            </w:tcBorders>
            <w:shd w:val="clear" w:color="auto" w:fill="auto"/>
            <w:noWrap/>
            <w:vAlign w:val="center"/>
            <w:hideMark/>
          </w:tcPr>
          <w:p w14:paraId="282B18A3"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00" w:type="dxa"/>
            <w:tcBorders>
              <w:top w:val="nil"/>
              <w:left w:val="nil"/>
              <w:bottom w:val="single" w:sz="4" w:space="0" w:color="auto"/>
              <w:right w:val="single" w:sz="4" w:space="0" w:color="auto"/>
            </w:tcBorders>
            <w:shd w:val="clear" w:color="auto" w:fill="auto"/>
            <w:noWrap/>
            <w:vAlign w:val="center"/>
            <w:hideMark/>
          </w:tcPr>
          <w:p w14:paraId="185CDAF1"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119</w:t>
            </w:r>
          </w:p>
        </w:tc>
      </w:tr>
      <w:tr w:rsidR="0025528B" w:rsidRPr="005E2831" w14:paraId="44877C7D" w14:textId="77777777" w:rsidTr="0025528B">
        <w:trPr>
          <w:trHeight w:val="300"/>
          <w:jc w:val="center"/>
        </w:trPr>
        <w:tc>
          <w:tcPr>
            <w:tcW w:w="96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1004C592"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Klasyfikacja</w:t>
            </w:r>
            <w:r w:rsidRPr="00C00651">
              <w:rPr>
                <w:rFonts w:ascii="Times New Roman" w:eastAsia="Times New Roman" w:hAnsi="Times New Roman" w:cs="Times New Roman"/>
                <w:color w:val="000000"/>
                <w:sz w:val="18"/>
                <w:szCs w:val="18"/>
                <w:lang w:eastAsia="pl-PL"/>
              </w:rPr>
              <w:br/>
              <w:t>stanu</w:t>
            </w:r>
            <w:r w:rsidRPr="00C00651">
              <w:rPr>
                <w:rFonts w:ascii="Times New Roman" w:eastAsia="Times New Roman" w:hAnsi="Times New Roman" w:cs="Times New Roman"/>
                <w:color w:val="000000"/>
                <w:sz w:val="18"/>
                <w:szCs w:val="18"/>
                <w:lang w:eastAsia="pl-PL"/>
              </w:rPr>
              <w:br/>
              <w:t>chemicznego</w:t>
            </w:r>
          </w:p>
        </w:tc>
        <w:tc>
          <w:tcPr>
            <w:tcW w:w="2440" w:type="dxa"/>
            <w:tcBorders>
              <w:top w:val="nil"/>
              <w:left w:val="nil"/>
              <w:bottom w:val="single" w:sz="4" w:space="0" w:color="auto"/>
              <w:right w:val="single" w:sz="4" w:space="0" w:color="auto"/>
            </w:tcBorders>
            <w:shd w:val="clear" w:color="000000" w:fill="00B0F0"/>
            <w:vAlign w:val="center"/>
            <w:hideMark/>
          </w:tcPr>
          <w:p w14:paraId="221C2524"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Dobry</w:t>
            </w:r>
          </w:p>
        </w:tc>
        <w:tc>
          <w:tcPr>
            <w:tcW w:w="960" w:type="dxa"/>
            <w:tcBorders>
              <w:top w:val="nil"/>
              <w:left w:val="nil"/>
              <w:bottom w:val="single" w:sz="4" w:space="0" w:color="auto"/>
              <w:right w:val="single" w:sz="4" w:space="0" w:color="auto"/>
            </w:tcBorders>
            <w:shd w:val="clear" w:color="auto" w:fill="auto"/>
            <w:noWrap/>
            <w:vAlign w:val="center"/>
            <w:hideMark/>
          </w:tcPr>
          <w:p w14:paraId="2CC9AB46"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30</w:t>
            </w:r>
          </w:p>
        </w:tc>
        <w:tc>
          <w:tcPr>
            <w:tcW w:w="960" w:type="dxa"/>
            <w:tcBorders>
              <w:top w:val="nil"/>
              <w:left w:val="nil"/>
              <w:bottom w:val="single" w:sz="4" w:space="0" w:color="auto"/>
              <w:right w:val="single" w:sz="4" w:space="0" w:color="auto"/>
            </w:tcBorders>
            <w:shd w:val="clear" w:color="auto" w:fill="auto"/>
            <w:noWrap/>
            <w:vAlign w:val="center"/>
            <w:hideMark/>
          </w:tcPr>
          <w:p w14:paraId="4FBC640F"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27</w:t>
            </w:r>
          </w:p>
        </w:tc>
        <w:tc>
          <w:tcPr>
            <w:tcW w:w="960" w:type="dxa"/>
            <w:tcBorders>
              <w:top w:val="nil"/>
              <w:left w:val="nil"/>
              <w:bottom w:val="single" w:sz="4" w:space="0" w:color="auto"/>
              <w:right w:val="single" w:sz="4" w:space="0" w:color="auto"/>
            </w:tcBorders>
            <w:shd w:val="clear" w:color="auto" w:fill="auto"/>
            <w:noWrap/>
            <w:vAlign w:val="center"/>
            <w:hideMark/>
          </w:tcPr>
          <w:p w14:paraId="0957862B"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w:t>
            </w:r>
          </w:p>
        </w:tc>
        <w:tc>
          <w:tcPr>
            <w:tcW w:w="960" w:type="dxa"/>
            <w:tcBorders>
              <w:top w:val="nil"/>
              <w:left w:val="nil"/>
              <w:bottom w:val="single" w:sz="4" w:space="0" w:color="auto"/>
              <w:right w:val="single" w:sz="4" w:space="0" w:color="auto"/>
            </w:tcBorders>
            <w:shd w:val="clear" w:color="auto" w:fill="auto"/>
            <w:noWrap/>
            <w:vAlign w:val="center"/>
            <w:hideMark/>
          </w:tcPr>
          <w:p w14:paraId="7DC2D69D"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11</w:t>
            </w:r>
          </w:p>
        </w:tc>
        <w:tc>
          <w:tcPr>
            <w:tcW w:w="960" w:type="dxa"/>
            <w:tcBorders>
              <w:top w:val="nil"/>
              <w:left w:val="nil"/>
              <w:bottom w:val="single" w:sz="4" w:space="0" w:color="auto"/>
              <w:right w:val="single" w:sz="4" w:space="0" w:color="auto"/>
            </w:tcBorders>
            <w:shd w:val="clear" w:color="auto" w:fill="auto"/>
            <w:noWrap/>
            <w:vAlign w:val="center"/>
            <w:hideMark/>
          </w:tcPr>
          <w:p w14:paraId="36B051AD"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00" w:type="dxa"/>
            <w:tcBorders>
              <w:top w:val="nil"/>
              <w:left w:val="nil"/>
              <w:bottom w:val="single" w:sz="4" w:space="0" w:color="auto"/>
              <w:right w:val="single" w:sz="4" w:space="0" w:color="auto"/>
            </w:tcBorders>
            <w:shd w:val="clear" w:color="auto" w:fill="auto"/>
            <w:noWrap/>
            <w:vAlign w:val="center"/>
            <w:hideMark/>
          </w:tcPr>
          <w:p w14:paraId="253A3171"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71</w:t>
            </w:r>
          </w:p>
        </w:tc>
      </w:tr>
      <w:tr w:rsidR="0025528B" w:rsidRPr="005E2831" w14:paraId="18153A1E" w14:textId="77777777" w:rsidTr="0025528B">
        <w:trPr>
          <w:trHeight w:val="450"/>
          <w:jc w:val="center"/>
        </w:trPr>
        <w:tc>
          <w:tcPr>
            <w:tcW w:w="960" w:type="dxa"/>
            <w:vMerge/>
            <w:tcBorders>
              <w:top w:val="nil"/>
              <w:left w:val="single" w:sz="4" w:space="0" w:color="auto"/>
              <w:bottom w:val="single" w:sz="4" w:space="0" w:color="auto"/>
              <w:right w:val="single" w:sz="4" w:space="0" w:color="auto"/>
            </w:tcBorders>
            <w:vAlign w:val="center"/>
            <w:hideMark/>
          </w:tcPr>
          <w:p w14:paraId="1CBFA958"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440" w:type="dxa"/>
            <w:tcBorders>
              <w:top w:val="nil"/>
              <w:left w:val="nil"/>
              <w:bottom w:val="single" w:sz="4" w:space="0" w:color="auto"/>
              <w:right w:val="single" w:sz="4" w:space="0" w:color="auto"/>
            </w:tcBorders>
            <w:shd w:val="clear" w:color="000000" w:fill="FF0000"/>
            <w:vAlign w:val="center"/>
            <w:hideMark/>
          </w:tcPr>
          <w:p w14:paraId="7FD057F3"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Poniżej dobrego</w:t>
            </w:r>
          </w:p>
        </w:tc>
        <w:tc>
          <w:tcPr>
            <w:tcW w:w="960" w:type="dxa"/>
            <w:tcBorders>
              <w:top w:val="nil"/>
              <w:left w:val="nil"/>
              <w:bottom w:val="single" w:sz="4" w:space="0" w:color="auto"/>
              <w:right w:val="single" w:sz="4" w:space="0" w:color="auto"/>
            </w:tcBorders>
            <w:shd w:val="clear" w:color="auto" w:fill="auto"/>
            <w:noWrap/>
            <w:vAlign w:val="center"/>
            <w:hideMark/>
          </w:tcPr>
          <w:p w14:paraId="76CB1450"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296</w:t>
            </w:r>
          </w:p>
        </w:tc>
        <w:tc>
          <w:tcPr>
            <w:tcW w:w="960" w:type="dxa"/>
            <w:tcBorders>
              <w:top w:val="nil"/>
              <w:left w:val="nil"/>
              <w:bottom w:val="single" w:sz="4" w:space="0" w:color="auto"/>
              <w:right w:val="single" w:sz="4" w:space="0" w:color="auto"/>
            </w:tcBorders>
            <w:shd w:val="clear" w:color="auto" w:fill="auto"/>
            <w:noWrap/>
            <w:vAlign w:val="center"/>
            <w:hideMark/>
          </w:tcPr>
          <w:p w14:paraId="67D737D2"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273</w:t>
            </w:r>
          </w:p>
        </w:tc>
        <w:tc>
          <w:tcPr>
            <w:tcW w:w="960" w:type="dxa"/>
            <w:tcBorders>
              <w:top w:val="nil"/>
              <w:left w:val="nil"/>
              <w:bottom w:val="single" w:sz="4" w:space="0" w:color="auto"/>
              <w:right w:val="single" w:sz="4" w:space="0" w:color="auto"/>
            </w:tcBorders>
            <w:shd w:val="clear" w:color="auto" w:fill="auto"/>
            <w:noWrap/>
            <w:vAlign w:val="center"/>
            <w:hideMark/>
          </w:tcPr>
          <w:p w14:paraId="46856FBF"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33</w:t>
            </w:r>
          </w:p>
        </w:tc>
        <w:tc>
          <w:tcPr>
            <w:tcW w:w="960" w:type="dxa"/>
            <w:tcBorders>
              <w:top w:val="nil"/>
              <w:left w:val="nil"/>
              <w:bottom w:val="single" w:sz="4" w:space="0" w:color="auto"/>
              <w:right w:val="single" w:sz="4" w:space="0" w:color="auto"/>
            </w:tcBorders>
            <w:shd w:val="clear" w:color="auto" w:fill="auto"/>
            <w:noWrap/>
            <w:vAlign w:val="center"/>
            <w:hideMark/>
          </w:tcPr>
          <w:p w14:paraId="081CC0EA"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38</w:t>
            </w:r>
          </w:p>
        </w:tc>
        <w:tc>
          <w:tcPr>
            <w:tcW w:w="960" w:type="dxa"/>
            <w:tcBorders>
              <w:top w:val="nil"/>
              <w:left w:val="nil"/>
              <w:bottom w:val="single" w:sz="4" w:space="0" w:color="auto"/>
              <w:right w:val="single" w:sz="4" w:space="0" w:color="auto"/>
            </w:tcBorders>
            <w:shd w:val="clear" w:color="auto" w:fill="auto"/>
            <w:noWrap/>
            <w:vAlign w:val="center"/>
            <w:hideMark/>
          </w:tcPr>
          <w:p w14:paraId="52219245"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w:t>
            </w:r>
          </w:p>
        </w:tc>
        <w:tc>
          <w:tcPr>
            <w:tcW w:w="900" w:type="dxa"/>
            <w:tcBorders>
              <w:top w:val="nil"/>
              <w:left w:val="nil"/>
              <w:bottom w:val="single" w:sz="4" w:space="0" w:color="auto"/>
              <w:right w:val="single" w:sz="4" w:space="0" w:color="auto"/>
            </w:tcBorders>
            <w:shd w:val="clear" w:color="auto" w:fill="auto"/>
            <w:noWrap/>
            <w:vAlign w:val="center"/>
            <w:hideMark/>
          </w:tcPr>
          <w:p w14:paraId="6CF542EC"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641</w:t>
            </w:r>
          </w:p>
        </w:tc>
      </w:tr>
      <w:tr w:rsidR="0025528B" w:rsidRPr="005E2831" w14:paraId="65D3C222" w14:textId="77777777" w:rsidTr="0025528B">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01635769"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440" w:type="dxa"/>
            <w:tcBorders>
              <w:top w:val="nil"/>
              <w:left w:val="nil"/>
              <w:bottom w:val="single" w:sz="4" w:space="0" w:color="auto"/>
              <w:right w:val="single" w:sz="4" w:space="0" w:color="auto"/>
            </w:tcBorders>
            <w:shd w:val="clear" w:color="000000" w:fill="BFBFBF"/>
            <w:vAlign w:val="center"/>
            <w:hideMark/>
          </w:tcPr>
          <w:p w14:paraId="5B1D07B2"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 xml:space="preserve">Liczba </w:t>
            </w:r>
            <w:proofErr w:type="spellStart"/>
            <w:r w:rsidRPr="00C00651">
              <w:rPr>
                <w:rFonts w:ascii="Times New Roman" w:eastAsia="Times New Roman" w:hAnsi="Times New Roman" w:cs="Times New Roman"/>
                <w:color w:val="000000"/>
                <w:sz w:val="18"/>
                <w:szCs w:val="18"/>
                <w:lang w:eastAsia="pl-PL"/>
              </w:rPr>
              <w:t>jcwp</w:t>
            </w:r>
            <w:proofErr w:type="spellEnd"/>
            <w:r w:rsidRPr="00C00651">
              <w:rPr>
                <w:rFonts w:ascii="Times New Roman" w:eastAsia="Times New Roman" w:hAnsi="Times New Roman" w:cs="Times New Roman"/>
                <w:color w:val="000000"/>
                <w:sz w:val="18"/>
                <w:szCs w:val="18"/>
                <w:lang w:eastAsia="pl-PL"/>
              </w:rPr>
              <w:t xml:space="preserve"> sklasyfikowanych</w:t>
            </w:r>
          </w:p>
        </w:tc>
        <w:tc>
          <w:tcPr>
            <w:tcW w:w="960" w:type="dxa"/>
            <w:tcBorders>
              <w:top w:val="nil"/>
              <w:left w:val="nil"/>
              <w:bottom w:val="single" w:sz="4" w:space="0" w:color="auto"/>
              <w:right w:val="single" w:sz="4" w:space="0" w:color="auto"/>
            </w:tcBorders>
            <w:shd w:val="clear" w:color="auto" w:fill="auto"/>
            <w:noWrap/>
            <w:vAlign w:val="center"/>
            <w:hideMark/>
          </w:tcPr>
          <w:p w14:paraId="03BD2C7C"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326</w:t>
            </w:r>
          </w:p>
        </w:tc>
        <w:tc>
          <w:tcPr>
            <w:tcW w:w="960" w:type="dxa"/>
            <w:tcBorders>
              <w:top w:val="nil"/>
              <w:left w:val="nil"/>
              <w:bottom w:val="single" w:sz="4" w:space="0" w:color="auto"/>
              <w:right w:val="single" w:sz="4" w:space="0" w:color="auto"/>
            </w:tcBorders>
            <w:shd w:val="clear" w:color="auto" w:fill="auto"/>
            <w:noWrap/>
            <w:vAlign w:val="center"/>
            <w:hideMark/>
          </w:tcPr>
          <w:p w14:paraId="0B603072"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300</w:t>
            </w:r>
          </w:p>
        </w:tc>
        <w:tc>
          <w:tcPr>
            <w:tcW w:w="960" w:type="dxa"/>
            <w:tcBorders>
              <w:top w:val="nil"/>
              <w:left w:val="nil"/>
              <w:bottom w:val="single" w:sz="4" w:space="0" w:color="auto"/>
              <w:right w:val="single" w:sz="4" w:space="0" w:color="auto"/>
            </w:tcBorders>
            <w:shd w:val="clear" w:color="auto" w:fill="auto"/>
            <w:noWrap/>
            <w:vAlign w:val="center"/>
            <w:hideMark/>
          </w:tcPr>
          <w:p w14:paraId="042F3D04"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36</w:t>
            </w:r>
          </w:p>
        </w:tc>
        <w:tc>
          <w:tcPr>
            <w:tcW w:w="960" w:type="dxa"/>
            <w:tcBorders>
              <w:top w:val="nil"/>
              <w:left w:val="nil"/>
              <w:bottom w:val="single" w:sz="4" w:space="0" w:color="auto"/>
              <w:right w:val="single" w:sz="4" w:space="0" w:color="auto"/>
            </w:tcBorders>
            <w:shd w:val="clear" w:color="auto" w:fill="auto"/>
            <w:noWrap/>
            <w:vAlign w:val="center"/>
            <w:hideMark/>
          </w:tcPr>
          <w:p w14:paraId="23446D64"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49</w:t>
            </w:r>
          </w:p>
        </w:tc>
        <w:tc>
          <w:tcPr>
            <w:tcW w:w="960" w:type="dxa"/>
            <w:tcBorders>
              <w:top w:val="nil"/>
              <w:left w:val="nil"/>
              <w:bottom w:val="single" w:sz="4" w:space="0" w:color="auto"/>
              <w:right w:val="single" w:sz="4" w:space="0" w:color="auto"/>
            </w:tcBorders>
            <w:shd w:val="clear" w:color="auto" w:fill="auto"/>
            <w:noWrap/>
            <w:vAlign w:val="center"/>
            <w:hideMark/>
          </w:tcPr>
          <w:p w14:paraId="13254BE1"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w:t>
            </w:r>
          </w:p>
        </w:tc>
        <w:tc>
          <w:tcPr>
            <w:tcW w:w="900" w:type="dxa"/>
            <w:tcBorders>
              <w:top w:val="nil"/>
              <w:left w:val="nil"/>
              <w:bottom w:val="single" w:sz="4" w:space="0" w:color="auto"/>
              <w:right w:val="single" w:sz="4" w:space="0" w:color="auto"/>
            </w:tcBorders>
            <w:shd w:val="clear" w:color="auto" w:fill="auto"/>
            <w:noWrap/>
            <w:vAlign w:val="center"/>
            <w:hideMark/>
          </w:tcPr>
          <w:p w14:paraId="18DCB335"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712</w:t>
            </w:r>
          </w:p>
        </w:tc>
      </w:tr>
      <w:tr w:rsidR="0025528B" w:rsidRPr="005E2831" w14:paraId="46710922" w14:textId="77777777" w:rsidTr="0025528B">
        <w:trPr>
          <w:trHeight w:val="480"/>
          <w:jc w:val="center"/>
        </w:trPr>
        <w:tc>
          <w:tcPr>
            <w:tcW w:w="960" w:type="dxa"/>
            <w:vMerge/>
            <w:tcBorders>
              <w:top w:val="nil"/>
              <w:left w:val="single" w:sz="4" w:space="0" w:color="auto"/>
              <w:bottom w:val="single" w:sz="4" w:space="0" w:color="auto"/>
              <w:right w:val="single" w:sz="4" w:space="0" w:color="auto"/>
            </w:tcBorders>
            <w:vAlign w:val="center"/>
            <w:hideMark/>
          </w:tcPr>
          <w:p w14:paraId="07CB6FF1"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440" w:type="dxa"/>
            <w:tcBorders>
              <w:top w:val="nil"/>
              <w:left w:val="nil"/>
              <w:bottom w:val="single" w:sz="4" w:space="0" w:color="auto"/>
              <w:right w:val="single" w:sz="4" w:space="0" w:color="auto"/>
            </w:tcBorders>
            <w:shd w:val="clear" w:color="000000" w:fill="F2F2F2"/>
            <w:vAlign w:val="center"/>
            <w:hideMark/>
          </w:tcPr>
          <w:p w14:paraId="22921F02"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 xml:space="preserve">Liczba </w:t>
            </w:r>
            <w:proofErr w:type="spellStart"/>
            <w:r w:rsidRPr="00C00651">
              <w:rPr>
                <w:rFonts w:ascii="Times New Roman" w:eastAsia="Times New Roman" w:hAnsi="Times New Roman" w:cs="Times New Roman"/>
                <w:color w:val="000000"/>
                <w:sz w:val="18"/>
                <w:szCs w:val="18"/>
                <w:lang w:eastAsia="pl-PL"/>
              </w:rPr>
              <w:t>jcwp</w:t>
            </w:r>
            <w:proofErr w:type="spellEnd"/>
            <w:r w:rsidRPr="00C00651">
              <w:rPr>
                <w:rFonts w:ascii="Times New Roman" w:eastAsia="Times New Roman" w:hAnsi="Times New Roman" w:cs="Times New Roman"/>
                <w:color w:val="000000"/>
                <w:sz w:val="18"/>
                <w:szCs w:val="18"/>
                <w:lang w:eastAsia="pl-PL"/>
              </w:rPr>
              <w:t xml:space="preserve"> niesklasyfikowanych</w:t>
            </w:r>
          </w:p>
        </w:tc>
        <w:tc>
          <w:tcPr>
            <w:tcW w:w="960" w:type="dxa"/>
            <w:tcBorders>
              <w:top w:val="nil"/>
              <w:left w:val="nil"/>
              <w:bottom w:val="single" w:sz="4" w:space="0" w:color="auto"/>
              <w:right w:val="single" w:sz="4" w:space="0" w:color="auto"/>
            </w:tcBorders>
            <w:shd w:val="clear" w:color="auto" w:fill="auto"/>
            <w:noWrap/>
            <w:vAlign w:val="center"/>
            <w:hideMark/>
          </w:tcPr>
          <w:p w14:paraId="5ABC5AE1"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06F74AB3"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57F96A26"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166A2BB1"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021AF0C2"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00" w:type="dxa"/>
            <w:tcBorders>
              <w:top w:val="nil"/>
              <w:left w:val="nil"/>
              <w:bottom w:val="single" w:sz="4" w:space="0" w:color="auto"/>
              <w:right w:val="single" w:sz="4" w:space="0" w:color="auto"/>
            </w:tcBorders>
            <w:shd w:val="clear" w:color="auto" w:fill="auto"/>
            <w:noWrap/>
            <w:vAlign w:val="center"/>
            <w:hideMark/>
          </w:tcPr>
          <w:p w14:paraId="5E92F294"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r>
      <w:tr w:rsidR="0025528B" w:rsidRPr="005E2831" w14:paraId="64CB36E1" w14:textId="77777777" w:rsidTr="0025528B">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7978475F"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440" w:type="dxa"/>
            <w:tcBorders>
              <w:top w:val="nil"/>
              <w:left w:val="nil"/>
              <w:bottom w:val="single" w:sz="4" w:space="0" w:color="auto"/>
              <w:right w:val="single" w:sz="4" w:space="0" w:color="auto"/>
            </w:tcBorders>
            <w:shd w:val="clear" w:color="000000" w:fill="FFFFFF"/>
            <w:vAlign w:val="center"/>
            <w:hideMark/>
          </w:tcPr>
          <w:p w14:paraId="1657088B"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Łącznie</w:t>
            </w:r>
          </w:p>
        </w:tc>
        <w:tc>
          <w:tcPr>
            <w:tcW w:w="960" w:type="dxa"/>
            <w:tcBorders>
              <w:top w:val="nil"/>
              <w:left w:val="nil"/>
              <w:bottom w:val="single" w:sz="4" w:space="0" w:color="auto"/>
              <w:right w:val="single" w:sz="4" w:space="0" w:color="auto"/>
            </w:tcBorders>
            <w:shd w:val="clear" w:color="auto" w:fill="auto"/>
            <w:noWrap/>
            <w:vAlign w:val="center"/>
            <w:hideMark/>
          </w:tcPr>
          <w:p w14:paraId="23EF67E2"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326</w:t>
            </w:r>
          </w:p>
        </w:tc>
        <w:tc>
          <w:tcPr>
            <w:tcW w:w="960" w:type="dxa"/>
            <w:tcBorders>
              <w:top w:val="nil"/>
              <w:left w:val="nil"/>
              <w:bottom w:val="single" w:sz="4" w:space="0" w:color="auto"/>
              <w:right w:val="single" w:sz="4" w:space="0" w:color="auto"/>
            </w:tcBorders>
            <w:shd w:val="clear" w:color="auto" w:fill="auto"/>
            <w:noWrap/>
            <w:vAlign w:val="center"/>
            <w:hideMark/>
          </w:tcPr>
          <w:p w14:paraId="32710319"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300</w:t>
            </w:r>
          </w:p>
        </w:tc>
        <w:tc>
          <w:tcPr>
            <w:tcW w:w="960" w:type="dxa"/>
            <w:tcBorders>
              <w:top w:val="nil"/>
              <w:left w:val="nil"/>
              <w:bottom w:val="single" w:sz="4" w:space="0" w:color="auto"/>
              <w:right w:val="single" w:sz="4" w:space="0" w:color="auto"/>
            </w:tcBorders>
            <w:shd w:val="clear" w:color="auto" w:fill="auto"/>
            <w:noWrap/>
            <w:vAlign w:val="center"/>
            <w:hideMark/>
          </w:tcPr>
          <w:p w14:paraId="3490A030"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36</w:t>
            </w:r>
          </w:p>
        </w:tc>
        <w:tc>
          <w:tcPr>
            <w:tcW w:w="960" w:type="dxa"/>
            <w:tcBorders>
              <w:top w:val="nil"/>
              <w:left w:val="nil"/>
              <w:bottom w:val="single" w:sz="4" w:space="0" w:color="auto"/>
              <w:right w:val="single" w:sz="4" w:space="0" w:color="auto"/>
            </w:tcBorders>
            <w:shd w:val="clear" w:color="auto" w:fill="auto"/>
            <w:noWrap/>
            <w:vAlign w:val="center"/>
            <w:hideMark/>
          </w:tcPr>
          <w:p w14:paraId="2B5E1D91"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49</w:t>
            </w:r>
          </w:p>
        </w:tc>
        <w:tc>
          <w:tcPr>
            <w:tcW w:w="960" w:type="dxa"/>
            <w:tcBorders>
              <w:top w:val="nil"/>
              <w:left w:val="nil"/>
              <w:bottom w:val="single" w:sz="4" w:space="0" w:color="auto"/>
              <w:right w:val="single" w:sz="4" w:space="0" w:color="auto"/>
            </w:tcBorders>
            <w:shd w:val="clear" w:color="auto" w:fill="auto"/>
            <w:noWrap/>
            <w:vAlign w:val="center"/>
            <w:hideMark/>
          </w:tcPr>
          <w:p w14:paraId="54A10C21"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w:t>
            </w:r>
          </w:p>
        </w:tc>
        <w:tc>
          <w:tcPr>
            <w:tcW w:w="900" w:type="dxa"/>
            <w:tcBorders>
              <w:top w:val="nil"/>
              <w:left w:val="nil"/>
              <w:bottom w:val="single" w:sz="4" w:space="0" w:color="auto"/>
              <w:right w:val="single" w:sz="4" w:space="0" w:color="auto"/>
            </w:tcBorders>
            <w:shd w:val="clear" w:color="auto" w:fill="auto"/>
            <w:noWrap/>
            <w:vAlign w:val="center"/>
            <w:hideMark/>
          </w:tcPr>
          <w:p w14:paraId="415B40A1"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712</w:t>
            </w:r>
          </w:p>
        </w:tc>
      </w:tr>
      <w:tr w:rsidR="0025528B" w:rsidRPr="005E2831" w14:paraId="19B9C932" w14:textId="77777777" w:rsidTr="0025528B">
        <w:trPr>
          <w:trHeight w:val="300"/>
          <w:jc w:val="center"/>
        </w:trPr>
        <w:tc>
          <w:tcPr>
            <w:tcW w:w="96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63054022"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Ocena</w:t>
            </w:r>
            <w:r w:rsidRPr="00C00651">
              <w:rPr>
                <w:rFonts w:ascii="Times New Roman" w:eastAsia="Times New Roman" w:hAnsi="Times New Roman" w:cs="Times New Roman"/>
                <w:color w:val="000000"/>
                <w:sz w:val="18"/>
                <w:szCs w:val="18"/>
                <w:lang w:eastAsia="pl-PL"/>
              </w:rPr>
              <w:br/>
              <w:t>stanu</w:t>
            </w:r>
          </w:p>
        </w:tc>
        <w:tc>
          <w:tcPr>
            <w:tcW w:w="2440" w:type="dxa"/>
            <w:tcBorders>
              <w:top w:val="nil"/>
              <w:left w:val="nil"/>
              <w:bottom w:val="single" w:sz="4" w:space="0" w:color="auto"/>
              <w:right w:val="single" w:sz="4" w:space="0" w:color="auto"/>
            </w:tcBorders>
            <w:shd w:val="clear" w:color="000000" w:fill="00B0F0"/>
            <w:vAlign w:val="center"/>
            <w:hideMark/>
          </w:tcPr>
          <w:p w14:paraId="5B7A55DB"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Dobry</w:t>
            </w:r>
          </w:p>
        </w:tc>
        <w:tc>
          <w:tcPr>
            <w:tcW w:w="960" w:type="dxa"/>
            <w:tcBorders>
              <w:top w:val="nil"/>
              <w:left w:val="nil"/>
              <w:bottom w:val="single" w:sz="4" w:space="0" w:color="auto"/>
              <w:right w:val="single" w:sz="4" w:space="0" w:color="auto"/>
            </w:tcBorders>
            <w:shd w:val="clear" w:color="auto" w:fill="auto"/>
            <w:noWrap/>
            <w:vAlign w:val="center"/>
            <w:hideMark/>
          </w:tcPr>
          <w:p w14:paraId="7F3C95E9"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4</w:t>
            </w:r>
          </w:p>
        </w:tc>
        <w:tc>
          <w:tcPr>
            <w:tcW w:w="960" w:type="dxa"/>
            <w:tcBorders>
              <w:top w:val="nil"/>
              <w:left w:val="nil"/>
              <w:bottom w:val="single" w:sz="4" w:space="0" w:color="auto"/>
              <w:right w:val="single" w:sz="4" w:space="0" w:color="auto"/>
            </w:tcBorders>
            <w:shd w:val="clear" w:color="auto" w:fill="auto"/>
            <w:noWrap/>
            <w:vAlign w:val="center"/>
            <w:hideMark/>
          </w:tcPr>
          <w:p w14:paraId="5250064D"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w:t>
            </w:r>
          </w:p>
        </w:tc>
        <w:tc>
          <w:tcPr>
            <w:tcW w:w="960" w:type="dxa"/>
            <w:tcBorders>
              <w:top w:val="nil"/>
              <w:left w:val="nil"/>
              <w:bottom w:val="single" w:sz="4" w:space="0" w:color="auto"/>
              <w:right w:val="single" w:sz="4" w:space="0" w:color="auto"/>
            </w:tcBorders>
            <w:shd w:val="clear" w:color="auto" w:fill="auto"/>
            <w:noWrap/>
            <w:vAlign w:val="center"/>
            <w:hideMark/>
          </w:tcPr>
          <w:p w14:paraId="630E9F26"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42FC5337"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w:t>
            </w:r>
          </w:p>
        </w:tc>
        <w:tc>
          <w:tcPr>
            <w:tcW w:w="960" w:type="dxa"/>
            <w:tcBorders>
              <w:top w:val="nil"/>
              <w:left w:val="nil"/>
              <w:bottom w:val="single" w:sz="4" w:space="0" w:color="auto"/>
              <w:right w:val="single" w:sz="4" w:space="0" w:color="auto"/>
            </w:tcBorders>
            <w:shd w:val="clear" w:color="auto" w:fill="auto"/>
            <w:noWrap/>
            <w:vAlign w:val="center"/>
            <w:hideMark/>
          </w:tcPr>
          <w:p w14:paraId="651139B9"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00" w:type="dxa"/>
            <w:tcBorders>
              <w:top w:val="nil"/>
              <w:left w:val="nil"/>
              <w:bottom w:val="single" w:sz="4" w:space="0" w:color="auto"/>
              <w:right w:val="single" w:sz="4" w:space="0" w:color="auto"/>
            </w:tcBorders>
            <w:shd w:val="clear" w:color="auto" w:fill="auto"/>
            <w:noWrap/>
            <w:vAlign w:val="center"/>
            <w:hideMark/>
          </w:tcPr>
          <w:p w14:paraId="60E058C1"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8</w:t>
            </w:r>
          </w:p>
        </w:tc>
      </w:tr>
      <w:tr w:rsidR="0025528B" w:rsidRPr="005E2831" w14:paraId="7DDEC420" w14:textId="77777777" w:rsidTr="0025528B">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076837EB"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440" w:type="dxa"/>
            <w:tcBorders>
              <w:top w:val="nil"/>
              <w:left w:val="nil"/>
              <w:bottom w:val="single" w:sz="4" w:space="0" w:color="auto"/>
              <w:right w:val="single" w:sz="4" w:space="0" w:color="auto"/>
            </w:tcBorders>
            <w:shd w:val="clear" w:color="000000" w:fill="FF0000"/>
            <w:vAlign w:val="center"/>
            <w:hideMark/>
          </w:tcPr>
          <w:p w14:paraId="4435E10D"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Zły</w:t>
            </w:r>
          </w:p>
        </w:tc>
        <w:tc>
          <w:tcPr>
            <w:tcW w:w="960" w:type="dxa"/>
            <w:tcBorders>
              <w:top w:val="nil"/>
              <w:left w:val="nil"/>
              <w:bottom w:val="single" w:sz="4" w:space="0" w:color="auto"/>
              <w:right w:val="single" w:sz="4" w:space="0" w:color="auto"/>
            </w:tcBorders>
            <w:shd w:val="clear" w:color="auto" w:fill="auto"/>
            <w:noWrap/>
            <w:vAlign w:val="center"/>
            <w:hideMark/>
          </w:tcPr>
          <w:p w14:paraId="62078FC7"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364</w:t>
            </w:r>
          </w:p>
        </w:tc>
        <w:tc>
          <w:tcPr>
            <w:tcW w:w="960" w:type="dxa"/>
            <w:tcBorders>
              <w:top w:val="nil"/>
              <w:left w:val="nil"/>
              <w:bottom w:val="single" w:sz="4" w:space="0" w:color="auto"/>
              <w:right w:val="single" w:sz="4" w:space="0" w:color="auto"/>
            </w:tcBorders>
            <w:shd w:val="clear" w:color="auto" w:fill="auto"/>
            <w:noWrap/>
            <w:vAlign w:val="center"/>
            <w:hideMark/>
          </w:tcPr>
          <w:p w14:paraId="5723C040"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356</w:t>
            </w:r>
          </w:p>
        </w:tc>
        <w:tc>
          <w:tcPr>
            <w:tcW w:w="960" w:type="dxa"/>
            <w:tcBorders>
              <w:top w:val="nil"/>
              <w:left w:val="nil"/>
              <w:bottom w:val="single" w:sz="4" w:space="0" w:color="auto"/>
              <w:right w:val="single" w:sz="4" w:space="0" w:color="auto"/>
            </w:tcBorders>
            <w:shd w:val="clear" w:color="auto" w:fill="auto"/>
            <w:noWrap/>
            <w:vAlign w:val="center"/>
            <w:hideMark/>
          </w:tcPr>
          <w:p w14:paraId="119333DD"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36</w:t>
            </w:r>
          </w:p>
        </w:tc>
        <w:tc>
          <w:tcPr>
            <w:tcW w:w="960" w:type="dxa"/>
            <w:tcBorders>
              <w:top w:val="nil"/>
              <w:left w:val="nil"/>
              <w:bottom w:val="single" w:sz="4" w:space="0" w:color="auto"/>
              <w:right w:val="single" w:sz="4" w:space="0" w:color="auto"/>
            </w:tcBorders>
            <w:shd w:val="clear" w:color="auto" w:fill="auto"/>
            <w:noWrap/>
            <w:vAlign w:val="center"/>
            <w:hideMark/>
          </w:tcPr>
          <w:p w14:paraId="57396C3E"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60</w:t>
            </w:r>
          </w:p>
        </w:tc>
        <w:tc>
          <w:tcPr>
            <w:tcW w:w="960" w:type="dxa"/>
            <w:tcBorders>
              <w:top w:val="nil"/>
              <w:left w:val="nil"/>
              <w:bottom w:val="single" w:sz="4" w:space="0" w:color="auto"/>
              <w:right w:val="single" w:sz="4" w:space="0" w:color="auto"/>
            </w:tcBorders>
            <w:shd w:val="clear" w:color="auto" w:fill="auto"/>
            <w:noWrap/>
            <w:vAlign w:val="center"/>
            <w:hideMark/>
          </w:tcPr>
          <w:p w14:paraId="50FA60E3"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w:t>
            </w:r>
          </w:p>
        </w:tc>
        <w:tc>
          <w:tcPr>
            <w:tcW w:w="900" w:type="dxa"/>
            <w:tcBorders>
              <w:top w:val="nil"/>
              <w:left w:val="nil"/>
              <w:bottom w:val="single" w:sz="4" w:space="0" w:color="auto"/>
              <w:right w:val="single" w:sz="4" w:space="0" w:color="auto"/>
            </w:tcBorders>
            <w:shd w:val="clear" w:color="auto" w:fill="auto"/>
            <w:noWrap/>
            <w:vAlign w:val="center"/>
            <w:hideMark/>
          </w:tcPr>
          <w:p w14:paraId="3063C08E"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817</w:t>
            </w:r>
          </w:p>
        </w:tc>
      </w:tr>
      <w:tr w:rsidR="0025528B" w:rsidRPr="005E2831" w14:paraId="06947DF1" w14:textId="77777777" w:rsidTr="0025528B">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6616F6D5"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440" w:type="dxa"/>
            <w:tcBorders>
              <w:top w:val="nil"/>
              <w:left w:val="nil"/>
              <w:bottom w:val="single" w:sz="4" w:space="0" w:color="auto"/>
              <w:right w:val="single" w:sz="4" w:space="0" w:color="auto"/>
            </w:tcBorders>
            <w:shd w:val="clear" w:color="000000" w:fill="BFBFBF"/>
            <w:vAlign w:val="center"/>
            <w:hideMark/>
          </w:tcPr>
          <w:p w14:paraId="1A084949"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 xml:space="preserve">Liczba </w:t>
            </w:r>
            <w:proofErr w:type="spellStart"/>
            <w:r w:rsidRPr="00C00651">
              <w:rPr>
                <w:rFonts w:ascii="Times New Roman" w:eastAsia="Times New Roman" w:hAnsi="Times New Roman" w:cs="Times New Roman"/>
                <w:color w:val="000000"/>
                <w:sz w:val="18"/>
                <w:szCs w:val="18"/>
                <w:lang w:eastAsia="pl-PL"/>
              </w:rPr>
              <w:t>jcwp</w:t>
            </w:r>
            <w:proofErr w:type="spellEnd"/>
            <w:r w:rsidRPr="00C00651">
              <w:rPr>
                <w:rFonts w:ascii="Times New Roman" w:eastAsia="Times New Roman" w:hAnsi="Times New Roman" w:cs="Times New Roman"/>
                <w:color w:val="000000"/>
                <w:sz w:val="18"/>
                <w:szCs w:val="18"/>
                <w:lang w:eastAsia="pl-PL"/>
              </w:rPr>
              <w:t xml:space="preserve"> sklasyfikowanych</w:t>
            </w:r>
          </w:p>
        </w:tc>
        <w:tc>
          <w:tcPr>
            <w:tcW w:w="960" w:type="dxa"/>
            <w:tcBorders>
              <w:top w:val="nil"/>
              <w:left w:val="nil"/>
              <w:bottom w:val="single" w:sz="4" w:space="0" w:color="auto"/>
              <w:right w:val="single" w:sz="4" w:space="0" w:color="auto"/>
            </w:tcBorders>
            <w:shd w:val="clear" w:color="auto" w:fill="auto"/>
            <w:noWrap/>
            <w:vAlign w:val="center"/>
            <w:hideMark/>
          </w:tcPr>
          <w:p w14:paraId="4AF02B51"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368</w:t>
            </w:r>
          </w:p>
        </w:tc>
        <w:tc>
          <w:tcPr>
            <w:tcW w:w="960" w:type="dxa"/>
            <w:tcBorders>
              <w:top w:val="nil"/>
              <w:left w:val="nil"/>
              <w:bottom w:val="single" w:sz="4" w:space="0" w:color="auto"/>
              <w:right w:val="single" w:sz="4" w:space="0" w:color="auto"/>
            </w:tcBorders>
            <w:shd w:val="clear" w:color="auto" w:fill="auto"/>
            <w:noWrap/>
            <w:vAlign w:val="center"/>
            <w:hideMark/>
          </w:tcPr>
          <w:p w14:paraId="7ABAAC4C"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359</w:t>
            </w:r>
          </w:p>
        </w:tc>
        <w:tc>
          <w:tcPr>
            <w:tcW w:w="960" w:type="dxa"/>
            <w:tcBorders>
              <w:top w:val="nil"/>
              <w:left w:val="nil"/>
              <w:bottom w:val="single" w:sz="4" w:space="0" w:color="auto"/>
              <w:right w:val="single" w:sz="4" w:space="0" w:color="auto"/>
            </w:tcBorders>
            <w:shd w:val="clear" w:color="auto" w:fill="auto"/>
            <w:noWrap/>
            <w:vAlign w:val="center"/>
            <w:hideMark/>
          </w:tcPr>
          <w:p w14:paraId="6670D2B2"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36</w:t>
            </w:r>
          </w:p>
        </w:tc>
        <w:tc>
          <w:tcPr>
            <w:tcW w:w="960" w:type="dxa"/>
            <w:tcBorders>
              <w:top w:val="nil"/>
              <w:left w:val="nil"/>
              <w:bottom w:val="single" w:sz="4" w:space="0" w:color="auto"/>
              <w:right w:val="single" w:sz="4" w:space="0" w:color="auto"/>
            </w:tcBorders>
            <w:shd w:val="clear" w:color="auto" w:fill="auto"/>
            <w:noWrap/>
            <w:vAlign w:val="center"/>
            <w:hideMark/>
          </w:tcPr>
          <w:p w14:paraId="114FF6DF"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61</w:t>
            </w:r>
          </w:p>
        </w:tc>
        <w:tc>
          <w:tcPr>
            <w:tcW w:w="960" w:type="dxa"/>
            <w:tcBorders>
              <w:top w:val="nil"/>
              <w:left w:val="nil"/>
              <w:bottom w:val="single" w:sz="4" w:space="0" w:color="auto"/>
              <w:right w:val="single" w:sz="4" w:space="0" w:color="auto"/>
            </w:tcBorders>
            <w:shd w:val="clear" w:color="auto" w:fill="auto"/>
            <w:noWrap/>
            <w:vAlign w:val="center"/>
            <w:hideMark/>
          </w:tcPr>
          <w:p w14:paraId="43BE7452"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w:t>
            </w:r>
          </w:p>
        </w:tc>
        <w:tc>
          <w:tcPr>
            <w:tcW w:w="900" w:type="dxa"/>
            <w:tcBorders>
              <w:top w:val="nil"/>
              <w:left w:val="nil"/>
              <w:bottom w:val="single" w:sz="4" w:space="0" w:color="auto"/>
              <w:right w:val="single" w:sz="4" w:space="0" w:color="auto"/>
            </w:tcBorders>
            <w:shd w:val="clear" w:color="auto" w:fill="auto"/>
            <w:noWrap/>
            <w:vAlign w:val="center"/>
            <w:hideMark/>
          </w:tcPr>
          <w:p w14:paraId="7C81472D"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825</w:t>
            </w:r>
          </w:p>
        </w:tc>
      </w:tr>
      <w:tr w:rsidR="0025528B" w:rsidRPr="005E2831" w14:paraId="499E22EE" w14:textId="77777777" w:rsidTr="0025528B">
        <w:trPr>
          <w:trHeight w:val="720"/>
          <w:jc w:val="center"/>
        </w:trPr>
        <w:tc>
          <w:tcPr>
            <w:tcW w:w="960" w:type="dxa"/>
            <w:vMerge/>
            <w:tcBorders>
              <w:top w:val="nil"/>
              <w:left w:val="single" w:sz="4" w:space="0" w:color="auto"/>
              <w:bottom w:val="single" w:sz="4" w:space="0" w:color="auto"/>
              <w:right w:val="single" w:sz="4" w:space="0" w:color="auto"/>
            </w:tcBorders>
            <w:vAlign w:val="center"/>
            <w:hideMark/>
          </w:tcPr>
          <w:p w14:paraId="09B02BF2"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440" w:type="dxa"/>
            <w:tcBorders>
              <w:top w:val="nil"/>
              <w:left w:val="nil"/>
              <w:bottom w:val="single" w:sz="4" w:space="0" w:color="auto"/>
              <w:right w:val="single" w:sz="4" w:space="0" w:color="auto"/>
            </w:tcBorders>
            <w:shd w:val="clear" w:color="000000" w:fill="F2F2F2"/>
            <w:vAlign w:val="center"/>
            <w:hideMark/>
          </w:tcPr>
          <w:p w14:paraId="46928887"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 xml:space="preserve">Liczba </w:t>
            </w:r>
            <w:proofErr w:type="spellStart"/>
            <w:r w:rsidRPr="00C00651">
              <w:rPr>
                <w:rFonts w:ascii="Times New Roman" w:eastAsia="Times New Roman" w:hAnsi="Times New Roman" w:cs="Times New Roman"/>
                <w:color w:val="000000"/>
                <w:sz w:val="18"/>
                <w:szCs w:val="18"/>
                <w:lang w:eastAsia="pl-PL"/>
              </w:rPr>
              <w:t>jcwp</w:t>
            </w:r>
            <w:proofErr w:type="spellEnd"/>
            <w:r w:rsidRPr="00C00651">
              <w:rPr>
                <w:rFonts w:ascii="Times New Roman" w:eastAsia="Times New Roman" w:hAnsi="Times New Roman" w:cs="Times New Roman"/>
                <w:color w:val="000000"/>
                <w:sz w:val="18"/>
                <w:szCs w:val="18"/>
                <w:lang w:eastAsia="pl-PL"/>
              </w:rPr>
              <w:t xml:space="preserve"> z brakiem możliwości oceny stanu na podstawie monitoringu</w:t>
            </w:r>
          </w:p>
        </w:tc>
        <w:tc>
          <w:tcPr>
            <w:tcW w:w="960" w:type="dxa"/>
            <w:tcBorders>
              <w:top w:val="nil"/>
              <w:left w:val="nil"/>
              <w:bottom w:val="single" w:sz="4" w:space="0" w:color="auto"/>
              <w:right w:val="single" w:sz="4" w:space="0" w:color="auto"/>
            </w:tcBorders>
            <w:shd w:val="clear" w:color="auto" w:fill="auto"/>
            <w:noWrap/>
            <w:vAlign w:val="center"/>
            <w:hideMark/>
          </w:tcPr>
          <w:p w14:paraId="7E8C83EC"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15</w:t>
            </w:r>
          </w:p>
        </w:tc>
        <w:tc>
          <w:tcPr>
            <w:tcW w:w="960" w:type="dxa"/>
            <w:tcBorders>
              <w:top w:val="nil"/>
              <w:left w:val="nil"/>
              <w:bottom w:val="single" w:sz="4" w:space="0" w:color="auto"/>
              <w:right w:val="single" w:sz="4" w:space="0" w:color="auto"/>
            </w:tcBorders>
            <w:shd w:val="clear" w:color="auto" w:fill="auto"/>
            <w:noWrap/>
            <w:vAlign w:val="center"/>
            <w:hideMark/>
          </w:tcPr>
          <w:p w14:paraId="6FADEF9D"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47</w:t>
            </w:r>
          </w:p>
        </w:tc>
        <w:tc>
          <w:tcPr>
            <w:tcW w:w="960" w:type="dxa"/>
            <w:tcBorders>
              <w:top w:val="nil"/>
              <w:left w:val="nil"/>
              <w:bottom w:val="single" w:sz="4" w:space="0" w:color="auto"/>
              <w:right w:val="single" w:sz="4" w:space="0" w:color="auto"/>
            </w:tcBorders>
            <w:shd w:val="clear" w:color="auto" w:fill="auto"/>
            <w:noWrap/>
            <w:vAlign w:val="center"/>
            <w:hideMark/>
          </w:tcPr>
          <w:p w14:paraId="7ECE560A"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4CC7AF26"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4</w:t>
            </w:r>
          </w:p>
        </w:tc>
        <w:tc>
          <w:tcPr>
            <w:tcW w:w="960" w:type="dxa"/>
            <w:tcBorders>
              <w:top w:val="nil"/>
              <w:left w:val="nil"/>
              <w:bottom w:val="single" w:sz="4" w:space="0" w:color="auto"/>
              <w:right w:val="single" w:sz="4" w:space="0" w:color="auto"/>
            </w:tcBorders>
            <w:shd w:val="clear" w:color="auto" w:fill="auto"/>
            <w:noWrap/>
            <w:vAlign w:val="center"/>
            <w:hideMark/>
          </w:tcPr>
          <w:p w14:paraId="239725D7"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0</w:t>
            </w:r>
          </w:p>
        </w:tc>
        <w:tc>
          <w:tcPr>
            <w:tcW w:w="900" w:type="dxa"/>
            <w:tcBorders>
              <w:top w:val="nil"/>
              <w:left w:val="nil"/>
              <w:bottom w:val="single" w:sz="4" w:space="0" w:color="auto"/>
              <w:right w:val="single" w:sz="4" w:space="0" w:color="auto"/>
            </w:tcBorders>
            <w:shd w:val="clear" w:color="auto" w:fill="auto"/>
            <w:noWrap/>
            <w:vAlign w:val="center"/>
            <w:hideMark/>
          </w:tcPr>
          <w:p w14:paraId="78936532"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66</w:t>
            </w:r>
          </w:p>
        </w:tc>
      </w:tr>
      <w:tr w:rsidR="0025528B" w:rsidRPr="005E2831" w14:paraId="49F0DDBA" w14:textId="77777777" w:rsidTr="0025528B">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52AED05D"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440" w:type="dxa"/>
            <w:tcBorders>
              <w:top w:val="nil"/>
              <w:left w:val="nil"/>
              <w:bottom w:val="single" w:sz="4" w:space="0" w:color="auto"/>
              <w:right w:val="single" w:sz="4" w:space="0" w:color="auto"/>
            </w:tcBorders>
            <w:shd w:val="clear" w:color="000000" w:fill="FFFFFF"/>
            <w:vAlign w:val="center"/>
            <w:hideMark/>
          </w:tcPr>
          <w:p w14:paraId="177C59B4"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Łącznie</w:t>
            </w:r>
          </w:p>
        </w:tc>
        <w:tc>
          <w:tcPr>
            <w:tcW w:w="960" w:type="dxa"/>
            <w:tcBorders>
              <w:top w:val="nil"/>
              <w:left w:val="nil"/>
              <w:bottom w:val="single" w:sz="4" w:space="0" w:color="auto"/>
              <w:right w:val="single" w:sz="4" w:space="0" w:color="auto"/>
            </w:tcBorders>
            <w:shd w:val="clear" w:color="auto" w:fill="auto"/>
            <w:noWrap/>
            <w:vAlign w:val="center"/>
            <w:hideMark/>
          </w:tcPr>
          <w:p w14:paraId="188A00AC"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383</w:t>
            </w:r>
          </w:p>
        </w:tc>
        <w:tc>
          <w:tcPr>
            <w:tcW w:w="960" w:type="dxa"/>
            <w:tcBorders>
              <w:top w:val="nil"/>
              <w:left w:val="nil"/>
              <w:bottom w:val="single" w:sz="4" w:space="0" w:color="auto"/>
              <w:right w:val="single" w:sz="4" w:space="0" w:color="auto"/>
            </w:tcBorders>
            <w:shd w:val="clear" w:color="auto" w:fill="auto"/>
            <w:noWrap/>
            <w:vAlign w:val="center"/>
            <w:hideMark/>
          </w:tcPr>
          <w:p w14:paraId="01487565"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406</w:t>
            </w:r>
          </w:p>
        </w:tc>
        <w:tc>
          <w:tcPr>
            <w:tcW w:w="960" w:type="dxa"/>
            <w:tcBorders>
              <w:top w:val="nil"/>
              <w:left w:val="nil"/>
              <w:bottom w:val="single" w:sz="4" w:space="0" w:color="auto"/>
              <w:right w:val="single" w:sz="4" w:space="0" w:color="auto"/>
            </w:tcBorders>
            <w:shd w:val="clear" w:color="auto" w:fill="auto"/>
            <w:noWrap/>
            <w:vAlign w:val="center"/>
            <w:hideMark/>
          </w:tcPr>
          <w:p w14:paraId="53CC4BED"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36</w:t>
            </w:r>
          </w:p>
        </w:tc>
        <w:tc>
          <w:tcPr>
            <w:tcW w:w="960" w:type="dxa"/>
            <w:tcBorders>
              <w:top w:val="nil"/>
              <w:left w:val="nil"/>
              <w:bottom w:val="single" w:sz="4" w:space="0" w:color="auto"/>
              <w:right w:val="single" w:sz="4" w:space="0" w:color="auto"/>
            </w:tcBorders>
            <w:shd w:val="clear" w:color="auto" w:fill="auto"/>
            <w:noWrap/>
            <w:vAlign w:val="center"/>
            <w:hideMark/>
          </w:tcPr>
          <w:p w14:paraId="5F89B1B1"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65</w:t>
            </w:r>
          </w:p>
        </w:tc>
        <w:tc>
          <w:tcPr>
            <w:tcW w:w="960" w:type="dxa"/>
            <w:tcBorders>
              <w:top w:val="nil"/>
              <w:left w:val="nil"/>
              <w:bottom w:val="single" w:sz="4" w:space="0" w:color="auto"/>
              <w:right w:val="single" w:sz="4" w:space="0" w:color="auto"/>
            </w:tcBorders>
            <w:shd w:val="clear" w:color="auto" w:fill="auto"/>
            <w:noWrap/>
            <w:vAlign w:val="center"/>
            <w:hideMark/>
          </w:tcPr>
          <w:p w14:paraId="4072BC80"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1</w:t>
            </w:r>
          </w:p>
        </w:tc>
        <w:tc>
          <w:tcPr>
            <w:tcW w:w="900" w:type="dxa"/>
            <w:tcBorders>
              <w:top w:val="nil"/>
              <w:left w:val="nil"/>
              <w:bottom w:val="single" w:sz="4" w:space="0" w:color="auto"/>
              <w:right w:val="single" w:sz="4" w:space="0" w:color="auto"/>
            </w:tcBorders>
            <w:shd w:val="clear" w:color="auto" w:fill="auto"/>
            <w:noWrap/>
            <w:vAlign w:val="center"/>
            <w:hideMark/>
          </w:tcPr>
          <w:p w14:paraId="0CB6553E" w14:textId="77777777" w:rsidR="0025528B" w:rsidRPr="00C0065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C00651">
              <w:rPr>
                <w:rFonts w:ascii="Times New Roman" w:eastAsia="Times New Roman" w:hAnsi="Times New Roman" w:cs="Times New Roman"/>
                <w:color w:val="000000"/>
                <w:sz w:val="18"/>
                <w:szCs w:val="18"/>
                <w:lang w:eastAsia="pl-PL"/>
              </w:rPr>
              <w:t>891</w:t>
            </w:r>
          </w:p>
        </w:tc>
      </w:tr>
    </w:tbl>
    <w:p w14:paraId="3876F6DF" w14:textId="77777777" w:rsidR="0025528B" w:rsidRPr="005E2831" w:rsidRDefault="0025528B" w:rsidP="0025528B">
      <w:pPr>
        <w:spacing w:after="60" w:line="300" w:lineRule="atLeast"/>
        <w:jc w:val="both"/>
        <w:rPr>
          <w:rFonts w:ascii="Times New Roman" w:eastAsia="Calibri" w:hAnsi="Times New Roman" w:cs="Times New Roman"/>
          <w:sz w:val="24"/>
          <w:szCs w:val="24"/>
          <w:lang w:eastAsia="pl-PL"/>
        </w:rPr>
      </w:pPr>
      <w:r w:rsidRPr="005E2831">
        <w:rPr>
          <w:rFonts w:ascii="Times New Roman" w:hAnsi="Times New Roman" w:cs="Times New Roman"/>
        </w:rPr>
        <w:fldChar w:fldCharType="end"/>
      </w:r>
    </w:p>
    <w:p w14:paraId="5705106C" w14:textId="77777777" w:rsidR="0025528B" w:rsidRPr="005E2831" w:rsidRDefault="0025528B" w:rsidP="0025528B">
      <w:pPr>
        <w:spacing w:after="60" w:line="300" w:lineRule="atLeast"/>
        <w:ind w:firstLine="708"/>
        <w:jc w:val="both"/>
        <w:rPr>
          <w:rFonts w:ascii="Times New Roman" w:hAnsi="Times New Roman" w:cs="Times New Roman"/>
          <w:sz w:val="24"/>
          <w:szCs w:val="24"/>
        </w:rPr>
      </w:pPr>
      <w:r w:rsidRPr="005E2831">
        <w:rPr>
          <w:rFonts w:ascii="Times New Roman" w:hAnsi="Times New Roman" w:cs="Times New Roman"/>
          <w:sz w:val="24"/>
          <w:szCs w:val="24"/>
        </w:rPr>
        <w:t xml:space="preserve">Przeprowadzenie klasyfikacji stanu chemicznego było możliwe dla 712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jeziornych, przy czym 90% z nich osiągnęło stan chemiczny poniżej dobrego.</w:t>
      </w:r>
    </w:p>
    <w:p w14:paraId="7853F698" w14:textId="77777777" w:rsidR="0025528B" w:rsidRPr="005E2831" w:rsidRDefault="0025528B" w:rsidP="0025528B">
      <w:pPr>
        <w:spacing w:after="60" w:line="300" w:lineRule="atLeast"/>
        <w:ind w:firstLine="708"/>
        <w:jc w:val="both"/>
        <w:rPr>
          <w:rFonts w:ascii="Times New Roman" w:hAnsi="Times New Roman" w:cs="Times New Roman"/>
          <w:sz w:val="24"/>
          <w:szCs w:val="24"/>
        </w:rPr>
      </w:pPr>
      <w:r w:rsidRPr="005E2831">
        <w:rPr>
          <w:rFonts w:ascii="Times New Roman" w:hAnsi="Times New Roman" w:cs="Times New Roman"/>
          <w:sz w:val="24"/>
          <w:szCs w:val="24"/>
        </w:rPr>
        <w:t xml:space="preserve">Ocena stanu wykonana dla 891 monitorowanych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jeziornych, z czego tylko </w:t>
      </w:r>
      <w:r w:rsidRPr="005E2831">
        <w:rPr>
          <w:rFonts w:ascii="Times New Roman" w:hAnsi="Times New Roman" w:cs="Times New Roman"/>
          <w:sz w:val="24"/>
          <w:szCs w:val="24"/>
        </w:rPr>
        <w:br/>
        <w:t>w przypadku 8 (0,9%) stwierdzono stan dobry, natomiast w 817 (91,7%) stwierdzono stan zły, dla 66 (7,4%) nie było możliwości wykonania oceny.</w:t>
      </w:r>
    </w:p>
    <w:p w14:paraId="48280C9F" w14:textId="77777777" w:rsidR="0025528B" w:rsidRPr="005E2831" w:rsidRDefault="0025528B" w:rsidP="0025528B">
      <w:pPr>
        <w:spacing w:after="60" w:line="300" w:lineRule="atLeast"/>
        <w:ind w:firstLine="708"/>
        <w:jc w:val="both"/>
        <w:rPr>
          <w:rFonts w:ascii="Times New Roman" w:hAnsi="Times New Roman" w:cs="Times New Roman"/>
          <w:sz w:val="24"/>
          <w:szCs w:val="24"/>
        </w:rPr>
      </w:pPr>
      <w:r w:rsidRPr="005E2831">
        <w:rPr>
          <w:rFonts w:ascii="Times New Roman" w:hAnsi="Times New Roman" w:cs="Times New Roman"/>
          <w:sz w:val="24"/>
          <w:szCs w:val="24"/>
        </w:rPr>
        <w:t xml:space="preserve">Wśród elementów, które w największym stopniu decydowały o stanie/potencjale ekologicznym poniżej dobrego, w przypadku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jeziornych należy wyróżnić elementy </w:t>
      </w:r>
      <w:r w:rsidRPr="005E2831">
        <w:rPr>
          <w:rFonts w:ascii="Times New Roman" w:hAnsi="Times New Roman" w:cs="Times New Roman"/>
          <w:sz w:val="24"/>
          <w:szCs w:val="24"/>
        </w:rPr>
        <w:lastRenderedPageBreak/>
        <w:t xml:space="preserve">biologiczne i fizykochemiczne (3.1 – 3.5), przy czym w niewielkim stopniu przeważał udział elementów biologicznych. Wskaźnikiem biologicznym, który najczęściej przekraczał normy środowiskowe dla </w:t>
      </w:r>
      <w:proofErr w:type="spellStart"/>
      <w:r w:rsidRPr="005E2831">
        <w:rPr>
          <w:rFonts w:ascii="Times New Roman" w:hAnsi="Times New Roman" w:cs="Times New Roman"/>
          <w:sz w:val="24"/>
          <w:szCs w:val="24"/>
        </w:rPr>
        <w:t>jcwp</w:t>
      </w:r>
      <w:proofErr w:type="spellEnd"/>
      <w:r w:rsidRPr="005E2831">
        <w:rPr>
          <w:rFonts w:ascii="Times New Roman" w:hAnsi="Times New Roman" w:cs="Times New Roman"/>
          <w:sz w:val="24"/>
          <w:szCs w:val="24"/>
        </w:rPr>
        <w:t xml:space="preserve"> jeziornych był przede wszystkim opisujący stan fitoplanktonu indeks PMPL (</w:t>
      </w:r>
      <w:proofErr w:type="spellStart"/>
      <w:r w:rsidRPr="005E2831">
        <w:rPr>
          <w:rFonts w:ascii="Times New Roman" w:hAnsi="Times New Roman" w:cs="Times New Roman"/>
          <w:sz w:val="24"/>
          <w:szCs w:val="24"/>
        </w:rPr>
        <w:t>Phytoplankton</w:t>
      </w:r>
      <w:proofErr w:type="spellEnd"/>
      <w:r w:rsidRPr="005E2831">
        <w:rPr>
          <w:rFonts w:ascii="Times New Roman" w:hAnsi="Times New Roman" w:cs="Times New Roman"/>
          <w:sz w:val="24"/>
          <w:szCs w:val="24"/>
        </w:rPr>
        <w:t xml:space="preserve"> </w:t>
      </w:r>
      <w:proofErr w:type="spellStart"/>
      <w:r w:rsidRPr="005E2831">
        <w:rPr>
          <w:rFonts w:ascii="Times New Roman" w:hAnsi="Times New Roman" w:cs="Times New Roman"/>
          <w:sz w:val="24"/>
          <w:szCs w:val="24"/>
        </w:rPr>
        <w:t>Metric</w:t>
      </w:r>
      <w:proofErr w:type="spellEnd"/>
      <w:r w:rsidRPr="005E2831">
        <w:rPr>
          <w:rFonts w:ascii="Times New Roman" w:hAnsi="Times New Roman" w:cs="Times New Roman"/>
          <w:sz w:val="24"/>
          <w:szCs w:val="24"/>
        </w:rPr>
        <w:t xml:space="preserve"> for </w:t>
      </w:r>
      <w:proofErr w:type="spellStart"/>
      <w:r w:rsidRPr="005E2831">
        <w:rPr>
          <w:rFonts w:ascii="Times New Roman" w:hAnsi="Times New Roman" w:cs="Times New Roman"/>
          <w:sz w:val="24"/>
          <w:szCs w:val="24"/>
        </w:rPr>
        <w:t>Polish</w:t>
      </w:r>
      <w:proofErr w:type="spellEnd"/>
      <w:r w:rsidRPr="005E2831">
        <w:rPr>
          <w:rFonts w:ascii="Times New Roman" w:hAnsi="Times New Roman" w:cs="Times New Roman"/>
          <w:sz w:val="24"/>
          <w:szCs w:val="24"/>
        </w:rPr>
        <w:t xml:space="preserve"> </w:t>
      </w:r>
      <w:proofErr w:type="spellStart"/>
      <w:r w:rsidRPr="005E2831">
        <w:rPr>
          <w:rFonts w:ascii="Times New Roman" w:hAnsi="Times New Roman" w:cs="Times New Roman"/>
          <w:sz w:val="24"/>
          <w:szCs w:val="24"/>
        </w:rPr>
        <w:t>Lakes</w:t>
      </w:r>
      <w:proofErr w:type="spellEnd"/>
      <w:r w:rsidRPr="005E2831">
        <w:rPr>
          <w:rFonts w:ascii="Times New Roman" w:hAnsi="Times New Roman" w:cs="Times New Roman"/>
          <w:sz w:val="24"/>
          <w:szCs w:val="24"/>
        </w:rPr>
        <w:t xml:space="preserve"> – </w:t>
      </w:r>
      <w:proofErr w:type="spellStart"/>
      <w:r w:rsidRPr="005E2831">
        <w:rPr>
          <w:rFonts w:ascii="Times New Roman" w:hAnsi="Times New Roman" w:cs="Times New Roman"/>
          <w:sz w:val="24"/>
          <w:szCs w:val="24"/>
        </w:rPr>
        <w:t>multimetriks</w:t>
      </w:r>
      <w:proofErr w:type="spellEnd"/>
      <w:r w:rsidRPr="005E2831">
        <w:rPr>
          <w:rFonts w:ascii="Times New Roman" w:hAnsi="Times New Roman" w:cs="Times New Roman"/>
          <w:sz w:val="24"/>
          <w:szCs w:val="24"/>
        </w:rPr>
        <w:t xml:space="preserve"> fitoplanktonowy) (410 </w:t>
      </w:r>
      <w:proofErr w:type="spellStart"/>
      <w:r w:rsidRPr="005E2831">
        <w:rPr>
          <w:rFonts w:ascii="Times New Roman" w:hAnsi="Times New Roman" w:cs="Times New Roman"/>
          <w:sz w:val="24"/>
          <w:szCs w:val="24"/>
        </w:rPr>
        <w:t>jcwp</w:t>
      </w:r>
      <w:proofErr w:type="spellEnd"/>
      <w:r w:rsidRPr="005E2831">
        <w:rPr>
          <w:rFonts w:ascii="Times New Roman" w:hAnsi="Times New Roman" w:cs="Times New Roman"/>
          <w:sz w:val="24"/>
          <w:szCs w:val="24"/>
        </w:rPr>
        <w:t xml:space="preserve"> na</w:t>
      </w:r>
      <w:r>
        <w:rPr>
          <w:rFonts w:ascii="Times New Roman" w:hAnsi="Times New Roman" w:cs="Times New Roman"/>
          <w:sz w:val="24"/>
          <w:szCs w:val="24"/>
        </w:rPr>
        <w:t> </w:t>
      </w:r>
      <w:r w:rsidRPr="005E2831">
        <w:rPr>
          <w:rFonts w:ascii="Times New Roman" w:hAnsi="Times New Roman" w:cs="Times New Roman"/>
          <w:sz w:val="24"/>
          <w:szCs w:val="24"/>
        </w:rPr>
        <w:t xml:space="preserve">722 </w:t>
      </w:r>
      <w:proofErr w:type="spellStart"/>
      <w:r w:rsidRPr="005E2831">
        <w:rPr>
          <w:rFonts w:ascii="Times New Roman" w:hAnsi="Times New Roman" w:cs="Times New Roman"/>
          <w:sz w:val="24"/>
          <w:szCs w:val="24"/>
        </w:rPr>
        <w:t>jcwp</w:t>
      </w:r>
      <w:proofErr w:type="spellEnd"/>
      <w:r w:rsidRPr="005E2831">
        <w:rPr>
          <w:rFonts w:ascii="Times New Roman" w:hAnsi="Times New Roman" w:cs="Times New Roman"/>
          <w:sz w:val="24"/>
          <w:szCs w:val="24"/>
        </w:rPr>
        <w:t xml:space="preserve"> jeziornych, dla których opracowana klasyfikacja elementów biologicznych wskazywała na stan lub potencjał ekologiczny poniżej dobrego) oraz w 21,2% przypadków indeks LMI opisujący stan </w:t>
      </w:r>
      <w:proofErr w:type="spellStart"/>
      <w:r w:rsidRPr="005E2831">
        <w:rPr>
          <w:rFonts w:ascii="Times New Roman" w:hAnsi="Times New Roman" w:cs="Times New Roman"/>
          <w:sz w:val="24"/>
          <w:szCs w:val="24"/>
        </w:rPr>
        <w:t>makrobezkręgowców</w:t>
      </w:r>
      <w:proofErr w:type="spellEnd"/>
      <w:r w:rsidRPr="005E2831">
        <w:rPr>
          <w:rFonts w:ascii="Times New Roman" w:hAnsi="Times New Roman" w:cs="Times New Roman"/>
          <w:sz w:val="24"/>
          <w:szCs w:val="24"/>
        </w:rPr>
        <w:t xml:space="preserve"> bentosowych. Stan </w:t>
      </w:r>
      <w:proofErr w:type="spellStart"/>
      <w:r w:rsidRPr="005E2831">
        <w:rPr>
          <w:rFonts w:ascii="Times New Roman" w:hAnsi="Times New Roman" w:cs="Times New Roman"/>
          <w:sz w:val="24"/>
          <w:szCs w:val="24"/>
        </w:rPr>
        <w:t>makrofitów</w:t>
      </w:r>
      <w:proofErr w:type="spellEnd"/>
      <w:r w:rsidRPr="005E2831">
        <w:rPr>
          <w:rFonts w:ascii="Times New Roman" w:hAnsi="Times New Roman" w:cs="Times New Roman"/>
          <w:sz w:val="24"/>
          <w:szCs w:val="24"/>
        </w:rPr>
        <w:t xml:space="preserve"> i ichtiofauny w nieco ponad połowie sklasyfikowanych przypadków był co najmniej dobry. Natomiast spośród elementów fizykochemicznych decydujący był azot ogólny (34,4% przypadków). Wśród wskaźników w największym stopniu decydującym o klasyfikacji stanu chemicznego poniżej dobrego wskazać należy </w:t>
      </w:r>
      <w:proofErr w:type="spellStart"/>
      <w:r w:rsidRPr="005E2831">
        <w:rPr>
          <w:rFonts w:ascii="Times New Roman" w:hAnsi="Times New Roman" w:cs="Times New Roman"/>
          <w:sz w:val="24"/>
          <w:szCs w:val="24"/>
        </w:rPr>
        <w:t>difenyloetery</w:t>
      </w:r>
      <w:proofErr w:type="spellEnd"/>
      <w:r w:rsidRPr="005E2831">
        <w:rPr>
          <w:rFonts w:ascii="Times New Roman" w:hAnsi="Times New Roman" w:cs="Times New Roman"/>
          <w:sz w:val="24"/>
          <w:szCs w:val="24"/>
        </w:rPr>
        <w:t xml:space="preserve"> bromowane identyfikowane w matrycy biota (36,3% przypadków)</w:t>
      </w:r>
      <w:r>
        <w:rPr>
          <w:rFonts w:ascii="Times New Roman" w:hAnsi="Times New Roman" w:cs="Times New Roman"/>
          <w:sz w:val="24"/>
          <w:szCs w:val="24"/>
        </w:rPr>
        <w:t>,</w:t>
      </w:r>
      <w:r w:rsidRPr="005E2831">
        <w:rPr>
          <w:rFonts w:ascii="Times New Roman" w:hAnsi="Times New Roman" w:cs="Times New Roman"/>
          <w:sz w:val="24"/>
          <w:szCs w:val="24"/>
        </w:rPr>
        <w:t xml:space="preserve"> a także rtęć i jego związki (21,1%przypadków) oraz </w:t>
      </w:r>
      <w:proofErr w:type="spellStart"/>
      <w:r w:rsidRPr="005E2831">
        <w:rPr>
          <w:rFonts w:ascii="Times New Roman" w:hAnsi="Times New Roman" w:cs="Times New Roman"/>
          <w:sz w:val="24"/>
          <w:szCs w:val="24"/>
        </w:rPr>
        <w:t>heptachlor</w:t>
      </w:r>
      <w:proofErr w:type="spellEnd"/>
      <w:r w:rsidRPr="005E2831">
        <w:rPr>
          <w:rFonts w:ascii="Times New Roman" w:hAnsi="Times New Roman" w:cs="Times New Roman"/>
          <w:sz w:val="24"/>
          <w:szCs w:val="24"/>
        </w:rPr>
        <w:t xml:space="preserve"> (18,8% przypadków) również identyfikowane w matrycy biota.</w:t>
      </w:r>
    </w:p>
    <w:p w14:paraId="166ADD6D" w14:textId="5F61C2E8" w:rsidR="008A0D53" w:rsidRDefault="0025528B" w:rsidP="008A0D53">
      <w:pPr>
        <w:spacing w:after="60" w:line="300" w:lineRule="atLeast"/>
        <w:jc w:val="both"/>
        <w:rPr>
          <w:rFonts w:ascii="Times New Roman" w:hAnsi="Times New Roman" w:cs="Times New Roman"/>
          <w:sz w:val="24"/>
          <w:szCs w:val="24"/>
        </w:rPr>
      </w:pP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jeziorne, w których nie wykonano badań monitoringowych w latach 2016-2021 albo dla których ocena na podstawie danych z lat 2016-2021 nie była możliwa, zostały ocenione metodą przeniesienia oceny z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jeziornych monitorowanych. Statystyczne podsumowanie klasyfikacji i oceny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jeziornych metodą przeniesienia przedstawiono w tabeli </w:t>
      </w:r>
      <w:r w:rsidR="00406CC6">
        <w:rPr>
          <w:rFonts w:ascii="Times New Roman" w:hAnsi="Times New Roman" w:cs="Times New Roman"/>
          <w:sz w:val="24"/>
          <w:szCs w:val="24"/>
        </w:rPr>
        <w:t>27</w:t>
      </w:r>
      <w:r w:rsidRPr="005E2831">
        <w:rPr>
          <w:rFonts w:ascii="Times New Roman" w:hAnsi="Times New Roman" w:cs="Times New Roman"/>
          <w:sz w:val="24"/>
          <w:szCs w:val="24"/>
        </w:rPr>
        <w:t xml:space="preserve">. Uwzględniono przy tym podział na dorzecza, a także wskazano łączną liczbę klasyfikowanych i ocenianych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hAnsi="Times New Roman" w:cs="Times New Roman"/>
          <w:sz w:val="24"/>
          <w:szCs w:val="24"/>
        </w:rPr>
        <w:t>.</w:t>
      </w:r>
      <w:r w:rsidR="008A0D53" w:rsidRPr="008A0D53">
        <w:rPr>
          <w:rFonts w:ascii="Times New Roman" w:hAnsi="Times New Roman" w:cs="Times New Roman"/>
          <w:sz w:val="24"/>
          <w:szCs w:val="24"/>
        </w:rPr>
        <w:t xml:space="preserve"> </w:t>
      </w:r>
    </w:p>
    <w:p w14:paraId="4636DE94" w14:textId="49B095AD" w:rsidR="008A0D53" w:rsidRPr="005E2831" w:rsidRDefault="008A0D53" w:rsidP="004E37F6">
      <w:pPr>
        <w:spacing w:after="60" w:line="300" w:lineRule="atLeast"/>
        <w:ind w:firstLine="709"/>
        <w:jc w:val="both"/>
        <w:rPr>
          <w:rFonts w:ascii="Times New Roman" w:hAnsi="Times New Roman" w:cs="Times New Roman"/>
          <w:sz w:val="24"/>
          <w:szCs w:val="24"/>
        </w:rPr>
      </w:pPr>
      <w:r w:rsidRPr="005E2831">
        <w:rPr>
          <w:rFonts w:ascii="Times New Roman" w:hAnsi="Times New Roman" w:cs="Times New Roman"/>
          <w:sz w:val="24"/>
          <w:szCs w:val="24"/>
        </w:rPr>
        <w:t xml:space="preserve">Klasyfikacja stanu ekologicznego w oparciu o przeniesienie była możliwa w 206 naturalnych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jeziornych. Największy udział w sklasyfikowanych naturalnych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stanowią te o umiarkowanym stanie ekologicznym (54,4%). W żadnej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jeziornej nie odnotowano bardzo dobrego stanu ekologicznego, przy czym 18,9% analizowanych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jeziornych osiągnęło stan dobry. Stan słaby oraz zły odnotowano w 26,7%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jeziornych, objętych klasyfikacją w oparciu o przeniesienie.</w:t>
      </w:r>
    </w:p>
    <w:p w14:paraId="4205ACDB" w14:textId="77777777" w:rsidR="008A0D53" w:rsidRPr="005E2831" w:rsidRDefault="008A0D53" w:rsidP="008A0D53">
      <w:pPr>
        <w:spacing w:after="60" w:line="300" w:lineRule="atLeast"/>
        <w:ind w:firstLine="708"/>
        <w:jc w:val="both"/>
        <w:rPr>
          <w:rFonts w:ascii="Times New Roman" w:hAnsi="Times New Roman" w:cs="Times New Roman"/>
          <w:sz w:val="24"/>
          <w:szCs w:val="24"/>
        </w:rPr>
      </w:pPr>
      <w:r w:rsidRPr="005E2831">
        <w:rPr>
          <w:rFonts w:ascii="Times New Roman" w:hAnsi="Times New Roman" w:cs="Times New Roman"/>
          <w:sz w:val="24"/>
          <w:szCs w:val="24"/>
        </w:rPr>
        <w:t xml:space="preserve">Klasyfikacja potencjału ekologicznego metodą przeniesienia była możliwa dla 13 silnie zmienionych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jeziornych. Po 3 jeziora mają dobry oraz umiarkowany potencjał ekologiczny. Jedno jezioro ma słaby potencjał ekologiczny, natomiast 6 jezior jest w złym potencjale ekologicznym. W żadnym z jezior nie odnotowano maksymalnego potencjału ekologicznego.</w:t>
      </w:r>
    </w:p>
    <w:p w14:paraId="4378FCB7" w14:textId="6EC52645" w:rsidR="0025528B" w:rsidRPr="005E2831" w:rsidRDefault="008A0D53" w:rsidP="008A0D53">
      <w:pPr>
        <w:spacing w:after="60" w:line="300" w:lineRule="atLeast"/>
        <w:ind w:firstLine="709"/>
        <w:jc w:val="both"/>
        <w:rPr>
          <w:rFonts w:ascii="Times New Roman" w:hAnsi="Times New Roman" w:cs="Times New Roman"/>
          <w:sz w:val="24"/>
          <w:szCs w:val="24"/>
        </w:rPr>
      </w:pPr>
      <w:r w:rsidRPr="005E2831">
        <w:rPr>
          <w:rFonts w:ascii="Times New Roman" w:hAnsi="Times New Roman" w:cs="Times New Roman"/>
          <w:sz w:val="24"/>
          <w:szCs w:val="24"/>
        </w:rPr>
        <w:t xml:space="preserve">Klasyfikacja stanu chemicznego przy wykorzystaniu metody przeniesienia była możliwa dla 212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jeziornych, przy czym 83,5%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osiągnęło stan chemiczny poniżej dobrego.</w:t>
      </w:r>
    </w:p>
    <w:p w14:paraId="641376A5" w14:textId="77777777" w:rsidR="008A0D53" w:rsidRDefault="008A0D53" w:rsidP="0025528B">
      <w:pPr>
        <w:spacing w:before="240" w:after="60" w:line="300" w:lineRule="atLeast"/>
        <w:jc w:val="both"/>
        <w:rPr>
          <w:rFonts w:ascii="Times New Roman" w:hAnsi="Times New Roman" w:cs="Times New Roman"/>
          <w:b/>
        </w:rPr>
      </w:pPr>
    </w:p>
    <w:p w14:paraId="1383C0DD" w14:textId="0EAED44E" w:rsidR="0025528B" w:rsidRPr="005E2831" w:rsidRDefault="0025528B" w:rsidP="0025528B">
      <w:pPr>
        <w:spacing w:before="240" w:after="60" w:line="300" w:lineRule="atLeast"/>
        <w:jc w:val="both"/>
        <w:rPr>
          <w:rFonts w:ascii="Times New Roman" w:hAnsi="Times New Roman" w:cs="Times New Roman"/>
          <w:b/>
        </w:rPr>
      </w:pPr>
      <w:r w:rsidRPr="005E2831">
        <w:rPr>
          <w:rFonts w:ascii="Times New Roman" w:hAnsi="Times New Roman" w:cs="Times New Roman"/>
          <w:b/>
        </w:rPr>
        <w:t xml:space="preserve">Tabela </w:t>
      </w:r>
      <w:r w:rsidR="001D61F0">
        <w:rPr>
          <w:rFonts w:ascii="Times New Roman" w:hAnsi="Times New Roman" w:cs="Times New Roman"/>
          <w:b/>
        </w:rPr>
        <w:t>27</w:t>
      </w:r>
      <w:r w:rsidRPr="005E2831">
        <w:rPr>
          <w:rFonts w:ascii="Times New Roman" w:hAnsi="Times New Roman" w:cs="Times New Roman"/>
          <w:b/>
        </w:rPr>
        <w:t>. Podsumowanie statystyczne klasyfikacji i oceny jednolitych części wód jeziornych dokonanej za 2021 rok metodą przeniesienia, w podziale na dorzecza</w:t>
      </w:r>
      <w:r w:rsidRPr="005E2831">
        <w:rPr>
          <w:rFonts w:ascii="Times New Roman" w:hAnsi="Times New Roman" w:cs="Times New Roman"/>
        </w:rPr>
        <w:fldChar w:fldCharType="begin"/>
      </w:r>
      <w:r w:rsidRPr="005E2831">
        <w:rPr>
          <w:rFonts w:ascii="Times New Roman" w:hAnsi="Times New Roman" w:cs="Times New Roman"/>
        </w:rPr>
        <w:instrText xml:space="preserve"> LINK Excel.Sheet.12 "\\\\192.168.0.240\\dm\\Katalog DM\\WODY\\SPRAWOZDANIA Z DZIALALNOSCI\\SPRAWOZDANIE ZA 2022\\Tabele ocenowe do sprawozdania.xlsx" "Tab. 8!W4K1:W24K8" \a \f 4 \h  \* MERGEFORMAT </w:instrText>
      </w:r>
      <w:r w:rsidRPr="005E2831">
        <w:rPr>
          <w:rFonts w:ascii="Times New Roman" w:hAnsi="Times New Roman" w:cs="Times New Roman"/>
        </w:rPr>
        <w:fldChar w:fldCharType="separate"/>
      </w:r>
    </w:p>
    <w:tbl>
      <w:tblPr>
        <w:tblpPr w:leftFromText="141" w:rightFromText="141" w:vertAnchor="text" w:tblpXSpec="center" w:tblpY="1"/>
        <w:tblOverlap w:val="never"/>
        <w:tblW w:w="9138" w:type="dxa"/>
        <w:tblCellMar>
          <w:left w:w="70" w:type="dxa"/>
          <w:right w:w="70" w:type="dxa"/>
        </w:tblCellMar>
        <w:tblLook w:val="04A0" w:firstRow="1" w:lastRow="0" w:firstColumn="1" w:lastColumn="0" w:noHBand="0" w:noVBand="1"/>
      </w:tblPr>
      <w:tblGrid>
        <w:gridCol w:w="988"/>
        <w:gridCol w:w="2190"/>
        <w:gridCol w:w="715"/>
        <w:gridCol w:w="692"/>
        <w:gridCol w:w="889"/>
        <w:gridCol w:w="885"/>
        <w:gridCol w:w="879"/>
        <w:gridCol w:w="1900"/>
      </w:tblGrid>
      <w:tr w:rsidR="0025528B" w:rsidRPr="005E2831" w14:paraId="336DFCAB" w14:textId="77777777" w:rsidTr="0025528B">
        <w:trPr>
          <w:trHeight w:val="910"/>
        </w:trPr>
        <w:tc>
          <w:tcPr>
            <w:tcW w:w="3178" w:type="dxa"/>
            <w:gridSpan w:val="2"/>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408AA398"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Oceny jednolitych części wód powierzchniowych jeziornych</w:t>
            </w:r>
          </w:p>
        </w:tc>
        <w:tc>
          <w:tcPr>
            <w:tcW w:w="4060" w:type="dxa"/>
            <w:gridSpan w:val="5"/>
            <w:tcBorders>
              <w:top w:val="single" w:sz="4" w:space="0" w:color="auto"/>
              <w:left w:val="single" w:sz="4" w:space="0" w:color="auto"/>
              <w:bottom w:val="single" w:sz="4" w:space="0" w:color="auto"/>
              <w:right w:val="single" w:sz="4" w:space="0" w:color="auto"/>
            </w:tcBorders>
            <w:shd w:val="clear" w:color="000000" w:fill="BFBFBF"/>
            <w:vAlign w:val="center"/>
            <w:hideMark/>
          </w:tcPr>
          <w:p w14:paraId="21B2D8BC"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Dorzecze</w:t>
            </w:r>
          </w:p>
        </w:tc>
        <w:tc>
          <w:tcPr>
            <w:tcW w:w="1900" w:type="dxa"/>
            <w:vMerge w:val="restart"/>
            <w:tcBorders>
              <w:top w:val="single" w:sz="4" w:space="0" w:color="auto"/>
              <w:left w:val="single" w:sz="4" w:space="0" w:color="auto"/>
              <w:bottom w:val="nil"/>
              <w:right w:val="single" w:sz="4" w:space="0" w:color="auto"/>
            </w:tcBorders>
            <w:shd w:val="clear" w:color="000000" w:fill="BFBFBF"/>
            <w:vAlign w:val="center"/>
            <w:hideMark/>
          </w:tcPr>
          <w:p w14:paraId="653167F5"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Łącznie</w:t>
            </w:r>
          </w:p>
        </w:tc>
      </w:tr>
      <w:tr w:rsidR="0025528B" w:rsidRPr="005E2831" w14:paraId="54CA470B" w14:textId="77777777" w:rsidTr="0025528B">
        <w:trPr>
          <w:trHeight w:val="300"/>
        </w:trPr>
        <w:tc>
          <w:tcPr>
            <w:tcW w:w="3178" w:type="dxa"/>
            <w:gridSpan w:val="2"/>
            <w:vMerge/>
            <w:tcBorders>
              <w:top w:val="single" w:sz="4" w:space="0" w:color="auto"/>
              <w:left w:val="single" w:sz="4" w:space="0" w:color="auto"/>
              <w:bottom w:val="single" w:sz="4" w:space="0" w:color="auto"/>
              <w:right w:val="single" w:sz="4" w:space="0" w:color="auto"/>
            </w:tcBorders>
            <w:vAlign w:val="center"/>
            <w:hideMark/>
          </w:tcPr>
          <w:p w14:paraId="1D82FDB8"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715" w:type="dxa"/>
            <w:tcBorders>
              <w:top w:val="nil"/>
              <w:left w:val="nil"/>
              <w:bottom w:val="single" w:sz="4" w:space="0" w:color="auto"/>
              <w:right w:val="single" w:sz="4" w:space="0" w:color="auto"/>
            </w:tcBorders>
            <w:shd w:val="clear" w:color="000000" w:fill="BFBFBF"/>
            <w:vAlign w:val="center"/>
            <w:hideMark/>
          </w:tcPr>
          <w:p w14:paraId="454C4E44"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Wisła</w:t>
            </w:r>
          </w:p>
        </w:tc>
        <w:tc>
          <w:tcPr>
            <w:tcW w:w="692" w:type="dxa"/>
            <w:tcBorders>
              <w:top w:val="nil"/>
              <w:left w:val="nil"/>
              <w:bottom w:val="single" w:sz="4" w:space="0" w:color="auto"/>
              <w:right w:val="single" w:sz="4" w:space="0" w:color="auto"/>
            </w:tcBorders>
            <w:shd w:val="clear" w:color="000000" w:fill="BFBFBF"/>
            <w:vAlign w:val="center"/>
            <w:hideMark/>
          </w:tcPr>
          <w:p w14:paraId="1B63590D"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Odra</w:t>
            </w:r>
          </w:p>
        </w:tc>
        <w:tc>
          <w:tcPr>
            <w:tcW w:w="889" w:type="dxa"/>
            <w:tcBorders>
              <w:top w:val="nil"/>
              <w:left w:val="nil"/>
              <w:bottom w:val="single" w:sz="4" w:space="0" w:color="auto"/>
              <w:right w:val="single" w:sz="4" w:space="0" w:color="auto"/>
            </w:tcBorders>
            <w:shd w:val="clear" w:color="000000" w:fill="BFBFBF"/>
            <w:vAlign w:val="center"/>
            <w:hideMark/>
          </w:tcPr>
          <w:p w14:paraId="4D5C131A"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Niemen</w:t>
            </w:r>
          </w:p>
        </w:tc>
        <w:tc>
          <w:tcPr>
            <w:tcW w:w="885" w:type="dxa"/>
            <w:tcBorders>
              <w:top w:val="nil"/>
              <w:left w:val="nil"/>
              <w:bottom w:val="single" w:sz="4" w:space="0" w:color="auto"/>
              <w:right w:val="single" w:sz="4" w:space="0" w:color="auto"/>
            </w:tcBorders>
            <w:shd w:val="clear" w:color="000000" w:fill="BFBFBF"/>
            <w:vAlign w:val="center"/>
            <w:hideMark/>
          </w:tcPr>
          <w:p w14:paraId="60559BF1"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Pregoła</w:t>
            </w:r>
          </w:p>
        </w:tc>
        <w:tc>
          <w:tcPr>
            <w:tcW w:w="879" w:type="dxa"/>
            <w:tcBorders>
              <w:top w:val="nil"/>
              <w:left w:val="nil"/>
              <w:bottom w:val="single" w:sz="4" w:space="0" w:color="auto"/>
              <w:right w:val="single" w:sz="4" w:space="0" w:color="auto"/>
            </w:tcBorders>
            <w:shd w:val="clear" w:color="000000" w:fill="BFBFBF"/>
            <w:vAlign w:val="center"/>
            <w:hideMark/>
          </w:tcPr>
          <w:p w14:paraId="4F4C620A"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Świeża</w:t>
            </w:r>
          </w:p>
        </w:tc>
        <w:tc>
          <w:tcPr>
            <w:tcW w:w="1900" w:type="dxa"/>
            <w:vMerge/>
            <w:tcBorders>
              <w:left w:val="single" w:sz="4" w:space="0" w:color="auto"/>
              <w:bottom w:val="single" w:sz="4" w:space="0" w:color="auto"/>
              <w:right w:val="single" w:sz="4" w:space="0" w:color="auto"/>
            </w:tcBorders>
            <w:vAlign w:val="center"/>
            <w:hideMark/>
          </w:tcPr>
          <w:p w14:paraId="4059EC47"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highlight w:val="lightGray"/>
                <w:lang w:eastAsia="pl-PL"/>
              </w:rPr>
            </w:pPr>
          </w:p>
        </w:tc>
      </w:tr>
      <w:tr w:rsidR="0025528B" w:rsidRPr="005E2831" w14:paraId="47A0E4DB" w14:textId="77777777" w:rsidTr="0025528B">
        <w:trPr>
          <w:trHeight w:val="300"/>
        </w:trPr>
        <w:tc>
          <w:tcPr>
            <w:tcW w:w="988"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6F14565F"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Klasyfikacja stanu</w:t>
            </w:r>
            <w:r w:rsidRPr="006B711F">
              <w:rPr>
                <w:rFonts w:ascii="Times New Roman" w:eastAsia="Times New Roman" w:hAnsi="Times New Roman" w:cs="Times New Roman"/>
                <w:color w:val="000000"/>
                <w:sz w:val="18"/>
                <w:szCs w:val="18"/>
                <w:lang w:eastAsia="pl-PL"/>
              </w:rPr>
              <w:br/>
              <w:t>ekologicznego</w:t>
            </w:r>
          </w:p>
        </w:tc>
        <w:tc>
          <w:tcPr>
            <w:tcW w:w="2190" w:type="dxa"/>
            <w:tcBorders>
              <w:top w:val="nil"/>
              <w:left w:val="nil"/>
              <w:bottom w:val="single" w:sz="4" w:space="0" w:color="auto"/>
              <w:right w:val="single" w:sz="4" w:space="0" w:color="auto"/>
            </w:tcBorders>
            <w:shd w:val="clear" w:color="000000" w:fill="00B0F0"/>
            <w:vAlign w:val="center"/>
            <w:hideMark/>
          </w:tcPr>
          <w:p w14:paraId="7A42717F"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Bardzo dobry</w:t>
            </w:r>
          </w:p>
        </w:tc>
        <w:tc>
          <w:tcPr>
            <w:tcW w:w="715" w:type="dxa"/>
            <w:tcBorders>
              <w:top w:val="nil"/>
              <w:left w:val="nil"/>
              <w:bottom w:val="single" w:sz="4" w:space="0" w:color="auto"/>
              <w:right w:val="single" w:sz="4" w:space="0" w:color="auto"/>
            </w:tcBorders>
            <w:shd w:val="clear" w:color="auto" w:fill="auto"/>
            <w:noWrap/>
            <w:vAlign w:val="center"/>
            <w:hideMark/>
          </w:tcPr>
          <w:p w14:paraId="6209000F"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692" w:type="dxa"/>
            <w:tcBorders>
              <w:top w:val="nil"/>
              <w:left w:val="nil"/>
              <w:bottom w:val="single" w:sz="4" w:space="0" w:color="auto"/>
              <w:right w:val="single" w:sz="4" w:space="0" w:color="auto"/>
            </w:tcBorders>
            <w:shd w:val="clear" w:color="auto" w:fill="auto"/>
            <w:noWrap/>
            <w:vAlign w:val="center"/>
            <w:hideMark/>
          </w:tcPr>
          <w:p w14:paraId="0E542116"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889" w:type="dxa"/>
            <w:tcBorders>
              <w:top w:val="nil"/>
              <w:left w:val="nil"/>
              <w:bottom w:val="single" w:sz="4" w:space="0" w:color="auto"/>
              <w:right w:val="single" w:sz="4" w:space="0" w:color="auto"/>
            </w:tcBorders>
            <w:shd w:val="clear" w:color="auto" w:fill="auto"/>
            <w:noWrap/>
            <w:vAlign w:val="center"/>
            <w:hideMark/>
          </w:tcPr>
          <w:p w14:paraId="4C85F01B"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885" w:type="dxa"/>
            <w:tcBorders>
              <w:top w:val="nil"/>
              <w:left w:val="nil"/>
              <w:bottom w:val="single" w:sz="4" w:space="0" w:color="auto"/>
              <w:right w:val="single" w:sz="4" w:space="0" w:color="auto"/>
            </w:tcBorders>
            <w:shd w:val="clear" w:color="auto" w:fill="auto"/>
            <w:noWrap/>
            <w:vAlign w:val="center"/>
            <w:hideMark/>
          </w:tcPr>
          <w:p w14:paraId="49590E9B"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879" w:type="dxa"/>
            <w:tcBorders>
              <w:top w:val="nil"/>
              <w:left w:val="nil"/>
              <w:bottom w:val="single" w:sz="4" w:space="0" w:color="auto"/>
              <w:right w:val="single" w:sz="4" w:space="0" w:color="auto"/>
            </w:tcBorders>
            <w:shd w:val="clear" w:color="auto" w:fill="auto"/>
            <w:noWrap/>
            <w:vAlign w:val="center"/>
            <w:hideMark/>
          </w:tcPr>
          <w:p w14:paraId="78921F21"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1900" w:type="dxa"/>
            <w:tcBorders>
              <w:top w:val="nil"/>
              <w:left w:val="nil"/>
              <w:bottom w:val="single" w:sz="4" w:space="0" w:color="auto"/>
              <w:right w:val="single" w:sz="4" w:space="0" w:color="auto"/>
            </w:tcBorders>
            <w:shd w:val="clear" w:color="auto" w:fill="auto"/>
            <w:noWrap/>
            <w:vAlign w:val="center"/>
            <w:hideMark/>
          </w:tcPr>
          <w:p w14:paraId="18C1387D"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r>
      <w:tr w:rsidR="0025528B" w:rsidRPr="005E2831" w14:paraId="38C8F3F5" w14:textId="77777777" w:rsidTr="0025528B">
        <w:trPr>
          <w:trHeight w:val="300"/>
        </w:trPr>
        <w:tc>
          <w:tcPr>
            <w:tcW w:w="988" w:type="dxa"/>
            <w:vMerge/>
            <w:tcBorders>
              <w:top w:val="nil"/>
              <w:left w:val="single" w:sz="4" w:space="0" w:color="auto"/>
              <w:bottom w:val="single" w:sz="4" w:space="0" w:color="auto"/>
              <w:right w:val="single" w:sz="4" w:space="0" w:color="auto"/>
            </w:tcBorders>
            <w:vAlign w:val="center"/>
            <w:hideMark/>
          </w:tcPr>
          <w:p w14:paraId="02789069"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190" w:type="dxa"/>
            <w:tcBorders>
              <w:top w:val="nil"/>
              <w:left w:val="nil"/>
              <w:bottom w:val="single" w:sz="4" w:space="0" w:color="auto"/>
              <w:right w:val="single" w:sz="4" w:space="0" w:color="auto"/>
            </w:tcBorders>
            <w:shd w:val="clear" w:color="000000" w:fill="92D050"/>
            <w:vAlign w:val="center"/>
            <w:hideMark/>
          </w:tcPr>
          <w:p w14:paraId="6648C05E"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Dobry</w:t>
            </w:r>
          </w:p>
        </w:tc>
        <w:tc>
          <w:tcPr>
            <w:tcW w:w="715" w:type="dxa"/>
            <w:tcBorders>
              <w:top w:val="nil"/>
              <w:left w:val="nil"/>
              <w:bottom w:val="single" w:sz="4" w:space="0" w:color="auto"/>
              <w:right w:val="single" w:sz="4" w:space="0" w:color="auto"/>
            </w:tcBorders>
            <w:shd w:val="clear" w:color="auto" w:fill="auto"/>
            <w:noWrap/>
            <w:vAlign w:val="center"/>
            <w:hideMark/>
          </w:tcPr>
          <w:p w14:paraId="1008C725"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18</w:t>
            </w:r>
          </w:p>
        </w:tc>
        <w:tc>
          <w:tcPr>
            <w:tcW w:w="692" w:type="dxa"/>
            <w:tcBorders>
              <w:top w:val="nil"/>
              <w:left w:val="nil"/>
              <w:bottom w:val="single" w:sz="4" w:space="0" w:color="auto"/>
              <w:right w:val="single" w:sz="4" w:space="0" w:color="auto"/>
            </w:tcBorders>
            <w:shd w:val="clear" w:color="auto" w:fill="auto"/>
            <w:noWrap/>
            <w:vAlign w:val="center"/>
            <w:hideMark/>
          </w:tcPr>
          <w:p w14:paraId="3BCC9DA0"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7</w:t>
            </w:r>
          </w:p>
        </w:tc>
        <w:tc>
          <w:tcPr>
            <w:tcW w:w="889" w:type="dxa"/>
            <w:tcBorders>
              <w:top w:val="nil"/>
              <w:left w:val="nil"/>
              <w:bottom w:val="single" w:sz="4" w:space="0" w:color="auto"/>
              <w:right w:val="single" w:sz="4" w:space="0" w:color="auto"/>
            </w:tcBorders>
            <w:shd w:val="clear" w:color="auto" w:fill="auto"/>
            <w:noWrap/>
            <w:vAlign w:val="center"/>
            <w:hideMark/>
          </w:tcPr>
          <w:p w14:paraId="33C7CC08"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885" w:type="dxa"/>
            <w:tcBorders>
              <w:top w:val="nil"/>
              <w:left w:val="nil"/>
              <w:bottom w:val="single" w:sz="4" w:space="0" w:color="auto"/>
              <w:right w:val="single" w:sz="4" w:space="0" w:color="auto"/>
            </w:tcBorders>
            <w:shd w:val="clear" w:color="auto" w:fill="auto"/>
            <w:noWrap/>
            <w:vAlign w:val="center"/>
            <w:hideMark/>
          </w:tcPr>
          <w:p w14:paraId="12EB1EA2"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879" w:type="dxa"/>
            <w:tcBorders>
              <w:top w:val="nil"/>
              <w:left w:val="nil"/>
              <w:bottom w:val="single" w:sz="4" w:space="0" w:color="auto"/>
              <w:right w:val="single" w:sz="4" w:space="0" w:color="auto"/>
            </w:tcBorders>
            <w:shd w:val="clear" w:color="auto" w:fill="auto"/>
            <w:noWrap/>
            <w:vAlign w:val="center"/>
            <w:hideMark/>
          </w:tcPr>
          <w:p w14:paraId="6102EA84"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1900" w:type="dxa"/>
            <w:tcBorders>
              <w:top w:val="nil"/>
              <w:left w:val="nil"/>
              <w:bottom w:val="single" w:sz="4" w:space="0" w:color="auto"/>
              <w:right w:val="single" w:sz="4" w:space="0" w:color="auto"/>
            </w:tcBorders>
            <w:shd w:val="clear" w:color="auto" w:fill="auto"/>
            <w:noWrap/>
            <w:vAlign w:val="center"/>
            <w:hideMark/>
          </w:tcPr>
          <w:p w14:paraId="47EBB699"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39</w:t>
            </w:r>
          </w:p>
        </w:tc>
      </w:tr>
      <w:tr w:rsidR="0025528B" w:rsidRPr="005E2831" w14:paraId="55A92E61" w14:textId="77777777" w:rsidTr="0025528B">
        <w:trPr>
          <w:trHeight w:val="300"/>
        </w:trPr>
        <w:tc>
          <w:tcPr>
            <w:tcW w:w="988" w:type="dxa"/>
            <w:vMerge/>
            <w:tcBorders>
              <w:top w:val="nil"/>
              <w:left w:val="single" w:sz="4" w:space="0" w:color="auto"/>
              <w:bottom w:val="single" w:sz="4" w:space="0" w:color="auto"/>
              <w:right w:val="single" w:sz="4" w:space="0" w:color="auto"/>
            </w:tcBorders>
            <w:vAlign w:val="center"/>
            <w:hideMark/>
          </w:tcPr>
          <w:p w14:paraId="1043D8D2"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190" w:type="dxa"/>
            <w:tcBorders>
              <w:top w:val="nil"/>
              <w:left w:val="nil"/>
              <w:bottom w:val="single" w:sz="4" w:space="0" w:color="auto"/>
              <w:right w:val="single" w:sz="4" w:space="0" w:color="auto"/>
            </w:tcBorders>
            <w:shd w:val="clear" w:color="000000" w:fill="FFFF00"/>
            <w:vAlign w:val="center"/>
            <w:hideMark/>
          </w:tcPr>
          <w:p w14:paraId="15E1A976"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Umiarkowany</w:t>
            </w:r>
          </w:p>
        </w:tc>
        <w:tc>
          <w:tcPr>
            <w:tcW w:w="715" w:type="dxa"/>
            <w:tcBorders>
              <w:top w:val="nil"/>
              <w:left w:val="nil"/>
              <w:bottom w:val="single" w:sz="4" w:space="0" w:color="auto"/>
              <w:right w:val="single" w:sz="4" w:space="0" w:color="auto"/>
            </w:tcBorders>
            <w:shd w:val="clear" w:color="auto" w:fill="auto"/>
            <w:noWrap/>
            <w:vAlign w:val="center"/>
            <w:hideMark/>
          </w:tcPr>
          <w:p w14:paraId="0D2EDE0D"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61</w:t>
            </w:r>
          </w:p>
        </w:tc>
        <w:tc>
          <w:tcPr>
            <w:tcW w:w="692" w:type="dxa"/>
            <w:tcBorders>
              <w:top w:val="nil"/>
              <w:left w:val="nil"/>
              <w:bottom w:val="single" w:sz="4" w:space="0" w:color="auto"/>
              <w:right w:val="single" w:sz="4" w:space="0" w:color="auto"/>
            </w:tcBorders>
            <w:shd w:val="clear" w:color="auto" w:fill="auto"/>
            <w:noWrap/>
            <w:vAlign w:val="center"/>
            <w:hideMark/>
          </w:tcPr>
          <w:p w14:paraId="5A094574"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23</w:t>
            </w:r>
          </w:p>
        </w:tc>
        <w:tc>
          <w:tcPr>
            <w:tcW w:w="889" w:type="dxa"/>
            <w:tcBorders>
              <w:top w:val="nil"/>
              <w:left w:val="nil"/>
              <w:bottom w:val="single" w:sz="4" w:space="0" w:color="auto"/>
              <w:right w:val="single" w:sz="4" w:space="0" w:color="auto"/>
            </w:tcBorders>
            <w:shd w:val="clear" w:color="auto" w:fill="auto"/>
            <w:noWrap/>
            <w:vAlign w:val="center"/>
            <w:hideMark/>
          </w:tcPr>
          <w:p w14:paraId="30BA5DD7"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885" w:type="dxa"/>
            <w:tcBorders>
              <w:top w:val="nil"/>
              <w:left w:val="nil"/>
              <w:bottom w:val="single" w:sz="4" w:space="0" w:color="auto"/>
              <w:right w:val="single" w:sz="4" w:space="0" w:color="auto"/>
            </w:tcBorders>
            <w:shd w:val="clear" w:color="auto" w:fill="auto"/>
            <w:noWrap/>
            <w:vAlign w:val="center"/>
            <w:hideMark/>
          </w:tcPr>
          <w:p w14:paraId="78AECDC1"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28</w:t>
            </w:r>
          </w:p>
        </w:tc>
        <w:tc>
          <w:tcPr>
            <w:tcW w:w="879" w:type="dxa"/>
            <w:tcBorders>
              <w:top w:val="nil"/>
              <w:left w:val="nil"/>
              <w:bottom w:val="single" w:sz="4" w:space="0" w:color="auto"/>
              <w:right w:val="single" w:sz="4" w:space="0" w:color="auto"/>
            </w:tcBorders>
            <w:shd w:val="clear" w:color="auto" w:fill="auto"/>
            <w:noWrap/>
            <w:vAlign w:val="center"/>
            <w:hideMark/>
          </w:tcPr>
          <w:p w14:paraId="65185E58"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1900" w:type="dxa"/>
            <w:tcBorders>
              <w:top w:val="nil"/>
              <w:left w:val="nil"/>
              <w:bottom w:val="single" w:sz="4" w:space="0" w:color="auto"/>
              <w:right w:val="single" w:sz="4" w:space="0" w:color="auto"/>
            </w:tcBorders>
            <w:shd w:val="clear" w:color="auto" w:fill="auto"/>
            <w:noWrap/>
            <w:vAlign w:val="center"/>
            <w:hideMark/>
          </w:tcPr>
          <w:p w14:paraId="72E85246"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112</w:t>
            </w:r>
          </w:p>
        </w:tc>
      </w:tr>
      <w:tr w:rsidR="0025528B" w:rsidRPr="005E2831" w14:paraId="59A6C496" w14:textId="77777777" w:rsidTr="0025528B">
        <w:trPr>
          <w:trHeight w:val="300"/>
        </w:trPr>
        <w:tc>
          <w:tcPr>
            <w:tcW w:w="988" w:type="dxa"/>
            <w:vMerge/>
            <w:tcBorders>
              <w:top w:val="nil"/>
              <w:left w:val="single" w:sz="4" w:space="0" w:color="auto"/>
              <w:bottom w:val="single" w:sz="4" w:space="0" w:color="auto"/>
              <w:right w:val="single" w:sz="4" w:space="0" w:color="auto"/>
            </w:tcBorders>
            <w:vAlign w:val="center"/>
            <w:hideMark/>
          </w:tcPr>
          <w:p w14:paraId="56652F41"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190" w:type="dxa"/>
            <w:tcBorders>
              <w:top w:val="nil"/>
              <w:left w:val="nil"/>
              <w:bottom w:val="single" w:sz="4" w:space="0" w:color="auto"/>
              <w:right w:val="single" w:sz="4" w:space="0" w:color="auto"/>
            </w:tcBorders>
            <w:shd w:val="clear" w:color="000000" w:fill="FFC000"/>
            <w:vAlign w:val="center"/>
            <w:hideMark/>
          </w:tcPr>
          <w:p w14:paraId="02D2BFA9"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Słaby</w:t>
            </w:r>
          </w:p>
        </w:tc>
        <w:tc>
          <w:tcPr>
            <w:tcW w:w="715" w:type="dxa"/>
            <w:tcBorders>
              <w:top w:val="nil"/>
              <w:left w:val="nil"/>
              <w:bottom w:val="single" w:sz="4" w:space="0" w:color="auto"/>
              <w:right w:val="single" w:sz="4" w:space="0" w:color="auto"/>
            </w:tcBorders>
            <w:shd w:val="clear" w:color="auto" w:fill="auto"/>
            <w:noWrap/>
            <w:vAlign w:val="center"/>
            <w:hideMark/>
          </w:tcPr>
          <w:p w14:paraId="6A0F7136"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15</w:t>
            </w:r>
          </w:p>
        </w:tc>
        <w:tc>
          <w:tcPr>
            <w:tcW w:w="692" w:type="dxa"/>
            <w:tcBorders>
              <w:top w:val="nil"/>
              <w:left w:val="nil"/>
              <w:bottom w:val="single" w:sz="4" w:space="0" w:color="auto"/>
              <w:right w:val="single" w:sz="4" w:space="0" w:color="auto"/>
            </w:tcBorders>
            <w:shd w:val="clear" w:color="auto" w:fill="auto"/>
            <w:noWrap/>
            <w:vAlign w:val="center"/>
            <w:hideMark/>
          </w:tcPr>
          <w:p w14:paraId="6D771502"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9</w:t>
            </w:r>
          </w:p>
        </w:tc>
        <w:tc>
          <w:tcPr>
            <w:tcW w:w="889" w:type="dxa"/>
            <w:tcBorders>
              <w:top w:val="nil"/>
              <w:left w:val="nil"/>
              <w:bottom w:val="single" w:sz="4" w:space="0" w:color="auto"/>
              <w:right w:val="single" w:sz="4" w:space="0" w:color="auto"/>
            </w:tcBorders>
            <w:shd w:val="clear" w:color="auto" w:fill="auto"/>
            <w:noWrap/>
            <w:vAlign w:val="center"/>
            <w:hideMark/>
          </w:tcPr>
          <w:p w14:paraId="0C6DF041"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885" w:type="dxa"/>
            <w:tcBorders>
              <w:top w:val="nil"/>
              <w:left w:val="nil"/>
              <w:bottom w:val="single" w:sz="4" w:space="0" w:color="auto"/>
              <w:right w:val="single" w:sz="4" w:space="0" w:color="auto"/>
            </w:tcBorders>
            <w:shd w:val="clear" w:color="auto" w:fill="auto"/>
            <w:noWrap/>
            <w:vAlign w:val="center"/>
            <w:hideMark/>
          </w:tcPr>
          <w:p w14:paraId="70A6B145"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10</w:t>
            </w:r>
          </w:p>
        </w:tc>
        <w:tc>
          <w:tcPr>
            <w:tcW w:w="879" w:type="dxa"/>
            <w:tcBorders>
              <w:top w:val="nil"/>
              <w:left w:val="nil"/>
              <w:bottom w:val="single" w:sz="4" w:space="0" w:color="auto"/>
              <w:right w:val="single" w:sz="4" w:space="0" w:color="auto"/>
            </w:tcBorders>
            <w:shd w:val="clear" w:color="auto" w:fill="auto"/>
            <w:noWrap/>
            <w:vAlign w:val="center"/>
            <w:hideMark/>
          </w:tcPr>
          <w:p w14:paraId="45EBA518"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1900" w:type="dxa"/>
            <w:tcBorders>
              <w:top w:val="nil"/>
              <w:left w:val="nil"/>
              <w:bottom w:val="single" w:sz="4" w:space="0" w:color="auto"/>
              <w:right w:val="single" w:sz="4" w:space="0" w:color="auto"/>
            </w:tcBorders>
            <w:shd w:val="clear" w:color="auto" w:fill="auto"/>
            <w:noWrap/>
            <w:vAlign w:val="center"/>
            <w:hideMark/>
          </w:tcPr>
          <w:p w14:paraId="7C295B76"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34</w:t>
            </w:r>
          </w:p>
        </w:tc>
      </w:tr>
      <w:tr w:rsidR="0025528B" w:rsidRPr="005E2831" w14:paraId="4EA5DFA3" w14:textId="77777777" w:rsidTr="0025528B">
        <w:trPr>
          <w:trHeight w:val="300"/>
        </w:trPr>
        <w:tc>
          <w:tcPr>
            <w:tcW w:w="988" w:type="dxa"/>
            <w:vMerge/>
            <w:tcBorders>
              <w:top w:val="nil"/>
              <w:left w:val="single" w:sz="4" w:space="0" w:color="auto"/>
              <w:bottom w:val="single" w:sz="4" w:space="0" w:color="auto"/>
              <w:right w:val="single" w:sz="4" w:space="0" w:color="auto"/>
            </w:tcBorders>
            <w:vAlign w:val="center"/>
            <w:hideMark/>
          </w:tcPr>
          <w:p w14:paraId="6DD09F1B"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190" w:type="dxa"/>
            <w:tcBorders>
              <w:top w:val="nil"/>
              <w:left w:val="nil"/>
              <w:bottom w:val="single" w:sz="4" w:space="0" w:color="auto"/>
              <w:right w:val="single" w:sz="4" w:space="0" w:color="auto"/>
            </w:tcBorders>
            <w:shd w:val="clear" w:color="000000" w:fill="FF0000"/>
            <w:vAlign w:val="center"/>
            <w:hideMark/>
          </w:tcPr>
          <w:p w14:paraId="7774CF3C"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Zły</w:t>
            </w:r>
          </w:p>
        </w:tc>
        <w:tc>
          <w:tcPr>
            <w:tcW w:w="715" w:type="dxa"/>
            <w:tcBorders>
              <w:top w:val="nil"/>
              <w:left w:val="nil"/>
              <w:bottom w:val="single" w:sz="4" w:space="0" w:color="auto"/>
              <w:right w:val="single" w:sz="4" w:space="0" w:color="auto"/>
            </w:tcBorders>
            <w:shd w:val="clear" w:color="auto" w:fill="auto"/>
            <w:noWrap/>
            <w:vAlign w:val="center"/>
            <w:hideMark/>
          </w:tcPr>
          <w:p w14:paraId="573F1786"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12</w:t>
            </w:r>
          </w:p>
        </w:tc>
        <w:tc>
          <w:tcPr>
            <w:tcW w:w="692" w:type="dxa"/>
            <w:tcBorders>
              <w:top w:val="nil"/>
              <w:left w:val="nil"/>
              <w:bottom w:val="single" w:sz="4" w:space="0" w:color="auto"/>
              <w:right w:val="single" w:sz="4" w:space="0" w:color="auto"/>
            </w:tcBorders>
            <w:shd w:val="clear" w:color="auto" w:fill="auto"/>
            <w:noWrap/>
            <w:vAlign w:val="center"/>
            <w:hideMark/>
          </w:tcPr>
          <w:p w14:paraId="2A764AB8"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9</w:t>
            </w:r>
          </w:p>
        </w:tc>
        <w:tc>
          <w:tcPr>
            <w:tcW w:w="889" w:type="dxa"/>
            <w:tcBorders>
              <w:top w:val="nil"/>
              <w:left w:val="nil"/>
              <w:bottom w:val="single" w:sz="4" w:space="0" w:color="auto"/>
              <w:right w:val="single" w:sz="4" w:space="0" w:color="auto"/>
            </w:tcBorders>
            <w:shd w:val="clear" w:color="auto" w:fill="auto"/>
            <w:noWrap/>
            <w:vAlign w:val="center"/>
            <w:hideMark/>
          </w:tcPr>
          <w:p w14:paraId="171D42EC"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885" w:type="dxa"/>
            <w:tcBorders>
              <w:top w:val="nil"/>
              <w:left w:val="nil"/>
              <w:bottom w:val="single" w:sz="4" w:space="0" w:color="auto"/>
              <w:right w:val="single" w:sz="4" w:space="0" w:color="auto"/>
            </w:tcBorders>
            <w:shd w:val="clear" w:color="auto" w:fill="auto"/>
            <w:noWrap/>
            <w:vAlign w:val="center"/>
            <w:hideMark/>
          </w:tcPr>
          <w:p w14:paraId="589D158D"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879" w:type="dxa"/>
            <w:tcBorders>
              <w:top w:val="nil"/>
              <w:left w:val="nil"/>
              <w:bottom w:val="single" w:sz="4" w:space="0" w:color="auto"/>
              <w:right w:val="single" w:sz="4" w:space="0" w:color="auto"/>
            </w:tcBorders>
            <w:shd w:val="clear" w:color="auto" w:fill="auto"/>
            <w:noWrap/>
            <w:vAlign w:val="center"/>
            <w:hideMark/>
          </w:tcPr>
          <w:p w14:paraId="1D509672"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1900" w:type="dxa"/>
            <w:tcBorders>
              <w:top w:val="nil"/>
              <w:left w:val="nil"/>
              <w:bottom w:val="single" w:sz="4" w:space="0" w:color="auto"/>
              <w:right w:val="single" w:sz="4" w:space="0" w:color="auto"/>
            </w:tcBorders>
            <w:shd w:val="clear" w:color="auto" w:fill="auto"/>
            <w:noWrap/>
            <w:vAlign w:val="center"/>
            <w:hideMark/>
          </w:tcPr>
          <w:p w14:paraId="37A84D2F"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21</w:t>
            </w:r>
          </w:p>
        </w:tc>
      </w:tr>
      <w:tr w:rsidR="0025528B" w:rsidRPr="005E2831" w14:paraId="5C2EDEBD" w14:textId="77777777" w:rsidTr="0025528B">
        <w:trPr>
          <w:trHeight w:val="324"/>
        </w:trPr>
        <w:tc>
          <w:tcPr>
            <w:tcW w:w="988" w:type="dxa"/>
            <w:vMerge/>
            <w:tcBorders>
              <w:top w:val="nil"/>
              <w:left w:val="single" w:sz="4" w:space="0" w:color="auto"/>
              <w:bottom w:val="single" w:sz="4" w:space="0" w:color="auto"/>
              <w:right w:val="single" w:sz="4" w:space="0" w:color="auto"/>
            </w:tcBorders>
            <w:vAlign w:val="center"/>
            <w:hideMark/>
          </w:tcPr>
          <w:p w14:paraId="4C8148B4"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190" w:type="dxa"/>
            <w:tcBorders>
              <w:top w:val="nil"/>
              <w:left w:val="nil"/>
              <w:bottom w:val="single" w:sz="4" w:space="0" w:color="auto"/>
              <w:right w:val="single" w:sz="4" w:space="0" w:color="auto"/>
            </w:tcBorders>
            <w:shd w:val="clear" w:color="auto" w:fill="auto"/>
            <w:vAlign w:val="center"/>
            <w:hideMark/>
          </w:tcPr>
          <w:p w14:paraId="16CF0F17"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 xml:space="preserve">Liczba ocenionych naturalnych </w:t>
            </w:r>
            <w:proofErr w:type="spellStart"/>
            <w:r w:rsidRPr="006B711F">
              <w:rPr>
                <w:rFonts w:ascii="Times New Roman" w:eastAsia="Times New Roman" w:hAnsi="Times New Roman" w:cs="Times New Roman"/>
                <w:color w:val="000000"/>
                <w:sz w:val="18"/>
                <w:szCs w:val="18"/>
                <w:lang w:eastAsia="pl-PL"/>
              </w:rPr>
              <w:t>jcwp</w:t>
            </w:r>
            <w:proofErr w:type="spellEnd"/>
          </w:p>
        </w:tc>
        <w:tc>
          <w:tcPr>
            <w:tcW w:w="715" w:type="dxa"/>
            <w:tcBorders>
              <w:top w:val="nil"/>
              <w:left w:val="nil"/>
              <w:bottom w:val="single" w:sz="4" w:space="0" w:color="auto"/>
              <w:right w:val="single" w:sz="4" w:space="0" w:color="auto"/>
            </w:tcBorders>
            <w:shd w:val="clear" w:color="auto" w:fill="auto"/>
            <w:noWrap/>
            <w:vAlign w:val="center"/>
            <w:hideMark/>
          </w:tcPr>
          <w:p w14:paraId="208295D6"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106</w:t>
            </w:r>
          </w:p>
        </w:tc>
        <w:tc>
          <w:tcPr>
            <w:tcW w:w="692" w:type="dxa"/>
            <w:tcBorders>
              <w:top w:val="nil"/>
              <w:left w:val="nil"/>
              <w:bottom w:val="single" w:sz="4" w:space="0" w:color="auto"/>
              <w:right w:val="single" w:sz="4" w:space="0" w:color="auto"/>
            </w:tcBorders>
            <w:shd w:val="clear" w:color="auto" w:fill="auto"/>
            <w:noWrap/>
            <w:vAlign w:val="center"/>
            <w:hideMark/>
          </w:tcPr>
          <w:p w14:paraId="4CBAFA39"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48</w:t>
            </w:r>
          </w:p>
        </w:tc>
        <w:tc>
          <w:tcPr>
            <w:tcW w:w="889" w:type="dxa"/>
            <w:tcBorders>
              <w:top w:val="nil"/>
              <w:left w:val="nil"/>
              <w:bottom w:val="single" w:sz="4" w:space="0" w:color="auto"/>
              <w:right w:val="single" w:sz="4" w:space="0" w:color="auto"/>
            </w:tcBorders>
            <w:shd w:val="clear" w:color="auto" w:fill="auto"/>
            <w:noWrap/>
            <w:vAlign w:val="center"/>
            <w:hideMark/>
          </w:tcPr>
          <w:p w14:paraId="3C1E417C"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885" w:type="dxa"/>
            <w:tcBorders>
              <w:top w:val="nil"/>
              <w:left w:val="nil"/>
              <w:bottom w:val="single" w:sz="4" w:space="0" w:color="auto"/>
              <w:right w:val="single" w:sz="4" w:space="0" w:color="auto"/>
            </w:tcBorders>
            <w:shd w:val="clear" w:color="auto" w:fill="auto"/>
            <w:noWrap/>
            <w:vAlign w:val="center"/>
            <w:hideMark/>
          </w:tcPr>
          <w:p w14:paraId="6FC317A6"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38</w:t>
            </w:r>
          </w:p>
        </w:tc>
        <w:tc>
          <w:tcPr>
            <w:tcW w:w="879" w:type="dxa"/>
            <w:tcBorders>
              <w:top w:val="nil"/>
              <w:left w:val="nil"/>
              <w:bottom w:val="single" w:sz="4" w:space="0" w:color="auto"/>
              <w:right w:val="single" w:sz="4" w:space="0" w:color="auto"/>
            </w:tcBorders>
            <w:shd w:val="clear" w:color="auto" w:fill="auto"/>
            <w:noWrap/>
            <w:vAlign w:val="center"/>
            <w:hideMark/>
          </w:tcPr>
          <w:p w14:paraId="2A6F20D6"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1900" w:type="dxa"/>
            <w:tcBorders>
              <w:top w:val="nil"/>
              <w:left w:val="nil"/>
              <w:bottom w:val="single" w:sz="4" w:space="0" w:color="auto"/>
              <w:right w:val="single" w:sz="4" w:space="0" w:color="auto"/>
            </w:tcBorders>
            <w:shd w:val="clear" w:color="auto" w:fill="auto"/>
            <w:noWrap/>
            <w:vAlign w:val="center"/>
            <w:hideMark/>
          </w:tcPr>
          <w:p w14:paraId="044B6A04"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206</w:t>
            </w:r>
          </w:p>
        </w:tc>
      </w:tr>
      <w:tr w:rsidR="0025528B" w:rsidRPr="005E2831" w14:paraId="1EBA3733" w14:textId="77777777" w:rsidTr="00E05362">
        <w:trPr>
          <w:trHeight w:val="300"/>
        </w:trPr>
        <w:tc>
          <w:tcPr>
            <w:tcW w:w="988"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0D23D6D9"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Klasyfikacja potencjału</w:t>
            </w:r>
            <w:r w:rsidRPr="006B711F">
              <w:rPr>
                <w:rFonts w:ascii="Times New Roman" w:eastAsia="Times New Roman" w:hAnsi="Times New Roman" w:cs="Times New Roman"/>
                <w:color w:val="000000"/>
                <w:sz w:val="18"/>
                <w:szCs w:val="18"/>
                <w:lang w:eastAsia="pl-PL"/>
              </w:rPr>
              <w:br/>
              <w:t>ekologicznego</w:t>
            </w:r>
          </w:p>
        </w:tc>
        <w:tc>
          <w:tcPr>
            <w:tcW w:w="2190" w:type="dxa"/>
            <w:tcBorders>
              <w:top w:val="nil"/>
              <w:left w:val="nil"/>
              <w:bottom w:val="single" w:sz="4" w:space="0" w:color="auto"/>
              <w:right w:val="single" w:sz="4" w:space="0" w:color="auto"/>
            </w:tcBorders>
            <w:shd w:val="clear" w:color="auto" w:fill="538135" w:themeFill="accent6" w:themeFillShade="BF"/>
            <w:noWrap/>
            <w:vAlign w:val="center"/>
            <w:hideMark/>
          </w:tcPr>
          <w:p w14:paraId="32F602AC"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Maksymalny</w:t>
            </w:r>
          </w:p>
        </w:tc>
        <w:tc>
          <w:tcPr>
            <w:tcW w:w="715" w:type="dxa"/>
            <w:tcBorders>
              <w:top w:val="nil"/>
              <w:left w:val="nil"/>
              <w:bottom w:val="single" w:sz="4" w:space="0" w:color="auto"/>
              <w:right w:val="single" w:sz="4" w:space="0" w:color="auto"/>
            </w:tcBorders>
            <w:shd w:val="clear" w:color="auto" w:fill="auto"/>
            <w:noWrap/>
            <w:vAlign w:val="center"/>
            <w:hideMark/>
          </w:tcPr>
          <w:p w14:paraId="22D15109"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692" w:type="dxa"/>
            <w:tcBorders>
              <w:top w:val="nil"/>
              <w:left w:val="nil"/>
              <w:bottom w:val="single" w:sz="4" w:space="0" w:color="auto"/>
              <w:right w:val="single" w:sz="4" w:space="0" w:color="auto"/>
            </w:tcBorders>
            <w:shd w:val="clear" w:color="auto" w:fill="auto"/>
            <w:noWrap/>
            <w:vAlign w:val="center"/>
            <w:hideMark/>
          </w:tcPr>
          <w:p w14:paraId="531E83DC"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889" w:type="dxa"/>
            <w:tcBorders>
              <w:top w:val="nil"/>
              <w:left w:val="nil"/>
              <w:bottom w:val="single" w:sz="4" w:space="0" w:color="auto"/>
              <w:right w:val="single" w:sz="4" w:space="0" w:color="auto"/>
            </w:tcBorders>
            <w:shd w:val="clear" w:color="auto" w:fill="auto"/>
            <w:noWrap/>
            <w:vAlign w:val="center"/>
            <w:hideMark/>
          </w:tcPr>
          <w:p w14:paraId="54B57499"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885" w:type="dxa"/>
            <w:tcBorders>
              <w:top w:val="nil"/>
              <w:left w:val="nil"/>
              <w:bottom w:val="single" w:sz="4" w:space="0" w:color="auto"/>
              <w:right w:val="single" w:sz="4" w:space="0" w:color="auto"/>
            </w:tcBorders>
            <w:shd w:val="clear" w:color="auto" w:fill="auto"/>
            <w:noWrap/>
            <w:vAlign w:val="center"/>
            <w:hideMark/>
          </w:tcPr>
          <w:p w14:paraId="5046FE14"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879" w:type="dxa"/>
            <w:tcBorders>
              <w:top w:val="nil"/>
              <w:left w:val="nil"/>
              <w:bottom w:val="single" w:sz="4" w:space="0" w:color="auto"/>
              <w:right w:val="single" w:sz="4" w:space="0" w:color="auto"/>
            </w:tcBorders>
            <w:shd w:val="clear" w:color="auto" w:fill="auto"/>
            <w:noWrap/>
            <w:vAlign w:val="center"/>
            <w:hideMark/>
          </w:tcPr>
          <w:p w14:paraId="4E8E1FB4"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1900" w:type="dxa"/>
            <w:tcBorders>
              <w:top w:val="nil"/>
              <w:left w:val="nil"/>
              <w:bottom w:val="single" w:sz="4" w:space="0" w:color="auto"/>
              <w:right w:val="single" w:sz="4" w:space="0" w:color="auto"/>
            </w:tcBorders>
            <w:shd w:val="clear" w:color="auto" w:fill="auto"/>
            <w:noWrap/>
            <w:vAlign w:val="center"/>
            <w:hideMark/>
          </w:tcPr>
          <w:p w14:paraId="3D631F72"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r>
      <w:tr w:rsidR="0025528B" w:rsidRPr="005E2831" w14:paraId="4E152DCA" w14:textId="77777777" w:rsidTr="00AA0413">
        <w:trPr>
          <w:trHeight w:val="300"/>
        </w:trPr>
        <w:tc>
          <w:tcPr>
            <w:tcW w:w="988" w:type="dxa"/>
            <w:vMerge/>
            <w:tcBorders>
              <w:top w:val="nil"/>
              <w:left w:val="single" w:sz="4" w:space="0" w:color="auto"/>
              <w:bottom w:val="single" w:sz="4" w:space="0" w:color="auto"/>
              <w:right w:val="single" w:sz="4" w:space="0" w:color="auto"/>
            </w:tcBorders>
            <w:vAlign w:val="center"/>
            <w:hideMark/>
          </w:tcPr>
          <w:p w14:paraId="68E470BF"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190" w:type="dxa"/>
            <w:tcBorders>
              <w:top w:val="nil"/>
              <w:left w:val="nil"/>
              <w:bottom w:val="single" w:sz="4" w:space="0" w:color="auto"/>
              <w:right w:val="single" w:sz="4" w:space="0" w:color="auto"/>
            </w:tcBorders>
            <w:shd w:val="clear" w:color="auto" w:fill="00B050"/>
            <w:noWrap/>
            <w:vAlign w:val="center"/>
            <w:hideMark/>
          </w:tcPr>
          <w:p w14:paraId="1EC64BB2"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Dobry</w:t>
            </w:r>
          </w:p>
        </w:tc>
        <w:tc>
          <w:tcPr>
            <w:tcW w:w="715" w:type="dxa"/>
            <w:tcBorders>
              <w:top w:val="nil"/>
              <w:left w:val="nil"/>
              <w:bottom w:val="single" w:sz="4" w:space="0" w:color="auto"/>
              <w:right w:val="single" w:sz="4" w:space="0" w:color="auto"/>
            </w:tcBorders>
            <w:shd w:val="clear" w:color="auto" w:fill="auto"/>
            <w:noWrap/>
            <w:vAlign w:val="center"/>
            <w:hideMark/>
          </w:tcPr>
          <w:p w14:paraId="3852AC41"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692" w:type="dxa"/>
            <w:tcBorders>
              <w:top w:val="nil"/>
              <w:left w:val="nil"/>
              <w:bottom w:val="single" w:sz="4" w:space="0" w:color="auto"/>
              <w:right w:val="single" w:sz="4" w:space="0" w:color="auto"/>
            </w:tcBorders>
            <w:shd w:val="clear" w:color="auto" w:fill="auto"/>
            <w:noWrap/>
            <w:vAlign w:val="center"/>
            <w:hideMark/>
          </w:tcPr>
          <w:p w14:paraId="56A7031E"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2</w:t>
            </w:r>
          </w:p>
        </w:tc>
        <w:tc>
          <w:tcPr>
            <w:tcW w:w="889" w:type="dxa"/>
            <w:tcBorders>
              <w:top w:val="nil"/>
              <w:left w:val="nil"/>
              <w:bottom w:val="single" w:sz="4" w:space="0" w:color="auto"/>
              <w:right w:val="single" w:sz="4" w:space="0" w:color="auto"/>
            </w:tcBorders>
            <w:shd w:val="clear" w:color="auto" w:fill="auto"/>
            <w:noWrap/>
            <w:vAlign w:val="center"/>
            <w:hideMark/>
          </w:tcPr>
          <w:p w14:paraId="602F7701"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885" w:type="dxa"/>
            <w:tcBorders>
              <w:top w:val="nil"/>
              <w:left w:val="nil"/>
              <w:bottom w:val="single" w:sz="4" w:space="0" w:color="auto"/>
              <w:right w:val="single" w:sz="4" w:space="0" w:color="auto"/>
            </w:tcBorders>
            <w:shd w:val="clear" w:color="auto" w:fill="auto"/>
            <w:noWrap/>
            <w:vAlign w:val="center"/>
            <w:hideMark/>
          </w:tcPr>
          <w:p w14:paraId="17F54ACA"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879" w:type="dxa"/>
            <w:tcBorders>
              <w:top w:val="nil"/>
              <w:left w:val="nil"/>
              <w:bottom w:val="single" w:sz="4" w:space="0" w:color="auto"/>
              <w:right w:val="single" w:sz="4" w:space="0" w:color="auto"/>
            </w:tcBorders>
            <w:shd w:val="clear" w:color="auto" w:fill="auto"/>
            <w:noWrap/>
            <w:vAlign w:val="center"/>
            <w:hideMark/>
          </w:tcPr>
          <w:p w14:paraId="3842F0AA"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1900" w:type="dxa"/>
            <w:tcBorders>
              <w:top w:val="nil"/>
              <w:left w:val="nil"/>
              <w:bottom w:val="single" w:sz="4" w:space="0" w:color="auto"/>
              <w:right w:val="single" w:sz="4" w:space="0" w:color="auto"/>
            </w:tcBorders>
            <w:shd w:val="clear" w:color="auto" w:fill="auto"/>
            <w:noWrap/>
            <w:vAlign w:val="center"/>
            <w:hideMark/>
          </w:tcPr>
          <w:p w14:paraId="7B1775F5"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3</w:t>
            </w:r>
          </w:p>
        </w:tc>
      </w:tr>
      <w:tr w:rsidR="0025528B" w:rsidRPr="005E2831" w14:paraId="4E893879" w14:textId="77777777" w:rsidTr="000B66E0">
        <w:trPr>
          <w:trHeight w:val="300"/>
        </w:trPr>
        <w:tc>
          <w:tcPr>
            <w:tcW w:w="988" w:type="dxa"/>
            <w:vMerge/>
            <w:tcBorders>
              <w:top w:val="nil"/>
              <w:left w:val="single" w:sz="4" w:space="0" w:color="auto"/>
              <w:bottom w:val="single" w:sz="4" w:space="0" w:color="auto"/>
              <w:right w:val="single" w:sz="4" w:space="0" w:color="auto"/>
            </w:tcBorders>
            <w:vAlign w:val="center"/>
            <w:hideMark/>
          </w:tcPr>
          <w:p w14:paraId="1D8A8CE8"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190" w:type="dxa"/>
            <w:tcBorders>
              <w:top w:val="nil"/>
              <w:left w:val="nil"/>
              <w:bottom w:val="single" w:sz="4" w:space="0" w:color="auto"/>
              <w:right w:val="single" w:sz="4" w:space="0" w:color="auto"/>
            </w:tcBorders>
            <w:shd w:val="clear" w:color="auto" w:fill="FFFF00"/>
            <w:noWrap/>
            <w:vAlign w:val="center"/>
            <w:hideMark/>
          </w:tcPr>
          <w:p w14:paraId="674C50AF"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Umiarkowany</w:t>
            </w:r>
          </w:p>
        </w:tc>
        <w:tc>
          <w:tcPr>
            <w:tcW w:w="715" w:type="dxa"/>
            <w:tcBorders>
              <w:top w:val="nil"/>
              <w:left w:val="nil"/>
              <w:bottom w:val="single" w:sz="4" w:space="0" w:color="auto"/>
              <w:right w:val="single" w:sz="4" w:space="0" w:color="auto"/>
            </w:tcBorders>
            <w:shd w:val="clear" w:color="auto" w:fill="auto"/>
            <w:noWrap/>
            <w:vAlign w:val="center"/>
            <w:hideMark/>
          </w:tcPr>
          <w:p w14:paraId="75C03073"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1</w:t>
            </w:r>
          </w:p>
        </w:tc>
        <w:tc>
          <w:tcPr>
            <w:tcW w:w="692" w:type="dxa"/>
            <w:tcBorders>
              <w:top w:val="nil"/>
              <w:left w:val="nil"/>
              <w:bottom w:val="single" w:sz="4" w:space="0" w:color="auto"/>
              <w:right w:val="single" w:sz="4" w:space="0" w:color="auto"/>
            </w:tcBorders>
            <w:shd w:val="clear" w:color="auto" w:fill="auto"/>
            <w:noWrap/>
            <w:vAlign w:val="center"/>
            <w:hideMark/>
          </w:tcPr>
          <w:p w14:paraId="690F94AD"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2</w:t>
            </w:r>
          </w:p>
        </w:tc>
        <w:tc>
          <w:tcPr>
            <w:tcW w:w="889" w:type="dxa"/>
            <w:tcBorders>
              <w:top w:val="nil"/>
              <w:left w:val="nil"/>
              <w:bottom w:val="single" w:sz="4" w:space="0" w:color="auto"/>
              <w:right w:val="single" w:sz="4" w:space="0" w:color="auto"/>
            </w:tcBorders>
            <w:shd w:val="clear" w:color="auto" w:fill="auto"/>
            <w:noWrap/>
            <w:vAlign w:val="center"/>
            <w:hideMark/>
          </w:tcPr>
          <w:p w14:paraId="15C79614"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885" w:type="dxa"/>
            <w:tcBorders>
              <w:top w:val="nil"/>
              <w:left w:val="nil"/>
              <w:bottom w:val="single" w:sz="4" w:space="0" w:color="auto"/>
              <w:right w:val="single" w:sz="4" w:space="0" w:color="auto"/>
            </w:tcBorders>
            <w:shd w:val="clear" w:color="auto" w:fill="auto"/>
            <w:noWrap/>
            <w:vAlign w:val="center"/>
            <w:hideMark/>
          </w:tcPr>
          <w:p w14:paraId="24D53FF4"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879" w:type="dxa"/>
            <w:tcBorders>
              <w:top w:val="nil"/>
              <w:left w:val="nil"/>
              <w:bottom w:val="single" w:sz="4" w:space="0" w:color="auto"/>
              <w:right w:val="single" w:sz="4" w:space="0" w:color="auto"/>
            </w:tcBorders>
            <w:shd w:val="clear" w:color="auto" w:fill="auto"/>
            <w:noWrap/>
            <w:vAlign w:val="center"/>
            <w:hideMark/>
          </w:tcPr>
          <w:p w14:paraId="24034072"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1900" w:type="dxa"/>
            <w:tcBorders>
              <w:top w:val="nil"/>
              <w:left w:val="nil"/>
              <w:bottom w:val="single" w:sz="4" w:space="0" w:color="auto"/>
              <w:right w:val="single" w:sz="4" w:space="0" w:color="auto"/>
            </w:tcBorders>
            <w:shd w:val="clear" w:color="auto" w:fill="auto"/>
            <w:noWrap/>
            <w:vAlign w:val="center"/>
            <w:hideMark/>
          </w:tcPr>
          <w:p w14:paraId="2BCC0FDC"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3</w:t>
            </w:r>
          </w:p>
        </w:tc>
      </w:tr>
      <w:tr w:rsidR="0025528B" w:rsidRPr="005E2831" w14:paraId="4934FED0" w14:textId="77777777" w:rsidTr="00AA0413">
        <w:trPr>
          <w:trHeight w:val="300"/>
        </w:trPr>
        <w:tc>
          <w:tcPr>
            <w:tcW w:w="988" w:type="dxa"/>
            <w:vMerge/>
            <w:tcBorders>
              <w:top w:val="nil"/>
              <w:left w:val="single" w:sz="4" w:space="0" w:color="auto"/>
              <w:bottom w:val="single" w:sz="4" w:space="0" w:color="auto"/>
              <w:right w:val="single" w:sz="4" w:space="0" w:color="auto"/>
            </w:tcBorders>
            <w:vAlign w:val="center"/>
            <w:hideMark/>
          </w:tcPr>
          <w:p w14:paraId="014853BA"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190" w:type="dxa"/>
            <w:tcBorders>
              <w:top w:val="nil"/>
              <w:left w:val="nil"/>
              <w:bottom w:val="single" w:sz="4" w:space="0" w:color="auto"/>
              <w:right w:val="single" w:sz="4" w:space="0" w:color="auto"/>
            </w:tcBorders>
            <w:shd w:val="clear" w:color="auto" w:fill="FFC000"/>
            <w:noWrap/>
            <w:vAlign w:val="center"/>
            <w:hideMark/>
          </w:tcPr>
          <w:p w14:paraId="4EC0AAE9"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Słaby</w:t>
            </w:r>
          </w:p>
        </w:tc>
        <w:tc>
          <w:tcPr>
            <w:tcW w:w="715" w:type="dxa"/>
            <w:tcBorders>
              <w:top w:val="nil"/>
              <w:left w:val="nil"/>
              <w:bottom w:val="single" w:sz="4" w:space="0" w:color="auto"/>
              <w:right w:val="single" w:sz="4" w:space="0" w:color="auto"/>
            </w:tcBorders>
            <w:shd w:val="clear" w:color="auto" w:fill="auto"/>
            <w:noWrap/>
            <w:vAlign w:val="center"/>
            <w:hideMark/>
          </w:tcPr>
          <w:p w14:paraId="50698A28"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692" w:type="dxa"/>
            <w:tcBorders>
              <w:top w:val="nil"/>
              <w:left w:val="nil"/>
              <w:bottom w:val="single" w:sz="4" w:space="0" w:color="auto"/>
              <w:right w:val="single" w:sz="4" w:space="0" w:color="auto"/>
            </w:tcBorders>
            <w:shd w:val="clear" w:color="auto" w:fill="auto"/>
            <w:noWrap/>
            <w:vAlign w:val="center"/>
            <w:hideMark/>
          </w:tcPr>
          <w:p w14:paraId="7BE5F9D8"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1</w:t>
            </w:r>
          </w:p>
        </w:tc>
        <w:tc>
          <w:tcPr>
            <w:tcW w:w="889" w:type="dxa"/>
            <w:tcBorders>
              <w:top w:val="nil"/>
              <w:left w:val="nil"/>
              <w:bottom w:val="single" w:sz="4" w:space="0" w:color="auto"/>
              <w:right w:val="single" w:sz="4" w:space="0" w:color="auto"/>
            </w:tcBorders>
            <w:shd w:val="clear" w:color="auto" w:fill="auto"/>
            <w:noWrap/>
            <w:vAlign w:val="center"/>
            <w:hideMark/>
          </w:tcPr>
          <w:p w14:paraId="40AEC117"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885" w:type="dxa"/>
            <w:tcBorders>
              <w:top w:val="nil"/>
              <w:left w:val="nil"/>
              <w:bottom w:val="single" w:sz="4" w:space="0" w:color="auto"/>
              <w:right w:val="single" w:sz="4" w:space="0" w:color="auto"/>
            </w:tcBorders>
            <w:shd w:val="clear" w:color="auto" w:fill="auto"/>
            <w:noWrap/>
            <w:vAlign w:val="center"/>
            <w:hideMark/>
          </w:tcPr>
          <w:p w14:paraId="0B325F4F"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879" w:type="dxa"/>
            <w:tcBorders>
              <w:top w:val="nil"/>
              <w:left w:val="nil"/>
              <w:bottom w:val="single" w:sz="4" w:space="0" w:color="auto"/>
              <w:right w:val="single" w:sz="4" w:space="0" w:color="auto"/>
            </w:tcBorders>
            <w:shd w:val="clear" w:color="auto" w:fill="auto"/>
            <w:noWrap/>
            <w:vAlign w:val="center"/>
            <w:hideMark/>
          </w:tcPr>
          <w:p w14:paraId="267F05E9"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1900" w:type="dxa"/>
            <w:tcBorders>
              <w:top w:val="nil"/>
              <w:left w:val="nil"/>
              <w:bottom w:val="single" w:sz="4" w:space="0" w:color="auto"/>
              <w:right w:val="single" w:sz="4" w:space="0" w:color="auto"/>
            </w:tcBorders>
            <w:shd w:val="clear" w:color="auto" w:fill="auto"/>
            <w:noWrap/>
            <w:vAlign w:val="center"/>
            <w:hideMark/>
          </w:tcPr>
          <w:p w14:paraId="72127590"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1</w:t>
            </w:r>
          </w:p>
        </w:tc>
      </w:tr>
      <w:tr w:rsidR="0025528B" w:rsidRPr="005E2831" w14:paraId="74553214" w14:textId="77777777" w:rsidTr="00AA0413">
        <w:trPr>
          <w:trHeight w:val="300"/>
        </w:trPr>
        <w:tc>
          <w:tcPr>
            <w:tcW w:w="988" w:type="dxa"/>
            <w:vMerge/>
            <w:tcBorders>
              <w:top w:val="nil"/>
              <w:left w:val="single" w:sz="4" w:space="0" w:color="auto"/>
              <w:bottom w:val="single" w:sz="4" w:space="0" w:color="auto"/>
              <w:right w:val="single" w:sz="4" w:space="0" w:color="auto"/>
            </w:tcBorders>
            <w:vAlign w:val="center"/>
            <w:hideMark/>
          </w:tcPr>
          <w:p w14:paraId="112041D0"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190" w:type="dxa"/>
            <w:tcBorders>
              <w:top w:val="nil"/>
              <w:left w:val="nil"/>
              <w:bottom w:val="single" w:sz="4" w:space="0" w:color="auto"/>
              <w:right w:val="single" w:sz="4" w:space="0" w:color="auto"/>
            </w:tcBorders>
            <w:shd w:val="clear" w:color="auto" w:fill="FF0000"/>
            <w:noWrap/>
            <w:vAlign w:val="center"/>
            <w:hideMark/>
          </w:tcPr>
          <w:p w14:paraId="1D8990A5"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Zły</w:t>
            </w:r>
          </w:p>
        </w:tc>
        <w:tc>
          <w:tcPr>
            <w:tcW w:w="715" w:type="dxa"/>
            <w:tcBorders>
              <w:top w:val="nil"/>
              <w:left w:val="nil"/>
              <w:bottom w:val="single" w:sz="4" w:space="0" w:color="auto"/>
              <w:right w:val="single" w:sz="4" w:space="0" w:color="auto"/>
            </w:tcBorders>
            <w:shd w:val="clear" w:color="auto" w:fill="auto"/>
            <w:noWrap/>
            <w:vAlign w:val="center"/>
            <w:hideMark/>
          </w:tcPr>
          <w:p w14:paraId="417ED9BE"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692" w:type="dxa"/>
            <w:tcBorders>
              <w:top w:val="nil"/>
              <w:left w:val="nil"/>
              <w:bottom w:val="single" w:sz="4" w:space="0" w:color="auto"/>
              <w:right w:val="single" w:sz="4" w:space="0" w:color="auto"/>
            </w:tcBorders>
            <w:shd w:val="clear" w:color="auto" w:fill="auto"/>
            <w:noWrap/>
            <w:vAlign w:val="center"/>
            <w:hideMark/>
          </w:tcPr>
          <w:p w14:paraId="3A7412A9"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6</w:t>
            </w:r>
          </w:p>
        </w:tc>
        <w:tc>
          <w:tcPr>
            <w:tcW w:w="889" w:type="dxa"/>
            <w:tcBorders>
              <w:top w:val="nil"/>
              <w:left w:val="nil"/>
              <w:bottom w:val="single" w:sz="4" w:space="0" w:color="auto"/>
              <w:right w:val="single" w:sz="4" w:space="0" w:color="auto"/>
            </w:tcBorders>
            <w:shd w:val="clear" w:color="auto" w:fill="auto"/>
            <w:noWrap/>
            <w:vAlign w:val="center"/>
            <w:hideMark/>
          </w:tcPr>
          <w:p w14:paraId="11FC9F8F"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885" w:type="dxa"/>
            <w:tcBorders>
              <w:top w:val="nil"/>
              <w:left w:val="nil"/>
              <w:bottom w:val="single" w:sz="4" w:space="0" w:color="auto"/>
              <w:right w:val="single" w:sz="4" w:space="0" w:color="auto"/>
            </w:tcBorders>
            <w:shd w:val="clear" w:color="auto" w:fill="auto"/>
            <w:noWrap/>
            <w:vAlign w:val="center"/>
            <w:hideMark/>
          </w:tcPr>
          <w:p w14:paraId="2381F356"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879" w:type="dxa"/>
            <w:tcBorders>
              <w:top w:val="nil"/>
              <w:left w:val="nil"/>
              <w:bottom w:val="single" w:sz="4" w:space="0" w:color="auto"/>
              <w:right w:val="single" w:sz="4" w:space="0" w:color="auto"/>
            </w:tcBorders>
            <w:shd w:val="clear" w:color="auto" w:fill="auto"/>
            <w:noWrap/>
            <w:vAlign w:val="center"/>
            <w:hideMark/>
          </w:tcPr>
          <w:p w14:paraId="4B610189"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1900" w:type="dxa"/>
            <w:tcBorders>
              <w:top w:val="nil"/>
              <w:left w:val="nil"/>
              <w:bottom w:val="single" w:sz="4" w:space="0" w:color="auto"/>
              <w:right w:val="single" w:sz="4" w:space="0" w:color="auto"/>
            </w:tcBorders>
            <w:shd w:val="clear" w:color="auto" w:fill="auto"/>
            <w:noWrap/>
            <w:vAlign w:val="center"/>
            <w:hideMark/>
          </w:tcPr>
          <w:p w14:paraId="6384AFB2"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6</w:t>
            </w:r>
          </w:p>
        </w:tc>
      </w:tr>
      <w:tr w:rsidR="0025528B" w:rsidRPr="005E2831" w14:paraId="6B220034" w14:textId="77777777" w:rsidTr="0025528B">
        <w:trPr>
          <w:trHeight w:val="565"/>
        </w:trPr>
        <w:tc>
          <w:tcPr>
            <w:tcW w:w="988" w:type="dxa"/>
            <w:vMerge/>
            <w:tcBorders>
              <w:top w:val="nil"/>
              <w:left w:val="single" w:sz="4" w:space="0" w:color="auto"/>
              <w:bottom w:val="single" w:sz="4" w:space="0" w:color="auto"/>
              <w:right w:val="single" w:sz="4" w:space="0" w:color="auto"/>
            </w:tcBorders>
            <w:vAlign w:val="center"/>
            <w:hideMark/>
          </w:tcPr>
          <w:p w14:paraId="036F111F"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190" w:type="dxa"/>
            <w:tcBorders>
              <w:top w:val="nil"/>
              <w:left w:val="nil"/>
              <w:bottom w:val="single" w:sz="4" w:space="0" w:color="auto"/>
              <w:right w:val="single" w:sz="4" w:space="0" w:color="auto"/>
            </w:tcBorders>
            <w:shd w:val="clear" w:color="auto" w:fill="auto"/>
            <w:vAlign w:val="center"/>
            <w:hideMark/>
          </w:tcPr>
          <w:p w14:paraId="56F07C72"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 xml:space="preserve">Liczba ocenionych silnie zmienionych/sztucznych </w:t>
            </w:r>
            <w:proofErr w:type="spellStart"/>
            <w:r w:rsidRPr="006B711F">
              <w:rPr>
                <w:rFonts w:ascii="Times New Roman" w:eastAsia="Times New Roman" w:hAnsi="Times New Roman" w:cs="Times New Roman"/>
                <w:color w:val="000000"/>
                <w:sz w:val="18"/>
                <w:szCs w:val="18"/>
                <w:lang w:eastAsia="pl-PL"/>
              </w:rPr>
              <w:t>jcwp</w:t>
            </w:r>
            <w:proofErr w:type="spellEnd"/>
          </w:p>
        </w:tc>
        <w:tc>
          <w:tcPr>
            <w:tcW w:w="715" w:type="dxa"/>
            <w:tcBorders>
              <w:top w:val="nil"/>
              <w:left w:val="nil"/>
              <w:bottom w:val="single" w:sz="4" w:space="0" w:color="auto"/>
              <w:right w:val="single" w:sz="4" w:space="0" w:color="auto"/>
            </w:tcBorders>
            <w:shd w:val="clear" w:color="auto" w:fill="auto"/>
            <w:noWrap/>
            <w:vAlign w:val="center"/>
            <w:hideMark/>
          </w:tcPr>
          <w:p w14:paraId="62E3055E"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1</w:t>
            </w:r>
          </w:p>
        </w:tc>
        <w:tc>
          <w:tcPr>
            <w:tcW w:w="692" w:type="dxa"/>
            <w:tcBorders>
              <w:top w:val="nil"/>
              <w:left w:val="nil"/>
              <w:bottom w:val="single" w:sz="4" w:space="0" w:color="auto"/>
              <w:right w:val="single" w:sz="4" w:space="0" w:color="auto"/>
            </w:tcBorders>
            <w:shd w:val="clear" w:color="auto" w:fill="auto"/>
            <w:noWrap/>
            <w:vAlign w:val="center"/>
            <w:hideMark/>
          </w:tcPr>
          <w:p w14:paraId="3A51CCD4"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11</w:t>
            </w:r>
          </w:p>
        </w:tc>
        <w:tc>
          <w:tcPr>
            <w:tcW w:w="889" w:type="dxa"/>
            <w:tcBorders>
              <w:top w:val="nil"/>
              <w:left w:val="nil"/>
              <w:bottom w:val="single" w:sz="4" w:space="0" w:color="auto"/>
              <w:right w:val="single" w:sz="4" w:space="0" w:color="auto"/>
            </w:tcBorders>
            <w:shd w:val="clear" w:color="auto" w:fill="auto"/>
            <w:noWrap/>
            <w:vAlign w:val="center"/>
            <w:hideMark/>
          </w:tcPr>
          <w:p w14:paraId="6F2BA725"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885" w:type="dxa"/>
            <w:tcBorders>
              <w:top w:val="nil"/>
              <w:left w:val="nil"/>
              <w:bottom w:val="single" w:sz="4" w:space="0" w:color="auto"/>
              <w:right w:val="single" w:sz="4" w:space="0" w:color="auto"/>
            </w:tcBorders>
            <w:shd w:val="clear" w:color="auto" w:fill="auto"/>
            <w:noWrap/>
            <w:vAlign w:val="center"/>
            <w:hideMark/>
          </w:tcPr>
          <w:p w14:paraId="78B8373D"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879" w:type="dxa"/>
            <w:tcBorders>
              <w:top w:val="nil"/>
              <w:left w:val="nil"/>
              <w:bottom w:val="single" w:sz="4" w:space="0" w:color="auto"/>
              <w:right w:val="single" w:sz="4" w:space="0" w:color="auto"/>
            </w:tcBorders>
            <w:shd w:val="clear" w:color="auto" w:fill="auto"/>
            <w:noWrap/>
            <w:vAlign w:val="center"/>
            <w:hideMark/>
          </w:tcPr>
          <w:p w14:paraId="4E2C28A7"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1900" w:type="dxa"/>
            <w:tcBorders>
              <w:top w:val="nil"/>
              <w:left w:val="nil"/>
              <w:bottom w:val="single" w:sz="4" w:space="0" w:color="auto"/>
              <w:right w:val="single" w:sz="4" w:space="0" w:color="auto"/>
            </w:tcBorders>
            <w:shd w:val="clear" w:color="auto" w:fill="auto"/>
            <w:noWrap/>
            <w:vAlign w:val="center"/>
            <w:hideMark/>
          </w:tcPr>
          <w:p w14:paraId="0F207480"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13</w:t>
            </w:r>
          </w:p>
        </w:tc>
      </w:tr>
      <w:tr w:rsidR="0025528B" w:rsidRPr="005E2831" w14:paraId="1A78DC11" w14:textId="77777777" w:rsidTr="0025528B">
        <w:trPr>
          <w:trHeight w:val="300"/>
        </w:trPr>
        <w:tc>
          <w:tcPr>
            <w:tcW w:w="988"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126EC374"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Klasyfikacja</w:t>
            </w:r>
            <w:r w:rsidRPr="006B711F">
              <w:rPr>
                <w:rFonts w:ascii="Times New Roman" w:eastAsia="Times New Roman" w:hAnsi="Times New Roman" w:cs="Times New Roman"/>
                <w:color w:val="000000"/>
                <w:sz w:val="18"/>
                <w:szCs w:val="18"/>
                <w:lang w:eastAsia="pl-PL"/>
              </w:rPr>
              <w:br/>
              <w:t>stanu</w:t>
            </w:r>
            <w:r w:rsidRPr="006B711F">
              <w:rPr>
                <w:rFonts w:ascii="Times New Roman" w:eastAsia="Times New Roman" w:hAnsi="Times New Roman" w:cs="Times New Roman"/>
                <w:color w:val="000000"/>
                <w:sz w:val="18"/>
                <w:szCs w:val="18"/>
                <w:lang w:eastAsia="pl-PL"/>
              </w:rPr>
              <w:br/>
              <w:t>chemicznego</w:t>
            </w:r>
          </w:p>
        </w:tc>
        <w:tc>
          <w:tcPr>
            <w:tcW w:w="2190" w:type="dxa"/>
            <w:tcBorders>
              <w:top w:val="nil"/>
              <w:left w:val="nil"/>
              <w:bottom w:val="single" w:sz="4" w:space="0" w:color="auto"/>
              <w:right w:val="single" w:sz="4" w:space="0" w:color="auto"/>
            </w:tcBorders>
            <w:shd w:val="clear" w:color="000000" w:fill="00B0F0"/>
            <w:vAlign w:val="center"/>
            <w:hideMark/>
          </w:tcPr>
          <w:p w14:paraId="3E4CF6A8"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Dobry</w:t>
            </w:r>
          </w:p>
        </w:tc>
        <w:tc>
          <w:tcPr>
            <w:tcW w:w="715" w:type="dxa"/>
            <w:tcBorders>
              <w:top w:val="nil"/>
              <w:left w:val="nil"/>
              <w:bottom w:val="single" w:sz="4" w:space="0" w:color="auto"/>
              <w:right w:val="single" w:sz="4" w:space="0" w:color="auto"/>
            </w:tcBorders>
            <w:shd w:val="clear" w:color="auto" w:fill="auto"/>
            <w:noWrap/>
            <w:vAlign w:val="center"/>
            <w:hideMark/>
          </w:tcPr>
          <w:p w14:paraId="299F69BE"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19</w:t>
            </w:r>
          </w:p>
        </w:tc>
        <w:tc>
          <w:tcPr>
            <w:tcW w:w="692" w:type="dxa"/>
            <w:tcBorders>
              <w:top w:val="nil"/>
              <w:left w:val="nil"/>
              <w:bottom w:val="single" w:sz="4" w:space="0" w:color="auto"/>
              <w:right w:val="single" w:sz="4" w:space="0" w:color="auto"/>
            </w:tcBorders>
            <w:shd w:val="clear" w:color="auto" w:fill="auto"/>
            <w:noWrap/>
            <w:vAlign w:val="center"/>
            <w:hideMark/>
          </w:tcPr>
          <w:p w14:paraId="63A86847"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7</w:t>
            </w:r>
          </w:p>
        </w:tc>
        <w:tc>
          <w:tcPr>
            <w:tcW w:w="889" w:type="dxa"/>
            <w:tcBorders>
              <w:top w:val="nil"/>
              <w:left w:val="nil"/>
              <w:bottom w:val="single" w:sz="4" w:space="0" w:color="auto"/>
              <w:right w:val="single" w:sz="4" w:space="0" w:color="auto"/>
            </w:tcBorders>
            <w:shd w:val="clear" w:color="auto" w:fill="auto"/>
            <w:noWrap/>
            <w:vAlign w:val="center"/>
            <w:hideMark/>
          </w:tcPr>
          <w:p w14:paraId="4EB545DB"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885" w:type="dxa"/>
            <w:tcBorders>
              <w:top w:val="nil"/>
              <w:left w:val="nil"/>
              <w:bottom w:val="single" w:sz="4" w:space="0" w:color="auto"/>
              <w:right w:val="single" w:sz="4" w:space="0" w:color="auto"/>
            </w:tcBorders>
            <w:shd w:val="clear" w:color="auto" w:fill="auto"/>
            <w:noWrap/>
            <w:vAlign w:val="center"/>
            <w:hideMark/>
          </w:tcPr>
          <w:p w14:paraId="1B45C923"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9</w:t>
            </w:r>
          </w:p>
        </w:tc>
        <w:tc>
          <w:tcPr>
            <w:tcW w:w="879" w:type="dxa"/>
            <w:tcBorders>
              <w:top w:val="nil"/>
              <w:left w:val="nil"/>
              <w:bottom w:val="single" w:sz="4" w:space="0" w:color="auto"/>
              <w:right w:val="single" w:sz="4" w:space="0" w:color="auto"/>
            </w:tcBorders>
            <w:shd w:val="clear" w:color="auto" w:fill="auto"/>
            <w:noWrap/>
            <w:vAlign w:val="center"/>
            <w:hideMark/>
          </w:tcPr>
          <w:p w14:paraId="5F4210BD"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1900" w:type="dxa"/>
            <w:tcBorders>
              <w:top w:val="nil"/>
              <w:left w:val="nil"/>
              <w:bottom w:val="single" w:sz="4" w:space="0" w:color="auto"/>
              <w:right w:val="single" w:sz="4" w:space="0" w:color="auto"/>
            </w:tcBorders>
            <w:shd w:val="clear" w:color="auto" w:fill="auto"/>
            <w:noWrap/>
            <w:vAlign w:val="center"/>
            <w:hideMark/>
          </w:tcPr>
          <w:p w14:paraId="04891860"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35</w:t>
            </w:r>
          </w:p>
        </w:tc>
      </w:tr>
      <w:tr w:rsidR="0025528B" w:rsidRPr="005E2831" w14:paraId="14B06BB8" w14:textId="77777777" w:rsidTr="0025528B">
        <w:trPr>
          <w:trHeight w:val="480"/>
        </w:trPr>
        <w:tc>
          <w:tcPr>
            <w:tcW w:w="988" w:type="dxa"/>
            <w:vMerge/>
            <w:tcBorders>
              <w:top w:val="nil"/>
              <w:left w:val="single" w:sz="4" w:space="0" w:color="auto"/>
              <w:bottom w:val="single" w:sz="4" w:space="0" w:color="auto"/>
              <w:right w:val="single" w:sz="4" w:space="0" w:color="auto"/>
            </w:tcBorders>
            <w:vAlign w:val="center"/>
            <w:hideMark/>
          </w:tcPr>
          <w:p w14:paraId="299F2CB4"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190" w:type="dxa"/>
            <w:tcBorders>
              <w:top w:val="nil"/>
              <w:left w:val="nil"/>
              <w:bottom w:val="single" w:sz="4" w:space="0" w:color="auto"/>
              <w:right w:val="single" w:sz="4" w:space="0" w:color="auto"/>
            </w:tcBorders>
            <w:shd w:val="clear" w:color="000000" w:fill="FF0000"/>
            <w:vAlign w:val="center"/>
            <w:hideMark/>
          </w:tcPr>
          <w:p w14:paraId="5A82B587"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Poniżej dobrego</w:t>
            </w:r>
          </w:p>
        </w:tc>
        <w:tc>
          <w:tcPr>
            <w:tcW w:w="715" w:type="dxa"/>
            <w:tcBorders>
              <w:top w:val="nil"/>
              <w:left w:val="nil"/>
              <w:bottom w:val="single" w:sz="4" w:space="0" w:color="auto"/>
              <w:right w:val="single" w:sz="4" w:space="0" w:color="auto"/>
            </w:tcBorders>
            <w:shd w:val="clear" w:color="auto" w:fill="auto"/>
            <w:noWrap/>
            <w:vAlign w:val="center"/>
            <w:hideMark/>
          </w:tcPr>
          <w:p w14:paraId="637AE876"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96</w:t>
            </w:r>
          </w:p>
        </w:tc>
        <w:tc>
          <w:tcPr>
            <w:tcW w:w="692" w:type="dxa"/>
            <w:tcBorders>
              <w:top w:val="nil"/>
              <w:left w:val="nil"/>
              <w:bottom w:val="single" w:sz="4" w:space="0" w:color="auto"/>
              <w:right w:val="single" w:sz="4" w:space="0" w:color="auto"/>
            </w:tcBorders>
            <w:shd w:val="clear" w:color="auto" w:fill="auto"/>
            <w:noWrap/>
            <w:vAlign w:val="center"/>
            <w:hideMark/>
          </w:tcPr>
          <w:p w14:paraId="7D34F0B2"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53</w:t>
            </w:r>
          </w:p>
        </w:tc>
        <w:tc>
          <w:tcPr>
            <w:tcW w:w="889" w:type="dxa"/>
            <w:tcBorders>
              <w:top w:val="nil"/>
              <w:left w:val="nil"/>
              <w:bottom w:val="single" w:sz="4" w:space="0" w:color="auto"/>
              <w:right w:val="single" w:sz="4" w:space="0" w:color="auto"/>
            </w:tcBorders>
            <w:shd w:val="clear" w:color="auto" w:fill="auto"/>
            <w:noWrap/>
            <w:vAlign w:val="center"/>
            <w:hideMark/>
          </w:tcPr>
          <w:p w14:paraId="7302EA33"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885" w:type="dxa"/>
            <w:tcBorders>
              <w:top w:val="nil"/>
              <w:left w:val="nil"/>
              <w:bottom w:val="single" w:sz="4" w:space="0" w:color="auto"/>
              <w:right w:val="single" w:sz="4" w:space="0" w:color="auto"/>
            </w:tcBorders>
            <w:shd w:val="clear" w:color="auto" w:fill="auto"/>
            <w:noWrap/>
            <w:vAlign w:val="center"/>
            <w:hideMark/>
          </w:tcPr>
          <w:p w14:paraId="51DFAB60"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28</w:t>
            </w:r>
          </w:p>
        </w:tc>
        <w:tc>
          <w:tcPr>
            <w:tcW w:w="879" w:type="dxa"/>
            <w:tcBorders>
              <w:top w:val="nil"/>
              <w:left w:val="nil"/>
              <w:bottom w:val="single" w:sz="4" w:space="0" w:color="auto"/>
              <w:right w:val="single" w:sz="4" w:space="0" w:color="auto"/>
            </w:tcBorders>
            <w:shd w:val="clear" w:color="auto" w:fill="auto"/>
            <w:noWrap/>
            <w:vAlign w:val="center"/>
            <w:hideMark/>
          </w:tcPr>
          <w:p w14:paraId="0CBE5DAA"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1900" w:type="dxa"/>
            <w:tcBorders>
              <w:top w:val="nil"/>
              <w:left w:val="nil"/>
              <w:bottom w:val="single" w:sz="4" w:space="0" w:color="auto"/>
              <w:right w:val="single" w:sz="4" w:space="0" w:color="auto"/>
            </w:tcBorders>
            <w:shd w:val="clear" w:color="auto" w:fill="auto"/>
            <w:noWrap/>
            <w:vAlign w:val="center"/>
            <w:hideMark/>
          </w:tcPr>
          <w:p w14:paraId="7E1C09C9"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177</w:t>
            </w:r>
          </w:p>
        </w:tc>
      </w:tr>
      <w:tr w:rsidR="0025528B" w:rsidRPr="005E2831" w14:paraId="24B9B5A1" w14:textId="77777777" w:rsidTr="0025528B">
        <w:trPr>
          <w:trHeight w:val="346"/>
        </w:trPr>
        <w:tc>
          <w:tcPr>
            <w:tcW w:w="988" w:type="dxa"/>
            <w:vMerge/>
            <w:tcBorders>
              <w:top w:val="nil"/>
              <w:left w:val="single" w:sz="4" w:space="0" w:color="auto"/>
              <w:bottom w:val="single" w:sz="4" w:space="0" w:color="auto"/>
              <w:right w:val="single" w:sz="4" w:space="0" w:color="auto"/>
            </w:tcBorders>
            <w:vAlign w:val="center"/>
            <w:hideMark/>
          </w:tcPr>
          <w:p w14:paraId="4F212385"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190" w:type="dxa"/>
            <w:tcBorders>
              <w:top w:val="nil"/>
              <w:left w:val="nil"/>
              <w:bottom w:val="single" w:sz="4" w:space="0" w:color="auto"/>
              <w:right w:val="single" w:sz="4" w:space="0" w:color="auto"/>
            </w:tcBorders>
            <w:shd w:val="clear" w:color="auto" w:fill="auto"/>
            <w:vAlign w:val="center"/>
            <w:hideMark/>
          </w:tcPr>
          <w:p w14:paraId="455C8F91"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 xml:space="preserve">Liczba ocenionych </w:t>
            </w:r>
            <w:proofErr w:type="spellStart"/>
            <w:r w:rsidRPr="006B711F">
              <w:rPr>
                <w:rFonts w:ascii="Times New Roman" w:eastAsia="Times New Roman" w:hAnsi="Times New Roman" w:cs="Times New Roman"/>
                <w:color w:val="000000"/>
                <w:sz w:val="18"/>
                <w:szCs w:val="18"/>
                <w:lang w:eastAsia="pl-PL"/>
              </w:rPr>
              <w:t>jcwp</w:t>
            </w:r>
            <w:proofErr w:type="spellEnd"/>
          </w:p>
        </w:tc>
        <w:tc>
          <w:tcPr>
            <w:tcW w:w="715" w:type="dxa"/>
            <w:tcBorders>
              <w:top w:val="nil"/>
              <w:left w:val="nil"/>
              <w:bottom w:val="single" w:sz="4" w:space="0" w:color="auto"/>
              <w:right w:val="single" w:sz="4" w:space="0" w:color="auto"/>
            </w:tcBorders>
            <w:shd w:val="clear" w:color="auto" w:fill="auto"/>
            <w:noWrap/>
            <w:vAlign w:val="center"/>
            <w:hideMark/>
          </w:tcPr>
          <w:p w14:paraId="0AFC76E2"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115</w:t>
            </w:r>
          </w:p>
        </w:tc>
        <w:tc>
          <w:tcPr>
            <w:tcW w:w="692" w:type="dxa"/>
            <w:tcBorders>
              <w:top w:val="nil"/>
              <w:left w:val="nil"/>
              <w:bottom w:val="single" w:sz="4" w:space="0" w:color="auto"/>
              <w:right w:val="single" w:sz="4" w:space="0" w:color="auto"/>
            </w:tcBorders>
            <w:shd w:val="clear" w:color="auto" w:fill="auto"/>
            <w:noWrap/>
            <w:vAlign w:val="center"/>
            <w:hideMark/>
          </w:tcPr>
          <w:p w14:paraId="12698157"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60</w:t>
            </w:r>
          </w:p>
        </w:tc>
        <w:tc>
          <w:tcPr>
            <w:tcW w:w="889" w:type="dxa"/>
            <w:tcBorders>
              <w:top w:val="nil"/>
              <w:left w:val="nil"/>
              <w:bottom w:val="single" w:sz="4" w:space="0" w:color="auto"/>
              <w:right w:val="single" w:sz="4" w:space="0" w:color="auto"/>
            </w:tcBorders>
            <w:shd w:val="clear" w:color="auto" w:fill="auto"/>
            <w:noWrap/>
            <w:vAlign w:val="center"/>
            <w:hideMark/>
          </w:tcPr>
          <w:p w14:paraId="749393C9"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885" w:type="dxa"/>
            <w:tcBorders>
              <w:top w:val="nil"/>
              <w:left w:val="nil"/>
              <w:bottom w:val="single" w:sz="4" w:space="0" w:color="auto"/>
              <w:right w:val="single" w:sz="4" w:space="0" w:color="auto"/>
            </w:tcBorders>
            <w:shd w:val="clear" w:color="auto" w:fill="auto"/>
            <w:noWrap/>
            <w:vAlign w:val="center"/>
            <w:hideMark/>
          </w:tcPr>
          <w:p w14:paraId="5C99742A"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37</w:t>
            </w:r>
          </w:p>
        </w:tc>
        <w:tc>
          <w:tcPr>
            <w:tcW w:w="879" w:type="dxa"/>
            <w:tcBorders>
              <w:top w:val="nil"/>
              <w:left w:val="nil"/>
              <w:bottom w:val="single" w:sz="4" w:space="0" w:color="auto"/>
              <w:right w:val="single" w:sz="4" w:space="0" w:color="auto"/>
            </w:tcBorders>
            <w:shd w:val="clear" w:color="auto" w:fill="auto"/>
            <w:noWrap/>
            <w:vAlign w:val="center"/>
            <w:hideMark/>
          </w:tcPr>
          <w:p w14:paraId="060A49B3"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1900" w:type="dxa"/>
            <w:tcBorders>
              <w:top w:val="nil"/>
              <w:left w:val="nil"/>
              <w:bottom w:val="single" w:sz="4" w:space="0" w:color="auto"/>
              <w:right w:val="single" w:sz="4" w:space="0" w:color="auto"/>
            </w:tcBorders>
            <w:shd w:val="clear" w:color="auto" w:fill="auto"/>
            <w:noWrap/>
            <w:vAlign w:val="center"/>
            <w:hideMark/>
          </w:tcPr>
          <w:p w14:paraId="53BA14B8"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212</w:t>
            </w:r>
          </w:p>
        </w:tc>
      </w:tr>
      <w:tr w:rsidR="0025528B" w:rsidRPr="005E2831" w14:paraId="2D370914" w14:textId="77777777" w:rsidTr="0025528B">
        <w:trPr>
          <w:trHeight w:val="300"/>
        </w:trPr>
        <w:tc>
          <w:tcPr>
            <w:tcW w:w="988"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0379B2B7"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Ocena</w:t>
            </w:r>
            <w:r w:rsidRPr="006B711F">
              <w:rPr>
                <w:rFonts w:ascii="Times New Roman" w:eastAsia="Times New Roman" w:hAnsi="Times New Roman" w:cs="Times New Roman"/>
                <w:color w:val="000000"/>
                <w:sz w:val="18"/>
                <w:szCs w:val="18"/>
                <w:lang w:eastAsia="pl-PL"/>
              </w:rPr>
              <w:br/>
              <w:t>stanu</w:t>
            </w:r>
          </w:p>
        </w:tc>
        <w:tc>
          <w:tcPr>
            <w:tcW w:w="2190" w:type="dxa"/>
            <w:tcBorders>
              <w:top w:val="nil"/>
              <w:left w:val="nil"/>
              <w:bottom w:val="single" w:sz="4" w:space="0" w:color="auto"/>
              <w:right w:val="single" w:sz="4" w:space="0" w:color="auto"/>
            </w:tcBorders>
            <w:shd w:val="clear" w:color="000000" w:fill="00B0F0"/>
            <w:vAlign w:val="center"/>
            <w:hideMark/>
          </w:tcPr>
          <w:p w14:paraId="6EC9C60F"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Dobry</w:t>
            </w:r>
          </w:p>
        </w:tc>
        <w:tc>
          <w:tcPr>
            <w:tcW w:w="715" w:type="dxa"/>
            <w:tcBorders>
              <w:top w:val="nil"/>
              <w:left w:val="nil"/>
              <w:bottom w:val="single" w:sz="4" w:space="0" w:color="auto"/>
              <w:right w:val="single" w:sz="4" w:space="0" w:color="auto"/>
            </w:tcBorders>
            <w:shd w:val="clear" w:color="auto" w:fill="auto"/>
            <w:noWrap/>
            <w:vAlign w:val="center"/>
            <w:hideMark/>
          </w:tcPr>
          <w:p w14:paraId="4DC01466"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4</w:t>
            </w:r>
          </w:p>
        </w:tc>
        <w:tc>
          <w:tcPr>
            <w:tcW w:w="692" w:type="dxa"/>
            <w:tcBorders>
              <w:top w:val="nil"/>
              <w:left w:val="nil"/>
              <w:bottom w:val="single" w:sz="4" w:space="0" w:color="auto"/>
              <w:right w:val="single" w:sz="4" w:space="0" w:color="auto"/>
            </w:tcBorders>
            <w:shd w:val="clear" w:color="auto" w:fill="auto"/>
            <w:noWrap/>
            <w:vAlign w:val="center"/>
            <w:hideMark/>
          </w:tcPr>
          <w:p w14:paraId="5CDB7D12"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889" w:type="dxa"/>
            <w:tcBorders>
              <w:top w:val="nil"/>
              <w:left w:val="nil"/>
              <w:bottom w:val="single" w:sz="4" w:space="0" w:color="auto"/>
              <w:right w:val="single" w:sz="4" w:space="0" w:color="auto"/>
            </w:tcBorders>
            <w:shd w:val="clear" w:color="auto" w:fill="auto"/>
            <w:noWrap/>
            <w:vAlign w:val="center"/>
            <w:hideMark/>
          </w:tcPr>
          <w:p w14:paraId="6B5A0A95"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885" w:type="dxa"/>
            <w:tcBorders>
              <w:top w:val="nil"/>
              <w:left w:val="nil"/>
              <w:bottom w:val="single" w:sz="4" w:space="0" w:color="auto"/>
              <w:right w:val="single" w:sz="4" w:space="0" w:color="auto"/>
            </w:tcBorders>
            <w:shd w:val="clear" w:color="auto" w:fill="auto"/>
            <w:noWrap/>
            <w:vAlign w:val="center"/>
            <w:hideMark/>
          </w:tcPr>
          <w:p w14:paraId="7854D74F"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879" w:type="dxa"/>
            <w:tcBorders>
              <w:top w:val="nil"/>
              <w:left w:val="nil"/>
              <w:bottom w:val="single" w:sz="4" w:space="0" w:color="auto"/>
              <w:right w:val="single" w:sz="4" w:space="0" w:color="auto"/>
            </w:tcBorders>
            <w:shd w:val="clear" w:color="auto" w:fill="auto"/>
            <w:noWrap/>
            <w:vAlign w:val="center"/>
            <w:hideMark/>
          </w:tcPr>
          <w:p w14:paraId="69D4E22A"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1900" w:type="dxa"/>
            <w:tcBorders>
              <w:top w:val="nil"/>
              <w:left w:val="nil"/>
              <w:bottom w:val="single" w:sz="4" w:space="0" w:color="auto"/>
              <w:right w:val="single" w:sz="4" w:space="0" w:color="auto"/>
            </w:tcBorders>
            <w:shd w:val="clear" w:color="auto" w:fill="auto"/>
            <w:noWrap/>
            <w:vAlign w:val="center"/>
            <w:hideMark/>
          </w:tcPr>
          <w:p w14:paraId="26F557D3"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4</w:t>
            </w:r>
          </w:p>
        </w:tc>
      </w:tr>
      <w:tr w:rsidR="0025528B" w:rsidRPr="005E2831" w14:paraId="0027A31F" w14:textId="77777777" w:rsidTr="0025528B">
        <w:trPr>
          <w:trHeight w:val="300"/>
        </w:trPr>
        <w:tc>
          <w:tcPr>
            <w:tcW w:w="988" w:type="dxa"/>
            <w:vMerge/>
            <w:tcBorders>
              <w:top w:val="nil"/>
              <w:left w:val="single" w:sz="4" w:space="0" w:color="auto"/>
              <w:bottom w:val="single" w:sz="4" w:space="0" w:color="auto"/>
              <w:right w:val="single" w:sz="4" w:space="0" w:color="auto"/>
            </w:tcBorders>
            <w:vAlign w:val="center"/>
            <w:hideMark/>
          </w:tcPr>
          <w:p w14:paraId="33640C6C"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190" w:type="dxa"/>
            <w:tcBorders>
              <w:top w:val="nil"/>
              <w:left w:val="nil"/>
              <w:bottom w:val="single" w:sz="4" w:space="0" w:color="auto"/>
              <w:right w:val="single" w:sz="4" w:space="0" w:color="auto"/>
            </w:tcBorders>
            <w:shd w:val="clear" w:color="000000" w:fill="FF0000"/>
            <w:vAlign w:val="center"/>
            <w:hideMark/>
          </w:tcPr>
          <w:p w14:paraId="203D6201"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Zły</w:t>
            </w:r>
          </w:p>
        </w:tc>
        <w:tc>
          <w:tcPr>
            <w:tcW w:w="715" w:type="dxa"/>
            <w:tcBorders>
              <w:top w:val="nil"/>
              <w:left w:val="nil"/>
              <w:bottom w:val="single" w:sz="4" w:space="0" w:color="auto"/>
              <w:right w:val="single" w:sz="4" w:space="0" w:color="auto"/>
            </w:tcBorders>
            <w:shd w:val="clear" w:color="auto" w:fill="auto"/>
            <w:noWrap/>
            <w:vAlign w:val="center"/>
            <w:hideMark/>
          </w:tcPr>
          <w:p w14:paraId="6DE580E0"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112</w:t>
            </w:r>
          </w:p>
        </w:tc>
        <w:tc>
          <w:tcPr>
            <w:tcW w:w="692" w:type="dxa"/>
            <w:tcBorders>
              <w:top w:val="nil"/>
              <w:left w:val="nil"/>
              <w:bottom w:val="single" w:sz="4" w:space="0" w:color="auto"/>
              <w:right w:val="single" w:sz="4" w:space="0" w:color="auto"/>
            </w:tcBorders>
            <w:shd w:val="clear" w:color="auto" w:fill="auto"/>
            <w:noWrap/>
            <w:vAlign w:val="center"/>
            <w:hideMark/>
          </w:tcPr>
          <w:p w14:paraId="188DFA47"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63</w:t>
            </w:r>
          </w:p>
        </w:tc>
        <w:tc>
          <w:tcPr>
            <w:tcW w:w="889" w:type="dxa"/>
            <w:tcBorders>
              <w:top w:val="nil"/>
              <w:left w:val="nil"/>
              <w:bottom w:val="single" w:sz="4" w:space="0" w:color="auto"/>
              <w:right w:val="single" w:sz="4" w:space="0" w:color="auto"/>
            </w:tcBorders>
            <w:shd w:val="clear" w:color="auto" w:fill="auto"/>
            <w:noWrap/>
            <w:vAlign w:val="center"/>
            <w:hideMark/>
          </w:tcPr>
          <w:p w14:paraId="19C734A9"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885" w:type="dxa"/>
            <w:tcBorders>
              <w:top w:val="nil"/>
              <w:left w:val="nil"/>
              <w:bottom w:val="single" w:sz="4" w:space="0" w:color="auto"/>
              <w:right w:val="single" w:sz="4" w:space="0" w:color="auto"/>
            </w:tcBorders>
            <w:shd w:val="clear" w:color="auto" w:fill="auto"/>
            <w:noWrap/>
            <w:vAlign w:val="center"/>
            <w:hideMark/>
          </w:tcPr>
          <w:p w14:paraId="0A3BFA16"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40</w:t>
            </w:r>
          </w:p>
        </w:tc>
        <w:tc>
          <w:tcPr>
            <w:tcW w:w="879" w:type="dxa"/>
            <w:tcBorders>
              <w:top w:val="nil"/>
              <w:left w:val="nil"/>
              <w:bottom w:val="single" w:sz="4" w:space="0" w:color="auto"/>
              <w:right w:val="single" w:sz="4" w:space="0" w:color="auto"/>
            </w:tcBorders>
            <w:shd w:val="clear" w:color="auto" w:fill="auto"/>
            <w:noWrap/>
            <w:vAlign w:val="center"/>
            <w:hideMark/>
          </w:tcPr>
          <w:p w14:paraId="39F5C46E"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1900" w:type="dxa"/>
            <w:tcBorders>
              <w:top w:val="nil"/>
              <w:left w:val="nil"/>
              <w:bottom w:val="single" w:sz="4" w:space="0" w:color="auto"/>
              <w:right w:val="single" w:sz="4" w:space="0" w:color="auto"/>
            </w:tcBorders>
            <w:shd w:val="clear" w:color="auto" w:fill="auto"/>
            <w:noWrap/>
            <w:vAlign w:val="center"/>
            <w:hideMark/>
          </w:tcPr>
          <w:p w14:paraId="247D90C5"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215</w:t>
            </w:r>
          </w:p>
        </w:tc>
      </w:tr>
      <w:tr w:rsidR="0025528B" w:rsidRPr="005E2831" w14:paraId="6C31A354" w14:textId="77777777" w:rsidTr="0025528B">
        <w:trPr>
          <w:trHeight w:val="256"/>
        </w:trPr>
        <w:tc>
          <w:tcPr>
            <w:tcW w:w="988" w:type="dxa"/>
            <w:vMerge/>
            <w:tcBorders>
              <w:top w:val="nil"/>
              <w:left w:val="single" w:sz="4" w:space="0" w:color="auto"/>
              <w:bottom w:val="single" w:sz="4" w:space="0" w:color="auto"/>
              <w:right w:val="single" w:sz="4" w:space="0" w:color="auto"/>
            </w:tcBorders>
            <w:vAlign w:val="center"/>
            <w:hideMark/>
          </w:tcPr>
          <w:p w14:paraId="0BA98FAB"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190" w:type="dxa"/>
            <w:tcBorders>
              <w:top w:val="nil"/>
              <w:left w:val="nil"/>
              <w:bottom w:val="single" w:sz="4" w:space="0" w:color="auto"/>
              <w:right w:val="single" w:sz="4" w:space="0" w:color="auto"/>
            </w:tcBorders>
            <w:shd w:val="clear" w:color="auto" w:fill="auto"/>
            <w:vAlign w:val="center"/>
            <w:hideMark/>
          </w:tcPr>
          <w:p w14:paraId="02F93778"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 xml:space="preserve">Liczba ocenionych </w:t>
            </w:r>
            <w:proofErr w:type="spellStart"/>
            <w:r w:rsidRPr="006B711F">
              <w:rPr>
                <w:rFonts w:ascii="Times New Roman" w:eastAsia="Times New Roman" w:hAnsi="Times New Roman" w:cs="Times New Roman"/>
                <w:color w:val="000000"/>
                <w:sz w:val="18"/>
                <w:szCs w:val="18"/>
                <w:lang w:eastAsia="pl-PL"/>
              </w:rPr>
              <w:t>jcwp</w:t>
            </w:r>
            <w:proofErr w:type="spellEnd"/>
          </w:p>
        </w:tc>
        <w:tc>
          <w:tcPr>
            <w:tcW w:w="715" w:type="dxa"/>
            <w:tcBorders>
              <w:top w:val="nil"/>
              <w:left w:val="nil"/>
              <w:bottom w:val="single" w:sz="4" w:space="0" w:color="auto"/>
              <w:right w:val="single" w:sz="4" w:space="0" w:color="auto"/>
            </w:tcBorders>
            <w:shd w:val="clear" w:color="auto" w:fill="auto"/>
            <w:noWrap/>
            <w:vAlign w:val="center"/>
            <w:hideMark/>
          </w:tcPr>
          <w:p w14:paraId="2DD195C2"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116</w:t>
            </w:r>
          </w:p>
        </w:tc>
        <w:tc>
          <w:tcPr>
            <w:tcW w:w="692" w:type="dxa"/>
            <w:tcBorders>
              <w:top w:val="nil"/>
              <w:left w:val="nil"/>
              <w:bottom w:val="single" w:sz="4" w:space="0" w:color="auto"/>
              <w:right w:val="single" w:sz="4" w:space="0" w:color="auto"/>
            </w:tcBorders>
            <w:shd w:val="clear" w:color="auto" w:fill="auto"/>
            <w:noWrap/>
            <w:vAlign w:val="center"/>
            <w:hideMark/>
          </w:tcPr>
          <w:p w14:paraId="5C6AED46"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63</w:t>
            </w:r>
          </w:p>
        </w:tc>
        <w:tc>
          <w:tcPr>
            <w:tcW w:w="889" w:type="dxa"/>
            <w:tcBorders>
              <w:top w:val="nil"/>
              <w:left w:val="nil"/>
              <w:bottom w:val="single" w:sz="4" w:space="0" w:color="auto"/>
              <w:right w:val="single" w:sz="4" w:space="0" w:color="auto"/>
            </w:tcBorders>
            <w:shd w:val="clear" w:color="auto" w:fill="auto"/>
            <w:noWrap/>
            <w:vAlign w:val="center"/>
            <w:hideMark/>
          </w:tcPr>
          <w:p w14:paraId="0D1D906B"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885" w:type="dxa"/>
            <w:tcBorders>
              <w:top w:val="nil"/>
              <w:left w:val="nil"/>
              <w:bottom w:val="single" w:sz="4" w:space="0" w:color="auto"/>
              <w:right w:val="single" w:sz="4" w:space="0" w:color="auto"/>
            </w:tcBorders>
            <w:shd w:val="clear" w:color="auto" w:fill="auto"/>
            <w:noWrap/>
            <w:vAlign w:val="center"/>
            <w:hideMark/>
          </w:tcPr>
          <w:p w14:paraId="423A0142"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40</w:t>
            </w:r>
          </w:p>
        </w:tc>
        <w:tc>
          <w:tcPr>
            <w:tcW w:w="879" w:type="dxa"/>
            <w:tcBorders>
              <w:top w:val="nil"/>
              <w:left w:val="nil"/>
              <w:bottom w:val="single" w:sz="4" w:space="0" w:color="auto"/>
              <w:right w:val="single" w:sz="4" w:space="0" w:color="auto"/>
            </w:tcBorders>
            <w:shd w:val="clear" w:color="auto" w:fill="auto"/>
            <w:noWrap/>
            <w:vAlign w:val="center"/>
            <w:hideMark/>
          </w:tcPr>
          <w:p w14:paraId="464F1725"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0</w:t>
            </w:r>
          </w:p>
        </w:tc>
        <w:tc>
          <w:tcPr>
            <w:tcW w:w="1900" w:type="dxa"/>
            <w:tcBorders>
              <w:top w:val="nil"/>
              <w:left w:val="nil"/>
              <w:bottom w:val="single" w:sz="4" w:space="0" w:color="auto"/>
              <w:right w:val="single" w:sz="4" w:space="0" w:color="auto"/>
            </w:tcBorders>
            <w:shd w:val="clear" w:color="auto" w:fill="auto"/>
            <w:noWrap/>
            <w:vAlign w:val="center"/>
            <w:hideMark/>
          </w:tcPr>
          <w:p w14:paraId="6337BBEF" w14:textId="77777777" w:rsidR="0025528B" w:rsidRPr="006B711F"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6B711F">
              <w:rPr>
                <w:rFonts w:ascii="Times New Roman" w:eastAsia="Times New Roman" w:hAnsi="Times New Roman" w:cs="Times New Roman"/>
                <w:color w:val="000000"/>
                <w:sz w:val="18"/>
                <w:szCs w:val="18"/>
                <w:lang w:eastAsia="pl-PL"/>
              </w:rPr>
              <w:t>219</w:t>
            </w:r>
          </w:p>
        </w:tc>
      </w:tr>
    </w:tbl>
    <w:p w14:paraId="7BC755F2" w14:textId="62C751AF" w:rsidR="0025528B" w:rsidRPr="005E2831" w:rsidRDefault="0025528B" w:rsidP="004E37F6">
      <w:pPr>
        <w:spacing w:after="60" w:line="300" w:lineRule="atLeast"/>
        <w:jc w:val="both"/>
        <w:rPr>
          <w:rFonts w:ascii="Times New Roman" w:hAnsi="Times New Roman" w:cs="Times New Roman"/>
          <w:sz w:val="24"/>
          <w:szCs w:val="24"/>
        </w:rPr>
      </w:pPr>
      <w:r w:rsidRPr="005E2831">
        <w:rPr>
          <w:rFonts w:ascii="Times New Roman" w:hAnsi="Times New Roman" w:cs="Times New Roman"/>
        </w:rPr>
        <w:fldChar w:fldCharType="end"/>
      </w:r>
      <w:r>
        <w:rPr>
          <w:rFonts w:ascii="Times New Roman" w:hAnsi="Times New Roman" w:cs="Times New Roman"/>
        </w:rPr>
        <w:tab/>
      </w:r>
      <w:r w:rsidRPr="005E2831">
        <w:rPr>
          <w:rFonts w:ascii="Times New Roman" w:hAnsi="Times New Roman" w:cs="Times New Roman"/>
          <w:sz w:val="24"/>
          <w:szCs w:val="24"/>
        </w:rPr>
        <w:t xml:space="preserve"> </w:t>
      </w:r>
    </w:p>
    <w:p w14:paraId="29391921" w14:textId="77777777" w:rsidR="0025528B" w:rsidRPr="005E2831" w:rsidRDefault="0025528B" w:rsidP="0025528B">
      <w:pPr>
        <w:spacing w:after="60" w:line="300" w:lineRule="atLeast"/>
        <w:ind w:firstLine="708"/>
        <w:jc w:val="both"/>
        <w:rPr>
          <w:rFonts w:ascii="Times New Roman" w:hAnsi="Times New Roman" w:cs="Times New Roman"/>
          <w:sz w:val="24"/>
          <w:szCs w:val="24"/>
        </w:rPr>
      </w:pPr>
      <w:r w:rsidRPr="005E2831">
        <w:rPr>
          <w:rFonts w:ascii="Times New Roman" w:hAnsi="Times New Roman" w:cs="Times New Roman"/>
          <w:sz w:val="24"/>
          <w:szCs w:val="24"/>
        </w:rPr>
        <w:t xml:space="preserve">Ocena stanu wykonana metodą przeniesienia wykonana została dla 219 </w:t>
      </w:r>
      <w:proofErr w:type="spellStart"/>
      <w:r w:rsidRPr="005E2831">
        <w:rPr>
          <w:rFonts w:ascii="Times New Roman" w:hAnsi="Times New Roman" w:cs="Times New Roman"/>
          <w:sz w:val="24"/>
          <w:szCs w:val="24"/>
        </w:rPr>
        <w:t>jcwp</w:t>
      </w:r>
      <w:proofErr w:type="spellEnd"/>
      <w:r w:rsidRPr="005E2831">
        <w:rPr>
          <w:rFonts w:ascii="Times New Roman" w:hAnsi="Times New Roman" w:cs="Times New Roman"/>
          <w:sz w:val="24"/>
          <w:szCs w:val="24"/>
        </w:rPr>
        <w:t xml:space="preserve">, wykazała ona, iż zły stan wód odnotowano w 98,2%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jeziornych.</w:t>
      </w:r>
    </w:p>
    <w:p w14:paraId="0E85D657" w14:textId="553C7F9B" w:rsidR="0025528B" w:rsidRDefault="0025528B" w:rsidP="0025528B">
      <w:pPr>
        <w:spacing w:after="60" w:line="300" w:lineRule="atLeast"/>
        <w:ind w:firstLine="709"/>
        <w:jc w:val="both"/>
        <w:rPr>
          <w:rFonts w:ascii="Times New Roman" w:hAnsi="Times New Roman" w:cs="Times New Roman"/>
          <w:sz w:val="24"/>
          <w:szCs w:val="24"/>
        </w:rPr>
      </w:pPr>
      <w:r w:rsidRPr="005E2831">
        <w:rPr>
          <w:rFonts w:ascii="Times New Roman" w:hAnsi="Times New Roman" w:cs="Times New Roman"/>
          <w:sz w:val="24"/>
          <w:szCs w:val="24"/>
        </w:rPr>
        <w:t xml:space="preserve">Statystyczne podsumowanie klasyfikacji i oceny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jeziornych dokonanej zarówno na podstawie monitoringu</w:t>
      </w:r>
      <w:r>
        <w:rPr>
          <w:rFonts w:ascii="Times New Roman" w:hAnsi="Times New Roman" w:cs="Times New Roman"/>
          <w:sz w:val="24"/>
          <w:szCs w:val="24"/>
        </w:rPr>
        <w:t>,</w:t>
      </w:r>
      <w:r w:rsidRPr="005E2831">
        <w:rPr>
          <w:rFonts w:ascii="Times New Roman" w:hAnsi="Times New Roman" w:cs="Times New Roman"/>
          <w:sz w:val="24"/>
          <w:szCs w:val="24"/>
        </w:rPr>
        <w:t xml:space="preserve"> jak i metodą przeniesienia przedstawiono w tabeli </w:t>
      </w:r>
      <w:r w:rsidR="00406CC6">
        <w:rPr>
          <w:rFonts w:ascii="Times New Roman" w:hAnsi="Times New Roman" w:cs="Times New Roman"/>
          <w:sz w:val="24"/>
          <w:szCs w:val="24"/>
        </w:rPr>
        <w:t>28</w:t>
      </w:r>
      <w:r w:rsidRPr="005E2831">
        <w:rPr>
          <w:rFonts w:ascii="Times New Roman" w:hAnsi="Times New Roman" w:cs="Times New Roman"/>
          <w:sz w:val="24"/>
          <w:szCs w:val="24"/>
        </w:rPr>
        <w:t xml:space="preserve">. Uwzględniono przy tym podział na dorzecza, a także wskazano łączną liczbę klasyfikowanych i ocenianych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hAnsi="Times New Roman" w:cs="Times New Roman"/>
          <w:sz w:val="24"/>
          <w:szCs w:val="24"/>
        </w:rPr>
        <w:t xml:space="preserve">. Liczba niesklasyfikowanych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oznacza w tym przypadku liczbę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hAnsi="Times New Roman" w:cs="Times New Roman"/>
          <w:sz w:val="24"/>
          <w:szCs w:val="24"/>
        </w:rPr>
        <w:t>, dla których badania monitoringowe nie były wystarczające do przeprowadzenia klasyfikacji stanu/potencjału ekologicznego lub stanu chemicznego oraz dla których pomimo tego możliwa była ocena stanu.</w:t>
      </w:r>
    </w:p>
    <w:p w14:paraId="3F7C88CB" w14:textId="2929B131" w:rsidR="00F27A74" w:rsidRDefault="00F27A74">
      <w:pPr>
        <w:rPr>
          <w:rFonts w:ascii="Times New Roman" w:hAnsi="Times New Roman" w:cs="Times New Roman"/>
          <w:sz w:val="24"/>
          <w:szCs w:val="24"/>
        </w:rPr>
      </w:pPr>
      <w:r>
        <w:rPr>
          <w:rFonts w:ascii="Times New Roman" w:hAnsi="Times New Roman" w:cs="Times New Roman"/>
          <w:sz w:val="24"/>
          <w:szCs w:val="24"/>
        </w:rPr>
        <w:br w:type="page"/>
      </w:r>
    </w:p>
    <w:p w14:paraId="2798AEA3" w14:textId="7A2E35DA" w:rsidR="0025528B" w:rsidRPr="005E2831" w:rsidRDefault="0025528B" w:rsidP="0025528B">
      <w:pPr>
        <w:spacing w:after="60" w:line="300" w:lineRule="atLeast"/>
        <w:jc w:val="both"/>
        <w:rPr>
          <w:rFonts w:ascii="Times New Roman" w:hAnsi="Times New Roman" w:cs="Times New Roman"/>
          <w:b/>
        </w:rPr>
      </w:pPr>
      <w:r w:rsidRPr="005E2831">
        <w:rPr>
          <w:rFonts w:ascii="Times New Roman" w:hAnsi="Times New Roman" w:cs="Times New Roman"/>
          <w:b/>
        </w:rPr>
        <w:lastRenderedPageBreak/>
        <w:t xml:space="preserve">Tabela </w:t>
      </w:r>
      <w:r w:rsidR="001D61F0">
        <w:rPr>
          <w:rFonts w:ascii="Times New Roman" w:hAnsi="Times New Roman" w:cs="Times New Roman"/>
          <w:b/>
        </w:rPr>
        <w:t>28</w:t>
      </w:r>
      <w:r w:rsidRPr="005E2831">
        <w:rPr>
          <w:rFonts w:ascii="Times New Roman" w:hAnsi="Times New Roman" w:cs="Times New Roman"/>
          <w:b/>
        </w:rPr>
        <w:t>. Podsumowanie statystyczne klasyfikacji i oceny jednolitych części wód jeziornych dokonanej za 2021 rok na podstawie monitoringu oraz metodą przeniesienia, w podziale na</w:t>
      </w:r>
      <w:r>
        <w:rPr>
          <w:rFonts w:ascii="Times New Roman" w:hAnsi="Times New Roman" w:cs="Times New Roman"/>
          <w:b/>
        </w:rPr>
        <w:t> </w:t>
      </w:r>
      <w:r w:rsidRPr="005E2831">
        <w:rPr>
          <w:rFonts w:ascii="Times New Roman" w:hAnsi="Times New Roman" w:cs="Times New Roman"/>
          <w:b/>
        </w:rPr>
        <w:t>dorzecza</w:t>
      </w:r>
      <w:r w:rsidRPr="005E2831">
        <w:rPr>
          <w:rFonts w:ascii="Times New Roman" w:hAnsi="Times New Roman" w:cs="Times New Roman"/>
          <w:lang w:eastAsia="pl-PL"/>
        </w:rPr>
        <w:fldChar w:fldCharType="begin"/>
      </w:r>
      <w:r w:rsidRPr="005E2831">
        <w:rPr>
          <w:rFonts w:ascii="Times New Roman" w:hAnsi="Times New Roman" w:cs="Times New Roman"/>
          <w:lang w:eastAsia="pl-PL"/>
        </w:rPr>
        <w:instrText xml:space="preserve"> LINK Excel.Sheet.12 "\\\\192.168.0.240\\dm\\Katalog DM\\WODY\\SPRAWOZDANIA Z DZIALALNOSCI\\SPRAWOZDANIE ZA 2022\\Tabele ocenowe do sprawozdania.xlsx" "LW monitoring + przeniesienie!W5K1:W25K8" \a \f 4 \h  \* MERGEFORMAT </w:instrText>
      </w:r>
      <w:r w:rsidRPr="005E2831">
        <w:rPr>
          <w:rFonts w:ascii="Times New Roman" w:hAnsi="Times New Roman" w:cs="Times New Roman"/>
          <w:lang w:eastAsia="pl-PL"/>
        </w:rPr>
        <w:fldChar w:fldCharType="separate"/>
      </w:r>
    </w:p>
    <w:tbl>
      <w:tblPr>
        <w:tblpPr w:leftFromText="141" w:rightFromText="141" w:vertAnchor="text" w:tblpXSpec="center" w:tblpY="1"/>
        <w:tblOverlap w:val="never"/>
        <w:tblW w:w="9067" w:type="dxa"/>
        <w:tblCellMar>
          <w:left w:w="70" w:type="dxa"/>
          <w:right w:w="70" w:type="dxa"/>
        </w:tblCellMar>
        <w:tblLook w:val="04A0" w:firstRow="1" w:lastRow="0" w:firstColumn="1" w:lastColumn="0" w:noHBand="0" w:noVBand="1"/>
      </w:tblPr>
      <w:tblGrid>
        <w:gridCol w:w="845"/>
        <w:gridCol w:w="2042"/>
        <w:gridCol w:w="726"/>
        <w:gridCol w:w="835"/>
        <w:gridCol w:w="881"/>
        <w:gridCol w:w="877"/>
        <w:gridCol w:w="870"/>
        <w:gridCol w:w="2048"/>
      </w:tblGrid>
      <w:tr w:rsidR="0025528B" w:rsidRPr="005E2831" w14:paraId="4C5D2753" w14:textId="77777777" w:rsidTr="0025528B">
        <w:trPr>
          <w:trHeight w:val="450"/>
        </w:trPr>
        <w:tc>
          <w:tcPr>
            <w:tcW w:w="2830" w:type="dxa"/>
            <w:gridSpan w:val="2"/>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2770635B"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Oceny jednolitych części wód powierzchniowych jeziornych</w:t>
            </w:r>
          </w:p>
        </w:tc>
        <w:tc>
          <w:tcPr>
            <w:tcW w:w="4189" w:type="dxa"/>
            <w:gridSpan w:val="5"/>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1DA0601E"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Dorzecze</w:t>
            </w:r>
          </w:p>
        </w:tc>
        <w:tc>
          <w:tcPr>
            <w:tcW w:w="2048"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2C94325F"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Łącznie</w:t>
            </w:r>
          </w:p>
        </w:tc>
      </w:tr>
      <w:tr w:rsidR="0025528B" w:rsidRPr="005E2831" w14:paraId="7FC110ED" w14:textId="77777777" w:rsidTr="0025528B">
        <w:trPr>
          <w:trHeight w:val="450"/>
        </w:trPr>
        <w:tc>
          <w:tcPr>
            <w:tcW w:w="2830" w:type="dxa"/>
            <w:gridSpan w:val="2"/>
            <w:vMerge/>
            <w:tcBorders>
              <w:top w:val="single" w:sz="4" w:space="0" w:color="auto"/>
              <w:left w:val="single" w:sz="4" w:space="0" w:color="auto"/>
              <w:bottom w:val="single" w:sz="4" w:space="0" w:color="auto"/>
              <w:right w:val="single" w:sz="4" w:space="0" w:color="auto"/>
            </w:tcBorders>
            <w:vAlign w:val="center"/>
            <w:hideMark/>
          </w:tcPr>
          <w:p w14:paraId="2CBA7990"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4189" w:type="dxa"/>
            <w:gridSpan w:val="5"/>
            <w:vMerge/>
            <w:tcBorders>
              <w:top w:val="single" w:sz="4" w:space="0" w:color="auto"/>
              <w:left w:val="single" w:sz="4" w:space="0" w:color="auto"/>
              <w:bottom w:val="single" w:sz="4" w:space="0" w:color="auto"/>
              <w:right w:val="single" w:sz="4" w:space="0" w:color="auto"/>
            </w:tcBorders>
            <w:vAlign w:val="center"/>
            <w:hideMark/>
          </w:tcPr>
          <w:p w14:paraId="08D65E0F"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048" w:type="dxa"/>
            <w:vMerge/>
            <w:tcBorders>
              <w:top w:val="single" w:sz="4" w:space="0" w:color="auto"/>
              <w:left w:val="single" w:sz="4" w:space="0" w:color="auto"/>
              <w:bottom w:val="single" w:sz="4" w:space="0" w:color="auto"/>
              <w:right w:val="single" w:sz="4" w:space="0" w:color="auto"/>
            </w:tcBorders>
            <w:vAlign w:val="center"/>
            <w:hideMark/>
          </w:tcPr>
          <w:p w14:paraId="22E329A3"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r>
      <w:tr w:rsidR="0025528B" w:rsidRPr="005E2831" w14:paraId="60760527" w14:textId="77777777" w:rsidTr="0025528B">
        <w:trPr>
          <w:trHeight w:val="300"/>
        </w:trPr>
        <w:tc>
          <w:tcPr>
            <w:tcW w:w="2830" w:type="dxa"/>
            <w:gridSpan w:val="2"/>
            <w:vMerge/>
            <w:tcBorders>
              <w:top w:val="single" w:sz="4" w:space="0" w:color="auto"/>
              <w:left w:val="single" w:sz="4" w:space="0" w:color="auto"/>
              <w:bottom w:val="single" w:sz="4" w:space="0" w:color="auto"/>
              <w:right w:val="single" w:sz="4" w:space="0" w:color="auto"/>
            </w:tcBorders>
            <w:vAlign w:val="center"/>
            <w:hideMark/>
          </w:tcPr>
          <w:p w14:paraId="2CB35593"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726" w:type="dxa"/>
            <w:tcBorders>
              <w:top w:val="nil"/>
              <w:left w:val="nil"/>
              <w:bottom w:val="single" w:sz="4" w:space="0" w:color="auto"/>
              <w:right w:val="single" w:sz="4" w:space="0" w:color="auto"/>
            </w:tcBorders>
            <w:shd w:val="clear" w:color="000000" w:fill="BFBFBF"/>
            <w:vAlign w:val="center"/>
            <w:hideMark/>
          </w:tcPr>
          <w:p w14:paraId="76E6BD71"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Wisła</w:t>
            </w:r>
          </w:p>
        </w:tc>
        <w:tc>
          <w:tcPr>
            <w:tcW w:w="835" w:type="dxa"/>
            <w:tcBorders>
              <w:top w:val="nil"/>
              <w:left w:val="nil"/>
              <w:bottom w:val="single" w:sz="4" w:space="0" w:color="auto"/>
              <w:right w:val="single" w:sz="4" w:space="0" w:color="auto"/>
            </w:tcBorders>
            <w:shd w:val="clear" w:color="000000" w:fill="BFBFBF"/>
            <w:vAlign w:val="center"/>
            <w:hideMark/>
          </w:tcPr>
          <w:p w14:paraId="0CFE9E7A"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Odra</w:t>
            </w:r>
          </w:p>
        </w:tc>
        <w:tc>
          <w:tcPr>
            <w:tcW w:w="881" w:type="dxa"/>
            <w:tcBorders>
              <w:top w:val="nil"/>
              <w:left w:val="nil"/>
              <w:bottom w:val="single" w:sz="4" w:space="0" w:color="auto"/>
              <w:right w:val="single" w:sz="4" w:space="0" w:color="auto"/>
            </w:tcBorders>
            <w:shd w:val="clear" w:color="000000" w:fill="BFBFBF"/>
            <w:vAlign w:val="center"/>
            <w:hideMark/>
          </w:tcPr>
          <w:p w14:paraId="1F125CB4"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Niemen</w:t>
            </w:r>
          </w:p>
        </w:tc>
        <w:tc>
          <w:tcPr>
            <w:tcW w:w="877" w:type="dxa"/>
            <w:tcBorders>
              <w:top w:val="nil"/>
              <w:left w:val="nil"/>
              <w:bottom w:val="single" w:sz="4" w:space="0" w:color="auto"/>
              <w:right w:val="single" w:sz="4" w:space="0" w:color="auto"/>
            </w:tcBorders>
            <w:shd w:val="clear" w:color="000000" w:fill="BFBFBF"/>
            <w:vAlign w:val="center"/>
            <w:hideMark/>
          </w:tcPr>
          <w:p w14:paraId="1E7B2994"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Pregoła</w:t>
            </w:r>
          </w:p>
        </w:tc>
        <w:tc>
          <w:tcPr>
            <w:tcW w:w="870" w:type="dxa"/>
            <w:tcBorders>
              <w:top w:val="nil"/>
              <w:left w:val="nil"/>
              <w:bottom w:val="single" w:sz="4" w:space="0" w:color="auto"/>
              <w:right w:val="single" w:sz="4" w:space="0" w:color="auto"/>
            </w:tcBorders>
            <w:shd w:val="clear" w:color="000000" w:fill="BFBFBF"/>
            <w:vAlign w:val="center"/>
            <w:hideMark/>
          </w:tcPr>
          <w:p w14:paraId="75F6D17A"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Świeża</w:t>
            </w:r>
          </w:p>
        </w:tc>
        <w:tc>
          <w:tcPr>
            <w:tcW w:w="2048" w:type="dxa"/>
            <w:vMerge/>
            <w:tcBorders>
              <w:top w:val="single" w:sz="4" w:space="0" w:color="auto"/>
              <w:left w:val="single" w:sz="4" w:space="0" w:color="auto"/>
              <w:bottom w:val="single" w:sz="4" w:space="0" w:color="auto"/>
              <w:right w:val="single" w:sz="4" w:space="0" w:color="auto"/>
            </w:tcBorders>
            <w:vAlign w:val="center"/>
            <w:hideMark/>
          </w:tcPr>
          <w:p w14:paraId="18CF36CD"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r>
      <w:tr w:rsidR="0025528B" w:rsidRPr="005E2831" w14:paraId="656759E6" w14:textId="77777777" w:rsidTr="0025528B">
        <w:trPr>
          <w:trHeight w:val="480"/>
        </w:trPr>
        <w:tc>
          <w:tcPr>
            <w:tcW w:w="788"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2AB0893A"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Klasyfikacja stanu</w:t>
            </w:r>
            <w:r w:rsidRPr="00581B31">
              <w:rPr>
                <w:rFonts w:ascii="Times New Roman" w:eastAsia="Times New Roman" w:hAnsi="Times New Roman" w:cs="Times New Roman"/>
                <w:color w:val="000000"/>
                <w:sz w:val="18"/>
                <w:szCs w:val="18"/>
                <w:lang w:eastAsia="pl-PL"/>
              </w:rPr>
              <w:br/>
              <w:t>ekologicznego</w:t>
            </w:r>
          </w:p>
        </w:tc>
        <w:tc>
          <w:tcPr>
            <w:tcW w:w="2042" w:type="dxa"/>
            <w:tcBorders>
              <w:top w:val="nil"/>
              <w:left w:val="nil"/>
              <w:bottom w:val="single" w:sz="4" w:space="0" w:color="auto"/>
              <w:right w:val="single" w:sz="4" w:space="0" w:color="auto"/>
            </w:tcBorders>
            <w:shd w:val="clear" w:color="000000" w:fill="00B0F0"/>
            <w:vAlign w:val="center"/>
            <w:hideMark/>
          </w:tcPr>
          <w:p w14:paraId="518D4AAA"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Bardzo dobry</w:t>
            </w:r>
          </w:p>
        </w:tc>
        <w:tc>
          <w:tcPr>
            <w:tcW w:w="726" w:type="dxa"/>
            <w:tcBorders>
              <w:top w:val="nil"/>
              <w:left w:val="nil"/>
              <w:bottom w:val="single" w:sz="4" w:space="0" w:color="auto"/>
              <w:right w:val="single" w:sz="4" w:space="0" w:color="auto"/>
            </w:tcBorders>
            <w:shd w:val="clear" w:color="auto" w:fill="auto"/>
            <w:noWrap/>
            <w:vAlign w:val="center"/>
            <w:hideMark/>
          </w:tcPr>
          <w:p w14:paraId="3476385F"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0</w:t>
            </w:r>
          </w:p>
        </w:tc>
        <w:tc>
          <w:tcPr>
            <w:tcW w:w="835" w:type="dxa"/>
            <w:tcBorders>
              <w:top w:val="nil"/>
              <w:left w:val="nil"/>
              <w:bottom w:val="single" w:sz="4" w:space="0" w:color="auto"/>
              <w:right w:val="single" w:sz="4" w:space="0" w:color="auto"/>
            </w:tcBorders>
            <w:shd w:val="clear" w:color="auto" w:fill="auto"/>
            <w:noWrap/>
            <w:vAlign w:val="center"/>
            <w:hideMark/>
          </w:tcPr>
          <w:p w14:paraId="365D5B78"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0</w:t>
            </w:r>
          </w:p>
        </w:tc>
        <w:tc>
          <w:tcPr>
            <w:tcW w:w="881" w:type="dxa"/>
            <w:tcBorders>
              <w:top w:val="nil"/>
              <w:left w:val="nil"/>
              <w:bottom w:val="single" w:sz="4" w:space="0" w:color="auto"/>
              <w:right w:val="single" w:sz="4" w:space="0" w:color="auto"/>
            </w:tcBorders>
            <w:shd w:val="clear" w:color="auto" w:fill="auto"/>
            <w:noWrap/>
            <w:vAlign w:val="center"/>
            <w:hideMark/>
          </w:tcPr>
          <w:p w14:paraId="368AE4F5"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1</w:t>
            </w:r>
          </w:p>
        </w:tc>
        <w:tc>
          <w:tcPr>
            <w:tcW w:w="877" w:type="dxa"/>
            <w:tcBorders>
              <w:top w:val="nil"/>
              <w:left w:val="nil"/>
              <w:bottom w:val="single" w:sz="4" w:space="0" w:color="auto"/>
              <w:right w:val="single" w:sz="4" w:space="0" w:color="auto"/>
            </w:tcBorders>
            <w:shd w:val="clear" w:color="auto" w:fill="auto"/>
            <w:noWrap/>
            <w:vAlign w:val="center"/>
            <w:hideMark/>
          </w:tcPr>
          <w:p w14:paraId="097E6718"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0</w:t>
            </w:r>
          </w:p>
        </w:tc>
        <w:tc>
          <w:tcPr>
            <w:tcW w:w="870" w:type="dxa"/>
            <w:tcBorders>
              <w:top w:val="nil"/>
              <w:left w:val="nil"/>
              <w:bottom w:val="single" w:sz="4" w:space="0" w:color="auto"/>
              <w:right w:val="single" w:sz="4" w:space="0" w:color="auto"/>
            </w:tcBorders>
            <w:shd w:val="clear" w:color="auto" w:fill="auto"/>
            <w:noWrap/>
            <w:vAlign w:val="center"/>
            <w:hideMark/>
          </w:tcPr>
          <w:p w14:paraId="5145C043"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0</w:t>
            </w:r>
          </w:p>
        </w:tc>
        <w:tc>
          <w:tcPr>
            <w:tcW w:w="2048" w:type="dxa"/>
            <w:tcBorders>
              <w:top w:val="nil"/>
              <w:left w:val="nil"/>
              <w:bottom w:val="single" w:sz="4" w:space="0" w:color="auto"/>
              <w:right w:val="single" w:sz="4" w:space="0" w:color="auto"/>
            </w:tcBorders>
            <w:shd w:val="clear" w:color="auto" w:fill="auto"/>
            <w:noWrap/>
            <w:vAlign w:val="center"/>
            <w:hideMark/>
          </w:tcPr>
          <w:p w14:paraId="7BED9B2F"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1</w:t>
            </w:r>
          </w:p>
        </w:tc>
      </w:tr>
      <w:tr w:rsidR="0025528B" w:rsidRPr="005E2831" w14:paraId="7537AEC3" w14:textId="77777777" w:rsidTr="0025528B">
        <w:trPr>
          <w:trHeight w:val="300"/>
        </w:trPr>
        <w:tc>
          <w:tcPr>
            <w:tcW w:w="788" w:type="dxa"/>
            <w:vMerge/>
            <w:tcBorders>
              <w:top w:val="nil"/>
              <w:left w:val="single" w:sz="4" w:space="0" w:color="auto"/>
              <w:bottom w:val="single" w:sz="4" w:space="0" w:color="auto"/>
              <w:right w:val="single" w:sz="4" w:space="0" w:color="auto"/>
            </w:tcBorders>
            <w:vAlign w:val="center"/>
            <w:hideMark/>
          </w:tcPr>
          <w:p w14:paraId="48F0C843"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042" w:type="dxa"/>
            <w:tcBorders>
              <w:top w:val="nil"/>
              <w:left w:val="nil"/>
              <w:bottom w:val="single" w:sz="4" w:space="0" w:color="auto"/>
              <w:right w:val="single" w:sz="4" w:space="0" w:color="auto"/>
            </w:tcBorders>
            <w:shd w:val="clear" w:color="000000" w:fill="92D050"/>
            <w:vAlign w:val="center"/>
            <w:hideMark/>
          </w:tcPr>
          <w:p w14:paraId="583F87E8"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Dobry</w:t>
            </w:r>
          </w:p>
        </w:tc>
        <w:tc>
          <w:tcPr>
            <w:tcW w:w="726" w:type="dxa"/>
            <w:tcBorders>
              <w:top w:val="nil"/>
              <w:left w:val="nil"/>
              <w:bottom w:val="single" w:sz="4" w:space="0" w:color="auto"/>
              <w:right w:val="single" w:sz="4" w:space="0" w:color="auto"/>
            </w:tcBorders>
            <w:shd w:val="clear" w:color="auto" w:fill="auto"/>
            <w:noWrap/>
            <w:vAlign w:val="center"/>
            <w:hideMark/>
          </w:tcPr>
          <w:p w14:paraId="184DB9C2"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54</w:t>
            </w:r>
          </w:p>
        </w:tc>
        <w:tc>
          <w:tcPr>
            <w:tcW w:w="835" w:type="dxa"/>
            <w:tcBorders>
              <w:top w:val="nil"/>
              <w:left w:val="nil"/>
              <w:bottom w:val="single" w:sz="4" w:space="0" w:color="auto"/>
              <w:right w:val="single" w:sz="4" w:space="0" w:color="auto"/>
            </w:tcBorders>
            <w:shd w:val="clear" w:color="auto" w:fill="auto"/>
            <w:noWrap/>
            <w:vAlign w:val="center"/>
            <w:hideMark/>
          </w:tcPr>
          <w:p w14:paraId="78DBFF38"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40</w:t>
            </w:r>
          </w:p>
        </w:tc>
        <w:tc>
          <w:tcPr>
            <w:tcW w:w="881" w:type="dxa"/>
            <w:tcBorders>
              <w:top w:val="nil"/>
              <w:left w:val="nil"/>
              <w:bottom w:val="single" w:sz="4" w:space="0" w:color="auto"/>
              <w:right w:val="single" w:sz="4" w:space="0" w:color="auto"/>
            </w:tcBorders>
            <w:shd w:val="clear" w:color="auto" w:fill="auto"/>
            <w:noWrap/>
            <w:vAlign w:val="center"/>
            <w:hideMark/>
          </w:tcPr>
          <w:p w14:paraId="2ADB0CF1"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17</w:t>
            </w:r>
          </w:p>
        </w:tc>
        <w:tc>
          <w:tcPr>
            <w:tcW w:w="877" w:type="dxa"/>
            <w:tcBorders>
              <w:top w:val="nil"/>
              <w:left w:val="nil"/>
              <w:bottom w:val="single" w:sz="4" w:space="0" w:color="auto"/>
              <w:right w:val="single" w:sz="4" w:space="0" w:color="auto"/>
            </w:tcBorders>
            <w:shd w:val="clear" w:color="auto" w:fill="auto"/>
            <w:noWrap/>
            <w:vAlign w:val="center"/>
            <w:hideMark/>
          </w:tcPr>
          <w:p w14:paraId="308C4E4C"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6</w:t>
            </w:r>
          </w:p>
        </w:tc>
        <w:tc>
          <w:tcPr>
            <w:tcW w:w="870" w:type="dxa"/>
            <w:tcBorders>
              <w:top w:val="nil"/>
              <w:left w:val="nil"/>
              <w:bottom w:val="single" w:sz="4" w:space="0" w:color="auto"/>
              <w:right w:val="single" w:sz="4" w:space="0" w:color="auto"/>
            </w:tcBorders>
            <w:shd w:val="clear" w:color="auto" w:fill="auto"/>
            <w:noWrap/>
            <w:vAlign w:val="center"/>
            <w:hideMark/>
          </w:tcPr>
          <w:p w14:paraId="11A47DCC"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0</w:t>
            </w:r>
          </w:p>
        </w:tc>
        <w:tc>
          <w:tcPr>
            <w:tcW w:w="2048" w:type="dxa"/>
            <w:tcBorders>
              <w:top w:val="nil"/>
              <w:left w:val="nil"/>
              <w:bottom w:val="single" w:sz="4" w:space="0" w:color="auto"/>
              <w:right w:val="single" w:sz="4" w:space="0" w:color="auto"/>
            </w:tcBorders>
            <w:shd w:val="clear" w:color="auto" w:fill="auto"/>
            <w:noWrap/>
            <w:vAlign w:val="center"/>
            <w:hideMark/>
          </w:tcPr>
          <w:p w14:paraId="6E7AB9D2"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117</w:t>
            </w:r>
          </w:p>
        </w:tc>
      </w:tr>
      <w:tr w:rsidR="0025528B" w:rsidRPr="005E2831" w14:paraId="41F7DC5C" w14:textId="77777777" w:rsidTr="0025528B">
        <w:trPr>
          <w:trHeight w:val="480"/>
        </w:trPr>
        <w:tc>
          <w:tcPr>
            <w:tcW w:w="788" w:type="dxa"/>
            <w:vMerge/>
            <w:tcBorders>
              <w:top w:val="nil"/>
              <w:left w:val="single" w:sz="4" w:space="0" w:color="auto"/>
              <w:bottom w:val="single" w:sz="4" w:space="0" w:color="auto"/>
              <w:right w:val="single" w:sz="4" w:space="0" w:color="auto"/>
            </w:tcBorders>
            <w:vAlign w:val="center"/>
            <w:hideMark/>
          </w:tcPr>
          <w:p w14:paraId="74386A3E"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042" w:type="dxa"/>
            <w:tcBorders>
              <w:top w:val="nil"/>
              <w:left w:val="nil"/>
              <w:bottom w:val="single" w:sz="4" w:space="0" w:color="auto"/>
              <w:right w:val="single" w:sz="4" w:space="0" w:color="auto"/>
            </w:tcBorders>
            <w:shd w:val="clear" w:color="000000" w:fill="FFFF00"/>
            <w:vAlign w:val="center"/>
            <w:hideMark/>
          </w:tcPr>
          <w:p w14:paraId="3350D305"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Umiarkowany</w:t>
            </w:r>
          </w:p>
        </w:tc>
        <w:tc>
          <w:tcPr>
            <w:tcW w:w="726" w:type="dxa"/>
            <w:tcBorders>
              <w:top w:val="nil"/>
              <w:left w:val="nil"/>
              <w:bottom w:val="single" w:sz="4" w:space="0" w:color="auto"/>
              <w:right w:val="single" w:sz="4" w:space="0" w:color="auto"/>
            </w:tcBorders>
            <w:shd w:val="clear" w:color="auto" w:fill="auto"/>
            <w:noWrap/>
            <w:vAlign w:val="center"/>
            <w:hideMark/>
          </w:tcPr>
          <w:p w14:paraId="3EBC4274"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221</w:t>
            </w:r>
          </w:p>
        </w:tc>
        <w:tc>
          <w:tcPr>
            <w:tcW w:w="835" w:type="dxa"/>
            <w:tcBorders>
              <w:top w:val="nil"/>
              <w:left w:val="nil"/>
              <w:bottom w:val="single" w:sz="4" w:space="0" w:color="auto"/>
              <w:right w:val="single" w:sz="4" w:space="0" w:color="auto"/>
            </w:tcBorders>
            <w:shd w:val="clear" w:color="auto" w:fill="auto"/>
            <w:noWrap/>
            <w:vAlign w:val="center"/>
            <w:hideMark/>
          </w:tcPr>
          <w:p w14:paraId="574E3B99"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134</w:t>
            </w:r>
          </w:p>
        </w:tc>
        <w:tc>
          <w:tcPr>
            <w:tcW w:w="881" w:type="dxa"/>
            <w:tcBorders>
              <w:top w:val="nil"/>
              <w:left w:val="nil"/>
              <w:bottom w:val="single" w:sz="4" w:space="0" w:color="auto"/>
              <w:right w:val="single" w:sz="4" w:space="0" w:color="auto"/>
            </w:tcBorders>
            <w:shd w:val="clear" w:color="auto" w:fill="auto"/>
            <w:noWrap/>
            <w:vAlign w:val="center"/>
            <w:hideMark/>
          </w:tcPr>
          <w:p w14:paraId="6F514627"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18</w:t>
            </w:r>
          </w:p>
        </w:tc>
        <w:tc>
          <w:tcPr>
            <w:tcW w:w="877" w:type="dxa"/>
            <w:tcBorders>
              <w:top w:val="nil"/>
              <w:left w:val="nil"/>
              <w:bottom w:val="single" w:sz="4" w:space="0" w:color="auto"/>
              <w:right w:val="single" w:sz="4" w:space="0" w:color="auto"/>
            </w:tcBorders>
            <w:shd w:val="clear" w:color="auto" w:fill="auto"/>
            <w:noWrap/>
            <w:vAlign w:val="center"/>
            <w:hideMark/>
          </w:tcPr>
          <w:p w14:paraId="1BFD43C0"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60</w:t>
            </w:r>
          </w:p>
        </w:tc>
        <w:tc>
          <w:tcPr>
            <w:tcW w:w="870" w:type="dxa"/>
            <w:tcBorders>
              <w:top w:val="nil"/>
              <w:left w:val="nil"/>
              <w:bottom w:val="single" w:sz="4" w:space="0" w:color="auto"/>
              <w:right w:val="single" w:sz="4" w:space="0" w:color="auto"/>
            </w:tcBorders>
            <w:shd w:val="clear" w:color="auto" w:fill="auto"/>
            <w:noWrap/>
            <w:vAlign w:val="center"/>
            <w:hideMark/>
          </w:tcPr>
          <w:p w14:paraId="5E1CE0B5"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0</w:t>
            </w:r>
          </w:p>
        </w:tc>
        <w:tc>
          <w:tcPr>
            <w:tcW w:w="2048" w:type="dxa"/>
            <w:tcBorders>
              <w:top w:val="nil"/>
              <w:left w:val="nil"/>
              <w:bottom w:val="single" w:sz="4" w:space="0" w:color="auto"/>
              <w:right w:val="single" w:sz="4" w:space="0" w:color="auto"/>
            </w:tcBorders>
            <w:shd w:val="clear" w:color="auto" w:fill="auto"/>
            <w:noWrap/>
            <w:vAlign w:val="center"/>
            <w:hideMark/>
          </w:tcPr>
          <w:p w14:paraId="14E5764B"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433</w:t>
            </w:r>
          </w:p>
        </w:tc>
      </w:tr>
      <w:tr w:rsidR="0025528B" w:rsidRPr="005E2831" w14:paraId="22D27B89" w14:textId="77777777" w:rsidTr="0025528B">
        <w:trPr>
          <w:trHeight w:val="300"/>
        </w:trPr>
        <w:tc>
          <w:tcPr>
            <w:tcW w:w="788" w:type="dxa"/>
            <w:vMerge/>
            <w:tcBorders>
              <w:top w:val="nil"/>
              <w:left w:val="single" w:sz="4" w:space="0" w:color="auto"/>
              <w:bottom w:val="single" w:sz="4" w:space="0" w:color="auto"/>
              <w:right w:val="single" w:sz="4" w:space="0" w:color="auto"/>
            </w:tcBorders>
            <w:vAlign w:val="center"/>
            <w:hideMark/>
          </w:tcPr>
          <w:p w14:paraId="5CCD8957"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042" w:type="dxa"/>
            <w:tcBorders>
              <w:top w:val="nil"/>
              <w:left w:val="nil"/>
              <w:bottom w:val="single" w:sz="4" w:space="0" w:color="auto"/>
              <w:right w:val="single" w:sz="4" w:space="0" w:color="auto"/>
            </w:tcBorders>
            <w:shd w:val="clear" w:color="000000" w:fill="FFC000"/>
            <w:vAlign w:val="center"/>
            <w:hideMark/>
          </w:tcPr>
          <w:p w14:paraId="541AB93A"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Słaby</w:t>
            </w:r>
          </w:p>
        </w:tc>
        <w:tc>
          <w:tcPr>
            <w:tcW w:w="726" w:type="dxa"/>
            <w:tcBorders>
              <w:top w:val="nil"/>
              <w:left w:val="nil"/>
              <w:bottom w:val="single" w:sz="4" w:space="0" w:color="auto"/>
              <w:right w:val="single" w:sz="4" w:space="0" w:color="auto"/>
            </w:tcBorders>
            <w:shd w:val="clear" w:color="auto" w:fill="auto"/>
            <w:noWrap/>
            <w:vAlign w:val="center"/>
            <w:hideMark/>
          </w:tcPr>
          <w:p w14:paraId="2040D21F"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102</w:t>
            </w:r>
          </w:p>
        </w:tc>
        <w:tc>
          <w:tcPr>
            <w:tcW w:w="835" w:type="dxa"/>
            <w:tcBorders>
              <w:top w:val="nil"/>
              <w:left w:val="nil"/>
              <w:bottom w:val="single" w:sz="4" w:space="0" w:color="auto"/>
              <w:right w:val="single" w:sz="4" w:space="0" w:color="auto"/>
            </w:tcBorders>
            <w:shd w:val="clear" w:color="auto" w:fill="auto"/>
            <w:noWrap/>
            <w:vAlign w:val="center"/>
            <w:hideMark/>
          </w:tcPr>
          <w:p w14:paraId="71C99FE3"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51</w:t>
            </w:r>
          </w:p>
        </w:tc>
        <w:tc>
          <w:tcPr>
            <w:tcW w:w="881" w:type="dxa"/>
            <w:tcBorders>
              <w:top w:val="nil"/>
              <w:left w:val="nil"/>
              <w:bottom w:val="single" w:sz="4" w:space="0" w:color="auto"/>
              <w:right w:val="single" w:sz="4" w:space="0" w:color="auto"/>
            </w:tcBorders>
            <w:shd w:val="clear" w:color="auto" w:fill="auto"/>
            <w:noWrap/>
            <w:vAlign w:val="center"/>
            <w:hideMark/>
          </w:tcPr>
          <w:p w14:paraId="5F07C33F"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0</w:t>
            </w:r>
          </w:p>
        </w:tc>
        <w:tc>
          <w:tcPr>
            <w:tcW w:w="877" w:type="dxa"/>
            <w:tcBorders>
              <w:top w:val="nil"/>
              <w:left w:val="nil"/>
              <w:bottom w:val="single" w:sz="4" w:space="0" w:color="auto"/>
              <w:right w:val="single" w:sz="4" w:space="0" w:color="auto"/>
            </w:tcBorders>
            <w:shd w:val="clear" w:color="auto" w:fill="auto"/>
            <w:noWrap/>
            <w:vAlign w:val="center"/>
            <w:hideMark/>
          </w:tcPr>
          <w:p w14:paraId="47DA246C"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23</w:t>
            </w:r>
          </w:p>
        </w:tc>
        <w:tc>
          <w:tcPr>
            <w:tcW w:w="870" w:type="dxa"/>
            <w:tcBorders>
              <w:top w:val="nil"/>
              <w:left w:val="nil"/>
              <w:bottom w:val="single" w:sz="4" w:space="0" w:color="auto"/>
              <w:right w:val="single" w:sz="4" w:space="0" w:color="auto"/>
            </w:tcBorders>
            <w:shd w:val="clear" w:color="auto" w:fill="auto"/>
            <w:noWrap/>
            <w:vAlign w:val="center"/>
            <w:hideMark/>
          </w:tcPr>
          <w:p w14:paraId="16B42997"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1</w:t>
            </w:r>
          </w:p>
        </w:tc>
        <w:tc>
          <w:tcPr>
            <w:tcW w:w="2048" w:type="dxa"/>
            <w:tcBorders>
              <w:top w:val="nil"/>
              <w:left w:val="nil"/>
              <w:bottom w:val="single" w:sz="4" w:space="0" w:color="auto"/>
              <w:right w:val="single" w:sz="4" w:space="0" w:color="auto"/>
            </w:tcBorders>
            <w:shd w:val="clear" w:color="auto" w:fill="auto"/>
            <w:noWrap/>
            <w:vAlign w:val="center"/>
            <w:hideMark/>
          </w:tcPr>
          <w:p w14:paraId="18AC3DFB"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177</w:t>
            </w:r>
          </w:p>
        </w:tc>
      </w:tr>
      <w:tr w:rsidR="0025528B" w:rsidRPr="005E2831" w14:paraId="45055221" w14:textId="77777777" w:rsidTr="0025528B">
        <w:trPr>
          <w:trHeight w:val="300"/>
        </w:trPr>
        <w:tc>
          <w:tcPr>
            <w:tcW w:w="788" w:type="dxa"/>
            <w:vMerge/>
            <w:tcBorders>
              <w:top w:val="nil"/>
              <w:left w:val="single" w:sz="4" w:space="0" w:color="auto"/>
              <w:bottom w:val="single" w:sz="4" w:space="0" w:color="auto"/>
              <w:right w:val="single" w:sz="4" w:space="0" w:color="auto"/>
            </w:tcBorders>
            <w:vAlign w:val="center"/>
            <w:hideMark/>
          </w:tcPr>
          <w:p w14:paraId="7FD9F6D4"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042" w:type="dxa"/>
            <w:tcBorders>
              <w:top w:val="nil"/>
              <w:left w:val="nil"/>
              <w:bottom w:val="single" w:sz="4" w:space="0" w:color="auto"/>
              <w:right w:val="single" w:sz="4" w:space="0" w:color="auto"/>
            </w:tcBorders>
            <w:shd w:val="clear" w:color="000000" w:fill="FF0000"/>
            <w:vAlign w:val="center"/>
            <w:hideMark/>
          </w:tcPr>
          <w:p w14:paraId="67DF2ED4"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Zły</w:t>
            </w:r>
          </w:p>
        </w:tc>
        <w:tc>
          <w:tcPr>
            <w:tcW w:w="726" w:type="dxa"/>
            <w:tcBorders>
              <w:top w:val="nil"/>
              <w:left w:val="nil"/>
              <w:bottom w:val="single" w:sz="4" w:space="0" w:color="auto"/>
              <w:right w:val="single" w:sz="4" w:space="0" w:color="auto"/>
            </w:tcBorders>
            <w:shd w:val="clear" w:color="auto" w:fill="auto"/>
            <w:noWrap/>
            <w:vAlign w:val="center"/>
            <w:hideMark/>
          </w:tcPr>
          <w:p w14:paraId="7814791E"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50</w:t>
            </w:r>
          </w:p>
        </w:tc>
        <w:tc>
          <w:tcPr>
            <w:tcW w:w="835" w:type="dxa"/>
            <w:tcBorders>
              <w:top w:val="nil"/>
              <w:left w:val="nil"/>
              <w:bottom w:val="single" w:sz="4" w:space="0" w:color="auto"/>
              <w:right w:val="single" w:sz="4" w:space="0" w:color="auto"/>
            </w:tcBorders>
            <w:shd w:val="clear" w:color="auto" w:fill="auto"/>
            <w:noWrap/>
            <w:vAlign w:val="center"/>
            <w:hideMark/>
          </w:tcPr>
          <w:p w14:paraId="447768A3"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52</w:t>
            </w:r>
          </w:p>
        </w:tc>
        <w:tc>
          <w:tcPr>
            <w:tcW w:w="881" w:type="dxa"/>
            <w:tcBorders>
              <w:top w:val="nil"/>
              <w:left w:val="nil"/>
              <w:bottom w:val="single" w:sz="4" w:space="0" w:color="auto"/>
              <w:right w:val="single" w:sz="4" w:space="0" w:color="auto"/>
            </w:tcBorders>
            <w:shd w:val="clear" w:color="auto" w:fill="auto"/>
            <w:noWrap/>
            <w:vAlign w:val="center"/>
            <w:hideMark/>
          </w:tcPr>
          <w:p w14:paraId="33F60F0E"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0</w:t>
            </w:r>
          </w:p>
        </w:tc>
        <w:tc>
          <w:tcPr>
            <w:tcW w:w="877" w:type="dxa"/>
            <w:tcBorders>
              <w:top w:val="nil"/>
              <w:left w:val="nil"/>
              <w:bottom w:val="single" w:sz="4" w:space="0" w:color="auto"/>
              <w:right w:val="single" w:sz="4" w:space="0" w:color="auto"/>
            </w:tcBorders>
            <w:shd w:val="clear" w:color="auto" w:fill="auto"/>
            <w:noWrap/>
            <w:vAlign w:val="center"/>
            <w:hideMark/>
          </w:tcPr>
          <w:p w14:paraId="01AC5DC3"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3</w:t>
            </w:r>
          </w:p>
        </w:tc>
        <w:tc>
          <w:tcPr>
            <w:tcW w:w="870" w:type="dxa"/>
            <w:tcBorders>
              <w:top w:val="nil"/>
              <w:left w:val="nil"/>
              <w:bottom w:val="single" w:sz="4" w:space="0" w:color="auto"/>
              <w:right w:val="single" w:sz="4" w:space="0" w:color="auto"/>
            </w:tcBorders>
            <w:shd w:val="clear" w:color="auto" w:fill="auto"/>
            <w:noWrap/>
            <w:vAlign w:val="center"/>
            <w:hideMark/>
          </w:tcPr>
          <w:p w14:paraId="4C95B4DE"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0</w:t>
            </w:r>
          </w:p>
        </w:tc>
        <w:tc>
          <w:tcPr>
            <w:tcW w:w="2048" w:type="dxa"/>
            <w:tcBorders>
              <w:top w:val="nil"/>
              <w:left w:val="nil"/>
              <w:bottom w:val="single" w:sz="4" w:space="0" w:color="auto"/>
              <w:right w:val="single" w:sz="4" w:space="0" w:color="auto"/>
            </w:tcBorders>
            <w:shd w:val="clear" w:color="auto" w:fill="auto"/>
            <w:noWrap/>
            <w:vAlign w:val="center"/>
            <w:hideMark/>
          </w:tcPr>
          <w:p w14:paraId="264876E1"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105</w:t>
            </w:r>
          </w:p>
        </w:tc>
      </w:tr>
      <w:tr w:rsidR="0025528B" w:rsidRPr="005E2831" w14:paraId="7DF4C940" w14:textId="77777777" w:rsidTr="0025528B">
        <w:trPr>
          <w:trHeight w:val="475"/>
        </w:trPr>
        <w:tc>
          <w:tcPr>
            <w:tcW w:w="788" w:type="dxa"/>
            <w:vMerge/>
            <w:tcBorders>
              <w:top w:val="nil"/>
              <w:left w:val="single" w:sz="4" w:space="0" w:color="auto"/>
              <w:bottom w:val="single" w:sz="4" w:space="0" w:color="auto"/>
              <w:right w:val="single" w:sz="4" w:space="0" w:color="auto"/>
            </w:tcBorders>
            <w:vAlign w:val="center"/>
            <w:hideMark/>
          </w:tcPr>
          <w:p w14:paraId="782CA542"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042" w:type="dxa"/>
            <w:tcBorders>
              <w:top w:val="nil"/>
              <w:left w:val="nil"/>
              <w:bottom w:val="single" w:sz="4" w:space="0" w:color="auto"/>
              <w:right w:val="single" w:sz="4" w:space="0" w:color="auto"/>
            </w:tcBorders>
            <w:shd w:val="clear" w:color="auto" w:fill="auto"/>
            <w:vAlign w:val="center"/>
            <w:hideMark/>
          </w:tcPr>
          <w:p w14:paraId="63CCDD0B"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 xml:space="preserve">Liczba ocenionych naturalnych </w:t>
            </w:r>
            <w:proofErr w:type="spellStart"/>
            <w:r w:rsidRPr="00581B31">
              <w:rPr>
                <w:rFonts w:ascii="Times New Roman" w:eastAsia="Times New Roman" w:hAnsi="Times New Roman" w:cs="Times New Roman"/>
                <w:color w:val="000000"/>
                <w:sz w:val="18"/>
                <w:szCs w:val="18"/>
                <w:lang w:eastAsia="pl-PL"/>
              </w:rPr>
              <w:t>jcwp</w:t>
            </w:r>
            <w:proofErr w:type="spellEnd"/>
          </w:p>
        </w:tc>
        <w:tc>
          <w:tcPr>
            <w:tcW w:w="726" w:type="dxa"/>
            <w:tcBorders>
              <w:top w:val="nil"/>
              <w:left w:val="nil"/>
              <w:bottom w:val="single" w:sz="4" w:space="0" w:color="auto"/>
              <w:right w:val="single" w:sz="4" w:space="0" w:color="auto"/>
            </w:tcBorders>
            <w:shd w:val="clear" w:color="auto" w:fill="auto"/>
            <w:noWrap/>
            <w:vAlign w:val="center"/>
            <w:hideMark/>
          </w:tcPr>
          <w:p w14:paraId="4548E9CE"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427</w:t>
            </w:r>
          </w:p>
        </w:tc>
        <w:tc>
          <w:tcPr>
            <w:tcW w:w="835" w:type="dxa"/>
            <w:tcBorders>
              <w:top w:val="nil"/>
              <w:left w:val="nil"/>
              <w:bottom w:val="single" w:sz="4" w:space="0" w:color="auto"/>
              <w:right w:val="single" w:sz="4" w:space="0" w:color="auto"/>
            </w:tcBorders>
            <w:shd w:val="clear" w:color="auto" w:fill="auto"/>
            <w:noWrap/>
            <w:vAlign w:val="center"/>
            <w:hideMark/>
          </w:tcPr>
          <w:p w14:paraId="193E5283"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277</w:t>
            </w:r>
          </w:p>
        </w:tc>
        <w:tc>
          <w:tcPr>
            <w:tcW w:w="881" w:type="dxa"/>
            <w:tcBorders>
              <w:top w:val="nil"/>
              <w:left w:val="nil"/>
              <w:bottom w:val="single" w:sz="4" w:space="0" w:color="auto"/>
              <w:right w:val="single" w:sz="4" w:space="0" w:color="auto"/>
            </w:tcBorders>
            <w:shd w:val="clear" w:color="auto" w:fill="auto"/>
            <w:noWrap/>
            <w:vAlign w:val="center"/>
            <w:hideMark/>
          </w:tcPr>
          <w:p w14:paraId="06F03ACB"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36</w:t>
            </w:r>
          </w:p>
        </w:tc>
        <w:tc>
          <w:tcPr>
            <w:tcW w:w="877" w:type="dxa"/>
            <w:tcBorders>
              <w:top w:val="nil"/>
              <w:left w:val="nil"/>
              <w:bottom w:val="single" w:sz="4" w:space="0" w:color="auto"/>
              <w:right w:val="single" w:sz="4" w:space="0" w:color="auto"/>
            </w:tcBorders>
            <w:shd w:val="clear" w:color="auto" w:fill="auto"/>
            <w:noWrap/>
            <w:vAlign w:val="center"/>
            <w:hideMark/>
          </w:tcPr>
          <w:p w14:paraId="490C30FF"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92</w:t>
            </w:r>
          </w:p>
        </w:tc>
        <w:tc>
          <w:tcPr>
            <w:tcW w:w="870" w:type="dxa"/>
            <w:tcBorders>
              <w:top w:val="nil"/>
              <w:left w:val="nil"/>
              <w:bottom w:val="single" w:sz="4" w:space="0" w:color="auto"/>
              <w:right w:val="single" w:sz="4" w:space="0" w:color="auto"/>
            </w:tcBorders>
            <w:shd w:val="clear" w:color="auto" w:fill="auto"/>
            <w:noWrap/>
            <w:vAlign w:val="center"/>
            <w:hideMark/>
          </w:tcPr>
          <w:p w14:paraId="73C089C4"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1</w:t>
            </w:r>
          </w:p>
        </w:tc>
        <w:tc>
          <w:tcPr>
            <w:tcW w:w="2048" w:type="dxa"/>
            <w:tcBorders>
              <w:top w:val="nil"/>
              <w:left w:val="nil"/>
              <w:bottom w:val="single" w:sz="4" w:space="0" w:color="auto"/>
              <w:right w:val="single" w:sz="4" w:space="0" w:color="auto"/>
            </w:tcBorders>
            <w:shd w:val="clear" w:color="auto" w:fill="auto"/>
            <w:noWrap/>
            <w:vAlign w:val="center"/>
            <w:hideMark/>
          </w:tcPr>
          <w:p w14:paraId="3C7209F5"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833</w:t>
            </w:r>
          </w:p>
        </w:tc>
      </w:tr>
      <w:tr w:rsidR="0025528B" w:rsidRPr="005E2831" w14:paraId="34129303" w14:textId="77777777" w:rsidTr="00E05362">
        <w:trPr>
          <w:trHeight w:val="300"/>
        </w:trPr>
        <w:tc>
          <w:tcPr>
            <w:tcW w:w="788"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32D9A6DE"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Klasyfikacja potencjału</w:t>
            </w:r>
            <w:r w:rsidRPr="00581B31">
              <w:rPr>
                <w:rFonts w:ascii="Times New Roman" w:eastAsia="Times New Roman" w:hAnsi="Times New Roman" w:cs="Times New Roman"/>
                <w:color w:val="000000"/>
                <w:sz w:val="18"/>
                <w:szCs w:val="18"/>
                <w:lang w:eastAsia="pl-PL"/>
              </w:rPr>
              <w:br/>
              <w:t>ekologicznego</w:t>
            </w:r>
          </w:p>
        </w:tc>
        <w:tc>
          <w:tcPr>
            <w:tcW w:w="2042" w:type="dxa"/>
            <w:tcBorders>
              <w:top w:val="nil"/>
              <w:left w:val="nil"/>
              <w:bottom w:val="single" w:sz="4" w:space="0" w:color="auto"/>
              <w:right w:val="single" w:sz="4" w:space="0" w:color="auto"/>
            </w:tcBorders>
            <w:shd w:val="clear" w:color="auto" w:fill="538135" w:themeFill="accent6" w:themeFillShade="BF"/>
            <w:noWrap/>
            <w:vAlign w:val="center"/>
            <w:hideMark/>
          </w:tcPr>
          <w:p w14:paraId="62E36DFC"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Maksymalny</w:t>
            </w:r>
          </w:p>
        </w:tc>
        <w:tc>
          <w:tcPr>
            <w:tcW w:w="726" w:type="dxa"/>
            <w:tcBorders>
              <w:top w:val="nil"/>
              <w:left w:val="nil"/>
              <w:bottom w:val="single" w:sz="4" w:space="0" w:color="auto"/>
              <w:right w:val="single" w:sz="4" w:space="0" w:color="auto"/>
            </w:tcBorders>
            <w:shd w:val="clear" w:color="auto" w:fill="auto"/>
            <w:noWrap/>
            <w:vAlign w:val="center"/>
            <w:hideMark/>
          </w:tcPr>
          <w:p w14:paraId="49FF467F"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0</w:t>
            </w:r>
          </w:p>
        </w:tc>
        <w:tc>
          <w:tcPr>
            <w:tcW w:w="835" w:type="dxa"/>
            <w:tcBorders>
              <w:top w:val="nil"/>
              <w:left w:val="nil"/>
              <w:bottom w:val="single" w:sz="4" w:space="0" w:color="auto"/>
              <w:right w:val="single" w:sz="4" w:space="0" w:color="auto"/>
            </w:tcBorders>
            <w:shd w:val="clear" w:color="auto" w:fill="auto"/>
            <w:noWrap/>
            <w:vAlign w:val="center"/>
            <w:hideMark/>
          </w:tcPr>
          <w:p w14:paraId="614049D4"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0</w:t>
            </w:r>
          </w:p>
        </w:tc>
        <w:tc>
          <w:tcPr>
            <w:tcW w:w="881" w:type="dxa"/>
            <w:tcBorders>
              <w:top w:val="nil"/>
              <w:left w:val="nil"/>
              <w:bottom w:val="single" w:sz="4" w:space="0" w:color="auto"/>
              <w:right w:val="single" w:sz="4" w:space="0" w:color="auto"/>
            </w:tcBorders>
            <w:shd w:val="clear" w:color="auto" w:fill="auto"/>
            <w:noWrap/>
            <w:vAlign w:val="center"/>
            <w:hideMark/>
          </w:tcPr>
          <w:p w14:paraId="7A5D4618"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0</w:t>
            </w:r>
          </w:p>
        </w:tc>
        <w:tc>
          <w:tcPr>
            <w:tcW w:w="877" w:type="dxa"/>
            <w:tcBorders>
              <w:top w:val="nil"/>
              <w:left w:val="nil"/>
              <w:bottom w:val="single" w:sz="4" w:space="0" w:color="auto"/>
              <w:right w:val="single" w:sz="4" w:space="0" w:color="auto"/>
            </w:tcBorders>
            <w:shd w:val="clear" w:color="auto" w:fill="auto"/>
            <w:noWrap/>
            <w:vAlign w:val="center"/>
            <w:hideMark/>
          </w:tcPr>
          <w:p w14:paraId="6756FF20"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0</w:t>
            </w:r>
          </w:p>
        </w:tc>
        <w:tc>
          <w:tcPr>
            <w:tcW w:w="870" w:type="dxa"/>
            <w:tcBorders>
              <w:top w:val="nil"/>
              <w:left w:val="nil"/>
              <w:bottom w:val="single" w:sz="4" w:space="0" w:color="auto"/>
              <w:right w:val="single" w:sz="4" w:space="0" w:color="auto"/>
            </w:tcBorders>
            <w:shd w:val="clear" w:color="auto" w:fill="auto"/>
            <w:noWrap/>
            <w:vAlign w:val="center"/>
            <w:hideMark/>
          </w:tcPr>
          <w:p w14:paraId="0F866AEF"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0</w:t>
            </w:r>
          </w:p>
        </w:tc>
        <w:tc>
          <w:tcPr>
            <w:tcW w:w="2048" w:type="dxa"/>
            <w:tcBorders>
              <w:top w:val="nil"/>
              <w:left w:val="nil"/>
              <w:bottom w:val="single" w:sz="4" w:space="0" w:color="auto"/>
              <w:right w:val="single" w:sz="4" w:space="0" w:color="auto"/>
            </w:tcBorders>
            <w:shd w:val="clear" w:color="auto" w:fill="auto"/>
            <w:noWrap/>
            <w:vAlign w:val="center"/>
            <w:hideMark/>
          </w:tcPr>
          <w:p w14:paraId="32C1136A"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0</w:t>
            </w:r>
          </w:p>
        </w:tc>
      </w:tr>
      <w:tr w:rsidR="0025528B" w:rsidRPr="005E2831" w14:paraId="7B9BCF7D" w14:textId="77777777" w:rsidTr="00C30B14">
        <w:trPr>
          <w:trHeight w:val="300"/>
        </w:trPr>
        <w:tc>
          <w:tcPr>
            <w:tcW w:w="788" w:type="dxa"/>
            <w:vMerge/>
            <w:tcBorders>
              <w:top w:val="nil"/>
              <w:left w:val="single" w:sz="4" w:space="0" w:color="auto"/>
              <w:bottom w:val="single" w:sz="4" w:space="0" w:color="auto"/>
              <w:right w:val="single" w:sz="4" w:space="0" w:color="auto"/>
            </w:tcBorders>
            <w:vAlign w:val="center"/>
            <w:hideMark/>
          </w:tcPr>
          <w:p w14:paraId="479EBB32"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042" w:type="dxa"/>
            <w:tcBorders>
              <w:top w:val="nil"/>
              <w:left w:val="nil"/>
              <w:bottom w:val="single" w:sz="4" w:space="0" w:color="auto"/>
              <w:right w:val="single" w:sz="4" w:space="0" w:color="auto"/>
            </w:tcBorders>
            <w:shd w:val="clear" w:color="auto" w:fill="00B050"/>
            <w:noWrap/>
            <w:vAlign w:val="center"/>
            <w:hideMark/>
          </w:tcPr>
          <w:p w14:paraId="2F805697"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Dobry</w:t>
            </w:r>
          </w:p>
        </w:tc>
        <w:tc>
          <w:tcPr>
            <w:tcW w:w="726" w:type="dxa"/>
            <w:tcBorders>
              <w:top w:val="nil"/>
              <w:left w:val="nil"/>
              <w:bottom w:val="single" w:sz="4" w:space="0" w:color="auto"/>
              <w:right w:val="single" w:sz="4" w:space="0" w:color="auto"/>
            </w:tcBorders>
            <w:shd w:val="clear" w:color="auto" w:fill="auto"/>
            <w:noWrap/>
            <w:vAlign w:val="center"/>
            <w:hideMark/>
          </w:tcPr>
          <w:p w14:paraId="6986A822"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2</w:t>
            </w:r>
          </w:p>
        </w:tc>
        <w:tc>
          <w:tcPr>
            <w:tcW w:w="835" w:type="dxa"/>
            <w:tcBorders>
              <w:top w:val="nil"/>
              <w:left w:val="nil"/>
              <w:bottom w:val="single" w:sz="4" w:space="0" w:color="auto"/>
              <w:right w:val="single" w:sz="4" w:space="0" w:color="auto"/>
            </w:tcBorders>
            <w:shd w:val="clear" w:color="auto" w:fill="auto"/>
            <w:noWrap/>
            <w:vAlign w:val="center"/>
            <w:hideMark/>
          </w:tcPr>
          <w:p w14:paraId="6DED12EA"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12</w:t>
            </w:r>
          </w:p>
        </w:tc>
        <w:tc>
          <w:tcPr>
            <w:tcW w:w="881" w:type="dxa"/>
            <w:tcBorders>
              <w:top w:val="nil"/>
              <w:left w:val="nil"/>
              <w:bottom w:val="single" w:sz="4" w:space="0" w:color="auto"/>
              <w:right w:val="single" w:sz="4" w:space="0" w:color="auto"/>
            </w:tcBorders>
            <w:shd w:val="clear" w:color="auto" w:fill="auto"/>
            <w:noWrap/>
            <w:vAlign w:val="center"/>
            <w:hideMark/>
          </w:tcPr>
          <w:p w14:paraId="3AFB90CC"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0</w:t>
            </w:r>
          </w:p>
        </w:tc>
        <w:tc>
          <w:tcPr>
            <w:tcW w:w="877" w:type="dxa"/>
            <w:tcBorders>
              <w:top w:val="nil"/>
              <w:left w:val="nil"/>
              <w:bottom w:val="single" w:sz="4" w:space="0" w:color="auto"/>
              <w:right w:val="single" w:sz="4" w:space="0" w:color="auto"/>
            </w:tcBorders>
            <w:shd w:val="clear" w:color="auto" w:fill="auto"/>
            <w:noWrap/>
            <w:vAlign w:val="center"/>
            <w:hideMark/>
          </w:tcPr>
          <w:p w14:paraId="5FEEAA44"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0</w:t>
            </w:r>
          </w:p>
        </w:tc>
        <w:tc>
          <w:tcPr>
            <w:tcW w:w="870" w:type="dxa"/>
            <w:tcBorders>
              <w:top w:val="nil"/>
              <w:left w:val="nil"/>
              <w:bottom w:val="single" w:sz="4" w:space="0" w:color="auto"/>
              <w:right w:val="single" w:sz="4" w:space="0" w:color="auto"/>
            </w:tcBorders>
            <w:shd w:val="clear" w:color="auto" w:fill="auto"/>
            <w:noWrap/>
            <w:vAlign w:val="center"/>
            <w:hideMark/>
          </w:tcPr>
          <w:p w14:paraId="6206C978"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0</w:t>
            </w:r>
          </w:p>
        </w:tc>
        <w:tc>
          <w:tcPr>
            <w:tcW w:w="2048" w:type="dxa"/>
            <w:tcBorders>
              <w:top w:val="nil"/>
              <w:left w:val="nil"/>
              <w:bottom w:val="single" w:sz="4" w:space="0" w:color="auto"/>
              <w:right w:val="single" w:sz="4" w:space="0" w:color="auto"/>
            </w:tcBorders>
            <w:shd w:val="clear" w:color="auto" w:fill="auto"/>
            <w:noWrap/>
            <w:vAlign w:val="center"/>
            <w:hideMark/>
          </w:tcPr>
          <w:p w14:paraId="396BE779"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14</w:t>
            </w:r>
          </w:p>
        </w:tc>
      </w:tr>
      <w:tr w:rsidR="0025528B" w:rsidRPr="005E2831" w14:paraId="45156B5B" w14:textId="77777777" w:rsidTr="000B66E0">
        <w:trPr>
          <w:trHeight w:val="300"/>
        </w:trPr>
        <w:tc>
          <w:tcPr>
            <w:tcW w:w="788" w:type="dxa"/>
            <w:vMerge/>
            <w:tcBorders>
              <w:top w:val="nil"/>
              <w:left w:val="single" w:sz="4" w:space="0" w:color="auto"/>
              <w:bottom w:val="single" w:sz="4" w:space="0" w:color="auto"/>
              <w:right w:val="single" w:sz="4" w:space="0" w:color="auto"/>
            </w:tcBorders>
            <w:vAlign w:val="center"/>
            <w:hideMark/>
          </w:tcPr>
          <w:p w14:paraId="2373FA01"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042" w:type="dxa"/>
            <w:tcBorders>
              <w:top w:val="nil"/>
              <w:left w:val="nil"/>
              <w:bottom w:val="single" w:sz="4" w:space="0" w:color="auto"/>
              <w:right w:val="single" w:sz="4" w:space="0" w:color="auto"/>
            </w:tcBorders>
            <w:shd w:val="clear" w:color="auto" w:fill="FFFF00"/>
            <w:noWrap/>
            <w:vAlign w:val="center"/>
            <w:hideMark/>
          </w:tcPr>
          <w:p w14:paraId="334ABB20"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Umiarkowany</w:t>
            </w:r>
          </w:p>
        </w:tc>
        <w:tc>
          <w:tcPr>
            <w:tcW w:w="726" w:type="dxa"/>
            <w:tcBorders>
              <w:top w:val="nil"/>
              <w:left w:val="nil"/>
              <w:bottom w:val="single" w:sz="4" w:space="0" w:color="auto"/>
              <w:right w:val="single" w:sz="4" w:space="0" w:color="auto"/>
            </w:tcBorders>
            <w:shd w:val="clear" w:color="auto" w:fill="auto"/>
            <w:noWrap/>
            <w:vAlign w:val="center"/>
            <w:hideMark/>
          </w:tcPr>
          <w:p w14:paraId="54F98E65"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12</w:t>
            </w:r>
          </w:p>
        </w:tc>
        <w:tc>
          <w:tcPr>
            <w:tcW w:w="835" w:type="dxa"/>
            <w:tcBorders>
              <w:top w:val="nil"/>
              <w:left w:val="nil"/>
              <w:bottom w:val="single" w:sz="4" w:space="0" w:color="auto"/>
              <w:right w:val="single" w:sz="4" w:space="0" w:color="auto"/>
            </w:tcBorders>
            <w:shd w:val="clear" w:color="auto" w:fill="auto"/>
            <w:noWrap/>
            <w:vAlign w:val="center"/>
            <w:hideMark/>
          </w:tcPr>
          <w:p w14:paraId="04D89562"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31</w:t>
            </w:r>
          </w:p>
        </w:tc>
        <w:tc>
          <w:tcPr>
            <w:tcW w:w="881" w:type="dxa"/>
            <w:tcBorders>
              <w:top w:val="nil"/>
              <w:left w:val="nil"/>
              <w:bottom w:val="single" w:sz="4" w:space="0" w:color="auto"/>
              <w:right w:val="single" w:sz="4" w:space="0" w:color="auto"/>
            </w:tcBorders>
            <w:shd w:val="clear" w:color="auto" w:fill="auto"/>
            <w:noWrap/>
            <w:vAlign w:val="center"/>
            <w:hideMark/>
          </w:tcPr>
          <w:p w14:paraId="03E7782B"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0</w:t>
            </w:r>
          </w:p>
        </w:tc>
        <w:tc>
          <w:tcPr>
            <w:tcW w:w="877" w:type="dxa"/>
            <w:tcBorders>
              <w:top w:val="nil"/>
              <w:left w:val="nil"/>
              <w:bottom w:val="single" w:sz="4" w:space="0" w:color="auto"/>
              <w:right w:val="single" w:sz="4" w:space="0" w:color="auto"/>
            </w:tcBorders>
            <w:shd w:val="clear" w:color="auto" w:fill="auto"/>
            <w:noWrap/>
            <w:vAlign w:val="center"/>
            <w:hideMark/>
          </w:tcPr>
          <w:p w14:paraId="61F9B980"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1</w:t>
            </w:r>
          </w:p>
        </w:tc>
        <w:tc>
          <w:tcPr>
            <w:tcW w:w="870" w:type="dxa"/>
            <w:tcBorders>
              <w:top w:val="nil"/>
              <w:left w:val="nil"/>
              <w:bottom w:val="single" w:sz="4" w:space="0" w:color="auto"/>
              <w:right w:val="single" w:sz="4" w:space="0" w:color="auto"/>
            </w:tcBorders>
            <w:shd w:val="clear" w:color="auto" w:fill="auto"/>
            <w:noWrap/>
            <w:vAlign w:val="center"/>
            <w:hideMark/>
          </w:tcPr>
          <w:p w14:paraId="444E3FF6"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0</w:t>
            </w:r>
          </w:p>
        </w:tc>
        <w:tc>
          <w:tcPr>
            <w:tcW w:w="2048" w:type="dxa"/>
            <w:tcBorders>
              <w:top w:val="nil"/>
              <w:left w:val="nil"/>
              <w:bottom w:val="single" w:sz="4" w:space="0" w:color="auto"/>
              <w:right w:val="single" w:sz="4" w:space="0" w:color="auto"/>
            </w:tcBorders>
            <w:shd w:val="clear" w:color="auto" w:fill="auto"/>
            <w:noWrap/>
            <w:vAlign w:val="center"/>
            <w:hideMark/>
          </w:tcPr>
          <w:p w14:paraId="08F89FC1"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44</w:t>
            </w:r>
          </w:p>
        </w:tc>
      </w:tr>
      <w:tr w:rsidR="0025528B" w:rsidRPr="005E2831" w14:paraId="3DDD4E20" w14:textId="77777777" w:rsidTr="00AA0413">
        <w:trPr>
          <w:trHeight w:val="300"/>
        </w:trPr>
        <w:tc>
          <w:tcPr>
            <w:tcW w:w="788" w:type="dxa"/>
            <w:vMerge/>
            <w:tcBorders>
              <w:top w:val="nil"/>
              <w:left w:val="single" w:sz="4" w:space="0" w:color="auto"/>
              <w:bottom w:val="single" w:sz="4" w:space="0" w:color="auto"/>
              <w:right w:val="single" w:sz="4" w:space="0" w:color="auto"/>
            </w:tcBorders>
            <w:vAlign w:val="center"/>
            <w:hideMark/>
          </w:tcPr>
          <w:p w14:paraId="61C45D65"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042" w:type="dxa"/>
            <w:tcBorders>
              <w:top w:val="nil"/>
              <w:left w:val="nil"/>
              <w:bottom w:val="single" w:sz="4" w:space="0" w:color="auto"/>
              <w:right w:val="single" w:sz="4" w:space="0" w:color="auto"/>
            </w:tcBorders>
            <w:shd w:val="clear" w:color="auto" w:fill="FFC000"/>
            <w:noWrap/>
            <w:vAlign w:val="center"/>
            <w:hideMark/>
          </w:tcPr>
          <w:p w14:paraId="453FD5A4"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Słaby</w:t>
            </w:r>
          </w:p>
        </w:tc>
        <w:tc>
          <w:tcPr>
            <w:tcW w:w="726" w:type="dxa"/>
            <w:tcBorders>
              <w:top w:val="nil"/>
              <w:left w:val="nil"/>
              <w:bottom w:val="single" w:sz="4" w:space="0" w:color="auto"/>
              <w:right w:val="single" w:sz="4" w:space="0" w:color="auto"/>
            </w:tcBorders>
            <w:shd w:val="clear" w:color="auto" w:fill="auto"/>
            <w:noWrap/>
            <w:vAlign w:val="center"/>
            <w:hideMark/>
          </w:tcPr>
          <w:p w14:paraId="3CF3C846"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3</w:t>
            </w:r>
          </w:p>
        </w:tc>
        <w:tc>
          <w:tcPr>
            <w:tcW w:w="835" w:type="dxa"/>
            <w:tcBorders>
              <w:top w:val="nil"/>
              <w:left w:val="nil"/>
              <w:bottom w:val="single" w:sz="4" w:space="0" w:color="auto"/>
              <w:right w:val="single" w:sz="4" w:space="0" w:color="auto"/>
            </w:tcBorders>
            <w:shd w:val="clear" w:color="auto" w:fill="auto"/>
            <w:noWrap/>
            <w:vAlign w:val="center"/>
            <w:hideMark/>
          </w:tcPr>
          <w:p w14:paraId="6F56FB25"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23</w:t>
            </w:r>
          </w:p>
        </w:tc>
        <w:tc>
          <w:tcPr>
            <w:tcW w:w="881" w:type="dxa"/>
            <w:tcBorders>
              <w:top w:val="nil"/>
              <w:left w:val="nil"/>
              <w:bottom w:val="single" w:sz="4" w:space="0" w:color="auto"/>
              <w:right w:val="single" w:sz="4" w:space="0" w:color="auto"/>
            </w:tcBorders>
            <w:shd w:val="clear" w:color="auto" w:fill="auto"/>
            <w:noWrap/>
            <w:vAlign w:val="center"/>
            <w:hideMark/>
          </w:tcPr>
          <w:p w14:paraId="76EDB2D9"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0</w:t>
            </w:r>
          </w:p>
        </w:tc>
        <w:tc>
          <w:tcPr>
            <w:tcW w:w="877" w:type="dxa"/>
            <w:tcBorders>
              <w:top w:val="nil"/>
              <w:left w:val="nil"/>
              <w:bottom w:val="single" w:sz="4" w:space="0" w:color="auto"/>
              <w:right w:val="single" w:sz="4" w:space="0" w:color="auto"/>
            </w:tcBorders>
            <w:shd w:val="clear" w:color="auto" w:fill="auto"/>
            <w:noWrap/>
            <w:vAlign w:val="center"/>
            <w:hideMark/>
          </w:tcPr>
          <w:p w14:paraId="17F32B24"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0</w:t>
            </w:r>
          </w:p>
        </w:tc>
        <w:tc>
          <w:tcPr>
            <w:tcW w:w="870" w:type="dxa"/>
            <w:tcBorders>
              <w:top w:val="nil"/>
              <w:left w:val="nil"/>
              <w:bottom w:val="single" w:sz="4" w:space="0" w:color="auto"/>
              <w:right w:val="single" w:sz="4" w:space="0" w:color="auto"/>
            </w:tcBorders>
            <w:shd w:val="clear" w:color="auto" w:fill="auto"/>
            <w:noWrap/>
            <w:vAlign w:val="center"/>
            <w:hideMark/>
          </w:tcPr>
          <w:p w14:paraId="66CAC4BD"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0</w:t>
            </w:r>
          </w:p>
        </w:tc>
        <w:tc>
          <w:tcPr>
            <w:tcW w:w="2048" w:type="dxa"/>
            <w:tcBorders>
              <w:top w:val="nil"/>
              <w:left w:val="nil"/>
              <w:bottom w:val="single" w:sz="4" w:space="0" w:color="auto"/>
              <w:right w:val="single" w:sz="4" w:space="0" w:color="auto"/>
            </w:tcBorders>
            <w:shd w:val="clear" w:color="auto" w:fill="auto"/>
            <w:noWrap/>
            <w:vAlign w:val="center"/>
            <w:hideMark/>
          </w:tcPr>
          <w:p w14:paraId="0BEA7D80"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26</w:t>
            </w:r>
          </w:p>
        </w:tc>
      </w:tr>
      <w:tr w:rsidR="0025528B" w:rsidRPr="005E2831" w14:paraId="50545B9B" w14:textId="77777777" w:rsidTr="00AA0413">
        <w:trPr>
          <w:trHeight w:val="300"/>
        </w:trPr>
        <w:tc>
          <w:tcPr>
            <w:tcW w:w="788" w:type="dxa"/>
            <w:vMerge/>
            <w:tcBorders>
              <w:top w:val="nil"/>
              <w:left w:val="single" w:sz="4" w:space="0" w:color="auto"/>
              <w:bottom w:val="single" w:sz="4" w:space="0" w:color="auto"/>
              <w:right w:val="single" w:sz="4" w:space="0" w:color="auto"/>
            </w:tcBorders>
            <w:vAlign w:val="center"/>
            <w:hideMark/>
          </w:tcPr>
          <w:p w14:paraId="6E0AE50F"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042" w:type="dxa"/>
            <w:tcBorders>
              <w:top w:val="nil"/>
              <w:left w:val="nil"/>
              <w:bottom w:val="single" w:sz="4" w:space="0" w:color="auto"/>
              <w:right w:val="single" w:sz="4" w:space="0" w:color="auto"/>
            </w:tcBorders>
            <w:shd w:val="clear" w:color="auto" w:fill="FF0000"/>
            <w:noWrap/>
            <w:vAlign w:val="center"/>
            <w:hideMark/>
          </w:tcPr>
          <w:p w14:paraId="33025C92"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Zły</w:t>
            </w:r>
          </w:p>
        </w:tc>
        <w:tc>
          <w:tcPr>
            <w:tcW w:w="726" w:type="dxa"/>
            <w:tcBorders>
              <w:top w:val="nil"/>
              <w:left w:val="nil"/>
              <w:bottom w:val="single" w:sz="4" w:space="0" w:color="auto"/>
              <w:right w:val="single" w:sz="4" w:space="0" w:color="auto"/>
            </w:tcBorders>
            <w:shd w:val="clear" w:color="auto" w:fill="auto"/>
            <w:noWrap/>
            <w:vAlign w:val="center"/>
            <w:hideMark/>
          </w:tcPr>
          <w:p w14:paraId="7CA62B12"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3</w:t>
            </w:r>
          </w:p>
        </w:tc>
        <w:tc>
          <w:tcPr>
            <w:tcW w:w="835" w:type="dxa"/>
            <w:tcBorders>
              <w:top w:val="nil"/>
              <w:left w:val="nil"/>
              <w:bottom w:val="single" w:sz="4" w:space="0" w:color="auto"/>
              <w:right w:val="single" w:sz="4" w:space="0" w:color="auto"/>
            </w:tcBorders>
            <w:shd w:val="clear" w:color="auto" w:fill="auto"/>
            <w:noWrap/>
            <w:vAlign w:val="center"/>
            <w:hideMark/>
          </w:tcPr>
          <w:p w14:paraId="0DCF502C"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33</w:t>
            </w:r>
          </w:p>
        </w:tc>
        <w:tc>
          <w:tcPr>
            <w:tcW w:w="881" w:type="dxa"/>
            <w:tcBorders>
              <w:top w:val="nil"/>
              <w:left w:val="nil"/>
              <w:bottom w:val="single" w:sz="4" w:space="0" w:color="auto"/>
              <w:right w:val="single" w:sz="4" w:space="0" w:color="auto"/>
            </w:tcBorders>
            <w:shd w:val="clear" w:color="auto" w:fill="auto"/>
            <w:noWrap/>
            <w:vAlign w:val="center"/>
            <w:hideMark/>
          </w:tcPr>
          <w:p w14:paraId="65435A8F"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0</w:t>
            </w:r>
          </w:p>
        </w:tc>
        <w:tc>
          <w:tcPr>
            <w:tcW w:w="877" w:type="dxa"/>
            <w:tcBorders>
              <w:top w:val="nil"/>
              <w:left w:val="nil"/>
              <w:bottom w:val="single" w:sz="4" w:space="0" w:color="auto"/>
              <w:right w:val="single" w:sz="4" w:space="0" w:color="auto"/>
            </w:tcBorders>
            <w:shd w:val="clear" w:color="auto" w:fill="auto"/>
            <w:noWrap/>
            <w:vAlign w:val="center"/>
            <w:hideMark/>
          </w:tcPr>
          <w:p w14:paraId="63F61117"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0</w:t>
            </w:r>
          </w:p>
        </w:tc>
        <w:tc>
          <w:tcPr>
            <w:tcW w:w="870" w:type="dxa"/>
            <w:tcBorders>
              <w:top w:val="nil"/>
              <w:left w:val="nil"/>
              <w:bottom w:val="single" w:sz="4" w:space="0" w:color="auto"/>
              <w:right w:val="single" w:sz="4" w:space="0" w:color="auto"/>
            </w:tcBorders>
            <w:shd w:val="clear" w:color="auto" w:fill="auto"/>
            <w:noWrap/>
            <w:vAlign w:val="center"/>
            <w:hideMark/>
          </w:tcPr>
          <w:p w14:paraId="71FA83D5"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0</w:t>
            </w:r>
          </w:p>
        </w:tc>
        <w:tc>
          <w:tcPr>
            <w:tcW w:w="2048" w:type="dxa"/>
            <w:tcBorders>
              <w:top w:val="nil"/>
              <w:left w:val="nil"/>
              <w:bottom w:val="single" w:sz="4" w:space="0" w:color="auto"/>
              <w:right w:val="single" w:sz="4" w:space="0" w:color="auto"/>
            </w:tcBorders>
            <w:shd w:val="clear" w:color="auto" w:fill="auto"/>
            <w:noWrap/>
            <w:vAlign w:val="center"/>
            <w:hideMark/>
          </w:tcPr>
          <w:p w14:paraId="32A07279"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36</w:t>
            </w:r>
          </w:p>
        </w:tc>
      </w:tr>
      <w:tr w:rsidR="0025528B" w:rsidRPr="005E2831" w14:paraId="1BC488A2" w14:textId="77777777" w:rsidTr="0025528B">
        <w:trPr>
          <w:trHeight w:val="717"/>
        </w:trPr>
        <w:tc>
          <w:tcPr>
            <w:tcW w:w="788" w:type="dxa"/>
            <w:vMerge/>
            <w:tcBorders>
              <w:top w:val="nil"/>
              <w:left w:val="single" w:sz="4" w:space="0" w:color="auto"/>
              <w:bottom w:val="single" w:sz="4" w:space="0" w:color="auto"/>
              <w:right w:val="single" w:sz="4" w:space="0" w:color="auto"/>
            </w:tcBorders>
            <w:vAlign w:val="center"/>
            <w:hideMark/>
          </w:tcPr>
          <w:p w14:paraId="4F4B265E"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042" w:type="dxa"/>
            <w:tcBorders>
              <w:top w:val="nil"/>
              <w:left w:val="nil"/>
              <w:bottom w:val="single" w:sz="4" w:space="0" w:color="auto"/>
              <w:right w:val="single" w:sz="4" w:space="0" w:color="auto"/>
            </w:tcBorders>
            <w:shd w:val="clear" w:color="auto" w:fill="auto"/>
            <w:vAlign w:val="center"/>
            <w:hideMark/>
          </w:tcPr>
          <w:p w14:paraId="110BD4EB"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 xml:space="preserve">Liczba ocenionych silnie zmienionych/sztucznych </w:t>
            </w:r>
            <w:proofErr w:type="spellStart"/>
            <w:r w:rsidRPr="00581B31">
              <w:rPr>
                <w:rFonts w:ascii="Times New Roman" w:eastAsia="Times New Roman" w:hAnsi="Times New Roman" w:cs="Times New Roman"/>
                <w:color w:val="000000"/>
                <w:sz w:val="18"/>
                <w:szCs w:val="18"/>
                <w:lang w:eastAsia="pl-PL"/>
              </w:rPr>
              <w:t>jcwp</w:t>
            </w:r>
            <w:proofErr w:type="spellEnd"/>
          </w:p>
        </w:tc>
        <w:tc>
          <w:tcPr>
            <w:tcW w:w="726" w:type="dxa"/>
            <w:tcBorders>
              <w:top w:val="nil"/>
              <w:left w:val="nil"/>
              <w:bottom w:val="single" w:sz="4" w:space="0" w:color="auto"/>
              <w:right w:val="single" w:sz="4" w:space="0" w:color="auto"/>
            </w:tcBorders>
            <w:shd w:val="clear" w:color="auto" w:fill="auto"/>
            <w:noWrap/>
            <w:vAlign w:val="center"/>
            <w:hideMark/>
          </w:tcPr>
          <w:p w14:paraId="0DF3FD03"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20</w:t>
            </w:r>
          </w:p>
        </w:tc>
        <w:tc>
          <w:tcPr>
            <w:tcW w:w="835" w:type="dxa"/>
            <w:tcBorders>
              <w:top w:val="nil"/>
              <w:left w:val="nil"/>
              <w:bottom w:val="single" w:sz="4" w:space="0" w:color="auto"/>
              <w:right w:val="single" w:sz="4" w:space="0" w:color="auto"/>
            </w:tcBorders>
            <w:shd w:val="clear" w:color="auto" w:fill="auto"/>
            <w:noWrap/>
            <w:vAlign w:val="center"/>
            <w:hideMark/>
          </w:tcPr>
          <w:p w14:paraId="643E140F"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99</w:t>
            </w:r>
          </w:p>
        </w:tc>
        <w:tc>
          <w:tcPr>
            <w:tcW w:w="881" w:type="dxa"/>
            <w:tcBorders>
              <w:top w:val="nil"/>
              <w:left w:val="nil"/>
              <w:bottom w:val="single" w:sz="4" w:space="0" w:color="auto"/>
              <w:right w:val="single" w:sz="4" w:space="0" w:color="auto"/>
            </w:tcBorders>
            <w:shd w:val="clear" w:color="auto" w:fill="auto"/>
            <w:noWrap/>
            <w:vAlign w:val="center"/>
            <w:hideMark/>
          </w:tcPr>
          <w:p w14:paraId="3C947797"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0</w:t>
            </w:r>
          </w:p>
        </w:tc>
        <w:tc>
          <w:tcPr>
            <w:tcW w:w="877" w:type="dxa"/>
            <w:tcBorders>
              <w:top w:val="nil"/>
              <w:left w:val="nil"/>
              <w:bottom w:val="single" w:sz="4" w:space="0" w:color="auto"/>
              <w:right w:val="single" w:sz="4" w:space="0" w:color="auto"/>
            </w:tcBorders>
            <w:shd w:val="clear" w:color="auto" w:fill="auto"/>
            <w:noWrap/>
            <w:vAlign w:val="center"/>
            <w:hideMark/>
          </w:tcPr>
          <w:p w14:paraId="26BCA42A"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1</w:t>
            </w:r>
          </w:p>
        </w:tc>
        <w:tc>
          <w:tcPr>
            <w:tcW w:w="870" w:type="dxa"/>
            <w:tcBorders>
              <w:top w:val="nil"/>
              <w:left w:val="nil"/>
              <w:bottom w:val="single" w:sz="4" w:space="0" w:color="auto"/>
              <w:right w:val="single" w:sz="4" w:space="0" w:color="auto"/>
            </w:tcBorders>
            <w:shd w:val="clear" w:color="auto" w:fill="auto"/>
            <w:noWrap/>
            <w:vAlign w:val="center"/>
            <w:hideMark/>
          </w:tcPr>
          <w:p w14:paraId="2DF29D99"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0</w:t>
            </w:r>
          </w:p>
        </w:tc>
        <w:tc>
          <w:tcPr>
            <w:tcW w:w="2048" w:type="dxa"/>
            <w:tcBorders>
              <w:top w:val="nil"/>
              <w:left w:val="nil"/>
              <w:bottom w:val="single" w:sz="4" w:space="0" w:color="auto"/>
              <w:right w:val="single" w:sz="4" w:space="0" w:color="auto"/>
            </w:tcBorders>
            <w:shd w:val="clear" w:color="auto" w:fill="auto"/>
            <w:noWrap/>
            <w:vAlign w:val="center"/>
            <w:hideMark/>
          </w:tcPr>
          <w:p w14:paraId="4F94D537"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120</w:t>
            </w:r>
          </w:p>
        </w:tc>
      </w:tr>
      <w:tr w:rsidR="0025528B" w:rsidRPr="005E2831" w14:paraId="3030F1DA" w14:textId="77777777" w:rsidTr="0025528B">
        <w:trPr>
          <w:trHeight w:val="300"/>
        </w:trPr>
        <w:tc>
          <w:tcPr>
            <w:tcW w:w="788"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5DBA66AC"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Klasyfikacja</w:t>
            </w:r>
            <w:r w:rsidRPr="00581B31">
              <w:rPr>
                <w:rFonts w:ascii="Times New Roman" w:eastAsia="Times New Roman" w:hAnsi="Times New Roman" w:cs="Times New Roman"/>
                <w:color w:val="000000"/>
                <w:sz w:val="18"/>
                <w:szCs w:val="18"/>
                <w:lang w:eastAsia="pl-PL"/>
              </w:rPr>
              <w:br/>
              <w:t>stanu</w:t>
            </w:r>
            <w:r w:rsidRPr="00581B31">
              <w:rPr>
                <w:rFonts w:ascii="Times New Roman" w:eastAsia="Times New Roman" w:hAnsi="Times New Roman" w:cs="Times New Roman"/>
                <w:color w:val="000000"/>
                <w:sz w:val="18"/>
                <w:szCs w:val="18"/>
                <w:lang w:eastAsia="pl-PL"/>
              </w:rPr>
              <w:br/>
              <w:t>chemicznego</w:t>
            </w:r>
          </w:p>
        </w:tc>
        <w:tc>
          <w:tcPr>
            <w:tcW w:w="2042" w:type="dxa"/>
            <w:tcBorders>
              <w:top w:val="nil"/>
              <w:left w:val="nil"/>
              <w:bottom w:val="single" w:sz="4" w:space="0" w:color="auto"/>
              <w:right w:val="single" w:sz="4" w:space="0" w:color="auto"/>
            </w:tcBorders>
            <w:shd w:val="clear" w:color="000000" w:fill="00B0F0"/>
            <w:vAlign w:val="center"/>
            <w:hideMark/>
          </w:tcPr>
          <w:p w14:paraId="5301BAB0"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Dobry</w:t>
            </w:r>
          </w:p>
        </w:tc>
        <w:tc>
          <w:tcPr>
            <w:tcW w:w="726" w:type="dxa"/>
            <w:tcBorders>
              <w:top w:val="nil"/>
              <w:left w:val="nil"/>
              <w:bottom w:val="single" w:sz="4" w:space="0" w:color="auto"/>
              <w:right w:val="single" w:sz="4" w:space="0" w:color="auto"/>
            </w:tcBorders>
            <w:shd w:val="clear" w:color="auto" w:fill="auto"/>
            <w:noWrap/>
            <w:vAlign w:val="center"/>
            <w:hideMark/>
          </w:tcPr>
          <w:p w14:paraId="0463C27D"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49</w:t>
            </w:r>
          </w:p>
        </w:tc>
        <w:tc>
          <w:tcPr>
            <w:tcW w:w="835" w:type="dxa"/>
            <w:tcBorders>
              <w:top w:val="nil"/>
              <w:left w:val="nil"/>
              <w:bottom w:val="single" w:sz="4" w:space="0" w:color="auto"/>
              <w:right w:val="single" w:sz="4" w:space="0" w:color="auto"/>
            </w:tcBorders>
            <w:shd w:val="clear" w:color="auto" w:fill="auto"/>
            <w:noWrap/>
            <w:vAlign w:val="center"/>
            <w:hideMark/>
          </w:tcPr>
          <w:p w14:paraId="0228F301"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34</w:t>
            </w:r>
          </w:p>
        </w:tc>
        <w:tc>
          <w:tcPr>
            <w:tcW w:w="881" w:type="dxa"/>
            <w:tcBorders>
              <w:top w:val="nil"/>
              <w:left w:val="nil"/>
              <w:bottom w:val="single" w:sz="4" w:space="0" w:color="auto"/>
              <w:right w:val="single" w:sz="4" w:space="0" w:color="auto"/>
            </w:tcBorders>
            <w:shd w:val="clear" w:color="auto" w:fill="auto"/>
            <w:noWrap/>
            <w:vAlign w:val="center"/>
            <w:hideMark/>
          </w:tcPr>
          <w:p w14:paraId="77FF2CAD"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3</w:t>
            </w:r>
          </w:p>
        </w:tc>
        <w:tc>
          <w:tcPr>
            <w:tcW w:w="877" w:type="dxa"/>
            <w:tcBorders>
              <w:top w:val="nil"/>
              <w:left w:val="nil"/>
              <w:bottom w:val="single" w:sz="4" w:space="0" w:color="auto"/>
              <w:right w:val="single" w:sz="4" w:space="0" w:color="auto"/>
            </w:tcBorders>
            <w:shd w:val="clear" w:color="auto" w:fill="auto"/>
            <w:noWrap/>
            <w:vAlign w:val="center"/>
            <w:hideMark/>
          </w:tcPr>
          <w:p w14:paraId="1361D559"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20</w:t>
            </w:r>
          </w:p>
        </w:tc>
        <w:tc>
          <w:tcPr>
            <w:tcW w:w="870" w:type="dxa"/>
            <w:tcBorders>
              <w:top w:val="nil"/>
              <w:left w:val="nil"/>
              <w:bottom w:val="single" w:sz="4" w:space="0" w:color="auto"/>
              <w:right w:val="single" w:sz="4" w:space="0" w:color="auto"/>
            </w:tcBorders>
            <w:shd w:val="clear" w:color="auto" w:fill="auto"/>
            <w:noWrap/>
            <w:vAlign w:val="center"/>
            <w:hideMark/>
          </w:tcPr>
          <w:p w14:paraId="2B42827D"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0</w:t>
            </w:r>
          </w:p>
        </w:tc>
        <w:tc>
          <w:tcPr>
            <w:tcW w:w="2048" w:type="dxa"/>
            <w:tcBorders>
              <w:top w:val="nil"/>
              <w:left w:val="nil"/>
              <w:bottom w:val="single" w:sz="4" w:space="0" w:color="auto"/>
              <w:right w:val="single" w:sz="4" w:space="0" w:color="auto"/>
            </w:tcBorders>
            <w:shd w:val="clear" w:color="auto" w:fill="auto"/>
            <w:noWrap/>
            <w:vAlign w:val="center"/>
            <w:hideMark/>
          </w:tcPr>
          <w:p w14:paraId="3194B001"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106</w:t>
            </w:r>
          </w:p>
        </w:tc>
      </w:tr>
      <w:tr w:rsidR="0025528B" w:rsidRPr="005E2831" w14:paraId="59A736AD" w14:textId="77777777" w:rsidTr="0025528B">
        <w:trPr>
          <w:trHeight w:val="480"/>
        </w:trPr>
        <w:tc>
          <w:tcPr>
            <w:tcW w:w="788" w:type="dxa"/>
            <w:vMerge/>
            <w:tcBorders>
              <w:top w:val="nil"/>
              <w:left w:val="single" w:sz="4" w:space="0" w:color="auto"/>
              <w:bottom w:val="single" w:sz="4" w:space="0" w:color="auto"/>
              <w:right w:val="single" w:sz="4" w:space="0" w:color="auto"/>
            </w:tcBorders>
            <w:vAlign w:val="center"/>
            <w:hideMark/>
          </w:tcPr>
          <w:p w14:paraId="60BB09B7"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042" w:type="dxa"/>
            <w:tcBorders>
              <w:top w:val="nil"/>
              <w:left w:val="nil"/>
              <w:bottom w:val="single" w:sz="4" w:space="0" w:color="auto"/>
              <w:right w:val="single" w:sz="4" w:space="0" w:color="auto"/>
            </w:tcBorders>
            <w:shd w:val="clear" w:color="000000" w:fill="FF0000"/>
            <w:vAlign w:val="center"/>
            <w:hideMark/>
          </w:tcPr>
          <w:p w14:paraId="0270A34D"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Poniżej dobrego</w:t>
            </w:r>
          </w:p>
        </w:tc>
        <w:tc>
          <w:tcPr>
            <w:tcW w:w="726" w:type="dxa"/>
            <w:tcBorders>
              <w:top w:val="nil"/>
              <w:left w:val="nil"/>
              <w:bottom w:val="single" w:sz="4" w:space="0" w:color="auto"/>
              <w:right w:val="single" w:sz="4" w:space="0" w:color="auto"/>
            </w:tcBorders>
            <w:shd w:val="clear" w:color="auto" w:fill="auto"/>
            <w:noWrap/>
            <w:vAlign w:val="center"/>
            <w:hideMark/>
          </w:tcPr>
          <w:p w14:paraId="36357114"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392</w:t>
            </w:r>
          </w:p>
        </w:tc>
        <w:tc>
          <w:tcPr>
            <w:tcW w:w="835" w:type="dxa"/>
            <w:tcBorders>
              <w:top w:val="nil"/>
              <w:left w:val="nil"/>
              <w:bottom w:val="single" w:sz="4" w:space="0" w:color="auto"/>
              <w:right w:val="single" w:sz="4" w:space="0" w:color="auto"/>
            </w:tcBorders>
            <w:shd w:val="clear" w:color="auto" w:fill="auto"/>
            <w:noWrap/>
            <w:vAlign w:val="center"/>
            <w:hideMark/>
          </w:tcPr>
          <w:p w14:paraId="3B3FD746"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326</w:t>
            </w:r>
          </w:p>
        </w:tc>
        <w:tc>
          <w:tcPr>
            <w:tcW w:w="881" w:type="dxa"/>
            <w:tcBorders>
              <w:top w:val="nil"/>
              <w:left w:val="nil"/>
              <w:bottom w:val="single" w:sz="4" w:space="0" w:color="auto"/>
              <w:right w:val="single" w:sz="4" w:space="0" w:color="auto"/>
            </w:tcBorders>
            <w:shd w:val="clear" w:color="auto" w:fill="auto"/>
            <w:noWrap/>
            <w:vAlign w:val="center"/>
            <w:hideMark/>
          </w:tcPr>
          <w:p w14:paraId="1B325C18"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33</w:t>
            </w:r>
          </w:p>
        </w:tc>
        <w:tc>
          <w:tcPr>
            <w:tcW w:w="877" w:type="dxa"/>
            <w:tcBorders>
              <w:top w:val="nil"/>
              <w:left w:val="nil"/>
              <w:bottom w:val="single" w:sz="4" w:space="0" w:color="auto"/>
              <w:right w:val="single" w:sz="4" w:space="0" w:color="auto"/>
            </w:tcBorders>
            <w:shd w:val="clear" w:color="auto" w:fill="auto"/>
            <w:noWrap/>
            <w:vAlign w:val="center"/>
            <w:hideMark/>
          </w:tcPr>
          <w:p w14:paraId="7603B904"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66</w:t>
            </w:r>
          </w:p>
        </w:tc>
        <w:tc>
          <w:tcPr>
            <w:tcW w:w="870" w:type="dxa"/>
            <w:tcBorders>
              <w:top w:val="nil"/>
              <w:left w:val="nil"/>
              <w:bottom w:val="single" w:sz="4" w:space="0" w:color="auto"/>
              <w:right w:val="single" w:sz="4" w:space="0" w:color="auto"/>
            </w:tcBorders>
            <w:shd w:val="clear" w:color="auto" w:fill="auto"/>
            <w:noWrap/>
            <w:vAlign w:val="center"/>
            <w:hideMark/>
          </w:tcPr>
          <w:p w14:paraId="07DDC66B"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1</w:t>
            </w:r>
          </w:p>
        </w:tc>
        <w:tc>
          <w:tcPr>
            <w:tcW w:w="2048" w:type="dxa"/>
            <w:tcBorders>
              <w:top w:val="nil"/>
              <w:left w:val="nil"/>
              <w:bottom w:val="single" w:sz="4" w:space="0" w:color="auto"/>
              <w:right w:val="single" w:sz="4" w:space="0" w:color="auto"/>
            </w:tcBorders>
            <w:shd w:val="clear" w:color="auto" w:fill="auto"/>
            <w:noWrap/>
            <w:vAlign w:val="center"/>
            <w:hideMark/>
          </w:tcPr>
          <w:p w14:paraId="6211A301"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818</w:t>
            </w:r>
          </w:p>
        </w:tc>
      </w:tr>
      <w:tr w:rsidR="0025528B" w:rsidRPr="005E2831" w14:paraId="12EE120D" w14:textId="77777777" w:rsidTr="0025528B">
        <w:trPr>
          <w:trHeight w:val="468"/>
        </w:trPr>
        <w:tc>
          <w:tcPr>
            <w:tcW w:w="788" w:type="dxa"/>
            <w:vMerge/>
            <w:tcBorders>
              <w:top w:val="nil"/>
              <w:left w:val="single" w:sz="4" w:space="0" w:color="auto"/>
              <w:bottom w:val="single" w:sz="4" w:space="0" w:color="auto"/>
              <w:right w:val="single" w:sz="4" w:space="0" w:color="auto"/>
            </w:tcBorders>
            <w:vAlign w:val="center"/>
            <w:hideMark/>
          </w:tcPr>
          <w:p w14:paraId="7EE97877"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042" w:type="dxa"/>
            <w:tcBorders>
              <w:top w:val="nil"/>
              <w:left w:val="nil"/>
              <w:bottom w:val="single" w:sz="4" w:space="0" w:color="auto"/>
              <w:right w:val="single" w:sz="4" w:space="0" w:color="auto"/>
            </w:tcBorders>
            <w:shd w:val="clear" w:color="auto" w:fill="auto"/>
            <w:vAlign w:val="center"/>
            <w:hideMark/>
          </w:tcPr>
          <w:p w14:paraId="5DBF6377"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 xml:space="preserve">Liczba ocenionych </w:t>
            </w:r>
            <w:proofErr w:type="spellStart"/>
            <w:r w:rsidRPr="00581B31">
              <w:rPr>
                <w:rFonts w:ascii="Times New Roman" w:eastAsia="Times New Roman" w:hAnsi="Times New Roman" w:cs="Times New Roman"/>
                <w:color w:val="000000"/>
                <w:sz w:val="18"/>
                <w:szCs w:val="18"/>
                <w:lang w:eastAsia="pl-PL"/>
              </w:rPr>
              <w:t>jcwp</w:t>
            </w:r>
            <w:proofErr w:type="spellEnd"/>
          </w:p>
        </w:tc>
        <w:tc>
          <w:tcPr>
            <w:tcW w:w="726" w:type="dxa"/>
            <w:tcBorders>
              <w:top w:val="nil"/>
              <w:left w:val="nil"/>
              <w:bottom w:val="single" w:sz="4" w:space="0" w:color="auto"/>
              <w:right w:val="single" w:sz="4" w:space="0" w:color="auto"/>
            </w:tcBorders>
            <w:shd w:val="clear" w:color="auto" w:fill="auto"/>
            <w:noWrap/>
            <w:vAlign w:val="center"/>
            <w:hideMark/>
          </w:tcPr>
          <w:p w14:paraId="1257BE59"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441</w:t>
            </w:r>
          </w:p>
        </w:tc>
        <w:tc>
          <w:tcPr>
            <w:tcW w:w="835" w:type="dxa"/>
            <w:tcBorders>
              <w:top w:val="nil"/>
              <w:left w:val="nil"/>
              <w:bottom w:val="single" w:sz="4" w:space="0" w:color="auto"/>
              <w:right w:val="single" w:sz="4" w:space="0" w:color="auto"/>
            </w:tcBorders>
            <w:shd w:val="clear" w:color="auto" w:fill="auto"/>
            <w:noWrap/>
            <w:vAlign w:val="center"/>
            <w:hideMark/>
          </w:tcPr>
          <w:p w14:paraId="4B2E284F"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360</w:t>
            </w:r>
          </w:p>
        </w:tc>
        <w:tc>
          <w:tcPr>
            <w:tcW w:w="881" w:type="dxa"/>
            <w:tcBorders>
              <w:top w:val="nil"/>
              <w:left w:val="nil"/>
              <w:bottom w:val="single" w:sz="4" w:space="0" w:color="auto"/>
              <w:right w:val="single" w:sz="4" w:space="0" w:color="auto"/>
            </w:tcBorders>
            <w:shd w:val="clear" w:color="auto" w:fill="auto"/>
            <w:noWrap/>
            <w:vAlign w:val="center"/>
            <w:hideMark/>
          </w:tcPr>
          <w:p w14:paraId="44CD3F95"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36</w:t>
            </w:r>
          </w:p>
        </w:tc>
        <w:tc>
          <w:tcPr>
            <w:tcW w:w="877" w:type="dxa"/>
            <w:tcBorders>
              <w:top w:val="nil"/>
              <w:left w:val="nil"/>
              <w:bottom w:val="single" w:sz="4" w:space="0" w:color="auto"/>
              <w:right w:val="single" w:sz="4" w:space="0" w:color="auto"/>
            </w:tcBorders>
            <w:shd w:val="clear" w:color="auto" w:fill="auto"/>
            <w:noWrap/>
            <w:vAlign w:val="center"/>
            <w:hideMark/>
          </w:tcPr>
          <w:p w14:paraId="110D0BA7"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86</w:t>
            </w:r>
          </w:p>
        </w:tc>
        <w:tc>
          <w:tcPr>
            <w:tcW w:w="870" w:type="dxa"/>
            <w:tcBorders>
              <w:top w:val="nil"/>
              <w:left w:val="nil"/>
              <w:bottom w:val="single" w:sz="4" w:space="0" w:color="auto"/>
              <w:right w:val="single" w:sz="4" w:space="0" w:color="auto"/>
            </w:tcBorders>
            <w:shd w:val="clear" w:color="auto" w:fill="auto"/>
            <w:noWrap/>
            <w:vAlign w:val="center"/>
            <w:hideMark/>
          </w:tcPr>
          <w:p w14:paraId="3C84B4F3"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1</w:t>
            </w:r>
          </w:p>
        </w:tc>
        <w:tc>
          <w:tcPr>
            <w:tcW w:w="2048" w:type="dxa"/>
            <w:tcBorders>
              <w:top w:val="nil"/>
              <w:left w:val="nil"/>
              <w:bottom w:val="single" w:sz="4" w:space="0" w:color="auto"/>
              <w:right w:val="single" w:sz="4" w:space="0" w:color="auto"/>
            </w:tcBorders>
            <w:shd w:val="clear" w:color="auto" w:fill="auto"/>
            <w:noWrap/>
            <w:vAlign w:val="center"/>
            <w:hideMark/>
          </w:tcPr>
          <w:p w14:paraId="4A1E995B"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924</w:t>
            </w:r>
          </w:p>
        </w:tc>
      </w:tr>
      <w:tr w:rsidR="0025528B" w:rsidRPr="005E2831" w14:paraId="761CFAAB" w14:textId="77777777" w:rsidTr="0025528B">
        <w:trPr>
          <w:trHeight w:val="300"/>
        </w:trPr>
        <w:tc>
          <w:tcPr>
            <w:tcW w:w="788"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523735F8"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Ocena</w:t>
            </w:r>
            <w:r w:rsidRPr="00581B31">
              <w:rPr>
                <w:rFonts w:ascii="Times New Roman" w:eastAsia="Times New Roman" w:hAnsi="Times New Roman" w:cs="Times New Roman"/>
                <w:color w:val="000000"/>
                <w:sz w:val="18"/>
                <w:szCs w:val="18"/>
                <w:lang w:eastAsia="pl-PL"/>
              </w:rPr>
              <w:br/>
              <w:t>stanu</w:t>
            </w:r>
          </w:p>
        </w:tc>
        <w:tc>
          <w:tcPr>
            <w:tcW w:w="2042" w:type="dxa"/>
            <w:tcBorders>
              <w:top w:val="nil"/>
              <w:left w:val="nil"/>
              <w:bottom w:val="single" w:sz="4" w:space="0" w:color="auto"/>
              <w:right w:val="single" w:sz="4" w:space="0" w:color="auto"/>
            </w:tcBorders>
            <w:shd w:val="clear" w:color="000000" w:fill="00B0F0"/>
            <w:vAlign w:val="center"/>
            <w:hideMark/>
          </w:tcPr>
          <w:p w14:paraId="2B1E3C3E"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Dobry</w:t>
            </w:r>
          </w:p>
        </w:tc>
        <w:tc>
          <w:tcPr>
            <w:tcW w:w="726" w:type="dxa"/>
            <w:tcBorders>
              <w:top w:val="nil"/>
              <w:left w:val="nil"/>
              <w:bottom w:val="single" w:sz="4" w:space="0" w:color="auto"/>
              <w:right w:val="single" w:sz="4" w:space="0" w:color="auto"/>
            </w:tcBorders>
            <w:shd w:val="clear" w:color="auto" w:fill="auto"/>
            <w:noWrap/>
            <w:vAlign w:val="center"/>
            <w:hideMark/>
          </w:tcPr>
          <w:p w14:paraId="41F9E580"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8</w:t>
            </w:r>
          </w:p>
        </w:tc>
        <w:tc>
          <w:tcPr>
            <w:tcW w:w="835" w:type="dxa"/>
            <w:tcBorders>
              <w:top w:val="nil"/>
              <w:left w:val="nil"/>
              <w:bottom w:val="single" w:sz="4" w:space="0" w:color="auto"/>
              <w:right w:val="single" w:sz="4" w:space="0" w:color="auto"/>
            </w:tcBorders>
            <w:shd w:val="clear" w:color="auto" w:fill="auto"/>
            <w:noWrap/>
            <w:vAlign w:val="center"/>
            <w:hideMark/>
          </w:tcPr>
          <w:p w14:paraId="2AE62436"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3</w:t>
            </w:r>
          </w:p>
        </w:tc>
        <w:tc>
          <w:tcPr>
            <w:tcW w:w="881" w:type="dxa"/>
            <w:tcBorders>
              <w:top w:val="nil"/>
              <w:left w:val="nil"/>
              <w:bottom w:val="single" w:sz="4" w:space="0" w:color="auto"/>
              <w:right w:val="single" w:sz="4" w:space="0" w:color="auto"/>
            </w:tcBorders>
            <w:shd w:val="clear" w:color="auto" w:fill="auto"/>
            <w:noWrap/>
            <w:vAlign w:val="center"/>
            <w:hideMark/>
          </w:tcPr>
          <w:p w14:paraId="5A07F4BF"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0</w:t>
            </w:r>
          </w:p>
        </w:tc>
        <w:tc>
          <w:tcPr>
            <w:tcW w:w="877" w:type="dxa"/>
            <w:tcBorders>
              <w:top w:val="nil"/>
              <w:left w:val="nil"/>
              <w:bottom w:val="single" w:sz="4" w:space="0" w:color="auto"/>
              <w:right w:val="single" w:sz="4" w:space="0" w:color="auto"/>
            </w:tcBorders>
            <w:shd w:val="clear" w:color="auto" w:fill="auto"/>
            <w:noWrap/>
            <w:vAlign w:val="center"/>
            <w:hideMark/>
          </w:tcPr>
          <w:p w14:paraId="7E452803"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1</w:t>
            </w:r>
          </w:p>
        </w:tc>
        <w:tc>
          <w:tcPr>
            <w:tcW w:w="870" w:type="dxa"/>
            <w:tcBorders>
              <w:top w:val="nil"/>
              <w:left w:val="nil"/>
              <w:bottom w:val="single" w:sz="4" w:space="0" w:color="auto"/>
              <w:right w:val="single" w:sz="4" w:space="0" w:color="auto"/>
            </w:tcBorders>
            <w:shd w:val="clear" w:color="auto" w:fill="auto"/>
            <w:noWrap/>
            <w:vAlign w:val="center"/>
            <w:hideMark/>
          </w:tcPr>
          <w:p w14:paraId="3E1CF91F"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0</w:t>
            </w:r>
          </w:p>
        </w:tc>
        <w:tc>
          <w:tcPr>
            <w:tcW w:w="2048" w:type="dxa"/>
            <w:tcBorders>
              <w:top w:val="nil"/>
              <w:left w:val="nil"/>
              <w:bottom w:val="single" w:sz="4" w:space="0" w:color="auto"/>
              <w:right w:val="single" w:sz="4" w:space="0" w:color="auto"/>
            </w:tcBorders>
            <w:shd w:val="clear" w:color="auto" w:fill="auto"/>
            <w:noWrap/>
            <w:vAlign w:val="center"/>
            <w:hideMark/>
          </w:tcPr>
          <w:p w14:paraId="788DE1D1"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12</w:t>
            </w:r>
          </w:p>
        </w:tc>
      </w:tr>
      <w:tr w:rsidR="0025528B" w:rsidRPr="005E2831" w14:paraId="31D9BA86" w14:textId="77777777" w:rsidTr="0025528B">
        <w:trPr>
          <w:trHeight w:val="300"/>
        </w:trPr>
        <w:tc>
          <w:tcPr>
            <w:tcW w:w="788" w:type="dxa"/>
            <w:vMerge/>
            <w:tcBorders>
              <w:top w:val="nil"/>
              <w:left w:val="single" w:sz="4" w:space="0" w:color="auto"/>
              <w:bottom w:val="single" w:sz="4" w:space="0" w:color="auto"/>
              <w:right w:val="single" w:sz="4" w:space="0" w:color="auto"/>
            </w:tcBorders>
            <w:vAlign w:val="center"/>
            <w:hideMark/>
          </w:tcPr>
          <w:p w14:paraId="50C97A1E"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042" w:type="dxa"/>
            <w:tcBorders>
              <w:top w:val="nil"/>
              <w:left w:val="nil"/>
              <w:bottom w:val="single" w:sz="4" w:space="0" w:color="auto"/>
              <w:right w:val="single" w:sz="4" w:space="0" w:color="auto"/>
            </w:tcBorders>
            <w:shd w:val="clear" w:color="000000" w:fill="FF0000"/>
            <w:vAlign w:val="center"/>
            <w:hideMark/>
          </w:tcPr>
          <w:p w14:paraId="5C5E9E73"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Zły</w:t>
            </w:r>
          </w:p>
        </w:tc>
        <w:tc>
          <w:tcPr>
            <w:tcW w:w="726" w:type="dxa"/>
            <w:tcBorders>
              <w:top w:val="nil"/>
              <w:left w:val="nil"/>
              <w:bottom w:val="single" w:sz="4" w:space="0" w:color="auto"/>
              <w:right w:val="single" w:sz="4" w:space="0" w:color="auto"/>
            </w:tcBorders>
            <w:shd w:val="clear" w:color="auto" w:fill="auto"/>
            <w:noWrap/>
            <w:vAlign w:val="center"/>
            <w:hideMark/>
          </w:tcPr>
          <w:p w14:paraId="34F17B8B"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476</w:t>
            </w:r>
          </w:p>
        </w:tc>
        <w:tc>
          <w:tcPr>
            <w:tcW w:w="835" w:type="dxa"/>
            <w:tcBorders>
              <w:top w:val="nil"/>
              <w:left w:val="nil"/>
              <w:bottom w:val="single" w:sz="4" w:space="0" w:color="auto"/>
              <w:right w:val="single" w:sz="4" w:space="0" w:color="auto"/>
            </w:tcBorders>
            <w:shd w:val="clear" w:color="auto" w:fill="auto"/>
            <w:noWrap/>
            <w:vAlign w:val="center"/>
            <w:hideMark/>
          </w:tcPr>
          <w:p w14:paraId="2F1D4E33"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419</w:t>
            </w:r>
          </w:p>
        </w:tc>
        <w:tc>
          <w:tcPr>
            <w:tcW w:w="881" w:type="dxa"/>
            <w:tcBorders>
              <w:top w:val="nil"/>
              <w:left w:val="nil"/>
              <w:bottom w:val="single" w:sz="4" w:space="0" w:color="auto"/>
              <w:right w:val="single" w:sz="4" w:space="0" w:color="auto"/>
            </w:tcBorders>
            <w:shd w:val="clear" w:color="auto" w:fill="auto"/>
            <w:noWrap/>
            <w:vAlign w:val="center"/>
            <w:hideMark/>
          </w:tcPr>
          <w:p w14:paraId="124DD80A"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36</w:t>
            </w:r>
          </w:p>
        </w:tc>
        <w:tc>
          <w:tcPr>
            <w:tcW w:w="877" w:type="dxa"/>
            <w:tcBorders>
              <w:top w:val="nil"/>
              <w:left w:val="nil"/>
              <w:bottom w:val="single" w:sz="4" w:space="0" w:color="auto"/>
              <w:right w:val="single" w:sz="4" w:space="0" w:color="auto"/>
            </w:tcBorders>
            <w:shd w:val="clear" w:color="auto" w:fill="auto"/>
            <w:noWrap/>
            <w:vAlign w:val="center"/>
            <w:hideMark/>
          </w:tcPr>
          <w:p w14:paraId="4F65C57C"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100</w:t>
            </w:r>
          </w:p>
        </w:tc>
        <w:tc>
          <w:tcPr>
            <w:tcW w:w="870" w:type="dxa"/>
            <w:tcBorders>
              <w:top w:val="nil"/>
              <w:left w:val="nil"/>
              <w:bottom w:val="single" w:sz="4" w:space="0" w:color="auto"/>
              <w:right w:val="single" w:sz="4" w:space="0" w:color="auto"/>
            </w:tcBorders>
            <w:shd w:val="clear" w:color="auto" w:fill="auto"/>
            <w:noWrap/>
            <w:vAlign w:val="center"/>
            <w:hideMark/>
          </w:tcPr>
          <w:p w14:paraId="0E55F553"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1</w:t>
            </w:r>
          </w:p>
        </w:tc>
        <w:tc>
          <w:tcPr>
            <w:tcW w:w="2048" w:type="dxa"/>
            <w:tcBorders>
              <w:top w:val="nil"/>
              <w:left w:val="nil"/>
              <w:bottom w:val="single" w:sz="4" w:space="0" w:color="auto"/>
              <w:right w:val="single" w:sz="4" w:space="0" w:color="auto"/>
            </w:tcBorders>
            <w:shd w:val="clear" w:color="auto" w:fill="auto"/>
            <w:noWrap/>
            <w:vAlign w:val="center"/>
            <w:hideMark/>
          </w:tcPr>
          <w:p w14:paraId="12B12B60"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1032</w:t>
            </w:r>
          </w:p>
        </w:tc>
      </w:tr>
      <w:tr w:rsidR="0025528B" w:rsidRPr="005E2831" w14:paraId="1E08D8E8" w14:textId="77777777" w:rsidTr="0025528B">
        <w:trPr>
          <w:trHeight w:val="720"/>
        </w:trPr>
        <w:tc>
          <w:tcPr>
            <w:tcW w:w="788" w:type="dxa"/>
            <w:vMerge/>
            <w:tcBorders>
              <w:top w:val="nil"/>
              <w:left w:val="single" w:sz="4" w:space="0" w:color="auto"/>
              <w:bottom w:val="single" w:sz="4" w:space="0" w:color="auto"/>
              <w:right w:val="single" w:sz="4" w:space="0" w:color="auto"/>
            </w:tcBorders>
            <w:vAlign w:val="center"/>
            <w:hideMark/>
          </w:tcPr>
          <w:p w14:paraId="08D56673"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p>
        </w:tc>
        <w:tc>
          <w:tcPr>
            <w:tcW w:w="2042" w:type="dxa"/>
            <w:tcBorders>
              <w:top w:val="nil"/>
              <w:left w:val="nil"/>
              <w:bottom w:val="single" w:sz="4" w:space="0" w:color="auto"/>
              <w:right w:val="single" w:sz="4" w:space="0" w:color="auto"/>
            </w:tcBorders>
            <w:shd w:val="clear" w:color="auto" w:fill="auto"/>
            <w:vAlign w:val="center"/>
            <w:hideMark/>
          </w:tcPr>
          <w:p w14:paraId="7DC7ECFD"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 xml:space="preserve">Liczba ocenionych </w:t>
            </w:r>
            <w:proofErr w:type="spellStart"/>
            <w:r w:rsidRPr="00581B31">
              <w:rPr>
                <w:rFonts w:ascii="Times New Roman" w:eastAsia="Times New Roman" w:hAnsi="Times New Roman" w:cs="Times New Roman"/>
                <w:color w:val="000000"/>
                <w:sz w:val="18"/>
                <w:szCs w:val="18"/>
                <w:lang w:eastAsia="pl-PL"/>
              </w:rPr>
              <w:t>jcwp</w:t>
            </w:r>
            <w:proofErr w:type="spellEnd"/>
          </w:p>
        </w:tc>
        <w:tc>
          <w:tcPr>
            <w:tcW w:w="726" w:type="dxa"/>
            <w:tcBorders>
              <w:top w:val="nil"/>
              <w:left w:val="nil"/>
              <w:bottom w:val="single" w:sz="4" w:space="0" w:color="auto"/>
              <w:right w:val="single" w:sz="4" w:space="0" w:color="auto"/>
            </w:tcBorders>
            <w:shd w:val="clear" w:color="auto" w:fill="auto"/>
            <w:noWrap/>
            <w:vAlign w:val="center"/>
            <w:hideMark/>
          </w:tcPr>
          <w:p w14:paraId="79DBB458"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484</w:t>
            </w:r>
          </w:p>
        </w:tc>
        <w:tc>
          <w:tcPr>
            <w:tcW w:w="835" w:type="dxa"/>
            <w:tcBorders>
              <w:top w:val="nil"/>
              <w:left w:val="nil"/>
              <w:bottom w:val="single" w:sz="4" w:space="0" w:color="auto"/>
              <w:right w:val="single" w:sz="4" w:space="0" w:color="auto"/>
            </w:tcBorders>
            <w:shd w:val="clear" w:color="auto" w:fill="auto"/>
            <w:noWrap/>
            <w:vAlign w:val="center"/>
            <w:hideMark/>
          </w:tcPr>
          <w:p w14:paraId="7CA29FB5"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422</w:t>
            </w:r>
          </w:p>
        </w:tc>
        <w:tc>
          <w:tcPr>
            <w:tcW w:w="881" w:type="dxa"/>
            <w:tcBorders>
              <w:top w:val="nil"/>
              <w:left w:val="nil"/>
              <w:bottom w:val="single" w:sz="4" w:space="0" w:color="auto"/>
              <w:right w:val="single" w:sz="4" w:space="0" w:color="auto"/>
            </w:tcBorders>
            <w:shd w:val="clear" w:color="auto" w:fill="auto"/>
            <w:noWrap/>
            <w:vAlign w:val="center"/>
            <w:hideMark/>
          </w:tcPr>
          <w:p w14:paraId="05D5D9D2"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36</w:t>
            </w:r>
          </w:p>
        </w:tc>
        <w:tc>
          <w:tcPr>
            <w:tcW w:w="877" w:type="dxa"/>
            <w:tcBorders>
              <w:top w:val="nil"/>
              <w:left w:val="nil"/>
              <w:bottom w:val="single" w:sz="4" w:space="0" w:color="auto"/>
              <w:right w:val="single" w:sz="4" w:space="0" w:color="auto"/>
            </w:tcBorders>
            <w:shd w:val="clear" w:color="auto" w:fill="auto"/>
            <w:noWrap/>
            <w:vAlign w:val="center"/>
            <w:hideMark/>
          </w:tcPr>
          <w:p w14:paraId="7811F286"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101</w:t>
            </w:r>
          </w:p>
        </w:tc>
        <w:tc>
          <w:tcPr>
            <w:tcW w:w="870" w:type="dxa"/>
            <w:tcBorders>
              <w:top w:val="nil"/>
              <w:left w:val="nil"/>
              <w:bottom w:val="single" w:sz="4" w:space="0" w:color="auto"/>
              <w:right w:val="single" w:sz="4" w:space="0" w:color="auto"/>
            </w:tcBorders>
            <w:shd w:val="clear" w:color="auto" w:fill="auto"/>
            <w:noWrap/>
            <w:vAlign w:val="center"/>
            <w:hideMark/>
          </w:tcPr>
          <w:p w14:paraId="63920972"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1</w:t>
            </w:r>
          </w:p>
        </w:tc>
        <w:tc>
          <w:tcPr>
            <w:tcW w:w="2048" w:type="dxa"/>
            <w:tcBorders>
              <w:top w:val="nil"/>
              <w:left w:val="nil"/>
              <w:bottom w:val="single" w:sz="4" w:space="0" w:color="auto"/>
              <w:right w:val="single" w:sz="4" w:space="0" w:color="auto"/>
            </w:tcBorders>
            <w:shd w:val="clear" w:color="auto" w:fill="auto"/>
            <w:noWrap/>
            <w:vAlign w:val="center"/>
            <w:hideMark/>
          </w:tcPr>
          <w:p w14:paraId="74814389" w14:textId="77777777" w:rsidR="0025528B" w:rsidRPr="00581B31" w:rsidRDefault="0025528B" w:rsidP="0025528B">
            <w:pPr>
              <w:spacing w:after="60" w:line="240" w:lineRule="auto"/>
              <w:jc w:val="center"/>
              <w:rPr>
                <w:rFonts w:ascii="Times New Roman" w:eastAsia="Times New Roman" w:hAnsi="Times New Roman" w:cs="Times New Roman"/>
                <w:color w:val="000000"/>
                <w:sz w:val="18"/>
                <w:szCs w:val="18"/>
                <w:lang w:eastAsia="pl-PL"/>
              </w:rPr>
            </w:pPr>
            <w:r w:rsidRPr="00581B31">
              <w:rPr>
                <w:rFonts w:ascii="Times New Roman" w:eastAsia="Times New Roman" w:hAnsi="Times New Roman" w:cs="Times New Roman"/>
                <w:color w:val="000000"/>
                <w:sz w:val="18"/>
                <w:szCs w:val="18"/>
                <w:lang w:eastAsia="pl-PL"/>
              </w:rPr>
              <w:t>1044</w:t>
            </w:r>
          </w:p>
        </w:tc>
      </w:tr>
    </w:tbl>
    <w:p w14:paraId="5475F2C1" w14:textId="77777777" w:rsidR="0025528B" w:rsidRPr="005E2831" w:rsidRDefault="0025528B" w:rsidP="0025528B">
      <w:pPr>
        <w:spacing w:after="60" w:line="300" w:lineRule="atLeast"/>
        <w:jc w:val="both"/>
        <w:rPr>
          <w:rFonts w:ascii="Times New Roman" w:hAnsi="Times New Roman" w:cs="Times New Roman"/>
          <w:sz w:val="24"/>
          <w:szCs w:val="24"/>
        </w:rPr>
      </w:pPr>
      <w:r w:rsidRPr="005E2831">
        <w:rPr>
          <w:rFonts w:ascii="Times New Roman" w:eastAsia="Calibri" w:hAnsi="Times New Roman" w:cs="Times New Roman"/>
          <w:sz w:val="20"/>
          <w:szCs w:val="20"/>
          <w:lang w:eastAsia="pl-PL"/>
        </w:rPr>
        <w:fldChar w:fldCharType="end"/>
      </w:r>
      <w:r w:rsidRPr="005E2831">
        <w:rPr>
          <w:rFonts w:ascii="Times New Roman" w:eastAsia="Calibri" w:hAnsi="Times New Roman" w:cs="Times New Roman"/>
          <w:sz w:val="20"/>
          <w:szCs w:val="20"/>
          <w:lang w:eastAsia="pl-PL"/>
        </w:rPr>
        <w:br w:type="textWrapping" w:clear="all"/>
      </w:r>
      <w:r>
        <w:rPr>
          <w:rFonts w:ascii="Times New Roman" w:hAnsi="Times New Roman" w:cs="Times New Roman"/>
          <w:sz w:val="24"/>
          <w:szCs w:val="24"/>
        </w:rPr>
        <w:tab/>
      </w:r>
      <w:r w:rsidRPr="005E2831">
        <w:rPr>
          <w:rFonts w:ascii="Times New Roman" w:hAnsi="Times New Roman" w:cs="Times New Roman"/>
          <w:sz w:val="24"/>
          <w:szCs w:val="24"/>
        </w:rPr>
        <w:t xml:space="preserve">Klasyfikacja stanu ekologicznego była możliwa w 833 naturalnych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jeziornych. Największy udział w sklasyfikowanych naturalnych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stanowią te o umiarkowanym stanie ekologicznym (52%). Bardzo dobry stan ekologiczny odnotowano tylko w jednej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jeziornej, dodatkowo 117 </w:t>
      </w:r>
      <w:proofErr w:type="spellStart"/>
      <w:r w:rsidRPr="005E2831">
        <w:rPr>
          <w:rFonts w:ascii="Times New Roman" w:hAnsi="Times New Roman" w:cs="Times New Roman"/>
          <w:sz w:val="24"/>
          <w:szCs w:val="24"/>
        </w:rPr>
        <w:t>jcwp</w:t>
      </w:r>
      <w:proofErr w:type="spellEnd"/>
      <w:r w:rsidRPr="005E2831">
        <w:rPr>
          <w:rFonts w:ascii="Times New Roman" w:hAnsi="Times New Roman" w:cs="Times New Roman"/>
          <w:sz w:val="24"/>
          <w:szCs w:val="24"/>
        </w:rPr>
        <w:t xml:space="preserve"> (14,1%) jezior osiągnęło dobry stan ekologiczny. Natomiast jeziora o słabym i złym stanie ekologicznym stanowią 33,9% wszystkich ocenionych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hAnsi="Times New Roman" w:cs="Times New Roman"/>
          <w:sz w:val="24"/>
          <w:szCs w:val="24"/>
        </w:rPr>
        <w:t>.</w:t>
      </w:r>
    </w:p>
    <w:p w14:paraId="4BEEB1FA" w14:textId="77777777" w:rsidR="0025528B" w:rsidRPr="005E2831" w:rsidRDefault="0025528B" w:rsidP="0025528B">
      <w:pPr>
        <w:spacing w:after="60" w:line="300" w:lineRule="atLeast"/>
        <w:ind w:firstLine="708"/>
        <w:jc w:val="both"/>
        <w:rPr>
          <w:rFonts w:ascii="Times New Roman" w:hAnsi="Times New Roman" w:cs="Times New Roman"/>
          <w:sz w:val="24"/>
          <w:szCs w:val="24"/>
        </w:rPr>
      </w:pPr>
      <w:r w:rsidRPr="005E2831">
        <w:rPr>
          <w:rFonts w:ascii="Times New Roman" w:hAnsi="Times New Roman" w:cs="Times New Roman"/>
          <w:sz w:val="24"/>
          <w:szCs w:val="24"/>
        </w:rPr>
        <w:t xml:space="preserve">Klasyfikacja potencjału ekologicznego była możliwa dla 120 silnie zmienionych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jeziornych. Największy udział w sklasyfikowanych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stanowią jeziora o słabym lub złym potencjale ekologicznym (51,7%).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jeziorne o potencjale umiarkowanym stanowią 36,7% wszystkich sklasyfikowanych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hAnsi="Times New Roman" w:cs="Times New Roman"/>
          <w:sz w:val="24"/>
          <w:szCs w:val="24"/>
        </w:rPr>
        <w:t xml:space="preserve">. W żadnej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jeziornej nie odnotowano maksymalnego potencjału ekologicznego. Dobry potencjał ekologiczny osiągnęło 11,7%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jeziornych.</w:t>
      </w:r>
    </w:p>
    <w:p w14:paraId="1F2E91D3" w14:textId="77777777" w:rsidR="0025528B" w:rsidRPr="005E2831" w:rsidRDefault="0025528B" w:rsidP="0025528B">
      <w:pPr>
        <w:spacing w:after="60" w:line="300" w:lineRule="atLeast"/>
        <w:ind w:firstLine="708"/>
        <w:jc w:val="both"/>
        <w:rPr>
          <w:rFonts w:ascii="Times New Roman" w:hAnsi="Times New Roman" w:cs="Times New Roman"/>
          <w:sz w:val="24"/>
          <w:szCs w:val="24"/>
        </w:rPr>
      </w:pPr>
      <w:r w:rsidRPr="005E2831">
        <w:rPr>
          <w:rFonts w:ascii="Times New Roman" w:hAnsi="Times New Roman" w:cs="Times New Roman"/>
          <w:sz w:val="24"/>
          <w:szCs w:val="24"/>
        </w:rPr>
        <w:t xml:space="preserve">Klasyfikacja stanu chemicznego była możliwa dla 924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 xml:space="preserve">jeziornych, przy czym 88,5%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osiągnęło stan chemiczny poniżej dobrego.</w:t>
      </w:r>
    </w:p>
    <w:p w14:paraId="589D0280" w14:textId="77777777" w:rsidR="0025528B" w:rsidRPr="005E2831" w:rsidRDefault="0025528B" w:rsidP="0025528B">
      <w:pPr>
        <w:spacing w:after="60" w:line="300" w:lineRule="atLeast"/>
        <w:ind w:firstLine="708"/>
        <w:jc w:val="both"/>
        <w:rPr>
          <w:rFonts w:ascii="Times New Roman" w:hAnsi="Times New Roman" w:cs="Times New Roman"/>
          <w:sz w:val="24"/>
          <w:szCs w:val="24"/>
        </w:rPr>
      </w:pPr>
      <w:r w:rsidRPr="005E2831">
        <w:rPr>
          <w:rFonts w:ascii="Times New Roman" w:hAnsi="Times New Roman" w:cs="Times New Roman"/>
          <w:sz w:val="24"/>
          <w:szCs w:val="24"/>
        </w:rPr>
        <w:lastRenderedPageBreak/>
        <w:t xml:space="preserve">Ocena stanu wykonana dla 1 044 jezior wykazała, iż zły stan wód odnotowano </w:t>
      </w:r>
      <w:r w:rsidRPr="005E2831">
        <w:rPr>
          <w:rFonts w:ascii="Times New Roman" w:hAnsi="Times New Roman" w:cs="Times New Roman"/>
          <w:sz w:val="24"/>
          <w:szCs w:val="24"/>
        </w:rPr>
        <w:br/>
        <w:t xml:space="preserve">w 98,9%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w:t>
      </w:r>
      <w:r w:rsidRPr="005E2831">
        <w:rPr>
          <w:rFonts w:ascii="Times New Roman" w:hAnsi="Times New Roman" w:cs="Times New Roman"/>
          <w:sz w:val="24"/>
          <w:szCs w:val="24"/>
        </w:rPr>
        <w:t>jeziornych.</w:t>
      </w:r>
    </w:p>
    <w:p w14:paraId="229B87F1" w14:textId="1A75C0D8" w:rsidR="00895F16" w:rsidRPr="007F400A" w:rsidRDefault="0025528B" w:rsidP="0025528B">
      <w:pPr>
        <w:spacing w:after="0" w:line="300" w:lineRule="atLeast"/>
        <w:ind w:firstLine="567"/>
        <w:jc w:val="both"/>
        <w:rPr>
          <w:rFonts w:ascii="Times New Roman" w:hAnsi="Times New Roman"/>
          <w:sz w:val="24"/>
          <w:szCs w:val="24"/>
          <w:lang w:eastAsia="pl-PL"/>
        </w:rPr>
      </w:pPr>
      <w:r w:rsidRPr="005E2831">
        <w:rPr>
          <w:rFonts w:ascii="Times New Roman" w:hAnsi="Times New Roman" w:cs="Times New Roman"/>
          <w:sz w:val="24"/>
          <w:szCs w:val="24"/>
        </w:rPr>
        <w:t xml:space="preserve">Ponadto uzyskane dane zostały opracowane w układzie </w:t>
      </w:r>
      <w:proofErr w:type="spellStart"/>
      <w:r w:rsidRPr="005E2831">
        <w:rPr>
          <w:rFonts w:ascii="Times New Roman" w:hAnsi="Times New Roman" w:cs="Times New Roman"/>
          <w:sz w:val="24"/>
          <w:szCs w:val="24"/>
        </w:rPr>
        <w:t>zlewniowym</w:t>
      </w:r>
      <w:proofErr w:type="spellEnd"/>
      <w:r w:rsidRPr="005E2831">
        <w:rPr>
          <w:rFonts w:ascii="Times New Roman" w:hAnsi="Times New Roman" w:cs="Times New Roman"/>
          <w:sz w:val="24"/>
          <w:szCs w:val="24"/>
        </w:rPr>
        <w:t xml:space="preserve"> i w układzie województw oraz zostały przygotowane zgodnie z wymaganiami sprawozdawczymi Europejskiej Agencji Środowiska na potrzeby </w:t>
      </w:r>
      <w:proofErr w:type="spellStart"/>
      <w:r w:rsidRPr="005E2831">
        <w:rPr>
          <w:rFonts w:ascii="Times New Roman" w:hAnsi="Times New Roman" w:cs="Times New Roman"/>
          <w:sz w:val="24"/>
          <w:szCs w:val="24"/>
        </w:rPr>
        <w:t>Water</w:t>
      </w:r>
      <w:proofErr w:type="spellEnd"/>
      <w:r w:rsidRPr="005E2831">
        <w:rPr>
          <w:rFonts w:ascii="Times New Roman" w:hAnsi="Times New Roman" w:cs="Times New Roman"/>
          <w:sz w:val="24"/>
          <w:szCs w:val="24"/>
        </w:rPr>
        <w:t xml:space="preserve"> Information System for Europe </w:t>
      </w:r>
      <w:proofErr w:type="spellStart"/>
      <w:r w:rsidRPr="005E2831">
        <w:rPr>
          <w:rFonts w:ascii="Times New Roman" w:hAnsi="Times New Roman" w:cs="Times New Roman"/>
          <w:sz w:val="24"/>
          <w:szCs w:val="24"/>
        </w:rPr>
        <w:t>State</w:t>
      </w:r>
      <w:proofErr w:type="spellEnd"/>
      <w:r w:rsidRPr="005E2831">
        <w:rPr>
          <w:rFonts w:ascii="Times New Roman" w:hAnsi="Times New Roman" w:cs="Times New Roman"/>
          <w:sz w:val="24"/>
          <w:szCs w:val="24"/>
        </w:rPr>
        <w:t xml:space="preserve"> of</w:t>
      </w:r>
      <w:r>
        <w:rPr>
          <w:rFonts w:ascii="Times New Roman" w:hAnsi="Times New Roman" w:cs="Times New Roman"/>
          <w:sz w:val="24"/>
          <w:szCs w:val="24"/>
        </w:rPr>
        <w:t> </w:t>
      </w:r>
      <w:r w:rsidRPr="005E2831">
        <w:rPr>
          <w:rFonts w:ascii="Times New Roman" w:hAnsi="Times New Roman" w:cs="Times New Roman"/>
          <w:sz w:val="24"/>
          <w:szCs w:val="24"/>
        </w:rPr>
        <w:t xml:space="preserve">Environment (WISE </w:t>
      </w:r>
      <w:proofErr w:type="spellStart"/>
      <w:r w:rsidRPr="005E2831">
        <w:rPr>
          <w:rFonts w:ascii="Times New Roman" w:hAnsi="Times New Roman" w:cs="Times New Roman"/>
          <w:sz w:val="24"/>
          <w:szCs w:val="24"/>
        </w:rPr>
        <w:t>SoE</w:t>
      </w:r>
      <w:proofErr w:type="spellEnd"/>
      <w:r w:rsidRPr="005E2831">
        <w:rPr>
          <w:rFonts w:ascii="Times New Roman" w:hAnsi="Times New Roman" w:cs="Times New Roman"/>
          <w:sz w:val="24"/>
          <w:szCs w:val="24"/>
        </w:rPr>
        <w:t>)</w:t>
      </w:r>
      <w:r w:rsidR="00895F16" w:rsidRPr="007F400A">
        <w:rPr>
          <w:rFonts w:ascii="Times New Roman" w:hAnsi="Times New Roman"/>
          <w:sz w:val="24"/>
          <w:szCs w:val="24"/>
          <w:lang w:eastAsia="pl-PL"/>
        </w:rPr>
        <w:t xml:space="preserve">. </w:t>
      </w:r>
    </w:p>
    <w:p w14:paraId="43BAEC2C" w14:textId="77777777" w:rsidR="00895F16" w:rsidRPr="007F400A" w:rsidRDefault="00895F16" w:rsidP="00895F16">
      <w:pPr>
        <w:spacing w:after="0" w:line="300" w:lineRule="atLeast"/>
        <w:ind w:firstLine="567"/>
        <w:jc w:val="both"/>
        <w:rPr>
          <w:rFonts w:ascii="Times New Roman" w:hAnsi="Times New Roman"/>
          <w:sz w:val="24"/>
          <w:szCs w:val="24"/>
          <w:lang w:eastAsia="pl-PL"/>
        </w:rPr>
      </w:pPr>
    </w:p>
    <w:p w14:paraId="75033E58" w14:textId="77777777" w:rsidR="00895F16" w:rsidRPr="007F400A" w:rsidRDefault="00895F16" w:rsidP="00895F16">
      <w:pPr>
        <w:keepNext/>
        <w:spacing w:after="120" w:line="300" w:lineRule="atLeast"/>
        <w:jc w:val="both"/>
        <w:outlineLvl w:val="0"/>
        <w:rPr>
          <w:rFonts w:ascii="Times New Roman" w:eastAsia="Times New Roman" w:hAnsi="Times New Roman" w:cs="Times New Roman"/>
          <w:b/>
          <w:bCs/>
          <w:sz w:val="24"/>
          <w:szCs w:val="24"/>
          <w:lang w:val="x-none" w:eastAsia="x-none"/>
        </w:rPr>
      </w:pPr>
      <w:bookmarkStart w:id="397" w:name="_Toc135935708"/>
      <w:r w:rsidRPr="007F400A">
        <w:rPr>
          <w:rFonts w:ascii="Times New Roman" w:eastAsia="Times New Roman" w:hAnsi="Times New Roman" w:cs="Times New Roman"/>
          <w:b/>
          <w:bCs/>
          <w:sz w:val="24"/>
          <w:szCs w:val="24"/>
          <w:lang w:val="x-none" w:eastAsia="x-none"/>
        </w:rPr>
        <w:t>3.3 Badania osadów dennych w rzekach i jeziorach</w:t>
      </w:r>
      <w:bookmarkEnd w:id="397"/>
    </w:p>
    <w:p w14:paraId="0E07A13A" w14:textId="77777777" w:rsidR="000B01A2" w:rsidRPr="005E2831" w:rsidRDefault="000B01A2" w:rsidP="003D3AE7">
      <w:pPr>
        <w:spacing w:after="60"/>
        <w:ind w:firstLine="567"/>
        <w:jc w:val="both"/>
        <w:rPr>
          <w:rFonts w:ascii="Times New Roman" w:eastAsia="Times New Roman" w:hAnsi="Times New Roman" w:cs="Times New Roman"/>
          <w:bCs/>
          <w:sz w:val="24"/>
          <w:szCs w:val="24"/>
          <w:lang w:val="x-none" w:eastAsia="x-none"/>
        </w:rPr>
      </w:pPr>
      <w:r w:rsidRPr="005E2831">
        <w:rPr>
          <w:rFonts w:ascii="Times New Roman" w:eastAsia="Times New Roman" w:hAnsi="Times New Roman" w:cs="Times New Roman"/>
          <w:bCs/>
          <w:sz w:val="24"/>
          <w:szCs w:val="24"/>
          <w:lang w:val="x-none" w:eastAsia="x-none"/>
        </w:rPr>
        <w:t>Główny Inspektorat Ochrony Środowiska zrealizował monitoring osadów dennych rzek i jezior w 2022 r., polegający na pobraniu próbek osadów, wykonaniu ich analiz</w:t>
      </w:r>
      <w:r>
        <w:rPr>
          <w:rFonts w:ascii="Times New Roman" w:eastAsia="Times New Roman" w:hAnsi="Times New Roman" w:cs="Times New Roman"/>
          <w:bCs/>
          <w:sz w:val="24"/>
          <w:szCs w:val="24"/>
          <w:lang w:eastAsia="x-none"/>
        </w:rPr>
        <w:t xml:space="preserve"> </w:t>
      </w:r>
      <w:r w:rsidRPr="005E2831">
        <w:rPr>
          <w:rFonts w:ascii="Times New Roman" w:eastAsia="Times New Roman" w:hAnsi="Times New Roman" w:cs="Times New Roman"/>
          <w:bCs/>
          <w:sz w:val="24"/>
          <w:szCs w:val="24"/>
          <w:lang w:val="x-none" w:eastAsia="x-none"/>
        </w:rPr>
        <w:t>laboratoryjnych oraz przygotowaniu zestawienia bazodanowego zawierającego wyniki pomiarów.</w:t>
      </w:r>
      <w:r>
        <w:rPr>
          <w:rFonts w:ascii="Times New Roman" w:eastAsia="Times New Roman" w:hAnsi="Times New Roman" w:cs="Times New Roman"/>
          <w:bCs/>
          <w:sz w:val="24"/>
          <w:szCs w:val="24"/>
          <w:lang w:val="x-none" w:eastAsia="x-none"/>
        </w:rPr>
        <w:br/>
      </w:r>
      <w:r>
        <w:rPr>
          <w:rFonts w:ascii="Times New Roman" w:eastAsia="Times New Roman" w:hAnsi="Times New Roman" w:cs="Times New Roman"/>
          <w:bCs/>
          <w:sz w:val="24"/>
          <w:szCs w:val="24"/>
          <w:lang w:val="x-none" w:eastAsia="x-none"/>
        </w:rPr>
        <w:tab/>
      </w:r>
      <w:r w:rsidRPr="005E2831">
        <w:rPr>
          <w:rFonts w:ascii="Times New Roman" w:eastAsia="Times New Roman" w:hAnsi="Times New Roman" w:cs="Times New Roman"/>
          <w:bCs/>
          <w:sz w:val="24"/>
          <w:szCs w:val="24"/>
          <w:lang w:val="x-none" w:eastAsia="x-none"/>
        </w:rPr>
        <w:t>Badania przeprowadzono łącznie w 436 punktach pomiarowo-kontrolnych (</w:t>
      </w:r>
      <w:proofErr w:type="spellStart"/>
      <w:r w:rsidRPr="005E2831">
        <w:rPr>
          <w:rFonts w:ascii="Times New Roman" w:eastAsia="Times New Roman" w:hAnsi="Times New Roman" w:cs="Times New Roman"/>
          <w:bCs/>
          <w:sz w:val="24"/>
          <w:szCs w:val="24"/>
          <w:lang w:val="x-none" w:eastAsia="x-none"/>
        </w:rPr>
        <w:t>ppk</w:t>
      </w:r>
      <w:proofErr w:type="spellEnd"/>
      <w:r w:rsidRPr="005E2831">
        <w:rPr>
          <w:rFonts w:ascii="Times New Roman" w:eastAsia="Times New Roman" w:hAnsi="Times New Roman" w:cs="Times New Roman"/>
          <w:bCs/>
          <w:sz w:val="24"/>
          <w:szCs w:val="24"/>
          <w:lang w:val="x-none" w:eastAsia="x-none"/>
        </w:rPr>
        <w:t xml:space="preserve">) zlokalizowanych na rzekach i kanałach rzecznych (244 </w:t>
      </w:r>
      <w:proofErr w:type="spellStart"/>
      <w:r w:rsidRPr="005E2831">
        <w:rPr>
          <w:rFonts w:ascii="Times New Roman" w:eastAsia="Times New Roman" w:hAnsi="Times New Roman" w:cs="Times New Roman"/>
          <w:bCs/>
          <w:sz w:val="24"/>
          <w:szCs w:val="24"/>
          <w:lang w:val="x-none" w:eastAsia="x-none"/>
        </w:rPr>
        <w:t>ppk</w:t>
      </w:r>
      <w:proofErr w:type="spellEnd"/>
      <w:r w:rsidRPr="005E2831">
        <w:rPr>
          <w:rFonts w:ascii="Times New Roman" w:eastAsia="Times New Roman" w:hAnsi="Times New Roman" w:cs="Times New Roman"/>
          <w:bCs/>
          <w:sz w:val="24"/>
          <w:szCs w:val="24"/>
          <w:lang w:val="x-none" w:eastAsia="x-none"/>
        </w:rPr>
        <w:t xml:space="preserve">) i jeziorach (192 </w:t>
      </w:r>
      <w:proofErr w:type="spellStart"/>
      <w:r w:rsidRPr="005E2831">
        <w:rPr>
          <w:rFonts w:ascii="Times New Roman" w:eastAsia="Times New Roman" w:hAnsi="Times New Roman" w:cs="Times New Roman"/>
          <w:bCs/>
          <w:sz w:val="24"/>
          <w:szCs w:val="24"/>
          <w:lang w:val="x-none" w:eastAsia="x-none"/>
        </w:rPr>
        <w:t>ppk</w:t>
      </w:r>
      <w:proofErr w:type="spellEnd"/>
      <w:r w:rsidRPr="005E2831">
        <w:rPr>
          <w:rFonts w:ascii="Times New Roman" w:eastAsia="Times New Roman" w:hAnsi="Times New Roman" w:cs="Times New Roman"/>
          <w:bCs/>
          <w:sz w:val="24"/>
          <w:szCs w:val="24"/>
          <w:lang w:val="x-none" w:eastAsia="x-none"/>
        </w:rPr>
        <w:t>), znajdujących się</w:t>
      </w:r>
      <w:r>
        <w:rPr>
          <w:rFonts w:ascii="Times New Roman" w:eastAsia="Times New Roman" w:hAnsi="Times New Roman" w:cs="Times New Roman"/>
          <w:bCs/>
          <w:sz w:val="24"/>
          <w:szCs w:val="24"/>
          <w:lang w:eastAsia="x-none"/>
        </w:rPr>
        <w:t> </w:t>
      </w:r>
      <w:r w:rsidRPr="005E2831">
        <w:rPr>
          <w:rFonts w:ascii="Times New Roman" w:eastAsia="Times New Roman" w:hAnsi="Times New Roman" w:cs="Times New Roman"/>
          <w:bCs/>
          <w:sz w:val="24"/>
          <w:szCs w:val="24"/>
          <w:lang w:val="x-none" w:eastAsia="x-none"/>
        </w:rPr>
        <w:t>na</w:t>
      </w:r>
      <w:r>
        <w:rPr>
          <w:rFonts w:ascii="Times New Roman" w:eastAsia="Times New Roman" w:hAnsi="Times New Roman" w:cs="Times New Roman"/>
          <w:bCs/>
          <w:sz w:val="24"/>
          <w:szCs w:val="24"/>
          <w:lang w:eastAsia="x-none"/>
        </w:rPr>
        <w:t> </w:t>
      </w:r>
      <w:r w:rsidRPr="005E2831">
        <w:rPr>
          <w:rFonts w:ascii="Times New Roman" w:eastAsia="Times New Roman" w:hAnsi="Times New Roman" w:cs="Times New Roman"/>
          <w:bCs/>
          <w:sz w:val="24"/>
          <w:szCs w:val="24"/>
          <w:lang w:val="x-none" w:eastAsia="x-none"/>
        </w:rPr>
        <w:t>terenie</w:t>
      </w:r>
      <w:r>
        <w:rPr>
          <w:rFonts w:ascii="Times New Roman" w:eastAsia="Times New Roman" w:hAnsi="Times New Roman" w:cs="Times New Roman"/>
          <w:bCs/>
          <w:sz w:val="24"/>
          <w:szCs w:val="24"/>
          <w:lang w:eastAsia="x-none"/>
        </w:rPr>
        <w:t> </w:t>
      </w:r>
      <w:r w:rsidRPr="005E2831">
        <w:rPr>
          <w:rFonts w:ascii="Times New Roman" w:eastAsia="Times New Roman" w:hAnsi="Times New Roman" w:cs="Times New Roman"/>
          <w:bCs/>
          <w:sz w:val="24"/>
          <w:szCs w:val="24"/>
          <w:lang w:val="x-none" w:eastAsia="x-none"/>
        </w:rPr>
        <w:t>całego</w:t>
      </w:r>
      <w:r>
        <w:rPr>
          <w:rFonts w:ascii="Times New Roman" w:eastAsia="Times New Roman" w:hAnsi="Times New Roman" w:cs="Times New Roman"/>
          <w:bCs/>
          <w:sz w:val="24"/>
          <w:szCs w:val="24"/>
          <w:lang w:eastAsia="x-none"/>
        </w:rPr>
        <w:t> </w:t>
      </w:r>
      <w:r w:rsidRPr="005E2831">
        <w:rPr>
          <w:rFonts w:ascii="Times New Roman" w:eastAsia="Times New Roman" w:hAnsi="Times New Roman" w:cs="Times New Roman"/>
          <w:bCs/>
          <w:sz w:val="24"/>
          <w:szCs w:val="24"/>
          <w:lang w:val="x-none" w:eastAsia="x-none"/>
        </w:rPr>
        <w:t>kraju.</w:t>
      </w:r>
      <w:r>
        <w:rPr>
          <w:rFonts w:ascii="Times New Roman" w:eastAsia="Times New Roman" w:hAnsi="Times New Roman" w:cs="Times New Roman"/>
          <w:bCs/>
          <w:sz w:val="24"/>
          <w:szCs w:val="24"/>
          <w:lang w:val="x-none" w:eastAsia="x-none"/>
        </w:rPr>
        <w:br/>
      </w:r>
      <w:r>
        <w:rPr>
          <w:rFonts w:ascii="Times New Roman" w:eastAsia="Times New Roman" w:hAnsi="Times New Roman" w:cs="Times New Roman"/>
          <w:bCs/>
          <w:sz w:val="24"/>
          <w:szCs w:val="24"/>
          <w:lang w:val="x-none" w:eastAsia="x-none"/>
        </w:rPr>
        <w:tab/>
      </w:r>
      <w:r w:rsidRPr="005E2831">
        <w:rPr>
          <w:rFonts w:ascii="Times New Roman" w:eastAsia="Times New Roman" w:hAnsi="Times New Roman" w:cs="Times New Roman"/>
          <w:bCs/>
          <w:sz w:val="24"/>
          <w:szCs w:val="24"/>
          <w:lang w:val="x-none" w:eastAsia="x-none"/>
        </w:rPr>
        <w:t>W ramach programu monitoringu, dla próbek osadów pochodzących ze wszystkich 436 punktów pomiarowo-kontrolnych wykonano oznaczenia laboratoryjne w zakresie obejmującym:</w:t>
      </w:r>
    </w:p>
    <w:p w14:paraId="55C0EAE9" w14:textId="77777777" w:rsidR="000B01A2" w:rsidRPr="005E2831" w:rsidRDefault="000B01A2" w:rsidP="003D3AE7">
      <w:pPr>
        <w:ind w:left="284"/>
        <w:jc w:val="both"/>
        <w:rPr>
          <w:rFonts w:ascii="Times New Roman" w:eastAsia="Times New Roman" w:hAnsi="Times New Roman" w:cs="Times New Roman"/>
          <w:bCs/>
          <w:sz w:val="24"/>
          <w:szCs w:val="24"/>
          <w:lang w:val="x-none" w:eastAsia="x-none"/>
        </w:rPr>
      </w:pPr>
      <w:r w:rsidRPr="005E2831">
        <w:rPr>
          <w:rFonts w:ascii="Times New Roman" w:eastAsia="Times New Roman" w:hAnsi="Times New Roman" w:cs="Times New Roman"/>
          <w:bCs/>
          <w:sz w:val="24"/>
          <w:szCs w:val="24"/>
          <w:lang w:val="x-none" w:eastAsia="x-none"/>
        </w:rPr>
        <w:t xml:space="preserve">─ </w:t>
      </w:r>
      <w:proofErr w:type="spellStart"/>
      <w:r w:rsidRPr="005E2831">
        <w:rPr>
          <w:rFonts w:ascii="Times New Roman" w:eastAsia="Times New Roman" w:hAnsi="Times New Roman" w:cs="Times New Roman"/>
          <w:bCs/>
          <w:sz w:val="24"/>
          <w:szCs w:val="24"/>
          <w:lang w:val="x-none" w:eastAsia="x-none"/>
        </w:rPr>
        <w:t>pH</w:t>
      </w:r>
      <w:proofErr w:type="spellEnd"/>
      <w:r w:rsidRPr="005E2831">
        <w:rPr>
          <w:rFonts w:ascii="Times New Roman" w:eastAsia="Times New Roman" w:hAnsi="Times New Roman" w:cs="Times New Roman"/>
          <w:bCs/>
          <w:sz w:val="24"/>
          <w:szCs w:val="24"/>
          <w:lang w:val="x-none" w:eastAsia="x-none"/>
        </w:rPr>
        <w:t xml:space="preserve"> i przewodność elektrolityczną,</w:t>
      </w:r>
    </w:p>
    <w:p w14:paraId="6500D95D" w14:textId="77777777" w:rsidR="000B01A2" w:rsidRPr="005E2831" w:rsidRDefault="000B01A2" w:rsidP="003D3AE7">
      <w:pPr>
        <w:ind w:left="284"/>
        <w:jc w:val="both"/>
        <w:rPr>
          <w:rFonts w:ascii="Times New Roman" w:eastAsia="Times New Roman" w:hAnsi="Times New Roman" w:cs="Times New Roman"/>
          <w:bCs/>
          <w:sz w:val="24"/>
          <w:szCs w:val="24"/>
          <w:lang w:val="x-none" w:eastAsia="x-none"/>
        </w:rPr>
      </w:pPr>
      <w:r w:rsidRPr="005E2831">
        <w:rPr>
          <w:rFonts w:ascii="Times New Roman" w:eastAsia="Times New Roman" w:hAnsi="Times New Roman" w:cs="Times New Roman"/>
          <w:bCs/>
          <w:sz w:val="24"/>
          <w:szCs w:val="24"/>
          <w:lang w:val="x-none" w:eastAsia="x-none"/>
        </w:rPr>
        <w:t xml:space="preserve">─ pierwiastki główne i śladowe: Ag, Al, As, Ba, Ca, Cd, </w:t>
      </w:r>
      <w:proofErr w:type="spellStart"/>
      <w:r w:rsidRPr="005E2831">
        <w:rPr>
          <w:rFonts w:ascii="Times New Roman" w:eastAsia="Times New Roman" w:hAnsi="Times New Roman" w:cs="Times New Roman"/>
          <w:bCs/>
          <w:sz w:val="24"/>
          <w:szCs w:val="24"/>
          <w:lang w:val="x-none" w:eastAsia="x-none"/>
        </w:rPr>
        <w:t>Corg</w:t>
      </w:r>
      <w:proofErr w:type="spellEnd"/>
      <w:r w:rsidRPr="005E2831">
        <w:rPr>
          <w:rFonts w:ascii="Times New Roman" w:eastAsia="Times New Roman" w:hAnsi="Times New Roman" w:cs="Times New Roman"/>
          <w:bCs/>
          <w:sz w:val="24"/>
          <w:szCs w:val="24"/>
          <w:lang w:val="x-none" w:eastAsia="x-none"/>
        </w:rPr>
        <w:t xml:space="preserve"> (OWO) Co, Cr, Cu, Hg, Mg, Mn, Mo, N, Ni, Pb, Sn, Sr, V, Zn Fe, P, S, Ti, K, </w:t>
      </w:r>
    </w:p>
    <w:p w14:paraId="6C9FB420" w14:textId="77777777" w:rsidR="000B01A2" w:rsidRPr="005E2831" w:rsidRDefault="000B01A2" w:rsidP="003D3AE7">
      <w:pPr>
        <w:ind w:left="284"/>
        <w:jc w:val="both"/>
        <w:rPr>
          <w:rFonts w:ascii="Times New Roman" w:eastAsia="Times New Roman" w:hAnsi="Times New Roman" w:cs="Times New Roman"/>
          <w:bCs/>
          <w:sz w:val="24"/>
          <w:szCs w:val="24"/>
          <w:lang w:val="x-none" w:eastAsia="x-none"/>
        </w:rPr>
      </w:pPr>
      <w:r w:rsidRPr="005E2831">
        <w:rPr>
          <w:rFonts w:ascii="Times New Roman" w:eastAsia="Times New Roman" w:hAnsi="Times New Roman" w:cs="Times New Roman"/>
          <w:bCs/>
          <w:sz w:val="24"/>
          <w:szCs w:val="24"/>
          <w:lang w:val="x-none" w:eastAsia="x-none"/>
        </w:rPr>
        <w:t>─ wielopierścieniowe węglowodory aromatyczne (</w:t>
      </w:r>
      <w:proofErr w:type="spellStart"/>
      <w:r w:rsidRPr="005E2831">
        <w:rPr>
          <w:rFonts w:ascii="Times New Roman" w:eastAsia="Times New Roman" w:hAnsi="Times New Roman" w:cs="Times New Roman"/>
          <w:bCs/>
          <w:sz w:val="24"/>
          <w:szCs w:val="24"/>
          <w:lang w:val="x-none" w:eastAsia="x-none"/>
        </w:rPr>
        <w:t>acenaften</w:t>
      </w:r>
      <w:proofErr w:type="spellEnd"/>
      <w:r w:rsidRPr="005E2831">
        <w:rPr>
          <w:rFonts w:ascii="Times New Roman" w:eastAsia="Times New Roman" w:hAnsi="Times New Roman" w:cs="Times New Roman"/>
          <w:bCs/>
          <w:sz w:val="24"/>
          <w:szCs w:val="24"/>
          <w:lang w:val="x-none" w:eastAsia="x-none"/>
        </w:rPr>
        <w:t xml:space="preserve">, </w:t>
      </w:r>
      <w:proofErr w:type="spellStart"/>
      <w:r w:rsidRPr="005E2831">
        <w:rPr>
          <w:rFonts w:ascii="Times New Roman" w:eastAsia="Times New Roman" w:hAnsi="Times New Roman" w:cs="Times New Roman"/>
          <w:bCs/>
          <w:sz w:val="24"/>
          <w:szCs w:val="24"/>
          <w:lang w:val="x-none" w:eastAsia="x-none"/>
        </w:rPr>
        <w:t>acenaftylen</w:t>
      </w:r>
      <w:proofErr w:type="spellEnd"/>
      <w:r w:rsidRPr="005E2831">
        <w:rPr>
          <w:rFonts w:ascii="Times New Roman" w:eastAsia="Times New Roman" w:hAnsi="Times New Roman" w:cs="Times New Roman"/>
          <w:bCs/>
          <w:sz w:val="24"/>
          <w:szCs w:val="24"/>
          <w:lang w:val="x-none" w:eastAsia="x-none"/>
        </w:rPr>
        <w:t xml:space="preserve">, antracen, </w:t>
      </w:r>
      <w:proofErr w:type="spellStart"/>
      <w:r w:rsidRPr="005E2831">
        <w:rPr>
          <w:rFonts w:ascii="Times New Roman" w:eastAsia="Times New Roman" w:hAnsi="Times New Roman" w:cs="Times New Roman"/>
          <w:bCs/>
          <w:sz w:val="24"/>
          <w:szCs w:val="24"/>
          <w:lang w:val="x-none" w:eastAsia="x-none"/>
        </w:rPr>
        <w:t>benzo</w:t>
      </w:r>
      <w:proofErr w:type="spellEnd"/>
      <w:r w:rsidRPr="005E2831">
        <w:rPr>
          <w:rFonts w:ascii="Times New Roman" w:eastAsia="Times New Roman" w:hAnsi="Times New Roman" w:cs="Times New Roman"/>
          <w:bCs/>
          <w:sz w:val="24"/>
          <w:szCs w:val="24"/>
          <w:lang w:val="x-none" w:eastAsia="x-none"/>
        </w:rPr>
        <w:t xml:space="preserve">(a)antracen, </w:t>
      </w:r>
      <w:proofErr w:type="spellStart"/>
      <w:r w:rsidRPr="005E2831">
        <w:rPr>
          <w:rFonts w:ascii="Times New Roman" w:eastAsia="Times New Roman" w:hAnsi="Times New Roman" w:cs="Times New Roman"/>
          <w:bCs/>
          <w:sz w:val="24"/>
          <w:szCs w:val="24"/>
          <w:lang w:val="x-none" w:eastAsia="x-none"/>
        </w:rPr>
        <w:t>benzo</w:t>
      </w:r>
      <w:proofErr w:type="spellEnd"/>
      <w:r w:rsidRPr="005E2831">
        <w:rPr>
          <w:rFonts w:ascii="Times New Roman" w:eastAsia="Times New Roman" w:hAnsi="Times New Roman" w:cs="Times New Roman"/>
          <w:bCs/>
          <w:sz w:val="24"/>
          <w:szCs w:val="24"/>
          <w:lang w:val="x-none" w:eastAsia="x-none"/>
        </w:rPr>
        <w:t>(a)</w:t>
      </w:r>
      <w:proofErr w:type="spellStart"/>
      <w:r w:rsidRPr="005E2831">
        <w:rPr>
          <w:rFonts w:ascii="Times New Roman" w:eastAsia="Times New Roman" w:hAnsi="Times New Roman" w:cs="Times New Roman"/>
          <w:bCs/>
          <w:sz w:val="24"/>
          <w:szCs w:val="24"/>
          <w:lang w:val="x-none" w:eastAsia="x-none"/>
        </w:rPr>
        <w:t>fluoranten</w:t>
      </w:r>
      <w:proofErr w:type="spellEnd"/>
      <w:r w:rsidRPr="005E2831">
        <w:rPr>
          <w:rFonts w:ascii="Times New Roman" w:eastAsia="Times New Roman" w:hAnsi="Times New Roman" w:cs="Times New Roman"/>
          <w:bCs/>
          <w:sz w:val="24"/>
          <w:szCs w:val="24"/>
          <w:lang w:val="x-none" w:eastAsia="x-none"/>
        </w:rPr>
        <w:t xml:space="preserve">, </w:t>
      </w:r>
      <w:proofErr w:type="spellStart"/>
      <w:r w:rsidRPr="005E2831">
        <w:rPr>
          <w:rFonts w:ascii="Times New Roman" w:eastAsia="Times New Roman" w:hAnsi="Times New Roman" w:cs="Times New Roman"/>
          <w:bCs/>
          <w:sz w:val="24"/>
          <w:szCs w:val="24"/>
          <w:lang w:val="x-none" w:eastAsia="x-none"/>
        </w:rPr>
        <w:t>benzo</w:t>
      </w:r>
      <w:proofErr w:type="spellEnd"/>
      <w:r w:rsidRPr="005E2831">
        <w:rPr>
          <w:rFonts w:ascii="Times New Roman" w:eastAsia="Times New Roman" w:hAnsi="Times New Roman" w:cs="Times New Roman"/>
          <w:bCs/>
          <w:sz w:val="24"/>
          <w:szCs w:val="24"/>
          <w:lang w:val="x-none" w:eastAsia="x-none"/>
        </w:rPr>
        <w:t>(b)</w:t>
      </w:r>
      <w:proofErr w:type="spellStart"/>
      <w:r w:rsidRPr="005E2831">
        <w:rPr>
          <w:rFonts w:ascii="Times New Roman" w:eastAsia="Times New Roman" w:hAnsi="Times New Roman" w:cs="Times New Roman"/>
          <w:bCs/>
          <w:sz w:val="24"/>
          <w:szCs w:val="24"/>
          <w:lang w:val="x-none" w:eastAsia="x-none"/>
        </w:rPr>
        <w:t>fluoranten</w:t>
      </w:r>
      <w:proofErr w:type="spellEnd"/>
      <w:r w:rsidRPr="005E2831">
        <w:rPr>
          <w:rFonts w:ascii="Times New Roman" w:eastAsia="Times New Roman" w:hAnsi="Times New Roman" w:cs="Times New Roman"/>
          <w:bCs/>
          <w:sz w:val="24"/>
          <w:szCs w:val="24"/>
          <w:lang w:val="x-none" w:eastAsia="x-none"/>
        </w:rPr>
        <w:t xml:space="preserve">, </w:t>
      </w:r>
      <w:proofErr w:type="spellStart"/>
      <w:r w:rsidRPr="005E2831">
        <w:rPr>
          <w:rFonts w:ascii="Times New Roman" w:eastAsia="Times New Roman" w:hAnsi="Times New Roman" w:cs="Times New Roman"/>
          <w:bCs/>
          <w:sz w:val="24"/>
          <w:szCs w:val="24"/>
          <w:lang w:val="x-none" w:eastAsia="x-none"/>
        </w:rPr>
        <w:t>benzo</w:t>
      </w:r>
      <w:proofErr w:type="spellEnd"/>
      <w:r w:rsidRPr="005E2831">
        <w:rPr>
          <w:rFonts w:ascii="Times New Roman" w:eastAsia="Times New Roman" w:hAnsi="Times New Roman" w:cs="Times New Roman"/>
          <w:bCs/>
          <w:sz w:val="24"/>
          <w:szCs w:val="24"/>
          <w:lang w:val="x-none" w:eastAsia="x-none"/>
        </w:rPr>
        <w:t>(k)</w:t>
      </w:r>
      <w:proofErr w:type="spellStart"/>
      <w:r w:rsidRPr="005E2831">
        <w:rPr>
          <w:rFonts w:ascii="Times New Roman" w:eastAsia="Times New Roman" w:hAnsi="Times New Roman" w:cs="Times New Roman"/>
          <w:bCs/>
          <w:sz w:val="24"/>
          <w:szCs w:val="24"/>
          <w:lang w:val="x-none" w:eastAsia="x-none"/>
        </w:rPr>
        <w:t>fluoranten</w:t>
      </w:r>
      <w:proofErr w:type="spellEnd"/>
      <w:r w:rsidRPr="005E2831">
        <w:rPr>
          <w:rFonts w:ascii="Times New Roman" w:eastAsia="Times New Roman" w:hAnsi="Times New Roman" w:cs="Times New Roman"/>
          <w:bCs/>
          <w:sz w:val="24"/>
          <w:szCs w:val="24"/>
          <w:lang w:val="x-none" w:eastAsia="x-none"/>
        </w:rPr>
        <w:t xml:space="preserve">, </w:t>
      </w:r>
      <w:proofErr w:type="spellStart"/>
      <w:r w:rsidRPr="005E2831">
        <w:rPr>
          <w:rFonts w:ascii="Times New Roman" w:eastAsia="Times New Roman" w:hAnsi="Times New Roman" w:cs="Times New Roman"/>
          <w:bCs/>
          <w:sz w:val="24"/>
          <w:szCs w:val="24"/>
          <w:lang w:val="x-none" w:eastAsia="x-none"/>
        </w:rPr>
        <w:t>benzo</w:t>
      </w:r>
      <w:proofErr w:type="spellEnd"/>
      <w:r w:rsidRPr="005E2831">
        <w:rPr>
          <w:rFonts w:ascii="Times New Roman" w:eastAsia="Times New Roman" w:hAnsi="Times New Roman" w:cs="Times New Roman"/>
          <w:bCs/>
          <w:sz w:val="24"/>
          <w:szCs w:val="24"/>
          <w:lang w:val="x-none" w:eastAsia="x-none"/>
        </w:rPr>
        <w:t>(</w:t>
      </w:r>
      <w:proofErr w:type="spellStart"/>
      <w:r w:rsidRPr="005E2831">
        <w:rPr>
          <w:rFonts w:ascii="Times New Roman" w:eastAsia="Times New Roman" w:hAnsi="Times New Roman" w:cs="Times New Roman"/>
          <w:bCs/>
          <w:sz w:val="24"/>
          <w:szCs w:val="24"/>
          <w:lang w:val="x-none" w:eastAsia="x-none"/>
        </w:rPr>
        <w:t>ghi</w:t>
      </w:r>
      <w:proofErr w:type="spellEnd"/>
      <w:r w:rsidRPr="005E2831">
        <w:rPr>
          <w:rFonts w:ascii="Times New Roman" w:eastAsia="Times New Roman" w:hAnsi="Times New Roman" w:cs="Times New Roman"/>
          <w:bCs/>
          <w:sz w:val="24"/>
          <w:szCs w:val="24"/>
          <w:lang w:val="x-none" w:eastAsia="x-none"/>
        </w:rPr>
        <w:t>)</w:t>
      </w:r>
      <w:proofErr w:type="spellStart"/>
      <w:r w:rsidRPr="005E2831">
        <w:rPr>
          <w:rFonts w:ascii="Times New Roman" w:eastAsia="Times New Roman" w:hAnsi="Times New Roman" w:cs="Times New Roman"/>
          <w:bCs/>
          <w:sz w:val="24"/>
          <w:szCs w:val="24"/>
          <w:lang w:val="x-none" w:eastAsia="x-none"/>
        </w:rPr>
        <w:t>perylen</w:t>
      </w:r>
      <w:proofErr w:type="spellEnd"/>
      <w:r w:rsidRPr="005E2831">
        <w:rPr>
          <w:rFonts w:ascii="Times New Roman" w:eastAsia="Times New Roman" w:hAnsi="Times New Roman" w:cs="Times New Roman"/>
          <w:bCs/>
          <w:sz w:val="24"/>
          <w:szCs w:val="24"/>
          <w:lang w:val="x-none" w:eastAsia="x-none"/>
        </w:rPr>
        <w:t xml:space="preserve">, </w:t>
      </w:r>
      <w:proofErr w:type="spellStart"/>
      <w:r w:rsidRPr="005E2831">
        <w:rPr>
          <w:rFonts w:ascii="Times New Roman" w:eastAsia="Times New Roman" w:hAnsi="Times New Roman" w:cs="Times New Roman"/>
          <w:bCs/>
          <w:sz w:val="24"/>
          <w:szCs w:val="24"/>
          <w:lang w:val="x-none" w:eastAsia="x-none"/>
        </w:rPr>
        <w:t>benzo</w:t>
      </w:r>
      <w:proofErr w:type="spellEnd"/>
      <w:r w:rsidRPr="005E2831">
        <w:rPr>
          <w:rFonts w:ascii="Times New Roman" w:eastAsia="Times New Roman" w:hAnsi="Times New Roman" w:cs="Times New Roman"/>
          <w:bCs/>
          <w:sz w:val="24"/>
          <w:szCs w:val="24"/>
          <w:lang w:val="x-none" w:eastAsia="x-none"/>
        </w:rPr>
        <w:t>(a)</w:t>
      </w:r>
      <w:proofErr w:type="spellStart"/>
      <w:r w:rsidRPr="005E2831">
        <w:rPr>
          <w:rFonts w:ascii="Times New Roman" w:eastAsia="Times New Roman" w:hAnsi="Times New Roman" w:cs="Times New Roman"/>
          <w:bCs/>
          <w:sz w:val="24"/>
          <w:szCs w:val="24"/>
          <w:lang w:val="x-none" w:eastAsia="x-none"/>
        </w:rPr>
        <w:t>piren</w:t>
      </w:r>
      <w:proofErr w:type="spellEnd"/>
      <w:r w:rsidRPr="005E2831">
        <w:rPr>
          <w:rFonts w:ascii="Times New Roman" w:eastAsia="Times New Roman" w:hAnsi="Times New Roman" w:cs="Times New Roman"/>
          <w:bCs/>
          <w:sz w:val="24"/>
          <w:szCs w:val="24"/>
          <w:lang w:val="x-none" w:eastAsia="x-none"/>
        </w:rPr>
        <w:t xml:space="preserve">, </w:t>
      </w:r>
      <w:proofErr w:type="spellStart"/>
      <w:r w:rsidRPr="005E2831">
        <w:rPr>
          <w:rFonts w:ascii="Times New Roman" w:eastAsia="Times New Roman" w:hAnsi="Times New Roman" w:cs="Times New Roman"/>
          <w:bCs/>
          <w:sz w:val="24"/>
          <w:szCs w:val="24"/>
          <w:lang w:val="x-none" w:eastAsia="x-none"/>
        </w:rPr>
        <w:t>benzo</w:t>
      </w:r>
      <w:proofErr w:type="spellEnd"/>
      <w:r w:rsidRPr="005E2831">
        <w:rPr>
          <w:rFonts w:ascii="Times New Roman" w:eastAsia="Times New Roman" w:hAnsi="Times New Roman" w:cs="Times New Roman"/>
          <w:bCs/>
          <w:sz w:val="24"/>
          <w:szCs w:val="24"/>
          <w:lang w:val="x-none" w:eastAsia="x-none"/>
        </w:rPr>
        <w:t>(e)</w:t>
      </w:r>
      <w:proofErr w:type="spellStart"/>
      <w:r w:rsidRPr="005E2831">
        <w:rPr>
          <w:rFonts w:ascii="Times New Roman" w:eastAsia="Times New Roman" w:hAnsi="Times New Roman" w:cs="Times New Roman"/>
          <w:bCs/>
          <w:sz w:val="24"/>
          <w:szCs w:val="24"/>
          <w:lang w:val="x-none" w:eastAsia="x-none"/>
        </w:rPr>
        <w:t>piren</w:t>
      </w:r>
      <w:proofErr w:type="spellEnd"/>
      <w:r w:rsidRPr="005E2831">
        <w:rPr>
          <w:rFonts w:ascii="Times New Roman" w:eastAsia="Times New Roman" w:hAnsi="Times New Roman" w:cs="Times New Roman"/>
          <w:bCs/>
          <w:sz w:val="24"/>
          <w:szCs w:val="24"/>
          <w:lang w:val="x-none" w:eastAsia="x-none"/>
        </w:rPr>
        <w:t xml:space="preserve">, </w:t>
      </w:r>
      <w:proofErr w:type="spellStart"/>
      <w:r w:rsidRPr="005E2831">
        <w:rPr>
          <w:rFonts w:ascii="Times New Roman" w:eastAsia="Times New Roman" w:hAnsi="Times New Roman" w:cs="Times New Roman"/>
          <w:bCs/>
          <w:sz w:val="24"/>
          <w:szCs w:val="24"/>
          <w:lang w:val="x-none" w:eastAsia="x-none"/>
        </w:rPr>
        <w:t>chryzen</w:t>
      </w:r>
      <w:proofErr w:type="spellEnd"/>
      <w:r w:rsidRPr="005E2831">
        <w:rPr>
          <w:rFonts w:ascii="Times New Roman" w:eastAsia="Times New Roman" w:hAnsi="Times New Roman" w:cs="Times New Roman"/>
          <w:bCs/>
          <w:sz w:val="24"/>
          <w:szCs w:val="24"/>
          <w:lang w:val="x-none" w:eastAsia="x-none"/>
        </w:rPr>
        <w:t xml:space="preserve">, </w:t>
      </w:r>
      <w:proofErr w:type="spellStart"/>
      <w:r w:rsidRPr="005E2831">
        <w:rPr>
          <w:rFonts w:ascii="Times New Roman" w:eastAsia="Times New Roman" w:hAnsi="Times New Roman" w:cs="Times New Roman"/>
          <w:bCs/>
          <w:sz w:val="24"/>
          <w:szCs w:val="24"/>
          <w:lang w:val="x-none" w:eastAsia="x-none"/>
        </w:rPr>
        <w:t>dibenzo</w:t>
      </w:r>
      <w:proofErr w:type="spellEnd"/>
      <w:r w:rsidRPr="005E2831">
        <w:rPr>
          <w:rFonts w:ascii="Times New Roman" w:eastAsia="Times New Roman" w:hAnsi="Times New Roman" w:cs="Times New Roman"/>
          <w:bCs/>
          <w:sz w:val="24"/>
          <w:szCs w:val="24"/>
          <w:lang w:val="x-none" w:eastAsia="x-none"/>
        </w:rPr>
        <w:t xml:space="preserve">(a, h)antracen, fenantren, </w:t>
      </w:r>
      <w:proofErr w:type="spellStart"/>
      <w:r w:rsidRPr="005E2831">
        <w:rPr>
          <w:rFonts w:ascii="Times New Roman" w:eastAsia="Times New Roman" w:hAnsi="Times New Roman" w:cs="Times New Roman"/>
          <w:bCs/>
          <w:sz w:val="24"/>
          <w:szCs w:val="24"/>
          <w:lang w:val="x-none" w:eastAsia="x-none"/>
        </w:rPr>
        <w:t>fluoranten</w:t>
      </w:r>
      <w:proofErr w:type="spellEnd"/>
      <w:r w:rsidRPr="005E2831">
        <w:rPr>
          <w:rFonts w:ascii="Times New Roman" w:eastAsia="Times New Roman" w:hAnsi="Times New Roman" w:cs="Times New Roman"/>
          <w:bCs/>
          <w:sz w:val="24"/>
          <w:szCs w:val="24"/>
          <w:lang w:val="x-none" w:eastAsia="x-none"/>
        </w:rPr>
        <w:t xml:space="preserve">, fluoren, </w:t>
      </w:r>
      <w:proofErr w:type="spellStart"/>
      <w:r w:rsidRPr="005E2831">
        <w:rPr>
          <w:rFonts w:ascii="Times New Roman" w:eastAsia="Times New Roman" w:hAnsi="Times New Roman" w:cs="Times New Roman"/>
          <w:bCs/>
          <w:sz w:val="24"/>
          <w:szCs w:val="24"/>
          <w:lang w:val="x-none" w:eastAsia="x-none"/>
        </w:rPr>
        <w:t>indeno</w:t>
      </w:r>
      <w:proofErr w:type="spellEnd"/>
      <w:r w:rsidRPr="005E2831">
        <w:rPr>
          <w:rFonts w:ascii="Times New Roman" w:eastAsia="Times New Roman" w:hAnsi="Times New Roman" w:cs="Times New Roman"/>
          <w:bCs/>
          <w:sz w:val="24"/>
          <w:szCs w:val="24"/>
          <w:lang w:val="x-none" w:eastAsia="x-none"/>
        </w:rPr>
        <w:t>(1,2,3-c,d)</w:t>
      </w:r>
      <w:proofErr w:type="spellStart"/>
      <w:r w:rsidRPr="005E2831">
        <w:rPr>
          <w:rFonts w:ascii="Times New Roman" w:eastAsia="Times New Roman" w:hAnsi="Times New Roman" w:cs="Times New Roman"/>
          <w:bCs/>
          <w:sz w:val="24"/>
          <w:szCs w:val="24"/>
          <w:lang w:val="x-none" w:eastAsia="x-none"/>
        </w:rPr>
        <w:t>piren</w:t>
      </w:r>
      <w:proofErr w:type="spellEnd"/>
      <w:r w:rsidRPr="005E2831">
        <w:rPr>
          <w:rFonts w:ascii="Times New Roman" w:eastAsia="Times New Roman" w:hAnsi="Times New Roman" w:cs="Times New Roman"/>
          <w:bCs/>
          <w:sz w:val="24"/>
          <w:szCs w:val="24"/>
          <w:lang w:val="x-none" w:eastAsia="x-none"/>
        </w:rPr>
        <w:t xml:space="preserve">, naftalen, </w:t>
      </w:r>
      <w:proofErr w:type="spellStart"/>
      <w:r w:rsidRPr="005E2831">
        <w:rPr>
          <w:rFonts w:ascii="Times New Roman" w:eastAsia="Times New Roman" w:hAnsi="Times New Roman" w:cs="Times New Roman"/>
          <w:bCs/>
          <w:sz w:val="24"/>
          <w:szCs w:val="24"/>
          <w:lang w:val="x-none" w:eastAsia="x-none"/>
        </w:rPr>
        <w:t>perylen</w:t>
      </w:r>
      <w:proofErr w:type="spellEnd"/>
      <w:r w:rsidRPr="005E2831">
        <w:rPr>
          <w:rFonts w:ascii="Times New Roman" w:eastAsia="Times New Roman" w:hAnsi="Times New Roman" w:cs="Times New Roman"/>
          <w:bCs/>
          <w:sz w:val="24"/>
          <w:szCs w:val="24"/>
          <w:lang w:val="x-none" w:eastAsia="x-none"/>
        </w:rPr>
        <w:t xml:space="preserve">, </w:t>
      </w:r>
      <w:proofErr w:type="spellStart"/>
      <w:r w:rsidRPr="005E2831">
        <w:rPr>
          <w:rFonts w:ascii="Times New Roman" w:eastAsia="Times New Roman" w:hAnsi="Times New Roman" w:cs="Times New Roman"/>
          <w:bCs/>
          <w:sz w:val="24"/>
          <w:szCs w:val="24"/>
          <w:lang w:val="x-none" w:eastAsia="x-none"/>
        </w:rPr>
        <w:t>piren</w:t>
      </w:r>
      <w:proofErr w:type="spellEnd"/>
      <w:r w:rsidRPr="005E2831">
        <w:rPr>
          <w:rFonts w:ascii="Times New Roman" w:eastAsia="Times New Roman" w:hAnsi="Times New Roman" w:cs="Times New Roman"/>
          <w:bCs/>
          <w:sz w:val="24"/>
          <w:szCs w:val="24"/>
          <w:lang w:val="x-none" w:eastAsia="x-none"/>
        </w:rPr>
        <w:t>),</w:t>
      </w:r>
    </w:p>
    <w:p w14:paraId="45CE2CAE" w14:textId="5CB2A26C" w:rsidR="000B01A2" w:rsidRPr="005E2831" w:rsidRDefault="000B01A2" w:rsidP="003D3AE7">
      <w:pPr>
        <w:ind w:left="284"/>
        <w:jc w:val="both"/>
        <w:rPr>
          <w:rFonts w:ascii="Times New Roman" w:eastAsia="Times New Roman" w:hAnsi="Times New Roman" w:cs="Times New Roman"/>
          <w:bCs/>
          <w:sz w:val="24"/>
          <w:szCs w:val="24"/>
          <w:lang w:val="x-none" w:eastAsia="x-none"/>
        </w:rPr>
      </w:pPr>
      <w:r w:rsidRPr="005E2831">
        <w:rPr>
          <w:rFonts w:ascii="Times New Roman" w:eastAsia="Times New Roman" w:hAnsi="Times New Roman" w:cs="Times New Roman"/>
          <w:bCs/>
          <w:sz w:val="24"/>
          <w:szCs w:val="24"/>
          <w:lang w:val="x-none" w:eastAsia="x-none"/>
        </w:rPr>
        <w:t xml:space="preserve">─ polichlorowane </w:t>
      </w:r>
      <w:proofErr w:type="spellStart"/>
      <w:r w:rsidRPr="005E2831">
        <w:rPr>
          <w:rFonts w:ascii="Times New Roman" w:eastAsia="Times New Roman" w:hAnsi="Times New Roman" w:cs="Times New Roman"/>
          <w:bCs/>
          <w:sz w:val="24"/>
          <w:szCs w:val="24"/>
          <w:lang w:val="x-none" w:eastAsia="x-none"/>
        </w:rPr>
        <w:t>bifenyle</w:t>
      </w:r>
      <w:proofErr w:type="spellEnd"/>
      <w:r w:rsidRPr="005E2831">
        <w:rPr>
          <w:rFonts w:ascii="Times New Roman" w:eastAsia="Times New Roman" w:hAnsi="Times New Roman" w:cs="Times New Roman"/>
          <w:bCs/>
          <w:sz w:val="24"/>
          <w:szCs w:val="24"/>
          <w:lang w:val="x-none" w:eastAsia="x-none"/>
        </w:rPr>
        <w:t xml:space="preserve"> (</w:t>
      </w:r>
      <w:proofErr w:type="spellStart"/>
      <w:r w:rsidRPr="005E2831">
        <w:rPr>
          <w:rFonts w:ascii="Times New Roman" w:eastAsia="Times New Roman" w:hAnsi="Times New Roman" w:cs="Times New Roman"/>
          <w:bCs/>
          <w:sz w:val="24"/>
          <w:szCs w:val="24"/>
          <w:lang w:val="x-none" w:eastAsia="x-none"/>
        </w:rPr>
        <w:t>kongenery</w:t>
      </w:r>
      <w:proofErr w:type="spellEnd"/>
      <w:r w:rsidRPr="005E2831">
        <w:rPr>
          <w:rFonts w:ascii="Times New Roman" w:eastAsia="Times New Roman" w:hAnsi="Times New Roman" w:cs="Times New Roman"/>
          <w:bCs/>
          <w:sz w:val="24"/>
          <w:szCs w:val="24"/>
          <w:lang w:val="x-none" w:eastAsia="x-none"/>
        </w:rPr>
        <w:t xml:space="preserve"> o nr 28, 52, 101, 118, 138, 153, 180), </w:t>
      </w:r>
      <w:proofErr w:type="spellStart"/>
      <w:r w:rsidRPr="005E2831">
        <w:rPr>
          <w:rFonts w:ascii="Times New Roman" w:eastAsia="Times New Roman" w:hAnsi="Times New Roman" w:cs="Times New Roman"/>
          <w:bCs/>
          <w:sz w:val="24"/>
          <w:szCs w:val="24"/>
          <w:lang w:val="x-none" w:eastAsia="x-none"/>
        </w:rPr>
        <w:t>heksachlorobenzen</w:t>
      </w:r>
      <w:proofErr w:type="spellEnd"/>
      <w:r w:rsidRPr="005E2831">
        <w:rPr>
          <w:rFonts w:ascii="Times New Roman" w:eastAsia="Times New Roman" w:hAnsi="Times New Roman" w:cs="Times New Roman"/>
          <w:bCs/>
          <w:sz w:val="24"/>
          <w:szCs w:val="24"/>
          <w:lang w:val="x-none" w:eastAsia="x-none"/>
        </w:rPr>
        <w:t xml:space="preserve">, α-HCH, β-HCH, γ-HCH, δ-HCH, </w:t>
      </w:r>
      <w:proofErr w:type="spellStart"/>
      <w:r w:rsidRPr="005E2831">
        <w:rPr>
          <w:rFonts w:ascii="Times New Roman" w:eastAsia="Times New Roman" w:hAnsi="Times New Roman" w:cs="Times New Roman"/>
          <w:bCs/>
          <w:sz w:val="24"/>
          <w:szCs w:val="24"/>
          <w:lang w:val="x-none" w:eastAsia="x-none"/>
        </w:rPr>
        <w:t>pentachlorobenzen</w:t>
      </w:r>
      <w:proofErr w:type="spellEnd"/>
      <w:r w:rsidRPr="005E2831">
        <w:rPr>
          <w:rFonts w:ascii="Times New Roman" w:eastAsia="Times New Roman" w:hAnsi="Times New Roman" w:cs="Times New Roman"/>
          <w:bCs/>
          <w:sz w:val="24"/>
          <w:szCs w:val="24"/>
          <w:lang w:val="x-none" w:eastAsia="x-none"/>
        </w:rPr>
        <w:t xml:space="preserve">, </w:t>
      </w:r>
      <w:proofErr w:type="spellStart"/>
      <w:r w:rsidRPr="005E2831">
        <w:rPr>
          <w:rFonts w:ascii="Times New Roman" w:eastAsia="Times New Roman" w:hAnsi="Times New Roman" w:cs="Times New Roman"/>
          <w:bCs/>
          <w:sz w:val="24"/>
          <w:szCs w:val="24"/>
          <w:lang w:val="x-none" w:eastAsia="x-none"/>
        </w:rPr>
        <w:t>heptachlor</w:t>
      </w:r>
      <w:proofErr w:type="spellEnd"/>
      <w:r w:rsidRPr="005E2831">
        <w:rPr>
          <w:rFonts w:ascii="Times New Roman" w:eastAsia="Times New Roman" w:hAnsi="Times New Roman" w:cs="Times New Roman"/>
          <w:bCs/>
          <w:sz w:val="24"/>
          <w:szCs w:val="24"/>
          <w:lang w:val="x-none" w:eastAsia="x-none"/>
        </w:rPr>
        <w:t xml:space="preserve"> </w:t>
      </w:r>
      <w:r w:rsidR="004C5988">
        <w:rPr>
          <w:rFonts w:ascii="Times New Roman" w:eastAsia="Times New Roman" w:hAnsi="Times New Roman" w:cs="Times New Roman"/>
          <w:bCs/>
          <w:sz w:val="24"/>
          <w:szCs w:val="24"/>
          <w:lang w:val="x-none" w:eastAsia="x-none"/>
        </w:rPr>
        <w:br/>
      </w:r>
      <w:r w:rsidRPr="005E2831">
        <w:rPr>
          <w:rFonts w:ascii="Times New Roman" w:eastAsia="Times New Roman" w:hAnsi="Times New Roman" w:cs="Times New Roman"/>
          <w:bCs/>
          <w:sz w:val="24"/>
          <w:szCs w:val="24"/>
          <w:lang w:val="x-none" w:eastAsia="x-none"/>
        </w:rPr>
        <w:t xml:space="preserve">i epoksyd </w:t>
      </w:r>
      <w:proofErr w:type="spellStart"/>
      <w:r w:rsidRPr="005E2831">
        <w:rPr>
          <w:rFonts w:ascii="Times New Roman" w:eastAsia="Times New Roman" w:hAnsi="Times New Roman" w:cs="Times New Roman"/>
          <w:bCs/>
          <w:sz w:val="24"/>
          <w:szCs w:val="24"/>
          <w:lang w:val="x-none" w:eastAsia="x-none"/>
        </w:rPr>
        <w:t>heptachloru</w:t>
      </w:r>
      <w:proofErr w:type="spellEnd"/>
      <w:r w:rsidRPr="005E2831">
        <w:rPr>
          <w:rFonts w:ascii="Times New Roman" w:eastAsia="Times New Roman" w:hAnsi="Times New Roman" w:cs="Times New Roman"/>
          <w:bCs/>
          <w:sz w:val="24"/>
          <w:szCs w:val="24"/>
          <w:lang w:val="x-none" w:eastAsia="x-none"/>
        </w:rPr>
        <w:t xml:space="preserve">, </w:t>
      </w:r>
      <w:proofErr w:type="spellStart"/>
      <w:r w:rsidRPr="005E2831">
        <w:rPr>
          <w:rFonts w:ascii="Times New Roman" w:eastAsia="Times New Roman" w:hAnsi="Times New Roman" w:cs="Times New Roman"/>
          <w:bCs/>
          <w:sz w:val="24"/>
          <w:szCs w:val="24"/>
          <w:lang w:val="x-none" w:eastAsia="x-none"/>
        </w:rPr>
        <w:t>aldryna</w:t>
      </w:r>
      <w:proofErr w:type="spellEnd"/>
      <w:r w:rsidRPr="005E2831">
        <w:rPr>
          <w:rFonts w:ascii="Times New Roman" w:eastAsia="Times New Roman" w:hAnsi="Times New Roman" w:cs="Times New Roman"/>
          <w:bCs/>
          <w:sz w:val="24"/>
          <w:szCs w:val="24"/>
          <w:lang w:val="x-none" w:eastAsia="x-none"/>
        </w:rPr>
        <w:t xml:space="preserve">, </w:t>
      </w:r>
      <w:proofErr w:type="spellStart"/>
      <w:r w:rsidRPr="005E2831">
        <w:rPr>
          <w:rFonts w:ascii="Times New Roman" w:eastAsia="Times New Roman" w:hAnsi="Times New Roman" w:cs="Times New Roman"/>
          <w:bCs/>
          <w:sz w:val="24"/>
          <w:szCs w:val="24"/>
          <w:lang w:val="x-none" w:eastAsia="x-none"/>
        </w:rPr>
        <w:t>endryna</w:t>
      </w:r>
      <w:proofErr w:type="spellEnd"/>
      <w:r w:rsidRPr="005E2831">
        <w:rPr>
          <w:rFonts w:ascii="Times New Roman" w:eastAsia="Times New Roman" w:hAnsi="Times New Roman" w:cs="Times New Roman"/>
          <w:bCs/>
          <w:sz w:val="24"/>
          <w:szCs w:val="24"/>
          <w:lang w:val="x-none" w:eastAsia="x-none"/>
        </w:rPr>
        <w:t xml:space="preserve">, dieldryna, </w:t>
      </w:r>
      <w:proofErr w:type="spellStart"/>
      <w:r w:rsidRPr="005E2831">
        <w:rPr>
          <w:rFonts w:ascii="Times New Roman" w:eastAsia="Times New Roman" w:hAnsi="Times New Roman" w:cs="Times New Roman"/>
          <w:bCs/>
          <w:sz w:val="24"/>
          <w:szCs w:val="24"/>
          <w:lang w:val="x-none" w:eastAsia="x-none"/>
        </w:rPr>
        <w:t>izodryna</w:t>
      </w:r>
      <w:proofErr w:type="spellEnd"/>
      <w:r w:rsidRPr="005E2831">
        <w:rPr>
          <w:rFonts w:ascii="Times New Roman" w:eastAsia="Times New Roman" w:hAnsi="Times New Roman" w:cs="Times New Roman"/>
          <w:bCs/>
          <w:sz w:val="24"/>
          <w:szCs w:val="24"/>
          <w:lang w:val="x-none" w:eastAsia="x-none"/>
        </w:rPr>
        <w:t xml:space="preserve">, </w:t>
      </w:r>
      <w:proofErr w:type="spellStart"/>
      <w:r w:rsidRPr="005E2831">
        <w:rPr>
          <w:rFonts w:ascii="Times New Roman" w:eastAsia="Times New Roman" w:hAnsi="Times New Roman" w:cs="Times New Roman"/>
          <w:bCs/>
          <w:sz w:val="24"/>
          <w:szCs w:val="24"/>
          <w:lang w:val="x-none" w:eastAsia="x-none"/>
        </w:rPr>
        <w:t>endosulfan</w:t>
      </w:r>
      <w:proofErr w:type="spellEnd"/>
      <w:r w:rsidRPr="005E2831">
        <w:rPr>
          <w:rFonts w:ascii="Times New Roman" w:eastAsia="Times New Roman" w:hAnsi="Times New Roman" w:cs="Times New Roman"/>
          <w:bCs/>
          <w:sz w:val="24"/>
          <w:szCs w:val="24"/>
          <w:lang w:val="x-none" w:eastAsia="x-none"/>
        </w:rPr>
        <w:t xml:space="preserve">, DDT (w tym izomer para-para), </w:t>
      </w:r>
      <w:proofErr w:type="spellStart"/>
      <w:r w:rsidRPr="005E2831">
        <w:rPr>
          <w:rFonts w:ascii="Times New Roman" w:eastAsia="Times New Roman" w:hAnsi="Times New Roman" w:cs="Times New Roman"/>
          <w:bCs/>
          <w:sz w:val="24"/>
          <w:szCs w:val="24"/>
          <w:lang w:val="x-none" w:eastAsia="x-none"/>
        </w:rPr>
        <w:t>p,p</w:t>
      </w:r>
      <w:proofErr w:type="spellEnd"/>
      <w:r w:rsidRPr="005E2831">
        <w:rPr>
          <w:rFonts w:ascii="Times New Roman" w:eastAsia="Times New Roman" w:hAnsi="Times New Roman" w:cs="Times New Roman"/>
          <w:bCs/>
          <w:sz w:val="24"/>
          <w:szCs w:val="24"/>
          <w:lang w:val="x-none" w:eastAsia="x-none"/>
        </w:rPr>
        <w:t xml:space="preserve">’-DDE, </w:t>
      </w:r>
      <w:proofErr w:type="spellStart"/>
      <w:r w:rsidRPr="005E2831">
        <w:rPr>
          <w:rFonts w:ascii="Times New Roman" w:eastAsia="Times New Roman" w:hAnsi="Times New Roman" w:cs="Times New Roman"/>
          <w:bCs/>
          <w:sz w:val="24"/>
          <w:szCs w:val="24"/>
          <w:lang w:val="x-none" w:eastAsia="x-none"/>
        </w:rPr>
        <w:t>p,p</w:t>
      </w:r>
      <w:proofErr w:type="spellEnd"/>
      <w:r w:rsidRPr="005E2831">
        <w:rPr>
          <w:rFonts w:ascii="Times New Roman" w:eastAsia="Times New Roman" w:hAnsi="Times New Roman" w:cs="Times New Roman"/>
          <w:bCs/>
          <w:sz w:val="24"/>
          <w:szCs w:val="24"/>
          <w:lang w:val="x-none" w:eastAsia="x-none"/>
        </w:rPr>
        <w:t>’-DDD.</w:t>
      </w:r>
    </w:p>
    <w:p w14:paraId="1194EF32" w14:textId="77777777" w:rsidR="000B01A2" w:rsidRPr="005E2831" w:rsidRDefault="000B01A2" w:rsidP="003D3AE7">
      <w:pPr>
        <w:jc w:val="both"/>
        <w:rPr>
          <w:rFonts w:ascii="Times New Roman" w:eastAsia="Times New Roman" w:hAnsi="Times New Roman" w:cs="Times New Roman"/>
          <w:bCs/>
          <w:sz w:val="24"/>
          <w:szCs w:val="24"/>
          <w:lang w:val="x-none" w:eastAsia="x-none"/>
        </w:rPr>
      </w:pPr>
      <w:r w:rsidRPr="005E2831">
        <w:rPr>
          <w:rFonts w:ascii="Times New Roman" w:eastAsia="Times New Roman" w:hAnsi="Times New Roman" w:cs="Times New Roman"/>
          <w:bCs/>
          <w:sz w:val="24"/>
          <w:szCs w:val="24"/>
          <w:lang w:val="x-none" w:eastAsia="x-none"/>
        </w:rPr>
        <w:t xml:space="preserve">    Natomiast w wybranych 90 punktach pomiarowo-kontrolnych wykonano oznaczenia laboratoryjne w zakresie obejmującym dodatkowo następujące substancje:</w:t>
      </w:r>
    </w:p>
    <w:p w14:paraId="19A91ECB" w14:textId="77375BD0" w:rsidR="000B01A2" w:rsidRPr="005E2831" w:rsidRDefault="000B01A2" w:rsidP="003D3AE7">
      <w:pPr>
        <w:jc w:val="both"/>
        <w:rPr>
          <w:rFonts w:ascii="Times New Roman" w:eastAsia="Times New Roman" w:hAnsi="Times New Roman" w:cs="Times New Roman"/>
          <w:bCs/>
          <w:sz w:val="24"/>
          <w:szCs w:val="24"/>
          <w:lang w:val="x-none" w:eastAsia="x-none"/>
        </w:rPr>
      </w:pPr>
      <w:proofErr w:type="spellStart"/>
      <w:r w:rsidRPr="005E2831">
        <w:rPr>
          <w:rFonts w:ascii="Times New Roman" w:eastAsia="Times New Roman" w:hAnsi="Times New Roman" w:cs="Times New Roman"/>
          <w:bCs/>
          <w:sz w:val="24"/>
          <w:szCs w:val="24"/>
          <w:lang w:val="x-none" w:eastAsia="x-none"/>
        </w:rPr>
        <w:t>alachlor</w:t>
      </w:r>
      <w:proofErr w:type="spellEnd"/>
      <w:r w:rsidRPr="005E2831">
        <w:rPr>
          <w:rFonts w:ascii="Times New Roman" w:eastAsia="Times New Roman" w:hAnsi="Times New Roman" w:cs="Times New Roman"/>
          <w:bCs/>
          <w:sz w:val="24"/>
          <w:szCs w:val="24"/>
          <w:lang w:val="x-none" w:eastAsia="x-none"/>
        </w:rPr>
        <w:t xml:space="preserve">, bromowane </w:t>
      </w:r>
      <w:proofErr w:type="spellStart"/>
      <w:r w:rsidRPr="005E2831">
        <w:rPr>
          <w:rFonts w:ascii="Times New Roman" w:eastAsia="Times New Roman" w:hAnsi="Times New Roman" w:cs="Times New Roman"/>
          <w:bCs/>
          <w:sz w:val="24"/>
          <w:szCs w:val="24"/>
          <w:lang w:val="x-none" w:eastAsia="x-none"/>
        </w:rPr>
        <w:t>difenyloetery</w:t>
      </w:r>
      <w:proofErr w:type="spellEnd"/>
      <w:r w:rsidRPr="005E2831">
        <w:rPr>
          <w:rFonts w:ascii="Times New Roman" w:eastAsia="Times New Roman" w:hAnsi="Times New Roman" w:cs="Times New Roman"/>
          <w:bCs/>
          <w:sz w:val="24"/>
          <w:szCs w:val="24"/>
          <w:lang w:val="x-none" w:eastAsia="x-none"/>
        </w:rPr>
        <w:t xml:space="preserve"> (</w:t>
      </w:r>
      <w:proofErr w:type="spellStart"/>
      <w:r w:rsidRPr="005E2831">
        <w:rPr>
          <w:rFonts w:ascii="Times New Roman" w:eastAsia="Times New Roman" w:hAnsi="Times New Roman" w:cs="Times New Roman"/>
          <w:bCs/>
          <w:sz w:val="24"/>
          <w:szCs w:val="24"/>
          <w:lang w:val="x-none" w:eastAsia="x-none"/>
        </w:rPr>
        <w:t>kongenery</w:t>
      </w:r>
      <w:proofErr w:type="spellEnd"/>
      <w:r w:rsidRPr="005E2831">
        <w:rPr>
          <w:rFonts w:ascii="Times New Roman" w:eastAsia="Times New Roman" w:hAnsi="Times New Roman" w:cs="Times New Roman"/>
          <w:bCs/>
          <w:sz w:val="24"/>
          <w:szCs w:val="24"/>
          <w:lang w:val="x-none" w:eastAsia="x-none"/>
        </w:rPr>
        <w:t xml:space="preserve"> nr 28, 47, 99, 100, 153, 154), </w:t>
      </w:r>
      <w:proofErr w:type="spellStart"/>
      <w:r w:rsidRPr="005E2831">
        <w:rPr>
          <w:rFonts w:ascii="Times New Roman" w:eastAsia="Times New Roman" w:hAnsi="Times New Roman" w:cs="Times New Roman"/>
          <w:bCs/>
          <w:sz w:val="24"/>
          <w:szCs w:val="24"/>
          <w:lang w:val="x-none" w:eastAsia="x-none"/>
        </w:rPr>
        <w:t>chloroalkany</w:t>
      </w:r>
      <w:proofErr w:type="spellEnd"/>
      <w:r w:rsidRPr="005E2831">
        <w:rPr>
          <w:rFonts w:ascii="Times New Roman" w:eastAsia="Times New Roman" w:hAnsi="Times New Roman" w:cs="Times New Roman"/>
          <w:bCs/>
          <w:sz w:val="24"/>
          <w:szCs w:val="24"/>
          <w:lang w:val="x-none" w:eastAsia="x-none"/>
        </w:rPr>
        <w:t xml:space="preserve"> C10-C13, </w:t>
      </w:r>
      <w:proofErr w:type="spellStart"/>
      <w:r w:rsidRPr="005E2831">
        <w:rPr>
          <w:rFonts w:ascii="Times New Roman" w:eastAsia="Times New Roman" w:hAnsi="Times New Roman" w:cs="Times New Roman"/>
          <w:bCs/>
          <w:sz w:val="24"/>
          <w:szCs w:val="24"/>
          <w:lang w:val="x-none" w:eastAsia="x-none"/>
        </w:rPr>
        <w:t>chlorfenwinfos</w:t>
      </w:r>
      <w:proofErr w:type="spellEnd"/>
      <w:r w:rsidRPr="005E2831">
        <w:rPr>
          <w:rFonts w:ascii="Times New Roman" w:eastAsia="Times New Roman" w:hAnsi="Times New Roman" w:cs="Times New Roman"/>
          <w:bCs/>
          <w:sz w:val="24"/>
          <w:szCs w:val="24"/>
          <w:lang w:val="x-none" w:eastAsia="x-none"/>
        </w:rPr>
        <w:t xml:space="preserve">, </w:t>
      </w:r>
      <w:proofErr w:type="spellStart"/>
      <w:r w:rsidRPr="005E2831">
        <w:rPr>
          <w:rFonts w:ascii="Times New Roman" w:eastAsia="Times New Roman" w:hAnsi="Times New Roman" w:cs="Times New Roman"/>
          <w:bCs/>
          <w:sz w:val="24"/>
          <w:szCs w:val="24"/>
          <w:lang w:val="x-none" w:eastAsia="x-none"/>
        </w:rPr>
        <w:t>chlorpiryfos</w:t>
      </w:r>
      <w:proofErr w:type="spellEnd"/>
      <w:r w:rsidRPr="005E2831">
        <w:rPr>
          <w:rFonts w:ascii="Times New Roman" w:eastAsia="Times New Roman" w:hAnsi="Times New Roman" w:cs="Times New Roman"/>
          <w:bCs/>
          <w:sz w:val="24"/>
          <w:szCs w:val="24"/>
          <w:lang w:val="x-none" w:eastAsia="x-none"/>
        </w:rPr>
        <w:t xml:space="preserve">, fluorki, </w:t>
      </w:r>
      <w:proofErr w:type="spellStart"/>
      <w:r w:rsidRPr="005E2831">
        <w:rPr>
          <w:rFonts w:ascii="Times New Roman" w:eastAsia="Times New Roman" w:hAnsi="Times New Roman" w:cs="Times New Roman"/>
          <w:bCs/>
          <w:sz w:val="24"/>
          <w:szCs w:val="24"/>
          <w:lang w:val="x-none" w:eastAsia="x-none"/>
        </w:rPr>
        <w:t>ftalan</w:t>
      </w:r>
      <w:proofErr w:type="spellEnd"/>
      <w:r w:rsidRPr="005E2831">
        <w:rPr>
          <w:rFonts w:ascii="Times New Roman" w:eastAsia="Times New Roman" w:hAnsi="Times New Roman" w:cs="Times New Roman"/>
          <w:bCs/>
          <w:sz w:val="24"/>
          <w:szCs w:val="24"/>
          <w:lang w:val="x-none" w:eastAsia="x-none"/>
        </w:rPr>
        <w:t xml:space="preserve"> di(2-etyloheksylu), </w:t>
      </w:r>
      <w:proofErr w:type="spellStart"/>
      <w:r w:rsidRPr="005E2831">
        <w:rPr>
          <w:rFonts w:ascii="Times New Roman" w:eastAsia="Times New Roman" w:hAnsi="Times New Roman" w:cs="Times New Roman"/>
          <w:bCs/>
          <w:sz w:val="24"/>
          <w:szCs w:val="24"/>
          <w:lang w:val="x-none" w:eastAsia="x-none"/>
        </w:rPr>
        <w:t>heksachlorobutadien</w:t>
      </w:r>
      <w:proofErr w:type="spellEnd"/>
      <w:r w:rsidRPr="005E2831">
        <w:rPr>
          <w:rFonts w:ascii="Times New Roman" w:eastAsia="Times New Roman" w:hAnsi="Times New Roman" w:cs="Times New Roman"/>
          <w:bCs/>
          <w:sz w:val="24"/>
          <w:szCs w:val="24"/>
          <w:lang w:val="x-none" w:eastAsia="x-none"/>
        </w:rPr>
        <w:t xml:space="preserve">, </w:t>
      </w:r>
      <w:proofErr w:type="spellStart"/>
      <w:r w:rsidRPr="005E2831">
        <w:rPr>
          <w:rFonts w:ascii="Times New Roman" w:eastAsia="Times New Roman" w:hAnsi="Times New Roman" w:cs="Times New Roman"/>
          <w:bCs/>
          <w:sz w:val="24"/>
          <w:szCs w:val="24"/>
          <w:lang w:val="x-none" w:eastAsia="x-none"/>
        </w:rPr>
        <w:t>nonylofenole</w:t>
      </w:r>
      <w:proofErr w:type="spellEnd"/>
      <w:r w:rsidRPr="005E2831">
        <w:rPr>
          <w:rFonts w:ascii="Times New Roman" w:eastAsia="Times New Roman" w:hAnsi="Times New Roman" w:cs="Times New Roman"/>
          <w:bCs/>
          <w:sz w:val="24"/>
          <w:szCs w:val="24"/>
          <w:lang w:val="x-none" w:eastAsia="x-none"/>
        </w:rPr>
        <w:t xml:space="preserve"> (4-nonylofenol), </w:t>
      </w:r>
      <w:proofErr w:type="spellStart"/>
      <w:r w:rsidRPr="005E2831">
        <w:rPr>
          <w:rFonts w:ascii="Times New Roman" w:eastAsia="Times New Roman" w:hAnsi="Times New Roman" w:cs="Times New Roman"/>
          <w:bCs/>
          <w:sz w:val="24"/>
          <w:szCs w:val="24"/>
          <w:lang w:val="x-none" w:eastAsia="x-none"/>
        </w:rPr>
        <w:t>oktylofenole</w:t>
      </w:r>
      <w:proofErr w:type="spellEnd"/>
      <w:r w:rsidRPr="005E2831">
        <w:rPr>
          <w:rFonts w:ascii="Times New Roman" w:eastAsia="Times New Roman" w:hAnsi="Times New Roman" w:cs="Times New Roman"/>
          <w:bCs/>
          <w:sz w:val="24"/>
          <w:szCs w:val="24"/>
          <w:lang w:val="x-none" w:eastAsia="x-none"/>
        </w:rPr>
        <w:t xml:space="preserve"> (4-(1,1’,3,3’-tetrametylobutylo)-fenol), </w:t>
      </w:r>
      <w:proofErr w:type="spellStart"/>
      <w:r w:rsidRPr="005E2831">
        <w:rPr>
          <w:rFonts w:ascii="Times New Roman" w:eastAsia="Times New Roman" w:hAnsi="Times New Roman" w:cs="Times New Roman"/>
          <w:bCs/>
          <w:sz w:val="24"/>
          <w:szCs w:val="24"/>
          <w:lang w:val="x-none" w:eastAsia="x-none"/>
        </w:rPr>
        <w:t>pentachlorofenol</w:t>
      </w:r>
      <w:proofErr w:type="spellEnd"/>
      <w:r w:rsidRPr="005E2831">
        <w:rPr>
          <w:rFonts w:ascii="Times New Roman" w:eastAsia="Times New Roman" w:hAnsi="Times New Roman" w:cs="Times New Roman"/>
          <w:bCs/>
          <w:sz w:val="24"/>
          <w:szCs w:val="24"/>
          <w:lang w:val="x-none" w:eastAsia="x-none"/>
        </w:rPr>
        <w:t xml:space="preserve">, związki </w:t>
      </w:r>
      <w:proofErr w:type="spellStart"/>
      <w:r w:rsidRPr="005E2831">
        <w:rPr>
          <w:rFonts w:ascii="Times New Roman" w:eastAsia="Times New Roman" w:hAnsi="Times New Roman" w:cs="Times New Roman"/>
          <w:bCs/>
          <w:sz w:val="24"/>
          <w:szCs w:val="24"/>
          <w:lang w:val="x-none" w:eastAsia="x-none"/>
        </w:rPr>
        <w:t>tributylocyny</w:t>
      </w:r>
      <w:proofErr w:type="spellEnd"/>
      <w:r w:rsidRPr="005E2831">
        <w:rPr>
          <w:rFonts w:ascii="Times New Roman" w:eastAsia="Times New Roman" w:hAnsi="Times New Roman" w:cs="Times New Roman"/>
          <w:bCs/>
          <w:sz w:val="24"/>
          <w:szCs w:val="24"/>
          <w:lang w:val="x-none" w:eastAsia="x-none"/>
        </w:rPr>
        <w:t xml:space="preserve"> (kation </w:t>
      </w:r>
      <w:proofErr w:type="spellStart"/>
      <w:r w:rsidRPr="005E2831">
        <w:rPr>
          <w:rFonts w:ascii="Times New Roman" w:eastAsia="Times New Roman" w:hAnsi="Times New Roman" w:cs="Times New Roman"/>
          <w:bCs/>
          <w:sz w:val="24"/>
          <w:szCs w:val="24"/>
          <w:lang w:val="x-none" w:eastAsia="x-none"/>
        </w:rPr>
        <w:t>tributylocyny</w:t>
      </w:r>
      <w:proofErr w:type="spellEnd"/>
      <w:r w:rsidRPr="005E2831">
        <w:rPr>
          <w:rFonts w:ascii="Times New Roman" w:eastAsia="Times New Roman" w:hAnsi="Times New Roman" w:cs="Times New Roman"/>
          <w:bCs/>
          <w:sz w:val="24"/>
          <w:szCs w:val="24"/>
          <w:lang w:val="x-none" w:eastAsia="x-none"/>
        </w:rPr>
        <w:t xml:space="preserve">), </w:t>
      </w:r>
      <w:proofErr w:type="spellStart"/>
      <w:r w:rsidRPr="005E2831">
        <w:rPr>
          <w:rFonts w:ascii="Times New Roman" w:eastAsia="Times New Roman" w:hAnsi="Times New Roman" w:cs="Times New Roman"/>
          <w:bCs/>
          <w:sz w:val="24"/>
          <w:szCs w:val="24"/>
          <w:lang w:val="x-none" w:eastAsia="x-none"/>
        </w:rPr>
        <w:t>trichlorobenzeny</w:t>
      </w:r>
      <w:proofErr w:type="spellEnd"/>
      <w:r w:rsidRPr="005E2831">
        <w:rPr>
          <w:rFonts w:ascii="Times New Roman" w:eastAsia="Times New Roman" w:hAnsi="Times New Roman" w:cs="Times New Roman"/>
          <w:bCs/>
          <w:sz w:val="24"/>
          <w:szCs w:val="24"/>
          <w:lang w:val="x-none" w:eastAsia="x-none"/>
        </w:rPr>
        <w:t xml:space="preserve">, </w:t>
      </w:r>
      <w:proofErr w:type="spellStart"/>
      <w:r w:rsidRPr="005E2831">
        <w:rPr>
          <w:rFonts w:ascii="Times New Roman" w:eastAsia="Times New Roman" w:hAnsi="Times New Roman" w:cs="Times New Roman"/>
          <w:bCs/>
          <w:sz w:val="24"/>
          <w:szCs w:val="24"/>
          <w:lang w:val="x-none" w:eastAsia="x-none"/>
        </w:rPr>
        <w:t>trifluralina</w:t>
      </w:r>
      <w:proofErr w:type="spellEnd"/>
      <w:r w:rsidRPr="005E2831">
        <w:rPr>
          <w:rFonts w:ascii="Times New Roman" w:eastAsia="Times New Roman" w:hAnsi="Times New Roman" w:cs="Times New Roman"/>
          <w:bCs/>
          <w:sz w:val="24"/>
          <w:szCs w:val="24"/>
          <w:lang w:val="x-none" w:eastAsia="x-none"/>
        </w:rPr>
        <w:t xml:space="preserve">, </w:t>
      </w:r>
      <w:proofErr w:type="spellStart"/>
      <w:r w:rsidRPr="005E2831">
        <w:rPr>
          <w:rFonts w:ascii="Times New Roman" w:eastAsia="Times New Roman" w:hAnsi="Times New Roman" w:cs="Times New Roman"/>
          <w:bCs/>
          <w:sz w:val="24"/>
          <w:szCs w:val="24"/>
          <w:lang w:val="x-none" w:eastAsia="x-none"/>
        </w:rPr>
        <w:t>dikofol</w:t>
      </w:r>
      <w:proofErr w:type="spellEnd"/>
      <w:r w:rsidRPr="005E2831">
        <w:rPr>
          <w:rFonts w:ascii="Times New Roman" w:eastAsia="Times New Roman" w:hAnsi="Times New Roman" w:cs="Times New Roman"/>
          <w:bCs/>
          <w:sz w:val="24"/>
          <w:szCs w:val="24"/>
          <w:lang w:val="x-none" w:eastAsia="x-none"/>
        </w:rPr>
        <w:t xml:space="preserve">, kwas </w:t>
      </w:r>
      <w:proofErr w:type="spellStart"/>
      <w:r w:rsidRPr="005E2831">
        <w:rPr>
          <w:rFonts w:ascii="Times New Roman" w:eastAsia="Times New Roman" w:hAnsi="Times New Roman" w:cs="Times New Roman"/>
          <w:bCs/>
          <w:sz w:val="24"/>
          <w:szCs w:val="24"/>
          <w:lang w:val="x-none" w:eastAsia="x-none"/>
        </w:rPr>
        <w:t>perfluorooktanosulfonowy</w:t>
      </w:r>
      <w:proofErr w:type="spellEnd"/>
      <w:r w:rsidRPr="005E2831">
        <w:rPr>
          <w:rFonts w:ascii="Times New Roman" w:eastAsia="Times New Roman" w:hAnsi="Times New Roman" w:cs="Times New Roman"/>
          <w:bCs/>
          <w:sz w:val="24"/>
          <w:szCs w:val="24"/>
          <w:lang w:val="x-none" w:eastAsia="x-none"/>
        </w:rPr>
        <w:t xml:space="preserve"> i jego pochodne (PFOS), </w:t>
      </w:r>
      <w:proofErr w:type="spellStart"/>
      <w:r w:rsidRPr="005E2831">
        <w:rPr>
          <w:rFonts w:ascii="Times New Roman" w:eastAsia="Times New Roman" w:hAnsi="Times New Roman" w:cs="Times New Roman"/>
          <w:bCs/>
          <w:sz w:val="24"/>
          <w:szCs w:val="24"/>
          <w:lang w:val="x-none" w:eastAsia="x-none"/>
        </w:rPr>
        <w:t>chinoksyfen</w:t>
      </w:r>
      <w:proofErr w:type="spellEnd"/>
      <w:r w:rsidRPr="005E2831">
        <w:rPr>
          <w:rFonts w:ascii="Times New Roman" w:eastAsia="Times New Roman" w:hAnsi="Times New Roman" w:cs="Times New Roman"/>
          <w:bCs/>
          <w:sz w:val="24"/>
          <w:szCs w:val="24"/>
          <w:lang w:val="x-none" w:eastAsia="x-none"/>
        </w:rPr>
        <w:t xml:space="preserve">, dioksyny </w:t>
      </w:r>
      <w:r w:rsidR="0009242C">
        <w:rPr>
          <w:rFonts w:ascii="Times New Roman" w:eastAsia="Times New Roman" w:hAnsi="Times New Roman" w:cs="Times New Roman"/>
          <w:bCs/>
          <w:sz w:val="24"/>
          <w:szCs w:val="24"/>
          <w:lang w:val="x-none" w:eastAsia="x-none"/>
        </w:rPr>
        <w:br/>
      </w:r>
      <w:r w:rsidRPr="005E2831">
        <w:rPr>
          <w:rFonts w:ascii="Times New Roman" w:eastAsia="Times New Roman" w:hAnsi="Times New Roman" w:cs="Times New Roman"/>
          <w:bCs/>
          <w:sz w:val="24"/>
          <w:szCs w:val="24"/>
          <w:lang w:val="x-none" w:eastAsia="x-none"/>
        </w:rPr>
        <w:t xml:space="preserve">i związki </w:t>
      </w:r>
      <w:proofErr w:type="spellStart"/>
      <w:r w:rsidRPr="005E2831">
        <w:rPr>
          <w:rFonts w:ascii="Times New Roman" w:eastAsia="Times New Roman" w:hAnsi="Times New Roman" w:cs="Times New Roman"/>
          <w:bCs/>
          <w:sz w:val="24"/>
          <w:szCs w:val="24"/>
          <w:lang w:val="x-none" w:eastAsia="x-none"/>
        </w:rPr>
        <w:t>dioksynopodobne</w:t>
      </w:r>
      <w:proofErr w:type="spellEnd"/>
      <w:r w:rsidRPr="005E2831">
        <w:rPr>
          <w:rFonts w:ascii="Times New Roman" w:eastAsia="Times New Roman" w:hAnsi="Times New Roman" w:cs="Times New Roman"/>
          <w:bCs/>
          <w:sz w:val="24"/>
          <w:szCs w:val="24"/>
          <w:lang w:val="x-none" w:eastAsia="x-none"/>
        </w:rPr>
        <w:t xml:space="preserve">, </w:t>
      </w:r>
      <w:proofErr w:type="spellStart"/>
      <w:r w:rsidRPr="005E2831">
        <w:rPr>
          <w:rFonts w:ascii="Times New Roman" w:eastAsia="Times New Roman" w:hAnsi="Times New Roman" w:cs="Times New Roman"/>
          <w:bCs/>
          <w:sz w:val="24"/>
          <w:szCs w:val="24"/>
          <w:lang w:val="x-none" w:eastAsia="x-none"/>
        </w:rPr>
        <w:t>aklonifen</w:t>
      </w:r>
      <w:proofErr w:type="spellEnd"/>
      <w:r w:rsidRPr="005E2831">
        <w:rPr>
          <w:rFonts w:ascii="Times New Roman" w:eastAsia="Times New Roman" w:hAnsi="Times New Roman" w:cs="Times New Roman"/>
          <w:bCs/>
          <w:sz w:val="24"/>
          <w:szCs w:val="24"/>
          <w:lang w:val="x-none" w:eastAsia="x-none"/>
        </w:rPr>
        <w:t xml:space="preserve">, </w:t>
      </w:r>
      <w:proofErr w:type="spellStart"/>
      <w:r w:rsidRPr="005E2831">
        <w:rPr>
          <w:rFonts w:ascii="Times New Roman" w:eastAsia="Times New Roman" w:hAnsi="Times New Roman" w:cs="Times New Roman"/>
          <w:bCs/>
          <w:sz w:val="24"/>
          <w:szCs w:val="24"/>
          <w:lang w:val="x-none" w:eastAsia="x-none"/>
        </w:rPr>
        <w:t>bifenoks</w:t>
      </w:r>
      <w:proofErr w:type="spellEnd"/>
      <w:r w:rsidRPr="005E2831">
        <w:rPr>
          <w:rFonts w:ascii="Times New Roman" w:eastAsia="Times New Roman" w:hAnsi="Times New Roman" w:cs="Times New Roman"/>
          <w:bCs/>
          <w:sz w:val="24"/>
          <w:szCs w:val="24"/>
          <w:lang w:val="x-none" w:eastAsia="x-none"/>
        </w:rPr>
        <w:t xml:space="preserve">, </w:t>
      </w:r>
      <w:proofErr w:type="spellStart"/>
      <w:r w:rsidRPr="005E2831">
        <w:rPr>
          <w:rFonts w:ascii="Times New Roman" w:eastAsia="Times New Roman" w:hAnsi="Times New Roman" w:cs="Times New Roman"/>
          <w:bCs/>
          <w:sz w:val="24"/>
          <w:szCs w:val="24"/>
          <w:lang w:val="x-none" w:eastAsia="x-none"/>
        </w:rPr>
        <w:t>cybutryna</w:t>
      </w:r>
      <w:proofErr w:type="spellEnd"/>
      <w:r w:rsidRPr="005E2831">
        <w:rPr>
          <w:rFonts w:ascii="Times New Roman" w:eastAsia="Times New Roman" w:hAnsi="Times New Roman" w:cs="Times New Roman"/>
          <w:bCs/>
          <w:sz w:val="24"/>
          <w:szCs w:val="24"/>
          <w:lang w:val="x-none" w:eastAsia="x-none"/>
        </w:rPr>
        <w:t xml:space="preserve">, </w:t>
      </w:r>
      <w:proofErr w:type="spellStart"/>
      <w:r w:rsidRPr="005E2831">
        <w:rPr>
          <w:rFonts w:ascii="Times New Roman" w:eastAsia="Times New Roman" w:hAnsi="Times New Roman" w:cs="Times New Roman"/>
          <w:bCs/>
          <w:sz w:val="24"/>
          <w:szCs w:val="24"/>
          <w:lang w:val="x-none" w:eastAsia="x-none"/>
        </w:rPr>
        <w:t>cypermetryna</w:t>
      </w:r>
      <w:proofErr w:type="spellEnd"/>
      <w:r w:rsidRPr="005E2831">
        <w:rPr>
          <w:rFonts w:ascii="Times New Roman" w:eastAsia="Times New Roman" w:hAnsi="Times New Roman" w:cs="Times New Roman"/>
          <w:bCs/>
          <w:sz w:val="24"/>
          <w:szCs w:val="24"/>
          <w:lang w:val="x-none" w:eastAsia="x-none"/>
        </w:rPr>
        <w:t xml:space="preserve">, </w:t>
      </w:r>
      <w:proofErr w:type="spellStart"/>
      <w:r w:rsidRPr="005E2831">
        <w:rPr>
          <w:rFonts w:ascii="Times New Roman" w:eastAsia="Times New Roman" w:hAnsi="Times New Roman" w:cs="Times New Roman"/>
          <w:bCs/>
          <w:sz w:val="24"/>
          <w:szCs w:val="24"/>
          <w:lang w:val="x-none" w:eastAsia="x-none"/>
        </w:rPr>
        <w:t>heksabromocyklododekan</w:t>
      </w:r>
      <w:proofErr w:type="spellEnd"/>
      <w:r w:rsidRPr="005E2831">
        <w:rPr>
          <w:rFonts w:ascii="Times New Roman" w:eastAsia="Times New Roman" w:hAnsi="Times New Roman" w:cs="Times New Roman"/>
          <w:bCs/>
          <w:sz w:val="24"/>
          <w:szCs w:val="24"/>
          <w:lang w:val="x-none" w:eastAsia="x-none"/>
        </w:rPr>
        <w:t xml:space="preserve">, </w:t>
      </w:r>
      <w:proofErr w:type="spellStart"/>
      <w:r w:rsidRPr="005E2831">
        <w:rPr>
          <w:rFonts w:ascii="Times New Roman" w:eastAsia="Times New Roman" w:hAnsi="Times New Roman" w:cs="Times New Roman"/>
          <w:bCs/>
          <w:sz w:val="24"/>
          <w:szCs w:val="24"/>
          <w:lang w:val="x-none" w:eastAsia="x-none"/>
        </w:rPr>
        <w:t>chlordekon</w:t>
      </w:r>
      <w:proofErr w:type="spellEnd"/>
      <w:r w:rsidRPr="005E2831">
        <w:rPr>
          <w:rFonts w:ascii="Times New Roman" w:eastAsia="Times New Roman" w:hAnsi="Times New Roman" w:cs="Times New Roman"/>
          <w:bCs/>
          <w:sz w:val="24"/>
          <w:szCs w:val="24"/>
          <w:lang w:val="x-none" w:eastAsia="x-none"/>
        </w:rPr>
        <w:t xml:space="preserve">, </w:t>
      </w:r>
      <w:proofErr w:type="spellStart"/>
      <w:r w:rsidRPr="005E2831">
        <w:rPr>
          <w:rFonts w:ascii="Times New Roman" w:eastAsia="Times New Roman" w:hAnsi="Times New Roman" w:cs="Times New Roman"/>
          <w:bCs/>
          <w:sz w:val="24"/>
          <w:szCs w:val="24"/>
          <w:lang w:val="x-none" w:eastAsia="x-none"/>
        </w:rPr>
        <w:t>heksabromodifenol</w:t>
      </w:r>
      <w:proofErr w:type="spellEnd"/>
      <w:r w:rsidRPr="005E2831">
        <w:rPr>
          <w:rFonts w:ascii="Times New Roman" w:eastAsia="Times New Roman" w:hAnsi="Times New Roman" w:cs="Times New Roman"/>
          <w:bCs/>
          <w:sz w:val="24"/>
          <w:szCs w:val="24"/>
          <w:lang w:val="x-none" w:eastAsia="x-none"/>
        </w:rPr>
        <w:t xml:space="preserve">, toksafen. </w:t>
      </w:r>
    </w:p>
    <w:p w14:paraId="080F0C1E" w14:textId="77777777" w:rsidR="000B01A2" w:rsidRPr="005E2831" w:rsidRDefault="000B01A2" w:rsidP="003D3AE7">
      <w:pPr>
        <w:jc w:val="both"/>
        <w:rPr>
          <w:rFonts w:ascii="Times New Roman" w:eastAsia="Times New Roman" w:hAnsi="Times New Roman" w:cs="Times New Roman"/>
          <w:bCs/>
          <w:sz w:val="24"/>
          <w:szCs w:val="24"/>
          <w:lang w:val="x-none" w:eastAsia="x-none"/>
        </w:rPr>
      </w:pPr>
      <w:r w:rsidRPr="005E2831">
        <w:rPr>
          <w:rFonts w:ascii="Times New Roman" w:eastAsia="Times New Roman" w:hAnsi="Times New Roman" w:cs="Times New Roman"/>
          <w:bCs/>
          <w:sz w:val="24"/>
          <w:szCs w:val="24"/>
          <w:lang w:val="x-none" w:eastAsia="x-none"/>
        </w:rPr>
        <w:t>Wszystkie analizy wykonane zostały przy zastosowaniu technik analitycznych i procedur zapewniających odpowiedni poziom oznaczalności.</w:t>
      </w:r>
    </w:p>
    <w:p w14:paraId="4450A17B" w14:textId="6F712D80" w:rsidR="000B01A2" w:rsidRPr="005E2831" w:rsidRDefault="000B01A2" w:rsidP="003D3AE7">
      <w:pPr>
        <w:jc w:val="both"/>
        <w:rPr>
          <w:rFonts w:ascii="Times New Roman" w:eastAsia="Times New Roman" w:hAnsi="Times New Roman" w:cs="Times New Roman"/>
          <w:bCs/>
          <w:sz w:val="24"/>
          <w:szCs w:val="24"/>
          <w:lang w:val="x-none" w:eastAsia="x-none"/>
        </w:rPr>
      </w:pPr>
      <w:r w:rsidRPr="005E2831">
        <w:rPr>
          <w:rFonts w:ascii="Times New Roman" w:eastAsia="Times New Roman" w:hAnsi="Times New Roman" w:cs="Times New Roman"/>
          <w:bCs/>
          <w:sz w:val="24"/>
          <w:szCs w:val="24"/>
          <w:lang w:val="x-none" w:eastAsia="x-none"/>
        </w:rPr>
        <w:lastRenderedPageBreak/>
        <w:t xml:space="preserve">W 2022 r. została również dokonana ocena stanu zanieczyszczenia osadów dennych rzek </w:t>
      </w:r>
      <w:r w:rsidR="003D3AE7">
        <w:rPr>
          <w:rFonts w:ascii="Times New Roman" w:eastAsia="Times New Roman" w:hAnsi="Times New Roman" w:cs="Times New Roman"/>
          <w:bCs/>
          <w:sz w:val="24"/>
          <w:szCs w:val="24"/>
          <w:lang w:val="x-none" w:eastAsia="x-none"/>
        </w:rPr>
        <w:br/>
      </w:r>
      <w:r w:rsidRPr="005E2831">
        <w:rPr>
          <w:rFonts w:ascii="Times New Roman" w:eastAsia="Times New Roman" w:hAnsi="Times New Roman" w:cs="Times New Roman"/>
          <w:bCs/>
          <w:sz w:val="24"/>
          <w:szCs w:val="24"/>
          <w:lang w:val="x-none" w:eastAsia="x-none"/>
        </w:rPr>
        <w:t>i jezior na nowych zasadach. Od 2022 roku  ocena jakości osadów dennych będzie przeprowadzana w oparciu o następujące dwa kryteria:</w:t>
      </w:r>
    </w:p>
    <w:p w14:paraId="644FC991" w14:textId="77777777" w:rsidR="000B01A2" w:rsidRPr="005E2831" w:rsidRDefault="000B01A2" w:rsidP="003D3AE7">
      <w:pPr>
        <w:jc w:val="both"/>
        <w:rPr>
          <w:rFonts w:ascii="Times New Roman" w:eastAsia="Times New Roman" w:hAnsi="Times New Roman" w:cs="Times New Roman"/>
          <w:bCs/>
          <w:sz w:val="24"/>
          <w:szCs w:val="24"/>
          <w:lang w:val="x-none" w:eastAsia="x-none"/>
        </w:rPr>
      </w:pPr>
      <w:r w:rsidRPr="005E2831">
        <w:rPr>
          <w:rFonts w:ascii="Times New Roman" w:eastAsia="Times New Roman" w:hAnsi="Times New Roman" w:cs="Times New Roman"/>
          <w:bCs/>
          <w:sz w:val="24"/>
          <w:szCs w:val="24"/>
          <w:lang w:val="x-none" w:eastAsia="x-none"/>
        </w:rPr>
        <w:t>•</w:t>
      </w:r>
      <w:r w:rsidRPr="005E2831">
        <w:rPr>
          <w:rFonts w:ascii="Times New Roman" w:eastAsia="Times New Roman" w:hAnsi="Times New Roman" w:cs="Times New Roman"/>
          <w:bCs/>
          <w:sz w:val="24"/>
          <w:szCs w:val="24"/>
          <w:lang w:val="x-none" w:eastAsia="x-none"/>
        </w:rPr>
        <w:tab/>
        <w:t>kryterium ekotoksykologiczne EQS - podstawowe, umożliwiające ocenę stopnia wpływu zanieczyszczonych osadów na organizmy wodne na podstawie określonych wartości granicznych EQS, wykorzystywanych do rozdzielenia dobrego od złego stanu chemicznego osadów wodnych (wg GIOŚ 2015). Ocena jakości osadów dennych wg kryterium EQS została przeprowadzona jedynie dla tych prób osadów dennych, dla których zbadane zostały wszystkie wskaźniki wymagane w stosowanej metodyce, tj. wg kryterium EQS.</w:t>
      </w:r>
    </w:p>
    <w:p w14:paraId="63F4B05E" w14:textId="77777777" w:rsidR="000B01A2" w:rsidRPr="005E2831" w:rsidRDefault="000B01A2" w:rsidP="003D3AE7">
      <w:pPr>
        <w:jc w:val="both"/>
        <w:rPr>
          <w:rFonts w:ascii="Times New Roman" w:eastAsia="Times New Roman" w:hAnsi="Times New Roman" w:cs="Times New Roman"/>
          <w:bCs/>
          <w:sz w:val="24"/>
          <w:szCs w:val="24"/>
          <w:lang w:val="x-none" w:eastAsia="x-none"/>
        </w:rPr>
      </w:pPr>
      <w:r w:rsidRPr="005E2831">
        <w:rPr>
          <w:rFonts w:ascii="Times New Roman" w:eastAsia="Times New Roman" w:hAnsi="Times New Roman" w:cs="Times New Roman"/>
          <w:bCs/>
          <w:sz w:val="24"/>
          <w:szCs w:val="24"/>
          <w:lang w:val="x-none" w:eastAsia="x-none"/>
        </w:rPr>
        <w:t>•</w:t>
      </w:r>
      <w:r w:rsidRPr="005E2831">
        <w:rPr>
          <w:rFonts w:ascii="Times New Roman" w:eastAsia="Times New Roman" w:hAnsi="Times New Roman" w:cs="Times New Roman"/>
          <w:bCs/>
          <w:sz w:val="24"/>
          <w:szCs w:val="24"/>
          <w:lang w:val="x-none" w:eastAsia="x-none"/>
        </w:rPr>
        <w:tab/>
        <w:t xml:space="preserve">kryterium ekotoksykologiczne (substancje organiczne) - dodatkowe, umożliwiające ocenę stopnia wpływu zanieczyszczonych osadów na organizmy wodne (wg D.D. MacDonald, C.G. </w:t>
      </w:r>
      <w:proofErr w:type="spellStart"/>
      <w:r w:rsidRPr="005E2831">
        <w:rPr>
          <w:rFonts w:ascii="Times New Roman" w:eastAsia="Times New Roman" w:hAnsi="Times New Roman" w:cs="Times New Roman"/>
          <w:bCs/>
          <w:sz w:val="24"/>
          <w:szCs w:val="24"/>
          <w:lang w:val="x-none" w:eastAsia="x-none"/>
        </w:rPr>
        <w:t>Ingersol</w:t>
      </w:r>
      <w:proofErr w:type="spellEnd"/>
      <w:r w:rsidRPr="005E2831">
        <w:rPr>
          <w:rFonts w:ascii="Times New Roman" w:eastAsia="Times New Roman" w:hAnsi="Times New Roman" w:cs="Times New Roman"/>
          <w:bCs/>
          <w:sz w:val="24"/>
          <w:szCs w:val="24"/>
          <w:lang w:val="x-none" w:eastAsia="x-none"/>
        </w:rPr>
        <w:t>, T.A. Berger 2000; WT-732 2003).</w:t>
      </w:r>
    </w:p>
    <w:p w14:paraId="3D1EE72E" w14:textId="77777777" w:rsidR="000B01A2" w:rsidRPr="005E2831" w:rsidRDefault="000B01A2" w:rsidP="003D3AE7">
      <w:pPr>
        <w:jc w:val="both"/>
        <w:rPr>
          <w:rFonts w:ascii="Times New Roman" w:eastAsia="Times New Roman" w:hAnsi="Times New Roman" w:cs="Times New Roman"/>
          <w:b/>
          <w:bCs/>
          <w:sz w:val="24"/>
          <w:szCs w:val="24"/>
          <w:lang w:eastAsia="x-none"/>
        </w:rPr>
      </w:pPr>
      <w:r w:rsidRPr="005E2831">
        <w:rPr>
          <w:rFonts w:ascii="Times New Roman" w:eastAsia="Times New Roman" w:hAnsi="Times New Roman" w:cs="Times New Roman"/>
          <w:b/>
          <w:bCs/>
          <w:sz w:val="24"/>
          <w:szCs w:val="24"/>
          <w:lang w:val="x-none" w:eastAsia="x-none"/>
        </w:rPr>
        <w:t xml:space="preserve">Ocena jakości osadów pobranych z rzek i kanałów rzecznych zgodnie z kryterium ekotoksykologicznym, umożliwiającym ocenę stopnia wpływu zanieczyszczonych osadów na organizmy wodne na podstawie określonych </w:t>
      </w:r>
      <w:bookmarkStart w:id="398" w:name="_Hlk134444954"/>
      <w:r w:rsidRPr="005E2831">
        <w:rPr>
          <w:rFonts w:ascii="Times New Roman" w:eastAsia="Times New Roman" w:hAnsi="Times New Roman" w:cs="Times New Roman"/>
          <w:b/>
          <w:bCs/>
          <w:sz w:val="24"/>
          <w:szCs w:val="24"/>
          <w:lang w:val="x-none" w:eastAsia="x-none"/>
        </w:rPr>
        <w:t>wartości granicznych EQS</w:t>
      </w:r>
      <w:bookmarkEnd w:id="398"/>
      <w:r w:rsidRPr="005E2831">
        <w:rPr>
          <w:rFonts w:ascii="Times New Roman" w:eastAsia="Times New Roman" w:hAnsi="Times New Roman" w:cs="Times New Roman"/>
          <w:b/>
          <w:bCs/>
          <w:sz w:val="24"/>
          <w:szCs w:val="24"/>
          <w:lang w:val="x-none" w:eastAsia="x-none"/>
        </w:rPr>
        <w:t>, wykorzystywanych do rozdzielenia dobrego od złego stanu chemicznego osadów wodnych (wg GIOŚ 2015)</w:t>
      </w:r>
      <w:r w:rsidRPr="005E2831">
        <w:rPr>
          <w:rFonts w:ascii="Times New Roman" w:eastAsia="Times New Roman" w:hAnsi="Times New Roman" w:cs="Times New Roman"/>
          <w:b/>
          <w:bCs/>
          <w:sz w:val="24"/>
          <w:szCs w:val="24"/>
          <w:lang w:eastAsia="x-none"/>
        </w:rPr>
        <w:t>.</w:t>
      </w:r>
    </w:p>
    <w:p w14:paraId="6D905DA2" w14:textId="20F1F2DA" w:rsidR="00895F16" w:rsidRPr="007F400A" w:rsidRDefault="000B01A2" w:rsidP="003D3AE7">
      <w:pPr>
        <w:jc w:val="both"/>
        <w:rPr>
          <w:rFonts w:ascii="Times New Roman" w:hAnsi="Times New Roman"/>
          <w:sz w:val="24"/>
          <w:szCs w:val="24"/>
        </w:rPr>
      </w:pPr>
      <w:r w:rsidRPr="005E2831">
        <w:rPr>
          <w:rFonts w:ascii="Times New Roman" w:eastAsia="Times New Roman" w:hAnsi="Times New Roman" w:cs="Times New Roman"/>
          <w:bCs/>
          <w:sz w:val="24"/>
          <w:szCs w:val="24"/>
          <w:lang w:val="x-none" w:eastAsia="x-none"/>
        </w:rPr>
        <w:t xml:space="preserve">Analiza wyników badań osadów dennych pobranych z rzek oraz kanałów rzecznych zgodnie </w:t>
      </w:r>
      <w:r w:rsidR="00094027">
        <w:rPr>
          <w:rFonts w:ascii="Times New Roman" w:eastAsia="Times New Roman" w:hAnsi="Times New Roman" w:cs="Times New Roman"/>
          <w:bCs/>
          <w:sz w:val="24"/>
          <w:szCs w:val="24"/>
          <w:lang w:val="x-none" w:eastAsia="x-none"/>
        </w:rPr>
        <w:br/>
      </w:r>
      <w:r w:rsidRPr="005E2831">
        <w:rPr>
          <w:rFonts w:ascii="Times New Roman" w:eastAsia="Times New Roman" w:hAnsi="Times New Roman" w:cs="Times New Roman"/>
          <w:bCs/>
          <w:sz w:val="24"/>
          <w:szCs w:val="24"/>
          <w:lang w:val="x-none" w:eastAsia="x-none"/>
        </w:rPr>
        <w:t>z kryterium ekotoksykologicznym dotyczyła oceny stanu ich czystości w zależności od zawartości wybranych metali oraz trwałych związków organicznych (TZO). Poziomy oceny osadów zostały przyjęte zgodnie z wartościami granicznymi określonymi w tabeli 2</w:t>
      </w:r>
      <w:r w:rsidR="005D7F5E">
        <w:rPr>
          <w:rFonts w:ascii="Times New Roman" w:eastAsia="Times New Roman" w:hAnsi="Times New Roman" w:cs="Times New Roman"/>
          <w:bCs/>
          <w:sz w:val="24"/>
          <w:szCs w:val="24"/>
          <w:lang w:eastAsia="x-none"/>
        </w:rPr>
        <w:t>4</w:t>
      </w:r>
      <w:r w:rsidRPr="005E2831">
        <w:rPr>
          <w:rFonts w:ascii="Times New Roman" w:eastAsia="Times New Roman" w:hAnsi="Times New Roman" w:cs="Times New Roman"/>
          <w:bCs/>
          <w:sz w:val="24"/>
          <w:szCs w:val="24"/>
          <w:lang w:val="x-none" w:eastAsia="x-none"/>
        </w:rPr>
        <w:t xml:space="preserve"> przedmiotowego opracowania. Dla celu oceny jakości osadów rzecznych przyjęto, że osady, dla których wartości stężeń danego wskaźnika są niższe od wartości granicznej to osady niezanieczyszczone, natomiast stężenia przekraczające wartości graniczne określone dla danego wskaźnika – to osady zanieczyszczone. Jednocześnie ocena końcowa danego osadu jest negatywna (tzn. osad uznawany jest za zanieczyszczony), jeżeli choć jeden wskaźnik - tj. czynnik degradujący – przekracza wartość graniczną określoną dla osadów niezanieczyszczonych</w:t>
      </w:r>
      <w:r w:rsidR="00895F16" w:rsidRPr="007F400A">
        <w:rPr>
          <w:rFonts w:ascii="Times New Roman" w:hAnsi="Times New Roman"/>
          <w:sz w:val="24"/>
          <w:szCs w:val="24"/>
        </w:rPr>
        <w:t xml:space="preserve">. </w:t>
      </w:r>
    </w:p>
    <w:p w14:paraId="5664F707" w14:textId="37351CAD" w:rsidR="00895F16" w:rsidRPr="007F400A" w:rsidRDefault="00895F16" w:rsidP="003D3AE7">
      <w:pPr>
        <w:rPr>
          <w:rFonts w:ascii="Times New Roman" w:hAnsi="Times New Roman"/>
          <w:sz w:val="24"/>
          <w:szCs w:val="24"/>
        </w:rPr>
      </w:pPr>
    </w:p>
    <w:p w14:paraId="5BB07854" w14:textId="77777777" w:rsidR="0047030F" w:rsidRPr="005E2831" w:rsidRDefault="0047030F" w:rsidP="003D3AE7">
      <w:pPr>
        <w:rPr>
          <w:rFonts w:ascii="Times New Roman" w:eastAsia="Times New Roman" w:hAnsi="Times New Roman" w:cs="Times New Roman"/>
          <w:bCs/>
          <w:sz w:val="24"/>
          <w:szCs w:val="24"/>
          <w:lang w:val="x-none" w:eastAsia="x-none"/>
        </w:rPr>
      </w:pPr>
    </w:p>
    <w:p w14:paraId="1C05146C" w14:textId="77777777" w:rsidR="0047030F" w:rsidRPr="005E2831" w:rsidRDefault="0047030F" w:rsidP="003D3AE7">
      <w:pPr>
        <w:rPr>
          <w:rFonts w:ascii="Times New Roman" w:eastAsia="Times New Roman" w:hAnsi="Times New Roman" w:cs="Times New Roman"/>
          <w:b/>
          <w:bCs/>
          <w:sz w:val="24"/>
          <w:szCs w:val="24"/>
          <w:lang w:val="x-none" w:eastAsia="x-none"/>
        </w:rPr>
      </w:pPr>
      <w:r w:rsidRPr="005E2831">
        <w:rPr>
          <w:rFonts w:ascii="Times New Roman" w:hAnsi="Times New Roman" w:cs="Times New Roman"/>
          <w:bCs/>
          <w:noProof/>
          <w:lang w:eastAsia="pl-PL"/>
        </w:rPr>
        <w:lastRenderedPageBreak/>
        <w:drawing>
          <wp:inline distT="0" distB="0" distL="0" distR="0" wp14:anchorId="6A20E3B8" wp14:editId="53E991DB">
            <wp:extent cx="5629275" cy="2914650"/>
            <wp:effectExtent l="0" t="0" r="9525" b="0"/>
            <wp:docPr id="458" name="Wykres 5" descr="Wykres 28. Ocena jakości osadów rzecznych pochodzących z 244 stanowisk pomiarowych objętych badaniami w 2022 roku, zgodnie z kryterium ekotoksykologicznym EQS – cieki">
              <a:extLst xmlns:a="http://schemas.openxmlformats.org/drawingml/2006/main">
                <a:ext uri="{FF2B5EF4-FFF2-40B4-BE49-F238E27FC236}">
                  <a16:creationId xmlns:a16="http://schemas.microsoft.com/office/drawing/2014/main" id="{00000000-0008-0000-09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326AF6B8" w14:textId="62427FB7" w:rsidR="00895F16" w:rsidRPr="007F400A" w:rsidRDefault="0047030F" w:rsidP="003D3AE7">
      <w:pPr>
        <w:rPr>
          <w:rFonts w:ascii="Times New Roman" w:hAnsi="Times New Roman"/>
        </w:rPr>
      </w:pPr>
      <w:r w:rsidRPr="004273D5">
        <w:rPr>
          <w:rFonts w:ascii="Times New Roman" w:eastAsia="Times New Roman" w:hAnsi="Times New Roman" w:cs="Times New Roman"/>
          <w:b/>
          <w:bCs/>
          <w:lang w:eastAsia="x-none"/>
        </w:rPr>
        <w:t>Wyk</w:t>
      </w:r>
      <w:r w:rsidR="00475E1F">
        <w:rPr>
          <w:rFonts w:ascii="Times New Roman" w:eastAsia="Times New Roman" w:hAnsi="Times New Roman" w:cs="Times New Roman"/>
          <w:b/>
          <w:bCs/>
          <w:lang w:eastAsia="x-none"/>
        </w:rPr>
        <w:t>res</w:t>
      </w:r>
      <w:r w:rsidRPr="004273D5">
        <w:rPr>
          <w:rFonts w:ascii="Times New Roman" w:eastAsia="Times New Roman" w:hAnsi="Times New Roman" w:cs="Times New Roman"/>
          <w:b/>
          <w:bCs/>
          <w:lang w:eastAsia="x-none"/>
        </w:rPr>
        <w:t xml:space="preserve"> </w:t>
      </w:r>
      <w:r w:rsidR="00475E1F">
        <w:rPr>
          <w:rFonts w:ascii="Times New Roman" w:eastAsia="Times New Roman" w:hAnsi="Times New Roman" w:cs="Times New Roman"/>
          <w:b/>
          <w:bCs/>
          <w:lang w:eastAsia="x-none"/>
        </w:rPr>
        <w:t>28</w:t>
      </w:r>
      <w:r w:rsidRPr="004273D5">
        <w:rPr>
          <w:rFonts w:ascii="Times New Roman" w:eastAsia="Times New Roman" w:hAnsi="Times New Roman" w:cs="Times New Roman"/>
          <w:b/>
          <w:bCs/>
          <w:lang w:eastAsia="x-none"/>
        </w:rPr>
        <w:t xml:space="preserve">. </w:t>
      </w:r>
      <w:r w:rsidRPr="004273D5">
        <w:rPr>
          <w:rFonts w:ascii="Times New Roman" w:eastAsia="Times New Roman" w:hAnsi="Times New Roman" w:cs="Times New Roman"/>
          <w:b/>
          <w:bCs/>
          <w:lang w:val="x-none" w:eastAsia="x-none"/>
        </w:rPr>
        <w:t>Ocena jakości osadów rzecznych pochodzących z 244 stanowisk pomiarowych objętych badaniami w 2022 roku, zgodnie z kryterium ekotoksykologicznym EQS – cieki</w:t>
      </w:r>
    </w:p>
    <w:p w14:paraId="71EEC624" w14:textId="77777777" w:rsidR="0047030F" w:rsidRPr="005E2831" w:rsidRDefault="0047030F" w:rsidP="003D3AE7">
      <w:pPr>
        <w:jc w:val="both"/>
        <w:rPr>
          <w:rFonts w:ascii="Times New Roman" w:eastAsia="Times New Roman" w:hAnsi="Times New Roman" w:cs="Times New Roman"/>
          <w:bCs/>
          <w:sz w:val="24"/>
          <w:szCs w:val="24"/>
          <w:lang w:val="x-none" w:eastAsia="x-none"/>
        </w:rPr>
      </w:pPr>
      <w:r w:rsidRPr="005E2831">
        <w:rPr>
          <w:rFonts w:ascii="Times New Roman" w:eastAsia="Times New Roman" w:hAnsi="Times New Roman" w:cs="Times New Roman"/>
          <w:bCs/>
          <w:sz w:val="24"/>
          <w:szCs w:val="24"/>
          <w:lang w:val="x-none" w:eastAsia="x-none"/>
        </w:rPr>
        <w:t>W szerokim zakresie oceną objęto 55 stanowisk, dla których osady analizowane były w pełnym spektrum, obejmującym 38 wskaźników. W pozostałych 189 stanowiskach, osady analizowane były w zakresie częściowym. Na podstawie uzyskanych wyników stwierdza się, że dodatkowe parametry badane w szerokim spektrum (decydujące o zakresie szerokim) nie tylko nie</w:t>
      </w:r>
      <w:r>
        <w:rPr>
          <w:rFonts w:ascii="Times New Roman" w:eastAsia="Times New Roman" w:hAnsi="Times New Roman" w:cs="Times New Roman"/>
          <w:bCs/>
          <w:sz w:val="24"/>
          <w:szCs w:val="24"/>
          <w:lang w:eastAsia="x-none"/>
        </w:rPr>
        <w:t> </w:t>
      </w:r>
      <w:r w:rsidRPr="005E2831">
        <w:rPr>
          <w:rFonts w:ascii="Times New Roman" w:eastAsia="Times New Roman" w:hAnsi="Times New Roman" w:cs="Times New Roman"/>
          <w:bCs/>
          <w:sz w:val="24"/>
          <w:szCs w:val="24"/>
          <w:lang w:val="x-none" w:eastAsia="x-none"/>
        </w:rPr>
        <w:t>przekraczały wartości granicznych wyznaczonych dla osadów niezanieczyszczonych, ale</w:t>
      </w:r>
      <w:r>
        <w:rPr>
          <w:rFonts w:ascii="Times New Roman" w:eastAsia="Times New Roman" w:hAnsi="Times New Roman" w:cs="Times New Roman"/>
          <w:bCs/>
          <w:sz w:val="24"/>
          <w:szCs w:val="24"/>
          <w:lang w:eastAsia="x-none"/>
        </w:rPr>
        <w:t> </w:t>
      </w:r>
      <w:r w:rsidRPr="005E2831">
        <w:rPr>
          <w:rFonts w:ascii="Times New Roman" w:eastAsia="Times New Roman" w:hAnsi="Times New Roman" w:cs="Times New Roman"/>
          <w:bCs/>
          <w:sz w:val="24"/>
          <w:szCs w:val="24"/>
          <w:lang w:val="x-none" w:eastAsia="x-none"/>
        </w:rPr>
        <w:t>w</w:t>
      </w:r>
      <w:r>
        <w:rPr>
          <w:rFonts w:ascii="Times New Roman" w:eastAsia="Times New Roman" w:hAnsi="Times New Roman" w:cs="Times New Roman"/>
          <w:bCs/>
          <w:sz w:val="24"/>
          <w:szCs w:val="24"/>
          <w:lang w:eastAsia="x-none"/>
        </w:rPr>
        <w:t> </w:t>
      </w:r>
      <w:r w:rsidRPr="005E2831">
        <w:rPr>
          <w:rFonts w:ascii="Times New Roman" w:eastAsia="Times New Roman" w:hAnsi="Times New Roman" w:cs="Times New Roman"/>
          <w:bCs/>
          <w:sz w:val="24"/>
          <w:szCs w:val="24"/>
          <w:lang w:val="x-none" w:eastAsia="x-none"/>
        </w:rPr>
        <w:t>większości znajdowały się także poniżej granicy oznaczalności.</w:t>
      </w:r>
    </w:p>
    <w:p w14:paraId="70344C03" w14:textId="77777777" w:rsidR="0047030F" w:rsidRPr="005E2831" w:rsidRDefault="0047030F" w:rsidP="003D3AE7">
      <w:pPr>
        <w:jc w:val="both"/>
        <w:rPr>
          <w:rFonts w:ascii="Times New Roman" w:eastAsia="Times New Roman" w:hAnsi="Times New Roman" w:cs="Times New Roman"/>
          <w:b/>
          <w:bCs/>
          <w:sz w:val="24"/>
          <w:szCs w:val="24"/>
          <w:lang w:val="x-none" w:eastAsia="x-none"/>
        </w:rPr>
      </w:pPr>
      <w:r w:rsidRPr="005E2831">
        <w:rPr>
          <w:rFonts w:ascii="Times New Roman" w:eastAsia="Times New Roman" w:hAnsi="Times New Roman" w:cs="Times New Roman"/>
          <w:bCs/>
          <w:sz w:val="24"/>
          <w:szCs w:val="24"/>
          <w:lang w:val="x-none" w:eastAsia="x-none"/>
        </w:rPr>
        <w:t>W przypadku większości badanych prób osadów dennych (159 stanowisk) spełnione były kryteria określone dla osadów dennych niezanieczyszczonych, co oznacza, że nie powinny one wpływać niekorzystnie na organizmy wodne. W przypadku 85 stanowisk jakość osadów dennych określona została jako osady zanieczyszczone.</w:t>
      </w:r>
    </w:p>
    <w:p w14:paraId="2154EF86" w14:textId="77777777" w:rsidR="0047030F" w:rsidRPr="005E2831" w:rsidRDefault="0047030F" w:rsidP="003D3AE7">
      <w:pPr>
        <w:jc w:val="both"/>
        <w:rPr>
          <w:rFonts w:ascii="Times New Roman" w:eastAsia="Times New Roman" w:hAnsi="Times New Roman" w:cs="Times New Roman"/>
          <w:b/>
          <w:bCs/>
          <w:sz w:val="24"/>
          <w:szCs w:val="24"/>
          <w:lang w:val="x-none" w:eastAsia="x-none"/>
        </w:rPr>
      </w:pPr>
      <w:r w:rsidRPr="005E2831">
        <w:rPr>
          <w:rFonts w:ascii="Times New Roman" w:eastAsia="Times New Roman" w:hAnsi="Times New Roman" w:cs="Times New Roman"/>
          <w:b/>
          <w:bCs/>
          <w:sz w:val="24"/>
          <w:szCs w:val="24"/>
          <w:lang w:val="x-none" w:eastAsia="x-none"/>
        </w:rPr>
        <w:t xml:space="preserve">Ocena jakości osadów pobranych z rzek i kanałów rzecznych zgodnie z kryterium ekotoksykologicznym, umożliwiającym ocenę stopnia wpływu zanieczyszczonych osadów na organizmy wodne (wg D.D. MacDonald, C.G. </w:t>
      </w:r>
      <w:proofErr w:type="spellStart"/>
      <w:r w:rsidRPr="005E2831">
        <w:rPr>
          <w:rFonts w:ascii="Times New Roman" w:eastAsia="Times New Roman" w:hAnsi="Times New Roman" w:cs="Times New Roman"/>
          <w:b/>
          <w:bCs/>
          <w:sz w:val="24"/>
          <w:szCs w:val="24"/>
          <w:lang w:val="x-none" w:eastAsia="x-none"/>
        </w:rPr>
        <w:t>Ingersol</w:t>
      </w:r>
      <w:proofErr w:type="spellEnd"/>
      <w:r w:rsidRPr="005E2831">
        <w:rPr>
          <w:rFonts w:ascii="Times New Roman" w:eastAsia="Times New Roman" w:hAnsi="Times New Roman" w:cs="Times New Roman"/>
          <w:b/>
          <w:bCs/>
          <w:sz w:val="24"/>
          <w:szCs w:val="24"/>
          <w:lang w:val="x-none" w:eastAsia="x-none"/>
        </w:rPr>
        <w:t>, T.A. Berger 2000; WT-732 2003).</w:t>
      </w:r>
    </w:p>
    <w:p w14:paraId="5275B8D4" w14:textId="45F6D4F6" w:rsidR="0047030F" w:rsidRPr="004151F5" w:rsidRDefault="0047030F" w:rsidP="003D3AE7">
      <w:pPr>
        <w:jc w:val="both"/>
        <w:rPr>
          <w:rFonts w:ascii="Times New Roman" w:eastAsia="Times New Roman" w:hAnsi="Times New Roman" w:cs="Times New Roman"/>
          <w:bCs/>
          <w:sz w:val="24"/>
          <w:szCs w:val="24"/>
          <w:lang w:val="x-none" w:eastAsia="x-none"/>
        </w:rPr>
      </w:pPr>
      <w:r w:rsidRPr="005E2831">
        <w:rPr>
          <w:rFonts w:ascii="Times New Roman" w:eastAsia="Times New Roman" w:hAnsi="Times New Roman" w:cs="Times New Roman"/>
          <w:bCs/>
          <w:sz w:val="24"/>
          <w:szCs w:val="24"/>
          <w:lang w:val="x-none" w:eastAsia="x-none"/>
        </w:rPr>
        <w:t xml:space="preserve">Analiza wyników badań osadów dennych pobranych z rzek oraz kanałów rzecznych zgodnie </w:t>
      </w:r>
      <w:r w:rsidR="00094027">
        <w:rPr>
          <w:rFonts w:ascii="Times New Roman" w:eastAsia="Times New Roman" w:hAnsi="Times New Roman" w:cs="Times New Roman"/>
          <w:bCs/>
          <w:sz w:val="24"/>
          <w:szCs w:val="24"/>
          <w:lang w:val="x-none" w:eastAsia="x-none"/>
        </w:rPr>
        <w:br/>
      </w:r>
      <w:r w:rsidRPr="005E2831">
        <w:rPr>
          <w:rFonts w:ascii="Times New Roman" w:eastAsia="Times New Roman" w:hAnsi="Times New Roman" w:cs="Times New Roman"/>
          <w:bCs/>
          <w:sz w:val="24"/>
          <w:szCs w:val="24"/>
          <w:lang w:val="x-none" w:eastAsia="x-none"/>
        </w:rPr>
        <w:t xml:space="preserve">z kryterium ekotoksykologicznym dotyczyła oceny stanu ich czystości w zależności od zawartości wybranych metali oraz trwałych zanieczyszczeń organicznych (TZO). Poziomy oceny osadów zostały przyjęte zgodnie z wartościami granicznymi określonymi w tabeli </w:t>
      </w:r>
      <w:r w:rsidR="00972150">
        <w:rPr>
          <w:rFonts w:ascii="Times New Roman" w:eastAsia="Times New Roman" w:hAnsi="Times New Roman" w:cs="Times New Roman"/>
          <w:bCs/>
          <w:sz w:val="24"/>
          <w:szCs w:val="24"/>
          <w:lang w:eastAsia="x-none"/>
        </w:rPr>
        <w:t>2</w:t>
      </w:r>
      <w:r w:rsidR="005D7F5E">
        <w:rPr>
          <w:rFonts w:ascii="Times New Roman" w:eastAsia="Times New Roman" w:hAnsi="Times New Roman" w:cs="Times New Roman"/>
          <w:bCs/>
          <w:sz w:val="24"/>
          <w:szCs w:val="24"/>
          <w:lang w:eastAsia="x-none"/>
        </w:rPr>
        <w:t>5</w:t>
      </w:r>
      <w:r w:rsidRPr="005E2831">
        <w:rPr>
          <w:rFonts w:ascii="Times New Roman" w:eastAsia="Times New Roman" w:hAnsi="Times New Roman" w:cs="Times New Roman"/>
          <w:bCs/>
          <w:sz w:val="24"/>
          <w:szCs w:val="24"/>
          <w:lang w:val="x-none" w:eastAsia="x-none"/>
        </w:rPr>
        <w:t xml:space="preserve"> przedmiotowego opracowania. Dla celu oceny jakości osadów rzecznych przyjęto, że osady, dla których wartości stężeń danego wskaźnika spełniają kryterium poziomu I (Level 1) to osady niezanieczyszczone, stężenia spełniające kryterium poziomu II (Level 2) to osady zanieczyszczone w niewielkim stopniu, osady spełniające kryterium poziomu III (Level 3) to osady zanieczyszczone w średnim stopniu, natomiast stężenia przekraczające wartości graniczne określone dla III poziomu to osady silnie zanieczyszczone (Level 4). Jednocześnie ocena końcowa danego osadu, tj. poziom jakości jest równy poziomowi wskaźnika o najmniej korzystnej ocenie – tzw. czynnik degradujący</w:t>
      </w:r>
      <w:r w:rsidRPr="005E2831">
        <w:rPr>
          <w:rFonts w:ascii="Times New Roman" w:eastAsia="Times New Roman" w:hAnsi="Times New Roman" w:cs="Times New Roman"/>
          <w:b/>
          <w:bCs/>
          <w:sz w:val="24"/>
          <w:szCs w:val="24"/>
          <w:lang w:val="x-none" w:eastAsia="x-none"/>
        </w:rPr>
        <w:t>.</w:t>
      </w:r>
    </w:p>
    <w:p w14:paraId="09406BFE" w14:textId="77777777" w:rsidR="0047030F" w:rsidRPr="005E2831" w:rsidRDefault="0047030F" w:rsidP="003D3AE7">
      <w:pPr>
        <w:rPr>
          <w:rFonts w:ascii="Times New Roman" w:eastAsia="Times New Roman" w:hAnsi="Times New Roman" w:cs="Times New Roman"/>
          <w:bCs/>
          <w:sz w:val="24"/>
          <w:szCs w:val="24"/>
          <w:lang w:val="x-none" w:eastAsia="x-none"/>
        </w:rPr>
      </w:pPr>
      <w:r>
        <w:rPr>
          <w:rFonts w:ascii="Times New Roman" w:eastAsia="Times New Roman" w:hAnsi="Times New Roman" w:cs="Times New Roman"/>
          <w:bCs/>
          <w:sz w:val="24"/>
          <w:szCs w:val="24"/>
          <w:lang w:val="x-none" w:eastAsia="x-none"/>
        </w:rPr>
        <w:lastRenderedPageBreak/>
        <w:tab/>
      </w:r>
      <w:r w:rsidRPr="005E2831">
        <w:rPr>
          <w:rFonts w:ascii="Times New Roman" w:eastAsia="Times New Roman" w:hAnsi="Times New Roman" w:cs="Times New Roman"/>
          <w:bCs/>
          <w:sz w:val="24"/>
          <w:szCs w:val="24"/>
          <w:lang w:val="x-none" w:eastAsia="x-none"/>
        </w:rPr>
        <w:t>Oceną objęte były 244 próby osadów dennych pobrane z rzek oraz kanałów rzecznych, 55</w:t>
      </w:r>
      <w:r>
        <w:rPr>
          <w:rFonts w:ascii="Times New Roman" w:eastAsia="Times New Roman" w:hAnsi="Times New Roman" w:cs="Times New Roman"/>
          <w:bCs/>
          <w:sz w:val="24"/>
          <w:szCs w:val="24"/>
          <w:lang w:eastAsia="x-none"/>
        </w:rPr>
        <w:t> </w:t>
      </w:r>
      <w:r w:rsidRPr="005E2831">
        <w:rPr>
          <w:rFonts w:ascii="Times New Roman" w:eastAsia="Times New Roman" w:hAnsi="Times New Roman" w:cs="Times New Roman"/>
          <w:bCs/>
          <w:sz w:val="24"/>
          <w:szCs w:val="24"/>
          <w:lang w:val="x-none" w:eastAsia="x-none"/>
        </w:rPr>
        <w:t xml:space="preserve">próbek osadów dennych oceniane były pod względem zawartości 48 wskaźników, pozostałe 189 próbek osadów podlegało ocenie w zakresie 42 wskaźników. </w:t>
      </w:r>
    </w:p>
    <w:p w14:paraId="077BB3FD" w14:textId="77777777" w:rsidR="0047030F" w:rsidRPr="005E2831" w:rsidRDefault="0047030F" w:rsidP="003D3AE7">
      <w:pPr>
        <w:rPr>
          <w:rFonts w:ascii="Times New Roman" w:eastAsia="Times New Roman" w:hAnsi="Times New Roman" w:cs="Times New Roman"/>
          <w:bCs/>
          <w:sz w:val="24"/>
          <w:szCs w:val="24"/>
          <w:lang w:val="x-none" w:eastAsia="x-none"/>
        </w:rPr>
      </w:pPr>
      <w:r w:rsidRPr="005E2831">
        <w:rPr>
          <w:rFonts w:ascii="Times New Roman" w:eastAsia="Times New Roman" w:hAnsi="Times New Roman" w:cs="Times New Roman"/>
          <w:bCs/>
          <w:sz w:val="24"/>
          <w:szCs w:val="24"/>
          <w:lang w:val="x-none" w:eastAsia="x-none"/>
        </w:rPr>
        <w:t xml:space="preserve">W przypadku większości badanych prób osadów dennych ich jakość (określona jako ocena końcowa) spełnia kryteria I </w:t>
      </w:r>
      <w:proofErr w:type="spellStart"/>
      <w:r w:rsidRPr="005E2831">
        <w:rPr>
          <w:rFonts w:ascii="Times New Roman" w:eastAsia="Times New Roman" w:hAnsi="Times New Roman" w:cs="Times New Roman"/>
          <w:bCs/>
          <w:sz w:val="24"/>
          <w:szCs w:val="24"/>
          <w:lang w:val="x-none" w:eastAsia="x-none"/>
        </w:rPr>
        <w:t>i</w:t>
      </w:r>
      <w:proofErr w:type="spellEnd"/>
      <w:r w:rsidRPr="005E2831">
        <w:rPr>
          <w:rFonts w:ascii="Times New Roman" w:eastAsia="Times New Roman" w:hAnsi="Times New Roman" w:cs="Times New Roman"/>
          <w:bCs/>
          <w:sz w:val="24"/>
          <w:szCs w:val="24"/>
          <w:lang w:val="x-none" w:eastAsia="x-none"/>
        </w:rPr>
        <w:t xml:space="preserve"> II poziomu jakości osadów. </w:t>
      </w:r>
    </w:p>
    <w:p w14:paraId="6FF104EC" w14:textId="69D68F64" w:rsidR="0047030F" w:rsidRPr="005E2831" w:rsidRDefault="0047030F" w:rsidP="003D3AE7">
      <w:pPr>
        <w:rPr>
          <w:rFonts w:ascii="Times New Roman" w:eastAsia="Times New Roman" w:hAnsi="Times New Roman" w:cs="Times New Roman"/>
          <w:b/>
          <w:bCs/>
          <w:sz w:val="24"/>
          <w:szCs w:val="24"/>
          <w:lang w:val="x-none" w:eastAsia="x-none"/>
        </w:rPr>
      </w:pPr>
      <w:r w:rsidRPr="005E2831">
        <w:rPr>
          <w:rFonts w:ascii="Times New Roman" w:eastAsia="Times New Roman" w:hAnsi="Times New Roman" w:cs="Times New Roman"/>
          <w:bCs/>
          <w:sz w:val="24"/>
          <w:szCs w:val="24"/>
          <w:lang w:val="x-none" w:eastAsia="x-none"/>
        </w:rPr>
        <w:t>Na poniższym wykresie przedstawiono klasyfikację stanowisk pomiarowych względem oceny jakości kryterium ekotoksykologicznego</w:t>
      </w:r>
      <w:r w:rsidR="00895F16" w:rsidRPr="007F400A">
        <w:rPr>
          <w:rFonts w:ascii="Times New Roman" w:hAnsi="Times New Roman"/>
          <w:sz w:val="24"/>
          <w:szCs w:val="24"/>
        </w:rPr>
        <w:t>.</w:t>
      </w:r>
    </w:p>
    <w:p w14:paraId="0C56CBF2" w14:textId="77777777" w:rsidR="0047030F" w:rsidRPr="005E2831" w:rsidRDefault="0047030F" w:rsidP="003D3AE7">
      <w:pPr>
        <w:rPr>
          <w:rFonts w:ascii="Times New Roman" w:eastAsia="Times New Roman" w:hAnsi="Times New Roman" w:cs="Times New Roman"/>
          <w:b/>
          <w:bCs/>
          <w:sz w:val="24"/>
          <w:szCs w:val="24"/>
          <w:lang w:val="x-none" w:eastAsia="x-none"/>
        </w:rPr>
      </w:pPr>
      <w:r w:rsidRPr="005E2831">
        <w:rPr>
          <w:rFonts w:ascii="Times New Roman" w:hAnsi="Times New Roman" w:cs="Times New Roman"/>
          <w:bCs/>
          <w:noProof/>
          <w:lang w:eastAsia="pl-PL"/>
        </w:rPr>
        <w:drawing>
          <wp:inline distT="0" distB="0" distL="0" distR="0" wp14:anchorId="20CBD376" wp14:editId="716A5A6D">
            <wp:extent cx="5723906" cy="2826327"/>
            <wp:effectExtent l="0" t="0" r="10160" b="12700"/>
            <wp:docPr id="459" name="Wykres 9" descr="Wykres 29. Ocena jakości osadów rzecznych pochodzących z 244 stanowisk pomiarowych objętych badaniami w 2022 roku, zgodnie z kryterium ekotoksykologicznym (pomocniczym) – cieki">
              <a:extLst xmlns:a="http://schemas.openxmlformats.org/drawingml/2006/main">
                <a:ext uri="{FF2B5EF4-FFF2-40B4-BE49-F238E27FC236}">
                  <a16:creationId xmlns:a16="http://schemas.microsoft.com/office/drawing/2014/main" id="{00000000-0008-0000-09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tbl>
      <w:tblPr>
        <w:tblpPr w:leftFromText="141" w:rightFromText="141" w:vertAnchor="text" w:horzAnchor="margin" w:tblpXSpec="right" w:tblpY="94"/>
        <w:tblW w:w="86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4"/>
        <w:gridCol w:w="2653"/>
        <w:gridCol w:w="1517"/>
        <w:gridCol w:w="3030"/>
      </w:tblGrid>
      <w:tr w:rsidR="0047030F" w:rsidRPr="005E2831" w14:paraId="704432B2" w14:textId="77777777" w:rsidTr="00DB2E04">
        <w:trPr>
          <w:trHeight w:val="278"/>
        </w:trPr>
        <w:tc>
          <w:tcPr>
            <w:tcW w:w="1484" w:type="dxa"/>
            <w:tcBorders>
              <w:right w:val="single" w:sz="4" w:space="0" w:color="auto"/>
            </w:tcBorders>
            <w:shd w:val="clear" w:color="auto" w:fill="CCFF99"/>
            <w:vAlign w:val="center"/>
          </w:tcPr>
          <w:p w14:paraId="78DAC047" w14:textId="77777777" w:rsidR="0047030F" w:rsidRPr="005E2831" w:rsidRDefault="0047030F" w:rsidP="003D3AE7">
            <w:pPr>
              <w:rPr>
                <w:rFonts w:ascii="Times New Roman" w:eastAsia="Calibri" w:hAnsi="Times New Roman" w:cs="Times New Roman"/>
                <w:sz w:val="18"/>
                <w:szCs w:val="18"/>
              </w:rPr>
            </w:pPr>
            <w:r w:rsidRPr="005E2831">
              <w:rPr>
                <w:rFonts w:ascii="Times New Roman" w:eastAsia="Calibri" w:hAnsi="Times New Roman" w:cs="Times New Roman"/>
                <w:b/>
                <w:bCs/>
                <w:sz w:val="18"/>
                <w:szCs w:val="18"/>
              </w:rPr>
              <w:t>Level 1</w:t>
            </w:r>
          </w:p>
        </w:tc>
        <w:tc>
          <w:tcPr>
            <w:tcW w:w="2653" w:type="dxa"/>
            <w:tcBorders>
              <w:top w:val="nil"/>
              <w:left w:val="single" w:sz="4" w:space="0" w:color="auto"/>
              <w:bottom w:val="nil"/>
              <w:right w:val="single" w:sz="4" w:space="0" w:color="auto"/>
            </w:tcBorders>
            <w:shd w:val="clear" w:color="auto" w:fill="auto"/>
          </w:tcPr>
          <w:p w14:paraId="7B0F5AED" w14:textId="77777777" w:rsidR="0047030F" w:rsidRPr="005E2831" w:rsidRDefault="0047030F" w:rsidP="003D3AE7">
            <w:pPr>
              <w:rPr>
                <w:rFonts w:ascii="Times New Roman" w:eastAsia="Calibri" w:hAnsi="Times New Roman" w:cs="Times New Roman"/>
                <w:sz w:val="18"/>
                <w:szCs w:val="18"/>
              </w:rPr>
            </w:pPr>
            <w:r w:rsidRPr="005E2831">
              <w:rPr>
                <w:rFonts w:ascii="Times New Roman" w:eastAsia="Calibri" w:hAnsi="Times New Roman" w:cs="Times New Roman"/>
                <w:sz w:val="18"/>
                <w:szCs w:val="18"/>
              </w:rPr>
              <w:t>- osady niezanieczyszczone</w:t>
            </w:r>
          </w:p>
        </w:tc>
        <w:tc>
          <w:tcPr>
            <w:tcW w:w="1517" w:type="dxa"/>
            <w:tcBorders>
              <w:left w:val="single" w:sz="4" w:space="0" w:color="auto"/>
              <w:right w:val="single" w:sz="4" w:space="0" w:color="auto"/>
            </w:tcBorders>
            <w:shd w:val="clear" w:color="auto" w:fill="FFCC66"/>
            <w:vAlign w:val="center"/>
          </w:tcPr>
          <w:p w14:paraId="17202F1C" w14:textId="77777777" w:rsidR="0047030F" w:rsidRPr="005E2831" w:rsidRDefault="0047030F" w:rsidP="003D3AE7">
            <w:pPr>
              <w:rPr>
                <w:rFonts w:ascii="Times New Roman" w:eastAsia="Calibri" w:hAnsi="Times New Roman" w:cs="Times New Roman"/>
                <w:sz w:val="18"/>
                <w:szCs w:val="18"/>
              </w:rPr>
            </w:pPr>
            <w:r w:rsidRPr="005E2831">
              <w:rPr>
                <w:rFonts w:ascii="Times New Roman" w:eastAsia="Calibri" w:hAnsi="Times New Roman" w:cs="Times New Roman"/>
                <w:b/>
                <w:bCs/>
                <w:sz w:val="18"/>
                <w:szCs w:val="18"/>
              </w:rPr>
              <w:t>Level 3</w:t>
            </w:r>
          </w:p>
        </w:tc>
        <w:tc>
          <w:tcPr>
            <w:tcW w:w="3030" w:type="dxa"/>
            <w:tcBorders>
              <w:top w:val="nil"/>
              <w:left w:val="single" w:sz="4" w:space="0" w:color="auto"/>
              <w:bottom w:val="nil"/>
              <w:right w:val="nil"/>
            </w:tcBorders>
            <w:shd w:val="clear" w:color="auto" w:fill="auto"/>
          </w:tcPr>
          <w:p w14:paraId="48BC0622" w14:textId="77777777" w:rsidR="0047030F" w:rsidRPr="005E2831" w:rsidRDefault="0047030F" w:rsidP="003D3AE7">
            <w:pPr>
              <w:rPr>
                <w:rFonts w:ascii="Times New Roman" w:eastAsia="Calibri" w:hAnsi="Times New Roman" w:cs="Times New Roman"/>
                <w:sz w:val="18"/>
                <w:szCs w:val="18"/>
              </w:rPr>
            </w:pPr>
            <w:r w:rsidRPr="005E2831">
              <w:rPr>
                <w:rFonts w:ascii="Times New Roman" w:eastAsia="Calibri" w:hAnsi="Times New Roman" w:cs="Times New Roman"/>
                <w:sz w:val="18"/>
                <w:szCs w:val="18"/>
              </w:rPr>
              <w:t>- osady zanieczyszczone w średnim   stopniu</w:t>
            </w:r>
          </w:p>
        </w:tc>
      </w:tr>
      <w:tr w:rsidR="0047030F" w:rsidRPr="005E2831" w14:paraId="04569C77" w14:textId="77777777" w:rsidTr="00DB2E04">
        <w:trPr>
          <w:trHeight w:val="291"/>
        </w:trPr>
        <w:tc>
          <w:tcPr>
            <w:tcW w:w="1484" w:type="dxa"/>
            <w:tcBorders>
              <w:right w:val="single" w:sz="4" w:space="0" w:color="auto"/>
            </w:tcBorders>
            <w:shd w:val="clear" w:color="auto" w:fill="FFFF99"/>
            <w:vAlign w:val="center"/>
          </w:tcPr>
          <w:p w14:paraId="0359C988" w14:textId="77777777" w:rsidR="0047030F" w:rsidRPr="005E2831" w:rsidRDefault="0047030F" w:rsidP="003D3AE7">
            <w:pPr>
              <w:rPr>
                <w:rFonts w:ascii="Times New Roman" w:eastAsia="Calibri" w:hAnsi="Times New Roman" w:cs="Times New Roman"/>
                <w:sz w:val="18"/>
                <w:szCs w:val="18"/>
              </w:rPr>
            </w:pPr>
            <w:r w:rsidRPr="005E2831">
              <w:rPr>
                <w:rFonts w:ascii="Times New Roman" w:eastAsia="Calibri" w:hAnsi="Times New Roman" w:cs="Times New Roman"/>
                <w:b/>
                <w:bCs/>
                <w:sz w:val="18"/>
                <w:szCs w:val="18"/>
              </w:rPr>
              <w:t>Level 2</w:t>
            </w:r>
          </w:p>
        </w:tc>
        <w:tc>
          <w:tcPr>
            <w:tcW w:w="2653" w:type="dxa"/>
            <w:tcBorders>
              <w:top w:val="nil"/>
              <w:left w:val="single" w:sz="4" w:space="0" w:color="auto"/>
              <w:bottom w:val="nil"/>
              <w:right w:val="single" w:sz="4" w:space="0" w:color="auto"/>
            </w:tcBorders>
            <w:shd w:val="clear" w:color="auto" w:fill="auto"/>
          </w:tcPr>
          <w:p w14:paraId="26952B6B" w14:textId="77777777" w:rsidR="0047030F" w:rsidRPr="005E2831" w:rsidRDefault="0047030F" w:rsidP="003D3AE7">
            <w:pPr>
              <w:rPr>
                <w:rFonts w:ascii="Times New Roman" w:eastAsia="Calibri" w:hAnsi="Times New Roman" w:cs="Times New Roman"/>
                <w:sz w:val="18"/>
                <w:szCs w:val="18"/>
              </w:rPr>
            </w:pPr>
            <w:r w:rsidRPr="005E2831">
              <w:rPr>
                <w:rFonts w:ascii="Times New Roman" w:eastAsia="Calibri" w:hAnsi="Times New Roman" w:cs="Times New Roman"/>
                <w:sz w:val="18"/>
                <w:szCs w:val="18"/>
              </w:rPr>
              <w:t>-</w:t>
            </w:r>
            <w:r>
              <w:rPr>
                <w:rFonts w:ascii="Times New Roman" w:eastAsia="Calibri" w:hAnsi="Times New Roman" w:cs="Times New Roman"/>
                <w:sz w:val="18"/>
                <w:szCs w:val="18"/>
              </w:rPr>
              <w:t> </w:t>
            </w:r>
            <w:r w:rsidRPr="005E2831">
              <w:rPr>
                <w:rFonts w:ascii="Times New Roman" w:eastAsia="Calibri" w:hAnsi="Times New Roman" w:cs="Times New Roman"/>
                <w:sz w:val="18"/>
                <w:szCs w:val="18"/>
              </w:rPr>
              <w:t>osady</w:t>
            </w:r>
            <w:r>
              <w:rPr>
                <w:rFonts w:ascii="Times New Roman" w:eastAsia="Calibri" w:hAnsi="Times New Roman" w:cs="Times New Roman"/>
                <w:sz w:val="18"/>
                <w:szCs w:val="18"/>
              </w:rPr>
              <w:t> </w:t>
            </w:r>
            <w:r w:rsidRPr="005E2831">
              <w:rPr>
                <w:rFonts w:ascii="Times New Roman" w:eastAsia="Calibri" w:hAnsi="Times New Roman" w:cs="Times New Roman"/>
                <w:sz w:val="18"/>
                <w:szCs w:val="18"/>
              </w:rPr>
              <w:t>zanieczyszczone</w:t>
            </w:r>
            <w:r>
              <w:rPr>
                <w:rFonts w:ascii="Times New Roman" w:eastAsia="Calibri" w:hAnsi="Times New Roman" w:cs="Times New Roman"/>
                <w:sz w:val="18"/>
                <w:szCs w:val="18"/>
              </w:rPr>
              <w:t xml:space="preserve">   </w:t>
            </w:r>
            <w:r w:rsidRPr="005E2831">
              <w:rPr>
                <w:rFonts w:ascii="Times New Roman" w:eastAsia="Calibri" w:hAnsi="Times New Roman" w:cs="Times New Roman"/>
                <w:sz w:val="18"/>
                <w:szCs w:val="18"/>
              </w:rPr>
              <w:t>w</w:t>
            </w:r>
            <w:r>
              <w:rPr>
                <w:rFonts w:ascii="Times New Roman" w:eastAsia="Calibri" w:hAnsi="Times New Roman" w:cs="Times New Roman"/>
                <w:sz w:val="18"/>
                <w:szCs w:val="18"/>
              </w:rPr>
              <w:t> </w:t>
            </w:r>
            <w:r w:rsidRPr="005E2831">
              <w:rPr>
                <w:rFonts w:ascii="Times New Roman" w:eastAsia="Calibri" w:hAnsi="Times New Roman" w:cs="Times New Roman"/>
                <w:sz w:val="18"/>
                <w:szCs w:val="18"/>
              </w:rPr>
              <w:t>niewielkim stopniu</w:t>
            </w:r>
          </w:p>
        </w:tc>
        <w:tc>
          <w:tcPr>
            <w:tcW w:w="1517" w:type="dxa"/>
            <w:tcBorders>
              <w:left w:val="single" w:sz="4" w:space="0" w:color="auto"/>
              <w:right w:val="single" w:sz="4" w:space="0" w:color="auto"/>
            </w:tcBorders>
            <w:shd w:val="clear" w:color="auto" w:fill="FF9999"/>
            <w:vAlign w:val="center"/>
          </w:tcPr>
          <w:p w14:paraId="43AF6683" w14:textId="77777777" w:rsidR="0047030F" w:rsidRPr="005E2831" w:rsidRDefault="0047030F" w:rsidP="003D3AE7">
            <w:pPr>
              <w:rPr>
                <w:rFonts w:ascii="Times New Roman" w:eastAsia="Calibri" w:hAnsi="Times New Roman" w:cs="Times New Roman"/>
                <w:sz w:val="18"/>
                <w:szCs w:val="18"/>
              </w:rPr>
            </w:pPr>
            <w:r w:rsidRPr="005E2831">
              <w:rPr>
                <w:rFonts w:ascii="Times New Roman" w:eastAsia="Calibri" w:hAnsi="Times New Roman" w:cs="Times New Roman"/>
                <w:b/>
                <w:bCs/>
                <w:sz w:val="18"/>
                <w:szCs w:val="18"/>
              </w:rPr>
              <w:t>Level 4</w:t>
            </w:r>
          </w:p>
        </w:tc>
        <w:tc>
          <w:tcPr>
            <w:tcW w:w="3030" w:type="dxa"/>
            <w:tcBorders>
              <w:top w:val="nil"/>
              <w:left w:val="single" w:sz="4" w:space="0" w:color="auto"/>
              <w:bottom w:val="nil"/>
              <w:right w:val="nil"/>
            </w:tcBorders>
            <w:shd w:val="clear" w:color="auto" w:fill="auto"/>
          </w:tcPr>
          <w:p w14:paraId="3AFC83BC" w14:textId="77777777" w:rsidR="0047030F" w:rsidRPr="005E2831" w:rsidRDefault="0047030F" w:rsidP="003D3AE7">
            <w:pPr>
              <w:rPr>
                <w:rFonts w:ascii="Times New Roman" w:eastAsia="Calibri" w:hAnsi="Times New Roman" w:cs="Times New Roman"/>
                <w:sz w:val="18"/>
                <w:szCs w:val="18"/>
              </w:rPr>
            </w:pPr>
            <w:r w:rsidRPr="005E2831">
              <w:rPr>
                <w:rFonts w:ascii="Times New Roman" w:eastAsia="Calibri" w:hAnsi="Times New Roman" w:cs="Times New Roman"/>
                <w:sz w:val="18"/>
                <w:szCs w:val="18"/>
              </w:rPr>
              <w:t>- osady zanieczyszczone (silnie)</w:t>
            </w:r>
          </w:p>
        </w:tc>
      </w:tr>
    </w:tbl>
    <w:p w14:paraId="09BD3A8E" w14:textId="77777777" w:rsidR="0047030F" w:rsidRDefault="0047030F" w:rsidP="003D3AE7">
      <w:pPr>
        <w:rPr>
          <w:rFonts w:ascii="Times New Roman" w:eastAsia="Times New Roman" w:hAnsi="Times New Roman" w:cs="Times New Roman"/>
          <w:b/>
          <w:bCs/>
          <w:lang w:eastAsia="x-none"/>
        </w:rPr>
      </w:pPr>
    </w:p>
    <w:p w14:paraId="2999FA47" w14:textId="6747F00E" w:rsidR="00895F16" w:rsidRPr="007F400A" w:rsidRDefault="0047030F" w:rsidP="004E37F6">
      <w:pPr>
        <w:jc w:val="both"/>
        <w:rPr>
          <w:rFonts w:ascii="Times New Roman" w:hAnsi="Times New Roman"/>
          <w:b/>
          <w:sz w:val="24"/>
          <w:szCs w:val="24"/>
        </w:rPr>
      </w:pPr>
      <w:r w:rsidRPr="005E2831">
        <w:rPr>
          <w:rFonts w:ascii="Times New Roman" w:eastAsia="Times New Roman" w:hAnsi="Times New Roman" w:cs="Times New Roman"/>
          <w:b/>
          <w:bCs/>
          <w:lang w:eastAsia="x-none"/>
        </w:rPr>
        <w:t>Wyk</w:t>
      </w:r>
      <w:r w:rsidR="00475E1F">
        <w:rPr>
          <w:rFonts w:ascii="Times New Roman" w:eastAsia="Times New Roman" w:hAnsi="Times New Roman" w:cs="Times New Roman"/>
          <w:b/>
          <w:bCs/>
          <w:lang w:eastAsia="x-none"/>
        </w:rPr>
        <w:t>res</w:t>
      </w:r>
      <w:r w:rsidRPr="005E2831">
        <w:rPr>
          <w:rFonts w:ascii="Times New Roman" w:eastAsia="Times New Roman" w:hAnsi="Times New Roman" w:cs="Times New Roman"/>
          <w:b/>
          <w:bCs/>
          <w:lang w:eastAsia="x-none"/>
        </w:rPr>
        <w:t xml:space="preserve"> </w:t>
      </w:r>
      <w:r w:rsidRPr="005741AE">
        <w:rPr>
          <w:rFonts w:ascii="Times New Roman" w:eastAsia="Times New Roman" w:hAnsi="Times New Roman" w:cs="Times New Roman"/>
          <w:b/>
          <w:bCs/>
          <w:lang w:eastAsia="x-none"/>
        </w:rPr>
        <w:t>2</w:t>
      </w:r>
      <w:r w:rsidR="00475E1F">
        <w:rPr>
          <w:rFonts w:ascii="Times New Roman" w:eastAsia="Times New Roman" w:hAnsi="Times New Roman" w:cs="Times New Roman"/>
          <w:b/>
          <w:bCs/>
          <w:lang w:eastAsia="x-none"/>
        </w:rPr>
        <w:t>9</w:t>
      </w:r>
      <w:r w:rsidRPr="005E2831">
        <w:rPr>
          <w:rFonts w:ascii="Times New Roman" w:eastAsia="Times New Roman" w:hAnsi="Times New Roman" w:cs="Times New Roman"/>
          <w:b/>
          <w:bCs/>
          <w:lang w:eastAsia="x-none"/>
        </w:rPr>
        <w:t xml:space="preserve">. </w:t>
      </w:r>
      <w:r w:rsidRPr="005E2831">
        <w:rPr>
          <w:rFonts w:ascii="Times New Roman" w:eastAsia="Times New Roman" w:hAnsi="Times New Roman" w:cs="Times New Roman"/>
          <w:b/>
          <w:bCs/>
          <w:lang w:val="x-none" w:eastAsia="x-none"/>
        </w:rPr>
        <w:t>Ocena jakości osadów rzecznych pochodzących z 244 stanowisk pomiarowych objętych badaniami w 2022 roku, zgodnie z kryterium ekotoksykologicznym (pomocniczym) – cieki</w:t>
      </w:r>
    </w:p>
    <w:p w14:paraId="5F389C34" w14:textId="77777777" w:rsidR="00EA3BB2" w:rsidRPr="00CA0834" w:rsidRDefault="00EA3BB2" w:rsidP="004E37F6">
      <w:pPr>
        <w:jc w:val="both"/>
        <w:rPr>
          <w:rFonts w:ascii="Times New Roman" w:eastAsia="Times New Roman" w:hAnsi="Times New Roman" w:cs="Times New Roman"/>
          <w:b/>
          <w:bCs/>
          <w:lang w:val="x-none" w:eastAsia="x-none"/>
        </w:rPr>
      </w:pPr>
      <w:bookmarkStart w:id="399" w:name="_Hlk95209996"/>
      <w:r w:rsidRPr="005E2831">
        <w:rPr>
          <w:rFonts w:ascii="Times New Roman" w:eastAsia="Times New Roman" w:hAnsi="Times New Roman" w:cs="Times New Roman"/>
          <w:bCs/>
          <w:sz w:val="24"/>
          <w:szCs w:val="24"/>
          <w:lang w:val="x-none" w:eastAsia="x-none"/>
        </w:rPr>
        <w:t xml:space="preserve">W 86 stanowiskach pomiarowych pobrane osady ocenione zostały jako niezanieczyszczone (Level 1) tj. w przypadku wszystkich oznaczanych wskaźników spełnione były kryteria graniczne określone dla I poziomu. </w:t>
      </w:r>
    </w:p>
    <w:p w14:paraId="19CD6D48" w14:textId="77777777" w:rsidR="00EA3BB2" w:rsidRPr="005E2831" w:rsidRDefault="00EA3BB2" w:rsidP="004E37F6">
      <w:pPr>
        <w:jc w:val="both"/>
        <w:rPr>
          <w:rFonts w:ascii="Times New Roman" w:eastAsia="Times New Roman" w:hAnsi="Times New Roman" w:cs="Times New Roman"/>
          <w:bCs/>
          <w:sz w:val="24"/>
          <w:szCs w:val="24"/>
          <w:lang w:val="x-none" w:eastAsia="x-none"/>
        </w:rPr>
      </w:pPr>
      <w:r w:rsidRPr="005E2831">
        <w:rPr>
          <w:rFonts w:ascii="Times New Roman" w:eastAsia="Times New Roman" w:hAnsi="Times New Roman" w:cs="Times New Roman"/>
          <w:bCs/>
          <w:sz w:val="24"/>
          <w:szCs w:val="24"/>
          <w:lang w:val="x-none" w:eastAsia="x-none"/>
        </w:rPr>
        <w:t>Pozostałe 158 próbki osadów dennych pobrane z rzek lub kanałów rzecznych oceniono jako zanieczyszczone z uwagi na zawartość metali i/lub trwałych związków organicznych (TZO), w</w:t>
      </w:r>
      <w:r>
        <w:rPr>
          <w:rFonts w:ascii="Times New Roman" w:eastAsia="Times New Roman" w:hAnsi="Times New Roman" w:cs="Times New Roman"/>
          <w:bCs/>
          <w:sz w:val="24"/>
          <w:szCs w:val="24"/>
          <w:lang w:eastAsia="x-none"/>
        </w:rPr>
        <w:t> </w:t>
      </w:r>
      <w:r w:rsidRPr="005E2831">
        <w:rPr>
          <w:rFonts w:ascii="Times New Roman" w:eastAsia="Times New Roman" w:hAnsi="Times New Roman" w:cs="Times New Roman"/>
          <w:bCs/>
          <w:sz w:val="24"/>
          <w:szCs w:val="24"/>
          <w:lang w:val="x-none" w:eastAsia="x-none"/>
        </w:rPr>
        <w:t xml:space="preserve">tym: 86 próbki oceniono jako zanieczyszczone w niewielkim stopniu, 19 próbek oceniono jako zanieczyszczone w średnim stopniu (Level 3) oraz 53 próbki oceniono jako silnie zanieczyszczone (Level 4). </w:t>
      </w:r>
    </w:p>
    <w:p w14:paraId="78E61654" w14:textId="77777777" w:rsidR="00EA3BB2" w:rsidRPr="005E2831" w:rsidRDefault="00EA3BB2" w:rsidP="004E37F6">
      <w:pPr>
        <w:jc w:val="both"/>
        <w:rPr>
          <w:rFonts w:ascii="Times New Roman" w:eastAsia="Times New Roman" w:hAnsi="Times New Roman" w:cs="Times New Roman"/>
          <w:b/>
          <w:bCs/>
          <w:sz w:val="24"/>
          <w:szCs w:val="24"/>
          <w:lang w:val="x-none" w:eastAsia="x-none"/>
        </w:rPr>
      </w:pPr>
      <w:r w:rsidRPr="005E2831">
        <w:rPr>
          <w:rFonts w:ascii="Times New Roman" w:eastAsia="Times New Roman" w:hAnsi="Times New Roman" w:cs="Times New Roman"/>
          <w:bCs/>
          <w:sz w:val="24"/>
          <w:szCs w:val="24"/>
          <w:lang w:val="x-none" w:eastAsia="x-none"/>
        </w:rPr>
        <w:t xml:space="preserve">W 27 z 53 stanowisk pomiarowych na zaklasyfikowanie osadu do kategorii silnie zanieczyszczonego (Level 4) zadecydował 1 wskaźnik degradujący. </w:t>
      </w:r>
    </w:p>
    <w:p w14:paraId="2DF3970B" w14:textId="77777777" w:rsidR="00EA3BB2" w:rsidRPr="005E2831" w:rsidRDefault="00EA3BB2" w:rsidP="004E37F6">
      <w:pPr>
        <w:jc w:val="both"/>
        <w:rPr>
          <w:rFonts w:ascii="Times New Roman" w:eastAsia="Times New Roman" w:hAnsi="Times New Roman" w:cs="Times New Roman"/>
          <w:b/>
          <w:sz w:val="24"/>
          <w:szCs w:val="24"/>
        </w:rPr>
      </w:pPr>
      <w:r w:rsidRPr="005E2831">
        <w:rPr>
          <w:rFonts w:ascii="Times New Roman" w:eastAsia="Times New Roman" w:hAnsi="Times New Roman" w:cs="Times New Roman"/>
          <w:b/>
          <w:sz w:val="24"/>
          <w:szCs w:val="24"/>
        </w:rPr>
        <w:t xml:space="preserve">Ocena jakości osadów pobranych z jezior i zbiorników zaporowych zgodnie </w:t>
      </w:r>
      <w:r w:rsidRPr="005E2831">
        <w:rPr>
          <w:rFonts w:ascii="Times New Roman" w:eastAsia="Times New Roman" w:hAnsi="Times New Roman" w:cs="Times New Roman"/>
          <w:b/>
          <w:sz w:val="24"/>
          <w:szCs w:val="24"/>
        </w:rPr>
        <w:br/>
        <w:t xml:space="preserve">z kryterium </w:t>
      </w:r>
      <w:r w:rsidRPr="005E2831">
        <w:rPr>
          <w:rFonts w:ascii="Times New Roman" w:eastAsia="Times New Roman" w:hAnsi="Times New Roman" w:cs="Times New Roman"/>
          <w:b/>
          <w:bCs/>
          <w:sz w:val="24"/>
          <w:szCs w:val="24"/>
          <w:lang w:eastAsia="pl-PL" w:bidi="en-US"/>
        </w:rPr>
        <w:t xml:space="preserve">ekotoksykologicznym, umożliwiającym ocenę stopnia wpływu </w:t>
      </w:r>
      <w:r w:rsidRPr="005E2831">
        <w:rPr>
          <w:rFonts w:ascii="Times New Roman" w:eastAsia="Times New Roman" w:hAnsi="Times New Roman" w:cs="Times New Roman"/>
          <w:b/>
          <w:bCs/>
          <w:sz w:val="24"/>
          <w:szCs w:val="24"/>
          <w:lang w:eastAsia="pl-PL" w:bidi="en-US"/>
        </w:rPr>
        <w:lastRenderedPageBreak/>
        <w:t>zanieczyszczonych osadów na organizmy wodne na podstawie określonych wartości granicznych EQS, wykorzystywanych do rozdzielenia dobrego od złego stanu chemicznego osadów wodnych (wg GIOŚ 2015)</w:t>
      </w:r>
    </w:p>
    <w:p w14:paraId="74F644A7" w14:textId="77777777" w:rsidR="00EA3BB2" w:rsidRPr="005E2831" w:rsidRDefault="00EA3BB2" w:rsidP="004E37F6">
      <w:pPr>
        <w:jc w:val="both"/>
        <w:rPr>
          <w:rFonts w:ascii="Times New Roman" w:eastAsia="Times New Roman" w:hAnsi="Times New Roman" w:cs="Times New Roman"/>
          <w:sz w:val="24"/>
          <w:szCs w:val="24"/>
        </w:rPr>
      </w:pPr>
      <w:r w:rsidRPr="005E2831">
        <w:rPr>
          <w:rFonts w:ascii="Times New Roman" w:eastAsia="Times New Roman" w:hAnsi="Times New Roman" w:cs="Times New Roman"/>
          <w:sz w:val="24"/>
          <w:szCs w:val="24"/>
        </w:rPr>
        <w:t xml:space="preserve"> Analiza wyników badań osadów dennych pobranych z jezior, podobnie jak w przypadku oceny przeprowadzonej dla osadów dennych pochodzących z rzek oraz kanałów rzecznych, zgodnie z kryterium ekotoksykologicznym dotyczyła oceny stanu ich czystości w zależności od zawartości wybranych metali oraz trwałych związków organicznych (TZO). Dla celu oceny jakości osadów jeziornych przyjęto, że osady, dla których wartości stężeń danego wskaźnika są niższe od wartości granicznej to osady niezanieczyszczone, natomiast stężenia przekraczające wartości graniczne określone dla danego wskaźnika – to osady zanieczyszczone. Jednocześnie ocena końcowa danego osadu jest negatywna (tzn. osad uznawany jest za zanieczyszczony), jeżeli choć jeden wskaźnik - tj. czynnik degradujący – przekracza wartość graniczną określoną dla osadów niezanieczyszczonych.</w:t>
      </w:r>
    </w:p>
    <w:p w14:paraId="26B4BBB2" w14:textId="71E55AAC" w:rsidR="00EA3BB2" w:rsidRPr="005E2831" w:rsidRDefault="00EA3BB2" w:rsidP="004E37F6">
      <w:pPr>
        <w:jc w:val="both"/>
        <w:rPr>
          <w:rFonts w:ascii="Times New Roman" w:eastAsia="Times New Roman" w:hAnsi="Times New Roman" w:cs="Times New Roman"/>
          <w:sz w:val="24"/>
          <w:szCs w:val="24"/>
        </w:rPr>
      </w:pPr>
      <w:r w:rsidRPr="005E2831">
        <w:rPr>
          <w:rFonts w:ascii="Times New Roman" w:eastAsia="Times New Roman" w:hAnsi="Times New Roman" w:cs="Times New Roman"/>
          <w:sz w:val="24"/>
          <w:szCs w:val="24"/>
        </w:rPr>
        <w:t xml:space="preserve">Oceną objęto 192 próbki osadów jeziornych. W szerokim zakresie badano 35 stanowisk, </w:t>
      </w:r>
      <w:r w:rsidR="004E37F6">
        <w:rPr>
          <w:rFonts w:ascii="Times New Roman" w:eastAsia="Times New Roman" w:hAnsi="Times New Roman" w:cs="Times New Roman"/>
          <w:sz w:val="24"/>
          <w:szCs w:val="24"/>
        </w:rPr>
        <w:br/>
      </w:r>
      <w:r w:rsidRPr="005E2831">
        <w:rPr>
          <w:rFonts w:ascii="Times New Roman" w:eastAsia="Times New Roman" w:hAnsi="Times New Roman" w:cs="Times New Roman"/>
          <w:sz w:val="24"/>
          <w:szCs w:val="24"/>
        </w:rPr>
        <w:t>tj. z uwzględnieniem 38 wskaźników. Pozostałe 157 stanowisk analizowane były w zakresie częściowym, tj. 20 wskaźników.</w:t>
      </w:r>
    </w:p>
    <w:p w14:paraId="5198E08C" w14:textId="53269066" w:rsidR="007C18D1" w:rsidRDefault="00EA3BB2" w:rsidP="004E37F6">
      <w:pPr>
        <w:jc w:val="both"/>
        <w:rPr>
          <w:rFonts w:ascii="Times New Roman" w:eastAsia="Times New Roman" w:hAnsi="Times New Roman" w:cs="Times New Roman"/>
          <w:sz w:val="24"/>
          <w:szCs w:val="24"/>
        </w:rPr>
      </w:pPr>
      <w:r w:rsidRPr="005E2831">
        <w:rPr>
          <w:rFonts w:ascii="Times New Roman" w:eastAsia="Times New Roman" w:hAnsi="Times New Roman" w:cs="Times New Roman"/>
          <w:sz w:val="24"/>
          <w:szCs w:val="24"/>
        </w:rPr>
        <w:t>W przypadku większości badanych prób osadów dennych (141 jezior) osady zakwalifikowane zostały jako zanieczyszczone. W przypadku 51 jezior jakość osadów dennych, określona została jako osady niezanieczyszczone</w:t>
      </w:r>
      <w:r w:rsidR="00895F16" w:rsidRPr="007F400A">
        <w:rPr>
          <w:rFonts w:ascii="Times New Roman" w:hAnsi="Times New Roman"/>
          <w:sz w:val="24"/>
          <w:szCs w:val="24"/>
        </w:rPr>
        <w:t>.</w:t>
      </w:r>
      <w:bookmarkStart w:id="400" w:name="_Hlk3463744"/>
      <w:bookmarkEnd w:id="399"/>
      <w:r w:rsidR="007C18D1" w:rsidRPr="007C18D1">
        <w:rPr>
          <w:rFonts w:ascii="Times New Roman" w:eastAsia="Times New Roman" w:hAnsi="Times New Roman" w:cs="Times New Roman"/>
          <w:sz w:val="24"/>
          <w:szCs w:val="24"/>
        </w:rPr>
        <w:t xml:space="preserve"> </w:t>
      </w:r>
    </w:p>
    <w:p w14:paraId="70EB3392" w14:textId="1F7C0157" w:rsidR="007C18D1" w:rsidRPr="005E2831" w:rsidRDefault="00B2552D" w:rsidP="004E37F6">
      <w:pPr>
        <w:jc w:val="both"/>
        <w:rPr>
          <w:rFonts w:ascii="Times New Roman" w:hAnsi="Times New Roman" w:cs="Times New Roman"/>
          <w:b/>
          <w:bCs/>
        </w:rPr>
      </w:pPr>
      <w:bookmarkStart w:id="401" w:name="_Toc121137270"/>
      <w:bookmarkStart w:id="402" w:name="_Hlk3465099"/>
      <w:bookmarkStart w:id="403" w:name="_Hlk3465079"/>
      <w:r w:rsidRPr="005E2831">
        <w:rPr>
          <w:rFonts w:ascii="Times New Roman" w:hAnsi="Times New Roman" w:cs="Times New Roman"/>
          <w:noProof/>
          <w:lang w:eastAsia="pl-PL"/>
        </w:rPr>
        <w:drawing>
          <wp:inline distT="0" distB="0" distL="0" distR="0" wp14:anchorId="734C30B5" wp14:editId="4CF5823E">
            <wp:extent cx="5466715" cy="3009900"/>
            <wp:effectExtent l="0" t="0" r="635" b="0"/>
            <wp:docPr id="460" name="Wykres 460" descr="Wykres 30. Ocena jakości osadów jeziornych pochodzących z 192 stanowisk pomiarowych objętych badaniami w 2022 roku, zgodnie z kryterium ekotoksykologicznym EQS – jeziora">
              <a:extLst xmlns:a="http://schemas.openxmlformats.org/drawingml/2006/main">
                <a:ext uri="{FF2B5EF4-FFF2-40B4-BE49-F238E27FC236}">
                  <a16:creationId xmlns:a16="http://schemas.microsoft.com/office/drawing/2014/main" id="{339BA97D-0EAF-415C-A5C5-A350DDFFD8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r w:rsidR="007C18D1" w:rsidRPr="005E2831">
        <w:rPr>
          <w:rFonts w:ascii="Times New Roman" w:eastAsia="Times New Roman" w:hAnsi="Times New Roman" w:cs="Times New Roman"/>
          <w:b/>
          <w:bCs/>
          <w:lang w:eastAsia="x-none"/>
        </w:rPr>
        <w:t>Wyk</w:t>
      </w:r>
      <w:r w:rsidR="00743C80">
        <w:rPr>
          <w:rFonts w:ascii="Times New Roman" w:eastAsia="Times New Roman" w:hAnsi="Times New Roman" w:cs="Times New Roman"/>
          <w:b/>
          <w:bCs/>
          <w:lang w:eastAsia="x-none"/>
        </w:rPr>
        <w:t>res</w:t>
      </w:r>
      <w:r w:rsidR="007C18D1" w:rsidRPr="005E2831">
        <w:rPr>
          <w:rFonts w:ascii="Times New Roman" w:eastAsia="Times New Roman" w:hAnsi="Times New Roman" w:cs="Times New Roman"/>
          <w:b/>
          <w:bCs/>
          <w:lang w:eastAsia="x-none"/>
        </w:rPr>
        <w:t xml:space="preserve"> </w:t>
      </w:r>
      <w:r w:rsidR="007C18D1" w:rsidRPr="005741AE">
        <w:rPr>
          <w:rFonts w:ascii="Times New Roman" w:eastAsia="Times New Roman" w:hAnsi="Times New Roman" w:cs="Times New Roman"/>
          <w:b/>
          <w:bCs/>
          <w:lang w:eastAsia="x-none"/>
        </w:rPr>
        <w:t>3</w:t>
      </w:r>
      <w:r w:rsidR="00743C80">
        <w:rPr>
          <w:rFonts w:ascii="Times New Roman" w:eastAsia="Times New Roman" w:hAnsi="Times New Roman" w:cs="Times New Roman"/>
          <w:b/>
          <w:bCs/>
          <w:lang w:eastAsia="x-none"/>
        </w:rPr>
        <w:t>0</w:t>
      </w:r>
      <w:r w:rsidR="007C18D1" w:rsidRPr="005741AE">
        <w:rPr>
          <w:rFonts w:ascii="Times New Roman" w:eastAsia="Times New Roman" w:hAnsi="Times New Roman" w:cs="Times New Roman"/>
          <w:b/>
          <w:bCs/>
          <w:lang w:eastAsia="x-none"/>
        </w:rPr>
        <w:t xml:space="preserve">. </w:t>
      </w:r>
      <w:r w:rsidR="007C18D1" w:rsidRPr="005E2831">
        <w:rPr>
          <w:rFonts w:ascii="Times New Roman" w:hAnsi="Times New Roman" w:cs="Times New Roman"/>
          <w:b/>
          <w:bCs/>
        </w:rPr>
        <w:t>Ocena jakości osadów jeziornych pochodzących z 192 stanowisk pomiarowych objętych badaniami w 2022 roku, zgodnie z kryterium ekotoksykologicznym EQS – jeziora</w:t>
      </w:r>
      <w:bookmarkEnd w:id="401"/>
    </w:p>
    <w:bookmarkEnd w:id="400"/>
    <w:bookmarkEnd w:id="402"/>
    <w:bookmarkEnd w:id="403"/>
    <w:p w14:paraId="2AFB54BD" w14:textId="77777777" w:rsidR="007C18D1" w:rsidRPr="005E2831" w:rsidRDefault="007C18D1" w:rsidP="004E37F6">
      <w:pPr>
        <w:jc w:val="both"/>
        <w:rPr>
          <w:rFonts w:ascii="Times New Roman" w:eastAsia="Times New Roman" w:hAnsi="Times New Roman" w:cs="Times New Roman"/>
          <w:sz w:val="24"/>
          <w:szCs w:val="24"/>
        </w:rPr>
      </w:pPr>
      <w:r w:rsidRPr="005E2831">
        <w:rPr>
          <w:rFonts w:ascii="Times New Roman" w:eastAsia="Times New Roman" w:hAnsi="Times New Roman" w:cs="Times New Roman"/>
          <w:sz w:val="24"/>
          <w:szCs w:val="24"/>
        </w:rPr>
        <w:t>W nawiązaniu do powyższego wykresu 141 próbek wykazało, że ich jakość (określona jako ocena końcowa) nie spełnia kryteriów określonych dla osadów dennych niezanieczyszczonych, co oznacza, że z uwagi na swój skład mogą wpływać niekorzystnie na</w:t>
      </w:r>
      <w:r>
        <w:rPr>
          <w:rFonts w:ascii="Times New Roman" w:eastAsia="Times New Roman" w:hAnsi="Times New Roman" w:cs="Times New Roman"/>
          <w:sz w:val="24"/>
          <w:szCs w:val="24"/>
        </w:rPr>
        <w:t> </w:t>
      </w:r>
      <w:r w:rsidRPr="005E2831">
        <w:rPr>
          <w:rFonts w:ascii="Times New Roman" w:eastAsia="Times New Roman" w:hAnsi="Times New Roman" w:cs="Times New Roman"/>
          <w:sz w:val="24"/>
          <w:szCs w:val="24"/>
        </w:rPr>
        <w:t>organizmy wodne.</w:t>
      </w:r>
    </w:p>
    <w:p w14:paraId="06EEB30D" w14:textId="77777777" w:rsidR="007C18D1" w:rsidRPr="005E2831" w:rsidRDefault="007C18D1" w:rsidP="004E37F6">
      <w:pPr>
        <w:jc w:val="both"/>
        <w:rPr>
          <w:rFonts w:ascii="Times New Roman" w:eastAsia="Times New Roman" w:hAnsi="Times New Roman" w:cs="Times New Roman"/>
          <w:sz w:val="24"/>
          <w:szCs w:val="24"/>
        </w:rPr>
      </w:pPr>
      <w:r w:rsidRPr="005E2831">
        <w:rPr>
          <w:rFonts w:ascii="Times New Roman" w:eastAsia="Times New Roman" w:hAnsi="Times New Roman" w:cs="Times New Roman"/>
          <w:sz w:val="24"/>
          <w:szCs w:val="24"/>
        </w:rPr>
        <w:t>W 47 próbkach osadów czynnikiem degradującym, decydującym o klasyfikacji próby osadu jako zanieczyszczonego, było przekroczenie wartości granicznej EQS dla 1 wskaźnika oraz w 51 próbkach czynnikiem degradującym było przekroczenie wartości granicznej EQS dla</w:t>
      </w:r>
      <w:r>
        <w:rPr>
          <w:rFonts w:ascii="Times New Roman" w:eastAsia="Times New Roman" w:hAnsi="Times New Roman" w:cs="Times New Roman"/>
          <w:sz w:val="24"/>
          <w:szCs w:val="24"/>
        </w:rPr>
        <w:t> </w:t>
      </w:r>
      <w:r w:rsidRPr="005E2831">
        <w:rPr>
          <w:rFonts w:ascii="Times New Roman" w:eastAsia="Times New Roman" w:hAnsi="Times New Roman" w:cs="Times New Roman"/>
          <w:sz w:val="24"/>
          <w:szCs w:val="24"/>
        </w:rPr>
        <w:t>2 wskaźników.</w:t>
      </w:r>
    </w:p>
    <w:p w14:paraId="0E57ABC7" w14:textId="77777777" w:rsidR="007C18D1" w:rsidRPr="005E2831" w:rsidRDefault="007C18D1" w:rsidP="004E37F6">
      <w:pPr>
        <w:jc w:val="both"/>
        <w:rPr>
          <w:rFonts w:ascii="Times New Roman" w:eastAsia="Times New Roman" w:hAnsi="Times New Roman" w:cs="Times New Roman"/>
          <w:b/>
          <w:bCs/>
          <w:sz w:val="24"/>
          <w:szCs w:val="24"/>
          <w:lang w:val="x-none" w:eastAsia="x-none"/>
        </w:rPr>
      </w:pPr>
      <w:r w:rsidRPr="005E2831">
        <w:rPr>
          <w:rFonts w:ascii="Times New Roman" w:eastAsia="Times New Roman" w:hAnsi="Times New Roman" w:cs="Times New Roman"/>
          <w:sz w:val="24"/>
          <w:szCs w:val="24"/>
        </w:rPr>
        <w:lastRenderedPageBreak/>
        <w:t xml:space="preserve">W 17 próbkach osadów czynnikiem degradującym, decydującym o klasyfikacji próby osadu jako zanieczyszczonego, było przekroczenie wartości granicznej EQS dla 3 wskaźników, w 14 próbkach osadów czynnikiem degradującym, decydującym o klasyfikacji próby osadu jako zanieczyszczonego, było przekroczenie wartości granicznej EQS dla 4 wskaźników. </w:t>
      </w:r>
    </w:p>
    <w:p w14:paraId="5465B1A8" w14:textId="77777777" w:rsidR="007C18D1" w:rsidRPr="005E2831" w:rsidRDefault="007C18D1" w:rsidP="004E37F6">
      <w:pPr>
        <w:jc w:val="both"/>
        <w:rPr>
          <w:rFonts w:ascii="Times New Roman" w:eastAsia="Times New Roman" w:hAnsi="Times New Roman" w:cs="Times New Roman"/>
          <w:b/>
          <w:sz w:val="24"/>
          <w:szCs w:val="24"/>
        </w:rPr>
      </w:pPr>
      <w:r w:rsidRPr="005E2831">
        <w:rPr>
          <w:rFonts w:ascii="Times New Roman" w:eastAsia="Times New Roman" w:hAnsi="Times New Roman" w:cs="Times New Roman"/>
          <w:b/>
          <w:sz w:val="24"/>
          <w:szCs w:val="24"/>
        </w:rPr>
        <w:t xml:space="preserve">Ocena jakości osadów pobranych z jezior zgodnie z kryterium </w:t>
      </w:r>
      <w:r w:rsidRPr="005E2831">
        <w:rPr>
          <w:rFonts w:ascii="Times New Roman" w:eastAsia="Times New Roman" w:hAnsi="Times New Roman" w:cs="Times New Roman"/>
          <w:b/>
          <w:bCs/>
          <w:sz w:val="24"/>
          <w:szCs w:val="24"/>
          <w:lang w:eastAsia="pl-PL" w:bidi="en-US"/>
        </w:rPr>
        <w:t xml:space="preserve">ekotoksykologicznym, umożliwiającym ocenę stopnia wpływu zanieczyszczonych osadów na organizmy wodne (wg D.D. MacDonald, C.G. </w:t>
      </w:r>
      <w:proofErr w:type="spellStart"/>
      <w:r w:rsidRPr="005E2831">
        <w:rPr>
          <w:rFonts w:ascii="Times New Roman" w:eastAsia="Times New Roman" w:hAnsi="Times New Roman" w:cs="Times New Roman"/>
          <w:b/>
          <w:bCs/>
          <w:sz w:val="24"/>
          <w:szCs w:val="24"/>
          <w:lang w:eastAsia="pl-PL" w:bidi="en-US"/>
        </w:rPr>
        <w:t>Ingersol</w:t>
      </w:r>
      <w:proofErr w:type="spellEnd"/>
      <w:r w:rsidRPr="005E2831">
        <w:rPr>
          <w:rFonts w:ascii="Times New Roman" w:eastAsia="Times New Roman" w:hAnsi="Times New Roman" w:cs="Times New Roman"/>
          <w:b/>
          <w:bCs/>
          <w:sz w:val="24"/>
          <w:szCs w:val="24"/>
          <w:lang w:eastAsia="pl-PL" w:bidi="en-US"/>
        </w:rPr>
        <w:t>, T.A. Berger 2000; WT-732 2003).</w:t>
      </w:r>
    </w:p>
    <w:p w14:paraId="5C5D54FE" w14:textId="2C83D45E" w:rsidR="007C18D1" w:rsidRPr="005E2831" w:rsidRDefault="007C18D1" w:rsidP="004E37F6">
      <w:pPr>
        <w:jc w:val="both"/>
        <w:rPr>
          <w:rFonts w:ascii="Times New Roman" w:eastAsia="Times New Roman" w:hAnsi="Times New Roman" w:cs="Times New Roman"/>
          <w:sz w:val="24"/>
          <w:szCs w:val="24"/>
        </w:rPr>
      </w:pPr>
      <w:r w:rsidRPr="005E2831">
        <w:rPr>
          <w:rFonts w:ascii="Times New Roman" w:eastAsia="Times New Roman" w:hAnsi="Times New Roman" w:cs="Times New Roman"/>
          <w:sz w:val="24"/>
          <w:szCs w:val="24"/>
        </w:rPr>
        <w:t xml:space="preserve">Analiza wyników badań osadów dennych pobranych z jezior zgodnie z kryterium ekotoksykologicznym dotyczyła oceny stanu ich czystości w zależności od zawartości wybranych metali oraz trwałych związków organicznych (TZO). Poziomy oceny osadów zostały przyjęte zgodnie z wartościami granicznymi określonymi w tabeli </w:t>
      </w:r>
      <w:r w:rsidR="005D7F5E">
        <w:rPr>
          <w:rFonts w:ascii="Times New Roman" w:eastAsia="Times New Roman" w:hAnsi="Times New Roman" w:cs="Times New Roman"/>
          <w:sz w:val="24"/>
          <w:szCs w:val="24"/>
        </w:rPr>
        <w:t>25</w:t>
      </w:r>
      <w:r w:rsidRPr="005E2831">
        <w:rPr>
          <w:rFonts w:ascii="Times New Roman" w:eastAsia="Times New Roman" w:hAnsi="Times New Roman" w:cs="Times New Roman"/>
          <w:sz w:val="24"/>
          <w:szCs w:val="24"/>
        </w:rPr>
        <w:t xml:space="preserve"> przedmiotowego opracowania. Podobnie jak w przypadku oceny jakości osadów rzecznych przyjęto, że osady, dla których wartości stężeń danego wskaźnika spełniają kryterium poziomu I to osady niezanieczyszczone, stężenia spełniające kryterium poziomu II to osady zanieczyszczone w niewielkim stopniu, osady spełniające kryterium poziomu III to osady zanieczyszczone w średnim stopniu, natomiast stężenia przekraczające wartości graniczne określone dla III poziomu to osady silnie zanieczyszczone. Jednocześnie ocena końcowa danego osadu, tj. klasa czystości jest równa poziomowi wskaźnika o najmniej korzystnej ocenie – tzw. czynnik degradujący.</w:t>
      </w:r>
    </w:p>
    <w:p w14:paraId="039281BF" w14:textId="77777777" w:rsidR="007C18D1" w:rsidRPr="005E2831" w:rsidRDefault="007C18D1" w:rsidP="004E37F6">
      <w:pPr>
        <w:jc w:val="both"/>
        <w:rPr>
          <w:rFonts w:ascii="Times New Roman" w:eastAsia="Times New Roman" w:hAnsi="Times New Roman" w:cs="Times New Roman"/>
          <w:sz w:val="24"/>
          <w:szCs w:val="24"/>
        </w:rPr>
      </w:pPr>
      <w:r w:rsidRPr="005E2831">
        <w:rPr>
          <w:rFonts w:ascii="Times New Roman" w:eastAsia="Times New Roman" w:hAnsi="Times New Roman" w:cs="Times New Roman"/>
          <w:sz w:val="24"/>
          <w:szCs w:val="24"/>
        </w:rPr>
        <w:t xml:space="preserve">Oceną objęte były 192 próbki osadów dennych pobieranych z jezior, 35 próbek osadów dennych oceniane było pod względem zawartości 48 wskaźników, pozostałe 157 próbek osadów podlegało ocenie w zakresie 42 wskaźników. </w:t>
      </w:r>
    </w:p>
    <w:p w14:paraId="4D808855" w14:textId="75C78556" w:rsidR="00895F16" w:rsidRDefault="007C18D1" w:rsidP="004E37F6">
      <w:pPr>
        <w:jc w:val="both"/>
        <w:rPr>
          <w:rFonts w:ascii="Times New Roman" w:hAnsi="Times New Roman"/>
          <w:sz w:val="24"/>
          <w:szCs w:val="24"/>
        </w:rPr>
      </w:pPr>
      <w:r w:rsidRPr="005E2831">
        <w:rPr>
          <w:rFonts w:ascii="Times New Roman" w:eastAsia="Times New Roman" w:hAnsi="Times New Roman" w:cs="Times New Roman"/>
          <w:sz w:val="24"/>
          <w:szCs w:val="24"/>
        </w:rPr>
        <w:t>Jak wynika z  poniższego wykresu, w przypadku 93 przebadanych próbek osadów dennych ich jakość (określona jako ocena końcowa) spełnia kryteria IV poziomu jakości osadów (osad silnie zanieczyszczony)</w:t>
      </w:r>
      <w:r w:rsidR="00895F16" w:rsidRPr="007F400A">
        <w:rPr>
          <w:rFonts w:ascii="Times New Roman" w:hAnsi="Times New Roman"/>
          <w:sz w:val="24"/>
          <w:szCs w:val="24"/>
        </w:rPr>
        <w:t>.</w:t>
      </w:r>
    </w:p>
    <w:p w14:paraId="7B2C89B5" w14:textId="77777777" w:rsidR="007C18D1" w:rsidRPr="005E2831" w:rsidRDefault="007C18D1" w:rsidP="004E37F6">
      <w:pPr>
        <w:jc w:val="both"/>
        <w:rPr>
          <w:rFonts w:ascii="Times New Roman" w:eastAsia="Times New Roman" w:hAnsi="Times New Roman" w:cs="Times New Roman"/>
          <w:sz w:val="24"/>
          <w:szCs w:val="24"/>
        </w:rPr>
      </w:pPr>
      <w:r w:rsidRPr="005E2831">
        <w:rPr>
          <w:rFonts w:ascii="Times New Roman" w:hAnsi="Times New Roman" w:cs="Times New Roman"/>
          <w:noProof/>
          <w:lang w:eastAsia="pl-PL"/>
        </w:rPr>
        <w:drawing>
          <wp:inline distT="0" distB="0" distL="0" distR="0" wp14:anchorId="519F430C" wp14:editId="26D618B6">
            <wp:extent cx="5284149" cy="2849880"/>
            <wp:effectExtent l="0" t="0" r="12065" b="7620"/>
            <wp:docPr id="462" name="Wykres 462" descr="Wykres 31. Ocena jakości osadów jeziornych pochodzących z 192 stanowisk pomiarowych objętych badaniami w 2022 roku, zgodnie z kryterium ekotoksykologicznym (pomocniczym) – jeziora">
              <a:extLst xmlns:a="http://schemas.openxmlformats.org/drawingml/2006/main">
                <a:ext uri="{FF2B5EF4-FFF2-40B4-BE49-F238E27FC236}">
                  <a16:creationId xmlns:a16="http://schemas.microsoft.com/office/drawing/2014/main" id="{2183996F-530A-4756-A11E-0488103EBC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tbl>
      <w:tblPr>
        <w:tblpPr w:leftFromText="141" w:rightFromText="141" w:vertAnchor="text" w:horzAnchor="margin" w:tblpXSpec="center" w:tblpY="94"/>
        <w:tblW w:w="8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4"/>
        <w:gridCol w:w="2616"/>
        <w:gridCol w:w="1495"/>
        <w:gridCol w:w="2578"/>
      </w:tblGrid>
      <w:tr w:rsidR="007C18D1" w:rsidRPr="005E2831" w14:paraId="52208C32" w14:textId="77777777" w:rsidTr="00DB2E04">
        <w:trPr>
          <w:trHeight w:val="269"/>
        </w:trPr>
        <w:tc>
          <w:tcPr>
            <w:tcW w:w="1464" w:type="dxa"/>
            <w:tcBorders>
              <w:right w:val="single" w:sz="4" w:space="0" w:color="auto"/>
            </w:tcBorders>
            <w:shd w:val="clear" w:color="auto" w:fill="CCFF99"/>
            <w:vAlign w:val="center"/>
          </w:tcPr>
          <w:p w14:paraId="76ABE840" w14:textId="77777777" w:rsidR="007C18D1" w:rsidRPr="005E2831" w:rsidRDefault="007C18D1" w:rsidP="004E37F6">
            <w:pPr>
              <w:jc w:val="both"/>
              <w:rPr>
                <w:rFonts w:ascii="Times New Roman" w:eastAsia="Calibri" w:hAnsi="Times New Roman" w:cs="Times New Roman"/>
                <w:sz w:val="18"/>
                <w:szCs w:val="18"/>
              </w:rPr>
            </w:pPr>
            <w:r w:rsidRPr="005E2831">
              <w:rPr>
                <w:rFonts w:ascii="Times New Roman" w:eastAsia="Calibri" w:hAnsi="Times New Roman" w:cs="Times New Roman"/>
                <w:b/>
                <w:bCs/>
                <w:sz w:val="18"/>
                <w:szCs w:val="18"/>
              </w:rPr>
              <w:t>Level 1</w:t>
            </w:r>
          </w:p>
        </w:tc>
        <w:tc>
          <w:tcPr>
            <w:tcW w:w="2616" w:type="dxa"/>
            <w:tcBorders>
              <w:top w:val="nil"/>
              <w:left w:val="single" w:sz="4" w:space="0" w:color="auto"/>
              <w:bottom w:val="nil"/>
              <w:right w:val="single" w:sz="4" w:space="0" w:color="auto"/>
            </w:tcBorders>
            <w:shd w:val="clear" w:color="auto" w:fill="auto"/>
          </w:tcPr>
          <w:p w14:paraId="3BF9D710" w14:textId="77777777" w:rsidR="007C18D1" w:rsidRPr="005E2831" w:rsidRDefault="007C18D1" w:rsidP="004E37F6">
            <w:pPr>
              <w:jc w:val="both"/>
              <w:rPr>
                <w:rFonts w:ascii="Times New Roman" w:eastAsia="Calibri" w:hAnsi="Times New Roman" w:cs="Times New Roman"/>
                <w:sz w:val="18"/>
                <w:szCs w:val="18"/>
              </w:rPr>
            </w:pPr>
            <w:r w:rsidRPr="005E2831">
              <w:rPr>
                <w:rFonts w:ascii="Times New Roman" w:eastAsia="Calibri" w:hAnsi="Times New Roman" w:cs="Times New Roman"/>
                <w:sz w:val="18"/>
                <w:szCs w:val="18"/>
              </w:rPr>
              <w:t>- osady niezanieczyszczone</w:t>
            </w:r>
          </w:p>
        </w:tc>
        <w:tc>
          <w:tcPr>
            <w:tcW w:w="1495" w:type="dxa"/>
            <w:tcBorders>
              <w:left w:val="single" w:sz="4" w:space="0" w:color="auto"/>
              <w:right w:val="single" w:sz="4" w:space="0" w:color="auto"/>
            </w:tcBorders>
            <w:shd w:val="clear" w:color="auto" w:fill="FFCC66"/>
            <w:vAlign w:val="center"/>
          </w:tcPr>
          <w:p w14:paraId="7ABC455E" w14:textId="77777777" w:rsidR="007C18D1" w:rsidRPr="005E2831" w:rsidRDefault="007C18D1" w:rsidP="004E37F6">
            <w:pPr>
              <w:jc w:val="both"/>
              <w:rPr>
                <w:rFonts w:ascii="Times New Roman" w:eastAsia="Calibri" w:hAnsi="Times New Roman" w:cs="Times New Roman"/>
                <w:sz w:val="18"/>
                <w:szCs w:val="18"/>
              </w:rPr>
            </w:pPr>
            <w:r w:rsidRPr="005E2831">
              <w:rPr>
                <w:rFonts w:ascii="Times New Roman" w:eastAsia="Calibri" w:hAnsi="Times New Roman" w:cs="Times New Roman"/>
                <w:b/>
                <w:bCs/>
                <w:sz w:val="18"/>
                <w:szCs w:val="18"/>
              </w:rPr>
              <w:t>Level 3</w:t>
            </w:r>
          </w:p>
        </w:tc>
        <w:tc>
          <w:tcPr>
            <w:tcW w:w="2578" w:type="dxa"/>
            <w:tcBorders>
              <w:top w:val="nil"/>
              <w:left w:val="single" w:sz="4" w:space="0" w:color="auto"/>
              <w:bottom w:val="nil"/>
              <w:right w:val="nil"/>
            </w:tcBorders>
            <w:shd w:val="clear" w:color="auto" w:fill="auto"/>
          </w:tcPr>
          <w:p w14:paraId="23BE2F12" w14:textId="77777777" w:rsidR="007C18D1" w:rsidRPr="005E2831" w:rsidRDefault="007C18D1" w:rsidP="004E37F6">
            <w:pPr>
              <w:jc w:val="both"/>
              <w:rPr>
                <w:rFonts w:ascii="Times New Roman" w:eastAsia="Calibri" w:hAnsi="Times New Roman" w:cs="Times New Roman"/>
                <w:sz w:val="18"/>
                <w:szCs w:val="18"/>
              </w:rPr>
            </w:pPr>
            <w:r w:rsidRPr="005E2831">
              <w:rPr>
                <w:rFonts w:ascii="Times New Roman" w:eastAsia="Calibri" w:hAnsi="Times New Roman" w:cs="Times New Roman"/>
                <w:sz w:val="18"/>
                <w:szCs w:val="18"/>
              </w:rPr>
              <w:t>-</w:t>
            </w:r>
            <w:r>
              <w:rPr>
                <w:rFonts w:ascii="Times New Roman" w:eastAsia="Calibri" w:hAnsi="Times New Roman" w:cs="Times New Roman"/>
                <w:sz w:val="18"/>
                <w:szCs w:val="18"/>
              </w:rPr>
              <w:t> </w:t>
            </w:r>
            <w:r w:rsidRPr="005E2831">
              <w:rPr>
                <w:rFonts w:ascii="Times New Roman" w:eastAsia="Calibri" w:hAnsi="Times New Roman" w:cs="Times New Roman"/>
                <w:sz w:val="18"/>
                <w:szCs w:val="18"/>
              </w:rPr>
              <w:t>osady</w:t>
            </w:r>
            <w:r>
              <w:rPr>
                <w:rFonts w:ascii="Times New Roman" w:eastAsia="Calibri" w:hAnsi="Times New Roman" w:cs="Times New Roman"/>
                <w:sz w:val="18"/>
                <w:szCs w:val="18"/>
              </w:rPr>
              <w:t> </w:t>
            </w:r>
            <w:r w:rsidRPr="005E2831">
              <w:rPr>
                <w:rFonts w:ascii="Times New Roman" w:eastAsia="Calibri" w:hAnsi="Times New Roman" w:cs="Times New Roman"/>
                <w:sz w:val="18"/>
                <w:szCs w:val="18"/>
              </w:rPr>
              <w:t>zanieczyszczone w</w:t>
            </w:r>
            <w:r>
              <w:rPr>
                <w:rFonts w:ascii="Times New Roman" w:eastAsia="Calibri" w:hAnsi="Times New Roman" w:cs="Times New Roman"/>
                <w:sz w:val="18"/>
                <w:szCs w:val="18"/>
              </w:rPr>
              <w:t> </w:t>
            </w:r>
            <w:r w:rsidRPr="005E2831">
              <w:rPr>
                <w:rFonts w:ascii="Times New Roman" w:eastAsia="Calibri" w:hAnsi="Times New Roman" w:cs="Times New Roman"/>
                <w:sz w:val="18"/>
                <w:szCs w:val="18"/>
              </w:rPr>
              <w:t>średnim   stopniu</w:t>
            </w:r>
          </w:p>
        </w:tc>
      </w:tr>
      <w:tr w:rsidR="007C18D1" w:rsidRPr="005E2831" w14:paraId="6945D5C1" w14:textId="77777777" w:rsidTr="00DB2E04">
        <w:trPr>
          <w:trHeight w:val="397"/>
        </w:trPr>
        <w:tc>
          <w:tcPr>
            <w:tcW w:w="1464" w:type="dxa"/>
            <w:tcBorders>
              <w:right w:val="single" w:sz="4" w:space="0" w:color="auto"/>
            </w:tcBorders>
            <w:shd w:val="clear" w:color="auto" w:fill="FFFF99"/>
            <w:vAlign w:val="center"/>
          </w:tcPr>
          <w:p w14:paraId="45AF3F04" w14:textId="77777777" w:rsidR="007C18D1" w:rsidRPr="005E2831" w:rsidRDefault="007C18D1" w:rsidP="004E37F6">
            <w:pPr>
              <w:jc w:val="both"/>
              <w:rPr>
                <w:rFonts w:ascii="Times New Roman" w:eastAsia="Calibri" w:hAnsi="Times New Roman" w:cs="Times New Roman"/>
                <w:sz w:val="18"/>
                <w:szCs w:val="18"/>
              </w:rPr>
            </w:pPr>
            <w:r w:rsidRPr="005E2831">
              <w:rPr>
                <w:rFonts w:ascii="Times New Roman" w:eastAsia="Calibri" w:hAnsi="Times New Roman" w:cs="Times New Roman"/>
                <w:b/>
                <w:bCs/>
                <w:sz w:val="18"/>
                <w:szCs w:val="18"/>
              </w:rPr>
              <w:lastRenderedPageBreak/>
              <w:t>Level 2</w:t>
            </w:r>
          </w:p>
        </w:tc>
        <w:tc>
          <w:tcPr>
            <w:tcW w:w="2616" w:type="dxa"/>
            <w:tcBorders>
              <w:top w:val="nil"/>
              <w:left w:val="single" w:sz="4" w:space="0" w:color="auto"/>
              <w:bottom w:val="nil"/>
              <w:right w:val="single" w:sz="4" w:space="0" w:color="auto"/>
            </w:tcBorders>
            <w:shd w:val="clear" w:color="auto" w:fill="auto"/>
          </w:tcPr>
          <w:p w14:paraId="6F116906" w14:textId="77777777" w:rsidR="007C18D1" w:rsidRPr="005E2831" w:rsidRDefault="007C18D1" w:rsidP="004E37F6">
            <w:pPr>
              <w:jc w:val="both"/>
              <w:rPr>
                <w:rFonts w:ascii="Times New Roman" w:eastAsia="Calibri" w:hAnsi="Times New Roman" w:cs="Times New Roman"/>
                <w:sz w:val="18"/>
                <w:szCs w:val="18"/>
              </w:rPr>
            </w:pPr>
            <w:r w:rsidRPr="005E2831">
              <w:rPr>
                <w:rFonts w:ascii="Times New Roman" w:eastAsia="Calibri" w:hAnsi="Times New Roman" w:cs="Times New Roman"/>
                <w:sz w:val="18"/>
                <w:szCs w:val="18"/>
              </w:rPr>
              <w:t>-</w:t>
            </w:r>
            <w:r>
              <w:rPr>
                <w:rFonts w:ascii="Times New Roman" w:eastAsia="Calibri" w:hAnsi="Times New Roman" w:cs="Times New Roman"/>
                <w:sz w:val="18"/>
                <w:szCs w:val="18"/>
              </w:rPr>
              <w:t> </w:t>
            </w:r>
            <w:r w:rsidRPr="005E2831">
              <w:rPr>
                <w:rFonts w:ascii="Times New Roman" w:eastAsia="Calibri" w:hAnsi="Times New Roman" w:cs="Times New Roman"/>
                <w:sz w:val="18"/>
                <w:szCs w:val="18"/>
              </w:rPr>
              <w:t>osady</w:t>
            </w:r>
            <w:r>
              <w:rPr>
                <w:rFonts w:ascii="Times New Roman" w:eastAsia="Calibri" w:hAnsi="Times New Roman" w:cs="Times New Roman"/>
                <w:sz w:val="18"/>
                <w:szCs w:val="18"/>
              </w:rPr>
              <w:t> </w:t>
            </w:r>
            <w:r w:rsidRPr="005E2831">
              <w:rPr>
                <w:rFonts w:ascii="Times New Roman" w:eastAsia="Calibri" w:hAnsi="Times New Roman" w:cs="Times New Roman"/>
                <w:sz w:val="18"/>
                <w:szCs w:val="18"/>
              </w:rPr>
              <w:t>zanieczyszczone w</w:t>
            </w:r>
            <w:r>
              <w:rPr>
                <w:rFonts w:ascii="Times New Roman" w:eastAsia="Calibri" w:hAnsi="Times New Roman" w:cs="Times New Roman"/>
                <w:sz w:val="18"/>
                <w:szCs w:val="18"/>
              </w:rPr>
              <w:t> </w:t>
            </w:r>
            <w:r w:rsidRPr="005E2831">
              <w:rPr>
                <w:rFonts w:ascii="Times New Roman" w:eastAsia="Calibri" w:hAnsi="Times New Roman" w:cs="Times New Roman"/>
                <w:sz w:val="18"/>
                <w:szCs w:val="18"/>
              </w:rPr>
              <w:t>niewielkim stopniu</w:t>
            </w:r>
          </w:p>
        </w:tc>
        <w:tc>
          <w:tcPr>
            <w:tcW w:w="1495" w:type="dxa"/>
            <w:tcBorders>
              <w:left w:val="single" w:sz="4" w:space="0" w:color="auto"/>
              <w:right w:val="single" w:sz="4" w:space="0" w:color="auto"/>
            </w:tcBorders>
            <w:shd w:val="clear" w:color="auto" w:fill="FF9999"/>
            <w:vAlign w:val="center"/>
          </w:tcPr>
          <w:p w14:paraId="09F6EC97" w14:textId="77777777" w:rsidR="007C18D1" w:rsidRPr="005E2831" w:rsidRDefault="007C18D1" w:rsidP="004E37F6">
            <w:pPr>
              <w:jc w:val="both"/>
              <w:rPr>
                <w:rFonts w:ascii="Times New Roman" w:eastAsia="Calibri" w:hAnsi="Times New Roman" w:cs="Times New Roman"/>
                <w:sz w:val="18"/>
                <w:szCs w:val="18"/>
              </w:rPr>
            </w:pPr>
            <w:r w:rsidRPr="005E2831">
              <w:rPr>
                <w:rFonts w:ascii="Times New Roman" w:eastAsia="Calibri" w:hAnsi="Times New Roman" w:cs="Times New Roman"/>
                <w:b/>
                <w:bCs/>
                <w:sz w:val="18"/>
                <w:szCs w:val="18"/>
              </w:rPr>
              <w:t>Level 4</w:t>
            </w:r>
          </w:p>
        </w:tc>
        <w:tc>
          <w:tcPr>
            <w:tcW w:w="2578" w:type="dxa"/>
            <w:tcBorders>
              <w:top w:val="nil"/>
              <w:left w:val="single" w:sz="4" w:space="0" w:color="auto"/>
              <w:bottom w:val="nil"/>
              <w:right w:val="nil"/>
            </w:tcBorders>
            <w:shd w:val="clear" w:color="auto" w:fill="auto"/>
          </w:tcPr>
          <w:p w14:paraId="60DF156D" w14:textId="77777777" w:rsidR="007C18D1" w:rsidRPr="005E2831" w:rsidRDefault="007C18D1" w:rsidP="004E37F6">
            <w:pPr>
              <w:jc w:val="both"/>
              <w:rPr>
                <w:rFonts w:ascii="Times New Roman" w:eastAsia="Calibri" w:hAnsi="Times New Roman" w:cs="Times New Roman"/>
                <w:sz w:val="18"/>
                <w:szCs w:val="18"/>
              </w:rPr>
            </w:pPr>
            <w:r w:rsidRPr="005E2831">
              <w:rPr>
                <w:rFonts w:ascii="Times New Roman" w:eastAsia="Calibri" w:hAnsi="Times New Roman" w:cs="Times New Roman"/>
                <w:sz w:val="18"/>
                <w:szCs w:val="18"/>
              </w:rPr>
              <w:t>- osady zanieczyszczone (silnie)</w:t>
            </w:r>
          </w:p>
        </w:tc>
      </w:tr>
    </w:tbl>
    <w:p w14:paraId="74055213" w14:textId="037D3784" w:rsidR="00895F16" w:rsidRPr="007F400A" w:rsidRDefault="007C18D1" w:rsidP="004E37F6">
      <w:pPr>
        <w:jc w:val="both"/>
        <w:rPr>
          <w:rFonts w:ascii="Times New Roman" w:hAnsi="Times New Roman"/>
          <w:b/>
        </w:rPr>
      </w:pPr>
      <w:r w:rsidRPr="005E2831">
        <w:rPr>
          <w:rFonts w:ascii="Times New Roman" w:eastAsia="Times New Roman" w:hAnsi="Times New Roman" w:cs="Times New Roman"/>
          <w:b/>
          <w:bCs/>
          <w:lang w:eastAsia="x-none"/>
        </w:rPr>
        <w:t>Wyk</w:t>
      </w:r>
      <w:r w:rsidR="00743C80">
        <w:rPr>
          <w:rFonts w:ascii="Times New Roman" w:eastAsia="Times New Roman" w:hAnsi="Times New Roman" w:cs="Times New Roman"/>
          <w:b/>
          <w:bCs/>
          <w:lang w:eastAsia="x-none"/>
        </w:rPr>
        <w:t>res</w:t>
      </w:r>
      <w:r w:rsidRPr="005E2831">
        <w:rPr>
          <w:rFonts w:ascii="Times New Roman" w:eastAsia="Times New Roman" w:hAnsi="Times New Roman" w:cs="Times New Roman"/>
          <w:b/>
          <w:bCs/>
          <w:lang w:eastAsia="x-none"/>
        </w:rPr>
        <w:t xml:space="preserve"> </w:t>
      </w:r>
      <w:r w:rsidR="00743C80">
        <w:rPr>
          <w:rFonts w:ascii="Times New Roman" w:eastAsia="Times New Roman" w:hAnsi="Times New Roman" w:cs="Times New Roman"/>
          <w:b/>
          <w:bCs/>
          <w:lang w:eastAsia="x-none"/>
        </w:rPr>
        <w:t>31</w:t>
      </w:r>
      <w:r w:rsidRPr="005741AE">
        <w:rPr>
          <w:rFonts w:ascii="Times New Roman" w:eastAsia="Times New Roman" w:hAnsi="Times New Roman" w:cs="Times New Roman"/>
          <w:b/>
          <w:bCs/>
          <w:lang w:eastAsia="x-none"/>
        </w:rPr>
        <w:t xml:space="preserve">. </w:t>
      </w:r>
      <w:r w:rsidRPr="005E2831">
        <w:rPr>
          <w:rFonts w:ascii="Times New Roman" w:eastAsia="Times New Roman" w:hAnsi="Times New Roman" w:cs="Times New Roman"/>
          <w:b/>
          <w:bCs/>
          <w:lang w:val="x-none" w:eastAsia="x-none"/>
        </w:rPr>
        <w:t>Ocena jakości osadów jeziornych pochodzących z</w:t>
      </w:r>
      <w:r w:rsidRPr="005E2831">
        <w:rPr>
          <w:rFonts w:ascii="Times New Roman" w:eastAsia="Times New Roman" w:hAnsi="Times New Roman" w:cs="Times New Roman"/>
          <w:b/>
          <w:bCs/>
          <w:lang w:eastAsia="x-none"/>
        </w:rPr>
        <w:t xml:space="preserve"> </w:t>
      </w:r>
      <w:r w:rsidRPr="005E2831">
        <w:rPr>
          <w:rFonts w:ascii="Times New Roman" w:eastAsia="Times New Roman" w:hAnsi="Times New Roman" w:cs="Times New Roman"/>
          <w:b/>
          <w:bCs/>
          <w:lang w:val="x-none" w:eastAsia="x-none"/>
        </w:rPr>
        <w:t>192 stanowisk pomiarowych objętych badaniami w 2022 roku, zgodnie z kryterium ekotoksykologicznym (pomocniczym) – jeziora</w:t>
      </w:r>
    </w:p>
    <w:p w14:paraId="632A3C15" w14:textId="77777777" w:rsidR="007C18D1" w:rsidRPr="005E2831" w:rsidRDefault="007C18D1" w:rsidP="004E37F6">
      <w:pPr>
        <w:jc w:val="both"/>
        <w:rPr>
          <w:rFonts w:ascii="Times New Roman" w:eastAsia="Times New Roman" w:hAnsi="Times New Roman" w:cs="Times New Roman"/>
          <w:bCs/>
          <w:sz w:val="24"/>
          <w:szCs w:val="24"/>
          <w:lang w:val="x-none" w:eastAsia="x-none"/>
        </w:rPr>
      </w:pPr>
      <w:r w:rsidRPr="005E2831">
        <w:rPr>
          <w:rFonts w:ascii="Times New Roman" w:eastAsia="Times New Roman" w:hAnsi="Times New Roman" w:cs="Times New Roman"/>
          <w:bCs/>
          <w:sz w:val="24"/>
          <w:szCs w:val="24"/>
          <w:lang w:val="x-none" w:eastAsia="x-none"/>
        </w:rPr>
        <w:t xml:space="preserve">W 15 stanowiskach pomiarowych pobrane osady ocenione zostały jako niezanieczyszczone (Level 1) tj. w przypadku wszystkich oznaczanych wskaźników spełnione były kryteria graniczne określone dla I poziomu. </w:t>
      </w:r>
    </w:p>
    <w:p w14:paraId="664FE671" w14:textId="06D47864" w:rsidR="007C18D1" w:rsidRPr="005E2831" w:rsidRDefault="007C18D1" w:rsidP="004E37F6">
      <w:pPr>
        <w:jc w:val="both"/>
        <w:rPr>
          <w:rFonts w:ascii="Times New Roman" w:eastAsia="Times New Roman" w:hAnsi="Times New Roman" w:cs="Times New Roman"/>
          <w:bCs/>
          <w:sz w:val="24"/>
          <w:szCs w:val="24"/>
          <w:lang w:val="x-none" w:eastAsia="x-none"/>
        </w:rPr>
      </w:pPr>
      <w:r w:rsidRPr="005E2831">
        <w:rPr>
          <w:rFonts w:ascii="Times New Roman" w:eastAsia="Times New Roman" w:hAnsi="Times New Roman" w:cs="Times New Roman"/>
          <w:bCs/>
          <w:sz w:val="24"/>
          <w:szCs w:val="24"/>
          <w:lang w:val="x-none" w:eastAsia="x-none"/>
        </w:rPr>
        <w:t xml:space="preserve">Pozostałe 177 próbek osadów dennych pobranych z jezior oceniono jako zanieczyszczone </w:t>
      </w:r>
      <w:r w:rsidR="004E37F6">
        <w:rPr>
          <w:rFonts w:ascii="Times New Roman" w:eastAsia="Times New Roman" w:hAnsi="Times New Roman" w:cs="Times New Roman"/>
          <w:bCs/>
          <w:sz w:val="24"/>
          <w:szCs w:val="24"/>
          <w:lang w:val="x-none" w:eastAsia="x-none"/>
        </w:rPr>
        <w:br/>
      </w:r>
      <w:r w:rsidRPr="005E2831">
        <w:rPr>
          <w:rFonts w:ascii="Times New Roman" w:eastAsia="Times New Roman" w:hAnsi="Times New Roman" w:cs="Times New Roman"/>
          <w:bCs/>
          <w:sz w:val="24"/>
          <w:szCs w:val="24"/>
          <w:lang w:val="x-none" w:eastAsia="x-none"/>
        </w:rPr>
        <w:t>z uwagi na zawartość metali i / lub trwałych związków organicznych (TZO), w tym: 47 próbki oceniono jako zanieczyszczone w małym stopniu, 37 próbek oceniono jako zanieczyszczone w</w:t>
      </w:r>
      <w:r>
        <w:rPr>
          <w:rFonts w:ascii="Times New Roman" w:eastAsia="Times New Roman" w:hAnsi="Times New Roman" w:cs="Times New Roman"/>
          <w:bCs/>
          <w:sz w:val="24"/>
          <w:szCs w:val="24"/>
          <w:lang w:eastAsia="x-none"/>
        </w:rPr>
        <w:t> </w:t>
      </w:r>
      <w:r w:rsidRPr="005E2831">
        <w:rPr>
          <w:rFonts w:ascii="Times New Roman" w:eastAsia="Times New Roman" w:hAnsi="Times New Roman" w:cs="Times New Roman"/>
          <w:bCs/>
          <w:sz w:val="24"/>
          <w:szCs w:val="24"/>
          <w:lang w:val="x-none" w:eastAsia="x-none"/>
        </w:rPr>
        <w:t>średnim stopniu oraz 93 próbki oceniono jako silnie zanieczyszczone.</w:t>
      </w:r>
    </w:p>
    <w:p w14:paraId="22485DB6" w14:textId="77777777" w:rsidR="007C18D1" w:rsidRPr="005E2831" w:rsidRDefault="007C18D1" w:rsidP="004E37F6">
      <w:pPr>
        <w:jc w:val="both"/>
        <w:rPr>
          <w:rFonts w:ascii="Times New Roman" w:eastAsia="Times New Roman" w:hAnsi="Times New Roman" w:cs="Times New Roman"/>
          <w:b/>
          <w:bCs/>
          <w:sz w:val="24"/>
          <w:szCs w:val="24"/>
          <w:lang w:val="x-none" w:eastAsia="x-none"/>
        </w:rPr>
      </w:pPr>
      <w:r w:rsidRPr="005E2831">
        <w:rPr>
          <w:rFonts w:ascii="Times New Roman" w:eastAsia="Times New Roman" w:hAnsi="Times New Roman" w:cs="Times New Roman"/>
          <w:b/>
          <w:bCs/>
          <w:sz w:val="24"/>
          <w:szCs w:val="24"/>
          <w:lang w:val="x-none" w:eastAsia="x-none"/>
        </w:rPr>
        <w:t>Podsumowanie</w:t>
      </w:r>
    </w:p>
    <w:p w14:paraId="4D3FCEBB" w14:textId="201B4A34" w:rsidR="007C18D1" w:rsidRPr="005E2831" w:rsidRDefault="007C18D1" w:rsidP="004E37F6">
      <w:pPr>
        <w:jc w:val="both"/>
        <w:rPr>
          <w:rFonts w:ascii="Times New Roman" w:eastAsia="Times New Roman" w:hAnsi="Times New Roman" w:cs="Times New Roman"/>
          <w:bCs/>
          <w:sz w:val="24"/>
          <w:szCs w:val="24"/>
          <w:lang w:val="x-none" w:eastAsia="x-none"/>
        </w:rPr>
      </w:pPr>
      <w:r w:rsidRPr="005E2831">
        <w:rPr>
          <w:rFonts w:ascii="Times New Roman" w:eastAsia="Times New Roman" w:hAnsi="Times New Roman" w:cs="Times New Roman"/>
          <w:bCs/>
          <w:sz w:val="24"/>
          <w:szCs w:val="24"/>
          <w:lang w:val="x-none" w:eastAsia="x-none"/>
        </w:rPr>
        <w:t xml:space="preserve">Badania osadów dennych w roku 2022 wykazały zróżnicowanie w ocenie jakości osadów </w:t>
      </w:r>
      <w:r w:rsidR="004E37F6">
        <w:rPr>
          <w:rFonts w:ascii="Times New Roman" w:eastAsia="Times New Roman" w:hAnsi="Times New Roman" w:cs="Times New Roman"/>
          <w:bCs/>
          <w:sz w:val="24"/>
          <w:szCs w:val="24"/>
          <w:lang w:val="x-none" w:eastAsia="x-none"/>
        </w:rPr>
        <w:br/>
      </w:r>
      <w:r w:rsidRPr="005E2831">
        <w:rPr>
          <w:rFonts w:ascii="Times New Roman" w:eastAsia="Times New Roman" w:hAnsi="Times New Roman" w:cs="Times New Roman"/>
          <w:bCs/>
          <w:sz w:val="24"/>
          <w:szCs w:val="24"/>
          <w:lang w:val="x-none" w:eastAsia="x-none"/>
        </w:rPr>
        <w:t>w odniesieniu do poszczególnych dorzeczy, zarówno w ciekach</w:t>
      </w:r>
      <w:r>
        <w:rPr>
          <w:rFonts w:ascii="Times New Roman" w:eastAsia="Times New Roman" w:hAnsi="Times New Roman" w:cs="Times New Roman"/>
          <w:bCs/>
          <w:sz w:val="24"/>
          <w:szCs w:val="24"/>
          <w:lang w:eastAsia="x-none"/>
        </w:rPr>
        <w:t>,</w:t>
      </w:r>
      <w:r w:rsidRPr="005E2831">
        <w:rPr>
          <w:rFonts w:ascii="Times New Roman" w:eastAsia="Times New Roman" w:hAnsi="Times New Roman" w:cs="Times New Roman"/>
          <w:bCs/>
          <w:sz w:val="24"/>
          <w:szCs w:val="24"/>
          <w:lang w:val="x-none" w:eastAsia="x-none"/>
        </w:rPr>
        <w:t xml:space="preserve"> jak i w jeziorach. </w:t>
      </w:r>
    </w:p>
    <w:p w14:paraId="23EABDF1" w14:textId="77777777" w:rsidR="007C18D1" w:rsidRPr="005E2831" w:rsidRDefault="007C18D1" w:rsidP="004E37F6">
      <w:pPr>
        <w:jc w:val="both"/>
        <w:rPr>
          <w:rFonts w:ascii="Times New Roman" w:eastAsia="Times New Roman" w:hAnsi="Times New Roman" w:cs="Times New Roman"/>
          <w:b/>
          <w:bCs/>
          <w:sz w:val="24"/>
          <w:szCs w:val="24"/>
          <w:lang w:val="x-none" w:eastAsia="x-none"/>
        </w:rPr>
      </w:pPr>
      <w:r w:rsidRPr="005E2831">
        <w:rPr>
          <w:rFonts w:ascii="Times New Roman" w:eastAsia="Times New Roman" w:hAnsi="Times New Roman" w:cs="Times New Roman"/>
          <w:b/>
          <w:bCs/>
          <w:sz w:val="24"/>
          <w:szCs w:val="24"/>
          <w:lang w:val="x-none" w:eastAsia="x-none"/>
        </w:rPr>
        <w:t>Cieki</w:t>
      </w:r>
    </w:p>
    <w:p w14:paraId="7F859080" w14:textId="77777777" w:rsidR="007C18D1" w:rsidRPr="005E2831" w:rsidRDefault="007C18D1" w:rsidP="004E37F6">
      <w:pPr>
        <w:jc w:val="both"/>
        <w:rPr>
          <w:rFonts w:ascii="Times New Roman" w:eastAsia="Times New Roman" w:hAnsi="Times New Roman" w:cs="Times New Roman"/>
          <w:bCs/>
          <w:sz w:val="24"/>
          <w:szCs w:val="24"/>
          <w:lang w:val="x-none" w:eastAsia="x-none"/>
        </w:rPr>
      </w:pPr>
      <w:r w:rsidRPr="005E2831">
        <w:rPr>
          <w:rFonts w:ascii="Times New Roman" w:eastAsia="Times New Roman" w:hAnsi="Times New Roman" w:cs="Times New Roman"/>
          <w:bCs/>
          <w:sz w:val="24"/>
          <w:szCs w:val="24"/>
          <w:lang w:val="x-none" w:eastAsia="x-none"/>
        </w:rPr>
        <w:t>W 88 spośród 244 badanych próbek, ocena osadów dennych w ciekach wykazała osady zanieczyszczone. Najbardziej zanieczyszczonymi punktami pomiarowo–kontrolnymi były Kłodnica Gliwice na wysokości Mariny, Kanał Gliwicki, Gliwice Marina (dorzecze Odry) oraz Przemsza - wodowskaz "Jeleń" (dorzecze Wisły), w których wartości graniczne zostały przekroczone w przypadku 10 badanych wskaźników.</w:t>
      </w:r>
    </w:p>
    <w:p w14:paraId="4205896B" w14:textId="77777777" w:rsidR="007C18D1" w:rsidRPr="005E2831" w:rsidRDefault="007C18D1" w:rsidP="005D7F5E">
      <w:pPr>
        <w:spacing w:line="300" w:lineRule="atLeast"/>
        <w:jc w:val="both"/>
        <w:rPr>
          <w:rFonts w:ascii="Times New Roman" w:eastAsia="Times New Roman" w:hAnsi="Times New Roman" w:cs="Times New Roman"/>
          <w:bCs/>
          <w:sz w:val="24"/>
          <w:szCs w:val="24"/>
          <w:lang w:val="x-none" w:eastAsia="x-none"/>
        </w:rPr>
      </w:pPr>
      <w:r w:rsidRPr="005E2831">
        <w:rPr>
          <w:rFonts w:ascii="Times New Roman" w:eastAsia="Times New Roman" w:hAnsi="Times New Roman" w:cs="Times New Roman"/>
          <w:bCs/>
          <w:sz w:val="24"/>
          <w:szCs w:val="24"/>
          <w:lang w:val="x-none" w:eastAsia="x-none"/>
        </w:rPr>
        <w:t>W dorzeczu Odry stwierdzono najwyższy odsetek osadów zanieczyszczonych, tj. 59%, w</w:t>
      </w:r>
      <w:r>
        <w:rPr>
          <w:rFonts w:ascii="Times New Roman" w:eastAsia="Times New Roman" w:hAnsi="Times New Roman" w:cs="Times New Roman"/>
          <w:bCs/>
          <w:sz w:val="24"/>
          <w:szCs w:val="24"/>
          <w:lang w:eastAsia="x-none"/>
        </w:rPr>
        <w:t> </w:t>
      </w:r>
      <w:r w:rsidRPr="005E2831">
        <w:rPr>
          <w:rFonts w:ascii="Times New Roman" w:eastAsia="Times New Roman" w:hAnsi="Times New Roman" w:cs="Times New Roman"/>
          <w:bCs/>
          <w:sz w:val="24"/>
          <w:szCs w:val="24"/>
          <w:lang w:val="x-none" w:eastAsia="x-none"/>
        </w:rPr>
        <w:t xml:space="preserve">dorzeczu Wisły 34%, w dorzeczach Łaby i Niemna po 2% oraz w dorzeczach </w:t>
      </w:r>
      <w:proofErr w:type="spellStart"/>
      <w:r w:rsidRPr="005E2831">
        <w:rPr>
          <w:rFonts w:ascii="Times New Roman" w:eastAsia="Times New Roman" w:hAnsi="Times New Roman" w:cs="Times New Roman"/>
          <w:bCs/>
          <w:sz w:val="24"/>
          <w:szCs w:val="24"/>
          <w:lang w:val="x-none" w:eastAsia="x-none"/>
        </w:rPr>
        <w:t>Jarftu</w:t>
      </w:r>
      <w:proofErr w:type="spellEnd"/>
      <w:r w:rsidRPr="005E2831">
        <w:rPr>
          <w:rFonts w:ascii="Times New Roman" w:eastAsia="Times New Roman" w:hAnsi="Times New Roman" w:cs="Times New Roman"/>
          <w:bCs/>
          <w:sz w:val="24"/>
          <w:szCs w:val="24"/>
          <w:lang w:val="x-none" w:eastAsia="x-none"/>
        </w:rPr>
        <w:t xml:space="preserve"> i Dunaju po 1,5%.</w:t>
      </w:r>
    </w:p>
    <w:p w14:paraId="69759EB7" w14:textId="77777777" w:rsidR="007C18D1" w:rsidRPr="005E2831" w:rsidRDefault="007C18D1" w:rsidP="005D7F5E">
      <w:pPr>
        <w:spacing w:line="300" w:lineRule="atLeast"/>
        <w:jc w:val="both"/>
        <w:rPr>
          <w:rFonts w:ascii="Times New Roman" w:eastAsia="Times New Roman" w:hAnsi="Times New Roman" w:cs="Times New Roman"/>
          <w:b/>
          <w:bCs/>
          <w:sz w:val="24"/>
          <w:szCs w:val="24"/>
          <w:lang w:val="x-none" w:eastAsia="x-none"/>
        </w:rPr>
      </w:pPr>
      <w:r w:rsidRPr="005E2831">
        <w:rPr>
          <w:rFonts w:ascii="Times New Roman" w:eastAsia="Times New Roman" w:hAnsi="Times New Roman" w:cs="Times New Roman"/>
          <w:b/>
          <w:bCs/>
          <w:sz w:val="24"/>
          <w:szCs w:val="24"/>
          <w:lang w:val="x-none" w:eastAsia="x-none"/>
        </w:rPr>
        <w:t>Jeziora</w:t>
      </w:r>
    </w:p>
    <w:p w14:paraId="6056D24E" w14:textId="77777777" w:rsidR="007C18D1" w:rsidRPr="005E2831" w:rsidRDefault="007C18D1" w:rsidP="005D7F5E">
      <w:pPr>
        <w:spacing w:line="300" w:lineRule="atLeast"/>
        <w:jc w:val="both"/>
        <w:rPr>
          <w:rFonts w:ascii="Times New Roman" w:eastAsia="Times New Roman" w:hAnsi="Times New Roman" w:cs="Times New Roman"/>
          <w:bCs/>
          <w:sz w:val="24"/>
          <w:szCs w:val="24"/>
          <w:lang w:val="x-none" w:eastAsia="x-none"/>
        </w:rPr>
      </w:pPr>
      <w:r w:rsidRPr="005E2831">
        <w:rPr>
          <w:rFonts w:ascii="Times New Roman" w:eastAsia="Times New Roman" w:hAnsi="Times New Roman" w:cs="Times New Roman"/>
          <w:bCs/>
          <w:sz w:val="24"/>
          <w:szCs w:val="24"/>
          <w:lang w:val="x-none" w:eastAsia="x-none"/>
        </w:rPr>
        <w:t xml:space="preserve">W badanych jeziorach, w 141 spośród 192 badanych próbek ocena osadów dennych wykazała osady zanieczyszczone. Najbardziej zanieczyszczonym </w:t>
      </w:r>
      <w:proofErr w:type="spellStart"/>
      <w:r w:rsidRPr="005E2831">
        <w:rPr>
          <w:rFonts w:ascii="Times New Roman" w:eastAsia="Times New Roman" w:hAnsi="Times New Roman" w:cs="Times New Roman"/>
          <w:bCs/>
          <w:sz w:val="24"/>
          <w:szCs w:val="24"/>
          <w:lang w:val="x-none" w:eastAsia="x-none"/>
        </w:rPr>
        <w:t>ppk</w:t>
      </w:r>
      <w:proofErr w:type="spellEnd"/>
      <w:r w:rsidRPr="005E2831">
        <w:rPr>
          <w:rFonts w:ascii="Times New Roman" w:eastAsia="Times New Roman" w:hAnsi="Times New Roman" w:cs="Times New Roman"/>
          <w:bCs/>
          <w:sz w:val="24"/>
          <w:szCs w:val="24"/>
          <w:lang w:val="x-none" w:eastAsia="x-none"/>
        </w:rPr>
        <w:t xml:space="preserve"> wśród osadów był </w:t>
      </w:r>
      <w:proofErr w:type="spellStart"/>
      <w:r w:rsidRPr="005E2831">
        <w:rPr>
          <w:rFonts w:ascii="Times New Roman" w:eastAsia="Times New Roman" w:hAnsi="Times New Roman" w:cs="Times New Roman"/>
          <w:bCs/>
          <w:sz w:val="24"/>
          <w:szCs w:val="24"/>
          <w:lang w:val="x-none" w:eastAsia="x-none"/>
        </w:rPr>
        <w:t>ppk</w:t>
      </w:r>
      <w:proofErr w:type="spellEnd"/>
      <w:r w:rsidRPr="005E2831">
        <w:rPr>
          <w:rFonts w:ascii="Times New Roman" w:eastAsia="Times New Roman" w:hAnsi="Times New Roman" w:cs="Times New Roman"/>
          <w:bCs/>
          <w:sz w:val="24"/>
          <w:szCs w:val="24"/>
          <w:lang w:val="x-none" w:eastAsia="x-none"/>
        </w:rPr>
        <w:t xml:space="preserve"> jez. Dłusko - </w:t>
      </w:r>
      <w:proofErr w:type="spellStart"/>
      <w:r w:rsidRPr="005E2831">
        <w:rPr>
          <w:rFonts w:ascii="Times New Roman" w:eastAsia="Times New Roman" w:hAnsi="Times New Roman" w:cs="Times New Roman"/>
          <w:bCs/>
          <w:sz w:val="24"/>
          <w:szCs w:val="24"/>
          <w:lang w:val="x-none" w:eastAsia="x-none"/>
        </w:rPr>
        <w:t>głęboczek</w:t>
      </w:r>
      <w:proofErr w:type="spellEnd"/>
      <w:r w:rsidRPr="005E2831">
        <w:rPr>
          <w:rFonts w:ascii="Times New Roman" w:eastAsia="Times New Roman" w:hAnsi="Times New Roman" w:cs="Times New Roman"/>
          <w:bCs/>
          <w:sz w:val="24"/>
          <w:szCs w:val="24"/>
          <w:lang w:val="x-none" w:eastAsia="x-none"/>
        </w:rPr>
        <w:t xml:space="preserve"> – 12,3 m (dorzecze Odry), w którym 11 wskaźników przekroczyło wartości graniczne.</w:t>
      </w:r>
    </w:p>
    <w:p w14:paraId="09F631A8" w14:textId="7DCEF5E4" w:rsidR="00895F16" w:rsidRPr="007F400A" w:rsidRDefault="007C18D1" w:rsidP="005D7F5E">
      <w:pPr>
        <w:spacing w:after="0" w:line="300" w:lineRule="atLeast"/>
        <w:jc w:val="both"/>
        <w:rPr>
          <w:rFonts w:ascii="Times New Roman" w:hAnsi="Times New Roman" w:cs="Times New Roman"/>
          <w:sz w:val="24"/>
          <w:szCs w:val="24"/>
        </w:rPr>
      </w:pPr>
      <w:r w:rsidRPr="005E2831">
        <w:rPr>
          <w:rFonts w:ascii="Times New Roman" w:eastAsia="Times New Roman" w:hAnsi="Times New Roman" w:cs="Times New Roman"/>
          <w:bCs/>
          <w:sz w:val="24"/>
          <w:szCs w:val="24"/>
          <w:lang w:val="x-none" w:eastAsia="x-none"/>
        </w:rPr>
        <w:t>W przypadku jezior najwyższy odsetek osadów zanieczyszczonych stwierdzono w dorzeczu Wisły – 51%. W dorzeczu Odry stwierdzono odsetek osadów zanieczyszczonych, na poziomie 38%, w dorzeczu Pregoły 6%, w dorzeczu Niemna 4% oraz w dorzeczu Świeżej 1%</w:t>
      </w:r>
      <w:r w:rsidR="00895F16" w:rsidRPr="007F400A">
        <w:rPr>
          <w:rFonts w:ascii="Times New Roman" w:hAnsi="Times New Roman"/>
          <w:sz w:val="24"/>
          <w:szCs w:val="24"/>
        </w:rPr>
        <w:t>.</w:t>
      </w:r>
    </w:p>
    <w:p w14:paraId="2F8F6FD0" w14:textId="77777777" w:rsidR="00895F16" w:rsidRPr="007F400A" w:rsidRDefault="00895F16" w:rsidP="005D7F5E">
      <w:pPr>
        <w:spacing w:after="0" w:line="300" w:lineRule="atLeast"/>
        <w:ind w:firstLine="567"/>
        <w:jc w:val="both"/>
        <w:rPr>
          <w:rFonts w:ascii="Times New Roman" w:hAnsi="Times New Roman" w:cs="Times New Roman"/>
          <w:sz w:val="24"/>
          <w:szCs w:val="24"/>
        </w:rPr>
      </w:pPr>
    </w:p>
    <w:p w14:paraId="2CC15721" w14:textId="7CB6D099" w:rsidR="00895F16" w:rsidRPr="007F400A" w:rsidRDefault="00895F16" w:rsidP="005D7F5E">
      <w:pPr>
        <w:keepNext/>
        <w:spacing w:after="120" w:line="300" w:lineRule="atLeast"/>
        <w:jc w:val="both"/>
        <w:outlineLvl w:val="0"/>
        <w:rPr>
          <w:rFonts w:ascii="Times New Roman" w:eastAsia="Times New Roman" w:hAnsi="Times New Roman" w:cs="Times New Roman"/>
          <w:b/>
          <w:bCs/>
          <w:sz w:val="24"/>
          <w:szCs w:val="24"/>
          <w:lang w:val="x-none" w:eastAsia="x-none"/>
        </w:rPr>
      </w:pPr>
      <w:bookmarkStart w:id="404" w:name="_Toc36732637"/>
      <w:bookmarkStart w:id="405" w:name="_Toc135935709"/>
      <w:r w:rsidRPr="007F400A">
        <w:rPr>
          <w:rFonts w:ascii="Times New Roman" w:eastAsia="Times New Roman" w:hAnsi="Times New Roman" w:cs="Times New Roman"/>
          <w:b/>
          <w:bCs/>
          <w:sz w:val="24"/>
          <w:szCs w:val="24"/>
          <w:lang w:val="x-none" w:eastAsia="x-none"/>
        </w:rPr>
        <w:t>3.</w:t>
      </w:r>
      <w:r w:rsidR="00D0218B">
        <w:rPr>
          <w:rFonts w:ascii="Times New Roman" w:eastAsia="Times New Roman" w:hAnsi="Times New Roman" w:cs="Times New Roman"/>
          <w:b/>
          <w:bCs/>
          <w:sz w:val="24"/>
          <w:szCs w:val="24"/>
          <w:lang w:eastAsia="x-none"/>
        </w:rPr>
        <w:t>4</w:t>
      </w:r>
      <w:r w:rsidRPr="007F400A">
        <w:rPr>
          <w:rFonts w:ascii="Times New Roman" w:eastAsia="Times New Roman" w:hAnsi="Times New Roman" w:cs="Times New Roman"/>
          <w:b/>
          <w:bCs/>
          <w:sz w:val="24"/>
          <w:szCs w:val="24"/>
          <w:lang w:val="x-none" w:eastAsia="x-none"/>
        </w:rPr>
        <w:t xml:space="preserve"> Badania i ocena jakości wód przejściowych i przybrzeżnych oraz Morza Bałtyckiego</w:t>
      </w:r>
      <w:bookmarkEnd w:id="404"/>
      <w:bookmarkEnd w:id="405"/>
    </w:p>
    <w:p w14:paraId="3B3C4CD3" w14:textId="77777777" w:rsidR="007C18D1" w:rsidRPr="005E2831" w:rsidRDefault="007C18D1" w:rsidP="005D7F5E">
      <w:pPr>
        <w:autoSpaceDE w:val="0"/>
        <w:autoSpaceDN w:val="0"/>
        <w:adjustRightInd w:val="0"/>
        <w:spacing w:after="60" w:line="300" w:lineRule="atLeast"/>
        <w:ind w:firstLine="567"/>
        <w:jc w:val="both"/>
        <w:rPr>
          <w:rFonts w:ascii="Times New Roman" w:eastAsia="Calibri" w:hAnsi="Times New Roman" w:cs="Times New Roman"/>
          <w:sz w:val="24"/>
          <w:szCs w:val="24"/>
          <w:lang w:eastAsia="pl-PL"/>
        </w:rPr>
      </w:pPr>
      <w:r w:rsidRPr="005E2831">
        <w:rPr>
          <w:rFonts w:ascii="Times New Roman" w:eastAsia="Calibri" w:hAnsi="Times New Roman" w:cs="Times New Roman"/>
          <w:sz w:val="24"/>
          <w:szCs w:val="24"/>
          <w:lang w:eastAsia="pl-PL"/>
        </w:rPr>
        <w:t>W 2022 r. Inspekcja Ochrony Środowiska realizowała równolegle dwa programy monitoringu:</w:t>
      </w:r>
    </w:p>
    <w:p w14:paraId="135C0522" w14:textId="77777777" w:rsidR="007C18D1" w:rsidRPr="005E2831" w:rsidRDefault="007C18D1" w:rsidP="005D7F5E">
      <w:pPr>
        <w:numPr>
          <w:ilvl w:val="0"/>
          <w:numId w:val="30"/>
        </w:numPr>
        <w:autoSpaceDE w:val="0"/>
        <w:autoSpaceDN w:val="0"/>
        <w:adjustRightInd w:val="0"/>
        <w:spacing w:after="60" w:line="300" w:lineRule="atLeast"/>
        <w:jc w:val="both"/>
        <w:rPr>
          <w:rFonts w:ascii="Times New Roman" w:eastAsia="Calibri" w:hAnsi="Times New Roman" w:cs="Times New Roman"/>
          <w:sz w:val="24"/>
          <w:szCs w:val="24"/>
          <w:lang w:val="x-none" w:eastAsia="pl-PL"/>
        </w:rPr>
      </w:pPr>
      <w:r w:rsidRPr="005E2831">
        <w:rPr>
          <w:rFonts w:ascii="Times New Roman" w:eastAsia="Calibri" w:hAnsi="Times New Roman" w:cs="Times New Roman"/>
          <w:sz w:val="24"/>
          <w:szCs w:val="24"/>
          <w:lang w:val="x-none" w:eastAsia="pl-PL"/>
        </w:rPr>
        <w:t>monitoring strefy płytkowodnej Bałtyku w obrębie wód przejściowych i przybrzeżnych</w:t>
      </w:r>
      <w:r w:rsidRPr="005E2831">
        <w:rPr>
          <w:rFonts w:ascii="Times New Roman" w:eastAsia="Calibri" w:hAnsi="Times New Roman" w:cs="Times New Roman"/>
          <w:sz w:val="20"/>
          <w:szCs w:val="24"/>
          <w:vertAlign w:val="superscript"/>
          <w:lang w:val="x-none" w:eastAsia="pl-PL"/>
        </w:rPr>
        <w:footnoteReference w:id="92"/>
      </w:r>
      <w:r w:rsidRPr="005E2831">
        <w:rPr>
          <w:rFonts w:ascii="Times New Roman" w:eastAsia="Calibri" w:hAnsi="Times New Roman" w:cs="Times New Roman"/>
          <w:sz w:val="24"/>
          <w:szCs w:val="24"/>
          <w:lang w:val="x-none" w:eastAsia="pl-PL"/>
        </w:rPr>
        <w:t xml:space="preserve"> wykonywany przez</w:t>
      </w:r>
      <w:r w:rsidRPr="005E2831">
        <w:rPr>
          <w:rFonts w:ascii="Times New Roman" w:eastAsia="Calibri" w:hAnsi="Times New Roman" w:cs="Times New Roman"/>
          <w:sz w:val="24"/>
          <w:szCs w:val="24"/>
          <w:lang w:eastAsia="pl-PL"/>
        </w:rPr>
        <w:t xml:space="preserve"> Główny Inspektorat Ochrony Środowiska </w:t>
      </w:r>
      <w:r w:rsidRPr="005E2831">
        <w:rPr>
          <w:rFonts w:ascii="Times New Roman" w:eastAsia="Calibri" w:hAnsi="Times New Roman" w:cs="Times New Roman"/>
          <w:sz w:val="24"/>
          <w:szCs w:val="24"/>
          <w:lang w:eastAsia="pl-PL"/>
        </w:rPr>
        <w:lastRenderedPageBreak/>
        <w:t>Centralne Laboratorium Badawcze oddziały</w:t>
      </w:r>
      <w:r w:rsidRPr="005E2831">
        <w:rPr>
          <w:rFonts w:ascii="Times New Roman" w:eastAsia="Calibri" w:hAnsi="Times New Roman" w:cs="Times New Roman"/>
          <w:sz w:val="24"/>
          <w:szCs w:val="24"/>
          <w:lang w:val="x-none" w:eastAsia="pl-PL"/>
        </w:rPr>
        <w:t xml:space="preserve"> w Szczecinie, Gdańsku i Olsztynie</w:t>
      </w:r>
      <w:r w:rsidRPr="005E2831">
        <w:rPr>
          <w:rFonts w:ascii="Times New Roman" w:eastAsia="Calibri" w:hAnsi="Times New Roman" w:cs="Times New Roman"/>
          <w:sz w:val="24"/>
          <w:szCs w:val="24"/>
          <w:lang w:eastAsia="pl-PL"/>
        </w:rPr>
        <w:t xml:space="preserve"> oraz odpowiadające im Regionalne Wydziały Monitoringu Środowiska</w:t>
      </w:r>
      <w:r w:rsidRPr="005E2831">
        <w:rPr>
          <w:rFonts w:ascii="Times New Roman" w:eastAsia="Calibri" w:hAnsi="Times New Roman" w:cs="Times New Roman"/>
          <w:sz w:val="24"/>
          <w:szCs w:val="24"/>
          <w:lang w:val="x-none" w:eastAsia="pl-PL"/>
        </w:rPr>
        <w:t>:</w:t>
      </w:r>
    </w:p>
    <w:p w14:paraId="4C3DB1F5" w14:textId="77777777" w:rsidR="007C18D1" w:rsidRPr="005E2831" w:rsidRDefault="007C18D1" w:rsidP="005D7F5E">
      <w:pPr>
        <w:numPr>
          <w:ilvl w:val="1"/>
          <w:numId w:val="31"/>
        </w:numPr>
        <w:autoSpaceDE w:val="0"/>
        <w:autoSpaceDN w:val="0"/>
        <w:adjustRightInd w:val="0"/>
        <w:spacing w:after="60" w:line="300" w:lineRule="atLeast"/>
        <w:ind w:left="709" w:firstLine="371"/>
        <w:jc w:val="both"/>
        <w:rPr>
          <w:rFonts w:ascii="Times New Roman" w:eastAsia="Calibri" w:hAnsi="Times New Roman" w:cs="Times New Roman"/>
          <w:sz w:val="24"/>
          <w:szCs w:val="24"/>
          <w:lang w:val="x-none" w:eastAsia="pl-PL"/>
        </w:rPr>
      </w:pPr>
      <w:r w:rsidRPr="005E2831">
        <w:rPr>
          <w:rFonts w:ascii="Times New Roman" w:eastAsia="Calibri" w:hAnsi="Times New Roman" w:cs="Times New Roman"/>
          <w:sz w:val="24"/>
          <w:szCs w:val="24"/>
          <w:lang w:val="x-none" w:eastAsia="pl-PL"/>
        </w:rPr>
        <w:t>monitoring wód przejściowych,</w:t>
      </w:r>
    </w:p>
    <w:p w14:paraId="75E0DE37" w14:textId="77777777" w:rsidR="007C18D1" w:rsidRPr="005E2831" w:rsidRDefault="007C18D1" w:rsidP="005D7F5E">
      <w:pPr>
        <w:numPr>
          <w:ilvl w:val="1"/>
          <w:numId w:val="31"/>
        </w:numPr>
        <w:autoSpaceDE w:val="0"/>
        <w:autoSpaceDN w:val="0"/>
        <w:adjustRightInd w:val="0"/>
        <w:spacing w:after="60" w:line="300" w:lineRule="atLeast"/>
        <w:ind w:left="709" w:firstLine="371"/>
        <w:jc w:val="both"/>
        <w:rPr>
          <w:rFonts w:ascii="Times New Roman" w:eastAsia="Calibri" w:hAnsi="Times New Roman" w:cs="Times New Roman"/>
          <w:sz w:val="24"/>
          <w:szCs w:val="24"/>
          <w:lang w:val="x-none" w:eastAsia="pl-PL"/>
        </w:rPr>
      </w:pPr>
      <w:r w:rsidRPr="005E2831">
        <w:rPr>
          <w:rFonts w:ascii="Times New Roman" w:eastAsia="Calibri" w:hAnsi="Times New Roman" w:cs="Times New Roman"/>
          <w:sz w:val="24"/>
          <w:szCs w:val="24"/>
          <w:lang w:val="x-none" w:eastAsia="pl-PL"/>
        </w:rPr>
        <w:t>monitoring wód przybrzeżnych w strefie do jednej mili morskiej,</w:t>
      </w:r>
    </w:p>
    <w:p w14:paraId="4EB9D87E" w14:textId="77777777" w:rsidR="007C18D1" w:rsidRPr="005E2831" w:rsidRDefault="007C18D1" w:rsidP="005D7F5E">
      <w:pPr>
        <w:numPr>
          <w:ilvl w:val="0"/>
          <w:numId w:val="32"/>
        </w:numPr>
        <w:autoSpaceDE w:val="0"/>
        <w:autoSpaceDN w:val="0"/>
        <w:adjustRightInd w:val="0"/>
        <w:spacing w:after="60" w:line="300" w:lineRule="atLeast"/>
        <w:jc w:val="both"/>
        <w:rPr>
          <w:rFonts w:ascii="Times New Roman" w:eastAsia="Calibri" w:hAnsi="Times New Roman" w:cs="Times New Roman"/>
          <w:sz w:val="24"/>
          <w:szCs w:val="24"/>
          <w:lang w:val="x-none" w:eastAsia="pl-PL"/>
        </w:rPr>
      </w:pPr>
      <w:r w:rsidRPr="005E2831">
        <w:rPr>
          <w:rFonts w:ascii="Times New Roman" w:eastAsia="Calibri" w:hAnsi="Times New Roman" w:cs="Times New Roman"/>
          <w:sz w:val="24"/>
          <w:szCs w:val="24"/>
          <w:lang w:val="x-none" w:eastAsia="pl-PL"/>
        </w:rPr>
        <w:t>monitoring strefy głębokomorskiej Bałtyku</w:t>
      </w:r>
      <w:r w:rsidRPr="005E2831">
        <w:rPr>
          <w:rFonts w:ascii="Times New Roman" w:eastAsia="Calibri" w:hAnsi="Times New Roman" w:cs="Times New Roman"/>
          <w:sz w:val="20"/>
          <w:szCs w:val="24"/>
          <w:vertAlign w:val="superscript"/>
          <w:lang w:val="x-none" w:eastAsia="pl-PL"/>
        </w:rPr>
        <w:footnoteReference w:id="93"/>
      </w:r>
      <w:r w:rsidRPr="005E2831">
        <w:rPr>
          <w:rFonts w:ascii="Times New Roman" w:eastAsia="Calibri" w:hAnsi="Times New Roman" w:cs="Times New Roman"/>
          <w:sz w:val="24"/>
          <w:szCs w:val="24"/>
          <w:lang w:val="x-none" w:eastAsia="pl-PL"/>
        </w:rPr>
        <w:t xml:space="preserve"> uwzględniający wytyczne HELCOM COMBINE </w:t>
      </w:r>
      <w:r w:rsidRPr="005E2831">
        <w:rPr>
          <w:rFonts w:ascii="Times New Roman" w:eastAsia="Calibri" w:hAnsi="Times New Roman" w:cs="Times New Roman"/>
          <w:sz w:val="24"/>
          <w:szCs w:val="24"/>
          <w:lang w:eastAsia="pl-PL"/>
        </w:rPr>
        <w:t>wykonywany przez instytuty naukowo-badawcze na zlecenie Głównego Inspektora Ochrony Środowiska</w:t>
      </w:r>
      <w:r w:rsidRPr="005E2831">
        <w:rPr>
          <w:rFonts w:ascii="Times New Roman" w:eastAsia="Calibri" w:hAnsi="Times New Roman" w:cs="Times New Roman"/>
          <w:sz w:val="24"/>
          <w:szCs w:val="24"/>
          <w:lang w:val="x-none" w:eastAsia="pl-PL"/>
        </w:rPr>
        <w:t>:</w:t>
      </w:r>
    </w:p>
    <w:p w14:paraId="4AB344FF" w14:textId="77777777" w:rsidR="007C18D1" w:rsidRPr="005E2831" w:rsidRDefault="007C18D1" w:rsidP="005D7F5E">
      <w:pPr>
        <w:numPr>
          <w:ilvl w:val="1"/>
          <w:numId w:val="33"/>
        </w:numPr>
        <w:autoSpaceDE w:val="0"/>
        <w:autoSpaceDN w:val="0"/>
        <w:adjustRightInd w:val="0"/>
        <w:spacing w:after="60" w:line="300" w:lineRule="atLeast"/>
        <w:jc w:val="both"/>
        <w:rPr>
          <w:rFonts w:ascii="Times New Roman" w:eastAsia="Calibri" w:hAnsi="Times New Roman" w:cs="Times New Roman"/>
          <w:sz w:val="24"/>
          <w:szCs w:val="24"/>
          <w:lang w:val="x-none" w:eastAsia="pl-PL"/>
        </w:rPr>
      </w:pPr>
      <w:r w:rsidRPr="005E2831">
        <w:rPr>
          <w:rFonts w:ascii="Times New Roman" w:eastAsia="Calibri" w:hAnsi="Times New Roman" w:cs="Times New Roman"/>
          <w:sz w:val="24"/>
          <w:szCs w:val="24"/>
          <w:lang w:val="x-none" w:eastAsia="pl-PL"/>
        </w:rPr>
        <w:t>monitoring strefy głębokowodnej,</w:t>
      </w:r>
    </w:p>
    <w:p w14:paraId="5A6AC1B4" w14:textId="77777777" w:rsidR="007C18D1" w:rsidRPr="005E2831" w:rsidRDefault="007C18D1" w:rsidP="005D7F5E">
      <w:pPr>
        <w:numPr>
          <w:ilvl w:val="1"/>
          <w:numId w:val="33"/>
        </w:numPr>
        <w:autoSpaceDE w:val="0"/>
        <w:autoSpaceDN w:val="0"/>
        <w:adjustRightInd w:val="0"/>
        <w:spacing w:after="120" w:line="300" w:lineRule="atLeast"/>
        <w:ind w:left="1434" w:hanging="357"/>
        <w:jc w:val="both"/>
        <w:rPr>
          <w:rFonts w:ascii="Times New Roman" w:eastAsia="Calibri" w:hAnsi="Times New Roman" w:cs="Times New Roman"/>
          <w:sz w:val="24"/>
          <w:szCs w:val="24"/>
          <w:lang w:val="x-none" w:eastAsia="pl-PL"/>
        </w:rPr>
      </w:pPr>
      <w:r w:rsidRPr="005E2831">
        <w:rPr>
          <w:rFonts w:ascii="Times New Roman" w:eastAsia="Calibri" w:hAnsi="Times New Roman" w:cs="Times New Roman"/>
          <w:sz w:val="24"/>
          <w:szCs w:val="24"/>
          <w:lang w:val="x-none" w:eastAsia="pl-PL"/>
        </w:rPr>
        <w:t>uzupełniający program badań strefy przybrzeżnej, zatok i zalewów.</w:t>
      </w:r>
    </w:p>
    <w:p w14:paraId="4C95F2C7" w14:textId="77777777" w:rsidR="007C18D1" w:rsidRPr="005E2831" w:rsidRDefault="007C18D1" w:rsidP="005D7F5E">
      <w:pPr>
        <w:autoSpaceDE w:val="0"/>
        <w:autoSpaceDN w:val="0"/>
        <w:adjustRightInd w:val="0"/>
        <w:spacing w:after="60" w:line="300" w:lineRule="atLeast"/>
        <w:ind w:firstLine="567"/>
        <w:jc w:val="both"/>
        <w:rPr>
          <w:rFonts w:ascii="Times New Roman" w:eastAsia="Calibri" w:hAnsi="Times New Roman" w:cs="Times New Roman"/>
          <w:sz w:val="24"/>
          <w:szCs w:val="24"/>
          <w:lang w:eastAsia="pl-PL"/>
        </w:rPr>
      </w:pPr>
      <w:r w:rsidRPr="005E2831">
        <w:rPr>
          <w:rFonts w:ascii="Times New Roman" w:eastAsia="Calibri" w:hAnsi="Times New Roman" w:cs="Times New Roman"/>
          <w:sz w:val="24"/>
          <w:szCs w:val="24"/>
          <w:lang w:eastAsia="pl-PL"/>
        </w:rPr>
        <w:t xml:space="preserve">W 2022 r. badania jakości wód przejściowych i przybrzeżnych były prowadzone według programu monitoringu diagnostycznego, operacyjnego i badawczego, w ramach których były badane parametry biologiczne, elementy jakości fizykochemicznej oraz chemicznej wód. Zgodnie z uaktualnionym wykazem wód na cykl gospodarowania wodami 2022-2027, pobranie prób w wodach przejściowych i przybrzeżnych zostało wykonane w oddziałach i pracowniach CLB w 11 punktach pomiarowo-kontrolnych i odpowiadających im stanowiskach. </w:t>
      </w:r>
    </w:p>
    <w:p w14:paraId="2F8F94B6" w14:textId="77777777" w:rsidR="007C18D1" w:rsidRPr="005E2831" w:rsidRDefault="007C18D1" w:rsidP="005D7F5E">
      <w:pPr>
        <w:autoSpaceDE w:val="0"/>
        <w:autoSpaceDN w:val="0"/>
        <w:adjustRightInd w:val="0"/>
        <w:spacing w:after="60" w:line="300" w:lineRule="atLeast"/>
        <w:ind w:firstLine="567"/>
        <w:jc w:val="both"/>
        <w:rPr>
          <w:rFonts w:ascii="Times New Roman" w:eastAsia="Calibri" w:hAnsi="Times New Roman" w:cs="Times New Roman"/>
          <w:sz w:val="24"/>
          <w:szCs w:val="24"/>
          <w:lang w:eastAsia="pl-PL"/>
        </w:rPr>
      </w:pPr>
      <w:r w:rsidRPr="005E2831">
        <w:rPr>
          <w:rFonts w:ascii="Times New Roman" w:eastAsia="Calibri" w:hAnsi="Times New Roman" w:cs="Times New Roman"/>
          <w:sz w:val="24"/>
          <w:szCs w:val="24"/>
          <w:lang w:eastAsia="pl-PL"/>
        </w:rPr>
        <w:t>W województwie zachodniopomorskim monitoring wód przejściowych i przybrzeżnych był realizowany w ramach monitoringu diagnostycznego i operacyjnego oraz monitoringu badawczego, w tym badawczego na wodach transgranicznych. Zaplanowany program badań został zrealizowany we wszystkich czterech jednolitych częściach, to jest dwóch jednolitych częściach wód przejściowych oraz dwóch jednolitych częściach wód przybrzeżnych zgodnie z</w:t>
      </w:r>
      <w:r>
        <w:rPr>
          <w:rFonts w:ascii="Times New Roman" w:eastAsia="Calibri" w:hAnsi="Times New Roman" w:cs="Times New Roman"/>
          <w:sz w:val="24"/>
          <w:szCs w:val="24"/>
          <w:lang w:eastAsia="pl-PL"/>
        </w:rPr>
        <w:t> </w:t>
      </w:r>
      <w:r w:rsidRPr="005E2831">
        <w:rPr>
          <w:rFonts w:ascii="Times New Roman" w:eastAsia="Calibri" w:hAnsi="Times New Roman" w:cs="Times New Roman"/>
          <w:sz w:val="24"/>
          <w:szCs w:val="24"/>
          <w:lang w:eastAsia="pl-PL"/>
        </w:rPr>
        <w:t xml:space="preserve">„Programem wykonawczym monitoringu wód powierzchniowych na 2022 r.”. </w:t>
      </w:r>
    </w:p>
    <w:p w14:paraId="3248CA7B" w14:textId="77777777" w:rsidR="007C18D1" w:rsidRPr="005E2831" w:rsidRDefault="007C18D1" w:rsidP="005D7F5E">
      <w:pPr>
        <w:autoSpaceDE w:val="0"/>
        <w:autoSpaceDN w:val="0"/>
        <w:adjustRightInd w:val="0"/>
        <w:spacing w:after="60" w:line="300" w:lineRule="atLeast"/>
        <w:ind w:firstLine="566"/>
        <w:jc w:val="both"/>
        <w:rPr>
          <w:rFonts w:ascii="Times New Roman" w:eastAsia="Calibri" w:hAnsi="Times New Roman" w:cs="Times New Roman"/>
          <w:sz w:val="24"/>
          <w:szCs w:val="24"/>
          <w:lang w:eastAsia="pl-PL"/>
        </w:rPr>
      </w:pPr>
      <w:r w:rsidRPr="005E2831">
        <w:rPr>
          <w:rFonts w:ascii="Times New Roman" w:eastAsia="Calibri" w:hAnsi="Times New Roman" w:cs="Times New Roman"/>
          <w:sz w:val="24"/>
          <w:szCs w:val="24"/>
          <w:lang w:eastAsia="pl-PL"/>
        </w:rPr>
        <w:t>W województwie pomorskim monitoring wód przejściowych i przybrzeżnych był</w:t>
      </w:r>
      <w:r>
        <w:rPr>
          <w:rFonts w:ascii="Times New Roman" w:eastAsia="Calibri" w:hAnsi="Times New Roman" w:cs="Times New Roman"/>
          <w:sz w:val="24"/>
          <w:szCs w:val="24"/>
          <w:lang w:eastAsia="pl-PL"/>
        </w:rPr>
        <w:t> </w:t>
      </w:r>
      <w:r w:rsidRPr="005E2831">
        <w:rPr>
          <w:rFonts w:ascii="Times New Roman" w:eastAsia="Calibri" w:hAnsi="Times New Roman" w:cs="Times New Roman"/>
          <w:sz w:val="24"/>
          <w:szCs w:val="24"/>
          <w:lang w:eastAsia="pl-PL"/>
        </w:rPr>
        <w:t>realizowany w ramach monitoringu diagnostycznego, operacyjnego i badawczego. Zaplanowany program badań został zrealizowany w każdej z sześciu jednolitych części wód w</w:t>
      </w:r>
      <w:r>
        <w:rPr>
          <w:rFonts w:ascii="Times New Roman" w:eastAsia="Calibri" w:hAnsi="Times New Roman" w:cs="Times New Roman"/>
          <w:sz w:val="24"/>
          <w:szCs w:val="24"/>
          <w:lang w:eastAsia="pl-PL"/>
        </w:rPr>
        <w:t> </w:t>
      </w:r>
      <w:r w:rsidRPr="005E2831">
        <w:rPr>
          <w:rFonts w:ascii="Times New Roman" w:eastAsia="Calibri" w:hAnsi="Times New Roman" w:cs="Times New Roman"/>
          <w:sz w:val="24"/>
          <w:szCs w:val="24"/>
          <w:lang w:eastAsia="pl-PL"/>
        </w:rPr>
        <w:t xml:space="preserve">tym czterech jednolitych częściach wód przybrzeżnych oraz dwóch jednolitych częściach wód przejściowych, zgodnie z „Programem wykonawczym monitoringu wód powierzchniowych na 2022 r.”. </w:t>
      </w:r>
    </w:p>
    <w:p w14:paraId="2D8CABA6" w14:textId="77777777" w:rsidR="007C18D1" w:rsidRPr="005E2831" w:rsidRDefault="007C18D1" w:rsidP="005D7F5E">
      <w:pPr>
        <w:autoSpaceDE w:val="0"/>
        <w:autoSpaceDN w:val="0"/>
        <w:adjustRightInd w:val="0"/>
        <w:spacing w:after="60" w:line="300" w:lineRule="atLeast"/>
        <w:ind w:firstLine="566"/>
        <w:jc w:val="both"/>
        <w:rPr>
          <w:rFonts w:ascii="Times New Roman" w:eastAsia="Calibri" w:hAnsi="Times New Roman" w:cs="Times New Roman"/>
          <w:sz w:val="24"/>
          <w:szCs w:val="24"/>
          <w:lang w:eastAsia="pl-PL"/>
        </w:rPr>
      </w:pPr>
      <w:r w:rsidRPr="005E2831">
        <w:rPr>
          <w:rFonts w:ascii="Times New Roman" w:eastAsia="Calibri" w:hAnsi="Times New Roman" w:cs="Times New Roman"/>
          <w:sz w:val="24"/>
          <w:szCs w:val="24"/>
          <w:lang w:eastAsia="pl-PL"/>
        </w:rPr>
        <w:t>W województwie warmińsko-mazurskim monitoring wód przejściowych był realizowany w ramach monitoringu diagnostycznego i operacyjnego. Zaplanowany program badań został zrealizowany zgodnie z „Programem wykonawczym monitoringu wód powierzchniowych na</w:t>
      </w:r>
      <w:r>
        <w:rPr>
          <w:rFonts w:ascii="Times New Roman" w:eastAsia="Calibri" w:hAnsi="Times New Roman" w:cs="Times New Roman"/>
          <w:sz w:val="24"/>
          <w:szCs w:val="24"/>
          <w:lang w:eastAsia="pl-PL"/>
        </w:rPr>
        <w:t> </w:t>
      </w:r>
      <w:r w:rsidRPr="005E2831">
        <w:rPr>
          <w:rFonts w:ascii="Times New Roman" w:eastAsia="Calibri" w:hAnsi="Times New Roman" w:cs="Times New Roman"/>
          <w:sz w:val="24"/>
          <w:szCs w:val="24"/>
          <w:lang w:eastAsia="pl-PL"/>
        </w:rPr>
        <w:t>2022 r.”.</w:t>
      </w:r>
    </w:p>
    <w:p w14:paraId="08A1C66A" w14:textId="77777777" w:rsidR="007C18D1" w:rsidRPr="005E2831" w:rsidRDefault="007C18D1" w:rsidP="005D7F5E">
      <w:pPr>
        <w:autoSpaceDE w:val="0"/>
        <w:autoSpaceDN w:val="0"/>
        <w:adjustRightInd w:val="0"/>
        <w:spacing w:after="60" w:line="300" w:lineRule="atLeast"/>
        <w:ind w:firstLine="566"/>
        <w:jc w:val="both"/>
        <w:rPr>
          <w:rFonts w:ascii="Times New Roman" w:eastAsia="Calibri" w:hAnsi="Times New Roman" w:cs="Times New Roman"/>
          <w:sz w:val="24"/>
          <w:szCs w:val="24"/>
          <w:lang w:eastAsia="pl-PL"/>
        </w:rPr>
      </w:pPr>
      <w:r w:rsidRPr="005E2831">
        <w:rPr>
          <w:rFonts w:ascii="Times New Roman" w:eastAsia="Calibri" w:hAnsi="Times New Roman" w:cs="Times New Roman"/>
          <w:sz w:val="24"/>
          <w:szCs w:val="24"/>
          <w:lang w:eastAsia="pl-PL"/>
        </w:rPr>
        <w:t xml:space="preserve">Ponadto na potrzeby oceny stanu ekologicznego wód zgodnie z Ramową Dyrektywą Wodną, Główny Inspektorat Ochrony Środowiska w 2022 r. przeprowadził badania ichtiofauny w strefie wód trzech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przejściowych (Zalew Wiślany, Zalew Pucki, Zatoka Pucka zewnętrzna) oraz dwóch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przybrzeżnych (Półwysep Hel, Polskie wody przybrzeżne Basenu Gotlandzkiego</w:t>
      </w:r>
      <w:r>
        <w:rPr>
          <w:rFonts w:ascii="Times New Roman" w:eastAsia="Calibri" w:hAnsi="Times New Roman" w:cs="Times New Roman"/>
          <w:sz w:val="24"/>
          <w:szCs w:val="24"/>
          <w:lang w:eastAsia="pl-PL"/>
        </w:rPr>
        <w:t>)</w:t>
      </w:r>
      <w:r w:rsidRPr="005E2831">
        <w:rPr>
          <w:rFonts w:ascii="Times New Roman" w:eastAsia="Calibri" w:hAnsi="Times New Roman" w:cs="Times New Roman"/>
          <w:sz w:val="24"/>
          <w:szCs w:val="24"/>
          <w:lang w:eastAsia="pl-PL"/>
        </w:rPr>
        <w:t>.</w:t>
      </w:r>
    </w:p>
    <w:p w14:paraId="41459272" w14:textId="77777777" w:rsidR="007C18D1" w:rsidRPr="005E2831" w:rsidRDefault="007C18D1" w:rsidP="005D7F5E">
      <w:pPr>
        <w:autoSpaceDE w:val="0"/>
        <w:autoSpaceDN w:val="0"/>
        <w:adjustRightInd w:val="0"/>
        <w:spacing w:after="60" w:line="300" w:lineRule="atLeast"/>
        <w:ind w:firstLine="566"/>
        <w:jc w:val="both"/>
        <w:rPr>
          <w:rFonts w:ascii="Times New Roman" w:eastAsia="Calibri" w:hAnsi="Times New Roman" w:cs="Times New Roman"/>
          <w:sz w:val="24"/>
          <w:szCs w:val="24"/>
          <w:lang w:eastAsia="pl-PL"/>
        </w:rPr>
      </w:pPr>
      <w:r w:rsidRPr="005E2831">
        <w:rPr>
          <w:rFonts w:ascii="Times New Roman" w:eastAsia="Calibri" w:hAnsi="Times New Roman" w:cs="Times New Roman"/>
          <w:sz w:val="24"/>
          <w:szCs w:val="24"/>
          <w:lang w:eastAsia="pl-PL"/>
        </w:rPr>
        <w:t xml:space="preserve">Przeprowadzone zostały również badania substancji priorytetowych w organizmach żywych (ryby i skorupiaki) w siedmiu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przejściowych (Zalew Wiślany, Zalew Szczeciński, Zalew Kamieński, Zatoka Gdańska wewnętrzna, Zatoka Pucka zewnętrzna i Zalew Pucki, ujście Wisły przekop) oraz czterech </w:t>
      </w:r>
      <w:proofErr w:type="spellStart"/>
      <w:r w:rsidRPr="005E2831">
        <w:rPr>
          <w:rFonts w:ascii="Times New Roman" w:eastAsia="Calibri" w:hAnsi="Times New Roman" w:cs="Times New Roman"/>
          <w:sz w:val="24"/>
          <w:szCs w:val="24"/>
          <w:lang w:eastAsia="pl-PL"/>
        </w:rPr>
        <w:t>jcwp</w:t>
      </w:r>
      <w:proofErr w:type="spellEnd"/>
      <w:r w:rsidRPr="005E2831">
        <w:rPr>
          <w:rFonts w:ascii="Times New Roman" w:eastAsia="Calibri" w:hAnsi="Times New Roman" w:cs="Times New Roman"/>
          <w:sz w:val="24"/>
          <w:szCs w:val="24"/>
          <w:lang w:eastAsia="pl-PL"/>
        </w:rPr>
        <w:t xml:space="preserve"> przybrzeżnych (Polskie wody przybrzeżne Basenu </w:t>
      </w:r>
      <w:r w:rsidRPr="005E2831">
        <w:rPr>
          <w:rFonts w:ascii="Times New Roman" w:eastAsia="Calibri" w:hAnsi="Times New Roman" w:cs="Times New Roman"/>
          <w:sz w:val="24"/>
          <w:szCs w:val="24"/>
          <w:lang w:eastAsia="pl-PL"/>
        </w:rPr>
        <w:lastRenderedPageBreak/>
        <w:t>Gotlandzkiego, Półwysep Hel, Polskie wody przybrzeżne Basenu Bornholmskiego, Polskie wody przybrzeżne Zatoki Pomorskiej)</w:t>
      </w:r>
      <w:r w:rsidRPr="005E2831">
        <w:rPr>
          <w:rFonts w:ascii="Times New Roman" w:eastAsia="Calibri" w:hAnsi="Times New Roman" w:cs="Times New Roman"/>
          <w:sz w:val="20"/>
          <w:szCs w:val="24"/>
          <w:vertAlign w:val="superscript"/>
          <w:lang w:eastAsia="pl-PL"/>
        </w:rPr>
        <w:footnoteReference w:id="94"/>
      </w:r>
      <w:r w:rsidRPr="005E2831">
        <w:rPr>
          <w:rFonts w:ascii="Times New Roman" w:eastAsia="Calibri" w:hAnsi="Times New Roman" w:cs="Times New Roman"/>
          <w:sz w:val="24"/>
          <w:szCs w:val="24"/>
          <w:lang w:eastAsia="pl-PL"/>
        </w:rPr>
        <w:t xml:space="preserve">. </w:t>
      </w:r>
    </w:p>
    <w:p w14:paraId="250FF343" w14:textId="75D9EE0C" w:rsidR="007C18D1" w:rsidRPr="005E2831" w:rsidRDefault="007C18D1" w:rsidP="005D7F5E">
      <w:pPr>
        <w:autoSpaceDE w:val="0"/>
        <w:autoSpaceDN w:val="0"/>
        <w:adjustRightInd w:val="0"/>
        <w:spacing w:after="60" w:line="300" w:lineRule="atLeast"/>
        <w:ind w:firstLine="566"/>
        <w:jc w:val="both"/>
        <w:rPr>
          <w:rFonts w:ascii="Times New Roman" w:eastAsia="Calibri" w:hAnsi="Times New Roman" w:cs="Times New Roman"/>
          <w:sz w:val="24"/>
          <w:szCs w:val="24"/>
          <w:lang w:eastAsia="pl-PL"/>
        </w:rPr>
      </w:pPr>
      <w:r w:rsidRPr="005E2831">
        <w:rPr>
          <w:rFonts w:ascii="Times New Roman" w:eastAsia="Calibri" w:hAnsi="Times New Roman" w:cs="Times New Roman"/>
          <w:sz w:val="24"/>
          <w:szCs w:val="24"/>
          <w:lang w:eastAsia="pl-PL"/>
        </w:rPr>
        <w:t xml:space="preserve">W 2022 r., zgodnie z rozporządzeniem Ministra Infrastruktury </w:t>
      </w:r>
      <w:r w:rsidRPr="005E2831">
        <w:rPr>
          <w:rFonts w:ascii="Times New Roman" w:eastAsia="Calibri" w:hAnsi="Times New Roman" w:cs="Times New Roman"/>
          <w:i/>
          <w:sz w:val="24"/>
          <w:szCs w:val="24"/>
          <w:lang w:eastAsia="pl-PL"/>
        </w:rPr>
        <w:t>w sprawie klasyfikacji stanu ekologicznego, potencjału ekologicznego i stanu chemicznego oraz sposobu klasyfikacji stanu jednolitych części wód powierzchniowych, a także środowiskowych norm jakości dla</w:t>
      </w:r>
      <w:r>
        <w:rPr>
          <w:rFonts w:ascii="Times New Roman" w:eastAsia="Calibri" w:hAnsi="Times New Roman" w:cs="Times New Roman"/>
          <w:i/>
          <w:sz w:val="24"/>
          <w:szCs w:val="24"/>
          <w:lang w:eastAsia="pl-PL"/>
        </w:rPr>
        <w:t> </w:t>
      </w:r>
      <w:r w:rsidRPr="005E2831">
        <w:rPr>
          <w:rFonts w:ascii="Times New Roman" w:eastAsia="Calibri" w:hAnsi="Times New Roman" w:cs="Times New Roman"/>
          <w:i/>
          <w:sz w:val="24"/>
          <w:szCs w:val="24"/>
          <w:lang w:eastAsia="pl-PL"/>
        </w:rPr>
        <w:t>substancji priorytetowych</w:t>
      </w:r>
      <w:r w:rsidRPr="005E2831">
        <w:rPr>
          <w:rFonts w:ascii="Times New Roman" w:eastAsia="Calibri" w:hAnsi="Times New Roman" w:cs="Times New Roman"/>
          <w:sz w:val="20"/>
          <w:szCs w:val="20"/>
          <w:vertAlign w:val="superscript"/>
          <w:lang w:eastAsia="pl-PL"/>
        </w:rPr>
        <w:footnoteReference w:id="95"/>
      </w:r>
      <w:r w:rsidRPr="005E2831">
        <w:rPr>
          <w:rFonts w:ascii="Times New Roman" w:eastAsia="Calibri" w:hAnsi="Times New Roman" w:cs="Times New Roman"/>
          <w:sz w:val="24"/>
          <w:szCs w:val="24"/>
          <w:lang w:eastAsia="pl-PL"/>
        </w:rPr>
        <w:t xml:space="preserve"> wykonano klasyfikację wskaźników stanu ekologicznego oraz</w:t>
      </w:r>
      <w:r>
        <w:rPr>
          <w:rFonts w:ascii="Times New Roman" w:eastAsia="Calibri" w:hAnsi="Times New Roman" w:cs="Times New Roman"/>
          <w:sz w:val="24"/>
          <w:szCs w:val="24"/>
          <w:lang w:eastAsia="pl-PL"/>
        </w:rPr>
        <w:t> </w:t>
      </w:r>
      <w:r w:rsidRPr="005E2831">
        <w:rPr>
          <w:rFonts w:ascii="Times New Roman" w:eastAsia="Calibri" w:hAnsi="Times New Roman" w:cs="Times New Roman"/>
          <w:sz w:val="24"/>
          <w:szCs w:val="24"/>
          <w:lang w:eastAsia="pl-PL"/>
        </w:rPr>
        <w:t>wskaźników stanu chemicznego wód przejściowych i przybrzeżnych badanych w</w:t>
      </w:r>
      <w:r>
        <w:rPr>
          <w:rFonts w:ascii="Times New Roman" w:eastAsia="Calibri" w:hAnsi="Times New Roman" w:cs="Times New Roman"/>
          <w:sz w:val="24"/>
          <w:szCs w:val="24"/>
          <w:lang w:eastAsia="pl-PL"/>
        </w:rPr>
        <w:t> </w:t>
      </w:r>
      <w:r w:rsidRPr="005E2831">
        <w:rPr>
          <w:rFonts w:ascii="Times New Roman" w:eastAsia="Calibri" w:hAnsi="Times New Roman" w:cs="Times New Roman"/>
          <w:sz w:val="24"/>
          <w:szCs w:val="24"/>
          <w:lang w:eastAsia="pl-PL"/>
        </w:rPr>
        <w:t xml:space="preserve">2021roku. W 2022 roku wykonano klasyfikację i ocenę stanu lub  potencjału ekologicznego, klasyfikację i ocenę stanu chemicznego oraz ocenę ogólną jednolitych części wód przejściowych i przybrzeżnych za okres trzeciego cyklu gospodarowania wodami to jest za lata 2016-2021. W stanie lub potencjale ekologicznym zły znajdowało się 13 z 19 jednolitych części wód, słaby – 5 oraz umiarkowany – </w:t>
      </w:r>
      <w:r>
        <w:rPr>
          <w:rFonts w:ascii="Times New Roman" w:eastAsia="Calibri" w:hAnsi="Times New Roman" w:cs="Times New Roman"/>
          <w:sz w:val="24"/>
          <w:szCs w:val="24"/>
          <w:lang w:eastAsia="pl-PL"/>
        </w:rPr>
        <w:t>1</w:t>
      </w:r>
      <w:r w:rsidRPr="005E2831">
        <w:rPr>
          <w:rFonts w:ascii="Times New Roman" w:eastAsia="Calibri" w:hAnsi="Times New Roman" w:cs="Times New Roman"/>
          <w:sz w:val="24"/>
          <w:szCs w:val="24"/>
          <w:lang w:eastAsia="pl-PL"/>
        </w:rPr>
        <w:t xml:space="preserve">. Stan chemiczny dobry został określony w 1 jednolitej części wód, niemniej w tej części wód nie można było pobrać </w:t>
      </w:r>
      <w:r w:rsidR="006D2F4D">
        <w:rPr>
          <w:rFonts w:ascii="Times New Roman" w:eastAsia="Calibri" w:hAnsi="Times New Roman" w:cs="Times New Roman"/>
          <w:sz w:val="24"/>
          <w:szCs w:val="24"/>
          <w:lang w:eastAsia="pl-PL"/>
        </w:rPr>
        <w:t xml:space="preserve">pełnego </w:t>
      </w:r>
      <w:r w:rsidRPr="005E2831">
        <w:rPr>
          <w:rFonts w:ascii="Times New Roman" w:eastAsia="Calibri" w:hAnsi="Times New Roman" w:cs="Times New Roman"/>
          <w:sz w:val="24"/>
          <w:szCs w:val="24"/>
          <w:lang w:eastAsia="pl-PL"/>
        </w:rPr>
        <w:t xml:space="preserve">materiału do badań. Ogólny stan wód w ani jednej jednolitej części wód nie został oceniony powyżej złego. </w:t>
      </w:r>
    </w:p>
    <w:p w14:paraId="6FF40EA1" w14:textId="448E2DA8" w:rsidR="007C18D1" w:rsidRPr="005E2831" w:rsidRDefault="007C18D1" w:rsidP="007C18D1">
      <w:pPr>
        <w:autoSpaceDE w:val="0"/>
        <w:autoSpaceDN w:val="0"/>
        <w:adjustRightInd w:val="0"/>
        <w:spacing w:after="60" w:line="300" w:lineRule="atLeast"/>
        <w:ind w:firstLine="566"/>
        <w:jc w:val="both"/>
        <w:rPr>
          <w:rFonts w:ascii="Times New Roman" w:eastAsia="Calibri" w:hAnsi="Times New Roman" w:cs="Times New Roman"/>
          <w:sz w:val="24"/>
          <w:szCs w:val="24"/>
          <w:lang w:eastAsia="pl-PL"/>
        </w:rPr>
      </w:pPr>
      <w:r w:rsidRPr="005E2831">
        <w:rPr>
          <w:rFonts w:ascii="Times New Roman" w:eastAsia="Calibri" w:hAnsi="Times New Roman" w:cs="Times New Roman"/>
          <w:sz w:val="24"/>
          <w:szCs w:val="24"/>
          <w:lang w:eastAsia="pl-PL"/>
        </w:rPr>
        <w:t>W ramach monitoringu strefy głębokomorskiej (8 stacji badawczych w rejonie Głębi Gotlandzkiej, Bornholmskiej i Gdańskiej) i uzupełniającego programu badań strefy przybrzeżnej, zatok i zalewów (16 stacji badawczych w rejonie Zatoki Gdańskiej i Pomorskiej oraz Zalewu Wiślanego) oraz wysokiej częstotliwości (1 stacja w rejonie Zatoki Puckiej zewnętrznej), wykonano pomiary parametrów fizycznych, jak również pobrano próby i wykonano analizy chemiczne w wodach polskiej strefy głębokomorskiej Bałtyku w zakresie zawartości soli biogenicznych oraz określono warunki tlenowe. W ramach wdrożonej aktualizacji programu monitoringu wód morskich</w:t>
      </w:r>
      <w:r w:rsidRPr="005E2831">
        <w:rPr>
          <w:rFonts w:ascii="Times New Roman" w:eastAsia="Calibri" w:hAnsi="Times New Roman" w:cs="Times New Roman"/>
          <w:sz w:val="20"/>
          <w:szCs w:val="20"/>
          <w:vertAlign w:val="superscript"/>
          <w:lang w:eastAsia="pl-PL"/>
        </w:rPr>
        <w:footnoteReference w:id="96"/>
      </w:r>
      <w:r w:rsidRPr="005E2831">
        <w:rPr>
          <w:rFonts w:ascii="Times New Roman" w:eastAsia="Calibri" w:hAnsi="Times New Roman" w:cs="Times New Roman"/>
          <w:sz w:val="24"/>
          <w:szCs w:val="24"/>
          <w:lang w:eastAsia="pl-PL"/>
        </w:rPr>
        <w:t xml:space="preserve"> kontynuowano, rozpoczęte w 2015 roku, pomiary hałasu podwodnego na 6 stacjach oraz obserwacje odpadów na powierzchni morza na 6 stacjach i 2 </w:t>
      </w:r>
      <w:proofErr w:type="spellStart"/>
      <w:r w:rsidRPr="005E2831">
        <w:rPr>
          <w:rFonts w:ascii="Times New Roman" w:eastAsia="Calibri" w:hAnsi="Times New Roman" w:cs="Times New Roman"/>
          <w:sz w:val="24"/>
          <w:szCs w:val="24"/>
          <w:lang w:eastAsia="pl-PL"/>
        </w:rPr>
        <w:t>transektach</w:t>
      </w:r>
      <w:proofErr w:type="spellEnd"/>
      <w:r w:rsidRPr="005E2831">
        <w:rPr>
          <w:rFonts w:ascii="Times New Roman" w:eastAsia="Calibri" w:hAnsi="Times New Roman" w:cs="Times New Roman"/>
          <w:sz w:val="24"/>
          <w:szCs w:val="24"/>
          <w:lang w:eastAsia="pl-PL"/>
        </w:rPr>
        <w:t xml:space="preserve">, a także liczenie odpadów na brzegu morza na plaży na wyznaczonych 10 </w:t>
      </w:r>
      <w:proofErr w:type="spellStart"/>
      <w:r w:rsidRPr="005E2831">
        <w:rPr>
          <w:rFonts w:ascii="Times New Roman" w:eastAsia="Calibri" w:hAnsi="Times New Roman" w:cs="Times New Roman"/>
          <w:sz w:val="24"/>
          <w:szCs w:val="24"/>
          <w:lang w:eastAsia="pl-PL"/>
        </w:rPr>
        <w:t>transektach</w:t>
      </w:r>
      <w:proofErr w:type="spellEnd"/>
      <w:r w:rsidRPr="005E2831">
        <w:rPr>
          <w:rFonts w:ascii="Times New Roman" w:eastAsia="Calibri" w:hAnsi="Times New Roman" w:cs="Times New Roman"/>
          <w:sz w:val="24"/>
          <w:szCs w:val="24"/>
          <w:lang w:eastAsia="pl-PL"/>
        </w:rPr>
        <w:t xml:space="preserve">, w skład których wchodzi 15 odcinków. Pobrano również próby do oznaczeń zmiennych biologicznych (fitoplanktonu, zooplanktonu, </w:t>
      </w:r>
      <w:proofErr w:type="spellStart"/>
      <w:r w:rsidRPr="005E2831">
        <w:rPr>
          <w:rFonts w:ascii="Times New Roman" w:eastAsia="Calibri" w:hAnsi="Times New Roman" w:cs="Times New Roman"/>
          <w:sz w:val="24"/>
          <w:szCs w:val="24"/>
          <w:lang w:eastAsia="pl-PL"/>
        </w:rPr>
        <w:t>makrozoobentosu</w:t>
      </w:r>
      <w:proofErr w:type="spellEnd"/>
      <w:r w:rsidRPr="005E2831">
        <w:rPr>
          <w:rFonts w:ascii="Times New Roman" w:eastAsia="Calibri" w:hAnsi="Times New Roman" w:cs="Times New Roman"/>
          <w:sz w:val="24"/>
          <w:szCs w:val="24"/>
          <w:lang w:eastAsia="pl-PL"/>
        </w:rPr>
        <w:t>, fitobentosu oraz ichtiofauny) w ramach realizacji zobowiązań Polski względem HELCOM na</w:t>
      </w:r>
      <w:r>
        <w:rPr>
          <w:rFonts w:ascii="Times New Roman" w:eastAsia="Calibri" w:hAnsi="Times New Roman" w:cs="Times New Roman"/>
          <w:sz w:val="24"/>
          <w:szCs w:val="24"/>
          <w:lang w:eastAsia="pl-PL"/>
        </w:rPr>
        <w:t> </w:t>
      </w:r>
      <w:r w:rsidRPr="005E2831">
        <w:rPr>
          <w:rFonts w:ascii="Times New Roman" w:eastAsia="Calibri" w:hAnsi="Times New Roman" w:cs="Times New Roman"/>
          <w:sz w:val="24"/>
          <w:szCs w:val="24"/>
          <w:lang w:eastAsia="pl-PL"/>
        </w:rPr>
        <w:t xml:space="preserve">podstawie zrewidowanego programu monitoringu Morza Bałtyckiego HELCOM COMBINE uwzględniającego nowe wymagania Ramowej Dyrektywy </w:t>
      </w:r>
      <w:proofErr w:type="spellStart"/>
      <w:r w:rsidRPr="005E2831">
        <w:rPr>
          <w:rFonts w:ascii="Times New Roman" w:eastAsia="Calibri" w:hAnsi="Times New Roman" w:cs="Times New Roman"/>
          <w:sz w:val="24"/>
          <w:szCs w:val="24"/>
          <w:lang w:eastAsia="pl-PL"/>
        </w:rPr>
        <w:t>ws</w:t>
      </w:r>
      <w:proofErr w:type="spellEnd"/>
      <w:r w:rsidRPr="005E2831">
        <w:rPr>
          <w:rFonts w:ascii="Times New Roman" w:eastAsia="Calibri" w:hAnsi="Times New Roman" w:cs="Times New Roman"/>
          <w:sz w:val="24"/>
          <w:szCs w:val="24"/>
          <w:lang w:eastAsia="pl-PL"/>
        </w:rPr>
        <w:t>. Strategii Morskiej</w:t>
      </w:r>
      <w:r w:rsidRPr="005E2831">
        <w:rPr>
          <w:rFonts w:ascii="Times New Roman" w:eastAsia="Calibri" w:hAnsi="Times New Roman" w:cs="Times New Roman"/>
          <w:sz w:val="20"/>
          <w:szCs w:val="24"/>
          <w:vertAlign w:val="superscript"/>
          <w:lang w:eastAsia="pl-PL"/>
        </w:rPr>
        <w:footnoteReference w:id="97"/>
      </w:r>
      <w:r w:rsidRPr="005E2831">
        <w:rPr>
          <w:rFonts w:ascii="Times New Roman" w:eastAsia="Calibri" w:hAnsi="Times New Roman" w:cs="Times New Roman"/>
          <w:sz w:val="24"/>
          <w:szCs w:val="24"/>
          <w:lang w:eastAsia="pl-PL"/>
        </w:rPr>
        <w:t>, zgodnie z  aktualizacją programu monitoringu wód morskich obejmującego lata 2020-2025</w:t>
      </w:r>
      <w:r w:rsidR="006D2F4D">
        <w:rPr>
          <w:rStyle w:val="Odwoanieprzypisudolnego"/>
          <w:rFonts w:eastAsia="Calibri" w:cs="Times New Roman"/>
          <w:szCs w:val="24"/>
          <w:lang w:eastAsia="pl-PL"/>
        </w:rPr>
        <w:footnoteReference w:id="98"/>
      </w:r>
      <w:r w:rsidRPr="005E2831">
        <w:rPr>
          <w:rFonts w:ascii="Times New Roman" w:eastAsia="Calibri" w:hAnsi="Times New Roman" w:cs="Times New Roman"/>
          <w:sz w:val="24"/>
          <w:szCs w:val="24"/>
          <w:lang w:eastAsia="pl-PL"/>
        </w:rPr>
        <w:t>.</w:t>
      </w:r>
    </w:p>
    <w:p w14:paraId="00E226A9" w14:textId="77777777" w:rsidR="007C18D1" w:rsidRPr="005E2831" w:rsidRDefault="007C18D1" w:rsidP="007C18D1">
      <w:pPr>
        <w:autoSpaceDE w:val="0"/>
        <w:autoSpaceDN w:val="0"/>
        <w:adjustRightInd w:val="0"/>
        <w:spacing w:after="60" w:line="300" w:lineRule="atLeast"/>
        <w:ind w:firstLine="566"/>
        <w:jc w:val="both"/>
        <w:rPr>
          <w:rFonts w:ascii="Times New Roman" w:eastAsia="Calibri" w:hAnsi="Times New Roman" w:cs="Times New Roman"/>
          <w:sz w:val="24"/>
          <w:szCs w:val="24"/>
          <w:lang w:eastAsia="pl-PL"/>
        </w:rPr>
      </w:pPr>
      <w:r w:rsidRPr="005E2831">
        <w:rPr>
          <w:rFonts w:ascii="Times New Roman" w:eastAsia="Calibri" w:hAnsi="Times New Roman" w:cs="Times New Roman"/>
          <w:sz w:val="24"/>
          <w:szCs w:val="24"/>
          <w:lang w:eastAsia="pl-PL"/>
        </w:rPr>
        <w:t>Ponadto, w ramach monitoringu strefy głębokomorskiej Morza Bałtyckiego, w związku z aktualizacją programu monitoringu wód morskich oraz zawarciem w 2020 roku aneksu do</w:t>
      </w:r>
      <w:r>
        <w:rPr>
          <w:rFonts w:ascii="Times New Roman" w:eastAsia="Calibri" w:hAnsi="Times New Roman" w:cs="Times New Roman"/>
          <w:sz w:val="24"/>
          <w:szCs w:val="24"/>
          <w:lang w:eastAsia="pl-PL"/>
        </w:rPr>
        <w:t> </w:t>
      </w:r>
      <w:r w:rsidRPr="005E2831">
        <w:rPr>
          <w:rFonts w:ascii="Times New Roman" w:eastAsia="Calibri" w:hAnsi="Times New Roman" w:cs="Times New Roman"/>
          <w:sz w:val="24"/>
          <w:szCs w:val="24"/>
          <w:lang w:eastAsia="pl-PL"/>
        </w:rPr>
        <w:t>biegnącej umowy i wynikającego z aneksu rozszerzenia zakresu badań, po raz trzeci pobrano próbki osadów oraz ryb w celu oznaczenia produktów rozpadu broni chemicznej oraz substancji pochodzących z paliwa z zatopionych wraków statków. Na</w:t>
      </w:r>
      <w:r>
        <w:rPr>
          <w:rFonts w:ascii="Times New Roman" w:eastAsia="Calibri" w:hAnsi="Times New Roman" w:cs="Times New Roman"/>
          <w:sz w:val="24"/>
          <w:szCs w:val="24"/>
          <w:lang w:eastAsia="pl-PL"/>
        </w:rPr>
        <w:t> </w:t>
      </w:r>
      <w:r w:rsidRPr="005E2831">
        <w:rPr>
          <w:rFonts w:ascii="Times New Roman" w:eastAsia="Calibri" w:hAnsi="Times New Roman" w:cs="Times New Roman"/>
          <w:sz w:val="24"/>
          <w:szCs w:val="24"/>
          <w:lang w:eastAsia="pl-PL"/>
        </w:rPr>
        <w:t xml:space="preserve">podstawie oznaczeń próbek pobranych w 2021 roku, w 2022 roku wykonano po raz drugi ocenę stanu środowiska polskich </w:t>
      </w:r>
      <w:r w:rsidRPr="005E2831">
        <w:rPr>
          <w:rFonts w:ascii="Times New Roman" w:eastAsia="Calibri" w:hAnsi="Times New Roman" w:cs="Times New Roman"/>
          <w:sz w:val="24"/>
          <w:szCs w:val="24"/>
          <w:lang w:eastAsia="pl-PL"/>
        </w:rPr>
        <w:lastRenderedPageBreak/>
        <w:t xml:space="preserve">obszarów morskich ze względu na produkty rozpadu broni chemicznej oraz substancje pochodzące z paliwa z zatopionych wraków statków. </w:t>
      </w:r>
    </w:p>
    <w:p w14:paraId="7EF1D1B8" w14:textId="77777777" w:rsidR="007C18D1" w:rsidRPr="005E2831" w:rsidRDefault="007C18D1" w:rsidP="007C18D1">
      <w:pPr>
        <w:autoSpaceDE w:val="0"/>
        <w:autoSpaceDN w:val="0"/>
        <w:adjustRightInd w:val="0"/>
        <w:spacing w:after="60" w:line="300" w:lineRule="atLeast"/>
        <w:ind w:firstLine="566"/>
        <w:jc w:val="both"/>
        <w:rPr>
          <w:rFonts w:ascii="Times New Roman" w:eastAsia="Calibri" w:hAnsi="Times New Roman" w:cs="Times New Roman"/>
          <w:sz w:val="24"/>
          <w:szCs w:val="24"/>
          <w:lang w:eastAsia="pl-PL"/>
        </w:rPr>
      </w:pPr>
      <w:r w:rsidRPr="005E2831">
        <w:rPr>
          <w:rFonts w:ascii="Times New Roman" w:eastAsia="Calibri" w:hAnsi="Times New Roman" w:cs="Times New Roman"/>
          <w:sz w:val="24"/>
          <w:szCs w:val="24"/>
          <w:lang w:eastAsia="pl-PL"/>
        </w:rPr>
        <w:t>W 2022 r. opracowano dane dotyczące monitoringu Bałtyku z rejsów wykonanych w 2021 roku. Wykonano i opublikowano na stronie GIOŚ w zakładce dedykowanej monitoringowi wód oraz na stronie dedykowanej ramowej dyrektywie w sprawie strategii morskiej</w:t>
      </w:r>
      <w:r>
        <w:rPr>
          <w:rFonts w:ascii="Times New Roman" w:eastAsia="Calibri" w:hAnsi="Times New Roman" w:cs="Times New Roman"/>
          <w:sz w:val="24"/>
          <w:szCs w:val="24"/>
          <w:lang w:eastAsia="pl-PL"/>
        </w:rPr>
        <w:t xml:space="preserve"> </w:t>
      </w:r>
      <w:r w:rsidRPr="005E2831">
        <w:rPr>
          <w:rFonts w:ascii="Times New Roman" w:eastAsia="Calibri" w:hAnsi="Times New Roman" w:cs="Times New Roman"/>
          <w:sz w:val="24"/>
          <w:szCs w:val="24"/>
          <w:lang w:eastAsia="pl-PL"/>
        </w:rPr>
        <w:t>– rdsm.gios.gov.pl, ocenę stanu środowiska morskiego Bałtyku pt. „Ocena stanu środowiska morskiego polskich obszarów morskich Bałtyku na podstawie danych monitoringowych z 2021 roku na tle dziesięciolecia 2011–2020”. W publikacji przedstawiono ocenę polskich obszarów morskich na podstawie danych hydrochemicznych i biologicznych za</w:t>
      </w:r>
      <w:r>
        <w:rPr>
          <w:rFonts w:ascii="Times New Roman" w:eastAsia="Calibri" w:hAnsi="Times New Roman" w:cs="Times New Roman"/>
          <w:sz w:val="24"/>
          <w:szCs w:val="24"/>
          <w:lang w:eastAsia="pl-PL"/>
        </w:rPr>
        <w:t> </w:t>
      </w:r>
      <w:r w:rsidRPr="005E2831">
        <w:rPr>
          <w:rFonts w:ascii="Times New Roman" w:eastAsia="Calibri" w:hAnsi="Times New Roman" w:cs="Times New Roman"/>
          <w:sz w:val="24"/>
          <w:szCs w:val="24"/>
          <w:lang w:eastAsia="pl-PL"/>
        </w:rPr>
        <w:t>2021 rok. Jest to pierwsza ocena, która dla wód przejściowych i przybrzeżnych została wykonana w jednolitych częściach wód obowiązujących w planach gospodarowania wodami w latach 2022-27. Ocenie poddano akweny, zdefiniowane w ramach współpracy regionalnej w</w:t>
      </w:r>
      <w:r>
        <w:rPr>
          <w:rFonts w:ascii="Times New Roman" w:eastAsia="Calibri" w:hAnsi="Times New Roman" w:cs="Times New Roman"/>
          <w:sz w:val="24"/>
          <w:szCs w:val="24"/>
          <w:lang w:eastAsia="pl-PL"/>
        </w:rPr>
        <w:t> </w:t>
      </w:r>
      <w:r w:rsidRPr="005E2831">
        <w:rPr>
          <w:rFonts w:ascii="Times New Roman" w:eastAsia="Calibri" w:hAnsi="Times New Roman" w:cs="Times New Roman"/>
          <w:sz w:val="24"/>
          <w:szCs w:val="24"/>
          <w:lang w:eastAsia="pl-PL"/>
        </w:rPr>
        <w:t xml:space="preserve">związku z wdrażaniem RDSM. Ze względu na eutrofizację (cecha 5 zgodnie z Ramową Dyrektywą </w:t>
      </w:r>
      <w:proofErr w:type="spellStart"/>
      <w:r w:rsidRPr="005E2831">
        <w:rPr>
          <w:rFonts w:ascii="Times New Roman" w:eastAsia="Calibri" w:hAnsi="Times New Roman" w:cs="Times New Roman"/>
          <w:sz w:val="24"/>
          <w:szCs w:val="24"/>
          <w:lang w:eastAsia="pl-PL"/>
        </w:rPr>
        <w:t>ws</w:t>
      </w:r>
      <w:proofErr w:type="spellEnd"/>
      <w:r w:rsidRPr="005E2831">
        <w:rPr>
          <w:rFonts w:ascii="Times New Roman" w:eastAsia="Calibri" w:hAnsi="Times New Roman" w:cs="Times New Roman"/>
          <w:sz w:val="24"/>
          <w:szCs w:val="24"/>
          <w:lang w:eastAsia="pl-PL"/>
        </w:rPr>
        <w:t>. Strategii Morskiej) poza wodami Zatoki Puckiej Zewnętrznej oraz Zalewu Kamieńskiego wszystkie akweny zostały ocenione poniżej stanu dobrego, zgodnie z zasadą oceny uzgodnionej na poziomie regionalnym, tj. HELCOM. Elementy biologiczne oraz</w:t>
      </w:r>
      <w:r>
        <w:rPr>
          <w:rFonts w:ascii="Times New Roman" w:eastAsia="Calibri" w:hAnsi="Times New Roman" w:cs="Times New Roman"/>
          <w:sz w:val="24"/>
          <w:szCs w:val="24"/>
          <w:lang w:eastAsia="pl-PL"/>
        </w:rPr>
        <w:t> </w:t>
      </w:r>
      <w:r w:rsidRPr="005E2831">
        <w:rPr>
          <w:rFonts w:ascii="Times New Roman" w:eastAsia="Calibri" w:hAnsi="Times New Roman" w:cs="Times New Roman"/>
          <w:sz w:val="24"/>
          <w:szCs w:val="24"/>
          <w:lang w:eastAsia="pl-PL"/>
        </w:rPr>
        <w:t xml:space="preserve">chemiczne również zostały sklasyfikowane poniżej stanu dobrego. </w:t>
      </w:r>
    </w:p>
    <w:p w14:paraId="1E07861E" w14:textId="77777777" w:rsidR="007C18D1" w:rsidRPr="005E2831" w:rsidRDefault="007C18D1" w:rsidP="007C18D1">
      <w:pPr>
        <w:autoSpaceDE w:val="0"/>
        <w:autoSpaceDN w:val="0"/>
        <w:adjustRightInd w:val="0"/>
        <w:spacing w:after="60" w:line="300" w:lineRule="atLeast"/>
        <w:ind w:firstLine="566"/>
        <w:jc w:val="both"/>
        <w:rPr>
          <w:rFonts w:ascii="Times New Roman" w:eastAsia="Calibri" w:hAnsi="Times New Roman" w:cs="Times New Roman"/>
          <w:sz w:val="24"/>
          <w:szCs w:val="24"/>
          <w:lang w:eastAsia="pl-PL"/>
        </w:rPr>
      </w:pPr>
      <w:r w:rsidRPr="005E2831">
        <w:rPr>
          <w:rFonts w:ascii="Times New Roman" w:eastAsia="Calibri" w:hAnsi="Times New Roman" w:cs="Times New Roman"/>
          <w:sz w:val="24"/>
          <w:szCs w:val="24"/>
          <w:lang w:eastAsia="pl-PL"/>
        </w:rPr>
        <w:t>Dane fizyko-chemiczne oraz biologiczne, jak również dane w zakresie zawartości trwałych zanieczyszczeń organicznych oraz metali ciężkich w tkankach organizmów i osadach dennych za 2021 rok</w:t>
      </w:r>
      <w:r>
        <w:rPr>
          <w:rFonts w:ascii="Times New Roman" w:eastAsia="Calibri" w:hAnsi="Times New Roman" w:cs="Times New Roman"/>
          <w:sz w:val="24"/>
          <w:szCs w:val="24"/>
          <w:lang w:eastAsia="pl-PL"/>
        </w:rPr>
        <w:t>,</w:t>
      </w:r>
      <w:r w:rsidRPr="005E2831">
        <w:rPr>
          <w:rFonts w:ascii="Times New Roman" w:eastAsia="Calibri" w:hAnsi="Times New Roman" w:cs="Times New Roman"/>
          <w:sz w:val="24"/>
          <w:szCs w:val="24"/>
          <w:lang w:eastAsia="pl-PL"/>
        </w:rPr>
        <w:t xml:space="preserve"> przekazano w 2022 r. do bazy danych HELCOM, prowadzonej przez Międzynarodową Radę Badań Morza (ICES) w Kopenhadze. </w:t>
      </w:r>
    </w:p>
    <w:p w14:paraId="21B0FF19" w14:textId="77777777" w:rsidR="007C18D1" w:rsidRPr="005E2831" w:rsidRDefault="007C18D1" w:rsidP="007C18D1">
      <w:pPr>
        <w:autoSpaceDE w:val="0"/>
        <w:autoSpaceDN w:val="0"/>
        <w:adjustRightInd w:val="0"/>
        <w:spacing w:after="60" w:line="300" w:lineRule="atLeast"/>
        <w:ind w:firstLine="566"/>
        <w:jc w:val="both"/>
        <w:rPr>
          <w:rFonts w:ascii="Times New Roman" w:eastAsia="Calibri" w:hAnsi="Times New Roman" w:cs="Times New Roman"/>
          <w:sz w:val="24"/>
          <w:szCs w:val="24"/>
          <w:lang w:eastAsia="pl-PL"/>
        </w:rPr>
      </w:pPr>
      <w:r w:rsidRPr="005E2831">
        <w:rPr>
          <w:rFonts w:ascii="Times New Roman" w:eastAsia="Calibri" w:hAnsi="Times New Roman" w:cs="Times New Roman"/>
          <w:sz w:val="24"/>
          <w:szCs w:val="24"/>
          <w:lang w:eastAsia="pl-PL"/>
        </w:rPr>
        <w:t xml:space="preserve">W 2022 roku przedstawiciel GIOŚ uczestniczył w pracach grupy koordynacyjnej przy HELCOM (CG HOLAS 3) w związku krajową koordynacją w części dotyczącej oceny stanu środowiska w opracowywanej przez HELCOM we współpracy z krajami członkowskimi trzeciej holistycznej oceny stanu Morza Bałtyckiego – HELCOM HOLAS 3. </w:t>
      </w:r>
    </w:p>
    <w:p w14:paraId="2850D64B" w14:textId="1E371F87" w:rsidR="00895F16" w:rsidRPr="007F400A" w:rsidRDefault="007C18D1" w:rsidP="00F27A74">
      <w:pPr>
        <w:spacing w:after="0" w:line="300" w:lineRule="atLeast"/>
        <w:ind w:firstLine="567"/>
        <w:jc w:val="both"/>
        <w:rPr>
          <w:rFonts w:ascii="Times New Roman" w:hAnsi="Times New Roman" w:cs="Times New Roman"/>
          <w:sz w:val="24"/>
          <w:szCs w:val="24"/>
        </w:rPr>
      </w:pPr>
      <w:r w:rsidRPr="005E2831">
        <w:rPr>
          <w:rFonts w:ascii="Times New Roman" w:eastAsia="Calibri" w:hAnsi="Times New Roman" w:cs="Times New Roman"/>
          <w:sz w:val="24"/>
          <w:szCs w:val="24"/>
          <w:lang w:eastAsia="pl-PL"/>
        </w:rPr>
        <w:t xml:space="preserve">W 2022 r. Główny Inspektorat Ochrony Środowiska kontynuował prace w zakresie zapewnienia obsługi merytorycznej stałych grup roboczych HELCOM GEAR i </w:t>
      </w:r>
      <w:proofErr w:type="spellStart"/>
      <w:r w:rsidRPr="005E2831">
        <w:rPr>
          <w:rFonts w:ascii="Times New Roman" w:eastAsia="Calibri" w:hAnsi="Times New Roman" w:cs="Times New Roman"/>
          <w:sz w:val="24"/>
          <w:szCs w:val="24"/>
          <w:lang w:eastAsia="pl-PL"/>
        </w:rPr>
        <w:t>State</w:t>
      </w:r>
      <w:proofErr w:type="spellEnd"/>
      <w:r w:rsidRPr="005E2831">
        <w:rPr>
          <w:rFonts w:ascii="Times New Roman" w:eastAsia="Calibri" w:hAnsi="Times New Roman" w:cs="Times New Roman"/>
          <w:sz w:val="24"/>
          <w:szCs w:val="24"/>
          <w:lang w:eastAsia="pl-PL"/>
        </w:rPr>
        <w:t xml:space="preserve"> and </w:t>
      </w:r>
      <w:proofErr w:type="spellStart"/>
      <w:r w:rsidRPr="005E2831">
        <w:rPr>
          <w:rFonts w:ascii="Times New Roman" w:eastAsia="Calibri" w:hAnsi="Times New Roman" w:cs="Times New Roman"/>
          <w:sz w:val="24"/>
          <w:szCs w:val="24"/>
          <w:lang w:eastAsia="pl-PL"/>
        </w:rPr>
        <w:t>Conservation</w:t>
      </w:r>
      <w:proofErr w:type="spellEnd"/>
      <w:r w:rsidRPr="005E2831">
        <w:rPr>
          <w:rFonts w:ascii="Times New Roman" w:eastAsia="Calibri" w:hAnsi="Times New Roman" w:cs="Times New Roman"/>
          <w:sz w:val="24"/>
          <w:szCs w:val="24"/>
          <w:lang w:eastAsia="pl-PL"/>
        </w:rPr>
        <w:t xml:space="preserve">. W 2022 roku w związku z przyjęciem w 2021 roku aktualizacji Bałtyckiego Planu Działań rozpoczął się w HELCOM proces reorganizacji. Dotychczasowe projekty uzyskały rangę grup eksperckich. GIOŚ współpracował w następujących grupach roboczych HELCOM: PEG, ZOO, FISH-PRO III, MORS, EUTRO, </w:t>
      </w:r>
      <w:proofErr w:type="spellStart"/>
      <w:r w:rsidRPr="005E2831">
        <w:rPr>
          <w:rFonts w:ascii="Times New Roman" w:eastAsia="Calibri" w:hAnsi="Times New Roman" w:cs="Times New Roman"/>
          <w:sz w:val="24"/>
          <w:szCs w:val="24"/>
          <w:lang w:eastAsia="pl-PL"/>
        </w:rPr>
        <w:t>Hazardous</w:t>
      </w:r>
      <w:proofErr w:type="spellEnd"/>
      <w:r w:rsidRPr="005E2831">
        <w:rPr>
          <w:rFonts w:ascii="Times New Roman" w:eastAsia="Calibri" w:hAnsi="Times New Roman" w:cs="Times New Roman"/>
          <w:sz w:val="24"/>
          <w:szCs w:val="24"/>
          <w:lang w:eastAsia="pl-PL"/>
        </w:rPr>
        <w:t xml:space="preserve"> </w:t>
      </w:r>
      <w:proofErr w:type="spellStart"/>
      <w:r w:rsidRPr="005E2831">
        <w:rPr>
          <w:rFonts w:ascii="Times New Roman" w:eastAsia="Calibri" w:hAnsi="Times New Roman" w:cs="Times New Roman"/>
          <w:sz w:val="24"/>
          <w:szCs w:val="24"/>
          <w:lang w:eastAsia="pl-PL"/>
        </w:rPr>
        <w:t>Substances</w:t>
      </w:r>
      <w:proofErr w:type="spellEnd"/>
      <w:r w:rsidRPr="005E2831">
        <w:rPr>
          <w:rFonts w:ascii="Times New Roman" w:eastAsia="Calibri" w:hAnsi="Times New Roman" w:cs="Times New Roman"/>
          <w:sz w:val="24"/>
          <w:szCs w:val="24"/>
          <w:lang w:eastAsia="pl-PL"/>
        </w:rPr>
        <w:t xml:space="preserve">, Marine </w:t>
      </w:r>
      <w:proofErr w:type="spellStart"/>
      <w:r w:rsidRPr="005E2831">
        <w:rPr>
          <w:rFonts w:ascii="Times New Roman" w:eastAsia="Calibri" w:hAnsi="Times New Roman" w:cs="Times New Roman"/>
          <w:sz w:val="24"/>
          <w:szCs w:val="24"/>
          <w:lang w:eastAsia="pl-PL"/>
        </w:rPr>
        <w:t>Litter</w:t>
      </w:r>
      <w:proofErr w:type="spellEnd"/>
      <w:r w:rsidRPr="005E2831">
        <w:rPr>
          <w:rFonts w:ascii="Times New Roman" w:eastAsia="Calibri" w:hAnsi="Times New Roman" w:cs="Times New Roman"/>
          <w:sz w:val="24"/>
          <w:szCs w:val="24"/>
          <w:lang w:eastAsia="pl-PL"/>
        </w:rPr>
        <w:t xml:space="preserve">, </w:t>
      </w:r>
      <w:proofErr w:type="spellStart"/>
      <w:r w:rsidRPr="005E2831">
        <w:rPr>
          <w:rFonts w:ascii="Times New Roman" w:eastAsia="Calibri" w:hAnsi="Times New Roman" w:cs="Times New Roman"/>
          <w:sz w:val="24"/>
          <w:szCs w:val="24"/>
          <w:lang w:eastAsia="pl-PL"/>
        </w:rPr>
        <w:t>Noise</w:t>
      </w:r>
      <w:proofErr w:type="spellEnd"/>
      <w:r w:rsidRPr="005E2831">
        <w:rPr>
          <w:rFonts w:ascii="Times New Roman" w:eastAsia="Calibri" w:hAnsi="Times New Roman" w:cs="Times New Roman"/>
          <w:sz w:val="24"/>
          <w:szCs w:val="24"/>
          <w:lang w:eastAsia="pl-PL"/>
        </w:rPr>
        <w:t>, BENTHIC, MAMA, JWG Bird, BIRDMOVE</w:t>
      </w:r>
      <w:r>
        <w:rPr>
          <w:rFonts w:ascii="Times New Roman" w:eastAsia="Calibri" w:hAnsi="Times New Roman" w:cs="Times New Roman"/>
          <w:sz w:val="24"/>
          <w:szCs w:val="24"/>
          <w:lang w:eastAsia="pl-PL"/>
        </w:rPr>
        <w:t>, CG FOODWEB</w:t>
      </w:r>
      <w:r w:rsidRPr="005E2831">
        <w:rPr>
          <w:rFonts w:ascii="Times New Roman" w:eastAsia="Calibri" w:hAnsi="Times New Roman" w:cs="Times New Roman"/>
          <w:sz w:val="24"/>
          <w:szCs w:val="24"/>
          <w:lang w:eastAsia="pl-PL"/>
        </w:rPr>
        <w:t xml:space="preserve">. GIOŚ uczestniczył także w pracach grup roboczych Komisji Europejskiej WG GES, WG DIKE, DG GES oraz grup technicznych KE: TG DATA, TG </w:t>
      </w:r>
      <w:proofErr w:type="spellStart"/>
      <w:r w:rsidRPr="005E2831">
        <w:rPr>
          <w:rFonts w:ascii="Times New Roman" w:eastAsia="Calibri" w:hAnsi="Times New Roman" w:cs="Times New Roman"/>
          <w:sz w:val="24"/>
          <w:szCs w:val="24"/>
          <w:lang w:eastAsia="pl-PL"/>
        </w:rPr>
        <w:t>Noise</w:t>
      </w:r>
      <w:proofErr w:type="spellEnd"/>
      <w:r w:rsidRPr="005E2831">
        <w:rPr>
          <w:rFonts w:ascii="Times New Roman" w:eastAsia="Calibri" w:hAnsi="Times New Roman" w:cs="Times New Roman"/>
          <w:sz w:val="24"/>
          <w:szCs w:val="24"/>
          <w:lang w:eastAsia="pl-PL"/>
        </w:rPr>
        <w:t xml:space="preserve">, TG </w:t>
      </w:r>
      <w:proofErr w:type="spellStart"/>
      <w:r w:rsidRPr="005E2831">
        <w:rPr>
          <w:rFonts w:ascii="Times New Roman" w:eastAsia="Calibri" w:hAnsi="Times New Roman" w:cs="Times New Roman"/>
          <w:sz w:val="24"/>
          <w:szCs w:val="24"/>
          <w:lang w:eastAsia="pl-PL"/>
        </w:rPr>
        <w:t>Litter</w:t>
      </w:r>
      <w:proofErr w:type="spellEnd"/>
      <w:r w:rsidRPr="005E2831">
        <w:rPr>
          <w:rFonts w:ascii="Times New Roman" w:eastAsia="Calibri" w:hAnsi="Times New Roman" w:cs="Times New Roman"/>
          <w:sz w:val="24"/>
          <w:szCs w:val="24"/>
          <w:lang w:eastAsia="pl-PL"/>
        </w:rPr>
        <w:t xml:space="preserve">, TG </w:t>
      </w:r>
      <w:proofErr w:type="spellStart"/>
      <w:r w:rsidRPr="005E2831">
        <w:rPr>
          <w:rFonts w:ascii="Times New Roman" w:eastAsia="Calibri" w:hAnsi="Times New Roman" w:cs="Times New Roman"/>
          <w:sz w:val="24"/>
          <w:szCs w:val="24"/>
          <w:lang w:eastAsia="pl-PL"/>
        </w:rPr>
        <w:t>Seabed</w:t>
      </w:r>
      <w:proofErr w:type="spellEnd"/>
      <w:r w:rsidRPr="005E2831">
        <w:rPr>
          <w:rFonts w:ascii="Times New Roman" w:eastAsia="Calibri" w:hAnsi="Times New Roman" w:cs="Times New Roman"/>
          <w:sz w:val="24"/>
          <w:szCs w:val="24"/>
          <w:lang w:eastAsia="pl-PL"/>
        </w:rPr>
        <w:t xml:space="preserve">, </w:t>
      </w:r>
      <w:proofErr w:type="spellStart"/>
      <w:r w:rsidRPr="005E2831">
        <w:rPr>
          <w:rFonts w:ascii="Times New Roman" w:eastAsia="Calibri" w:hAnsi="Times New Roman" w:cs="Times New Roman"/>
          <w:sz w:val="24"/>
          <w:szCs w:val="24"/>
          <w:lang w:eastAsia="pl-PL"/>
        </w:rPr>
        <w:t>Biodiversity</w:t>
      </w:r>
      <w:proofErr w:type="spellEnd"/>
      <w:r w:rsidR="00895F16" w:rsidRPr="007F400A">
        <w:rPr>
          <w:rFonts w:ascii="Times New Roman" w:hAnsi="Times New Roman"/>
          <w:sz w:val="24"/>
          <w:szCs w:val="24"/>
          <w:lang w:eastAsia="pl-PL"/>
        </w:rPr>
        <w:t>.</w:t>
      </w:r>
      <w:r w:rsidR="004966BE" w:rsidRPr="007F400A">
        <w:rPr>
          <w:rFonts w:ascii="Times New Roman" w:hAnsi="Times New Roman"/>
          <w:sz w:val="24"/>
          <w:szCs w:val="24"/>
          <w:lang w:eastAsia="pl-PL"/>
        </w:rPr>
        <w:t xml:space="preserve"> </w:t>
      </w:r>
    </w:p>
    <w:p w14:paraId="4039B70A" w14:textId="77777777" w:rsidR="00895F16" w:rsidRPr="007F400A" w:rsidRDefault="00895F16" w:rsidP="00895F16">
      <w:pPr>
        <w:spacing w:after="0" w:line="300" w:lineRule="atLeast"/>
        <w:jc w:val="both"/>
        <w:rPr>
          <w:rFonts w:ascii="Times New Roman" w:hAnsi="Times New Roman" w:cs="Times New Roman"/>
          <w:color w:val="00B0F0"/>
          <w:sz w:val="24"/>
          <w:szCs w:val="24"/>
        </w:rPr>
      </w:pPr>
    </w:p>
    <w:p w14:paraId="012FD287" w14:textId="615104D0" w:rsidR="00895F16" w:rsidRPr="007F400A" w:rsidRDefault="00895F16" w:rsidP="00895F16">
      <w:pPr>
        <w:keepNext/>
        <w:spacing w:after="120" w:line="300" w:lineRule="atLeast"/>
        <w:jc w:val="both"/>
        <w:outlineLvl w:val="0"/>
        <w:rPr>
          <w:rFonts w:ascii="Times New Roman" w:eastAsia="Times New Roman" w:hAnsi="Times New Roman" w:cs="Times New Roman"/>
          <w:b/>
          <w:bCs/>
          <w:sz w:val="24"/>
          <w:szCs w:val="24"/>
          <w:lang w:val="x-none" w:eastAsia="x-none"/>
        </w:rPr>
      </w:pPr>
      <w:bookmarkStart w:id="406" w:name="_Toc36732638"/>
      <w:bookmarkStart w:id="407" w:name="_Toc135935710"/>
      <w:r w:rsidRPr="007F400A">
        <w:rPr>
          <w:rFonts w:ascii="Times New Roman" w:eastAsia="Times New Roman" w:hAnsi="Times New Roman" w:cs="Times New Roman"/>
          <w:b/>
          <w:bCs/>
          <w:sz w:val="24"/>
          <w:szCs w:val="24"/>
          <w:lang w:val="x-none" w:eastAsia="x-none"/>
        </w:rPr>
        <w:t>3.</w:t>
      </w:r>
      <w:r w:rsidR="00D0218B">
        <w:rPr>
          <w:rFonts w:ascii="Times New Roman" w:eastAsia="Times New Roman" w:hAnsi="Times New Roman" w:cs="Times New Roman"/>
          <w:b/>
          <w:bCs/>
          <w:sz w:val="24"/>
          <w:szCs w:val="24"/>
          <w:lang w:eastAsia="x-none"/>
        </w:rPr>
        <w:t>5</w:t>
      </w:r>
      <w:r w:rsidRPr="007F400A">
        <w:rPr>
          <w:rFonts w:ascii="Times New Roman" w:eastAsia="Times New Roman" w:hAnsi="Times New Roman" w:cs="Times New Roman"/>
          <w:b/>
          <w:bCs/>
          <w:sz w:val="24"/>
          <w:szCs w:val="24"/>
          <w:lang w:val="x-none" w:eastAsia="x-none"/>
        </w:rPr>
        <w:t xml:space="preserve"> Monitoring jakości wód podziemnych</w:t>
      </w:r>
      <w:bookmarkEnd w:id="406"/>
      <w:bookmarkEnd w:id="407"/>
    </w:p>
    <w:p w14:paraId="288C4784" w14:textId="77777777" w:rsidR="007C18D1" w:rsidRPr="005E2831" w:rsidRDefault="007C18D1" w:rsidP="00DF7816">
      <w:pPr>
        <w:spacing w:after="60" w:line="300" w:lineRule="atLeast"/>
        <w:ind w:left="142" w:firstLine="425"/>
        <w:jc w:val="both"/>
        <w:rPr>
          <w:rFonts w:ascii="Times New Roman" w:eastAsia="Calibri" w:hAnsi="Times New Roman" w:cs="Times New Roman"/>
          <w:sz w:val="24"/>
          <w:szCs w:val="24"/>
        </w:rPr>
      </w:pPr>
      <w:r w:rsidRPr="005E2831">
        <w:rPr>
          <w:rFonts w:ascii="Times New Roman" w:eastAsia="Calibri" w:hAnsi="Times New Roman" w:cs="Times New Roman"/>
          <w:sz w:val="24"/>
          <w:szCs w:val="24"/>
        </w:rPr>
        <w:t>Monitoring jakości wód podziemnych w 2022 roku był realizowany na poziomie krajowym oraz na poziomie regionalnym</w:t>
      </w:r>
      <w:r w:rsidRPr="005E2831">
        <w:rPr>
          <w:rFonts w:ascii="Times New Roman" w:eastAsia="Calibri" w:hAnsi="Times New Roman" w:cs="Times New Roman"/>
          <w:sz w:val="24"/>
          <w:szCs w:val="24"/>
          <w:vertAlign w:val="superscript"/>
        </w:rPr>
        <w:footnoteReference w:id="99"/>
      </w:r>
      <w:r w:rsidRPr="005E2831">
        <w:rPr>
          <w:rFonts w:ascii="Times New Roman" w:eastAsia="Calibri" w:hAnsi="Times New Roman" w:cs="Times New Roman"/>
          <w:sz w:val="24"/>
          <w:szCs w:val="24"/>
        </w:rPr>
        <w:t xml:space="preserve">. </w:t>
      </w:r>
    </w:p>
    <w:p w14:paraId="28A04D66" w14:textId="77777777" w:rsidR="007C18D1" w:rsidRPr="005E2831" w:rsidRDefault="007C18D1" w:rsidP="00F27A74">
      <w:pPr>
        <w:spacing w:after="60" w:line="300" w:lineRule="atLeast"/>
        <w:ind w:firstLine="567"/>
        <w:jc w:val="both"/>
        <w:rPr>
          <w:rFonts w:ascii="Times New Roman" w:eastAsia="Times New Roman" w:hAnsi="Times New Roman" w:cs="Times New Roman"/>
          <w:sz w:val="24"/>
          <w:szCs w:val="24"/>
          <w:lang w:eastAsia="pl-PL"/>
        </w:rPr>
      </w:pPr>
      <w:r w:rsidRPr="005E2831">
        <w:rPr>
          <w:rFonts w:ascii="Times New Roman" w:eastAsia="Times New Roman" w:hAnsi="Times New Roman" w:cs="Times New Roman"/>
          <w:sz w:val="24"/>
          <w:szCs w:val="24"/>
          <w:lang w:eastAsia="pl-PL"/>
        </w:rPr>
        <w:t>W 2022 roku na potrzeby spełniania wymagań Ramowej Dyrektywy Wodnej został przeprowadzony na poziomie krajowym monitoring diagnostyczny stanu chemicznego wód podziemnych, którym zostały objęte wszystkie 174 jednolite części wód podziemnych  (</w:t>
      </w:r>
      <w:proofErr w:type="spellStart"/>
      <w:r w:rsidRPr="005E2831">
        <w:rPr>
          <w:rFonts w:ascii="Times New Roman" w:eastAsia="Times New Roman" w:hAnsi="Times New Roman" w:cs="Times New Roman"/>
          <w:sz w:val="24"/>
          <w:szCs w:val="24"/>
          <w:lang w:eastAsia="pl-PL"/>
        </w:rPr>
        <w:t>jcwpd</w:t>
      </w:r>
      <w:proofErr w:type="spellEnd"/>
      <w:r w:rsidRPr="005E2831">
        <w:rPr>
          <w:rFonts w:ascii="Times New Roman" w:eastAsia="Times New Roman" w:hAnsi="Times New Roman" w:cs="Times New Roman"/>
          <w:sz w:val="24"/>
          <w:szCs w:val="24"/>
          <w:lang w:eastAsia="pl-PL"/>
        </w:rPr>
        <w:t xml:space="preserve">) wyznaczone na terenie kraju (podział na 174 </w:t>
      </w:r>
      <w:proofErr w:type="spellStart"/>
      <w:r w:rsidRPr="005E2831">
        <w:rPr>
          <w:rFonts w:ascii="Times New Roman" w:eastAsia="Times New Roman" w:hAnsi="Times New Roman" w:cs="Times New Roman"/>
          <w:sz w:val="24"/>
          <w:szCs w:val="24"/>
          <w:lang w:eastAsia="pl-PL"/>
        </w:rPr>
        <w:t>jcwpd</w:t>
      </w:r>
      <w:proofErr w:type="spellEnd"/>
      <w:r w:rsidRPr="005E2831">
        <w:rPr>
          <w:rFonts w:ascii="Times New Roman" w:eastAsia="Times New Roman" w:hAnsi="Times New Roman" w:cs="Times New Roman"/>
          <w:sz w:val="24"/>
          <w:szCs w:val="24"/>
          <w:lang w:eastAsia="pl-PL"/>
        </w:rPr>
        <w:t xml:space="preserve"> obowiązuje w wodnym cyklu </w:t>
      </w:r>
      <w:r w:rsidRPr="005E2831">
        <w:rPr>
          <w:rFonts w:ascii="Times New Roman" w:eastAsia="Times New Roman" w:hAnsi="Times New Roman" w:cs="Times New Roman"/>
          <w:sz w:val="24"/>
          <w:szCs w:val="24"/>
          <w:lang w:eastAsia="pl-PL"/>
        </w:rPr>
        <w:lastRenderedPageBreak/>
        <w:t xml:space="preserve">planistycznym na lata 2022–2027) . W ramach monitoringu diagnostycznego zostały pobrane jednokrotnie próbki wody z 1404 punktów pomiarowych krajowej sieci monitoringu stanu chemicznego wód podziemnych. W każdej próbce wód podziemnych wykonano oznaczenia ok. 40 wskaźników nieorganicznych, a w 106 próbkach wód także dodatkowo oznaczenia następujących wskaźników organicznych: pestycydy (260 wskaźniki), </w:t>
      </w:r>
      <w:proofErr w:type="spellStart"/>
      <w:r w:rsidRPr="005E2831">
        <w:rPr>
          <w:rFonts w:ascii="Times New Roman" w:eastAsia="Times New Roman" w:hAnsi="Times New Roman" w:cs="Times New Roman"/>
          <w:sz w:val="24"/>
          <w:szCs w:val="24"/>
          <w:lang w:eastAsia="pl-PL"/>
        </w:rPr>
        <w:t>trichloroeten</w:t>
      </w:r>
      <w:proofErr w:type="spellEnd"/>
      <w:r w:rsidRPr="005E2831">
        <w:rPr>
          <w:rFonts w:ascii="Times New Roman" w:eastAsia="Times New Roman" w:hAnsi="Times New Roman" w:cs="Times New Roman"/>
          <w:sz w:val="24"/>
          <w:szCs w:val="24"/>
          <w:lang w:eastAsia="pl-PL"/>
        </w:rPr>
        <w:t xml:space="preserve">, </w:t>
      </w:r>
      <w:proofErr w:type="spellStart"/>
      <w:r w:rsidRPr="005E2831">
        <w:rPr>
          <w:rFonts w:ascii="Times New Roman" w:eastAsia="Times New Roman" w:hAnsi="Times New Roman" w:cs="Times New Roman"/>
          <w:sz w:val="24"/>
          <w:szCs w:val="24"/>
          <w:lang w:eastAsia="pl-PL"/>
        </w:rPr>
        <w:t>tetrachloroeten</w:t>
      </w:r>
      <w:proofErr w:type="spellEnd"/>
      <w:r w:rsidRPr="005E2831">
        <w:rPr>
          <w:rFonts w:ascii="Times New Roman" w:eastAsia="Times New Roman" w:hAnsi="Times New Roman" w:cs="Times New Roman"/>
          <w:sz w:val="24"/>
          <w:szCs w:val="24"/>
          <w:lang w:eastAsia="pl-PL"/>
        </w:rPr>
        <w:t xml:space="preserve">, indeks fenolowy, wielopierścieniowe węglowodory aromatyczne - WWA (17 wskaźników) oraz lotne węglowodory aromatyczne – BTX (6 wskaźników). Wśród  próbek wody na oznaczenia związków organicznych zaledwie 0,32% wszystkich oznaczeń było powyżej granicy oznaczalności (LOQ). </w:t>
      </w:r>
    </w:p>
    <w:p w14:paraId="3015D032" w14:textId="28C60F9B" w:rsidR="00895F16" w:rsidRPr="007F400A" w:rsidRDefault="007C18D1" w:rsidP="007C18D1">
      <w:pPr>
        <w:spacing w:after="0" w:line="300" w:lineRule="atLeast"/>
        <w:ind w:firstLine="567"/>
        <w:jc w:val="both"/>
        <w:rPr>
          <w:rFonts w:ascii="Times New Roman" w:hAnsi="Times New Roman"/>
          <w:sz w:val="24"/>
          <w:szCs w:val="24"/>
          <w:lang w:val="x-none" w:eastAsia="x-none"/>
        </w:rPr>
      </w:pPr>
      <w:r w:rsidRPr="005E2831">
        <w:rPr>
          <w:rFonts w:ascii="Times New Roman" w:eastAsia="Calibri" w:hAnsi="Times New Roman" w:cs="Times New Roman"/>
          <w:sz w:val="24"/>
          <w:szCs w:val="24"/>
        </w:rPr>
        <w:t>Na podstawie wyników analiz fizyczno-chemicznych próbek wody zostały określone klasy jakości wód podziemnych w punktach pomiarowych</w:t>
      </w:r>
      <w:r w:rsidRPr="005E2831">
        <w:rPr>
          <w:rStyle w:val="Odwoanieprzypisudolnego"/>
          <w:rFonts w:eastAsia="Calibri" w:cs="Times New Roman"/>
          <w:sz w:val="24"/>
          <w:szCs w:val="24"/>
        </w:rPr>
        <w:footnoteReference w:id="100"/>
      </w:r>
      <w:r w:rsidRPr="005E2831">
        <w:rPr>
          <w:rFonts w:ascii="Times New Roman" w:eastAsia="Calibri" w:hAnsi="Times New Roman" w:cs="Times New Roman"/>
          <w:sz w:val="24"/>
          <w:szCs w:val="24"/>
        </w:rPr>
        <w:t>. Z przeprowadzonej klasyfikacji wynika, że w ok. 79 % punktów pomiarowych stwierdzono I-III klasę jakości oznaczającą dobry stan chemiczny, a w ok. 21 % klasę IV-V oznaczającą słaby stan chemiczny. Wyniki oceny klas jakości w punktach pomiarowych są przedstawione w poniższej tabeli oraz</w:t>
      </w:r>
      <w:r>
        <w:rPr>
          <w:rFonts w:ascii="Times New Roman" w:eastAsia="Calibri" w:hAnsi="Times New Roman" w:cs="Times New Roman"/>
          <w:sz w:val="24"/>
          <w:szCs w:val="24"/>
        </w:rPr>
        <w:t> </w:t>
      </w:r>
      <w:r w:rsidRPr="005E2831">
        <w:rPr>
          <w:rFonts w:ascii="Times New Roman" w:eastAsia="Calibri" w:hAnsi="Times New Roman" w:cs="Times New Roman"/>
          <w:sz w:val="24"/>
          <w:szCs w:val="24"/>
        </w:rPr>
        <w:t>na</w:t>
      </w:r>
      <w:r>
        <w:rPr>
          <w:rFonts w:ascii="Times New Roman" w:eastAsia="Calibri" w:hAnsi="Times New Roman" w:cs="Times New Roman"/>
          <w:sz w:val="24"/>
          <w:szCs w:val="24"/>
        </w:rPr>
        <w:t> </w:t>
      </w:r>
      <w:r w:rsidRPr="005E2831">
        <w:rPr>
          <w:rFonts w:ascii="Times New Roman" w:eastAsia="Calibri" w:hAnsi="Times New Roman" w:cs="Times New Roman"/>
          <w:sz w:val="24"/>
          <w:szCs w:val="24"/>
        </w:rPr>
        <w:t>poniższej mapie</w:t>
      </w:r>
      <w:r w:rsidR="00895F16" w:rsidRPr="007F400A">
        <w:rPr>
          <w:rFonts w:ascii="Times New Roman" w:hAnsi="Times New Roman"/>
          <w:sz w:val="24"/>
          <w:szCs w:val="24"/>
          <w:lang w:val="x-none" w:eastAsia="x-none"/>
        </w:rPr>
        <w:t>.</w:t>
      </w:r>
    </w:p>
    <w:p w14:paraId="14A26D3E" w14:textId="63FB71DC" w:rsidR="007C18D1" w:rsidRPr="005E2831" w:rsidRDefault="007C18D1" w:rsidP="007C18D1">
      <w:pPr>
        <w:spacing w:before="240" w:after="60" w:line="240" w:lineRule="auto"/>
        <w:ind w:left="284"/>
        <w:jc w:val="both"/>
        <w:rPr>
          <w:rFonts w:ascii="Times New Roman" w:eastAsia="Times New Roman" w:hAnsi="Times New Roman" w:cs="Times New Roman"/>
          <w:b/>
          <w:lang w:eastAsia="pl-PL"/>
        </w:rPr>
      </w:pPr>
      <w:r w:rsidRPr="005E2831">
        <w:rPr>
          <w:rFonts w:ascii="Times New Roman" w:eastAsia="Times New Roman" w:hAnsi="Times New Roman" w:cs="Times New Roman"/>
          <w:b/>
          <w:lang w:eastAsia="pl-PL"/>
        </w:rPr>
        <w:t xml:space="preserve">Tabela </w:t>
      </w:r>
      <w:r w:rsidR="001D61F0">
        <w:rPr>
          <w:rFonts w:ascii="Times New Roman" w:eastAsia="Times New Roman" w:hAnsi="Times New Roman" w:cs="Times New Roman"/>
          <w:b/>
          <w:lang w:eastAsia="pl-PL"/>
        </w:rPr>
        <w:t>29</w:t>
      </w:r>
      <w:r w:rsidRPr="00DF0B98">
        <w:rPr>
          <w:rFonts w:ascii="Times New Roman" w:eastAsia="Times New Roman" w:hAnsi="Times New Roman" w:cs="Times New Roman"/>
          <w:b/>
          <w:lang w:eastAsia="pl-PL"/>
        </w:rPr>
        <w:t xml:space="preserve">. </w:t>
      </w:r>
      <w:r w:rsidRPr="005E2831">
        <w:rPr>
          <w:rFonts w:ascii="Times New Roman" w:eastAsia="Times New Roman" w:hAnsi="Times New Roman" w:cs="Times New Roman"/>
          <w:b/>
          <w:lang w:eastAsia="pl-PL"/>
        </w:rPr>
        <w:t>Procent punktów pomiarowych monitoringu diagnostycznego w klasach jakości wód podziemnych w 2022 roku</w:t>
      </w:r>
    </w:p>
    <w:tbl>
      <w:tblPr>
        <w:tblW w:w="8380" w:type="dxa"/>
        <w:jc w:val="center"/>
        <w:tblCellMar>
          <w:left w:w="70" w:type="dxa"/>
          <w:right w:w="70" w:type="dxa"/>
        </w:tblCellMar>
        <w:tblLook w:val="04A0" w:firstRow="1" w:lastRow="0" w:firstColumn="1" w:lastColumn="0" w:noHBand="0" w:noVBand="1"/>
      </w:tblPr>
      <w:tblGrid>
        <w:gridCol w:w="1473"/>
        <w:gridCol w:w="1240"/>
        <w:gridCol w:w="1127"/>
        <w:gridCol w:w="1133"/>
        <w:gridCol w:w="1133"/>
        <w:gridCol w:w="1141"/>
        <w:gridCol w:w="1133"/>
      </w:tblGrid>
      <w:tr w:rsidR="007C18D1" w:rsidRPr="005E2831" w14:paraId="32762941" w14:textId="77777777" w:rsidTr="00DB2E04">
        <w:trPr>
          <w:trHeight w:val="589"/>
          <w:jc w:val="center"/>
        </w:trPr>
        <w:tc>
          <w:tcPr>
            <w:tcW w:w="1473" w:type="dxa"/>
            <w:vMerge w:val="restart"/>
            <w:tcBorders>
              <w:top w:val="single" w:sz="8" w:space="0" w:color="auto"/>
              <w:left w:val="single" w:sz="8" w:space="0" w:color="auto"/>
              <w:bottom w:val="single" w:sz="8" w:space="0" w:color="000000"/>
              <w:right w:val="single" w:sz="8" w:space="0" w:color="auto"/>
            </w:tcBorders>
            <w:shd w:val="clear" w:color="auto" w:fill="BFBFBF"/>
            <w:vAlign w:val="center"/>
            <w:hideMark/>
          </w:tcPr>
          <w:p w14:paraId="3645AF47" w14:textId="77777777" w:rsidR="007C18D1" w:rsidRPr="005E2831" w:rsidRDefault="007C18D1" w:rsidP="00DB2E04">
            <w:pPr>
              <w:spacing w:after="60" w:line="240" w:lineRule="auto"/>
              <w:jc w:val="center"/>
              <w:rPr>
                <w:rFonts w:ascii="Times New Roman" w:eastAsia="Times New Roman" w:hAnsi="Times New Roman" w:cs="Times New Roman"/>
                <w:color w:val="000000"/>
                <w:sz w:val="20"/>
                <w:szCs w:val="20"/>
                <w:lang w:eastAsia="pl-PL"/>
              </w:rPr>
            </w:pPr>
            <w:r w:rsidRPr="005E2831">
              <w:rPr>
                <w:rFonts w:ascii="Times New Roman" w:eastAsia="Times New Roman" w:hAnsi="Times New Roman" w:cs="Times New Roman"/>
                <w:color w:val="000000"/>
                <w:sz w:val="20"/>
                <w:szCs w:val="20"/>
                <w:lang w:eastAsia="pl-PL"/>
              </w:rPr>
              <w:t>Zwierciadło wody</w:t>
            </w:r>
          </w:p>
        </w:tc>
        <w:tc>
          <w:tcPr>
            <w:tcW w:w="1240" w:type="dxa"/>
            <w:vMerge w:val="restart"/>
            <w:tcBorders>
              <w:top w:val="single" w:sz="8" w:space="0" w:color="auto"/>
              <w:left w:val="single" w:sz="8" w:space="0" w:color="auto"/>
              <w:bottom w:val="single" w:sz="8" w:space="0" w:color="000000"/>
              <w:right w:val="single" w:sz="8" w:space="0" w:color="auto"/>
            </w:tcBorders>
            <w:shd w:val="clear" w:color="auto" w:fill="BFBFBF"/>
            <w:vAlign w:val="center"/>
            <w:hideMark/>
          </w:tcPr>
          <w:p w14:paraId="2A6202C6" w14:textId="77777777" w:rsidR="007C18D1" w:rsidRPr="005E2831" w:rsidRDefault="007C18D1" w:rsidP="00DB2E04">
            <w:pPr>
              <w:spacing w:after="60" w:line="240" w:lineRule="auto"/>
              <w:jc w:val="center"/>
              <w:rPr>
                <w:rFonts w:ascii="Times New Roman" w:eastAsia="Times New Roman" w:hAnsi="Times New Roman" w:cs="Times New Roman"/>
                <w:color w:val="000000"/>
                <w:sz w:val="20"/>
                <w:szCs w:val="20"/>
                <w:lang w:eastAsia="pl-PL"/>
              </w:rPr>
            </w:pPr>
            <w:r w:rsidRPr="005E2831">
              <w:rPr>
                <w:rFonts w:ascii="Times New Roman" w:eastAsia="Times New Roman" w:hAnsi="Times New Roman" w:cs="Times New Roman"/>
                <w:color w:val="000000"/>
                <w:sz w:val="20"/>
                <w:szCs w:val="20"/>
                <w:lang w:eastAsia="pl-PL"/>
              </w:rPr>
              <w:t>Liczba punktów pomiarowych</w:t>
            </w:r>
          </w:p>
        </w:tc>
        <w:tc>
          <w:tcPr>
            <w:tcW w:w="3393" w:type="dxa"/>
            <w:gridSpan w:val="3"/>
            <w:tcBorders>
              <w:top w:val="single" w:sz="8" w:space="0" w:color="auto"/>
              <w:left w:val="nil"/>
              <w:bottom w:val="single" w:sz="8" w:space="0" w:color="auto"/>
              <w:right w:val="single" w:sz="8" w:space="0" w:color="000000"/>
            </w:tcBorders>
            <w:shd w:val="clear" w:color="auto" w:fill="92D050"/>
            <w:vAlign w:val="center"/>
            <w:hideMark/>
          </w:tcPr>
          <w:p w14:paraId="0D112074" w14:textId="77777777" w:rsidR="007C18D1" w:rsidRPr="005E2831" w:rsidRDefault="007C18D1" w:rsidP="00DB2E04">
            <w:pPr>
              <w:spacing w:after="60" w:line="240" w:lineRule="auto"/>
              <w:jc w:val="center"/>
              <w:rPr>
                <w:rFonts w:ascii="Times New Roman" w:eastAsia="Times New Roman" w:hAnsi="Times New Roman" w:cs="Times New Roman"/>
                <w:color w:val="000000"/>
                <w:sz w:val="20"/>
                <w:szCs w:val="20"/>
                <w:lang w:eastAsia="pl-PL"/>
              </w:rPr>
            </w:pPr>
            <w:r w:rsidRPr="005E2831">
              <w:rPr>
                <w:rFonts w:ascii="Times New Roman" w:eastAsia="Times New Roman" w:hAnsi="Times New Roman" w:cs="Times New Roman"/>
                <w:color w:val="000000"/>
                <w:sz w:val="20"/>
                <w:szCs w:val="20"/>
                <w:lang w:eastAsia="pl-PL"/>
              </w:rPr>
              <w:t>DOBRY STAN CHEMICZNY WÓD PODZIEMNYCH</w:t>
            </w:r>
          </w:p>
        </w:tc>
        <w:tc>
          <w:tcPr>
            <w:tcW w:w="2274" w:type="dxa"/>
            <w:gridSpan w:val="2"/>
            <w:tcBorders>
              <w:top w:val="single" w:sz="8" w:space="0" w:color="auto"/>
              <w:left w:val="nil"/>
              <w:bottom w:val="single" w:sz="8" w:space="0" w:color="auto"/>
              <w:right w:val="single" w:sz="8" w:space="0" w:color="000000"/>
            </w:tcBorders>
            <w:shd w:val="clear" w:color="auto" w:fill="FF0000"/>
            <w:vAlign w:val="center"/>
            <w:hideMark/>
          </w:tcPr>
          <w:p w14:paraId="6516B04B" w14:textId="77777777" w:rsidR="007C18D1" w:rsidRPr="005E2831" w:rsidRDefault="007C18D1" w:rsidP="00DB2E04">
            <w:pPr>
              <w:spacing w:after="60" w:line="240" w:lineRule="auto"/>
              <w:jc w:val="center"/>
              <w:rPr>
                <w:rFonts w:ascii="Times New Roman" w:eastAsia="Times New Roman" w:hAnsi="Times New Roman" w:cs="Times New Roman"/>
                <w:color w:val="000000"/>
                <w:sz w:val="20"/>
                <w:szCs w:val="20"/>
                <w:lang w:eastAsia="pl-PL"/>
              </w:rPr>
            </w:pPr>
            <w:r w:rsidRPr="005E2831">
              <w:rPr>
                <w:rFonts w:ascii="Times New Roman" w:eastAsia="Times New Roman" w:hAnsi="Times New Roman" w:cs="Times New Roman"/>
                <w:color w:val="000000"/>
                <w:sz w:val="20"/>
                <w:szCs w:val="20"/>
                <w:lang w:eastAsia="pl-PL"/>
              </w:rPr>
              <w:t>SŁABY STAN CHEMICZNY WÓD PODZIEMNYCH</w:t>
            </w:r>
          </w:p>
        </w:tc>
      </w:tr>
      <w:tr w:rsidR="007C18D1" w:rsidRPr="005E2831" w14:paraId="0EC5600E" w14:textId="77777777" w:rsidTr="00DB2E04">
        <w:trPr>
          <w:trHeight w:val="615"/>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7A196DB0" w14:textId="77777777" w:rsidR="007C18D1" w:rsidRPr="005E2831" w:rsidRDefault="007C18D1" w:rsidP="00DB2E04">
            <w:pPr>
              <w:spacing w:after="60" w:line="240" w:lineRule="auto"/>
              <w:jc w:val="center"/>
              <w:rPr>
                <w:rFonts w:ascii="Times New Roman" w:eastAsia="Times New Roman" w:hAnsi="Times New Roman" w:cs="Times New Roman"/>
                <w:color w:val="000000"/>
                <w:sz w:val="20"/>
                <w:szCs w:val="20"/>
                <w:lang w:eastAsia="pl-PL"/>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C91F94A" w14:textId="77777777" w:rsidR="007C18D1" w:rsidRPr="005E2831" w:rsidRDefault="007C18D1" w:rsidP="00DB2E04">
            <w:pPr>
              <w:spacing w:after="60" w:line="240" w:lineRule="auto"/>
              <w:jc w:val="center"/>
              <w:rPr>
                <w:rFonts w:ascii="Times New Roman" w:eastAsia="Times New Roman" w:hAnsi="Times New Roman" w:cs="Times New Roman"/>
                <w:color w:val="000000"/>
                <w:sz w:val="20"/>
                <w:szCs w:val="20"/>
                <w:lang w:eastAsia="pl-PL"/>
              </w:rPr>
            </w:pPr>
          </w:p>
        </w:tc>
        <w:tc>
          <w:tcPr>
            <w:tcW w:w="1127" w:type="dxa"/>
            <w:tcBorders>
              <w:top w:val="nil"/>
              <w:left w:val="nil"/>
              <w:bottom w:val="single" w:sz="8" w:space="0" w:color="auto"/>
              <w:right w:val="single" w:sz="8" w:space="0" w:color="auto"/>
            </w:tcBorders>
            <w:shd w:val="clear" w:color="auto" w:fill="BFBFBF"/>
            <w:vAlign w:val="center"/>
            <w:hideMark/>
          </w:tcPr>
          <w:p w14:paraId="47156B91" w14:textId="77777777" w:rsidR="007C18D1" w:rsidRPr="005E2831" w:rsidRDefault="007C18D1" w:rsidP="00DB2E04">
            <w:pPr>
              <w:spacing w:after="60" w:line="240" w:lineRule="auto"/>
              <w:jc w:val="center"/>
              <w:rPr>
                <w:rFonts w:ascii="Times New Roman" w:eastAsia="Times New Roman" w:hAnsi="Times New Roman" w:cs="Times New Roman"/>
                <w:color w:val="000000"/>
                <w:sz w:val="20"/>
                <w:szCs w:val="20"/>
                <w:lang w:eastAsia="pl-PL"/>
              </w:rPr>
            </w:pPr>
            <w:r w:rsidRPr="005E2831">
              <w:rPr>
                <w:rFonts w:ascii="Times New Roman" w:eastAsia="Times New Roman" w:hAnsi="Times New Roman" w:cs="Times New Roman"/>
                <w:color w:val="000000"/>
                <w:sz w:val="20"/>
                <w:szCs w:val="20"/>
                <w:lang w:eastAsia="pl-PL"/>
              </w:rPr>
              <w:t>I klasa jakości</w:t>
            </w:r>
          </w:p>
        </w:tc>
        <w:tc>
          <w:tcPr>
            <w:tcW w:w="1133" w:type="dxa"/>
            <w:tcBorders>
              <w:top w:val="nil"/>
              <w:left w:val="nil"/>
              <w:bottom w:val="single" w:sz="8" w:space="0" w:color="auto"/>
              <w:right w:val="single" w:sz="8" w:space="0" w:color="auto"/>
            </w:tcBorders>
            <w:shd w:val="clear" w:color="auto" w:fill="BFBFBF"/>
            <w:vAlign w:val="center"/>
            <w:hideMark/>
          </w:tcPr>
          <w:p w14:paraId="1BCC71CB" w14:textId="77777777" w:rsidR="007C18D1" w:rsidRPr="005E2831" w:rsidRDefault="007C18D1" w:rsidP="00DB2E04">
            <w:pPr>
              <w:spacing w:after="60" w:line="240" w:lineRule="auto"/>
              <w:jc w:val="center"/>
              <w:rPr>
                <w:rFonts w:ascii="Times New Roman" w:eastAsia="Times New Roman" w:hAnsi="Times New Roman" w:cs="Times New Roman"/>
                <w:color w:val="000000"/>
                <w:sz w:val="20"/>
                <w:szCs w:val="20"/>
                <w:lang w:eastAsia="pl-PL"/>
              </w:rPr>
            </w:pPr>
            <w:r w:rsidRPr="005E2831">
              <w:rPr>
                <w:rFonts w:ascii="Times New Roman" w:eastAsia="Times New Roman" w:hAnsi="Times New Roman" w:cs="Times New Roman"/>
                <w:color w:val="000000"/>
                <w:sz w:val="20"/>
                <w:szCs w:val="20"/>
                <w:lang w:eastAsia="pl-PL"/>
              </w:rPr>
              <w:t>II klasa jakości</w:t>
            </w:r>
          </w:p>
        </w:tc>
        <w:tc>
          <w:tcPr>
            <w:tcW w:w="1133" w:type="dxa"/>
            <w:tcBorders>
              <w:top w:val="nil"/>
              <w:left w:val="nil"/>
              <w:bottom w:val="single" w:sz="8" w:space="0" w:color="auto"/>
              <w:right w:val="single" w:sz="8" w:space="0" w:color="auto"/>
            </w:tcBorders>
            <w:shd w:val="clear" w:color="auto" w:fill="BFBFBF"/>
            <w:vAlign w:val="center"/>
            <w:hideMark/>
          </w:tcPr>
          <w:p w14:paraId="0D36439A" w14:textId="77777777" w:rsidR="007C18D1" w:rsidRPr="005E2831" w:rsidRDefault="007C18D1" w:rsidP="00DB2E04">
            <w:pPr>
              <w:spacing w:after="60" w:line="240" w:lineRule="auto"/>
              <w:jc w:val="center"/>
              <w:rPr>
                <w:rFonts w:ascii="Times New Roman" w:eastAsia="Times New Roman" w:hAnsi="Times New Roman" w:cs="Times New Roman"/>
                <w:color w:val="000000"/>
                <w:sz w:val="20"/>
                <w:szCs w:val="20"/>
                <w:lang w:eastAsia="pl-PL"/>
              </w:rPr>
            </w:pPr>
            <w:r w:rsidRPr="005E2831">
              <w:rPr>
                <w:rFonts w:ascii="Times New Roman" w:eastAsia="Times New Roman" w:hAnsi="Times New Roman" w:cs="Times New Roman"/>
                <w:color w:val="000000"/>
                <w:sz w:val="20"/>
                <w:szCs w:val="20"/>
                <w:lang w:eastAsia="pl-PL"/>
              </w:rPr>
              <w:t>III klasa jakości</w:t>
            </w:r>
          </w:p>
        </w:tc>
        <w:tc>
          <w:tcPr>
            <w:tcW w:w="1141" w:type="dxa"/>
            <w:tcBorders>
              <w:top w:val="nil"/>
              <w:left w:val="nil"/>
              <w:bottom w:val="single" w:sz="8" w:space="0" w:color="auto"/>
              <w:right w:val="single" w:sz="8" w:space="0" w:color="auto"/>
            </w:tcBorders>
            <w:shd w:val="clear" w:color="auto" w:fill="BFBFBF"/>
            <w:vAlign w:val="center"/>
            <w:hideMark/>
          </w:tcPr>
          <w:p w14:paraId="75CC3007" w14:textId="77777777" w:rsidR="007C18D1" w:rsidRPr="005E2831" w:rsidRDefault="007C18D1" w:rsidP="00DB2E04">
            <w:pPr>
              <w:spacing w:after="60" w:line="240" w:lineRule="auto"/>
              <w:jc w:val="center"/>
              <w:rPr>
                <w:rFonts w:ascii="Times New Roman" w:eastAsia="Times New Roman" w:hAnsi="Times New Roman" w:cs="Times New Roman"/>
                <w:color w:val="000000"/>
                <w:sz w:val="20"/>
                <w:szCs w:val="20"/>
                <w:lang w:eastAsia="pl-PL"/>
              </w:rPr>
            </w:pPr>
            <w:r w:rsidRPr="005E2831">
              <w:rPr>
                <w:rFonts w:ascii="Times New Roman" w:eastAsia="Times New Roman" w:hAnsi="Times New Roman" w:cs="Times New Roman"/>
                <w:color w:val="000000"/>
                <w:sz w:val="20"/>
                <w:szCs w:val="20"/>
                <w:lang w:eastAsia="pl-PL"/>
              </w:rPr>
              <w:t>IV klasa jakości</w:t>
            </w:r>
          </w:p>
        </w:tc>
        <w:tc>
          <w:tcPr>
            <w:tcW w:w="1133" w:type="dxa"/>
            <w:tcBorders>
              <w:top w:val="nil"/>
              <w:left w:val="nil"/>
              <w:bottom w:val="single" w:sz="8" w:space="0" w:color="auto"/>
              <w:right w:val="single" w:sz="8" w:space="0" w:color="auto"/>
            </w:tcBorders>
            <w:shd w:val="clear" w:color="auto" w:fill="BFBFBF"/>
            <w:vAlign w:val="center"/>
            <w:hideMark/>
          </w:tcPr>
          <w:p w14:paraId="355B6884" w14:textId="77777777" w:rsidR="007C18D1" w:rsidRPr="005E2831" w:rsidRDefault="007C18D1" w:rsidP="00DB2E04">
            <w:pPr>
              <w:spacing w:after="60" w:line="240" w:lineRule="auto"/>
              <w:jc w:val="center"/>
              <w:rPr>
                <w:rFonts w:ascii="Times New Roman" w:eastAsia="Times New Roman" w:hAnsi="Times New Roman" w:cs="Times New Roman"/>
                <w:color w:val="000000"/>
                <w:sz w:val="20"/>
                <w:szCs w:val="20"/>
                <w:lang w:eastAsia="pl-PL"/>
              </w:rPr>
            </w:pPr>
            <w:r w:rsidRPr="005E2831">
              <w:rPr>
                <w:rFonts w:ascii="Times New Roman" w:eastAsia="Times New Roman" w:hAnsi="Times New Roman" w:cs="Times New Roman"/>
                <w:color w:val="000000"/>
                <w:sz w:val="20"/>
                <w:szCs w:val="20"/>
                <w:lang w:eastAsia="pl-PL"/>
              </w:rPr>
              <w:t>V klasa jakości</w:t>
            </w:r>
          </w:p>
        </w:tc>
      </w:tr>
      <w:tr w:rsidR="007C18D1" w:rsidRPr="005E2831" w14:paraId="46DBE360" w14:textId="77777777" w:rsidTr="00DB2E04">
        <w:trPr>
          <w:trHeight w:val="411"/>
          <w:jc w:val="center"/>
        </w:trPr>
        <w:tc>
          <w:tcPr>
            <w:tcW w:w="1473" w:type="dxa"/>
            <w:tcBorders>
              <w:top w:val="nil"/>
              <w:left w:val="single" w:sz="8" w:space="0" w:color="auto"/>
              <w:bottom w:val="single" w:sz="8" w:space="0" w:color="auto"/>
              <w:right w:val="single" w:sz="8" w:space="0" w:color="auto"/>
            </w:tcBorders>
            <w:vAlign w:val="center"/>
            <w:hideMark/>
          </w:tcPr>
          <w:p w14:paraId="4502B33B" w14:textId="61E1A1F9" w:rsidR="007C18D1" w:rsidRPr="005E2831" w:rsidRDefault="0068480F" w:rsidP="00DB2E04">
            <w:pPr>
              <w:spacing w:after="60" w:line="240" w:lineRule="auto"/>
              <w:jc w:val="center"/>
              <w:rPr>
                <w:rFonts w:ascii="Times New Roman" w:eastAsia="Times New Roman" w:hAnsi="Times New Roman" w:cs="Times New Roman"/>
                <w:color w:val="000000"/>
                <w:sz w:val="20"/>
                <w:szCs w:val="20"/>
                <w:lang w:eastAsia="pl-PL"/>
              </w:rPr>
            </w:pPr>
            <w:r w:rsidRPr="005E2831">
              <w:rPr>
                <w:rFonts w:ascii="Times New Roman" w:eastAsia="Times New Roman" w:hAnsi="Times New Roman" w:cs="Times New Roman"/>
                <w:color w:val="000000"/>
                <w:sz w:val="20"/>
                <w:szCs w:val="20"/>
                <w:lang w:eastAsia="pl-PL"/>
              </w:rPr>
              <w:t>S</w:t>
            </w:r>
            <w:r w:rsidR="007C18D1" w:rsidRPr="005E2831">
              <w:rPr>
                <w:rFonts w:ascii="Times New Roman" w:eastAsia="Times New Roman" w:hAnsi="Times New Roman" w:cs="Times New Roman"/>
                <w:color w:val="000000"/>
                <w:sz w:val="20"/>
                <w:szCs w:val="20"/>
                <w:lang w:eastAsia="pl-PL"/>
              </w:rPr>
              <w:t>wobodne</w:t>
            </w:r>
          </w:p>
        </w:tc>
        <w:tc>
          <w:tcPr>
            <w:tcW w:w="1240" w:type="dxa"/>
            <w:tcBorders>
              <w:top w:val="nil"/>
              <w:left w:val="nil"/>
              <w:bottom w:val="single" w:sz="8" w:space="0" w:color="auto"/>
              <w:right w:val="single" w:sz="8" w:space="0" w:color="auto"/>
            </w:tcBorders>
            <w:vAlign w:val="center"/>
            <w:hideMark/>
          </w:tcPr>
          <w:p w14:paraId="13A2B67A" w14:textId="77777777" w:rsidR="007C18D1" w:rsidRPr="005E2831" w:rsidRDefault="007C18D1" w:rsidP="00DB2E04">
            <w:pPr>
              <w:spacing w:after="60" w:line="240" w:lineRule="auto"/>
              <w:jc w:val="center"/>
              <w:rPr>
                <w:rFonts w:ascii="Times New Roman" w:eastAsia="Times New Roman" w:hAnsi="Times New Roman" w:cs="Times New Roman"/>
                <w:b/>
                <w:bCs/>
                <w:color w:val="000000"/>
                <w:sz w:val="20"/>
                <w:szCs w:val="20"/>
                <w:lang w:eastAsia="pl-PL"/>
              </w:rPr>
            </w:pPr>
            <w:r w:rsidRPr="005E2831">
              <w:rPr>
                <w:rFonts w:ascii="Times New Roman" w:eastAsia="Times New Roman" w:hAnsi="Times New Roman" w:cs="Times New Roman"/>
                <w:b/>
                <w:bCs/>
                <w:color w:val="000000"/>
                <w:sz w:val="20"/>
                <w:szCs w:val="20"/>
                <w:lang w:eastAsia="pl-PL"/>
              </w:rPr>
              <w:t>170</w:t>
            </w:r>
          </w:p>
        </w:tc>
        <w:tc>
          <w:tcPr>
            <w:tcW w:w="1127" w:type="dxa"/>
            <w:tcBorders>
              <w:top w:val="nil"/>
              <w:left w:val="nil"/>
              <w:bottom w:val="single" w:sz="8" w:space="0" w:color="auto"/>
              <w:right w:val="single" w:sz="8" w:space="0" w:color="auto"/>
            </w:tcBorders>
            <w:vAlign w:val="center"/>
            <w:hideMark/>
          </w:tcPr>
          <w:p w14:paraId="643F2A34" w14:textId="77777777" w:rsidR="007C18D1" w:rsidRPr="005E2831" w:rsidRDefault="007C18D1" w:rsidP="00DB2E04">
            <w:pPr>
              <w:spacing w:after="60" w:line="240" w:lineRule="auto"/>
              <w:jc w:val="center"/>
              <w:rPr>
                <w:rFonts w:ascii="Times New Roman" w:eastAsia="Times New Roman" w:hAnsi="Times New Roman" w:cs="Times New Roman"/>
                <w:color w:val="000000"/>
                <w:sz w:val="20"/>
                <w:szCs w:val="20"/>
                <w:lang w:eastAsia="pl-PL"/>
              </w:rPr>
            </w:pPr>
            <w:r w:rsidRPr="005E2831">
              <w:rPr>
                <w:rFonts w:ascii="Times New Roman" w:eastAsia="Times New Roman" w:hAnsi="Times New Roman" w:cs="Times New Roman"/>
                <w:color w:val="000000"/>
                <w:sz w:val="20"/>
                <w:szCs w:val="20"/>
                <w:lang w:eastAsia="pl-PL"/>
              </w:rPr>
              <w:t>3,99%</w:t>
            </w:r>
          </w:p>
        </w:tc>
        <w:tc>
          <w:tcPr>
            <w:tcW w:w="1133" w:type="dxa"/>
            <w:tcBorders>
              <w:top w:val="nil"/>
              <w:left w:val="nil"/>
              <w:bottom w:val="single" w:sz="8" w:space="0" w:color="auto"/>
              <w:right w:val="single" w:sz="8" w:space="0" w:color="auto"/>
            </w:tcBorders>
            <w:vAlign w:val="center"/>
            <w:hideMark/>
          </w:tcPr>
          <w:p w14:paraId="6642FC75" w14:textId="77777777" w:rsidR="007C18D1" w:rsidRPr="005E2831" w:rsidRDefault="007C18D1" w:rsidP="00DB2E04">
            <w:pPr>
              <w:spacing w:after="60" w:line="240" w:lineRule="auto"/>
              <w:jc w:val="center"/>
              <w:rPr>
                <w:rFonts w:ascii="Times New Roman" w:eastAsia="Times New Roman" w:hAnsi="Times New Roman" w:cs="Times New Roman"/>
                <w:color w:val="000000"/>
                <w:sz w:val="20"/>
                <w:szCs w:val="20"/>
                <w:lang w:eastAsia="pl-PL"/>
              </w:rPr>
            </w:pPr>
            <w:r w:rsidRPr="005E2831">
              <w:rPr>
                <w:rFonts w:ascii="Times New Roman" w:eastAsia="Times New Roman" w:hAnsi="Times New Roman" w:cs="Times New Roman"/>
                <w:color w:val="000000"/>
                <w:sz w:val="20"/>
                <w:szCs w:val="20"/>
                <w:lang w:eastAsia="pl-PL"/>
              </w:rPr>
              <w:t>35,95%</w:t>
            </w:r>
          </w:p>
        </w:tc>
        <w:tc>
          <w:tcPr>
            <w:tcW w:w="1133" w:type="dxa"/>
            <w:tcBorders>
              <w:top w:val="nil"/>
              <w:left w:val="nil"/>
              <w:bottom w:val="single" w:sz="8" w:space="0" w:color="auto"/>
              <w:right w:val="single" w:sz="8" w:space="0" w:color="auto"/>
            </w:tcBorders>
            <w:vAlign w:val="center"/>
            <w:hideMark/>
          </w:tcPr>
          <w:p w14:paraId="32DC001A" w14:textId="77777777" w:rsidR="007C18D1" w:rsidRPr="005E2831" w:rsidRDefault="007C18D1" w:rsidP="00DB2E04">
            <w:pPr>
              <w:spacing w:after="60" w:line="240" w:lineRule="auto"/>
              <w:jc w:val="center"/>
              <w:rPr>
                <w:rFonts w:ascii="Times New Roman" w:eastAsia="Times New Roman" w:hAnsi="Times New Roman" w:cs="Times New Roman"/>
                <w:color w:val="000000"/>
                <w:sz w:val="20"/>
                <w:szCs w:val="20"/>
                <w:lang w:eastAsia="pl-PL"/>
              </w:rPr>
            </w:pPr>
            <w:r w:rsidRPr="005E2831">
              <w:rPr>
                <w:rFonts w:ascii="Times New Roman" w:eastAsia="Times New Roman" w:hAnsi="Times New Roman" w:cs="Times New Roman"/>
                <w:color w:val="000000"/>
                <w:sz w:val="20"/>
                <w:szCs w:val="20"/>
                <w:lang w:eastAsia="pl-PL"/>
              </w:rPr>
              <w:t>35,30%</w:t>
            </w:r>
          </w:p>
        </w:tc>
        <w:tc>
          <w:tcPr>
            <w:tcW w:w="1141" w:type="dxa"/>
            <w:tcBorders>
              <w:top w:val="nil"/>
              <w:left w:val="nil"/>
              <w:bottom w:val="single" w:sz="8" w:space="0" w:color="auto"/>
              <w:right w:val="single" w:sz="8" w:space="0" w:color="auto"/>
            </w:tcBorders>
            <w:vAlign w:val="center"/>
            <w:hideMark/>
          </w:tcPr>
          <w:p w14:paraId="3CFCB8FE" w14:textId="77777777" w:rsidR="007C18D1" w:rsidRPr="005E2831" w:rsidRDefault="007C18D1" w:rsidP="00DB2E04">
            <w:pPr>
              <w:spacing w:after="60" w:line="240" w:lineRule="auto"/>
              <w:jc w:val="center"/>
              <w:rPr>
                <w:rFonts w:ascii="Times New Roman" w:eastAsia="Times New Roman" w:hAnsi="Times New Roman" w:cs="Times New Roman"/>
                <w:color w:val="000000"/>
                <w:sz w:val="20"/>
                <w:szCs w:val="20"/>
                <w:lang w:eastAsia="pl-PL"/>
              </w:rPr>
            </w:pPr>
            <w:r w:rsidRPr="005E2831">
              <w:rPr>
                <w:rFonts w:ascii="Times New Roman" w:eastAsia="Times New Roman" w:hAnsi="Times New Roman" w:cs="Times New Roman"/>
                <w:color w:val="000000"/>
                <w:sz w:val="20"/>
                <w:szCs w:val="20"/>
                <w:lang w:eastAsia="pl-PL"/>
              </w:rPr>
              <w:t>17,73%</w:t>
            </w:r>
          </w:p>
        </w:tc>
        <w:tc>
          <w:tcPr>
            <w:tcW w:w="1133" w:type="dxa"/>
            <w:tcBorders>
              <w:top w:val="nil"/>
              <w:left w:val="nil"/>
              <w:bottom w:val="single" w:sz="8" w:space="0" w:color="auto"/>
              <w:right w:val="single" w:sz="8" w:space="0" w:color="auto"/>
            </w:tcBorders>
            <w:vAlign w:val="center"/>
            <w:hideMark/>
          </w:tcPr>
          <w:p w14:paraId="4651B00E" w14:textId="77777777" w:rsidR="007C18D1" w:rsidRPr="005E2831" w:rsidRDefault="007C18D1" w:rsidP="00DB2E04">
            <w:pPr>
              <w:spacing w:after="60" w:line="240" w:lineRule="auto"/>
              <w:jc w:val="center"/>
              <w:rPr>
                <w:rFonts w:ascii="Times New Roman" w:eastAsia="Times New Roman" w:hAnsi="Times New Roman" w:cs="Times New Roman"/>
                <w:color w:val="000000"/>
                <w:sz w:val="20"/>
                <w:szCs w:val="20"/>
                <w:lang w:eastAsia="pl-PL"/>
              </w:rPr>
            </w:pPr>
            <w:r w:rsidRPr="005E2831">
              <w:rPr>
                <w:rFonts w:ascii="Times New Roman" w:eastAsia="Times New Roman" w:hAnsi="Times New Roman" w:cs="Times New Roman"/>
                <w:color w:val="000000"/>
                <w:sz w:val="20"/>
                <w:szCs w:val="20"/>
                <w:lang w:eastAsia="pl-PL"/>
              </w:rPr>
              <w:t>7,03%</w:t>
            </w:r>
          </w:p>
        </w:tc>
      </w:tr>
      <w:tr w:rsidR="007C18D1" w:rsidRPr="005E2831" w14:paraId="77C5192A" w14:textId="77777777" w:rsidTr="00DB2E04">
        <w:trPr>
          <w:trHeight w:val="403"/>
          <w:jc w:val="center"/>
        </w:trPr>
        <w:tc>
          <w:tcPr>
            <w:tcW w:w="1473" w:type="dxa"/>
            <w:tcBorders>
              <w:top w:val="nil"/>
              <w:left w:val="single" w:sz="8" w:space="0" w:color="auto"/>
              <w:bottom w:val="single" w:sz="8" w:space="0" w:color="auto"/>
              <w:right w:val="single" w:sz="8" w:space="0" w:color="auto"/>
            </w:tcBorders>
            <w:vAlign w:val="center"/>
            <w:hideMark/>
          </w:tcPr>
          <w:p w14:paraId="7CAEAEFD" w14:textId="4AB9966D" w:rsidR="007C18D1" w:rsidRPr="005E2831" w:rsidRDefault="0068480F" w:rsidP="00DB2E04">
            <w:pPr>
              <w:spacing w:after="60" w:line="240" w:lineRule="auto"/>
              <w:jc w:val="center"/>
              <w:rPr>
                <w:rFonts w:ascii="Times New Roman" w:eastAsia="Times New Roman" w:hAnsi="Times New Roman" w:cs="Times New Roman"/>
                <w:color w:val="000000"/>
                <w:sz w:val="20"/>
                <w:szCs w:val="20"/>
                <w:lang w:eastAsia="pl-PL"/>
              </w:rPr>
            </w:pPr>
            <w:r w:rsidRPr="005E2831">
              <w:rPr>
                <w:rFonts w:ascii="Times New Roman" w:eastAsia="Times New Roman" w:hAnsi="Times New Roman" w:cs="Times New Roman"/>
                <w:color w:val="000000"/>
                <w:sz w:val="20"/>
                <w:szCs w:val="20"/>
                <w:lang w:eastAsia="pl-PL"/>
              </w:rPr>
              <w:t>N</w:t>
            </w:r>
            <w:r w:rsidR="007C18D1" w:rsidRPr="005E2831">
              <w:rPr>
                <w:rFonts w:ascii="Times New Roman" w:eastAsia="Times New Roman" w:hAnsi="Times New Roman" w:cs="Times New Roman"/>
                <w:color w:val="000000"/>
                <w:sz w:val="20"/>
                <w:szCs w:val="20"/>
                <w:lang w:eastAsia="pl-PL"/>
              </w:rPr>
              <w:t>apięte</w:t>
            </w:r>
          </w:p>
        </w:tc>
        <w:tc>
          <w:tcPr>
            <w:tcW w:w="1240" w:type="dxa"/>
            <w:tcBorders>
              <w:top w:val="nil"/>
              <w:left w:val="nil"/>
              <w:bottom w:val="single" w:sz="8" w:space="0" w:color="auto"/>
              <w:right w:val="single" w:sz="8" w:space="0" w:color="auto"/>
            </w:tcBorders>
            <w:vAlign w:val="center"/>
            <w:hideMark/>
          </w:tcPr>
          <w:p w14:paraId="547C2D4D" w14:textId="77777777" w:rsidR="007C18D1" w:rsidRPr="005E2831" w:rsidRDefault="007C18D1" w:rsidP="00DB2E04">
            <w:pPr>
              <w:spacing w:after="60" w:line="240" w:lineRule="auto"/>
              <w:jc w:val="center"/>
              <w:rPr>
                <w:rFonts w:ascii="Times New Roman" w:eastAsia="Times New Roman" w:hAnsi="Times New Roman" w:cs="Times New Roman"/>
                <w:b/>
                <w:bCs/>
                <w:color w:val="000000"/>
                <w:sz w:val="20"/>
                <w:szCs w:val="20"/>
                <w:lang w:eastAsia="pl-PL"/>
              </w:rPr>
            </w:pPr>
            <w:r w:rsidRPr="005E2831">
              <w:rPr>
                <w:rFonts w:ascii="Times New Roman" w:eastAsia="Times New Roman" w:hAnsi="Times New Roman" w:cs="Times New Roman"/>
                <w:b/>
                <w:bCs/>
                <w:color w:val="000000"/>
                <w:sz w:val="20"/>
                <w:szCs w:val="20"/>
                <w:lang w:eastAsia="pl-PL"/>
              </w:rPr>
              <w:t>210</w:t>
            </w:r>
          </w:p>
        </w:tc>
        <w:tc>
          <w:tcPr>
            <w:tcW w:w="1127" w:type="dxa"/>
            <w:tcBorders>
              <w:top w:val="nil"/>
              <w:left w:val="nil"/>
              <w:bottom w:val="single" w:sz="8" w:space="0" w:color="auto"/>
              <w:right w:val="single" w:sz="8" w:space="0" w:color="auto"/>
            </w:tcBorders>
            <w:vAlign w:val="center"/>
            <w:hideMark/>
          </w:tcPr>
          <w:p w14:paraId="3AE2B385" w14:textId="77777777" w:rsidR="007C18D1" w:rsidRPr="005E2831" w:rsidRDefault="007C18D1" w:rsidP="00DB2E04">
            <w:pPr>
              <w:spacing w:after="60" w:line="240" w:lineRule="auto"/>
              <w:jc w:val="center"/>
              <w:rPr>
                <w:rFonts w:ascii="Times New Roman" w:eastAsia="Times New Roman" w:hAnsi="Times New Roman" w:cs="Times New Roman"/>
                <w:color w:val="000000"/>
                <w:sz w:val="20"/>
                <w:szCs w:val="20"/>
                <w:lang w:eastAsia="pl-PL"/>
              </w:rPr>
            </w:pPr>
            <w:r w:rsidRPr="005E2831">
              <w:rPr>
                <w:rFonts w:ascii="Times New Roman" w:eastAsia="Times New Roman" w:hAnsi="Times New Roman" w:cs="Times New Roman"/>
                <w:color w:val="000000"/>
                <w:sz w:val="20"/>
                <w:szCs w:val="20"/>
                <w:lang w:eastAsia="pl-PL"/>
              </w:rPr>
              <w:t>1,67%</w:t>
            </w:r>
          </w:p>
        </w:tc>
        <w:tc>
          <w:tcPr>
            <w:tcW w:w="1133" w:type="dxa"/>
            <w:tcBorders>
              <w:top w:val="nil"/>
              <w:left w:val="nil"/>
              <w:bottom w:val="single" w:sz="8" w:space="0" w:color="auto"/>
              <w:right w:val="single" w:sz="8" w:space="0" w:color="auto"/>
            </w:tcBorders>
            <w:vAlign w:val="center"/>
            <w:hideMark/>
          </w:tcPr>
          <w:p w14:paraId="260DD946" w14:textId="77777777" w:rsidR="007C18D1" w:rsidRPr="005E2831" w:rsidRDefault="007C18D1" w:rsidP="00DB2E04">
            <w:pPr>
              <w:spacing w:after="60" w:line="240" w:lineRule="auto"/>
              <w:jc w:val="center"/>
              <w:rPr>
                <w:rFonts w:ascii="Times New Roman" w:eastAsia="Times New Roman" w:hAnsi="Times New Roman" w:cs="Times New Roman"/>
                <w:color w:val="000000"/>
                <w:sz w:val="20"/>
                <w:szCs w:val="20"/>
                <w:lang w:eastAsia="pl-PL"/>
              </w:rPr>
            </w:pPr>
            <w:r w:rsidRPr="005E2831">
              <w:rPr>
                <w:rFonts w:ascii="Times New Roman" w:eastAsia="Times New Roman" w:hAnsi="Times New Roman" w:cs="Times New Roman"/>
                <w:color w:val="000000"/>
                <w:sz w:val="20"/>
                <w:szCs w:val="20"/>
                <w:lang w:eastAsia="pl-PL"/>
              </w:rPr>
              <w:t>46,67%</w:t>
            </w:r>
          </w:p>
        </w:tc>
        <w:tc>
          <w:tcPr>
            <w:tcW w:w="1133" w:type="dxa"/>
            <w:tcBorders>
              <w:top w:val="nil"/>
              <w:left w:val="nil"/>
              <w:bottom w:val="single" w:sz="8" w:space="0" w:color="auto"/>
              <w:right w:val="single" w:sz="8" w:space="0" w:color="auto"/>
            </w:tcBorders>
            <w:vAlign w:val="center"/>
            <w:hideMark/>
          </w:tcPr>
          <w:p w14:paraId="7C5511BE" w14:textId="77777777" w:rsidR="007C18D1" w:rsidRPr="005E2831" w:rsidRDefault="007C18D1" w:rsidP="00DB2E04">
            <w:pPr>
              <w:spacing w:after="60" w:line="240" w:lineRule="auto"/>
              <w:jc w:val="center"/>
              <w:rPr>
                <w:rFonts w:ascii="Times New Roman" w:eastAsia="Times New Roman" w:hAnsi="Times New Roman" w:cs="Times New Roman"/>
                <w:color w:val="000000"/>
                <w:sz w:val="20"/>
                <w:szCs w:val="20"/>
                <w:lang w:eastAsia="pl-PL"/>
              </w:rPr>
            </w:pPr>
            <w:r w:rsidRPr="005E2831">
              <w:rPr>
                <w:rFonts w:ascii="Times New Roman" w:eastAsia="Times New Roman" w:hAnsi="Times New Roman" w:cs="Times New Roman"/>
                <w:color w:val="000000"/>
                <w:sz w:val="20"/>
                <w:szCs w:val="20"/>
                <w:lang w:eastAsia="pl-PL"/>
              </w:rPr>
              <w:t>33,80%</w:t>
            </w:r>
          </w:p>
        </w:tc>
        <w:tc>
          <w:tcPr>
            <w:tcW w:w="1141" w:type="dxa"/>
            <w:tcBorders>
              <w:top w:val="nil"/>
              <w:left w:val="nil"/>
              <w:bottom w:val="single" w:sz="8" w:space="0" w:color="auto"/>
              <w:right w:val="single" w:sz="8" w:space="0" w:color="auto"/>
            </w:tcBorders>
            <w:vAlign w:val="center"/>
            <w:hideMark/>
          </w:tcPr>
          <w:p w14:paraId="66969284" w14:textId="77777777" w:rsidR="007C18D1" w:rsidRPr="005E2831" w:rsidRDefault="007C18D1" w:rsidP="00DB2E04">
            <w:pPr>
              <w:spacing w:after="60" w:line="240" w:lineRule="auto"/>
              <w:jc w:val="center"/>
              <w:rPr>
                <w:rFonts w:ascii="Times New Roman" w:eastAsia="Times New Roman" w:hAnsi="Times New Roman" w:cs="Times New Roman"/>
                <w:color w:val="000000"/>
                <w:sz w:val="20"/>
                <w:szCs w:val="20"/>
                <w:lang w:eastAsia="pl-PL"/>
              </w:rPr>
            </w:pPr>
            <w:r w:rsidRPr="005E2831">
              <w:rPr>
                <w:rFonts w:ascii="Times New Roman" w:eastAsia="Times New Roman" w:hAnsi="Times New Roman" w:cs="Times New Roman"/>
                <w:color w:val="000000"/>
                <w:sz w:val="20"/>
                <w:szCs w:val="20"/>
                <w:lang w:eastAsia="pl-PL"/>
              </w:rPr>
              <w:t>13,62%</w:t>
            </w:r>
          </w:p>
        </w:tc>
        <w:tc>
          <w:tcPr>
            <w:tcW w:w="1133" w:type="dxa"/>
            <w:tcBorders>
              <w:top w:val="nil"/>
              <w:left w:val="nil"/>
              <w:bottom w:val="single" w:sz="8" w:space="0" w:color="auto"/>
              <w:right w:val="single" w:sz="8" w:space="0" w:color="auto"/>
            </w:tcBorders>
            <w:vAlign w:val="center"/>
            <w:hideMark/>
          </w:tcPr>
          <w:p w14:paraId="397FD2C1" w14:textId="77777777" w:rsidR="007C18D1" w:rsidRPr="005E2831" w:rsidRDefault="007C18D1" w:rsidP="00DB2E04">
            <w:pPr>
              <w:spacing w:after="60" w:line="240" w:lineRule="auto"/>
              <w:jc w:val="center"/>
              <w:rPr>
                <w:rFonts w:ascii="Times New Roman" w:eastAsia="Times New Roman" w:hAnsi="Times New Roman" w:cs="Times New Roman"/>
                <w:color w:val="000000"/>
                <w:sz w:val="20"/>
                <w:szCs w:val="20"/>
                <w:lang w:eastAsia="pl-PL"/>
              </w:rPr>
            </w:pPr>
            <w:r w:rsidRPr="005E2831">
              <w:rPr>
                <w:rFonts w:ascii="Times New Roman" w:eastAsia="Times New Roman" w:hAnsi="Times New Roman" w:cs="Times New Roman"/>
                <w:color w:val="000000"/>
                <w:sz w:val="20"/>
                <w:szCs w:val="20"/>
                <w:lang w:eastAsia="pl-PL"/>
              </w:rPr>
              <w:t>4,24%</w:t>
            </w:r>
          </w:p>
        </w:tc>
      </w:tr>
      <w:tr w:rsidR="007C18D1" w:rsidRPr="005E2831" w14:paraId="427F046A" w14:textId="77777777" w:rsidTr="00DB2E04">
        <w:trPr>
          <w:trHeight w:val="410"/>
          <w:jc w:val="center"/>
        </w:trPr>
        <w:tc>
          <w:tcPr>
            <w:tcW w:w="1473" w:type="dxa"/>
            <w:tcBorders>
              <w:top w:val="nil"/>
              <w:left w:val="single" w:sz="8" w:space="0" w:color="auto"/>
              <w:bottom w:val="single" w:sz="8" w:space="0" w:color="auto"/>
              <w:right w:val="single" w:sz="8" w:space="0" w:color="auto"/>
            </w:tcBorders>
            <w:vAlign w:val="center"/>
            <w:hideMark/>
          </w:tcPr>
          <w:p w14:paraId="5F636567" w14:textId="77777777" w:rsidR="007C18D1" w:rsidRPr="005E2831" w:rsidRDefault="007C18D1" w:rsidP="00DB2E04">
            <w:pPr>
              <w:spacing w:after="60" w:line="240" w:lineRule="auto"/>
              <w:jc w:val="center"/>
              <w:rPr>
                <w:rFonts w:ascii="Times New Roman" w:eastAsia="Times New Roman" w:hAnsi="Times New Roman" w:cs="Times New Roman"/>
                <w:color w:val="000000"/>
                <w:sz w:val="20"/>
                <w:szCs w:val="20"/>
                <w:lang w:eastAsia="pl-PL"/>
              </w:rPr>
            </w:pPr>
            <w:r w:rsidRPr="005E2831">
              <w:rPr>
                <w:rFonts w:ascii="Times New Roman" w:eastAsia="Times New Roman" w:hAnsi="Times New Roman" w:cs="Times New Roman"/>
                <w:color w:val="000000"/>
                <w:sz w:val="20"/>
                <w:szCs w:val="20"/>
                <w:lang w:eastAsia="pl-PL"/>
              </w:rPr>
              <w:t>Suma</w:t>
            </w:r>
          </w:p>
        </w:tc>
        <w:tc>
          <w:tcPr>
            <w:tcW w:w="1240" w:type="dxa"/>
            <w:tcBorders>
              <w:top w:val="nil"/>
              <w:left w:val="nil"/>
              <w:bottom w:val="single" w:sz="8" w:space="0" w:color="auto"/>
              <w:right w:val="single" w:sz="8" w:space="0" w:color="auto"/>
            </w:tcBorders>
            <w:vAlign w:val="center"/>
            <w:hideMark/>
          </w:tcPr>
          <w:p w14:paraId="03361815" w14:textId="77777777" w:rsidR="007C18D1" w:rsidRPr="005E2831" w:rsidRDefault="007C18D1" w:rsidP="00DB2E04">
            <w:pPr>
              <w:spacing w:after="60" w:line="240" w:lineRule="auto"/>
              <w:jc w:val="center"/>
              <w:rPr>
                <w:rFonts w:ascii="Times New Roman" w:eastAsia="Times New Roman" w:hAnsi="Times New Roman" w:cs="Times New Roman"/>
                <w:b/>
                <w:bCs/>
                <w:color w:val="000000"/>
                <w:sz w:val="20"/>
                <w:szCs w:val="20"/>
                <w:lang w:eastAsia="pl-PL"/>
              </w:rPr>
            </w:pPr>
            <w:r w:rsidRPr="005E2831">
              <w:rPr>
                <w:rFonts w:ascii="Times New Roman" w:eastAsia="Times New Roman" w:hAnsi="Times New Roman" w:cs="Times New Roman"/>
                <w:b/>
                <w:bCs/>
                <w:color w:val="000000"/>
                <w:sz w:val="20"/>
                <w:szCs w:val="20"/>
                <w:lang w:eastAsia="pl-PL"/>
              </w:rPr>
              <w:t>380</w:t>
            </w:r>
          </w:p>
        </w:tc>
        <w:tc>
          <w:tcPr>
            <w:tcW w:w="1127" w:type="dxa"/>
            <w:tcBorders>
              <w:top w:val="nil"/>
              <w:left w:val="nil"/>
              <w:bottom w:val="single" w:sz="8" w:space="0" w:color="auto"/>
              <w:right w:val="single" w:sz="8" w:space="0" w:color="auto"/>
            </w:tcBorders>
            <w:vAlign w:val="center"/>
            <w:hideMark/>
          </w:tcPr>
          <w:p w14:paraId="4D46942D" w14:textId="77777777" w:rsidR="007C18D1" w:rsidRPr="005E2831" w:rsidRDefault="007C18D1" w:rsidP="00DB2E04">
            <w:pPr>
              <w:spacing w:after="60" w:line="240" w:lineRule="auto"/>
              <w:jc w:val="center"/>
              <w:rPr>
                <w:rFonts w:ascii="Times New Roman" w:eastAsia="Times New Roman" w:hAnsi="Times New Roman" w:cs="Times New Roman"/>
                <w:color w:val="000000"/>
                <w:sz w:val="20"/>
                <w:szCs w:val="20"/>
                <w:lang w:eastAsia="pl-PL"/>
              </w:rPr>
            </w:pPr>
            <w:r w:rsidRPr="005E2831">
              <w:rPr>
                <w:rFonts w:ascii="Times New Roman" w:eastAsia="Times New Roman" w:hAnsi="Times New Roman" w:cs="Times New Roman"/>
                <w:color w:val="000000"/>
                <w:sz w:val="20"/>
                <w:szCs w:val="20"/>
                <w:lang w:eastAsia="pl-PL"/>
              </w:rPr>
              <w:t>2,71%</w:t>
            </w:r>
          </w:p>
        </w:tc>
        <w:tc>
          <w:tcPr>
            <w:tcW w:w="1133" w:type="dxa"/>
            <w:tcBorders>
              <w:top w:val="nil"/>
              <w:left w:val="nil"/>
              <w:bottom w:val="single" w:sz="8" w:space="0" w:color="auto"/>
              <w:right w:val="single" w:sz="8" w:space="0" w:color="auto"/>
            </w:tcBorders>
            <w:vAlign w:val="center"/>
            <w:hideMark/>
          </w:tcPr>
          <w:p w14:paraId="27AF652F" w14:textId="77777777" w:rsidR="007C18D1" w:rsidRPr="005E2831" w:rsidRDefault="007C18D1" w:rsidP="00DB2E04">
            <w:pPr>
              <w:spacing w:after="60" w:line="240" w:lineRule="auto"/>
              <w:jc w:val="center"/>
              <w:rPr>
                <w:rFonts w:ascii="Times New Roman" w:eastAsia="Times New Roman" w:hAnsi="Times New Roman" w:cs="Times New Roman"/>
                <w:color w:val="000000"/>
                <w:sz w:val="20"/>
                <w:szCs w:val="20"/>
                <w:lang w:eastAsia="pl-PL"/>
              </w:rPr>
            </w:pPr>
            <w:r w:rsidRPr="005E2831">
              <w:rPr>
                <w:rFonts w:ascii="Times New Roman" w:eastAsia="Times New Roman" w:hAnsi="Times New Roman" w:cs="Times New Roman"/>
                <w:color w:val="000000"/>
                <w:sz w:val="20"/>
                <w:szCs w:val="20"/>
                <w:lang w:eastAsia="pl-PL"/>
              </w:rPr>
              <w:t>41,88%</w:t>
            </w:r>
          </w:p>
        </w:tc>
        <w:tc>
          <w:tcPr>
            <w:tcW w:w="1133" w:type="dxa"/>
            <w:tcBorders>
              <w:top w:val="nil"/>
              <w:left w:val="nil"/>
              <w:bottom w:val="single" w:sz="8" w:space="0" w:color="auto"/>
              <w:right w:val="single" w:sz="8" w:space="0" w:color="auto"/>
            </w:tcBorders>
            <w:vAlign w:val="center"/>
            <w:hideMark/>
          </w:tcPr>
          <w:p w14:paraId="0EC97699" w14:textId="77777777" w:rsidR="007C18D1" w:rsidRPr="005E2831" w:rsidRDefault="007C18D1" w:rsidP="00DB2E04">
            <w:pPr>
              <w:spacing w:after="60" w:line="240" w:lineRule="auto"/>
              <w:jc w:val="center"/>
              <w:rPr>
                <w:rFonts w:ascii="Times New Roman" w:eastAsia="Times New Roman" w:hAnsi="Times New Roman" w:cs="Times New Roman"/>
                <w:color w:val="000000"/>
                <w:sz w:val="20"/>
                <w:szCs w:val="20"/>
                <w:lang w:eastAsia="pl-PL"/>
              </w:rPr>
            </w:pPr>
            <w:r w:rsidRPr="005E2831">
              <w:rPr>
                <w:rFonts w:ascii="Times New Roman" w:eastAsia="Times New Roman" w:hAnsi="Times New Roman" w:cs="Times New Roman"/>
                <w:color w:val="000000"/>
                <w:sz w:val="20"/>
                <w:szCs w:val="20"/>
                <w:lang w:eastAsia="pl-PL"/>
              </w:rPr>
              <w:t>34,47%</w:t>
            </w:r>
          </w:p>
        </w:tc>
        <w:tc>
          <w:tcPr>
            <w:tcW w:w="1141" w:type="dxa"/>
            <w:tcBorders>
              <w:top w:val="nil"/>
              <w:left w:val="nil"/>
              <w:bottom w:val="single" w:sz="8" w:space="0" w:color="auto"/>
              <w:right w:val="single" w:sz="8" w:space="0" w:color="auto"/>
            </w:tcBorders>
            <w:vAlign w:val="center"/>
            <w:hideMark/>
          </w:tcPr>
          <w:p w14:paraId="61D779BC" w14:textId="77777777" w:rsidR="007C18D1" w:rsidRPr="005E2831" w:rsidRDefault="007C18D1" w:rsidP="00DB2E04">
            <w:pPr>
              <w:spacing w:after="60" w:line="240" w:lineRule="auto"/>
              <w:jc w:val="center"/>
              <w:rPr>
                <w:rFonts w:ascii="Times New Roman" w:eastAsia="Times New Roman" w:hAnsi="Times New Roman" w:cs="Times New Roman"/>
                <w:color w:val="000000"/>
                <w:sz w:val="20"/>
                <w:szCs w:val="20"/>
                <w:lang w:eastAsia="pl-PL"/>
              </w:rPr>
            </w:pPr>
            <w:r w:rsidRPr="005E2831">
              <w:rPr>
                <w:rFonts w:ascii="Times New Roman" w:eastAsia="Times New Roman" w:hAnsi="Times New Roman" w:cs="Times New Roman"/>
                <w:color w:val="000000"/>
                <w:sz w:val="20"/>
                <w:szCs w:val="20"/>
                <w:lang w:eastAsia="pl-PL"/>
              </w:rPr>
              <w:t>15,46%</w:t>
            </w:r>
          </w:p>
        </w:tc>
        <w:tc>
          <w:tcPr>
            <w:tcW w:w="1133" w:type="dxa"/>
            <w:tcBorders>
              <w:top w:val="nil"/>
              <w:left w:val="nil"/>
              <w:bottom w:val="single" w:sz="8" w:space="0" w:color="auto"/>
              <w:right w:val="single" w:sz="8" w:space="0" w:color="auto"/>
            </w:tcBorders>
            <w:vAlign w:val="center"/>
            <w:hideMark/>
          </w:tcPr>
          <w:p w14:paraId="22661D4E" w14:textId="77777777" w:rsidR="007C18D1" w:rsidRPr="005E2831" w:rsidRDefault="007C18D1" w:rsidP="00DB2E04">
            <w:pPr>
              <w:spacing w:after="60" w:line="240" w:lineRule="auto"/>
              <w:jc w:val="center"/>
              <w:rPr>
                <w:rFonts w:ascii="Times New Roman" w:eastAsia="Times New Roman" w:hAnsi="Times New Roman" w:cs="Times New Roman"/>
                <w:color w:val="000000"/>
                <w:sz w:val="20"/>
                <w:szCs w:val="20"/>
                <w:lang w:eastAsia="pl-PL"/>
              </w:rPr>
            </w:pPr>
            <w:r w:rsidRPr="005E2831">
              <w:rPr>
                <w:rFonts w:ascii="Times New Roman" w:eastAsia="Times New Roman" w:hAnsi="Times New Roman" w:cs="Times New Roman"/>
                <w:color w:val="000000"/>
                <w:sz w:val="20"/>
                <w:szCs w:val="20"/>
                <w:lang w:eastAsia="pl-PL"/>
              </w:rPr>
              <w:t>5,48%</w:t>
            </w:r>
          </w:p>
        </w:tc>
      </w:tr>
    </w:tbl>
    <w:p w14:paraId="75FF3317" w14:textId="77777777" w:rsidR="00895F16" w:rsidRPr="007F400A" w:rsidRDefault="00895F16" w:rsidP="00895F16">
      <w:pPr>
        <w:spacing w:after="0"/>
        <w:rPr>
          <w:rFonts w:ascii="Times New Roman" w:eastAsia="Times New Roman" w:hAnsi="Times New Roman"/>
          <w:sz w:val="24"/>
          <w:szCs w:val="24"/>
          <w:lang w:eastAsia="pl-PL"/>
        </w:rPr>
      </w:pPr>
    </w:p>
    <w:p w14:paraId="3B180FFE" w14:textId="77777777" w:rsidR="007C18D1" w:rsidRPr="005E2831" w:rsidRDefault="007C18D1" w:rsidP="00531DAA">
      <w:pPr>
        <w:spacing w:after="0" w:line="300" w:lineRule="atLeast"/>
        <w:jc w:val="center"/>
        <w:rPr>
          <w:rFonts w:ascii="Times New Roman" w:eastAsia="Calibri" w:hAnsi="Times New Roman" w:cs="Times New Roman"/>
          <w:sz w:val="24"/>
          <w:szCs w:val="24"/>
        </w:rPr>
      </w:pPr>
      <w:r w:rsidRPr="005E2831">
        <w:rPr>
          <w:rFonts w:ascii="Times New Roman" w:eastAsia="Calibri" w:hAnsi="Times New Roman" w:cs="Times New Roman"/>
          <w:noProof/>
          <w:lang w:eastAsia="pl-PL"/>
        </w:rPr>
        <w:lastRenderedPageBreak/>
        <w:drawing>
          <wp:inline distT="0" distB="0" distL="0" distR="0" wp14:anchorId="65DB4C5A" wp14:editId="42BA6809">
            <wp:extent cx="5723906" cy="4167640"/>
            <wp:effectExtent l="0" t="0" r="0" b="4445"/>
            <wp:docPr id="464" name="Obraz 464" descr="Ryc. 11. Klasy jakości wód podziemnych w punktach pomiarowych monitoringu    diagnostycznego w 2022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Obraz 464" descr="Ryc. 11. Klasy jakości wód podziemnych w punktach pomiarowych monitoringu    diagnostycznego w 2022 roku"/>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760318" cy="4194152"/>
                    </a:xfrm>
                    <a:prstGeom prst="rect">
                      <a:avLst/>
                    </a:prstGeom>
                    <a:noFill/>
                    <a:ln>
                      <a:noFill/>
                    </a:ln>
                  </pic:spPr>
                </pic:pic>
              </a:graphicData>
            </a:graphic>
          </wp:inline>
        </w:drawing>
      </w:r>
    </w:p>
    <w:p w14:paraId="252A6116" w14:textId="77777777" w:rsidR="007C18D1" w:rsidRPr="005E2831" w:rsidRDefault="007C18D1" w:rsidP="007C18D1">
      <w:pPr>
        <w:spacing w:after="0" w:line="300" w:lineRule="atLeast"/>
        <w:jc w:val="both"/>
        <w:rPr>
          <w:rFonts w:ascii="Times New Roman" w:eastAsia="Times New Roman" w:hAnsi="Times New Roman" w:cs="Times New Roman"/>
          <w:b/>
          <w:lang w:eastAsia="pl-PL"/>
        </w:rPr>
      </w:pPr>
      <w:r w:rsidRPr="005E2831">
        <w:rPr>
          <w:rFonts w:ascii="Times New Roman" w:eastAsia="Times New Roman" w:hAnsi="Times New Roman" w:cs="Times New Roman"/>
          <w:b/>
          <w:lang w:eastAsia="pl-PL"/>
        </w:rPr>
        <w:t xml:space="preserve">Ryc. </w:t>
      </w:r>
      <w:r>
        <w:rPr>
          <w:rFonts w:ascii="Times New Roman" w:eastAsia="Times New Roman" w:hAnsi="Times New Roman" w:cs="Times New Roman"/>
          <w:b/>
          <w:lang w:eastAsia="pl-PL"/>
        </w:rPr>
        <w:t>11</w:t>
      </w:r>
      <w:r w:rsidRPr="005E2831">
        <w:rPr>
          <w:rFonts w:ascii="Times New Roman" w:eastAsia="Times New Roman" w:hAnsi="Times New Roman" w:cs="Times New Roman"/>
          <w:b/>
          <w:lang w:eastAsia="pl-PL"/>
        </w:rPr>
        <w:t>. Klasy jakości wód podziemnych w punktach pomiarowych monitoringu    diagnostycznego w 2022 roku</w:t>
      </w:r>
    </w:p>
    <w:p w14:paraId="64AF5E7A" w14:textId="77777777" w:rsidR="00895F16" w:rsidRPr="007F400A" w:rsidRDefault="00895F16" w:rsidP="00895F16">
      <w:pPr>
        <w:spacing w:after="0" w:line="240" w:lineRule="auto"/>
        <w:rPr>
          <w:rFonts w:ascii="Times New Roman" w:eastAsia="Times New Roman" w:hAnsi="Times New Roman"/>
          <w:b/>
          <w:lang w:eastAsia="pl-PL"/>
        </w:rPr>
      </w:pPr>
    </w:p>
    <w:p w14:paraId="6F554163" w14:textId="77777777" w:rsidR="00DE5842" w:rsidRPr="005E2831" w:rsidRDefault="00DE5842" w:rsidP="00DE5842">
      <w:pPr>
        <w:spacing w:after="60" w:line="300" w:lineRule="atLeast"/>
        <w:ind w:left="142" w:firstLine="425"/>
        <w:jc w:val="both"/>
        <w:rPr>
          <w:rFonts w:ascii="Times New Roman" w:eastAsia="Calibri" w:hAnsi="Times New Roman" w:cs="Times New Roman"/>
          <w:sz w:val="24"/>
          <w:szCs w:val="24"/>
        </w:rPr>
      </w:pPr>
      <w:r w:rsidRPr="005E2831">
        <w:rPr>
          <w:rFonts w:ascii="Times New Roman" w:eastAsia="Calibri" w:hAnsi="Times New Roman" w:cs="Times New Roman"/>
          <w:sz w:val="24"/>
          <w:szCs w:val="24"/>
        </w:rPr>
        <w:t>Wyniki badań i ocen stanu chemicznego wód podziemnych z 2022 roku zostały zgromadzone w bazie danych Monitoringu Wód Podziemnych  (zostaną</w:t>
      </w:r>
      <w:r w:rsidRPr="005E2831">
        <w:rPr>
          <w:rFonts w:ascii="Times New Roman" w:eastAsia="Calibri" w:hAnsi="Times New Roman" w:cs="Times New Roman"/>
          <w:i/>
          <w:sz w:val="24"/>
          <w:szCs w:val="24"/>
        </w:rPr>
        <w:t xml:space="preserve"> zamieszczone na</w:t>
      </w:r>
      <w:r>
        <w:rPr>
          <w:rFonts w:ascii="Times New Roman" w:eastAsia="Calibri" w:hAnsi="Times New Roman" w:cs="Times New Roman"/>
          <w:i/>
          <w:sz w:val="24"/>
          <w:szCs w:val="24"/>
        </w:rPr>
        <w:t> </w:t>
      </w:r>
      <w:r w:rsidRPr="005E2831">
        <w:rPr>
          <w:rFonts w:ascii="Times New Roman" w:eastAsia="Calibri" w:hAnsi="Times New Roman" w:cs="Times New Roman"/>
          <w:i/>
          <w:sz w:val="24"/>
          <w:szCs w:val="24"/>
        </w:rPr>
        <w:t>stronie internetowej monitoringu jakości wód podziemnych w I kwartale 2023 roku w</w:t>
      </w:r>
      <w:r>
        <w:rPr>
          <w:rFonts w:ascii="Times New Roman" w:eastAsia="Calibri" w:hAnsi="Times New Roman" w:cs="Times New Roman"/>
          <w:i/>
          <w:sz w:val="24"/>
          <w:szCs w:val="24"/>
        </w:rPr>
        <w:t> </w:t>
      </w:r>
      <w:r w:rsidRPr="005E2831">
        <w:rPr>
          <w:rFonts w:ascii="Times New Roman" w:eastAsia="Calibri" w:hAnsi="Times New Roman" w:cs="Times New Roman"/>
          <w:i/>
          <w:sz w:val="24"/>
          <w:szCs w:val="24"/>
        </w:rPr>
        <w:t>ramach jej corocznej aktualizacji).</w:t>
      </w:r>
      <w:r w:rsidRPr="005E2831">
        <w:rPr>
          <w:rFonts w:ascii="Times New Roman" w:eastAsia="Calibri" w:hAnsi="Times New Roman" w:cs="Times New Roman"/>
          <w:sz w:val="24"/>
          <w:szCs w:val="24"/>
        </w:rPr>
        <w:t xml:space="preserve"> Ponadto uzyskane dane zostały opracowane w układzie </w:t>
      </w:r>
      <w:proofErr w:type="spellStart"/>
      <w:r w:rsidRPr="005E2831">
        <w:rPr>
          <w:rFonts w:ascii="Times New Roman" w:eastAsia="Calibri" w:hAnsi="Times New Roman" w:cs="Times New Roman"/>
          <w:sz w:val="24"/>
          <w:szCs w:val="24"/>
        </w:rPr>
        <w:t>zlewniowym</w:t>
      </w:r>
      <w:proofErr w:type="spellEnd"/>
      <w:r w:rsidRPr="005E2831">
        <w:rPr>
          <w:rFonts w:ascii="Times New Roman" w:eastAsia="Calibri" w:hAnsi="Times New Roman" w:cs="Times New Roman"/>
          <w:sz w:val="24"/>
          <w:szCs w:val="24"/>
        </w:rPr>
        <w:t xml:space="preserve"> i w układzie województw oraz zostały przygotowane zgodnie z wymaganiami sprawozdawczymi Europejskiej Agencji Środowiska na potrzeby </w:t>
      </w:r>
      <w:proofErr w:type="spellStart"/>
      <w:r w:rsidRPr="005E2831">
        <w:rPr>
          <w:rFonts w:ascii="Times New Roman" w:eastAsia="Calibri" w:hAnsi="Times New Roman" w:cs="Times New Roman"/>
          <w:sz w:val="24"/>
          <w:szCs w:val="24"/>
        </w:rPr>
        <w:t>Water</w:t>
      </w:r>
      <w:proofErr w:type="spellEnd"/>
      <w:r w:rsidRPr="005E2831">
        <w:rPr>
          <w:rFonts w:ascii="Times New Roman" w:eastAsia="Calibri" w:hAnsi="Times New Roman" w:cs="Times New Roman"/>
          <w:sz w:val="24"/>
          <w:szCs w:val="24"/>
        </w:rPr>
        <w:t xml:space="preserve"> Information System for Europe </w:t>
      </w:r>
      <w:proofErr w:type="spellStart"/>
      <w:r w:rsidRPr="005E2831">
        <w:rPr>
          <w:rFonts w:ascii="Times New Roman" w:eastAsia="Calibri" w:hAnsi="Times New Roman" w:cs="Times New Roman"/>
          <w:sz w:val="24"/>
          <w:szCs w:val="24"/>
        </w:rPr>
        <w:t>State</w:t>
      </w:r>
      <w:proofErr w:type="spellEnd"/>
      <w:r w:rsidRPr="005E2831">
        <w:rPr>
          <w:rFonts w:ascii="Times New Roman" w:eastAsia="Calibri" w:hAnsi="Times New Roman" w:cs="Times New Roman"/>
          <w:sz w:val="24"/>
          <w:szCs w:val="24"/>
        </w:rPr>
        <w:t xml:space="preserve"> of Environment</w:t>
      </w:r>
      <w:r w:rsidRPr="005E2831">
        <w:rPr>
          <w:rFonts w:ascii="Times New Roman" w:eastAsia="Calibri" w:hAnsi="Times New Roman" w:cs="Times New Roman"/>
          <w:szCs w:val="20"/>
        </w:rPr>
        <w:t xml:space="preserve"> (</w:t>
      </w:r>
      <w:r w:rsidRPr="005E2831">
        <w:rPr>
          <w:rFonts w:ascii="Times New Roman" w:eastAsia="Calibri" w:hAnsi="Times New Roman" w:cs="Times New Roman"/>
          <w:sz w:val="24"/>
          <w:szCs w:val="24"/>
        </w:rPr>
        <w:t xml:space="preserve">WISE </w:t>
      </w:r>
      <w:proofErr w:type="spellStart"/>
      <w:r w:rsidRPr="005E2831">
        <w:rPr>
          <w:rFonts w:ascii="Times New Roman" w:eastAsia="Calibri" w:hAnsi="Times New Roman" w:cs="Times New Roman"/>
          <w:sz w:val="24"/>
          <w:szCs w:val="24"/>
        </w:rPr>
        <w:t>SoE</w:t>
      </w:r>
      <w:proofErr w:type="spellEnd"/>
      <w:r w:rsidRPr="005E2831">
        <w:rPr>
          <w:rFonts w:ascii="Times New Roman" w:eastAsia="Calibri" w:hAnsi="Times New Roman" w:cs="Times New Roman"/>
          <w:sz w:val="24"/>
          <w:szCs w:val="24"/>
        </w:rPr>
        <w:t>).</w:t>
      </w:r>
    </w:p>
    <w:p w14:paraId="34BA7903" w14:textId="77777777" w:rsidR="00DE5842" w:rsidRPr="005E2831" w:rsidRDefault="00DE5842" w:rsidP="00DE5842">
      <w:pPr>
        <w:spacing w:after="60" w:line="300" w:lineRule="atLeast"/>
        <w:ind w:left="142" w:firstLine="425"/>
        <w:jc w:val="both"/>
        <w:rPr>
          <w:rFonts w:ascii="Times New Roman" w:eastAsia="Calibri" w:hAnsi="Times New Roman" w:cs="Times New Roman"/>
          <w:sz w:val="24"/>
          <w:szCs w:val="24"/>
        </w:rPr>
      </w:pPr>
      <w:r w:rsidRPr="005E2831">
        <w:rPr>
          <w:rFonts w:ascii="Times New Roman" w:eastAsia="Calibri" w:hAnsi="Times New Roman" w:cs="Times New Roman"/>
          <w:sz w:val="24"/>
          <w:szCs w:val="24"/>
        </w:rPr>
        <w:t xml:space="preserve">W uzupełnieniu do badań wykonanych na poziomie krajowym zostały zrealizowane uzupełniające badania jakości wód podziemnych na poziomie regionalnym. Badania zostały przeprowadzone na terenie województwa dolnośląskiego, lubelskiego, lubuskiego, łódzkiego, małopolskiego, śląskiego, wielkopolskiego oraz zachodniopomorskiego. </w:t>
      </w:r>
    </w:p>
    <w:p w14:paraId="70C14047" w14:textId="77777777" w:rsidR="00DE5842" w:rsidRPr="005E2831" w:rsidRDefault="00DE5842" w:rsidP="00DE5842">
      <w:pPr>
        <w:spacing w:after="60" w:line="300" w:lineRule="atLeast"/>
        <w:ind w:left="142" w:firstLine="425"/>
        <w:jc w:val="both"/>
        <w:rPr>
          <w:rFonts w:ascii="Times New Roman" w:eastAsia="Calibri" w:hAnsi="Times New Roman" w:cs="Times New Roman"/>
          <w:color w:val="000000"/>
          <w:sz w:val="24"/>
          <w:szCs w:val="24"/>
        </w:rPr>
      </w:pPr>
      <w:r w:rsidRPr="005E2831">
        <w:rPr>
          <w:rFonts w:ascii="Times New Roman" w:eastAsia="Calibri" w:hAnsi="Times New Roman" w:cs="Times New Roman"/>
          <w:color w:val="000000"/>
          <w:sz w:val="24"/>
          <w:szCs w:val="24"/>
        </w:rPr>
        <w:t>Badania regionalne objęły 42 jednolite części wód podziemnych, 6</w:t>
      </w:r>
      <w:r w:rsidRPr="005E2831">
        <w:rPr>
          <w:rFonts w:ascii="Times New Roman" w:eastAsia="Calibri" w:hAnsi="Times New Roman" w:cs="Times New Roman"/>
          <w:color w:val="FF0000"/>
          <w:sz w:val="24"/>
          <w:szCs w:val="24"/>
        </w:rPr>
        <w:t xml:space="preserve"> </w:t>
      </w:r>
      <w:r w:rsidRPr="005E2831">
        <w:rPr>
          <w:rFonts w:ascii="Times New Roman" w:eastAsia="Calibri" w:hAnsi="Times New Roman" w:cs="Times New Roman"/>
          <w:color w:val="000000"/>
          <w:sz w:val="24"/>
          <w:szCs w:val="24"/>
        </w:rPr>
        <w:t xml:space="preserve">głównych zbiorników wód podziemnych (w woj. śląskim), 5 źródeł (w woj. lubelskim). Badania regionalne były prowadzone w rejonach </w:t>
      </w:r>
      <w:r w:rsidRPr="005E2831">
        <w:rPr>
          <w:rFonts w:ascii="Times New Roman" w:eastAsia="Calibri" w:hAnsi="Times New Roman" w:cs="Times New Roman"/>
          <w:sz w:val="24"/>
          <w:szCs w:val="24"/>
        </w:rPr>
        <w:t>16</w:t>
      </w:r>
      <w:r w:rsidRPr="005E2831">
        <w:rPr>
          <w:rFonts w:ascii="Times New Roman" w:eastAsia="Calibri" w:hAnsi="Times New Roman" w:cs="Times New Roman"/>
          <w:color w:val="000000"/>
          <w:sz w:val="24"/>
          <w:szCs w:val="24"/>
        </w:rPr>
        <w:t xml:space="preserve"> obiektów stwarzających zagrożenie dla jakości wód podziemnych lub będących ogniskami zanieczyszczeń wód podziemnych - składowiska odpadów przemysłowych i komunalnych oraz zakłady przemysłowe (w  woj. dolnośląskim i śląskim), a także na obszarach lejów depresyjnych powstałych na skutek znacznego poboru wód podziemnych na potrzeby zaopatrzenia ludności w wodę do picia oraz na skutek odwadniania kopalni Bełchatów (w woj. łódzkim). Kontynuowano także badania na  terenie kilku byłych obszarów narażonych na zanieczyszczenia azotanami pochodzenia rolniczego (tzw. OSN-ach) w woj. wielkopolskim, zachodniopomorskim i lubuskim oraz wznowiono od 2022 roku </w:t>
      </w:r>
      <w:r w:rsidRPr="005E2831">
        <w:rPr>
          <w:rFonts w:ascii="Times New Roman" w:eastAsia="Calibri" w:hAnsi="Times New Roman" w:cs="Times New Roman"/>
          <w:color w:val="000000"/>
          <w:sz w:val="24"/>
          <w:szCs w:val="24"/>
        </w:rPr>
        <w:lastRenderedPageBreak/>
        <w:t>badania na obszarze wybranych byłych OSN-ów w województwie dolnośląskim, lubelskim i</w:t>
      </w:r>
      <w:r>
        <w:rPr>
          <w:rFonts w:ascii="Times New Roman" w:eastAsia="Calibri" w:hAnsi="Times New Roman" w:cs="Times New Roman"/>
          <w:color w:val="000000"/>
          <w:sz w:val="24"/>
          <w:szCs w:val="24"/>
        </w:rPr>
        <w:t> </w:t>
      </w:r>
      <w:r w:rsidRPr="005E2831">
        <w:rPr>
          <w:rFonts w:ascii="Times New Roman" w:eastAsia="Calibri" w:hAnsi="Times New Roman" w:cs="Times New Roman"/>
          <w:color w:val="000000"/>
          <w:sz w:val="24"/>
          <w:szCs w:val="24"/>
        </w:rPr>
        <w:t xml:space="preserve">śląskim. </w:t>
      </w:r>
    </w:p>
    <w:p w14:paraId="40CBDBFA" w14:textId="77777777" w:rsidR="00DE5842" w:rsidRPr="005E2831" w:rsidRDefault="00DE5842" w:rsidP="00DE5842">
      <w:pPr>
        <w:spacing w:after="60" w:line="300" w:lineRule="atLeast"/>
        <w:ind w:left="142" w:firstLine="425"/>
        <w:jc w:val="both"/>
        <w:rPr>
          <w:rFonts w:ascii="Times New Roman" w:eastAsia="Calibri" w:hAnsi="Times New Roman" w:cs="Times New Roman"/>
          <w:sz w:val="24"/>
          <w:szCs w:val="24"/>
        </w:rPr>
      </w:pPr>
      <w:r w:rsidRPr="005E2831">
        <w:rPr>
          <w:rFonts w:ascii="Times New Roman" w:eastAsia="Calibri" w:hAnsi="Times New Roman" w:cs="Times New Roman"/>
          <w:sz w:val="24"/>
          <w:szCs w:val="24"/>
        </w:rPr>
        <w:t xml:space="preserve">Badania monitoringowe zostały przeprowadzone w 2022 roku łącznie w 220 punktach pomiarowych, w tym 155 studniach na ujęciach wód podziemnych. </w:t>
      </w:r>
      <w:r w:rsidRPr="005E2831">
        <w:rPr>
          <w:rFonts w:ascii="Times New Roman" w:eastAsia="Calibri" w:hAnsi="Times New Roman" w:cs="Times New Roman"/>
          <w:color w:val="000000"/>
          <w:sz w:val="24"/>
          <w:szCs w:val="24"/>
        </w:rPr>
        <w:t>Częstotliwość badań i</w:t>
      </w:r>
      <w:r>
        <w:rPr>
          <w:rFonts w:ascii="Times New Roman" w:eastAsia="Calibri" w:hAnsi="Times New Roman" w:cs="Times New Roman"/>
          <w:color w:val="000000"/>
          <w:sz w:val="24"/>
          <w:szCs w:val="24"/>
        </w:rPr>
        <w:t> </w:t>
      </w:r>
      <w:r w:rsidRPr="005E2831">
        <w:rPr>
          <w:rFonts w:ascii="Times New Roman" w:eastAsia="Calibri" w:hAnsi="Times New Roman" w:cs="Times New Roman"/>
          <w:color w:val="000000"/>
          <w:sz w:val="24"/>
          <w:szCs w:val="24"/>
        </w:rPr>
        <w:t>zakres badanych wskaźników były  zróżnicowane w zależności od celów prowadzenia badań oraz rodzaju i skali presji na wody podziemne. Częstotliwość prowadzenia badań wyniosła  od 1 do 4 razy w roku, a liczba badanych wskaźników w pojedynczej próbce wody wyniosła od 7 do 42 wskaźników.</w:t>
      </w:r>
    </w:p>
    <w:p w14:paraId="67C2ED25" w14:textId="77777777" w:rsidR="00DE5842" w:rsidRPr="005E2831" w:rsidRDefault="00DE5842" w:rsidP="00DE5842">
      <w:pPr>
        <w:spacing w:after="60" w:line="300" w:lineRule="atLeast"/>
        <w:ind w:left="142" w:firstLine="425"/>
        <w:jc w:val="both"/>
        <w:rPr>
          <w:rFonts w:ascii="Times New Roman" w:eastAsia="Calibri" w:hAnsi="Times New Roman" w:cs="Times New Roman"/>
          <w:color w:val="000000"/>
          <w:sz w:val="24"/>
          <w:szCs w:val="24"/>
        </w:rPr>
      </w:pPr>
      <w:r w:rsidRPr="005E2831">
        <w:rPr>
          <w:rFonts w:ascii="Times New Roman" w:eastAsia="Calibri" w:hAnsi="Times New Roman" w:cs="Times New Roman"/>
          <w:color w:val="000000"/>
          <w:sz w:val="24"/>
          <w:szCs w:val="24"/>
        </w:rPr>
        <w:t>Z przeprowadzonej wstępnej analizy rezultatów badań wynika, że przekroczenia wartości progowych dla dobrego stanu chemicznego stwierdzono głównie w punktach pomiarowych zlokalizowanych w rejonach obiektów będących źródłem zanieczyszczenia wód podziemnych (składowiska odpadów przemysłowych i komunalnych oraz zakłady przemysłowe). Natomiast w odniesieniu do przekroczeń dopuszczalnych zawartości azotanów stwierdzono  ich występowanie głównie w punktach pomiarowych zlokalizowanych na terenie byłych obszarów szczególnie narażonych na zanieczyszczenia azotanami pochodzenia rolniczego, co</w:t>
      </w:r>
      <w:r>
        <w:rPr>
          <w:rFonts w:ascii="Times New Roman" w:eastAsia="Calibri" w:hAnsi="Times New Roman" w:cs="Times New Roman"/>
          <w:color w:val="000000"/>
          <w:sz w:val="24"/>
          <w:szCs w:val="24"/>
        </w:rPr>
        <w:t> </w:t>
      </w:r>
      <w:r w:rsidRPr="005E2831">
        <w:rPr>
          <w:rFonts w:ascii="Times New Roman" w:eastAsia="Calibri" w:hAnsi="Times New Roman" w:cs="Times New Roman"/>
          <w:color w:val="000000"/>
          <w:sz w:val="24"/>
          <w:szCs w:val="24"/>
        </w:rPr>
        <w:t>świadczyłoby o tym, że zanieczyszczenia wód podziemnych azotanami pochodzenia rolniczego nadal utrzymują się na tych obszarach, a więc presja rolnicza nie maleje. Kompletne oceny klas jakości wód podziemnych w badanych punktach pomiarowych będą dostępne w II kwartale 2023 roku.</w:t>
      </w:r>
    </w:p>
    <w:p w14:paraId="3C1090CA" w14:textId="6E8C8427" w:rsidR="00DE5842" w:rsidRPr="005E2831" w:rsidRDefault="00DE5842" w:rsidP="00DE5842">
      <w:pPr>
        <w:spacing w:after="60" w:line="300" w:lineRule="atLeast"/>
        <w:ind w:left="142" w:firstLine="425"/>
        <w:jc w:val="both"/>
        <w:rPr>
          <w:rFonts w:ascii="Times New Roman" w:eastAsia="Calibri" w:hAnsi="Times New Roman" w:cs="Times New Roman"/>
          <w:color w:val="000000"/>
          <w:sz w:val="24"/>
          <w:szCs w:val="24"/>
        </w:rPr>
      </w:pPr>
      <w:r w:rsidRPr="005E2831">
        <w:rPr>
          <w:rFonts w:ascii="Times New Roman" w:eastAsia="Calibri" w:hAnsi="Times New Roman" w:cs="Times New Roman"/>
          <w:color w:val="000000"/>
          <w:sz w:val="24"/>
          <w:szCs w:val="24"/>
        </w:rPr>
        <w:t>Map</w:t>
      </w:r>
      <w:r w:rsidR="00164010">
        <w:rPr>
          <w:rFonts w:ascii="Times New Roman" w:eastAsia="Calibri" w:hAnsi="Times New Roman" w:cs="Times New Roman"/>
          <w:color w:val="000000"/>
          <w:sz w:val="24"/>
          <w:szCs w:val="24"/>
        </w:rPr>
        <w:t>a</w:t>
      </w:r>
      <w:r w:rsidRPr="005E2831">
        <w:rPr>
          <w:rFonts w:ascii="Times New Roman" w:eastAsia="Calibri" w:hAnsi="Times New Roman" w:cs="Times New Roman"/>
          <w:color w:val="000000"/>
          <w:sz w:val="24"/>
          <w:szCs w:val="24"/>
        </w:rPr>
        <w:t xml:space="preserve"> z lokalizacją punktów pomiarowych, w których prowadzono badania w 2022 roku w ramach monitoringu regionalnego wód podziemnych jest przedstawiona poniżej.</w:t>
      </w:r>
    </w:p>
    <w:p w14:paraId="044A2E5E" w14:textId="77777777" w:rsidR="009540B5" w:rsidRDefault="009540B5" w:rsidP="00483C59">
      <w:pPr>
        <w:spacing w:after="0" w:line="300" w:lineRule="atLeast"/>
        <w:jc w:val="center"/>
        <w:rPr>
          <w:rFonts w:ascii="Times New Roman" w:eastAsia="Times New Roman" w:hAnsi="Times New Roman" w:cs="Times New Roman"/>
          <w:b/>
          <w:lang w:eastAsia="pl-PL"/>
        </w:rPr>
      </w:pPr>
      <w:r w:rsidRPr="005E2831">
        <w:rPr>
          <w:rFonts w:ascii="Times New Roman" w:eastAsia="Calibri" w:hAnsi="Times New Roman" w:cs="Times New Roman"/>
          <w:noProof/>
          <w:lang w:eastAsia="pl-PL"/>
        </w:rPr>
        <w:drawing>
          <wp:inline distT="0" distB="0" distL="0" distR="0" wp14:anchorId="31AB0666" wp14:editId="5C7E8E38">
            <wp:extent cx="4848225" cy="3488272"/>
            <wp:effectExtent l="0" t="0" r="0" b="0"/>
            <wp:docPr id="465" name="Obraz 465" descr="Ryc. 12. Lokalizacja punktów pomiarowych regionalnego monitoringu jakości wód podziemnych objętych badaniami w 2022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Obraz 465" descr="Ryc. 12. Lokalizacja punktów pomiarowych regionalnego monitoringu jakości wód podziemnych objętych badaniami w 2022 roku."/>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850156" cy="3489661"/>
                    </a:xfrm>
                    <a:prstGeom prst="rect">
                      <a:avLst/>
                    </a:prstGeom>
                    <a:noFill/>
                    <a:ln>
                      <a:noFill/>
                    </a:ln>
                  </pic:spPr>
                </pic:pic>
              </a:graphicData>
            </a:graphic>
          </wp:inline>
        </w:drawing>
      </w:r>
    </w:p>
    <w:p w14:paraId="5A02D4D2" w14:textId="5174AE29" w:rsidR="00895F16" w:rsidRPr="007F400A" w:rsidRDefault="00DE5842" w:rsidP="001D61F0">
      <w:pPr>
        <w:spacing w:after="0" w:line="300" w:lineRule="atLeast"/>
        <w:jc w:val="both"/>
        <w:rPr>
          <w:rFonts w:ascii="Times New Roman" w:hAnsi="Times New Roman" w:cs="Times New Roman"/>
          <w:color w:val="000000" w:themeColor="text1"/>
          <w:sz w:val="24"/>
          <w:szCs w:val="24"/>
          <w:lang w:eastAsia="pl-PL"/>
        </w:rPr>
      </w:pPr>
      <w:r w:rsidRPr="005E2831">
        <w:rPr>
          <w:rFonts w:ascii="Times New Roman" w:eastAsia="Times New Roman" w:hAnsi="Times New Roman" w:cs="Times New Roman"/>
          <w:b/>
          <w:lang w:eastAsia="pl-PL"/>
        </w:rPr>
        <w:t xml:space="preserve">Ryc. </w:t>
      </w:r>
      <w:r>
        <w:rPr>
          <w:rFonts w:ascii="Times New Roman" w:eastAsia="Times New Roman" w:hAnsi="Times New Roman" w:cs="Times New Roman"/>
          <w:b/>
          <w:lang w:eastAsia="pl-PL"/>
        </w:rPr>
        <w:t>12</w:t>
      </w:r>
      <w:r w:rsidRPr="005E2831">
        <w:rPr>
          <w:rFonts w:ascii="Times New Roman" w:eastAsia="Times New Roman" w:hAnsi="Times New Roman" w:cs="Times New Roman"/>
          <w:b/>
          <w:lang w:eastAsia="pl-PL"/>
        </w:rPr>
        <w:t>. Lokalizacja punktów pomiarowych regionalnego monitoringu jakości wód podziemnych objętych badaniami w 2022 roku</w:t>
      </w:r>
      <w:r w:rsidR="00895F16" w:rsidRPr="007F400A">
        <w:rPr>
          <w:rFonts w:ascii="Times New Roman" w:hAnsi="Times New Roman" w:cs="Times New Roman"/>
          <w:color w:val="000000" w:themeColor="text1"/>
          <w:sz w:val="24"/>
          <w:szCs w:val="24"/>
          <w:lang w:eastAsia="pl-PL"/>
        </w:rPr>
        <w:t>.</w:t>
      </w:r>
    </w:p>
    <w:p w14:paraId="39AB5E25" w14:textId="77777777" w:rsidR="00895F16" w:rsidRPr="007F400A" w:rsidRDefault="00895F16" w:rsidP="00895F16">
      <w:pPr>
        <w:spacing w:after="0" w:line="300" w:lineRule="atLeast"/>
        <w:jc w:val="both"/>
        <w:rPr>
          <w:rFonts w:ascii="Times New Roman" w:eastAsia="Calibri" w:hAnsi="Times New Roman" w:cs="Times New Roman"/>
          <w:color w:val="00B0F0"/>
          <w:sz w:val="24"/>
          <w:szCs w:val="24"/>
          <w:lang w:val="x-none" w:eastAsia="x-none"/>
        </w:rPr>
      </w:pPr>
    </w:p>
    <w:p w14:paraId="7E4793D2" w14:textId="77777777" w:rsidR="00895F16" w:rsidRPr="007F400A" w:rsidRDefault="00895F16" w:rsidP="00895F16">
      <w:pPr>
        <w:keepNext/>
        <w:spacing w:after="120" w:line="300" w:lineRule="atLeast"/>
        <w:jc w:val="both"/>
        <w:outlineLvl w:val="0"/>
        <w:rPr>
          <w:rFonts w:ascii="Times New Roman" w:eastAsia="Times New Roman" w:hAnsi="Times New Roman" w:cs="Times New Roman"/>
          <w:b/>
          <w:bCs/>
          <w:sz w:val="24"/>
          <w:szCs w:val="24"/>
          <w:lang w:val="x-none" w:eastAsia="x-none"/>
        </w:rPr>
      </w:pPr>
      <w:bookmarkStart w:id="408" w:name="_Toc36732639"/>
      <w:bookmarkStart w:id="409" w:name="_Toc135935711"/>
      <w:r w:rsidRPr="007F400A">
        <w:rPr>
          <w:rFonts w:ascii="Times New Roman" w:eastAsia="Times New Roman" w:hAnsi="Times New Roman" w:cs="Times New Roman"/>
          <w:b/>
          <w:bCs/>
          <w:sz w:val="24"/>
          <w:szCs w:val="24"/>
          <w:lang w:val="x-none" w:eastAsia="x-none"/>
        </w:rPr>
        <w:t>4. Monitoring jakości gleby i ziemi</w:t>
      </w:r>
      <w:bookmarkEnd w:id="408"/>
      <w:bookmarkEnd w:id="409"/>
    </w:p>
    <w:p w14:paraId="168EDEB8" w14:textId="1097DB33" w:rsidR="00DE5842" w:rsidRPr="005E2831" w:rsidRDefault="00DE5842" w:rsidP="009540B5">
      <w:pPr>
        <w:spacing w:after="60" w:line="300" w:lineRule="atLeast"/>
        <w:ind w:firstLine="567"/>
        <w:jc w:val="both"/>
        <w:rPr>
          <w:rFonts w:ascii="Times New Roman" w:hAnsi="Times New Roman" w:cs="Times New Roman"/>
          <w:sz w:val="24"/>
          <w:szCs w:val="24"/>
        </w:rPr>
      </w:pPr>
      <w:r w:rsidRPr="005E2831">
        <w:rPr>
          <w:rFonts w:ascii="Times New Roman" w:hAnsi="Times New Roman" w:cs="Times New Roman"/>
          <w:sz w:val="24"/>
          <w:szCs w:val="24"/>
        </w:rPr>
        <w:t>W 2022 roku w ramach monitoringu jakości gleby i ziemi kontynuowano prace w</w:t>
      </w:r>
      <w:r>
        <w:rPr>
          <w:rFonts w:ascii="Times New Roman" w:hAnsi="Times New Roman" w:cs="Times New Roman"/>
          <w:sz w:val="24"/>
          <w:szCs w:val="24"/>
        </w:rPr>
        <w:t> </w:t>
      </w:r>
      <w:r w:rsidRPr="005E2831">
        <w:rPr>
          <w:rFonts w:ascii="Times New Roman" w:hAnsi="Times New Roman" w:cs="Times New Roman"/>
          <w:sz w:val="24"/>
          <w:szCs w:val="24"/>
        </w:rPr>
        <w:t xml:space="preserve">zakresie zadania monitoring chemizmu gleb ornych Polski. W roku 2022 kończącym szósty </w:t>
      </w:r>
      <w:r w:rsidRPr="005E2831">
        <w:rPr>
          <w:rFonts w:ascii="Times New Roman" w:hAnsi="Times New Roman" w:cs="Times New Roman"/>
          <w:sz w:val="24"/>
          <w:szCs w:val="24"/>
        </w:rPr>
        <w:lastRenderedPageBreak/>
        <w:t xml:space="preserve">cykl pomiarowy, zaplanowane zadania zostały w pełni zrealizowane. Opracowany został raport zawierający analizę wyników i syntezę badań, </w:t>
      </w:r>
      <w:r w:rsidRPr="005E2831">
        <w:rPr>
          <w:rFonts w:ascii="Times New Roman" w:hAnsi="Times New Roman" w:cs="Times New Roman"/>
          <w:bCs/>
          <w:sz w:val="24"/>
          <w:szCs w:val="24"/>
        </w:rPr>
        <w:t>na tle danych uzyskanych w poprzednich latach, który</w:t>
      </w:r>
      <w:r w:rsidRPr="005E2831">
        <w:rPr>
          <w:rFonts w:ascii="Times New Roman" w:hAnsi="Times New Roman" w:cs="Times New Roman"/>
          <w:sz w:val="24"/>
          <w:szCs w:val="24"/>
        </w:rPr>
        <w:t xml:space="preserve"> przedstawia aktualną ocenę jakości gleb i stanu ich zanieczyszczenia. Zaktualizowano również portal Monitoring Chemizmu Gleb Ornych</w:t>
      </w:r>
      <w:r w:rsidRPr="005E2831" w:rsidDel="00197553">
        <w:rPr>
          <w:rFonts w:ascii="Times New Roman" w:hAnsi="Times New Roman" w:cs="Times New Roman"/>
          <w:sz w:val="24"/>
          <w:szCs w:val="24"/>
        </w:rPr>
        <w:t xml:space="preserve"> </w:t>
      </w:r>
      <w:r w:rsidRPr="005E2831">
        <w:rPr>
          <w:rFonts w:ascii="Times New Roman" w:hAnsi="Times New Roman" w:cs="Times New Roman"/>
          <w:sz w:val="24"/>
          <w:szCs w:val="24"/>
        </w:rPr>
        <w:t>Polski o aktualne dane pomiarowe.</w:t>
      </w:r>
    </w:p>
    <w:p w14:paraId="0202ECEC" w14:textId="77777777" w:rsidR="00DE5842" w:rsidRPr="005E2831" w:rsidRDefault="00DE5842" w:rsidP="00DE5842">
      <w:pPr>
        <w:spacing w:after="60" w:line="300" w:lineRule="atLeast"/>
        <w:jc w:val="both"/>
        <w:rPr>
          <w:rFonts w:ascii="Times New Roman" w:hAnsi="Times New Roman" w:cs="Times New Roman"/>
          <w:sz w:val="24"/>
          <w:szCs w:val="24"/>
        </w:rPr>
      </w:pPr>
      <w:r w:rsidRPr="005E2831">
        <w:rPr>
          <w:rFonts w:ascii="Times New Roman" w:hAnsi="Times New Roman" w:cs="Times New Roman"/>
          <w:sz w:val="24"/>
          <w:szCs w:val="24"/>
        </w:rPr>
        <w:tab/>
        <w:t xml:space="preserve">Monitoring chemizmu gleb ornych Polski – prowadzony jest w 5-letnich cyklach badawczych, począwszy od 1995 r., a jego celem jest śledzenie zmian różnych cech gleb użytkowanych rolniczo zachodzących w określonych przedziałach czasu pod wpływem rolniczej i pozarolniczej działalności człowieka, w szczególności w zakresie właściwości chemicznych gleb. </w:t>
      </w:r>
    </w:p>
    <w:p w14:paraId="4547D66D" w14:textId="77777777" w:rsidR="00DE5842" w:rsidRPr="005E2831" w:rsidRDefault="00DE5842" w:rsidP="00DE5842">
      <w:pPr>
        <w:spacing w:after="60" w:line="300" w:lineRule="atLeast"/>
        <w:ind w:firstLine="567"/>
        <w:jc w:val="both"/>
        <w:rPr>
          <w:rFonts w:ascii="Times New Roman" w:hAnsi="Times New Roman" w:cs="Times New Roman"/>
          <w:sz w:val="24"/>
          <w:szCs w:val="24"/>
        </w:rPr>
      </w:pPr>
      <w:r w:rsidRPr="005E2831">
        <w:rPr>
          <w:rFonts w:ascii="Times New Roman" w:hAnsi="Times New Roman" w:cs="Times New Roman"/>
          <w:sz w:val="24"/>
          <w:szCs w:val="24"/>
        </w:rPr>
        <w:t>Próbki gleb są pobierane z warstwy 0–20 cm w 216 stałych punktach pomiarowych zlokalizowanych na gruntach użytkowanych rolniczo całego kraju. W próbach gleb jest oznaczanych około 40 wskaźników.</w:t>
      </w:r>
    </w:p>
    <w:p w14:paraId="78634E24" w14:textId="2713628B" w:rsidR="00DE5842" w:rsidRDefault="00DE5842" w:rsidP="009540B5">
      <w:pPr>
        <w:spacing w:after="60" w:line="300" w:lineRule="atLeast"/>
        <w:ind w:firstLine="567"/>
        <w:jc w:val="both"/>
        <w:rPr>
          <w:rFonts w:ascii="Times New Roman" w:hAnsi="Times New Roman" w:cs="Times New Roman"/>
          <w:b/>
        </w:rPr>
      </w:pPr>
      <w:r w:rsidRPr="005E2831">
        <w:rPr>
          <w:rFonts w:ascii="Times New Roman" w:hAnsi="Times New Roman" w:cs="Times New Roman"/>
          <w:sz w:val="24"/>
          <w:szCs w:val="24"/>
        </w:rPr>
        <w:t xml:space="preserve">Prowadzony fakultatywnie regionalny </w:t>
      </w:r>
      <w:r w:rsidRPr="005E2831">
        <w:rPr>
          <w:rFonts w:ascii="Times New Roman" w:hAnsi="Times New Roman" w:cs="Times New Roman"/>
          <w:bCs/>
          <w:sz w:val="24"/>
          <w:szCs w:val="24"/>
        </w:rPr>
        <w:t>monitoring gleb w województwie dolnośląskim w</w:t>
      </w:r>
      <w:r>
        <w:rPr>
          <w:rFonts w:ascii="Times New Roman" w:hAnsi="Times New Roman" w:cs="Times New Roman"/>
          <w:bCs/>
          <w:sz w:val="24"/>
          <w:szCs w:val="24"/>
        </w:rPr>
        <w:t xml:space="preserve"> roku </w:t>
      </w:r>
      <w:r w:rsidRPr="005E2831">
        <w:rPr>
          <w:rFonts w:ascii="Times New Roman" w:hAnsi="Times New Roman" w:cs="Times New Roman"/>
          <w:bCs/>
          <w:sz w:val="24"/>
          <w:szCs w:val="24"/>
        </w:rPr>
        <w:t>2022</w:t>
      </w:r>
      <w:r w:rsidRPr="00BA38BC">
        <w:rPr>
          <w:rFonts w:ascii="Times New Roman" w:hAnsi="Times New Roman" w:cs="Times New Roman"/>
          <w:bCs/>
          <w:sz w:val="24"/>
          <w:szCs w:val="24"/>
        </w:rPr>
        <w:t xml:space="preserve"> </w:t>
      </w:r>
      <w:r w:rsidRPr="005E2831">
        <w:rPr>
          <w:rFonts w:ascii="Times New Roman" w:hAnsi="Times New Roman" w:cs="Times New Roman"/>
          <w:bCs/>
          <w:sz w:val="24"/>
          <w:szCs w:val="24"/>
        </w:rPr>
        <w:t>nie był realizowany.</w:t>
      </w:r>
    </w:p>
    <w:p w14:paraId="0C714980" w14:textId="408450F6" w:rsidR="009A2FE5" w:rsidRDefault="009A2FE5" w:rsidP="00483C59">
      <w:pPr>
        <w:spacing w:after="0" w:line="300" w:lineRule="atLeast"/>
        <w:jc w:val="center"/>
        <w:rPr>
          <w:rFonts w:ascii="Times New Roman" w:hAnsi="Times New Roman" w:cs="Times New Roman"/>
          <w:b/>
        </w:rPr>
      </w:pPr>
      <w:r w:rsidRPr="004273D5">
        <w:rPr>
          <w:rFonts w:ascii="Times New Roman" w:hAnsi="Times New Roman" w:cs="Times New Roman"/>
          <w:noProof/>
          <w:lang w:eastAsia="pl-PL"/>
        </w:rPr>
        <w:drawing>
          <wp:inline distT="0" distB="0" distL="0" distR="0" wp14:anchorId="2F22B9DF" wp14:editId="67D22396">
            <wp:extent cx="4486275" cy="3530079"/>
            <wp:effectExtent l="0" t="0" r="0" b="0"/>
            <wp:docPr id="44" name="Obraz 44" descr="Ryc. 13. Przestrzenny rozkład punktów monitoringu gleb ornych zanieczyszczonych związkami z grupy wielopierścieniowych węglowodorów aromatycznych oraz pierwiastkami śladowy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az 44" descr="Ryc. 13. Przestrzenny rozkład punktów monitoringu gleb ornych zanieczyszczonych związkami z grupy wielopierścieniowych węglowodorów aromatycznych oraz pierwiastkami śladowymi."/>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4494127" cy="3536257"/>
                    </a:xfrm>
                    <a:prstGeom prst="rect">
                      <a:avLst/>
                    </a:prstGeom>
                    <a:noFill/>
                    <a:ln>
                      <a:noFill/>
                    </a:ln>
                  </pic:spPr>
                </pic:pic>
              </a:graphicData>
            </a:graphic>
          </wp:inline>
        </w:drawing>
      </w:r>
    </w:p>
    <w:p w14:paraId="0CB6F6BA" w14:textId="156A2BA4" w:rsidR="009540B5" w:rsidRDefault="009540B5" w:rsidP="00DE5842">
      <w:pPr>
        <w:spacing w:after="0" w:line="300" w:lineRule="atLeast"/>
        <w:jc w:val="both"/>
        <w:rPr>
          <w:rFonts w:ascii="Times New Roman" w:hAnsi="Times New Roman" w:cs="Times New Roman"/>
        </w:rPr>
      </w:pPr>
      <w:r w:rsidRPr="004273D5">
        <w:rPr>
          <w:rFonts w:ascii="Times New Roman" w:hAnsi="Times New Roman" w:cs="Times New Roman"/>
          <w:b/>
        </w:rPr>
        <w:t xml:space="preserve">Ryc. </w:t>
      </w:r>
      <w:r>
        <w:rPr>
          <w:rFonts w:ascii="Times New Roman" w:hAnsi="Times New Roman" w:cs="Times New Roman"/>
          <w:b/>
        </w:rPr>
        <w:t>13</w:t>
      </w:r>
      <w:r w:rsidRPr="004273D5">
        <w:rPr>
          <w:rFonts w:ascii="Times New Roman" w:hAnsi="Times New Roman" w:cs="Times New Roman"/>
          <w:b/>
        </w:rPr>
        <w:t>. Przestrzenny rozkład punktów monitoringu gleb ornych zanieczyszczonych związkami z</w:t>
      </w:r>
      <w:r>
        <w:rPr>
          <w:rFonts w:ascii="Times New Roman" w:hAnsi="Times New Roman" w:cs="Times New Roman"/>
          <w:b/>
        </w:rPr>
        <w:t> </w:t>
      </w:r>
      <w:r w:rsidRPr="004273D5">
        <w:rPr>
          <w:rFonts w:ascii="Times New Roman" w:hAnsi="Times New Roman" w:cs="Times New Roman"/>
          <w:b/>
        </w:rPr>
        <w:t>grupy wielopierścieniowych węglowodorów aromatycznych oraz pierwiastkami śladowymi.</w:t>
      </w:r>
    </w:p>
    <w:p w14:paraId="1BFB4172" w14:textId="77777777" w:rsidR="009540B5" w:rsidRDefault="009540B5" w:rsidP="00DE5842">
      <w:pPr>
        <w:spacing w:after="0" w:line="300" w:lineRule="atLeast"/>
        <w:jc w:val="both"/>
        <w:rPr>
          <w:rFonts w:ascii="Times New Roman" w:hAnsi="Times New Roman" w:cs="Times New Roman"/>
        </w:rPr>
      </w:pPr>
    </w:p>
    <w:p w14:paraId="35C3089B" w14:textId="170A5AE0" w:rsidR="00895F16" w:rsidRPr="007F400A" w:rsidRDefault="00DE5842" w:rsidP="00DE5842">
      <w:pPr>
        <w:spacing w:after="0" w:line="300" w:lineRule="atLeast"/>
        <w:jc w:val="both"/>
        <w:rPr>
          <w:rFonts w:ascii="Times New Roman" w:hAnsi="Times New Roman"/>
          <w:sz w:val="24"/>
          <w:szCs w:val="24"/>
        </w:rPr>
      </w:pPr>
      <w:r w:rsidRPr="007F7CD0">
        <w:rPr>
          <w:rFonts w:ascii="Times New Roman" w:hAnsi="Times New Roman" w:cs="Times New Roman"/>
        </w:rPr>
        <w:t>Punkty uwzględniają ocenę zanieczyszczenia gleb wykonaną wg dwóch metod: stosując kryteria Rozporządzenia Ministra Środowiska z dnia 1 września 2016 r.</w:t>
      </w:r>
      <w:r w:rsidR="00146600">
        <w:rPr>
          <w:rStyle w:val="Odwoanieprzypisudolnego"/>
          <w:rFonts w:cs="Times New Roman"/>
        </w:rPr>
        <w:footnoteReference w:id="101"/>
      </w:r>
      <w:r w:rsidRPr="007F7CD0">
        <w:rPr>
          <w:rFonts w:ascii="Times New Roman" w:hAnsi="Times New Roman" w:cs="Times New Roman"/>
        </w:rPr>
        <w:t xml:space="preserve"> i/lub kryteria zawarte w wytycznych IUNG</w:t>
      </w:r>
      <w:r w:rsidR="00F746C4">
        <w:rPr>
          <w:rFonts w:ascii="Times New Roman" w:hAnsi="Times New Roman" w:cs="Times New Roman"/>
        </w:rPr>
        <w:t>-PIB</w:t>
      </w:r>
      <w:r w:rsidRPr="007F7CD0">
        <w:rPr>
          <w:rFonts w:ascii="Times New Roman" w:hAnsi="Times New Roman" w:cs="Times New Roman"/>
        </w:rPr>
        <w:t>. (Więcej informacji na stronie internetowej</w:t>
      </w:r>
      <w:r w:rsidRPr="007F7CD0">
        <w:rPr>
          <w:rFonts w:ascii="Times New Roman" w:hAnsi="Times New Roman" w:cs="Times New Roman"/>
          <w:bCs/>
          <w:kern w:val="3"/>
          <w:sz w:val="24"/>
          <w:szCs w:val="24"/>
          <w:lang w:bidi="hi-IN"/>
        </w:rPr>
        <w:t xml:space="preserve"> </w:t>
      </w:r>
      <w:r w:rsidRPr="007F7CD0">
        <w:rPr>
          <w:rFonts w:ascii="Times New Roman" w:hAnsi="Times New Roman" w:cs="Times New Roman"/>
          <w:bCs/>
        </w:rPr>
        <w:t xml:space="preserve">monitoringu chemizmu gleb ornych Polski: </w:t>
      </w:r>
      <w:hyperlink r:id="rId130" w:history="1">
        <w:r w:rsidRPr="007F7CD0">
          <w:rPr>
            <w:rStyle w:val="Hipercze"/>
          </w:rPr>
          <w:t>https://www.gov.pl/web/gios/monitoring-jakosci-gleby-i-ziemi</w:t>
        </w:r>
      </w:hyperlink>
      <w:r w:rsidRPr="007F7CD0">
        <w:rPr>
          <w:rFonts w:ascii="Times New Roman" w:hAnsi="Times New Roman" w:cs="Times New Roman"/>
          <w:bCs/>
        </w:rPr>
        <w:t>)</w:t>
      </w:r>
      <w:r w:rsidR="00895F16" w:rsidRPr="007F400A">
        <w:rPr>
          <w:rFonts w:ascii="Times New Roman" w:hAnsi="Times New Roman"/>
          <w:sz w:val="24"/>
          <w:szCs w:val="24"/>
        </w:rPr>
        <w:t xml:space="preserve">. </w:t>
      </w:r>
    </w:p>
    <w:p w14:paraId="162DE526" w14:textId="77777777" w:rsidR="00895F16" w:rsidRPr="007F400A" w:rsidRDefault="00895F16" w:rsidP="00895F16">
      <w:pPr>
        <w:spacing w:after="0" w:line="300" w:lineRule="atLeast"/>
        <w:jc w:val="both"/>
        <w:rPr>
          <w:rFonts w:ascii="Times New Roman" w:hAnsi="Times New Roman" w:cs="Times New Roman"/>
          <w:color w:val="00B0F0"/>
          <w:sz w:val="24"/>
          <w:szCs w:val="24"/>
        </w:rPr>
      </w:pPr>
    </w:p>
    <w:p w14:paraId="79BC972D" w14:textId="77777777" w:rsidR="00895F16" w:rsidRPr="007F400A" w:rsidRDefault="00895F16" w:rsidP="00895F16">
      <w:pPr>
        <w:keepNext/>
        <w:spacing w:after="120" w:line="300" w:lineRule="atLeast"/>
        <w:jc w:val="both"/>
        <w:outlineLvl w:val="0"/>
        <w:rPr>
          <w:rFonts w:ascii="Times New Roman" w:eastAsia="Times New Roman" w:hAnsi="Times New Roman" w:cs="Times New Roman"/>
          <w:b/>
          <w:bCs/>
          <w:sz w:val="24"/>
          <w:szCs w:val="24"/>
          <w:lang w:val="x-none" w:eastAsia="x-none"/>
        </w:rPr>
      </w:pPr>
      <w:bookmarkStart w:id="410" w:name="_Toc36732642"/>
      <w:bookmarkStart w:id="411" w:name="_Toc135935712"/>
      <w:r w:rsidRPr="007F400A">
        <w:rPr>
          <w:rFonts w:ascii="Times New Roman" w:eastAsia="Times New Roman" w:hAnsi="Times New Roman" w:cs="Times New Roman"/>
          <w:b/>
          <w:bCs/>
          <w:sz w:val="24"/>
          <w:szCs w:val="24"/>
          <w:lang w:val="x-none" w:eastAsia="x-none"/>
        </w:rPr>
        <w:lastRenderedPageBreak/>
        <w:t>5. Monitoring przyrody</w:t>
      </w:r>
      <w:bookmarkEnd w:id="410"/>
      <w:bookmarkEnd w:id="411"/>
    </w:p>
    <w:p w14:paraId="53009846" w14:textId="77777777" w:rsidR="00895F16" w:rsidRPr="007F400A" w:rsidRDefault="00895F16" w:rsidP="00895F16">
      <w:pPr>
        <w:keepNext/>
        <w:spacing w:after="120" w:line="300" w:lineRule="atLeast"/>
        <w:jc w:val="both"/>
        <w:outlineLvl w:val="0"/>
        <w:rPr>
          <w:rFonts w:ascii="Times New Roman" w:eastAsia="Times New Roman" w:hAnsi="Times New Roman" w:cs="Times New Roman"/>
          <w:b/>
          <w:bCs/>
          <w:sz w:val="24"/>
          <w:szCs w:val="24"/>
          <w:lang w:val="x-none" w:eastAsia="x-none"/>
        </w:rPr>
      </w:pPr>
      <w:bookmarkStart w:id="412" w:name="_Toc36732643"/>
      <w:bookmarkStart w:id="413" w:name="_Toc135935713"/>
      <w:r w:rsidRPr="007F400A">
        <w:rPr>
          <w:rFonts w:ascii="Times New Roman" w:eastAsia="Times New Roman" w:hAnsi="Times New Roman" w:cs="Times New Roman"/>
          <w:b/>
          <w:bCs/>
          <w:sz w:val="24"/>
          <w:szCs w:val="24"/>
          <w:lang w:val="x-none" w:eastAsia="x-none"/>
        </w:rPr>
        <w:t>5.1 Monitoring ptaków</w:t>
      </w:r>
      <w:bookmarkEnd w:id="412"/>
      <w:bookmarkEnd w:id="413"/>
    </w:p>
    <w:p w14:paraId="6F819843" w14:textId="77777777" w:rsidR="00395F24" w:rsidRPr="005E2831" w:rsidRDefault="00395F24" w:rsidP="00395F24">
      <w:pPr>
        <w:spacing w:after="0" w:line="300" w:lineRule="atLeast"/>
        <w:ind w:firstLine="567"/>
        <w:jc w:val="both"/>
        <w:rPr>
          <w:rFonts w:ascii="Times New Roman" w:hAnsi="Times New Roman" w:cs="Times New Roman"/>
          <w:color w:val="000000"/>
          <w:sz w:val="24"/>
          <w:szCs w:val="24"/>
        </w:rPr>
      </w:pPr>
      <w:r w:rsidRPr="005E2831">
        <w:rPr>
          <w:rFonts w:ascii="Times New Roman" w:hAnsi="Times New Roman" w:cs="Times New Roman"/>
          <w:color w:val="000000"/>
          <w:sz w:val="24"/>
          <w:szCs w:val="24"/>
        </w:rPr>
        <w:t>W 2022 r. Główny Inspektorat Ochrony Środowiska kontynuował realizację programu Monitoringu Ptaków Polski. Badania monitoringowe przeprowadzono w ramach programów przedstawionych w poniższej tabeli</w:t>
      </w:r>
      <w:r>
        <w:rPr>
          <w:rFonts w:ascii="Times New Roman" w:hAnsi="Times New Roman" w:cs="Times New Roman"/>
          <w:color w:val="000000"/>
          <w:sz w:val="24"/>
          <w:szCs w:val="24"/>
        </w:rPr>
        <w:t>.</w:t>
      </w:r>
      <w:r w:rsidRPr="005E2831">
        <w:rPr>
          <w:rFonts w:ascii="Times New Roman" w:hAnsi="Times New Roman" w:cs="Times New Roman"/>
          <w:color w:val="000000"/>
          <w:sz w:val="24"/>
          <w:szCs w:val="24"/>
        </w:rPr>
        <w:t xml:space="preserve"> </w:t>
      </w:r>
    </w:p>
    <w:p w14:paraId="59BB24CB" w14:textId="68B5A9C4" w:rsidR="00395F24" w:rsidRPr="005E2831" w:rsidRDefault="00395F24" w:rsidP="00395F24">
      <w:pPr>
        <w:spacing w:before="240" w:after="60"/>
        <w:jc w:val="both"/>
        <w:rPr>
          <w:rFonts w:ascii="Times New Roman" w:hAnsi="Times New Roman" w:cs="Times New Roman"/>
          <w:b/>
          <w:color w:val="000000"/>
          <w:szCs w:val="24"/>
        </w:rPr>
      </w:pPr>
      <w:r w:rsidRPr="005E2831">
        <w:rPr>
          <w:rFonts w:ascii="Times New Roman" w:hAnsi="Times New Roman" w:cs="Times New Roman"/>
          <w:b/>
          <w:color w:val="000000"/>
          <w:szCs w:val="24"/>
        </w:rPr>
        <w:t xml:space="preserve">Tabela </w:t>
      </w:r>
      <w:r w:rsidR="001D61F0">
        <w:rPr>
          <w:rFonts w:ascii="Times New Roman" w:hAnsi="Times New Roman" w:cs="Times New Roman"/>
          <w:b/>
          <w:color w:val="000000"/>
          <w:szCs w:val="24"/>
        </w:rPr>
        <w:t>30</w:t>
      </w:r>
      <w:r w:rsidRPr="005E2831">
        <w:rPr>
          <w:rFonts w:ascii="Times New Roman" w:hAnsi="Times New Roman" w:cs="Times New Roman"/>
          <w:b/>
          <w:color w:val="000000"/>
          <w:szCs w:val="24"/>
        </w:rPr>
        <w:t>. Badania monitoringowe MPP (OSOP – obszary specjalnej ochrony ptaków Natura 2000)</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57"/>
        <w:gridCol w:w="1275"/>
        <w:gridCol w:w="1418"/>
        <w:gridCol w:w="1638"/>
      </w:tblGrid>
      <w:tr w:rsidR="00395F24" w:rsidRPr="005E2831" w14:paraId="1D496481" w14:textId="77777777" w:rsidTr="00DB2E04">
        <w:tc>
          <w:tcPr>
            <w:tcW w:w="4957" w:type="dxa"/>
            <w:vAlign w:val="center"/>
          </w:tcPr>
          <w:p w14:paraId="7B7F73A8"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Program</w:t>
            </w:r>
          </w:p>
        </w:tc>
        <w:tc>
          <w:tcPr>
            <w:tcW w:w="1275" w:type="dxa"/>
          </w:tcPr>
          <w:p w14:paraId="6384F428" w14:textId="77777777" w:rsidR="00395F24" w:rsidRPr="004D6FB8" w:rsidRDefault="00395F24" w:rsidP="00DB2E04">
            <w:pPr>
              <w:spacing w:after="60"/>
              <w:jc w:val="center"/>
              <w:rPr>
                <w:rFonts w:ascii="Times New Roman" w:hAnsi="Times New Roman" w:cs="Times New Roman"/>
                <w:b/>
                <w:color w:val="000000"/>
                <w:sz w:val="20"/>
                <w:szCs w:val="18"/>
              </w:rPr>
            </w:pPr>
            <w:r w:rsidRPr="004D6FB8">
              <w:rPr>
                <w:rFonts w:ascii="Times New Roman" w:hAnsi="Times New Roman" w:cs="Times New Roman"/>
                <w:b/>
                <w:color w:val="000000"/>
                <w:sz w:val="20"/>
                <w:szCs w:val="18"/>
              </w:rPr>
              <w:t>Liczba gatunków</w:t>
            </w:r>
          </w:p>
        </w:tc>
        <w:tc>
          <w:tcPr>
            <w:tcW w:w="1418" w:type="dxa"/>
          </w:tcPr>
          <w:p w14:paraId="7E9793BF" w14:textId="77777777" w:rsidR="00395F24" w:rsidRPr="004D6FB8" w:rsidRDefault="00395F24" w:rsidP="00DB2E04">
            <w:pPr>
              <w:spacing w:after="60"/>
              <w:ind w:left="28" w:firstLine="10"/>
              <w:jc w:val="center"/>
              <w:rPr>
                <w:rFonts w:ascii="Times New Roman" w:hAnsi="Times New Roman" w:cs="Times New Roman"/>
                <w:b/>
                <w:color w:val="000000"/>
                <w:sz w:val="20"/>
                <w:szCs w:val="18"/>
              </w:rPr>
            </w:pPr>
            <w:r w:rsidRPr="004D6FB8">
              <w:rPr>
                <w:rFonts w:ascii="Times New Roman" w:hAnsi="Times New Roman" w:cs="Times New Roman"/>
                <w:b/>
                <w:color w:val="000000"/>
                <w:sz w:val="20"/>
                <w:szCs w:val="18"/>
              </w:rPr>
              <w:t>Liczba powierzchni</w:t>
            </w:r>
          </w:p>
        </w:tc>
        <w:tc>
          <w:tcPr>
            <w:tcW w:w="1638" w:type="dxa"/>
          </w:tcPr>
          <w:p w14:paraId="180BF1D6" w14:textId="77777777" w:rsidR="00395F24" w:rsidRPr="004D6FB8" w:rsidRDefault="00395F24" w:rsidP="00DB2E04">
            <w:pPr>
              <w:spacing w:after="60"/>
              <w:jc w:val="center"/>
              <w:rPr>
                <w:rFonts w:ascii="Times New Roman" w:hAnsi="Times New Roman" w:cs="Times New Roman"/>
                <w:b/>
                <w:color w:val="000000"/>
                <w:sz w:val="20"/>
                <w:szCs w:val="18"/>
              </w:rPr>
            </w:pPr>
            <w:r w:rsidRPr="004D6FB8">
              <w:rPr>
                <w:rFonts w:ascii="Times New Roman" w:hAnsi="Times New Roman" w:cs="Times New Roman"/>
                <w:b/>
                <w:color w:val="000000"/>
                <w:sz w:val="20"/>
                <w:szCs w:val="18"/>
              </w:rPr>
              <w:t xml:space="preserve">Liczba pow. </w:t>
            </w:r>
            <w:r w:rsidRPr="004D6FB8">
              <w:rPr>
                <w:rFonts w:ascii="Times New Roman" w:hAnsi="Times New Roman" w:cs="Times New Roman"/>
                <w:b/>
                <w:color w:val="000000"/>
                <w:sz w:val="20"/>
                <w:szCs w:val="18"/>
              </w:rPr>
              <w:br/>
              <w:t>w granicach OSOP</w:t>
            </w:r>
          </w:p>
        </w:tc>
      </w:tr>
      <w:tr w:rsidR="00395F24" w:rsidRPr="005E2831" w14:paraId="6E26037B" w14:textId="77777777" w:rsidTr="00DB2E04">
        <w:tc>
          <w:tcPr>
            <w:tcW w:w="4957" w:type="dxa"/>
          </w:tcPr>
          <w:p w14:paraId="23A16076" w14:textId="77777777" w:rsidR="00395F24" w:rsidRPr="004D6FB8" w:rsidRDefault="00395F24" w:rsidP="00DB2E04">
            <w:pPr>
              <w:spacing w:after="60"/>
              <w:jc w:val="center"/>
              <w:rPr>
                <w:rFonts w:ascii="Times New Roman" w:hAnsi="Times New Roman" w:cs="Times New Roman"/>
                <w:b/>
                <w:color w:val="000000"/>
                <w:sz w:val="20"/>
                <w:szCs w:val="18"/>
              </w:rPr>
            </w:pPr>
            <w:r w:rsidRPr="004D6FB8">
              <w:rPr>
                <w:rFonts w:ascii="Times New Roman" w:hAnsi="Times New Roman" w:cs="Times New Roman"/>
                <w:b/>
                <w:color w:val="000000"/>
                <w:sz w:val="20"/>
                <w:szCs w:val="18"/>
              </w:rPr>
              <w:t>monitoring populacji lęgowych</w:t>
            </w:r>
          </w:p>
        </w:tc>
        <w:tc>
          <w:tcPr>
            <w:tcW w:w="1275" w:type="dxa"/>
          </w:tcPr>
          <w:p w14:paraId="00FE602B" w14:textId="77777777" w:rsidR="00395F24" w:rsidRPr="004D6FB8" w:rsidRDefault="00395F24" w:rsidP="00DB2E04">
            <w:pPr>
              <w:spacing w:after="60"/>
              <w:ind w:firstLine="316"/>
              <w:jc w:val="center"/>
              <w:rPr>
                <w:rFonts w:ascii="Times New Roman" w:hAnsi="Times New Roman" w:cs="Times New Roman"/>
                <w:color w:val="000000"/>
                <w:sz w:val="20"/>
                <w:szCs w:val="18"/>
                <w:highlight w:val="green"/>
              </w:rPr>
            </w:pPr>
          </w:p>
        </w:tc>
        <w:tc>
          <w:tcPr>
            <w:tcW w:w="1418" w:type="dxa"/>
          </w:tcPr>
          <w:p w14:paraId="39BC082B" w14:textId="77777777" w:rsidR="00395F24" w:rsidRPr="004D6FB8" w:rsidRDefault="00395F24" w:rsidP="00DB2E04">
            <w:pPr>
              <w:spacing w:after="60"/>
              <w:ind w:hanging="104"/>
              <w:jc w:val="center"/>
              <w:rPr>
                <w:rFonts w:ascii="Times New Roman" w:hAnsi="Times New Roman" w:cs="Times New Roman"/>
                <w:color w:val="000000"/>
                <w:sz w:val="20"/>
                <w:szCs w:val="18"/>
                <w:highlight w:val="green"/>
              </w:rPr>
            </w:pPr>
          </w:p>
        </w:tc>
        <w:tc>
          <w:tcPr>
            <w:tcW w:w="1638" w:type="dxa"/>
          </w:tcPr>
          <w:p w14:paraId="7D923C73" w14:textId="77777777" w:rsidR="00395F24" w:rsidRPr="004D6FB8" w:rsidRDefault="00395F24" w:rsidP="00DB2E04">
            <w:pPr>
              <w:spacing w:after="60"/>
              <w:ind w:firstLine="459"/>
              <w:jc w:val="center"/>
              <w:rPr>
                <w:rFonts w:ascii="Times New Roman" w:hAnsi="Times New Roman" w:cs="Times New Roman"/>
                <w:b/>
                <w:bCs/>
                <w:color w:val="000000"/>
                <w:sz w:val="20"/>
                <w:szCs w:val="18"/>
                <w:highlight w:val="green"/>
              </w:rPr>
            </w:pPr>
          </w:p>
        </w:tc>
      </w:tr>
      <w:tr w:rsidR="00395F24" w:rsidRPr="005E2831" w14:paraId="7DFD258F" w14:textId="77777777" w:rsidTr="00DB2E04">
        <w:tc>
          <w:tcPr>
            <w:tcW w:w="4957" w:type="dxa"/>
          </w:tcPr>
          <w:p w14:paraId="436081B1"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Monitoring Czapli Siwej i Białej (MCZ)</w:t>
            </w:r>
          </w:p>
        </w:tc>
        <w:tc>
          <w:tcPr>
            <w:tcW w:w="1275" w:type="dxa"/>
          </w:tcPr>
          <w:p w14:paraId="685C2E74"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2</w:t>
            </w:r>
          </w:p>
        </w:tc>
        <w:tc>
          <w:tcPr>
            <w:tcW w:w="1418" w:type="dxa"/>
          </w:tcPr>
          <w:p w14:paraId="336EF919"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195</w:t>
            </w:r>
          </w:p>
        </w:tc>
        <w:tc>
          <w:tcPr>
            <w:tcW w:w="1638" w:type="dxa"/>
          </w:tcPr>
          <w:p w14:paraId="43570F92"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126</w:t>
            </w:r>
          </w:p>
        </w:tc>
      </w:tr>
      <w:tr w:rsidR="00395F24" w:rsidRPr="005E2831" w14:paraId="4B9D41A7" w14:textId="77777777" w:rsidTr="00DB2E04">
        <w:tc>
          <w:tcPr>
            <w:tcW w:w="4957" w:type="dxa"/>
          </w:tcPr>
          <w:p w14:paraId="7396D0C3"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Monitoring Dubelta (MDU)</w:t>
            </w:r>
          </w:p>
        </w:tc>
        <w:tc>
          <w:tcPr>
            <w:tcW w:w="1275" w:type="dxa"/>
          </w:tcPr>
          <w:p w14:paraId="7BD3C5BE"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1</w:t>
            </w:r>
          </w:p>
        </w:tc>
        <w:tc>
          <w:tcPr>
            <w:tcW w:w="1418" w:type="dxa"/>
          </w:tcPr>
          <w:p w14:paraId="06560270"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91</w:t>
            </w:r>
          </w:p>
        </w:tc>
        <w:tc>
          <w:tcPr>
            <w:tcW w:w="1638" w:type="dxa"/>
          </w:tcPr>
          <w:p w14:paraId="2CA83245"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79</w:t>
            </w:r>
          </w:p>
        </w:tc>
      </w:tr>
      <w:tr w:rsidR="00395F24" w:rsidRPr="005E2831" w14:paraId="4FDD6A51" w14:textId="77777777" w:rsidTr="00DB2E04">
        <w:tc>
          <w:tcPr>
            <w:tcW w:w="4957" w:type="dxa"/>
          </w:tcPr>
          <w:p w14:paraId="6AEC9389"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Monitoring Flagowych Gatunków Ptaków (MFGP)</w:t>
            </w:r>
          </w:p>
        </w:tc>
        <w:tc>
          <w:tcPr>
            <w:tcW w:w="1275" w:type="dxa"/>
          </w:tcPr>
          <w:p w14:paraId="10E4CFE1"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12</w:t>
            </w:r>
          </w:p>
        </w:tc>
        <w:tc>
          <w:tcPr>
            <w:tcW w:w="1418" w:type="dxa"/>
          </w:tcPr>
          <w:p w14:paraId="3507ADCD"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48</w:t>
            </w:r>
          </w:p>
        </w:tc>
        <w:tc>
          <w:tcPr>
            <w:tcW w:w="1638" w:type="dxa"/>
          </w:tcPr>
          <w:p w14:paraId="02A35AC2"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28</w:t>
            </w:r>
          </w:p>
        </w:tc>
      </w:tr>
      <w:tr w:rsidR="00395F24" w:rsidRPr="005E2831" w14:paraId="45B0A2F4" w14:textId="77777777" w:rsidTr="00DB2E04">
        <w:tc>
          <w:tcPr>
            <w:tcW w:w="4957" w:type="dxa"/>
          </w:tcPr>
          <w:p w14:paraId="7C4474D9"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Monitoring Kraski (MKR)</w:t>
            </w:r>
          </w:p>
        </w:tc>
        <w:tc>
          <w:tcPr>
            <w:tcW w:w="1275" w:type="dxa"/>
          </w:tcPr>
          <w:p w14:paraId="6943AE5A"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1</w:t>
            </w:r>
          </w:p>
        </w:tc>
        <w:tc>
          <w:tcPr>
            <w:tcW w:w="1418" w:type="dxa"/>
          </w:tcPr>
          <w:p w14:paraId="6484A6E8"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17</w:t>
            </w:r>
          </w:p>
        </w:tc>
        <w:tc>
          <w:tcPr>
            <w:tcW w:w="1638" w:type="dxa"/>
          </w:tcPr>
          <w:p w14:paraId="500407EB"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12</w:t>
            </w:r>
          </w:p>
        </w:tc>
      </w:tr>
      <w:tr w:rsidR="00395F24" w:rsidRPr="005E2831" w14:paraId="6B3BC093" w14:textId="77777777" w:rsidTr="00DB2E04">
        <w:tc>
          <w:tcPr>
            <w:tcW w:w="4957" w:type="dxa"/>
          </w:tcPr>
          <w:p w14:paraId="246849A7"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Monitoring Kormorana (MKO)</w:t>
            </w:r>
          </w:p>
        </w:tc>
        <w:tc>
          <w:tcPr>
            <w:tcW w:w="1275" w:type="dxa"/>
          </w:tcPr>
          <w:p w14:paraId="4FDE4B6E"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1</w:t>
            </w:r>
          </w:p>
        </w:tc>
        <w:tc>
          <w:tcPr>
            <w:tcW w:w="1418" w:type="dxa"/>
          </w:tcPr>
          <w:p w14:paraId="1E00AAE8"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76</w:t>
            </w:r>
          </w:p>
        </w:tc>
        <w:tc>
          <w:tcPr>
            <w:tcW w:w="1638" w:type="dxa"/>
          </w:tcPr>
          <w:p w14:paraId="1AA947FF"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50</w:t>
            </w:r>
          </w:p>
        </w:tc>
      </w:tr>
      <w:tr w:rsidR="00395F24" w:rsidRPr="005E2831" w14:paraId="2A0AA3A2" w14:textId="77777777" w:rsidTr="00DB2E04">
        <w:tc>
          <w:tcPr>
            <w:tcW w:w="4957" w:type="dxa"/>
          </w:tcPr>
          <w:p w14:paraId="6E57B76B"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Monitoring Lęgowych Sów Leśnych (MLSL)</w:t>
            </w:r>
          </w:p>
        </w:tc>
        <w:tc>
          <w:tcPr>
            <w:tcW w:w="1275" w:type="dxa"/>
          </w:tcPr>
          <w:p w14:paraId="362472FE"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6</w:t>
            </w:r>
          </w:p>
        </w:tc>
        <w:tc>
          <w:tcPr>
            <w:tcW w:w="1418" w:type="dxa"/>
          </w:tcPr>
          <w:p w14:paraId="2F5C3C23"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45</w:t>
            </w:r>
          </w:p>
        </w:tc>
        <w:tc>
          <w:tcPr>
            <w:tcW w:w="1638" w:type="dxa"/>
          </w:tcPr>
          <w:p w14:paraId="007BD798"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24</w:t>
            </w:r>
          </w:p>
        </w:tc>
      </w:tr>
      <w:tr w:rsidR="00395F24" w:rsidRPr="005E2831" w14:paraId="7A0E7538" w14:textId="77777777" w:rsidTr="00DB2E04">
        <w:tc>
          <w:tcPr>
            <w:tcW w:w="4957" w:type="dxa"/>
          </w:tcPr>
          <w:p w14:paraId="75344748"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Monitoring Łabędzia Krzykliwego (MLK)</w:t>
            </w:r>
          </w:p>
        </w:tc>
        <w:tc>
          <w:tcPr>
            <w:tcW w:w="1275" w:type="dxa"/>
          </w:tcPr>
          <w:p w14:paraId="719F7ACB"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1</w:t>
            </w:r>
          </w:p>
        </w:tc>
        <w:tc>
          <w:tcPr>
            <w:tcW w:w="1418" w:type="dxa"/>
          </w:tcPr>
          <w:p w14:paraId="0E36BA0E"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237</w:t>
            </w:r>
          </w:p>
        </w:tc>
        <w:tc>
          <w:tcPr>
            <w:tcW w:w="1638" w:type="dxa"/>
          </w:tcPr>
          <w:p w14:paraId="648C6BBF"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138</w:t>
            </w:r>
          </w:p>
        </w:tc>
      </w:tr>
      <w:tr w:rsidR="00395F24" w:rsidRPr="005E2831" w14:paraId="0CBDAFB3" w14:textId="77777777" w:rsidTr="00DB2E04">
        <w:tc>
          <w:tcPr>
            <w:tcW w:w="4957" w:type="dxa"/>
          </w:tcPr>
          <w:p w14:paraId="17B3E8B2"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 xml:space="preserve">Monitoring Łąkowych Siewek (MLS) </w:t>
            </w:r>
            <w:r w:rsidRPr="004D6FB8">
              <w:rPr>
                <w:rFonts w:ascii="Times New Roman" w:hAnsi="Times New Roman" w:cs="Times New Roman"/>
                <w:color w:val="000000"/>
                <w:sz w:val="20"/>
                <w:szCs w:val="18"/>
              </w:rPr>
              <w:br/>
              <w:t>(dawny Monitoring Kulika Wielkiego (MKW))</w:t>
            </w:r>
          </w:p>
        </w:tc>
        <w:tc>
          <w:tcPr>
            <w:tcW w:w="1275" w:type="dxa"/>
          </w:tcPr>
          <w:p w14:paraId="6BF2B82C"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1</w:t>
            </w:r>
          </w:p>
        </w:tc>
        <w:tc>
          <w:tcPr>
            <w:tcW w:w="1418" w:type="dxa"/>
          </w:tcPr>
          <w:p w14:paraId="59906313"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159</w:t>
            </w:r>
          </w:p>
        </w:tc>
        <w:tc>
          <w:tcPr>
            <w:tcW w:w="1638" w:type="dxa"/>
          </w:tcPr>
          <w:p w14:paraId="1335A9BF"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116</w:t>
            </w:r>
          </w:p>
        </w:tc>
      </w:tr>
      <w:tr w:rsidR="00395F24" w:rsidRPr="005E2831" w14:paraId="3DB3DBAC" w14:textId="77777777" w:rsidTr="00DB2E04">
        <w:tc>
          <w:tcPr>
            <w:tcW w:w="4957" w:type="dxa"/>
          </w:tcPr>
          <w:p w14:paraId="640A190D"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Monitoring Mewy Czarnogłowej (MMC)</w:t>
            </w:r>
          </w:p>
        </w:tc>
        <w:tc>
          <w:tcPr>
            <w:tcW w:w="1275" w:type="dxa"/>
          </w:tcPr>
          <w:p w14:paraId="726FFC4F"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1</w:t>
            </w:r>
          </w:p>
        </w:tc>
        <w:tc>
          <w:tcPr>
            <w:tcW w:w="1418" w:type="dxa"/>
          </w:tcPr>
          <w:p w14:paraId="4D2F54D1"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84</w:t>
            </w:r>
          </w:p>
        </w:tc>
        <w:tc>
          <w:tcPr>
            <w:tcW w:w="1638" w:type="dxa"/>
          </w:tcPr>
          <w:p w14:paraId="2BD5A1FB"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52</w:t>
            </w:r>
          </w:p>
        </w:tc>
      </w:tr>
      <w:tr w:rsidR="00395F24" w:rsidRPr="005E2831" w14:paraId="1C6A55F8" w14:textId="77777777" w:rsidTr="00DB2E04">
        <w:tc>
          <w:tcPr>
            <w:tcW w:w="4957" w:type="dxa"/>
          </w:tcPr>
          <w:p w14:paraId="37FF25E2"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Monitoring Orlika Grubodziobego (MOG)</w:t>
            </w:r>
          </w:p>
        </w:tc>
        <w:tc>
          <w:tcPr>
            <w:tcW w:w="1275" w:type="dxa"/>
          </w:tcPr>
          <w:p w14:paraId="525D251E"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1</w:t>
            </w:r>
          </w:p>
        </w:tc>
        <w:tc>
          <w:tcPr>
            <w:tcW w:w="1418" w:type="dxa"/>
          </w:tcPr>
          <w:p w14:paraId="5A65DDD1"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19</w:t>
            </w:r>
          </w:p>
        </w:tc>
        <w:tc>
          <w:tcPr>
            <w:tcW w:w="1638" w:type="dxa"/>
          </w:tcPr>
          <w:p w14:paraId="10FB86AD"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18</w:t>
            </w:r>
          </w:p>
        </w:tc>
      </w:tr>
      <w:tr w:rsidR="00395F24" w:rsidRPr="005E2831" w14:paraId="6574144D" w14:textId="77777777" w:rsidTr="00DB2E04">
        <w:tc>
          <w:tcPr>
            <w:tcW w:w="4957" w:type="dxa"/>
          </w:tcPr>
          <w:p w14:paraId="3670CAA2"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Monitoring Orła Przedniego (MOP)</w:t>
            </w:r>
          </w:p>
        </w:tc>
        <w:tc>
          <w:tcPr>
            <w:tcW w:w="1275" w:type="dxa"/>
          </w:tcPr>
          <w:p w14:paraId="201A83E4"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1</w:t>
            </w:r>
          </w:p>
        </w:tc>
        <w:tc>
          <w:tcPr>
            <w:tcW w:w="1418" w:type="dxa"/>
          </w:tcPr>
          <w:p w14:paraId="34428FE8"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37</w:t>
            </w:r>
          </w:p>
        </w:tc>
        <w:tc>
          <w:tcPr>
            <w:tcW w:w="1638" w:type="dxa"/>
          </w:tcPr>
          <w:p w14:paraId="78977518"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31</w:t>
            </w:r>
          </w:p>
        </w:tc>
      </w:tr>
      <w:tr w:rsidR="00395F24" w:rsidRPr="005E2831" w14:paraId="6153AA81" w14:textId="77777777" w:rsidTr="00DB2E04">
        <w:tc>
          <w:tcPr>
            <w:tcW w:w="4957" w:type="dxa"/>
          </w:tcPr>
          <w:p w14:paraId="313BAE1B"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Monitoring Podgorzałki (MPO)</w:t>
            </w:r>
          </w:p>
        </w:tc>
        <w:tc>
          <w:tcPr>
            <w:tcW w:w="1275" w:type="dxa"/>
          </w:tcPr>
          <w:p w14:paraId="59931D5F"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1</w:t>
            </w:r>
          </w:p>
        </w:tc>
        <w:tc>
          <w:tcPr>
            <w:tcW w:w="1418" w:type="dxa"/>
          </w:tcPr>
          <w:p w14:paraId="7BDA9E00"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32</w:t>
            </w:r>
          </w:p>
        </w:tc>
        <w:tc>
          <w:tcPr>
            <w:tcW w:w="1638" w:type="dxa"/>
          </w:tcPr>
          <w:p w14:paraId="0CEC53B3"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27</w:t>
            </w:r>
          </w:p>
        </w:tc>
      </w:tr>
      <w:tr w:rsidR="00395F24" w:rsidRPr="005E2831" w14:paraId="49F1DD2C" w14:textId="77777777" w:rsidTr="00DB2E04">
        <w:tc>
          <w:tcPr>
            <w:tcW w:w="4957" w:type="dxa"/>
          </w:tcPr>
          <w:p w14:paraId="61C104B5"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Monitoring Pospolitych Ptaków Lęgowych (MPPL)</w:t>
            </w:r>
          </w:p>
        </w:tc>
        <w:tc>
          <w:tcPr>
            <w:tcW w:w="1275" w:type="dxa"/>
          </w:tcPr>
          <w:p w14:paraId="44DE7888"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ok. 110</w:t>
            </w:r>
          </w:p>
        </w:tc>
        <w:tc>
          <w:tcPr>
            <w:tcW w:w="1418" w:type="dxa"/>
          </w:tcPr>
          <w:p w14:paraId="25C2DF03"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809</w:t>
            </w:r>
          </w:p>
        </w:tc>
        <w:tc>
          <w:tcPr>
            <w:tcW w:w="1638" w:type="dxa"/>
          </w:tcPr>
          <w:p w14:paraId="3FF23541"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163</w:t>
            </w:r>
          </w:p>
        </w:tc>
      </w:tr>
      <w:tr w:rsidR="00395F24" w:rsidRPr="005E2831" w14:paraId="5138FF80" w14:textId="77777777" w:rsidTr="00DB2E04">
        <w:trPr>
          <w:trHeight w:val="224"/>
        </w:trPr>
        <w:tc>
          <w:tcPr>
            <w:tcW w:w="4957" w:type="dxa"/>
          </w:tcPr>
          <w:p w14:paraId="5EBEC3AA"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Monitoring Pospolitych Ptaków Miast (MPPM)</w:t>
            </w:r>
          </w:p>
        </w:tc>
        <w:tc>
          <w:tcPr>
            <w:tcW w:w="1275" w:type="dxa"/>
          </w:tcPr>
          <w:p w14:paraId="57653310"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ok. 50</w:t>
            </w:r>
          </w:p>
        </w:tc>
        <w:tc>
          <w:tcPr>
            <w:tcW w:w="1418" w:type="dxa"/>
          </w:tcPr>
          <w:p w14:paraId="6064D2A3"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251</w:t>
            </w:r>
          </w:p>
        </w:tc>
        <w:tc>
          <w:tcPr>
            <w:tcW w:w="1638" w:type="dxa"/>
          </w:tcPr>
          <w:p w14:paraId="16F1B1A7"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6</w:t>
            </w:r>
          </w:p>
        </w:tc>
      </w:tr>
      <w:tr w:rsidR="00395F24" w:rsidRPr="005E2831" w14:paraId="57CE15CD" w14:textId="77777777" w:rsidTr="00DB2E04">
        <w:tc>
          <w:tcPr>
            <w:tcW w:w="4957" w:type="dxa"/>
          </w:tcPr>
          <w:p w14:paraId="12AEB54F"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Monitoring Produktywności Bielika (MPB)</w:t>
            </w:r>
          </w:p>
        </w:tc>
        <w:tc>
          <w:tcPr>
            <w:tcW w:w="1275" w:type="dxa"/>
          </w:tcPr>
          <w:p w14:paraId="536E4913"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1</w:t>
            </w:r>
          </w:p>
        </w:tc>
        <w:tc>
          <w:tcPr>
            <w:tcW w:w="1418" w:type="dxa"/>
          </w:tcPr>
          <w:p w14:paraId="48F652A4"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50</w:t>
            </w:r>
          </w:p>
        </w:tc>
        <w:tc>
          <w:tcPr>
            <w:tcW w:w="1638" w:type="dxa"/>
          </w:tcPr>
          <w:p w14:paraId="2CCD3745"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44</w:t>
            </w:r>
          </w:p>
        </w:tc>
      </w:tr>
      <w:tr w:rsidR="00395F24" w:rsidRPr="005E2831" w14:paraId="6151E162" w14:textId="77777777" w:rsidTr="00DB2E04">
        <w:tc>
          <w:tcPr>
            <w:tcW w:w="4957" w:type="dxa"/>
          </w:tcPr>
          <w:p w14:paraId="18273B1B"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Monitoring Ptaków Drapieżnych (MPD)</w:t>
            </w:r>
          </w:p>
        </w:tc>
        <w:tc>
          <w:tcPr>
            <w:tcW w:w="1275" w:type="dxa"/>
          </w:tcPr>
          <w:p w14:paraId="34134849"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12</w:t>
            </w:r>
          </w:p>
        </w:tc>
        <w:tc>
          <w:tcPr>
            <w:tcW w:w="1418" w:type="dxa"/>
          </w:tcPr>
          <w:p w14:paraId="62C8EB50"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49</w:t>
            </w:r>
          </w:p>
        </w:tc>
        <w:tc>
          <w:tcPr>
            <w:tcW w:w="1638" w:type="dxa"/>
          </w:tcPr>
          <w:p w14:paraId="50F85140"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33</w:t>
            </w:r>
          </w:p>
        </w:tc>
      </w:tr>
      <w:tr w:rsidR="00395F24" w:rsidRPr="005E2831" w14:paraId="5174F42E" w14:textId="77777777" w:rsidTr="00DB2E04">
        <w:trPr>
          <w:trHeight w:val="224"/>
        </w:trPr>
        <w:tc>
          <w:tcPr>
            <w:tcW w:w="4957" w:type="dxa"/>
          </w:tcPr>
          <w:p w14:paraId="1D406457"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Monitoring Ptaków Gór (MPG)</w:t>
            </w:r>
          </w:p>
        </w:tc>
        <w:tc>
          <w:tcPr>
            <w:tcW w:w="1275" w:type="dxa"/>
          </w:tcPr>
          <w:p w14:paraId="4A561B1F"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6</w:t>
            </w:r>
          </w:p>
        </w:tc>
        <w:tc>
          <w:tcPr>
            <w:tcW w:w="1418" w:type="dxa"/>
          </w:tcPr>
          <w:p w14:paraId="645B52F8"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47</w:t>
            </w:r>
          </w:p>
        </w:tc>
        <w:tc>
          <w:tcPr>
            <w:tcW w:w="1638" w:type="dxa"/>
          </w:tcPr>
          <w:p w14:paraId="1E8AE4B7"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45</w:t>
            </w:r>
          </w:p>
        </w:tc>
      </w:tr>
      <w:tr w:rsidR="00395F24" w:rsidRPr="005E2831" w14:paraId="0882838B" w14:textId="77777777" w:rsidTr="00DB2E04">
        <w:tc>
          <w:tcPr>
            <w:tcW w:w="4957" w:type="dxa"/>
          </w:tcPr>
          <w:p w14:paraId="0EC86F4B"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Monitoring Ptaków Mokradeł (MPM)</w:t>
            </w:r>
          </w:p>
        </w:tc>
        <w:tc>
          <w:tcPr>
            <w:tcW w:w="1275" w:type="dxa"/>
          </w:tcPr>
          <w:p w14:paraId="3A6236E9"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50</w:t>
            </w:r>
          </w:p>
        </w:tc>
        <w:tc>
          <w:tcPr>
            <w:tcW w:w="1418" w:type="dxa"/>
          </w:tcPr>
          <w:p w14:paraId="64E157FE"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46</w:t>
            </w:r>
          </w:p>
        </w:tc>
        <w:tc>
          <w:tcPr>
            <w:tcW w:w="1638" w:type="dxa"/>
          </w:tcPr>
          <w:p w14:paraId="33F992D3"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23</w:t>
            </w:r>
          </w:p>
        </w:tc>
      </w:tr>
      <w:tr w:rsidR="00395F24" w:rsidRPr="005E2831" w14:paraId="3B3EF458" w14:textId="77777777" w:rsidTr="00DB2E04">
        <w:tc>
          <w:tcPr>
            <w:tcW w:w="4957" w:type="dxa"/>
          </w:tcPr>
          <w:p w14:paraId="11FD2BA3"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Monitoring Ptaków Wybrzeża i Rzek (MPWR)</w:t>
            </w:r>
          </w:p>
        </w:tc>
        <w:tc>
          <w:tcPr>
            <w:tcW w:w="1275" w:type="dxa"/>
          </w:tcPr>
          <w:p w14:paraId="387FD246"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7</w:t>
            </w:r>
          </w:p>
        </w:tc>
        <w:tc>
          <w:tcPr>
            <w:tcW w:w="1418" w:type="dxa"/>
          </w:tcPr>
          <w:p w14:paraId="1AB29AE7"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214</w:t>
            </w:r>
          </w:p>
        </w:tc>
        <w:tc>
          <w:tcPr>
            <w:tcW w:w="1638" w:type="dxa"/>
          </w:tcPr>
          <w:p w14:paraId="50ED50BB"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169</w:t>
            </w:r>
          </w:p>
        </w:tc>
      </w:tr>
      <w:tr w:rsidR="00395F24" w:rsidRPr="005E2831" w14:paraId="4A341C62" w14:textId="77777777" w:rsidTr="00DB2E04">
        <w:trPr>
          <w:trHeight w:val="224"/>
        </w:trPr>
        <w:tc>
          <w:tcPr>
            <w:tcW w:w="4957" w:type="dxa"/>
          </w:tcPr>
          <w:p w14:paraId="7930A8B6"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Monitoring Puszczyka Mszarnego (MPS)</w:t>
            </w:r>
          </w:p>
        </w:tc>
        <w:tc>
          <w:tcPr>
            <w:tcW w:w="1275" w:type="dxa"/>
          </w:tcPr>
          <w:p w14:paraId="5AC538AA"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1</w:t>
            </w:r>
          </w:p>
        </w:tc>
        <w:tc>
          <w:tcPr>
            <w:tcW w:w="1418" w:type="dxa"/>
          </w:tcPr>
          <w:p w14:paraId="5B1BB6FC"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8</w:t>
            </w:r>
          </w:p>
        </w:tc>
        <w:tc>
          <w:tcPr>
            <w:tcW w:w="1638" w:type="dxa"/>
          </w:tcPr>
          <w:p w14:paraId="5147CA98"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3</w:t>
            </w:r>
          </w:p>
        </w:tc>
      </w:tr>
      <w:tr w:rsidR="00395F24" w:rsidRPr="005E2831" w14:paraId="3BF82458" w14:textId="77777777" w:rsidTr="00DB2E04">
        <w:trPr>
          <w:trHeight w:val="224"/>
        </w:trPr>
        <w:tc>
          <w:tcPr>
            <w:tcW w:w="4957" w:type="dxa"/>
          </w:tcPr>
          <w:p w14:paraId="4C31BC69"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Monitoring Rybitw Bagiennych (MCH)</w:t>
            </w:r>
          </w:p>
        </w:tc>
        <w:tc>
          <w:tcPr>
            <w:tcW w:w="1275" w:type="dxa"/>
          </w:tcPr>
          <w:p w14:paraId="2B15D5B2"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7</w:t>
            </w:r>
          </w:p>
        </w:tc>
        <w:tc>
          <w:tcPr>
            <w:tcW w:w="1418" w:type="dxa"/>
          </w:tcPr>
          <w:p w14:paraId="7FB3E76D"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216</w:t>
            </w:r>
          </w:p>
        </w:tc>
        <w:tc>
          <w:tcPr>
            <w:tcW w:w="1638" w:type="dxa"/>
          </w:tcPr>
          <w:p w14:paraId="33C231AA"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176</w:t>
            </w:r>
          </w:p>
        </w:tc>
      </w:tr>
      <w:tr w:rsidR="00395F24" w:rsidRPr="005E2831" w14:paraId="3EFF4FB7" w14:textId="77777777" w:rsidTr="00DB2E04">
        <w:tc>
          <w:tcPr>
            <w:tcW w:w="4957" w:type="dxa"/>
          </w:tcPr>
          <w:p w14:paraId="399718CA"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Monitoring Rybitwy Czubatej (MRC)</w:t>
            </w:r>
          </w:p>
        </w:tc>
        <w:tc>
          <w:tcPr>
            <w:tcW w:w="1275" w:type="dxa"/>
          </w:tcPr>
          <w:p w14:paraId="749EC888"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1</w:t>
            </w:r>
          </w:p>
        </w:tc>
        <w:tc>
          <w:tcPr>
            <w:tcW w:w="1418" w:type="dxa"/>
          </w:tcPr>
          <w:p w14:paraId="0A8010BB"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2</w:t>
            </w:r>
          </w:p>
        </w:tc>
        <w:tc>
          <w:tcPr>
            <w:tcW w:w="1638" w:type="dxa"/>
          </w:tcPr>
          <w:p w14:paraId="6E0E8B35"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2</w:t>
            </w:r>
          </w:p>
        </w:tc>
      </w:tr>
      <w:tr w:rsidR="00395F24" w:rsidRPr="005E2831" w14:paraId="61A475F1" w14:textId="77777777" w:rsidTr="00DB2E04">
        <w:tc>
          <w:tcPr>
            <w:tcW w:w="4957" w:type="dxa"/>
          </w:tcPr>
          <w:p w14:paraId="63A1E2D7"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Monitoring Rybołowa (MRY)</w:t>
            </w:r>
          </w:p>
        </w:tc>
        <w:tc>
          <w:tcPr>
            <w:tcW w:w="1275" w:type="dxa"/>
          </w:tcPr>
          <w:p w14:paraId="54883742"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1</w:t>
            </w:r>
          </w:p>
        </w:tc>
        <w:tc>
          <w:tcPr>
            <w:tcW w:w="1418" w:type="dxa"/>
          </w:tcPr>
          <w:p w14:paraId="08BCC110"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52</w:t>
            </w:r>
          </w:p>
        </w:tc>
        <w:tc>
          <w:tcPr>
            <w:tcW w:w="1638" w:type="dxa"/>
          </w:tcPr>
          <w:p w14:paraId="4C472D5F"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43</w:t>
            </w:r>
          </w:p>
        </w:tc>
      </w:tr>
      <w:tr w:rsidR="00395F24" w:rsidRPr="005E2831" w14:paraId="5EF68CFB" w14:textId="77777777" w:rsidTr="00DB2E04">
        <w:tc>
          <w:tcPr>
            <w:tcW w:w="4957" w:type="dxa"/>
          </w:tcPr>
          <w:p w14:paraId="7D4D95FC"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Monitoring Rzadkich Dzięciołów (MRD)</w:t>
            </w:r>
          </w:p>
        </w:tc>
        <w:tc>
          <w:tcPr>
            <w:tcW w:w="1275" w:type="dxa"/>
          </w:tcPr>
          <w:p w14:paraId="247FD2EB"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2</w:t>
            </w:r>
          </w:p>
        </w:tc>
        <w:tc>
          <w:tcPr>
            <w:tcW w:w="1418" w:type="dxa"/>
          </w:tcPr>
          <w:p w14:paraId="56CB4A46"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185</w:t>
            </w:r>
          </w:p>
        </w:tc>
        <w:tc>
          <w:tcPr>
            <w:tcW w:w="1638" w:type="dxa"/>
          </w:tcPr>
          <w:p w14:paraId="4FED5584"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128</w:t>
            </w:r>
          </w:p>
        </w:tc>
      </w:tr>
      <w:tr w:rsidR="00395F24" w:rsidRPr="005E2831" w14:paraId="36EDAA37" w14:textId="77777777" w:rsidTr="00DB2E04">
        <w:tc>
          <w:tcPr>
            <w:tcW w:w="4957" w:type="dxa"/>
          </w:tcPr>
          <w:p w14:paraId="338B65D5"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Monitoring Sów Krajobrazu Rolniczego (MSKR)</w:t>
            </w:r>
          </w:p>
        </w:tc>
        <w:tc>
          <w:tcPr>
            <w:tcW w:w="1275" w:type="dxa"/>
          </w:tcPr>
          <w:p w14:paraId="05CE5E65"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4</w:t>
            </w:r>
          </w:p>
        </w:tc>
        <w:tc>
          <w:tcPr>
            <w:tcW w:w="1418" w:type="dxa"/>
          </w:tcPr>
          <w:p w14:paraId="5907FD24"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59</w:t>
            </w:r>
          </w:p>
        </w:tc>
        <w:tc>
          <w:tcPr>
            <w:tcW w:w="1638" w:type="dxa"/>
          </w:tcPr>
          <w:p w14:paraId="22872D9D"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16</w:t>
            </w:r>
          </w:p>
        </w:tc>
      </w:tr>
      <w:tr w:rsidR="00395F24" w:rsidRPr="005E2831" w14:paraId="66B7C9CD" w14:textId="77777777" w:rsidTr="00DB2E04">
        <w:tc>
          <w:tcPr>
            <w:tcW w:w="4957" w:type="dxa"/>
          </w:tcPr>
          <w:p w14:paraId="56A7D313"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Monitoring Ślepowrona (MSL)</w:t>
            </w:r>
          </w:p>
        </w:tc>
        <w:tc>
          <w:tcPr>
            <w:tcW w:w="1275" w:type="dxa"/>
          </w:tcPr>
          <w:p w14:paraId="7F596A99"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1</w:t>
            </w:r>
          </w:p>
        </w:tc>
        <w:tc>
          <w:tcPr>
            <w:tcW w:w="1418" w:type="dxa"/>
          </w:tcPr>
          <w:p w14:paraId="245B6299"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16</w:t>
            </w:r>
          </w:p>
        </w:tc>
        <w:tc>
          <w:tcPr>
            <w:tcW w:w="1638" w:type="dxa"/>
          </w:tcPr>
          <w:p w14:paraId="60E25A87"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14</w:t>
            </w:r>
          </w:p>
        </w:tc>
      </w:tr>
      <w:tr w:rsidR="00395F24" w:rsidRPr="005E2831" w14:paraId="02BD3DBC" w14:textId="77777777" w:rsidTr="00DB2E04">
        <w:trPr>
          <w:trHeight w:val="224"/>
        </w:trPr>
        <w:tc>
          <w:tcPr>
            <w:tcW w:w="4957" w:type="dxa"/>
          </w:tcPr>
          <w:p w14:paraId="33C5B8BB"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 xml:space="preserve">Monitoring Wodniczki (MWO) </w:t>
            </w:r>
            <w:r w:rsidRPr="004D6FB8">
              <w:rPr>
                <w:rFonts w:ascii="Times New Roman" w:hAnsi="Times New Roman" w:cs="Times New Roman"/>
                <w:color w:val="000000"/>
                <w:sz w:val="20"/>
                <w:szCs w:val="18"/>
              </w:rPr>
              <w:br/>
            </w:r>
            <w:proofErr w:type="spellStart"/>
            <w:r w:rsidRPr="004D6FB8">
              <w:rPr>
                <w:rFonts w:ascii="Times New Roman" w:hAnsi="Times New Roman" w:cs="Times New Roman"/>
                <w:i/>
                <w:color w:val="000000"/>
                <w:sz w:val="20"/>
                <w:szCs w:val="18"/>
              </w:rPr>
              <w:t>transekty</w:t>
            </w:r>
            <w:proofErr w:type="spellEnd"/>
            <w:r w:rsidRPr="004D6FB8">
              <w:rPr>
                <w:rFonts w:ascii="Times New Roman" w:hAnsi="Times New Roman" w:cs="Times New Roman"/>
                <w:i/>
                <w:color w:val="000000"/>
                <w:sz w:val="20"/>
                <w:szCs w:val="18"/>
              </w:rPr>
              <w:t xml:space="preserve"> + powierzchnie</w:t>
            </w:r>
          </w:p>
        </w:tc>
        <w:tc>
          <w:tcPr>
            <w:tcW w:w="1275" w:type="dxa"/>
          </w:tcPr>
          <w:p w14:paraId="434CB00E"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1</w:t>
            </w:r>
          </w:p>
        </w:tc>
        <w:tc>
          <w:tcPr>
            <w:tcW w:w="1418" w:type="dxa"/>
          </w:tcPr>
          <w:p w14:paraId="700AE5EB"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100+48</w:t>
            </w:r>
          </w:p>
        </w:tc>
        <w:tc>
          <w:tcPr>
            <w:tcW w:w="1638" w:type="dxa"/>
          </w:tcPr>
          <w:p w14:paraId="6D236A98"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100+37</w:t>
            </w:r>
          </w:p>
        </w:tc>
      </w:tr>
      <w:tr w:rsidR="00395F24" w:rsidRPr="005E2831" w14:paraId="62AD4C63" w14:textId="77777777" w:rsidTr="00DB2E04">
        <w:trPr>
          <w:trHeight w:val="224"/>
        </w:trPr>
        <w:tc>
          <w:tcPr>
            <w:tcW w:w="4957" w:type="dxa"/>
          </w:tcPr>
          <w:p w14:paraId="30F61A28"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Monitoring Żołny (MZO)</w:t>
            </w:r>
          </w:p>
        </w:tc>
        <w:tc>
          <w:tcPr>
            <w:tcW w:w="1275" w:type="dxa"/>
          </w:tcPr>
          <w:p w14:paraId="6C564799"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1</w:t>
            </w:r>
          </w:p>
        </w:tc>
        <w:tc>
          <w:tcPr>
            <w:tcW w:w="1418" w:type="dxa"/>
          </w:tcPr>
          <w:p w14:paraId="4505ABF9"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262</w:t>
            </w:r>
          </w:p>
        </w:tc>
        <w:tc>
          <w:tcPr>
            <w:tcW w:w="1638" w:type="dxa"/>
          </w:tcPr>
          <w:p w14:paraId="05A33ECF"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91</w:t>
            </w:r>
          </w:p>
        </w:tc>
      </w:tr>
      <w:tr w:rsidR="00395F24" w:rsidRPr="005E2831" w14:paraId="3975DB0B" w14:textId="77777777" w:rsidTr="00DB2E04">
        <w:tc>
          <w:tcPr>
            <w:tcW w:w="4957" w:type="dxa"/>
          </w:tcPr>
          <w:p w14:paraId="2D584CDB" w14:textId="77777777" w:rsidR="00395F24" w:rsidRPr="004D6FB8" w:rsidRDefault="00395F24" w:rsidP="00DB2E04">
            <w:pPr>
              <w:spacing w:after="60"/>
              <w:jc w:val="center"/>
              <w:rPr>
                <w:rFonts w:ascii="Times New Roman" w:hAnsi="Times New Roman" w:cs="Times New Roman"/>
                <w:b/>
                <w:color w:val="000000"/>
                <w:sz w:val="20"/>
                <w:szCs w:val="18"/>
              </w:rPr>
            </w:pPr>
            <w:r w:rsidRPr="004D6FB8">
              <w:rPr>
                <w:rFonts w:ascii="Times New Roman" w:hAnsi="Times New Roman" w:cs="Times New Roman"/>
                <w:b/>
                <w:color w:val="000000"/>
                <w:sz w:val="20"/>
                <w:szCs w:val="18"/>
              </w:rPr>
              <w:t>monitoring populacji przelotnych</w:t>
            </w:r>
          </w:p>
        </w:tc>
        <w:tc>
          <w:tcPr>
            <w:tcW w:w="1275" w:type="dxa"/>
          </w:tcPr>
          <w:p w14:paraId="2F892DB3" w14:textId="77777777" w:rsidR="00395F24" w:rsidRPr="004D6FB8" w:rsidRDefault="00395F24" w:rsidP="00DB2E04">
            <w:pPr>
              <w:spacing w:after="60"/>
              <w:jc w:val="center"/>
              <w:rPr>
                <w:rFonts w:ascii="Times New Roman" w:hAnsi="Times New Roman" w:cs="Times New Roman"/>
                <w:color w:val="000000"/>
                <w:sz w:val="20"/>
                <w:szCs w:val="18"/>
              </w:rPr>
            </w:pPr>
          </w:p>
        </w:tc>
        <w:tc>
          <w:tcPr>
            <w:tcW w:w="1418" w:type="dxa"/>
          </w:tcPr>
          <w:p w14:paraId="3CAAF216" w14:textId="77777777" w:rsidR="00395F24" w:rsidRPr="004D6FB8" w:rsidRDefault="00395F24" w:rsidP="00DB2E04">
            <w:pPr>
              <w:spacing w:after="60"/>
              <w:ind w:hanging="104"/>
              <w:jc w:val="center"/>
              <w:rPr>
                <w:rFonts w:ascii="Times New Roman" w:hAnsi="Times New Roman" w:cs="Times New Roman"/>
                <w:color w:val="000000"/>
                <w:sz w:val="20"/>
                <w:szCs w:val="18"/>
              </w:rPr>
            </w:pPr>
          </w:p>
        </w:tc>
        <w:tc>
          <w:tcPr>
            <w:tcW w:w="1638" w:type="dxa"/>
          </w:tcPr>
          <w:p w14:paraId="05160977" w14:textId="77777777" w:rsidR="00395F24" w:rsidRPr="004D6FB8" w:rsidRDefault="00395F24" w:rsidP="00DB2E04">
            <w:pPr>
              <w:spacing w:after="60"/>
              <w:ind w:firstLine="459"/>
              <w:jc w:val="center"/>
              <w:rPr>
                <w:rFonts w:ascii="Times New Roman" w:hAnsi="Times New Roman" w:cs="Times New Roman"/>
                <w:b/>
                <w:bCs/>
                <w:color w:val="000000"/>
                <w:sz w:val="20"/>
                <w:szCs w:val="18"/>
              </w:rPr>
            </w:pPr>
          </w:p>
        </w:tc>
      </w:tr>
      <w:tr w:rsidR="00395F24" w:rsidRPr="005E2831" w14:paraId="1DE340D0" w14:textId="77777777" w:rsidTr="00DB2E04">
        <w:tc>
          <w:tcPr>
            <w:tcW w:w="4957" w:type="dxa"/>
          </w:tcPr>
          <w:p w14:paraId="79611367"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 xml:space="preserve">Monitoring Gęsi Zbożowej - </w:t>
            </w:r>
            <w:r w:rsidRPr="004D6FB8">
              <w:rPr>
                <w:rFonts w:ascii="Times New Roman" w:hAnsi="Times New Roman" w:cs="Times New Roman"/>
                <w:i/>
                <w:color w:val="000000"/>
                <w:sz w:val="20"/>
                <w:szCs w:val="18"/>
              </w:rPr>
              <w:t>4 liczenia</w:t>
            </w:r>
            <w:r w:rsidRPr="004D6FB8">
              <w:rPr>
                <w:rFonts w:ascii="Times New Roman" w:hAnsi="Times New Roman" w:cs="Times New Roman"/>
                <w:color w:val="000000"/>
                <w:sz w:val="20"/>
                <w:szCs w:val="18"/>
              </w:rPr>
              <w:t xml:space="preserve"> (MGZ)</w:t>
            </w:r>
          </w:p>
        </w:tc>
        <w:tc>
          <w:tcPr>
            <w:tcW w:w="1275" w:type="dxa"/>
          </w:tcPr>
          <w:p w14:paraId="1C325187"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1</w:t>
            </w:r>
          </w:p>
        </w:tc>
        <w:tc>
          <w:tcPr>
            <w:tcW w:w="1418" w:type="dxa"/>
          </w:tcPr>
          <w:p w14:paraId="516E6C4D"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27-31</w:t>
            </w:r>
          </w:p>
        </w:tc>
        <w:tc>
          <w:tcPr>
            <w:tcW w:w="1638" w:type="dxa"/>
          </w:tcPr>
          <w:p w14:paraId="143DB206"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14-17</w:t>
            </w:r>
          </w:p>
        </w:tc>
      </w:tr>
      <w:tr w:rsidR="00395F24" w:rsidRPr="005E2831" w14:paraId="5378C8D5" w14:textId="77777777" w:rsidTr="00DB2E04">
        <w:tc>
          <w:tcPr>
            <w:tcW w:w="4957" w:type="dxa"/>
          </w:tcPr>
          <w:p w14:paraId="323A1A9E"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lastRenderedPageBreak/>
              <w:t xml:space="preserve">Monitoring Noclegowisk Gęsi - </w:t>
            </w:r>
            <w:r w:rsidRPr="004D6FB8">
              <w:rPr>
                <w:rFonts w:ascii="Times New Roman" w:hAnsi="Times New Roman" w:cs="Times New Roman"/>
                <w:i/>
                <w:color w:val="000000"/>
                <w:sz w:val="20"/>
                <w:szCs w:val="18"/>
              </w:rPr>
              <w:t>4 liczenia</w:t>
            </w:r>
            <w:r w:rsidRPr="004D6FB8">
              <w:rPr>
                <w:rFonts w:ascii="Times New Roman" w:hAnsi="Times New Roman" w:cs="Times New Roman"/>
                <w:color w:val="000000"/>
                <w:sz w:val="20"/>
                <w:szCs w:val="18"/>
              </w:rPr>
              <w:t xml:space="preserve"> (MNG)</w:t>
            </w:r>
          </w:p>
        </w:tc>
        <w:tc>
          <w:tcPr>
            <w:tcW w:w="1275" w:type="dxa"/>
          </w:tcPr>
          <w:p w14:paraId="7A1BFBEF"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3</w:t>
            </w:r>
          </w:p>
        </w:tc>
        <w:tc>
          <w:tcPr>
            <w:tcW w:w="1418" w:type="dxa"/>
          </w:tcPr>
          <w:p w14:paraId="1E9CE62E"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61-104</w:t>
            </w:r>
          </w:p>
        </w:tc>
        <w:tc>
          <w:tcPr>
            <w:tcW w:w="1638" w:type="dxa"/>
          </w:tcPr>
          <w:p w14:paraId="04372AFC"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42-71</w:t>
            </w:r>
          </w:p>
        </w:tc>
      </w:tr>
      <w:tr w:rsidR="00395F24" w:rsidRPr="005E2831" w14:paraId="405CCCD2" w14:textId="77777777" w:rsidTr="00DB2E04">
        <w:tc>
          <w:tcPr>
            <w:tcW w:w="4957" w:type="dxa"/>
          </w:tcPr>
          <w:p w14:paraId="5BBD7190"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Monitoring Noclegowisk Żurawia (MNZ)</w:t>
            </w:r>
          </w:p>
        </w:tc>
        <w:tc>
          <w:tcPr>
            <w:tcW w:w="1275" w:type="dxa"/>
          </w:tcPr>
          <w:p w14:paraId="0DBA8785"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1</w:t>
            </w:r>
          </w:p>
        </w:tc>
        <w:tc>
          <w:tcPr>
            <w:tcW w:w="1418" w:type="dxa"/>
          </w:tcPr>
          <w:p w14:paraId="47EDA380"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103</w:t>
            </w:r>
          </w:p>
        </w:tc>
        <w:tc>
          <w:tcPr>
            <w:tcW w:w="1638" w:type="dxa"/>
          </w:tcPr>
          <w:p w14:paraId="02A64975"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79</w:t>
            </w:r>
          </w:p>
        </w:tc>
      </w:tr>
      <w:tr w:rsidR="00395F24" w:rsidRPr="005E2831" w14:paraId="1A2E6AD8" w14:textId="77777777" w:rsidTr="00DB2E04">
        <w:tc>
          <w:tcPr>
            <w:tcW w:w="4957" w:type="dxa"/>
          </w:tcPr>
          <w:p w14:paraId="432A5A6D" w14:textId="77777777" w:rsidR="00395F24" w:rsidRPr="004D6FB8" w:rsidRDefault="00395F24" w:rsidP="00DB2E04">
            <w:pPr>
              <w:spacing w:after="60"/>
              <w:jc w:val="center"/>
              <w:rPr>
                <w:rFonts w:ascii="Times New Roman" w:hAnsi="Times New Roman" w:cs="Times New Roman"/>
                <w:b/>
                <w:color w:val="000000"/>
                <w:sz w:val="20"/>
                <w:szCs w:val="18"/>
              </w:rPr>
            </w:pPr>
            <w:r w:rsidRPr="004D6FB8">
              <w:rPr>
                <w:rFonts w:ascii="Times New Roman" w:hAnsi="Times New Roman" w:cs="Times New Roman"/>
                <w:b/>
                <w:color w:val="000000"/>
                <w:sz w:val="20"/>
                <w:szCs w:val="18"/>
              </w:rPr>
              <w:t>monitoring populacji zimujących</w:t>
            </w:r>
          </w:p>
        </w:tc>
        <w:tc>
          <w:tcPr>
            <w:tcW w:w="1275" w:type="dxa"/>
          </w:tcPr>
          <w:p w14:paraId="4ADBD2AD" w14:textId="77777777" w:rsidR="00395F24" w:rsidRPr="004D6FB8" w:rsidRDefault="00395F24" w:rsidP="00DB2E04">
            <w:pPr>
              <w:spacing w:after="60"/>
              <w:jc w:val="center"/>
              <w:rPr>
                <w:rFonts w:ascii="Times New Roman" w:hAnsi="Times New Roman" w:cs="Times New Roman"/>
                <w:color w:val="000000"/>
                <w:sz w:val="20"/>
                <w:szCs w:val="18"/>
                <w:highlight w:val="green"/>
              </w:rPr>
            </w:pPr>
          </w:p>
        </w:tc>
        <w:tc>
          <w:tcPr>
            <w:tcW w:w="1418" w:type="dxa"/>
          </w:tcPr>
          <w:p w14:paraId="6E2E10D6" w14:textId="77777777" w:rsidR="00395F24" w:rsidRPr="004D6FB8" w:rsidRDefault="00395F24" w:rsidP="00DB2E04">
            <w:pPr>
              <w:spacing w:after="60"/>
              <w:ind w:hanging="104"/>
              <w:jc w:val="center"/>
              <w:rPr>
                <w:rFonts w:ascii="Times New Roman" w:hAnsi="Times New Roman" w:cs="Times New Roman"/>
                <w:color w:val="000000"/>
                <w:sz w:val="20"/>
                <w:szCs w:val="18"/>
              </w:rPr>
            </w:pPr>
          </w:p>
        </w:tc>
        <w:tc>
          <w:tcPr>
            <w:tcW w:w="1638" w:type="dxa"/>
          </w:tcPr>
          <w:p w14:paraId="7848C159" w14:textId="77777777" w:rsidR="00395F24" w:rsidRPr="004D6FB8" w:rsidRDefault="00395F24" w:rsidP="00DB2E04">
            <w:pPr>
              <w:spacing w:after="60"/>
              <w:ind w:firstLine="459"/>
              <w:jc w:val="center"/>
              <w:rPr>
                <w:rFonts w:ascii="Times New Roman" w:hAnsi="Times New Roman" w:cs="Times New Roman"/>
                <w:b/>
                <w:bCs/>
                <w:color w:val="000000"/>
                <w:sz w:val="20"/>
                <w:szCs w:val="18"/>
              </w:rPr>
            </w:pPr>
          </w:p>
        </w:tc>
      </w:tr>
      <w:tr w:rsidR="00395F24" w:rsidRPr="005E2831" w14:paraId="4310855B" w14:textId="77777777" w:rsidTr="00DB2E04">
        <w:tc>
          <w:tcPr>
            <w:tcW w:w="4957" w:type="dxa"/>
          </w:tcPr>
          <w:p w14:paraId="01C5AF86"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 xml:space="preserve">Monitoring Zimujących Ptaków Morskich (MZPM) </w:t>
            </w:r>
            <w:r w:rsidRPr="004D6FB8">
              <w:rPr>
                <w:rFonts w:ascii="Times New Roman" w:hAnsi="Times New Roman" w:cs="Times New Roman"/>
                <w:color w:val="000000"/>
                <w:sz w:val="20"/>
                <w:szCs w:val="18"/>
              </w:rPr>
              <w:br/>
              <w:t xml:space="preserve">- </w:t>
            </w:r>
            <w:proofErr w:type="spellStart"/>
            <w:r w:rsidRPr="004D6FB8">
              <w:rPr>
                <w:rFonts w:ascii="Times New Roman" w:hAnsi="Times New Roman" w:cs="Times New Roman"/>
                <w:i/>
                <w:color w:val="000000"/>
                <w:sz w:val="20"/>
                <w:szCs w:val="18"/>
              </w:rPr>
              <w:t>transekty</w:t>
            </w:r>
            <w:proofErr w:type="spellEnd"/>
          </w:p>
        </w:tc>
        <w:tc>
          <w:tcPr>
            <w:tcW w:w="1275" w:type="dxa"/>
          </w:tcPr>
          <w:p w14:paraId="17EB4CFF"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15</w:t>
            </w:r>
          </w:p>
        </w:tc>
        <w:tc>
          <w:tcPr>
            <w:tcW w:w="1418" w:type="dxa"/>
          </w:tcPr>
          <w:p w14:paraId="38F597A6"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56</w:t>
            </w:r>
          </w:p>
        </w:tc>
        <w:tc>
          <w:tcPr>
            <w:tcW w:w="1638" w:type="dxa"/>
          </w:tcPr>
          <w:p w14:paraId="40C790F3"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46</w:t>
            </w:r>
          </w:p>
        </w:tc>
      </w:tr>
      <w:tr w:rsidR="00395F24" w:rsidRPr="005E2831" w14:paraId="34308015" w14:textId="77777777" w:rsidTr="00DB2E04">
        <w:tc>
          <w:tcPr>
            <w:tcW w:w="4957" w:type="dxa"/>
          </w:tcPr>
          <w:p w14:paraId="6BD8CE0C"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Monitoring Zimujących Ptaków Wodnych (MZPW)</w:t>
            </w:r>
          </w:p>
        </w:tc>
        <w:tc>
          <w:tcPr>
            <w:tcW w:w="1275" w:type="dxa"/>
          </w:tcPr>
          <w:p w14:paraId="776581F7" w14:textId="77777777" w:rsidR="00395F24" w:rsidRPr="004D6FB8" w:rsidRDefault="00395F24" w:rsidP="00DB2E04">
            <w:pPr>
              <w:spacing w:after="60"/>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30</w:t>
            </w:r>
          </w:p>
        </w:tc>
        <w:tc>
          <w:tcPr>
            <w:tcW w:w="1418" w:type="dxa"/>
          </w:tcPr>
          <w:p w14:paraId="0C37D83F" w14:textId="77777777" w:rsidR="00395F24" w:rsidRPr="004D6FB8" w:rsidRDefault="00395F24" w:rsidP="00DB2E04">
            <w:pPr>
              <w:spacing w:after="60"/>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558</w:t>
            </w:r>
          </w:p>
        </w:tc>
        <w:tc>
          <w:tcPr>
            <w:tcW w:w="1638" w:type="dxa"/>
          </w:tcPr>
          <w:p w14:paraId="556F9192" w14:textId="77777777" w:rsidR="00395F24" w:rsidRPr="004D6FB8" w:rsidRDefault="00395F24" w:rsidP="00DB2E04">
            <w:pPr>
              <w:spacing w:after="60"/>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290</w:t>
            </w:r>
          </w:p>
        </w:tc>
      </w:tr>
      <w:tr w:rsidR="00395F24" w:rsidRPr="005E2831" w14:paraId="4F69C716" w14:textId="77777777" w:rsidTr="00DB2E04">
        <w:tc>
          <w:tcPr>
            <w:tcW w:w="4957" w:type="dxa"/>
          </w:tcPr>
          <w:p w14:paraId="43AE6AA3" w14:textId="77777777" w:rsidR="00395F24" w:rsidRPr="004D6FB8" w:rsidRDefault="00395F24" w:rsidP="00DB2E04">
            <w:pPr>
              <w:spacing w:after="60" w:line="300" w:lineRule="atLeast"/>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Monitoring Zimujących Ptaków Wód Przejściowych (MZPWP)</w:t>
            </w:r>
          </w:p>
        </w:tc>
        <w:tc>
          <w:tcPr>
            <w:tcW w:w="1275" w:type="dxa"/>
          </w:tcPr>
          <w:p w14:paraId="153DD439" w14:textId="77777777" w:rsidR="00395F24" w:rsidRPr="004D6FB8" w:rsidRDefault="00395F24" w:rsidP="00DB2E04">
            <w:pPr>
              <w:spacing w:after="60" w:line="300" w:lineRule="atLeast"/>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30</w:t>
            </w:r>
          </w:p>
        </w:tc>
        <w:tc>
          <w:tcPr>
            <w:tcW w:w="1418" w:type="dxa"/>
          </w:tcPr>
          <w:p w14:paraId="00033C7E" w14:textId="77777777" w:rsidR="00395F24" w:rsidRPr="004D6FB8" w:rsidRDefault="00395F24" w:rsidP="00DB2E04">
            <w:pPr>
              <w:spacing w:after="60" w:line="300" w:lineRule="atLeast"/>
              <w:ind w:hanging="104"/>
              <w:jc w:val="center"/>
              <w:rPr>
                <w:rFonts w:ascii="Times New Roman" w:hAnsi="Times New Roman" w:cs="Times New Roman"/>
                <w:color w:val="000000"/>
                <w:sz w:val="20"/>
                <w:szCs w:val="18"/>
              </w:rPr>
            </w:pPr>
            <w:r w:rsidRPr="004D6FB8">
              <w:rPr>
                <w:rFonts w:ascii="Times New Roman" w:hAnsi="Times New Roman" w:cs="Times New Roman"/>
                <w:color w:val="000000"/>
                <w:sz w:val="20"/>
                <w:szCs w:val="18"/>
              </w:rPr>
              <w:t>39</w:t>
            </w:r>
          </w:p>
        </w:tc>
        <w:tc>
          <w:tcPr>
            <w:tcW w:w="1638" w:type="dxa"/>
          </w:tcPr>
          <w:p w14:paraId="17346094" w14:textId="77777777" w:rsidR="00395F24" w:rsidRPr="004D6FB8" w:rsidDel="00DD552D" w:rsidRDefault="00395F24" w:rsidP="00DB2E04">
            <w:pPr>
              <w:spacing w:after="60" w:line="300" w:lineRule="atLeast"/>
              <w:jc w:val="center"/>
              <w:rPr>
                <w:rFonts w:ascii="Times New Roman" w:hAnsi="Times New Roman" w:cs="Times New Roman"/>
                <w:b/>
                <w:bCs/>
                <w:color w:val="000000"/>
                <w:sz w:val="20"/>
                <w:szCs w:val="18"/>
              </w:rPr>
            </w:pPr>
            <w:r w:rsidRPr="004D6FB8">
              <w:rPr>
                <w:rFonts w:ascii="Times New Roman" w:hAnsi="Times New Roman" w:cs="Times New Roman"/>
                <w:b/>
                <w:bCs/>
                <w:color w:val="000000"/>
                <w:sz w:val="20"/>
                <w:szCs w:val="18"/>
              </w:rPr>
              <w:t>30</w:t>
            </w:r>
          </w:p>
        </w:tc>
      </w:tr>
    </w:tbl>
    <w:p w14:paraId="28077CEF" w14:textId="77777777" w:rsidR="00395F24" w:rsidRPr="005E2831" w:rsidRDefault="00395F24" w:rsidP="00395F24">
      <w:pPr>
        <w:spacing w:after="60" w:line="300" w:lineRule="atLeast"/>
        <w:jc w:val="both"/>
        <w:rPr>
          <w:rFonts w:ascii="Times New Roman" w:hAnsi="Times New Roman" w:cs="Times New Roman"/>
          <w:color w:val="000000"/>
          <w:sz w:val="24"/>
          <w:szCs w:val="24"/>
          <w:highlight w:val="yellow"/>
        </w:rPr>
      </w:pPr>
    </w:p>
    <w:p w14:paraId="4250A834" w14:textId="77777777" w:rsidR="00395F24" w:rsidRPr="005E2831" w:rsidRDefault="00395F24" w:rsidP="00395F24">
      <w:pPr>
        <w:spacing w:after="60" w:line="300" w:lineRule="atLeast"/>
        <w:ind w:firstLine="567"/>
        <w:jc w:val="both"/>
        <w:rPr>
          <w:rFonts w:ascii="Times New Roman" w:hAnsi="Times New Roman" w:cs="Times New Roman"/>
          <w:color w:val="000000"/>
          <w:sz w:val="24"/>
          <w:szCs w:val="24"/>
        </w:rPr>
      </w:pPr>
      <w:r w:rsidRPr="005E2831">
        <w:rPr>
          <w:rFonts w:ascii="Times New Roman" w:hAnsi="Times New Roman" w:cs="Times New Roman"/>
          <w:color w:val="000000"/>
          <w:sz w:val="24"/>
          <w:szCs w:val="24"/>
        </w:rPr>
        <w:t xml:space="preserve">Przeprowadzone prace monitoringowe dostarczyły wiarygodnych informacji na temat wartości wskaźników liczebności i rozpowszechnienia oraz ich trendów, na podstawie których można ocenić stan krajowej populacji dla ok. 180 gatunków lęgowych, 5 gatunków przelotnych i ok. 30 zimujących. Na podstawie badań cenzusowych dla ok. 25 gatunków lęgowych określono całkowitą liczebność i rozmieszczenie populacji. </w:t>
      </w:r>
    </w:p>
    <w:p w14:paraId="2B51A264" w14:textId="77777777" w:rsidR="00395F24" w:rsidRPr="005E2831" w:rsidRDefault="00395F24" w:rsidP="00395F24">
      <w:pPr>
        <w:spacing w:after="60" w:line="300" w:lineRule="atLeast"/>
        <w:ind w:firstLine="567"/>
        <w:jc w:val="both"/>
        <w:rPr>
          <w:rFonts w:ascii="Times New Roman" w:hAnsi="Times New Roman" w:cs="Times New Roman"/>
          <w:color w:val="000000"/>
          <w:sz w:val="24"/>
          <w:szCs w:val="24"/>
        </w:rPr>
      </w:pPr>
      <w:r w:rsidRPr="005E2831">
        <w:rPr>
          <w:rFonts w:ascii="Times New Roman" w:hAnsi="Times New Roman" w:cs="Times New Roman"/>
          <w:color w:val="000000"/>
          <w:sz w:val="24"/>
          <w:szCs w:val="24"/>
        </w:rPr>
        <w:t>W 2022 r. na podstawie danych uzyskanych w MPPL wyliczono wskaźniki liczebności ptaków krajobrazu rolniczego FBI22</w:t>
      </w:r>
      <w:r w:rsidRPr="005E2831">
        <w:rPr>
          <w:rFonts w:ascii="Times New Roman" w:hAnsi="Times New Roman" w:cs="Times New Roman"/>
          <w:color w:val="000000"/>
          <w:sz w:val="24"/>
          <w:szCs w:val="24"/>
          <w:vertAlign w:val="superscript"/>
        </w:rPr>
        <w:footnoteReference w:id="102"/>
      </w:r>
      <w:r w:rsidRPr="005E2831">
        <w:rPr>
          <w:rFonts w:ascii="Times New Roman" w:hAnsi="Times New Roman" w:cs="Times New Roman"/>
          <w:color w:val="000000"/>
          <w:sz w:val="24"/>
          <w:szCs w:val="24"/>
        </w:rPr>
        <w:t xml:space="preserve"> (</w:t>
      </w:r>
      <w:proofErr w:type="spellStart"/>
      <w:r w:rsidRPr="005E2831">
        <w:rPr>
          <w:rFonts w:ascii="Times New Roman" w:hAnsi="Times New Roman" w:cs="Times New Roman"/>
          <w:i/>
          <w:color w:val="000000"/>
          <w:sz w:val="24"/>
          <w:szCs w:val="24"/>
        </w:rPr>
        <w:t>Farmland</w:t>
      </w:r>
      <w:proofErr w:type="spellEnd"/>
      <w:r w:rsidRPr="005E2831">
        <w:rPr>
          <w:rFonts w:ascii="Times New Roman" w:hAnsi="Times New Roman" w:cs="Times New Roman"/>
          <w:i/>
          <w:color w:val="000000"/>
          <w:sz w:val="24"/>
          <w:szCs w:val="24"/>
        </w:rPr>
        <w:t xml:space="preserve"> Bird Index</w:t>
      </w:r>
      <w:r w:rsidRPr="005E2831">
        <w:rPr>
          <w:rFonts w:ascii="Times New Roman" w:hAnsi="Times New Roman" w:cs="Times New Roman"/>
          <w:color w:val="000000"/>
          <w:sz w:val="24"/>
          <w:szCs w:val="24"/>
        </w:rPr>
        <w:t>) oraz ptaków leśnych FBI34 (</w:t>
      </w:r>
      <w:proofErr w:type="spellStart"/>
      <w:r w:rsidRPr="005E2831">
        <w:rPr>
          <w:rFonts w:ascii="Times New Roman" w:hAnsi="Times New Roman" w:cs="Times New Roman"/>
          <w:i/>
          <w:color w:val="000000"/>
          <w:sz w:val="24"/>
          <w:szCs w:val="24"/>
        </w:rPr>
        <w:t>Forest</w:t>
      </w:r>
      <w:proofErr w:type="spellEnd"/>
      <w:r w:rsidRPr="005E2831">
        <w:rPr>
          <w:rFonts w:ascii="Times New Roman" w:hAnsi="Times New Roman" w:cs="Times New Roman"/>
          <w:i/>
          <w:color w:val="000000"/>
          <w:sz w:val="24"/>
          <w:szCs w:val="24"/>
        </w:rPr>
        <w:t xml:space="preserve"> Bird Index</w:t>
      </w:r>
      <w:r w:rsidRPr="005E2831">
        <w:rPr>
          <w:rFonts w:ascii="Times New Roman" w:hAnsi="Times New Roman" w:cs="Times New Roman"/>
          <w:color w:val="000000"/>
          <w:sz w:val="24"/>
          <w:szCs w:val="24"/>
        </w:rPr>
        <w:t>), odzwierciedlające stan bioróżnorodności odpowiednio na terenach rolniczych i leśnych. W 2022 r. wartość wskaźnika zmian liczebności pospolitych ptaków krajobrazu rolniczego wynosiła 0,75 i była jedną z najniższych w historii badań. Niższą wartość wskaźnika w ciągu 23 lat badań odnotowano tylko raz, w 2021 r. (0,72). Po raz pierwszy od</w:t>
      </w:r>
      <w:r>
        <w:rPr>
          <w:rFonts w:ascii="Times New Roman" w:hAnsi="Times New Roman" w:cs="Times New Roman"/>
          <w:color w:val="000000"/>
          <w:sz w:val="24"/>
          <w:szCs w:val="24"/>
        </w:rPr>
        <w:t> </w:t>
      </w:r>
      <w:r w:rsidRPr="005E2831">
        <w:rPr>
          <w:rFonts w:ascii="Times New Roman" w:hAnsi="Times New Roman" w:cs="Times New Roman"/>
          <w:color w:val="000000"/>
          <w:sz w:val="24"/>
          <w:szCs w:val="24"/>
        </w:rPr>
        <w:t>rozpoczęcia badań trend tego wskaźnika został zaklasyfikowany jako spadkowy również w OSOP Natura 2000. Wartość wskaźnika FBI34 wyniosła 1,29, a więc bardzo podobnie jak w 2021 r. (1,3). Większy wzrost odnotowano w OSOP Natura 2000. Na przestrzeni całego okresu badań indeks ten wykazywał umiarkowany wzrost w tempie 1% rocznie, jednak w ostatnich 12 latach tempo wzrostu spadło, wynosząc ok. 0,5%.</w:t>
      </w:r>
    </w:p>
    <w:p w14:paraId="75CFA573" w14:textId="77777777" w:rsidR="00395F24" w:rsidRPr="005E2831" w:rsidRDefault="00395F24" w:rsidP="00CE5408">
      <w:pPr>
        <w:spacing w:after="60"/>
        <w:ind w:firstLine="425"/>
        <w:jc w:val="center"/>
        <w:rPr>
          <w:rFonts w:ascii="Times New Roman" w:hAnsi="Times New Roman" w:cs="Times New Roman"/>
          <w:color w:val="000000"/>
          <w:sz w:val="24"/>
          <w:szCs w:val="24"/>
        </w:rPr>
      </w:pPr>
    </w:p>
    <w:p w14:paraId="3A0B25CA" w14:textId="4B1AC48C" w:rsidR="00395F24" w:rsidRPr="005E2831" w:rsidRDefault="00395F24" w:rsidP="00CE5408">
      <w:pPr>
        <w:spacing w:after="60" w:line="276" w:lineRule="auto"/>
        <w:jc w:val="center"/>
        <w:rPr>
          <w:rFonts w:ascii="Times New Roman" w:hAnsi="Times New Roman" w:cs="Times New Roman"/>
          <w:highlight w:val="yellow"/>
        </w:rPr>
      </w:pPr>
      <w:r w:rsidRPr="005E2831">
        <w:rPr>
          <w:rFonts w:ascii="Times New Roman" w:hAnsi="Times New Roman" w:cs="Times New Roman"/>
          <w:noProof/>
          <w:lang w:eastAsia="pl-PL"/>
        </w:rPr>
        <w:lastRenderedPageBreak/>
        <w:drawing>
          <wp:inline distT="0" distB="0" distL="0" distR="0" wp14:anchorId="0D88166E" wp14:editId="2FFEAA7F">
            <wp:extent cx="1799999" cy="2251906"/>
            <wp:effectExtent l="0" t="0" r="0" b="0"/>
            <wp:docPr id="63" name="Obraz 63" descr="Wykres (Ryc. 14.) Zmiany wskaźnika liczebności pospolitych ptaków krajobrazu rolniczego Farmland Bird Index (FBI, n=22 gatunki) w latach 2000-2022 na obszarze całego kraj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az 63" descr="Wykres (Ryc. 14.) Zmiany wskaźnika liczebności pospolitych ptaków krajobrazu rolniczego Farmland Bird Index (FBI, n=22 gatunki) w latach 2000-2022 na obszarze całego kraju "/>
                    <pic:cNvPicPr>
                      <a:picLocks noChangeAspect="1" noChangeArrowheads="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1799999" cy="2251906"/>
                    </a:xfrm>
                    <a:prstGeom prst="rect">
                      <a:avLst/>
                    </a:prstGeom>
                    <a:noFill/>
                    <a:ln>
                      <a:noFill/>
                    </a:ln>
                  </pic:spPr>
                </pic:pic>
              </a:graphicData>
            </a:graphic>
          </wp:inline>
        </w:drawing>
      </w:r>
      <w:r w:rsidRPr="005E2831">
        <w:rPr>
          <w:rFonts w:ascii="Times New Roman" w:hAnsi="Times New Roman" w:cs="Times New Roman"/>
          <w:noProof/>
          <w:lang w:eastAsia="pl-PL"/>
        </w:rPr>
        <w:drawing>
          <wp:inline distT="0" distB="0" distL="0" distR="0" wp14:anchorId="4E6C74F8" wp14:editId="036FF5AD">
            <wp:extent cx="1799999" cy="2251906"/>
            <wp:effectExtent l="0" t="0" r="0" b="0"/>
            <wp:docPr id="461" name="Obraz 461" descr="Wykres (Ryc. 14.) Zmiany wskaźnika liczebności pospolitych ptaków krajobrazu rolniczego Farmland Bird Index (FBI, n=22 gatunki) w latach 2000-2022 na obszarze całego kraj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Obraz 461" descr="Wykres (Ryc. 14.) Zmiany wskaźnika liczebności pospolitych ptaków krajobrazu rolniczego Farmland Bird Index (FBI, n=22 gatunki) w latach 2000-2022 na obszarze całego kraju "/>
                    <pic:cNvPicPr>
                      <a:picLocks noChangeAspect="1" noChangeArrowheads="1"/>
                    </pic:cNvPicPr>
                  </pic:nvPicPr>
                  <pic:blipFill>
                    <a:blip r:embed="rId132" cstate="print">
                      <a:extLst>
                        <a:ext uri="{28A0092B-C50C-407E-A947-70E740481C1C}">
                          <a14:useLocalDpi xmlns:a14="http://schemas.microsoft.com/office/drawing/2010/main" val="0"/>
                        </a:ext>
                      </a:extLst>
                    </a:blip>
                    <a:stretch>
                      <a:fillRect/>
                    </a:stretch>
                  </pic:blipFill>
                  <pic:spPr bwMode="auto">
                    <a:xfrm>
                      <a:off x="0" y="0"/>
                      <a:ext cx="1799999" cy="2251906"/>
                    </a:xfrm>
                    <a:prstGeom prst="rect">
                      <a:avLst/>
                    </a:prstGeom>
                    <a:noFill/>
                    <a:ln>
                      <a:noFill/>
                    </a:ln>
                  </pic:spPr>
                </pic:pic>
              </a:graphicData>
            </a:graphic>
          </wp:inline>
        </w:drawing>
      </w:r>
      <w:r w:rsidRPr="005E2831">
        <w:rPr>
          <w:rFonts w:ascii="Times New Roman" w:hAnsi="Times New Roman" w:cs="Times New Roman"/>
          <w:noProof/>
          <w:color w:val="000000"/>
          <w:w w:val="0"/>
          <w:sz w:val="0"/>
          <w:szCs w:val="0"/>
          <w:u w:color="000000"/>
          <w:bdr w:val="none" w:sz="0" w:space="0" w:color="000000"/>
          <w:shd w:val="clear" w:color="000000" w:fill="000000"/>
          <w:lang w:eastAsia="pl-PL"/>
        </w:rPr>
        <w:drawing>
          <wp:inline distT="0" distB="0" distL="0" distR="0" wp14:anchorId="18203E71" wp14:editId="3CEADC33">
            <wp:extent cx="1799999" cy="2251906"/>
            <wp:effectExtent l="0" t="0" r="0" b="0"/>
            <wp:docPr id="483" name="Obraz 483" descr="Wykres (Ryc. 14.) Zmiany wskaźnika liczebności pospolitych ptaków krajobrazu rolniczego Farmland Bird Index (FBI, n=22 gatunki) w latach 2000-2022 na obszarze całego kraj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Obraz 483" descr="Wykres (Ryc. 14.) Zmiany wskaźnika liczebności pospolitych ptaków krajobrazu rolniczego Farmland Bird Index (FBI, n=22 gatunki) w latach 2000-2022 na obszarze całego kraju "/>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1799999" cy="2251906"/>
                    </a:xfrm>
                    <a:prstGeom prst="rect">
                      <a:avLst/>
                    </a:prstGeom>
                    <a:noFill/>
                    <a:ln>
                      <a:noFill/>
                    </a:ln>
                  </pic:spPr>
                </pic:pic>
              </a:graphicData>
            </a:graphic>
          </wp:inline>
        </w:drawing>
      </w:r>
    </w:p>
    <w:p w14:paraId="58B57758" w14:textId="77777777" w:rsidR="00395F24" w:rsidRPr="005E2831" w:rsidRDefault="00395F24" w:rsidP="00395F24">
      <w:pPr>
        <w:spacing w:after="60"/>
        <w:jc w:val="both"/>
        <w:rPr>
          <w:rFonts w:ascii="Times New Roman" w:hAnsi="Times New Roman" w:cs="Times New Roman"/>
          <w:b/>
          <w:color w:val="000000"/>
        </w:rPr>
      </w:pPr>
      <w:r w:rsidRPr="005E2831">
        <w:rPr>
          <w:rFonts w:ascii="Times New Roman" w:hAnsi="Times New Roman" w:cs="Times New Roman"/>
          <w:b/>
          <w:color w:val="000000"/>
        </w:rPr>
        <w:t xml:space="preserve">Ryc. </w:t>
      </w:r>
      <w:r>
        <w:rPr>
          <w:rFonts w:ascii="Times New Roman" w:hAnsi="Times New Roman" w:cs="Times New Roman"/>
          <w:b/>
          <w:color w:val="000000"/>
        </w:rPr>
        <w:t>14</w:t>
      </w:r>
      <w:r w:rsidRPr="005E2831">
        <w:rPr>
          <w:rFonts w:ascii="Times New Roman" w:hAnsi="Times New Roman" w:cs="Times New Roman"/>
          <w:b/>
          <w:color w:val="000000"/>
        </w:rPr>
        <w:t xml:space="preserve">. Zmiany wskaźnika liczebności pospolitych ptaków krajobrazu rolniczego </w:t>
      </w:r>
      <w:proofErr w:type="spellStart"/>
      <w:r w:rsidRPr="005E2831">
        <w:rPr>
          <w:rFonts w:ascii="Times New Roman" w:hAnsi="Times New Roman" w:cs="Times New Roman"/>
          <w:b/>
          <w:i/>
          <w:color w:val="000000"/>
        </w:rPr>
        <w:t>Farmland</w:t>
      </w:r>
      <w:proofErr w:type="spellEnd"/>
      <w:r w:rsidRPr="005E2831">
        <w:rPr>
          <w:rFonts w:ascii="Times New Roman" w:hAnsi="Times New Roman" w:cs="Times New Roman"/>
          <w:b/>
          <w:i/>
          <w:color w:val="000000"/>
        </w:rPr>
        <w:t xml:space="preserve"> Bird Index</w:t>
      </w:r>
      <w:r w:rsidRPr="005E2831">
        <w:rPr>
          <w:rFonts w:ascii="Times New Roman" w:hAnsi="Times New Roman" w:cs="Times New Roman"/>
          <w:b/>
          <w:color w:val="000000"/>
        </w:rPr>
        <w:t xml:space="preserve"> (FBI, n=22 gatunki) w latach 2000-2022 na obszarze całego kraju (lewy wykres) oraz</w:t>
      </w:r>
      <w:r>
        <w:rPr>
          <w:rFonts w:ascii="Times New Roman" w:hAnsi="Times New Roman" w:cs="Times New Roman"/>
          <w:b/>
          <w:color w:val="000000"/>
        </w:rPr>
        <w:t> </w:t>
      </w:r>
      <w:r w:rsidRPr="005E2831">
        <w:rPr>
          <w:rFonts w:ascii="Times New Roman" w:hAnsi="Times New Roman" w:cs="Times New Roman"/>
          <w:b/>
          <w:color w:val="000000"/>
        </w:rPr>
        <w:t>w</w:t>
      </w:r>
      <w:r>
        <w:rPr>
          <w:rFonts w:ascii="Times New Roman" w:hAnsi="Times New Roman" w:cs="Times New Roman"/>
          <w:b/>
          <w:color w:val="000000"/>
        </w:rPr>
        <w:t> </w:t>
      </w:r>
      <w:r w:rsidRPr="005E2831">
        <w:rPr>
          <w:rFonts w:ascii="Times New Roman" w:hAnsi="Times New Roman" w:cs="Times New Roman"/>
          <w:b/>
          <w:color w:val="000000"/>
        </w:rPr>
        <w:t>podziale na powierzchnie leżące w OSOP Natura 2000 (środkowy wykres) i poza nimi (prawy wykres)</w:t>
      </w:r>
    </w:p>
    <w:p w14:paraId="44B05751" w14:textId="77777777" w:rsidR="00395F24" w:rsidRPr="005E2831" w:rsidRDefault="00395F24" w:rsidP="00395F24">
      <w:pPr>
        <w:spacing w:after="60"/>
        <w:jc w:val="both"/>
        <w:rPr>
          <w:rFonts w:ascii="Times New Roman" w:hAnsi="Times New Roman" w:cs="Times New Roman"/>
          <w:b/>
          <w:color w:val="000000"/>
        </w:rPr>
      </w:pPr>
    </w:p>
    <w:p w14:paraId="3C128AEE" w14:textId="16FBBB90" w:rsidR="00395F24" w:rsidRPr="005E2831" w:rsidRDefault="00395F24" w:rsidP="00A4010D">
      <w:pPr>
        <w:spacing w:after="60" w:line="276" w:lineRule="auto"/>
        <w:jc w:val="center"/>
        <w:rPr>
          <w:rFonts w:ascii="Times New Roman" w:hAnsi="Times New Roman" w:cs="Times New Roman"/>
        </w:rPr>
      </w:pPr>
      <w:r w:rsidRPr="005E2831">
        <w:rPr>
          <w:rFonts w:ascii="Times New Roman" w:hAnsi="Times New Roman" w:cs="Times New Roman"/>
          <w:noProof/>
          <w:lang w:eastAsia="pl-PL"/>
        </w:rPr>
        <w:drawing>
          <wp:inline distT="0" distB="0" distL="0" distR="0" wp14:anchorId="5C60B0B4" wp14:editId="30A669E2">
            <wp:extent cx="1799999" cy="2251906"/>
            <wp:effectExtent l="0" t="0" r="0" b="0"/>
            <wp:docPr id="484" name="Obraz 484" descr="Ryc. 15. Wykres zmiany wskaźnika liczebności pospolitych ptaków leśnych Forest Bird Index &#10;(n=34 gatunki) na przestrzeni w latach 2000-2022 na obszarze całego kraj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Obraz 484" descr="Ryc. 15. Wykres zmiany wskaźnika liczebności pospolitych ptaków leśnych Forest Bird Index &#10;(n=34 gatunki) na przestrzeni w latach 2000-2022 na obszarze całego kraju "/>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1799999" cy="2251906"/>
                    </a:xfrm>
                    <a:prstGeom prst="rect">
                      <a:avLst/>
                    </a:prstGeom>
                    <a:noFill/>
                    <a:ln>
                      <a:noFill/>
                    </a:ln>
                  </pic:spPr>
                </pic:pic>
              </a:graphicData>
            </a:graphic>
          </wp:inline>
        </w:drawing>
      </w:r>
      <w:r w:rsidRPr="005E2831">
        <w:rPr>
          <w:rFonts w:ascii="Times New Roman" w:hAnsi="Times New Roman" w:cs="Times New Roman"/>
          <w:noProof/>
          <w:lang w:eastAsia="pl-PL"/>
        </w:rPr>
        <w:drawing>
          <wp:inline distT="0" distB="0" distL="0" distR="0" wp14:anchorId="1F823486" wp14:editId="5C9EAAC4">
            <wp:extent cx="1799999" cy="2251906"/>
            <wp:effectExtent l="0" t="0" r="0" b="0"/>
            <wp:docPr id="486" name="Obraz 486" descr="Ryc. 15. Wykres zmiany wskaźnika liczebności pospolitych ptaków leśnych Forest Bird Index &#10;(n=34 gatunki) na przestrzeni w latach 2000-2022 na obszarze całego kraj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Obraz 486" descr="Ryc. 15. Wykres zmiany wskaźnika liczebności pospolitych ptaków leśnych Forest Bird Index &#10;(n=34 gatunki) na przestrzeni w latach 2000-2022 na obszarze całego kraju "/>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0" y="0"/>
                      <a:ext cx="1799999" cy="2251906"/>
                    </a:xfrm>
                    <a:prstGeom prst="rect">
                      <a:avLst/>
                    </a:prstGeom>
                    <a:noFill/>
                    <a:ln>
                      <a:noFill/>
                    </a:ln>
                  </pic:spPr>
                </pic:pic>
              </a:graphicData>
            </a:graphic>
          </wp:inline>
        </w:drawing>
      </w:r>
      <w:r w:rsidRPr="005E2831">
        <w:rPr>
          <w:rFonts w:ascii="Times New Roman" w:hAnsi="Times New Roman" w:cs="Times New Roman"/>
          <w:noProof/>
          <w:color w:val="000000"/>
          <w:w w:val="0"/>
          <w:sz w:val="0"/>
          <w:szCs w:val="0"/>
          <w:u w:color="000000"/>
          <w:bdr w:val="none" w:sz="0" w:space="0" w:color="000000"/>
          <w:shd w:val="clear" w:color="000000" w:fill="000000"/>
          <w:lang w:eastAsia="pl-PL"/>
        </w:rPr>
        <w:drawing>
          <wp:inline distT="0" distB="0" distL="0" distR="0" wp14:anchorId="01D0B817" wp14:editId="1DFD269B">
            <wp:extent cx="1799999" cy="2251906"/>
            <wp:effectExtent l="0" t="0" r="0" b="0"/>
            <wp:docPr id="487" name="Obraz 487" descr="Ryc. 15. Wykres zmiany wskaźnika liczebności pospolitych ptaków leśnych Forest Bird Index &#10;(n=34 gatunki) na przestrzeni w latach 2000-2022 na obszarze całego kraj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Obraz 487" descr="Ryc. 15. Wykres zmiany wskaźnika liczebności pospolitych ptaków leśnych Forest Bird Index &#10;(n=34 gatunki) na przestrzeni w latach 2000-2022 na obszarze całego kraju "/>
                    <pic:cNvPicPr>
                      <a:picLocks noChangeAspect="1" noChangeArrowheads="1"/>
                    </pic:cNvPicPr>
                  </pic:nvPicPr>
                  <pic:blipFill>
                    <a:blip r:embed="rId136" cstate="print">
                      <a:extLst>
                        <a:ext uri="{28A0092B-C50C-407E-A947-70E740481C1C}">
                          <a14:useLocalDpi xmlns:a14="http://schemas.microsoft.com/office/drawing/2010/main" val="0"/>
                        </a:ext>
                      </a:extLst>
                    </a:blip>
                    <a:stretch>
                      <a:fillRect/>
                    </a:stretch>
                  </pic:blipFill>
                  <pic:spPr bwMode="auto">
                    <a:xfrm>
                      <a:off x="0" y="0"/>
                      <a:ext cx="1799999" cy="2251906"/>
                    </a:xfrm>
                    <a:prstGeom prst="rect">
                      <a:avLst/>
                    </a:prstGeom>
                    <a:noFill/>
                    <a:ln>
                      <a:noFill/>
                    </a:ln>
                  </pic:spPr>
                </pic:pic>
              </a:graphicData>
            </a:graphic>
          </wp:inline>
        </w:drawing>
      </w:r>
    </w:p>
    <w:p w14:paraId="2E689165" w14:textId="77777777" w:rsidR="00395F24" w:rsidRDefault="00395F24" w:rsidP="00395F24">
      <w:pPr>
        <w:spacing w:after="60"/>
        <w:jc w:val="both"/>
        <w:rPr>
          <w:rFonts w:ascii="Times New Roman" w:hAnsi="Times New Roman" w:cs="Times New Roman"/>
          <w:b/>
          <w:color w:val="000000"/>
        </w:rPr>
      </w:pPr>
      <w:r w:rsidRPr="005E2831">
        <w:rPr>
          <w:rFonts w:ascii="Times New Roman" w:hAnsi="Times New Roman" w:cs="Times New Roman"/>
          <w:b/>
          <w:color w:val="000000"/>
        </w:rPr>
        <w:t>Ryc. 1</w:t>
      </w:r>
      <w:r>
        <w:rPr>
          <w:rFonts w:ascii="Times New Roman" w:hAnsi="Times New Roman" w:cs="Times New Roman"/>
          <w:b/>
          <w:color w:val="000000"/>
        </w:rPr>
        <w:t>5</w:t>
      </w:r>
      <w:r w:rsidRPr="005E2831">
        <w:rPr>
          <w:rFonts w:ascii="Times New Roman" w:hAnsi="Times New Roman" w:cs="Times New Roman"/>
          <w:b/>
          <w:color w:val="000000"/>
        </w:rPr>
        <w:t xml:space="preserve">. Zmiany wskaźnika liczebności pospolitych ptaków leśnych </w:t>
      </w:r>
      <w:proofErr w:type="spellStart"/>
      <w:r w:rsidRPr="005E2831">
        <w:rPr>
          <w:rFonts w:ascii="Times New Roman" w:hAnsi="Times New Roman" w:cs="Times New Roman"/>
          <w:b/>
          <w:i/>
          <w:color w:val="000000"/>
        </w:rPr>
        <w:t>Forest</w:t>
      </w:r>
      <w:proofErr w:type="spellEnd"/>
      <w:r w:rsidRPr="005E2831">
        <w:rPr>
          <w:rFonts w:ascii="Times New Roman" w:hAnsi="Times New Roman" w:cs="Times New Roman"/>
          <w:b/>
          <w:i/>
          <w:color w:val="000000"/>
        </w:rPr>
        <w:t xml:space="preserve"> Bird Index</w:t>
      </w:r>
      <w:r w:rsidRPr="005E2831">
        <w:rPr>
          <w:rFonts w:ascii="Times New Roman" w:hAnsi="Times New Roman" w:cs="Times New Roman"/>
          <w:b/>
          <w:color w:val="000000"/>
        </w:rPr>
        <w:t xml:space="preserve"> </w:t>
      </w:r>
      <w:r w:rsidRPr="005E2831">
        <w:rPr>
          <w:rFonts w:ascii="Times New Roman" w:hAnsi="Times New Roman" w:cs="Times New Roman"/>
          <w:b/>
          <w:color w:val="000000"/>
        </w:rPr>
        <w:br/>
        <w:t xml:space="preserve">(n=34 gatunki) na przestrzeni w latach 2000-2022 na obszarze całego kraju (lewy wykres) </w:t>
      </w:r>
      <w:r w:rsidRPr="005E2831">
        <w:rPr>
          <w:rFonts w:ascii="Times New Roman" w:hAnsi="Times New Roman" w:cs="Times New Roman"/>
          <w:b/>
          <w:color w:val="000000"/>
        </w:rPr>
        <w:br/>
        <w:t xml:space="preserve">oraz w podziale na powierzchnie leżące w OSOP Natura 2000 (środkowy wykres) </w:t>
      </w:r>
      <w:r w:rsidRPr="005E2831">
        <w:rPr>
          <w:rFonts w:ascii="Times New Roman" w:hAnsi="Times New Roman" w:cs="Times New Roman"/>
          <w:b/>
          <w:color w:val="000000"/>
        </w:rPr>
        <w:br/>
        <w:t>i poza nimi (prawy wykres)</w:t>
      </w:r>
    </w:p>
    <w:p w14:paraId="7C9EADB9" w14:textId="77777777" w:rsidR="00395F24" w:rsidRPr="005E2831" w:rsidRDefault="00395F24" w:rsidP="00395F24">
      <w:pPr>
        <w:spacing w:after="0"/>
        <w:jc w:val="both"/>
        <w:rPr>
          <w:rFonts w:ascii="Times New Roman" w:hAnsi="Times New Roman" w:cs="Times New Roman"/>
          <w:b/>
          <w:color w:val="000000"/>
        </w:rPr>
      </w:pPr>
    </w:p>
    <w:p w14:paraId="6E7B90D5" w14:textId="77777777" w:rsidR="00395F24" w:rsidRPr="005E2831" w:rsidRDefault="00395F24" w:rsidP="00395F24">
      <w:pPr>
        <w:spacing w:after="60" w:line="300" w:lineRule="atLeast"/>
        <w:ind w:firstLine="567"/>
        <w:jc w:val="both"/>
        <w:rPr>
          <w:rFonts w:ascii="Times New Roman" w:hAnsi="Times New Roman" w:cs="Times New Roman"/>
          <w:color w:val="000000"/>
          <w:sz w:val="24"/>
          <w:szCs w:val="24"/>
        </w:rPr>
      </w:pPr>
      <w:r w:rsidRPr="005E2831">
        <w:rPr>
          <w:rFonts w:ascii="Times New Roman" w:hAnsi="Times New Roman" w:cs="Times New Roman"/>
          <w:color w:val="000000"/>
          <w:sz w:val="24"/>
          <w:szCs w:val="24"/>
        </w:rPr>
        <w:t xml:space="preserve">W 2022 r. zaktualizowano stronę internetową (https://monitoringptakow.gios.gov.pl), Portal Mapowy GIS (http://monitoringptakow.gios.gov.pl/PM-GIS) i bazę danych MPP o wyniki wymienionych na wstępie programów monitoringowych. </w:t>
      </w:r>
    </w:p>
    <w:p w14:paraId="034B1AE0" w14:textId="15703AAF" w:rsidR="00895F16" w:rsidRPr="007F400A" w:rsidRDefault="00395F24" w:rsidP="00395F24">
      <w:pPr>
        <w:spacing w:after="0" w:line="300" w:lineRule="atLeast"/>
        <w:ind w:firstLine="567"/>
        <w:jc w:val="both"/>
        <w:rPr>
          <w:rFonts w:ascii="Times New Roman" w:hAnsi="Times New Roman" w:cs="Times New Roman"/>
          <w:color w:val="000000"/>
          <w:sz w:val="24"/>
          <w:szCs w:val="24"/>
        </w:rPr>
      </w:pPr>
      <w:r w:rsidRPr="005E2831">
        <w:rPr>
          <w:rFonts w:ascii="Times New Roman" w:hAnsi="Times New Roman" w:cs="Times New Roman"/>
          <w:bCs/>
          <w:color w:val="000000"/>
          <w:sz w:val="24"/>
          <w:szCs w:val="24"/>
          <w:bdr w:val="none" w:sz="0" w:space="0" w:color="auto" w:frame="1"/>
          <w:shd w:val="clear" w:color="auto" w:fill="FFFFFF"/>
        </w:rPr>
        <w:t xml:space="preserve">Wszystkie dane zbierane w ramach Państwowego Monitoringu Środowiska – Monitoringu Ptaków Polski służą do przygotowania informacji do cyklicznego raportu, składanego co 6 lat </w:t>
      </w:r>
      <w:r w:rsidRPr="005E2831">
        <w:rPr>
          <w:rFonts w:ascii="Times New Roman" w:hAnsi="Times New Roman" w:cs="Times New Roman"/>
          <w:color w:val="000000"/>
          <w:sz w:val="24"/>
          <w:szCs w:val="24"/>
        </w:rPr>
        <w:t>do Komisji Europejskiej na podstawie art. 12 Dyrektywy</w:t>
      </w:r>
      <w:r w:rsidRPr="005E2831">
        <w:rPr>
          <w:rFonts w:ascii="Times New Roman" w:hAnsi="Times New Roman" w:cs="Times New Roman"/>
          <w:bCs/>
          <w:color w:val="000000"/>
          <w:sz w:val="24"/>
          <w:szCs w:val="24"/>
          <w:bdr w:val="none" w:sz="0" w:space="0" w:color="auto" w:frame="1"/>
          <w:shd w:val="clear" w:color="auto" w:fill="FFFFFF"/>
        </w:rPr>
        <w:t xml:space="preserve"> Parlamentu Europejskiego i Rady 2009/147/WE z dnia 30 listopada 2009 r. w sprawie ochrony dzikiego ptactwa (dyrektywa ptasia)</w:t>
      </w:r>
      <w:r w:rsidR="00895F16" w:rsidRPr="007F400A">
        <w:rPr>
          <w:rFonts w:ascii="Times New Roman" w:hAnsi="Times New Roman"/>
          <w:bCs/>
          <w:color w:val="000000"/>
          <w:sz w:val="24"/>
          <w:szCs w:val="24"/>
          <w:bdr w:val="none" w:sz="0" w:space="0" w:color="auto" w:frame="1"/>
          <w:shd w:val="clear" w:color="auto" w:fill="FFFFFF"/>
        </w:rPr>
        <w:t>.</w:t>
      </w:r>
    </w:p>
    <w:p w14:paraId="7352AC82" w14:textId="77777777" w:rsidR="00895F16" w:rsidRPr="007F400A" w:rsidRDefault="00895F16" w:rsidP="00895F16">
      <w:pPr>
        <w:spacing w:after="0" w:line="300" w:lineRule="atLeast"/>
        <w:ind w:firstLine="709"/>
        <w:jc w:val="both"/>
        <w:rPr>
          <w:rFonts w:ascii="Times New Roman" w:hAnsi="Times New Roman" w:cs="Times New Roman"/>
          <w:sz w:val="24"/>
          <w:szCs w:val="24"/>
        </w:rPr>
      </w:pPr>
    </w:p>
    <w:p w14:paraId="45B0ECB7" w14:textId="77777777" w:rsidR="00895F16" w:rsidRPr="007F400A" w:rsidRDefault="00895F16" w:rsidP="00895F16">
      <w:pPr>
        <w:keepNext/>
        <w:spacing w:after="120" w:line="300" w:lineRule="atLeast"/>
        <w:jc w:val="both"/>
        <w:outlineLvl w:val="0"/>
        <w:rPr>
          <w:rFonts w:ascii="Times New Roman" w:eastAsia="Times New Roman" w:hAnsi="Times New Roman" w:cs="Times New Roman"/>
          <w:b/>
          <w:bCs/>
          <w:sz w:val="24"/>
          <w:szCs w:val="24"/>
          <w:lang w:val="x-none" w:eastAsia="x-none"/>
        </w:rPr>
      </w:pPr>
      <w:bookmarkStart w:id="414" w:name="_Toc36732644"/>
      <w:bookmarkStart w:id="415" w:name="_Toc135935714"/>
      <w:r w:rsidRPr="007F400A">
        <w:rPr>
          <w:rFonts w:ascii="Times New Roman" w:eastAsia="Times New Roman" w:hAnsi="Times New Roman" w:cs="Times New Roman"/>
          <w:b/>
          <w:bCs/>
          <w:sz w:val="24"/>
          <w:szCs w:val="24"/>
          <w:lang w:val="x-none" w:eastAsia="x-none"/>
        </w:rPr>
        <w:lastRenderedPageBreak/>
        <w:t>5.2 Monitoring gatunków i siedlisk przyrodniczych</w:t>
      </w:r>
      <w:bookmarkEnd w:id="414"/>
      <w:bookmarkEnd w:id="415"/>
    </w:p>
    <w:p w14:paraId="07B9B5E9" w14:textId="77777777" w:rsidR="002A6E98" w:rsidRPr="005E2831" w:rsidRDefault="002A6E98" w:rsidP="002A6E98">
      <w:pPr>
        <w:spacing w:after="60" w:line="300" w:lineRule="atLeast"/>
        <w:ind w:firstLine="567"/>
        <w:jc w:val="both"/>
        <w:rPr>
          <w:rFonts w:ascii="Times New Roman" w:hAnsi="Times New Roman" w:cs="Times New Roman"/>
          <w:sz w:val="24"/>
          <w:szCs w:val="24"/>
        </w:rPr>
      </w:pPr>
      <w:r w:rsidRPr="005E2831">
        <w:rPr>
          <w:rFonts w:ascii="Times New Roman" w:hAnsi="Times New Roman" w:cs="Times New Roman"/>
          <w:sz w:val="24"/>
          <w:szCs w:val="24"/>
        </w:rPr>
        <w:t xml:space="preserve">W 2022 r. zakończono realizację kolejnego cyklu </w:t>
      </w:r>
      <w:bookmarkStart w:id="416" w:name="_Hlk63681452"/>
      <w:r w:rsidRPr="005E2831">
        <w:rPr>
          <w:rFonts w:ascii="Times New Roman" w:hAnsi="Times New Roman" w:cs="Times New Roman"/>
          <w:sz w:val="24"/>
          <w:szCs w:val="24"/>
        </w:rPr>
        <w:t>monitoringu gatunków i siedlisk przyrodniczych (MGSP),</w:t>
      </w:r>
      <w:bookmarkEnd w:id="416"/>
      <w:r w:rsidRPr="005E2831">
        <w:rPr>
          <w:rFonts w:ascii="Times New Roman" w:hAnsi="Times New Roman" w:cs="Times New Roman"/>
          <w:sz w:val="24"/>
          <w:szCs w:val="24"/>
        </w:rPr>
        <w:t xml:space="preserve"> obejmującego lata 2020-2021.</w:t>
      </w:r>
      <w:r w:rsidRPr="005E2831">
        <w:rPr>
          <w:rFonts w:ascii="Times New Roman" w:hAnsi="Times New Roman" w:cs="Times New Roman"/>
        </w:rPr>
        <w:t xml:space="preserve"> </w:t>
      </w:r>
      <w:r w:rsidRPr="005E2831">
        <w:rPr>
          <w:rFonts w:ascii="Times New Roman" w:hAnsi="Times New Roman" w:cs="Times New Roman"/>
          <w:sz w:val="24"/>
          <w:szCs w:val="24"/>
        </w:rPr>
        <w:t>W MGSP do monitoringu</w:t>
      </w:r>
      <w:r w:rsidRPr="005E2831">
        <w:rPr>
          <w:rFonts w:ascii="Times New Roman" w:hAnsi="Times New Roman" w:cs="Times New Roman"/>
          <w:sz w:val="24"/>
          <w:szCs w:val="24"/>
          <w:vertAlign w:val="superscript"/>
        </w:rPr>
        <w:footnoteReference w:id="103"/>
      </w:r>
      <w:r w:rsidRPr="005E2831">
        <w:rPr>
          <w:rFonts w:ascii="Times New Roman" w:hAnsi="Times New Roman" w:cs="Times New Roman"/>
          <w:sz w:val="24"/>
          <w:szCs w:val="24"/>
        </w:rPr>
        <w:t xml:space="preserve"> wskazano głównie te gatunki bądź siedliska przyrodnicze, które są uważane za zagrożone w Unii Europejskiej albo w Polsce, a więc wymienione w załącznikach do dyrektywy siedliskowej</w:t>
      </w:r>
      <w:r w:rsidRPr="005E2831">
        <w:rPr>
          <w:rFonts w:ascii="Times New Roman" w:hAnsi="Times New Roman" w:cs="Times New Roman"/>
          <w:sz w:val="24"/>
          <w:szCs w:val="24"/>
          <w:vertAlign w:val="superscript"/>
        </w:rPr>
        <w:footnoteReference w:id="104"/>
      </w:r>
      <w:r w:rsidRPr="005E2831">
        <w:rPr>
          <w:rFonts w:ascii="Times New Roman" w:hAnsi="Times New Roman" w:cs="Times New Roman"/>
          <w:sz w:val="24"/>
          <w:szCs w:val="24"/>
        </w:rPr>
        <w:t xml:space="preserve"> i/lub w polskich czerwonych listach i księgach. Wyniki MGSP stanowią podstawę do</w:t>
      </w:r>
      <w:r>
        <w:rPr>
          <w:rFonts w:ascii="Times New Roman" w:hAnsi="Times New Roman" w:cs="Times New Roman"/>
          <w:sz w:val="24"/>
          <w:szCs w:val="24"/>
        </w:rPr>
        <w:t> </w:t>
      </w:r>
      <w:r w:rsidRPr="005E2831">
        <w:rPr>
          <w:rFonts w:ascii="Times New Roman" w:hAnsi="Times New Roman" w:cs="Times New Roman"/>
          <w:sz w:val="24"/>
          <w:szCs w:val="24"/>
        </w:rPr>
        <w:t xml:space="preserve">opracowania sprawozdania do Komisji Europejskiej z wdrażania dyrektywy siedliskowej i zostaną wykorzystane do przygotowania kolejnego raportu, w 2025 roku. Ponadto, dane gromadzone w Systemie Informatycznym Monitoringu Gatunków i Siedlisk Przyrodniczych (SI MGSP) wykorzystywane są przez podmioty wykonujące zadania z zakresu ochrony przyrody, m.in. regionalne dyrekcje ochrony środowiska i parki narodowe, np. przy zarządzaniu obszarami Natura 2000. </w:t>
      </w:r>
    </w:p>
    <w:p w14:paraId="7A845BD2" w14:textId="77777777" w:rsidR="002A6E98" w:rsidRPr="005E2831" w:rsidRDefault="002A6E98" w:rsidP="002A6E98">
      <w:pPr>
        <w:keepNext/>
        <w:spacing w:after="60" w:line="300" w:lineRule="atLeast"/>
        <w:ind w:firstLine="567"/>
        <w:jc w:val="both"/>
        <w:rPr>
          <w:rFonts w:ascii="Times New Roman" w:hAnsi="Times New Roman" w:cs="Times New Roman"/>
          <w:sz w:val="24"/>
          <w:szCs w:val="24"/>
        </w:rPr>
      </w:pPr>
      <w:r w:rsidRPr="005E2831">
        <w:rPr>
          <w:rFonts w:ascii="Times New Roman" w:hAnsi="Times New Roman" w:cs="Times New Roman"/>
          <w:sz w:val="24"/>
          <w:szCs w:val="24"/>
        </w:rPr>
        <w:t>W ramach prowadzonego monitoringu na poszczególnych stanowiskach monitoringowych badaniu podlegają wskaźniki dotyczące wielkości i struktury populacji gatunków, jakości siedliska, w którym występują oraz powierzchni i stopnia zachowania charakterystycznych cech siedlisk przyrodniczych. Podczas wykonywania monitoringu gromadzone są również informacje o różnego rodzaju zagrożeniach, a także stosowanych sposobach ochrony, pozwalające na określenie perspektyw zachowania gatunków i siedlisk w ciągu najbliższych 10-20 lat. Dodatkowo, na każdym stanowisku badawczym zbierane są</w:t>
      </w:r>
      <w:r>
        <w:rPr>
          <w:rFonts w:ascii="Times New Roman" w:hAnsi="Times New Roman" w:cs="Times New Roman"/>
          <w:sz w:val="24"/>
          <w:szCs w:val="24"/>
        </w:rPr>
        <w:t> </w:t>
      </w:r>
      <w:r w:rsidRPr="005E2831">
        <w:rPr>
          <w:rFonts w:ascii="Times New Roman" w:hAnsi="Times New Roman" w:cs="Times New Roman"/>
          <w:sz w:val="24"/>
          <w:szCs w:val="24"/>
        </w:rPr>
        <w:t>informacje o występowaniu gatunków obcych.</w:t>
      </w:r>
    </w:p>
    <w:p w14:paraId="42C37FA0" w14:textId="77777777" w:rsidR="002A6E98" w:rsidRPr="005E2831" w:rsidRDefault="002A6E98" w:rsidP="002A6E98">
      <w:pPr>
        <w:spacing w:after="60" w:line="300" w:lineRule="atLeast"/>
        <w:ind w:firstLine="567"/>
        <w:jc w:val="both"/>
        <w:rPr>
          <w:rFonts w:ascii="Times New Roman" w:hAnsi="Times New Roman" w:cs="Times New Roman"/>
          <w:sz w:val="24"/>
          <w:szCs w:val="24"/>
        </w:rPr>
      </w:pPr>
      <w:r w:rsidRPr="005E2831">
        <w:rPr>
          <w:rFonts w:ascii="Times New Roman" w:hAnsi="Times New Roman" w:cs="Times New Roman"/>
          <w:sz w:val="24"/>
          <w:szCs w:val="24"/>
        </w:rPr>
        <w:t>W 2022 r. opracowano sprawozdania podsumowujące wyniki prac monitoringowych przeprowadzonych w cyklu 2020-2021 r., zawierające ocenę stanu ochrony badanych gatunków i siedlisk przyrodniczych, obejmujące:</w:t>
      </w:r>
    </w:p>
    <w:p w14:paraId="6103EC2C" w14:textId="77777777" w:rsidR="002A6E98" w:rsidRPr="005E2831" w:rsidRDefault="002A6E98" w:rsidP="00D34F97">
      <w:pPr>
        <w:numPr>
          <w:ilvl w:val="0"/>
          <w:numId w:val="48"/>
        </w:numPr>
        <w:spacing w:after="60" w:line="300" w:lineRule="atLeast"/>
        <w:ind w:left="993"/>
        <w:jc w:val="both"/>
        <w:rPr>
          <w:rFonts w:ascii="Times New Roman" w:hAnsi="Times New Roman" w:cs="Times New Roman"/>
          <w:sz w:val="24"/>
          <w:szCs w:val="24"/>
        </w:rPr>
      </w:pPr>
      <w:r w:rsidRPr="005E2831">
        <w:rPr>
          <w:rFonts w:ascii="Times New Roman" w:hAnsi="Times New Roman" w:cs="Times New Roman"/>
          <w:sz w:val="24"/>
          <w:szCs w:val="24"/>
        </w:rPr>
        <w:t>33 typy siedlisk przyrodniczych badanych na 1908 stanowiskach,</w:t>
      </w:r>
    </w:p>
    <w:p w14:paraId="6E884606" w14:textId="77777777" w:rsidR="002A6E98" w:rsidRPr="005E2831" w:rsidRDefault="002A6E98" w:rsidP="00D34F97">
      <w:pPr>
        <w:numPr>
          <w:ilvl w:val="0"/>
          <w:numId w:val="48"/>
        </w:numPr>
        <w:spacing w:after="60" w:line="300" w:lineRule="atLeast"/>
        <w:ind w:left="993"/>
        <w:jc w:val="both"/>
        <w:rPr>
          <w:rFonts w:ascii="Times New Roman" w:hAnsi="Times New Roman" w:cs="Times New Roman"/>
          <w:sz w:val="24"/>
          <w:szCs w:val="24"/>
        </w:rPr>
      </w:pPr>
      <w:r w:rsidRPr="005E2831">
        <w:rPr>
          <w:rFonts w:ascii="Times New Roman" w:hAnsi="Times New Roman" w:cs="Times New Roman"/>
          <w:sz w:val="24"/>
          <w:szCs w:val="24"/>
        </w:rPr>
        <w:t>47 gatunków zwierząt badanych na 1 878 stanowiskach,</w:t>
      </w:r>
    </w:p>
    <w:p w14:paraId="7CF33F8C" w14:textId="77777777" w:rsidR="002A6E98" w:rsidRPr="005E2831" w:rsidRDefault="002A6E98" w:rsidP="00D34F97">
      <w:pPr>
        <w:numPr>
          <w:ilvl w:val="0"/>
          <w:numId w:val="48"/>
        </w:numPr>
        <w:spacing w:after="60" w:line="300" w:lineRule="atLeast"/>
        <w:ind w:left="993"/>
        <w:jc w:val="both"/>
        <w:rPr>
          <w:rFonts w:ascii="Times New Roman" w:hAnsi="Times New Roman" w:cs="Times New Roman"/>
          <w:sz w:val="24"/>
          <w:szCs w:val="24"/>
        </w:rPr>
      </w:pPr>
      <w:r w:rsidRPr="005E2831">
        <w:rPr>
          <w:rFonts w:ascii="Times New Roman" w:hAnsi="Times New Roman" w:cs="Times New Roman"/>
          <w:sz w:val="24"/>
          <w:szCs w:val="24"/>
        </w:rPr>
        <w:t>56 gatunków roślin badanych na 574 stanowiskach.</w:t>
      </w:r>
    </w:p>
    <w:p w14:paraId="1AD9E94E" w14:textId="77777777" w:rsidR="002A6E98" w:rsidRPr="005E2831" w:rsidRDefault="002A6E98" w:rsidP="002A6E98">
      <w:pPr>
        <w:spacing w:after="60" w:line="300" w:lineRule="atLeast"/>
        <w:jc w:val="both"/>
        <w:rPr>
          <w:rFonts w:ascii="Times New Roman" w:hAnsi="Times New Roman" w:cs="Times New Roman"/>
          <w:sz w:val="24"/>
          <w:szCs w:val="24"/>
        </w:rPr>
      </w:pPr>
      <w:r w:rsidRPr="005E2831">
        <w:rPr>
          <w:rFonts w:ascii="Times New Roman" w:hAnsi="Times New Roman" w:cs="Times New Roman"/>
          <w:sz w:val="24"/>
          <w:szCs w:val="24"/>
        </w:rPr>
        <w:t xml:space="preserve">Dodatkowo, sporządzony został </w:t>
      </w:r>
      <w:r w:rsidRPr="005E2831">
        <w:rPr>
          <w:rFonts w:ascii="Times New Roman" w:hAnsi="Times New Roman" w:cs="Times New Roman"/>
          <w:i/>
          <w:sz w:val="24"/>
          <w:szCs w:val="24"/>
        </w:rPr>
        <w:t>Raport z pilotażowego monitoringu niedźwiedzia brunatnego w Polsce</w:t>
      </w:r>
      <w:r w:rsidRPr="005E2831">
        <w:rPr>
          <w:rStyle w:val="Odwoanieprzypisudolnego"/>
          <w:rFonts w:cs="Times New Roman"/>
          <w:i/>
          <w:szCs w:val="24"/>
        </w:rPr>
        <w:footnoteReference w:id="105"/>
      </w:r>
      <w:r w:rsidRPr="005E2831">
        <w:rPr>
          <w:rFonts w:ascii="Times New Roman" w:hAnsi="Times New Roman" w:cs="Times New Roman"/>
          <w:sz w:val="24"/>
          <w:szCs w:val="24"/>
        </w:rPr>
        <w:t>, zawierający wyniki monitoringu rozmieszczenia niedźwiedzia z 2021 r., zrealizowanego we współpracy z Lasami Państwowymi, parkami narodowymi i regionalnymi dyrekcjami ochrony środowiska.</w:t>
      </w:r>
    </w:p>
    <w:p w14:paraId="34D80A29" w14:textId="0AF884EB" w:rsidR="002A6E98" w:rsidRPr="005E2831" w:rsidRDefault="002A6E98" w:rsidP="002A6E98">
      <w:pPr>
        <w:spacing w:after="60" w:line="300" w:lineRule="atLeast"/>
        <w:ind w:firstLine="708"/>
        <w:jc w:val="both"/>
        <w:rPr>
          <w:rFonts w:ascii="Times New Roman" w:hAnsi="Times New Roman" w:cs="Times New Roman"/>
          <w:sz w:val="24"/>
          <w:szCs w:val="24"/>
        </w:rPr>
      </w:pPr>
      <w:r w:rsidRPr="005E2831">
        <w:rPr>
          <w:rFonts w:ascii="Times New Roman" w:hAnsi="Times New Roman" w:cs="Times New Roman"/>
          <w:sz w:val="24"/>
          <w:szCs w:val="24"/>
        </w:rPr>
        <w:t>Ponadto, w 2022 r. poddano analizie informacje o gatunkach obcych, stwierdzonych w 2021 r. podczas monitoringu siedlisk przyrodniczych. Monitoringiem wówczas objętych było 1</w:t>
      </w:r>
      <w:r w:rsidR="00A4010D">
        <w:rPr>
          <w:rFonts w:ascii="Times New Roman" w:hAnsi="Times New Roman" w:cs="Times New Roman"/>
          <w:sz w:val="24"/>
          <w:szCs w:val="24"/>
        </w:rPr>
        <w:t xml:space="preserve"> </w:t>
      </w:r>
      <w:r w:rsidRPr="005E2831">
        <w:rPr>
          <w:rFonts w:ascii="Times New Roman" w:hAnsi="Times New Roman" w:cs="Times New Roman"/>
          <w:sz w:val="24"/>
          <w:szCs w:val="24"/>
        </w:rPr>
        <w:t>908 stanowisk, a podczas przeprowadzonych prac odnotowano 1</w:t>
      </w:r>
      <w:r w:rsidR="00A4010D">
        <w:rPr>
          <w:rFonts w:ascii="Times New Roman" w:hAnsi="Times New Roman" w:cs="Times New Roman"/>
          <w:sz w:val="24"/>
          <w:szCs w:val="24"/>
        </w:rPr>
        <w:t xml:space="preserve"> </w:t>
      </w:r>
      <w:r w:rsidRPr="005E2831">
        <w:rPr>
          <w:rFonts w:ascii="Times New Roman" w:hAnsi="Times New Roman" w:cs="Times New Roman"/>
          <w:sz w:val="24"/>
          <w:szCs w:val="24"/>
        </w:rPr>
        <w:t xml:space="preserve">458 wystąpień 110 taksonów inwazyjnych gatunków obcych. Najczęściej stwierdzanym gatunkiem był niecierpek drobnokwiatowy </w:t>
      </w:r>
      <w:proofErr w:type="spellStart"/>
      <w:r w:rsidRPr="005E2831">
        <w:rPr>
          <w:rFonts w:ascii="Times New Roman" w:hAnsi="Times New Roman" w:cs="Times New Roman"/>
          <w:i/>
          <w:sz w:val="24"/>
          <w:szCs w:val="24"/>
        </w:rPr>
        <w:t>Impatiens</w:t>
      </w:r>
      <w:proofErr w:type="spellEnd"/>
      <w:r w:rsidRPr="005E2831">
        <w:rPr>
          <w:rFonts w:ascii="Times New Roman" w:hAnsi="Times New Roman" w:cs="Times New Roman"/>
          <w:i/>
          <w:sz w:val="24"/>
          <w:szCs w:val="24"/>
        </w:rPr>
        <w:t xml:space="preserve"> </w:t>
      </w:r>
      <w:proofErr w:type="spellStart"/>
      <w:r w:rsidRPr="005E2831">
        <w:rPr>
          <w:rFonts w:ascii="Times New Roman" w:hAnsi="Times New Roman" w:cs="Times New Roman"/>
          <w:i/>
          <w:sz w:val="24"/>
          <w:szCs w:val="24"/>
        </w:rPr>
        <w:t>parviflora</w:t>
      </w:r>
      <w:proofErr w:type="spellEnd"/>
      <w:r w:rsidRPr="005E2831">
        <w:rPr>
          <w:rFonts w:ascii="Times New Roman" w:hAnsi="Times New Roman" w:cs="Times New Roman"/>
          <w:sz w:val="24"/>
          <w:szCs w:val="24"/>
        </w:rPr>
        <w:t xml:space="preserve">, odnotowany na 329 stanowiskach. Bardzo licznie występowały również przymiotno kanadyjskie </w:t>
      </w:r>
      <w:proofErr w:type="spellStart"/>
      <w:r w:rsidRPr="005E2831">
        <w:rPr>
          <w:rFonts w:ascii="Times New Roman" w:hAnsi="Times New Roman" w:cs="Times New Roman"/>
          <w:i/>
          <w:sz w:val="24"/>
          <w:szCs w:val="24"/>
        </w:rPr>
        <w:t>Conyza</w:t>
      </w:r>
      <w:proofErr w:type="spellEnd"/>
      <w:r w:rsidRPr="005E2831">
        <w:rPr>
          <w:rFonts w:ascii="Times New Roman" w:hAnsi="Times New Roman" w:cs="Times New Roman"/>
          <w:i/>
          <w:sz w:val="24"/>
          <w:szCs w:val="24"/>
        </w:rPr>
        <w:t xml:space="preserve"> </w:t>
      </w:r>
      <w:proofErr w:type="spellStart"/>
      <w:r w:rsidRPr="005E2831">
        <w:rPr>
          <w:rFonts w:ascii="Times New Roman" w:hAnsi="Times New Roman" w:cs="Times New Roman"/>
          <w:i/>
          <w:sz w:val="24"/>
          <w:szCs w:val="24"/>
        </w:rPr>
        <w:t>canadensis</w:t>
      </w:r>
      <w:proofErr w:type="spellEnd"/>
      <w:r w:rsidRPr="005E2831">
        <w:rPr>
          <w:rFonts w:ascii="Times New Roman" w:hAnsi="Times New Roman" w:cs="Times New Roman"/>
          <w:sz w:val="24"/>
          <w:szCs w:val="24"/>
        </w:rPr>
        <w:t xml:space="preserve"> (120 stanowisk), nawłoć późna </w:t>
      </w:r>
      <w:proofErr w:type="spellStart"/>
      <w:r w:rsidRPr="005E2831">
        <w:rPr>
          <w:rFonts w:ascii="Times New Roman" w:hAnsi="Times New Roman" w:cs="Times New Roman"/>
          <w:i/>
          <w:sz w:val="24"/>
          <w:szCs w:val="24"/>
        </w:rPr>
        <w:t>Solidago</w:t>
      </w:r>
      <w:proofErr w:type="spellEnd"/>
      <w:r w:rsidRPr="005E2831">
        <w:rPr>
          <w:rFonts w:ascii="Times New Roman" w:hAnsi="Times New Roman" w:cs="Times New Roman"/>
          <w:i/>
          <w:sz w:val="24"/>
          <w:szCs w:val="24"/>
        </w:rPr>
        <w:t xml:space="preserve"> </w:t>
      </w:r>
      <w:proofErr w:type="spellStart"/>
      <w:r w:rsidRPr="005E2831">
        <w:rPr>
          <w:rFonts w:ascii="Times New Roman" w:hAnsi="Times New Roman" w:cs="Times New Roman"/>
          <w:i/>
          <w:sz w:val="24"/>
          <w:szCs w:val="24"/>
        </w:rPr>
        <w:t>gigantea</w:t>
      </w:r>
      <w:proofErr w:type="spellEnd"/>
      <w:r w:rsidRPr="005E2831">
        <w:rPr>
          <w:rFonts w:ascii="Times New Roman" w:hAnsi="Times New Roman" w:cs="Times New Roman"/>
          <w:sz w:val="24"/>
          <w:szCs w:val="24"/>
        </w:rPr>
        <w:t xml:space="preserve"> (114 stanowisk) oraz czeremcha amerykańska </w:t>
      </w:r>
      <w:proofErr w:type="spellStart"/>
      <w:r w:rsidRPr="005E2831">
        <w:rPr>
          <w:rFonts w:ascii="Times New Roman" w:hAnsi="Times New Roman" w:cs="Times New Roman"/>
          <w:i/>
          <w:sz w:val="24"/>
          <w:szCs w:val="24"/>
        </w:rPr>
        <w:t>Padus</w:t>
      </w:r>
      <w:proofErr w:type="spellEnd"/>
      <w:r w:rsidRPr="005E2831">
        <w:rPr>
          <w:rFonts w:ascii="Times New Roman" w:hAnsi="Times New Roman" w:cs="Times New Roman"/>
          <w:i/>
          <w:sz w:val="24"/>
          <w:szCs w:val="24"/>
        </w:rPr>
        <w:t xml:space="preserve"> </w:t>
      </w:r>
      <w:proofErr w:type="spellStart"/>
      <w:r w:rsidRPr="005E2831">
        <w:rPr>
          <w:rFonts w:ascii="Times New Roman" w:hAnsi="Times New Roman" w:cs="Times New Roman"/>
          <w:i/>
          <w:sz w:val="24"/>
          <w:szCs w:val="24"/>
        </w:rPr>
        <w:t>serotina</w:t>
      </w:r>
      <w:proofErr w:type="spellEnd"/>
      <w:r w:rsidRPr="005E2831">
        <w:rPr>
          <w:rFonts w:ascii="Times New Roman" w:hAnsi="Times New Roman" w:cs="Times New Roman"/>
          <w:sz w:val="24"/>
          <w:szCs w:val="24"/>
        </w:rPr>
        <w:t xml:space="preserve"> </w:t>
      </w:r>
      <w:r w:rsidRPr="005E2831">
        <w:rPr>
          <w:rFonts w:ascii="Times New Roman" w:hAnsi="Times New Roman" w:cs="Times New Roman"/>
          <w:sz w:val="24"/>
          <w:szCs w:val="24"/>
        </w:rPr>
        <w:lastRenderedPageBreak/>
        <w:t>(111</w:t>
      </w:r>
      <w:r>
        <w:rPr>
          <w:rFonts w:ascii="Times New Roman" w:hAnsi="Times New Roman" w:cs="Times New Roman"/>
          <w:sz w:val="24"/>
          <w:szCs w:val="24"/>
        </w:rPr>
        <w:t> </w:t>
      </w:r>
      <w:r w:rsidRPr="005E2831">
        <w:rPr>
          <w:rFonts w:ascii="Times New Roman" w:hAnsi="Times New Roman" w:cs="Times New Roman"/>
          <w:sz w:val="24"/>
          <w:szCs w:val="24"/>
        </w:rPr>
        <w:t>stanowisk).</w:t>
      </w:r>
      <w:r w:rsidRPr="005E2831">
        <w:rPr>
          <w:rFonts w:ascii="Times New Roman" w:hAnsi="Times New Roman" w:cs="Times New Roman"/>
        </w:rPr>
        <w:t xml:space="preserve"> </w:t>
      </w:r>
      <w:r w:rsidRPr="005E2831">
        <w:rPr>
          <w:rFonts w:ascii="Times New Roman" w:hAnsi="Times New Roman" w:cs="Times New Roman"/>
          <w:sz w:val="24"/>
          <w:szCs w:val="24"/>
        </w:rPr>
        <w:t>W porównaniu do poprzednich cykli obserwacji siedlisk przyrodniczych, na</w:t>
      </w:r>
      <w:r>
        <w:rPr>
          <w:rFonts w:ascii="Times New Roman" w:hAnsi="Times New Roman" w:cs="Times New Roman"/>
          <w:sz w:val="24"/>
          <w:szCs w:val="24"/>
        </w:rPr>
        <w:t> </w:t>
      </w:r>
      <w:r w:rsidRPr="005E2831">
        <w:rPr>
          <w:rFonts w:ascii="Times New Roman" w:hAnsi="Times New Roman" w:cs="Times New Roman"/>
          <w:sz w:val="24"/>
          <w:szCs w:val="24"/>
        </w:rPr>
        <w:t>stanowiskach powtórnie monitorowanych w 2021 r. o ok. 56% zwiększyła się liczba wystąpień gatunków obcych (z 936 do 1</w:t>
      </w:r>
      <w:r w:rsidR="00A4010D">
        <w:rPr>
          <w:rFonts w:ascii="Times New Roman" w:hAnsi="Times New Roman" w:cs="Times New Roman"/>
          <w:sz w:val="24"/>
          <w:szCs w:val="24"/>
        </w:rPr>
        <w:t xml:space="preserve"> </w:t>
      </w:r>
      <w:r w:rsidRPr="005E2831">
        <w:rPr>
          <w:rFonts w:ascii="Times New Roman" w:hAnsi="Times New Roman" w:cs="Times New Roman"/>
          <w:sz w:val="24"/>
          <w:szCs w:val="24"/>
        </w:rPr>
        <w:t>458).</w:t>
      </w:r>
    </w:p>
    <w:p w14:paraId="5F0AA2E8" w14:textId="77777777" w:rsidR="002A6E98" w:rsidRPr="005E2831" w:rsidRDefault="002A6E98" w:rsidP="00A4010D">
      <w:pPr>
        <w:spacing w:after="60" w:line="300" w:lineRule="atLeast"/>
        <w:jc w:val="center"/>
        <w:rPr>
          <w:rFonts w:ascii="Times New Roman" w:hAnsi="Times New Roman" w:cs="Times New Roman"/>
          <w:sz w:val="24"/>
          <w:szCs w:val="24"/>
          <w:lang w:val="x-none"/>
        </w:rPr>
      </w:pPr>
      <w:r w:rsidRPr="005E2831">
        <w:rPr>
          <w:rFonts w:ascii="Times New Roman" w:hAnsi="Times New Roman" w:cs="Times New Roman"/>
          <w:noProof/>
          <w:sz w:val="24"/>
          <w:szCs w:val="24"/>
          <w:lang w:eastAsia="pl-PL"/>
        </w:rPr>
        <w:drawing>
          <wp:inline distT="0" distB="0" distL="0" distR="0" wp14:anchorId="1DB55186" wp14:editId="5EBE0DA1">
            <wp:extent cx="5718810" cy="2670175"/>
            <wp:effectExtent l="0" t="0" r="0" b="0"/>
            <wp:docPr id="469" name="Obraz 469" descr="Ryc. 16. Liczba gatunków obcych na stanowiskach, na których monitoring powtórzono w 2021 r. (prawa mapa) oraz liczba gatunków obcych na tych samych stanowiskach w poprzednim cyklu obserwacji (lewa mapa) (źródło: GIOŚ/PMŚ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Obraz 469" descr="Ryc. 16. Liczba gatunków obcych na stanowiskach, na których monitoring powtórzono w 2021 r. (prawa mapa) oraz liczba gatunków obcych na tych samych stanowiskach w poprzednim cyklu obserwacji (lewa mapa) (źródło: GIOŚ/PMŚ )"/>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18810" cy="2670175"/>
                    </a:xfrm>
                    <a:prstGeom prst="rect">
                      <a:avLst/>
                    </a:prstGeom>
                    <a:noFill/>
                  </pic:spPr>
                </pic:pic>
              </a:graphicData>
            </a:graphic>
          </wp:inline>
        </w:drawing>
      </w:r>
    </w:p>
    <w:p w14:paraId="36187A38" w14:textId="151DF9F1" w:rsidR="002A6E98" w:rsidRPr="00465E16" w:rsidRDefault="002A6E98" w:rsidP="002A6E98">
      <w:pPr>
        <w:pStyle w:val="Legenda"/>
        <w:rPr>
          <w:rFonts w:eastAsiaTheme="minorHAnsi"/>
          <w:bCs w:val="0"/>
          <w:color w:val="000000"/>
          <w:sz w:val="22"/>
          <w:szCs w:val="22"/>
          <w:lang w:eastAsia="en-US"/>
        </w:rPr>
      </w:pPr>
      <w:r w:rsidRPr="00465E16">
        <w:rPr>
          <w:rFonts w:eastAsiaTheme="minorHAnsi"/>
          <w:color w:val="000000"/>
          <w:sz w:val="22"/>
          <w:szCs w:val="22"/>
          <w:lang w:eastAsia="en-US"/>
        </w:rPr>
        <w:t xml:space="preserve">Ryc. </w:t>
      </w:r>
      <w:r w:rsidR="00465E16" w:rsidRPr="00465E16">
        <w:rPr>
          <w:rFonts w:eastAsiaTheme="minorHAnsi"/>
          <w:bCs w:val="0"/>
          <w:color w:val="000000"/>
          <w:sz w:val="22"/>
          <w:szCs w:val="22"/>
          <w:lang w:val="pl-PL" w:eastAsia="en-US"/>
        </w:rPr>
        <w:t>1</w:t>
      </w:r>
      <w:r w:rsidRPr="00465E16">
        <w:rPr>
          <w:rFonts w:eastAsiaTheme="minorHAnsi"/>
          <w:color w:val="000000"/>
          <w:sz w:val="22"/>
          <w:szCs w:val="22"/>
          <w:lang w:eastAsia="en-US"/>
        </w:rPr>
        <w:t>6. Liczba gatunków obcych na stanowiskach, na których monitoring powtórzono w 2021 r. (prawa mapa) oraz liczba gatunków obcych na tych samych stanowiskach w poprzednim cyklu obserwacji (lewa mapa) (źródło: GIOŚ/PMŚ</w:t>
      </w:r>
      <w:r w:rsidRPr="00465E16">
        <w:rPr>
          <w:rStyle w:val="Odwoanieprzypisudolnego"/>
          <w:rFonts w:eastAsiaTheme="minorHAnsi"/>
          <w:color w:val="000000"/>
          <w:sz w:val="22"/>
          <w:szCs w:val="22"/>
          <w:lang w:eastAsia="en-US"/>
        </w:rPr>
        <w:footnoteReference w:id="106"/>
      </w:r>
      <w:r w:rsidRPr="00465E16">
        <w:rPr>
          <w:rFonts w:eastAsiaTheme="minorHAnsi"/>
          <w:color w:val="000000"/>
          <w:sz w:val="22"/>
          <w:szCs w:val="22"/>
          <w:lang w:eastAsia="en-US"/>
        </w:rPr>
        <w:t>)</w:t>
      </w:r>
    </w:p>
    <w:p w14:paraId="64158B50" w14:textId="77777777" w:rsidR="002A6E98" w:rsidRPr="005E2831" w:rsidRDefault="002A6E98" w:rsidP="002A6E98">
      <w:pPr>
        <w:spacing w:after="60" w:line="300" w:lineRule="atLeast"/>
        <w:jc w:val="both"/>
        <w:rPr>
          <w:rFonts w:ascii="Times New Roman" w:hAnsi="Times New Roman" w:cs="Times New Roman"/>
          <w:sz w:val="24"/>
          <w:szCs w:val="24"/>
        </w:rPr>
      </w:pPr>
    </w:p>
    <w:p w14:paraId="298E5527" w14:textId="77777777" w:rsidR="002A6E98" w:rsidRPr="005E2831" w:rsidRDefault="002A6E98" w:rsidP="002A6E98">
      <w:pPr>
        <w:spacing w:after="60" w:line="300" w:lineRule="atLeast"/>
        <w:jc w:val="both"/>
        <w:rPr>
          <w:rFonts w:ascii="Times New Roman" w:hAnsi="Times New Roman" w:cs="Times New Roman"/>
          <w:sz w:val="24"/>
          <w:szCs w:val="24"/>
        </w:rPr>
      </w:pPr>
      <w:r w:rsidRPr="005E2831">
        <w:rPr>
          <w:rFonts w:ascii="Times New Roman" w:hAnsi="Times New Roman" w:cs="Times New Roman"/>
          <w:sz w:val="24"/>
          <w:szCs w:val="24"/>
        </w:rPr>
        <w:t xml:space="preserve">Informacje o prowadzonych pracach i wyniki monitoringu są regularnie udostępniane na stronie internetowej: </w:t>
      </w:r>
      <w:hyperlink r:id="rId138" w:history="1">
        <w:r w:rsidRPr="005E2831">
          <w:rPr>
            <w:rStyle w:val="Hipercze"/>
            <w:sz w:val="24"/>
            <w:szCs w:val="24"/>
          </w:rPr>
          <w:t>http://siedliska.gios.gov.pl/pl/</w:t>
        </w:r>
      </w:hyperlink>
      <w:r w:rsidRPr="005E2831">
        <w:rPr>
          <w:rFonts w:ascii="Times New Roman" w:hAnsi="Times New Roman" w:cs="Times New Roman"/>
          <w:sz w:val="24"/>
          <w:szCs w:val="24"/>
        </w:rPr>
        <w:t>.</w:t>
      </w:r>
    </w:p>
    <w:p w14:paraId="546591E2" w14:textId="77777777" w:rsidR="002A6E98" w:rsidRPr="005E2831" w:rsidRDefault="002A6E98" w:rsidP="002A6E98">
      <w:pPr>
        <w:spacing w:after="60" w:line="300" w:lineRule="atLeast"/>
        <w:ind w:firstLine="567"/>
        <w:jc w:val="both"/>
        <w:rPr>
          <w:rFonts w:ascii="Times New Roman" w:hAnsi="Times New Roman" w:cs="Times New Roman"/>
          <w:color w:val="000000"/>
          <w:sz w:val="24"/>
          <w:szCs w:val="24"/>
        </w:rPr>
      </w:pPr>
      <w:r w:rsidRPr="005E2831">
        <w:rPr>
          <w:rFonts w:ascii="Times New Roman" w:hAnsi="Times New Roman" w:cs="Times New Roman"/>
          <w:sz w:val="24"/>
          <w:szCs w:val="24"/>
        </w:rPr>
        <w:t xml:space="preserve">W 2022 r. opracowano i opublikowano, drukiem i na stronie internetowej </w:t>
      </w:r>
      <w:hyperlink r:id="rId139" w:history="1">
        <w:r w:rsidRPr="005E2831">
          <w:rPr>
            <w:rStyle w:val="Hipercze"/>
            <w:sz w:val="24"/>
            <w:szCs w:val="24"/>
          </w:rPr>
          <w:t>http://siedliska.gios.gov.pl/pl/</w:t>
        </w:r>
      </w:hyperlink>
      <w:r w:rsidRPr="005E2831">
        <w:rPr>
          <w:rFonts w:ascii="Times New Roman" w:hAnsi="Times New Roman" w:cs="Times New Roman"/>
          <w:sz w:val="24"/>
          <w:szCs w:val="24"/>
        </w:rPr>
        <w:t xml:space="preserve">, trzy numery </w:t>
      </w:r>
      <w:r w:rsidRPr="005E2831">
        <w:rPr>
          <w:rFonts w:ascii="Times New Roman" w:hAnsi="Times New Roman" w:cs="Times New Roman"/>
          <w:color w:val="000000"/>
          <w:sz w:val="24"/>
          <w:szCs w:val="24"/>
        </w:rPr>
        <w:t>Biuletynu Monitoringu Przyrody: nr 25 (2022/1), nr 26 (2022/2), nr 27 (2022/3). W poszczególnych numerach Biuletynu omówione są m.in. oceny stanu ochrony gatunków roślin i zwierząt, a także siedlisk przyrodniczych, których monitoring został wykonany w latach 2020-2021. W publikacjach zawarto również informacje o najistotniejszych oddziaływaniach i zagrożeniach wpływających na stan monitorowanych gatunków i siedlisk oraz zalecenia na temat sposobu ich ochrony. Biuletyny rozesłane zostały do organów administracji publicznej, organizacji pozarządowych, instytutów naukowych oraz uczelni wyższych zaangażowanych w działania majce na celu ochronę przyrody.</w:t>
      </w:r>
    </w:p>
    <w:p w14:paraId="579A6756" w14:textId="77777777" w:rsidR="002A6E98" w:rsidRPr="005E2831" w:rsidRDefault="002A6E98" w:rsidP="002A6E98">
      <w:pPr>
        <w:spacing w:after="60" w:line="276" w:lineRule="auto"/>
        <w:jc w:val="both"/>
        <w:rPr>
          <w:rFonts w:ascii="Times New Roman" w:hAnsi="Times New Roman" w:cs="Times New Roman"/>
          <w:sz w:val="24"/>
          <w:szCs w:val="24"/>
        </w:rPr>
      </w:pPr>
    </w:p>
    <w:p w14:paraId="597B3F15" w14:textId="2C88A9A0" w:rsidR="002A6E98" w:rsidRPr="005E2831" w:rsidRDefault="002A6E98" w:rsidP="00A4010D">
      <w:pPr>
        <w:keepNext/>
        <w:spacing w:after="60" w:line="276" w:lineRule="auto"/>
        <w:jc w:val="center"/>
        <w:rPr>
          <w:rFonts w:ascii="Times New Roman" w:hAnsi="Times New Roman" w:cs="Times New Roman"/>
        </w:rPr>
      </w:pPr>
      <w:r w:rsidRPr="005E2831">
        <w:rPr>
          <w:rFonts w:ascii="Times New Roman" w:hAnsi="Times New Roman" w:cs="Times New Roman"/>
          <w:noProof/>
          <w:sz w:val="24"/>
          <w:szCs w:val="24"/>
          <w:lang w:eastAsia="pl-PL"/>
        </w:rPr>
        <w:lastRenderedPageBreak/>
        <w:drawing>
          <wp:inline distT="0" distB="0" distL="0" distR="0" wp14:anchorId="754A94E1" wp14:editId="0CA5A702">
            <wp:extent cx="1792800" cy="2520000"/>
            <wp:effectExtent l="0" t="0" r="0" b="0"/>
            <wp:docPr id="470" name="Obraz 470" descr="Zdjęcie 64. Okładki Biuletynów Monitoringu Przyrody wydane w 2022 rok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0" name="Obraz 470" descr="Zdjęcie 64. Okładki Biuletynów Monitoringu Przyrody wydane w 2022 roku."/>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792800" cy="2520000"/>
                    </a:xfrm>
                    <a:prstGeom prst="rect">
                      <a:avLst/>
                    </a:prstGeom>
                    <a:noFill/>
                    <a:ln>
                      <a:noFill/>
                    </a:ln>
                  </pic:spPr>
                </pic:pic>
              </a:graphicData>
            </a:graphic>
          </wp:inline>
        </w:drawing>
      </w:r>
      <w:r w:rsidRPr="005E2831">
        <w:rPr>
          <w:rFonts w:ascii="Times New Roman" w:hAnsi="Times New Roman" w:cs="Times New Roman"/>
          <w:noProof/>
          <w:sz w:val="24"/>
          <w:szCs w:val="24"/>
          <w:lang w:eastAsia="pl-PL"/>
        </w:rPr>
        <w:drawing>
          <wp:inline distT="0" distB="0" distL="0" distR="0" wp14:anchorId="7A0F21C9" wp14:editId="1FC3BA35">
            <wp:extent cx="1792800" cy="2520000"/>
            <wp:effectExtent l="0" t="0" r="0" b="0"/>
            <wp:docPr id="471" name="Obraz 471" descr="Zdjęcie 64. Okładki Biuletynów Monitoringu Przyrody wydane w 2022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Obraz 471" descr="Zdjęcie 64. Okładki Biuletynów Monitoringu Przyrody wydane w 2022 roku."/>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792800" cy="2520000"/>
                    </a:xfrm>
                    <a:prstGeom prst="rect">
                      <a:avLst/>
                    </a:prstGeom>
                    <a:noFill/>
                    <a:ln>
                      <a:noFill/>
                    </a:ln>
                  </pic:spPr>
                </pic:pic>
              </a:graphicData>
            </a:graphic>
          </wp:inline>
        </w:drawing>
      </w:r>
      <w:r w:rsidRPr="005E2831">
        <w:rPr>
          <w:rFonts w:ascii="Times New Roman" w:hAnsi="Times New Roman" w:cs="Times New Roman"/>
          <w:noProof/>
          <w:sz w:val="24"/>
          <w:szCs w:val="24"/>
          <w:lang w:eastAsia="pl-PL"/>
        </w:rPr>
        <w:drawing>
          <wp:inline distT="0" distB="0" distL="0" distR="0" wp14:anchorId="7DE2C7B1" wp14:editId="3CB50309">
            <wp:extent cx="1792800" cy="2520000"/>
            <wp:effectExtent l="0" t="0" r="0" b="0"/>
            <wp:docPr id="33" name="Obraz 33" descr="Zdjęcie 64. Okładki Biuletynów Monitoringu Przyrody wydane w 2022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descr="Zdjęcie 64. Okładki Biuletynów Monitoringu Przyrody wydane w 2022 roku."/>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792800" cy="2520000"/>
                    </a:xfrm>
                    <a:prstGeom prst="rect">
                      <a:avLst/>
                    </a:prstGeom>
                    <a:noFill/>
                    <a:ln>
                      <a:noFill/>
                    </a:ln>
                  </pic:spPr>
                </pic:pic>
              </a:graphicData>
            </a:graphic>
          </wp:inline>
        </w:drawing>
      </w:r>
    </w:p>
    <w:p w14:paraId="55B01DF2" w14:textId="122FA420" w:rsidR="001A642C" w:rsidRDefault="002A6E98" w:rsidP="001355BC">
      <w:pPr>
        <w:pStyle w:val="Legenda"/>
        <w:jc w:val="center"/>
        <w:rPr>
          <w:rFonts w:eastAsiaTheme="minorHAnsi"/>
          <w:b w:val="0"/>
          <w:color w:val="000000"/>
          <w:lang w:eastAsia="en-US"/>
        </w:rPr>
      </w:pPr>
      <w:r w:rsidRPr="001A642C">
        <w:rPr>
          <w:rFonts w:eastAsiaTheme="minorHAnsi"/>
          <w:color w:val="000000"/>
          <w:sz w:val="22"/>
          <w:szCs w:val="22"/>
          <w:lang w:eastAsia="en-US"/>
        </w:rPr>
        <w:t xml:space="preserve">Zdjęcie </w:t>
      </w:r>
      <w:r w:rsidR="001A642C" w:rsidRPr="001A642C">
        <w:rPr>
          <w:rFonts w:eastAsiaTheme="minorHAnsi"/>
          <w:color w:val="000000"/>
          <w:sz w:val="22"/>
          <w:szCs w:val="22"/>
          <w:lang w:val="pl-PL" w:eastAsia="en-US"/>
        </w:rPr>
        <w:t>6</w:t>
      </w:r>
      <w:r w:rsidR="00422EE0">
        <w:rPr>
          <w:rFonts w:eastAsiaTheme="minorHAnsi"/>
          <w:color w:val="000000"/>
          <w:sz w:val="22"/>
          <w:szCs w:val="22"/>
          <w:lang w:val="pl-PL" w:eastAsia="en-US"/>
        </w:rPr>
        <w:t>4</w:t>
      </w:r>
      <w:r w:rsidRPr="001A642C">
        <w:rPr>
          <w:rFonts w:eastAsiaTheme="minorHAnsi"/>
          <w:color w:val="000000"/>
          <w:sz w:val="22"/>
          <w:szCs w:val="22"/>
          <w:lang w:eastAsia="en-US"/>
        </w:rPr>
        <w:t>. Biuletyny Monitoringu Przyrody wydane w 2022 roku.</w:t>
      </w:r>
    </w:p>
    <w:p w14:paraId="682FF798" w14:textId="4FC1B7AC" w:rsidR="002A6E98" w:rsidRPr="003C3CCE" w:rsidRDefault="002A6E98" w:rsidP="001355BC">
      <w:pPr>
        <w:pStyle w:val="Legenda"/>
        <w:jc w:val="center"/>
        <w:rPr>
          <w:rFonts w:eastAsiaTheme="minorHAnsi"/>
          <w:b w:val="0"/>
          <w:bCs w:val="0"/>
          <w:color w:val="000000"/>
          <w:lang w:eastAsia="en-US"/>
        </w:rPr>
      </w:pPr>
      <w:r w:rsidRPr="003C3CCE">
        <w:rPr>
          <w:rFonts w:eastAsiaTheme="minorHAnsi"/>
          <w:b w:val="0"/>
          <w:color w:val="000000"/>
          <w:lang w:eastAsia="en-US"/>
        </w:rPr>
        <w:t xml:space="preserve">Publikacje w wersji elektronicznej dostępne na stronie: </w:t>
      </w:r>
      <w:hyperlink r:id="rId143" w:history="1">
        <w:r w:rsidRPr="003C3CCE">
          <w:rPr>
            <w:rStyle w:val="Hipercze"/>
            <w:rFonts w:eastAsiaTheme="minorHAnsi"/>
            <w:b w:val="0"/>
            <w:lang w:eastAsia="en-US"/>
          </w:rPr>
          <w:t>https://siedliska.gios.gov.pl/pl/</w:t>
        </w:r>
      </w:hyperlink>
    </w:p>
    <w:p w14:paraId="133A82CC" w14:textId="77777777" w:rsidR="002A6E98" w:rsidRPr="005E2831" w:rsidRDefault="002A6E98" w:rsidP="001355BC">
      <w:pPr>
        <w:spacing w:after="60"/>
        <w:jc w:val="center"/>
        <w:rPr>
          <w:rFonts w:ascii="Times New Roman" w:hAnsi="Times New Roman" w:cs="Times New Roman"/>
        </w:rPr>
      </w:pPr>
    </w:p>
    <w:p w14:paraId="46B89A42" w14:textId="77777777" w:rsidR="002A6E98" w:rsidRPr="005E2831" w:rsidRDefault="002A6E98" w:rsidP="002A6E98">
      <w:pPr>
        <w:spacing w:after="60" w:line="300" w:lineRule="atLeast"/>
        <w:ind w:firstLine="567"/>
        <w:jc w:val="both"/>
        <w:rPr>
          <w:rFonts w:ascii="Times New Roman" w:hAnsi="Times New Roman" w:cs="Times New Roman"/>
          <w:sz w:val="24"/>
          <w:szCs w:val="24"/>
        </w:rPr>
      </w:pPr>
      <w:r w:rsidRPr="005E2831">
        <w:rPr>
          <w:rFonts w:ascii="Times New Roman" w:hAnsi="Times New Roman" w:cs="Times New Roman"/>
          <w:sz w:val="24"/>
          <w:szCs w:val="24"/>
        </w:rPr>
        <w:t>W 2022 r. prowadzono również prace w zakresie doskonalenia narzędzia, jakim jest System Informatyczny Monitoringu Gatunków i Siedlisk Przyrodniczych (SI MGSP), poprzez rozbudowę bazy o nowe funkcjonalności oraz usprawnienie już istniejących. W ramach przeprowadzonych prac SI MGSP rozwinięty został o moduł użytkownika zewnętrznego oraz</w:t>
      </w:r>
      <w:r>
        <w:rPr>
          <w:rFonts w:ascii="Times New Roman" w:hAnsi="Times New Roman" w:cs="Times New Roman"/>
          <w:sz w:val="24"/>
          <w:szCs w:val="24"/>
        </w:rPr>
        <w:t> </w:t>
      </w:r>
      <w:r w:rsidRPr="005E2831">
        <w:rPr>
          <w:rFonts w:ascii="Times New Roman" w:hAnsi="Times New Roman" w:cs="Times New Roman"/>
          <w:sz w:val="24"/>
          <w:szCs w:val="24"/>
        </w:rPr>
        <w:t>moduł do zarządzania stanowiskami monitoringowymi. Moduły mają na celu zapewnienie bezpośredniego dostępu do wyników monitoringu gatunków i siedlisk przyrodniczych oraz</w:t>
      </w:r>
      <w:r>
        <w:rPr>
          <w:rFonts w:ascii="Times New Roman" w:hAnsi="Times New Roman" w:cs="Times New Roman"/>
          <w:sz w:val="24"/>
          <w:szCs w:val="24"/>
        </w:rPr>
        <w:t> </w:t>
      </w:r>
      <w:r w:rsidRPr="005E2831">
        <w:rPr>
          <w:rFonts w:ascii="Times New Roman" w:hAnsi="Times New Roman" w:cs="Times New Roman"/>
          <w:sz w:val="24"/>
          <w:szCs w:val="24"/>
        </w:rPr>
        <w:t>do</w:t>
      </w:r>
      <w:r>
        <w:rPr>
          <w:rFonts w:ascii="Times New Roman" w:hAnsi="Times New Roman" w:cs="Times New Roman"/>
          <w:sz w:val="24"/>
          <w:szCs w:val="24"/>
        </w:rPr>
        <w:t> </w:t>
      </w:r>
      <w:r w:rsidRPr="005E2831">
        <w:rPr>
          <w:rFonts w:ascii="Times New Roman" w:hAnsi="Times New Roman" w:cs="Times New Roman"/>
          <w:sz w:val="24"/>
          <w:szCs w:val="24"/>
        </w:rPr>
        <w:t>harmonogramu prac prowadzonych w ramach tegoż monitoringu użytkownikom spoza GIOŚ, w tym m.in. przedstawicielom Generalnej Dyrekcji Ochrony Środowiska, regionalnych dyrekcji ochrony środowiska, regionalnych dyrekcji lasów państwowych, urzędów morskich oraz parków narodowych. Dodatkowo, moduł do zarządzania stanowiskami umożliwi ww.</w:t>
      </w:r>
      <w:r>
        <w:rPr>
          <w:rFonts w:ascii="Times New Roman" w:hAnsi="Times New Roman" w:cs="Times New Roman"/>
          <w:sz w:val="24"/>
          <w:szCs w:val="24"/>
        </w:rPr>
        <w:t> </w:t>
      </w:r>
      <w:r w:rsidRPr="005E2831">
        <w:rPr>
          <w:rFonts w:ascii="Times New Roman" w:hAnsi="Times New Roman" w:cs="Times New Roman"/>
          <w:sz w:val="24"/>
          <w:szCs w:val="24"/>
        </w:rPr>
        <w:t>podmiotom planowanie monitoringu na poszczególnych stanowiskach objętych również monitoringiem w ramach PMŚ. Także w 2022 r. przeprowadzono dwa szkolenia dla</w:t>
      </w:r>
      <w:r>
        <w:rPr>
          <w:rFonts w:ascii="Times New Roman" w:hAnsi="Times New Roman" w:cs="Times New Roman"/>
          <w:sz w:val="24"/>
          <w:szCs w:val="24"/>
        </w:rPr>
        <w:t> </w:t>
      </w:r>
      <w:r w:rsidRPr="005E2831">
        <w:rPr>
          <w:rFonts w:ascii="Times New Roman" w:hAnsi="Times New Roman" w:cs="Times New Roman"/>
          <w:sz w:val="24"/>
          <w:szCs w:val="24"/>
        </w:rPr>
        <w:t>użytkowników SI MGSP spoza GIOŚ, dotyczące zasad funkcjonowania i obsługi systemu. Po przeprowadzonych szkoleniach i udostępnieniu użytkownikom kont do logowania, z</w:t>
      </w:r>
      <w:r>
        <w:rPr>
          <w:rFonts w:ascii="Times New Roman" w:hAnsi="Times New Roman" w:cs="Times New Roman"/>
          <w:sz w:val="24"/>
          <w:szCs w:val="24"/>
        </w:rPr>
        <w:t> </w:t>
      </w:r>
      <w:r w:rsidRPr="005E2831">
        <w:rPr>
          <w:rFonts w:ascii="Times New Roman" w:hAnsi="Times New Roman" w:cs="Times New Roman"/>
          <w:sz w:val="24"/>
          <w:szCs w:val="24"/>
        </w:rPr>
        <w:t>SI</w:t>
      </w:r>
      <w:r>
        <w:rPr>
          <w:rFonts w:ascii="Times New Roman" w:hAnsi="Times New Roman" w:cs="Times New Roman"/>
          <w:sz w:val="24"/>
          <w:szCs w:val="24"/>
        </w:rPr>
        <w:t> </w:t>
      </w:r>
      <w:r w:rsidRPr="005E2831">
        <w:rPr>
          <w:rFonts w:ascii="Times New Roman" w:hAnsi="Times New Roman" w:cs="Times New Roman"/>
          <w:sz w:val="24"/>
          <w:szCs w:val="24"/>
        </w:rPr>
        <w:t>MGSP regularnie korzystało 80 użytkowników spoza GIOŚ, reprezentujących 38</w:t>
      </w:r>
      <w:r>
        <w:rPr>
          <w:rFonts w:ascii="Times New Roman" w:hAnsi="Times New Roman" w:cs="Times New Roman"/>
          <w:sz w:val="24"/>
          <w:szCs w:val="24"/>
        </w:rPr>
        <w:t> </w:t>
      </w:r>
      <w:r w:rsidRPr="005E2831">
        <w:rPr>
          <w:rFonts w:ascii="Times New Roman" w:hAnsi="Times New Roman" w:cs="Times New Roman"/>
          <w:sz w:val="24"/>
          <w:szCs w:val="24"/>
        </w:rPr>
        <w:t>instytucji.</w:t>
      </w:r>
    </w:p>
    <w:p w14:paraId="3302C120" w14:textId="77777777" w:rsidR="002A6E98" w:rsidRPr="005E2831" w:rsidRDefault="002A6E98" w:rsidP="002A6E98">
      <w:pPr>
        <w:spacing w:after="60" w:line="300" w:lineRule="atLeast"/>
        <w:ind w:firstLine="567"/>
        <w:jc w:val="both"/>
        <w:rPr>
          <w:rFonts w:ascii="Times New Roman" w:hAnsi="Times New Roman" w:cs="Times New Roman"/>
          <w:sz w:val="24"/>
          <w:szCs w:val="24"/>
        </w:rPr>
      </w:pPr>
      <w:r w:rsidRPr="005E2831">
        <w:rPr>
          <w:rFonts w:ascii="Times New Roman" w:hAnsi="Times New Roman" w:cs="Times New Roman"/>
          <w:sz w:val="24"/>
          <w:szCs w:val="24"/>
        </w:rPr>
        <w:t>Jednocześnie prowadzono prace w zakresie modernizacji i aktualizacji strony internetowej monitoringu gatunków i siedlisk przyrodniczych (</w:t>
      </w:r>
      <w:hyperlink r:id="rId144" w:history="1">
        <w:r w:rsidRPr="005E2831">
          <w:rPr>
            <w:rStyle w:val="Hipercze"/>
            <w:sz w:val="24"/>
            <w:szCs w:val="24"/>
          </w:rPr>
          <w:t>http://siedliska.gios.gov.pl/pl/</w:t>
        </w:r>
      </w:hyperlink>
      <w:r w:rsidRPr="005E2831">
        <w:rPr>
          <w:rFonts w:ascii="Times New Roman" w:hAnsi="Times New Roman" w:cs="Times New Roman"/>
          <w:sz w:val="24"/>
          <w:szCs w:val="24"/>
        </w:rPr>
        <w:t>), w tym odświeżono wygląd interfejsu graficznego strony.</w:t>
      </w:r>
    </w:p>
    <w:p w14:paraId="0BB7B8BA" w14:textId="77777777" w:rsidR="002A6E98" w:rsidRPr="005E2831" w:rsidRDefault="002A6E98" w:rsidP="002A6E98">
      <w:pPr>
        <w:spacing w:after="60"/>
        <w:ind w:firstLine="567"/>
        <w:jc w:val="both"/>
        <w:rPr>
          <w:rFonts w:ascii="Times New Roman" w:hAnsi="Times New Roman" w:cs="Times New Roman"/>
          <w:sz w:val="24"/>
          <w:szCs w:val="24"/>
        </w:rPr>
      </w:pPr>
      <w:r w:rsidRPr="005E2831">
        <w:rPr>
          <w:rFonts w:ascii="Times New Roman" w:hAnsi="Times New Roman" w:cs="Times New Roman"/>
          <w:sz w:val="24"/>
          <w:szCs w:val="24"/>
        </w:rPr>
        <w:t xml:space="preserve">W 2022 r. w ramach zadania związanego z doskonaleniem organizacyjno-metodycznym monitoringu gatunków i siedlisk przyrodniczych, w dniach 21-22 czerwca, zostało zorganizowane seminarium pt. </w:t>
      </w:r>
      <w:r w:rsidRPr="005E2831">
        <w:rPr>
          <w:rFonts w:ascii="Times New Roman" w:hAnsi="Times New Roman" w:cs="Times New Roman"/>
          <w:i/>
          <w:sz w:val="24"/>
          <w:szCs w:val="24"/>
        </w:rPr>
        <w:t>Monitoring siedlisk przyrodniczych w Polsce – wyniki, zagadnienia metodyczne, kierunki rozwoju</w:t>
      </w:r>
      <w:r w:rsidRPr="005E2831">
        <w:rPr>
          <w:rFonts w:ascii="Times New Roman" w:hAnsi="Times New Roman" w:cs="Times New Roman"/>
          <w:sz w:val="24"/>
          <w:szCs w:val="24"/>
        </w:rPr>
        <w:t>. Program seminarium obejmował sesję referatową, na której wygłoszono prezentację m.in. na temat stanu siedlisk przyrodniczych w kontekście wyzwań dotyczących</w:t>
      </w:r>
      <w:r w:rsidRPr="005E2831">
        <w:rPr>
          <w:rFonts w:ascii="Times New Roman" w:hAnsi="Times New Roman" w:cs="Times New Roman"/>
        </w:rPr>
        <w:t xml:space="preserve"> </w:t>
      </w:r>
      <w:r w:rsidRPr="005E2831">
        <w:rPr>
          <w:rFonts w:ascii="Times New Roman" w:hAnsi="Times New Roman" w:cs="Times New Roman"/>
          <w:i/>
          <w:sz w:val="24"/>
          <w:szCs w:val="24"/>
        </w:rPr>
        <w:t>Unijnej strategii na rzecz bioróżnorodności 2030</w:t>
      </w:r>
      <w:r w:rsidRPr="005E2831">
        <w:rPr>
          <w:rFonts w:ascii="Times New Roman" w:hAnsi="Times New Roman" w:cs="Times New Roman"/>
          <w:sz w:val="24"/>
          <w:szCs w:val="24"/>
        </w:rPr>
        <w:t>, wykorzystania i</w:t>
      </w:r>
      <w:r>
        <w:rPr>
          <w:rFonts w:ascii="Times New Roman" w:hAnsi="Times New Roman" w:cs="Times New Roman"/>
          <w:sz w:val="24"/>
          <w:szCs w:val="24"/>
        </w:rPr>
        <w:t> </w:t>
      </w:r>
      <w:r w:rsidRPr="005E2831">
        <w:rPr>
          <w:rFonts w:ascii="Times New Roman" w:hAnsi="Times New Roman" w:cs="Times New Roman"/>
          <w:sz w:val="24"/>
          <w:szCs w:val="24"/>
        </w:rPr>
        <w:t xml:space="preserve">rozwoju SI MGSP oraz stanu ochrony wodnych, leśnych i nieleśnych siedlisk przyrodniczych określonego na podstawie wyników monitoringu z 2021 roku. Na seminarium przedstawiono również wyniki trzech ekspertyz, tj. ekspertyzy na temat porównania metodyk monitoringu siedlisk leśnych stosowanych w Polsce do metodyk oceny stanu leśnych siedlisk przyrodniczych stosowanych w wybranych krajach europejskich, ekspertyzy na temat </w:t>
      </w:r>
      <w:r w:rsidRPr="005E2831">
        <w:rPr>
          <w:rFonts w:ascii="Times New Roman" w:hAnsi="Times New Roman" w:cs="Times New Roman"/>
          <w:sz w:val="24"/>
          <w:szCs w:val="24"/>
        </w:rPr>
        <w:lastRenderedPageBreak/>
        <w:t>możliwości wykorzystania w monitoringu przyrodniczym bezpłatnych danych satelitarnych pozyskiwanych m.in. za pośrednictwem programu Copernicus oraz ekspertyzy na temat możliwości opracowania Polskiej Czerwonej Księgi Siedlisk Przyrodniczych. Oprócz sesji referatowej odbyły się także warsztaty terenowe z zakresu monitoringu przyrodniczego. W ramach zadania, w oparciu o doświadczenie zdobyte w trakcie realizacji monitoringu oraz najnowsze wyniki badań naukowych, dokonano aktualizacji 7 metodyk monitoringu gatunków zwierząt.</w:t>
      </w:r>
    </w:p>
    <w:p w14:paraId="1F4B3E73" w14:textId="47163A91" w:rsidR="00895F16" w:rsidRPr="007F400A" w:rsidRDefault="002A6E98" w:rsidP="002A6E98">
      <w:pPr>
        <w:spacing w:after="0" w:line="300" w:lineRule="atLeast"/>
        <w:ind w:firstLine="567"/>
        <w:jc w:val="both"/>
        <w:rPr>
          <w:rFonts w:ascii="Times New Roman" w:hAnsi="Times New Roman"/>
          <w:sz w:val="24"/>
          <w:szCs w:val="24"/>
        </w:rPr>
      </w:pPr>
      <w:r w:rsidRPr="005E2831">
        <w:rPr>
          <w:rFonts w:ascii="Times New Roman" w:hAnsi="Times New Roman" w:cs="Times New Roman"/>
          <w:sz w:val="24"/>
          <w:szCs w:val="24"/>
        </w:rPr>
        <w:t xml:space="preserve">Z powodu braku ofert na realizację zamówienia nie wykonano badań monitoringowych 10 gatunków zwierząt, których monitoring zaplanowano w </w:t>
      </w:r>
      <w:r w:rsidRPr="005E2831">
        <w:rPr>
          <w:rFonts w:ascii="Times New Roman" w:hAnsi="Times New Roman" w:cs="Times New Roman"/>
          <w:i/>
          <w:sz w:val="24"/>
          <w:szCs w:val="24"/>
        </w:rPr>
        <w:t>Programie wykonawczym monitoringu przyrody na 2022 r.</w:t>
      </w:r>
      <w:r w:rsidRPr="005E2831">
        <w:rPr>
          <w:rFonts w:ascii="Times New Roman" w:hAnsi="Times New Roman" w:cs="Times New Roman"/>
          <w:sz w:val="24"/>
          <w:szCs w:val="24"/>
        </w:rPr>
        <w:t>, a także nie opracowano raportu o zagrożonych gatunkach zwierząt, składanego do Organizacji Współpracy Gospodarczej i Rozwoju (OECD). Przesunięcie w czasie realizacji powyższych zadań nie wpłynie na wykonanie obowiązków ustawowych i zobowiązań międzynarodowych Głównego Inspektora Ochrony Środowiska</w:t>
      </w:r>
      <w:r w:rsidR="00895F16" w:rsidRPr="007F400A">
        <w:rPr>
          <w:rFonts w:ascii="Times New Roman" w:hAnsi="Times New Roman"/>
          <w:color w:val="000000"/>
          <w:sz w:val="24"/>
          <w:szCs w:val="24"/>
        </w:rPr>
        <w:t xml:space="preserve">. </w:t>
      </w:r>
    </w:p>
    <w:p w14:paraId="24A78D02" w14:textId="77777777" w:rsidR="00895F16" w:rsidRPr="007F400A" w:rsidRDefault="00895F16" w:rsidP="00895F16">
      <w:pPr>
        <w:spacing w:after="0" w:line="300" w:lineRule="atLeast"/>
        <w:jc w:val="both"/>
        <w:rPr>
          <w:rFonts w:ascii="Times New Roman" w:hAnsi="Times New Roman" w:cs="Times New Roman"/>
          <w:color w:val="00B0F0"/>
          <w:sz w:val="24"/>
          <w:szCs w:val="24"/>
        </w:rPr>
      </w:pPr>
    </w:p>
    <w:p w14:paraId="4AD9474A" w14:textId="3B59302E" w:rsidR="00895F16" w:rsidRPr="007F400A" w:rsidRDefault="00895F16" w:rsidP="00895F16">
      <w:pPr>
        <w:keepNext/>
        <w:spacing w:after="120" w:line="300" w:lineRule="atLeast"/>
        <w:jc w:val="both"/>
        <w:outlineLvl w:val="0"/>
        <w:rPr>
          <w:rFonts w:ascii="Times New Roman" w:eastAsia="Times New Roman" w:hAnsi="Times New Roman" w:cs="Times New Roman"/>
          <w:b/>
          <w:bCs/>
          <w:sz w:val="24"/>
          <w:szCs w:val="24"/>
          <w:lang w:eastAsia="x-none"/>
        </w:rPr>
      </w:pPr>
      <w:bookmarkStart w:id="417" w:name="_Toc36732645"/>
      <w:bookmarkStart w:id="418" w:name="_Toc135935715"/>
      <w:r w:rsidRPr="007F400A">
        <w:rPr>
          <w:rFonts w:ascii="Times New Roman" w:eastAsia="Times New Roman" w:hAnsi="Times New Roman" w:cs="Times New Roman"/>
          <w:b/>
          <w:bCs/>
          <w:sz w:val="24"/>
          <w:szCs w:val="24"/>
          <w:lang w:val="x-none" w:eastAsia="x-none"/>
        </w:rPr>
        <w:t>5.3 Monitoring</w:t>
      </w:r>
      <w:bookmarkEnd w:id="417"/>
      <w:r w:rsidR="004966BE" w:rsidRPr="007F400A">
        <w:rPr>
          <w:rFonts w:ascii="Times New Roman" w:eastAsia="Times New Roman" w:hAnsi="Times New Roman" w:cs="Times New Roman"/>
          <w:b/>
          <w:bCs/>
          <w:sz w:val="24"/>
          <w:szCs w:val="24"/>
          <w:lang w:val="x-none" w:eastAsia="x-none"/>
        </w:rPr>
        <w:t xml:space="preserve"> </w:t>
      </w:r>
      <w:r w:rsidRPr="007F400A">
        <w:rPr>
          <w:rFonts w:ascii="Times New Roman" w:eastAsia="Times New Roman" w:hAnsi="Times New Roman" w:cs="Times New Roman"/>
          <w:b/>
          <w:bCs/>
          <w:sz w:val="24"/>
          <w:szCs w:val="24"/>
          <w:lang w:eastAsia="x-none"/>
        </w:rPr>
        <w:t>gatunków i siedlisk morskich</w:t>
      </w:r>
      <w:bookmarkEnd w:id="418"/>
    </w:p>
    <w:p w14:paraId="3C62E306" w14:textId="3E670C05" w:rsidR="002A6E98" w:rsidRPr="005E2831" w:rsidRDefault="002A6E98" w:rsidP="002A6E98">
      <w:pPr>
        <w:spacing w:after="60" w:line="300" w:lineRule="atLeast"/>
        <w:ind w:firstLine="567"/>
        <w:jc w:val="both"/>
        <w:rPr>
          <w:rFonts w:ascii="Times New Roman" w:eastAsia="Times New Roman" w:hAnsi="Times New Roman" w:cs="Times New Roman"/>
          <w:sz w:val="24"/>
          <w:szCs w:val="24"/>
          <w:lang w:eastAsia="pl-PL"/>
        </w:rPr>
      </w:pPr>
      <w:r w:rsidRPr="005E2831">
        <w:rPr>
          <w:rFonts w:ascii="Times New Roman" w:eastAsia="Times New Roman" w:hAnsi="Times New Roman" w:cs="Times New Roman"/>
          <w:sz w:val="24"/>
          <w:szCs w:val="24"/>
          <w:lang w:eastAsia="pl-PL"/>
        </w:rPr>
        <w:t>W 2022 roku kontynuowano badania gatunków ujętych w załączniku II do dyrektywy Rady 92/43/EWG z dnia 21 maja 1992 roku</w:t>
      </w:r>
      <w:r w:rsidRPr="005E2831">
        <w:rPr>
          <w:rFonts w:ascii="Times New Roman" w:eastAsia="Times New Roman" w:hAnsi="Times New Roman" w:cs="Times New Roman"/>
          <w:sz w:val="20"/>
          <w:szCs w:val="24"/>
          <w:vertAlign w:val="superscript"/>
          <w:lang w:eastAsia="pl-PL"/>
        </w:rPr>
        <w:footnoteReference w:id="107"/>
      </w:r>
      <w:r w:rsidRPr="005E2831">
        <w:rPr>
          <w:rFonts w:ascii="Times New Roman" w:eastAsia="Times New Roman" w:hAnsi="Times New Roman" w:cs="Times New Roman"/>
          <w:sz w:val="24"/>
          <w:szCs w:val="24"/>
          <w:lang w:eastAsia="pl-PL"/>
        </w:rPr>
        <w:t>. Kontynuowano realizację zadania pn.</w:t>
      </w:r>
      <w:r>
        <w:rPr>
          <w:rFonts w:ascii="Times New Roman" w:eastAsia="Times New Roman" w:hAnsi="Times New Roman" w:cs="Times New Roman"/>
          <w:sz w:val="24"/>
          <w:szCs w:val="24"/>
          <w:lang w:eastAsia="pl-PL"/>
        </w:rPr>
        <w:t> </w:t>
      </w:r>
      <w:r w:rsidRPr="005E2831">
        <w:rPr>
          <w:rFonts w:ascii="Times New Roman" w:eastAsia="Times New Roman" w:hAnsi="Times New Roman" w:cs="Times New Roman"/>
          <w:sz w:val="24"/>
          <w:szCs w:val="24"/>
          <w:lang w:eastAsia="pl-PL"/>
        </w:rPr>
        <w:t>„Monitoringu gatunków i siedlisk morskich w latach 2020-2022, część II – minogi, ryby i</w:t>
      </w:r>
      <w:r>
        <w:rPr>
          <w:rFonts w:ascii="Times New Roman" w:eastAsia="Times New Roman" w:hAnsi="Times New Roman" w:cs="Times New Roman"/>
          <w:sz w:val="24"/>
          <w:szCs w:val="24"/>
          <w:lang w:eastAsia="pl-PL"/>
        </w:rPr>
        <w:t> </w:t>
      </w:r>
      <w:r w:rsidRPr="005E2831">
        <w:rPr>
          <w:rFonts w:ascii="Times New Roman" w:eastAsia="Times New Roman" w:hAnsi="Times New Roman" w:cs="Times New Roman"/>
          <w:sz w:val="24"/>
          <w:szCs w:val="24"/>
          <w:lang w:eastAsia="pl-PL"/>
        </w:rPr>
        <w:t>siedliska morskie”. W ramach zadania wykonano badania terenowe osobników stadiów młodocianych parposza (1103) oraz wykonano ocenę stanu ochrony dla dwóch gatunków ryb: minoga rzecznego (1099) i parposza (1103)  oraz dwóch siedlisk: 1130 (Ujścia rzek, estuaria) i 1160 (Duże, płytkie zatoki). Kontynuowano realizację części III pracy pt. „Monitoring gatunków i siedlisk morskich w latach 2020-2022” oraz zrealizowano pracę pt. „Monitoring gatunków i siedlisk morskich w latach 2020-2022: monitoring morświna w 2022 roku”, dedykowane monitoringowi morświna. Kontynuowano realizację</w:t>
      </w:r>
      <w:r w:rsidR="0068480F">
        <w:rPr>
          <w:rFonts w:ascii="Times New Roman" w:eastAsia="Times New Roman" w:hAnsi="Times New Roman" w:cs="Times New Roman"/>
          <w:sz w:val="24"/>
          <w:szCs w:val="24"/>
          <w:lang w:eastAsia="pl-PL"/>
        </w:rPr>
        <w:t xml:space="preserve"> </w:t>
      </w:r>
      <w:r w:rsidRPr="005E2831">
        <w:rPr>
          <w:rFonts w:ascii="Times New Roman" w:eastAsia="Times New Roman" w:hAnsi="Times New Roman" w:cs="Times New Roman"/>
          <w:sz w:val="24"/>
          <w:szCs w:val="24"/>
          <w:lang w:eastAsia="pl-PL"/>
        </w:rPr>
        <w:t>monitoringu gatunków fok (część I – foka szara i foka pospolita). Wykonano cenę stanu zachowania foki szarej i foki pospolitej za 2021 rok.</w:t>
      </w:r>
    </w:p>
    <w:p w14:paraId="38AC324D" w14:textId="77777777" w:rsidR="002A6E98" w:rsidRPr="005E2831" w:rsidRDefault="002A6E98" w:rsidP="002A6E98">
      <w:pPr>
        <w:spacing w:after="60" w:line="276" w:lineRule="auto"/>
        <w:jc w:val="both"/>
        <w:rPr>
          <w:rFonts w:ascii="Times New Roman" w:eastAsia="Times New Roman" w:hAnsi="Times New Roman" w:cs="Times New Roman"/>
          <w:color w:val="FF0000"/>
          <w:sz w:val="24"/>
          <w:szCs w:val="24"/>
          <w:lang w:eastAsia="pl-PL"/>
        </w:rPr>
      </w:pPr>
    </w:p>
    <w:p w14:paraId="411274A3" w14:textId="77777777" w:rsidR="002A6E98" w:rsidRPr="005E2831" w:rsidRDefault="002A6E98" w:rsidP="002A6E98">
      <w:pPr>
        <w:spacing w:after="60" w:line="276" w:lineRule="auto"/>
        <w:jc w:val="both"/>
        <w:rPr>
          <w:rFonts w:ascii="Times New Roman" w:eastAsia="Times New Roman" w:hAnsi="Times New Roman" w:cs="Times New Roman"/>
          <w:color w:val="FF0000"/>
          <w:sz w:val="24"/>
          <w:szCs w:val="24"/>
          <w:lang w:eastAsia="pl-PL"/>
        </w:rPr>
      </w:pPr>
    </w:p>
    <w:p w14:paraId="7C1161AF" w14:textId="77777777" w:rsidR="002A6E98" w:rsidRPr="005E2831" w:rsidRDefault="002A6E98" w:rsidP="00FF4DA0">
      <w:pPr>
        <w:spacing w:after="60" w:line="276" w:lineRule="auto"/>
        <w:jc w:val="center"/>
        <w:rPr>
          <w:rFonts w:ascii="Times New Roman" w:eastAsia="Times New Roman" w:hAnsi="Times New Roman" w:cs="Times New Roman"/>
          <w:color w:val="FF0000"/>
          <w:sz w:val="24"/>
          <w:szCs w:val="24"/>
          <w:lang w:eastAsia="pl-PL"/>
        </w:rPr>
      </w:pPr>
      <w:r w:rsidRPr="005E2831">
        <w:rPr>
          <w:rFonts w:ascii="Times New Roman" w:eastAsia="Times New Roman" w:hAnsi="Times New Roman" w:cs="Times New Roman"/>
          <w:noProof/>
          <w:color w:val="FF0000"/>
          <w:sz w:val="24"/>
          <w:szCs w:val="24"/>
          <w:lang w:eastAsia="pl-PL"/>
        </w:rPr>
        <w:lastRenderedPageBreak/>
        <w:drawing>
          <wp:inline distT="0" distB="0" distL="0" distR="0" wp14:anchorId="2670F966" wp14:editId="5CA7FE39">
            <wp:extent cx="3742055" cy="3420745"/>
            <wp:effectExtent l="0" t="0" r="0" b="8255"/>
            <wp:docPr id="511" name="Obraz 511" descr="Ryc. 17. Stanowiska i stacje (znaczniki na mapie) pasywnego monitoringu morświna w 2022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Obraz 511" descr="Ryc. 17. Stanowiska i stacje (znaczniki na mapie) pasywnego monitoringu morświna w 2022 roku"/>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742055" cy="3420745"/>
                    </a:xfrm>
                    <a:prstGeom prst="rect">
                      <a:avLst/>
                    </a:prstGeom>
                    <a:noFill/>
                    <a:ln>
                      <a:noFill/>
                    </a:ln>
                  </pic:spPr>
                </pic:pic>
              </a:graphicData>
            </a:graphic>
          </wp:inline>
        </w:drawing>
      </w:r>
    </w:p>
    <w:p w14:paraId="41DD79EC" w14:textId="54580361" w:rsidR="002A6E98" w:rsidRPr="005E2831" w:rsidRDefault="002A6E98" w:rsidP="00A4010D">
      <w:pPr>
        <w:spacing w:after="60"/>
        <w:jc w:val="center"/>
        <w:rPr>
          <w:rFonts w:ascii="Times New Roman" w:hAnsi="Times New Roman" w:cs="Times New Roman"/>
          <w:b/>
          <w:color w:val="000000"/>
        </w:rPr>
      </w:pPr>
      <w:r w:rsidRPr="005E2831">
        <w:rPr>
          <w:rFonts w:ascii="Times New Roman" w:hAnsi="Times New Roman" w:cs="Times New Roman"/>
          <w:b/>
          <w:color w:val="000000"/>
        </w:rPr>
        <w:t>Ryc. 1</w:t>
      </w:r>
      <w:r>
        <w:rPr>
          <w:rFonts w:ascii="Times New Roman" w:hAnsi="Times New Roman" w:cs="Times New Roman"/>
          <w:b/>
          <w:color w:val="000000"/>
        </w:rPr>
        <w:t>7</w:t>
      </w:r>
      <w:r w:rsidRPr="005E2831">
        <w:rPr>
          <w:rFonts w:ascii="Times New Roman" w:hAnsi="Times New Roman" w:cs="Times New Roman"/>
          <w:b/>
          <w:color w:val="000000"/>
        </w:rPr>
        <w:t xml:space="preserve">. Stanowiska i stacje </w:t>
      </w:r>
      <w:r w:rsidR="005D7C2E" w:rsidRPr="005D7C2E">
        <w:rPr>
          <w:rFonts w:ascii="Times New Roman" w:hAnsi="Times New Roman" w:cs="Times New Roman"/>
          <w:b/>
          <w:color w:val="000000"/>
        </w:rPr>
        <w:t>(znaczniki na mapie)</w:t>
      </w:r>
      <w:r w:rsidR="005D7C2E">
        <w:rPr>
          <w:rFonts w:ascii="Times New Roman" w:hAnsi="Times New Roman" w:cs="Times New Roman"/>
          <w:b/>
          <w:color w:val="000000"/>
        </w:rPr>
        <w:t xml:space="preserve"> </w:t>
      </w:r>
      <w:r w:rsidRPr="005E2831">
        <w:rPr>
          <w:rFonts w:ascii="Times New Roman" w:hAnsi="Times New Roman" w:cs="Times New Roman"/>
          <w:b/>
          <w:color w:val="000000"/>
        </w:rPr>
        <w:t>pasywnego monitoringu morświna w 202</w:t>
      </w:r>
      <w:r w:rsidR="005D7C2E">
        <w:rPr>
          <w:rFonts w:ascii="Times New Roman" w:hAnsi="Times New Roman" w:cs="Times New Roman"/>
          <w:b/>
          <w:color w:val="000000"/>
        </w:rPr>
        <w:t>2</w:t>
      </w:r>
      <w:r w:rsidRPr="005E2831">
        <w:rPr>
          <w:rFonts w:ascii="Times New Roman" w:hAnsi="Times New Roman" w:cs="Times New Roman"/>
          <w:b/>
          <w:color w:val="000000"/>
        </w:rPr>
        <w:t xml:space="preserve"> roku</w:t>
      </w:r>
    </w:p>
    <w:p w14:paraId="204E1786" w14:textId="689B3C9B" w:rsidR="00895F16" w:rsidRPr="007F400A" w:rsidRDefault="002A6E98" w:rsidP="002A6E98">
      <w:pPr>
        <w:spacing w:after="0" w:line="300" w:lineRule="atLeast"/>
        <w:ind w:firstLine="567"/>
        <w:jc w:val="both"/>
        <w:rPr>
          <w:rFonts w:ascii="Times New Roman" w:eastAsia="Times New Roman" w:hAnsi="Times New Roman"/>
          <w:sz w:val="24"/>
          <w:szCs w:val="24"/>
          <w:lang w:eastAsia="pl-PL"/>
        </w:rPr>
      </w:pPr>
      <w:r w:rsidRPr="005E2831">
        <w:rPr>
          <w:rFonts w:ascii="Times New Roman" w:eastAsia="Times New Roman" w:hAnsi="Times New Roman" w:cs="Times New Roman"/>
          <w:sz w:val="24"/>
          <w:szCs w:val="24"/>
          <w:lang w:eastAsia="pl-PL"/>
        </w:rPr>
        <w:t xml:space="preserve">Pozyskane dane zostały wprowadzone do bazy danych systemu informatycznego monitoringu gatunków i siedlisk morskich, utrzymywanej w GIOŚ. Eksperci współpracowali </w:t>
      </w:r>
      <w:r w:rsidRPr="005E2831">
        <w:rPr>
          <w:rFonts w:ascii="Times New Roman" w:eastAsia="Times New Roman" w:hAnsi="Times New Roman" w:cs="Times New Roman"/>
          <w:sz w:val="24"/>
          <w:szCs w:val="24"/>
          <w:lang w:eastAsia="pl-PL"/>
        </w:rPr>
        <w:br/>
        <w:t>z grupami roboczymi HELCOM w zakresie różnorodności biologicznej, łańcuchów troficznych, integralności dna morskiego, ssaków morskich oraz grupami roboczymi JRC przy Komisji Europejskiej w zakresie integralności dna morskiego i różnorodności biologicznej, gatunków obcych</w:t>
      </w:r>
      <w:r w:rsidR="00895F16" w:rsidRPr="007F400A">
        <w:rPr>
          <w:rFonts w:ascii="Times New Roman" w:eastAsia="Times New Roman" w:hAnsi="Times New Roman"/>
          <w:sz w:val="24"/>
          <w:szCs w:val="24"/>
          <w:lang w:eastAsia="pl-PL"/>
        </w:rPr>
        <w:t>.</w:t>
      </w:r>
    </w:p>
    <w:p w14:paraId="6EE93C8E" w14:textId="77777777" w:rsidR="00895F16" w:rsidRPr="007F400A" w:rsidRDefault="00895F16" w:rsidP="00895F16">
      <w:pPr>
        <w:spacing w:after="0" w:line="300" w:lineRule="atLeast"/>
        <w:rPr>
          <w:rFonts w:ascii="Times New Roman" w:hAnsi="Times New Roman" w:cs="Times New Roman"/>
          <w:lang w:eastAsia="x-none"/>
        </w:rPr>
      </w:pPr>
    </w:p>
    <w:p w14:paraId="04C5125E" w14:textId="77777777" w:rsidR="00895F16" w:rsidRPr="007F400A" w:rsidRDefault="00895F16" w:rsidP="00895F16">
      <w:pPr>
        <w:keepNext/>
        <w:spacing w:after="120" w:line="300" w:lineRule="atLeast"/>
        <w:jc w:val="both"/>
        <w:outlineLvl w:val="0"/>
        <w:rPr>
          <w:rFonts w:ascii="Times New Roman" w:eastAsia="Times New Roman" w:hAnsi="Times New Roman" w:cs="Times New Roman"/>
          <w:b/>
          <w:bCs/>
          <w:sz w:val="24"/>
          <w:szCs w:val="24"/>
          <w:lang w:val="x-none" w:eastAsia="x-none"/>
        </w:rPr>
      </w:pPr>
      <w:bookmarkStart w:id="419" w:name="_Toc135935716"/>
      <w:r w:rsidRPr="007F400A">
        <w:rPr>
          <w:rFonts w:ascii="Times New Roman" w:eastAsia="Times New Roman" w:hAnsi="Times New Roman" w:cs="Times New Roman"/>
          <w:b/>
          <w:bCs/>
          <w:sz w:val="24"/>
          <w:szCs w:val="24"/>
          <w:lang w:val="x-none" w:eastAsia="x-none"/>
        </w:rPr>
        <w:t>5.</w:t>
      </w:r>
      <w:r w:rsidRPr="007F400A">
        <w:rPr>
          <w:rFonts w:ascii="Times New Roman" w:eastAsia="Times New Roman" w:hAnsi="Times New Roman" w:cs="Times New Roman"/>
          <w:b/>
          <w:bCs/>
          <w:sz w:val="24"/>
          <w:szCs w:val="24"/>
          <w:lang w:eastAsia="x-none"/>
        </w:rPr>
        <w:t>4</w:t>
      </w:r>
      <w:r w:rsidRPr="007F400A">
        <w:rPr>
          <w:rFonts w:ascii="Times New Roman" w:eastAsia="Times New Roman" w:hAnsi="Times New Roman" w:cs="Times New Roman"/>
          <w:b/>
          <w:bCs/>
          <w:sz w:val="24"/>
          <w:szCs w:val="24"/>
          <w:lang w:val="x-none" w:eastAsia="x-none"/>
        </w:rPr>
        <w:t xml:space="preserve"> Monitoring lasów</w:t>
      </w:r>
      <w:bookmarkEnd w:id="419"/>
    </w:p>
    <w:p w14:paraId="383D2693" w14:textId="77777777" w:rsidR="002A6E98" w:rsidRPr="005E2831" w:rsidRDefault="002A6E98" w:rsidP="002A6E98">
      <w:pPr>
        <w:spacing w:after="60" w:line="300" w:lineRule="atLeast"/>
        <w:ind w:firstLine="567"/>
        <w:jc w:val="both"/>
        <w:rPr>
          <w:rFonts w:ascii="Times New Roman" w:eastAsia="Times New Roman" w:hAnsi="Times New Roman" w:cs="Times New Roman"/>
          <w:sz w:val="24"/>
          <w:szCs w:val="24"/>
          <w:lang w:eastAsia="pl-PL"/>
        </w:rPr>
      </w:pPr>
      <w:r w:rsidRPr="005E2831">
        <w:rPr>
          <w:rFonts w:ascii="Times New Roman" w:eastAsia="Times New Roman" w:hAnsi="Times New Roman" w:cs="Times New Roman"/>
          <w:sz w:val="24"/>
          <w:szCs w:val="24"/>
          <w:lang w:eastAsia="pl-PL"/>
        </w:rPr>
        <w:t>Główny Inspektor realizował program monitoringu lasów zgodnie z zasadami określonymi w Międzynarodowym Programie Koordynującym ICP-</w:t>
      </w:r>
      <w:proofErr w:type="spellStart"/>
      <w:r w:rsidRPr="005E2831">
        <w:rPr>
          <w:rFonts w:ascii="Times New Roman" w:eastAsia="Times New Roman" w:hAnsi="Times New Roman" w:cs="Times New Roman"/>
          <w:sz w:val="24"/>
          <w:szCs w:val="24"/>
          <w:lang w:eastAsia="pl-PL"/>
        </w:rPr>
        <w:t>Forests</w:t>
      </w:r>
      <w:proofErr w:type="spellEnd"/>
      <w:r w:rsidRPr="005E2831">
        <w:rPr>
          <w:rFonts w:ascii="Times New Roman" w:eastAsia="Times New Roman" w:hAnsi="Times New Roman" w:cs="Times New Roman"/>
          <w:sz w:val="24"/>
          <w:szCs w:val="24"/>
          <w:lang w:eastAsia="pl-PL"/>
        </w:rPr>
        <w:t xml:space="preserve"> funkcjonującym w ramach Konwencji w sprawie transgranicznego przemieszczania się zanieczyszczeń powietrza na dalekie odległości</w:t>
      </w:r>
      <w:r w:rsidRPr="005E2831">
        <w:rPr>
          <w:rFonts w:ascii="Times New Roman" w:eastAsia="Times New Roman" w:hAnsi="Times New Roman" w:cs="Times New Roman"/>
          <w:sz w:val="24"/>
          <w:szCs w:val="24"/>
          <w:vertAlign w:val="superscript"/>
          <w:lang w:eastAsia="pl-PL"/>
        </w:rPr>
        <w:footnoteReference w:id="108"/>
      </w:r>
      <w:r w:rsidRPr="005E2831">
        <w:rPr>
          <w:rFonts w:ascii="Times New Roman" w:eastAsia="Times New Roman" w:hAnsi="Times New Roman" w:cs="Times New Roman"/>
          <w:sz w:val="24"/>
          <w:szCs w:val="24"/>
          <w:lang w:eastAsia="pl-PL"/>
        </w:rPr>
        <w:t>, wypełniając jednocześnie postanowienia Konwencji o różnorodności biologicznej</w:t>
      </w:r>
      <w:r w:rsidRPr="005E2831">
        <w:rPr>
          <w:rFonts w:ascii="Times New Roman" w:eastAsia="Times New Roman" w:hAnsi="Times New Roman" w:cs="Times New Roman"/>
          <w:sz w:val="24"/>
          <w:szCs w:val="24"/>
          <w:vertAlign w:val="superscript"/>
          <w:lang w:eastAsia="pl-PL"/>
        </w:rPr>
        <w:footnoteReference w:id="109"/>
      </w:r>
      <w:r w:rsidRPr="005E2831">
        <w:rPr>
          <w:rFonts w:ascii="Times New Roman" w:eastAsia="Times New Roman" w:hAnsi="Times New Roman" w:cs="Times New Roman"/>
          <w:sz w:val="24"/>
          <w:szCs w:val="24"/>
          <w:lang w:eastAsia="pl-PL"/>
        </w:rPr>
        <w:t>.</w:t>
      </w:r>
    </w:p>
    <w:p w14:paraId="1CFDB3E4" w14:textId="77777777" w:rsidR="002A6E98" w:rsidRPr="005E2831" w:rsidRDefault="002A6E98" w:rsidP="002A6E98">
      <w:pPr>
        <w:spacing w:after="60" w:line="300" w:lineRule="atLeast"/>
        <w:ind w:firstLine="567"/>
        <w:jc w:val="both"/>
        <w:rPr>
          <w:rFonts w:ascii="Times New Roman" w:eastAsia="Times New Roman" w:hAnsi="Times New Roman" w:cs="Times New Roman"/>
          <w:sz w:val="24"/>
          <w:szCs w:val="24"/>
          <w:lang w:eastAsia="pl-PL"/>
        </w:rPr>
      </w:pPr>
      <w:r w:rsidRPr="005E2831">
        <w:rPr>
          <w:rFonts w:ascii="Times New Roman" w:eastAsia="Times New Roman" w:hAnsi="Times New Roman" w:cs="Times New Roman"/>
          <w:sz w:val="24"/>
          <w:szCs w:val="24"/>
          <w:lang w:eastAsia="pl-PL"/>
        </w:rPr>
        <w:t>Monitoring lasów prowadzony był w oparciu o sieć stałych powierzchni obserwacyjnych (SPO) założonych w drzewostanach w wieku powyżej 20 lat w lasach wszystkich kategorii własności. W 2022 r. łączna liczba SPO I rzędu wynosiła 2 379 (w tym: 2 071 to powierzchnie czynne z obserwacjami, 308 – powierzchnie oczekujące), a SPO II rzędu – 148 (w tym: 133 to powierzchnie czynne z obserwacjami, 15 – powierzchnie oczekujące). 12 spośród SPO II były powierzchniami monitoringu intensywnego.</w:t>
      </w:r>
    </w:p>
    <w:p w14:paraId="4BEAE72D" w14:textId="77777777" w:rsidR="002A6E98" w:rsidRPr="005E2831" w:rsidRDefault="002A6E98" w:rsidP="002A6E98">
      <w:pPr>
        <w:spacing w:after="60" w:line="300" w:lineRule="atLeast"/>
        <w:ind w:firstLine="567"/>
        <w:jc w:val="both"/>
        <w:rPr>
          <w:rFonts w:ascii="Times New Roman" w:eastAsia="Times New Roman" w:hAnsi="Times New Roman" w:cs="Times New Roman"/>
          <w:sz w:val="24"/>
          <w:szCs w:val="24"/>
          <w:lang w:eastAsia="pl-PL"/>
        </w:rPr>
      </w:pPr>
      <w:r w:rsidRPr="005E2831">
        <w:rPr>
          <w:rFonts w:ascii="Times New Roman" w:eastAsia="Times New Roman" w:hAnsi="Times New Roman" w:cs="Times New Roman"/>
          <w:sz w:val="24"/>
          <w:szCs w:val="24"/>
          <w:lang w:eastAsia="pl-PL"/>
        </w:rPr>
        <w:t xml:space="preserve">Główny Inspektorat w 2022 r. odpowiadał za realizację badań stanu zdrowotnego lasów na 1 222 stałych powierzchniach obserwacyjnych I rzędu, wszystkich stałych powierzchniach </w:t>
      </w:r>
      <w:r w:rsidRPr="005E2831">
        <w:rPr>
          <w:rFonts w:ascii="Times New Roman" w:eastAsia="Times New Roman" w:hAnsi="Times New Roman" w:cs="Times New Roman"/>
          <w:sz w:val="24"/>
          <w:szCs w:val="24"/>
          <w:lang w:eastAsia="pl-PL"/>
        </w:rPr>
        <w:lastRenderedPageBreak/>
        <w:t xml:space="preserve">obserwacyjnych II rzędu i powierzchniach monitoringu intensywnego. W gestii Dyrekcji Generalnej Lasów Państwowych pozostawały badania na pozostałych 849 SPO I. </w:t>
      </w:r>
    </w:p>
    <w:p w14:paraId="0DB38FC7" w14:textId="77777777" w:rsidR="002A6E98" w:rsidRPr="005E2831" w:rsidRDefault="002A6E98" w:rsidP="002A6E98">
      <w:pPr>
        <w:spacing w:after="60" w:line="300" w:lineRule="atLeast"/>
        <w:ind w:firstLine="567"/>
        <w:jc w:val="both"/>
        <w:rPr>
          <w:rFonts w:ascii="Times New Roman" w:hAnsi="Times New Roman" w:cs="Times New Roman"/>
          <w:sz w:val="24"/>
          <w:szCs w:val="24"/>
        </w:rPr>
      </w:pPr>
      <w:r w:rsidRPr="005E2831">
        <w:rPr>
          <w:rFonts w:ascii="Times New Roman" w:eastAsia="Times New Roman" w:hAnsi="Times New Roman" w:cs="Times New Roman"/>
          <w:sz w:val="24"/>
          <w:szCs w:val="24"/>
          <w:lang w:eastAsia="pl-PL"/>
        </w:rPr>
        <w:t>W ramach badań wykonanych w 2022 r. na SPO I rzędu zostały przeprowadzone obserwacje cech morfologicznych koron drzew (przede wszystkim defoliacja i odbarwienie aparatu asymilacyjnego drzew), obserwacje symptomów uszkodzeń drzew oraz pomiary pierśnic drzew. Podobny zakres badań, według metodyki stosowanej na SPO I, wykonano na SPO II, utworzonych w drzewostanach sosnowych i świerkowych w wieku 50-60 lat oraz dębowych i brzozowych w wieku 70-90 lat</w:t>
      </w:r>
      <w:r w:rsidRPr="005E2831">
        <w:rPr>
          <w:rFonts w:ascii="Times New Roman" w:hAnsi="Times New Roman" w:cs="Times New Roman"/>
          <w:sz w:val="24"/>
          <w:szCs w:val="24"/>
        </w:rPr>
        <w:t>. Na powierzchniach obserwacyjnych monitoringu intensywnego</w:t>
      </w:r>
      <w:r w:rsidRPr="005E2831">
        <w:rPr>
          <w:rFonts w:ascii="Times New Roman" w:hAnsi="Times New Roman" w:cs="Times New Roman"/>
          <w:sz w:val="24"/>
          <w:szCs w:val="24"/>
          <w:vertAlign w:val="superscript"/>
        </w:rPr>
        <w:footnoteReference w:id="110"/>
      </w:r>
      <w:r w:rsidRPr="005E2831">
        <w:rPr>
          <w:rFonts w:ascii="Times New Roman" w:hAnsi="Times New Roman" w:cs="Times New Roman"/>
          <w:sz w:val="24"/>
          <w:szCs w:val="24"/>
        </w:rPr>
        <w:t xml:space="preserve"> prowadzono ciągłe pomiary parametrów meteorologicznych, wykonano pomiary koncentracji SO</w:t>
      </w:r>
      <w:r w:rsidRPr="005E2831">
        <w:rPr>
          <w:rFonts w:ascii="Times New Roman" w:hAnsi="Times New Roman" w:cs="Times New Roman"/>
          <w:sz w:val="24"/>
          <w:szCs w:val="24"/>
          <w:vertAlign w:val="subscript"/>
        </w:rPr>
        <w:t>2</w:t>
      </w:r>
      <w:r w:rsidRPr="005E2831">
        <w:rPr>
          <w:rFonts w:ascii="Times New Roman" w:hAnsi="Times New Roman" w:cs="Times New Roman"/>
          <w:sz w:val="24"/>
          <w:szCs w:val="24"/>
        </w:rPr>
        <w:t xml:space="preserve"> i NO</w:t>
      </w:r>
      <w:r w:rsidRPr="005E2831">
        <w:rPr>
          <w:rFonts w:ascii="Times New Roman" w:hAnsi="Times New Roman" w:cs="Times New Roman"/>
          <w:sz w:val="24"/>
          <w:szCs w:val="24"/>
          <w:vertAlign w:val="subscript"/>
        </w:rPr>
        <w:t>2</w:t>
      </w:r>
      <w:r w:rsidRPr="005E2831">
        <w:rPr>
          <w:rFonts w:ascii="Times New Roman" w:hAnsi="Times New Roman" w:cs="Times New Roman"/>
          <w:sz w:val="24"/>
          <w:szCs w:val="24"/>
        </w:rPr>
        <w:t xml:space="preserve"> w powietrzu metodą pasywną. Ponadto, wykonano pomiary chemizmu wód opadowych na otwartej przestrzeni, wód opadowych pod okapem drzewostanów oraz roztworów glebowych. W próbkach wodnych wykonano oznaczenia metali: Ca, Mg, K, Na, Al, Fe, Mn; jonów: NO</w:t>
      </w:r>
      <w:r w:rsidRPr="005E2831">
        <w:rPr>
          <w:rFonts w:ascii="Times New Roman" w:hAnsi="Times New Roman" w:cs="Times New Roman"/>
          <w:sz w:val="24"/>
          <w:szCs w:val="24"/>
          <w:vertAlign w:val="superscript"/>
        </w:rPr>
        <w:t>3-</w:t>
      </w:r>
      <w:r w:rsidRPr="005E2831">
        <w:rPr>
          <w:rFonts w:ascii="Times New Roman" w:hAnsi="Times New Roman" w:cs="Times New Roman"/>
          <w:sz w:val="24"/>
          <w:szCs w:val="24"/>
        </w:rPr>
        <w:t>, SO</w:t>
      </w:r>
      <w:r w:rsidRPr="005E2831">
        <w:rPr>
          <w:rFonts w:ascii="Times New Roman" w:hAnsi="Times New Roman" w:cs="Times New Roman"/>
          <w:sz w:val="24"/>
          <w:szCs w:val="24"/>
          <w:vertAlign w:val="subscript"/>
        </w:rPr>
        <w:t>4</w:t>
      </w:r>
      <w:r w:rsidRPr="005E2831">
        <w:rPr>
          <w:rFonts w:ascii="Times New Roman" w:hAnsi="Times New Roman" w:cs="Times New Roman"/>
          <w:sz w:val="24"/>
          <w:szCs w:val="24"/>
          <w:vertAlign w:val="superscript"/>
        </w:rPr>
        <w:t>2-</w:t>
      </w:r>
      <w:r w:rsidRPr="005E2831">
        <w:rPr>
          <w:rFonts w:ascii="Times New Roman" w:hAnsi="Times New Roman" w:cs="Times New Roman"/>
          <w:sz w:val="24"/>
          <w:szCs w:val="24"/>
        </w:rPr>
        <w:t>, Cl</w:t>
      </w:r>
      <w:r w:rsidRPr="005E2831">
        <w:rPr>
          <w:rFonts w:ascii="Times New Roman" w:hAnsi="Times New Roman" w:cs="Times New Roman"/>
          <w:sz w:val="24"/>
          <w:szCs w:val="24"/>
          <w:vertAlign w:val="superscript"/>
        </w:rPr>
        <w:t>-</w:t>
      </w:r>
      <w:r w:rsidRPr="005E2831">
        <w:rPr>
          <w:rFonts w:ascii="Times New Roman" w:hAnsi="Times New Roman" w:cs="Times New Roman"/>
          <w:sz w:val="24"/>
          <w:szCs w:val="24"/>
        </w:rPr>
        <w:t>, NH</w:t>
      </w:r>
      <w:r w:rsidRPr="005E2831">
        <w:rPr>
          <w:rFonts w:ascii="Times New Roman" w:hAnsi="Times New Roman" w:cs="Times New Roman"/>
          <w:sz w:val="24"/>
          <w:szCs w:val="24"/>
          <w:vertAlign w:val="subscript"/>
        </w:rPr>
        <w:t>4</w:t>
      </w:r>
      <w:r w:rsidRPr="005E2831">
        <w:rPr>
          <w:rFonts w:ascii="Times New Roman" w:hAnsi="Times New Roman" w:cs="Times New Roman"/>
          <w:sz w:val="24"/>
          <w:szCs w:val="24"/>
          <w:vertAlign w:val="superscript"/>
        </w:rPr>
        <w:t>+</w:t>
      </w:r>
      <w:r w:rsidRPr="005E2831">
        <w:rPr>
          <w:rFonts w:ascii="Times New Roman" w:hAnsi="Times New Roman" w:cs="Times New Roman"/>
          <w:sz w:val="24"/>
          <w:szCs w:val="24"/>
        </w:rPr>
        <w:t>, PO</w:t>
      </w:r>
      <w:r w:rsidRPr="005E2831">
        <w:rPr>
          <w:rFonts w:ascii="Times New Roman" w:hAnsi="Times New Roman" w:cs="Times New Roman"/>
          <w:sz w:val="24"/>
          <w:szCs w:val="24"/>
          <w:vertAlign w:val="subscript"/>
        </w:rPr>
        <w:t>4</w:t>
      </w:r>
      <w:r w:rsidRPr="005E2831">
        <w:rPr>
          <w:rFonts w:ascii="Times New Roman" w:hAnsi="Times New Roman" w:cs="Times New Roman"/>
          <w:sz w:val="24"/>
          <w:szCs w:val="24"/>
          <w:vertAlign w:val="superscript"/>
        </w:rPr>
        <w:t>3-</w:t>
      </w:r>
      <w:r w:rsidRPr="005E2831">
        <w:rPr>
          <w:rFonts w:ascii="Times New Roman" w:hAnsi="Times New Roman" w:cs="Times New Roman"/>
          <w:sz w:val="24"/>
          <w:szCs w:val="24"/>
        </w:rPr>
        <w:t xml:space="preserve">, </w:t>
      </w:r>
      <w:proofErr w:type="spellStart"/>
      <w:r w:rsidRPr="005E2831">
        <w:rPr>
          <w:rFonts w:ascii="Times New Roman" w:hAnsi="Times New Roman" w:cs="Times New Roman"/>
          <w:sz w:val="24"/>
          <w:szCs w:val="24"/>
        </w:rPr>
        <w:t>pH</w:t>
      </w:r>
      <w:proofErr w:type="spellEnd"/>
      <w:r w:rsidRPr="005E2831">
        <w:rPr>
          <w:rFonts w:ascii="Times New Roman" w:hAnsi="Times New Roman" w:cs="Times New Roman"/>
          <w:sz w:val="24"/>
          <w:szCs w:val="24"/>
        </w:rPr>
        <w:t xml:space="preserve">, zasadowości w  próbkach o </w:t>
      </w:r>
      <w:proofErr w:type="spellStart"/>
      <w:r w:rsidRPr="005E2831">
        <w:rPr>
          <w:rFonts w:ascii="Times New Roman" w:hAnsi="Times New Roman" w:cs="Times New Roman"/>
          <w:sz w:val="24"/>
          <w:szCs w:val="24"/>
        </w:rPr>
        <w:t>pH</w:t>
      </w:r>
      <w:proofErr w:type="spellEnd"/>
      <w:r w:rsidRPr="005E2831">
        <w:rPr>
          <w:rFonts w:ascii="Times New Roman" w:hAnsi="Times New Roman" w:cs="Times New Roman"/>
          <w:sz w:val="24"/>
          <w:szCs w:val="24"/>
        </w:rPr>
        <w:t xml:space="preserve"> ≥ 5, przewodności elektrolitycznej właściwej, koncentracji metali ciężkich: Pb, Cu, Zn, Cd – ICP oraz stężenia rozpuszczonego węgla organicznego i stężenie azotu związanego. Ponadto wykonano analizy składu chemicznego aparatu asymilacyjnego z prób igliwia sosny i świerka oraz liści dębu i buka pobranych w 2021 r. z drzew próbnych na</w:t>
      </w:r>
      <w:r>
        <w:rPr>
          <w:rFonts w:ascii="Times New Roman" w:hAnsi="Times New Roman" w:cs="Times New Roman"/>
          <w:sz w:val="24"/>
          <w:szCs w:val="24"/>
        </w:rPr>
        <w:t> </w:t>
      </w:r>
      <w:r w:rsidRPr="005E2831">
        <w:rPr>
          <w:rFonts w:ascii="Times New Roman" w:hAnsi="Times New Roman" w:cs="Times New Roman"/>
          <w:sz w:val="24"/>
          <w:szCs w:val="24"/>
        </w:rPr>
        <w:t>133</w:t>
      </w:r>
      <w:r>
        <w:rPr>
          <w:rFonts w:ascii="Times New Roman" w:hAnsi="Times New Roman" w:cs="Times New Roman"/>
          <w:sz w:val="24"/>
          <w:szCs w:val="24"/>
        </w:rPr>
        <w:t> </w:t>
      </w:r>
      <w:r w:rsidRPr="005E2831">
        <w:rPr>
          <w:rFonts w:ascii="Times New Roman" w:hAnsi="Times New Roman" w:cs="Times New Roman"/>
          <w:sz w:val="24"/>
          <w:szCs w:val="24"/>
        </w:rPr>
        <w:t>SPO II rzędu.</w:t>
      </w:r>
    </w:p>
    <w:p w14:paraId="06BD3B0B" w14:textId="4F59947D" w:rsidR="00B21CB1" w:rsidRDefault="002A6E98" w:rsidP="00B21CB1">
      <w:pPr>
        <w:spacing w:after="60" w:line="300" w:lineRule="atLeast"/>
        <w:ind w:firstLine="567"/>
        <w:jc w:val="both"/>
        <w:rPr>
          <w:rFonts w:ascii="Times New Roman" w:eastAsia="Times New Roman" w:hAnsi="Times New Roman" w:cs="Times New Roman"/>
          <w:sz w:val="24"/>
          <w:szCs w:val="24"/>
          <w:lang w:eastAsia="pl-PL"/>
        </w:rPr>
      </w:pPr>
      <w:r w:rsidRPr="005E2831">
        <w:rPr>
          <w:rFonts w:ascii="Times New Roman" w:eastAsia="Times New Roman" w:hAnsi="Times New Roman" w:cs="Times New Roman"/>
          <w:sz w:val="24"/>
          <w:szCs w:val="24"/>
          <w:lang w:eastAsia="pl-PL"/>
        </w:rPr>
        <w:t>W 2022 r. wykonana została ocena stanu zdrowotnego lasów za rok 2021. Podstawę do</w:t>
      </w:r>
      <w:r>
        <w:rPr>
          <w:rFonts w:ascii="Times New Roman" w:eastAsia="Times New Roman" w:hAnsi="Times New Roman" w:cs="Times New Roman"/>
          <w:sz w:val="24"/>
          <w:szCs w:val="24"/>
          <w:lang w:eastAsia="pl-PL"/>
        </w:rPr>
        <w:t> </w:t>
      </w:r>
      <w:r w:rsidRPr="005E2831">
        <w:rPr>
          <w:rFonts w:ascii="Times New Roman" w:eastAsia="Times New Roman" w:hAnsi="Times New Roman" w:cs="Times New Roman"/>
          <w:sz w:val="24"/>
          <w:szCs w:val="24"/>
          <w:lang w:eastAsia="pl-PL"/>
        </w:rPr>
        <w:t>jej</w:t>
      </w:r>
      <w:r>
        <w:rPr>
          <w:rFonts w:ascii="Times New Roman" w:eastAsia="Times New Roman" w:hAnsi="Times New Roman" w:cs="Times New Roman"/>
          <w:sz w:val="24"/>
          <w:szCs w:val="24"/>
          <w:lang w:eastAsia="pl-PL"/>
        </w:rPr>
        <w:t> </w:t>
      </w:r>
      <w:r w:rsidRPr="005E2831">
        <w:rPr>
          <w:rFonts w:ascii="Times New Roman" w:eastAsia="Times New Roman" w:hAnsi="Times New Roman" w:cs="Times New Roman"/>
          <w:sz w:val="24"/>
          <w:szCs w:val="24"/>
          <w:lang w:eastAsia="pl-PL"/>
        </w:rPr>
        <w:t>wykonania stanowiły wyniki badań monitoringowych będących w gestii zarówno GIOŚ, jak i Generalnej Dyrekcji Lasów Państwowych. W rezultacie powstało opracowanie pt. „Stan zdrowotny lasów w Polsce w 2021 roku na podstawie badań monitoringowych”. Z uwagi na</w:t>
      </w:r>
      <w:r>
        <w:rPr>
          <w:rFonts w:ascii="Times New Roman" w:eastAsia="Times New Roman" w:hAnsi="Times New Roman" w:cs="Times New Roman"/>
          <w:sz w:val="24"/>
          <w:szCs w:val="24"/>
          <w:lang w:eastAsia="pl-PL"/>
        </w:rPr>
        <w:t> </w:t>
      </w:r>
      <w:r w:rsidRPr="005E2831">
        <w:rPr>
          <w:rFonts w:ascii="Times New Roman" w:eastAsia="Times New Roman" w:hAnsi="Times New Roman" w:cs="Times New Roman"/>
          <w:sz w:val="24"/>
          <w:szCs w:val="24"/>
          <w:lang w:eastAsia="pl-PL"/>
        </w:rPr>
        <w:t>związaną z poszukiwaniem oszczędności w budżecie GIOŚ redukcję środków na realizację monitoringu lasów w 2022 r. nie opracowano syntetycznej wersji ww. raportu oraz</w:t>
      </w:r>
      <w:r>
        <w:rPr>
          <w:rFonts w:ascii="Times New Roman" w:eastAsia="Times New Roman" w:hAnsi="Times New Roman" w:cs="Times New Roman"/>
          <w:sz w:val="24"/>
          <w:szCs w:val="24"/>
          <w:lang w:eastAsia="pl-PL"/>
        </w:rPr>
        <w:t> </w:t>
      </w:r>
      <w:r w:rsidRPr="005E2831">
        <w:rPr>
          <w:rFonts w:ascii="Times New Roman" w:eastAsia="Times New Roman" w:hAnsi="Times New Roman" w:cs="Times New Roman"/>
          <w:sz w:val="24"/>
          <w:szCs w:val="24"/>
          <w:lang w:eastAsia="pl-PL"/>
        </w:rPr>
        <w:t>zaktualizowanej strony internetowej poświęconej monitoringowi lasów.</w:t>
      </w:r>
      <w:r w:rsidR="00B21CB1">
        <w:rPr>
          <w:rFonts w:ascii="Times New Roman" w:eastAsia="Times New Roman" w:hAnsi="Times New Roman" w:cs="Times New Roman"/>
          <w:sz w:val="24"/>
          <w:szCs w:val="24"/>
          <w:lang w:eastAsia="pl-PL"/>
        </w:rPr>
        <w:t xml:space="preserve"> Realizacja tych zadań została przesunięta na kolejne lata, co </w:t>
      </w:r>
      <w:r w:rsidR="00B21CB1">
        <w:rPr>
          <w:rFonts w:ascii="Times New Roman" w:hAnsi="Times New Roman" w:cs="Times New Roman"/>
          <w:sz w:val="24"/>
          <w:szCs w:val="24"/>
        </w:rPr>
        <w:t>nie wpłynie na wykonanie obowiązków ustawowych Głównego Inspektora Ochrony Środowiska</w:t>
      </w:r>
      <w:r w:rsidR="00B21CB1">
        <w:rPr>
          <w:rFonts w:ascii="Times New Roman" w:hAnsi="Times New Roman"/>
          <w:color w:val="000000"/>
          <w:sz w:val="24"/>
          <w:szCs w:val="24"/>
        </w:rPr>
        <w:t>.</w:t>
      </w:r>
    </w:p>
    <w:p w14:paraId="4EA67B31" w14:textId="13F5C5A7" w:rsidR="002A6E98" w:rsidRPr="005E2831" w:rsidRDefault="002A6E98" w:rsidP="002A6E98">
      <w:pPr>
        <w:suppressAutoHyphens/>
        <w:spacing w:after="60" w:line="300" w:lineRule="atLeast"/>
        <w:ind w:firstLine="567"/>
        <w:jc w:val="both"/>
        <w:rPr>
          <w:rFonts w:ascii="Times New Roman" w:eastAsia="Times New Roman" w:hAnsi="Times New Roman" w:cs="Times New Roman"/>
          <w:kern w:val="1"/>
          <w:sz w:val="24"/>
          <w:szCs w:val="24"/>
          <w:lang w:eastAsia="pl-PL"/>
        </w:rPr>
      </w:pPr>
      <w:r w:rsidRPr="005E2831">
        <w:rPr>
          <w:rFonts w:ascii="Times New Roman" w:eastAsia="Times New Roman" w:hAnsi="Times New Roman" w:cs="Times New Roman"/>
          <w:sz w:val="24"/>
          <w:szCs w:val="24"/>
          <w:lang w:eastAsia="pl-PL"/>
        </w:rPr>
        <w:t>Kondycja zdrowotna drzew oceniana jest na podstawie: procentowego udziału drzew zdrowych (klasa 0, defoliacja 0-10%), procentowego udziału drzew uszkodzonych (klasy 2 do</w:t>
      </w:r>
      <w:r>
        <w:rPr>
          <w:rFonts w:ascii="Times New Roman" w:eastAsia="Times New Roman" w:hAnsi="Times New Roman" w:cs="Times New Roman"/>
          <w:sz w:val="24"/>
          <w:szCs w:val="24"/>
          <w:lang w:eastAsia="pl-PL"/>
        </w:rPr>
        <w:t> </w:t>
      </w:r>
      <w:r w:rsidRPr="005E2831">
        <w:rPr>
          <w:rFonts w:ascii="Times New Roman" w:eastAsia="Times New Roman" w:hAnsi="Times New Roman" w:cs="Times New Roman"/>
          <w:sz w:val="24"/>
          <w:szCs w:val="24"/>
          <w:lang w:eastAsia="pl-PL"/>
        </w:rPr>
        <w:t>4, defoliacja &gt;25% i drzewa martwe) oraz średniej defoliacji. Zgodnie z wykonaną w  2022  r. oceną przedstawioną we wspomnianym wyżej opracowaniu w 2021 r. średnia defoliacja wszystkich gatunków razem wynosiła 22,4% (Wykres </w:t>
      </w:r>
      <w:r w:rsidR="009321CA">
        <w:rPr>
          <w:rFonts w:ascii="Times New Roman" w:eastAsia="Times New Roman" w:hAnsi="Times New Roman" w:cs="Times New Roman"/>
          <w:sz w:val="24"/>
          <w:szCs w:val="24"/>
          <w:lang w:eastAsia="pl-PL"/>
        </w:rPr>
        <w:t>32</w:t>
      </w:r>
      <w:r w:rsidRPr="005E2831">
        <w:rPr>
          <w:rFonts w:ascii="Times New Roman" w:eastAsia="Times New Roman" w:hAnsi="Times New Roman" w:cs="Times New Roman"/>
          <w:sz w:val="24"/>
          <w:szCs w:val="24"/>
          <w:lang w:eastAsia="pl-PL"/>
        </w:rPr>
        <w:t xml:space="preserve">), drzew iglastych – 22,6%, a drzew liściastych 21,9%. </w:t>
      </w:r>
      <w:r w:rsidRPr="005E2831">
        <w:rPr>
          <w:rFonts w:ascii="Times New Roman" w:eastAsia="Times New Roman" w:hAnsi="Times New Roman" w:cs="Times New Roman"/>
          <w:kern w:val="1"/>
          <w:sz w:val="24"/>
          <w:szCs w:val="24"/>
          <w:lang w:eastAsia="pl-PL"/>
        </w:rPr>
        <w:t xml:space="preserve">Gatunki liściaste charakteryzowały się wyższym udziałem drzew zdrowych (14,3%) oraz wyższym udziałem drzew uszkodzonych (17,9%) niż gatunki iglaste (odpowiednio: 6,8% i 16,6%). Wyniki monitoringu lasów wskazują, że w 2021 r. defoliacja była niższa, niż w roku 2019 i 2020, co jest w prawdopodobnie wynikiem poprawy dostępności wody dla drzewostanów. </w:t>
      </w:r>
      <w:r w:rsidRPr="005E2831">
        <w:rPr>
          <w:rFonts w:ascii="Times New Roman" w:hAnsi="Times New Roman" w:cs="Times New Roman"/>
          <w:sz w:val="24"/>
          <w:szCs w:val="24"/>
        </w:rPr>
        <w:t>Zarówno 2021 r., jak i w ostatnim dziesięcioleciu wśród monitorowanych gatunków najzdrowszy okazał się buk, natomiast najbardziej uszkodzony był dąb.</w:t>
      </w:r>
    </w:p>
    <w:p w14:paraId="63D0ED9A" w14:textId="77777777" w:rsidR="002A6E98" w:rsidRPr="005E2831" w:rsidRDefault="002A6E98" w:rsidP="002A6E98">
      <w:pPr>
        <w:suppressAutoHyphens/>
        <w:spacing w:after="60"/>
        <w:jc w:val="both"/>
        <w:rPr>
          <w:rFonts w:ascii="Times New Roman" w:eastAsia="Times New Roman" w:hAnsi="Times New Roman" w:cs="Times New Roman"/>
          <w:kern w:val="1"/>
          <w:sz w:val="24"/>
          <w:szCs w:val="24"/>
          <w:lang w:eastAsia="pl-PL"/>
        </w:rPr>
      </w:pPr>
    </w:p>
    <w:p w14:paraId="61380EE0" w14:textId="77777777" w:rsidR="002A6E98" w:rsidRPr="005E2831" w:rsidRDefault="002A6E98" w:rsidP="00A4010D">
      <w:pPr>
        <w:spacing w:after="60" w:line="276" w:lineRule="auto"/>
        <w:jc w:val="center"/>
        <w:rPr>
          <w:rFonts w:ascii="Times New Roman" w:hAnsi="Times New Roman" w:cs="Times New Roman"/>
          <w:sz w:val="24"/>
          <w:szCs w:val="24"/>
        </w:rPr>
      </w:pPr>
      <w:r w:rsidRPr="005E2831">
        <w:rPr>
          <w:rFonts w:ascii="Times New Roman" w:hAnsi="Times New Roman" w:cs="Times New Roman"/>
          <w:noProof/>
          <w:lang w:eastAsia="pl-PL"/>
        </w:rPr>
        <w:lastRenderedPageBreak/>
        <w:drawing>
          <wp:inline distT="0" distB="0" distL="0" distR="0" wp14:anchorId="6B4793A5" wp14:editId="53D69747">
            <wp:extent cx="5181600" cy="2771775"/>
            <wp:effectExtent l="0" t="0" r="0" b="0"/>
            <wp:docPr id="64" name="Wykres 64" descr="Wykres 32. Udział procentowy drzew monitorowanych gatunków w klasach defoliacji oraz średnia defoliacja [%] w roku 2021. Wiek drzew powyżej 20 lat, wszystkie formy własności">
              <a:extLst xmlns:a="http://schemas.openxmlformats.org/drawingml/2006/main">
                <a:ext uri="{FF2B5EF4-FFF2-40B4-BE49-F238E27FC236}">
                  <a16:creationId xmlns:a16="http://schemas.microsoft.com/office/drawing/2014/main" id="{68839F03-50DE-4FAE-9C66-B43A495F09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3E9F90B9" w14:textId="0BCA9D9E" w:rsidR="002A6E98" w:rsidRDefault="002A6E98" w:rsidP="002A6E98">
      <w:pPr>
        <w:autoSpaceDE w:val="0"/>
        <w:autoSpaceDN w:val="0"/>
        <w:adjustRightInd w:val="0"/>
        <w:spacing w:after="60" w:line="240" w:lineRule="auto"/>
        <w:jc w:val="both"/>
        <w:rPr>
          <w:rFonts w:ascii="Times New Roman" w:hAnsi="Times New Roman" w:cs="Times New Roman"/>
          <w:b/>
          <w:color w:val="000000"/>
        </w:rPr>
      </w:pPr>
      <w:r w:rsidRPr="005E2831">
        <w:rPr>
          <w:rFonts w:ascii="Times New Roman" w:hAnsi="Times New Roman" w:cs="Times New Roman"/>
          <w:b/>
          <w:color w:val="000000"/>
        </w:rPr>
        <w:t>Wyk</w:t>
      </w:r>
      <w:r w:rsidR="00743C80">
        <w:rPr>
          <w:rFonts w:ascii="Times New Roman" w:hAnsi="Times New Roman" w:cs="Times New Roman"/>
          <w:b/>
          <w:color w:val="000000"/>
        </w:rPr>
        <w:t>res</w:t>
      </w:r>
      <w:r w:rsidRPr="005E2831">
        <w:rPr>
          <w:rFonts w:ascii="Times New Roman" w:hAnsi="Times New Roman" w:cs="Times New Roman"/>
          <w:b/>
          <w:color w:val="000000"/>
        </w:rPr>
        <w:t xml:space="preserve"> </w:t>
      </w:r>
      <w:r w:rsidR="00743C80">
        <w:rPr>
          <w:rFonts w:ascii="Times New Roman" w:hAnsi="Times New Roman" w:cs="Times New Roman"/>
          <w:b/>
          <w:color w:val="000000"/>
        </w:rPr>
        <w:t>32</w:t>
      </w:r>
      <w:r w:rsidRPr="005E2831">
        <w:rPr>
          <w:rFonts w:ascii="Times New Roman" w:hAnsi="Times New Roman" w:cs="Times New Roman"/>
          <w:b/>
          <w:color w:val="000000"/>
        </w:rPr>
        <w:t xml:space="preserve">. </w:t>
      </w:r>
      <w:r w:rsidRPr="005E2831">
        <w:rPr>
          <w:rFonts w:ascii="Times New Roman" w:hAnsi="Times New Roman" w:cs="Times New Roman"/>
          <w:b/>
        </w:rPr>
        <w:t>Udział procentowy drzew monitorowanych gatunków w klasach defoliacji oraz średnia defoliacja [%] w roku 2021. Wiek drzew powyżej 20 lat, wszystkie formy własności</w:t>
      </w:r>
    </w:p>
    <w:p w14:paraId="0A7FF1E3" w14:textId="77777777" w:rsidR="002A6E98" w:rsidRPr="005E2831" w:rsidRDefault="002A6E98" w:rsidP="002A6E98">
      <w:pPr>
        <w:autoSpaceDE w:val="0"/>
        <w:autoSpaceDN w:val="0"/>
        <w:adjustRightInd w:val="0"/>
        <w:spacing w:after="60" w:line="240" w:lineRule="auto"/>
        <w:jc w:val="both"/>
        <w:rPr>
          <w:rFonts w:ascii="Times New Roman" w:hAnsi="Times New Roman" w:cs="Times New Roman"/>
          <w:b/>
          <w:color w:val="000000"/>
        </w:rPr>
      </w:pPr>
    </w:p>
    <w:p w14:paraId="2D7ED802" w14:textId="696F3B6C" w:rsidR="00895F16" w:rsidRPr="007F400A" w:rsidRDefault="002A6E98" w:rsidP="002A6E98">
      <w:pPr>
        <w:spacing w:after="0" w:line="300" w:lineRule="atLeast"/>
        <w:ind w:firstLine="567"/>
        <w:jc w:val="both"/>
        <w:rPr>
          <w:rFonts w:ascii="Times New Roman" w:eastAsia="Times New Roman" w:hAnsi="Times New Roman" w:cs="Times New Roman"/>
          <w:sz w:val="24"/>
          <w:szCs w:val="24"/>
        </w:rPr>
      </w:pPr>
      <w:r w:rsidRPr="005E2831">
        <w:rPr>
          <w:rFonts w:ascii="Times New Roman" w:eastAsia="Times New Roman" w:hAnsi="Times New Roman" w:cs="Times New Roman"/>
          <w:sz w:val="24"/>
          <w:szCs w:val="24"/>
          <w:lang w:eastAsia="pl-PL"/>
        </w:rPr>
        <w:tab/>
        <w:t>Podobnie jak w latach poprzednich wyniki badań stanu zdrowotnego lasów z 2021 roku zostały przesłane za pośrednictwem Instytutu Badawczego Leśnictwa do Centrum Koordynacyjnego programu ICP-</w:t>
      </w:r>
      <w:proofErr w:type="spellStart"/>
      <w:r w:rsidRPr="005E2831">
        <w:rPr>
          <w:rFonts w:ascii="Times New Roman" w:eastAsia="Times New Roman" w:hAnsi="Times New Roman" w:cs="Times New Roman"/>
          <w:sz w:val="24"/>
          <w:szCs w:val="24"/>
          <w:lang w:eastAsia="pl-PL"/>
        </w:rPr>
        <w:t>Forests</w:t>
      </w:r>
      <w:proofErr w:type="spellEnd"/>
      <w:r w:rsidRPr="005E2831">
        <w:rPr>
          <w:rFonts w:ascii="Times New Roman" w:eastAsia="Times New Roman" w:hAnsi="Times New Roman" w:cs="Times New Roman"/>
          <w:sz w:val="24"/>
          <w:szCs w:val="24"/>
          <w:lang w:eastAsia="pl-PL"/>
        </w:rPr>
        <w:t xml:space="preserve"> na potrzeby raportu o stanie lasów w Europie pt. „</w:t>
      </w:r>
      <w:proofErr w:type="spellStart"/>
      <w:r w:rsidRPr="005E2831">
        <w:rPr>
          <w:rFonts w:ascii="Times New Roman" w:eastAsia="Times New Roman" w:hAnsi="Times New Roman" w:cs="Times New Roman"/>
          <w:sz w:val="24"/>
          <w:szCs w:val="24"/>
          <w:lang w:eastAsia="pl-PL"/>
        </w:rPr>
        <w:t>Forest</w:t>
      </w:r>
      <w:proofErr w:type="spellEnd"/>
      <w:r w:rsidRPr="005E2831">
        <w:rPr>
          <w:rFonts w:ascii="Times New Roman" w:eastAsia="Times New Roman" w:hAnsi="Times New Roman" w:cs="Times New Roman"/>
          <w:sz w:val="24"/>
          <w:szCs w:val="24"/>
          <w:lang w:eastAsia="pl-PL"/>
        </w:rPr>
        <w:t xml:space="preserve"> </w:t>
      </w:r>
      <w:proofErr w:type="spellStart"/>
      <w:r w:rsidRPr="005E2831">
        <w:rPr>
          <w:rFonts w:ascii="Times New Roman" w:eastAsia="Times New Roman" w:hAnsi="Times New Roman" w:cs="Times New Roman"/>
          <w:sz w:val="24"/>
          <w:szCs w:val="24"/>
          <w:lang w:eastAsia="pl-PL"/>
        </w:rPr>
        <w:t>Condition</w:t>
      </w:r>
      <w:proofErr w:type="spellEnd"/>
      <w:r w:rsidRPr="005E2831">
        <w:rPr>
          <w:rFonts w:ascii="Times New Roman" w:eastAsia="Times New Roman" w:hAnsi="Times New Roman" w:cs="Times New Roman"/>
          <w:sz w:val="24"/>
          <w:szCs w:val="24"/>
          <w:lang w:eastAsia="pl-PL"/>
        </w:rPr>
        <w:t xml:space="preserve"> in Europe. The 2022 </w:t>
      </w:r>
      <w:proofErr w:type="spellStart"/>
      <w:r w:rsidRPr="005E2831">
        <w:rPr>
          <w:rFonts w:ascii="Times New Roman" w:eastAsia="Times New Roman" w:hAnsi="Times New Roman" w:cs="Times New Roman"/>
          <w:sz w:val="24"/>
          <w:szCs w:val="24"/>
          <w:lang w:eastAsia="pl-PL"/>
        </w:rPr>
        <w:t>Assessment</w:t>
      </w:r>
      <w:proofErr w:type="spellEnd"/>
      <w:r w:rsidRPr="005E2831">
        <w:rPr>
          <w:rFonts w:ascii="Times New Roman" w:eastAsia="Times New Roman" w:hAnsi="Times New Roman" w:cs="Times New Roman"/>
          <w:sz w:val="24"/>
          <w:szCs w:val="24"/>
          <w:lang w:eastAsia="pl-PL"/>
        </w:rPr>
        <w:t>”</w:t>
      </w:r>
      <w:r w:rsidR="00895F16" w:rsidRPr="007F400A">
        <w:rPr>
          <w:rFonts w:ascii="Times New Roman" w:eastAsia="Times New Roman" w:hAnsi="Times New Roman"/>
          <w:sz w:val="24"/>
          <w:szCs w:val="24"/>
          <w:lang w:eastAsia="pl-PL"/>
        </w:rPr>
        <w:t>.</w:t>
      </w:r>
    </w:p>
    <w:p w14:paraId="7631A1C9" w14:textId="77777777" w:rsidR="00895F16" w:rsidRPr="007F400A" w:rsidRDefault="00895F16" w:rsidP="00895F16">
      <w:pPr>
        <w:spacing w:after="0" w:line="300" w:lineRule="atLeast"/>
        <w:jc w:val="both"/>
        <w:rPr>
          <w:rFonts w:ascii="Times New Roman" w:hAnsi="Times New Roman" w:cs="Times New Roman"/>
          <w:color w:val="00B0F0"/>
          <w:sz w:val="24"/>
          <w:szCs w:val="24"/>
        </w:rPr>
      </w:pPr>
    </w:p>
    <w:p w14:paraId="69188CC9" w14:textId="77777777" w:rsidR="00895F16" w:rsidRPr="007F400A" w:rsidRDefault="00895F16" w:rsidP="00895F16">
      <w:pPr>
        <w:keepNext/>
        <w:spacing w:after="120" w:line="300" w:lineRule="atLeast"/>
        <w:jc w:val="both"/>
        <w:outlineLvl w:val="0"/>
        <w:rPr>
          <w:rFonts w:ascii="Times New Roman" w:eastAsia="Times New Roman" w:hAnsi="Times New Roman" w:cs="Times New Roman"/>
          <w:bCs/>
          <w:sz w:val="24"/>
          <w:szCs w:val="24"/>
          <w:lang w:eastAsia="x-none"/>
        </w:rPr>
      </w:pPr>
      <w:bookmarkStart w:id="420" w:name="_Toc36732646"/>
      <w:bookmarkStart w:id="421" w:name="_Toc135935717"/>
      <w:r w:rsidRPr="007F400A">
        <w:rPr>
          <w:rFonts w:ascii="Times New Roman" w:eastAsia="Times New Roman" w:hAnsi="Times New Roman" w:cs="Times New Roman"/>
          <w:b/>
          <w:bCs/>
          <w:sz w:val="24"/>
          <w:szCs w:val="24"/>
          <w:lang w:eastAsia="x-none"/>
        </w:rPr>
        <w:t>5.5. Zintegrowany Monitoring Środowiska Przyrodniczego</w:t>
      </w:r>
      <w:bookmarkEnd w:id="420"/>
      <w:bookmarkEnd w:id="421"/>
    </w:p>
    <w:p w14:paraId="08D68718" w14:textId="77777777" w:rsidR="002A6E98" w:rsidRPr="005E2831" w:rsidRDefault="002A6E98" w:rsidP="002A6E98">
      <w:pPr>
        <w:suppressAutoHyphens/>
        <w:spacing w:after="60" w:line="300" w:lineRule="atLeast"/>
        <w:ind w:firstLine="567"/>
        <w:jc w:val="both"/>
        <w:rPr>
          <w:rFonts w:ascii="Times New Roman" w:eastAsia="Lucida Sans Unicode" w:hAnsi="Times New Roman" w:cs="Times New Roman"/>
          <w:kern w:val="1"/>
          <w:sz w:val="24"/>
          <w:szCs w:val="24"/>
          <w:lang w:eastAsia="ar-SA"/>
        </w:rPr>
      </w:pPr>
      <w:r w:rsidRPr="005E2831">
        <w:rPr>
          <w:rFonts w:ascii="Times New Roman" w:eastAsia="Lucida Sans Unicode" w:hAnsi="Times New Roman" w:cs="Times New Roman"/>
          <w:kern w:val="1"/>
          <w:sz w:val="24"/>
          <w:szCs w:val="24"/>
          <w:lang w:eastAsia="ar-SA"/>
        </w:rPr>
        <w:t xml:space="preserve">Program Zintegrowanego Monitoringu Środowiska Przyrodniczego (ZMŚP) był realizowany w 2022 r. na dwunastu stacjach bazowych: Wigry, Puszcza Borecka, Parsęta (dawna nazwa Storkowo), Pojezierze Chełmińskie (d. Koniczynka), Kampinos, Łysogóry </w:t>
      </w:r>
      <w:r w:rsidRPr="005E2831">
        <w:rPr>
          <w:rFonts w:ascii="Times New Roman" w:eastAsia="Lucida Sans Unicode" w:hAnsi="Times New Roman" w:cs="Times New Roman"/>
          <w:kern w:val="1"/>
          <w:sz w:val="24"/>
          <w:szCs w:val="24"/>
          <w:lang w:eastAsia="ar-SA"/>
        </w:rPr>
        <w:br/>
        <w:t>(d. Święty Krzyż), Beskid Niski (d. Szymbark), Wolin, Roztocze, Karkonosze, Poznań-</w:t>
      </w:r>
      <w:proofErr w:type="spellStart"/>
      <w:r w:rsidRPr="005E2831">
        <w:rPr>
          <w:rFonts w:ascii="Times New Roman" w:eastAsia="Lucida Sans Unicode" w:hAnsi="Times New Roman" w:cs="Times New Roman"/>
          <w:kern w:val="1"/>
          <w:sz w:val="24"/>
          <w:szCs w:val="24"/>
          <w:lang w:eastAsia="ar-SA"/>
        </w:rPr>
        <w:t>Morasko</w:t>
      </w:r>
      <w:proofErr w:type="spellEnd"/>
      <w:r w:rsidRPr="005E2831">
        <w:rPr>
          <w:rFonts w:ascii="Times New Roman" w:eastAsia="Lucida Sans Unicode" w:hAnsi="Times New Roman" w:cs="Times New Roman"/>
          <w:kern w:val="1"/>
          <w:sz w:val="24"/>
          <w:szCs w:val="24"/>
          <w:lang w:eastAsia="ar-SA"/>
        </w:rPr>
        <w:t xml:space="preserve"> (d. Różany Strumień) oraz Pogórze Karpackie. Stacja Pogórze Karpackie, położona w Łazach k. Bochni i należąca do Uniwersytetu Jagiellońskiego, po zakończeniu trwającego od 2018 r. okresu przygotowawczego, w 2022 r. realizowała program ZMŚP po raz pierwszy jako uczestnik sieci stacji bazowych ZMŚP. </w:t>
      </w:r>
    </w:p>
    <w:p w14:paraId="290953AD" w14:textId="77777777" w:rsidR="002A6E98" w:rsidRPr="005E2831" w:rsidRDefault="002A6E98" w:rsidP="002A6E98">
      <w:pPr>
        <w:suppressAutoHyphens/>
        <w:spacing w:after="60" w:line="300" w:lineRule="atLeast"/>
        <w:ind w:firstLine="567"/>
        <w:jc w:val="both"/>
        <w:rPr>
          <w:rFonts w:ascii="Times New Roman" w:eastAsia="Lucida Sans Unicode" w:hAnsi="Times New Roman" w:cs="Times New Roman"/>
          <w:kern w:val="1"/>
          <w:sz w:val="24"/>
          <w:szCs w:val="24"/>
          <w:lang w:eastAsia="ar-SA"/>
        </w:rPr>
      </w:pPr>
      <w:r w:rsidRPr="005E2831">
        <w:rPr>
          <w:rFonts w:ascii="Times New Roman" w:eastAsia="Lucida Sans Unicode" w:hAnsi="Times New Roman" w:cs="Times New Roman"/>
          <w:kern w:val="1"/>
          <w:sz w:val="24"/>
          <w:szCs w:val="24"/>
          <w:lang w:eastAsia="ar-SA"/>
        </w:rPr>
        <w:t xml:space="preserve">Przedmiotem badań w ramach ZMŚP były zlewnie rzeczne (względnie jeziorne) obejmujące różne typy </w:t>
      </w:r>
      <w:proofErr w:type="spellStart"/>
      <w:r w:rsidRPr="005E2831">
        <w:rPr>
          <w:rFonts w:ascii="Times New Roman" w:eastAsia="Lucida Sans Unicode" w:hAnsi="Times New Roman" w:cs="Times New Roman"/>
          <w:kern w:val="1"/>
          <w:sz w:val="24"/>
          <w:szCs w:val="24"/>
          <w:lang w:eastAsia="ar-SA"/>
        </w:rPr>
        <w:t>geoekosystemów</w:t>
      </w:r>
      <w:proofErr w:type="spellEnd"/>
      <w:r w:rsidRPr="005E2831">
        <w:rPr>
          <w:rFonts w:ascii="Times New Roman" w:eastAsia="Lucida Sans Unicode" w:hAnsi="Times New Roman" w:cs="Times New Roman"/>
          <w:kern w:val="1"/>
          <w:sz w:val="24"/>
          <w:szCs w:val="24"/>
          <w:lang w:eastAsia="ar-SA"/>
        </w:rPr>
        <w:t xml:space="preserve"> reprezentatywnych dla struktur krajobrazowych Polski. Do zlewni badawczych ZMŚP należą: górna Parsęta (Stacja Bazowa Parsęta), Czarna Hańcza (Stacja Bazowa Wigry), jezioro </w:t>
      </w:r>
      <w:proofErr w:type="spellStart"/>
      <w:r w:rsidRPr="005E2831">
        <w:rPr>
          <w:rFonts w:ascii="Times New Roman" w:eastAsia="Lucida Sans Unicode" w:hAnsi="Times New Roman" w:cs="Times New Roman"/>
          <w:kern w:val="1"/>
          <w:sz w:val="24"/>
          <w:szCs w:val="24"/>
          <w:lang w:eastAsia="ar-SA"/>
        </w:rPr>
        <w:t>Łękuk</w:t>
      </w:r>
      <w:proofErr w:type="spellEnd"/>
      <w:r w:rsidRPr="005E2831">
        <w:rPr>
          <w:rFonts w:ascii="Times New Roman" w:eastAsia="Lucida Sans Unicode" w:hAnsi="Times New Roman" w:cs="Times New Roman"/>
          <w:kern w:val="1"/>
          <w:sz w:val="24"/>
          <w:szCs w:val="24"/>
          <w:lang w:eastAsia="ar-SA"/>
        </w:rPr>
        <w:t xml:space="preserve"> (Stacja Bazowa Puszcza Borecka), Struga Toruńska (Stacja Bazowa Pojezierze Chełmińskie), Kanał </w:t>
      </w:r>
      <w:proofErr w:type="spellStart"/>
      <w:r w:rsidRPr="005E2831">
        <w:rPr>
          <w:rFonts w:ascii="Times New Roman" w:eastAsia="Lucida Sans Unicode" w:hAnsi="Times New Roman" w:cs="Times New Roman"/>
          <w:kern w:val="1"/>
          <w:sz w:val="24"/>
          <w:szCs w:val="24"/>
          <w:lang w:eastAsia="ar-SA"/>
        </w:rPr>
        <w:t>Olszowiecki</w:t>
      </w:r>
      <w:proofErr w:type="spellEnd"/>
      <w:r w:rsidRPr="005E2831">
        <w:rPr>
          <w:rFonts w:ascii="Times New Roman" w:eastAsia="Lucida Sans Unicode" w:hAnsi="Times New Roman" w:cs="Times New Roman"/>
          <w:kern w:val="1"/>
          <w:sz w:val="24"/>
          <w:szCs w:val="24"/>
          <w:lang w:eastAsia="ar-SA"/>
        </w:rPr>
        <w:t xml:space="preserve"> (Stacja Bazowa Kampinos), </w:t>
      </w:r>
      <w:proofErr w:type="spellStart"/>
      <w:r w:rsidRPr="005E2831">
        <w:rPr>
          <w:rFonts w:ascii="Times New Roman" w:eastAsia="Lucida Sans Unicode" w:hAnsi="Times New Roman" w:cs="Times New Roman"/>
          <w:kern w:val="1"/>
          <w:sz w:val="24"/>
          <w:szCs w:val="24"/>
          <w:lang w:eastAsia="ar-SA"/>
        </w:rPr>
        <w:t>Bystrzanka</w:t>
      </w:r>
      <w:proofErr w:type="spellEnd"/>
      <w:r w:rsidRPr="005E2831">
        <w:rPr>
          <w:rFonts w:ascii="Times New Roman" w:eastAsia="Lucida Sans Unicode" w:hAnsi="Times New Roman" w:cs="Times New Roman"/>
          <w:kern w:val="1"/>
          <w:sz w:val="24"/>
          <w:szCs w:val="24"/>
          <w:lang w:eastAsia="ar-SA"/>
        </w:rPr>
        <w:t xml:space="preserve"> (Stacja Bazowa Beskid Niski), Stara Rzeka (Pogórze Karpackie), jezioro Gardno (Stacja Bazowa Wolin), Wieniec (Stacja Bazowa Łysogóry), Świerszcz (Stacja Bazowa Roztocze), Wrzosówka (Stacja Bazowa Karkonosze), Różany Strumień (Stacja Bazowa Poznań-</w:t>
      </w:r>
      <w:proofErr w:type="spellStart"/>
      <w:r w:rsidRPr="005E2831">
        <w:rPr>
          <w:rFonts w:ascii="Times New Roman" w:eastAsia="Lucida Sans Unicode" w:hAnsi="Times New Roman" w:cs="Times New Roman"/>
          <w:kern w:val="1"/>
          <w:sz w:val="24"/>
          <w:szCs w:val="24"/>
          <w:lang w:eastAsia="ar-SA"/>
        </w:rPr>
        <w:t>Morasko</w:t>
      </w:r>
      <w:proofErr w:type="spellEnd"/>
      <w:r w:rsidRPr="005E2831">
        <w:rPr>
          <w:rFonts w:ascii="Times New Roman" w:eastAsia="Lucida Sans Unicode" w:hAnsi="Times New Roman" w:cs="Times New Roman"/>
          <w:kern w:val="1"/>
          <w:sz w:val="24"/>
          <w:szCs w:val="24"/>
          <w:lang w:eastAsia="ar-SA"/>
        </w:rPr>
        <w:t>).</w:t>
      </w:r>
    </w:p>
    <w:p w14:paraId="65DBD0EA" w14:textId="4F3468C5" w:rsidR="002A6E98" w:rsidRPr="005E2831" w:rsidRDefault="002A6E98" w:rsidP="002A6E98">
      <w:pPr>
        <w:suppressAutoHyphens/>
        <w:spacing w:after="60" w:line="300" w:lineRule="atLeast"/>
        <w:ind w:firstLine="567"/>
        <w:jc w:val="both"/>
        <w:rPr>
          <w:rFonts w:ascii="Times New Roman" w:eastAsia="Lucida Sans Unicode" w:hAnsi="Times New Roman" w:cs="Times New Roman"/>
          <w:kern w:val="1"/>
          <w:sz w:val="24"/>
          <w:szCs w:val="24"/>
          <w:lang w:eastAsia="ar-SA"/>
        </w:rPr>
      </w:pPr>
      <w:r w:rsidRPr="005E2831">
        <w:rPr>
          <w:rFonts w:ascii="Times New Roman" w:eastAsia="Lucida Sans Unicode" w:hAnsi="Times New Roman" w:cs="Times New Roman"/>
          <w:kern w:val="1"/>
          <w:sz w:val="24"/>
          <w:szCs w:val="24"/>
          <w:lang w:eastAsia="ar-SA"/>
        </w:rPr>
        <w:t xml:space="preserve">Stacje bazowe realizowały w 2022 r. program badawczo-pomiarowy ZMŚP obejmujący badania elementów abiotycznych i biotycznych badanych </w:t>
      </w:r>
      <w:proofErr w:type="spellStart"/>
      <w:r w:rsidRPr="005E2831">
        <w:rPr>
          <w:rFonts w:ascii="Times New Roman" w:eastAsia="Lucida Sans Unicode" w:hAnsi="Times New Roman" w:cs="Times New Roman"/>
          <w:kern w:val="1"/>
          <w:sz w:val="24"/>
          <w:szCs w:val="24"/>
          <w:lang w:eastAsia="ar-SA"/>
        </w:rPr>
        <w:t>geoekosystemów</w:t>
      </w:r>
      <w:proofErr w:type="spellEnd"/>
      <w:r w:rsidRPr="005E2831">
        <w:rPr>
          <w:rFonts w:ascii="Times New Roman" w:eastAsia="Lucida Sans Unicode" w:hAnsi="Times New Roman" w:cs="Times New Roman"/>
          <w:kern w:val="1"/>
          <w:sz w:val="24"/>
          <w:szCs w:val="24"/>
          <w:lang w:eastAsia="ar-SA"/>
        </w:rPr>
        <w:t xml:space="preserve">, takie jak: pomiary meteorologiczne, badania zanieczyszczenia powietrza, chemizmu opadów atmosferycznych, chemizmu opadu podkoronowego i spływu po pniach, chemizmu roztworów glebowych, chemizmu opadu organicznego, badania wód powierzchniowych i podziemnych, badania </w:t>
      </w:r>
      <w:r w:rsidRPr="005E2831">
        <w:rPr>
          <w:rFonts w:ascii="Times New Roman" w:eastAsia="Lucida Sans Unicode" w:hAnsi="Times New Roman" w:cs="Times New Roman"/>
          <w:kern w:val="1"/>
          <w:sz w:val="24"/>
          <w:szCs w:val="24"/>
          <w:lang w:eastAsia="ar-SA"/>
        </w:rPr>
        <w:lastRenderedPageBreak/>
        <w:t xml:space="preserve">gatunków inwazyjnych roślin obcego pochodzenia, badania uszkodzeń drzew i drzewostanów.  Ponadto w 2022 r. </w:t>
      </w:r>
      <w:r w:rsidR="00DC5842">
        <w:rPr>
          <w:rFonts w:ascii="Times New Roman" w:eastAsia="Lucida Sans Unicode" w:hAnsi="Times New Roman" w:cs="Times New Roman"/>
          <w:kern w:val="1"/>
          <w:sz w:val="24"/>
          <w:szCs w:val="24"/>
          <w:lang w:eastAsia="ar-SA"/>
        </w:rPr>
        <w:t xml:space="preserve">po raz pierwszy </w:t>
      </w:r>
      <w:r w:rsidRPr="005E2831">
        <w:rPr>
          <w:rFonts w:ascii="Times New Roman" w:eastAsia="Lucida Sans Unicode" w:hAnsi="Times New Roman" w:cs="Times New Roman"/>
          <w:kern w:val="1"/>
          <w:sz w:val="24"/>
          <w:szCs w:val="24"/>
          <w:lang w:eastAsia="ar-SA"/>
        </w:rPr>
        <w:t xml:space="preserve">wszystkie stacje bazowe przeprowadziły </w:t>
      </w:r>
      <w:r w:rsidRPr="005E2831">
        <w:rPr>
          <w:rFonts w:ascii="Times New Roman" w:eastAsia="Lucida Sans Unicode" w:hAnsi="Times New Roman" w:cs="Times New Roman"/>
          <w:bCs/>
          <w:color w:val="000000"/>
          <w:kern w:val="1"/>
          <w:sz w:val="24"/>
          <w:szCs w:val="24"/>
          <w:shd w:val="clear" w:color="auto" w:fill="FFFFFF"/>
          <w:lang w:eastAsia="ar-SA"/>
        </w:rPr>
        <w:t>badania wybranych parametrów glebowych (</w:t>
      </w:r>
      <w:proofErr w:type="spellStart"/>
      <w:r w:rsidRPr="005E2831">
        <w:rPr>
          <w:rFonts w:ascii="Times New Roman" w:eastAsia="Lucida Sans Unicode" w:hAnsi="Times New Roman" w:cs="Times New Roman"/>
          <w:bCs/>
          <w:color w:val="000000"/>
          <w:kern w:val="1"/>
          <w:sz w:val="24"/>
          <w:szCs w:val="24"/>
          <w:shd w:val="clear" w:color="auto" w:fill="FFFFFF"/>
          <w:lang w:eastAsia="ar-SA"/>
        </w:rPr>
        <w:t>p</w:t>
      </w:r>
      <w:r w:rsidR="0068480F">
        <w:rPr>
          <w:rFonts w:ascii="Times New Roman" w:eastAsia="Lucida Sans Unicode" w:hAnsi="Times New Roman" w:cs="Times New Roman"/>
          <w:bCs/>
          <w:color w:val="000000"/>
          <w:kern w:val="1"/>
          <w:sz w:val="24"/>
          <w:szCs w:val="24"/>
          <w:shd w:val="clear" w:color="auto" w:fill="FFFFFF"/>
          <w:lang w:eastAsia="ar-SA"/>
        </w:rPr>
        <w:t>H</w:t>
      </w:r>
      <w:proofErr w:type="spellEnd"/>
      <w:r w:rsidRPr="005E2831">
        <w:rPr>
          <w:rFonts w:ascii="Times New Roman" w:eastAsia="Lucida Sans Unicode" w:hAnsi="Times New Roman" w:cs="Times New Roman"/>
          <w:bCs/>
          <w:color w:val="000000"/>
          <w:kern w:val="1"/>
          <w:sz w:val="24"/>
          <w:szCs w:val="24"/>
          <w:shd w:val="clear" w:color="auto" w:fill="FFFFFF"/>
          <w:lang w:eastAsia="ar-SA"/>
        </w:rPr>
        <w:t xml:space="preserve"> i przewodność) zgodnie z </w:t>
      </w:r>
      <w:r w:rsidR="00DC5842">
        <w:rPr>
          <w:rFonts w:ascii="Times New Roman" w:eastAsia="Lucida Sans Unicode" w:hAnsi="Times New Roman" w:cs="Times New Roman"/>
          <w:bCs/>
          <w:color w:val="000000"/>
          <w:kern w:val="1"/>
          <w:sz w:val="24"/>
          <w:szCs w:val="24"/>
          <w:shd w:val="clear" w:color="auto" w:fill="FFFFFF"/>
          <w:lang w:eastAsia="ar-SA"/>
        </w:rPr>
        <w:t xml:space="preserve">nowymi </w:t>
      </w:r>
      <w:r w:rsidRPr="005E2831">
        <w:rPr>
          <w:rFonts w:ascii="Times New Roman" w:eastAsia="Lucida Sans Unicode" w:hAnsi="Times New Roman" w:cs="Times New Roman"/>
          <w:bCs/>
          <w:color w:val="000000"/>
          <w:kern w:val="1"/>
          <w:sz w:val="24"/>
          <w:szCs w:val="24"/>
          <w:shd w:val="clear" w:color="auto" w:fill="FFFFFF"/>
          <w:lang w:eastAsia="ar-SA"/>
        </w:rPr>
        <w:t xml:space="preserve">wytycznymi metodycznymi. </w:t>
      </w:r>
      <w:r w:rsidRPr="005E2831">
        <w:rPr>
          <w:rFonts w:ascii="Times New Roman" w:eastAsia="Lucida Sans Unicode" w:hAnsi="Times New Roman" w:cs="Times New Roman"/>
          <w:kern w:val="1"/>
          <w:sz w:val="24"/>
          <w:szCs w:val="24"/>
          <w:lang w:eastAsia="ar-SA"/>
        </w:rPr>
        <w:t xml:space="preserve">Niektóre stacje bazowe realizowały badania uszkodzeń drzew i drzewostanów pilotażowo </w:t>
      </w:r>
      <w:r w:rsidR="00EF25AC">
        <w:rPr>
          <w:rFonts w:ascii="Times New Roman" w:eastAsia="Lucida Sans Unicode" w:hAnsi="Times New Roman" w:cs="Times New Roman"/>
          <w:kern w:val="1"/>
          <w:sz w:val="24"/>
          <w:szCs w:val="24"/>
          <w:lang w:eastAsia="ar-SA"/>
        </w:rPr>
        <w:br/>
      </w:r>
      <w:r w:rsidRPr="005E2831">
        <w:rPr>
          <w:rFonts w:ascii="Times New Roman" w:eastAsia="Lucida Sans Unicode" w:hAnsi="Times New Roman" w:cs="Times New Roman"/>
          <w:kern w:val="1"/>
          <w:sz w:val="24"/>
          <w:szCs w:val="24"/>
          <w:lang w:eastAsia="ar-SA"/>
        </w:rPr>
        <w:t xml:space="preserve">w siatce kwadratów. </w:t>
      </w:r>
      <w:r w:rsidRPr="005E2831">
        <w:rPr>
          <w:rFonts w:ascii="Times New Roman" w:eastAsia="Lucida Sans Unicode" w:hAnsi="Times New Roman" w:cs="Times New Roman"/>
          <w:bCs/>
          <w:color w:val="000000"/>
          <w:kern w:val="1"/>
          <w:sz w:val="24"/>
          <w:szCs w:val="24"/>
          <w:shd w:val="clear" w:color="auto" w:fill="FFFFFF"/>
          <w:lang w:eastAsia="ar-SA"/>
        </w:rPr>
        <w:t>Program ZMŚP w 2022 r. realizowany był przez stacje łącznie na</w:t>
      </w:r>
      <w:r>
        <w:rPr>
          <w:rFonts w:ascii="Times New Roman" w:eastAsia="Lucida Sans Unicode" w:hAnsi="Times New Roman" w:cs="Times New Roman"/>
          <w:bCs/>
          <w:color w:val="000000"/>
          <w:kern w:val="1"/>
          <w:sz w:val="24"/>
          <w:szCs w:val="24"/>
          <w:shd w:val="clear" w:color="auto" w:fill="FFFFFF"/>
          <w:lang w:eastAsia="ar-SA"/>
        </w:rPr>
        <w:t> </w:t>
      </w:r>
      <w:r w:rsidRPr="005E2831">
        <w:rPr>
          <w:rFonts w:ascii="Times New Roman" w:eastAsia="Lucida Sans Unicode" w:hAnsi="Times New Roman" w:cs="Times New Roman"/>
          <w:bCs/>
          <w:color w:val="000000"/>
          <w:kern w:val="1"/>
          <w:sz w:val="24"/>
          <w:szCs w:val="24"/>
          <w:shd w:val="clear" w:color="auto" w:fill="FFFFFF"/>
          <w:lang w:eastAsia="ar-SA"/>
        </w:rPr>
        <w:t xml:space="preserve">387 stanowiskach pomiarowych. Ponadto, w 2022 roku, stacje przeprowadziły, wykonywaną </w:t>
      </w:r>
      <w:r w:rsidR="00EF25AC">
        <w:rPr>
          <w:rFonts w:ascii="Times New Roman" w:eastAsia="Lucida Sans Unicode" w:hAnsi="Times New Roman" w:cs="Times New Roman"/>
          <w:bCs/>
          <w:color w:val="000000"/>
          <w:kern w:val="1"/>
          <w:sz w:val="24"/>
          <w:szCs w:val="24"/>
          <w:shd w:val="clear" w:color="auto" w:fill="FFFFFF"/>
          <w:lang w:eastAsia="ar-SA"/>
        </w:rPr>
        <w:br/>
      </w:r>
      <w:r w:rsidRPr="005E2831">
        <w:rPr>
          <w:rFonts w:ascii="Times New Roman" w:eastAsia="Lucida Sans Unicode" w:hAnsi="Times New Roman" w:cs="Times New Roman"/>
          <w:bCs/>
          <w:color w:val="000000"/>
          <w:kern w:val="1"/>
          <w:sz w:val="24"/>
          <w:szCs w:val="24"/>
          <w:shd w:val="clear" w:color="auto" w:fill="FFFFFF"/>
          <w:lang w:eastAsia="ar-SA"/>
        </w:rPr>
        <w:t>co 3 lata, analizę zmian użytkowania ziemi i pokrycia terenu w zlewniach ZMŚP.</w:t>
      </w:r>
    </w:p>
    <w:p w14:paraId="3CEA7C45" w14:textId="67EA3083" w:rsidR="002A6E98" w:rsidRPr="005E2831" w:rsidRDefault="002A6E98" w:rsidP="00B21CB1">
      <w:pPr>
        <w:spacing w:after="60" w:line="300" w:lineRule="atLeast"/>
        <w:ind w:firstLine="567"/>
        <w:jc w:val="both"/>
        <w:rPr>
          <w:rFonts w:ascii="Times New Roman" w:eastAsia="Lucida Sans Unicode" w:hAnsi="Times New Roman" w:cs="Times New Roman"/>
          <w:kern w:val="1"/>
          <w:sz w:val="24"/>
          <w:szCs w:val="24"/>
          <w:lang w:eastAsia="ar-SA"/>
        </w:rPr>
      </w:pPr>
      <w:r w:rsidRPr="005E2831">
        <w:rPr>
          <w:rFonts w:ascii="Times New Roman" w:eastAsia="Lucida Sans Unicode" w:hAnsi="Times New Roman" w:cs="Times New Roman"/>
          <w:kern w:val="1"/>
          <w:sz w:val="24"/>
          <w:szCs w:val="24"/>
          <w:lang w:eastAsia="ar-SA"/>
        </w:rPr>
        <w:t>Z</w:t>
      </w:r>
      <w:r w:rsidRPr="005E2831">
        <w:rPr>
          <w:rFonts w:ascii="Times New Roman" w:eastAsia="Times New Roman" w:hAnsi="Times New Roman" w:cs="Times New Roman"/>
          <w:sz w:val="24"/>
          <w:szCs w:val="24"/>
          <w:lang w:eastAsia="pl-PL"/>
        </w:rPr>
        <w:t xml:space="preserve"> uwagi na związaną z poszukiwaniem oszczędności w budżecie GIOŚ redukcję środków na realizację programu ZMŚP w 2022 r. nie wykonano</w:t>
      </w:r>
      <w:r w:rsidRPr="005E2831">
        <w:rPr>
          <w:rFonts w:ascii="Times New Roman" w:eastAsia="Lucida Sans Unicode" w:hAnsi="Times New Roman" w:cs="Times New Roman"/>
          <w:kern w:val="1"/>
          <w:sz w:val="24"/>
          <w:szCs w:val="24"/>
          <w:lang w:eastAsia="ar-SA"/>
        </w:rPr>
        <w:t xml:space="preserve"> w stacjach bazowych ZMŚP wszystkich zaplanowanych programów specjalistycznych, tj. badania </w:t>
      </w:r>
      <w:proofErr w:type="spellStart"/>
      <w:r w:rsidRPr="005E2831">
        <w:rPr>
          <w:rFonts w:ascii="Times New Roman" w:eastAsia="Lucida Sans Unicode" w:hAnsi="Times New Roman" w:cs="Times New Roman"/>
          <w:kern w:val="1"/>
          <w:sz w:val="24"/>
          <w:szCs w:val="24"/>
          <w:lang w:eastAsia="ar-SA"/>
        </w:rPr>
        <w:t>makrofitów</w:t>
      </w:r>
      <w:proofErr w:type="spellEnd"/>
      <w:r w:rsidRPr="005E2831">
        <w:rPr>
          <w:rFonts w:ascii="Times New Roman" w:eastAsia="Lucida Sans Unicode" w:hAnsi="Times New Roman" w:cs="Times New Roman"/>
          <w:kern w:val="1"/>
          <w:sz w:val="24"/>
          <w:szCs w:val="24"/>
          <w:lang w:eastAsia="ar-SA"/>
        </w:rPr>
        <w:t xml:space="preserve"> w rzekach wraz z oceną </w:t>
      </w:r>
      <w:proofErr w:type="spellStart"/>
      <w:r w:rsidRPr="005E2831">
        <w:rPr>
          <w:rFonts w:ascii="Times New Roman" w:eastAsia="Lucida Sans Unicode" w:hAnsi="Times New Roman" w:cs="Times New Roman"/>
          <w:kern w:val="1"/>
          <w:sz w:val="24"/>
          <w:szCs w:val="24"/>
          <w:lang w:eastAsia="ar-SA"/>
        </w:rPr>
        <w:t>hydromorfologiczną</w:t>
      </w:r>
      <w:proofErr w:type="spellEnd"/>
      <w:r w:rsidRPr="005E2831">
        <w:rPr>
          <w:rFonts w:ascii="Times New Roman" w:eastAsia="Lucida Sans Unicode" w:hAnsi="Times New Roman" w:cs="Times New Roman"/>
          <w:kern w:val="1"/>
          <w:sz w:val="24"/>
          <w:szCs w:val="24"/>
          <w:lang w:eastAsia="ar-SA"/>
        </w:rPr>
        <w:t xml:space="preserve"> koryta rzecznego, kartowania glebowego oraz analizy i oceny usług ekosystemowych. Nie zostały również przeprowadzone </w:t>
      </w:r>
      <w:proofErr w:type="spellStart"/>
      <w:r w:rsidRPr="005E2831">
        <w:rPr>
          <w:rFonts w:ascii="Times New Roman" w:eastAsia="Lucida Sans Unicode" w:hAnsi="Times New Roman" w:cs="Times New Roman"/>
          <w:kern w:val="1"/>
          <w:sz w:val="24"/>
          <w:szCs w:val="24"/>
          <w:lang w:eastAsia="ar-SA"/>
        </w:rPr>
        <w:t>międzylaboratoryjne</w:t>
      </w:r>
      <w:proofErr w:type="spellEnd"/>
      <w:r w:rsidRPr="005E2831">
        <w:rPr>
          <w:rFonts w:ascii="Times New Roman" w:eastAsia="Lucida Sans Unicode" w:hAnsi="Times New Roman" w:cs="Times New Roman"/>
          <w:kern w:val="1"/>
          <w:sz w:val="24"/>
          <w:szCs w:val="24"/>
          <w:lang w:eastAsia="ar-SA"/>
        </w:rPr>
        <w:t xml:space="preserve"> badania porównawcze metod oznaczania składników chemicznych w próbkach wody.</w:t>
      </w:r>
      <w:r w:rsidR="00B21CB1">
        <w:rPr>
          <w:rFonts w:ascii="Times New Roman" w:eastAsia="Lucida Sans Unicode" w:hAnsi="Times New Roman" w:cs="Times New Roman"/>
          <w:kern w:val="1"/>
          <w:sz w:val="24"/>
          <w:szCs w:val="24"/>
          <w:lang w:eastAsia="ar-SA"/>
        </w:rPr>
        <w:t xml:space="preserve"> Harmonogram realizacji zadań został zmieniony i wykonanie niektórych z zadań zostało przesunięte na kolejne lata, co</w:t>
      </w:r>
      <w:r w:rsidR="00B21CB1">
        <w:rPr>
          <w:rFonts w:ascii="Times New Roman" w:hAnsi="Times New Roman" w:cs="Times New Roman"/>
          <w:sz w:val="24"/>
          <w:szCs w:val="24"/>
        </w:rPr>
        <w:t xml:space="preserve"> nie wpłynie na wykonanie obowiązków ustawowych Głównego Inspektora Ochrony Środowiska</w:t>
      </w:r>
      <w:r w:rsidR="00B21CB1">
        <w:rPr>
          <w:rFonts w:ascii="Times New Roman" w:hAnsi="Times New Roman"/>
          <w:color w:val="000000"/>
          <w:sz w:val="24"/>
          <w:szCs w:val="24"/>
        </w:rPr>
        <w:t xml:space="preserve">. </w:t>
      </w:r>
    </w:p>
    <w:p w14:paraId="0AAE460D" w14:textId="77777777" w:rsidR="002A6E98" w:rsidRPr="005E2831" w:rsidRDefault="002A6E98" w:rsidP="002A6E98">
      <w:pPr>
        <w:suppressAutoHyphens/>
        <w:spacing w:after="60" w:line="300" w:lineRule="atLeast"/>
        <w:ind w:firstLine="567"/>
        <w:jc w:val="both"/>
        <w:rPr>
          <w:rFonts w:ascii="Times New Roman" w:eastAsia="Lucida Sans Unicode" w:hAnsi="Times New Roman" w:cs="Times New Roman"/>
          <w:kern w:val="1"/>
          <w:sz w:val="24"/>
          <w:szCs w:val="24"/>
          <w:lang w:eastAsia="ar-SA"/>
        </w:rPr>
      </w:pPr>
      <w:r w:rsidRPr="005E2831">
        <w:rPr>
          <w:rFonts w:ascii="Times New Roman" w:eastAsia="Lucida Sans Unicode" w:hAnsi="Times New Roman" w:cs="Times New Roman"/>
          <w:kern w:val="1"/>
          <w:sz w:val="24"/>
          <w:szCs w:val="24"/>
          <w:lang w:eastAsia="ar-SA"/>
        </w:rPr>
        <w:t>W ramach doskonalenia organizacyjno-metodycznego we wrześniu 2022 r. przeprowadzono szkolenie przedstawicieli stacji bazowych ZMŚP poświęcone metodom monitorowania i interpretacji wyników badań wód powierzchniowych, gleb oraz chemizmu roztworów glebowych, a także, w związku z wdrażaną nową metodyką, w zakresie organizacji badań uszkodzeń drzew i drzewostanów w stacjach bazowych ZMŚP. W celu prezentacji i</w:t>
      </w:r>
      <w:r>
        <w:rPr>
          <w:rFonts w:ascii="Times New Roman" w:eastAsia="Lucida Sans Unicode" w:hAnsi="Times New Roman" w:cs="Times New Roman"/>
          <w:kern w:val="1"/>
          <w:sz w:val="24"/>
          <w:szCs w:val="24"/>
          <w:lang w:eastAsia="ar-SA"/>
        </w:rPr>
        <w:t> </w:t>
      </w:r>
      <w:r w:rsidRPr="005E2831">
        <w:rPr>
          <w:rFonts w:ascii="Times New Roman" w:eastAsia="Lucida Sans Unicode" w:hAnsi="Times New Roman" w:cs="Times New Roman"/>
          <w:kern w:val="1"/>
          <w:sz w:val="24"/>
          <w:szCs w:val="24"/>
          <w:lang w:eastAsia="ar-SA"/>
        </w:rPr>
        <w:t xml:space="preserve">upowszechniania wyników ZMŚP w dniach 8-10 czerwca 2022 r. zorganizowano XXX sympozjum ZMŚP pt. „Współczesne przemiany naturalne i antropogeniczne środowiska przyrodniczego zlewni rzecznych i jeziornych”, podczas którego oprócz sesji referatowych odbyły się zajęcia terenowe, poświęcone m.in. badaniom </w:t>
      </w:r>
      <w:proofErr w:type="spellStart"/>
      <w:r w:rsidRPr="005E2831">
        <w:rPr>
          <w:rFonts w:ascii="Times New Roman" w:eastAsia="Lucida Sans Unicode" w:hAnsi="Times New Roman" w:cs="Times New Roman"/>
          <w:kern w:val="1"/>
          <w:sz w:val="24"/>
          <w:szCs w:val="24"/>
          <w:lang w:eastAsia="ar-SA"/>
        </w:rPr>
        <w:t>paleoekologicznym</w:t>
      </w:r>
      <w:proofErr w:type="spellEnd"/>
      <w:r w:rsidRPr="005E2831">
        <w:rPr>
          <w:rFonts w:ascii="Times New Roman" w:eastAsia="Lucida Sans Unicode" w:hAnsi="Times New Roman" w:cs="Times New Roman"/>
          <w:kern w:val="1"/>
          <w:sz w:val="24"/>
          <w:szCs w:val="24"/>
          <w:lang w:eastAsia="ar-SA"/>
        </w:rPr>
        <w:t xml:space="preserve"> i</w:t>
      </w:r>
      <w:r>
        <w:rPr>
          <w:rFonts w:ascii="Times New Roman" w:eastAsia="Lucida Sans Unicode" w:hAnsi="Times New Roman" w:cs="Times New Roman"/>
          <w:kern w:val="1"/>
          <w:sz w:val="24"/>
          <w:szCs w:val="24"/>
          <w:lang w:eastAsia="ar-SA"/>
        </w:rPr>
        <w:t> </w:t>
      </w:r>
      <w:proofErr w:type="spellStart"/>
      <w:r w:rsidRPr="005E2831">
        <w:rPr>
          <w:rFonts w:ascii="Times New Roman" w:eastAsia="Lucida Sans Unicode" w:hAnsi="Times New Roman" w:cs="Times New Roman"/>
          <w:kern w:val="1"/>
          <w:sz w:val="24"/>
          <w:szCs w:val="24"/>
          <w:lang w:eastAsia="ar-SA"/>
        </w:rPr>
        <w:t>mikrometeorologicznym</w:t>
      </w:r>
      <w:proofErr w:type="spellEnd"/>
      <w:r w:rsidRPr="005E2831">
        <w:rPr>
          <w:rFonts w:ascii="Times New Roman" w:eastAsia="Lucida Sans Unicode" w:hAnsi="Times New Roman" w:cs="Times New Roman"/>
          <w:kern w:val="1"/>
          <w:sz w:val="24"/>
          <w:szCs w:val="24"/>
          <w:lang w:eastAsia="ar-SA"/>
        </w:rPr>
        <w:t xml:space="preserve"> oraz monitoringowi gazów cieplarnianych na Bagnie Kusowo. Ponadto w grudniu ub. r. zorganizowano seminarium ZMŚP pt. „Procesy ekstremalne i ich wpływ na przemiany środowiska przyrodniczego Polski w warunkach zmian klimatu i</w:t>
      </w:r>
      <w:r>
        <w:rPr>
          <w:rFonts w:ascii="Times New Roman" w:eastAsia="Lucida Sans Unicode" w:hAnsi="Times New Roman" w:cs="Times New Roman"/>
          <w:kern w:val="1"/>
          <w:sz w:val="24"/>
          <w:szCs w:val="24"/>
          <w:lang w:eastAsia="ar-SA"/>
        </w:rPr>
        <w:t> </w:t>
      </w:r>
      <w:r w:rsidRPr="005E2831">
        <w:rPr>
          <w:rFonts w:ascii="Times New Roman" w:eastAsia="Lucida Sans Unicode" w:hAnsi="Times New Roman" w:cs="Times New Roman"/>
          <w:kern w:val="1"/>
          <w:sz w:val="24"/>
          <w:szCs w:val="24"/>
          <w:lang w:eastAsia="ar-SA"/>
        </w:rPr>
        <w:t>narastającej antropopresji”. Referaty przygotowane przez przedstawicieli stacji bazowych ZMŚP oraz wyniki dyskusji zostaną wykorzystane do opracowania publikacji poświęconej procesom ekstremalnym w zlewniach badawczych ZMŚP.</w:t>
      </w:r>
    </w:p>
    <w:p w14:paraId="5AC2122D" w14:textId="77777777" w:rsidR="002A6E98" w:rsidRPr="005E2831" w:rsidRDefault="002A6E98" w:rsidP="002A6E98">
      <w:pPr>
        <w:suppressAutoHyphens/>
        <w:spacing w:after="60" w:line="300" w:lineRule="atLeast"/>
        <w:ind w:firstLine="567"/>
        <w:jc w:val="both"/>
        <w:rPr>
          <w:rFonts w:ascii="Times New Roman" w:eastAsia="Lucida Sans Unicode" w:hAnsi="Times New Roman" w:cs="Times New Roman"/>
          <w:kern w:val="1"/>
          <w:sz w:val="24"/>
          <w:szCs w:val="24"/>
          <w:lang w:eastAsia="ar-SA"/>
        </w:rPr>
      </w:pPr>
      <w:r w:rsidRPr="005E2831">
        <w:rPr>
          <w:rFonts w:ascii="Times New Roman" w:eastAsia="Lucida Sans Unicode" w:hAnsi="Times New Roman" w:cs="Times New Roman"/>
          <w:kern w:val="1"/>
          <w:sz w:val="24"/>
          <w:szCs w:val="24"/>
          <w:lang w:eastAsia="ar-SA"/>
        </w:rPr>
        <w:t xml:space="preserve">W 2022 roku zostało wykonane coroczne opracowanie o stanie </w:t>
      </w:r>
      <w:proofErr w:type="spellStart"/>
      <w:r w:rsidRPr="005E2831">
        <w:rPr>
          <w:rFonts w:ascii="Times New Roman" w:eastAsia="Lucida Sans Unicode" w:hAnsi="Times New Roman" w:cs="Times New Roman"/>
          <w:kern w:val="1"/>
          <w:sz w:val="24"/>
          <w:szCs w:val="24"/>
          <w:lang w:eastAsia="ar-SA"/>
        </w:rPr>
        <w:t>geoekosystemów</w:t>
      </w:r>
      <w:proofErr w:type="spellEnd"/>
      <w:r w:rsidRPr="005E2831">
        <w:rPr>
          <w:rFonts w:ascii="Times New Roman" w:eastAsia="Lucida Sans Unicode" w:hAnsi="Times New Roman" w:cs="Times New Roman"/>
          <w:kern w:val="1"/>
          <w:sz w:val="24"/>
          <w:szCs w:val="24"/>
          <w:lang w:eastAsia="ar-SA"/>
        </w:rPr>
        <w:t xml:space="preserve"> Polski w 2021 roku przygotowane w oparciu o roczne raporty z poszczególnych stacji bazowych ZMŚP oraz wyniki programów specjalistycznych wykonanych w 2021 r. Opracowano również ocenę zanieczyszczenia powietrza na podstawie zawartości siarki i metali ciężkich w porostach i mchach w 2021 roku.</w:t>
      </w:r>
    </w:p>
    <w:p w14:paraId="2FBFA6F1" w14:textId="62401DB0" w:rsidR="00895F16" w:rsidRPr="007F400A" w:rsidRDefault="002A6E98" w:rsidP="002A6E98">
      <w:pPr>
        <w:suppressAutoHyphens/>
        <w:spacing w:after="0" w:line="300" w:lineRule="atLeast"/>
        <w:ind w:firstLine="567"/>
        <w:jc w:val="both"/>
        <w:rPr>
          <w:rFonts w:ascii="Times New Roman" w:eastAsia="Times New Roman" w:hAnsi="Times New Roman" w:cs="Times New Roman"/>
          <w:iCs/>
          <w:color w:val="000000"/>
          <w:kern w:val="1"/>
          <w:sz w:val="24"/>
          <w:szCs w:val="24"/>
        </w:rPr>
      </w:pPr>
      <w:r w:rsidRPr="005E2831">
        <w:rPr>
          <w:rFonts w:ascii="Times New Roman" w:eastAsia="Times New Roman" w:hAnsi="Times New Roman" w:cs="Times New Roman"/>
          <w:color w:val="000000"/>
          <w:kern w:val="1"/>
          <w:sz w:val="24"/>
          <w:szCs w:val="24"/>
          <w:lang w:eastAsia="pl-PL"/>
        </w:rPr>
        <w:t>Dane pozyskane w ramach ZMŚP w 2021 roku zostały przekazane w 2022 r. do</w:t>
      </w:r>
      <w:r>
        <w:rPr>
          <w:rFonts w:ascii="Times New Roman" w:eastAsia="Times New Roman" w:hAnsi="Times New Roman" w:cs="Times New Roman"/>
          <w:color w:val="000000"/>
          <w:kern w:val="1"/>
          <w:sz w:val="24"/>
          <w:szCs w:val="24"/>
          <w:lang w:eastAsia="pl-PL"/>
        </w:rPr>
        <w:t> </w:t>
      </w:r>
      <w:r w:rsidRPr="005E2831">
        <w:rPr>
          <w:rFonts w:ascii="Times New Roman" w:eastAsia="Times New Roman" w:hAnsi="Times New Roman" w:cs="Times New Roman"/>
          <w:color w:val="000000"/>
          <w:kern w:val="1"/>
          <w:sz w:val="24"/>
          <w:szCs w:val="24"/>
          <w:lang w:eastAsia="pl-PL"/>
        </w:rPr>
        <w:t xml:space="preserve">międzynarodowego programu </w:t>
      </w:r>
      <w:proofErr w:type="spellStart"/>
      <w:r w:rsidRPr="005E2831">
        <w:rPr>
          <w:rFonts w:ascii="Times New Roman" w:eastAsia="Times New Roman" w:hAnsi="Times New Roman" w:cs="Times New Roman"/>
          <w:color w:val="000000"/>
          <w:kern w:val="1"/>
          <w:sz w:val="24"/>
          <w:szCs w:val="24"/>
          <w:lang w:eastAsia="pl-PL"/>
        </w:rPr>
        <w:t>Integrated</w:t>
      </w:r>
      <w:proofErr w:type="spellEnd"/>
      <w:r w:rsidRPr="005E2831">
        <w:rPr>
          <w:rFonts w:ascii="Times New Roman" w:eastAsia="Times New Roman" w:hAnsi="Times New Roman" w:cs="Times New Roman"/>
          <w:color w:val="000000"/>
          <w:kern w:val="1"/>
          <w:sz w:val="24"/>
          <w:szCs w:val="24"/>
          <w:lang w:eastAsia="pl-PL"/>
        </w:rPr>
        <w:t xml:space="preserve"> Monitoring funkcjonującego w ramach </w:t>
      </w:r>
      <w:r w:rsidRPr="005E2831">
        <w:rPr>
          <w:rFonts w:ascii="Times New Roman" w:eastAsia="Times New Roman" w:hAnsi="Times New Roman" w:cs="Times New Roman"/>
          <w:iCs/>
          <w:color w:val="000000"/>
          <w:kern w:val="1"/>
          <w:sz w:val="24"/>
          <w:szCs w:val="24"/>
          <w:lang w:eastAsia="pl-PL"/>
        </w:rPr>
        <w:t xml:space="preserve">Konwencji </w:t>
      </w:r>
      <w:r w:rsidRPr="005E2831">
        <w:rPr>
          <w:rFonts w:ascii="Times New Roman" w:eastAsia="Times New Roman" w:hAnsi="Times New Roman" w:cs="Times New Roman"/>
          <w:iCs/>
          <w:color w:val="000000"/>
          <w:kern w:val="1"/>
          <w:sz w:val="24"/>
          <w:szCs w:val="24"/>
          <w:lang w:eastAsia="pl-PL"/>
        </w:rPr>
        <w:br/>
        <w:t>w sprawie transgranicznego zanieczyszczania powietrza na dalekie odległości</w:t>
      </w:r>
      <w:r w:rsidR="00895F16" w:rsidRPr="007F400A">
        <w:rPr>
          <w:rFonts w:ascii="Times New Roman" w:eastAsia="Times New Roman" w:hAnsi="Times New Roman" w:cs="Times New Roman"/>
          <w:iCs/>
          <w:color w:val="000000"/>
          <w:kern w:val="1"/>
          <w:sz w:val="24"/>
          <w:szCs w:val="24"/>
        </w:rPr>
        <w:t>.</w:t>
      </w:r>
    </w:p>
    <w:p w14:paraId="66743F05" w14:textId="77777777" w:rsidR="00895F16" w:rsidRPr="007F400A" w:rsidRDefault="00895F16" w:rsidP="00895F16">
      <w:pPr>
        <w:suppressAutoHyphens/>
        <w:spacing w:after="0" w:line="300" w:lineRule="atLeast"/>
        <w:ind w:firstLine="709"/>
        <w:jc w:val="both"/>
        <w:rPr>
          <w:rFonts w:ascii="Times New Roman" w:eastAsia="Times New Roman" w:hAnsi="Times New Roman" w:cs="Times New Roman"/>
          <w:iCs/>
          <w:color w:val="000000"/>
          <w:kern w:val="1"/>
          <w:sz w:val="24"/>
          <w:szCs w:val="24"/>
        </w:rPr>
      </w:pPr>
    </w:p>
    <w:p w14:paraId="14A289FF" w14:textId="77777777" w:rsidR="00895F16" w:rsidRPr="007F400A" w:rsidRDefault="00895F16" w:rsidP="00895F16">
      <w:pPr>
        <w:keepNext/>
        <w:spacing w:after="120" w:line="300" w:lineRule="atLeast"/>
        <w:jc w:val="both"/>
        <w:outlineLvl w:val="0"/>
        <w:rPr>
          <w:rFonts w:ascii="Times New Roman" w:eastAsia="Times New Roman" w:hAnsi="Times New Roman" w:cs="Times New Roman"/>
          <w:b/>
          <w:bCs/>
          <w:sz w:val="24"/>
          <w:szCs w:val="24"/>
          <w:lang w:val="x-none" w:eastAsia="x-none"/>
        </w:rPr>
      </w:pPr>
      <w:bookmarkStart w:id="422" w:name="_Toc36732647"/>
      <w:bookmarkStart w:id="423" w:name="_Toc135935718"/>
      <w:r w:rsidRPr="007F400A">
        <w:rPr>
          <w:rFonts w:ascii="Times New Roman" w:eastAsia="Times New Roman" w:hAnsi="Times New Roman" w:cs="Times New Roman"/>
          <w:b/>
          <w:bCs/>
          <w:sz w:val="24"/>
          <w:szCs w:val="24"/>
          <w:lang w:eastAsia="x-none"/>
        </w:rPr>
        <w:t>6</w:t>
      </w:r>
      <w:r w:rsidRPr="007F400A">
        <w:rPr>
          <w:rFonts w:ascii="Times New Roman" w:eastAsia="Times New Roman" w:hAnsi="Times New Roman" w:cs="Times New Roman"/>
          <w:b/>
          <w:bCs/>
          <w:sz w:val="24"/>
          <w:szCs w:val="24"/>
          <w:lang w:val="x-none" w:eastAsia="x-none"/>
        </w:rPr>
        <w:t>. Monitoring hałasu</w:t>
      </w:r>
      <w:bookmarkEnd w:id="422"/>
      <w:bookmarkEnd w:id="423"/>
    </w:p>
    <w:p w14:paraId="69786C9F" w14:textId="11E01E4B" w:rsidR="002A6E98" w:rsidRPr="00822EB7" w:rsidRDefault="002A6E98" w:rsidP="00C52E65">
      <w:pPr>
        <w:spacing w:after="60"/>
        <w:ind w:firstLine="567"/>
        <w:jc w:val="both"/>
        <w:rPr>
          <w:rFonts w:ascii="Times New Roman" w:hAnsi="Times New Roman" w:cs="Times New Roman"/>
          <w:sz w:val="24"/>
          <w:szCs w:val="24"/>
        </w:rPr>
      </w:pPr>
      <w:r w:rsidRPr="00822EB7">
        <w:rPr>
          <w:rFonts w:ascii="Times New Roman" w:hAnsi="Times New Roman" w:cs="Times New Roman"/>
          <w:sz w:val="24"/>
          <w:szCs w:val="24"/>
        </w:rPr>
        <w:t xml:space="preserve">Celem funkcjonowania podsystemu monitoringu hałasu jest gromadzenie, przetwarzanie i rozpowszechnianie informacji o stanie akustycznym środowiska. Dane z pomiarów hałasu wykorzystywane są przy tworzeniu wojewódzkich ocen stanu akustycznego środowiska, </w:t>
      </w:r>
      <w:r w:rsidR="00A4010D">
        <w:rPr>
          <w:rFonts w:ascii="Times New Roman" w:hAnsi="Times New Roman" w:cs="Times New Roman"/>
          <w:sz w:val="24"/>
          <w:szCs w:val="24"/>
        </w:rPr>
        <w:br/>
      </w:r>
      <w:r w:rsidRPr="00822EB7">
        <w:rPr>
          <w:rFonts w:ascii="Times New Roman" w:hAnsi="Times New Roman" w:cs="Times New Roman"/>
          <w:sz w:val="24"/>
          <w:szCs w:val="24"/>
        </w:rPr>
        <w:t xml:space="preserve">a także przy udostępnianiu informacji o środowisku. W ramach obowiązku sprawozdawczego </w:t>
      </w:r>
      <w:r w:rsidRPr="00822EB7">
        <w:rPr>
          <w:rFonts w:ascii="Times New Roman" w:hAnsi="Times New Roman" w:cs="Times New Roman"/>
          <w:sz w:val="24"/>
          <w:szCs w:val="24"/>
        </w:rPr>
        <w:lastRenderedPageBreak/>
        <w:t xml:space="preserve">wynikającego z Programu Badań Statystycznych Statystyki Publicznej do GUS przekazywane są dane dotyczące poziomu hałasu w środowisku. </w:t>
      </w:r>
    </w:p>
    <w:p w14:paraId="4BEC0D7E" w14:textId="77777777" w:rsidR="002A6E98" w:rsidRPr="00822EB7" w:rsidRDefault="002A6E98" w:rsidP="00325ACD">
      <w:pPr>
        <w:spacing w:after="60"/>
        <w:ind w:firstLine="567"/>
        <w:jc w:val="both"/>
        <w:rPr>
          <w:rFonts w:ascii="Times New Roman" w:hAnsi="Times New Roman" w:cs="Times New Roman"/>
          <w:sz w:val="24"/>
          <w:szCs w:val="24"/>
        </w:rPr>
      </w:pPr>
      <w:r w:rsidRPr="00822EB7">
        <w:rPr>
          <w:rFonts w:ascii="Times New Roman" w:hAnsi="Times New Roman" w:cs="Times New Roman"/>
          <w:sz w:val="24"/>
          <w:szCs w:val="24"/>
        </w:rPr>
        <w:tab/>
        <w:t>W 2022 r. w ramach PMŚ realizowano zadanie dotyczące badania i oceny stanu akustycznego środowiska. Wykonano pomiary hałasu drogowego, szynowego oraz lotniczego. Dodatkowo, zgromadzono dane nie tylko z pomiarów wykonanych przez CLB GIOŚ, ale także:</w:t>
      </w:r>
    </w:p>
    <w:p w14:paraId="39CE6CAC" w14:textId="600A8A55" w:rsidR="002A6E98" w:rsidRPr="00325ACD" w:rsidRDefault="002A6E98" w:rsidP="00D34F97">
      <w:pPr>
        <w:pStyle w:val="Akapitzlist"/>
        <w:numPr>
          <w:ilvl w:val="0"/>
          <w:numId w:val="332"/>
        </w:numPr>
        <w:spacing w:after="60"/>
        <w:jc w:val="both"/>
        <w:rPr>
          <w:sz w:val="24"/>
          <w:szCs w:val="24"/>
        </w:rPr>
      </w:pPr>
      <w:r w:rsidRPr="00325ACD">
        <w:rPr>
          <w:sz w:val="24"/>
          <w:szCs w:val="24"/>
        </w:rPr>
        <w:t xml:space="preserve">pomiary hałasu komunikacyjnego wykonane przez zarządzających, na podstawie art. 175 ustawy </w:t>
      </w:r>
      <w:proofErr w:type="spellStart"/>
      <w:r w:rsidRPr="00325ACD">
        <w:rPr>
          <w:sz w:val="24"/>
          <w:szCs w:val="24"/>
        </w:rPr>
        <w:t>Poś</w:t>
      </w:r>
      <w:proofErr w:type="spellEnd"/>
      <w:r w:rsidRPr="00325ACD">
        <w:rPr>
          <w:sz w:val="24"/>
          <w:szCs w:val="24"/>
        </w:rPr>
        <w:t>;</w:t>
      </w:r>
    </w:p>
    <w:p w14:paraId="3F2BCA6A" w14:textId="67E8851B" w:rsidR="002A6E98" w:rsidRPr="00325ACD" w:rsidRDefault="002A6E98" w:rsidP="00D34F97">
      <w:pPr>
        <w:pStyle w:val="Akapitzlist"/>
        <w:numPr>
          <w:ilvl w:val="0"/>
          <w:numId w:val="332"/>
        </w:numPr>
        <w:spacing w:after="60"/>
        <w:jc w:val="both"/>
        <w:rPr>
          <w:sz w:val="24"/>
          <w:szCs w:val="24"/>
        </w:rPr>
      </w:pPr>
      <w:r w:rsidRPr="00325ACD">
        <w:rPr>
          <w:sz w:val="24"/>
          <w:szCs w:val="24"/>
        </w:rPr>
        <w:t xml:space="preserve">pomiary wynikające z analiz </w:t>
      </w:r>
      <w:proofErr w:type="spellStart"/>
      <w:r w:rsidRPr="00325ACD">
        <w:rPr>
          <w:sz w:val="24"/>
          <w:szCs w:val="24"/>
        </w:rPr>
        <w:t>porealizacyjnych</w:t>
      </w:r>
      <w:proofErr w:type="spellEnd"/>
      <w:r w:rsidRPr="00325ACD">
        <w:rPr>
          <w:sz w:val="24"/>
          <w:szCs w:val="24"/>
        </w:rPr>
        <w:t>;</w:t>
      </w:r>
    </w:p>
    <w:p w14:paraId="0E012CBD" w14:textId="702A4BE4" w:rsidR="002A6E98" w:rsidRPr="00325ACD" w:rsidRDefault="002A6E98" w:rsidP="00D34F97">
      <w:pPr>
        <w:pStyle w:val="Akapitzlist"/>
        <w:numPr>
          <w:ilvl w:val="0"/>
          <w:numId w:val="332"/>
        </w:numPr>
        <w:spacing w:after="60"/>
        <w:jc w:val="both"/>
        <w:rPr>
          <w:sz w:val="24"/>
          <w:szCs w:val="24"/>
        </w:rPr>
      </w:pPr>
      <w:r w:rsidRPr="00325ACD">
        <w:rPr>
          <w:sz w:val="24"/>
          <w:szCs w:val="24"/>
        </w:rPr>
        <w:t xml:space="preserve">pomiary hałasu przemysłowego wykonywane przez WIOŚ/GIOŚ w ramach kontroli oraz przez prowadzących instalacje i użytkowników urządzeń, zgodnie z art. 147 ustawy </w:t>
      </w:r>
      <w:proofErr w:type="spellStart"/>
      <w:r w:rsidRPr="00325ACD">
        <w:rPr>
          <w:sz w:val="24"/>
          <w:szCs w:val="24"/>
        </w:rPr>
        <w:t>Poś</w:t>
      </w:r>
      <w:proofErr w:type="spellEnd"/>
      <w:r w:rsidRPr="00325ACD">
        <w:rPr>
          <w:sz w:val="24"/>
          <w:szCs w:val="24"/>
        </w:rPr>
        <w:t>.</w:t>
      </w:r>
    </w:p>
    <w:p w14:paraId="5E1DF52C" w14:textId="77777777" w:rsidR="002A6E98" w:rsidRPr="00822EB7" w:rsidRDefault="002A6E98" w:rsidP="00325ACD">
      <w:pPr>
        <w:spacing w:after="60"/>
        <w:ind w:firstLine="567"/>
        <w:jc w:val="both"/>
        <w:rPr>
          <w:rFonts w:ascii="Times New Roman" w:hAnsi="Times New Roman" w:cs="Times New Roman"/>
          <w:sz w:val="24"/>
          <w:szCs w:val="24"/>
        </w:rPr>
      </w:pPr>
      <w:r w:rsidRPr="00822EB7">
        <w:rPr>
          <w:rFonts w:ascii="Times New Roman" w:hAnsi="Times New Roman" w:cs="Times New Roman"/>
          <w:sz w:val="24"/>
          <w:szCs w:val="24"/>
        </w:rPr>
        <w:tab/>
        <w:t>Wyniki pomiarów wykonanych w 2021 r. przez CLB oraz przez inne, prawnie zobowiązane podmioty lub organy zostały wprowadzone przez pracowników DMŚ do bazy EHAŁAS zgodnie z planem. Dane pomiarowe za rok 2022 zostaną wprowadzone do końca marca 2023 r.</w:t>
      </w:r>
    </w:p>
    <w:p w14:paraId="3E5380C3" w14:textId="77777777" w:rsidR="002A6E98" w:rsidRPr="00822EB7" w:rsidRDefault="002A6E98" w:rsidP="002A6E98">
      <w:pPr>
        <w:spacing w:after="60"/>
        <w:jc w:val="both"/>
        <w:rPr>
          <w:rFonts w:ascii="Times New Roman" w:hAnsi="Times New Roman" w:cs="Times New Roman"/>
          <w:sz w:val="24"/>
          <w:szCs w:val="24"/>
        </w:rPr>
      </w:pPr>
      <w:r w:rsidRPr="00822EB7">
        <w:rPr>
          <w:rFonts w:ascii="Times New Roman" w:hAnsi="Times New Roman" w:cs="Times New Roman"/>
          <w:sz w:val="24"/>
          <w:szCs w:val="24"/>
        </w:rPr>
        <w:tab/>
        <w:t xml:space="preserve">Wykonawczy Program Monitoringu Środowiska w zakresie oceny stanu akustycznego środowiska na rok 2022 został wykonany. Pracownicy DMŚ na podstawie danych zgromadzonych za rok 2021, wykonali oceny stanu akustycznego w województwach oraz lokalne mapy hałasu (po 1 dla województwa). </w:t>
      </w:r>
    </w:p>
    <w:p w14:paraId="247F8246" w14:textId="77777777" w:rsidR="002A6E98" w:rsidRDefault="002A6E98" w:rsidP="002A6E98">
      <w:pPr>
        <w:spacing w:after="60"/>
        <w:jc w:val="both"/>
        <w:rPr>
          <w:rFonts w:ascii="Times New Roman" w:hAnsi="Times New Roman" w:cs="Times New Roman"/>
          <w:sz w:val="24"/>
          <w:szCs w:val="24"/>
        </w:rPr>
      </w:pPr>
      <w:r w:rsidRPr="00822EB7">
        <w:rPr>
          <w:rFonts w:ascii="Times New Roman" w:hAnsi="Times New Roman" w:cs="Times New Roman"/>
          <w:sz w:val="24"/>
          <w:szCs w:val="24"/>
        </w:rPr>
        <w:tab/>
        <w:t>W zakresie zaplanowanych na rok 2022 pomiarów hałasu Wykonawczy Program Monitoringu Środowiska nie został w pełni zrealizowany na terenie województw: kujawsko-pomorskiego, łódzkiego, lubelskiego oraz mazowieckiego. W pozostałych województwach program monitoringu hałasu wykonano w całości, zgodnie z założeniami.</w:t>
      </w:r>
    </w:p>
    <w:p w14:paraId="4AB56B34" w14:textId="77777777" w:rsidR="002A6E98" w:rsidRPr="00822EB7" w:rsidRDefault="002A6E98" w:rsidP="002A6E98">
      <w:pPr>
        <w:spacing w:after="0"/>
        <w:jc w:val="both"/>
        <w:rPr>
          <w:rFonts w:ascii="Times New Roman" w:hAnsi="Times New Roman" w:cs="Times New Roman"/>
          <w:sz w:val="24"/>
          <w:szCs w:val="24"/>
        </w:rPr>
      </w:pPr>
    </w:p>
    <w:p w14:paraId="2CDE9770" w14:textId="64391761" w:rsidR="002A6E98" w:rsidRPr="001D61F0" w:rsidRDefault="002A6E98" w:rsidP="001D61F0">
      <w:pPr>
        <w:pStyle w:val="Legenda"/>
        <w:jc w:val="both"/>
        <w:rPr>
          <w:i/>
          <w:color w:val="000000" w:themeColor="text1"/>
          <w:sz w:val="22"/>
          <w:szCs w:val="22"/>
        </w:rPr>
      </w:pPr>
      <w:r w:rsidRPr="001D61F0">
        <w:rPr>
          <w:color w:val="000000" w:themeColor="text1"/>
          <w:sz w:val="22"/>
          <w:szCs w:val="22"/>
        </w:rPr>
        <w:t xml:space="preserve">Tabela </w:t>
      </w:r>
      <w:r w:rsidR="001D61F0" w:rsidRPr="001D61F0">
        <w:rPr>
          <w:color w:val="000000" w:themeColor="text1"/>
          <w:sz w:val="22"/>
          <w:szCs w:val="22"/>
          <w:lang w:val="pl-PL"/>
        </w:rPr>
        <w:t>31</w:t>
      </w:r>
      <w:r w:rsidRPr="001D61F0">
        <w:rPr>
          <w:color w:val="000000" w:themeColor="text1"/>
          <w:sz w:val="22"/>
          <w:szCs w:val="22"/>
        </w:rPr>
        <w:t>. Liczba punktów pomiarowych  przebadanych w roku 2022 w ramach PMŚ dla poszczególnych rodzajów hałasu</w:t>
      </w:r>
    </w:p>
    <w:tbl>
      <w:tblPr>
        <w:tblStyle w:val="Tabela-Siatka"/>
        <w:tblW w:w="0" w:type="auto"/>
        <w:tblLook w:val="04A0" w:firstRow="1" w:lastRow="0" w:firstColumn="1" w:lastColumn="0" w:noHBand="0" w:noVBand="1"/>
      </w:tblPr>
      <w:tblGrid>
        <w:gridCol w:w="2122"/>
        <w:gridCol w:w="1984"/>
        <w:gridCol w:w="1843"/>
        <w:gridCol w:w="1559"/>
        <w:gridCol w:w="1554"/>
      </w:tblGrid>
      <w:tr w:rsidR="002A6E98" w:rsidRPr="00822EB7" w14:paraId="47F74B94" w14:textId="77777777" w:rsidTr="00DB2E04">
        <w:tc>
          <w:tcPr>
            <w:tcW w:w="2122" w:type="dxa"/>
            <w:vMerge w:val="restart"/>
          </w:tcPr>
          <w:p w14:paraId="7B944C27" w14:textId="77777777" w:rsidR="008A5B22" w:rsidRDefault="008A5B22" w:rsidP="00DB2E04">
            <w:pPr>
              <w:spacing w:after="60"/>
              <w:ind w:left="-113" w:right="-113"/>
              <w:jc w:val="center"/>
              <w:rPr>
                <w:rFonts w:ascii="Times New Roman" w:hAnsi="Times New Roman"/>
                <w:b/>
              </w:rPr>
            </w:pPr>
          </w:p>
          <w:p w14:paraId="72646C97" w14:textId="033A5DAC" w:rsidR="002A6E98" w:rsidRPr="007F7CD0" w:rsidRDefault="002A6E98" w:rsidP="007A394D">
            <w:pPr>
              <w:spacing w:after="60"/>
              <w:ind w:right="-113"/>
              <w:jc w:val="center"/>
              <w:rPr>
                <w:rFonts w:ascii="Times New Roman" w:hAnsi="Times New Roman"/>
                <w:b/>
              </w:rPr>
            </w:pPr>
            <w:r w:rsidRPr="007F7CD0">
              <w:rPr>
                <w:rFonts w:ascii="Times New Roman" w:hAnsi="Times New Roman"/>
                <w:b/>
              </w:rPr>
              <w:t>WOJEWÓDZTWO</w:t>
            </w:r>
          </w:p>
        </w:tc>
        <w:tc>
          <w:tcPr>
            <w:tcW w:w="6940" w:type="dxa"/>
            <w:gridSpan w:val="4"/>
            <w:vAlign w:val="center"/>
          </w:tcPr>
          <w:p w14:paraId="11A6D2F2" w14:textId="77777777" w:rsidR="002A6E98" w:rsidRPr="007F7CD0" w:rsidRDefault="002A6E98" w:rsidP="00DB2E04">
            <w:pPr>
              <w:spacing w:after="60"/>
              <w:ind w:left="-113" w:right="-113"/>
              <w:jc w:val="center"/>
              <w:rPr>
                <w:rFonts w:ascii="Times New Roman" w:hAnsi="Times New Roman"/>
                <w:b/>
                <w:bCs/>
                <w:color w:val="000000"/>
              </w:rPr>
            </w:pPr>
            <w:r w:rsidRPr="007F7CD0">
              <w:rPr>
                <w:rFonts w:ascii="Times New Roman" w:hAnsi="Times New Roman"/>
                <w:b/>
                <w:bCs/>
                <w:color w:val="000000"/>
              </w:rPr>
              <w:t>LICZBA PUNKTÓW POMIAROWYCH (wykonane/zaplanowane)</w:t>
            </w:r>
          </w:p>
        </w:tc>
      </w:tr>
      <w:tr w:rsidR="002A6E98" w:rsidRPr="00822EB7" w14:paraId="4BDAE3C0" w14:textId="77777777" w:rsidTr="00DB2E04">
        <w:trPr>
          <w:trHeight w:val="235"/>
        </w:trPr>
        <w:tc>
          <w:tcPr>
            <w:tcW w:w="2122" w:type="dxa"/>
            <w:vMerge/>
          </w:tcPr>
          <w:p w14:paraId="751B5969" w14:textId="77777777" w:rsidR="002A6E98" w:rsidRPr="007F7CD0" w:rsidRDefault="002A6E98" w:rsidP="00DB2E04">
            <w:pPr>
              <w:spacing w:after="60"/>
              <w:ind w:left="-113" w:right="-113"/>
              <w:jc w:val="center"/>
              <w:rPr>
                <w:rFonts w:ascii="Times New Roman" w:hAnsi="Times New Roman"/>
                <w:b/>
              </w:rPr>
            </w:pPr>
          </w:p>
        </w:tc>
        <w:tc>
          <w:tcPr>
            <w:tcW w:w="3827" w:type="dxa"/>
            <w:gridSpan w:val="2"/>
            <w:vAlign w:val="center"/>
          </w:tcPr>
          <w:p w14:paraId="3541F985" w14:textId="77777777" w:rsidR="002A6E98" w:rsidRPr="007F7CD0" w:rsidRDefault="002A6E98" w:rsidP="00DB2E04">
            <w:pPr>
              <w:spacing w:after="60"/>
              <w:ind w:left="-113" w:right="-113"/>
              <w:jc w:val="center"/>
              <w:rPr>
                <w:rFonts w:ascii="Times New Roman" w:hAnsi="Times New Roman"/>
                <w:b/>
                <w:bCs/>
                <w:color w:val="000000"/>
              </w:rPr>
            </w:pPr>
            <w:r w:rsidRPr="007F7CD0">
              <w:rPr>
                <w:rFonts w:ascii="Times New Roman" w:hAnsi="Times New Roman"/>
                <w:b/>
                <w:bCs/>
                <w:color w:val="000000"/>
              </w:rPr>
              <w:t>HAŁAS DROGOWY</w:t>
            </w:r>
          </w:p>
        </w:tc>
        <w:tc>
          <w:tcPr>
            <w:tcW w:w="1559" w:type="dxa"/>
            <w:vMerge w:val="restart"/>
            <w:vAlign w:val="center"/>
          </w:tcPr>
          <w:p w14:paraId="3F0E3E34" w14:textId="77777777" w:rsidR="002A6E98" w:rsidRPr="007F7CD0" w:rsidRDefault="002A6E98" w:rsidP="00DB2E04">
            <w:pPr>
              <w:spacing w:after="60"/>
              <w:ind w:left="-113" w:right="-113"/>
              <w:jc w:val="center"/>
              <w:rPr>
                <w:rFonts w:ascii="Times New Roman" w:hAnsi="Times New Roman"/>
                <w:b/>
                <w:bCs/>
                <w:color w:val="000000"/>
              </w:rPr>
            </w:pPr>
            <w:r w:rsidRPr="007F7CD0">
              <w:rPr>
                <w:rFonts w:ascii="Times New Roman" w:hAnsi="Times New Roman"/>
                <w:b/>
                <w:bCs/>
                <w:color w:val="000000"/>
              </w:rPr>
              <w:t>HAŁAS SZYNOWY</w:t>
            </w:r>
          </w:p>
        </w:tc>
        <w:tc>
          <w:tcPr>
            <w:tcW w:w="1554" w:type="dxa"/>
            <w:vMerge w:val="restart"/>
            <w:vAlign w:val="center"/>
          </w:tcPr>
          <w:p w14:paraId="20753765" w14:textId="77777777" w:rsidR="002A6E98" w:rsidRPr="007F7CD0" w:rsidRDefault="002A6E98" w:rsidP="00DB2E04">
            <w:pPr>
              <w:spacing w:after="60"/>
              <w:ind w:left="-113" w:right="-113"/>
              <w:jc w:val="center"/>
              <w:rPr>
                <w:rFonts w:ascii="Times New Roman" w:hAnsi="Times New Roman"/>
                <w:b/>
                <w:bCs/>
                <w:color w:val="000000"/>
              </w:rPr>
            </w:pPr>
            <w:r w:rsidRPr="007F7CD0">
              <w:rPr>
                <w:rFonts w:ascii="Times New Roman" w:hAnsi="Times New Roman"/>
                <w:b/>
                <w:bCs/>
                <w:color w:val="000000"/>
              </w:rPr>
              <w:t>HAŁAS LOTNICZY</w:t>
            </w:r>
          </w:p>
        </w:tc>
      </w:tr>
      <w:tr w:rsidR="002A6E98" w:rsidRPr="00822EB7" w14:paraId="09958BC1" w14:textId="77777777" w:rsidTr="00DB2E04">
        <w:trPr>
          <w:trHeight w:val="234"/>
        </w:trPr>
        <w:tc>
          <w:tcPr>
            <w:tcW w:w="2122" w:type="dxa"/>
            <w:vMerge/>
          </w:tcPr>
          <w:p w14:paraId="27601039" w14:textId="77777777" w:rsidR="002A6E98" w:rsidRPr="007F7CD0" w:rsidRDefault="002A6E98" w:rsidP="00DB2E04">
            <w:pPr>
              <w:spacing w:after="60"/>
              <w:ind w:left="-113" w:right="-113"/>
              <w:jc w:val="center"/>
              <w:rPr>
                <w:rFonts w:ascii="Times New Roman" w:hAnsi="Times New Roman"/>
                <w:b/>
              </w:rPr>
            </w:pPr>
          </w:p>
        </w:tc>
        <w:tc>
          <w:tcPr>
            <w:tcW w:w="1984" w:type="dxa"/>
            <w:vAlign w:val="center"/>
          </w:tcPr>
          <w:p w14:paraId="2B5B1B86" w14:textId="77777777" w:rsidR="002A6E98" w:rsidRPr="007F7CD0" w:rsidRDefault="002A6E98" w:rsidP="00DB2E04">
            <w:pPr>
              <w:spacing w:after="60"/>
              <w:ind w:left="-113" w:right="-113"/>
              <w:jc w:val="center"/>
              <w:rPr>
                <w:rFonts w:ascii="Times New Roman" w:hAnsi="Times New Roman"/>
                <w:b/>
                <w:bCs/>
                <w:color w:val="000000"/>
              </w:rPr>
            </w:pPr>
            <w:r w:rsidRPr="007F7CD0">
              <w:rPr>
                <w:rFonts w:ascii="Times New Roman" w:hAnsi="Times New Roman"/>
                <w:b/>
                <w:bCs/>
                <w:color w:val="000000"/>
              </w:rPr>
              <w:t>Pomiary krótkookresowe</w:t>
            </w:r>
          </w:p>
        </w:tc>
        <w:tc>
          <w:tcPr>
            <w:tcW w:w="1843" w:type="dxa"/>
            <w:vAlign w:val="center"/>
          </w:tcPr>
          <w:p w14:paraId="613B9BB9" w14:textId="77777777" w:rsidR="002A6E98" w:rsidRPr="007F7CD0" w:rsidRDefault="002A6E98" w:rsidP="00DB2E04">
            <w:pPr>
              <w:spacing w:after="60"/>
              <w:ind w:left="-113" w:right="-113"/>
              <w:jc w:val="center"/>
              <w:rPr>
                <w:rFonts w:ascii="Times New Roman" w:hAnsi="Times New Roman"/>
                <w:b/>
                <w:bCs/>
                <w:color w:val="000000"/>
              </w:rPr>
            </w:pPr>
            <w:r w:rsidRPr="007F7CD0">
              <w:rPr>
                <w:rFonts w:ascii="Times New Roman" w:hAnsi="Times New Roman"/>
                <w:b/>
                <w:bCs/>
                <w:color w:val="000000"/>
              </w:rPr>
              <w:t>Pomiary długookresowe</w:t>
            </w:r>
          </w:p>
        </w:tc>
        <w:tc>
          <w:tcPr>
            <w:tcW w:w="1559" w:type="dxa"/>
            <w:vMerge/>
            <w:vAlign w:val="center"/>
          </w:tcPr>
          <w:p w14:paraId="46D20350" w14:textId="77777777" w:rsidR="002A6E98" w:rsidRPr="007F7CD0" w:rsidRDefault="002A6E98" w:rsidP="00DB2E04">
            <w:pPr>
              <w:spacing w:after="60"/>
              <w:ind w:left="-113" w:right="-113"/>
              <w:jc w:val="center"/>
              <w:rPr>
                <w:rFonts w:ascii="Times New Roman" w:hAnsi="Times New Roman"/>
                <w:b/>
                <w:bCs/>
                <w:color w:val="000000"/>
              </w:rPr>
            </w:pPr>
          </w:p>
        </w:tc>
        <w:tc>
          <w:tcPr>
            <w:tcW w:w="1554" w:type="dxa"/>
            <w:vMerge/>
            <w:vAlign w:val="center"/>
          </w:tcPr>
          <w:p w14:paraId="01D5FE9D" w14:textId="77777777" w:rsidR="002A6E98" w:rsidRPr="007F7CD0" w:rsidRDefault="002A6E98" w:rsidP="00DB2E04">
            <w:pPr>
              <w:spacing w:after="60"/>
              <w:ind w:left="-113" w:right="-113"/>
              <w:jc w:val="center"/>
              <w:rPr>
                <w:rFonts w:ascii="Times New Roman" w:hAnsi="Times New Roman"/>
                <w:b/>
                <w:bCs/>
                <w:color w:val="000000"/>
              </w:rPr>
            </w:pPr>
          </w:p>
        </w:tc>
      </w:tr>
      <w:tr w:rsidR="002A6E98" w:rsidRPr="00822EB7" w14:paraId="7AE0297D" w14:textId="77777777" w:rsidTr="00DB2E04">
        <w:tc>
          <w:tcPr>
            <w:tcW w:w="2122" w:type="dxa"/>
          </w:tcPr>
          <w:p w14:paraId="491F1FDD" w14:textId="77777777" w:rsidR="002A6E98" w:rsidRPr="007F7CD0" w:rsidRDefault="002A6E98" w:rsidP="00DB2E04">
            <w:pPr>
              <w:spacing w:after="60"/>
              <w:ind w:left="-113" w:right="-113"/>
              <w:jc w:val="center"/>
              <w:rPr>
                <w:rFonts w:ascii="Times New Roman" w:hAnsi="Times New Roman"/>
                <w:b/>
              </w:rPr>
            </w:pPr>
            <w:r w:rsidRPr="007F7CD0">
              <w:rPr>
                <w:rFonts w:ascii="Times New Roman" w:hAnsi="Times New Roman"/>
                <w:b/>
              </w:rPr>
              <w:t>Dolnośląskie</w:t>
            </w:r>
          </w:p>
        </w:tc>
        <w:tc>
          <w:tcPr>
            <w:tcW w:w="1984" w:type="dxa"/>
            <w:tcBorders>
              <w:top w:val="nil"/>
              <w:left w:val="nil"/>
              <w:bottom w:val="single" w:sz="8" w:space="0" w:color="auto"/>
              <w:right w:val="single" w:sz="8" w:space="0" w:color="auto"/>
            </w:tcBorders>
            <w:shd w:val="clear" w:color="auto" w:fill="auto"/>
            <w:vAlign w:val="center"/>
          </w:tcPr>
          <w:p w14:paraId="4A164D52"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14/13</w:t>
            </w:r>
          </w:p>
        </w:tc>
        <w:tc>
          <w:tcPr>
            <w:tcW w:w="1843" w:type="dxa"/>
            <w:tcBorders>
              <w:top w:val="nil"/>
              <w:left w:val="nil"/>
              <w:bottom w:val="single" w:sz="8" w:space="0" w:color="auto"/>
              <w:right w:val="single" w:sz="8" w:space="0" w:color="auto"/>
            </w:tcBorders>
            <w:shd w:val="clear" w:color="auto" w:fill="auto"/>
            <w:vAlign w:val="center"/>
          </w:tcPr>
          <w:p w14:paraId="54A130DC"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5</w:t>
            </w:r>
          </w:p>
        </w:tc>
        <w:tc>
          <w:tcPr>
            <w:tcW w:w="1559" w:type="dxa"/>
            <w:tcBorders>
              <w:top w:val="nil"/>
              <w:left w:val="nil"/>
              <w:bottom w:val="single" w:sz="8" w:space="0" w:color="auto"/>
              <w:right w:val="single" w:sz="8" w:space="0" w:color="auto"/>
            </w:tcBorders>
            <w:shd w:val="clear" w:color="auto" w:fill="auto"/>
            <w:vAlign w:val="center"/>
          </w:tcPr>
          <w:p w14:paraId="46DC3B3E"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1</w:t>
            </w:r>
          </w:p>
        </w:tc>
        <w:tc>
          <w:tcPr>
            <w:tcW w:w="1554" w:type="dxa"/>
            <w:tcBorders>
              <w:top w:val="nil"/>
              <w:left w:val="nil"/>
              <w:bottom w:val="single" w:sz="8" w:space="0" w:color="auto"/>
              <w:right w:val="single" w:sz="8" w:space="0" w:color="auto"/>
            </w:tcBorders>
            <w:shd w:val="clear" w:color="auto" w:fill="auto"/>
            <w:vAlign w:val="center"/>
          </w:tcPr>
          <w:p w14:paraId="09D992C4"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0</w:t>
            </w:r>
          </w:p>
        </w:tc>
      </w:tr>
      <w:tr w:rsidR="002A6E98" w:rsidRPr="00822EB7" w14:paraId="0EE66706" w14:textId="77777777" w:rsidTr="00DB2E04">
        <w:tc>
          <w:tcPr>
            <w:tcW w:w="2122" w:type="dxa"/>
          </w:tcPr>
          <w:p w14:paraId="04A49AC6" w14:textId="77777777" w:rsidR="002A6E98" w:rsidRPr="007F7CD0" w:rsidRDefault="002A6E98" w:rsidP="00DB2E04">
            <w:pPr>
              <w:spacing w:after="60"/>
              <w:ind w:left="-113" w:right="-113"/>
              <w:jc w:val="center"/>
              <w:rPr>
                <w:rFonts w:ascii="Times New Roman" w:hAnsi="Times New Roman"/>
                <w:b/>
              </w:rPr>
            </w:pPr>
            <w:r w:rsidRPr="007F7CD0">
              <w:rPr>
                <w:rFonts w:ascii="Times New Roman" w:hAnsi="Times New Roman"/>
                <w:b/>
              </w:rPr>
              <w:t>Kujawsko-pomorskie</w:t>
            </w:r>
          </w:p>
        </w:tc>
        <w:tc>
          <w:tcPr>
            <w:tcW w:w="1984" w:type="dxa"/>
            <w:tcBorders>
              <w:top w:val="nil"/>
              <w:left w:val="nil"/>
              <w:bottom w:val="single" w:sz="8" w:space="0" w:color="auto"/>
              <w:right w:val="single" w:sz="8" w:space="0" w:color="auto"/>
            </w:tcBorders>
            <w:shd w:val="clear" w:color="auto" w:fill="auto"/>
            <w:vAlign w:val="center"/>
          </w:tcPr>
          <w:p w14:paraId="39D242DF"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14</w:t>
            </w:r>
          </w:p>
        </w:tc>
        <w:tc>
          <w:tcPr>
            <w:tcW w:w="1843" w:type="dxa"/>
            <w:tcBorders>
              <w:top w:val="nil"/>
              <w:left w:val="nil"/>
              <w:bottom w:val="single" w:sz="8" w:space="0" w:color="auto"/>
              <w:right w:val="single" w:sz="8" w:space="0" w:color="auto"/>
            </w:tcBorders>
            <w:shd w:val="clear" w:color="auto" w:fill="auto"/>
            <w:vAlign w:val="center"/>
          </w:tcPr>
          <w:p w14:paraId="525C2D8B"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7</w:t>
            </w:r>
          </w:p>
        </w:tc>
        <w:tc>
          <w:tcPr>
            <w:tcW w:w="1559" w:type="dxa"/>
            <w:tcBorders>
              <w:top w:val="nil"/>
              <w:left w:val="nil"/>
              <w:bottom w:val="single" w:sz="8" w:space="0" w:color="auto"/>
              <w:right w:val="single" w:sz="8" w:space="0" w:color="auto"/>
            </w:tcBorders>
            <w:shd w:val="clear" w:color="auto" w:fill="auto"/>
            <w:vAlign w:val="center"/>
          </w:tcPr>
          <w:p w14:paraId="354C00BE"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1</w:t>
            </w:r>
          </w:p>
        </w:tc>
        <w:tc>
          <w:tcPr>
            <w:tcW w:w="1554" w:type="dxa"/>
            <w:tcBorders>
              <w:top w:val="nil"/>
              <w:left w:val="nil"/>
              <w:bottom w:val="single" w:sz="8" w:space="0" w:color="auto"/>
              <w:right w:val="single" w:sz="8" w:space="0" w:color="auto"/>
            </w:tcBorders>
            <w:shd w:val="clear" w:color="auto" w:fill="auto"/>
            <w:vAlign w:val="center"/>
          </w:tcPr>
          <w:p w14:paraId="3FC54B4C"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0/1</w:t>
            </w:r>
          </w:p>
        </w:tc>
      </w:tr>
      <w:tr w:rsidR="002A6E98" w:rsidRPr="00822EB7" w14:paraId="3005D32C" w14:textId="77777777" w:rsidTr="00DB2E04">
        <w:tc>
          <w:tcPr>
            <w:tcW w:w="2122" w:type="dxa"/>
          </w:tcPr>
          <w:p w14:paraId="380AFE70" w14:textId="77777777" w:rsidR="002A6E98" w:rsidRPr="007F7CD0" w:rsidRDefault="002A6E98" w:rsidP="00DB2E04">
            <w:pPr>
              <w:spacing w:after="60"/>
              <w:ind w:left="-113" w:right="-113"/>
              <w:jc w:val="center"/>
              <w:rPr>
                <w:rFonts w:ascii="Times New Roman" w:hAnsi="Times New Roman"/>
                <w:b/>
              </w:rPr>
            </w:pPr>
            <w:r w:rsidRPr="007F7CD0">
              <w:rPr>
                <w:rFonts w:ascii="Times New Roman" w:hAnsi="Times New Roman"/>
                <w:b/>
              </w:rPr>
              <w:t>Lubelskie</w:t>
            </w:r>
          </w:p>
        </w:tc>
        <w:tc>
          <w:tcPr>
            <w:tcW w:w="1984" w:type="dxa"/>
            <w:tcBorders>
              <w:top w:val="nil"/>
              <w:left w:val="nil"/>
              <w:bottom w:val="single" w:sz="8" w:space="0" w:color="auto"/>
              <w:right w:val="single" w:sz="8" w:space="0" w:color="auto"/>
            </w:tcBorders>
            <w:shd w:val="clear" w:color="auto" w:fill="auto"/>
            <w:vAlign w:val="center"/>
          </w:tcPr>
          <w:p w14:paraId="18CFDD71"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28/29</w:t>
            </w:r>
          </w:p>
        </w:tc>
        <w:tc>
          <w:tcPr>
            <w:tcW w:w="1843" w:type="dxa"/>
            <w:tcBorders>
              <w:top w:val="nil"/>
              <w:left w:val="nil"/>
              <w:bottom w:val="single" w:sz="8" w:space="0" w:color="auto"/>
              <w:right w:val="single" w:sz="8" w:space="0" w:color="auto"/>
            </w:tcBorders>
            <w:shd w:val="clear" w:color="auto" w:fill="auto"/>
            <w:vAlign w:val="center"/>
          </w:tcPr>
          <w:p w14:paraId="796EE7DA"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3</w:t>
            </w:r>
          </w:p>
        </w:tc>
        <w:tc>
          <w:tcPr>
            <w:tcW w:w="1559" w:type="dxa"/>
            <w:tcBorders>
              <w:top w:val="nil"/>
              <w:left w:val="nil"/>
              <w:bottom w:val="single" w:sz="8" w:space="0" w:color="auto"/>
              <w:right w:val="single" w:sz="8" w:space="0" w:color="auto"/>
            </w:tcBorders>
            <w:shd w:val="clear" w:color="auto" w:fill="auto"/>
            <w:vAlign w:val="center"/>
          </w:tcPr>
          <w:p w14:paraId="2EC1920E"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0</w:t>
            </w:r>
          </w:p>
        </w:tc>
        <w:tc>
          <w:tcPr>
            <w:tcW w:w="1554" w:type="dxa"/>
            <w:tcBorders>
              <w:top w:val="nil"/>
              <w:left w:val="nil"/>
              <w:bottom w:val="single" w:sz="8" w:space="0" w:color="auto"/>
              <w:right w:val="single" w:sz="8" w:space="0" w:color="auto"/>
            </w:tcBorders>
            <w:shd w:val="clear" w:color="auto" w:fill="auto"/>
            <w:vAlign w:val="center"/>
          </w:tcPr>
          <w:p w14:paraId="530CE04D"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0</w:t>
            </w:r>
          </w:p>
        </w:tc>
      </w:tr>
      <w:tr w:rsidR="002A6E98" w:rsidRPr="00822EB7" w14:paraId="162A073A" w14:textId="77777777" w:rsidTr="00DB2E04">
        <w:tc>
          <w:tcPr>
            <w:tcW w:w="2122" w:type="dxa"/>
          </w:tcPr>
          <w:p w14:paraId="6A8319B8" w14:textId="77777777" w:rsidR="002A6E98" w:rsidRPr="007F7CD0" w:rsidRDefault="002A6E98" w:rsidP="00DB2E04">
            <w:pPr>
              <w:spacing w:after="60"/>
              <w:ind w:left="-113" w:right="-113"/>
              <w:jc w:val="center"/>
              <w:rPr>
                <w:rFonts w:ascii="Times New Roman" w:hAnsi="Times New Roman"/>
                <w:b/>
              </w:rPr>
            </w:pPr>
            <w:r w:rsidRPr="007F7CD0">
              <w:rPr>
                <w:rFonts w:ascii="Times New Roman" w:hAnsi="Times New Roman"/>
                <w:b/>
              </w:rPr>
              <w:t>Lubuskie</w:t>
            </w:r>
          </w:p>
        </w:tc>
        <w:tc>
          <w:tcPr>
            <w:tcW w:w="1984" w:type="dxa"/>
            <w:tcBorders>
              <w:top w:val="nil"/>
              <w:left w:val="nil"/>
              <w:bottom w:val="single" w:sz="8" w:space="0" w:color="auto"/>
              <w:right w:val="single" w:sz="8" w:space="0" w:color="auto"/>
            </w:tcBorders>
            <w:shd w:val="clear" w:color="auto" w:fill="auto"/>
            <w:vAlign w:val="center"/>
          </w:tcPr>
          <w:p w14:paraId="427EA6C6"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8</w:t>
            </w:r>
          </w:p>
        </w:tc>
        <w:tc>
          <w:tcPr>
            <w:tcW w:w="1843" w:type="dxa"/>
            <w:tcBorders>
              <w:top w:val="nil"/>
              <w:left w:val="nil"/>
              <w:bottom w:val="single" w:sz="8" w:space="0" w:color="auto"/>
              <w:right w:val="single" w:sz="8" w:space="0" w:color="auto"/>
            </w:tcBorders>
            <w:shd w:val="clear" w:color="auto" w:fill="auto"/>
            <w:vAlign w:val="center"/>
          </w:tcPr>
          <w:p w14:paraId="0FD0C83C"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3</w:t>
            </w:r>
          </w:p>
        </w:tc>
        <w:tc>
          <w:tcPr>
            <w:tcW w:w="1559" w:type="dxa"/>
            <w:tcBorders>
              <w:top w:val="nil"/>
              <w:left w:val="nil"/>
              <w:bottom w:val="single" w:sz="8" w:space="0" w:color="auto"/>
              <w:right w:val="single" w:sz="8" w:space="0" w:color="auto"/>
            </w:tcBorders>
            <w:shd w:val="clear" w:color="auto" w:fill="auto"/>
            <w:vAlign w:val="center"/>
          </w:tcPr>
          <w:p w14:paraId="579E5227"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0</w:t>
            </w:r>
          </w:p>
        </w:tc>
        <w:tc>
          <w:tcPr>
            <w:tcW w:w="1554" w:type="dxa"/>
            <w:tcBorders>
              <w:top w:val="nil"/>
              <w:left w:val="nil"/>
              <w:bottom w:val="single" w:sz="8" w:space="0" w:color="auto"/>
              <w:right w:val="single" w:sz="8" w:space="0" w:color="auto"/>
            </w:tcBorders>
            <w:shd w:val="clear" w:color="auto" w:fill="auto"/>
            <w:vAlign w:val="center"/>
          </w:tcPr>
          <w:p w14:paraId="6FC29063"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0</w:t>
            </w:r>
          </w:p>
        </w:tc>
      </w:tr>
      <w:tr w:rsidR="002A6E98" w:rsidRPr="00822EB7" w14:paraId="2D9D3878" w14:textId="77777777" w:rsidTr="00DB2E04">
        <w:tc>
          <w:tcPr>
            <w:tcW w:w="2122" w:type="dxa"/>
          </w:tcPr>
          <w:p w14:paraId="6563E6DA" w14:textId="77777777" w:rsidR="002A6E98" w:rsidRPr="007F7CD0" w:rsidRDefault="002A6E98" w:rsidP="00DB2E04">
            <w:pPr>
              <w:spacing w:after="60"/>
              <w:ind w:left="-113" w:right="-113"/>
              <w:jc w:val="center"/>
              <w:rPr>
                <w:rFonts w:ascii="Times New Roman" w:hAnsi="Times New Roman"/>
                <w:b/>
              </w:rPr>
            </w:pPr>
            <w:r w:rsidRPr="007F7CD0">
              <w:rPr>
                <w:rFonts w:ascii="Times New Roman" w:hAnsi="Times New Roman"/>
                <w:b/>
              </w:rPr>
              <w:t>Łódzkie</w:t>
            </w:r>
          </w:p>
        </w:tc>
        <w:tc>
          <w:tcPr>
            <w:tcW w:w="1984" w:type="dxa"/>
            <w:tcBorders>
              <w:top w:val="nil"/>
              <w:left w:val="nil"/>
              <w:bottom w:val="single" w:sz="8" w:space="0" w:color="auto"/>
              <w:right w:val="single" w:sz="8" w:space="0" w:color="auto"/>
            </w:tcBorders>
            <w:shd w:val="clear" w:color="auto" w:fill="auto"/>
            <w:vAlign w:val="center"/>
          </w:tcPr>
          <w:p w14:paraId="449C2E88"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4/12</w:t>
            </w:r>
          </w:p>
        </w:tc>
        <w:tc>
          <w:tcPr>
            <w:tcW w:w="1843" w:type="dxa"/>
            <w:tcBorders>
              <w:top w:val="nil"/>
              <w:left w:val="nil"/>
              <w:bottom w:val="single" w:sz="8" w:space="0" w:color="auto"/>
              <w:right w:val="single" w:sz="8" w:space="0" w:color="auto"/>
            </w:tcBorders>
            <w:shd w:val="clear" w:color="auto" w:fill="auto"/>
            <w:vAlign w:val="center"/>
          </w:tcPr>
          <w:p w14:paraId="36B2027B"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2/3</w:t>
            </w:r>
          </w:p>
        </w:tc>
        <w:tc>
          <w:tcPr>
            <w:tcW w:w="1559" w:type="dxa"/>
            <w:tcBorders>
              <w:top w:val="nil"/>
              <w:left w:val="nil"/>
              <w:bottom w:val="single" w:sz="8" w:space="0" w:color="auto"/>
              <w:right w:val="single" w:sz="8" w:space="0" w:color="auto"/>
            </w:tcBorders>
            <w:shd w:val="clear" w:color="auto" w:fill="auto"/>
            <w:vAlign w:val="center"/>
          </w:tcPr>
          <w:p w14:paraId="6615F1D0"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0/2</w:t>
            </w:r>
          </w:p>
        </w:tc>
        <w:tc>
          <w:tcPr>
            <w:tcW w:w="1554" w:type="dxa"/>
            <w:tcBorders>
              <w:top w:val="nil"/>
              <w:left w:val="nil"/>
              <w:bottom w:val="single" w:sz="8" w:space="0" w:color="auto"/>
              <w:right w:val="single" w:sz="8" w:space="0" w:color="auto"/>
            </w:tcBorders>
            <w:shd w:val="clear" w:color="auto" w:fill="auto"/>
            <w:vAlign w:val="center"/>
          </w:tcPr>
          <w:p w14:paraId="72EA9D30"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0</w:t>
            </w:r>
          </w:p>
        </w:tc>
      </w:tr>
      <w:tr w:rsidR="002A6E98" w:rsidRPr="00822EB7" w14:paraId="2679C3AC" w14:textId="77777777" w:rsidTr="00DB2E04">
        <w:tc>
          <w:tcPr>
            <w:tcW w:w="2122" w:type="dxa"/>
          </w:tcPr>
          <w:p w14:paraId="038C1B27" w14:textId="77777777" w:rsidR="002A6E98" w:rsidRPr="007F7CD0" w:rsidRDefault="002A6E98" w:rsidP="00DB2E04">
            <w:pPr>
              <w:spacing w:after="60"/>
              <w:ind w:left="-113" w:right="-113"/>
              <w:jc w:val="center"/>
              <w:rPr>
                <w:rFonts w:ascii="Times New Roman" w:hAnsi="Times New Roman"/>
                <w:b/>
              </w:rPr>
            </w:pPr>
            <w:r w:rsidRPr="007F7CD0">
              <w:rPr>
                <w:rFonts w:ascii="Times New Roman" w:hAnsi="Times New Roman"/>
                <w:b/>
              </w:rPr>
              <w:t>Małopolskie</w:t>
            </w:r>
          </w:p>
        </w:tc>
        <w:tc>
          <w:tcPr>
            <w:tcW w:w="1984" w:type="dxa"/>
            <w:tcBorders>
              <w:top w:val="nil"/>
              <w:left w:val="nil"/>
              <w:bottom w:val="single" w:sz="8" w:space="0" w:color="auto"/>
              <w:right w:val="single" w:sz="8" w:space="0" w:color="auto"/>
            </w:tcBorders>
            <w:shd w:val="clear" w:color="auto" w:fill="auto"/>
            <w:vAlign w:val="center"/>
          </w:tcPr>
          <w:p w14:paraId="30FA6C8E"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12</w:t>
            </w:r>
          </w:p>
        </w:tc>
        <w:tc>
          <w:tcPr>
            <w:tcW w:w="1843" w:type="dxa"/>
            <w:tcBorders>
              <w:top w:val="nil"/>
              <w:left w:val="nil"/>
              <w:bottom w:val="single" w:sz="8" w:space="0" w:color="auto"/>
              <w:right w:val="single" w:sz="8" w:space="0" w:color="auto"/>
            </w:tcBorders>
            <w:shd w:val="clear" w:color="auto" w:fill="auto"/>
            <w:vAlign w:val="center"/>
          </w:tcPr>
          <w:p w14:paraId="12233EB5"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3</w:t>
            </w:r>
          </w:p>
        </w:tc>
        <w:tc>
          <w:tcPr>
            <w:tcW w:w="1559" w:type="dxa"/>
            <w:tcBorders>
              <w:top w:val="nil"/>
              <w:left w:val="nil"/>
              <w:bottom w:val="single" w:sz="8" w:space="0" w:color="auto"/>
              <w:right w:val="single" w:sz="8" w:space="0" w:color="auto"/>
            </w:tcBorders>
            <w:shd w:val="clear" w:color="auto" w:fill="auto"/>
            <w:vAlign w:val="center"/>
          </w:tcPr>
          <w:p w14:paraId="6D29654A"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2</w:t>
            </w:r>
          </w:p>
        </w:tc>
        <w:tc>
          <w:tcPr>
            <w:tcW w:w="1554" w:type="dxa"/>
            <w:tcBorders>
              <w:top w:val="nil"/>
              <w:left w:val="nil"/>
              <w:bottom w:val="single" w:sz="8" w:space="0" w:color="auto"/>
              <w:right w:val="single" w:sz="8" w:space="0" w:color="auto"/>
            </w:tcBorders>
            <w:shd w:val="clear" w:color="auto" w:fill="auto"/>
            <w:vAlign w:val="center"/>
          </w:tcPr>
          <w:p w14:paraId="681FC948"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1</w:t>
            </w:r>
          </w:p>
        </w:tc>
      </w:tr>
      <w:tr w:rsidR="002A6E98" w:rsidRPr="00822EB7" w14:paraId="705CD001" w14:textId="77777777" w:rsidTr="00DB2E04">
        <w:tc>
          <w:tcPr>
            <w:tcW w:w="2122" w:type="dxa"/>
          </w:tcPr>
          <w:p w14:paraId="28546245" w14:textId="77777777" w:rsidR="002A6E98" w:rsidRPr="007F7CD0" w:rsidRDefault="002A6E98" w:rsidP="00DB2E04">
            <w:pPr>
              <w:spacing w:after="60"/>
              <w:ind w:left="-113" w:right="-113"/>
              <w:jc w:val="center"/>
              <w:rPr>
                <w:rFonts w:ascii="Times New Roman" w:hAnsi="Times New Roman"/>
                <w:b/>
              </w:rPr>
            </w:pPr>
            <w:r w:rsidRPr="007F7CD0">
              <w:rPr>
                <w:rFonts w:ascii="Times New Roman" w:hAnsi="Times New Roman"/>
                <w:b/>
              </w:rPr>
              <w:t>Mazowieckie</w:t>
            </w:r>
          </w:p>
        </w:tc>
        <w:tc>
          <w:tcPr>
            <w:tcW w:w="1984" w:type="dxa"/>
            <w:tcBorders>
              <w:top w:val="nil"/>
              <w:left w:val="nil"/>
              <w:bottom w:val="single" w:sz="8" w:space="0" w:color="auto"/>
              <w:right w:val="single" w:sz="8" w:space="0" w:color="auto"/>
            </w:tcBorders>
            <w:shd w:val="clear" w:color="auto" w:fill="auto"/>
            <w:vAlign w:val="center"/>
          </w:tcPr>
          <w:p w14:paraId="484AC12A"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11/12</w:t>
            </w:r>
          </w:p>
        </w:tc>
        <w:tc>
          <w:tcPr>
            <w:tcW w:w="1843" w:type="dxa"/>
            <w:tcBorders>
              <w:top w:val="nil"/>
              <w:left w:val="nil"/>
              <w:bottom w:val="single" w:sz="8" w:space="0" w:color="auto"/>
              <w:right w:val="single" w:sz="8" w:space="0" w:color="auto"/>
            </w:tcBorders>
            <w:shd w:val="clear" w:color="auto" w:fill="auto"/>
            <w:vAlign w:val="center"/>
          </w:tcPr>
          <w:p w14:paraId="76E148C3"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3</w:t>
            </w:r>
          </w:p>
        </w:tc>
        <w:tc>
          <w:tcPr>
            <w:tcW w:w="1559" w:type="dxa"/>
            <w:tcBorders>
              <w:top w:val="nil"/>
              <w:left w:val="nil"/>
              <w:bottom w:val="single" w:sz="8" w:space="0" w:color="auto"/>
              <w:right w:val="single" w:sz="8" w:space="0" w:color="auto"/>
            </w:tcBorders>
            <w:shd w:val="clear" w:color="auto" w:fill="auto"/>
            <w:vAlign w:val="center"/>
          </w:tcPr>
          <w:p w14:paraId="3BB15F3F"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2</w:t>
            </w:r>
          </w:p>
        </w:tc>
        <w:tc>
          <w:tcPr>
            <w:tcW w:w="1554" w:type="dxa"/>
            <w:tcBorders>
              <w:top w:val="nil"/>
              <w:left w:val="nil"/>
              <w:bottom w:val="single" w:sz="8" w:space="0" w:color="auto"/>
              <w:right w:val="single" w:sz="8" w:space="0" w:color="auto"/>
            </w:tcBorders>
            <w:shd w:val="clear" w:color="auto" w:fill="auto"/>
            <w:vAlign w:val="center"/>
          </w:tcPr>
          <w:p w14:paraId="1E9FB7D9"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2</w:t>
            </w:r>
          </w:p>
        </w:tc>
      </w:tr>
      <w:tr w:rsidR="002A6E98" w:rsidRPr="00822EB7" w14:paraId="3D480DA3" w14:textId="77777777" w:rsidTr="00DB2E04">
        <w:tc>
          <w:tcPr>
            <w:tcW w:w="2122" w:type="dxa"/>
          </w:tcPr>
          <w:p w14:paraId="33A49DD7" w14:textId="77777777" w:rsidR="002A6E98" w:rsidRPr="007F7CD0" w:rsidRDefault="002A6E98" w:rsidP="00DB2E04">
            <w:pPr>
              <w:spacing w:after="60"/>
              <w:ind w:left="-113" w:right="-113"/>
              <w:jc w:val="center"/>
              <w:rPr>
                <w:rFonts w:ascii="Times New Roman" w:hAnsi="Times New Roman"/>
                <w:b/>
              </w:rPr>
            </w:pPr>
            <w:r w:rsidRPr="007F7CD0">
              <w:rPr>
                <w:rFonts w:ascii="Times New Roman" w:hAnsi="Times New Roman"/>
                <w:b/>
              </w:rPr>
              <w:t>Opolskie</w:t>
            </w:r>
          </w:p>
        </w:tc>
        <w:tc>
          <w:tcPr>
            <w:tcW w:w="1984" w:type="dxa"/>
            <w:tcBorders>
              <w:top w:val="nil"/>
              <w:left w:val="nil"/>
              <w:bottom w:val="single" w:sz="8" w:space="0" w:color="auto"/>
              <w:right w:val="single" w:sz="8" w:space="0" w:color="auto"/>
            </w:tcBorders>
            <w:shd w:val="clear" w:color="auto" w:fill="auto"/>
            <w:vAlign w:val="center"/>
          </w:tcPr>
          <w:p w14:paraId="4D481519"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6</w:t>
            </w:r>
          </w:p>
        </w:tc>
        <w:tc>
          <w:tcPr>
            <w:tcW w:w="1843" w:type="dxa"/>
            <w:tcBorders>
              <w:top w:val="nil"/>
              <w:left w:val="nil"/>
              <w:bottom w:val="single" w:sz="8" w:space="0" w:color="auto"/>
              <w:right w:val="single" w:sz="8" w:space="0" w:color="auto"/>
            </w:tcBorders>
            <w:shd w:val="clear" w:color="auto" w:fill="auto"/>
            <w:vAlign w:val="center"/>
          </w:tcPr>
          <w:p w14:paraId="615E51AC"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3</w:t>
            </w:r>
          </w:p>
        </w:tc>
        <w:tc>
          <w:tcPr>
            <w:tcW w:w="1559" w:type="dxa"/>
            <w:tcBorders>
              <w:top w:val="nil"/>
              <w:left w:val="nil"/>
              <w:bottom w:val="single" w:sz="8" w:space="0" w:color="auto"/>
              <w:right w:val="single" w:sz="8" w:space="0" w:color="auto"/>
            </w:tcBorders>
            <w:shd w:val="clear" w:color="auto" w:fill="auto"/>
            <w:vAlign w:val="center"/>
          </w:tcPr>
          <w:p w14:paraId="7A701B68"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2</w:t>
            </w:r>
          </w:p>
        </w:tc>
        <w:tc>
          <w:tcPr>
            <w:tcW w:w="1554" w:type="dxa"/>
            <w:tcBorders>
              <w:top w:val="nil"/>
              <w:left w:val="nil"/>
              <w:bottom w:val="single" w:sz="8" w:space="0" w:color="auto"/>
              <w:right w:val="single" w:sz="8" w:space="0" w:color="auto"/>
            </w:tcBorders>
            <w:shd w:val="clear" w:color="auto" w:fill="auto"/>
            <w:vAlign w:val="center"/>
          </w:tcPr>
          <w:p w14:paraId="39D86283"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0</w:t>
            </w:r>
          </w:p>
        </w:tc>
      </w:tr>
      <w:tr w:rsidR="002A6E98" w:rsidRPr="00822EB7" w14:paraId="0670E83A" w14:textId="77777777" w:rsidTr="00DB2E04">
        <w:tc>
          <w:tcPr>
            <w:tcW w:w="2122" w:type="dxa"/>
          </w:tcPr>
          <w:p w14:paraId="103FFC16" w14:textId="77777777" w:rsidR="002A6E98" w:rsidRPr="007F7CD0" w:rsidRDefault="002A6E98" w:rsidP="00DB2E04">
            <w:pPr>
              <w:spacing w:after="60"/>
              <w:ind w:left="-113" w:right="-113"/>
              <w:jc w:val="center"/>
              <w:rPr>
                <w:rFonts w:ascii="Times New Roman" w:hAnsi="Times New Roman"/>
                <w:b/>
              </w:rPr>
            </w:pPr>
            <w:r w:rsidRPr="007F7CD0">
              <w:rPr>
                <w:rFonts w:ascii="Times New Roman" w:hAnsi="Times New Roman"/>
                <w:b/>
              </w:rPr>
              <w:t>Podkarpackie</w:t>
            </w:r>
          </w:p>
        </w:tc>
        <w:tc>
          <w:tcPr>
            <w:tcW w:w="1984" w:type="dxa"/>
            <w:tcBorders>
              <w:top w:val="nil"/>
              <w:left w:val="nil"/>
              <w:bottom w:val="single" w:sz="8" w:space="0" w:color="auto"/>
              <w:right w:val="single" w:sz="8" w:space="0" w:color="auto"/>
            </w:tcBorders>
            <w:shd w:val="clear" w:color="auto" w:fill="auto"/>
            <w:vAlign w:val="center"/>
          </w:tcPr>
          <w:p w14:paraId="01B6919E"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15</w:t>
            </w:r>
          </w:p>
        </w:tc>
        <w:tc>
          <w:tcPr>
            <w:tcW w:w="1843" w:type="dxa"/>
            <w:tcBorders>
              <w:top w:val="nil"/>
              <w:left w:val="nil"/>
              <w:bottom w:val="single" w:sz="8" w:space="0" w:color="auto"/>
              <w:right w:val="single" w:sz="8" w:space="0" w:color="auto"/>
            </w:tcBorders>
            <w:shd w:val="clear" w:color="auto" w:fill="auto"/>
            <w:vAlign w:val="center"/>
          </w:tcPr>
          <w:p w14:paraId="53FD01A9"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3</w:t>
            </w:r>
          </w:p>
        </w:tc>
        <w:tc>
          <w:tcPr>
            <w:tcW w:w="1559" w:type="dxa"/>
            <w:tcBorders>
              <w:top w:val="nil"/>
              <w:left w:val="nil"/>
              <w:bottom w:val="single" w:sz="8" w:space="0" w:color="auto"/>
              <w:right w:val="single" w:sz="8" w:space="0" w:color="auto"/>
            </w:tcBorders>
            <w:shd w:val="clear" w:color="auto" w:fill="auto"/>
            <w:vAlign w:val="center"/>
          </w:tcPr>
          <w:p w14:paraId="2C359121"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0</w:t>
            </w:r>
          </w:p>
        </w:tc>
        <w:tc>
          <w:tcPr>
            <w:tcW w:w="1554" w:type="dxa"/>
            <w:tcBorders>
              <w:top w:val="nil"/>
              <w:left w:val="nil"/>
              <w:bottom w:val="single" w:sz="8" w:space="0" w:color="auto"/>
              <w:right w:val="single" w:sz="8" w:space="0" w:color="auto"/>
            </w:tcBorders>
            <w:shd w:val="clear" w:color="auto" w:fill="auto"/>
            <w:vAlign w:val="center"/>
          </w:tcPr>
          <w:p w14:paraId="1E0D7C93"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0</w:t>
            </w:r>
          </w:p>
        </w:tc>
      </w:tr>
      <w:tr w:rsidR="002A6E98" w:rsidRPr="00822EB7" w14:paraId="006448F5" w14:textId="77777777" w:rsidTr="00DB2E04">
        <w:tc>
          <w:tcPr>
            <w:tcW w:w="2122" w:type="dxa"/>
          </w:tcPr>
          <w:p w14:paraId="34899DDC" w14:textId="77777777" w:rsidR="002A6E98" w:rsidRPr="007F7CD0" w:rsidRDefault="002A6E98" w:rsidP="00DB2E04">
            <w:pPr>
              <w:spacing w:after="60"/>
              <w:ind w:left="-113" w:right="-113"/>
              <w:jc w:val="center"/>
              <w:rPr>
                <w:rFonts w:ascii="Times New Roman" w:hAnsi="Times New Roman"/>
                <w:b/>
              </w:rPr>
            </w:pPr>
            <w:r w:rsidRPr="007F7CD0">
              <w:rPr>
                <w:rFonts w:ascii="Times New Roman" w:hAnsi="Times New Roman"/>
                <w:b/>
              </w:rPr>
              <w:t>Podlaskie</w:t>
            </w:r>
          </w:p>
        </w:tc>
        <w:tc>
          <w:tcPr>
            <w:tcW w:w="1984" w:type="dxa"/>
            <w:tcBorders>
              <w:top w:val="nil"/>
              <w:left w:val="nil"/>
              <w:bottom w:val="single" w:sz="8" w:space="0" w:color="auto"/>
              <w:right w:val="single" w:sz="8" w:space="0" w:color="auto"/>
            </w:tcBorders>
            <w:shd w:val="clear" w:color="auto" w:fill="auto"/>
            <w:vAlign w:val="center"/>
          </w:tcPr>
          <w:p w14:paraId="1E79E1E2"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16</w:t>
            </w:r>
          </w:p>
        </w:tc>
        <w:tc>
          <w:tcPr>
            <w:tcW w:w="1843" w:type="dxa"/>
            <w:tcBorders>
              <w:top w:val="nil"/>
              <w:left w:val="nil"/>
              <w:bottom w:val="single" w:sz="8" w:space="0" w:color="auto"/>
              <w:right w:val="single" w:sz="8" w:space="0" w:color="auto"/>
            </w:tcBorders>
            <w:shd w:val="clear" w:color="auto" w:fill="auto"/>
            <w:vAlign w:val="center"/>
          </w:tcPr>
          <w:p w14:paraId="44DB503A"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3</w:t>
            </w:r>
          </w:p>
        </w:tc>
        <w:tc>
          <w:tcPr>
            <w:tcW w:w="1559" w:type="dxa"/>
            <w:tcBorders>
              <w:top w:val="nil"/>
              <w:left w:val="nil"/>
              <w:bottom w:val="single" w:sz="8" w:space="0" w:color="auto"/>
              <w:right w:val="single" w:sz="8" w:space="0" w:color="auto"/>
            </w:tcBorders>
            <w:shd w:val="clear" w:color="auto" w:fill="auto"/>
            <w:vAlign w:val="center"/>
          </w:tcPr>
          <w:p w14:paraId="2CA19298"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0</w:t>
            </w:r>
          </w:p>
        </w:tc>
        <w:tc>
          <w:tcPr>
            <w:tcW w:w="1554" w:type="dxa"/>
            <w:tcBorders>
              <w:top w:val="nil"/>
              <w:left w:val="nil"/>
              <w:bottom w:val="single" w:sz="8" w:space="0" w:color="auto"/>
              <w:right w:val="single" w:sz="8" w:space="0" w:color="auto"/>
            </w:tcBorders>
            <w:shd w:val="clear" w:color="auto" w:fill="auto"/>
            <w:vAlign w:val="center"/>
          </w:tcPr>
          <w:p w14:paraId="4D819CAC"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0</w:t>
            </w:r>
          </w:p>
        </w:tc>
      </w:tr>
      <w:tr w:rsidR="002A6E98" w:rsidRPr="00822EB7" w14:paraId="555D0C12" w14:textId="77777777" w:rsidTr="00DB2E04">
        <w:tc>
          <w:tcPr>
            <w:tcW w:w="2122" w:type="dxa"/>
          </w:tcPr>
          <w:p w14:paraId="224F83A5" w14:textId="77777777" w:rsidR="002A6E98" w:rsidRPr="007F7CD0" w:rsidRDefault="002A6E98" w:rsidP="00DB2E04">
            <w:pPr>
              <w:spacing w:after="60"/>
              <w:ind w:left="-113" w:right="-113"/>
              <w:jc w:val="center"/>
              <w:rPr>
                <w:rFonts w:ascii="Times New Roman" w:hAnsi="Times New Roman"/>
                <w:b/>
              </w:rPr>
            </w:pPr>
            <w:r w:rsidRPr="007F7CD0">
              <w:rPr>
                <w:rFonts w:ascii="Times New Roman" w:hAnsi="Times New Roman"/>
                <w:b/>
              </w:rPr>
              <w:t>Pomorskie</w:t>
            </w:r>
          </w:p>
        </w:tc>
        <w:tc>
          <w:tcPr>
            <w:tcW w:w="1984" w:type="dxa"/>
            <w:tcBorders>
              <w:top w:val="nil"/>
              <w:left w:val="nil"/>
              <w:bottom w:val="single" w:sz="8" w:space="0" w:color="auto"/>
              <w:right w:val="single" w:sz="8" w:space="0" w:color="auto"/>
            </w:tcBorders>
            <w:shd w:val="clear" w:color="auto" w:fill="auto"/>
            <w:vAlign w:val="center"/>
          </w:tcPr>
          <w:p w14:paraId="5F7A23F6"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6</w:t>
            </w:r>
          </w:p>
        </w:tc>
        <w:tc>
          <w:tcPr>
            <w:tcW w:w="1843" w:type="dxa"/>
            <w:tcBorders>
              <w:top w:val="nil"/>
              <w:left w:val="nil"/>
              <w:bottom w:val="single" w:sz="8" w:space="0" w:color="auto"/>
              <w:right w:val="single" w:sz="8" w:space="0" w:color="auto"/>
            </w:tcBorders>
            <w:shd w:val="clear" w:color="auto" w:fill="auto"/>
            <w:vAlign w:val="center"/>
          </w:tcPr>
          <w:p w14:paraId="6BC2867B"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3</w:t>
            </w:r>
          </w:p>
        </w:tc>
        <w:tc>
          <w:tcPr>
            <w:tcW w:w="1559" w:type="dxa"/>
            <w:tcBorders>
              <w:top w:val="nil"/>
              <w:left w:val="nil"/>
              <w:bottom w:val="single" w:sz="8" w:space="0" w:color="auto"/>
              <w:right w:val="single" w:sz="8" w:space="0" w:color="auto"/>
            </w:tcBorders>
            <w:shd w:val="clear" w:color="auto" w:fill="auto"/>
            <w:vAlign w:val="center"/>
          </w:tcPr>
          <w:p w14:paraId="20AE0F07"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2</w:t>
            </w:r>
          </w:p>
        </w:tc>
        <w:tc>
          <w:tcPr>
            <w:tcW w:w="1554" w:type="dxa"/>
            <w:tcBorders>
              <w:top w:val="nil"/>
              <w:left w:val="nil"/>
              <w:bottom w:val="single" w:sz="8" w:space="0" w:color="auto"/>
              <w:right w:val="single" w:sz="8" w:space="0" w:color="auto"/>
            </w:tcBorders>
            <w:shd w:val="clear" w:color="auto" w:fill="auto"/>
            <w:vAlign w:val="center"/>
          </w:tcPr>
          <w:p w14:paraId="50833A36"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0</w:t>
            </w:r>
          </w:p>
        </w:tc>
      </w:tr>
      <w:tr w:rsidR="002A6E98" w:rsidRPr="00822EB7" w14:paraId="551C0A32" w14:textId="77777777" w:rsidTr="00DB2E04">
        <w:tc>
          <w:tcPr>
            <w:tcW w:w="2122" w:type="dxa"/>
          </w:tcPr>
          <w:p w14:paraId="6DA5024D" w14:textId="77777777" w:rsidR="002A6E98" w:rsidRPr="007F7CD0" w:rsidRDefault="002A6E98" w:rsidP="00DB2E04">
            <w:pPr>
              <w:spacing w:after="60"/>
              <w:ind w:left="-113" w:right="-113"/>
              <w:jc w:val="center"/>
              <w:rPr>
                <w:rFonts w:ascii="Times New Roman" w:hAnsi="Times New Roman"/>
                <w:b/>
              </w:rPr>
            </w:pPr>
            <w:r w:rsidRPr="007F7CD0">
              <w:rPr>
                <w:rFonts w:ascii="Times New Roman" w:hAnsi="Times New Roman"/>
                <w:b/>
              </w:rPr>
              <w:t>Śląskie</w:t>
            </w:r>
          </w:p>
        </w:tc>
        <w:tc>
          <w:tcPr>
            <w:tcW w:w="1984" w:type="dxa"/>
            <w:tcBorders>
              <w:top w:val="nil"/>
              <w:left w:val="nil"/>
              <w:bottom w:val="single" w:sz="8" w:space="0" w:color="auto"/>
              <w:right w:val="single" w:sz="8" w:space="0" w:color="auto"/>
            </w:tcBorders>
            <w:shd w:val="clear" w:color="auto" w:fill="auto"/>
            <w:vAlign w:val="center"/>
          </w:tcPr>
          <w:p w14:paraId="6E563629"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19/18</w:t>
            </w:r>
          </w:p>
        </w:tc>
        <w:tc>
          <w:tcPr>
            <w:tcW w:w="1843" w:type="dxa"/>
            <w:tcBorders>
              <w:top w:val="nil"/>
              <w:left w:val="nil"/>
              <w:bottom w:val="single" w:sz="8" w:space="0" w:color="auto"/>
              <w:right w:val="single" w:sz="8" w:space="0" w:color="auto"/>
            </w:tcBorders>
            <w:shd w:val="clear" w:color="auto" w:fill="auto"/>
            <w:vAlign w:val="center"/>
          </w:tcPr>
          <w:p w14:paraId="7C68BC33"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3</w:t>
            </w:r>
          </w:p>
        </w:tc>
        <w:tc>
          <w:tcPr>
            <w:tcW w:w="1559" w:type="dxa"/>
            <w:tcBorders>
              <w:top w:val="nil"/>
              <w:left w:val="nil"/>
              <w:bottom w:val="single" w:sz="8" w:space="0" w:color="auto"/>
              <w:right w:val="single" w:sz="8" w:space="0" w:color="auto"/>
            </w:tcBorders>
            <w:shd w:val="clear" w:color="auto" w:fill="auto"/>
            <w:vAlign w:val="center"/>
          </w:tcPr>
          <w:p w14:paraId="5908F3BA"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5</w:t>
            </w:r>
          </w:p>
        </w:tc>
        <w:tc>
          <w:tcPr>
            <w:tcW w:w="1554" w:type="dxa"/>
            <w:tcBorders>
              <w:top w:val="nil"/>
              <w:left w:val="nil"/>
              <w:bottom w:val="single" w:sz="8" w:space="0" w:color="auto"/>
              <w:right w:val="single" w:sz="8" w:space="0" w:color="auto"/>
            </w:tcBorders>
            <w:shd w:val="clear" w:color="auto" w:fill="auto"/>
            <w:vAlign w:val="center"/>
          </w:tcPr>
          <w:p w14:paraId="477B0282"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2</w:t>
            </w:r>
          </w:p>
        </w:tc>
      </w:tr>
      <w:tr w:rsidR="002A6E98" w:rsidRPr="00822EB7" w14:paraId="55A4F0C1" w14:textId="77777777" w:rsidTr="00DB2E04">
        <w:tc>
          <w:tcPr>
            <w:tcW w:w="2122" w:type="dxa"/>
          </w:tcPr>
          <w:p w14:paraId="2FBFF941" w14:textId="77777777" w:rsidR="002A6E98" w:rsidRPr="007F7CD0" w:rsidRDefault="002A6E98" w:rsidP="00DB2E04">
            <w:pPr>
              <w:spacing w:after="60"/>
              <w:ind w:left="-113" w:right="-113"/>
              <w:jc w:val="center"/>
              <w:rPr>
                <w:rFonts w:ascii="Times New Roman" w:hAnsi="Times New Roman"/>
                <w:b/>
              </w:rPr>
            </w:pPr>
            <w:r w:rsidRPr="007F7CD0">
              <w:rPr>
                <w:rFonts w:ascii="Times New Roman" w:hAnsi="Times New Roman"/>
                <w:b/>
              </w:rPr>
              <w:t>Świętokrzyskie</w:t>
            </w:r>
          </w:p>
        </w:tc>
        <w:tc>
          <w:tcPr>
            <w:tcW w:w="1984" w:type="dxa"/>
            <w:tcBorders>
              <w:top w:val="nil"/>
              <w:left w:val="nil"/>
              <w:bottom w:val="single" w:sz="8" w:space="0" w:color="auto"/>
              <w:right w:val="single" w:sz="8" w:space="0" w:color="auto"/>
            </w:tcBorders>
            <w:shd w:val="clear" w:color="auto" w:fill="auto"/>
            <w:vAlign w:val="center"/>
          </w:tcPr>
          <w:p w14:paraId="72CA0B53"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8</w:t>
            </w:r>
          </w:p>
        </w:tc>
        <w:tc>
          <w:tcPr>
            <w:tcW w:w="1843" w:type="dxa"/>
            <w:tcBorders>
              <w:top w:val="nil"/>
              <w:left w:val="nil"/>
              <w:bottom w:val="single" w:sz="8" w:space="0" w:color="auto"/>
              <w:right w:val="single" w:sz="8" w:space="0" w:color="auto"/>
            </w:tcBorders>
            <w:shd w:val="clear" w:color="auto" w:fill="auto"/>
            <w:vAlign w:val="center"/>
          </w:tcPr>
          <w:p w14:paraId="4C2171C0"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3</w:t>
            </w:r>
          </w:p>
        </w:tc>
        <w:tc>
          <w:tcPr>
            <w:tcW w:w="1559" w:type="dxa"/>
            <w:tcBorders>
              <w:top w:val="nil"/>
              <w:left w:val="nil"/>
              <w:bottom w:val="single" w:sz="8" w:space="0" w:color="auto"/>
              <w:right w:val="single" w:sz="8" w:space="0" w:color="auto"/>
            </w:tcBorders>
            <w:shd w:val="clear" w:color="auto" w:fill="auto"/>
            <w:vAlign w:val="center"/>
          </w:tcPr>
          <w:p w14:paraId="3A15C3AB"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0</w:t>
            </w:r>
          </w:p>
        </w:tc>
        <w:tc>
          <w:tcPr>
            <w:tcW w:w="1554" w:type="dxa"/>
            <w:tcBorders>
              <w:top w:val="nil"/>
              <w:left w:val="nil"/>
              <w:bottom w:val="single" w:sz="8" w:space="0" w:color="auto"/>
              <w:right w:val="single" w:sz="8" w:space="0" w:color="auto"/>
            </w:tcBorders>
            <w:shd w:val="clear" w:color="auto" w:fill="auto"/>
            <w:vAlign w:val="center"/>
          </w:tcPr>
          <w:p w14:paraId="700046B1"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0</w:t>
            </w:r>
          </w:p>
        </w:tc>
      </w:tr>
      <w:tr w:rsidR="002A6E98" w:rsidRPr="00822EB7" w14:paraId="20F57407" w14:textId="77777777" w:rsidTr="00DB2E04">
        <w:tc>
          <w:tcPr>
            <w:tcW w:w="2122" w:type="dxa"/>
          </w:tcPr>
          <w:p w14:paraId="33B51114" w14:textId="77777777" w:rsidR="002A6E98" w:rsidRPr="007F7CD0" w:rsidRDefault="002A6E98" w:rsidP="00DB2E04">
            <w:pPr>
              <w:spacing w:after="60"/>
              <w:ind w:left="-113" w:right="-113"/>
              <w:jc w:val="center"/>
              <w:rPr>
                <w:rFonts w:ascii="Times New Roman" w:hAnsi="Times New Roman"/>
                <w:b/>
              </w:rPr>
            </w:pPr>
            <w:r w:rsidRPr="007F7CD0">
              <w:rPr>
                <w:rFonts w:ascii="Times New Roman" w:hAnsi="Times New Roman"/>
                <w:b/>
              </w:rPr>
              <w:t>Warmińsko-mazurskie</w:t>
            </w:r>
          </w:p>
        </w:tc>
        <w:tc>
          <w:tcPr>
            <w:tcW w:w="1984" w:type="dxa"/>
            <w:tcBorders>
              <w:top w:val="nil"/>
              <w:left w:val="nil"/>
              <w:bottom w:val="single" w:sz="8" w:space="0" w:color="auto"/>
              <w:right w:val="single" w:sz="8" w:space="0" w:color="auto"/>
            </w:tcBorders>
            <w:shd w:val="clear" w:color="auto" w:fill="auto"/>
            <w:vAlign w:val="center"/>
          </w:tcPr>
          <w:p w14:paraId="445CF47F"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12</w:t>
            </w:r>
          </w:p>
        </w:tc>
        <w:tc>
          <w:tcPr>
            <w:tcW w:w="1843" w:type="dxa"/>
            <w:tcBorders>
              <w:top w:val="nil"/>
              <w:left w:val="nil"/>
              <w:bottom w:val="single" w:sz="8" w:space="0" w:color="auto"/>
              <w:right w:val="single" w:sz="8" w:space="0" w:color="auto"/>
            </w:tcBorders>
            <w:shd w:val="clear" w:color="auto" w:fill="auto"/>
            <w:vAlign w:val="center"/>
          </w:tcPr>
          <w:p w14:paraId="3D1C89DF"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4/3</w:t>
            </w:r>
          </w:p>
        </w:tc>
        <w:tc>
          <w:tcPr>
            <w:tcW w:w="1559" w:type="dxa"/>
            <w:tcBorders>
              <w:top w:val="nil"/>
              <w:left w:val="nil"/>
              <w:bottom w:val="single" w:sz="8" w:space="0" w:color="auto"/>
              <w:right w:val="single" w:sz="8" w:space="0" w:color="auto"/>
            </w:tcBorders>
            <w:shd w:val="clear" w:color="auto" w:fill="auto"/>
            <w:vAlign w:val="center"/>
          </w:tcPr>
          <w:p w14:paraId="0AE212C5"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0</w:t>
            </w:r>
          </w:p>
        </w:tc>
        <w:tc>
          <w:tcPr>
            <w:tcW w:w="1554" w:type="dxa"/>
            <w:tcBorders>
              <w:top w:val="nil"/>
              <w:left w:val="nil"/>
              <w:bottom w:val="single" w:sz="8" w:space="0" w:color="auto"/>
              <w:right w:val="single" w:sz="8" w:space="0" w:color="auto"/>
            </w:tcBorders>
            <w:shd w:val="clear" w:color="auto" w:fill="auto"/>
            <w:vAlign w:val="center"/>
          </w:tcPr>
          <w:p w14:paraId="1DF6D27B"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0</w:t>
            </w:r>
          </w:p>
        </w:tc>
      </w:tr>
      <w:tr w:rsidR="002A6E98" w:rsidRPr="00822EB7" w14:paraId="247BB88B" w14:textId="77777777" w:rsidTr="00DB2E04">
        <w:tc>
          <w:tcPr>
            <w:tcW w:w="2122" w:type="dxa"/>
          </w:tcPr>
          <w:p w14:paraId="037104FE" w14:textId="77777777" w:rsidR="002A6E98" w:rsidRPr="007F7CD0" w:rsidRDefault="002A6E98" w:rsidP="00DB2E04">
            <w:pPr>
              <w:spacing w:after="60"/>
              <w:ind w:left="-113" w:right="-113"/>
              <w:jc w:val="center"/>
              <w:rPr>
                <w:rFonts w:ascii="Times New Roman" w:hAnsi="Times New Roman"/>
                <w:b/>
              </w:rPr>
            </w:pPr>
            <w:r w:rsidRPr="007F7CD0">
              <w:rPr>
                <w:rFonts w:ascii="Times New Roman" w:hAnsi="Times New Roman"/>
                <w:b/>
              </w:rPr>
              <w:t>Wielkopolskie</w:t>
            </w:r>
          </w:p>
        </w:tc>
        <w:tc>
          <w:tcPr>
            <w:tcW w:w="1984" w:type="dxa"/>
            <w:tcBorders>
              <w:top w:val="nil"/>
              <w:left w:val="nil"/>
              <w:bottom w:val="single" w:sz="8" w:space="0" w:color="auto"/>
              <w:right w:val="single" w:sz="8" w:space="0" w:color="auto"/>
            </w:tcBorders>
            <w:shd w:val="clear" w:color="auto" w:fill="auto"/>
            <w:vAlign w:val="center"/>
          </w:tcPr>
          <w:p w14:paraId="21D92C96"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12</w:t>
            </w:r>
          </w:p>
        </w:tc>
        <w:tc>
          <w:tcPr>
            <w:tcW w:w="1843" w:type="dxa"/>
            <w:tcBorders>
              <w:top w:val="nil"/>
              <w:left w:val="nil"/>
              <w:bottom w:val="single" w:sz="8" w:space="0" w:color="auto"/>
              <w:right w:val="single" w:sz="8" w:space="0" w:color="auto"/>
            </w:tcBorders>
            <w:shd w:val="clear" w:color="auto" w:fill="auto"/>
            <w:vAlign w:val="center"/>
          </w:tcPr>
          <w:p w14:paraId="239045B2"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3</w:t>
            </w:r>
          </w:p>
        </w:tc>
        <w:tc>
          <w:tcPr>
            <w:tcW w:w="1559" w:type="dxa"/>
            <w:tcBorders>
              <w:top w:val="nil"/>
              <w:left w:val="nil"/>
              <w:bottom w:val="single" w:sz="8" w:space="0" w:color="auto"/>
              <w:right w:val="single" w:sz="8" w:space="0" w:color="auto"/>
            </w:tcBorders>
            <w:shd w:val="clear" w:color="auto" w:fill="auto"/>
            <w:vAlign w:val="center"/>
          </w:tcPr>
          <w:p w14:paraId="70CE70EA"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6</w:t>
            </w:r>
          </w:p>
        </w:tc>
        <w:tc>
          <w:tcPr>
            <w:tcW w:w="1554" w:type="dxa"/>
            <w:tcBorders>
              <w:top w:val="nil"/>
              <w:left w:val="nil"/>
              <w:bottom w:val="single" w:sz="8" w:space="0" w:color="auto"/>
              <w:right w:val="single" w:sz="8" w:space="0" w:color="auto"/>
            </w:tcBorders>
            <w:shd w:val="clear" w:color="auto" w:fill="auto"/>
            <w:vAlign w:val="center"/>
          </w:tcPr>
          <w:p w14:paraId="3ACEA423"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2</w:t>
            </w:r>
          </w:p>
        </w:tc>
      </w:tr>
      <w:tr w:rsidR="002A6E98" w:rsidRPr="00822EB7" w14:paraId="72D85AF9" w14:textId="77777777" w:rsidTr="00DB2E04">
        <w:tc>
          <w:tcPr>
            <w:tcW w:w="2122" w:type="dxa"/>
          </w:tcPr>
          <w:p w14:paraId="39638091" w14:textId="77777777" w:rsidR="002A6E98" w:rsidRPr="007F7CD0" w:rsidRDefault="002A6E98" w:rsidP="00DB2E04">
            <w:pPr>
              <w:spacing w:after="60"/>
              <w:ind w:left="-113" w:right="-113"/>
              <w:jc w:val="center"/>
              <w:rPr>
                <w:rFonts w:ascii="Times New Roman" w:hAnsi="Times New Roman"/>
                <w:b/>
              </w:rPr>
            </w:pPr>
            <w:r w:rsidRPr="007F7CD0">
              <w:rPr>
                <w:rFonts w:ascii="Times New Roman" w:hAnsi="Times New Roman"/>
                <w:b/>
              </w:rPr>
              <w:lastRenderedPageBreak/>
              <w:t>Zachodniopomorskie</w:t>
            </w:r>
          </w:p>
        </w:tc>
        <w:tc>
          <w:tcPr>
            <w:tcW w:w="1984" w:type="dxa"/>
            <w:tcBorders>
              <w:top w:val="nil"/>
              <w:left w:val="nil"/>
              <w:bottom w:val="single" w:sz="8" w:space="0" w:color="auto"/>
              <w:right w:val="single" w:sz="8" w:space="0" w:color="auto"/>
            </w:tcBorders>
            <w:shd w:val="clear" w:color="auto" w:fill="auto"/>
            <w:vAlign w:val="center"/>
          </w:tcPr>
          <w:p w14:paraId="39480CDF"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6</w:t>
            </w:r>
          </w:p>
        </w:tc>
        <w:tc>
          <w:tcPr>
            <w:tcW w:w="1843" w:type="dxa"/>
            <w:tcBorders>
              <w:top w:val="nil"/>
              <w:left w:val="nil"/>
              <w:bottom w:val="single" w:sz="8" w:space="0" w:color="auto"/>
              <w:right w:val="single" w:sz="8" w:space="0" w:color="auto"/>
            </w:tcBorders>
            <w:shd w:val="clear" w:color="auto" w:fill="auto"/>
            <w:vAlign w:val="center"/>
          </w:tcPr>
          <w:p w14:paraId="1C22AAD2"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3</w:t>
            </w:r>
          </w:p>
        </w:tc>
        <w:tc>
          <w:tcPr>
            <w:tcW w:w="1559" w:type="dxa"/>
            <w:tcBorders>
              <w:top w:val="nil"/>
              <w:left w:val="nil"/>
              <w:bottom w:val="single" w:sz="8" w:space="0" w:color="auto"/>
              <w:right w:val="single" w:sz="8" w:space="0" w:color="auto"/>
            </w:tcBorders>
            <w:shd w:val="clear" w:color="auto" w:fill="auto"/>
            <w:vAlign w:val="center"/>
          </w:tcPr>
          <w:p w14:paraId="78FFEBAA"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2</w:t>
            </w:r>
          </w:p>
        </w:tc>
        <w:tc>
          <w:tcPr>
            <w:tcW w:w="1554" w:type="dxa"/>
            <w:tcBorders>
              <w:top w:val="nil"/>
              <w:left w:val="nil"/>
              <w:bottom w:val="single" w:sz="8" w:space="0" w:color="auto"/>
              <w:right w:val="single" w:sz="8" w:space="0" w:color="auto"/>
            </w:tcBorders>
            <w:shd w:val="clear" w:color="auto" w:fill="auto"/>
            <w:vAlign w:val="center"/>
          </w:tcPr>
          <w:p w14:paraId="0D00CD80" w14:textId="77777777" w:rsidR="002A6E98" w:rsidRPr="007F7CD0" w:rsidRDefault="002A6E98" w:rsidP="00DB2E04">
            <w:pPr>
              <w:spacing w:after="60"/>
              <w:jc w:val="center"/>
              <w:rPr>
                <w:rFonts w:ascii="Times New Roman" w:hAnsi="Times New Roman"/>
                <w:color w:val="000000"/>
              </w:rPr>
            </w:pPr>
            <w:r w:rsidRPr="007F7CD0">
              <w:rPr>
                <w:rFonts w:ascii="Times New Roman" w:hAnsi="Times New Roman"/>
                <w:color w:val="000000"/>
              </w:rPr>
              <w:t>0</w:t>
            </w:r>
          </w:p>
        </w:tc>
      </w:tr>
      <w:tr w:rsidR="002A6E98" w:rsidRPr="00822EB7" w14:paraId="2795737E" w14:textId="77777777" w:rsidTr="00DB2E04">
        <w:tc>
          <w:tcPr>
            <w:tcW w:w="2122" w:type="dxa"/>
          </w:tcPr>
          <w:p w14:paraId="7126FA7D" w14:textId="77777777" w:rsidR="002A6E98" w:rsidRPr="007F7CD0" w:rsidRDefault="002A6E98" w:rsidP="00DB2E04">
            <w:pPr>
              <w:spacing w:after="60"/>
              <w:ind w:left="-113" w:right="-113"/>
              <w:jc w:val="center"/>
              <w:rPr>
                <w:rFonts w:ascii="Times New Roman" w:hAnsi="Times New Roman"/>
                <w:b/>
              </w:rPr>
            </w:pPr>
            <w:r w:rsidRPr="007F7CD0">
              <w:rPr>
                <w:rFonts w:ascii="Times New Roman" w:hAnsi="Times New Roman"/>
                <w:b/>
              </w:rPr>
              <w:t>Razem</w:t>
            </w:r>
          </w:p>
        </w:tc>
        <w:tc>
          <w:tcPr>
            <w:tcW w:w="1984" w:type="dxa"/>
            <w:tcBorders>
              <w:top w:val="nil"/>
              <w:left w:val="nil"/>
              <w:bottom w:val="single" w:sz="8" w:space="0" w:color="auto"/>
              <w:right w:val="single" w:sz="8" w:space="0" w:color="auto"/>
            </w:tcBorders>
            <w:shd w:val="clear" w:color="auto" w:fill="auto"/>
            <w:vAlign w:val="center"/>
          </w:tcPr>
          <w:p w14:paraId="7F648D4F" w14:textId="77777777" w:rsidR="002A6E98" w:rsidRPr="007F7CD0" w:rsidRDefault="002A6E98" w:rsidP="00DB2E04">
            <w:pPr>
              <w:spacing w:after="60"/>
              <w:jc w:val="center"/>
              <w:rPr>
                <w:rFonts w:ascii="Times New Roman" w:hAnsi="Times New Roman"/>
                <w:b/>
                <w:bCs/>
                <w:color w:val="000000"/>
              </w:rPr>
            </w:pPr>
            <w:r w:rsidRPr="007F7CD0">
              <w:rPr>
                <w:rFonts w:ascii="Times New Roman" w:hAnsi="Times New Roman"/>
                <w:b/>
                <w:bCs/>
                <w:color w:val="000000"/>
              </w:rPr>
              <w:t>191</w:t>
            </w:r>
          </w:p>
        </w:tc>
        <w:tc>
          <w:tcPr>
            <w:tcW w:w="1843" w:type="dxa"/>
            <w:tcBorders>
              <w:top w:val="nil"/>
              <w:left w:val="nil"/>
              <w:bottom w:val="single" w:sz="8" w:space="0" w:color="auto"/>
              <w:right w:val="single" w:sz="8" w:space="0" w:color="auto"/>
            </w:tcBorders>
            <w:shd w:val="clear" w:color="auto" w:fill="auto"/>
            <w:vAlign w:val="center"/>
          </w:tcPr>
          <w:p w14:paraId="4F8E124C" w14:textId="77777777" w:rsidR="002A6E98" w:rsidRPr="007F7CD0" w:rsidRDefault="002A6E98" w:rsidP="00DB2E04">
            <w:pPr>
              <w:spacing w:after="60"/>
              <w:jc w:val="center"/>
              <w:rPr>
                <w:rFonts w:ascii="Times New Roman" w:hAnsi="Times New Roman"/>
                <w:b/>
                <w:bCs/>
                <w:color w:val="000000"/>
              </w:rPr>
            </w:pPr>
            <w:r w:rsidRPr="007F7CD0">
              <w:rPr>
                <w:rFonts w:ascii="Times New Roman" w:hAnsi="Times New Roman"/>
                <w:b/>
                <w:bCs/>
                <w:color w:val="000000"/>
              </w:rPr>
              <w:t>54</w:t>
            </w:r>
          </w:p>
        </w:tc>
        <w:tc>
          <w:tcPr>
            <w:tcW w:w="1559" w:type="dxa"/>
            <w:tcBorders>
              <w:top w:val="nil"/>
              <w:left w:val="nil"/>
              <w:bottom w:val="single" w:sz="8" w:space="0" w:color="auto"/>
              <w:right w:val="single" w:sz="8" w:space="0" w:color="auto"/>
            </w:tcBorders>
            <w:shd w:val="clear" w:color="auto" w:fill="auto"/>
            <w:vAlign w:val="center"/>
          </w:tcPr>
          <w:p w14:paraId="1860DE87" w14:textId="77777777" w:rsidR="002A6E98" w:rsidRPr="007F7CD0" w:rsidRDefault="002A6E98" w:rsidP="00DB2E04">
            <w:pPr>
              <w:spacing w:after="60"/>
              <w:jc w:val="center"/>
              <w:rPr>
                <w:rFonts w:ascii="Times New Roman" w:hAnsi="Times New Roman"/>
                <w:b/>
                <w:bCs/>
                <w:color w:val="000000"/>
              </w:rPr>
            </w:pPr>
            <w:r w:rsidRPr="007F7CD0">
              <w:rPr>
                <w:rFonts w:ascii="Times New Roman" w:hAnsi="Times New Roman"/>
                <w:b/>
                <w:bCs/>
                <w:color w:val="000000"/>
              </w:rPr>
              <w:t>23</w:t>
            </w:r>
          </w:p>
        </w:tc>
        <w:tc>
          <w:tcPr>
            <w:tcW w:w="1554" w:type="dxa"/>
            <w:tcBorders>
              <w:top w:val="nil"/>
              <w:left w:val="nil"/>
              <w:bottom w:val="single" w:sz="8" w:space="0" w:color="auto"/>
              <w:right w:val="single" w:sz="8" w:space="0" w:color="auto"/>
            </w:tcBorders>
            <w:shd w:val="clear" w:color="auto" w:fill="auto"/>
            <w:vAlign w:val="center"/>
          </w:tcPr>
          <w:p w14:paraId="5745B09E" w14:textId="77777777" w:rsidR="002A6E98" w:rsidRPr="007F7CD0" w:rsidRDefault="002A6E98" w:rsidP="00DB2E04">
            <w:pPr>
              <w:spacing w:after="60"/>
              <w:jc w:val="center"/>
              <w:rPr>
                <w:rFonts w:ascii="Times New Roman" w:hAnsi="Times New Roman"/>
                <w:b/>
                <w:bCs/>
                <w:color w:val="000000"/>
              </w:rPr>
            </w:pPr>
            <w:r w:rsidRPr="007F7CD0">
              <w:rPr>
                <w:rFonts w:ascii="Times New Roman" w:hAnsi="Times New Roman"/>
                <w:b/>
                <w:bCs/>
                <w:color w:val="000000"/>
              </w:rPr>
              <w:t>7</w:t>
            </w:r>
          </w:p>
        </w:tc>
      </w:tr>
    </w:tbl>
    <w:p w14:paraId="2B7C774D" w14:textId="77777777" w:rsidR="002A6E98" w:rsidRPr="00822EB7" w:rsidRDefault="002A6E98" w:rsidP="002A6E98">
      <w:pPr>
        <w:spacing w:after="60"/>
        <w:ind w:firstLine="708"/>
        <w:jc w:val="both"/>
        <w:rPr>
          <w:rFonts w:ascii="Times New Roman" w:hAnsi="Times New Roman" w:cs="Times New Roman"/>
          <w:sz w:val="24"/>
          <w:szCs w:val="24"/>
        </w:rPr>
      </w:pPr>
      <w:r w:rsidRPr="00822EB7">
        <w:rPr>
          <w:rFonts w:ascii="Times New Roman" w:hAnsi="Times New Roman" w:cs="Times New Roman"/>
          <w:sz w:val="24"/>
          <w:szCs w:val="24"/>
        </w:rPr>
        <w:t>W województwie kujawsko-pomorskim nie wykonano pomiaru hałasu lotniczego, w</w:t>
      </w:r>
      <w:r>
        <w:rPr>
          <w:rFonts w:ascii="Times New Roman" w:hAnsi="Times New Roman" w:cs="Times New Roman"/>
          <w:sz w:val="24"/>
          <w:szCs w:val="24"/>
        </w:rPr>
        <w:t> </w:t>
      </w:r>
      <w:r w:rsidRPr="00822EB7">
        <w:rPr>
          <w:rFonts w:ascii="Times New Roman" w:hAnsi="Times New Roman" w:cs="Times New Roman"/>
          <w:sz w:val="24"/>
          <w:szCs w:val="24"/>
        </w:rPr>
        <w:t>województwie lubelskim nie wykonano krótkookresowego pomiaru hałasu drogowego w</w:t>
      </w:r>
      <w:r>
        <w:rPr>
          <w:rFonts w:ascii="Times New Roman" w:hAnsi="Times New Roman" w:cs="Times New Roman"/>
          <w:sz w:val="24"/>
          <w:szCs w:val="24"/>
        </w:rPr>
        <w:t> </w:t>
      </w:r>
      <w:r w:rsidRPr="00822EB7">
        <w:rPr>
          <w:rFonts w:ascii="Times New Roman" w:hAnsi="Times New Roman" w:cs="Times New Roman"/>
          <w:sz w:val="24"/>
          <w:szCs w:val="24"/>
        </w:rPr>
        <w:t>1</w:t>
      </w:r>
      <w:r>
        <w:rPr>
          <w:rFonts w:ascii="Times New Roman" w:hAnsi="Times New Roman" w:cs="Times New Roman"/>
          <w:sz w:val="24"/>
          <w:szCs w:val="24"/>
        </w:rPr>
        <w:t> </w:t>
      </w:r>
      <w:r w:rsidRPr="00822EB7">
        <w:rPr>
          <w:rFonts w:ascii="Times New Roman" w:hAnsi="Times New Roman" w:cs="Times New Roman"/>
          <w:sz w:val="24"/>
          <w:szCs w:val="24"/>
        </w:rPr>
        <w:t>punkcie, w województwie łódzkim nie wykonano pomiarów hałasu drogowego oraz szynowego łącznie w 11 punktach, w województwie mazowieckim nie wykonano krótkookresowego pomiaru hałasu w 1 punkcie. Niewykonanie planu monitoringu hałasu na</w:t>
      </w:r>
      <w:r>
        <w:rPr>
          <w:rFonts w:ascii="Times New Roman" w:hAnsi="Times New Roman" w:cs="Times New Roman"/>
          <w:sz w:val="24"/>
          <w:szCs w:val="24"/>
        </w:rPr>
        <w:t> </w:t>
      </w:r>
      <w:r w:rsidRPr="00822EB7">
        <w:rPr>
          <w:rFonts w:ascii="Times New Roman" w:hAnsi="Times New Roman" w:cs="Times New Roman"/>
          <w:sz w:val="24"/>
          <w:szCs w:val="24"/>
        </w:rPr>
        <w:t>rok 2022 było spowodowane głównie problemami kadrowymi, problemami z aparaturą pomiarową oraz ze względu na inne okoliczności niezależne od GIOŚ.</w:t>
      </w:r>
    </w:p>
    <w:p w14:paraId="60F9863C" w14:textId="77777777" w:rsidR="002A6E98" w:rsidRPr="00822EB7" w:rsidRDefault="002A6E98" w:rsidP="002A6E98">
      <w:pPr>
        <w:spacing w:after="60"/>
        <w:ind w:firstLine="708"/>
        <w:jc w:val="both"/>
        <w:rPr>
          <w:rFonts w:ascii="Times New Roman" w:hAnsi="Times New Roman" w:cs="Times New Roman"/>
          <w:sz w:val="24"/>
          <w:szCs w:val="24"/>
        </w:rPr>
      </w:pPr>
      <w:r w:rsidRPr="00822EB7">
        <w:rPr>
          <w:rFonts w:ascii="Times New Roman" w:hAnsi="Times New Roman" w:cs="Times New Roman"/>
          <w:sz w:val="24"/>
          <w:szCs w:val="24"/>
        </w:rPr>
        <w:t xml:space="preserve">Ponadto w województwie dolnośląskim i śląskim wykonano dodatkowe krótkookresowe pomiary hałasu drogowego w 1 punkcie pomiarowym. W województwie warmińsko-mazurskim jako uzupełnienie niepełnego pomiaru z 2021 r. wykonano długookresowe pomiary hałasu drogowego dodatkowo w 1 punkcie pomiarowym. </w:t>
      </w:r>
    </w:p>
    <w:p w14:paraId="5F9F8DA7" w14:textId="77777777" w:rsidR="002A6E98" w:rsidRPr="00822EB7" w:rsidRDefault="002A6E98" w:rsidP="00C52E65">
      <w:pPr>
        <w:spacing w:before="240" w:after="60"/>
        <w:jc w:val="both"/>
        <w:rPr>
          <w:rFonts w:ascii="Times New Roman" w:hAnsi="Times New Roman" w:cs="Times New Roman"/>
          <w:b/>
          <w:sz w:val="24"/>
          <w:szCs w:val="24"/>
        </w:rPr>
      </w:pPr>
      <w:r w:rsidRPr="00822EB7">
        <w:rPr>
          <w:rFonts w:ascii="Times New Roman" w:hAnsi="Times New Roman" w:cs="Times New Roman"/>
          <w:b/>
          <w:sz w:val="24"/>
          <w:szCs w:val="24"/>
        </w:rPr>
        <w:t>Strategiczne mapy hałasu</w:t>
      </w:r>
    </w:p>
    <w:p w14:paraId="070A220D" w14:textId="77777777" w:rsidR="002A6E98" w:rsidRPr="00822EB7" w:rsidRDefault="002A6E98" w:rsidP="002A6E98">
      <w:pPr>
        <w:spacing w:after="60"/>
        <w:jc w:val="both"/>
        <w:rPr>
          <w:rFonts w:ascii="Times New Roman" w:hAnsi="Times New Roman" w:cs="Times New Roman"/>
          <w:sz w:val="24"/>
          <w:szCs w:val="24"/>
        </w:rPr>
      </w:pPr>
      <w:r w:rsidRPr="00822EB7">
        <w:rPr>
          <w:rFonts w:ascii="Times New Roman" w:hAnsi="Times New Roman" w:cs="Times New Roman"/>
          <w:sz w:val="24"/>
          <w:szCs w:val="24"/>
        </w:rPr>
        <w:tab/>
        <w:t>W 2022 r. zakończono prace nad bazą EHAŁAS-M służącą do przekazywania do GIOŚ strategicznych map hałasu wraz z danymi identyfikującymi oraz Programów ochrony środowiska przed hałasem. Baza umożliwia zdalne przekazywanie do GIOŚ powyższych dokumentów przez zarządzających głównymi drogami, liniami kolejowymi, lotniskami, oraz prezydentów miast o liczbie mieszkańców &gt; 100 tyś, a także marszałków województw.</w:t>
      </w:r>
    </w:p>
    <w:p w14:paraId="2AC91328" w14:textId="77777777" w:rsidR="002A6E98" w:rsidRPr="00822EB7" w:rsidRDefault="002A6E98" w:rsidP="002A6E98">
      <w:pPr>
        <w:spacing w:after="60"/>
        <w:jc w:val="both"/>
        <w:rPr>
          <w:rFonts w:ascii="Times New Roman" w:hAnsi="Times New Roman" w:cs="Times New Roman"/>
          <w:sz w:val="24"/>
          <w:szCs w:val="24"/>
        </w:rPr>
      </w:pPr>
      <w:r w:rsidRPr="00822EB7">
        <w:rPr>
          <w:rFonts w:ascii="Times New Roman" w:hAnsi="Times New Roman" w:cs="Times New Roman"/>
          <w:sz w:val="24"/>
          <w:szCs w:val="24"/>
        </w:rPr>
        <w:tab/>
        <w:t>Zgodnie z ustawą Prawo ochrony środowiska strategiczne mapy hałasu wraz ze</w:t>
      </w:r>
      <w:r>
        <w:rPr>
          <w:rFonts w:ascii="Times New Roman" w:hAnsi="Times New Roman" w:cs="Times New Roman"/>
          <w:sz w:val="24"/>
          <w:szCs w:val="24"/>
        </w:rPr>
        <w:t> </w:t>
      </w:r>
      <w:r w:rsidRPr="00822EB7">
        <w:rPr>
          <w:rFonts w:ascii="Times New Roman" w:hAnsi="Times New Roman" w:cs="Times New Roman"/>
          <w:sz w:val="24"/>
          <w:szCs w:val="24"/>
        </w:rPr>
        <w:t>zaktualizowanymi danymi identyfikującymi powinny być przekazane do GIOŚ w terminie do 30 czerwca 2022 r. Zobowiązanych do tego było 105 organów i podmiotów.</w:t>
      </w:r>
    </w:p>
    <w:p w14:paraId="248CF8CD" w14:textId="316D1396" w:rsidR="00895F16" w:rsidRPr="007F400A" w:rsidRDefault="002A6E98" w:rsidP="002A6E98">
      <w:pPr>
        <w:spacing w:after="0" w:line="300" w:lineRule="atLeast"/>
        <w:ind w:firstLine="567"/>
        <w:jc w:val="both"/>
        <w:rPr>
          <w:rFonts w:ascii="Times New Roman" w:hAnsi="Times New Roman" w:cs="Times New Roman"/>
          <w:sz w:val="24"/>
          <w:szCs w:val="24"/>
        </w:rPr>
      </w:pPr>
      <w:r w:rsidRPr="00822EB7">
        <w:rPr>
          <w:rFonts w:ascii="Times New Roman" w:hAnsi="Times New Roman" w:cs="Times New Roman"/>
          <w:sz w:val="24"/>
          <w:szCs w:val="24"/>
        </w:rPr>
        <w:t xml:space="preserve">Za pomocą bazy EHAŁAS-M, w 2022 r., 104 zarządzających złożyło do GIOŚ strategiczne mapy hałasu oraz zaktualizowane dane identyfikujące. Zweryfikowane </w:t>
      </w:r>
      <w:r w:rsidR="00C52E65">
        <w:rPr>
          <w:rFonts w:ascii="Times New Roman" w:hAnsi="Times New Roman" w:cs="Times New Roman"/>
          <w:sz w:val="24"/>
          <w:szCs w:val="24"/>
        </w:rPr>
        <w:br/>
      </w:r>
      <w:r w:rsidRPr="00822EB7">
        <w:rPr>
          <w:rFonts w:ascii="Times New Roman" w:hAnsi="Times New Roman" w:cs="Times New Roman"/>
          <w:sz w:val="24"/>
          <w:szCs w:val="24"/>
        </w:rPr>
        <w:t>i przekształcone do</w:t>
      </w:r>
      <w:r>
        <w:rPr>
          <w:rFonts w:ascii="Times New Roman" w:hAnsi="Times New Roman" w:cs="Times New Roman"/>
          <w:sz w:val="24"/>
          <w:szCs w:val="24"/>
        </w:rPr>
        <w:t> </w:t>
      </w:r>
      <w:r w:rsidRPr="00822EB7">
        <w:rPr>
          <w:rFonts w:ascii="Times New Roman" w:hAnsi="Times New Roman" w:cs="Times New Roman"/>
          <w:sz w:val="24"/>
          <w:szCs w:val="24"/>
        </w:rPr>
        <w:t xml:space="preserve">odpowiedniego formatu mapy są przekazywane do Komisji Europejskiej za pomocą systemu </w:t>
      </w:r>
      <w:proofErr w:type="spellStart"/>
      <w:r w:rsidRPr="00822EB7">
        <w:rPr>
          <w:rFonts w:ascii="Times New Roman" w:hAnsi="Times New Roman" w:cs="Times New Roman"/>
          <w:sz w:val="24"/>
          <w:szCs w:val="24"/>
        </w:rPr>
        <w:t>Reportnet</w:t>
      </w:r>
      <w:proofErr w:type="spellEnd"/>
      <w:r w:rsidRPr="00822EB7">
        <w:rPr>
          <w:rFonts w:ascii="Times New Roman" w:hAnsi="Times New Roman" w:cs="Times New Roman"/>
          <w:sz w:val="24"/>
          <w:szCs w:val="24"/>
        </w:rPr>
        <w:t xml:space="preserve"> 3.0. W związku z problemami technicznymi związanymi </w:t>
      </w:r>
      <w:r w:rsidR="00C52E65">
        <w:rPr>
          <w:rFonts w:ascii="Times New Roman" w:hAnsi="Times New Roman" w:cs="Times New Roman"/>
          <w:sz w:val="24"/>
          <w:szCs w:val="24"/>
        </w:rPr>
        <w:br/>
      </w:r>
      <w:r w:rsidRPr="00822EB7">
        <w:rPr>
          <w:rFonts w:ascii="Times New Roman" w:hAnsi="Times New Roman" w:cs="Times New Roman"/>
          <w:sz w:val="24"/>
          <w:szCs w:val="24"/>
        </w:rPr>
        <w:t>z systemem sprawozdawczym KE prace związane z przesłaniem tych danych do KE nie zostały jeszcze zakończone</w:t>
      </w:r>
      <w:r w:rsidR="00895F16" w:rsidRPr="007F400A">
        <w:rPr>
          <w:rFonts w:ascii="Times New Roman" w:eastAsia="Times New Roman" w:hAnsi="Times New Roman"/>
          <w:sz w:val="24"/>
          <w:szCs w:val="24"/>
          <w:lang w:eastAsia="pl-PL"/>
        </w:rPr>
        <w:t>.</w:t>
      </w:r>
      <w:r w:rsidR="00895F16" w:rsidRPr="007F400A">
        <w:rPr>
          <w:rFonts w:ascii="Times New Roman" w:hAnsi="Times New Roman" w:cs="Times New Roman"/>
          <w:sz w:val="24"/>
          <w:szCs w:val="24"/>
        </w:rPr>
        <w:t xml:space="preserve"> </w:t>
      </w:r>
    </w:p>
    <w:p w14:paraId="4F318BBE" w14:textId="77777777" w:rsidR="00895F16" w:rsidRPr="007F400A" w:rsidRDefault="00895F16" w:rsidP="00895F16">
      <w:pPr>
        <w:spacing w:after="0" w:line="300" w:lineRule="atLeast"/>
        <w:jc w:val="both"/>
        <w:rPr>
          <w:rFonts w:ascii="Times New Roman" w:hAnsi="Times New Roman" w:cs="Times New Roman"/>
          <w:color w:val="00B0F0"/>
          <w:sz w:val="24"/>
          <w:szCs w:val="24"/>
        </w:rPr>
      </w:pPr>
    </w:p>
    <w:p w14:paraId="3ACAC580" w14:textId="77777777" w:rsidR="00895F16" w:rsidRPr="007F400A" w:rsidRDefault="00895F16" w:rsidP="00895F16">
      <w:pPr>
        <w:keepNext/>
        <w:spacing w:after="120" w:line="300" w:lineRule="atLeast"/>
        <w:jc w:val="both"/>
        <w:outlineLvl w:val="0"/>
        <w:rPr>
          <w:rFonts w:ascii="Times New Roman" w:eastAsia="Times New Roman" w:hAnsi="Times New Roman" w:cs="Times New Roman"/>
          <w:b/>
          <w:bCs/>
          <w:sz w:val="24"/>
          <w:szCs w:val="24"/>
          <w:lang w:val="x-none" w:eastAsia="x-none"/>
        </w:rPr>
      </w:pPr>
      <w:bookmarkStart w:id="424" w:name="_Toc36732648"/>
      <w:bookmarkStart w:id="425" w:name="_Toc135935719"/>
      <w:r w:rsidRPr="007F400A">
        <w:rPr>
          <w:rFonts w:ascii="Times New Roman" w:eastAsia="Times New Roman" w:hAnsi="Times New Roman" w:cs="Times New Roman"/>
          <w:b/>
          <w:bCs/>
          <w:sz w:val="24"/>
          <w:szCs w:val="24"/>
          <w:lang w:eastAsia="x-none"/>
        </w:rPr>
        <w:t>7</w:t>
      </w:r>
      <w:r w:rsidRPr="007F400A">
        <w:rPr>
          <w:rFonts w:ascii="Times New Roman" w:eastAsia="Times New Roman" w:hAnsi="Times New Roman" w:cs="Times New Roman"/>
          <w:b/>
          <w:bCs/>
          <w:sz w:val="24"/>
          <w:szCs w:val="24"/>
          <w:lang w:val="x-none" w:eastAsia="x-none"/>
        </w:rPr>
        <w:t>. Monitoring pól elektromagnetycznych</w:t>
      </w:r>
      <w:bookmarkEnd w:id="424"/>
      <w:bookmarkEnd w:id="425"/>
    </w:p>
    <w:p w14:paraId="1C7CF176" w14:textId="77777777" w:rsidR="00DC5A3A" w:rsidRPr="00822EB7" w:rsidRDefault="00DC5A3A" w:rsidP="00DC5A3A">
      <w:pPr>
        <w:spacing w:after="60" w:line="300" w:lineRule="atLeast"/>
        <w:ind w:firstLine="709"/>
        <w:jc w:val="both"/>
        <w:rPr>
          <w:rFonts w:ascii="Times New Roman" w:hAnsi="Times New Roman" w:cs="Times New Roman"/>
          <w:sz w:val="24"/>
          <w:szCs w:val="24"/>
        </w:rPr>
      </w:pPr>
      <w:r w:rsidRPr="00822EB7">
        <w:rPr>
          <w:rFonts w:ascii="Times New Roman" w:hAnsi="Times New Roman" w:cs="Times New Roman"/>
          <w:sz w:val="24"/>
          <w:szCs w:val="24"/>
        </w:rPr>
        <w:t>Celem funkcjonowania podsystemu monitoringu pól elektromagnetycznych (PEM) jest gromadzenie, przetwarzanie i rozpowszechnianie informacji o poziomie PEM w środowisku. Dane z pomiarów monitoringu PEM wykorzystywane są przy tworzeniu wojewódzkich i</w:t>
      </w:r>
      <w:r>
        <w:rPr>
          <w:rFonts w:ascii="Times New Roman" w:hAnsi="Times New Roman" w:cs="Times New Roman"/>
          <w:sz w:val="24"/>
          <w:szCs w:val="24"/>
        </w:rPr>
        <w:t> </w:t>
      </w:r>
      <w:r w:rsidRPr="00822EB7">
        <w:rPr>
          <w:rFonts w:ascii="Times New Roman" w:hAnsi="Times New Roman" w:cs="Times New Roman"/>
          <w:sz w:val="24"/>
          <w:szCs w:val="24"/>
        </w:rPr>
        <w:t xml:space="preserve">krajowych ocen poziomów pól elektromagnetycznych w środowisku, </w:t>
      </w:r>
      <w:r>
        <w:rPr>
          <w:rFonts w:ascii="Times New Roman" w:hAnsi="Times New Roman" w:cs="Times New Roman"/>
          <w:sz w:val="24"/>
          <w:szCs w:val="24"/>
        </w:rPr>
        <w:t>a</w:t>
      </w:r>
      <w:r w:rsidRPr="00822EB7">
        <w:rPr>
          <w:rFonts w:ascii="Times New Roman" w:hAnsi="Times New Roman" w:cs="Times New Roman"/>
          <w:sz w:val="24"/>
          <w:szCs w:val="24"/>
        </w:rPr>
        <w:t xml:space="preserve"> także przy udostępnianiu informacji o środowisku. W ramach obowiązku sprawozdawczego wynikającego z Programu Badań Statystycznych Statystyki Publicznej do</w:t>
      </w:r>
      <w:r>
        <w:rPr>
          <w:rFonts w:ascii="Times New Roman" w:hAnsi="Times New Roman" w:cs="Times New Roman"/>
          <w:sz w:val="24"/>
          <w:szCs w:val="24"/>
        </w:rPr>
        <w:t> </w:t>
      </w:r>
      <w:r w:rsidRPr="00822EB7">
        <w:rPr>
          <w:rFonts w:ascii="Times New Roman" w:hAnsi="Times New Roman" w:cs="Times New Roman"/>
          <w:sz w:val="24"/>
          <w:szCs w:val="24"/>
        </w:rPr>
        <w:t>GUS przekazywane są dane dotyczące poziomu pól elektromagnetycznych w środowisku.</w:t>
      </w:r>
    </w:p>
    <w:p w14:paraId="00480BBF" w14:textId="28A438A4" w:rsidR="00DC5A3A" w:rsidRPr="00822EB7" w:rsidRDefault="00DC5A3A" w:rsidP="00DC5A3A">
      <w:pPr>
        <w:spacing w:after="60" w:line="300" w:lineRule="atLeast"/>
        <w:ind w:firstLine="709"/>
        <w:jc w:val="both"/>
        <w:rPr>
          <w:rFonts w:ascii="Times New Roman" w:hAnsi="Times New Roman" w:cs="Times New Roman"/>
          <w:sz w:val="24"/>
          <w:szCs w:val="24"/>
        </w:rPr>
      </w:pPr>
      <w:r w:rsidRPr="00822EB7">
        <w:rPr>
          <w:rFonts w:ascii="Times New Roman" w:hAnsi="Times New Roman" w:cs="Times New Roman"/>
          <w:sz w:val="24"/>
          <w:szCs w:val="24"/>
        </w:rPr>
        <w:t>Od 2021 r. monitoring pól elektromagnetycznych prowadzony jest zgodnie z</w:t>
      </w:r>
      <w:r>
        <w:rPr>
          <w:rFonts w:ascii="Times New Roman" w:hAnsi="Times New Roman" w:cs="Times New Roman"/>
          <w:sz w:val="24"/>
          <w:szCs w:val="24"/>
        </w:rPr>
        <w:t> nowym rozporządzeniem</w:t>
      </w:r>
      <w:r>
        <w:rPr>
          <w:rStyle w:val="Odwoanieprzypisudolnego"/>
          <w:rFonts w:cs="Times New Roman"/>
          <w:sz w:val="24"/>
          <w:szCs w:val="24"/>
        </w:rPr>
        <w:footnoteReference w:id="111"/>
      </w:r>
      <w:r>
        <w:rPr>
          <w:rFonts w:ascii="Times New Roman" w:hAnsi="Times New Roman" w:cs="Times New Roman"/>
          <w:sz w:val="24"/>
          <w:szCs w:val="24"/>
        </w:rPr>
        <w:t>.</w:t>
      </w:r>
      <w:r w:rsidRPr="00822EB7">
        <w:rPr>
          <w:rFonts w:ascii="Times New Roman" w:hAnsi="Times New Roman" w:cs="Times New Roman"/>
          <w:sz w:val="24"/>
          <w:szCs w:val="24"/>
        </w:rPr>
        <w:t xml:space="preserve"> Punkty pomiarowe wyznacza się w ramach stałej sieć monitoringu (w</w:t>
      </w:r>
      <w:r>
        <w:rPr>
          <w:rFonts w:ascii="Times New Roman" w:hAnsi="Times New Roman" w:cs="Times New Roman"/>
          <w:sz w:val="24"/>
          <w:szCs w:val="24"/>
        </w:rPr>
        <w:t> </w:t>
      </w:r>
      <w:r w:rsidRPr="00822EB7">
        <w:rPr>
          <w:rFonts w:ascii="Times New Roman" w:hAnsi="Times New Roman" w:cs="Times New Roman"/>
          <w:sz w:val="24"/>
          <w:szCs w:val="24"/>
        </w:rPr>
        <w:t xml:space="preserve">miastach) i monitoringu badawczego (w gminach wiejskich). </w:t>
      </w:r>
      <w:r w:rsidR="00ED5FD6">
        <w:rPr>
          <w:rFonts w:ascii="Times New Roman" w:hAnsi="Times New Roman" w:cs="Times New Roman"/>
          <w:sz w:val="24"/>
          <w:szCs w:val="24"/>
        </w:rPr>
        <w:t xml:space="preserve">Rok </w:t>
      </w:r>
      <w:r w:rsidRPr="00822EB7">
        <w:rPr>
          <w:rFonts w:ascii="Times New Roman" w:hAnsi="Times New Roman" w:cs="Times New Roman"/>
          <w:sz w:val="24"/>
          <w:szCs w:val="24"/>
        </w:rPr>
        <w:t>2022</w:t>
      </w:r>
      <w:r w:rsidR="00ED5FD6">
        <w:rPr>
          <w:rFonts w:ascii="Times New Roman" w:hAnsi="Times New Roman" w:cs="Times New Roman"/>
          <w:sz w:val="24"/>
          <w:szCs w:val="24"/>
        </w:rPr>
        <w:t xml:space="preserve"> </w:t>
      </w:r>
      <w:r w:rsidRPr="00822EB7">
        <w:rPr>
          <w:rFonts w:ascii="Times New Roman" w:hAnsi="Times New Roman" w:cs="Times New Roman"/>
          <w:sz w:val="24"/>
          <w:szCs w:val="24"/>
        </w:rPr>
        <w:t xml:space="preserve">był drugim rokiem </w:t>
      </w:r>
      <w:r w:rsidRPr="00822EB7">
        <w:rPr>
          <w:rFonts w:ascii="Times New Roman" w:hAnsi="Times New Roman" w:cs="Times New Roman"/>
          <w:sz w:val="24"/>
          <w:szCs w:val="24"/>
        </w:rPr>
        <w:lastRenderedPageBreak/>
        <w:t>w</w:t>
      </w:r>
      <w:r>
        <w:rPr>
          <w:rFonts w:ascii="Times New Roman" w:hAnsi="Times New Roman" w:cs="Times New Roman"/>
          <w:sz w:val="24"/>
          <w:szCs w:val="24"/>
        </w:rPr>
        <w:t> </w:t>
      </w:r>
      <w:r w:rsidRPr="00822EB7">
        <w:rPr>
          <w:rFonts w:ascii="Times New Roman" w:hAnsi="Times New Roman" w:cs="Times New Roman"/>
          <w:sz w:val="24"/>
          <w:szCs w:val="24"/>
        </w:rPr>
        <w:t xml:space="preserve">dwuletnim cyklu pomiarowych stałej sieci monitoringu oraz drugim rokiem w czteroletnim cyklu monitoringu badawczego. </w:t>
      </w:r>
    </w:p>
    <w:p w14:paraId="66F743A0" w14:textId="3F1DB4B5" w:rsidR="00DC5A3A" w:rsidRPr="00822EB7" w:rsidRDefault="00DC5A3A" w:rsidP="00DC5A3A">
      <w:pPr>
        <w:autoSpaceDE w:val="0"/>
        <w:autoSpaceDN w:val="0"/>
        <w:adjustRightInd w:val="0"/>
        <w:spacing w:after="60" w:line="300" w:lineRule="atLeast"/>
        <w:ind w:firstLine="567"/>
        <w:jc w:val="both"/>
        <w:rPr>
          <w:rFonts w:ascii="Times New Roman" w:hAnsi="Times New Roman" w:cs="Times New Roman"/>
          <w:sz w:val="24"/>
          <w:szCs w:val="24"/>
        </w:rPr>
      </w:pPr>
      <w:r w:rsidRPr="00822EB7">
        <w:rPr>
          <w:rFonts w:ascii="Times New Roman" w:eastAsia="Square721EU-Normal" w:hAnsi="Times New Roman" w:cs="Times New Roman"/>
          <w:sz w:val="24"/>
          <w:szCs w:val="24"/>
        </w:rPr>
        <w:t xml:space="preserve">Program pomiarowy w zakresie monitoringu PEM zaplanowany w Programie wykonawczym monitoringu pól elektromagnetycznych na rok 2022 został w pełni zrealizowany. </w:t>
      </w:r>
      <w:r w:rsidRPr="00822EB7">
        <w:rPr>
          <w:rFonts w:ascii="Times New Roman" w:hAnsi="Times New Roman" w:cs="Times New Roman"/>
          <w:sz w:val="24"/>
          <w:szCs w:val="24"/>
        </w:rPr>
        <w:t>Centralne Laboratorium Badawcze</w:t>
      </w:r>
      <w:r w:rsidR="00ED5FD6">
        <w:rPr>
          <w:rFonts w:ascii="Times New Roman" w:hAnsi="Times New Roman" w:cs="Times New Roman"/>
          <w:sz w:val="24"/>
          <w:szCs w:val="24"/>
        </w:rPr>
        <w:t xml:space="preserve"> </w:t>
      </w:r>
      <w:r w:rsidRPr="00822EB7">
        <w:rPr>
          <w:rFonts w:ascii="Times New Roman" w:hAnsi="Times New Roman" w:cs="Times New Roman"/>
          <w:sz w:val="24"/>
          <w:szCs w:val="24"/>
        </w:rPr>
        <w:t xml:space="preserve">GIOŚ w 2022 r. wykonało pomiary poziomów pól elektromagnetycznych w środowisku w 1 168 punktach pomiarowych w całej Polsce. </w:t>
      </w:r>
      <w:r w:rsidRPr="00822EB7">
        <w:rPr>
          <w:rFonts w:ascii="Times New Roman" w:eastAsia="Square721EU-Normal" w:hAnsi="Times New Roman" w:cs="Times New Roman"/>
          <w:sz w:val="24"/>
          <w:szCs w:val="24"/>
        </w:rPr>
        <w:t xml:space="preserve">W ramach stałej sieci monitoringu wykonano łącznie </w:t>
      </w:r>
      <w:r w:rsidRPr="00822EB7">
        <w:rPr>
          <w:rFonts w:ascii="Times New Roman" w:hAnsi="Times New Roman" w:cs="Times New Roman"/>
          <w:sz w:val="24"/>
          <w:szCs w:val="24"/>
        </w:rPr>
        <w:t>771 pomiarów, natomiast w</w:t>
      </w:r>
      <w:r>
        <w:rPr>
          <w:rFonts w:ascii="Times New Roman" w:hAnsi="Times New Roman" w:cs="Times New Roman"/>
          <w:sz w:val="24"/>
          <w:szCs w:val="24"/>
        </w:rPr>
        <w:t> </w:t>
      </w:r>
      <w:r w:rsidRPr="00822EB7">
        <w:rPr>
          <w:rFonts w:ascii="Times New Roman" w:hAnsi="Times New Roman" w:cs="Times New Roman"/>
          <w:sz w:val="24"/>
          <w:szCs w:val="24"/>
        </w:rPr>
        <w:t>ramach monitoringu badawczego – 397 pomiarów.</w:t>
      </w:r>
    </w:p>
    <w:p w14:paraId="36EA3588" w14:textId="77777777" w:rsidR="00DC5A3A" w:rsidRPr="00822EB7" w:rsidRDefault="00DC5A3A" w:rsidP="00DC5A3A">
      <w:pPr>
        <w:autoSpaceDE w:val="0"/>
        <w:autoSpaceDN w:val="0"/>
        <w:adjustRightInd w:val="0"/>
        <w:spacing w:after="60" w:line="300" w:lineRule="atLeast"/>
        <w:ind w:firstLine="709"/>
        <w:jc w:val="both"/>
        <w:rPr>
          <w:rFonts w:ascii="Times New Roman" w:eastAsia="Square721EU-Normal" w:hAnsi="Times New Roman" w:cs="Times New Roman"/>
          <w:sz w:val="24"/>
          <w:szCs w:val="24"/>
        </w:rPr>
      </w:pPr>
      <w:r w:rsidRPr="00822EB7">
        <w:rPr>
          <w:rFonts w:ascii="Times New Roman" w:eastAsia="Square721EU-Normal" w:hAnsi="Times New Roman" w:cs="Times New Roman"/>
          <w:sz w:val="24"/>
          <w:szCs w:val="24"/>
        </w:rPr>
        <w:t xml:space="preserve">Lokalizacje punktów pomiarowych PEM wskazanych w ww. Programie zostały zweryfikowane w terenie przez pracowników CLB. W wyniku tej weryfikacji, w skali kraju, przeniesiono 126 punktów monitoringu, natomiast w 343 punktach zweryfikowano współrzędne stosownie do miejsca wykonania pomiaru. Wszystkie wyniki pomiarów wykonanych w ramach Państwowego Monitoringu Środowiska udostępniane są na stronie internetowej GIOŚ, pod adresem: </w:t>
      </w:r>
      <w:hyperlink r:id="rId147" w:history="1">
        <w:r w:rsidRPr="00822EB7">
          <w:rPr>
            <w:rStyle w:val="Hipercze"/>
            <w:rFonts w:eastAsia="Square721EU-Normal"/>
            <w:sz w:val="24"/>
            <w:szCs w:val="24"/>
          </w:rPr>
          <w:t>https://www.gov.pl/web/gios/monitoring-pol-elektromagnetycznych</w:t>
        </w:r>
      </w:hyperlink>
      <w:r w:rsidRPr="00822EB7">
        <w:rPr>
          <w:rFonts w:ascii="Times New Roman" w:eastAsia="Square721EU-Normal" w:hAnsi="Times New Roman" w:cs="Times New Roman"/>
          <w:sz w:val="24"/>
          <w:szCs w:val="24"/>
        </w:rPr>
        <w:t xml:space="preserve">.  </w:t>
      </w:r>
    </w:p>
    <w:p w14:paraId="5214738E" w14:textId="71AA6861" w:rsidR="00DC5A3A" w:rsidRPr="00822EB7" w:rsidRDefault="00DC5A3A" w:rsidP="00DC5A3A">
      <w:pPr>
        <w:autoSpaceDE w:val="0"/>
        <w:autoSpaceDN w:val="0"/>
        <w:adjustRightInd w:val="0"/>
        <w:spacing w:after="60" w:line="300" w:lineRule="atLeast"/>
        <w:ind w:firstLine="567"/>
        <w:jc w:val="both"/>
        <w:rPr>
          <w:rFonts w:ascii="Times New Roman" w:eastAsia="Square721EU-Normal" w:hAnsi="Times New Roman" w:cs="Times New Roman"/>
          <w:sz w:val="24"/>
          <w:szCs w:val="24"/>
        </w:rPr>
      </w:pPr>
      <w:r w:rsidRPr="00822EB7">
        <w:rPr>
          <w:rFonts w:ascii="Times New Roman" w:eastAsia="Square721EU-Normal" w:hAnsi="Times New Roman" w:cs="Times New Roman"/>
          <w:sz w:val="24"/>
          <w:szCs w:val="24"/>
        </w:rPr>
        <w:t>W 2022 roku dla obszaru całego kraju wykonano Ocenę poziomów pól elektromagnetycznych w Polsce w</w:t>
      </w:r>
      <w:r w:rsidR="004F44BA">
        <w:rPr>
          <w:rFonts w:ascii="Times New Roman" w:eastAsia="Square721EU-Normal" w:hAnsi="Times New Roman" w:cs="Times New Roman"/>
          <w:sz w:val="24"/>
          <w:szCs w:val="24"/>
        </w:rPr>
        <w:t xml:space="preserve"> </w:t>
      </w:r>
      <w:r w:rsidRPr="00822EB7">
        <w:rPr>
          <w:rFonts w:ascii="Times New Roman" w:eastAsia="Square721EU-Normal" w:hAnsi="Times New Roman" w:cs="Times New Roman"/>
          <w:sz w:val="24"/>
          <w:szCs w:val="24"/>
        </w:rPr>
        <w:t xml:space="preserve">roku 2021 – opracowaną na podstawie pomiarów wykonanych przez Inspekcję Ochrony Środowiska. Wykonano również 16 ocen poziomów pól elektromagnetycznych w środowisku na poziomie każdego województwa. </w:t>
      </w:r>
    </w:p>
    <w:p w14:paraId="75A1DD8F" w14:textId="77777777" w:rsidR="00DC5A3A" w:rsidRPr="00822EB7" w:rsidRDefault="00DC5A3A" w:rsidP="00DC5A3A">
      <w:pPr>
        <w:spacing w:after="60" w:line="300" w:lineRule="atLeast"/>
        <w:ind w:firstLine="567"/>
        <w:jc w:val="both"/>
        <w:rPr>
          <w:rFonts w:ascii="Times New Roman" w:hAnsi="Times New Roman" w:cs="Times New Roman"/>
          <w:sz w:val="24"/>
          <w:szCs w:val="24"/>
        </w:rPr>
      </w:pPr>
      <w:r w:rsidRPr="00822EB7">
        <w:rPr>
          <w:rFonts w:ascii="Times New Roman" w:hAnsi="Times New Roman" w:cs="Times New Roman"/>
          <w:sz w:val="24"/>
          <w:szCs w:val="24"/>
        </w:rPr>
        <w:t xml:space="preserve">Poziom pól elektromagnetycznych w środowisku (tło elektromagnetyczne) na terenie Polski utrzymuje się na niskim poziomie, zbliżonym do lat poprzednich. Średnia arytmetyczna ze wszystkich pomiarów wykonanych w roku 2021 wyniosła 0,59 V/m, w tym: </w:t>
      </w:r>
    </w:p>
    <w:p w14:paraId="33A6C9C9" w14:textId="77777777" w:rsidR="00DC5A3A" w:rsidRDefault="00DC5A3A" w:rsidP="00D34F97">
      <w:pPr>
        <w:pStyle w:val="Akapitzlist"/>
        <w:numPr>
          <w:ilvl w:val="0"/>
          <w:numId w:val="49"/>
        </w:numPr>
        <w:spacing w:after="60" w:line="300" w:lineRule="atLeast"/>
        <w:jc w:val="both"/>
        <w:rPr>
          <w:sz w:val="24"/>
          <w:szCs w:val="24"/>
        </w:rPr>
      </w:pPr>
      <w:r w:rsidRPr="00822EB7">
        <w:rPr>
          <w:sz w:val="24"/>
          <w:szCs w:val="24"/>
        </w:rPr>
        <w:t>dla stałej sieci monitoringu – 0,68 V/m;</w:t>
      </w:r>
    </w:p>
    <w:p w14:paraId="6E558945" w14:textId="68CD61D8" w:rsidR="00895F16" w:rsidRPr="00DC5A3A" w:rsidRDefault="00DC5A3A" w:rsidP="00D34F97">
      <w:pPr>
        <w:pStyle w:val="Akapitzlist"/>
        <w:numPr>
          <w:ilvl w:val="0"/>
          <w:numId w:val="49"/>
        </w:numPr>
        <w:spacing w:after="60" w:line="300" w:lineRule="atLeast"/>
        <w:jc w:val="both"/>
        <w:rPr>
          <w:sz w:val="24"/>
          <w:szCs w:val="24"/>
        </w:rPr>
      </w:pPr>
      <w:r w:rsidRPr="00DC5A3A">
        <w:rPr>
          <w:sz w:val="24"/>
          <w:szCs w:val="24"/>
        </w:rPr>
        <w:t>dla monitoringu badawczego – 0,40 V/m</w:t>
      </w:r>
      <w:r w:rsidR="00895F16" w:rsidRPr="00DC5A3A">
        <w:rPr>
          <w:rFonts w:eastAsia="Times New Roman"/>
          <w:sz w:val="24"/>
          <w:szCs w:val="24"/>
        </w:rPr>
        <w:t>.</w:t>
      </w:r>
    </w:p>
    <w:p w14:paraId="010CBCF2" w14:textId="27A6F2B8" w:rsidR="00DC5A3A" w:rsidRDefault="00DC5A3A" w:rsidP="00DC5A3A">
      <w:pPr>
        <w:spacing w:after="60" w:line="300" w:lineRule="atLeast"/>
        <w:jc w:val="both"/>
        <w:rPr>
          <w:sz w:val="24"/>
          <w:szCs w:val="24"/>
        </w:rPr>
      </w:pPr>
    </w:p>
    <w:p w14:paraId="0E3E1B02" w14:textId="3A3B876C" w:rsidR="00DC5A3A" w:rsidRDefault="00DA5876" w:rsidP="00202DE4">
      <w:pPr>
        <w:spacing w:after="60" w:line="300" w:lineRule="atLeast"/>
        <w:jc w:val="center"/>
        <w:rPr>
          <w:rFonts w:ascii="Times New Roman" w:hAnsi="Times New Roman" w:cs="Times New Roman"/>
          <w:b/>
        </w:rPr>
      </w:pPr>
      <w:r>
        <w:rPr>
          <w:rFonts w:ascii="Times New Roman" w:hAnsi="Times New Roman" w:cs="Times New Roman"/>
          <w:noProof/>
          <w:lang w:eastAsia="pl-PL"/>
        </w:rPr>
        <w:lastRenderedPageBreak/>
        <w:drawing>
          <wp:inline distT="0" distB="0" distL="0" distR="0" wp14:anchorId="73315202" wp14:editId="1745475B">
            <wp:extent cx="4352925" cy="4024630"/>
            <wp:effectExtent l="0" t="0" r="9525" b="0"/>
            <wp:docPr id="48" name="Obraz 48" descr="Ryc. 18. Mapa - Średnie natężenie pól elektromagnetycznych w środowisku uzyskane w roku 2021 w ramach Państwowego Monitoringu Środowiska [V/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az 48" descr="Ryc. 18. Mapa - Średnie natężenie pól elektromagnetycznych w środowisku uzyskane w roku 2021 w ramach Państwowego Monitoringu Środowiska [V/m]"/>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4352925" cy="4024630"/>
                    </a:xfrm>
                    <a:prstGeom prst="rect">
                      <a:avLst/>
                    </a:prstGeom>
                  </pic:spPr>
                </pic:pic>
              </a:graphicData>
            </a:graphic>
          </wp:inline>
        </w:drawing>
      </w:r>
    </w:p>
    <w:p w14:paraId="6A6DB33A" w14:textId="24D6F27F" w:rsidR="00DC5A3A" w:rsidRDefault="00DC5A3A" w:rsidP="00565C8E">
      <w:pPr>
        <w:spacing w:after="0" w:line="300" w:lineRule="atLeast"/>
        <w:jc w:val="both"/>
        <w:rPr>
          <w:rFonts w:ascii="Times New Roman" w:hAnsi="Times New Roman" w:cs="Times New Roman"/>
          <w:b/>
        </w:rPr>
      </w:pPr>
      <w:r>
        <w:rPr>
          <w:rFonts w:ascii="Times New Roman" w:hAnsi="Times New Roman" w:cs="Times New Roman"/>
          <w:b/>
        </w:rPr>
        <w:t>Ryc. 18. Średnie natężenie pól elektromagnetycznych w środowisku uzyskane w roku 2021 w ramach Państwowego Monitoringu Środowiska [V/m]</w:t>
      </w:r>
    </w:p>
    <w:p w14:paraId="0A96CE88" w14:textId="567DEFFA" w:rsidR="00DC5A3A" w:rsidRDefault="00DC5A3A" w:rsidP="00565C8E">
      <w:pPr>
        <w:spacing w:after="0" w:line="300" w:lineRule="atLeast"/>
        <w:jc w:val="both"/>
        <w:rPr>
          <w:sz w:val="24"/>
          <w:szCs w:val="24"/>
        </w:rPr>
      </w:pPr>
    </w:p>
    <w:p w14:paraId="6B44085F" w14:textId="77777777" w:rsidR="00DC5A3A" w:rsidRPr="00822EB7" w:rsidRDefault="00DC5A3A" w:rsidP="00DC5A3A">
      <w:pPr>
        <w:spacing w:after="60" w:line="300" w:lineRule="atLeast"/>
        <w:ind w:firstLine="709"/>
        <w:jc w:val="both"/>
        <w:rPr>
          <w:rFonts w:ascii="Times New Roman" w:hAnsi="Times New Roman" w:cs="Times New Roman"/>
          <w:sz w:val="24"/>
          <w:szCs w:val="24"/>
        </w:rPr>
      </w:pPr>
      <w:r w:rsidRPr="00822EB7">
        <w:rPr>
          <w:rFonts w:ascii="Times New Roman" w:hAnsi="Times New Roman" w:cs="Times New Roman"/>
          <w:sz w:val="24"/>
          <w:szCs w:val="24"/>
        </w:rPr>
        <w:t>W żadnym z przekazanych do GIOŚ sprawozdań z monitoringu PEM w środowisku za rok 2021 nie odnotowano przekroczenia wartości dopuszczalnej pól elektromagnetycznych w środowisku, która dla częstotliwości objętych monitoringiem, tj. 80 MHz – 40 GHz, wynosi 28 V/m.</w:t>
      </w:r>
    </w:p>
    <w:p w14:paraId="2C021102" w14:textId="77777777" w:rsidR="00DC5A3A" w:rsidRPr="00822EB7" w:rsidRDefault="00DC5A3A" w:rsidP="00DC5A3A">
      <w:pPr>
        <w:autoSpaceDE w:val="0"/>
        <w:autoSpaceDN w:val="0"/>
        <w:adjustRightInd w:val="0"/>
        <w:spacing w:after="60" w:line="300" w:lineRule="atLeast"/>
        <w:jc w:val="both"/>
        <w:rPr>
          <w:rFonts w:ascii="Times New Roman" w:eastAsia="Calibri" w:hAnsi="Times New Roman" w:cs="Times New Roman"/>
          <w:sz w:val="24"/>
          <w:szCs w:val="24"/>
        </w:rPr>
      </w:pPr>
      <w:r w:rsidRPr="00822EB7">
        <w:rPr>
          <w:rFonts w:ascii="Times New Roman" w:eastAsia="Calibri" w:hAnsi="Times New Roman" w:cs="Times New Roman"/>
          <w:sz w:val="24"/>
          <w:szCs w:val="24"/>
        </w:rPr>
        <w:t>Najwyższe średnie wartości zmierzone w 2021 r. wynoszą:</w:t>
      </w:r>
    </w:p>
    <w:p w14:paraId="6653542A" w14:textId="77777777" w:rsidR="00DC5A3A" w:rsidRPr="00822EB7" w:rsidRDefault="00DC5A3A" w:rsidP="00D34F97">
      <w:pPr>
        <w:numPr>
          <w:ilvl w:val="0"/>
          <w:numId w:val="50"/>
        </w:numPr>
        <w:spacing w:after="60"/>
        <w:ind w:left="641" w:hanging="357"/>
        <w:jc w:val="both"/>
        <w:rPr>
          <w:rFonts w:ascii="Times New Roman" w:hAnsi="Times New Roman" w:cs="Times New Roman"/>
          <w:sz w:val="24"/>
          <w:szCs w:val="24"/>
        </w:rPr>
      </w:pPr>
      <w:r w:rsidRPr="00822EB7">
        <w:rPr>
          <w:rFonts w:ascii="Times New Roman" w:hAnsi="Times New Roman" w:cs="Times New Roman"/>
          <w:sz w:val="24"/>
          <w:szCs w:val="24"/>
        </w:rPr>
        <w:t>stała sieć monitoringu:</w:t>
      </w:r>
    </w:p>
    <w:p w14:paraId="25D0B251" w14:textId="77777777" w:rsidR="00DC5A3A" w:rsidRPr="00822EB7" w:rsidRDefault="00DC5A3A" w:rsidP="00D34F97">
      <w:pPr>
        <w:numPr>
          <w:ilvl w:val="1"/>
          <w:numId w:val="348"/>
        </w:numPr>
        <w:spacing w:after="60"/>
        <w:jc w:val="both"/>
        <w:rPr>
          <w:rFonts w:ascii="Times New Roman" w:hAnsi="Times New Roman" w:cs="Times New Roman"/>
          <w:sz w:val="24"/>
          <w:szCs w:val="24"/>
        </w:rPr>
      </w:pPr>
      <w:r w:rsidRPr="00822EB7">
        <w:rPr>
          <w:rFonts w:ascii="Times New Roman" w:hAnsi="Times New Roman" w:cs="Times New Roman"/>
          <w:sz w:val="24"/>
          <w:szCs w:val="24"/>
        </w:rPr>
        <w:t>miasta powyżej 200 000 mieszkańców – 3 V/m – Warszawa, woj. mazowieckie;</w:t>
      </w:r>
    </w:p>
    <w:p w14:paraId="525585D9" w14:textId="77777777" w:rsidR="00DC5A3A" w:rsidRPr="00822EB7" w:rsidRDefault="00DC5A3A" w:rsidP="00D34F97">
      <w:pPr>
        <w:numPr>
          <w:ilvl w:val="1"/>
          <w:numId w:val="348"/>
        </w:numPr>
        <w:spacing w:after="60"/>
        <w:jc w:val="both"/>
        <w:rPr>
          <w:rFonts w:ascii="Times New Roman" w:hAnsi="Times New Roman" w:cs="Times New Roman"/>
          <w:sz w:val="24"/>
          <w:szCs w:val="24"/>
        </w:rPr>
      </w:pPr>
      <w:r w:rsidRPr="00822EB7">
        <w:rPr>
          <w:rFonts w:ascii="Times New Roman" w:hAnsi="Times New Roman" w:cs="Times New Roman"/>
          <w:sz w:val="24"/>
          <w:szCs w:val="24"/>
        </w:rPr>
        <w:t>miasta w przedziale powyżej 100 000 do 200 000 mieszkańców – 2,7 V/m – Tychy, woj. śląskie;</w:t>
      </w:r>
    </w:p>
    <w:p w14:paraId="35FCA70E" w14:textId="77777777" w:rsidR="00DC5A3A" w:rsidRPr="00822EB7" w:rsidRDefault="00DC5A3A" w:rsidP="00D34F97">
      <w:pPr>
        <w:numPr>
          <w:ilvl w:val="1"/>
          <w:numId w:val="348"/>
        </w:numPr>
        <w:spacing w:after="60"/>
        <w:jc w:val="both"/>
        <w:rPr>
          <w:rFonts w:ascii="Times New Roman" w:hAnsi="Times New Roman" w:cs="Times New Roman"/>
          <w:sz w:val="24"/>
          <w:szCs w:val="24"/>
        </w:rPr>
      </w:pPr>
      <w:r w:rsidRPr="00822EB7">
        <w:rPr>
          <w:rFonts w:ascii="Times New Roman" w:hAnsi="Times New Roman" w:cs="Times New Roman"/>
          <w:sz w:val="24"/>
          <w:szCs w:val="24"/>
        </w:rPr>
        <w:t>miasta w przedziale powyżej 50 000 do 100 000 mieszkańców – 2,69 V/m – Nowy Sącz, woj. małopolskie;</w:t>
      </w:r>
    </w:p>
    <w:p w14:paraId="38A19A08" w14:textId="77777777" w:rsidR="00DC5A3A" w:rsidRPr="00822EB7" w:rsidRDefault="00DC5A3A" w:rsidP="00D34F97">
      <w:pPr>
        <w:numPr>
          <w:ilvl w:val="1"/>
          <w:numId w:val="348"/>
        </w:numPr>
        <w:spacing w:after="60"/>
        <w:jc w:val="both"/>
        <w:rPr>
          <w:rFonts w:ascii="Times New Roman" w:hAnsi="Times New Roman" w:cs="Times New Roman"/>
          <w:sz w:val="24"/>
          <w:szCs w:val="24"/>
        </w:rPr>
      </w:pPr>
      <w:r w:rsidRPr="00822EB7">
        <w:rPr>
          <w:rFonts w:ascii="Times New Roman" w:hAnsi="Times New Roman" w:cs="Times New Roman"/>
          <w:sz w:val="24"/>
          <w:szCs w:val="24"/>
        </w:rPr>
        <w:t>miasta w przedziale od 20 000 do 50 000 mieszkańców – 7,95 V/m – Kościerzyna, woj. pomorskie;</w:t>
      </w:r>
    </w:p>
    <w:p w14:paraId="608B98DD" w14:textId="77777777" w:rsidR="00DC5A3A" w:rsidRDefault="00DC5A3A" w:rsidP="00D34F97">
      <w:pPr>
        <w:numPr>
          <w:ilvl w:val="1"/>
          <w:numId w:val="348"/>
        </w:numPr>
        <w:spacing w:after="60"/>
        <w:jc w:val="both"/>
        <w:rPr>
          <w:rFonts w:ascii="Times New Roman" w:hAnsi="Times New Roman" w:cs="Times New Roman"/>
          <w:sz w:val="24"/>
          <w:szCs w:val="24"/>
        </w:rPr>
      </w:pPr>
      <w:r w:rsidRPr="00822EB7">
        <w:rPr>
          <w:rFonts w:ascii="Times New Roman" w:hAnsi="Times New Roman" w:cs="Times New Roman"/>
          <w:sz w:val="24"/>
          <w:szCs w:val="24"/>
        </w:rPr>
        <w:t>miasta poniżej 20 000 mieszkańców – 2,5 V/m – Pyskowice, woj. śląskie,</w:t>
      </w:r>
    </w:p>
    <w:p w14:paraId="2CD702A5" w14:textId="0AE3CF12" w:rsidR="00DC5A3A" w:rsidRPr="00DC5A3A" w:rsidRDefault="00DC5A3A" w:rsidP="00D34F97">
      <w:pPr>
        <w:numPr>
          <w:ilvl w:val="2"/>
          <w:numId w:val="206"/>
        </w:numPr>
        <w:spacing w:after="60"/>
        <w:ind w:left="641" w:hanging="357"/>
        <w:jc w:val="both"/>
        <w:rPr>
          <w:rFonts w:ascii="Times New Roman" w:hAnsi="Times New Roman" w:cs="Times New Roman"/>
          <w:sz w:val="24"/>
          <w:szCs w:val="24"/>
        </w:rPr>
      </w:pPr>
      <w:r w:rsidRPr="00DC5A3A">
        <w:rPr>
          <w:rFonts w:ascii="Times New Roman" w:hAnsi="Times New Roman" w:cs="Times New Roman"/>
          <w:sz w:val="24"/>
          <w:szCs w:val="24"/>
        </w:rPr>
        <w:t>monitoring badawczy:</w:t>
      </w:r>
    </w:p>
    <w:p w14:paraId="4F8D2EAF" w14:textId="77777777" w:rsidR="00DC5A3A" w:rsidRPr="00822EB7" w:rsidRDefault="00DC5A3A" w:rsidP="00D34F97">
      <w:pPr>
        <w:numPr>
          <w:ilvl w:val="1"/>
          <w:numId w:val="348"/>
        </w:numPr>
        <w:spacing w:after="60"/>
        <w:jc w:val="both"/>
        <w:rPr>
          <w:rFonts w:ascii="Times New Roman" w:hAnsi="Times New Roman" w:cs="Times New Roman"/>
          <w:sz w:val="24"/>
          <w:szCs w:val="24"/>
        </w:rPr>
      </w:pPr>
      <w:r w:rsidRPr="00822EB7">
        <w:rPr>
          <w:rFonts w:ascii="Times New Roman" w:hAnsi="Times New Roman" w:cs="Times New Roman"/>
          <w:sz w:val="24"/>
          <w:szCs w:val="24"/>
        </w:rPr>
        <w:t xml:space="preserve">gminy wiejskie – 2,4 V/m – Herby, woj. śląskie. </w:t>
      </w:r>
    </w:p>
    <w:p w14:paraId="0EDBDBC9" w14:textId="14576922" w:rsidR="00895F16" w:rsidRDefault="00DC5A3A" w:rsidP="00DC5A3A">
      <w:pPr>
        <w:spacing w:after="0" w:line="300" w:lineRule="atLeast"/>
        <w:ind w:firstLine="567"/>
        <w:jc w:val="both"/>
        <w:rPr>
          <w:rFonts w:ascii="Times New Roman" w:hAnsi="Times New Roman" w:cs="Times New Roman"/>
          <w:sz w:val="24"/>
          <w:szCs w:val="24"/>
        </w:rPr>
      </w:pPr>
      <w:r w:rsidRPr="00822EB7">
        <w:rPr>
          <w:rFonts w:ascii="Times New Roman" w:hAnsi="Times New Roman" w:cs="Times New Roman"/>
          <w:sz w:val="24"/>
          <w:szCs w:val="24"/>
        </w:rPr>
        <w:t>W 2022 roku, zgodnie z obowiązkiem wynikającym z art. 124 ustawy Prawo Ochrony Środowiska, zaktualizowano Rejestr terenów z przekroczeniem pól elektromagnetycznych za</w:t>
      </w:r>
      <w:r>
        <w:rPr>
          <w:rFonts w:ascii="Times New Roman" w:hAnsi="Times New Roman" w:cs="Times New Roman"/>
          <w:sz w:val="24"/>
          <w:szCs w:val="24"/>
        </w:rPr>
        <w:t> </w:t>
      </w:r>
      <w:r w:rsidRPr="00822EB7">
        <w:rPr>
          <w:rFonts w:ascii="Times New Roman" w:hAnsi="Times New Roman" w:cs="Times New Roman"/>
          <w:sz w:val="24"/>
          <w:szCs w:val="24"/>
        </w:rPr>
        <w:t xml:space="preserve">rok 2021. Rejestr zawiera informacje o terenach, na których stwierdzono przekroczenie dopuszczalnych poziomów pól elektromagnetycznych w środowisku, z wyszczególnieniem </w:t>
      </w:r>
      <w:r w:rsidRPr="00822EB7">
        <w:rPr>
          <w:rFonts w:ascii="Times New Roman" w:hAnsi="Times New Roman" w:cs="Times New Roman"/>
          <w:sz w:val="24"/>
          <w:szCs w:val="24"/>
        </w:rPr>
        <w:lastRenderedPageBreak/>
        <w:t xml:space="preserve">przekroczeń dotyczących terenów przeznaczonych pod zabudowę mieszkaniową oraz miejsc dostępnych dla ludności. Główny Inspektorat Ochrony Środowiska udostępnia ww. rejestr na swojej stronie internetowej, pod adresem: </w:t>
      </w:r>
      <w:hyperlink r:id="rId149" w:history="1">
        <w:r w:rsidR="000B2DF3" w:rsidRPr="000B2DF3">
          <w:rPr>
            <w:rStyle w:val="Hipercze"/>
            <w:rFonts w:ascii="Times New Roman" w:hAnsi="Times New Roman" w:cs="Times New Roman"/>
            <w:sz w:val="24"/>
            <w:szCs w:val="24"/>
          </w:rPr>
          <w:t>https://www.gov.pl/web/gios/rejestr-terenow-z-przekroczeniem-pol-elektromagnetycznych</w:t>
        </w:r>
      </w:hyperlink>
      <w:r w:rsidR="004752FE">
        <w:rPr>
          <w:rFonts w:ascii="Times New Roman" w:hAnsi="Times New Roman" w:cs="Times New Roman"/>
          <w:sz w:val="24"/>
          <w:szCs w:val="24"/>
        </w:rPr>
        <w:t>.</w:t>
      </w:r>
    </w:p>
    <w:p w14:paraId="0446086B" w14:textId="77777777" w:rsidR="004752FE" w:rsidRPr="007F400A" w:rsidRDefault="004752FE" w:rsidP="0001141B">
      <w:pPr>
        <w:spacing w:after="0" w:line="300" w:lineRule="atLeast"/>
        <w:ind w:firstLine="567"/>
        <w:jc w:val="both"/>
        <w:rPr>
          <w:rFonts w:ascii="Times New Roman" w:eastAsia="Square721EU-Normal" w:hAnsi="Times New Roman" w:cs="Times New Roman"/>
          <w:b/>
          <w:color w:val="00B0F0"/>
          <w:sz w:val="24"/>
          <w:szCs w:val="24"/>
        </w:rPr>
      </w:pPr>
    </w:p>
    <w:p w14:paraId="238B6F22" w14:textId="77777777" w:rsidR="00895F16" w:rsidRPr="007F400A" w:rsidRDefault="00895F16" w:rsidP="00895F16">
      <w:pPr>
        <w:keepNext/>
        <w:spacing w:after="120" w:line="300" w:lineRule="atLeast"/>
        <w:jc w:val="both"/>
        <w:outlineLvl w:val="0"/>
        <w:rPr>
          <w:rFonts w:ascii="Times New Roman" w:eastAsia="Times New Roman" w:hAnsi="Times New Roman" w:cs="Times New Roman"/>
          <w:b/>
          <w:bCs/>
          <w:sz w:val="24"/>
          <w:szCs w:val="24"/>
          <w:lang w:val="x-none" w:eastAsia="x-none"/>
        </w:rPr>
      </w:pPr>
      <w:bookmarkStart w:id="426" w:name="_Toc36732649"/>
      <w:bookmarkStart w:id="427" w:name="_Toc135935720"/>
      <w:r w:rsidRPr="007F400A">
        <w:rPr>
          <w:rFonts w:ascii="Times New Roman" w:eastAsia="Times New Roman" w:hAnsi="Times New Roman" w:cs="Times New Roman"/>
          <w:b/>
          <w:bCs/>
          <w:sz w:val="24"/>
          <w:szCs w:val="24"/>
          <w:lang w:eastAsia="x-none"/>
        </w:rPr>
        <w:t>8</w:t>
      </w:r>
      <w:r w:rsidRPr="007F400A">
        <w:rPr>
          <w:rFonts w:ascii="Times New Roman" w:eastAsia="Times New Roman" w:hAnsi="Times New Roman" w:cs="Times New Roman"/>
          <w:b/>
          <w:bCs/>
          <w:sz w:val="24"/>
          <w:szCs w:val="24"/>
          <w:lang w:val="x-none" w:eastAsia="x-none"/>
        </w:rPr>
        <w:t>. Monitoring promieniowania jonizującego</w:t>
      </w:r>
      <w:bookmarkEnd w:id="426"/>
      <w:bookmarkEnd w:id="427"/>
    </w:p>
    <w:p w14:paraId="6C9B9458" w14:textId="77777777" w:rsidR="00DC5A3A" w:rsidRPr="00822EB7" w:rsidRDefault="00DC5A3A" w:rsidP="00DC5A3A">
      <w:pPr>
        <w:spacing w:after="60" w:line="300" w:lineRule="atLeast"/>
        <w:ind w:firstLine="567"/>
        <w:jc w:val="both"/>
        <w:rPr>
          <w:rFonts w:ascii="Times New Roman" w:hAnsi="Times New Roman" w:cs="Times New Roman"/>
          <w:sz w:val="24"/>
          <w:szCs w:val="24"/>
        </w:rPr>
      </w:pPr>
      <w:r w:rsidRPr="00822EB7">
        <w:rPr>
          <w:rFonts w:ascii="Times New Roman" w:hAnsi="Times New Roman" w:cs="Times New Roman"/>
          <w:sz w:val="24"/>
          <w:szCs w:val="24"/>
        </w:rPr>
        <w:t>W 2022 r. w ramach monitoringu promieniowania jonizującego Główny Inspektor Ochrony Środowiska realizował poniższe programy:</w:t>
      </w:r>
    </w:p>
    <w:p w14:paraId="2796D2AE" w14:textId="77777777" w:rsidR="00DC5A3A" w:rsidRPr="00822EB7" w:rsidRDefault="00DC5A3A" w:rsidP="00D34F97">
      <w:pPr>
        <w:pStyle w:val="Tekstpodstawowywcity3"/>
        <w:numPr>
          <w:ilvl w:val="0"/>
          <w:numId w:val="207"/>
        </w:numPr>
        <w:spacing w:after="60" w:line="300" w:lineRule="atLeast"/>
        <w:ind w:left="714" w:hanging="357"/>
      </w:pPr>
      <w:r w:rsidRPr="00822EB7">
        <w:t>wykonywanie pomiarów na stacjach wczesnego wykrywania skażeń promieniotwórczych IMGW–PIB,</w:t>
      </w:r>
    </w:p>
    <w:p w14:paraId="601D2777" w14:textId="77777777" w:rsidR="00DC5A3A" w:rsidRPr="00822EB7" w:rsidRDefault="00DC5A3A" w:rsidP="00D34F97">
      <w:pPr>
        <w:pStyle w:val="Akapitzlist"/>
        <w:numPr>
          <w:ilvl w:val="0"/>
          <w:numId w:val="207"/>
        </w:numPr>
        <w:spacing w:after="60" w:line="300" w:lineRule="atLeast"/>
        <w:ind w:left="714" w:hanging="357"/>
        <w:jc w:val="both"/>
        <w:rPr>
          <w:sz w:val="24"/>
          <w:szCs w:val="24"/>
        </w:rPr>
      </w:pPr>
      <w:r w:rsidRPr="00822EB7">
        <w:rPr>
          <w:sz w:val="24"/>
          <w:szCs w:val="24"/>
        </w:rPr>
        <w:t>monitoring skażeń promieniotwórczych wód powierzchniowych i osadów dennych</w:t>
      </w:r>
      <w:r w:rsidRPr="00822EB7">
        <w:rPr>
          <w:sz w:val="24"/>
          <w:szCs w:val="24"/>
          <w:lang w:val="pl-PL"/>
        </w:rPr>
        <w:t>,</w:t>
      </w:r>
      <w:r w:rsidRPr="00822EB7">
        <w:rPr>
          <w:sz w:val="24"/>
          <w:szCs w:val="24"/>
        </w:rPr>
        <w:t xml:space="preserve"> </w:t>
      </w:r>
    </w:p>
    <w:p w14:paraId="597FDA4B" w14:textId="77777777" w:rsidR="00DC5A3A" w:rsidRPr="00822EB7" w:rsidRDefault="00DC5A3A" w:rsidP="00D34F97">
      <w:pPr>
        <w:pStyle w:val="Akapitzlist"/>
        <w:numPr>
          <w:ilvl w:val="0"/>
          <w:numId w:val="207"/>
        </w:numPr>
        <w:spacing w:after="60" w:line="300" w:lineRule="atLeast"/>
        <w:ind w:left="714" w:hanging="357"/>
        <w:jc w:val="both"/>
        <w:rPr>
          <w:sz w:val="24"/>
          <w:szCs w:val="24"/>
        </w:rPr>
      </w:pPr>
      <w:r w:rsidRPr="00822EB7">
        <w:rPr>
          <w:sz w:val="24"/>
          <w:szCs w:val="24"/>
        </w:rPr>
        <w:t>monitoring stężenia cezu-137 w glebie.</w:t>
      </w:r>
    </w:p>
    <w:p w14:paraId="7B289C7F" w14:textId="18E655D3" w:rsidR="00895F16" w:rsidRPr="007F400A" w:rsidRDefault="00DC5A3A" w:rsidP="00DC5A3A">
      <w:pPr>
        <w:spacing w:after="0" w:line="300" w:lineRule="atLeast"/>
        <w:ind w:firstLine="567"/>
        <w:jc w:val="both"/>
        <w:rPr>
          <w:rFonts w:ascii="Times New Roman" w:hAnsi="Times New Roman"/>
          <w:sz w:val="24"/>
          <w:szCs w:val="24"/>
        </w:rPr>
      </w:pPr>
      <w:r w:rsidRPr="00822EB7">
        <w:rPr>
          <w:rFonts w:ascii="Times New Roman" w:hAnsi="Times New Roman" w:cs="Times New Roman"/>
          <w:sz w:val="24"/>
          <w:szCs w:val="24"/>
        </w:rPr>
        <w:t>Program pomiarowy w zakresie monitoringu promieniowania jonizującego zaplanowany na rok 2022 został w pełni wykonany</w:t>
      </w:r>
      <w:r w:rsidR="00895F16" w:rsidRPr="007F400A">
        <w:rPr>
          <w:rFonts w:ascii="Times New Roman" w:hAnsi="Times New Roman"/>
          <w:sz w:val="24"/>
          <w:szCs w:val="24"/>
        </w:rPr>
        <w:t xml:space="preserve">. </w:t>
      </w:r>
    </w:p>
    <w:p w14:paraId="6008B636" w14:textId="57774CAD" w:rsidR="00895F16" w:rsidRDefault="00895F16" w:rsidP="00895F16">
      <w:pPr>
        <w:spacing w:after="0" w:line="300" w:lineRule="atLeast"/>
        <w:ind w:firstLine="709"/>
        <w:jc w:val="both"/>
        <w:rPr>
          <w:rFonts w:ascii="Times New Roman" w:hAnsi="Times New Roman"/>
          <w:sz w:val="24"/>
          <w:szCs w:val="24"/>
        </w:rPr>
      </w:pPr>
      <w:r w:rsidRPr="007F400A">
        <w:rPr>
          <w:rFonts w:ascii="Times New Roman" w:hAnsi="Times New Roman"/>
          <w:sz w:val="24"/>
          <w:szCs w:val="24"/>
        </w:rPr>
        <w:t>Uzyskane wyniki monitoringu powietrza, wód, osadów i gleb wskazują, że nie wystąpiły nowe uwolnienia izotopów promieniotwórczych do środowiska.</w:t>
      </w:r>
    </w:p>
    <w:p w14:paraId="16C57E90" w14:textId="31951B80" w:rsidR="00DC5A3A" w:rsidRDefault="00DC5A3A" w:rsidP="00DC5A3A">
      <w:pPr>
        <w:spacing w:after="0" w:line="300" w:lineRule="atLeast"/>
        <w:jc w:val="both"/>
        <w:rPr>
          <w:rFonts w:ascii="Times New Roman" w:hAnsi="Times New Roman" w:cs="Times New Roman"/>
        </w:rPr>
      </w:pPr>
    </w:p>
    <w:p w14:paraId="62B487C0" w14:textId="77777777" w:rsidR="00DC5A3A" w:rsidRPr="005E2831" w:rsidRDefault="00DC5A3A" w:rsidP="00A4010D">
      <w:pPr>
        <w:keepNext/>
        <w:spacing w:after="60" w:line="300" w:lineRule="atLeast"/>
        <w:jc w:val="center"/>
        <w:rPr>
          <w:rFonts w:ascii="Times New Roman" w:hAnsi="Times New Roman" w:cs="Times New Roman"/>
        </w:rPr>
      </w:pPr>
      <w:r w:rsidRPr="005E2831">
        <w:rPr>
          <w:rFonts w:ascii="Times New Roman" w:hAnsi="Times New Roman" w:cs="Times New Roman"/>
          <w:noProof/>
          <w:sz w:val="24"/>
          <w:szCs w:val="24"/>
          <w:lang w:eastAsia="pl-PL"/>
        </w:rPr>
        <w:drawing>
          <wp:inline distT="0" distB="0" distL="0" distR="0" wp14:anchorId="6F6FEC29" wp14:editId="52F2DF9C">
            <wp:extent cx="4740035" cy="3571875"/>
            <wp:effectExtent l="0" t="0" r="3810" b="0"/>
            <wp:docPr id="87" name="Obraz 87" descr="Ryc. 19. Mapa-monitoring promieniowania jonizującego realizowany w ramach Państwowego Monitoringu Środowi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az 87" descr="Ryc. 19. Mapa-monitoring promieniowania jonizującego realizowany w ramach Państwowego Monitoringu Środowiska"/>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4743971" cy="3574841"/>
                    </a:xfrm>
                    <a:prstGeom prst="rect">
                      <a:avLst/>
                    </a:prstGeom>
                  </pic:spPr>
                </pic:pic>
              </a:graphicData>
            </a:graphic>
          </wp:inline>
        </w:drawing>
      </w:r>
    </w:p>
    <w:p w14:paraId="42C8B288" w14:textId="34EBF446" w:rsidR="00DC5A3A" w:rsidRPr="0009242C" w:rsidRDefault="00DC5A3A" w:rsidP="00A4010D">
      <w:pPr>
        <w:pStyle w:val="Legenda"/>
        <w:jc w:val="center"/>
        <w:rPr>
          <w:color w:val="000000" w:themeColor="text1"/>
          <w:sz w:val="22"/>
          <w:szCs w:val="22"/>
        </w:rPr>
      </w:pPr>
      <w:r w:rsidRPr="0009242C">
        <w:rPr>
          <w:color w:val="000000" w:themeColor="text1"/>
          <w:sz w:val="22"/>
          <w:szCs w:val="22"/>
        </w:rPr>
        <w:t>Ryc. </w:t>
      </w:r>
      <w:r w:rsidR="00465E16">
        <w:rPr>
          <w:color w:val="000000" w:themeColor="text1"/>
          <w:sz w:val="22"/>
          <w:szCs w:val="22"/>
          <w:lang w:val="pl-PL"/>
        </w:rPr>
        <w:t>1</w:t>
      </w:r>
      <w:r w:rsidRPr="0009242C">
        <w:rPr>
          <w:color w:val="000000" w:themeColor="text1"/>
          <w:sz w:val="22"/>
          <w:szCs w:val="22"/>
        </w:rPr>
        <w:t>9. Monitoring promieniowania jonizującego realizowany w ramach Państwowego Monitoringu Środowiska</w:t>
      </w:r>
    </w:p>
    <w:p w14:paraId="4E24D0D8" w14:textId="77777777" w:rsidR="00DC5A3A" w:rsidRPr="00822EB7" w:rsidRDefault="00DC5A3A" w:rsidP="0009242C">
      <w:pPr>
        <w:spacing w:after="60" w:line="300" w:lineRule="atLeast"/>
        <w:ind w:firstLine="567"/>
        <w:jc w:val="both"/>
        <w:rPr>
          <w:rFonts w:ascii="Times New Roman" w:hAnsi="Times New Roman" w:cs="Times New Roman"/>
          <w:sz w:val="24"/>
          <w:szCs w:val="24"/>
        </w:rPr>
      </w:pPr>
      <w:r w:rsidRPr="00822EB7">
        <w:rPr>
          <w:rFonts w:ascii="Times New Roman" w:hAnsi="Times New Roman" w:cs="Times New Roman"/>
          <w:sz w:val="24"/>
          <w:szCs w:val="24"/>
        </w:rPr>
        <w:t>Na 9 stacjach wczesnego wykrywania skażeń promieniotwórczych IMGW–PIB w 2022</w:t>
      </w:r>
      <w:r>
        <w:rPr>
          <w:rFonts w:ascii="Times New Roman" w:hAnsi="Times New Roman" w:cs="Times New Roman"/>
          <w:sz w:val="24"/>
          <w:szCs w:val="24"/>
        </w:rPr>
        <w:t> </w:t>
      </w:r>
      <w:r w:rsidRPr="00822EB7">
        <w:rPr>
          <w:rFonts w:ascii="Times New Roman" w:hAnsi="Times New Roman" w:cs="Times New Roman"/>
          <w:sz w:val="24"/>
          <w:szCs w:val="24"/>
        </w:rPr>
        <w:t xml:space="preserve">r. były prowadzone odpowiednio ciągłe pomiary mocy dawki promieniowania gamma na wysokości 1 m od podłoża, średnich dobowych aktywności aerozoli powietrza, aktywności beta opadu całkowitego, aktywności cezu-137 i wybranych naturalnych radioizotopów gamma promieniotwórczych oraz aktywności strontu-90 opadu całkowitego. W 2022 roku został opracowany raport przedstawiający </w:t>
      </w:r>
      <w:bookmarkStart w:id="428" w:name="_Hlk93999635"/>
      <w:r w:rsidRPr="00822EB7">
        <w:rPr>
          <w:rFonts w:ascii="Times New Roman" w:hAnsi="Times New Roman" w:cs="Times New Roman"/>
          <w:sz w:val="24"/>
          <w:szCs w:val="24"/>
        </w:rPr>
        <w:t>wyniki i analizy za rok 202</w:t>
      </w:r>
      <w:bookmarkEnd w:id="428"/>
      <w:r w:rsidRPr="00822EB7">
        <w:rPr>
          <w:rFonts w:ascii="Times New Roman" w:hAnsi="Times New Roman" w:cs="Times New Roman"/>
          <w:sz w:val="24"/>
          <w:szCs w:val="24"/>
        </w:rPr>
        <w:t>1. Wyniki prowadzonych pomiarów wskazują na utrzymywanie się wartości mierzonych parametrów w granicach wartości notowanych w latach ubiegłych.</w:t>
      </w:r>
    </w:p>
    <w:p w14:paraId="756CBE0A" w14:textId="77777777" w:rsidR="00DC5A3A" w:rsidRPr="00822EB7" w:rsidRDefault="00DC5A3A" w:rsidP="00DC5A3A">
      <w:pPr>
        <w:spacing w:after="60" w:line="300" w:lineRule="atLeast"/>
        <w:ind w:firstLine="567"/>
        <w:jc w:val="both"/>
        <w:rPr>
          <w:rFonts w:ascii="Times New Roman" w:hAnsi="Times New Roman" w:cs="Times New Roman"/>
          <w:sz w:val="24"/>
          <w:szCs w:val="24"/>
        </w:rPr>
      </w:pPr>
      <w:r w:rsidRPr="00822EB7">
        <w:rPr>
          <w:rFonts w:ascii="Times New Roman" w:hAnsi="Times New Roman" w:cs="Times New Roman"/>
          <w:sz w:val="24"/>
          <w:szCs w:val="24"/>
        </w:rPr>
        <w:lastRenderedPageBreak/>
        <w:t xml:space="preserve">W ramach monitoringu skażeń promieniotwórczych wód powierzchniowych i osadów dennych w 2022 r. pobrano dwukrotnie – w sezonie wiosennym i jesiennym – próbki wody i osadów dennych w 18 punktach, zlokalizowanych w dorzeczu Wisły, w dorzeczu Odry oraz w sześciu jeziorach (Wielkie Partęczyny, Drawsko, Wadąg, Rogóźno, </w:t>
      </w:r>
      <w:proofErr w:type="spellStart"/>
      <w:r w:rsidRPr="00822EB7">
        <w:rPr>
          <w:rFonts w:ascii="Times New Roman" w:hAnsi="Times New Roman" w:cs="Times New Roman"/>
          <w:sz w:val="24"/>
          <w:szCs w:val="24"/>
        </w:rPr>
        <w:t>Niesłysz</w:t>
      </w:r>
      <w:proofErr w:type="spellEnd"/>
      <w:r w:rsidRPr="00822EB7">
        <w:rPr>
          <w:rFonts w:ascii="Times New Roman" w:hAnsi="Times New Roman" w:cs="Times New Roman"/>
          <w:sz w:val="24"/>
          <w:szCs w:val="24"/>
        </w:rPr>
        <w:t>, Wigry). W</w:t>
      </w:r>
      <w:r>
        <w:rPr>
          <w:rFonts w:ascii="Times New Roman" w:hAnsi="Times New Roman" w:cs="Times New Roman"/>
          <w:sz w:val="24"/>
          <w:szCs w:val="24"/>
        </w:rPr>
        <w:t> </w:t>
      </w:r>
      <w:r w:rsidRPr="00822EB7">
        <w:rPr>
          <w:rFonts w:ascii="Times New Roman" w:hAnsi="Times New Roman" w:cs="Times New Roman"/>
          <w:sz w:val="24"/>
          <w:szCs w:val="24"/>
        </w:rPr>
        <w:t xml:space="preserve">pobranych próbkach wody wykonano analizy cezu-137 i strontu-90 oraz w próbkach osadów dennych wykonano analizy cezu-137, plutonu-238, plutonu-239,240. W 2022 r. został opracowany raport przedstawiający wyniki i analizy za rok 2021. Uzyskane wyniki pozwalają na stwierdzenie, że zawartość cezu-137 i strontu-90 w wodach powierzchniowych jest niewielka i kształtuje się na poziomie z lat ubiegłych. Również zawartość cezu-137 i plutonu-239,240 w osadach dennych pozostaje na niskim poziomie. </w:t>
      </w:r>
    </w:p>
    <w:p w14:paraId="52627AF4" w14:textId="31734F45" w:rsidR="00DC5A3A" w:rsidRPr="00822EB7" w:rsidRDefault="00DC5A3A" w:rsidP="001355BC">
      <w:pPr>
        <w:spacing w:after="60" w:line="300" w:lineRule="atLeast"/>
        <w:ind w:firstLine="567"/>
        <w:jc w:val="both"/>
        <w:rPr>
          <w:rFonts w:ascii="Times New Roman" w:hAnsi="Times New Roman" w:cs="Times New Roman"/>
          <w:sz w:val="24"/>
          <w:szCs w:val="24"/>
        </w:rPr>
      </w:pPr>
      <w:r w:rsidRPr="00822EB7">
        <w:rPr>
          <w:rFonts w:ascii="Times New Roman" w:hAnsi="Times New Roman" w:cs="Times New Roman"/>
          <w:sz w:val="24"/>
          <w:szCs w:val="24"/>
        </w:rPr>
        <w:t>Monitoring stężenia cezu-137 w glebie jest prowadzony w 2-letnim cyklu pomiarowym. W 2022 r. opracowany został raport za 2020 rok, obrazujący depozycję cezu-137 w</w:t>
      </w:r>
      <w:r>
        <w:rPr>
          <w:rFonts w:ascii="Times New Roman" w:hAnsi="Times New Roman" w:cs="Times New Roman"/>
          <w:sz w:val="24"/>
          <w:szCs w:val="24"/>
        </w:rPr>
        <w:t> </w:t>
      </w:r>
      <w:r w:rsidRPr="00822EB7">
        <w:rPr>
          <w:rFonts w:ascii="Times New Roman" w:hAnsi="Times New Roman" w:cs="Times New Roman"/>
          <w:sz w:val="24"/>
          <w:szCs w:val="24"/>
        </w:rPr>
        <w:t>powierzchniowej warstwie gleby oraz stężenia radionuklidów naturalnych (rad-226, aktyn-228, potas-40) na podstawie pełnej serii pomiarów próbek gleby pobranych jesienią 2020 r. w</w:t>
      </w:r>
      <w:r>
        <w:rPr>
          <w:rFonts w:ascii="Times New Roman" w:hAnsi="Times New Roman" w:cs="Times New Roman"/>
          <w:sz w:val="24"/>
          <w:szCs w:val="24"/>
        </w:rPr>
        <w:t> </w:t>
      </w:r>
      <w:r w:rsidRPr="00822EB7">
        <w:rPr>
          <w:rFonts w:ascii="Times New Roman" w:hAnsi="Times New Roman" w:cs="Times New Roman"/>
          <w:sz w:val="24"/>
          <w:szCs w:val="24"/>
        </w:rPr>
        <w:t xml:space="preserve">254 punktach o stałych lokalizacjach na obszarze całego kraju. </w:t>
      </w:r>
    </w:p>
    <w:p w14:paraId="2713D13D" w14:textId="77777777" w:rsidR="00DC5A3A" w:rsidRPr="00822EB7" w:rsidRDefault="00DC5A3A" w:rsidP="00DC5A3A">
      <w:pPr>
        <w:spacing w:after="60"/>
        <w:ind w:firstLine="567"/>
        <w:jc w:val="both"/>
        <w:rPr>
          <w:rFonts w:ascii="Times New Roman" w:hAnsi="Times New Roman" w:cs="Times New Roman"/>
          <w:sz w:val="24"/>
          <w:szCs w:val="24"/>
        </w:rPr>
      </w:pPr>
      <w:r w:rsidRPr="00822EB7">
        <w:rPr>
          <w:rFonts w:ascii="Times New Roman" w:hAnsi="Times New Roman" w:cs="Times New Roman"/>
          <w:sz w:val="24"/>
          <w:szCs w:val="24"/>
        </w:rPr>
        <w:t>Współpraca Głównego Inspektoratu Ochrony Środowiska z Państwową Agencją Atomistyki polega na corocznym przekazywaniu danych i opracowań pozyskanych z realizacji powyższych zadań w zakresie monitoringu promieniowania jonizującego. Natomiast dane pochodzące ze stacji wczesnego wykrywania skażeń promieniotwórczych przekazywane są</w:t>
      </w:r>
      <w:r>
        <w:rPr>
          <w:rFonts w:ascii="Times New Roman" w:hAnsi="Times New Roman" w:cs="Times New Roman"/>
          <w:sz w:val="24"/>
          <w:szCs w:val="24"/>
        </w:rPr>
        <w:t> </w:t>
      </w:r>
      <w:r w:rsidRPr="00822EB7">
        <w:rPr>
          <w:rFonts w:ascii="Times New Roman" w:hAnsi="Times New Roman" w:cs="Times New Roman"/>
          <w:sz w:val="24"/>
          <w:szCs w:val="24"/>
        </w:rPr>
        <w:t>w</w:t>
      </w:r>
      <w:r>
        <w:rPr>
          <w:rFonts w:ascii="Times New Roman" w:hAnsi="Times New Roman" w:cs="Times New Roman"/>
          <w:sz w:val="24"/>
          <w:szCs w:val="24"/>
        </w:rPr>
        <w:t> </w:t>
      </w:r>
      <w:r w:rsidRPr="00822EB7">
        <w:rPr>
          <w:rFonts w:ascii="Times New Roman" w:hAnsi="Times New Roman" w:cs="Times New Roman"/>
          <w:sz w:val="24"/>
          <w:szCs w:val="24"/>
        </w:rPr>
        <w:t xml:space="preserve">codziennych komunikatach do Centrum do Spraw Zdarzeń Radiacyjnych PAA CEZAR. Dane te od 2022 roku są publikowane na portalu mapowym PAA – </w:t>
      </w:r>
      <w:r w:rsidRPr="00822EB7">
        <w:rPr>
          <w:rFonts w:ascii="Times New Roman" w:hAnsi="Times New Roman" w:cs="Times New Roman"/>
          <w:bCs/>
          <w:sz w:val="24"/>
          <w:szCs w:val="24"/>
        </w:rPr>
        <w:t>na interaktywnej mapie, obrazującej bieżącą sytuację radiacyjną kraju (https://monitoring.paa.gov.pl/maps-portal/).</w:t>
      </w:r>
    </w:p>
    <w:p w14:paraId="404CD863" w14:textId="3E4EC888" w:rsidR="00DC5A3A" w:rsidRPr="007F400A" w:rsidRDefault="00DC5A3A" w:rsidP="00EF25AC">
      <w:pPr>
        <w:spacing w:after="0" w:line="300" w:lineRule="atLeast"/>
        <w:ind w:firstLine="567"/>
        <w:jc w:val="both"/>
        <w:rPr>
          <w:rFonts w:ascii="Times New Roman" w:hAnsi="Times New Roman" w:cs="Times New Roman"/>
        </w:rPr>
      </w:pPr>
      <w:r w:rsidRPr="00822EB7">
        <w:rPr>
          <w:rFonts w:ascii="Times New Roman" w:hAnsi="Times New Roman" w:cs="Times New Roman"/>
          <w:sz w:val="24"/>
          <w:szCs w:val="24"/>
        </w:rPr>
        <w:t>Dotychczasowe wyniki monitoringu powietrza, wód, osadów i gleb wskazują, że</w:t>
      </w:r>
      <w:r>
        <w:rPr>
          <w:rFonts w:ascii="Times New Roman" w:hAnsi="Times New Roman" w:cs="Times New Roman"/>
          <w:sz w:val="24"/>
          <w:szCs w:val="24"/>
        </w:rPr>
        <w:t> </w:t>
      </w:r>
      <w:r w:rsidRPr="00822EB7">
        <w:rPr>
          <w:rFonts w:ascii="Times New Roman" w:hAnsi="Times New Roman" w:cs="Times New Roman"/>
          <w:sz w:val="24"/>
          <w:szCs w:val="24"/>
        </w:rPr>
        <w:t>nie</w:t>
      </w:r>
      <w:r>
        <w:rPr>
          <w:rFonts w:ascii="Times New Roman" w:hAnsi="Times New Roman" w:cs="Times New Roman"/>
          <w:sz w:val="24"/>
          <w:szCs w:val="24"/>
        </w:rPr>
        <w:t> </w:t>
      </w:r>
      <w:r w:rsidRPr="00822EB7">
        <w:rPr>
          <w:rFonts w:ascii="Times New Roman" w:hAnsi="Times New Roman" w:cs="Times New Roman"/>
          <w:sz w:val="24"/>
          <w:szCs w:val="24"/>
        </w:rPr>
        <w:t>wystąpiły nowe uwolnienia izotopów promieniotwórczych do środowiska</w:t>
      </w:r>
    </w:p>
    <w:p w14:paraId="49431C0B" w14:textId="0DB4751B" w:rsidR="00895F16" w:rsidRPr="007F400A" w:rsidRDefault="00895F16" w:rsidP="00895F16">
      <w:pPr>
        <w:spacing w:after="0" w:line="300" w:lineRule="atLeast"/>
        <w:ind w:left="720"/>
        <w:contextualSpacing/>
        <w:jc w:val="both"/>
        <w:rPr>
          <w:rFonts w:ascii="Times New Roman" w:eastAsia="Calibri" w:hAnsi="Times New Roman" w:cs="Times New Roman"/>
          <w:color w:val="00B0F0"/>
          <w:sz w:val="24"/>
          <w:szCs w:val="24"/>
          <w:lang w:val="x-none" w:eastAsia="pl-PL"/>
        </w:rPr>
      </w:pPr>
    </w:p>
    <w:p w14:paraId="5EFD405C" w14:textId="5581F72D" w:rsidR="00773658" w:rsidRPr="00622AE9" w:rsidRDefault="00622AE9" w:rsidP="00622AE9">
      <w:pPr>
        <w:spacing w:line="300" w:lineRule="atLeast"/>
        <w:jc w:val="both"/>
        <w:outlineLvl w:val="0"/>
        <w:rPr>
          <w:rFonts w:ascii="Times New Roman" w:eastAsia="Calibri" w:hAnsi="Times New Roman" w:cs="Times New Roman"/>
          <w:b/>
          <w:color w:val="000000" w:themeColor="text1"/>
          <w:sz w:val="24"/>
          <w:szCs w:val="24"/>
          <w:lang w:eastAsia="pl-PL"/>
        </w:rPr>
      </w:pPr>
      <w:bookmarkStart w:id="429" w:name="_Toc135935721"/>
      <w:r w:rsidRPr="00622AE9">
        <w:rPr>
          <w:rFonts w:ascii="Times New Roman" w:hAnsi="Times New Roman" w:cs="Times New Roman"/>
          <w:b/>
          <w:color w:val="000000" w:themeColor="text1"/>
          <w:sz w:val="24"/>
          <w:szCs w:val="24"/>
        </w:rPr>
        <w:t xml:space="preserve">9. </w:t>
      </w:r>
      <w:r w:rsidR="00DC5A3A" w:rsidRPr="00622AE9">
        <w:rPr>
          <w:rFonts w:ascii="Times New Roman" w:hAnsi="Times New Roman" w:cs="Times New Roman"/>
          <w:b/>
          <w:color w:val="000000" w:themeColor="text1"/>
          <w:sz w:val="24"/>
          <w:szCs w:val="24"/>
        </w:rPr>
        <w:t>Oceny i prognozy</w:t>
      </w:r>
      <w:bookmarkEnd w:id="429"/>
    </w:p>
    <w:p w14:paraId="58FEB92B" w14:textId="77777777" w:rsidR="00622AE9" w:rsidRPr="00280A04" w:rsidRDefault="00622AE9" w:rsidP="001355BC">
      <w:pPr>
        <w:spacing w:after="60" w:line="300" w:lineRule="atLeast"/>
        <w:ind w:firstLine="709"/>
        <w:jc w:val="both"/>
        <w:rPr>
          <w:rFonts w:ascii="Times New Roman" w:hAnsi="Times New Roman" w:cs="Times New Roman"/>
          <w:sz w:val="24"/>
        </w:rPr>
      </w:pPr>
      <w:r w:rsidRPr="00280A04">
        <w:rPr>
          <w:rFonts w:ascii="Times New Roman" w:hAnsi="Times New Roman" w:cs="Times New Roman"/>
          <w:sz w:val="24"/>
        </w:rPr>
        <w:t>W 2022 r., realizując ustawowy obowiązek</w:t>
      </w:r>
      <w:r w:rsidRPr="00280A04">
        <w:rPr>
          <w:rStyle w:val="Odwoanieprzypisudolnego"/>
          <w:rFonts w:cs="Times New Roman"/>
          <w:sz w:val="24"/>
        </w:rPr>
        <w:footnoteReference w:id="112"/>
      </w:r>
      <w:r w:rsidRPr="00280A04">
        <w:rPr>
          <w:rFonts w:ascii="Times New Roman" w:hAnsi="Times New Roman" w:cs="Times New Roman"/>
          <w:sz w:val="24"/>
        </w:rPr>
        <w:t>, opracowano w GIOŚ kolejny wieloletni raport o</w:t>
      </w:r>
      <w:r>
        <w:rPr>
          <w:rFonts w:ascii="Times New Roman" w:hAnsi="Times New Roman" w:cs="Times New Roman"/>
          <w:sz w:val="24"/>
        </w:rPr>
        <w:t> </w:t>
      </w:r>
      <w:r w:rsidRPr="00280A04">
        <w:rPr>
          <w:rFonts w:ascii="Times New Roman" w:hAnsi="Times New Roman" w:cs="Times New Roman"/>
          <w:sz w:val="24"/>
        </w:rPr>
        <w:t>stanie środowiska „Stan środowiska w Polsce. Raport 2022”.</w:t>
      </w:r>
      <w:r w:rsidRPr="00280A04">
        <w:rPr>
          <w:rFonts w:ascii="Times New Roman" w:hAnsi="Times New Roman" w:cs="Times New Roman"/>
          <w:color w:val="FF0000"/>
          <w:sz w:val="24"/>
        </w:rPr>
        <w:t xml:space="preserve"> </w:t>
      </w:r>
      <w:r w:rsidRPr="00280A04">
        <w:rPr>
          <w:rFonts w:ascii="Times New Roman" w:hAnsi="Times New Roman" w:cs="Times New Roman"/>
          <w:sz w:val="24"/>
        </w:rPr>
        <w:t>Raport prezentuje obiektywną ocenę stanu środowiska w układzie stan środowiska – oddziałujące na niego presje – środki przeciwdziałania / naprawcze. Koncentruje się na prezentacji wyników podsystemów monitoringu prowadzonych w ramach PMŚ, ale uwzględniono w nim także inne kluczowe dla</w:t>
      </w:r>
      <w:r>
        <w:rPr>
          <w:rFonts w:ascii="Times New Roman" w:hAnsi="Times New Roman" w:cs="Times New Roman"/>
          <w:sz w:val="24"/>
        </w:rPr>
        <w:t> </w:t>
      </w:r>
      <w:r w:rsidRPr="00280A04">
        <w:rPr>
          <w:rFonts w:ascii="Times New Roman" w:hAnsi="Times New Roman" w:cs="Times New Roman"/>
          <w:sz w:val="24"/>
        </w:rPr>
        <w:t xml:space="preserve">oceny stanu środowiska zagadnienia. Zakres raportu obejmuje następujące tematy: sytuacja społeczno-gospodarcza, gospodarka o obiegu zamkniętym, klimat, jakość powietrza, jakość wód, stan przyrody, powierzchnia ziemi i jakość gleb, hałas, promieniowanie. Zaprezentowano najnowsze dane oraz analizę trendów ostatnich lat. Zawarto odwołania do celów strategii krajowych oraz polityki unijnej. Pokazano także Polskę na tle innych krajów. Podkreślono związki między stanem środowiska a działaniami człowieka i jakością życia. </w:t>
      </w:r>
    </w:p>
    <w:p w14:paraId="225DEFCE" w14:textId="77777777" w:rsidR="00DA5876" w:rsidRDefault="00DA5876" w:rsidP="00622AE9">
      <w:pPr>
        <w:spacing w:after="0" w:line="300" w:lineRule="atLeast"/>
        <w:contextualSpacing/>
        <w:jc w:val="both"/>
        <w:rPr>
          <w:rFonts w:ascii="Times New Roman" w:hAnsi="Times New Roman" w:cs="Times New Roman"/>
          <w:sz w:val="24"/>
        </w:rPr>
      </w:pPr>
    </w:p>
    <w:p w14:paraId="073BD31C" w14:textId="77777777" w:rsidR="00DA5876" w:rsidRPr="00DA5876" w:rsidRDefault="00DA5876" w:rsidP="00336447">
      <w:pPr>
        <w:spacing w:after="60" w:line="240" w:lineRule="auto"/>
        <w:ind w:firstLine="1985"/>
        <w:jc w:val="both"/>
        <w:rPr>
          <w:rFonts w:ascii="Times New Roman" w:hAnsi="Times New Roman" w:cs="Times New Roman"/>
          <w:sz w:val="24"/>
        </w:rPr>
      </w:pPr>
      <w:r w:rsidRPr="00DA5876">
        <w:rPr>
          <w:noProof/>
        </w:rPr>
        <w:lastRenderedPageBreak/>
        <w:drawing>
          <wp:inline distT="0" distB="0" distL="0" distR="0" wp14:anchorId="3A50F398" wp14:editId="37822B66">
            <wp:extent cx="2935605" cy="4069715"/>
            <wp:effectExtent l="0" t="0" r="0" b="6985"/>
            <wp:docPr id="1" name="Obraz 1" descr="Ryc. 20. Okładka-Opracowany w GIOŚ raport „Stan środowiska w Polsce. Raport 2022” "/>
            <wp:cNvGraphicFramePr/>
            <a:graphic xmlns:a="http://schemas.openxmlformats.org/drawingml/2006/main">
              <a:graphicData uri="http://schemas.openxmlformats.org/drawingml/2006/picture">
                <pic:pic xmlns:pic="http://schemas.openxmlformats.org/drawingml/2006/picture">
                  <pic:nvPicPr>
                    <pic:cNvPr id="1" name="Obraz 1" descr="Ryc. 20. Okładka-Opracowany w GIOŚ raport „Stan środowiska w Polsce. Raport 2022” "/>
                    <pic:cNvPicPr/>
                  </pic:nvPicPr>
                  <pic:blipFill>
                    <a:blip r:embed="rId151"/>
                    <a:stretch>
                      <a:fillRect/>
                    </a:stretch>
                  </pic:blipFill>
                  <pic:spPr>
                    <a:xfrm>
                      <a:off x="0" y="0"/>
                      <a:ext cx="2935605" cy="4069715"/>
                    </a:xfrm>
                    <a:prstGeom prst="rect">
                      <a:avLst/>
                    </a:prstGeom>
                  </pic:spPr>
                </pic:pic>
              </a:graphicData>
            </a:graphic>
          </wp:inline>
        </w:drawing>
      </w:r>
    </w:p>
    <w:p w14:paraId="183F7A90" w14:textId="70C78B7E" w:rsidR="00DA5876" w:rsidRPr="00336447" w:rsidRDefault="00DA5876" w:rsidP="00336447">
      <w:pPr>
        <w:spacing w:after="60" w:line="240" w:lineRule="auto"/>
        <w:ind w:firstLine="708"/>
        <w:jc w:val="both"/>
        <w:rPr>
          <w:rFonts w:ascii="Times New Roman" w:hAnsi="Times New Roman" w:cs="Times New Roman"/>
          <w:b/>
        </w:rPr>
      </w:pPr>
      <w:r w:rsidRPr="00336447">
        <w:rPr>
          <w:rFonts w:ascii="Times New Roman" w:hAnsi="Times New Roman" w:cs="Times New Roman"/>
          <w:b/>
        </w:rPr>
        <w:t xml:space="preserve">Ryc. 20. Opracowany w GIOŚ raport „Stan środowiska w Polsce. Raport 2022” </w:t>
      </w:r>
    </w:p>
    <w:p w14:paraId="7E0B3E45" w14:textId="77777777" w:rsidR="00DA5876" w:rsidRDefault="00DA5876" w:rsidP="00622AE9">
      <w:pPr>
        <w:spacing w:after="0" w:line="300" w:lineRule="atLeast"/>
        <w:contextualSpacing/>
        <w:jc w:val="both"/>
        <w:rPr>
          <w:rFonts w:ascii="Times New Roman" w:hAnsi="Times New Roman" w:cs="Times New Roman"/>
          <w:sz w:val="24"/>
        </w:rPr>
      </w:pPr>
    </w:p>
    <w:p w14:paraId="34DF5515" w14:textId="1060DBC6" w:rsidR="00773658" w:rsidRDefault="00622AE9" w:rsidP="00622AE9">
      <w:pPr>
        <w:spacing w:after="0" w:line="300" w:lineRule="atLeast"/>
        <w:contextualSpacing/>
        <w:jc w:val="both"/>
        <w:rPr>
          <w:rFonts w:ascii="Times New Roman" w:eastAsia="Calibri" w:hAnsi="Times New Roman" w:cs="Times New Roman"/>
          <w:color w:val="00B0F0"/>
          <w:sz w:val="24"/>
          <w:szCs w:val="24"/>
          <w:lang w:val="x-none" w:eastAsia="pl-PL"/>
        </w:rPr>
      </w:pPr>
      <w:r w:rsidRPr="00280A04">
        <w:rPr>
          <w:rFonts w:ascii="Times New Roman" w:hAnsi="Times New Roman" w:cs="Times New Roman"/>
          <w:sz w:val="24"/>
        </w:rPr>
        <w:t xml:space="preserve">Wieloletnie raporty GIOŚ dostępne są na stronie </w:t>
      </w:r>
      <w:hyperlink r:id="rId152" w:history="1">
        <w:r w:rsidRPr="00280A04">
          <w:rPr>
            <w:rStyle w:val="Hipercze"/>
            <w:sz w:val="24"/>
          </w:rPr>
          <w:t>https://www.gov.pl/web/gios/raporty-o-stanie-srodowiska-w-polsce</w:t>
        </w:r>
      </w:hyperlink>
      <w:r>
        <w:rPr>
          <w:rStyle w:val="Hipercze"/>
          <w:sz w:val="24"/>
        </w:rPr>
        <w:t>.</w:t>
      </w:r>
    </w:p>
    <w:p w14:paraId="38465E31" w14:textId="77777777" w:rsidR="00622AE9" w:rsidRPr="007F400A" w:rsidRDefault="00622AE9" w:rsidP="00895F16">
      <w:pPr>
        <w:spacing w:after="0" w:line="300" w:lineRule="atLeast"/>
        <w:ind w:left="720"/>
        <w:contextualSpacing/>
        <w:jc w:val="both"/>
        <w:rPr>
          <w:rFonts w:ascii="Times New Roman" w:eastAsia="Calibri" w:hAnsi="Times New Roman" w:cs="Times New Roman"/>
          <w:color w:val="00B0F0"/>
          <w:sz w:val="24"/>
          <w:szCs w:val="24"/>
          <w:lang w:val="x-none" w:eastAsia="pl-PL"/>
        </w:rPr>
      </w:pPr>
    </w:p>
    <w:p w14:paraId="2E97B773" w14:textId="1D847E2F" w:rsidR="00895F16" w:rsidRPr="007F400A" w:rsidRDefault="00DC5A3A" w:rsidP="00895F16">
      <w:pPr>
        <w:keepNext/>
        <w:spacing w:after="120" w:line="300" w:lineRule="atLeast"/>
        <w:jc w:val="both"/>
        <w:outlineLvl w:val="0"/>
        <w:rPr>
          <w:rFonts w:ascii="Times New Roman" w:eastAsia="Times New Roman" w:hAnsi="Times New Roman" w:cs="Times New Roman"/>
          <w:b/>
          <w:bCs/>
          <w:sz w:val="24"/>
          <w:szCs w:val="24"/>
          <w:lang w:val="x-none" w:eastAsia="x-none"/>
        </w:rPr>
      </w:pPr>
      <w:bookmarkStart w:id="430" w:name="_Toc36732650"/>
      <w:bookmarkStart w:id="431" w:name="_Toc135935722"/>
      <w:r>
        <w:rPr>
          <w:rFonts w:ascii="Times New Roman" w:eastAsia="Times New Roman" w:hAnsi="Times New Roman" w:cs="Times New Roman"/>
          <w:b/>
          <w:bCs/>
          <w:sz w:val="24"/>
          <w:szCs w:val="24"/>
          <w:lang w:eastAsia="x-none"/>
        </w:rPr>
        <w:t>10</w:t>
      </w:r>
      <w:r w:rsidR="00895F16" w:rsidRPr="007F400A">
        <w:rPr>
          <w:rFonts w:ascii="Times New Roman" w:eastAsia="Times New Roman" w:hAnsi="Times New Roman" w:cs="Times New Roman"/>
          <w:b/>
          <w:bCs/>
          <w:sz w:val="24"/>
          <w:szCs w:val="24"/>
          <w:lang w:val="x-none" w:eastAsia="x-none"/>
        </w:rPr>
        <w:t>. GIOŚ</w:t>
      </w:r>
      <w:r w:rsidR="00895F16" w:rsidRPr="007F400A">
        <w:rPr>
          <w:rFonts w:ascii="Times New Roman" w:eastAsia="Times New Roman" w:hAnsi="Times New Roman" w:cs="Times New Roman"/>
          <w:b/>
          <w:bCs/>
          <w:sz w:val="24"/>
          <w:szCs w:val="24"/>
          <w:lang w:eastAsia="x-none"/>
        </w:rPr>
        <w:t xml:space="preserve"> </w:t>
      </w:r>
      <w:r w:rsidR="00895F16" w:rsidRPr="007F400A">
        <w:rPr>
          <w:rFonts w:ascii="Times New Roman" w:eastAsia="Times New Roman" w:hAnsi="Times New Roman" w:cs="Times New Roman"/>
          <w:b/>
          <w:bCs/>
          <w:sz w:val="24"/>
          <w:szCs w:val="24"/>
          <w:lang w:val="x-none" w:eastAsia="x-none"/>
        </w:rPr>
        <w:t>INSPIRE</w:t>
      </w:r>
      <w:bookmarkEnd w:id="430"/>
      <w:bookmarkEnd w:id="431"/>
      <w:r w:rsidR="00895F16" w:rsidRPr="007F400A">
        <w:rPr>
          <w:rFonts w:ascii="Times New Roman" w:eastAsia="Times New Roman" w:hAnsi="Times New Roman" w:cs="Times New Roman"/>
          <w:b/>
          <w:bCs/>
          <w:sz w:val="24"/>
          <w:szCs w:val="24"/>
          <w:lang w:val="x-none" w:eastAsia="x-none"/>
        </w:rPr>
        <w:t xml:space="preserve"> </w:t>
      </w:r>
    </w:p>
    <w:p w14:paraId="74BB0354" w14:textId="77777777" w:rsidR="00864862" w:rsidRPr="00280A04" w:rsidRDefault="00864862" w:rsidP="001355BC">
      <w:pPr>
        <w:spacing w:after="60" w:line="300" w:lineRule="atLeast"/>
        <w:jc w:val="both"/>
        <w:rPr>
          <w:rFonts w:ascii="Times New Roman" w:hAnsi="Times New Roman" w:cs="Times New Roman"/>
          <w:color w:val="000000" w:themeColor="text1"/>
          <w:sz w:val="24"/>
          <w:szCs w:val="24"/>
        </w:rPr>
      </w:pPr>
      <w:bookmarkStart w:id="432" w:name="_Hlk64042830"/>
      <w:r w:rsidRPr="00280A04">
        <w:rPr>
          <w:rFonts w:ascii="Times New Roman" w:hAnsi="Times New Roman" w:cs="Times New Roman"/>
          <w:color w:val="000000" w:themeColor="text1"/>
          <w:sz w:val="24"/>
          <w:szCs w:val="24"/>
        </w:rPr>
        <w:t>W 2022 r. w miarę możliwości kontynuowano prace w zakresie utrzymania i rozwoju infrastruktury informacji przestrzennej GIOŚ INSPIRE, w tym aktualizowano zharmonizowane zbiory danych przestrzennych i metadane. W ramach infrastruktury GIOŚ INSPIRE opublikowano za pomocą usług sieciowych zharmonizowane zbiory danych przestrzennych i metadane dotyczące zbiorów sprawozdawanych do Komisji Europejskiej (KE) za lata 2013</w:t>
      </w:r>
      <w:r>
        <w:rPr>
          <w:rFonts w:ascii="Times New Roman" w:hAnsi="Times New Roman" w:cs="Times New Roman"/>
          <w:color w:val="000000" w:themeColor="text1"/>
          <w:sz w:val="24"/>
          <w:szCs w:val="24"/>
        </w:rPr>
        <w:t> </w:t>
      </w:r>
      <w:r w:rsidRPr="00280A04">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2</w:t>
      </w:r>
      <w:r w:rsidRPr="00280A04">
        <w:rPr>
          <w:rFonts w:ascii="Times New Roman" w:hAnsi="Times New Roman" w:cs="Times New Roman"/>
          <w:color w:val="000000" w:themeColor="text1"/>
          <w:sz w:val="24"/>
          <w:szCs w:val="24"/>
        </w:rPr>
        <w:t>018 na podstawie art. 12 dyrektywy ptasiej i art. 17 dyrektywy siedliskowej. Zbiory te</w:t>
      </w:r>
      <w:r>
        <w:rPr>
          <w:rFonts w:ascii="Times New Roman" w:hAnsi="Times New Roman" w:cs="Times New Roman"/>
          <w:color w:val="000000" w:themeColor="text1"/>
          <w:sz w:val="24"/>
          <w:szCs w:val="24"/>
        </w:rPr>
        <w:t> </w:t>
      </w:r>
      <w:r w:rsidRPr="00280A04">
        <w:rPr>
          <w:rFonts w:ascii="Times New Roman" w:hAnsi="Times New Roman" w:cs="Times New Roman"/>
          <w:color w:val="000000" w:themeColor="text1"/>
          <w:sz w:val="24"/>
          <w:szCs w:val="24"/>
        </w:rPr>
        <w:t xml:space="preserve">zostały dostosowane do schematów aplikacyjnych dla dwóch tematów INSPIRE </w:t>
      </w:r>
      <w:r w:rsidRPr="00280A04">
        <w:rPr>
          <w:rFonts w:ascii="Times New Roman" w:hAnsi="Times New Roman" w:cs="Times New Roman"/>
          <w:i/>
          <w:color w:val="000000" w:themeColor="text1"/>
          <w:sz w:val="24"/>
          <w:szCs w:val="24"/>
        </w:rPr>
        <w:t>Rozmieszczenie gatunków</w:t>
      </w:r>
      <w:r w:rsidRPr="00280A04">
        <w:rPr>
          <w:rFonts w:ascii="Times New Roman" w:hAnsi="Times New Roman" w:cs="Times New Roman"/>
          <w:color w:val="000000" w:themeColor="text1"/>
          <w:sz w:val="24"/>
          <w:szCs w:val="24"/>
        </w:rPr>
        <w:t xml:space="preserve"> oraz </w:t>
      </w:r>
      <w:r w:rsidRPr="00280A04">
        <w:rPr>
          <w:rFonts w:ascii="Times New Roman" w:hAnsi="Times New Roman" w:cs="Times New Roman"/>
          <w:i/>
          <w:color w:val="000000" w:themeColor="text1"/>
          <w:sz w:val="24"/>
          <w:szCs w:val="24"/>
        </w:rPr>
        <w:t xml:space="preserve">Siedliska i obszary przyrodniczo jednorodne. </w:t>
      </w:r>
      <w:r w:rsidRPr="00280A04">
        <w:rPr>
          <w:rFonts w:ascii="Times New Roman" w:hAnsi="Times New Roman" w:cs="Times New Roman"/>
          <w:color w:val="000000" w:themeColor="text1"/>
          <w:sz w:val="24"/>
          <w:szCs w:val="24"/>
        </w:rPr>
        <w:t xml:space="preserve">W ramach tych działań powstały następujące zbiory: „Rozmieszczenie gatunków ptaków 2013-2018 (Art. 12 Dyrektywa ptasia)”, „Rozmieszczenie gatunków 2013-2018 (Art. 17 Dyrektywa siedliskowa)”, „Rozmieszczenie gatunków wrażliwych 2013-2018 (Art. 17 Dyrektywa siedliskowa)”, „Rozmieszczenie typów siedlisk 2013-2018 (Art. 17 Dyrektywa siedliskowa)” i „Zasięg typów siedlisk 2013-2018 (Art. 17 Dyrektywa siedliskowa)”. Powyższe zharmonizowane zbiory danych przestrzennych i usługi zostały zgłoszone do ewidencji zbiorów i usług danych przestrzennych objętych infrastrukturą informacji przestrzennej, zgodnie z </w:t>
      </w:r>
      <w:r w:rsidRPr="00280A04">
        <w:rPr>
          <w:rFonts w:ascii="Times New Roman" w:hAnsi="Times New Roman" w:cs="Times New Roman"/>
          <w:i/>
          <w:color w:val="000000" w:themeColor="text1"/>
          <w:sz w:val="24"/>
          <w:szCs w:val="24"/>
        </w:rPr>
        <w:t>rozporządzeniem Ministra Inwestycji i Rozwoju z dnia 28 listopada 2018 r. zmieniającym rozporządzenie w</w:t>
      </w:r>
      <w:r>
        <w:rPr>
          <w:rFonts w:ascii="Times New Roman" w:hAnsi="Times New Roman" w:cs="Times New Roman"/>
          <w:i/>
          <w:color w:val="000000" w:themeColor="text1"/>
          <w:sz w:val="24"/>
          <w:szCs w:val="24"/>
        </w:rPr>
        <w:t> </w:t>
      </w:r>
      <w:r w:rsidRPr="00280A04">
        <w:rPr>
          <w:rFonts w:ascii="Times New Roman" w:hAnsi="Times New Roman" w:cs="Times New Roman"/>
          <w:i/>
          <w:color w:val="000000" w:themeColor="text1"/>
          <w:sz w:val="24"/>
          <w:szCs w:val="24"/>
        </w:rPr>
        <w:t>sprawie ewidencji zbiorów i usług danych przestrzennych objętych infrastrukturą informacji przestrzennej</w:t>
      </w:r>
      <w:r w:rsidRPr="00280A04">
        <w:rPr>
          <w:rFonts w:ascii="Times New Roman" w:hAnsi="Times New Roman" w:cs="Times New Roman"/>
          <w:color w:val="000000" w:themeColor="text1"/>
          <w:sz w:val="24"/>
          <w:szCs w:val="24"/>
        </w:rPr>
        <w:t>.</w:t>
      </w:r>
    </w:p>
    <w:p w14:paraId="457B9DFC" w14:textId="77777777" w:rsidR="00864862" w:rsidRPr="00280A04" w:rsidRDefault="00864862" w:rsidP="001355BC">
      <w:pPr>
        <w:spacing w:after="60" w:line="300" w:lineRule="atLeast"/>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ab/>
      </w:r>
      <w:r w:rsidRPr="00280A04">
        <w:rPr>
          <w:rFonts w:ascii="Times New Roman" w:hAnsi="Times New Roman" w:cs="Times New Roman"/>
          <w:color w:val="000000" w:themeColor="text1"/>
          <w:sz w:val="24"/>
          <w:szCs w:val="24"/>
        </w:rPr>
        <w:t>Metadane dla zharmonizowanych zbiorów i usług danych przestrzennych opublikowano</w:t>
      </w:r>
      <w:r>
        <w:rPr>
          <w:rFonts w:ascii="Times New Roman" w:hAnsi="Times New Roman" w:cs="Times New Roman"/>
          <w:color w:val="000000" w:themeColor="text1"/>
          <w:sz w:val="24"/>
          <w:szCs w:val="24"/>
        </w:rPr>
        <w:t> </w:t>
      </w:r>
      <w:r w:rsidRPr="00280A04">
        <w:rPr>
          <w:rFonts w:ascii="Times New Roman" w:hAnsi="Times New Roman" w:cs="Times New Roman"/>
          <w:color w:val="000000" w:themeColor="text1"/>
          <w:sz w:val="24"/>
          <w:szCs w:val="24"/>
        </w:rPr>
        <w:t>w</w:t>
      </w:r>
      <w:r>
        <w:rPr>
          <w:rFonts w:ascii="Times New Roman" w:hAnsi="Times New Roman" w:cs="Times New Roman"/>
          <w:color w:val="000000" w:themeColor="text1"/>
          <w:sz w:val="24"/>
          <w:szCs w:val="24"/>
        </w:rPr>
        <w:t> </w:t>
      </w:r>
      <w:r w:rsidRPr="00280A04">
        <w:rPr>
          <w:rFonts w:ascii="Times New Roman" w:hAnsi="Times New Roman" w:cs="Times New Roman"/>
          <w:color w:val="000000" w:themeColor="text1"/>
          <w:sz w:val="24"/>
          <w:szCs w:val="24"/>
        </w:rPr>
        <w:t>katalogu</w:t>
      </w:r>
      <w:r>
        <w:rPr>
          <w:rFonts w:ascii="Times New Roman" w:hAnsi="Times New Roman" w:cs="Times New Roman"/>
          <w:color w:val="000000" w:themeColor="text1"/>
          <w:sz w:val="24"/>
          <w:szCs w:val="24"/>
        </w:rPr>
        <w:t> </w:t>
      </w:r>
      <w:r w:rsidRPr="00280A04">
        <w:rPr>
          <w:rFonts w:ascii="Times New Roman" w:hAnsi="Times New Roman" w:cs="Times New Roman"/>
          <w:color w:val="000000" w:themeColor="text1"/>
          <w:sz w:val="24"/>
          <w:szCs w:val="24"/>
        </w:rPr>
        <w:t>metadanych</w:t>
      </w:r>
      <w:r>
        <w:rPr>
          <w:rFonts w:ascii="Times New Roman" w:hAnsi="Times New Roman" w:cs="Times New Roman"/>
          <w:color w:val="000000" w:themeColor="text1"/>
          <w:sz w:val="24"/>
          <w:szCs w:val="24"/>
        </w:rPr>
        <w:t> </w:t>
      </w:r>
      <w:r w:rsidRPr="00280A04">
        <w:rPr>
          <w:rFonts w:ascii="Times New Roman" w:hAnsi="Times New Roman" w:cs="Times New Roman"/>
          <w:color w:val="000000" w:themeColor="text1"/>
          <w:sz w:val="24"/>
          <w:szCs w:val="24"/>
        </w:rPr>
        <w:t>GIOŚ:</w:t>
      </w:r>
      <w:hyperlink r:id="rId153" w:anchor="/home" w:history="1">
        <w:r w:rsidRPr="00D01792">
          <w:rPr>
            <w:rStyle w:val="Hipercze"/>
            <w:sz w:val="24"/>
            <w:szCs w:val="24"/>
          </w:rPr>
          <w:t>https://inspire.gios.gov.pl/geonetwork/srv/pol/catalog.search#/home</w:t>
        </w:r>
      </w:hyperlink>
      <w:r w:rsidRPr="00F36026">
        <w:rPr>
          <w:rStyle w:val="Hipercze"/>
          <w:sz w:val="24"/>
          <w:szCs w:val="24"/>
        </w:rPr>
        <w:t>.</w:t>
      </w:r>
      <w:r>
        <w:rPr>
          <w:rStyle w:val="Hipercze"/>
          <w:sz w:val="24"/>
          <w:szCs w:val="24"/>
        </w:rPr>
        <w:t xml:space="preserve"> </w:t>
      </w:r>
      <w:r>
        <w:rPr>
          <w:rFonts w:ascii="Times New Roman" w:hAnsi="Times New Roman" w:cs="Times New Roman"/>
          <w:color w:val="000000" w:themeColor="text1"/>
          <w:sz w:val="24"/>
          <w:szCs w:val="24"/>
        </w:rPr>
        <w:t>D</w:t>
      </w:r>
      <w:r w:rsidRPr="00280A04">
        <w:rPr>
          <w:rFonts w:ascii="Times New Roman" w:hAnsi="Times New Roman" w:cs="Times New Roman"/>
          <w:color w:val="000000" w:themeColor="text1"/>
          <w:sz w:val="24"/>
          <w:szCs w:val="24"/>
        </w:rPr>
        <w:t>ostęp do metadanych zapewniony jest również poprzez katalog europejski oraz krajowy, z którym katalog GIOŚ jest zintegrowany w ramach krajowej infrastruktury informacji przestrzennej. Dostęp do poszczególnych elementów infrastruktury informacji przestrzennej GIOŚ INSPIRE zapewniony jest pod następującym adresem</w:t>
      </w:r>
      <w:r w:rsidRPr="00280A04">
        <w:rPr>
          <w:rFonts w:ascii="Times New Roman" w:hAnsi="Times New Roman" w:cs="Times New Roman"/>
          <w:sz w:val="24"/>
          <w:szCs w:val="24"/>
        </w:rPr>
        <w:t xml:space="preserve"> </w:t>
      </w:r>
      <w:hyperlink r:id="rId154" w:history="1">
        <w:r w:rsidRPr="00280A04">
          <w:rPr>
            <w:rStyle w:val="Hipercze"/>
            <w:sz w:val="24"/>
            <w:szCs w:val="24"/>
          </w:rPr>
          <w:t>https://inspire.gios.gov.pl/portal/</w:t>
        </w:r>
      </w:hyperlink>
      <w:r w:rsidRPr="00280A04">
        <w:rPr>
          <w:rFonts w:ascii="Times New Roman" w:hAnsi="Times New Roman" w:cs="Times New Roman"/>
          <w:color w:val="000000" w:themeColor="text1"/>
          <w:sz w:val="24"/>
          <w:szCs w:val="24"/>
        </w:rPr>
        <w:t xml:space="preserve">. </w:t>
      </w:r>
    </w:p>
    <w:p w14:paraId="326898C0" w14:textId="77777777" w:rsidR="00864862" w:rsidRPr="00280A04" w:rsidRDefault="00864862" w:rsidP="00864862">
      <w:pPr>
        <w:spacing w:after="60"/>
        <w:jc w:val="both"/>
        <w:rPr>
          <w:rFonts w:ascii="Times New Roman" w:hAnsi="Times New Roman" w:cs="Times New Roman"/>
          <w:color w:val="000000" w:themeColor="text1"/>
          <w:sz w:val="24"/>
          <w:szCs w:val="24"/>
        </w:rPr>
      </w:pPr>
    </w:p>
    <w:p w14:paraId="71B8CD2C" w14:textId="77777777" w:rsidR="00864862" w:rsidRPr="00280A04" w:rsidRDefault="00864862" w:rsidP="00A4010D">
      <w:pPr>
        <w:spacing w:after="60"/>
        <w:jc w:val="center"/>
        <w:rPr>
          <w:rFonts w:ascii="Times New Roman" w:hAnsi="Times New Roman" w:cs="Times New Roman"/>
          <w:color w:val="000000" w:themeColor="text1"/>
          <w:sz w:val="24"/>
          <w:szCs w:val="24"/>
        </w:rPr>
      </w:pPr>
      <w:r w:rsidRPr="00280A04">
        <w:rPr>
          <w:rFonts w:ascii="Times New Roman" w:hAnsi="Times New Roman" w:cs="Times New Roman"/>
          <w:noProof/>
          <w:color w:val="000000" w:themeColor="text1"/>
          <w:sz w:val="24"/>
          <w:szCs w:val="24"/>
          <w:lang w:eastAsia="pl-PL"/>
        </w:rPr>
        <w:drawing>
          <wp:inline distT="0" distB="0" distL="0" distR="0" wp14:anchorId="792FAB0A" wp14:editId="01EC42BC">
            <wp:extent cx="5700156" cy="2483765"/>
            <wp:effectExtent l="19050" t="19050" r="15240" b="12065"/>
            <wp:docPr id="88" name="Obraz 18" descr="Zrzut ekranu strony GIOŚ INSPIRE">
              <a:extLst xmlns:a="http://schemas.openxmlformats.org/drawingml/2006/main">
                <a:ext uri="{FF2B5EF4-FFF2-40B4-BE49-F238E27FC236}">
                  <a16:creationId xmlns:a16="http://schemas.microsoft.com/office/drawing/2014/main" id="{B8ACCBC6-155F-4913-8A62-1B3A14C82B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Obraz 18" descr="Zrzut ekranu strony GIOŚ INSPIRE">
                      <a:extLst>
                        <a:ext uri="{FF2B5EF4-FFF2-40B4-BE49-F238E27FC236}">
                          <a16:creationId xmlns:a16="http://schemas.microsoft.com/office/drawing/2014/main" id="{B8ACCBC6-155F-4913-8A62-1B3A14C82B35}"/>
                        </a:ext>
                      </a:extLst>
                    </pic:cNvPr>
                    <pic:cNvPicPr>
                      <a:picLocks noChangeAspect="1"/>
                    </pic:cNvPicPr>
                  </pic:nvPicPr>
                  <pic:blipFill>
                    <a:blip r:embed="rId155">
                      <a:extLst>
                        <a:ext uri="{28A0092B-C50C-407E-A947-70E740481C1C}">
                          <a14:useLocalDpi xmlns:a14="http://schemas.microsoft.com/office/drawing/2010/main" val="0"/>
                        </a:ext>
                      </a:extLst>
                    </a:blip>
                    <a:stretch>
                      <a:fillRect/>
                    </a:stretch>
                  </pic:blipFill>
                  <pic:spPr>
                    <a:xfrm>
                      <a:off x="0" y="0"/>
                      <a:ext cx="5808525" cy="2530985"/>
                    </a:xfrm>
                    <a:prstGeom prst="rect">
                      <a:avLst/>
                    </a:prstGeom>
                    <a:ln>
                      <a:solidFill>
                        <a:srgbClr val="006600"/>
                      </a:solidFill>
                    </a:ln>
                  </pic:spPr>
                </pic:pic>
              </a:graphicData>
            </a:graphic>
          </wp:inline>
        </w:drawing>
      </w:r>
    </w:p>
    <w:p w14:paraId="59A3FF81" w14:textId="268283C9" w:rsidR="00864862" w:rsidRPr="00A4010D" w:rsidRDefault="00A4010D" w:rsidP="00A4010D">
      <w:pPr>
        <w:spacing w:after="60"/>
        <w:jc w:val="center"/>
        <w:rPr>
          <w:rFonts w:ascii="Times New Roman" w:hAnsi="Times New Roman" w:cs="Times New Roman"/>
          <w:b/>
          <w:color w:val="000000" w:themeColor="text1"/>
        </w:rPr>
      </w:pPr>
      <w:r w:rsidRPr="00A4010D">
        <w:rPr>
          <w:rFonts w:ascii="Times New Roman" w:hAnsi="Times New Roman" w:cs="Times New Roman"/>
          <w:b/>
          <w:color w:val="000000" w:themeColor="text1"/>
        </w:rPr>
        <w:t>Ryc. 2</w:t>
      </w:r>
      <w:r w:rsidR="00D75BFD">
        <w:rPr>
          <w:rFonts w:ascii="Times New Roman" w:hAnsi="Times New Roman" w:cs="Times New Roman"/>
          <w:b/>
          <w:color w:val="000000" w:themeColor="text1"/>
        </w:rPr>
        <w:t>1</w:t>
      </w:r>
    </w:p>
    <w:p w14:paraId="038DCEB6" w14:textId="77777777" w:rsidR="00864862" w:rsidRPr="00280A04" w:rsidRDefault="00864862" w:rsidP="00D74E0B">
      <w:pPr>
        <w:spacing w:after="60" w:line="300" w:lineRule="atLeast"/>
        <w:jc w:val="both"/>
        <w:rPr>
          <w:rFonts w:ascii="Times New Roman" w:hAnsi="Times New Roman" w:cs="Times New Roman"/>
          <w:i/>
          <w:color w:val="000000" w:themeColor="text1"/>
          <w:sz w:val="24"/>
          <w:szCs w:val="24"/>
        </w:rPr>
      </w:pPr>
      <w:r>
        <w:rPr>
          <w:rFonts w:ascii="Times New Roman" w:hAnsi="Times New Roman" w:cs="Times New Roman"/>
          <w:color w:val="000000" w:themeColor="text1"/>
          <w:sz w:val="24"/>
          <w:szCs w:val="24"/>
        </w:rPr>
        <w:tab/>
      </w:r>
      <w:r w:rsidRPr="00280A04">
        <w:rPr>
          <w:rFonts w:ascii="Times New Roman" w:hAnsi="Times New Roman" w:cs="Times New Roman"/>
          <w:color w:val="000000" w:themeColor="text1"/>
          <w:sz w:val="24"/>
          <w:szCs w:val="24"/>
        </w:rPr>
        <w:t>W 2022 r. podejmowano kolejne działania w zakresie publikacji zbiorów danych GIOŚ poprzez</w:t>
      </w:r>
      <w:r>
        <w:rPr>
          <w:rFonts w:ascii="Times New Roman" w:hAnsi="Times New Roman" w:cs="Times New Roman"/>
          <w:color w:val="000000" w:themeColor="text1"/>
          <w:sz w:val="24"/>
          <w:szCs w:val="24"/>
        </w:rPr>
        <w:t> </w:t>
      </w:r>
      <w:r w:rsidRPr="00280A04">
        <w:rPr>
          <w:rFonts w:ascii="Times New Roman" w:hAnsi="Times New Roman" w:cs="Times New Roman"/>
          <w:color w:val="000000" w:themeColor="text1"/>
          <w:sz w:val="24"/>
          <w:szCs w:val="24"/>
        </w:rPr>
        <w:t>usługę</w:t>
      </w:r>
      <w:r>
        <w:rPr>
          <w:rFonts w:ascii="Times New Roman" w:hAnsi="Times New Roman" w:cs="Times New Roman"/>
          <w:color w:val="000000" w:themeColor="text1"/>
          <w:sz w:val="24"/>
          <w:szCs w:val="24"/>
        </w:rPr>
        <w:t> </w:t>
      </w:r>
      <w:r w:rsidRPr="00280A04">
        <w:rPr>
          <w:rFonts w:ascii="Times New Roman" w:hAnsi="Times New Roman" w:cs="Times New Roman"/>
          <w:color w:val="000000" w:themeColor="text1"/>
          <w:sz w:val="24"/>
          <w:szCs w:val="24"/>
        </w:rPr>
        <w:t>pobierania</w:t>
      </w:r>
      <w:r>
        <w:rPr>
          <w:rFonts w:ascii="Times New Roman" w:hAnsi="Times New Roman" w:cs="Times New Roman"/>
          <w:color w:val="000000" w:themeColor="text1"/>
          <w:sz w:val="24"/>
          <w:szCs w:val="24"/>
        </w:rPr>
        <w:t> </w:t>
      </w:r>
      <w:r w:rsidRPr="00280A04">
        <w:rPr>
          <w:rFonts w:ascii="Times New Roman" w:hAnsi="Times New Roman" w:cs="Times New Roman"/>
          <w:color w:val="000000" w:themeColor="text1"/>
          <w:sz w:val="24"/>
          <w:szCs w:val="24"/>
        </w:rPr>
        <w:t>OGC</w:t>
      </w:r>
      <w:r>
        <w:rPr>
          <w:rFonts w:ascii="Times New Roman" w:hAnsi="Times New Roman" w:cs="Times New Roman"/>
          <w:color w:val="000000" w:themeColor="text1"/>
          <w:sz w:val="24"/>
          <w:szCs w:val="24"/>
        </w:rPr>
        <w:t> </w:t>
      </w:r>
      <w:r w:rsidRPr="00280A04">
        <w:rPr>
          <w:rFonts w:ascii="Times New Roman" w:hAnsi="Times New Roman" w:cs="Times New Roman"/>
          <w:color w:val="000000" w:themeColor="text1"/>
          <w:sz w:val="24"/>
          <w:szCs w:val="24"/>
        </w:rPr>
        <w:t>API</w:t>
      </w:r>
      <w:r>
        <w:rPr>
          <w:rFonts w:ascii="Times New Roman" w:hAnsi="Times New Roman" w:cs="Times New Roman"/>
          <w:color w:val="000000" w:themeColor="text1"/>
          <w:sz w:val="24"/>
          <w:szCs w:val="24"/>
        </w:rPr>
        <w:t> </w:t>
      </w:r>
      <w:r w:rsidRPr="00280A04">
        <w:rPr>
          <w:rFonts w:ascii="Times New Roman" w:hAnsi="Times New Roman" w:cs="Times New Roman"/>
          <w:color w:val="000000" w:themeColor="text1"/>
          <w:sz w:val="24"/>
          <w:szCs w:val="24"/>
        </w:rPr>
        <w:t>Features</w:t>
      </w:r>
      <w:r>
        <w:rPr>
          <w:rFonts w:ascii="Times New Roman" w:hAnsi="Times New Roman" w:cs="Times New Roman"/>
          <w:color w:val="000000" w:themeColor="text1"/>
          <w:sz w:val="24"/>
          <w:szCs w:val="24"/>
        </w:rPr>
        <w:t> </w:t>
      </w:r>
      <w:r w:rsidRPr="00280A04">
        <w:rPr>
          <w:rFonts w:ascii="Times New Roman" w:hAnsi="Times New Roman" w:cs="Times New Roman"/>
          <w:color w:val="000000" w:themeColor="text1"/>
          <w:sz w:val="24"/>
          <w:szCs w:val="24"/>
        </w:rPr>
        <w:t>(adres</w:t>
      </w:r>
      <w:r>
        <w:rPr>
          <w:rFonts w:ascii="Times New Roman" w:hAnsi="Times New Roman" w:cs="Times New Roman"/>
          <w:color w:val="000000" w:themeColor="text1"/>
          <w:sz w:val="24"/>
          <w:szCs w:val="24"/>
        </w:rPr>
        <w:t> </w:t>
      </w:r>
      <w:r w:rsidRPr="00280A04">
        <w:rPr>
          <w:rFonts w:ascii="Times New Roman" w:hAnsi="Times New Roman" w:cs="Times New Roman"/>
          <w:color w:val="000000" w:themeColor="text1"/>
          <w:sz w:val="24"/>
          <w:szCs w:val="24"/>
        </w:rPr>
        <w:t>usługi:</w:t>
      </w:r>
      <w:hyperlink r:id="rId156" w:history="1">
        <w:r w:rsidRPr="00D01792">
          <w:rPr>
            <w:rStyle w:val="Hipercze"/>
            <w:sz w:val="24"/>
            <w:szCs w:val="24"/>
          </w:rPr>
          <w:t>https://inspire.gios.gov.pl/wss/ogc/features</w:t>
        </w:r>
      </w:hyperlink>
      <w:r w:rsidRPr="00280A04">
        <w:rPr>
          <w:rFonts w:ascii="Times New Roman" w:hAnsi="Times New Roman" w:cs="Times New Roman"/>
          <w:color w:val="000000" w:themeColor="text1"/>
          <w:sz w:val="24"/>
          <w:szCs w:val="24"/>
        </w:rPr>
        <w:t>). W ramach tej usługi udostępniono część zbiorów Państwowego Monitoringu Środowiska (PMŚ), Krajowego Rejestru Uwalniania i Transferu Zanieczyszczeń (PRTR) oraz</w:t>
      </w:r>
      <w:r>
        <w:rPr>
          <w:rFonts w:ascii="Times New Roman" w:hAnsi="Times New Roman" w:cs="Times New Roman"/>
          <w:color w:val="000000" w:themeColor="text1"/>
          <w:sz w:val="24"/>
          <w:szCs w:val="24"/>
        </w:rPr>
        <w:t> </w:t>
      </w:r>
      <w:r w:rsidRPr="00280A04">
        <w:rPr>
          <w:rFonts w:ascii="Times New Roman" w:hAnsi="Times New Roman" w:cs="Times New Roman"/>
          <w:color w:val="000000" w:themeColor="text1"/>
          <w:sz w:val="24"/>
          <w:szCs w:val="24"/>
        </w:rPr>
        <w:t>zbioru pn.: Zakłady stwarzające zagrożenie wystąpienia poważnej awarii przemysłowej (SEVESO). Zbiory zostały udostępnione w otwartym formacie przeznaczonym do odczytu maszynowego, co powinno przyczynić się do ich szerszego wykorzystania. Udostępnione za</w:t>
      </w:r>
      <w:r>
        <w:rPr>
          <w:rFonts w:ascii="Times New Roman" w:hAnsi="Times New Roman" w:cs="Times New Roman"/>
          <w:color w:val="000000" w:themeColor="text1"/>
          <w:sz w:val="24"/>
          <w:szCs w:val="24"/>
        </w:rPr>
        <w:t> </w:t>
      </w:r>
      <w:r w:rsidRPr="00280A04">
        <w:rPr>
          <w:rFonts w:ascii="Times New Roman" w:hAnsi="Times New Roman" w:cs="Times New Roman"/>
          <w:color w:val="000000" w:themeColor="text1"/>
          <w:sz w:val="24"/>
          <w:szCs w:val="24"/>
        </w:rPr>
        <w:t>pomocą ww. usługi dane odnoszą się do tematów INSPIRE</w:t>
      </w:r>
      <w:r>
        <w:rPr>
          <w:rFonts w:ascii="Times New Roman" w:hAnsi="Times New Roman" w:cs="Times New Roman"/>
          <w:color w:val="000000" w:themeColor="text1"/>
          <w:sz w:val="24"/>
          <w:szCs w:val="24"/>
        </w:rPr>
        <w:t>,</w:t>
      </w:r>
      <w:r w:rsidRPr="00280A04">
        <w:rPr>
          <w:rFonts w:ascii="Times New Roman" w:hAnsi="Times New Roman" w:cs="Times New Roman"/>
          <w:color w:val="000000" w:themeColor="text1"/>
          <w:sz w:val="24"/>
          <w:szCs w:val="24"/>
        </w:rPr>
        <w:t xml:space="preserve"> tj.: </w:t>
      </w:r>
      <w:r w:rsidRPr="00280A04">
        <w:rPr>
          <w:rFonts w:ascii="Times New Roman" w:hAnsi="Times New Roman" w:cs="Times New Roman"/>
          <w:i/>
          <w:color w:val="000000" w:themeColor="text1"/>
          <w:sz w:val="24"/>
          <w:szCs w:val="24"/>
        </w:rPr>
        <w:t>Urządzenia do</w:t>
      </w:r>
      <w:r>
        <w:rPr>
          <w:rFonts w:ascii="Times New Roman" w:hAnsi="Times New Roman" w:cs="Times New Roman"/>
          <w:i/>
          <w:color w:val="000000" w:themeColor="text1"/>
          <w:sz w:val="24"/>
          <w:szCs w:val="24"/>
        </w:rPr>
        <w:t> </w:t>
      </w:r>
      <w:r w:rsidRPr="00280A04">
        <w:rPr>
          <w:rFonts w:ascii="Times New Roman" w:hAnsi="Times New Roman" w:cs="Times New Roman"/>
          <w:i/>
          <w:color w:val="000000" w:themeColor="text1"/>
          <w:sz w:val="24"/>
          <w:szCs w:val="24"/>
        </w:rPr>
        <w:t>monitorowania środowiska</w:t>
      </w:r>
      <w:r w:rsidRPr="00280A04">
        <w:rPr>
          <w:rFonts w:ascii="Times New Roman" w:hAnsi="Times New Roman" w:cs="Times New Roman"/>
          <w:color w:val="000000" w:themeColor="text1"/>
          <w:sz w:val="24"/>
          <w:szCs w:val="24"/>
        </w:rPr>
        <w:t xml:space="preserve">, </w:t>
      </w:r>
      <w:r w:rsidRPr="00280A04">
        <w:rPr>
          <w:rFonts w:ascii="Times New Roman" w:hAnsi="Times New Roman" w:cs="Times New Roman"/>
          <w:i/>
          <w:color w:val="000000" w:themeColor="text1"/>
          <w:sz w:val="24"/>
          <w:szCs w:val="24"/>
        </w:rPr>
        <w:t>Obiekty produkcyjne i przemysłowe</w:t>
      </w:r>
      <w:r w:rsidRPr="00280A04">
        <w:rPr>
          <w:rFonts w:ascii="Times New Roman" w:hAnsi="Times New Roman" w:cs="Times New Roman"/>
          <w:color w:val="000000" w:themeColor="text1"/>
          <w:sz w:val="24"/>
          <w:szCs w:val="24"/>
        </w:rPr>
        <w:t xml:space="preserve">, </w:t>
      </w:r>
      <w:r w:rsidRPr="00280A04">
        <w:rPr>
          <w:rFonts w:ascii="Times New Roman" w:hAnsi="Times New Roman" w:cs="Times New Roman"/>
          <w:i/>
          <w:color w:val="000000" w:themeColor="text1"/>
          <w:sz w:val="24"/>
          <w:szCs w:val="24"/>
        </w:rPr>
        <w:t>Rozmieszczenie gatunków</w:t>
      </w:r>
      <w:r w:rsidRPr="00280A04">
        <w:rPr>
          <w:rFonts w:ascii="Times New Roman" w:hAnsi="Times New Roman" w:cs="Times New Roman"/>
          <w:color w:val="000000" w:themeColor="text1"/>
          <w:sz w:val="24"/>
          <w:szCs w:val="24"/>
        </w:rPr>
        <w:t xml:space="preserve"> oraz </w:t>
      </w:r>
      <w:r w:rsidRPr="00280A04">
        <w:rPr>
          <w:rFonts w:ascii="Times New Roman" w:hAnsi="Times New Roman" w:cs="Times New Roman"/>
          <w:i/>
          <w:color w:val="000000" w:themeColor="text1"/>
          <w:sz w:val="24"/>
          <w:szCs w:val="24"/>
        </w:rPr>
        <w:t>Siedliska i obszary przyrodniczo jednorodne.</w:t>
      </w:r>
    </w:p>
    <w:p w14:paraId="723FBD3C" w14:textId="77777777" w:rsidR="00864862" w:rsidRPr="00280A04" w:rsidRDefault="00864862" w:rsidP="00D74E0B">
      <w:pPr>
        <w:spacing w:after="60" w:line="300" w:lineRule="atLeast"/>
        <w:ind w:firstLine="567"/>
        <w:jc w:val="both"/>
        <w:rPr>
          <w:rFonts w:ascii="Times New Roman" w:hAnsi="Times New Roman" w:cs="Times New Roman"/>
          <w:color w:val="000000" w:themeColor="text1"/>
          <w:sz w:val="24"/>
          <w:szCs w:val="24"/>
        </w:rPr>
      </w:pPr>
      <w:r w:rsidRPr="00280A04">
        <w:rPr>
          <w:rFonts w:ascii="Times New Roman" w:hAnsi="Times New Roman" w:cs="Times New Roman"/>
          <w:color w:val="000000" w:themeColor="text1"/>
          <w:sz w:val="24"/>
          <w:szCs w:val="24"/>
        </w:rPr>
        <w:t xml:space="preserve">Opublikowane poprzez usługi sieciowe INSPIRE zharmonizowane zbiory danych przestrzennych i metadane GIOŚ dostępne są również z poziomu </w:t>
      </w:r>
      <w:proofErr w:type="spellStart"/>
      <w:r w:rsidRPr="00280A04">
        <w:rPr>
          <w:rFonts w:ascii="Times New Roman" w:hAnsi="Times New Roman" w:cs="Times New Roman"/>
          <w:color w:val="000000" w:themeColor="text1"/>
          <w:sz w:val="24"/>
          <w:szCs w:val="24"/>
        </w:rPr>
        <w:t>geoportalu</w:t>
      </w:r>
      <w:proofErr w:type="spellEnd"/>
      <w:r w:rsidRPr="00280A04">
        <w:rPr>
          <w:rFonts w:ascii="Times New Roman" w:hAnsi="Times New Roman" w:cs="Times New Roman"/>
          <w:color w:val="000000" w:themeColor="text1"/>
          <w:sz w:val="24"/>
          <w:szCs w:val="24"/>
        </w:rPr>
        <w:t xml:space="preserve"> krajowego i </w:t>
      </w:r>
      <w:proofErr w:type="spellStart"/>
      <w:r w:rsidRPr="00280A04">
        <w:rPr>
          <w:rFonts w:ascii="Times New Roman" w:hAnsi="Times New Roman" w:cs="Times New Roman"/>
          <w:color w:val="000000" w:themeColor="text1"/>
          <w:sz w:val="24"/>
          <w:szCs w:val="24"/>
        </w:rPr>
        <w:t>Geoportalu</w:t>
      </w:r>
      <w:proofErr w:type="spellEnd"/>
      <w:r w:rsidRPr="00280A04">
        <w:rPr>
          <w:rFonts w:ascii="Times New Roman" w:hAnsi="Times New Roman" w:cs="Times New Roman"/>
          <w:color w:val="000000" w:themeColor="text1"/>
          <w:sz w:val="24"/>
          <w:szCs w:val="24"/>
        </w:rPr>
        <w:t xml:space="preserve"> INSPIRE KE.</w:t>
      </w:r>
    </w:p>
    <w:p w14:paraId="124B8B94" w14:textId="77777777" w:rsidR="00864862" w:rsidRPr="00280A04" w:rsidRDefault="00864862" w:rsidP="00D74E0B">
      <w:pPr>
        <w:spacing w:after="60" w:line="300" w:lineRule="atLeast"/>
        <w:ind w:firstLine="567"/>
        <w:jc w:val="both"/>
        <w:rPr>
          <w:rFonts w:ascii="Times New Roman" w:eastAsia="Times New Roman" w:hAnsi="Times New Roman" w:cs="Times New Roman"/>
          <w:sz w:val="24"/>
          <w:szCs w:val="24"/>
        </w:rPr>
      </w:pPr>
      <w:r w:rsidRPr="00280A04">
        <w:rPr>
          <w:rFonts w:ascii="Times New Roman" w:eastAsia="Times New Roman" w:hAnsi="Times New Roman" w:cs="Times New Roman"/>
          <w:sz w:val="24"/>
          <w:szCs w:val="24"/>
        </w:rPr>
        <w:t>W 2022 r. GIOŚ w terminie wypełnił obowiązki w zakresie sprawozdawczości INSPIRE poprzez zapewnienie wkładu do sprawozdania w zakresie INSPIRE, tj. dokumentu pn.: „Status wdrożenia Dyrektywy INSPIRE – Karta informacyjna 2022 Karta informacyjna Polska”.</w:t>
      </w:r>
    </w:p>
    <w:p w14:paraId="77366C14" w14:textId="77777777" w:rsidR="00864862" w:rsidRPr="00280A04" w:rsidRDefault="00864862" w:rsidP="00D74E0B">
      <w:pPr>
        <w:spacing w:after="60" w:line="300" w:lineRule="atLeast"/>
        <w:ind w:firstLine="567"/>
        <w:jc w:val="both"/>
        <w:rPr>
          <w:rFonts w:ascii="Times New Roman" w:eastAsia="Times New Roman" w:hAnsi="Times New Roman" w:cs="Times New Roman"/>
          <w:sz w:val="24"/>
          <w:szCs w:val="24"/>
        </w:rPr>
      </w:pPr>
      <w:r w:rsidRPr="00280A04">
        <w:rPr>
          <w:rFonts w:ascii="Times New Roman" w:eastAsia="Times New Roman" w:hAnsi="Times New Roman" w:cs="Times New Roman"/>
          <w:sz w:val="24"/>
          <w:szCs w:val="24"/>
        </w:rPr>
        <w:t xml:space="preserve">Ponadto, w terminie do 15 grudnia 2022 r. w zakresie kompetencji GIOŚ wypełniono obowiązki dotyczące monitorowania INSPIRE, zgodnie z Decyzją wykonawczą Komisji (UE) 2019/1372 z dnia 19 sierpnia 2019 r. w sprawie wykonania dyrektywy 2007/2/WE Parlamentu Europejskiego i Rady w zakresie monitorowania i sprawozdawczości. </w:t>
      </w:r>
    </w:p>
    <w:p w14:paraId="7DDD27C2" w14:textId="77777777" w:rsidR="00864862" w:rsidRPr="00280A04" w:rsidRDefault="00864862" w:rsidP="00D74E0B">
      <w:pPr>
        <w:autoSpaceDE w:val="0"/>
        <w:autoSpaceDN w:val="0"/>
        <w:adjustRightInd w:val="0"/>
        <w:spacing w:after="60" w:line="300" w:lineRule="atLeast"/>
        <w:ind w:firstLine="567"/>
        <w:jc w:val="both"/>
        <w:rPr>
          <w:rFonts w:ascii="Times New Roman" w:hAnsi="Times New Roman" w:cs="Times New Roman"/>
          <w:sz w:val="24"/>
          <w:szCs w:val="24"/>
        </w:rPr>
      </w:pPr>
      <w:r w:rsidRPr="00280A04">
        <w:rPr>
          <w:rFonts w:ascii="Times New Roman" w:hAnsi="Times New Roman" w:cs="Times New Roman"/>
          <w:sz w:val="24"/>
          <w:szCs w:val="24"/>
        </w:rPr>
        <w:t xml:space="preserve">W 2022 r. GIOŚ, jako organ wiodący w zakresie tematu „urządzenia do monitorowania środowiska”, uczestniczył w pracach Rady Infrastruktury Informacji Przestrzennej (Rady IIP). </w:t>
      </w:r>
      <w:r w:rsidRPr="00280A04">
        <w:rPr>
          <w:rFonts w:ascii="Times New Roman" w:hAnsi="Times New Roman" w:cs="Times New Roman"/>
          <w:sz w:val="24"/>
          <w:szCs w:val="24"/>
        </w:rPr>
        <w:lastRenderedPageBreak/>
        <w:t>Ponadto współdziałał w zakresie INSPIRE z Ministerstwem Klimatu i Środowiska (</w:t>
      </w:r>
      <w:proofErr w:type="spellStart"/>
      <w:r w:rsidRPr="00280A04">
        <w:rPr>
          <w:rFonts w:ascii="Times New Roman" w:hAnsi="Times New Roman" w:cs="Times New Roman"/>
          <w:sz w:val="24"/>
          <w:szCs w:val="24"/>
        </w:rPr>
        <w:t>MKiŚ</w:t>
      </w:r>
      <w:proofErr w:type="spellEnd"/>
      <w:r w:rsidRPr="00280A04">
        <w:rPr>
          <w:rFonts w:ascii="Times New Roman" w:hAnsi="Times New Roman" w:cs="Times New Roman"/>
          <w:sz w:val="24"/>
          <w:szCs w:val="24"/>
        </w:rPr>
        <w:t xml:space="preserve">), w szczególności współpracował w zakresie sprawozdawczości INSPIRE, określenia potrzeb wsparcia eksperckiego. Przedstawiciele GIOŚ czynnie uczestniczyli w szkoleniach on-line związanych z INSPIRE organizowanych przez </w:t>
      </w:r>
      <w:proofErr w:type="spellStart"/>
      <w:r w:rsidRPr="00280A04">
        <w:rPr>
          <w:rFonts w:ascii="Times New Roman" w:hAnsi="Times New Roman" w:cs="Times New Roman"/>
          <w:sz w:val="24"/>
          <w:szCs w:val="24"/>
        </w:rPr>
        <w:t>MKiŚ</w:t>
      </w:r>
      <w:proofErr w:type="spellEnd"/>
      <w:r w:rsidRPr="00280A04">
        <w:rPr>
          <w:rFonts w:ascii="Times New Roman" w:hAnsi="Times New Roman" w:cs="Times New Roman"/>
          <w:sz w:val="24"/>
          <w:szCs w:val="24"/>
        </w:rPr>
        <w:t xml:space="preserve">. </w:t>
      </w:r>
    </w:p>
    <w:p w14:paraId="284B3E48" w14:textId="77777777" w:rsidR="00864862" w:rsidRPr="00280A04" w:rsidRDefault="00864862" w:rsidP="00D74E0B">
      <w:pPr>
        <w:spacing w:after="60" w:line="300" w:lineRule="atLeast"/>
        <w:jc w:val="both"/>
        <w:rPr>
          <w:rFonts w:ascii="Times New Roman" w:hAnsi="Times New Roman" w:cs="Times New Roman"/>
          <w:sz w:val="24"/>
          <w:szCs w:val="24"/>
        </w:rPr>
      </w:pPr>
      <w:r w:rsidRPr="00280A04">
        <w:rPr>
          <w:rFonts w:ascii="Times New Roman" w:hAnsi="Times New Roman" w:cs="Times New Roman"/>
          <w:sz w:val="24"/>
          <w:szCs w:val="24"/>
        </w:rPr>
        <w:t>Mając na uwadze zobowiązania GIOŚ, jako organu wiodącego w temacie „urządzenia do</w:t>
      </w:r>
      <w:r>
        <w:rPr>
          <w:rFonts w:ascii="Times New Roman" w:hAnsi="Times New Roman" w:cs="Times New Roman"/>
          <w:sz w:val="24"/>
          <w:szCs w:val="24"/>
        </w:rPr>
        <w:t> </w:t>
      </w:r>
      <w:r w:rsidRPr="00280A04">
        <w:rPr>
          <w:rFonts w:ascii="Times New Roman" w:hAnsi="Times New Roman" w:cs="Times New Roman"/>
          <w:sz w:val="24"/>
          <w:szCs w:val="24"/>
        </w:rPr>
        <w:t>monitorowania środowiska”</w:t>
      </w:r>
      <w:r w:rsidRPr="00280A04">
        <w:rPr>
          <w:rStyle w:val="Odwoanieprzypisudolnego"/>
          <w:rFonts w:cs="Times New Roman"/>
          <w:sz w:val="24"/>
          <w:szCs w:val="24"/>
        </w:rPr>
        <w:footnoteReference w:id="113"/>
      </w:r>
      <w:r w:rsidRPr="00280A04">
        <w:rPr>
          <w:rFonts w:ascii="Times New Roman" w:hAnsi="Times New Roman" w:cs="Times New Roman"/>
          <w:sz w:val="24"/>
          <w:szCs w:val="24"/>
        </w:rPr>
        <w:t xml:space="preserve"> oraz obowiązki dostosowywania pozostałych zasobów danych przestrzennych będących w kompetencji GIOŚ, jako organu administracji publicznej, do wymagań wynikających z dyrektywy INSPIRE, podobnie jak w latach ubiegłych podejmowano działania dotyczące interoperacyjności, kontynuacji procesu harmonizacji, metadanych, wprowadzenia słów kluczowych wskazujących na priorytetowe zbiory danych oraz ulepszania dostępności zharmonizowanych zbiorów danych przestrzennych za pośrednictwem usług sieciowych.</w:t>
      </w:r>
    </w:p>
    <w:p w14:paraId="69A10CEC" w14:textId="77777777" w:rsidR="00864862" w:rsidRPr="00280A04" w:rsidRDefault="00864862" w:rsidP="00D74E0B">
      <w:pPr>
        <w:autoSpaceDE w:val="0"/>
        <w:autoSpaceDN w:val="0"/>
        <w:adjustRightInd w:val="0"/>
        <w:spacing w:before="240" w:after="60" w:line="300" w:lineRule="atLeast"/>
        <w:ind w:left="425" w:hanging="425"/>
        <w:jc w:val="both"/>
        <w:rPr>
          <w:rFonts w:ascii="Times New Roman" w:hAnsi="Times New Roman" w:cs="Times New Roman"/>
          <w:b/>
          <w:sz w:val="24"/>
        </w:rPr>
      </w:pPr>
      <w:r w:rsidRPr="00280A04">
        <w:rPr>
          <w:rFonts w:ascii="Times New Roman" w:hAnsi="Times New Roman" w:cs="Times New Roman"/>
          <w:b/>
          <w:sz w:val="24"/>
        </w:rPr>
        <w:t>Inne działania</w:t>
      </w:r>
    </w:p>
    <w:p w14:paraId="62799F7C" w14:textId="77777777" w:rsidR="00864862" w:rsidRPr="00280A04" w:rsidRDefault="00864862" w:rsidP="00D74E0B">
      <w:pPr>
        <w:autoSpaceDE w:val="0"/>
        <w:autoSpaceDN w:val="0"/>
        <w:adjustRightInd w:val="0"/>
        <w:spacing w:after="60" w:line="300" w:lineRule="atLeast"/>
        <w:jc w:val="both"/>
        <w:rPr>
          <w:rFonts w:ascii="Times New Roman" w:hAnsi="Times New Roman" w:cs="Times New Roman"/>
          <w:color w:val="000000" w:themeColor="text1"/>
          <w:sz w:val="24"/>
        </w:rPr>
      </w:pPr>
      <w:r w:rsidRPr="00280A04">
        <w:rPr>
          <w:rFonts w:ascii="Times New Roman" w:hAnsi="Times New Roman" w:cs="Times New Roman"/>
          <w:color w:val="000000" w:themeColor="text1"/>
          <w:sz w:val="24"/>
        </w:rPr>
        <w:t xml:space="preserve">Informacje o zasobach danych PMŚ, w tym dotyczących INSPIRE, jak co roku aktualizowane są w portalu </w:t>
      </w:r>
      <w:r w:rsidRPr="00280A04">
        <w:rPr>
          <w:rFonts w:ascii="Times New Roman" w:hAnsi="Times New Roman" w:cs="Times New Roman"/>
          <w:b/>
          <w:color w:val="000000" w:themeColor="text1"/>
          <w:sz w:val="24"/>
        </w:rPr>
        <w:t>dane.gov.pl</w:t>
      </w:r>
      <w:r w:rsidRPr="00280A04">
        <w:rPr>
          <w:rFonts w:ascii="Times New Roman" w:hAnsi="Times New Roman" w:cs="Times New Roman"/>
          <w:color w:val="000000" w:themeColor="text1"/>
          <w:sz w:val="24"/>
        </w:rPr>
        <w:t xml:space="preserve"> (</w:t>
      </w:r>
      <w:hyperlink r:id="rId157" w:history="1">
        <w:r w:rsidRPr="00280A04">
          <w:rPr>
            <w:rStyle w:val="Hipercze"/>
            <w:sz w:val="24"/>
          </w:rPr>
          <w:t>https://dane.gov.pl/pl</w:t>
        </w:r>
      </w:hyperlink>
      <w:r w:rsidRPr="00280A04">
        <w:rPr>
          <w:rFonts w:ascii="Times New Roman" w:hAnsi="Times New Roman" w:cs="Times New Roman"/>
          <w:color w:val="000000" w:themeColor="text1"/>
          <w:sz w:val="24"/>
        </w:rPr>
        <w:t xml:space="preserve">). </w:t>
      </w:r>
    </w:p>
    <w:p w14:paraId="6EE84B82" w14:textId="77777777" w:rsidR="00864862" w:rsidRPr="00280A04" w:rsidRDefault="00864862" w:rsidP="00864862">
      <w:pPr>
        <w:autoSpaceDE w:val="0"/>
        <w:autoSpaceDN w:val="0"/>
        <w:adjustRightInd w:val="0"/>
        <w:spacing w:after="60"/>
        <w:jc w:val="both"/>
        <w:rPr>
          <w:rFonts w:ascii="Times New Roman" w:hAnsi="Times New Roman" w:cs="Times New Roman"/>
          <w:b/>
          <w:sz w:val="18"/>
          <w:szCs w:val="16"/>
        </w:rPr>
      </w:pPr>
    </w:p>
    <w:p w14:paraId="60A5B6E8" w14:textId="77777777" w:rsidR="00864862" w:rsidRPr="00280A04" w:rsidRDefault="00864862" w:rsidP="00864862">
      <w:pPr>
        <w:spacing w:after="60"/>
        <w:ind w:firstLine="567"/>
        <w:jc w:val="both"/>
        <w:rPr>
          <w:rFonts w:ascii="Times New Roman" w:hAnsi="Times New Roman" w:cs="Times New Roman"/>
          <w:sz w:val="24"/>
          <w:lang w:eastAsia="pl-PL"/>
        </w:rPr>
      </w:pPr>
      <w:r w:rsidRPr="00280A04">
        <w:rPr>
          <w:rFonts w:ascii="Times New Roman" w:hAnsi="Times New Roman" w:cs="Times New Roman"/>
          <w:noProof/>
          <w:color w:val="FF0000"/>
          <w:sz w:val="24"/>
          <w:lang w:eastAsia="pl-PL"/>
        </w:rPr>
        <w:drawing>
          <wp:inline distT="0" distB="0" distL="0" distR="0" wp14:anchorId="039B220C" wp14:editId="60CA6ACD">
            <wp:extent cx="4940135" cy="4970084"/>
            <wp:effectExtent l="0" t="0" r="0" b="2540"/>
            <wp:docPr id="89" name="Obraz 89" descr=" Ryc. 22. Przykłady zasobów PMŚ aktualizowanych w portalu dane.gov.pl (Zrzut ekranu ze strony interne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Obraz 89" descr=" Ryc. 22. Przykłady zasobów PMŚ aktualizowanych w portalu dane.gov.pl (Zrzut ekranu ze strony internetowej)"/>
                    <pic:cNvPicPr/>
                  </pic:nvPicPr>
                  <pic:blipFill>
                    <a:blip r:embed="rId158">
                      <a:extLst>
                        <a:ext uri="{28A0092B-C50C-407E-A947-70E740481C1C}">
                          <a14:useLocalDpi xmlns:a14="http://schemas.microsoft.com/office/drawing/2010/main" val="0"/>
                        </a:ext>
                      </a:extLst>
                    </a:blip>
                    <a:stretch>
                      <a:fillRect/>
                    </a:stretch>
                  </pic:blipFill>
                  <pic:spPr>
                    <a:xfrm>
                      <a:off x="0" y="0"/>
                      <a:ext cx="5079118" cy="5109909"/>
                    </a:xfrm>
                    <a:prstGeom prst="rect">
                      <a:avLst/>
                    </a:prstGeom>
                  </pic:spPr>
                </pic:pic>
              </a:graphicData>
            </a:graphic>
          </wp:inline>
        </w:drawing>
      </w:r>
    </w:p>
    <w:p w14:paraId="5066C5B6" w14:textId="780680B8" w:rsidR="00864862" w:rsidRPr="00A62A5D" w:rsidRDefault="00864862" w:rsidP="00864862">
      <w:pPr>
        <w:spacing w:after="60"/>
        <w:ind w:firstLine="567"/>
        <w:jc w:val="both"/>
        <w:rPr>
          <w:rFonts w:ascii="Times New Roman" w:hAnsi="Times New Roman" w:cs="Times New Roman"/>
          <w:b/>
          <w:lang w:eastAsia="pl-PL"/>
        </w:rPr>
      </w:pPr>
      <w:r w:rsidRPr="00A62A5D">
        <w:rPr>
          <w:rFonts w:ascii="Times New Roman" w:hAnsi="Times New Roman" w:cs="Times New Roman"/>
          <w:b/>
          <w:lang w:eastAsia="pl-PL"/>
        </w:rPr>
        <w:t xml:space="preserve">Ryc. </w:t>
      </w:r>
      <w:r>
        <w:rPr>
          <w:rFonts w:ascii="Times New Roman" w:hAnsi="Times New Roman" w:cs="Times New Roman"/>
          <w:b/>
          <w:lang w:eastAsia="pl-PL"/>
        </w:rPr>
        <w:t>2</w:t>
      </w:r>
      <w:r w:rsidR="00D75BFD">
        <w:rPr>
          <w:rFonts w:ascii="Times New Roman" w:hAnsi="Times New Roman" w:cs="Times New Roman"/>
          <w:b/>
          <w:lang w:eastAsia="pl-PL"/>
        </w:rPr>
        <w:t>2</w:t>
      </w:r>
      <w:r w:rsidRPr="00A62A5D">
        <w:rPr>
          <w:rFonts w:ascii="Times New Roman" w:hAnsi="Times New Roman" w:cs="Times New Roman"/>
          <w:b/>
          <w:lang w:eastAsia="pl-PL"/>
        </w:rPr>
        <w:t>.</w:t>
      </w:r>
      <w:r w:rsidR="00D75BFD">
        <w:rPr>
          <w:rFonts w:ascii="Times New Roman" w:hAnsi="Times New Roman" w:cs="Times New Roman"/>
          <w:b/>
          <w:lang w:eastAsia="pl-PL"/>
        </w:rPr>
        <w:t xml:space="preserve"> </w:t>
      </w:r>
      <w:r w:rsidRPr="00A62A5D">
        <w:rPr>
          <w:rFonts w:ascii="Times New Roman" w:hAnsi="Times New Roman" w:cs="Times New Roman"/>
          <w:b/>
          <w:lang w:eastAsia="pl-PL"/>
        </w:rPr>
        <w:t>Przykłady zasobów PMŚ aktualizowanych w portalu dane.gov.pl</w:t>
      </w:r>
    </w:p>
    <w:p w14:paraId="11BBB262" w14:textId="77777777" w:rsidR="00864862" w:rsidRPr="00280A04" w:rsidRDefault="00864862" w:rsidP="00864862">
      <w:pPr>
        <w:spacing w:after="60"/>
        <w:ind w:firstLine="567"/>
        <w:jc w:val="both"/>
        <w:rPr>
          <w:rFonts w:ascii="Times New Roman" w:hAnsi="Times New Roman" w:cs="Times New Roman"/>
          <w:sz w:val="18"/>
          <w:szCs w:val="16"/>
          <w:lang w:eastAsia="pl-PL"/>
        </w:rPr>
      </w:pPr>
    </w:p>
    <w:p w14:paraId="68B71637" w14:textId="14FCE547" w:rsidR="00864862" w:rsidRPr="00280A04" w:rsidRDefault="00864862" w:rsidP="00D74E0B">
      <w:pPr>
        <w:spacing w:after="60" w:line="300" w:lineRule="atLeast"/>
        <w:ind w:firstLine="567"/>
        <w:jc w:val="both"/>
        <w:rPr>
          <w:rFonts w:ascii="Times New Roman" w:hAnsi="Times New Roman" w:cs="Times New Roman"/>
          <w:sz w:val="24"/>
        </w:rPr>
      </w:pPr>
      <w:r w:rsidRPr="00280A04">
        <w:rPr>
          <w:rFonts w:ascii="Times New Roman" w:hAnsi="Times New Roman" w:cs="Times New Roman"/>
          <w:sz w:val="24"/>
          <w:lang w:eastAsia="pl-PL"/>
        </w:rPr>
        <w:t xml:space="preserve">W zakresie otwartych danych GIOŚ współpracował z Ministerstwem Klimatu i Środowiska (Pełnomocnikiem ds. otwartości danych w </w:t>
      </w:r>
      <w:proofErr w:type="spellStart"/>
      <w:r w:rsidRPr="00280A04">
        <w:rPr>
          <w:rFonts w:ascii="Times New Roman" w:hAnsi="Times New Roman" w:cs="Times New Roman"/>
          <w:sz w:val="24"/>
          <w:lang w:eastAsia="pl-PL"/>
        </w:rPr>
        <w:t>MKiŚ</w:t>
      </w:r>
      <w:proofErr w:type="spellEnd"/>
      <w:r w:rsidRPr="00280A04">
        <w:rPr>
          <w:rFonts w:ascii="Times New Roman" w:hAnsi="Times New Roman" w:cs="Times New Roman"/>
          <w:sz w:val="24"/>
          <w:lang w:eastAsia="pl-PL"/>
        </w:rPr>
        <w:t xml:space="preserve">) w związku z zadaniami wynikającymi z ustawy </w:t>
      </w:r>
      <w:r w:rsidRPr="00280A04">
        <w:rPr>
          <w:rFonts w:ascii="Times New Roman" w:hAnsi="Times New Roman" w:cs="Times New Roman"/>
          <w:sz w:val="24"/>
        </w:rPr>
        <w:t>z dnia 11 sierpnia 2021 r. o otwartych danych i ponownym wykorzystywaniu informacji sektora publicznego</w:t>
      </w:r>
      <w:r w:rsidR="00D3483A">
        <w:rPr>
          <w:rStyle w:val="Odwoanieprzypisudolnego"/>
          <w:rFonts w:cs="Times New Roman"/>
        </w:rPr>
        <w:footnoteReference w:id="114"/>
      </w:r>
      <w:r w:rsidR="00D3483A">
        <w:rPr>
          <w:rFonts w:ascii="Times New Roman" w:hAnsi="Times New Roman" w:cs="Times New Roman"/>
          <w:sz w:val="24"/>
        </w:rPr>
        <w:t>.</w:t>
      </w:r>
    </w:p>
    <w:p w14:paraId="52DC3A29" w14:textId="77777777" w:rsidR="00864862" w:rsidRPr="00280A04" w:rsidRDefault="00864862" w:rsidP="00D74E0B">
      <w:pPr>
        <w:spacing w:after="60" w:line="300" w:lineRule="atLeast"/>
        <w:ind w:firstLine="567"/>
        <w:jc w:val="both"/>
        <w:rPr>
          <w:rFonts w:ascii="Times New Roman" w:hAnsi="Times New Roman" w:cs="Times New Roman"/>
          <w:sz w:val="24"/>
          <w:lang w:eastAsia="pl-PL"/>
        </w:rPr>
      </w:pPr>
    </w:p>
    <w:p w14:paraId="65B00C3C" w14:textId="77777777" w:rsidR="00864862" w:rsidRPr="00280A04" w:rsidRDefault="00864862" w:rsidP="00864862">
      <w:pPr>
        <w:spacing w:after="60"/>
        <w:jc w:val="both"/>
        <w:rPr>
          <w:rFonts w:ascii="Times New Roman" w:hAnsi="Times New Roman" w:cs="Times New Roman"/>
          <w:sz w:val="24"/>
        </w:rPr>
      </w:pPr>
    </w:p>
    <w:p w14:paraId="2DD255BB" w14:textId="77777777" w:rsidR="00864862" w:rsidRPr="005E2831" w:rsidRDefault="00864862" w:rsidP="00864862">
      <w:pPr>
        <w:spacing w:after="60"/>
        <w:jc w:val="both"/>
        <w:rPr>
          <w:rFonts w:ascii="Times New Roman" w:hAnsi="Times New Roman" w:cs="Times New Roman"/>
          <w:sz w:val="24"/>
          <w:szCs w:val="24"/>
        </w:rPr>
      </w:pPr>
    </w:p>
    <w:p w14:paraId="0BEC2578" w14:textId="1FB16D4E" w:rsidR="00895F16" w:rsidRPr="007F400A" w:rsidRDefault="00895F16" w:rsidP="00895F16">
      <w:pPr>
        <w:spacing w:after="0" w:line="300" w:lineRule="atLeast"/>
        <w:ind w:firstLine="567"/>
        <w:jc w:val="both"/>
        <w:rPr>
          <w:rFonts w:ascii="Times New Roman" w:hAnsi="Times New Roman" w:cs="Times New Roman"/>
          <w:sz w:val="24"/>
          <w:szCs w:val="24"/>
        </w:rPr>
      </w:pPr>
      <w:r w:rsidRPr="007F400A">
        <w:rPr>
          <w:rFonts w:ascii="Times New Roman" w:hAnsi="Times New Roman" w:cs="Times New Roman"/>
          <w:sz w:val="24"/>
          <w:szCs w:val="24"/>
        </w:rPr>
        <w:t>.</w:t>
      </w:r>
    </w:p>
    <w:p w14:paraId="7D6612CE" w14:textId="77777777" w:rsidR="00895F16" w:rsidRPr="007F400A" w:rsidRDefault="00895F16" w:rsidP="00895F16">
      <w:pPr>
        <w:autoSpaceDE w:val="0"/>
        <w:autoSpaceDN w:val="0"/>
        <w:adjustRightInd w:val="0"/>
        <w:spacing w:after="0" w:line="300" w:lineRule="atLeast"/>
        <w:jc w:val="both"/>
        <w:rPr>
          <w:rFonts w:ascii="Times New Roman" w:hAnsi="Times New Roman" w:cs="Times New Roman"/>
          <w:sz w:val="24"/>
          <w:szCs w:val="24"/>
        </w:rPr>
      </w:pPr>
    </w:p>
    <w:bookmarkEnd w:id="432"/>
    <w:p w14:paraId="4FEC5B1A" w14:textId="77777777" w:rsidR="00895F16" w:rsidRPr="007F400A" w:rsidRDefault="00895F16" w:rsidP="00895F16">
      <w:pPr>
        <w:spacing w:after="0" w:line="300" w:lineRule="atLeast"/>
        <w:rPr>
          <w:rFonts w:ascii="Times New Roman" w:hAnsi="Times New Roman" w:cs="Times New Roman"/>
          <w:sz w:val="24"/>
          <w:szCs w:val="24"/>
        </w:rPr>
      </w:pPr>
    </w:p>
    <w:p w14:paraId="396FCE6F" w14:textId="77777777" w:rsidR="00895F16" w:rsidRPr="007F400A" w:rsidRDefault="00895F16" w:rsidP="00895F16">
      <w:pPr>
        <w:rPr>
          <w:rFonts w:ascii="Times New Roman" w:eastAsia="Times New Roman" w:hAnsi="Times New Roman" w:cs="Times New Roman"/>
          <w:b/>
          <w:bCs/>
          <w:sz w:val="24"/>
          <w:szCs w:val="24"/>
          <w:lang w:val="x-none" w:eastAsia="x-none"/>
        </w:rPr>
      </w:pPr>
      <w:r w:rsidRPr="007F400A">
        <w:br w:type="page"/>
      </w:r>
    </w:p>
    <w:p w14:paraId="114F57F0" w14:textId="68568916" w:rsidR="00895F16" w:rsidRPr="007F400A" w:rsidRDefault="00895F16" w:rsidP="00895F16">
      <w:pPr>
        <w:keepNext/>
        <w:spacing w:after="0" w:line="300" w:lineRule="atLeast"/>
        <w:jc w:val="both"/>
        <w:outlineLvl w:val="0"/>
        <w:rPr>
          <w:rFonts w:ascii="Times New Roman" w:eastAsia="Times New Roman" w:hAnsi="Times New Roman" w:cs="Times New Roman"/>
          <w:b/>
          <w:bCs/>
          <w:sz w:val="24"/>
          <w:szCs w:val="24"/>
          <w:lang w:val="x-none" w:eastAsia="x-none"/>
        </w:rPr>
      </w:pPr>
      <w:bookmarkStart w:id="433" w:name="_Toc135935723"/>
      <w:r w:rsidRPr="007F400A">
        <w:rPr>
          <w:rFonts w:ascii="Times New Roman" w:eastAsia="Times New Roman" w:hAnsi="Times New Roman" w:cs="Times New Roman"/>
          <w:b/>
          <w:bCs/>
          <w:sz w:val="24"/>
          <w:szCs w:val="24"/>
          <w:lang w:val="x-none" w:eastAsia="x-none"/>
        </w:rPr>
        <w:lastRenderedPageBreak/>
        <w:t>V</w:t>
      </w:r>
      <w:r w:rsidR="00990BF2" w:rsidRPr="007F400A">
        <w:rPr>
          <w:rFonts w:ascii="Times New Roman" w:eastAsia="Times New Roman" w:hAnsi="Times New Roman" w:cs="Times New Roman"/>
          <w:b/>
          <w:bCs/>
          <w:sz w:val="24"/>
          <w:szCs w:val="24"/>
          <w:lang w:eastAsia="x-none"/>
        </w:rPr>
        <w:t>I</w:t>
      </w:r>
      <w:r w:rsidRPr="007F400A">
        <w:rPr>
          <w:rFonts w:ascii="Times New Roman" w:eastAsia="Times New Roman" w:hAnsi="Times New Roman" w:cs="Times New Roman"/>
          <w:b/>
          <w:bCs/>
          <w:sz w:val="24"/>
          <w:szCs w:val="24"/>
          <w:lang w:val="x-none" w:eastAsia="x-none"/>
        </w:rPr>
        <w:t>. LABORATORI</w:t>
      </w:r>
      <w:r w:rsidRPr="007F400A">
        <w:rPr>
          <w:rFonts w:ascii="Times New Roman" w:eastAsia="Times New Roman" w:hAnsi="Times New Roman" w:cs="Times New Roman"/>
          <w:b/>
          <w:bCs/>
          <w:sz w:val="24"/>
          <w:szCs w:val="24"/>
          <w:lang w:eastAsia="x-none"/>
        </w:rPr>
        <w:t>A</w:t>
      </w:r>
      <w:bookmarkEnd w:id="433"/>
    </w:p>
    <w:p w14:paraId="2BED3CF9" w14:textId="77777777" w:rsidR="00895F16" w:rsidRPr="007F400A" w:rsidRDefault="00895F16" w:rsidP="00895F16">
      <w:pPr>
        <w:spacing w:after="0" w:line="300" w:lineRule="atLeast"/>
        <w:ind w:firstLine="709"/>
        <w:jc w:val="both"/>
        <w:rPr>
          <w:rFonts w:ascii="Times New Roman" w:eastAsia="Times New Roman" w:hAnsi="Times New Roman" w:cs="Times New Roman"/>
          <w:sz w:val="24"/>
          <w:szCs w:val="24"/>
          <w:lang w:val="x-none"/>
        </w:rPr>
      </w:pPr>
    </w:p>
    <w:p w14:paraId="4748EB6E" w14:textId="77777777" w:rsidR="00895F16" w:rsidRPr="007F400A" w:rsidRDefault="00895F16" w:rsidP="00D74E0B">
      <w:pPr>
        <w:numPr>
          <w:ilvl w:val="0"/>
          <w:numId w:val="39"/>
        </w:numPr>
        <w:spacing w:after="120" w:line="300" w:lineRule="atLeast"/>
        <w:ind w:left="357" w:hanging="357"/>
        <w:jc w:val="both"/>
        <w:outlineLvl w:val="0"/>
        <w:rPr>
          <w:rFonts w:ascii="Times New Roman" w:eastAsia="Calibri" w:hAnsi="Times New Roman" w:cs="Times New Roman"/>
          <w:b/>
          <w:sz w:val="24"/>
          <w:szCs w:val="24"/>
          <w:lang w:eastAsia="pl-PL"/>
        </w:rPr>
      </w:pPr>
      <w:bookmarkStart w:id="434" w:name="_Toc135935724"/>
      <w:r w:rsidRPr="007F400A">
        <w:rPr>
          <w:rFonts w:ascii="Times New Roman" w:eastAsia="Calibri" w:hAnsi="Times New Roman" w:cs="Times New Roman"/>
          <w:b/>
          <w:sz w:val="24"/>
          <w:szCs w:val="24"/>
          <w:lang w:eastAsia="pl-PL"/>
        </w:rPr>
        <w:t>Centralne Laboratorium Badawcze</w:t>
      </w:r>
      <w:bookmarkEnd w:id="434"/>
    </w:p>
    <w:p w14:paraId="5C8851F3" w14:textId="77777777" w:rsidR="00D15013" w:rsidRPr="00D15013" w:rsidRDefault="00D15013" w:rsidP="00D74E0B">
      <w:pPr>
        <w:spacing w:line="300" w:lineRule="atLeast"/>
        <w:ind w:firstLine="567"/>
        <w:contextualSpacing/>
        <w:jc w:val="both"/>
        <w:rPr>
          <w:rFonts w:ascii="Times New Roman" w:eastAsia="Calibri" w:hAnsi="Times New Roman" w:cs="Times New Roman"/>
          <w:sz w:val="24"/>
          <w:szCs w:val="24"/>
          <w:lang w:val="x-none"/>
        </w:rPr>
      </w:pPr>
      <w:r w:rsidRPr="00D15013">
        <w:rPr>
          <w:rFonts w:ascii="Times New Roman" w:eastAsia="Calibri" w:hAnsi="Times New Roman" w:cs="Times New Roman"/>
          <w:sz w:val="24"/>
          <w:szCs w:val="24"/>
          <w:lang w:val="x-none"/>
        </w:rPr>
        <w:t xml:space="preserve">Centralne </w:t>
      </w:r>
      <w:r w:rsidRPr="00D15013">
        <w:rPr>
          <w:rFonts w:ascii="Times New Roman" w:eastAsia="Calibri" w:hAnsi="Times New Roman" w:cs="Times New Roman"/>
          <w:sz w:val="24"/>
          <w:szCs w:val="24"/>
        </w:rPr>
        <w:t>Laboratorium Badawcze działa w oparciu o 16 Oddziałów. Wszystkie Oddziały CLB</w:t>
      </w:r>
      <w:r w:rsidRPr="00D15013">
        <w:rPr>
          <w:rFonts w:ascii="Times New Roman" w:eastAsia="Calibri" w:hAnsi="Times New Roman" w:cs="Times New Roman"/>
          <w:sz w:val="24"/>
          <w:szCs w:val="24"/>
          <w:lang w:val="x-none"/>
        </w:rPr>
        <w:t xml:space="preserve"> posiadają wdrożony system zarządzania zgodny z wymaganiami normy PN-EN ISO/IEC 17025:2018-02 potwierdzony certyfikatami akredytacji. </w:t>
      </w:r>
    </w:p>
    <w:p w14:paraId="74BCB7EF" w14:textId="77777777" w:rsidR="00D15013" w:rsidRPr="00D15013" w:rsidRDefault="00D15013" w:rsidP="00D74E0B">
      <w:pPr>
        <w:spacing w:line="300" w:lineRule="atLeast"/>
        <w:contextualSpacing/>
        <w:jc w:val="both"/>
        <w:rPr>
          <w:rFonts w:ascii="Times New Roman" w:eastAsia="Calibri" w:hAnsi="Times New Roman" w:cs="Times New Roman"/>
          <w:sz w:val="24"/>
          <w:szCs w:val="24"/>
          <w:lang w:val="x-none"/>
        </w:rPr>
      </w:pPr>
      <w:r w:rsidRPr="00D15013">
        <w:rPr>
          <w:rFonts w:ascii="Times New Roman" w:eastAsia="Calibri" w:hAnsi="Times New Roman" w:cs="Times New Roman"/>
          <w:sz w:val="24"/>
          <w:szCs w:val="24"/>
          <w:lang w:val="x-none"/>
        </w:rPr>
        <w:t xml:space="preserve">Wykaz badań objętych akredytacją dostępny jest na stronie PCA w zakładce </w:t>
      </w:r>
      <w:hyperlink r:id="rId159" w:history="1">
        <w:r w:rsidRPr="00D15013">
          <w:rPr>
            <w:rFonts w:ascii="Times New Roman" w:eastAsia="Calibri" w:hAnsi="Times New Roman" w:cs="Times New Roman"/>
            <w:color w:val="0563C1"/>
            <w:sz w:val="24"/>
            <w:szCs w:val="24"/>
            <w:u w:val="single"/>
            <w:lang w:val="x-none"/>
          </w:rPr>
          <w:t>https://www.pca.gov.pl/akredytowane-podmioty/akredytacje-aktywne/laboratoria-badawcze/</w:t>
        </w:r>
      </w:hyperlink>
      <w:r w:rsidRPr="00D15013">
        <w:rPr>
          <w:rFonts w:ascii="Times New Roman" w:eastAsia="Calibri" w:hAnsi="Times New Roman" w:cs="Times New Roman"/>
          <w:sz w:val="24"/>
          <w:szCs w:val="24"/>
          <w:lang w:val="x-none"/>
        </w:rPr>
        <w:t>.</w:t>
      </w:r>
    </w:p>
    <w:p w14:paraId="6DA622E5" w14:textId="77777777" w:rsidR="00D15013" w:rsidRDefault="00D15013" w:rsidP="00D74E0B">
      <w:pPr>
        <w:spacing w:line="300" w:lineRule="atLeast"/>
        <w:contextualSpacing/>
        <w:jc w:val="both"/>
        <w:rPr>
          <w:rFonts w:ascii="Times New Roman" w:eastAsia="Calibri" w:hAnsi="Times New Roman" w:cs="Times New Roman"/>
          <w:sz w:val="24"/>
          <w:szCs w:val="24"/>
          <w:lang w:val="x-none"/>
        </w:rPr>
      </w:pPr>
    </w:p>
    <w:p w14:paraId="06E931CE" w14:textId="676375AC" w:rsidR="00D15013" w:rsidRPr="00D15013" w:rsidRDefault="00D15013" w:rsidP="00D74E0B">
      <w:pPr>
        <w:spacing w:after="60" w:line="300" w:lineRule="atLeast"/>
        <w:jc w:val="both"/>
        <w:rPr>
          <w:rFonts w:ascii="Times New Roman" w:eastAsia="Calibri" w:hAnsi="Times New Roman" w:cs="Times New Roman"/>
          <w:sz w:val="24"/>
          <w:szCs w:val="24"/>
          <w:lang w:val="x-none"/>
        </w:rPr>
      </w:pPr>
      <w:r w:rsidRPr="00D15013">
        <w:rPr>
          <w:rFonts w:ascii="Times New Roman" w:eastAsia="Calibri" w:hAnsi="Times New Roman" w:cs="Times New Roman"/>
          <w:sz w:val="24"/>
          <w:szCs w:val="24"/>
          <w:lang w:val="x-none"/>
        </w:rPr>
        <w:t>Zakres działań CLB obejmuje:</w:t>
      </w:r>
    </w:p>
    <w:p w14:paraId="3B28678E" w14:textId="77777777" w:rsidR="00D15013" w:rsidRPr="00D15013" w:rsidRDefault="00D15013" w:rsidP="00D74E0B">
      <w:pPr>
        <w:pStyle w:val="Akapitzlist"/>
        <w:numPr>
          <w:ilvl w:val="0"/>
          <w:numId w:val="208"/>
        </w:numPr>
        <w:spacing w:line="300" w:lineRule="atLeast"/>
        <w:ind w:left="568" w:hanging="284"/>
        <w:jc w:val="both"/>
        <w:rPr>
          <w:sz w:val="24"/>
          <w:szCs w:val="24"/>
        </w:rPr>
      </w:pPr>
      <w:r w:rsidRPr="00D15013">
        <w:rPr>
          <w:sz w:val="24"/>
          <w:szCs w:val="24"/>
        </w:rPr>
        <w:t xml:space="preserve">monitoring jakości wód powierzchniowych, podziemnych, powietrza atmosferycznego, natężenia pól elektromagnetycznych, hałasu komunikacyjnego, przemysłowego oraz lotniczego, </w:t>
      </w:r>
    </w:p>
    <w:p w14:paraId="18198383" w14:textId="77777777" w:rsidR="00D15013" w:rsidRPr="00D15013" w:rsidRDefault="00D15013" w:rsidP="00D74E0B">
      <w:pPr>
        <w:pStyle w:val="Akapitzlist"/>
        <w:numPr>
          <w:ilvl w:val="0"/>
          <w:numId w:val="208"/>
        </w:numPr>
        <w:spacing w:line="300" w:lineRule="atLeast"/>
        <w:ind w:left="568" w:hanging="284"/>
        <w:jc w:val="both"/>
        <w:rPr>
          <w:sz w:val="24"/>
          <w:szCs w:val="24"/>
        </w:rPr>
      </w:pPr>
      <w:r w:rsidRPr="00D15013">
        <w:rPr>
          <w:sz w:val="24"/>
          <w:szCs w:val="24"/>
        </w:rPr>
        <w:t>badania i pomiary kontrolne w celu oceny emisji zanieczyszczeń do powietrza atmosferycznego, wody oraz ziemi z podmiotów prowadzących działalność gospodarczą,</w:t>
      </w:r>
    </w:p>
    <w:p w14:paraId="2B74EE3B" w14:textId="7337E0DF" w:rsidR="00956FD7" w:rsidRPr="00D918E7" w:rsidRDefault="00D15013" w:rsidP="00D74E0B">
      <w:pPr>
        <w:pStyle w:val="Akapitzlist"/>
        <w:numPr>
          <w:ilvl w:val="0"/>
          <w:numId w:val="208"/>
        </w:numPr>
        <w:spacing w:after="120" w:line="300" w:lineRule="atLeast"/>
        <w:ind w:left="568" w:hanging="284"/>
        <w:contextualSpacing w:val="0"/>
        <w:jc w:val="both"/>
        <w:rPr>
          <w:sz w:val="24"/>
          <w:szCs w:val="24"/>
        </w:rPr>
      </w:pPr>
      <w:r w:rsidRPr="00D15013">
        <w:rPr>
          <w:sz w:val="24"/>
          <w:szCs w:val="24"/>
        </w:rPr>
        <w:t>badania związane z poważnymi awariami.</w:t>
      </w:r>
    </w:p>
    <w:p w14:paraId="42280E78" w14:textId="07002415" w:rsidR="00D15013" w:rsidRPr="00D918E7" w:rsidRDefault="00D15013" w:rsidP="00D74E0B">
      <w:pPr>
        <w:spacing w:after="60" w:line="300" w:lineRule="atLeast"/>
        <w:jc w:val="both"/>
        <w:rPr>
          <w:rFonts w:ascii="Times New Roman" w:hAnsi="Times New Roman" w:cs="Times New Roman"/>
          <w:sz w:val="24"/>
          <w:szCs w:val="24"/>
        </w:rPr>
      </w:pPr>
      <w:r w:rsidRPr="00D918E7">
        <w:rPr>
          <w:rFonts w:ascii="Times New Roman" w:hAnsi="Times New Roman" w:cs="Times New Roman"/>
          <w:sz w:val="24"/>
          <w:szCs w:val="24"/>
        </w:rPr>
        <w:t>W ramach wyżej wymienionych działań CLB wykonuje:</w:t>
      </w:r>
    </w:p>
    <w:p w14:paraId="15BFD99A" w14:textId="77777777" w:rsidR="00D15013" w:rsidRPr="00D15013" w:rsidRDefault="00D15013" w:rsidP="00D74E0B">
      <w:pPr>
        <w:pStyle w:val="Akapitzlist"/>
        <w:numPr>
          <w:ilvl w:val="0"/>
          <w:numId w:val="342"/>
        </w:numPr>
        <w:spacing w:line="300" w:lineRule="atLeast"/>
        <w:ind w:left="641" w:hanging="357"/>
        <w:jc w:val="both"/>
        <w:rPr>
          <w:sz w:val="24"/>
          <w:szCs w:val="24"/>
        </w:rPr>
      </w:pPr>
      <w:r w:rsidRPr="00D15013">
        <w:rPr>
          <w:sz w:val="24"/>
          <w:szCs w:val="24"/>
        </w:rPr>
        <w:t xml:space="preserve">pobory próbek wody, ścieków, osadów, odpadów, gleby powietrza atmosferycznego </w:t>
      </w:r>
      <w:r w:rsidRPr="00D15013">
        <w:rPr>
          <w:sz w:val="24"/>
          <w:szCs w:val="24"/>
        </w:rPr>
        <w:br/>
        <w:t>i gazów odlotowych,</w:t>
      </w:r>
    </w:p>
    <w:p w14:paraId="7C0BB1C6" w14:textId="77777777" w:rsidR="00D15013" w:rsidRPr="00D15013" w:rsidRDefault="00D15013" w:rsidP="00D74E0B">
      <w:pPr>
        <w:pStyle w:val="Akapitzlist"/>
        <w:numPr>
          <w:ilvl w:val="0"/>
          <w:numId w:val="342"/>
        </w:numPr>
        <w:spacing w:line="300" w:lineRule="atLeast"/>
        <w:ind w:left="641" w:hanging="357"/>
        <w:jc w:val="both"/>
        <w:rPr>
          <w:sz w:val="24"/>
          <w:szCs w:val="24"/>
        </w:rPr>
      </w:pPr>
      <w:r w:rsidRPr="00D15013">
        <w:rPr>
          <w:sz w:val="24"/>
          <w:szCs w:val="24"/>
        </w:rPr>
        <w:t>analizy fizykochemiczne, biologiczne i parazytologiczne w próbkach środowiskowych,</w:t>
      </w:r>
    </w:p>
    <w:p w14:paraId="67AFE80C" w14:textId="77777777" w:rsidR="00D15013" w:rsidRPr="00D15013" w:rsidRDefault="00D15013" w:rsidP="00D74E0B">
      <w:pPr>
        <w:pStyle w:val="Akapitzlist"/>
        <w:numPr>
          <w:ilvl w:val="0"/>
          <w:numId w:val="342"/>
        </w:numPr>
        <w:spacing w:line="300" w:lineRule="atLeast"/>
        <w:ind w:left="641" w:hanging="357"/>
        <w:jc w:val="both"/>
        <w:rPr>
          <w:sz w:val="24"/>
          <w:szCs w:val="24"/>
        </w:rPr>
      </w:pPr>
      <w:r w:rsidRPr="00D15013">
        <w:rPr>
          <w:sz w:val="24"/>
          <w:szCs w:val="24"/>
        </w:rPr>
        <w:t>badania mikrobiologiczne i hydrobiologiczne w wodach powierzchniowych,</w:t>
      </w:r>
    </w:p>
    <w:p w14:paraId="6265FC95" w14:textId="77777777" w:rsidR="00D15013" w:rsidRPr="00D15013" w:rsidRDefault="00D15013" w:rsidP="00D74E0B">
      <w:pPr>
        <w:pStyle w:val="Akapitzlist"/>
        <w:numPr>
          <w:ilvl w:val="0"/>
          <w:numId w:val="342"/>
        </w:numPr>
        <w:spacing w:line="300" w:lineRule="atLeast"/>
        <w:ind w:left="641" w:hanging="357"/>
        <w:jc w:val="both"/>
        <w:rPr>
          <w:sz w:val="24"/>
          <w:szCs w:val="24"/>
        </w:rPr>
      </w:pPr>
      <w:r w:rsidRPr="00D15013">
        <w:rPr>
          <w:sz w:val="24"/>
          <w:szCs w:val="24"/>
        </w:rPr>
        <w:t>pomiary zanieczyszczeń powietrza atmosferycznego,</w:t>
      </w:r>
    </w:p>
    <w:p w14:paraId="7D97D35D" w14:textId="77777777" w:rsidR="00D15013" w:rsidRPr="00D15013" w:rsidRDefault="00D15013" w:rsidP="00D74E0B">
      <w:pPr>
        <w:pStyle w:val="Akapitzlist"/>
        <w:numPr>
          <w:ilvl w:val="0"/>
          <w:numId w:val="342"/>
        </w:numPr>
        <w:spacing w:line="300" w:lineRule="atLeast"/>
        <w:ind w:left="641" w:hanging="357"/>
        <w:jc w:val="both"/>
        <w:rPr>
          <w:sz w:val="24"/>
          <w:szCs w:val="24"/>
        </w:rPr>
      </w:pPr>
      <w:r w:rsidRPr="00D15013">
        <w:rPr>
          <w:sz w:val="24"/>
          <w:szCs w:val="24"/>
        </w:rPr>
        <w:t>pomiary emisji gazów odlotowych do powietrza atmosferycznego,</w:t>
      </w:r>
    </w:p>
    <w:p w14:paraId="4494A4ED" w14:textId="77777777" w:rsidR="00D15013" w:rsidRPr="00D15013" w:rsidRDefault="00D15013" w:rsidP="00D74E0B">
      <w:pPr>
        <w:pStyle w:val="Akapitzlist"/>
        <w:numPr>
          <w:ilvl w:val="0"/>
          <w:numId w:val="342"/>
        </w:numPr>
        <w:spacing w:line="300" w:lineRule="atLeast"/>
        <w:ind w:left="641" w:hanging="357"/>
        <w:jc w:val="both"/>
        <w:rPr>
          <w:sz w:val="24"/>
          <w:szCs w:val="24"/>
        </w:rPr>
      </w:pPr>
      <w:r w:rsidRPr="00D15013">
        <w:rPr>
          <w:sz w:val="24"/>
          <w:szCs w:val="24"/>
        </w:rPr>
        <w:t>pomiary hałasu przemysłowego, impulsowego, komunikacyjnego i lotniczego,</w:t>
      </w:r>
    </w:p>
    <w:p w14:paraId="1587E19B" w14:textId="77777777" w:rsidR="00D15013" w:rsidRPr="00D15013" w:rsidRDefault="00D15013" w:rsidP="00D74E0B">
      <w:pPr>
        <w:pStyle w:val="Akapitzlist"/>
        <w:numPr>
          <w:ilvl w:val="0"/>
          <w:numId w:val="342"/>
        </w:numPr>
        <w:spacing w:after="120" w:line="300" w:lineRule="atLeast"/>
        <w:ind w:left="641" w:hanging="357"/>
        <w:contextualSpacing w:val="0"/>
        <w:jc w:val="both"/>
        <w:rPr>
          <w:sz w:val="24"/>
          <w:szCs w:val="24"/>
        </w:rPr>
      </w:pPr>
      <w:r w:rsidRPr="00D15013">
        <w:rPr>
          <w:sz w:val="24"/>
          <w:szCs w:val="24"/>
        </w:rPr>
        <w:t>pomiary pola elektromagnetycznego.</w:t>
      </w:r>
    </w:p>
    <w:p w14:paraId="65498625" w14:textId="2D698D9E" w:rsidR="00D15013" w:rsidRPr="00D15013" w:rsidRDefault="00D15013" w:rsidP="00D74E0B">
      <w:pPr>
        <w:spacing w:after="120" w:line="300" w:lineRule="atLeast"/>
        <w:ind w:firstLine="567"/>
        <w:jc w:val="both"/>
        <w:rPr>
          <w:rFonts w:ascii="Times New Roman" w:hAnsi="Times New Roman" w:cs="Times New Roman"/>
          <w:sz w:val="24"/>
          <w:szCs w:val="24"/>
        </w:rPr>
      </w:pPr>
      <w:r w:rsidRPr="00D15013">
        <w:rPr>
          <w:rFonts w:ascii="Times New Roman" w:hAnsi="Times New Roman" w:cs="Times New Roman"/>
          <w:sz w:val="24"/>
          <w:szCs w:val="24"/>
        </w:rPr>
        <w:t>W ramach realizacji Programu Państwowego Monitoringu Środowiska w zakresie badania wód CLB wykonuje pobieranie próbek i analizy w wodach powierzchniowych oraz w wodach podziemnych. W ramach PMŚ w zakresie wód CLB oznacza łącznie ponad 120 różnych parametrów, nie licząc dodatkowych izomerów wpływających na sumę niektórych wskaźników. W 2022 r. przełożyło się to na konieczność wykonania 684 397 oznaczeń w 37 928 próbkach wszystkich rodzajów wód.</w:t>
      </w:r>
    </w:p>
    <w:p w14:paraId="50AC2915" w14:textId="77777777" w:rsidR="00D15013" w:rsidRPr="00D15013" w:rsidRDefault="00D15013" w:rsidP="00D74E0B">
      <w:pPr>
        <w:spacing w:line="300" w:lineRule="atLeast"/>
        <w:contextualSpacing/>
        <w:jc w:val="both"/>
        <w:rPr>
          <w:rFonts w:ascii="Times New Roman" w:hAnsi="Times New Roman" w:cs="Times New Roman"/>
          <w:sz w:val="24"/>
          <w:szCs w:val="24"/>
        </w:rPr>
      </w:pPr>
      <w:r w:rsidRPr="00D15013">
        <w:rPr>
          <w:rFonts w:ascii="Times New Roman" w:hAnsi="Times New Roman" w:cs="Times New Roman"/>
          <w:sz w:val="24"/>
          <w:szCs w:val="24"/>
        </w:rPr>
        <w:t>Do badań wykonywanych przez CLB w zakresie monitoringu wód powierzchniowych należą:</w:t>
      </w:r>
    </w:p>
    <w:p w14:paraId="77B0FD31" w14:textId="77777777" w:rsidR="00D15013" w:rsidRPr="00D15013" w:rsidRDefault="00D15013" w:rsidP="00D74E0B">
      <w:pPr>
        <w:numPr>
          <w:ilvl w:val="0"/>
          <w:numId w:val="37"/>
        </w:numPr>
        <w:spacing w:after="0" w:line="300" w:lineRule="atLeast"/>
        <w:ind w:left="284" w:hanging="284"/>
        <w:jc w:val="both"/>
        <w:rPr>
          <w:rFonts w:ascii="Times New Roman" w:eastAsia="Calibri" w:hAnsi="Times New Roman" w:cs="Times New Roman"/>
          <w:sz w:val="24"/>
          <w:szCs w:val="24"/>
          <w:lang w:val="x-none"/>
        </w:rPr>
      </w:pPr>
      <w:r w:rsidRPr="00D15013">
        <w:rPr>
          <w:rFonts w:ascii="Times New Roman" w:eastAsia="Calibri" w:hAnsi="Times New Roman" w:cs="Times New Roman"/>
          <w:sz w:val="24"/>
          <w:szCs w:val="24"/>
          <w:lang w:val="x-none"/>
        </w:rPr>
        <w:t xml:space="preserve">elementy biologiczne: </w:t>
      </w:r>
      <w:proofErr w:type="spellStart"/>
      <w:r w:rsidRPr="00D15013">
        <w:rPr>
          <w:rFonts w:ascii="Times New Roman" w:eastAsia="Calibri" w:hAnsi="Times New Roman" w:cs="Times New Roman"/>
          <w:sz w:val="24"/>
          <w:szCs w:val="24"/>
          <w:lang w:val="x-none"/>
        </w:rPr>
        <w:t>makrofity</w:t>
      </w:r>
      <w:proofErr w:type="spellEnd"/>
      <w:r w:rsidRPr="00D15013">
        <w:rPr>
          <w:rFonts w:ascii="Times New Roman" w:eastAsia="Calibri" w:hAnsi="Times New Roman" w:cs="Times New Roman"/>
          <w:sz w:val="24"/>
          <w:szCs w:val="24"/>
          <w:lang w:val="x-none"/>
        </w:rPr>
        <w:t xml:space="preserve">, fitoplankton, fitobentos oraz </w:t>
      </w:r>
      <w:proofErr w:type="spellStart"/>
      <w:r w:rsidRPr="00D15013">
        <w:rPr>
          <w:rFonts w:ascii="Times New Roman" w:eastAsia="Calibri" w:hAnsi="Times New Roman" w:cs="Times New Roman"/>
          <w:sz w:val="24"/>
          <w:szCs w:val="24"/>
          <w:lang w:val="x-none"/>
        </w:rPr>
        <w:t>makrobezkręgowce</w:t>
      </w:r>
      <w:proofErr w:type="spellEnd"/>
      <w:r w:rsidRPr="00D15013">
        <w:rPr>
          <w:rFonts w:ascii="Times New Roman" w:eastAsia="Calibri" w:hAnsi="Times New Roman" w:cs="Times New Roman"/>
          <w:sz w:val="24"/>
          <w:szCs w:val="24"/>
          <w:lang w:val="x-none"/>
        </w:rPr>
        <w:t xml:space="preserve"> bentosowe oraz chlorofil „a”,</w:t>
      </w:r>
      <w:r w:rsidRPr="00D15013">
        <w:rPr>
          <w:rFonts w:ascii="Times New Roman" w:eastAsia="Calibri" w:hAnsi="Times New Roman" w:cs="Times New Roman"/>
          <w:sz w:val="24"/>
          <w:szCs w:val="24"/>
        </w:rPr>
        <w:t xml:space="preserve"> </w:t>
      </w:r>
    </w:p>
    <w:p w14:paraId="5BEE3696" w14:textId="77777777" w:rsidR="00D15013" w:rsidRPr="00D15013" w:rsidRDefault="00D15013" w:rsidP="00D74E0B">
      <w:pPr>
        <w:numPr>
          <w:ilvl w:val="0"/>
          <w:numId w:val="37"/>
        </w:numPr>
        <w:spacing w:after="0" w:line="300" w:lineRule="atLeast"/>
        <w:ind w:left="284" w:hanging="284"/>
        <w:jc w:val="both"/>
        <w:rPr>
          <w:rFonts w:ascii="Times New Roman" w:eastAsia="Calibri" w:hAnsi="Times New Roman" w:cs="Times New Roman"/>
          <w:sz w:val="24"/>
          <w:szCs w:val="24"/>
          <w:lang w:val="x-none"/>
        </w:rPr>
      </w:pPr>
      <w:r w:rsidRPr="00D15013">
        <w:rPr>
          <w:rFonts w:ascii="Times New Roman" w:eastAsia="Calibri" w:hAnsi="Times New Roman" w:cs="Times New Roman"/>
          <w:sz w:val="24"/>
          <w:szCs w:val="24"/>
          <w:lang w:val="x-none"/>
        </w:rPr>
        <w:t>elementy fizykochemiczne, w tym:</w:t>
      </w:r>
    </w:p>
    <w:p w14:paraId="5CB10703" w14:textId="77777777" w:rsidR="00D15013" w:rsidRPr="00D15013" w:rsidRDefault="00D15013" w:rsidP="00D74E0B">
      <w:pPr>
        <w:pStyle w:val="Akapitzlist"/>
        <w:numPr>
          <w:ilvl w:val="0"/>
          <w:numId w:val="209"/>
        </w:numPr>
        <w:spacing w:line="300" w:lineRule="atLeast"/>
        <w:ind w:left="142" w:firstLine="142"/>
        <w:jc w:val="both"/>
        <w:rPr>
          <w:sz w:val="24"/>
          <w:szCs w:val="24"/>
        </w:rPr>
      </w:pPr>
      <w:r w:rsidRPr="00D15013">
        <w:rPr>
          <w:sz w:val="24"/>
          <w:szCs w:val="24"/>
        </w:rPr>
        <w:t>grupa wskaźników charakteryzujących stan fizyczny, w tym warunki termiczne;</w:t>
      </w:r>
    </w:p>
    <w:p w14:paraId="0E66D4DC" w14:textId="77777777" w:rsidR="00D15013" w:rsidRPr="00D15013" w:rsidRDefault="00D15013" w:rsidP="00D74E0B">
      <w:pPr>
        <w:pStyle w:val="Akapitzlist"/>
        <w:numPr>
          <w:ilvl w:val="0"/>
          <w:numId w:val="209"/>
        </w:numPr>
        <w:spacing w:line="300" w:lineRule="atLeast"/>
        <w:ind w:left="709" w:hanging="425"/>
        <w:jc w:val="both"/>
        <w:rPr>
          <w:sz w:val="24"/>
          <w:szCs w:val="24"/>
        </w:rPr>
      </w:pPr>
      <w:r w:rsidRPr="00D15013">
        <w:rPr>
          <w:sz w:val="24"/>
          <w:szCs w:val="24"/>
        </w:rPr>
        <w:t xml:space="preserve">grupa wskaźników charakteryzujących warunki tlenowe i zanieczyszczenia organiczne; </w:t>
      </w:r>
    </w:p>
    <w:p w14:paraId="1A00BC70" w14:textId="77777777" w:rsidR="00D15013" w:rsidRPr="00D15013" w:rsidRDefault="00D15013" w:rsidP="00D74E0B">
      <w:pPr>
        <w:pStyle w:val="Akapitzlist"/>
        <w:numPr>
          <w:ilvl w:val="0"/>
          <w:numId w:val="209"/>
        </w:numPr>
        <w:spacing w:line="300" w:lineRule="atLeast"/>
        <w:ind w:left="142" w:firstLine="142"/>
        <w:jc w:val="both"/>
        <w:rPr>
          <w:sz w:val="24"/>
          <w:szCs w:val="24"/>
        </w:rPr>
      </w:pPr>
      <w:r w:rsidRPr="00D15013">
        <w:rPr>
          <w:sz w:val="24"/>
          <w:szCs w:val="24"/>
        </w:rPr>
        <w:t>grupa wskaźników charakteryzujących zasolenie;</w:t>
      </w:r>
    </w:p>
    <w:p w14:paraId="2949D73A" w14:textId="77777777" w:rsidR="00D15013" w:rsidRPr="00D15013" w:rsidRDefault="00D15013" w:rsidP="00D74E0B">
      <w:pPr>
        <w:pStyle w:val="Akapitzlist"/>
        <w:numPr>
          <w:ilvl w:val="0"/>
          <w:numId w:val="209"/>
        </w:numPr>
        <w:spacing w:line="300" w:lineRule="atLeast"/>
        <w:ind w:left="142" w:firstLine="142"/>
        <w:jc w:val="both"/>
        <w:rPr>
          <w:sz w:val="24"/>
          <w:szCs w:val="24"/>
        </w:rPr>
      </w:pPr>
      <w:r w:rsidRPr="00D15013">
        <w:rPr>
          <w:sz w:val="24"/>
          <w:szCs w:val="24"/>
        </w:rPr>
        <w:t>grupa wskaźników charakteryzujących zakwaszenie (stan zakwaszenia);</w:t>
      </w:r>
    </w:p>
    <w:p w14:paraId="10D28AF0" w14:textId="77777777" w:rsidR="00D15013" w:rsidRPr="00D15013" w:rsidRDefault="00D15013" w:rsidP="00D74E0B">
      <w:pPr>
        <w:pStyle w:val="Akapitzlist"/>
        <w:numPr>
          <w:ilvl w:val="0"/>
          <w:numId w:val="209"/>
        </w:numPr>
        <w:spacing w:line="300" w:lineRule="atLeast"/>
        <w:ind w:left="142" w:firstLine="142"/>
        <w:jc w:val="both"/>
        <w:rPr>
          <w:sz w:val="24"/>
          <w:szCs w:val="24"/>
        </w:rPr>
      </w:pPr>
      <w:r w:rsidRPr="00D15013">
        <w:rPr>
          <w:sz w:val="24"/>
          <w:szCs w:val="24"/>
        </w:rPr>
        <w:t>grupa wskaźników charakteryzujących warunki biogenne (substancje biogenne);</w:t>
      </w:r>
    </w:p>
    <w:p w14:paraId="7828DBDF" w14:textId="77777777" w:rsidR="00D15013" w:rsidRPr="00D15013" w:rsidRDefault="00D15013" w:rsidP="00D74E0B">
      <w:pPr>
        <w:pStyle w:val="Akapitzlist"/>
        <w:numPr>
          <w:ilvl w:val="0"/>
          <w:numId w:val="209"/>
        </w:numPr>
        <w:spacing w:line="300" w:lineRule="atLeast"/>
        <w:ind w:left="142" w:firstLine="142"/>
        <w:jc w:val="both"/>
        <w:rPr>
          <w:sz w:val="24"/>
          <w:szCs w:val="24"/>
        </w:rPr>
      </w:pPr>
      <w:r w:rsidRPr="00D15013">
        <w:rPr>
          <w:sz w:val="24"/>
          <w:szCs w:val="24"/>
        </w:rPr>
        <w:t>specyficzne zanieczyszczenia syntetyczne i niesyntetyczne;</w:t>
      </w:r>
    </w:p>
    <w:p w14:paraId="5287ED2D" w14:textId="77777777" w:rsidR="00D15013" w:rsidRPr="00D15013" w:rsidRDefault="00D15013" w:rsidP="00D74E0B">
      <w:pPr>
        <w:numPr>
          <w:ilvl w:val="0"/>
          <w:numId w:val="37"/>
        </w:numPr>
        <w:spacing w:after="0" w:line="300" w:lineRule="atLeast"/>
        <w:ind w:left="284" w:hanging="284"/>
        <w:jc w:val="both"/>
        <w:rPr>
          <w:rFonts w:ascii="Times New Roman" w:hAnsi="Times New Roman" w:cs="Times New Roman"/>
          <w:sz w:val="24"/>
          <w:szCs w:val="24"/>
        </w:rPr>
      </w:pPr>
      <w:r w:rsidRPr="00D15013">
        <w:rPr>
          <w:rFonts w:ascii="Times New Roman" w:hAnsi="Times New Roman" w:cs="Times New Roman"/>
          <w:sz w:val="24"/>
          <w:szCs w:val="24"/>
        </w:rPr>
        <w:t xml:space="preserve">grupa wskaźników chemicznych charakteryzujących występowanie substancji szczególnie szkodliwych dla środowiska wodnego: </w:t>
      </w:r>
    </w:p>
    <w:p w14:paraId="43A2B83B" w14:textId="77777777" w:rsidR="00D15013" w:rsidRPr="00D15013" w:rsidRDefault="00D15013" w:rsidP="00D74E0B">
      <w:pPr>
        <w:pStyle w:val="Akapitzlist"/>
        <w:numPr>
          <w:ilvl w:val="0"/>
          <w:numId w:val="210"/>
        </w:numPr>
        <w:spacing w:line="300" w:lineRule="atLeast"/>
        <w:ind w:left="709" w:hanging="425"/>
        <w:jc w:val="both"/>
        <w:rPr>
          <w:sz w:val="24"/>
          <w:szCs w:val="24"/>
        </w:rPr>
      </w:pPr>
      <w:r w:rsidRPr="00D15013">
        <w:rPr>
          <w:sz w:val="24"/>
          <w:szCs w:val="24"/>
        </w:rPr>
        <w:t>substancje priorytetowe w dziedzinie polityki wodnej;</w:t>
      </w:r>
    </w:p>
    <w:p w14:paraId="548283F4" w14:textId="77777777" w:rsidR="00D15013" w:rsidRPr="00D15013" w:rsidRDefault="00D15013" w:rsidP="00D74E0B">
      <w:pPr>
        <w:pStyle w:val="Akapitzlist"/>
        <w:numPr>
          <w:ilvl w:val="0"/>
          <w:numId w:val="210"/>
        </w:numPr>
        <w:spacing w:line="300" w:lineRule="atLeast"/>
        <w:ind w:left="709" w:hanging="425"/>
        <w:jc w:val="both"/>
        <w:rPr>
          <w:sz w:val="24"/>
          <w:szCs w:val="24"/>
        </w:rPr>
      </w:pPr>
      <w:r w:rsidRPr="00D15013">
        <w:rPr>
          <w:sz w:val="24"/>
          <w:szCs w:val="24"/>
        </w:rPr>
        <w:lastRenderedPageBreak/>
        <w:t>wskaźniki innych substancji zanieczyszczających;</w:t>
      </w:r>
    </w:p>
    <w:p w14:paraId="2E0CFD49" w14:textId="77777777" w:rsidR="00D15013" w:rsidRPr="00D15013" w:rsidRDefault="00D15013" w:rsidP="00D74E0B">
      <w:pPr>
        <w:numPr>
          <w:ilvl w:val="0"/>
          <w:numId w:val="37"/>
        </w:numPr>
        <w:spacing w:after="0" w:line="300" w:lineRule="atLeast"/>
        <w:ind w:left="284" w:hanging="284"/>
        <w:jc w:val="both"/>
        <w:rPr>
          <w:rFonts w:ascii="Times New Roman" w:hAnsi="Times New Roman" w:cs="Times New Roman"/>
          <w:sz w:val="24"/>
          <w:szCs w:val="24"/>
        </w:rPr>
      </w:pPr>
      <w:r w:rsidRPr="00D15013">
        <w:rPr>
          <w:rFonts w:ascii="Times New Roman" w:hAnsi="Times New Roman" w:cs="Times New Roman"/>
          <w:sz w:val="24"/>
          <w:szCs w:val="24"/>
        </w:rPr>
        <w:t>grupa wskaźników charakteryzujących występowanie innych substancji chemicznych: żelazo ogólne, mangan;</w:t>
      </w:r>
    </w:p>
    <w:p w14:paraId="435DA499" w14:textId="77777777" w:rsidR="00D15013" w:rsidRPr="00D15013" w:rsidRDefault="00D15013" w:rsidP="00D74E0B">
      <w:pPr>
        <w:numPr>
          <w:ilvl w:val="0"/>
          <w:numId w:val="37"/>
        </w:numPr>
        <w:spacing w:after="0" w:line="300" w:lineRule="atLeast"/>
        <w:ind w:left="284" w:hanging="284"/>
        <w:jc w:val="both"/>
        <w:rPr>
          <w:rFonts w:ascii="Times New Roman" w:hAnsi="Times New Roman" w:cs="Times New Roman"/>
          <w:sz w:val="24"/>
          <w:szCs w:val="24"/>
        </w:rPr>
      </w:pPr>
      <w:r w:rsidRPr="00D15013">
        <w:rPr>
          <w:rFonts w:ascii="Times New Roman" w:hAnsi="Times New Roman" w:cs="Times New Roman"/>
          <w:sz w:val="24"/>
          <w:szCs w:val="24"/>
        </w:rPr>
        <w:t>wskaźniki mikrobiologiczne.</w:t>
      </w:r>
    </w:p>
    <w:p w14:paraId="7A805B91" w14:textId="77777777" w:rsidR="00D15013" w:rsidRPr="00D15013" w:rsidRDefault="00D15013" w:rsidP="00D74E0B">
      <w:pPr>
        <w:spacing w:line="300" w:lineRule="atLeast"/>
        <w:ind w:firstLine="708"/>
        <w:contextualSpacing/>
        <w:jc w:val="both"/>
        <w:rPr>
          <w:rFonts w:ascii="Times New Roman" w:hAnsi="Times New Roman" w:cs="Times New Roman"/>
          <w:sz w:val="24"/>
          <w:szCs w:val="24"/>
        </w:rPr>
      </w:pPr>
    </w:p>
    <w:p w14:paraId="2945CFA6" w14:textId="77777777" w:rsidR="00D15013" w:rsidRPr="00D15013" w:rsidRDefault="00D15013" w:rsidP="00D74E0B">
      <w:pPr>
        <w:spacing w:line="300" w:lineRule="atLeast"/>
        <w:ind w:firstLine="567"/>
        <w:contextualSpacing/>
        <w:jc w:val="both"/>
        <w:rPr>
          <w:rFonts w:ascii="Times New Roman" w:hAnsi="Times New Roman" w:cs="Times New Roman"/>
          <w:sz w:val="24"/>
          <w:szCs w:val="24"/>
        </w:rPr>
      </w:pPr>
      <w:r w:rsidRPr="00D15013">
        <w:rPr>
          <w:rFonts w:ascii="Times New Roman" w:hAnsi="Times New Roman" w:cs="Times New Roman"/>
          <w:sz w:val="24"/>
          <w:szCs w:val="24"/>
        </w:rPr>
        <w:t>Badania monitoringowe wód podziemnych realizowane są w wytypowanych województwach i wg lokalnych potrzeb. W 2022 r. badania wykonywane były w woj. śląskim, małopolskim, lubelskim, łódzkim, wielkopolskim, zachodniopomorskim, lubuskim, dolnośląskim.</w:t>
      </w:r>
    </w:p>
    <w:p w14:paraId="763BE473" w14:textId="77777777" w:rsidR="00D15013" w:rsidRPr="00D15013" w:rsidRDefault="00D15013" w:rsidP="00D74E0B">
      <w:pPr>
        <w:spacing w:after="0" w:line="300" w:lineRule="atLeast"/>
        <w:ind w:firstLine="567"/>
        <w:jc w:val="both"/>
        <w:rPr>
          <w:rFonts w:ascii="Times New Roman" w:hAnsi="Times New Roman" w:cs="Times New Roman"/>
          <w:sz w:val="24"/>
          <w:szCs w:val="24"/>
        </w:rPr>
      </w:pPr>
      <w:r w:rsidRPr="00D15013">
        <w:rPr>
          <w:rFonts w:ascii="Times New Roman" w:hAnsi="Times New Roman" w:cs="Times New Roman"/>
          <w:sz w:val="24"/>
          <w:szCs w:val="24"/>
        </w:rPr>
        <w:t xml:space="preserve">Laboratorium stosuje w swojej działalności szereg klasycznych i nowoczesnych technik, wykorzystując do badań najnowocześniejszy sprzęt zapewniający największą z możliwych dokładność, tj. GC-MS/MS, GC-MS, ICP-MS, LC-MS UHPLC. Metody badawcze są zgodne z metodami określonymi w rozporządzeniach, normami polskimi lub z metodami zalecanymi przez GIOŚ. Niezależnie od wyboru sposobu analizy, obowiązuje zasada, że badania są wykonywane metodami wiarygodnymi i zweryfikowanymi lub </w:t>
      </w:r>
      <w:proofErr w:type="spellStart"/>
      <w:r w:rsidRPr="00D15013">
        <w:rPr>
          <w:rFonts w:ascii="Times New Roman" w:hAnsi="Times New Roman" w:cs="Times New Roman"/>
          <w:sz w:val="24"/>
          <w:szCs w:val="24"/>
        </w:rPr>
        <w:t>zwalidowanymi</w:t>
      </w:r>
      <w:proofErr w:type="spellEnd"/>
      <w:r w:rsidRPr="00D15013">
        <w:rPr>
          <w:rFonts w:ascii="Times New Roman" w:hAnsi="Times New Roman" w:cs="Times New Roman"/>
          <w:sz w:val="24"/>
          <w:szCs w:val="24"/>
        </w:rPr>
        <w:t xml:space="preserve">, a na jakość pracy w CLB wpływa doświadczony i odpowiednio przeszkolony personel. </w:t>
      </w:r>
    </w:p>
    <w:p w14:paraId="72B8051D" w14:textId="41ED7271" w:rsidR="00D15013" w:rsidRPr="00D15013" w:rsidRDefault="00D15013" w:rsidP="00D74E0B">
      <w:pPr>
        <w:spacing w:line="300" w:lineRule="atLeast"/>
        <w:ind w:firstLine="567"/>
        <w:contextualSpacing/>
        <w:jc w:val="both"/>
        <w:rPr>
          <w:rFonts w:ascii="Times New Roman" w:hAnsi="Times New Roman" w:cs="Times New Roman"/>
          <w:sz w:val="24"/>
          <w:szCs w:val="24"/>
        </w:rPr>
      </w:pPr>
      <w:r w:rsidRPr="00D15013">
        <w:rPr>
          <w:rFonts w:ascii="Times New Roman" w:hAnsi="Times New Roman" w:cs="Times New Roman"/>
          <w:sz w:val="24"/>
          <w:szCs w:val="24"/>
        </w:rPr>
        <w:t xml:space="preserve">Największą infrastrukturę pomiarową zlokalizowaną poza laboratoriami stanowią stacje pomiarowe powietrza atmosferycznego. W 2022 roku, dla potrzeb monitorowania stanu jakości powietrza w ramach realizacji PMŚ, CLB prowadziło pomiary i badania na automatycznych </w:t>
      </w:r>
      <w:r w:rsidR="00465E16">
        <w:rPr>
          <w:rFonts w:ascii="Times New Roman" w:hAnsi="Times New Roman" w:cs="Times New Roman"/>
          <w:sz w:val="24"/>
          <w:szCs w:val="24"/>
        </w:rPr>
        <w:br/>
      </w:r>
      <w:r w:rsidRPr="00D15013">
        <w:rPr>
          <w:rFonts w:ascii="Times New Roman" w:hAnsi="Times New Roman" w:cs="Times New Roman"/>
          <w:sz w:val="24"/>
          <w:szCs w:val="24"/>
        </w:rPr>
        <w:t xml:space="preserve">i manualnych stacjach monitoringu zanieczyszczeń powietrza. Badania prowadzono na stałych stacjach kontenerowych, stacjach mobilnych oraz w punktach, w których pracowały wolnostojące </w:t>
      </w:r>
      <w:proofErr w:type="spellStart"/>
      <w:r w:rsidRPr="00D15013">
        <w:rPr>
          <w:rFonts w:ascii="Times New Roman" w:hAnsi="Times New Roman" w:cs="Times New Roman"/>
          <w:sz w:val="24"/>
          <w:szCs w:val="24"/>
        </w:rPr>
        <w:t>poborniki</w:t>
      </w:r>
      <w:proofErr w:type="spellEnd"/>
      <w:r w:rsidRPr="00D15013">
        <w:rPr>
          <w:rFonts w:ascii="Times New Roman" w:hAnsi="Times New Roman" w:cs="Times New Roman"/>
          <w:sz w:val="24"/>
          <w:szCs w:val="24"/>
        </w:rPr>
        <w:t xml:space="preserve"> pyłu zawieszonego PM10 i PM2,5 (razem 287 punktów pomiarowych zlokalizowanych poza siedzibami CLB na terenie kraju). Łącznie na stacjach monitoringu powietrza pracowało 1</w:t>
      </w:r>
      <w:r w:rsidR="00A540AD">
        <w:rPr>
          <w:rFonts w:ascii="Times New Roman" w:hAnsi="Times New Roman" w:cs="Times New Roman"/>
          <w:sz w:val="24"/>
          <w:szCs w:val="24"/>
        </w:rPr>
        <w:t xml:space="preserve"> </w:t>
      </w:r>
      <w:r w:rsidRPr="00D15013">
        <w:rPr>
          <w:rFonts w:ascii="Times New Roman" w:hAnsi="Times New Roman" w:cs="Times New Roman"/>
          <w:sz w:val="24"/>
          <w:szCs w:val="24"/>
        </w:rPr>
        <w:t xml:space="preserve">466 urządzeń pomiarowych i pomocniczych, co umożliwiło realizację badań i raportowanie z tego obszaru badań różnych wskaźników (razem w skali roku wykonano 650 485 oznaczeń). Dane z analizatorów automatycznych były przesyłane do laboratorium, </w:t>
      </w:r>
      <w:r w:rsidR="00465E16">
        <w:rPr>
          <w:rFonts w:ascii="Times New Roman" w:hAnsi="Times New Roman" w:cs="Times New Roman"/>
          <w:sz w:val="24"/>
          <w:szCs w:val="24"/>
        </w:rPr>
        <w:br/>
      </w:r>
      <w:r w:rsidRPr="00D15013">
        <w:rPr>
          <w:rFonts w:ascii="Times New Roman" w:hAnsi="Times New Roman" w:cs="Times New Roman"/>
          <w:sz w:val="24"/>
          <w:szCs w:val="24"/>
        </w:rPr>
        <w:t>a następnie weryfikowane i prezentowane na stronach internetowych na bieżąco, informując społeczeństwo o jakości powietrza. W laboratorium wykonywano również analizy na obecność w pyle zawieszonym PM10 metali ciężkich i wielopierścieniowych węglowodorów aromatycznych (WWA). W tym celu niezbędny był nadzór personelu technicznego CLB nad ciągłą pracą urządzeń na stacjach monitoringu, jak i w laboratorium.</w:t>
      </w:r>
    </w:p>
    <w:p w14:paraId="18A914C3" w14:textId="3D24C2F9" w:rsidR="00D15013" w:rsidRPr="00D15013" w:rsidRDefault="00D1259D" w:rsidP="00D74E0B">
      <w:pPr>
        <w:spacing w:line="300" w:lineRule="atLeast"/>
        <w:ind w:firstLine="567"/>
        <w:contextualSpacing/>
        <w:jc w:val="both"/>
        <w:rPr>
          <w:rFonts w:ascii="Times New Roman" w:hAnsi="Times New Roman" w:cs="Times New Roman"/>
          <w:sz w:val="24"/>
          <w:szCs w:val="24"/>
        </w:rPr>
      </w:pPr>
      <w:r w:rsidRPr="00D15013">
        <w:rPr>
          <w:rFonts w:ascii="Times New Roman" w:hAnsi="Times New Roman" w:cs="Times New Roman"/>
          <w:sz w:val="24"/>
          <w:szCs w:val="24"/>
        </w:rPr>
        <w:t>Oddziały CLB wykonują również pomiary monitoringowe natężenia pól elektromagnetycznych</w:t>
      </w:r>
      <w:r>
        <w:rPr>
          <w:rFonts w:ascii="Times New Roman" w:hAnsi="Times New Roman" w:cs="Times New Roman"/>
          <w:sz w:val="24"/>
          <w:szCs w:val="24"/>
        </w:rPr>
        <w:t xml:space="preserve"> i</w:t>
      </w:r>
      <w:r w:rsidRPr="00D15013">
        <w:rPr>
          <w:rFonts w:ascii="Times New Roman" w:hAnsi="Times New Roman" w:cs="Times New Roman"/>
          <w:sz w:val="24"/>
          <w:szCs w:val="24"/>
        </w:rPr>
        <w:t xml:space="preserve"> hałasu komunikacyjnego oraz </w:t>
      </w:r>
      <w:r>
        <w:rPr>
          <w:rFonts w:ascii="Times New Roman" w:hAnsi="Times New Roman" w:cs="Times New Roman"/>
          <w:sz w:val="24"/>
          <w:szCs w:val="24"/>
        </w:rPr>
        <w:t>kontrolne pomiary hałasu przemysłowego</w:t>
      </w:r>
      <w:r w:rsidRPr="00D15013">
        <w:rPr>
          <w:rFonts w:ascii="Times New Roman" w:hAnsi="Times New Roman" w:cs="Times New Roman"/>
          <w:sz w:val="24"/>
          <w:szCs w:val="24"/>
        </w:rPr>
        <w:t>. W ramach monitoringu pól elektromagnetycznych w 2022 r. w skali kraju realizowano pomiary na 1</w:t>
      </w:r>
      <w:r>
        <w:rPr>
          <w:rFonts w:ascii="Times New Roman" w:hAnsi="Times New Roman" w:cs="Times New Roman"/>
          <w:sz w:val="24"/>
          <w:szCs w:val="24"/>
        </w:rPr>
        <w:t xml:space="preserve"> </w:t>
      </w:r>
      <w:r w:rsidRPr="00D15013">
        <w:rPr>
          <w:rFonts w:ascii="Times New Roman" w:hAnsi="Times New Roman" w:cs="Times New Roman"/>
          <w:sz w:val="24"/>
          <w:szCs w:val="24"/>
        </w:rPr>
        <w:t xml:space="preserve">168 stanowiskach pomiarowych, a w ramach monitoringu hałasu na </w:t>
      </w:r>
      <w:r>
        <w:rPr>
          <w:rFonts w:ascii="Times New Roman" w:hAnsi="Times New Roman" w:cs="Times New Roman"/>
          <w:sz w:val="24"/>
          <w:szCs w:val="24"/>
        </w:rPr>
        <w:t xml:space="preserve">275 </w:t>
      </w:r>
      <w:r w:rsidRPr="00D15013">
        <w:rPr>
          <w:rFonts w:ascii="Times New Roman" w:hAnsi="Times New Roman" w:cs="Times New Roman"/>
          <w:sz w:val="24"/>
          <w:szCs w:val="24"/>
        </w:rPr>
        <w:t xml:space="preserve"> stanowiskach. Sumarycznie w ramach obu monitoringów zrealizowano w skali roku 91</w:t>
      </w:r>
      <w:r>
        <w:rPr>
          <w:rFonts w:ascii="Times New Roman" w:hAnsi="Times New Roman" w:cs="Times New Roman"/>
          <w:sz w:val="24"/>
          <w:szCs w:val="24"/>
        </w:rPr>
        <w:t xml:space="preserve"> </w:t>
      </w:r>
      <w:r w:rsidRPr="00D15013">
        <w:rPr>
          <w:rFonts w:ascii="Times New Roman" w:hAnsi="Times New Roman" w:cs="Times New Roman"/>
          <w:sz w:val="24"/>
          <w:szCs w:val="24"/>
        </w:rPr>
        <w:t>843 pomiary (w tym 87</w:t>
      </w:r>
      <w:r>
        <w:rPr>
          <w:rFonts w:ascii="Times New Roman" w:hAnsi="Times New Roman" w:cs="Times New Roman"/>
          <w:sz w:val="24"/>
          <w:szCs w:val="24"/>
        </w:rPr>
        <w:t xml:space="preserve"> </w:t>
      </w:r>
      <w:r w:rsidRPr="00D15013">
        <w:rPr>
          <w:rFonts w:ascii="Times New Roman" w:hAnsi="Times New Roman" w:cs="Times New Roman"/>
          <w:sz w:val="24"/>
          <w:szCs w:val="24"/>
        </w:rPr>
        <w:t>320 pomiarów hałasu i 4</w:t>
      </w:r>
      <w:r>
        <w:rPr>
          <w:rFonts w:ascii="Times New Roman" w:hAnsi="Times New Roman" w:cs="Times New Roman"/>
          <w:sz w:val="24"/>
          <w:szCs w:val="24"/>
        </w:rPr>
        <w:t xml:space="preserve"> </w:t>
      </w:r>
      <w:r w:rsidRPr="00D15013">
        <w:rPr>
          <w:rFonts w:ascii="Times New Roman" w:hAnsi="Times New Roman" w:cs="Times New Roman"/>
          <w:sz w:val="24"/>
          <w:szCs w:val="24"/>
        </w:rPr>
        <w:t>523 PEM)</w:t>
      </w:r>
      <w:r w:rsidR="00D15013" w:rsidRPr="00D15013">
        <w:rPr>
          <w:rFonts w:ascii="Times New Roman" w:hAnsi="Times New Roman" w:cs="Times New Roman"/>
          <w:sz w:val="24"/>
          <w:szCs w:val="24"/>
        </w:rPr>
        <w:t>.</w:t>
      </w:r>
    </w:p>
    <w:p w14:paraId="298E2D9F" w14:textId="69B4C0F3" w:rsidR="00D15013" w:rsidRPr="00D15013" w:rsidRDefault="00D15013" w:rsidP="00D74E0B">
      <w:pPr>
        <w:spacing w:line="300" w:lineRule="atLeast"/>
        <w:ind w:firstLine="567"/>
        <w:contextualSpacing/>
        <w:jc w:val="both"/>
        <w:rPr>
          <w:rFonts w:ascii="Times New Roman" w:hAnsi="Times New Roman" w:cs="Times New Roman"/>
          <w:sz w:val="24"/>
          <w:szCs w:val="24"/>
        </w:rPr>
      </w:pPr>
      <w:r w:rsidRPr="00D15013">
        <w:rPr>
          <w:rFonts w:ascii="Times New Roman" w:hAnsi="Times New Roman" w:cs="Times New Roman"/>
          <w:sz w:val="24"/>
          <w:szCs w:val="24"/>
        </w:rPr>
        <w:t xml:space="preserve">Współpraca CLB z Inspekcją GIOŚ oraz WIOŚ w roku 2022 zdominowana była w głównej mierze sytuacją kryzysową związaną z zanieczyszczeniem rzeki Odry oraz kanałów Gliwickiego i Kędzierzyńskiego. Od sierpnia 2022 roku, laboratorium na bieżąco wykonywało badania oraz pomiary kontrolne rzeki Odry na całej jej długości, począwszy od punktu pomiarowo-kontrolnego Chałupki w woj. śląskim, aż do Zalewu Szczecińskiego w woj. zachodniopomorskim. Ze względu na stan zagrożenia, pracownicy laboratorium pobierali próbki i wykonywali analizy przez siedem dni w tygodniu. W kulminacyjnym momencie kryzysu odrzańskiego w wyznaczonych punktach pomiarowo – kontrolnych pobierano codziennie około 40 próbek. Dodatkowo, na zlecenia inspekcji WIOŚ laboratorium </w:t>
      </w:r>
      <w:r w:rsidRPr="00D15013">
        <w:rPr>
          <w:rFonts w:ascii="Times New Roman" w:hAnsi="Times New Roman" w:cs="Times New Roman"/>
          <w:sz w:val="24"/>
          <w:szCs w:val="24"/>
        </w:rPr>
        <w:lastRenderedPageBreak/>
        <w:t>wykonywało badania i pomiary kontrolne w zakładach przemysłowych odprowadzających ścieki bezpośrednio do rzeki Odry lub jej dopływów. W tej sytuacji kryzysowej okazało się</w:t>
      </w:r>
      <w:r w:rsidR="00A540AD">
        <w:rPr>
          <w:rFonts w:ascii="Times New Roman" w:hAnsi="Times New Roman" w:cs="Times New Roman"/>
          <w:sz w:val="24"/>
          <w:szCs w:val="24"/>
        </w:rPr>
        <w:t>,</w:t>
      </w:r>
      <w:r w:rsidRPr="00D15013">
        <w:rPr>
          <w:rFonts w:ascii="Times New Roman" w:hAnsi="Times New Roman" w:cs="Times New Roman"/>
          <w:sz w:val="24"/>
          <w:szCs w:val="24"/>
        </w:rPr>
        <w:t xml:space="preserve"> jakie znaczenie dla działań Inspekcji było powstanie Centralnego Laboratorium Badawczego </w:t>
      </w:r>
      <w:r w:rsidR="00A540AD">
        <w:rPr>
          <w:rFonts w:ascii="Times New Roman" w:hAnsi="Times New Roman" w:cs="Times New Roman"/>
          <w:sz w:val="24"/>
          <w:szCs w:val="24"/>
        </w:rPr>
        <w:br/>
      </w:r>
      <w:r w:rsidRPr="00D15013">
        <w:rPr>
          <w:rFonts w:ascii="Times New Roman" w:hAnsi="Times New Roman" w:cs="Times New Roman"/>
          <w:sz w:val="24"/>
          <w:szCs w:val="24"/>
        </w:rPr>
        <w:t xml:space="preserve">o ponadregionalnym zasięgu badań. Ze względu na </w:t>
      </w:r>
      <w:r w:rsidR="00672CAA">
        <w:rPr>
          <w:rFonts w:ascii="Times New Roman" w:hAnsi="Times New Roman" w:cs="Times New Roman"/>
          <w:sz w:val="24"/>
          <w:szCs w:val="24"/>
        </w:rPr>
        <w:t xml:space="preserve">liczbę </w:t>
      </w:r>
      <w:r w:rsidRPr="00D15013">
        <w:rPr>
          <w:rFonts w:ascii="Times New Roman" w:hAnsi="Times New Roman" w:cs="Times New Roman"/>
          <w:sz w:val="24"/>
          <w:szCs w:val="24"/>
        </w:rPr>
        <w:t xml:space="preserve">pobieranych próbek i zakres badań wykonywanych dla zleceń WIOŚ niezbędne było włączenie do działań pozostałych oddziałów CLB z innych województw, co okazało się bardzo pomocne. Dla potrzeb tych badań laboratorium wykonało w roku 2022 około 44 000 pomiarów i analiz. </w:t>
      </w:r>
    </w:p>
    <w:p w14:paraId="4E78E9C1" w14:textId="456AA437" w:rsidR="00D15013" w:rsidRPr="00D15013" w:rsidRDefault="00D15013" w:rsidP="00D74E0B">
      <w:pPr>
        <w:shd w:val="clear" w:color="auto" w:fill="FFFFFF"/>
        <w:spacing w:line="300" w:lineRule="atLeast"/>
        <w:ind w:firstLine="567"/>
        <w:jc w:val="both"/>
        <w:rPr>
          <w:rFonts w:ascii="Times New Roman" w:hAnsi="Times New Roman" w:cs="Times New Roman"/>
          <w:sz w:val="24"/>
          <w:szCs w:val="24"/>
        </w:rPr>
      </w:pPr>
      <w:r w:rsidRPr="00D15013">
        <w:rPr>
          <w:rFonts w:ascii="Times New Roman" w:hAnsi="Times New Roman" w:cs="Times New Roman"/>
          <w:sz w:val="24"/>
          <w:szCs w:val="24"/>
        </w:rPr>
        <w:t>Po ustabilizowaniu się sytuacji kryzysowej na rzece Odrze, od połowy listopada</w:t>
      </w:r>
      <w:r w:rsidR="00A540AD">
        <w:rPr>
          <w:rFonts w:ascii="Times New Roman" w:hAnsi="Times New Roman" w:cs="Times New Roman"/>
          <w:sz w:val="24"/>
          <w:szCs w:val="24"/>
        </w:rPr>
        <w:t xml:space="preserve"> 2022 r. </w:t>
      </w:r>
      <w:r w:rsidRPr="00D15013">
        <w:rPr>
          <w:rFonts w:ascii="Times New Roman" w:hAnsi="Times New Roman" w:cs="Times New Roman"/>
          <w:sz w:val="24"/>
          <w:szCs w:val="24"/>
        </w:rPr>
        <w:t xml:space="preserve"> Laboratorium wykonuje stały monitoring </w:t>
      </w:r>
      <w:r w:rsidR="003E5566">
        <w:rPr>
          <w:rFonts w:ascii="Times New Roman" w:hAnsi="Times New Roman" w:cs="Times New Roman"/>
          <w:sz w:val="24"/>
          <w:szCs w:val="24"/>
        </w:rPr>
        <w:t xml:space="preserve">interwencyjny </w:t>
      </w:r>
      <w:r w:rsidRPr="00D15013">
        <w:rPr>
          <w:rFonts w:ascii="Times New Roman" w:hAnsi="Times New Roman" w:cs="Times New Roman"/>
          <w:sz w:val="24"/>
          <w:szCs w:val="24"/>
        </w:rPr>
        <w:t>w 20 punktach, w zakresie badań wskaźników fizyko – chemicznych</w:t>
      </w:r>
      <w:r w:rsidR="00A540AD">
        <w:rPr>
          <w:rFonts w:ascii="Times New Roman" w:hAnsi="Times New Roman" w:cs="Times New Roman"/>
          <w:sz w:val="24"/>
          <w:szCs w:val="24"/>
        </w:rPr>
        <w:t>,</w:t>
      </w:r>
      <w:r w:rsidRPr="00D15013">
        <w:rPr>
          <w:rFonts w:ascii="Times New Roman" w:hAnsi="Times New Roman" w:cs="Times New Roman"/>
          <w:sz w:val="24"/>
          <w:szCs w:val="24"/>
        </w:rPr>
        <w:t xml:space="preserve"> tj. temperatura wody, zawartość rozpuszczonego tlenu, nasycenie tlenem, przewodnictwo elektryczne właściwe, </w:t>
      </w:r>
      <w:proofErr w:type="spellStart"/>
      <w:r w:rsidRPr="00D15013">
        <w:rPr>
          <w:rFonts w:ascii="Times New Roman" w:hAnsi="Times New Roman" w:cs="Times New Roman"/>
          <w:sz w:val="24"/>
          <w:szCs w:val="24"/>
        </w:rPr>
        <w:t>pH</w:t>
      </w:r>
      <w:proofErr w:type="spellEnd"/>
      <w:r w:rsidRPr="00D15013">
        <w:rPr>
          <w:rFonts w:ascii="Times New Roman" w:hAnsi="Times New Roman" w:cs="Times New Roman"/>
          <w:sz w:val="24"/>
          <w:szCs w:val="24"/>
        </w:rPr>
        <w:t>, fosfor ogólny (</w:t>
      </w:r>
      <w:proofErr w:type="spellStart"/>
      <w:r w:rsidRPr="00D15013">
        <w:rPr>
          <w:rFonts w:ascii="Times New Roman" w:hAnsi="Times New Roman" w:cs="Times New Roman"/>
          <w:sz w:val="24"/>
          <w:szCs w:val="24"/>
        </w:rPr>
        <w:t>P</w:t>
      </w:r>
      <w:r w:rsidRPr="00D15013">
        <w:rPr>
          <w:rFonts w:ascii="Times New Roman" w:hAnsi="Times New Roman" w:cs="Times New Roman"/>
          <w:sz w:val="24"/>
          <w:szCs w:val="24"/>
          <w:vertAlign w:val="subscript"/>
        </w:rPr>
        <w:t>og</w:t>
      </w:r>
      <w:proofErr w:type="spellEnd"/>
      <w:r w:rsidRPr="00D15013">
        <w:rPr>
          <w:rFonts w:ascii="Times New Roman" w:hAnsi="Times New Roman" w:cs="Times New Roman"/>
          <w:sz w:val="24"/>
          <w:szCs w:val="24"/>
        </w:rPr>
        <w:t xml:space="preserve">.), azot </w:t>
      </w:r>
      <w:proofErr w:type="spellStart"/>
      <w:r w:rsidRPr="00D15013">
        <w:rPr>
          <w:rFonts w:ascii="Times New Roman" w:hAnsi="Times New Roman" w:cs="Times New Roman"/>
          <w:sz w:val="24"/>
          <w:szCs w:val="24"/>
        </w:rPr>
        <w:t>Kjeldahla</w:t>
      </w:r>
      <w:proofErr w:type="spellEnd"/>
      <w:r w:rsidRPr="00D15013">
        <w:rPr>
          <w:rFonts w:ascii="Times New Roman" w:hAnsi="Times New Roman" w:cs="Times New Roman"/>
          <w:sz w:val="24"/>
          <w:szCs w:val="24"/>
        </w:rPr>
        <w:t xml:space="preserve"> (</w:t>
      </w:r>
      <w:proofErr w:type="spellStart"/>
      <w:r w:rsidRPr="00D15013">
        <w:rPr>
          <w:rFonts w:ascii="Times New Roman" w:hAnsi="Times New Roman" w:cs="Times New Roman"/>
          <w:sz w:val="24"/>
          <w:szCs w:val="24"/>
        </w:rPr>
        <w:t>N</w:t>
      </w:r>
      <w:r w:rsidRPr="00D15013">
        <w:rPr>
          <w:rFonts w:ascii="Times New Roman" w:hAnsi="Times New Roman" w:cs="Times New Roman"/>
          <w:sz w:val="24"/>
          <w:szCs w:val="24"/>
          <w:vertAlign w:val="subscript"/>
        </w:rPr>
        <w:t>Kjeld</w:t>
      </w:r>
      <w:proofErr w:type="spellEnd"/>
      <w:r w:rsidRPr="00D15013">
        <w:rPr>
          <w:rFonts w:ascii="Times New Roman" w:hAnsi="Times New Roman" w:cs="Times New Roman"/>
          <w:sz w:val="24"/>
          <w:szCs w:val="24"/>
          <w:vertAlign w:val="subscript"/>
        </w:rPr>
        <w:t>.</w:t>
      </w:r>
      <w:r w:rsidRPr="00D15013">
        <w:rPr>
          <w:rFonts w:ascii="Times New Roman" w:hAnsi="Times New Roman" w:cs="Times New Roman"/>
          <w:sz w:val="24"/>
          <w:szCs w:val="24"/>
        </w:rPr>
        <w:t>), azot azotynowy (N</w:t>
      </w:r>
      <w:r w:rsidRPr="00D15013">
        <w:rPr>
          <w:rFonts w:ascii="Times New Roman" w:hAnsi="Times New Roman" w:cs="Times New Roman"/>
          <w:sz w:val="24"/>
          <w:szCs w:val="24"/>
          <w:vertAlign w:val="subscript"/>
        </w:rPr>
        <w:t>NO2</w:t>
      </w:r>
      <w:r w:rsidRPr="00D15013">
        <w:rPr>
          <w:rFonts w:ascii="Times New Roman" w:hAnsi="Times New Roman" w:cs="Times New Roman"/>
          <w:sz w:val="24"/>
          <w:szCs w:val="24"/>
        </w:rPr>
        <w:t>), azot azotanowy (N</w:t>
      </w:r>
      <w:r w:rsidRPr="00D15013">
        <w:rPr>
          <w:rFonts w:ascii="Times New Roman" w:hAnsi="Times New Roman" w:cs="Times New Roman"/>
          <w:sz w:val="24"/>
          <w:szCs w:val="24"/>
          <w:vertAlign w:val="subscript"/>
        </w:rPr>
        <w:t>NO3</w:t>
      </w:r>
      <w:r w:rsidRPr="00D15013">
        <w:rPr>
          <w:rFonts w:ascii="Times New Roman" w:hAnsi="Times New Roman" w:cs="Times New Roman"/>
          <w:sz w:val="24"/>
          <w:szCs w:val="24"/>
        </w:rPr>
        <w:t>), azot ogólny (</w:t>
      </w:r>
      <w:proofErr w:type="spellStart"/>
      <w:r w:rsidRPr="00D15013">
        <w:rPr>
          <w:rFonts w:ascii="Times New Roman" w:hAnsi="Times New Roman" w:cs="Times New Roman"/>
          <w:sz w:val="24"/>
          <w:szCs w:val="24"/>
        </w:rPr>
        <w:t>N</w:t>
      </w:r>
      <w:r w:rsidRPr="00D15013">
        <w:rPr>
          <w:rFonts w:ascii="Times New Roman" w:hAnsi="Times New Roman" w:cs="Times New Roman"/>
          <w:sz w:val="24"/>
          <w:szCs w:val="24"/>
          <w:vertAlign w:val="subscript"/>
        </w:rPr>
        <w:t>og</w:t>
      </w:r>
      <w:proofErr w:type="spellEnd"/>
      <w:r w:rsidRPr="00D15013">
        <w:rPr>
          <w:rFonts w:ascii="Times New Roman" w:hAnsi="Times New Roman" w:cs="Times New Roman"/>
          <w:sz w:val="24"/>
          <w:szCs w:val="24"/>
          <w:vertAlign w:val="subscript"/>
        </w:rPr>
        <w:t>.</w:t>
      </w:r>
      <w:r w:rsidRPr="00D15013">
        <w:rPr>
          <w:rFonts w:ascii="Times New Roman" w:hAnsi="Times New Roman" w:cs="Times New Roman"/>
          <w:sz w:val="24"/>
          <w:szCs w:val="24"/>
        </w:rPr>
        <w:t xml:space="preserve">), siarczany, chlorki i sód oraz biologicznych – fitoplankton pod kątem </w:t>
      </w:r>
      <w:proofErr w:type="spellStart"/>
      <w:r w:rsidRPr="00D15013">
        <w:rPr>
          <w:rFonts w:ascii="Times New Roman" w:hAnsi="Times New Roman" w:cs="Times New Roman"/>
          <w:i/>
          <w:sz w:val="24"/>
          <w:szCs w:val="24"/>
        </w:rPr>
        <w:t>Prymnesium</w:t>
      </w:r>
      <w:proofErr w:type="spellEnd"/>
      <w:r w:rsidRPr="00D15013">
        <w:rPr>
          <w:rFonts w:ascii="Times New Roman" w:hAnsi="Times New Roman" w:cs="Times New Roman"/>
          <w:i/>
          <w:sz w:val="24"/>
          <w:szCs w:val="24"/>
        </w:rPr>
        <w:t xml:space="preserve"> </w:t>
      </w:r>
      <w:proofErr w:type="spellStart"/>
      <w:r w:rsidRPr="00D15013">
        <w:rPr>
          <w:rFonts w:ascii="Times New Roman" w:hAnsi="Times New Roman" w:cs="Times New Roman"/>
          <w:i/>
          <w:sz w:val="24"/>
          <w:szCs w:val="24"/>
        </w:rPr>
        <w:t>cf.parvum</w:t>
      </w:r>
      <w:proofErr w:type="spellEnd"/>
      <w:r w:rsidRPr="00D15013">
        <w:rPr>
          <w:rFonts w:ascii="Times New Roman" w:hAnsi="Times New Roman" w:cs="Times New Roman"/>
          <w:sz w:val="24"/>
          <w:szCs w:val="24"/>
        </w:rPr>
        <w:t xml:space="preserve"> tj. „złotej algi”.</w:t>
      </w:r>
    </w:p>
    <w:p w14:paraId="63BB2DE1" w14:textId="75B36CDF" w:rsidR="00D15013" w:rsidRPr="00D15013" w:rsidRDefault="00D15013" w:rsidP="00465E16">
      <w:pPr>
        <w:shd w:val="clear" w:color="auto" w:fill="FFFFFF"/>
        <w:spacing w:line="300" w:lineRule="atLeast"/>
        <w:ind w:firstLine="708"/>
        <w:jc w:val="center"/>
        <w:rPr>
          <w:rFonts w:ascii="Times New Roman" w:hAnsi="Times New Roman" w:cs="Times New Roman"/>
          <w:sz w:val="24"/>
          <w:szCs w:val="24"/>
        </w:rPr>
      </w:pPr>
      <w:r w:rsidRPr="00D15013">
        <w:rPr>
          <w:rFonts w:ascii="Times New Roman" w:hAnsi="Times New Roman" w:cs="Times New Roman"/>
          <w:noProof/>
          <w:sz w:val="24"/>
          <w:szCs w:val="24"/>
          <w:lang w:eastAsia="pl-PL"/>
        </w:rPr>
        <w:drawing>
          <wp:inline distT="0" distB="0" distL="0" distR="0" wp14:anchorId="41598822" wp14:editId="2060CC02">
            <wp:extent cx="3629025" cy="4174648"/>
            <wp:effectExtent l="0" t="0" r="0" b="6350"/>
            <wp:docPr id="449" name="Obraz 449" descr="Ryc. 23. Fragment mapy - Lokalizacja 20 pkt monitoringu interwencyjnego – kontynuacja badań rzeki Odry, od 15.11.2022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Obraz 449" descr="Ryc. 23. Fragment mapy - Lokalizacja 20 pkt monitoringu interwencyjnego – kontynuacja badań rzeki Odry, od 15.11.2022 r."/>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629025" cy="4174648"/>
                    </a:xfrm>
                    <a:prstGeom prst="rect">
                      <a:avLst/>
                    </a:prstGeom>
                    <a:noFill/>
                    <a:ln>
                      <a:noFill/>
                    </a:ln>
                  </pic:spPr>
                </pic:pic>
              </a:graphicData>
            </a:graphic>
          </wp:inline>
        </w:drawing>
      </w:r>
    </w:p>
    <w:p w14:paraId="1EDC0E8C" w14:textId="2C8516B8" w:rsidR="00D15013" w:rsidRPr="00FF5D0A" w:rsidRDefault="00465E16" w:rsidP="00465E16">
      <w:pPr>
        <w:shd w:val="clear" w:color="auto" w:fill="FFFFFF"/>
        <w:spacing w:line="300" w:lineRule="atLeast"/>
        <w:ind w:firstLine="708"/>
        <w:jc w:val="center"/>
        <w:rPr>
          <w:rFonts w:ascii="Times New Roman" w:hAnsi="Times New Roman" w:cs="Times New Roman"/>
          <w:b/>
        </w:rPr>
      </w:pPr>
      <w:r w:rsidRPr="00FF5D0A">
        <w:rPr>
          <w:rFonts w:ascii="Times New Roman" w:hAnsi="Times New Roman" w:cs="Times New Roman"/>
          <w:b/>
        </w:rPr>
        <w:t>Ryc. 2</w:t>
      </w:r>
      <w:r w:rsidR="00D75BFD">
        <w:rPr>
          <w:rFonts w:ascii="Times New Roman" w:hAnsi="Times New Roman" w:cs="Times New Roman"/>
          <w:b/>
        </w:rPr>
        <w:t>3</w:t>
      </w:r>
      <w:r w:rsidRPr="00FF5D0A">
        <w:rPr>
          <w:rFonts w:ascii="Times New Roman" w:hAnsi="Times New Roman" w:cs="Times New Roman"/>
          <w:b/>
        </w:rPr>
        <w:t xml:space="preserve">. </w:t>
      </w:r>
      <w:r w:rsidR="00D15013" w:rsidRPr="00FF5D0A">
        <w:rPr>
          <w:rFonts w:ascii="Times New Roman" w:hAnsi="Times New Roman" w:cs="Times New Roman"/>
          <w:b/>
        </w:rPr>
        <w:t xml:space="preserve">Lokalizacja 20 pkt </w:t>
      </w:r>
      <w:r w:rsidR="00E13551">
        <w:rPr>
          <w:rFonts w:ascii="Times New Roman" w:hAnsi="Times New Roman" w:cs="Times New Roman"/>
          <w:b/>
        </w:rPr>
        <w:t xml:space="preserve">monitoringu interwencyjnego </w:t>
      </w:r>
      <w:r w:rsidR="00D15013" w:rsidRPr="00FF5D0A">
        <w:rPr>
          <w:rFonts w:ascii="Times New Roman" w:hAnsi="Times New Roman" w:cs="Times New Roman"/>
          <w:b/>
        </w:rPr>
        <w:t>– kontynuacja badań rzeki Odry,</w:t>
      </w:r>
      <w:r w:rsidRPr="00FF5D0A">
        <w:rPr>
          <w:rFonts w:ascii="Times New Roman" w:hAnsi="Times New Roman" w:cs="Times New Roman"/>
          <w:b/>
        </w:rPr>
        <w:t xml:space="preserve"> </w:t>
      </w:r>
      <w:r w:rsidR="00D15013" w:rsidRPr="00FF5D0A">
        <w:rPr>
          <w:rFonts w:ascii="Times New Roman" w:hAnsi="Times New Roman" w:cs="Times New Roman"/>
          <w:b/>
        </w:rPr>
        <w:t>od 15.11.2022</w:t>
      </w:r>
      <w:r w:rsidRPr="00FF5D0A">
        <w:rPr>
          <w:rFonts w:ascii="Times New Roman" w:hAnsi="Times New Roman" w:cs="Times New Roman"/>
          <w:b/>
        </w:rPr>
        <w:t xml:space="preserve"> </w:t>
      </w:r>
      <w:r w:rsidR="00D15013" w:rsidRPr="00FF5D0A">
        <w:rPr>
          <w:rFonts w:ascii="Times New Roman" w:hAnsi="Times New Roman" w:cs="Times New Roman"/>
          <w:b/>
        </w:rPr>
        <w:t>r.</w:t>
      </w:r>
    </w:p>
    <w:p w14:paraId="19218A99" w14:textId="4BCD4588" w:rsidR="00D15013" w:rsidRPr="00D15013" w:rsidRDefault="00D15013" w:rsidP="00D74E0B">
      <w:pPr>
        <w:shd w:val="clear" w:color="auto" w:fill="FFFFFF"/>
        <w:spacing w:after="0" w:line="300" w:lineRule="atLeast"/>
        <w:ind w:firstLine="709"/>
        <w:jc w:val="both"/>
        <w:rPr>
          <w:rFonts w:ascii="Times New Roman" w:hAnsi="Times New Roman" w:cs="Times New Roman"/>
          <w:sz w:val="24"/>
          <w:szCs w:val="24"/>
        </w:rPr>
      </w:pPr>
      <w:r w:rsidRPr="00D15013">
        <w:rPr>
          <w:rFonts w:ascii="Times New Roman" w:hAnsi="Times New Roman" w:cs="Times New Roman"/>
          <w:sz w:val="24"/>
          <w:szCs w:val="24"/>
        </w:rPr>
        <w:t xml:space="preserve">W 2022 r. poza działaniami dotyczącymi sytuacji kryzysowej na rzece Odrze, CLB na bieżąco współpracowało z Departamentem Inspekcji GIOŚ oraz WIOŚ. W ramach otrzymywanych zleceń, Laboratorium wykonywało badania oraz pomiary próbek wód powierzchniowych, ścieków, odpadów (w tym osadów ściekowych), emisji do powietrza atmosferycznego, badań hałasu komunikacyjnego, przemysłowego oraz impulsowego. W przypadku, gdy w danej części zlecenia laboratorium nie posiadało akredytacji dla takich badań, to wykonanie ich zlecano do laboratoriów zewnętrznych. </w:t>
      </w:r>
    </w:p>
    <w:p w14:paraId="36CED1E5" w14:textId="77777777" w:rsidR="00D15013" w:rsidRPr="00D15013" w:rsidRDefault="00D15013" w:rsidP="00D74E0B">
      <w:pPr>
        <w:shd w:val="clear" w:color="auto" w:fill="FFFFFF"/>
        <w:spacing w:line="300" w:lineRule="atLeast"/>
        <w:ind w:firstLine="709"/>
        <w:jc w:val="both"/>
        <w:rPr>
          <w:rFonts w:ascii="Times New Roman" w:hAnsi="Times New Roman" w:cs="Times New Roman"/>
          <w:sz w:val="24"/>
          <w:szCs w:val="24"/>
        </w:rPr>
      </w:pPr>
      <w:r w:rsidRPr="00D15013">
        <w:rPr>
          <w:rFonts w:ascii="Times New Roman" w:hAnsi="Times New Roman" w:cs="Times New Roman"/>
          <w:sz w:val="24"/>
          <w:szCs w:val="24"/>
        </w:rPr>
        <w:lastRenderedPageBreak/>
        <w:t>W całym roku 2022, w ramach działań kontrolnych, laboratorium pobrało 10 537 próbek środowiskowych i wykonało 165 310 analiz i pomiarów. W przypadku zgłoszeń dotyczących zdarzeń o znamionach poważnej awarii, pracownicy CLB pobierali próbki lub wykonywali pomiary wykorzystując między innymi do tego celu wyposażenie pomiarowe zakupione w ramach Projektu POIŚ .03.02.00-00-001/09 „</w:t>
      </w:r>
      <w:r w:rsidRPr="00D15013">
        <w:rPr>
          <w:rFonts w:ascii="Times New Roman" w:hAnsi="Times New Roman" w:cs="Times New Roman"/>
          <w:i/>
          <w:iCs/>
          <w:color w:val="000000"/>
          <w:sz w:val="24"/>
          <w:szCs w:val="24"/>
        </w:rPr>
        <w:t>Zakupy sprzętu do szybkiej oceny ryzyka w przypadku wystąpienia poważnej awarii, organizacja systemu monitoringu dynamicznego przeciwdziałania poważnym awariom, w tym organizacja systemu i sieci teleinformatycznych”</w:t>
      </w:r>
      <w:r w:rsidRPr="00D15013">
        <w:rPr>
          <w:rFonts w:ascii="Times New Roman" w:hAnsi="Times New Roman" w:cs="Times New Roman"/>
          <w:color w:val="000000"/>
          <w:sz w:val="24"/>
          <w:szCs w:val="24"/>
        </w:rPr>
        <w:t>, przekazane przez Wydziały Inspekcji Wojewódzkich Inspektoratów Ochrony Środowiska do wykorzystania przez oddziały CLB</w:t>
      </w:r>
      <w:r w:rsidRPr="00D15013">
        <w:rPr>
          <w:rFonts w:ascii="Times New Roman" w:hAnsi="Times New Roman" w:cs="Times New Roman"/>
          <w:iCs/>
          <w:color w:val="000000"/>
          <w:sz w:val="24"/>
          <w:szCs w:val="24"/>
        </w:rPr>
        <w:t xml:space="preserve">. </w:t>
      </w:r>
      <w:r w:rsidRPr="00D15013">
        <w:rPr>
          <w:rFonts w:ascii="Times New Roman" w:hAnsi="Times New Roman" w:cs="Times New Roman"/>
          <w:sz w:val="24"/>
          <w:szCs w:val="24"/>
        </w:rPr>
        <w:t>Laboratorium dla potrzeb kontrolnych WIOŚ przeprowadziło postępowania w wyborze oferenta na wykonanie badań LZO (lotnych związków organicznych w farbach i lakierach) oraz na wykonanie badań zawartości siarki w paliwie opałowym i w paliwie do statków żeglugi śródlądowej.</w:t>
      </w:r>
    </w:p>
    <w:p w14:paraId="21D4AD01" w14:textId="565B20F6" w:rsidR="00D15013" w:rsidRPr="00D15013" w:rsidRDefault="00D15013" w:rsidP="00672CAA">
      <w:pPr>
        <w:spacing w:line="300" w:lineRule="atLeast"/>
        <w:ind w:firstLine="708"/>
        <w:jc w:val="center"/>
        <w:rPr>
          <w:rFonts w:ascii="Times New Roman" w:hAnsi="Times New Roman" w:cs="Times New Roman"/>
          <w:sz w:val="24"/>
          <w:szCs w:val="24"/>
        </w:rPr>
      </w:pPr>
      <w:r w:rsidRPr="00D15013">
        <w:rPr>
          <w:rFonts w:ascii="Times New Roman" w:hAnsi="Times New Roman" w:cs="Times New Roman"/>
          <w:noProof/>
          <w:sz w:val="24"/>
          <w:szCs w:val="24"/>
          <w:lang w:eastAsia="pl-PL"/>
        </w:rPr>
        <w:drawing>
          <wp:inline distT="0" distB="0" distL="0" distR="0" wp14:anchorId="22C8528D" wp14:editId="77787B88">
            <wp:extent cx="4886325" cy="3501537"/>
            <wp:effectExtent l="0" t="0" r="0" b="3810"/>
            <wp:docPr id="448" name="Obraz 448" descr="Zdjęcie 65. Interwencyjne pobieranie próbek zanieczyszczonych wód powierzchniow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Obraz 448" descr="Zdjęcie 65. Interwencyjne pobieranie próbek zanieczyszczonych wód powierzchniowych"/>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891632" cy="3505340"/>
                    </a:xfrm>
                    <a:prstGeom prst="rect">
                      <a:avLst/>
                    </a:prstGeom>
                    <a:noFill/>
                    <a:ln>
                      <a:noFill/>
                    </a:ln>
                  </pic:spPr>
                </pic:pic>
              </a:graphicData>
            </a:graphic>
          </wp:inline>
        </w:drawing>
      </w:r>
    </w:p>
    <w:p w14:paraId="76FDCB0A" w14:textId="583135B3" w:rsidR="00D15013" w:rsidRPr="00C95A22" w:rsidRDefault="00A540AD" w:rsidP="00672CAA">
      <w:pPr>
        <w:spacing w:line="300" w:lineRule="atLeast"/>
        <w:ind w:firstLine="708"/>
        <w:jc w:val="center"/>
        <w:rPr>
          <w:rFonts w:ascii="Times New Roman" w:hAnsi="Times New Roman" w:cs="Times New Roman"/>
          <w:b/>
        </w:rPr>
      </w:pPr>
      <w:r w:rsidRPr="00C95A22">
        <w:rPr>
          <w:rFonts w:ascii="Times New Roman" w:hAnsi="Times New Roman" w:cs="Times New Roman"/>
          <w:b/>
        </w:rPr>
        <w:t xml:space="preserve">Zdjęcie </w:t>
      </w:r>
      <w:r w:rsidR="00C95A22" w:rsidRPr="00C95A22">
        <w:rPr>
          <w:rFonts w:ascii="Times New Roman" w:hAnsi="Times New Roman" w:cs="Times New Roman"/>
          <w:b/>
        </w:rPr>
        <w:t>6</w:t>
      </w:r>
      <w:r w:rsidR="00422EE0">
        <w:rPr>
          <w:rFonts w:ascii="Times New Roman" w:hAnsi="Times New Roman" w:cs="Times New Roman"/>
          <w:b/>
        </w:rPr>
        <w:t>5</w:t>
      </w:r>
      <w:r w:rsidR="00C95A22" w:rsidRPr="00C95A22">
        <w:rPr>
          <w:rFonts w:ascii="Times New Roman" w:hAnsi="Times New Roman" w:cs="Times New Roman"/>
          <w:b/>
        </w:rPr>
        <w:t>.</w:t>
      </w:r>
      <w:r w:rsidRPr="00C95A22">
        <w:rPr>
          <w:rFonts w:ascii="Times New Roman" w:hAnsi="Times New Roman" w:cs="Times New Roman"/>
          <w:b/>
        </w:rPr>
        <w:t xml:space="preserve"> </w:t>
      </w:r>
      <w:r w:rsidR="00D15013" w:rsidRPr="00C95A22">
        <w:rPr>
          <w:rFonts w:ascii="Times New Roman" w:hAnsi="Times New Roman" w:cs="Times New Roman"/>
          <w:b/>
        </w:rPr>
        <w:t>Interwencyjne pobieranie próbek zanieczyszczonych wód powierzchniowych</w:t>
      </w:r>
    </w:p>
    <w:p w14:paraId="01632A02" w14:textId="77777777" w:rsidR="00D15013" w:rsidRPr="00D15013" w:rsidRDefault="00D15013" w:rsidP="00465E16">
      <w:pPr>
        <w:shd w:val="clear" w:color="auto" w:fill="FFFFFF"/>
        <w:spacing w:line="300" w:lineRule="atLeast"/>
        <w:ind w:firstLine="708"/>
        <w:jc w:val="both"/>
        <w:rPr>
          <w:rFonts w:ascii="Times New Roman" w:hAnsi="Times New Roman" w:cs="Times New Roman"/>
          <w:sz w:val="24"/>
          <w:szCs w:val="24"/>
        </w:rPr>
      </w:pPr>
    </w:p>
    <w:p w14:paraId="544F4D71" w14:textId="6B14FADD" w:rsidR="00D15013" w:rsidRPr="00D15013" w:rsidRDefault="00D15013" w:rsidP="00465E16">
      <w:pPr>
        <w:spacing w:line="300" w:lineRule="atLeast"/>
        <w:ind w:firstLine="708"/>
        <w:jc w:val="center"/>
        <w:rPr>
          <w:rFonts w:ascii="Times New Roman" w:hAnsi="Times New Roman" w:cs="Times New Roman"/>
          <w:sz w:val="24"/>
          <w:szCs w:val="24"/>
        </w:rPr>
      </w:pPr>
      <w:r w:rsidRPr="00D15013">
        <w:rPr>
          <w:rFonts w:ascii="Times New Roman" w:hAnsi="Times New Roman" w:cs="Times New Roman"/>
          <w:noProof/>
          <w:sz w:val="24"/>
          <w:szCs w:val="24"/>
          <w:lang w:eastAsia="pl-PL"/>
        </w:rPr>
        <w:lastRenderedPageBreak/>
        <w:drawing>
          <wp:inline distT="0" distB="0" distL="0" distR="0" wp14:anchorId="7A13A8A9" wp14:editId="2D0634F3">
            <wp:extent cx="4743450" cy="3057525"/>
            <wp:effectExtent l="0" t="0" r="0" b="9525"/>
            <wp:docPr id="46" name="Obraz 46" descr="Zdjęcie 66. Interwencyjne pobieranie próbek odpadów"/>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6" name="Obraz 46" descr="Zdjęcie 66. Interwencyjne pobieranie próbek odpadów"/>
                    <pic:cNvPicPr>
                      <a:picLocks noGrp="1"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743450" cy="3057525"/>
                    </a:xfrm>
                    <a:prstGeom prst="rect">
                      <a:avLst/>
                    </a:prstGeom>
                    <a:noFill/>
                    <a:ln>
                      <a:noFill/>
                    </a:ln>
                  </pic:spPr>
                </pic:pic>
              </a:graphicData>
            </a:graphic>
          </wp:inline>
        </w:drawing>
      </w:r>
    </w:p>
    <w:p w14:paraId="015AC32B" w14:textId="7D9E7C16" w:rsidR="00D15013" w:rsidRPr="00C95A22" w:rsidRDefault="00C95A22" w:rsidP="00672CAA">
      <w:pPr>
        <w:spacing w:line="300" w:lineRule="atLeast"/>
        <w:ind w:firstLine="708"/>
        <w:jc w:val="center"/>
        <w:rPr>
          <w:rFonts w:ascii="Times New Roman" w:hAnsi="Times New Roman" w:cs="Times New Roman"/>
          <w:b/>
        </w:rPr>
      </w:pPr>
      <w:r w:rsidRPr="00C95A22">
        <w:rPr>
          <w:rFonts w:ascii="Times New Roman" w:hAnsi="Times New Roman" w:cs="Times New Roman"/>
          <w:b/>
        </w:rPr>
        <w:t>Zdjęcie 6</w:t>
      </w:r>
      <w:r w:rsidR="00422EE0">
        <w:rPr>
          <w:rFonts w:ascii="Times New Roman" w:hAnsi="Times New Roman" w:cs="Times New Roman"/>
          <w:b/>
        </w:rPr>
        <w:t>6</w:t>
      </w:r>
      <w:r w:rsidRPr="00C95A22">
        <w:rPr>
          <w:rFonts w:ascii="Times New Roman" w:hAnsi="Times New Roman" w:cs="Times New Roman"/>
          <w:b/>
        </w:rPr>
        <w:t xml:space="preserve">. </w:t>
      </w:r>
      <w:r w:rsidR="00D15013" w:rsidRPr="00C95A22">
        <w:rPr>
          <w:rFonts w:ascii="Times New Roman" w:hAnsi="Times New Roman" w:cs="Times New Roman"/>
          <w:b/>
        </w:rPr>
        <w:t>Interwencyjne pobieranie próbek odpadów</w:t>
      </w:r>
    </w:p>
    <w:p w14:paraId="11FE02C5" w14:textId="77777777" w:rsidR="00D15013" w:rsidRPr="00D15013" w:rsidRDefault="00D15013" w:rsidP="00672CAA">
      <w:pPr>
        <w:shd w:val="clear" w:color="auto" w:fill="FFFFFF"/>
        <w:spacing w:line="300" w:lineRule="atLeast"/>
        <w:ind w:firstLine="708"/>
        <w:jc w:val="center"/>
        <w:rPr>
          <w:rFonts w:ascii="Times New Roman" w:hAnsi="Times New Roman" w:cs="Times New Roman"/>
          <w:sz w:val="24"/>
          <w:szCs w:val="24"/>
        </w:rPr>
      </w:pPr>
    </w:p>
    <w:p w14:paraId="58BCF13E" w14:textId="2C45B070" w:rsidR="00D15013" w:rsidRPr="00D15013" w:rsidRDefault="00D15013" w:rsidP="00465E16">
      <w:pPr>
        <w:pStyle w:val="Akapitzlist"/>
        <w:tabs>
          <w:tab w:val="left" w:pos="11340"/>
        </w:tabs>
        <w:spacing w:line="300" w:lineRule="atLeast"/>
        <w:ind w:left="0" w:firstLine="709"/>
        <w:jc w:val="center"/>
        <w:rPr>
          <w:sz w:val="24"/>
          <w:szCs w:val="24"/>
        </w:rPr>
      </w:pPr>
      <w:r w:rsidRPr="00D15013">
        <w:rPr>
          <w:noProof/>
          <w:sz w:val="24"/>
          <w:szCs w:val="24"/>
          <w:lang w:val="pl-PL"/>
        </w:rPr>
        <w:drawing>
          <wp:inline distT="0" distB="0" distL="0" distR="0" wp14:anchorId="5F3A597F" wp14:editId="4FD65AF5">
            <wp:extent cx="4610100" cy="3147458"/>
            <wp:effectExtent l="0" t="0" r="0" b="0"/>
            <wp:docPr id="34" name="Obraz 34" descr="Zdjęcie 67. Pomiary emis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descr="Zdjęcie 67. Pomiary emisji"/>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621217" cy="3155048"/>
                    </a:xfrm>
                    <a:prstGeom prst="rect">
                      <a:avLst/>
                    </a:prstGeom>
                    <a:noFill/>
                    <a:ln>
                      <a:noFill/>
                    </a:ln>
                  </pic:spPr>
                </pic:pic>
              </a:graphicData>
            </a:graphic>
          </wp:inline>
        </w:drawing>
      </w:r>
    </w:p>
    <w:p w14:paraId="637FCD45" w14:textId="768CD73D" w:rsidR="00D15013" w:rsidRPr="00C95A22" w:rsidRDefault="00C95A22" w:rsidP="00672CAA">
      <w:pPr>
        <w:spacing w:line="300" w:lineRule="atLeast"/>
        <w:ind w:firstLine="708"/>
        <w:jc w:val="center"/>
        <w:rPr>
          <w:rFonts w:ascii="Times New Roman" w:hAnsi="Times New Roman" w:cs="Times New Roman"/>
          <w:b/>
        </w:rPr>
      </w:pPr>
      <w:r w:rsidRPr="00C95A22">
        <w:rPr>
          <w:rFonts w:ascii="Times New Roman" w:hAnsi="Times New Roman" w:cs="Times New Roman"/>
          <w:b/>
        </w:rPr>
        <w:t>Zdjęcie 6</w:t>
      </w:r>
      <w:r w:rsidR="00422EE0">
        <w:rPr>
          <w:rFonts w:ascii="Times New Roman" w:hAnsi="Times New Roman" w:cs="Times New Roman"/>
          <w:b/>
        </w:rPr>
        <w:t>7</w:t>
      </w:r>
      <w:r w:rsidRPr="00C95A22">
        <w:rPr>
          <w:rFonts w:ascii="Times New Roman" w:hAnsi="Times New Roman" w:cs="Times New Roman"/>
          <w:b/>
        </w:rPr>
        <w:t xml:space="preserve">. </w:t>
      </w:r>
      <w:r w:rsidR="00D15013" w:rsidRPr="00C95A22">
        <w:rPr>
          <w:rFonts w:ascii="Times New Roman" w:hAnsi="Times New Roman" w:cs="Times New Roman"/>
          <w:b/>
        </w:rPr>
        <w:t>Pomiary emisji</w:t>
      </w:r>
    </w:p>
    <w:p w14:paraId="55DF1C3B" w14:textId="77777777" w:rsidR="00D15013" w:rsidRPr="00D15013" w:rsidRDefault="00D15013" w:rsidP="00D74E0B">
      <w:pPr>
        <w:shd w:val="clear" w:color="auto" w:fill="FFFFFF"/>
        <w:spacing w:after="0" w:line="300" w:lineRule="atLeast"/>
        <w:ind w:firstLine="708"/>
        <w:jc w:val="both"/>
        <w:rPr>
          <w:rFonts w:ascii="Times New Roman" w:hAnsi="Times New Roman" w:cs="Times New Roman"/>
          <w:sz w:val="24"/>
          <w:szCs w:val="24"/>
        </w:rPr>
      </w:pPr>
      <w:r w:rsidRPr="00D15013">
        <w:rPr>
          <w:rFonts w:ascii="Times New Roman" w:hAnsi="Times New Roman" w:cs="Times New Roman"/>
          <w:sz w:val="24"/>
          <w:szCs w:val="24"/>
        </w:rPr>
        <w:t>W celu dostosowania działalności pomiarowo-badawczej dla realizacji celów kontrolnych IOŚ, CLB w roku 2022 wdrożyło i rozszerzyło zakres akredytacji o następujące badania:</w:t>
      </w:r>
    </w:p>
    <w:p w14:paraId="6B4AD900" w14:textId="38289B5A" w:rsidR="00D15013" w:rsidRPr="00C95A22" w:rsidRDefault="00D15013" w:rsidP="00D74E0B">
      <w:pPr>
        <w:pStyle w:val="Akapitzlist"/>
        <w:numPr>
          <w:ilvl w:val="0"/>
          <w:numId w:val="333"/>
        </w:numPr>
        <w:shd w:val="clear" w:color="auto" w:fill="FFFFFF"/>
        <w:spacing w:line="300" w:lineRule="atLeast"/>
        <w:ind w:left="641" w:hanging="357"/>
        <w:jc w:val="both"/>
        <w:rPr>
          <w:sz w:val="24"/>
          <w:szCs w:val="24"/>
        </w:rPr>
      </w:pPr>
      <w:r w:rsidRPr="00C95A22">
        <w:rPr>
          <w:sz w:val="24"/>
          <w:szCs w:val="24"/>
        </w:rPr>
        <w:t>pomiary emisji gazów odlotowych w CLB Oddział w Poznaniu oraz we Wrocławiu,</w:t>
      </w:r>
    </w:p>
    <w:p w14:paraId="3173BF79" w14:textId="13516FBF" w:rsidR="00D15013" w:rsidRPr="00C95A22" w:rsidRDefault="00D15013" w:rsidP="00D74E0B">
      <w:pPr>
        <w:pStyle w:val="Akapitzlist"/>
        <w:numPr>
          <w:ilvl w:val="0"/>
          <w:numId w:val="333"/>
        </w:numPr>
        <w:shd w:val="clear" w:color="auto" w:fill="FFFFFF"/>
        <w:spacing w:line="300" w:lineRule="atLeast"/>
        <w:ind w:left="641" w:hanging="357"/>
        <w:jc w:val="both"/>
        <w:rPr>
          <w:sz w:val="24"/>
          <w:szCs w:val="24"/>
        </w:rPr>
      </w:pPr>
      <w:r w:rsidRPr="00C95A22">
        <w:rPr>
          <w:sz w:val="24"/>
          <w:szCs w:val="24"/>
        </w:rPr>
        <w:t xml:space="preserve">pomiary ciepła spalania odpadów w CLB Poznań, </w:t>
      </w:r>
    </w:p>
    <w:p w14:paraId="7200E932" w14:textId="3881A6F7" w:rsidR="00895F16" w:rsidRPr="00C95A22" w:rsidRDefault="00D15013" w:rsidP="00D74E0B">
      <w:pPr>
        <w:pStyle w:val="Akapitzlist"/>
        <w:numPr>
          <w:ilvl w:val="0"/>
          <w:numId w:val="333"/>
        </w:numPr>
        <w:spacing w:line="300" w:lineRule="atLeast"/>
        <w:ind w:left="641" w:hanging="357"/>
        <w:jc w:val="both"/>
        <w:rPr>
          <w:sz w:val="24"/>
          <w:szCs w:val="24"/>
        </w:rPr>
      </w:pPr>
      <w:r w:rsidRPr="00C95A22">
        <w:rPr>
          <w:sz w:val="24"/>
          <w:szCs w:val="24"/>
        </w:rPr>
        <w:t>oznaczanie składu morfologicznego do badań interwencyjnych w CLB Oddział w Rzeszowie</w:t>
      </w:r>
      <w:r w:rsidR="00895F16" w:rsidRPr="00C95A22">
        <w:rPr>
          <w:sz w:val="24"/>
          <w:szCs w:val="24"/>
        </w:rPr>
        <w:t>.</w:t>
      </w:r>
    </w:p>
    <w:p w14:paraId="0BBB9DD4" w14:textId="2FF93160" w:rsidR="00D15013" w:rsidRPr="00D15013" w:rsidRDefault="00D15013" w:rsidP="00D74E0B">
      <w:pPr>
        <w:shd w:val="clear" w:color="auto" w:fill="FFFFFF"/>
        <w:spacing w:line="300" w:lineRule="atLeast"/>
        <w:ind w:firstLine="567"/>
        <w:jc w:val="both"/>
        <w:rPr>
          <w:rFonts w:ascii="Times New Roman" w:hAnsi="Times New Roman" w:cs="Times New Roman"/>
          <w:sz w:val="24"/>
          <w:szCs w:val="24"/>
        </w:rPr>
      </w:pPr>
      <w:r w:rsidRPr="00D15013">
        <w:rPr>
          <w:rFonts w:ascii="Times New Roman" w:hAnsi="Times New Roman" w:cs="Times New Roman"/>
          <w:sz w:val="24"/>
          <w:szCs w:val="24"/>
        </w:rPr>
        <w:lastRenderedPageBreak/>
        <w:t>W dniu 8</w:t>
      </w:r>
      <w:r w:rsidR="00672CAA">
        <w:rPr>
          <w:rFonts w:ascii="Times New Roman" w:hAnsi="Times New Roman" w:cs="Times New Roman"/>
          <w:sz w:val="24"/>
          <w:szCs w:val="24"/>
        </w:rPr>
        <w:t xml:space="preserve">  grudnia </w:t>
      </w:r>
      <w:r w:rsidRPr="00D15013">
        <w:rPr>
          <w:rFonts w:ascii="Times New Roman" w:hAnsi="Times New Roman" w:cs="Times New Roman"/>
          <w:sz w:val="24"/>
          <w:szCs w:val="24"/>
        </w:rPr>
        <w:t>2022 r.</w:t>
      </w:r>
      <w:r w:rsidR="00672CAA">
        <w:rPr>
          <w:rFonts w:ascii="Times New Roman" w:hAnsi="Times New Roman" w:cs="Times New Roman"/>
          <w:sz w:val="24"/>
          <w:szCs w:val="24"/>
        </w:rPr>
        <w:t>,</w:t>
      </w:r>
      <w:r w:rsidRPr="00D15013">
        <w:rPr>
          <w:rFonts w:ascii="Times New Roman" w:hAnsi="Times New Roman" w:cs="Times New Roman"/>
          <w:sz w:val="24"/>
          <w:szCs w:val="24"/>
        </w:rPr>
        <w:t xml:space="preserve"> w obecności </w:t>
      </w:r>
      <w:r w:rsidR="00C95A22">
        <w:rPr>
          <w:rFonts w:ascii="Times New Roman" w:hAnsi="Times New Roman" w:cs="Times New Roman"/>
          <w:sz w:val="24"/>
          <w:szCs w:val="24"/>
        </w:rPr>
        <w:t>p.</w:t>
      </w:r>
      <w:r w:rsidRPr="00D15013">
        <w:rPr>
          <w:rFonts w:ascii="Times New Roman" w:hAnsi="Times New Roman" w:cs="Times New Roman"/>
          <w:sz w:val="24"/>
          <w:szCs w:val="24"/>
        </w:rPr>
        <w:t xml:space="preserve"> Magdy Gosk</w:t>
      </w:r>
      <w:r w:rsidR="00C95A22">
        <w:rPr>
          <w:rFonts w:ascii="Times New Roman" w:hAnsi="Times New Roman" w:cs="Times New Roman"/>
          <w:sz w:val="24"/>
          <w:szCs w:val="24"/>
        </w:rPr>
        <w:t>,</w:t>
      </w:r>
      <w:r w:rsidRPr="00D15013">
        <w:rPr>
          <w:rFonts w:ascii="Times New Roman" w:hAnsi="Times New Roman" w:cs="Times New Roman"/>
          <w:sz w:val="24"/>
          <w:szCs w:val="24"/>
        </w:rPr>
        <w:t xml:space="preserve"> p.o. Głównego Inspektora Ochrony Środowiska i </w:t>
      </w:r>
      <w:r w:rsidR="00C95A22">
        <w:rPr>
          <w:rFonts w:ascii="Times New Roman" w:hAnsi="Times New Roman" w:cs="Times New Roman"/>
          <w:sz w:val="24"/>
          <w:szCs w:val="24"/>
        </w:rPr>
        <w:t>p.</w:t>
      </w:r>
      <w:r w:rsidRPr="00D15013">
        <w:rPr>
          <w:rFonts w:ascii="Times New Roman" w:hAnsi="Times New Roman" w:cs="Times New Roman"/>
          <w:sz w:val="24"/>
          <w:szCs w:val="24"/>
        </w:rPr>
        <w:t xml:space="preserve"> Krzysztofa Gołębiowskiego</w:t>
      </w:r>
      <w:r w:rsidR="00C95A22">
        <w:rPr>
          <w:rFonts w:ascii="Times New Roman" w:hAnsi="Times New Roman" w:cs="Times New Roman"/>
          <w:sz w:val="24"/>
          <w:szCs w:val="24"/>
        </w:rPr>
        <w:t>,</w:t>
      </w:r>
      <w:r w:rsidRPr="00D15013">
        <w:rPr>
          <w:rFonts w:ascii="Times New Roman" w:hAnsi="Times New Roman" w:cs="Times New Roman"/>
          <w:sz w:val="24"/>
          <w:szCs w:val="24"/>
        </w:rPr>
        <w:t xml:space="preserve"> p.o. Zastępcy Głównego Inspektora Ochrony Środowiska, a także przedstawicieli Sejmu i Senatu RP oraz lokalnych władz samorządowych, w ramach funkcjonującej Pracowni w Jaśle Oddziału CLB w Rzeszowie, otwarto nowoczesną pracownię, której głównym zadaniem jest wykonywanie badań morfologii odpadów komunalnych oraz przygotowanie odpadów do dalszych badań fizyko–chemicznych, tj. analizy ilościowej i jakościowej w Pracowni w Rzeszowie. Wykonywanie tych badań znacznie usprawni pracę inspektorów </w:t>
      </w:r>
      <w:r w:rsidR="00C95A22">
        <w:rPr>
          <w:rFonts w:ascii="Times New Roman" w:hAnsi="Times New Roman" w:cs="Times New Roman"/>
          <w:sz w:val="24"/>
          <w:szCs w:val="24"/>
        </w:rPr>
        <w:t>w</w:t>
      </w:r>
      <w:r w:rsidRPr="00D15013">
        <w:rPr>
          <w:rFonts w:ascii="Times New Roman" w:hAnsi="Times New Roman" w:cs="Times New Roman"/>
          <w:sz w:val="24"/>
          <w:szCs w:val="24"/>
        </w:rPr>
        <w:t xml:space="preserve">ojewódzkich </w:t>
      </w:r>
      <w:r w:rsidR="00C95A22">
        <w:rPr>
          <w:rFonts w:ascii="Times New Roman" w:hAnsi="Times New Roman" w:cs="Times New Roman"/>
          <w:sz w:val="24"/>
          <w:szCs w:val="24"/>
        </w:rPr>
        <w:t>i</w:t>
      </w:r>
      <w:r w:rsidRPr="00D15013">
        <w:rPr>
          <w:rFonts w:ascii="Times New Roman" w:hAnsi="Times New Roman" w:cs="Times New Roman"/>
          <w:sz w:val="24"/>
          <w:szCs w:val="24"/>
        </w:rPr>
        <w:t xml:space="preserve">nspektoratów </w:t>
      </w:r>
      <w:r w:rsidR="00C95A22">
        <w:rPr>
          <w:rFonts w:ascii="Times New Roman" w:hAnsi="Times New Roman" w:cs="Times New Roman"/>
          <w:sz w:val="24"/>
          <w:szCs w:val="24"/>
        </w:rPr>
        <w:t>o</w:t>
      </w:r>
      <w:r w:rsidRPr="00D15013">
        <w:rPr>
          <w:rFonts w:ascii="Times New Roman" w:hAnsi="Times New Roman" w:cs="Times New Roman"/>
          <w:sz w:val="24"/>
          <w:szCs w:val="24"/>
        </w:rPr>
        <w:t xml:space="preserve">chrony </w:t>
      </w:r>
      <w:r w:rsidR="00C95A22">
        <w:rPr>
          <w:rFonts w:ascii="Times New Roman" w:hAnsi="Times New Roman" w:cs="Times New Roman"/>
          <w:sz w:val="24"/>
          <w:szCs w:val="24"/>
        </w:rPr>
        <w:t>ś</w:t>
      </w:r>
      <w:r w:rsidRPr="00D15013">
        <w:rPr>
          <w:rFonts w:ascii="Times New Roman" w:hAnsi="Times New Roman" w:cs="Times New Roman"/>
          <w:sz w:val="24"/>
          <w:szCs w:val="24"/>
        </w:rPr>
        <w:t xml:space="preserve">rodowiska </w:t>
      </w:r>
      <w:r w:rsidR="00672CAA">
        <w:rPr>
          <w:rFonts w:ascii="Times New Roman" w:hAnsi="Times New Roman" w:cs="Times New Roman"/>
          <w:sz w:val="24"/>
          <w:szCs w:val="24"/>
        </w:rPr>
        <w:br/>
      </w:r>
      <w:r w:rsidRPr="00D15013">
        <w:rPr>
          <w:rFonts w:ascii="Times New Roman" w:hAnsi="Times New Roman" w:cs="Times New Roman"/>
          <w:sz w:val="24"/>
          <w:szCs w:val="24"/>
        </w:rPr>
        <w:t xml:space="preserve">i Inspekcji GIOŚ w walce z przestępczością środowiskową oraz przyczyni się do ochrony środowiska. </w:t>
      </w:r>
    </w:p>
    <w:p w14:paraId="37A27EDF" w14:textId="54CAB269" w:rsidR="00D15013" w:rsidRPr="00D15013" w:rsidRDefault="00D15013" w:rsidP="00465E16">
      <w:pPr>
        <w:pStyle w:val="Akapitzlist"/>
        <w:tabs>
          <w:tab w:val="left" w:pos="11340"/>
        </w:tabs>
        <w:spacing w:line="300" w:lineRule="atLeast"/>
        <w:ind w:left="0" w:firstLine="709"/>
        <w:jc w:val="center"/>
        <w:rPr>
          <w:sz w:val="24"/>
          <w:szCs w:val="24"/>
        </w:rPr>
      </w:pPr>
      <w:r w:rsidRPr="00D15013">
        <w:rPr>
          <w:noProof/>
          <w:sz w:val="24"/>
          <w:szCs w:val="24"/>
          <w:lang w:val="pl-PL"/>
        </w:rPr>
        <w:drawing>
          <wp:inline distT="0" distB="0" distL="0" distR="0" wp14:anchorId="1E4FCF24" wp14:editId="2336E7FC">
            <wp:extent cx="4695825" cy="2238375"/>
            <wp:effectExtent l="0" t="0" r="9525" b="9525"/>
            <wp:docPr id="91" name="Obraz 91" descr="Zdjęcie 68. Badanie składu morfologicznego odpad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Obraz 91" descr="Zdjęcie 68. Badanie składu morfologicznego odpadów"/>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695825" cy="2238375"/>
                    </a:xfrm>
                    <a:prstGeom prst="rect">
                      <a:avLst/>
                    </a:prstGeom>
                    <a:noFill/>
                    <a:ln>
                      <a:noFill/>
                    </a:ln>
                  </pic:spPr>
                </pic:pic>
              </a:graphicData>
            </a:graphic>
          </wp:inline>
        </w:drawing>
      </w:r>
    </w:p>
    <w:p w14:paraId="6FE9F4F8" w14:textId="3E5E6AC2" w:rsidR="00D15013" w:rsidRPr="00C95A22" w:rsidRDefault="00C95A22" w:rsidP="00672CAA">
      <w:pPr>
        <w:pStyle w:val="Akapitzlist"/>
        <w:tabs>
          <w:tab w:val="left" w:pos="11340"/>
        </w:tabs>
        <w:spacing w:line="300" w:lineRule="atLeast"/>
        <w:ind w:left="0" w:firstLine="709"/>
        <w:jc w:val="center"/>
        <w:rPr>
          <w:b/>
          <w:sz w:val="22"/>
          <w:szCs w:val="22"/>
        </w:rPr>
      </w:pPr>
      <w:r w:rsidRPr="00C95A22">
        <w:rPr>
          <w:b/>
          <w:sz w:val="22"/>
          <w:szCs w:val="22"/>
          <w:lang w:val="pl-PL"/>
        </w:rPr>
        <w:t>Zdjęcie 6</w:t>
      </w:r>
      <w:r w:rsidR="00422EE0">
        <w:rPr>
          <w:b/>
          <w:sz w:val="22"/>
          <w:szCs w:val="22"/>
          <w:lang w:val="pl-PL"/>
        </w:rPr>
        <w:t>8</w:t>
      </w:r>
      <w:r w:rsidRPr="00C95A22">
        <w:rPr>
          <w:b/>
          <w:sz w:val="22"/>
          <w:szCs w:val="22"/>
          <w:lang w:val="pl-PL"/>
        </w:rPr>
        <w:t xml:space="preserve">. </w:t>
      </w:r>
      <w:r w:rsidR="00D15013" w:rsidRPr="00C95A22">
        <w:rPr>
          <w:b/>
          <w:sz w:val="22"/>
          <w:szCs w:val="22"/>
        </w:rPr>
        <w:t>Badanie składu morfologicznego odpadów</w:t>
      </w:r>
    </w:p>
    <w:p w14:paraId="7D67C4A0" w14:textId="77777777" w:rsidR="00D15013" w:rsidRPr="00D15013" w:rsidRDefault="00D15013" w:rsidP="00465E16">
      <w:pPr>
        <w:pStyle w:val="Akapitzlist"/>
        <w:tabs>
          <w:tab w:val="left" w:pos="11340"/>
        </w:tabs>
        <w:spacing w:line="300" w:lineRule="atLeast"/>
        <w:jc w:val="both"/>
        <w:rPr>
          <w:sz w:val="24"/>
          <w:szCs w:val="24"/>
        </w:rPr>
      </w:pPr>
    </w:p>
    <w:p w14:paraId="7366D270" w14:textId="7EB7FF73" w:rsidR="00D15013" w:rsidRPr="00C95A22" w:rsidRDefault="00D15013" w:rsidP="00D74E0B">
      <w:pPr>
        <w:spacing w:line="300" w:lineRule="atLeast"/>
        <w:ind w:firstLine="567"/>
        <w:contextualSpacing/>
        <w:jc w:val="both"/>
        <w:rPr>
          <w:rFonts w:ascii="Times New Roman" w:hAnsi="Times New Roman" w:cs="Times New Roman"/>
          <w:sz w:val="24"/>
          <w:szCs w:val="24"/>
        </w:rPr>
      </w:pPr>
      <w:r w:rsidRPr="00D15013">
        <w:rPr>
          <w:rFonts w:ascii="Times New Roman" w:hAnsi="Times New Roman" w:cs="Times New Roman"/>
          <w:sz w:val="24"/>
          <w:szCs w:val="24"/>
        </w:rPr>
        <w:t xml:space="preserve">Centralne Laboratorium Badawcze w 2022 roku uczestniczyło również w działaniach promocyjnych i edukacyjnych. W ramach działań edukacyjnych przedstawiono prezentacje dotyczące działalności CLB, jak również realizowane były praktyki i staże dla studentów różnych kierunków (farmacja, analityka chemiczna, technologia i inżynieria chemiczna itp.). Wielokrotnie pokazywano stacje monitoringu powietrza dla uczniów i studentów różnych uczelni i kierunków. Swoje działania CLB prezentowało również studentom zagranicznym m.in. w ramach projektu EMQAL „Erasmus </w:t>
      </w:r>
      <w:proofErr w:type="spellStart"/>
      <w:r w:rsidRPr="00D15013">
        <w:rPr>
          <w:rFonts w:ascii="Times New Roman" w:hAnsi="Times New Roman" w:cs="Times New Roman"/>
          <w:sz w:val="24"/>
          <w:szCs w:val="24"/>
        </w:rPr>
        <w:t>Mundus</w:t>
      </w:r>
      <w:proofErr w:type="spellEnd"/>
      <w:r w:rsidRPr="00D15013">
        <w:rPr>
          <w:rFonts w:ascii="Times New Roman" w:hAnsi="Times New Roman" w:cs="Times New Roman"/>
          <w:sz w:val="24"/>
          <w:szCs w:val="24"/>
        </w:rPr>
        <w:t xml:space="preserve"> Master in </w:t>
      </w:r>
      <w:proofErr w:type="spellStart"/>
      <w:r w:rsidRPr="00D15013">
        <w:rPr>
          <w:rFonts w:ascii="Times New Roman" w:hAnsi="Times New Roman" w:cs="Times New Roman"/>
          <w:sz w:val="24"/>
          <w:szCs w:val="24"/>
        </w:rPr>
        <w:t>Quality</w:t>
      </w:r>
      <w:proofErr w:type="spellEnd"/>
      <w:r w:rsidRPr="00D15013">
        <w:rPr>
          <w:rFonts w:ascii="Times New Roman" w:hAnsi="Times New Roman" w:cs="Times New Roman"/>
          <w:sz w:val="24"/>
          <w:szCs w:val="24"/>
        </w:rPr>
        <w:t xml:space="preserve"> in </w:t>
      </w:r>
      <w:proofErr w:type="spellStart"/>
      <w:r w:rsidRPr="00D15013">
        <w:rPr>
          <w:rFonts w:ascii="Times New Roman" w:hAnsi="Times New Roman" w:cs="Times New Roman"/>
          <w:sz w:val="24"/>
          <w:szCs w:val="24"/>
        </w:rPr>
        <w:t>Analitycal</w:t>
      </w:r>
      <w:proofErr w:type="spellEnd"/>
      <w:r w:rsidRPr="00D15013">
        <w:rPr>
          <w:rFonts w:ascii="Times New Roman" w:hAnsi="Times New Roman" w:cs="Times New Roman"/>
          <w:sz w:val="24"/>
          <w:szCs w:val="24"/>
        </w:rPr>
        <w:t xml:space="preserve"> Laboratories” czy dla studentów Uniwersytetu w Kopenhadze.</w:t>
      </w:r>
    </w:p>
    <w:p w14:paraId="4AA40960" w14:textId="4118F932" w:rsidR="00D15013" w:rsidRPr="00D15013" w:rsidRDefault="00D15013" w:rsidP="00D74E0B">
      <w:pPr>
        <w:spacing w:line="300" w:lineRule="atLeast"/>
        <w:ind w:firstLine="567"/>
        <w:contextualSpacing/>
        <w:jc w:val="both"/>
        <w:rPr>
          <w:rFonts w:ascii="Times New Roman" w:hAnsi="Times New Roman" w:cs="Times New Roman"/>
          <w:sz w:val="24"/>
          <w:szCs w:val="24"/>
        </w:rPr>
      </w:pPr>
      <w:r w:rsidRPr="00D15013">
        <w:rPr>
          <w:rFonts w:ascii="Times New Roman" w:hAnsi="Times New Roman" w:cs="Times New Roman"/>
          <w:sz w:val="24"/>
          <w:szCs w:val="24"/>
        </w:rPr>
        <w:t xml:space="preserve">Oddziały CLB w Gdańsku i w Szczecinie w 2022 roku realizowały pobierania próbek wód przejściowych i przybrzeżnych na potrzeby badań fizykochemicznych i fitoplanktonu we współpracy z Inspektoratem Rybołówstwa Morskiego, Strażą Graniczną, Urzędem Morskim </w:t>
      </w:r>
      <w:r w:rsidR="00F8085A">
        <w:rPr>
          <w:rFonts w:ascii="Times New Roman" w:hAnsi="Times New Roman" w:cs="Times New Roman"/>
          <w:sz w:val="24"/>
          <w:szCs w:val="24"/>
        </w:rPr>
        <w:br/>
      </w:r>
      <w:r w:rsidRPr="00D15013">
        <w:rPr>
          <w:rFonts w:ascii="Times New Roman" w:hAnsi="Times New Roman" w:cs="Times New Roman"/>
          <w:sz w:val="24"/>
          <w:szCs w:val="24"/>
        </w:rPr>
        <w:t xml:space="preserve">w Gdyni w zakresie pobierania bentosu morskiego ze statku Oceanograf. Ponadto, Centralne Laboratorium Badawcze współpracowało z Instytutem Ochrony Roślin - Państwowym Instytutem Badawczym w zakresie programu badania zlewni polskich rzek na narażenie ze strony działalności rolniczej. W ramach współpracy CLB realizowało pobierania próbek wód powierzchniowych na obecność zanieczyszczeń, w tym pozostałości środków ochrony roślin </w:t>
      </w:r>
      <w:r w:rsidR="00F8085A">
        <w:rPr>
          <w:rFonts w:ascii="Times New Roman" w:hAnsi="Times New Roman" w:cs="Times New Roman"/>
          <w:sz w:val="24"/>
          <w:szCs w:val="24"/>
        </w:rPr>
        <w:br/>
      </w:r>
      <w:r w:rsidRPr="00D15013">
        <w:rPr>
          <w:rFonts w:ascii="Times New Roman" w:hAnsi="Times New Roman" w:cs="Times New Roman"/>
          <w:sz w:val="24"/>
          <w:szCs w:val="24"/>
        </w:rPr>
        <w:t xml:space="preserve">w 80 punktach pomiarowo-kontrolnych na terenie całej Polski. </w:t>
      </w:r>
    </w:p>
    <w:p w14:paraId="1933F04E" w14:textId="5857E6FF" w:rsidR="00D15013" w:rsidRDefault="00D15013" w:rsidP="00F8085A">
      <w:pPr>
        <w:pStyle w:val="Akapitzlist"/>
        <w:spacing w:after="120" w:line="300" w:lineRule="atLeast"/>
        <w:ind w:left="0" w:firstLine="567"/>
        <w:contextualSpacing w:val="0"/>
        <w:jc w:val="both"/>
        <w:rPr>
          <w:sz w:val="24"/>
          <w:szCs w:val="24"/>
        </w:rPr>
      </w:pPr>
      <w:r w:rsidRPr="00D15013">
        <w:rPr>
          <w:sz w:val="24"/>
          <w:szCs w:val="24"/>
        </w:rPr>
        <w:t xml:space="preserve">Dodatkowo CLB zaangażowało się w organizację Dnia Dziecka w Warszawie, a prawie wszystkie oddziały CLB zorganizowały spotkania mikołajkowe dla dzieci szkół podstawowych, w ramach których demonstrowano działanie mierników hałasu, dronów, </w:t>
      </w:r>
      <w:r w:rsidRPr="00D15013">
        <w:rPr>
          <w:sz w:val="24"/>
          <w:szCs w:val="24"/>
        </w:rPr>
        <w:lastRenderedPageBreak/>
        <w:t xml:space="preserve">wykonywano proste doświadczenia chemiczne i umożliwiono dzieciom obserwacje mikroskopowe organizmów </w:t>
      </w:r>
      <w:proofErr w:type="spellStart"/>
      <w:r w:rsidRPr="00D15013">
        <w:rPr>
          <w:sz w:val="24"/>
          <w:szCs w:val="24"/>
        </w:rPr>
        <w:t>zoobentosowych</w:t>
      </w:r>
      <w:proofErr w:type="spellEnd"/>
      <w:r w:rsidRPr="00D15013">
        <w:rPr>
          <w:sz w:val="24"/>
          <w:szCs w:val="24"/>
        </w:rPr>
        <w:t xml:space="preserve">. </w:t>
      </w:r>
    </w:p>
    <w:p w14:paraId="3F45AFB6" w14:textId="77777777" w:rsidR="00422EE0" w:rsidRDefault="00422EE0" w:rsidP="00F8085A">
      <w:pPr>
        <w:pStyle w:val="Akapitzlist"/>
        <w:spacing w:after="120" w:line="300" w:lineRule="atLeast"/>
        <w:ind w:left="0" w:firstLine="567"/>
        <w:contextualSpacing w:val="0"/>
        <w:jc w:val="both"/>
        <w:rPr>
          <w:sz w:val="24"/>
          <w:szCs w:val="24"/>
        </w:rPr>
      </w:pPr>
    </w:p>
    <w:p w14:paraId="455DB0F7" w14:textId="662973F7" w:rsidR="00D15013" w:rsidRPr="00D15013" w:rsidRDefault="00D15013" w:rsidP="00672CAA">
      <w:pPr>
        <w:pStyle w:val="Akapitzlist"/>
        <w:tabs>
          <w:tab w:val="left" w:pos="11340"/>
        </w:tabs>
        <w:spacing w:line="300" w:lineRule="atLeast"/>
        <w:ind w:left="0" w:firstLine="709"/>
        <w:jc w:val="center"/>
        <w:rPr>
          <w:noProof/>
          <w:sz w:val="24"/>
          <w:szCs w:val="24"/>
        </w:rPr>
      </w:pPr>
      <w:r w:rsidRPr="00D15013">
        <w:rPr>
          <w:noProof/>
          <w:sz w:val="24"/>
          <w:szCs w:val="24"/>
          <w:lang w:val="pl-PL"/>
        </w:rPr>
        <w:drawing>
          <wp:inline distT="0" distB="0" distL="0" distR="0" wp14:anchorId="76CA5597" wp14:editId="7074EAE3">
            <wp:extent cx="4352925" cy="2973163"/>
            <wp:effectExtent l="0" t="0" r="0" b="0"/>
            <wp:docPr id="90" name="Obraz 90" descr="20221202_123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20221202_12375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357467" cy="2976265"/>
                    </a:xfrm>
                    <a:prstGeom prst="rect">
                      <a:avLst/>
                    </a:prstGeom>
                    <a:noFill/>
                    <a:ln>
                      <a:noFill/>
                    </a:ln>
                  </pic:spPr>
                </pic:pic>
              </a:graphicData>
            </a:graphic>
          </wp:inline>
        </w:drawing>
      </w:r>
    </w:p>
    <w:p w14:paraId="365ACCF9" w14:textId="62353D00" w:rsidR="00D15013" w:rsidRPr="00D15013" w:rsidRDefault="00D15013" w:rsidP="00672CAA">
      <w:pPr>
        <w:pStyle w:val="Akapitzlist"/>
        <w:tabs>
          <w:tab w:val="left" w:pos="11340"/>
        </w:tabs>
        <w:spacing w:line="300" w:lineRule="atLeast"/>
        <w:ind w:left="0" w:firstLine="709"/>
        <w:jc w:val="center"/>
        <w:rPr>
          <w:noProof/>
          <w:sz w:val="24"/>
          <w:szCs w:val="24"/>
        </w:rPr>
      </w:pPr>
      <w:r w:rsidRPr="00D15013">
        <w:rPr>
          <w:noProof/>
          <w:sz w:val="24"/>
          <w:szCs w:val="24"/>
          <w:lang w:val="pl-PL"/>
        </w:rPr>
        <w:drawing>
          <wp:inline distT="0" distB="0" distL="0" distR="0" wp14:anchorId="4B4286EE" wp14:editId="50640CE3">
            <wp:extent cx="2171700" cy="2914650"/>
            <wp:effectExtent l="0" t="0" r="0" b="0"/>
            <wp:docPr id="77" name="Obraz 77" descr="20221202_10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20221202_101020"/>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171700" cy="2914650"/>
                    </a:xfrm>
                    <a:prstGeom prst="rect">
                      <a:avLst/>
                    </a:prstGeom>
                    <a:noFill/>
                    <a:ln>
                      <a:noFill/>
                    </a:ln>
                  </pic:spPr>
                </pic:pic>
              </a:graphicData>
            </a:graphic>
          </wp:inline>
        </w:drawing>
      </w:r>
      <w:r w:rsidRPr="00D15013">
        <w:rPr>
          <w:noProof/>
          <w:sz w:val="24"/>
          <w:szCs w:val="24"/>
          <w:lang w:val="pl-PL"/>
        </w:rPr>
        <w:drawing>
          <wp:inline distT="0" distB="0" distL="0" distR="0" wp14:anchorId="523F22B7" wp14:editId="294F3536">
            <wp:extent cx="2466975" cy="2914650"/>
            <wp:effectExtent l="0" t="0" r="9525" b="0"/>
            <wp:docPr id="70" name="Obraz 70" descr="20221202_113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descr="20221202_113838"/>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466975" cy="2914650"/>
                    </a:xfrm>
                    <a:prstGeom prst="rect">
                      <a:avLst/>
                    </a:prstGeom>
                    <a:noFill/>
                    <a:ln>
                      <a:noFill/>
                    </a:ln>
                  </pic:spPr>
                </pic:pic>
              </a:graphicData>
            </a:graphic>
          </wp:inline>
        </w:drawing>
      </w:r>
    </w:p>
    <w:p w14:paraId="44440719" w14:textId="77777777" w:rsidR="00422EE0" w:rsidRPr="00F8085A" w:rsidRDefault="00422EE0" w:rsidP="00422EE0">
      <w:pPr>
        <w:pStyle w:val="Akapitzlist"/>
        <w:spacing w:line="300" w:lineRule="atLeast"/>
        <w:ind w:left="0" w:firstLine="567"/>
        <w:jc w:val="center"/>
        <w:rPr>
          <w:b/>
          <w:sz w:val="22"/>
          <w:szCs w:val="22"/>
        </w:rPr>
      </w:pPr>
      <w:r w:rsidRPr="00F8085A">
        <w:rPr>
          <w:b/>
          <w:sz w:val="22"/>
          <w:szCs w:val="22"/>
          <w:lang w:val="pl-PL"/>
        </w:rPr>
        <w:t>Zdjęcia 6</w:t>
      </w:r>
      <w:r>
        <w:rPr>
          <w:b/>
          <w:sz w:val="22"/>
          <w:szCs w:val="22"/>
          <w:lang w:val="pl-PL"/>
        </w:rPr>
        <w:t>9</w:t>
      </w:r>
      <w:r w:rsidRPr="00F8085A">
        <w:rPr>
          <w:b/>
          <w:sz w:val="22"/>
          <w:szCs w:val="22"/>
          <w:lang w:val="pl-PL"/>
        </w:rPr>
        <w:t>-</w:t>
      </w:r>
      <w:r>
        <w:rPr>
          <w:b/>
          <w:sz w:val="22"/>
          <w:szCs w:val="22"/>
          <w:lang w:val="pl-PL"/>
        </w:rPr>
        <w:t>70</w:t>
      </w:r>
    </w:p>
    <w:p w14:paraId="54762CBF" w14:textId="52D50E47" w:rsidR="00D15013" w:rsidRPr="00D15013" w:rsidRDefault="00D15013" w:rsidP="00465E16">
      <w:pPr>
        <w:pStyle w:val="Akapitzlist"/>
        <w:tabs>
          <w:tab w:val="left" w:pos="11340"/>
        </w:tabs>
        <w:spacing w:line="300" w:lineRule="atLeast"/>
        <w:ind w:left="0" w:firstLine="709"/>
        <w:jc w:val="both"/>
        <w:rPr>
          <w:sz w:val="24"/>
          <w:szCs w:val="24"/>
        </w:rPr>
      </w:pPr>
    </w:p>
    <w:p w14:paraId="7F6525F0" w14:textId="6721AEAE" w:rsidR="00D15013" w:rsidRPr="00D15013" w:rsidRDefault="00D918E7" w:rsidP="00F8085A">
      <w:pPr>
        <w:spacing w:line="300" w:lineRule="atLeast"/>
        <w:ind w:firstLine="567"/>
        <w:jc w:val="both"/>
        <w:rPr>
          <w:rFonts w:ascii="Times New Roman" w:hAnsi="Times New Roman" w:cs="Times New Roman"/>
          <w:sz w:val="24"/>
          <w:szCs w:val="24"/>
        </w:rPr>
      </w:pPr>
      <w:r>
        <w:rPr>
          <w:rFonts w:ascii="Times New Roman" w:hAnsi="Times New Roman" w:cs="Times New Roman"/>
          <w:sz w:val="24"/>
          <w:szCs w:val="24"/>
        </w:rPr>
        <w:t>U</w:t>
      </w:r>
      <w:r w:rsidR="00D15013" w:rsidRPr="00D15013">
        <w:rPr>
          <w:rFonts w:ascii="Times New Roman" w:hAnsi="Times New Roman" w:cs="Times New Roman"/>
          <w:sz w:val="24"/>
          <w:szCs w:val="24"/>
        </w:rPr>
        <w:t>trzymującym się wyzwaniem dla Laborato</w:t>
      </w:r>
      <w:r w:rsidR="00D15013">
        <w:rPr>
          <w:rFonts w:ascii="Times New Roman" w:hAnsi="Times New Roman" w:cs="Times New Roman"/>
          <w:sz w:val="24"/>
          <w:szCs w:val="24"/>
        </w:rPr>
        <w:t>r</w:t>
      </w:r>
      <w:r w:rsidR="00D15013" w:rsidRPr="00D15013">
        <w:rPr>
          <w:rFonts w:ascii="Times New Roman" w:hAnsi="Times New Roman" w:cs="Times New Roman"/>
          <w:sz w:val="24"/>
          <w:szCs w:val="24"/>
        </w:rPr>
        <w:t xml:space="preserve">ium są badania wykonywane w ramach monitoringu jezior. W 2022 roku CLB było w stanie przyjąć do realizacji ok. 53 % spośród zleconych 634 jezior. Brak możliwości realizacji programu w całości wynika przede wszystkim z bardzo dużej czasochłonności samego pobierania próbek, jak i wykonywania oznaczeń na jeziorach. </w:t>
      </w:r>
    </w:p>
    <w:p w14:paraId="275B70BE" w14:textId="5EFBC638" w:rsidR="00D15013" w:rsidRPr="00D15013" w:rsidRDefault="00D15013" w:rsidP="00465E16">
      <w:pPr>
        <w:spacing w:line="300" w:lineRule="atLeast"/>
        <w:jc w:val="both"/>
        <w:rPr>
          <w:rFonts w:ascii="Times New Roman" w:hAnsi="Times New Roman" w:cs="Times New Roman"/>
          <w:sz w:val="24"/>
          <w:szCs w:val="24"/>
        </w:rPr>
      </w:pPr>
      <w:r w:rsidRPr="00D15013">
        <w:rPr>
          <w:rFonts w:ascii="Times New Roman" w:hAnsi="Times New Roman" w:cs="Times New Roman"/>
          <w:noProof/>
          <w:sz w:val="24"/>
          <w:szCs w:val="24"/>
          <w:lang w:eastAsia="pl-PL"/>
        </w:rPr>
        <w:lastRenderedPageBreak/>
        <w:drawing>
          <wp:inline distT="0" distB="0" distL="0" distR="0" wp14:anchorId="5B23A08B" wp14:editId="69821557">
            <wp:extent cx="2419350" cy="2447925"/>
            <wp:effectExtent l="0" t="0" r="0" b="9525"/>
            <wp:docPr id="65" name="Obraz 65" descr="Zdjęcie 71. Z przebiegu oznaczania makrofitó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Obraz 65" descr="Zdjęcie 71. Z przebiegu oznaczania makrofitów              "/>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419350" cy="2447925"/>
                    </a:xfrm>
                    <a:prstGeom prst="rect">
                      <a:avLst/>
                    </a:prstGeom>
                    <a:noFill/>
                    <a:ln>
                      <a:noFill/>
                    </a:ln>
                  </pic:spPr>
                </pic:pic>
              </a:graphicData>
            </a:graphic>
          </wp:inline>
        </w:drawing>
      </w:r>
      <w:r w:rsidRPr="00D15013">
        <w:rPr>
          <w:rFonts w:ascii="Times New Roman" w:hAnsi="Times New Roman" w:cs="Times New Roman"/>
          <w:noProof/>
          <w:sz w:val="24"/>
          <w:szCs w:val="24"/>
        </w:rPr>
        <w:t xml:space="preserve">      </w:t>
      </w:r>
      <w:r w:rsidRPr="00D15013">
        <w:rPr>
          <w:rFonts w:ascii="Times New Roman" w:hAnsi="Times New Roman" w:cs="Times New Roman"/>
          <w:noProof/>
          <w:sz w:val="24"/>
          <w:szCs w:val="24"/>
          <w:lang w:eastAsia="pl-PL"/>
        </w:rPr>
        <w:drawing>
          <wp:inline distT="0" distB="0" distL="0" distR="0" wp14:anchorId="00D2DB14" wp14:editId="3A167C76">
            <wp:extent cx="3095625" cy="1762125"/>
            <wp:effectExtent l="0" t="0" r="9525" b="9525"/>
            <wp:docPr id="450" name="Obraz 450" descr="Zdjęcie 72. Wodowanie ło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Obraz 450" descr="Zdjęcie 72. Wodowanie łodzi"/>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095625" cy="1762125"/>
                    </a:xfrm>
                    <a:prstGeom prst="rect">
                      <a:avLst/>
                    </a:prstGeom>
                    <a:noFill/>
                    <a:ln>
                      <a:noFill/>
                    </a:ln>
                  </pic:spPr>
                </pic:pic>
              </a:graphicData>
            </a:graphic>
          </wp:inline>
        </w:drawing>
      </w:r>
    </w:p>
    <w:p w14:paraId="7A00E2A4" w14:textId="438B5B26" w:rsidR="00D15013" w:rsidRPr="00D15013" w:rsidRDefault="00F8085A" w:rsidP="00F8085A">
      <w:pPr>
        <w:spacing w:line="300" w:lineRule="atLeast"/>
        <w:rPr>
          <w:rFonts w:ascii="Times New Roman" w:hAnsi="Times New Roman" w:cs="Times New Roman"/>
          <w:sz w:val="24"/>
          <w:szCs w:val="24"/>
        </w:rPr>
      </w:pPr>
      <w:r w:rsidRPr="00F8085A">
        <w:rPr>
          <w:rFonts w:ascii="Times New Roman" w:hAnsi="Times New Roman" w:cs="Times New Roman"/>
          <w:b/>
        </w:rPr>
        <w:t>Zdjęcie 7</w:t>
      </w:r>
      <w:r w:rsidR="00E73C6D">
        <w:rPr>
          <w:rFonts w:ascii="Times New Roman" w:hAnsi="Times New Roman" w:cs="Times New Roman"/>
          <w:b/>
        </w:rPr>
        <w:t>1</w:t>
      </w:r>
      <w:r w:rsidRPr="00F8085A">
        <w:rPr>
          <w:rFonts w:ascii="Times New Roman" w:hAnsi="Times New Roman" w:cs="Times New Roman"/>
          <w:b/>
        </w:rPr>
        <w:t xml:space="preserve">. </w:t>
      </w:r>
      <w:r w:rsidR="00D15013" w:rsidRPr="00F8085A">
        <w:rPr>
          <w:rFonts w:ascii="Times New Roman" w:hAnsi="Times New Roman" w:cs="Times New Roman"/>
          <w:b/>
        </w:rPr>
        <w:t xml:space="preserve">Oznaczanie </w:t>
      </w:r>
      <w:proofErr w:type="spellStart"/>
      <w:r w:rsidR="00D15013" w:rsidRPr="00F8085A">
        <w:rPr>
          <w:rFonts w:ascii="Times New Roman" w:hAnsi="Times New Roman" w:cs="Times New Roman"/>
          <w:b/>
        </w:rPr>
        <w:t>makrofitów</w:t>
      </w:r>
      <w:proofErr w:type="spellEnd"/>
      <w:r w:rsidR="00D15013" w:rsidRPr="00D15013">
        <w:rPr>
          <w:rFonts w:ascii="Times New Roman" w:hAnsi="Times New Roman" w:cs="Times New Roman"/>
          <w:sz w:val="24"/>
          <w:szCs w:val="24"/>
        </w:rPr>
        <w:t xml:space="preserve">              </w:t>
      </w:r>
      <w:r w:rsidRPr="00F8085A">
        <w:rPr>
          <w:rFonts w:ascii="Times New Roman" w:hAnsi="Times New Roman" w:cs="Times New Roman"/>
          <w:b/>
        </w:rPr>
        <w:t>Zdjęcie 7</w:t>
      </w:r>
      <w:r w:rsidR="00E73C6D">
        <w:rPr>
          <w:rFonts w:ascii="Times New Roman" w:hAnsi="Times New Roman" w:cs="Times New Roman"/>
          <w:b/>
        </w:rPr>
        <w:t>2</w:t>
      </w:r>
      <w:r w:rsidRPr="00F8085A">
        <w:rPr>
          <w:rFonts w:ascii="Times New Roman" w:hAnsi="Times New Roman" w:cs="Times New Roman"/>
          <w:b/>
        </w:rPr>
        <w:t xml:space="preserve">. </w:t>
      </w:r>
      <w:r w:rsidR="00D15013" w:rsidRPr="00F8085A">
        <w:rPr>
          <w:rFonts w:ascii="Times New Roman" w:hAnsi="Times New Roman" w:cs="Times New Roman"/>
          <w:b/>
        </w:rPr>
        <w:t>Wodowanie łodzi</w:t>
      </w:r>
    </w:p>
    <w:p w14:paraId="195A1869" w14:textId="77777777" w:rsidR="00D15013" w:rsidRPr="00D15013" w:rsidRDefault="00D15013" w:rsidP="009321CA">
      <w:pPr>
        <w:spacing w:after="0" w:line="300" w:lineRule="atLeast"/>
        <w:ind w:firstLine="567"/>
        <w:jc w:val="both"/>
        <w:rPr>
          <w:rFonts w:ascii="Times New Roman" w:hAnsi="Times New Roman" w:cs="Times New Roman"/>
          <w:sz w:val="24"/>
          <w:szCs w:val="24"/>
        </w:rPr>
      </w:pPr>
      <w:r w:rsidRPr="00D15013">
        <w:rPr>
          <w:rFonts w:ascii="Times New Roman" w:hAnsi="Times New Roman" w:cs="Times New Roman"/>
          <w:sz w:val="24"/>
          <w:szCs w:val="24"/>
        </w:rPr>
        <w:t>W celu poprawienia i zracjonalizowania funkcjonowania CLB</w:t>
      </w:r>
      <w:r w:rsidRPr="009321CA">
        <w:rPr>
          <w:rFonts w:ascii="Times New Roman" w:hAnsi="Times New Roman" w:cs="Times New Roman"/>
          <w:sz w:val="24"/>
          <w:szCs w:val="24"/>
        </w:rPr>
        <w:t>, podejmowane</w:t>
      </w:r>
      <w:r w:rsidRPr="00D15013">
        <w:rPr>
          <w:rFonts w:ascii="Times New Roman" w:hAnsi="Times New Roman" w:cs="Times New Roman"/>
          <w:i/>
          <w:sz w:val="24"/>
          <w:szCs w:val="24"/>
        </w:rPr>
        <w:t xml:space="preserve"> </w:t>
      </w:r>
      <w:r w:rsidRPr="00D15013">
        <w:rPr>
          <w:rFonts w:ascii="Times New Roman" w:hAnsi="Times New Roman" w:cs="Times New Roman"/>
          <w:sz w:val="24"/>
          <w:szCs w:val="24"/>
        </w:rPr>
        <w:t xml:space="preserve">są działania zmierzające do wprowadzenia zmian w dwóch głównych obszarach: merytorycznym oraz obsłudze administracyjnej. </w:t>
      </w:r>
    </w:p>
    <w:p w14:paraId="1B92ADD3" w14:textId="5B8F4388" w:rsidR="00D15013" w:rsidRPr="000058C0" w:rsidRDefault="00D15013" w:rsidP="00D74E0B">
      <w:pPr>
        <w:spacing w:after="0" w:line="300" w:lineRule="atLeast"/>
        <w:ind w:firstLine="567"/>
        <w:jc w:val="both"/>
        <w:rPr>
          <w:rFonts w:ascii="Times New Roman" w:hAnsi="Times New Roman" w:cs="Times New Roman"/>
          <w:sz w:val="24"/>
          <w:szCs w:val="24"/>
        </w:rPr>
      </w:pPr>
      <w:r w:rsidRPr="000058C0">
        <w:rPr>
          <w:rFonts w:ascii="Times New Roman" w:hAnsi="Times New Roman" w:cs="Times New Roman"/>
          <w:sz w:val="24"/>
          <w:szCs w:val="24"/>
        </w:rPr>
        <w:t xml:space="preserve">W działalności merytorycznej jednym z priorytetów CLB jest dalsza specjalizacja w wykonywaniu badań i pomiarów w oparciu o specyfikę lokalizacji w powiązaniu z rzeczywistym obciążeniem poszczególnych oddziałów. Z uwagi na szeroki zakres działania </w:t>
      </w:r>
      <w:r w:rsidR="009321CA">
        <w:rPr>
          <w:rFonts w:ascii="Times New Roman" w:hAnsi="Times New Roman" w:cs="Times New Roman"/>
          <w:sz w:val="24"/>
          <w:szCs w:val="24"/>
        </w:rPr>
        <w:br/>
      </w:r>
      <w:r w:rsidRPr="000058C0">
        <w:rPr>
          <w:rFonts w:ascii="Times New Roman" w:hAnsi="Times New Roman" w:cs="Times New Roman"/>
          <w:sz w:val="24"/>
          <w:szCs w:val="24"/>
        </w:rPr>
        <w:t xml:space="preserve">i związanych z tym potrzeb, a w szczególności zakupów towarów i usług, wskazane jest zapewnienie w CLB wystarczających zasobów </w:t>
      </w:r>
      <w:proofErr w:type="spellStart"/>
      <w:r w:rsidRPr="000058C0">
        <w:rPr>
          <w:rFonts w:ascii="Times New Roman" w:hAnsi="Times New Roman" w:cs="Times New Roman"/>
          <w:sz w:val="24"/>
          <w:szCs w:val="24"/>
        </w:rPr>
        <w:t>organizacyjno</w:t>
      </w:r>
      <w:proofErr w:type="spellEnd"/>
      <w:r w:rsidRPr="000058C0">
        <w:rPr>
          <w:rFonts w:ascii="Times New Roman" w:hAnsi="Times New Roman" w:cs="Times New Roman"/>
          <w:sz w:val="24"/>
          <w:szCs w:val="24"/>
        </w:rPr>
        <w:t xml:space="preserve"> – logistycznych, niezbędnych do prawidłowego jego funkcjonowania.</w:t>
      </w:r>
    </w:p>
    <w:p w14:paraId="39BAB2CE" w14:textId="34438100" w:rsidR="000058C0" w:rsidRDefault="000058C0" w:rsidP="009321CA">
      <w:pPr>
        <w:spacing w:line="300" w:lineRule="atLeast"/>
        <w:ind w:firstLine="567"/>
        <w:jc w:val="both"/>
        <w:rPr>
          <w:rFonts w:ascii="Times New Roman" w:hAnsi="Times New Roman" w:cs="Times New Roman"/>
          <w:sz w:val="24"/>
          <w:szCs w:val="24"/>
        </w:rPr>
      </w:pPr>
      <w:r w:rsidRPr="000058C0">
        <w:rPr>
          <w:rFonts w:ascii="Times New Roman" w:hAnsi="Times New Roman" w:cs="Times New Roman"/>
          <w:sz w:val="24"/>
          <w:szCs w:val="24"/>
        </w:rPr>
        <w:t xml:space="preserve">W 2022 roku Centralne Laboratorium Badawcze w oparciu o program Państwowego Monitoringu Środowiska i zadania kontrolne wykonało ogółem 1 592 035 pomiarów/oznaczeń. Nieznacznie wzrósł stosunek liczby badań zrealizowanych w ramach monitoringu środowiska do liczby oznaczeń w ramach kontroli w odniesieniu do 2021 roku. </w:t>
      </w:r>
    </w:p>
    <w:p w14:paraId="1CB8B664" w14:textId="58281CDC" w:rsidR="00AF2B84" w:rsidRPr="00531DAA" w:rsidRDefault="00AF2B84" w:rsidP="009321CA">
      <w:pPr>
        <w:spacing w:line="300" w:lineRule="atLeast"/>
        <w:ind w:firstLine="567"/>
        <w:jc w:val="both"/>
        <w:rPr>
          <w:rFonts w:ascii="Times New Roman" w:hAnsi="Times New Roman" w:cs="Times New Roman"/>
          <w:b/>
        </w:rPr>
      </w:pPr>
      <w:r w:rsidRPr="00531DAA">
        <w:rPr>
          <w:rFonts w:ascii="Times New Roman" w:hAnsi="Times New Roman" w:cs="Times New Roman"/>
          <w:b/>
        </w:rPr>
        <w:t>Tabela</w:t>
      </w:r>
      <w:r w:rsidR="00531DAA" w:rsidRPr="00531DAA">
        <w:rPr>
          <w:rFonts w:ascii="Times New Roman" w:hAnsi="Times New Roman" w:cs="Times New Roman"/>
          <w:b/>
        </w:rPr>
        <w:t xml:space="preserve"> 32</w:t>
      </w:r>
      <w:r w:rsidRPr="00531DAA">
        <w:rPr>
          <w:rFonts w:ascii="Times New Roman" w:hAnsi="Times New Roman" w:cs="Times New Roman"/>
          <w:b/>
        </w:rPr>
        <w:t xml:space="preserve">. </w:t>
      </w:r>
      <w:r w:rsidR="00531DAA" w:rsidRPr="00531DAA">
        <w:rPr>
          <w:rFonts w:ascii="Times New Roman" w:hAnsi="Times New Roman" w:cs="Times New Roman"/>
          <w:b/>
        </w:rPr>
        <w:t xml:space="preserve"> </w:t>
      </w:r>
      <w:r w:rsidR="001244A4" w:rsidRPr="00531DAA">
        <w:rPr>
          <w:rFonts w:ascii="Times New Roman" w:hAnsi="Times New Roman" w:cs="Times New Roman"/>
          <w:b/>
        </w:rPr>
        <w:t>Liczba próbek pobranych w ramach PMŚ oraz w ramach kontroli IOŚ</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2"/>
        <w:gridCol w:w="3059"/>
        <w:gridCol w:w="7"/>
        <w:gridCol w:w="3224"/>
      </w:tblGrid>
      <w:tr w:rsidR="000058C0" w:rsidRPr="000058C0" w14:paraId="552CAD59" w14:textId="77777777" w:rsidTr="009321CA">
        <w:tc>
          <w:tcPr>
            <w:tcW w:w="2522" w:type="dxa"/>
            <w:shd w:val="clear" w:color="auto" w:fill="auto"/>
            <w:vAlign w:val="center"/>
          </w:tcPr>
          <w:p w14:paraId="6AFCDF30" w14:textId="37F43E85" w:rsidR="000058C0" w:rsidRPr="00D74E0B" w:rsidRDefault="000058C0" w:rsidP="00465E16">
            <w:pPr>
              <w:spacing w:line="300" w:lineRule="atLeast"/>
              <w:ind w:left="720"/>
              <w:rPr>
                <w:rFonts w:ascii="Times New Roman" w:hAnsi="Times New Roman" w:cs="Times New Roman"/>
                <w:b/>
                <w:bCs/>
              </w:rPr>
            </w:pPr>
            <w:r w:rsidRPr="00D74E0B">
              <w:rPr>
                <w:rFonts w:ascii="Times New Roman" w:hAnsi="Times New Roman" w:cs="Times New Roman"/>
                <w:b/>
                <w:bCs/>
              </w:rPr>
              <w:t>Ob</w:t>
            </w:r>
            <w:r w:rsidR="00E13551" w:rsidRPr="00D74E0B">
              <w:rPr>
                <w:rFonts w:ascii="Times New Roman" w:hAnsi="Times New Roman" w:cs="Times New Roman"/>
                <w:b/>
                <w:bCs/>
              </w:rPr>
              <w:t>szar badań</w:t>
            </w:r>
          </w:p>
        </w:tc>
        <w:tc>
          <w:tcPr>
            <w:tcW w:w="3059" w:type="dxa"/>
            <w:shd w:val="clear" w:color="auto" w:fill="auto"/>
            <w:vAlign w:val="center"/>
          </w:tcPr>
          <w:p w14:paraId="020B1267" w14:textId="6FFA67DB" w:rsidR="000058C0" w:rsidRPr="00D74E0B" w:rsidRDefault="000058C0" w:rsidP="00465E16">
            <w:pPr>
              <w:spacing w:line="300" w:lineRule="atLeast"/>
              <w:jc w:val="center"/>
              <w:rPr>
                <w:rFonts w:ascii="Times New Roman" w:hAnsi="Times New Roman" w:cs="Times New Roman"/>
                <w:b/>
                <w:bCs/>
              </w:rPr>
            </w:pPr>
            <w:r w:rsidRPr="00D74E0B">
              <w:rPr>
                <w:rFonts w:ascii="Times New Roman" w:hAnsi="Times New Roman" w:cs="Times New Roman"/>
                <w:b/>
                <w:bCs/>
              </w:rPr>
              <w:t>Liczba pobranych próbek w ramach PMŚ</w:t>
            </w:r>
          </w:p>
        </w:tc>
        <w:tc>
          <w:tcPr>
            <w:tcW w:w="3231" w:type="dxa"/>
            <w:gridSpan w:val="2"/>
            <w:shd w:val="clear" w:color="auto" w:fill="auto"/>
            <w:vAlign w:val="center"/>
          </w:tcPr>
          <w:p w14:paraId="7DCDA480" w14:textId="221EB098" w:rsidR="000058C0" w:rsidRPr="00D74E0B" w:rsidRDefault="000058C0" w:rsidP="00465E16">
            <w:pPr>
              <w:spacing w:line="300" w:lineRule="atLeast"/>
              <w:jc w:val="center"/>
              <w:rPr>
                <w:rFonts w:ascii="Times New Roman" w:hAnsi="Times New Roman" w:cs="Times New Roman"/>
                <w:b/>
                <w:bCs/>
              </w:rPr>
            </w:pPr>
            <w:r w:rsidRPr="00D74E0B">
              <w:rPr>
                <w:rFonts w:ascii="Times New Roman" w:hAnsi="Times New Roman" w:cs="Times New Roman"/>
                <w:b/>
                <w:bCs/>
              </w:rPr>
              <w:t xml:space="preserve">Liczba pobranych próbek </w:t>
            </w:r>
            <w:r w:rsidR="009321CA" w:rsidRPr="00D74E0B">
              <w:rPr>
                <w:rFonts w:ascii="Times New Roman" w:hAnsi="Times New Roman" w:cs="Times New Roman"/>
                <w:b/>
                <w:bCs/>
              </w:rPr>
              <w:br/>
            </w:r>
            <w:r w:rsidRPr="00D74E0B">
              <w:rPr>
                <w:rFonts w:ascii="Times New Roman" w:hAnsi="Times New Roman" w:cs="Times New Roman"/>
                <w:b/>
                <w:bCs/>
              </w:rPr>
              <w:t>w ramach kontroli Inspekcji Ochrony Środowiska</w:t>
            </w:r>
          </w:p>
        </w:tc>
      </w:tr>
      <w:tr w:rsidR="000058C0" w:rsidRPr="000058C0" w14:paraId="537669F0" w14:textId="77777777" w:rsidTr="009321CA">
        <w:tc>
          <w:tcPr>
            <w:tcW w:w="2522" w:type="dxa"/>
            <w:shd w:val="clear" w:color="auto" w:fill="auto"/>
          </w:tcPr>
          <w:p w14:paraId="2E032100" w14:textId="77777777" w:rsidR="000058C0" w:rsidRPr="00D74E0B" w:rsidRDefault="000058C0" w:rsidP="00465E16">
            <w:pPr>
              <w:spacing w:line="300" w:lineRule="atLeast"/>
              <w:jc w:val="both"/>
              <w:rPr>
                <w:rFonts w:ascii="Times New Roman" w:hAnsi="Times New Roman" w:cs="Times New Roman"/>
              </w:rPr>
            </w:pPr>
            <w:r w:rsidRPr="00D74E0B">
              <w:rPr>
                <w:rFonts w:ascii="Times New Roman" w:hAnsi="Times New Roman" w:cs="Times New Roman"/>
              </w:rPr>
              <w:t>Woda, ścieki</w:t>
            </w:r>
          </w:p>
        </w:tc>
        <w:tc>
          <w:tcPr>
            <w:tcW w:w="3059" w:type="dxa"/>
            <w:shd w:val="clear" w:color="auto" w:fill="auto"/>
            <w:vAlign w:val="center"/>
          </w:tcPr>
          <w:p w14:paraId="4915C588" w14:textId="77777777" w:rsidR="000058C0" w:rsidRPr="00D74E0B" w:rsidRDefault="000058C0" w:rsidP="00465E16">
            <w:pPr>
              <w:spacing w:line="300" w:lineRule="atLeast"/>
              <w:jc w:val="center"/>
              <w:rPr>
                <w:rFonts w:ascii="Times New Roman" w:hAnsi="Times New Roman" w:cs="Times New Roman"/>
              </w:rPr>
            </w:pPr>
            <w:r w:rsidRPr="00D74E0B">
              <w:rPr>
                <w:rFonts w:ascii="Times New Roman" w:hAnsi="Times New Roman" w:cs="Times New Roman"/>
              </w:rPr>
              <w:t>37 928</w:t>
            </w:r>
          </w:p>
        </w:tc>
        <w:tc>
          <w:tcPr>
            <w:tcW w:w="3231" w:type="dxa"/>
            <w:gridSpan w:val="2"/>
            <w:shd w:val="clear" w:color="auto" w:fill="auto"/>
            <w:vAlign w:val="center"/>
          </w:tcPr>
          <w:p w14:paraId="6347C5A6" w14:textId="77777777" w:rsidR="000058C0" w:rsidRPr="00D74E0B" w:rsidRDefault="000058C0" w:rsidP="00465E16">
            <w:pPr>
              <w:spacing w:line="300" w:lineRule="atLeast"/>
              <w:jc w:val="center"/>
              <w:rPr>
                <w:rFonts w:ascii="Times New Roman" w:hAnsi="Times New Roman" w:cs="Times New Roman"/>
              </w:rPr>
            </w:pPr>
            <w:r w:rsidRPr="00D74E0B">
              <w:rPr>
                <w:rFonts w:ascii="Times New Roman" w:hAnsi="Times New Roman" w:cs="Times New Roman"/>
              </w:rPr>
              <w:t>8 019</w:t>
            </w:r>
          </w:p>
        </w:tc>
      </w:tr>
      <w:tr w:rsidR="000058C0" w:rsidRPr="000058C0" w14:paraId="6F7D5B10" w14:textId="77777777" w:rsidTr="009321CA">
        <w:tc>
          <w:tcPr>
            <w:tcW w:w="2522" w:type="dxa"/>
            <w:shd w:val="clear" w:color="auto" w:fill="auto"/>
          </w:tcPr>
          <w:p w14:paraId="00CB06F7" w14:textId="77777777" w:rsidR="000058C0" w:rsidRPr="00D74E0B" w:rsidRDefault="000058C0" w:rsidP="00465E16">
            <w:pPr>
              <w:spacing w:line="300" w:lineRule="atLeast"/>
              <w:jc w:val="both"/>
              <w:rPr>
                <w:rFonts w:ascii="Times New Roman" w:hAnsi="Times New Roman" w:cs="Times New Roman"/>
              </w:rPr>
            </w:pPr>
            <w:r w:rsidRPr="00D74E0B">
              <w:rPr>
                <w:rFonts w:ascii="Times New Roman" w:hAnsi="Times New Roman" w:cs="Times New Roman"/>
              </w:rPr>
              <w:t>Powietrze atmosferyczne</w:t>
            </w:r>
          </w:p>
        </w:tc>
        <w:tc>
          <w:tcPr>
            <w:tcW w:w="3059" w:type="dxa"/>
            <w:shd w:val="clear" w:color="auto" w:fill="auto"/>
            <w:vAlign w:val="center"/>
          </w:tcPr>
          <w:p w14:paraId="07D6DEFE" w14:textId="77777777" w:rsidR="000058C0" w:rsidRPr="00D74E0B" w:rsidRDefault="000058C0" w:rsidP="00465E16">
            <w:pPr>
              <w:spacing w:line="300" w:lineRule="atLeast"/>
              <w:jc w:val="center"/>
              <w:rPr>
                <w:rFonts w:ascii="Times New Roman" w:hAnsi="Times New Roman" w:cs="Times New Roman"/>
              </w:rPr>
            </w:pPr>
            <w:r w:rsidRPr="00D74E0B">
              <w:rPr>
                <w:rFonts w:ascii="Times New Roman" w:hAnsi="Times New Roman" w:cs="Times New Roman"/>
              </w:rPr>
              <w:t>329 483</w:t>
            </w:r>
          </w:p>
        </w:tc>
        <w:tc>
          <w:tcPr>
            <w:tcW w:w="3231" w:type="dxa"/>
            <w:gridSpan w:val="2"/>
            <w:shd w:val="clear" w:color="auto" w:fill="auto"/>
            <w:vAlign w:val="center"/>
          </w:tcPr>
          <w:p w14:paraId="59355EA9" w14:textId="77777777" w:rsidR="000058C0" w:rsidRPr="00D74E0B" w:rsidRDefault="000058C0" w:rsidP="00465E16">
            <w:pPr>
              <w:spacing w:line="300" w:lineRule="atLeast"/>
              <w:jc w:val="center"/>
              <w:rPr>
                <w:rFonts w:ascii="Times New Roman" w:hAnsi="Times New Roman" w:cs="Times New Roman"/>
              </w:rPr>
            </w:pPr>
            <w:r w:rsidRPr="00D74E0B">
              <w:rPr>
                <w:rFonts w:ascii="Times New Roman" w:hAnsi="Times New Roman" w:cs="Times New Roman"/>
              </w:rPr>
              <w:t>374</w:t>
            </w:r>
          </w:p>
        </w:tc>
      </w:tr>
      <w:tr w:rsidR="000058C0" w:rsidRPr="000058C0" w14:paraId="2AA428A4" w14:textId="77777777" w:rsidTr="009321CA">
        <w:tc>
          <w:tcPr>
            <w:tcW w:w="2522" w:type="dxa"/>
            <w:shd w:val="clear" w:color="auto" w:fill="auto"/>
          </w:tcPr>
          <w:p w14:paraId="371B58EB" w14:textId="77777777" w:rsidR="000058C0" w:rsidRPr="00D74E0B" w:rsidRDefault="000058C0" w:rsidP="00465E16">
            <w:pPr>
              <w:spacing w:line="300" w:lineRule="atLeast"/>
              <w:jc w:val="both"/>
              <w:rPr>
                <w:rFonts w:ascii="Times New Roman" w:hAnsi="Times New Roman" w:cs="Times New Roman"/>
              </w:rPr>
            </w:pPr>
            <w:r w:rsidRPr="00D74E0B">
              <w:rPr>
                <w:rFonts w:ascii="Times New Roman" w:hAnsi="Times New Roman" w:cs="Times New Roman"/>
              </w:rPr>
              <w:t>Gleby</w:t>
            </w:r>
          </w:p>
        </w:tc>
        <w:tc>
          <w:tcPr>
            <w:tcW w:w="3059" w:type="dxa"/>
            <w:shd w:val="clear" w:color="auto" w:fill="auto"/>
            <w:vAlign w:val="center"/>
          </w:tcPr>
          <w:p w14:paraId="2F2EFCA0" w14:textId="77777777" w:rsidR="000058C0" w:rsidRPr="00D74E0B" w:rsidRDefault="000058C0" w:rsidP="00465E16">
            <w:pPr>
              <w:spacing w:line="300" w:lineRule="atLeast"/>
              <w:jc w:val="center"/>
              <w:rPr>
                <w:rFonts w:ascii="Times New Roman" w:hAnsi="Times New Roman" w:cs="Times New Roman"/>
              </w:rPr>
            </w:pPr>
            <w:r w:rsidRPr="00D74E0B">
              <w:rPr>
                <w:rFonts w:ascii="Times New Roman" w:hAnsi="Times New Roman" w:cs="Times New Roman"/>
              </w:rPr>
              <w:t>0</w:t>
            </w:r>
          </w:p>
        </w:tc>
        <w:tc>
          <w:tcPr>
            <w:tcW w:w="3231" w:type="dxa"/>
            <w:gridSpan w:val="2"/>
            <w:shd w:val="clear" w:color="auto" w:fill="auto"/>
            <w:vAlign w:val="center"/>
          </w:tcPr>
          <w:p w14:paraId="389E4404" w14:textId="77777777" w:rsidR="000058C0" w:rsidRPr="00D74E0B" w:rsidRDefault="000058C0" w:rsidP="00465E16">
            <w:pPr>
              <w:spacing w:line="300" w:lineRule="atLeast"/>
              <w:jc w:val="center"/>
              <w:rPr>
                <w:rFonts w:ascii="Times New Roman" w:hAnsi="Times New Roman" w:cs="Times New Roman"/>
              </w:rPr>
            </w:pPr>
            <w:r w:rsidRPr="00D74E0B">
              <w:rPr>
                <w:rFonts w:ascii="Times New Roman" w:hAnsi="Times New Roman" w:cs="Times New Roman"/>
              </w:rPr>
              <w:t>726</w:t>
            </w:r>
          </w:p>
        </w:tc>
      </w:tr>
      <w:tr w:rsidR="000058C0" w:rsidRPr="000058C0" w14:paraId="0A599472" w14:textId="77777777" w:rsidTr="009321CA">
        <w:tc>
          <w:tcPr>
            <w:tcW w:w="2522" w:type="dxa"/>
            <w:shd w:val="clear" w:color="auto" w:fill="auto"/>
          </w:tcPr>
          <w:p w14:paraId="76B7F796" w14:textId="77777777" w:rsidR="000058C0" w:rsidRPr="00D74E0B" w:rsidRDefault="000058C0" w:rsidP="00465E16">
            <w:pPr>
              <w:spacing w:line="300" w:lineRule="atLeast"/>
              <w:jc w:val="both"/>
              <w:rPr>
                <w:rFonts w:ascii="Times New Roman" w:hAnsi="Times New Roman" w:cs="Times New Roman"/>
              </w:rPr>
            </w:pPr>
            <w:r w:rsidRPr="00D74E0B">
              <w:rPr>
                <w:rFonts w:ascii="Times New Roman" w:hAnsi="Times New Roman" w:cs="Times New Roman"/>
              </w:rPr>
              <w:t xml:space="preserve">Odpady </w:t>
            </w:r>
          </w:p>
        </w:tc>
        <w:tc>
          <w:tcPr>
            <w:tcW w:w="3059" w:type="dxa"/>
            <w:shd w:val="clear" w:color="auto" w:fill="auto"/>
            <w:vAlign w:val="center"/>
          </w:tcPr>
          <w:p w14:paraId="0AA237CC" w14:textId="77777777" w:rsidR="000058C0" w:rsidRPr="00D74E0B" w:rsidRDefault="000058C0" w:rsidP="00465E16">
            <w:pPr>
              <w:spacing w:line="300" w:lineRule="atLeast"/>
              <w:jc w:val="center"/>
              <w:rPr>
                <w:rFonts w:ascii="Times New Roman" w:hAnsi="Times New Roman" w:cs="Times New Roman"/>
              </w:rPr>
            </w:pPr>
            <w:r w:rsidRPr="00D74E0B">
              <w:rPr>
                <w:rFonts w:ascii="Times New Roman" w:hAnsi="Times New Roman" w:cs="Times New Roman"/>
              </w:rPr>
              <w:t>0</w:t>
            </w:r>
          </w:p>
        </w:tc>
        <w:tc>
          <w:tcPr>
            <w:tcW w:w="3231" w:type="dxa"/>
            <w:gridSpan w:val="2"/>
            <w:shd w:val="clear" w:color="auto" w:fill="auto"/>
            <w:vAlign w:val="center"/>
          </w:tcPr>
          <w:p w14:paraId="0C433BCB" w14:textId="77777777" w:rsidR="000058C0" w:rsidRPr="00D74E0B" w:rsidRDefault="000058C0" w:rsidP="00465E16">
            <w:pPr>
              <w:spacing w:line="300" w:lineRule="atLeast"/>
              <w:jc w:val="center"/>
              <w:rPr>
                <w:rFonts w:ascii="Times New Roman" w:hAnsi="Times New Roman" w:cs="Times New Roman"/>
              </w:rPr>
            </w:pPr>
            <w:r w:rsidRPr="00D74E0B">
              <w:rPr>
                <w:rFonts w:ascii="Times New Roman" w:hAnsi="Times New Roman" w:cs="Times New Roman"/>
              </w:rPr>
              <w:t>418</w:t>
            </w:r>
          </w:p>
        </w:tc>
      </w:tr>
      <w:tr w:rsidR="000058C0" w:rsidRPr="000058C0" w14:paraId="7D702DDB" w14:textId="77777777" w:rsidTr="009321CA">
        <w:tc>
          <w:tcPr>
            <w:tcW w:w="2522" w:type="dxa"/>
            <w:shd w:val="clear" w:color="auto" w:fill="auto"/>
          </w:tcPr>
          <w:p w14:paraId="29A087A6" w14:textId="77777777" w:rsidR="000058C0" w:rsidRPr="00D74E0B" w:rsidRDefault="000058C0" w:rsidP="00465E16">
            <w:pPr>
              <w:spacing w:line="300" w:lineRule="atLeast"/>
              <w:jc w:val="both"/>
              <w:rPr>
                <w:rFonts w:ascii="Times New Roman" w:hAnsi="Times New Roman" w:cs="Times New Roman"/>
                <w:b/>
                <w:bCs/>
              </w:rPr>
            </w:pPr>
            <w:r w:rsidRPr="00D74E0B">
              <w:rPr>
                <w:rFonts w:ascii="Times New Roman" w:hAnsi="Times New Roman" w:cs="Times New Roman"/>
                <w:b/>
                <w:bCs/>
              </w:rPr>
              <w:t>RAZEM</w:t>
            </w:r>
          </w:p>
        </w:tc>
        <w:tc>
          <w:tcPr>
            <w:tcW w:w="3059" w:type="dxa"/>
            <w:shd w:val="clear" w:color="auto" w:fill="auto"/>
            <w:vAlign w:val="center"/>
          </w:tcPr>
          <w:p w14:paraId="0E80A18E" w14:textId="77777777" w:rsidR="000058C0" w:rsidRPr="00D74E0B" w:rsidRDefault="000058C0" w:rsidP="00465E16">
            <w:pPr>
              <w:spacing w:line="300" w:lineRule="atLeast"/>
              <w:jc w:val="center"/>
              <w:rPr>
                <w:rFonts w:ascii="Times New Roman" w:hAnsi="Times New Roman" w:cs="Times New Roman"/>
                <w:b/>
                <w:bCs/>
              </w:rPr>
            </w:pPr>
            <w:r w:rsidRPr="00D74E0B">
              <w:rPr>
                <w:rFonts w:ascii="Times New Roman" w:hAnsi="Times New Roman" w:cs="Times New Roman"/>
                <w:b/>
                <w:bCs/>
              </w:rPr>
              <w:t>367 411</w:t>
            </w:r>
          </w:p>
        </w:tc>
        <w:tc>
          <w:tcPr>
            <w:tcW w:w="3231" w:type="dxa"/>
            <w:gridSpan w:val="2"/>
            <w:shd w:val="clear" w:color="auto" w:fill="auto"/>
            <w:vAlign w:val="center"/>
          </w:tcPr>
          <w:p w14:paraId="77C28B8A" w14:textId="77777777" w:rsidR="000058C0" w:rsidRPr="00D74E0B" w:rsidRDefault="000058C0" w:rsidP="00465E16">
            <w:pPr>
              <w:spacing w:line="300" w:lineRule="atLeast"/>
              <w:jc w:val="center"/>
              <w:rPr>
                <w:rFonts w:ascii="Times New Roman" w:hAnsi="Times New Roman" w:cs="Times New Roman"/>
                <w:b/>
                <w:bCs/>
              </w:rPr>
            </w:pPr>
            <w:r w:rsidRPr="00D74E0B">
              <w:rPr>
                <w:rFonts w:ascii="Times New Roman" w:hAnsi="Times New Roman" w:cs="Times New Roman"/>
                <w:b/>
                <w:bCs/>
              </w:rPr>
              <w:t>10 537</w:t>
            </w:r>
          </w:p>
        </w:tc>
      </w:tr>
      <w:tr w:rsidR="000058C0" w:rsidRPr="000058C0" w14:paraId="114EE8E9" w14:textId="77777777" w:rsidTr="00D74E0B">
        <w:tc>
          <w:tcPr>
            <w:tcW w:w="2522" w:type="dxa"/>
            <w:shd w:val="clear" w:color="auto" w:fill="auto"/>
            <w:vAlign w:val="center"/>
          </w:tcPr>
          <w:p w14:paraId="297D4873" w14:textId="1EAC8619" w:rsidR="000058C0" w:rsidRPr="00D74E0B" w:rsidRDefault="000058C0" w:rsidP="00465E16">
            <w:pPr>
              <w:spacing w:line="300" w:lineRule="atLeast"/>
              <w:jc w:val="center"/>
              <w:rPr>
                <w:rFonts w:ascii="Times New Roman" w:hAnsi="Times New Roman" w:cs="Times New Roman"/>
                <w:b/>
                <w:bCs/>
              </w:rPr>
            </w:pPr>
            <w:r w:rsidRPr="00D74E0B">
              <w:rPr>
                <w:rFonts w:ascii="Times New Roman" w:hAnsi="Times New Roman" w:cs="Times New Roman"/>
                <w:b/>
                <w:bCs/>
              </w:rPr>
              <w:t>Ob</w:t>
            </w:r>
            <w:r w:rsidR="001244A4" w:rsidRPr="00D74E0B">
              <w:rPr>
                <w:rFonts w:ascii="Times New Roman" w:hAnsi="Times New Roman" w:cs="Times New Roman"/>
                <w:b/>
                <w:bCs/>
              </w:rPr>
              <w:t xml:space="preserve">szar badań </w:t>
            </w:r>
          </w:p>
        </w:tc>
        <w:tc>
          <w:tcPr>
            <w:tcW w:w="3066" w:type="dxa"/>
            <w:gridSpan w:val="2"/>
            <w:shd w:val="clear" w:color="auto" w:fill="auto"/>
            <w:vAlign w:val="center"/>
          </w:tcPr>
          <w:p w14:paraId="4651335A" w14:textId="77777777" w:rsidR="000058C0" w:rsidRPr="00D74E0B" w:rsidRDefault="000058C0" w:rsidP="00465E16">
            <w:pPr>
              <w:spacing w:line="300" w:lineRule="atLeast"/>
              <w:jc w:val="center"/>
              <w:rPr>
                <w:rFonts w:ascii="Times New Roman" w:hAnsi="Times New Roman" w:cs="Times New Roman"/>
                <w:b/>
                <w:bCs/>
              </w:rPr>
            </w:pPr>
            <w:r w:rsidRPr="00D74E0B">
              <w:rPr>
                <w:rFonts w:ascii="Times New Roman" w:hAnsi="Times New Roman" w:cs="Times New Roman"/>
                <w:b/>
                <w:bCs/>
              </w:rPr>
              <w:t>Liczba oznaczeń wykonanych w ramach PMŚ</w:t>
            </w:r>
          </w:p>
        </w:tc>
        <w:tc>
          <w:tcPr>
            <w:tcW w:w="3224" w:type="dxa"/>
            <w:shd w:val="clear" w:color="auto" w:fill="auto"/>
            <w:vAlign w:val="center"/>
          </w:tcPr>
          <w:p w14:paraId="342BD9CA" w14:textId="77777777" w:rsidR="000058C0" w:rsidRPr="00D74E0B" w:rsidRDefault="000058C0" w:rsidP="00465E16">
            <w:pPr>
              <w:spacing w:line="300" w:lineRule="atLeast"/>
              <w:jc w:val="center"/>
              <w:rPr>
                <w:rFonts w:ascii="Times New Roman" w:hAnsi="Times New Roman" w:cs="Times New Roman"/>
                <w:b/>
                <w:bCs/>
              </w:rPr>
            </w:pPr>
            <w:r w:rsidRPr="00D74E0B">
              <w:rPr>
                <w:rFonts w:ascii="Times New Roman" w:hAnsi="Times New Roman" w:cs="Times New Roman"/>
                <w:b/>
                <w:bCs/>
              </w:rPr>
              <w:t>Liczba oznaczeń w ramach kontroli Inspekcji WIOŚ</w:t>
            </w:r>
          </w:p>
        </w:tc>
      </w:tr>
      <w:tr w:rsidR="000058C0" w:rsidRPr="000058C0" w14:paraId="18CD9798" w14:textId="77777777" w:rsidTr="00D74E0B">
        <w:tc>
          <w:tcPr>
            <w:tcW w:w="2522" w:type="dxa"/>
            <w:shd w:val="clear" w:color="auto" w:fill="auto"/>
          </w:tcPr>
          <w:p w14:paraId="1B49F3E9" w14:textId="77777777" w:rsidR="000058C0" w:rsidRPr="00D74E0B" w:rsidRDefault="000058C0" w:rsidP="00465E16">
            <w:pPr>
              <w:spacing w:line="300" w:lineRule="atLeast"/>
              <w:jc w:val="both"/>
              <w:rPr>
                <w:rFonts w:ascii="Times New Roman" w:hAnsi="Times New Roman" w:cs="Times New Roman"/>
              </w:rPr>
            </w:pPr>
            <w:r w:rsidRPr="00D74E0B">
              <w:rPr>
                <w:rFonts w:ascii="Times New Roman" w:hAnsi="Times New Roman" w:cs="Times New Roman"/>
              </w:rPr>
              <w:t>Woda, ścieki</w:t>
            </w:r>
          </w:p>
        </w:tc>
        <w:tc>
          <w:tcPr>
            <w:tcW w:w="3066" w:type="dxa"/>
            <w:gridSpan w:val="2"/>
            <w:shd w:val="clear" w:color="auto" w:fill="auto"/>
            <w:vAlign w:val="center"/>
          </w:tcPr>
          <w:p w14:paraId="7F1EED22" w14:textId="77777777" w:rsidR="000058C0" w:rsidRPr="00D74E0B" w:rsidRDefault="000058C0" w:rsidP="00465E16">
            <w:pPr>
              <w:spacing w:line="300" w:lineRule="atLeast"/>
              <w:jc w:val="center"/>
              <w:rPr>
                <w:rFonts w:ascii="Times New Roman" w:hAnsi="Times New Roman" w:cs="Times New Roman"/>
              </w:rPr>
            </w:pPr>
            <w:r w:rsidRPr="00D74E0B">
              <w:rPr>
                <w:rFonts w:ascii="Times New Roman" w:hAnsi="Times New Roman" w:cs="Times New Roman"/>
              </w:rPr>
              <w:t>684 397</w:t>
            </w:r>
          </w:p>
        </w:tc>
        <w:tc>
          <w:tcPr>
            <w:tcW w:w="3224" w:type="dxa"/>
            <w:shd w:val="clear" w:color="auto" w:fill="auto"/>
            <w:vAlign w:val="center"/>
          </w:tcPr>
          <w:p w14:paraId="607C3A18" w14:textId="77777777" w:rsidR="000058C0" w:rsidRPr="00D74E0B" w:rsidRDefault="000058C0" w:rsidP="00465E16">
            <w:pPr>
              <w:spacing w:line="300" w:lineRule="atLeast"/>
              <w:jc w:val="center"/>
              <w:rPr>
                <w:rFonts w:ascii="Times New Roman" w:hAnsi="Times New Roman" w:cs="Times New Roman"/>
              </w:rPr>
            </w:pPr>
            <w:r w:rsidRPr="00D74E0B">
              <w:rPr>
                <w:rFonts w:ascii="Times New Roman" w:hAnsi="Times New Roman" w:cs="Times New Roman"/>
              </w:rPr>
              <w:t>107 495</w:t>
            </w:r>
          </w:p>
        </w:tc>
      </w:tr>
      <w:tr w:rsidR="000058C0" w:rsidRPr="000058C0" w14:paraId="6568C02B" w14:textId="77777777" w:rsidTr="00D74E0B">
        <w:tc>
          <w:tcPr>
            <w:tcW w:w="2522" w:type="dxa"/>
            <w:shd w:val="clear" w:color="auto" w:fill="auto"/>
          </w:tcPr>
          <w:p w14:paraId="223D52C6" w14:textId="77777777" w:rsidR="000058C0" w:rsidRPr="00D74E0B" w:rsidRDefault="000058C0" w:rsidP="00465E16">
            <w:pPr>
              <w:spacing w:line="300" w:lineRule="atLeast"/>
              <w:jc w:val="both"/>
              <w:rPr>
                <w:rFonts w:ascii="Times New Roman" w:hAnsi="Times New Roman" w:cs="Times New Roman"/>
              </w:rPr>
            </w:pPr>
            <w:r w:rsidRPr="00D74E0B">
              <w:rPr>
                <w:rFonts w:ascii="Times New Roman" w:hAnsi="Times New Roman" w:cs="Times New Roman"/>
              </w:rPr>
              <w:lastRenderedPageBreak/>
              <w:t>Powietrze atmosferyczne</w:t>
            </w:r>
          </w:p>
        </w:tc>
        <w:tc>
          <w:tcPr>
            <w:tcW w:w="3066" w:type="dxa"/>
            <w:gridSpan w:val="2"/>
            <w:shd w:val="clear" w:color="auto" w:fill="auto"/>
            <w:vAlign w:val="center"/>
          </w:tcPr>
          <w:p w14:paraId="259D4462" w14:textId="77777777" w:rsidR="000058C0" w:rsidRPr="00D74E0B" w:rsidRDefault="000058C0" w:rsidP="00465E16">
            <w:pPr>
              <w:spacing w:line="300" w:lineRule="atLeast"/>
              <w:jc w:val="center"/>
              <w:rPr>
                <w:rFonts w:ascii="Times New Roman" w:hAnsi="Times New Roman" w:cs="Times New Roman"/>
              </w:rPr>
            </w:pPr>
            <w:r w:rsidRPr="00D74E0B">
              <w:rPr>
                <w:rFonts w:ascii="Times New Roman" w:hAnsi="Times New Roman" w:cs="Times New Roman"/>
              </w:rPr>
              <w:t>650 485</w:t>
            </w:r>
          </w:p>
        </w:tc>
        <w:tc>
          <w:tcPr>
            <w:tcW w:w="3224" w:type="dxa"/>
            <w:shd w:val="clear" w:color="auto" w:fill="auto"/>
            <w:vAlign w:val="center"/>
          </w:tcPr>
          <w:p w14:paraId="1D551DE6" w14:textId="77777777" w:rsidR="000058C0" w:rsidRPr="00D74E0B" w:rsidRDefault="000058C0" w:rsidP="00465E16">
            <w:pPr>
              <w:spacing w:line="300" w:lineRule="atLeast"/>
              <w:jc w:val="center"/>
              <w:rPr>
                <w:rFonts w:ascii="Times New Roman" w:hAnsi="Times New Roman" w:cs="Times New Roman"/>
              </w:rPr>
            </w:pPr>
            <w:r w:rsidRPr="00D74E0B">
              <w:rPr>
                <w:rFonts w:ascii="Times New Roman" w:hAnsi="Times New Roman" w:cs="Times New Roman"/>
              </w:rPr>
              <w:t>3 879</w:t>
            </w:r>
          </w:p>
        </w:tc>
      </w:tr>
      <w:tr w:rsidR="000058C0" w:rsidRPr="000058C0" w14:paraId="0209AAE2" w14:textId="77777777" w:rsidTr="00D74E0B">
        <w:tc>
          <w:tcPr>
            <w:tcW w:w="2522" w:type="dxa"/>
            <w:shd w:val="clear" w:color="auto" w:fill="auto"/>
          </w:tcPr>
          <w:p w14:paraId="7EA113A0" w14:textId="77777777" w:rsidR="000058C0" w:rsidRPr="00D74E0B" w:rsidRDefault="000058C0" w:rsidP="00465E16">
            <w:pPr>
              <w:spacing w:line="300" w:lineRule="atLeast"/>
              <w:jc w:val="both"/>
              <w:rPr>
                <w:rFonts w:ascii="Times New Roman" w:hAnsi="Times New Roman" w:cs="Times New Roman"/>
              </w:rPr>
            </w:pPr>
            <w:r w:rsidRPr="00D74E0B">
              <w:rPr>
                <w:rFonts w:ascii="Times New Roman" w:hAnsi="Times New Roman" w:cs="Times New Roman"/>
              </w:rPr>
              <w:t>Hałas</w:t>
            </w:r>
          </w:p>
        </w:tc>
        <w:tc>
          <w:tcPr>
            <w:tcW w:w="3066" w:type="dxa"/>
            <w:gridSpan w:val="2"/>
            <w:shd w:val="clear" w:color="auto" w:fill="auto"/>
            <w:vAlign w:val="center"/>
          </w:tcPr>
          <w:p w14:paraId="047AD172" w14:textId="77777777" w:rsidR="000058C0" w:rsidRPr="00D74E0B" w:rsidRDefault="000058C0" w:rsidP="00465E16">
            <w:pPr>
              <w:spacing w:line="300" w:lineRule="atLeast"/>
              <w:jc w:val="center"/>
              <w:rPr>
                <w:rFonts w:ascii="Times New Roman" w:hAnsi="Times New Roman" w:cs="Times New Roman"/>
              </w:rPr>
            </w:pPr>
            <w:r w:rsidRPr="00D74E0B">
              <w:rPr>
                <w:rFonts w:ascii="Times New Roman" w:hAnsi="Times New Roman" w:cs="Times New Roman"/>
              </w:rPr>
              <w:t>87 320</w:t>
            </w:r>
          </w:p>
        </w:tc>
        <w:tc>
          <w:tcPr>
            <w:tcW w:w="3224" w:type="dxa"/>
            <w:shd w:val="clear" w:color="auto" w:fill="auto"/>
            <w:vAlign w:val="center"/>
          </w:tcPr>
          <w:p w14:paraId="76C1C0AD" w14:textId="77777777" w:rsidR="000058C0" w:rsidRPr="00D74E0B" w:rsidRDefault="000058C0" w:rsidP="00465E16">
            <w:pPr>
              <w:spacing w:line="300" w:lineRule="atLeast"/>
              <w:jc w:val="center"/>
              <w:rPr>
                <w:rFonts w:ascii="Times New Roman" w:hAnsi="Times New Roman" w:cs="Times New Roman"/>
              </w:rPr>
            </w:pPr>
            <w:r w:rsidRPr="00D74E0B">
              <w:rPr>
                <w:rFonts w:ascii="Times New Roman" w:hAnsi="Times New Roman" w:cs="Times New Roman"/>
              </w:rPr>
              <w:t>32 341</w:t>
            </w:r>
          </w:p>
        </w:tc>
      </w:tr>
      <w:tr w:rsidR="000058C0" w:rsidRPr="000058C0" w14:paraId="58CD8450" w14:textId="77777777" w:rsidTr="00D74E0B">
        <w:tc>
          <w:tcPr>
            <w:tcW w:w="2522" w:type="dxa"/>
            <w:shd w:val="clear" w:color="auto" w:fill="auto"/>
          </w:tcPr>
          <w:p w14:paraId="47ED414B" w14:textId="77777777" w:rsidR="000058C0" w:rsidRPr="00D74E0B" w:rsidRDefault="000058C0" w:rsidP="00465E16">
            <w:pPr>
              <w:spacing w:line="300" w:lineRule="atLeast"/>
              <w:jc w:val="both"/>
              <w:rPr>
                <w:rFonts w:ascii="Times New Roman" w:hAnsi="Times New Roman" w:cs="Times New Roman"/>
              </w:rPr>
            </w:pPr>
            <w:r w:rsidRPr="00D74E0B">
              <w:rPr>
                <w:rFonts w:ascii="Times New Roman" w:hAnsi="Times New Roman" w:cs="Times New Roman"/>
              </w:rPr>
              <w:t>PEM</w:t>
            </w:r>
          </w:p>
        </w:tc>
        <w:tc>
          <w:tcPr>
            <w:tcW w:w="3066" w:type="dxa"/>
            <w:gridSpan w:val="2"/>
            <w:shd w:val="clear" w:color="auto" w:fill="auto"/>
            <w:vAlign w:val="center"/>
          </w:tcPr>
          <w:p w14:paraId="73EEC5FE" w14:textId="77777777" w:rsidR="000058C0" w:rsidRPr="00D74E0B" w:rsidRDefault="000058C0" w:rsidP="00465E16">
            <w:pPr>
              <w:spacing w:line="300" w:lineRule="atLeast"/>
              <w:jc w:val="center"/>
              <w:rPr>
                <w:rFonts w:ascii="Times New Roman" w:hAnsi="Times New Roman" w:cs="Times New Roman"/>
              </w:rPr>
            </w:pPr>
            <w:r w:rsidRPr="00D74E0B">
              <w:rPr>
                <w:rFonts w:ascii="Times New Roman" w:hAnsi="Times New Roman" w:cs="Times New Roman"/>
              </w:rPr>
              <w:t>4 523</w:t>
            </w:r>
          </w:p>
        </w:tc>
        <w:tc>
          <w:tcPr>
            <w:tcW w:w="3224" w:type="dxa"/>
            <w:shd w:val="clear" w:color="auto" w:fill="auto"/>
            <w:vAlign w:val="center"/>
          </w:tcPr>
          <w:p w14:paraId="2A2E99C3" w14:textId="77777777" w:rsidR="000058C0" w:rsidRPr="00D74E0B" w:rsidRDefault="000058C0" w:rsidP="00465E16">
            <w:pPr>
              <w:spacing w:line="300" w:lineRule="atLeast"/>
              <w:jc w:val="center"/>
              <w:rPr>
                <w:rFonts w:ascii="Times New Roman" w:hAnsi="Times New Roman" w:cs="Times New Roman"/>
              </w:rPr>
            </w:pPr>
            <w:r w:rsidRPr="00D74E0B">
              <w:rPr>
                <w:rFonts w:ascii="Times New Roman" w:hAnsi="Times New Roman" w:cs="Times New Roman"/>
              </w:rPr>
              <w:t>4 657</w:t>
            </w:r>
          </w:p>
        </w:tc>
      </w:tr>
      <w:tr w:rsidR="000058C0" w:rsidRPr="000058C0" w14:paraId="42E41F96" w14:textId="77777777" w:rsidTr="00D74E0B">
        <w:tc>
          <w:tcPr>
            <w:tcW w:w="2522" w:type="dxa"/>
            <w:shd w:val="clear" w:color="auto" w:fill="auto"/>
          </w:tcPr>
          <w:p w14:paraId="5F59CCEC" w14:textId="77777777" w:rsidR="000058C0" w:rsidRPr="00D74E0B" w:rsidRDefault="000058C0" w:rsidP="00465E16">
            <w:pPr>
              <w:spacing w:line="300" w:lineRule="atLeast"/>
              <w:jc w:val="both"/>
              <w:rPr>
                <w:rFonts w:ascii="Times New Roman" w:hAnsi="Times New Roman" w:cs="Times New Roman"/>
              </w:rPr>
            </w:pPr>
            <w:r w:rsidRPr="00D74E0B">
              <w:rPr>
                <w:rFonts w:ascii="Times New Roman" w:hAnsi="Times New Roman" w:cs="Times New Roman"/>
              </w:rPr>
              <w:t>Gleby</w:t>
            </w:r>
          </w:p>
        </w:tc>
        <w:tc>
          <w:tcPr>
            <w:tcW w:w="3066" w:type="dxa"/>
            <w:gridSpan w:val="2"/>
            <w:shd w:val="clear" w:color="auto" w:fill="auto"/>
            <w:vAlign w:val="center"/>
          </w:tcPr>
          <w:p w14:paraId="13176E1A" w14:textId="77777777" w:rsidR="000058C0" w:rsidRPr="00D74E0B" w:rsidRDefault="000058C0" w:rsidP="00465E16">
            <w:pPr>
              <w:spacing w:line="300" w:lineRule="atLeast"/>
              <w:jc w:val="center"/>
              <w:rPr>
                <w:rFonts w:ascii="Times New Roman" w:hAnsi="Times New Roman" w:cs="Times New Roman"/>
              </w:rPr>
            </w:pPr>
            <w:r w:rsidRPr="00D74E0B">
              <w:rPr>
                <w:rFonts w:ascii="Times New Roman" w:hAnsi="Times New Roman" w:cs="Times New Roman"/>
              </w:rPr>
              <w:t>0</w:t>
            </w:r>
          </w:p>
        </w:tc>
        <w:tc>
          <w:tcPr>
            <w:tcW w:w="3224" w:type="dxa"/>
            <w:shd w:val="clear" w:color="auto" w:fill="auto"/>
            <w:vAlign w:val="center"/>
          </w:tcPr>
          <w:p w14:paraId="04E7924C" w14:textId="77777777" w:rsidR="000058C0" w:rsidRPr="00D74E0B" w:rsidRDefault="000058C0" w:rsidP="00465E16">
            <w:pPr>
              <w:spacing w:line="300" w:lineRule="atLeast"/>
              <w:jc w:val="center"/>
              <w:rPr>
                <w:rFonts w:ascii="Times New Roman" w:hAnsi="Times New Roman" w:cs="Times New Roman"/>
              </w:rPr>
            </w:pPr>
            <w:r w:rsidRPr="00D74E0B">
              <w:rPr>
                <w:rFonts w:ascii="Times New Roman" w:hAnsi="Times New Roman" w:cs="Times New Roman"/>
              </w:rPr>
              <w:t>10 515</w:t>
            </w:r>
          </w:p>
        </w:tc>
      </w:tr>
      <w:tr w:rsidR="000058C0" w:rsidRPr="000058C0" w14:paraId="3F125847" w14:textId="77777777" w:rsidTr="00D74E0B">
        <w:tc>
          <w:tcPr>
            <w:tcW w:w="2522" w:type="dxa"/>
            <w:shd w:val="clear" w:color="auto" w:fill="auto"/>
          </w:tcPr>
          <w:p w14:paraId="449C9D40" w14:textId="77777777" w:rsidR="000058C0" w:rsidRPr="00D74E0B" w:rsidRDefault="000058C0" w:rsidP="00465E16">
            <w:pPr>
              <w:spacing w:line="300" w:lineRule="atLeast"/>
              <w:jc w:val="both"/>
              <w:rPr>
                <w:rFonts w:ascii="Times New Roman" w:hAnsi="Times New Roman" w:cs="Times New Roman"/>
              </w:rPr>
            </w:pPr>
            <w:r w:rsidRPr="00D74E0B">
              <w:rPr>
                <w:rFonts w:ascii="Times New Roman" w:hAnsi="Times New Roman" w:cs="Times New Roman"/>
              </w:rPr>
              <w:t xml:space="preserve">Odpady </w:t>
            </w:r>
          </w:p>
        </w:tc>
        <w:tc>
          <w:tcPr>
            <w:tcW w:w="3066" w:type="dxa"/>
            <w:gridSpan w:val="2"/>
            <w:shd w:val="clear" w:color="auto" w:fill="auto"/>
            <w:vAlign w:val="center"/>
          </w:tcPr>
          <w:p w14:paraId="47497F55" w14:textId="77777777" w:rsidR="000058C0" w:rsidRPr="00D74E0B" w:rsidRDefault="000058C0" w:rsidP="00465E16">
            <w:pPr>
              <w:spacing w:line="300" w:lineRule="atLeast"/>
              <w:jc w:val="center"/>
              <w:rPr>
                <w:rFonts w:ascii="Times New Roman" w:hAnsi="Times New Roman" w:cs="Times New Roman"/>
              </w:rPr>
            </w:pPr>
            <w:r w:rsidRPr="00D74E0B">
              <w:rPr>
                <w:rFonts w:ascii="Times New Roman" w:hAnsi="Times New Roman" w:cs="Times New Roman"/>
              </w:rPr>
              <w:t>0</w:t>
            </w:r>
          </w:p>
        </w:tc>
        <w:tc>
          <w:tcPr>
            <w:tcW w:w="3224" w:type="dxa"/>
            <w:shd w:val="clear" w:color="auto" w:fill="auto"/>
            <w:vAlign w:val="center"/>
          </w:tcPr>
          <w:p w14:paraId="69A6CCF9" w14:textId="77777777" w:rsidR="000058C0" w:rsidRPr="00D74E0B" w:rsidRDefault="000058C0" w:rsidP="00465E16">
            <w:pPr>
              <w:spacing w:line="300" w:lineRule="atLeast"/>
              <w:jc w:val="center"/>
              <w:rPr>
                <w:rFonts w:ascii="Times New Roman" w:hAnsi="Times New Roman" w:cs="Times New Roman"/>
              </w:rPr>
            </w:pPr>
            <w:r w:rsidRPr="00D74E0B">
              <w:rPr>
                <w:rFonts w:ascii="Times New Roman" w:hAnsi="Times New Roman" w:cs="Times New Roman"/>
              </w:rPr>
              <w:t>6 423</w:t>
            </w:r>
          </w:p>
        </w:tc>
      </w:tr>
      <w:tr w:rsidR="000058C0" w:rsidRPr="000058C0" w14:paraId="3ED22F4E" w14:textId="77777777" w:rsidTr="00D74E0B">
        <w:tc>
          <w:tcPr>
            <w:tcW w:w="2522" w:type="dxa"/>
            <w:tcBorders>
              <w:top w:val="single" w:sz="4" w:space="0" w:color="auto"/>
              <w:left w:val="single" w:sz="4" w:space="0" w:color="auto"/>
              <w:bottom w:val="single" w:sz="4" w:space="0" w:color="auto"/>
              <w:right w:val="single" w:sz="4" w:space="0" w:color="auto"/>
            </w:tcBorders>
            <w:shd w:val="clear" w:color="auto" w:fill="auto"/>
          </w:tcPr>
          <w:p w14:paraId="3DD1843E" w14:textId="77777777" w:rsidR="000058C0" w:rsidRPr="00D74E0B" w:rsidRDefault="000058C0" w:rsidP="00465E16">
            <w:pPr>
              <w:spacing w:line="300" w:lineRule="atLeast"/>
              <w:jc w:val="both"/>
              <w:rPr>
                <w:rFonts w:ascii="Times New Roman" w:hAnsi="Times New Roman" w:cs="Times New Roman"/>
                <w:b/>
                <w:bCs/>
              </w:rPr>
            </w:pPr>
            <w:r w:rsidRPr="00D74E0B">
              <w:rPr>
                <w:rFonts w:ascii="Times New Roman" w:hAnsi="Times New Roman" w:cs="Times New Roman"/>
                <w:b/>
                <w:bCs/>
              </w:rPr>
              <w:t>RAZEM</w:t>
            </w:r>
          </w:p>
        </w:tc>
        <w:tc>
          <w:tcPr>
            <w:tcW w:w="306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9CB204E" w14:textId="77777777" w:rsidR="000058C0" w:rsidRPr="00D74E0B" w:rsidRDefault="000058C0" w:rsidP="00465E16">
            <w:pPr>
              <w:spacing w:line="300" w:lineRule="atLeast"/>
              <w:jc w:val="center"/>
              <w:rPr>
                <w:rFonts w:ascii="Times New Roman" w:hAnsi="Times New Roman" w:cs="Times New Roman"/>
                <w:b/>
                <w:bCs/>
              </w:rPr>
            </w:pPr>
            <w:r w:rsidRPr="00D74E0B">
              <w:rPr>
                <w:rFonts w:ascii="Times New Roman" w:hAnsi="Times New Roman" w:cs="Times New Roman"/>
                <w:b/>
                <w:bCs/>
              </w:rPr>
              <w:t>1 426 725</w:t>
            </w:r>
          </w:p>
        </w:tc>
        <w:tc>
          <w:tcPr>
            <w:tcW w:w="3224" w:type="dxa"/>
            <w:tcBorders>
              <w:top w:val="single" w:sz="4" w:space="0" w:color="auto"/>
              <w:left w:val="single" w:sz="4" w:space="0" w:color="auto"/>
              <w:bottom w:val="single" w:sz="4" w:space="0" w:color="auto"/>
              <w:right w:val="single" w:sz="4" w:space="0" w:color="auto"/>
            </w:tcBorders>
            <w:shd w:val="clear" w:color="auto" w:fill="auto"/>
            <w:vAlign w:val="center"/>
          </w:tcPr>
          <w:p w14:paraId="70A32BBF" w14:textId="77777777" w:rsidR="000058C0" w:rsidRPr="00D74E0B" w:rsidRDefault="000058C0" w:rsidP="00465E16">
            <w:pPr>
              <w:spacing w:line="300" w:lineRule="atLeast"/>
              <w:jc w:val="center"/>
              <w:rPr>
                <w:rFonts w:ascii="Times New Roman" w:hAnsi="Times New Roman" w:cs="Times New Roman"/>
                <w:b/>
                <w:bCs/>
              </w:rPr>
            </w:pPr>
            <w:r w:rsidRPr="00D74E0B">
              <w:rPr>
                <w:rFonts w:ascii="Times New Roman" w:hAnsi="Times New Roman" w:cs="Times New Roman"/>
                <w:b/>
                <w:bCs/>
              </w:rPr>
              <w:t>165 310</w:t>
            </w:r>
          </w:p>
        </w:tc>
      </w:tr>
    </w:tbl>
    <w:p w14:paraId="206D92FD" w14:textId="68CEF6FC" w:rsidR="000058C0" w:rsidRDefault="001244A4" w:rsidP="00672CAA">
      <w:pPr>
        <w:spacing w:after="240" w:line="300" w:lineRule="atLeast"/>
        <w:jc w:val="both"/>
        <w:rPr>
          <w:rFonts w:ascii="Times New Roman" w:hAnsi="Times New Roman" w:cs="Times New Roman"/>
          <w:b/>
          <w:color w:val="000000"/>
        </w:rPr>
      </w:pPr>
      <w:r w:rsidRPr="00531DAA">
        <w:rPr>
          <w:rFonts w:ascii="Times New Roman" w:hAnsi="Times New Roman" w:cs="Times New Roman"/>
          <w:b/>
          <w:color w:val="000000"/>
        </w:rPr>
        <w:t>Tabela</w:t>
      </w:r>
      <w:r w:rsidR="00531DAA" w:rsidRPr="00531DAA">
        <w:rPr>
          <w:rFonts w:ascii="Times New Roman" w:hAnsi="Times New Roman" w:cs="Times New Roman"/>
          <w:b/>
          <w:color w:val="000000"/>
        </w:rPr>
        <w:t xml:space="preserve"> 33</w:t>
      </w:r>
      <w:r w:rsidRPr="00531DAA">
        <w:rPr>
          <w:rFonts w:ascii="Times New Roman" w:hAnsi="Times New Roman" w:cs="Times New Roman"/>
          <w:b/>
          <w:color w:val="000000"/>
        </w:rPr>
        <w:t>. Liczba oznaczeń wykonanych w ramach PMŚ oraz w ramach kontroli Inspekcji WIOŚ</w:t>
      </w:r>
    </w:p>
    <w:p w14:paraId="66E601FA" w14:textId="77777777" w:rsidR="00D74E0B" w:rsidRDefault="00D74E0B" w:rsidP="00672CAA">
      <w:pPr>
        <w:spacing w:after="240" w:line="300" w:lineRule="atLeast"/>
        <w:jc w:val="both"/>
        <w:rPr>
          <w:rFonts w:ascii="Times New Roman" w:hAnsi="Times New Roman" w:cs="Times New Roman"/>
          <w:b/>
          <w:color w:val="000000"/>
        </w:rPr>
      </w:pPr>
    </w:p>
    <w:p w14:paraId="46729E41" w14:textId="77777777" w:rsidR="00672CAA" w:rsidRPr="00531DAA" w:rsidRDefault="00672CAA" w:rsidP="00672CAA">
      <w:pPr>
        <w:spacing w:after="240" w:line="300" w:lineRule="atLeast"/>
        <w:jc w:val="both"/>
        <w:rPr>
          <w:rFonts w:ascii="Times New Roman" w:hAnsi="Times New Roman" w:cs="Times New Roman"/>
          <w:b/>
          <w:vanish/>
          <w:color w:val="000000"/>
          <w:specVanish/>
        </w:rPr>
      </w:pPr>
    </w:p>
    <w:p w14:paraId="02A8D9E8" w14:textId="42CE53E2" w:rsidR="000058C0" w:rsidRPr="00531DAA" w:rsidRDefault="000058C0" w:rsidP="00465E16">
      <w:pPr>
        <w:tabs>
          <w:tab w:val="left" w:pos="8789"/>
        </w:tabs>
        <w:spacing w:line="300" w:lineRule="atLeast"/>
        <w:ind w:left="-142"/>
        <w:jc w:val="both"/>
        <w:rPr>
          <w:b/>
          <w:color w:val="000000"/>
        </w:rPr>
      </w:pPr>
      <w:r w:rsidRPr="00531DAA">
        <w:rPr>
          <w:b/>
          <w:noProof/>
          <w:color w:val="000000"/>
          <w:lang w:eastAsia="pl-PL"/>
        </w:rPr>
        <w:drawing>
          <wp:inline distT="0" distB="0" distL="0" distR="0" wp14:anchorId="06EBC2FD" wp14:editId="604B0155">
            <wp:extent cx="5753100" cy="3028950"/>
            <wp:effectExtent l="0" t="0" r="0" b="0"/>
            <wp:docPr id="110" name="Obraz 110" descr="wykr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wykres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53100" cy="3028950"/>
                    </a:xfrm>
                    <a:prstGeom prst="rect">
                      <a:avLst/>
                    </a:prstGeom>
                    <a:noFill/>
                    <a:ln>
                      <a:noFill/>
                    </a:ln>
                  </pic:spPr>
                </pic:pic>
              </a:graphicData>
            </a:graphic>
          </wp:inline>
        </w:drawing>
      </w:r>
    </w:p>
    <w:p w14:paraId="22BC5141" w14:textId="5F57463F" w:rsidR="000058C0" w:rsidRPr="00FF5D0A" w:rsidRDefault="00FF5D0A" w:rsidP="00465E16">
      <w:pPr>
        <w:spacing w:line="300" w:lineRule="atLeast"/>
        <w:ind w:hanging="284"/>
        <w:jc w:val="center"/>
        <w:rPr>
          <w:rFonts w:ascii="Times New Roman" w:hAnsi="Times New Roman" w:cs="Times New Roman"/>
          <w:b/>
          <w:noProof/>
        </w:rPr>
      </w:pPr>
      <w:r w:rsidRPr="00FF5D0A">
        <w:rPr>
          <w:rFonts w:ascii="Times New Roman" w:hAnsi="Times New Roman" w:cs="Times New Roman"/>
          <w:b/>
          <w:noProof/>
        </w:rPr>
        <w:t>Wykres 33. Badania w podziale na komponenty</w:t>
      </w:r>
    </w:p>
    <w:p w14:paraId="2D85F865" w14:textId="4214D32A" w:rsidR="000058C0" w:rsidRDefault="000058C0" w:rsidP="00465E16">
      <w:pPr>
        <w:tabs>
          <w:tab w:val="left" w:pos="8931"/>
        </w:tabs>
        <w:spacing w:line="300" w:lineRule="atLeast"/>
        <w:ind w:hanging="284"/>
        <w:jc w:val="center"/>
        <w:rPr>
          <w:highlight w:val="cyan"/>
        </w:rPr>
      </w:pPr>
      <w:r w:rsidRPr="006A69E4">
        <w:rPr>
          <w:noProof/>
          <w:lang w:eastAsia="pl-PL"/>
        </w:rPr>
        <w:lastRenderedPageBreak/>
        <w:drawing>
          <wp:inline distT="0" distB="0" distL="0" distR="0" wp14:anchorId="1DA40E06" wp14:editId="422B510D">
            <wp:extent cx="5702300" cy="3521710"/>
            <wp:effectExtent l="0" t="0" r="12700" b="2540"/>
            <wp:docPr id="109" name="Wykres 109" descr="Wykres 34. Oznaczenia w podziale na oddziały"/>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14:paraId="0796F3A4" w14:textId="7B7211E6" w:rsidR="000058C0" w:rsidRPr="00FF5D0A" w:rsidRDefault="00FF5D0A" w:rsidP="00FF5D0A">
      <w:pPr>
        <w:spacing w:line="300" w:lineRule="atLeast"/>
        <w:jc w:val="center"/>
        <w:rPr>
          <w:rFonts w:ascii="Times New Roman" w:hAnsi="Times New Roman" w:cs="Times New Roman"/>
          <w:b/>
        </w:rPr>
      </w:pPr>
      <w:r w:rsidRPr="00FF5D0A">
        <w:rPr>
          <w:rFonts w:ascii="Times New Roman" w:hAnsi="Times New Roman" w:cs="Times New Roman"/>
          <w:b/>
        </w:rPr>
        <w:t>Wykres 34. Oznaczenia w podziale na oddziały</w:t>
      </w:r>
    </w:p>
    <w:p w14:paraId="450D8FDA" w14:textId="77777777" w:rsidR="000058C0" w:rsidRPr="000058C0" w:rsidRDefault="000058C0" w:rsidP="002230C4">
      <w:pPr>
        <w:spacing w:after="60" w:line="300" w:lineRule="atLeast"/>
        <w:ind w:firstLine="567"/>
        <w:jc w:val="both"/>
        <w:rPr>
          <w:rFonts w:ascii="Times New Roman" w:hAnsi="Times New Roman" w:cs="Times New Roman"/>
          <w:sz w:val="24"/>
          <w:szCs w:val="24"/>
        </w:rPr>
      </w:pPr>
      <w:r w:rsidRPr="000058C0">
        <w:rPr>
          <w:rFonts w:ascii="Times New Roman" w:hAnsi="Times New Roman" w:cs="Times New Roman"/>
          <w:sz w:val="24"/>
          <w:szCs w:val="24"/>
        </w:rPr>
        <w:t xml:space="preserve">Zgodnie z wymaganiami wdrożonego systemu zarządzania zgodnego z wymaganiami normy PN-EN ISO /IEC 17025, CLB utrzymuje kompetencje techniczne do realizacji badań i pomiarów w każdym z badanych komponentów środowiska, co potwierdzają wyniki ocen przeprowadzonych cyklicznie przez Polskie Centrum Akredytacji. </w:t>
      </w:r>
    </w:p>
    <w:p w14:paraId="245505B9" w14:textId="77777777" w:rsidR="000058C0" w:rsidRPr="000058C0" w:rsidRDefault="000058C0" w:rsidP="002230C4">
      <w:pPr>
        <w:spacing w:after="60" w:line="300" w:lineRule="atLeast"/>
        <w:ind w:firstLine="567"/>
        <w:jc w:val="both"/>
        <w:rPr>
          <w:rFonts w:ascii="Times New Roman" w:hAnsi="Times New Roman" w:cs="Times New Roman"/>
          <w:sz w:val="24"/>
          <w:szCs w:val="24"/>
        </w:rPr>
      </w:pPr>
      <w:r w:rsidRPr="000058C0">
        <w:rPr>
          <w:rFonts w:ascii="Times New Roman" w:hAnsi="Times New Roman" w:cs="Times New Roman"/>
          <w:sz w:val="24"/>
          <w:szCs w:val="24"/>
        </w:rPr>
        <w:t xml:space="preserve">Centralne Laboratorium Badawcze GIOŚ bierze regularnie udział w porównaniach </w:t>
      </w:r>
      <w:proofErr w:type="spellStart"/>
      <w:r w:rsidRPr="000058C0">
        <w:rPr>
          <w:rFonts w:ascii="Times New Roman" w:hAnsi="Times New Roman" w:cs="Times New Roman"/>
          <w:sz w:val="24"/>
          <w:szCs w:val="24"/>
        </w:rPr>
        <w:t>międzylaboratoryjnych</w:t>
      </w:r>
      <w:proofErr w:type="spellEnd"/>
      <w:r w:rsidRPr="000058C0">
        <w:rPr>
          <w:rFonts w:ascii="Times New Roman" w:hAnsi="Times New Roman" w:cs="Times New Roman"/>
          <w:sz w:val="24"/>
          <w:szCs w:val="24"/>
        </w:rPr>
        <w:t xml:space="preserve"> i badaniach biegłości mających na celu potwierdzenie kompetencji do realizacji badań. W 2022 r. CLB wzięło udział w PT/ILC organizowanych przez Krajowe Laboratorium Referencyjne do spraw jakości powietrza atmosferycznego (KLRP) oraz Krajowe Laboratorium Referencyjne do spraw jakości wód powierzchniowych (KLRW) będących w strukturze Głównego Inspektoratu Ochrony Środowiska, jak również przez organizatorów zewnętrznych.</w:t>
      </w:r>
    </w:p>
    <w:p w14:paraId="015B5CB7" w14:textId="77777777" w:rsidR="000058C0" w:rsidRPr="000058C0" w:rsidRDefault="000058C0" w:rsidP="002230C4">
      <w:pPr>
        <w:spacing w:after="60" w:line="300" w:lineRule="atLeast"/>
        <w:ind w:firstLine="567"/>
        <w:jc w:val="both"/>
        <w:rPr>
          <w:rFonts w:ascii="Times New Roman" w:hAnsi="Times New Roman" w:cs="Times New Roman"/>
          <w:sz w:val="24"/>
          <w:szCs w:val="24"/>
        </w:rPr>
      </w:pPr>
      <w:r w:rsidRPr="000058C0">
        <w:rPr>
          <w:rFonts w:ascii="Times New Roman" w:hAnsi="Times New Roman" w:cs="Times New Roman"/>
          <w:sz w:val="24"/>
          <w:szCs w:val="24"/>
        </w:rPr>
        <w:t>W ramach badań PT/ILC organizowanych przez KLRW, CLB wzięło udział w 12 programach badań biegłości, obejmujących:</w:t>
      </w:r>
    </w:p>
    <w:p w14:paraId="29007661" w14:textId="77777777" w:rsidR="000058C0" w:rsidRPr="000058C0" w:rsidRDefault="000058C0" w:rsidP="00D34F97">
      <w:pPr>
        <w:pStyle w:val="Akapitzlist"/>
        <w:numPr>
          <w:ilvl w:val="0"/>
          <w:numId w:val="208"/>
        </w:numPr>
        <w:spacing w:line="300" w:lineRule="atLeast"/>
        <w:ind w:left="284" w:hanging="284"/>
        <w:jc w:val="both"/>
        <w:rPr>
          <w:sz w:val="24"/>
          <w:szCs w:val="24"/>
        </w:rPr>
      </w:pPr>
      <w:r w:rsidRPr="000058C0">
        <w:rPr>
          <w:sz w:val="24"/>
          <w:szCs w:val="24"/>
        </w:rPr>
        <w:t>badania wód powierzchniowych:</w:t>
      </w:r>
    </w:p>
    <w:p w14:paraId="11CA2CED" w14:textId="77777777" w:rsidR="000058C0" w:rsidRPr="000058C0" w:rsidRDefault="000058C0" w:rsidP="00D34F97">
      <w:pPr>
        <w:pStyle w:val="Akapitzlist"/>
        <w:numPr>
          <w:ilvl w:val="0"/>
          <w:numId w:val="213"/>
        </w:numPr>
        <w:spacing w:line="300" w:lineRule="atLeast"/>
        <w:ind w:left="709" w:hanging="284"/>
        <w:jc w:val="both"/>
        <w:rPr>
          <w:sz w:val="24"/>
          <w:szCs w:val="24"/>
        </w:rPr>
      </w:pPr>
      <w:r w:rsidRPr="000058C0">
        <w:rPr>
          <w:sz w:val="24"/>
          <w:szCs w:val="24"/>
        </w:rPr>
        <w:t>oznaczanie substancji priorytetowych (</w:t>
      </w:r>
      <w:proofErr w:type="spellStart"/>
      <w:r w:rsidRPr="000058C0">
        <w:rPr>
          <w:sz w:val="24"/>
          <w:szCs w:val="24"/>
        </w:rPr>
        <w:t>nonylofenole</w:t>
      </w:r>
      <w:proofErr w:type="spellEnd"/>
      <w:r w:rsidRPr="000058C0">
        <w:rPr>
          <w:sz w:val="24"/>
          <w:szCs w:val="24"/>
        </w:rPr>
        <w:t xml:space="preserve">, </w:t>
      </w:r>
      <w:proofErr w:type="spellStart"/>
      <w:r w:rsidRPr="000058C0">
        <w:rPr>
          <w:sz w:val="24"/>
          <w:szCs w:val="24"/>
        </w:rPr>
        <w:t>oktylofenole</w:t>
      </w:r>
      <w:proofErr w:type="spellEnd"/>
      <w:r w:rsidRPr="000058C0">
        <w:rPr>
          <w:sz w:val="24"/>
          <w:szCs w:val="24"/>
        </w:rPr>
        <w:t xml:space="preserve">, </w:t>
      </w:r>
      <w:proofErr w:type="spellStart"/>
      <w:r w:rsidRPr="000058C0">
        <w:rPr>
          <w:sz w:val="24"/>
          <w:szCs w:val="24"/>
        </w:rPr>
        <w:t>chloroalkany</w:t>
      </w:r>
      <w:proofErr w:type="spellEnd"/>
      <w:r w:rsidRPr="000058C0">
        <w:rPr>
          <w:sz w:val="24"/>
          <w:szCs w:val="24"/>
        </w:rPr>
        <w:t xml:space="preserve"> </w:t>
      </w:r>
      <w:r w:rsidRPr="000058C0">
        <w:rPr>
          <w:sz w:val="24"/>
          <w:szCs w:val="24"/>
        </w:rPr>
        <w:br/>
        <w:t>C10 - 13) – ILC/2/2022</w:t>
      </w:r>
    </w:p>
    <w:p w14:paraId="142A3C3B" w14:textId="4B01E14D" w:rsidR="000058C0" w:rsidRPr="000058C0" w:rsidRDefault="000058C0" w:rsidP="00D34F97">
      <w:pPr>
        <w:pStyle w:val="Akapitzlist"/>
        <w:numPr>
          <w:ilvl w:val="0"/>
          <w:numId w:val="213"/>
        </w:numPr>
        <w:spacing w:line="300" w:lineRule="atLeast"/>
        <w:ind w:left="709" w:hanging="284"/>
        <w:jc w:val="both"/>
        <w:rPr>
          <w:sz w:val="24"/>
          <w:szCs w:val="24"/>
        </w:rPr>
      </w:pPr>
      <w:r w:rsidRPr="000058C0">
        <w:rPr>
          <w:sz w:val="24"/>
          <w:szCs w:val="24"/>
        </w:rPr>
        <w:t xml:space="preserve">pomiary terenowe: temperatura, odczyn </w:t>
      </w:r>
      <w:proofErr w:type="spellStart"/>
      <w:r w:rsidRPr="000058C0">
        <w:rPr>
          <w:sz w:val="24"/>
          <w:szCs w:val="24"/>
        </w:rPr>
        <w:t>pH</w:t>
      </w:r>
      <w:proofErr w:type="spellEnd"/>
      <w:r w:rsidRPr="000058C0">
        <w:rPr>
          <w:sz w:val="24"/>
          <w:szCs w:val="24"/>
        </w:rPr>
        <w:t xml:space="preserve">, przewodność elektryczna właściwa, oznaczenia laboratoryjne: azot amonowy, azot </w:t>
      </w:r>
      <w:proofErr w:type="spellStart"/>
      <w:r w:rsidRPr="000058C0">
        <w:rPr>
          <w:sz w:val="24"/>
          <w:szCs w:val="24"/>
        </w:rPr>
        <w:t>Kjeldahla</w:t>
      </w:r>
      <w:proofErr w:type="spellEnd"/>
      <w:r w:rsidRPr="000058C0">
        <w:rPr>
          <w:sz w:val="24"/>
          <w:szCs w:val="24"/>
        </w:rPr>
        <w:t>, azot azotanowy, azot azotynowy oraz azot ogólny – PT/1/2022</w:t>
      </w:r>
      <w:r w:rsidR="002230C4">
        <w:rPr>
          <w:sz w:val="24"/>
          <w:szCs w:val="24"/>
          <w:lang w:val="pl-PL"/>
        </w:rPr>
        <w:t>,</w:t>
      </w:r>
    </w:p>
    <w:p w14:paraId="33556123" w14:textId="77777777" w:rsidR="000058C0" w:rsidRPr="000058C0" w:rsidRDefault="000058C0" w:rsidP="00D34F97">
      <w:pPr>
        <w:pStyle w:val="Akapitzlist"/>
        <w:numPr>
          <w:ilvl w:val="0"/>
          <w:numId w:val="213"/>
        </w:numPr>
        <w:spacing w:line="300" w:lineRule="atLeast"/>
        <w:ind w:left="709" w:hanging="284"/>
        <w:jc w:val="both"/>
        <w:rPr>
          <w:sz w:val="24"/>
          <w:szCs w:val="24"/>
        </w:rPr>
      </w:pPr>
      <w:r w:rsidRPr="000058C0">
        <w:rPr>
          <w:sz w:val="24"/>
          <w:szCs w:val="24"/>
        </w:rPr>
        <w:t>twardość ogólna, wapń, magnez, zasadowość ogólna, siarczany oraz chlorki –PT/2/2022</w:t>
      </w:r>
    </w:p>
    <w:p w14:paraId="6D7C58A9" w14:textId="222D13B4" w:rsidR="000058C0" w:rsidRPr="000058C0" w:rsidRDefault="000058C0" w:rsidP="00D34F97">
      <w:pPr>
        <w:pStyle w:val="Akapitzlist"/>
        <w:numPr>
          <w:ilvl w:val="0"/>
          <w:numId w:val="213"/>
        </w:numPr>
        <w:spacing w:line="300" w:lineRule="atLeast"/>
        <w:ind w:left="709" w:hanging="284"/>
        <w:jc w:val="both"/>
        <w:rPr>
          <w:sz w:val="24"/>
          <w:szCs w:val="24"/>
        </w:rPr>
      </w:pPr>
      <w:r w:rsidRPr="000058C0">
        <w:rPr>
          <w:sz w:val="24"/>
          <w:szCs w:val="24"/>
        </w:rPr>
        <w:t>oznaczenie jakościowe organizmów fitoplanktonowych (</w:t>
      </w:r>
      <w:proofErr w:type="spellStart"/>
      <w:r w:rsidRPr="000058C0">
        <w:rPr>
          <w:sz w:val="24"/>
          <w:szCs w:val="24"/>
        </w:rPr>
        <w:t>Prymnesium</w:t>
      </w:r>
      <w:proofErr w:type="spellEnd"/>
      <w:r w:rsidRPr="000058C0">
        <w:rPr>
          <w:sz w:val="24"/>
          <w:szCs w:val="24"/>
        </w:rPr>
        <w:t xml:space="preserve"> </w:t>
      </w:r>
      <w:proofErr w:type="spellStart"/>
      <w:r w:rsidRPr="000058C0">
        <w:rPr>
          <w:sz w:val="24"/>
          <w:szCs w:val="24"/>
        </w:rPr>
        <w:t>cf</w:t>
      </w:r>
      <w:proofErr w:type="spellEnd"/>
      <w:r w:rsidRPr="000058C0">
        <w:rPr>
          <w:sz w:val="24"/>
          <w:szCs w:val="24"/>
        </w:rPr>
        <w:t xml:space="preserve">. </w:t>
      </w:r>
      <w:proofErr w:type="spellStart"/>
      <w:r w:rsidRPr="000058C0">
        <w:rPr>
          <w:sz w:val="24"/>
          <w:szCs w:val="24"/>
        </w:rPr>
        <w:t>parvum</w:t>
      </w:r>
      <w:proofErr w:type="spellEnd"/>
      <w:r w:rsidRPr="000058C0">
        <w:rPr>
          <w:sz w:val="24"/>
          <w:szCs w:val="24"/>
        </w:rPr>
        <w:t>) – ILC/4/2022</w:t>
      </w:r>
      <w:r w:rsidR="002230C4">
        <w:rPr>
          <w:sz w:val="24"/>
          <w:szCs w:val="24"/>
          <w:lang w:val="pl-PL"/>
        </w:rPr>
        <w:t>,</w:t>
      </w:r>
    </w:p>
    <w:p w14:paraId="566244E4" w14:textId="365993DE" w:rsidR="000058C0" w:rsidRPr="000058C0" w:rsidRDefault="000058C0" w:rsidP="00D34F97">
      <w:pPr>
        <w:pStyle w:val="Akapitzlist"/>
        <w:numPr>
          <w:ilvl w:val="0"/>
          <w:numId w:val="213"/>
        </w:numPr>
        <w:spacing w:line="300" w:lineRule="atLeast"/>
        <w:ind w:left="709" w:hanging="284"/>
        <w:jc w:val="both"/>
        <w:rPr>
          <w:sz w:val="24"/>
          <w:szCs w:val="24"/>
        </w:rPr>
      </w:pPr>
      <w:r w:rsidRPr="000058C0">
        <w:rPr>
          <w:sz w:val="24"/>
          <w:szCs w:val="24"/>
        </w:rPr>
        <w:t>indeks oleju mineralnego – węglowodory ropopochodne – PT/3/2022</w:t>
      </w:r>
      <w:r w:rsidR="002230C4">
        <w:rPr>
          <w:sz w:val="24"/>
          <w:szCs w:val="24"/>
          <w:lang w:val="pl-PL"/>
        </w:rPr>
        <w:t>,</w:t>
      </w:r>
    </w:p>
    <w:p w14:paraId="12F9B9DE" w14:textId="258A7D52" w:rsidR="000058C0" w:rsidRPr="000058C0" w:rsidRDefault="000058C0" w:rsidP="00D34F97">
      <w:pPr>
        <w:pStyle w:val="Akapitzlist"/>
        <w:numPr>
          <w:ilvl w:val="0"/>
          <w:numId w:val="213"/>
        </w:numPr>
        <w:spacing w:line="300" w:lineRule="atLeast"/>
        <w:ind w:left="709" w:hanging="284"/>
        <w:jc w:val="both"/>
        <w:rPr>
          <w:sz w:val="24"/>
          <w:szCs w:val="24"/>
        </w:rPr>
      </w:pPr>
      <w:r w:rsidRPr="000058C0">
        <w:rPr>
          <w:sz w:val="24"/>
          <w:szCs w:val="24"/>
        </w:rPr>
        <w:t>pięciodobowe biochemiczne zapotrzebowanie tlenu – BZT5, ogólny węgiel organiczny - OWO – PT/4/2022</w:t>
      </w:r>
      <w:r w:rsidR="002230C4">
        <w:rPr>
          <w:sz w:val="24"/>
          <w:szCs w:val="24"/>
          <w:lang w:val="pl-PL"/>
        </w:rPr>
        <w:t>,</w:t>
      </w:r>
    </w:p>
    <w:p w14:paraId="115C47BA" w14:textId="4CF68C2E" w:rsidR="000058C0" w:rsidRPr="000058C0" w:rsidRDefault="000058C0" w:rsidP="00D34F97">
      <w:pPr>
        <w:pStyle w:val="Akapitzlist"/>
        <w:numPr>
          <w:ilvl w:val="0"/>
          <w:numId w:val="213"/>
        </w:numPr>
        <w:spacing w:line="300" w:lineRule="atLeast"/>
        <w:ind w:left="709" w:hanging="284"/>
        <w:jc w:val="both"/>
        <w:rPr>
          <w:sz w:val="24"/>
          <w:szCs w:val="24"/>
        </w:rPr>
      </w:pPr>
      <w:r w:rsidRPr="000058C0">
        <w:rPr>
          <w:sz w:val="24"/>
          <w:szCs w:val="24"/>
        </w:rPr>
        <w:lastRenderedPageBreak/>
        <w:t>arsen, cynk, miedź, srebro, sód oraz potas – PT/5/2022</w:t>
      </w:r>
      <w:r w:rsidR="002230C4">
        <w:rPr>
          <w:sz w:val="24"/>
          <w:szCs w:val="24"/>
          <w:lang w:val="pl-PL"/>
        </w:rPr>
        <w:t>,</w:t>
      </w:r>
    </w:p>
    <w:p w14:paraId="1C386863" w14:textId="296C8EF0" w:rsidR="000058C0" w:rsidRPr="000058C0" w:rsidRDefault="000058C0" w:rsidP="00D34F97">
      <w:pPr>
        <w:pStyle w:val="Akapitzlist"/>
        <w:numPr>
          <w:ilvl w:val="0"/>
          <w:numId w:val="213"/>
        </w:numPr>
        <w:spacing w:line="300" w:lineRule="atLeast"/>
        <w:ind w:left="709" w:hanging="284"/>
        <w:jc w:val="both"/>
        <w:rPr>
          <w:sz w:val="24"/>
          <w:szCs w:val="24"/>
        </w:rPr>
      </w:pPr>
      <w:r w:rsidRPr="000058C0">
        <w:rPr>
          <w:sz w:val="24"/>
          <w:szCs w:val="24"/>
        </w:rPr>
        <w:t xml:space="preserve">barwa, zawiesiny ogólne, substancje rozpuszczone, chemiczne zapotrzebowanie tlenu </w:t>
      </w:r>
      <w:proofErr w:type="spellStart"/>
      <w:r w:rsidRPr="000058C0">
        <w:rPr>
          <w:sz w:val="24"/>
          <w:szCs w:val="24"/>
        </w:rPr>
        <w:t>ChZT</w:t>
      </w:r>
      <w:proofErr w:type="spellEnd"/>
      <w:r w:rsidRPr="000058C0">
        <w:rPr>
          <w:sz w:val="24"/>
          <w:szCs w:val="24"/>
        </w:rPr>
        <w:t xml:space="preserve">-Cr, chemiczne zapotrzebowanie tlenu </w:t>
      </w:r>
      <w:proofErr w:type="spellStart"/>
      <w:r w:rsidRPr="000058C0">
        <w:rPr>
          <w:sz w:val="24"/>
          <w:szCs w:val="24"/>
        </w:rPr>
        <w:t>ChZT</w:t>
      </w:r>
      <w:proofErr w:type="spellEnd"/>
      <w:r w:rsidRPr="000058C0">
        <w:rPr>
          <w:sz w:val="24"/>
          <w:szCs w:val="24"/>
        </w:rPr>
        <w:t>-Mn (indeks nadmanganianowy), fosfor fosforanowy (V) oraz fosfor ogólny – PT/6/2022</w:t>
      </w:r>
      <w:r w:rsidR="002230C4">
        <w:rPr>
          <w:sz w:val="24"/>
          <w:szCs w:val="24"/>
          <w:lang w:val="pl-PL"/>
        </w:rPr>
        <w:t>,</w:t>
      </w:r>
    </w:p>
    <w:p w14:paraId="3B09722F" w14:textId="44B458F1" w:rsidR="000058C0" w:rsidRPr="000058C0" w:rsidRDefault="000058C0" w:rsidP="00D34F97">
      <w:pPr>
        <w:pStyle w:val="Akapitzlist"/>
        <w:numPr>
          <w:ilvl w:val="0"/>
          <w:numId w:val="213"/>
        </w:numPr>
        <w:spacing w:line="300" w:lineRule="atLeast"/>
        <w:ind w:left="709" w:hanging="284"/>
        <w:jc w:val="both"/>
        <w:rPr>
          <w:sz w:val="24"/>
          <w:szCs w:val="24"/>
        </w:rPr>
      </w:pPr>
      <w:r w:rsidRPr="000058C0">
        <w:rPr>
          <w:sz w:val="24"/>
          <w:szCs w:val="24"/>
        </w:rPr>
        <w:t xml:space="preserve">Zalew Szczeciński: pomiary terenowe: temperatura powietrza, temperatura wody, przeźroczystość, odczyn </w:t>
      </w:r>
      <w:proofErr w:type="spellStart"/>
      <w:r w:rsidRPr="000058C0">
        <w:rPr>
          <w:sz w:val="24"/>
          <w:szCs w:val="24"/>
        </w:rPr>
        <w:t>pH</w:t>
      </w:r>
      <w:proofErr w:type="spellEnd"/>
      <w:r w:rsidRPr="000058C0">
        <w:rPr>
          <w:sz w:val="24"/>
          <w:szCs w:val="24"/>
        </w:rPr>
        <w:t>, przewodność elektryczna właściwa w 20˚C; zawartość tlenu, nasycenie tlenem, zasolenie; oznaczenia laboratoryjne: BZT5, chlorki, zawiesina ogólna, OWO, fosfor fosforanowy, fosfor ogólny, azot azotanowy, azot azotynowy, azot amonowy, azot ogólny, krzemionka, chlorofil a, biomasa fitoplanktonu, rtęć ogólna/</w:t>
      </w:r>
      <w:proofErr w:type="spellStart"/>
      <w:r w:rsidRPr="000058C0">
        <w:rPr>
          <w:sz w:val="24"/>
          <w:szCs w:val="24"/>
        </w:rPr>
        <w:t>rozp</w:t>
      </w:r>
      <w:proofErr w:type="spellEnd"/>
      <w:r w:rsidRPr="000058C0">
        <w:rPr>
          <w:sz w:val="24"/>
          <w:szCs w:val="24"/>
        </w:rPr>
        <w:t xml:space="preserve">., ołów </w:t>
      </w:r>
      <w:proofErr w:type="spellStart"/>
      <w:r w:rsidRPr="000058C0">
        <w:rPr>
          <w:sz w:val="24"/>
          <w:szCs w:val="24"/>
        </w:rPr>
        <w:t>rozp</w:t>
      </w:r>
      <w:proofErr w:type="spellEnd"/>
      <w:r w:rsidRPr="000058C0">
        <w:rPr>
          <w:sz w:val="24"/>
          <w:szCs w:val="24"/>
        </w:rPr>
        <w:t xml:space="preserve">., miedź </w:t>
      </w:r>
      <w:proofErr w:type="spellStart"/>
      <w:r w:rsidRPr="000058C0">
        <w:rPr>
          <w:sz w:val="24"/>
          <w:szCs w:val="24"/>
        </w:rPr>
        <w:t>rozp</w:t>
      </w:r>
      <w:proofErr w:type="spellEnd"/>
      <w:r w:rsidRPr="000058C0">
        <w:rPr>
          <w:sz w:val="24"/>
          <w:szCs w:val="24"/>
        </w:rPr>
        <w:t xml:space="preserve">., nikiel </w:t>
      </w:r>
      <w:proofErr w:type="spellStart"/>
      <w:r w:rsidRPr="000058C0">
        <w:rPr>
          <w:sz w:val="24"/>
          <w:szCs w:val="24"/>
        </w:rPr>
        <w:t>rozp</w:t>
      </w:r>
      <w:proofErr w:type="spellEnd"/>
      <w:r w:rsidRPr="000058C0">
        <w:rPr>
          <w:sz w:val="24"/>
          <w:szCs w:val="24"/>
        </w:rPr>
        <w:t xml:space="preserve">., kadm </w:t>
      </w:r>
      <w:proofErr w:type="spellStart"/>
      <w:r w:rsidRPr="000058C0">
        <w:rPr>
          <w:sz w:val="24"/>
          <w:szCs w:val="24"/>
        </w:rPr>
        <w:t>rozp</w:t>
      </w:r>
      <w:proofErr w:type="spellEnd"/>
      <w:r w:rsidRPr="000058C0">
        <w:rPr>
          <w:sz w:val="24"/>
          <w:szCs w:val="24"/>
        </w:rPr>
        <w:t xml:space="preserve">., cynk </w:t>
      </w:r>
      <w:proofErr w:type="spellStart"/>
      <w:r w:rsidRPr="000058C0">
        <w:rPr>
          <w:sz w:val="24"/>
          <w:szCs w:val="24"/>
        </w:rPr>
        <w:t>rozp</w:t>
      </w:r>
      <w:proofErr w:type="spellEnd"/>
      <w:r w:rsidRPr="000058C0">
        <w:rPr>
          <w:sz w:val="24"/>
          <w:szCs w:val="24"/>
        </w:rPr>
        <w:t xml:space="preserve">. oraz chrom </w:t>
      </w:r>
      <w:proofErr w:type="spellStart"/>
      <w:r w:rsidRPr="000058C0">
        <w:rPr>
          <w:sz w:val="24"/>
          <w:szCs w:val="24"/>
        </w:rPr>
        <w:t>rozp</w:t>
      </w:r>
      <w:proofErr w:type="spellEnd"/>
      <w:r w:rsidRPr="000058C0">
        <w:rPr>
          <w:sz w:val="24"/>
          <w:szCs w:val="24"/>
        </w:rPr>
        <w:t>. – ILC/1/2022</w:t>
      </w:r>
      <w:r w:rsidR="002230C4">
        <w:rPr>
          <w:sz w:val="24"/>
          <w:szCs w:val="24"/>
          <w:lang w:val="pl-PL"/>
        </w:rPr>
        <w:t>,</w:t>
      </w:r>
    </w:p>
    <w:p w14:paraId="746E5534" w14:textId="55C4E187" w:rsidR="000058C0" w:rsidRPr="000058C0" w:rsidRDefault="000058C0" w:rsidP="00D34F97">
      <w:pPr>
        <w:pStyle w:val="Akapitzlist"/>
        <w:numPr>
          <w:ilvl w:val="0"/>
          <w:numId w:val="213"/>
        </w:numPr>
        <w:spacing w:line="300" w:lineRule="atLeast"/>
        <w:ind w:left="709" w:hanging="284"/>
        <w:jc w:val="both"/>
        <w:rPr>
          <w:sz w:val="24"/>
          <w:szCs w:val="24"/>
        </w:rPr>
      </w:pPr>
      <w:r w:rsidRPr="000058C0">
        <w:rPr>
          <w:sz w:val="24"/>
          <w:szCs w:val="24"/>
        </w:rPr>
        <w:t>biomasa fitoplanktonu z jeziora – ILC/5/2022</w:t>
      </w:r>
      <w:r w:rsidR="002230C4">
        <w:rPr>
          <w:sz w:val="24"/>
          <w:szCs w:val="24"/>
          <w:lang w:val="pl-PL"/>
        </w:rPr>
        <w:t>,</w:t>
      </w:r>
    </w:p>
    <w:p w14:paraId="47C7ADD1" w14:textId="1E995682" w:rsidR="000058C0" w:rsidRPr="000058C0" w:rsidRDefault="000058C0" w:rsidP="00D34F97">
      <w:pPr>
        <w:pStyle w:val="Akapitzlist"/>
        <w:numPr>
          <w:ilvl w:val="0"/>
          <w:numId w:val="213"/>
        </w:numPr>
        <w:spacing w:line="300" w:lineRule="atLeast"/>
        <w:ind w:left="709" w:hanging="284"/>
        <w:jc w:val="both"/>
        <w:rPr>
          <w:sz w:val="24"/>
          <w:szCs w:val="24"/>
        </w:rPr>
      </w:pPr>
      <w:r w:rsidRPr="000058C0">
        <w:rPr>
          <w:sz w:val="24"/>
          <w:szCs w:val="24"/>
        </w:rPr>
        <w:t xml:space="preserve">związki </w:t>
      </w:r>
      <w:proofErr w:type="spellStart"/>
      <w:r w:rsidRPr="000058C0">
        <w:rPr>
          <w:sz w:val="24"/>
          <w:szCs w:val="24"/>
        </w:rPr>
        <w:t>tributylocyny</w:t>
      </w:r>
      <w:proofErr w:type="spellEnd"/>
      <w:r w:rsidRPr="000058C0">
        <w:rPr>
          <w:sz w:val="24"/>
          <w:szCs w:val="24"/>
        </w:rPr>
        <w:t xml:space="preserve"> (kation </w:t>
      </w:r>
      <w:proofErr w:type="spellStart"/>
      <w:r w:rsidRPr="000058C0">
        <w:rPr>
          <w:sz w:val="24"/>
          <w:szCs w:val="24"/>
        </w:rPr>
        <w:t>tributylocyny</w:t>
      </w:r>
      <w:proofErr w:type="spellEnd"/>
      <w:r w:rsidRPr="000058C0">
        <w:rPr>
          <w:sz w:val="24"/>
          <w:szCs w:val="24"/>
        </w:rPr>
        <w:t xml:space="preserve">), </w:t>
      </w:r>
      <w:proofErr w:type="spellStart"/>
      <w:r w:rsidRPr="000058C0">
        <w:rPr>
          <w:sz w:val="24"/>
          <w:szCs w:val="24"/>
        </w:rPr>
        <w:t>pentachlorofenol</w:t>
      </w:r>
      <w:proofErr w:type="spellEnd"/>
      <w:r w:rsidRPr="000058C0">
        <w:rPr>
          <w:sz w:val="24"/>
          <w:szCs w:val="24"/>
        </w:rPr>
        <w:t xml:space="preserve">, kwas </w:t>
      </w:r>
      <w:proofErr w:type="spellStart"/>
      <w:r w:rsidRPr="000058C0">
        <w:rPr>
          <w:sz w:val="24"/>
          <w:szCs w:val="24"/>
        </w:rPr>
        <w:t>perfluorooktanosulfonowy</w:t>
      </w:r>
      <w:proofErr w:type="spellEnd"/>
      <w:r w:rsidRPr="000058C0">
        <w:rPr>
          <w:sz w:val="24"/>
          <w:szCs w:val="24"/>
        </w:rPr>
        <w:t xml:space="preserve"> (PFOS) – ILC/6/2022</w:t>
      </w:r>
      <w:r w:rsidR="002230C4">
        <w:rPr>
          <w:sz w:val="24"/>
          <w:szCs w:val="24"/>
          <w:lang w:val="pl-PL"/>
        </w:rPr>
        <w:t>;</w:t>
      </w:r>
    </w:p>
    <w:p w14:paraId="52640391" w14:textId="77777777" w:rsidR="000058C0" w:rsidRPr="000058C0" w:rsidRDefault="000058C0" w:rsidP="00D34F97">
      <w:pPr>
        <w:pStyle w:val="Akapitzlist"/>
        <w:numPr>
          <w:ilvl w:val="0"/>
          <w:numId w:val="208"/>
        </w:numPr>
        <w:spacing w:line="300" w:lineRule="atLeast"/>
        <w:ind w:left="284" w:hanging="284"/>
        <w:jc w:val="both"/>
        <w:rPr>
          <w:sz w:val="24"/>
          <w:szCs w:val="24"/>
        </w:rPr>
      </w:pPr>
      <w:r w:rsidRPr="000058C0">
        <w:rPr>
          <w:sz w:val="24"/>
          <w:szCs w:val="24"/>
        </w:rPr>
        <w:t>badania wód podziemnych:</w:t>
      </w:r>
    </w:p>
    <w:p w14:paraId="61E9A6F1" w14:textId="70EAD09D" w:rsidR="000058C0" w:rsidRPr="000058C0" w:rsidRDefault="000058C0" w:rsidP="00D34F97">
      <w:pPr>
        <w:pStyle w:val="Akapitzlist"/>
        <w:numPr>
          <w:ilvl w:val="0"/>
          <w:numId w:val="213"/>
        </w:numPr>
        <w:spacing w:line="300" w:lineRule="atLeast"/>
        <w:ind w:left="709" w:hanging="284"/>
        <w:jc w:val="both"/>
        <w:rPr>
          <w:sz w:val="24"/>
          <w:szCs w:val="24"/>
        </w:rPr>
      </w:pPr>
      <w:r w:rsidRPr="000058C0">
        <w:rPr>
          <w:sz w:val="24"/>
          <w:szCs w:val="24"/>
        </w:rPr>
        <w:t xml:space="preserve">pomiary terenowe: temperatura, odczyn </w:t>
      </w:r>
      <w:proofErr w:type="spellStart"/>
      <w:r w:rsidRPr="000058C0">
        <w:rPr>
          <w:sz w:val="24"/>
          <w:szCs w:val="24"/>
        </w:rPr>
        <w:t>pH</w:t>
      </w:r>
      <w:proofErr w:type="spellEnd"/>
      <w:r w:rsidRPr="000058C0">
        <w:rPr>
          <w:sz w:val="24"/>
          <w:szCs w:val="24"/>
        </w:rPr>
        <w:t>, przewodność elektryczna właściwa; badania przeprowadzone przez jednostkę prowadzącą w próbkach pobranych przez uczestników: Ogólny Węgiel Organiczny (OWO) – PT/3/2022</w:t>
      </w:r>
      <w:r w:rsidR="002230C4">
        <w:rPr>
          <w:sz w:val="24"/>
          <w:szCs w:val="24"/>
          <w:lang w:val="pl-PL"/>
        </w:rPr>
        <w:t>.</w:t>
      </w:r>
    </w:p>
    <w:p w14:paraId="5BB66083" w14:textId="77777777" w:rsidR="000058C0" w:rsidRPr="000058C0" w:rsidRDefault="000058C0" w:rsidP="00465E16">
      <w:pPr>
        <w:pStyle w:val="Akapitzlist"/>
        <w:spacing w:line="300" w:lineRule="atLeast"/>
        <w:jc w:val="both"/>
        <w:rPr>
          <w:sz w:val="24"/>
          <w:szCs w:val="24"/>
        </w:rPr>
      </w:pPr>
    </w:p>
    <w:p w14:paraId="7EA1702E" w14:textId="77777777" w:rsidR="000058C0" w:rsidRPr="000058C0" w:rsidRDefault="000058C0" w:rsidP="001B5BE5">
      <w:pPr>
        <w:spacing w:after="60" w:line="300" w:lineRule="atLeast"/>
        <w:ind w:firstLine="567"/>
        <w:jc w:val="both"/>
        <w:rPr>
          <w:rFonts w:ascii="Times New Roman" w:hAnsi="Times New Roman" w:cs="Times New Roman"/>
          <w:sz w:val="24"/>
          <w:szCs w:val="24"/>
        </w:rPr>
      </w:pPr>
      <w:r w:rsidRPr="000058C0">
        <w:rPr>
          <w:rFonts w:ascii="Times New Roman" w:hAnsi="Times New Roman" w:cs="Times New Roman"/>
          <w:sz w:val="24"/>
          <w:szCs w:val="24"/>
        </w:rPr>
        <w:t>W ramach badań PT/ILC organizowanych przez KLRP CLB wzięło udział w 3 programach badań biegłości. Były to badania obejmujące:</w:t>
      </w:r>
    </w:p>
    <w:p w14:paraId="125998D0" w14:textId="77777777" w:rsidR="000058C0" w:rsidRPr="000058C0" w:rsidRDefault="000058C0" w:rsidP="00D34F97">
      <w:pPr>
        <w:pStyle w:val="Akapitzlist"/>
        <w:numPr>
          <w:ilvl w:val="0"/>
          <w:numId w:val="208"/>
        </w:numPr>
        <w:spacing w:line="300" w:lineRule="atLeast"/>
        <w:ind w:left="284" w:hanging="284"/>
        <w:jc w:val="both"/>
        <w:rPr>
          <w:sz w:val="24"/>
          <w:szCs w:val="24"/>
        </w:rPr>
      </w:pPr>
      <w:r w:rsidRPr="000058C0">
        <w:rPr>
          <w:sz w:val="24"/>
          <w:szCs w:val="24"/>
        </w:rPr>
        <w:t>badania zanieczyszczeń powietrza w zakresie stężeń:</w:t>
      </w:r>
    </w:p>
    <w:p w14:paraId="12482008" w14:textId="77777777" w:rsidR="000058C0" w:rsidRPr="000058C0" w:rsidRDefault="000058C0" w:rsidP="00D34F97">
      <w:pPr>
        <w:pStyle w:val="Akapitzlist"/>
        <w:numPr>
          <w:ilvl w:val="0"/>
          <w:numId w:val="213"/>
        </w:numPr>
        <w:spacing w:line="300" w:lineRule="atLeast"/>
        <w:ind w:left="709" w:hanging="284"/>
        <w:jc w:val="both"/>
        <w:rPr>
          <w:sz w:val="24"/>
          <w:szCs w:val="24"/>
        </w:rPr>
      </w:pPr>
      <w:r w:rsidRPr="000058C0">
        <w:rPr>
          <w:sz w:val="24"/>
          <w:szCs w:val="24"/>
        </w:rPr>
        <w:t>dwutlenku siarki, tlenku węgla, ozonu oraz tlenków azotu</w:t>
      </w:r>
    </w:p>
    <w:p w14:paraId="74019CC8" w14:textId="77777777" w:rsidR="000058C0" w:rsidRPr="000058C0" w:rsidRDefault="000058C0" w:rsidP="00D34F97">
      <w:pPr>
        <w:pStyle w:val="Akapitzlist"/>
        <w:numPr>
          <w:ilvl w:val="0"/>
          <w:numId w:val="213"/>
        </w:numPr>
        <w:spacing w:line="300" w:lineRule="atLeast"/>
        <w:ind w:left="709" w:hanging="284"/>
        <w:jc w:val="both"/>
        <w:rPr>
          <w:sz w:val="24"/>
          <w:szCs w:val="24"/>
        </w:rPr>
      </w:pPr>
      <w:r w:rsidRPr="000058C0">
        <w:rPr>
          <w:sz w:val="24"/>
          <w:szCs w:val="24"/>
        </w:rPr>
        <w:t>benzenu</w:t>
      </w:r>
    </w:p>
    <w:p w14:paraId="7CE8A89A" w14:textId="61D3EDB9" w:rsidR="000058C0" w:rsidRPr="000058C0" w:rsidRDefault="000058C0" w:rsidP="00D34F97">
      <w:pPr>
        <w:pStyle w:val="Akapitzlist"/>
        <w:numPr>
          <w:ilvl w:val="0"/>
          <w:numId w:val="213"/>
        </w:numPr>
        <w:spacing w:line="300" w:lineRule="atLeast"/>
        <w:ind w:left="709" w:hanging="284"/>
        <w:jc w:val="both"/>
        <w:rPr>
          <w:sz w:val="24"/>
          <w:szCs w:val="24"/>
        </w:rPr>
      </w:pPr>
      <w:r w:rsidRPr="000058C0">
        <w:rPr>
          <w:sz w:val="24"/>
          <w:szCs w:val="24"/>
        </w:rPr>
        <w:t xml:space="preserve">pyłu zawieszonego PM10 i PM2,5, metali ciężkich (As, Cd, Pb, Ni) oraz </w:t>
      </w:r>
      <w:proofErr w:type="spellStart"/>
      <w:r w:rsidRPr="000058C0">
        <w:rPr>
          <w:sz w:val="24"/>
          <w:szCs w:val="24"/>
        </w:rPr>
        <w:t>benzo</w:t>
      </w:r>
      <w:proofErr w:type="spellEnd"/>
      <w:r w:rsidRPr="000058C0">
        <w:rPr>
          <w:sz w:val="24"/>
          <w:szCs w:val="24"/>
        </w:rPr>
        <w:t>(a)</w:t>
      </w:r>
      <w:proofErr w:type="spellStart"/>
      <w:r w:rsidRPr="000058C0">
        <w:rPr>
          <w:sz w:val="24"/>
          <w:szCs w:val="24"/>
        </w:rPr>
        <w:t>pirenu</w:t>
      </w:r>
      <w:proofErr w:type="spellEnd"/>
      <w:r w:rsidRPr="000058C0">
        <w:rPr>
          <w:sz w:val="24"/>
          <w:szCs w:val="24"/>
        </w:rPr>
        <w:t xml:space="preserve"> w pyle zawieszonym PM10</w:t>
      </w:r>
      <w:r w:rsidR="0085597D">
        <w:rPr>
          <w:sz w:val="24"/>
          <w:szCs w:val="24"/>
          <w:lang w:val="pl-PL"/>
        </w:rPr>
        <w:t>.</w:t>
      </w:r>
    </w:p>
    <w:p w14:paraId="04991735" w14:textId="77777777" w:rsidR="000058C0" w:rsidRPr="000058C0" w:rsidRDefault="000058C0" w:rsidP="00465E16">
      <w:pPr>
        <w:pStyle w:val="Akapitzlist"/>
        <w:spacing w:line="300" w:lineRule="atLeast"/>
        <w:jc w:val="both"/>
        <w:rPr>
          <w:sz w:val="24"/>
          <w:szCs w:val="24"/>
        </w:rPr>
      </w:pPr>
    </w:p>
    <w:p w14:paraId="001BF817" w14:textId="77777777" w:rsidR="000058C0" w:rsidRPr="000058C0" w:rsidRDefault="000058C0" w:rsidP="002230C4">
      <w:pPr>
        <w:spacing w:after="60" w:line="300" w:lineRule="atLeast"/>
        <w:ind w:firstLine="567"/>
        <w:jc w:val="both"/>
        <w:rPr>
          <w:rFonts w:ascii="Times New Roman" w:hAnsi="Times New Roman" w:cs="Times New Roman"/>
          <w:sz w:val="24"/>
          <w:szCs w:val="24"/>
        </w:rPr>
      </w:pPr>
      <w:r w:rsidRPr="000058C0">
        <w:rPr>
          <w:rFonts w:ascii="Times New Roman" w:hAnsi="Times New Roman" w:cs="Times New Roman"/>
          <w:sz w:val="24"/>
          <w:szCs w:val="24"/>
        </w:rPr>
        <w:t>W ramach badań PT/ILC organizowanych przez dostawców zewnętrznych w zakresie badań fizykochemicznych gleb, osadów ściekowych oraz próbek powietrza CLB wzięło udział w 7 programach badań biegłości. Były to badania obejmujące:</w:t>
      </w:r>
    </w:p>
    <w:p w14:paraId="4C0947CC" w14:textId="77777777" w:rsidR="000058C0" w:rsidRPr="000058C0" w:rsidRDefault="000058C0" w:rsidP="00D34F97">
      <w:pPr>
        <w:pStyle w:val="Akapitzlist"/>
        <w:numPr>
          <w:ilvl w:val="0"/>
          <w:numId w:val="208"/>
        </w:numPr>
        <w:spacing w:line="300" w:lineRule="atLeast"/>
        <w:ind w:left="284" w:hanging="284"/>
        <w:jc w:val="both"/>
        <w:rPr>
          <w:sz w:val="24"/>
          <w:szCs w:val="24"/>
        </w:rPr>
      </w:pPr>
      <w:r w:rsidRPr="000058C0">
        <w:rPr>
          <w:sz w:val="24"/>
          <w:szCs w:val="24"/>
        </w:rPr>
        <w:t>badania gleby na zawartość:</w:t>
      </w:r>
    </w:p>
    <w:p w14:paraId="1B1434DB" w14:textId="3FBA7DBF" w:rsidR="000058C0" w:rsidRPr="000058C0" w:rsidRDefault="000058C0" w:rsidP="00D34F97">
      <w:pPr>
        <w:pStyle w:val="Akapitzlist"/>
        <w:numPr>
          <w:ilvl w:val="0"/>
          <w:numId w:val="213"/>
        </w:numPr>
        <w:spacing w:line="300" w:lineRule="atLeast"/>
        <w:ind w:left="709" w:hanging="284"/>
        <w:jc w:val="both"/>
        <w:rPr>
          <w:sz w:val="24"/>
          <w:szCs w:val="24"/>
        </w:rPr>
      </w:pPr>
      <w:r w:rsidRPr="000058C0">
        <w:rPr>
          <w:sz w:val="24"/>
          <w:szCs w:val="24"/>
        </w:rPr>
        <w:t>wielopierścieniowych węglowodorów aromatycznych</w:t>
      </w:r>
      <w:r w:rsidR="002230C4">
        <w:rPr>
          <w:sz w:val="24"/>
          <w:szCs w:val="24"/>
          <w:lang w:val="pl-PL"/>
        </w:rPr>
        <w:t>,</w:t>
      </w:r>
    </w:p>
    <w:p w14:paraId="713C6BF4" w14:textId="7076E1D9" w:rsidR="000058C0" w:rsidRPr="000058C0" w:rsidRDefault="000058C0" w:rsidP="00D34F97">
      <w:pPr>
        <w:pStyle w:val="Akapitzlist"/>
        <w:numPr>
          <w:ilvl w:val="0"/>
          <w:numId w:val="213"/>
        </w:numPr>
        <w:spacing w:line="300" w:lineRule="atLeast"/>
        <w:ind w:left="709" w:hanging="284"/>
        <w:jc w:val="both"/>
        <w:rPr>
          <w:sz w:val="24"/>
          <w:szCs w:val="24"/>
        </w:rPr>
      </w:pPr>
      <w:r w:rsidRPr="000058C0">
        <w:rPr>
          <w:sz w:val="24"/>
          <w:szCs w:val="24"/>
        </w:rPr>
        <w:t>węglowodorów ropopochodnych - oleju mineralnego (C12 – C35)</w:t>
      </w:r>
      <w:r w:rsidR="002230C4">
        <w:rPr>
          <w:sz w:val="24"/>
          <w:szCs w:val="24"/>
          <w:lang w:val="pl-PL"/>
        </w:rPr>
        <w:t>,</w:t>
      </w:r>
    </w:p>
    <w:p w14:paraId="36066AE6" w14:textId="06904598" w:rsidR="000058C0" w:rsidRPr="000058C0" w:rsidRDefault="000058C0" w:rsidP="00D34F97">
      <w:pPr>
        <w:pStyle w:val="Akapitzlist"/>
        <w:numPr>
          <w:ilvl w:val="0"/>
          <w:numId w:val="213"/>
        </w:numPr>
        <w:spacing w:line="300" w:lineRule="atLeast"/>
        <w:ind w:left="709" w:hanging="284"/>
        <w:jc w:val="both"/>
        <w:rPr>
          <w:sz w:val="24"/>
          <w:szCs w:val="24"/>
        </w:rPr>
      </w:pPr>
      <w:r w:rsidRPr="000058C0">
        <w:rPr>
          <w:sz w:val="24"/>
          <w:szCs w:val="24"/>
        </w:rPr>
        <w:t xml:space="preserve">węglowodorów ropopochodnych </w:t>
      </w:r>
      <w:r w:rsidR="002230C4">
        <w:rPr>
          <w:sz w:val="24"/>
          <w:szCs w:val="24"/>
        </w:rPr>
        <w:t>–</w:t>
      </w:r>
      <w:r w:rsidRPr="000058C0">
        <w:rPr>
          <w:sz w:val="24"/>
          <w:szCs w:val="24"/>
        </w:rPr>
        <w:t xml:space="preserve"> benzyny</w:t>
      </w:r>
      <w:r w:rsidR="002230C4">
        <w:rPr>
          <w:sz w:val="24"/>
          <w:szCs w:val="24"/>
          <w:lang w:val="pl-PL"/>
        </w:rPr>
        <w:t>,</w:t>
      </w:r>
    </w:p>
    <w:p w14:paraId="2F3FCBC1" w14:textId="67CA8B18" w:rsidR="000058C0" w:rsidRPr="000058C0" w:rsidRDefault="000058C0" w:rsidP="00D34F97">
      <w:pPr>
        <w:pStyle w:val="Akapitzlist"/>
        <w:numPr>
          <w:ilvl w:val="0"/>
          <w:numId w:val="213"/>
        </w:numPr>
        <w:spacing w:line="300" w:lineRule="atLeast"/>
        <w:ind w:left="709" w:hanging="284"/>
        <w:jc w:val="both"/>
        <w:rPr>
          <w:sz w:val="24"/>
          <w:szCs w:val="24"/>
        </w:rPr>
      </w:pPr>
      <w:r w:rsidRPr="000058C0">
        <w:rPr>
          <w:sz w:val="24"/>
          <w:szCs w:val="24"/>
        </w:rPr>
        <w:t xml:space="preserve">pestycydów </w:t>
      </w:r>
      <w:proofErr w:type="spellStart"/>
      <w:r w:rsidRPr="000058C0">
        <w:rPr>
          <w:sz w:val="24"/>
          <w:szCs w:val="24"/>
        </w:rPr>
        <w:t>chloroorganicznych</w:t>
      </w:r>
      <w:proofErr w:type="spellEnd"/>
      <w:r w:rsidR="002230C4">
        <w:rPr>
          <w:sz w:val="24"/>
          <w:szCs w:val="24"/>
          <w:lang w:val="pl-PL"/>
        </w:rPr>
        <w:t>;</w:t>
      </w:r>
    </w:p>
    <w:p w14:paraId="3D78688E" w14:textId="77777777" w:rsidR="000058C0" w:rsidRPr="000058C0" w:rsidRDefault="000058C0" w:rsidP="00D34F97">
      <w:pPr>
        <w:pStyle w:val="Akapitzlist"/>
        <w:numPr>
          <w:ilvl w:val="0"/>
          <w:numId w:val="208"/>
        </w:numPr>
        <w:spacing w:line="300" w:lineRule="atLeast"/>
        <w:ind w:left="284" w:hanging="284"/>
        <w:jc w:val="both"/>
        <w:rPr>
          <w:sz w:val="24"/>
          <w:szCs w:val="24"/>
        </w:rPr>
      </w:pPr>
      <w:r w:rsidRPr="000058C0">
        <w:rPr>
          <w:sz w:val="24"/>
          <w:szCs w:val="24"/>
        </w:rPr>
        <w:t>badania osadów ściekowych w zakresie:</w:t>
      </w:r>
    </w:p>
    <w:p w14:paraId="4F4FE754" w14:textId="7B988474" w:rsidR="000058C0" w:rsidRPr="000058C0" w:rsidRDefault="000058C0" w:rsidP="00D34F97">
      <w:pPr>
        <w:pStyle w:val="Akapitzlist"/>
        <w:numPr>
          <w:ilvl w:val="0"/>
          <w:numId w:val="213"/>
        </w:numPr>
        <w:spacing w:line="300" w:lineRule="atLeast"/>
        <w:ind w:left="709" w:hanging="284"/>
        <w:jc w:val="both"/>
        <w:rPr>
          <w:sz w:val="24"/>
          <w:szCs w:val="24"/>
        </w:rPr>
      </w:pPr>
      <w:proofErr w:type="spellStart"/>
      <w:r w:rsidRPr="000058C0">
        <w:rPr>
          <w:sz w:val="24"/>
          <w:szCs w:val="24"/>
        </w:rPr>
        <w:t>pH</w:t>
      </w:r>
      <w:proofErr w:type="spellEnd"/>
      <w:r w:rsidRPr="000058C0">
        <w:rPr>
          <w:sz w:val="24"/>
          <w:szCs w:val="24"/>
        </w:rPr>
        <w:t xml:space="preserve"> w </w:t>
      </w:r>
      <w:proofErr w:type="spellStart"/>
      <w:r w:rsidRPr="000058C0">
        <w:rPr>
          <w:sz w:val="24"/>
          <w:szCs w:val="24"/>
        </w:rPr>
        <w:t>KCl</w:t>
      </w:r>
      <w:proofErr w:type="spellEnd"/>
      <w:r w:rsidRPr="000058C0">
        <w:rPr>
          <w:sz w:val="24"/>
          <w:szCs w:val="24"/>
        </w:rPr>
        <w:t xml:space="preserve">, </w:t>
      </w:r>
      <w:proofErr w:type="spellStart"/>
      <w:r w:rsidRPr="000058C0">
        <w:rPr>
          <w:sz w:val="24"/>
          <w:szCs w:val="24"/>
        </w:rPr>
        <w:t>pH</w:t>
      </w:r>
      <w:proofErr w:type="spellEnd"/>
      <w:r w:rsidRPr="000058C0">
        <w:rPr>
          <w:sz w:val="24"/>
          <w:szCs w:val="24"/>
        </w:rPr>
        <w:t xml:space="preserve"> w H2O</w:t>
      </w:r>
      <w:r w:rsidR="002230C4">
        <w:rPr>
          <w:sz w:val="24"/>
          <w:szCs w:val="24"/>
          <w:lang w:val="pl-PL"/>
        </w:rPr>
        <w:t>,</w:t>
      </w:r>
    </w:p>
    <w:p w14:paraId="476A4FE4" w14:textId="251E3E11" w:rsidR="000058C0" w:rsidRPr="000058C0" w:rsidRDefault="000058C0" w:rsidP="00D34F97">
      <w:pPr>
        <w:pStyle w:val="Akapitzlist"/>
        <w:numPr>
          <w:ilvl w:val="0"/>
          <w:numId w:val="213"/>
        </w:numPr>
        <w:spacing w:line="300" w:lineRule="atLeast"/>
        <w:ind w:left="709" w:hanging="284"/>
        <w:jc w:val="both"/>
        <w:rPr>
          <w:sz w:val="24"/>
          <w:szCs w:val="24"/>
        </w:rPr>
      </w:pPr>
      <w:r w:rsidRPr="000058C0">
        <w:rPr>
          <w:sz w:val="24"/>
          <w:szCs w:val="24"/>
        </w:rPr>
        <w:t>sucha masa, zawartość substancji organicznych</w:t>
      </w:r>
      <w:r w:rsidR="002230C4">
        <w:rPr>
          <w:sz w:val="24"/>
          <w:szCs w:val="24"/>
          <w:lang w:val="pl-PL"/>
        </w:rPr>
        <w:t>,</w:t>
      </w:r>
    </w:p>
    <w:p w14:paraId="5487B784" w14:textId="143FE99F" w:rsidR="000058C0" w:rsidRPr="000058C0" w:rsidRDefault="000058C0" w:rsidP="00D34F97">
      <w:pPr>
        <w:pStyle w:val="Akapitzlist"/>
        <w:numPr>
          <w:ilvl w:val="0"/>
          <w:numId w:val="213"/>
        </w:numPr>
        <w:spacing w:line="300" w:lineRule="atLeast"/>
        <w:ind w:left="709" w:hanging="284"/>
        <w:jc w:val="both"/>
        <w:rPr>
          <w:sz w:val="24"/>
          <w:szCs w:val="24"/>
        </w:rPr>
      </w:pPr>
      <w:r w:rsidRPr="000058C0">
        <w:rPr>
          <w:sz w:val="24"/>
          <w:szCs w:val="24"/>
        </w:rPr>
        <w:t>zawartość metali: Ca, Mg, Pb, Cd, Ni, Zn, Cu, Cr, Hg</w:t>
      </w:r>
      <w:r w:rsidR="002230C4">
        <w:rPr>
          <w:sz w:val="24"/>
          <w:szCs w:val="24"/>
          <w:lang w:val="pl-PL"/>
        </w:rPr>
        <w:t>,</w:t>
      </w:r>
    </w:p>
    <w:p w14:paraId="75982D0C" w14:textId="72F22B43" w:rsidR="000058C0" w:rsidRPr="000058C0" w:rsidRDefault="000058C0" w:rsidP="00D34F97">
      <w:pPr>
        <w:pStyle w:val="Akapitzlist"/>
        <w:numPr>
          <w:ilvl w:val="0"/>
          <w:numId w:val="213"/>
        </w:numPr>
        <w:spacing w:line="300" w:lineRule="atLeast"/>
        <w:ind w:left="709" w:hanging="284"/>
        <w:jc w:val="both"/>
        <w:rPr>
          <w:sz w:val="24"/>
          <w:szCs w:val="24"/>
        </w:rPr>
      </w:pPr>
      <w:r w:rsidRPr="000058C0">
        <w:rPr>
          <w:sz w:val="24"/>
          <w:szCs w:val="24"/>
        </w:rPr>
        <w:t xml:space="preserve">zawartość azotu </w:t>
      </w:r>
      <w:proofErr w:type="spellStart"/>
      <w:r w:rsidRPr="000058C0">
        <w:rPr>
          <w:sz w:val="24"/>
          <w:szCs w:val="24"/>
        </w:rPr>
        <w:t>Kjeldahla</w:t>
      </w:r>
      <w:proofErr w:type="spellEnd"/>
      <w:r w:rsidRPr="000058C0">
        <w:rPr>
          <w:sz w:val="24"/>
          <w:szCs w:val="24"/>
        </w:rPr>
        <w:t xml:space="preserve"> i azotu amonowego</w:t>
      </w:r>
      <w:r w:rsidR="002230C4">
        <w:rPr>
          <w:sz w:val="24"/>
          <w:szCs w:val="24"/>
          <w:lang w:val="pl-PL"/>
        </w:rPr>
        <w:t>,</w:t>
      </w:r>
    </w:p>
    <w:p w14:paraId="6A052D5A" w14:textId="4F729383" w:rsidR="000058C0" w:rsidRPr="000058C0" w:rsidRDefault="000058C0" w:rsidP="00D34F97">
      <w:pPr>
        <w:pStyle w:val="Akapitzlist"/>
        <w:numPr>
          <w:ilvl w:val="0"/>
          <w:numId w:val="213"/>
        </w:numPr>
        <w:spacing w:line="300" w:lineRule="atLeast"/>
        <w:ind w:left="709" w:hanging="284"/>
        <w:jc w:val="both"/>
        <w:rPr>
          <w:sz w:val="24"/>
          <w:szCs w:val="24"/>
        </w:rPr>
      </w:pPr>
      <w:r w:rsidRPr="000058C0">
        <w:rPr>
          <w:sz w:val="24"/>
          <w:szCs w:val="24"/>
        </w:rPr>
        <w:t>zawartość fosforu ogólnego</w:t>
      </w:r>
      <w:r w:rsidR="002230C4">
        <w:rPr>
          <w:sz w:val="24"/>
          <w:szCs w:val="24"/>
          <w:lang w:val="pl-PL"/>
        </w:rPr>
        <w:t>,</w:t>
      </w:r>
    </w:p>
    <w:p w14:paraId="63A9C99C" w14:textId="77777777" w:rsidR="000058C0" w:rsidRPr="000058C0" w:rsidRDefault="000058C0" w:rsidP="00D34F97">
      <w:pPr>
        <w:numPr>
          <w:ilvl w:val="0"/>
          <w:numId w:val="208"/>
        </w:numPr>
        <w:spacing w:after="0" w:line="300" w:lineRule="atLeast"/>
        <w:ind w:left="284" w:hanging="284"/>
        <w:jc w:val="both"/>
        <w:rPr>
          <w:rFonts w:ascii="Times New Roman" w:hAnsi="Times New Roman" w:cs="Times New Roman"/>
          <w:sz w:val="24"/>
          <w:szCs w:val="24"/>
        </w:rPr>
      </w:pPr>
      <w:r w:rsidRPr="000058C0">
        <w:rPr>
          <w:rFonts w:ascii="Times New Roman" w:hAnsi="Times New Roman" w:cs="Times New Roman"/>
          <w:sz w:val="24"/>
          <w:szCs w:val="24"/>
        </w:rPr>
        <w:t>badania próbek powietrza zaabsorbowanych na węglu aktywnym w zakresie stężenia:</w:t>
      </w:r>
    </w:p>
    <w:p w14:paraId="03A83F71" w14:textId="7991F143" w:rsidR="000058C0" w:rsidRPr="000058C0" w:rsidRDefault="000058C0" w:rsidP="00D34F97">
      <w:pPr>
        <w:pStyle w:val="Akapitzlist"/>
        <w:numPr>
          <w:ilvl w:val="0"/>
          <w:numId w:val="213"/>
        </w:numPr>
        <w:spacing w:line="300" w:lineRule="atLeast"/>
        <w:ind w:left="709" w:hanging="284"/>
        <w:jc w:val="both"/>
        <w:rPr>
          <w:sz w:val="24"/>
          <w:szCs w:val="24"/>
        </w:rPr>
      </w:pPr>
      <w:r w:rsidRPr="000058C0">
        <w:rPr>
          <w:sz w:val="24"/>
          <w:szCs w:val="24"/>
        </w:rPr>
        <w:t>benzenu</w:t>
      </w:r>
      <w:r w:rsidR="002230C4">
        <w:rPr>
          <w:sz w:val="24"/>
          <w:szCs w:val="24"/>
          <w:lang w:val="pl-PL"/>
        </w:rPr>
        <w:t>,</w:t>
      </w:r>
    </w:p>
    <w:p w14:paraId="68967664" w14:textId="6EE18E06" w:rsidR="000058C0" w:rsidRPr="000058C0" w:rsidRDefault="000058C0" w:rsidP="00D34F97">
      <w:pPr>
        <w:pStyle w:val="Akapitzlist"/>
        <w:numPr>
          <w:ilvl w:val="0"/>
          <w:numId w:val="213"/>
        </w:numPr>
        <w:spacing w:line="300" w:lineRule="atLeast"/>
        <w:ind w:left="709" w:hanging="284"/>
        <w:jc w:val="both"/>
        <w:rPr>
          <w:sz w:val="24"/>
          <w:szCs w:val="24"/>
        </w:rPr>
      </w:pPr>
      <w:r w:rsidRPr="000058C0">
        <w:rPr>
          <w:sz w:val="24"/>
          <w:szCs w:val="24"/>
        </w:rPr>
        <w:t>n-heksanu</w:t>
      </w:r>
      <w:r w:rsidR="002230C4">
        <w:rPr>
          <w:sz w:val="24"/>
          <w:szCs w:val="24"/>
          <w:lang w:val="pl-PL"/>
        </w:rPr>
        <w:t>,</w:t>
      </w:r>
    </w:p>
    <w:p w14:paraId="6F48B7D6" w14:textId="5E127197" w:rsidR="000058C0" w:rsidRPr="000058C0" w:rsidRDefault="000058C0" w:rsidP="00D34F97">
      <w:pPr>
        <w:pStyle w:val="Akapitzlist"/>
        <w:numPr>
          <w:ilvl w:val="0"/>
          <w:numId w:val="213"/>
        </w:numPr>
        <w:spacing w:line="300" w:lineRule="atLeast"/>
        <w:ind w:left="709" w:hanging="284"/>
        <w:jc w:val="both"/>
        <w:rPr>
          <w:sz w:val="24"/>
          <w:szCs w:val="24"/>
        </w:rPr>
      </w:pPr>
      <w:r w:rsidRPr="000058C0">
        <w:rPr>
          <w:sz w:val="24"/>
          <w:szCs w:val="24"/>
        </w:rPr>
        <w:t>octanu butylu</w:t>
      </w:r>
      <w:r w:rsidR="002230C4">
        <w:rPr>
          <w:sz w:val="24"/>
          <w:szCs w:val="24"/>
          <w:lang w:val="pl-PL"/>
        </w:rPr>
        <w:t>,</w:t>
      </w:r>
    </w:p>
    <w:p w14:paraId="53C180F5" w14:textId="77777777" w:rsidR="000058C0" w:rsidRPr="000058C0" w:rsidRDefault="000058C0" w:rsidP="002230C4">
      <w:pPr>
        <w:spacing w:after="0" w:line="300" w:lineRule="atLeast"/>
        <w:jc w:val="both"/>
        <w:rPr>
          <w:rFonts w:ascii="Times New Roman" w:hAnsi="Times New Roman" w:cs="Times New Roman"/>
          <w:sz w:val="24"/>
          <w:szCs w:val="24"/>
        </w:rPr>
      </w:pPr>
      <w:r w:rsidRPr="000058C0">
        <w:rPr>
          <w:rFonts w:ascii="Times New Roman" w:hAnsi="Times New Roman" w:cs="Times New Roman"/>
          <w:sz w:val="24"/>
          <w:szCs w:val="24"/>
        </w:rPr>
        <w:lastRenderedPageBreak/>
        <w:t xml:space="preserve">Organizatorami tych badań byli: </w:t>
      </w:r>
      <w:proofErr w:type="spellStart"/>
      <w:r w:rsidRPr="000058C0">
        <w:rPr>
          <w:rFonts w:ascii="Times New Roman" w:hAnsi="Times New Roman" w:cs="Times New Roman"/>
          <w:sz w:val="24"/>
          <w:szCs w:val="24"/>
        </w:rPr>
        <w:t>Eurofins</w:t>
      </w:r>
      <w:proofErr w:type="spellEnd"/>
      <w:r w:rsidRPr="000058C0">
        <w:rPr>
          <w:rFonts w:ascii="Times New Roman" w:hAnsi="Times New Roman" w:cs="Times New Roman"/>
          <w:sz w:val="24"/>
          <w:szCs w:val="24"/>
        </w:rPr>
        <w:t xml:space="preserve"> </w:t>
      </w:r>
      <w:proofErr w:type="spellStart"/>
      <w:r w:rsidRPr="000058C0">
        <w:rPr>
          <w:rFonts w:ascii="Times New Roman" w:hAnsi="Times New Roman" w:cs="Times New Roman"/>
          <w:sz w:val="24"/>
          <w:szCs w:val="24"/>
        </w:rPr>
        <w:t>OBiKŚ</w:t>
      </w:r>
      <w:proofErr w:type="spellEnd"/>
      <w:r w:rsidRPr="000058C0">
        <w:rPr>
          <w:rFonts w:ascii="Times New Roman" w:hAnsi="Times New Roman" w:cs="Times New Roman"/>
          <w:sz w:val="24"/>
          <w:szCs w:val="24"/>
        </w:rPr>
        <w:t xml:space="preserve"> Polska Sp. z o.o., </w:t>
      </w:r>
      <w:proofErr w:type="spellStart"/>
      <w:r w:rsidRPr="000058C0">
        <w:rPr>
          <w:rFonts w:ascii="Times New Roman" w:hAnsi="Times New Roman" w:cs="Times New Roman"/>
          <w:sz w:val="24"/>
          <w:szCs w:val="24"/>
        </w:rPr>
        <w:t>Merck</w:t>
      </w:r>
      <w:proofErr w:type="spellEnd"/>
      <w:r w:rsidRPr="000058C0">
        <w:rPr>
          <w:rFonts w:ascii="Times New Roman" w:hAnsi="Times New Roman" w:cs="Times New Roman"/>
          <w:sz w:val="24"/>
          <w:szCs w:val="24"/>
        </w:rPr>
        <w:t xml:space="preserve"> Life Science Sp. z o.o.,</w:t>
      </w:r>
      <w:r w:rsidRPr="000058C0">
        <w:rPr>
          <w:rFonts w:ascii="Times New Roman" w:hAnsi="Times New Roman" w:cs="Times New Roman"/>
          <w:color w:val="000000"/>
          <w:sz w:val="24"/>
          <w:szCs w:val="24"/>
          <w:shd w:val="clear" w:color="auto" w:fill="FFFFFF"/>
        </w:rPr>
        <w:t xml:space="preserve"> Narodowy Instytut Bezpieczeństwa i Zdrowia Pracy w Hiszpanii oraz Krajowa Stacja Chemiczno-Rolnicza w Warszawie</w:t>
      </w:r>
      <w:r w:rsidRPr="000058C0">
        <w:rPr>
          <w:rFonts w:ascii="Times New Roman" w:hAnsi="Times New Roman" w:cs="Times New Roman"/>
          <w:sz w:val="24"/>
          <w:szCs w:val="24"/>
        </w:rPr>
        <w:t>.</w:t>
      </w:r>
    </w:p>
    <w:p w14:paraId="417D065A" w14:textId="77777777" w:rsidR="000058C0" w:rsidRPr="000058C0" w:rsidRDefault="000058C0" w:rsidP="00465E16">
      <w:pPr>
        <w:pStyle w:val="Akapitzlist"/>
        <w:spacing w:line="300" w:lineRule="atLeast"/>
        <w:ind w:left="0"/>
        <w:jc w:val="both"/>
        <w:rPr>
          <w:sz w:val="24"/>
          <w:szCs w:val="24"/>
          <w:highlight w:val="yellow"/>
        </w:rPr>
      </w:pPr>
    </w:p>
    <w:p w14:paraId="7469923E" w14:textId="77777777" w:rsidR="000058C0" w:rsidRPr="000058C0" w:rsidRDefault="000058C0" w:rsidP="002230C4">
      <w:pPr>
        <w:spacing w:after="60" w:line="300" w:lineRule="atLeast"/>
        <w:jc w:val="both"/>
        <w:rPr>
          <w:rFonts w:ascii="Times New Roman" w:hAnsi="Times New Roman" w:cs="Times New Roman"/>
          <w:sz w:val="24"/>
          <w:szCs w:val="24"/>
        </w:rPr>
      </w:pPr>
      <w:r w:rsidRPr="000058C0">
        <w:rPr>
          <w:rFonts w:ascii="Times New Roman" w:hAnsi="Times New Roman" w:cs="Times New Roman"/>
          <w:sz w:val="24"/>
          <w:szCs w:val="24"/>
        </w:rPr>
        <w:t>Ponadto laboratoria wzięły udział w badaniach porównawczych w zakresie metod zgłoszonych do rozszerzenia zakresu akredytacji:</w:t>
      </w:r>
    </w:p>
    <w:p w14:paraId="111C55C7" w14:textId="776F21DD" w:rsidR="000058C0" w:rsidRPr="000058C0" w:rsidRDefault="000058C0" w:rsidP="00D34F97">
      <w:pPr>
        <w:pStyle w:val="Akapitzlist"/>
        <w:numPr>
          <w:ilvl w:val="0"/>
          <w:numId w:val="208"/>
        </w:numPr>
        <w:spacing w:line="300" w:lineRule="atLeast"/>
        <w:ind w:left="284" w:hanging="284"/>
        <w:jc w:val="both"/>
        <w:rPr>
          <w:sz w:val="24"/>
          <w:szCs w:val="24"/>
        </w:rPr>
      </w:pPr>
      <w:r w:rsidRPr="000058C0">
        <w:rPr>
          <w:sz w:val="24"/>
          <w:szCs w:val="24"/>
        </w:rPr>
        <w:t>Oddział CLB w Poznaniu – w zakresie badania ciepła spalania zorganizowanych przez Instytut Technologii Paliw i Energii oraz Laboratorium Chemii Centrum Transferu Technologii Państwowej Uczelni Zawodowej im. Prof. Edwarda F. Szczepanika w Suwałkach</w:t>
      </w:r>
      <w:r w:rsidR="002230C4">
        <w:rPr>
          <w:sz w:val="24"/>
          <w:szCs w:val="24"/>
          <w:lang w:val="pl-PL"/>
        </w:rPr>
        <w:t>,</w:t>
      </w:r>
      <w:r w:rsidRPr="000058C0">
        <w:rPr>
          <w:sz w:val="24"/>
          <w:szCs w:val="24"/>
        </w:rPr>
        <w:t xml:space="preserve">  </w:t>
      </w:r>
    </w:p>
    <w:p w14:paraId="07137383" w14:textId="77777777" w:rsidR="000058C0" w:rsidRPr="000058C0" w:rsidRDefault="000058C0" w:rsidP="00D34F97">
      <w:pPr>
        <w:pStyle w:val="Akapitzlist"/>
        <w:numPr>
          <w:ilvl w:val="0"/>
          <w:numId w:val="208"/>
        </w:numPr>
        <w:spacing w:line="300" w:lineRule="atLeast"/>
        <w:ind w:left="284" w:hanging="284"/>
        <w:jc w:val="both"/>
        <w:rPr>
          <w:sz w:val="24"/>
          <w:szCs w:val="24"/>
        </w:rPr>
      </w:pPr>
      <w:r w:rsidRPr="000058C0">
        <w:rPr>
          <w:sz w:val="24"/>
          <w:szCs w:val="24"/>
        </w:rPr>
        <w:t>Oddział CLB w Kielcach – w zakresie wodoprzepuszczalności gleby zorganizowanym przez Przedsiębiorstwo Geologiczne Sp. z o.o.</w:t>
      </w:r>
    </w:p>
    <w:p w14:paraId="10430F42" w14:textId="77777777" w:rsidR="000058C0" w:rsidRPr="000058C0" w:rsidRDefault="000058C0" w:rsidP="002230C4">
      <w:pPr>
        <w:spacing w:after="60" w:line="300" w:lineRule="atLeast"/>
        <w:ind w:firstLine="284"/>
        <w:jc w:val="both"/>
        <w:rPr>
          <w:rFonts w:ascii="Times New Roman" w:hAnsi="Times New Roman" w:cs="Times New Roman"/>
          <w:sz w:val="24"/>
          <w:szCs w:val="24"/>
        </w:rPr>
      </w:pPr>
      <w:r w:rsidRPr="000058C0">
        <w:rPr>
          <w:rFonts w:ascii="Times New Roman" w:hAnsi="Times New Roman" w:cs="Times New Roman"/>
          <w:sz w:val="24"/>
          <w:szCs w:val="24"/>
        </w:rPr>
        <w:t>Ponadto, wszystkie Oddziały CLB GIOŚ brały udział w Programie LVIII badań biegłości (PT) z zakresu pomiarów hałasu w środowisku zorganizowanym przez Instytut Ochrony Środowiska – Państwowy Instytut Badawczy, Zakład Akustyki Środowiska. Program ten obejmował pomiary hałasu w środowisku ogólnym pochodzący od:</w:t>
      </w:r>
    </w:p>
    <w:p w14:paraId="77ACFFF6" w14:textId="7542188A" w:rsidR="000058C0" w:rsidRPr="000058C0" w:rsidRDefault="000058C0" w:rsidP="00D34F97">
      <w:pPr>
        <w:pStyle w:val="Akapitzlist"/>
        <w:numPr>
          <w:ilvl w:val="0"/>
          <w:numId w:val="213"/>
        </w:numPr>
        <w:spacing w:line="300" w:lineRule="atLeast"/>
        <w:ind w:left="709" w:hanging="284"/>
        <w:jc w:val="both"/>
        <w:rPr>
          <w:sz w:val="24"/>
          <w:szCs w:val="24"/>
        </w:rPr>
      </w:pPr>
      <w:r w:rsidRPr="000058C0">
        <w:rPr>
          <w:sz w:val="24"/>
          <w:szCs w:val="24"/>
        </w:rPr>
        <w:t>instalacji, urządzeń i zakładów przemysłowych</w:t>
      </w:r>
      <w:r w:rsidR="002230C4">
        <w:rPr>
          <w:sz w:val="24"/>
          <w:szCs w:val="24"/>
          <w:lang w:val="pl-PL"/>
        </w:rPr>
        <w:t>,</w:t>
      </w:r>
    </w:p>
    <w:p w14:paraId="42E467EB" w14:textId="03B44D3D" w:rsidR="000058C0" w:rsidRPr="000058C0" w:rsidRDefault="000058C0" w:rsidP="00D34F97">
      <w:pPr>
        <w:pStyle w:val="Akapitzlist"/>
        <w:numPr>
          <w:ilvl w:val="0"/>
          <w:numId w:val="213"/>
        </w:numPr>
        <w:spacing w:line="300" w:lineRule="atLeast"/>
        <w:ind w:left="709" w:hanging="284"/>
        <w:jc w:val="both"/>
        <w:rPr>
          <w:sz w:val="24"/>
          <w:szCs w:val="24"/>
        </w:rPr>
      </w:pPr>
      <w:r w:rsidRPr="000058C0">
        <w:rPr>
          <w:sz w:val="24"/>
          <w:szCs w:val="24"/>
        </w:rPr>
        <w:t>dróg, linii kolejowych, linii tramwajowych</w:t>
      </w:r>
      <w:r w:rsidR="002230C4">
        <w:rPr>
          <w:sz w:val="24"/>
          <w:szCs w:val="24"/>
          <w:lang w:val="pl-PL"/>
        </w:rPr>
        <w:t>,</w:t>
      </w:r>
    </w:p>
    <w:p w14:paraId="4F737D69" w14:textId="280BD307" w:rsidR="000058C0" w:rsidRPr="000058C0" w:rsidRDefault="000058C0" w:rsidP="00D34F97">
      <w:pPr>
        <w:pStyle w:val="Akapitzlist"/>
        <w:numPr>
          <w:ilvl w:val="0"/>
          <w:numId w:val="213"/>
        </w:numPr>
        <w:spacing w:after="120" w:line="300" w:lineRule="atLeast"/>
        <w:ind w:left="709" w:hanging="284"/>
        <w:contextualSpacing w:val="0"/>
        <w:jc w:val="both"/>
        <w:rPr>
          <w:sz w:val="24"/>
          <w:szCs w:val="24"/>
        </w:rPr>
      </w:pPr>
      <w:r w:rsidRPr="000058C0">
        <w:rPr>
          <w:sz w:val="24"/>
          <w:szCs w:val="24"/>
        </w:rPr>
        <w:t>lotnisk.</w:t>
      </w:r>
    </w:p>
    <w:p w14:paraId="1C9EF339" w14:textId="77777777" w:rsidR="000058C0" w:rsidRPr="000058C0" w:rsidRDefault="000058C0" w:rsidP="002230C4">
      <w:pPr>
        <w:spacing w:after="60" w:line="300" w:lineRule="atLeast"/>
        <w:ind w:left="45"/>
        <w:jc w:val="both"/>
        <w:rPr>
          <w:rFonts w:ascii="Times New Roman" w:hAnsi="Times New Roman" w:cs="Times New Roman"/>
          <w:sz w:val="24"/>
          <w:szCs w:val="24"/>
        </w:rPr>
      </w:pPr>
      <w:r w:rsidRPr="000058C0">
        <w:rPr>
          <w:rFonts w:ascii="Times New Roman" w:hAnsi="Times New Roman" w:cs="Times New Roman"/>
          <w:sz w:val="24"/>
          <w:szCs w:val="24"/>
        </w:rPr>
        <w:t xml:space="preserve">Centralne Laboratorium Badawcze GIOŚ w 2022 r. przeprowadziło również wewnętrzne porównania </w:t>
      </w:r>
      <w:proofErr w:type="spellStart"/>
      <w:r w:rsidRPr="000058C0">
        <w:rPr>
          <w:rFonts w:ascii="Times New Roman" w:hAnsi="Times New Roman" w:cs="Times New Roman"/>
          <w:sz w:val="24"/>
          <w:szCs w:val="24"/>
        </w:rPr>
        <w:t>międzylaboratoryjne</w:t>
      </w:r>
      <w:proofErr w:type="spellEnd"/>
      <w:r w:rsidRPr="000058C0">
        <w:rPr>
          <w:rFonts w:ascii="Times New Roman" w:hAnsi="Times New Roman" w:cs="Times New Roman"/>
          <w:sz w:val="24"/>
          <w:szCs w:val="24"/>
        </w:rPr>
        <w:t xml:space="preserve"> w zakresie:</w:t>
      </w:r>
    </w:p>
    <w:p w14:paraId="18E58F87" w14:textId="18DD253C" w:rsidR="000058C0" w:rsidRPr="000058C0" w:rsidRDefault="000058C0" w:rsidP="00D34F97">
      <w:pPr>
        <w:pStyle w:val="Akapitzlist"/>
        <w:numPr>
          <w:ilvl w:val="0"/>
          <w:numId w:val="213"/>
        </w:numPr>
        <w:spacing w:line="300" w:lineRule="atLeast"/>
        <w:ind w:left="709" w:hanging="284"/>
        <w:jc w:val="both"/>
        <w:rPr>
          <w:sz w:val="24"/>
          <w:szCs w:val="24"/>
        </w:rPr>
      </w:pPr>
      <w:r w:rsidRPr="000058C0">
        <w:rPr>
          <w:sz w:val="24"/>
          <w:szCs w:val="24"/>
        </w:rPr>
        <w:t>emisji gazów odlotowych i dotyczyło pomiarów: prędkości i strumienia objętości gazów odlotowych, stężenia i emisji pyłu ogółem, CO, CO</w:t>
      </w:r>
      <w:r w:rsidRPr="000058C0">
        <w:rPr>
          <w:sz w:val="24"/>
          <w:szCs w:val="24"/>
          <w:vertAlign w:val="subscript"/>
        </w:rPr>
        <w:t>2</w:t>
      </w:r>
      <w:r w:rsidRPr="000058C0">
        <w:rPr>
          <w:sz w:val="24"/>
          <w:szCs w:val="24"/>
        </w:rPr>
        <w:t>, NO</w:t>
      </w:r>
      <w:r w:rsidRPr="000058C0">
        <w:rPr>
          <w:sz w:val="24"/>
          <w:szCs w:val="24"/>
          <w:vertAlign w:val="subscript"/>
        </w:rPr>
        <w:t>X</w:t>
      </w:r>
      <w:r w:rsidRPr="000058C0">
        <w:rPr>
          <w:sz w:val="24"/>
          <w:szCs w:val="24"/>
        </w:rPr>
        <w:t>, SO</w:t>
      </w:r>
      <w:r w:rsidRPr="000058C0">
        <w:rPr>
          <w:sz w:val="24"/>
          <w:szCs w:val="24"/>
          <w:vertAlign w:val="subscript"/>
        </w:rPr>
        <w:t>2</w:t>
      </w:r>
      <w:r w:rsidRPr="000058C0">
        <w:rPr>
          <w:sz w:val="24"/>
          <w:szCs w:val="24"/>
        </w:rPr>
        <w:t>, O</w:t>
      </w:r>
      <w:r w:rsidRPr="000058C0">
        <w:rPr>
          <w:sz w:val="24"/>
          <w:szCs w:val="24"/>
          <w:vertAlign w:val="subscript"/>
        </w:rPr>
        <w:t>2</w:t>
      </w:r>
      <w:r w:rsidR="002230C4">
        <w:rPr>
          <w:sz w:val="24"/>
          <w:szCs w:val="24"/>
          <w:vertAlign w:val="subscript"/>
          <w:lang w:val="pl-PL"/>
        </w:rPr>
        <w:t>,</w:t>
      </w:r>
      <w:r w:rsidRPr="000058C0">
        <w:rPr>
          <w:sz w:val="24"/>
          <w:szCs w:val="24"/>
        </w:rPr>
        <w:t xml:space="preserve"> </w:t>
      </w:r>
    </w:p>
    <w:p w14:paraId="39BFDBE6" w14:textId="1395968A" w:rsidR="000058C0" w:rsidRPr="000058C0" w:rsidRDefault="000058C0" w:rsidP="00D34F97">
      <w:pPr>
        <w:pStyle w:val="Akapitzlist"/>
        <w:numPr>
          <w:ilvl w:val="0"/>
          <w:numId w:val="213"/>
        </w:numPr>
        <w:spacing w:line="300" w:lineRule="atLeast"/>
        <w:ind w:left="709" w:hanging="284"/>
        <w:jc w:val="both"/>
        <w:rPr>
          <w:sz w:val="24"/>
          <w:szCs w:val="24"/>
        </w:rPr>
      </w:pPr>
      <w:r w:rsidRPr="000058C0">
        <w:rPr>
          <w:sz w:val="24"/>
          <w:szCs w:val="24"/>
          <w:shd w:val="clear" w:color="auto" w:fill="FFFFFF"/>
        </w:rPr>
        <w:t>oznaczania wielopierścieniowych węglowodorów aromatycznych w odpadach</w:t>
      </w:r>
      <w:r w:rsidR="002230C4">
        <w:rPr>
          <w:sz w:val="24"/>
          <w:szCs w:val="24"/>
          <w:shd w:val="clear" w:color="auto" w:fill="FFFFFF"/>
          <w:lang w:val="pl-PL"/>
        </w:rPr>
        <w:t>,</w:t>
      </w:r>
      <w:r w:rsidRPr="000058C0">
        <w:rPr>
          <w:sz w:val="24"/>
          <w:szCs w:val="24"/>
        </w:rPr>
        <w:t xml:space="preserve"> </w:t>
      </w:r>
    </w:p>
    <w:p w14:paraId="1063E6B1" w14:textId="24C9F61F" w:rsidR="000058C0" w:rsidRPr="000058C0" w:rsidRDefault="000058C0" w:rsidP="00D34F97">
      <w:pPr>
        <w:pStyle w:val="Akapitzlist"/>
        <w:numPr>
          <w:ilvl w:val="0"/>
          <w:numId w:val="213"/>
        </w:numPr>
        <w:spacing w:line="300" w:lineRule="atLeast"/>
        <w:ind w:left="709" w:hanging="284"/>
        <w:jc w:val="both"/>
        <w:rPr>
          <w:sz w:val="24"/>
          <w:szCs w:val="24"/>
        </w:rPr>
      </w:pPr>
      <w:r w:rsidRPr="000058C0">
        <w:rPr>
          <w:sz w:val="24"/>
          <w:szCs w:val="24"/>
        </w:rPr>
        <w:t xml:space="preserve">osadów ściekowych: sucha masa, bakterie chorobotwórcze z rodzaju salmonella, azot </w:t>
      </w:r>
      <w:proofErr w:type="spellStart"/>
      <w:r w:rsidRPr="000058C0">
        <w:rPr>
          <w:sz w:val="24"/>
          <w:szCs w:val="24"/>
        </w:rPr>
        <w:t>Kjeldahla</w:t>
      </w:r>
      <w:proofErr w:type="spellEnd"/>
      <w:r w:rsidR="002230C4">
        <w:rPr>
          <w:sz w:val="24"/>
          <w:szCs w:val="24"/>
          <w:lang w:val="pl-PL"/>
        </w:rPr>
        <w:t>,</w:t>
      </w:r>
    </w:p>
    <w:p w14:paraId="6395C97F" w14:textId="77777777" w:rsidR="000058C0" w:rsidRPr="000058C0" w:rsidRDefault="000058C0" w:rsidP="00D34F97">
      <w:pPr>
        <w:pStyle w:val="Akapitzlist"/>
        <w:numPr>
          <w:ilvl w:val="0"/>
          <w:numId w:val="213"/>
        </w:numPr>
        <w:spacing w:line="300" w:lineRule="atLeast"/>
        <w:ind w:left="709" w:hanging="284"/>
        <w:jc w:val="both"/>
        <w:rPr>
          <w:sz w:val="24"/>
          <w:szCs w:val="24"/>
        </w:rPr>
      </w:pPr>
      <w:r w:rsidRPr="000058C0">
        <w:rPr>
          <w:sz w:val="24"/>
          <w:szCs w:val="24"/>
        </w:rPr>
        <w:t xml:space="preserve">gleba: sucha masa, </w:t>
      </w:r>
      <w:proofErr w:type="spellStart"/>
      <w:r w:rsidRPr="000058C0">
        <w:rPr>
          <w:sz w:val="24"/>
          <w:szCs w:val="24"/>
        </w:rPr>
        <w:t>pH</w:t>
      </w:r>
      <w:proofErr w:type="spellEnd"/>
      <w:r w:rsidRPr="000058C0">
        <w:rPr>
          <w:sz w:val="24"/>
          <w:szCs w:val="24"/>
        </w:rPr>
        <w:t xml:space="preserve">, arsen, bar, chrom </w:t>
      </w:r>
      <w:proofErr w:type="spellStart"/>
      <w:r w:rsidRPr="000058C0">
        <w:rPr>
          <w:sz w:val="24"/>
          <w:szCs w:val="24"/>
        </w:rPr>
        <w:t>og</w:t>
      </w:r>
      <w:proofErr w:type="spellEnd"/>
      <w:r w:rsidRPr="000058C0">
        <w:rPr>
          <w:sz w:val="24"/>
          <w:szCs w:val="24"/>
        </w:rPr>
        <w:t xml:space="preserve">., cynk, kadm, kobalt, miedź, nikiel oraz ołów. </w:t>
      </w:r>
    </w:p>
    <w:p w14:paraId="419BA3B9" w14:textId="77777777" w:rsidR="00895F16" w:rsidRPr="007F400A" w:rsidRDefault="00895F16" w:rsidP="00465E16">
      <w:pPr>
        <w:spacing w:after="0" w:line="300" w:lineRule="atLeast"/>
        <w:jc w:val="center"/>
        <w:rPr>
          <w:rFonts w:ascii="Times New Roman" w:hAnsi="Times New Roman" w:cs="Times New Roman"/>
          <w:b/>
        </w:rPr>
      </w:pPr>
    </w:p>
    <w:p w14:paraId="0AE4D630" w14:textId="77777777" w:rsidR="00895F16" w:rsidRPr="007F400A" w:rsidRDefault="00895F16" w:rsidP="00465E16">
      <w:pPr>
        <w:keepNext/>
        <w:spacing w:after="120" w:line="300" w:lineRule="atLeast"/>
        <w:outlineLvl w:val="0"/>
        <w:rPr>
          <w:rFonts w:ascii="Times New Roman" w:eastAsia="Times New Roman" w:hAnsi="Times New Roman" w:cs="Times New Roman"/>
          <w:b/>
          <w:bCs/>
          <w:sz w:val="24"/>
          <w:szCs w:val="24"/>
          <w:lang w:val="x-none" w:eastAsia="x-none"/>
        </w:rPr>
      </w:pPr>
      <w:bookmarkStart w:id="435" w:name="_Toc135935725"/>
      <w:r w:rsidRPr="007F400A">
        <w:rPr>
          <w:rFonts w:ascii="Times New Roman" w:eastAsia="Times New Roman" w:hAnsi="Times New Roman" w:cs="Times New Roman"/>
          <w:b/>
          <w:bCs/>
          <w:sz w:val="24"/>
          <w:szCs w:val="24"/>
          <w:lang w:val="x-none" w:eastAsia="x-none"/>
        </w:rPr>
        <w:t>2. Krajowe Laboratorium Referencyjne do spraw jakości powietrza atmosferycznego</w:t>
      </w:r>
      <w:bookmarkEnd w:id="435"/>
    </w:p>
    <w:p w14:paraId="77ACE939" w14:textId="77777777" w:rsidR="002230C4" w:rsidRDefault="00084C1C" w:rsidP="002230C4">
      <w:pPr>
        <w:spacing w:after="0" w:line="300" w:lineRule="atLeast"/>
        <w:ind w:firstLine="567"/>
        <w:jc w:val="both"/>
        <w:rPr>
          <w:rFonts w:ascii="Times New Roman" w:hAnsi="Times New Roman" w:cs="Times New Roman"/>
          <w:sz w:val="24"/>
          <w:szCs w:val="24"/>
        </w:rPr>
      </w:pPr>
      <w:r w:rsidRPr="007F400A">
        <w:rPr>
          <w:rFonts w:ascii="Times New Roman" w:hAnsi="Times New Roman" w:cs="Times New Roman"/>
          <w:sz w:val="24"/>
          <w:szCs w:val="24"/>
        </w:rPr>
        <w:t>W strukturze GIOŚ działa również Krajowe Laboratorium Referencyjne ds. jakości powietrza atmosferycznego (KLRP), którego podstawowym zadaniem jest nadzór nad jakością badań powietrza atmosferycznego, wykonywanych na potrzeby oceny jakości powietrza przez sieci i instytucje przekazujące dane na potrzeby Państwowego Monitoringu Środowiska.</w:t>
      </w:r>
      <w:r w:rsidRPr="007F400A">
        <w:rPr>
          <w:rFonts w:ascii="Times New Roman" w:hAnsi="Times New Roman" w:cs="Times New Roman"/>
          <w:sz w:val="24"/>
          <w:szCs w:val="24"/>
        </w:rPr>
        <w:br/>
      </w:r>
    </w:p>
    <w:p w14:paraId="1ABF89F6" w14:textId="77777777" w:rsidR="002230C4" w:rsidRDefault="002230C4" w:rsidP="00465E16">
      <w:pPr>
        <w:spacing w:after="0" w:line="300" w:lineRule="atLeast"/>
        <w:ind w:firstLine="567"/>
        <w:jc w:val="both"/>
        <w:rPr>
          <w:rFonts w:ascii="Times New Roman" w:hAnsi="Times New Roman" w:cs="Times New Roman"/>
          <w:sz w:val="24"/>
          <w:szCs w:val="24"/>
        </w:rPr>
      </w:pPr>
    </w:p>
    <w:p w14:paraId="7ADEC58E" w14:textId="77777777" w:rsidR="002230C4" w:rsidRDefault="002230C4" w:rsidP="00465E16">
      <w:pPr>
        <w:spacing w:after="0" w:line="300" w:lineRule="atLeast"/>
        <w:ind w:firstLine="567"/>
        <w:jc w:val="both"/>
        <w:rPr>
          <w:rFonts w:ascii="Times New Roman" w:hAnsi="Times New Roman" w:cs="Times New Roman"/>
          <w:sz w:val="24"/>
          <w:szCs w:val="24"/>
        </w:rPr>
      </w:pPr>
    </w:p>
    <w:p w14:paraId="77493D4C" w14:textId="77777777" w:rsidR="002230C4" w:rsidRDefault="002230C4" w:rsidP="00465E16">
      <w:pPr>
        <w:spacing w:after="0" w:line="300" w:lineRule="atLeast"/>
        <w:ind w:firstLine="567"/>
        <w:jc w:val="both"/>
        <w:rPr>
          <w:rFonts w:ascii="Times New Roman" w:hAnsi="Times New Roman" w:cs="Times New Roman"/>
          <w:sz w:val="24"/>
          <w:szCs w:val="24"/>
        </w:rPr>
      </w:pPr>
    </w:p>
    <w:p w14:paraId="10250E96" w14:textId="4F4DD09F" w:rsidR="00895F16" w:rsidRPr="007F400A" w:rsidRDefault="00895F16" w:rsidP="002230C4">
      <w:pPr>
        <w:spacing w:after="0" w:line="300" w:lineRule="atLeast"/>
        <w:jc w:val="both"/>
        <w:rPr>
          <w:rFonts w:ascii="Times New Roman" w:hAnsi="Times New Roman" w:cs="Times New Roman"/>
          <w:sz w:val="24"/>
          <w:szCs w:val="24"/>
        </w:rPr>
      </w:pPr>
      <w:r w:rsidRPr="007F400A">
        <w:rPr>
          <w:rFonts w:ascii="Times New Roman" w:hAnsi="Times New Roman" w:cs="Times New Roman"/>
          <w:sz w:val="24"/>
          <w:szCs w:val="24"/>
        </w:rPr>
        <w:t>W tym celu Krajowe Laboratorium Referencyjne wykonuje czynności takie jak:</w:t>
      </w:r>
    </w:p>
    <w:p w14:paraId="78AD4EAE" w14:textId="77777777" w:rsidR="00895F16" w:rsidRPr="007F400A" w:rsidRDefault="00895F16" w:rsidP="002230C4">
      <w:pPr>
        <w:numPr>
          <w:ilvl w:val="0"/>
          <w:numId w:val="38"/>
        </w:numPr>
        <w:spacing w:after="0" w:line="300" w:lineRule="atLeast"/>
        <w:ind w:left="641"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 xml:space="preserve">organizowanie i wykonywanie porównań </w:t>
      </w:r>
      <w:proofErr w:type="spellStart"/>
      <w:r w:rsidRPr="007F400A">
        <w:rPr>
          <w:rFonts w:ascii="Times New Roman" w:eastAsia="Calibri" w:hAnsi="Times New Roman" w:cs="Times New Roman"/>
          <w:sz w:val="24"/>
          <w:szCs w:val="24"/>
          <w:lang w:val="x-none" w:eastAsia="pl-PL"/>
        </w:rPr>
        <w:t>międzylaboratoryjnych</w:t>
      </w:r>
      <w:proofErr w:type="spellEnd"/>
      <w:r w:rsidRPr="007F400A">
        <w:rPr>
          <w:rFonts w:ascii="Times New Roman" w:eastAsia="Calibri" w:hAnsi="Times New Roman" w:cs="Times New Roman"/>
          <w:sz w:val="24"/>
          <w:szCs w:val="24"/>
          <w:lang w:val="x-none" w:eastAsia="pl-PL"/>
        </w:rPr>
        <w:t xml:space="preserve"> i badań biegłości,</w:t>
      </w:r>
    </w:p>
    <w:p w14:paraId="2BB06046" w14:textId="77777777" w:rsidR="00895F16" w:rsidRPr="007F400A" w:rsidRDefault="00895F16" w:rsidP="002230C4">
      <w:pPr>
        <w:numPr>
          <w:ilvl w:val="0"/>
          <w:numId w:val="38"/>
        </w:numPr>
        <w:spacing w:after="0" w:line="300" w:lineRule="atLeast"/>
        <w:ind w:left="641"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dokonywanie przeglądów systemów zapewnienia i kontroli jakości w instytucjach obsługujących sieci pomiarowe i poszczególne punkty pomiarowe co najmniej raz na pięć lat,</w:t>
      </w:r>
    </w:p>
    <w:p w14:paraId="286A2909" w14:textId="77777777" w:rsidR="00895F16" w:rsidRPr="007F400A" w:rsidRDefault="00895F16" w:rsidP="002230C4">
      <w:pPr>
        <w:numPr>
          <w:ilvl w:val="0"/>
          <w:numId w:val="38"/>
        </w:numPr>
        <w:spacing w:after="0" w:line="300" w:lineRule="atLeast"/>
        <w:ind w:left="641"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 xml:space="preserve">koordynacja działań w zakresie właściwego stosowania metodyk referencyjnych </w:t>
      </w:r>
      <w:r w:rsidRPr="007F400A">
        <w:rPr>
          <w:rFonts w:ascii="Times New Roman" w:eastAsia="Calibri" w:hAnsi="Times New Roman" w:cs="Times New Roman"/>
          <w:sz w:val="24"/>
          <w:szCs w:val="24"/>
          <w:lang w:val="x-none" w:eastAsia="pl-PL"/>
        </w:rPr>
        <w:br/>
        <w:t>i wykazywania równoważności metodyk niereferencyjnych,</w:t>
      </w:r>
    </w:p>
    <w:p w14:paraId="0BB4FC50" w14:textId="77777777" w:rsidR="00895F16" w:rsidRPr="007F400A" w:rsidRDefault="00895F16" w:rsidP="002230C4">
      <w:pPr>
        <w:numPr>
          <w:ilvl w:val="0"/>
          <w:numId w:val="38"/>
        </w:numPr>
        <w:spacing w:after="0" w:line="300" w:lineRule="atLeast"/>
        <w:ind w:left="641"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lastRenderedPageBreak/>
        <w:t>wdrażanie nowych metod badawczych,</w:t>
      </w:r>
    </w:p>
    <w:p w14:paraId="39404BD3" w14:textId="77777777" w:rsidR="00895F16" w:rsidRPr="007F400A" w:rsidRDefault="00895F16" w:rsidP="002230C4">
      <w:pPr>
        <w:numPr>
          <w:ilvl w:val="0"/>
          <w:numId w:val="38"/>
        </w:numPr>
        <w:spacing w:after="0" w:line="300" w:lineRule="atLeast"/>
        <w:ind w:left="641"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uczestniczenie, przynajmniej raz na trzy lata, w programach zapewnienia jakości badań organizowanych przez Komisję Europejską,</w:t>
      </w:r>
    </w:p>
    <w:p w14:paraId="72A9B16B" w14:textId="77777777" w:rsidR="00895F16" w:rsidRPr="007F400A" w:rsidRDefault="00895F16" w:rsidP="002230C4">
      <w:pPr>
        <w:numPr>
          <w:ilvl w:val="0"/>
          <w:numId w:val="38"/>
        </w:numPr>
        <w:spacing w:after="0" w:line="300" w:lineRule="atLeast"/>
        <w:ind w:left="641"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ujednolicanie metod i procedur,</w:t>
      </w:r>
    </w:p>
    <w:p w14:paraId="730858EB" w14:textId="77777777" w:rsidR="00895F16" w:rsidRPr="007F400A" w:rsidRDefault="00895F16" w:rsidP="002230C4">
      <w:pPr>
        <w:numPr>
          <w:ilvl w:val="0"/>
          <w:numId w:val="38"/>
        </w:numPr>
        <w:spacing w:after="0" w:line="300" w:lineRule="atLeast"/>
        <w:ind w:left="641"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szkolenie pracowników CLB w zakresie nowych metod badawczych,</w:t>
      </w:r>
    </w:p>
    <w:p w14:paraId="224823BD" w14:textId="77777777" w:rsidR="00895F16" w:rsidRPr="007F400A" w:rsidRDefault="00895F16" w:rsidP="002230C4">
      <w:pPr>
        <w:numPr>
          <w:ilvl w:val="0"/>
          <w:numId w:val="38"/>
        </w:numPr>
        <w:spacing w:after="0" w:line="300" w:lineRule="atLeast"/>
        <w:ind w:left="641" w:hanging="35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 xml:space="preserve">koordynacja na terenie kraju udziału w programach zapewnienia jakości badań organizowanych przez Komisję Europejską, </w:t>
      </w:r>
    </w:p>
    <w:p w14:paraId="4F2D4966" w14:textId="677E3D46" w:rsidR="001F7714" w:rsidRDefault="001F7714" w:rsidP="002230C4">
      <w:pPr>
        <w:numPr>
          <w:ilvl w:val="0"/>
          <w:numId w:val="38"/>
        </w:numPr>
        <w:spacing w:after="120" w:line="300" w:lineRule="atLeast"/>
        <w:ind w:left="641" w:hanging="357"/>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wspieranie prac prowadzonych przez europejską sieć krajowych laboratoriów referencyjnych ustanowioną przez Komisję Europejską.</w:t>
      </w:r>
    </w:p>
    <w:p w14:paraId="53A6190E" w14:textId="4F9CF560" w:rsidR="00EE0AFC" w:rsidRPr="00EE0AFC" w:rsidRDefault="00EE0AFC" w:rsidP="002230C4">
      <w:pPr>
        <w:spacing w:before="120" w:after="0" w:line="300" w:lineRule="atLeast"/>
        <w:ind w:firstLine="567"/>
        <w:jc w:val="both"/>
        <w:rPr>
          <w:rFonts w:ascii="Times New Roman" w:hAnsi="Times New Roman" w:cs="Times New Roman"/>
          <w:sz w:val="24"/>
          <w:szCs w:val="24"/>
        </w:rPr>
      </w:pPr>
      <w:bookmarkStart w:id="436" w:name="_Hlk129603761"/>
      <w:r w:rsidRPr="00EE0AFC">
        <w:rPr>
          <w:rFonts w:ascii="Times New Roman" w:hAnsi="Times New Roman" w:cs="Times New Roman"/>
          <w:sz w:val="24"/>
          <w:szCs w:val="24"/>
        </w:rPr>
        <w:t>Do podstawowych zadań KLRP należy nadzór nad jakością badań powietrza atmosferycznego, wykonywanych na potrzeby oceny jakości powietrza przez sieci i instytucje przekazujące dane na potrzeby Państwowego Monitoringu Środowiska.</w:t>
      </w:r>
      <w:bookmarkEnd w:id="436"/>
    </w:p>
    <w:p w14:paraId="261C2141" w14:textId="77777777" w:rsidR="00EE0AFC" w:rsidRPr="00EE0AFC" w:rsidRDefault="00EE0AFC" w:rsidP="002230C4">
      <w:pPr>
        <w:spacing w:after="60" w:line="300" w:lineRule="atLeast"/>
        <w:ind w:firstLine="567"/>
        <w:jc w:val="both"/>
        <w:rPr>
          <w:rFonts w:ascii="Times New Roman" w:hAnsi="Times New Roman" w:cs="Times New Roman"/>
          <w:sz w:val="24"/>
          <w:szCs w:val="24"/>
        </w:rPr>
      </w:pPr>
      <w:r w:rsidRPr="00EE0AFC">
        <w:rPr>
          <w:rFonts w:ascii="Times New Roman" w:hAnsi="Times New Roman" w:cs="Times New Roman"/>
          <w:sz w:val="24"/>
          <w:szCs w:val="24"/>
        </w:rPr>
        <w:t>W roku 2022 KLRP prowadziło działania związane z nadzorem nad jakością badań prowadzonych przez sieci monitoringu jakości powietrza dostarczające wyniki na potrzeby Państwowego Monitoringu Środowiska. W ramach utrzymywania wysokiej jakości badań KLRP zorganizowało:</w:t>
      </w:r>
    </w:p>
    <w:p w14:paraId="2034750F" w14:textId="4B84E9F9" w:rsidR="00EE0AFC" w:rsidRPr="00EE0AFC" w:rsidRDefault="002230C4" w:rsidP="00D34F97">
      <w:pPr>
        <w:numPr>
          <w:ilvl w:val="0"/>
          <w:numId w:val="45"/>
        </w:numPr>
        <w:spacing w:after="0" w:line="300" w:lineRule="atLeast"/>
        <w:ind w:left="709" w:hanging="425"/>
        <w:jc w:val="both"/>
        <w:rPr>
          <w:rFonts w:ascii="Times New Roman" w:hAnsi="Times New Roman" w:cs="Times New Roman"/>
          <w:sz w:val="24"/>
          <w:szCs w:val="24"/>
        </w:rPr>
      </w:pPr>
      <w:r>
        <w:rPr>
          <w:rFonts w:ascii="Times New Roman" w:hAnsi="Times New Roman" w:cs="Times New Roman"/>
          <w:sz w:val="24"/>
          <w:szCs w:val="24"/>
        </w:rPr>
        <w:t>d</w:t>
      </w:r>
      <w:r w:rsidR="00EE0AFC" w:rsidRPr="00EE0AFC">
        <w:rPr>
          <w:rFonts w:ascii="Times New Roman" w:hAnsi="Times New Roman" w:cs="Times New Roman"/>
          <w:sz w:val="24"/>
          <w:szCs w:val="24"/>
        </w:rPr>
        <w:t xml:space="preserve">wie sesje </w:t>
      </w:r>
      <w:proofErr w:type="spellStart"/>
      <w:r w:rsidR="00EE0AFC" w:rsidRPr="00EE0AFC">
        <w:rPr>
          <w:rFonts w:ascii="Times New Roman" w:hAnsi="Times New Roman" w:cs="Times New Roman"/>
          <w:sz w:val="24"/>
          <w:szCs w:val="24"/>
        </w:rPr>
        <w:t>międzylaboratoryjnych</w:t>
      </w:r>
      <w:proofErr w:type="spellEnd"/>
      <w:r w:rsidR="00EE0AFC" w:rsidRPr="00EE0AFC">
        <w:rPr>
          <w:rFonts w:ascii="Times New Roman" w:hAnsi="Times New Roman" w:cs="Times New Roman"/>
          <w:sz w:val="24"/>
          <w:szCs w:val="24"/>
        </w:rPr>
        <w:t xml:space="preserve"> badań biegłości dla analizatorów zanieczyszczeń gazowych, dla SO</w:t>
      </w:r>
      <w:r w:rsidR="00EE0AFC" w:rsidRPr="00EE0AFC">
        <w:rPr>
          <w:rFonts w:ascii="Times New Roman" w:hAnsi="Times New Roman" w:cs="Times New Roman"/>
          <w:sz w:val="24"/>
          <w:szCs w:val="24"/>
          <w:vertAlign w:val="subscript"/>
        </w:rPr>
        <w:t>2</w:t>
      </w:r>
      <w:r w:rsidR="00EE0AFC" w:rsidRPr="00EE0AFC">
        <w:rPr>
          <w:rFonts w:ascii="Times New Roman" w:hAnsi="Times New Roman" w:cs="Times New Roman"/>
          <w:sz w:val="24"/>
          <w:szCs w:val="24"/>
        </w:rPr>
        <w:t>, CO, O</w:t>
      </w:r>
      <w:r w:rsidR="00EE0AFC" w:rsidRPr="00EE0AFC">
        <w:rPr>
          <w:rFonts w:ascii="Times New Roman" w:hAnsi="Times New Roman" w:cs="Times New Roman"/>
          <w:sz w:val="24"/>
          <w:szCs w:val="24"/>
          <w:vertAlign w:val="subscript"/>
        </w:rPr>
        <w:t>3</w:t>
      </w:r>
      <w:r w:rsidR="00EE0AFC" w:rsidRPr="00EE0AFC">
        <w:rPr>
          <w:rFonts w:ascii="Times New Roman" w:hAnsi="Times New Roman" w:cs="Times New Roman"/>
          <w:sz w:val="24"/>
          <w:szCs w:val="24"/>
        </w:rPr>
        <w:t>, NO</w:t>
      </w:r>
      <w:r w:rsidR="00EE0AFC" w:rsidRPr="00EE0AFC">
        <w:rPr>
          <w:rFonts w:ascii="Times New Roman" w:hAnsi="Times New Roman" w:cs="Times New Roman"/>
          <w:sz w:val="24"/>
          <w:szCs w:val="24"/>
          <w:vertAlign w:val="subscript"/>
        </w:rPr>
        <w:t>X</w:t>
      </w:r>
      <w:r w:rsidR="00EE0AFC" w:rsidRPr="00EE0AFC">
        <w:rPr>
          <w:rFonts w:ascii="Times New Roman" w:hAnsi="Times New Roman" w:cs="Times New Roman"/>
          <w:sz w:val="24"/>
          <w:szCs w:val="24"/>
        </w:rPr>
        <w:t xml:space="preserve"> oraz dla C</w:t>
      </w:r>
      <w:r w:rsidR="00EE0AFC" w:rsidRPr="00EE0AFC">
        <w:rPr>
          <w:rFonts w:ascii="Times New Roman" w:hAnsi="Times New Roman" w:cs="Times New Roman"/>
          <w:sz w:val="24"/>
          <w:szCs w:val="24"/>
          <w:vertAlign w:val="subscript"/>
        </w:rPr>
        <w:t>6</w:t>
      </w:r>
      <w:r w:rsidR="00EE0AFC" w:rsidRPr="00EE0AFC">
        <w:rPr>
          <w:rFonts w:ascii="Times New Roman" w:hAnsi="Times New Roman" w:cs="Times New Roman"/>
          <w:sz w:val="24"/>
          <w:szCs w:val="24"/>
        </w:rPr>
        <w:t>H</w:t>
      </w:r>
      <w:r w:rsidR="00EE0AFC" w:rsidRPr="00EE0AFC">
        <w:rPr>
          <w:rFonts w:ascii="Times New Roman" w:hAnsi="Times New Roman" w:cs="Times New Roman"/>
          <w:sz w:val="24"/>
          <w:szCs w:val="24"/>
          <w:vertAlign w:val="subscript"/>
        </w:rPr>
        <w:t>6</w:t>
      </w:r>
      <w:r w:rsidR="00EE0AFC" w:rsidRPr="00EE0AFC">
        <w:rPr>
          <w:rFonts w:ascii="Times New Roman" w:hAnsi="Times New Roman" w:cs="Times New Roman"/>
          <w:sz w:val="24"/>
          <w:szCs w:val="24"/>
        </w:rPr>
        <w:t>).</w:t>
      </w:r>
    </w:p>
    <w:p w14:paraId="177B8E01" w14:textId="33BC07F3" w:rsidR="00EE0AFC" w:rsidRPr="00EE0AFC" w:rsidRDefault="002230C4" w:rsidP="00D34F97">
      <w:pPr>
        <w:numPr>
          <w:ilvl w:val="0"/>
          <w:numId w:val="45"/>
        </w:numPr>
        <w:spacing w:after="0" w:line="300" w:lineRule="atLeast"/>
        <w:ind w:left="709" w:hanging="425"/>
        <w:jc w:val="both"/>
        <w:rPr>
          <w:rFonts w:ascii="Times New Roman" w:hAnsi="Times New Roman" w:cs="Times New Roman"/>
          <w:sz w:val="24"/>
          <w:szCs w:val="24"/>
        </w:rPr>
      </w:pPr>
      <w:r>
        <w:rPr>
          <w:rFonts w:ascii="Times New Roman" w:hAnsi="Times New Roman" w:cs="Times New Roman"/>
          <w:sz w:val="24"/>
          <w:szCs w:val="24"/>
        </w:rPr>
        <w:t>d</w:t>
      </w:r>
      <w:r w:rsidR="00EE0AFC" w:rsidRPr="00EE0AFC">
        <w:rPr>
          <w:rFonts w:ascii="Times New Roman" w:hAnsi="Times New Roman" w:cs="Times New Roman"/>
          <w:sz w:val="24"/>
          <w:szCs w:val="24"/>
        </w:rPr>
        <w:t xml:space="preserve">wie sesje (letnia i zimowa) </w:t>
      </w:r>
      <w:proofErr w:type="spellStart"/>
      <w:r w:rsidR="00EE0AFC" w:rsidRPr="00EE0AFC">
        <w:rPr>
          <w:rFonts w:ascii="Times New Roman" w:hAnsi="Times New Roman" w:cs="Times New Roman"/>
          <w:sz w:val="24"/>
          <w:szCs w:val="24"/>
        </w:rPr>
        <w:t>międzylaboratoryjnych</w:t>
      </w:r>
      <w:proofErr w:type="spellEnd"/>
      <w:r w:rsidR="00EE0AFC" w:rsidRPr="00EE0AFC">
        <w:rPr>
          <w:rFonts w:ascii="Times New Roman" w:hAnsi="Times New Roman" w:cs="Times New Roman"/>
          <w:sz w:val="24"/>
          <w:szCs w:val="24"/>
        </w:rPr>
        <w:t xml:space="preserve"> badań porównawczych pyłu zawieszonego PM10 i PM2.5 oraz oznaczaniu metali ciężkich i </w:t>
      </w:r>
      <w:proofErr w:type="spellStart"/>
      <w:r w:rsidR="00EE0AFC" w:rsidRPr="00EE0AFC">
        <w:rPr>
          <w:rFonts w:ascii="Times New Roman" w:hAnsi="Times New Roman" w:cs="Times New Roman"/>
          <w:sz w:val="24"/>
          <w:szCs w:val="24"/>
        </w:rPr>
        <w:t>benzo</w:t>
      </w:r>
      <w:proofErr w:type="spellEnd"/>
      <w:r w:rsidR="00EE0AFC" w:rsidRPr="00EE0AFC">
        <w:rPr>
          <w:rFonts w:ascii="Times New Roman" w:hAnsi="Times New Roman" w:cs="Times New Roman"/>
          <w:sz w:val="24"/>
          <w:szCs w:val="24"/>
        </w:rPr>
        <w:t>(a)</w:t>
      </w:r>
      <w:proofErr w:type="spellStart"/>
      <w:r w:rsidR="00EE0AFC" w:rsidRPr="00EE0AFC">
        <w:rPr>
          <w:rFonts w:ascii="Times New Roman" w:hAnsi="Times New Roman" w:cs="Times New Roman"/>
          <w:sz w:val="24"/>
          <w:szCs w:val="24"/>
        </w:rPr>
        <w:t>pirenu</w:t>
      </w:r>
      <w:proofErr w:type="spellEnd"/>
      <w:r w:rsidR="00EE0AFC" w:rsidRPr="00EE0AFC">
        <w:rPr>
          <w:rFonts w:ascii="Times New Roman" w:hAnsi="Times New Roman" w:cs="Times New Roman"/>
          <w:sz w:val="24"/>
          <w:szCs w:val="24"/>
        </w:rPr>
        <w:t xml:space="preserve"> w pyle zawieszonym PM10</w:t>
      </w:r>
      <w:r w:rsidR="0085597D">
        <w:rPr>
          <w:rFonts w:ascii="Times New Roman" w:hAnsi="Times New Roman" w:cs="Times New Roman"/>
          <w:sz w:val="24"/>
          <w:szCs w:val="24"/>
        </w:rPr>
        <w:t>.</w:t>
      </w:r>
    </w:p>
    <w:p w14:paraId="7A036FC3" w14:textId="0BAD050D" w:rsidR="00EE0AFC" w:rsidRPr="00EE0AFC" w:rsidRDefault="002230C4" w:rsidP="00D34F97">
      <w:pPr>
        <w:numPr>
          <w:ilvl w:val="0"/>
          <w:numId w:val="45"/>
        </w:numPr>
        <w:spacing w:after="0" w:line="300" w:lineRule="atLeast"/>
        <w:ind w:left="709" w:hanging="425"/>
        <w:jc w:val="both"/>
        <w:rPr>
          <w:rFonts w:ascii="Times New Roman" w:hAnsi="Times New Roman" w:cs="Times New Roman"/>
          <w:sz w:val="24"/>
          <w:szCs w:val="24"/>
        </w:rPr>
      </w:pPr>
      <w:r>
        <w:rPr>
          <w:rFonts w:ascii="Times New Roman" w:hAnsi="Times New Roman" w:cs="Times New Roman"/>
          <w:sz w:val="24"/>
          <w:szCs w:val="24"/>
        </w:rPr>
        <w:t>s</w:t>
      </w:r>
      <w:r w:rsidR="00EE0AFC" w:rsidRPr="00EE0AFC">
        <w:rPr>
          <w:rFonts w:ascii="Times New Roman" w:hAnsi="Times New Roman" w:cs="Times New Roman"/>
          <w:sz w:val="24"/>
          <w:szCs w:val="24"/>
        </w:rPr>
        <w:t>prawdzenia układów poboru prób i kalibracje analizatorów na stacjach monitoringu jakości powietrza w województwach: zachodniopomorskim, pomorskim, dolnośląskim – w sumie sprawdzeniu poddano 30 stacji monitoringu jakości powietrza.</w:t>
      </w:r>
    </w:p>
    <w:p w14:paraId="70E37CE7" w14:textId="41E1CB2D" w:rsidR="00EE0AFC" w:rsidRPr="00EE0AFC" w:rsidRDefault="002230C4" w:rsidP="00D34F97">
      <w:pPr>
        <w:numPr>
          <w:ilvl w:val="0"/>
          <w:numId w:val="45"/>
        </w:numPr>
        <w:spacing w:after="0" w:line="300" w:lineRule="atLeast"/>
        <w:ind w:left="709" w:hanging="425"/>
        <w:jc w:val="both"/>
        <w:rPr>
          <w:rFonts w:ascii="Times New Roman" w:hAnsi="Times New Roman" w:cs="Times New Roman"/>
          <w:sz w:val="24"/>
          <w:szCs w:val="24"/>
        </w:rPr>
      </w:pPr>
      <w:r>
        <w:rPr>
          <w:rFonts w:ascii="Times New Roman" w:hAnsi="Times New Roman" w:cs="Times New Roman"/>
          <w:sz w:val="24"/>
          <w:szCs w:val="24"/>
        </w:rPr>
        <w:t>b</w:t>
      </w:r>
      <w:r w:rsidR="00EE0AFC" w:rsidRPr="00EE0AFC">
        <w:rPr>
          <w:rFonts w:ascii="Times New Roman" w:hAnsi="Times New Roman" w:cs="Times New Roman"/>
          <w:sz w:val="24"/>
          <w:szCs w:val="24"/>
        </w:rPr>
        <w:t xml:space="preserve">adania porównawcze dla zakupionych od różnych producentów filtrów do </w:t>
      </w:r>
      <w:proofErr w:type="spellStart"/>
      <w:r w:rsidR="00EE0AFC" w:rsidRPr="00EE0AFC">
        <w:rPr>
          <w:rFonts w:ascii="Times New Roman" w:hAnsi="Times New Roman" w:cs="Times New Roman"/>
          <w:sz w:val="24"/>
          <w:szCs w:val="24"/>
        </w:rPr>
        <w:t>poborników</w:t>
      </w:r>
      <w:proofErr w:type="spellEnd"/>
      <w:r w:rsidR="00EE0AFC" w:rsidRPr="00EE0AFC">
        <w:rPr>
          <w:rFonts w:ascii="Times New Roman" w:hAnsi="Times New Roman" w:cs="Times New Roman"/>
          <w:sz w:val="24"/>
          <w:szCs w:val="24"/>
        </w:rPr>
        <w:t xml:space="preserve"> pyłowych.</w:t>
      </w:r>
    </w:p>
    <w:p w14:paraId="623BADDD" w14:textId="3E3F8336" w:rsidR="00EE0AFC" w:rsidRPr="00EE0AFC" w:rsidRDefault="002230C4" w:rsidP="00D34F97">
      <w:pPr>
        <w:numPr>
          <w:ilvl w:val="0"/>
          <w:numId w:val="45"/>
        </w:numPr>
        <w:spacing w:after="240" w:line="300" w:lineRule="atLeast"/>
        <w:ind w:left="709" w:hanging="425"/>
        <w:jc w:val="both"/>
        <w:rPr>
          <w:rFonts w:ascii="Times New Roman" w:hAnsi="Times New Roman" w:cs="Times New Roman"/>
          <w:sz w:val="24"/>
          <w:szCs w:val="24"/>
        </w:rPr>
      </w:pPr>
      <w:r>
        <w:rPr>
          <w:rFonts w:ascii="Times New Roman" w:hAnsi="Times New Roman" w:cs="Times New Roman"/>
          <w:sz w:val="24"/>
          <w:szCs w:val="24"/>
        </w:rPr>
        <w:t>s</w:t>
      </w:r>
      <w:r w:rsidR="00EE0AFC" w:rsidRPr="00EE0AFC">
        <w:rPr>
          <w:rFonts w:ascii="Times New Roman" w:hAnsi="Times New Roman" w:cs="Times New Roman"/>
          <w:sz w:val="24"/>
          <w:szCs w:val="24"/>
        </w:rPr>
        <w:t>eminarium-szkolenie dla operatorów sieci monitoringu powietrza odbyło się w dniach 08-09 listopada 2022 r.</w:t>
      </w:r>
    </w:p>
    <w:p w14:paraId="2689F28B" w14:textId="7922A387" w:rsidR="00EE0AFC" w:rsidRPr="00EE0AFC" w:rsidRDefault="00EE0AFC" w:rsidP="00465E16">
      <w:pPr>
        <w:spacing w:line="300" w:lineRule="atLeast"/>
        <w:jc w:val="center"/>
        <w:rPr>
          <w:rFonts w:ascii="Times New Roman" w:hAnsi="Times New Roman" w:cs="Times New Roman"/>
          <w:sz w:val="24"/>
          <w:szCs w:val="24"/>
        </w:rPr>
      </w:pPr>
      <w:r w:rsidRPr="00EE0AFC">
        <w:rPr>
          <w:rFonts w:ascii="Times New Roman" w:hAnsi="Times New Roman" w:cs="Times New Roman"/>
          <w:noProof/>
          <w:sz w:val="24"/>
          <w:szCs w:val="24"/>
          <w:lang w:eastAsia="pl-PL"/>
        </w:rPr>
        <w:drawing>
          <wp:inline distT="0" distB="0" distL="0" distR="0" wp14:anchorId="40CEABEA" wp14:editId="7E607193">
            <wp:extent cx="5734050" cy="3228975"/>
            <wp:effectExtent l="0" t="0" r="0" b="9525"/>
            <wp:docPr id="92" name="Obraz 92" descr="20220527_073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0220527_073357"/>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734050" cy="3228975"/>
                    </a:xfrm>
                    <a:prstGeom prst="rect">
                      <a:avLst/>
                    </a:prstGeom>
                    <a:noFill/>
                    <a:ln>
                      <a:noFill/>
                    </a:ln>
                  </pic:spPr>
                </pic:pic>
              </a:graphicData>
            </a:graphic>
          </wp:inline>
        </w:drawing>
      </w:r>
    </w:p>
    <w:p w14:paraId="152A909F" w14:textId="142C19C5" w:rsidR="00EE0AFC" w:rsidRPr="005A6886" w:rsidRDefault="00EE0AFC" w:rsidP="00465E16">
      <w:pPr>
        <w:spacing w:after="240" w:line="300" w:lineRule="atLeast"/>
        <w:jc w:val="center"/>
        <w:rPr>
          <w:rFonts w:ascii="Times New Roman" w:hAnsi="Times New Roman" w:cs="Times New Roman"/>
          <w:b/>
        </w:rPr>
      </w:pPr>
      <w:r w:rsidRPr="005A6886">
        <w:rPr>
          <w:rFonts w:ascii="Times New Roman" w:hAnsi="Times New Roman" w:cs="Times New Roman"/>
          <w:b/>
        </w:rPr>
        <w:lastRenderedPageBreak/>
        <w:t xml:space="preserve">Zdjęcie </w:t>
      </w:r>
      <w:r w:rsidR="005A6886" w:rsidRPr="005A6886">
        <w:rPr>
          <w:rFonts w:ascii="Times New Roman" w:hAnsi="Times New Roman" w:cs="Times New Roman"/>
          <w:b/>
        </w:rPr>
        <w:t>7</w:t>
      </w:r>
      <w:r w:rsidR="005261DF">
        <w:rPr>
          <w:rFonts w:ascii="Times New Roman" w:hAnsi="Times New Roman" w:cs="Times New Roman"/>
          <w:b/>
        </w:rPr>
        <w:t>3</w:t>
      </w:r>
      <w:r w:rsidR="005A6886" w:rsidRPr="005A6886">
        <w:rPr>
          <w:rFonts w:ascii="Times New Roman" w:hAnsi="Times New Roman" w:cs="Times New Roman"/>
          <w:b/>
        </w:rPr>
        <w:t>.</w:t>
      </w:r>
      <w:r w:rsidRPr="005A6886">
        <w:rPr>
          <w:rFonts w:ascii="Times New Roman" w:hAnsi="Times New Roman" w:cs="Times New Roman"/>
          <w:b/>
        </w:rPr>
        <w:t xml:space="preserve"> </w:t>
      </w:r>
      <w:proofErr w:type="spellStart"/>
      <w:r w:rsidRPr="005A6886">
        <w:rPr>
          <w:rFonts w:ascii="Times New Roman" w:hAnsi="Times New Roman" w:cs="Times New Roman"/>
          <w:b/>
        </w:rPr>
        <w:t>Międzylaboratoryjne</w:t>
      </w:r>
      <w:proofErr w:type="spellEnd"/>
      <w:r w:rsidRPr="005A6886">
        <w:rPr>
          <w:rFonts w:ascii="Times New Roman" w:hAnsi="Times New Roman" w:cs="Times New Roman"/>
          <w:b/>
        </w:rPr>
        <w:t xml:space="preserve"> badania porównawcze pyłu zawieszonego PM10 i PM2.5 oraz oznaczania metali ciężkich i </w:t>
      </w:r>
      <w:proofErr w:type="spellStart"/>
      <w:r w:rsidRPr="005A6886">
        <w:rPr>
          <w:rFonts w:ascii="Times New Roman" w:hAnsi="Times New Roman" w:cs="Times New Roman"/>
          <w:b/>
        </w:rPr>
        <w:t>benzo</w:t>
      </w:r>
      <w:proofErr w:type="spellEnd"/>
      <w:r w:rsidRPr="005A6886">
        <w:rPr>
          <w:rFonts w:ascii="Times New Roman" w:hAnsi="Times New Roman" w:cs="Times New Roman"/>
          <w:b/>
        </w:rPr>
        <w:t>(a)</w:t>
      </w:r>
      <w:proofErr w:type="spellStart"/>
      <w:r w:rsidRPr="005A6886">
        <w:rPr>
          <w:rFonts w:ascii="Times New Roman" w:hAnsi="Times New Roman" w:cs="Times New Roman"/>
          <w:b/>
        </w:rPr>
        <w:t>pirenu</w:t>
      </w:r>
      <w:proofErr w:type="spellEnd"/>
      <w:r w:rsidRPr="005A6886">
        <w:rPr>
          <w:rFonts w:ascii="Times New Roman" w:hAnsi="Times New Roman" w:cs="Times New Roman"/>
          <w:b/>
        </w:rPr>
        <w:t xml:space="preserve"> w pyle zawieszonym PM10 organizowane przez KLRP w roku 2022</w:t>
      </w:r>
    </w:p>
    <w:p w14:paraId="4AFCAC86" w14:textId="77777777" w:rsidR="00EE0AFC" w:rsidRDefault="00EE0AFC" w:rsidP="005A6886">
      <w:pPr>
        <w:spacing w:after="60" w:line="300" w:lineRule="atLeast"/>
        <w:ind w:firstLine="567"/>
        <w:jc w:val="both"/>
        <w:rPr>
          <w:rFonts w:ascii="Times New Roman" w:hAnsi="Times New Roman" w:cs="Times New Roman"/>
          <w:sz w:val="24"/>
          <w:szCs w:val="24"/>
        </w:rPr>
      </w:pPr>
      <w:r w:rsidRPr="00EE0AFC">
        <w:rPr>
          <w:rFonts w:ascii="Times New Roman" w:hAnsi="Times New Roman" w:cs="Times New Roman"/>
          <w:sz w:val="24"/>
          <w:szCs w:val="24"/>
        </w:rPr>
        <w:t>W ramach rutynowych działań KLRP, na potrzeby krajowej sieci monitoringu powietrza CLB, wykonywało wzorcowania analizatorów ozonu, kalibratorów wielogazowych, sprawdzenia przepływomierzy oraz butli z gazami wzorcowymi.</w:t>
      </w:r>
    </w:p>
    <w:p w14:paraId="2D866A09" w14:textId="2E2DCAD2" w:rsidR="005F1B71" w:rsidRDefault="00EE0AFC" w:rsidP="005A6886">
      <w:pPr>
        <w:spacing w:after="60" w:line="300" w:lineRule="atLeast"/>
        <w:ind w:firstLine="567"/>
        <w:jc w:val="both"/>
        <w:rPr>
          <w:rFonts w:ascii="Times New Roman" w:hAnsi="Times New Roman" w:cs="Times New Roman"/>
          <w:sz w:val="24"/>
          <w:szCs w:val="24"/>
        </w:rPr>
      </w:pPr>
      <w:r w:rsidRPr="00EE0AFC">
        <w:rPr>
          <w:rFonts w:ascii="Times New Roman" w:hAnsi="Times New Roman" w:cs="Times New Roman"/>
          <w:sz w:val="24"/>
          <w:szCs w:val="24"/>
        </w:rPr>
        <w:t>W roku 2022 KLRP rozpoczęło czwartą turę badań służących wyznaczeniu współczynników korekcyjnych dla mierników ciągłych pomiarów pyłu zawieszonego. Badania odbywają się w trzech lokalizacjach w Polsce: w Częstochowie, Kaliszu i Toruniu</w:t>
      </w:r>
      <w:r w:rsidR="005F1B71" w:rsidRPr="007F400A">
        <w:rPr>
          <w:rFonts w:ascii="Times New Roman" w:hAnsi="Times New Roman" w:cs="Times New Roman"/>
          <w:sz w:val="24"/>
          <w:szCs w:val="24"/>
        </w:rPr>
        <w:t>.</w:t>
      </w:r>
    </w:p>
    <w:p w14:paraId="4D4D9B09" w14:textId="77777777" w:rsidR="00E13869" w:rsidRPr="00E13869" w:rsidRDefault="00E13869" w:rsidP="005A6886">
      <w:pPr>
        <w:spacing w:after="60" w:line="300" w:lineRule="atLeast"/>
        <w:jc w:val="both"/>
        <w:rPr>
          <w:rFonts w:ascii="Times New Roman" w:hAnsi="Times New Roman" w:cs="Times New Roman"/>
          <w:sz w:val="24"/>
          <w:szCs w:val="24"/>
        </w:rPr>
      </w:pPr>
      <w:r w:rsidRPr="00E13869">
        <w:rPr>
          <w:rFonts w:ascii="Times New Roman" w:hAnsi="Times New Roman" w:cs="Times New Roman"/>
          <w:sz w:val="24"/>
          <w:szCs w:val="24"/>
        </w:rPr>
        <w:t>W roku 2022 KLRP zorganizowało i jednocześnie uczestniczyło w:</w:t>
      </w:r>
    </w:p>
    <w:p w14:paraId="354191FF" w14:textId="170308C7" w:rsidR="00E13869" w:rsidRPr="00E13869" w:rsidRDefault="00E13869" w:rsidP="00D34F97">
      <w:pPr>
        <w:numPr>
          <w:ilvl w:val="0"/>
          <w:numId w:val="212"/>
        </w:numPr>
        <w:spacing w:after="0" w:line="300" w:lineRule="atLeast"/>
        <w:ind w:left="426"/>
        <w:jc w:val="both"/>
        <w:rPr>
          <w:rFonts w:ascii="Times New Roman" w:hAnsi="Times New Roman" w:cs="Times New Roman"/>
          <w:sz w:val="24"/>
          <w:szCs w:val="24"/>
        </w:rPr>
      </w:pPr>
      <w:r w:rsidRPr="00E13869">
        <w:rPr>
          <w:rFonts w:ascii="Times New Roman" w:hAnsi="Times New Roman" w:cs="Times New Roman"/>
          <w:sz w:val="24"/>
          <w:szCs w:val="24"/>
        </w:rPr>
        <w:t>badaniach biegłości dla analizatorów zanieczyszczeń gazowych: SO</w:t>
      </w:r>
      <w:r w:rsidRPr="00E13869">
        <w:rPr>
          <w:rFonts w:ascii="Times New Roman" w:hAnsi="Times New Roman" w:cs="Times New Roman"/>
          <w:sz w:val="24"/>
          <w:szCs w:val="24"/>
          <w:vertAlign w:val="subscript"/>
        </w:rPr>
        <w:t>2</w:t>
      </w:r>
      <w:r w:rsidRPr="00E13869">
        <w:rPr>
          <w:rFonts w:ascii="Times New Roman" w:hAnsi="Times New Roman" w:cs="Times New Roman"/>
          <w:sz w:val="24"/>
          <w:szCs w:val="24"/>
        </w:rPr>
        <w:t>, CO, O</w:t>
      </w:r>
      <w:r w:rsidRPr="00E13869">
        <w:rPr>
          <w:rFonts w:ascii="Times New Roman" w:hAnsi="Times New Roman" w:cs="Times New Roman"/>
          <w:sz w:val="24"/>
          <w:szCs w:val="24"/>
          <w:vertAlign w:val="subscript"/>
        </w:rPr>
        <w:t>3</w:t>
      </w:r>
      <w:r w:rsidRPr="00E13869">
        <w:rPr>
          <w:rFonts w:ascii="Times New Roman" w:hAnsi="Times New Roman" w:cs="Times New Roman"/>
          <w:sz w:val="24"/>
          <w:szCs w:val="24"/>
        </w:rPr>
        <w:t>, NO</w:t>
      </w:r>
      <w:r w:rsidRPr="00E13869">
        <w:rPr>
          <w:rFonts w:ascii="Times New Roman" w:hAnsi="Times New Roman" w:cs="Times New Roman"/>
          <w:sz w:val="24"/>
          <w:szCs w:val="24"/>
          <w:vertAlign w:val="subscript"/>
        </w:rPr>
        <w:t>X</w:t>
      </w:r>
      <w:r w:rsidRPr="00E13869">
        <w:rPr>
          <w:rFonts w:ascii="Times New Roman" w:hAnsi="Times New Roman" w:cs="Times New Roman"/>
          <w:sz w:val="24"/>
          <w:szCs w:val="24"/>
        </w:rPr>
        <w:t xml:space="preserve"> (w dniach 09-12 maja</w:t>
      </w:r>
      <w:r w:rsidR="005A6886">
        <w:rPr>
          <w:rFonts w:ascii="Times New Roman" w:hAnsi="Times New Roman" w:cs="Times New Roman"/>
          <w:sz w:val="24"/>
          <w:szCs w:val="24"/>
        </w:rPr>
        <w:t xml:space="preserve"> 2022 r.</w:t>
      </w:r>
      <w:r w:rsidRPr="00E13869">
        <w:rPr>
          <w:rFonts w:ascii="Times New Roman" w:hAnsi="Times New Roman" w:cs="Times New Roman"/>
          <w:sz w:val="24"/>
          <w:szCs w:val="24"/>
        </w:rPr>
        <w:t>), w których uczestniczyło 8 oddziałów CLB GIOŚ oraz Instytut Ochrony Środowiska – Państwowy Instytut Badawczy;</w:t>
      </w:r>
    </w:p>
    <w:p w14:paraId="2F8AA26E" w14:textId="41E22ACC" w:rsidR="00E13869" w:rsidRPr="00E13869" w:rsidRDefault="00E13869" w:rsidP="00D34F97">
      <w:pPr>
        <w:numPr>
          <w:ilvl w:val="0"/>
          <w:numId w:val="212"/>
        </w:numPr>
        <w:spacing w:after="0" w:line="300" w:lineRule="atLeast"/>
        <w:ind w:left="426"/>
        <w:jc w:val="both"/>
        <w:rPr>
          <w:rFonts w:ascii="Times New Roman" w:hAnsi="Times New Roman" w:cs="Times New Roman"/>
          <w:sz w:val="24"/>
          <w:szCs w:val="24"/>
        </w:rPr>
      </w:pPr>
      <w:r w:rsidRPr="00E13869">
        <w:rPr>
          <w:rFonts w:ascii="Times New Roman" w:hAnsi="Times New Roman" w:cs="Times New Roman"/>
          <w:sz w:val="24"/>
          <w:szCs w:val="24"/>
        </w:rPr>
        <w:t>badaniach biegłości dla analizatorów zanieczyszczeń gazowych C</w:t>
      </w:r>
      <w:r w:rsidRPr="00E13869">
        <w:rPr>
          <w:rFonts w:ascii="Times New Roman" w:hAnsi="Times New Roman" w:cs="Times New Roman"/>
          <w:sz w:val="24"/>
          <w:szCs w:val="24"/>
          <w:vertAlign w:val="subscript"/>
        </w:rPr>
        <w:t>6</w:t>
      </w:r>
      <w:r w:rsidRPr="00E13869">
        <w:rPr>
          <w:rFonts w:ascii="Times New Roman" w:hAnsi="Times New Roman" w:cs="Times New Roman"/>
          <w:sz w:val="24"/>
          <w:szCs w:val="24"/>
        </w:rPr>
        <w:t>H</w:t>
      </w:r>
      <w:r w:rsidRPr="00E13869">
        <w:rPr>
          <w:rFonts w:ascii="Times New Roman" w:hAnsi="Times New Roman" w:cs="Times New Roman"/>
          <w:sz w:val="24"/>
          <w:szCs w:val="24"/>
          <w:vertAlign w:val="subscript"/>
        </w:rPr>
        <w:t>6</w:t>
      </w:r>
      <w:r w:rsidRPr="00E13869">
        <w:rPr>
          <w:rFonts w:ascii="Times New Roman" w:hAnsi="Times New Roman" w:cs="Times New Roman"/>
          <w:sz w:val="24"/>
          <w:szCs w:val="24"/>
        </w:rPr>
        <w:t xml:space="preserve"> (w dniach 18-20 października</w:t>
      </w:r>
      <w:r w:rsidR="005A6886">
        <w:rPr>
          <w:rFonts w:ascii="Times New Roman" w:hAnsi="Times New Roman" w:cs="Times New Roman"/>
          <w:sz w:val="24"/>
          <w:szCs w:val="24"/>
        </w:rPr>
        <w:t xml:space="preserve"> 2022 r.</w:t>
      </w:r>
      <w:r w:rsidRPr="00E13869">
        <w:rPr>
          <w:rFonts w:ascii="Times New Roman" w:hAnsi="Times New Roman" w:cs="Times New Roman"/>
          <w:sz w:val="24"/>
          <w:szCs w:val="24"/>
        </w:rPr>
        <w:t>), w których uczestniczyło 8 oddziałów CLB GIOŚ;</w:t>
      </w:r>
    </w:p>
    <w:p w14:paraId="748611AD" w14:textId="47FF1142" w:rsidR="00E13869" w:rsidRPr="00E13869" w:rsidRDefault="00E13869" w:rsidP="00D34F97">
      <w:pPr>
        <w:numPr>
          <w:ilvl w:val="0"/>
          <w:numId w:val="212"/>
        </w:numPr>
        <w:spacing w:after="120" w:line="300" w:lineRule="atLeast"/>
        <w:ind w:left="425" w:hanging="357"/>
        <w:jc w:val="both"/>
        <w:rPr>
          <w:rFonts w:ascii="Times New Roman" w:hAnsi="Times New Roman" w:cs="Times New Roman"/>
          <w:sz w:val="24"/>
          <w:szCs w:val="24"/>
        </w:rPr>
      </w:pPr>
      <w:proofErr w:type="spellStart"/>
      <w:r w:rsidRPr="00E13869">
        <w:rPr>
          <w:rFonts w:ascii="Times New Roman" w:hAnsi="Times New Roman" w:cs="Times New Roman"/>
          <w:sz w:val="24"/>
          <w:szCs w:val="24"/>
        </w:rPr>
        <w:t>międzylaboratoryjnych</w:t>
      </w:r>
      <w:proofErr w:type="spellEnd"/>
      <w:r w:rsidRPr="00E13869">
        <w:rPr>
          <w:rFonts w:ascii="Times New Roman" w:hAnsi="Times New Roman" w:cs="Times New Roman"/>
          <w:sz w:val="24"/>
          <w:szCs w:val="24"/>
        </w:rPr>
        <w:t xml:space="preserve"> badaniach porównawczych pyłu zawieszonego PM10 i PM2.5 oraz oznaczaniu metali ciężkich i </w:t>
      </w:r>
      <w:proofErr w:type="spellStart"/>
      <w:r w:rsidRPr="00E13869">
        <w:rPr>
          <w:rFonts w:ascii="Times New Roman" w:hAnsi="Times New Roman" w:cs="Times New Roman"/>
          <w:sz w:val="24"/>
          <w:szCs w:val="24"/>
        </w:rPr>
        <w:t>benzo</w:t>
      </w:r>
      <w:proofErr w:type="spellEnd"/>
      <w:r w:rsidRPr="00E13869">
        <w:rPr>
          <w:rFonts w:ascii="Times New Roman" w:hAnsi="Times New Roman" w:cs="Times New Roman"/>
          <w:sz w:val="24"/>
          <w:szCs w:val="24"/>
        </w:rPr>
        <w:t>(a)</w:t>
      </w:r>
      <w:proofErr w:type="spellStart"/>
      <w:r w:rsidRPr="00E13869">
        <w:rPr>
          <w:rFonts w:ascii="Times New Roman" w:hAnsi="Times New Roman" w:cs="Times New Roman"/>
          <w:sz w:val="24"/>
          <w:szCs w:val="24"/>
        </w:rPr>
        <w:t>pirenu</w:t>
      </w:r>
      <w:proofErr w:type="spellEnd"/>
      <w:r w:rsidRPr="00E13869">
        <w:rPr>
          <w:rFonts w:ascii="Times New Roman" w:hAnsi="Times New Roman" w:cs="Times New Roman"/>
          <w:sz w:val="24"/>
          <w:szCs w:val="24"/>
        </w:rPr>
        <w:t xml:space="preserve"> w pyle zawieszonym PM10 (sesja letnia w dniach: 26.05-09.06</w:t>
      </w:r>
      <w:r w:rsidR="005A6886">
        <w:rPr>
          <w:rFonts w:ascii="Times New Roman" w:hAnsi="Times New Roman" w:cs="Times New Roman"/>
          <w:sz w:val="24"/>
          <w:szCs w:val="24"/>
        </w:rPr>
        <w:t>.2022 r.</w:t>
      </w:r>
      <w:r w:rsidRPr="00E13869">
        <w:rPr>
          <w:rFonts w:ascii="Times New Roman" w:hAnsi="Times New Roman" w:cs="Times New Roman"/>
          <w:sz w:val="24"/>
          <w:szCs w:val="24"/>
        </w:rPr>
        <w:t>, sesja zimowa w dniach: 17.11-01.12</w:t>
      </w:r>
      <w:r w:rsidR="005A6886">
        <w:rPr>
          <w:rFonts w:ascii="Times New Roman" w:hAnsi="Times New Roman" w:cs="Times New Roman"/>
          <w:sz w:val="24"/>
          <w:szCs w:val="24"/>
        </w:rPr>
        <w:t>.2022 r.</w:t>
      </w:r>
      <w:r w:rsidRPr="00E13869">
        <w:rPr>
          <w:rFonts w:ascii="Times New Roman" w:hAnsi="Times New Roman" w:cs="Times New Roman"/>
          <w:sz w:val="24"/>
          <w:szCs w:val="24"/>
        </w:rPr>
        <w:t xml:space="preserve">), w których uczestniczyło 16 oddziałów CLB GIOŚ (15 w sesji zimowej), Instytut Ochrony Środowiska – Państwowy Instytut Badawczy oraz dodatkowo w sesji zimowej Przedsiębiorstwo Usług Laboratoryjnych i Geologicznych </w:t>
      </w:r>
      <w:proofErr w:type="spellStart"/>
      <w:r w:rsidRPr="00E13869">
        <w:rPr>
          <w:rFonts w:ascii="Times New Roman" w:hAnsi="Times New Roman" w:cs="Times New Roman"/>
          <w:sz w:val="24"/>
          <w:szCs w:val="24"/>
        </w:rPr>
        <w:t>Petrogeo</w:t>
      </w:r>
      <w:proofErr w:type="spellEnd"/>
      <w:r w:rsidRPr="00E13869">
        <w:rPr>
          <w:rFonts w:ascii="Times New Roman" w:hAnsi="Times New Roman" w:cs="Times New Roman"/>
          <w:sz w:val="24"/>
          <w:szCs w:val="24"/>
        </w:rPr>
        <w:t>.</w:t>
      </w:r>
    </w:p>
    <w:p w14:paraId="2DCA9BC7" w14:textId="0400D752" w:rsidR="009F1D87" w:rsidRPr="007F400A" w:rsidRDefault="00E13869" w:rsidP="00A449AB">
      <w:pPr>
        <w:spacing w:after="0" w:line="300" w:lineRule="atLeast"/>
        <w:ind w:firstLine="567"/>
        <w:jc w:val="both"/>
        <w:rPr>
          <w:rFonts w:ascii="Times New Roman" w:hAnsi="Times New Roman" w:cs="Times New Roman"/>
          <w:sz w:val="24"/>
          <w:szCs w:val="24"/>
        </w:rPr>
      </w:pPr>
      <w:r w:rsidRPr="00E13869">
        <w:rPr>
          <w:rFonts w:ascii="Times New Roman" w:hAnsi="Times New Roman" w:cs="Times New Roman"/>
          <w:sz w:val="24"/>
          <w:szCs w:val="24"/>
        </w:rPr>
        <w:t>Jednocześnie, KLRP uczestniczyło w roku 2022 w międzynarodowych badaniach biegłości dla analizatorów zanieczyszczeń gazowych: SO</w:t>
      </w:r>
      <w:r w:rsidRPr="00E13869">
        <w:rPr>
          <w:rFonts w:ascii="Times New Roman" w:hAnsi="Times New Roman" w:cs="Times New Roman"/>
          <w:sz w:val="24"/>
          <w:szCs w:val="24"/>
          <w:vertAlign w:val="subscript"/>
        </w:rPr>
        <w:t>2</w:t>
      </w:r>
      <w:r w:rsidRPr="00E13869">
        <w:rPr>
          <w:rFonts w:ascii="Times New Roman" w:hAnsi="Times New Roman" w:cs="Times New Roman"/>
          <w:sz w:val="24"/>
          <w:szCs w:val="24"/>
        </w:rPr>
        <w:t>, CO, O</w:t>
      </w:r>
      <w:r w:rsidRPr="00E13869">
        <w:rPr>
          <w:rFonts w:ascii="Times New Roman" w:hAnsi="Times New Roman" w:cs="Times New Roman"/>
          <w:sz w:val="24"/>
          <w:szCs w:val="24"/>
          <w:vertAlign w:val="subscript"/>
        </w:rPr>
        <w:t>3</w:t>
      </w:r>
      <w:r w:rsidRPr="00E13869">
        <w:rPr>
          <w:rFonts w:ascii="Times New Roman" w:hAnsi="Times New Roman" w:cs="Times New Roman"/>
          <w:sz w:val="24"/>
          <w:szCs w:val="24"/>
        </w:rPr>
        <w:t>, NO</w:t>
      </w:r>
      <w:r w:rsidRPr="00E13869">
        <w:rPr>
          <w:rFonts w:ascii="Times New Roman" w:hAnsi="Times New Roman" w:cs="Times New Roman"/>
          <w:sz w:val="24"/>
          <w:szCs w:val="24"/>
          <w:vertAlign w:val="subscript"/>
        </w:rPr>
        <w:t>X</w:t>
      </w:r>
      <w:r w:rsidRPr="00E13869">
        <w:rPr>
          <w:rFonts w:ascii="Times New Roman" w:hAnsi="Times New Roman" w:cs="Times New Roman"/>
          <w:sz w:val="24"/>
          <w:szCs w:val="24"/>
        </w:rPr>
        <w:t xml:space="preserve"> (w dniach 04-07</w:t>
      </w:r>
      <w:r w:rsidR="005A6886">
        <w:rPr>
          <w:rFonts w:ascii="Times New Roman" w:hAnsi="Times New Roman" w:cs="Times New Roman"/>
          <w:sz w:val="24"/>
          <w:szCs w:val="24"/>
        </w:rPr>
        <w:t>.04.2022 r.</w:t>
      </w:r>
      <w:r w:rsidRPr="00E13869">
        <w:rPr>
          <w:rFonts w:ascii="Times New Roman" w:hAnsi="Times New Roman" w:cs="Times New Roman"/>
          <w:sz w:val="24"/>
          <w:szCs w:val="24"/>
        </w:rPr>
        <w:t xml:space="preserve">) oraz </w:t>
      </w:r>
      <w:proofErr w:type="spellStart"/>
      <w:r w:rsidRPr="00E13869">
        <w:rPr>
          <w:rFonts w:ascii="Times New Roman" w:hAnsi="Times New Roman" w:cs="Times New Roman"/>
          <w:sz w:val="24"/>
          <w:szCs w:val="24"/>
        </w:rPr>
        <w:t>międzylaboratoryjnych</w:t>
      </w:r>
      <w:proofErr w:type="spellEnd"/>
      <w:r w:rsidRPr="00E13869">
        <w:rPr>
          <w:rFonts w:ascii="Times New Roman" w:hAnsi="Times New Roman" w:cs="Times New Roman"/>
          <w:sz w:val="24"/>
          <w:szCs w:val="24"/>
        </w:rPr>
        <w:t xml:space="preserve"> badaniach porównawczych pyłu zawieszonego PM10 i PM2.5 (w dniach: 13.01-23.02</w:t>
      </w:r>
      <w:r w:rsidR="005A6886">
        <w:rPr>
          <w:rFonts w:ascii="Times New Roman" w:hAnsi="Times New Roman" w:cs="Times New Roman"/>
          <w:sz w:val="24"/>
          <w:szCs w:val="24"/>
        </w:rPr>
        <w:t>.2022 r.</w:t>
      </w:r>
      <w:r w:rsidRPr="00E13869">
        <w:rPr>
          <w:rFonts w:ascii="Times New Roman" w:hAnsi="Times New Roman" w:cs="Times New Roman"/>
          <w:sz w:val="24"/>
          <w:szCs w:val="24"/>
        </w:rPr>
        <w:t xml:space="preserve">). Oba badania odbyły się w siedzibie Wspólnego Centrum Badawczego Komisji Europejskiej (Joint </w:t>
      </w:r>
      <w:proofErr w:type="spellStart"/>
      <w:r w:rsidRPr="00E13869">
        <w:rPr>
          <w:rFonts w:ascii="Times New Roman" w:hAnsi="Times New Roman" w:cs="Times New Roman"/>
          <w:sz w:val="24"/>
          <w:szCs w:val="24"/>
        </w:rPr>
        <w:t>Research</w:t>
      </w:r>
      <w:proofErr w:type="spellEnd"/>
      <w:r w:rsidRPr="00E13869">
        <w:rPr>
          <w:rFonts w:ascii="Times New Roman" w:hAnsi="Times New Roman" w:cs="Times New Roman"/>
          <w:sz w:val="24"/>
          <w:szCs w:val="24"/>
        </w:rPr>
        <w:t xml:space="preserve"> Centre) w </w:t>
      </w:r>
      <w:proofErr w:type="spellStart"/>
      <w:r w:rsidRPr="00E13869">
        <w:rPr>
          <w:rFonts w:ascii="Times New Roman" w:hAnsi="Times New Roman" w:cs="Times New Roman"/>
          <w:sz w:val="24"/>
          <w:szCs w:val="24"/>
        </w:rPr>
        <w:t>Isprze</w:t>
      </w:r>
      <w:proofErr w:type="spellEnd"/>
      <w:r w:rsidRPr="00E13869">
        <w:rPr>
          <w:rFonts w:ascii="Times New Roman" w:hAnsi="Times New Roman" w:cs="Times New Roman"/>
          <w:sz w:val="24"/>
          <w:szCs w:val="24"/>
        </w:rPr>
        <w:t xml:space="preserve"> (Włochy). W obu badaniach uzyskane przez KLRP wskaźniki </w:t>
      </w:r>
      <w:r w:rsidRPr="00E13869">
        <w:rPr>
          <w:rFonts w:ascii="Times New Roman" w:hAnsi="Times New Roman" w:cs="Times New Roman"/>
          <w:i/>
          <w:sz w:val="24"/>
          <w:szCs w:val="24"/>
        </w:rPr>
        <w:t>EN</w:t>
      </w:r>
      <w:r w:rsidRPr="00E13869">
        <w:rPr>
          <w:rFonts w:ascii="Times New Roman" w:hAnsi="Times New Roman" w:cs="Times New Roman"/>
          <w:sz w:val="24"/>
          <w:szCs w:val="24"/>
        </w:rPr>
        <w:t xml:space="preserve"> i </w:t>
      </w:r>
      <w:r w:rsidRPr="00E13869">
        <w:rPr>
          <w:rFonts w:ascii="Times New Roman" w:hAnsi="Times New Roman" w:cs="Times New Roman"/>
          <w:i/>
          <w:sz w:val="24"/>
          <w:szCs w:val="24"/>
        </w:rPr>
        <w:t>z’</w:t>
      </w:r>
      <w:r w:rsidRPr="00E13869">
        <w:rPr>
          <w:rFonts w:ascii="Times New Roman" w:hAnsi="Times New Roman" w:cs="Times New Roman"/>
          <w:sz w:val="24"/>
          <w:szCs w:val="24"/>
        </w:rPr>
        <w:t xml:space="preserve"> określone zostały jako „zadowalające”, co potwierdziło wysoki poziom kompetencji laboratorium</w:t>
      </w:r>
      <w:r>
        <w:rPr>
          <w:rFonts w:ascii="Times New Roman" w:hAnsi="Times New Roman" w:cs="Times New Roman"/>
          <w:sz w:val="24"/>
          <w:szCs w:val="24"/>
        </w:rPr>
        <w:t xml:space="preserve">. </w:t>
      </w:r>
    </w:p>
    <w:p w14:paraId="02703CB5" w14:textId="77777777" w:rsidR="005F1B71" w:rsidRPr="007F400A" w:rsidRDefault="005F1B71" w:rsidP="00465E16">
      <w:pPr>
        <w:spacing w:after="0" w:line="300" w:lineRule="atLeast"/>
        <w:ind w:left="924"/>
        <w:jc w:val="both"/>
        <w:rPr>
          <w:rFonts w:ascii="Times New Roman" w:hAnsi="Times New Roman" w:cs="Times New Roman"/>
          <w:sz w:val="24"/>
          <w:szCs w:val="24"/>
        </w:rPr>
      </w:pPr>
    </w:p>
    <w:p w14:paraId="7B9825A8" w14:textId="768B602B" w:rsidR="00895F16" w:rsidRPr="007F400A" w:rsidRDefault="00895F16" w:rsidP="00465E16">
      <w:pPr>
        <w:keepNext/>
        <w:spacing w:after="120" w:line="300" w:lineRule="atLeast"/>
        <w:ind w:left="397" w:hanging="397"/>
        <w:jc w:val="both"/>
        <w:outlineLvl w:val="0"/>
        <w:rPr>
          <w:rFonts w:ascii="Times New Roman" w:eastAsia="Times New Roman" w:hAnsi="Times New Roman" w:cs="Times New Roman"/>
          <w:b/>
          <w:bCs/>
          <w:sz w:val="24"/>
          <w:szCs w:val="24"/>
          <w:lang w:val="x-none" w:eastAsia="x-none"/>
        </w:rPr>
      </w:pPr>
      <w:bookmarkStart w:id="437" w:name="_Toc135935726"/>
      <w:r w:rsidRPr="007F400A">
        <w:rPr>
          <w:rFonts w:ascii="Times New Roman" w:eastAsia="Times New Roman" w:hAnsi="Times New Roman" w:cs="Times New Roman"/>
          <w:b/>
          <w:bCs/>
          <w:sz w:val="24"/>
          <w:szCs w:val="24"/>
          <w:lang w:eastAsia="x-none"/>
        </w:rPr>
        <w:t>3</w:t>
      </w:r>
      <w:r w:rsidRPr="007F400A">
        <w:rPr>
          <w:rFonts w:ascii="Times New Roman" w:eastAsia="Times New Roman" w:hAnsi="Times New Roman" w:cs="Times New Roman"/>
          <w:b/>
          <w:bCs/>
          <w:sz w:val="24"/>
          <w:szCs w:val="24"/>
          <w:lang w:val="x-none" w:eastAsia="x-none"/>
        </w:rPr>
        <w:t xml:space="preserve">. Krajowe Laboratorium Referencyjne do spraw jakości </w:t>
      </w:r>
      <w:r w:rsidRPr="007F400A">
        <w:rPr>
          <w:rFonts w:ascii="Times New Roman" w:eastAsia="Times New Roman" w:hAnsi="Times New Roman" w:cs="Times New Roman"/>
          <w:b/>
          <w:bCs/>
          <w:sz w:val="24"/>
          <w:szCs w:val="24"/>
          <w:lang w:eastAsia="x-none"/>
        </w:rPr>
        <w:t>wód powierzchniowych</w:t>
      </w:r>
      <w:bookmarkEnd w:id="437"/>
      <w:r w:rsidR="005F1B71" w:rsidRPr="007F400A">
        <w:rPr>
          <w:rFonts w:ascii="Times New Roman" w:eastAsia="Times New Roman" w:hAnsi="Times New Roman" w:cs="Times New Roman"/>
          <w:b/>
          <w:bCs/>
          <w:sz w:val="24"/>
          <w:szCs w:val="24"/>
          <w:lang w:eastAsia="x-none"/>
        </w:rPr>
        <w:t xml:space="preserve"> </w:t>
      </w:r>
    </w:p>
    <w:p w14:paraId="16E99013" w14:textId="7CDEACCC" w:rsidR="00895F16" w:rsidRPr="007F400A" w:rsidRDefault="00895F16" w:rsidP="005A6886">
      <w:pPr>
        <w:spacing w:after="120" w:line="300" w:lineRule="atLeast"/>
        <w:ind w:firstLine="567"/>
        <w:jc w:val="both"/>
        <w:rPr>
          <w:rFonts w:ascii="Times New Roman" w:hAnsi="Times New Roman" w:cs="Times New Roman"/>
          <w:sz w:val="24"/>
          <w:szCs w:val="24"/>
        </w:rPr>
      </w:pPr>
      <w:r w:rsidRPr="007F400A">
        <w:rPr>
          <w:rFonts w:ascii="Times New Roman" w:hAnsi="Times New Roman" w:cs="Times New Roman"/>
          <w:sz w:val="24"/>
          <w:szCs w:val="24"/>
        </w:rPr>
        <w:t>Zgodnie z ustawą o Inspekcji Ochrony Środowiska</w:t>
      </w:r>
      <w:r w:rsidR="00715203" w:rsidRPr="007F400A">
        <w:rPr>
          <w:rFonts w:ascii="Times New Roman" w:hAnsi="Times New Roman" w:cs="Times New Roman"/>
          <w:sz w:val="24"/>
          <w:szCs w:val="24"/>
        </w:rPr>
        <w:t>,</w:t>
      </w:r>
      <w:r w:rsidRPr="007F400A">
        <w:rPr>
          <w:rFonts w:ascii="Times New Roman" w:hAnsi="Times New Roman" w:cs="Times New Roman"/>
          <w:sz w:val="24"/>
          <w:szCs w:val="24"/>
        </w:rPr>
        <w:t xml:space="preserve"> z dniem 1 stycznia 2021 r.</w:t>
      </w:r>
      <w:r w:rsidR="00715203" w:rsidRPr="007F400A">
        <w:rPr>
          <w:rFonts w:ascii="Times New Roman" w:hAnsi="Times New Roman" w:cs="Times New Roman"/>
          <w:sz w:val="24"/>
          <w:szCs w:val="24"/>
        </w:rPr>
        <w:t>,</w:t>
      </w:r>
      <w:r w:rsidRPr="007F400A">
        <w:rPr>
          <w:rFonts w:ascii="Times New Roman" w:hAnsi="Times New Roman" w:cs="Times New Roman"/>
          <w:sz w:val="24"/>
          <w:szCs w:val="24"/>
        </w:rPr>
        <w:t xml:space="preserve"> </w:t>
      </w:r>
      <w:r w:rsidRPr="007F400A">
        <w:rPr>
          <w:rFonts w:ascii="Times New Roman" w:hAnsi="Times New Roman" w:cs="Times New Roman"/>
          <w:sz w:val="24"/>
          <w:szCs w:val="24"/>
        </w:rPr>
        <w:br/>
        <w:t xml:space="preserve">w ramach struktury GIOŚ - w Giżycku - powstało Krajowe Laboratorium Referencyjne do spraw jakości wód powierzchniowych (KLRW). Siedziba KLRW została wybrana ze względu na położenie na Mazurach, pomiędzy jeziorami Kisajno i Niegocin, </w:t>
      </w:r>
      <w:proofErr w:type="spellStart"/>
      <w:r w:rsidRPr="007F400A">
        <w:rPr>
          <w:rFonts w:ascii="Times New Roman" w:hAnsi="Times New Roman" w:cs="Times New Roman"/>
          <w:sz w:val="24"/>
          <w:szCs w:val="24"/>
        </w:rPr>
        <w:t>Tajty</w:t>
      </w:r>
      <w:proofErr w:type="spellEnd"/>
      <w:r w:rsidRPr="007F400A">
        <w:rPr>
          <w:rFonts w:ascii="Times New Roman" w:hAnsi="Times New Roman" w:cs="Times New Roman"/>
          <w:sz w:val="24"/>
          <w:szCs w:val="24"/>
        </w:rPr>
        <w:t xml:space="preserve"> i </w:t>
      </w:r>
      <w:proofErr w:type="spellStart"/>
      <w:r w:rsidRPr="007F400A">
        <w:rPr>
          <w:rFonts w:ascii="Times New Roman" w:hAnsi="Times New Roman" w:cs="Times New Roman"/>
          <w:sz w:val="24"/>
          <w:szCs w:val="24"/>
        </w:rPr>
        <w:t>Wojsak</w:t>
      </w:r>
      <w:proofErr w:type="spellEnd"/>
      <w:r w:rsidRPr="007F400A">
        <w:rPr>
          <w:rFonts w:ascii="Times New Roman" w:hAnsi="Times New Roman" w:cs="Times New Roman"/>
          <w:sz w:val="24"/>
          <w:szCs w:val="24"/>
        </w:rPr>
        <w:t xml:space="preserve">, różnorodność wód powierzchniowych (rzeki, jeziora), bliskość wód przejściowych </w:t>
      </w:r>
      <w:r w:rsidRPr="007F400A">
        <w:rPr>
          <w:rFonts w:ascii="Times New Roman" w:hAnsi="Times New Roman" w:cs="Times New Roman"/>
          <w:sz w:val="24"/>
          <w:szCs w:val="24"/>
        </w:rPr>
        <w:br/>
        <w:t xml:space="preserve">i przybrzeżnych oraz specyfikę regionalną sprzyjającą badaniom monitoringowym (mniejsze uprzemysłowienie) - duża ilość punktów poboru próbek </w:t>
      </w:r>
      <w:r w:rsidR="000423C5">
        <w:rPr>
          <w:rFonts w:ascii="Times New Roman" w:hAnsi="Times New Roman" w:cs="Times New Roman"/>
          <w:sz w:val="24"/>
          <w:szCs w:val="24"/>
        </w:rPr>
        <w:t xml:space="preserve">do </w:t>
      </w:r>
      <w:r w:rsidRPr="007F400A">
        <w:rPr>
          <w:rFonts w:ascii="Times New Roman" w:hAnsi="Times New Roman" w:cs="Times New Roman"/>
          <w:sz w:val="24"/>
          <w:szCs w:val="24"/>
        </w:rPr>
        <w:t>badań biologicznych oraz związków priorytetowych.</w:t>
      </w:r>
    </w:p>
    <w:p w14:paraId="1DE1A864" w14:textId="77777777" w:rsidR="00895F16" w:rsidRPr="007F400A" w:rsidRDefault="00895F16" w:rsidP="005A6886">
      <w:pPr>
        <w:spacing w:after="60" w:line="300" w:lineRule="atLeast"/>
        <w:ind w:firstLine="567"/>
        <w:jc w:val="both"/>
        <w:rPr>
          <w:rFonts w:ascii="Times New Roman" w:hAnsi="Times New Roman" w:cs="Times New Roman"/>
          <w:sz w:val="24"/>
          <w:szCs w:val="24"/>
        </w:rPr>
      </w:pPr>
      <w:r w:rsidRPr="007F400A">
        <w:rPr>
          <w:rFonts w:ascii="Times New Roman" w:hAnsi="Times New Roman" w:cs="Times New Roman"/>
          <w:sz w:val="24"/>
          <w:szCs w:val="24"/>
        </w:rPr>
        <w:t>Zadaniem Krajowego Laboratorium Referencyjnego do spraw jakości wód powierzchniowych jest zapewnienie nadzoru nad jakością badań i analiz w zakresie wód powierzchniowych wykonywanych przez Centralne Laboratorium Badawcze oraz inne podmioty prowadzące badania monitoringowe, w szczególności przez:</w:t>
      </w:r>
    </w:p>
    <w:p w14:paraId="7505D03A" w14:textId="6CB021C9" w:rsidR="00895F16" w:rsidRPr="007F400A" w:rsidRDefault="00895F16" w:rsidP="00D34F97">
      <w:pPr>
        <w:numPr>
          <w:ilvl w:val="0"/>
          <w:numId w:val="145"/>
        </w:numPr>
        <w:spacing w:after="0" w:line="300" w:lineRule="atLeast"/>
        <w:ind w:left="641" w:hanging="357"/>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lastRenderedPageBreak/>
        <w:t xml:space="preserve">prowadzenie badań i oznaczeń biologicznych oraz fizykochemicznych próbek wody </w:t>
      </w:r>
      <w:r w:rsidR="005A6886">
        <w:rPr>
          <w:rFonts w:ascii="Times New Roman" w:eastAsia="Calibri" w:hAnsi="Times New Roman" w:cs="Times New Roman"/>
          <w:sz w:val="24"/>
          <w:szCs w:val="24"/>
          <w:lang w:val="x-none" w:eastAsia="pl-PL"/>
        </w:rPr>
        <w:br/>
      </w:r>
      <w:r w:rsidRPr="007F400A">
        <w:rPr>
          <w:rFonts w:ascii="Times New Roman" w:eastAsia="Calibri" w:hAnsi="Times New Roman" w:cs="Times New Roman"/>
          <w:sz w:val="24"/>
          <w:szCs w:val="24"/>
          <w:lang w:val="x-none" w:eastAsia="pl-PL"/>
        </w:rPr>
        <w:t>i osadów dennych</w:t>
      </w:r>
      <w:r w:rsidR="006E73D3" w:rsidRPr="007F400A">
        <w:rPr>
          <w:rFonts w:ascii="Times New Roman" w:eastAsia="Calibri" w:hAnsi="Times New Roman" w:cs="Times New Roman"/>
          <w:sz w:val="24"/>
          <w:szCs w:val="24"/>
          <w:lang w:eastAsia="pl-PL"/>
        </w:rPr>
        <w:t>,</w:t>
      </w:r>
      <w:r w:rsidRPr="007F400A">
        <w:rPr>
          <w:rFonts w:ascii="Times New Roman" w:eastAsia="Calibri" w:hAnsi="Times New Roman" w:cs="Times New Roman"/>
          <w:sz w:val="24"/>
          <w:szCs w:val="24"/>
          <w:lang w:val="x-none" w:eastAsia="pl-PL"/>
        </w:rPr>
        <w:t xml:space="preserve"> </w:t>
      </w:r>
    </w:p>
    <w:p w14:paraId="7B124158" w14:textId="01538A18" w:rsidR="00895F16" w:rsidRPr="007F400A" w:rsidRDefault="00895F16" w:rsidP="00D34F97">
      <w:pPr>
        <w:numPr>
          <w:ilvl w:val="0"/>
          <w:numId w:val="145"/>
        </w:numPr>
        <w:spacing w:after="0" w:line="300" w:lineRule="atLeast"/>
        <w:ind w:left="641" w:hanging="357"/>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tworzenie, weryfikację i aktualizację przewodników i wytycznych do wykonania</w:t>
      </w:r>
      <w:r w:rsidR="00A22034" w:rsidRPr="007F400A">
        <w:rPr>
          <w:rFonts w:ascii="Times New Roman" w:eastAsia="Calibri" w:hAnsi="Times New Roman" w:cs="Times New Roman"/>
          <w:sz w:val="24"/>
          <w:szCs w:val="24"/>
          <w:lang w:eastAsia="pl-PL"/>
        </w:rPr>
        <w:t xml:space="preserve"> </w:t>
      </w:r>
      <w:r w:rsidRPr="007F400A">
        <w:rPr>
          <w:rFonts w:ascii="Times New Roman" w:eastAsia="Calibri" w:hAnsi="Times New Roman" w:cs="Times New Roman"/>
          <w:sz w:val="24"/>
          <w:szCs w:val="24"/>
          <w:lang w:val="x-none" w:eastAsia="pl-PL"/>
        </w:rPr>
        <w:t>badań</w:t>
      </w:r>
      <w:r w:rsidR="006E73D3" w:rsidRPr="007F400A">
        <w:rPr>
          <w:rFonts w:ascii="Times New Roman" w:eastAsia="Calibri" w:hAnsi="Times New Roman" w:cs="Times New Roman"/>
          <w:sz w:val="24"/>
          <w:szCs w:val="24"/>
          <w:lang w:eastAsia="pl-PL"/>
        </w:rPr>
        <w:t>,</w:t>
      </w:r>
    </w:p>
    <w:p w14:paraId="0661CBFA" w14:textId="06C19CDC" w:rsidR="00895F16" w:rsidRPr="007F400A" w:rsidRDefault="00895F16" w:rsidP="00D34F97">
      <w:pPr>
        <w:numPr>
          <w:ilvl w:val="0"/>
          <w:numId w:val="145"/>
        </w:numPr>
        <w:spacing w:after="0" w:line="300" w:lineRule="atLeast"/>
        <w:ind w:left="641" w:hanging="357"/>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udział w opracowaniu, testowaniu oraz wsparcie we wdrażaniu i użytkowaniu</w:t>
      </w:r>
      <w:r w:rsidR="00A22034" w:rsidRPr="007F400A">
        <w:rPr>
          <w:rFonts w:ascii="Times New Roman" w:eastAsia="Calibri" w:hAnsi="Times New Roman" w:cs="Times New Roman"/>
          <w:sz w:val="24"/>
          <w:szCs w:val="24"/>
          <w:lang w:eastAsia="pl-PL"/>
        </w:rPr>
        <w:t xml:space="preserve"> </w:t>
      </w:r>
      <w:r w:rsidRPr="007F400A">
        <w:rPr>
          <w:rFonts w:ascii="Times New Roman" w:eastAsia="Calibri" w:hAnsi="Times New Roman" w:cs="Times New Roman"/>
          <w:sz w:val="24"/>
          <w:szCs w:val="24"/>
          <w:lang w:val="x-none" w:eastAsia="pl-PL"/>
        </w:rPr>
        <w:t>systemów zarządzania laboratorium</w:t>
      </w:r>
      <w:r w:rsidR="006E73D3" w:rsidRPr="007F400A">
        <w:rPr>
          <w:rFonts w:ascii="Times New Roman" w:eastAsia="Calibri" w:hAnsi="Times New Roman" w:cs="Times New Roman"/>
          <w:sz w:val="24"/>
          <w:szCs w:val="24"/>
          <w:lang w:eastAsia="pl-PL"/>
        </w:rPr>
        <w:t>,</w:t>
      </w:r>
    </w:p>
    <w:p w14:paraId="70DAE4CC" w14:textId="295D16A5" w:rsidR="00895F16" w:rsidRPr="007F400A" w:rsidRDefault="00895F16" w:rsidP="00D34F97">
      <w:pPr>
        <w:numPr>
          <w:ilvl w:val="0"/>
          <w:numId w:val="145"/>
        </w:numPr>
        <w:spacing w:after="0" w:line="300" w:lineRule="atLeast"/>
        <w:ind w:left="641" w:hanging="357"/>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udział w międzynarodowych programach zapewnienia jakości</w:t>
      </w:r>
      <w:r w:rsidR="005E799B" w:rsidRPr="007F400A">
        <w:rPr>
          <w:rFonts w:ascii="Times New Roman" w:eastAsia="Calibri" w:hAnsi="Times New Roman" w:cs="Times New Roman"/>
          <w:sz w:val="24"/>
          <w:szCs w:val="24"/>
          <w:lang w:val="x-none" w:eastAsia="pl-PL"/>
        </w:rPr>
        <w:t>,</w:t>
      </w:r>
      <w:r w:rsidRPr="007F400A">
        <w:rPr>
          <w:rFonts w:ascii="Times New Roman" w:eastAsia="Calibri" w:hAnsi="Times New Roman" w:cs="Times New Roman"/>
          <w:sz w:val="24"/>
          <w:szCs w:val="24"/>
          <w:lang w:val="x-none" w:eastAsia="pl-PL"/>
        </w:rPr>
        <w:t xml:space="preserve"> </w:t>
      </w:r>
    </w:p>
    <w:p w14:paraId="1888620B" w14:textId="249669C4" w:rsidR="00895F16" w:rsidRPr="007F400A" w:rsidRDefault="00895F16" w:rsidP="00D34F97">
      <w:pPr>
        <w:numPr>
          <w:ilvl w:val="0"/>
          <w:numId w:val="145"/>
        </w:numPr>
        <w:spacing w:after="0" w:line="300" w:lineRule="atLeast"/>
        <w:ind w:left="641" w:hanging="357"/>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 xml:space="preserve">organizowanie porównań </w:t>
      </w:r>
      <w:proofErr w:type="spellStart"/>
      <w:r w:rsidRPr="007F400A">
        <w:rPr>
          <w:rFonts w:ascii="Times New Roman" w:eastAsia="Calibri" w:hAnsi="Times New Roman" w:cs="Times New Roman"/>
          <w:sz w:val="24"/>
          <w:szCs w:val="24"/>
          <w:lang w:val="x-none" w:eastAsia="pl-PL"/>
        </w:rPr>
        <w:t>międzylaboratoryjnych</w:t>
      </w:r>
      <w:proofErr w:type="spellEnd"/>
      <w:r w:rsidRPr="007F400A">
        <w:rPr>
          <w:rFonts w:ascii="Times New Roman" w:eastAsia="Calibri" w:hAnsi="Times New Roman" w:cs="Times New Roman"/>
          <w:sz w:val="24"/>
          <w:szCs w:val="24"/>
          <w:lang w:val="x-none" w:eastAsia="pl-PL"/>
        </w:rPr>
        <w:t xml:space="preserve"> i badań biegłości</w:t>
      </w:r>
      <w:r w:rsidR="005E799B" w:rsidRPr="007F400A">
        <w:rPr>
          <w:rFonts w:ascii="Times New Roman" w:eastAsia="Calibri" w:hAnsi="Times New Roman" w:cs="Times New Roman"/>
          <w:sz w:val="24"/>
          <w:szCs w:val="24"/>
          <w:lang w:val="x-none" w:eastAsia="pl-PL"/>
        </w:rPr>
        <w:t>,</w:t>
      </w:r>
      <w:r w:rsidRPr="007F400A">
        <w:rPr>
          <w:rFonts w:ascii="Times New Roman" w:eastAsia="Calibri" w:hAnsi="Times New Roman" w:cs="Times New Roman"/>
          <w:sz w:val="24"/>
          <w:szCs w:val="24"/>
          <w:lang w:val="x-none" w:eastAsia="pl-PL"/>
        </w:rPr>
        <w:t xml:space="preserve"> </w:t>
      </w:r>
    </w:p>
    <w:p w14:paraId="43260442" w14:textId="59CC256D" w:rsidR="00895F16" w:rsidRPr="007F400A" w:rsidRDefault="00895F16" w:rsidP="00D34F97">
      <w:pPr>
        <w:numPr>
          <w:ilvl w:val="0"/>
          <w:numId w:val="145"/>
        </w:numPr>
        <w:spacing w:after="0" w:line="300" w:lineRule="atLeast"/>
        <w:ind w:left="641" w:hanging="357"/>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ujednolicanie metod i procedur badawczych</w:t>
      </w:r>
      <w:r w:rsidR="005E799B" w:rsidRPr="007F400A">
        <w:rPr>
          <w:rFonts w:ascii="Times New Roman" w:eastAsia="Calibri" w:hAnsi="Times New Roman" w:cs="Times New Roman"/>
          <w:sz w:val="24"/>
          <w:szCs w:val="24"/>
          <w:lang w:val="x-none" w:eastAsia="pl-PL"/>
        </w:rPr>
        <w:t>,</w:t>
      </w:r>
    </w:p>
    <w:p w14:paraId="247E1DA9" w14:textId="1FC9DDA7" w:rsidR="00895F16" w:rsidRPr="007F400A" w:rsidRDefault="00895F16" w:rsidP="00D34F97">
      <w:pPr>
        <w:numPr>
          <w:ilvl w:val="0"/>
          <w:numId w:val="145"/>
        </w:numPr>
        <w:spacing w:after="0" w:line="300" w:lineRule="atLeast"/>
        <w:ind w:left="641" w:hanging="357"/>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wdrażanie nowych metod badawczych</w:t>
      </w:r>
      <w:r w:rsidR="005E799B" w:rsidRPr="007F400A">
        <w:rPr>
          <w:rFonts w:ascii="Times New Roman" w:eastAsia="Calibri" w:hAnsi="Times New Roman" w:cs="Times New Roman"/>
          <w:sz w:val="24"/>
          <w:szCs w:val="24"/>
          <w:lang w:val="x-none" w:eastAsia="pl-PL"/>
        </w:rPr>
        <w:t>,</w:t>
      </w:r>
    </w:p>
    <w:p w14:paraId="1544B364" w14:textId="72D96ACD" w:rsidR="00895F16" w:rsidRPr="007F400A" w:rsidRDefault="00895F16" w:rsidP="00D34F97">
      <w:pPr>
        <w:numPr>
          <w:ilvl w:val="0"/>
          <w:numId w:val="145"/>
        </w:numPr>
        <w:spacing w:after="0" w:line="300" w:lineRule="atLeast"/>
        <w:ind w:left="641" w:hanging="357"/>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szkolenie pracowników Centralnego Laboratorium Badawczego w zakresie nowych metod badawczych</w:t>
      </w:r>
      <w:r w:rsidR="005E799B" w:rsidRPr="007F400A">
        <w:rPr>
          <w:rFonts w:ascii="Times New Roman" w:eastAsia="Calibri" w:hAnsi="Times New Roman" w:cs="Times New Roman"/>
          <w:sz w:val="24"/>
          <w:szCs w:val="24"/>
          <w:lang w:val="x-none" w:eastAsia="pl-PL"/>
        </w:rPr>
        <w:t>,</w:t>
      </w:r>
      <w:r w:rsidRPr="007F400A">
        <w:rPr>
          <w:rFonts w:ascii="Times New Roman" w:eastAsia="Calibri" w:hAnsi="Times New Roman" w:cs="Times New Roman"/>
          <w:sz w:val="24"/>
          <w:szCs w:val="24"/>
          <w:lang w:val="x-none" w:eastAsia="pl-PL"/>
        </w:rPr>
        <w:t xml:space="preserve"> </w:t>
      </w:r>
    </w:p>
    <w:p w14:paraId="07A2B263" w14:textId="3904C1FF" w:rsidR="00895F16" w:rsidRPr="007F400A" w:rsidRDefault="00895F16" w:rsidP="00D34F97">
      <w:pPr>
        <w:numPr>
          <w:ilvl w:val="0"/>
          <w:numId w:val="145"/>
        </w:numPr>
        <w:spacing w:after="0" w:line="300" w:lineRule="atLeast"/>
        <w:ind w:left="641" w:hanging="357"/>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współpraca z laboratoriami referencyjnymi państw członkowskich Unii Europejskiej</w:t>
      </w:r>
      <w:r w:rsidR="005E799B" w:rsidRPr="007F400A">
        <w:rPr>
          <w:rFonts w:ascii="Times New Roman" w:eastAsia="Calibri" w:hAnsi="Times New Roman" w:cs="Times New Roman"/>
          <w:sz w:val="24"/>
          <w:szCs w:val="24"/>
          <w:lang w:val="x-none" w:eastAsia="pl-PL"/>
        </w:rPr>
        <w:t>,</w:t>
      </w:r>
    </w:p>
    <w:p w14:paraId="07A23624" w14:textId="77777777" w:rsidR="00895F16" w:rsidRPr="007F400A" w:rsidRDefault="00895F16" w:rsidP="00D34F97">
      <w:pPr>
        <w:numPr>
          <w:ilvl w:val="0"/>
          <w:numId w:val="145"/>
        </w:numPr>
        <w:spacing w:after="120" w:line="300" w:lineRule="atLeast"/>
        <w:ind w:left="641" w:hanging="357"/>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gromadzenie i rozpowszechnianie informacji dotyczących metod badawczych stosowanych przez laboratoria referencyjne państw członkowskich Unii Europejskiej.</w:t>
      </w:r>
    </w:p>
    <w:p w14:paraId="75AEAB5B" w14:textId="77777777" w:rsidR="001F60A2" w:rsidRPr="001F60A2" w:rsidRDefault="001F60A2" w:rsidP="005A6886">
      <w:pPr>
        <w:spacing w:after="60" w:line="300" w:lineRule="atLeast"/>
        <w:ind w:firstLine="567"/>
        <w:jc w:val="both"/>
        <w:rPr>
          <w:rFonts w:ascii="Times New Roman" w:hAnsi="Times New Roman" w:cs="Times New Roman"/>
          <w:color w:val="000000"/>
          <w:sz w:val="24"/>
          <w:szCs w:val="24"/>
        </w:rPr>
      </w:pPr>
      <w:r w:rsidRPr="001F60A2">
        <w:rPr>
          <w:rFonts w:ascii="Times New Roman" w:hAnsi="Times New Roman" w:cs="Times New Roman"/>
          <w:color w:val="000000"/>
          <w:sz w:val="24"/>
          <w:szCs w:val="24"/>
        </w:rPr>
        <w:t>W roku 2022 KLRW nadzorowało jakość badań wykonywanych przez Centralne Laboratorium Badawcze w ramach Państwowego Monitoringu Środowiska. Przeprowadzone działania polegały na:</w:t>
      </w:r>
    </w:p>
    <w:p w14:paraId="48F0AE2E" w14:textId="76AC0120" w:rsidR="001F60A2" w:rsidRPr="001F60A2" w:rsidRDefault="005A6886" w:rsidP="00D74E0B">
      <w:pPr>
        <w:numPr>
          <w:ilvl w:val="0"/>
          <w:numId w:val="211"/>
        </w:numPr>
        <w:tabs>
          <w:tab w:val="left" w:pos="284"/>
        </w:tabs>
        <w:spacing w:after="0" w:line="300" w:lineRule="atLeast"/>
        <w:ind w:left="709" w:hanging="425"/>
        <w:jc w:val="both"/>
        <w:rPr>
          <w:rFonts w:ascii="Times New Roman" w:hAnsi="Times New Roman" w:cs="Times New Roman"/>
          <w:color w:val="000000"/>
          <w:sz w:val="24"/>
          <w:szCs w:val="24"/>
        </w:rPr>
      </w:pPr>
      <w:r>
        <w:rPr>
          <w:rFonts w:ascii="Times New Roman" w:hAnsi="Times New Roman" w:cs="Times New Roman"/>
          <w:color w:val="000000"/>
          <w:sz w:val="24"/>
          <w:szCs w:val="24"/>
        </w:rPr>
        <w:t>z</w:t>
      </w:r>
      <w:r w:rsidR="001F60A2" w:rsidRPr="001F60A2">
        <w:rPr>
          <w:rFonts w:ascii="Times New Roman" w:hAnsi="Times New Roman" w:cs="Times New Roman"/>
          <w:color w:val="000000"/>
          <w:sz w:val="24"/>
          <w:szCs w:val="24"/>
        </w:rPr>
        <w:t xml:space="preserve">organizowaniu </w:t>
      </w:r>
      <w:r>
        <w:rPr>
          <w:rFonts w:ascii="Times New Roman" w:hAnsi="Times New Roman" w:cs="Times New Roman"/>
          <w:color w:val="000000"/>
          <w:sz w:val="24"/>
          <w:szCs w:val="24"/>
        </w:rPr>
        <w:t>sześc</w:t>
      </w:r>
      <w:r w:rsidR="001F60A2" w:rsidRPr="001F60A2">
        <w:rPr>
          <w:rFonts w:ascii="Times New Roman" w:hAnsi="Times New Roman" w:cs="Times New Roman"/>
          <w:color w:val="000000"/>
          <w:sz w:val="24"/>
          <w:szCs w:val="24"/>
        </w:rPr>
        <w:t xml:space="preserve">iu badań biegłości (PT) oraz </w:t>
      </w:r>
      <w:r>
        <w:rPr>
          <w:rFonts w:ascii="Times New Roman" w:hAnsi="Times New Roman" w:cs="Times New Roman"/>
          <w:color w:val="000000"/>
          <w:sz w:val="24"/>
          <w:szCs w:val="24"/>
        </w:rPr>
        <w:t>czter</w:t>
      </w:r>
      <w:r w:rsidR="001F60A2" w:rsidRPr="001F60A2">
        <w:rPr>
          <w:rFonts w:ascii="Times New Roman" w:hAnsi="Times New Roman" w:cs="Times New Roman"/>
          <w:color w:val="000000"/>
          <w:sz w:val="24"/>
          <w:szCs w:val="24"/>
        </w:rPr>
        <w:t xml:space="preserve">ech porównań </w:t>
      </w:r>
      <w:proofErr w:type="spellStart"/>
      <w:r w:rsidR="001F60A2" w:rsidRPr="001F60A2">
        <w:rPr>
          <w:rFonts w:ascii="Times New Roman" w:hAnsi="Times New Roman" w:cs="Times New Roman"/>
          <w:color w:val="000000"/>
          <w:sz w:val="24"/>
          <w:szCs w:val="24"/>
        </w:rPr>
        <w:t>międzylaboratoryjnych</w:t>
      </w:r>
      <w:proofErr w:type="spellEnd"/>
      <w:r w:rsidR="001F60A2" w:rsidRPr="001F60A2">
        <w:rPr>
          <w:rFonts w:ascii="Times New Roman" w:hAnsi="Times New Roman" w:cs="Times New Roman"/>
          <w:color w:val="000000"/>
          <w:sz w:val="24"/>
          <w:szCs w:val="24"/>
        </w:rPr>
        <w:t xml:space="preserve"> (ILC) dla wód powierzchniowych oraz 1 porównanie </w:t>
      </w:r>
      <w:proofErr w:type="spellStart"/>
      <w:r w:rsidR="001F60A2" w:rsidRPr="001F60A2">
        <w:rPr>
          <w:rFonts w:ascii="Times New Roman" w:hAnsi="Times New Roman" w:cs="Times New Roman"/>
          <w:color w:val="000000"/>
          <w:sz w:val="24"/>
          <w:szCs w:val="24"/>
        </w:rPr>
        <w:t>międzylaboratoryjne</w:t>
      </w:r>
      <w:proofErr w:type="spellEnd"/>
      <w:r w:rsidR="001F60A2" w:rsidRPr="001F60A2">
        <w:rPr>
          <w:rFonts w:ascii="Times New Roman" w:hAnsi="Times New Roman" w:cs="Times New Roman"/>
          <w:color w:val="000000"/>
          <w:sz w:val="24"/>
          <w:szCs w:val="24"/>
        </w:rPr>
        <w:t xml:space="preserve"> dla wód podziemnych</w:t>
      </w:r>
      <w:r>
        <w:rPr>
          <w:rFonts w:ascii="Times New Roman" w:hAnsi="Times New Roman" w:cs="Times New Roman"/>
          <w:color w:val="000000"/>
          <w:sz w:val="24"/>
          <w:szCs w:val="24"/>
        </w:rPr>
        <w:t>,</w:t>
      </w:r>
    </w:p>
    <w:p w14:paraId="5456F8BF" w14:textId="58B1FFEF" w:rsidR="001F60A2" w:rsidRPr="001F60A2" w:rsidRDefault="005A6886" w:rsidP="00A449AB">
      <w:pPr>
        <w:numPr>
          <w:ilvl w:val="0"/>
          <w:numId w:val="211"/>
        </w:numPr>
        <w:spacing w:after="0" w:line="300" w:lineRule="atLeast"/>
        <w:ind w:left="709" w:hanging="425"/>
        <w:jc w:val="both"/>
        <w:rPr>
          <w:rFonts w:ascii="Times New Roman" w:hAnsi="Times New Roman" w:cs="Times New Roman"/>
          <w:color w:val="000000"/>
          <w:sz w:val="24"/>
          <w:szCs w:val="24"/>
        </w:rPr>
      </w:pPr>
      <w:r>
        <w:rPr>
          <w:rFonts w:ascii="Times New Roman" w:hAnsi="Times New Roman" w:cs="Times New Roman"/>
          <w:color w:val="000000"/>
          <w:sz w:val="24"/>
          <w:szCs w:val="24"/>
        </w:rPr>
        <w:t>z</w:t>
      </w:r>
      <w:r w:rsidR="001F60A2" w:rsidRPr="001F60A2">
        <w:rPr>
          <w:rFonts w:ascii="Times New Roman" w:hAnsi="Times New Roman" w:cs="Times New Roman"/>
          <w:color w:val="000000"/>
          <w:sz w:val="24"/>
          <w:szCs w:val="24"/>
        </w:rPr>
        <w:t xml:space="preserve">organizowaniu porównania </w:t>
      </w:r>
      <w:proofErr w:type="spellStart"/>
      <w:r w:rsidR="001F60A2" w:rsidRPr="001F60A2">
        <w:rPr>
          <w:rFonts w:ascii="Times New Roman" w:hAnsi="Times New Roman" w:cs="Times New Roman"/>
          <w:color w:val="000000"/>
          <w:sz w:val="24"/>
          <w:szCs w:val="24"/>
        </w:rPr>
        <w:t>międzylaboratoryjnego</w:t>
      </w:r>
      <w:proofErr w:type="spellEnd"/>
      <w:r w:rsidR="001F60A2" w:rsidRPr="001F60A2">
        <w:rPr>
          <w:rFonts w:ascii="Times New Roman" w:hAnsi="Times New Roman" w:cs="Times New Roman"/>
          <w:color w:val="000000"/>
          <w:sz w:val="24"/>
          <w:szCs w:val="24"/>
        </w:rPr>
        <w:t xml:space="preserve"> polsko-niemieckiego na Zalewie Szczecińskim w zakresie pomiarów terenowych jak i badań laboratoryjnych</w:t>
      </w:r>
      <w:r>
        <w:rPr>
          <w:rFonts w:ascii="Times New Roman" w:hAnsi="Times New Roman" w:cs="Times New Roman"/>
          <w:color w:val="000000"/>
          <w:sz w:val="24"/>
          <w:szCs w:val="24"/>
        </w:rPr>
        <w:t>,</w:t>
      </w:r>
    </w:p>
    <w:p w14:paraId="27918FA7" w14:textId="6ADC8883" w:rsidR="001F60A2" w:rsidRPr="001F60A2" w:rsidRDefault="005A6886" w:rsidP="00D34F97">
      <w:pPr>
        <w:numPr>
          <w:ilvl w:val="0"/>
          <w:numId w:val="211"/>
        </w:numPr>
        <w:spacing w:after="120" w:line="300" w:lineRule="atLeast"/>
        <w:ind w:left="709" w:hanging="425"/>
        <w:jc w:val="both"/>
        <w:rPr>
          <w:rFonts w:ascii="Times New Roman" w:hAnsi="Times New Roman" w:cs="Times New Roman"/>
          <w:color w:val="000000"/>
          <w:sz w:val="24"/>
          <w:szCs w:val="24"/>
        </w:rPr>
      </w:pPr>
      <w:r>
        <w:rPr>
          <w:rFonts w:ascii="Times New Roman" w:hAnsi="Times New Roman" w:cs="Times New Roman"/>
          <w:color w:val="000000"/>
          <w:sz w:val="24"/>
          <w:szCs w:val="24"/>
        </w:rPr>
        <w:t>p</w:t>
      </w:r>
      <w:r w:rsidR="001F60A2" w:rsidRPr="001F60A2">
        <w:rPr>
          <w:rFonts w:ascii="Times New Roman" w:hAnsi="Times New Roman" w:cs="Times New Roman"/>
          <w:color w:val="000000"/>
          <w:sz w:val="24"/>
          <w:szCs w:val="24"/>
        </w:rPr>
        <w:t>rzeprowadzeniu 3-dniowego szkolenia w formie warsztatów on-line dla 46 pracowników Centralnego Laboratorium Badawczego GIOŚ, pn. „Weryfikacja, walidacja i ocena niepewności oznaczeń fizykochemicznych”</w:t>
      </w:r>
      <w:r>
        <w:rPr>
          <w:rFonts w:ascii="Times New Roman" w:hAnsi="Times New Roman" w:cs="Times New Roman"/>
          <w:color w:val="000000"/>
          <w:sz w:val="24"/>
          <w:szCs w:val="24"/>
        </w:rPr>
        <w:t>,</w:t>
      </w:r>
    </w:p>
    <w:p w14:paraId="1640D276" w14:textId="530BE8B9" w:rsidR="001F60A2" w:rsidRPr="001F60A2" w:rsidRDefault="001F60A2" w:rsidP="00D34F97">
      <w:pPr>
        <w:numPr>
          <w:ilvl w:val="0"/>
          <w:numId w:val="211"/>
        </w:numPr>
        <w:spacing w:after="120" w:line="300" w:lineRule="atLeast"/>
        <w:ind w:left="709" w:hanging="425"/>
        <w:jc w:val="both"/>
        <w:rPr>
          <w:rFonts w:ascii="Times New Roman" w:hAnsi="Times New Roman" w:cs="Times New Roman"/>
          <w:color w:val="000000"/>
          <w:sz w:val="24"/>
          <w:szCs w:val="24"/>
        </w:rPr>
      </w:pPr>
      <w:r w:rsidRPr="001F60A2">
        <w:rPr>
          <w:rFonts w:ascii="Times New Roman" w:hAnsi="Times New Roman" w:cs="Times New Roman"/>
          <w:color w:val="000000"/>
          <w:sz w:val="24"/>
          <w:szCs w:val="24"/>
        </w:rPr>
        <w:t xml:space="preserve">Zorganizowaniu szkolenia </w:t>
      </w:r>
      <w:r w:rsidRPr="001F60A2">
        <w:rPr>
          <w:rFonts w:ascii="Times New Roman" w:hAnsi="Times New Roman" w:cs="Times New Roman"/>
          <w:sz w:val="24"/>
          <w:szCs w:val="24"/>
        </w:rPr>
        <w:t xml:space="preserve">on-line z rozpoznawania i analizy </w:t>
      </w:r>
      <w:proofErr w:type="spellStart"/>
      <w:r w:rsidRPr="001F60A2">
        <w:rPr>
          <w:rFonts w:ascii="Times New Roman" w:hAnsi="Times New Roman" w:cs="Times New Roman"/>
          <w:i/>
          <w:iCs/>
          <w:sz w:val="24"/>
          <w:szCs w:val="24"/>
        </w:rPr>
        <w:t>Prymnesium</w:t>
      </w:r>
      <w:proofErr w:type="spellEnd"/>
      <w:r w:rsidRPr="001F60A2">
        <w:rPr>
          <w:rFonts w:ascii="Times New Roman" w:hAnsi="Times New Roman" w:cs="Times New Roman"/>
          <w:i/>
          <w:iCs/>
          <w:sz w:val="24"/>
          <w:szCs w:val="24"/>
        </w:rPr>
        <w:t xml:space="preserve"> </w:t>
      </w:r>
      <w:proofErr w:type="spellStart"/>
      <w:r w:rsidRPr="001F60A2">
        <w:rPr>
          <w:rFonts w:ascii="Times New Roman" w:hAnsi="Times New Roman" w:cs="Times New Roman"/>
          <w:i/>
          <w:iCs/>
          <w:sz w:val="24"/>
          <w:szCs w:val="24"/>
        </w:rPr>
        <w:t>parvum</w:t>
      </w:r>
      <w:proofErr w:type="spellEnd"/>
      <w:r w:rsidRPr="001F60A2">
        <w:rPr>
          <w:rFonts w:ascii="Times New Roman" w:hAnsi="Times New Roman" w:cs="Times New Roman"/>
          <w:color w:val="000000"/>
          <w:sz w:val="24"/>
          <w:szCs w:val="24"/>
        </w:rPr>
        <w:t xml:space="preserve"> </w:t>
      </w:r>
      <w:r w:rsidR="005A6886">
        <w:rPr>
          <w:rFonts w:ascii="Times New Roman" w:hAnsi="Times New Roman" w:cs="Times New Roman"/>
          <w:color w:val="000000"/>
          <w:sz w:val="24"/>
          <w:szCs w:val="24"/>
        </w:rPr>
        <w:t xml:space="preserve">(„złota alga”) </w:t>
      </w:r>
      <w:r w:rsidRPr="001F60A2">
        <w:rPr>
          <w:rFonts w:ascii="Times New Roman" w:hAnsi="Times New Roman" w:cs="Times New Roman"/>
          <w:color w:val="000000"/>
          <w:sz w:val="24"/>
          <w:szCs w:val="24"/>
        </w:rPr>
        <w:t>dla 16 pracowników Centralnego Laboratorium Badawczego GIOŚ.</w:t>
      </w:r>
    </w:p>
    <w:p w14:paraId="4FD6B5B5" w14:textId="6BD13FEE" w:rsidR="001F60A2" w:rsidRPr="001F60A2" w:rsidRDefault="001F60A2" w:rsidP="005A6886">
      <w:pPr>
        <w:spacing w:after="240" w:line="300" w:lineRule="atLeast"/>
        <w:ind w:firstLine="567"/>
        <w:jc w:val="both"/>
        <w:rPr>
          <w:rFonts w:ascii="Times New Roman" w:hAnsi="Times New Roman" w:cs="Times New Roman"/>
          <w:color w:val="000000"/>
          <w:sz w:val="24"/>
          <w:szCs w:val="24"/>
        </w:rPr>
      </w:pPr>
      <w:r w:rsidRPr="001F60A2">
        <w:rPr>
          <w:rFonts w:ascii="Times New Roman" w:hAnsi="Times New Roman" w:cs="Times New Roman"/>
          <w:color w:val="000000"/>
          <w:sz w:val="24"/>
          <w:szCs w:val="24"/>
        </w:rPr>
        <w:t xml:space="preserve">KLRW podczas organizacji PT/ILC, przy badaniu jednorodności i stabilności obiektów badań, korzystało z wyposażenia CLB Oddziału w Olsztynie Pracowni w Giżycku. Wszystkie analizy wykonywał pracownik KLRW. Przeprowadzone badania biegłości/porównania </w:t>
      </w:r>
      <w:proofErr w:type="spellStart"/>
      <w:r w:rsidRPr="001F60A2">
        <w:rPr>
          <w:rFonts w:ascii="Times New Roman" w:hAnsi="Times New Roman" w:cs="Times New Roman"/>
          <w:color w:val="000000"/>
          <w:sz w:val="24"/>
          <w:szCs w:val="24"/>
        </w:rPr>
        <w:t>międzylaboratoryjne</w:t>
      </w:r>
      <w:proofErr w:type="spellEnd"/>
      <w:r w:rsidRPr="001F60A2">
        <w:rPr>
          <w:rFonts w:ascii="Times New Roman" w:hAnsi="Times New Roman" w:cs="Times New Roman"/>
          <w:color w:val="000000"/>
          <w:sz w:val="24"/>
          <w:szCs w:val="24"/>
        </w:rPr>
        <w:t xml:space="preserve"> obejmowały: pomiary terenowe, parametry laboratoryjne tj. metale, fizykochemiczne i chromatograficzne oraz parametry biologiczne. Szczegółowy zakres PT/ILC przedstawia poniższa tabela. Ze względu na brak wyposażenia do oznaczania niektórych wskaźników, dla 3-ech badań biegłości KLRW podzleciło wykonanie obiektów badań wraz </w:t>
      </w:r>
      <w:r w:rsidR="001F2C79">
        <w:rPr>
          <w:rFonts w:ascii="Times New Roman" w:hAnsi="Times New Roman" w:cs="Times New Roman"/>
          <w:color w:val="000000"/>
          <w:sz w:val="24"/>
          <w:szCs w:val="24"/>
        </w:rPr>
        <w:br/>
      </w:r>
      <w:r w:rsidRPr="001F60A2">
        <w:rPr>
          <w:rFonts w:ascii="Times New Roman" w:hAnsi="Times New Roman" w:cs="Times New Roman"/>
          <w:color w:val="000000"/>
          <w:sz w:val="24"/>
          <w:szCs w:val="24"/>
        </w:rPr>
        <w:t>z badaniem jednorodności i stabilności firmie zewnętrznej.</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276"/>
        <w:gridCol w:w="1276"/>
        <w:gridCol w:w="4110"/>
        <w:gridCol w:w="1985"/>
      </w:tblGrid>
      <w:tr w:rsidR="001F60A2" w:rsidRPr="001F60A2" w14:paraId="2D43D08E" w14:textId="77777777" w:rsidTr="00F32A02">
        <w:trPr>
          <w:trHeight w:val="1169"/>
        </w:trPr>
        <w:tc>
          <w:tcPr>
            <w:tcW w:w="709" w:type="dxa"/>
            <w:shd w:val="clear" w:color="auto" w:fill="auto"/>
            <w:vAlign w:val="center"/>
          </w:tcPr>
          <w:p w14:paraId="7B05CD79" w14:textId="77777777" w:rsidR="001F60A2" w:rsidRPr="001F60A2" w:rsidRDefault="001F60A2" w:rsidP="00F32A02">
            <w:pPr>
              <w:jc w:val="center"/>
              <w:rPr>
                <w:rFonts w:ascii="Times New Roman" w:hAnsi="Times New Roman" w:cs="Times New Roman"/>
                <w:b/>
                <w:color w:val="000000"/>
                <w:sz w:val="20"/>
                <w:szCs w:val="20"/>
              </w:rPr>
            </w:pPr>
            <w:r w:rsidRPr="001F60A2">
              <w:rPr>
                <w:rFonts w:ascii="Times New Roman" w:hAnsi="Times New Roman" w:cs="Times New Roman"/>
                <w:b/>
                <w:color w:val="000000"/>
                <w:sz w:val="20"/>
                <w:szCs w:val="20"/>
              </w:rPr>
              <w:t>Lp.</w:t>
            </w:r>
          </w:p>
        </w:tc>
        <w:tc>
          <w:tcPr>
            <w:tcW w:w="1276" w:type="dxa"/>
            <w:shd w:val="clear" w:color="auto" w:fill="auto"/>
            <w:vAlign w:val="center"/>
          </w:tcPr>
          <w:p w14:paraId="28A88A4D" w14:textId="77777777" w:rsidR="001F60A2" w:rsidRPr="001F60A2" w:rsidRDefault="001F60A2" w:rsidP="00F32A02">
            <w:pPr>
              <w:jc w:val="center"/>
              <w:rPr>
                <w:rFonts w:ascii="Times New Roman" w:hAnsi="Times New Roman" w:cs="Times New Roman"/>
                <w:b/>
                <w:color w:val="000000"/>
                <w:sz w:val="20"/>
                <w:szCs w:val="20"/>
              </w:rPr>
            </w:pPr>
            <w:r w:rsidRPr="001F60A2">
              <w:rPr>
                <w:rFonts w:ascii="Times New Roman" w:hAnsi="Times New Roman" w:cs="Times New Roman"/>
                <w:b/>
                <w:color w:val="000000"/>
                <w:sz w:val="20"/>
                <w:szCs w:val="20"/>
              </w:rPr>
              <w:t>Organizator</w:t>
            </w:r>
          </w:p>
        </w:tc>
        <w:tc>
          <w:tcPr>
            <w:tcW w:w="1276" w:type="dxa"/>
            <w:shd w:val="clear" w:color="auto" w:fill="auto"/>
            <w:vAlign w:val="center"/>
          </w:tcPr>
          <w:p w14:paraId="64CE82D0" w14:textId="77777777" w:rsidR="001F60A2" w:rsidRPr="001F60A2" w:rsidRDefault="001F60A2" w:rsidP="00F32A02">
            <w:pPr>
              <w:jc w:val="center"/>
              <w:rPr>
                <w:rFonts w:ascii="Times New Roman" w:hAnsi="Times New Roman" w:cs="Times New Roman"/>
                <w:b/>
                <w:color w:val="000000"/>
                <w:sz w:val="20"/>
                <w:szCs w:val="20"/>
              </w:rPr>
            </w:pPr>
            <w:r w:rsidRPr="001F60A2">
              <w:rPr>
                <w:rFonts w:ascii="Times New Roman" w:hAnsi="Times New Roman" w:cs="Times New Roman"/>
                <w:b/>
                <w:color w:val="000000"/>
                <w:sz w:val="20"/>
                <w:szCs w:val="20"/>
              </w:rPr>
              <w:t>Jednostka prowadząca</w:t>
            </w:r>
          </w:p>
        </w:tc>
        <w:tc>
          <w:tcPr>
            <w:tcW w:w="4110" w:type="dxa"/>
            <w:shd w:val="clear" w:color="auto" w:fill="auto"/>
            <w:vAlign w:val="center"/>
          </w:tcPr>
          <w:p w14:paraId="617D5368" w14:textId="77777777" w:rsidR="001F60A2" w:rsidRPr="001F60A2" w:rsidRDefault="001F60A2" w:rsidP="00F32A02">
            <w:pPr>
              <w:jc w:val="center"/>
              <w:rPr>
                <w:rFonts w:ascii="Times New Roman" w:hAnsi="Times New Roman" w:cs="Times New Roman"/>
                <w:b/>
                <w:color w:val="000000"/>
                <w:sz w:val="20"/>
                <w:szCs w:val="20"/>
              </w:rPr>
            </w:pPr>
            <w:r w:rsidRPr="001F60A2">
              <w:rPr>
                <w:rFonts w:ascii="Times New Roman" w:hAnsi="Times New Roman" w:cs="Times New Roman"/>
                <w:b/>
                <w:color w:val="000000"/>
                <w:sz w:val="20"/>
                <w:szCs w:val="20"/>
              </w:rPr>
              <w:t>Zakres</w:t>
            </w:r>
          </w:p>
        </w:tc>
        <w:tc>
          <w:tcPr>
            <w:tcW w:w="1985" w:type="dxa"/>
            <w:shd w:val="clear" w:color="auto" w:fill="auto"/>
            <w:vAlign w:val="center"/>
          </w:tcPr>
          <w:p w14:paraId="1FF5A190" w14:textId="77A48486" w:rsidR="001F60A2" w:rsidRPr="001F60A2" w:rsidRDefault="001F60A2" w:rsidP="00F32A02">
            <w:pPr>
              <w:jc w:val="center"/>
              <w:rPr>
                <w:rFonts w:ascii="Times New Roman" w:hAnsi="Times New Roman" w:cs="Times New Roman"/>
                <w:b/>
                <w:color w:val="000000"/>
                <w:sz w:val="20"/>
                <w:szCs w:val="20"/>
              </w:rPr>
            </w:pPr>
            <w:r w:rsidRPr="001F60A2">
              <w:rPr>
                <w:rFonts w:ascii="Times New Roman" w:hAnsi="Times New Roman" w:cs="Times New Roman"/>
                <w:b/>
                <w:color w:val="000000"/>
                <w:sz w:val="20"/>
                <w:szCs w:val="20"/>
              </w:rPr>
              <w:t xml:space="preserve"> </w:t>
            </w:r>
            <w:r w:rsidR="000423C5">
              <w:rPr>
                <w:rFonts w:ascii="Times New Roman" w:hAnsi="Times New Roman" w:cs="Times New Roman"/>
                <w:b/>
                <w:color w:val="000000"/>
                <w:sz w:val="20"/>
                <w:szCs w:val="20"/>
              </w:rPr>
              <w:t xml:space="preserve">Liczba </w:t>
            </w:r>
            <w:r w:rsidRPr="001F60A2">
              <w:rPr>
                <w:rFonts w:ascii="Times New Roman" w:hAnsi="Times New Roman" w:cs="Times New Roman"/>
                <w:b/>
                <w:color w:val="000000"/>
                <w:sz w:val="20"/>
                <w:szCs w:val="20"/>
              </w:rPr>
              <w:t>uczestników</w:t>
            </w:r>
          </w:p>
        </w:tc>
      </w:tr>
      <w:tr w:rsidR="001F60A2" w:rsidRPr="001F60A2" w14:paraId="58013839" w14:textId="77777777" w:rsidTr="00F32A02">
        <w:tc>
          <w:tcPr>
            <w:tcW w:w="709" w:type="dxa"/>
            <w:shd w:val="clear" w:color="auto" w:fill="auto"/>
            <w:vAlign w:val="center"/>
          </w:tcPr>
          <w:p w14:paraId="1DA496C1" w14:textId="77777777" w:rsidR="001F60A2" w:rsidRPr="001F60A2" w:rsidRDefault="001F60A2" w:rsidP="00F32A02">
            <w:pPr>
              <w:jc w:val="center"/>
              <w:rPr>
                <w:rFonts w:ascii="Times New Roman" w:hAnsi="Times New Roman" w:cs="Times New Roman"/>
                <w:color w:val="000000"/>
                <w:sz w:val="20"/>
                <w:szCs w:val="20"/>
              </w:rPr>
            </w:pPr>
            <w:r w:rsidRPr="001F60A2">
              <w:rPr>
                <w:rFonts w:ascii="Times New Roman" w:hAnsi="Times New Roman" w:cs="Times New Roman"/>
                <w:color w:val="000000"/>
                <w:sz w:val="20"/>
                <w:szCs w:val="20"/>
              </w:rPr>
              <w:t>1.</w:t>
            </w:r>
          </w:p>
        </w:tc>
        <w:tc>
          <w:tcPr>
            <w:tcW w:w="1276" w:type="dxa"/>
            <w:shd w:val="clear" w:color="auto" w:fill="auto"/>
            <w:vAlign w:val="center"/>
          </w:tcPr>
          <w:p w14:paraId="4E38224F" w14:textId="77777777" w:rsidR="001F60A2" w:rsidRPr="001F60A2" w:rsidRDefault="001F60A2" w:rsidP="00F32A02">
            <w:pPr>
              <w:rPr>
                <w:rFonts w:ascii="Times New Roman" w:hAnsi="Times New Roman" w:cs="Times New Roman"/>
                <w:color w:val="000000"/>
                <w:sz w:val="20"/>
                <w:szCs w:val="20"/>
              </w:rPr>
            </w:pPr>
            <w:r w:rsidRPr="001F60A2">
              <w:rPr>
                <w:rFonts w:ascii="Times New Roman" w:hAnsi="Times New Roman" w:cs="Times New Roman"/>
                <w:color w:val="000000"/>
                <w:sz w:val="20"/>
                <w:szCs w:val="20"/>
              </w:rPr>
              <w:t>KLRW</w:t>
            </w:r>
          </w:p>
        </w:tc>
        <w:tc>
          <w:tcPr>
            <w:tcW w:w="1276" w:type="dxa"/>
            <w:shd w:val="clear" w:color="auto" w:fill="auto"/>
            <w:vAlign w:val="center"/>
          </w:tcPr>
          <w:p w14:paraId="5A891361" w14:textId="77777777" w:rsidR="001F60A2" w:rsidRPr="001F60A2" w:rsidRDefault="001F60A2" w:rsidP="00F32A02">
            <w:pPr>
              <w:rPr>
                <w:rFonts w:ascii="Times New Roman" w:hAnsi="Times New Roman" w:cs="Times New Roman"/>
                <w:color w:val="000000"/>
                <w:sz w:val="20"/>
                <w:szCs w:val="20"/>
              </w:rPr>
            </w:pPr>
            <w:r w:rsidRPr="001F60A2">
              <w:rPr>
                <w:rFonts w:ascii="Times New Roman" w:hAnsi="Times New Roman" w:cs="Times New Roman"/>
                <w:color w:val="000000"/>
                <w:sz w:val="20"/>
                <w:szCs w:val="20"/>
              </w:rPr>
              <w:t>KLRW</w:t>
            </w:r>
          </w:p>
        </w:tc>
        <w:tc>
          <w:tcPr>
            <w:tcW w:w="4110" w:type="dxa"/>
            <w:shd w:val="clear" w:color="auto" w:fill="auto"/>
            <w:vAlign w:val="center"/>
          </w:tcPr>
          <w:p w14:paraId="57B9528B" w14:textId="77777777" w:rsidR="001F60A2" w:rsidRPr="001F60A2" w:rsidRDefault="001F60A2" w:rsidP="00F32A02">
            <w:pPr>
              <w:rPr>
                <w:rFonts w:ascii="Times New Roman" w:hAnsi="Times New Roman" w:cs="Times New Roman"/>
                <w:sz w:val="20"/>
                <w:szCs w:val="20"/>
              </w:rPr>
            </w:pPr>
            <w:r w:rsidRPr="001F60A2">
              <w:rPr>
                <w:rFonts w:ascii="Times New Roman" w:hAnsi="Times New Roman" w:cs="Times New Roman"/>
                <w:sz w:val="20"/>
                <w:szCs w:val="20"/>
              </w:rPr>
              <w:t xml:space="preserve">ILC/2/2022- parametry laboratoryjne chromatograficzne: 4-nonylofenol (rozgałęziony), 4-tert-oktylofenol, </w:t>
            </w:r>
            <w:proofErr w:type="spellStart"/>
            <w:r w:rsidRPr="001F60A2">
              <w:rPr>
                <w:rFonts w:ascii="Times New Roman" w:hAnsi="Times New Roman" w:cs="Times New Roman"/>
                <w:sz w:val="20"/>
                <w:szCs w:val="20"/>
              </w:rPr>
              <w:t>chloroalkany</w:t>
            </w:r>
            <w:proofErr w:type="spellEnd"/>
            <w:r w:rsidRPr="001F60A2">
              <w:rPr>
                <w:rFonts w:ascii="Times New Roman" w:hAnsi="Times New Roman" w:cs="Times New Roman"/>
                <w:sz w:val="20"/>
                <w:szCs w:val="20"/>
              </w:rPr>
              <w:t xml:space="preserve"> C10-C13</w:t>
            </w:r>
          </w:p>
        </w:tc>
        <w:tc>
          <w:tcPr>
            <w:tcW w:w="1985" w:type="dxa"/>
            <w:shd w:val="clear" w:color="auto" w:fill="auto"/>
            <w:vAlign w:val="center"/>
          </w:tcPr>
          <w:p w14:paraId="7BA08452" w14:textId="77777777" w:rsidR="001F60A2" w:rsidRPr="001F60A2" w:rsidRDefault="001F60A2" w:rsidP="00F32A02">
            <w:pPr>
              <w:jc w:val="center"/>
              <w:rPr>
                <w:rFonts w:ascii="Times New Roman" w:hAnsi="Times New Roman" w:cs="Times New Roman"/>
                <w:color w:val="000000"/>
                <w:sz w:val="20"/>
                <w:szCs w:val="20"/>
              </w:rPr>
            </w:pPr>
            <w:r w:rsidRPr="001F60A2">
              <w:rPr>
                <w:rFonts w:ascii="Times New Roman" w:hAnsi="Times New Roman" w:cs="Times New Roman"/>
                <w:color w:val="000000"/>
                <w:sz w:val="20"/>
                <w:szCs w:val="20"/>
              </w:rPr>
              <w:t>20</w:t>
            </w:r>
          </w:p>
        </w:tc>
      </w:tr>
      <w:tr w:rsidR="001F60A2" w:rsidRPr="001F60A2" w14:paraId="6ED52FF8" w14:textId="77777777" w:rsidTr="00F32A02">
        <w:tc>
          <w:tcPr>
            <w:tcW w:w="709" w:type="dxa"/>
            <w:shd w:val="clear" w:color="auto" w:fill="auto"/>
            <w:vAlign w:val="center"/>
          </w:tcPr>
          <w:p w14:paraId="41D6B50E" w14:textId="77777777" w:rsidR="001F60A2" w:rsidRPr="001F60A2" w:rsidRDefault="001F60A2" w:rsidP="00F32A02">
            <w:pPr>
              <w:jc w:val="center"/>
              <w:rPr>
                <w:rFonts w:ascii="Times New Roman" w:hAnsi="Times New Roman" w:cs="Times New Roman"/>
                <w:color w:val="000000"/>
                <w:sz w:val="20"/>
                <w:szCs w:val="20"/>
              </w:rPr>
            </w:pPr>
            <w:r w:rsidRPr="001F60A2">
              <w:rPr>
                <w:rFonts w:ascii="Times New Roman" w:hAnsi="Times New Roman" w:cs="Times New Roman"/>
                <w:color w:val="000000"/>
                <w:sz w:val="20"/>
                <w:szCs w:val="20"/>
              </w:rPr>
              <w:lastRenderedPageBreak/>
              <w:t>2.</w:t>
            </w:r>
          </w:p>
        </w:tc>
        <w:tc>
          <w:tcPr>
            <w:tcW w:w="1276" w:type="dxa"/>
            <w:shd w:val="clear" w:color="auto" w:fill="auto"/>
            <w:vAlign w:val="center"/>
          </w:tcPr>
          <w:p w14:paraId="64ECA576" w14:textId="77777777" w:rsidR="001F60A2" w:rsidRPr="001F60A2" w:rsidRDefault="001F60A2" w:rsidP="00F32A02">
            <w:pPr>
              <w:rPr>
                <w:rFonts w:ascii="Times New Roman" w:hAnsi="Times New Roman" w:cs="Times New Roman"/>
                <w:color w:val="000000"/>
                <w:sz w:val="20"/>
                <w:szCs w:val="20"/>
              </w:rPr>
            </w:pPr>
            <w:r w:rsidRPr="001F60A2">
              <w:rPr>
                <w:rFonts w:ascii="Times New Roman" w:hAnsi="Times New Roman" w:cs="Times New Roman"/>
                <w:color w:val="000000"/>
                <w:sz w:val="20"/>
                <w:szCs w:val="20"/>
              </w:rPr>
              <w:t>KLRW</w:t>
            </w:r>
          </w:p>
        </w:tc>
        <w:tc>
          <w:tcPr>
            <w:tcW w:w="1276" w:type="dxa"/>
            <w:shd w:val="clear" w:color="auto" w:fill="auto"/>
            <w:vAlign w:val="center"/>
          </w:tcPr>
          <w:p w14:paraId="659495BA" w14:textId="77777777" w:rsidR="001F60A2" w:rsidRPr="001F60A2" w:rsidRDefault="001F60A2" w:rsidP="00F32A02">
            <w:pPr>
              <w:rPr>
                <w:rFonts w:ascii="Times New Roman" w:hAnsi="Times New Roman" w:cs="Times New Roman"/>
                <w:color w:val="000000"/>
                <w:sz w:val="20"/>
                <w:szCs w:val="20"/>
              </w:rPr>
            </w:pPr>
            <w:r w:rsidRPr="001F60A2">
              <w:rPr>
                <w:rFonts w:ascii="Times New Roman" w:hAnsi="Times New Roman" w:cs="Times New Roman"/>
                <w:color w:val="000000"/>
                <w:sz w:val="20"/>
                <w:szCs w:val="20"/>
              </w:rPr>
              <w:t>KLRW</w:t>
            </w:r>
          </w:p>
        </w:tc>
        <w:tc>
          <w:tcPr>
            <w:tcW w:w="4110" w:type="dxa"/>
            <w:shd w:val="clear" w:color="auto" w:fill="auto"/>
            <w:vAlign w:val="center"/>
          </w:tcPr>
          <w:p w14:paraId="1040F610" w14:textId="77777777" w:rsidR="001F60A2" w:rsidRPr="001F60A2" w:rsidRDefault="001F60A2" w:rsidP="00F32A02">
            <w:pPr>
              <w:rPr>
                <w:rFonts w:ascii="Times New Roman" w:hAnsi="Times New Roman" w:cs="Times New Roman"/>
                <w:sz w:val="20"/>
                <w:szCs w:val="20"/>
              </w:rPr>
            </w:pPr>
            <w:r w:rsidRPr="001F60A2">
              <w:rPr>
                <w:rFonts w:ascii="Times New Roman" w:hAnsi="Times New Roman" w:cs="Times New Roman"/>
                <w:sz w:val="20"/>
                <w:szCs w:val="20"/>
              </w:rPr>
              <w:t xml:space="preserve">PT/1/2022: Pomiary terenowe: temperatura wody, odczyn </w:t>
            </w:r>
            <w:proofErr w:type="spellStart"/>
            <w:r w:rsidRPr="001F60A2">
              <w:rPr>
                <w:rFonts w:ascii="Times New Roman" w:hAnsi="Times New Roman" w:cs="Times New Roman"/>
                <w:sz w:val="20"/>
                <w:szCs w:val="20"/>
              </w:rPr>
              <w:t>pH</w:t>
            </w:r>
            <w:proofErr w:type="spellEnd"/>
            <w:r w:rsidRPr="001F60A2">
              <w:rPr>
                <w:rFonts w:ascii="Times New Roman" w:hAnsi="Times New Roman" w:cs="Times New Roman"/>
                <w:sz w:val="20"/>
                <w:szCs w:val="20"/>
              </w:rPr>
              <w:t xml:space="preserve">, przewodność elektryczna właściwa w 20˚C; parametry laboratoryjne fizykochemiczne: azot amonowy, azot </w:t>
            </w:r>
            <w:proofErr w:type="spellStart"/>
            <w:r w:rsidRPr="001F60A2">
              <w:rPr>
                <w:rFonts w:ascii="Times New Roman" w:hAnsi="Times New Roman" w:cs="Times New Roman"/>
                <w:sz w:val="20"/>
                <w:szCs w:val="20"/>
              </w:rPr>
              <w:t>Kjeldahla</w:t>
            </w:r>
            <w:proofErr w:type="spellEnd"/>
            <w:r w:rsidRPr="001F60A2">
              <w:rPr>
                <w:rFonts w:ascii="Times New Roman" w:hAnsi="Times New Roman" w:cs="Times New Roman"/>
                <w:sz w:val="20"/>
                <w:szCs w:val="20"/>
              </w:rPr>
              <w:t>, azot azotanowy, azot azotynowy, azot ogólny</w:t>
            </w:r>
          </w:p>
        </w:tc>
        <w:tc>
          <w:tcPr>
            <w:tcW w:w="1985" w:type="dxa"/>
            <w:shd w:val="clear" w:color="auto" w:fill="auto"/>
            <w:vAlign w:val="center"/>
          </w:tcPr>
          <w:p w14:paraId="272C7019" w14:textId="77777777" w:rsidR="001F60A2" w:rsidRPr="001F60A2" w:rsidRDefault="001F60A2" w:rsidP="00F32A02">
            <w:pPr>
              <w:jc w:val="center"/>
              <w:rPr>
                <w:rFonts w:ascii="Times New Roman" w:hAnsi="Times New Roman" w:cs="Times New Roman"/>
                <w:color w:val="000000"/>
                <w:sz w:val="20"/>
                <w:szCs w:val="20"/>
              </w:rPr>
            </w:pPr>
            <w:r w:rsidRPr="001F60A2">
              <w:rPr>
                <w:rFonts w:ascii="Times New Roman" w:hAnsi="Times New Roman" w:cs="Times New Roman"/>
                <w:color w:val="000000"/>
                <w:sz w:val="20"/>
                <w:szCs w:val="20"/>
              </w:rPr>
              <w:t>36</w:t>
            </w:r>
          </w:p>
        </w:tc>
      </w:tr>
      <w:tr w:rsidR="001F60A2" w:rsidRPr="001F60A2" w14:paraId="2925D6C5" w14:textId="77777777" w:rsidTr="00F32A02">
        <w:tc>
          <w:tcPr>
            <w:tcW w:w="709" w:type="dxa"/>
            <w:shd w:val="clear" w:color="auto" w:fill="auto"/>
            <w:vAlign w:val="center"/>
          </w:tcPr>
          <w:p w14:paraId="039E227A" w14:textId="77777777" w:rsidR="001F60A2" w:rsidRPr="001F60A2" w:rsidRDefault="001F60A2" w:rsidP="00F32A02">
            <w:pPr>
              <w:jc w:val="center"/>
              <w:rPr>
                <w:rFonts w:ascii="Times New Roman" w:hAnsi="Times New Roman" w:cs="Times New Roman"/>
                <w:color w:val="000000"/>
                <w:sz w:val="20"/>
                <w:szCs w:val="20"/>
              </w:rPr>
            </w:pPr>
            <w:r w:rsidRPr="001F60A2">
              <w:rPr>
                <w:rFonts w:ascii="Times New Roman" w:hAnsi="Times New Roman" w:cs="Times New Roman"/>
                <w:color w:val="000000"/>
                <w:sz w:val="20"/>
                <w:szCs w:val="20"/>
              </w:rPr>
              <w:t>3.</w:t>
            </w:r>
          </w:p>
        </w:tc>
        <w:tc>
          <w:tcPr>
            <w:tcW w:w="1276" w:type="dxa"/>
            <w:shd w:val="clear" w:color="auto" w:fill="auto"/>
            <w:vAlign w:val="center"/>
          </w:tcPr>
          <w:p w14:paraId="649D4CA7" w14:textId="77777777" w:rsidR="001F60A2" w:rsidRPr="001F60A2" w:rsidRDefault="001F60A2" w:rsidP="00F32A02">
            <w:pPr>
              <w:rPr>
                <w:rFonts w:ascii="Times New Roman" w:hAnsi="Times New Roman" w:cs="Times New Roman"/>
                <w:color w:val="000000"/>
                <w:sz w:val="20"/>
                <w:szCs w:val="20"/>
              </w:rPr>
            </w:pPr>
            <w:r w:rsidRPr="001F60A2">
              <w:rPr>
                <w:rFonts w:ascii="Times New Roman" w:hAnsi="Times New Roman" w:cs="Times New Roman"/>
                <w:color w:val="000000"/>
                <w:sz w:val="20"/>
                <w:szCs w:val="20"/>
              </w:rPr>
              <w:t>KLRW</w:t>
            </w:r>
          </w:p>
        </w:tc>
        <w:tc>
          <w:tcPr>
            <w:tcW w:w="1276" w:type="dxa"/>
            <w:shd w:val="clear" w:color="auto" w:fill="auto"/>
            <w:vAlign w:val="center"/>
          </w:tcPr>
          <w:p w14:paraId="01929490" w14:textId="77777777" w:rsidR="001F60A2" w:rsidRPr="001F60A2" w:rsidRDefault="001F60A2" w:rsidP="00F32A02">
            <w:pPr>
              <w:rPr>
                <w:rFonts w:ascii="Times New Roman" w:hAnsi="Times New Roman" w:cs="Times New Roman"/>
                <w:color w:val="000000"/>
                <w:sz w:val="20"/>
                <w:szCs w:val="20"/>
              </w:rPr>
            </w:pPr>
            <w:r w:rsidRPr="001F60A2">
              <w:rPr>
                <w:rFonts w:ascii="Times New Roman" w:hAnsi="Times New Roman" w:cs="Times New Roman"/>
                <w:color w:val="000000"/>
                <w:sz w:val="20"/>
                <w:szCs w:val="20"/>
              </w:rPr>
              <w:t>KLRW</w:t>
            </w:r>
          </w:p>
        </w:tc>
        <w:tc>
          <w:tcPr>
            <w:tcW w:w="4110" w:type="dxa"/>
            <w:shd w:val="clear" w:color="auto" w:fill="auto"/>
            <w:vAlign w:val="center"/>
          </w:tcPr>
          <w:p w14:paraId="6F5A0F62" w14:textId="4EDD547A" w:rsidR="001F60A2" w:rsidRPr="001F60A2" w:rsidRDefault="001F60A2" w:rsidP="00F32A02">
            <w:pPr>
              <w:rPr>
                <w:rFonts w:ascii="Times New Roman" w:hAnsi="Times New Roman" w:cs="Times New Roman"/>
                <w:sz w:val="20"/>
                <w:szCs w:val="20"/>
              </w:rPr>
            </w:pPr>
            <w:r w:rsidRPr="001F60A2">
              <w:rPr>
                <w:rFonts w:ascii="Times New Roman" w:hAnsi="Times New Roman" w:cs="Times New Roman"/>
                <w:sz w:val="20"/>
                <w:szCs w:val="20"/>
              </w:rPr>
              <w:t>ILC/3/2022 -</w:t>
            </w:r>
            <w:r w:rsidR="005A6886">
              <w:rPr>
                <w:rFonts w:ascii="Times New Roman" w:hAnsi="Times New Roman" w:cs="Times New Roman"/>
                <w:sz w:val="20"/>
                <w:szCs w:val="20"/>
              </w:rPr>
              <w:t xml:space="preserve"> </w:t>
            </w:r>
            <w:r w:rsidRPr="001F60A2">
              <w:rPr>
                <w:rFonts w:ascii="Times New Roman" w:hAnsi="Times New Roman" w:cs="Times New Roman"/>
                <w:sz w:val="20"/>
                <w:szCs w:val="20"/>
              </w:rPr>
              <w:t xml:space="preserve">wody podziemne: Pomiary terenowe: temperatura, odczyn </w:t>
            </w:r>
            <w:proofErr w:type="spellStart"/>
            <w:r w:rsidRPr="001F60A2">
              <w:rPr>
                <w:rFonts w:ascii="Times New Roman" w:hAnsi="Times New Roman" w:cs="Times New Roman"/>
                <w:sz w:val="20"/>
                <w:szCs w:val="20"/>
              </w:rPr>
              <w:t>pH</w:t>
            </w:r>
            <w:proofErr w:type="spellEnd"/>
            <w:r w:rsidRPr="001F60A2">
              <w:rPr>
                <w:rFonts w:ascii="Times New Roman" w:hAnsi="Times New Roman" w:cs="Times New Roman"/>
                <w:sz w:val="20"/>
                <w:szCs w:val="20"/>
              </w:rPr>
              <w:t>, przewodność elektryczna właściwa w 20˚C; badania przeprowadzone przez jednostkę prowadzącą w próbkach pobranych przez uczestników: Ogólny Węgiel Organiczny (OWO)</w:t>
            </w:r>
          </w:p>
        </w:tc>
        <w:tc>
          <w:tcPr>
            <w:tcW w:w="1985" w:type="dxa"/>
            <w:shd w:val="clear" w:color="auto" w:fill="auto"/>
            <w:vAlign w:val="center"/>
          </w:tcPr>
          <w:p w14:paraId="6D0D0FD9" w14:textId="77777777" w:rsidR="001F60A2" w:rsidRPr="001F60A2" w:rsidRDefault="001F60A2" w:rsidP="00F32A02">
            <w:pPr>
              <w:jc w:val="center"/>
              <w:rPr>
                <w:rFonts w:ascii="Times New Roman" w:hAnsi="Times New Roman" w:cs="Times New Roman"/>
                <w:color w:val="000000"/>
                <w:sz w:val="20"/>
                <w:szCs w:val="20"/>
              </w:rPr>
            </w:pPr>
            <w:r w:rsidRPr="001F60A2">
              <w:rPr>
                <w:rFonts w:ascii="Times New Roman" w:hAnsi="Times New Roman" w:cs="Times New Roman"/>
                <w:color w:val="000000"/>
                <w:sz w:val="20"/>
                <w:szCs w:val="20"/>
              </w:rPr>
              <w:t>10</w:t>
            </w:r>
          </w:p>
        </w:tc>
      </w:tr>
      <w:tr w:rsidR="001F60A2" w:rsidRPr="001F60A2" w14:paraId="63258F73" w14:textId="77777777" w:rsidTr="00F32A02">
        <w:tc>
          <w:tcPr>
            <w:tcW w:w="709" w:type="dxa"/>
            <w:shd w:val="clear" w:color="auto" w:fill="auto"/>
            <w:vAlign w:val="center"/>
          </w:tcPr>
          <w:p w14:paraId="2BACFC70" w14:textId="77777777" w:rsidR="001F60A2" w:rsidRPr="001F60A2" w:rsidRDefault="001F60A2" w:rsidP="00F32A02">
            <w:pPr>
              <w:jc w:val="center"/>
              <w:rPr>
                <w:rFonts w:ascii="Times New Roman" w:hAnsi="Times New Roman" w:cs="Times New Roman"/>
                <w:color w:val="000000"/>
                <w:sz w:val="20"/>
                <w:szCs w:val="20"/>
              </w:rPr>
            </w:pPr>
            <w:r w:rsidRPr="001F60A2">
              <w:rPr>
                <w:rFonts w:ascii="Times New Roman" w:hAnsi="Times New Roman" w:cs="Times New Roman"/>
                <w:color w:val="000000"/>
                <w:sz w:val="20"/>
                <w:szCs w:val="20"/>
              </w:rPr>
              <w:t>4.</w:t>
            </w:r>
          </w:p>
        </w:tc>
        <w:tc>
          <w:tcPr>
            <w:tcW w:w="1276" w:type="dxa"/>
            <w:shd w:val="clear" w:color="auto" w:fill="auto"/>
            <w:vAlign w:val="center"/>
          </w:tcPr>
          <w:p w14:paraId="265D295C" w14:textId="77777777" w:rsidR="001F60A2" w:rsidRPr="001F60A2" w:rsidRDefault="001F60A2" w:rsidP="00F32A02">
            <w:pPr>
              <w:rPr>
                <w:rFonts w:ascii="Times New Roman" w:hAnsi="Times New Roman" w:cs="Times New Roman"/>
                <w:color w:val="000000"/>
                <w:sz w:val="20"/>
                <w:szCs w:val="20"/>
              </w:rPr>
            </w:pPr>
            <w:r w:rsidRPr="001F60A2">
              <w:rPr>
                <w:rFonts w:ascii="Times New Roman" w:hAnsi="Times New Roman" w:cs="Times New Roman"/>
                <w:color w:val="000000"/>
                <w:sz w:val="20"/>
                <w:szCs w:val="20"/>
              </w:rPr>
              <w:t>KLRW*</w:t>
            </w:r>
          </w:p>
        </w:tc>
        <w:tc>
          <w:tcPr>
            <w:tcW w:w="1276" w:type="dxa"/>
            <w:shd w:val="clear" w:color="auto" w:fill="auto"/>
            <w:vAlign w:val="center"/>
          </w:tcPr>
          <w:p w14:paraId="5F086BA3" w14:textId="77777777" w:rsidR="001F60A2" w:rsidRPr="001F60A2" w:rsidRDefault="001F60A2" w:rsidP="00F32A02">
            <w:pPr>
              <w:rPr>
                <w:rFonts w:ascii="Times New Roman" w:hAnsi="Times New Roman" w:cs="Times New Roman"/>
                <w:color w:val="000000"/>
                <w:sz w:val="20"/>
                <w:szCs w:val="20"/>
              </w:rPr>
            </w:pPr>
            <w:r w:rsidRPr="001F60A2">
              <w:rPr>
                <w:rFonts w:ascii="Times New Roman" w:hAnsi="Times New Roman" w:cs="Times New Roman"/>
                <w:color w:val="000000"/>
                <w:sz w:val="20"/>
                <w:szCs w:val="20"/>
              </w:rPr>
              <w:t>KLRW</w:t>
            </w:r>
          </w:p>
        </w:tc>
        <w:tc>
          <w:tcPr>
            <w:tcW w:w="4110" w:type="dxa"/>
            <w:shd w:val="clear" w:color="auto" w:fill="auto"/>
            <w:vAlign w:val="center"/>
          </w:tcPr>
          <w:p w14:paraId="6116356A" w14:textId="77777777" w:rsidR="001F60A2" w:rsidRPr="001F60A2" w:rsidRDefault="001F60A2" w:rsidP="00F32A02">
            <w:pPr>
              <w:rPr>
                <w:rFonts w:ascii="Times New Roman" w:hAnsi="Times New Roman" w:cs="Times New Roman"/>
                <w:sz w:val="20"/>
                <w:szCs w:val="20"/>
              </w:rPr>
            </w:pPr>
            <w:r w:rsidRPr="001F60A2">
              <w:rPr>
                <w:rFonts w:ascii="Times New Roman" w:hAnsi="Times New Roman" w:cs="Times New Roman"/>
                <w:sz w:val="20"/>
                <w:szCs w:val="20"/>
              </w:rPr>
              <w:t>PT/2/2022- parametry laboratoryjne fizykochemiczne: twardość ogólna, wapń, magnez, zasadowość ogólna, siarczany, chlorki</w:t>
            </w:r>
          </w:p>
        </w:tc>
        <w:tc>
          <w:tcPr>
            <w:tcW w:w="1985" w:type="dxa"/>
            <w:shd w:val="clear" w:color="auto" w:fill="auto"/>
            <w:vAlign w:val="center"/>
          </w:tcPr>
          <w:p w14:paraId="2C0BFE3F" w14:textId="77777777" w:rsidR="001F60A2" w:rsidRPr="001F60A2" w:rsidRDefault="001F60A2" w:rsidP="00F32A02">
            <w:pPr>
              <w:jc w:val="center"/>
              <w:rPr>
                <w:rFonts w:ascii="Times New Roman" w:hAnsi="Times New Roman" w:cs="Times New Roman"/>
                <w:color w:val="000000"/>
                <w:sz w:val="20"/>
                <w:szCs w:val="20"/>
              </w:rPr>
            </w:pPr>
            <w:r w:rsidRPr="001F60A2">
              <w:rPr>
                <w:rFonts w:ascii="Times New Roman" w:hAnsi="Times New Roman" w:cs="Times New Roman"/>
                <w:color w:val="000000"/>
                <w:sz w:val="20"/>
                <w:szCs w:val="20"/>
              </w:rPr>
              <w:t>34</w:t>
            </w:r>
          </w:p>
        </w:tc>
      </w:tr>
      <w:tr w:rsidR="001F60A2" w:rsidRPr="001F60A2" w14:paraId="1C5687C9" w14:textId="77777777" w:rsidTr="00F32A02">
        <w:tc>
          <w:tcPr>
            <w:tcW w:w="709" w:type="dxa"/>
            <w:shd w:val="clear" w:color="auto" w:fill="auto"/>
            <w:vAlign w:val="center"/>
          </w:tcPr>
          <w:p w14:paraId="32FD2371" w14:textId="77777777" w:rsidR="001F60A2" w:rsidRPr="001F60A2" w:rsidRDefault="001F60A2" w:rsidP="00F32A02">
            <w:pPr>
              <w:jc w:val="center"/>
              <w:rPr>
                <w:rFonts w:ascii="Times New Roman" w:hAnsi="Times New Roman" w:cs="Times New Roman"/>
                <w:color w:val="000000"/>
                <w:sz w:val="20"/>
                <w:szCs w:val="20"/>
              </w:rPr>
            </w:pPr>
            <w:r w:rsidRPr="001F60A2">
              <w:rPr>
                <w:rFonts w:ascii="Times New Roman" w:hAnsi="Times New Roman" w:cs="Times New Roman"/>
                <w:color w:val="000000"/>
                <w:sz w:val="20"/>
                <w:szCs w:val="20"/>
              </w:rPr>
              <w:t>5.</w:t>
            </w:r>
          </w:p>
        </w:tc>
        <w:tc>
          <w:tcPr>
            <w:tcW w:w="1276" w:type="dxa"/>
            <w:shd w:val="clear" w:color="auto" w:fill="auto"/>
            <w:vAlign w:val="center"/>
          </w:tcPr>
          <w:p w14:paraId="344578C6" w14:textId="77777777" w:rsidR="001F60A2" w:rsidRPr="001F60A2" w:rsidRDefault="001F60A2" w:rsidP="00F32A02">
            <w:pPr>
              <w:rPr>
                <w:rFonts w:ascii="Times New Roman" w:hAnsi="Times New Roman" w:cs="Times New Roman"/>
                <w:color w:val="000000"/>
                <w:sz w:val="20"/>
                <w:szCs w:val="20"/>
              </w:rPr>
            </w:pPr>
            <w:r w:rsidRPr="001F60A2">
              <w:rPr>
                <w:rFonts w:ascii="Times New Roman" w:hAnsi="Times New Roman" w:cs="Times New Roman"/>
                <w:color w:val="000000"/>
                <w:sz w:val="20"/>
                <w:szCs w:val="20"/>
              </w:rPr>
              <w:t>KLRW*</w:t>
            </w:r>
          </w:p>
        </w:tc>
        <w:tc>
          <w:tcPr>
            <w:tcW w:w="1276" w:type="dxa"/>
            <w:shd w:val="clear" w:color="auto" w:fill="auto"/>
            <w:vAlign w:val="center"/>
          </w:tcPr>
          <w:p w14:paraId="68370BC9" w14:textId="77777777" w:rsidR="001F60A2" w:rsidRPr="001F60A2" w:rsidRDefault="001F60A2" w:rsidP="00F32A02">
            <w:pPr>
              <w:rPr>
                <w:rFonts w:ascii="Times New Roman" w:hAnsi="Times New Roman" w:cs="Times New Roman"/>
                <w:color w:val="000000"/>
                <w:sz w:val="20"/>
                <w:szCs w:val="20"/>
              </w:rPr>
            </w:pPr>
            <w:r w:rsidRPr="001F60A2">
              <w:rPr>
                <w:rFonts w:ascii="Times New Roman" w:hAnsi="Times New Roman" w:cs="Times New Roman"/>
                <w:color w:val="000000"/>
                <w:sz w:val="20"/>
                <w:szCs w:val="20"/>
              </w:rPr>
              <w:t>KLRW</w:t>
            </w:r>
          </w:p>
        </w:tc>
        <w:tc>
          <w:tcPr>
            <w:tcW w:w="4110" w:type="dxa"/>
            <w:shd w:val="clear" w:color="auto" w:fill="auto"/>
            <w:vAlign w:val="center"/>
          </w:tcPr>
          <w:p w14:paraId="22CBFF47" w14:textId="77777777" w:rsidR="001F60A2" w:rsidRPr="001F60A2" w:rsidRDefault="001F60A2" w:rsidP="00F32A02">
            <w:pPr>
              <w:rPr>
                <w:rFonts w:ascii="Times New Roman" w:hAnsi="Times New Roman" w:cs="Times New Roman"/>
                <w:sz w:val="20"/>
                <w:szCs w:val="20"/>
              </w:rPr>
            </w:pPr>
            <w:r w:rsidRPr="001F60A2">
              <w:rPr>
                <w:rFonts w:ascii="Times New Roman" w:hAnsi="Times New Roman" w:cs="Times New Roman"/>
                <w:sz w:val="20"/>
                <w:szCs w:val="20"/>
              </w:rPr>
              <w:t>ILC/4/2022: parametr biologiczny oznaczenie jakościowe organizmów fitoplanktonowych (</w:t>
            </w:r>
            <w:proofErr w:type="spellStart"/>
            <w:r w:rsidRPr="001F60A2">
              <w:rPr>
                <w:rFonts w:ascii="Times New Roman" w:hAnsi="Times New Roman" w:cs="Times New Roman"/>
                <w:sz w:val="20"/>
                <w:szCs w:val="20"/>
              </w:rPr>
              <w:t>Prymnesium</w:t>
            </w:r>
            <w:proofErr w:type="spellEnd"/>
            <w:r w:rsidRPr="001F60A2">
              <w:rPr>
                <w:rFonts w:ascii="Times New Roman" w:hAnsi="Times New Roman" w:cs="Times New Roman"/>
                <w:sz w:val="20"/>
                <w:szCs w:val="20"/>
              </w:rPr>
              <w:t xml:space="preserve"> </w:t>
            </w:r>
            <w:proofErr w:type="spellStart"/>
            <w:r w:rsidRPr="001F60A2">
              <w:rPr>
                <w:rFonts w:ascii="Times New Roman" w:hAnsi="Times New Roman" w:cs="Times New Roman"/>
                <w:sz w:val="20"/>
                <w:szCs w:val="20"/>
              </w:rPr>
              <w:t>cf</w:t>
            </w:r>
            <w:proofErr w:type="spellEnd"/>
            <w:r w:rsidRPr="001F60A2">
              <w:rPr>
                <w:rFonts w:ascii="Times New Roman" w:hAnsi="Times New Roman" w:cs="Times New Roman"/>
                <w:sz w:val="20"/>
                <w:szCs w:val="20"/>
              </w:rPr>
              <w:t xml:space="preserve">. </w:t>
            </w:r>
            <w:proofErr w:type="spellStart"/>
            <w:r w:rsidRPr="001F60A2">
              <w:rPr>
                <w:rFonts w:ascii="Times New Roman" w:hAnsi="Times New Roman" w:cs="Times New Roman"/>
                <w:sz w:val="20"/>
                <w:szCs w:val="20"/>
              </w:rPr>
              <w:t>Parvum</w:t>
            </w:r>
            <w:proofErr w:type="spellEnd"/>
            <w:r w:rsidRPr="001F60A2">
              <w:rPr>
                <w:rFonts w:ascii="Times New Roman" w:hAnsi="Times New Roman" w:cs="Times New Roman"/>
                <w:sz w:val="20"/>
                <w:szCs w:val="20"/>
              </w:rPr>
              <w:t>)</w:t>
            </w:r>
          </w:p>
        </w:tc>
        <w:tc>
          <w:tcPr>
            <w:tcW w:w="1985" w:type="dxa"/>
            <w:shd w:val="clear" w:color="auto" w:fill="auto"/>
            <w:vAlign w:val="center"/>
          </w:tcPr>
          <w:p w14:paraId="070D17CB" w14:textId="77777777" w:rsidR="001F60A2" w:rsidRPr="001F60A2" w:rsidRDefault="001F60A2" w:rsidP="00F32A02">
            <w:pPr>
              <w:jc w:val="center"/>
              <w:rPr>
                <w:rFonts w:ascii="Times New Roman" w:hAnsi="Times New Roman" w:cs="Times New Roman"/>
                <w:color w:val="000000"/>
                <w:sz w:val="20"/>
                <w:szCs w:val="20"/>
              </w:rPr>
            </w:pPr>
            <w:r w:rsidRPr="001F60A2">
              <w:rPr>
                <w:rFonts w:ascii="Times New Roman" w:hAnsi="Times New Roman" w:cs="Times New Roman"/>
                <w:color w:val="000000"/>
                <w:sz w:val="20"/>
                <w:szCs w:val="20"/>
              </w:rPr>
              <w:t>2</w:t>
            </w:r>
          </w:p>
        </w:tc>
      </w:tr>
      <w:tr w:rsidR="001F60A2" w:rsidRPr="001F60A2" w14:paraId="24DC23D8" w14:textId="77777777" w:rsidTr="00F32A02">
        <w:tc>
          <w:tcPr>
            <w:tcW w:w="709" w:type="dxa"/>
            <w:shd w:val="clear" w:color="auto" w:fill="auto"/>
            <w:vAlign w:val="center"/>
          </w:tcPr>
          <w:p w14:paraId="3EA3F6F9" w14:textId="77777777" w:rsidR="001F60A2" w:rsidRPr="001F60A2" w:rsidRDefault="001F60A2" w:rsidP="00F32A02">
            <w:pPr>
              <w:jc w:val="center"/>
              <w:rPr>
                <w:rFonts w:ascii="Times New Roman" w:hAnsi="Times New Roman" w:cs="Times New Roman"/>
                <w:color w:val="000000"/>
                <w:sz w:val="20"/>
                <w:szCs w:val="20"/>
              </w:rPr>
            </w:pPr>
            <w:r w:rsidRPr="001F60A2">
              <w:rPr>
                <w:rFonts w:ascii="Times New Roman" w:hAnsi="Times New Roman" w:cs="Times New Roman"/>
                <w:color w:val="000000"/>
                <w:sz w:val="20"/>
                <w:szCs w:val="20"/>
              </w:rPr>
              <w:t>6.</w:t>
            </w:r>
          </w:p>
        </w:tc>
        <w:tc>
          <w:tcPr>
            <w:tcW w:w="1276" w:type="dxa"/>
            <w:shd w:val="clear" w:color="auto" w:fill="auto"/>
            <w:vAlign w:val="center"/>
          </w:tcPr>
          <w:p w14:paraId="334676D7" w14:textId="77777777" w:rsidR="001F60A2" w:rsidRPr="001F60A2" w:rsidRDefault="001F60A2" w:rsidP="00F32A02">
            <w:pPr>
              <w:rPr>
                <w:rFonts w:ascii="Times New Roman" w:hAnsi="Times New Roman" w:cs="Times New Roman"/>
                <w:color w:val="000000"/>
                <w:sz w:val="20"/>
                <w:szCs w:val="20"/>
              </w:rPr>
            </w:pPr>
            <w:r w:rsidRPr="001F60A2">
              <w:rPr>
                <w:rFonts w:ascii="Times New Roman" w:hAnsi="Times New Roman" w:cs="Times New Roman"/>
                <w:color w:val="000000"/>
                <w:sz w:val="20"/>
                <w:szCs w:val="20"/>
              </w:rPr>
              <w:t>KLRW</w:t>
            </w:r>
          </w:p>
        </w:tc>
        <w:tc>
          <w:tcPr>
            <w:tcW w:w="1276" w:type="dxa"/>
            <w:shd w:val="clear" w:color="auto" w:fill="auto"/>
            <w:vAlign w:val="center"/>
          </w:tcPr>
          <w:p w14:paraId="3149DB6A" w14:textId="77777777" w:rsidR="001F60A2" w:rsidRPr="001F60A2" w:rsidRDefault="001F60A2" w:rsidP="00F32A02">
            <w:pPr>
              <w:rPr>
                <w:rFonts w:ascii="Times New Roman" w:hAnsi="Times New Roman" w:cs="Times New Roman"/>
                <w:color w:val="000000"/>
                <w:sz w:val="20"/>
                <w:szCs w:val="20"/>
              </w:rPr>
            </w:pPr>
            <w:r w:rsidRPr="001F60A2">
              <w:rPr>
                <w:rFonts w:ascii="Times New Roman" w:hAnsi="Times New Roman" w:cs="Times New Roman"/>
                <w:color w:val="000000"/>
                <w:sz w:val="20"/>
                <w:szCs w:val="20"/>
              </w:rPr>
              <w:t>KLRW**</w:t>
            </w:r>
          </w:p>
        </w:tc>
        <w:tc>
          <w:tcPr>
            <w:tcW w:w="4110" w:type="dxa"/>
            <w:shd w:val="clear" w:color="auto" w:fill="auto"/>
            <w:vAlign w:val="center"/>
          </w:tcPr>
          <w:p w14:paraId="79734C05" w14:textId="77777777" w:rsidR="001F60A2" w:rsidRPr="001F60A2" w:rsidRDefault="001F60A2" w:rsidP="00F32A02">
            <w:pPr>
              <w:rPr>
                <w:rFonts w:ascii="Times New Roman" w:hAnsi="Times New Roman" w:cs="Times New Roman"/>
                <w:sz w:val="20"/>
                <w:szCs w:val="20"/>
              </w:rPr>
            </w:pPr>
            <w:r w:rsidRPr="001F60A2">
              <w:rPr>
                <w:rFonts w:ascii="Times New Roman" w:hAnsi="Times New Roman" w:cs="Times New Roman"/>
                <w:sz w:val="20"/>
                <w:szCs w:val="20"/>
              </w:rPr>
              <w:t>PT/3/2022- parametr laboratoryjny chromatograficzny: indeks oleju mineralnego – węglowodory ropopochodne</w:t>
            </w:r>
          </w:p>
        </w:tc>
        <w:tc>
          <w:tcPr>
            <w:tcW w:w="1985" w:type="dxa"/>
            <w:shd w:val="clear" w:color="auto" w:fill="auto"/>
            <w:vAlign w:val="center"/>
          </w:tcPr>
          <w:p w14:paraId="573845D7" w14:textId="77777777" w:rsidR="001F60A2" w:rsidRPr="001F60A2" w:rsidRDefault="001F60A2" w:rsidP="00F32A02">
            <w:pPr>
              <w:jc w:val="center"/>
              <w:rPr>
                <w:rFonts w:ascii="Times New Roman" w:hAnsi="Times New Roman" w:cs="Times New Roman"/>
                <w:color w:val="000000"/>
                <w:sz w:val="20"/>
                <w:szCs w:val="20"/>
              </w:rPr>
            </w:pPr>
            <w:r w:rsidRPr="001F60A2">
              <w:rPr>
                <w:rFonts w:ascii="Times New Roman" w:hAnsi="Times New Roman" w:cs="Times New Roman"/>
                <w:color w:val="000000"/>
                <w:sz w:val="20"/>
                <w:szCs w:val="20"/>
              </w:rPr>
              <w:t>16</w:t>
            </w:r>
          </w:p>
        </w:tc>
      </w:tr>
      <w:tr w:rsidR="001F60A2" w:rsidRPr="001F60A2" w14:paraId="666A13BB" w14:textId="77777777" w:rsidTr="00F32A02">
        <w:tc>
          <w:tcPr>
            <w:tcW w:w="709" w:type="dxa"/>
            <w:shd w:val="clear" w:color="auto" w:fill="auto"/>
            <w:vAlign w:val="center"/>
          </w:tcPr>
          <w:p w14:paraId="2C57EE09" w14:textId="77777777" w:rsidR="001F60A2" w:rsidRPr="001F60A2" w:rsidRDefault="001F60A2" w:rsidP="00F32A02">
            <w:pPr>
              <w:jc w:val="center"/>
              <w:rPr>
                <w:rFonts w:ascii="Times New Roman" w:hAnsi="Times New Roman" w:cs="Times New Roman"/>
                <w:color w:val="000000"/>
                <w:sz w:val="20"/>
                <w:szCs w:val="20"/>
              </w:rPr>
            </w:pPr>
            <w:r w:rsidRPr="001F60A2">
              <w:rPr>
                <w:rFonts w:ascii="Times New Roman" w:hAnsi="Times New Roman" w:cs="Times New Roman"/>
                <w:color w:val="000000"/>
                <w:sz w:val="20"/>
                <w:szCs w:val="20"/>
              </w:rPr>
              <w:t>7.</w:t>
            </w:r>
          </w:p>
        </w:tc>
        <w:tc>
          <w:tcPr>
            <w:tcW w:w="1276" w:type="dxa"/>
            <w:shd w:val="clear" w:color="auto" w:fill="auto"/>
            <w:vAlign w:val="center"/>
          </w:tcPr>
          <w:p w14:paraId="44539D92" w14:textId="77777777" w:rsidR="001F60A2" w:rsidRPr="001F60A2" w:rsidRDefault="001F60A2" w:rsidP="00F32A02">
            <w:pPr>
              <w:rPr>
                <w:rFonts w:ascii="Times New Roman" w:hAnsi="Times New Roman" w:cs="Times New Roman"/>
                <w:color w:val="000000"/>
                <w:sz w:val="20"/>
                <w:szCs w:val="20"/>
              </w:rPr>
            </w:pPr>
            <w:r w:rsidRPr="001F60A2">
              <w:rPr>
                <w:rFonts w:ascii="Times New Roman" w:hAnsi="Times New Roman" w:cs="Times New Roman"/>
                <w:color w:val="000000"/>
                <w:sz w:val="20"/>
                <w:szCs w:val="20"/>
              </w:rPr>
              <w:t>KLRW</w:t>
            </w:r>
          </w:p>
        </w:tc>
        <w:tc>
          <w:tcPr>
            <w:tcW w:w="1276" w:type="dxa"/>
            <w:shd w:val="clear" w:color="auto" w:fill="auto"/>
            <w:vAlign w:val="center"/>
          </w:tcPr>
          <w:p w14:paraId="56D0BCC2" w14:textId="77777777" w:rsidR="001F60A2" w:rsidRPr="001F60A2" w:rsidRDefault="001F60A2" w:rsidP="00F32A02">
            <w:pPr>
              <w:rPr>
                <w:rFonts w:ascii="Times New Roman" w:hAnsi="Times New Roman" w:cs="Times New Roman"/>
                <w:color w:val="000000"/>
                <w:sz w:val="20"/>
                <w:szCs w:val="20"/>
              </w:rPr>
            </w:pPr>
            <w:r w:rsidRPr="001F60A2">
              <w:rPr>
                <w:rFonts w:ascii="Times New Roman" w:hAnsi="Times New Roman" w:cs="Times New Roman"/>
                <w:color w:val="000000"/>
                <w:sz w:val="20"/>
                <w:szCs w:val="20"/>
              </w:rPr>
              <w:t>KLRW**</w:t>
            </w:r>
          </w:p>
        </w:tc>
        <w:tc>
          <w:tcPr>
            <w:tcW w:w="4110" w:type="dxa"/>
            <w:shd w:val="clear" w:color="auto" w:fill="auto"/>
            <w:vAlign w:val="center"/>
          </w:tcPr>
          <w:p w14:paraId="20E64CB3" w14:textId="77777777" w:rsidR="001F60A2" w:rsidRPr="001F60A2" w:rsidRDefault="001F60A2" w:rsidP="00F32A02">
            <w:pPr>
              <w:rPr>
                <w:rFonts w:ascii="Times New Roman" w:hAnsi="Times New Roman" w:cs="Times New Roman"/>
                <w:sz w:val="20"/>
                <w:szCs w:val="20"/>
              </w:rPr>
            </w:pPr>
            <w:r w:rsidRPr="001F60A2">
              <w:rPr>
                <w:rFonts w:ascii="Times New Roman" w:hAnsi="Times New Roman" w:cs="Times New Roman"/>
                <w:sz w:val="20"/>
                <w:szCs w:val="20"/>
              </w:rPr>
              <w:t>PT/4/2022: parametr laboratoryjny fizykochemiczny: pięciodobowe biochemiczne zapotrzebowanie tlenu – BZT5, ogólny węgiel organiczny - OWO</w:t>
            </w:r>
          </w:p>
        </w:tc>
        <w:tc>
          <w:tcPr>
            <w:tcW w:w="1985" w:type="dxa"/>
            <w:shd w:val="clear" w:color="auto" w:fill="auto"/>
            <w:vAlign w:val="center"/>
          </w:tcPr>
          <w:p w14:paraId="3E1929EC" w14:textId="77777777" w:rsidR="001F60A2" w:rsidRPr="001F60A2" w:rsidRDefault="001F60A2" w:rsidP="00F32A02">
            <w:pPr>
              <w:jc w:val="center"/>
              <w:rPr>
                <w:rFonts w:ascii="Times New Roman" w:hAnsi="Times New Roman" w:cs="Times New Roman"/>
                <w:color w:val="000000"/>
                <w:sz w:val="20"/>
                <w:szCs w:val="20"/>
              </w:rPr>
            </w:pPr>
            <w:r w:rsidRPr="001F60A2">
              <w:rPr>
                <w:rFonts w:ascii="Times New Roman" w:hAnsi="Times New Roman" w:cs="Times New Roman"/>
                <w:color w:val="000000"/>
                <w:sz w:val="20"/>
                <w:szCs w:val="20"/>
              </w:rPr>
              <w:t>42</w:t>
            </w:r>
          </w:p>
        </w:tc>
      </w:tr>
      <w:tr w:rsidR="001F60A2" w:rsidRPr="001F60A2" w14:paraId="00C28429" w14:textId="77777777" w:rsidTr="00F32A02">
        <w:tc>
          <w:tcPr>
            <w:tcW w:w="709" w:type="dxa"/>
            <w:shd w:val="clear" w:color="auto" w:fill="auto"/>
            <w:vAlign w:val="center"/>
          </w:tcPr>
          <w:p w14:paraId="0E83D457" w14:textId="77777777" w:rsidR="001F60A2" w:rsidRPr="001F60A2" w:rsidRDefault="001F60A2" w:rsidP="00F32A02">
            <w:pPr>
              <w:jc w:val="center"/>
              <w:rPr>
                <w:rFonts w:ascii="Times New Roman" w:hAnsi="Times New Roman" w:cs="Times New Roman"/>
                <w:color w:val="000000"/>
                <w:sz w:val="20"/>
                <w:szCs w:val="20"/>
              </w:rPr>
            </w:pPr>
            <w:r w:rsidRPr="001F60A2">
              <w:rPr>
                <w:rFonts w:ascii="Times New Roman" w:hAnsi="Times New Roman" w:cs="Times New Roman"/>
                <w:color w:val="000000"/>
                <w:sz w:val="20"/>
                <w:szCs w:val="20"/>
              </w:rPr>
              <w:t>8.</w:t>
            </w:r>
          </w:p>
        </w:tc>
        <w:tc>
          <w:tcPr>
            <w:tcW w:w="1276" w:type="dxa"/>
            <w:shd w:val="clear" w:color="auto" w:fill="auto"/>
            <w:vAlign w:val="center"/>
          </w:tcPr>
          <w:p w14:paraId="7275B431" w14:textId="77777777" w:rsidR="001F60A2" w:rsidRPr="001F60A2" w:rsidRDefault="001F60A2" w:rsidP="00F32A02">
            <w:pPr>
              <w:rPr>
                <w:rFonts w:ascii="Times New Roman" w:hAnsi="Times New Roman" w:cs="Times New Roman"/>
                <w:color w:val="000000"/>
                <w:sz w:val="20"/>
                <w:szCs w:val="20"/>
              </w:rPr>
            </w:pPr>
            <w:r w:rsidRPr="001F60A2">
              <w:rPr>
                <w:rFonts w:ascii="Times New Roman" w:hAnsi="Times New Roman" w:cs="Times New Roman"/>
                <w:color w:val="000000"/>
                <w:sz w:val="20"/>
                <w:szCs w:val="20"/>
              </w:rPr>
              <w:t>KLRW</w:t>
            </w:r>
          </w:p>
        </w:tc>
        <w:tc>
          <w:tcPr>
            <w:tcW w:w="1276" w:type="dxa"/>
            <w:shd w:val="clear" w:color="auto" w:fill="auto"/>
            <w:vAlign w:val="center"/>
          </w:tcPr>
          <w:p w14:paraId="288EAA8C" w14:textId="77777777" w:rsidR="001F60A2" w:rsidRPr="001F60A2" w:rsidRDefault="001F60A2" w:rsidP="00F32A02">
            <w:pPr>
              <w:rPr>
                <w:rFonts w:ascii="Times New Roman" w:hAnsi="Times New Roman" w:cs="Times New Roman"/>
                <w:color w:val="000000"/>
                <w:sz w:val="20"/>
                <w:szCs w:val="20"/>
              </w:rPr>
            </w:pPr>
            <w:r w:rsidRPr="001F60A2">
              <w:rPr>
                <w:rFonts w:ascii="Times New Roman" w:hAnsi="Times New Roman" w:cs="Times New Roman"/>
                <w:color w:val="000000"/>
                <w:sz w:val="20"/>
                <w:szCs w:val="20"/>
              </w:rPr>
              <w:t>KLRW**</w:t>
            </w:r>
          </w:p>
        </w:tc>
        <w:tc>
          <w:tcPr>
            <w:tcW w:w="4110" w:type="dxa"/>
            <w:shd w:val="clear" w:color="auto" w:fill="auto"/>
            <w:vAlign w:val="center"/>
          </w:tcPr>
          <w:p w14:paraId="04318252" w14:textId="77777777" w:rsidR="001F60A2" w:rsidRPr="001F60A2" w:rsidRDefault="001F60A2" w:rsidP="00F32A02">
            <w:pPr>
              <w:rPr>
                <w:rFonts w:ascii="Times New Roman" w:hAnsi="Times New Roman" w:cs="Times New Roman"/>
                <w:sz w:val="20"/>
                <w:szCs w:val="20"/>
              </w:rPr>
            </w:pPr>
            <w:r w:rsidRPr="001F60A2">
              <w:rPr>
                <w:rFonts w:ascii="Times New Roman" w:hAnsi="Times New Roman" w:cs="Times New Roman"/>
                <w:sz w:val="20"/>
                <w:szCs w:val="20"/>
              </w:rPr>
              <w:t>PT/5/2022- parametry laboratoryjne- metale: arsen, cynk, miedź, srebro, sód, potas</w:t>
            </w:r>
          </w:p>
        </w:tc>
        <w:tc>
          <w:tcPr>
            <w:tcW w:w="1985" w:type="dxa"/>
            <w:shd w:val="clear" w:color="auto" w:fill="auto"/>
            <w:vAlign w:val="center"/>
          </w:tcPr>
          <w:p w14:paraId="7A6145DF" w14:textId="77777777" w:rsidR="001F60A2" w:rsidRPr="001F60A2" w:rsidRDefault="001F60A2" w:rsidP="00F32A02">
            <w:pPr>
              <w:jc w:val="center"/>
              <w:rPr>
                <w:rFonts w:ascii="Times New Roman" w:hAnsi="Times New Roman" w:cs="Times New Roman"/>
                <w:color w:val="000000"/>
                <w:sz w:val="20"/>
                <w:szCs w:val="20"/>
              </w:rPr>
            </w:pPr>
            <w:r w:rsidRPr="001F60A2">
              <w:rPr>
                <w:rFonts w:ascii="Times New Roman" w:hAnsi="Times New Roman" w:cs="Times New Roman"/>
                <w:color w:val="000000"/>
                <w:sz w:val="20"/>
                <w:szCs w:val="20"/>
              </w:rPr>
              <w:t>21</w:t>
            </w:r>
          </w:p>
        </w:tc>
      </w:tr>
      <w:tr w:rsidR="001F60A2" w:rsidRPr="001F60A2" w14:paraId="57EA9BEB" w14:textId="77777777" w:rsidTr="00F32A02">
        <w:tc>
          <w:tcPr>
            <w:tcW w:w="709" w:type="dxa"/>
            <w:shd w:val="clear" w:color="auto" w:fill="auto"/>
            <w:vAlign w:val="center"/>
          </w:tcPr>
          <w:p w14:paraId="4154CE05" w14:textId="77777777" w:rsidR="001F60A2" w:rsidRPr="001F60A2" w:rsidRDefault="001F60A2" w:rsidP="00F32A02">
            <w:pPr>
              <w:jc w:val="center"/>
              <w:rPr>
                <w:rFonts w:ascii="Times New Roman" w:hAnsi="Times New Roman" w:cs="Times New Roman"/>
                <w:color w:val="000000"/>
                <w:sz w:val="20"/>
                <w:szCs w:val="20"/>
              </w:rPr>
            </w:pPr>
            <w:r w:rsidRPr="001F60A2">
              <w:rPr>
                <w:rFonts w:ascii="Times New Roman" w:hAnsi="Times New Roman" w:cs="Times New Roman"/>
                <w:color w:val="000000"/>
                <w:sz w:val="20"/>
                <w:szCs w:val="20"/>
              </w:rPr>
              <w:t>9.</w:t>
            </w:r>
          </w:p>
        </w:tc>
        <w:tc>
          <w:tcPr>
            <w:tcW w:w="1276" w:type="dxa"/>
            <w:shd w:val="clear" w:color="auto" w:fill="auto"/>
            <w:vAlign w:val="center"/>
          </w:tcPr>
          <w:p w14:paraId="6D706756" w14:textId="77777777" w:rsidR="001F60A2" w:rsidRPr="001F60A2" w:rsidRDefault="001F60A2" w:rsidP="00F32A02">
            <w:pPr>
              <w:rPr>
                <w:rFonts w:ascii="Times New Roman" w:hAnsi="Times New Roman" w:cs="Times New Roman"/>
                <w:color w:val="000000"/>
                <w:sz w:val="20"/>
                <w:szCs w:val="20"/>
              </w:rPr>
            </w:pPr>
            <w:r w:rsidRPr="001F60A2">
              <w:rPr>
                <w:rFonts w:ascii="Times New Roman" w:hAnsi="Times New Roman" w:cs="Times New Roman"/>
                <w:color w:val="000000"/>
                <w:sz w:val="20"/>
                <w:szCs w:val="20"/>
              </w:rPr>
              <w:t>KLRW*</w:t>
            </w:r>
          </w:p>
        </w:tc>
        <w:tc>
          <w:tcPr>
            <w:tcW w:w="1276" w:type="dxa"/>
            <w:shd w:val="clear" w:color="auto" w:fill="auto"/>
            <w:vAlign w:val="center"/>
          </w:tcPr>
          <w:p w14:paraId="0C394B87" w14:textId="77777777" w:rsidR="001F60A2" w:rsidRPr="001F60A2" w:rsidRDefault="001F60A2" w:rsidP="00F32A02">
            <w:pPr>
              <w:rPr>
                <w:rFonts w:ascii="Times New Roman" w:hAnsi="Times New Roman" w:cs="Times New Roman"/>
                <w:color w:val="000000"/>
                <w:sz w:val="20"/>
                <w:szCs w:val="20"/>
              </w:rPr>
            </w:pPr>
            <w:r w:rsidRPr="001F60A2">
              <w:rPr>
                <w:rFonts w:ascii="Times New Roman" w:hAnsi="Times New Roman" w:cs="Times New Roman"/>
                <w:color w:val="000000"/>
                <w:sz w:val="20"/>
                <w:szCs w:val="20"/>
              </w:rPr>
              <w:t>KLRW</w:t>
            </w:r>
          </w:p>
        </w:tc>
        <w:tc>
          <w:tcPr>
            <w:tcW w:w="4110" w:type="dxa"/>
            <w:shd w:val="clear" w:color="auto" w:fill="auto"/>
            <w:vAlign w:val="center"/>
          </w:tcPr>
          <w:p w14:paraId="0D132222" w14:textId="77777777" w:rsidR="001F60A2" w:rsidRPr="001F60A2" w:rsidRDefault="001F60A2" w:rsidP="00F32A02">
            <w:pPr>
              <w:rPr>
                <w:rFonts w:ascii="Times New Roman" w:hAnsi="Times New Roman" w:cs="Times New Roman"/>
                <w:sz w:val="20"/>
                <w:szCs w:val="20"/>
              </w:rPr>
            </w:pPr>
            <w:r w:rsidRPr="001F60A2">
              <w:rPr>
                <w:rFonts w:ascii="Times New Roman" w:hAnsi="Times New Roman" w:cs="Times New Roman"/>
                <w:sz w:val="20"/>
                <w:szCs w:val="20"/>
              </w:rPr>
              <w:t xml:space="preserve">PT/6/2022- parametry laboratoryjne fizykochemiczne: barwa, zawiesiny ogólne, substancje rozpuszczone, chemiczne zapotrzebowanie tlenu </w:t>
            </w:r>
            <w:proofErr w:type="spellStart"/>
            <w:r w:rsidRPr="001F60A2">
              <w:rPr>
                <w:rFonts w:ascii="Times New Roman" w:hAnsi="Times New Roman" w:cs="Times New Roman"/>
                <w:sz w:val="20"/>
                <w:szCs w:val="20"/>
              </w:rPr>
              <w:t>ChZT</w:t>
            </w:r>
            <w:proofErr w:type="spellEnd"/>
            <w:r w:rsidRPr="001F60A2">
              <w:rPr>
                <w:rFonts w:ascii="Times New Roman" w:hAnsi="Times New Roman" w:cs="Times New Roman"/>
                <w:sz w:val="20"/>
                <w:szCs w:val="20"/>
              </w:rPr>
              <w:t xml:space="preserve">-Cr, chemiczne zapotrzebowanie tlenu </w:t>
            </w:r>
            <w:proofErr w:type="spellStart"/>
            <w:r w:rsidRPr="001F60A2">
              <w:rPr>
                <w:rFonts w:ascii="Times New Roman" w:hAnsi="Times New Roman" w:cs="Times New Roman"/>
                <w:sz w:val="20"/>
                <w:szCs w:val="20"/>
              </w:rPr>
              <w:t>ChZT</w:t>
            </w:r>
            <w:proofErr w:type="spellEnd"/>
            <w:r w:rsidRPr="001F60A2">
              <w:rPr>
                <w:rFonts w:ascii="Times New Roman" w:hAnsi="Times New Roman" w:cs="Times New Roman"/>
                <w:sz w:val="20"/>
                <w:szCs w:val="20"/>
              </w:rPr>
              <w:t>-Mn (indeks nadmanganianowy), fosfor fosforanowy (V), fosfor ogólny</w:t>
            </w:r>
          </w:p>
        </w:tc>
        <w:tc>
          <w:tcPr>
            <w:tcW w:w="1985" w:type="dxa"/>
            <w:shd w:val="clear" w:color="auto" w:fill="auto"/>
            <w:vAlign w:val="center"/>
          </w:tcPr>
          <w:p w14:paraId="32112CA6" w14:textId="77777777" w:rsidR="001F60A2" w:rsidRPr="001F60A2" w:rsidRDefault="001F60A2" w:rsidP="00F32A02">
            <w:pPr>
              <w:jc w:val="center"/>
              <w:rPr>
                <w:rFonts w:ascii="Times New Roman" w:hAnsi="Times New Roman" w:cs="Times New Roman"/>
                <w:color w:val="000000"/>
                <w:sz w:val="20"/>
                <w:szCs w:val="20"/>
              </w:rPr>
            </w:pPr>
            <w:r w:rsidRPr="001F60A2">
              <w:rPr>
                <w:rFonts w:ascii="Times New Roman" w:hAnsi="Times New Roman" w:cs="Times New Roman"/>
                <w:color w:val="000000"/>
                <w:sz w:val="20"/>
                <w:szCs w:val="20"/>
              </w:rPr>
              <w:t>57</w:t>
            </w:r>
          </w:p>
        </w:tc>
      </w:tr>
      <w:tr w:rsidR="001F60A2" w:rsidRPr="001F60A2" w14:paraId="2923FF95" w14:textId="77777777" w:rsidTr="00F32A02">
        <w:tc>
          <w:tcPr>
            <w:tcW w:w="709" w:type="dxa"/>
            <w:shd w:val="clear" w:color="auto" w:fill="auto"/>
            <w:vAlign w:val="center"/>
          </w:tcPr>
          <w:p w14:paraId="5E6C6860" w14:textId="77777777" w:rsidR="001F60A2" w:rsidRPr="001F60A2" w:rsidRDefault="001F60A2" w:rsidP="00F32A02">
            <w:pPr>
              <w:jc w:val="center"/>
              <w:rPr>
                <w:rFonts w:ascii="Times New Roman" w:hAnsi="Times New Roman" w:cs="Times New Roman"/>
                <w:color w:val="000000"/>
                <w:sz w:val="20"/>
                <w:szCs w:val="20"/>
              </w:rPr>
            </w:pPr>
            <w:r w:rsidRPr="001F60A2">
              <w:rPr>
                <w:rFonts w:ascii="Times New Roman" w:hAnsi="Times New Roman" w:cs="Times New Roman"/>
                <w:color w:val="000000"/>
                <w:sz w:val="20"/>
                <w:szCs w:val="20"/>
              </w:rPr>
              <w:t>10.</w:t>
            </w:r>
          </w:p>
        </w:tc>
        <w:tc>
          <w:tcPr>
            <w:tcW w:w="1276" w:type="dxa"/>
            <w:shd w:val="clear" w:color="auto" w:fill="auto"/>
            <w:vAlign w:val="center"/>
          </w:tcPr>
          <w:p w14:paraId="7FED1B30" w14:textId="77777777" w:rsidR="001F60A2" w:rsidRPr="001F60A2" w:rsidRDefault="001F60A2" w:rsidP="00F32A02">
            <w:pPr>
              <w:rPr>
                <w:rFonts w:ascii="Times New Roman" w:hAnsi="Times New Roman" w:cs="Times New Roman"/>
                <w:color w:val="000000"/>
                <w:sz w:val="20"/>
                <w:szCs w:val="20"/>
              </w:rPr>
            </w:pPr>
            <w:r w:rsidRPr="001F60A2">
              <w:rPr>
                <w:rFonts w:ascii="Times New Roman" w:hAnsi="Times New Roman" w:cs="Times New Roman"/>
                <w:color w:val="000000"/>
                <w:sz w:val="20"/>
                <w:szCs w:val="20"/>
              </w:rPr>
              <w:t>KLRW*</w:t>
            </w:r>
          </w:p>
        </w:tc>
        <w:tc>
          <w:tcPr>
            <w:tcW w:w="1276" w:type="dxa"/>
            <w:shd w:val="clear" w:color="auto" w:fill="auto"/>
            <w:vAlign w:val="center"/>
          </w:tcPr>
          <w:p w14:paraId="46390B5B" w14:textId="77777777" w:rsidR="001F60A2" w:rsidRPr="001F60A2" w:rsidRDefault="001F60A2" w:rsidP="00F32A02">
            <w:pPr>
              <w:rPr>
                <w:rFonts w:ascii="Times New Roman" w:hAnsi="Times New Roman" w:cs="Times New Roman"/>
                <w:color w:val="000000"/>
                <w:sz w:val="20"/>
                <w:szCs w:val="20"/>
              </w:rPr>
            </w:pPr>
            <w:r w:rsidRPr="001F60A2">
              <w:rPr>
                <w:rFonts w:ascii="Times New Roman" w:hAnsi="Times New Roman" w:cs="Times New Roman"/>
                <w:color w:val="000000"/>
                <w:sz w:val="20"/>
                <w:szCs w:val="20"/>
              </w:rPr>
              <w:t>KLRW</w:t>
            </w:r>
          </w:p>
        </w:tc>
        <w:tc>
          <w:tcPr>
            <w:tcW w:w="4110" w:type="dxa"/>
            <w:shd w:val="clear" w:color="auto" w:fill="auto"/>
            <w:vAlign w:val="center"/>
          </w:tcPr>
          <w:p w14:paraId="157572E9" w14:textId="77777777" w:rsidR="001F60A2" w:rsidRPr="001F60A2" w:rsidRDefault="001F60A2" w:rsidP="00F32A02">
            <w:pPr>
              <w:rPr>
                <w:rFonts w:ascii="Times New Roman" w:hAnsi="Times New Roman" w:cs="Times New Roman"/>
                <w:sz w:val="20"/>
                <w:szCs w:val="20"/>
              </w:rPr>
            </w:pPr>
            <w:r w:rsidRPr="001F60A2">
              <w:rPr>
                <w:rFonts w:ascii="Times New Roman" w:hAnsi="Times New Roman" w:cs="Times New Roman"/>
                <w:sz w:val="20"/>
                <w:szCs w:val="20"/>
              </w:rPr>
              <w:t xml:space="preserve">ILC/1/2022 - Zalew Szczeciński: pomiary terenowe: temperatura powietrza, temperatura wody, przeźroczystość, odczyn </w:t>
            </w:r>
            <w:proofErr w:type="spellStart"/>
            <w:r w:rsidRPr="001F60A2">
              <w:rPr>
                <w:rFonts w:ascii="Times New Roman" w:hAnsi="Times New Roman" w:cs="Times New Roman"/>
                <w:sz w:val="20"/>
                <w:szCs w:val="20"/>
              </w:rPr>
              <w:t>pH</w:t>
            </w:r>
            <w:proofErr w:type="spellEnd"/>
            <w:r w:rsidRPr="001F60A2">
              <w:rPr>
                <w:rFonts w:ascii="Times New Roman" w:hAnsi="Times New Roman" w:cs="Times New Roman"/>
                <w:sz w:val="20"/>
                <w:szCs w:val="20"/>
              </w:rPr>
              <w:t>, przewodność elektryczna właściwa w 20˚C; zawartość tlenu, nasycenie tlenem, zasolenie; parametry laboratoryjne fizykochemiczne: BZT5, chlorki, zawiesina ogólna, OWO, fosfor fosforanowy, fosfor ogólny, azot azotanowy, azot azotynowy, azot amonowy, azot ogólny, krzemionka; parametry biologiczne: chlorofil a, biomasa fitoplanktonu; parametry laboratoryjne metale: rtęć ogólna/</w:t>
            </w:r>
            <w:proofErr w:type="spellStart"/>
            <w:r w:rsidRPr="001F60A2">
              <w:rPr>
                <w:rFonts w:ascii="Times New Roman" w:hAnsi="Times New Roman" w:cs="Times New Roman"/>
                <w:sz w:val="20"/>
                <w:szCs w:val="20"/>
              </w:rPr>
              <w:t>rozp</w:t>
            </w:r>
            <w:proofErr w:type="spellEnd"/>
            <w:r w:rsidRPr="001F60A2">
              <w:rPr>
                <w:rFonts w:ascii="Times New Roman" w:hAnsi="Times New Roman" w:cs="Times New Roman"/>
                <w:sz w:val="20"/>
                <w:szCs w:val="20"/>
              </w:rPr>
              <w:t xml:space="preserve">., ołów </w:t>
            </w:r>
            <w:proofErr w:type="spellStart"/>
            <w:r w:rsidRPr="001F60A2">
              <w:rPr>
                <w:rFonts w:ascii="Times New Roman" w:hAnsi="Times New Roman" w:cs="Times New Roman"/>
                <w:sz w:val="20"/>
                <w:szCs w:val="20"/>
              </w:rPr>
              <w:t>rozp</w:t>
            </w:r>
            <w:proofErr w:type="spellEnd"/>
            <w:r w:rsidRPr="001F60A2">
              <w:rPr>
                <w:rFonts w:ascii="Times New Roman" w:hAnsi="Times New Roman" w:cs="Times New Roman"/>
                <w:sz w:val="20"/>
                <w:szCs w:val="20"/>
              </w:rPr>
              <w:t xml:space="preserve">., miedź </w:t>
            </w:r>
            <w:proofErr w:type="spellStart"/>
            <w:r w:rsidRPr="001F60A2">
              <w:rPr>
                <w:rFonts w:ascii="Times New Roman" w:hAnsi="Times New Roman" w:cs="Times New Roman"/>
                <w:sz w:val="20"/>
                <w:szCs w:val="20"/>
              </w:rPr>
              <w:t>rozp</w:t>
            </w:r>
            <w:proofErr w:type="spellEnd"/>
            <w:r w:rsidRPr="001F60A2">
              <w:rPr>
                <w:rFonts w:ascii="Times New Roman" w:hAnsi="Times New Roman" w:cs="Times New Roman"/>
                <w:sz w:val="20"/>
                <w:szCs w:val="20"/>
              </w:rPr>
              <w:t xml:space="preserve">., nikiel </w:t>
            </w:r>
            <w:proofErr w:type="spellStart"/>
            <w:r w:rsidRPr="001F60A2">
              <w:rPr>
                <w:rFonts w:ascii="Times New Roman" w:hAnsi="Times New Roman" w:cs="Times New Roman"/>
                <w:sz w:val="20"/>
                <w:szCs w:val="20"/>
              </w:rPr>
              <w:t>rozp</w:t>
            </w:r>
            <w:proofErr w:type="spellEnd"/>
            <w:r w:rsidRPr="001F60A2">
              <w:rPr>
                <w:rFonts w:ascii="Times New Roman" w:hAnsi="Times New Roman" w:cs="Times New Roman"/>
                <w:sz w:val="20"/>
                <w:szCs w:val="20"/>
              </w:rPr>
              <w:t xml:space="preserve">., kadm </w:t>
            </w:r>
            <w:proofErr w:type="spellStart"/>
            <w:r w:rsidRPr="001F60A2">
              <w:rPr>
                <w:rFonts w:ascii="Times New Roman" w:hAnsi="Times New Roman" w:cs="Times New Roman"/>
                <w:sz w:val="20"/>
                <w:szCs w:val="20"/>
              </w:rPr>
              <w:t>rozp</w:t>
            </w:r>
            <w:proofErr w:type="spellEnd"/>
            <w:r w:rsidRPr="001F60A2">
              <w:rPr>
                <w:rFonts w:ascii="Times New Roman" w:hAnsi="Times New Roman" w:cs="Times New Roman"/>
                <w:sz w:val="20"/>
                <w:szCs w:val="20"/>
              </w:rPr>
              <w:t xml:space="preserve">., cynk </w:t>
            </w:r>
            <w:proofErr w:type="spellStart"/>
            <w:r w:rsidRPr="001F60A2">
              <w:rPr>
                <w:rFonts w:ascii="Times New Roman" w:hAnsi="Times New Roman" w:cs="Times New Roman"/>
                <w:sz w:val="20"/>
                <w:szCs w:val="20"/>
              </w:rPr>
              <w:t>rozp</w:t>
            </w:r>
            <w:proofErr w:type="spellEnd"/>
            <w:r w:rsidRPr="001F60A2">
              <w:rPr>
                <w:rFonts w:ascii="Times New Roman" w:hAnsi="Times New Roman" w:cs="Times New Roman"/>
                <w:sz w:val="20"/>
                <w:szCs w:val="20"/>
              </w:rPr>
              <w:t xml:space="preserve">., chrom </w:t>
            </w:r>
            <w:proofErr w:type="spellStart"/>
            <w:r w:rsidRPr="001F60A2">
              <w:rPr>
                <w:rFonts w:ascii="Times New Roman" w:hAnsi="Times New Roman" w:cs="Times New Roman"/>
                <w:sz w:val="20"/>
                <w:szCs w:val="20"/>
              </w:rPr>
              <w:t>rozp</w:t>
            </w:r>
            <w:proofErr w:type="spellEnd"/>
            <w:r w:rsidRPr="001F60A2">
              <w:rPr>
                <w:rFonts w:ascii="Times New Roman" w:hAnsi="Times New Roman" w:cs="Times New Roman"/>
                <w:sz w:val="20"/>
                <w:szCs w:val="20"/>
              </w:rPr>
              <w:t>.</w:t>
            </w:r>
          </w:p>
        </w:tc>
        <w:tc>
          <w:tcPr>
            <w:tcW w:w="1985" w:type="dxa"/>
            <w:shd w:val="clear" w:color="auto" w:fill="auto"/>
            <w:vAlign w:val="center"/>
          </w:tcPr>
          <w:p w14:paraId="55C607BF" w14:textId="77777777" w:rsidR="001F60A2" w:rsidRPr="001F60A2" w:rsidRDefault="001F60A2" w:rsidP="00F32A02">
            <w:pPr>
              <w:jc w:val="center"/>
              <w:rPr>
                <w:rFonts w:ascii="Times New Roman" w:hAnsi="Times New Roman" w:cs="Times New Roman"/>
                <w:color w:val="000000"/>
                <w:sz w:val="20"/>
                <w:szCs w:val="20"/>
              </w:rPr>
            </w:pPr>
            <w:r w:rsidRPr="001F60A2">
              <w:rPr>
                <w:rFonts w:ascii="Times New Roman" w:hAnsi="Times New Roman" w:cs="Times New Roman"/>
                <w:color w:val="000000"/>
                <w:sz w:val="20"/>
                <w:szCs w:val="20"/>
              </w:rPr>
              <w:t>8</w:t>
            </w:r>
          </w:p>
        </w:tc>
      </w:tr>
      <w:tr w:rsidR="001F60A2" w:rsidRPr="001F60A2" w14:paraId="0EE20856" w14:textId="77777777" w:rsidTr="00F32A02">
        <w:tc>
          <w:tcPr>
            <w:tcW w:w="709" w:type="dxa"/>
            <w:shd w:val="clear" w:color="auto" w:fill="auto"/>
            <w:vAlign w:val="center"/>
          </w:tcPr>
          <w:p w14:paraId="6510BEC2" w14:textId="77777777" w:rsidR="001F60A2" w:rsidRPr="001F60A2" w:rsidRDefault="001F60A2" w:rsidP="00F32A02">
            <w:pPr>
              <w:jc w:val="center"/>
              <w:rPr>
                <w:rFonts w:ascii="Times New Roman" w:hAnsi="Times New Roman" w:cs="Times New Roman"/>
                <w:color w:val="000000"/>
                <w:sz w:val="20"/>
                <w:szCs w:val="20"/>
              </w:rPr>
            </w:pPr>
            <w:r w:rsidRPr="001F60A2">
              <w:rPr>
                <w:rFonts w:ascii="Times New Roman" w:hAnsi="Times New Roman" w:cs="Times New Roman"/>
                <w:color w:val="000000"/>
                <w:sz w:val="20"/>
                <w:szCs w:val="20"/>
              </w:rPr>
              <w:lastRenderedPageBreak/>
              <w:t>11.</w:t>
            </w:r>
          </w:p>
        </w:tc>
        <w:tc>
          <w:tcPr>
            <w:tcW w:w="1276" w:type="dxa"/>
            <w:shd w:val="clear" w:color="auto" w:fill="auto"/>
            <w:vAlign w:val="center"/>
          </w:tcPr>
          <w:p w14:paraId="4E730B31" w14:textId="77777777" w:rsidR="001F60A2" w:rsidRPr="001F60A2" w:rsidRDefault="001F60A2" w:rsidP="00F32A02">
            <w:pPr>
              <w:rPr>
                <w:rFonts w:ascii="Times New Roman" w:hAnsi="Times New Roman" w:cs="Times New Roman"/>
                <w:color w:val="000000"/>
                <w:sz w:val="20"/>
                <w:szCs w:val="20"/>
              </w:rPr>
            </w:pPr>
            <w:r w:rsidRPr="001F60A2">
              <w:rPr>
                <w:rFonts w:ascii="Times New Roman" w:hAnsi="Times New Roman" w:cs="Times New Roman"/>
                <w:color w:val="000000"/>
                <w:sz w:val="20"/>
                <w:szCs w:val="20"/>
              </w:rPr>
              <w:t>KLRW*</w:t>
            </w:r>
          </w:p>
        </w:tc>
        <w:tc>
          <w:tcPr>
            <w:tcW w:w="1276" w:type="dxa"/>
            <w:shd w:val="clear" w:color="auto" w:fill="auto"/>
            <w:vAlign w:val="center"/>
          </w:tcPr>
          <w:p w14:paraId="2E81342A" w14:textId="77777777" w:rsidR="001F60A2" w:rsidRPr="001F60A2" w:rsidRDefault="001F60A2" w:rsidP="00F32A02">
            <w:pPr>
              <w:rPr>
                <w:rFonts w:ascii="Times New Roman" w:hAnsi="Times New Roman" w:cs="Times New Roman"/>
                <w:color w:val="000000"/>
                <w:sz w:val="20"/>
                <w:szCs w:val="20"/>
              </w:rPr>
            </w:pPr>
            <w:r w:rsidRPr="001F60A2">
              <w:rPr>
                <w:rFonts w:ascii="Times New Roman" w:hAnsi="Times New Roman" w:cs="Times New Roman"/>
                <w:color w:val="000000"/>
                <w:sz w:val="20"/>
                <w:szCs w:val="20"/>
              </w:rPr>
              <w:t>KLRW</w:t>
            </w:r>
          </w:p>
        </w:tc>
        <w:tc>
          <w:tcPr>
            <w:tcW w:w="4110" w:type="dxa"/>
            <w:shd w:val="clear" w:color="auto" w:fill="auto"/>
            <w:vAlign w:val="center"/>
          </w:tcPr>
          <w:p w14:paraId="2DBAEF2C" w14:textId="77777777" w:rsidR="001F60A2" w:rsidRPr="001F60A2" w:rsidRDefault="001F60A2" w:rsidP="00F32A02">
            <w:pPr>
              <w:rPr>
                <w:rFonts w:ascii="Times New Roman" w:hAnsi="Times New Roman" w:cs="Times New Roman"/>
                <w:sz w:val="20"/>
                <w:szCs w:val="20"/>
              </w:rPr>
            </w:pPr>
            <w:r w:rsidRPr="001F60A2">
              <w:rPr>
                <w:rFonts w:ascii="Times New Roman" w:hAnsi="Times New Roman" w:cs="Times New Roman"/>
                <w:sz w:val="20"/>
                <w:szCs w:val="20"/>
              </w:rPr>
              <w:t>ILC/5/2022- parametry biologiczne: biomasa fitoplanktonu z jeziora</w:t>
            </w:r>
          </w:p>
        </w:tc>
        <w:tc>
          <w:tcPr>
            <w:tcW w:w="1985" w:type="dxa"/>
            <w:shd w:val="clear" w:color="auto" w:fill="auto"/>
            <w:vAlign w:val="center"/>
          </w:tcPr>
          <w:p w14:paraId="7776427F" w14:textId="77777777" w:rsidR="001F60A2" w:rsidRPr="001F60A2" w:rsidRDefault="001F60A2" w:rsidP="00F32A02">
            <w:pPr>
              <w:jc w:val="center"/>
              <w:rPr>
                <w:rFonts w:ascii="Times New Roman" w:hAnsi="Times New Roman" w:cs="Times New Roman"/>
                <w:color w:val="000000"/>
                <w:sz w:val="20"/>
                <w:szCs w:val="20"/>
              </w:rPr>
            </w:pPr>
            <w:r w:rsidRPr="001F60A2">
              <w:rPr>
                <w:rFonts w:ascii="Times New Roman" w:hAnsi="Times New Roman" w:cs="Times New Roman"/>
                <w:color w:val="000000"/>
                <w:sz w:val="20"/>
                <w:szCs w:val="20"/>
              </w:rPr>
              <w:t>16</w:t>
            </w:r>
          </w:p>
        </w:tc>
      </w:tr>
      <w:tr w:rsidR="001F60A2" w:rsidRPr="001F60A2" w14:paraId="0BE14202" w14:textId="77777777" w:rsidTr="00F32A02">
        <w:tc>
          <w:tcPr>
            <w:tcW w:w="709" w:type="dxa"/>
            <w:shd w:val="clear" w:color="auto" w:fill="auto"/>
            <w:vAlign w:val="center"/>
          </w:tcPr>
          <w:p w14:paraId="10668B02" w14:textId="77777777" w:rsidR="001F60A2" w:rsidRPr="001F60A2" w:rsidRDefault="001F60A2" w:rsidP="00F32A02">
            <w:pPr>
              <w:jc w:val="center"/>
              <w:rPr>
                <w:rFonts w:ascii="Times New Roman" w:hAnsi="Times New Roman" w:cs="Times New Roman"/>
                <w:color w:val="000000"/>
                <w:sz w:val="20"/>
                <w:szCs w:val="20"/>
              </w:rPr>
            </w:pPr>
            <w:r w:rsidRPr="001F60A2">
              <w:rPr>
                <w:rFonts w:ascii="Times New Roman" w:hAnsi="Times New Roman" w:cs="Times New Roman"/>
                <w:color w:val="000000"/>
                <w:sz w:val="20"/>
                <w:szCs w:val="20"/>
              </w:rPr>
              <w:t>12.</w:t>
            </w:r>
          </w:p>
        </w:tc>
        <w:tc>
          <w:tcPr>
            <w:tcW w:w="1276" w:type="dxa"/>
            <w:shd w:val="clear" w:color="auto" w:fill="auto"/>
            <w:vAlign w:val="center"/>
          </w:tcPr>
          <w:p w14:paraId="48EF954E" w14:textId="77777777" w:rsidR="001F60A2" w:rsidRPr="001F60A2" w:rsidRDefault="001F60A2" w:rsidP="00F32A02">
            <w:pPr>
              <w:rPr>
                <w:rFonts w:ascii="Times New Roman" w:hAnsi="Times New Roman" w:cs="Times New Roman"/>
                <w:color w:val="000000"/>
                <w:sz w:val="20"/>
                <w:szCs w:val="20"/>
              </w:rPr>
            </w:pPr>
            <w:r w:rsidRPr="001F60A2">
              <w:rPr>
                <w:rFonts w:ascii="Times New Roman" w:hAnsi="Times New Roman" w:cs="Times New Roman"/>
                <w:color w:val="000000"/>
                <w:sz w:val="20"/>
                <w:szCs w:val="20"/>
              </w:rPr>
              <w:t>KLRW</w:t>
            </w:r>
          </w:p>
        </w:tc>
        <w:tc>
          <w:tcPr>
            <w:tcW w:w="1276" w:type="dxa"/>
            <w:shd w:val="clear" w:color="auto" w:fill="auto"/>
            <w:vAlign w:val="center"/>
          </w:tcPr>
          <w:p w14:paraId="2A3FB96A" w14:textId="77777777" w:rsidR="001F60A2" w:rsidRPr="001F60A2" w:rsidRDefault="001F60A2" w:rsidP="00F32A02">
            <w:pPr>
              <w:rPr>
                <w:rFonts w:ascii="Times New Roman" w:hAnsi="Times New Roman" w:cs="Times New Roman"/>
                <w:color w:val="000000"/>
                <w:sz w:val="20"/>
                <w:szCs w:val="20"/>
              </w:rPr>
            </w:pPr>
            <w:r w:rsidRPr="001F60A2">
              <w:rPr>
                <w:rFonts w:ascii="Times New Roman" w:hAnsi="Times New Roman" w:cs="Times New Roman"/>
                <w:color w:val="000000"/>
                <w:sz w:val="20"/>
                <w:szCs w:val="20"/>
              </w:rPr>
              <w:t>KLRW</w:t>
            </w:r>
          </w:p>
        </w:tc>
        <w:tc>
          <w:tcPr>
            <w:tcW w:w="4110" w:type="dxa"/>
            <w:shd w:val="clear" w:color="auto" w:fill="auto"/>
            <w:vAlign w:val="center"/>
          </w:tcPr>
          <w:p w14:paraId="69B8D672" w14:textId="77777777" w:rsidR="001F60A2" w:rsidRPr="001F60A2" w:rsidRDefault="001F60A2" w:rsidP="00F32A02">
            <w:pPr>
              <w:rPr>
                <w:rFonts w:ascii="Times New Roman" w:hAnsi="Times New Roman" w:cs="Times New Roman"/>
                <w:sz w:val="20"/>
                <w:szCs w:val="20"/>
              </w:rPr>
            </w:pPr>
            <w:r w:rsidRPr="001F60A2">
              <w:rPr>
                <w:rFonts w:ascii="Times New Roman" w:hAnsi="Times New Roman" w:cs="Times New Roman"/>
                <w:sz w:val="20"/>
                <w:szCs w:val="20"/>
              </w:rPr>
              <w:t xml:space="preserve">ILC/6/2022- parametry laboratoryjne chromatograficzne: związki </w:t>
            </w:r>
            <w:proofErr w:type="spellStart"/>
            <w:r w:rsidRPr="001F60A2">
              <w:rPr>
                <w:rFonts w:ascii="Times New Roman" w:hAnsi="Times New Roman" w:cs="Times New Roman"/>
                <w:sz w:val="20"/>
                <w:szCs w:val="20"/>
              </w:rPr>
              <w:t>tributylocyny</w:t>
            </w:r>
            <w:proofErr w:type="spellEnd"/>
            <w:r w:rsidRPr="001F60A2">
              <w:rPr>
                <w:rFonts w:ascii="Times New Roman" w:hAnsi="Times New Roman" w:cs="Times New Roman"/>
                <w:sz w:val="20"/>
                <w:szCs w:val="20"/>
              </w:rPr>
              <w:t xml:space="preserve"> (kation </w:t>
            </w:r>
            <w:proofErr w:type="spellStart"/>
            <w:r w:rsidRPr="001F60A2">
              <w:rPr>
                <w:rFonts w:ascii="Times New Roman" w:hAnsi="Times New Roman" w:cs="Times New Roman"/>
                <w:sz w:val="20"/>
                <w:szCs w:val="20"/>
              </w:rPr>
              <w:t>tributylocyny</w:t>
            </w:r>
            <w:proofErr w:type="spellEnd"/>
            <w:r w:rsidRPr="001F60A2">
              <w:rPr>
                <w:rFonts w:ascii="Times New Roman" w:hAnsi="Times New Roman" w:cs="Times New Roman"/>
                <w:sz w:val="20"/>
                <w:szCs w:val="20"/>
              </w:rPr>
              <w:t xml:space="preserve">), </w:t>
            </w:r>
            <w:proofErr w:type="spellStart"/>
            <w:r w:rsidRPr="001F60A2">
              <w:rPr>
                <w:rFonts w:ascii="Times New Roman" w:hAnsi="Times New Roman" w:cs="Times New Roman"/>
                <w:sz w:val="20"/>
                <w:szCs w:val="20"/>
              </w:rPr>
              <w:t>pentachlorofenol</w:t>
            </w:r>
            <w:proofErr w:type="spellEnd"/>
            <w:r w:rsidRPr="001F60A2">
              <w:rPr>
                <w:rFonts w:ascii="Times New Roman" w:hAnsi="Times New Roman" w:cs="Times New Roman"/>
                <w:sz w:val="20"/>
                <w:szCs w:val="20"/>
              </w:rPr>
              <w:t xml:space="preserve">, kwas </w:t>
            </w:r>
            <w:proofErr w:type="spellStart"/>
            <w:r w:rsidRPr="001F60A2">
              <w:rPr>
                <w:rFonts w:ascii="Times New Roman" w:hAnsi="Times New Roman" w:cs="Times New Roman"/>
                <w:sz w:val="20"/>
                <w:szCs w:val="20"/>
              </w:rPr>
              <w:t>perfluorooktanosulfonowy</w:t>
            </w:r>
            <w:proofErr w:type="spellEnd"/>
            <w:r w:rsidRPr="001F60A2">
              <w:rPr>
                <w:rFonts w:ascii="Times New Roman" w:hAnsi="Times New Roman" w:cs="Times New Roman"/>
                <w:sz w:val="20"/>
                <w:szCs w:val="20"/>
              </w:rPr>
              <w:t xml:space="preserve"> (PFOS)</w:t>
            </w:r>
          </w:p>
        </w:tc>
        <w:tc>
          <w:tcPr>
            <w:tcW w:w="1985" w:type="dxa"/>
            <w:shd w:val="clear" w:color="auto" w:fill="auto"/>
            <w:vAlign w:val="center"/>
          </w:tcPr>
          <w:p w14:paraId="7307C36E" w14:textId="77777777" w:rsidR="001F60A2" w:rsidRPr="001F60A2" w:rsidRDefault="001F60A2" w:rsidP="00F32A02">
            <w:pPr>
              <w:jc w:val="center"/>
              <w:rPr>
                <w:rFonts w:ascii="Times New Roman" w:hAnsi="Times New Roman" w:cs="Times New Roman"/>
                <w:color w:val="000000"/>
                <w:sz w:val="20"/>
                <w:szCs w:val="20"/>
              </w:rPr>
            </w:pPr>
            <w:r w:rsidRPr="001F60A2">
              <w:rPr>
                <w:rFonts w:ascii="Times New Roman" w:hAnsi="Times New Roman" w:cs="Times New Roman"/>
                <w:color w:val="000000"/>
                <w:sz w:val="20"/>
                <w:szCs w:val="20"/>
              </w:rPr>
              <w:t>6</w:t>
            </w:r>
          </w:p>
        </w:tc>
      </w:tr>
    </w:tbl>
    <w:p w14:paraId="5BAE01B2" w14:textId="57E36FAE" w:rsidR="001F60A2" w:rsidRPr="001F60A2" w:rsidRDefault="001F60A2" w:rsidP="001F60A2">
      <w:pPr>
        <w:ind w:left="425"/>
        <w:jc w:val="both"/>
        <w:rPr>
          <w:rFonts w:ascii="Times New Roman" w:hAnsi="Times New Roman" w:cs="Times New Roman"/>
          <w:color w:val="000000"/>
          <w:sz w:val="20"/>
          <w:szCs w:val="20"/>
        </w:rPr>
      </w:pPr>
      <w:r w:rsidRPr="001F60A2">
        <w:rPr>
          <w:rFonts w:ascii="Times New Roman" w:hAnsi="Times New Roman" w:cs="Times New Roman"/>
          <w:color w:val="000000"/>
          <w:sz w:val="20"/>
          <w:szCs w:val="20"/>
        </w:rPr>
        <w:t>*</w:t>
      </w:r>
      <w:r w:rsidR="001F2C79">
        <w:rPr>
          <w:rFonts w:ascii="Times New Roman" w:hAnsi="Times New Roman" w:cs="Times New Roman"/>
          <w:color w:val="000000"/>
          <w:sz w:val="20"/>
          <w:szCs w:val="20"/>
        </w:rPr>
        <w:t xml:space="preserve"> </w:t>
      </w:r>
      <w:r w:rsidRPr="001F60A2">
        <w:rPr>
          <w:rFonts w:ascii="Times New Roman" w:hAnsi="Times New Roman" w:cs="Times New Roman"/>
          <w:color w:val="000000"/>
          <w:sz w:val="20"/>
          <w:szCs w:val="20"/>
        </w:rPr>
        <w:t xml:space="preserve"> organizacja i jednoczesne uczestnictwo KLRW </w:t>
      </w:r>
    </w:p>
    <w:p w14:paraId="3D83E1A1" w14:textId="3F2FB668" w:rsidR="001F60A2" w:rsidRPr="001F60A2" w:rsidRDefault="001F60A2" w:rsidP="001F60A2">
      <w:pPr>
        <w:ind w:left="425"/>
        <w:jc w:val="both"/>
        <w:rPr>
          <w:rFonts w:ascii="Times New Roman" w:hAnsi="Times New Roman" w:cs="Times New Roman"/>
          <w:color w:val="000000"/>
          <w:sz w:val="20"/>
          <w:szCs w:val="20"/>
        </w:rPr>
      </w:pPr>
      <w:r w:rsidRPr="001F60A2">
        <w:rPr>
          <w:rFonts w:ascii="Times New Roman" w:hAnsi="Times New Roman" w:cs="Times New Roman"/>
          <w:color w:val="000000"/>
          <w:sz w:val="20"/>
          <w:szCs w:val="20"/>
        </w:rPr>
        <w:t>**</w:t>
      </w:r>
      <w:r w:rsidR="001F2C79">
        <w:rPr>
          <w:rFonts w:ascii="Times New Roman" w:hAnsi="Times New Roman" w:cs="Times New Roman"/>
          <w:color w:val="000000"/>
          <w:sz w:val="20"/>
          <w:szCs w:val="20"/>
        </w:rPr>
        <w:t xml:space="preserve"> </w:t>
      </w:r>
      <w:r w:rsidRPr="001F60A2">
        <w:rPr>
          <w:rFonts w:ascii="Times New Roman" w:hAnsi="Times New Roman" w:cs="Times New Roman"/>
          <w:color w:val="000000"/>
          <w:sz w:val="20"/>
          <w:szCs w:val="20"/>
        </w:rPr>
        <w:t>badania biegłości</w:t>
      </w:r>
      <w:r w:rsidR="001F2C79">
        <w:rPr>
          <w:rFonts w:ascii="Times New Roman" w:hAnsi="Times New Roman" w:cs="Times New Roman"/>
          <w:color w:val="000000"/>
          <w:sz w:val="20"/>
          <w:szCs w:val="20"/>
        </w:rPr>
        <w:t>,</w:t>
      </w:r>
      <w:r w:rsidRPr="001F60A2">
        <w:rPr>
          <w:rFonts w:ascii="Times New Roman" w:hAnsi="Times New Roman" w:cs="Times New Roman"/>
          <w:color w:val="000000"/>
          <w:sz w:val="20"/>
          <w:szCs w:val="20"/>
        </w:rPr>
        <w:t xml:space="preserve"> w których KLRW podzleciło zewnętrznemu laboratorium część etapu porównania (przygotowanie obiektu badań biegłości, dystrybucja próbek do uczestników, badanie jednorodności </w:t>
      </w:r>
      <w:r w:rsidR="001F2C79">
        <w:rPr>
          <w:rFonts w:ascii="Times New Roman" w:hAnsi="Times New Roman" w:cs="Times New Roman"/>
          <w:color w:val="000000"/>
          <w:sz w:val="20"/>
          <w:szCs w:val="20"/>
        </w:rPr>
        <w:br/>
      </w:r>
      <w:r w:rsidRPr="001F60A2">
        <w:rPr>
          <w:rFonts w:ascii="Times New Roman" w:hAnsi="Times New Roman" w:cs="Times New Roman"/>
          <w:color w:val="000000"/>
          <w:sz w:val="20"/>
          <w:szCs w:val="20"/>
        </w:rPr>
        <w:t>i stabilności obiektu badań), pozostałe etapy</w:t>
      </w:r>
      <w:r w:rsidR="001F2C79">
        <w:rPr>
          <w:rFonts w:ascii="Times New Roman" w:hAnsi="Times New Roman" w:cs="Times New Roman"/>
          <w:color w:val="000000"/>
          <w:sz w:val="20"/>
          <w:szCs w:val="20"/>
        </w:rPr>
        <w:t>,</w:t>
      </w:r>
      <w:r w:rsidRPr="001F60A2">
        <w:rPr>
          <w:rFonts w:ascii="Times New Roman" w:hAnsi="Times New Roman" w:cs="Times New Roman"/>
          <w:color w:val="000000"/>
          <w:sz w:val="20"/>
          <w:szCs w:val="20"/>
        </w:rPr>
        <w:t xml:space="preserve"> tj. program, instrukcję postępowania z próbkami do badań, karty wyników, ocenę statystyczną oraz wydanie sprawozdania realizowało KLRW.</w:t>
      </w:r>
    </w:p>
    <w:p w14:paraId="0773C0C6" w14:textId="1C18A9C3" w:rsidR="001F60A2" w:rsidRPr="001F60A2" w:rsidRDefault="001F60A2" w:rsidP="001F60A2">
      <w:pPr>
        <w:ind w:left="425"/>
        <w:jc w:val="both"/>
        <w:rPr>
          <w:rFonts w:ascii="Times New Roman" w:hAnsi="Times New Roman" w:cs="Times New Roman"/>
          <w:color w:val="000000"/>
          <w:sz w:val="24"/>
          <w:szCs w:val="24"/>
        </w:rPr>
      </w:pPr>
    </w:p>
    <w:p w14:paraId="7EB712E4" w14:textId="62C5C138" w:rsidR="001F60A2" w:rsidRPr="001F60A2" w:rsidRDefault="001F60A2" w:rsidP="001F60A2">
      <w:pPr>
        <w:keepNext/>
        <w:spacing w:before="120"/>
        <w:jc w:val="center"/>
        <w:rPr>
          <w:rFonts w:ascii="Times New Roman" w:hAnsi="Times New Roman" w:cs="Times New Roman"/>
          <w:sz w:val="24"/>
          <w:szCs w:val="24"/>
        </w:rPr>
      </w:pPr>
      <w:r w:rsidRPr="001F60A2">
        <w:rPr>
          <w:rFonts w:ascii="Times New Roman" w:hAnsi="Times New Roman" w:cs="Times New Roman"/>
          <w:noProof/>
          <w:color w:val="000000"/>
          <w:sz w:val="24"/>
          <w:szCs w:val="24"/>
          <w:lang w:eastAsia="pl-PL"/>
        </w:rPr>
        <w:drawing>
          <wp:inline distT="0" distB="0" distL="0" distR="0" wp14:anchorId="4C9A2CB5" wp14:editId="54F20F5C">
            <wp:extent cx="3000375" cy="3190875"/>
            <wp:effectExtent l="0" t="0" r="9525" b="9525"/>
            <wp:docPr id="108" name="Obraz 108" descr="Niem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Niemcy"/>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000375" cy="3190875"/>
                    </a:xfrm>
                    <a:prstGeom prst="rect">
                      <a:avLst/>
                    </a:prstGeom>
                    <a:noFill/>
                    <a:ln>
                      <a:noFill/>
                    </a:ln>
                  </pic:spPr>
                </pic:pic>
              </a:graphicData>
            </a:graphic>
          </wp:inline>
        </w:drawing>
      </w:r>
    </w:p>
    <w:p w14:paraId="505CA00D" w14:textId="699D33BC" w:rsidR="001F60A2" w:rsidRPr="001F2C79" w:rsidRDefault="001F60A2" w:rsidP="001F60A2">
      <w:pPr>
        <w:pStyle w:val="Legenda"/>
        <w:spacing w:after="240"/>
        <w:jc w:val="center"/>
        <w:rPr>
          <w:color w:val="000000" w:themeColor="text1"/>
          <w:sz w:val="22"/>
          <w:szCs w:val="22"/>
        </w:rPr>
      </w:pPr>
      <w:r w:rsidRPr="001F2C79">
        <w:rPr>
          <w:color w:val="000000" w:themeColor="text1"/>
          <w:sz w:val="22"/>
          <w:szCs w:val="22"/>
        </w:rPr>
        <w:t xml:space="preserve">Zdjęcie </w:t>
      </w:r>
      <w:r w:rsidR="001F2C79" w:rsidRPr="001F2C79">
        <w:rPr>
          <w:color w:val="000000" w:themeColor="text1"/>
          <w:sz w:val="22"/>
          <w:szCs w:val="22"/>
          <w:lang w:val="pl-PL"/>
        </w:rPr>
        <w:t>7</w:t>
      </w:r>
      <w:r w:rsidR="005261DF">
        <w:rPr>
          <w:color w:val="000000" w:themeColor="text1"/>
          <w:sz w:val="22"/>
          <w:szCs w:val="22"/>
          <w:lang w:val="pl-PL"/>
        </w:rPr>
        <w:t>4</w:t>
      </w:r>
      <w:r w:rsidR="001F2C79" w:rsidRPr="001F2C79">
        <w:rPr>
          <w:color w:val="000000" w:themeColor="text1"/>
          <w:sz w:val="22"/>
          <w:szCs w:val="22"/>
          <w:lang w:val="pl-PL"/>
        </w:rPr>
        <w:t xml:space="preserve">. </w:t>
      </w:r>
      <w:r w:rsidRPr="001F2C79">
        <w:rPr>
          <w:bCs w:val="0"/>
          <w:color w:val="000000" w:themeColor="text1"/>
          <w:sz w:val="22"/>
          <w:szCs w:val="22"/>
        </w:rPr>
        <w:t xml:space="preserve">Porównanie </w:t>
      </w:r>
      <w:proofErr w:type="spellStart"/>
      <w:r w:rsidRPr="001F2C79">
        <w:rPr>
          <w:bCs w:val="0"/>
          <w:color w:val="000000" w:themeColor="text1"/>
          <w:sz w:val="22"/>
          <w:szCs w:val="22"/>
        </w:rPr>
        <w:t>międzylaboratoryjne</w:t>
      </w:r>
      <w:proofErr w:type="spellEnd"/>
      <w:r w:rsidRPr="001F2C79">
        <w:rPr>
          <w:bCs w:val="0"/>
          <w:color w:val="000000" w:themeColor="text1"/>
          <w:sz w:val="22"/>
          <w:szCs w:val="22"/>
        </w:rPr>
        <w:t xml:space="preserve"> polsko-niemieckie na Zalewie Szczecińskim (ILC/1/2022), Nadbrzeże Portu Miejskiego w Trzebieży, gdzie obiektem badań była woda przejściowa i przybrzeżna. </w:t>
      </w:r>
    </w:p>
    <w:p w14:paraId="0C74E9DE" w14:textId="5C181DDC" w:rsidR="001F60A2" w:rsidRPr="001F60A2" w:rsidRDefault="001F60A2" w:rsidP="001F60A2">
      <w:pPr>
        <w:keepNext/>
        <w:spacing w:before="120"/>
        <w:jc w:val="center"/>
        <w:rPr>
          <w:rFonts w:ascii="Times New Roman" w:hAnsi="Times New Roman" w:cs="Times New Roman"/>
          <w:sz w:val="24"/>
          <w:szCs w:val="24"/>
        </w:rPr>
      </w:pPr>
      <w:r w:rsidRPr="001F60A2">
        <w:rPr>
          <w:rFonts w:ascii="Times New Roman" w:hAnsi="Times New Roman" w:cs="Times New Roman"/>
          <w:noProof/>
          <w:sz w:val="24"/>
          <w:szCs w:val="24"/>
          <w:lang w:eastAsia="pl-PL"/>
        </w:rPr>
        <w:lastRenderedPageBreak/>
        <w:drawing>
          <wp:inline distT="0" distB="0" distL="0" distR="0" wp14:anchorId="51B1EC3A" wp14:editId="6544191B">
            <wp:extent cx="2905125" cy="4010025"/>
            <wp:effectExtent l="0" t="0" r="9525" b="9525"/>
            <wp:docPr id="107" name="Obraz 107" descr="W-Wa azo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W-Wa azoty"/>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905125" cy="4010025"/>
                    </a:xfrm>
                    <a:prstGeom prst="rect">
                      <a:avLst/>
                    </a:prstGeom>
                    <a:noFill/>
                    <a:ln>
                      <a:noFill/>
                    </a:ln>
                  </pic:spPr>
                </pic:pic>
              </a:graphicData>
            </a:graphic>
          </wp:inline>
        </w:drawing>
      </w:r>
    </w:p>
    <w:p w14:paraId="7C3CA6A3" w14:textId="143CF44A" w:rsidR="001F60A2" w:rsidRPr="001F60A2" w:rsidRDefault="001F60A2" w:rsidP="001F60A2">
      <w:pPr>
        <w:pStyle w:val="Legenda"/>
        <w:jc w:val="center"/>
        <w:rPr>
          <w:b w:val="0"/>
          <w:bCs w:val="0"/>
          <w:color w:val="000000" w:themeColor="text1"/>
          <w:sz w:val="20"/>
          <w:szCs w:val="20"/>
        </w:rPr>
      </w:pPr>
      <w:r w:rsidRPr="001F2C79">
        <w:rPr>
          <w:color w:val="000000" w:themeColor="text1"/>
          <w:sz w:val="22"/>
          <w:szCs w:val="22"/>
        </w:rPr>
        <w:t>Zdjęcie</w:t>
      </w:r>
      <w:r w:rsidR="001F2C79" w:rsidRPr="001F2C79">
        <w:rPr>
          <w:color w:val="000000" w:themeColor="text1"/>
          <w:sz w:val="22"/>
          <w:szCs w:val="22"/>
          <w:lang w:val="pl-PL"/>
        </w:rPr>
        <w:t xml:space="preserve"> 7</w:t>
      </w:r>
      <w:r w:rsidR="005261DF">
        <w:rPr>
          <w:color w:val="000000" w:themeColor="text1"/>
          <w:sz w:val="22"/>
          <w:szCs w:val="22"/>
          <w:lang w:val="pl-PL"/>
        </w:rPr>
        <w:t>5</w:t>
      </w:r>
      <w:r w:rsidR="001F2C79" w:rsidRPr="001F2C79">
        <w:rPr>
          <w:color w:val="000000" w:themeColor="text1"/>
          <w:sz w:val="22"/>
          <w:szCs w:val="22"/>
          <w:lang w:val="pl-PL"/>
        </w:rPr>
        <w:t>.</w:t>
      </w:r>
      <w:r w:rsidR="001F2C79">
        <w:rPr>
          <w:color w:val="000000" w:themeColor="text1"/>
          <w:sz w:val="20"/>
          <w:szCs w:val="20"/>
          <w:lang w:val="pl-PL"/>
        </w:rPr>
        <w:t xml:space="preserve"> </w:t>
      </w:r>
      <w:r w:rsidRPr="001F2C79">
        <w:rPr>
          <w:bCs w:val="0"/>
          <w:color w:val="000000" w:themeColor="text1"/>
          <w:sz w:val="22"/>
          <w:szCs w:val="22"/>
        </w:rPr>
        <w:t>Badanie biegłości PT/1/2022 w Warszawie, okolice Mostu Łazienkowskiego na Kanale Piaseczyńskim, gdzie obiektem badań była woda powierzchniowa</w:t>
      </w:r>
    </w:p>
    <w:p w14:paraId="3DD1B5DF" w14:textId="77777777" w:rsidR="001F60A2" w:rsidRPr="001F60A2" w:rsidRDefault="001F60A2" w:rsidP="001F60A2">
      <w:pPr>
        <w:rPr>
          <w:rFonts w:ascii="Times New Roman" w:hAnsi="Times New Roman" w:cs="Times New Roman"/>
          <w:sz w:val="24"/>
          <w:szCs w:val="24"/>
        </w:rPr>
      </w:pPr>
    </w:p>
    <w:p w14:paraId="313B1330" w14:textId="21002614" w:rsidR="001F60A2" w:rsidRPr="001F60A2" w:rsidRDefault="001F60A2" w:rsidP="001F60A2">
      <w:pPr>
        <w:keepNext/>
        <w:jc w:val="center"/>
        <w:rPr>
          <w:rFonts w:ascii="Times New Roman" w:hAnsi="Times New Roman" w:cs="Times New Roman"/>
          <w:sz w:val="24"/>
          <w:szCs w:val="24"/>
        </w:rPr>
      </w:pPr>
      <w:r w:rsidRPr="001F60A2">
        <w:rPr>
          <w:rFonts w:ascii="Times New Roman" w:hAnsi="Times New Roman" w:cs="Times New Roman"/>
          <w:noProof/>
          <w:sz w:val="24"/>
          <w:szCs w:val="24"/>
          <w:lang w:eastAsia="pl-PL"/>
        </w:rPr>
        <w:drawing>
          <wp:inline distT="0" distB="0" distL="0" distR="0" wp14:anchorId="31C04A0F" wp14:editId="0084151A">
            <wp:extent cx="4457700" cy="2510760"/>
            <wp:effectExtent l="0" t="0" r="0" b="4445"/>
            <wp:docPr id="106" name="Obraz 106" descr="zdjęcie sprze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zdjęcie sprzetu"/>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465443" cy="2515121"/>
                    </a:xfrm>
                    <a:prstGeom prst="rect">
                      <a:avLst/>
                    </a:prstGeom>
                    <a:noFill/>
                    <a:ln>
                      <a:noFill/>
                    </a:ln>
                  </pic:spPr>
                </pic:pic>
              </a:graphicData>
            </a:graphic>
          </wp:inline>
        </w:drawing>
      </w:r>
    </w:p>
    <w:p w14:paraId="425BF6D9" w14:textId="004631AF" w:rsidR="001F60A2" w:rsidRPr="001F60A2" w:rsidRDefault="001F60A2" w:rsidP="001F60A2">
      <w:pPr>
        <w:pStyle w:val="Legenda"/>
        <w:jc w:val="center"/>
        <w:rPr>
          <w:color w:val="000000" w:themeColor="text1"/>
          <w:sz w:val="20"/>
          <w:szCs w:val="20"/>
        </w:rPr>
      </w:pPr>
      <w:r w:rsidRPr="001F2C79">
        <w:rPr>
          <w:color w:val="000000" w:themeColor="text1"/>
          <w:sz w:val="22"/>
          <w:szCs w:val="22"/>
        </w:rPr>
        <w:t xml:space="preserve">Zdjęcie </w:t>
      </w:r>
      <w:r w:rsidR="001F2C79" w:rsidRPr="001F2C79">
        <w:rPr>
          <w:color w:val="000000" w:themeColor="text1"/>
          <w:sz w:val="22"/>
          <w:szCs w:val="22"/>
          <w:lang w:val="pl-PL"/>
        </w:rPr>
        <w:t>7</w:t>
      </w:r>
      <w:r w:rsidR="005261DF">
        <w:rPr>
          <w:color w:val="000000" w:themeColor="text1"/>
          <w:sz w:val="22"/>
          <w:szCs w:val="22"/>
          <w:lang w:val="pl-PL"/>
        </w:rPr>
        <w:t>6</w:t>
      </w:r>
      <w:r w:rsidR="001F2C79" w:rsidRPr="001F2C79">
        <w:rPr>
          <w:color w:val="000000" w:themeColor="text1"/>
          <w:sz w:val="22"/>
          <w:szCs w:val="22"/>
          <w:lang w:val="pl-PL"/>
        </w:rPr>
        <w:t>.</w:t>
      </w:r>
      <w:r w:rsidR="001F2C79">
        <w:rPr>
          <w:color w:val="000000" w:themeColor="text1"/>
          <w:sz w:val="20"/>
          <w:szCs w:val="20"/>
          <w:lang w:val="pl-PL"/>
        </w:rPr>
        <w:t xml:space="preserve"> </w:t>
      </w:r>
      <w:r w:rsidRPr="001F2C79">
        <w:rPr>
          <w:bCs w:val="0"/>
          <w:color w:val="000000" w:themeColor="text1"/>
          <w:sz w:val="22"/>
          <w:szCs w:val="22"/>
        </w:rPr>
        <w:t xml:space="preserve">Porównanie </w:t>
      </w:r>
      <w:proofErr w:type="spellStart"/>
      <w:r w:rsidRPr="001F2C79">
        <w:rPr>
          <w:bCs w:val="0"/>
          <w:color w:val="000000" w:themeColor="text1"/>
          <w:sz w:val="22"/>
          <w:szCs w:val="22"/>
        </w:rPr>
        <w:t>międzylaboratoryjne</w:t>
      </w:r>
      <w:proofErr w:type="spellEnd"/>
      <w:r w:rsidRPr="001F2C79">
        <w:rPr>
          <w:bCs w:val="0"/>
          <w:color w:val="000000" w:themeColor="text1"/>
          <w:sz w:val="22"/>
          <w:szCs w:val="22"/>
        </w:rPr>
        <w:t xml:space="preserve"> ILC/3/2022 w Giżycku, gdzie obiektem badań </w:t>
      </w:r>
      <w:r w:rsidR="001F2C79">
        <w:rPr>
          <w:bCs w:val="0"/>
          <w:color w:val="000000" w:themeColor="text1"/>
          <w:sz w:val="22"/>
          <w:szCs w:val="22"/>
        </w:rPr>
        <w:br/>
      </w:r>
      <w:r w:rsidRPr="001F2C79">
        <w:rPr>
          <w:bCs w:val="0"/>
          <w:color w:val="000000" w:themeColor="text1"/>
          <w:sz w:val="22"/>
          <w:szCs w:val="22"/>
        </w:rPr>
        <w:t>była woda podziemna</w:t>
      </w:r>
    </w:p>
    <w:p w14:paraId="17A8229D" w14:textId="297B8699" w:rsidR="00424EC2" w:rsidRDefault="001F60A2" w:rsidP="00A449AB">
      <w:pPr>
        <w:spacing w:before="120" w:after="240" w:line="300" w:lineRule="atLeast"/>
        <w:jc w:val="both"/>
        <w:rPr>
          <w:rFonts w:ascii="Times New Roman" w:hAnsi="Times New Roman" w:cs="Times New Roman"/>
          <w:color w:val="000000"/>
          <w:sz w:val="24"/>
          <w:szCs w:val="24"/>
        </w:rPr>
      </w:pPr>
      <w:r w:rsidRPr="001F60A2">
        <w:rPr>
          <w:rFonts w:ascii="Times New Roman" w:hAnsi="Times New Roman" w:cs="Times New Roman"/>
          <w:color w:val="000000"/>
          <w:sz w:val="24"/>
          <w:szCs w:val="24"/>
        </w:rPr>
        <w:t xml:space="preserve">Wyniki uzyskane przez uczestników w ww. PT/ILC zostały przedstawione graficznie na </w:t>
      </w:r>
      <w:r w:rsidR="00CA2046">
        <w:rPr>
          <w:rFonts w:ascii="Times New Roman" w:hAnsi="Times New Roman" w:cs="Times New Roman"/>
          <w:color w:val="000000"/>
          <w:sz w:val="24"/>
          <w:szCs w:val="24"/>
        </w:rPr>
        <w:t>wykresach</w:t>
      </w:r>
      <w:r w:rsidRPr="001F60A2">
        <w:rPr>
          <w:rFonts w:ascii="Times New Roman" w:hAnsi="Times New Roman" w:cs="Times New Roman"/>
          <w:color w:val="000000"/>
          <w:sz w:val="24"/>
          <w:szCs w:val="24"/>
        </w:rPr>
        <w:t xml:space="preserve">. Najmniejszy procent wyników zadowalających uzyskano dla parametrów biologicznych - 92%, a największy 96% dla pomiarów terenowych. Pojedyncze wyniki wątpliwe są dopuszczalne i wynikają z przyczyn losowych. Wyniki PT/ILC w 2022 roku </w:t>
      </w:r>
      <w:r w:rsidRPr="001F60A2">
        <w:rPr>
          <w:rFonts w:ascii="Times New Roman" w:hAnsi="Times New Roman" w:cs="Times New Roman"/>
          <w:color w:val="000000"/>
          <w:sz w:val="24"/>
          <w:szCs w:val="24"/>
        </w:rPr>
        <w:lastRenderedPageBreak/>
        <w:t>świadczą o wysokich kompetencjach pracowników laboratorium CLB w zakresie badanych oznaczeń.</w:t>
      </w:r>
      <w:r w:rsidR="00424EC2" w:rsidRPr="00424EC2">
        <w:rPr>
          <w:rFonts w:ascii="Times New Roman" w:hAnsi="Times New Roman" w:cs="Times New Roman"/>
          <w:color w:val="000000"/>
          <w:sz w:val="24"/>
          <w:szCs w:val="24"/>
        </w:rPr>
        <w:t xml:space="preserve"> </w:t>
      </w:r>
    </w:p>
    <w:p w14:paraId="4649F198" w14:textId="77777777" w:rsidR="007A394D" w:rsidRDefault="007A394D" w:rsidP="00424EC2">
      <w:pPr>
        <w:spacing w:before="120" w:after="240"/>
        <w:jc w:val="both"/>
        <w:rPr>
          <w:noProof/>
        </w:rPr>
      </w:pPr>
      <w:r w:rsidRPr="00C050E6">
        <w:rPr>
          <w:noProof/>
          <w:lang w:eastAsia="pl-PL"/>
        </w:rPr>
        <w:drawing>
          <wp:inline distT="0" distB="0" distL="0" distR="0" wp14:anchorId="1D4CF671" wp14:editId="2C970792">
            <wp:extent cx="2857500" cy="2260600"/>
            <wp:effectExtent l="0" t="0" r="0" b="6350"/>
            <wp:docPr id="18" name="Wykres 18" descr="Wykresy 35 Zestawienie wyników uzyskanych przez uczestników w PT/ILC w 2022 r. dla parametrów: a) terenowych,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14:paraId="7825DBB8" w14:textId="3E43B37F" w:rsidR="007A394D" w:rsidRDefault="00424EC2" w:rsidP="00424EC2">
      <w:pPr>
        <w:spacing w:before="120" w:after="240"/>
        <w:jc w:val="both"/>
        <w:rPr>
          <w:noProof/>
        </w:rPr>
      </w:pPr>
      <w:r w:rsidRPr="00010CB4">
        <w:rPr>
          <w:noProof/>
        </w:rPr>
        <w:t>a)</w:t>
      </w:r>
    </w:p>
    <w:p w14:paraId="4F72C528" w14:textId="1DFA1EE0" w:rsidR="007A394D" w:rsidRDefault="00424EC2" w:rsidP="00424EC2">
      <w:pPr>
        <w:spacing w:before="120" w:after="240"/>
        <w:jc w:val="both"/>
        <w:rPr>
          <w:noProof/>
        </w:rPr>
      </w:pPr>
      <w:r>
        <w:rPr>
          <w:noProof/>
        </w:rPr>
        <w:t xml:space="preserve">  </w:t>
      </w:r>
      <w:r w:rsidR="007A394D" w:rsidRPr="00C050E6">
        <w:rPr>
          <w:noProof/>
          <w:lang w:eastAsia="pl-PL"/>
        </w:rPr>
        <w:drawing>
          <wp:inline distT="0" distB="0" distL="0" distR="0" wp14:anchorId="1F7F4022" wp14:editId="6FCC1A23">
            <wp:extent cx="2647950" cy="2228850"/>
            <wp:effectExtent l="0" t="0" r="0" b="0"/>
            <wp:docPr id="16" name="Wykres 16" descr="Wykresy 36 Zestawienie wyników uzyskanych przez uczestników w PT/ILC w 2022 r. dla parametrów: b) fizykochemicznych,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14:paraId="2844A9CB" w14:textId="3527B5B6" w:rsidR="00424EC2" w:rsidRPr="005E143B" w:rsidRDefault="00424EC2" w:rsidP="00424EC2">
      <w:pPr>
        <w:spacing w:before="120" w:after="240"/>
        <w:jc w:val="both"/>
        <w:rPr>
          <w:color w:val="000000"/>
        </w:rPr>
      </w:pPr>
      <w:r>
        <w:rPr>
          <w:noProof/>
        </w:rPr>
        <w:t xml:space="preserve"> </w:t>
      </w:r>
      <w:r w:rsidRPr="00010CB4">
        <w:rPr>
          <w:noProof/>
        </w:rPr>
        <w:t>b)</w:t>
      </w:r>
    </w:p>
    <w:p w14:paraId="686B6DED" w14:textId="51EDCF4A" w:rsidR="007A394D" w:rsidRDefault="007A394D" w:rsidP="00424EC2">
      <w:pPr>
        <w:spacing w:after="240"/>
        <w:jc w:val="both"/>
        <w:rPr>
          <w:color w:val="000000"/>
        </w:rPr>
      </w:pPr>
    </w:p>
    <w:p w14:paraId="6D329288" w14:textId="050F218F" w:rsidR="00424EC2" w:rsidRDefault="00424EC2" w:rsidP="00424EC2">
      <w:pPr>
        <w:spacing w:after="240"/>
        <w:jc w:val="both"/>
        <w:rPr>
          <w:noProof/>
        </w:rPr>
      </w:pPr>
      <w:r w:rsidRPr="00010CB4">
        <w:rPr>
          <w:color w:val="000000"/>
        </w:rPr>
        <w:t>c)</w:t>
      </w:r>
      <w:r w:rsidRPr="00C050E6">
        <w:rPr>
          <w:noProof/>
          <w:lang w:eastAsia="pl-PL"/>
        </w:rPr>
        <w:drawing>
          <wp:inline distT="0" distB="0" distL="0" distR="0" wp14:anchorId="1E24EB77" wp14:editId="62EC8B6B">
            <wp:extent cx="2838450" cy="2314575"/>
            <wp:effectExtent l="0" t="0" r="0" b="9525"/>
            <wp:docPr id="20" name="Wykres 20" descr="Wykresy 37. Zestawienie wyników uzyskanych przez uczestników w PT/ILC &#10;w 2022 r. dla parametrów: &#10;c) chromatograficznych,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r>
        <w:rPr>
          <w:color w:val="000000"/>
        </w:rPr>
        <w:t xml:space="preserve">  </w:t>
      </w:r>
      <w:r w:rsidRPr="00387C51">
        <w:rPr>
          <w:noProof/>
        </w:rPr>
        <w:t xml:space="preserve">d) </w:t>
      </w:r>
      <w:r w:rsidR="007A394D" w:rsidRPr="00C050E6">
        <w:rPr>
          <w:noProof/>
          <w:lang w:eastAsia="pl-PL"/>
        </w:rPr>
        <w:drawing>
          <wp:inline distT="0" distB="0" distL="0" distR="0" wp14:anchorId="30871702" wp14:editId="498A7A13">
            <wp:extent cx="2565400" cy="2311400"/>
            <wp:effectExtent l="0" t="0" r="25400" b="12700"/>
            <wp:docPr id="19" name="Wykres 19" descr="Wykresy 38 Zestawienie wyników uzyskanych przez uczestników w PT/ILC &#10;w 2022 r. dla parametrów:  d) metali&#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14:paraId="482C57AD" w14:textId="77777777" w:rsidR="00424EC2" w:rsidRDefault="00424EC2" w:rsidP="00424EC2">
      <w:pPr>
        <w:spacing w:after="240"/>
        <w:jc w:val="center"/>
        <w:rPr>
          <w:noProof/>
        </w:rPr>
      </w:pPr>
      <w:r w:rsidRPr="006A2C62">
        <w:rPr>
          <w:noProof/>
        </w:rPr>
        <w:lastRenderedPageBreak/>
        <w:t xml:space="preserve">e) </w:t>
      </w:r>
      <w:r w:rsidRPr="00C050E6">
        <w:rPr>
          <w:noProof/>
          <w:lang w:eastAsia="pl-PL"/>
        </w:rPr>
        <w:drawing>
          <wp:inline distT="0" distB="0" distL="0" distR="0" wp14:anchorId="42F5ADDE" wp14:editId="3F382567">
            <wp:extent cx="3114675" cy="1790700"/>
            <wp:effectExtent l="0" t="0" r="9525" b="0"/>
            <wp:docPr id="43" name="Wykres 43" descr="Wykresy 39. Zestawienie wyników uzyskanych przez uczestników w PT/ILC &#10;w 2022 r. dla parametrów:  e) biologicznych.&#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14:paraId="46075607" w14:textId="253DE016" w:rsidR="001F60A2" w:rsidRPr="001B5BE5" w:rsidRDefault="001B5BE5" w:rsidP="001B5BE5">
      <w:pPr>
        <w:pStyle w:val="Akapitzlist"/>
        <w:jc w:val="center"/>
        <w:rPr>
          <w:b/>
          <w:noProof/>
          <w:sz w:val="22"/>
          <w:szCs w:val="22"/>
        </w:rPr>
      </w:pPr>
      <w:r w:rsidRPr="001B5BE5">
        <w:rPr>
          <w:b/>
          <w:noProof/>
          <w:sz w:val="22"/>
          <w:szCs w:val="22"/>
          <w:lang w:val="pl-PL"/>
        </w:rPr>
        <w:t>Wykresy 35-39</w:t>
      </w:r>
      <w:r w:rsidR="001F60A2" w:rsidRPr="001B5BE5">
        <w:rPr>
          <w:b/>
          <w:noProof/>
          <w:sz w:val="22"/>
          <w:szCs w:val="22"/>
        </w:rPr>
        <w:t xml:space="preserve">. Zestawienie wyników uzyskanych przez uczestników w PT/ILC </w:t>
      </w:r>
      <w:r>
        <w:rPr>
          <w:b/>
          <w:noProof/>
          <w:sz w:val="22"/>
          <w:szCs w:val="22"/>
        </w:rPr>
        <w:br/>
      </w:r>
      <w:r w:rsidR="001F60A2" w:rsidRPr="001B5BE5">
        <w:rPr>
          <w:b/>
          <w:noProof/>
          <w:sz w:val="22"/>
          <w:szCs w:val="22"/>
        </w:rPr>
        <w:t xml:space="preserve">w 2022 r. dla parametrów: a) terenowych, b) fizykochemicznych, </w:t>
      </w:r>
      <w:r>
        <w:rPr>
          <w:b/>
          <w:noProof/>
          <w:sz w:val="22"/>
          <w:szCs w:val="22"/>
        </w:rPr>
        <w:br/>
      </w:r>
      <w:r w:rsidR="001F60A2" w:rsidRPr="001B5BE5">
        <w:rPr>
          <w:b/>
          <w:noProof/>
          <w:sz w:val="22"/>
          <w:szCs w:val="22"/>
        </w:rPr>
        <w:t>c) chromatograficznych, d) metali, e) biologicznych.</w:t>
      </w:r>
    </w:p>
    <w:p w14:paraId="227C2AAE" w14:textId="77777777" w:rsidR="001F60A2" w:rsidRPr="001F60A2" w:rsidRDefault="001F60A2" w:rsidP="001F60A2">
      <w:pPr>
        <w:pStyle w:val="Akapitzlist"/>
        <w:ind w:left="0"/>
        <w:rPr>
          <w:color w:val="000000"/>
          <w:sz w:val="24"/>
          <w:szCs w:val="24"/>
        </w:rPr>
      </w:pPr>
    </w:p>
    <w:p w14:paraId="2F497856" w14:textId="709F3351" w:rsidR="00895F16" w:rsidRDefault="001F60A2" w:rsidP="00A449AB">
      <w:pPr>
        <w:spacing w:after="0" w:line="300" w:lineRule="atLeast"/>
        <w:ind w:firstLine="567"/>
        <w:jc w:val="both"/>
        <w:rPr>
          <w:rFonts w:ascii="Times New Roman" w:hAnsi="Times New Roman" w:cs="Times New Roman"/>
          <w:color w:val="000000"/>
          <w:sz w:val="24"/>
          <w:szCs w:val="24"/>
        </w:rPr>
      </w:pPr>
      <w:r w:rsidRPr="001F60A2">
        <w:rPr>
          <w:rFonts w:ascii="Times New Roman" w:hAnsi="Times New Roman" w:cs="Times New Roman"/>
          <w:color w:val="000000"/>
          <w:sz w:val="24"/>
          <w:szCs w:val="24"/>
        </w:rPr>
        <w:t xml:space="preserve">W związku z sytuacją na Odrze, KLRW uczestniczyło w opracowaniu </w:t>
      </w:r>
      <w:r w:rsidRPr="001F60A2">
        <w:rPr>
          <w:rFonts w:ascii="Times New Roman" w:hAnsi="Times New Roman" w:cs="Times New Roman"/>
          <w:i/>
          <w:iCs/>
          <w:color w:val="000000"/>
          <w:sz w:val="24"/>
          <w:szCs w:val="24"/>
        </w:rPr>
        <w:t xml:space="preserve">Procedury monitorowania interwencyjnego </w:t>
      </w:r>
      <w:proofErr w:type="spellStart"/>
      <w:r w:rsidRPr="001F60A2">
        <w:rPr>
          <w:rFonts w:ascii="Times New Roman" w:hAnsi="Times New Roman" w:cs="Times New Roman"/>
          <w:i/>
          <w:iCs/>
          <w:color w:val="000000"/>
          <w:sz w:val="24"/>
          <w:szCs w:val="24"/>
        </w:rPr>
        <w:t>Prymnesium</w:t>
      </w:r>
      <w:proofErr w:type="spellEnd"/>
      <w:r w:rsidRPr="001F60A2">
        <w:rPr>
          <w:rFonts w:ascii="Times New Roman" w:hAnsi="Times New Roman" w:cs="Times New Roman"/>
          <w:i/>
          <w:iCs/>
          <w:color w:val="000000"/>
          <w:sz w:val="24"/>
          <w:szCs w:val="24"/>
        </w:rPr>
        <w:t xml:space="preserve"> </w:t>
      </w:r>
      <w:proofErr w:type="spellStart"/>
      <w:r w:rsidRPr="001F60A2">
        <w:rPr>
          <w:rFonts w:ascii="Times New Roman" w:hAnsi="Times New Roman" w:cs="Times New Roman"/>
          <w:i/>
          <w:iCs/>
          <w:color w:val="000000"/>
          <w:sz w:val="24"/>
          <w:szCs w:val="24"/>
        </w:rPr>
        <w:t>parvum</w:t>
      </w:r>
      <w:proofErr w:type="spellEnd"/>
      <w:r w:rsidRPr="001F60A2">
        <w:rPr>
          <w:rFonts w:ascii="Times New Roman" w:hAnsi="Times New Roman" w:cs="Times New Roman"/>
          <w:i/>
          <w:iCs/>
          <w:color w:val="000000"/>
          <w:sz w:val="24"/>
          <w:szCs w:val="24"/>
        </w:rPr>
        <w:t xml:space="preserve"> „złotej algi”</w:t>
      </w:r>
      <w:r w:rsidRPr="001F60A2">
        <w:rPr>
          <w:rFonts w:ascii="Times New Roman" w:hAnsi="Times New Roman" w:cs="Times New Roman"/>
          <w:color w:val="000000"/>
          <w:sz w:val="24"/>
          <w:szCs w:val="24"/>
        </w:rPr>
        <w:t>. Poziomy alarmowe zawarte w procedurze, na podstawie których przypisywany jest stopień zagrożenia wystąpienia zakwitu „złotej algi”, zostały wyznaczone przez KLRW na podstawie analizy danych otrzymanych od CLB</w:t>
      </w:r>
      <w:r>
        <w:rPr>
          <w:rFonts w:ascii="Times New Roman" w:hAnsi="Times New Roman" w:cs="Times New Roman"/>
          <w:color w:val="000000"/>
          <w:sz w:val="24"/>
          <w:szCs w:val="24"/>
        </w:rPr>
        <w:t>.</w:t>
      </w:r>
    </w:p>
    <w:p w14:paraId="26809041" w14:textId="77777777" w:rsidR="00A449AB" w:rsidRPr="007F400A" w:rsidRDefault="00A449AB" w:rsidP="00A449AB">
      <w:pPr>
        <w:spacing w:after="0" w:line="300" w:lineRule="atLeast"/>
        <w:ind w:firstLine="567"/>
        <w:jc w:val="both"/>
        <w:rPr>
          <w:rFonts w:ascii="Times New Roman" w:eastAsia="Times New Roman" w:hAnsi="Times New Roman" w:cs="Times New Roman"/>
          <w:b/>
          <w:bCs/>
          <w:sz w:val="28"/>
          <w:szCs w:val="28"/>
          <w:lang w:val="x-none" w:eastAsia="x-none"/>
        </w:rPr>
      </w:pPr>
    </w:p>
    <w:p w14:paraId="3B935333" w14:textId="543B005B" w:rsidR="00A449AB" w:rsidRPr="00A449AB" w:rsidRDefault="000F588C" w:rsidP="00A449AB">
      <w:pPr>
        <w:pStyle w:val="Nagwek1"/>
        <w:spacing w:after="120" w:line="300" w:lineRule="atLeast"/>
        <w:rPr>
          <w:bCs w:val="0"/>
        </w:rPr>
      </w:pPr>
      <w:bookmarkStart w:id="438" w:name="_Toc135935727"/>
      <w:r w:rsidRPr="00A449AB">
        <w:rPr>
          <w:bCs w:val="0"/>
        </w:rPr>
        <w:t xml:space="preserve">4. </w:t>
      </w:r>
      <w:r w:rsidR="00EF3F05" w:rsidRPr="00A449AB">
        <w:rPr>
          <w:bCs w:val="0"/>
        </w:rPr>
        <w:t>Sprzęt i wyposażenie</w:t>
      </w:r>
      <w:r w:rsidR="00A449AB" w:rsidRPr="00A449AB">
        <w:rPr>
          <w:bCs w:val="0"/>
        </w:rPr>
        <w:t xml:space="preserve"> laboratoriów</w:t>
      </w:r>
      <w:bookmarkEnd w:id="438"/>
    </w:p>
    <w:p w14:paraId="087E31C8" w14:textId="15003C6D" w:rsidR="00EF3F05" w:rsidRDefault="00EF3F05" w:rsidP="00A449AB">
      <w:pPr>
        <w:spacing w:line="300" w:lineRule="atLeast"/>
        <w:jc w:val="both"/>
        <w:rPr>
          <w:rFonts w:ascii="Times New Roman" w:eastAsia="Times New Roman" w:hAnsi="Times New Roman" w:cs="Times New Roman"/>
          <w:bCs/>
          <w:sz w:val="24"/>
          <w:szCs w:val="24"/>
          <w:lang w:eastAsia="x-none"/>
        </w:rPr>
      </w:pPr>
      <w:r w:rsidRPr="00EF3F05">
        <w:rPr>
          <w:rFonts w:ascii="Times New Roman" w:eastAsia="Times New Roman" w:hAnsi="Times New Roman" w:cs="Times New Roman"/>
          <w:bCs/>
          <w:sz w:val="24"/>
          <w:szCs w:val="24"/>
          <w:lang w:eastAsia="x-none"/>
        </w:rPr>
        <w:t xml:space="preserve">W roku </w:t>
      </w:r>
      <w:r>
        <w:rPr>
          <w:rFonts w:ascii="Times New Roman" w:eastAsia="Times New Roman" w:hAnsi="Times New Roman" w:cs="Times New Roman"/>
          <w:bCs/>
          <w:sz w:val="24"/>
          <w:szCs w:val="24"/>
          <w:lang w:eastAsia="x-none"/>
        </w:rPr>
        <w:t xml:space="preserve">2022, w wyniku zakupów, laboratoria zostały doposażone w następujący sprzęt </w:t>
      </w:r>
      <w:r>
        <w:rPr>
          <w:rFonts w:ascii="Times New Roman" w:eastAsia="Times New Roman" w:hAnsi="Times New Roman" w:cs="Times New Roman"/>
          <w:bCs/>
          <w:sz w:val="24"/>
          <w:szCs w:val="24"/>
          <w:lang w:eastAsia="x-none"/>
        </w:rPr>
        <w:br/>
        <w:t xml:space="preserve">i wyposażenie: </w:t>
      </w:r>
    </w:p>
    <w:p w14:paraId="2DF736B2" w14:textId="77777777" w:rsidR="0019503A" w:rsidRDefault="0019503A" w:rsidP="00A449AB">
      <w:pPr>
        <w:spacing w:after="60" w:line="300" w:lineRule="atLeast"/>
        <w:rPr>
          <w:rFonts w:ascii="Times New Roman" w:eastAsia="Times New Roman" w:hAnsi="Times New Roman" w:cs="Times New Roman"/>
          <w:b/>
          <w:bCs/>
          <w:sz w:val="24"/>
          <w:szCs w:val="24"/>
          <w:lang w:eastAsia="x-none"/>
        </w:rPr>
      </w:pPr>
      <w:r>
        <w:rPr>
          <w:rFonts w:ascii="Times New Roman" w:eastAsia="Times New Roman" w:hAnsi="Times New Roman" w:cs="Times New Roman"/>
          <w:b/>
          <w:bCs/>
          <w:sz w:val="24"/>
          <w:szCs w:val="24"/>
          <w:lang w:eastAsia="x-none"/>
        </w:rPr>
        <w:t>Krajowe Laboratorium Referencyjne do spraw jakości powietrza atmosferycznego:</w:t>
      </w:r>
    </w:p>
    <w:p w14:paraId="7FFA2540" w14:textId="77777777" w:rsidR="0019503A" w:rsidRPr="0019503A" w:rsidRDefault="0019503A" w:rsidP="00A449AB">
      <w:pPr>
        <w:pStyle w:val="Akapitzlist"/>
        <w:numPr>
          <w:ilvl w:val="0"/>
          <w:numId w:val="349"/>
        </w:numPr>
        <w:spacing w:line="300" w:lineRule="atLeast"/>
        <w:jc w:val="both"/>
        <w:rPr>
          <w:rFonts w:eastAsia="Times New Roman"/>
          <w:b/>
          <w:bCs/>
          <w:sz w:val="24"/>
          <w:szCs w:val="24"/>
          <w:lang w:eastAsia="x-none"/>
        </w:rPr>
      </w:pPr>
      <w:r w:rsidRPr="0019503A">
        <w:rPr>
          <w:rFonts w:eastAsia="Times New Roman"/>
          <w:sz w:val="24"/>
          <w:szCs w:val="24"/>
        </w:rPr>
        <w:t>Analizator do pomiarów zanieczyszczeń dwutlenku siarki</w:t>
      </w:r>
      <w:r w:rsidRPr="0019503A">
        <w:rPr>
          <w:sz w:val="24"/>
          <w:szCs w:val="24"/>
        </w:rPr>
        <w:t xml:space="preserve"> – 1szt.</w:t>
      </w:r>
    </w:p>
    <w:p w14:paraId="3A73F93E" w14:textId="77777777" w:rsidR="0019503A" w:rsidRPr="0019503A" w:rsidRDefault="0019503A" w:rsidP="00A449AB">
      <w:pPr>
        <w:pStyle w:val="Akapitzlist"/>
        <w:numPr>
          <w:ilvl w:val="0"/>
          <w:numId w:val="349"/>
        </w:numPr>
        <w:spacing w:after="120" w:line="300" w:lineRule="atLeast"/>
        <w:jc w:val="both"/>
        <w:rPr>
          <w:rFonts w:eastAsia="Times New Roman"/>
          <w:sz w:val="24"/>
          <w:szCs w:val="24"/>
        </w:rPr>
      </w:pPr>
      <w:r w:rsidRPr="0019503A">
        <w:rPr>
          <w:rFonts w:eastAsia="Times New Roman"/>
          <w:sz w:val="24"/>
          <w:szCs w:val="24"/>
        </w:rPr>
        <w:t>Analizator do pomiarów zanieczyszczeń ozonu</w:t>
      </w:r>
      <w:r w:rsidRPr="0019503A">
        <w:rPr>
          <w:sz w:val="24"/>
          <w:szCs w:val="24"/>
        </w:rPr>
        <w:t xml:space="preserve"> – 1szt.</w:t>
      </w:r>
      <w:r w:rsidRPr="0019503A">
        <w:rPr>
          <w:rFonts w:eastAsia="Times New Roman"/>
          <w:sz w:val="24"/>
          <w:szCs w:val="24"/>
        </w:rPr>
        <w:t xml:space="preserve"> </w:t>
      </w:r>
    </w:p>
    <w:p w14:paraId="7AC69043" w14:textId="2DE6C87A" w:rsidR="006A262F" w:rsidRDefault="006A262F" w:rsidP="00A449AB">
      <w:pPr>
        <w:spacing w:after="0" w:line="300" w:lineRule="atLeast"/>
        <w:rPr>
          <w:rFonts w:ascii="Times New Roman" w:eastAsia="Times New Roman" w:hAnsi="Times New Roman" w:cs="Times New Roman"/>
          <w:b/>
          <w:bCs/>
          <w:sz w:val="24"/>
          <w:szCs w:val="24"/>
          <w:lang w:eastAsia="x-none"/>
        </w:rPr>
      </w:pPr>
      <w:r>
        <w:rPr>
          <w:rFonts w:ascii="Times New Roman" w:eastAsia="Times New Roman" w:hAnsi="Times New Roman" w:cs="Times New Roman"/>
          <w:b/>
          <w:bCs/>
          <w:sz w:val="24"/>
          <w:szCs w:val="24"/>
          <w:lang w:eastAsia="x-none"/>
        </w:rPr>
        <w:t xml:space="preserve">Centralne Laboratorium Badawcze: </w:t>
      </w:r>
    </w:p>
    <w:p w14:paraId="09A5C7B1" w14:textId="61C23F34" w:rsidR="006A262F" w:rsidRPr="006A262F" w:rsidRDefault="006A262F" w:rsidP="00A449AB">
      <w:pPr>
        <w:pStyle w:val="Akapitzlist"/>
        <w:numPr>
          <w:ilvl w:val="0"/>
          <w:numId w:val="214"/>
        </w:numPr>
        <w:spacing w:line="300" w:lineRule="atLeast"/>
        <w:ind w:left="641" w:hanging="357"/>
        <w:jc w:val="both"/>
        <w:rPr>
          <w:rFonts w:eastAsia="Times New Roman"/>
          <w:b/>
          <w:bCs/>
          <w:sz w:val="24"/>
          <w:szCs w:val="24"/>
          <w:lang w:eastAsia="x-none"/>
        </w:rPr>
      </w:pPr>
      <w:r w:rsidRPr="006A262F">
        <w:rPr>
          <w:sz w:val="24"/>
          <w:szCs w:val="24"/>
        </w:rPr>
        <w:t xml:space="preserve">System do oznaczania składu granulometrycznego FTS-0200 oraz do wyznaczania współczynnika filtracji </w:t>
      </w:r>
      <w:proofErr w:type="spellStart"/>
      <w:r w:rsidRPr="006A262F">
        <w:rPr>
          <w:sz w:val="24"/>
          <w:szCs w:val="24"/>
        </w:rPr>
        <w:t>Chameleon</w:t>
      </w:r>
      <w:proofErr w:type="spellEnd"/>
      <w:r w:rsidRPr="006A262F">
        <w:rPr>
          <w:sz w:val="24"/>
          <w:szCs w:val="24"/>
        </w:rPr>
        <w:t xml:space="preserve"> w glebach – 1 </w:t>
      </w:r>
      <w:proofErr w:type="spellStart"/>
      <w:r w:rsidRPr="006A262F">
        <w:rPr>
          <w:sz w:val="24"/>
          <w:szCs w:val="24"/>
        </w:rPr>
        <w:t>szt</w:t>
      </w:r>
      <w:proofErr w:type="spellEnd"/>
      <w:r>
        <w:rPr>
          <w:sz w:val="24"/>
          <w:szCs w:val="24"/>
          <w:lang w:val="pl-PL"/>
        </w:rPr>
        <w:t xml:space="preserve">, </w:t>
      </w:r>
    </w:p>
    <w:p w14:paraId="73FF9F54" w14:textId="1C3F7853" w:rsidR="006A262F" w:rsidRPr="006A262F" w:rsidRDefault="006A262F" w:rsidP="00D34F97">
      <w:pPr>
        <w:pStyle w:val="Akapitzlist"/>
        <w:numPr>
          <w:ilvl w:val="0"/>
          <w:numId w:val="214"/>
        </w:numPr>
        <w:ind w:left="641" w:hanging="357"/>
        <w:jc w:val="both"/>
        <w:rPr>
          <w:rFonts w:eastAsia="Times New Roman"/>
          <w:b/>
          <w:bCs/>
          <w:sz w:val="24"/>
          <w:szCs w:val="24"/>
          <w:lang w:eastAsia="x-none"/>
        </w:rPr>
      </w:pPr>
      <w:r w:rsidRPr="006A262F">
        <w:rPr>
          <w:sz w:val="24"/>
          <w:szCs w:val="24"/>
        </w:rPr>
        <w:t>Wagi analityczne XA 210.5Y.A – 16 szt.</w:t>
      </w:r>
      <w:r>
        <w:rPr>
          <w:sz w:val="24"/>
          <w:szCs w:val="24"/>
          <w:lang w:val="pl-PL"/>
        </w:rPr>
        <w:t xml:space="preserve">, </w:t>
      </w:r>
    </w:p>
    <w:p w14:paraId="49F7BBB4" w14:textId="42B8EDB0" w:rsidR="006A262F" w:rsidRPr="006A262F" w:rsidRDefault="006A262F" w:rsidP="00D34F97">
      <w:pPr>
        <w:pStyle w:val="Akapitzlist"/>
        <w:numPr>
          <w:ilvl w:val="0"/>
          <w:numId w:val="214"/>
        </w:numPr>
        <w:ind w:left="641" w:hanging="357"/>
        <w:jc w:val="both"/>
        <w:rPr>
          <w:rFonts w:eastAsia="Times New Roman"/>
          <w:b/>
          <w:bCs/>
          <w:sz w:val="24"/>
          <w:szCs w:val="24"/>
          <w:lang w:eastAsia="x-none"/>
        </w:rPr>
      </w:pPr>
      <w:r w:rsidRPr="006A262F">
        <w:rPr>
          <w:sz w:val="24"/>
          <w:szCs w:val="24"/>
        </w:rPr>
        <w:t>Mierniki wieloparametrowe 3630 – 3 szt.</w:t>
      </w:r>
      <w:r>
        <w:rPr>
          <w:sz w:val="24"/>
          <w:szCs w:val="24"/>
          <w:lang w:val="pl-PL"/>
        </w:rPr>
        <w:t xml:space="preserve">, </w:t>
      </w:r>
    </w:p>
    <w:p w14:paraId="4B83424B" w14:textId="42BFF935" w:rsidR="006A262F" w:rsidRPr="006A262F" w:rsidRDefault="006A262F" w:rsidP="00D34F97">
      <w:pPr>
        <w:pStyle w:val="Akapitzlist"/>
        <w:numPr>
          <w:ilvl w:val="0"/>
          <w:numId w:val="214"/>
        </w:numPr>
        <w:ind w:left="641" w:hanging="357"/>
        <w:jc w:val="both"/>
        <w:rPr>
          <w:rFonts w:eastAsia="Times New Roman"/>
          <w:b/>
          <w:bCs/>
          <w:sz w:val="24"/>
          <w:szCs w:val="24"/>
          <w:lang w:eastAsia="x-none"/>
        </w:rPr>
      </w:pPr>
      <w:r w:rsidRPr="006A262F">
        <w:rPr>
          <w:sz w:val="24"/>
          <w:szCs w:val="24"/>
        </w:rPr>
        <w:t xml:space="preserve">Mętnościomierz </w:t>
      </w:r>
      <w:proofErr w:type="spellStart"/>
      <w:r w:rsidRPr="006A262F">
        <w:rPr>
          <w:sz w:val="24"/>
          <w:szCs w:val="24"/>
        </w:rPr>
        <w:t>Turb</w:t>
      </w:r>
      <w:proofErr w:type="spellEnd"/>
      <w:r w:rsidRPr="006A262F">
        <w:rPr>
          <w:sz w:val="24"/>
          <w:szCs w:val="24"/>
        </w:rPr>
        <w:t xml:space="preserve"> 750IR – 1 szt.</w:t>
      </w:r>
      <w:r>
        <w:rPr>
          <w:sz w:val="24"/>
          <w:szCs w:val="24"/>
          <w:lang w:val="pl-PL"/>
        </w:rPr>
        <w:t xml:space="preserve">, </w:t>
      </w:r>
    </w:p>
    <w:p w14:paraId="59C83082" w14:textId="4BC7E285" w:rsidR="006A262F" w:rsidRPr="006A262F" w:rsidRDefault="006A262F" w:rsidP="00D34F97">
      <w:pPr>
        <w:pStyle w:val="Akapitzlist"/>
        <w:numPr>
          <w:ilvl w:val="0"/>
          <w:numId w:val="214"/>
        </w:numPr>
        <w:ind w:left="641" w:hanging="357"/>
        <w:jc w:val="both"/>
        <w:rPr>
          <w:rFonts w:eastAsia="Times New Roman"/>
          <w:b/>
          <w:bCs/>
          <w:sz w:val="24"/>
          <w:szCs w:val="24"/>
          <w:lang w:eastAsia="x-none"/>
        </w:rPr>
      </w:pPr>
      <w:r w:rsidRPr="006A262F">
        <w:rPr>
          <w:sz w:val="24"/>
          <w:szCs w:val="24"/>
          <w:lang w:eastAsia="en-US"/>
        </w:rPr>
        <w:t xml:space="preserve">Automatyczny analizator do pomiaru stężeń pyłu zawieszonego PM10/ PM2,5, typ: </w:t>
      </w:r>
      <w:r w:rsidRPr="006A262F">
        <w:rPr>
          <w:sz w:val="24"/>
          <w:szCs w:val="24"/>
        </w:rPr>
        <w:t xml:space="preserve">FIDAS200 PALAS GmbH – </w:t>
      </w:r>
      <w:r w:rsidRPr="006A262F">
        <w:rPr>
          <w:sz w:val="24"/>
          <w:szCs w:val="24"/>
          <w:lang w:eastAsia="en-US"/>
        </w:rPr>
        <w:t>1szt.</w:t>
      </w:r>
      <w:r>
        <w:rPr>
          <w:sz w:val="24"/>
          <w:szCs w:val="24"/>
          <w:lang w:val="pl-PL" w:eastAsia="en-US"/>
        </w:rPr>
        <w:t xml:space="preserve">, </w:t>
      </w:r>
    </w:p>
    <w:p w14:paraId="0ED45C6F" w14:textId="6414A49C" w:rsidR="006A262F" w:rsidRPr="0015043D" w:rsidRDefault="006A262F" w:rsidP="00D34F97">
      <w:pPr>
        <w:pStyle w:val="Akapitzlist"/>
        <w:numPr>
          <w:ilvl w:val="0"/>
          <w:numId w:val="214"/>
        </w:numPr>
        <w:ind w:left="641" w:hanging="357"/>
        <w:jc w:val="both"/>
        <w:rPr>
          <w:rFonts w:eastAsia="Times New Roman"/>
          <w:b/>
          <w:bCs/>
          <w:sz w:val="24"/>
          <w:szCs w:val="24"/>
          <w:lang w:eastAsia="x-none"/>
        </w:rPr>
      </w:pPr>
      <w:r w:rsidRPr="0015043D">
        <w:rPr>
          <w:sz w:val="24"/>
          <w:szCs w:val="24"/>
          <w:lang w:eastAsia="en-US"/>
        </w:rPr>
        <w:t>Analizator do automatycznego pomiaru stężeń BTX</w:t>
      </w:r>
      <w:r w:rsidRPr="006A262F">
        <w:rPr>
          <w:sz w:val="24"/>
          <w:szCs w:val="24"/>
        </w:rPr>
        <w:t xml:space="preserve"> – </w:t>
      </w:r>
      <w:r w:rsidRPr="0015043D">
        <w:rPr>
          <w:sz w:val="24"/>
          <w:szCs w:val="24"/>
          <w:lang w:eastAsia="en-US"/>
        </w:rPr>
        <w:t>1szt</w:t>
      </w:r>
      <w:r w:rsidRPr="0015043D">
        <w:rPr>
          <w:sz w:val="24"/>
          <w:szCs w:val="24"/>
          <w:lang w:val="pl-PL" w:eastAsia="en-US"/>
        </w:rPr>
        <w:t>.,</w:t>
      </w:r>
    </w:p>
    <w:p w14:paraId="06FBD209" w14:textId="6DF7821F" w:rsidR="006A262F" w:rsidRPr="0015043D" w:rsidRDefault="006A262F" w:rsidP="00D34F97">
      <w:pPr>
        <w:pStyle w:val="Akapitzlist"/>
        <w:numPr>
          <w:ilvl w:val="0"/>
          <w:numId w:val="214"/>
        </w:numPr>
        <w:ind w:left="641" w:hanging="357"/>
        <w:jc w:val="both"/>
        <w:rPr>
          <w:rFonts w:eastAsia="Times New Roman"/>
          <w:b/>
          <w:bCs/>
          <w:sz w:val="24"/>
          <w:szCs w:val="24"/>
          <w:lang w:eastAsia="x-none"/>
        </w:rPr>
      </w:pPr>
      <w:r w:rsidRPr="0015043D">
        <w:rPr>
          <w:sz w:val="24"/>
          <w:szCs w:val="24"/>
          <w:lang w:eastAsia="en-US"/>
        </w:rPr>
        <w:t xml:space="preserve">Analizator do pomiaru stężeń </w:t>
      </w:r>
      <w:proofErr w:type="spellStart"/>
      <w:r w:rsidRPr="0015043D">
        <w:rPr>
          <w:sz w:val="24"/>
          <w:szCs w:val="24"/>
          <w:lang w:eastAsia="en-US"/>
        </w:rPr>
        <w:t>NOx</w:t>
      </w:r>
      <w:proofErr w:type="spellEnd"/>
      <w:r w:rsidR="0015043D" w:rsidRPr="006A262F">
        <w:rPr>
          <w:sz w:val="24"/>
          <w:szCs w:val="24"/>
        </w:rPr>
        <w:t xml:space="preserve"> – </w:t>
      </w:r>
      <w:r w:rsidR="0015043D" w:rsidRPr="0015043D">
        <w:rPr>
          <w:sz w:val="24"/>
          <w:szCs w:val="24"/>
          <w:lang w:eastAsia="en-US"/>
        </w:rPr>
        <w:t>1szt</w:t>
      </w:r>
      <w:r w:rsidR="0015043D" w:rsidRPr="0015043D">
        <w:rPr>
          <w:sz w:val="24"/>
          <w:szCs w:val="24"/>
          <w:lang w:val="pl-PL" w:eastAsia="en-US"/>
        </w:rPr>
        <w:t>.</w:t>
      </w:r>
      <w:r w:rsidRPr="0015043D">
        <w:rPr>
          <w:sz w:val="24"/>
          <w:szCs w:val="24"/>
          <w:lang w:val="pl-PL" w:eastAsia="en-US"/>
        </w:rPr>
        <w:t xml:space="preserve">, </w:t>
      </w:r>
    </w:p>
    <w:p w14:paraId="25B34A8A" w14:textId="1D1B8396" w:rsidR="006A262F" w:rsidRPr="0015043D" w:rsidRDefault="007340DE" w:rsidP="00D34F97">
      <w:pPr>
        <w:pStyle w:val="Akapitzlist"/>
        <w:numPr>
          <w:ilvl w:val="0"/>
          <w:numId w:val="214"/>
        </w:numPr>
        <w:ind w:left="641" w:hanging="357"/>
        <w:jc w:val="both"/>
        <w:rPr>
          <w:rFonts w:eastAsia="Times New Roman"/>
          <w:b/>
          <w:bCs/>
          <w:sz w:val="24"/>
          <w:szCs w:val="24"/>
          <w:lang w:eastAsia="x-none"/>
        </w:rPr>
      </w:pPr>
      <w:r w:rsidRPr="0015043D">
        <w:rPr>
          <w:sz w:val="24"/>
          <w:szCs w:val="24"/>
          <w:lang w:eastAsia="en-US"/>
        </w:rPr>
        <w:t xml:space="preserve">System zbierania danych DAS- </w:t>
      </w:r>
      <w:proofErr w:type="spellStart"/>
      <w:r w:rsidRPr="0015043D">
        <w:rPr>
          <w:sz w:val="24"/>
          <w:szCs w:val="24"/>
          <w:lang w:eastAsia="en-US"/>
        </w:rPr>
        <w:t>Datalogger</w:t>
      </w:r>
      <w:proofErr w:type="spellEnd"/>
      <w:r w:rsidRPr="0015043D">
        <w:rPr>
          <w:sz w:val="24"/>
          <w:szCs w:val="24"/>
          <w:lang w:val="pl-PL" w:eastAsia="en-US"/>
        </w:rPr>
        <w:t xml:space="preserve">, </w:t>
      </w:r>
      <w:r w:rsidR="0015043D" w:rsidRPr="006A262F">
        <w:rPr>
          <w:sz w:val="24"/>
          <w:szCs w:val="24"/>
        </w:rPr>
        <w:t xml:space="preserve">– </w:t>
      </w:r>
      <w:r w:rsidR="0015043D" w:rsidRPr="0015043D">
        <w:rPr>
          <w:sz w:val="24"/>
          <w:szCs w:val="24"/>
          <w:lang w:eastAsia="en-US"/>
        </w:rPr>
        <w:t>1szt</w:t>
      </w:r>
      <w:r w:rsidR="0015043D" w:rsidRPr="0015043D">
        <w:rPr>
          <w:sz w:val="24"/>
          <w:szCs w:val="24"/>
          <w:lang w:val="pl-PL" w:eastAsia="en-US"/>
        </w:rPr>
        <w:t>.</w:t>
      </w:r>
      <w:r w:rsidR="0015043D">
        <w:rPr>
          <w:sz w:val="24"/>
          <w:szCs w:val="24"/>
          <w:lang w:val="pl-PL" w:eastAsia="en-US"/>
        </w:rPr>
        <w:t>,</w:t>
      </w:r>
    </w:p>
    <w:p w14:paraId="3B7FCB13" w14:textId="786C5210" w:rsidR="007340DE" w:rsidRPr="0015043D" w:rsidRDefault="007340DE" w:rsidP="00D34F97">
      <w:pPr>
        <w:pStyle w:val="Akapitzlist"/>
        <w:numPr>
          <w:ilvl w:val="0"/>
          <w:numId w:val="214"/>
        </w:numPr>
        <w:ind w:left="641" w:hanging="357"/>
        <w:jc w:val="both"/>
        <w:rPr>
          <w:rFonts w:eastAsia="Times New Roman"/>
          <w:b/>
          <w:bCs/>
          <w:sz w:val="24"/>
          <w:szCs w:val="24"/>
          <w:lang w:eastAsia="x-none"/>
        </w:rPr>
      </w:pPr>
      <w:r w:rsidRPr="0015043D">
        <w:rPr>
          <w:sz w:val="24"/>
          <w:szCs w:val="24"/>
          <w:lang w:eastAsia="en-US"/>
        </w:rPr>
        <w:t xml:space="preserve">Zestaw kalibracyjny typ: kalibrator MCZ </w:t>
      </w:r>
      <w:proofErr w:type="spellStart"/>
      <w:r w:rsidRPr="0015043D">
        <w:rPr>
          <w:sz w:val="24"/>
          <w:szCs w:val="24"/>
          <w:lang w:eastAsia="en-US"/>
        </w:rPr>
        <w:t>Umweltteechnik</w:t>
      </w:r>
      <w:proofErr w:type="spellEnd"/>
      <w:r w:rsidRPr="0015043D">
        <w:rPr>
          <w:sz w:val="24"/>
          <w:szCs w:val="24"/>
          <w:lang w:eastAsia="en-US"/>
        </w:rPr>
        <w:t xml:space="preserve"> CMK5, wytwornica powietrza zerowego MCZ </w:t>
      </w:r>
      <w:proofErr w:type="spellStart"/>
      <w:r w:rsidRPr="0015043D">
        <w:rPr>
          <w:sz w:val="24"/>
          <w:szCs w:val="24"/>
          <w:lang w:eastAsia="en-US"/>
        </w:rPr>
        <w:t>Umweltteechnik</w:t>
      </w:r>
      <w:proofErr w:type="spellEnd"/>
      <w:r w:rsidRPr="0015043D">
        <w:rPr>
          <w:sz w:val="24"/>
          <w:szCs w:val="24"/>
          <w:lang w:eastAsia="en-US"/>
        </w:rPr>
        <w:t xml:space="preserve"> NGA19S, kompresor </w:t>
      </w:r>
      <w:proofErr w:type="spellStart"/>
      <w:r w:rsidRPr="0015043D">
        <w:rPr>
          <w:sz w:val="24"/>
          <w:szCs w:val="24"/>
          <w:lang w:eastAsia="en-US"/>
        </w:rPr>
        <w:t>DurrTronik</w:t>
      </w:r>
      <w:proofErr w:type="spellEnd"/>
      <w:r w:rsidRPr="0015043D">
        <w:rPr>
          <w:sz w:val="24"/>
          <w:szCs w:val="24"/>
          <w:lang w:eastAsia="en-US"/>
        </w:rPr>
        <w:t xml:space="preserve"> KK15UA-025C1</w:t>
      </w:r>
      <w:r w:rsidR="0015043D">
        <w:rPr>
          <w:sz w:val="24"/>
          <w:szCs w:val="24"/>
          <w:lang w:val="pl-PL" w:eastAsia="en-US"/>
        </w:rPr>
        <w:t xml:space="preserve"> </w:t>
      </w:r>
      <w:r w:rsidR="0015043D" w:rsidRPr="006A262F">
        <w:rPr>
          <w:sz w:val="24"/>
          <w:szCs w:val="24"/>
        </w:rPr>
        <w:t xml:space="preserve"> – </w:t>
      </w:r>
      <w:r w:rsidR="0015043D" w:rsidRPr="0015043D">
        <w:rPr>
          <w:sz w:val="24"/>
          <w:szCs w:val="24"/>
          <w:lang w:eastAsia="en-US"/>
        </w:rPr>
        <w:t>1szt</w:t>
      </w:r>
      <w:r w:rsidR="0015043D" w:rsidRPr="0015043D">
        <w:rPr>
          <w:sz w:val="24"/>
          <w:szCs w:val="24"/>
          <w:lang w:val="pl-PL" w:eastAsia="en-US"/>
        </w:rPr>
        <w:t>.</w:t>
      </w:r>
      <w:r w:rsidRPr="0015043D">
        <w:rPr>
          <w:sz w:val="24"/>
          <w:szCs w:val="24"/>
          <w:lang w:val="pl-PL" w:eastAsia="en-US"/>
        </w:rPr>
        <w:t xml:space="preserve">, </w:t>
      </w:r>
    </w:p>
    <w:p w14:paraId="58EF8E4D" w14:textId="34AB15CD" w:rsidR="007340DE" w:rsidRPr="0015043D" w:rsidRDefault="007340DE" w:rsidP="00D34F97">
      <w:pPr>
        <w:pStyle w:val="Akapitzlist"/>
        <w:numPr>
          <w:ilvl w:val="0"/>
          <w:numId w:val="214"/>
        </w:numPr>
        <w:ind w:left="641" w:hanging="357"/>
        <w:jc w:val="both"/>
        <w:rPr>
          <w:rFonts w:eastAsia="Times New Roman"/>
          <w:b/>
          <w:bCs/>
          <w:sz w:val="24"/>
          <w:szCs w:val="24"/>
          <w:lang w:eastAsia="x-none"/>
        </w:rPr>
      </w:pPr>
      <w:bookmarkStart w:id="439" w:name="_Hlk130395824"/>
      <w:r w:rsidRPr="0015043D">
        <w:rPr>
          <w:sz w:val="24"/>
          <w:szCs w:val="24"/>
          <w:lang w:eastAsia="en-US"/>
        </w:rPr>
        <w:t xml:space="preserve">Zestaw kalibracyjny typ: wytwornica powietrza </w:t>
      </w:r>
      <w:bookmarkEnd w:id="439"/>
      <w:r w:rsidRPr="0015043D">
        <w:rPr>
          <w:sz w:val="24"/>
          <w:szCs w:val="24"/>
          <w:lang w:eastAsia="en-US"/>
        </w:rPr>
        <w:t xml:space="preserve">zerowego MCZ </w:t>
      </w:r>
      <w:proofErr w:type="spellStart"/>
      <w:r w:rsidRPr="0015043D">
        <w:rPr>
          <w:sz w:val="24"/>
          <w:szCs w:val="24"/>
          <w:lang w:eastAsia="en-US"/>
        </w:rPr>
        <w:t>Umweltteechnik</w:t>
      </w:r>
      <w:proofErr w:type="spellEnd"/>
      <w:r w:rsidRPr="0015043D">
        <w:rPr>
          <w:sz w:val="24"/>
          <w:szCs w:val="24"/>
          <w:lang w:eastAsia="en-US"/>
        </w:rPr>
        <w:t xml:space="preserve"> NGA19S, kompresor </w:t>
      </w:r>
      <w:proofErr w:type="spellStart"/>
      <w:r w:rsidRPr="0015043D">
        <w:rPr>
          <w:sz w:val="24"/>
          <w:szCs w:val="24"/>
          <w:lang w:eastAsia="en-US"/>
        </w:rPr>
        <w:t>DurrTronik</w:t>
      </w:r>
      <w:proofErr w:type="spellEnd"/>
      <w:r w:rsidRPr="0015043D">
        <w:rPr>
          <w:sz w:val="24"/>
          <w:szCs w:val="24"/>
          <w:lang w:eastAsia="en-US"/>
        </w:rPr>
        <w:t xml:space="preserve"> KK15UA-025C1</w:t>
      </w:r>
      <w:r w:rsidR="0015043D" w:rsidRPr="006A262F">
        <w:rPr>
          <w:sz w:val="24"/>
          <w:szCs w:val="24"/>
        </w:rPr>
        <w:t xml:space="preserve"> – </w:t>
      </w:r>
      <w:r w:rsidRPr="0015043D">
        <w:rPr>
          <w:sz w:val="24"/>
          <w:szCs w:val="24"/>
          <w:lang w:eastAsia="en-US"/>
        </w:rPr>
        <w:t>2 szt.</w:t>
      </w:r>
      <w:r w:rsidRPr="0015043D">
        <w:rPr>
          <w:sz w:val="24"/>
          <w:szCs w:val="24"/>
          <w:lang w:val="pl-PL" w:eastAsia="en-US"/>
        </w:rPr>
        <w:t xml:space="preserve">, </w:t>
      </w:r>
    </w:p>
    <w:p w14:paraId="092A4DBE" w14:textId="241EEEA4" w:rsidR="007340DE" w:rsidRPr="0015043D" w:rsidRDefault="007340DE" w:rsidP="00D34F97">
      <w:pPr>
        <w:pStyle w:val="Akapitzlist"/>
        <w:numPr>
          <w:ilvl w:val="0"/>
          <w:numId w:val="214"/>
        </w:numPr>
        <w:ind w:left="641" w:hanging="357"/>
        <w:jc w:val="both"/>
        <w:rPr>
          <w:rFonts w:eastAsia="Times New Roman"/>
          <w:b/>
          <w:bCs/>
          <w:sz w:val="24"/>
          <w:szCs w:val="24"/>
          <w:lang w:eastAsia="x-none"/>
        </w:rPr>
      </w:pPr>
      <w:r w:rsidRPr="0015043D">
        <w:rPr>
          <w:sz w:val="24"/>
          <w:szCs w:val="24"/>
          <w:lang w:eastAsia="en-US"/>
        </w:rPr>
        <w:t xml:space="preserve">Przenośne spektrometry </w:t>
      </w:r>
      <w:proofErr w:type="spellStart"/>
      <w:r w:rsidRPr="0015043D">
        <w:rPr>
          <w:sz w:val="24"/>
          <w:szCs w:val="24"/>
          <w:lang w:eastAsia="en-US"/>
        </w:rPr>
        <w:t>Ramana</w:t>
      </w:r>
      <w:proofErr w:type="spellEnd"/>
      <w:r w:rsidRPr="0015043D">
        <w:rPr>
          <w:sz w:val="24"/>
          <w:szCs w:val="24"/>
          <w:lang w:eastAsia="en-US"/>
        </w:rPr>
        <w:t xml:space="preserve"> do badań substancji nieznanego pochodzenia </w:t>
      </w:r>
      <w:proofErr w:type="spellStart"/>
      <w:r w:rsidRPr="0015043D">
        <w:rPr>
          <w:sz w:val="24"/>
          <w:szCs w:val="24"/>
          <w:lang w:eastAsia="en-US"/>
        </w:rPr>
        <w:t>TacticID</w:t>
      </w:r>
      <w:proofErr w:type="spellEnd"/>
      <w:r w:rsidRPr="0015043D">
        <w:rPr>
          <w:sz w:val="24"/>
          <w:szCs w:val="24"/>
          <w:lang w:eastAsia="en-US"/>
        </w:rPr>
        <w:t xml:space="preserve"> Mobile</w:t>
      </w:r>
      <w:r w:rsidR="0015043D" w:rsidRPr="006A262F">
        <w:rPr>
          <w:sz w:val="24"/>
          <w:szCs w:val="24"/>
        </w:rPr>
        <w:t xml:space="preserve"> – </w:t>
      </w:r>
      <w:r w:rsidRPr="0015043D">
        <w:rPr>
          <w:sz w:val="24"/>
          <w:szCs w:val="24"/>
          <w:lang w:eastAsia="en-US"/>
        </w:rPr>
        <w:t>2 szt.</w:t>
      </w:r>
      <w:r w:rsidRPr="0015043D">
        <w:rPr>
          <w:sz w:val="24"/>
          <w:szCs w:val="24"/>
          <w:lang w:val="pl-PL" w:eastAsia="en-US"/>
        </w:rPr>
        <w:t xml:space="preserve">, </w:t>
      </w:r>
    </w:p>
    <w:p w14:paraId="11C29921" w14:textId="51B5C91E" w:rsidR="007340DE" w:rsidRPr="0015043D" w:rsidRDefault="00437D03" w:rsidP="00D34F97">
      <w:pPr>
        <w:pStyle w:val="Akapitzlist"/>
        <w:numPr>
          <w:ilvl w:val="0"/>
          <w:numId w:val="214"/>
        </w:numPr>
        <w:ind w:left="641" w:hanging="357"/>
        <w:jc w:val="both"/>
        <w:rPr>
          <w:rFonts w:eastAsia="Times New Roman"/>
          <w:b/>
          <w:bCs/>
          <w:sz w:val="24"/>
          <w:szCs w:val="24"/>
          <w:lang w:eastAsia="x-none"/>
        </w:rPr>
      </w:pPr>
      <w:r w:rsidRPr="0015043D">
        <w:rPr>
          <w:sz w:val="24"/>
          <w:szCs w:val="24"/>
          <w:lang w:eastAsia="en-US"/>
        </w:rPr>
        <w:t xml:space="preserve">Analizator lotnych związków organicznych (LZO) </w:t>
      </w:r>
      <w:proofErr w:type="spellStart"/>
      <w:r w:rsidRPr="0015043D">
        <w:rPr>
          <w:sz w:val="24"/>
          <w:szCs w:val="24"/>
          <w:lang w:eastAsia="en-US"/>
        </w:rPr>
        <w:t>iFID</w:t>
      </w:r>
      <w:proofErr w:type="spellEnd"/>
      <w:r w:rsidRPr="0015043D">
        <w:rPr>
          <w:sz w:val="24"/>
          <w:szCs w:val="24"/>
          <w:lang w:eastAsia="en-US"/>
        </w:rPr>
        <w:t xml:space="preserve"> Mobile</w:t>
      </w:r>
      <w:r w:rsidR="0015043D">
        <w:rPr>
          <w:sz w:val="24"/>
          <w:szCs w:val="24"/>
          <w:lang w:val="pl-PL" w:eastAsia="en-US"/>
        </w:rPr>
        <w:t xml:space="preserve"> </w:t>
      </w:r>
      <w:r w:rsidRPr="0015043D">
        <w:rPr>
          <w:sz w:val="24"/>
          <w:szCs w:val="24"/>
          <w:lang w:eastAsia="en-US"/>
        </w:rPr>
        <w:t>– 1 szt.</w:t>
      </w:r>
      <w:r w:rsidR="0015043D" w:rsidRPr="0015043D">
        <w:rPr>
          <w:sz w:val="24"/>
          <w:szCs w:val="24"/>
          <w:lang w:val="pl-PL" w:eastAsia="en-US"/>
        </w:rPr>
        <w:t xml:space="preserve">, </w:t>
      </w:r>
    </w:p>
    <w:p w14:paraId="35DC7945" w14:textId="66252BAC" w:rsidR="0015043D" w:rsidRPr="0015043D" w:rsidRDefault="0015043D" w:rsidP="00D34F97">
      <w:pPr>
        <w:pStyle w:val="Akapitzlist"/>
        <w:numPr>
          <w:ilvl w:val="0"/>
          <w:numId w:val="214"/>
        </w:numPr>
        <w:ind w:left="641" w:hanging="357"/>
        <w:jc w:val="both"/>
        <w:rPr>
          <w:rFonts w:eastAsia="Times New Roman"/>
          <w:b/>
          <w:bCs/>
          <w:sz w:val="24"/>
          <w:szCs w:val="24"/>
          <w:lang w:eastAsia="x-none"/>
        </w:rPr>
      </w:pPr>
      <w:r w:rsidRPr="0015043D">
        <w:rPr>
          <w:sz w:val="24"/>
          <w:szCs w:val="24"/>
          <w:lang w:eastAsia="en-US"/>
        </w:rPr>
        <w:lastRenderedPageBreak/>
        <w:t>Analizator gazów odlotowych PG-350 – 1 szt.</w:t>
      </w:r>
    </w:p>
    <w:p w14:paraId="441CFAD1" w14:textId="77777777" w:rsidR="0015043D" w:rsidRDefault="0015043D" w:rsidP="0015043D">
      <w:pPr>
        <w:rPr>
          <w:rFonts w:ascii="Times New Roman" w:eastAsia="Times New Roman" w:hAnsi="Times New Roman" w:cs="Times New Roman"/>
          <w:b/>
          <w:bCs/>
          <w:sz w:val="24"/>
          <w:szCs w:val="24"/>
          <w:lang w:eastAsia="x-none"/>
        </w:rPr>
      </w:pPr>
    </w:p>
    <w:p w14:paraId="2519301C" w14:textId="0C586B6A" w:rsidR="009439CC" w:rsidRDefault="009439CC" w:rsidP="009439CC">
      <w:pPr>
        <w:spacing w:line="300" w:lineRule="atLeast"/>
        <w:jc w:val="center"/>
        <w:rPr>
          <w:sz w:val="20"/>
          <w:szCs w:val="20"/>
        </w:rPr>
      </w:pPr>
      <w:r w:rsidRPr="009C43B9">
        <w:rPr>
          <w:noProof/>
          <w:lang w:eastAsia="pl-PL"/>
        </w:rPr>
        <w:drawing>
          <wp:inline distT="0" distB="0" distL="0" distR="0" wp14:anchorId="518058C4" wp14:editId="5803EC94">
            <wp:extent cx="3887434" cy="2905125"/>
            <wp:effectExtent l="0" t="0" r="0" b="0"/>
            <wp:docPr id="113" name="Obraz 113" descr="Zdjęcie 77. Przedstawiające system Chameleon do wyznaczania współczynnika filtracji w glebach firmy Soilmoisture Equipment Co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Obraz 113" descr="Zdjęcie 77. Przedstawiające system Chameleon do wyznaczania współczynnika filtracji w glebach firmy Soilmoisture Equipment Corp."/>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931289" cy="2937898"/>
                    </a:xfrm>
                    <a:prstGeom prst="rect">
                      <a:avLst/>
                    </a:prstGeom>
                    <a:noFill/>
                    <a:ln>
                      <a:noFill/>
                    </a:ln>
                  </pic:spPr>
                </pic:pic>
              </a:graphicData>
            </a:graphic>
          </wp:inline>
        </w:drawing>
      </w:r>
    </w:p>
    <w:p w14:paraId="7FD3210E" w14:textId="48A71547" w:rsidR="009439CC" w:rsidRPr="00810B9C" w:rsidRDefault="00810B9C" w:rsidP="00810B9C">
      <w:pPr>
        <w:spacing w:line="300" w:lineRule="atLeast"/>
        <w:jc w:val="center"/>
        <w:rPr>
          <w:rFonts w:ascii="Times New Roman" w:hAnsi="Times New Roman" w:cs="Times New Roman"/>
          <w:b/>
          <w:color w:val="000000"/>
        </w:rPr>
      </w:pPr>
      <w:r w:rsidRPr="00810B9C">
        <w:rPr>
          <w:rFonts w:ascii="Times New Roman" w:eastAsia="Calibri" w:hAnsi="Times New Roman" w:cs="Times New Roman"/>
          <w:b/>
        </w:rPr>
        <w:t>Zdjęcie 7</w:t>
      </w:r>
      <w:r w:rsidR="005261DF">
        <w:rPr>
          <w:rFonts w:ascii="Times New Roman" w:eastAsia="Calibri" w:hAnsi="Times New Roman" w:cs="Times New Roman"/>
          <w:b/>
        </w:rPr>
        <w:t>7</w:t>
      </w:r>
      <w:r w:rsidRPr="00810B9C">
        <w:rPr>
          <w:rFonts w:ascii="Times New Roman" w:eastAsia="Calibri" w:hAnsi="Times New Roman" w:cs="Times New Roman"/>
          <w:b/>
        </w:rPr>
        <w:t xml:space="preserve">. </w:t>
      </w:r>
      <w:r w:rsidR="009439CC" w:rsidRPr="00810B9C">
        <w:rPr>
          <w:rFonts w:ascii="Times New Roman" w:eastAsia="Calibri" w:hAnsi="Times New Roman" w:cs="Times New Roman"/>
          <w:b/>
        </w:rPr>
        <w:t xml:space="preserve">System </w:t>
      </w:r>
      <w:proofErr w:type="spellStart"/>
      <w:r w:rsidR="009439CC" w:rsidRPr="00810B9C">
        <w:rPr>
          <w:rFonts w:ascii="Times New Roman" w:eastAsia="Calibri" w:hAnsi="Times New Roman" w:cs="Times New Roman"/>
          <w:b/>
        </w:rPr>
        <w:t>Chameleon</w:t>
      </w:r>
      <w:proofErr w:type="spellEnd"/>
      <w:r w:rsidR="009439CC" w:rsidRPr="00810B9C">
        <w:rPr>
          <w:rFonts w:ascii="Times New Roman" w:eastAsia="Calibri" w:hAnsi="Times New Roman" w:cs="Times New Roman"/>
          <w:b/>
        </w:rPr>
        <w:t xml:space="preserve"> do wyznaczania współczynnika filtracji w glebach</w:t>
      </w:r>
      <w:r w:rsidR="009439CC" w:rsidRPr="00810B9C">
        <w:rPr>
          <w:rFonts w:ascii="Times New Roman" w:hAnsi="Times New Roman" w:cs="Times New Roman"/>
          <w:b/>
          <w:color w:val="000000"/>
        </w:rPr>
        <w:t xml:space="preserve"> firmy </w:t>
      </w:r>
      <w:proofErr w:type="spellStart"/>
      <w:r w:rsidR="009439CC" w:rsidRPr="00810B9C">
        <w:rPr>
          <w:rFonts w:ascii="Times New Roman" w:hAnsi="Times New Roman" w:cs="Times New Roman"/>
          <w:b/>
          <w:color w:val="000000"/>
        </w:rPr>
        <w:t>Soilmoisture</w:t>
      </w:r>
      <w:proofErr w:type="spellEnd"/>
      <w:r w:rsidR="009439CC" w:rsidRPr="00810B9C">
        <w:rPr>
          <w:rFonts w:ascii="Times New Roman" w:hAnsi="Times New Roman" w:cs="Times New Roman"/>
          <w:b/>
          <w:color w:val="000000"/>
        </w:rPr>
        <w:t xml:space="preserve"> </w:t>
      </w:r>
      <w:proofErr w:type="spellStart"/>
      <w:r w:rsidR="009439CC" w:rsidRPr="00810B9C">
        <w:rPr>
          <w:rFonts w:ascii="Times New Roman" w:hAnsi="Times New Roman" w:cs="Times New Roman"/>
          <w:b/>
          <w:color w:val="000000"/>
        </w:rPr>
        <w:t>Equipment</w:t>
      </w:r>
      <w:proofErr w:type="spellEnd"/>
      <w:r w:rsidR="009439CC" w:rsidRPr="00810B9C">
        <w:rPr>
          <w:rFonts w:ascii="Times New Roman" w:hAnsi="Times New Roman" w:cs="Times New Roman"/>
          <w:b/>
          <w:color w:val="000000"/>
        </w:rPr>
        <w:t xml:space="preserve"> Corp.</w:t>
      </w:r>
    </w:p>
    <w:p w14:paraId="135EA187" w14:textId="7E12313D" w:rsidR="009439CC" w:rsidRDefault="009439CC" w:rsidP="009439CC">
      <w:pPr>
        <w:spacing w:line="300" w:lineRule="atLeast"/>
        <w:jc w:val="center"/>
        <w:rPr>
          <w:color w:val="000000"/>
        </w:rPr>
      </w:pPr>
      <w:r w:rsidRPr="00F419E7">
        <w:rPr>
          <w:noProof/>
          <w:color w:val="000000"/>
          <w:lang w:eastAsia="pl-PL"/>
        </w:rPr>
        <w:drawing>
          <wp:inline distT="0" distB="0" distL="0" distR="0" wp14:anchorId="43DA3FF4" wp14:editId="0573D7BD">
            <wp:extent cx="3790950" cy="4448175"/>
            <wp:effectExtent l="0" t="0" r="0" b="9525"/>
            <wp:docPr id="112" name="Obraz 112" descr="wag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waga 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790950" cy="4448175"/>
                    </a:xfrm>
                    <a:prstGeom prst="rect">
                      <a:avLst/>
                    </a:prstGeom>
                    <a:noFill/>
                    <a:ln>
                      <a:noFill/>
                    </a:ln>
                  </pic:spPr>
                </pic:pic>
              </a:graphicData>
            </a:graphic>
          </wp:inline>
        </w:drawing>
      </w:r>
    </w:p>
    <w:p w14:paraId="30677376" w14:textId="0DA46617" w:rsidR="009439CC" w:rsidRPr="00810B9C" w:rsidRDefault="00810B9C" w:rsidP="009439CC">
      <w:pPr>
        <w:spacing w:line="300" w:lineRule="atLeast"/>
        <w:jc w:val="center"/>
        <w:rPr>
          <w:rFonts w:ascii="Times New Roman" w:hAnsi="Times New Roman" w:cs="Times New Roman"/>
          <w:b/>
          <w:color w:val="000000"/>
        </w:rPr>
      </w:pPr>
      <w:r w:rsidRPr="00810B9C">
        <w:rPr>
          <w:rFonts w:ascii="Times New Roman" w:hAnsi="Times New Roman" w:cs="Times New Roman"/>
          <w:b/>
          <w:color w:val="000000"/>
        </w:rPr>
        <w:t>Zdjęcie 7</w:t>
      </w:r>
      <w:r w:rsidR="005261DF">
        <w:rPr>
          <w:rFonts w:ascii="Times New Roman" w:hAnsi="Times New Roman" w:cs="Times New Roman"/>
          <w:b/>
          <w:color w:val="000000"/>
        </w:rPr>
        <w:t>8</w:t>
      </w:r>
      <w:r w:rsidRPr="00810B9C">
        <w:rPr>
          <w:rFonts w:ascii="Times New Roman" w:hAnsi="Times New Roman" w:cs="Times New Roman"/>
          <w:b/>
          <w:color w:val="000000"/>
        </w:rPr>
        <w:t xml:space="preserve">. </w:t>
      </w:r>
      <w:r w:rsidR="009439CC" w:rsidRPr="00810B9C">
        <w:rPr>
          <w:rFonts w:ascii="Times New Roman" w:hAnsi="Times New Roman" w:cs="Times New Roman"/>
          <w:b/>
          <w:color w:val="000000"/>
        </w:rPr>
        <w:t xml:space="preserve">Waga analityczna XA 210.5Y.A, firmy </w:t>
      </w:r>
      <w:proofErr w:type="spellStart"/>
      <w:r w:rsidR="009439CC" w:rsidRPr="00810B9C">
        <w:rPr>
          <w:rFonts w:ascii="Times New Roman" w:hAnsi="Times New Roman" w:cs="Times New Roman"/>
          <w:b/>
          <w:color w:val="000000"/>
        </w:rPr>
        <w:t>Radwag</w:t>
      </w:r>
      <w:proofErr w:type="spellEnd"/>
    </w:p>
    <w:p w14:paraId="2BCC01B6" w14:textId="15C18DD6" w:rsidR="009439CC" w:rsidRPr="008E56B1" w:rsidRDefault="00F32A02" w:rsidP="009439CC">
      <w:pPr>
        <w:spacing w:line="300" w:lineRule="atLeast"/>
        <w:jc w:val="center"/>
      </w:pPr>
      <w:r>
        <w:rPr>
          <w:noProof/>
          <w:color w:val="212121"/>
        </w:rPr>
        <w:lastRenderedPageBreak/>
        <w:fldChar w:fldCharType="begin"/>
      </w:r>
      <w:r>
        <w:rPr>
          <w:noProof/>
          <w:color w:val="212121"/>
        </w:rPr>
        <w:instrText xml:space="preserve"> INCLUDEPICTURE  "cid:964aba8a-a503-4bbb-a734-64902c9c2fa3" \* MERGEFORMATINET </w:instrText>
      </w:r>
      <w:r>
        <w:rPr>
          <w:noProof/>
          <w:color w:val="212121"/>
        </w:rPr>
        <w:fldChar w:fldCharType="separate"/>
      </w:r>
      <w:r w:rsidR="00F54A47">
        <w:rPr>
          <w:noProof/>
          <w:color w:val="212121"/>
        </w:rPr>
        <w:fldChar w:fldCharType="begin"/>
      </w:r>
      <w:r w:rsidR="00F54A47">
        <w:rPr>
          <w:noProof/>
          <w:color w:val="212121"/>
        </w:rPr>
        <w:instrText xml:space="preserve"> INCLUDEPICTURE  "cid:964aba8a-a503-4bbb-a734-64902c9c2fa3" \* MERGEFORMATINET </w:instrText>
      </w:r>
      <w:r w:rsidR="00F54A47">
        <w:rPr>
          <w:noProof/>
          <w:color w:val="212121"/>
        </w:rPr>
        <w:fldChar w:fldCharType="separate"/>
      </w:r>
      <w:r w:rsidR="00740B87">
        <w:rPr>
          <w:noProof/>
          <w:color w:val="212121"/>
        </w:rPr>
        <w:fldChar w:fldCharType="begin"/>
      </w:r>
      <w:r w:rsidR="00740B87">
        <w:rPr>
          <w:noProof/>
          <w:color w:val="212121"/>
        </w:rPr>
        <w:instrText xml:space="preserve"> INCLUDEPICTURE  "cid:964aba8a-a503-4bbb-a734-64902c9c2fa3" \* MERGEFORMATINET </w:instrText>
      </w:r>
      <w:r w:rsidR="00740B87">
        <w:rPr>
          <w:noProof/>
          <w:color w:val="212121"/>
        </w:rPr>
        <w:fldChar w:fldCharType="separate"/>
      </w:r>
      <w:r w:rsidR="00DB6C50">
        <w:rPr>
          <w:noProof/>
          <w:color w:val="212121"/>
        </w:rPr>
        <w:fldChar w:fldCharType="begin"/>
      </w:r>
      <w:r w:rsidR="00DB6C50">
        <w:rPr>
          <w:noProof/>
          <w:color w:val="212121"/>
        </w:rPr>
        <w:instrText xml:space="preserve"> INCLUDEPICTURE  "cid:964aba8a-a503-4bbb-a734-64902c9c2fa3" \* MERGEFORMATINET </w:instrText>
      </w:r>
      <w:r w:rsidR="00DB6C50">
        <w:rPr>
          <w:noProof/>
          <w:color w:val="212121"/>
        </w:rPr>
        <w:fldChar w:fldCharType="separate"/>
      </w:r>
      <w:r w:rsidR="005D5ED1">
        <w:rPr>
          <w:noProof/>
          <w:color w:val="212121"/>
        </w:rPr>
        <w:fldChar w:fldCharType="begin"/>
      </w:r>
      <w:r w:rsidR="005D5ED1">
        <w:rPr>
          <w:noProof/>
          <w:color w:val="212121"/>
        </w:rPr>
        <w:instrText xml:space="preserve"> INCLUDEPICTURE  "cid:964aba8a-a503-4bbb-a734-64902c9c2fa3" \* MERGEFORMATINET </w:instrText>
      </w:r>
      <w:r w:rsidR="005D5ED1">
        <w:rPr>
          <w:noProof/>
          <w:color w:val="212121"/>
        </w:rPr>
        <w:fldChar w:fldCharType="separate"/>
      </w:r>
      <w:r w:rsidR="00A104D1">
        <w:rPr>
          <w:noProof/>
          <w:color w:val="212121"/>
        </w:rPr>
        <w:fldChar w:fldCharType="begin"/>
      </w:r>
      <w:r w:rsidR="00A104D1">
        <w:rPr>
          <w:noProof/>
          <w:color w:val="212121"/>
        </w:rPr>
        <w:instrText xml:space="preserve"> INCLUDEPICTURE  "cid:964aba8a-a503-4bbb-a734-64902c9c2fa3" \* MERGEFORMATINET </w:instrText>
      </w:r>
      <w:r w:rsidR="00A104D1">
        <w:rPr>
          <w:noProof/>
          <w:color w:val="212121"/>
        </w:rPr>
        <w:fldChar w:fldCharType="separate"/>
      </w:r>
      <w:r w:rsidR="005C08F4">
        <w:rPr>
          <w:noProof/>
          <w:color w:val="212121"/>
        </w:rPr>
        <w:fldChar w:fldCharType="begin"/>
      </w:r>
      <w:r w:rsidR="005C08F4">
        <w:rPr>
          <w:noProof/>
          <w:color w:val="212121"/>
        </w:rPr>
        <w:instrText xml:space="preserve"> INCLUDEPICTURE  "cid:964aba8a-a503-4bbb-a734-64902c9c2fa3" \* MERGEFORMATINET </w:instrText>
      </w:r>
      <w:r w:rsidR="005C08F4">
        <w:rPr>
          <w:noProof/>
          <w:color w:val="212121"/>
        </w:rPr>
        <w:fldChar w:fldCharType="separate"/>
      </w:r>
      <w:r w:rsidR="00224D2A">
        <w:rPr>
          <w:noProof/>
          <w:color w:val="212121"/>
        </w:rPr>
        <w:fldChar w:fldCharType="begin"/>
      </w:r>
      <w:r w:rsidR="00224D2A">
        <w:rPr>
          <w:noProof/>
          <w:color w:val="212121"/>
        </w:rPr>
        <w:instrText xml:space="preserve"> INCLUDEPICTURE  "cid:964aba8a-a503-4bbb-a734-64902c9c2fa3" \* MERGEFORMATINET </w:instrText>
      </w:r>
      <w:r w:rsidR="00224D2A">
        <w:rPr>
          <w:noProof/>
          <w:color w:val="212121"/>
        </w:rPr>
        <w:fldChar w:fldCharType="separate"/>
      </w:r>
      <w:r w:rsidR="00A70AA2">
        <w:rPr>
          <w:noProof/>
          <w:color w:val="212121"/>
        </w:rPr>
        <w:fldChar w:fldCharType="begin"/>
      </w:r>
      <w:r w:rsidR="00A70AA2">
        <w:rPr>
          <w:noProof/>
          <w:color w:val="212121"/>
        </w:rPr>
        <w:instrText xml:space="preserve"> INCLUDEPICTURE  "cid:964aba8a-a503-4bbb-a734-64902c9c2fa3" \* MERGEFORMATINET </w:instrText>
      </w:r>
      <w:r w:rsidR="00A70AA2">
        <w:rPr>
          <w:noProof/>
          <w:color w:val="212121"/>
        </w:rPr>
        <w:fldChar w:fldCharType="separate"/>
      </w:r>
      <w:r w:rsidR="00B27D81">
        <w:rPr>
          <w:noProof/>
          <w:color w:val="212121"/>
        </w:rPr>
        <w:fldChar w:fldCharType="begin"/>
      </w:r>
      <w:r w:rsidR="00B27D81">
        <w:rPr>
          <w:noProof/>
          <w:color w:val="212121"/>
        </w:rPr>
        <w:instrText xml:space="preserve"> INCLUDEPICTURE  "cid:964aba8a-a503-4bbb-a734-64902c9c2fa3" \* MERGEFORMATINET </w:instrText>
      </w:r>
      <w:r w:rsidR="00B27D81">
        <w:rPr>
          <w:noProof/>
          <w:color w:val="212121"/>
        </w:rPr>
        <w:fldChar w:fldCharType="separate"/>
      </w:r>
      <w:r w:rsidR="00811286">
        <w:rPr>
          <w:noProof/>
          <w:color w:val="212121"/>
        </w:rPr>
        <w:fldChar w:fldCharType="begin"/>
      </w:r>
      <w:r w:rsidR="00811286">
        <w:rPr>
          <w:noProof/>
          <w:color w:val="212121"/>
        </w:rPr>
        <w:instrText xml:space="preserve"> INCLUDEPICTURE  "cid:964aba8a-a503-4bbb-a734-64902c9c2fa3" \* MERGEFORMATINET </w:instrText>
      </w:r>
      <w:r w:rsidR="00811286">
        <w:rPr>
          <w:noProof/>
          <w:color w:val="212121"/>
        </w:rPr>
        <w:fldChar w:fldCharType="separate"/>
      </w:r>
      <w:r w:rsidR="0052194D">
        <w:rPr>
          <w:noProof/>
          <w:color w:val="212121"/>
        </w:rPr>
        <w:fldChar w:fldCharType="begin"/>
      </w:r>
      <w:r w:rsidR="0052194D">
        <w:rPr>
          <w:noProof/>
          <w:color w:val="212121"/>
        </w:rPr>
        <w:instrText xml:space="preserve"> INCLUDEPICTURE  "cid:964aba8a-a503-4bbb-a734-64902c9c2fa3" \* MERGEFORMATINET </w:instrText>
      </w:r>
      <w:r w:rsidR="0052194D">
        <w:rPr>
          <w:noProof/>
          <w:color w:val="212121"/>
        </w:rPr>
        <w:fldChar w:fldCharType="separate"/>
      </w:r>
      <w:r w:rsidR="00466585">
        <w:rPr>
          <w:noProof/>
          <w:color w:val="212121"/>
        </w:rPr>
        <w:fldChar w:fldCharType="begin"/>
      </w:r>
      <w:r w:rsidR="00466585">
        <w:rPr>
          <w:noProof/>
          <w:color w:val="212121"/>
        </w:rPr>
        <w:instrText xml:space="preserve"> INCLUDEPICTURE  "cid:964aba8a-a503-4bbb-a734-64902c9c2fa3" \* MERGEFORMATINET </w:instrText>
      </w:r>
      <w:r w:rsidR="00466585">
        <w:rPr>
          <w:noProof/>
          <w:color w:val="212121"/>
        </w:rPr>
        <w:fldChar w:fldCharType="separate"/>
      </w:r>
      <w:r w:rsidR="005F6965">
        <w:rPr>
          <w:noProof/>
          <w:color w:val="212121"/>
        </w:rPr>
        <w:fldChar w:fldCharType="begin"/>
      </w:r>
      <w:r w:rsidR="005F6965">
        <w:rPr>
          <w:noProof/>
          <w:color w:val="212121"/>
        </w:rPr>
        <w:instrText xml:space="preserve"> INCLUDEPICTURE  "cid:964aba8a-a503-4bbb-a734-64902c9c2fa3" \* MERGEFORMATINET </w:instrText>
      </w:r>
      <w:r w:rsidR="005F6965">
        <w:rPr>
          <w:noProof/>
          <w:color w:val="212121"/>
        </w:rPr>
        <w:fldChar w:fldCharType="separate"/>
      </w:r>
      <w:r w:rsidR="00A61720">
        <w:rPr>
          <w:noProof/>
          <w:color w:val="212121"/>
        </w:rPr>
        <w:fldChar w:fldCharType="begin"/>
      </w:r>
      <w:r w:rsidR="00A61720">
        <w:rPr>
          <w:noProof/>
          <w:color w:val="212121"/>
        </w:rPr>
        <w:instrText xml:space="preserve"> INCLUDEPICTURE  "cid:964aba8a-a503-4bbb-a734-64902c9c2fa3" \* MERGEFORMATINET </w:instrText>
      </w:r>
      <w:r w:rsidR="00A61720">
        <w:rPr>
          <w:noProof/>
          <w:color w:val="212121"/>
        </w:rPr>
        <w:fldChar w:fldCharType="separate"/>
      </w:r>
      <w:r w:rsidR="00764ADA">
        <w:rPr>
          <w:noProof/>
          <w:color w:val="212121"/>
        </w:rPr>
        <w:fldChar w:fldCharType="begin"/>
      </w:r>
      <w:r w:rsidR="00764ADA">
        <w:rPr>
          <w:noProof/>
          <w:color w:val="212121"/>
        </w:rPr>
        <w:instrText xml:space="preserve"> INCLUDEPICTURE  "cid:964aba8a-a503-4bbb-a734-64902c9c2fa3" \* MERGEFORMATINET </w:instrText>
      </w:r>
      <w:r w:rsidR="00764ADA">
        <w:rPr>
          <w:noProof/>
          <w:color w:val="212121"/>
        </w:rPr>
        <w:fldChar w:fldCharType="separate"/>
      </w:r>
      <w:r w:rsidR="00E7722E">
        <w:rPr>
          <w:noProof/>
          <w:color w:val="212121"/>
        </w:rPr>
        <w:fldChar w:fldCharType="begin"/>
      </w:r>
      <w:r w:rsidR="00E7722E">
        <w:rPr>
          <w:noProof/>
          <w:color w:val="212121"/>
        </w:rPr>
        <w:instrText xml:space="preserve"> INCLUDEPICTURE  "cid:964aba8a-a503-4bbb-a734-64902c9c2fa3" \* MERGEFORMATINET </w:instrText>
      </w:r>
      <w:r w:rsidR="00E7722E">
        <w:rPr>
          <w:noProof/>
          <w:color w:val="212121"/>
        </w:rPr>
        <w:fldChar w:fldCharType="separate"/>
      </w:r>
      <w:r w:rsidR="009364CB">
        <w:rPr>
          <w:noProof/>
          <w:color w:val="212121"/>
        </w:rPr>
        <w:fldChar w:fldCharType="begin"/>
      </w:r>
      <w:r w:rsidR="009364CB">
        <w:rPr>
          <w:noProof/>
          <w:color w:val="212121"/>
        </w:rPr>
        <w:instrText xml:space="preserve"> INCLUDEPICTURE  "cid:964aba8a-a503-4bbb-a734-64902c9c2fa3" \* MERGEFORMATINET </w:instrText>
      </w:r>
      <w:r w:rsidR="009364CB">
        <w:rPr>
          <w:noProof/>
          <w:color w:val="212121"/>
        </w:rPr>
        <w:fldChar w:fldCharType="separate"/>
      </w:r>
      <w:r w:rsidR="00363201">
        <w:rPr>
          <w:noProof/>
          <w:color w:val="212121"/>
        </w:rPr>
        <w:fldChar w:fldCharType="begin"/>
      </w:r>
      <w:r w:rsidR="00363201">
        <w:rPr>
          <w:noProof/>
          <w:color w:val="212121"/>
        </w:rPr>
        <w:instrText xml:space="preserve"> INCLUDEPICTURE  "cid:964aba8a-a503-4bbb-a734-64902c9c2fa3" \* MERGEFORMATINET </w:instrText>
      </w:r>
      <w:r w:rsidR="00363201">
        <w:rPr>
          <w:noProof/>
          <w:color w:val="212121"/>
        </w:rPr>
        <w:fldChar w:fldCharType="separate"/>
      </w:r>
      <w:r w:rsidR="00753F18">
        <w:rPr>
          <w:noProof/>
          <w:color w:val="212121"/>
        </w:rPr>
        <w:fldChar w:fldCharType="begin"/>
      </w:r>
      <w:r w:rsidR="00753F18">
        <w:rPr>
          <w:noProof/>
          <w:color w:val="212121"/>
        </w:rPr>
        <w:instrText xml:space="preserve"> INCLUDEPICTURE  "cid:964aba8a-a503-4bbb-a734-64902c9c2fa3" \* MERGEFORMATINET </w:instrText>
      </w:r>
      <w:r w:rsidR="00753F18">
        <w:rPr>
          <w:noProof/>
          <w:color w:val="212121"/>
        </w:rPr>
        <w:fldChar w:fldCharType="separate"/>
      </w:r>
      <w:r w:rsidR="00ED7777">
        <w:rPr>
          <w:noProof/>
          <w:color w:val="212121"/>
        </w:rPr>
        <w:fldChar w:fldCharType="begin"/>
      </w:r>
      <w:r w:rsidR="00ED7777">
        <w:rPr>
          <w:noProof/>
          <w:color w:val="212121"/>
        </w:rPr>
        <w:instrText xml:space="preserve"> INCLUDEPICTURE  "cid:964aba8a-a503-4bbb-a734-64902c9c2fa3" \* MERGEFORMATINET </w:instrText>
      </w:r>
      <w:r w:rsidR="00ED7777">
        <w:rPr>
          <w:noProof/>
          <w:color w:val="212121"/>
        </w:rPr>
        <w:fldChar w:fldCharType="separate"/>
      </w:r>
      <w:r w:rsidR="00DA1745">
        <w:rPr>
          <w:noProof/>
          <w:color w:val="212121"/>
        </w:rPr>
        <w:fldChar w:fldCharType="begin"/>
      </w:r>
      <w:r w:rsidR="00DA1745">
        <w:rPr>
          <w:noProof/>
          <w:color w:val="212121"/>
        </w:rPr>
        <w:instrText xml:space="preserve"> INCLUDEPICTURE  "cid:964aba8a-a503-4bbb-a734-64902c9c2fa3" \* MERGEFORMATINET </w:instrText>
      </w:r>
      <w:r w:rsidR="00DA1745">
        <w:rPr>
          <w:noProof/>
          <w:color w:val="212121"/>
        </w:rPr>
        <w:fldChar w:fldCharType="separate"/>
      </w:r>
      <w:r w:rsidR="00842947">
        <w:rPr>
          <w:noProof/>
          <w:color w:val="212121"/>
        </w:rPr>
        <w:fldChar w:fldCharType="begin"/>
      </w:r>
      <w:r w:rsidR="00842947">
        <w:rPr>
          <w:noProof/>
          <w:color w:val="212121"/>
        </w:rPr>
        <w:instrText xml:space="preserve"> INCLUDEPICTURE  "cid:964aba8a-a503-4bbb-a734-64902c9c2fa3" \* MERGEFORMATINET </w:instrText>
      </w:r>
      <w:r w:rsidR="00842947">
        <w:rPr>
          <w:noProof/>
          <w:color w:val="212121"/>
        </w:rPr>
        <w:fldChar w:fldCharType="separate"/>
      </w:r>
      <w:r w:rsidR="00624913">
        <w:rPr>
          <w:noProof/>
          <w:color w:val="212121"/>
        </w:rPr>
        <w:fldChar w:fldCharType="begin"/>
      </w:r>
      <w:r w:rsidR="00624913">
        <w:rPr>
          <w:noProof/>
          <w:color w:val="212121"/>
        </w:rPr>
        <w:instrText xml:space="preserve"> INCLUDEPICTURE  "cid:964aba8a-a503-4bbb-a734-64902c9c2fa3" \* MERGEFORMATINET </w:instrText>
      </w:r>
      <w:r w:rsidR="00624913">
        <w:rPr>
          <w:noProof/>
          <w:color w:val="212121"/>
        </w:rPr>
        <w:fldChar w:fldCharType="separate"/>
      </w:r>
      <w:r w:rsidR="003265A5">
        <w:rPr>
          <w:noProof/>
          <w:color w:val="212121"/>
        </w:rPr>
        <w:fldChar w:fldCharType="begin"/>
      </w:r>
      <w:r w:rsidR="003265A5">
        <w:rPr>
          <w:noProof/>
          <w:color w:val="212121"/>
        </w:rPr>
        <w:instrText xml:space="preserve"> INCLUDEPICTURE  "cid:964aba8a-a503-4bbb-a734-64902c9c2fa3" \* MERGEFORMATINET </w:instrText>
      </w:r>
      <w:r w:rsidR="003265A5">
        <w:rPr>
          <w:noProof/>
          <w:color w:val="212121"/>
        </w:rPr>
        <w:fldChar w:fldCharType="separate"/>
      </w:r>
      <w:r w:rsidR="00C1212E">
        <w:rPr>
          <w:noProof/>
          <w:color w:val="212121"/>
        </w:rPr>
        <w:fldChar w:fldCharType="begin"/>
      </w:r>
      <w:r w:rsidR="00C1212E">
        <w:rPr>
          <w:noProof/>
          <w:color w:val="212121"/>
        </w:rPr>
        <w:instrText xml:space="preserve"> INCLUDEPICTURE  "cid:964aba8a-a503-4bbb-a734-64902c9c2fa3" \* MERGEFORMATINET </w:instrText>
      </w:r>
      <w:r w:rsidR="00C1212E">
        <w:rPr>
          <w:noProof/>
          <w:color w:val="212121"/>
        </w:rPr>
        <w:fldChar w:fldCharType="separate"/>
      </w:r>
      <w:r w:rsidR="00A25F00">
        <w:rPr>
          <w:noProof/>
          <w:color w:val="212121"/>
        </w:rPr>
        <w:fldChar w:fldCharType="begin"/>
      </w:r>
      <w:r w:rsidR="00A25F00">
        <w:rPr>
          <w:noProof/>
          <w:color w:val="212121"/>
        </w:rPr>
        <w:instrText xml:space="preserve"> INCLUDEPICTURE  "cid:964aba8a-a503-4bbb-a734-64902c9c2fa3" \* MERGEFORMATINET </w:instrText>
      </w:r>
      <w:r w:rsidR="00A25F00">
        <w:rPr>
          <w:noProof/>
          <w:color w:val="212121"/>
        </w:rPr>
        <w:fldChar w:fldCharType="separate"/>
      </w:r>
      <w:r w:rsidR="00A87581">
        <w:rPr>
          <w:noProof/>
          <w:color w:val="212121"/>
        </w:rPr>
        <w:fldChar w:fldCharType="begin"/>
      </w:r>
      <w:r w:rsidR="00A87581">
        <w:rPr>
          <w:noProof/>
          <w:color w:val="212121"/>
        </w:rPr>
        <w:instrText xml:space="preserve"> INCLUDEPICTURE  "cid:964aba8a-a503-4bbb-a734-64902c9c2fa3" \* MERGEFORMATINET </w:instrText>
      </w:r>
      <w:r w:rsidR="00A87581">
        <w:rPr>
          <w:noProof/>
          <w:color w:val="212121"/>
        </w:rPr>
        <w:fldChar w:fldCharType="separate"/>
      </w:r>
      <w:r w:rsidR="0045205E">
        <w:rPr>
          <w:noProof/>
          <w:color w:val="212121"/>
        </w:rPr>
        <w:fldChar w:fldCharType="begin"/>
      </w:r>
      <w:r w:rsidR="0045205E">
        <w:rPr>
          <w:noProof/>
          <w:color w:val="212121"/>
        </w:rPr>
        <w:instrText xml:space="preserve"> INCLUDEPICTURE  "cid:964aba8a-a503-4bbb-a734-64902c9c2fa3" \* MERGEFORMATINET </w:instrText>
      </w:r>
      <w:r w:rsidR="0045205E">
        <w:rPr>
          <w:noProof/>
          <w:color w:val="212121"/>
        </w:rPr>
        <w:fldChar w:fldCharType="separate"/>
      </w:r>
      <w:r w:rsidR="006A0254">
        <w:rPr>
          <w:noProof/>
          <w:color w:val="212121"/>
        </w:rPr>
        <w:fldChar w:fldCharType="begin"/>
      </w:r>
      <w:r w:rsidR="006A0254">
        <w:rPr>
          <w:noProof/>
          <w:color w:val="212121"/>
        </w:rPr>
        <w:instrText xml:space="preserve"> INCLUDEPICTURE  "cid:964aba8a-a503-4bbb-a734-64902c9c2fa3" \* MERGEFORMATINET </w:instrText>
      </w:r>
      <w:r w:rsidR="006A0254">
        <w:rPr>
          <w:noProof/>
          <w:color w:val="212121"/>
        </w:rPr>
        <w:fldChar w:fldCharType="separate"/>
      </w:r>
      <w:r w:rsidR="00A5399A">
        <w:rPr>
          <w:noProof/>
          <w:color w:val="212121"/>
        </w:rPr>
        <w:fldChar w:fldCharType="begin"/>
      </w:r>
      <w:r w:rsidR="00A5399A">
        <w:rPr>
          <w:noProof/>
          <w:color w:val="212121"/>
        </w:rPr>
        <w:instrText xml:space="preserve"> INCLUDEPICTURE  "cid:964aba8a-a503-4bbb-a734-64902c9c2fa3" \* MERGEFORMATINET </w:instrText>
      </w:r>
      <w:r w:rsidR="00A5399A">
        <w:rPr>
          <w:noProof/>
          <w:color w:val="212121"/>
        </w:rPr>
        <w:fldChar w:fldCharType="separate"/>
      </w:r>
      <w:r w:rsidR="00F459E7">
        <w:rPr>
          <w:noProof/>
          <w:color w:val="212121"/>
        </w:rPr>
        <w:fldChar w:fldCharType="begin"/>
      </w:r>
      <w:r w:rsidR="00F459E7">
        <w:rPr>
          <w:noProof/>
          <w:color w:val="212121"/>
        </w:rPr>
        <w:instrText xml:space="preserve"> INCLUDEPICTURE  "cid:964aba8a-a503-4bbb-a734-64902c9c2fa3" \* MERGEFORMATINET </w:instrText>
      </w:r>
      <w:r w:rsidR="00F459E7">
        <w:rPr>
          <w:noProof/>
          <w:color w:val="212121"/>
        </w:rPr>
        <w:fldChar w:fldCharType="separate"/>
      </w:r>
      <w:r w:rsidR="00777759">
        <w:rPr>
          <w:noProof/>
          <w:color w:val="212121"/>
        </w:rPr>
        <w:fldChar w:fldCharType="begin"/>
      </w:r>
      <w:r w:rsidR="00777759">
        <w:rPr>
          <w:noProof/>
          <w:color w:val="212121"/>
        </w:rPr>
        <w:instrText xml:space="preserve"> INCLUDEPICTURE  "cid:964aba8a-a503-4bbb-a734-64902c9c2fa3" \* MERGEFORMATINET </w:instrText>
      </w:r>
      <w:r w:rsidR="00777759">
        <w:rPr>
          <w:noProof/>
          <w:color w:val="212121"/>
        </w:rPr>
        <w:fldChar w:fldCharType="separate"/>
      </w:r>
      <w:r w:rsidR="006529A9">
        <w:rPr>
          <w:noProof/>
          <w:color w:val="212121"/>
        </w:rPr>
        <w:fldChar w:fldCharType="begin"/>
      </w:r>
      <w:r w:rsidR="006529A9">
        <w:rPr>
          <w:noProof/>
          <w:color w:val="212121"/>
        </w:rPr>
        <w:instrText xml:space="preserve"> INCLUDEPICTURE  "cid:964aba8a-a503-4bbb-a734-64902c9c2fa3" \* MERGEFORMATINET </w:instrText>
      </w:r>
      <w:r w:rsidR="006529A9">
        <w:rPr>
          <w:noProof/>
          <w:color w:val="212121"/>
        </w:rPr>
        <w:fldChar w:fldCharType="separate"/>
      </w:r>
      <w:r w:rsidR="00E8307D">
        <w:rPr>
          <w:noProof/>
          <w:color w:val="212121"/>
        </w:rPr>
        <w:fldChar w:fldCharType="begin"/>
      </w:r>
      <w:r w:rsidR="00E8307D">
        <w:rPr>
          <w:noProof/>
          <w:color w:val="212121"/>
        </w:rPr>
        <w:instrText xml:space="preserve"> INCLUDEPICTURE  "cid:964aba8a-a503-4bbb-a734-64902c9c2fa3" \* MERGEFORMATINET </w:instrText>
      </w:r>
      <w:r w:rsidR="00E8307D">
        <w:rPr>
          <w:noProof/>
          <w:color w:val="212121"/>
        </w:rPr>
        <w:fldChar w:fldCharType="separate"/>
      </w:r>
      <w:r w:rsidR="007125A7">
        <w:rPr>
          <w:noProof/>
          <w:color w:val="212121"/>
        </w:rPr>
        <w:fldChar w:fldCharType="begin"/>
      </w:r>
      <w:r w:rsidR="007125A7">
        <w:rPr>
          <w:noProof/>
          <w:color w:val="212121"/>
        </w:rPr>
        <w:instrText xml:space="preserve"> INCLUDEPICTURE  "cid:964aba8a-a503-4bbb-a734-64902c9c2fa3" \* MERGEFORMATINET </w:instrText>
      </w:r>
      <w:r w:rsidR="007125A7">
        <w:rPr>
          <w:noProof/>
          <w:color w:val="212121"/>
        </w:rPr>
        <w:fldChar w:fldCharType="separate"/>
      </w:r>
      <w:r w:rsidR="00DE29AF">
        <w:rPr>
          <w:noProof/>
          <w:color w:val="212121"/>
        </w:rPr>
        <w:fldChar w:fldCharType="begin"/>
      </w:r>
      <w:r w:rsidR="00DE29AF">
        <w:rPr>
          <w:noProof/>
          <w:color w:val="212121"/>
        </w:rPr>
        <w:instrText xml:space="preserve"> INCLUDEPICTURE  "cid:964aba8a-a503-4bbb-a734-64902c9c2fa3" \* MERGEFORMATINET </w:instrText>
      </w:r>
      <w:r w:rsidR="00DE29AF">
        <w:rPr>
          <w:noProof/>
          <w:color w:val="212121"/>
        </w:rPr>
        <w:fldChar w:fldCharType="separate"/>
      </w:r>
      <w:r w:rsidR="006954D6">
        <w:rPr>
          <w:noProof/>
          <w:color w:val="212121"/>
        </w:rPr>
        <w:fldChar w:fldCharType="begin"/>
      </w:r>
      <w:r w:rsidR="006954D6">
        <w:rPr>
          <w:noProof/>
          <w:color w:val="212121"/>
        </w:rPr>
        <w:instrText xml:space="preserve"> INCLUDEPICTURE  "cid:964aba8a-a503-4bbb-a734-64902c9c2fa3" \* MERGEFORMATINET </w:instrText>
      </w:r>
      <w:r w:rsidR="006954D6">
        <w:rPr>
          <w:noProof/>
          <w:color w:val="212121"/>
        </w:rPr>
        <w:fldChar w:fldCharType="separate"/>
      </w:r>
      <w:r w:rsidR="0054266C">
        <w:rPr>
          <w:noProof/>
          <w:color w:val="212121"/>
        </w:rPr>
        <w:fldChar w:fldCharType="begin"/>
      </w:r>
      <w:r w:rsidR="0054266C">
        <w:rPr>
          <w:noProof/>
          <w:color w:val="212121"/>
        </w:rPr>
        <w:instrText xml:space="preserve"> INCLUDEPICTURE  "cid:964aba8a-a503-4bbb-a734-64902c9c2fa3" \* MERGEFORMATINET </w:instrText>
      </w:r>
      <w:r w:rsidR="0054266C">
        <w:rPr>
          <w:noProof/>
          <w:color w:val="212121"/>
        </w:rPr>
        <w:fldChar w:fldCharType="separate"/>
      </w:r>
      <w:r w:rsidR="0006742A">
        <w:rPr>
          <w:noProof/>
          <w:color w:val="212121"/>
        </w:rPr>
        <w:fldChar w:fldCharType="begin"/>
      </w:r>
      <w:r w:rsidR="0006742A">
        <w:rPr>
          <w:noProof/>
          <w:color w:val="212121"/>
        </w:rPr>
        <w:instrText xml:space="preserve"> INCLUDEPICTURE  "cid:964aba8a-a503-4bbb-a734-64902c9c2fa3" \* MERGEFORMATINET </w:instrText>
      </w:r>
      <w:r w:rsidR="0006742A">
        <w:rPr>
          <w:noProof/>
          <w:color w:val="212121"/>
        </w:rPr>
        <w:fldChar w:fldCharType="separate"/>
      </w:r>
      <w:r w:rsidR="00BD6CA9">
        <w:rPr>
          <w:noProof/>
          <w:color w:val="212121"/>
        </w:rPr>
        <w:fldChar w:fldCharType="begin"/>
      </w:r>
      <w:r w:rsidR="00BD6CA9">
        <w:rPr>
          <w:noProof/>
          <w:color w:val="212121"/>
        </w:rPr>
        <w:instrText xml:space="preserve"> INCLUDEPICTURE  "cid:964aba8a-a503-4bbb-a734-64902c9c2fa3" \* MERGEFORMATINET </w:instrText>
      </w:r>
      <w:r w:rsidR="00BD6CA9">
        <w:rPr>
          <w:noProof/>
          <w:color w:val="212121"/>
        </w:rPr>
        <w:fldChar w:fldCharType="separate"/>
      </w:r>
      <w:r w:rsidR="006D5355">
        <w:rPr>
          <w:noProof/>
          <w:color w:val="212121"/>
        </w:rPr>
        <w:fldChar w:fldCharType="begin"/>
      </w:r>
      <w:r w:rsidR="006D5355">
        <w:rPr>
          <w:noProof/>
          <w:color w:val="212121"/>
        </w:rPr>
        <w:instrText xml:space="preserve"> INCLUDEPICTURE  "cid:964aba8a-a503-4bbb-a734-64902c9c2fa3" \* MERGEFORMATINET </w:instrText>
      </w:r>
      <w:r w:rsidR="006D5355">
        <w:rPr>
          <w:noProof/>
          <w:color w:val="212121"/>
        </w:rPr>
        <w:fldChar w:fldCharType="separate"/>
      </w:r>
      <w:r w:rsidR="006D64E9">
        <w:rPr>
          <w:noProof/>
          <w:color w:val="212121"/>
        </w:rPr>
        <w:fldChar w:fldCharType="begin"/>
      </w:r>
      <w:r w:rsidR="006D64E9">
        <w:rPr>
          <w:noProof/>
          <w:color w:val="212121"/>
        </w:rPr>
        <w:instrText xml:space="preserve"> INCLUDEPICTURE  "cid:964aba8a-a503-4bbb-a734-64902c9c2fa3" \* MERGEFORMATINET </w:instrText>
      </w:r>
      <w:r w:rsidR="006D64E9">
        <w:rPr>
          <w:noProof/>
          <w:color w:val="212121"/>
        </w:rPr>
        <w:fldChar w:fldCharType="separate"/>
      </w:r>
      <w:r w:rsidR="00323C5D">
        <w:rPr>
          <w:noProof/>
          <w:color w:val="212121"/>
        </w:rPr>
        <w:fldChar w:fldCharType="begin"/>
      </w:r>
      <w:r w:rsidR="00323C5D">
        <w:rPr>
          <w:noProof/>
          <w:color w:val="212121"/>
        </w:rPr>
        <w:instrText xml:space="preserve"> INCLUDEPICTURE  "cid:964aba8a-a503-4bbb-a734-64902c9c2fa3" \* MERGEFORMATINET </w:instrText>
      </w:r>
      <w:r w:rsidR="00323C5D">
        <w:rPr>
          <w:noProof/>
          <w:color w:val="212121"/>
        </w:rPr>
        <w:fldChar w:fldCharType="separate"/>
      </w:r>
      <w:r w:rsidR="00FC19F2">
        <w:rPr>
          <w:noProof/>
          <w:color w:val="212121"/>
        </w:rPr>
        <w:fldChar w:fldCharType="begin"/>
      </w:r>
      <w:r w:rsidR="00FC19F2">
        <w:rPr>
          <w:noProof/>
          <w:color w:val="212121"/>
        </w:rPr>
        <w:instrText xml:space="preserve"> INCLUDEPICTURE  "cid:964aba8a-a503-4bbb-a734-64902c9c2fa3" \* MERGEFORMATINET </w:instrText>
      </w:r>
      <w:r w:rsidR="00FC19F2">
        <w:rPr>
          <w:noProof/>
          <w:color w:val="212121"/>
        </w:rPr>
        <w:fldChar w:fldCharType="separate"/>
      </w:r>
      <w:r w:rsidR="00511B92">
        <w:rPr>
          <w:noProof/>
          <w:color w:val="212121"/>
        </w:rPr>
        <w:fldChar w:fldCharType="begin"/>
      </w:r>
      <w:r w:rsidR="00511B92">
        <w:rPr>
          <w:noProof/>
          <w:color w:val="212121"/>
        </w:rPr>
        <w:instrText xml:space="preserve"> INCLUDEPICTURE  "cid:964aba8a-a503-4bbb-a734-64902c9c2fa3" \* MERGEFORMATINET </w:instrText>
      </w:r>
      <w:r w:rsidR="00511B92">
        <w:rPr>
          <w:noProof/>
          <w:color w:val="212121"/>
        </w:rPr>
        <w:fldChar w:fldCharType="separate"/>
      </w:r>
      <w:r w:rsidR="00072AE9">
        <w:rPr>
          <w:noProof/>
          <w:color w:val="212121"/>
        </w:rPr>
        <w:fldChar w:fldCharType="begin"/>
      </w:r>
      <w:r w:rsidR="00072AE9">
        <w:rPr>
          <w:noProof/>
          <w:color w:val="212121"/>
        </w:rPr>
        <w:instrText xml:space="preserve"> INCLUDEPICTURE  "cid:964aba8a-a503-4bbb-a734-64902c9c2fa3" \* MERGEFORMATINET </w:instrText>
      </w:r>
      <w:r w:rsidR="00072AE9">
        <w:rPr>
          <w:noProof/>
          <w:color w:val="212121"/>
        </w:rPr>
        <w:fldChar w:fldCharType="separate"/>
      </w:r>
      <w:r w:rsidR="00AD0857">
        <w:rPr>
          <w:noProof/>
          <w:color w:val="212121"/>
        </w:rPr>
        <w:fldChar w:fldCharType="begin"/>
      </w:r>
      <w:r w:rsidR="00AD0857">
        <w:rPr>
          <w:noProof/>
          <w:color w:val="212121"/>
        </w:rPr>
        <w:instrText xml:space="preserve"> INCLUDEPICTURE  "cid:964aba8a-a503-4bbb-a734-64902c9c2fa3" \* MERGEFORMATINET </w:instrText>
      </w:r>
      <w:r w:rsidR="00AD0857">
        <w:rPr>
          <w:noProof/>
          <w:color w:val="212121"/>
        </w:rPr>
        <w:fldChar w:fldCharType="separate"/>
      </w:r>
      <w:r w:rsidR="005A3E9A">
        <w:rPr>
          <w:noProof/>
          <w:color w:val="212121"/>
        </w:rPr>
        <w:fldChar w:fldCharType="begin"/>
      </w:r>
      <w:r w:rsidR="005A3E9A">
        <w:rPr>
          <w:noProof/>
          <w:color w:val="212121"/>
        </w:rPr>
        <w:instrText xml:space="preserve"> INCLUDEPICTURE  "cid:964aba8a-a503-4bbb-a734-64902c9c2fa3" \* MERGEFORMATINET </w:instrText>
      </w:r>
      <w:r w:rsidR="005A3E9A">
        <w:rPr>
          <w:noProof/>
          <w:color w:val="212121"/>
        </w:rPr>
        <w:fldChar w:fldCharType="separate"/>
      </w:r>
      <w:r w:rsidR="000F7C80">
        <w:rPr>
          <w:noProof/>
          <w:color w:val="212121"/>
        </w:rPr>
        <w:fldChar w:fldCharType="begin"/>
      </w:r>
      <w:r w:rsidR="000F7C80">
        <w:rPr>
          <w:noProof/>
          <w:color w:val="212121"/>
        </w:rPr>
        <w:instrText xml:space="preserve"> INCLUDEPICTURE  "cid:964aba8a-a503-4bbb-a734-64902c9c2fa3" \* MERGEFORMATINET </w:instrText>
      </w:r>
      <w:r w:rsidR="000F7C80">
        <w:rPr>
          <w:noProof/>
          <w:color w:val="212121"/>
        </w:rPr>
        <w:fldChar w:fldCharType="separate"/>
      </w:r>
      <w:r w:rsidR="00E9510D">
        <w:rPr>
          <w:noProof/>
          <w:color w:val="212121"/>
        </w:rPr>
        <w:fldChar w:fldCharType="begin"/>
      </w:r>
      <w:r w:rsidR="00E9510D">
        <w:rPr>
          <w:noProof/>
          <w:color w:val="212121"/>
        </w:rPr>
        <w:instrText xml:space="preserve"> INCLUDEPICTURE  "cid:964aba8a-a503-4bbb-a734-64902c9c2fa3" \* MERGEFORMATINET </w:instrText>
      </w:r>
      <w:r w:rsidR="00E9510D">
        <w:rPr>
          <w:noProof/>
          <w:color w:val="212121"/>
        </w:rPr>
        <w:fldChar w:fldCharType="separate"/>
      </w:r>
      <w:r w:rsidR="00924275">
        <w:rPr>
          <w:noProof/>
          <w:color w:val="212121"/>
        </w:rPr>
        <w:fldChar w:fldCharType="begin"/>
      </w:r>
      <w:r w:rsidR="00924275">
        <w:rPr>
          <w:noProof/>
          <w:color w:val="212121"/>
        </w:rPr>
        <w:instrText xml:space="preserve"> INCLUDEPICTURE  "cid:964aba8a-a503-4bbb-a734-64902c9c2fa3" \* MERGEFORMATINET </w:instrText>
      </w:r>
      <w:r w:rsidR="00924275">
        <w:rPr>
          <w:noProof/>
          <w:color w:val="212121"/>
        </w:rPr>
        <w:fldChar w:fldCharType="separate"/>
      </w:r>
      <w:r w:rsidR="001453E3">
        <w:rPr>
          <w:noProof/>
          <w:color w:val="212121"/>
        </w:rPr>
        <w:fldChar w:fldCharType="begin"/>
      </w:r>
      <w:r w:rsidR="001453E3">
        <w:rPr>
          <w:noProof/>
          <w:color w:val="212121"/>
        </w:rPr>
        <w:instrText xml:space="preserve"> INCLUDEPICTURE  "cid:964aba8a-a503-4bbb-a734-64902c9c2fa3" \* MERGEFORMATINET </w:instrText>
      </w:r>
      <w:r w:rsidR="001453E3">
        <w:rPr>
          <w:noProof/>
          <w:color w:val="212121"/>
        </w:rPr>
        <w:fldChar w:fldCharType="separate"/>
      </w:r>
      <w:r w:rsidR="002F5150">
        <w:rPr>
          <w:noProof/>
          <w:color w:val="212121"/>
        </w:rPr>
        <w:fldChar w:fldCharType="begin"/>
      </w:r>
      <w:r w:rsidR="002F5150">
        <w:rPr>
          <w:noProof/>
          <w:color w:val="212121"/>
        </w:rPr>
        <w:instrText xml:space="preserve"> INCLUDEPICTURE  "cid:964aba8a-a503-4bbb-a734-64902c9c2fa3" \* MERGEFORMATINET </w:instrText>
      </w:r>
      <w:r w:rsidR="002F5150">
        <w:rPr>
          <w:noProof/>
          <w:color w:val="212121"/>
        </w:rPr>
        <w:fldChar w:fldCharType="separate"/>
      </w:r>
      <w:r w:rsidR="004819A1">
        <w:rPr>
          <w:noProof/>
          <w:color w:val="212121"/>
        </w:rPr>
        <w:fldChar w:fldCharType="begin"/>
      </w:r>
      <w:r w:rsidR="004819A1">
        <w:rPr>
          <w:noProof/>
          <w:color w:val="212121"/>
        </w:rPr>
        <w:instrText xml:space="preserve"> INCLUDEPICTURE  "cid:964aba8a-a503-4bbb-a734-64902c9c2fa3" \* MERGEFORMATINET </w:instrText>
      </w:r>
      <w:r w:rsidR="004819A1">
        <w:rPr>
          <w:noProof/>
          <w:color w:val="212121"/>
        </w:rPr>
        <w:fldChar w:fldCharType="separate"/>
      </w:r>
      <w:r w:rsidR="006E1924">
        <w:rPr>
          <w:noProof/>
          <w:color w:val="212121"/>
        </w:rPr>
        <w:fldChar w:fldCharType="begin"/>
      </w:r>
      <w:r w:rsidR="006E1924">
        <w:rPr>
          <w:noProof/>
          <w:color w:val="212121"/>
        </w:rPr>
        <w:instrText xml:space="preserve"> INCLUDEPICTURE  "cid:964aba8a-a503-4bbb-a734-64902c9c2fa3" \* MERGEFORMATINET </w:instrText>
      </w:r>
      <w:r w:rsidR="006E1924">
        <w:rPr>
          <w:noProof/>
          <w:color w:val="212121"/>
        </w:rPr>
        <w:fldChar w:fldCharType="separate"/>
      </w:r>
      <w:r w:rsidR="005C01BB">
        <w:rPr>
          <w:noProof/>
          <w:color w:val="212121"/>
        </w:rPr>
        <w:fldChar w:fldCharType="begin"/>
      </w:r>
      <w:r w:rsidR="005C01BB">
        <w:rPr>
          <w:noProof/>
          <w:color w:val="212121"/>
        </w:rPr>
        <w:instrText xml:space="preserve"> INCLUDEPICTURE  "cid:964aba8a-a503-4bbb-a734-64902c9c2fa3" \* MERGEFORMATINET </w:instrText>
      </w:r>
      <w:r w:rsidR="005C01BB">
        <w:rPr>
          <w:noProof/>
          <w:color w:val="212121"/>
        </w:rPr>
        <w:fldChar w:fldCharType="separate"/>
      </w:r>
      <w:r w:rsidR="00F33D14">
        <w:rPr>
          <w:noProof/>
          <w:color w:val="212121"/>
        </w:rPr>
        <w:fldChar w:fldCharType="begin"/>
      </w:r>
      <w:r w:rsidR="00F33D14">
        <w:rPr>
          <w:noProof/>
          <w:color w:val="212121"/>
        </w:rPr>
        <w:instrText xml:space="preserve"> INCLUDEPICTURE  "cid:964aba8a-a503-4bbb-a734-64902c9c2fa3" \* MERGEFORMATINET </w:instrText>
      </w:r>
      <w:r w:rsidR="00F33D14">
        <w:rPr>
          <w:noProof/>
          <w:color w:val="212121"/>
        </w:rPr>
        <w:fldChar w:fldCharType="separate"/>
      </w:r>
      <w:r w:rsidR="007108E8">
        <w:rPr>
          <w:noProof/>
          <w:color w:val="212121"/>
        </w:rPr>
        <w:fldChar w:fldCharType="begin"/>
      </w:r>
      <w:r w:rsidR="007108E8">
        <w:rPr>
          <w:noProof/>
          <w:color w:val="212121"/>
        </w:rPr>
        <w:instrText xml:space="preserve"> INCLUDEPICTURE  "cid:964aba8a-a503-4bbb-a734-64902c9c2fa3" \* MERGEFORMATINET </w:instrText>
      </w:r>
      <w:r w:rsidR="007108E8">
        <w:rPr>
          <w:noProof/>
          <w:color w:val="212121"/>
        </w:rPr>
        <w:fldChar w:fldCharType="separate"/>
      </w:r>
      <w:r w:rsidR="00D61D6A">
        <w:rPr>
          <w:noProof/>
          <w:color w:val="212121"/>
        </w:rPr>
        <w:fldChar w:fldCharType="begin"/>
      </w:r>
      <w:r w:rsidR="00D61D6A">
        <w:rPr>
          <w:noProof/>
          <w:color w:val="212121"/>
        </w:rPr>
        <w:instrText xml:space="preserve"> INCLUDEPICTURE  "cid:964aba8a-a503-4bbb-a734-64902c9c2fa3" \* MERGEFORMATINET </w:instrText>
      </w:r>
      <w:r w:rsidR="00D61D6A">
        <w:rPr>
          <w:noProof/>
          <w:color w:val="212121"/>
        </w:rPr>
        <w:fldChar w:fldCharType="separate"/>
      </w:r>
      <w:r w:rsidR="00484980">
        <w:rPr>
          <w:noProof/>
          <w:color w:val="212121"/>
        </w:rPr>
        <w:fldChar w:fldCharType="begin"/>
      </w:r>
      <w:r w:rsidR="00484980">
        <w:rPr>
          <w:noProof/>
          <w:color w:val="212121"/>
        </w:rPr>
        <w:instrText xml:space="preserve"> INCLUDEPICTURE  "cid:964aba8a-a503-4bbb-a734-64902c9c2fa3" \* MERGEFORMATINET </w:instrText>
      </w:r>
      <w:r w:rsidR="00484980">
        <w:rPr>
          <w:noProof/>
          <w:color w:val="212121"/>
        </w:rPr>
        <w:fldChar w:fldCharType="separate"/>
      </w:r>
      <w:r w:rsidR="00D75222">
        <w:rPr>
          <w:noProof/>
          <w:color w:val="212121"/>
        </w:rPr>
        <w:fldChar w:fldCharType="begin"/>
      </w:r>
      <w:r w:rsidR="00D75222">
        <w:rPr>
          <w:noProof/>
          <w:color w:val="212121"/>
        </w:rPr>
        <w:instrText xml:space="preserve"> INCLUDEPICTURE  "cid:964aba8a-a503-4bbb-a734-64902c9c2fa3" \* MERGEFORMATINET </w:instrText>
      </w:r>
      <w:r w:rsidR="00D75222">
        <w:rPr>
          <w:noProof/>
          <w:color w:val="212121"/>
        </w:rPr>
        <w:fldChar w:fldCharType="separate"/>
      </w:r>
      <w:r>
        <w:rPr>
          <w:noProof/>
          <w:color w:val="212121"/>
        </w:rPr>
        <w:fldChar w:fldCharType="begin"/>
      </w:r>
      <w:r>
        <w:rPr>
          <w:noProof/>
          <w:color w:val="212121"/>
        </w:rPr>
        <w:instrText xml:space="preserve"> INCLUDEPICTURE  "cid:964aba8a-a503-4bbb-a734-64902c9c2fa3" \* MERGEFORMATINET </w:instrText>
      </w:r>
      <w:r>
        <w:rPr>
          <w:noProof/>
          <w:color w:val="212121"/>
        </w:rPr>
        <w:fldChar w:fldCharType="separate"/>
      </w:r>
      <w:r>
        <w:rPr>
          <w:noProof/>
          <w:color w:val="212121"/>
        </w:rPr>
        <w:fldChar w:fldCharType="begin"/>
      </w:r>
      <w:r>
        <w:rPr>
          <w:noProof/>
          <w:color w:val="212121"/>
        </w:rPr>
        <w:instrText xml:space="preserve"> INCLUDEPICTURE  "cid:964aba8a-a503-4bbb-a734-64902c9c2fa3" \* MERGEFORMATINET </w:instrText>
      </w:r>
      <w:r>
        <w:rPr>
          <w:noProof/>
          <w:color w:val="212121"/>
        </w:rPr>
        <w:fldChar w:fldCharType="separate"/>
      </w:r>
      <w:r>
        <w:rPr>
          <w:noProof/>
          <w:color w:val="212121"/>
        </w:rPr>
        <w:fldChar w:fldCharType="begin"/>
      </w:r>
      <w:r>
        <w:rPr>
          <w:noProof/>
          <w:color w:val="212121"/>
        </w:rPr>
        <w:instrText xml:space="preserve"> INCLUDEPICTURE  "cid:964aba8a-a503-4bbb-a734-64902c9c2fa3" \* MERGEFORMATINET </w:instrText>
      </w:r>
      <w:r>
        <w:rPr>
          <w:noProof/>
          <w:color w:val="212121"/>
        </w:rPr>
        <w:fldChar w:fldCharType="separate"/>
      </w:r>
      <w:r w:rsidR="00222619">
        <w:rPr>
          <w:noProof/>
          <w:color w:val="212121"/>
        </w:rPr>
        <w:fldChar w:fldCharType="begin"/>
      </w:r>
      <w:r w:rsidR="00222619">
        <w:rPr>
          <w:noProof/>
          <w:color w:val="212121"/>
        </w:rPr>
        <w:instrText xml:space="preserve"> INCLUDEPICTURE  "cid:964aba8a-a503-4bbb-a734-64902c9c2fa3" \* MERGEFORMATINET </w:instrText>
      </w:r>
      <w:r w:rsidR="00222619">
        <w:rPr>
          <w:noProof/>
          <w:color w:val="212121"/>
        </w:rPr>
        <w:fldChar w:fldCharType="separate"/>
      </w:r>
      <w:r w:rsidR="00D073CD">
        <w:rPr>
          <w:noProof/>
          <w:color w:val="212121"/>
        </w:rPr>
        <w:fldChar w:fldCharType="begin"/>
      </w:r>
      <w:r w:rsidR="00D073CD">
        <w:rPr>
          <w:noProof/>
          <w:color w:val="212121"/>
        </w:rPr>
        <w:instrText xml:space="preserve"> INCLUDEPICTURE  "cid:964aba8a-a503-4bbb-a734-64902c9c2fa3" \* MERGEFORMATINET </w:instrText>
      </w:r>
      <w:r w:rsidR="00D073CD">
        <w:rPr>
          <w:noProof/>
          <w:color w:val="212121"/>
        </w:rPr>
        <w:fldChar w:fldCharType="separate"/>
      </w:r>
      <w:r w:rsidR="00A21B15">
        <w:rPr>
          <w:noProof/>
          <w:color w:val="212121"/>
        </w:rPr>
        <w:fldChar w:fldCharType="begin"/>
      </w:r>
      <w:r w:rsidR="00A21B15">
        <w:rPr>
          <w:noProof/>
          <w:color w:val="212121"/>
        </w:rPr>
        <w:instrText xml:space="preserve"> INCLUDEPICTURE  "cid:964aba8a-a503-4bbb-a734-64902c9c2fa3" \* MERGEFORMATINET </w:instrText>
      </w:r>
      <w:r w:rsidR="00A21B15">
        <w:rPr>
          <w:noProof/>
          <w:color w:val="212121"/>
        </w:rPr>
        <w:fldChar w:fldCharType="separate"/>
      </w:r>
      <w:r w:rsidR="00DD5C49">
        <w:rPr>
          <w:noProof/>
          <w:color w:val="212121"/>
        </w:rPr>
        <w:fldChar w:fldCharType="begin"/>
      </w:r>
      <w:r w:rsidR="00DD5C49">
        <w:rPr>
          <w:noProof/>
          <w:color w:val="212121"/>
        </w:rPr>
        <w:instrText xml:space="preserve"> INCLUDEPICTURE  "cid:964aba8a-a503-4bbb-a734-64902c9c2fa3" \* MERGEFORMATINET </w:instrText>
      </w:r>
      <w:r w:rsidR="00DD5C49">
        <w:rPr>
          <w:noProof/>
          <w:color w:val="212121"/>
        </w:rPr>
        <w:fldChar w:fldCharType="separate"/>
      </w:r>
      <w:r w:rsidR="00DA5876">
        <w:rPr>
          <w:noProof/>
          <w:color w:val="212121"/>
        </w:rPr>
        <w:fldChar w:fldCharType="begin"/>
      </w:r>
      <w:r w:rsidR="00DA5876">
        <w:rPr>
          <w:noProof/>
          <w:color w:val="212121"/>
        </w:rPr>
        <w:instrText xml:space="preserve"> INCLUDEPICTURE  "cid:964aba8a-a503-4bbb-a734-64902c9c2fa3" \* MERGEFORMATINET </w:instrText>
      </w:r>
      <w:r w:rsidR="00DA5876">
        <w:rPr>
          <w:noProof/>
          <w:color w:val="212121"/>
        </w:rPr>
        <w:fldChar w:fldCharType="separate"/>
      </w:r>
      <w:r w:rsidR="006C1A1A">
        <w:rPr>
          <w:noProof/>
          <w:color w:val="212121"/>
        </w:rPr>
        <w:fldChar w:fldCharType="begin"/>
      </w:r>
      <w:r w:rsidR="006C1A1A">
        <w:rPr>
          <w:noProof/>
          <w:color w:val="212121"/>
        </w:rPr>
        <w:instrText xml:space="preserve"> INCLUDEPICTURE  "cid:964aba8a-a503-4bbb-a734-64902c9c2fa3" \* MERGEFORMATINET </w:instrText>
      </w:r>
      <w:r w:rsidR="006C1A1A">
        <w:rPr>
          <w:noProof/>
          <w:color w:val="212121"/>
        </w:rPr>
        <w:fldChar w:fldCharType="separate"/>
      </w:r>
      <w:r w:rsidR="009909D8">
        <w:rPr>
          <w:noProof/>
          <w:color w:val="212121"/>
        </w:rPr>
        <w:fldChar w:fldCharType="begin"/>
      </w:r>
      <w:r w:rsidR="009909D8">
        <w:rPr>
          <w:noProof/>
          <w:color w:val="212121"/>
        </w:rPr>
        <w:instrText xml:space="preserve"> INCLUDEPICTURE  "cid:964aba8a-a503-4bbb-a734-64902c9c2fa3" \* MERGEFORMATINET </w:instrText>
      </w:r>
      <w:r w:rsidR="009909D8">
        <w:rPr>
          <w:noProof/>
          <w:color w:val="212121"/>
        </w:rPr>
        <w:fldChar w:fldCharType="separate"/>
      </w:r>
      <w:r w:rsidR="00CF4649">
        <w:rPr>
          <w:noProof/>
          <w:color w:val="212121"/>
        </w:rPr>
        <w:fldChar w:fldCharType="begin"/>
      </w:r>
      <w:r w:rsidR="00CF4649">
        <w:rPr>
          <w:noProof/>
          <w:color w:val="212121"/>
        </w:rPr>
        <w:instrText xml:space="preserve"> INCLUDEPICTURE  "cid:964aba8a-a503-4bbb-a734-64902c9c2fa3" \* MERGEFORMATINET </w:instrText>
      </w:r>
      <w:r w:rsidR="00CF4649">
        <w:rPr>
          <w:noProof/>
          <w:color w:val="212121"/>
        </w:rPr>
        <w:fldChar w:fldCharType="separate"/>
      </w:r>
      <w:r w:rsidR="00253BEC">
        <w:rPr>
          <w:noProof/>
          <w:color w:val="212121"/>
        </w:rPr>
        <w:fldChar w:fldCharType="begin"/>
      </w:r>
      <w:r w:rsidR="00253BEC">
        <w:rPr>
          <w:noProof/>
          <w:color w:val="212121"/>
        </w:rPr>
        <w:instrText xml:space="preserve"> INCLUDEPICTURE  "cid:964aba8a-a503-4bbb-a734-64902c9c2fa3" \* MERGEFORMATINET </w:instrText>
      </w:r>
      <w:r w:rsidR="00253BEC">
        <w:rPr>
          <w:noProof/>
          <w:color w:val="212121"/>
        </w:rPr>
        <w:fldChar w:fldCharType="separate"/>
      </w:r>
      <w:r w:rsidR="00E04073">
        <w:rPr>
          <w:noProof/>
          <w:color w:val="212121"/>
        </w:rPr>
        <w:fldChar w:fldCharType="begin"/>
      </w:r>
      <w:r w:rsidR="00E04073">
        <w:rPr>
          <w:noProof/>
          <w:color w:val="212121"/>
        </w:rPr>
        <w:instrText xml:space="preserve"> INCLUDEPICTURE  "cid:964aba8a-a503-4bbb-a734-64902c9c2fa3" \* MERGEFORMATINET </w:instrText>
      </w:r>
      <w:r w:rsidR="00E04073">
        <w:rPr>
          <w:noProof/>
          <w:color w:val="212121"/>
        </w:rPr>
        <w:fldChar w:fldCharType="separate"/>
      </w:r>
      <w:r w:rsidR="007D216E">
        <w:rPr>
          <w:noProof/>
          <w:color w:val="212121"/>
        </w:rPr>
        <w:fldChar w:fldCharType="begin"/>
      </w:r>
      <w:r w:rsidR="007D216E">
        <w:rPr>
          <w:noProof/>
          <w:color w:val="212121"/>
        </w:rPr>
        <w:instrText xml:space="preserve"> INCLUDEPICTURE  "cid:964aba8a-a503-4bbb-a734-64902c9c2fa3" \* MERGEFORMATINET </w:instrText>
      </w:r>
      <w:r w:rsidR="007D216E">
        <w:rPr>
          <w:noProof/>
          <w:color w:val="212121"/>
        </w:rPr>
        <w:fldChar w:fldCharType="separate"/>
      </w:r>
      <w:r w:rsidR="00CB3B76">
        <w:rPr>
          <w:noProof/>
          <w:color w:val="212121"/>
        </w:rPr>
        <w:fldChar w:fldCharType="begin"/>
      </w:r>
      <w:r w:rsidR="00CB3B76">
        <w:rPr>
          <w:noProof/>
          <w:color w:val="212121"/>
        </w:rPr>
        <w:instrText xml:space="preserve"> INCLUDEPICTURE  "cid:964aba8a-a503-4bbb-a734-64902c9c2fa3" \* MERGEFORMATINET </w:instrText>
      </w:r>
      <w:r w:rsidR="00CB3B76">
        <w:rPr>
          <w:noProof/>
          <w:color w:val="212121"/>
        </w:rPr>
        <w:fldChar w:fldCharType="separate"/>
      </w:r>
      <w:r w:rsidR="00735A64">
        <w:rPr>
          <w:noProof/>
          <w:color w:val="212121"/>
        </w:rPr>
        <w:fldChar w:fldCharType="begin"/>
      </w:r>
      <w:r w:rsidR="00735A64">
        <w:rPr>
          <w:noProof/>
          <w:color w:val="212121"/>
        </w:rPr>
        <w:instrText xml:space="preserve"> INCLUDEPICTURE  "cid:964aba8a-a503-4bbb-a734-64902c9c2fa3" \* MERGEFORMATINET </w:instrText>
      </w:r>
      <w:r w:rsidR="00735A64">
        <w:rPr>
          <w:noProof/>
          <w:color w:val="212121"/>
        </w:rPr>
        <w:fldChar w:fldCharType="separate"/>
      </w:r>
      <w:r w:rsidR="00354542">
        <w:rPr>
          <w:noProof/>
          <w:color w:val="212121"/>
        </w:rPr>
        <w:fldChar w:fldCharType="begin"/>
      </w:r>
      <w:r w:rsidR="00354542">
        <w:rPr>
          <w:noProof/>
          <w:color w:val="212121"/>
        </w:rPr>
        <w:instrText xml:space="preserve"> INCLUDEPICTURE  "cid:964aba8a-a503-4bbb-a734-64902c9c2fa3" \* MERGEFORMATINET </w:instrText>
      </w:r>
      <w:r w:rsidR="00354542">
        <w:rPr>
          <w:noProof/>
          <w:color w:val="212121"/>
        </w:rPr>
        <w:fldChar w:fldCharType="separate"/>
      </w:r>
      <w:r w:rsidR="00635688">
        <w:rPr>
          <w:noProof/>
          <w:color w:val="212121"/>
        </w:rPr>
        <w:fldChar w:fldCharType="begin"/>
      </w:r>
      <w:r w:rsidR="00635688">
        <w:rPr>
          <w:noProof/>
          <w:color w:val="212121"/>
        </w:rPr>
        <w:instrText xml:space="preserve"> INCLUDEPICTURE  "cid:964aba8a-a503-4bbb-a734-64902c9c2fa3" \* MERGEFORMATINET </w:instrText>
      </w:r>
      <w:r w:rsidR="00635688">
        <w:rPr>
          <w:noProof/>
          <w:color w:val="212121"/>
        </w:rPr>
        <w:fldChar w:fldCharType="separate"/>
      </w:r>
      <w:r w:rsidR="007D306E">
        <w:rPr>
          <w:noProof/>
          <w:color w:val="212121"/>
        </w:rPr>
        <w:fldChar w:fldCharType="begin"/>
      </w:r>
      <w:r w:rsidR="007D306E">
        <w:rPr>
          <w:noProof/>
          <w:color w:val="212121"/>
        </w:rPr>
        <w:instrText xml:space="preserve"> INCLUDEPICTURE  "cid:964aba8a-a503-4bbb-a734-64902c9c2fa3" \* MERGEFORMATINET </w:instrText>
      </w:r>
      <w:r w:rsidR="007D306E">
        <w:rPr>
          <w:noProof/>
          <w:color w:val="212121"/>
        </w:rPr>
        <w:fldChar w:fldCharType="separate"/>
      </w:r>
      <w:r w:rsidR="0072686D">
        <w:rPr>
          <w:noProof/>
          <w:color w:val="212121"/>
        </w:rPr>
        <w:fldChar w:fldCharType="begin"/>
      </w:r>
      <w:r w:rsidR="0072686D">
        <w:rPr>
          <w:noProof/>
          <w:color w:val="212121"/>
        </w:rPr>
        <w:instrText xml:space="preserve"> INCLUDEPICTURE  "cid:964aba8a-a503-4bbb-a734-64902c9c2fa3" \* MERGEFORMATINET </w:instrText>
      </w:r>
      <w:r w:rsidR="0072686D">
        <w:rPr>
          <w:noProof/>
          <w:color w:val="212121"/>
        </w:rPr>
        <w:fldChar w:fldCharType="separate"/>
      </w:r>
      <w:r w:rsidR="00324B5A">
        <w:rPr>
          <w:noProof/>
          <w:color w:val="212121"/>
        </w:rPr>
        <w:fldChar w:fldCharType="begin"/>
      </w:r>
      <w:r w:rsidR="00324B5A">
        <w:rPr>
          <w:noProof/>
          <w:color w:val="212121"/>
        </w:rPr>
        <w:instrText xml:space="preserve"> INCLUDEPICTURE  "cid:964aba8a-a503-4bbb-a734-64902c9c2fa3" \* MERGEFORMATINET </w:instrText>
      </w:r>
      <w:r w:rsidR="00324B5A">
        <w:rPr>
          <w:noProof/>
          <w:color w:val="212121"/>
        </w:rPr>
        <w:fldChar w:fldCharType="separate"/>
      </w:r>
      <w:r w:rsidR="007E5276">
        <w:rPr>
          <w:noProof/>
          <w:color w:val="212121"/>
        </w:rPr>
        <w:fldChar w:fldCharType="begin"/>
      </w:r>
      <w:r w:rsidR="007E5276">
        <w:rPr>
          <w:noProof/>
          <w:color w:val="212121"/>
        </w:rPr>
        <w:instrText xml:space="preserve"> INCLUDEPICTURE  "cid:964aba8a-a503-4bbb-a734-64902c9c2fa3" \* MERGEFORMATINET </w:instrText>
      </w:r>
      <w:r w:rsidR="007E5276">
        <w:rPr>
          <w:noProof/>
          <w:color w:val="212121"/>
        </w:rPr>
        <w:fldChar w:fldCharType="separate"/>
      </w:r>
      <w:r w:rsidR="00AD3E53">
        <w:rPr>
          <w:noProof/>
          <w:color w:val="212121"/>
        </w:rPr>
        <w:fldChar w:fldCharType="begin"/>
      </w:r>
      <w:r w:rsidR="00AD3E53">
        <w:rPr>
          <w:noProof/>
          <w:color w:val="212121"/>
        </w:rPr>
        <w:instrText xml:space="preserve"> INCLUDEPICTURE  "cid:964aba8a-a503-4bbb-a734-64902c9c2fa3" \* MERGEFORMATINET </w:instrText>
      </w:r>
      <w:r w:rsidR="00AD3E53">
        <w:rPr>
          <w:noProof/>
          <w:color w:val="212121"/>
        </w:rPr>
        <w:fldChar w:fldCharType="separate"/>
      </w:r>
      <w:r w:rsidR="00252974">
        <w:rPr>
          <w:noProof/>
          <w:color w:val="212121"/>
        </w:rPr>
        <w:fldChar w:fldCharType="begin"/>
      </w:r>
      <w:r w:rsidR="00252974">
        <w:rPr>
          <w:noProof/>
          <w:color w:val="212121"/>
        </w:rPr>
        <w:instrText xml:space="preserve"> INCLUDEPICTURE  "cid:964aba8a-a503-4bbb-a734-64902c9c2fa3" \* MERGEFORMATINET </w:instrText>
      </w:r>
      <w:r w:rsidR="00252974">
        <w:rPr>
          <w:noProof/>
          <w:color w:val="212121"/>
        </w:rPr>
        <w:fldChar w:fldCharType="separate"/>
      </w:r>
      <w:r w:rsidR="007704D8">
        <w:rPr>
          <w:noProof/>
          <w:color w:val="212121"/>
        </w:rPr>
        <w:fldChar w:fldCharType="begin"/>
      </w:r>
      <w:r w:rsidR="007704D8">
        <w:rPr>
          <w:noProof/>
          <w:color w:val="212121"/>
        </w:rPr>
        <w:instrText xml:space="preserve"> INCLUDEPICTURE  "cid:964aba8a-a503-4bbb-a734-64902c9c2fa3" \* MERGEFORMATINET </w:instrText>
      </w:r>
      <w:r w:rsidR="007704D8">
        <w:rPr>
          <w:noProof/>
          <w:color w:val="212121"/>
        </w:rPr>
        <w:fldChar w:fldCharType="separate"/>
      </w:r>
      <w:r w:rsidR="0025663C">
        <w:rPr>
          <w:noProof/>
          <w:color w:val="212121"/>
        </w:rPr>
        <w:fldChar w:fldCharType="begin"/>
      </w:r>
      <w:r w:rsidR="0025663C">
        <w:rPr>
          <w:noProof/>
          <w:color w:val="212121"/>
        </w:rPr>
        <w:instrText xml:space="preserve"> INCLUDEPICTURE  "cid:964aba8a-a503-4bbb-a734-64902c9c2fa3" \* MERGEFORMATINET </w:instrText>
      </w:r>
      <w:r w:rsidR="0025663C">
        <w:rPr>
          <w:noProof/>
          <w:color w:val="212121"/>
        </w:rPr>
        <w:fldChar w:fldCharType="separate"/>
      </w:r>
      <w:r w:rsidR="00245B16">
        <w:rPr>
          <w:noProof/>
          <w:color w:val="212121"/>
        </w:rPr>
        <w:fldChar w:fldCharType="begin"/>
      </w:r>
      <w:r w:rsidR="00245B16">
        <w:rPr>
          <w:noProof/>
          <w:color w:val="212121"/>
        </w:rPr>
        <w:instrText xml:space="preserve"> INCLUDEPICTURE  "cid:964aba8a-a503-4bbb-a734-64902c9c2fa3" \* MERGEFORMATINET </w:instrText>
      </w:r>
      <w:r w:rsidR="00245B16">
        <w:rPr>
          <w:noProof/>
          <w:color w:val="212121"/>
        </w:rPr>
        <w:fldChar w:fldCharType="separate"/>
      </w:r>
      <w:r w:rsidR="00847794">
        <w:rPr>
          <w:noProof/>
          <w:color w:val="212121"/>
        </w:rPr>
        <w:fldChar w:fldCharType="begin"/>
      </w:r>
      <w:r w:rsidR="00847794">
        <w:rPr>
          <w:noProof/>
          <w:color w:val="212121"/>
        </w:rPr>
        <w:instrText xml:space="preserve"> INCLUDEPICTURE  "cid:964aba8a-a503-4bbb-a734-64902c9c2fa3" \* MERGEFORMATINET </w:instrText>
      </w:r>
      <w:r w:rsidR="00847794">
        <w:rPr>
          <w:noProof/>
          <w:color w:val="212121"/>
        </w:rPr>
        <w:fldChar w:fldCharType="separate"/>
      </w:r>
      <w:r w:rsidR="00F90508">
        <w:rPr>
          <w:noProof/>
          <w:color w:val="212121"/>
        </w:rPr>
        <w:fldChar w:fldCharType="begin"/>
      </w:r>
      <w:r w:rsidR="00F90508">
        <w:rPr>
          <w:noProof/>
          <w:color w:val="212121"/>
        </w:rPr>
        <w:instrText xml:space="preserve"> INCLUDEPICTURE  "cid:964aba8a-a503-4bbb-a734-64902c9c2fa3" \* MERGEFORMATINET </w:instrText>
      </w:r>
      <w:r w:rsidR="00F90508">
        <w:rPr>
          <w:noProof/>
          <w:color w:val="212121"/>
        </w:rPr>
        <w:fldChar w:fldCharType="separate"/>
      </w:r>
      <w:r w:rsidR="00C601FE">
        <w:rPr>
          <w:noProof/>
          <w:color w:val="212121"/>
        </w:rPr>
        <w:fldChar w:fldCharType="begin"/>
      </w:r>
      <w:r w:rsidR="00C601FE">
        <w:rPr>
          <w:noProof/>
          <w:color w:val="212121"/>
        </w:rPr>
        <w:instrText xml:space="preserve"> </w:instrText>
      </w:r>
      <w:r w:rsidR="00C601FE">
        <w:rPr>
          <w:noProof/>
          <w:color w:val="212121"/>
        </w:rPr>
        <w:instrText>INCLUDEPICTURE  "cid:964aba8a-a503-4bbb-a734-64902c9c2fa3" \* MERGEFORMATINET</w:instrText>
      </w:r>
      <w:r w:rsidR="00C601FE">
        <w:rPr>
          <w:noProof/>
          <w:color w:val="212121"/>
        </w:rPr>
        <w:instrText xml:space="preserve"> </w:instrText>
      </w:r>
      <w:r w:rsidR="00C601FE">
        <w:rPr>
          <w:noProof/>
          <w:color w:val="212121"/>
        </w:rPr>
        <w:fldChar w:fldCharType="separate"/>
      </w:r>
      <w:r w:rsidR="00C601FE">
        <w:rPr>
          <w:noProof/>
          <w:color w:val="212121"/>
        </w:rPr>
        <w:pict w14:anchorId="26D44AEF">
          <v:shape id="_x0000_i1026" type="#_x0000_t75" alt="Zdjęcie 79. Mętnościomierz Turb 750IR, firmy WTW" style="width:301.5pt;height:229.5pt;visibility:visible;mso-position-vertical:absolute">
            <v:imagedata r:id="rId183" r:href="rId184"/>
          </v:shape>
        </w:pict>
      </w:r>
      <w:r w:rsidR="00C601FE">
        <w:rPr>
          <w:noProof/>
          <w:color w:val="212121"/>
        </w:rPr>
        <w:fldChar w:fldCharType="end"/>
      </w:r>
      <w:r w:rsidR="00F90508">
        <w:rPr>
          <w:noProof/>
          <w:color w:val="212121"/>
        </w:rPr>
        <w:fldChar w:fldCharType="end"/>
      </w:r>
      <w:r w:rsidR="00847794">
        <w:rPr>
          <w:noProof/>
          <w:color w:val="212121"/>
        </w:rPr>
        <w:fldChar w:fldCharType="end"/>
      </w:r>
      <w:r w:rsidR="00245B16">
        <w:rPr>
          <w:noProof/>
          <w:color w:val="212121"/>
        </w:rPr>
        <w:fldChar w:fldCharType="end"/>
      </w:r>
      <w:r w:rsidR="0025663C">
        <w:rPr>
          <w:noProof/>
          <w:color w:val="212121"/>
        </w:rPr>
        <w:fldChar w:fldCharType="end"/>
      </w:r>
      <w:r w:rsidR="007704D8">
        <w:rPr>
          <w:noProof/>
          <w:color w:val="212121"/>
        </w:rPr>
        <w:fldChar w:fldCharType="end"/>
      </w:r>
      <w:r w:rsidR="00252974">
        <w:rPr>
          <w:noProof/>
          <w:color w:val="212121"/>
        </w:rPr>
        <w:fldChar w:fldCharType="end"/>
      </w:r>
      <w:r w:rsidR="00AD3E53">
        <w:rPr>
          <w:noProof/>
          <w:color w:val="212121"/>
        </w:rPr>
        <w:fldChar w:fldCharType="end"/>
      </w:r>
      <w:r w:rsidR="007E5276">
        <w:rPr>
          <w:noProof/>
          <w:color w:val="212121"/>
        </w:rPr>
        <w:fldChar w:fldCharType="end"/>
      </w:r>
      <w:r w:rsidR="00324B5A">
        <w:rPr>
          <w:noProof/>
          <w:color w:val="212121"/>
        </w:rPr>
        <w:fldChar w:fldCharType="end"/>
      </w:r>
      <w:r w:rsidR="0072686D">
        <w:rPr>
          <w:noProof/>
          <w:color w:val="212121"/>
        </w:rPr>
        <w:fldChar w:fldCharType="end"/>
      </w:r>
      <w:r w:rsidR="007D306E">
        <w:rPr>
          <w:noProof/>
          <w:color w:val="212121"/>
        </w:rPr>
        <w:fldChar w:fldCharType="end"/>
      </w:r>
      <w:r w:rsidR="00635688">
        <w:rPr>
          <w:noProof/>
          <w:color w:val="212121"/>
        </w:rPr>
        <w:fldChar w:fldCharType="end"/>
      </w:r>
      <w:r w:rsidR="00354542">
        <w:rPr>
          <w:noProof/>
          <w:color w:val="212121"/>
        </w:rPr>
        <w:fldChar w:fldCharType="end"/>
      </w:r>
      <w:r w:rsidR="00735A64">
        <w:rPr>
          <w:noProof/>
          <w:color w:val="212121"/>
        </w:rPr>
        <w:fldChar w:fldCharType="end"/>
      </w:r>
      <w:r w:rsidR="00CB3B76">
        <w:rPr>
          <w:noProof/>
          <w:color w:val="212121"/>
        </w:rPr>
        <w:fldChar w:fldCharType="end"/>
      </w:r>
      <w:r w:rsidR="007D216E">
        <w:rPr>
          <w:noProof/>
          <w:color w:val="212121"/>
        </w:rPr>
        <w:fldChar w:fldCharType="end"/>
      </w:r>
      <w:r w:rsidR="00E04073">
        <w:rPr>
          <w:noProof/>
          <w:color w:val="212121"/>
        </w:rPr>
        <w:fldChar w:fldCharType="end"/>
      </w:r>
      <w:r w:rsidR="00253BEC">
        <w:rPr>
          <w:noProof/>
          <w:color w:val="212121"/>
        </w:rPr>
        <w:fldChar w:fldCharType="end"/>
      </w:r>
      <w:r w:rsidR="00CF4649">
        <w:rPr>
          <w:noProof/>
          <w:color w:val="212121"/>
        </w:rPr>
        <w:fldChar w:fldCharType="end"/>
      </w:r>
      <w:r w:rsidR="009909D8">
        <w:rPr>
          <w:noProof/>
          <w:color w:val="212121"/>
        </w:rPr>
        <w:fldChar w:fldCharType="end"/>
      </w:r>
      <w:r w:rsidR="006C1A1A">
        <w:rPr>
          <w:noProof/>
          <w:color w:val="212121"/>
        </w:rPr>
        <w:fldChar w:fldCharType="end"/>
      </w:r>
      <w:r w:rsidR="00DA5876">
        <w:rPr>
          <w:noProof/>
          <w:color w:val="212121"/>
        </w:rPr>
        <w:fldChar w:fldCharType="end"/>
      </w:r>
      <w:r w:rsidR="00DD5C49">
        <w:rPr>
          <w:noProof/>
          <w:color w:val="212121"/>
        </w:rPr>
        <w:fldChar w:fldCharType="end"/>
      </w:r>
      <w:r w:rsidR="00A21B15">
        <w:rPr>
          <w:noProof/>
          <w:color w:val="212121"/>
        </w:rPr>
        <w:fldChar w:fldCharType="end"/>
      </w:r>
      <w:r w:rsidR="00D073CD">
        <w:rPr>
          <w:noProof/>
          <w:color w:val="212121"/>
        </w:rPr>
        <w:fldChar w:fldCharType="end"/>
      </w:r>
      <w:r w:rsidR="00222619">
        <w:rPr>
          <w:noProof/>
          <w:color w:val="212121"/>
        </w:rPr>
        <w:fldChar w:fldCharType="end"/>
      </w:r>
      <w:r>
        <w:rPr>
          <w:noProof/>
          <w:color w:val="212121"/>
        </w:rPr>
        <w:fldChar w:fldCharType="end"/>
      </w:r>
      <w:r>
        <w:rPr>
          <w:noProof/>
          <w:color w:val="212121"/>
        </w:rPr>
        <w:fldChar w:fldCharType="end"/>
      </w:r>
      <w:r>
        <w:rPr>
          <w:noProof/>
          <w:color w:val="212121"/>
        </w:rPr>
        <w:fldChar w:fldCharType="end"/>
      </w:r>
      <w:r w:rsidR="00D75222">
        <w:rPr>
          <w:noProof/>
          <w:color w:val="212121"/>
        </w:rPr>
        <w:fldChar w:fldCharType="end"/>
      </w:r>
      <w:r w:rsidR="00484980">
        <w:rPr>
          <w:noProof/>
          <w:color w:val="212121"/>
        </w:rPr>
        <w:fldChar w:fldCharType="end"/>
      </w:r>
      <w:r w:rsidR="00D61D6A">
        <w:rPr>
          <w:noProof/>
          <w:color w:val="212121"/>
        </w:rPr>
        <w:fldChar w:fldCharType="end"/>
      </w:r>
      <w:r w:rsidR="007108E8">
        <w:rPr>
          <w:noProof/>
          <w:color w:val="212121"/>
        </w:rPr>
        <w:fldChar w:fldCharType="end"/>
      </w:r>
      <w:r w:rsidR="00F33D14">
        <w:rPr>
          <w:noProof/>
          <w:color w:val="212121"/>
        </w:rPr>
        <w:fldChar w:fldCharType="end"/>
      </w:r>
      <w:r w:rsidR="005C01BB">
        <w:rPr>
          <w:noProof/>
          <w:color w:val="212121"/>
        </w:rPr>
        <w:fldChar w:fldCharType="end"/>
      </w:r>
      <w:r w:rsidR="006E1924">
        <w:rPr>
          <w:noProof/>
          <w:color w:val="212121"/>
        </w:rPr>
        <w:fldChar w:fldCharType="end"/>
      </w:r>
      <w:r w:rsidR="004819A1">
        <w:rPr>
          <w:noProof/>
          <w:color w:val="212121"/>
        </w:rPr>
        <w:fldChar w:fldCharType="end"/>
      </w:r>
      <w:r w:rsidR="002F5150">
        <w:rPr>
          <w:noProof/>
          <w:color w:val="212121"/>
        </w:rPr>
        <w:fldChar w:fldCharType="end"/>
      </w:r>
      <w:r w:rsidR="001453E3">
        <w:rPr>
          <w:noProof/>
          <w:color w:val="212121"/>
        </w:rPr>
        <w:fldChar w:fldCharType="end"/>
      </w:r>
      <w:r w:rsidR="00924275">
        <w:rPr>
          <w:noProof/>
          <w:color w:val="212121"/>
        </w:rPr>
        <w:fldChar w:fldCharType="end"/>
      </w:r>
      <w:r w:rsidR="00E9510D">
        <w:rPr>
          <w:noProof/>
          <w:color w:val="212121"/>
        </w:rPr>
        <w:fldChar w:fldCharType="end"/>
      </w:r>
      <w:r w:rsidR="000F7C80">
        <w:rPr>
          <w:noProof/>
          <w:color w:val="212121"/>
        </w:rPr>
        <w:fldChar w:fldCharType="end"/>
      </w:r>
      <w:r w:rsidR="005A3E9A">
        <w:rPr>
          <w:noProof/>
          <w:color w:val="212121"/>
        </w:rPr>
        <w:fldChar w:fldCharType="end"/>
      </w:r>
      <w:r w:rsidR="00AD0857">
        <w:rPr>
          <w:noProof/>
          <w:color w:val="212121"/>
        </w:rPr>
        <w:fldChar w:fldCharType="end"/>
      </w:r>
      <w:r w:rsidR="00072AE9">
        <w:rPr>
          <w:noProof/>
          <w:color w:val="212121"/>
        </w:rPr>
        <w:fldChar w:fldCharType="end"/>
      </w:r>
      <w:r w:rsidR="00511B92">
        <w:rPr>
          <w:noProof/>
          <w:color w:val="212121"/>
        </w:rPr>
        <w:fldChar w:fldCharType="end"/>
      </w:r>
      <w:r w:rsidR="00FC19F2">
        <w:rPr>
          <w:noProof/>
          <w:color w:val="212121"/>
        </w:rPr>
        <w:fldChar w:fldCharType="end"/>
      </w:r>
      <w:r w:rsidR="00323C5D">
        <w:rPr>
          <w:noProof/>
          <w:color w:val="212121"/>
        </w:rPr>
        <w:fldChar w:fldCharType="end"/>
      </w:r>
      <w:r w:rsidR="006D64E9">
        <w:rPr>
          <w:noProof/>
          <w:color w:val="212121"/>
        </w:rPr>
        <w:fldChar w:fldCharType="end"/>
      </w:r>
      <w:r w:rsidR="006D5355">
        <w:rPr>
          <w:noProof/>
          <w:color w:val="212121"/>
        </w:rPr>
        <w:fldChar w:fldCharType="end"/>
      </w:r>
      <w:r w:rsidR="00BD6CA9">
        <w:rPr>
          <w:noProof/>
          <w:color w:val="212121"/>
        </w:rPr>
        <w:fldChar w:fldCharType="end"/>
      </w:r>
      <w:r w:rsidR="0006742A">
        <w:rPr>
          <w:noProof/>
          <w:color w:val="212121"/>
        </w:rPr>
        <w:fldChar w:fldCharType="end"/>
      </w:r>
      <w:r w:rsidR="0054266C">
        <w:rPr>
          <w:noProof/>
          <w:color w:val="212121"/>
        </w:rPr>
        <w:fldChar w:fldCharType="end"/>
      </w:r>
      <w:r w:rsidR="006954D6">
        <w:rPr>
          <w:noProof/>
          <w:color w:val="212121"/>
        </w:rPr>
        <w:fldChar w:fldCharType="end"/>
      </w:r>
      <w:r w:rsidR="00DE29AF">
        <w:rPr>
          <w:noProof/>
          <w:color w:val="212121"/>
        </w:rPr>
        <w:fldChar w:fldCharType="end"/>
      </w:r>
      <w:r w:rsidR="007125A7">
        <w:rPr>
          <w:noProof/>
          <w:color w:val="212121"/>
        </w:rPr>
        <w:fldChar w:fldCharType="end"/>
      </w:r>
      <w:r w:rsidR="00E8307D">
        <w:rPr>
          <w:noProof/>
          <w:color w:val="212121"/>
        </w:rPr>
        <w:fldChar w:fldCharType="end"/>
      </w:r>
      <w:r w:rsidR="006529A9">
        <w:rPr>
          <w:noProof/>
          <w:color w:val="212121"/>
        </w:rPr>
        <w:fldChar w:fldCharType="end"/>
      </w:r>
      <w:r w:rsidR="00777759">
        <w:rPr>
          <w:noProof/>
          <w:color w:val="212121"/>
        </w:rPr>
        <w:fldChar w:fldCharType="end"/>
      </w:r>
      <w:r w:rsidR="00F459E7">
        <w:rPr>
          <w:noProof/>
          <w:color w:val="212121"/>
        </w:rPr>
        <w:fldChar w:fldCharType="end"/>
      </w:r>
      <w:r w:rsidR="00A5399A">
        <w:rPr>
          <w:noProof/>
          <w:color w:val="212121"/>
        </w:rPr>
        <w:fldChar w:fldCharType="end"/>
      </w:r>
      <w:r w:rsidR="006A0254">
        <w:rPr>
          <w:noProof/>
          <w:color w:val="212121"/>
        </w:rPr>
        <w:fldChar w:fldCharType="end"/>
      </w:r>
      <w:r w:rsidR="0045205E">
        <w:rPr>
          <w:noProof/>
          <w:color w:val="212121"/>
        </w:rPr>
        <w:fldChar w:fldCharType="end"/>
      </w:r>
      <w:r w:rsidR="00A87581">
        <w:rPr>
          <w:noProof/>
          <w:color w:val="212121"/>
        </w:rPr>
        <w:fldChar w:fldCharType="end"/>
      </w:r>
      <w:r w:rsidR="00A25F00">
        <w:rPr>
          <w:noProof/>
          <w:color w:val="212121"/>
        </w:rPr>
        <w:fldChar w:fldCharType="end"/>
      </w:r>
      <w:r w:rsidR="00C1212E">
        <w:rPr>
          <w:noProof/>
          <w:color w:val="212121"/>
        </w:rPr>
        <w:fldChar w:fldCharType="end"/>
      </w:r>
      <w:r w:rsidR="003265A5">
        <w:rPr>
          <w:noProof/>
          <w:color w:val="212121"/>
        </w:rPr>
        <w:fldChar w:fldCharType="end"/>
      </w:r>
      <w:r w:rsidR="00624913">
        <w:rPr>
          <w:noProof/>
          <w:color w:val="212121"/>
        </w:rPr>
        <w:fldChar w:fldCharType="end"/>
      </w:r>
      <w:r w:rsidR="00842947">
        <w:rPr>
          <w:noProof/>
          <w:color w:val="212121"/>
        </w:rPr>
        <w:fldChar w:fldCharType="end"/>
      </w:r>
      <w:r w:rsidR="00DA1745">
        <w:rPr>
          <w:noProof/>
          <w:color w:val="212121"/>
        </w:rPr>
        <w:fldChar w:fldCharType="end"/>
      </w:r>
      <w:r w:rsidR="00ED7777">
        <w:rPr>
          <w:noProof/>
          <w:color w:val="212121"/>
        </w:rPr>
        <w:fldChar w:fldCharType="end"/>
      </w:r>
      <w:r w:rsidR="00753F18">
        <w:rPr>
          <w:noProof/>
          <w:color w:val="212121"/>
        </w:rPr>
        <w:fldChar w:fldCharType="end"/>
      </w:r>
      <w:r w:rsidR="00363201">
        <w:rPr>
          <w:noProof/>
          <w:color w:val="212121"/>
        </w:rPr>
        <w:fldChar w:fldCharType="end"/>
      </w:r>
      <w:r w:rsidR="009364CB">
        <w:rPr>
          <w:noProof/>
          <w:color w:val="212121"/>
        </w:rPr>
        <w:fldChar w:fldCharType="end"/>
      </w:r>
      <w:r w:rsidR="00E7722E">
        <w:rPr>
          <w:noProof/>
          <w:color w:val="212121"/>
        </w:rPr>
        <w:fldChar w:fldCharType="end"/>
      </w:r>
      <w:r w:rsidR="00764ADA">
        <w:rPr>
          <w:noProof/>
          <w:color w:val="212121"/>
        </w:rPr>
        <w:fldChar w:fldCharType="end"/>
      </w:r>
      <w:r w:rsidR="00A61720">
        <w:rPr>
          <w:noProof/>
          <w:color w:val="212121"/>
        </w:rPr>
        <w:fldChar w:fldCharType="end"/>
      </w:r>
      <w:r w:rsidR="005F6965">
        <w:rPr>
          <w:noProof/>
          <w:color w:val="212121"/>
        </w:rPr>
        <w:fldChar w:fldCharType="end"/>
      </w:r>
      <w:r w:rsidR="00466585">
        <w:rPr>
          <w:noProof/>
          <w:color w:val="212121"/>
        </w:rPr>
        <w:fldChar w:fldCharType="end"/>
      </w:r>
      <w:r w:rsidR="0052194D">
        <w:rPr>
          <w:noProof/>
          <w:color w:val="212121"/>
        </w:rPr>
        <w:fldChar w:fldCharType="end"/>
      </w:r>
      <w:r w:rsidR="00811286">
        <w:rPr>
          <w:noProof/>
          <w:color w:val="212121"/>
        </w:rPr>
        <w:fldChar w:fldCharType="end"/>
      </w:r>
      <w:r w:rsidR="00B27D81">
        <w:rPr>
          <w:noProof/>
          <w:color w:val="212121"/>
        </w:rPr>
        <w:fldChar w:fldCharType="end"/>
      </w:r>
      <w:r w:rsidR="00A70AA2">
        <w:rPr>
          <w:noProof/>
          <w:color w:val="212121"/>
        </w:rPr>
        <w:fldChar w:fldCharType="end"/>
      </w:r>
      <w:r w:rsidR="00224D2A">
        <w:rPr>
          <w:noProof/>
          <w:color w:val="212121"/>
        </w:rPr>
        <w:fldChar w:fldCharType="end"/>
      </w:r>
      <w:r w:rsidR="005C08F4">
        <w:rPr>
          <w:noProof/>
          <w:color w:val="212121"/>
        </w:rPr>
        <w:fldChar w:fldCharType="end"/>
      </w:r>
      <w:r w:rsidR="00A104D1">
        <w:rPr>
          <w:noProof/>
          <w:color w:val="212121"/>
        </w:rPr>
        <w:fldChar w:fldCharType="end"/>
      </w:r>
      <w:r w:rsidR="005D5ED1">
        <w:rPr>
          <w:noProof/>
          <w:color w:val="212121"/>
        </w:rPr>
        <w:fldChar w:fldCharType="end"/>
      </w:r>
      <w:r w:rsidR="00DB6C50">
        <w:rPr>
          <w:noProof/>
          <w:color w:val="212121"/>
        </w:rPr>
        <w:fldChar w:fldCharType="end"/>
      </w:r>
      <w:r w:rsidR="00740B87">
        <w:rPr>
          <w:noProof/>
          <w:color w:val="212121"/>
        </w:rPr>
        <w:fldChar w:fldCharType="end"/>
      </w:r>
      <w:r w:rsidR="00F54A47">
        <w:rPr>
          <w:noProof/>
          <w:color w:val="212121"/>
        </w:rPr>
        <w:fldChar w:fldCharType="end"/>
      </w:r>
      <w:r>
        <w:rPr>
          <w:noProof/>
          <w:color w:val="212121"/>
        </w:rPr>
        <w:fldChar w:fldCharType="end"/>
      </w:r>
    </w:p>
    <w:p w14:paraId="4C6A72B1" w14:textId="0745F466" w:rsidR="009439CC" w:rsidRPr="00810B9C" w:rsidRDefault="00810B9C" w:rsidP="009439CC">
      <w:pPr>
        <w:ind w:left="284"/>
        <w:jc w:val="center"/>
        <w:rPr>
          <w:rFonts w:ascii="Times New Roman" w:hAnsi="Times New Roman" w:cs="Times New Roman"/>
          <w:b/>
          <w:color w:val="000000"/>
        </w:rPr>
      </w:pPr>
      <w:r w:rsidRPr="00810B9C">
        <w:rPr>
          <w:rFonts w:ascii="Times New Roman" w:hAnsi="Times New Roman" w:cs="Times New Roman"/>
          <w:b/>
          <w:color w:val="000000"/>
        </w:rPr>
        <w:t>Zdjęcie 7</w:t>
      </w:r>
      <w:r w:rsidR="005261DF">
        <w:rPr>
          <w:rFonts w:ascii="Times New Roman" w:hAnsi="Times New Roman" w:cs="Times New Roman"/>
          <w:b/>
          <w:color w:val="000000"/>
        </w:rPr>
        <w:t>9</w:t>
      </w:r>
      <w:r w:rsidRPr="00810B9C">
        <w:rPr>
          <w:rFonts w:ascii="Times New Roman" w:hAnsi="Times New Roman" w:cs="Times New Roman"/>
          <w:b/>
          <w:color w:val="000000"/>
        </w:rPr>
        <w:t xml:space="preserve">. </w:t>
      </w:r>
      <w:r w:rsidR="009439CC" w:rsidRPr="00810B9C">
        <w:rPr>
          <w:rFonts w:ascii="Times New Roman" w:hAnsi="Times New Roman" w:cs="Times New Roman"/>
          <w:b/>
          <w:color w:val="000000"/>
        </w:rPr>
        <w:t xml:space="preserve">Mętnościomierz </w:t>
      </w:r>
      <w:proofErr w:type="spellStart"/>
      <w:r w:rsidR="009439CC" w:rsidRPr="00810B9C">
        <w:rPr>
          <w:rFonts w:ascii="Times New Roman" w:hAnsi="Times New Roman" w:cs="Times New Roman"/>
          <w:b/>
          <w:color w:val="000000"/>
        </w:rPr>
        <w:t>Turb</w:t>
      </w:r>
      <w:proofErr w:type="spellEnd"/>
      <w:r w:rsidR="009439CC" w:rsidRPr="00810B9C">
        <w:rPr>
          <w:rFonts w:ascii="Times New Roman" w:hAnsi="Times New Roman" w:cs="Times New Roman"/>
          <w:b/>
          <w:color w:val="000000"/>
        </w:rPr>
        <w:t xml:space="preserve"> 750IR, firmy WTW</w:t>
      </w:r>
    </w:p>
    <w:p w14:paraId="6097A43D" w14:textId="63326A08" w:rsidR="009439CC" w:rsidRDefault="009439CC" w:rsidP="009439CC">
      <w:pPr>
        <w:ind w:left="720"/>
        <w:jc w:val="center"/>
        <w:rPr>
          <w:color w:val="000000"/>
        </w:rPr>
      </w:pPr>
      <w:r w:rsidRPr="005D3685">
        <w:rPr>
          <w:noProof/>
          <w:lang w:eastAsia="pl-PL"/>
        </w:rPr>
        <w:drawing>
          <wp:inline distT="0" distB="0" distL="0" distR="0" wp14:anchorId="394B7DC1" wp14:editId="4182B9A8">
            <wp:extent cx="3562350" cy="3843800"/>
            <wp:effectExtent l="0" t="0" r="0" b="4445"/>
            <wp:docPr id="111" name="Obraz 111" descr="Zdjęcie 80. Miernik wieloparametrowy 3630, firmy W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Obraz 111" descr="Zdjęcie 80. Miernik wieloparametrowy 3630, firmy WTW"/>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576975" cy="3859581"/>
                    </a:xfrm>
                    <a:prstGeom prst="rect">
                      <a:avLst/>
                    </a:prstGeom>
                    <a:noFill/>
                    <a:ln>
                      <a:noFill/>
                    </a:ln>
                  </pic:spPr>
                </pic:pic>
              </a:graphicData>
            </a:graphic>
          </wp:inline>
        </w:drawing>
      </w:r>
    </w:p>
    <w:p w14:paraId="031D36B1" w14:textId="106A6950" w:rsidR="009439CC" w:rsidRPr="00810B9C" w:rsidRDefault="00810B9C" w:rsidP="009439CC">
      <w:pPr>
        <w:jc w:val="center"/>
        <w:rPr>
          <w:rFonts w:ascii="Times New Roman" w:eastAsia="Times New Roman" w:hAnsi="Times New Roman" w:cs="Times New Roman"/>
          <w:b/>
          <w:bCs/>
          <w:sz w:val="24"/>
          <w:szCs w:val="24"/>
          <w:lang w:val="x-none" w:eastAsia="x-none"/>
        </w:rPr>
      </w:pPr>
      <w:r w:rsidRPr="00810B9C">
        <w:rPr>
          <w:rFonts w:ascii="Times New Roman" w:hAnsi="Times New Roman" w:cs="Times New Roman"/>
          <w:b/>
          <w:color w:val="000000"/>
        </w:rPr>
        <w:t xml:space="preserve">Zdjęcie </w:t>
      </w:r>
      <w:r w:rsidR="005261DF">
        <w:rPr>
          <w:rFonts w:ascii="Times New Roman" w:hAnsi="Times New Roman" w:cs="Times New Roman"/>
          <w:b/>
          <w:color w:val="000000"/>
        </w:rPr>
        <w:t>80</w:t>
      </w:r>
      <w:r w:rsidRPr="00810B9C">
        <w:rPr>
          <w:rFonts w:ascii="Times New Roman" w:hAnsi="Times New Roman" w:cs="Times New Roman"/>
          <w:b/>
          <w:color w:val="000000"/>
        </w:rPr>
        <w:t xml:space="preserve">. </w:t>
      </w:r>
      <w:r w:rsidR="009439CC" w:rsidRPr="00810B9C">
        <w:rPr>
          <w:rFonts w:ascii="Times New Roman" w:hAnsi="Times New Roman" w:cs="Times New Roman"/>
          <w:b/>
          <w:color w:val="000000"/>
        </w:rPr>
        <w:t>Miernik wieloparametrowy 3630, firmy WTW</w:t>
      </w:r>
    </w:p>
    <w:p w14:paraId="7B498156" w14:textId="1CE2A072" w:rsidR="009439CC" w:rsidRDefault="009439CC" w:rsidP="009439CC">
      <w:pPr>
        <w:pStyle w:val="Akapitzlist"/>
        <w:shd w:val="clear" w:color="auto" w:fill="FFFFFF"/>
        <w:spacing w:line="300" w:lineRule="atLeast"/>
        <w:jc w:val="both"/>
      </w:pPr>
    </w:p>
    <w:p w14:paraId="4DF3B581" w14:textId="10126F05" w:rsidR="009439CC" w:rsidRDefault="009439CC" w:rsidP="009439CC">
      <w:pPr>
        <w:jc w:val="center"/>
        <w:rPr>
          <w:rFonts w:eastAsia="Calibri"/>
          <w:noProof/>
        </w:rPr>
      </w:pPr>
      <w:r w:rsidRPr="00CB691C">
        <w:rPr>
          <w:rFonts w:eastAsia="Calibri"/>
          <w:noProof/>
          <w:lang w:eastAsia="pl-PL"/>
        </w:rPr>
        <w:lastRenderedPageBreak/>
        <w:drawing>
          <wp:inline distT="0" distB="0" distL="0" distR="0" wp14:anchorId="6FDCD1D2" wp14:editId="4DD06050">
            <wp:extent cx="4123872" cy="2581275"/>
            <wp:effectExtent l="0" t="0" r="0" b="0"/>
            <wp:docPr id="135" name="Obraz 135" descr="Zdjęcie 81. Automatyczny analizator do pomiaru stężeń pyłu zawieszonego PM10/ PM2,5 FIDAS200 PALAS Gmb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Obraz 135" descr="Zdjęcie 81. Automatyczny analizator do pomiaru stężeń pyłu zawieszonego PM10/ PM2,5 FIDAS200 PALAS GmbH"/>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143752" cy="2593719"/>
                    </a:xfrm>
                    <a:prstGeom prst="rect">
                      <a:avLst/>
                    </a:prstGeom>
                    <a:noFill/>
                    <a:ln>
                      <a:noFill/>
                    </a:ln>
                  </pic:spPr>
                </pic:pic>
              </a:graphicData>
            </a:graphic>
          </wp:inline>
        </w:drawing>
      </w:r>
    </w:p>
    <w:p w14:paraId="1986FA0C" w14:textId="7DABA631" w:rsidR="009439CC" w:rsidRPr="007425AF" w:rsidRDefault="00810B9C" w:rsidP="009439CC">
      <w:pPr>
        <w:jc w:val="center"/>
        <w:rPr>
          <w:rFonts w:ascii="Times New Roman" w:hAnsi="Times New Roman" w:cs="Times New Roman"/>
          <w:b/>
        </w:rPr>
      </w:pPr>
      <w:r w:rsidRPr="007425AF">
        <w:rPr>
          <w:rFonts w:ascii="Times New Roman" w:hAnsi="Times New Roman" w:cs="Times New Roman"/>
          <w:b/>
        </w:rPr>
        <w:t>Zdjęcie 8</w:t>
      </w:r>
      <w:r w:rsidR="005261DF">
        <w:rPr>
          <w:rFonts w:ascii="Times New Roman" w:hAnsi="Times New Roman" w:cs="Times New Roman"/>
          <w:b/>
        </w:rPr>
        <w:t>1</w:t>
      </w:r>
      <w:r w:rsidRPr="007425AF">
        <w:rPr>
          <w:rFonts w:ascii="Times New Roman" w:hAnsi="Times New Roman" w:cs="Times New Roman"/>
          <w:b/>
        </w:rPr>
        <w:t xml:space="preserve">. </w:t>
      </w:r>
      <w:r w:rsidR="009439CC" w:rsidRPr="007425AF">
        <w:rPr>
          <w:rFonts w:ascii="Times New Roman" w:hAnsi="Times New Roman" w:cs="Times New Roman"/>
          <w:b/>
        </w:rPr>
        <w:t>Automatyczny analizator do pomiaru stężeń pyłu zawieszonego PM10/ PM2,5 FIDAS200 PALAS GmbH</w:t>
      </w:r>
    </w:p>
    <w:p w14:paraId="6A334C37" w14:textId="77777777" w:rsidR="009439CC" w:rsidRDefault="009439CC" w:rsidP="009439CC">
      <w:pPr>
        <w:jc w:val="center"/>
        <w:rPr>
          <w:rFonts w:eastAsia="Calibri"/>
          <w:sz w:val="20"/>
          <w:szCs w:val="20"/>
        </w:rPr>
      </w:pPr>
    </w:p>
    <w:p w14:paraId="4CFFBA1D" w14:textId="77777777" w:rsidR="009439CC" w:rsidRPr="00AD117A" w:rsidRDefault="009439CC" w:rsidP="009439CC">
      <w:pPr>
        <w:jc w:val="center"/>
        <w:rPr>
          <w:rFonts w:eastAsia="Calibri"/>
          <w:sz w:val="20"/>
          <w:szCs w:val="20"/>
        </w:rPr>
      </w:pPr>
    </w:p>
    <w:p w14:paraId="0993C61A" w14:textId="303B0FE7" w:rsidR="009439CC" w:rsidRDefault="009439CC" w:rsidP="009439CC">
      <w:pPr>
        <w:jc w:val="center"/>
        <w:rPr>
          <w:rFonts w:eastAsia="Calibri"/>
          <w:noProof/>
        </w:rPr>
      </w:pPr>
      <w:r w:rsidRPr="00CB691C">
        <w:rPr>
          <w:rFonts w:eastAsia="Calibri"/>
          <w:noProof/>
          <w:lang w:eastAsia="pl-PL"/>
        </w:rPr>
        <w:drawing>
          <wp:inline distT="0" distB="0" distL="0" distR="0" wp14:anchorId="056A4DF8" wp14:editId="4B89ADE9">
            <wp:extent cx="3905250" cy="2439552"/>
            <wp:effectExtent l="0" t="0" r="0" b="0"/>
            <wp:docPr id="134" name="Obraz 134" descr="Zdjęcie 82. Analizator do automatycznego pomiaru stężeń BTX Synspec BV GC955 seria 60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Obraz 134" descr="Zdjęcie 82. Analizator do automatycznego pomiaru stężeń BTX Synspec BV GC955 seria 601 "/>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911715" cy="2443591"/>
                    </a:xfrm>
                    <a:prstGeom prst="rect">
                      <a:avLst/>
                    </a:prstGeom>
                    <a:noFill/>
                    <a:ln>
                      <a:noFill/>
                    </a:ln>
                  </pic:spPr>
                </pic:pic>
              </a:graphicData>
            </a:graphic>
          </wp:inline>
        </w:drawing>
      </w:r>
    </w:p>
    <w:p w14:paraId="05238594" w14:textId="6A14AE63" w:rsidR="009439CC" w:rsidRPr="007425AF" w:rsidRDefault="007425AF" w:rsidP="009439CC">
      <w:pPr>
        <w:jc w:val="center"/>
        <w:rPr>
          <w:rFonts w:ascii="Times New Roman" w:hAnsi="Times New Roman" w:cs="Times New Roman"/>
          <w:b/>
        </w:rPr>
      </w:pPr>
      <w:r w:rsidRPr="007425AF">
        <w:rPr>
          <w:rFonts w:ascii="Times New Roman" w:hAnsi="Times New Roman" w:cs="Times New Roman"/>
          <w:b/>
        </w:rPr>
        <w:t>Zdjęcie 8</w:t>
      </w:r>
      <w:r w:rsidR="005261DF">
        <w:rPr>
          <w:rFonts w:ascii="Times New Roman" w:hAnsi="Times New Roman" w:cs="Times New Roman"/>
          <w:b/>
        </w:rPr>
        <w:t>2</w:t>
      </w:r>
      <w:r w:rsidRPr="007425AF">
        <w:rPr>
          <w:rFonts w:ascii="Times New Roman" w:hAnsi="Times New Roman" w:cs="Times New Roman"/>
          <w:b/>
        </w:rPr>
        <w:t xml:space="preserve">. </w:t>
      </w:r>
      <w:r w:rsidR="009439CC" w:rsidRPr="007425AF">
        <w:rPr>
          <w:rFonts w:ascii="Times New Roman" w:hAnsi="Times New Roman" w:cs="Times New Roman"/>
          <w:b/>
        </w:rPr>
        <w:t xml:space="preserve">Analizator do automatycznego pomiaru stężeń BTX </w:t>
      </w:r>
      <w:proofErr w:type="spellStart"/>
      <w:r w:rsidR="009439CC" w:rsidRPr="007425AF">
        <w:rPr>
          <w:rFonts w:ascii="Times New Roman" w:hAnsi="Times New Roman" w:cs="Times New Roman"/>
          <w:b/>
        </w:rPr>
        <w:t>Synspec</w:t>
      </w:r>
      <w:proofErr w:type="spellEnd"/>
      <w:r w:rsidR="009439CC" w:rsidRPr="007425AF">
        <w:rPr>
          <w:rFonts w:ascii="Times New Roman" w:hAnsi="Times New Roman" w:cs="Times New Roman"/>
          <w:b/>
        </w:rPr>
        <w:t xml:space="preserve"> BV GC955 seria 601 </w:t>
      </w:r>
    </w:p>
    <w:p w14:paraId="3A6D9A8F" w14:textId="049B9335" w:rsidR="009439CC" w:rsidRPr="00BA6019" w:rsidRDefault="009439CC" w:rsidP="009439CC">
      <w:pPr>
        <w:jc w:val="center"/>
        <w:rPr>
          <w:sz w:val="20"/>
          <w:szCs w:val="20"/>
        </w:rPr>
      </w:pPr>
      <w:r w:rsidRPr="00CB691C">
        <w:rPr>
          <w:noProof/>
          <w:sz w:val="20"/>
          <w:szCs w:val="20"/>
          <w:lang w:eastAsia="pl-PL"/>
        </w:rPr>
        <w:lastRenderedPageBreak/>
        <w:drawing>
          <wp:inline distT="0" distB="0" distL="0" distR="0" wp14:anchorId="5A3DCD21" wp14:editId="0E589684">
            <wp:extent cx="3987165" cy="2496914"/>
            <wp:effectExtent l="0" t="0" r="0" b="0"/>
            <wp:docPr id="121" name="Obraz 121" descr="Zdjęcie 83. Analizator do pomiaru stężeń NOx Envea AC3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Obraz 121" descr="Zdjęcie 83. Analizator do pomiaru stężeń NOx Envea AC32e"/>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018819" cy="2516737"/>
                    </a:xfrm>
                    <a:prstGeom prst="rect">
                      <a:avLst/>
                    </a:prstGeom>
                    <a:noFill/>
                    <a:ln>
                      <a:noFill/>
                    </a:ln>
                  </pic:spPr>
                </pic:pic>
              </a:graphicData>
            </a:graphic>
          </wp:inline>
        </w:drawing>
      </w:r>
    </w:p>
    <w:p w14:paraId="19CF44BB" w14:textId="3672FC82" w:rsidR="009439CC" w:rsidRPr="007425AF" w:rsidRDefault="007425AF" w:rsidP="009439CC">
      <w:pPr>
        <w:jc w:val="center"/>
        <w:rPr>
          <w:rFonts w:ascii="Times New Roman" w:hAnsi="Times New Roman" w:cs="Times New Roman"/>
          <w:b/>
        </w:rPr>
      </w:pPr>
      <w:r w:rsidRPr="007425AF">
        <w:rPr>
          <w:rFonts w:ascii="Times New Roman" w:hAnsi="Times New Roman" w:cs="Times New Roman"/>
          <w:b/>
        </w:rPr>
        <w:t>Zdjęcie 8</w:t>
      </w:r>
      <w:r w:rsidR="005261DF">
        <w:rPr>
          <w:rFonts w:ascii="Times New Roman" w:hAnsi="Times New Roman" w:cs="Times New Roman"/>
          <w:b/>
        </w:rPr>
        <w:t>3</w:t>
      </w:r>
      <w:r w:rsidRPr="007425AF">
        <w:rPr>
          <w:rFonts w:ascii="Times New Roman" w:hAnsi="Times New Roman" w:cs="Times New Roman"/>
          <w:b/>
        </w:rPr>
        <w:t xml:space="preserve">. </w:t>
      </w:r>
      <w:r w:rsidR="009439CC" w:rsidRPr="007425AF">
        <w:rPr>
          <w:rFonts w:ascii="Times New Roman" w:hAnsi="Times New Roman" w:cs="Times New Roman"/>
          <w:b/>
        </w:rPr>
        <w:t xml:space="preserve">Analizator do pomiaru stężeń </w:t>
      </w:r>
      <w:proofErr w:type="spellStart"/>
      <w:r w:rsidR="009439CC" w:rsidRPr="007425AF">
        <w:rPr>
          <w:rFonts w:ascii="Times New Roman" w:hAnsi="Times New Roman" w:cs="Times New Roman"/>
          <w:b/>
        </w:rPr>
        <w:t>NOx</w:t>
      </w:r>
      <w:proofErr w:type="spellEnd"/>
      <w:r w:rsidR="009439CC" w:rsidRPr="007425AF">
        <w:rPr>
          <w:rFonts w:ascii="Times New Roman" w:hAnsi="Times New Roman" w:cs="Times New Roman"/>
          <w:b/>
        </w:rPr>
        <w:t xml:space="preserve"> </w:t>
      </w:r>
      <w:proofErr w:type="spellStart"/>
      <w:r w:rsidR="009439CC" w:rsidRPr="007425AF">
        <w:rPr>
          <w:rFonts w:ascii="Times New Roman" w:hAnsi="Times New Roman" w:cs="Times New Roman"/>
          <w:b/>
        </w:rPr>
        <w:t>Envea</w:t>
      </w:r>
      <w:proofErr w:type="spellEnd"/>
      <w:r w:rsidR="009439CC" w:rsidRPr="007425AF">
        <w:rPr>
          <w:rFonts w:ascii="Times New Roman" w:hAnsi="Times New Roman" w:cs="Times New Roman"/>
          <w:b/>
        </w:rPr>
        <w:t xml:space="preserve"> AC32e</w:t>
      </w:r>
    </w:p>
    <w:p w14:paraId="3762EA26" w14:textId="1BBE9DB1" w:rsidR="009439CC" w:rsidRDefault="009439CC" w:rsidP="009439CC">
      <w:pPr>
        <w:jc w:val="center"/>
        <w:rPr>
          <w:rFonts w:eastAsia="Calibri"/>
          <w:noProof/>
        </w:rPr>
      </w:pPr>
      <w:r w:rsidRPr="00CB691C">
        <w:rPr>
          <w:rFonts w:eastAsia="Calibri"/>
          <w:noProof/>
          <w:lang w:eastAsia="pl-PL"/>
        </w:rPr>
        <w:drawing>
          <wp:inline distT="0" distB="0" distL="0" distR="0" wp14:anchorId="0FF34102" wp14:editId="10B7874E">
            <wp:extent cx="3914775" cy="2438400"/>
            <wp:effectExtent l="0" t="0" r="9525" b="0"/>
            <wp:docPr id="119" name="Obraz 119" descr="Zdjęcie 84. System zbierania danych DAS- Datalogger DACSYSTEM Enviro DAS DM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Obraz 119" descr="Zdjęcie 84. System zbierania danych DAS- Datalogger DACSYSTEM Enviro DAS DM37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914775" cy="2438400"/>
                    </a:xfrm>
                    <a:prstGeom prst="rect">
                      <a:avLst/>
                    </a:prstGeom>
                    <a:noFill/>
                    <a:ln>
                      <a:noFill/>
                    </a:ln>
                  </pic:spPr>
                </pic:pic>
              </a:graphicData>
            </a:graphic>
          </wp:inline>
        </w:drawing>
      </w:r>
    </w:p>
    <w:p w14:paraId="68BD967C" w14:textId="744DDA52" w:rsidR="009439CC" w:rsidRPr="007425AF" w:rsidRDefault="007425AF" w:rsidP="009439CC">
      <w:pPr>
        <w:jc w:val="center"/>
        <w:rPr>
          <w:rFonts w:ascii="Times New Roman" w:hAnsi="Times New Roman" w:cs="Times New Roman"/>
          <w:b/>
        </w:rPr>
      </w:pPr>
      <w:r w:rsidRPr="007425AF">
        <w:rPr>
          <w:rFonts w:ascii="Times New Roman" w:hAnsi="Times New Roman" w:cs="Times New Roman"/>
          <w:b/>
        </w:rPr>
        <w:t>Zdjęcie 8</w:t>
      </w:r>
      <w:r w:rsidR="005261DF">
        <w:rPr>
          <w:rFonts w:ascii="Times New Roman" w:hAnsi="Times New Roman" w:cs="Times New Roman"/>
          <w:b/>
        </w:rPr>
        <w:t>4</w:t>
      </w:r>
      <w:r w:rsidRPr="007425AF">
        <w:rPr>
          <w:rFonts w:ascii="Times New Roman" w:hAnsi="Times New Roman" w:cs="Times New Roman"/>
          <w:b/>
        </w:rPr>
        <w:t xml:space="preserve">. </w:t>
      </w:r>
      <w:r w:rsidR="009439CC" w:rsidRPr="007425AF">
        <w:rPr>
          <w:rFonts w:ascii="Times New Roman" w:hAnsi="Times New Roman" w:cs="Times New Roman"/>
          <w:b/>
        </w:rPr>
        <w:t xml:space="preserve">System zbierania danych DAS- </w:t>
      </w:r>
      <w:proofErr w:type="spellStart"/>
      <w:r w:rsidR="009439CC" w:rsidRPr="007425AF">
        <w:rPr>
          <w:rFonts w:ascii="Times New Roman" w:hAnsi="Times New Roman" w:cs="Times New Roman"/>
          <w:b/>
        </w:rPr>
        <w:t>Datalogger</w:t>
      </w:r>
      <w:proofErr w:type="spellEnd"/>
      <w:r w:rsidR="009439CC" w:rsidRPr="007425AF">
        <w:rPr>
          <w:rFonts w:ascii="Times New Roman" w:hAnsi="Times New Roman" w:cs="Times New Roman"/>
          <w:b/>
        </w:rPr>
        <w:t xml:space="preserve"> DACSYSTEM </w:t>
      </w:r>
      <w:proofErr w:type="spellStart"/>
      <w:r w:rsidR="009439CC" w:rsidRPr="007425AF">
        <w:rPr>
          <w:rFonts w:ascii="Times New Roman" w:hAnsi="Times New Roman" w:cs="Times New Roman"/>
          <w:b/>
        </w:rPr>
        <w:t>Enviro</w:t>
      </w:r>
      <w:proofErr w:type="spellEnd"/>
      <w:r w:rsidR="009439CC" w:rsidRPr="007425AF">
        <w:rPr>
          <w:rFonts w:ascii="Times New Roman" w:hAnsi="Times New Roman" w:cs="Times New Roman"/>
          <w:b/>
        </w:rPr>
        <w:t xml:space="preserve"> DAS DM370</w:t>
      </w:r>
    </w:p>
    <w:p w14:paraId="78B5DFBF" w14:textId="0B39AF1D" w:rsidR="009439CC" w:rsidRDefault="009439CC" w:rsidP="009439CC">
      <w:pPr>
        <w:jc w:val="center"/>
        <w:rPr>
          <w:rFonts w:eastAsia="Calibri"/>
          <w:noProof/>
        </w:rPr>
      </w:pPr>
      <w:r w:rsidRPr="00CB691C">
        <w:rPr>
          <w:rFonts w:eastAsia="Calibri"/>
          <w:noProof/>
          <w:lang w:eastAsia="pl-PL"/>
        </w:rPr>
        <w:drawing>
          <wp:inline distT="0" distB="0" distL="0" distR="0" wp14:anchorId="0211B14A" wp14:editId="119B5EA9">
            <wp:extent cx="4145684" cy="2581275"/>
            <wp:effectExtent l="0" t="0" r="7620" b="0"/>
            <wp:docPr id="117" name="Obraz 117" descr="Zdjęcie 85. Zestaw kalibracyjny (wytwornica powietrza zerowego  MCZ Umweltteechnik NGA19S, kompresor DurrTronik KK15UA-025C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Obraz 117" descr="Zdjęcie 85. Zestaw kalibracyjny (wytwornica powietrza zerowego  MCZ Umweltteechnik NGA19S, kompresor DurrTronik KK15UA-025C1&#1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148419" cy="2582978"/>
                    </a:xfrm>
                    <a:prstGeom prst="rect">
                      <a:avLst/>
                    </a:prstGeom>
                    <a:noFill/>
                    <a:ln>
                      <a:noFill/>
                    </a:ln>
                  </pic:spPr>
                </pic:pic>
              </a:graphicData>
            </a:graphic>
          </wp:inline>
        </w:drawing>
      </w:r>
    </w:p>
    <w:p w14:paraId="74559AF2" w14:textId="17B6B6B0" w:rsidR="009439CC" w:rsidRPr="007425AF" w:rsidRDefault="007425AF" w:rsidP="007425AF">
      <w:pPr>
        <w:spacing w:after="0"/>
        <w:jc w:val="center"/>
        <w:rPr>
          <w:rFonts w:ascii="Times New Roman" w:hAnsi="Times New Roman" w:cs="Times New Roman"/>
          <w:b/>
        </w:rPr>
      </w:pPr>
      <w:r w:rsidRPr="007425AF">
        <w:rPr>
          <w:rFonts w:ascii="Times New Roman" w:hAnsi="Times New Roman" w:cs="Times New Roman"/>
          <w:b/>
        </w:rPr>
        <w:t>Zdjęcie 8</w:t>
      </w:r>
      <w:r w:rsidR="005261DF">
        <w:rPr>
          <w:rFonts w:ascii="Times New Roman" w:hAnsi="Times New Roman" w:cs="Times New Roman"/>
          <w:b/>
        </w:rPr>
        <w:t>5</w:t>
      </w:r>
      <w:r w:rsidRPr="007425AF">
        <w:rPr>
          <w:rFonts w:ascii="Times New Roman" w:hAnsi="Times New Roman" w:cs="Times New Roman"/>
          <w:b/>
        </w:rPr>
        <w:t xml:space="preserve">. </w:t>
      </w:r>
      <w:r w:rsidR="009439CC" w:rsidRPr="007425AF">
        <w:rPr>
          <w:rFonts w:ascii="Times New Roman" w:hAnsi="Times New Roman" w:cs="Times New Roman"/>
          <w:b/>
        </w:rPr>
        <w:t xml:space="preserve">Zestaw kalibracyjny (wytwornica powietrza zerowego </w:t>
      </w:r>
    </w:p>
    <w:p w14:paraId="132619CC" w14:textId="4C57C988" w:rsidR="009439CC" w:rsidRDefault="007425AF" w:rsidP="007425AF">
      <w:pPr>
        <w:spacing w:after="0"/>
        <w:ind w:left="714"/>
        <w:jc w:val="both"/>
      </w:pPr>
      <w:r>
        <w:rPr>
          <w:rFonts w:ascii="Times New Roman" w:hAnsi="Times New Roman" w:cs="Times New Roman"/>
          <w:b/>
        </w:rPr>
        <w:t xml:space="preserve">      </w:t>
      </w:r>
      <w:r w:rsidR="009439CC" w:rsidRPr="007425AF">
        <w:rPr>
          <w:rFonts w:ascii="Times New Roman" w:hAnsi="Times New Roman" w:cs="Times New Roman"/>
          <w:b/>
        </w:rPr>
        <w:t xml:space="preserve">MCZ </w:t>
      </w:r>
      <w:proofErr w:type="spellStart"/>
      <w:r w:rsidR="009439CC" w:rsidRPr="007425AF">
        <w:rPr>
          <w:rFonts w:ascii="Times New Roman" w:hAnsi="Times New Roman" w:cs="Times New Roman"/>
          <w:b/>
        </w:rPr>
        <w:t>Umweltteechnik</w:t>
      </w:r>
      <w:proofErr w:type="spellEnd"/>
      <w:r w:rsidR="009439CC" w:rsidRPr="007425AF">
        <w:rPr>
          <w:rFonts w:ascii="Times New Roman" w:hAnsi="Times New Roman" w:cs="Times New Roman"/>
          <w:b/>
        </w:rPr>
        <w:t xml:space="preserve"> NGA19S, kompresor </w:t>
      </w:r>
      <w:proofErr w:type="spellStart"/>
      <w:r w:rsidR="009439CC" w:rsidRPr="007425AF">
        <w:rPr>
          <w:rFonts w:ascii="Times New Roman" w:hAnsi="Times New Roman" w:cs="Times New Roman"/>
          <w:b/>
        </w:rPr>
        <w:t>DurrTronik</w:t>
      </w:r>
      <w:proofErr w:type="spellEnd"/>
      <w:r w:rsidR="009439CC" w:rsidRPr="007425AF">
        <w:rPr>
          <w:rFonts w:ascii="Times New Roman" w:hAnsi="Times New Roman" w:cs="Times New Roman"/>
          <w:b/>
        </w:rPr>
        <w:t xml:space="preserve"> KK15UA-025C1</w:t>
      </w:r>
    </w:p>
    <w:p w14:paraId="3735B5A1" w14:textId="77777777" w:rsidR="009439CC" w:rsidRPr="008E56B1" w:rsidRDefault="009439CC" w:rsidP="009439CC">
      <w:pPr>
        <w:jc w:val="center"/>
      </w:pPr>
    </w:p>
    <w:p w14:paraId="2285B76F" w14:textId="40FF7838" w:rsidR="009439CC" w:rsidRDefault="009439CC" w:rsidP="009439CC">
      <w:pPr>
        <w:spacing w:line="300" w:lineRule="atLeast"/>
        <w:jc w:val="center"/>
        <w:rPr>
          <w:noProof/>
        </w:rPr>
      </w:pPr>
      <w:r w:rsidRPr="00470BB7">
        <w:rPr>
          <w:noProof/>
          <w:lang w:eastAsia="pl-PL"/>
        </w:rPr>
        <w:drawing>
          <wp:inline distT="0" distB="0" distL="0" distR="0" wp14:anchorId="7BCB02E6" wp14:editId="7EBEBFC8">
            <wp:extent cx="2895600" cy="3854143"/>
            <wp:effectExtent l="0" t="0" r="0" b="0"/>
            <wp:docPr id="116" name="Obraz 116" descr="Zdjęcie 86. Przenośny spektrometr Ramana do badań substancji nieznanego pochodzenia &#10;TacticID Mobi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Obraz 116" descr="Zdjęcie 86. Przenośny spektrometr Ramana do badań substancji nieznanego pochodzenia &#10;TacticID Mobile&#10;"/>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899585" cy="3859447"/>
                    </a:xfrm>
                    <a:prstGeom prst="rect">
                      <a:avLst/>
                    </a:prstGeom>
                    <a:noFill/>
                    <a:ln>
                      <a:noFill/>
                    </a:ln>
                  </pic:spPr>
                </pic:pic>
              </a:graphicData>
            </a:graphic>
          </wp:inline>
        </w:drawing>
      </w:r>
    </w:p>
    <w:p w14:paraId="7EDADDE9" w14:textId="02D54502" w:rsidR="009439CC" w:rsidRPr="007425AF" w:rsidRDefault="007425AF" w:rsidP="007425AF">
      <w:pPr>
        <w:spacing w:after="0" w:line="300" w:lineRule="atLeast"/>
        <w:jc w:val="center"/>
        <w:rPr>
          <w:rFonts w:ascii="Times New Roman" w:eastAsia="Calibri" w:hAnsi="Times New Roman" w:cs="Times New Roman"/>
          <w:b/>
        </w:rPr>
      </w:pPr>
      <w:r w:rsidRPr="007425AF">
        <w:rPr>
          <w:rFonts w:ascii="Times New Roman" w:eastAsia="Calibri" w:hAnsi="Times New Roman" w:cs="Times New Roman"/>
          <w:b/>
        </w:rPr>
        <w:t>Zdjęcie 8</w:t>
      </w:r>
      <w:r w:rsidR="005261DF">
        <w:rPr>
          <w:rFonts w:ascii="Times New Roman" w:eastAsia="Calibri" w:hAnsi="Times New Roman" w:cs="Times New Roman"/>
          <w:b/>
        </w:rPr>
        <w:t>6</w:t>
      </w:r>
      <w:r w:rsidRPr="007425AF">
        <w:rPr>
          <w:rFonts w:ascii="Times New Roman" w:eastAsia="Calibri" w:hAnsi="Times New Roman" w:cs="Times New Roman"/>
          <w:b/>
        </w:rPr>
        <w:t xml:space="preserve">. </w:t>
      </w:r>
      <w:r w:rsidR="009439CC" w:rsidRPr="007425AF">
        <w:rPr>
          <w:rFonts w:ascii="Times New Roman" w:eastAsia="Calibri" w:hAnsi="Times New Roman" w:cs="Times New Roman"/>
          <w:b/>
        </w:rPr>
        <w:t xml:space="preserve">Przenośny spektrometr </w:t>
      </w:r>
      <w:proofErr w:type="spellStart"/>
      <w:r w:rsidR="009439CC" w:rsidRPr="007425AF">
        <w:rPr>
          <w:rFonts w:ascii="Times New Roman" w:eastAsia="Calibri" w:hAnsi="Times New Roman" w:cs="Times New Roman"/>
          <w:b/>
        </w:rPr>
        <w:t>Ramana</w:t>
      </w:r>
      <w:proofErr w:type="spellEnd"/>
      <w:r w:rsidR="009439CC" w:rsidRPr="007425AF">
        <w:rPr>
          <w:rFonts w:ascii="Times New Roman" w:eastAsia="Calibri" w:hAnsi="Times New Roman" w:cs="Times New Roman"/>
          <w:b/>
        </w:rPr>
        <w:t xml:space="preserve"> do badań substancji nieznanego pochodzenia </w:t>
      </w:r>
    </w:p>
    <w:p w14:paraId="2D802384" w14:textId="77777777" w:rsidR="009439CC" w:rsidRPr="008E56B1" w:rsidRDefault="009439CC" w:rsidP="007425AF">
      <w:pPr>
        <w:spacing w:after="0" w:line="300" w:lineRule="atLeast"/>
        <w:jc w:val="center"/>
      </w:pPr>
      <w:proofErr w:type="spellStart"/>
      <w:r w:rsidRPr="007425AF">
        <w:rPr>
          <w:rFonts w:ascii="Times New Roman" w:eastAsia="Calibri" w:hAnsi="Times New Roman" w:cs="Times New Roman"/>
          <w:b/>
        </w:rPr>
        <w:t>TacticID</w:t>
      </w:r>
      <w:proofErr w:type="spellEnd"/>
      <w:r w:rsidRPr="007425AF">
        <w:rPr>
          <w:rFonts w:ascii="Times New Roman" w:eastAsia="Calibri" w:hAnsi="Times New Roman" w:cs="Times New Roman"/>
          <w:b/>
        </w:rPr>
        <w:t xml:space="preserve"> Mobile</w:t>
      </w:r>
    </w:p>
    <w:p w14:paraId="27DF39C6" w14:textId="77777777" w:rsidR="009439CC" w:rsidRDefault="009439CC" w:rsidP="009439CC">
      <w:pPr>
        <w:spacing w:line="300" w:lineRule="atLeast"/>
        <w:jc w:val="center"/>
      </w:pPr>
    </w:p>
    <w:p w14:paraId="39B82AF6" w14:textId="77777777" w:rsidR="009439CC" w:rsidRDefault="009439CC" w:rsidP="009439CC">
      <w:pPr>
        <w:spacing w:line="300" w:lineRule="atLeast"/>
        <w:jc w:val="center"/>
      </w:pPr>
    </w:p>
    <w:p w14:paraId="6954E486" w14:textId="52265550" w:rsidR="009439CC" w:rsidRDefault="009439CC" w:rsidP="009439CC">
      <w:pPr>
        <w:spacing w:line="300" w:lineRule="atLeast"/>
        <w:jc w:val="center"/>
        <w:rPr>
          <w:noProof/>
        </w:rPr>
      </w:pPr>
      <w:r w:rsidRPr="009C43B9">
        <w:rPr>
          <w:noProof/>
          <w:lang w:eastAsia="pl-PL"/>
        </w:rPr>
        <w:lastRenderedPageBreak/>
        <w:drawing>
          <wp:inline distT="0" distB="0" distL="0" distR="0" wp14:anchorId="363B3967" wp14:editId="5CDDD123">
            <wp:extent cx="4400550" cy="3743325"/>
            <wp:effectExtent l="0" t="0" r="0" b="9525"/>
            <wp:docPr id="115" name="Obraz 115" descr="Zdjęcie 87. Analizator lotnych związków organicznych iFID Mobile, firmy Tes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Obraz 115" descr="Zdjęcie 87. Analizator lotnych związków organicznych iFID Mobile, firmy Testa "/>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400550" cy="3743325"/>
                    </a:xfrm>
                    <a:prstGeom prst="rect">
                      <a:avLst/>
                    </a:prstGeom>
                    <a:noFill/>
                    <a:ln>
                      <a:noFill/>
                    </a:ln>
                  </pic:spPr>
                </pic:pic>
              </a:graphicData>
            </a:graphic>
          </wp:inline>
        </w:drawing>
      </w:r>
    </w:p>
    <w:p w14:paraId="78CFDB9E" w14:textId="5BFC8631" w:rsidR="009439CC" w:rsidRPr="007425AF" w:rsidRDefault="007425AF" w:rsidP="009439CC">
      <w:pPr>
        <w:spacing w:line="300" w:lineRule="atLeast"/>
        <w:jc w:val="center"/>
        <w:rPr>
          <w:rFonts w:ascii="Times New Roman" w:hAnsi="Times New Roman" w:cs="Times New Roman"/>
          <w:b/>
        </w:rPr>
      </w:pPr>
      <w:r w:rsidRPr="007425AF">
        <w:rPr>
          <w:rFonts w:ascii="Times New Roman" w:hAnsi="Times New Roman" w:cs="Times New Roman"/>
          <w:b/>
        </w:rPr>
        <w:t>Zdjęcie 8</w:t>
      </w:r>
      <w:r w:rsidR="005261DF">
        <w:rPr>
          <w:rFonts w:ascii="Times New Roman" w:hAnsi="Times New Roman" w:cs="Times New Roman"/>
          <w:b/>
        </w:rPr>
        <w:t>7</w:t>
      </w:r>
      <w:r w:rsidRPr="007425AF">
        <w:rPr>
          <w:rFonts w:ascii="Times New Roman" w:hAnsi="Times New Roman" w:cs="Times New Roman"/>
          <w:b/>
        </w:rPr>
        <w:t xml:space="preserve">. </w:t>
      </w:r>
      <w:r w:rsidR="009439CC" w:rsidRPr="007425AF">
        <w:rPr>
          <w:rFonts w:ascii="Times New Roman" w:hAnsi="Times New Roman" w:cs="Times New Roman"/>
          <w:b/>
        </w:rPr>
        <w:t xml:space="preserve">Analizator lotnych związków organicznych </w:t>
      </w:r>
      <w:proofErr w:type="spellStart"/>
      <w:r w:rsidR="009439CC" w:rsidRPr="007425AF">
        <w:rPr>
          <w:rFonts w:ascii="Times New Roman" w:hAnsi="Times New Roman" w:cs="Times New Roman"/>
          <w:b/>
        </w:rPr>
        <w:t>iFID</w:t>
      </w:r>
      <w:proofErr w:type="spellEnd"/>
      <w:r w:rsidR="009439CC" w:rsidRPr="007425AF">
        <w:rPr>
          <w:rFonts w:ascii="Times New Roman" w:hAnsi="Times New Roman" w:cs="Times New Roman"/>
          <w:b/>
        </w:rPr>
        <w:t xml:space="preserve"> Mobile, firmy </w:t>
      </w:r>
      <w:proofErr w:type="spellStart"/>
      <w:r w:rsidR="009439CC" w:rsidRPr="007425AF">
        <w:rPr>
          <w:rFonts w:ascii="Times New Roman" w:hAnsi="Times New Roman" w:cs="Times New Roman"/>
          <w:b/>
        </w:rPr>
        <w:t>Testa</w:t>
      </w:r>
      <w:proofErr w:type="spellEnd"/>
      <w:r w:rsidR="009439CC" w:rsidRPr="007425AF">
        <w:rPr>
          <w:rFonts w:ascii="Times New Roman" w:hAnsi="Times New Roman" w:cs="Times New Roman"/>
          <w:b/>
        </w:rPr>
        <w:t xml:space="preserve"> </w:t>
      </w:r>
    </w:p>
    <w:p w14:paraId="59292EAA" w14:textId="77777777" w:rsidR="009439CC" w:rsidRDefault="009439CC" w:rsidP="009439CC">
      <w:pPr>
        <w:spacing w:line="300" w:lineRule="atLeast"/>
        <w:jc w:val="center"/>
        <w:rPr>
          <w:sz w:val="20"/>
          <w:szCs w:val="20"/>
        </w:rPr>
      </w:pPr>
    </w:p>
    <w:p w14:paraId="1BF009C0" w14:textId="29439C47" w:rsidR="009439CC" w:rsidRDefault="009439CC" w:rsidP="009439CC">
      <w:pPr>
        <w:spacing w:line="300" w:lineRule="atLeast"/>
        <w:jc w:val="center"/>
        <w:rPr>
          <w:sz w:val="20"/>
          <w:szCs w:val="20"/>
        </w:rPr>
      </w:pPr>
      <w:r w:rsidRPr="009C43B9">
        <w:rPr>
          <w:noProof/>
          <w:lang w:eastAsia="pl-PL"/>
        </w:rPr>
        <w:drawing>
          <wp:inline distT="0" distB="0" distL="0" distR="0" wp14:anchorId="1915FAF6" wp14:editId="1A36EE95">
            <wp:extent cx="4762500" cy="3581400"/>
            <wp:effectExtent l="0" t="0" r="0" b="0"/>
            <wp:docPr id="114" name="Obraz 114" descr="Zdjęcie 88. Analizator gazów odlotowych, typ PG 350 firmy Horib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Obraz 114" descr="Zdjęcie 88. Analizator gazów odlotowych, typ PG 350 firmy Horiba "/>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762500" cy="3581400"/>
                    </a:xfrm>
                    <a:prstGeom prst="rect">
                      <a:avLst/>
                    </a:prstGeom>
                    <a:noFill/>
                    <a:ln>
                      <a:noFill/>
                    </a:ln>
                  </pic:spPr>
                </pic:pic>
              </a:graphicData>
            </a:graphic>
          </wp:inline>
        </w:drawing>
      </w:r>
    </w:p>
    <w:p w14:paraId="7BF16077" w14:textId="430BFD42" w:rsidR="009439CC" w:rsidRPr="007425AF" w:rsidRDefault="007425AF" w:rsidP="009439CC">
      <w:pPr>
        <w:jc w:val="center"/>
        <w:rPr>
          <w:rFonts w:ascii="Times New Roman" w:hAnsi="Times New Roman" w:cs="Times New Roman"/>
          <w:b/>
          <w:color w:val="000000"/>
        </w:rPr>
      </w:pPr>
      <w:r w:rsidRPr="007425AF">
        <w:rPr>
          <w:rFonts w:ascii="Times New Roman" w:eastAsia="Calibri" w:hAnsi="Times New Roman" w:cs="Times New Roman"/>
          <w:b/>
        </w:rPr>
        <w:t>Zdjęcie 8</w:t>
      </w:r>
      <w:r w:rsidR="005261DF">
        <w:rPr>
          <w:rFonts w:ascii="Times New Roman" w:eastAsia="Calibri" w:hAnsi="Times New Roman" w:cs="Times New Roman"/>
          <w:b/>
        </w:rPr>
        <w:t>8</w:t>
      </w:r>
      <w:r w:rsidRPr="007425AF">
        <w:rPr>
          <w:rFonts w:ascii="Times New Roman" w:eastAsia="Calibri" w:hAnsi="Times New Roman" w:cs="Times New Roman"/>
          <w:b/>
        </w:rPr>
        <w:t xml:space="preserve">. </w:t>
      </w:r>
      <w:r w:rsidR="009439CC" w:rsidRPr="007425AF">
        <w:rPr>
          <w:rFonts w:ascii="Times New Roman" w:eastAsia="Calibri" w:hAnsi="Times New Roman" w:cs="Times New Roman"/>
          <w:b/>
        </w:rPr>
        <w:t>Analizator gazów odlotowych</w:t>
      </w:r>
      <w:r w:rsidR="009439CC" w:rsidRPr="007425AF">
        <w:rPr>
          <w:rFonts w:ascii="Times New Roman" w:hAnsi="Times New Roman" w:cs="Times New Roman"/>
          <w:b/>
          <w:color w:val="000000"/>
        </w:rPr>
        <w:t xml:space="preserve">, typ PG 350 firmy </w:t>
      </w:r>
      <w:proofErr w:type="spellStart"/>
      <w:r w:rsidR="009439CC" w:rsidRPr="007425AF">
        <w:rPr>
          <w:rFonts w:ascii="Times New Roman" w:hAnsi="Times New Roman" w:cs="Times New Roman"/>
          <w:b/>
          <w:color w:val="000000"/>
        </w:rPr>
        <w:t>Horiba</w:t>
      </w:r>
      <w:proofErr w:type="spellEnd"/>
      <w:r w:rsidR="009439CC" w:rsidRPr="007425AF">
        <w:rPr>
          <w:rFonts w:ascii="Times New Roman" w:hAnsi="Times New Roman" w:cs="Times New Roman"/>
          <w:b/>
          <w:color w:val="000000"/>
        </w:rPr>
        <w:t xml:space="preserve"> </w:t>
      </w:r>
    </w:p>
    <w:p w14:paraId="1FE6EB96" w14:textId="34C0E7AF" w:rsidR="009439CC" w:rsidRPr="009439CC" w:rsidRDefault="009439CC" w:rsidP="009439CC">
      <w:pPr>
        <w:ind w:left="284"/>
        <w:jc w:val="both"/>
        <w:rPr>
          <w:rFonts w:ascii="Times New Roman" w:hAnsi="Times New Roman" w:cs="Times New Roman"/>
          <w:color w:val="000000"/>
          <w:sz w:val="24"/>
          <w:szCs w:val="24"/>
        </w:rPr>
      </w:pPr>
      <w:r>
        <w:rPr>
          <w:rFonts w:ascii="Times New Roman" w:hAnsi="Times New Roman" w:cs="Times New Roman"/>
          <w:color w:val="000000"/>
          <w:sz w:val="24"/>
          <w:szCs w:val="24"/>
        </w:rPr>
        <w:t>Ponadto, w</w:t>
      </w:r>
      <w:r w:rsidRPr="009439CC">
        <w:rPr>
          <w:rFonts w:ascii="Times New Roman" w:hAnsi="Times New Roman" w:cs="Times New Roman"/>
          <w:color w:val="000000"/>
          <w:sz w:val="24"/>
          <w:szCs w:val="24"/>
        </w:rPr>
        <w:t xml:space="preserve"> roku 2022 CLB zostało doposażone w 2 samochody marki Opel COMBO oraz </w:t>
      </w:r>
      <w:r w:rsidRPr="009439CC">
        <w:rPr>
          <w:rFonts w:ascii="Times New Roman" w:hAnsi="Times New Roman" w:cs="Times New Roman"/>
          <w:color w:val="000000"/>
          <w:sz w:val="24"/>
          <w:szCs w:val="24"/>
        </w:rPr>
        <w:br/>
        <w:t xml:space="preserve">w 2 samochody marki Ford </w:t>
      </w:r>
      <w:proofErr w:type="spellStart"/>
      <w:r w:rsidRPr="009439CC">
        <w:rPr>
          <w:rFonts w:ascii="Times New Roman" w:hAnsi="Times New Roman" w:cs="Times New Roman"/>
          <w:color w:val="000000"/>
          <w:sz w:val="24"/>
          <w:szCs w:val="24"/>
        </w:rPr>
        <w:t>Ranger</w:t>
      </w:r>
      <w:proofErr w:type="spellEnd"/>
      <w:r w:rsidRPr="009439CC">
        <w:rPr>
          <w:rFonts w:ascii="Times New Roman" w:hAnsi="Times New Roman" w:cs="Times New Roman"/>
          <w:color w:val="000000"/>
          <w:sz w:val="24"/>
          <w:szCs w:val="24"/>
        </w:rPr>
        <w:t xml:space="preserve"> </w:t>
      </w:r>
    </w:p>
    <w:p w14:paraId="78E88A6B" w14:textId="77777777" w:rsidR="009439CC" w:rsidRPr="009439CC" w:rsidRDefault="009439CC" w:rsidP="009439CC">
      <w:pPr>
        <w:ind w:left="284"/>
        <w:jc w:val="both"/>
        <w:rPr>
          <w:rFonts w:ascii="Times New Roman" w:hAnsi="Times New Roman" w:cs="Times New Roman"/>
          <w:color w:val="000000"/>
          <w:sz w:val="24"/>
          <w:szCs w:val="24"/>
        </w:rPr>
      </w:pPr>
    </w:p>
    <w:p w14:paraId="0C131C2B" w14:textId="6855EB58" w:rsidR="009439CC" w:rsidRPr="009439CC" w:rsidRDefault="009439CC" w:rsidP="009439CC">
      <w:pPr>
        <w:ind w:left="284"/>
        <w:jc w:val="center"/>
        <w:rPr>
          <w:rFonts w:ascii="Times New Roman" w:hAnsi="Times New Roman" w:cs="Times New Roman"/>
          <w:color w:val="000000"/>
          <w:sz w:val="24"/>
          <w:szCs w:val="24"/>
        </w:rPr>
      </w:pPr>
      <w:r w:rsidRPr="009439CC">
        <w:rPr>
          <w:rFonts w:ascii="Times New Roman" w:hAnsi="Times New Roman" w:cs="Times New Roman"/>
          <w:noProof/>
          <w:color w:val="000000"/>
          <w:sz w:val="24"/>
          <w:szCs w:val="24"/>
          <w:lang w:eastAsia="pl-PL"/>
        </w:rPr>
        <w:drawing>
          <wp:inline distT="0" distB="0" distL="0" distR="0" wp14:anchorId="4A6D7C6F" wp14:editId="4D92630B">
            <wp:extent cx="5119584" cy="2276475"/>
            <wp:effectExtent l="0" t="0" r="5080" b="0"/>
            <wp:docPr id="139" name="Obraz 139" descr="IMG_20230313_11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IMG_20230313_110033"/>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123088" cy="2278033"/>
                    </a:xfrm>
                    <a:prstGeom prst="rect">
                      <a:avLst/>
                    </a:prstGeom>
                    <a:noFill/>
                    <a:ln>
                      <a:noFill/>
                    </a:ln>
                  </pic:spPr>
                </pic:pic>
              </a:graphicData>
            </a:graphic>
          </wp:inline>
        </w:drawing>
      </w:r>
    </w:p>
    <w:p w14:paraId="542C434F" w14:textId="2177FA65" w:rsidR="009439CC" w:rsidRPr="007425AF" w:rsidRDefault="007425AF" w:rsidP="007425AF">
      <w:pPr>
        <w:spacing w:after="0"/>
        <w:ind w:left="284"/>
        <w:jc w:val="center"/>
        <w:rPr>
          <w:rFonts w:ascii="Times New Roman" w:hAnsi="Times New Roman" w:cs="Times New Roman"/>
          <w:b/>
          <w:color w:val="000000"/>
        </w:rPr>
      </w:pPr>
      <w:r w:rsidRPr="007425AF">
        <w:rPr>
          <w:rFonts w:ascii="Times New Roman" w:hAnsi="Times New Roman" w:cs="Times New Roman"/>
          <w:b/>
          <w:color w:val="000000"/>
        </w:rPr>
        <w:t>Zdjęcie 8</w:t>
      </w:r>
      <w:r w:rsidR="005261DF">
        <w:rPr>
          <w:rFonts w:ascii="Times New Roman" w:hAnsi="Times New Roman" w:cs="Times New Roman"/>
          <w:b/>
          <w:color w:val="000000"/>
        </w:rPr>
        <w:t>9</w:t>
      </w:r>
      <w:r w:rsidRPr="007425AF">
        <w:rPr>
          <w:rFonts w:ascii="Times New Roman" w:hAnsi="Times New Roman" w:cs="Times New Roman"/>
          <w:b/>
          <w:color w:val="000000"/>
        </w:rPr>
        <w:t xml:space="preserve">. </w:t>
      </w:r>
      <w:r w:rsidR="009439CC" w:rsidRPr="007425AF">
        <w:rPr>
          <w:rFonts w:ascii="Times New Roman" w:hAnsi="Times New Roman" w:cs="Times New Roman"/>
          <w:b/>
          <w:color w:val="000000"/>
        </w:rPr>
        <w:t>Pojazd do przewożenia kontenerów pomiarowych dla mobilnych stacji monitoringu hałasu</w:t>
      </w:r>
    </w:p>
    <w:p w14:paraId="411F158D" w14:textId="77777777" w:rsidR="009439CC" w:rsidRPr="009439CC" w:rsidRDefault="009439CC" w:rsidP="009439CC">
      <w:pPr>
        <w:ind w:left="284"/>
        <w:jc w:val="both"/>
        <w:rPr>
          <w:rFonts w:ascii="Times New Roman" w:hAnsi="Times New Roman" w:cs="Times New Roman"/>
          <w:color w:val="000000"/>
          <w:sz w:val="24"/>
          <w:szCs w:val="24"/>
        </w:rPr>
      </w:pPr>
    </w:p>
    <w:p w14:paraId="608A929E" w14:textId="54CF8647" w:rsidR="009439CC" w:rsidRPr="009439CC" w:rsidRDefault="009439CC" w:rsidP="009439CC">
      <w:pPr>
        <w:ind w:left="284"/>
        <w:jc w:val="center"/>
        <w:rPr>
          <w:rFonts w:ascii="Times New Roman" w:hAnsi="Times New Roman" w:cs="Times New Roman"/>
          <w:color w:val="000000"/>
          <w:sz w:val="24"/>
          <w:szCs w:val="24"/>
        </w:rPr>
      </w:pPr>
      <w:r w:rsidRPr="009439CC">
        <w:rPr>
          <w:rFonts w:ascii="Times New Roman" w:hAnsi="Times New Roman" w:cs="Times New Roman"/>
          <w:noProof/>
          <w:sz w:val="24"/>
          <w:szCs w:val="24"/>
          <w:lang w:eastAsia="pl-PL"/>
        </w:rPr>
        <w:drawing>
          <wp:inline distT="0" distB="0" distL="0" distR="0" wp14:anchorId="654B96D9" wp14:editId="03EE7F15">
            <wp:extent cx="5217928" cy="3467100"/>
            <wp:effectExtent l="0" t="0" r="1905" b="0"/>
            <wp:docPr id="137" name="Obraz 137" descr="20230110_12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20230110_121426"/>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228511" cy="3474132"/>
                    </a:xfrm>
                    <a:prstGeom prst="rect">
                      <a:avLst/>
                    </a:prstGeom>
                    <a:noFill/>
                    <a:ln>
                      <a:noFill/>
                    </a:ln>
                  </pic:spPr>
                </pic:pic>
              </a:graphicData>
            </a:graphic>
          </wp:inline>
        </w:drawing>
      </w:r>
    </w:p>
    <w:p w14:paraId="3F27B3C8" w14:textId="222F3858" w:rsidR="009439CC" w:rsidRPr="007425AF" w:rsidRDefault="007425AF" w:rsidP="009439CC">
      <w:pPr>
        <w:ind w:left="284"/>
        <w:jc w:val="center"/>
        <w:rPr>
          <w:rFonts w:ascii="Times New Roman" w:hAnsi="Times New Roman" w:cs="Times New Roman"/>
          <w:b/>
          <w:color w:val="000000"/>
        </w:rPr>
      </w:pPr>
      <w:r w:rsidRPr="007425AF">
        <w:rPr>
          <w:rFonts w:ascii="Times New Roman" w:hAnsi="Times New Roman" w:cs="Times New Roman"/>
          <w:b/>
          <w:color w:val="000000"/>
        </w:rPr>
        <w:t xml:space="preserve">Zdjęcie </w:t>
      </w:r>
      <w:r w:rsidR="005261DF">
        <w:rPr>
          <w:rFonts w:ascii="Times New Roman" w:hAnsi="Times New Roman" w:cs="Times New Roman"/>
          <w:b/>
          <w:color w:val="000000"/>
        </w:rPr>
        <w:t>90</w:t>
      </w:r>
      <w:r w:rsidRPr="007425AF">
        <w:rPr>
          <w:rFonts w:ascii="Times New Roman" w:hAnsi="Times New Roman" w:cs="Times New Roman"/>
          <w:b/>
          <w:color w:val="000000"/>
        </w:rPr>
        <w:t xml:space="preserve">. </w:t>
      </w:r>
      <w:r w:rsidR="009439CC" w:rsidRPr="007425AF">
        <w:rPr>
          <w:rFonts w:ascii="Times New Roman" w:hAnsi="Times New Roman" w:cs="Times New Roman"/>
          <w:b/>
          <w:color w:val="000000"/>
        </w:rPr>
        <w:t>Pojazd do pobierania próbek w trudno dostępnym terenie</w:t>
      </w:r>
    </w:p>
    <w:p w14:paraId="5868E030" w14:textId="77777777" w:rsidR="009439CC" w:rsidRPr="009439CC" w:rsidRDefault="009439CC" w:rsidP="009439CC">
      <w:pPr>
        <w:jc w:val="center"/>
        <w:rPr>
          <w:b/>
          <w:color w:val="000000"/>
        </w:rPr>
      </w:pPr>
    </w:p>
    <w:p w14:paraId="7A65CFC9" w14:textId="6784E622" w:rsidR="009439CC" w:rsidRDefault="009439CC">
      <w:pPr>
        <w:rPr>
          <w:rFonts w:ascii="Times New Roman" w:eastAsia="Times New Roman" w:hAnsi="Times New Roman" w:cs="Times New Roman"/>
          <w:b/>
          <w:bCs/>
          <w:sz w:val="24"/>
          <w:szCs w:val="24"/>
          <w:lang w:val="x-none" w:eastAsia="x-none"/>
        </w:rPr>
      </w:pPr>
      <w:r>
        <w:rPr>
          <w:rFonts w:ascii="Times New Roman" w:eastAsia="Times New Roman" w:hAnsi="Times New Roman" w:cs="Times New Roman"/>
          <w:b/>
          <w:bCs/>
          <w:sz w:val="24"/>
          <w:szCs w:val="24"/>
          <w:lang w:val="x-none" w:eastAsia="x-none"/>
        </w:rPr>
        <w:br w:type="page"/>
      </w:r>
    </w:p>
    <w:p w14:paraId="27ED8446" w14:textId="50AF28F1" w:rsidR="00895F16" w:rsidRPr="007F400A" w:rsidRDefault="00895F16" w:rsidP="00895F16">
      <w:pPr>
        <w:keepNext/>
        <w:spacing w:after="0" w:line="300" w:lineRule="atLeast"/>
        <w:ind w:left="567" w:hanging="567"/>
        <w:jc w:val="both"/>
        <w:outlineLvl w:val="0"/>
        <w:rPr>
          <w:rFonts w:ascii="Times New Roman" w:eastAsia="Times New Roman" w:hAnsi="Times New Roman" w:cs="Times New Roman"/>
          <w:b/>
          <w:bCs/>
          <w:noProof/>
          <w:sz w:val="24"/>
          <w:szCs w:val="24"/>
          <w:lang w:val="x-none" w:eastAsia="x-none"/>
        </w:rPr>
      </w:pPr>
      <w:bookmarkStart w:id="440" w:name="_Toc135935728"/>
      <w:bookmarkStart w:id="441" w:name="_Hlk134183695"/>
      <w:bookmarkStart w:id="442" w:name="_Hlk101873960"/>
      <w:r w:rsidRPr="007F400A">
        <w:rPr>
          <w:rFonts w:ascii="Times New Roman" w:eastAsia="Times New Roman" w:hAnsi="Times New Roman" w:cs="Times New Roman"/>
          <w:b/>
          <w:bCs/>
          <w:noProof/>
          <w:sz w:val="24"/>
          <w:szCs w:val="24"/>
          <w:lang w:val="x-none" w:eastAsia="x-none"/>
        </w:rPr>
        <w:lastRenderedPageBreak/>
        <w:t>VI</w:t>
      </w:r>
      <w:r w:rsidR="00990BF2" w:rsidRPr="007F400A">
        <w:rPr>
          <w:rFonts w:ascii="Times New Roman" w:eastAsia="Times New Roman" w:hAnsi="Times New Roman" w:cs="Times New Roman"/>
          <w:b/>
          <w:bCs/>
          <w:noProof/>
          <w:sz w:val="24"/>
          <w:szCs w:val="24"/>
          <w:lang w:eastAsia="x-none"/>
        </w:rPr>
        <w:t>I</w:t>
      </w:r>
      <w:r w:rsidRPr="007F400A">
        <w:rPr>
          <w:rFonts w:ascii="Times New Roman" w:eastAsia="Times New Roman" w:hAnsi="Times New Roman" w:cs="Times New Roman"/>
          <w:b/>
          <w:bCs/>
          <w:noProof/>
          <w:sz w:val="24"/>
          <w:szCs w:val="24"/>
          <w:lang w:val="x-none" w:eastAsia="x-none"/>
        </w:rPr>
        <w:t>. UPOWSZECHNIANIE INFORMACJI O ŚRODOWISKU I DZIAŁALNOŚCI INSPEKCJI OCHRONY ŚRODOWISKA</w:t>
      </w:r>
      <w:bookmarkEnd w:id="440"/>
    </w:p>
    <w:p w14:paraId="5DF83889" w14:textId="77777777" w:rsidR="00895F16" w:rsidRPr="007F400A" w:rsidRDefault="00895F16" w:rsidP="00895F16">
      <w:pPr>
        <w:spacing w:after="0" w:line="300" w:lineRule="atLeast"/>
        <w:jc w:val="both"/>
        <w:rPr>
          <w:rFonts w:ascii="Times New Roman" w:eastAsia="Times New Roman" w:hAnsi="Times New Roman" w:cs="Times New Roman"/>
          <w:noProof/>
          <w:sz w:val="24"/>
          <w:szCs w:val="24"/>
          <w:lang w:eastAsia="pl-PL"/>
        </w:rPr>
      </w:pPr>
    </w:p>
    <w:p w14:paraId="169DC813" w14:textId="17753281" w:rsidR="00895F16" w:rsidRPr="007F400A" w:rsidRDefault="00895F16" w:rsidP="00743B05">
      <w:pPr>
        <w:keepNext/>
        <w:spacing w:after="120" w:line="330" w:lineRule="atLeast"/>
        <w:outlineLvl w:val="0"/>
        <w:rPr>
          <w:rFonts w:ascii="Times New Roman" w:eastAsia="Times New Roman" w:hAnsi="Times New Roman" w:cs="Times New Roman"/>
          <w:b/>
          <w:bCs/>
          <w:sz w:val="24"/>
          <w:szCs w:val="24"/>
          <w:lang w:val="x-none" w:eastAsia="x-none"/>
        </w:rPr>
      </w:pPr>
      <w:bookmarkStart w:id="443" w:name="_Toc5878586"/>
      <w:bookmarkStart w:id="444" w:name="_Toc36732653"/>
      <w:bookmarkStart w:id="445" w:name="_Toc135935729"/>
      <w:r w:rsidRPr="007F400A">
        <w:rPr>
          <w:rFonts w:ascii="Times New Roman" w:eastAsia="Arial" w:hAnsi="Times New Roman" w:cs="Times New Roman"/>
          <w:b/>
          <w:bCs/>
          <w:sz w:val="24"/>
          <w:szCs w:val="24"/>
          <w:lang w:val="x-none" w:eastAsia="x-none"/>
        </w:rPr>
        <w:t xml:space="preserve">1. </w:t>
      </w:r>
      <w:r w:rsidR="00BE33BF">
        <w:rPr>
          <w:rFonts w:ascii="Times New Roman" w:eastAsia="Arial" w:hAnsi="Times New Roman" w:cs="Times New Roman"/>
          <w:b/>
          <w:bCs/>
          <w:sz w:val="24"/>
          <w:szCs w:val="24"/>
          <w:lang w:eastAsia="x-none"/>
        </w:rPr>
        <w:t xml:space="preserve">Wprowadzenie i </w:t>
      </w:r>
      <w:r w:rsidR="00BE33BF">
        <w:rPr>
          <w:rFonts w:ascii="Times New Roman" w:eastAsia="Times New Roman" w:hAnsi="Times New Roman" w:cs="Times New Roman"/>
          <w:b/>
          <w:bCs/>
          <w:sz w:val="24"/>
          <w:szCs w:val="24"/>
          <w:lang w:eastAsia="x-none"/>
        </w:rPr>
        <w:t>c</w:t>
      </w:r>
      <w:proofErr w:type="spellStart"/>
      <w:r w:rsidRPr="007F400A">
        <w:rPr>
          <w:rFonts w:ascii="Times New Roman" w:eastAsia="Times New Roman" w:hAnsi="Times New Roman" w:cs="Times New Roman"/>
          <w:b/>
          <w:bCs/>
          <w:sz w:val="24"/>
          <w:szCs w:val="24"/>
          <w:lang w:val="x-none" w:eastAsia="x-none"/>
        </w:rPr>
        <w:t>harakterystyka</w:t>
      </w:r>
      <w:proofErr w:type="spellEnd"/>
      <w:r w:rsidRPr="007F400A">
        <w:rPr>
          <w:rFonts w:ascii="Times New Roman" w:eastAsia="Times New Roman" w:hAnsi="Times New Roman" w:cs="Times New Roman"/>
          <w:b/>
          <w:bCs/>
          <w:sz w:val="24"/>
          <w:szCs w:val="24"/>
          <w:lang w:val="x-none" w:eastAsia="x-none"/>
        </w:rPr>
        <w:t xml:space="preserve"> zagadnienia</w:t>
      </w:r>
      <w:bookmarkEnd w:id="443"/>
      <w:bookmarkEnd w:id="444"/>
      <w:bookmarkEnd w:id="445"/>
    </w:p>
    <w:p w14:paraId="4C330F72" w14:textId="3717F032" w:rsidR="00272B18" w:rsidRDefault="00272B18" w:rsidP="005D46E7">
      <w:pPr>
        <w:shd w:val="clear" w:color="auto" w:fill="FFFFFF"/>
        <w:spacing w:after="0" w:line="300" w:lineRule="atLeast"/>
        <w:ind w:firstLine="567"/>
        <w:jc w:val="both"/>
        <w:rPr>
          <w:rFonts w:ascii="Times New Roman" w:hAnsi="Times New Roman" w:cs="Times New Roman"/>
          <w:sz w:val="24"/>
          <w:szCs w:val="24"/>
        </w:rPr>
      </w:pPr>
      <w:r w:rsidRPr="00FB7D65">
        <w:rPr>
          <w:rFonts w:ascii="Times New Roman" w:hAnsi="Times New Roman" w:cs="Times New Roman"/>
          <w:sz w:val="24"/>
          <w:szCs w:val="24"/>
        </w:rPr>
        <w:t>Art. 28 ust. 1 ustawy z dnia 20 lipca 1991 r. o Inspekcji Ochrony Środowiska</w:t>
      </w:r>
      <w:r w:rsidR="00533F1E">
        <w:rPr>
          <w:rStyle w:val="Odwoanieprzypisudolnego"/>
          <w:rFonts w:cs="Times New Roman"/>
          <w:szCs w:val="24"/>
        </w:rPr>
        <w:footnoteReference w:id="115"/>
      </w:r>
      <w:r w:rsidRPr="00FB7D65">
        <w:rPr>
          <w:rFonts w:ascii="Times New Roman" w:hAnsi="Times New Roman" w:cs="Times New Roman"/>
          <w:sz w:val="24"/>
          <w:szCs w:val="24"/>
        </w:rPr>
        <w:t xml:space="preserve">  zobowiązuje Głównego Inspektora Ochrony Środowiska do zapewnienia informowania społeczeństwa o stanie środowiska oraz nieodpłatnego udostępniania organom administracji publicznej informacji określonych w przepisach prawa.</w:t>
      </w:r>
    </w:p>
    <w:p w14:paraId="5DE4549D" w14:textId="77777777" w:rsidR="00272B18" w:rsidRPr="00FB7D65" w:rsidRDefault="00272B18" w:rsidP="005D46E7">
      <w:pPr>
        <w:shd w:val="clear" w:color="auto" w:fill="FFFFFF"/>
        <w:spacing w:after="0" w:line="300" w:lineRule="atLeast"/>
        <w:ind w:firstLine="567"/>
        <w:jc w:val="both"/>
        <w:rPr>
          <w:rFonts w:ascii="Times New Roman" w:hAnsi="Times New Roman" w:cs="Times New Roman"/>
          <w:sz w:val="24"/>
          <w:szCs w:val="24"/>
        </w:rPr>
      </w:pPr>
      <w:r w:rsidRPr="00FB7D65">
        <w:rPr>
          <w:rFonts w:ascii="Times New Roman" w:hAnsi="Times New Roman" w:cs="Times New Roman"/>
          <w:sz w:val="24"/>
          <w:szCs w:val="24"/>
        </w:rPr>
        <w:t xml:space="preserve">Dane i informacje dotyczące stanu środowiska uzyskane w ramach realizacji programów państwowego monitoringu środowiska rozpowszechniane są zarówno na indywidualny wniosek, jak i w postaci raportów, biuletynów, komunikatów oraz usług internetowych, opracowywanych i rozpowszechnianych przez organy Inspekcji Ochrony Środowiska.  </w:t>
      </w:r>
    </w:p>
    <w:p w14:paraId="1B8F00D3" w14:textId="3E15EAD9" w:rsidR="00272B18" w:rsidRDefault="00272B18" w:rsidP="005D46E7">
      <w:pPr>
        <w:shd w:val="clear" w:color="auto" w:fill="FFFFFF"/>
        <w:spacing w:after="0" w:line="300" w:lineRule="atLeast"/>
        <w:ind w:firstLine="567"/>
        <w:jc w:val="both"/>
        <w:rPr>
          <w:rFonts w:ascii="Times New Roman" w:eastAsia="Times New Roman" w:hAnsi="Times New Roman" w:cs="Times New Roman"/>
          <w:sz w:val="24"/>
          <w:szCs w:val="24"/>
          <w:lang w:eastAsia="pl-PL"/>
        </w:rPr>
      </w:pPr>
      <w:r w:rsidRPr="00FB7D65">
        <w:rPr>
          <w:rFonts w:ascii="Times New Roman" w:eastAsia="Times New Roman" w:hAnsi="Times New Roman" w:cs="Times New Roman"/>
          <w:sz w:val="24"/>
          <w:szCs w:val="24"/>
          <w:lang w:eastAsia="pl-PL"/>
        </w:rPr>
        <w:t>W 2022 roku, zgodnie z ustawami o dostępie do informacji publicznej i o udostępnianiu informacji o środowisku i jego ochronie</w:t>
      </w:r>
      <w:r w:rsidRPr="00FB7D65">
        <w:rPr>
          <w:rFonts w:ascii="Times New Roman" w:eastAsia="Times New Roman" w:hAnsi="Times New Roman" w:cs="Times New Roman"/>
          <w:sz w:val="24"/>
          <w:szCs w:val="24"/>
          <w:vertAlign w:val="superscript"/>
          <w:lang w:eastAsia="pl-PL"/>
        </w:rPr>
        <w:footnoteReference w:id="116"/>
      </w:r>
      <w:r w:rsidRPr="00FB7D65">
        <w:rPr>
          <w:rFonts w:ascii="Times New Roman" w:eastAsia="Times New Roman" w:hAnsi="Times New Roman" w:cs="Times New Roman"/>
          <w:sz w:val="24"/>
          <w:szCs w:val="24"/>
          <w:lang w:eastAsia="pl-PL"/>
        </w:rPr>
        <w:t xml:space="preserve"> organy Inspekcji dostarczyły społeczeństwu, organom administracji publicznej, uczelniom, organizacjom ekologicznym i innym zainteresowanym podmiotom informacji o działalności Inspekcji oraz o środowisku, w tym wyniki badań i obserwacji oraz oceny stanu środowiska, jak również rezultaty kontroli przestrzegania przepisów przez podmioty korzystające ze środowiska. Popularyzowano również działania podejmowane przez organy Inspekcji podczas różnego rodzaju spotkań, konferencji i imprez masowych.</w:t>
      </w:r>
    </w:p>
    <w:p w14:paraId="3620A1C7" w14:textId="7B280CE5" w:rsidR="00BE33BF" w:rsidRPr="00BB134A" w:rsidRDefault="0004284F" w:rsidP="00BB134A">
      <w:pPr>
        <w:spacing w:line="300" w:lineRule="atLeast"/>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 roku 2022, z punktu widzenia </w:t>
      </w:r>
      <w:r w:rsidR="00BE33BF">
        <w:rPr>
          <w:rFonts w:ascii="Times New Roman" w:hAnsi="Times New Roman" w:cs="Times New Roman"/>
          <w:color w:val="000000" w:themeColor="text1"/>
          <w:sz w:val="24"/>
          <w:szCs w:val="24"/>
        </w:rPr>
        <w:t xml:space="preserve">działań związanych z </w:t>
      </w:r>
      <w:r>
        <w:rPr>
          <w:rFonts w:ascii="Times New Roman" w:hAnsi="Times New Roman" w:cs="Times New Roman"/>
          <w:color w:val="000000" w:themeColor="text1"/>
          <w:sz w:val="24"/>
          <w:szCs w:val="24"/>
        </w:rPr>
        <w:t xml:space="preserve">upowszechnianiem informacji </w:t>
      </w:r>
      <w:r w:rsidR="005A5807">
        <w:rPr>
          <w:rFonts w:ascii="Times New Roman" w:hAnsi="Times New Roman" w:cs="Times New Roman"/>
          <w:color w:val="000000" w:themeColor="text1"/>
          <w:sz w:val="24"/>
          <w:szCs w:val="24"/>
        </w:rPr>
        <w:br/>
      </w:r>
      <w:r>
        <w:rPr>
          <w:rFonts w:ascii="Times New Roman" w:hAnsi="Times New Roman" w:cs="Times New Roman"/>
          <w:color w:val="000000" w:themeColor="text1"/>
          <w:sz w:val="24"/>
          <w:szCs w:val="24"/>
        </w:rPr>
        <w:t xml:space="preserve">o działalności Inspekcji Ochrony Środowiska istotne znaczenie miało powołanie, z początkiem lipca 2022 r., Rzecznika prasowego Głównego Inspektoratu Ochrony Środowiska </w:t>
      </w:r>
      <w:r w:rsidR="00BF6953">
        <w:rPr>
          <w:rFonts w:ascii="Times New Roman" w:hAnsi="Times New Roman" w:cs="Times New Roman"/>
          <w:color w:val="000000" w:themeColor="text1"/>
          <w:sz w:val="24"/>
          <w:szCs w:val="24"/>
        </w:rPr>
        <w:t xml:space="preserve">oraz </w:t>
      </w:r>
      <w:r w:rsidR="00CA2046">
        <w:rPr>
          <w:rFonts w:ascii="Times New Roman" w:hAnsi="Times New Roman" w:cs="Times New Roman"/>
          <w:color w:val="000000" w:themeColor="text1"/>
          <w:sz w:val="24"/>
          <w:szCs w:val="24"/>
        </w:rPr>
        <w:t xml:space="preserve">rozbudowanie </w:t>
      </w:r>
      <w:r>
        <w:rPr>
          <w:rFonts w:ascii="Times New Roman" w:hAnsi="Times New Roman" w:cs="Times New Roman"/>
          <w:color w:val="000000" w:themeColor="text1"/>
          <w:sz w:val="24"/>
          <w:szCs w:val="24"/>
        </w:rPr>
        <w:t xml:space="preserve">w strukturach </w:t>
      </w:r>
      <w:r w:rsidR="00574231">
        <w:rPr>
          <w:rFonts w:ascii="Times New Roman" w:hAnsi="Times New Roman" w:cs="Times New Roman"/>
          <w:color w:val="000000" w:themeColor="text1"/>
          <w:sz w:val="24"/>
          <w:szCs w:val="24"/>
        </w:rPr>
        <w:t xml:space="preserve">GIOŚ </w:t>
      </w:r>
      <w:r>
        <w:rPr>
          <w:rFonts w:ascii="Times New Roman" w:hAnsi="Times New Roman" w:cs="Times New Roman"/>
          <w:color w:val="000000" w:themeColor="text1"/>
          <w:sz w:val="24"/>
          <w:szCs w:val="24"/>
        </w:rPr>
        <w:t xml:space="preserve">Zespołu ds. </w:t>
      </w:r>
      <w:r w:rsidR="005A5807">
        <w:rPr>
          <w:rFonts w:ascii="Times New Roman" w:hAnsi="Times New Roman" w:cs="Times New Roman"/>
          <w:color w:val="000000" w:themeColor="text1"/>
          <w:sz w:val="24"/>
          <w:szCs w:val="24"/>
        </w:rPr>
        <w:t>p</w:t>
      </w:r>
      <w:r>
        <w:rPr>
          <w:rFonts w:ascii="Times New Roman" w:hAnsi="Times New Roman" w:cs="Times New Roman"/>
          <w:color w:val="000000" w:themeColor="text1"/>
          <w:sz w:val="24"/>
          <w:szCs w:val="24"/>
        </w:rPr>
        <w:t xml:space="preserve">romocji i </w:t>
      </w:r>
      <w:r w:rsidR="005A5807">
        <w:rPr>
          <w:rFonts w:ascii="Times New Roman" w:hAnsi="Times New Roman" w:cs="Times New Roman"/>
          <w:color w:val="000000" w:themeColor="text1"/>
          <w:sz w:val="24"/>
          <w:szCs w:val="24"/>
        </w:rPr>
        <w:t>k</w:t>
      </w:r>
      <w:r>
        <w:rPr>
          <w:rFonts w:ascii="Times New Roman" w:hAnsi="Times New Roman" w:cs="Times New Roman"/>
          <w:color w:val="000000" w:themeColor="text1"/>
          <w:sz w:val="24"/>
          <w:szCs w:val="24"/>
        </w:rPr>
        <w:t>omunikacji</w:t>
      </w:r>
      <w:r w:rsidR="005A5807">
        <w:rPr>
          <w:rFonts w:ascii="Times New Roman" w:hAnsi="Times New Roman" w:cs="Times New Roman"/>
          <w:color w:val="000000" w:themeColor="text1"/>
          <w:sz w:val="24"/>
          <w:szCs w:val="24"/>
        </w:rPr>
        <w:t xml:space="preserve">, który wspiera Rzecznika prasowego w realizacji polityki informacyjno-promocyjnej GIOŚ. </w:t>
      </w:r>
      <w:r w:rsidR="00BB134A">
        <w:rPr>
          <w:rFonts w:ascii="Times New Roman" w:hAnsi="Times New Roman" w:cs="Times New Roman"/>
          <w:color w:val="000000" w:themeColor="text1"/>
          <w:sz w:val="24"/>
          <w:szCs w:val="24"/>
        </w:rPr>
        <w:t xml:space="preserve">Działania te pozwoliły na </w:t>
      </w:r>
      <w:r w:rsidR="00BB134A">
        <w:rPr>
          <w:rFonts w:ascii="Times New Roman" w:hAnsi="Times New Roman" w:cs="Times New Roman"/>
          <w:sz w:val="24"/>
          <w:szCs w:val="24"/>
        </w:rPr>
        <w:t>z</w:t>
      </w:r>
      <w:r w:rsidR="005D46E7" w:rsidRPr="00BB134A">
        <w:rPr>
          <w:rFonts w:ascii="Times New Roman" w:hAnsi="Times New Roman" w:cs="Times New Roman"/>
          <w:sz w:val="24"/>
          <w:szCs w:val="24"/>
        </w:rPr>
        <w:t>naczne zintensyfikowan</w:t>
      </w:r>
      <w:r w:rsidR="00BB134A">
        <w:rPr>
          <w:rFonts w:ascii="Times New Roman" w:hAnsi="Times New Roman" w:cs="Times New Roman"/>
          <w:sz w:val="24"/>
          <w:szCs w:val="24"/>
        </w:rPr>
        <w:t>ie</w:t>
      </w:r>
      <w:r w:rsidR="005D46E7" w:rsidRPr="00BB134A">
        <w:rPr>
          <w:rFonts w:ascii="Times New Roman" w:hAnsi="Times New Roman" w:cs="Times New Roman"/>
          <w:sz w:val="24"/>
          <w:szCs w:val="24"/>
        </w:rPr>
        <w:t xml:space="preserve"> współprac</w:t>
      </w:r>
      <w:r w:rsidR="00BB134A">
        <w:rPr>
          <w:rFonts w:ascii="Times New Roman" w:hAnsi="Times New Roman" w:cs="Times New Roman"/>
          <w:sz w:val="24"/>
          <w:szCs w:val="24"/>
        </w:rPr>
        <w:t>y</w:t>
      </w:r>
      <w:r w:rsidR="005D46E7" w:rsidRPr="00BB134A">
        <w:rPr>
          <w:rFonts w:ascii="Times New Roman" w:hAnsi="Times New Roman" w:cs="Times New Roman"/>
          <w:sz w:val="24"/>
          <w:szCs w:val="24"/>
        </w:rPr>
        <w:t xml:space="preserve"> z rzecznikami prasowymi w</w:t>
      </w:r>
      <w:r w:rsidR="00BB134A">
        <w:rPr>
          <w:rFonts w:ascii="Times New Roman" w:hAnsi="Times New Roman" w:cs="Times New Roman"/>
          <w:sz w:val="24"/>
          <w:szCs w:val="24"/>
        </w:rPr>
        <w:t xml:space="preserve">ojewódzkich </w:t>
      </w:r>
      <w:r w:rsidR="005D46E7" w:rsidRPr="00BB134A">
        <w:rPr>
          <w:rFonts w:ascii="Times New Roman" w:hAnsi="Times New Roman" w:cs="Times New Roman"/>
          <w:sz w:val="24"/>
          <w:szCs w:val="24"/>
        </w:rPr>
        <w:t>i</w:t>
      </w:r>
      <w:r w:rsidR="00BB134A">
        <w:rPr>
          <w:rFonts w:ascii="Times New Roman" w:hAnsi="Times New Roman" w:cs="Times New Roman"/>
          <w:sz w:val="24"/>
          <w:szCs w:val="24"/>
        </w:rPr>
        <w:t xml:space="preserve">nspektoratów </w:t>
      </w:r>
      <w:r w:rsidR="005D46E7" w:rsidRPr="00BB134A">
        <w:rPr>
          <w:rFonts w:ascii="Times New Roman" w:hAnsi="Times New Roman" w:cs="Times New Roman"/>
          <w:sz w:val="24"/>
          <w:szCs w:val="24"/>
        </w:rPr>
        <w:t>o</w:t>
      </w:r>
      <w:r w:rsidR="00BB134A">
        <w:rPr>
          <w:rFonts w:ascii="Times New Roman" w:hAnsi="Times New Roman" w:cs="Times New Roman"/>
          <w:sz w:val="24"/>
          <w:szCs w:val="24"/>
        </w:rPr>
        <w:t xml:space="preserve">chrony </w:t>
      </w:r>
      <w:r w:rsidR="005D46E7" w:rsidRPr="00BB134A">
        <w:rPr>
          <w:rFonts w:ascii="Times New Roman" w:hAnsi="Times New Roman" w:cs="Times New Roman"/>
          <w:sz w:val="24"/>
          <w:szCs w:val="24"/>
        </w:rPr>
        <w:t>ś</w:t>
      </w:r>
      <w:r w:rsidR="00BB134A">
        <w:rPr>
          <w:rFonts w:ascii="Times New Roman" w:hAnsi="Times New Roman" w:cs="Times New Roman"/>
          <w:sz w:val="24"/>
          <w:szCs w:val="24"/>
        </w:rPr>
        <w:t xml:space="preserve">rodowiska, poprzez organizowanie </w:t>
      </w:r>
      <w:r w:rsidR="005D46E7" w:rsidRPr="00BB134A">
        <w:rPr>
          <w:rFonts w:ascii="Times New Roman" w:hAnsi="Times New Roman" w:cs="Times New Roman"/>
          <w:sz w:val="24"/>
          <w:szCs w:val="24"/>
        </w:rPr>
        <w:t>cykliczn</w:t>
      </w:r>
      <w:r w:rsidR="00BB134A">
        <w:rPr>
          <w:rFonts w:ascii="Times New Roman" w:hAnsi="Times New Roman" w:cs="Times New Roman"/>
          <w:sz w:val="24"/>
          <w:szCs w:val="24"/>
        </w:rPr>
        <w:t>ych</w:t>
      </w:r>
      <w:r w:rsidR="005D46E7" w:rsidRPr="00BB134A">
        <w:rPr>
          <w:rFonts w:ascii="Times New Roman" w:hAnsi="Times New Roman" w:cs="Times New Roman"/>
          <w:sz w:val="24"/>
          <w:szCs w:val="24"/>
        </w:rPr>
        <w:t xml:space="preserve"> spotka</w:t>
      </w:r>
      <w:r w:rsidR="00BB134A">
        <w:rPr>
          <w:rFonts w:ascii="Times New Roman" w:hAnsi="Times New Roman" w:cs="Times New Roman"/>
          <w:sz w:val="24"/>
          <w:szCs w:val="24"/>
        </w:rPr>
        <w:t>ń</w:t>
      </w:r>
      <w:r w:rsidR="005D46E7" w:rsidRPr="00BB134A">
        <w:rPr>
          <w:rFonts w:ascii="Times New Roman" w:hAnsi="Times New Roman" w:cs="Times New Roman"/>
          <w:sz w:val="24"/>
          <w:szCs w:val="24"/>
        </w:rPr>
        <w:t xml:space="preserve"> i szkole</w:t>
      </w:r>
      <w:r w:rsidR="00BB134A">
        <w:rPr>
          <w:rFonts w:ascii="Times New Roman" w:hAnsi="Times New Roman" w:cs="Times New Roman"/>
          <w:sz w:val="24"/>
          <w:szCs w:val="24"/>
        </w:rPr>
        <w:t>ń</w:t>
      </w:r>
      <w:r w:rsidR="005D46E7" w:rsidRPr="00BB134A">
        <w:rPr>
          <w:rFonts w:ascii="Times New Roman" w:hAnsi="Times New Roman" w:cs="Times New Roman"/>
          <w:sz w:val="24"/>
          <w:szCs w:val="24"/>
        </w:rPr>
        <w:t xml:space="preserve"> </w:t>
      </w:r>
      <w:r w:rsidR="00CA2046">
        <w:rPr>
          <w:rFonts w:ascii="Times New Roman" w:hAnsi="Times New Roman" w:cs="Times New Roman"/>
          <w:sz w:val="24"/>
          <w:szCs w:val="24"/>
        </w:rPr>
        <w:br/>
      </w:r>
      <w:r w:rsidR="005D46E7" w:rsidRPr="00BB134A">
        <w:rPr>
          <w:rFonts w:ascii="Times New Roman" w:hAnsi="Times New Roman" w:cs="Times New Roman"/>
          <w:sz w:val="24"/>
          <w:szCs w:val="24"/>
        </w:rPr>
        <w:t>w celu wypracowania wspólnej polityki informacyjnej dotyczącej Inspekc</w:t>
      </w:r>
      <w:r w:rsidR="00F72443">
        <w:rPr>
          <w:rFonts w:ascii="Times New Roman" w:hAnsi="Times New Roman" w:cs="Times New Roman"/>
          <w:color w:val="000000" w:themeColor="text1"/>
          <w:sz w:val="24"/>
          <w:szCs w:val="24"/>
        </w:rPr>
        <w:t xml:space="preserve">ji. </w:t>
      </w:r>
      <w:r w:rsidRPr="00BB134A">
        <w:rPr>
          <w:rFonts w:ascii="Times New Roman" w:hAnsi="Times New Roman" w:cs="Times New Roman"/>
          <w:color w:val="000000" w:themeColor="text1"/>
          <w:sz w:val="24"/>
          <w:szCs w:val="24"/>
        </w:rPr>
        <w:t xml:space="preserve"> </w:t>
      </w:r>
    </w:p>
    <w:p w14:paraId="4BA92136" w14:textId="6D05F797" w:rsidR="00275AFB" w:rsidRPr="005A5807" w:rsidRDefault="00275AFB" w:rsidP="009B45DA">
      <w:pPr>
        <w:spacing w:after="60" w:line="300" w:lineRule="atLeast"/>
        <w:ind w:firstLine="567"/>
        <w:jc w:val="both"/>
        <w:rPr>
          <w:rFonts w:ascii="Times New Roman" w:hAnsi="Times New Roman" w:cs="Times New Roman"/>
          <w:color w:val="000000" w:themeColor="text1"/>
          <w:sz w:val="24"/>
          <w:szCs w:val="24"/>
        </w:rPr>
      </w:pPr>
      <w:r w:rsidRPr="002F55A9">
        <w:rPr>
          <w:rFonts w:ascii="Times New Roman" w:hAnsi="Times New Roman" w:cs="Times New Roman"/>
          <w:color w:val="000000" w:themeColor="text1"/>
          <w:sz w:val="24"/>
          <w:szCs w:val="24"/>
        </w:rPr>
        <w:t xml:space="preserve">Ponadto, w 2022 r. kontynuowane były prace związane z projektem </w:t>
      </w:r>
      <w:r w:rsidRPr="005A5807">
        <w:rPr>
          <w:rFonts w:ascii="Times New Roman" w:hAnsi="Times New Roman" w:cs="Times New Roman"/>
          <w:i/>
          <w:color w:val="000000" w:themeColor="text1"/>
          <w:sz w:val="24"/>
          <w:szCs w:val="24"/>
        </w:rPr>
        <w:t>„Droga do czystego środowiska – program edukacyjno-promocyjny na rzecz wzmocnienia świadomości społecznej korzystania ze środowiska z poszanowaniem ogólnie przyjętych zasad i norm”</w:t>
      </w:r>
      <w:r w:rsidRPr="002F55A9">
        <w:rPr>
          <w:rFonts w:ascii="Times New Roman" w:hAnsi="Times New Roman" w:cs="Times New Roman"/>
          <w:color w:val="000000" w:themeColor="text1"/>
          <w:sz w:val="24"/>
          <w:szCs w:val="24"/>
        </w:rPr>
        <w:t xml:space="preserve">, </w:t>
      </w:r>
      <w:r w:rsidR="005A5807" w:rsidRPr="005A5807">
        <w:rPr>
          <w:rFonts w:ascii="Times New Roman" w:hAnsi="Times New Roman" w:cs="Times New Roman"/>
        </w:rPr>
        <w:t>finansowan</w:t>
      </w:r>
      <w:r w:rsidR="005A5807">
        <w:rPr>
          <w:rFonts w:ascii="Times New Roman" w:hAnsi="Times New Roman" w:cs="Times New Roman"/>
        </w:rPr>
        <w:t>ym</w:t>
      </w:r>
      <w:r w:rsidR="005A5807" w:rsidRPr="005A5807">
        <w:rPr>
          <w:rFonts w:ascii="Times New Roman" w:hAnsi="Times New Roman" w:cs="Times New Roman"/>
        </w:rPr>
        <w:t xml:space="preserve"> ze środków Unii Europejskiej w ramach Programu Operacyjnego Infrastruktura i Środowisko 2014-2020 (</w:t>
      </w:r>
      <w:proofErr w:type="spellStart"/>
      <w:r w:rsidR="005A5807" w:rsidRPr="005A5807">
        <w:rPr>
          <w:rFonts w:ascii="Times New Roman" w:hAnsi="Times New Roman" w:cs="Times New Roman"/>
        </w:rPr>
        <w:t>POIiŚ</w:t>
      </w:r>
      <w:proofErr w:type="spellEnd"/>
      <w:r w:rsidR="005A5807" w:rsidRPr="005A5807">
        <w:rPr>
          <w:rFonts w:ascii="Times New Roman" w:hAnsi="Times New Roman" w:cs="Times New Roman"/>
        </w:rPr>
        <w:t>), II Oś Priorytetowa Ochrona Środowiska, w tym adaptacja do zmian klimatu, Działanie 2.4: Ochrona przyrody i edukacja ekologiczna</w:t>
      </w:r>
      <w:r w:rsidRPr="005A5807">
        <w:rPr>
          <w:rFonts w:ascii="Times New Roman" w:hAnsi="Times New Roman" w:cs="Times New Roman"/>
          <w:color w:val="000000" w:themeColor="text1"/>
          <w:sz w:val="24"/>
          <w:szCs w:val="24"/>
        </w:rPr>
        <w:t xml:space="preserve">.  </w:t>
      </w:r>
    </w:p>
    <w:p w14:paraId="71461492" w14:textId="71DD618A" w:rsidR="00275AFB" w:rsidRDefault="00275AFB" w:rsidP="005D46E7">
      <w:pPr>
        <w:spacing w:after="0" w:line="300" w:lineRule="atLeast"/>
        <w:jc w:val="both"/>
        <w:rPr>
          <w:rFonts w:ascii="Times New Roman" w:eastAsia="Times New Roman" w:hAnsi="Times New Roman" w:cs="Times New Roman"/>
          <w:color w:val="000000"/>
          <w:sz w:val="24"/>
          <w:szCs w:val="24"/>
          <w:lang w:eastAsia="pl-PL"/>
        </w:rPr>
      </w:pPr>
      <w:r w:rsidRPr="00C42E60">
        <w:rPr>
          <w:rFonts w:ascii="Times New Roman" w:eastAsia="Times New Roman" w:hAnsi="Times New Roman" w:cs="Times New Roman"/>
          <w:color w:val="000000"/>
          <w:sz w:val="24"/>
          <w:szCs w:val="24"/>
          <w:lang w:eastAsia="pl-PL"/>
        </w:rPr>
        <w:t>W 2022 r</w:t>
      </w:r>
      <w:r w:rsidR="00743B05">
        <w:rPr>
          <w:rFonts w:ascii="Times New Roman" w:eastAsia="Times New Roman" w:hAnsi="Times New Roman" w:cs="Times New Roman"/>
          <w:color w:val="000000"/>
          <w:sz w:val="24"/>
          <w:szCs w:val="24"/>
          <w:lang w:eastAsia="pl-PL"/>
        </w:rPr>
        <w:t xml:space="preserve">oku, </w:t>
      </w:r>
      <w:r>
        <w:rPr>
          <w:rFonts w:ascii="Times New Roman" w:eastAsia="Times New Roman" w:hAnsi="Times New Roman" w:cs="Times New Roman"/>
          <w:color w:val="000000"/>
          <w:sz w:val="24"/>
          <w:szCs w:val="24"/>
          <w:lang w:eastAsia="pl-PL"/>
        </w:rPr>
        <w:t xml:space="preserve">w ramach projektu: </w:t>
      </w:r>
    </w:p>
    <w:p w14:paraId="4FC69BA5" w14:textId="77777777" w:rsidR="00811FB4" w:rsidRPr="00B130A7" w:rsidRDefault="00811FB4" w:rsidP="00811FB4">
      <w:pPr>
        <w:pStyle w:val="Bezodstpw"/>
        <w:numPr>
          <w:ilvl w:val="0"/>
          <w:numId w:val="350"/>
        </w:numPr>
        <w:spacing w:line="300" w:lineRule="atLeast"/>
        <w:ind w:left="851" w:hanging="567"/>
        <w:jc w:val="both"/>
        <w:rPr>
          <w:rFonts w:ascii="Times New Roman" w:hAnsi="Times New Roman"/>
          <w:sz w:val="24"/>
          <w:szCs w:val="24"/>
        </w:rPr>
      </w:pPr>
      <w:r w:rsidRPr="00B130A7">
        <w:rPr>
          <w:rFonts w:ascii="Times New Roman" w:hAnsi="Times New Roman"/>
          <w:sz w:val="24"/>
          <w:szCs w:val="24"/>
        </w:rPr>
        <w:t>zorganizowano wydarzenie otwierające kampanię:</w:t>
      </w:r>
    </w:p>
    <w:p w14:paraId="27A71468" w14:textId="72109AB3" w:rsidR="00811FB4" w:rsidRDefault="00811FB4" w:rsidP="00811FB4">
      <w:pPr>
        <w:pStyle w:val="Bezodstpw"/>
        <w:spacing w:line="300" w:lineRule="atLeast"/>
        <w:ind w:left="709"/>
        <w:jc w:val="both"/>
        <w:rPr>
          <w:rFonts w:ascii="Times New Roman" w:hAnsi="Times New Roman"/>
          <w:sz w:val="24"/>
          <w:szCs w:val="24"/>
        </w:rPr>
      </w:pPr>
      <w:r w:rsidRPr="00B130A7">
        <w:rPr>
          <w:rFonts w:ascii="Times New Roman" w:hAnsi="Times New Roman"/>
          <w:sz w:val="24"/>
          <w:szCs w:val="24"/>
        </w:rPr>
        <w:t>28 lutego 2022 r. – odbyło się wydarzenie otwierające kampanię pt. „Dzień z inspekcją ochrony środowiska”</w:t>
      </w:r>
      <w:r>
        <w:rPr>
          <w:rFonts w:ascii="Times New Roman" w:hAnsi="Times New Roman"/>
          <w:sz w:val="24"/>
          <w:szCs w:val="24"/>
        </w:rPr>
        <w:t>;</w:t>
      </w:r>
    </w:p>
    <w:p w14:paraId="35EBDBC0" w14:textId="3508A4CD" w:rsidR="00B130A7" w:rsidRPr="00B130A7" w:rsidRDefault="00B130A7" w:rsidP="00D34F97">
      <w:pPr>
        <w:pStyle w:val="Bezodstpw"/>
        <w:numPr>
          <w:ilvl w:val="0"/>
          <w:numId w:val="350"/>
        </w:numPr>
        <w:spacing w:line="300" w:lineRule="atLeast"/>
        <w:ind w:left="709" w:hanging="425"/>
        <w:jc w:val="both"/>
        <w:rPr>
          <w:rFonts w:ascii="Times New Roman" w:hAnsi="Times New Roman"/>
          <w:sz w:val="24"/>
          <w:szCs w:val="24"/>
        </w:rPr>
      </w:pPr>
      <w:r w:rsidRPr="00B130A7">
        <w:rPr>
          <w:rFonts w:ascii="Times New Roman" w:hAnsi="Times New Roman"/>
          <w:sz w:val="24"/>
          <w:szCs w:val="24"/>
        </w:rPr>
        <w:t xml:space="preserve">wyprodukowano 12 edukacyjnych filmów animowanych, pod wspólnym tytułem „Razem do czystego środowiska”, skierowanych do dzieci i wyświetlanych na profilu GIOŚ YouTube od lutego 2022 r. do stycznia 2023 r. Bohaterami cyklu są dzieci, które </w:t>
      </w:r>
      <w:r w:rsidRPr="00B130A7">
        <w:rPr>
          <w:rFonts w:ascii="Times New Roman" w:hAnsi="Times New Roman"/>
          <w:sz w:val="24"/>
          <w:szCs w:val="24"/>
        </w:rPr>
        <w:lastRenderedPageBreak/>
        <w:t>razem z Inspektorem Oskarem Środowiskowym podróżują dronem na kolejne misje, poznają</w:t>
      </w:r>
      <w:r w:rsidR="00743B05">
        <w:rPr>
          <w:rFonts w:ascii="Times New Roman" w:hAnsi="Times New Roman"/>
          <w:sz w:val="24"/>
          <w:szCs w:val="24"/>
        </w:rPr>
        <w:t>c</w:t>
      </w:r>
      <w:r w:rsidRPr="00B130A7">
        <w:rPr>
          <w:rFonts w:ascii="Times New Roman" w:hAnsi="Times New Roman"/>
          <w:sz w:val="24"/>
          <w:szCs w:val="24"/>
        </w:rPr>
        <w:t xml:space="preserve"> zagadnienia ważne dla ochrony środowiska</w:t>
      </w:r>
      <w:r w:rsidR="00743B05">
        <w:rPr>
          <w:rFonts w:ascii="Times New Roman" w:hAnsi="Times New Roman"/>
          <w:sz w:val="24"/>
          <w:szCs w:val="24"/>
        </w:rPr>
        <w:t>.</w:t>
      </w:r>
    </w:p>
    <w:p w14:paraId="38EDF4D4" w14:textId="020BB4D3" w:rsidR="00B130A7" w:rsidRPr="00B130A7" w:rsidRDefault="00B130A7" w:rsidP="005D46E7">
      <w:pPr>
        <w:pStyle w:val="Bezodstpw"/>
        <w:spacing w:line="300" w:lineRule="atLeast"/>
        <w:ind w:left="709"/>
        <w:jc w:val="both"/>
        <w:rPr>
          <w:rFonts w:ascii="Times New Roman" w:hAnsi="Times New Roman"/>
          <w:sz w:val="24"/>
          <w:szCs w:val="24"/>
        </w:rPr>
      </w:pPr>
      <w:r w:rsidRPr="00B130A7">
        <w:rPr>
          <w:rFonts w:ascii="Times New Roman" w:hAnsi="Times New Roman"/>
          <w:sz w:val="24"/>
          <w:szCs w:val="24"/>
        </w:rPr>
        <w:t xml:space="preserve">Ponadto filmy zostały wykorzystane przez GIOŚ w innych, </w:t>
      </w:r>
      <w:proofErr w:type="spellStart"/>
      <w:r w:rsidRPr="00B130A7">
        <w:rPr>
          <w:rFonts w:ascii="Times New Roman" w:hAnsi="Times New Roman"/>
          <w:sz w:val="24"/>
          <w:szCs w:val="24"/>
        </w:rPr>
        <w:t>pozaprojektowych</w:t>
      </w:r>
      <w:proofErr w:type="spellEnd"/>
      <w:r w:rsidRPr="00B130A7">
        <w:rPr>
          <w:rFonts w:ascii="Times New Roman" w:hAnsi="Times New Roman"/>
          <w:sz w:val="24"/>
          <w:szCs w:val="24"/>
        </w:rPr>
        <w:t xml:space="preserve"> działaniach informacyjno-edukacyjnych realizowanych dla dzieci w grudniu 2022 r., obejmujących </w:t>
      </w:r>
      <w:r w:rsidR="0080344E">
        <w:rPr>
          <w:rFonts w:ascii="Times New Roman" w:hAnsi="Times New Roman"/>
          <w:sz w:val="24"/>
          <w:szCs w:val="24"/>
        </w:rPr>
        <w:t xml:space="preserve">m.in. </w:t>
      </w:r>
      <w:r w:rsidRPr="00B130A7">
        <w:rPr>
          <w:rFonts w:ascii="Times New Roman" w:hAnsi="Times New Roman"/>
          <w:sz w:val="24"/>
          <w:szCs w:val="24"/>
        </w:rPr>
        <w:t xml:space="preserve">warsztaty w dziesięciu lokalizacjach Centralnego Laboratorium Badawczego GIOŚ na terenie całego kraju, tj. w Zielonej Górze, Warszawie, Katowicach, Gdańsku, Słupsku, Rzeszowie, Szczecinie, Bydgoszczy, Kielcach </w:t>
      </w:r>
      <w:r w:rsidR="00743B05">
        <w:rPr>
          <w:rFonts w:ascii="Times New Roman" w:hAnsi="Times New Roman"/>
          <w:sz w:val="24"/>
          <w:szCs w:val="24"/>
        </w:rPr>
        <w:br/>
      </w:r>
      <w:r w:rsidRPr="00B130A7">
        <w:rPr>
          <w:rFonts w:ascii="Times New Roman" w:hAnsi="Times New Roman"/>
          <w:sz w:val="24"/>
          <w:szCs w:val="24"/>
        </w:rPr>
        <w:t>i Wrocławiu.</w:t>
      </w:r>
      <w:r w:rsidR="00743B05">
        <w:rPr>
          <w:rFonts w:ascii="Times New Roman" w:hAnsi="Times New Roman"/>
          <w:sz w:val="24"/>
          <w:szCs w:val="24"/>
        </w:rPr>
        <w:t xml:space="preserve"> </w:t>
      </w:r>
      <w:r w:rsidRPr="00B130A7">
        <w:rPr>
          <w:rFonts w:ascii="Times New Roman" w:hAnsi="Times New Roman"/>
          <w:sz w:val="24"/>
          <w:szCs w:val="24"/>
        </w:rPr>
        <w:t xml:space="preserve">W zajęciach wzięło udział ponad 400 dzieci. W trakcie spotkań dzieci </w:t>
      </w:r>
      <w:r w:rsidR="00743B05">
        <w:rPr>
          <w:rFonts w:ascii="Times New Roman" w:hAnsi="Times New Roman"/>
          <w:sz w:val="24"/>
          <w:szCs w:val="24"/>
        </w:rPr>
        <w:t xml:space="preserve">mogły zapoznać się </w:t>
      </w:r>
      <w:r w:rsidRPr="00B130A7">
        <w:rPr>
          <w:rFonts w:ascii="Times New Roman" w:hAnsi="Times New Roman"/>
          <w:sz w:val="24"/>
          <w:szCs w:val="24"/>
        </w:rPr>
        <w:t>z zadaniami realizowanymi przez Inspekcję Ochrony Środowiska,</w:t>
      </w:r>
      <w:r w:rsidR="00743B05">
        <w:rPr>
          <w:rFonts w:ascii="Times New Roman" w:hAnsi="Times New Roman"/>
          <w:sz w:val="24"/>
          <w:szCs w:val="24"/>
        </w:rPr>
        <w:t xml:space="preserve"> m.in.</w:t>
      </w:r>
      <w:r w:rsidRPr="00B130A7">
        <w:rPr>
          <w:rFonts w:ascii="Times New Roman" w:hAnsi="Times New Roman"/>
          <w:sz w:val="24"/>
          <w:szCs w:val="24"/>
        </w:rPr>
        <w:t xml:space="preserve"> z pracą laboratoriów „od kuchni”</w:t>
      </w:r>
      <w:r w:rsidR="00743B05">
        <w:rPr>
          <w:rFonts w:ascii="Times New Roman" w:hAnsi="Times New Roman"/>
          <w:sz w:val="24"/>
          <w:szCs w:val="24"/>
        </w:rPr>
        <w:t xml:space="preserve">; </w:t>
      </w:r>
      <w:r w:rsidRPr="00B130A7">
        <w:rPr>
          <w:rFonts w:ascii="Times New Roman" w:hAnsi="Times New Roman"/>
          <w:sz w:val="24"/>
          <w:szCs w:val="24"/>
        </w:rPr>
        <w:t xml:space="preserve">przygotowano </w:t>
      </w:r>
      <w:r w:rsidR="00743B05">
        <w:rPr>
          <w:rFonts w:ascii="Times New Roman" w:hAnsi="Times New Roman"/>
          <w:sz w:val="24"/>
          <w:szCs w:val="24"/>
        </w:rPr>
        <w:t xml:space="preserve">również </w:t>
      </w:r>
      <w:r w:rsidRPr="00B130A7">
        <w:rPr>
          <w:rFonts w:ascii="Times New Roman" w:hAnsi="Times New Roman"/>
          <w:sz w:val="24"/>
          <w:szCs w:val="24"/>
        </w:rPr>
        <w:t xml:space="preserve">pokazy sprzętu wykorzystywanego do walki z przestępczością środowiskową, m.in.: drony i instalacje lokalizacyjne. </w:t>
      </w:r>
    </w:p>
    <w:p w14:paraId="03B055AD" w14:textId="77777777" w:rsidR="00B130A7" w:rsidRPr="00B130A7" w:rsidRDefault="00B130A7" w:rsidP="00D34F97">
      <w:pPr>
        <w:pStyle w:val="Bezodstpw"/>
        <w:numPr>
          <w:ilvl w:val="0"/>
          <w:numId w:val="350"/>
        </w:numPr>
        <w:spacing w:line="300" w:lineRule="atLeast"/>
        <w:ind w:left="709" w:hanging="425"/>
        <w:jc w:val="both"/>
        <w:rPr>
          <w:rFonts w:ascii="Times New Roman" w:hAnsi="Times New Roman"/>
          <w:sz w:val="24"/>
          <w:szCs w:val="24"/>
        </w:rPr>
      </w:pPr>
      <w:r w:rsidRPr="00B130A7">
        <w:rPr>
          <w:rFonts w:ascii="Times New Roman" w:hAnsi="Times New Roman"/>
          <w:sz w:val="24"/>
          <w:szCs w:val="24"/>
        </w:rPr>
        <w:t xml:space="preserve">opracowano cyfrową broszurę pn. „Przewodnik informacyjny - </w:t>
      </w:r>
      <w:proofErr w:type="spellStart"/>
      <w:r w:rsidRPr="00B130A7">
        <w:rPr>
          <w:rFonts w:ascii="Times New Roman" w:hAnsi="Times New Roman"/>
          <w:sz w:val="24"/>
          <w:szCs w:val="24"/>
        </w:rPr>
        <w:t>RoadMap</w:t>
      </w:r>
      <w:proofErr w:type="spellEnd"/>
      <w:r w:rsidRPr="00B130A7">
        <w:rPr>
          <w:rFonts w:ascii="Times New Roman" w:hAnsi="Times New Roman"/>
          <w:sz w:val="24"/>
          <w:szCs w:val="24"/>
        </w:rPr>
        <w:t xml:space="preserve"> Ochrony Środowiska", skierowaną do ogółu społeczeństwa, pracowników administracji samorządowej wszystkich szczebli oraz organizacji pozarządowych i dziennikarzy, pokazującą rolę i zadania GIOŚ w systemie organów ochrony środowiska oraz wyjaśniającą powiązania kompetencyjne pomiędzy poszczególnymi instytucjami; broszurę umieszczono na stronie Projektu;</w:t>
      </w:r>
    </w:p>
    <w:p w14:paraId="34C16B8E" w14:textId="77777777" w:rsidR="00B130A7" w:rsidRPr="00B130A7" w:rsidRDefault="00B130A7" w:rsidP="00D34F97">
      <w:pPr>
        <w:pStyle w:val="Bezodstpw"/>
        <w:numPr>
          <w:ilvl w:val="0"/>
          <w:numId w:val="350"/>
        </w:numPr>
        <w:spacing w:line="300" w:lineRule="atLeast"/>
        <w:ind w:left="709" w:hanging="425"/>
        <w:jc w:val="both"/>
        <w:rPr>
          <w:rFonts w:ascii="Times New Roman" w:hAnsi="Times New Roman"/>
          <w:sz w:val="24"/>
          <w:szCs w:val="24"/>
        </w:rPr>
      </w:pPr>
      <w:r w:rsidRPr="00B130A7">
        <w:rPr>
          <w:rFonts w:ascii="Times New Roman" w:hAnsi="Times New Roman"/>
          <w:sz w:val="24"/>
          <w:szCs w:val="24"/>
        </w:rPr>
        <w:t>zrealizowano 5 webinariów dla m.in.: samorządowców, pracowników GIOŚ i WIOŚ, dziennikarzy, przedstawicieli NGO, a także dla ogółu społeczeństwa:</w:t>
      </w:r>
    </w:p>
    <w:p w14:paraId="7B47FFBF" w14:textId="11C1A696" w:rsidR="00B130A7" w:rsidRPr="00B130A7" w:rsidRDefault="00B130A7" w:rsidP="00D34F97">
      <w:pPr>
        <w:pStyle w:val="Bezodstpw"/>
        <w:numPr>
          <w:ilvl w:val="0"/>
          <w:numId w:val="351"/>
        </w:numPr>
        <w:spacing w:line="300" w:lineRule="atLeast"/>
        <w:ind w:left="1418" w:hanging="284"/>
        <w:jc w:val="both"/>
        <w:rPr>
          <w:rFonts w:ascii="Times New Roman" w:hAnsi="Times New Roman"/>
          <w:sz w:val="24"/>
          <w:szCs w:val="24"/>
        </w:rPr>
      </w:pPr>
      <w:r w:rsidRPr="00B130A7">
        <w:rPr>
          <w:rFonts w:ascii="Times New Roman" w:hAnsi="Times New Roman"/>
          <w:sz w:val="24"/>
          <w:szCs w:val="24"/>
        </w:rPr>
        <w:t>webinarium pt. „Rola Inspekcji Ochrony Środowiska w zwalczaniu przestępstw przeciwko środowisku”;</w:t>
      </w:r>
    </w:p>
    <w:p w14:paraId="142B4870" w14:textId="4D208D6D" w:rsidR="00B130A7" w:rsidRPr="00B130A7" w:rsidRDefault="00B130A7" w:rsidP="00D34F97">
      <w:pPr>
        <w:pStyle w:val="Bezodstpw"/>
        <w:numPr>
          <w:ilvl w:val="0"/>
          <w:numId w:val="351"/>
        </w:numPr>
        <w:spacing w:line="300" w:lineRule="atLeast"/>
        <w:ind w:left="1418" w:hanging="284"/>
        <w:jc w:val="both"/>
        <w:rPr>
          <w:rFonts w:ascii="Times New Roman" w:hAnsi="Times New Roman"/>
          <w:sz w:val="24"/>
          <w:szCs w:val="24"/>
        </w:rPr>
      </w:pPr>
      <w:r w:rsidRPr="00B130A7">
        <w:rPr>
          <w:rFonts w:ascii="Times New Roman" w:hAnsi="Times New Roman"/>
          <w:sz w:val="24"/>
          <w:szCs w:val="24"/>
        </w:rPr>
        <w:t>webinarium pt. „Międzynarodowe przemieszczanie odpadów”;</w:t>
      </w:r>
    </w:p>
    <w:p w14:paraId="5B86A283" w14:textId="74DE6CA1" w:rsidR="00B130A7" w:rsidRPr="00B130A7" w:rsidRDefault="00B130A7" w:rsidP="00D34F97">
      <w:pPr>
        <w:pStyle w:val="Bezodstpw"/>
        <w:numPr>
          <w:ilvl w:val="0"/>
          <w:numId w:val="351"/>
        </w:numPr>
        <w:spacing w:line="300" w:lineRule="atLeast"/>
        <w:ind w:left="1418" w:hanging="284"/>
        <w:jc w:val="both"/>
        <w:rPr>
          <w:rFonts w:ascii="Times New Roman" w:hAnsi="Times New Roman"/>
          <w:sz w:val="24"/>
          <w:szCs w:val="24"/>
        </w:rPr>
      </w:pPr>
      <w:r w:rsidRPr="00B130A7">
        <w:rPr>
          <w:rFonts w:ascii="Times New Roman" w:hAnsi="Times New Roman"/>
          <w:sz w:val="24"/>
          <w:szCs w:val="24"/>
        </w:rPr>
        <w:t>webinarium pt. „Nielegalne składowanie odpadów”;</w:t>
      </w:r>
    </w:p>
    <w:p w14:paraId="571573C6" w14:textId="13FA5B1F" w:rsidR="00B130A7" w:rsidRPr="00B130A7" w:rsidRDefault="00B130A7" w:rsidP="00D34F97">
      <w:pPr>
        <w:pStyle w:val="Bezodstpw"/>
        <w:numPr>
          <w:ilvl w:val="0"/>
          <w:numId w:val="351"/>
        </w:numPr>
        <w:spacing w:line="300" w:lineRule="atLeast"/>
        <w:ind w:left="1418" w:hanging="284"/>
        <w:jc w:val="both"/>
        <w:rPr>
          <w:rFonts w:ascii="Times New Roman" w:hAnsi="Times New Roman"/>
          <w:sz w:val="24"/>
          <w:szCs w:val="24"/>
        </w:rPr>
      </w:pPr>
      <w:r w:rsidRPr="00B130A7">
        <w:rPr>
          <w:rFonts w:ascii="Times New Roman" w:hAnsi="Times New Roman"/>
          <w:sz w:val="24"/>
          <w:szCs w:val="24"/>
        </w:rPr>
        <w:t>webinarium pt. „Udostępnianie informacji o jakości powietrza i wód wytwarzanych w ramach Państwowego Monitoringu Środowiska”;</w:t>
      </w:r>
    </w:p>
    <w:p w14:paraId="6D075A41" w14:textId="068666D8" w:rsidR="00B130A7" w:rsidRPr="00B130A7" w:rsidRDefault="00B130A7" w:rsidP="00D34F97">
      <w:pPr>
        <w:pStyle w:val="Bezodstpw"/>
        <w:numPr>
          <w:ilvl w:val="0"/>
          <w:numId w:val="351"/>
        </w:numPr>
        <w:spacing w:line="300" w:lineRule="atLeast"/>
        <w:ind w:left="1418" w:hanging="284"/>
        <w:jc w:val="both"/>
        <w:rPr>
          <w:rFonts w:ascii="Times New Roman" w:hAnsi="Times New Roman"/>
          <w:sz w:val="24"/>
          <w:szCs w:val="24"/>
        </w:rPr>
      </w:pPr>
      <w:r w:rsidRPr="00B130A7">
        <w:rPr>
          <w:rFonts w:ascii="Times New Roman" w:hAnsi="Times New Roman"/>
          <w:sz w:val="24"/>
          <w:szCs w:val="24"/>
        </w:rPr>
        <w:t>webinarium pt. „Przeciwdziałanie marnowaniu żywności”.</w:t>
      </w:r>
    </w:p>
    <w:p w14:paraId="6136548B" w14:textId="7C56333B" w:rsidR="00811FB4" w:rsidRDefault="00B130A7" w:rsidP="00811FB4">
      <w:pPr>
        <w:pStyle w:val="Bezodstpw"/>
        <w:numPr>
          <w:ilvl w:val="0"/>
          <w:numId w:val="350"/>
        </w:numPr>
        <w:spacing w:line="300" w:lineRule="atLeast"/>
        <w:ind w:left="709" w:hanging="425"/>
        <w:jc w:val="both"/>
        <w:rPr>
          <w:rFonts w:ascii="Times New Roman" w:hAnsi="Times New Roman"/>
          <w:sz w:val="24"/>
          <w:szCs w:val="24"/>
        </w:rPr>
      </w:pPr>
      <w:r w:rsidRPr="00B130A7">
        <w:rPr>
          <w:rFonts w:ascii="Times New Roman" w:hAnsi="Times New Roman"/>
          <w:sz w:val="24"/>
          <w:szCs w:val="24"/>
        </w:rPr>
        <w:t xml:space="preserve">wyprodukowano 12 dedykowanych filmów, we współpracy z </w:t>
      </w:r>
      <w:r w:rsidR="00426209">
        <w:rPr>
          <w:rFonts w:ascii="Times New Roman" w:hAnsi="Times New Roman"/>
          <w:sz w:val="24"/>
          <w:szCs w:val="24"/>
        </w:rPr>
        <w:t xml:space="preserve">4 </w:t>
      </w:r>
      <w:r w:rsidRPr="00B130A7">
        <w:rPr>
          <w:rFonts w:ascii="Times New Roman" w:hAnsi="Times New Roman"/>
          <w:sz w:val="24"/>
          <w:szCs w:val="24"/>
        </w:rPr>
        <w:t>vlogerami popularnonaukowymi, emitowanych od lutego 2022 r. do stycznia 2023 r.</w:t>
      </w:r>
      <w:r w:rsidR="00811FB4">
        <w:rPr>
          <w:rFonts w:ascii="Times New Roman" w:hAnsi="Times New Roman"/>
          <w:sz w:val="24"/>
          <w:szCs w:val="24"/>
        </w:rPr>
        <w:t>;</w:t>
      </w:r>
    </w:p>
    <w:p w14:paraId="2044A713" w14:textId="77777777" w:rsidR="00811FB4" w:rsidRDefault="00B130A7" w:rsidP="00811FB4">
      <w:pPr>
        <w:pStyle w:val="Bezodstpw"/>
        <w:numPr>
          <w:ilvl w:val="0"/>
          <w:numId w:val="350"/>
        </w:numPr>
        <w:spacing w:line="300" w:lineRule="atLeast"/>
        <w:ind w:left="709" w:hanging="425"/>
        <w:jc w:val="both"/>
        <w:rPr>
          <w:rFonts w:ascii="Times New Roman" w:hAnsi="Times New Roman"/>
          <w:sz w:val="24"/>
          <w:szCs w:val="24"/>
        </w:rPr>
      </w:pPr>
      <w:r w:rsidRPr="00811FB4">
        <w:rPr>
          <w:rFonts w:ascii="Times New Roman" w:hAnsi="Times New Roman"/>
          <w:sz w:val="24"/>
          <w:szCs w:val="24"/>
        </w:rPr>
        <w:t xml:space="preserve">wyprodukowano 8 filmów promujących programy TV, opublikowanych w okresie od kwietnia do czerwca 2022 r., zrealizowanych przez 4 vlogerów </w:t>
      </w:r>
      <w:proofErr w:type="spellStart"/>
      <w:r w:rsidRPr="00811FB4">
        <w:rPr>
          <w:rFonts w:ascii="Times New Roman" w:hAnsi="Times New Roman"/>
          <w:sz w:val="24"/>
          <w:szCs w:val="24"/>
        </w:rPr>
        <w:t>parentingowych</w:t>
      </w:r>
      <w:proofErr w:type="spellEnd"/>
      <w:r w:rsidRPr="00811FB4">
        <w:rPr>
          <w:rFonts w:ascii="Times New Roman" w:hAnsi="Times New Roman"/>
          <w:sz w:val="24"/>
          <w:szCs w:val="24"/>
        </w:rPr>
        <w:t xml:space="preserve"> </w:t>
      </w:r>
      <w:r w:rsidR="00426209" w:rsidRPr="00811FB4">
        <w:rPr>
          <w:rFonts w:ascii="Times New Roman" w:hAnsi="Times New Roman"/>
          <w:sz w:val="24"/>
          <w:szCs w:val="24"/>
        </w:rPr>
        <w:br/>
      </w:r>
      <w:r w:rsidRPr="00811FB4">
        <w:rPr>
          <w:rFonts w:ascii="Times New Roman" w:hAnsi="Times New Roman"/>
          <w:sz w:val="24"/>
          <w:szCs w:val="24"/>
        </w:rPr>
        <w:t>i dziecięcych</w:t>
      </w:r>
      <w:r w:rsidR="00811FB4">
        <w:rPr>
          <w:rFonts w:ascii="Times New Roman" w:hAnsi="Times New Roman"/>
          <w:sz w:val="24"/>
          <w:szCs w:val="24"/>
        </w:rPr>
        <w:t xml:space="preserve">; </w:t>
      </w:r>
      <w:r w:rsidR="00426209" w:rsidRPr="00811FB4">
        <w:rPr>
          <w:rFonts w:ascii="Times New Roman" w:hAnsi="Times New Roman"/>
          <w:sz w:val="24"/>
          <w:szCs w:val="24"/>
        </w:rPr>
        <w:t xml:space="preserve"> </w:t>
      </w:r>
      <w:bookmarkStart w:id="446" w:name="_Hlk133238292"/>
    </w:p>
    <w:p w14:paraId="315A60EB" w14:textId="6A2CB3C8" w:rsidR="00B130A7" w:rsidRPr="00811FB4" w:rsidRDefault="00B130A7" w:rsidP="00811FB4">
      <w:pPr>
        <w:pStyle w:val="Bezodstpw"/>
        <w:numPr>
          <w:ilvl w:val="0"/>
          <w:numId w:val="350"/>
        </w:numPr>
        <w:spacing w:line="300" w:lineRule="atLeast"/>
        <w:ind w:left="709" w:hanging="425"/>
        <w:jc w:val="both"/>
        <w:rPr>
          <w:rFonts w:ascii="Times New Roman" w:hAnsi="Times New Roman"/>
          <w:sz w:val="24"/>
          <w:szCs w:val="24"/>
        </w:rPr>
      </w:pPr>
      <w:r w:rsidRPr="00811FB4">
        <w:rPr>
          <w:rFonts w:ascii="Times New Roman" w:hAnsi="Times New Roman"/>
          <w:sz w:val="24"/>
          <w:szCs w:val="24"/>
        </w:rPr>
        <w:t xml:space="preserve">zrealizowano i w okresie od kwietnia do czerwca 2022 r. wyemitowano w WP TV oraz WP </w:t>
      </w:r>
      <w:proofErr w:type="spellStart"/>
      <w:r w:rsidRPr="00811FB4">
        <w:rPr>
          <w:rFonts w:ascii="Times New Roman" w:hAnsi="Times New Roman"/>
          <w:sz w:val="24"/>
          <w:szCs w:val="24"/>
        </w:rPr>
        <w:t>Parenting</w:t>
      </w:r>
      <w:proofErr w:type="spellEnd"/>
      <w:r w:rsidRPr="00811FB4">
        <w:rPr>
          <w:rFonts w:ascii="Times New Roman" w:hAnsi="Times New Roman"/>
          <w:sz w:val="24"/>
          <w:szCs w:val="24"/>
        </w:rPr>
        <w:t xml:space="preserve"> i WP Kobieta (redystrybucja online) cykl 12 odcinków programów TV dla dzieci pt.: </w:t>
      </w:r>
      <w:bookmarkEnd w:id="446"/>
      <w:r w:rsidRPr="00811FB4">
        <w:rPr>
          <w:rFonts w:ascii="Times New Roman" w:hAnsi="Times New Roman"/>
          <w:sz w:val="24"/>
          <w:szCs w:val="24"/>
        </w:rPr>
        <w:t>„Latający patrol”</w:t>
      </w:r>
      <w:r w:rsidR="00295CCE">
        <w:rPr>
          <w:rFonts w:ascii="Times New Roman" w:hAnsi="Times New Roman"/>
          <w:sz w:val="24"/>
          <w:szCs w:val="24"/>
        </w:rPr>
        <w:t>;</w:t>
      </w:r>
    </w:p>
    <w:p w14:paraId="546D27AD" w14:textId="04CA3CC7" w:rsidR="00B130A7" w:rsidRPr="00B130A7" w:rsidRDefault="00B130A7" w:rsidP="005D46E7">
      <w:pPr>
        <w:pStyle w:val="Bezodstpw"/>
        <w:spacing w:line="300" w:lineRule="atLeast"/>
        <w:ind w:left="709"/>
        <w:rPr>
          <w:rFonts w:ascii="Times New Roman" w:hAnsi="Times New Roman"/>
          <w:sz w:val="24"/>
          <w:szCs w:val="24"/>
        </w:rPr>
      </w:pPr>
      <w:bookmarkStart w:id="447" w:name="_Hlk133239113"/>
      <w:r w:rsidRPr="00B130A7">
        <w:rPr>
          <w:rFonts w:ascii="Times New Roman" w:hAnsi="Times New Roman"/>
          <w:sz w:val="24"/>
          <w:szCs w:val="24"/>
        </w:rPr>
        <w:t>Wszystkie odcinki z cyklu „Latający Patrol” został także opublikowany na portalu WP Pilot i były tam dostępne do 31.12.2022 r.</w:t>
      </w:r>
      <w:r w:rsidR="00811FB4">
        <w:rPr>
          <w:rFonts w:ascii="Times New Roman" w:hAnsi="Times New Roman"/>
          <w:sz w:val="24"/>
          <w:szCs w:val="24"/>
        </w:rPr>
        <w:t>;</w:t>
      </w:r>
      <w:r w:rsidRPr="00B130A7">
        <w:rPr>
          <w:rFonts w:ascii="Times New Roman" w:hAnsi="Times New Roman"/>
          <w:sz w:val="24"/>
          <w:szCs w:val="24"/>
        </w:rPr>
        <w:t xml:space="preserve"> </w:t>
      </w:r>
    </w:p>
    <w:bookmarkEnd w:id="447"/>
    <w:p w14:paraId="31DD0D2F" w14:textId="44833079" w:rsidR="00811FB4" w:rsidRDefault="00B130A7" w:rsidP="00811FB4">
      <w:pPr>
        <w:pStyle w:val="Bezodstpw"/>
        <w:numPr>
          <w:ilvl w:val="0"/>
          <w:numId w:val="350"/>
        </w:numPr>
        <w:spacing w:line="300" w:lineRule="atLeast"/>
        <w:ind w:left="709" w:hanging="425"/>
        <w:jc w:val="both"/>
        <w:rPr>
          <w:rFonts w:ascii="Times New Roman" w:hAnsi="Times New Roman"/>
          <w:sz w:val="24"/>
          <w:szCs w:val="24"/>
        </w:rPr>
      </w:pPr>
      <w:r w:rsidRPr="00B130A7">
        <w:rPr>
          <w:rFonts w:ascii="Times New Roman" w:hAnsi="Times New Roman"/>
          <w:sz w:val="24"/>
          <w:szCs w:val="24"/>
        </w:rPr>
        <w:t xml:space="preserve">zrealizowano i w okresie od października do grudnia 2022 r. wyemitowano w TVP3 Opole, Fokus TV, Nowa TV, Polsat Play, Polsat Doku cykl 12 odcinków programów TV dla </w:t>
      </w:r>
      <w:r w:rsidR="00811FB4">
        <w:rPr>
          <w:rFonts w:ascii="Times New Roman" w:hAnsi="Times New Roman"/>
          <w:sz w:val="24"/>
          <w:szCs w:val="24"/>
        </w:rPr>
        <w:t xml:space="preserve">odbiorców </w:t>
      </w:r>
      <w:r w:rsidRPr="00B130A7">
        <w:rPr>
          <w:rFonts w:ascii="Times New Roman" w:hAnsi="Times New Roman"/>
          <w:sz w:val="24"/>
          <w:szCs w:val="24"/>
        </w:rPr>
        <w:t>dorosłych pt.: „Dociekliwi z natury”</w:t>
      </w:r>
      <w:r w:rsidR="00295CCE">
        <w:rPr>
          <w:rFonts w:ascii="Times New Roman" w:hAnsi="Times New Roman"/>
          <w:sz w:val="24"/>
          <w:szCs w:val="24"/>
        </w:rPr>
        <w:t>;</w:t>
      </w:r>
    </w:p>
    <w:p w14:paraId="20D7F027" w14:textId="63083E43" w:rsidR="00275AFB" w:rsidRPr="00811FB4" w:rsidRDefault="00B130A7" w:rsidP="00811FB4">
      <w:pPr>
        <w:pStyle w:val="Bezodstpw"/>
        <w:numPr>
          <w:ilvl w:val="0"/>
          <w:numId w:val="350"/>
        </w:numPr>
        <w:spacing w:line="300" w:lineRule="atLeast"/>
        <w:ind w:left="709" w:hanging="425"/>
        <w:jc w:val="both"/>
        <w:rPr>
          <w:rFonts w:ascii="Times New Roman" w:hAnsi="Times New Roman"/>
          <w:sz w:val="24"/>
          <w:szCs w:val="24"/>
        </w:rPr>
      </w:pPr>
      <w:r w:rsidRPr="00811FB4">
        <w:rPr>
          <w:rFonts w:ascii="Times New Roman" w:hAnsi="Times New Roman"/>
          <w:sz w:val="24"/>
          <w:szCs w:val="24"/>
        </w:rPr>
        <w:t xml:space="preserve">przeprowadzono 9 </w:t>
      </w:r>
      <w:r w:rsidR="00811FB4">
        <w:rPr>
          <w:rFonts w:ascii="Times New Roman" w:hAnsi="Times New Roman"/>
          <w:sz w:val="24"/>
          <w:szCs w:val="24"/>
        </w:rPr>
        <w:t xml:space="preserve">dwudniowych </w:t>
      </w:r>
      <w:r w:rsidRPr="00811FB4">
        <w:rPr>
          <w:rFonts w:ascii="Times New Roman" w:hAnsi="Times New Roman"/>
          <w:sz w:val="24"/>
          <w:szCs w:val="24"/>
        </w:rPr>
        <w:t>szkoleń w grupach 5 osobowych dla łącznie 45 pracowników GIOŚ w obszarze komunikacji medialnej. Program szkoleń obejmował m.in: zapoznanie uczestników z założeniami kampanii informacyjno-edukacyjnej prowadzonej w ramach Projektu (czas trwania, najistotniejsze elementy), omówienie (wraz z częścią ćwiczeniową): zasad komunikowania się z dziennikarzami, zasad opracowywania komunikatów, organizacji i udziału w konferencjach prasowych.</w:t>
      </w:r>
      <w:r w:rsidR="00275AFB" w:rsidRPr="00811FB4">
        <w:rPr>
          <w:rFonts w:ascii="Times New Roman" w:eastAsia="Times New Roman" w:hAnsi="Times New Roman"/>
          <w:color w:val="000000"/>
          <w:sz w:val="24"/>
          <w:szCs w:val="24"/>
        </w:rPr>
        <w:t xml:space="preserve"> </w:t>
      </w:r>
    </w:p>
    <w:p w14:paraId="1D06C4A4" w14:textId="58713D16" w:rsidR="009B45DA" w:rsidRDefault="009B45DA" w:rsidP="005D46E7">
      <w:pPr>
        <w:pStyle w:val="Akapitzlist"/>
        <w:spacing w:line="300" w:lineRule="atLeast"/>
        <w:ind w:left="709" w:hanging="425"/>
        <w:contextualSpacing w:val="0"/>
        <w:jc w:val="both"/>
        <w:rPr>
          <w:rFonts w:eastAsia="Times New Roman"/>
          <w:color w:val="000000"/>
          <w:sz w:val="24"/>
          <w:szCs w:val="24"/>
        </w:rPr>
      </w:pPr>
    </w:p>
    <w:p w14:paraId="0B41502F" w14:textId="22F8BF14" w:rsidR="009B45DA" w:rsidRPr="009B45DA" w:rsidRDefault="009B45DA" w:rsidP="009B45DA">
      <w:pPr>
        <w:pStyle w:val="Akapitzlist"/>
        <w:spacing w:line="300" w:lineRule="atLeast"/>
        <w:ind w:left="284"/>
        <w:contextualSpacing w:val="0"/>
        <w:jc w:val="both"/>
        <w:rPr>
          <w:rFonts w:eastAsia="Times New Roman"/>
          <w:color w:val="000000"/>
          <w:sz w:val="24"/>
          <w:szCs w:val="24"/>
          <w:lang w:val="pl-PL"/>
        </w:rPr>
      </w:pPr>
      <w:r>
        <w:rPr>
          <w:rFonts w:eastAsia="Times New Roman"/>
          <w:color w:val="000000"/>
          <w:sz w:val="24"/>
          <w:szCs w:val="24"/>
          <w:lang w:val="pl-PL"/>
        </w:rPr>
        <w:t xml:space="preserve">Filmy i materiały opracowane podczas realizacji projektu dostępne są na stronie internetowej </w:t>
      </w:r>
      <w:r w:rsidR="009279A5">
        <w:rPr>
          <w:rFonts w:eastAsia="Times New Roman"/>
          <w:color w:val="000000"/>
          <w:sz w:val="24"/>
          <w:szCs w:val="24"/>
          <w:lang w:val="pl-PL"/>
        </w:rPr>
        <w:t xml:space="preserve">Projektu </w:t>
      </w:r>
      <w:r>
        <w:rPr>
          <w:rFonts w:eastAsia="Times New Roman"/>
          <w:color w:val="000000"/>
          <w:sz w:val="24"/>
          <w:szCs w:val="24"/>
          <w:lang w:val="pl-PL"/>
        </w:rPr>
        <w:t>oraz na platformie YouTube GIOŚ:</w:t>
      </w:r>
    </w:p>
    <w:p w14:paraId="55B9CA26" w14:textId="07FC1568" w:rsidR="009B45DA" w:rsidRDefault="00C601FE" w:rsidP="009B45DA">
      <w:pPr>
        <w:pStyle w:val="Bezodstpw"/>
        <w:spacing w:line="300" w:lineRule="atLeast"/>
        <w:ind w:firstLine="284"/>
        <w:jc w:val="both"/>
        <w:rPr>
          <w:rFonts w:ascii="Times New Roman" w:hAnsi="Times New Roman"/>
          <w:sz w:val="24"/>
          <w:szCs w:val="24"/>
        </w:rPr>
      </w:pPr>
      <w:hyperlink r:id="rId196" w:history="1">
        <w:r w:rsidR="009B45DA" w:rsidRPr="00637814">
          <w:rPr>
            <w:rStyle w:val="Hipercze"/>
            <w:rFonts w:ascii="Times New Roman" w:hAnsi="Times New Roman"/>
            <w:sz w:val="24"/>
            <w:szCs w:val="24"/>
          </w:rPr>
          <w:t>https://www.gios.gov.pl/projekt_droga/</w:t>
        </w:r>
      </w:hyperlink>
    </w:p>
    <w:p w14:paraId="2FE094D0" w14:textId="50EA83D3" w:rsidR="009B45DA" w:rsidRDefault="00C601FE" w:rsidP="009B45DA">
      <w:pPr>
        <w:spacing w:after="60" w:line="300" w:lineRule="atLeast"/>
        <w:ind w:firstLine="284"/>
        <w:jc w:val="both"/>
        <w:rPr>
          <w:rFonts w:ascii="Times New Roman" w:hAnsi="Times New Roman" w:cs="Times New Roman"/>
          <w:sz w:val="24"/>
          <w:szCs w:val="24"/>
        </w:rPr>
      </w:pPr>
      <w:hyperlink r:id="rId197" w:history="1">
        <w:r w:rsidR="009B45DA" w:rsidRPr="00637814">
          <w:rPr>
            <w:rStyle w:val="Hipercze"/>
            <w:rFonts w:ascii="Times New Roman" w:hAnsi="Times New Roman" w:cs="Times New Roman"/>
            <w:sz w:val="24"/>
            <w:szCs w:val="24"/>
          </w:rPr>
          <w:t>https://www.youtube.com/@gios_gov/</w:t>
        </w:r>
      </w:hyperlink>
      <w:r w:rsidR="004570EC">
        <w:rPr>
          <w:rFonts w:ascii="Times New Roman" w:hAnsi="Times New Roman" w:cs="Times New Roman"/>
          <w:sz w:val="24"/>
          <w:szCs w:val="24"/>
        </w:rPr>
        <w:t>.</w:t>
      </w:r>
    </w:p>
    <w:p w14:paraId="1724CA2F" w14:textId="47454C39" w:rsidR="00275AFB" w:rsidRDefault="00275AFB" w:rsidP="00275AFB">
      <w:pPr>
        <w:spacing w:after="60" w:line="300" w:lineRule="atLeast"/>
        <w:ind w:firstLine="567"/>
        <w:jc w:val="both"/>
        <w:rPr>
          <w:rFonts w:ascii="Times New Roman" w:eastAsia="Times New Roman" w:hAnsi="Times New Roman" w:cs="Times New Roman"/>
          <w:color w:val="000000"/>
          <w:sz w:val="24"/>
          <w:szCs w:val="24"/>
          <w:lang w:eastAsia="pl-PL"/>
        </w:rPr>
      </w:pPr>
      <w:r>
        <w:rPr>
          <w:rFonts w:ascii="Times New Roman" w:eastAsia="Times New Roman" w:hAnsi="Times New Roman" w:cs="Times New Roman"/>
          <w:color w:val="000000"/>
          <w:sz w:val="24"/>
          <w:szCs w:val="24"/>
          <w:lang w:eastAsia="pl-PL"/>
        </w:rPr>
        <w:t xml:space="preserve">W prace merytoryczne i organizacyjne </w:t>
      </w:r>
      <w:r w:rsidR="00B67DAF">
        <w:rPr>
          <w:rFonts w:ascii="Times New Roman" w:eastAsia="Times New Roman" w:hAnsi="Times New Roman" w:cs="Times New Roman"/>
          <w:color w:val="000000"/>
          <w:sz w:val="24"/>
          <w:szCs w:val="24"/>
          <w:lang w:eastAsia="pl-PL"/>
        </w:rPr>
        <w:t xml:space="preserve">związane z </w:t>
      </w:r>
      <w:r w:rsidR="00295CCE">
        <w:rPr>
          <w:rFonts w:ascii="Times New Roman" w:eastAsia="Times New Roman" w:hAnsi="Times New Roman" w:cs="Times New Roman"/>
          <w:color w:val="000000"/>
          <w:sz w:val="24"/>
          <w:szCs w:val="24"/>
          <w:lang w:eastAsia="pl-PL"/>
        </w:rPr>
        <w:t xml:space="preserve">ww. </w:t>
      </w:r>
      <w:r>
        <w:rPr>
          <w:rFonts w:ascii="Times New Roman" w:eastAsia="Times New Roman" w:hAnsi="Times New Roman" w:cs="Times New Roman"/>
          <w:color w:val="000000"/>
          <w:sz w:val="24"/>
          <w:szCs w:val="24"/>
          <w:lang w:eastAsia="pl-PL"/>
        </w:rPr>
        <w:t>projekt</w:t>
      </w:r>
      <w:r w:rsidR="00B67DAF">
        <w:rPr>
          <w:rFonts w:ascii="Times New Roman" w:eastAsia="Times New Roman" w:hAnsi="Times New Roman" w:cs="Times New Roman"/>
          <w:color w:val="000000"/>
          <w:sz w:val="24"/>
          <w:szCs w:val="24"/>
          <w:lang w:eastAsia="pl-PL"/>
        </w:rPr>
        <w:t>em</w:t>
      </w:r>
      <w:r>
        <w:rPr>
          <w:rFonts w:ascii="Times New Roman" w:eastAsia="Times New Roman" w:hAnsi="Times New Roman" w:cs="Times New Roman"/>
          <w:color w:val="000000"/>
          <w:sz w:val="24"/>
          <w:szCs w:val="24"/>
          <w:lang w:eastAsia="pl-PL"/>
        </w:rPr>
        <w:t xml:space="preserve"> zaangażowani byli pracownicy niemal wszystkich komórek organizacyjnych GIOŚ: Centralnego Laboratorium Badawczego, Departamentu Inspekcji, Departamentu Kontroli Odpadów, Departamentu Monitoringu Środowiska, Departamentu Prawnego, Departamentu Transgranicznego Przemieszczania Odpadów, Departamentu Zwalczania Przestępczości Środowiskowej, Krajowego Laboratorium Referencyjnego do spraw jakości powietrza atmosferycznego oraz Biura Dyrektora Generalnego GIOŚ.  </w:t>
      </w:r>
    </w:p>
    <w:p w14:paraId="00E00584" w14:textId="77777777" w:rsidR="005D46E7" w:rsidRPr="00254FEC" w:rsidRDefault="005D46E7" w:rsidP="004570EC">
      <w:pPr>
        <w:spacing w:after="0" w:line="300" w:lineRule="atLeast"/>
        <w:ind w:firstLine="567"/>
        <w:jc w:val="both"/>
        <w:rPr>
          <w:rFonts w:ascii="Times New Roman" w:eastAsia="Times New Roman" w:hAnsi="Times New Roman" w:cs="Times New Roman"/>
          <w:color w:val="000000"/>
          <w:sz w:val="24"/>
          <w:szCs w:val="24"/>
          <w:lang w:eastAsia="pl-PL"/>
        </w:rPr>
      </w:pPr>
    </w:p>
    <w:p w14:paraId="10B9C64B" w14:textId="77777777" w:rsidR="00895F16" w:rsidRPr="007F400A" w:rsidRDefault="00895F16" w:rsidP="00895F16">
      <w:pPr>
        <w:keepNext/>
        <w:spacing w:after="120" w:line="300" w:lineRule="atLeast"/>
        <w:outlineLvl w:val="0"/>
        <w:rPr>
          <w:rFonts w:ascii="Times New Roman" w:eastAsia="Times New Roman" w:hAnsi="Times New Roman" w:cs="Times New Roman"/>
          <w:b/>
          <w:bCs/>
          <w:sz w:val="24"/>
          <w:szCs w:val="24"/>
          <w:lang w:val="x-none" w:eastAsia="x-none"/>
        </w:rPr>
      </w:pPr>
      <w:bookmarkStart w:id="448" w:name="_Toc5878587"/>
      <w:bookmarkStart w:id="449" w:name="_Toc36732654"/>
      <w:bookmarkStart w:id="450" w:name="_Toc135935730"/>
      <w:r w:rsidRPr="007F400A">
        <w:rPr>
          <w:rFonts w:ascii="Times New Roman" w:eastAsia="Times New Roman" w:hAnsi="Times New Roman" w:cs="Times New Roman"/>
          <w:b/>
          <w:bCs/>
          <w:sz w:val="24"/>
          <w:szCs w:val="24"/>
          <w:lang w:val="x-none" w:eastAsia="x-none"/>
        </w:rPr>
        <w:t>2. I</w:t>
      </w:r>
      <w:r w:rsidRPr="007F400A">
        <w:rPr>
          <w:rFonts w:ascii="Times New Roman" w:eastAsia="Arial" w:hAnsi="Times New Roman" w:cs="Times New Roman"/>
          <w:b/>
          <w:bCs/>
          <w:sz w:val="24"/>
          <w:szCs w:val="24"/>
          <w:lang w:val="x-none" w:eastAsia="x-none"/>
        </w:rPr>
        <w:t>nformacje udzielone na podstawie wniosków</w:t>
      </w:r>
      <w:bookmarkEnd w:id="448"/>
      <w:bookmarkEnd w:id="449"/>
      <w:bookmarkEnd w:id="450"/>
    </w:p>
    <w:p w14:paraId="7E0E4D30" w14:textId="6A386A29" w:rsidR="0098413C" w:rsidRDefault="0098413C" w:rsidP="0098413C">
      <w:pPr>
        <w:spacing w:after="0" w:line="300" w:lineRule="atLeast"/>
        <w:ind w:firstLine="567"/>
        <w:jc w:val="both"/>
        <w:rPr>
          <w:rFonts w:ascii="Times New Roman" w:eastAsia="Arial" w:hAnsi="Times New Roman" w:cs="Times New Roman"/>
          <w:sz w:val="24"/>
          <w:szCs w:val="24"/>
          <w:highlight w:val="yellow"/>
          <w:lang w:eastAsia="pl-PL"/>
        </w:rPr>
      </w:pPr>
      <w:r w:rsidRPr="00821E7B">
        <w:rPr>
          <w:rFonts w:ascii="Times New Roman" w:eastAsia="Arial" w:hAnsi="Times New Roman" w:cs="Times New Roman"/>
          <w:sz w:val="24"/>
          <w:szCs w:val="24"/>
          <w:lang w:eastAsia="pl-PL"/>
        </w:rPr>
        <w:t>W 2022 r. organy Inspekcji udzieliły 12 558</w:t>
      </w:r>
      <w:r w:rsidRPr="00821E7B">
        <w:rPr>
          <w:rFonts w:ascii="Times New Roman" w:eastAsia="Arial" w:hAnsi="Times New Roman" w:cs="Times New Roman"/>
          <w:sz w:val="24"/>
          <w:szCs w:val="24"/>
          <w:vertAlign w:val="superscript"/>
          <w:lang w:eastAsia="pl-PL"/>
        </w:rPr>
        <w:footnoteReference w:id="117"/>
      </w:r>
      <w:r w:rsidRPr="00821E7B">
        <w:rPr>
          <w:rFonts w:ascii="Times New Roman" w:eastAsia="Arial" w:hAnsi="Times New Roman" w:cs="Times New Roman"/>
          <w:sz w:val="24"/>
          <w:szCs w:val="24"/>
          <w:lang w:eastAsia="pl-PL"/>
        </w:rPr>
        <w:t xml:space="preserve"> informacji, w zakresie i formie wskazanej przez wnioskodawców.</w:t>
      </w:r>
      <w:r w:rsidRPr="00821E7B">
        <w:rPr>
          <w:rFonts w:ascii="Times New Roman" w:eastAsia="Arial" w:hAnsi="Times New Roman" w:cs="Times New Roman"/>
          <w:color w:val="2E74B5"/>
          <w:sz w:val="24"/>
          <w:szCs w:val="24"/>
          <w:lang w:eastAsia="pl-PL"/>
        </w:rPr>
        <w:t xml:space="preserve"> </w:t>
      </w:r>
      <w:r w:rsidRPr="00821E7B">
        <w:rPr>
          <w:rFonts w:ascii="Times New Roman" w:eastAsia="Arial" w:hAnsi="Times New Roman" w:cs="Times New Roman"/>
          <w:sz w:val="24"/>
          <w:szCs w:val="24"/>
          <w:lang w:eastAsia="pl-PL"/>
        </w:rPr>
        <w:t>Zdecydowana większość z nich (9 20</w:t>
      </w:r>
      <w:r w:rsidR="00772DBE">
        <w:rPr>
          <w:rFonts w:ascii="Times New Roman" w:eastAsia="Arial" w:hAnsi="Times New Roman" w:cs="Times New Roman"/>
          <w:sz w:val="24"/>
          <w:szCs w:val="24"/>
          <w:lang w:eastAsia="pl-PL"/>
        </w:rPr>
        <w:t>8</w:t>
      </w:r>
      <w:r w:rsidRPr="00821E7B">
        <w:rPr>
          <w:rFonts w:ascii="Times New Roman" w:eastAsia="Arial" w:hAnsi="Times New Roman" w:cs="Times New Roman"/>
          <w:sz w:val="24"/>
          <w:szCs w:val="24"/>
          <w:lang w:eastAsia="pl-PL"/>
        </w:rPr>
        <w:t xml:space="preserve">) dotyczyła </w:t>
      </w:r>
      <w:r w:rsidRPr="00821E7B">
        <w:rPr>
          <w:rFonts w:ascii="Times New Roman" w:hAnsi="Times New Roman" w:cs="Times New Roman"/>
          <w:sz w:val="24"/>
          <w:szCs w:val="24"/>
        </w:rPr>
        <w:t xml:space="preserve">stanu jakości powietrza </w:t>
      </w:r>
      <w:r w:rsidRPr="00821E7B">
        <w:rPr>
          <w:rFonts w:ascii="Times New Roman" w:eastAsia="Arial" w:hAnsi="Times New Roman" w:cs="Times New Roman"/>
          <w:sz w:val="24"/>
          <w:szCs w:val="24"/>
          <w:lang w:eastAsia="pl-PL"/>
        </w:rPr>
        <w:t xml:space="preserve">(w tym </w:t>
      </w:r>
      <w:r w:rsidRPr="00821E7B">
        <w:rPr>
          <w:rFonts w:ascii="Times New Roman" w:hAnsi="Times New Roman" w:cs="Times New Roman"/>
          <w:sz w:val="24"/>
          <w:szCs w:val="24"/>
        </w:rPr>
        <w:t xml:space="preserve">8 520 </w:t>
      </w:r>
      <w:r w:rsidRPr="00821E7B">
        <w:rPr>
          <w:rFonts w:ascii="Times New Roman" w:eastAsia="Arial" w:hAnsi="Times New Roman" w:cs="Times New Roman"/>
          <w:sz w:val="24"/>
          <w:szCs w:val="24"/>
          <w:lang w:eastAsia="pl-PL"/>
        </w:rPr>
        <w:t>tła substancji w powietrzu)</w:t>
      </w:r>
      <w:r>
        <w:rPr>
          <w:rFonts w:ascii="Times New Roman" w:eastAsia="Arial" w:hAnsi="Times New Roman" w:cs="Times New Roman"/>
          <w:sz w:val="24"/>
          <w:szCs w:val="24"/>
          <w:lang w:eastAsia="pl-PL"/>
        </w:rPr>
        <w:t xml:space="preserve">. </w:t>
      </w:r>
    </w:p>
    <w:p w14:paraId="05B42E3E" w14:textId="77777777" w:rsidR="0098413C" w:rsidRPr="00C3195C" w:rsidRDefault="0098413C" w:rsidP="00A70AA2">
      <w:pPr>
        <w:spacing w:after="0" w:line="276" w:lineRule="auto"/>
        <w:ind w:firstLine="567"/>
        <w:jc w:val="both"/>
        <w:rPr>
          <w:rFonts w:ascii="Times New Roman" w:hAnsi="Times New Roman" w:cs="Times New Roman"/>
          <w:sz w:val="24"/>
          <w:szCs w:val="24"/>
        </w:rPr>
      </w:pPr>
      <w:r w:rsidRPr="00C3195C">
        <w:rPr>
          <w:rFonts w:ascii="Times New Roman" w:hAnsi="Times New Roman" w:cs="Times New Roman"/>
          <w:sz w:val="24"/>
          <w:szCs w:val="24"/>
        </w:rPr>
        <w:t xml:space="preserve">W zakresie monitoringu jakości powietrza w ramach ww. informacji udzielono 688 odpowiedzi. Pytania najczęściej dotyczyły informacji o aktualnej jakości powietrza, informacji o standardach jakości powietrza oraz o obszarach z przekroczeniami standardów jakości powietrza, informacji w zakresie funkcjonowania i lokalizacji stacji pomiarowych oraz mierzonych na nich zanieczyszczeń i metod prowadzenia pomiarów jakości powietrza. Pytania często dotyczyły także wyjaśnienia lub rozwinięcia informacji prezentowanych na portalu „Jakość Powietrza” oraz wyszukiwania i pobierania udostępnianych danych pomiarowych. Ponadto 25 odpowiedzi dotyczyło udostępniania informacji poprzez narzędzia informatyczne, co świadczy o dużym zainteresowaniu treściami publikowanymi na portalu „Jakość Powietrza” i zakresem udostępnianych tam danych. </w:t>
      </w:r>
    </w:p>
    <w:p w14:paraId="6C5EA11D" w14:textId="77777777" w:rsidR="0098413C" w:rsidRPr="000B4203" w:rsidRDefault="0098413C" w:rsidP="00A70AA2">
      <w:pPr>
        <w:spacing w:after="0" w:line="276" w:lineRule="auto"/>
        <w:ind w:firstLine="567"/>
        <w:jc w:val="both"/>
      </w:pPr>
      <w:r w:rsidRPr="00C3195C">
        <w:rPr>
          <w:rFonts w:ascii="Times New Roman" w:hAnsi="Times New Roman" w:cs="Times New Roman"/>
          <w:sz w:val="24"/>
          <w:szCs w:val="24"/>
        </w:rPr>
        <w:t>W zakresie monitoringu jakości wód w 2022 roku odpowiedziano na 424 wnioski o udostępnienie danych. Wnioski dotyczyły prośby o przekazanie danych z monitoringu wód powierzchniowych i podziemnych, informacji na potrzeby opracowania profili wody w kąpieliskach, a także informacji dotyczących środowiska morskiego Bałtyku (dane z monitoringu ssaków, elementów fizykochemicznych i odpadów). Wnioski pochodziły od instytucji rządowych a także od firm prywatnych wnioskujących m.in. o dane celem ich wykorzystania na potrzeby przygotowania ocen oddziaływania na środowisko. Ponadto w roku 2022 zaopiniowano 503 projekty uchwał w sprawie określenia sezonu kąpielowego oraz wykazu kąpielisk, a także przygotowano 146 opinii w sprawie zgłoszenia utworzenia miejsca okazjonalnie wykorzystywanego do kąpieli.</w:t>
      </w:r>
    </w:p>
    <w:p w14:paraId="0557D644" w14:textId="77777777" w:rsidR="0098413C" w:rsidRPr="00C3195C" w:rsidRDefault="0098413C" w:rsidP="00A70AA2">
      <w:pPr>
        <w:spacing w:after="0" w:line="300" w:lineRule="atLeast"/>
        <w:ind w:firstLine="567"/>
        <w:jc w:val="both"/>
        <w:rPr>
          <w:rFonts w:ascii="Times New Roman" w:eastAsia="Arial" w:hAnsi="Times New Roman" w:cs="Times New Roman"/>
          <w:sz w:val="24"/>
          <w:szCs w:val="24"/>
          <w:highlight w:val="yellow"/>
          <w:lang w:eastAsia="pl-PL"/>
        </w:rPr>
      </w:pPr>
      <w:r w:rsidRPr="00C3195C">
        <w:rPr>
          <w:rFonts w:ascii="Times New Roman" w:hAnsi="Times New Roman" w:cs="Times New Roman"/>
          <w:sz w:val="24"/>
          <w:szCs w:val="24"/>
        </w:rPr>
        <w:t>W roku 2022 w zakresie monitoringu przyrody rozpatrzono 121 wniosków o udostępnienie informacji o środowisku i jego ochronie. Najczęściej wnioski dotyczyły monitoringu gatunków i siedlisk przyrodniczych, monitoringu gatunków i siedlisk morskich, monitoringu ptaków, monitoringu lasów oraz zintegrowanego monitoringu środowiska przyrodniczego</w:t>
      </w:r>
      <w:r>
        <w:rPr>
          <w:rFonts w:ascii="Times New Roman" w:hAnsi="Times New Roman" w:cs="Times New Roman"/>
          <w:sz w:val="24"/>
          <w:szCs w:val="24"/>
        </w:rPr>
        <w:t xml:space="preserve">. </w:t>
      </w:r>
    </w:p>
    <w:p w14:paraId="15C3A494" w14:textId="77777777" w:rsidR="0098413C" w:rsidRPr="005F46B6" w:rsidRDefault="0098413C" w:rsidP="00A70AA2">
      <w:pPr>
        <w:spacing w:after="0" w:line="300" w:lineRule="atLeast"/>
        <w:ind w:firstLine="567"/>
        <w:jc w:val="both"/>
        <w:rPr>
          <w:rFonts w:ascii="Times New Roman" w:eastAsia="Arial" w:hAnsi="Times New Roman" w:cs="Times New Roman"/>
          <w:sz w:val="24"/>
          <w:szCs w:val="24"/>
          <w:highlight w:val="yellow"/>
          <w:lang w:eastAsia="pl-PL"/>
        </w:rPr>
      </w:pPr>
      <w:r w:rsidRPr="00C3195C">
        <w:rPr>
          <w:rFonts w:ascii="Times New Roman" w:eastAsia="Arial" w:hAnsi="Times New Roman" w:cs="Times New Roman"/>
          <w:sz w:val="24"/>
          <w:szCs w:val="24"/>
          <w:lang w:eastAsia="pl-PL"/>
        </w:rPr>
        <w:lastRenderedPageBreak/>
        <w:t>Wnioski kierowane do Inspekcji Ochrony Środowiska dotyczyły również</w:t>
      </w:r>
      <w:r>
        <w:rPr>
          <w:rFonts w:ascii="Times New Roman" w:eastAsia="Arial" w:hAnsi="Times New Roman" w:cs="Times New Roman"/>
          <w:sz w:val="24"/>
          <w:szCs w:val="24"/>
          <w:lang w:eastAsia="pl-PL"/>
        </w:rPr>
        <w:t>, m.in.,</w:t>
      </w:r>
      <w:r w:rsidRPr="00C3195C">
        <w:rPr>
          <w:rFonts w:ascii="Times New Roman" w:eastAsia="Arial" w:hAnsi="Times New Roman" w:cs="Times New Roman"/>
          <w:sz w:val="24"/>
          <w:szCs w:val="24"/>
          <w:lang w:eastAsia="pl-PL"/>
        </w:rPr>
        <w:t xml:space="preserve"> informacji o </w:t>
      </w:r>
      <w:r w:rsidRPr="00C3195C">
        <w:rPr>
          <w:rFonts w:ascii="Times New Roman" w:eastAsia="Times New Roman" w:hAnsi="Times New Roman" w:cs="Times New Roman"/>
          <w:color w:val="000000"/>
          <w:sz w:val="24"/>
          <w:szCs w:val="24"/>
          <w:lang w:eastAsia="pl-PL"/>
        </w:rPr>
        <w:t xml:space="preserve">występowaniu poważnych awarii i zdarzeniach o znamionach poważnej awarii na wskazanym terenie, informacji o przestrzeganiu wymagań ochrony środowiska przez wskazane podmioty, informacji o przeprowadzonych kontrolach, ich zakresie oraz o podjętych działaniach pokontrolnych, </w:t>
      </w:r>
      <w:r w:rsidRPr="00C3195C">
        <w:rPr>
          <w:rFonts w:ascii="Times New Roman" w:eastAsia="Arial" w:hAnsi="Times New Roman" w:cs="Times New Roman"/>
          <w:sz w:val="24"/>
          <w:szCs w:val="24"/>
          <w:lang w:eastAsia="pl-PL"/>
        </w:rPr>
        <w:t>zanieczyszczeniu hałasem komunikacyjnym i przemysłowym oraz o natężeniu promieniowania elektromagnetycznego</w:t>
      </w:r>
      <w:r w:rsidRPr="00C3195C">
        <w:rPr>
          <w:rFonts w:ascii="Times New Roman" w:eastAsia="Times New Roman" w:hAnsi="Times New Roman" w:cs="Times New Roman"/>
          <w:color w:val="000000"/>
          <w:sz w:val="24"/>
          <w:szCs w:val="24"/>
          <w:lang w:eastAsia="pl-PL"/>
        </w:rPr>
        <w:t>, decyzji oraz postanowień wydanych przez organy IOŚ, wykazów i lokalizacji zakładów, których działalność może być źródłem wystąpienia poważnej awarii oraz lokalizacji komunalnych i przemysłowych oczyszczalni ścieków, jak również składowisk odpadów</w:t>
      </w:r>
      <w:r w:rsidRPr="00C3195C">
        <w:rPr>
          <w:rFonts w:ascii="Times New Roman" w:eastAsia="Arial" w:hAnsi="Times New Roman" w:cs="Times New Roman"/>
          <w:sz w:val="24"/>
          <w:szCs w:val="24"/>
          <w:lang w:eastAsia="pl-PL"/>
        </w:rPr>
        <w:t>.</w:t>
      </w:r>
    </w:p>
    <w:p w14:paraId="0D8D8C3F" w14:textId="77777777" w:rsidR="0098413C" w:rsidRPr="00C3195C" w:rsidRDefault="0098413C" w:rsidP="00A70AA2">
      <w:pPr>
        <w:spacing w:after="0" w:line="300" w:lineRule="atLeast"/>
        <w:ind w:firstLine="567"/>
        <w:jc w:val="both"/>
        <w:rPr>
          <w:rFonts w:ascii="Times New Roman" w:eastAsia="Times New Roman" w:hAnsi="Times New Roman" w:cs="Times New Roman"/>
          <w:sz w:val="24"/>
          <w:szCs w:val="24"/>
          <w:lang w:eastAsia="pl-PL"/>
        </w:rPr>
      </w:pPr>
      <w:r w:rsidRPr="00C3195C">
        <w:rPr>
          <w:rFonts w:ascii="Times New Roman" w:eastAsia="Times New Roman" w:hAnsi="Times New Roman" w:cs="Times New Roman"/>
          <w:sz w:val="24"/>
          <w:szCs w:val="24"/>
          <w:lang w:eastAsia="pl-PL"/>
        </w:rPr>
        <w:t xml:space="preserve">W 2022 r. do organów Inspekcji Ochrony Środowiska wpłynęły </w:t>
      </w:r>
      <w:r w:rsidRPr="00A70AA2">
        <w:rPr>
          <w:rFonts w:ascii="Times New Roman" w:eastAsia="Times New Roman" w:hAnsi="Times New Roman" w:cs="Times New Roman"/>
          <w:sz w:val="24"/>
          <w:szCs w:val="24"/>
          <w:lang w:eastAsia="pl-PL"/>
        </w:rPr>
        <w:t>504</w:t>
      </w:r>
      <w:r w:rsidRPr="00C3195C">
        <w:rPr>
          <w:rFonts w:ascii="Times New Roman" w:eastAsia="Times New Roman" w:hAnsi="Times New Roman" w:cs="Times New Roman"/>
          <w:b/>
          <w:sz w:val="24"/>
          <w:szCs w:val="24"/>
          <w:lang w:eastAsia="pl-PL"/>
        </w:rPr>
        <w:t xml:space="preserve"> </w:t>
      </w:r>
      <w:r w:rsidRPr="00C3195C">
        <w:rPr>
          <w:rFonts w:ascii="Times New Roman" w:eastAsia="Times New Roman" w:hAnsi="Times New Roman" w:cs="Times New Roman"/>
          <w:sz w:val="24"/>
          <w:szCs w:val="24"/>
          <w:lang w:eastAsia="pl-PL"/>
        </w:rPr>
        <w:t xml:space="preserve">wnioski o udostępnienie informacji publicznej. </w:t>
      </w:r>
    </w:p>
    <w:p w14:paraId="4895A4CD" w14:textId="0A4A157F" w:rsidR="00895F16" w:rsidRPr="007F400A" w:rsidRDefault="0098413C" w:rsidP="00A70AA2">
      <w:pPr>
        <w:spacing w:after="0" w:line="300" w:lineRule="atLeast"/>
        <w:ind w:firstLine="567"/>
        <w:jc w:val="both"/>
        <w:rPr>
          <w:rFonts w:ascii="Times New Roman" w:eastAsia="Arial" w:hAnsi="Times New Roman" w:cs="Times New Roman"/>
          <w:sz w:val="24"/>
          <w:szCs w:val="24"/>
          <w:lang w:eastAsia="pl-PL"/>
        </w:rPr>
      </w:pPr>
      <w:r w:rsidRPr="00BE3A15">
        <w:rPr>
          <w:rFonts w:ascii="Times New Roman" w:eastAsia="Times New Roman" w:hAnsi="Times New Roman" w:cs="Times New Roman"/>
          <w:sz w:val="24"/>
          <w:szCs w:val="24"/>
          <w:lang w:eastAsia="pl-PL"/>
        </w:rPr>
        <w:t xml:space="preserve">Wnioski te dotyczyły w szczególności: </w:t>
      </w:r>
      <w:r w:rsidRPr="0076200E">
        <w:rPr>
          <w:rFonts w:ascii="Times New Roman" w:eastAsia="Times New Roman" w:hAnsi="Times New Roman" w:cs="Times New Roman"/>
          <w:sz w:val="24"/>
          <w:szCs w:val="24"/>
          <w:lang w:eastAsia="pl-PL"/>
        </w:rPr>
        <w:t>wydan</w:t>
      </w:r>
      <w:r>
        <w:rPr>
          <w:rFonts w:ascii="Times New Roman" w:eastAsia="Times New Roman" w:hAnsi="Times New Roman" w:cs="Times New Roman"/>
          <w:sz w:val="24"/>
          <w:szCs w:val="24"/>
          <w:lang w:eastAsia="pl-PL"/>
        </w:rPr>
        <w:t>ych</w:t>
      </w:r>
      <w:r w:rsidRPr="0076200E">
        <w:rPr>
          <w:rFonts w:ascii="Times New Roman" w:eastAsia="Times New Roman" w:hAnsi="Times New Roman" w:cs="Times New Roman"/>
          <w:sz w:val="24"/>
          <w:szCs w:val="24"/>
          <w:lang w:eastAsia="pl-PL"/>
        </w:rPr>
        <w:t xml:space="preserve"> decyzj</w:t>
      </w:r>
      <w:r>
        <w:rPr>
          <w:rFonts w:ascii="Times New Roman" w:eastAsia="Times New Roman" w:hAnsi="Times New Roman" w:cs="Times New Roman"/>
          <w:sz w:val="24"/>
          <w:szCs w:val="24"/>
          <w:lang w:eastAsia="pl-PL"/>
        </w:rPr>
        <w:t>i</w:t>
      </w:r>
      <w:r w:rsidRPr="0076200E">
        <w:rPr>
          <w:rFonts w:ascii="Times New Roman" w:eastAsia="Times New Roman" w:hAnsi="Times New Roman" w:cs="Times New Roman"/>
          <w:sz w:val="24"/>
          <w:szCs w:val="24"/>
          <w:lang w:eastAsia="pl-PL"/>
        </w:rPr>
        <w:t xml:space="preserve"> administracyjn</w:t>
      </w:r>
      <w:r>
        <w:rPr>
          <w:rFonts w:ascii="Times New Roman" w:eastAsia="Times New Roman" w:hAnsi="Times New Roman" w:cs="Times New Roman"/>
          <w:sz w:val="24"/>
          <w:szCs w:val="24"/>
          <w:lang w:eastAsia="pl-PL"/>
        </w:rPr>
        <w:t>ych</w:t>
      </w:r>
      <w:r w:rsidRPr="0076200E">
        <w:rPr>
          <w:rFonts w:ascii="Times New Roman" w:eastAsia="Times New Roman" w:hAnsi="Times New Roman" w:cs="Times New Roman"/>
          <w:sz w:val="24"/>
          <w:szCs w:val="24"/>
          <w:lang w:eastAsia="pl-PL"/>
        </w:rPr>
        <w:t xml:space="preserve"> wymierzając</w:t>
      </w:r>
      <w:r>
        <w:rPr>
          <w:rFonts w:ascii="Times New Roman" w:eastAsia="Times New Roman" w:hAnsi="Times New Roman" w:cs="Times New Roman"/>
          <w:sz w:val="24"/>
          <w:szCs w:val="24"/>
          <w:lang w:eastAsia="pl-PL"/>
        </w:rPr>
        <w:t>ych</w:t>
      </w:r>
      <w:r w:rsidRPr="0076200E">
        <w:rPr>
          <w:rFonts w:ascii="Times New Roman" w:eastAsia="Times New Roman" w:hAnsi="Times New Roman" w:cs="Times New Roman"/>
          <w:sz w:val="24"/>
          <w:szCs w:val="24"/>
          <w:lang w:eastAsia="pl-PL"/>
        </w:rPr>
        <w:t xml:space="preserve"> pieniężne kary administracyjne</w:t>
      </w:r>
      <w:r>
        <w:rPr>
          <w:rFonts w:ascii="Times New Roman" w:eastAsia="Times New Roman" w:hAnsi="Times New Roman" w:cs="Times New Roman"/>
          <w:sz w:val="24"/>
          <w:szCs w:val="24"/>
          <w:lang w:eastAsia="pl-PL"/>
        </w:rPr>
        <w:t xml:space="preserve">, planów kontroli danego wojewódzkiego inspektoratu ochrony środowiska, działalności kontrolnej i działań pokontrolnych, </w:t>
      </w:r>
      <w:r w:rsidRPr="00BE3A15">
        <w:rPr>
          <w:rFonts w:ascii="Times New Roman" w:hAnsi="Times New Roman" w:cs="Times New Roman"/>
          <w:sz w:val="24"/>
          <w:szCs w:val="24"/>
        </w:rPr>
        <w:t>transgranicznego przemieszczania odpadów, gospodarki opakowaniami i odpadami opakowaniowymi, danych dotyczących kontroli transportów towarów i odpadów, działalności w zakresie ścigania przestępstw i wykroczeń przeciwko środowisku przez IOŚ, a także zapytań ofertowych i składników rzeczowych majątku ruchomego</w:t>
      </w:r>
      <w:r w:rsidR="00895F16" w:rsidRPr="007F400A">
        <w:rPr>
          <w:rFonts w:ascii="Times New Roman" w:eastAsia="Times New Roman" w:hAnsi="Times New Roman" w:cs="Times New Roman"/>
          <w:sz w:val="24"/>
          <w:szCs w:val="24"/>
          <w:lang w:eastAsia="pl-PL"/>
        </w:rPr>
        <w:t>.</w:t>
      </w:r>
      <w:r w:rsidR="00895F16" w:rsidRPr="007F400A">
        <w:rPr>
          <w:rFonts w:ascii="Times New Roman" w:eastAsia="Arial" w:hAnsi="Times New Roman" w:cs="Times New Roman"/>
          <w:sz w:val="24"/>
          <w:szCs w:val="24"/>
          <w:lang w:eastAsia="pl-PL"/>
        </w:rPr>
        <w:t xml:space="preserve"> </w:t>
      </w:r>
    </w:p>
    <w:p w14:paraId="2FE02E8E" w14:textId="77777777" w:rsidR="00895F16" w:rsidRPr="007F400A" w:rsidRDefault="00895F16" w:rsidP="00895F16">
      <w:pPr>
        <w:spacing w:after="0" w:line="300" w:lineRule="atLeast"/>
        <w:jc w:val="both"/>
        <w:rPr>
          <w:rFonts w:ascii="Times New Roman" w:eastAsia="Arial" w:hAnsi="Times New Roman" w:cs="Times New Roman"/>
          <w:sz w:val="24"/>
          <w:szCs w:val="24"/>
          <w:lang w:eastAsia="pl-PL"/>
        </w:rPr>
      </w:pPr>
    </w:p>
    <w:p w14:paraId="4666CE82" w14:textId="77777777" w:rsidR="00895F16" w:rsidRPr="007F400A" w:rsidRDefault="00895F16" w:rsidP="00895F16">
      <w:pPr>
        <w:keepNext/>
        <w:spacing w:after="120" w:line="300" w:lineRule="atLeast"/>
        <w:outlineLvl w:val="0"/>
        <w:rPr>
          <w:rFonts w:ascii="Times New Roman" w:eastAsia="Arial" w:hAnsi="Times New Roman" w:cs="Times New Roman"/>
          <w:b/>
          <w:bCs/>
          <w:sz w:val="24"/>
          <w:szCs w:val="24"/>
          <w:lang w:val="x-none" w:eastAsia="x-none"/>
        </w:rPr>
      </w:pPr>
      <w:bookmarkStart w:id="451" w:name="_Toc36732655"/>
      <w:bookmarkStart w:id="452" w:name="_Toc135935731"/>
      <w:r w:rsidRPr="007F400A">
        <w:rPr>
          <w:rFonts w:ascii="Times New Roman" w:eastAsia="Arial" w:hAnsi="Times New Roman" w:cs="Times New Roman"/>
          <w:b/>
          <w:bCs/>
          <w:sz w:val="24"/>
          <w:szCs w:val="24"/>
          <w:lang w:val="x-none" w:eastAsia="x-none"/>
        </w:rPr>
        <w:t>3. Informacje udzielone za pomocą nowych mediów</w:t>
      </w:r>
      <w:bookmarkEnd w:id="451"/>
      <w:bookmarkEnd w:id="452"/>
    </w:p>
    <w:p w14:paraId="5309F83F" w14:textId="2C409673" w:rsidR="0098413C" w:rsidRPr="00FB7D65" w:rsidRDefault="0098413C" w:rsidP="006D6975">
      <w:pPr>
        <w:spacing w:after="0" w:line="300" w:lineRule="atLeast"/>
        <w:ind w:firstLine="567"/>
        <w:jc w:val="both"/>
        <w:rPr>
          <w:rFonts w:ascii="Times New Roman" w:eastAsia="Arial" w:hAnsi="Times New Roman" w:cs="Times New Roman"/>
          <w:sz w:val="24"/>
          <w:szCs w:val="24"/>
          <w:lang w:eastAsia="pl-PL"/>
        </w:rPr>
      </w:pPr>
      <w:r w:rsidRPr="00FB7D65">
        <w:rPr>
          <w:rFonts w:ascii="Times New Roman" w:eastAsia="Arial" w:hAnsi="Times New Roman" w:cs="Times New Roman"/>
          <w:sz w:val="24"/>
          <w:szCs w:val="24"/>
          <w:lang w:eastAsia="pl-PL"/>
        </w:rPr>
        <w:t xml:space="preserve">W celu ułatwienia dostępu zarówno do informacji publicznych, jak i informacji </w:t>
      </w:r>
      <w:r w:rsidRPr="00FB7D65">
        <w:rPr>
          <w:rFonts w:ascii="Times New Roman" w:eastAsia="Arial" w:hAnsi="Times New Roman" w:cs="Times New Roman"/>
          <w:sz w:val="24"/>
          <w:szCs w:val="24"/>
          <w:lang w:eastAsia="pl-PL"/>
        </w:rPr>
        <w:br/>
        <w:t xml:space="preserve">o środowisku i jego ochronie, w 2022 roku Główny Inspektor Ochrony Środowiska </w:t>
      </w:r>
      <w:r w:rsidRPr="00FB7D65">
        <w:rPr>
          <w:rFonts w:ascii="Times New Roman" w:eastAsia="Arial" w:hAnsi="Times New Roman" w:cs="Times New Roman"/>
          <w:sz w:val="24"/>
          <w:szCs w:val="24"/>
          <w:lang w:eastAsia="pl-PL"/>
        </w:rPr>
        <w:br/>
        <w:t xml:space="preserve">i wojewódzcy inspektorzy na bieżąco aktualizowali i dostosowywali narzędzia internetowe do aktualnie obowiązujących standardów prezentacji informacji. </w:t>
      </w:r>
    </w:p>
    <w:p w14:paraId="40857AEE" w14:textId="0866000D" w:rsidR="0098413C" w:rsidRPr="00FB7D65" w:rsidRDefault="0098413C" w:rsidP="006D6975">
      <w:pPr>
        <w:spacing w:after="0" w:line="300" w:lineRule="atLeast"/>
        <w:ind w:firstLine="567"/>
        <w:jc w:val="both"/>
        <w:rPr>
          <w:rFonts w:ascii="Times New Roman" w:eastAsia="Arial" w:hAnsi="Times New Roman" w:cs="Times New Roman"/>
          <w:sz w:val="24"/>
          <w:szCs w:val="24"/>
          <w:lang w:eastAsia="pl-PL"/>
        </w:rPr>
      </w:pPr>
      <w:r w:rsidRPr="00FB7D65">
        <w:rPr>
          <w:rFonts w:ascii="Times New Roman" w:eastAsia="Arial" w:hAnsi="Times New Roman" w:cs="Times New Roman"/>
          <w:sz w:val="24"/>
          <w:szCs w:val="24"/>
          <w:lang w:eastAsia="pl-PL"/>
        </w:rPr>
        <w:t xml:space="preserve">W </w:t>
      </w:r>
      <w:r w:rsidR="00956598">
        <w:rPr>
          <w:rFonts w:ascii="Times New Roman" w:eastAsia="Arial" w:hAnsi="Times New Roman" w:cs="Times New Roman"/>
          <w:sz w:val="24"/>
          <w:szCs w:val="24"/>
          <w:lang w:eastAsia="pl-PL"/>
        </w:rPr>
        <w:t xml:space="preserve">roku ubiegłym </w:t>
      </w:r>
      <w:r w:rsidRPr="00FB7D65">
        <w:rPr>
          <w:rFonts w:ascii="Times New Roman" w:eastAsia="Arial" w:hAnsi="Times New Roman" w:cs="Times New Roman"/>
          <w:sz w:val="24"/>
          <w:szCs w:val="24"/>
          <w:lang w:eastAsia="pl-PL"/>
        </w:rPr>
        <w:t xml:space="preserve">profile Głównego Inspektoratu Ochrony Środowiska </w:t>
      </w:r>
      <w:r w:rsidR="00956598">
        <w:rPr>
          <w:rFonts w:ascii="Times New Roman" w:eastAsia="Arial" w:hAnsi="Times New Roman" w:cs="Times New Roman"/>
          <w:sz w:val="24"/>
          <w:szCs w:val="24"/>
          <w:lang w:eastAsia="pl-PL"/>
        </w:rPr>
        <w:t xml:space="preserve">cieszyły się również zainteresowaniem </w:t>
      </w:r>
      <w:r w:rsidRPr="00FB7D65">
        <w:rPr>
          <w:rFonts w:ascii="Times New Roman" w:eastAsia="Arial" w:hAnsi="Times New Roman" w:cs="Times New Roman"/>
          <w:sz w:val="24"/>
          <w:szCs w:val="24"/>
          <w:lang w:eastAsia="pl-PL"/>
        </w:rPr>
        <w:t xml:space="preserve">na platformach społecznościowych </w:t>
      </w:r>
      <w:r w:rsidR="00956598">
        <w:rPr>
          <w:rFonts w:ascii="Times New Roman" w:eastAsia="Arial" w:hAnsi="Times New Roman" w:cs="Times New Roman"/>
          <w:sz w:val="24"/>
          <w:szCs w:val="24"/>
          <w:lang w:eastAsia="pl-PL"/>
        </w:rPr>
        <w:t>i w serwisach internetowych</w:t>
      </w:r>
      <w:r w:rsidR="009064E1">
        <w:rPr>
          <w:rFonts w:ascii="Times New Roman" w:eastAsia="Arial" w:hAnsi="Times New Roman" w:cs="Times New Roman"/>
          <w:sz w:val="24"/>
          <w:szCs w:val="24"/>
          <w:lang w:eastAsia="pl-PL"/>
        </w:rPr>
        <w:t xml:space="preserve">, np. </w:t>
      </w:r>
      <w:r w:rsidR="00956598">
        <w:rPr>
          <w:rFonts w:ascii="Times New Roman" w:eastAsia="Arial" w:hAnsi="Times New Roman" w:cs="Times New Roman"/>
          <w:sz w:val="24"/>
          <w:szCs w:val="24"/>
          <w:lang w:eastAsia="pl-PL"/>
        </w:rPr>
        <w:t xml:space="preserve">Profil GIOŚ na </w:t>
      </w:r>
      <w:r w:rsidRPr="00FB7D65">
        <w:rPr>
          <w:rFonts w:ascii="Times New Roman" w:eastAsia="Arial" w:hAnsi="Times New Roman" w:cs="Times New Roman"/>
          <w:sz w:val="24"/>
          <w:szCs w:val="24"/>
          <w:lang w:eastAsia="pl-PL"/>
        </w:rPr>
        <w:t>Facebook</w:t>
      </w:r>
      <w:r w:rsidR="00956598">
        <w:rPr>
          <w:rFonts w:ascii="Times New Roman" w:eastAsia="Arial" w:hAnsi="Times New Roman" w:cs="Times New Roman"/>
          <w:sz w:val="24"/>
          <w:szCs w:val="24"/>
          <w:lang w:eastAsia="pl-PL"/>
        </w:rPr>
        <w:t>u odnotował w 2022 r. blisko 70 tyś. odwiedzin</w:t>
      </w:r>
      <w:r w:rsidRPr="00FB7D65">
        <w:rPr>
          <w:rFonts w:ascii="Times New Roman" w:eastAsia="Arial" w:hAnsi="Times New Roman" w:cs="Times New Roman"/>
          <w:sz w:val="24"/>
          <w:szCs w:val="24"/>
          <w:lang w:eastAsia="pl-PL"/>
        </w:rPr>
        <w:t xml:space="preserve">, </w:t>
      </w:r>
      <w:r w:rsidR="00956598">
        <w:rPr>
          <w:rFonts w:ascii="Times New Roman" w:eastAsia="Arial" w:hAnsi="Times New Roman" w:cs="Times New Roman"/>
          <w:sz w:val="24"/>
          <w:szCs w:val="24"/>
          <w:lang w:eastAsia="pl-PL"/>
        </w:rPr>
        <w:t xml:space="preserve">przy zasięgu ponad 2 mln kont. Kanał GIOŚ na YouTube odnotował ok. 2,2 mln wyświetleń. </w:t>
      </w:r>
      <w:r w:rsidRPr="00FB7D65">
        <w:rPr>
          <w:rFonts w:ascii="Times New Roman" w:eastAsia="Arial" w:hAnsi="Times New Roman" w:cs="Times New Roman"/>
          <w:sz w:val="24"/>
          <w:szCs w:val="24"/>
          <w:lang w:eastAsia="pl-PL"/>
        </w:rPr>
        <w:t xml:space="preserve"> </w:t>
      </w:r>
    </w:p>
    <w:p w14:paraId="5BC9C178" w14:textId="77777777" w:rsidR="0098413C" w:rsidRPr="00CF26F7" w:rsidRDefault="0098413C" w:rsidP="006D6975">
      <w:pPr>
        <w:spacing w:after="0" w:line="300" w:lineRule="atLeast"/>
        <w:ind w:firstLine="567"/>
        <w:jc w:val="both"/>
        <w:rPr>
          <w:rFonts w:ascii="Times New Roman" w:eastAsia="Arial" w:hAnsi="Times New Roman" w:cs="Times New Roman"/>
          <w:sz w:val="24"/>
          <w:szCs w:val="24"/>
          <w:lang w:eastAsia="pl-PL"/>
        </w:rPr>
      </w:pPr>
      <w:r w:rsidRPr="00CF26F7">
        <w:rPr>
          <w:rFonts w:ascii="Times New Roman" w:eastAsia="Arial" w:hAnsi="Times New Roman" w:cs="Times New Roman"/>
          <w:sz w:val="24"/>
          <w:szCs w:val="24"/>
          <w:lang w:eastAsia="pl-PL"/>
        </w:rPr>
        <w:t xml:space="preserve">Organy Inspekcji zarządzały również portalami, stronami tematycznymi oraz produktami internetowymi, z których </w:t>
      </w:r>
      <w:r w:rsidRPr="00CF26F7">
        <w:rPr>
          <w:rFonts w:ascii="Times New Roman" w:eastAsia="Times New Roman" w:hAnsi="Times New Roman" w:cs="Times New Roman"/>
          <w:sz w:val="24"/>
          <w:szCs w:val="24"/>
          <w:lang w:eastAsia="pl-PL"/>
        </w:rPr>
        <w:t>wymienić należy:</w:t>
      </w:r>
    </w:p>
    <w:p w14:paraId="660FFD98" w14:textId="1BBA8FA5" w:rsidR="0098413C" w:rsidRPr="00E40FFC" w:rsidRDefault="0098413C" w:rsidP="00D34F97">
      <w:pPr>
        <w:pStyle w:val="Tekstpodstawowywcity2"/>
        <w:numPr>
          <w:ilvl w:val="0"/>
          <w:numId w:val="40"/>
        </w:numPr>
        <w:spacing w:after="0" w:line="276" w:lineRule="auto"/>
        <w:ind w:left="641" w:hanging="357"/>
        <w:jc w:val="both"/>
      </w:pPr>
      <w:r w:rsidRPr="00E40FFC">
        <w:t>portal „Jakość powietrza” (</w:t>
      </w:r>
      <w:hyperlink r:id="rId198" w:history="1">
        <w:r w:rsidR="009B45DA" w:rsidRPr="00637814">
          <w:rPr>
            <w:rStyle w:val="Hipercze"/>
          </w:rPr>
          <w:t>https://powietrze.gios.gov.pl</w:t>
        </w:r>
      </w:hyperlink>
      <w:r>
        <w:t xml:space="preserve"> </w:t>
      </w:r>
      <w:r w:rsidRPr="00E40FFC">
        <w:t>), stanowiący kompleksowe źródło informacji w zakresie monitoringu jakości powietrza. Na portalu udostępniane były dane pomiarowe z ok. 280 stacji pomiarowych funkcjonujących w sieci Państwowego Monitoringu Środowiska, rozmieszczonych na terenie całego kraju. Około 210 z nich to stacje automatyczne, prezentujące bieżącą informację o jakości powietrza na podstawie wyników pomiarów z ostatniej pełnej godziny. Informacja o</w:t>
      </w:r>
      <w:r>
        <w:t> </w:t>
      </w:r>
      <w:r w:rsidRPr="00E40FFC">
        <w:t xml:space="preserve">aktualnym stanie jakości powietrza prezentowana była również na mapie danych pomiarowych </w:t>
      </w:r>
      <w:r w:rsidR="009064E1">
        <w:br/>
      </w:r>
      <w:r w:rsidRPr="00E40FFC">
        <w:t xml:space="preserve">w postaci wskazań indeksu jakości powietrza. Na portalu „Jakość Powietrza” udostępniano również m.in. powiadomienia o ryzyku i wystąpieniu przekroczenia poziomu informowania lub alarmowego dla pyłu zawieszonego PM10, komunikaty </w:t>
      </w:r>
      <w:r w:rsidR="009064E1">
        <w:br/>
      </w:r>
      <w:r w:rsidRPr="00E40FFC">
        <w:t>o aktualnym i prognozowanym stanie jakości powietrza, informacje o</w:t>
      </w:r>
      <w:r>
        <w:t> </w:t>
      </w:r>
      <w:r w:rsidRPr="00E40FFC">
        <w:t>stacjach pomiarowych, wyniki ocen jakości powietrza, prognozy krótko- i</w:t>
      </w:r>
      <w:r>
        <w:t> </w:t>
      </w:r>
      <w:r w:rsidRPr="00E40FFC">
        <w:t xml:space="preserve">długoterminowe, analizy i raporty z przeprowadzonych w ramach PMŚ badań jakości powietrza, informacje na temat uchwalonych programów ochrony powietrza oraz wiele map tematycznych, w tym mapy rozkładów stężeń zanieczyszczeń. Zgodnie </w:t>
      </w:r>
      <w:r w:rsidRPr="00E40FFC">
        <w:lastRenderedPageBreak/>
        <w:t>z</w:t>
      </w:r>
      <w:r>
        <w:t> </w:t>
      </w:r>
      <w:r w:rsidRPr="00E40FFC">
        <w:t>rozporządzeniem Ministra Klimatu i Środowiska z dnia 13 listopada 2020 r. w sprawie zakresu i sposobu przekazywania informacji dotyczących zanieczyszczenia powietrza</w:t>
      </w:r>
      <w:r w:rsidR="009064E1">
        <w:rPr>
          <w:rStyle w:val="Odwoanieprzypisudolnego"/>
        </w:rPr>
        <w:footnoteReference w:id="118"/>
      </w:r>
      <w:r w:rsidRPr="00E40FFC">
        <w:t xml:space="preserve"> na portalu „Jakość Powietrza” publikowano również trzydniowe prognozy jakości powietrza, prezentowane w postaci map dla obszaru całej Polski, opracowywane przez Instytut Ochrony Środowiska – Państwowy Instytut Badawczy; </w:t>
      </w:r>
    </w:p>
    <w:p w14:paraId="0E80AABB" w14:textId="77777777" w:rsidR="0098413C" w:rsidRPr="00E40FFC" w:rsidRDefault="0098413C" w:rsidP="00D34F97">
      <w:pPr>
        <w:pStyle w:val="Tekstpodstawowywcity2"/>
        <w:numPr>
          <w:ilvl w:val="0"/>
          <w:numId w:val="40"/>
        </w:numPr>
        <w:spacing w:after="0" w:line="276" w:lineRule="auto"/>
        <w:ind w:left="641" w:hanging="357"/>
        <w:jc w:val="both"/>
      </w:pPr>
      <w:r w:rsidRPr="00E40FFC">
        <w:t>usługi API portalu Jakość Powietrza, zapewniające cyfrowy dostęp do 1-godzinnych wyników pomiarów i aktualnych wskazań indeksu jakości powietrza;</w:t>
      </w:r>
    </w:p>
    <w:p w14:paraId="79227ABB" w14:textId="1C089CCF" w:rsidR="0098413C" w:rsidRDefault="0098413C" w:rsidP="00D34F97">
      <w:pPr>
        <w:pStyle w:val="Tekstpodstawowywcity2"/>
        <w:numPr>
          <w:ilvl w:val="0"/>
          <w:numId w:val="40"/>
        </w:numPr>
        <w:spacing w:after="0" w:line="276" w:lineRule="auto"/>
        <w:ind w:left="641" w:hanging="357"/>
        <w:jc w:val="both"/>
      </w:pPr>
      <w:r w:rsidRPr="00E40FFC">
        <w:t>aplikację mobilną „Jakość powietrza w Polsce” na urządzenia z systemem Android i</w:t>
      </w:r>
      <w:r>
        <w:t> </w:t>
      </w:r>
      <w:r w:rsidRPr="00E40FFC">
        <w:t>iOS, prezentującą bieżące dane o jakości powietrza (dane aktualizowane co godzinę), mapy prognoz jakości powietrza opracowywane przez Instytut Ochrony Środowiska – Państwowy Instytut Badawczy, informacje o przekroczeniach oraz aktualności</w:t>
      </w:r>
      <w:r w:rsidR="009064E1">
        <w:rPr>
          <w:lang w:val="pl-PL"/>
        </w:rPr>
        <w:t>;</w:t>
      </w:r>
    </w:p>
    <w:p w14:paraId="3ACB5DFB" w14:textId="3E269A64" w:rsidR="0098413C" w:rsidRPr="00951EA3" w:rsidRDefault="00C601FE" w:rsidP="00D34F97">
      <w:pPr>
        <w:pStyle w:val="Tekstpodstawowywcity2"/>
        <w:numPr>
          <w:ilvl w:val="0"/>
          <w:numId w:val="40"/>
        </w:numPr>
        <w:spacing w:after="0" w:line="276" w:lineRule="auto"/>
        <w:ind w:left="641" w:hanging="357"/>
        <w:jc w:val="both"/>
      </w:pPr>
      <w:hyperlink r:id="rId199" w:history="1">
        <w:r w:rsidR="0098413C" w:rsidRPr="00951EA3">
          <w:rPr>
            <w:rStyle w:val="Hipercze"/>
          </w:rPr>
          <w:t>https://wody.gios.gov.pl/pjwp/api/</w:t>
        </w:r>
      </w:hyperlink>
      <w:r w:rsidR="0098413C" w:rsidRPr="00951EA3">
        <w:t xml:space="preserve"> portal jakości wód powierzchniowych zawierający wyniki monitoringu i oceny wód powierzchniowych (rzecznych, jeziornych oraz przejściowych i przybrzeżnych), artykuły oraz usługi sieciowe</w:t>
      </w:r>
      <w:r w:rsidR="009064E1">
        <w:rPr>
          <w:lang w:val="pl-PL"/>
        </w:rPr>
        <w:t>;</w:t>
      </w:r>
    </w:p>
    <w:p w14:paraId="26E13E60" w14:textId="450C302D" w:rsidR="0098413C" w:rsidRPr="00951EA3" w:rsidRDefault="0098413C" w:rsidP="00D34F97">
      <w:pPr>
        <w:pStyle w:val="Tekstpodstawowywcity2"/>
        <w:numPr>
          <w:ilvl w:val="0"/>
          <w:numId w:val="40"/>
        </w:numPr>
        <w:spacing w:after="0" w:line="276" w:lineRule="auto"/>
        <w:ind w:left="641" w:hanging="357"/>
        <w:jc w:val="both"/>
      </w:pPr>
      <w:r w:rsidRPr="00951EA3">
        <w:t>została dokonana aktualizacja strony internetowej monitoringu jakości wód podziemnych (</w:t>
      </w:r>
      <w:hyperlink r:id="rId200" w:history="1">
        <w:r w:rsidRPr="00951EA3">
          <w:rPr>
            <w:color w:val="0563C1"/>
            <w:u w:val="single"/>
          </w:rPr>
          <w:t>http://mjwp.gios.gov.pl/</w:t>
        </w:r>
      </w:hyperlink>
      <w:r w:rsidRPr="00951EA3">
        <w:t xml:space="preserve">), w ramach której przede wszystkim zamieszczono i umożliwiono pobieranie plików z wynikami badań wskaźników fizyczno-chemicznych oraz plików z wynikami klasyfikacji jakości wód podziemnych w punktach pomiarowych za 2021 rok; przygotowano mapę </w:t>
      </w:r>
      <w:r w:rsidRPr="00951EA3">
        <w:rPr>
          <w:color w:val="000000"/>
        </w:rPr>
        <w:t>z wynikami oceny klas jakości wód podziemnych w punktach pomiarowych za 2021 rok</w:t>
      </w:r>
      <w:r w:rsidR="009064E1">
        <w:rPr>
          <w:color w:val="000000"/>
          <w:lang w:val="pl-PL"/>
        </w:rPr>
        <w:t>,</w:t>
      </w:r>
      <w:r w:rsidRPr="00951EA3">
        <w:rPr>
          <w:color w:val="000000"/>
        </w:rPr>
        <w:t xml:space="preserve"> posiadając</w:t>
      </w:r>
      <w:r w:rsidR="009064E1">
        <w:rPr>
          <w:color w:val="000000"/>
          <w:lang w:val="pl-PL"/>
        </w:rPr>
        <w:t>ą</w:t>
      </w:r>
      <w:r w:rsidRPr="00951EA3">
        <w:rPr>
          <w:color w:val="000000"/>
        </w:rPr>
        <w:t xml:space="preserve"> moduł powiększania</w:t>
      </w:r>
      <w:r w:rsidR="009064E1">
        <w:rPr>
          <w:color w:val="000000"/>
          <w:lang w:val="pl-PL"/>
        </w:rPr>
        <w:t>;</w:t>
      </w:r>
      <w:r w:rsidRPr="00951EA3">
        <w:t xml:space="preserve">  uaktualniono także informacje o sieci pomiarowej monitoringu jakości wód podziemnych w zestawieniach tabelarycznych, w wyszukiwarce punktów monitoringowych oraz na mapie przedstawiającej ich lokalizację</w:t>
      </w:r>
      <w:r w:rsidR="009064E1">
        <w:rPr>
          <w:lang w:val="pl-PL"/>
        </w:rPr>
        <w:t>;</w:t>
      </w:r>
    </w:p>
    <w:p w14:paraId="2A22BAB3" w14:textId="5DD2A17B" w:rsidR="0098413C" w:rsidRPr="00951EA3" w:rsidRDefault="00C601FE" w:rsidP="00D34F97">
      <w:pPr>
        <w:pStyle w:val="Tekstpodstawowywcity2"/>
        <w:numPr>
          <w:ilvl w:val="0"/>
          <w:numId w:val="40"/>
        </w:numPr>
        <w:spacing w:after="0" w:line="276" w:lineRule="auto"/>
        <w:ind w:left="641" w:hanging="357"/>
        <w:jc w:val="both"/>
      </w:pPr>
      <w:hyperlink r:id="rId201" w:history="1">
        <w:r w:rsidR="0098413C" w:rsidRPr="00951EA3">
          <w:rPr>
            <w:rStyle w:val="Hipercze"/>
          </w:rPr>
          <w:t>https://rdsm.gios.gov.pl/</w:t>
        </w:r>
      </w:hyperlink>
      <w:r w:rsidR="0098413C" w:rsidRPr="00951EA3">
        <w:rPr>
          <w:color w:val="7030A0"/>
        </w:rPr>
        <w:t xml:space="preserve"> </w:t>
      </w:r>
      <w:r w:rsidR="0098413C" w:rsidRPr="00951EA3">
        <w:rPr>
          <w:rFonts w:eastAsia="Calibri"/>
          <w:color w:val="000000"/>
        </w:rPr>
        <w:t>- strona informująca dotycząca Ramowej Dyrektywy w</w:t>
      </w:r>
      <w:r w:rsidR="0098413C">
        <w:rPr>
          <w:rFonts w:eastAsia="Calibri"/>
          <w:color w:val="000000"/>
        </w:rPr>
        <w:t> </w:t>
      </w:r>
      <w:r w:rsidR="0098413C" w:rsidRPr="00951EA3">
        <w:rPr>
          <w:rFonts w:eastAsia="Calibri"/>
          <w:color w:val="000000"/>
        </w:rPr>
        <w:t>sprawie Strategii Morskiej. Na stronie są zamieszczane bieżące informacje dotyczące wdrażania dyrektywy, znajdujące się w kompetencji Głównego Inspektora ochrony Środowiska. Na stronie zamieszczono najbardziej aktualną ocenę stanu środowiska wód morskich za rok 2021 na tle poprzedzającego 10-lecia, wykonaną na podstawie danych PMŚ</w:t>
      </w:r>
      <w:r w:rsidR="009064E1">
        <w:rPr>
          <w:rFonts w:eastAsia="Calibri"/>
          <w:color w:val="000000"/>
          <w:lang w:val="pl-PL"/>
        </w:rPr>
        <w:t>;</w:t>
      </w:r>
    </w:p>
    <w:p w14:paraId="116125FE" w14:textId="77777777" w:rsidR="0098413C" w:rsidRDefault="0098413C" w:rsidP="00D34F97">
      <w:pPr>
        <w:pStyle w:val="Tekstpodstawowywcity2"/>
        <w:numPr>
          <w:ilvl w:val="0"/>
          <w:numId w:val="40"/>
        </w:numPr>
        <w:spacing w:after="0" w:line="276" w:lineRule="auto"/>
        <w:ind w:left="641" w:hanging="357"/>
        <w:jc w:val="both"/>
      </w:pPr>
      <w:r>
        <w:t>z</w:t>
      </w:r>
      <w:r w:rsidRPr="00C8583E">
        <w:t xml:space="preserve">aktualizowano (merytorycznie) stronę monitoringu gatunków i siedlisk przyrodniczych </w:t>
      </w:r>
      <w:hyperlink r:id="rId202" w:history="1">
        <w:r w:rsidRPr="00C8583E">
          <w:rPr>
            <w:color w:val="0563C1"/>
            <w:u w:val="single"/>
          </w:rPr>
          <w:t>http://siedliska.gios.gov.pl/pl/</w:t>
        </w:r>
      </w:hyperlink>
      <w:r>
        <w:t>;</w:t>
      </w:r>
    </w:p>
    <w:p w14:paraId="56FB4741" w14:textId="67B89154" w:rsidR="0098413C" w:rsidRDefault="0098413C" w:rsidP="00D34F97">
      <w:pPr>
        <w:pStyle w:val="Tekstpodstawowywcity2"/>
        <w:numPr>
          <w:ilvl w:val="0"/>
          <w:numId w:val="40"/>
        </w:numPr>
        <w:spacing w:after="0" w:line="276" w:lineRule="auto"/>
        <w:ind w:left="641" w:hanging="357"/>
        <w:jc w:val="both"/>
      </w:pPr>
      <w:r>
        <w:t>z</w:t>
      </w:r>
      <w:r w:rsidRPr="00C8583E">
        <w:t>aktualizowano (wyniki sezonu 2021/2022 – migracje i zimowanie i 2022 – populacj</w:t>
      </w:r>
      <w:r w:rsidR="009064E1">
        <w:rPr>
          <w:lang w:val="pl-PL"/>
        </w:rPr>
        <w:t>e</w:t>
      </w:r>
      <w:r w:rsidRPr="00C8583E">
        <w:t xml:space="preserve"> lęgowe): strony Monitoringu Ptaków Polski </w:t>
      </w:r>
      <w:hyperlink r:id="rId203" w:history="1">
        <w:r w:rsidRPr="00A248ED">
          <w:rPr>
            <w:rStyle w:val="Hipercze"/>
          </w:rPr>
          <w:t>https://monitoringptakow.gios.gov.pl/</w:t>
        </w:r>
      </w:hyperlink>
      <w:r>
        <w:t xml:space="preserve"> </w:t>
      </w:r>
      <w:r w:rsidRPr="00C8583E">
        <w:t xml:space="preserve">oraz Portal Mapowy PM GIS </w:t>
      </w:r>
      <w:hyperlink r:id="rId204" w:history="1">
        <w:r w:rsidRPr="00C8583E">
          <w:rPr>
            <w:color w:val="0563C1"/>
            <w:u w:val="single"/>
          </w:rPr>
          <w:t>http://monitoringptakow.gios.gov.pl/PM-GIS/</w:t>
        </w:r>
      </w:hyperlink>
      <w:r>
        <w:t>;</w:t>
      </w:r>
    </w:p>
    <w:p w14:paraId="00E97B7C" w14:textId="77777777" w:rsidR="0098413C" w:rsidRDefault="0098413C" w:rsidP="00D34F97">
      <w:pPr>
        <w:pStyle w:val="Tekstpodstawowywcity2"/>
        <w:numPr>
          <w:ilvl w:val="0"/>
          <w:numId w:val="40"/>
        </w:numPr>
        <w:spacing w:after="0" w:line="276" w:lineRule="auto"/>
        <w:ind w:left="641" w:hanging="357"/>
        <w:jc w:val="both"/>
      </w:pPr>
      <w:r>
        <w:t>z</w:t>
      </w:r>
      <w:r w:rsidRPr="00C8583E">
        <w:t xml:space="preserve">aktualizowano (merytorycznie) stronę monitoringu gatunków i siedlisk morskich </w:t>
      </w:r>
      <w:hyperlink r:id="rId205" w:history="1">
        <w:r w:rsidRPr="00C8583E">
          <w:rPr>
            <w:color w:val="0563C1"/>
            <w:u w:val="single"/>
          </w:rPr>
          <w:t>http://morskiesiedliska.gios.gov.pl/</w:t>
        </w:r>
      </w:hyperlink>
      <w:r w:rsidRPr="00C8583E">
        <w:t xml:space="preserve"> bez wprowadzania nowych/nowoczesnych narzędzi</w:t>
      </w:r>
      <w:r>
        <w:t>;</w:t>
      </w:r>
    </w:p>
    <w:p w14:paraId="1832E29F" w14:textId="77777777" w:rsidR="0098413C" w:rsidRPr="0008479C" w:rsidRDefault="0098413C" w:rsidP="00D34F97">
      <w:pPr>
        <w:pStyle w:val="Tekstpodstawowywcity2"/>
        <w:numPr>
          <w:ilvl w:val="0"/>
          <w:numId w:val="40"/>
        </w:numPr>
        <w:spacing w:after="0" w:line="276" w:lineRule="auto"/>
        <w:ind w:left="641" w:hanging="357"/>
        <w:jc w:val="both"/>
      </w:pPr>
      <w:r w:rsidRPr="0008479C">
        <w:t xml:space="preserve">zaktualizowano stronę ZMŚP </w:t>
      </w:r>
      <w:hyperlink r:id="rId206" w:history="1">
        <w:r w:rsidRPr="0008479C">
          <w:rPr>
            <w:rStyle w:val="Hipercze"/>
          </w:rPr>
          <w:t>http://zmsp.gios.gov.pl/</w:t>
        </w:r>
      </w:hyperlink>
      <w:r w:rsidRPr="0008479C">
        <w:t xml:space="preserve"> bez wprowadzania nowych/nowoczesnych narzędzi. Strona Monitoringu Lasów </w:t>
      </w:r>
      <w:hyperlink r:id="rId207" w:history="1">
        <w:r w:rsidRPr="0008479C">
          <w:rPr>
            <w:color w:val="0563C1"/>
            <w:u w:val="single"/>
          </w:rPr>
          <w:t>https://www.gios.gov.pl/monlas/</w:t>
        </w:r>
      </w:hyperlink>
      <w:r w:rsidRPr="0008479C">
        <w:t xml:space="preserve"> nie została zaktualizowana z powodu redukcji środków na realizację monitoringu lasów w 2022 r.;</w:t>
      </w:r>
    </w:p>
    <w:p w14:paraId="732CA56F" w14:textId="77777777" w:rsidR="0098413C" w:rsidRPr="0008479C" w:rsidRDefault="0098413C" w:rsidP="00D34F97">
      <w:pPr>
        <w:numPr>
          <w:ilvl w:val="0"/>
          <w:numId w:val="40"/>
        </w:numPr>
        <w:spacing w:after="0" w:line="300" w:lineRule="atLeast"/>
        <w:ind w:left="641" w:hanging="357"/>
        <w:jc w:val="both"/>
        <w:rPr>
          <w:rFonts w:ascii="Times New Roman" w:eastAsia="Calibri" w:hAnsi="Times New Roman" w:cs="Times New Roman"/>
          <w:sz w:val="24"/>
          <w:szCs w:val="24"/>
        </w:rPr>
      </w:pPr>
      <w:r w:rsidRPr="0008479C">
        <w:rPr>
          <w:rFonts w:ascii="Times New Roman" w:hAnsi="Times New Roman" w:cs="Times New Roman"/>
          <w:sz w:val="24"/>
          <w:szCs w:val="24"/>
        </w:rPr>
        <w:t xml:space="preserve">zaktualizowano portal GIOŚ INSPIRE </w:t>
      </w:r>
      <w:hyperlink r:id="rId208" w:history="1">
        <w:r w:rsidRPr="0008479C">
          <w:rPr>
            <w:rStyle w:val="Hipercze"/>
            <w:sz w:val="24"/>
            <w:szCs w:val="24"/>
          </w:rPr>
          <w:t>https://inspire.gios.gov.pl/portal/</w:t>
        </w:r>
      </w:hyperlink>
      <w:r w:rsidRPr="0008479C">
        <w:rPr>
          <w:rFonts w:ascii="Times New Roman" w:hAnsi="Times New Roman" w:cs="Times New Roman"/>
          <w:sz w:val="24"/>
          <w:szCs w:val="24"/>
        </w:rPr>
        <w:t xml:space="preserve"> o nowe zharmonizowane zbiory danych przestrzennych, metadane i usługi sieciowe oraz tam, gdzie to możliwe</w:t>
      </w:r>
      <w:r>
        <w:rPr>
          <w:rFonts w:ascii="Times New Roman" w:hAnsi="Times New Roman" w:cs="Times New Roman"/>
          <w:sz w:val="24"/>
          <w:szCs w:val="24"/>
        </w:rPr>
        <w:t>,</w:t>
      </w:r>
      <w:r w:rsidRPr="0008479C">
        <w:rPr>
          <w:rFonts w:ascii="Times New Roman" w:hAnsi="Times New Roman" w:cs="Times New Roman"/>
          <w:sz w:val="24"/>
          <w:szCs w:val="24"/>
        </w:rPr>
        <w:t xml:space="preserve"> zaktualizowano zharmonizowane zbiory danych i metadane</w:t>
      </w:r>
      <w:r w:rsidRPr="0008479C">
        <w:rPr>
          <w:rFonts w:ascii="Times New Roman" w:eastAsia="Arial" w:hAnsi="Times New Roman" w:cs="Times New Roman"/>
          <w:sz w:val="24"/>
          <w:szCs w:val="24"/>
        </w:rPr>
        <w:t>.</w:t>
      </w:r>
    </w:p>
    <w:p w14:paraId="70D6D754" w14:textId="77777777" w:rsidR="00895F16" w:rsidRPr="007F400A" w:rsidRDefault="00895F16" w:rsidP="00895F16">
      <w:pPr>
        <w:spacing w:after="0" w:line="300" w:lineRule="atLeast"/>
        <w:jc w:val="both"/>
        <w:rPr>
          <w:rFonts w:ascii="Times New Roman" w:eastAsia="Arial" w:hAnsi="Times New Roman" w:cs="Times New Roman"/>
          <w:sz w:val="24"/>
          <w:szCs w:val="24"/>
          <w:lang w:eastAsia="pl-PL"/>
        </w:rPr>
      </w:pPr>
    </w:p>
    <w:p w14:paraId="7D0F94F1" w14:textId="77777777" w:rsidR="00895F16" w:rsidRPr="007F400A" w:rsidRDefault="00895F16" w:rsidP="001D6CB3">
      <w:pPr>
        <w:keepNext/>
        <w:spacing w:after="120" w:line="300" w:lineRule="atLeast"/>
        <w:jc w:val="both"/>
        <w:outlineLvl w:val="0"/>
        <w:rPr>
          <w:rFonts w:ascii="Times New Roman" w:eastAsia="Arial" w:hAnsi="Times New Roman" w:cs="Times New Roman"/>
          <w:b/>
          <w:bCs/>
          <w:sz w:val="24"/>
          <w:szCs w:val="24"/>
          <w:lang w:eastAsia="x-none"/>
        </w:rPr>
      </w:pPr>
      <w:bookmarkStart w:id="453" w:name="_Toc135935732"/>
      <w:bookmarkStart w:id="454" w:name="_Toc5878588"/>
      <w:bookmarkStart w:id="455" w:name="_Toc36732656"/>
      <w:r w:rsidRPr="007F400A">
        <w:rPr>
          <w:rFonts w:ascii="Times New Roman" w:eastAsia="Arial" w:hAnsi="Times New Roman" w:cs="Times New Roman"/>
          <w:b/>
          <w:bCs/>
          <w:sz w:val="24"/>
          <w:szCs w:val="24"/>
          <w:lang w:val="x-none" w:eastAsia="x-none"/>
        </w:rPr>
        <w:t xml:space="preserve">4. Informacje udzielone przedstawicielom tradycyjnych mediów - prasa, radio </w:t>
      </w:r>
      <w:r w:rsidRPr="007F400A">
        <w:rPr>
          <w:rFonts w:ascii="Times New Roman" w:eastAsia="Arial" w:hAnsi="Times New Roman" w:cs="Times New Roman"/>
          <w:b/>
          <w:bCs/>
          <w:sz w:val="24"/>
          <w:szCs w:val="24"/>
          <w:lang w:eastAsia="x-none"/>
        </w:rPr>
        <w:t>i telewizja</w:t>
      </w:r>
      <w:bookmarkEnd w:id="453"/>
    </w:p>
    <w:bookmarkEnd w:id="454"/>
    <w:bookmarkEnd w:id="455"/>
    <w:p w14:paraId="59D1E340" w14:textId="3718B908" w:rsidR="00895F16" w:rsidRPr="007F400A" w:rsidRDefault="0098413C" w:rsidP="001D6CB3">
      <w:pPr>
        <w:spacing w:after="0" w:line="300" w:lineRule="atLeast"/>
        <w:ind w:firstLine="567"/>
        <w:jc w:val="both"/>
        <w:rPr>
          <w:rFonts w:ascii="Times New Roman" w:eastAsia="Times New Roman" w:hAnsi="Times New Roman" w:cs="Times New Roman"/>
          <w:b/>
          <w:noProof/>
          <w:sz w:val="24"/>
          <w:szCs w:val="24"/>
          <w:lang w:eastAsia="pl-PL"/>
        </w:rPr>
      </w:pPr>
      <w:r w:rsidRPr="00C01778">
        <w:rPr>
          <w:rFonts w:ascii="Times New Roman" w:eastAsia="Arial" w:hAnsi="Times New Roman" w:cs="Times New Roman"/>
          <w:sz w:val="24"/>
          <w:szCs w:val="24"/>
          <w:lang w:eastAsia="pl-PL"/>
        </w:rPr>
        <w:t xml:space="preserve">Organy Inspekcji w roku 2022 udzieliły 411 wywiadów i odpowiedzi na zapytania </w:t>
      </w:r>
      <w:r w:rsidR="00BF6953">
        <w:rPr>
          <w:rFonts w:ascii="Times New Roman" w:eastAsia="Arial" w:hAnsi="Times New Roman" w:cs="Times New Roman"/>
          <w:sz w:val="24"/>
          <w:szCs w:val="24"/>
          <w:lang w:eastAsia="pl-PL"/>
        </w:rPr>
        <w:br/>
      </w:r>
      <w:r w:rsidRPr="00C01778">
        <w:rPr>
          <w:rFonts w:ascii="Times New Roman" w:eastAsia="Arial" w:hAnsi="Times New Roman" w:cs="Times New Roman"/>
          <w:sz w:val="24"/>
          <w:szCs w:val="24"/>
          <w:lang w:eastAsia="pl-PL"/>
        </w:rPr>
        <w:t xml:space="preserve">w prasie oraz 320 </w:t>
      </w:r>
      <w:r w:rsidRPr="00BB4B23">
        <w:rPr>
          <w:rFonts w:ascii="Times New Roman" w:eastAsia="Arial" w:hAnsi="Times New Roman" w:cs="Times New Roman"/>
          <w:sz w:val="24"/>
          <w:szCs w:val="24"/>
          <w:lang w:eastAsia="pl-PL"/>
        </w:rPr>
        <w:t xml:space="preserve"> wywiadów w radio i telewizji. Przedstawiciele mediów najbardziej interesowali się działaniami organów Inspekcji w zakresie </w:t>
      </w:r>
      <w:r>
        <w:rPr>
          <w:rFonts w:ascii="Times New Roman" w:eastAsia="Arial" w:hAnsi="Times New Roman" w:cs="Times New Roman"/>
          <w:sz w:val="24"/>
          <w:szCs w:val="24"/>
          <w:lang w:eastAsia="pl-PL"/>
        </w:rPr>
        <w:t xml:space="preserve">sytuacji powstałej na rzece Odrze, zanieczyszczeń i stanu jakości powietrza, </w:t>
      </w:r>
      <w:r w:rsidRPr="00BB4B23">
        <w:rPr>
          <w:rFonts w:ascii="Times New Roman" w:eastAsia="Arial" w:hAnsi="Times New Roman" w:cs="Times New Roman"/>
          <w:sz w:val="24"/>
          <w:szCs w:val="24"/>
          <w:lang w:eastAsia="pl-PL"/>
        </w:rPr>
        <w:t>gospodarowania odpadami, w szczególności nadzorem nad transgranicznym przemieszczaniem odpadów i przeciwdziałaniem niezgodnymi z przepisami praktykom uczestników tego rynku, takim jak nielegalne transporty i składowanie odpadów. Organy Inspekcji były źródłem informacji dla mediów w dziedzinie stanu środowiska, zanieczyszczenia powietrza i problemów związanych z emisjami do powietrza (głównie w sezonie grzewczym), zanieczyszczenia wód, badań i stanu jakości wód oraz pożarów składowisk odpadów.</w:t>
      </w:r>
      <w:r w:rsidRPr="00BB4B23">
        <w:rPr>
          <w:rFonts w:ascii="Times New Roman" w:eastAsia="Arial" w:hAnsi="Times New Roman" w:cs="Times New Roman"/>
          <w:color w:val="000000"/>
          <w:sz w:val="24"/>
          <w:szCs w:val="24"/>
          <w:lang w:eastAsia="pl-PL"/>
        </w:rPr>
        <w:t xml:space="preserve"> </w:t>
      </w:r>
      <w:r w:rsidRPr="00BB4B23">
        <w:rPr>
          <w:rFonts w:ascii="Times New Roman" w:eastAsia="Arial" w:hAnsi="Times New Roman" w:cs="Times New Roman"/>
          <w:sz w:val="24"/>
          <w:szCs w:val="24"/>
          <w:lang w:eastAsia="pl-PL"/>
        </w:rPr>
        <w:t>Dziennikarze również często zwracali się o informacje na temat prowadzonych kontroli lub wyników kontroli, jak również informacje o działaniach pokontrolnych, takich jak kary w związku z nieprawidłowym funkcjonowaniem podmiotów gospodarczych korzystających ze środowiska</w:t>
      </w:r>
      <w:r w:rsidR="00895F16" w:rsidRPr="007F400A">
        <w:rPr>
          <w:rFonts w:ascii="Times New Roman" w:eastAsia="Arial" w:hAnsi="Times New Roman" w:cs="Times New Roman"/>
          <w:sz w:val="24"/>
          <w:szCs w:val="24"/>
          <w:lang w:eastAsia="pl-PL"/>
        </w:rPr>
        <w:t xml:space="preserve">. </w:t>
      </w:r>
    </w:p>
    <w:p w14:paraId="6407F846" w14:textId="77777777" w:rsidR="00895F16" w:rsidRPr="007F400A" w:rsidRDefault="00895F16" w:rsidP="001D6CB3">
      <w:pPr>
        <w:spacing w:after="0" w:line="300" w:lineRule="atLeast"/>
        <w:rPr>
          <w:rFonts w:ascii="Times New Roman" w:eastAsia="Times New Roman" w:hAnsi="Times New Roman" w:cs="Times New Roman"/>
          <w:b/>
          <w:noProof/>
          <w:color w:val="2E74B5"/>
          <w:sz w:val="24"/>
          <w:szCs w:val="24"/>
          <w:lang w:eastAsia="pl-PL"/>
        </w:rPr>
      </w:pPr>
    </w:p>
    <w:p w14:paraId="20CC7018" w14:textId="77777777" w:rsidR="00895F16" w:rsidRPr="007F400A" w:rsidRDefault="00895F16" w:rsidP="001D6CB3">
      <w:pPr>
        <w:keepNext/>
        <w:spacing w:after="120" w:line="300" w:lineRule="atLeast"/>
        <w:outlineLvl w:val="0"/>
        <w:rPr>
          <w:rFonts w:ascii="Times New Roman" w:eastAsia="Times New Roman" w:hAnsi="Times New Roman" w:cs="Times New Roman"/>
          <w:b/>
          <w:bCs/>
          <w:sz w:val="24"/>
          <w:szCs w:val="24"/>
          <w:lang w:val="x-none" w:eastAsia="x-none"/>
        </w:rPr>
      </w:pPr>
      <w:bookmarkStart w:id="456" w:name="_Toc5878589"/>
      <w:bookmarkStart w:id="457" w:name="_Toc36732657"/>
      <w:bookmarkStart w:id="458" w:name="_Toc135935733"/>
      <w:r w:rsidRPr="007F400A">
        <w:rPr>
          <w:rFonts w:ascii="Times New Roman" w:eastAsia="Times New Roman" w:hAnsi="Times New Roman" w:cs="Times New Roman"/>
          <w:b/>
          <w:bCs/>
          <w:sz w:val="24"/>
          <w:szCs w:val="24"/>
          <w:lang w:val="x-none" w:eastAsia="x-none"/>
        </w:rPr>
        <w:t>5. Działalność wydawnicza</w:t>
      </w:r>
      <w:bookmarkEnd w:id="456"/>
      <w:bookmarkEnd w:id="457"/>
      <w:bookmarkEnd w:id="458"/>
      <w:r w:rsidRPr="007F400A">
        <w:rPr>
          <w:rFonts w:ascii="Times New Roman" w:eastAsia="Times New Roman" w:hAnsi="Times New Roman" w:cs="Times New Roman"/>
          <w:b/>
          <w:bCs/>
          <w:sz w:val="24"/>
          <w:szCs w:val="24"/>
          <w:lang w:val="x-none" w:eastAsia="x-none"/>
        </w:rPr>
        <w:t xml:space="preserve"> </w:t>
      </w:r>
    </w:p>
    <w:p w14:paraId="254B61A7" w14:textId="77777777" w:rsidR="0098413C" w:rsidRDefault="0098413C" w:rsidP="001D6CB3">
      <w:pPr>
        <w:spacing w:after="120" w:line="300" w:lineRule="atLeast"/>
        <w:ind w:firstLine="567"/>
        <w:jc w:val="both"/>
        <w:rPr>
          <w:rFonts w:ascii="Times New Roman" w:eastAsia="Arial" w:hAnsi="Times New Roman" w:cs="Times New Roman"/>
          <w:color w:val="2E74B5"/>
          <w:sz w:val="24"/>
          <w:szCs w:val="24"/>
          <w:lang w:eastAsia="pl-PL"/>
        </w:rPr>
      </w:pPr>
      <w:bookmarkStart w:id="459" w:name="_Toc5878590"/>
      <w:bookmarkStart w:id="460" w:name="_Toc36732658"/>
      <w:r w:rsidRPr="00C01778">
        <w:rPr>
          <w:rFonts w:ascii="Times New Roman" w:eastAsia="Arial" w:hAnsi="Times New Roman" w:cs="Times New Roman"/>
          <w:sz w:val="24"/>
          <w:szCs w:val="24"/>
          <w:lang w:eastAsia="pl-PL"/>
        </w:rPr>
        <w:t>W 2022 r. organy Inspekcji opracowały i udostępniły społeczeństwu w wersji drukowanej lub elektronicznej</w:t>
      </w:r>
      <w:r w:rsidRPr="00C01778">
        <w:rPr>
          <w:rFonts w:ascii="Times New Roman" w:eastAsia="Arial" w:hAnsi="Times New Roman" w:cs="Times New Roman"/>
          <w:color w:val="2E74B5"/>
          <w:sz w:val="24"/>
          <w:szCs w:val="24"/>
          <w:lang w:eastAsia="pl-PL"/>
        </w:rPr>
        <w:t xml:space="preserve"> </w:t>
      </w:r>
      <w:r w:rsidRPr="00C01778">
        <w:rPr>
          <w:rFonts w:ascii="Times New Roman" w:eastAsia="Arial" w:hAnsi="Times New Roman" w:cs="Times New Roman"/>
          <w:color w:val="000000" w:themeColor="text1"/>
          <w:sz w:val="24"/>
          <w:szCs w:val="24"/>
          <w:lang w:eastAsia="pl-PL"/>
        </w:rPr>
        <w:t xml:space="preserve">129 </w:t>
      </w:r>
      <w:r w:rsidRPr="00C01778">
        <w:rPr>
          <w:rFonts w:ascii="Times New Roman" w:eastAsia="Arial" w:hAnsi="Times New Roman" w:cs="Times New Roman"/>
          <w:sz w:val="24"/>
          <w:szCs w:val="24"/>
          <w:lang w:eastAsia="pl-PL"/>
        </w:rPr>
        <w:t>publikacji tematycznych i 4 biuletyny dotyczące w szczególności</w:t>
      </w:r>
      <w:r w:rsidRPr="00C01778">
        <w:rPr>
          <w:rFonts w:ascii="Times New Roman" w:eastAsia="Arial" w:hAnsi="Times New Roman" w:cs="Times New Roman"/>
          <w:sz w:val="24"/>
          <w:szCs w:val="24"/>
          <w:lang w:eastAsia="pl-PL"/>
        </w:rPr>
        <w:br/>
        <w:t xml:space="preserve">monitoringu środowiska oraz szerokiego spektrum zagadnień ekologicznych i działalności </w:t>
      </w:r>
      <w:r w:rsidRPr="00C01778">
        <w:rPr>
          <w:rFonts w:ascii="Times New Roman" w:eastAsia="Arial" w:hAnsi="Times New Roman" w:cs="Times New Roman"/>
          <w:sz w:val="24"/>
          <w:szCs w:val="24"/>
          <w:lang w:eastAsia="pl-PL"/>
        </w:rPr>
        <w:br/>
        <w:t xml:space="preserve">w regionach, 23 materiały informacyjno-edukacyjne, jak również 1 215 komunikatów, m.in. </w:t>
      </w:r>
      <w:r>
        <w:rPr>
          <w:rFonts w:ascii="Times New Roman" w:eastAsia="Arial" w:hAnsi="Times New Roman" w:cs="Times New Roman"/>
          <w:sz w:val="24"/>
          <w:szCs w:val="24"/>
          <w:lang w:eastAsia="pl-PL"/>
        </w:rPr>
        <w:br/>
      </w:r>
      <w:r w:rsidRPr="00C01778">
        <w:rPr>
          <w:rFonts w:ascii="Times New Roman" w:eastAsia="Arial" w:hAnsi="Times New Roman" w:cs="Times New Roman"/>
          <w:sz w:val="24"/>
          <w:szCs w:val="24"/>
          <w:lang w:eastAsia="pl-PL"/>
        </w:rPr>
        <w:t>o ważnych zdarzeniach środowiskowych i działaniach organów Inspekcji, przekroczeniach (lub ich braku) dopuszczalnych poziomów zanieczyszczenia powietrza, przekroczeniach poziomu alarmowego oraz progu informowania dla pyłu zawieszonego PM10 i ozonu, a także wyniki pomiarów hałasu, monitoringu pól elektromagnetycznych, stanu czystości wód rzek i jezior oraz informacje na temat składowisk odpadów,</w:t>
      </w:r>
      <w:r w:rsidRPr="00C01778">
        <w:rPr>
          <w:rFonts w:ascii="Times New Roman" w:eastAsia="Arial" w:hAnsi="Times New Roman" w:cs="Times New Roman"/>
          <w:color w:val="2E74B5"/>
          <w:sz w:val="24"/>
          <w:szCs w:val="24"/>
          <w:lang w:eastAsia="pl-PL"/>
        </w:rPr>
        <w:t xml:space="preserve"> </w:t>
      </w:r>
      <w:r w:rsidRPr="00C01778">
        <w:rPr>
          <w:rFonts w:ascii="Times New Roman" w:eastAsia="Arial" w:hAnsi="Times New Roman" w:cs="Times New Roman"/>
          <w:sz w:val="24"/>
          <w:szCs w:val="24"/>
          <w:lang w:eastAsia="pl-PL"/>
        </w:rPr>
        <w:t>gospodarki komunalnymi osadami ściekowymi, współpracy z innymi organami, m.in. Europejską Agencją Środowiska</w:t>
      </w:r>
      <w:r w:rsidRPr="00C01778">
        <w:rPr>
          <w:rFonts w:ascii="Times New Roman" w:eastAsia="Arial" w:hAnsi="Times New Roman" w:cs="Times New Roman"/>
          <w:color w:val="2E74B5"/>
          <w:sz w:val="24"/>
          <w:szCs w:val="24"/>
          <w:lang w:eastAsia="pl-PL"/>
        </w:rPr>
        <w:t>.</w:t>
      </w:r>
    </w:p>
    <w:p w14:paraId="57EE133E" w14:textId="77777777" w:rsidR="0098413C" w:rsidRPr="00416B7D" w:rsidRDefault="0098413C" w:rsidP="001D6CB3">
      <w:pPr>
        <w:spacing w:before="240" w:after="120" w:line="300" w:lineRule="atLeast"/>
        <w:ind w:firstLine="567"/>
        <w:jc w:val="both"/>
        <w:rPr>
          <w:rFonts w:ascii="Times New Roman" w:hAnsi="Times New Roman" w:cs="Times New Roman"/>
          <w:b/>
          <w:sz w:val="24"/>
          <w:szCs w:val="24"/>
          <w:u w:val="single"/>
        </w:rPr>
      </w:pPr>
      <w:r w:rsidRPr="00416B7D">
        <w:rPr>
          <w:rFonts w:ascii="Times New Roman" w:hAnsi="Times New Roman" w:cs="Times New Roman"/>
          <w:sz w:val="24"/>
          <w:szCs w:val="24"/>
        </w:rPr>
        <w:t>W 2022 r. opracowany został wieloletni raport „Stan środowiska w Polsce. Raport 2022”. Jest to kluczowy produkt GIOŚ, stanowiący realizację ustawowego obowiązku, zgodnie z którym GIOŚ opracowuje raport o stanie środowiska nie rzadziej niż raz na 4 lata. Więcej informacji na temat raportu znajduje się w rozdziale „Monitoring Środowiska”.</w:t>
      </w:r>
    </w:p>
    <w:p w14:paraId="6365079D" w14:textId="77777777" w:rsidR="0098413C" w:rsidRPr="005F46B6" w:rsidRDefault="0098413C" w:rsidP="001D6CB3">
      <w:pPr>
        <w:spacing w:after="120" w:line="300" w:lineRule="atLeast"/>
        <w:jc w:val="both"/>
        <w:rPr>
          <w:rFonts w:ascii="Times New Roman" w:eastAsia="Times New Roman" w:hAnsi="Times New Roman" w:cs="Times New Roman"/>
          <w:sz w:val="24"/>
          <w:szCs w:val="24"/>
          <w:highlight w:val="yellow"/>
          <w:lang w:eastAsia="pl-PL"/>
        </w:rPr>
      </w:pPr>
      <w:r w:rsidRPr="00C01778">
        <w:rPr>
          <w:rFonts w:ascii="Times New Roman" w:eastAsia="Times New Roman" w:hAnsi="Times New Roman" w:cs="Times New Roman"/>
          <w:sz w:val="24"/>
          <w:szCs w:val="24"/>
          <w:lang w:eastAsia="pl-PL"/>
        </w:rPr>
        <w:t>Przykłady publikacji opracowanych i upowszechnionych w 2022 r.:</w:t>
      </w:r>
      <w:r>
        <w:rPr>
          <w:rFonts w:ascii="Times New Roman" w:eastAsia="Times New Roman" w:hAnsi="Times New Roman" w:cs="Times New Roman"/>
          <w:sz w:val="24"/>
          <w:szCs w:val="24"/>
          <w:lang w:eastAsia="pl-PL"/>
        </w:rPr>
        <w:t xml:space="preserve"> </w:t>
      </w:r>
    </w:p>
    <w:p w14:paraId="35E206ED" w14:textId="70A2AC84" w:rsidR="0098413C" w:rsidRPr="002953E6" w:rsidRDefault="0098413C" w:rsidP="00D34F97">
      <w:pPr>
        <w:pStyle w:val="Akapitzlist"/>
        <w:numPr>
          <w:ilvl w:val="0"/>
          <w:numId w:val="58"/>
        </w:numPr>
        <w:spacing w:line="300" w:lineRule="atLeast"/>
        <w:ind w:left="714" w:hanging="357"/>
        <w:jc w:val="both"/>
        <w:rPr>
          <w:sz w:val="24"/>
          <w:szCs w:val="24"/>
        </w:rPr>
      </w:pPr>
      <w:r w:rsidRPr="001079D5">
        <w:rPr>
          <w:bCs/>
          <w:sz w:val="24"/>
          <w:szCs w:val="24"/>
        </w:rPr>
        <w:t>Stan środowiska w Polsce. Raport 2022 (opracowany w 2022 r.);</w:t>
      </w:r>
    </w:p>
    <w:p w14:paraId="2BC128E2" w14:textId="0B23213F" w:rsidR="002953E6" w:rsidRPr="002953E6" w:rsidRDefault="002953E6" w:rsidP="00D34F97">
      <w:pPr>
        <w:pStyle w:val="Akapitzlist"/>
        <w:numPr>
          <w:ilvl w:val="0"/>
          <w:numId w:val="58"/>
        </w:numPr>
        <w:spacing w:line="300" w:lineRule="atLeast"/>
        <w:ind w:left="714" w:hanging="357"/>
        <w:jc w:val="both"/>
        <w:rPr>
          <w:sz w:val="24"/>
          <w:szCs w:val="24"/>
        </w:rPr>
      </w:pPr>
      <w:r w:rsidRPr="002953E6">
        <w:rPr>
          <w:sz w:val="24"/>
          <w:szCs w:val="24"/>
        </w:rPr>
        <w:t>„Przestępczość środowiskowa – współczesne wyzwanie dla organów ścigania oraz Inspekcji Ochrony Środowiska”</w:t>
      </w:r>
      <w:r w:rsidRPr="002953E6">
        <w:rPr>
          <w:sz w:val="24"/>
          <w:szCs w:val="24"/>
          <w:lang w:val="pl-PL"/>
        </w:rPr>
        <w:t>;</w:t>
      </w:r>
    </w:p>
    <w:p w14:paraId="3B30735C" w14:textId="77777777" w:rsidR="0098413C" w:rsidRPr="001079D5" w:rsidRDefault="0098413C" w:rsidP="00D34F97">
      <w:pPr>
        <w:pStyle w:val="Akapitzlist"/>
        <w:numPr>
          <w:ilvl w:val="0"/>
          <w:numId w:val="58"/>
        </w:numPr>
        <w:spacing w:line="300" w:lineRule="atLeast"/>
        <w:ind w:left="714" w:hanging="357"/>
        <w:jc w:val="both"/>
        <w:rPr>
          <w:sz w:val="24"/>
          <w:szCs w:val="24"/>
        </w:rPr>
      </w:pPr>
      <w:r w:rsidRPr="001079D5">
        <w:rPr>
          <w:sz w:val="24"/>
          <w:szCs w:val="24"/>
        </w:rPr>
        <w:t>Ocena jakości powietrza w strefach w Polsce za rok 2021– zbiorczy raport krajowy;</w:t>
      </w:r>
    </w:p>
    <w:p w14:paraId="4CC67247" w14:textId="77777777" w:rsidR="0098413C" w:rsidRPr="001079D5" w:rsidRDefault="0098413C" w:rsidP="00D34F97">
      <w:pPr>
        <w:pStyle w:val="Akapitzlist"/>
        <w:numPr>
          <w:ilvl w:val="0"/>
          <w:numId w:val="58"/>
        </w:numPr>
        <w:spacing w:line="300" w:lineRule="atLeast"/>
        <w:ind w:left="714" w:hanging="357"/>
        <w:jc w:val="both"/>
        <w:rPr>
          <w:sz w:val="24"/>
          <w:szCs w:val="24"/>
        </w:rPr>
      </w:pPr>
      <w:r w:rsidRPr="001079D5">
        <w:rPr>
          <w:sz w:val="24"/>
          <w:szCs w:val="24"/>
        </w:rPr>
        <w:t>Roczna ocena jakości powietrza w województwie dolnośląskim. Raport wojewódzki za rok 2021.</w:t>
      </w:r>
    </w:p>
    <w:p w14:paraId="741AF02C" w14:textId="77777777" w:rsidR="0098413C" w:rsidRPr="001079D5" w:rsidRDefault="0098413C" w:rsidP="001D6CB3">
      <w:pPr>
        <w:pStyle w:val="Akapitzlist"/>
        <w:spacing w:line="300" w:lineRule="atLeast"/>
        <w:ind w:left="714"/>
        <w:jc w:val="both"/>
        <w:rPr>
          <w:sz w:val="24"/>
          <w:szCs w:val="24"/>
        </w:rPr>
      </w:pPr>
      <w:r w:rsidRPr="001079D5">
        <w:rPr>
          <w:sz w:val="24"/>
          <w:szCs w:val="24"/>
        </w:rPr>
        <w:t xml:space="preserve">Tego typu raporty zostały również opracowane dla województwa kujawsko-pomorskiego, lubelskiego, lubuskiego, łódzkiego, małopolskiego, mazowieckiego, opolskiego, podkarpackiego, podlaskiego, pomorskiego, śląskiego, świętokrzyskiego, warmińsko-mazurskiego, wielkopolskiego i zachodniopomorskiego. </w:t>
      </w:r>
    </w:p>
    <w:p w14:paraId="487CB4C8" w14:textId="77777777" w:rsidR="0098413C" w:rsidRPr="001079D5" w:rsidRDefault="0098413C" w:rsidP="0098413C">
      <w:pPr>
        <w:spacing w:line="276" w:lineRule="auto"/>
        <w:jc w:val="both"/>
        <w:rPr>
          <w:rFonts w:ascii="Times New Roman" w:hAnsi="Times New Roman" w:cs="Times New Roman"/>
          <w:sz w:val="24"/>
          <w:szCs w:val="24"/>
        </w:rPr>
      </w:pPr>
    </w:p>
    <w:p w14:paraId="73302C9A" w14:textId="77777777" w:rsidR="0098413C" w:rsidRPr="001079D5" w:rsidRDefault="0098413C" w:rsidP="0098413C">
      <w:pPr>
        <w:spacing w:after="120" w:line="276" w:lineRule="auto"/>
        <w:jc w:val="center"/>
        <w:rPr>
          <w:rFonts w:ascii="Times New Roman" w:hAnsi="Times New Roman" w:cs="Times New Roman"/>
          <w:sz w:val="24"/>
          <w:szCs w:val="24"/>
        </w:rPr>
      </w:pPr>
      <w:r w:rsidRPr="001079D5">
        <w:rPr>
          <w:rFonts w:ascii="Times New Roman" w:hAnsi="Times New Roman" w:cs="Times New Roman"/>
          <w:noProof/>
          <w:sz w:val="24"/>
          <w:szCs w:val="24"/>
          <w:lang w:eastAsia="pl-PL"/>
        </w:rPr>
        <w:lastRenderedPageBreak/>
        <w:drawing>
          <wp:inline distT="0" distB="0" distL="0" distR="0" wp14:anchorId="0799123B" wp14:editId="37FC11A3">
            <wp:extent cx="2483741" cy="3457575"/>
            <wp:effectExtent l="19050" t="19050" r="12065" b="9525"/>
            <wp:docPr id="54" name="Obraz 54" descr="Ryc. 24 Przykładowe strony tytułowe publikacji tematycz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Ryc. 24 Przykładowe strony tytułowe publikacji tematycznych"/>
                    <pic:cNvPicPr/>
                  </pic:nvPicPr>
                  <pic:blipFill>
                    <a:blip r:embed="rId209"/>
                    <a:stretch>
                      <a:fillRect/>
                    </a:stretch>
                  </pic:blipFill>
                  <pic:spPr>
                    <a:xfrm>
                      <a:off x="0" y="0"/>
                      <a:ext cx="2524447" cy="3514241"/>
                    </a:xfrm>
                    <a:prstGeom prst="rect">
                      <a:avLst/>
                    </a:prstGeom>
                    <a:ln>
                      <a:solidFill>
                        <a:schemeClr val="bg2">
                          <a:lumMod val="50000"/>
                        </a:schemeClr>
                      </a:solidFill>
                    </a:ln>
                    <a:effectLst/>
                  </pic:spPr>
                </pic:pic>
              </a:graphicData>
            </a:graphic>
          </wp:inline>
        </w:drawing>
      </w:r>
      <w:r w:rsidRPr="001079D5">
        <w:rPr>
          <w:rFonts w:ascii="Times New Roman" w:hAnsi="Times New Roman" w:cs="Times New Roman"/>
          <w:noProof/>
          <w:sz w:val="24"/>
          <w:szCs w:val="24"/>
        </w:rPr>
        <w:t xml:space="preserve">    </w:t>
      </w:r>
      <w:r w:rsidRPr="001079D5">
        <w:rPr>
          <w:rFonts w:ascii="Times New Roman" w:hAnsi="Times New Roman" w:cs="Times New Roman"/>
          <w:noProof/>
          <w:sz w:val="24"/>
          <w:szCs w:val="24"/>
          <w:lang w:eastAsia="pl-PL"/>
        </w:rPr>
        <w:drawing>
          <wp:inline distT="0" distB="0" distL="0" distR="0" wp14:anchorId="0B5147D2" wp14:editId="546CE221">
            <wp:extent cx="2686050" cy="3482601"/>
            <wp:effectExtent l="19050" t="19050" r="19050" b="22860"/>
            <wp:docPr id="61" name="Obraz 61" descr="Ryc. 25 Przykładowe strony tytułowe publikacji tematycz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Ryc. 25 Przykładowe strony tytułowe publikacji tematycznych"/>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2737480" cy="3549282"/>
                    </a:xfrm>
                    <a:prstGeom prst="rect">
                      <a:avLst/>
                    </a:prstGeom>
                    <a:ln>
                      <a:solidFill>
                        <a:schemeClr val="bg2">
                          <a:lumMod val="50000"/>
                        </a:schemeClr>
                      </a:solidFill>
                    </a:ln>
                    <a:effectLst/>
                  </pic:spPr>
                </pic:pic>
              </a:graphicData>
            </a:graphic>
          </wp:inline>
        </w:drawing>
      </w:r>
    </w:p>
    <w:p w14:paraId="1A2C08E2" w14:textId="16F61831" w:rsidR="0098413C" w:rsidRPr="00AD4299" w:rsidRDefault="0024039B" w:rsidP="0098413C">
      <w:pPr>
        <w:spacing w:after="120" w:line="276" w:lineRule="auto"/>
        <w:jc w:val="center"/>
        <w:rPr>
          <w:rFonts w:ascii="Times New Roman" w:hAnsi="Times New Roman" w:cs="Times New Roman"/>
          <w:b/>
          <w:sz w:val="24"/>
          <w:szCs w:val="24"/>
        </w:rPr>
      </w:pPr>
      <w:r>
        <w:rPr>
          <w:rFonts w:ascii="Times New Roman" w:hAnsi="Times New Roman" w:cs="Times New Roman"/>
          <w:b/>
          <w:i/>
          <w:sz w:val="24"/>
          <w:szCs w:val="24"/>
        </w:rPr>
        <w:t xml:space="preserve">Ryc. 24-25 </w:t>
      </w:r>
      <w:r w:rsidR="0098413C" w:rsidRPr="00AD4299">
        <w:rPr>
          <w:rFonts w:ascii="Times New Roman" w:hAnsi="Times New Roman" w:cs="Times New Roman"/>
          <w:b/>
          <w:i/>
          <w:sz w:val="24"/>
          <w:szCs w:val="24"/>
        </w:rPr>
        <w:t>Przykładowe strony tytułowe publikacji tematycznych</w:t>
      </w:r>
    </w:p>
    <w:p w14:paraId="265D802C" w14:textId="77777777" w:rsidR="0098413C" w:rsidRPr="001079D5" w:rsidRDefault="0098413C" w:rsidP="00D34F97">
      <w:pPr>
        <w:pStyle w:val="Akapitzlist"/>
        <w:numPr>
          <w:ilvl w:val="0"/>
          <w:numId w:val="58"/>
        </w:numPr>
        <w:spacing w:line="276" w:lineRule="auto"/>
        <w:ind w:left="714" w:hanging="357"/>
        <w:jc w:val="both"/>
        <w:rPr>
          <w:sz w:val="24"/>
          <w:szCs w:val="24"/>
        </w:rPr>
      </w:pPr>
      <w:r w:rsidRPr="001079D5">
        <w:rPr>
          <w:sz w:val="24"/>
          <w:szCs w:val="24"/>
        </w:rPr>
        <w:t>Roczna ocena jakości powietrza dla strefy wielkopolskiej i strefy miasto Kalisz. Raport wojewódzki za rok 2021;</w:t>
      </w:r>
    </w:p>
    <w:p w14:paraId="6C0AE90E" w14:textId="77777777" w:rsidR="0098413C" w:rsidRPr="001079D5" w:rsidRDefault="0098413C" w:rsidP="00D34F97">
      <w:pPr>
        <w:pStyle w:val="Akapitzlist"/>
        <w:numPr>
          <w:ilvl w:val="0"/>
          <w:numId w:val="58"/>
        </w:numPr>
        <w:spacing w:line="276" w:lineRule="auto"/>
        <w:ind w:left="714" w:hanging="357"/>
        <w:jc w:val="both"/>
        <w:rPr>
          <w:sz w:val="24"/>
          <w:szCs w:val="24"/>
        </w:rPr>
      </w:pPr>
      <w:r w:rsidRPr="001079D5">
        <w:rPr>
          <w:sz w:val="24"/>
          <w:szCs w:val="24"/>
        </w:rPr>
        <w:t>Roczna ocena jakości powietrza dla strefy dolnośląskiej i strefy miasto Legnica. Raport za rok 2021;</w:t>
      </w:r>
    </w:p>
    <w:p w14:paraId="799BAC74" w14:textId="77777777" w:rsidR="0098413C" w:rsidRPr="001079D5" w:rsidRDefault="0098413C" w:rsidP="00D34F97">
      <w:pPr>
        <w:pStyle w:val="Akapitzlist"/>
        <w:numPr>
          <w:ilvl w:val="0"/>
          <w:numId w:val="58"/>
        </w:numPr>
        <w:spacing w:line="276" w:lineRule="auto"/>
        <w:ind w:left="714" w:hanging="357"/>
        <w:jc w:val="both"/>
        <w:rPr>
          <w:sz w:val="24"/>
          <w:szCs w:val="24"/>
          <w:lang w:val="en-GB"/>
        </w:rPr>
      </w:pPr>
      <w:r w:rsidRPr="001079D5">
        <w:rPr>
          <w:sz w:val="24"/>
          <w:szCs w:val="24"/>
        </w:rPr>
        <w:t xml:space="preserve">Publikacja o projekcie GIOŚ „Wzmocnienie oceny depozycji atmosferycznej w Polsce w oparciu o doświadczenia norweskie” pt. </w:t>
      </w:r>
      <w:r w:rsidRPr="001079D5">
        <w:rPr>
          <w:sz w:val="24"/>
          <w:szCs w:val="24"/>
          <w:lang w:val="en-GB"/>
        </w:rPr>
        <w:t xml:space="preserve">„Monitoring and assessing atmospheric deposition: the low-down on how to clean up” </w:t>
      </w:r>
      <w:proofErr w:type="spellStart"/>
      <w:r w:rsidRPr="001079D5">
        <w:rPr>
          <w:sz w:val="24"/>
          <w:szCs w:val="24"/>
          <w:lang w:val="en-GB"/>
        </w:rPr>
        <w:t>na</w:t>
      </w:r>
      <w:proofErr w:type="spellEnd"/>
      <w:r w:rsidRPr="001079D5">
        <w:rPr>
          <w:sz w:val="24"/>
          <w:szCs w:val="24"/>
          <w:lang w:val="en-GB"/>
        </w:rPr>
        <w:t xml:space="preserve"> </w:t>
      </w:r>
      <w:proofErr w:type="spellStart"/>
      <w:r w:rsidRPr="001079D5">
        <w:rPr>
          <w:sz w:val="24"/>
          <w:szCs w:val="24"/>
          <w:lang w:val="en-GB"/>
        </w:rPr>
        <w:t>portalu</w:t>
      </w:r>
      <w:proofErr w:type="spellEnd"/>
      <w:r w:rsidRPr="001079D5">
        <w:rPr>
          <w:sz w:val="24"/>
          <w:szCs w:val="24"/>
          <w:lang w:val="en-GB"/>
        </w:rPr>
        <w:t xml:space="preserve"> MF EOG;</w:t>
      </w:r>
    </w:p>
    <w:p w14:paraId="6433CD68" w14:textId="77777777" w:rsidR="0098413C" w:rsidRPr="001079D5" w:rsidRDefault="0098413C" w:rsidP="00D34F97">
      <w:pPr>
        <w:pStyle w:val="Akapitzlist"/>
        <w:numPr>
          <w:ilvl w:val="0"/>
          <w:numId w:val="58"/>
        </w:numPr>
        <w:spacing w:line="276" w:lineRule="auto"/>
        <w:ind w:left="714" w:hanging="357"/>
        <w:jc w:val="both"/>
        <w:rPr>
          <w:sz w:val="24"/>
          <w:szCs w:val="24"/>
        </w:rPr>
      </w:pPr>
      <w:r w:rsidRPr="001079D5">
        <w:rPr>
          <w:sz w:val="24"/>
          <w:szCs w:val="24"/>
        </w:rPr>
        <w:t>Jakość powietrza w Polsce w roku 2021 w świetle wyników pomiarów prowadzonych w ramach Państwowego Monitoringu Środowiska;</w:t>
      </w:r>
    </w:p>
    <w:p w14:paraId="325C04F2" w14:textId="77777777" w:rsidR="0098413C" w:rsidRPr="001079D5" w:rsidRDefault="0098413C" w:rsidP="00D34F97">
      <w:pPr>
        <w:pStyle w:val="Akapitzlist"/>
        <w:numPr>
          <w:ilvl w:val="0"/>
          <w:numId w:val="58"/>
        </w:numPr>
        <w:spacing w:line="276" w:lineRule="auto"/>
        <w:ind w:left="714" w:hanging="357"/>
        <w:jc w:val="both"/>
        <w:rPr>
          <w:sz w:val="24"/>
          <w:szCs w:val="24"/>
        </w:rPr>
      </w:pPr>
      <w:r w:rsidRPr="001079D5">
        <w:rPr>
          <w:sz w:val="24"/>
          <w:szCs w:val="24"/>
        </w:rPr>
        <w:t xml:space="preserve">Zanieczyszczenie powietrza wielopierścieniowymi węglowodorami aromatycznymi na stacjach tła miejskiego w 2021 roku; </w:t>
      </w:r>
    </w:p>
    <w:p w14:paraId="0F367C8D" w14:textId="77777777" w:rsidR="0098413C" w:rsidRPr="001079D5" w:rsidRDefault="0098413C" w:rsidP="00D34F97">
      <w:pPr>
        <w:pStyle w:val="Akapitzlist"/>
        <w:numPr>
          <w:ilvl w:val="0"/>
          <w:numId w:val="58"/>
        </w:numPr>
        <w:spacing w:line="276" w:lineRule="auto"/>
        <w:ind w:left="714" w:hanging="357"/>
        <w:jc w:val="both"/>
        <w:rPr>
          <w:sz w:val="24"/>
          <w:szCs w:val="24"/>
        </w:rPr>
      </w:pPr>
      <w:r w:rsidRPr="001079D5">
        <w:rPr>
          <w:sz w:val="24"/>
          <w:szCs w:val="24"/>
        </w:rPr>
        <w:t>Raport problemowy na temat jakości powietrza w uzdrowiskach w Polsce w roku 2021;</w:t>
      </w:r>
    </w:p>
    <w:p w14:paraId="3854EF63" w14:textId="77777777" w:rsidR="0098413C" w:rsidRPr="001079D5" w:rsidRDefault="0098413C" w:rsidP="00D34F97">
      <w:pPr>
        <w:pStyle w:val="Akapitzlist"/>
        <w:numPr>
          <w:ilvl w:val="0"/>
          <w:numId w:val="58"/>
        </w:numPr>
        <w:spacing w:line="276" w:lineRule="auto"/>
        <w:ind w:left="714" w:hanging="357"/>
        <w:jc w:val="both"/>
        <w:rPr>
          <w:sz w:val="24"/>
          <w:szCs w:val="24"/>
        </w:rPr>
      </w:pPr>
      <w:r w:rsidRPr="001079D5">
        <w:rPr>
          <w:sz w:val="24"/>
          <w:szCs w:val="24"/>
        </w:rPr>
        <w:t>Ocena zanieczyszczenia powietrza rtęcią na stacjach tła regionalnego w Polsce za 2021 rok;</w:t>
      </w:r>
    </w:p>
    <w:p w14:paraId="2D706B5A" w14:textId="77777777" w:rsidR="0098413C" w:rsidRPr="001079D5" w:rsidRDefault="0098413C" w:rsidP="00D34F97">
      <w:pPr>
        <w:pStyle w:val="Akapitzlist"/>
        <w:numPr>
          <w:ilvl w:val="0"/>
          <w:numId w:val="58"/>
        </w:numPr>
        <w:spacing w:line="276" w:lineRule="auto"/>
        <w:ind w:left="714" w:hanging="357"/>
        <w:jc w:val="both"/>
        <w:rPr>
          <w:sz w:val="24"/>
          <w:szCs w:val="24"/>
        </w:rPr>
      </w:pPr>
      <w:r w:rsidRPr="001079D5">
        <w:rPr>
          <w:sz w:val="24"/>
          <w:szCs w:val="24"/>
        </w:rPr>
        <w:t>Monitoring tła zanieczyszczenia atmosfery w Polsce dla potrzeb EMEP, GAW/ WMO i Komisji Europejskiej. Raport syntetyczny 2021;</w:t>
      </w:r>
    </w:p>
    <w:p w14:paraId="4CD332FC" w14:textId="77777777" w:rsidR="0098413C" w:rsidRPr="001079D5" w:rsidRDefault="0098413C" w:rsidP="00D34F97">
      <w:pPr>
        <w:pStyle w:val="Akapitzlist"/>
        <w:numPr>
          <w:ilvl w:val="0"/>
          <w:numId w:val="58"/>
        </w:numPr>
        <w:spacing w:line="276" w:lineRule="auto"/>
        <w:ind w:left="714" w:hanging="357"/>
        <w:jc w:val="both"/>
        <w:rPr>
          <w:sz w:val="24"/>
          <w:szCs w:val="24"/>
        </w:rPr>
      </w:pPr>
      <w:r w:rsidRPr="001079D5">
        <w:rPr>
          <w:sz w:val="24"/>
          <w:szCs w:val="24"/>
        </w:rPr>
        <w:t>Ocena zanieczyszczenia powietrza na stacjach monitoringu tła regionalnego w Polsce w roku 2021 w zakresie składu pyłu PM10 i PM2,5 oraz depozycji metali ciężkich i WWA;</w:t>
      </w:r>
    </w:p>
    <w:p w14:paraId="5D57DED6" w14:textId="77777777" w:rsidR="0098413C" w:rsidRPr="001079D5" w:rsidRDefault="0098413C" w:rsidP="00D34F97">
      <w:pPr>
        <w:pStyle w:val="Akapitzlist"/>
        <w:numPr>
          <w:ilvl w:val="0"/>
          <w:numId w:val="58"/>
        </w:numPr>
        <w:spacing w:line="276" w:lineRule="auto"/>
        <w:ind w:left="714" w:hanging="357"/>
        <w:jc w:val="both"/>
        <w:rPr>
          <w:sz w:val="24"/>
          <w:szCs w:val="24"/>
        </w:rPr>
      </w:pPr>
      <w:r w:rsidRPr="001079D5">
        <w:rPr>
          <w:sz w:val="24"/>
          <w:szCs w:val="24"/>
        </w:rPr>
        <w:t>Monitoring chemizmu opadów atmosferycznych i ocena depozycji zanieczyszczeń do podłoża w latach 2021-2022. Raport roczny z badań monitoringowych w 2021 roku;</w:t>
      </w:r>
    </w:p>
    <w:p w14:paraId="0F0CAA29" w14:textId="77777777" w:rsidR="0098413C" w:rsidRPr="001079D5" w:rsidRDefault="0098413C" w:rsidP="00D34F97">
      <w:pPr>
        <w:pStyle w:val="Akapitzlist"/>
        <w:numPr>
          <w:ilvl w:val="0"/>
          <w:numId w:val="58"/>
        </w:numPr>
        <w:spacing w:line="276" w:lineRule="auto"/>
        <w:ind w:left="714" w:hanging="357"/>
        <w:jc w:val="both"/>
        <w:rPr>
          <w:sz w:val="24"/>
          <w:szCs w:val="24"/>
        </w:rPr>
      </w:pPr>
      <w:r w:rsidRPr="001079D5">
        <w:rPr>
          <w:sz w:val="24"/>
          <w:szCs w:val="24"/>
        </w:rPr>
        <w:t>Monitoring całkowitej zawartości ozonu w atmosferze oraz natężenia promieniowania UV-B na stacji Belsk w latach 2021-2022. Raport o stanie warstwy ozonowej w 2021 roku;</w:t>
      </w:r>
    </w:p>
    <w:p w14:paraId="73E8A861" w14:textId="77777777" w:rsidR="0098413C" w:rsidRPr="001079D5" w:rsidRDefault="0098413C" w:rsidP="00D34F97">
      <w:pPr>
        <w:pStyle w:val="Akapitzlist"/>
        <w:numPr>
          <w:ilvl w:val="0"/>
          <w:numId w:val="58"/>
        </w:numPr>
        <w:spacing w:line="276" w:lineRule="auto"/>
        <w:ind w:left="714" w:hanging="357"/>
        <w:jc w:val="both"/>
        <w:rPr>
          <w:sz w:val="24"/>
          <w:szCs w:val="24"/>
        </w:rPr>
      </w:pPr>
      <w:r w:rsidRPr="001079D5">
        <w:rPr>
          <w:sz w:val="24"/>
          <w:szCs w:val="24"/>
        </w:rPr>
        <w:lastRenderedPageBreak/>
        <w:t>Raport o stanie warstwy ozonowej i natężenia promieniowania UV-B za 2021 r.;</w:t>
      </w:r>
    </w:p>
    <w:p w14:paraId="3F908800" w14:textId="77777777" w:rsidR="0098413C" w:rsidRPr="001079D5" w:rsidRDefault="0098413C" w:rsidP="00D34F97">
      <w:pPr>
        <w:pStyle w:val="Akapitzlist"/>
        <w:numPr>
          <w:ilvl w:val="0"/>
          <w:numId w:val="58"/>
        </w:numPr>
        <w:spacing w:line="276" w:lineRule="auto"/>
        <w:ind w:left="714" w:hanging="357"/>
        <w:jc w:val="both"/>
        <w:rPr>
          <w:sz w:val="24"/>
          <w:szCs w:val="24"/>
        </w:rPr>
      </w:pPr>
      <w:r w:rsidRPr="001079D5">
        <w:rPr>
          <w:sz w:val="24"/>
          <w:szCs w:val="24"/>
        </w:rPr>
        <w:t>Raport syntetyczny o stanie warstwy ozonowej i natężeniu promieniowania UV-B za 2021 rok;</w:t>
      </w:r>
    </w:p>
    <w:p w14:paraId="26BE3E18" w14:textId="5123E77D" w:rsidR="0098413C" w:rsidRPr="001079D5" w:rsidRDefault="0098413C" w:rsidP="00D34F97">
      <w:pPr>
        <w:pStyle w:val="Akapitzlist"/>
        <w:numPr>
          <w:ilvl w:val="0"/>
          <w:numId w:val="58"/>
        </w:numPr>
        <w:spacing w:line="276" w:lineRule="auto"/>
        <w:ind w:left="714" w:hanging="357"/>
        <w:jc w:val="both"/>
        <w:rPr>
          <w:sz w:val="24"/>
          <w:szCs w:val="24"/>
        </w:rPr>
      </w:pPr>
      <w:r w:rsidRPr="001079D5">
        <w:rPr>
          <w:sz w:val="24"/>
          <w:szCs w:val="24"/>
        </w:rPr>
        <w:t>Analiza wyników modelowania na potrzeby oceny udziału źródeł transgranicznych w Polsce w roku 2021, wykonana zgodnie z art. 88 ust. 6 ustawy Prawo ochrony środowiska</w:t>
      </w:r>
      <w:r w:rsidR="00CC04D4">
        <w:rPr>
          <w:rStyle w:val="Odwoanieprzypisudolnego"/>
          <w:szCs w:val="24"/>
        </w:rPr>
        <w:footnoteReference w:id="119"/>
      </w:r>
      <w:r w:rsidRPr="001079D5">
        <w:rPr>
          <w:sz w:val="24"/>
          <w:szCs w:val="24"/>
        </w:rPr>
        <w:t xml:space="preserve"> przez Instytut Ochrony Środowiska -Państwowy Instytut Badawczy;</w:t>
      </w:r>
    </w:p>
    <w:p w14:paraId="6B60ED3E" w14:textId="77777777" w:rsidR="0098413C" w:rsidRPr="001079D5" w:rsidRDefault="0098413C" w:rsidP="00D34F97">
      <w:pPr>
        <w:pStyle w:val="Akapitzlist"/>
        <w:numPr>
          <w:ilvl w:val="0"/>
          <w:numId w:val="58"/>
        </w:numPr>
        <w:spacing w:line="276" w:lineRule="auto"/>
        <w:ind w:left="714" w:hanging="357"/>
        <w:jc w:val="both"/>
        <w:rPr>
          <w:sz w:val="24"/>
          <w:szCs w:val="24"/>
        </w:rPr>
      </w:pPr>
      <w:r w:rsidRPr="001079D5">
        <w:rPr>
          <w:sz w:val="24"/>
          <w:szCs w:val="24"/>
        </w:rPr>
        <w:t>Jakość powietrza na obszarze powiatu kłodzkiego. Informacja za rok 2021 na podstawie Państwowego Monitoringu Środowiska;</w:t>
      </w:r>
    </w:p>
    <w:p w14:paraId="007A4B27" w14:textId="77777777" w:rsidR="0098413C" w:rsidRPr="001079D5" w:rsidRDefault="0098413C" w:rsidP="00D34F97">
      <w:pPr>
        <w:pStyle w:val="Akapitzlist"/>
        <w:numPr>
          <w:ilvl w:val="0"/>
          <w:numId w:val="58"/>
        </w:numPr>
        <w:spacing w:line="276" w:lineRule="auto"/>
        <w:ind w:left="714" w:hanging="357"/>
        <w:jc w:val="both"/>
        <w:rPr>
          <w:sz w:val="24"/>
          <w:szCs w:val="24"/>
        </w:rPr>
      </w:pPr>
      <w:r w:rsidRPr="001079D5">
        <w:rPr>
          <w:sz w:val="24"/>
          <w:szCs w:val="24"/>
        </w:rPr>
        <w:t>Jakość powietrza na obszarze miasta Głogowa. Informacja za rok 2021 na podstawie Państwowego Monitoringu Środowiska;</w:t>
      </w:r>
    </w:p>
    <w:p w14:paraId="6EA1D2BC" w14:textId="77777777" w:rsidR="0098413C" w:rsidRPr="001079D5" w:rsidRDefault="0098413C" w:rsidP="00D34F97">
      <w:pPr>
        <w:pStyle w:val="Akapitzlist"/>
        <w:numPr>
          <w:ilvl w:val="0"/>
          <w:numId w:val="58"/>
        </w:numPr>
        <w:spacing w:line="276" w:lineRule="auto"/>
        <w:ind w:left="714" w:hanging="357"/>
        <w:jc w:val="both"/>
        <w:rPr>
          <w:sz w:val="24"/>
          <w:szCs w:val="24"/>
        </w:rPr>
      </w:pPr>
      <w:r w:rsidRPr="001079D5">
        <w:rPr>
          <w:sz w:val="24"/>
          <w:szCs w:val="24"/>
        </w:rPr>
        <w:t>Jakość powietrza na obszarze Wrocławia. Informacja za rok 2021 na podstawie Państwowego Monitoringu Środowiska;</w:t>
      </w:r>
    </w:p>
    <w:p w14:paraId="511E5FA6" w14:textId="77777777" w:rsidR="0098413C" w:rsidRPr="001079D5" w:rsidRDefault="0098413C" w:rsidP="00D34F97">
      <w:pPr>
        <w:pStyle w:val="Akapitzlist"/>
        <w:numPr>
          <w:ilvl w:val="0"/>
          <w:numId w:val="58"/>
        </w:numPr>
        <w:spacing w:line="276" w:lineRule="auto"/>
        <w:ind w:left="714" w:hanging="357"/>
        <w:jc w:val="both"/>
        <w:rPr>
          <w:sz w:val="24"/>
          <w:szCs w:val="24"/>
        </w:rPr>
      </w:pPr>
      <w:r w:rsidRPr="001079D5">
        <w:rPr>
          <w:sz w:val="24"/>
          <w:szCs w:val="24"/>
        </w:rPr>
        <w:t xml:space="preserve">Jakość powietrza na obszarze gminy Strzegom ze szczególnym uwzględnieniem </w:t>
      </w:r>
      <w:proofErr w:type="spellStart"/>
      <w:r w:rsidRPr="001079D5">
        <w:rPr>
          <w:sz w:val="24"/>
          <w:szCs w:val="24"/>
        </w:rPr>
        <w:t>Kostrzy</w:t>
      </w:r>
      <w:proofErr w:type="spellEnd"/>
      <w:r w:rsidRPr="001079D5">
        <w:rPr>
          <w:sz w:val="24"/>
          <w:szCs w:val="24"/>
        </w:rPr>
        <w:t>. Informacja za rok 2021 na podstawie Państwowego Monitoringu Środowiska;</w:t>
      </w:r>
    </w:p>
    <w:p w14:paraId="15483128" w14:textId="77777777" w:rsidR="0098413C" w:rsidRPr="001079D5" w:rsidRDefault="0098413C" w:rsidP="00D34F97">
      <w:pPr>
        <w:pStyle w:val="Akapitzlist"/>
        <w:numPr>
          <w:ilvl w:val="0"/>
          <w:numId w:val="58"/>
        </w:numPr>
        <w:spacing w:line="276" w:lineRule="auto"/>
        <w:ind w:left="714" w:hanging="357"/>
        <w:jc w:val="both"/>
        <w:rPr>
          <w:sz w:val="24"/>
          <w:szCs w:val="24"/>
        </w:rPr>
      </w:pPr>
      <w:r w:rsidRPr="001079D5">
        <w:rPr>
          <w:sz w:val="24"/>
          <w:szCs w:val="24"/>
        </w:rPr>
        <w:t>Informacja o jakości powietrza w miastach: Wrocław, Legnica, Jelenia Góra i Wałbrzych (I kwartał 2022) – publikowane przez WUS we Wrocławiu w kwartalniku pod tytułem: „Wrocław – sytuacja społeczno-gospodarcza”;</w:t>
      </w:r>
    </w:p>
    <w:p w14:paraId="0D929ACF" w14:textId="77777777" w:rsidR="0098413C" w:rsidRPr="001079D5" w:rsidRDefault="0098413C" w:rsidP="00D34F97">
      <w:pPr>
        <w:pStyle w:val="Akapitzlist"/>
        <w:numPr>
          <w:ilvl w:val="0"/>
          <w:numId w:val="58"/>
        </w:numPr>
        <w:spacing w:line="276" w:lineRule="auto"/>
        <w:ind w:left="714" w:hanging="357"/>
        <w:jc w:val="both"/>
        <w:rPr>
          <w:sz w:val="24"/>
          <w:szCs w:val="24"/>
        </w:rPr>
      </w:pPr>
      <w:r w:rsidRPr="001079D5">
        <w:rPr>
          <w:sz w:val="24"/>
          <w:szCs w:val="24"/>
        </w:rPr>
        <w:t>Informacja o jakości powietrza w miastach: Wrocław, Legnica, Jelenia Góra i Wałbrzych (II kwartał 2022) – publikowane przez WUS we Wrocławiu w kwartalniku pod tytułem: „Wrocław – sytuacja społeczno-gospodarcza”;</w:t>
      </w:r>
    </w:p>
    <w:p w14:paraId="4C49B16B" w14:textId="77777777" w:rsidR="0098413C" w:rsidRPr="001079D5" w:rsidRDefault="0098413C" w:rsidP="00D34F97">
      <w:pPr>
        <w:pStyle w:val="Akapitzlist"/>
        <w:numPr>
          <w:ilvl w:val="0"/>
          <w:numId w:val="58"/>
        </w:numPr>
        <w:spacing w:line="276" w:lineRule="auto"/>
        <w:ind w:left="714" w:hanging="357"/>
        <w:jc w:val="both"/>
        <w:rPr>
          <w:sz w:val="24"/>
          <w:szCs w:val="24"/>
        </w:rPr>
      </w:pPr>
      <w:r w:rsidRPr="001079D5">
        <w:rPr>
          <w:sz w:val="24"/>
          <w:szCs w:val="24"/>
        </w:rPr>
        <w:t>Informacja o jakości powietrza w miastach: Wrocław, Legnica, Jelenia Góra i Wałbrzych (III kwartał 2022) – publikowane przez WUS we Wrocławiu w kwartalniku pod tytułem: „Wrocław – sytuacja społeczno-gospodarcza”;</w:t>
      </w:r>
    </w:p>
    <w:p w14:paraId="422834E1" w14:textId="77777777" w:rsidR="0098413C" w:rsidRPr="001079D5" w:rsidRDefault="0098413C" w:rsidP="00D34F97">
      <w:pPr>
        <w:pStyle w:val="Akapitzlist"/>
        <w:numPr>
          <w:ilvl w:val="0"/>
          <w:numId w:val="58"/>
        </w:numPr>
        <w:spacing w:line="276" w:lineRule="auto"/>
        <w:ind w:left="714" w:hanging="357"/>
        <w:jc w:val="both"/>
        <w:rPr>
          <w:sz w:val="24"/>
          <w:szCs w:val="24"/>
        </w:rPr>
      </w:pPr>
      <w:r w:rsidRPr="001079D5">
        <w:rPr>
          <w:sz w:val="24"/>
          <w:szCs w:val="24"/>
        </w:rPr>
        <w:t>Informacja o jakości powietrza w miastach: Wrocław, Legnica, Jelenia Góra i Wałbrzych (IV kwartał 2022) – publikowane przez WUS we Wrocławiu w kwartalniku pod tytułem: „Wrocław – sytuacja społeczno-gospodarcza”;</w:t>
      </w:r>
    </w:p>
    <w:p w14:paraId="1B8181DE" w14:textId="77777777" w:rsidR="0098413C" w:rsidRPr="001079D5" w:rsidRDefault="0098413C" w:rsidP="00D34F97">
      <w:pPr>
        <w:pStyle w:val="Akapitzlist"/>
        <w:numPr>
          <w:ilvl w:val="0"/>
          <w:numId w:val="58"/>
        </w:numPr>
        <w:spacing w:line="276" w:lineRule="auto"/>
        <w:ind w:left="714" w:hanging="357"/>
        <w:jc w:val="both"/>
        <w:rPr>
          <w:sz w:val="24"/>
          <w:szCs w:val="24"/>
        </w:rPr>
      </w:pPr>
      <w:r w:rsidRPr="001079D5">
        <w:rPr>
          <w:sz w:val="24"/>
          <w:szCs w:val="24"/>
        </w:rPr>
        <w:t>Monitoring prekursorów ozonu w stacji tła krajowego Bory Tucholskie – raport za 2021 rok;</w:t>
      </w:r>
    </w:p>
    <w:p w14:paraId="525FEB3A" w14:textId="77777777" w:rsidR="0098413C" w:rsidRPr="001079D5" w:rsidRDefault="0098413C" w:rsidP="00D34F97">
      <w:pPr>
        <w:pStyle w:val="Akapitzlist"/>
        <w:numPr>
          <w:ilvl w:val="0"/>
          <w:numId w:val="58"/>
        </w:numPr>
        <w:spacing w:line="276" w:lineRule="auto"/>
        <w:ind w:left="714" w:hanging="357"/>
        <w:jc w:val="both"/>
        <w:rPr>
          <w:sz w:val="24"/>
          <w:szCs w:val="24"/>
        </w:rPr>
      </w:pPr>
      <w:r w:rsidRPr="001079D5">
        <w:rPr>
          <w:sz w:val="24"/>
          <w:szCs w:val="24"/>
        </w:rPr>
        <w:t>Analiza stężeń formaldehydu uzyskanych w latach 2012-2021 na wybranych stacjach pomiaru jakości powietrza województwa lubuskiego;</w:t>
      </w:r>
    </w:p>
    <w:p w14:paraId="44CFF825" w14:textId="77777777" w:rsidR="0098413C" w:rsidRPr="001079D5" w:rsidRDefault="0098413C" w:rsidP="00D34F97">
      <w:pPr>
        <w:pStyle w:val="Akapitzlist"/>
        <w:numPr>
          <w:ilvl w:val="0"/>
          <w:numId w:val="58"/>
        </w:numPr>
        <w:spacing w:line="276" w:lineRule="auto"/>
        <w:jc w:val="both"/>
        <w:rPr>
          <w:sz w:val="24"/>
          <w:szCs w:val="24"/>
        </w:rPr>
      </w:pPr>
      <w:r w:rsidRPr="001079D5">
        <w:rPr>
          <w:sz w:val="24"/>
          <w:szCs w:val="24"/>
        </w:rPr>
        <w:t>Wyniki pomiarów jakości powietrza w województwie opolskim w 2021 roku.</w:t>
      </w:r>
    </w:p>
    <w:p w14:paraId="796F88BE" w14:textId="77777777" w:rsidR="0098413C" w:rsidRPr="001079D5" w:rsidRDefault="0098413C" w:rsidP="00D34F97">
      <w:pPr>
        <w:pStyle w:val="Akapitzlist"/>
        <w:numPr>
          <w:ilvl w:val="0"/>
          <w:numId w:val="58"/>
        </w:numPr>
        <w:spacing w:line="276" w:lineRule="auto"/>
        <w:ind w:left="714" w:hanging="357"/>
        <w:jc w:val="both"/>
        <w:rPr>
          <w:sz w:val="24"/>
          <w:szCs w:val="24"/>
          <w:lang w:val="en-GB"/>
        </w:rPr>
      </w:pPr>
      <w:r w:rsidRPr="001079D5">
        <w:rPr>
          <w:color w:val="000000"/>
          <w:sz w:val="24"/>
          <w:szCs w:val="24"/>
          <w:lang w:val="en-GB"/>
        </w:rPr>
        <w:t>Evaluating the biological validity of European river typology systems with least disturbed benthic macroinvertebrate communities", Science of The Total Environment;</w:t>
      </w:r>
    </w:p>
    <w:p w14:paraId="46DDD10B" w14:textId="77777777" w:rsidR="0098413C" w:rsidRPr="001079D5" w:rsidRDefault="0098413C" w:rsidP="00D34F97">
      <w:pPr>
        <w:pStyle w:val="Akapitzlist"/>
        <w:numPr>
          <w:ilvl w:val="0"/>
          <w:numId w:val="58"/>
        </w:numPr>
        <w:spacing w:line="276" w:lineRule="auto"/>
        <w:ind w:left="714" w:hanging="357"/>
        <w:jc w:val="both"/>
        <w:rPr>
          <w:sz w:val="24"/>
          <w:szCs w:val="24"/>
        </w:rPr>
      </w:pPr>
      <w:r w:rsidRPr="001079D5">
        <w:rPr>
          <w:bCs/>
          <w:sz w:val="24"/>
          <w:szCs w:val="24"/>
        </w:rPr>
        <w:t>Ocena jakości wód podziemnych na terenie województwa dolnośląskiego w 2021 roku;</w:t>
      </w:r>
    </w:p>
    <w:p w14:paraId="46A95BC0" w14:textId="77777777" w:rsidR="0098413C" w:rsidRPr="001079D5" w:rsidRDefault="0098413C" w:rsidP="00D34F97">
      <w:pPr>
        <w:pStyle w:val="Akapitzlist"/>
        <w:numPr>
          <w:ilvl w:val="0"/>
          <w:numId w:val="58"/>
        </w:numPr>
        <w:spacing w:line="276" w:lineRule="auto"/>
        <w:ind w:left="714" w:hanging="357"/>
        <w:jc w:val="both"/>
        <w:rPr>
          <w:bCs/>
          <w:sz w:val="24"/>
          <w:szCs w:val="24"/>
        </w:rPr>
      </w:pPr>
      <w:r w:rsidRPr="001079D5">
        <w:rPr>
          <w:bCs/>
          <w:sz w:val="24"/>
          <w:szCs w:val="24"/>
        </w:rPr>
        <w:t>Ocena jakości wód podziemnych na obszarach uprzemysłowionych narażonych na oddziaływanie punktowych źródeł zanieczyszczeń na terenie województwa dolnośląskiego w 2021 roku;</w:t>
      </w:r>
    </w:p>
    <w:p w14:paraId="6A31BCE6" w14:textId="77777777" w:rsidR="0098413C" w:rsidRPr="001079D5" w:rsidRDefault="0098413C" w:rsidP="00D34F97">
      <w:pPr>
        <w:pStyle w:val="Akapitzlist"/>
        <w:numPr>
          <w:ilvl w:val="0"/>
          <w:numId w:val="58"/>
        </w:numPr>
        <w:spacing w:line="276" w:lineRule="auto"/>
        <w:ind w:left="714" w:hanging="357"/>
        <w:jc w:val="both"/>
        <w:rPr>
          <w:bCs/>
          <w:sz w:val="24"/>
          <w:szCs w:val="24"/>
        </w:rPr>
      </w:pPr>
      <w:r w:rsidRPr="001079D5">
        <w:rPr>
          <w:bCs/>
          <w:sz w:val="24"/>
          <w:szCs w:val="24"/>
        </w:rPr>
        <w:t>Ocena jakości wód podziemnych na podstawie wyników monitoringu regionalnego wód podziemnych uzyskanych w 2021 roku z terenu województwa lubelskiego;</w:t>
      </w:r>
    </w:p>
    <w:p w14:paraId="1128AFD4" w14:textId="77777777" w:rsidR="0098413C" w:rsidRPr="001079D5" w:rsidRDefault="0098413C" w:rsidP="00D34F97">
      <w:pPr>
        <w:pStyle w:val="Akapitzlist"/>
        <w:numPr>
          <w:ilvl w:val="0"/>
          <w:numId w:val="58"/>
        </w:numPr>
        <w:spacing w:line="276" w:lineRule="auto"/>
        <w:ind w:left="714" w:hanging="357"/>
        <w:jc w:val="both"/>
        <w:rPr>
          <w:bCs/>
          <w:sz w:val="24"/>
          <w:szCs w:val="24"/>
        </w:rPr>
      </w:pPr>
      <w:r w:rsidRPr="001079D5">
        <w:rPr>
          <w:bCs/>
          <w:sz w:val="24"/>
          <w:szCs w:val="24"/>
        </w:rPr>
        <w:t>Ocena jakości wód podziemnych na podstawie wyników monitoringu regionalnego wód podziemnych uzyskanych w 2021 roku z terenu województwa lubuskiego;</w:t>
      </w:r>
    </w:p>
    <w:p w14:paraId="60EE1D8C" w14:textId="77777777" w:rsidR="0098413C" w:rsidRPr="001079D5" w:rsidRDefault="0098413C" w:rsidP="00D34F97">
      <w:pPr>
        <w:pStyle w:val="Akapitzlist"/>
        <w:numPr>
          <w:ilvl w:val="0"/>
          <w:numId w:val="58"/>
        </w:numPr>
        <w:spacing w:line="276" w:lineRule="auto"/>
        <w:ind w:left="714" w:hanging="357"/>
        <w:jc w:val="both"/>
        <w:rPr>
          <w:bCs/>
          <w:sz w:val="24"/>
          <w:szCs w:val="24"/>
        </w:rPr>
      </w:pPr>
      <w:r w:rsidRPr="001079D5">
        <w:rPr>
          <w:bCs/>
          <w:sz w:val="24"/>
          <w:szCs w:val="24"/>
        </w:rPr>
        <w:lastRenderedPageBreak/>
        <w:t>Ocena jakości wód podziemnych na podstawie wyników monitoringu regionalnego wód podziemnych uzyskanych w 2021 roku z terenu województwa łódzkiego;</w:t>
      </w:r>
    </w:p>
    <w:p w14:paraId="29F07348" w14:textId="77777777" w:rsidR="0098413C" w:rsidRPr="001079D5" w:rsidRDefault="0098413C" w:rsidP="00D34F97">
      <w:pPr>
        <w:pStyle w:val="Akapitzlist"/>
        <w:numPr>
          <w:ilvl w:val="0"/>
          <w:numId w:val="58"/>
        </w:numPr>
        <w:spacing w:line="276" w:lineRule="auto"/>
        <w:ind w:left="714" w:hanging="357"/>
        <w:jc w:val="both"/>
        <w:rPr>
          <w:bCs/>
          <w:sz w:val="24"/>
          <w:szCs w:val="24"/>
        </w:rPr>
      </w:pPr>
      <w:r w:rsidRPr="001079D5">
        <w:rPr>
          <w:bCs/>
          <w:sz w:val="24"/>
          <w:szCs w:val="24"/>
        </w:rPr>
        <w:t>Ocena jakości wód podziemnych na podstawie wyników monitoringu regionalnego wód podziemnych uzyskanych w 2021 roku z terenu województwa małopolskiego;</w:t>
      </w:r>
    </w:p>
    <w:p w14:paraId="08834875" w14:textId="77777777" w:rsidR="0098413C" w:rsidRPr="001079D5" w:rsidRDefault="0098413C" w:rsidP="00D34F97">
      <w:pPr>
        <w:pStyle w:val="Akapitzlist"/>
        <w:numPr>
          <w:ilvl w:val="0"/>
          <w:numId w:val="58"/>
        </w:numPr>
        <w:spacing w:line="276" w:lineRule="auto"/>
        <w:ind w:left="714" w:hanging="357"/>
        <w:jc w:val="both"/>
        <w:rPr>
          <w:bCs/>
          <w:sz w:val="24"/>
          <w:szCs w:val="24"/>
        </w:rPr>
      </w:pPr>
      <w:r w:rsidRPr="001079D5">
        <w:rPr>
          <w:bCs/>
          <w:sz w:val="24"/>
          <w:szCs w:val="24"/>
        </w:rPr>
        <w:t>Ocena jakości wód podziemnych na podstawie wyników monitoringu regionalnego wód podziemnych uzyskanych w 2021 roku z terenu województwa śląskiego;</w:t>
      </w:r>
    </w:p>
    <w:p w14:paraId="2F7F65EE" w14:textId="77777777" w:rsidR="0098413C" w:rsidRPr="001079D5" w:rsidRDefault="0098413C" w:rsidP="00D34F97">
      <w:pPr>
        <w:pStyle w:val="Akapitzlist"/>
        <w:numPr>
          <w:ilvl w:val="0"/>
          <w:numId w:val="58"/>
        </w:numPr>
        <w:spacing w:line="276" w:lineRule="auto"/>
        <w:ind w:left="714" w:hanging="357"/>
        <w:jc w:val="both"/>
        <w:rPr>
          <w:bCs/>
          <w:sz w:val="24"/>
          <w:szCs w:val="24"/>
        </w:rPr>
      </w:pPr>
      <w:r w:rsidRPr="001079D5">
        <w:rPr>
          <w:bCs/>
          <w:sz w:val="24"/>
          <w:szCs w:val="24"/>
        </w:rPr>
        <w:t>Ocena jakości wód podziemnych na podstawie wyników monitoringu regionalnego wód podziemnych uzyskanych w 2021 roku z terenu województwa wielkopolskiego;</w:t>
      </w:r>
    </w:p>
    <w:p w14:paraId="4576227E" w14:textId="77777777" w:rsidR="0098413C" w:rsidRPr="001079D5" w:rsidRDefault="0098413C" w:rsidP="00D34F97">
      <w:pPr>
        <w:pStyle w:val="Akapitzlist"/>
        <w:numPr>
          <w:ilvl w:val="0"/>
          <w:numId w:val="58"/>
        </w:numPr>
        <w:spacing w:line="276" w:lineRule="auto"/>
        <w:ind w:left="714" w:hanging="357"/>
        <w:jc w:val="both"/>
        <w:rPr>
          <w:sz w:val="24"/>
          <w:szCs w:val="24"/>
        </w:rPr>
      </w:pPr>
      <w:r w:rsidRPr="001079D5">
        <w:rPr>
          <w:bCs/>
          <w:sz w:val="24"/>
          <w:szCs w:val="24"/>
        </w:rPr>
        <w:t>Ocena jakości wód podziemnych badanych w ramach monitoringu regionalnego na obszarze województwa zachodniopomorskiego w 2021 r.;</w:t>
      </w:r>
    </w:p>
    <w:p w14:paraId="60161D1B" w14:textId="77777777" w:rsidR="0098413C" w:rsidRPr="001079D5" w:rsidRDefault="0098413C" w:rsidP="00D34F97">
      <w:pPr>
        <w:pStyle w:val="Akapitzlist"/>
        <w:numPr>
          <w:ilvl w:val="0"/>
          <w:numId w:val="58"/>
        </w:numPr>
        <w:spacing w:line="276" w:lineRule="auto"/>
        <w:ind w:left="714" w:hanging="357"/>
        <w:jc w:val="both"/>
        <w:rPr>
          <w:sz w:val="24"/>
          <w:szCs w:val="24"/>
        </w:rPr>
      </w:pPr>
      <w:r w:rsidRPr="001079D5">
        <w:rPr>
          <w:sz w:val="24"/>
          <w:szCs w:val="24"/>
        </w:rPr>
        <w:t>Ocena stanu wód powierzchniowych w województwie śląskim na podstawie wyników badań PMŚ (czasopismo EKOLOGIA);</w:t>
      </w:r>
    </w:p>
    <w:p w14:paraId="4B676CC6" w14:textId="77777777" w:rsidR="0098413C" w:rsidRPr="001079D5" w:rsidRDefault="0098413C" w:rsidP="00D34F97">
      <w:pPr>
        <w:numPr>
          <w:ilvl w:val="0"/>
          <w:numId w:val="58"/>
        </w:numPr>
        <w:spacing w:after="0" w:line="276" w:lineRule="auto"/>
        <w:ind w:left="714" w:hanging="357"/>
        <w:jc w:val="both"/>
        <w:rPr>
          <w:rFonts w:ascii="Times New Roman" w:hAnsi="Times New Roman" w:cs="Times New Roman"/>
          <w:bCs/>
          <w:sz w:val="24"/>
          <w:szCs w:val="24"/>
        </w:rPr>
      </w:pPr>
      <w:r w:rsidRPr="001079D5">
        <w:rPr>
          <w:rFonts w:ascii="Times New Roman" w:hAnsi="Times New Roman" w:cs="Times New Roman"/>
          <w:sz w:val="24"/>
          <w:szCs w:val="24"/>
        </w:rPr>
        <w:t xml:space="preserve">Ocena stanu akustycznego środowiska na terenie województwa dolnośląskiego w roku 2021. </w:t>
      </w:r>
    </w:p>
    <w:p w14:paraId="59C4CB35" w14:textId="77777777" w:rsidR="0098413C" w:rsidRPr="001079D5" w:rsidRDefault="0098413C" w:rsidP="0098413C">
      <w:pPr>
        <w:spacing w:after="0" w:line="276" w:lineRule="auto"/>
        <w:ind w:left="714"/>
        <w:jc w:val="both"/>
        <w:rPr>
          <w:rFonts w:ascii="Times New Roman" w:hAnsi="Times New Roman" w:cs="Times New Roman"/>
          <w:bCs/>
          <w:sz w:val="24"/>
          <w:szCs w:val="24"/>
        </w:rPr>
      </w:pPr>
      <w:r w:rsidRPr="001079D5">
        <w:rPr>
          <w:rFonts w:ascii="Times New Roman" w:hAnsi="Times New Roman" w:cs="Times New Roman"/>
          <w:bCs/>
          <w:sz w:val="24"/>
          <w:szCs w:val="24"/>
        </w:rPr>
        <w:t xml:space="preserve">Tego rodzaju oceny zostały również sporządzone dla </w:t>
      </w:r>
      <w:r w:rsidRPr="001079D5">
        <w:rPr>
          <w:rFonts w:ascii="Times New Roman" w:hAnsi="Times New Roman" w:cs="Times New Roman"/>
          <w:sz w:val="24"/>
          <w:szCs w:val="24"/>
        </w:rPr>
        <w:t>województwa kujawsko-pomorskiego, lubelskiego, lubuskiego, łódzkiego, małopolskiego, mazowieckiego, opolskiego, podkarpackiego, podlaskiego, pomorskiego, śląskiego, świętokrzyskiego, warmińsko-mazurskiego, wielkopolskiego i zachodniopomorskiego;</w:t>
      </w:r>
    </w:p>
    <w:p w14:paraId="6DB4A3F1" w14:textId="77777777" w:rsidR="0098413C" w:rsidRPr="001079D5" w:rsidRDefault="0098413C" w:rsidP="00D34F97">
      <w:pPr>
        <w:pStyle w:val="Akapitzlist"/>
        <w:numPr>
          <w:ilvl w:val="0"/>
          <w:numId w:val="58"/>
        </w:numPr>
        <w:spacing w:line="276" w:lineRule="auto"/>
        <w:ind w:left="714" w:hanging="357"/>
        <w:jc w:val="both"/>
        <w:rPr>
          <w:sz w:val="24"/>
          <w:szCs w:val="24"/>
        </w:rPr>
      </w:pPr>
      <w:r w:rsidRPr="001079D5">
        <w:rPr>
          <w:sz w:val="24"/>
          <w:szCs w:val="24"/>
        </w:rPr>
        <w:t>Raport w zakresie sporządzonych strategicznych map hałasu dla aglomeracji, dróg o natężeniu ruchu powyżej 3 mln rocznie i linii kolejowych, po których przejeżdża ponad 30 tys. pociągów rocznie na terenie Dolnego Śląska;</w:t>
      </w:r>
    </w:p>
    <w:p w14:paraId="46023FC6" w14:textId="77777777" w:rsidR="0098413C" w:rsidRPr="001079D5" w:rsidRDefault="0098413C" w:rsidP="00D34F97">
      <w:pPr>
        <w:numPr>
          <w:ilvl w:val="0"/>
          <w:numId w:val="58"/>
        </w:numPr>
        <w:spacing w:after="0" w:line="276" w:lineRule="auto"/>
        <w:ind w:left="714" w:hanging="357"/>
        <w:jc w:val="both"/>
        <w:rPr>
          <w:rFonts w:ascii="Times New Roman" w:hAnsi="Times New Roman" w:cs="Times New Roman"/>
          <w:bCs/>
          <w:sz w:val="24"/>
          <w:szCs w:val="24"/>
        </w:rPr>
      </w:pPr>
      <w:r w:rsidRPr="001079D5">
        <w:rPr>
          <w:rFonts w:ascii="Times New Roman" w:hAnsi="Times New Roman" w:cs="Times New Roman"/>
          <w:bCs/>
          <w:sz w:val="24"/>
          <w:szCs w:val="24"/>
        </w:rPr>
        <w:t xml:space="preserve">Lokalna mapa hałasu dla miasta Hrubieszów na terenie województwa </w:t>
      </w:r>
      <w:r w:rsidRPr="001079D5">
        <w:rPr>
          <w:rFonts w:ascii="Times New Roman" w:hAnsi="Times New Roman" w:cs="Times New Roman"/>
          <w:sz w:val="24"/>
          <w:szCs w:val="24"/>
        </w:rPr>
        <w:t>lubelskiego wykonana</w:t>
      </w:r>
      <w:r w:rsidRPr="001079D5">
        <w:rPr>
          <w:rFonts w:ascii="Times New Roman" w:hAnsi="Times New Roman" w:cs="Times New Roman"/>
          <w:bCs/>
          <w:sz w:val="24"/>
          <w:szCs w:val="24"/>
        </w:rPr>
        <w:t xml:space="preserve"> na podstawie pomiarów hałasu drogowego w roku 2021 w ramach Państwowego Monitoringu Środowiska;</w:t>
      </w:r>
    </w:p>
    <w:p w14:paraId="5F556612" w14:textId="77777777" w:rsidR="0098413C" w:rsidRPr="001079D5" w:rsidRDefault="0098413C" w:rsidP="00D34F97">
      <w:pPr>
        <w:numPr>
          <w:ilvl w:val="0"/>
          <w:numId w:val="58"/>
        </w:numPr>
        <w:spacing w:after="0" w:line="276" w:lineRule="auto"/>
        <w:ind w:left="714" w:hanging="357"/>
        <w:jc w:val="both"/>
        <w:rPr>
          <w:rFonts w:ascii="Times New Roman" w:hAnsi="Times New Roman" w:cs="Times New Roman"/>
          <w:bCs/>
          <w:sz w:val="24"/>
          <w:szCs w:val="24"/>
        </w:rPr>
      </w:pPr>
      <w:r w:rsidRPr="001079D5">
        <w:rPr>
          <w:rFonts w:ascii="Times New Roman" w:hAnsi="Times New Roman" w:cs="Times New Roman"/>
          <w:bCs/>
          <w:sz w:val="24"/>
          <w:szCs w:val="24"/>
        </w:rPr>
        <w:t>Lokalna mapa hałasu dla Aleksandrowa Łódzkiego</w:t>
      </w:r>
      <w:r w:rsidRPr="001079D5">
        <w:rPr>
          <w:rFonts w:ascii="Times New Roman" w:hAnsi="Times New Roman" w:cs="Times New Roman"/>
          <w:sz w:val="24"/>
          <w:szCs w:val="24"/>
        </w:rPr>
        <w:t xml:space="preserve"> wykonana</w:t>
      </w:r>
      <w:r w:rsidRPr="001079D5">
        <w:rPr>
          <w:rFonts w:ascii="Times New Roman" w:hAnsi="Times New Roman" w:cs="Times New Roman"/>
          <w:bCs/>
          <w:sz w:val="24"/>
          <w:szCs w:val="24"/>
        </w:rPr>
        <w:t xml:space="preserve"> na podstawie pomiarów hałasu drogowego w roku 2021 w ramach Państwowego Monitoringu Środowiska;</w:t>
      </w:r>
    </w:p>
    <w:p w14:paraId="6A39A3E4" w14:textId="77777777" w:rsidR="0098413C" w:rsidRPr="001079D5" w:rsidRDefault="0098413C" w:rsidP="0098413C">
      <w:pPr>
        <w:spacing w:line="276" w:lineRule="auto"/>
        <w:jc w:val="both"/>
        <w:rPr>
          <w:rFonts w:ascii="Times New Roman" w:hAnsi="Times New Roman" w:cs="Times New Roman"/>
          <w:bCs/>
          <w:sz w:val="24"/>
          <w:szCs w:val="24"/>
        </w:rPr>
      </w:pPr>
    </w:p>
    <w:p w14:paraId="40515C7C" w14:textId="77777777" w:rsidR="0098413C" w:rsidRPr="001079D5" w:rsidRDefault="0098413C" w:rsidP="0098413C">
      <w:pPr>
        <w:jc w:val="center"/>
        <w:rPr>
          <w:rFonts w:ascii="Times New Roman" w:hAnsi="Times New Roman" w:cs="Times New Roman"/>
          <w:bCs/>
          <w:sz w:val="24"/>
          <w:szCs w:val="24"/>
        </w:rPr>
      </w:pPr>
      <w:r w:rsidRPr="001079D5">
        <w:rPr>
          <w:rFonts w:ascii="Times New Roman" w:hAnsi="Times New Roman" w:cs="Times New Roman"/>
          <w:bCs/>
          <w:noProof/>
          <w:sz w:val="24"/>
          <w:szCs w:val="24"/>
          <w:lang w:eastAsia="pl-PL"/>
        </w:rPr>
        <w:drawing>
          <wp:inline distT="0" distB="0" distL="0" distR="0" wp14:anchorId="67158063" wp14:editId="15261851">
            <wp:extent cx="2359269" cy="3067050"/>
            <wp:effectExtent l="19050" t="19050" r="22225" b="19050"/>
            <wp:docPr id="473" name="Obraz 473" descr="Ryc. 26 Przykładowe strony tytułowe publikacji tematycz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Obraz 473" descr="Ryc. 26 Przykładowe strony tytułowe publikacji tematycznych"/>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2371932" cy="3083512"/>
                    </a:xfrm>
                    <a:prstGeom prst="rect">
                      <a:avLst/>
                    </a:prstGeom>
                    <a:ln>
                      <a:solidFill>
                        <a:schemeClr val="bg2">
                          <a:lumMod val="50000"/>
                        </a:schemeClr>
                      </a:solidFill>
                    </a:ln>
                  </pic:spPr>
                </pic:pic>
              </a:graphicData>
            </a:graphic>
          </wp:inline>
        </w:drawing>
      </w:r>
      <w:r w:rsidRPr="001079D5">
        <w:rPr>
          <w:rFonts w:ascii="Times New Roman" w:hAnsi="Times New Roman" w:cs="Times New Roman"/>
          <w:bCs/>
          <w:sz w:val="24"/>
          <w:szCs w:val="24"/>
        </w:rPr>
        <w:t xml:space="preserve">   </w:t>
      </w:r>
      <w:r w:rsidRPr="001079D5">
        <w:rPr>
          <w:rFonts w:ascii="Times New Roman" w:hAnsi="Times New Roman" w:cs="Times New Roman"/>
          <w:bCs/>
          <w:noProof/>
          <w:sz w:val="24"/>
          <w:szCs w:val="24"/>
          <w:lang w:eastAsia="pl-PL"/>
        </w:rPr>
        <w:drawing>
          <wp:inline distT="0" distB="0" distL="0" distR="0" wp14:anchorId="65164423" wp14:editId="0930AF70">
            <wp:extent cx="2381250" cy="3079809"/>
            <wp:effectExtent l="19050" t="19050" r="19050" b="25400"/>
            <wp:docPr id="477" name="Obraz 477" descr="Ryc. 27 Przykładowe strony tytułowe publikacji tematycz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Obraz 477" descr="Ryc. 27 Przykładowe strony tytułowe publikacji tematycznych"/>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417437" cy="3126612"/>
                    </a:xfrm>
                    <a:prstGeom prst="rect">
                      <a:avLst/>
                    </a:prstGeom>
                    <a:ln>
                      <a:solidFill>
                        <a:schemeClr val="bg2">
                          <a:lumMod val="50000"/>
                        </a:schemeClr>
                      </a:solidFill>
                    </a:ln>
                  </pic:spPr>
                </pic:pic>
              </a:graphicData>
            </a:graphic>
          </wp:inline>
        </w:drawing>
      </w:r>
    </w:p>
    <w:p w14:paraId="0C55E827" w14:textId="0D5A6A40" w:rsidR="0098413C" w:rsidRPr="00AD4299" w:rsidRDefault="0024039B" w:rsidP="0098413C">
      <w:pPr>
        <w:jc w:val="center"/>
        <w:rPr>
          <w:rFonts w:ascii="Times New Roman" w:hAnsi="Times New Roman" w:cs="Times New Roman"/>
          <w:b/>
          <w:bCs/>
        </w:rPr>
      </w:pPr>
      <w:r>
        <w:rPr>
          <w:rFonts w:ascii="Times New Roman" w:hAnsi="Times New Roman" w:cs="Times New Roman"/>
          <w:b/>
          <w:i/>
        </w:rPr>
        <w:lastRenderedPageBreak/>
        <w:t xml:space="preserve">Ryc. 26-27 </w:t>
      </w:r>
      <w:r w:rsidR="0098413C" w:rsidRPr="00AD4299">
        <w:rPr>
          <w:rFonts w:ascii="Times New Roman" w:hAnsi="Times New Roman" w:cs="Times New Roman"/>
          <w:b/>
          <w:i/>
        </w:rPr>
        <w:t>Przykładowe strony tytułowe publikacji tematycznych</w:t>
      </w:r>
    </w:p>
    <w:p w14:paraId="56B7D13F" w14:textId="77777777" w:rsidR="0098413C" w:rsidRPr="001079D5" w:rsidRDefault="0098413C" w:rsidP="00D34F97">
      <w:pPr>
        <w:numPr>
          <w:ilvl w:val="0"/>
          <w:numId w:val="58"/>
        </w:numPr>
        <w:spacing w:after="0" w:line="276" w:lineRule="auto"/>
        <w:jc w:val="both"/>
        <w:rPr>
          <w:rFonts w:ascii="Times New Roman" w:hAnsi="Times New Roman" w:cs="Times New Roman"/>
          <w:bCs/>
          <w:sz w:val="24"/>
          <w:szCs w:val="24"/>
        </w:rPr>
      </w:pPr>
      <w:r w:rsidRPr="001079D5">
        <w:rPr>
          <w:rFonts w:ascii="Times New Roman" w:hAnsi="Times New Roman" w:cs="Times New Roman"/>
          <w:bCs/>
          <w:sz w:val="24"/>
          <w:szCs w:val="24"/>
        </w:rPr>
        <w:t>Lokalna mapa hałasu dla miejscowości Miłosław i Bugaj na terenie województwa wielkopolskiego opracowana na podstawie pomiarów hałasu drogowego w latach 2021 i 2022;</w:t>
      </w:r>
    </w:p>
    <w:p w14:paraId="64E336C0" w14:textId="77777777" w:rsidR="0098413C" w:rsidRPr="001079D5" w:rsidRDefault="0098413C" w:rsidP="00D34F97">
      <w:pPr>
        <w:pStyle w:val="Akapitzlist"/>
        <w:numPr>
          <w:ilvl w:val="0"/>
          <w:numId w:val="58"/>
        </w:numPr>
        <w:spacing w:line="276" w:lineRule="auto"/>
        <w:jc w:val="both"/>
        <w:rPr>
          <w:sz w:val="24"/>
          <w:szCs w:val="24"/>
        </w:rPr>
      </w:pPr>
      <w:r w:rsidRPr="001079D5">
        <w:rPr>
          <w:bCs/>
          <w:sz w:val="24"/>
          <w:szCs w:val="24"/>
        </w:rPr>
        <w:t>Ocena poziomów pól elektromagnetycznych w Polsce w roku 2021;</w:t>
      </w:r>
    </w:p>
    <w:p w14:paraId="7BB84DEC" w14:textId="77777777" w:rsidR="0098413C" w:rsidRPr="001079D5" w:rsidRDefault="0098413C" w:rsidP="00D34F97">
      <w:pPr>
        <w:numPr>
          <w:ilvl w:val="0"/>
          <w:numId w:val="58"/>
        </w:numPr>
        <w:spacing w:after="0" w:line="276" w:lineRule="auto"/>
        <w:jc w:val="both"/>
        <w:rPr>
          <w:rFonts w:ascii="Times New Roman" w:hAnsi="Times New Roman" w:cs="Times New Roman"/>
          <w:bCs/>
          <w:sz w:val="24"/>
          <w:szCs w:val="24"/>
        </w:rPr>
      </w:pPr>
      <w:r w:rsidRPr="001079D5">
        <w:rPr>
          <w:rFonts w:ascii="Times New Roman" w:hAnsi="Times New Roman" w:cs="Times New Roman"/>
          <w:bCs/>
          <w:sz w:val="24"/>
          <w:szCs w:val="24"/>
        </w:rPr>
        <w:t xml:space="preserve">Wykonywanie pomiarów w sieci wczesnego wykrywania skażeń promieniotwórczych </w:t>
      </w:r>
      <w:r w:rsidRPr="001079D5">
        <w:rPr>
          <w:rFonts w:ascii="Times New Roman" w:hAnsi="Times New Roman" w:cs="Times New Roman"/>
          <w:sz w:val="24"/>
          <w:szCs w:val="24"/>
        </w:rPr>
        <w:t>–</w:t>
      </w:r>
      <w:r w:rsidRPr="001079D5">
        <w:rPr>
          <w:rFonts w:ascii="Times New Roman" w:hAnsi="Times New Roman" w:cs="Times New Roman"/>
          <w:bCs/>
          <w:sz w:val="24"/>
          <w:szCs w:val="24"/>
        </w:rPr>
        <w:t xml:space="preserve"> Raport przedstawiający wyniki i analizy za rok 2021;</w:t>
      </w:r>
    </w:p>
    <w:p w14:paraId="68923F55" w14:textId="77777777" w:rsidR="0098413C" w:rsidRPr="001079D5" w:rsidRDefault="0098413C" w:rsidP="00D34F97">
      <w:pPr>
        <w:numPr>
          <w:ilvl w:val="0"/>
          <w:numId w:val="58"/>
        </w:numPr>
        <w:spacing w:after="0" w:line="276" w:lineRule="auto"/>
        <w:jc w:val="both"/>
        <w:rPr>
          <w:rFonts w:ascii="Times New Roman" w:hAnsi="Times New Roman" w:cs="Times New Roman"/>
          <w:bCs/>
          <w:sz w:val="24"/>
          <w:szCs w:val="24"/>
        </w:rPr>
      </w:pPr>
      <w:r w:rsidRPr="001079D5">
        <w:rPr>
          <w:rFonts w:ascii="Times New Roman" w:hAnsi="Times New Roman" w:cs="Times New Roman"/>
          <w:bCs/>
          <w:sz w:val="24"/>
          <w:szCs w:val="24"/>
        </w:rPr>
        <w:t>Monitoring skażeń promieniotwórczych wód powierzchniowych i osadów dennych – Raport za rok 2021;</w:t>
      </w:r>
    </w:p>
    <w:p w14:paraId="4D948F99" w14:textId="77777777" w:rsidR="0098413C" w:rsidRPr="001079D5" w:rsidRDefault="0098413C" w:rsidP="00D34F97">
      <w:pPr>
        <w:pStyle w:val="Akapitzlist"/>
        <w:numPr>
          <w:ilvl w:val="0"/>
          <w:numId w:val="58"/>
        </w:numPr>
        <w:spacing w:line="276" w:lineRule="auto"/>
        <w:jc w:val="both"/>
        <w:rPr>
          <w:sz w:val="24"/>
          <w:szCs w:val="24"/>
        </w:rPr>
      </w:pPr>
      <w:r w:rsidRPr="001079D5">
        <w:rPr>
          <w:bCs/>
          <w:sz w:val="24"/>
          <w:szCs w:val="24"/>
        </w:rPr>
        <w:t>Monitoring stężenia cezu-137 w glebie – Raport za rok 2020;</w:t>
      </w:r>
    </w:p>
    <w:p w14:paraId="5755B3C0" w14:textId="77777777" w:rsidR="0098413C" w:rsidRPr="001079D5" w:rsidRDefault="0098413C" w:rsidP="00D34F97">
      <w:pPr>
        <w:pStyle w:val="Akapitzlist"/>
        <w:numPr>
          <w:ilvl w:val="0"/>
          <w:numId w:val="58"/>
        </w:numPr>
        <w:spacing w:line="276" w:lineRule="auto"/>
        <w:jc w:val="both"/>
        <w:rPr>
          <w:sz w:val="24"/>
          <w:szCs w:val="24"/>
        </w:rPr>
      </w:pPr>
      <w:r w:rsidRPr="001079D5">
        <w:rPr>
          <w:bCs/>
          <w:sz w:val="24"/>
          <w:szCs w:val="24"/>
        </w:rPr>
        <w:t>Monitoring chemizmu gleb ornych w Polsce w latach 2020-2022 – Raport;</w:t>
      </w:r>
    </w:p>
    <w:p w14:paraId="0DDDBE6B" w14:textId="77777777" w:rsidR="0098413C" w:rsidRPr="001079D5" w:rsidRDefault="0098413C" w:rsidP="00D34F97">
      <w:pPr>
        <w:pStyle w:val="Akapitzlist"/>
        <w:numPr>
          <w:ilvl w:val="0"/>
          <w:numId w:val="58"/>
        </w:numPr>
        <w:spacing w:line="276" w:lineRule="auto"/>
        <w:jc w:val="both"/>
        <w:rPr>
          <w:sz w:val="24"/>
          <w:szCs w:val="24"/>
        </w:rPr>
      </w:pPr>
      <w:r w:rsidRPr="001079D5">
        <w:rPr>
          <w:sz w:val="24"/>
          <w:szCs w:val="24"/>
        </w:rPr>
        <w:t xml:space="preserve">Stan </w:t>
      </w:r>
      <w:proofErr w:type="spellStart"/>
      <w:r w:rsidRPr="001079D5">
        <w:rPr>
          <w:sz w:val="24"/>
          <w:szCs w:val="24"/>
        </w:rPr>
        <w:t>geoekosystemów</w:t>
      </w:r>
      <w:proofErr w:type="spellEnd"/>
      <w:r w:rsidRPr="001079D5">
        <w:rPr>
          <w:sz w:val="24"/>
          <w:szCs w:val="24"/>
        </w:rPr>
        <w:t xml:space="preserve"> Polski w 2021 r. (wyłącznie w formie elektronicznej);</w:t>
      </w:r>
    </w:p>
    <w:p w14:paraId="0EDED768" w14:textId="77777777" w:rsidR="0098413C" w:rsidRPr="001079D5" w:rsidRDefault="0098413C" w:rsidP="00D34F97">
      <w:pPr>
        <w:pStyle w:val="Akapitzlist"/>
        <w:numPr>
          <w:ilvl w:val="0"/>
          <w:numId w:val="58"/>
        </w:numPr>
        <w:spacing w:line="276" w:lineRule="auto"/>
        <w:jc w:val="both"/>
        <w:rPr>
          <w:sz w:val="24"/>
          <w:szCs w:val="24"/>
        </w:rPr>
      </w:pPr>
      <w:r w:rsidRPr="001079D5">
        <w:rPr>
          <w:sz w:val="24"/>
          <w:szCs w:val="24"/>
        </w:rPr>
        <w:t xml:space="preserve">Stan zdrowotny lasów w Polsce w 2021 roku na podstawie badań monitoringowych (wyłącznie w formie elektronicznej); </w:t>
      </w:r>
    </w:p>
    <w:p w14:paraId="15FA5DAB" w14:textId="77777777" w:rsidR="0098413C" w:rsidRPr="001079D5" w:rsidRDefault="00C601FE" w:rsidP="00D34F97">
      <w:pPr>
        <w:pStyle w:val="Akapitzlist"/>
        <w:numPr>
          <w:ilvl w:val="0"/>
          <w:numId w:val="58"/>
        </w:numPr>
        <w:spacing w:line="276" w:lineRule="auto"/>
        <w:jc w:val="both"/>
        <w:rPr>
          <w:sz w:val="24"/>
          <w:szCs w:val="24"/>
        </w:rPr>
      </w:pPr>
      <w:hyperlink r:id="rId213" w:history="1">
        <w:r w:rsidR="0098413C" w:rsidRPr="001079D5">
          <w:rPr>
            <w:bCs/>
            <w:sz w:val="24"/>
            <w:szCs w:val="24"/>
          </w:rPr>
          <w:t>Sygnały Europejskiej Agencji Środowiska (EEA) 2021 „Przyroda Europy”</w:t>
        </w:r>
      </w:hyperlink>
      <w:r w:rsidR="0098413C" w:rsidRPr="001079D5">
        <w:rPr>
          <w:bCs/>
          <w:sz w:val="24"/>
          <w:szCs w:val="24"/>
        </w:rPr>
        <w:t xml:space="preserve"> – weryfikacja tłumaczenia;</w:t>
      </w:r>
    </w:p>
    <w:p w14:paraId="40E81508" w14:textId="77777777" w:rsidR="0098413C" w:rsidRPr="001079D5" w:rsidRDefault="0098413C" w:rsidP="00D34F97">
      <w:pPr>
        <w:pStyle w:val="Akapitzlist"/>
        <w:numPr>
          <w:ilvl w:val="0"/>
          <w:numId w:val="58"/>
        </w:numPr>
        <w:spacing w:line="276" w:lineRule="auto"/>
        <w:jc w:val="both"/>
        <w:rPr>
          <w:sz w:val="24"/>
          <w:szCs w:val="24"/>
        </w:rPr>
      </w:pPr>
      <w:r w:rsidRPr="001079D5">
        <w:rPr>
          <w:sz w:val="24"/>
          <w:szCs w:val="24"/>
        </w:rPr>
        <w:t xml:space="preserve">Profil krajowy dot. gospodarki o obiegu zamkniętym </w:t>
      </w:r>
      <w:hyperlink r:id="rId214" w:history="1">
        <w:proofErr w:type="spellStart"/>
        <w:r w:rsidRPr="001079D5">
          <w:rPr>
            <w:sz w:val="24"/>
            <w:szCs w:val="24"/>
          </w:rPr>
          <w:t>Circular</w:t>
        </w:r>
        <w:proofErr w:type="spellEnd"/>
        <w:r w:rsidRPr="001079D5">
          <w:rPr>
            <w:sz w:val="24"/>
            <w:szCs w:val="24"/>
          </w:rPr>
          <w:t xml:space="preserve"> </w:t>
        </w:r>
        <w:proofErr w:type="spellStart"/>
        <w:r w:rsidRPr="001079D5">
          <w:rPr>
            <w:sz w:val="24"/>
            <w:szCs w:val="24"/>
          </w:rPr>
          <w:t>economy</w:t>
        </w:r>
        <w:proofErr w:type="spellEnd"/>
        <w:r w:rsidRPr="001079D5">
          <w:rPr>
            <w:sz w:val="24"/>
            <w:szCs w:val="24"/>
          </w:rPr>
          <w:t xml:space="preserve"> country profile - Poland</w:t>
        </w:r>
      </w:hyperlink>
      <w:r w:rsidRPr="001079D5">
        <w:rPr>
          <w:sz w:val="24"/>
          <w:szCs w:val="24"/>
        </w:rPr>
        <w:t xml:space="preserve"> (koordynacja całości w GIOŚ, wkład </w:t>
      </w:r>
      <w:proofErr w:type="spellStart"/>
      <w:r w:rsidRPr="001079D5">
        <w:rPr>
          <w:sz w:val="24"/>
          <w:szCs w:val="24"/>
        </w:rPr>
        <w:t>MRiT</w:t>
      </w:r>
      <w:proofErr w:type="spellEnd"/>
      <w:r w:rsidRPr="001079D5">
        <w:rPr>
          <w:sz w:val="24"/>
          <w:szCs w:val="24"/>
        </w:rPr>
        <w:t xml:space="preserve">, </w:t>
      </w:r>
      <w:proofErr w:type="spellStart"/>
      <w:r w:rsidRPr="001079D5">
        <w:rPr>
          <w:sz w:val="24"/>
          <w:szCs w:val="24"/>
        </w:rPr>
        <w:t>MKiŚ</w:t>
      </w:r>
      <w:proofErr w:type="spellEnd"/>
      <w:r w:rsidRPr="001079D5">
        <w:rPr>
          <w:sz w:val="24"/>
          <w:szCs w:val="24"/>
        </w:rPr>
        <w:t xml:space="preserve"> i GIOŚ);</w:t>
      </w:r>
    </w:p>
    <w:p w14:paraId="227B9851" w14:textId="77777777" w:rsidR="0098413C" w:rsidRPr="001079D5" w:rsidRDefault="0098413C" w:rsidP="00D34F97">
      <w:pPr>
        <w:pStyle w:val="Akapitzlist"/>
        <w:numPr>
          <w:ilvl w:val="0"/>
          <w:numId w:val="58"/>
        </w:numPr>
        <w:spacing w:line="276" w:lineRule="auto"/>
        <w:jc w:val="both"/>
        <w:rPr>
          <w:sz w:val="24"/>
          <w:szCs w:val="24"/>
        </w:rPr>
      </w:pPr>
      <w:r w:rsidRPr="001079D5">
        <w:rPr>
          <w:sz w:val="24"/>
          <w:szCs w:val="24"/>
        </w:rPr>
        <w:t xml:space="preserve">Ocena stanu środowiska wód morskich na podstawie danych monitoringowych w 2021 na tle dziesięciolecia 2011-2020; </w:t>
      </w:r>
    </w:p>
    <w:p w14:paraId="7A8F2F0B" w14:textId="77777777" w:rsidR="0098413C" w:rsidRPr="001079D5" w:rsidRDefault="0098413C" w:rsidP="00D34F97">
      <w:pPr>
        <w:pStyle w:val="Akapitzlist"/>
        <w:numPr>
          <w:ilvl w:val="0"/>
          <w:numId w:val="58"/>
        </w:numPr>
        <w:spacing w:line="276" w:lineRule="auto"/>
        <w:jc w:val="both"/>
        <w:rPr>
          <w:sz w:val="24"/>
          <w:szCs w:val="24"/>
        </w:rPr>
      </w:pPr>
      <w:r w:rsidRPr="001079D5">
        <w:rPr>
          <w:sz w:val="24"/>
          <w:szCs w:val="24"/>
        </w:rPr>
        <w:t xml:space="preserve">Drony przy kontrolach rolniczych (sozosfera.pl). </w:t>
      </w:r>
    </w:p>
    <w:p w14:paraId="620CAE1B" w14:textId="77777777" w:rsidR="0098413C" w:rsidRPr="001079D5" w:rsidRDefault="0098413C" w:rsidP="00D34F97">
      <w:pPr>
        <w:pStyle w:val="Akapitzlist"/>
        <w:numPr>
          <w:ilvl w:val="0"/>
          <w:numId w:val="58"/>
        </w:numPr>
        <w:spacing w:line="276" w:lineRule="auto"/>
        <w:jc w:val="both"/>
        <w:rPr>
          <w:sz w:val="24"/>
          <w:szCs w:val="24"/>
        </w:rPr>
      </w:pPr>
      <w:r w:rsidRPr="001079D5">
        <w:rPr>
          <w:sz w:val="24"/>
          <w:szCs w:val="24"/>
        </w:rPr>
        <w:t xml:space="preserve">Uciążliwości hałasowe (sozosfera.pl). </w:t>
      </w:r>
    </w:p>
    <w:p w14:paraId="1B803E6B" w14:textId="77777777" w:rsidR="0098413C" w:rsidRPr="001079D5" w:rsidRDefault="0098413C" w:rsidP="00D34F97">
      <w:pPr>
        <w:pStyle w:val="Akapitzlist"/>
        <w:numPr>
          <w:ilvl w:val="0"/>
          <w:numId w:val="58"/>
        </w:numPr>
        <w:spacing w:line="276" w:lineRule="auto"/>
        <w:jc w:val="both"/>
        <w:rPr>
          <w:sz w:val="24"/>
          <w:szCs w:val="24"/>
        </w:rPr>
      </w:pPr>
      <w:r w:rsidRPr="001079D5">
        <w:rPr>
          <w:sz w:val="24"/>
          <w:szCs w:val="24"/>
        </w:rPr>
        <w:t xml:space="preserve">Kara administracyjna pieniężna za nieosiągnięte poziomy (sozosfera.pl). </w:t>
      </w:r>
    </w:p>
    <w:p w14:paraId="21E744F9" w14:textId="77777777" w:rsidR="0098413C" w:rsidRPr="001079D5" w:rsidRDefault="0098413C" w:rsidP="00AD4299">
      <w:pPr>
        <w:pStyle w:val="Akapitzlist"/>
        <w:numPr>
          <w:ilvl w:val="0"/>
          <w:numId w:val="58"/>
        </w:numPr>
        <w:spacing w:line="276" w:lineRule="auto"/>
        <w:ind w:left="714" w:hanging="357"/>
        <w:contextualSpacing w:val="0"/>
        <w:jc w:val="both"/>
        <w:rPr>
          <w:sz w:val="24"/>
          <w:szCs w:val="24"/>
        </w:rPr>
      </w:pPr>
      <w:r w:rsidRPr="001079D5">
        <w:rPr>
          <w:sz w:val="24"/>
          <w:szCs w:val="24"/>
        </w:rPr>
        <w:t>Monografia pt. „Zagadnienia ochrony środowiska na podstawie Konstytucji RP z dnia 02.04.1997 r.”.</w:t>
      </w:r>
    </w:p>
    <w:p w14:paraId="404DBD7A" w14:textId="77777777" w:rsidR="0098413C" w:rsidRPr="001079D5" w:rsidRDefault="0098413C" w:rsidP="00AD4299">
      <w:pPr>
        <w:spacing w:after="0" w:line="276" w:lineRule="auto"/>
        <w:ind w:left="11"/>
        <w:jc w:val="both"/>
        <w:rPr>
          <w:rFonts w:ascii="Times New Roman" w:hAnsi="Times New Roman" w:cs="Times New Roman"/>
          <w:sz w:val="24"/>
          <w:szCs w:val="24"/>
        </w:rPr>
      </w:pPr>
    </w:p>
    <w:p w14:paraId="016AD3EE" w14:textId="77777777" w:rsidR="0098413C" w:rsidRPr="001079D5" w:rsidRDefault="0098413C" w:rsidP="0098413C">
      <w:pPr>
        <w:rPr>
          <w:rFonts w:ascii="Times New Roman" w:hAnsi="Times New Roman" w:cs="Times New Roman"/>
          <w:b/>
          <w:sz w:val="24"/>
          <w:szCs w:val="24"/>
        </w:rPr>
      </w:pPr>
      <w:r w:rsidRPr="001079D5">
        <w:rPr>
          <w:rFonts w:ascii="Times New Roman" w:hAnsi="Times New Roman" w:cs="Times New Roman"/>
          <w:b/>
          <w:sz w:val="24"/>
          <w:szCs w:val="24"/>
        </w:rPr>
        <w:t>INFORMACJE WIELOKOMPONENTOWE (w tym 10 „informacji z art. 8a”)</w:t>
      </w:r>
    </w:p>
    <w:p w14:paraId="7A51066F" w14:textId="77777777" w:rsidR="0098413C" w:rsidRPr="001079D5" w:rsidRDefault="0098413C" w:rsidP="00D34F97">
      <w:pPr>
        <w:pStyle w:val="Akapitzlist"/>
        <w:numPr>
          <w:ilvl w:val="0"/>
          <w:numId w:val="335"/>
        </w:numPr>
        <w:spacing w:line="276" w:lineRule="auto"/>
        <w:ind w:left="425" w:hanging="425"/>
        <w:jc w:val="both"/>
        <w:rPr>
          <w:sz w:val="24"/>
          <w:szCs w:val="24"/>
        </w:rPr>
      </w:pPr>
      <w:r w:rsidRPr="001079D5">
        <w:rPr>
          <w:sz w:val="24"/>
          <w:szCs w:val="24"/>
        </w:rPr>
        <w:t>Jakość środowiska na obszarze powiatu bolesławieckiego. Informacja za rok 2021 na podstawie Państwowego Monitoringu Środowiska;</w:t>
      </w:r>
    </w:p>
    <w:p w14:paraId="1170BA47" w14:textId="77777777" w:rsidR="0098413C" w:rsidRPr="001079D5" w:rsidRDefault="0098413C" w:rsidP="00D34F97">
      <w:pPr>
        <w:pStyle w:val="Akapitzlist"/>
        <w:numPr>
          <w:ilvl w:val="0"/>
          <w:numId w:val="335"/>
        </w:numPr>
        <w:spacing w:line="276" w:lineRule="auto"/>
        <w:ind w:left="425" w:hanging="425"/>
        <w:jc w:val="both"/>
        <w:rPr>
          <w:sz w:val="24"/>
          <w:szCs w:val="24"/>
        </w:rPr>
      </w:pPr>
      <w:r w:rsidRPr="001079D5">
        <w:rPr>
          <w:sz w:val="24"/>
          <w:szCs w:val="24"/>
        </w:rPr>
        <w:t>Jakość środowiska na obszarze gminy Ząbkowice Śląskie. Informacja na podstawie Państwowego Monitoringu Środowiska;</w:t>
      </w:r>
    </w:p>
    <w:p w14:paraId="2CA6EEAA" w14:textId="77777777" w:rsidR="0098413C" w:rsidRPr="001079D5" w:rsidRDefault="0098413C" w:rsidP="00D34F97">
      <w:pPr>
        <w:pStyle w:val="Akapitzlist"/>
        <w:numPr>
          <w:ilvl w:val="0"/>
          <w:numId w:val="335"/>
        </w:numPr>
        <w:spacing w:line="276" w:lineRule="auto"/>
        <w:ind w:left="425" w:hanging="425"/>
        <w:jc w:val="both"/>
        <w:rPr>
          <w:bCs/>
          <w:sz w:val="24"/>
          <w:szCs w:val="24"/>
        </w:rPr>
      </w:pPr>
      <w:r w:rsidRPr="001079D5">
        <w:rPr>
          <w:bCs/>
          <w:sz w:val="24"/>
          <w:szCs w:val="24"/>
        </w:rPr>
        <w:t>Informacja o stanie środowiska w powiecie nowosolskim na tle wyników badań monitoringowych przeprowadzonych w 2021 r. i w latach poprzednich na obszarze województwa lubuskiego;</w:t>
      </w:r>
    </w:p>
    <w:p w14:paraId="1B1EC46E" w14:textId="77777777" w:rsidR="0098413C" w:rsidRPr="001079D5" w:rsidRDefault="0098413C" w:rsidP="00D34F97">
      <w:pPr>
        <w:pStyle w:val="Akapitzlist"/>
        <w:numPr>
          <w:ilvl w:val="0"/>
          <w:numId w:val="335"/>
        </w:numPr>
        <w:spacing w:line="276" w:lineRule="auto"/>
        <w:ind w:left="425" w:hanging="425"/>
        <w:jc w:val="both"/>
        <w:rPr>
          <w:sz w:val="24"/>
          <w:szCs w:val="24"/>
        </w:rPr>
      </w:pPr>
      <w:r w:rsidRPr="001079D5">
        <w:rPr>
          <w:sz w:val="24"/>
          <w:szCs w:val="24"/>
        </w:rPr>
        <w:t>Informacja o stanie środowiska w Powiecie Choszczeńskim w roku 2021;</w:t>
      </w:r>
    </w:p>
    <w:p w14:paraId="06626D2E" w14:textId="77777777" w:rsidR="0098413C" w:rsidRPr="001079D5" w:rsidRDefault="0098413C" w:rsidP="00D34F97">
      <w:pPr>
        <w:pStyle w:val="Akapitzlist"/>
        <w:numPr>
          <w:ilvl w:val="0"/>
          <w:numId w:val="335"/>
        </w:numPr>
        <w:spacing w:line="276" w:lineRule="auto"/>
        <w:ind w:left="425" w:hanging="425"/>
        <w:jc w:val="both"/>
        <w:rPr>
          <w:sz w:val="24"/>
          <w:szCs w:val="24"/>
        </w:rPr>
      </w:pPr>
      <w:r w:rsidRPr="001079D5">
        <w:rPr>
          <w:sz w:val="24"/>
          <w:szCs w:val="24"/>
        </w:rPr>
        <w:t xml:space="preserve">Informacja o stanie środowiska w Powiecie Pyrzyckim w roku 2020 na tle </w:t>
      </w:r>
      <w:proofErr w:type="spellStart"/>
      <w:r w:rsidRPr="001079D5">
        <w:rPr>
          <w:sz w:val="24"/>
          <w:szCs w:val="24"/>
        </w:rPr>
        <w:t>wielolecia</w:t>
      </w:r>
      <w:proofErr w:type="spellEnd"/>
      <w:r w:rsidRPr="001079D5">
        <w:rPr>
          <w:sz w:val="24"/>
          <w:szCs w:val="24"/>
        </w:rPr>
        <w:t>;</w:t>
      </w:r>
    </w:p>
    <w:p w14:paraId="0903408D" w14:textId="77777777" w:rsidR="0098413C" w:rsidRPr="001079D5" w:rsidRDefault="0098413C" w:rsidP="00D34F97">
      <w:pPr>
        <w:pStyle w:val="Akapitzlist"/>
        <w:numPr>
          <w:ilvl w:val="0"/>
          <w:numId w:val="335"/>
        </w:numPr>
        <w:spacing w:line="276" w:lineRule="auto"/>
        <w:ind w:left="425" w:hanging="425"/>
        <w:jc w:val="both"/>
        <w:rPr>
          <w:sz w:val="24"/>
          <w:szCs w:val="24"/>
        </w:rPr>
      </w:pPr>
      <w:r w:rsidRPr="001079D5">
        <w:rPr>
          <w:sz w:val="24"/>
          <w:szCs w:val="24"/>
        </w:rPr>
        <w:t>Informacja o stanie środowiska w Powiecie Gryfińskim w roku 2021;</w:t>
      </w:r>
    </w:p>
    <w:p w14:paraId="5CD01599" w14:textId="77777777" w:rsidR="0098413C" w:rsidRPr="001079D5" w:rsidRDefault="0098413C" w:rsidP="00D34F97">
      <w:pPr>
        <w:pStyle w:val="Akapitzlist"/>
        <w:numPr>
          <w:ilvl w:val="0"/>
          <w:numId w:val="335"/>
        </w:numPr>
        <w:spacing w:line="276" w:lineRule="auto"/>
        <w:ind w:left="425" w:hanging="425"/>
        <w:jc w:val="both"/>
        <w:rPr>
          <w:sz w:val="24"/>
          <w:szCs w:val="24"/>
        </w:rPr>
      </w:pPr>
      <w:r w:rsidRPr="001079D5">
        <w:rPr>
          <w:sz w:val="24"/>
          <w:szCs w:val="24"/>
        </w:rPr>
        <w:t>Informacja o stanie środowiska w Powiecie Polickim w roku 2021;</w:t>
      </w:r>
    </w:p>
    <w:p w14:paraId="35D96726" w14:textId="77777777" w:rsidR="0098413C" w:rsidRPr="001079D5" w:rsidRDefault="0098413C" w:rsidP="00D34F97">
      <w:pPr>
        <w:pStyle w:val="Akapitzlist"/>
        <w:numPr>
          <w:ilvl w:val="0"/>
          <w:numId w:val="335"/>
        </w:numPr>
        <w:spacing w:line="276" w:lineRule="auto"/>
        <w:ind w:left="425" w:hanging="425"/>
        <w:jc w:val="both"/>
        <w:rPr>
          <w:sz w:val="24"/>
          <w:szCs w:val="24"/>
        </w:rPr>
      </w:pPr>
      <w:r w:rsidRPr="001079D5">
        <w:rPr>
          <w:sz w:val="24"/>
          <w:szCs w:val="24"/>
        </w:rPr>
        <w:t>Informacja o stanie środowiska na obszarze miasta i gminy Barlinek w roku 2021;</w:t>
      </w:r>
    </w:p>
    <w:p w14:paraId="7056EB1A" w14:textId="77777777" w:rsidR="0098413C" w:rsidRPr="001079D5" w:rsidRDefault="0098413C" w:rsidP="00D34F97">
      <w:pPr>
        <w:pStyle w:val="Akapitzlist"/>
        <w:numPr>
          <w:ilvl w:val="0"/>
          <w:numId w:val="335"/>
        </w:numPr>
        <w:spacing w:line="276" w:lineRule="auto"/>
        <w:ind w:left="425" w:hanging="425"/>
        <w:jc w:val="both"/>
        <w:rPr>
          <w:sz w:val="24"/>
          <w:szCs w:val="24"/>
        </w:rPr>
      </w:pPr>
      <w:r w:rsidRPr="001079D5">
        <w:rPr>
          <w:sz w:val="24"/>
          <w:szCs w:val="24"/>
        </w:rPr>
        <w:t>Informacja o stanie rzek i jezior w Powiecie Choszczeńskim w roku 2021;</w:t>
      </w:r>
    </w:p>
    <w:p w14:paraId="51863D87" w14:textId="77777777" w:rsidR="0098413C" w:rsidRPr="001079D5" w:rsidRDefault="0098413C" w:rsidP="00D34F97">
      <w:pPr>
        <w:pStyle w:val="Akapitzlist"/>
        <w:numPr>
          <w:ilvl w:val="0"/>
          <w:numId w:val="335"/>
        </w:numPr>
        <w:spacing w:line="276" w:lineRule="auto"/>
        <w:ind w:left="425" w:hanging="425"/>
        <w:jc w:val="both"/>
        <w:rPr>
          <w:sz w:val="24"/>
          <w:szCs w:val="24"/>
        </w:rPr>
      </w:pPr>
      <w:r w:rsidRPr="001079D5">
        <w:rPr>
          <w:sz w:val="24"/>
          <w:szCs w:val="24"/>
        </w:rPr>
        <w:t>Informacja o stanie środowiska w Powiecie Kołobrzeskim w roku 2021;</w:t>
      </w:r>
    </w:p>
    <w:p w14:paraId="25F35244" w14:textId="77777777" w:rsidR="0098413C" w:rsidRPr="001079D5" w:rsidRDefault="0098413C" w:rsidP="00D34F97">
      <w:pPr>
        <w:pStyle w:val="Akapitzlist"/>
        <w:numPr>
          <w:ilvl w:val="0"/>
          <w:numId w:val="335"/>
        </w:numPr>
        <w:spacing w:line="276" w:lineRule="auto"/>
        <w:ind w:left="425" w:hanging="425"/>
        <w:jc w:val="both"/>
        <w:rPr>
          <w:sz w:val="24"/>
          <w:szCs w:val="24"/>
        </w:rPr>
      </w:pPr>
      <w:r w:rsidRPr="001079D5">
        <w:rPr>
          <w:sz w:val="24"/>
          <w:szCs w:val="24"/>
        </w:rPr>
        <w:t xml:space="preserve">Informacja o stanie wód rzeki Drawa, jeziora Drawsko i jeziora </w:t>
      </w:r>
      <w:proofErr w:type="spellStart"/>
      <w:r w:rsidRPr="001079D5">
        <w:rPr>
          <w:sz w:val="24"/>
          <w:szCs w:val="24"/>
        </w:rPr>
        <w:t>Lubie</w:t>
      </w:r>
      <w:proofErr w:type="spellEnd"/>
      <w:r w:rsidRPr="001079D5">
        <w:rPr>
          <w:sz w:val="24"/>
          <w:szCs w:val="24"/>
        </w:rPr>
        <w:t>;</w:t>
      </w:r>
    </w:p>
    <w:p w14:paraId="02A7B59A" w14:textId="77777777" w:rsidR="0098413C" w:rsidRPr="001079D5" w:rsidRDefault="0098413C" w:rsidP="00D34F97">
      <w:pPr>
        <w:pStyle w:val="Akapitzlist"/>
        <w:numPr>
          <w:ilvl w:val="0"/>
          <w:numId w:val="335"/>
        </w:numPr>
        <w:spacing w:line="276" w:lineRule="auto"/>
        <w:ind w:left="425" w:hanging="425"/>
        <w:jc w:val="both"/>
        <w:rPr>
          <w:sz w:val="24"/>
          <w:szCs w:val="24"/>
        </w:rPr>
      </w:pPr>
      <w:r w:rsidRPr="001079D5">
        <w:rPr>
          <w:sz w:val="24"/>
          <w:szCs w:val="24"/>
        </w:rPr>
        <w:t>Informacja o stanie środowiska w Powiecie Drawskim w roku 2021.</w:t>
      </w:r>
    </w:p>
    <w:p w14:paraId="76EE7F94" w14:textId="77777777" w:rsidR="0098413C" w:rsidRPr="001079D5" w:rsidRDefault="0098413C" w:rsidP="0098413C">
      <w:pPr>
        <w:rPr>
          <w:rFonts w:ascii="Times New Roman" w:hAnsi="Times New Roman" w:cs="Times New Roman"/>
          <w:sz w:val="24"/>
          <w:szCs w:val="24"/>
        </w:rPr>
      </w:pPr>
    </w:p>
    <w:p w14:paraId="36A1382B" w14:textId="77777777" w:rsidR="0098413C" w:rsidRPr="001079D5" w:rsidRDefault="0098413C" w:rsidP="0098413C">
      <w:pPr>
        <w:rPr>
          <w:rFonts w:ascii="Times New Roman" w:hAnsi="Times New Roman" w:cs="Times New Roman"/>
          <w:sz w:val="24"/>
          <w:szCs w:val="24"/>
        </w:rPr>
      </w:pPr>
    </w:p>
    <w:p w14:paraId="61F4ADA6" w14:textId="77777777" w:rsidR="0098413C" w:rsidRPr="001079D5" w:rsidRDefault="0098413C" w:rsidP="0098413C">
      <w:pPr>
        <w:spacing w:after="120" w:line="276" w:lineRule="auto"/>
        <w:ind w:left="14"/>
        <w:jc w:val="center"/>
        <w:rPr>
          <w:rFonts w:ascii="Times New Roman" w:hAnsi="Times New Roman" w:cs="Times New Roman"/>
          <w:sz w:val="24"/>
          <w:szCs w:val="24"/>
        </w:rPr>
      </w:pPr>
      <w:r w:rsidRPr="001079D5">
        <w:rPr>
          <w:rFonts w:ascii="Times New Roman" w:hAnsi="Times New Roman" w:cs="Times New Roman"/>
          <w:noProof/>
          <w:sz w:val="24"/>
          <w:szCs w:val="24"/>
          <w:lang w:eastAsia="pl-PL"/>
        </w:rPr>
        <w:drawing>
          <wp:inline distT="0" distB="0" distL="0" distR="0" wp14:anchorId="2CF99DFB" wp14:editId="1CCA7807">
            <wp:extent cx="4140679" cy="2328021"/>
            <wp:effectExtent l="0" t="0" r="0" b="0"/>
            <wp:docPr id="15" name="Obraz 15" descr="Okładka publikacji Ry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descr="Okładka publikacji Ryc. 28"/>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4149917" cy="2333215"/>
                    </a:xfrm>
                    <a:prstGeom prst="rect">
                      <a:avLst/>
                    </a:prstGeom>
                  </pic:spPr>
                </pic:pic>
              </a:graphicData>
            </a:graphic>
          </wp:inline>
        </w:drawing>
      </w:r>
    </w:p>
    <w:p w14:paraId="47F75823" w14:textId="4728A7F4" w:rsidR="00FE122E" w:rsidRPr="0024039B" w:rsidRDefault="0024039B" w:rsidP="0024039B">
      <w:pPr>
        <w:spacing w:after="120" w:line="300" w:lineRule="atLeast"/>
        <w:ind w:firstLine="567"/>
        <w:jc w:val="center"/>
        <w:rPr>
          <w:rFonts w:ascii="Times New Roman" w:hAnsi="Times New Roman" w:cs="Times New Roman"/>
          <w:b/>
        </w:rPr>
      </w:pPr>
      <w:r w:rsidRPr="0024039B">
        <w:rPr>
          <w:rFonts w:ascii="Times New Roman" w:hAnsi="Times New Roman" w:cs="Times New Roman"/>
          <w:b/>
        </w:rPr>
        <w:t>Ryc. 28</w:t>
      </w:r>
    </w:p>
    <w:p w14:paraId="02B6A5F4" w14:textId="337D7467" w:rsidR="0098413C" w:rsidRPr="001079D5" w:rsidRDefault="0098413C" w:rsidP="0098413C">
      <w:pPr>
        <w:spacing w:after="120" w:line="300" w:lineRule="atLeast"/>
        <w:ind w:firstLine="567"/>
        <w:jc w:val="both"/>
        <w:rPr>
          <w:rFonts w:ascii="Times New Roman" w:eastAsia="Times New Roman" w:hAnsi="Times New Roman" w:cs="Times New Roman"/>
          <w:sz w:val="24"/>
          <w:szCs w:val="24"/>
          <w:lang w:eastAsia="x-none"/>
        </w:rPr>
      </w:pPr>
      <w:r w:rsidRPr="001079D5">
        <w:rPr>
          <w:rFonts w:ascii="Times New Roman" w:hAnsi="Times New Roman" w:cs="Times New Roman"/>
          <w:sz w:val="24"/>
          <w:szCs w:val="24"/>
        </w:rPr>
        <w:t>Odbiorcami publikacji opracowanych w ramach państwowego monitoringu środowiska są przede wszystkim organy administracji rządowej i samorządowej odpowiedzialne za strategiczne planowanie i operacyjne zarządzanie środowiskiem, poprzez instrumenty takie jak: postępowanie w sprawie oceny oddziaływania na środowisko, pozwolenia</w:t>
      </w:r>
      <w:r w:rsidR="00FE122E">
        <w:rPr>
          <w:rFonts w:ascii="Times New Roman" w:hAnsi="Times New Roman" w:cs="Times New Roman"/>
          <w:sz w:val="24"/>
          <w:szCs w:val="24"/>
        </w:rPr>
        <w:t xml:space="preserve"> na </w:t>
      </w:r>
      <w:r w:rsidRPr="001079D5">
        <w:rPr>
          <w:rFonts w:ascii="Times New Roman" w:hAnsi="Times New Roman" w:cs="Times New Roman"/>
          <w:sz w:val="24"/>
          <w:szCs w:val="24"/>
        </w:rPr>
        <w:t>wprowadzenie do środowiska substancji lub energii, programy i plany ochrony środowiska jako całości i poszczególnych jego elementów. Ponadto, opracowania te są podstawą</w:t>
      </w:r>
      <w:r w:rsidR="00FE122E">
        <w:rPr>
          <w:rFonts w:ascii="Times New Roman" w:hAnsi="Times New Roman" w:cs="Times New Roman"/>
          <w:sz w:val="24"/>
          <w:szCs w:val="24"/>
        </w:rPr>
        <w:t xml:space="preserve"> do </w:t>
      </w:r>
      <w:r w:rsidRPr="001079D5">
        <w:rPr>
          <w:rFonts w:ascii="Times New Roman" w:hAnsi="Times New Roman" w:cs="Times New Roman"/>
          <w:sz w:val="24"/>
          <w:szCs w:val="24"/>
        </w:rPr>
        <w:t>strategicznych ocen oddziaływania na środowisko oraz służą do planowania zrównoważonego rozwoju na wszystkich poziomach zarządzania. Z publikacji korzystają również jednostki naukowo-badawcze, uczelnie, podmioty wykonujące opracowania z zakresu ochrony środowiska, organizacje ekologiczne, studenci i uczniowie.</w:t>
      </w:r>
    </w:p>
    <w:p w14:paraId="340943A7" w14:textId="77777777" w:rsidR="0098413C" w:rsidRPr="001079D5" w:rsidRDefault="0098413C" w:rsidP="0098413C">
      <w:pPr>
        <w:shd w:val="clear" w:color="auto" w:fill="FFFFFF"/>
        <w:spacing w:after="120" w:line="300" w:lineRule="atLeast"/>
        <w:jc w:val="both"/>
        <w:rPr>
          <w:rFonts w:ascii="Times New Roman" w:eastAsia="Arial" w:hAnsi="Times New Roman" w:cs="Times New Roman"/>
          <w:color w:val="2E74B5"/>
          <w:sz w:val="24"/>
          <w:szCs w:val="24"/>
          <w:lang w:eastAsia="pl-PL"/>
        </w:rPr>
      </w:pPr>
      <w:r w:rsidRPr="001079D5">
        <w:rPr>
          <w:rFonts w:ascii="Times New Roman" w:eastAsia="Arial" w:hAnsi="Times New Roman" w:cs="Times New Roman"/>
          <w:color w:val="000000" w:themeColor="text1"/>
          <w:sz w:val="24"/>
          <w:szCs w:val="24"/>
          <w:lang w:eastAsia="pl-PL"/>
        </w:rPr>
        <w:t xml:space="preserve">Biuletyny opracowane i upowszechnione przez Departament Monitoringu Środowiska GIOŚ </w:t>
      </w:r>
      <w:r w:rsidRPr="001079D5">
        <w:rPr>
          <w:rFonts w:ascii="Times New Roman" w:eastAsia="Arial" w:hAnsi="Times New Roman" w:cs="Times New Roman"/>
          <w:color w:val="000000" w:themeColor="text1"/>
          <w:sz w:val="24"/>
          <w:szCs w:val="24"/>
          <w:lang w:eastAsia="pl-PL"/>
        </w:rPr>
        <w:br/>
        <w:t xml:space="preserve">w 2022 roku: </w:t>
      </w:r>
    </w:p>
    <w:p w14:paraId="6275387B" w14:textId="77777777" w:rsidR="0098413C" w:rsidRPr="001079D5" w:rsidRDefault="0098413C" w:rsidP="00D34F97">
      <w:pPr>
        <w:pStyle w:val="Akapitzlist"/>
        <w:numPr>
          <w:ilvl w:val="0"/>
          <w:numId w:val="334"/>
        </w:numPr>
        <w:spacing w:after="240" w:line="276" w:lineRule="auto"/>
        <w:jc w:val="both"/>
        <w:rPr>
          <w:sz w:val="24"/>
          <w:szCs w:val="24"/>
        </w:rPr>
      </w:pPr>
      <w:r w:rsidRPr="001079D5">
        <w:rPr>
          <w:sz w:val="24"/>
          <w:szCs w:val="24"/>
        </w:rPr>
        <w:t>Biuletyn informacyjny nr 3/2022 poświęcony projektowi pt. „Wzmocnienie oceny depozycji atmosferycznej w Polsce w oparciu o doświadczenia norweskie” finansowanemu ze środków MF EOG 2014-2021;</w:t>
      </w:r>
    </w:p>
    <w:p w14:paraId="4604BD38" w14:textId="77777777" w:rsidR="0098413C" w:rsidRPr="001079D5" w:rsidRDefault="0098413C" w:rsidP="00D34F97">
      <w:pPr>
        <w:pStyle w:val="Akapitzlist"/>
        <w:numPr>
          <w:ilvl w:val="0"/>
          <w:numId w:val="334"/>
        </w:numPr>
        <w:spacing w:after="240" w:line="276" w:lineRule="auto"/>
        <w:jc w:val="both"/>
        <w:rPr>
          <w:sz w:val="24"/>
          <w:szCs w:val="24"/>
        </w:rPr>
      </w:pPr>
      <w:r w:rsidRPr="001079D5">
        <w:rPr>
          <w:sz w:val="24"/>
          <w:szCs w:val="24"/>
        </w:rPr>
        <w:t>Biuletyn Monitoringu Przyrody. Stan ochrony gatunków roślin w Polsce w roku 2021. Nr 25 (2022/1) (wersja papierowa i elektroniczna);</w:t>
      </w:r>
    </w:p>
    <w:p w14:paraId="3EDBF4D2" w14:textId="77777777" w:rsidR="0098413C" w:rsidRPr="001079D5" w:rsidRDefault="0098413C" w:rsidP="00D34F97">
      <w:pPr>
        <w:pStyle w:val="Akapitzlist"/>
        <w:numPr>
          <w:ilvl w:val="0"/>
          <w:numId w:val="334"/>
        </w:numPr>
        <w:spacing w:after="240" w:line="276" w:lineRule="auto"/>
        <w:jc w:val="both"/>
        <w:rPr>
          <w:sz w:val="24"/>
          <w:szCs w:val="24"/>
        </w:rPr>
      </w:pPr>
      <w:r w:rsidRPr="001079D5">
        <w:rPr>
          <w:sz w:val="24"/>
          <w:szCs w:val="24"/>
        </w:rPr>
        <w:t>Biuletyn Monitoringu Przyrody. Monitoring gatunków zwierząt w latach 2020-2021. Nr. 26 (2022/2) (wersja papierowa i elektroniczna);</w:t>
      </w:r>
    </w:p>
    <w:p w14:paraId="174BF036" w14:textId="43D1BF22" w:rsidR="0098413C" w:rsidRDefault="0098413C" w:rsidP="00D34F97">
      <w:pPr>
        <w:pStyle w:val="Akapitzlist"/>
        <w:numPr>
          <w:ilvl w:val="0"/>
          <w:numId w:val="334"/>
        </w:numPr>
        <w:spacing w:after="240" w:line="276" w:lineRule="auto"/>
        <w:jc w:val="both"/>
        <w:rPr>
          <w:sz w:val="24"/>
          <w:szCs w:val="24"/>
        </w:rPr>
      </w:pPr>
      <w:r w:rsidRPr="001079D5">
        <w:rPr>
          <w:sz w:val="24"/>
          <w:szCs w:val="24"/>
        </w:rPr>
        <w:t>Biuletyn Monitoringu Przyrody. Monitoring siedlisk przyrodniczych w roku 2021. Nr. 27 (2022/3) (wersja papierowa i elektroniczna).</w:t>
      </w:r>
    </w:p>
    <w:p w14:paraId="609E52B7" w14:textId="5A33EB55" w:rsidR="00BE7C0C" w:rsidRDefault="00BE7C0C" w:rsidP="004570EC">
      <w:pPr>
        <w:spacing w:after="240" w:line="276" w:lineRule="auto"/>
        <w:ind w:left="360"/>
        <w:jc w:val="center"/>
        <w:rPr>
          <w:sz w:val="24"/>
          <w:szCs w:val="24"/>
        </w:rPr>
      </w:pPr>
      <w:r>
        <w:rPr>
          <w:b/>
          <w:noProof/>
          <w:color w:val="2E74B5" w:themeColor="accent5" w:themeShade="BF"/>
          <w:u w:val="single"/>
          <w:lang w:eastAsia="pl-PL"/>
        </w:rPr>
        <w:lastRenderedPageBreak/>
        <w:drawing>
          <wp:inline distT="0" distB="0" distL="0" distR="0" wp14:anchorId="2A0CD83D" wp14:editId="6ABA24C5">
            <wp:extent cx="2409825" cy="3398409"/>
            <wp:effectExtent l="19050" t="19050" r="9525" b="12065"/>
            <wp:docPr id="479" name="Obraz 479" descr="Okładka publika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Obraz 479" descr="Okładka publikacji"/>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2419772" cy="3412437"/>
                    </a:xfrm>
                    <a:prstGeom prst="rect">
                      <a:avLst/>
                    </a:prstGeom>
                    <a:ln>
                      <a:solidFill>
                        <a:schemeClr val="bg2">
                          <a:lumMod val="50000"/>
                        </a:schemeClr>
                      </a:solidFill>
                    </a:ln>
                  </pic:spPr>
                </pic:pic>
              </a:graphicData>
            </a:graphic>
          </wp:inline>
        </w:drawing>
      </w:r>
      <w:r>
        <w:rPr>
          <w:noProof/>
          <w:lang w:eastAsia="pl-PL"/>
        </w:rPr>
        <w:drawing>
          <wp:inline distT="0" distB="0" distL="0" distR="0" wp14:anchorId="7888CFD1" wp14:editId="612FCA8C">
            <wp:extent cx="2324100" cy="3449415"/>
            <wp:effectExtent l="0" t="0" r="0" b="0"/>
            <wp:docPr id="478" name="Obraz 478" descr="Okładka publika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Obraz 478" descr="Okładka publikacji"/>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328053" cy="3455282"/>
                    </a:xfrm>
                    <a:prstGeom prst="rect">
                      <a:avLst/>
                    </a:prstGeom>
                    <a:noFill/>
                    <a:ln>
                      <a:noFill/>
                    </a:ln>
                  </pic:spPr>
                </pic:pic>
              </a:graphicData>
            </a:graphic>
          </wp:inline>
        </w:drawing>
      </w:r>
    </w:p>
    <w:p w14:paraId="14D806E1" w14:textId="65A359B6" w:rsidR="0024039B" w:rsidRPr="0024039B" w:rsidRDefault="0024039B" w:rsidP="004570EC">
      <w:pPr>
        <w:spacing w:after="240" w:line="276" w:lineRule="auto"/>
        <w:ind w:left="360"/>
        <w:jc w:val="center"/>
        <w:rPr>
          <w:rFonts w:ascii="Times New Roman" w:hAnsi="Times New Roman" w:cs="Times New Roman"/>
          <w:b/>
          <w:color w:val="000000" w:themeColor="text1"/>
          <w:sz w:val="24"/>
          <w:szCs w:val="24"/>
        </w:rPr>
      </w:pPr>
      <w:r w:rsidRPr="0024039B">
        <w:rPr>
          <w:rFonts w:ascii="Times New Roman" w:hAnsi="Times New Roman" w:cs="Times New Roman"/>
          <w:b/>
          <w:noProof/>
          <w:color w:val="000000" w:themeColor="text1"/>
          <w:lang w:eastAsia="pl-PL"/>
        </w:rPr>
        <w:t>Ryc. 29-30</w:t>
      </w:r>
    </w:p>
    <w:p w14:paraId="75137C6B" w14:textId="0249943D" w:rsidR="0098413C" w:rsidRDefault="00FE122E" w:rsidP="004570EC">
      <w:pPr>
        <w:spacing w:after="120" w:line="276" w:lineRule="auto"/>
        <w:jc w:val="center"/>
        <w:rPr>
          <w:b/>
          <w:color w:val="2E74B5" w:themeColor="accent5" w:themeShade="BF"/>
          <w:u w:val="single"/>
        </w:rPr>
      </w:pPr>
      <w:r>
        <w:rPr>
          <w:noProof/>
          <w:lang w:eastAsia="pl-PL"/>
        </w:rPr>
        <w:drawing>
          <wp:inline distT="0" distB="0" distL="0" distR="0" wp14:anchorId="70F4EC10" wp14:editId="04457B93">
            <wp:extent cx="2750321" cy="3883025"/>
            <wp:effectExtent l="0" t="0" r="3810" b="0"/>
            <wp:docPr id="481" name="Obraz 481" descr="Biletyn_27_str_ty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etyn_27_str_tyt"/>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750321" cy="3883025"/>
                    </a:xfrm>
                    <a:prstGeom prst="rect">
                      <a:avLst/>
                    </a:prstGeom>
                    <a:noFill/>
                    <a:ln>
                      <a:noFill/>
                    </a:ln>
                  </pic:spPr>
                </pic:pic>
              </a:graphicData>
            </a:graphic>
          </wp:inline>
        </w:drawing>
      </w:r>
      <w:r>
        <w:rPr>
          <w:noProof/>
          <w:lang w:eastAsia="pl-PL"/>
        </w:rPr>
        <w:drawing>
          <wp:inline distT="0" distB="0" distL="0" distR="0" wp14:anchorId="746C1CF4" wp14:editId="78A257D1">
            <wp:extent cx="2743200" cy="3854393"/>
            <wp:effectExtent l="0" t="0" r="0" b="0"/>
            <wp:docPr id="480" name="Obraz 480" descr="Biletyn_26_str_ty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letyn_26_str_tyt"/>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750969" cy="3865309"/>
                    </a:xfrm>
                    <a:prstGeom prst="rect">
                      <a:avLst/>
                    </a:prstGeom>
                    <a:noFill/>
                    <a:ln>
                      <a:noFill/>
                    </a:ln>
                  </pic:spPr>
                </pic:pic>
              </a:graphicData>
            </a:graphic>
          </wp:inline>
        </w:drawing>
      </w:r>
    </w:p>
    <w:p w14:paraId="5BC8A081" w14:textId="78581EDB" w:rsidR="0024039B" w:rsidRPr="0024039B" w:rsidRDefault="0024039B" w:rsidP="004570EC">
      <w:pPr>
        <w:spacing w:after="120" w:line="276" w:lineRule="auto"/>
        <w:jc w:val="center"/>
        <w:rPr>
          <w:rFonts w:ascii="Times New Roman" w:hAnsi="Times New Roman" w:cs="Times New Roman"/>
          <w:b/>
          <w:color w:val="2E74B5" w:themeColor="accent5" w:themeShade="BF"/>
        </w:rPr>
      </w:pPr>
      <w:r w:rsidRPr="0024039B">
        <w:rPr>
          <w:rFonts w:ascii="Times New Roman" w:hAnsi="Times New Roman" w:cs="Times New Roman"/>
          <w:b/>
          <w:color w:val="000000" w:themeColor="text1"/>
        </w:rPr>
        <w:t>Ryc. 31-32</w:t>
      </w:r>
    </w:p>
    <w:p w14:paraId="72678A8B" w14:textId="79D95347" w:rsidR="00895F16" w:rsidRPr="007F400A" w:rsidRDefault="00895F16" w:rsidP="00D74E0B">
      <w:pPr>
        <w:keepNext/>
        <w:spacing w:after="120" w:line="300" w:lineRule="atLeast"/>
        <w:outlineLvl w:val="0"/>
        <w:rPr>
          <w:rFonts w:ascii="Times New Roman" w:eastAsia="Arial" w:hAnsi="Times New Roman" w:cs="Times New Roman"/>
          <w:b/>
          <w:bCs/>
          <w:sz w:val="24"/>
          <w:szCs w:val="24"/>
          <w:lang w:eastAsia="x-none"/>
        </w:rPr>
      </w:pPr>
      <w:bookmarkStart w:id="461" w:name="_Toc135935734"/>
      <w:r w:rsidRPr="007F400A">
        <w:rPr>
          <w:rFonts w:ascii="Times New Roman" w:eastAsia="Arial" w:hAnsi="Times New Roman" w:cs="Times New Roman"/>
          <w:b/>
          <w:bCs/>
          <w:sz w:val="24"/>
          <w:szCs w:val="24"/>
          <w:lang w:val="x-none" w:eastAsia="x-none"/>
        </w:rPr>
        <w:lastRenderedPageBreak/>
        <w:t>6. Inne formy upowszechniania informacji</w:t>
      </w:r>
      <w:bookmarkEnd w:id="459"/>
      <w:bookmarkEnd w:id="460"/>
      <w:r w:rsidR="007D466C" w:rsidRPr="007F400A">
        <w:rPr>
          <w:rFonts w:ascii="Times New Roman" w:eastAsia="Arial" w:hAnsi="Times New Roman" w:cs="Times New Roman"/>
          <w:b/>
          <w:bCs/>
          <w:sz w:val="24"/>
          <w:szCs w:val="24"/>
          <w:lang w:eastAsia="x-none"/>
        </w:rPr>
        <w:t xml:space="preserve"> w społeczeństwie</w:t>
      </w:r>
      <w:bookmarkEnd w:id="461"/>
    </w:p>
    <w:p w14:paraId="3103163C" w14:textId="77777777" w:rsidR="001079D5" w:rsidRPr="00381895" w:rsidRDefault="001079D5" w:rsidP="00D74E0B">
      <w:pPr>
        <w:spacing w:after="0" w:line="300" w:lineRule="atLeast"/>
        <w:ind w:firstLine="567"/>
        <w:jc w:val="both"/>
        <w:rPr>
          <w:rFonts w:ascii="Times New Roman" w:eastAsia="Arial" w:hAnsi="Times New Roman" w:cs="Times New Roman"/>
          <w:color w:val="000000"/>
          <w:sz w:val="24"/>
          <w:szCs w:val="24"/>
          <w:lang w:eastAsia="pl-PL"/>
        </w:rPr>
      </w:pPr>
      <w:r w:rsidRPr="00381895">
        <w:rPr>
          <w:rFonts w:ascii="Times New Roman" w:eastAsia="Arial" w:hAnsi="Times New Roman" w:cs="Times New Roman"/>
          <w:color w:val="000000"/>
          <w:sz w:val="24"/>
          <w:szCs w:val="24"/>
          <w:lang w:eastAsia="pl-PL"/>
        </w:rPr>
        <w:t xml:space="preserve">W 2022 r. pracownicy IOŚ angażowali się w wiele inicjatyw i przedsięwzięć, podczas których była możliwość edukowania i informowania społeczeństwa o najważniejszych problemach związanych ze stanem i ochroną </w:t>
      </w:r>
      <w:r w:rsidRPr="00381895">
        <w:rPr>
          <w:rFonts w:ascii="Times New Roman" w:eastAsia="Arial" w:hAnsi="Times New Roman" w:cs="Times New Roman"/>
          <w:sz w:val="24"/>
          <w:szCs w:val="24"/>
          <w:lang w:eastAsia="pl-PL"/>
        </w:rPr>
        <w:t xml:space="preserve">środowiska. Były to m.in. konferencje i seminaria o zasięgu zarówno ogólnopolskim, jak i lokalnym oraz różnego rodzaju debaty, posiedzenia, sesje organów władz lokalnych i/lub otwarte dla szerszych grup odbiorców. </w:t>
      </w:r>
    </w:p>
    <w:p w14:paraId="7FD833B6" w14:textId="77777777" w:rsidR="001079D5" w:rsidRDefault="001079D5" w:rsidP="00D74E0B">
      <w:pPr>
        <w:spacing w:after="0" w:line="300" w:lineRule="atLeast"/>
        <w:ind w:firstLine="567"/>
        <w:jc w:val="both"/>
        <w:rPr>
          <w:rFonts w:ascii="Times New Roman" w:eastAsia="Times New Roman" w:hAnsi="Times New Roman" w:cs="Times New Roman"/>
          <w:bCs/>
          <w:sz w:val="24"/>
          <w:szCs w:val="24"/>
          <w:lang w:eastAsia="pl-PL"/>
        </w:rPr>
      </w:pPr>
    </w:p>
    <w:p w14:paraId="5A97B7AE" w14:textId="77777777" w:rsidR="001079D5" w:rsidRPr="00381895" w:rsidRDefault="001079D5" w:rsidP="00D74E0B">
      <w:pPr>
        <w:spacing w:after="0" w:line="300" w:lineRule="atLeast"/>
        <w:jc w:val="both"/>
        <w:rPr>
          <w:rFonts w:ascii="Times New Roman" w:eastAsia="Times New Roman" w:hAnsi="Times New Roman" w:cs="Times New Roman"/>
          <w:bCs/>
          <w:sz w:val="24"/>
          <w:szCs w:val="24"/>
          <w:u w:val="single"/>
          <w:lang w:eastAsia="pl-PL"/>
        </w:rPr>
      </w:pPr>
      <w:r w:rsidRPr="00381895">
        <w:rPr>
          <w:rFonts w:ascii="Times New Roman" w:eastAsia="Times New Roman" w:hAnsi="Times New Roman" w:cs="Times New Roman"/>
          <w:bCs/>
          <w:sz w:val="24"/>
          <w:szCs w:val="24"/>
          <w:u w:val="single"/>
          <w:lang w:eastAsia="pl-PL"/>
        </w:rPr>
        <w:t xml:space="preserve">Przykładowe tytuły prezentacji: </w:t>
      </w:r>
    </w:p>
    <w:p w14:paraId="096E84FA" w14:textId="4D3F76EA" w:rsidR="001079D5" w:rsidRPr="001079D5" w:rsidRDefault="001079D5" w:rsidP="00D74E0B">
      <w:pPr>
        <w:pStyle w:val="Akapitzlist"/>
        <w:numPr>
          <w:ilvl w:val="3"/>
          <w:numId w:val="336"/>
        </w:numPr>
        <w:spacing w:after="120" w:line="300" w:lineRule="atLeast"/>
        <w:ind w:left="723"/>
        <w:jc w:val="both"/>
        <w:rPr>
          <w:sz w:val="24"/>
          <w:szCs w:val="24"/>
        </w:rPr>
      </w:pPr>
      <w:r w:rsidRPr="001079D5">
        <w:rPr>
          <w:sz w:val="24"/>
          <w:szCs w:val="24"/>
        </w:rPr>
        <w:t>Prezentacja pt. „</w:t>
      </w:r>
      <w:proofErr w:type="spellStart"/>
      <w:r w:rsidRPr="001079D5">
        <w:rPr>
          <w:sz w:val="24"/>
          <w:szCs w:val="24"/>
        </w:rPr>
        <w:t>Air</w:t>
      </w:r>
      <w:proofErr w:type="spellEnd"/>
      <w:r w:rsidRPr="001079D5">
        <w:rPr>
          <w:sz w:val="24"/>
          <w:szCs w:val="24"/>
        </w:rPr>
        <w:t xml:space="preserve"> </w:t>
      </w:r>
      <w:proofErr w:type="spellStart"/>
      <w:r w:rsidRPr="001079D5">
        <w:rPr>
          <w:sz w:val="24"/>
          <w:szCs w:val="24"/>
        </w:rPr>
        <w:t>quality</w:t>
      </w:r>
      <w:proofErr w:type="spellEnd"/>
      <w:r w:rsidRPr="001079D5">
        <w:rPr>
          <w:sz w:val="24"/>
          <w:szCs w:val="24"/>
        </w:rPr>
        <w:t xml:space="preserve"> monitoring system in Poland” </w:t>
      </w:r>
      <w:r w:rsidR="00BE7C0C">
        <w:rPr>
          <w:sz w:val="24"/>
          <w:szCs w:val="24"/>
          <w:lang w:val="pl-PL"/>
        </w:rPr>
        <w:t xml:space="preserve">wygłoszona </w:t>
      </w:r>
      <w:r w:rsidRPr="001079D5">
        <w:rPr>
          <w:sz w:val="24"/>
          <w:szCs w:val="24"/>
        </w:rPr>
        <w:t xml:space="preserve">w dniu 20 października 2022 r. na wizycie studyjnej w siedzibie </w:t>
      </w:r>
      <w:proofErr w:type="spellStart"/>
      <w:r w:rsidRPr="001079D5">
        <w:rPr>
          <w:sz w:val="24"/>
          <w:szCs w:val="24"/>
        </w:rPr>
        <w:t>GUGiK</w:t>
      </w:r>
      <w:proofErr w:type="spellEnd"/>
      <w:r w:rsidRPr="001079D5">
        <w:rPr>
          <w:sz w:val="24"/>
          <w:szCs w:val="24"/>
        </w:rPr>
        <w:t xml:space="preserve"> w ramach projektu współpracy bliźniaczej „</w:t>
      </w:r>
      <w:proofErr w:type="spellStart"/>
      <w:r w:rsidRPr="001079D5">
        <w:rPr>
          <w:sz w:val="24"/>
          <w:szCs w:val="24"/>
        </w:rPr>
        <w:t>Improving</w:t>
      </w:r>
      <w:proofErr w:type="spellEnd"/>
      <w:r w:rsidRPr="001079D5">
        <w:rPr>
          <w:sz w:val="24"/>
          <w:szCs w:val="24"/>
        </w:rPr>
        <w:t xml:space="preserve"> </w:t>
      </w:r>
      <w:proofErr w:type="spellStart"/>
      <w:r w:rsidRPr="001079D5">
        <w:rPr>
          <w:sz w:val="24"/>
          <w:szCs w:val="24"/>
        </w:rPr>
        <w:t>Spatial</w:t>
      </w:r>
      <w:proofErr w:type="spellEnd"/>
      <w:r w:rsidRPr="001079D5">
        <w:rPr>
          <w:sz w:val="24"/>
          <w:szCs w:val="24"/>
        </w:rPr>
        <w:t xml:space="preserve"> Data Services in the Republic of </w:t>
      </w:r>
      <w:proofErr w:type="spellStart"/>
      <w:r w:rsidRPr="001079D5">
        <w:rPr>
          <w:sz w:val="24"/>
          <w:szCs w:val="24"/>
        </w:rPr>
        <w:t>Moldova</w:t>
      </w:r>
      <w:proofErr w:type="spellEnd"/>
      <w:r w:rsidRPr="001079D5">
        <w:rPr>
          <w:sz w:val="24"/>
          <w:szCs w:val="24"/>
        </w:rPr>
        <w:t xml:space="preserve"> </w:t>
      </w:r>
      <w:proofErr w:type="spellStart"/>
      <w:r w:rsidRPr="001079D5">
        <w:rPr>
          <w:sz w:val="24"/>
          <w:szCs w:val="24"/>
        </w:rPr>
        <w:t>following</w:t>
      </w:r>
      <w:proofErr w:type="spellEnd"/>
      <w:r w:rsidRPr="001079D5">
        <w:rPr>
          <w:sz w:val="24"/>
          <w:szCs w:val="24"/>
        </w:rPr>
        <w:t xml:space="preserve"> EU </w:t>
      </w:r>
      <w:proofErr w:type="spellStart"/>
      <w:r w:rsidRPr="001079D5">
        <w:rPr>
          <w:sz w:val="24"/>
          <w:szCs w:val="24"/>
        </w:rPr>
        <w:t>standards</w:t>
      </w:r>
      <w:proofErr w:type="spellEnd"/>
      <w:r w:rsidRPr="001079D5">
        <w:rPr>
          <w:sz w:val="24"/>
          <w:szCs w:val="24"/>
        </w:rPr>
        <w:t>”</w:t>
      </w:r>
      <w:r w:rsidR="00BE7C0C">
        <w:rPr>
          <w:sz w:val="24"/>
          <w:szCs w:val="24"/>
          <w:lang w:val="pl-PL"/>
        </w:rPr>
        <w:t>.</w:t>
      </w:r>
    </w:p>
    <w:p w14:paraId="6FF01A79" w14:textId="3B2818CE" w:rsidR="001079D5" w:rsidRPr="001079D5" w:rsidRDefault="001079D5" w:rsidP="00D74E0B">
      <w:pPr>
        <w:pStyle w:val="Akapitzlist"/>
        <w:numPr>
          <w:ilvl w:val="3"/>
          <w:numId w:val="336"/>
        </w:numPr>
        <w:spacing w:after="120" w:line="300" w:lineRule="atLeast"/>
        <w:ind w:left="723"/>
        <w:jc w:val="both"/>
        <w:rPr>
          <w:sz w:val="24"/>
          <w:szCs w:val="24"/>
        </w:rPr>
      </w:pPr>
      <w:r w:rsidRPr="001079D5">
        <w:rPr>
          <w:sz w:val="24"/>
          <w:szCs w:val="24"/>
        </w:rPr>
        <w:t xml:space="preserve">Prezentacja pt. „Rola systemu pomiarów i ocen jakości powietrza w zarządzaniu ochroną powietrza w Polsce” </w:t>
      </w:r>
      <w:r w:rsidR="00BE7C0C">
        <w:rPr>
          <w:sz w:val="24"/>
          <w:szCs w:val="24"/>
        </w:rPr>
        <w:sym w:font="Symbol" w:char="F02D"/>
      </w:r>
      <w:r w:rsidR="00BE7C0C">
        <w:rPr>
          <w:sz w:val="24"/>
          <w:szCs w:val="24"/>
          <w:lang w:val="pl-PL"/>
        </w:rPr>
        <w:t xml:space="preserve"> </w:t>
      </w:r>
      <w:r w:rsidRPr="001079D5">
        <w:rPr>
          <w:sz w:val="24"/>
          <w:szCs w:val="24"/>
        </w:rPr>
        <w:t>na XII Konferencji Naukowej „Ochrona Powietrza w Teorii i Praktyce”</w:t>
      </w:r>
      <w:r w:rsidR="00BE7C0C">
        <w:rPr>
          <w:sz w:val="24"/>
          <w:szCs w:val="24"/>
          <w:lang w:val="pl-PL"/>
        </w:rPr>
        <w:t>,</w:t>
      </w:r>
      <w:r w:rsidRPr="001079D5">
        <w:rPr>
          <w:sz w:val="24"/>
          <w:szCs w:val="24"/>
        </w:rPr>
        <w:t xml:space="preserve"> w dniach 18-21 października 2022 r.</w:t>
      </w:r>
    </w:p>
    <w:p w14:paraId="693481E0" w14:textId="656BFB6E" w:rsidR="001079D5" w:rsidRPr="001079D5" w:rsidRDefault="001079D5" w:rsidP="00D74E0B">
      <w:pPr>
        <w:pStyle w:val="Akapitzlist"/>
        <w:numPr>
          <w:ilvl w:val="3"/>
          <w:numId w:val="336"/>
        </w:numPr>
        <w:spacing w:after="120" w:line="300" w:lineRule="atLeast"/>
        <w:ind w:left="723"/>
        <w:jc w:val="both"/>
        <w:rPr>
          <w:sz w:val="24"/>
          <w:szCs w:val="24"/>
        </w:rPr>
      </w:pPr>
      <w:r w:rsidRPr="001079D5">
        <w:rPr>
          <w:sz w:val="24"/>
          <w:szCs w:val="24"/>
        </w:rPr>
        <w:t xml:space="preserve">Prezentacja pt. „Jakość powietrza w Polsce w latach 2020-2021” </w:t>
      </w:r>
      <w:r w:rsidR="00BE7C0C">
        <w:rPr>
          <w:sz w:val="24"/>
          <w:szCs w:val="24"/>
        </w:rPr>
        <w:sym w:font="Symbol" w:char="F02D"/>
      </w:r>
      <w:r w:rsidR="00BE7C0C">
        <w:rPr>
          <w:sz w:val="24"/>
          <w:szCs w:val="24"/>
          <w:lang w:val="pl-PL"/>
        </w:rPr>
        <w:t xml:space="preserve"> </w:t>
      </w:r>
      <w:r w:rsidRPr="001079D5">
        <w:rPr>
          <w:sz w:val="24"/>
          <w:szCs w:val="24"/>
        </w:rPr>
        <w:t>na zamkniętym XIII spotkaniu polsko-czeskiej Grupy Roboczej ds. Jakości Powietrza, które odbyło się w Pradze, 9 listopada 2022 r.</w:t>
      </w:r>
    </w:p>
    <w:p w14:paraId="1E675A33" w14:textId="7A999AFA" w:rsidR="001079D5" w:rsidRPr="001079D5" w:rsidRDefault="001079D5" w:rsidP="00D74E0B">
      <w:pPr>
        <w:pStyle w:val="Akapitzlist"/>
        <w:numPr>
          <w:ilvl w:val="3"/>
          <w:numId w:val="336"/>
        </w:numPr>
        <w:spacing w:after="120" w:line="300" w:lineRule="atLeast"/>
        <w:ind w:left="723"/>
        <w:jc w:val="both"/>
        <w:rPr>
          <w:sz w:val="24"/>
          <w:szCs w:val="24"/>
        </w:rPr>
      </w:pPr>
      <w:r w:rsidRPr="001079D5">
        <w:rPr>
          <w:sz w:val="24"/>
          <w:szCs w:val="24"/>
        </w:rPr>
        <w:t xml:space="preserve">Prezentacja pt. </w:t>
      </w:r>
      <w:proofErr w:type="spellStart"/>
      <w:r w:rsidRPr="001079D5">
        <w:rPr>
          <w:rFonts w:eastAsiaTheme="minorHAnsi"/>
          <w:bCs/>
          <w:sz w:val="24"/>
          <w:szCs w:val="24"/>
          <w:lang w:eastAsia="en-US"/>
        </w:rPr>
        <w:t>Polish</w:t>
      </w:r>
      <w:proofErr w:type="spellEnd"/>
      <w:r w:rsidRPr="001079D5">
        <w:rPr>
          <w:rFonts w:eastAsiaTheme="minorHAnsi"/>
          <w:bCs/>
          <w:sz w:val="24"/>
          <w:szCs w:val="24"/>
          <w:lang w:eastAsia="en-US"/>
        </w:rPr>
        <w:t xml:space="preserve"> </w:t>
      </w:r>
      <w:proofErr w:type="spellStart"/>
      <w:r w:rsidRPr="001079D5">
        <w:rPr>
          <w:rFonts w:eastAsiaTheme="minorHAnsi"/>
          <w:bCs/>
          <w:sz w:val="24"/>
          <w:szCs w:val="24"/>
          <w:lang w:eastAsia="en-US"/>
        </w:rPr>
        <w:t>methodology</w:t>
      </w:r>
      <w:proofErr w:type="spellEnd"/>
      <w:r w:rsidRPr="001079D5">
        <w:rPr>
          <w:rFonts w:eastAsiaTheme="minorHAnsi"/>
          <w:bCs/>
          <w:sz w:val="24"/>
          <w:szCs w:val="24"/>
          <w:lang w:eastAsia="en-US"/>
        </w:rPr>
        <w:t xml:space="preserve"> </w:t>
      </w:r>
      <w:proofErr w:type="spellStart"/>
      <w:r w:rsidRPr="001079D5">
        <w:rPr>
          <w:rFonts w:eastAsiaTheme="minorHAnsi"/>
          <w:bCs/>
          <w:sz w:val="24"/>
          <w:szCs w:val="24"/>
          <w:lang w:eastAsia="en-US"/>
        </w:rPr>
        <w:t>using</w:t>
      </w:r>
      <w:proofErr w:type="spellEnd"/>
      <w:r w:rsidRPr="001079D5">
        <w:rPr>
          <w:rFonts w:eastAsiaTheme="minorHAnsi"/>
          <w:bCs/>
          <w:sz w:val="24"/>
          <w:szCs w:val="24"/>
          <w:lang w:eastAsia="en-US"/>
        </w:rPr>
        <w:t xml:space="preserve"> CAMS data</w:t>
      </w:r>
      <w:r w:rsidRPr="001079D5">
        <w:rPr>
          <w:rFonts w:eastAsiaTheme="minorHAnsi"/>
          <w:bCs/>
          <w:sz w:val="24"/>
          <w:szCs w:val="24"/>
        </w:rPr>
        <w:t xml:space="preserve"> </w:t>
      </w:r>
      <w:r w:rsidRPr="001079D5">
        <w:rPr>
          <w:rFonts w:eastAsiaTheme="minorHAnsi"/>
          <w:bCs/>
          <w:sz w:val="24"/>
          <w:szCs w:val="24"/>
          <w:lang w:eastAsia="en-US"/>
        </w:rPr>
        <w:t xml:space="preserve">to </w:t>
      </w:r>
      <w:proofErr w:type="spellStart"/>
      <w:r w:rsidRPr="001079D5">
        <w:rPr>
          <w:rFonts w:eastAsiaTheme="minorHAnsi"/>
          <w:bCs/>
          <w:sz w:val="24"/>
          <w:szCs w:val="24"/>
          <w:lang w:eastAsia="en-US"/>
        </w:rPr>
        <w:t>identify</w:t>
      </w:r>
      <w:proofErr w:type="spellEnd"/>
      <w:r w:rsidRPr="001079D5">
        <w:rPr>
          <w:rFonts w:eastAsiaTheme="minorHAnsi"/>
          <w:bCs/>
          <w:sz w:val="24"/>
          <w:szCs w:val="24"/>
          <w:lang w:eastAsia="en-US"/>
        </w:rPr>
        <w:t xml:space="preserve"> </w:t>
      </w:r>
      <w:proofErr w:type="spellStart"/>
      <w:r w:rsidRPr="001079D5">
        <w:rPr>
          <w:rFonts w:eastAsiaTheme="minorHAnsi"/>
          <w:bCs/>
          <w:sz w:val="24"/>
          <w:szCs w:val="24"/>
          <w:lang w:eastAsia="en-US"/>
        </w:rPr>
        <w:t>contributions</w:t>
      </w:r>
      <w:proofErr w:type="spellEnd"/>
      <w:r w:rsidRPr="001079D5">
        <w:rPr>
          <w:rFonts w:eastAsiaTheme="minorHAnsi"/>
          <w:bCs/>
          <w:sz w:val="24"/>
          <w:szCs w:val="24"/>
          <w:lang w:eastAsia="en-US"/>
        </w:rPr>
        <w:t xml:space="preserve"> from </w:t>
      </w:r>
      <w:proofErr w:type="spellStart"/>
      <w:r w:rsidRPr="001079D5">
        <w:rPr>
          <w:rFonts w:eastAsiaTheme="minorHAnsi"/>
          <w:bCs/>
          <w:sz w:val="24"/>
          <w:szCs w:val="24"/>
          <w:lang w:eastAsia="en-US"/>
        </w:rPr>
        <w:t>Saharan</w:t>
      </w:r>
      <w:proofErr w:type="spellEnd"/>
      <w:r w:rsidRPr="001079D5">
        <w:rPr>
          <w:rFonts w:eastAsiaTheme="minorHAnsi"/>
          <w:bCs/>
          <w:sz w:val="24"/>
          <w:szCs w:val="24"/>
          <w:lang w:eastAsia="en-US"/>
        </w:rPr>
        <w:t xml:space="preserve"> </w:t>
      </w:r>
      <w:proofErr w:type="spellStart"/>
      <w:r w:rsidRPr="001079D5">
        <w:rPr>
          <w:rFonts w:eastAsiaTheme="minorHAnsi"/>
          <w:bCs/>
          <w:sz w:val="24"/>
          <w:szCs w:val="24"/>
          <w:lang w:eastAsia="en-US"/>
        </w:rPr>
        <w:t>dust</w:t>
      </w:r>
      <w:proofErr w:type="spellEnd"/>
      <w:r w:rsidRPr="001079D5">
        <w:rPr>
          <w:rFonts w:eastAsiaTheme="minorHAnsi"/>
          <w:bCs/>
          <w:sz w:val="24"/>
          <w:szCs w:val="24"/>
          <w:lang w:eastAsia="en-US"/>
        </w:rPr>
        <w:t xml:space="preserve">” </w:t>
      </w:r>
      <w:r w:rsidRPr="001079D5">
        <w:rPr>
          <w:sz w:val="24"/>
          <w:szCs w:val="24"/>
        </w:rPr>
        <w:t xml:space="preserve">na 6 warsztatach użytkowników narzędzia CAMS (Copernicus </w:t>
      </w:r>
      <w:proofErr w:type="spellStart"/>
      <w:r w:rsidRPr="001079D5">
        <w:rPr>
          <w:sz w:val="24"/>
          <w:szCs w:val="24"/>
        </w:rPr>
        <w:t>Atmosphere</w:t>
      </w:r>
      <w:proofErr w:type="spellEnd"/>
      <w:r w:rsidRPr="001079D5">
        <w:rPr>
          <w:sz w:val="24"/>
          <w:szCs w:val="24"/>
        </w:rPr>
        <w:t xml:space="preserve"> Monitoring Service) organizowanych przez Komisję Europejską – we współpracy z DG Środowisko (DG ENV) w Brukseli w dniu 8 listopada 2022 r. </w:t>
      </w:r>
    </w:p>
    <w:p w14:paraId="7DFC189C" w14:textId="65A0DF2B" w:rsidR="001079D5" w:rsidRPr="001079D5" w:rsidRDefault="00BE7C0C" w:rsidP="00D74E0B">
      <w:pPr>
        <w:pStyle w:val="Akapitzlist"/>
        <w:numPr>
          <w:ilvl w:val="3"/>
          <w:numId w:val="336"/>
        </w:numPr>
        <w:spacing w:after="120" w:line="300" w:lineRule="atLeast"/>
        <w:ind w:left="723"/>
        <w:jc w:val="both"/>
        <w:rPr>
          <w:sz w:val="24"/>
          <w:szCs w:val="24"/>
        </w:rPr>
      </w:pPr>
      <w:r w:rsidRPr="001079D5">
        <w:rPr>
          <w:noProof/>
          <w:sz w:val="24"/>
          <w:szCs w:val="24"/>
          <w:lang w:val="pl-PL"/>
        </w:rPr>
        <w:drawing>
          <wp:anchor distT="0" distB="0" distL="114300" distR="114300" simplePos="0" relativeHeight="251779072" behindDoc="0" locked="0" layoutInCell="1" allowOverlap="1" wp14:anchorId="45D2A18F" wp14:editId="01374EBB">
            <wp:simplePos x="0" y="0"/>
            <wp:positionH relativeFrom="column">
              <wp:posOffset>605155</wp:posOffset>
            </wp:positionH>
            <wp:positionV relativeFrom="paragraph">
              <wp:posOffset>681355</wp:posOffset>
            </wp:positionV>
            <wp:extent cx="4772025" cy="2672715"/>
            <wp:effectExtent l="0" t="0" r="9525" b="0"/>
            <wp:wrapTopAndBottom/>
            <wp:docPr id="129" name="Obraz 1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Obraz 129">
                      <a:extLst>
                        <a:ext uri="{C183D7F6-B498-43B3-948B-1728B52AA6E4}">
                          <adec:decorative xmlns:adec="http://schemas.microsoft.com/office/drawing/2017/decorative" val="1"/>
                        </a:ext>
                      </a:extLst>
                    </pic:cNvPr>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4772025" cy="2672715"/>
                    </a:xfrm>
                    <a:prstGeom prst="rect">
                      <a:avLst/>
                    </a:prstGeom>
                  </pic:spPr>
                </pic:pic>
              </a:graphicData>
            </a:graphic>
            <wp14:sizeRelH relativeFrom="margin">
              <wp14:pctWidth>0</wp14:pctWidth>
            </wp14:sizeRelH>
            <wp14:sizeRelV relativeFrom="margin">
              <wp14:pctHeight>0</wp14:pctHeight>
            </wp14:sizeRelV>
          </wp:anchor>
        </w:drawing>
      </w:r>
      <w:r w:rsidR="001079D5" w:rsidRPr="001079D5">
        <w:rPr>
          <w:sz w:val="24"/>
          <w:szCs w:val="24"/>
        </w:rPr>
        <w:t>Prezentacja pt.: „</w:t>
      </w:r>
      <w:proofErr w:type="spellStart"/>
      <w:r w:rsidR="001079D5" w:rsidRPr="001079D5">
        <w:rPr>
          <w:sz w:val="24"/>
          <w:szCs w:val="24"/>
        </w:rPr>
        <w:t>Strengthening</w:t>
      </w:r>
      <w:proofErr w:type="spellEnd"/>
      <w:r w:rsidR="001079D5" w:rsidRPr="001079D5">
        <w:rPr>
          <w:sz w:val="24"/>
          <w:szCs w:val="24"/>
        </w:rPr>
        <w:t xml:space="preserve"> of </w:t>
      </w:r>
      <w:proofErr w:type="spellStart"/>
      <w:r w:rsidR="001079D5" w:rsidRPr="001079D5">
        <w:rPr>
          <w:sz w:val="24"/>
          <w:szCs w:val="24"/>
        </w:rPr>
        <w:t>atmospheric</w:t>
      </w:r>
      <w:proofErr w:type="spellEnd"/>
      <w:r w:rsidR="001079D5" w:rsidRPr="001079D5">
        <w:rPr>
          <w:sz w:val="24"/>
          <w:szCs w:val="24"/>
        </w:rPr>
        <w:t xml:space="preserve"> </w:t>
      </w:r>
      <w:proofErr w:type="spellStart"/>
      <w:r w:rsidR="001079D5" w:rsidRPr="001079D5">
        <w:rPr>
          <w:sz w:val="24"/>
          <w:szCs w:val="24"/>
        </w:rPr>
        <w:t>deposition</w:t>
      </w:r>
      <w:proofErr w:type="spellEnd"/>
      <w:r w:rsidR="001079D5" w:rsidRPr="001079D5">
        <w:rPr>
          <w:sz w:val="24"/>
          <w:szCs w:val="24"/>
        </w:rPr>
        <w:t xml:space="preserve"> </w:t>
      </w:r>
      <w:proofErr w:type="spellStart"/>
      <w:r w:rsidR="001079D5" w:rsidRPr="001079D5">
        <w:rPr>
          <w:sz w:val="24"/>
          <w:szCs w:val="24"/>
        </w:rPr>
        <w:t>assessment</w:t>
      </w:r>
      <w:proofErr w:type="spellEnd"/>
      <w:r w:rsidR="001079D5" w:rsidRPr="001079D5">
        <w:rPr>
          <w:sz w:val="24"/>
          <w:szCs w:val="24"/>
        </w:rPr>
        <w:t xml:space="preserve"> in Poland </w:t>
      </w:r>
      <w:proofErr w:type="spellStart"/>
      <w:r w:rsidR="001079D5" w:rsidRPr="001079D5">
        <w:rPr>
          <w:sz w:val="24"/>
          <w:szCs w:val="24"/>
        </w:rPr>
        <w:t>based</w:t>
      </w:r>
      <w:proofErr w:type="spellEnd"/>
      <w:r w:rsidR="001079D5" w:rsidRPr="001079D5">
        <w:rPr>
          <w:sz w:val="24"/>
          <w:szCs w:val="24"/>
        </w:rPr>
        <w:t xml:space="preserve"> on </w:t>
      </w:r>
      <w:proofErr w:type="spellStart"/>
      <w:r w:rsidR="001079D5" w:rsidRPr="001079D5">
        <w:rPr>
          <w:sz w:val="24"/>
          <w:szCs w:val="24"/>
        </w:rPr>
        <w:t>Norwegian</w:t>
      </w:r>
      <w:proofErr w:type="spellEnd"/>
      <w:r w:rsidR="001079D5" w:rsidRPr="001079D5">
        <w:rPr>
          <w:sz w:val="24"/>
          <w:szCs w:val="24"/>
        </w:rPr>
        <w:t xml:space="preserve"> </w:t>
      </w:r>
      <w:proofErr w:type="spellStart"/>
      <w:r w:rsidR="001079D5" w:rsidRPr="001079D5">
        <w:rPr>
          <w:sz w:val="24"/>
          <w:szCs w:val="24"/>
        </w:rPr>
        <w:t>experience</w:t>
      </w:r>
      <w:proofErr w:type="spellEnd"/>
      <w:r w:rsidR="001079D5" w:rsidRPr="001079D5">
        <w:rPr>
          <w:sz w:val="24"/>
          <w:szCs w:val="24"/>
        </w:rPr>
        <w:t xml:space="preserve">” na wizycie studyjnej w Norweskim Instytucie Badań Powietrza (NILU) w Norwegii w dniach 27 czerwca </w:t>
      </w:r>
      <w:r w:rsidR="001079D5" w:rsidRPr="001079D5">
        <w:rPr>
          <w:sz w:val="24"/>
          <w:szCs w:val="24"/>
        </w:rPr>
        <w:noBreakHyphen/>
        <w:t xml:space="preserve"> 1 lipca 2022 r. </w:t>
      </w:r>
    </w:p>
    <w:p w14:paraId="4B4920D1" w14:textId="4799E96F" w:rsidR="001079D5" w:rsidRPr="0024039B" w:rsidRDefault="0024039B" w:rsidP="001079D5">
      <w:pPr>
        <w:spacing w:after="120" w:line="276" w:lineRule="auto"/>
        <w:jc w:val="center"/>
        <w:rPr>
          <w:rFonts w:ascii="Times New Roman" w:hAnsi="Times New Roman" w:cs="Times New Roman"/>
          <w:b/>
        </w:rPr>
      </w:pPr>
      <w:r w:rsidRPr="0024039B">
        <w:rPr>
          <w:rFonts w:ascii="Times New Roman" w:hAnsi="Times New Roman" w:cs="Times New Roman"/>
          <w:b/>
        </w:rPr>
        <w:t>Ryc. 33</w:t>
      </w:r>
    </w:p>
    <w:p w14:paraId="4F7CCD6A" w14:textId="679E6310" w:rsidR="001079D5" w:rsidRPr="001079D5" w:rsidRDefault="001079D5" w:rsidP="00D74E0B">
      <w:pPr>
        <w:pStyle w:val="Akapitzlist"/>
        <w:numPr>
          <w:ilvl w:val="3"/>
          <w:numId w:val="336"/>
        </w:numPr>
        <w:spacing w:after="120" w:line="300" w:lineRule="atLeast"/>
        <w:ind w:left="726"/>
        <w:jc w:val="both"/>
        <w:rPr>
          <w:sz w:val="24"/>
          <w:szCs w:val="24"/>
          <w:lang w:val="en-GB"/>
        </w:rPr>
      </w:pPr>
      <w:proofErr w:type="spellStart"/>
      <w:r w:rsidRPr="001079D5">
        <w:rPr>
          <w:sz w:val="24"/>
          <w:szCs w:val="24"/>
          <w:lang w:val="en-GB"/>
        </w:rPr>
        <w:t>Prezentacja</w:t>
      </w:r>
      <w:proofErr w:type="spellEnd"/>
      <w:r w:rsidRPr="001079D5">
        <w:rPr>
          <w:sz w:val="24"/>
          <w:szCs w:val="24"/>
          <w:lang w:val="en-GB"/>
        </w:rPr>
        <w:t xml:space="preserve"> pt.: „Developing the guidance document on assessment of atmospheric deposition including a proposal of the most suitable deposition </w:t>
      </w:r>
      <w:proofErr w:type="spellStart"/>
      <w:r w:rsidRPr="001079D5">
        <w:rPr>
          <w:sz w:val="24"/>
          <w:szCs w:val="24"/>
          <w:lang w:val="en-GB"/>
        </w:rPr>
        <w:t>modeling</w:t>
      </w:r>
      <w:proofErr w:type="spellEnd"/>
      <w:r w:rsidRPr="001079D5">
        <w:rPr>
          <w:sz w:val="24"/>
          <w:szCs w:val="24"/>
          <w:lang w:val="en-GB"/>
        </w:rPr>
        <w:t xml:space="preserve"> technique” </w:t>
      </w:r>
      <w:proofErr w:type="spellStart"/>
      <w:r w:rsidRPr="001079D5">
        <w:rPr>
          <w:sz w:val="24"/>
          <w:szCs w:val="24"/>
          <w:lang w:val="en-GB"/>
        </w:rPr>
        <w:t>na</w:t>
      </w:r>
      <w:proofErr w:type="spellEnd"/>
      <w:r w:rsidRPr="001079D5">
        <w:rPr>
          <w:sz w:val="24"/>
          <w:szCs w:val="24"/>
          <w:lang w:val="en-GB"/>
        </w:rPr>
        <w:t> </w:t>
      </w:r>
      <w:proofErr w:type="spellStart"/>
      <w:r w:rsidRPr="001079D5">
        <w:rPr>
          <w:sz w:val="24"/>
          <w:szCs w:val="24"/>
          <w:lang w:val="en-GB"/>
        </w:rPr>
        <w:t>wizycie</w:t>
      </w:r>
      <w:proofErr w:type="spellEnd"/>
      <w:r w:rsidRPr="001079D5">
        <w:rPr>
          <w:sz w:val="24"/>
          <w:szCs w:val="24"/>
          <w:lang w:val="en-GB"/>
        </w:rPr>
        <w:t xml:space="preserve"> </w:t>
      </w:r>
      <w:proofErr w:type="spellStart"/>
      <w:r w:rsidRPr="001079D5">
        <w:rPr>
          <w:sz w:val="24"/>
          <w:szCs w:val="24"/>
          <w:lang w:val="en-GB"/>
        </w:rPr>
        <w:t>studyjnej</w:t>
      </w:r>
      <w:proofErr w:type="spellEnd"/>
      <w:r w:rsidRPr="001079D5">
        <w:rPr>
          <w:sz w:val="24"/>
          <w:szCs w:val="24"/>
          <w:lang w:val="en-GB"/>
        </w:rPr>
        <w:t xml:space="preserve"> w </w:t>
      </w:r>
      <w:proofErr w:type="spellStart"/>
      <w:r w:rsidRPr="001079D5">
        <w:rPr>
          <w:sz w:val="24"/>
          <w:szCs w:val="24"/>
          <w:lang w:val="en-GB"/>
        </w:rPr>
        <w:t>Norweskim</w:t>
      </w:r>
      <w:proofErr w:type="spellEnd"/>
      <w:r w:rsidRPr="001079D5">
        <w:rPr>
          <w:sz w:val="24"/>
          <w:szCs w:val="24"/>
          <w:lang w:val="en-GB"/>
        </w:rPr>
        <w:t xml:space="preserve"> </w:t>
      </w:r>
      <w:proofErr w:type="spellStart"/>
      <w:r w:rsidRPr="001079D5">
        <w:rPr>
          <w:sz w:val="24"/>
          <w:szCs w:val="24"/>
          <w:lang w:val="en-GB"/>
        </w:rPr>
        <w:t>Instytucie</w:t>
      </w:r>
      <w:proofErr w:type="spellEnd"/>
      <w:r w:rsidRPr="001079D5">
        <w:rPr>
          <w:sz w:val="24"/>
          <w:szCs w:val="24"/>
          <w:lang w:val="en-GB"/>
        </w:rPr>
        <w:t xml:space="preserve"> </w:t>
      </w:r>
      <w:proofErr w:type="spellStart"/>
      <w:r w:rsidRPr="001079D5">
        <w:rPr>
          <w:sz w:val="24"/>
          <w:szCs w:val="24"/>
          <w:lang w:val="en-GB"/>
        </w:rPr>
        <w:t>Badań</w:t>
      </w:r>
      <w:proofErr w:type="spellEnd"/>
      <w:r w:rsidRPr="001079D5">
        <w:rPr>
          <w:sz w:val="24"/>
          <w:szCs w:val="24"/>
          <w:lang w:val="en-GB"/>
        </w:rPr>
        <w:t xml:space="preserve"> </w:t>
      </w:r>
      <w:proofErr w:type="spellStart"/>
      <w:r w:rsidRPr="001079D5">
        <w:rPr>
          <w:sz w:val="24"/>
          <w:szCs w:val="24"/>
          <w:lang w:val="en-GB"/>
        </w:rPr>
        <w:t>Powietrza</w:t>
      </w:r>
      <w:proofErr w:type="spellEnd"/>
      <w:r w:rsidRPr="001079D5">
        <w:rPr>
          <w:sz w:val="24"/>
          <w:szCs w:val="24"/>
          <w:lang w:val="en-GB"/>
        </w:rPr>
        <w:t xml:space="preserve"> (NILU) w </w:t>
      </w:r>
      <w:proofErr w:type="spellStart"/>
      <w:r w:rsidRPr="001079D5">
        <w:rPr>
          <w:sz w:val="24"/>
          <w:szCs w:val="24"/>
          <w:lang w:val="en-GB"/>
        </w:rPr>
        <w:t>Norwegii</w:t>
      </w:r>
      <w:proofErr w:type="spellEnd"/>
      <w:r w:rsidRPr="001079D5">
        <w:rPr>
          <w:sz w:val="24"/>
          <w:szCs w:val="24"/>
          <w:lang w:val="en-GB"/>
        </w:rPr>
        <w:t xml:space="preserve"> w </w:t>
      </w:r>
      <w:proofErr w:type="spellStart"/>
      <w:r w:rsidRPr="001079D5">
        <w:rPr>
          <w:sz w:val="24"/>
          <w:szCs w:val="24"/>
          <w:lang w:val="en-GB"/>
        </w:rPr>
        <w:t>dniach</w:t>
      </w:r>
      <w:proofErr w:type="spellEnd"/>
      <w:r w:rsidRPr="001079D5">
        <w:rPr>
          <w:sz w:val="24"/>
          <w:szCs w:val="24"/>
          <w:lang w:val="en-GB"/>
        </w:rPr>
        <w:t xml:space="preserve"> 27 </w:t>
      </w:r>
      <w:proofErr w:type="spellStart"/>
      <w:r w:rsidRPr="001079D5">
        <w:rPr>
          <w:sz w:val="24"/>
          <w:szCs w:val="24"/>
          <w:lang w:val="en-GB"/>
        </w:rPr>
        <w:t>czerwca</w:t>
      </w:r>
      <w:proofErr w:type="spellEnd"/>
      <w:r w:rsidRPr="001079D5">
        <w:rPr>
          <w:sz w:val="24"/>
          <w:szCs w:val="24"/>
          <w:lang w:val="en-GB"/>
        </w:rPr>
        <w:t xml:space="preserve"> – 1 </w:t>
      </w:r>
      <w:proofErr w:type="spellStart"/>
      <w:r w:rsidRPr="001079D5">
        <w:rPr>
          <w:sz w:val="24"/>
          <w:szCs w:val="24"/>
          <w:lang w:val="en-GB"/>
        </w:rPr>
        <w:t>lipca</w:t>
      </w:r>
      <w:proofErr w:type="spellEnd"/>
      <w:r w:rsidRPr="001079D5">
        <w:rPr>
          <w:sz w:val="24"/>
          <w:szCs w:val="24"/>
          <w:lang w:val="en-GB"/>
        </w:rPr>
        <w:t xml:space="preserve"> 2022 r.</w:t>
      </w:r>
    </w:p>
    <w:p w14:paraId="01E12D09" w14:textId="424B52F9" w:rsidR="001079D5" w:rsidRPr="001079D5" w:rsidRDefault="001079D5" w:rsidP="00D74E0B">
      <w:pPr>
        <w:pStyle w:val="Akapitzlist"/>
        <w:numPr>
          <w:ilvl w:val="3"/>
          <w:numId w:val="336"/>
        </w:numPr>
        <w:spacing w:after="120" w:line="300" w:lineRule="atLeast"/>
        <w:ind w:left="726"/>
        <w:jc w:val="both"/>
        <w:rPr>
          <w:sz w:val="24"/>
          <w:szCs w:val="24"/>
        </w:rPr>
      </w:pPr>
      <w:proofErr w:type="spellStart"/>
      <w:r w:rsidRPr="001079D5">
        <w:rPr>
          <w:sz w:val="24"/>
          <w:szCs w:val="24"/>
          <w:lang w:val="en-GB"/>
        </w:rPr>
        <w:lastRenderedPageBreak/>
        <w:t>Prezentacja</w:t>
      </w:r>
      <w:proofErr w:type="spellEnd"/>
      <w:r w:rsidRPr="001079D5">
        <w:rPr>
          <w:sz w:val="24"/>
          <w:szCs w:val="24"/>
          <w:lang w:val="en-GB"/>
        </w:rPr>
        <w:t xml:space="preserve"> pt.: „Concept of modernization and optimization of deposition measurements in Poland. </w:t>
      </w:r>
      <w:r w:rsidRPr="001079D5">
        <w:rPr>
          <w:sz w:val="24"/>
          <w:szCs w:val="24"/>
        </w:rPr>
        <w:t xml:space="preserve">Activity No. 1” na wizycie studyjnej w Norweskim Instytucie Badań Powietrza (NILU) w Norwegii w dniach 27 czerwca </w:t>
      </w:r>
      <w:r w:rsidRPr="001079D5">
        <w:rPr>
          <w:sz w:val="24"/>
          <w:szCs w:val="24"/>
        </w:rPr>
        <w:noBreakHyphen/>
        <w:t>1 lipca 2022 r.</w:t>
      </w:r>
    </w:p>
    <w:p w14:paraId="3689575C" w14:textId="5EBB0574" w:rsidR="001079D5" w:rsidRPr="001079D5" w:rsidRDefault="001079D5" w:rsidP="00D74E0B">
      <w:pPr>
        <w:pStyle w:val="Akapitzlist"/>
        <w:numPr>
          <w:ilvl w:val="3"/>
          <w:numId w:val="336"/>
        </w:numPr>
        <w:spacing w:after="120" w:line="300" w:lineRule="atLeast"/>
        <w:ind w:left="726"/>
        <w:jc w:val="both"/>
        <w:rPr>
          <w:sz w:val="24"/>
          <w:szCs w:val="24"/>
        </w:rPr>
      </w:pPr>
      <w:proofErr w:type="spellStart"/>
      <w:r w:rsidRPr="001079D5">
        <w:rPr>
          <w:sz w:val="24"/>
          <w:szCs w:val="24"/>
          <w:lang w:val="en-GB"/>
        </w:rPr>
        <w:t>Prezentacja</w:t>
      </w:r>
      <w:proofErr w:type="spellEnd"/>
      <w:r w:rsidRPr="001079D5">
        <w:rPr>
          <w:sz w:val="24"/>
          <w:szCs w:val="24"/>
          <w:lang w:val="en-GB"/>
        </w:rPr>
        <w:t xml:space="preserve"> pt. „Developing  the concept of launching the quality assurance/quality control (QA/QC) system for deposition measurements. </w:t>
      </w:r>
      <w:r w:rsidRPr="001079D5">
        <w:rPr>
          <w:sz w:val="24"/>
          <w:szCs w:val="24"/>
        </w:rPr>
        <w:t>Activity No. 2” na wizycie studyjnej w Norweskim Instytucie Badań Powietrza (NILU) w Norwegii w dniach 27 czerwca – 1 lipca 2022 r.</w:t>
      </w:r>
    </w:p>
    <w:p w14:paraId="4DE93AE4" w14:textId="6CA0FC3E" w:rsidR="001079D5" w:rsidRPr="001079D5" w:rsidRDefault="001079D5" w:rsidP="00D74E0B">
      <w:pPr>
        <w:pStyle w:val="Akapitzlist"/>
        <w:numPr>
          <w:ilvl w:val="3"/>
          <w:numId w:val="336"/>
        </w:numPr>
        <w:spacing w:after="120" w:line="300" w:lineRule="atLeast"/>
        <w:ind w:left="726"/>
        <w:jc w:val="both"/>
        <w:rPr>
          <w:sz w:val="24"/>
          <w:szCs w:val="24"/>
        </w:rPr>
      </w:pPr>
      <w:r w:rsidRPr="001079D5">
        <w:rPr>
          <w:sz w:val="24"/>
          <w:szCs w:val="24"/>
        </w:rPr>
        <w:t xml:space="preserve"> „Jakość powietrza w województwie śląskim na podstawie danych państwowego monitoringu środowiska”, Szkoła Podstawowa Nr 20 </w:t>
      </w:r>
      <w:r w:rsidR="00BE7C0C">
        <w:rPr>
          <w:sz w:val="24"/>
          <w:szCs w:val="24"/>
          <w:lang w:val="pl-PL"/>
        </w:rPr>
        <w:t>i</w:t>
      </w:r>
      <w:r w:rsidRPr="001079D5">
        <w:rPr>
          <w:sz w:val="24"/>
          <w:szCs w:val="24"/>
        </w:rPr>
        <w:t>m. Polskich Himalaistów w Zabrzu</w:t>
      </w:r>
      <w:r w:rsidR="00BE7C0C">
        <w:rPr>
          <w:sz w:val="24"/>
          <w:szCs w:val="24"/>
          <w:lang w:val="pl-PL"/>
        </w:rPr>
        <w:t>.</w:t>
      </w:r>
    </w:p>
    <w:p w14:paraId="07851ED7" w14:textId="679E871C" w:rsidR="001079D5" w:rsidRPr="001079D5" w:rsidRDefault="001079D5" w:rsidP="00D74E0B">
      <w:pPr>
        <w:pStyle w:val="Akapitzlist"/>
        <w:numPr>
          <w:ilvl w:val="3"/>
          <w:numId w:val="336"/>
        </w:numPr>
        <w:spacing w:after="120" w:line="300" w:lineRule="atLeast"/>
        <w:ind w:left="726"/>
        <w:jc w:val="both"/>
        <w:rPr>
          <w:sz w:val="24"/>
          <w:szCs w:val="24"/>
        </w:rPr>
      </w:pPr>
      <w:r w:rsidRPr="001079D5">
        <w:rPr>
          <w:sz w:val="24"/>
          <w:szCs w:val="24"/>
        </w:rPr>
        <w:t>„Stan jakości powietrza na terenie województwa śląskiego, na podstawie badań i ocen w ramach państwowego monitoringu środowiska”, konferencja Śląskiego Związku Gmin i Powiatów „Stosowanie przepisów, mających na celu poprawę jakości powietrza, w świetle obecnej sytuacji prawnej oraz sytuacji na rynku paliw energetycznych”</w:t>
      </w:r>
      <w:r w:rsidR="00BE7C0C">
        <w:rPr>
          <w:sz w:val="24"/>
          <w:szCs w:val="24"/>
          <w:lang w:val="pl-PL"/>
        </w:rPr>
        <w:t>.</w:t>
      </w:r>
    </w:p>
    <w:p w14:paraId="18FCC1B3" w14:textId="293167FD" w:rsidR="001079D5" w:rsidRPr="001079D5" w:rsidRDefault="001079D5" w:rsidP="00D74E0B">
      <w:pPr>
        <w:pStyle w:val="Akapitzlist"/>
        <w:numPr>
          <w:ilvl w:val="3"/>
          <w:numId w:val="336"/>
        </w:numPr>
        <w:spacing w:after="120" w:line="300" w:lineRule="atLeast"/>
        <w:ind w:left="726"/>
        <w:jc w:val="both"/>
        <w:rPr>
          <w:sz w:val="24"/>
          <w:szCs w:val="24"/>
        </w:rPr>
      </w:pPr>
      <w:r w:rsidRPr="001079D5">
        <w:rPr>
          <w:sz w:val="24"/>
          <w:szCs w:val="24"/>
        </w:rPr>
        <w:t>„Jakość powietrza w województwie warmińsko-mazurskim na podstawie Państwowego Monitoringu Środowiska”, Konferencje „Czyste Powietrze” w Szczytnie i Lidzbarku Warmińskim</w:t>
      </w:r>
      <w:r w:rsidR="00BE7C0C">
        <w:rPr>
          <w:sz w:val="24"/>
          <w:szCs w:val="24"/>
          <w:lang w:val="pl-PL"/>
        </w:rPr>
        <w:t>.</w:t>
      </w:r>
    </w:p>
    <w:p w14:paraId="339FAE38" w14:textId="2CE8E9E0" w:rsidR="001079D5" w:rsidRPr="001079D5" w:rsidRDefault="001079D5" w:rsidP="00D74E0B">
      <w:pPr>
        <w:pStyle w:val="Akapitzlist"/>
        <w:numPr>
          <w:ilvl w:val="3"/>
          <w:numId w:val="336"/>
        </w:numPr>
        <w:spacing w:after="120" w:line="300" w:lineRule="atLeast"/>
        <w:ind w:left="726"/>
        <w:jc w:val="both"/>
        <w:rPr>
          <w:sz w:val="24"/>
          <w:szCs w:val="24"/>
        </w:rPr>
      </w:pPr>
      <w:r w:rsidRPr="001079D5">
        <w:rPr>
          <w:sz w:val="24"/>
          <w:szCs w:val="24"/>
        </w:rPr>
        <w:t>„Roczna ocena jakości powietrza w województwie opolskim. Raport wojewódzki za rok 2020 i 2021”, sesja Rady Miasta Kędzierzyn-Koźle</w:t>
      </w:r>
      <w:r w:rsidR="00BE7C0C">
        <w:rPr>
          <w:sz w:val="24"/>
          <w:szCs w:val="24"/>
          <w:lang w:val="pl-PL"/>
        </w:rPr>
        <w:t>.</w:t>
      </w:r>
    </w:p>
    <w:p w14:paraId="0FEB6B0B" w14:textId="53AFA445" w:rsidR="001079D5" w:rsidRPr="001079D5" w:rsidRDefault="001079D5" w:rsidP="00D74E0B">
      <w:pPr>
        <w:pStyle w:val="Akapitzlist"/>
        <w:numPr>
          <w:ilvl w:val="3"/>
          <w:numId w:val="336"/>
        </w:numPr>
        <w:spacing w:after="120" w:line="300" w:lineRule="atLeast"/>
        <w:ind w:left="726"/>
        <w:jc w:val="both"/>
        <w:rPr>
          <w:sz w:val="24"/>
          <w:szCs w:val="24"/>
        </w:rPr>
      </w:pPr>
      <w:r w:rsidRPr="001079D5">
        <w:rPr>
          <w:sz w:val="24"/>
          <w:szCs w:val="24"/>
        </w:rPr>
        <w:t>„Roczna ocena jakości powietrza w województwie opolskim. Raport wojewódzki za rok 2021”, prezentacja wygłoszona na posiedzeniu Komisji Rodziny, Zdrowia, Środowiska i Spraw Społecznych SWO oraz na posiedzeniu Sejmiku Województwa</w:t>
      </w:r>
      <w:r w:rsidR="00BE7C0C">
        <w:rPr>
          <w:sz w:val="24"/>
          <w:szCs w:val="24"/>
          <w:lang w:val="pl-PL"/>
        </w:rPr>
        <w:t>.</w:t>
      </w:r>
    </w:p>
    <w:p w14:paraId="55765086" w14:textId="1F957704" w:rsidR="001079D5" w:rsidRPr="001079D5" w:rsidRDefault="001079D5" w:rsidP="00D74E0B">
      <w:pPr>
        <w:pStyle w:val="Akapitzlist"/>
        <w:numPr>
          <w:ilvl w:val="3"/>
          <w:numId w:val="336"/>
        </w:numPr>
        <w:spacing w:after="120" w:line="300" w:lineRule="atLeast"/>
        <w:ind w:left="726"/>
        <w:jc w:val="both"/>
        <w:rPr>
          <w:sz w:val="24"/>
          <w:szCs w:val="24"/>
        </w:rPr>
      </w:pPr>
      <w:r w:rsidRPr="001079D5">
        <w:rPr>
          <w:sz w:val="24"/>
          <w:szCs w:val="24"/>
        </w:rPr>
        <w:t>„Informacja na temat monitorowania zanieczyszczeń w okresie zimowym”, posiedzenie Wojewódzkiego Zespołu Zarządzania</w:t>
      </w:r>
      <w:r w:rsidR="00BE7C0C">
        <w:rPr>
          <w:sz w:val="24"/>
          <w:szCs w:val="24"/>
          <w:lang w:val="pl-PL"/>
        </w:rPr>
        <w:t>.</w:t>
      </w:r>
    </w:p>
    <w:p w14:paraId="36FC021E" w14:textId="5B53AFA7" w:rsidR="001079D5" w:rsidRPr="001079D5" w:rsidRDefault="001079D5" w:rsidP="00D74E0B">
      <w:pPr>
        <w:pStyle w:val="Akapitzlist"/>
        <w:numPr>
          <w:ilvl w:val="3"/>
          <w:numId w:val="336"/>
        </w:numPr>
        <w:spacing w:after="120" w:line="300" w:lineRule="atLeast"/>
        <w:ind w:left="726"/>
        <w:jc w:val="both"/>
        <w:rPr>
          <w:sz w:val="24"/>
          <w:szCs w:val="24"/>
        </w:rPr>
      </w:pPr>
      <w:r w:rsidRPr="001079D5">
        <w:rPr>
          <w:sz w:val="24"/>
          <w:szCs w:val="24"/>
        </w:rPr>
        <w:t>„Czym oddychamy – przyczyny zanieczyszczenia powietrza, badanie i przeciwdziałanie”, prezentacja na Sejmik ekologiczny powiatu dębickiego</w:t>
      </w:r>
      <w:r w:rsidR="00BE7C0C">
        <w:rPr>
          <w:sz w:val="24"/>
          <w:szCs w:val="24"/>
          <w:lang w:val="pl-PL"/>
        </w:rPr>
        <w:t>.</w:t>
      </w:r>
    </w:p>
    <w:p w14:paraId="7CE9FFC7" w14:textId="247D3A3D" w:rsidR="001079D5" w:rsidRPr="001079D5" w:rsidRDefault="001079D5" w:rsidP="00D74E0B">
      <w:pPr>
        <w:pStyle w:val="Akapitzlist"/>
        <w:numPr>
          <w:ilvl w:val="3"/>
          <w:numId w:val="336"/>
        </w:numPr>
        <w:spacing w:after="120" w:line="300" w:lineRule="atLeast"/>
        <w:ind w:left="726"/>
        <w:jc w:val="both"/>
        <w:rPr>
          <w:sz w:val="24"/>
          <w:szCs w:val="24"/>
        </w:rPr>
      </w:pPr>
      <w:r w:rsidRPr="001079D5">
        <w:rPr>
          <w:sz w:val="24"/>
          <w:szCs w:val="24"/>
        </w:rPr>
        <w:t>„Jakość powietrza w Rzeszowie w świetle badań Państwowego Monitoringu Środowiska”, prezentacja przygotowana na zorganizowane przez Urząd Miasta Rzeszowa wykłady dla mieszkańców poświęcone tematyce ochrony środowiska</w:t>
      </w:r>
      <w:r w:rsidR="00BE7C0C">
        <w:rPr>
          <w:sz w:val="24"/>
          <w:szCs w:val="24"/>
          <w:lang w:val="pl-PL"/>
        </w:rPr>
        <w:t>.</w:t>
      </w:r>
    </w:p>
    <w:p w14:paraId="38066F0D" w14:textId="1195B335" w:rsidR="001079D5" w:rsidRPr="001079D5" w:rsidRDefault="001079D5" w:rsidP="00D74E0B">
      <w:pPr>
        <w:pStyle w:val="Akapitzlist"/>
        <w:numPr>
          <w:ilvl w:val="3"/>
          <w:numId w:val="336"/>
        </w:numPr>
        <w:spacing w:after="120" w:line="300" w:lineRule="atLeast"/>
        <w:ind w:left="726"/>
        <w:jc w:val="both"/>
        <w:rPr>
          <w:sz w:val="24"/>
          <w:szCs w:val="24"/>
        </w:rPr>
      </w:pPr>
      <w:r w:rsidRPr="001079D5">
        <w:rPr>
          <w:sz w:val="24"/>
          <w:szCs w:val="24"/>
        </w:rPr>
        <w:t>Jakość powietrza w województwie dolnośląskim na podstawie Państwowego Monitoringu Środowiska, Międzynarodowa Konferencja Naukowa „Zdrowie i Style Życia”</w:t>
      </w:r>
      <w:r w:rsidR="00BE7C0C">
        <w:rPr>
          <w:sz w:val="24"/>
          <w:szCs w:val="24"/>
          <w:lang w:val="pl-PL"/>
        </w:rPr>
        <w:t>.</w:t>
      </w:r>
    </w:p>
    <w:p w14:paraId="69DF2601" w14:textId="5170C5D9" w:rsidR="001079D5" w:rsidRPr="001079D5" w:rsidRDefault="001079D5" w:rsidP="00D74E0B">
      <w:pPr>
        <w:pStyle w:val="Akapitzlist"/>
        <w:numPr>
          <w:ilvl w:val="3"/>
          <w:numId w:val="336"/>
        </w:numPr>
        <w:spacing w:after="120" w:line="300" w:lineRule="atLeast"/>
        <w:ind w:left="726"/>
        <w:jc w:val="both"/>
        <w:rPr>
          <w:sz w:val="24"/>
          <w:szCs w:val="24"/>
        </w:rPr>
      </w:pPr>
      <w:r w:rsidRPr="001079D5">
        <w:rPr>
          <w:sz w:val="24"/>
          <w:szCs w:val="24"/>
        </w:rPr>
        <w:t>Jakość powietrza w województwie dolnośląskim w 2021 r., posiedzenie Zespołu ds. jakości powietrza i efektywności energetycznej - DZR UM Wrocław</w:t>
      </w:r>
      <w:r w:rsidR="002258EB">
        <w:rPr>
          <w:sz w:val="24"/>
          <w:szCs w:val="24"/>
          <w:lang w:val="pl-PL"/>
        </w:rPr>
        <w:t>.</w:t>
      </w:r>
    </w:p>
    <w:p w14:paraId="30C1DDDD" w14:textId="6732185B" w:rsidR="001079D5" w:rsidRPr="001079D5" w:rsidRDefault="001079D5" w:rsidP="00D74E0B">
      <w:pPr>
        <w:pStyle w:val="Akapitzlist"/>
        <w:numPr>
          <w:ilvl w:val="3"/>
          <w:numId w:val="336"/>
        </w:numPr>
        <w:spacing w:after="120" w:line="300" w:lineRule="atLeast"/>
        <w:ind w:left="726"/>
        <w:jc w:val="both"/>
        <w:rPr>
          <w:sz w:val="24"/>
          <w:szCs w:val="24"/>
        </w:rPr>
      </w:pPr>
      <w:r w:rsidRPr="001079D5">
        <w:rPr>
          <w:sz w:val="24"/>
          <w:szCs w:val="24"/>
        </w:rPr>
        <w:t xml:space="preserve">Jakość powietrza na obszarze powiatu kłodzkiego na podstawie badań Państwowego Monitoringu Środowiska w 2021 r., posiedzenie </w:t>
      </w:r>
      <w:proofErr w:type="spellStart"/>
      <w:r w:rsidRPr="001079D5">
        <w:rPr>
          <w:sz w:val="24"/>
          <w:szCs w:val="24"/>
        </w:rPr>
        <w:t>KRPTiOŚ</w:t>
      </w:r>
      <w:proofErr w:type="spellEnd"/>
      <w:r w:rsidRPr="001079D5">
        <w:rPr>
          <w:sz w:val="24"/>
          <w:szCs w:val="24"/>
        </w:rPr>
        <w:t xml:space="preserve"> Rady Powiatu Kłodzkiego</w:t>
      </w:r>
      <w:r w:rsidR="002258EB">
        <w:rPr>
          <w:sz w:val="24"/>
          <w:szCs w:val="24"/>
          <w:lang w:val="pl-PL"/>
        </w:rPr>
        <w:t>.</w:t>
      </w:r>
    </w:p>
    <w:p w14:paraId="18693789" w14:textId="4FF7C28C" w:rsidR="001079D5" w:rsidRPr="001079D5" w:rsidRDefault="001079D5" w:rsidP="00D74E0B">
      <w:pPr>
        <w:pStyle w:val="Akapitzlist"/>
        <w:numPr>
          <w:ilvl w:val="3"/>
          <w:numId w:val="336"/>
        </w:numPr>
        <w:spacing w:after="120" w:line="300" w:lineRule="atLeast"/>
        <w:ind w:left="726"/>
        <w:jc w:val="both"/>
        <w:rPr>
          <w:sz w:val="24"/>
          <w:szCs w:val="24"/>
        </w:rPr>
      </w:pPr>
      <w:r w:rsidRPr="001079D5">
        <w:rPr>
          <w:sz w:val="24"/>
          <w:szCs w:val="24"/>
        </w:rPr>
        <w:t>Jakość powietrza w gminach uzdrowiskowych Dolnego Śląska, posiedzenie Wojewódzkiej Rady Dialogu Społecznego Województwa Dolnośląskiego</w:t>
      </w:r>
      <w:bookmarkStart w:id="462" w:name="_Hlk127359708"/>
      <w:r w:rsidR="002258EB">
        <w:rPr>
          <w:sz w:val="24"/>
          <w:szCs w:val="24"/>
          <w:lang w:val="pl-PL"/>
        </w:rPr>
        <w:t>.</w:t>
      </w:r>
    </w:p>
    <w:p w14:paraId="17844ADA" w14:textId="77777777" w:rsidR="001079D5" w:rsidRPr="001079D5" w:rsidRDefault="001079D5" w:rsidP="00D74E0B">
      <w:pPr>
        <w:pStyle w:val="Akapitzlist"/>
        <w:numPr>
          <w:ilvl w:val="3"/>
          <w:numId w:val="336"/>
        </w:numPr>
        <w:spacing w:after="240" w:line="300" w:lineRule="atLeast"/>
        <w:ind w:left="726"/>
        <w:jc w:val="both"/>
        <w:rPr>
          <w:sz w:val="24"/>
          <w:szCs w:val="24"/>
        </w:rPr>
      </w:pPr>
      <w:r w:rsidRPr="001079D5">
        <w:rPr>
          <w:sz w:val="24"/>
          <w:szCs w:val="24"/>
        </w:rPr>
        <w:t>Jakość powietrza w Polsce, DZIEŃ KLIMATU na Wydziale Inżynierii Środowiska i Inżynierii Mechanicznej Uniwersytetu Przyrodniczego w Poznaniu</w:t>
      </w:r>
      <w:bookmarkEnd w:id="462"/>
      <w:r w:rsidRPr="001079D5">
        <w:rPr>
          <w:sz w:val="24"/>
          <w:szCs w:val="24"/>
        </w:rPr>
        <w:t>.</w:t>
      </w:r>
    </w:p>
    <w:p w14:paraId="49385CFE" w14:textId="6EEF6360" w:rsidR="001079D5" w:rsidRPr="001079D5" w:rsidRDefault="001079D5" w:rsidP="00D74E0B">
      <w:pPr>
        <w:pStyle w:val="Akapitzlist"/>
        <w:numPr>
          <w:ilvl w:val="3"/>
          <w:numId w:val="336"/>
        </w:numPr>
        <w:spacing w:after="240" w:line="300" w:lineRule="atLeast"/>
        <w:ind w:left="726"/>
        <w:jc w:val="both"/>
        <w:rPr>
          <w:sz w:val="24"/>
          <w:szCs w:val="24"/>
        </w:rPr>
      </w:pPr>
      <w:r w:rsidRPr="001079D5">
        <w:rPr>
          <w:color w:val="000000"/>
          <w:sz w:val="24"/>
          <w:szCs w:val="24"/>
        </w:rPr>
        <w:t>„Między Odrą a Wisłą, czyli co grozi naszym rzekom?”, referat, Konferencja 6 Śląski Festiwal Nauki, 3-5 grudnia 2022 r.</w:t>
      </w:r>
    </w:p>
    <w:p w14:paraId="12546746" w14:textId="70C45701" w:rsidR="001079D5" w:rsidRPr="001079D5" w:rsidRDefault="001079D5" w:rsidP="00D74E0B">
      <w:pPr>
        <w:pStyle w:val="Akapitzlist"/>
        <w:numPr>
          <w:ilvl w:val="3"/>
          <w:numId w:val="336"/>
        </w:numPr>
        <w:spacing w:after="240" w:line="300" w:lineRule="atLeast"/>
        <w:ind w:left="726"/>
        <w:jc w:val="both"/>
        <w:rPr>
          <w:sz w:val="24"/>
          <w:szCs w:val="24"/>
        </w:rPr>
      </w:pPr>
      <w:r w:rsidRPr="001079D5">
        <w:rPr>
          <w:color w:val="000000"/>
          <w:sz w:val="24"/>
          <w:szCs w:val="24"/>
        </w:rPr>
        <w:t xml:space="preserve">„System Informatyczny </w:t>
      </w:r>
      <w:proofErr w:type="spellStart"/>
      <w:r w:rsidRPr="001079D5">
        <w:rPr>
          <w:color w:val="000000"/>
          <w:sz w:val="24"/>
          <w:szCs w:val="24"/>
        </w:rPr>
        <w:t>JWoda</w:t>
      </w:r>
      <w:proofErr w:type="spellEnd"/>
      <w:r w:rsidRPr="001079D5">
        <w:rPr>
          <w:color w:val="000000"/>
          <w:sz w:val="24"/>
          <w:szCs w:val="24"/>
        </w:rPr>
        <w:t xml:space="preserve"> GIOŚ jako źródło informacji o różnorodności biologicznej wód śródlądowych”, referat, Konferencja XXV Zjazd Hydrobiologów Polskich, 7-9 września 2022 r.</w:t>
      </w:r>
    </w:p>
    <w:p w14:paraId="4B0AAA97" w14:textId="78254CE7" w:rsidR="001079D5" w:rsidRPr="00CF0825" w:rsidRDefault="001079D5" w:rsidP="00D74E0B">
      <w:pPr>
        <w:pStyle w:val="Akapitzlist"/>
        <w:numPr>
          <w:ilvl w:val="3"/>
          <w:numId w:val="336"/>
        </w:numPr>
        <w:spacing w:after="240" w:line="300" w:lineRule="atLeast"/>
        <w:ind w:left="726"/>
        <w:jc w:val="both"/>
        <w:rPr>
          <w:sz w:val="24"/>
          <w:szCs w:val="24"/>
        </w:rPr>
      </w:pPr>
      <w:r w:rsidRPr="001079D5">
        <w:rPr>
          <w:color w:val="000000"/>
          <w:sz w:val="24"/>
          <w:szCs w:val="24"/>
        </w:rPr>
        <w:lastRenderedPageBreak/>
        <w:t>„Monitoring środowiska morskiego a oceny oddziaływania na środowisko w kontekście energetyki wiatrowej”, Konferencja Studenci i biznes, 18 listopada 2022 r.</w:t>
      </w:r>
    </w:p>
    <w:p w14:paraId="4A0422F8" w14:textId="54E394D1" w:rsidR="00CF0825" w:rsidRPr="00D74E0B" w:rsidRDefault="00CF0825" w:rsidP="00D74E0B">
      <w:pPr>
        <w:pStyle w:val="Akapitzlist"/>
        <w:numPr>
          <w:ilvl w:val="3"/>
          <w:numId w:val="336"/>
        </w:numPr>
        <w:spacing w:after="240" w:line="300" w:lineRule="atLeast"/>
        <w:ind w:left="726"/>
        <w:jc w:val="both"/>
        <w:rPr>
          <w:color w:val="000000" w:themeColor="text1"/>
          <w:sz w:val="24"/>
          <w:szCs w:val="24"/>
        </w:rPr>
      </w:pPr>
      <w:r w:rsidRPr="00CF0825">
        <w:rPr>
          <w:color w:val="000000" w:themeColor="text1"/>
          <w:sz w:val="24"/>
          <w:szCs w:val="24"/>
        </w:rPr>
        <w:t>Monitoring Środowiska, prezentacja dla Przedszkoli, zaprezentowana dwukrotnie</w:t>
      </w:r>
      <w:r>
        <w:rPr>
          <w:color w:val="000000" w:themeColor="text1"/>
          <w:sz w:val="24"/>
          <w:szCs w:val="24"/>
          <w:lang w:val="pl-PL"/>
        </w:rPr>
        <w:t>.</w:t>
      </w:r>
    </w:p>
    <w:p w14:paraId="733F4B9A" w14:textId="1A61D7A4" w:rsidR="001079D5" w:rsidRDefault="001079D5" w:rsidP="001079D5">
      <w:pPr>
        <w:spacing w:after="240" w:line="276" w:lineRule="auto"/>
        <w:ind w:left="360"/>
        <w:jc w:val="center"/>
        <w:rPr>
          <w:rFonts w:ascii="Times New Roman" w:hAnsi="Times New Roman" w:cs="Times New Roman"/>
          <w:sz w:val="24"/>
          <w:szCs w:val="24"/>
        </w:rPr>
      </w:pPr>
      <w:r w:rsidRPr="001079D5">
        <w:rPr>
          <w:rFonts w:ascii="Times New Roman" w:hAnsi="Times New Roman" w:cs="Times New Roman"/>
          <w:noProof/>
          <w:sz w:val="24"/>
          <w:szCs w:val="24"/>
          <w:lang w:eastAsia="pl-PL"/>
        </w:rPr>
        <w:drawing>
          <wp:inline distT="0" distB="0" distL="0" distR="0" wp14:anchorId="00605FCF" wp14:editId="7AF3D15A">
            <wp:extent cx="2977142" cy="1924050"/>
            <wp:effectExtent l="0" t="0" r="0" b="0"/>
            <wp:docPr id="136" name="Obraz 1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Obraz 136">
                      <a:extLst>
                        <a:ext uri="{C183D7F6-B498-43B3-948B-1728B52AA6E4}">
                          <adec:decorative xmlns:adec="http://schemas.microsoft.com/office/drawing/2017/decorative" val="1"/>
                        </a:ext>
                      </a:extLst>
                    </pic:cNvPr>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3038838" cy="1963923"/>
                    </a:xfrm>
                    <a:prstGeom prst="rect">
                      <a:avLst/>
                    </a:prstGeom>
                  </pic:spPr>
                </pic:pic>
              </a:graphicData>
            </a:graphic>
          </wp:inline>
        </w:drawing>
      </w:r>
    </w:p>
    <w:p w14:paraId="369A78C2" w14:textId="63BBF36F" w:rsidR="0024039B" w:rsidRDefault="0024039B" w:rsidP="00D74E0B">
      <w:pPr>
        <w:spacing w:after="120" w:line="276" w:lineRule="auto"/>
        <w:ind w:left="357"/>
        <w:jc w:val="center"/>
        <w:rPr>
          <w:rFonts w:ascii="Times New Roman" w:hAnsi="Times New Roman" w:cs="Times New Roman"/>
          <w:b/>
          <w:color w:val="000000" w:themeColor="text1"/>
        </w:rPr>
      </w:pPr>
      <w:r w:rsidRPr="0024039B">
        <w:rPr>
          <w:rFonts w:ascii="Times New Roman" w:hAnsi="Times New Roman" w:cs="Times New Roman"/>
          <w:b/>
          <w:color w:val="000000" w:themeColor="text1"/>
        </w:rPr>
        <w:t>Ryc. 34</w:t>
      </w:r>
    </w:p>
    <w:p w14:paraId="3C76C8EF" w14:textId="77777777" w:rsidR="00D74E0B" w:rsidRPr="0024039B" w:rsidRDefault="00D74E0B" w:rsidP="00D74E0B">
      <w:pPr>
        <w:spacing w:after="120" w:line="276" w:lineRule="auto"/>
        <w:ind w:left="357"/>
        <w:jc w:val="center"/>
        <w:rPr>
          <w:rFonts w:ascii="Times New Roman" w:hAnsi="Times New Roman" w:cs="Times New Roman"/>
          <w:b/>
          <w:color w:val="000000" w:themeColor="text1"/>
        </w:rPr>
      </w:pPr>
    </w:p>
    <w:p w14:paraId="5E445099" w14:textId="0AA7EA2F" w:rsidR="001079D5" w:rsidRPr="001079D5" w:rsidRDefault="001079D5" w:rsidP="00D74E0B">
      <w:pPr>
        <w:pStyle w:val="Akapitzlist"/>
        <w:numPr>
          <w:ilvl w:val="3"/>
          <w:numId w:val="336"/>
        </w:numPr>
        <w:spacing w:after="240" w:line="300" w:lineRule="atLeast"/>
        <w:ind w:left="720" w:hanging="357"/>
        <w:jc w:val="both"/>
        <w:rPr>
          <w:sz w:val="24"/>
          <w:szCs w:val="24"/>
        </w:rPr>
      </w:pPr>
      <w:r w:rsidRPr="001079D5">
        <w:rPr>
          <w:sz w:val="24"/>
          <w:szCs w:val="24"/>
        </w:rPr>
        <w:t>Stan czystości jeziora Rudnickiego Wielkiego, „Forum na rzecz jeziora Rudnickiego”</w:t>
      </w:r>
      <w:r w:rsidR="00CF0825">
        <w:rPr>
          <w:sz w:val="24"/>
          <w:szCs w:val="24"/>
          <w:lang w:val="pl-PL"/>
        </w:rPr>
        <w:t>.</w:t>
      </w:r>
    </w:p>
    <w:p w14:paraId="7DD4EEF2" w14:textId="4E0BD103" w:rsidR="001079D5" w:rsidRPr="001079D5" w:rsidRDefault="001079D5" w:rsidP="00D74E0B">
      <w:pPr>
        <w:pStyle w:val="Akapitzlist"/>
        <w:numPr>
          <w:ilvl w:val="3"/>
          <w:numId w:val="336"/>
        </w:numPr>
        <w:spacing w:after="240" w:line="300" w:lineRule="atLeast"/>
        <w:ind w:left="720" w:hanging="357"/>
        <w:jc w:val="both"/>
        <w:rPr>
          <w:sz w:val="24"/>
          <w:szCs w:val="24"/>
        </w:rPr>
      </w:pPr>
      <w:r w:rsidRPr="001079D5">
        <w:rPr>
          <w:sz w:val="24"/>
          <w:szCs w:val="24"/>
        </w:rPr>
        <w:t>Stan środowiska na terenie województwa śląskiego, w tym na terenie miasta Sosnowiec w 2021 roku”, Sesja Rady Miejskiej w Sosnowcu</w:t>
      </w:r>
      <w:r w:rsidR="00CF0825">
        <w:rPr>
          <w:sz w:val="24"/>
          <w:szCs w:val="24"/>
          <w:lang w:val="pl-PL"/>
        </w:rPr>
        <w:t>.</w:t>
      </w:r>
    </w:p>
    <w:p w14:paraId="6CDFB34C" w14:textId="56FB3B7A" w:rsidR="001079D5" w:rsidRPr="001079D5" w:rsidRDefault="001079D5" w:rsidP="00D74E0B">
      <w:pPr>
        <w:pStyle w:val="Akapitzlist"/>
        <w:numPr>
          <w:ilvl w:val="3"/>
          <w:numId w:val="336"/>
        </w:numPr>
        <w:spacing w:after="240" w:line="300" w:lineRule="atLeast"/>
        <w:ind w:left="720" w:hanging="357"/>
        <w:jc w:val="both"/>
        <w:rPr>
          <w:sz w:val="24"/>
          <w:szCs w:val="24"/>
        </w:rPr>
      </w:pPr>
      <w:r w:rsidRPr="001079D5">
        <w:rPr>
          <w:sz w:val="24"/>
          <w:szCs w:val="24"/>
        </w:rPr>
        <w:t>„Stan środowiska na terenie województwa śląskiego, w tym na terenie Powiatu Kłobuckiego, w 2021 roku”, Sesja Rady Powiatu Kłobuckiego</w:t>
      </w:r>
      <w:r w:rsidR="00CF0825">
        <w:rPr>
          <w:sz w:val="24"/>
          <w:szCs w:val="24"/>
          <w:lang w:val="pl-PL"/>
        </w:rPr>
        <w:t>.</w:t>
      </w:r>
    </w:p>
    <w:p w14:paraId="5CEE4E56" w14:textId="62973D07" w:rsidR="001079D5" w:rsidRPr="001079D5" w:rsidRDefault="001079D5" w:rsidP="00D74E0B">
      <w:pPr>
        <w:pStyle w:val="Akapitzlist"/>
        <w:numPr>
          <w:ilvl w:val="3"/>
          <w:numId w:val="336"/>
        </w:numPr>
        <w:spacing w:after="240" w:line="300" w:lineRule="atLeast"/>
        <w:ind w:left="720" w:hanging="357"/>
        <w:jc w:val="both"/>
        <w:rPr>
          <w:sz w:val="24"/>
          <w:szCs w:val="24"/>
        </w:rPr>
      </w:pPr>
      <w:r w:rsidRPr="001079D5">
        <w:rPr>
          <w:sz w:val="24"/>
          <w:szCs w:val="24"/>
        </w:rPr>
        <w:t>Stan środowiska na terenie województwa śląskiego i powiatu wodzisławskiego, na podstawie danych państwowego monitoringu środowiska”, XLV sesja Rady Powiatu Wodzisławskiego</w:t>
      </w:r>
      <w:r w:rsidR="00CF0825">
        <w:rPr>
          <w:sz w:val="24"/>
          <w:szCs w:val="24"/>
          <w:lang w:val="pl-PL"/>
        </w:rPr>
        <w:t>.</w:t>
      </w:r>
    </w:p>
    <w:p w14:paraId="3D403074" w14:textId="12F175D4" w:rsidR="001079D5" w:rsidRPr="001079D5" w:rsidRDefault="001079D5" w:rsidP="00D74E0B">
      <w:pPr>
        <w:pStyle w:val="Akapitzlist"/>
        <w:numPr>
          <w:ilvl w:val="3"/>
          <w:numId w:val="336"/>
        </w:numPr>
        <w:spacing w:after="240" w:line="300" w:lineRule="atLeast"/>
        <w:ind w:left="720" w:hanging="357"/>
        <w:jc w:val="both"/>
        <w:rPr>
          <w:sz w:val="24"/>
          <w:szCs w:val="24"/>
        </w:rPr>
      </w:pPr>
      <w:r w:rsidRPr="001079D5">
        <w:rPr>
          <w:sz w:val="24"/>
          <w:szCs w:val="24"/>
        </w:rPr>
        <w:t>Stan środowiska na terenie województwa śląskiego, w tym na terenie Powiatu Zawierciańskiego w 2021 roku”, Posiedzenie Komisji Rolnictwa, Leśnictwa i Ochrony Środowiska Rady Powiatu</w:t>
      </w:r>
      <w:r w:rsidR="00CF0825">
        <w:rPr>
          <w:sz w:val="24"/>
          <w:szCs w:val="24"/>
          <w:lang w:val="pl-PL"/>
        </w:rPr>
        <w:t>.</w:t>
      </w:r>
    </w:p>
    <w:p w14:paraId="628FAB9A" w14:textId="03A55616" w:rsidR="001079D5" w:rsidRPr="001079D5" w:rsidRDefault="001079D5" w:rsidP="00D74E0B">
      <w:pPr>
        <w:pStyle w:val="Akapitzlist"/>
        <w:numPr>
          <w:ilvl w:val="3"/>
          <w:numId w:val="336"/>
        </w:numPr>
        <w:spacing w:after="240" w:line="300" w:lineRule="atLeast"/>
        <w:ind w:left="720" w:hanging="357"/>
        <w:jc w:val="both"/>
        <w:rPr>
          <w:sz w:val="24"/>
          <w:szCs w:val="24"/>
        </w:rPr>
      </w:pPr>
      <w:r w:rsidRPr="001079D5">
        <w:rPr>
          <w:sz w:val="24"/>
          <w:szCs w:val="24"/>
        </w:rPr>
        <w:t xml:space="preserve"> „Informacja o stanie środowiska na terenie powiatu skarżyskiego w roku 2021”, posiedzenie Komisji Budżetu, Rozwoju Gospodarczego, Infrastruktury i Porządku Publicznego</w:t>
      </w:r>
      <w:r w:rsidR="00CF0825">
        <w:rPr>
          <w:sz w:val="24"/>
          <w:szCs w:val="24"/>
          <w:lang w:val="pl-PL"/>
        </w:rPr>
        <w:t>.</w:t>
      </w:r>
    </w:p>
    <w:p w14:paraId="3CB72E81" w14:textId="659007DA" w:rsidR="001079D5" w:rsidRPr="001079D5" w:rsidRDefault="001079D5" w:rsidP="00D74E0B">
      <w:pPr>
        <w:pStyle w:val="Akapitzlist"/>
        <w:numPr>
          <w:ilvl w:val="3"/>
          <w:numId w:val="336"/>
        </w:numPr>
        <w:spacing w:after="240" w:line="300" w:lineRule="atLeast"/>
        <w:ind w:left="720" w:hanging="357"/>
        <w:jc w:val="both"/>
        <w:rPr>
          <w:sz w:val="24"/>
          <w:szCs w:val="24"/>
        </w:rPr>
      </w:pPr>
      <w:r w:rsidRPr="001079D5">
        <w:rPr>
          <w:sz w:val="24"/>
          <w:szCs w:val="24"/>
        </w:rPr>
        <w:t>„Zmiany jakości wód i zbiorników zaporowych województwa małopolskiego w latach 1996-2020”</w:t>
      </w:r>
      <w:r w:rsidR="00CF0825">
        <w:rPr>
          <w:sz w:val="24"/>
          <w:szCs w:val="24"/>
          <w:lang w:val="pl-PL"/>
        </w:rPr>
        <w:t>.</w:t>
      </w:r>
    </w:p>
    <w:p w14:paraId="5A7FD27E" w14:textId="0C0B531D" w:rsidR="001079D5" w:rsidRPr="001079D5" w:rsidRDefault="001079D5" w:rsidP="00D74E0B">
      <w:pPr>
        <w:pStyle w:val="Akapitzlist"/>
        <w:numPr>
          <w:ilvl w:val="3"/>
          <w:numId w:val="336"/>
        </w:numPr>
        <w:spacing w:after="240" w:line="300" w:lineRule="atLeast"/>
        <w:ind w:left="720" w:hanging="357"/>
        <w:jc w:val="both"/>
        <w:rPr>
          <w:sz w:val="24"/>
          <w:szCs w:val="24"/>
        </w:rPr>
      </w:pPr>
      <w:r w:rsidRPr="001079D5">
        <w:rPr>
          <w:sz w:val="24"/>
          <w:szCs w:val="24"/>
        </w:rPr>
        <w:t>Czystość wód Ziemi, zajęcia z okazji Światowego Dnia w Szkole Podstawowej Nr 10 im. Bolesława Zwolińskiego w Sieradzu – prezentacja przedstawiona dwukrotnie</w:t>
      </w:r>
      <w:r w:rsidR="00CF0825">
        <w:rPr>
          <w:sz w:val="24"/>
          <w:szCs w:val="24"/>
          <w:lang w:val="pl-PL"/>
        </w:rPr>
        <w:t>.</w:t>
      </w:r>
    </w:p>
    <w:p w14:paraId="74BB1E7C" w14:textId="24DACF95" w:rsidR="001079D5" w:rsidRDefault="001079D5" w:rsidP="001079D5">
      <w:pPr>
        <w:spacing w:after="240" w:line="276" w:lineRule="auto"/>
        <w:ind w:left="360"/>
        <w:jc w:val="center"/>
        <w:rPr>
          <w:rFonts w:ascii="Times New Roman" w:hAnsi="Times New Roman" w:cs="Times New Roman"/>
          <w:sz w:val="24"/>
          <w:szCs w:val="24"/>
        </w:rPr>
      </w:pPr>
      <w:r w:rsidRPr="001079D5">
        <w:rPr>
          <w:rFonts w:ascii="Times New Roman" w:hAnsi="Times New Roman" w:cs="Times New Roman"/>
          <w:noProof/>
          <w:sz w:val="24"/>
          <w:szCs w:val="24"/>
          <w:lang w:eastAsia="pl-PL"/>
        </w:rPr>
        <w:drawing>
          <wp:inline distT="0" distB="0" distL="0" distR="0" wp14:anchorId="48182530" wp14:editId="7256CD14">
            <wp:extent cx="3028950" cy="1699777"/>
            <wp:effectExtent l="0" t="0" r="0" b="0"/>
            <wp:docPr id="140" name="Obraz 1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Obraz 140">
                      <a:extLst>
                        <a:ext uri="{C183D7F6-B498-43B3-948B-1728B52AA6E4}">
                          <adec:decorative xmlns:adec="http://schemas.microsoft.com/office/drawing/2017/decorative" val="1"/>
                        </a:ext>
                      </a:extLst>
                    </pic:cNvPr>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3132883" cy="1758102"/>
                    </a:xfrm>
                    <a:prstGeom prst="rect">
                      <a:avLst/>
                    </a:prstGeom>
                  </pic:spPr>
                </pic:pic>
              </a:graphicData>
            </a:graphic>
          </wp:inline>
        </w:drawing>
      </w:r>
    </w:p>
    <w:p w14:paraId="795A3E20" w14:textId="5733D37D" w:rsidR="0024039B" w:rsidRPr="0024039B" w:rsidRDefault="0024039B" w:rsidP="001079D5">
      <w:pPr>
        <w:spacing w:after="240" w:line="276" w:lineRule="auto"/>
        <w:ind w:left="360"/>
        <w:jc w:val="center"/>
        <w:rPr>
          <w:rFonts w:ascii="Times New Roman" w:hAnsi="Times New Roman" w:cs="Times New Roman"/>
          <w:b/>
        </w:rPr>
      </w:pPr>
      <w:r w:rsidRPr="0024039B">
        <w:rPr>
          <w:rFonts w:ascii="Times New Roman" w:hAnsi="Times New Roman" w:cs="Times New Roman"/>
          <w:b/>
        </w:rPr>
        <w:lastRenderedPageBreak/>
        <w:t>Ryc. 35</w:t>
      </w:r>
    </w:p>
    <w:p w14:paraId="544531FE" w14:textId="61C8271A" w:rsidR="001079D5" w:rsidRPr="00CF0825" w:rsidRDefault="001079D5" w:rsidP="00D74E0B">
      <w:pPr>
        <w:pStyle w:val="Akapitzlist"/>
        <w:numPr>
          <w:ilvl w:val="3"/>
          <w:numId w:val="336"/>
        </w:numPr>
        <w:spacing w:after="240" w:line="300" w:lineRule="atLeast"/>
        <w:ind w:left="720" w:hanging="357"/>
        <w:jc w:val="both"/>
        <w:rPr>
          <w:sz w:val="24"/>
          <w:szCs w:val="24"/>
        </w:rPr>
      </w:pPr>
      <w:r w:rsidRPr="001079D5">
        <w:rPr>
          <w:sz w:val="24"/>
          <w:szCs w:val="24"/>
        </w:rPr>
        <w:t>Monitoring środowiska, zajęcia dla studentów Uniwersytetu Przyrodniczego w Poznaniu przeprowadzone przez RWMŚ w Poznaniu, CLB Oddział Poznań wspólnie z WIOŚ w Poznaniu</w:t>
      </w:r>
      <w:r w:rsidR="00CF0825">
        <w:rPr>
          <w:sz w:val="24"/>
          <w:szCs w:val="24"/>
          <w:lang w:val="pl-PL"/>
        </w:rPr>
        <w:t xml:space="preserve">. </w:t>
      </w:r>
    </w:p>
    <w:p w14:paraId="7D9BC2B9" w14:textId="11F43320" w:rsidR="001079D5" w:rsidRPr="001079D5" w:rsidRDefault="001079D5" w:rsidP="00D74E0B">
      <w:pPr>
        <w:pStyle w:val="Akapitzlist"/>
        <w:numPr>
          <w:ilvl w:val="3"/>
          <w:numId w:val="336"/>
        </w:numPr>
        <w:spacing w:after="240" w:line="300" w:lineRule="atLeast"/>
        <w:ind w:left="720" w:hanging="357"/>
        <w:jc w:val="both"/>
        <w:rPr>
          <w:sz w:val="24"/>
          <w:szCs w:val="24"/>
        </w:rPr>
      </w:pPr>
      <w:r w:rsidRPr="001079D5">
        <w:rPr>
          <w:sz w:val="24"/>
          <w:szCs w:val="24"/>
        </w:rPr>
        <w:t xml:space="preserve">„Badania i ocena jakości wód powierzchniowych prowadzonych w ramach Państwowego Monitoringu Środowiska”, prezentacja - </w:t>
      </w:r>
      <w:r w:rsidRPr="001079D5">
        <w:rPr>
          <w:sz w:val="24"/>
          <w:szCs w:val="24"/>
          <w:shd w:val="clear" w:color="auto" w:fill="FFFFFF"/>
        </w:rPr>
        <w:t>XIX Powiatowy konkurs ekologiczny zorganizowany w Zespole Szkół w Pustkowie</w:t>
      </w:r>
      <w:r w:rsidR="00CF0825">
        <w:rPr>
          <w:sz w:val="24"/>
          <w:szCs w:val="24"/>
          <w:shd w:val="clear" w:color="auto" w:fill="FFFFFF"/>
          <w:lang w:val="pl-PL"/>
        </w:rPr>
        <w:t>.</w:t>
      </w:r>
    </w:p>
    <w:p w14:paraId="5B8A3129" w14:textId="778F31CA" w:rsidR="001079D5" w:rsidRPr="001079D5" w:rsidRDefault="001079D5" w:rsidP="00D74E0B">
      <w:pPr>
        <w:pStyle w:val="Akapitzlist"/>
        <w:numPr>
          <w:ilvl w:val="3"/>
          <w:numId w:val="336"/>
        </w:numPr>
        <w:spacing w:after="240" w:line="300" w:lineRule="atLeast"/>
        <w:ind w:left="720" w:hanging="357"/>
        <w:jc w:val="both"/>
        <w:rPr>
          <w:sz w:val="24"/>
          <w:szCs w:val="24"/>
        </w:rPr>
      </w:pPr>
      <w:r w:rsidRPr="001079D5">
        <w:rPr>
          <w:sz w:val="24"/>
          <w:szCs w:val="24"/>
        </w:rPr>
        <w:t xml:space="preserve">„Mikołajkowe spotkanie ze środowiskiem”, prezentacja - </w:t>
      </w:r>
      <w:r w:rsidRPr="001079D5">
        <w:rPr>
          <w:sz w:val="24"/>
          <w:szCs w:val="24"/>
          <w:shd w:val="clear" w:color="auto" w:fill="FFFFFF"/>
        </w:rPr>
        <w:t>spotkanie z uczniami szkół podstawowych połączone ze zwiedzaniem Laboratorium CLB Oddział w Rzeszowie w ramach Mikołajkowych spotkań ze środowiskiem</w:t>
      </w:r>
      <w:r w:rsidR="00CF0825">
        <w:rPr>
          <w:sz w:val="24"/>
          <w:szCs w:val="24"/>
          <w:shd w:val="clear" w:color="auto" w:fill="FFFFFF"/>
          <w:lang w:val="pl-PL"/>
        </w:rPr>
        <w:t>.</w:t>
      </w:r>
    </w:p>
    <w:p w14:paraId="5F8CD8C5" w14:textId="08EAF651" w:rsidR="001079D5" w:rsidRPr="001079D5" w:rsidRDefault="001079D5" w:rsidP="00D74E0B">
      <w:pPr>
        <w:pStyle w:val="Akapitzlist"/>
        <w:numPr>
          <w:ilvl w:val="3"/>
          <w:numId w:val="336"/>
        </w:numPr>
        <w:spacing w:after="240" w:line="300" w:lineRule="atLeast"/>
        <w:ind w:left="720" w:hanging="357"/>
        <w:jc w:val="both"/>
        <w:rPr>
          <w:sz w:val="24"/>
          <w:szCs w:val="24"/>
        </w:rPr>
      </w:pPr>
      <w:r w:rsidRPr="001079D5">
        <w:rPr>
          <w:bCs/>
          <w:sz w:val="24"/>
          <w:szCs w:val="24"/>
        </w:rPr>
        <w:t>Informacja o stanie środowiska w powiecie nowosolskim na tle wyników badań monitoringowych przeprowadzonych w 2021 r. i w latach poprzednich w województwie lubuskim, sesja Powiatu Nowosolskiego</w:t>
      </w:r>
      <w:r w:rsidR="00CF0825">
        <w:rPr>
          <w:bCs/>
          <w:sz w:val="24"/>
          <w:szCs w:val="24"/>
          <w:lang w:val="pl-PL"/>
        </w:rPr>
        <w:t>.</w:t>
      </w:r>
    </w:p>
    <w:p w14:paraId="3964E677" w14:textId="23FB8023" w:rsidR="001079D5" w:rsidRPr="001079D5" w:rsidRDefault="001079D5" w:rsidP="00D74E0B">
      <w:pPr>
        <w:pStyle w:val="Akapitzlist"/>
        <w:numPr>
          <w:ilvl w:val="3"/>
          <w:numId w:val="336"/>
        </w:numPr>
        <w:spacing w:after="240" w:line="300" w:lineRule="atLeast"/>
        <w:ind w:left="720" w:hanging="357"/>
        <w:jc w:val="both"/>
        <w:rPr>
          <w:sz w:val="24"/>
          <w:szCs w:val="24"/>
        </w:rPr>
      </w:pPr>
      <w:r w:rsidRPr="001079D5">
        <w:rPr>
          <w:bCs/>
          <w:sz w:val="24"/>
          <w:szCs w:val="24"/>
        </w:rPr>
        <w:t>Struktura organizacyjna, zadania, zakres działania i kompetencje Głównego Inspektoratu Ochrony Środowiska, spotkanie ze studentami Uniwersytetu Wrocławskiego Instytutu Nauk Geologicznych</w:t>
      </w:r>
      <w:r w:rsidR="00CF0825">
        <w:rPr>
          <w:bCs/>
          <w:sz w:val="24"/>
          <w:szCs w:val="24"/>
          <w:lang w:val="pl-PL"/>
        </w:rPr>
        <w:t>.</w:t>
      </w:r>
    </w:p>
    <w:p w14:paraId="6EEA4875" w14:textId="0AD55872" w:rsidR="001079D5" w:rsidRPr="001079D5" w:rsidRDefault="001079D5" w:rsidP="00D74E0B">
      <w:pPr>
        <w:pStyle w:val="Akapitzlist"/>
        <w:numPr>
          <w:ilvl w:val="3"/>
          <w:numId w:val="336"/>
        </w:numPr>
        <w:spacing w:after="240" w:line="300" w:lineRule="atLeast"/>
        <w:ind w:left="720" w:hanging="357"/>
        <w:jc w:val="both"/>
        <w:rPr>
          <w:sz w:val="24"/>
          <w:szCs w:val="24"/>
        </w:rPr>
      </w:pPr>
      <w:r w:rsidRPr="001079D5">
        <w:rPr>
          <w:bCs/>
          <w:sz w:val="24"/>
          <w:szCs w:val="24"/>
        </w:rPr>
        <w:t>Stan środowiska na obszarze powiatu kamiennogórskiego na podstawie badań Państwowego Monitoringu Środowiska prowadzonych w 2021 roku, Sesji Rady Powiatu Kamiennogórskiego</w:t>
      </w:r>
      <w:r w:rsidR="00CF0825">
        <w:rPr>
          <w:bCs/>
          <w:sz w:val="24"/>
          <w:szCs w:val="24"/>
          <w:lang w:val="pl-PL"/>
        </w:rPr>
        <w:t>.</w:t>
      </w:r>
    </w:p>
    <w:p w14:paraId="2CEA998E" w14:textId="77777777" w:rsidR="001079D5" w:rsidRPr="001079D5" w:rsidRDefault="001079D5" w:rsidP="00D74E0B">
      <w:pPr>
        <w:pStyle w:val="Akapitzlist"/>
        <w:numPr>
          <w:ilvl w:val="3"/>
          <w:numId w:val="336"/>
        </w:numPr>
        <w:spacing w:after="240" w:line="300" w:lineRule="atLeast"/>
        <w:ind w:left="720" w:hanging="357"/>
        <w:jc w:val="both"/>
        <w:rPr>
          <w:sz w:val="24"/>
          <w:szCs w:val="24"/>
        </w:rPr>
      </w:pPr>
      <w:r w:rsidRPr="001079D5">
        <w:rPr>
          <w:sz w:val="24"/>
          <w:szCs w:val="24"/>
        </w:rPr>
        <w:t>Mikołajki w GIOŚ”, prezentacja - spotkanie z uczniami szkoły podstawowej połączone ze zwiedzaniem Laboratorium CLB Oddział we Wrocławiu w ramach Mikołajkowych spotkań ze środowiskiem - wygłoszona dwukrotnie.</w:t>
      </w:r>
    </w:p>
    <w:p w14:paraId="3F11A98A" w14:textId="0F414FEF" w:rsidR="001079D5" w:rsidRPr="001079D5" w:rsidRDefault="001079D5" w:rsidP="00D74E0B">
      <w:pPr>
        <w:pStyle w:val="Akapitzlist"/>
        <w:numPr>
          <w:ilvl w:val="3"/>
          <w:numId w:val="336"/>
        </w:numPr>
        <w:spacing w:after="240" w:line="300" w:lineRule="atLeast"/>
        <w:ind w:left="720" w:hanging="357"/>
        <w:jc w:val="both"/>
        <w:rPr>
          <w:sz w:val="24"/>
          <w:szCs w:val="24"/>
        </w:rPr>
      </w:pPr>
      <w:proofErr w:type="spellStart"/>
      <w:r w:rsidRPr="001079D5">
        <w:rPr>
          <w:sz w:val="24"/>
          <w:szCs w:val="24"/>
          <w:lang w:val="en-US"/>
        </w:rPr>
        <w:t>Narada</w:t>
      </w:r>
      <w:proofErr w:type="spellEnd"/>
      <w:r w:rsidRPr="001079D5">
        <w:rPr>
          <w:sz w:val="24"/>
          <w:szCs w:val="24"/>
          <w:lang w:val="en-US"/>
        </w:rPr>
        <w:t xml:space="preserve"> </w:t>
      </w:r>
      <w:proofErr w:type="spellStart"/>
      <w:r w:rsidRPr="001079D5">
        <w:rPr>
          <w:sz w:val="24"/>
          <w:szCs w:val="24"/>
          <w:lang w:val="en-US"/>
        </w:rPr>
        <w:t>roczna</w:t>
      </w:r>
      <w:proofErr w:type="spellEnd"/>
      <w:r w:rsidRPr="001079D5">
        <w:rPr>
          <w:sz w:val="24"/>
          <w:szCs w:val="24"/>
          <w:lang w:val="en-US"/>
        </w:rPr>
        <w:t xml:space="preserve"> HELCOM IC EG MAMA 1-2022 (</w:t>
      </w:r>
      <w:proofErr w:type="spellStart"/>
      <w:r w:rsidRPr="001079D5">
        <w:rPr>
          <w:sz w:val="24"/>
          <w:szCs w:val="24"/>
          <w:lang w:val="en-US"/>
        </w:rPr>
        <w:t>grupa</w:t>
      </w:r>
      <w:proofErr w:type="spellEnd"/>
      <w:r w:rsidRPr="001079D5">
        <w:rPr>
          <w:sz w:val="24"/>
          <w:szCs w:val="24"/>
          <w:lang w:val="en-US"/>
        </w:rPr>
        <w:t xml:space="preserve"> </w:t>
      </w:r>
      <w:proofErr w:type="spellStart"/>
      <w:r w:rsidRPr="001079D5">
        <w:rPr>
          <w:sz w:val="24"/>
          <w:szCs w:val="24"/>
          <w:lang w:val="en-US"/>
        </w:rPr>
        <w:t>ekspercka</w:t>
      </w:r>
      <w:proofErr w:type="spellEnd"/>
      <w:r w:rsidRPr="001079D5">
        <w:rPr>
          <w:sz w:val="24"/>
          <w:szCs w:val="24"/>
          <w:lang w:val="en-US"/>
        </w:rPr>
        <w:t xml:space="preserve"> HELCOM ds. </w:t>
      </w:r>
      <w:proofErr w:type="spellStart"/>
      <w:r w:rsidRPr="001079D5">
        <w:rPr>
          <w:sz w:val="24"/>
          <w:szCs w:val="24"/>
          <w:lang w:val="en-US"/>
        </w:rPr>
        <w:t>ssaków</w:t>
      </w:r>
      <w:proofErr w:type="spellEnd"/>
      <w:r w:rsidRPr="001079D5">
        <w:rPr>
          <w:sz w:val="24"/>
          <w:szCs w:val="24"/>
          <w:lang w:val="en-US"/>
        </w:rPr>
        <w:t xml:space="preserve"> </w:t>
      </w:r>
      <w:proofErr w:type="spellStart"/>
      <w:r w:rsidRPr="001079D5">
        <w:rPr>
          <w:sz w:val="24"/>
          <w:szCs w:val="24"/>
          <w:lang w:val="en-US"/>
        </w:rPr>
        <w:t>morskich</w:t>
      </w:r>
      <w:proofErr w:type="spellEnd"/>
      <w:r w:rsidRPr="001079D5">
        <w:rPr>
          <w:sz w:val="24"/>
          <w:szCs w:val="24"/>
          <w:lang w:val="en-US"/>
        </w:rPr>
        <w:t xml:space="preserve">), </w:t>
      </w:r>
      <w:proofErr w:type="spellStart"/>
      <w:r w:rsidRPr="001079D5">
        <w:rPr>
          <w:sz w:val="24"/>
          <w:szCs w:val="24"/>
          <w:lang w:val="en-US"/>
        </w:rPr>
        <w:t>prezentacja</w:t>
      </w:r>
      <w:proofErr w:type="spellEnd"/>
      <w:r w:rsidRPr="001079D5">
        <w:rPr>
          <w:sz w:val="24"/>
          <w:szCs w:val="24"/>
          <w:lang w:val="en-US"/>
        </w:rPr>
        <w:t xml:space="preserve"> „Spatial and temporal distribution of </w:t>
      </w:r>
      <w:proofErr w:type="spellStart"/>
      <w:r w:rsidRPr="001079D5">
        <w:rPr>
          <w:sz w:val="24"/>
          <w:szCs w:val="24"/>
          <w:lang w:val="en-US"/>
        </w:rPr>
        <w:t>harbour</w:t>
      </w:r>
      <w:proofErr w:type="spellEnd"/>
      <w:r w:rsidRPr="001079D5">
        <w:rPr>
          <w:sz w:val="24"/>
          <w:szCs w:val="24"/>
          <w:lang w:val="en-US"/>
        </w:rPr>
        <w:t xml:space="preserve"> porpoises (</w:t>
      </w:r>
      <w:proofErr w:type="spellStart"/>
      <w:r w:rsidRPr="001079D5">
        <w:rPr>
          <w:sz w:val="24"/>
          <w:szCs w:val="24"/>
          <w:lang w:val="en-US"/>
        </w:rPr>
        <w:t>Phocoena</w:t>
      </w:r>
      <w:proofErr w:type="spellEnd"/>
      <w:r w:rsidRPr="001079D5">
        <w:rPr>
          <w:sz w:val="24"/>
          <w:szCs w:val="24"/>
          <w:lang w:val="en-US"/>
        </w:rPr>
        <w:t xml:space="preserve"> </w:t>
      </w:r>
      <w:proofErr w:type="spellStart"/>
      <w:r w:rsidRPr="001079D5">
        <w:rPr>
          <w:sz w:val="24"/>
          <w:szCs w:val="24"/>
          <w:lang w:val="en-US"/>
        </w:rPr>
        <w:t>phocoena</w:t>
      </w:r>
      <w:proofErr w:type="spellEnd"/>
      <w:r w:rsidRPr="001079D5">
        <w:rPr>
          <w:sz w:val="24"/>
          <w:szCs w:val="24"/>
          <w:lang w:val="en-US"/>
        </w:rPr>
        <w:t xml:space="preserve">) in the Polish Baltic Sea: Indications of an increase in abundance – State Monitoring Program, IV 2021-III 2022 (preliminary data)”, Odense, Dania, 13- 15 </w:t>
      </w:r>
      <w:proofErr w:type="spellStart"/>
      <w:r w:rsidRPr="001079D5">
        <w:rPr>
          <w:sz w:val="24"/>
          <w:szCs w:val="24"/>
          <w:lang w:val="en-US"/>
        </w:rPr>
        <w:t>września</w:t>
      </w:r>
      <w:proofErr w:type="spellEnd"/>
      <w:r w:rsidRPr="001079D5">
        <w:rPr>
          <w:sz w:val="24"/>
          <w:szCs w:val="24"/>
          <w:lang w:val="en-US"/>
        </w:rPr>
        <w:t xml:space="preserve"> 2022. </w:t>
      </w:r>
      <w:r w:rsidRPr="001079D5">
        <w:rPr>
          <w:sz w:val="24"/>
          <w:szCs w:val="24"/>
        </w:rPr>
        <w:t>Prezentacja została przedstawiona przez eksperta Wykonawcy, mianowanego przez GIOŚ do udziału w pracach grupy eksperckiej EG MAMA</w:t>
      </w:r>
      <w:r w:rsidR="00CF0825">
        <w:rPr>
          <w:sz w:val="24"/>
          <w:szCs w:val="24"/>
          <w:lang w:val="pl-PL"/>
        </w:rPr>
        <w:t>.</w:t>
      </w:r>
    </w:p>
    <w:p w14:paraId="23A1DB84" w14:textId="77777777" w:rsidR="001079D5" w:rsidRPr="001079D5" w:rsidRDefault="001079D5" w:rsidP="00D74E0B">
      <w:pPr>
        <w:pStyle w:val="Akapitzlist"/>
        <w:numPr>
          <w:ilvl w:val="3"/>
          <w:numId w:val="336"/>
        </w:numPr>
        <w:spacing w:after="240" w:line="300" w:lineRule="atLeast"/>
        <w:ind w:left="720" w:hanging="357"/>
        <w:jc w:val="both"/>
        <w:rPr>
          <w:sz w:val="24"/>
          <w:szCs w:val="24"/>
        </w:rPr>
      </w:pPr>
      <w:proofErr w:type="spellStart"/>
      <w:r w:rsidRPr="001079D5">
        <w:rPr>
          <w:sz w:val="24"/>
          <w:szCs w:val="24"/>
          <w:lang w:val="en-US"/>
        </w:rPr>
        <w:t>Narada</w:t>
      </w:r>
      <w:proofErr w:type="spellEnd"/>
      <w:r w:rsidRPr="001079D5">
        <w:rPr>
          <w:sz w:val="24"/>
          <w:szCs w:val="24"/>
          <w:lang w:val="en-US"/>
        </w:rPr>
        <w:t xml:space="preserve"> </w:t>
      </w:r>
      <w:proofErr w:type="spellStart"/>
      <w:r w:rsidRPr="001079D5">
        <w:rPr>
          <w:sz w:val="24"/>
          <w:szCs w:val="24"/>
          <w:lang w:val="en-US"/>
        </w:rPr>
        <w:t>roczna</w:t>
      </w:r>
      <w:proofErr w:type="spellEnd"/>
      <w:r w:rsidRPr="001079D5">
        <w:rPr>
          <w:sz w:val="24"/>
          <w:szCs w:val="24"/>
          <w:lang w:val="en-US"/>
        </w:rPr>
        <w:t xml:space="preserve"> HELCOM IC EG MAMA 1-2022 (</w:t>
      </w:r>
      <w:proofErr w:type="spellStart"/>
      <w:r w:rsidRPr="001079D5">
        <w:rPr>
          <w:sz w:val="24"/>
          <w:szCs w:val="24"/>
          <w:lang w:val="en-US"/>
        </w:rPr>
        <w:t>grupa</w:t>
      </w:r>
      <w:proofErr w:type="spellEnd"/>
      <w:r w:rsidRPr="001079D5">
        <w:rPr>
          <w:sz w:val="24"/>
          <w:szCs w:val="24"/>
          <w:lang w:val="en-US"/>
        </w:rPr>
        <w:t xml:space="preserve"> </w:t>
      </w:r>
      <w:proofErr w:type="spellStart"/>
      <w:r w:rsidRPr="001079D5">
        <w:rPr>
          <w:sz w:val="24"/>
          <w:szCs w:val="24"/>
          <w:lang w:val="en-US"/>
        </w:rPr>
        <w:t>ekspercka</w:t>
      </w:r>
      <w:proofErr w:type="spellEnd"/>
      <w:r w:rsidRPr="001079D5">
        <w:rPr>
          <w:sz w:val="24"/>
          <w:szCs w:val="24"/>
          <w:lang w:val="en-US"/>
        </w:rPr>
        <w:t xml:space="preserve"> HELCOM ds. </w:t>
      </w:r>
      <w:proofErr w:type="spellStart"/>
      <w:r w:rsidRPr="001079D5">
        <w:rPr>
          <w:sz w:val="24"/>
          <w:szCs w:val="24"/>
          <w:lang w:val="en-US"/>
        </w:rPr>
        <w:t>ssaków</w:t>
      </w:r>
      <w:proofErr w:type="spellEnd"/>
      <w:r w:rsidRPr="001079D5">
        <w:rPr>
          <w:sz w:val="24"/>
          <w:szCs w:val="24"/>
          <w:lang w:val="en-US"/>
        </w:rPr>
        <w:t xml:space="preserve"> </w:t>
      </w:r>
      <w:proofErr w:type="spellStart"/>
      <w:r w:rsidRPr="001079D5">
        <w:rPr>
          <w:sz w:val="24"/>
          <w:szCs w:val="24"/>
          <w:lang w:val="en-US"/>
        </w:rPr>
        <w:t>morskich</w:t>
      </w:r>
      <w:proofErr w:type="spellEnd"/>
      <w:r w:rsidRPr="001079D5">
        <w:rPr>
          <w:sz w:val="24"/>
          <w:szCs w:val="24"/>
          <w:lang w:val="en-US"/>
        </w:rPr>
        <w:t xml:space="preserve">), </w:t>
      </w:r>
      <w:proofErr w:type="spellStart"/>
      <w:r w:rsidRPr="001079D5">
        <w:rPr>
          <w:sz w:val="24"/>
          <w:szCs w:val="24"/>
          <w:lang w:val="en-US"/>
        </w:rPr>
        <w:t>prezentacja</w:t>
      </w:r>
      <w:proofErr w:type="spellEnd"/>
      <w:r w:rsidRPr="001079D5">
        <w:rPr>
          <w:sz w:val="24"/>
          <w:szCs w:val="24"/>
          <w:lang w:val="en-US"/>
        </w:rPr>
        <w:t xml:space="preserve"> „Passive Acoustic Monitoring of </w:t>
      </w:r>
      <w:proofErr w:type="spellStart"/>
      <w:r w:rsidRPr="001079D5">
        <w:rPr>
          <w:sz w:val="24"/>
          <w:szCs w:val="24"/>
          <w:lang w:val="en-US"/>
        </w:rPr>
        <w:t>harbour</w:t>
      </w:r>
      <w:proofErr w:type="spellEnd"/>
      <w:r w:rsidRPr="001079D5">
        <w:rPr>
          <w:sz w:val="24"/>
          <w:szCs w:val="24"/>
          <w:lang w:val="en-US"/>
        </w:rPr>
        <w:t xml:space="preserve"> porpoises in the Polish Baltic Sea: Comparing C-POD and F-POD data. </w:t>
      </w:r>
      <w:proofErr w:type="spellStart"/>
      <w:r w:rsidRPr="001079D5">
        <w:rPr>
          <w:sz w:val="24"/>
          <w:szCs w:val="24"/>
        </w:rPr>
        <w:t>State</w:t>
      </w:r>
      <w:proofErr w:type="spellEnd"/>
      <w:r w:rsidRPr="001079D5">
        <w:rPr>
          <w:sz w:val="24"/>
          <w:szCs w:val="24"/>
        </w:rPr>
        <w:t xml:space="preserve"> Monitoring Program IV 2021 - III  2022.”, Odense, Dania, 13-15 września 2022. Prezentacja została przedstawiona przez eksperta Wykonawcy.</w:t>
      </w:r>
    </w:p>
    <w:p w14:paraId="136F1C44" w14:textId="77777777" w:rsidR="001079D5" w:rsidRPr="001079D5" w:rsidRDefault="001079D5" w:rsidP="00D74E0B">
      <w:pPr>
        <w:pStyle w:val="Akapitzlist"/>
        <w:numPr>
          <w:ilvl w:val="3"/>
          <w:numId w:val="336"/>
        </w:numPr>
        <w:spacing w:after="240" w:line="300" w:lineRule="atLeast"/>
        <w:ind w:left="720" w:hanging="357"/>
        <w:jc w:val="both"/>
        <w:rPr>
          <w:sz w:val="24"/>
          <w:szCs w:val="24"/>
        </w:rPr>
      </w:pPr>
      <w:r w:rsidRPr="001079D5">
        <w:rPr>
          <w:bCs/>
          <w:sz w:val="24"/>
          <w:szCs w:val="24"/>
        </w:rPr>
        <w:t xml:space="preserve">Prezentacja pt. „Zadania Inspekcji Ochrony Środowiska w świetle obowiązujących przepisów prawa” w ramach zajęć prowadzonych na kierunku </w:t>
      </w:r>
      <w:proofErr w:type="spellStart"/>
      <w:r w:rsidRPr="001079D5">
        <w:rPr>
          <w:bCs/>
          <w:sz w:val="24"/>
          <w:szCs w:val="24"/>
        </w:rPr>
        <w:t>Ekobiznes</w:t>
      </w:r>
      <w:proofErr w:type="spellEnd"/>
      <w:r w:rsidRPr="001079D5">
        <w:rPr>
          <w:bCs/>
          <w:sz w:val="24"/>
          <w:szCs w:val="24"/>
        </w:rPr>
        <w:t xml:space="preserve"> Uniwersytetu w Białymstoku.</w:t>
      </w:r>
    </w:p>
    <w:p w14:paraId="289C10DB" w14:textId="5CD2E5D0" w:rsidR="001079D5" w:rsidRPr="001079D5" w:rsidRDefault="001079D5" w:rsidP="00D74E0B">
      <w:pPr>
        <w:pStyle w:val="Akapitzlist"/>
        <w:numPr>
          <w:ilvl w:val="3"/>
          <w:numId w:val="336"/>
        </w:numPr>
        <w:spacing w:after="240" w:line="300" w:lineRule="atLeast"/>
        <w:ind w:left="720" w:hanging="357"/>
        <w:jc w:val="both"/>
        <w:rPr>
          <w:sz w:val="24"/>
          <w:szCs w:val="24"/>
        </w:rPr>
      </w:pPr>
      <w:r w:rsidRPr="001079D5">
        <w:rPr>
          <w:sz w:val="24"/>
          <w:szCs w:val="24"/>
        </w:rPr>
        <w:t xml:space="preserve">Wizyta studyjna przedstawicieli Ministerstwa Rolnictwa i Leśnictwa Republiki Turcji w m. Minikowo – prezentacja nt. działań realizowanych przez </w:t>
      </w:r>
      <w:r w:rsidR="00CF0825">
        <w:rPr>
          <w:sz w:val="24"/>
          <w:szCs w:val="24"/>
          <w:lang w:val="pl-PL"/>
        </w:rPr>
        <w:t xml:space="preserve">Kujawsko-Pomorski </w:t>
      </w:r>
      <w:r w:rsidRPr="001079D5">
        <w:rPr>
          <w:sz w:val="24"/>
          <w:szCs w:val="24"/>
        </w:rPr>
        <w:t xml:space="preserve">WIOŚ w zakresie wdrażania dyrektywy azotanowej. </w:t>
      </w:r>
    </w:p>
    <w:p w14:paraId="063F6539" w14:textId="0AB3E199" w:rsidR="001079D5" w:rsidRPr="001079D5" w:rsidRDefault="001079D5" w:rsidP="00D74E0B">
      <w:pPr>
        <w:pStyle w:val="Akapitzlist"/>
        <w:numPr>
          <w:ilvl w:val="3"/>
          <w:numId w:val="336"/>
        </w:numPr>
        <w:spacing w:after="240" w:line="300" w:lineRule="atLeast"/>
        <w:ind w:left="720" w:hanging="357"/>
        <w:jc w:val="both"/>
        <w:rPr>
          <w:sz w:val="24"/>
          <w:szCs w:val="24"/>
        </w:rPr>
      </w:pPr>
      <w:r w:rsidRPr="001079D5">
        <w:rPr>
          <w:sz w:val="24"/>
          <w:szCs w:val="24"/>
        </w:rPr>
        <w:t>Prezentacja nt. „Poważna awaria nad Wisłą działania WIOŚ</w:t>
      </w:r>
      <w:r w:rsidR="00CF0825">
        <w:rPr>
          <w:sz w:val="24"/>
          <w:szCs w:val="24"/>
          <w:lang w:val="pl-PL"/>
        </w:rPr>
        <w:t>”,</w:t>
      </w:r>
      <w:r w:rsidRPr="001079D5">
        <w:rPr>
          <w:sz w:val="24"/>
          <w:szCs w:val="24"/>
        </w:rPr>
        <w:t xml:space="preserve"> wygłoszona </w:t>
      </w:r>
      <w:r w:rsidR="00CF0825">
        <w:rPr>
          <w:sz w:val="24"/>
          <w:szCs w:val="24"/>
          <w:lang w:val="pl-PL"/>
        </w:rPr>
        <w:t xml:space="preserve">przez WIOŚ w Bydgoszczy </w:t>
      </w:r>
      <w:r w:rsidRPr="001079D5">
        <w:rPr>
          <w:sz w:val="24"/>
          <w:szCs w:val="24"/>
        </w:rPr>
        <w:t xml:space="preserve">podczas Konferencji zorganizowanej przez KWPSP w Toruniu. </w:t>
      </w:r>
    </w:p>
    <w:p w14:paraId="491AF002" w14:textId="77777777" w:rsidR="001079D5" w:rsidRPr="001079D5" w:rsidRDefault="001079D5" w:rsidP="00D74E0B">
      <w:pPr>
        <w:pStyle w:val="Akapitzlist"/>
        <w:numPr>
          <w:ilvl w:val="3"/>
          <w:numId w:val="336"/>
        </w:numPr>
        <w:spacing w:after="240" w:line="300" w:lineRule="atLeast"/>
        <w:ind w:left="720" w:hanging="357"/>
        <w:jc w:val="both"/>
        <w:rPr>
          <w:sz w:val="24"/>
          <w:szCs w:val="24"/>
        </w:rPr>
      </w:pPr>
      <w:r w:rsidRPr="001079D5">
        <w:rPr>
          <w:sz w:val="24"/>
          <w:szCs w:val="24"/>
        </w:rPr>
        <w:t>Wykład dla studentów kryminologii na Uniwersytecie Gdańskim w temacie działań IOŚ, 24.04.2022 r.</w:t>
      </w:r>
    </w:p>
    <w:p w14:paraId="29764E53" w14:textId="77777777" w:rsidR="001079D5" w:rsidRPr="001079D5" w:rsidRDefault="001079D5" w:rsidP="00D74E0B">
      <w:pPr>
        <w:pStyle w:val="Akapitzlist"/>
        <w:numPr>
          <w:ilvl w:val="3"/>
          <w:numId w:val="336"/>
        </w:numPr>
        <w:spacing w:after="240" w:line="300" w:lineRule="atLeast"/>
        <w:ind w:left="720" w:hanging="357"/>
        <w:jc w:val="both"/>
        <w:rPr>
          <w:sz w:val="24"/>
          <w:szCs w:val="24"/>
        </w:rPr>
      </w:pPr>
      <w:r w:rsidRPr="001079D5">
        <w:rPr>
          <w:sz w:val="24"/>
          <w:szCs w:val="24"/>
        </w:rPr>
        <w:lastRenderedPageBreak/>
        <w:t xml:space="preserve">Szkolenie dla Policjantów w zakresie przestępczości środowiskowej, Pruszcz Gdański, 06.05.2022 r. </w:t>
      </w:r>
    </w:p>
    <w:p w14:paraId="3AA79893" w14:textId="0B3A76FF" w:rsidR="001079D5" w:rsidRPr="001079D5" w:rsidRDefault="001079D5" w:rsidP="00D74E0B">
      <w:pPr>
        <w:pStyle w:val="Akapitzlist"/>
        <w:numPr>
          <w:ilvl w:val="3"/>
          <w:numId w:val="336"/>
        </w:numPr>
        <w:spacing w:after="240" w:line="300" w:lineRule="atLeast"/>
        <w:ind w:left="720" w:hanging="357"/>
        <w:jc w:val="both"/>
        <w:rPr>
          <w:sz w:val="24"/>
          <w:szCs w:val="24"/>
        </w:rPr>
      </w:pPr>
      <w:r w:rsidRPr="001079D5">
        <w:rPr>
          <w:sz w:val="24"/>
          <w:szCs w:val="24"/>
        </w:rPr>
        <w:t xml:space="preserve">Szkolenie dla Związku Gmin Pomorskich na temat poziomów odpadów z ustawy </w:t>
      </w:r>
      <w:r w:rsidRPr="001079D5">
        <w:rPr>
          <w:sz w:val="24"/>
          <w:szCs w:val="24"/>
        </w:rPr>
        <w:br/>
        <w:t xml:space="preserve">o utrzymaniu czystości i porządku w gminach. </w:t>
      </w:r>
    </w:p>
    <w:p w14:paraId="4A9511C0" w14:textId="77777777" w:rsidR="001079D5" w:rsidRPr="001079D5" w:rsidRDefault="001079D5" w:rsidP="00D74E0B">
      <w:pPr>
        <w:pStyle w:val="Akapitzlist"/>
        <w:numPr>
          <w:ilvl w:val="3"/>
          <w:numId w:val="336"/>
        </w:numPr>
        <w:spacing w:after="240" w:line="300" w:lineRule="atLeast"/>
        <w:ind w:left="720" w:hanging="357"/>
        <w:jc w:val="both"/>
        <w:rPr>
          <w:sz w:val="24"/>
          <w:szCs w:val="24"/>
        </w:rPr>
      </w:pPr>
      <w:r w:rsidRPr="001079D5">
        <w:rPr>
          <w:sz w:val="24"/>
          <w:szCs w:val="24"/>
        </w:rPr>
        <w:t xml:space="preserve">Kontrole jednostek samorządu terytorialnego w zakresie realizacji ich obowiązków wynikających z przepisów tzw. uchwały antysmogowej dla woj. śląskiego, a także zadań określonych w Planie Działań Krótkoterminowych zawartych w Programie Ochrony Powietrza. </w:t>
      </w:r>
    </w:p>
    <w:p w14:paraId="53D6BE21" w14:textId="77777777" w:rsidR="001079D5" w:rsidRPr="001079D5" w:rsidRDefault="001079D5" w:rsidP="00D74E0B">
      <w:pPr>
        <w:pStyle w:val="Akapitzlist"/>
        <w:numPr>
          <w:ilvl w:val="3"/>
          <w:numId w:val="336"/>
        </w:numPr>
        <w:spacing w:after="240" w:line="300" w:lineRule="atLeast"/>
        <w:ind w:left="720" w:hanging="357"/>
        <w:jc w:val="both"/>
        <w:rPr>
          <w:sz w:val="24"/>
          <w:szCs w:val="24"/>
        </w:rPr>
      </w:pPr>
      <w:r w:rsidRPr="001079D5">
        <w:rPr>
          <w:sz w:val="24"/>
          <w:szCs w:val="24"/>
        </w:rPr>
        <w:t xml:space="preserve">Problematyka zezwoleń odpadowych – utrata statusu odpadów, wymagania dla zbierania i przetwarzania odpadów biodegradowalnych oraz aktualne problemy związane z porzucaniem odpadów (WIOŚ Katowice). </w:t>
      </w:r>
    </w:p>
    <w:p w14:paraId="7048C77C" w14:textId="7675D736" w:rsidR="001079D5" w:rsidRPr="001079D5" w:rsidRDefault="001079D5" w:rsidP="00D74E0B">
      <w:pPr>
        <w:pStyle w:val="Akapitzlist"/>
        <w:numPr>
          <w:ilvl w:val="3"/>
          <w:numId w:val="336"/>
        </w:numPr>
        <w:spacing w:after="240" w:line="300" w:lineRule="atLeast"/>
        <w:ind w:left="720" w:hanging="357"/>
        <w:jc w:val="both"/>
        <w:rPr>
          <w:sz w:val="24"/>
          <w:szCs w:val="24"/>
        </w:rPr>
      </w:pPr>
      <w:r w:rsidRPr="001079D5">
        <w:rPr>
          <w:bCs/>
          <w:sz w:val="24"/>
          <w:szCs w:val="24"/>
        </w:rPr>
        <w:t>Prezentacja Świętokrzyskiego Wojewódzkiego Inspektora Ochrony Środowiska pt. „Działalność Wojewódzkiego Inspektoratu Ochrony Środowiska na terenie województwa świętokrzyskiego”</w:t>
      </w:r>
      <w:r w:rsidR="00E0768B">
        <w:rPr>
          <w:bCs/>
          <w:sz w:val="24"/>
          <w:szCs w:val="24"/>
          <w:lang w:val="pl-PL"/>
        </w:rPr>
        <w:t>,</w:t>
      </w:r>
      <w:r w:rsidRPr="001079D5">
        <w:rPr>
          <w:bCs/>
          <w:sz w:val="24"/>
          <w:szCs w:val="24"/>
        </w:rPr>
        <w:t xml:space="preserve"> wygłoszona podczas Międzynarodowej Konferencji Naukowej pn. „Cywilizacyjne i prawne aspekty ochrony środowiska naturalnego”, Akademia Nauk Stosowanych im. prof. Edwarda Lipińskiego w Kielcach 1-12-2022 r.</w:t>
      </w:r>
    </w:p>
    <w:p w14:paraId="3319D589" w14:textId="77777777" w:rsidR="001079D5" w:rsidRPr="001079D5" w:rsidRDefault="001079D5" w:rsidP="00D74E0B">
      <w:pPr>
        <w:pStyle w:val="Akapitzlist"/>
        <w:numPr>
          <w:ilvl w:val="3"/>
          <w:numId w:val="336"/>
        </w:numPr>
        <w:spacing w:after="240" w:line="300" w:lineRule="atLeast"/>
        <w:ind w:left="720" w:hanging="357"/>
        <w:jc w:val="both"/>
        <w:rPr>
          <w:sz w:val="24"/>
          <w:szCs w:val="24"/>
        </w:rPr>
      </w:pPr>
      <w:r w:rsidRPr="001079D5">
        <w:rPr>
          <w:sz w:val="24"/>
          <w:szCs w:val="24"/>
        </w:rPr>
        <w:t xml:space="preserve">Wdrażanie programu ochrony powietrza w Małopolsce w latach 2017 – 2021. Perspektywy i zagrożenia dla tempa poprawy, Kraków, 10.03.2022 r.  </w:t>
      </w:r>
    </w:p>
    <w:p w14:paraId="0121BB6B" w14:textId="77777777" w:rsidR="001079D5" w:rsidRPr="001079D5" w:rsidRDefault="001079D5" w:rsidP="00D74E0B">
      <w:pPr>
        <w:pStyle w:val="Akapitzlist"/>
        <w:numPr>
          <w:ilvl w:val="3"/>
          <w:numId w:val="336"/>
        </w:numPr>
        <w:spacing w:after="240" w:line="300" w:lineRule="atLeast"/>
        <w:ind w:left="720" w:hanging="357"/>
        <w:jc w:val="both"/>
        <w:rPr>
          <w:sz w:val="24"/>
          <w:szCs w:val="24"/>
        </w:rPr>
      </w:pPr>
      <w:r w:rsidRPr="001079D5">
        <w:rPr>
          <w:sz w:val="24"/>
          <w:szCs w:val="24"/>
        </w:rPr>
        <w:t>Gospodarka nawozowa jako element ochrony środowiska i poprawy jakości wód – Prezentacja dla doradców rolniczych Lubelskiego Oddziału Doradztwa Rolniczego.</w:t>
      </w:r>
    </w:p>
    <w:p w14:paraId="061FB8C3" w14:textId="77777777" w:rsidR="001079D5" w:rsidRPr="001079D5" w:rsidRDefault="001079D5" w:rsidP="00D74E0B">
      <w:pPr>
        <w:pStyle w:val="Akapitzlist"/>
        <w:numPr>
          <w:ilvl w:val="3"/>
          <w:numId w:val="336"/>
        </w:numPr>
        <w:spacing w:after="240" w:line="300" w:lineRule="atLeast"/>
        <w:ind w:left="720" w:hanging="357"/>
        <w:jc w:val="both"/>
        <w:rPr>
          <w:sz w:val="24"/>
          <w:szCs w:val="24"/>
        </w:rPr>
      </w:pPr>
      <w:r w:rsidRPr="001079D5">
        <w:rPr>
          <w:sz w:val="24"/>
          <w:szCs w:val="24"/>
        </w:rPr>
        <w:t>Wymogi organów kontrolujących wdrażanie przez rolników Programu azotanowego. Seminarium dla doradców rolniczych organizowane przez Warmińsko-Mazurski Ośrodek Doradztwa Rolniczego w Olsztynie.</w:t>
      </w:r>
    </w:p>
    <w:p w14:paraId="09FFCFDC" w14:textId="77777777" w:rsidR="001079D5" w:rsidRPr="001079D5" w:rsidRDefault="001079D5" w:rsidP="00D74E0B">
      <w:pPr>
        <w:pStyle w:val="Akapitzlist"/>
        <w:numPr>
          <w:ilvl w:val="3"/>
          <w:numId w:val="336"/>
        </w:numPr>
        <w:spacing w:after="240" w:line="300" w:lineRule="atLeast"/>
        <w:ind w:left="720" w:hanging="357"/>
        <w:jc w:val="both"/>
        <w:rPr>
          <w:sz w:val="24"/>
          <w:szCs w:val="24"/>
        </w:rPr>
      </w:pPr>
      <w:r w:rsidRPr="001079D5">
        <w:rPr>
          <w:sz w:val="24"/>
          <w:szCs w:val="24"/>
        </w:rPr>
        <w:t xml:space="preserve">„Sprawozdawczość środowiskowa i opłaty za korzystanie ze środowiska” – szkolenie w formie webinarium na naradzie dla głównych specjalistów ds. ekologii i ochrony środowiska Wielkopolskiego Ośrodka Doradztwa Rolniczego w Poznaniu. </w:t>
      </w:r>
    </w:p>
    <w:p w14:paraId="35D5E0AE" w14:textId="77777777" w:rsidR="001079D5" w:rsidRPr="001079D5" w:rsidRDefault="001079D5" w:rsidP="00D74E0B">
      <w:pPr>
        <w:pStyle w:val="Akapitzlist"/>
        <w:numPr>
          <w:ilvl w:val="3"/>
          <w:numId w:val="336"/>
        </w:numPr>
        <w:spacing w:after="240" w:line="300" w:lineRule="atLeast"/>
        <w:ind w:left="720" w:hanging="357"/>
        <w:jc w:val="both"/>
        <w:rPr>
          <w:sz w:val="24"/>
          <w:szCs w:val="24"/>
        </w:rPr>
      </w:pPr>
      <w:r w:rsidRPr="001079D5">
        <w:rPr>
          <w:sz w:val="24"/>
          <w:szCs w:val="24"/>
        </w:rPr>
        <w:t xml:space="preserve">„Gospodarka odpadowa” – szkolenie dla przedstawicieli KAS, Policji, ITD, UC-S zorganizowane przez WIOŚ w Poznaniu. </w:t>
      </w:r>
    </w:p>
    <w:p w14:paraId="69193ECB" w14:textId="13189436" w:rsidR="001079D5" w:rsidRPr="001079D5" w:rsidRDefault="001079D5" w:rsidP="00D74E0B">
      <w:pPr>
        <w:pStyle w:val="Akapitzlist"/>
        <w:numPr>
          <w:ilvl w:val="3"/>
          <w:numId w:val="336"/>
        </w:numPr>
        <w:spacing w:after="240" w:line="300" w:lineRule="atLeast"/>
        <w:ind w:left="720" w:hanging="357"/>
        <w:jc w:val="both"/>
        <w:rPr>
          <w:sz w:val="24"/>
          <w:szCs w:val="24"/>
        </w:rPr>
      </w:pPr>
      <w:r w:rsidRPr="001079D5">
        <w:rPr>
          <w:color w:val="000000"/>
          <w:sz w:val="24"/>
          <w:szCs w:val="24"/>
        </w:rPr>
        <w:t>Gospodarowanie komunalnymi osadami ściekowymi. Dobre i złe praktyki – szkolenie on-line przeprowadzono w dniu 20 października 2020 r. Szkolenie skierowane było do urzędów gmin, jednostek budżetowych gmin oraz podmiotów prowadzących komunalne oczyszczalnie ścieków na terenie województwa mazowieckiego. Łącznie informacja o szkoleniu dotarła do 242 odbiorców</w:t>
      </w:r>
      <w:r w:rsidR="00650DD1">
        <w:rPr>
          <w:color w:val="000000"/>
          <w:sz w:val="24"/>
          <w:szCs w:val="24"/>
          <w:lang w:val="pl-PL"/>
        </w:rPr>
        <w:t xml:space="preserve"> </w:t>
      </w:r>
      <w:r w:rsidRPr="001079D5">
        <w:rPr>
          <w:color w:val="000000"/>
          <w:sz w:val="24"/>
          <w:szCs w:val="24"/>
        </w:rPr>
        <w:t>-</w:t>
      </w:r>
      <w:r w:rsidR="00650DD1">
        <w:rPr>
          <w:color w:val="000000"/>
          <w:sz w:val="24"/>
          <w:szCs w:val="24"/>
          <w:lang w:val="pl-PL"/>
        </w:rPr>
        <w:t xml:space="preserve"> </w:t>
      </w:r>
      <w:r w:rsidRPr="001079D5">
        <w:rPr>
          <w:color w:val="000000"/>
          <w:sz w:val="24"/>
          <w:szCs w:val="24"/>
        </w:rPr>
        <w:t>potencjalnych uczestników szkolenia.</w:t>
      </w:r>
    </w:p>
    <w:p w14:paraId="088ADE05" w14:textId="77777777" w:rsidR="001079D5" w:rsidRPr="001079D5" w:rsidRDefault="001079D5" w:rsidP="00D74E0B">
      <w:pPr>
        <w:pStyle w:val="Akapitzlist"/>
        <w:numPr>
          <w:ilvl w:val="3"/>
          <w:numId w:val="336"/>
        </w:numPr>
        <w:spacing w:after="240" w:line="300" w:lineRule="atLeast"/>
        <w:ind w:left="720" w:hanging="357"/>
        <w:jc w:val="both"/>
        <w:rPr>
          <w:sz w:val="24"/>
          <w:szCs w:val="24"/>
        </w:rPr>
      </w:pPr>
      <w:r w:rsidRPr="001079D5">
        <w:rPr>
          <w:color w:val="000000"/>
          <w:sz w:val="24"/>
          <w:szCs w:val="24"/>
        </w:rPr>
        <w:t xml:space="preserve">Realizacja wymagań prawnych w zakresie pomiarów okresowych wynikających </w:t>
      </w:r>
      <w:r w:rsidRPr="001079D5">
        <w:rPr>
          <w:color w:val="000000"/>
          <w:sz w:val="24"/>
          <w:szCs w:val="24"/>
        </w:rPr>
        <w:br/>
        <w:t xml:space="preserve">z rozporządzenia Ministra Klimatu i Środowiska z dnia 7 września 2021 r. w sprawie wymagań w zakresie prowadzenia pomiarów wielkości emisji oraz konkluzji BAT </w:t>
      </w:r>
      <w:r w:rsidRPr="001079D5">
        <w:rPr>
          <w:color w:val="000000"/>
          <w:sz w:val="24"/>
          <w:szCs w:val="24"/>
        </w:rPr>
        <w:br/>
        <w:t xml:space="preserve">w aspekcie kontroli WIOŚ i ewentualnego naliczania kar - szkolenie przeprowadzone przez WIOŚ w Warszawie dla przedstawicieli zakładów, laboratoriów badawczych, urzędów (w tym WIOŚ) na wniosek CE2 Centrum Edukacji. Szkolenie odbyło się </w:t>
      </w:r>
      <w:r w:rsidRPr="001079D5">
        <w:rPr>
          <w:color w:val="000000"/>
          <w:sz w:val="24"/>
          <w:szCs w:val="24"/>
        </w:rPr>
        <w:br/>
        <w:t xml:space="preserve">w ramach warsztatów emisyjnych, które miały miejsce dniach 24 – 27 maja 2022 r. </w:t>
      </w:r>
      <w:r w:rsidRPr="001079D5">
        <w:rPr>
          <w:color w:val="000000"/>
          <w:sz w:val="24"/>
          <w:szCs w:val="24"/>
        </w:rPr>
        <w:br/>
        <w:t>w Zakopanem - Tytuł „Eksperckie warsztaty pomiarowe. Aspekty prawne i techniczne pomiarów emisji zanieczyszczeń do powietrza” - szkolenie przeprowadzono w dniu 13.10.2021 r.</w:t>
      </w:r>
    </w:p>
    <w:p w14:paraId="52742B59" w14:textId="77777777" w:rsidR="001079D5" w:rsidRPr="001079D5" w:rsidRDefault="001079D5" w:rsidP="00D74E0B">
      <w:pPr>
        <w:pStyle w:val="Akapitzlist"/>
        <w:numPr>
          <w:ilvl w:val="3"/>
          <w:numId w:val="336"/>
        </w:numPr>
        <w:spacing w:after="240" w:line="300" w:lineRule="atLeast"/>
        <w:ind w:left="720" w:hanging="357"/>
        <w:jc w:val="both"/>
        <w:rPr>
          <w:sz w:val="24"/>
          <w:szCs w:val="24"/>
        </w:rPr>
      </w:pPr>
      <w:r w:rsidRPr="001079D5">
        <w:rPr>
          <w:color w:val="000000"/>
          <w:sz w:val="24"/>
          <w:szCs w:val="24"/>
        </w:rPr>
        <w:lastRenderedPageBreak/>
        <w:t>Prezentacja wygłoszona przez WIOŚ w Zielonej Górze na nadzwyczajnym posiedzeniu Wojewódzkiego Zespołu Zarządzania Kryzysowego dotyczącym sytuacji na rzece Odrze związanej ze śnięciem ryb.</w:t>
      </w:r>
    </w:p>
    <w:p w14:paraId="4DAFE4C0" w14:textId="77777777" w:rsidR="001079D5" w:rsidRPr="001079D5" w:rsidRDefault="001079D5" w:rsidP="00D74E0B">
      <w:pPr>
        <w:spacing w:after="0" w:line="300" w:lineRule="atLeast"/>
        <w:jc w:val="both"/>
        <w:rPr>
          <w:rFonts w:ascii="Times New Roman" w:hAnsi="Times New Roman" w:cs="Times New Roman"/>
          <w:b/>
          <w:sz w:val="24"/>
          <w:szCs w:val="24"/>
          <w:u w:val="single"/>
        </w:rPr>
      </w:pPr>
      <w:r w:rsidRPr="001079D5">
        <w:rPr>
          <w:rFonts w:ascii="Times New Roman" w:hAnsi="Times New Roman" w:cs="Times New Roman"/>
          <w:sz w:val="24"/>
          <w:szCs w:val="24"/>
          <w:u w:val="single"/>
        </w:rPr>
        <w:t xml:space="preserve">Przykłady materiałów informacyjno-edukacyjnych i promocyjnych, opracowanych </w:t>
      </w:r>
      <w:r w:rsidRPr="001079D5">
        <w:rPr>
          <w:rFonts w:ascii="Times New Roman" w:hAnsi="Times New Roman" w:cs="Times New Roman"/>
          <w:sz w:val="24"/>
          <w:szCs w:val="24"/>
          <w:u w:val="single"/>
        </w:rPr>
        <w:br/>
        <w:t>i upowszechnionych przez IOŚ w 2022 roku</w:t>
      </w:r>
      <w:r w:rsidRPr="001079D5">
        <w:rPr>
          <w:rFonts w:ascii="Times New Roman" w:hAnsi="Times New Roman" w:cs="Times New Roman"/>
          <w:sz w:val="24"/>
          <w:szCs w:val="24"/>
        </w:rPr>
        <w:t>:</w:t>
      </w:r>
    </w:p>
    <w:p w14:paraId="6FE77768" w14:textId="77777777" w:rsidR="001079D5" w:rsidRPr="001079D5" w:rsidRDefault="001079D5" w:rsidP="00D74E0B">
      <w:pPr>
        <w:pStyle w:val="Akapitzlist"/>
        <w:numPr>
          <w:ilvl w:val="0"/>
          <w:numId w:val="337"/>
        </w:numPr>
        <w:spacing w:line="300" w:lineRule="atLeast"/>
        <w:rPr>
          <w:sz w:val="24"/>
          <w:szCs w:val="24"/>
        </w:rPr>
      </w:pPr>
      <w:r w:rsidRPr="001079D5">
        <w:rPr>
          <w:sz w:val="24"/>
          <w:szCs w:val="24"/>
        </w:rPr>
        <w:t xml:space="preserve">Udział w filmie „Uwaga! Zmiana klimatu. Ochrona powietrza” </w:t>
      </w:r>
      <w:hyperlink r:id="rId223" w:history="1">
        <w:r w:rsidRPr="001079D5">
          <w:rPr>
            <w:rStyle w:val="Hipercze"/>
            <w:sz w:val="24"/>
            <w:szCs w:val="24"/>
          </w:rPr>
          <w:t>https://www.youtube.com/embed/LECHVB_lxNM</w:t>
        </w:r>
      </w:hyperlink>
    </w:p>
    <w:p w14:paraId="1DDCD2EF" w14:textId="1420875C" w:rsidR="001079D5" w:rsidRPr="001079D5" w:rsidRDefault="001079D5" w:rsidP="00D74E0B">
      <w:pPr>
        <w:pStyle w:val="Akapitzlist"/>
        <w:numPr>
          <w:ilvl w:val="0"/>
          <w:numId w:val="337"/>
        </w:numPr>
        <w:spacing w:line="300" w:lineRule="atLeast"/>
        <w:rPr>
          <w:rStyle w:val="Hipercze"/>
          <w:sz w:val="24"/>
          <w:szCs w:val="24"/>
        </w:rPr>
      </w:pPr>
      <w:proofErr w:type="spellStart"/>
      <w:r w:rsidRPr="001079D5">
        <w:rPr>
          <w:color w:val="000000"/>
          <w:sz w:val="24"/>
          <w:szCs w:val="24"/>
        </w:rPr>
        <w:t>Podkast</w:t>
      </w:r>
      <w:proofErr w:type="spellEnd"/>
      <w:r w:rsidRPr="001079D5">
        <w:rPr>
          <w:color w:val="000000"/>
          <w:sz w:val="24"/>
          <w:szCs w:val="24"/>
        </w:rPr>
        <w:t xml:space="preserve"> - Człowiek jest rybą bardzo specyficzną</w:t>
      </w:r>
      <w:r w:rsidR="00650DD1">
        <w:rPr>
          <w:color w:val="000000"/>
          <w:sz w:val="24"/>
          <w:szCs w:val="24"/>
          <w:lang w:val="pl-PL"/>
        </w:rPr>
        <w:t>.</w:t>
      </w:r>
      <w:r w:rsidRPr="001079D5">
        <w:rPr>
          <w:color w:val="000000"/>
          <w:sz w:val="24"/>
          <w:szCs w:val="24"/>
        </w:rPr>
        <w:t xml:space="preserve"> </w:t>
      </w:r>
      <w:hyperlink r:id="rId224" w:history="1">
        <w:r w:rsidRPr="001079D5">
          <w:rPr>
            <w:rStyle w:val="Hipercze"/>
            <w:sz w:val="24"/>
            <w:szCs w:val="24"/>
          </w:rPr>
          <w:t>https://www.projektpulsar.pl/srodowisko/2154925,1,piotr-panek-czlowiek-jest-ryba-bardzo-specyficzna.read</w:t>
        </w:r>
      </w:hyperlink>
      <w:r w:rsidRPr="001079D5">
        <w:rPr>
          <w:color w:val="000000"/>
          <w:sz w:val="24"/>
          <w:szCs w:val="24"/>
        </w:rPr>
        <w:t xml:space="preserve">, zamieszczony na stronie </w:t>
      </w:r>
      <w:hyperlink r:id="rId225" w:history="1">
        <w:r w:rsidRPr="001079D5">
          <w:rPr>
            <w:rStyle w:val="Hipercze"/>
            <w:sz w:val="24"/>
            <w:szCs w:val="24"/>
          </w:rPr>
          <w:t>https://www.projektpulsar.pl/</w:t>
        </w:r>
      </w:hyperlink>
    </w:p>
    <w:p w14:paraId="3B94E1EF" w14:textId="1B5B2ED6" w:rsidR="001079D5" w:rsidRPr="001079D5" w:rsidRDefault="001079D5" w:rsidP="00D74E0B">
      <w:pPr>
        <w:pStyle w:val="Akapitzlist"/>
        <w:numPr>
          <w:ilvl w:val="0"/>
          <w:numId w:val="337"/>
        </w:numPr>
        <w:spacing w:line="300" w:lineRule="atLeast"/>
        <w:rPr>
          <w:rStyle w:val="Hipercze"/>
          <w:sz w:val="24"/>
          <w:szCs w:val="24"/>
        </w:rPr>
      </w:pPr>
      <w:proofErr w:type="spellStart"/>
      <w:r w:rsidRPr="001079D5">
        <w:rPr>
          <w:color w:val="000000"/>
          <w:sz w:val="24"/>
          <w:szCs w:val="24"/>
        </w:rPr>
        <w:t>Podkast</w:t>
      </w:r>
      <w:proofErr w:type="spellEnd"/>
      <w:r w:rsidRPr="001079D5">
        <w:rPr>
          <w:color w:val="000000"/>
          <w:sz w:val="24"/>
          <w:szCs w:val="24"/>
        </w:rPr>
        <w:t xml:space="preserve"> -</w:t>
      </w:r>
      <w:r w:rsidR="00650DD1">
        <w:rPr>
          <w:color w:val="000000"/>
          <w:sz w:val="24"/>
          <w:szCs w:val="24"/>
          <w:lang w:val="pl-PL"/>
        </w:rPr>
        <w:t xml:space="preserve"> </w:t>
      </w:r>
      <w:r w:rsidRPr="001079D5">
        <w:rPr>
          <w:color w:val="000000"/>
          <w:sz w:val="24"/>
          <w:szCs w:val="24"/>
        </w:rPr>
        <w:t>Przyroda nie uznaje granic</w:t>
      </w:r>
      <w:r w:rsidR="00650DD1">
        <w:rPr>
          <w:color w:val="000000"/>
          <w:sz w:val="24"/>
          <w:szCs w:val="24"/>
          <w:lang w:val="pl-PL"/>
        </w:rPr>
        <w:t>.</w:t>
      </w:r>
      <w:r w:rsidRPr="001079D5">
        <w:rPr>
          <w:color w:val="000000"/>
          <w:sz w:val="24"/>
          <w:szCs w:val="24"/>
        </w:rPr>
        <w:t xml:space="preserve"> </w:t>
      </w:r>
      <w:hyperlink r:id="rId226" w:history="1">
        <w:r w:rsidRPr="001079D5">
          <w:rPr>
            <w:rStyle w:val="Hipercze"/>
            <w:sz w:val="24"/>
            <w:szCs w:val="24"/>
          </w:rPr>
          <w:t>https://www.projektpulsar.pl/srodowisko/2159479,1,stanislaw-lubienski-i-piotr-panek-przyroda-nie-uznaje-granic.read</w:t>
        </w:r>
      </w:hyperlink>
      <w:r w:rsidRPr="001079D5">
        <w:rPr>
          <w:color w:val="000000"/>
          <w:sz w:val="24"/>
          <w:szCs w:val="24"/>
        </w:rPr>
        <w:t>, zamieszczony na stronie</w:t>
      </w:r>
      <w:r w:rsidRPr="001079D5">
        <w:rPr>
          <w:sz w:val="24"/>
          <w:szCs w:val="24"/>
        </w:rPr>
        <w:t xml:space="preserve"> </w:t>
      </w:r>
      <w:hyperlink r:id="rId227" w:history="1">
        <w:r w:rsidRPr="001079D5">
          <w:rPr>
            <w:rStyle w:val="Hipercze"/>
            <w:sz w:val="24"/>
            <w:szCs w:val="24"/>
          </w:rPr>
          <w:t>https://www.projektpulsar.pl/</w:t>
        </w:r>
      </w:hyperlink>
    </w:p>
    <w:p w14:paraId="59AC4FC3" w14:textId="77777777" w:rsidR="001079D5" w:rsidRPr="001079D5" w:rsidRDefault="001079D5" w:rsidP="00D74E0B">
      <w:pPr>
        <w:pStyle w:val="Akapitzlist"/>
        <w:numPr>
          <w:ilvl w:val="0"/>
          <w:numId w:val="337"/>
        </w:numPr>
        <w:spacing w:line="300" w:lineRule="atLeast"/>
        <w:jc w:val="both"/>
        <w:rPr>
          <w:sz w:val="24"/>
          <w:szCs w:val="24"/>
        </w:rPr>
      </w:pPr>
      <w:r w:rsidRPr="001079D5">
        <w:rPr>
          <w:sz w:val="24"/>
          <w:szCs w:val="24"/>
        </w:rPr>
        <w:t xml:space="preserve">Ulotka edukacyjna - </w:t>
      </w:r>
      <w:proofErr w:type="spellStart"/>
      <w:r w:rsidRPr="001079D5">
        <w:rPr>
          <w:sz w:val="24"/>
          <w:szCs w:val="24"/>
        </w:rPr>
        <w:t>GIOŚaki</w:t>
      </w:r>
      <w:proofErr w:type="spellEnd"/>
      <w:r w:rsidRPr="001079D5">
        <w:rPr>
          <w:sz w:val="24"/>
          <w:szCs w:val="24"/>
        </w:rPr>
        <w:t xml:space="preserve"> </w:t>
      </w:r>
      <w:proofErr w:type="spellStart"/>
      <w:r w:rsidRPr="001079D5">
        <w:rPr>
          <w:sz w:val="24"/>
          <w:szCs w:val="24"/>
        </w:rPr>
        <w:t>eko</w:t>
      </w:r>
      <w:proofErr w:type="spellEnd"/>
      <w:r w:rsidRPr="001079D5">
        <w:rPr>
          <w:sz w:val="24"/>
          <w:szCs w:val="24"/>
        </w:rPr>
        <w:t xml:space="preserve"> dziewczyny i </w:t>
      </w:r>
      <w:proofErr w:type="spellStart"/>
      <w:r w:rsidRPr="001079D5">
        <w:rPr>
          <w:sz w:val="24"/>
          <w:szCs w:val="24"/>
        </w:rPr>
        <w:t>eko</w:t>
      </w:r>
      <w:proofErr w:type="spellEnd"/>
      <w:r w:rsidRPr="001079D5">
        <w:rPr>
          <w:sz w:val="24"/>
          <w:szCs w:val="24"/>
        </w:rPr>
        <w:t xml:space="preserve"> chłopaki pomagają chronić środowisko.</w:t>
      </w:r>
    </w:p>
    <w:p w14:paraId="427CBFAF" w14:textId="77777777" w:rsidR="001079D5" w:rsidRPr="001079D5" w:rsidRDefault="001079D5" w:rsidP="00D74E0B">
      <w:pPr>
        <w:pStyle w:val="Akapitzlist"/>
        <w:numPr>
          <w:ilvl w:val="0"/>
          <w:numId w:val="337"/>
        </w:numPr>
        <w:spacing w:line="300" w:lineRule="atLeast"/>
        <w:jc w:val="both"/>
        <w:rPr>
          <w:sz w:val="24"/>
          <w:szCs w:val="24"/>
        </w:rPr>
      </w:pPr>
      <w:r w:rsidRPr="001079D5">
        <w:rPr>
          <w:sz w:val="24"/>
          <w:szCs w:val="24"/>
        </w:rPr>
        <w:t>Przewodnik informacyjny „</w:t>
      </w:r>
      <w:proofErr w:type="spellStart"/>
      <w:r w:rsidRPr="001079D5">
        <w:rPr>
          <w:sz w:val="24"/>
          <w:szCs w:val="24"/>
        </w:rPr>
        <w:t>RoadMap</w:t>
      </w:r>
      <w:proofErr w:type="spellEnd"/>
      <w:r w:rsidRPr="001079D5">
        <w:rPr>
          <w:sz w:val="24"/>
          <w:szCs w:val="24"/>
        </w:rPr>
        <w:t xml:space="preserve"> Ochrony Środowiska”, opracowany w ramach projektu „Droga do czystego środowiska”: </w:t>
      </w:r>
    </w:p>
    <w:p w14:paraId="46D2803B" w14:textId="77777777" w:rsidR="001079D5" w:rsidRPr="001079D5" w:rsidRDefault="001079D5" w:rsidP="00D74E0B">
      <w:pPr>
        <w:pStyle w:val="Akapitzlist"/>
        <w:spacing w:line="300" w:lineRule="atLeast"/>
        <w:jc w:val="both"/>
        <w:rPr>
          <w:sz w:val="24"/>
          <w:szCs w:val="24"/>
        </w:rPr>
      </w:pPr>
      <w:r w:rsidRPr="001079D5">
        <w:rPr>
          <w:sz w:val="24"/>
          <w:szCs w:val="24"/>
        </w:rPr>
        <w:t>https://www.gios.gov.pl/projekt_droga/f/gios_przewodnik_2023_short.pdf.</w:t>
      </w:r>
    </w:p>
    <w:p w14:paraId="148E213E" w14:textId="77777777" w:rsidR="001079D5" w:rsidRPr="001079D5" w:rsidRDefault="001079D5" w:rsidP="00D74E0B">
      <w:pPr>
        <w:pStyle w:val="Akapitzlist"/>
        <w:numPr>
          <w:ilvl w:val="0"/>
          <w:numId w:val="337"/>
        </w:numPr>
        <w:spacing w:line="300" w:lineRule="atLeast"/>
        <w:rPr>
          <w:sz w:val="24"/>
          <w:szCs w:val="24"/>
        </w:rPr>
      </w:pPr>
      <w:r w:rsidRPr="001079D5">
        <w:rPr>
          <w:sz w:val="24"/>
          <w:szCs w:val="24"/>
        </w:rPr>
        <w:t>Broszura edukacyjna Mikołajkowe spotkanie ze środowiskiem.</w:t>
      </w:r>
    </w:p>
    <w:p w14:paraId="2B9DF7C7" w14:textId="77777777" w:rsidR="001079D5" w:rsidRPr="001079D5" w:rsidRDefault="001079D5" w:rsidP="00D74E0B">
      <w:pPr>
        <w:pStyle w:val="Akapitzlist"/>
        <w:numPr>
          <w:ilvl w:val="0"/>
          <w:numId w:val="337"/>
        </w:numPr>
        <w:spacing w:line="300" w:lineRule="atLeast"/>
        <w:jc w:val="both"/>
        <w:rPr>
          <w:sz w:val="24"/>
          <w:szCs w:val="24"/>
        </w:rPr>
      </w:pPr>
      <w:r w:rsidRPr="001079D5">
        <w:rPr>
          <w:sz w:val="24"/>
          <w:szCs w:val="24"/>
        </w:rPr>
        <w:t>Informacja WIOŚ w Rzeszowie w związku ze zgłoszeniami dotyczącymi odprowadzania przez właścicieli nieruchomości nieoczyszczonych ścieków do wód powierzchniowych.</w:t>
      </w:r>
    </w:p>
    <w:p w14:paraId="2F8AB5A0" w14:textId="77777777" w:rsidR="005D1364" w:rsidRPr="001079D5" w:rsidRDefault="005D1364" w:rsidP="00D74E0B">
      <w:pPr>
        <w:spacing w:after="0" w:line="300" w:lineRule="atLeast"/>
        <w:jc w:val="both"/>
        <w:rPr>
          <w:rFonts w:ascii="Times New Roman" w:hAnsi="Times New Roman" w:cs="Times New Roman"/>
          <w:sz w:val="24"/>
          <w:szCs w:val="24"/>
          <w:highlight w:val="yellow"/>
        </w:rPr>
      </w:pPr>
    </w:p>
    <w:p w14:paraId="7659D693" w14:textId="77777777" w:rsidR="001079D5" w:rsidRPr="001079D5" w:rsidRDefault="001079D5" w:rsidP="00D74E0B">
      <w:pPr>
        <w:spacing w:after="60" w:line="300" w:lineRule="atLeast"/>
        <w:jc w:val="both"/>
        <w:rPr>
          <w:rFonts w:ascii="Times New Roman" w:hAnsi="Times New Roman" w:cs="Times New Roman"/>
          <w:color w:val="000000" w:themeColor="text1"/>
          <w:sz w:val="24"/>
          <w:szCs w:val="24"/>
          <w:u w:val="single"/>
        </w:rPr>
      </w:pPr>
      <w:r w:rsidRPr="001079D5">
        <w:rPr>
          <w:rFonts w:ascii="Times New Roman" w:hAnsi="Times New Roman" w:cs="Times New Roman"/>
          <w:color w:val="000000" w:themeColor="text1"/>
          <w:sz w:val="24"/>
          <w:szCs w:val="24"/>
          <w:u w:val="single"/>
        </w:rPr>
        <w:t>Przykłady wydarzeń, seminariów, sympozjów i imprez masowych, w których w 2022 r. uczestniczyli  przedstawiciele IOŚ:</w:t>
      </w:r>
    </w:p>
    <w:p w14:paraId="6F89A9E1" w14:textId="77777777" w:rsidR="001079D5" w:rsidRPr="001079D5" w:rsidRDefault="001079D5" w:rsidP="00D74E0B">
      <w:pPr>
        <w:pStyle w:val="Akapitzlist"/>
        <w:numPr>
          <w:ilvl w:val="0"/>
          <w:numId w:val="338"/>
        </w:numPr>
        <w:spacing w:line="300" w:lineRule="atLeast"/>
        <w:jc w:val="both"/>
        <w:rPr>
          <w:sz w:val="24"/>
          <w:szCs w:val="24"/>
        </w:rPr>
      </w:pPr>
      <w:r w:rsidRPr="001079D5">
        <w:rPr>
          <w:sz w:val="24"/>
          <w:szCs w:val="24"/>
        </w:rPr>
        <w:t xml:space="preserve">III Konferencja naukowa „Jakość powietrza a zdrowie” organizowana on-line </w:t>
      </w:r>
      <w:r w:rsidRPr="001079D5">
        <w:rPr>
          <w:sz w:val="24"/>
          <w:szCs w:val="24"/>
          <w:highlight w:val="yellow"/>
        </w:rPr>
        <w:br/>
      </w:r>
      <w:r w:rsidRPr="001079D5">
        <w:rPr>
          <w:sz w:val="24"/>
          <w:szCs w:val="24"/>
        </w:rPr>
        <w:t>Udział w Międzynarodowej Konferencji Naukowej „Zdrowie i Style Życia”.</w:t>
      </w:r>
    </w:p>
    <w:p w14:paraId="0F470CE9" w14:textId="77777777" w:rsidR="001079D5" w:rsidRPr="001079D5" w:rsidRDefault="001079D5" w:rsidP="00D74E0B">
      <w:pPr>
        <w:pStyle w:val="Akapitzlist"/>
        <w:numPr>
          <w:ilvl w:val="0"/>
          <w:numId w:val="338"/>
        </w:numPr>
        <w:spacing w:line="300" w:lineRule="atLeast"/>
        <w:jc w:val="both"/>
        <w:rPr>
          <w:sz w:val="24"/>
          <w:szCs w:val="24"/>
        </w:rPr>
      </w:pPr>
      <w:r w:rsidRPr="001079D5">
        <w:rPr>
          <w:sz w:val="24"/>
          <w:szCs w:val="24"/>
        </w:rPr>
        <w:t>Udział w wydarzeniu „DZIEŃ KLIMATU” na Wydziale Inżynierii Środowiska i Inżynierii Mechanicznej Uniwersytetu Przyrodniczego w Poznaniu.</w:t>
      </w:r>
    </w:p>
    <w:p w14:paraId="33C6F6F9" w14:textId="77777777" w:rsidR="001079D5" w:rsidRPr="001079D5" w:rsidRDefault="001079D5" w:rsidP="00D74E0B">
      <w:pPr>
        <w:pStyle w:val="Akapitzlist"/>
        <w:numPr>
          <w:ilvl w:val="0"/>
          <w:numId w:val="338"/>
        </w:numPr>
        <w:spacing w:line="300" w:lineRule="atLeast"/>
        <w:rPr>
          <w:sz w:val="24"/>
          <w:szCs w:val="24"/>
        </w:rPr>
      </w:pPr>
      <w:r w:rsidRPr="001079D5">
        <w:rPr>
          <w:sz w:val="24"/>
          <w:szCs w:val="24"/>
        </w:rPr>
        <w:t>XXIV Konferencja ENEX Nowa Energia: „Transformacja energetyczna wyzwaniem najbliższych lat -   źródła finansowania inwestycji przy wsparciu Projektu Doradztwa Energetycznego”.</w:t>
      </w:r>
    </w:p>
    <w:p w14:paraId="72FD8E5D" w14:textId="77777777" w:rsidR="001079D5" w:rsidRPr="001079D5" w:rsidRDefault="001079D5" w:rsidP="00D74E0B">
      <w:pPr>
        <w:pStyle w:val="Akapitzlist"/>
        <w:numPr>
          <w:ilvl w:val="0"/>
          <w:numId w:val="338"/>
        </w:numPr>
        <w:spacing w:line="300" w:lineRule="atLeast"/>
        <w:jc w:val="both"/>
        <w:rPr>
          <w:sz w:val="24"/>
          <w:szCs w:val="24"/>
        </w:rPr>
      </w:pPr>
      <w:r w:rsidRPr="001079D5">
        <w:rPr>
          <w:bCs/>
          <w:sz w:val="24"/>
          <w:szCs w:val="24"/>
        </w:rPr>
        <w:t>IV Ogólnopolskie Seminarium Naukowych Badań Podwodnych.</w:t>
      </w:r>
    </w:p>
    <w:p w14:paraId="044B72CF" w14:textId="77777777" w:rsidR="001079D5" w:rsidRPr="001079D5" w:rsidRDefault="001079D5" w:rsidP="00D74E0B">
      <w:pPr>
        <w:pStyle w:val="Akapitzlist"/>
        <w:numPr>
          <w:ilvl w:val="0"/>
          <w:numId w:val="338"/>
        </w:numPr>
        <w:spacing w:line="300" w:lineRule="atLeast"/>
        <w:jc w:val="both"/>
        <w:rPr>
          <w:sz w:val="24"/>
          <w:szCs w:val="24"/>
        </w:rPr>
      </w:pPr>
      <w:r w:rsidRPr="001079D5">
        <w:rPr>
          <w:bCs/>
          <w:sz w:val="24"/>
          <w:szCs w:val="24"/>
        </w:rPr>
        <w:t>Konferencja Polskiego Towarzystwa Hydrobiologicznego - Zjazd Hydrobiologów Polskich.</w:t>
      </w:r>
    </w:p>
    <w:p w14:paraId="5D802DC3" w14:textId="6DA4A621" w:rsidR="001079D5" w:rsidRPr="001079D5" w:rsidRDefault="001079D5" w:rsidP="00D74E0B">
      <w:pPr>
        <w:pStyle w:val="Akapitzlist"/>
        <w:numPr>
          <w:ilvl w:val="0"/>
          <w:numId w:val="338"/>
        </w:numPr>
        <w:spacing w:line="300" w:lineRule="atLeast"/>
        <w:jc w:val="both"/>
        <w:rPr>
          <w:sz w:val="24"/>
          <w:szCs w:val="24"/>
        </w:rPr>
      </w:pPr>
      <w:r w:rsidRPr="001079D5">
        <w:rPr>
          <w:bCs/>
          <w:sz w:val="24"/>
          <w:szCs w:val="24"/>
        </w:rPr>
        <w:t xml:space="preserve">Konferencja Limnologiczna „Naturalne i antropogeniczne przemiany jezior </w:t>
      </w:r>
      <w:r w:rsidR="00650DD1">
        <w:rPr>
          <w:bCs/>
          <w:sz w:val="24"/>
          <w:szCs w:val="24"/>
        </w:rPr>
        <w:br/>
      </w:r>
      <w:r w:rsidRPr="001079D5">
        <w:rPr>
          <w:bCs/>
          <w:sz w:val="24"/>
          <w:szCs w:val="24"/>
        </w:rPr>
        <w:t>i zbiorników wodnych. 20 lat Polskiego Towarzystwa Limnologicznego".</w:t>
      </w:r>
    </w:p>
    <w:p w14:paraId="19688562" w14:textId="77777777" w:rsidR="001079D5" w:rsidRPr="001079D5" w:rsidRDefault="001079D5" w:rsidP="00D74E0B">
      <w:pPr>
        <w:numPr>
          <w:ilvl w:val="0"/>
          <w:numId w:val="338"/>
        </w:numPr>
        <w:spacing w:after="0" w:line="300" w:lineRule="atLeast"/>
        <w:jc w:val="both"/>
        <w:rPr>
          <w:rFonts w:ascii="Times New Roman" w:hAnsi="Times New Roman" w:cs="Times New Roman"/>
          <w:sz w:val="24"/>
          <w:szCs w:val="24"/>
        </w:rPr>
      </w:pPr>
      <w:r w:rsidRPr="001079D5">
        <w:rPr>
          <w:rFonts w:ascii="Times New Roman" w:hAnsi="Times New Roman" w:cs="Times New Roman"/>
          <w:sz w:val="24"/>
          <w:szCs w:val="24"/>
        </w:rPr>
        <w:t xml:space="preserve">Seminarium „Monitoring siedlisk przyrodniczych w Polsce – wyniki, zagadnienia metodyczne, kierunki rozwoju” zorganizowane w formie sesji referatowej oraz warsztatów terenowych z zakresu monitoringu siedlisk przyrodniczych w miejscowości Kokotek w województwie śląskim w dniach 21-22 czerwca 2022 r. </w:t>
      </w:r>
    </w:p>
    <w:p w14:paraId="59D1B786" w14:textId="77777777" w:rsidR="001079D5" w:rsidRPr="001079D5" w:rsidRDefault="001079D5" w:rsidP="00D74E0B">
      <w:pPr>
        <w:numPr>
          <w:ilvl w:val="0"/>
          <w:numId w:val="338"/>
        </w:numPr>
        <w:spacing w:after="0" w:line="300" w:lineRule="atLeast"/>
        <w:jc w:val="both"/>
        <w:rPr>
          <w:rFonts w:ascii="Times New Roman" w:hAnsi="Times New Roman" w:cs="Times New Roman"/>
          <w:sz w:val="24"/>
          <w:szCs w:val="24"/>
        </w:rPr>
      </w:pPr>
      <w:r w:rsidRPr="001079D5">
        <w:rPr>
          <w:rFonts w:ascii="Times New Roman" w:hAnsi="Times New Roman" w:cs="Times New Roman"/>
          <w:sz w:val="24"/>
          <w:szCs w:val="24"/>
        </w:rPr>
        <w:t xml:space="preserve">XXX Sympozjum Zintegrowanego Monitoringu Środowiska Przyrodniczego „Współczesne przemiany naturalne i antropogeniczne środowiska przyrodniczego </w:t>
      </w:r>
      <w:r w:rsidRPr="001079D5">
        <w:rPr>
          <w:rFonts w:ascii="Times New Roman" w:hAnsi="Times New Roman" w:cs="Times New Roman"/>
          <w:sz w:val="24"/>
          <w:szCs w:val="24"/>
        </w:rPr>
        <w:lastRenderedPageBreak/>
        <w:t xml:space="preserve">zlewnych rzecznych i jeziornych” Szczecinek-Storkowo w Województwie Zachodnio-Pomorskim w dniach 8-10 czerwca 2022 r. </w:t>
      </w:r>
    </w:p>
    <w:p w14:paraId="5D7A6EFD" w14:textId="77777777" w:rsidR="001079D5" w:rsidRPr="001079D5" w:rsidRDefault="001079D5" w:rsidP="00D74E0B">
      <w:pPr>
        <w:numPr>
          <w:ilvl w:val="0"/>
          <w:numId w:val="338"/>
        </w:numPr>
        <w:spacing w:after="0" w:line="300" w:lineRule="atLeast"/>
        <w:jc w:val="both"/>
        <w:rPr>
          <w:rFonts w:ascii="Times New Roman" w:hAnsi="Times New Roman" w:cs="Times New Roman"/>
          <w:sz w:val="24"/>
          <w:szCs w:val="24"/>
        </w:rPr>
      </w:pPr>
      <w:r w:rsidRPr="001079D5">
        <w:rPr>
          <w:rFonts w:ascii="Times New Roman" w:hAnsi="Times New Roman" w:cs="Times New Roman"/>
          <w:sz w:val="24"/>
          <w:szCs w:val="24"/>
        </w:rPr>
        <w:t>Seminarium Zintegrowanego Monitoringu Środowiska Przyrodniczego „Procesy ekstremalne i ich wpływ na przemiany środowiska przyrodniczego Polski w warunkach zmian klimatu i narastającej antropopresji”, Warszawa, 12 grudnia 2022 r. (zorganizowane we współpracy z Instytutem Geografii i Przestrzennego Zagospodarowania PAN – stacja ZMŚP Beskid Niski oraz Uniwersytetem im. Adama Mickiewicza w Poznaniu).</w:t>
      </w:r>
    </w:p>
    <w:p w14:paraId="3D00BB8C" w14:textId="77777777" w:rsidR="001079D5" w:rsidRPr="001079D5" w:rsidRDefault="001079D5" w:rsidP="00D74E0B">
      <w:pPr>
        <w:numPr>
          <w:ilvl w:val="0"/>
          <w:numId w:val="338"/>
        </w:numPr>
        <w:spacing w:after="0" w:line="300" w:lineRule="atLeast"/>
        <w:jc w:val="both"/>
        <w:rPr>
          <w:rFonts w:ascii="Times New Roman" w:hAnsi="Times New Roman" w:cs="Times New Roman"/>
          <w:sz w:val="24"/>
          <w:szCs w:val="24"/>
        </w:rPr>
      </w:pPr>
      <w:r w:rsidRPr="001079D5">
        <w:rPr>
          <w:rFonts w:ascii="Times New Roman" w:hAnsi="Times New Roman" w:cs="Times New Roman"/>
          <w:sz w:val="24"/>
          <w:szCs w:val="24"/>
        </w:rPr>
        <w:t>XII Konferencja Naukowa „Ochrona Powietrza w Teorii i Praktyce” w dniach od 18-21 października 2022 r.</w:t>
      </w:r>
    </w:p>
    <w:p w14:paraId="6027C951" w14:textId="77777777" w:rsidR="001079D5" w:rsidRPr="001079D5" w:rsidRDefault="001079D5" w:rsidP="00D74E0B">
      <w:pPr>
        <w:numPr>
          <w:ilvl w:val="0"/>
          <w:numId w:val="338"/>
        </w:numPr>
        <w:spacing w:after="0" w:line="300" w:lineRule="atLeast"/>
        <w:jc w:val="both"/>
        <w:rPr>
          <w:rFonts w:ascii="Times New Roman" w:hAnsi="Times New Roman" w:cs="Times New Roman"/>
          <w:sz w:val="24"/>
          <w:szCs w:val="24"/>
        </w:rPr>
      </w:pPr>
      <w:r w:rsidRPr="001079D5">
        <w:rPr>
          <w:rFonts w:ascii="Times New Roman" w:hAnsi="Times New Roman" w:cs="Times New Roman"/>
          <w:bCs/>
          <w:sz w:val="24"/>
          <w:szCs w:val="24"/>
        </w:rPr>
        <w:t>Otwartość dla sprawiedliwości klimatycznej. Nauka – Przyroda – Społeczeństwo.</w:t>
      </w:r>
    </w:p>
    <w:p w14:paraId="716311FF" w14:textId="77777777" w:rsidR="001079D5" w:rsidRPr="001079D5" w:rsidRDefault="001079D5" w:rsidP="00D74E0B">
      <w:pPr>
        <w:numPr>
          <w:ilvl w:val="0"/>
          <w:numId w:val="338"/>
        </w:numPr>
        <w:spacing w:after="0" w:line="300" w:lineRule="atLeast"/>
        <w:jc w:val="both"/>
        <w:rPr>
          <w:rFonts w:ascii="Times New Roman" w:hAnsi="Times New Roman" w:cs="Times New Roman"/>
          <w:sz w:val="24"/>
          <w:szCs w:val="24"/>
        </w:rPr>
      </w:pPr>
      <w:r w:rsidRPr="001079D5">
        <w:rPr>
          <w:rFonts w:ascii="Times New Roman" w:hAnsi="Times New Roman" w:cs="Times New Roman"/>
          <w:sz w:val="24"/>
          <w:szCs w:val="24"/>
        </w:rPr>
        <w:t xml:space="preserve">Konferencja </w:t>
      </w:r>
      <w:r w:rsidRPr="001079D5">
        <w:rPr>
          <w:rFonts w:ascii="Times New Roman" w:hAnsi="Times New Roman" w:cs="Times New Roman"/>
          <w:i/>
          <w:iCs/>
          <w:sz w:val="24"/>
          <w:szCs w:val="24"/>
        </w:rPr>
        <w:t xml:space="preserve">Stosowanie przepisów, mających na celu poprawę jakości powietrza, </w:t>
      </w:r>
      <w:r w:rsidRPr="001079D5">
        <w:rPr>
          <w:rFonts w:ascii="Times New Roman" w:hAnsi="Times New Roman" w:cs="Times New Roman"/>
          <w:i/>
          <w:iCs/>
          <w:sz w:val="24"/>
          <w:szCs w:val="24"/>
        </w:rPr>
        <w:br/>
        <w:t>w świetle obecnej sytuacji prawnej oraz sytuacji na rynku paliw energetycznych,</w:t>
      </w:r>
      <w:r w:rsidRPr="001079D5">
        <w:rPr>
          <w:rFonts w:ascii="Times New Roman" w:hAnsi="Times New Roman" w:cs="Times New Roman"/>
          <w:sz w:val="24"/>
          <w:szCs w:val="24"/>
        </w:rPr>
        <w:t xml:space="preserve"> zorganizowana przez:  Śląski Związek Gmin i Powiatów, Województwo Śląskie, Wojewódzki Inspektorat Ochrony Środowiska w Katowicach.</w:t>
      </w:r>
    </w:p>
    <w:p w14:paraId="00B66139" w14:textId="77777777" w:rsidR="001079D5" w:rsidRPr="001079D5" w:rsidRDefault="001079D5" w:rsidP="00D74E0B">
      <w:pPr>
        <w:numPr>
          <w:ilvl w:val="0"/>
          <w:numId w:val="338"/>
        </w:numPr>
        <w:spacing w:after="0" w:line="300" w:lineRule="atLeast"/>
        <w:jc w:val="both"/>
        <w:rPr>
          <w:rFonts w:ascii="Times New Roman" w:hAnsi="Times New Roman" w:cs="Times New Roman"/>
          <w:sz w:val="24"/>
          <w:szCs w:val="24"/>
        </w:rPr>
      </w:pPr>
      <w:r w:rsidRPr="001079D5">
        <w:rPr>
          <w:rFonts w:ascii="Times New Roman" w:hAnsi="Times New Roman" w:cs="Times New Roman"/>
          <w:bCs/>
          <w:sz w:val="24"/>
          <w:szCs w:val="24"/>
        </w:rPr>
        <w:t xml:space="preserve">Debata pt. „Dzień z Inspekcją Ochrony Środowiska on-line” z okazji obchodzonego </w:t>
      </w:r>
      <w:r w:rsidRPr="001079D5">
        <w:rPr>
          <w:rFonts w:ascii="Times New Roman" w:hAnsi="Times New Roman" w:cs="Times New Roman"/>
          <w:bCs/>
          <w:sz w:val="24"/>
          <w:szCs w:val="24"/>
        </w:rPr>
        <w:br/>
        <w:t>22 kwietnia 2022 r. DNIA ZIEMI.</w:t>
      </w:r>
    </w:p>
    <w:p w14:paraId="6FBC654D" w14:textId="0A51CDB6" w:rsidR="001079D5" w:rsidRPr="001079D5" w:rsidRDefault="001079D5" w:rsidP="00D74E0B">
      <w:pPr>
        <w:numPr>
          <w:ilvl w:val="0"/>
          <w:numId w:val="338"/>
        </w:numPr>
        <w:spacing w:after="0" w:line="300" w:lineRule="atLeast"/>
        <w:jc w:val="both"/>
        <w:rPr>
          <w:rFonts w:ascii="Times New Roman" w:hAnsi="Times New Roman" w:cs="Times New Roman"/>
          <w:sz w:val="24"/>
          <w:szCs w:val="24"/>
        </w:rPr>
      </w:pPr>
      <w:r w:rsidRPr="001079D5">
        <w:rPr>
          <w:rFonts w:ascii="Times New Roman" w:hAnsi="Times New Roman" w:cs="Times New Roman"/>
          <w:bCs/>
          <w:sz w:val="24"/>
          <w:szCs w:val="24"/>
        </w:rPr>
        <w:t>VIII Obchody Darów Świętokrzyskich Lasów, Stadion Leśny w Kielcach</w:t>
      </w:r>
      <w:r w:rsidR="00650DD1">
        <w:rPr>
          <w:rFonts w:ascii="Times New Roman" w:hAnsi="Times New Roman" w:cs="Times New Roman"/>
          <w:bCs/>
          <w:sz w:val="24"/>
          <w:szCs w:val="24"/>
        </w:rPr>
        <w:t>,</w:t>
      </w:r>
      <w:r w:rsidRPr="001079D5">
        <w:rPr>
          <w:rFonts w:ascii="Times New Roman" w:hAnsi="Times New Roman" w:cs="Times New Roman"/>
          <w:bCs/>
          <w:sz w:val="24"/>
          <w:szCs w:val="24"/>
        </w:rPr>
        <w:t xml:space="preserve"> 18</w:t>
      </w:r>
      <w:r w:rsidR="00650DD1">
        <w:rPr>
          <w:rFonts w:ascii="Times New Roman" w:hAnsi="Times New Roman" w:cs="Times New Roman"/>
          <w:bCs/>
          <w:sz w:val="24"/>
          <w:szCs w:val="24"/>
        </w:rPr>
        <w:t xml:space="preserve"> września</w:t>
      </w:r>
      <w:r w:rsidRPr="001079D5">
        <w:rPr>
          <w:rFonts w:ascii="Times New Roman" w:hAnsi="Times New Roman" w:cs="Times New Roman"/>
          <w:bCs/>
          <w:sz w:val="24"/>
          <w:szCs w:val="24"/>
        </w:rPr>
        <w:br/>
        <w:t>2022 r.</w:t>
      </w:r>
    </w:p>
    <w:p w14:paraId="29873183" w14:textId="2415A78F" w:rsidR="001079D5" w:rsidRPr="001079D5" w:rsidRDefault="001079D5" w:rsidP="00D74E0B">
      <w:pPr>
        <w:pStyle w:val="Akapitzlist"/>
        <w:numPr>
          <w:ilvl w:val="0"/>
          <w:numId w:val="338"/>
        </w:numPr>
        <w:spacing w:line="300" w:lineRule="atLeast"/>
        <w:ind w:left="714" w:hanging="357"/>
        <w:jc w:val="both"/>
        <w:rPr>
          <w:bCs/>
          <w:sz w:val="24"/>
          <w:szCs w:val="24"/>
        </w:rPr>
      </w:pPr>
      <w:r w:rsidRPr="001079D5">
        <w:rPr>
          <w:bCs/>
          <w:sz w:val="24"/>
          <w:szCs w:val="24"/>
        </w:rPr>
        <w:t xml:space="preserve">Uroczysta sesja naukowa z okazji 10-lecia Wydziału Inżynierii Środowiska, </w:t>
      </w:r>
      <w:proofErr w:type="spellStart"/>
      <w:r w:rsidRPr="001079D5">
        <w:rPr>
          <w:bCs/>
          <w:sz w:val="24"/>
          <w:szCs w:val="24"/>
        </w:rPr>
        <w:t>Geomatyki</w:t>
      </w:r>
      <w:proofErr w:type="spellEnd"/>
      <w:r w:rsidRPr="001079D5">
        <w:rPr>
          <w:bCs/>
          <w:sz w:val="24"/>
          <w:szCs w:val="24"/>
        </w:rPr>
        <w:t xml:space="preserve"> i Energetyki pt. „SMART CITY – nowoczesne technologie i inteligentne rozwiązania w zarządzaniu miastami” Kielce, 27</w:t>
      </w:r>
      <w:r w:rsidR="00650DD1">
        <w:rPr>
          <w:bCs/>
          <w:sz w:val="24"/>
          <w:szCs w:val="24"/>
          <w:lang w:val="pl-PL"/>
        </w:rPr>
        <w:t xml:space="preserve"> września </w:t>
      </w:r>
      <w:r w:rsidRPr="001079D5">
        <w:rPr>
          <w:bCs/>
          <w:sz w:val="24"/>
          <w:szCs w:val="24"/>
        </w:rPr>
        <w:t>2022 r.</w:t>
      </w:r>
    </w:p>
    <w:p w14:paraId="42833B3E" w14:textId="3D72FBF9" w:rsidR="001079D5" w:rsidRPr="001079D5" w:rsidRDefault="001079D5" w:rsidP="00D74E0B">
      <w:pPr>
        <w:numPr>
          <w:ilvl w:val="0"/>
          <w:numId w:val="338"/>
        </w:numPr>
        <w:spacing w:after="0" w:line="300" w:lineRule="atLeast"/>
        <w:jc w:val="both"/>
        <w:rPr>
          <w:rFonts w:ascii="Times New Roman" w:hAnsi="Times New Roman" w:cs="Times New Roman"/>
          <w:sz w:val="24"/>
          <w:szCs w:val="24"/>
        </w:rPr>
      </w:pPr>
      <w:r w:rsidRPr="001079D5">
        <w:rPr>
          <w:rFonts w:ascii="Times New Roman" w:hAnsi="Times New Roman" w:cs="Times New Roman"/>
          <w:bCs/>
          <w:sz w:val="24"/>
          <w:szCs w:val="24"/>
        </w:rPr>
        <w:t>Spotkanie połączonych Rad Naukowo-Społecznych Leśnych Kompleksów Promocyjnych „Puszcza Kozienicka” oraz „Puszcza Świętokrzyska”, Umianowice</w:t>
      </w:r>
      <w:r w:rsidR="00650DD1">
        <w:rPr>
          <w:rFonts w:ascii="Times New Roman" w:hAnsi="Times New Roman" w:cs="Times New Roman"/>
          <w:bCs/>
          <w:sz w:val="24"/>
          <w:szCs w:val="24"/>
        </w:rPr>
        <w:t>,</w:t>
      </w:r>
      <w:r w:rsidRPr="001079D5">
        <w:rPr>
          <w:rFonts w:ascii="Times New Roman" w:hAnsi="Times New Roman" w:cs="Times New Roman"/>
          <w:bCs/>
          <w:sz w:val="24"/>
          <w:szCs w:val="24"/>
        </w:rPr>
        <w:t xml:space="preserve"> 29</w:t>
      </w:r>
      <w:r w:rsidR="00650DD1">
        <w:rPr>
          <w:rFonts w:ascii="Times New Roman" w:hAnsi="Times New Roman" w:cs="Times New Roman"/>
          <w:bCs/>
          <w:sz w:val="24"/>
          <w:szCs w:val="24"/>
        </w:rPr>
        <w:t xml:space="preserve"> listopada </w:t>
      </w:r>
      <w:r w:rsidRPr="001079D5">
        <w:rPr>
          <w:rFonts w:ascii="Times New Roman" w:hAnsi="Times New Roman" w:cs="Times New Roman"/>
          <w:bCs/>
          <w:sz w:val="24"/>
          <w:szCs w:val="24"/>
        </w:rPr>
        <w:t>2022 r.</w:t>
      </w:r>
    </w:p>
    <w:p w14:paraId="3F848C65" w14:textId="689202EA" w:rsidR="001079D5" w:rsidRPr="001079D5" w:rsidRDefault="001079D5" w:rsidP="00D74E0B">
      <w:pPr>
        <w:pStyle w:val="Akapitzlist"/>
        <w:numPr>
          <w:ilvl w:val="0"/>
          <w:numId w:val="338"/>
        </w:numPr>
        <w:spacing w:line="300" w:lineRule="atLeast"/>
        <w:jc w:val="both"/>
        <w:rPr>
          <w:bCs/>
          <w:sz w:val="24"/>
          <w:szCs w:val="24"/>
        </w:rPr>
      </w:pPr>
      <w:r w:rsidRPr="001079D5">
        <w:rPr>
          <w:bCs/>
          <w:sz w:val="24"/>
          <w:szCs w:val="24"/>
        </w:rPr>
        <w:t>Posiedzenie Rady Zespołu Świętokrzyskich i Nadnidziańskich Parków Krajobrazowych” w Ośrodku Edukacji Przyrodniczej w Umianowicach, 16</w:t>
      </w:r>
      <w:r w:rsidR="00650DD1">
        <w:rPr>
          <w:bCs/>
          <w:sz w:val="24"/>
          <w:szCs w:val="24"/>
          <w:lang w:val="pl-PL"/>
        </w:rPr>
        <w:t xml:space="preserve"> grudnia </w:t>
      </w:r>
      <w:r w:rsidRPr="001079D5">
        <w:rPr>
          <w:bCs/>
          <w:sz w:val="24"/>
          <w:szCs w:val="24"/>
        </w:rPr>
        <w:t>2022 r.</w:t>
      </w:r>
    </w:p>
    <w:p w14:paraId="5B0AD47C" w14:textId="77777777" w:rsidR="001079D5" w:rsidRPr="001079D5" w:rsidRDefault="001079D5" w:rsidP="00D74E0B">
      <w:pPr>
        <w:numPr>
          <w:ilvl w:val="0"/>
          <w:numId w:val="338"/>
        </w:numPr>
        <w:spacing w:after="0" w:line="300" w:lineRule="atLeast"/>
        <w:jc w:val="both"/>
        <w:rPr>
          <w:rFonts w:ascii="Times New Roman" w:hAnsi="Times New Roman" w:cs="Times New Roman"/>
          <w:sz w:val="24"/>
          <w:szCs w:val="24"/>
        </w:rPr>
      </w:pPr>
      <w:r w:rsidRPr="001079D5">
        <w:rPr>
          <w:rFonts w:ascii="Times New Roman" w:hAnsi="Times New Roman" w:cs="Times New Roman"/>
          <w:color w:val="000000"/>
          <w:sz w:val="24"/>
          <w:szCs w:val="24"/>
        </w:rPr>
        <w:t>Konferencja Eko – Dok 2022, Boguszów-Gorce.</w:t>
      </w:r>
    </w:p>
    <w:p w14:paraId="2F27AED8" w14:textId="4A1ADF6C" w:rsidR="001079D5" w:rsidRPr="007F400A" w:rsidRDefault="00895F16" w:rsidP="00D74E0B">
      <w:pPr>
        <w:spacing w:after="0" w:line="300" w:lineRule="atLeast"/>
        <w:ind w:firstLine="567"/>
        <w:jc w:val="both"/>
        <w:rPr>
          <w:rFonts w:ascii="Times New Roman" w:hAnsi="Times New Roman" w:cs="Times New Roman"/>
          <w:sz w:val="24"/>
          <w:szCs w:val="24"/>
        </w:rPr>
      </w:pPr>
      <w:r w:rsidRPr="007F400A">
        <w:rPr>
          <w:rFonts w:ascii="Times New Roman" w:hAnsi="Times New Roman" w:cs="Times New Roman"/>
          <w:sz w:val="24"/>
          <w:szCs w:val="24"/>
        </w:rPr>
        <w:t xml:space="preserve"> </w:t>
      </w:r>
    </w:p>
    <w:p w14:paraId="4D73EFC9" w14:textId="568CCF24" w:rsidR="00895F16" w:rsidRPr="007F400A" w:rsidRDefault="00895F16" w:rsidP="00D74E0B">
      <w:pPr>
        <w:spacing w:after="240" w:line="300" w:lineRule="atLeast"/>
        <w:jc w:val="both"/>
        <w:rPr>
          <w:rFonts w:ascii="Times New Roman" w:hAnsi="Times New Roman" w:cs="Times New Roman"/>
          <w:color w:val="000000"/>
          <w:sz w:val="24"/>
          <w:szCs w:val="24"/>
          <w:u w:val="single"/>
        </w:rPr>
      </w:pPr>
      <w:r w:rsidRPr="007F400A">
        <w:rPr>
          <w:rFonts w:ascii="Times New Roman" w:hAnsi="Times New Roman" w:cs="Times New Roman"/>
          <w:color w:val="000000"/>
          <w:sz w:val="24"/>
          <w:szCs w:val="24"/>
          <w:u w:val="single"/>
        </w:rPr>
        <w:t>Informacje o przekazanych i udostępnianych danych związanych ze środowiskiem i jego ochroną, z uwzględnieniem danych otwartych</w:t>
      </w:r>
      <w:r w:rsidR="004966BE" w:rsidRPr="007F400A">
        <w:rPr>
          <w:rFonts w:ascii="Times New Roman" w:hAnsi="Times New Roman" w:cs="Times New Roman"/>
          <w:color w:val="000000"/>
          <w:sz w:val="24"/>
          <w:szCs w:val="24"/>
          <w:u w:val="single"/>
        </w:rPr>
        <w:t xml:space="preserve"> </w:t>
      </w:r>
      <w:r w:rsidRPr="007F400A">
        <w:rPr>
          <w:rFonts w:ascii="Times New Roman" w:hAnsi="Times New Roman" w:cs="Times New Roman"/>
          <w:color w:val="000000"/>
          <w:sz w:val="24"/>
          <w:szCs w:val="24"/>
          <w:u w:val="single"/>
        </w:rPr>
        <w:t>w rozumieniu</w:t>
      </w:r>
      <w:r w:rsidR="004966BE" w:rsidRPr="007F400A">
        <w:rPr>
          <w:rFonts w:ascii="Times New Roman" w:hAnsi="Times New Roman" w:cs="Times New Roman"/>
          <w:color w:val="000000"/>
          <w:sz w:val="24"/>
          <w:szCs w:val="24"/>
          <w:u w:val="single"/>
        </w:rPr>
        <w:t xml:space="preserve"> </w:t>
      </w:r>
      <w:r w:rsidRPr="007F400A">
        <w:rPr>
          <w:rFonts w:ascii="Times New Roman" w:hAnsi="Times New Roman" w:cs="Times New Roman"/>
          <w:color w:val="000000"/>
          <w:sz w:val="24"/>
          <w:szCs w:val="24"/>
          <w:u w:val="single"/>
        </w:rPr>
        <w:t xml:space="preserve">ustawy z dnia 11 sierpnia </w:t>
      </w:r>
      <w:r w:rsidRPr="007F400A">
        <w:rPr>
          <w:rFonts w:ascii="Times New Roman" w:hAnsi="Times New Roman" w:cs="Times New Roman"/>
          <w:color w:val="000000"/>
          <w:sz w:val="24"/>
          <w:szCs w:val="24"/>
          <w:u w:val="single"/>
        </w:rPr>
        <w:br/>
        <w:t xml:space="preserve">2021 r. o otwartych danych i ponownym wykorzystywaniu informacji sektora publicznego </w:t>
      </w:r>
      <w:r w:rsidRPr="007F400A">
        <w:rPr>
          <w:rFonts w:ascii="Times New Roman" w:hAnsi="Times New Roman" w:cs="Times New Roman"/>
          <w:color w:val="000000"/>
          <w:sz w:val="24"/>
          <w:szCs w:val="24"/>
          <w:u w:val="single"/>
        </w:rPr>
        <w:br/>
        <w:t>oraz informacja, czego najczęściej dotyczyły wnioski</w:t>
      </w:r>
    </w:p>
    <w:p w14:paraId="033D7BED" w14:textId="77777777" w:rsidR="001079D5" w:rsidRPr="00AF7B54" w:rsidRDefault="001079D5" w:rsidP="00D74E0B">
      <w:pPr>
        <w:spacing w:after="60" w:line="300" w:lineRule="atLeast"/>
        <w:ind w:firstLine="357"/>
        <w:jc w:val="both"/>
        <w:rPr>
          <w:rFonts w:ascii="Times New Roman" w:hAnsi="Times New Roman" w:cs="Times New Roman"/>
          <w:sz w:val="24"/>
          <w:szCs w:val="24"/>
        </w:rPr>
      </w:pPr>
      <w:r w:rsidRPr="00AF7B54">
        <w:rPr>
          <w:rFonts w:ascii="Times New Roman" w:hAnsi="Times New Roman" w:cs="Times New Roman"/>
          <w:sz w:val="24"/>
          <w:szCs w:val="24"/>
        </w:rPr>
        <w:t>Dane Państwowego Monitoringu Środowiska w zakresie monitoringu jakości wód powierzchniowych i podziemnych zostały przekazane do:</w:t>
      </w:r>
    </w:p>
    <w:p w14:paraId="68C7EB24" w14:textId="77777777" w:rsidR="001079D5" w:rsidRPr="00AF7B54" w:rsidRDefault="001079D5" w:rsidP="00D74E0B">
      <w:pPr>
        <w:numPr>
          <w:ilvl w:val="0"/>
          <w:numId w:val="339"/>
        </w:numPr>
        <w:spacing w:after="0" w:line="300" w:lineRule="atLeast"/>
        <w:ind w:left="714" w:hanging="357"/>
        <w:jc w:val="both"/>
        <w:rPr>
          <w:rFonts w:ascii="Times New Roman" w:hAnsi="Times New Roman" w:cs="Times New Roman"/>
          <w:sz w:val="24"/>
          <w:szCs w:val="24"/>
        </w:rPr>
      </w:pPr>
      <w:r w:rsidRPr="00AF7B54">
        <w:rPr>
          <w:rFonts w:ascii="Times New Roman" w:hAnsi="Times New Roman" w:cs="Times New Roman"/>
          <w:sz w:val="24"/>
          <w:szCs w:val="24"/>
        </w:rPr>
        <w:t>wyniki badań za 2021 rok na potrzeby Systemu Informatycznego Gospodarki Wodnej – dane przekazane do Państwowego Gospodarstwa Wodnego Wody Polskie;</w:t>
      </w:r>
    </w:p>
    <w:p w14:paraId="5894BF30" w14:textId="77777777" w:rsidR="001079D5" w:rsidRPr="00AF7B54" w:rsidRDefault="001079D5" w:rsidP="00D74E0B">
      <w:pPr>
        <w:numPr>
          <w:ilvl w:val="0"/>
          <w:numId w:val="339"/>
        </w:numPr>
        <w:spacing w:after="0" w:line="300" w:lineRule="atLeast"/>
        <w:ind w:left="714" w:hanging="357"/>
        <w:jc w:val="both"/>
        <w:rPr>
          <w:rFonts w:ascii="Times New Roman" w:hAnsi="Times New Roman" w:cs="Times New Roman"/>
          <w:sz w:val="24"/>
          <w:szCs w:val="24"/>
        </w:rPr>
      </w:pPr>
      <w:r w:rsidRPr="00AF7B54">
        <w:rPr>
          <w:rFonts w:ascii="Times New Roman" w:hAnsi="Times New Roman" w:cs="Times New Roman"/>
          <w:sz w:val="24"/>
          <w:szCs w:val="24"/>
        </w:rPr>
        <w:t>wyniki badań za 2021 rok na potrzeby dokonania oceny skuteczności programu działań mającego na celu zmniejszenie zanieczyszczeń wód azotanami ze źródeł rolniczych oraz zapobieganie dalszemu zanieczyszczeniu – dane przekazane do Ministerstwa Infrastruktury;</w:t>
      </w:r>
    </w:p>
    <w:p w14:paraId="5D776FA0" w14:textId="77777777" w:rsidR="001079D5" w:rsidRPr="00AF7B54" w:rsidRDefault="001079D5" w:rsidP="00D74E0B">
      <w:pPr>
        <w:numPr>
          <w:ilvl w:val="0"/>
          <w:numId w:val="339"/>
        </w:numPr>
        <w:spacing w:after="0" w:line="300" w:lineRule="atLeast"/>
        <w:ind w:left="714" w:hanging="357"/>
        <w:jc w:val="both"/>
        <w:rPr>
          <w:rFonts w:ascii="Times New Roman" w:hAnsi="Times New Roman" w:cs="Times New Roman"/>
          <w:sz w:val="24"/>
          <w:szCs w:val="24"/>
        </w:rPr>
      </w:pPr>
      <w:r w:rsidRPr="00AF7B54">
        <w:rPr>
          <w:rFonts w:ascii="Times New Roman" w:hAnsi="Times New Roman" w:cs="Times New Roman"/>
          <w:sz w:val="24"/>
          <w:szCs w:val="24"/>
        </w:rPr>
        <w:t>wyniki klasyfikacji jakości wód podziemnych w punktach pomiarowych za 2021 rok na potrzeby statystyki publicznej w zakresie stanu środowiska – dane przekazane do GUS;</w:t>
      </w:r>
    </w:p>
    <w:p w14:paraId="4A022923" w14:textId="77777777" w:rsidR="001079D5" w:rsidRPr="00AF7B54" w:rsidRDefault="001079D5" w:rsidP="00D74E0B">
      <w:pPr>
        <w:numPr>
          <w:ilvl w:val="0"/>
          <w:numId w:val="339"/>
        </w:numPr>
        <w:spacing w:after="0" w:line="300" w:lineRule="atLeast"/>
        <w:ind w:left="714" w:hanging="357"/>
        <w:jc w:val="both"/>
        <w:rPr>
          <w:rFonts w:ascii="Times New Roman" w:hAnsi="Times New Roman" w:cs="Times New Roman"/>
          <w:sz w:val="24"/>
          <w:szCs w:val="24"/>
        </w:rPr>
      </w:pPr>
      <w:r w:rsidRPr="00AF7B54">
        <w:rPr>
          <w:rFonts w:ascii="Times New Roman" w:hAnsi="Times New Roman" w:cs="Times New Roman"/>
          <w:sz w:val="24"/>
          <w:szCs w:val="24"/>
        </w:rPr>
        <w:lastRenderedPageBreak/>
        <w:t>wyniki oceny stanu jednolitych części wód powierzchniowych wykonanej za lata 2016-2021 – dane przekazane do GUS;</w:t>
      </w:r>
    </w:p>
    <w:p w14:paraId="4FF0FFA7" w14:textId="77777777" w:rsidR="001079D5" w:rsidRPr="00AF7B54" w:rsidRDefault="001079D5" w:rsidP="00D74E0B">
      <w:pPr>
        <w:numPr>
          <w:ilvl w:val="0"/>
          <w:numId w:val="339"/>
        </w:numPr>
        <w:spacing w:after="120" w:line="300" w:lineRule="atLeast"/>
        <w:ind w:left="714" w:hanging="357"/>
        <w:jc w:val="both"/>
        <w:rPr>
          <w:rFonts w:ascii="Times New Roman" w:hAnsi="Times New Roman" w:cs="Times New Roman"/>
          <w:sz w:val="24"/>
          <w:szCs w:val="24"/>
        </w:rPr>
      </w:pPr>
      <w:proofErr w:type="spellStart"/>
      <w:r w:rsidRPr="00AF7B54">
        <w:rPr>
          <w:rFonts w:ascii="Times New Roman" w:hAnsi="Times New Roman" w:cs="Times New Roman"/>
          <w:sz w:val="24"/>
          <w:szCs w:val="24"/>
        </w:rPr>
        <w:t>MRiRW</w:t>
      </w:r>
      <w:proofErr w:type="spellEnd"/>
      <w:r w:rsidRPr="00AF7B54">
        <w:rPr>
          <w:rFonts w:ascii="Times New Roman" w:hAnsi="Times New Roman" w:cs="Times New Roman"/>
          <w:sz w:val="24"/>
          <w:szCs w:val="24"/>
        </w:rPr>
        <w:t xml:space="preserve"> – informacja o wynikach badań pestycydów w wodach podziemnych za 2021 rok na potrzeby opracowania sprawozdania z realizacji Krajowego planu działania na rzecz ograniczenia ryzyka związanego ze stosowaniem środków ochrony roślin na lata 2018-2022. </w:t>
      </w:r>
    </w:p>
    <w:p w14:paraId="6B8C7EA2" w14:textId="77777777" w:rsidR="001079D5" w:rsidRPr="00AF7B54" w:rsidRDefault="001079D5" w:rsidP="00D74E0B">
      <w:pPr>
        <w:spacing w:line="300" w:lineRule="atLeast"/>
        <w:ind w:firstLine="357"/>
        <w:jc w:val="both"/>
        <w:rPr>
          <w:rFonts w:ascii="Times New Roman" w:eastAsia="Calibri" w:hAnsi="Times New Roman" w:cs="Times New Roman"/>
          <w:sz w:val="24"/>
          <w:szCs w:val="24"/>
        </w:rPr>
      </w:pPr>
      <w:bookmarkStart w:id="463" w:name="_Hlk127872217"/>
      <w:r w:rsidRPr="00AF7B54">
        <w:rPr>
          <w:rFonts w:ascii="Times New Roman" w:eastAsia="Calibri" w:hAnsi="Times New Roman" w:cs="Times New Roman"/>
          <w:sz w:val="24"/>
          <w:szCs w:val="24"/>
        </w:rPr>
        <w:t xml:space="preserve">GIOŚ dane pozyskane w ramach realizacji zadań Państwowego Monitoringu Środowiska (PMŚ) w zakresie monitoringu promieniowania jonizującego przekazuje w ramach współpracy do Państwowej Agencji Atomistyki. Dane pochodzące z PMŚ (ze stacji wczesnego wykrywania skażeń promieniotwórczych IMGW-PIB) przekazywane są w codziennych komunikatach do Centrum do Spraw Zdarzeń Radiacyjnych PAA i od 2022 roku publikowane na portalu mapowym – </w:t>
      </w:r>
      <w:r w:rsidRPr="00AF7B54">
        <w:rPr>
          <w:rFonts w:ascii="Times New Roman" w:eastAsia="Calibri" w:hAnsi="Times New Roman" w:cs="Times New Roman"/>
          <w:bCs/>
          <w:sz w:val="24"/>
          <w:szCs w:val="24"/>
        </w:rPr>
        <w:t>na interaktywnej mapie, obrazującej bieżącą sytuację radiacyjną kraju</w:t>
      </w:r>
      <w:bookmarkEnd w:id="463"/>
      <w:r w:rsidRPr="00AF7B54">
        <w:rPr>
          <w:rFonts w:ascii="Times New Roman" w:eastAsia="Calibri" w:hAnsi="Times New Roman" w:cs="Times New Roman"/>
          <w:bCs/>
          <w:sz w:val="24"/>
          <w:szCs w:val="24"/>
        </w:rPr>
        <w:t xml:space="preserve"> </w:t>
      </w:r>
      <w:hyperlink r:id="rId228" w:history="1">
        <w:r w:rsidRPr="00AF7B54">
          <w:rPr>
            <w:rStyle w:val="Hipercze"/>
            <w:rFonts w:eastAsia="Calibri"/>
            <w:sz w:val="24"/>
            <w:szCs w:val="24"/>
          </w:rPr>
          <w:t>https://monitoring.paa.gov.pl/maps-portal/</w:t>
        </w:r>
      </w:hyperlink>
      <w:r w:rsidRPr="00AF7B54">
        <w:rPr>
          <w:rFonts w:ascii="Times New Roman" w:eastAsia="Calibri" w:hAnsi="Times New Roman" w:cs="Times New Roman"/>
          <w:bCs/>
          <w:sz w:val="24"/>
          <w:szCs w:val="24"/>
        </w:rPr>
        <w:t xml:space="preserve"> .</w:t>
      </w:r>
    </w:p>
    <w:p w14:paraId="07E30C4F" w14:textId="77777777" w:rsidR="001079D5" w:rsidRPr="00AF7B54" w:rsidRDefault="001079D5" w:rsidP="00D74E0B">
      <w:pPr>
        <w:spacing w:line="300" w:lineRule="atLeast"/>
        <w:ind w:left="708"/>
        <w:jc w:val="both"/>
        <w:rPr>
          <w:rFonts w:ascii="Times New Roman" w:hAnsi="Times New Roman" w:cs="Times New Roman"/>
          <w:sz w:val="24"/>
          <w:szCs w:val="24"/>
        </w:rPr>
      </w:pPr>
    </w:p>
    <w:p w14:paraId="2C5BE521" w14:textId="77777777" w:rsidR="001079D5" w:rsidRPr="00AF7B54" w:rsidRDefault="001079D5" w:rsidP="001079D5">
      <w:pPr>
        <w:spacing w:after="120"/>
        <w:jc w:val="center"/>
        <w:rPr>
          <w:rFonts w:ascii="Times New Roman" w:hAnsi="Times New Roman" w:cs="Times New Roman"/>
          <w:sz w:val="24"/>
          <w:szCs w:val="24"/>
          <w:highlight w:val="yellow"/>
        </w:rPr>
      </w:pPr>
      <w:r w:rsidRPr="00AF7B54">
        <w:rPr>
          <w:rFonts w:ascii="Times New Roman" w:hAnsi="Times New Roman" w:cs="Times New Roman"/>
          <w:noProof/>
          <w:sz w:val="24"/>
          <w:szCs w:val="24"/>
          <w:lang w:eastAsia="pl-PL"/>
        </w:rPr>
        <w:drawing>
          <wp:inline distT="0" distB="0" distL="0" distR="0" wp14:anchorId="5C93E47C" wp14:editId="76CA28D5">
            <wp:extent cx="5760720" cy="2701925"/>
            <wp:effectExtent l="0" t="0" r="0" b="3175"/>
            <wp:docPr id="11" name="Obraz 11" descr="Zrzut ekranu Ryc. 36 Portal mapowy P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descr="Zrzut ekranu Ryc. 36 Portal mapowy PAA"/>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5760720" cy="2701925"/>
                    </a:xfrm>
                    <a:prstGeom prst="rect">
                      <a:avLst/>
                    </a:prstGeom>
                  </pic:spPr>
                </pic:pic>
              </a:graphicData>
            </a:graphic>
          </wp:inline>
        </w:drawing>
      </w:r>
    </w:p>
    <w:p w14:paraId="5C71DFD4" w14:textId="1F98920A" w:rsidR="001079D5" w:rsidRPr="0024039B" w:rsidRDefault="0024039B" w:rsidP="001079D5">
      <w:pPr>
        <w:spacing w:after="120"/>
        <w:jc w:val="center"/>
        <w:rPr>
          <w:rFonts w:ascii="Times New Roman" w:hAnsi="Times New Roman" w:cs="Times New Roman"/>
          <w:b/>
          <w:i/>
          <w:highlight w:val="yellow"/>
        </w:rPr>
      </w:pPr>
      <w:r w:rsidRPr="0024039B">
        <w:rPr>
          <w:rFonts w:ascii="Times New Roman" w:eastAsia="Calibri" w:hAnsi="Times New Roman" w:cs="Times New Roman"/>
          <w:b/>
          <w:i/>
        </w:rPr>
        <w:t xml:space="preserve">Ryc. 36 </w:t>
      </w:r>
      <w:r w:rsidR="001079D5" w:rsidRPr="0024039B">
        <w:rPr>
          <w:rFonts w:ascii="Times New Roman" w:eastAsia="Calibri" w:hAnsi="Times New Roman" w:cs="Times New Roman"/>
          <w:b/>
          <w:i/>
        </w:rPr>
        <w:t>Portal mapowy PAA</w:t>
      </w:r>
    </w:p>
    <w:p w14:paraId="17A4B4BD" w14:textId="7823706A" w:rsidR="001079D5" w:rsidRPr="00AF7B54" w:rsidRDefault="001079D5" w:rsidP="00D74E0B">
      <w:pPr>
        <w:spacing w:line="300" w:lineRule="atLeast"/>
        <w:ind w:firstLine="567"/>
        <w:jc w:val="both"/>
        <w:rPr>
          <w:rFonts w:ascii="Times New Roman" w:hAnsi="Times New Roman" w:cs="Times New Roman"/>
          <w:sz w:val="24"/>
          <w:szCs w:val="24"/>
        </w:rPr>
      </w:pPr>
      <w:r w:rsidRPr="00AF7B54">
        <w:rPr>
          <w:rFonts w:ascii="Times New Roman" w:hAnsi="Times New Roman" w:cs="Times New Roman"/>
          <w:sz w:val="24"/>
          <w:szCs w:val="24"/>
        </w:rPr>
        <w:t xml:space="preserve">Dane i informacje dotyczące stanu środowiska, wytwarzane m.in. w ramach PMŚ i/lub w ramach prac Europejskiej Sieci Informacji i Obserwacji Środowiska EIONET, przekazywane są także do innych instytucji, w tym m.in. do Komisji Europejskiej i Europejskiej Agencji Środowiska (EEA). Udostępniane i przetwarzane są m.in. w produktach, w tym licznych publikacjach i narzędziach internetowych, tworzonych przez EEA i konsultowanych z GIOŚ. Zapewniają one każdemu obywatelowi dostęp do kompleksowej oceny stanu środowiska Europy, w tym oddziałujących na niego presji i powiązanej z nim jakości życia, oraz dokonywania porównań między państwami. Na poziomie krajowym GIOŚ przekazuje dane m.in. do GUS. Więcej informacji </w:t>
      </w:r>
      <w:r w:rsidR="00C16143">
        <w:rPr>
          <w:rFonts w:ascii="Times New Roman" w:hAnsi="Times New Roman" w:cs="Times New Roman"/>
          <w:sz w:val="24"/>
          <w:szCs w:val="24"/>
        </w:rPr>
        <w:t xml:space="preserve">na ten temat zawarto w </w:t>
      </w:r>
      <w:r w:rsidRPr="00AF7B54">
        <w:rPr>
          <w:rFonts w:ascii="Times New Roman" w:hAnsi="Times New Roman" w:cs="Times New Roman"/>
          <w:sz w:val="24"/>
          <w:szCs w:val="24"/>
        </w:rPr>
        <w:t>rozdziałach „Monitoring środowiska” oraz „Współpraca międzynarodowa”.</w:t>
      </w:r>
    </w:p>
    <w:p w14:paraId="24B67FA4" w14:textId="77777777" w:rsidR="001079D5" w:rsidRPr="00AF7B54" w:rsidRDefault="001079D5" w:rsidP="00D74E0B">
      <w:pPr>
        <w:spacing w:after="120" w:line="300" w:lineRule="atLeast"/>
        <w:rPr>
          <w:rFonts w:ascii="Times New Roman" w:hAnsi="Times New Roman" w:cs="Times New Roman"/>
          <w:b/>
          <w:sz w:val="24"/>
          <w:szCs w:val="24"/>
          <w:u w:val="single"/>
        </w:rPr>
      </w:pPr>
      <w:r w:rsidRPr="00AF7B54">
        <w:rPr>
          <w:rFonts w:ascii="Times New Roman" w:hAnsi="Times New Roman" w:cs="Times New Roman"/>
          <w:b/>
          <w:sz w:val="24"/>
          <w:szCs w:val="24"/>
          <w:u w:val="single"/>
        </w:rPr>
        <w:t xml:space="preserve">Otwarte dane - </w:t>
      </w:r>
      <w:r w:rsidRPr="00AF7B54">
        <w:rPr>
          <w:rFonts w:ascii="Times New Roman" w:hAnsi="Times New Roman" w:cs="Times New Roman"/>
          <w:b/>
          <w:color w:val="000000"/>
          <w:sz w:val="24"/>
          <w:szCs w:val="24"/>
          <w:u w:val="single"/>
        </w:rPr>
        <w:t xml:space="preserve">informacje o udostępnianych danych związanych ze środowiskiem </w:t>
      </w:r>
    </w:p>
    <w:p w14:paraId="084B8D46" w14:textId="77777777" w:rsidR="001079D5" w:rsidRPr="00AF7B54" w:rsidRDefault="001079D5" w:rsidP="00D74E0B">
      <w:pPr>
        <w:spacing w:after="120" w:line="300" w:lineRule="atLeast"/>
        <w:ind w:firstLine="567"/>
        <w:jc w:val="both"/>
        <w:rPr>
          <w:rFonts w:ascii="Times New Roman" w:hAnsi="Times New Roman" w:cs="Times New Roman"/>
          <w:sz w:val="24"/>
          <w:szCs w:val="24"/>
        </w:rPr>
      </w:pPr>
      <w:r w:rsidRPr="00AF7B54">
        <w:rPr>
          <w:rFonts w:ascii="Times New Roman" w:hAnsi="Times New Roman" w:cs="Times New Roman"/>
          <w:sz w:val="24"/>
          <w:szCs w:val="24"/>
        </w:rPr>
        <w:t xml:space="preserve">W dniu 8 grudnia 2021 r. weszła w życie ustawa o otwartych danych i ponownym wykorzystywaniu informacji sektora publicznego. Ustawa ta dostosowała polskie przepisy do wymogów dyrektywy w sprawie otwartych danych, której celem jest m.in. zwiększenie liczby </w:t>
      </w:r>
      <w:r w:rsidRPr="00AF7B54">
        <w:rPr>
          <w:rFonts w:ascii="Times New Roman" w:hAnsi="Times New Roman" w:cs="Times New Roman"/>
          <w:sz w:val="24"/>
          <w:szCs w:val="24"/>
        </w:rPr>
        <w:lastRenderedPageBreak/>
        <w:t>informacji udostępnianych przez sektor publiczny, a także zapewnienie użytkownikom dostępu do zasobów publicznych udostępnianych za pośrednictwem odpowiednich rozwiązań technologicznych.</w:t>
      </w:r>
    </w:p>
    <w:p w14:paraId="620F907A" w14:textId="77777777" w:rsidR="001079D5" w:rsidRPr="00AF7B54" w:rsidRDefault="001079D5" w:rsidP="00D74E0B">
      <w:pPr>
        <w:spacing w:line="300" w:lineRule="atLeast"/>
        <w:jc w:val="both"/>
        <w:rPr>
          <w:rFonts w:ascii="Times New Roman" w:hAnsi="Times New Roman" w:cs="Times New Roman"/>
          <w:sz w:val="24"/>
          <w:szCs w:val="24"/>
        </w:rPr>
      </w:pPr>
      <w:r w:rsidRPr="00AF7B54">
        <w:rPr>
          <w:rFonts w:ascii="Times New Roman" w:hAnsi="Times New Roman" w:cs="Times New Roman"/>
          <w:sz w:val="24"/>
          <w:szCs w:val="24"/>
        </w:rPr>
        <w:t xml:space="preserve">Zasoby GIOŚ w </w:t>
      </w:r>
      <w:r w:rsidRPr="00AF7B54">
        <w:rPr>
          <w:rFonts w:ascii="Times New Roman" w:hAnsi="Times New Roman" w:cs="Times New Roman"/>
          <w:b/>
          <w:sz w:val="24"/>
          <w:szCs w:val="24"/>
          <w:u w:val="single"/>
        </w:rPr>
        <w:t>portalu Otwarte dane</w:t>
      </w:r>
      <w:r w:rsidRPr="00AF7B54">
        <w:rPr>
          <w:rFonts w:ascii="Times New Roman" w:hAnsi="Times New Roman" w:cs="Times New Roman"/>
          <w:sz w:val="24"/>
          <w:szCs w:val="24"/>
        </w:rPr>
        <w:t xml:space="preserve"> dostępne są </w:t>
      </w:r>
      <w:hyperlink w:history="1"/>
      <w:r w:rsidRPr="00AF7B54">
        <w:rPr>
          <w:rFonts w:ascii="Times New Roman" w:hAnsi="Times New Roman" w:cs="Times New Roman"/>
          <w:sz w:val="24"/>
          <w:szCs w:val="24"/>
        </w:rPr>
        <w:t xml:space="preserve">w zakresie kategorii danych „Środowisko” </w:t>
      </w:r>
      <w:hyperlink r:id="rId230" w:history="1">
        <w:r w:rsidRPr="00AF7B54">
          <w:rPr>
            <w:rFonts w:ascii="Times New Roman" w:hAnsi="Times New Roman" w:cs="Times New Roman"/>
            <w:color w:val="0563C1"/>
            <w:sz w:val="24"/>
            <w:szCs w:val="24"/>
            <w:u w:val="single"/>
          </w:rPr>
          <w:t>https://dane.gov.pl/pl</w:t>
        </w:r>
      </w:hyperlink>
      <w:r w:rsidRPr="00AF7B54">
        <w:rPr>
          <w:rFonts w:ascii="Times New Roman" w:hAnsi="Times New Roman" w:cs="Times New Roman"/>
          <w:sz w:val="24"/>
          <w:szCs w:val="24"/>
        </w:rPr>
        <w:t>.</w:t>
      </w:r>
    </w:p>
    <w:p w14:paraId="0A267D2D" w14:textId="77777777" w:rsidR="001079D5" w:rsidRPr="00AF7B54" w:rsidRDefault="001079D5" w:rsidP="001079D5">
      <w:pPr>
        <w:spacing w:line="300" w:lineRule="atLeast"/>
        <w:jc w:val="both"/>
        <w:rPr>
          <w:rFonts w:ascii="Times New Roman" w:hAnsi="Times New Roman" w:cs="Times New Roman"/>
          <w:sz w:val="24"/>
          <w:szCs w:val="24"/>
        </w:rPr>
      </w:pPr>
    </w:p>
    <w:p w14:paraId="019CED8F" w14:textId="77777777" w:rsidR="001079D5" w:rsidRPr="00AF7B54" w:rsidRDefault="001079D5" w:rsidP="001079D5">
      <w:pPr>
        <w:spacing w:line="300" w:lineRule="atLeast"/>
        <w:jc w:val="center"/>
        <w:rPr>
          <w:rFonts w:ascii="Times New Roman" w:hAnsi="Times New Roman" w:cs="Times New Roman"/>
          <w:sz w:val="24"/>
          <w:szCs w:val="24"/>
        </w:rPr>
      </w:pPr>
      <w:r w:rsidRPr="00AF7B54">
        <w:rPr>
          <w:rFonts w:ascii="Times New Roman" w:hAnsi="Times New Roman" w:cs="Times New Roman"/>
          <w:noProof/>
          <w:sz w:val="24"/>
          <w:szCs w:val="24"/>
          <w:lang w:eastAsia="pl-PL"/>
        </w:rPr>
        <w:drawing>
          <wp:inline distT="0" distB="0" distL="0" distR="0" wp14:anchorId="1AEFB52F" wp14:editId="24F9FBFD">
            <wp:extent cx="4048125" cy="3046804"/>
            <wp:effectExtent l="0" t="0" r="0" b="1270"/>
            <wp:docPr id="141" name="Obraz 141" descr="Zrzut ekranu Ryc. 37 Portal otwarte d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Obraz 141" descr="Zrzut ekranu Ryc. 37 Portal otwarte dane"/>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4080336" cy="3071048"/>
                    </a:xfrm>
                    <a:prstGeom prst="rect">
                      <a:avLst/>
                    </a:prstGeom>
                  </pic:spPr>
                </pic:pic>
              </a:graphicData>
            </a:graphic>
          </wp:inline>
        </w:drawing>
      </w:r>
    </w:p>
    <w:p w14:paraId="7C5241FD" w14:textId="20549E3E" w:rsidR="001079D5" w:rsidRPr="0024039B" w:rsidRDefault="0024039B" w:rsidP="001079D5">
      <w:pPr>
        <w:spacing w:line="300" w:lineRule="atLeast"/>
        <w:jc w:val="center"/>
        <w:rPr>
          <w:rFonts w:ascii="Times New Roman" w:hAnsi="Times New Roman" w:cs="Times New Roman"/>
          <w:b/>
          <w:i/>
        </w:rPr>
      </w:pPr>
      <w:r w:rsidRPr="0024039B">
        <w:rPr>
          <w:rFonts w:ascii="Times New Roman" w:hAnsi="Times New Roman" w:cs="Times New Roman"/>
          <w:b/>
          <w:i/>
        </w:rPr>
        <w:t xml:space="preserve">Ryc. 37 </w:t>
      </w:r>
      <w:r w:rsidR="001079D5" w:rsidRPr="0024039B">
        <w:rPr>
          <w:rFonts w:ascii="Times New Roman" w:hAnsi="Times New Roman" w:cs="Times New Roman"/>
          <w:b/>
          <w:i/>
        </w:rPr>
        <w:t>Portal otwarte dane</w:t>
      </w:r>
    </w:p>
    <w:p w14:paraId="7ABA8C35" w14:textId="77777777" w:rsidR="001079D5" w:rsidRPr="00AF7B54" w:rsidRDefault="001079D5" w:rsidP="00D74E0B">
      <w:pPr>
        <w:spacing w:line="300" w:lineRule="atLeast"/>
        <w:jc w:val="center"/>
        <w:rPr>
          <w:rFonts w:ascii="Times New Roman" w:hAnsi="Times New Roman" w:cs="Times New Roman"/>
          <w:sz w:val="24"/>
          <w:szCs w:val="24"/>
        </w:rPr>
      </w:pPr>
    </w:p>
    <w:p w14:paraId="61A1B806" w14:textId="77777777" w:rsidR="001079D5" w:rsidRPr="00AF7B54" w:rsidRDefault="001079D5" w:rsidP="00D74E0B">
      <w:pPr>
        <w:autoSpaceDE w:val="0"/>
        <w:autoSpaceDN w:val="0"/>
        <w:adjustRightInd w:val="0"/>
        <w:spacing w:line="300" w:lineRule="atLeast"/>
        <w:ind w:firstLine="567"/>
        <w:jc w:val="both"/>
        <w:rPr>
          <w:rFonts w:ascii="Times New Roman" w:hAnsi="Times New Roman" w:cs="Times New Roman"/>
          <w:sz w:val="24"/>
          <w:szCs w:val="24"/>
        </w:rPr>
      </w:pPr>
      <w:r w:rsidRPr="00AF7B54">
        <w:rPr>
          <w:rFonts w:ascii="Times New Roman" w:hAnsi="Times New Roman" w:cs="Times New Roman"/>
          <w:sz w:val="24"/>
          <w:szCs w:val="24"/>
        </w:rPr>
        <w:t xml:space="preserve">W 2022 r. w ramach rządowego portalu </w:t>
      </w:r>
      <w:r w:rsidRPr="00AF7B54">
        <w:rPr>
          <w:rFonts w:ascii="Times New Roman" w:hAnsi="Times New Roman" w:cs="Times New Roman"/>
          <w:b/>
          <w:sz w:val="24"/>
          <w:szCs w:val="24"/>
        </w:rPr>
        <w:t>dane.gov.pl</w:t>
      </w:r>
      <w:r w:rsidRPr="00AF7B54">
        <w:rPr>
          <w:rFonts w:ascii="Times New Roman" w:hAnsi="Times New Roman" w:cs="Times New Roman"/>
          <w:sz w:val="24"/>
          <w:szCs w:val="24"/>
        </w:rPr>
        <w:t xml:space="preserve"> GIOŚ, jako dostawca danych, publikował i aktualizował zasoby danych w zakresie kategorii „Środowisko”, jak również kontynuował działania w kierunku otwartych danych. </w:t>
      </w:r>
    </w:p>
    <w:p w14:paraId="141DB83E" w14:textId="77777777" w:rsidR="001079D5" w:rsidRPr="00AF7B54" w:rsidRDefault="001079D5" w:rsidP="001079D5">
      <w:pPr>
        <w:spacing w:line="300" w:lineRule="atLeast"/>
        <w:jc w:val="both"/>
        <w:rPr>
          <w:rFonts w:ascii="Times New Roman" w:hAnsi="Times New Roman" w:cs="Times New Roman"/>
          <w:sz w:val="24"/>
          <w:szCs w:val="24"/>
        </w:rPr>
      </w:pPr>
    </w:p>
    <w:p w14:paraId="5331D1E1" w14:textId="77777777" w:rsidR="001079D5" w:rsidRPr="00AF7B54" w:rsidRDefault="001079D5" w:rsidP="001079D5">
      <w:pPr>
        <w:spacing w:line="300" w:lineRule="atLeast"/>
        <w:jc w:val="center"/>
        <w:rPr>
          <w:rFonts w:ascii="Times New Roman" w:hAnsi="Times New Roman" w:cs="Times New Roman"/>
          <w:sz w:val="24"/>
          <w:szCs w:val="24"/>
        </w:rPr>
      </w:pPr>
      <w:r w:rsidRPr="00AF7B54">
        <w:rPr>
          <w:rFonts w:ascii="Times New Roman" w:hAnsi="Times New Roman" w:cs="Times New Roman"/>
          <w:noProof/>
          <w:sz w:val="24"/>
          <w:szCs w:val="24"/>
          <w:lang w:eastAsia="pl-PL"/>
        </w:rPr>
        <w:drawing>
          <wp:inline distT="0" distB="0" distL="0" distR="0" wp14:anchorId="0A5DAA21" wp14:editId="4431D824">
            <wp:extent cx="4438650" cy="2232046"/>
            <wp:effectExtent l="0" t="0" r="0" b="0"/>
            <wp:docPr id="144" name="Obraz 144" descr="Zrzut ekranu Ryc. 38 Portal otwarte d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Obraz 144" descr="Zrzut ekranu Ryc. 38 Portal otwarte dane"/>
                    <pic:cNvPicPr/>
                  </pic:nvPicPr>
                  <pic:blipFill>
                    <a:blip r:embed="rId232">
                      <a:extLst>
                        <a:ext uri="{28A0092B-C50C-407E-A947-70E740481C1C}">
                          <a14:useLocalDpi xmlns:a14="http://schemas.microsoft.com/office/drawing/2010/main" val="0"/>
                        </a:ext>
                      </a:extLst>
                    </a:blip>
                    <a:stretch>
                      <a:fillRect/>
                    </a:stretch>
                  </pic:blipFill>
                  <pic:spPr>
                    <a:xfrm>
                      <a:off x="0" y="0"/>
                      <a:ext cx="4495173" cy="2260469"/>
                    </a:xfrm>
                    <a:prstGeom prst="rect">
                      <a:avLst/>
                    </a:prstGeom>
                  </pic:spPr>
                </pic:pic>
              </a:graphicData>
            </a:graphic>
          </wp:inline>
        </w:drawing>
      </w:r>
    </w:p>
    <w:p w14:paraId="394D76C9" w14:textId="718852C8" w:rsidR="001079D5" w:rsidRPr="0024039B" w:rsidRDefault="0024039B" w:rsidP="001079D5">
      <w:pPr>
        <w:spacing w:line="300" w:lineRule="atLeast"/>
        <w:jc w:val="center"/>
        <w:rPr>
          <w:rFonts w:ascii="Times New Roman" w:hAnsi="Times New Roman" w:cs="Times New Roman"/>
          <w:b/>
          <w:i/>
        </w:rPr>
      </w:pPr>
      <w:r w:rsidRPr="0024039B">
        <w:rPr>
          <w:rFonts w:ascii="Times New Roman" w:hAnsi="Times New Roman" w:cs="Times New Roman"/>
          <w:b/>
          <w:i/>
        </w:rPr>
        <w:t xml:space="preserve">Ryc. 38 </w:t>
      </w:r>
      <w:r w:rsidR="001079D5" w:rsidRPr="0024039B">
        <w:rPr>
          <w:rFonts w:ascii="Times New Roman" w:hAnsi="Times New Roman" w:cs="Times New Roman"/>
          <w:b/>
          <w:i/>
        </w:rPr>
        <w:t>Portal otwarte dane</w:t>
      </w:r>
    </w:p>
    <w:p w14:paraId="11F12E73" w14:textId="77777777" w:rsidR="001079D5" w:rsidRPr="00AF7B54" w:rsidRDefault="001079D5" w:rsidP="00D74E0B">
      <w:pPr>
        <w:autoSpaceDE w:val="0"/>
        <w:autoSpaceDN w:val="0"/>
        <w:adjustRightInd w:val="0"/>
        <w:spacing w:after="0" w:line="300" w:lineRule="atLeast"/>
        <w:ind w:firstLine="567"/>
        <w:jc w:val="both"/>
        <w:rPr>
          <w:rFonts w:ascii="Times New Roman" w:hAnsi="Times New Roman" w:cs="Times New Roman"/>
          <w:bCs/>
          <w:color w:val="000000"/>
          <w:sz w:val="24"/>
          <w:szCs w:val="24"/>
        </w:rPr>
      </w:pPr>
      <w:r w:rsidRPr="00AF7B54">
        <w:rPr>
          <w:rFonts w:ascii="Times New Roman" w:hAnsi="Times New Roman" w:cs="Times New Roman"/>
          <w:sz w:val="24"/>
          <w:szCs w:val="24"/>
        </w:rPr>
        <w:lastRenderedPageBreak/>
        <w:t>Przykładem udostępnianych danych Państwowego Monitoringu Środowiska (PMŚ)</w:t>
      </w:r>
      <w:r w:rsidRPr="00AF7B54">
        <w:rPr>
          <w:rFonts w:ascii="Times New Roman" w:hAnsi="Times New Roman" w:cs="Times New Roman"/>
          <w:bCs/>
          <w:color w:val="000000"/>
          <w:sz w:val="24"/>
          <w:szCs w:val="24"/>
        </w:rPr>
        <w:t xml:space="preserve"> w ramach ww. portalu to m.in.:</w:t>
      </w:r>
    </w:p>
    <w:p w14:paraId="6C8FBF7A" w14:textId="77777777" w:rsidR="001079D5" w:rsidRPr="00AF7B54" w:rsidRDefault="001079D5" w:rsidP="00D74E0B">
      <w:pPr>
        <w:numPr>
          <w:ilvl w:val="0"/>
          <w:numId w:val="340"/>
        </w:numPr>
        <w:spacing w:after="0" w:line="300" w:lineRule="atLeast"/>
        <w:ind w:left="284" w:firstLine="0"/>
        <w:jc w:val="both"/>
        <w:rPr>
          <w:rFonts w:ascii="Times New Roman" w:hAnsi="Times New Roman" w:cs="Times New Roman"/>
          <w:bCs/>
          <w:color w:val="000000"/>
          <w:sz w:val="24"/>
          <w:szCs w:val="24"/>
        </w:rPr>
      </w:pPr>
      <w:r w:rsidRPr="00AF7B54">
        <w:rPr>
          <w:rFonts w:ascii="Times New Roman" w:hAnsi="Times New Roman" w:cs="Times New Roman"/>
          <w:bCs/>
          <w:color w:val="000000"/>
          <w:sz w:val="24"/>
          <w:szCs w:val="24"/>
        </w:rPr>
        <w:t>wyniki pomiarów pól elektromagnetycznych wykonanych w 2021 roku,</w:t>
      </w:r>
    </w:p>
    <w:p w14:paraId="61B19305" w14:textId="77777777" w:rsidR="001079D5" w:rsidRPr="00AF7B54" w:rsidRDefault="001079D5" w:rsidP="00D74E0B">
      <w:pPr>
        <w:numPr>
          <w:ilvl w:val="0"/>
          <w:numId w:val="340"/>
        </w:numPr>
        <w:spacing w:after="0" w:line="300" w:lineRule="atLeast"/>
        <w:ind w:left="284" w:firstLine="0"/>
        <w:jc w:val="both"/>
        <w:rPr>
          <w:rFonts w:ascii="Times New Roman" w:hAnsi="Times New Roman" w:cs="Times New Roman"/>
          <w:bCs/>
          <w:color w:val="000000"/>
          <w:sz w:val="24"/>
          <w:szCs w:val="24"/>
        </w:rPr>
      </w:pPr>
      <w:r w:rsidRPr="00AF7B54">
        <w:rPr>
          <w:rFonts w:ascii="Times New Roman" w:hAnsi="Times New Roman" w:cs="Times New Roman"/>
          <w:bCs/>
          <w:color w:val="000000"/>
          <w:sz w:val="24"/>
          <w:szCs w:val="24"/>
        </w:rPr>
        <w:t>wyniki pomiarów hałasu drogowego wykonanych w 2021 roku,</w:t>
      </w:r>
    </w:p>
    <w:p w14:paraId="74620FA3" w14:textId="77777777" w:rsidR="001079D5" w:rsidRPr="00AF7B54" w:rsidRDefault="001079D5" w:rsidP="00D74E0B">
      <w:pPr>
        <w:numPr>
          <w:ilvl w:val="0"/>
          <w:numId w:val="340"/>
        </w:numPr>
        <w:spacing w:after="0" w:line="300" w:lineRule="atLeast"/>
        <w:ind w:left="284" w:firstLine="0"/>
        <w:jc w:val="both"/>
        <w:rPr>
          <w:rFonts w:ascii="Times New Roman" w:hAnsi="Times New Roman" w:cs="Times New Roman"/>
          <w:bCs/>
          <w:color w:val="000000"/>
          <w:sz w:val="24"/>
          <w:szCs w:val="24"/>
        </w:rPr>
      </w:pPr>
      <w:r w:rsidRPr="00AF7B54">
        <w:rPr>
          <w:rFonts w:ascii="Times New Roman" w:hAnsi="Times New Roman" w:cs="Times New Roman"/>
          <w:bCs/>
          <w:color w:val="000000"/>
          <w:sz w:val="24"/>
          <w:szCs w:val="24"/>
        </w:rPr>
        <w:t>wyniki pomiarów chemizmu gleb ornych Polski wykonanych w 2020 roku,</w:t>
      </w:r>
    </w:p>
    <w:p w14:paraId="70FEE4D6" w14:textId="77777777" w:rsidR="001079D5" w:rsidRPr="00AF7B54" w:rsidRDefault="001079D5" w:rsidP="00D74E0B">
      <w:pPr>
        <w:numPr>
          <w:ilvl w:val="0"/>
          <w:numId w:val="340"/>
        </w:numPr>
        <w:spacing w:after="120" w:line="300" w:lineRule="atLeast"/>
        <w:ind w:left="568" w:hanging="284"/>
        <w:jc w:val="both"/>
        <w:rPr>
          <w:rFonts w:ascii="Times New Roman" w:hAnsi="Times New Roman" w:cs="Times New Roman"/>
          <w:bCs/>
          <w:color w:val="000000"/>
          <w:sz w:val="24"/>
          <w:szCs w:val="24"/>
        </w:rPr>
      </w:pPr>
      <w:r w:rsidRPr="00AF7B54">
        <w:rPr>
          <w:rFonts w:ascii="Times New Roman" w:hAnsi="Times New Roman" w:cs="Times New Roman"/>
          <w:bCs/>
          <w:color w:val="000000"/>
          <w:sz w:val="24"/>
          <w:szCs w:val="24"/>
        </w:rPr>
        <w:t>wyniki pomiarów w ramach monitoringu promieniowania jonizującego: wczesnego wykrywania skażeń promieniotwórczych wykonanych w 2021 roku, skażeń promieniotwórczych wód powierzchniowych i osadów dennych wykonanych w 2021 roku, stężenia cezu-137 i radionuklidów naturalnych w glebie wykonanych w 2020 roku.</w:t>
      </w:r>
    </w:p>
    <w:p w14:paraId="7D9DD30F" w14:textId="77777777" w:rsidR="001079D5" w:rsidRPr="00306331" w:rsidRDefault="001079D5" w:rsidP="00D74E0B">
      <w:pPr>
        <w:spacing w:after="0" w:line="300" w:lineRule="atLeast"/>
        <w:ind w:firstLine="567"/>
        <w:jc w:val="both"/>
        <w:rPr>
          <w:rFonts w:ascii="Times New Roman" w:hAnsi="Times New Roman" w:cs="Times New Roman"/>
          <w:bCs/>
          <w:color w:val="000000"/>
          <w:sz w:val="24"/>
          <w:szCs w:val="24"/>
        </w:rPr>
      </w:pPr>
      <w:r w:rsidRPr="00306331">
        <w:rPr>
          <w:rFonts w:ascii="Times New Roman" w:hAnsi="Times New Roman" w:cs="Times New Roman"/>
          <w:bCs/>
          <w:color w:val="000000"/>
          <w:sz w:val="24"/>
          <w:szCs w:val="24"/>
        </w:rPr>
        <w:t>Inne przykłady udostępnionych zbiorów (w standardach otwartych) w ramach portalu dane.gov.pl to:</w:t>
      </w:r>
    </w:p>
    <w:p w14:paraId="2AB6E741" w14:textId="77777777" w:rsidR="001079D5" w:rsidRPr="00306331" w:rsidRDefault="001079D5" w:rsidP="00D74E0B">
      <w:pPr>
        <w:pStyle w:val="Akapitzlist"/>
        <w:numPr>
          <w:ilvl w:val="0"/>
          <w:numId w:val="341"/>
        </w:numPr>
        <w:spacing w:line="300" w:lineRule="atLeast"/>
        <w:ind w:left="641" w:hanging="284"/>
        <w:jc w:val="both"/>
        <w:rPr>
          <w:bCs/>
          <w:color w:val="000000"/>
          <w:sz w:val="24"/>
          <w:szCs w:val="24"/>
        </w:rPr>
      </w:pPr>
      <w:r w:rsidRPr="00306331">
        <w:rPr>
          <w:color w:val="000000"/>
          <w:sz w:val="24"/>
          <w:szCs w:val="24"/>
        </w:rPr>
        <w:t>zbiór danych</w:t>
      </w:r>
      <w:r w:rsidRPr="00306331">
        <w:rPr>
          <w:sz w:val="24"/>
          <w:szCs w:val="24"/>
        </w:rPr>
        <w:t xml:space="preserve"> Państwowy Monitoring Środowiska - monitoring gatunków i siedlisk morskich (urządzenie do monitorowania środowiska) -</w:t>
      </w:r>
      <w:r w:rsidRPr="00306331">
        <w:rPr>
          <w:bCs/>
          <w:color w:val="000000"/>
          <w:sz w:val="24"/>
          <w:szCs w:val="24"/>
        </w:rPr>
        <w:t xml:space="preserve"> udostępniony za pomocą usługi pobierania OGC API </w:t>
      </w:r>
      <w:proofErr w:type="spellStart"/>
      <w:r w:rsidRPr="00306331">
        <w:rPr>
          <w:bCs/>
          <w:color w:val="000000"/>
          <w:sz w:val="24"/>
          <w:szCs w:val="24"/>
        </w:rPr>
        <w:t>Features</w:t>
      </w:r>
      <w:proofErr w:type="spellEnd"/>
      <w:r w:rsidRPr="00306331">
        <w:rPr>
          <w:bCs/>
          <w:color w:val="000000"/>
          <w:sz w:val="24"/>
          <w:szCs w:val="24"/>
        </w:rPr>
        <w:t xml:space="preserve"> (dane można pobrać również w formacie JSON-LD, </w:t>
      </w:r>
      <w:proofErr w:type="spellStart"/>
      <w:r w:rsidRPr="00306331">
        <w:rPr>
          <w:bCs/>
          <w:color w:val="000000"/>
          <w:sz w:val="24"/>
          <w:szCs w:val="24"/>
        </w:rPr>
        <w:t>GeoJSON</w:t>
      </w:r>
      <w:proofErr w:type="spellEnd"/>
      <w:r w:rsidRPr="00306331">
        <w:rPr>
          <w:bCs/>
          <w:color w:val="000000"/>
          <w:sz w:val="24"/>
          <w:szCs w:val="24"/>
        </w:rPr>
        <w:t>, GML);</w:t>
      </w:r>
    </w:p>
    <w:p w14:paraId="45D26561" w14:textId="77777777" w:rsidR="001079D5" w:rsidRPr="00306331" w:rsidRDefault="001079D5" w:rsidP="00D74E0B">
      <w:pPr>
        <w:pStyle w:val="Akapitzlist"/>
        <w:numPr>
          <w:ilvl w:val="0"/>
          <w:numId w:val="341"/>
        </w:numPr>
        <w:spacing w:after="120" w:line="300" w:lineRule="atLeast"/>
        <w:ind w:left="641" w:hanging="284"/>
        <w:contextualSpacing w:val="0"/>
        <w:jc w:val="both"/>
        <w:rPr>
          <w:sz w:val="24"/>
          <w:szCs w:val="24"/>
        </w:rPr>
      </w:pPr>
      <w:r w:rsidRPr="00306331">
        <w:rPr>
          <w:color w:val="000000"/>
          <w:sz w:val="24"/>
          <w:szCs w:val="24"/>
        </w:rPr>
        <w:t>zbiór danych</w:t>
      </w:r>
      <w:r w:rsidRPr="00306331">
        <w:rPr>
          <w:sz w:val="24"/>
          <w:szCs w:val="24"/>
        </w:rPr>
        <w:t xml:space="preserve"> Państwowy Monitoring Środowiska - monitoring Ptaków Polski (rozmieszczenie gatunków ptaków) – udostępniony za pomocą usługi pobierania OGC API </w:t>
      </w:r>
      <w:proofErr w:type="spellStart"/>
      <w:r w:rsidRPr="00306331">
        <w:rPr>
          <w:sz w:val="24"/>
          <w:szCs w:val="24"/>
        </w:rPr>
        <w:t>Features</w:t>
      </w:r>
      <w:proofErr w:type="spellEnd"/>
      <w:r w:rsidRPr="00306331">
        <w:rPr>
          <w:sz w:val="24"/>
          <w:szCs w:val="24"/>
        </w:rPr>
        <w:t xml:space="preserve"> (dane można pobrać również w </w:t>
      </w:r>
      <w:r w:rsidRPr="00306331">
        <w:rPr>
          <w:bCs/>
          <w:color w:val="000000"/>
          <w:sz w:val="24"/>
          <w:szCs w:val="24"/>
        </w:rPr>
        <w:t>formacie JSON-LD</w:t>
      </w:r>
      <w:r w:rsidRPr="00306331">
        <w:rPr>
          <w:sz w:val="24"/>
          <w:szCs w:val="24"/>
        </w:rPr>
        <w:t xml:space="preserve">, </w:t>
      </w:r>
      <w:proofErr w:type="spellStart"/>
      <w:r w:rsidRPr="00306331">
        <w:rPr>
          <w:sz w:val="24"/>
          <w:szCs w:val="24"/>
        </w:rPr>
        <w:t>GeoJSON</w:t>
      </w:r>
      <w:proofErr w:type="spellEnd"/>
      <w:r w:rsidRPr="00306331">
        <w:rPr>
          <w:sz w:val="24"/>
          <w:szCs w:val="24"/>
        </w:rPr>
        <w:t>, GML).</w:t>
      </w:r>
    </w:p>
    <w:p w14:paraId="33881FFE" w14:textId="77777777" w:rsidR="001079D5" w:rsidRPr="00306331" w:rsidRDefault="001079D5" w:rsidP="00D74E0B">
      <w:pPr>
        <w:spacing w:after="0" w:line="300" w:lineRule="atLeast"/>
        <w:ind w:firstLine="567"/>
        <w:jc w:val="both"/>
        <w:rPr>
          <w:rFonts w:ascii="Times New Roman" w:hAnsi="Times New Roman" w:cs="Times New Roman"/>
          <w:bCs/>
          <w:color w:val="000000"/>
          <w:sz w:val="24"/>
          <w:szCs w:val="24"/>
        </w:rPr>
      </w:pPr>
      <w:r w:rsidRPr="00306331">
        <w:rPr>
          <w:rFonts w:ascii="Times New Roman" w:hAnsi="Times New Roman" w:cs="Times New Roman"/>
          <w:bCs/>
          <w:color w:val="000000"/>
          <w:sz w:val="24"/>
          <w:szCs w:val="24"/>
        </w:rPr>
        <w:t>Więcej informacji o zakresie udostępnionych zasobów PMŚ w ramach portalu dane.gov.pl dostępna jest pod adresem</w:t>
      </w:r>
    </w:p>
    <w:p w14:paraId="08402061" w14:textId="77777777" w:rsidR="001079D5" w:rsidRPr="00AF7B54" w:rsidRDefault="001079D5" w:rsidP="00D74E0B">
      <w:pPr>
        <w:spacing w:line="300" w:lineRule="atLeast"/>
        <w:ind w:firstLine="357"/>
        <w:jc w:val="both"/>
        <w:rPr>
          <w:rFonts w:ascii="Times New Roman" w:hAnsi="Times New Roman" w:cs="Times New Roman"/>
          <w:bCs/>
          <w:color w:val="000000"/>
          <w:sz w:val="24"/>
          <w:szCs w:val="24"/>
        </w:rPr>
      </w:pPr>
      <w:r w:rsidRPr="00306331">
        <w:rPr>
          <w:rFonts w:ascii="Times New Roman" w:hAnsi="Times New Roman" w:cs="Times New Roman"/>
          <w:bCs/>
          <w:color w:val="000000"/>
          <w:sz w:val="24"/>
          <w:szCs w:val="24"/>
        </w:rPr>
        <w:t xml:space="preserve"> </w:t>
      </w:r>
      <w:hyperlink r:id="rId233" w:history="1">
        <w:r w:rsidRPr="00306331">
          <w:rPr>
            <w:rStyle w:val="Hipercze"/>
            <w:rFonts w:ascii="Times New Roman" w:hAnsi="Times New Roman" w:cs="Times New Roman"/>
            <w:sz w:val="24"/>
            <w:szCs w:val="24"/>
          </w:rPr>
          <w:t>https://dane.gov.pl/pl/dataset?page=1&amp;per_page=20&amp;q=monitoring&amp;sort=relevance</w:t>
        </w:r>
      </w:hyperlink>
      <w:r w:rsidRPr="00AF7B54">
        <w:rPr>
          <w:rFonts w:ascii="Times New Roman" w:hAnsi="Times New Roman" w:cs="Times New Roman"/>
          <w:bCs/>
          <w:color w:val="000000"/>
          <w:sz w:val="24"/>
          <w:szCs w:val="24"/>
        </w:rPr>
        <w:t xml:space="preserve"> </w:t>
      </w:r>
    </w:p>
    <w:p w14:paraId="1F26D932" w14:textId="77777777" w:rsidR="001079D5" w:rsidRPr="00AF7B54" w:rsidRDefault="001079D5" w:rsidP="00D74E0B">
      <w:pPr>
        <w:spacing w:line="300" w:lineRule="atLeast"/>
        <w:jc w:val="both"/>
        <w:rPr>
          <w:rFonts w:ascii="Times New Roman" w:hAnsi="Times New Roman" w:cs="Times New Roman"/>
          <w:bCs/>
          <w:color w:val="000000"/>
          <w:sz w:val="24"/>
          <w:szCs w:val="24"/>
        </w:rPr>
      </w:pPr>
    </w:p>
    <w:p w14:paraId="3067103B" w14:textId="62F1A5AB" w:rsidR="001079D5" w:rsidRDefault="001079D5" w:rsidP="001079D5">
      <w:pPr>
        <w:spacing w:line="276" w:lineRule="auto"/>
        <w:jc w:val="center"/>
        <w:rPr>
          <w:rFonts w:ascii="Times New Roman" w:hAnsi="Times New Roman" w:cs="Times New Roman"/>
          <w:bCs/>
          <w:color w:val="000000"/>
          <w:sz w:val="24"/>
          <w:szCs w:val="24"/>
        </w:rPr>
      </w:pPr>
      <w:r w:rsidRPr="00AF7B54">
        <w:rPr>
          <w:rFonts w:ascii="Times New Roman" w:hAnsi="Times New Roman" w:cs="Times New Roman"/>
          <w:bCs/>
          <w:noProof/>
          <w:color w:val="000000"/>
          <w:sz w:val="24"/>
          <w:szCs w:val="24"/>
          <w:lang w:eastAsia="pl-PL"/>
        </w:rPr>
        <w:drawing>
          <wp:inline distT="0" distB="0" distL="0" distR="0" wp14:anchorId="304E43AE" wp14:editId="06D7464F">
            <wp:extent cx="2725525" cy="3500641"/>
            <wp:effectExtent l="0" t="0" r="0" b="5080"/>
            <wp:docPr id="10" name="Obraz 10" descr="Widok portalu internet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descr="Widok portalu internetowego"/>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2741100" cy="3520645"/>
                    </a:xfrm>
                    <a:prstGeom prst="rect">
                      <a:avLst/>
                    </a:prstGeom>
                  </pic:spPr>
                </pic:pic>
              </a:graphicData>
            </a:graphic>
          </wp:inline>
        </w:drawing>
      </w:r>
    </w:p>
    <w:p w14:paraId="6B6D73A6" w14:textId="62D2BE7A" w:rsidR="000E77F2" w:rsidRPr="000E77F2" w:rsidRDefault="000E77F2" w:rsidP="001079D5">
      <w:pPr>
        <w:spacing w:line="276" w:lineRule="auto"/>
        <w:jc w:val="center"/>
        <w:rPr>
          <w:rFonts w:ascii="Times New Roman" w:hAnsi="Times New Roman" w:cs="Times New Roman"/>
          <w:b/>
          <w:bCs/>
          <w:i/>
          <w:color w:val="000000"/>
        </w:rPr>
      </w:pPr>
      <w:r w:rsidRPr="000E77F2">
        <w:rPr>
          <w:rFonts w:ascii="Times New Roman" w:hAnsi="Times New Roman" w:cs="Times New Roman"/>
          <w:b/>
          <w:bCs/>
          <w:i/>
          <w:color w:val="000000"/>
        </w:rPr>
        <w:t>Ryc. 39</w:t>
      </w:r>
    </w:p>
    <w:p w14:paraId="3230C9A5" w14:textId="77777777" w:rsidR="001079D5" w:rsidRPr="00AF7B54" w:rsidRDefault="001079D5" w:rsidP="00D80FBD">
      <w:pPr>
        <w:spacing w:line="300" w:lineRule="atLeast"/>
        <w:jc w:val="both"/>
        <w:rPr>
          <w:rFonts w:ascii="Times New Roman" w:hAnsi="Times New Roman" w:cs="Times New Roman"/>
          <w:sz w:val="24"/>
          <w:szCs w:val="24"/>
          <w:u w:val="single"/>
        </w:rPr>
      </w:pPr>
      <w:r w:rsidRPr="00AF7B54">
        <w:rPr>
          <w:rFonts w:ascii="Times New Roman" w:hAnsi="Times New Roman" w:cs="Times New Roman"/>
          <w:sz w:val="24"/>
          <w:szCs w:val="24"/>
          <w:u w:val="single"/>
        </w:rPr>
        <w:t xml:space="preserve">Udostępnianie zasobów GIOŚ w zakresie INSPIRE </w:t>
      </w:r>
    </w:p>
    <w:p w14:paraId="14B496D6" w14:textId="77777777" w:rsidR="001079D5" w:rsidRPr="00AF7B54" w:rsidRDefault="001079D5" w:rsidP="00D80FBD">
      <w:pPr>
        <w:spacing w:after="0" w:line="300" w:lineRule="atLeast"/>
        <w:ind w:firstLine="567"/>
        <w:jc w:val="both"/>
        <w:rPr>
          <w:rFonts w:ascii="Times New Roman" w:hAnsi="Times New Roman" w:cs="Times New Roman"/>
          <w:sz w:val="24"/>
          <w:szCs w:val="24"/>
        </w:rPr>
      </w:pPr>
      <w:r w:rsidRPr="00AF7B54">
        <w:rPr>
          <w:rFonts w:ascii="Times New Roman" w:hAnsi="Times New Roman" w:cs="Times New Roman"/>
          <w:sz w:val="24"/>
          <w:szCs w:val="24"/>
        </w:rPr>
        <w:lastRenderedPageBreak/>
        <w:t xml:space="preserve">W ramach infrastruktury informacji przestrzennej GIOŚ INSPIRE udostępniono zaktualizowane zharmonizowane zbiory danych przestrzennych PMŚ za pomocą usług sieciowych oraz metadane dla zbiorów i usług danych przestrzennych </w:t>
      </w:r>
      <w:hyperlink r:id="rId235" w:history="1">
        <w:r w:rsidRPr="00AF7B54">
          <w:rPr>
            <w:rStyle w:val="Hipercze"/>
            <w:sz w:val="24"/>
            <w:szCs w:val="24"/>
          </w:rPr>
          <w:t>https://inspire.gios.gov.pl/portal/</w:t>
        </w:r>
      </w:hyperlink>
      <w:r w:rsidRPr="00AF7B54">
        <w:rPr>
          <w:rFonts w:ascii="Times New Roman" w:hAnsi="Times New Roman" w:cs="Times New Roman"/>
          <w:sz w:val="24"/>
          <w:szCs w:val="24"/>
        </w:rPr>
        <w:t>. Ponadto zostały również opublikowane zharmonizowane zbiory danych przestrzennych i metadane sprawozdawane za lata 2013-2018 w związku z art. 12 dyrektywy ptasiej i art. 17 dyrektywy siedliskowej.</w:t>
      </w:r>
    </w:p>
    <w:p w14:paraId="6F0B45B0" w14:textId="77777777" w:rsidR="001079D5" w:rsidRPr="00AF7B54" w:rsidRDefault="001079D5" w:rsidP="00D80FBD">
      <w:pPr>
        <w:spacing w:after="60" w:line="300" w:lineRule="atLeast"/>
        <w:ind w:firstLine="567"/>
        <w:jc w:val="both"/>
        <w:rPr>
          <w:rFonts w:ascii="Times New Roman" w:hAnsi="Times New Roman" w:cs="Times New Roman"/>
          <w:sz w:val="24"/>
          <w:szCs w:val="24"/>
        </w:rPr>
      </w:pPr>
      <w:r w:rsidRPr="00AF7B54">
        <w:rPr>
          <w:rFonts w:ascii="Times New Roman" w:hAnsi="Times New Roman" w:cs="Times New Roman"/>
          <w:sz w:val="24"/>
          <w:szCs w:val="24"/>
        </w:rPr>
        <w:t xml:space="preserve">Jednocześnie wybrane zbiory PMŚ zostały udostępnione za pomocą usługi pobierania OGC API </w:t>
      </w:r>
      <w:proofErr w:type="spellStart"/>
      <w:r w:rsidRPr="00AF7B54">
        <w:rPr>
          <w:rFonts w:ascii="Times New Roman" w:hAnsi="Times New Roman" w:cs="Times New Roman"/>
          <w:sz w:val="24"/>
          <w:szCs w:val="24"/>
        </w:rPr>
        <w:t>Features</w:t>
      </w:r>
      <w:proofErr w:type="spellEnd"/>
      <w:r w:rsidRPr="00AF7B54">
        <w:rPr>
          <w:rFonts w:ascii="Times New Roman" w:hAnsi="Times New Roman" w:cs="Times New Roman"/>
          <w:sz w:val="24"/>
          <w:szCs w:val="24"/>
        </w:rPr>
        <w:t xml:space="preserve">. </w:t>
      </w:r>
    </w:p>
    <w:p w14:paraId="1E7D68C0" w14:textId="4DB17249" w:rsidR="001079D5" w:rsidRPr="00970738" w:rsidRDefault="001079D5" w:rsidP="00D80FBD">
      <w:pPr>
        <w:spacing w:after="0" w:line="300" w:lineRule="atLeast"/>
        <w:ind w:firstLine="567"/>
        <w:jc w:val="both"/>
        <w:rPr>
          <w:rFonts w:ascii="Times New Roman" w:hAnsi="Times New Roman" w:cs="Times New Roman"/>
          <w:sz w:val="24"/>
          <w:szCs w:val="24"/>
        </w:rPr>
      </w:pPr>
      <w:r w:rsidRPr="00AF7B54">
        <w:rPr>
          <w:rFonts w:ascii="Times New Roman" w:hAnsi="Times New Roman" w:cs="Times New Roman"/>
          <w:sz w:val="24"/>
          <w:szCs w:val="24"/>
        </w:rPr>
        <w:t xml:space="preserve">Zbiory danych przestrzennych funkcjonujące w ramach ww. infrastruktury dostępne są również w ramach krajowej infrastruktury informacji przestrzennej poprzez krajowy </w:t>
      </w:r>
      <w:proofErr w:type="spellStart"/>
      <w:r w:rsidRPr="00AF7B54">
        <w:rPr>
          <w:rFonts w:ascii="Times New Roman" w:hAnsi="Times New Roman" w:cs="Times New Roman"/>
          <w:sz w:val="24"/>
          <w:szCs w:val="24"/>
        </w:rPr>
        <w:t>Geoportal</w:t>
      </w:r>
      <w:proofErr w:type="spellEnd"/>
      <w:r w:rsidRPr="00AF7B54">
        <w:rPr>
          <w:rFonts w:ascii="Times New Roman" w:hAnsi="Times New Roman" w:cs="Times New Roman"/>
          <w:sz w:val="24"/>
          <w:szCs w:val="24"/>
        </w:rPr>
        <w:t xml:space="preserve"> INSPIRE </w:t>
      </w:r>
      <w:hyperlink r:id="rId236" w:history="1">
        <w:r w:rsidRPr="00AF7B54">
          <w:rPr>
            <w:rStyle w:val="Hipercze"/>
            <w:sz w:val="24"/>
            <w:szCs w:val="24"/>
          </w:rPr>
          <w:t>https://mapy.geoportal.gov.pl/imap/Imgp_2.html</w:t>
        </w:r>
      </w:hyperlink>
      <w:r w:rsidRPr="00AF7B54">
        <w:rPr>
          <w:rFonts w:ascii="Times New Roman" w:hAnsi="Times New Roman" w:cs="Times New Roman"/>
          <w:sz w:val="24"/>
          <w:szCs w:val="24"/>
        </w:rPr>
        <w:t xml:space="preserve">, prowadzony przez Głównego Geodetę Kraju, jak i w ramach europejskiej infrastruktury informacji przestrzennej poprzez </w:t>
      </w:r>
      <w:proofErr w:type="spellStart"/>
      <w:r w:rsidRPr="00AF7B54">
        <w:rPr>
          <w:rFonts w:ascii="Times New Roman" w:hAnsi="Times New Roman" w:cs="Times New Roman"/>
          <w:sz w:val="24"/>
          <w:szCs w:val="24"/>
        </w:rPr>
        <w:t>Geoportal</w:t>
      </w:r>
      <w:proofErr w:type="spellEnd"/>
      <w:r w:rsidRPr="00AF7B54">
        <w:rPr>
          <w:rFonts w:ascii="Times New Roman" w:hAnsi="Times New Roman" w:cs="Times New Roman"/>
          <w:sz w:val="24"/>
          <w:szCs w:val="24"/>
        </w:rPr>
        <w:t xml:space="preserve"> INSPIRE KE</w:t>
      </w:r>
      <w:r>
        <w:rPr>
          <w:rFonts w:ascii="Times New Roman" w:hAnsi="Times New Roman" w:cs="Times New Roman"/>
          <w:sz w:val="24"/>
          <w:szCs w:val="24"/>
        </w:rPr>
        <w:t xml:space="preserve"> </w:t>
      </w:r>
      <w:hyperlink r:id="rId237" w:history="1">
        <w:r w:rsidR="00E614A8" w:rsidRPr="00D6100F">
          <w:rPr>
            <w:rStyle w:val="Hipercze"/>
            <w:sz w:val="24"/>
            <w:szCs w:val="24"/>
          </w:rPr>
          <w:t xml:space="preserve">https://inspire-geoportal.ec.europa.eu/overview.html?view= </w:t>
        </w:r>
        <w:proofErr w:type="spellStart"/>
        <w:r w:rsidR="00E614A8" w:rsidRPr="00D6100F">
          <w:rPr>
            <w:rStyle w:val="Hipercze"/>
            <w:sz w:val="24"/>
            <w:szCs w:val="24"/>
          </w:rPr>
          <w:t>thematicEuOverview&amp;theme</w:t>
        </w:r>
        <w:proofErr w:type="spellEnd"/>
        <w:r w:rsidR="00E614A8" w:rsidRPr="00D6100F">
          <w:rPr>
            <w:rStyle w:val="Hipercze"/>
            <w:sz w:val="24"/>
            <w:szCs w:val="24"/>
          </w:rPr>
          <w:t>=</w:t>
        </w:r>
        <w:proofErr w:type="spellStart"/>
        <w:r w:rsidR="00E614A8" w:rsidRPr="00D6100F">
          <w:rPr>
            <w:rStyle w:val="Hipercze"/>
            <w:sz w:val="24"/>
            <w:szCs w:val="24"/>
          </w:rPr>
          <w:t>none</w:t>
        </w:r>
        <w:proofErr w:type="spellEnd"/>
      </w:hyperlink>
      <w:r w:rsidRPr="00970738">
        <w:rPr>
          <w:rFonts w:ascii="Times New Roman" w:hAnsi="Times New Roman" w:cs="Times New Roman"/>
          <w:sz w:val="24"/>
          <w:szCs w:val="24"/>
        </w:rPr>
        <w:t xml:space="preserve">. </w:t>
      </w:r>
    </w:p>
    <w:p w14:paraId="4C28524F" w14:textId="77777777" w:rsidR="001079D5" w:rsidRPr="00AF7B54" w:rsidRDefault="001079D5" w:rsidP="00D80FBD">
      <w:pPr>
        <w:spacing w:after="60" w:line="300" w:lineRule="atLeast"/>
        <w:jc w:val="both"/>
        <w:rPr>
          <w:rFonts w:ascii="Times New Roman" w:hAnsi="Times New Roman" w:cs="Times New Roman"/>
          <w:sz w:val="24"/>
          <w:szCs w:val="24"/>
        </w:rPr>
      </w:pPr>
      <w:r w:rsidRPr="00AF7B54">
        <w:rPr>
          <w:rFonts w:ascii="Times New Roman" w:hAnsi="Times New Roman" w:cs="Times New Roman"/>
          <w:sz w:val="24"/>
          <w:szCs w:val="24"/>
        </w:rPr>
        <w:t>Więcej informacji w zakresie GIOŚ INSPIRE znajduje się w rozdziale Monitoring Środowiska.</w:t>
      </w:r>
    </w:p>
    <w:p w14:paraId="7272E81C" w14:textId="1C333573" w:rsidR="001079D5" w:rsidRDefault="001079D5" w:rsidP="00D80FBD">
      <w:pPr>
        <w:autoSpaceDE w:val="0"/>
        <w:autoSpaceDN w:val="0"/>
        <w:adjustRightInd w:val="0"/>
        <w:spacing w:after="0" w:line="300" w:lineRule="atLeast"/>
        <w:ind w:firstLine="708"/>
        <w:jc w:val="both"/>
        <w:rPr>
          <w:rFonts w:ascii="Times New Roman" w:hAnsi="Times New Roman" w:cs="Times New Roman"/>
          <w:sz w:val="24"/>
          <w:szCs w:val="24"/>
        </w:rPr>
      </w:pPr>
      <w:r w:rsidRPr="00AF7B54">
        <w:rPr>
          <w:rFonts w:ascii="Times New Roman" w:hAnsi="Times New Roman" w:cs="Times New Roman"/>
          <w:sz w:val="24"/>
          <w:szCs w:val="24"/>
        </w:rPr>
        <w:t>Warto podkreślić, że informacja o opublikowanych w ramach GIOŚ INSPIRE zasobach danych przestrzennych dostępna jest również z poziomu portalu dane.gov.pl</w:t>
      </w:r>
      <w:r w:rsidR="00895F16" w:rsidRPr="007F400A">
        <w:rPr>
          <w:rFonts w:ascii="Times New Roman" w:hAnsi="Times New Roman" w:cs="Times New Roman"/>
          <w:sz w:val="24"/>
          <w:szCs w:val="24"/>
        </w:rPr>
        <w:t>.</w:t>
      </w:r>
      <w:bookmarkEnd w:id="441"/>
    </w:p>
    <w:p w14:paraId="73963139" w14:textId="77777777" w:rsidR="001079D5" w:rsidRDefault="001079D5">
      <w:pPr>
        <w:rPr>
          <w:rFonts w:ascii="Times New Roman" w:hAnsi="Times New Roman" w:cs="Times New Roman"/>
          <w:sz w:val="24"/>
          <w:szCs w:val="24"/>
        </w:rPr>
      </w:pPr>
      <w:r>
        <w:rPr>
          <w:rFonts w:ascii="Times New Roman" w:hAnsi="Times New Roman" w:cs="Times New Roman"/>
          <w:sz w:val="24"/>
          <w:szCs w:val="24"/>
        </w:rPr>
        <w:br w:type="page"/>
      </w:r>
    </w:p>
    <w:p w14:paraId="4749666B" w14:textId="07A826E0" w:rsidR="00895F16" w:rsidRPr="007F400A" w:rsidRDefault="00895F16" w:rsidP="00D80FBD">
      <w:pPr>
        <w:pStyle w:val="Nagwek1"/>
        <w:spacing w:line="300" w:lineRule="atLeast"/>
        <w:rPr>
          <w:bCs w:val="0"/>
        </w:rPr>
      </w:pPr>
      <w:bookmarkStart w:id="464" w:name="_Toc36732659"/>
      <w:bookmarkStart w:id="465" w:name="_Toc135935735"/>
      <w:r w:rsidRPr="007F400A">
        <w:rPr>
          <w:bCs w:val="0"/>
        </w:rPr>
        <w:lastRenderedPageBreak/>
        <w:t>VII</w:t>
      </w:r>
      <w:r w:rsidR="008B45D7" w:rsidRPr="007F400A">
        <w:rPr>
          <w:bCs w:val="0"/>
        </w:rPr>
        <w:t>I</w:t>
      </w:r>
      <w:r w:rsidRPr="007F400A">
        <w:rPr>
          <w:bCs w:val="0"/>
        </w:rPr>
        <w:t>. WSPÓŁPRACA MIĘDZYNARODOWA</w:t>
      </w:r>
      <w:bookmarkEnd w:id="464"/>
      <w:bookmarkEnd w:id="465"/>
    </w:p>
    <w:p w14:paraId="65EAEC23" w14:textId="77777777" w:rsidR="00895F16" w:rsidRPr="007F400A" w:rsidRDefault="00895F16" w:rsidP="00D80FBD">
      <w:pPr>
        <w:spacing w:after="0" w:line="300" w:lineRule="atLeast"/>
        <w:jc w:val="both"/>
        <w:rPr>
          <w:rFonts w:ascii="Times New Roman" w:eastAsia="Calibri" w:hAnsi="Times New Roman" w:cs="Times New Roman"/>
          <w:color w:val="00B0F0"/>
          <w:sz w:val="24"/>
          <w:szCs w:val="24"/>
          <w:lang w:eastAsia="pl-PL"/>
        </w:rPr>
      </w:pPr>
    </w:p>
    <w:p w14:paraId="0071EFAF" w14:textId="77777777" w:rsidR="00895F16" w:rsidRPr="007F400A" w:rsidRDefault="00895F16" w:rsidP="00D80FBD">
      <w:pPr>
        <w:keepNext/>
        <w:spacing w:after="120" w:line="300" w:lineRule="atLeast"/>
        <w:outlineLvl w:val="0"/>
        <w:rPr>
          <w:rFonts w:ascii="Times New Roman" w:eastAsia="Times New Roman" w:hAnsi="Times New Roman" w:cs="Times New Roman"/>
          <w:b/>
          <w:bCs/>
          <w:sz w:val="24"/>
          <w:szCs w:val="24"/>
          <w:lang w:val="x-none" w:eastAsia="x-none"/>
        </w:rPr>
      </w:pPr>
      <w:bookmarkStart w:id="466" w:name="_Toc36732660"/>
      <w:bookmarkStart w:id="467" w:name="_Toc135935736"/>
      <w:r w:rsidRPr="007F400A">
        <w:rPr>
          <w:rFonts w:ascii="Times New Roman" w:eastAsia="Times New Roman" w:hAnsi="Times New Roman" w:cs="Times New Roman"/>
          <w:b/>
          <w:bCs/>
          <w:sz w:val="24"/>
          <w:szCs w:val="24"/>
          <w:lang w:val="x-none" w:eastAsia="x-none"/>
        </w:rPr>
        <w:t>1. Charakterystyka zadań</w:t>
      </w:r>
      <w:bookmarkEnd w:id="466"/>
      <w:bookmarkEnd w:id="467"/>
    </w:p>
    <w:p w14:paraId="7672B351" w14:textId="77777777" w:rsidR="00E614A8" w:rsidRPr="003B5656" w:rsidRDefault="00E614A8" w:rsidP="00D80FBD">
      <w:pPr>
        <w:spacing w:after="60" w:line="300" w:lineRule="atLeast"/>
        <w:rPr>
          <w:rFonts w:ascii="Times New Roman" w:eastAsia="Calibri" w:hAnsi="Times New Roman" w:cs="Times New Roman"/>
          <w:sz w:val="24"/>
          <w:szCs w:val="24"/>
          <w:lang w:eastAsia="pl-PL"/>
        </w:rPr>
      </w:pPr>
      <w:r w:rsidRPr="003B5656">
        <w:rPr>
          <w:rFonts w:ascii="Times New Roman" w:eastAsia="Calibri" w:hAnsi="Times New Roman" w:cs="Times New Roman"/>
          <w:sz w:val="24"/>
          <w:szCs w:val="24"/>
          <w:lang w:eastAsia="pl-PL"/>
        </w:rPr>
        <w:t xml:space="preserve">Współpraca międzynarodowa GIOŚ w roku 2022 ukierunkowana była w głównej mierze na: </w:t>
      </w:r>
    </w:p>
    <w:p w14:paraId="29561B7F" w14:textId="0B220835" w:rsidR="00E614A8" w:rsidRPr="003B5656" w:rsidRDefault="00E614A8" w:rsidP="00D80FBD">
      <w:pPr>
        <w:numPr>
          <w:ilvl w:val="0"/>
          <w:numId w:val="42"/>
        </w:numPr>
        <w:spacing w:after="0" w:line="300" w:lineRule="atLeast"/>
        <w:contextualSpacing/>
        <w:jc w:val="both"/>
        <w:rPr>
          <w:rFonts w:ascii="Times New Roman" w:eastAsia="Calibri" w:hAnsi="Times New Roman" w:cs="Times New Roman"/>
          <w:sz w:val="24"/>
          <w:szCs w:val="24"/>
          <w:lang w:val="x-none" w:eastAsia="pl-PL"/>
        </w:rPr>
      </w:pPr>
      <w:r w:rsidRPr="003B5656">
        <w:rPr>
          <w:rFonts w:ascii="Times New Roman" w:eastAsia="Calibri" w:hAnsi="Times New Roman" w:cs="Times New Roman"/>
          <w:sz w:val="24"/>
          <w:szCs w:val="24"/>
          <w:lang w:val="x-none" w:eastAsia="pl-PL"/>
        </w:rPr>
        <w:t>udzia</w:t>
      </w:r>
      <w:r w:rsidR="008D6F94">
        <w:rPr>
          <w:rFonts w:ascii="Times New Roman" w:eastAsia="Calibri" w:hAnsi="Times New Roman" w:cs="Times New Roman"/>
          <w:sz w:val="24"/>
          <w:szCs w:val="24"/>
          <w:lang w:eastAsia="pl-PL"/>
        </w:rPr>
        <w:t>ł</w:t>
      </w:r>
      <w:r w:rsidRPr="003B5656">
        <w:rPr>
          <w:rFonts w:ascii="Times New Roman" w:eastAsia="Calibri" w:hAnsi="Times New Roman" w:cs="Times New Roman"/>
          <w:sz w:val="24"/>
          <w:szCs w:val="24"/>
          <w:lang w:val="x-none" w:eastAsia="pl-PL"/>
        </w:rPr>
        <w:t xml:space="preserve"> w pracach instytucji i agend Unii Europejskiej</w:t>
      </w:r>
      <w:r w:rsidRPr="003B5656">
        <w:rPr>
          <w:rFonts w:ascii="Times New Roman" w:eastAsia="Calibri" w:hAnsi="Times New Roman" w:cs="Times New Roman"/>
          <w:sz w:val="24"/>
          <w:szCs w:val="24"/>
          <w:lang w:eastAsia="pl-PL"/>
        </w:rPr>
        <w:t>,</w:t>
      </w:r>
      <w:r w:rsidRPr="003B5656">
        <w:rPr>
          <w:rFonts w:ascii="Times New Roman" w:eastAsia="Calibri" w:hAnsi="Times New Roman" w:cs="Times New Roman"/>
          <w:sz w:val="24"/>
          <w:szCs w:val="24"/>
          <w:lang w:val="x-none" w:eastAsia="pl-PL"/>
        </w:rPr>
        <w:t xml:space="preserve"> w tym Europejskiej Agencji Środowiska, Europejskiej Sieci Wdrażania i Egzek</w:t>
      </w:r>
      <w:r w:rsidRPr="003B5656">
        <w:rPr>
          <w:rFonts w:ascii="Times New Roman" w:eastAsia="Calibri" w:hAnsi="Times New Roman" w:cs="Times New Roman"/>
          <w:sz w:val="24"/>
          <w:szCs w:val="24"/>
          <w:lang w:eastAsia="pl-PL"/>
        </w:rPr>
        <w:t>wowania</w:t>
      </w:r>
      <w:r w:rsidRPr="003B5656">
        <w:rPr>
          <w:rFonts w:ascii="Times New Roman" w:eastAsia="Calibri" w:hAnsi="Times New Roman" w:cs="Times New Roman"/>
          <w:sz w:val="24"/>
          <w:szCs w:val="24"/>
          <w:lang w:val="x-none" w:eastAsia="pl-PL"/>
        </w:rPr>
        <w:t xml:space="preserve"> Prawa Ochrony Środowiska (IMPEL) </w:t>
      </w:r>
      <w:r w:rsidR="008D6F94">
        <w:rPr>
          <w:rFonts w:ascii="Times New Roman" w:eastAsia="Calibri" w:hAnsi="Times New Roman" w:cs="Times New Roman"/>
          <w:sz w:val="24"/>
          <w:szCs w:val="24"/>
          <w:lang w:eastAsia="pl-PL"/>
        </w:rPr>
        <w:t xml:space="preserve">oraz </w:t>
      </w:r>
      <w:r w:rsidRPr="003B5656">
        <w:rPr>
          <w:rFonts w:ascii="Times New Roman" w:eastAsia="Calibri" w:hAnsi="Times New Roman" w:cs="Times New Roman"/>
          <w:sz w:val="24"/>
          <w:szCs w:val="24"/>
          <w:lang w:val="x-none" w:eastAsia="pl-PL"/>
        </w:rPr>
        <w:t>w komitetach, grupach roboczych i programach UE</w:t>
      </w:r>
      <w:r w:rsidR="008D6F94">
        <w:rPr>
          <w:rFonts w:ascii="Times New Roman" w:eastAsia="Calibri" w:hAnsi="Times New Roman" w:cs="Times New Roman"/>
          <w:sz w:val="24"/>
          <w:szCs w:val="24"/>
          <w:lang w:eastAsia="pl-PL"/>
        </w:rPr>
        <w:t>,</w:t>
      </w:r>
    </w:p>
    <w:p w14:paraId="67698E5B" w14:textId="2C883EE7" w:rsidR="00E614A8" w:rsidRPr="003B5656" w:rsidRDefault="00E614A8" w:rsidP="00D80FBD">
      <w:pPr>
        <w:numPr>
          <w:ilvl w:val="0"/>
          <w:numId w:val="42"/>
        </w:numPr>
        <w:spacing w:after="0" w:line="300" w:lineRule="atLeast"/>
        <w:contextualSpacing/>
        <w:jc w:val="both"/>
        <w:rPr>
          <w:rFonts w:ascii="Times New Roman" w:eastAsia="Calibri" w:hAnsi="Times New Roman" w:cs="Times New Roman"/>
          <w:sz w:val="24"/>
          <w:szCs w:val="24"/>
          <w:lang w:val="x-none" w:eastAsia="pl-PL"/>
        </w:rPr>
      </w:pPr>
      <w:r w:rsidRPr="003B5656">
        <w:rPr>
          <w:rFonts w:ascii="Times New Roman" w:eastAsia="Calibri" w:hAnsi="Times New Roman" w:cs="Times New Roman"/>
          <w:sz w:val="24"/>
          <w:szCs w:val="24"/>
          <w:lang w:val="x-none" w:eastAsia="pl-PL"/>
        </w:rPr>
        <w:t>wypełniani</w:t>
      </w:r>
      <w:r w:rsidR="009238E9">
        <w:rPr>
          <w:rFonts w:ascii="Times New Roman" w:eastAsia="Calibri" w:hAnsi="Times New Roman" w:cs="Times New Roman"/>
          <w:sz w:val="24"/>
          <w:szCs w:val="24"/>
          <w:lang w:eastAsia="pl-PL"/>
        </w:rPr>
        <w:t>e</w:t>
      </w:r>
      <w:r w:rsidRPr="003B5656">
        <w:rPr>
          <w:rFonts w:ascii="Times New Roman" w:eastAsia="Calibri" w:hAnsi="Times New Roman" w:cs="Times New Roman"/>
          <w:sz w:val="24"/>
          <w:szCs w:val="24"/>
          <w:lang w:val="x-none" w:eastAsia="pl-PL"/>
        </w:rPr>
        <w:t xml:space="preserve"> zobowiązań wynikających z konwencji i umów międzynarodowych</w:t>
      </w:r>
      <w:r w:rsidR="009238E9">
        <w:rPr>
          <w:rFonts w:ascii="Times New Roman" w:eastAsia="Calibri" w:hAnsi="Times New Roman" w:cs="Times New Roman"/>
          <w:sz w:val="24"/>
          <w:szCs w:val="24"/>
          <w:lang w:eastAsia="pl-PL"/>
        </w:rPr>
        <w:t>,</w:t>
      </w:r>
    </w:p>
    <w:p w14:paraId="53B1C05A" w14:textId="6F8F4CE8" w:rsidR="00895F16" w:rsidRPr="007F400A" w:rsidRDefault="00E614A8" w:rsidP="00D80FBD">
      <w:pPr>
        <w:numPr>
          <w:ilvl w:val="0"/>
          <w:numId w:val="42"/>
        </w:numPr>
        <w:spacing w:after="0" w:line="300" w:lineRule="atLeast"/>
        <w:contextualSpacing/>
        <w:jc w:val="both"/>
        <w:rPr>
          <w:rFonts w:ascii="Times New Roman" w:eastAsia="Calibri" w:hAnsi="Times New Roman" w:cs="Times New Roman"/>
          <w:sz w:val="24"/>
          <w:szCs w:val="24"/>
          <w:lang w:val="x-none" w:eastAsia="pl-PL"/>
        </w:rPr>
      </w:pPr>
      <w:r w:rsidRPr="003B5656">
        <w:rPr>
          <w:rFonts w:ascii="Times New Roman" w:eastAsia="Calibri" w:hAnsi="Times New Roman" w:cs="Times New Roman"/>
          <w:sz w:val="24"/>
          <w:szCs w:val="24"/>
          <w:lang w:val="x-none" w:eastAsia="pl-PL"/>
        </w:rPr>
        <w:t>współprac</w:t>
      </w:r>
      <w:r w:rsidR="009238E9">
        <w:rPr>
          <w:rFonts w:ascii="Times New Roman" w:eastAsia="Calibri" w:hAnsi="Times New Roman" w:cs="Times New Roman"/>
          <w:sz w:val="24"/>
          <w:szCs w:val="24"/>
          <w:lang w:eastAsia="pl-PL"/>
        </w:rPr>
        <w:t>ę</w:t>
      </w:r>
      <w:r w:rsidRPr="003B5656">
        <w:rPr>
          <w:rFonts w:ascii="Times New Roman" w:eastAsia="Calibri" w:hAnsi="Times New Roman" w:cs="Times New Roman"/>
          <w:sz w:val="24"/>
          <w:szCs w:val="24"/>
          <w:lang w:val="x-none" w:eastAsia="pl-PL"/>
        </w:rPr>
        <w:t xml:space="preserve"> bilateraln</w:t>
      </w:r>
      <w:r w:rsidR="009238E9">
        <w:rPr>
          <w:rFonts w:ascii="Times New Roman" w:eastAsia="Calibri" w:hAnsi="Times New Roman" w:cs="Times New Roman"/>
          <w:sz w:val="24"/>
          <w:szCs w:val="24"/>
          <w:lang w:eastAsia="pl-PL"/>
        </w:rPr>
        <w:t>ą</w:t>
      </w:r>
      <w:r w:rsidRPr="003B5656">
        <w:rPr>
          <w:rFonts w:ascii="Times New Roman" w:eastAsia="Calibri" w:hAnsi="Times New Roman" w:cs="Times New Roman"/>
          <w:sz w:val="24"/>
          <w:szCs w:val="24"/>
          <w:lang w:val="x-none" w:eastAsia="pl-PL"/>
        </w:rPr>
        <w:t>, głównie z krajami sąsiadującymi z Polską</w:t>
      </w:r>
      <w:r w:rsidR="00895F16" w:rsidRPr="007F400A">
        <w:rPr>
          <w:rFonts w:ascii="Times New Roman" w:eastAsia="Calibri" w:hAnsi="Times New Roman" w:cs="Times New Roman"/>
          <w:sz w:val="24"/>
          <w:szCs w:val="24"/>
          <w:lang w:eastAsia="pl-PL"/>
        </w:rPr>
        <w:t>.</w:t>
      </w:r>
    </w:p>
    <w:p w14:paraId="652D1ED9" w14:textId="77777777" w:rsidR="00895F16" w:rsidRPr="007F400A" w:rsidRDefault="00895F16" w:rsidP="00D80FBD">
      <w:pPr>
        <w:spacing w:after="0" w:line="300" w:lineRule="atLeast"/>
        <w:ind w:firstLine="708"/>
        <w:rPr>
          <w:rFonts w:ascii="Times New Roman" w:eastAsia="Calibri" w:hAnsi="Times New Roman" w:cs="Times New Roman"/>
          <w:sz w:val="20"/>
          <w:szCs w:val="20"/>
          <w:lang w:eastAsia="pl-PL"/>
        </w:rPr>
      </w:pPr>
    </w:p>
    <w:p w14:paraId="0F056917" w14:textId="77777777" w:rsidR="00895F16" w:rsidRPr="007F400A" w:rsidRDefault="00895F16" w:rsidP="00D80FBD">
      <w:pPr>
        <w:keepNext/>
        <w:spacing w:after="0" w:line="300" w:lineRule="atLeast"/>
        <w:outlineLvl w:val="0"/>
        <w:rPr>
          <w:rFonts w:ascii="Times New Roman" w:eastAsia="Times New Roman" w:hAnsi="Times New Roman" w:cs="Times New Roman"/>
          <w:b/>
          <w:bCs/>
          <w:sz w:val="24"/>
          <w:szCs w:val="24"/>
          <w:lang w:val="x-none" w:eastAsia="x-none"/>
        </w:rPr>
      </w:pPr>
      <w:bookmarkStart w:id="468" w:name="_Toc36732661"/>
      <w:bookmarkStart w:id="469" w:name="_Toc135935737"/>
      <w:r w:rsidRPr="007F400A">
        <w:rPr>
          <w:rFonts w:ascii="Times New Roman" w:eastAsia="Times New Roman" w:hAnsi="Times New Roman" w:cs="Times New Roman"/>
          <w:b/>
          <w:bCs/>
          <w:sz w:val="24"/>
          <w:szCs w:val="24"/>
          <w:lang w:eastAsia="x-none"/>
        </w:rPr>
        <w:t xml:space="preserve">2. </w:t>
      </w:r>
      <w:r w:rsidRPr="007F400A">
        <w:rPr>
          <w:rFonts w:ascii="Times New Roman" w:eastAsia="Times New Roman" w:hAnsi="Times New Roman" w:cs="Times New Roman"/>
          <w:b/>
          <w:bCs/>
          <w:sz w:val="24"/>
          <w:szCs w:val="24"/>
          <w:lang w:val="x-none" w:eastAsia="x-none"/>
        </w:rPr>
        <w:t>Współpraca Inspekcji Ochrony Środowiska z instytucjami i agendami Unii Europejskiej</w:t>
      </w:r>
      <w:bookmarkEnd w:id="468"/>
      <w:bookmarkEnd w:id="469"/>
    </w:p>
    <w:tbl>
      <w:tblPr>
        <w:tblW w:w="0" w:type="auto"/>
        <w:tblLook w:val="04A0" w:firstRow="1" w:lastRow="0" w:firstColumn="1" w:lastColumn="0" w:noHBand="0" w:noVBand="1"/>
      </w:tblPr>
      <w:tblGrid>
        <w:gridCol w:w="7566"/>
        <w:gridCol w:w="1506"/>
      </w:tblGrid>
      <w:tr w:rsidR="00895F16" w:rsidRPr="007F400A" w14:paraId="6EBB9C82" w14:textId="77777777" w:rsidTr="00895F16">
        <w:trPr>
          <w:trHeight w:val="1334"/>
        </w:trPr>
        <w:tc>
          <w:tcPr>
            <w:tcW w:w="7566" w:type="dxa"/>
          </w:tcPr>
          <w:p w14:paraId="5D9D4D4D" w14:textId="77777777" w:rsidR="00895F16" w:rsidRPr="007F400A" w:rsidRDefault="00895F16" w:rsidP="00D80FBD">
            <w:pPr>
              <w:spacing w:after="120" w:line="300" w:lineRule="atLeast"/>
              <w:rPr>
                <w:rFonts w:ascii="Times New Roman" w:eastAsia="Calibri" w:hAnsi="Times New Roman" w:cs="Times New Roman"/>
                <w:b/>
                <w:bCs/>
                <w:sz w:val="20"/>
                <w:szCs w:val="20"/>
                <w:lang w:eastAsia="pl-PL"/>
              </w:rPr>
            </w:pPr>
          </w:p>
          <w:p w14:paraId="76AB7AC8" w14:textId="77777777" w:rsidR="00895F16" w:rsidRPr="007F400A" w:rsidRDefault="00895F16" w:rsidP="00D80FBD">
            <w:pPr>
              <w:numPr>
                <w:ilvl w:val="1"/>
                <w:numId w:val="41"/>
              </w:numPr>
              <w:spacing w:after="0" w:line="300" w:lineRule="atLeast"/>
              <w:jc w:val="both"/>
              <w:rPr>
                <w:rFonts w:ascii="Times New Roman" w:eastAsia="Calibri" w:hAnsi="Times New Roman" w:cs="Times New Roman"/>
                <w:b/>
                <w:bCs/>
                <w:sz w:val="24"/>
                <w:szCs w:val="24"/>
                <w:lang w:eastAsia="pl-PL"/>
              </w:rPr>
            </w:pPr>
            <w:r w:rsidRPr="007F400A">
              <w:rPr>
                <w:rFonts w:ascii="Times New Roman" w:eastAsia="Calibri" w:hAnsi="Times New Roman" w:cs="Times New Roman"/>
                <w:b/>
                <w:bCs/>
                <w:sz w:val="20"/>
                <w:szCs w:val="20"/>
                <w:lang w:eastAsia="pl-PL"/>
              </w:rPr>
              <w:t xml:space="preserve"> </w:t>
            </w:r>
            <w:r w:rsidRPr="007F400A">
              <w:rPr>
                <w:rFonts w:ascii="Times New Roman" w:eastAsia="Calibri" w:hAnsi="Times New Roman" w:cs="Times New Roman"/>
                <w:b/>
                <w:bCs/>
                <w:sz w:val="24"/>
                <w:szCs w:val="24"/>
                <w:lang w:eastAsia="pl-PL"/>
              </w:rPr>
              <w:t>Udział IOŚ w pracach Europejskiej Agencji Środowiska (EEA)</w:t>
            </w:r>
            <w:r w:rsidRPr="007F400A">
              <w:rPr>
                <w:rFonts w:ascii="Times New Roman" w:eastAsia="Calibri" w:hAnsi="Times New Roman" w:cs="Times New Roman"/>
                <w:b/>
                <w:bCs/>
                <w:sz w:val="24"/>
                <w:szCs w:val="24"/>
                <w:lang w:eastAsia="pl-PL"/>
              </w:rPr>
              <w:tab/>
            </w:r>
          </w:p>
          <w:p w14:paraId="2B923581" w14:textId="77777777" w:rsidR="00895F16" w:rsidRPr="007F400A" w:rsidRDefault="00895F16" w:rsidP="00D80FBD">
            <w:pPr>
              <w:spacing w:after="0" w:line="300" w:lineRule="atLeast"/>
              <w:ind w:left="426"/>
              <w:rPr>
                <w:rFonts w:ascii="Times New Roman" w:eastAsia="Calibri" w:hAnsi="Times New Roman" w:cs="Times New Roman"/>
                <w:sz w:val="20"/>
                <w:szCs w:val="20"/>
                <w:lang w:eastAsia="pl-PL"/>
              </w:rPr>
            </w:pPr>
          </w:p>
        </w:tc>
        <w:tc>
          <w:tcPr>
            <w:tcW w:w="1506" w:type="dxa"/>
          </w:tcPr>
          <w:p w14:paraId="231B709B" w14:textId="77777777" w:rsidR="00895F16" w:rsidRPr="007F400A" w:rsidRDefault="00895F16" w:rsidP="00D80FBD">
            <w:pPr>
              <w:spacing w:after="0" w:line="300" w:lineRule="atLeast"/>
              <w:rPr>
                <w:rFonts w:ascii="Times New Roman" w:eastAsia="Calibri" w:hAnsi="Times New Roman" w:cs="Times New Roman"/>
                <w:sz w:val="20"/>
                <w:szCs w:val="20"/>
                <w:lang w:eastAsia="pl-PL"/>
              </w:rPr>
            </w:pPr>
            <w:r w:rsidRPr="007F400A">
              <w:rPr>
                <w:rFonts w:ascii="Times New Roman" w:eastAsia="Calibri" w:hAnsi="Times New Roman" w:cs="Times New Roman"/>
                <w:b/>
                <w:noProof/>
                <w:sz w:val="20"/>
                <w:szCs w:val="20"/>
                <w:lang w:eastAsia="pl-PL"/>
              </w:rPr>
              <w:drawing>
                <wp:inline distT="0" distB="0" distL="0" distR="0" wp14:anchorId="690CFB9E" wp14:editId="28B41568">
                  <wp:extent cx="809625" cy="904875"/>
                  <wp:effectExtent l="0" t="0" r="9525" b="9525"/>
                  <wp:docPr id="36" name="Obraz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6">
                            <a:extLst>
                              <a:ext uri="{C183D7F6-B498-43B3-948B-1728B52AA6E4}">
                                <adec:decorative xmlns:adec="http://schemas.microsoft.com/office/drawing/2017/decorative" val="1"/>
                              </a:ext>
                            </a:extLst>
                          </pic:cNvP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809625" cy="904875"/>
                          </a:xfrm>
                          <a:prstGeom prst="rect">
                            <a:avLst/>
                          </a:prstGeom>
                          <a:noFill/>
                          <a:ln>
                            <a:noFill/>
                          </a:ln>
                        </pic:spPr>
                      </pic:pic>
                    </a:graphicData>
                  </a:graphic>
                </wp:inline>
              </w:drawing>
            </w:r>
          </w:p>
        </w:tc>
      </w:tr>
    </w:tbl>
    <w:p w14:paraId="216A8ED8" w14:textId="0AFC9930" w:rsidR="00E614A8" w:rsidRDefault="00E614A8" w:rsidP="00D80FBD">
      <w:pPr>
        <w:spacing w:after="0" w:line="300" w:lineRule="atLeast"/>
        <w:ind w:firstLine="567"/>
        <w:jc w:val="both"/>
        <w:rPr>
          <w:rFonts w:ascii="Times New Roman" w:hAnsi="Times New Roman" w:cs="Times New Roman"/>
          <w:sz w:val="24"/>
          <w:szCs w:val="24"/>
        </w:rPr>
      </w:pPr>
      <w:r w:rsidRPr="003B5656">
        <w:rPr>
          <w:rFonts w:ascii="Times New Roman" w:hAnsi="Times New Roman" w:cs="Times New Roman"/>
          <w:sz w:val="24"/>
          <w:szCs w:val="24"/>
        </w:rPr>
        <w:t xml:space="preserve">W 2022 r. ulokowany w Departamencie Monitoringu Środowiska GIOŚ, zgodnie </w:t>
      </w:r>
      <w:r w:rsidR="009238E9">
        <w:rPr>
          <w:rFonts w:ascii="Times New Roman" w:hAnsi="Times New Roman" w:cs="Times New Roman"/>
          <w:sz w:val="24"/>
          <w:szCs w:val="24"/>
        </w:rPr>
        <w:br/>
      </w:r>
      <w:r w:rsidRPr="003B5656">
        <w:rPr>
          <w:rFonts w:ascii="Times New Roman" w:hAnsi="Times New Roman" w:cs="Times New Roman"/>
          <w:sz w:val="24"/>
          <w:szCs w:val="24"/>
        </w:rPr>
        <w:t xml:space="preserve">z ustawą o Inspekcji Ochrony Środowiska, Krajowy Punkt Kontaktowy (KPK) ds. współpracy z </w:t>
      </w:r>
      <w:r w:rsidR="009238E9">
        <w:rPr>
          <w:rFonts w:ascii="Times New Roman" w:hAnsi="Times New Roman" w:cs="Times New Roman"/>
          <w:sz w:val="24"/>
          <w:szCs w:val="24"/>
        </w:rPr>
        <w:t>Europejską Agencją Środowiska (</w:t>
      </w:r>
      <w:r w:rsidRPr="003B5656">
        <w:rPr>
          <w:rFonts w:ascii="Times New Roman" w:hAnsi="Times New Roman" w:cs="Times New Roman"/>
          <w:sz w:val="24"/>
          <w:szCs w:val="24"/>
        </w:rPr>
        <w:t>EEA</w:t>
      </w:r>
      <w:r w:rsidR="009238E9">
        <w:rPr>
          <w:rFonts w:ascii="Times New Roman" w:hAnsi="Times New Roman" w:cs="Times New Roman"/>
          <w:sz w:val="24"/>
          <w:szCs w:val="24"/>
        </w:rPr>
        <w:t>)</w:t>
      </w:r>
      <w:r w:rsidRPr="003B5656">
        <w:rPr>
          <w:rFonts w:ascii="Times New Roman" w:hAnsi="Times New Roman" w:cs="Times New Roman"/>
          <w:sz w:val="24"/>
          <w:szCs w:val="24"/>
        </w:rPr>
        <w:t xml:space="preserve"> w ramach Europejskiej Sieci Informacji i Obserwacji Środowiska (EIONET) koordynował współpracę Polski z Europejską Agencją Środowiska. Przedstawiciele GIOŚ uczestniczyli także w pracach Zarządu EEA. Merytoryczny wkład GIOŚ we współpracę w określonych tematach EIONET dotyczących środowiska i działań człowieka realizowany był przez KPK (oficjalnie nominowana do tej roli osoba w każdym kraju EEA) oraz innych pracowników DMŚ GIOŚ specjalizujących się w poszczególnych zagadnieniach. Ogółem realizacja współpracy z EEA obejmowała przede wszystkim: organizację struktury i pracy krajowej EIONET oraz kontrolę jej działań, przekazywanie do Agencji danych </w:t>
      </w:r>
      <w:r w:rsidR="009238E9">
        <w:rPr>
          <w:rFonts w:ascii="Times New Roman" w:hAnsi="Times New Roman" w:cs="Times New Roman"/>
          <w:sz w:val="24"/>
          <w:szCs w:val="24"/>
        </w:rPr>
        <w:br/>
      </w:r>
      <w:r w:rsidRPr="003B5656">
        <w:rPr>
          <w:rFonts w:ascii="Times New Roman" w:hAnsi="Times New Roman" w:cs="Times New Roman"/>
          <w:sz w:val="24"/>
          <w:szCs w:val="24"/>
        </w:rPr>
        <w:t xml:space="preserve">i informacji, udział w tworzeniu i opiniowanie działań, projektów i produktów EEA, wymianę doświadczeń z innymi krajami. </w:t>
      </w:r>
    </w:p>
    <w:p w14:paraId="6E12438E" w14:textId="77777777" w:rsidR="00E614A8" w:rsidRDefault="00E614A8" w:rsidP="00D80FBD">
      <w:pPr>
        <w:spacing w:after="0" w:line="300" w:lineRule="atLeast"/>
        <w:ind w:firstLine="567"/>
        <w:jc w:val="both"/>
        <w:rPr>
          <w:rFonts w:ascii="Times New Roman" w:hAnsi="Times New Roman" w:cs="Times New Roman"/>
          <w:sz w:val="24"/>
          <w:szCs w:val="24"/>
        </w:rPr>
      </w:pPr>
      <w:r w:rsidRPr="003B5656">
        <w:rPr>
          <w:rFonts w:ascii="Times New Roman" w:hAnsi="Times New Roman" w:cs="Times New Roman"/>
          <w:sz w:val="24"/>
          <w:szCs w:val="24"/>
        </w:rPr>
        <w:t xml:space="preserve">Zapewniono bieżące funkcjonowanie sieci EIONET, obejmującej kilkanaście instytucji i ponad 30 ekspertów. Wiązało się to także z realizacją licznych zadań o charakterze administracyjno-zarządczym w zakresie procedur krajowych, jak i systemu informatycznego EEA. Realizowano w ramach struktur EIONET w Polsce wymianę informacji i wiedzy nt. działań na poziomie EEA i na poziomie kraju oraz odnośnie prac z zakresu tematyki dotyczącej środowiska i powiązanej z jego stanem dobrej jakości życia. Ponadto z pozycji KPK udzielano niezbędnego doradztwa ekspertom w kraju. </w:t>
      </w:r>
    </w:p>
    <w:p w14:paraId="12EAF579" w14:textId="4DEE652E" w:rsidR="00E614A8" w:rsidRDefault="00E614A8" w:rsidP="00D80FBD">
      <w:pPr>
        <w:spacing w:after="0" w:line="300" w:lineRule="atLeast"/>
        <w:ind w:firstLine="567"/>
        <w:jc w:val="both"/>
        <w:rPr>
          <w:rFonts w:ascii="Times New Roman" w:hAnsi="Times New Roman" w:cs="Times New Roman"/>
          <w:sz w:val="24"/>
          <w:szCs w:val="24"/>
        </w:rPr>
      </w:pPr>
      <w:r w:rsidRPr="003B5656">
        <w:rPr>
          <w:rFonts w:ascii="Times New Roman" w:hAnsi="Times New Roman" w:cs="Times New Roman"/>
          <w:sz w:val="24"/>
          <w:szCs w:val="24"/>
        </w:rPr>
        <w:t xml:space="preserve">Kontynuowany przez EEA proces modernizacji EIONET całkowicie zmienia utwierdzane i rozwijane przez blisko 30 lat rozwiązania. Rok 2022 był rokiem testowania zmian struktury tematycznej sieci EIONET. Obowiązujące w ostatnim okresie główne 24 tematy współpracy dotyczyły: jakości powietrza, zanieczyszczeń przemysłowych, emisji gazów cieplarnianych, emisji do wód, jakości wód śródlądowych, zasobów wód śródlądowych, wód </w:t>
      </w:r>
      <w:r w:rsidR="009238E9">
        <w:rPr>
          <w:rFonts w:ascii="Times New Roman" w:hAnsi="Times New Roman" w:cs="Times New Roman"/>
          <w:sz w:val="24"/>
          <w:szCs w:val="24"/>
        </w:rPr>
        <w:br/>
      </w:r>
      <w:r w:rsidRPr="003B5656">
        <w:rPr>
          <w:rFonts w:ascii="Times New Roman" w:hAnsi="Times New Roman" w:cs="Times New Roman"/>
          <w:sz w:val="24"/>
          <w:szCs w:val="24"/>
        </w:rPr>
        <w:t xml:space="preserve">i gospodarki morskiej, gleb, różnorodności biologicznej, lasów, pokrycia terenu, użytkowania terenu, energii, rolnictwa, transportu, hałasu, odpadów, gospodarki o obiegu zamkniętym, oddziaływania i adaptacji do zmian klimatu, zdrowia, systemów informacji o środowisku, zintegrowanych ocen stanu środowiska, scenariuszy i prognoz, komunikacji społecznej. W ramach modernizacji sieci Agencja przeniosła członków EIONET do nowej struktury, </w:t>
      </w:r>
      <w:r w:rsidRPr="003B5656">
        <w:rPr>
          <w:rFonts w:ascii="Times New Roman" w:hAnsi="Times New Roman" w:cs="Times New Roman"/>
          <w:sz w:val="24"/>
          <w:szCs w:val="24"/>
        </w:rPr>
        <w:lastRenderedPageBreak/>
        <w:t xml:space="preserve">obejmującej 13 większych, bardziej przekrojowych tematów oraz powiązane z częścią z nich szczegółowe podtematy, stanowiące dodatkowe, nowe poziomy struktury sieci. Wśród nowych głównych tematów znalazły się m.in. systemy zaopatrzenia w żywność, emisje gazów cieplarnianych w połączeniu z systemami zaopatrzenia w energię, systemy mobilności, systemy lądowe, czy wreszcie rozszerzona tematyka zdrowia integrująca m.in. kwestie jakości powietrza, hałasu, narażenia na substancje chemiczne. Istotą modernizacji jest zwrócenie uwagi na konieczność bardziej przekrojowego podejścia do ocen stanu środowiska i dostrzegania wzajemnych relacji między elementami środowiska, działaniami człowieka oraz między środowiskiem a człowiekiem, </w:t>
      </w:r>
      <w:r w:rsidR="009238E9">
        <w:rPr>
          <w:rFonts w:ascii="Times New Roman" w:hAnsi="Times New Roman" w:cs="Times New Roman"/>
          <w:sz w:val="24"/>
          <w:szCs w:val="24"/>
        </w:rPr>
        <w:t>a także</w:t>
      </w:r>
      <w:r w:rsidRPr="003B5656">
        <w:rPr>
          <w:rFonts w:ascii="Times New Roman" w:hAnsi="Times New Roman" w:cs="Times New Roman"/>
          <w:sz w:val="24"/>
          <w:szCs w:val="24"/>
        </w:rPr>
        <w:t xml:space="preserve"> uzyskanie większego zaangażowania krajów we współtworzenie wiedzy z EEA. Kluczowym wyzwaniem roku 2022 było zatem zapewnienie ciągłości współpracy oraz podjęcie nowych tematów w nadal nie w pełni operacyjnej nowej strukturze tematycznej, dla której EEA nie zapewniła jeszcze wymaganych procedur, narzędzi i zasad. W praktyce funkcjonowano w 2022 r. w 2 równoległych sieciach, utrzymując na poziomie krajowym dotychczas wypracowane kontakty eksperckie. Ponadto polski KPK był istotnie zaangażowany w opiniowanie modernizacji oraz proponował liczne usprawnienia w odpowiedzi na pojawiające się na bieżąco problemy.</w:t>
      </w:r>
    </w:p>
    <w:p w14:paraId="21F78106" w14:textId="53181C30" w:rsidR="00E614A8" w:rsidRDefault="00E614A8" w:rsidP="00D80FBD">
      <w:pPr>
        <w:spacing w:after="0" w:line="300" w:lineRule="atLeast"/>
        <w:ind w:firstLine="567"/>
        <w:jc w:val="both"/>
        <w:rPr>
          <w:rFonts w:ascii="Times New Roman" w:hAnsi="Times New Roman" w:cs="Times New Roman"/>
          <w:sz w:val="24"/>
          <w:szCs w:val="24"/>
        </w:rPr>
      </w:pPr>
      <w:r w:rsidRPr="003B5656">
        <w:rPr>
          <w:rFonts w:ascii="Times New Roman" w:hAnsi="Times New Roman" w:cs="Times New Roman"/>
          <w:sz w:val="24"/>
          <w:szCs w:val="24"/>
        </w:rPr>
        <w:t xml:space="preserve">Proces modernizacji objął także stosowane przez EEA narzędzia informatyczno-komunikacyjne dla realizacji współpracy. Polski KPK opiniował w ciągu roku przedstawiane rozwiązania i zgłaszał potrzeby krajowe, związane m.in. z kwestią dostępu do określonych funkcjonalności oraz samego dostępu do nowego systemu. Opracował także m.in. obszerne stanowisko do dokumentu EEA, analizującego możliwe platformy IT oraz odpowiedzi w kwestionariuszu sprawdzającym możliwości poszczególnych instytucji w kraju w zakresie stosowania MS </w:t>
      </w:r>
      <w:proofErr w:type="spellStart"/>
      <w:r w:rsidRPr="003B5656">
        <w:rPr>
          <w:rFonts w:ascii="Times New Roman" w:hAnsi="Times New Roman" w:cs="Times New Roman"/>
          <w:sz w:val="24"/>
          <w:szCs w:val="24"/>
        </w:rPr>
        <w:t>Teams</w:t>
      </w:r>
      <w:proofErr w:type="spellEnd"/>
      <w:r w:rsidRPr="003B5656">
        <w:rPr>
          <w:rFonts w:ascii="Times New Roman" w:hAnsi="Times New Roman" w:cs="Times New Roman"/>
          <w:sz w:val="24"/>
          <w:szCs w:val="24"/>
        </w:rPr>
        <w:t xml:space="preserve"> jako przyszłej platformy współpracy. </w:t>
      </w:r>
    </w:p>
    <w:p w14:paraId="5B5445AB" w14:textId="582B8104" w:rsidR="00E614A8" w:rsidRDefault="00E614A8" w:rsidP="00D80FBD">
      <w:pPr>
        <w:spacing w:after="0" w:line="300" w:lineRule="atLeast"/>
        <w:ind w:firstLine="567"/>
        <w:jc w:val="both"/>
        <w:rPr>
          <w:rFonts w:ascii="Times New Roman" w:hAnsi="Times New Roman" w:cs="Times New Roman"/>
          <w:sz w:val="24"/>
          <w:szCs w:val="24"/>
        </w:rPr>
      </w:pPr>
      <w:r w:rsidRPr="003B5656">
        <w:rPr>
          <w:rFonts w:ascii="Times New Roman" w:hAnsi="Times New Roman" w:cs="Times New Roman"/>
          <w:sz w:val="24"/>
          <w:szCs w:val="24"/>
        </w:rPr>
        <w:t>KPK opracował obszerne stanowisko do Dokumentu Programowego EEA 2023-2025 i programu pracy na rok 2023, wskazując przy tym na wyzwania i potrzeby. Wkład własny połączony został z wynikami szerokich konsultacji, jakie KPK przeprowadził na poziomie krajowym. Poprzez stały kontakt elektroniczny na bieżąco zgłaszał EEA uwagi i wnioski odnośnie zakresu zadań EIONET w 2022 r., sposobu ich realizacji, narzędzi współpracy. Wymieniał się także pisemnie informacjami i sugestiami z innymi państwami. Ponadto podczas regularnych spotkań Krajowych Punktów Kontaktowych wszystkich krajów oraz</w:t>
      </w:r>
      <w:r w:rsidR="009238E9">
        <w:rPr>
          <w:rFonts w:ascii="Times New Roman" w:hAnsi="Times New Roman" w:cs="Times New Roman"/>
          <w:sz w:val="24"/>
          <w:szCs w:val="24"/>
        </w:rPr>
        <w:t xml:space="preserve"> </w:t>
      </w:r>
      <w:r w:rsidRPr="003B5656">
        <w:rPr>
          <w:rFonts w:ascii="Times New Roman" w:hAnsi="Times New Roman" w:cs="Times New Roman"/>
          <w:sz w:val="24"/>
          <w:szCs w:val="24"/>
        </w:rPr>
        <w:t xml:space="preserve">na posiedzeniach Zarządu EEA - z powodu pandemii początkowo tylko w trybie on-line, a od czerwca także w Kopenhadze - bezpośrednio uczestniczono w dyskusji oraz podejmowaniu decyzji związanych z działaniami Agencji, współpracą i zakresem prac do realizacji na poziomie krajowym. Prowadzono także regularne rozmowy on-line między KPK a wyznaczonym pracownikiem EEA na zainicjowanych przez Agencję spotkaniach roboczych dedykowanych wybranym zagadnieniom efektywności współpracy. </w:t>
      </w:r>
    </w:p>
    <w:p w14:paraId="4328735C" w14:textId="7EBFD8E5" w:rsidR="00E614A8" w:rsidRDefault="00E614A8" w:rsidP="00D80FBD">
      <w:pPr>
        <w:spacing w:after="0" w:line="300" w:lineRule="atLeast"/>
        <w:ind w:firstLine="567"/>
        <w:jc w:val="both"/>
        <w:rPr>
          <w:rFonts w:ascii="Times New Roman" w:hAnsi="Times New Roman" w:cs="Times New Roman"/>
          <w:sz w:val="24"/>
          <w:szCs w:val="24"/>
        </w:rPr>
      </w:pPr>
      <w:r w:rsidRPr="003B5656">
        <w:rPr>
          <w:rFonts w:ascii="Times New Roman" w:hAnsi="Times New Roman" w:cs="Times New Roman"/>
          <w:sz w:val="24"/>
          <w:szCs w:val="24"/>
        </w:rPr>
        <w:t xml:space="preserve">W zakresie spotkań rok 2022 był kolejnym zdominowanym przez tryb on-line. Dla poziomu KPK Agencja zorganizowała oprócz 3 standardowych kilkudniowych spotkań, w tym </w:t>
      </w:r>
      <w:r w:rsidRPr="003B5656">
        <w:rPr>
          <w:rFonts w:ascii="Times New Roman" w:hAnsi="Times New Roman" w:cs="Times New Roman"/>
          <w:sz w:val="24"/>
          <w:szCs w:val="24"/>
        </w:rPr>
        <w:br/>
        <w:t>pierwsz</w:t>
      </w:r>
      <w:r w:rsidR="009238E9">
        <w:rPr>
          <w:rFonts w:ascii="Times New Roman" w:hAnsi="Times New Roman" w:cs="Times New Roman"/>
          <w:sz w:val="24"/>
          <w:szCs w:val="24"/>
        </w:rPr>
        <w:t>ego</w:t>
      </w:r>
      <w:r w:rsidRPr="003B5656">
        <w:rPr>
          <w:rFonts w:ascii="Times New Roman" w:hAnsi="Times New Roman" w:cs="Times New Roman"/>
          <w:sz w:val="24"/>
          <w:szCs w:val="24"/>
        </w:rPr>
        <w:t xml:space="preserve"> w trybie on-line, 10 krótszych webinariów. Odbyły się także spotkania </w:t>
      </w:r>
      <w:r w:rsidRPr="003B5656">
        <w:rPr>
          <w:rFonts w:ascii="Times New Roman" w:hAnsi="Times New Roman" w:cs="Times New Roman"/>
          <w:sz w:val="24"/>
          <w:szCs w:val="24"/>
        </w:rPr>
        <w:br/>
        <w:t>on-line dot</w:t>
      </w:r>
      <w:r w:rsidR="009238E9">
        <w:rPr>
          <w:rFonts w:ascii="Times New Roman" w:hAnsi="Times New Roman" w:cs="Times New Roman"/>
          <w:sz w:val="24"/>
          <w:szCs w:val="24"/>
        </w:rPr>
        <w:t>yczące</w:t>
      </w:r>
      <w:r w:rsidRPr="003B5656">
        <w:rPr>
          <w:rFonts w:ascii="Times New Roman" w:hAnsi="Times New Roman" w:cs="Times New Roman"/>
          <w:sz w:val="24"/>
          <w:szCs w:val="24"/>
        </w:rPr>
        <w:t xml:space="preserve"> odpowiednio wprowadzenia nowego członka Zarządu oraz potencjalnej wizyty EEA w Polsce. W zakresie poszczególnych tematów EIONET – spotkania dotychczasowych krajowych centrów referencyjnych oraz inne spotkania eksperckie – szczególnym wyzwaniem była liczba organizowanych przez EEA webinariów. Na blisko 70 takich spotkań on-line zapewniono udział odpowiednich pracowników GIOŚ lub jednostek zewnętrznych, w tym także uzgadniając stanowisko strony polskiej na wymagające tego obrady, w ponad 50. Trudnością była częstość spotkań oraz niejednolite procedury rejestracji </w:t>
      </w:r>
      <w:r w:rsidR="00FA6B66">
        <w:rPr>
          <w:rFonts w:ascii="Times New Roman" w:hAnsi="Times New Roman" w:cs="Times New Roman"/>
          <w:sz w:val="24"/>
          <w:szCs w:val="24"/>
        </w:rPr>
        <w:br/>
      </w:r>
      <w:r w:rsidRPr="003B5656">
        <w:rPr>
          <w:rFonts w:ascii="Times New Roman" w:hAnsi="Times New Roman" w:cs="Times New Roman"/>
          <w:sz w:val="24"/>
          <w:szCs w:val="24"/>
        </w:rPr>
        <w:lastRenderedPageBreak/>
        <w:t>i udostępniania materiałów przez EEA. W wielu spotkaniach tematycznych wziął udział także KPK, w tym w tzw. wprowadzających spotkaniach dla nowych grup tematycznych EIONET, co stanowiło kolejne dla KPK nowe zadanie. KPK zapewnił też udział strony polskiej we wszystkich 8 </w:t>
      </w:r>
      <w:r w:rsidR="00FA6B66">
        <w:rPr>
          <w:rFonts w:ascii="Times New Roman" w:hAnsi="Times New Roman" w:cs="Times New Roman"/>
          <w:sz w:val="24"/>
          <w:szCs w:val="24"/>
        </w:rPr>
        <w:t xml:space="preserve">stacjonarnych </w:t>
      </w:r>
      <w:r w:rsidRPr="003B5656">
        <w:rPr>
          <w:rFonts w:ascii="Times New Roman" w:hAnsi="Times New Roman" w:cs="Times New Roman"/>
          <w:sz w:val="24"/>
          <w:szCs w:val="24"/>
        </w:rPr>
        <w:t xml:space="preserve">spotkaniach tematycznych w 2022 r., odpowiednio zatwierdzając stanowisko w przypadku ekspertów innych instytucji. W 5 z tych spotkań </w:t>
      </w:r>
      <w:r w:rsidR="00FA6B66">
        <w:rPr>
          <w:rFonts w:ascii="Times New Roman" w:hAnsi="Times New Roman" w:cs="Times New Roman"/>
          <w:sz w:val="24"/>
          <w:szCs w:val="24"/>
        </w:rPr>
        <w:t>stacjonarn</w:t>
      </w:r>
      <w:r w:rsidRPr="003B5656">
        <w:rPr>
          <w:rFonts w:ascii="Times New Roman" w:hAnsi="Times New Roman" w:cs="Times New Roman"/>
          <w:sz w:val="24"/>
          <w:szCs w:val="24"/>
        </w:rPr>
        <w:t>ych udział wzięli pracownicy GIOŚ, w tym w 3 uczestniczył KPK. Na spotkaniu dotyczącym zintegrowanych ocen polski KPK prowadził jedną z równoległych sesji tematycznych. Z kolei na spotkaniu on-line z zakresu hałasu pracownik GIOŚ wygłosił prezentację. Ogółem spotkania w roku 2022 stanowiły kluczowy element współpracy, jednocześnie znacznie bardziej angażujący czasowo niż w latach ubiegłych. Pozwoliły na wymianę wiedzy i opinii odnośnie m.in. modernizacji i priorytetów współpracy, wyzwań związanych z potrzebami wiedzy dla wsparcia polityki działań na poziomie UE, sprawozdawczości, tworzenia ocen oraz odnośnie konkretnych produktów tematycznych EEA. Szczególnie eksplorowaną tematyką były np. kwestie dot</w:t>
      </w:r>
      <w:r w:rsidR="00FA6B66">
        <w:rPr>
          <w:rFonts w:ascii="Times New Roman" w:hAnsi="Times New Roman" w:cs="Times New Roman"/>
          <w:sz w:val="24"/>
          <w:szCs w:val="24"/>
        </w:rPr>
        <w:t>yczące</w:t>
      </w:r>
      <w:r w:rsidRPr="003B5656">
        <w:rPr>
          <w:rFonts w:ascii="Times New Roman" w:hAnsi="Times New Roman" w:cs="Times New Roman"/>
          <w:sz w:val="24"/>
          <w:szCs w:val="24"/>
        </w:rPr>
        <w:t xml:space="preserve"> gospodarki o obiegu zamkniętym i efektywnego gospodarowania zasobami, wpływ stanu środowiska na zdrowie, informacje prognostyczne</w:t>
      </w:r>
      <w:r w:rsidR="00FA6B66">
        <w:rPr>
          <w:rFonts w:ascii="Times New Roman" w:hAnsi="Times New Roman" w:cs="Times New Roman"/>
          <w:sz w:val="24"/>
          <w:szCs w:val="24"/>
        </w:rPr>
        <w:t>,</w:t>
      </w:r>
      <w:r w:rsidRPr="003B5656">
        <w:rPr>
          <w:rFonts w:ascii="Times New Roman" w:hAnsi="Times New Roman" w:cs="Times New Roman"/>
          <w:sz w:val="24"/>
          <w:szCs w:val="24"/>
        </w:rPr>
        <w:t xml:space="preserve"> w tym identyfikacja sygnałów świadczących o kluczowych zmianach dot</w:t>
      </w:r>
      <w:r w:rsidR="00FA6B66">
        <w:rPr>
          <w:rFonts w:ascii="Times New Roman" w:hAnsi="Times New Roman" w:cs="Times New Roman"/>
          <w:sz w:val="24"/>
          <w:szCs w:val="24"/>
        </w:rPr>
        <w:t>yczących</w:t>
      </w:r>
      <w:r w:rsidRPr="003B5656">
        <w:rPr>
          <w:rFonts w:ascii="Times New Roman" w:hAnsi="Times New Roman" w:cs="Times New Roman"/>
          <w:sz w:val="24"/>
          <w:szCs w:val="24"/>
        </w:rPr>
        <w:t xml:space="preserve"> systemów konsumpcji i produkcji oraz rozwoju technologii. W przypadku ocen zintegrowanych kluczową kwestią była wymiana wiedzy nt. zakresu i formy wieloletnich krajowych raportów o stanie środowiska oraz rozpoczętych już prac EEA nad raportem o stanie środowiska Europy i prognozach jego zmian SOER 2025. Należy nadmienić, że w przypadku spotkań </w:t>
      </w:r>
      <w:r w:rsidR="00FA6B66">
        <w:rPr>
          <w:rFonts w:ascii="Times New Roman" w:hAnsi="Times New Roman" w:cs="Times New Roman"/>
          <w:sz w:val="24"/>
          <w:szCs w:val="24"/>
        </w:rPr>
        <w:t>stacjonar</w:t>
      </w:r>
      <w:r w:rsidRPr="003B5656">
        <w:rPr>
          <w:rFonts w:ascii="Times New Roman" w:hAnsi="Times New Roman" w:cs="Times New Roman"/>
          <w:sz w:val="24"/>
          <w:szCs w:val="24"/>
        </w:rPr>
        <w:t xml:space="preserve">nych Agencja zapewnia refinansowanie udziału (standardowo 1 reprezentant na kraj).   </w:t>
      </w:r>
    </w:p>
    <w:p w14:paraId="4C89A811" w14:textId="20F0BEAE" w:rsidR="00E614A8" w:rsidRDefault="00E614A8" w:rsidP="00D80FBD">
      <w:pPr>
        <w:spacing w:after="0" w:line="300" w:lineRule="atLeast"/>
        <w:ind w:firstLine="567"/>
        <w:jc w:val="both"/>
        <w:rPr>
          <w:rFonts w:ascii="Times New Roman" w:hAnsi="Times New Roman" w:cs="Times New Roman"/>
          <w:sz w:val="24"/>
          <w:szCs w:val="24"/>
        </w:rPr>
      </w:pPr>
      <w:r w:rsidRPr="003B5656">
        <w:rPr>
          <w:rFonts w:ascii="Times New Roman" w:hAnsi="Times New Roman" w:cs="Times New Roman"/>
          <w:sz w:val="24"/>
          <w:szCs w:val="24"/>
        </w:rPr>
        <w:t xml:space="preserve">W ramach realizacji sprawozdawczości do EEA lub do Komisji Europejskiej poprzez narzędzia EEA, wykorzystując dane Państwowego Monitoringu Środowiska oraz inne opracowania wykonane przez właściwe komórki resortu, w 2022 r. przekazano do Centralnego Repozytorium Danych (CDR) EEA zbiory dotyczące: powietrza w zakresie jego jakości, wód śródlądowych, wód przejściowych i przybrzeżnych, Krajowego Rejestru Uwalniania </w:t>
      </w:r>
      <w:r w:rsidR="00FA6B66">
        <w:rPr>
          <w:rFonts w:ascii="Times New Roman" w:hAnsi="Times New Roman" w:cs="Times New Roman"/>
          <w:sz w:val="24"/>
          <w:szCs w:val="24"/>
        </w:rPr>
        <w:br/>
      </w:r>
      <w:r w:rsidRPr="003B5656">
        <w:rPr>
          <w:rFonts w:ascii="Times New Roman" w:hAnsi="Times New Roman" w:cs="Times New Roman"/>
          <w:sz w:val="24"/>
          <w:szCs w:val="24"/>
        </w:rPr>
        <w:t>i Transferu Zanieczyszczeń i dużych obiektów energetycznego spalania. W systemie EEA wykonano przy tym liczne obowiązkowe testy jakości danych. W zakresie jakości powietrza, oprócz ustalonego raportowania do CDR, z bazy danych GIOŚ przesyłano co godzinę na serwer EEA dane bieżące (on-line) z automatycznych stanowisk pomiarowych w zakresie stężeń określonych substancji. KPK przeprowadził także konsultacje oceny wywiązywania się kraju w 2021 r. ze sprawozdawczości kluczowych dla EEA danych, objętych też przekazami realizowanymi przez inne jednostki w kraju. Według wyników Polska zajęła pierwsze miejsce wraz z 5 innymi państwami.</w:t>
      </w:r>
    </w:p>
    <w:p w14:paraId="3BCF5D5C" w14:textId="61A1F10C" w:rsidR="00E614A8" w:rsidRDefault="00E614A8" w:rsidP="00D80FBD">
      <w:pPr>
        <w:spacing w:after="0" w:line="300" w:lineRule="atLeast"/>
        <w:ind w:firstLine="567"/>
        <w:jc w:val="both"/>
        <w:rPr>
          <w:rFonts w:ascii="Times New Roman" w:hAnsi="Times New Roman" w:cs="Times New Roman"/>
          <w:sz w:val="24"/>
          <w:szCs w:val="24"/>
        </w:rPr>
      </w:pPr>
      <w:r w:rsidRPr="003B5656">
        <w:rPr>
          <w:rFonts w:ascii="Times New Roman" w:hAnsi="Times New Roman" w:cs="Times New Roman"/>
          <w:sz w:val="24"/>
          <w:szCs w:val="24"/>
        </w:rPr>
        <w:t>Proces konsultacji w kraju KPK zorganizował dla około 70 różnych produktów EEA. Były to najczęściej różnego rodzaju opracowania, w tym oceny dot</w:t>
      </w:r>
      <w:r w:rsidR="00FA6B66">
        <w:rPr>
          <w:rFonts w:ascii="Times New Roman" w:hAnsi="Times New Roman" w:cs="Times New Roman"/>
          <w:sz w:val="24"/>
          <w:szCs w:val="24"/>
        </w:rPr>
        <w:t>yczące</w:t>
      </w:r>
      <w:r w:rsidRPr="003B5656">
        <w:rPr>
          <w:rFonts w:ascii="Times New Roman" w:hAnsi="Times New Roman" w:cs="Times New Roman"/>
          <w:sz w:val="24"/>
          <w:szCs w:val="24"/>
        </w:rPr>
        <w:t xml:space="preserve"> stanu środowiska, oddziałujących presji i wpływu środowiska na człowieka, prezentowane w formie raportów-publikacji lub krótkich materiałów o tematyce przekrojowej albo koncentrującej się na danych elementach środowiska lub sektorach gospodarki. Drugim najczęściej konsultowanym produktem były wskaźniki, w tym opisy ich metodologii. Wkład merytoryczny w część konsultacji zapewnili pracownicy GIOŚ, w tym największy KPK. W przypadku około połowy z ww. 70 konsultowanych produktów stanowisko opracował i przekazał do EEA KPK, w tym do kilku dużych raportów tematycznych dot</w:t>
      </w:r>
      <w:r w:rsidR="00FA6B66">
        <w:rPr>
          <w:rFonts w:ascii="Times New Roman" w:hAnsi="Times New Roman" w:cs="Times New Roman"/>
          <w:sz w:val="24"/>
          <w:szCs w:val="24"/>
        </w:rPr>
        <w:t>yczących</w:t>
      </w:r>
      <w:r w:rsidRPr="003B5656">
        <w:rPr>
          <w:rFonts w:ascii="Times New Roman" w:hAnsi="Times New Roman" w:cs="Times New Roman"/>
          <w:sz w:val="24"/>
          <w:szCs w:val="24"/>
        </w:rPr>
        <w:t xml:space="preserve"> różnorodnej tematyki. Przekazywane komentarze i informacje obejmowały wkład własny i/lub wkłady pozyskane. W kilku przypadkach odpowiedzi do EEA udzielali inni pracownicy GIOŚ, a w około 10 pracownicy innych jednostek. Dla pozostałych produktów strona polska nie miała uwag ani sugestii. KPK </w:t>
      </w:r>
      <w:r w:rsidRPr="003B5656">
        <w:rPr>
          <w:rFonts w:ascii="Times New Roman" w:hAnsi="Times New Roman" w:cs="Times New Roman"/>
          <w:sz w:val="24"/>
          <w:szCs w:val="24"/>
        </w:rPr>
        <w:lastRenderedPageBreak/>
        <w:t xml:space="preserve">zorganizował także proces wypełniania około 10 kwestionariuszy tematycznych zbierających dane lub informacje o badaniach, projektach lub inicjatywach w Polsce lub opinie </w:t>
      </w:r>
      <w:r w:rsidR="00FA6B66">
        <w:rPr>
          <w:rFonts w:ascii="Times New Roman" w:hAnsi="Times New Roman" w:cs="Times New Roman"/>
          <w:sz w:val="24"/>
          <w:szCs w:val="24"/>
        </w:rPr>
        <w:br/>
      </w:r>
      <w:r w:rsidRPr="003B5656">
        <w:rPr>
          <w:rFonts w:ascii="Times New Roman" w:hAnsi="Times New Roman" w:cs="Times New Roman"/>
          <w:sz w:val="24"/>
          <w:szCs w:val="24"/>
        </w:rPr>
        <w:t>o priorytetach prac w ramach nowych grup EIONET. W kilku z nich opracował odpowiedzi, przekazując wkład własny lub zbiorcze stanowisko w przypadku zakresu wymagającego innych wkładów. Ponadto w roku 2022 zauważalny był wzrost zaproszeń EEA do dzielenia się przykładami tzw. dobrych praktyk czy ilustracji konkretnych przypadków. Przekazano m.in. informacje związane z jakością powietrza. W 2022 r. KPK koordynował także opracowanie kolejnego profilu krajowego dotyczącego gospodarki o obiegu zamkniętym.</w:t>
      </w:r>
      <w:r w:rsidR="00DF7816">
        <w:rPr>
          <w:rFonts w:ascii="Times New Roman" w:hAnsi="Times New Roman" w:cs="Times New Roman"/>
          <w:sz w:val="24"/>
          <w:szCs w:val="24"/>
        </w:rPr>
        <w:t xml:space="preserve"> </w:t>
      </w:r>
      <w:r w:rsidRPr="003B5656">
        <w:rPr>
          <w:rFonts w:ascii="Times New Roman" w:hAnsi="Times New Roman" w:cs="Times New Roman"/>
          <w:sz w:val="24"/>
          <w:szCs w:val="24"/>
        </w:rPr>
        <w:t xml:space="preserve">W wieloetapowym procesie pozyskał niezbędne wkłady i połączył z własnym w spójną całość oraz przeprowadzał także konsultacje kolejnych wersji. </w:t>
      </w:r>
    </w:p>
    <w:p w14:paraId="4A81E95B" w14:textId="49F7A059" w:rsidR="00895F16" w:rsidRPr="007F400A" w:rsidRDefault="00E614A8" w:rsidP="00D80FBD">
      <w:pPr>
        <w:spacing w:after="0" w:line="300" w:lineRule="atLeast"/>
        <w:ind w:firstLine="567"/>
        <w:jc w:val="both"/>
        <w:rPr>
          <w:rFonts w:ascii="Times New Roman" w:hAnsi="Times New Roman" w:cs="Times New Roman"/>
          <w:sz w:val="24"/>
          <w:szCs w:val="24"/>
        </w:rPr>
      </w:pPr>
      <w:r w:rsidRPr="003B5656">
        <w:rPr>
          <w:rFonts w:ascii="Times New Roman" w:hAnsi="Times New Roman" w:cs="Times New Roman"/>
          <w:sz w:val="24"/>
          <w:szCs w:val="24"/>
        </w:rPr>
        <w:t xml:space="preserve">W zakresie promocji EEA i EIONET możliwe było prowadzenie ograniczonych działań związanych z rozpowszechnianiem raportów EEA. Informowano też o pracach i produktach EEA i EIONET. Najbardziej złożonym zadaniami była weryfikacja tłumaczenia Sygnałów EEA 2021 na język polski, poświęconych w tym roku przyrodzie. Kontynuowano rozpowszechnianie wyników projektu </w:t>
      </w:r>
      <w:proofErr w:type="spellStart"/>
      <w:r w:rsidRPr="003B5656">
        <w:rPr>
          <w:rFonts w:ascii="Times New Roman" w:hAnsi="Times New Roman" w:cs="Times New Roman"/>
          <w:sz w:val="24"/>
          <w:szCs w:val="24"/>
        </w:rPr>
        <w:t>Corine</w:t>
      </w:r>
      <w:proofErr w:type="spellEnd"/>
      <w:r w:rsidRPr="003B5656">
        <w:rPr>
          <w:rFonts w:ascii="Times New Roman" w:hAnsi="Times New Roman" w:cs="Times New Roman"/>
          <w:sz w:val="24"/>
          <w:szCs w:val="24"/>
        </w:rPr>
        <w:t xml:space="preserve"> Land </w:t>
      </w:r>
      <w:proofErr w:type="spellStart"/>
      <w:r w:rsidRPr="003B5656">
        <w:rPr>
          <w:rFonts w:ascii="Times New Roman" w:hAnsi="Times New Roman" w:cs="Times New Roman"/>
          <w:sz w:val="24"/>
          <w:szCs w:val="24"/>
        </w:rPr>
        <w:t>Cover</w:t>
      </w:r>
      <w:proofErr w:type="spellEnd"/>
      <w:r w:rsidRPr="003B5656">
        <w:rPr>
          <w:rFonts w:ascii="Times New Roman" w:hAnsi="Times New Roman" w:cs="Times New Roman"/>
          <w:sz w:val="24"/>
          <w:szCs w:val="24"/>
        </w:rPr>
        <w:t xml:space="preserve">. Elementy wiedzy wytwarzanej przez EEA i EIONET wykorzystano w treści najnowszego wieloletniego raportu GIOŚ o stanie środowiska w Polsce. Opracowano obszerne wyjaśnienia dla Ambasady RP w Kopenhadze oraz </w:t>
      </w:r>
      <w:proofErr w:type="spellStart"/>
      <w:r w:rsidRPr="003B5656">
        <w:rPr>
          <w:rFonts w:ascii="Times New Roman" w:hAnsi="Times New Roman" w:cs="Times New Roman"/>
          <w:sz w:val="24"/>
          <w:szCs w:val="24"/>
        </w:rPr>
        <w:t>MKiŚ</w:t>
      </w:r>
      <w:proofErr w:type="spellEnd"/>
      <w:r w:rsidRPr="003B5656">
        <w:rPr>
          <w:rFonts w:ascii="Times New Roman" w:hAnsi="Times New Roman" w:cs="Times New Roman"/>
          <w:sz w:val="24"/>
          <w:szCs w:val="24"/>
        </w:rPr>
        <w:t xml:space="preserve"> i MSZ odnośnie współpracy Polski z EEA</w:t>
      </w:r>
      <w:r w:rsidR="00895F16" w:rsidRPr="007F400A">
        <w:rPr>
          <w:rFonts w:ascii="Times New Roman" w:eastAsia="Calibri" w:hAnsi="Times New Roman" w:cs="Times New Roman"/>
          <w:sz w:val="24"/>
          <w:szCs w:val="24"/>
          <w:lang w:eastAsia="pl-PL"/>
        </w:rPr>
        <w:t xml:space="preserve">. </w:t>
      </w:r>
    </w:p>
    <w:p w14:paraId="74E230CE" w14:textId="77777777" w:rsidR="00895F16" w:rsidRPr="007F400A" w:rsidRDefault="00895F16" w:rsidP="00D80FBD">
      <w:pPr>
        <w:spacing w:after="120" w:line="300" w:lineRule="atLeast"/>
        <w:ind w:firstLine="708"/>
        <w:rPr>
          <w:rFonts w:ascii="Times New Roman" w:eastAsia="Calibri" w:hAnsi="Times New Roman" w:cs="Times New Roman"/>
          <w:color w:val="2E74B5"/>
          <w:sz w:val="20"/>
          <w:szCs w:val="20"/>
          <w:lang w:eastAsia="pl-PL"/>
        </w:rPr>
      </w:pPr>
    </w:p>
    <w:tbl>
      <w:tblPr>
        <w:tblW w:w="0" w:type="auto"/>
        <w:tblLook w:val="04A0" w:firstRow="1" w:lastRow="0" w:firstColumn="1" w:lastColumn="0" w:noHBand="0" w:noVBand="1"/>
      </w:tblPr>
      <w:tblGrid>
        <w:gridCol w:w="6739"/>
        <w:gridCol w:w="2333"/>
      </w:tblGrid>
      <w:tr w:rsidR="00895F16" w:rsidRPr="007F400A" w14:paraId="11FACD51" w14:textId="77777777" w:rsidTr="00895F16">
        <w:trPr>
          <w:trHeight w:val="1426"/>
        </w:trPr>
        <w:tc>
          <w:tcPr>
            <w:tcW w:w="6739" w:type="dxa"/>
          </w:tcPr>
          <w:p w14:paraId="24774C7E" w14:textId="7646F38D" w:rsidR="00895F16" w:rsidRPr="007F400A" w:rsidRDefault="00895F16" w:rsidP="00D80FBD">
            <w:pPr>
              <w:spacing w:after="120" w:line="300" w:lineRule="atLeast"/>
              <w:rPr>
                <w:rFonts w:ascii="Times New Roman" w:eastAsia="Calibri" w:hAnsi="Times New Roman" w:cs="Times New Roman"/>
                <w:b/>
                <w:sz w:val="24"/>
                <w:szCs w:val="24"/>
                <w:lang w:eastAsia="pl-PL"/>
              </w:rPr>
            </w:pPr>
            <w:r w:rsidRPr="007F400A">
              <w:rPr>
                <w:rFonts w:ascii="Times New Roman" w:eastAsia="Calibri" w:hAnsi="Times New Roman" w:cs="Times New Roman"/>
                <w:b/>
                <w:sz w:val="24"/>
                <w:szCs w:val="24"/>
                <w:lang w:eastAsia="pl-PL"/>
              </w:rPr>
              <w:t xml:space="preserve">2.2 Udział Inspekcji Ochrony Środowiska w pracach </w:t>
            </w:r>
            <w:r w:rsidR="00791972">
              <w:rPr>
                <w:rFonts w:ascii="Times New Roman" w:eastAsia="Calibri" w:hAnsi="Times New Roman" w:cs="Times New Roman"/>
                <w:b/>
                <w:sz w:val="24"/>
                <w:szCs w:val="24"/>
                <w:lang w:eastAsia="pl-PL"/>
              </w:rPr>
              <w:t>Europejskiej Sieci Wdrażania i Egzekwowania Prawa Ochrony Środowiska (</w:t>
            </w:r>
            <w:r w:rsidRPr="007F400A">
              <w:rPr>
                <w:rFonts w:ascii="Times New Roman" w:eastAsia="Calibri" w:hAnsi="Times New Roman" w:cs="Times New Roman"/>
                <w:b/>
                <w:sz w:val="24"/>
                <w:szCs w:val="24"/>
                <w:lang w:eastAsia="pl-PL"/>
              </w:rPr>
              <w:t>IMPEL</w:t>
            </w:r>
            <w:r w:rsidR="00791972">
              <w:rPr>
                <w:rFonts w:ascii="Times New Roman" w:eastAsia="Calibri" w:hAnsi="Times New Roman" w:cs="Times New Roman"/>
                <w:b/>
                <w:sz w:val="24"/>
                <w:szCs w:val="24"/>
                <w:lang w:eastAsia="pl-PL"/>
              </w:rPr>
              <w:t>)</w:t>
            </w:r>
          </w:p>
        </w:tc>
        <w:tc>
          <w:tcPr>
            <w:tcW w:w="2333" w:type="dxa"/>
          </w:tcPr>
          <w:p w14:paraId="0FBE48C8" w14:textId="77777777" w:rsidR="00895F16" w:rsidRPr="007F400A" w:rsidRDefault="00895F16" w:rsidP="00D80FBD">
            <w:pPr>
              <w:spacing w:after="0" w:line="300" w:lineRule="atLeast"/>
              <w:jc w:val="right"/>
              <w:rPr>
                <w:rFonts w:ascii="Times New Roman" w:eastAsia="Calibri" w:hAnsi="Times New Roman" w:cs="Times New Roman"/>
                <w:color w:val="2E74B5"/>
                <w:sz w:val="20"/>
                <w:szCs w:val="20"/>
                <w:lang w:eastAsia="pl-PL"/>
              </w:rPr>
            </w:pPr>
            <w:r w:rsidRPr="007F400A">
              <w:rPr>
                <w:rFonts w:ascii="Times New Roman" w:eastAsia="Calibri" w:hAnsi="Times New Roman" w:cs="Times New Roman"/>
                <w:noProof/>
                <w:color w:val="2E74B5"/>
                <w:sz w:val="20"/>
                <w:szCs w:val="20"/>
                <w:lang w:eastAsia="pl-PL"/>
              </w:rPr>
              <w:drawing>
                <wp:inline distT="0" distB="0" distL="0" distR="0" wp14:anchorId="3DC49BB4" wp14:editId="5EFB4B9A">
                  <wp:extent cx="828675" cy="781050"/>
                  <wp:effectExtent l="0" t="0" r="9525" b="0"/>
                  <wp:docPr id="37" name="Obraz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7">
                            <a:extLst>
                              <a:ext uri="{C183D7F6-B498-43B3-948B-1728B52AA6E4}">
                                <adec:decorative xmlns:adec="http://schemas.microsoft.com/office/drawing/2017/decorative" val="1"/>
                              </a:ext>
                            </a:extLst>
                          </pic:cNvPr>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828675" cy="781050"/>
                          </a:xfrm>
                          <a:prstGeom prst="rect">
                            <a:avLst/>
                          </a:prstGeom>
                          <a:noFill/>
                          <a:ln>
                            <a:noFill/>
                          </a:ln>
                        </pic:spPr>
                      </pic:pic>
                    </a:graphicData>
                  </a:graphic>
                </wp:inline>
              </w:drawing>
            </w:r>
            <w:r w:rsidRPr="007F400A">
              <w:rPr>
                <w:rFonts w:ascii="Times New Roman" w:eastAsia="Calibri" w:hAnsi="Times New Roman" w:cs="Times New Roman"/>
                <w:noProof/>
                <w:color w:val="2E74B5"/>
                <w:sz w:val="20"/>
                <w:szCs w:val="20"/>
                <w:lang w:eastAsia="pl-PL"/>
              </w:rPr>
              <w:t xml:space="preserve">                                        </w:t>
            </w:r>
          </w:p>
        </w:tc>
      </w:tr>
    </w:tbl>
    <w:p w14:paraId="27A6793B" w14:textId="0C2E1AAC" w:rsidR="00E614A8" w:rsidRPr="003E3B06" w:rsidRDefault="00E614A8" w:rsidP="00D80FBD">
      <w:pPr>
        <w:pStyle w:val="Tekstpodstawowywcity"/>
        <w:spacing w:after="0" w:line="300" w:lineRule="atLeast"/>
        <w:ind w:left="0" w:firstLine="567"/>
        <w:jc w:val="both"/>
        <w:rPr>
          <w:sz w:val="24"/>
          <w:szCs w:val="24"/>
        </w:rPr>
      </w:pPr>
      <w:r w:rsidRPr="003E3B06">
        <w:rPr>
          <w:sz w:val="24"/>
          <w:szCs w:val="24"/>
        </w:rPr>
        <w:t>Europejska Sieć Wdrażania i Egzekwowania Prawa Ochrony Środowiska - IMPEL (</w:t>
      </w:r>
      <w:proofErr w:type="spellStart"/>
      <w:r w:rsidRPr="003E3B06">
        <w:rPr>
          <w:sz w:val="24"/>
          <w:szCs w:val="24"/>
        </w:rPr>
        <w:t>Implementation</w:t>
      </w:r>
      <w:proofErr w:type="spellEnd"/>
      <w:r w:rsidRPr="003E3B06">
        <w:rPr>
          <w:sz w:val="24"/>
          <w:szCs w:val="24"/>
        </w:rPr>
        <w:t xml:space="preserve"> and </w:t>
      </w:r>
      <w:proofErr w:type="spellStart"/>
      <w:r w:rsidRPr="003E3B06">
        <w:rPr>
          <w:sz w:val="24"/>
          <w:szCs w:val="24"/>
        </w:rPr>
        <w:t>Enforcement</w:t>
      </w:r>
      <w:proofErr w:type="spellEnd"/>
      <w:r w:rsidRPr="003E3B06">
        <w:rPr>
          <w:sz w:val="24"/>
          <w:szCs w:val="24"/>
        </w:rPr>
        <w:t xml:space="preserve"> of </w:t>
      </w:r>
      <w:proofErr w:type="spellStart"/>
      <w:r w:rsidRPr="003E3B06">
        <w:rPr>
          <w:sz w:val="24"/>
          <w:szCs w:val="24"/>
        </w:rPr>
        <w:t>Environmental</w:t>
      </w:r>
      <w:proofErr w:type="spellEnd"/>
      <w:r w:rsidRPr="003E3B06">
        <w:rPr>
          <w:sz w:val="24"/>
          <w:szCs w:val="24"/>
        </w:rPr>
        <w:t xml:space="preserve"> Law) jest międzynarodowym stowarzyszeniem non-profit zrzeszającym organy administracji państwowej zajmujące się sprawami środowiska w państwach należących, bądź kandydujących do Unii Europejskiej, Europejskiego Obszaru Gospodarczego (EEA) oraz Europejskiego Stowarzyszenia Wolnego Handlu (EFTA). Misją i celem działalności IMPEL jest przyczynienie się do ochrony środowiska poprzez promowanie i usprawnianie wdrażania i egzekwowania unijnego prawa ochrony środowiska.</w:t>
      </w:r>
    </w:p>
    <w:p w14:paraId="3885A5F9" w14:textId="77777777" w:rsidR="00E614A8" w:rsidRPr="00356D15" w:rsidRDefault="00E614A8" w:rsidP="00D80FBD">
      <w:pPr>
        <w:spacing w:after="0" w:line="300" w:lineRule="atLeast"/>
        <w:ind w:firstLine="567"/>
        <w:jc w:val="both"/>
        <w:rPr>
          <w:rFonts w:ascii="Times New Roman" w:hAnsi="Times New Roman" w:cs="Times New Roman"/>
          <w:sz w:val="24"/>
          <w:szCs w:val="24"/>
        </w:rPr>
      </w:pPr>
      <w:r w:rsidRPr="00356D15">
        <w:rPr>
          <w:rFonts w:ascii="Times New Roman" w:hAnsi="Times New Roman" w:cs="Times New Roman"/>
          <w:sz w:val="24"/>
          <w:szCs w:val="24"/>
        </w:rPr>
        <w:t xml:space="preserve">Główny Inspektorat Ochrony Środowiska (GIOŚ) od 2003 r. jest jednym z 55 członków sieci IMPEL i jedynym z Polski. </w:t>
      </w:r>
    </w:p>
    <w:p w14:paraId="7A3D1D9E" w14:textId="39A1EC34" w:rsidR="00E614A8" w:rsidRDefault="00E614A8" w:rsidP="00D80FBD">
      <w:pPr>
        <w:spacing w:after="0" w:line="300" w:lineRule="atLeast"/>
        <w:ind w:firstLine="567"/>
        <w:jc w:val="both"/>
        <w:rPr>
          <w:rFonts w:ascii="Times New Roman" w:hAnsi="Times New Roman" w:cs="Times New Roman"/>
          <w:sz w:val="24"/>
          <w:szCs w:val="24"/>
        </w:rPr>
      </w:pPr>
      <w:r w:rsidRPr="00356D15">
        <w:rPr>
          <w:rFonts w:ascii="Times New Roman" w:hAnsi="Times New Roman" w:cs="Times New Roman"/>
          <w:sz w:val="24"/>
          <w:szCs w:val="24"/>
        </w:rPr>
        <w:t>W strukturze organizacyjnej sieci działa 5 Grup Eksperckich (</w:t>
      </w:r>
      <w:proofErr w:type="spellStart"/>
      <w:r w:rsidRPr="00356D15">
        <w:rPr>
          <w:rFonts w:ascii="Times New Roman" w:hAnsi="Times New Roman" w:cs="Times New Roman"/>
          <w:i/>
          <w:sz w:val="24"/>
          <w:szCs w:val="24"/>
        </w:rPr>
        <w:t>Expert</w:t>
      </w:r>
      <w:proofErr w:type="spellEnd"/>
      <w:r w:rsidRPr="00356D15">
        <w:rPr>
          <w:rFonts w:ascii="Times New Roman" w:hAnsi="Times New Roman" w:cs="Times New Roman"/>
          <w:i/>
          <w:sz w:val="24"/>
          <w:szCs w:val="24"/>
        </w:rPr>
        <w:t xml:space="preserve"> </w:t>
      </w:r>
      <w:proofErr w:type="spellStart"/>
      <w:r w:rsidRPr="00356D15">
        <w:rPr>
          <w:rFonts w:ascii="Times New Roman" w:hAnsi="Times New Roman" w:cs="Times New Roman"/>
          <w:i/>
          <w:sz w:val="24"/>
          <w:szCs w:val="24"/>
        </w:rPr>
        <w:t>Teams</w:t>
      </w:r>
      <w:proofErr w:type="spellEnd"/>
      <w:r w:rsidRPr="00356D15">
        <w:rPr>
          <w:rFonts w:ascii="Times New Roman" w:hAnsi="Times New Roman" w:cs="Times New Roman"/>
          <w:sz w:val="24"/>
          <w:szCs w:val="24"/>
        </w:rPr>
        <w:t>), w następujących obszarach: przemysł i powietrze (</w:t>
      </w:r>
      <w:proofErr w:type="spellStart"/>
      <w:r w:rsidRPr="00356D15">
        <w:rPr>
          <w:rFonts w:ascii="Times New Roman" w:hAnsi="Times New Roman" w:cs="Times New Roman"/>
          <w:i/>
          <w:sz w:val="24"/>
          <w:szCs w:val="24"/>
        </w:rPr>
        <w:t>Industry</w:t>
      </w:r>
      <w:proofErr w:type="spellEnd"/>
      <w:r w:rsidRPr="00356D15">
        <w:rPr>
          <w:rFonts w:ascii="Times New Roman" w:hAnsi="Times New Roman" w:cs="Times New Roman"/>
          <w:i/>
          <w:sz w:val="24"/>
          <w:szCs w:val="24"/>
        </w:rPr>
        <w:t xml:space="preserve"> &amp; </w:t>
      </w:r>
      <w:proofErr w:type="spellStart"/>
      <w:r w:rsidRPr="00356D15">
        <w:rPr>
          <w:rFonts w:ascii="Times New Roman" w:hAnsi="Times New Roman" w:cs="Times New Roman"/>
          <w:i/>
          <w:sz w:val="24"/>
          <w:szCs w:val="24"/>
        </w:rPr>
        <w:t>Air</w:t>
      </w:r>
      <w:proofErr w:type="spellEnd"/>
      <w:r w:rsidRPr="00356D15">
        <w:rPr>
          <w:rFonts w:ascii="Times New Roman" w:hAnsi="Times New Roman" w:cs="Times New Roman"/>
          <w:sz w:val="24"/>
          <w:szCs w:val="24"/>
        </w:rPr>
        <w:t>), odpady i transgraniczne przemieszczanie odpadów (</w:t>
      </w:r>
      <w:r w:rsidRPr="00356D15">
        <w:rPr>
          <w:rFonts w:ascii="Times New Roman" w:hAnsi="Times New Roman" w:cs="Times New Roman"/>
          <w:i/>
          <w:sz w:val="24"/>
          <w:szCs w:val="24"/>
        </w:rPr>
        <w:t>Waste &amp; TFS</w:t>
      </w:r>
      <w:r w:rsidRPr="00356D15">
        <w:rPr>
          <w:rFonts w:ascii="Times New Roman" w:hAnsi="Times New Roman" w:cs="Times New Roman"/>
          <w:sz w:val="24"/>
          <w:szCs w:val="24"/>
        </w:rPr>
        <w:t>), woda i powierzchnia ziemi (</w:t>
      </w:r>
      <w:proofErr w:type="spellStart"/>
      <w:r w:rsidRPr="00356D15">
        <w:rPr>
          <w:rFonts w:ascii="Times New Roman" w:hAnsi="Times New Roman" w:cs="Times New Roman"/>
          <w:i/>
          <w:sz w:val="24"/>
          <w:szCs w:val="24"/>
        </w:rPr>
        <w:t>Water</w:t>
      </w:r>
      <w:proofErr w:type="spellEnd"/>
      <w:r w:rsidRPr="00356D15">
        <w:rPr>
          <w:rFonts w:ascii="Times New Roman" w:hAnsi="Times New Roman" w:cs="Times New Roman"/>
          <w:i/>
          <w:sz w:val="24"/>
          <w:szCs w:val="24"/>
        </w:rPr>
        <w:t xml:space="preserve"> &amp; Land</w:t>
      </w:r>
      <w:r w:rsidRPr="00356D15">
        <w:rPr>
          <w:rFonts w:ascii="Times New Roman" w:hAnsi="Times New Roman" w:cs="Times New Roman"/>
          <w:sz w:val="24"/>
          <w:szCs w:val="24"/>
        </w:rPr>
        <w:t>), ochrona przyrody (</w:t>
      </w:r>
      <w:r w:rsidRPr="00356D15">
        <w:rPr>
          <w:rFonts w:ascii="Times New Roman" w:hAnsi="Times New Roman" w:cs="Times New Roman"/>
          <w:i/>
          <w:sz w:val="24"/>
          <w:szCs w:val="24"/>
        </w:rPr>
        <w:t xml:space="preserve">Nature </w:t>
      </w:r>
      <w:proofErr w:type="spellStart"/>
      <w:r w:rsidRPr="00356D15">
        <w:rPr>
          <w:rFonts w:ascii="Times New Roman" w:hAnsi="Times New Roman" w:cs="Times New Roman"/>
          <w:i/>
          <w:sz w:val="24"/>
          <w:szCs w:val="24"/>
        </w:rPr>
        <w:t>Protection</w:t>
      </w:r>
      <w:proofErr w:type="spellEnd"/>
      <w:r w:rsidRPr="00356D15">
        <w:rPr>
          <w:rFonts w:ascii="Times New Roman" w:hAnsi="Times New Roman" w:cs="Times New Roman"/>
          <w:sz w:val="24"/>
          <w:szCs w:val="24"/>
        </w:rPr>
        <w:t>) oraz tematy przekrojowe dotyczące metodyki i praktycznych aspektów inspekcji środowiskowych (</w:t>
      </w:r>
      <w:r w:rsidRPr="00356D15">
        <w:rPr>
          <w:rFonts w:ascii="Times New Roman" w:hAnsi="Times New Roman" w:cs="Times New Roman"/>
          <w:i/>
          <w:sz w:val="24"/>
          <w:szCs w:val="24"/>
        </w:rPr>
        <w:t>Cross-</w:t>
      </w:r>
      <w:proofErr w:type="spellStart"/>
      <w:r w:rsidRPr="00356D15">
        <w:rPr>
          <w:rFonts w:ascii="Times New Roman" w:hAnsi="Times New Roman" w:cs="Times New Roman"/>
          <w:i/>
          <w:sz w:val="24"/>
          <w:szCs w:val="24"/>
        </w:rPr>
        <w:t>Cutting</w:t>
      </w:r>
      <w:proofErr w:type="spellEnd"/>
      <w:r w:rsidRPr="00356D15">
        <w:rPr>
          <w:rFonts w:ascii="Times New Roman" w:hAnsi="Times New Roman" w:cs="Times New Roman"/>
          <w:sz w:val="24"/>
          <w:szCs w:val="24"/>
        </w:rPr>
        <w:t xml:space="preserve">). W ramach każdego zespołu co roku realizowany jest szereg projektów umożliwiających współpracę i wymianę doświadczeń na forum międzynarodowym na temat praktycznego stosowania i egzekwowania prawa ochrony środowiska. W projektach IMPEL udział brać mogą przedstawiciele Inspekcji Ochrony Środowiska (IOŚ) oraz zaproszonych do współpracy urzędów i instytucji zaangażowanych </w:t>
      </w:r>
      <w:r w:rsidR="003E3B06">
        <w:rPr>
          <w:rFonts w:ascii="Times New Roman" w:hAnsi="Times New Roman" w:cs="Times New Roman"/>
          <w:sz w:val="24"/>
          <w:szCs w:val="24"/>
        </w:rPr>
        <w:br/>
      </w:r>
      <w:r w:rsidRPr="00356D15">
        <w:rPr>
          <w:rFonts w:ascii="Times New Roman" w:hAnsi="Times New Roman" w:cs="Times New Roman"/>
          <w:sz w:val="24"/>
          <w:szCs w:val="24"/>
        </w:rPr>
        <w:t>w realizację celów z zakresu ochrony środowiska. Przedstawiciel GIOŚ pełni obowiązki Krajowego Koordynatora IMPEL.</w:t>
      </w:r>
    </w:p>
    <w:p w14:paraId="15A62046" w14:textId="4EAE119B" w:rsidR="00E614A8" w:rsidRPr="00356D15" w:rsidRDefault="00E614A8" w:rsidP="00D80FBD">
      <w:pPr>
        <w:spacing w:after="0" w:line="300" w:lineRule="atLeast"/>
        <w:ind w:firstLine="567"/>
        <w:jc w:val="both"/>
        <w:rPr>
          <w:rFonts w:ascii="Times New Roman" w:hAnsi="Times New Roman" w:cs="Times New Roman"/>
          <w:sz w:val="24"/>
          <w:szCs w:val="24"/>
        </w:rPr>
      </w:pPr>
      <w:r w:rsidRPr="00356D15">
        <w:rPr>
          <w:rFonts w:ascii="Times New Roman" w:hAnsi="Times New Roman" w:cs="Times New Roman"/>
          <w:sz w:val="24"/>
          <w:szCs w:val="24"/>
        </w:rPr>
        <w:lastRenderedPageBreak/>
        <w:t xml:space="preserve">Udział </w:t>
      </w:r>
      <w:r w:rsidR="00B947B7">
        <w:rPr>
          <w:rFonts w:ascii="Times New Roman" w:hAnsi="Times New Roman" w:cs="Times New Roman"/>
          <w:sz w:val="24"/>
          <w:szCs w:val="24"/>
        </w:rPr>
        <w:t xml:space="preserve">w </w:t>
      </w:r>
      <w:r w:rsidRPr="00356D15">
        <w:rPr>
          <w:rFonts w:ascii="Times New Roman" w:hAnsi="Times New Roman" w:cs="Times New Roman"/>
          <w:sz w:val="24"/>
          <w:szCs w:val="24"/>
        </w:rPr>
        <w:t xml:space="preserve">projektach daje inspektorom możliwość czerpania z wiedzy i doświadczeń w zakresie praktycznego stosowania prawa ochrony środowiska ekspertów z całej Europy </w:t>
      </w:r>
      <w:r w:rsidR="006D75C5">
        <w:rPr>
          <w:rFonts w:ascii="Times New Roman" w:hAnsi="Times New Roman" w:cs="Times New Roman"/>
          <w:sz w:val="24"/>
          <w:szCs w:val="24"/>
        </w:rPr>
        <w:br/>
      </w:r>
      <w:r w:rsidRPr="00356D15">
        <w:rPr>
          <w:rFonts w:ascii="Times New Roman" w:hAnsi="Times New Roman" w:cs="Times New Roman"/>
          <w:sz w:val="24"/>
          <w:szCs w:val="24"/>
        </w:rPr>
        <w:t xml:space="preserve">i innych krajów współpracujących z siecią. Międzynarodowa współpraca prowadzi m.in. do wypracowywania najlepszych praktyk związanych z prowadzeniem kontroli, wydawaniem pozwoleń czy egzekwowaniem przepisów środowiskowych. Tworzone są przewodniki, listy kontrolne i inne materiały przydatne w codziennej praktyce inspektorów. </w:t>
      </w:r>
    </w:p>
    <w:p w14:paraId="2130EA3C" w14:textId="77777777" w:rsidR="00E614A8" w:rsidRPr="00356D15" w:rsidRDefault="00E614A8" w:rsidP="00D80FBD">
      <w:pPr>
        <w:spacing w:after="0" w:line="300" w:lineRule="atLeast"/>
        <w:ind w:firstLine="567"/>
        <w:jc w:val="both"/>
        <w:rPr>
          <w:rFonts w:ascii="Times New Roman" w:hAnsi="Times New Roman" w:cs="Times New Roman"/>
          <w:sz w:val="24"/>
          <w:szCs w:val="24"/>
        </w:rPr>
      </w:pPr>
      <w:r w:rsidRPr="00356D15">
        <w:rPr>
          <w:rFonts w:ascii="Times New Roman" w:hAnsi="Times New Roman" w:cs="Times New Roman"/>
          <w:sz w:val="24"/>
          <w:szCs w:val="24"/>
        </w:rPr>
        <w:t>Część projektów była czasowo wstrzymana lub organizowana w trybie zdalnym za pośrednictwem środków komunikacji elektronicznej (online) ze względu na pandemię Covid-19. Pomimo przeszkód powiodła się organizacja niektórych wydarzeń, w których wzięli udział przedstawiciele IOŚ.</w:t>
      </w:r>
    </w:p>
    <w:p w14:paraId="6C96BA3D" w14:textId="77777777" w:rsidR="00E614A8" w:rsidRPr="003E3B06" w:rsidRDefault="00E614A8" w:rsidP="00D80FBD">
      <w:pPr>
        <w:pStyle w:val="Tekstpodstawowy3"/>
        <w:spacing w:after="0" w:line="300" w:lineRule="atLeast"/>
        <w:rPr>
          <w:sz w:val="24"/>
          <w:szCs w:val="24"/>
        </w:rPr>
      </w:pPr>
      <w:r w:rsidRPr="003E3B06">
        <w:rPr>
          <w:sz w:val="24"/>
          <w:szCs w:val="24"/>
        </w:rPr>
        <w:t xml:space="preserve">Przedstawiciele GIOŚ wzięli udział w: </w:t>
      </w:r>
    </w:p>
    <w:p w14:paraId="6D73AA12" w14:textId="32333EFC" w:rsidR="00E614A8" w:rsidRPr="003B5656" w:rsidRDefault="00E614A8" w:rsidP="00D80FBD">
      <w:pPr>
        <w:numPr>
          <w:ilvl w:val="0"/>
          <w:numId w:val="343"/>
        </w:numPr>
        <w:spacing w:after="0" w:line="300" w:lineRule="atLeast"/>
        <w:ind w:left="641" w:hanging="357"/>
        <w:jc w:val="both"/>
        <w:rPr>
          <w:rFonts w:ascii="Times New Roman" w:eastAsia="Calibri" w:hAnsi="Times New Roman" w:cs="Times New Roman"/>
          <w:iCs/>
          <w:sz w:val="24"/>
          <w:szCs w:val="24"/>
          <w:lang w:val="en-US"/>
        </w:rPr>
      </w:pPr>
      <w:r w:rsidRPr="003B5656">
        <w:rPr>
          <w:rFonts w:ascii="Times New Roman" w:eastAsia="Calibri" w:hAnsi="Times New Roman" w:cs="Times New Roman"/>
          <w:iCs/>
          <w:sz w:val="24"/>
          <w:szCs w:val="24"/>
        </w:rPr>
        <w:t>konferencji IMPEL Waste &amp; TFS, temat:</w:t>
      </w:r>
      <w:r w:rsidR="006D75C5">
        <w:rPr>
          <w:rFonts w:ascii="Times New Roman" w:eastAsia="Calibri" w:hAnsi="Times New Roman" w:cs="Times New Roman"/>
          <w:iCs/>
          <w:sz w:val="24"/>
          <w:szCs w:val="24"/>
        </w:rPr>
        <w:t xml:space="preserve"> </w:t>
      </w:r>
      <w:r w:rsidRPr="003B5656">
        <w:rPr>
          <w:rFonts w:ascii="Times New Roman" w:eastAsia="Calibri" w:hAnsi="Times New Roman" w:cs="Times New Roman"/>
          <w:iCs/>
          <w:sz w:val="24"/>
          <w:szCs w:val="24"/>
        </w:rPr>
        <w:t xml:space="preserve">„Przemieszczanie odpadów i gospodarka o obiegu zamkniętym  po COVID-19. </w:t>
      </w:r>
      <w:r w:rsidRPr="003B5656">
        <w:rPr>
          <w:rFonts w:ascii="Times New Roman" w:eastAsia="Calibri" w:hAnsi="Times New Roman" w:cs="Times New Roman"/>
          <w:iCs/>
          <w:sz w:val="24"/>
          <w:szCs w:val="24"/>
          <w:lang w:val="en-US"/>
        </w:rPr>
        <w:t xml:space="preserve">Co </w:t>
      </w:r>
      <w:proofErr w:type="spellStart"/>
      <w:r w:rsidRPr="003B5656">
        <w:rPr>
          <w:rFonts w:ascii="Times New Roman" w:eastAsia="Calibri" w:hAnsi="Times New Roman" w:cs="Times New Roman"/>
          <w:iCs/>
          <w:sz w:val="24"/>
          <w:szCs w:val="24"/>
          <w:lang w:val="en-US"/>
        </w:rPr>
        <w:t>się</w:t>
      </w:r>
      <w:proofErr w:type="spellEnd"/>
      <w:r w:rsidRPr="003B5656">
        <w:rPr>
          <w:rFonts w:ascii="Times New Roman" w:eastAsia="Calibri" w:hAnsi="Times New Roman" w:cs="Times New Roman"/>
          <w:iCs/>
          <w:sz w:val="24"/>
          <w:szCs w:val="24"/>
          <w:lang w:val="en-US"/>
        </w:rPr>
        <w:t xml:space="preserve"> </w:t>
      </w:r>
      <w:proofErr w:type="spellStart"/>
      <w:r w:rsidRPr="003B5656">
        <w:rPr>
          <w:rFonts w:ascii="Times New Roman" w:eastAsia="Calibri" w:hAnsi="Times New Roman" w:cs="Times New Roman"/>
          <w:iCs/>
          <w:sz w:val="24"/>
          <w:szCs w:val="24"/>
          <w:lang w:val="en-US"/>
        </w:rPr>
        <w:t>wydarzyło</w:t>
      </w:r>
      <w:proofErr w:type="spellEnd"/>
      <w:r w:rsidRPr="003B5656">
        <w:rPr>
          <w:rFonts w:ascii="Times New Roman" w:eastAsia="Calibri" w:hAnsi="Times New Roman" w:cs="Times New Roman"/>
          <w:iCs/>
          <w:sz w:val="24"/>
          <w:szCs w:val="24"/>
          <w:lang w:val="en-US"/>
        </w:rPr>
        <w:t>?” (</w:t>
      </w:r>
      <w:r w:rsidRPr="003B5656">
        <w:rPr>
          <w:rFonts w:ascii="Times New Roman" w:eastAsia="Calibri" w:hAnsi="Times New Roman" w:cs="Times New Roman"/>
          <w:i/>
          <w:iCs/>
          <w:sz w:val="24"/>
          <w:szCs w:val="24"/>
          <w:lang w:val="en-US"/>
        </w:rPr>
        <w:t>Waste Shipments and Circular Economy after COVID-19 What has happened</w:t>
      </w:r>
      <w:r w:rsidRPr="003B5656">
        <w:rPr>
          <w:rFonts w:ascii="Times New Roman" w:eastAsia="Calibri" w:hAnsi="Times New Roman" w:cs="Times New Roman"/>
          <w:iCs/>
          <w:sz w:val="24"/>
          <w:szCs w:val="24"/>
          <w:lang w:val="en-US"/>
        </w:rPr>
        <w:t>?);</w:t>
      </w:r>
    </w:p>
    <w:p w14:paraId="095074BF" w14:textId="730424BB" w:rsidR="00E614A8" w:rsidRPr="003B5656" w:rsidRDefault="00E614A8" w:rsidP="00D80FBD">
      <w:pPr>
        <w:numPr>
          <w:ilvl w:val="0"/>
          <w:numId w:val="343"/>
        </w:numPr>
        <w:spacing w:after="0" w:line="300" w:lineRule="atLeast"/>
        <w:ind w:left="641" w:hanging="357"/>
        <w:jc w:val="both"/>
        <w:rPr>
          <w:rFonts w:ascii="Times New Roman" w:eastAsia="Calibri" w:hAnsi="Times New Roman" w:cs="Times New Roman"/>
          <w:sz w:val="24"/>
          <w:szCs w:val="24"/>
        </w:rPr>
      </w:pPr>
      <w:r w:rsidRPr="003B5656">
        <w:rPr>
          <w:rFonts w:ascii="Times New Roman" w:eastAsia="Calibri" w:hAnsi="Times New Roman" w:cs="Times New Roman"/>
          <w:sz w:val="24"/>
          <w:szCs w:val="24"/>
        </w:rPr>
        <w:t xml:space="preserve">projekcie </w:t>
      </w:r>
      <w:r w:rsidRPr="003B5656">
        <w:rPr>
          <w:rFonts w:ascii="Times New Roman" w:eastAsia="Calibri" w:hAnsi="Times New Roman" w:cs="Times New Roman"/>
          <w:iCs/>
          <w:sz w:val="24"/>
          <w:szCs w:val="24"/>
        </w:rPr>
        <w:t>NCP (</w:t>
      </w:r>
      <w:proofErr w:type="spellStart"/>
      <w:r w:rsidRPr="003B5656">
        <w:rPr>
          <w:rFonts w:ascii="Times New Roman" w:eastAsia="Calibri" w:hAnsi="Times New Roman" w:cs="Times New Roman"/>
          <w:i/>
          <w:iCs/>
          <w:sz w:val="24"/>
          <w:szCs w:val="24"/>
        </w:rPr>
        <w:t>National</w:t>
      </w:r>
      <w:proofErr w:type="spellEnd"/>
      <w:r w:rsidRPr="003B5656">
        <w:rPr>
          <w:rFonts w:ascii="Times New Roman" w:eastAsia="Calibri" w:hAnsi="Times New Roman" w:cs="Times New Roman"/>
          <w:i/>
          <w:iCs/>
          <w:sz w:val="24"/>
          <w:szCs w:val="24"/>
        </w:rPr>
        <w:t xml:space="preserve"> </w:t>
      </w:r>
      <w:proofErr w:type="spellStart"/>
      <w:r w:rsidRPr="003B5656">
        <w:rPr>
          <w:rFonts w:ascii="Times New Roman" w:eastAsia="Calibri" w:hAnsi="Times New Roman" w:cs="Times New Roman"/>
          <w:i/>
          <w:iCs/>
          <w:sz w:val="24"/>
          <w:szCs w:val="24"/>
        </w:rPr>
        <w:t>Contact</w:t>
      </w:r>
      <w:proofErr w:type="spellEnd"/>
      <w:r w:rsidRPr="003B5656">
        <w:rPr>
          <w:rFonts w:ascii="Times New Roman" w:eastAsia="Calibri" w:hAnsi="Times New Roman" w:cs="Times New Roman"/>
          <w:i/>
          <w:iCs/>
          <w:sz w:val="24"/>
          <w:szCs w:val="24"/>
        </w:rPr>
        <w:t xml:space="preserve"> </w:t>
      </w:r>
      <w:proofErr w:type="spellStart"/>
      <w:r w:rsidRPr="003B5656">
        <w:rPr>
          <w:rFonts w:ascii="Times New Roman" w:eastAsia="Calibri" w:hAnsi="Times New Roman" w:cs="Times New Roman"/>
          <w:i/>
          <w:iCs/>
          <w:sz w:val="24"/>
          <w:szCs w:val="24"/>
        </w:rPr>
        <w:t>Points</w:t>
      </w:r>
      <w:proofErr w:type="spellEnd"/>
      <w:r w:rsidRPr="003B5656">
        <w:rPr>
          <w:rFonts w:ascii="Times New Roman" w:eastAsia="Calibri" w:hAnsi="Times New Roman" w:cs="Times New Roman"/>
          <w:iCs/>
          <w:sz w:val="24"/>
          <w:szCs w:val="24"/>
        </w:rPr>
        <w:t>)</w:t>
      </w:r>
      <w:r w:rsidRPr="003B5656">
        <w:rPr>
          <w:rFonts w:ascii="Times New Roman" w:eastAsia="Calibri" w:hAnsi="Times New Roman" w:cs="Times New Roman"/>
          <w:sz w:val="24"/>
          <w:szCs w:val="24"/>
        </w:rPr>
        <w:t xml:space="preserve"> w ramach IMPEL Waste &amp; TFS – spotkania Krajowych Punktów Kontaktowych w zakresie odpadów i transgranicznego przemieszczania odpadów;</w:t>
      </w:r>
    </w:p>
    <w:p w14:paraId="6E9B6EC5" w14:textId="77777777" w:rsidR="00E614A8" w:rsidRPr="003B5656" w:rsidRDefault="00E614A8" w:rsidP="00D80FBD">
      <w:pPr>
        <w:numPr>
          <w:ilvl w:val="0"/>
          <w:numId w:val="343"/>
        </w:numPr>
        <w:spacing w:after="0" w:line="300" w:lineRule="atLeast"/>
        <w:ind w:left="641" w:hanging="357"/>
        <w:jc w:val="both"/>
        <w:rPr>
          <w:rFonts w:ascii="Times New Roman" w:eastAsia="Calibri" w:hAnsi="Times New Roman" w:cs="Times New Roman"/>
          <w:sz w:val="24"/>
          <w:szCs w:val="24"/>
        </w:rPr>
      </w:pPr>
      <w:r w:rsidRPr="003B5656">
        <w:rPr>
          <w:rFonts w:ascii="Times New Roman" w:eastAsia="Calibri" w:hAnsi="Times New Roman" w:cs="Times New Roman"/>
          <w:sz w:val="24"/>
          <w:szCs w:val="24"/>
        </w:rPr>
        <w:t>spotkaniu Zespołu Eksperckiego ds. Przekrojowych (</w:t>
      </w:r>
      <w:r w:rsidRPr="003B5656">
        <w:rPr>
          <w:rFonts w:ascii="Times New Roman" w:eastAsia="Calibri" w:hAnsi="Times New Roman" w:cs="Times New Roman"/>
          <w:i/>
          <w:sz w:val="24"/>
          <w:szCs w:val="24"/>
        </w:rPr>
        <w:t>Cross-</w:t>
      </w:r>
      <w:proofErr w:type="spellStart"/>
      <w:r w:rsidRPr="003B5656">
        <w:rPr>
          <w:rFonts w:ascii="Times New Roman" w:eastAsia="Calibri" w:hAnsi="Times New Roman" w:cs="Times New Roman"/>
          <w:i/>
          <w:sz w:val="24"/>
          <w:szCs w:val="24"/>
        </w:rPr>
        <w:t>Cutting</w:t>
      </w:r>
      <w:proofErr w:type="spellEnd"/>
      <w:r w:rsidRPr="003B5656">
        <w:rPr>
          <w:rFonts w:ascii="Times New Roman" w:eastAsia="Calibri" w:hAnsi="Times New Roman" w:cs="Times New Roman"/>
          <w:i/>
          <w:sz w:val="24"/>
          <w:szCs w:val="24"/>
        </w:rPr>
        <w:t xml:space="preserve"> </w:t>
      </w:r>
      <w:proofErr w:type="spellStart"/>
      <w:r w:rsidRPr="003B5656">
        <w:rPr>
          <w:rFonts w:ascii="Times New Roman" w:eastAsia="Calibri" w:hAnsi="Times New Roman" w:cs="Times New Roman"/>
          <w:i/>
          <w:sz w:val="24"/>
          <w:szCs w:val="24"/>
        </w:rPr>
        <w:t>Expert</w:t>
      </w:r>
      <w:proofErr w:type="spellEnd"/>
      <w:r w:rsidRPr="003B5656">
        <w:rPr>
          <w:rFonts w:ascii="Times New Roman" w:eastAsia="Calibri" w:hAnsi="Times New Roman" w:cs="Times New Roman"/>
          <w:i/>
          <w:sz w:val="24"/>
          <w:szCs w:val="24"/>
        </w:rPr>
        <w:t xml:space="preserve"> Team</w:t>
      </w:r>
      <w:r w:rsidRPr="003B5656">
        <w:rPr>
          <w:rFonts w:ascii="Times New Roman" w:eastAsia="Calibri" w:hAnsi="Times New Roman" w:cs="Times New Roman"/>
          <w:sz w:val="24"/>
          <w:szCs w:val="24"/>
        </w:rPr>
        <w:t>).</w:t>
      </w:r>
      <w:r w:rsidRPr="003B5656">
        <w:rPr>
          <w:rFonts w:ascii="Times New Roman" w:hAnsi="Times New Roman" w:cs="Times New Roman"/>
          <w:sz w:val="24"/>
          <w:szCs w:val="24"/>
        </w:rPr>
        <w:t xml:space="preserve"> </w:t>
      </w:r>
      <w:r w:rsidRPr="003B5656">
        <w:rPr>
          <w:rFonts w:ascii="Times New Roman" w:hAnsi="Times New Roman" w:cs="Times New Roman"/>
          <w:sz w:val="24"/>
          <w:szCs w:val="24"/>
        </w:rPr>
        <w:br/>
      </w:r>
      <w:r w:rsidRPr="003B5656">
        <w:rPr>
          <w:rFonts w:ascii="Times New Roman" w:eastAsia="Calibri" w:hAnsi="Times New Roman" w:cs="Times New Roman"/>
          <w:sz w:val="24"/>
          <w:szCs w:val="24"/>
        </w:rPr>
        <w:t>W ramach zespołu realizowanych jest obecnie 9 projektów, takich jak Przegląd Partnerski IMPEL (IMPEL IRI). Na spotkaniu m.in. omówiono działania, które udało się przeprowadzić pomimo pandemii i braku możliwości organizacji spotkań stacjonarnych, warsztatów czy wizyt studyjnych oraz dyskutowano nad propozycjami nowych projektów na kolejne lata;</w:t>
      </w:r>
    </w:p>
    <w:p w14:paraId="5BF55BEC" w14:textId="4904DEA3" w:rsidR="00E614A8" w:rsidRPr="003B5656" w:rsidRDefault="00E614A8" w:rsidP="00D80FBD">
      <w:pPr>
        <w:numPr>
          <w:ilvl w:val="0"/>
          <w:numId w:val="343"/>
        </w:numPr>
        <w:spacing w:after="0" w:line="300" w:lineRule="atLeast"/>
        <w:ind w:left="641" w:hanging="357"/>
        <w:jc w:val="both"/>
        <w:rPr>
          <w:rFonts w:ascii="Times New Roman" w:eastAsia="Calibri" w:hAnsi="Times New Roman" w:cs="Times New Roman"/>
          <w:sz w:val="24"/>
          <w:szCs w:val="24"/>
        </w:rPr>
      </w:pPr>
      <w:r w:rsidRPr="003B5656">
        <w:rPr>
          <w:rFonts w:ascii="Times New Roman" w:eastAsia="Calibri" w:hAnsi="Times New Roman" w:cs="Times New Roman"/>
          <w:sz w:val="24"/>
          <w:szCs w:val="24"/>
        </w:rPr>
        <w:t>mini-konferencji IMPEL pn. ,,Zapewnienie zgodności działania podmiotów z przepisami środowiskowymi (</w:t>
      </w:r>
      <w:proofErr w:type="spellStart"/>
      <w:r w:rsidRPr="003B5656">
        <w:rPr>
          <w:rFonts w:ascii="Times New Roman" w:eastAsia="Calibri" w:hAnsi="Times New Roman" w:cs="Times New Roman"/>
          <w:i/>
          <w:sz w:val="24"/>
          <w:szCs w:val="24"/>
        </w:rPr>
        <w:t>Compliance</w:t>
      </w:r>
      <w:proofErr w:type="spellEnd"/>
      <w:r w:rsidRPr="003B5656">
        <w:rPr>
          <w:rFonts w:ascii="Times New Roman" w:eastAsia="Calibri" w:hAnsi="Times New Roman" w:cs="Times New Roman"/>
          <w:i/>
          <w:sz w:val="24"/>
          <w:szCs w:val="24"/>
        </w:rPr>
        <w:t xml:space="preserve"> Assurance Mini-</w:t>
      </w:r>
      <w:proofErr w:type="spellStart"/>
      <w:r w:rsidRPr="003B5656">
        <w:rPr>
          <w:rFonts w:ascii="Times New Roman" w:eastAsia="Calibri" w:hAnsi="Times New Roman" w:cs="Times New Roman"/>
          <w:i/>
          <w:sz w:val="24"/>
          <w:szCs w:val="24"/>
        </w:rPr>
        <w:t>conference</w:t>
      </w:r>
      <w:proofErr w:type="spellEnd"/>
      <w:r w:rsidRPr="003B5656">
        <w:rPr>
          <w:rFonts w:ascii="Times New Roman" w:eastAsia="Calibri" w:hAnsi="Times New Roman" w:cs="Times New Roman"/>
          <w:sz w:val="24"/>
          <w:szCs w:val="24"/>
        </w:rPr>
        <w:t>). Na spotkaniu omawiano m.in. różne metody wpływu organów ochrony środowiska na przestrzeganie przepisów środowiskowych przez podmioty, od promowania zgodności (poprzez szkolenia, wytyczne czy helpdesk), poprzez monitorowanie zgodności (kontrole, pobór pr</w:t>
      </w:r>
      <w:r w:rsidR="006D75C5">
        <w:rPr>
          <w:rFonts w:ascii="Times New Roman" w:eastAsia="Calibri" w:hAnsi="Times New Roman" w:cs="Times New Roman"/>
          <w:sz w:val="24"/>
          <w:szCs w:val="24"/>
        </w:rPr>
        <w:t>ó</w:t>
      </w:r>
      <w:r w:rsidRPr="003B5656">
        <w:rPr>
          <w:rFonts w:ascii="Times New Roman" w:eastAsia="Calibri" w:hAnsi="Times New Roman" w:cs="Times New Roman"/>
          <w:sz w:val="24"/>
          <w:szCs w:val="24"/>
        </w:rPr>
        <w:t>bek) po działania pokontrolne i stosowanie sankcji administracyjnych, cywilnych lub karnych;</w:t>
      </w:r>
    </w:p>
    <w:p w14:paraId="6ED45D59" w14:textId="77777777" w:rsidR="00E614A8" w:rsidRPr="003B5656" w:rsidRDefault="00E614A8" w:rsidP="00D80FBD">
      <w:pPr>
        <w:numPr>
          <w:ilvl w:val="0"/>
          <w:numId w:val="343"/>
        </w:numPr>
        <w:spacing w:after="0" w:line="300" w:lineRule="atLeast"/>
        <w:ind w:left="641" w:hanging="357"/>
        <w:jc w:val="both"/>
        <w:rPr>
          <w:rFonts w:ascii="Times New Roman" w:eastAsia="Calibri" w:hAnsi="Times New Roman" w:cs="Times New Roman"/>
          <w:sz w:val="24"/>
          <w:szCs w:val="24"/>
        </w:rPr>
      </w:pPr>
      <w:r w:rsidRPr="003B5656">
        <w:rPr>
          <w:rFonts w:ascii="Times New Roman" w:eastAsia="Calibri" w:hAnsi="Times New Roman" w:cs="Times New Roman"/>
          <w:sz w:val="24"/>
          <w:szCs w:val="24"/>
        </w:rPr>
        <w:t xml:space="preserve">konferencji IMPEL </w:t>
      </w:r>
      <w:proofErr w:type="spellStart"/>
      <w:r w:rsidRPr="003B5656">
        <w:rPr>
          <w:rFonts w:ascii="Times New Roman" w:eastAsia="Calibri" w:hAnsi="Times New Roman" w:cs="Times New Roman"/>
          <w:i/>
          <w:sz w:val="24"/>
          <w:szCs w:val="24"/>
        </w:rPr>
        <w:t>Water</w:t>
      </w:r>
      <w:proofErr w:type="spellEnd"/>
      <w:r w:rsidRPr="003B5656">
        <w:rPr>
          <w:rFonts w:ascii="Times New Roman" w:eastAsia="Calibri" w:hAnsi="Times New Roman" w:cs="Times New Roman"/>
          <w:i/>
          <w:sz w:val="24"/>
          <w:szCs w:val="24"/>
        </w:rPr>
        <w:t xml:space="preserve"> and Land</w:t>
      </w:r>
      <w:r w:rsidRPr="003B5656">
        <w:rPr>
          <w:rFonts w:ascii="Times New Roman" w:eastAsia="Calibri" w:hAnsi="Times New Roman" w:cs="Times New Roman"/>
          <w:sz w:val="24"/>
          <w:szCs w:val="24"/>
        </w:rPr>
        <w:t>, gdzie podczas czterech paneli konferencji zostały przedstawione prezentacje w obszarach bezpośrednio lub pośrednio związanych z Ramową Dyrektywą Wodną, Dyrektywą Azotanową, Dyrektywą Ramową w sprawie Strategii Morskiej, a także projektami związanymi z poprawą jakości wody, rekultywacją gleby na terenach zanieczyszczonych, gospodarką terenami górniczymi i innymi zagrożeniami glebowymi;</w:t>
      </w:r>
    </w:p>
    <w:p w14:paraId="640E1FC2" w14:textId="15BBD4AF" w:rsidR="00E614A8" w:rsidRDefault="00E614A8" w:rsidP="00D80FBD">
      <w:pPr>
        <w:numPr>
          <w:ilvl w:val="0"/>
          <w:numId w:val="343"/>
        </w:numPr>
        <w:spacing w:after="0" w:line="300" w:lineRule="atLeast"/>
        <w:ind w:left="641" w:hanging="357"/>
        <w:jc w:val="both"/>
        <w:rPr>
          <w:rFonts w:ascii="Times New Roman" w:eastAsia="Calibri" w:hAnsi="Times New Roman" w:cs="Times New Roman"/>
          <w:sz w:val="24"/>
          <w:szCs w:val="24"/>
        </w:rPr>
      </w:pPr>
      <w:r w:rsidRPr="003B5656">
        <w:rPr>
          <w:rFonts w:ascii="Times New Roman" w:eastAsia="Calibri" w:hAnsi="Times New Roman" w:cs="Times New Roman"/>
          <w:sz w:val="24"/>
          <w:szCs w:val="24"/>
        </w:rPr>
        <w:t xml:space="preserve"> </w:t>
      </w:r>
      <w:r w:rsidR="00557D4C">
        <w:rPr>
          <w:rFonts w:ascii="Times New Roman" w:eastAsia="Calibri" w:hAnsi="Times New Roman" w:cs="Times New Roman"/>
          <w:sz w:val="24"/>
          <w:szCs w:val="24"/>
        </w:rPr>
        <w:t xml:space="preserve">spotkaniu </w:t>
      </w:r>
      <w:r w:rsidRPr="003B5656">
        <w:rPr>
          <w:rFonts w:ascii="Times New Roman" w:eastAsia="Calibri" w:hAnsi="Times New Roman" w:cs="Times New Roman"/>
          <w:sz w:val="24"/>
          <w:szCs w:val="24"/>
        </w:rPr>
        <w:t xml:space="preserve">Komitetu Sterującego IMPEL, który kieruje pracami grupy IMPEL </w:t>
      </w:r>
      <w:r w:rsidRPr="003B5656">
        <w:rPr>
          <w:rFonts w:ascii="Times New Roman" w:eastAsia="Calibri" w:hAnsi="Times New Roman" w:cs="Times New Roman"/>
          <w:i/>
          <w:sz w:val="24"/>
          <w:szCs w:val="24"/>
        </w:rPr>
        <w:t>Waste &amp; TFS</w:t>
      </w:r>
      <w:r w:rsidRPr="003B5656">
        <w:rPr>
          <w:rFonts w:ascii="Times New Roman" w:eastAsia="Calibri" w:hAnsi="Times New Roman" w:cs="Times New Roman"/>
          <w:sz w:val="24"/>
          <w:szCs w:val="24"/>
        </w:rPr>
        <w:t xml:space="preserve"> oraz zajmuje się kwestiami związanymi z organizacją corocznej konferencji IMPEL </w:t>
      </w:r>
      <w:r w:rsidRPr="003B5656">
        <w:rPr>
          <w:rFonts w:ascii="Times New Roman" w:eastAsia="Calibri" w:hAnsi="Times New Roman" w:cs="Times New Roman"/>
          <w:i/>
          <w:sz w:val="24"/>
          <w:szCs w:val="24"/>
        </w:rPr>
        <w:t>Waste &amp; TFS</w:t>
      </w:r>
      <w:r w:rsidRPr="003B5656">
        <w:rPr>
          <w:rFonts w:ascii="Times New Roman" w:eastAsia="Calibri" w:hAnsi="Times New Roman" w:cs="Times New Roman"/>
          <w:sz w:val="24"/>
          <w:szCs w:val="24"/>
        </w:rPr>
        <w:t>;</w:t>
      </w:r>
    </w:p>
    <w:p w14:paraId="0A0F0F24" w14:textId="77777777" w:rsidR="00387BBB" w:rsidRPr="00DC049C" w:rsidRDefault="00387BBB" w:rsidP="00D80FBD">
      <w:pPr>
        <w:numPr>
          <w:ilvl w:val="0"/>
          <w:numId w:val="343"/>
        </w:numPr>
        <w:spacing w:after="0" w:line="300" w:lineRule="atLeast"/>
        <w:ind w:left="641" w:hanging="357"/>
        <w:jc w:val="both"/>
        <w:rPr>
          <w:rFonts w:ascii="Times New Roman" w:eastAsia="Calibri" w:hAnsi="Times New Roman" w:cs="Times New Roman"/>
          <w:sz w:val="24"/>
          <w:szCs w:val="24"/>
        </w:rPr>
      </w:pPr>
      <w:r w:rsidRPr="00B734C1">
        <w:rPr>
          <w:rFonts w:ascii="Times New Roman" w:hAnsi="Times New Roman" w:cs="Times New Roman"/>
          <w:sz w:val="24"/>
          <w:szCs w:val="24"/>
        </w:rPr>
        <w:t>spotkaniu Krajowych Punktów Kontaktowych (</w:t>
      </w:r>
      <w:r w:rsidRPr="00DC049C">
        <w:rPr>
          <w:rFonts w:ascii="Times New Roman" w:hAnsi="Times New Roman" w:cs="Times New Roman"/>
          <w:i/>
          <w:sz w:val="24"/>
          <w:szCs w:val="24"/>
        </w:rPr>
        <w:t xml:space="preserve">NCP - </w:t>
      </w:r>
      <w:proofErr w:type="spellStart"/>
      <w:r w:rsidRPr="00DC049C">
        <w:rPr>
          <w:rFonts w:ascii="Times New Roman" w:hAnsi="Times New Roman" w:cs="Times New Roman"/>
          <w:i/>
          <w:sz w:val="24"/>
          <w:szCs w:val="24"/>
        </w:rPr>
        <w:t>National</w:t>
      </w:r>
      <w:proofErr w:type="spellEnd"/>
      <w:r w:rsidRPr="00DC049C">
        <w:rPr>
          <w:rFonts w:ascii="Times New Roman" w:hAnsi="Times New Roman" w:cs="Times New Roman"/>
          <w:i/>
          <w:sz w:val="24"/>
          <w:szCs w:val="24"/>
        </w:rPr>
        <w:t xml:space="preserve"> </w:t>
      </w:r>
      <w:proofErr w:type="spellStart"/>
      <w:r w:rsidRPr="00DC049C">
        <w:rPr>
          <w:rFonts w:ascii="Times New Roman" w:hAnsi="Times New Roman" w:cs="Times New Roman"/>
          <w:i/>
          <w:sz w:val="24"/>
          <w:szCs w:val="24"/>
        </w:rPr>
        <w:t>Contact</w:t>
      </w:r>
      <w:proofErr w:type="spellEnd"/>
      <w:r w:rsidRPr="00DC049C">
        <w:rPr>
          <w:rFonts w:ascii="Times New Roman" w:hAnsi="Times New Roman" w:cs="Times New Roman"/>
          <w:i/>
          <w:sz w:val="24"/>
          <w:szCs w:val="24"/>
        </w:rPr>
        <w:t xml:space="preserve"> </w:t>
      </w:r>
      <w:proofErr w:type="spellStart"/>
      <w:r w:rsidRPr="00DC049C">
        <w:rPr>
          <w:rFonts w:ascii="Times New Roman" w:hAnsi="Times New Roman" w:cs="Times New Roman"/>
          <w:i/>
          <w:sz w:val="24"/>
          <w:szCs w:val="24"/>
        </w:rPr>
        <w:t>Points</w:t>
      </w:r>
      <w:proofErr w:type="spellEnd"/>
      <w:r w:rsidRPr="00B734C1">
        <w:rPr>
          <w:rFonts w:ascii="Times New Roman" w:hAnsi="Times New Roman" w:cs="Times New Roman"/>
          <w:sz w:val="24"/>
          <w:szCs w:val="24"/>
        </w:rPr>
        <w:t>) w</w:t>
      </w:r>
      <w:r>
        <w:rPr>
          <w:rFonts w:ascii="Times New Roman" w:hAnsi="Times New Roman" w:cs="Times New Roman"/>
          <w:sz w:val="24"/>
          <w:szCs w:val="24"/>
        </w:rPr>
        <w:t> </w:t>
      </w:r>
      <w:r w:rsidRPr="00B734C1">
        <w:rPr>
          <w:rFonts w:ascii="Times New Roman" w:hAnsi="Times New Roman" w:cs="Times New Roman"/>
          <w:sz w:val="24"/>
          <w:szCs w:val="24"/>
        </w:rPr>
        <w:t xml:space="preserve">ramach projektu IMPEL </w:t>
      </w:r>
      <w:r w:rsidRPr="00DC049C">
        <w:rPr>
          <w:rFonts w:ascii="Times New Roman" w:hAnsi="Times New Roman" w:cs="Times New Roman"/>
          <w:i/>
          <w:sz w:val="24"/>
          <w:szCs w:val="24"/>
        </w:rPr>
        <w:t>Waste &amp; TFS</w:t>
      </w:r>
      <w:r>
        <w:rPr>
          <w:rFonts w:ascii="Times New Roman" w:hAnsi="Times New Roman" w:cs="Times New Roman"/>
          <w:i/>
          <w:sz w:val="24"/>
          <w:szCs w:val="24"/>
        </w:rPr>
        <w:t xml:space="preserve">. </w:t>
      </w:r>
      <w:r w:rsidRPr="00B734C1">
        <w:rPr>
          <w:rFonts w:ascii="Times New Roman" w:hAnsi="Times New Roman" w:cs="Times New Roman"/>
          <w:sz w:val="24"/>
          <w:szCs w:val="24"/>
        </w:rPr>
        <w:t>W trakcie spotkania omówiono obecne i</w:t>
      </w:r>
      <w:r>
        <w:rPr>
          <w:rFonts w:ascii="Times New Roman" w:hAnsi="Times New Roman" w:cs="Times New Roman"/>
          <w:sz w:val="24"/>
          <w:szCs w:val="24"/>
        </w:rPr>
        <w:t> </w:t>
      </w:r>
      <w:r w:rsidRPr="00B734C1">
        <w:rPr>
          <w:rFonts w:ascii="Times New Roman" w:hAnsi="Times New Roman" w:cs="Times New Roman"/>
          <w:sz w:val="24"/>
          <w:szCs w:val="24"/>
        </w:rPr>
        <w:t xml:space="preserve">planowane działania związane z Krajowymi Punktami Kontaktowymi, </w:t>
      </w:r>
      <w:r>
        <w:rPr>
          <w:rFonts w:ascii="Times New Roman" w:hAnsi="Times New Roman" w:cs="Times New Roman"/>
          <w:sz w:val="24"/>
          <w:szCs w:val="24"/>
        </w:rPr>
        <w:br/>
      </w:r>
      <w:r w:rsidRPr="00B734C1">
        <w:rPr>
          <w:rFonts w:ascii="Times New Roman" w:hAnsi="Times New Roman" w:cs="Times New Roman"/>
          <w:sz w:val="24"/>
          <w:szCs w:val="24"/>
        </w:rPr>
        <w:t xml:space="preserve">a także przeprowadzono wizytę w międzynarodowym porcie morskim Malta </w:t>
      </w:r>
      <w:proofErr w:type="spellStart"/>
      <w:r w:rsidRPr="00B734C1">
        <w:rPr>
          <w:rFonts w:ascii="Times New Roman" w:hAnsi="Times New Roman" w:cs="Times New Roman"/>
          <w:sz w:val="24"/>
          <w:szCs w:val="24"/>
        </w:rPr>
        <w:t>Freeport</w:t>
      </w:r>
      <w:proofErr w:type="spellEnd"/>
      <w:r w:rsidRPr="00B734C1">
        <w:rPr>
          <w:rFonts w:ascii="Times New Roman" w:hAnsi="Times New Roman" w:cs="Times New Roman"/>
          <w:sz w:val="24"/>
          <w:szCs w:val="24"/>
        </w:rPr>
        <w:t xml:space="preserve">. Uczestnicy spotkania zapoznali się ze sposobem działania maltańskich służb celnych </w:t>
      </w:r>
      <w:r>
        <w:rPr>
          <w:rFonts w:ascii="Times New Roman" w:hAnsi="Times New Roman" w:cs="Times New Roman"/>
          <w:sz w:val="24"/>
          <w:szCs w:val="24"/>
        </w:rPr>
        <w:br/>
      </w:r>
      <w:r w:rsidRPr="00B734C1">
        <w:rPr>
          <w:rFonts w:ascii="Times New Roman" w:hAnsi="Times New Roman" w:cs="Times New Roman"/>
          <w:sz w:val="24"/>
          <w:szCs w:val="24"/>
        </w:rPr>
        <w:t>w zakresie kontroli transgranicznego przemieszczania odpadów oraz wzięli udział w</w:t>
      </w:r>
      <w:r>
        <w:rPr>
          <w:rFonts w:ascii="Times New Roman" w:hAnsi="Times New Roman" w:cs="Times New Roman"/>
          <w:sz w:val="24"/>
          <w:szCs w:val="24"/>
        </w:rPr>
        <w:t> </w:t>
      </w:r>
      <w:r w:rsidRPr="00B734C1">
        <w:rPr>
          <w:rFonts w:ascii="Times New Roman" w:hAnsi="Times New Roman" w:cs="Times New Roman"/>
          <w:sz w:val="24"/>
          <w:szCs w:val="24"/>
        </w:rPr>
        <w:t>inspekcji wybranych kontenerów morskich</w:t>
      </w:r>
      <w:r>
        <w:rPr>
          <w:rFonts w:ascii="Times New Roman" w:hAnsi="Times New Roman" w:cs="Times New Roman"/>
          <w:sz w:val="24"/>
          <w:szCs w:val="24"/>
        </w:rPr>
        <w:t>;</w:t>
      </w:r>
    </w:p>
    <w:p w14:paraId="7EC48957" w14:textId="77777777" w:rsidR="00387BBB" w:rsidRPr="00DC049C" w:rsidRDefault="00387BBB" w:rsidP="00D80FBD">
      <w:pPr>
        <w:numPr>
          <w:ilvl w:val="0"/>
          <w:numId w:val="343"/>
        </w:numPr>
        <w:spacing w:after="0" w:line="300" w:lineRule="atLeast"/>
        <w:ind w:left="641" w:hanging="357"/>
        <w:jc w:val="both"/>
        <w:rPr>
          <w:rFonts w:ascii="Times New Roman" w:eastAsia="Calibri" w:hAnsi="Times New Roman" w:cs="Times New Roman"/>
          <w:sz w:val="24"/>
          <w:szCs w:val="24"/>
        </w:rPr>
      </w:pPr>
      <w:r w:rsidRPr="00B734C1">
        <w:rPr>
          <w:rFonts w:ascii="Times New Roman" w:hAnsi="Times New Roman" w:cs="Times New Roman"/>
          <w:sz w:val="24"/>
          <w:szCs w:val="24"/>
        </w:rPr>
        <w:lastRenderedPageBreak/>
        <w:t xml:space="preserve">konferencji IMPEL Waste &amp; TFS - „Przemieszczanie odpadów i gospodarka o obiegu zamkniętym po COVID-19. </w:t>
      </w:r>
      <w:r w:rsidRPr="00B734C1">
        <w:rPr>
          <w:rFonts w:ascii="Times New Roman" w:hAnsi="Times New Roman" w:cs="Times New Roman"/>
          <w:sz w:val="24"/>
          <w:szCs w:val="24"/>
          <w:lang w:val="en-US"/>
        </w:rPr>
        <w:t xml:space="preserve">Co </w:t>
      </w:r>
      <w:proofErr w:type="spellStart"/>
      <w:r w:rsidRPr="00B734C1">
        <w:rPr>
          <w:rFonts w:ascii="Times New Roman" w:hAnsi="Times New Roman" w:cs="Times New Roman"/>
          <w:sz w:val="24"/>
          <w:szCs w:val="24"/>
          <w:lang w:val="en-US"/>
        </w:rPr>
        <w:t>się</w:t>
      </w:r>
      <w:proofErr w:type="spellEnd"/>
      <w:r w:rsidRPr="00B734C1">
        <w:rPr>
          <w:rFonts w:ascii="Times New Roman" w:hAnsi="Times New Roman" w:cs="Times New Roman"/>
          <w:sz w:val="24"/>
          <w:szCs w:val="24"/>
          <w:lang w:val="en-US"/>
        </w:rPr>
        <w:t xml:space="preserve"> </w:t>
      </w:r>
      <w:proofErr w:type="spellStart"/>
      <w:r w:rsidRPr="00B734C1">
        <w:rPr>
          <w:rFonts w:ascii="Times New Roman" w:hAnsi="Times New Roman" w:cs="Times New Roman"/>
          <w:sz w:val="24"/>
          <w:szCs w:val="24"/>
          <w:lang w:val="en-US"/>
        </w:rPr>
        <w:t>wydarzyło</w:t>
      </w:r>
      <w:proofErr w:type="spellEnd"/>
      <w:r w:rsidRPr="00B734C1">
        <w:rPr>
          <w:rFonts w:ascii="Times New Roman" w:hAnsi="Times New Roman" w:cs="Times New Roman"/>
          <w:sz w:val="24"/>
          <w:szCs w:val="24"/>
          <w:lang w:val="en-US"/>
        </w:rPr>
        <w:t xml:space="preserve">?” (Waste Shipments and Circular Economy after COVID-19. </w:t>
      </w:r>
      <w:proofErr w:type="spellStart"/>
      <w:r w:rsidRPr="00B734C1">
        <w:rPr>
          <w:rFonts w:ascii="Times New Roman" w:hAnsi="Times New Roman" w:cs="Times New Roman"/>
          <w:sz w:val="24"/>
          <w:szCs w:val="24"/>
        </w:rPr>
        <w:t>What</w:t>
      </w:r>
      <w:proofErr w:type="spellEnd"/>
      <w:r w:rsidRPr="00B734C1">
        <w:rPr>
          <w:rFonts w:ascii="Times New Roman" w:hAnsi="Times New Roman" w:cs="Times New Roman"/>
          <w:sz w:val="24"/>
          <w:szCs w:val="24"/>
        </w:rPr>
        <w:t xml:space="preserve"> </w:t>
      </w:r>
      <w:proofErr w:type="spellStart"/>
      <w:r w:rsidRPr="00B734C1">
        <w:rPr>
          <w:rFonts w:ascii="Times New Roman" w:hAnsi="Times New Roman" w:cs="Times New Roman"/>
          <w:sz w:val="24"/>
          <w:szCs w:val="24"/>
        </w:rPr>
        <w:t>has</w:t>
      </w:r>
      <w:proofErr w:type="spellEnd"/>
      <w:r w:rsidRPr="00B734C1">
        <w:rPr>
          <w:rFonts w:ascii="Times New Roman" w:hAnsi="Times New Roman" w:cs="Times New Roman"/>
          <w:sz w:val="24"/>
          <w:szCs w:val="24"/>
        </w:rPr>
        <w:t xml:space="preserve"> </w:t>
      </w:r>
      <w:proofErr w:type="spellStart"/>
      <w:r w:rsidRPr="00B734C1">
        <w:rPr>
          <w:rFonts w:ascii="Times New Roman" w:hAnsi="Times New Roman" w:cs="Times New Roman"/>
          <w:sz w:val="24"/>
          <w:szCs w:val="24"/>
        </w:rPr>
        <w:t>happened</w:t>
      </w:r>
      <w:proofErr w:type="spellEnd"/>
      <w:r w:rsidRPr="00B734C1">
        <w:rPr>
          <w:rFonts w:ascii="Times New Roman" w:hAnsi="Times New Roman" w:cs="Times New Roman"/>
          <w:sz w:val="24"/>
          <w:szCs w:val="24"/>
        </w:rPr>
        <w:t>?)</w:t>
      </w:r>
      <w:r>
        <w:rPr>
          <w:rFonts w:ascii="Times New Roman" w:hAnsi="Times New Roman" w:cs="Times New Roman"/>
          <w:sz w:val="24"/>
          <w:szCs w:val="24"/>
        </w:rPr>
        <w:t>.</w:t>
      </w:r>
      <w:r w:rsidRPr="000E3A7B">
        <w:rPr>
          <w:rFonts w:ascii="Times New Roman" w:hAnsi="Times New Roman" w:cs="Times New Roman"/>
          <w:sz w:val="24"/>
          <w:szCs w:val="24"/>
        </w:rPr>
        <w:t xml:space="preserve"> </w:t>
      </w:r>
    </w:p>
    <w:p w14:paraId="54D5CC12" w14:textId="77777777" w:rsidR="00387BBB" w:rsidRDefault="00387BBB" w:rsidP="00D80FBD">
      <w:pPr>
        <w:spacing w:after="0" w:line="300" w:lineRule="atLeast"/>
        <w:ind w:left="641"/>
        <w:jc w:val="both"/>
        <w:rPr>
          <w:rFonts w:ascii="Times New Roman" w:hAnsi="Times New Roman" w:cs="Times New Roman"/>
          <w:sz w:val="24"/>
          <w:szCs w:val="24"/>
        </w:rPr>
      </w:pPr>
      <w:r w:rsidRPr="00B734C1">
        <w:rPr>
          <w:rFonts w:ascii="Times New Roman" w:hAnsi="Times New Roman" w:cs="Times New Roman"/>
          <w:sz w:val="24"/>
          <w:szCs w:val="24"/>
        </w:rPr>
        <w:t>Na konferencji omówiono aktualnie realizowane projekty IMPEL oraz współpracę</w:t>
      </w:r>
      <w:r>
        <w:rPr>
          <w:rFonts w:ascii="Times New Roman" w:hAnsi="Times New Roman" w:cs="Times New Roman"/>
          <w:sz w:val="24"/>
          <w:szCs w:val="24"/>
        </w:rPr>
        <w:t xml:space="preserve"> </w:t>
      </w:r>
      <w:r w:rsidRPr="00B734C1">
        <w:rPr>
          <w:rFonts w:ascii="Times New Roman" w:hAnsi="Times New Roman" w:cs="Times New Roman"/>
          <w:sz w:val="24"/>
          <w:szCs w:val="24"/>
        </w:rPr>
        <w:t xml:space="preserve">IMPEL z organizacjami partnerskimi. Ponadto poruszono szereg tematów dotyczących transgranicznego przemieszczania odpadów, w tym: rewizję rozporządzenia (WE) </w:t>
      </w:r>
      <w:r w:rsidRPr="00B734C1">
        <w:rPr>
          <w:rFonts w:ascii="Times New Roman" w:hAnsi="Times New Roman" w:cs="Times New Roman"/>
          <w:sz w:val="24"/>
          <w:szCs w:val="24"/>
        </w:rPr>
        <w:br/>
        <w:t>nr 1013/2006 Parlamentu Europejskiego i Rady z dnia 14 czerwca 2006 r. w sprawie przemieszczania odpadów</w:t>
      </w:r>
      <w:r>
        <w:rPr>
          <w:rStyle w:val="Odwoanieprzypisudolnego"/>
          <w:rFonts w:cs="Times New Roman"/>
          <w:szCs w:val="24"/>
        </w:rPr>
        <w:footnoteReference w:id="120"/>
      </w:r>
      <w:r w:rsidRPr="00B734C1">
        <w:rPr>
          <w:rFonts w:ascii="Times New Roman" w:hAnsi="Times New Roman" w:cs="Times New Roman"/>
          <w:sz w:val="24"/>
          <w:szCs w:val="24"/>
        </w:rPr>
        <w:t xml:space="preserve">, planowaną współpracę z OLAF w zakresie zwalczania nielegalnego przemieszczania odpadów, a także praktyczne doświadczenia organów, związane m.in. z przemieszczaniem odpadów tworzyw sztucznych oraz stosowaniem przepisów dotyczących </w:t>
      </w:r>
      <w:r w:rsidRPr="00B734C1">
        <w:rPr>
          <w:rFonts w:ascii="Times New Roman" w:hAnsi="Times New Roman" w:cs="Times New Roman"/>
          <w:i/>
          <w:iCs/>
          <w:sz w:val="24"/>
          <w:szCs w:val="24"/>
        </w:rPr>
        <w:t>końca statusu odpadu</w:t>
      </w:r>
      <w:r w:rsidRPr="00B734C1">
        <w:rPr>
          <w:rFonts w:ascii="Times New Roman" w:hAnsi="Times New Roman" w:cs="Times New Roman"/>
          <w:sz w:val="24"/>
          <w:szCs w:val="24"/>
        </w:rPr>
        <w:t>.</w:t>
      </w:r>
      <w:r w:rsidRPr="000E3A7B">
        <w:rPr>
          <w:rFonts w:ascii="Times New Roman" w:hAnsi="Times New Roman" w:cs="Times New Roman"/>
          <w:sz w:val="24"/>
          <w:szCs w:val="24"/>
        </w:rPr>
        <w:t xml:space="preserve"> </w:t>
      </w:r>
    </w:p>
    <w:p w14:paraId="0C71EFF4" w14:textId="36741143" w:rsidR="00387BBB" w:rsidRPr="003B5656" w:rsidRDefault="00387BBB" w:rsidP="00D80FBD">
      <w:pPr>
        <w:spacing w:after="0" w:line="300" w:lineRule="atLeast"/>
        <w:ind w:left="641" w:firstLine="567"/>
        <w:jc w:val="both"/>
        <w:rPr>
          <w:rFonts w:ascii="Times New Roman" w:eastAsia="Calibri" w:hAnsi="Times New Roman" w:cs="Times New Roman"/>
          <w:sz w:val="24"/>
          <w:szCs w:val="24"/>
        </w:rPr>
      </w:pPr>
      <w:r w:rsidRPr="00B734C1">
        <w:rPr>
          <w:rFonts w:ascii="Times New Roman" w:hAnsi="Times New Roman" w:cs="Times New Roman"/>
          <w:sz w:val="24"/>
          <w:szCs w:val="24"/>
        </w:rPr>
        <w:t>Ponadto w trakcie Konferencji odbyły się warsztaty. Przedstawiciele GIOŚ poprowadzili jeden z tematów warsztatów, dotyczący klasyfikacji odpadów palnych, przeznaczonych do wykorzystania energetycznego. Celem warsztatów było zebranie informacji i</w:t>
      </w:r>
      <w:r>
        <w:rPr>
          <w:rFonts w:ascii="Times New Roman" w:hAnsi="Times New Roman" w:cs="Times New Roman"/>
          <w:sz w:val="24"/>
          <w:szCs w:val="24"/>
        </w:rPr>
        <w:t> </w:t>
      </w:r>
      <w:r w:rsidRPr="00B734C1">
        <w:rPr>
          <w:rFonts w:ascii="Times New Roman" w:hAnsi="Times New Roman" w:cs="Times New Roman"/>
          <w:sz w:val="24"/>
          <w:szCs w:val="24"/>
        </w:rPr>
        <w:t>omówienie podejścia organów do klasyfikacji takich odpadów, w kontekście ich wywozu do krajów niebędących członkami UE ani OECD</w:t>
      </w:r>
      <w:r>
        <w:rPr>
          <w:rFonts w:ascii="Times New Roman" w:hAnsi="Times New Roman" w:cs="Times New Roman"/>
          <w:sz w:val="24"/>
          <w:szCs w:val="24"/>
        </w:rPr>
        <w:t>;</w:t>
      </w:r>
    </w:p>
    <w:p w14:paraId="0CE53C35" w14:textId="2775505D" w:rsidR="00E614A8" w:rsidRPr="003B5656" w:rsidRDefault="00E614A8" w:rsidP="00D80FBD">
      <w:pPr>
        <w:numPr>
          <w:ilvl w:val="0"/>
          <w:numId w:val="343"/>
        </w:numPr>
        <w:spacing w:after="60" w:line="300" w:lineRule="atLeast"/>
        <w:ind w:left="641" w:hanging="357"/>
        <w:jc w:val="both"/>
        <w:rPr>
          <w:rFonts w:ascii="Times New Roman" w:eastAsia="Calibri" w:hAnsi="Times New Roman" w:cs="Times New Roman"/>
          <w:sz w:val="24"/>
          <w:szCs w:val="24"/>
        </w:rPr>
      </w:pPr>
      <w:r w:rsidRPr="003B5656">
        <w:rPr>
          <w:rFonts w:ascii="Times New Roman" w:eastAsia="Calibri" w:hAnsi="Times New Roman" w:cs="Times New Roman"/>
          <w:sz w:val="24"/>
          <w:szCs w:val="24"/>
        </w:rPr>
        <w:t>szkoleniach z zakresu transgranicznego przemieszczania odpadów w roli prowadzącego..</w:t>
      </w:r>
      <w:r w:rsidR="00387BBB">
        <w:rPr>
          <w:rFonts w:ascii="Times New Roman" w:eastAsia="Calibri" w:hAnsi="Times New Roman" w:cs="Times New Roman"/>
          <w:sz w:val="24"/>
          <w:szCs w:val="24"/>
        </w:rPr>
        <w:t xml:space="preserve"> </w:t>
      </w:r>
      <w:r w:rsidR="00387BBB" w:rsidRPr="00DC049C">
        <w:rPr>
          <w:rFonts w:ascii="Times New Roman" w:hAnsi="Times New Roman" w:cs="Times New Roman"/>
          <w:sz w:val="24"/>
          <w:szCs w:val="24"/>
        </w:rPr>
        <w:t>Szkolenia zostały zrealizowane w ramach projektu IMPEL SWEAP, którego założeniem było zwalczanie nielegalnego handlu odpadami na terenie UE. Szkolenia zapewniły uczestnikom wiedzę teoretyczną z zakresu regulacji prawnych dotyczących transgranicznego przemieszczania odpadów, zajęcia praktyczne, a także udział w</w:t>
      </w:r>
      <w:r w:rsidR="00387BBB">
        <w:rPr>
          <w:rFonts w:ascii="Times New Roman" w:hAnsi="Times New Roman" w:cs="Times New Roman"/>
          <w:sz w:val="24"/>
          <w:szCs w:val="24"/>
        </w:rPr>
        <w:t> </w:t>
      </w:r>
      <w:r w:rsidR="00387BBB" w:rsidRPr="00DC049C">
        <w:rPr>
          <w:rFonts w:ascii="Times New Roman" w:hAnsi="Times New Roman" w:cs="Times New Roman"/>
          <w:sz w:val="24"/>
          <w:szCs w:val="24"/>
        </w:rPr>
        <w:t>inspekcji wybranych kontenerów w portach morskich</w:t>
      </w:r>
      <w:r w:rsidR="00387BBB">
        <w:rPr>
          <w:rFonts w:ascii="Times New Roman" w:hAnsi="Times New Roman" w:cs="Times New Roman"/>
          <w:sz w:val="24"/>
          <w:szCs w:val="24"/>
        </w:rPr>
        <w:t>.</w:t>
      </w:r>
    </w:p>
    <w:p w14:paraId="514371DA" w14:textId="5ADDE82F" w:rsidR="00E614A8" w:rsidRDefault="00E614A8" w:rsidP="00D80FBD">
      <w:pPr>
        <w:spacing w:after="0" w:line="300" w:lineRule="atLeast"/>
        <w:ind w:firstLine="567"/>
        <w:jc w:val="both"/>
        <w:rPr>
          <w:rFonts w:ascii="Times New Roman" w:hAnsi="Times New Roman" w:cs="Times New Roman"/>
          <w:sz w:val="24"/>
          <w:szCs w:val="24"/>
        </w:rPr>
      </w:pPr>
      <w:r w:rsidRPr="003B5656">
        <w:rPr>
          <w:rFonts w:ascii="Times New Roman" w:hAnsi="Times New Roman" w:cs="Times New Roman"/>
          <w:sz w:val="24"/>
          <w:szCs w:val="24"/>
        </w:rPr>
        <w:t>Przedstawiciele GIOŚ uczestniczyli ponadto w XXIV Zgromadzeniu Ogólnym IMPEL (</w:t>
      </w:r>
      <w:r w:rsidRPr="003B5656">
        <w:rPr>
          <w:rFonts w:ascii="Times New Roman" w:hAnsi="Times New Roman" w:cs="Times New Roman"/>
          <w:i/>
          <w:sz w:val="24"/>
          <w:szCs w:val="24"/>
        </w:rPr>
        <w:t>General Assembly</w:t>
      </w:r>
      <w:r w:rsidRPr="003B5656">
        <w:rPr>
          <w:rFonts w:ascii="Times New Roman" w:hAnsi="Times New Roman" w:cs="Times New Roman"/>
          <w:sz w:val="24"/>
          <w:szCs w:val="24"/>
        </w:rPr>
        <w:t>), stanowiącym najwyższe ciało decyzyjne tej organizacji, na którym zapadają najważniejsze decyzje dotyczące funkcjonowania, finansowania i kierunków dalszych prac sieci IMPEL. Zgromadzenie Ogólne było poprzedzone roboczym spotkaniem Krajowych Koordynatorów IMPEL (z udziałem polskiego Koordynatora), na którym odbyła się dyskusja na temat ich roli w funkcjonowaniu sieci po zmianach podyktowanych zmianami w strukturach sieci.</w:t>
      </w:r>
    </w:p>
    <w:p w14:paraId="513FD586" w14:textId="77777777" w:rsidR="003E3B06" w:rsidRPr="003B5656" w:rsidRDefault="003E3B06" w:rsidP="00D80FBD">
      <w:pPr>
        <w:spacing w:after="0" w:line="300" w:lineRule="atLeast"/>
        <w:jc w:val="both"/>
        <w:rPr>
          <w:rFonts w:ascii="Times New Roman" w:hAnsi="Times New Roman" w:cs="Times New Roman"/>
          <w:sz w:val="24"/>
          <w:szCs w:val="24"/>
        </w:rPr>
      </w:pPr>
    </w:p>
    <w:p w14:paraId="45B1BE69" w14:textId="2D426177" w:rsidR="00E614A8" w:rsidRPr="003E3B06" w:rsidRDefault="003E3B06" w:rsidP="00D80FBD">
      <w:pPr>
        <w:pStyle w:val="Tekstpodstawowywcity3"/>
        <w:spacing w:line="300" w:lineRule="atLeast"/>
        <w:ind w:left="0" w:firstLine="567"/>
        <w:rPr>
          <w:lang w:val="pl-PL"/>
        </w:rPr>
      </w:pPr>
      <w:r>
        <w:rPr>
          <w:lang w:val="pl-PL"/>
        </w:rPr>
        <w:t>.</w:t>
      </w:r>
    </w:p>
    <w:p w14:paraId="22BA6AC1" w14:textId="649E391D" w:rsidR="00E66FE9" w:rsidRPr="007F400A" w:rsidRDefault="00E66FE9" w:rsidP="00D80FBD">
      <w:pPr>
        <w:spacing w:after="0" w:line="300" w:lineRule="atLeast"/>
        <w:jc w:val="both"/>
        <w:rPr>
          <w:rFonts w:ascii="Times New Roman" w:eastAsia="Arial" w:hAnsi="Times New Roman" w:cs="Times New Roman"/>
          <w:iCs/>
          <w:sz w:val="24"/>
          <w:szCs w:val="24"/>
          <w:lang w:eastAsia="pl-PL"/>
        </w:rPr>
      </w:pPr>
    </w:p>
    <w:p w14:paraId="71C801EE" w14:textId="77777777" w:rsidR="00E66FE9" w:rsidRPr="007F400A" w:rsidRDefault="00E66FE9" w:rsidP="00D80FBD">
      <w:pPr>
        <w:keepNext/>
        <w:spacing w:after="120" w:line="300" w:lineRule="atLeast"/>
        <w:jc w:val="both"/>
        <w:outlineLvl w:val="0"/>
        <w:rPr>
          <w:rFonts w:ascii="Times New Roman" w:eastAsia="Times New Roman" w:hAnsi="Times New Roman" w:cs="Times New Roman"/>
          <w:b/>
          <w:bCs/>
          <w:color w:val="000000"/>
          <w:sz w:val="24"/>
          <w:szCs w:val="24"/>
          <w:lang w:val="x-none" w:eastAsia="x-none"/>
        </w:rPr>
      </w:pPr>
      <w:bookmarkStart w:id="470" w:name="_Toc36732662"/>
      <w:bookmarkStart w:id="471" w:name="_Toc135935738"/>
      <w:r w:rsidRPr="007F400A">
        <w:rPr>
          <w:rFonts w:ascii="Times New Roman" w:eastAsia="Times New Roman" w:hAnsi="Times New Roman" w:cs="Times New Roman"/>
          <w:b/>
          <w:bCs/>
          <w:color w:val="000000"/>
          <w:sz w:val="24"/>
          <w:szCs w:val="24"/>
          <w:lang w:eastAsia="x-none"/>
        </w:rPr>
        <w:t xml:space="preserve">3. </w:t>
      </w:r>
      <w:r w:rsidRPr="007F400A">
        <w:rPr>
          <w:rFonts w:ascii="Times New Roman" w:eastAsia="Times New Roman" w:hAnsi="Times New Roman" w:cs="Times New Roman"/>
          <w:b/>
          <w:bCs/>
          <w:color w:val="000000"/>
          <w:sz w:val="24"/>
          <w:szCs w:val="24"/>
          <w:lang w:val="x-none" w:eastAsia="x-none"/>
        </w:rPr>
        <w:t>Udział w pracach komitetów i grup roboczych Unii Europejskiej oraz</w:t>
      </w:r>
      <w:r w:rsidRPr="007F400A">
        <w:rPr>
          <w:rFonts w:ascii="Times New Roman" w:eastAsia="Times New Roman" w:hAnsi="Times New Roman" w:cs="Times New Roman"/>
          <w:b/>
          <w:bCs/>
          <w:color w:val="000000"/>
          <w:sz w:val="24"/>
          <w:szCs w:val="24"/>
          <w:lang w:eastAsia="x-none"/>
        </w:rPr>
        <w:t xml:space="preserve"> </w:t>
      </w:r>
      <w:r w:rsidRPr="007F400A">
        <w:rPr>
          <w:rFonts w:ascii="Times New Roman" w:eastAsia="Times New Roman" w:hAnsi="Times New Roman" w:cs="Times New Roman"/>
          <w:b/>
          <w:bCs/>
          <w:color w:val="000000"/>
          <w:sz w:val="24"/>
          <w:szCs w:val="24"/>
          <w:lang w:val="x-none" w:eastAsia="x-none"/>
        </w:rPr>
        <w:t>programach Komisji Europejskiej</w:t>
      </w:r>
      <w:bookmarkEnd w:id="470"/>
      <w:bookmarkEnd w:id="471"/>
    </w:p>
    <w:p w14:paraId="20FEF4A2" w14:textId="0D8F7C32" w:rsidR="00E66FE9" w:rsidRPr="007F400A" w:rsidRDefault="00E66FE9" w:rsidP="00D80FBD">
      <w:pPr>
        <w:spacing w:after="240" w:line="300" w:lineRule="atLeast"/>
        <w:ind w:firstLine="567"/>
        <w:jc w:val="both"/>
        <w:rPr>
          <w:rFonts w:ascii="Times New Roman" w:eastAsia="Times New Roman" w:hAnsi="Times New Roman" w:cs="Times New Roman"/>
          <w:sz w:val="24"/>
          <w:szCs w:val="24"/>
          <w:lang w:eastAsia="x-none"/>
        </w:rPr>
      </w:pPr>
      <w:r w:rsidRPr="007F400A">
        <w:rPr>
          <w:rFonts w:ascii="Times New Roman" w:eastAsia="Times New Roman" w:hAnsi="Times New Roman" w:cs="Times New Roman"/>
          <w:sz w:val="24"/>
          <w:szCs w:val="24"/>
          <w:lang w:eastAsia="x-none"/>
        </w:rPr>
        <w:t>W 202</w:t>
      </w:r>
      <w:r w:rsidR="003E3B06">
        <w:rPr>
          <w:rFonts w:ascii="Times New Roman" w:eastAsia="Times New Roman" w:hAnsi="Times New Roman" w:cs="Times New Roman"/>
          <w:sz w:val="24"/>
          <w:szCs w:val="24"/>
          <w:lang w:eastAsia="x-none"/>
        </w:rPr>
        <w:t>2</w:t>
      </w:r>
      <w:r w:rsidRPr="007F400A">
        <w:rPr>
          <w:rFonts w:ascii="Times New Roman" w:eastAsia="Times New Roman" w:hAnsi="Times New Roman" w:cs="Times New Roman"/>
          <w:sz w:val="24"/>
          <w:szCs w:val="24"/>
          <w:lang w:eastAsia="x-none"/>
        </w:rPr>
        <w:t xml:space="preserve"> roku przedstawiciele Głównego Inspektoratu Ochrony Środowiska wzięli udział w pracach następujących komitetów i grup roboczych:</w:t>
      </w:r>
    </w:p>
    <w:p w14:paraId="6FFBB75A" w14:textId="77777777" w:rsidR="00E66FE9" w:rsidRPr="007F400A" w:rsidRDefault="00E66FE9" w:rsidP="00D80FBD">
      <w:pPr>
        <w:spacing w:after="120" w:line="300" w:lineRule="atLeast"/>
        <w:jc w:val="both"/>
        <w:rPr>
          <w:rFonts w:ascii="Times New Roman" w:eastAsia="Times New Roman" w:hAnsi="Times New Roman" w:cs="Times New Roman"/>
          <w:b/>
          <w:sz w:val="24"/>
          <w:szCs w:val="24"/>
          <w:lang w:eastAsia="x-none"/>
        </w:rPr>
      </w:pPr>
      <w:r w:rsidRPr="007F400A">
        <w:rPr>
          <w:rFonts w:ascii="Times New Roman" w:eastAsia="Times New Roman" w:hAnsi="Times New Roman" w:cs="Times New Roman"/>
          <w:b/>
          <w:sz w:val="24"/>
          <w:szCs w:val="24"/>
          <w:lang w:eastAsia="x-none"/>
        </w:rPr>
        <w:t>3.1</w:t>
      </w:r>
      <w:r w:rsidRPr="007F400A">
        <w:rPr>
          <w:rFonts w:ascii="Times New Roman" w:eastAsia="Times New Roman" w:hAnsi="Times New Roman" w:cs="Times New Roman"/>
          <w:sz w:val="24"/>
          <w:szCs w:val="24"/>
          <w:lang w:eastAsia="x-none"/>
        </w:rPr>
        <w:t xml:space="preserve"> </w:t>
      </w:r>
      <w:r w:rsidRPr="007F400A">
        <w:rPr>
          <w:rFonts w:ascii="Times New Roman" w:hAnsi="Times New Roman" w:cs="Times New Roman"/>
          <w:b/>
          <w:sz w:val="24"/>
          <w:szCs w:val="24"/>
        </w:rPr>
        <w:t>Grupy ds. wdrażania Ramowej Dyrektywy Wodnej</w:t>
      </w:r>
    </w:p>
    <w:p w14:paraId="26B5E2FF" w14:textId="77777777" w:rsidR="00E66FE9" w:rsidRPr="007F400A" w:rsidRDefault="00E66FE9" w:rsidP="00D80FBD">
      <w:pPr>
        <w:spacing w:after="120" w:line="300" w:lineRule="atLeast"/>
        <w:jc w:val="both"/>
        <w:rPr>
          <w:rFonts w:ascii="Times New Roman" w:hAnsi="Times New Roman" w:cs="Times New Roman"/>
          <w:b/>
          <w:sz w:val="24"/>
          <w:szCs w:val="24"/>
        </w:rPr>
      </w:pPr>
      <w:r w:rsidRPr="007F400A">
        <w:rPr>
          <w:rFonts w:ascii="Times New Roman" w:hAnsi="Times New Roman" w:cs="Times New Roman"/>
          <w:b/>
          <w:sz w:val="24"/>
          <w:szCs w:val="24"/>
        </w:rPr>
        <w:t xml:space="preserve"> Grupa robocza ds. stanu ekologicznego</w:t>
      </w:r>
    </w:p>
    <w:p w14:paraId="2AD2084F" w14:textId="7EB53474" w:rsidR="00E66FE9" w:rsidRDefault="001D4741" w:rsidP="00D80FBD">
      <w:pPr>
        <w:spacing w:after="0" w:line="300" w:lineRule="atLeast"/>
        <w:ind w:firstLine="567"/>
        <w:jc w:val="both"/>
        <w:rPr>
          <w:rFonts w:ascii="Times New Roman" w:eastAsia="Times New Roman" w:hAnsi="Times New Roman" w:cs="Times New Roman"/>
          <w:sz w:val="24"/>
          <w:szCs w:val="24"/>
          <w:lang w:val="x-none" w:eastAsia="x-none"/>
        </w:rPr>
      </w:pPr>
      <w:r>
        <w:rPr>
          <w:rFonts w:ascii="Times New Roman" w:hAnsi="Times New Roman" w:cs="Times New Roman"/>
          <w:sz w:val="24"/>
          <w:szCs w:val="24"/>
        </w:rPr>
        <w:t>Przedstawiciele GIOŚ w</w:t>
      </w:r>
      <w:r w:rsidR="00EC1AD3" w:rsidRPr="003B5656">
        <w:rPr>
          <w:rFonts w:ascii="Times New Roman" w:hAnsi="Times New Roman" w:cs="Times New Roman"/>
          <w:sz w:val="24"/>
          <w:szCs w:val="24"/>
        </w:rPr>
        <w:t>zię</w:t>
      </w:r>
      <w:r>
        <w:rPr>
          <w:rFonts w:ascii="Times New Roman" w:hAnsi="Times New Roman" w:cs="Times New Roman"/>
          <w:sz w:val="24"/>
          <w:szCs w:val="24"/>
        </w:rPr>
        <w:t>li</w:t>
      </w:r>
      <w:r w:rsidR="00EC1AD3" w:rsidRPr="003B5656">
        <w:rPr>
          <w:rFonts w:ascii="Times New Roman" w:hAnsi="Times New Roman" w:cs="Times New Roman"/>
          <w:sz w:val="24"/>
          <w:szCs w:val="24"/>
        </w:rPr>
        <w:t xml:space="preserve"> udział online w dwóch spotkaniach grupy, podczas których przedstawiono stan prac podgrup zajmujących się </w:t>
      </w:r>
      <w:proofErr w:type="spellStart"/>
      <w:r w:rsidR="00EC1AD3" w:rsidRPr="003B5656">
        <w:rPr>
          <w:rFonts w:ascii="Times New Roman" w:hAnsi="Times New Roman" w:cs="Times New Roman"/>
          <w:sz w:val="24"/>
          <w:szCs w:val="24"/>
        </w:rPr>
        <w:t>interkalibracją</w:t>
      </w:r>
      <w:proofErr w:type="spellEnd"/>
      <w:r w:rsidR="00EC1AD3" w:rsidRPr="003B5656">
        <w:rPr>
          <w:rFonts w:ascii="Times New Roman" w:hAnsi="Times New Roman" w:cs="Times New Roman"/>
          <w:sz w:val="24"/>
          <w:szCs w:val="24"/>
        </w:rPr>
        <w:t xml:space="preserve"> metodyk rybnych w bardzo dużych rzekach i harmonizacją wskaźników zasolenia i zakwaszenia. Zatwierdzono podręcznik zarządzania osadami oraz przedstawiono m.in. projekty działań dotyczących ciągłości rzek </w:t>
      </w:r>
      <w:r>
        <w:rPr>
          <w:rFonts w:ascii="Times New Roman" w:hAnsi="Times New Roman" w:cs="Times New Roman"/>
          <w:sz w:val="24"/>
          <w:szCs w:val="24"/>
        </w:rPr>
        <w:br/>
      </w:r>
      <w:r w:rsidR="00EC1AD3" w:rsidRPr="003B5656">
        <w:rPr>
          <w:rFonts w:ascii="Times New Roman" w:hAnsi="Times New Roman" w:cs="Times New Roman"/>
          <w:sz w:val="24"/>
          <w:szCs w:val="24"/>
        </w:rPr>
        <w:lastRenderedPageBreak/>
        <w:t xml:space="preserve">i monitorowania </w:t>
      </w:r>
      <w:proofErr w:type="spellStart"/>
      <w:r w:rsidR="00EC1AD3" w:rsidRPr="003B5656">
        <w:rPr>
          <w:rFonts w:ascii="Times New Roman" w:hAnsi="Times New Roman" w:cs="Times New Roman"/>
          <w:sz w:val="24"/>
          <w:szCs w:val="24"/>
        </w:rPr>
        <w:t>mikroplastików</w:t>
      </w:r>
      <w:proofErr w:type="spellEnd"/>
      <w:r w:rsidR="00EC1AD3" w:rsidRPr="003B5656">
        <w:rPr>
          <w:rFonts w:ascii="Times New Roman" w:hAnsi="Times New Roman" w:cs="Times New Roman"/>
          <w:sz w:val="24"/>
          <w:szCs w:val="24"/>
        </w:rPr>
        <w:t xml:space="preserve">. Ponadto wzięto udział w pracach, w tym spotkaniach on-line grupy lub jej podgrup (łącznie kilka spotkań), omawiając m.in. kwestie dotyczące </w:t>
      </w:r>
      <w:proofErr w:type="spellStart"/>
      <w:r w:rsidR="00EC1AD3" w:rsidRPr="003B5656">
        <w:rPr>
          <w:rFonts w:ascii="Times New Roman" w:hAnsi="Times New Roman" w:cs="Times New Roman"/>
          <w:sz w:val="24"/>
          <w:szCs w:val="24"/>
        </w:rPr>
        <w:t>hydromorfologicznych</w:t>
      </w:r>
      <w:proofErr w:type="spellEnd"/>
      <w:r w:rsidR="00EC1AD3" w:rsidRPr="003B5656">
        <w:rPr>
          <w:rFonts w:ascii="Times New Roman" w:hAnsi="Times New Roman" w:cs="Times New Roman"/>
          <w:sz w:val="24"/>
          <w:szCs w:val="24"/>
        </w:rPr>
        <w:t xml:space="preserve"> elementów stanu ekologicznego wód przejściowych i przybrzeżnych</w:t>
      </w:r>
      <w:r w:rsidR="00E66FE9" w:rsidRPr="007F400A">
        <w:rPr>
          <w:rFonts w:ascii="Times New Roman" w:eastAsia="Times New Roman" w:hAnsi="Times New Roman" w:cs="Times New Roman"/>
          <w:sz w:val="24"/>
          <w:szCs w:val="24"/>
          <w:lang w:val="x-none" w:eastAsia="x-none"/>
        </w:rPr>
        <w:t xml:space="preserve">. </w:t>
      </w:r>
    </w:p>
    <w:p w14:paraId="5D587F65" w14:textId="77777777" w:rsidR="0044433B" w:rsidRDefault="0044433B" w:rsidP="00D80FBD">
      <w:pPr>
        <w:spacing w:after="0" w:line="300" w:lineRule="atLeast"/>
        <w:ind w:firstLine="567"/>
        <w:jc w:val="both"/>
        <w:rPr>
          <w:rFonts w:ascii="Times New Roman" w:eastAsia="Times New Roman" w:hAnsi="Times New Roman" w:cs="Times New Roman"/>
          <w:sz w:val="24"/>
          <w:szCs w:val="24"/>
          <w:lang w:val="x-none" w:eastAsia="x-none"/>
        </w:rPr>
      </w:pPr>
    </w:p>
    <w:p w14:paraId="569596F7" w14:textId="77777777" w:rsidR="00E66FE9" w:rsidRPr="007F400A" w:rsidRDefault="00E66FE9" w:rsidP="00D80FBD">
      <w:pPr>
        <w:spacing w:after="120" w:line="300" w:lineRule="atLeast"/>
        <w:ind w:hanging="142"/>
        <w:jc w:val="both"/>
        <w:rPr>
          <w:rFonts w:ascii="Times New Roman" w:hAnsi="Times New Roman" w:cs="Times New Roman"/>
          <w:b/>
          <w:sz w:val="24"/>
          <w:szCs w:val="24"/>
        </w:rPr>
      </w:pPr>
      <w:r w:rsidRPr="007F400A">
        <w:rPr>
          <w:rFonts w:ascii="Times New Roman" w:hAnsi="Times New Roman" w:cs="Times New Roman"/>
          <w:b/>
          <w:sz w:val="24"/>
          <w:szCs w:val="24"/>
        </w:rPr>
        <w:t xml:space="preserve"> Grupa robocza ds. chemikaliów</w:t>
      </w:r>
    </w:p>
    <w:p w14:paraId="43CD5A85" w14:textId="62A6F709" w:rsidR="00E66FE9" w:rsidRDefault="002D0FF2" w:rsidP="00D80FBD">
      <w:pPr>
        <w:spacing w:after="0" w:line="300" w:lineRule="atLeast"/>
        <w:ind w:firstLine="567"/>
        <w:jc w:val="both"/>
        <w:rPr>
          <w:rFonts w:ascii="Times New Roman" w:eastAsia="Calibri" w:hAnsi="Times New Roman" w:cs="Times New Roman"/>
          <w:sz w:val="24"/>
          <w:szCs w:val="24"/>
          <w:lang w:val="x-none" w:eastAsia="pl-PL"/>
        </w:rPr>
      </w:pPr>
      <w:r>
        <w:rPr>
          <w:rFonts w:ascii="Times New Roman" w:hAnsi="Times New Roman" w:cs="Times New Roman"/>
          <w:sz w:val="24"/>
          <w:szCs w:val="24"/>
        </w:rPr>
        <w:t>Przedstawiciele GIOŚ u</w:t>
      </w:r>
      <w:r w:rsidR="00EC1AD3" w:rsidRPr="003B5656">
        <w:rPr>
          <w:rFonts w:ascii="Times New Roman" w:hAnsi="Times New Roman" w:cs="Times New Roman"/>
          <w:sz w:val="24"/>
          <w:szCs w:val="24"/>
        </w:rPr>
        <w:t>czestnicz</w:t>
      </w:r>
      <w:r>
        <w:rPr>
          <w:rFonts w:ascii="Times New Roman" w:hAnsi="Times New Roman" w:cs="Times New Roman"/>
          <w:sz w:val="24"/>
          <w:szCs w:val="24"/>
        </w:rPr>
        <w:t>yli</w:t>
      </w:r>
      <w:r w:rsidR="00EC1AD3" w:rsidRPr="003B5656">
        <w:rPr>
          <w:rFonts w:ascii="Times New Roman" w:hAnsi="Times New Roman" w:cs="Times New Roman"/>
          <w:sz w:val="24"/>
          <w:szCs w:val="24"/>
        </w:rPr>
        <w:t xml:space="preserve"> w pracach</w:t>
      </w:r>
      <w:r>
        <w:rPr>
          <w:rFonts w:ascii="Times New Roman" w:hAnsi="Times New Roman" w:cs="Times New Roman"/>
          <w:sz w:val="24"/>
          <w:szCs w:val="24"/>
        </w:rPr>
        <w:t xml:space="preserve"> Grupy</w:t>
      </w:r>
      <w:r w:rsidR="00EC1AD3" w:rsidRPr="003B5656">
        <w:rPr>
          <w:rFonts w:ascii="Times New Roman" w:hAnsi="Times New Roman" w:cs="Times New Roman"/>
          <w:sz w:val="24"/>
          <w:szCs w:val="24"/>
        </w:rPr>
        <w:t xml:space="preserve">, w tym wszystkich trzech spotkaniach on-line, omawiając m.in. kwestie tzw. czwartej listy obserwacyjnej, rewizji listy substancji priorytetowych, w tym problem </w:t>
      </w:r>
      <w:proofErr w:type="spellStart"/>
      <w:r w:rsidR="00EC1AD3" w:rsidRPr="003B5656">
        <w:rPr>
          <w:rFonts w:ascii="Times New Roman" w:hAnsi="Times New Roman" w:cs="Times New Roman"/>
          <w:sz w:val="24"/>
          <w:szCs w:val="24"/>
        </w:rPr>
        <w:t>mikroplastików</w:t>
      </w:r>
      <w:proofErr w:type="spellEnd"/>
      <w:r w:rsidR="00EC1AD3" w:rsidRPr="003B5656">
        <w:rPr>
          <w:rFonts w:ascii="Times New Roman" w:hAnsi="Times New Roman" w:cs="Times New Roman"/>
          <w:sz w:val="24"/>
          <w:szCs w:val="24"/>
        </w:rPr>
        <w:t>, dalszych prac nad tzw. metodami opartymi na mierzeniu efektu</w:t>
      </w:r>
      <w:r w:rsidR="00E66FE9" w:rsidRPr="007F400A">
        <w:rPr>
          <w:rFonts w:ascii="Times New Roman" w:eastAsia="Calibri" w:hAnsi="Times New Roman" w:cs="Times New Roman"/>
          <w:sz w:val="24"/>
          <w:szCs w:val="24"/>
          <w:lang w:val="x-none" w:eastAsia="pl-PL"/>
        </w:rPr>
        <w:t>.</w:t>
      </w:r>
    </w:p>
    <w:p w14:paraId="05050CBD" w14:textId="77777777" w:rsidR="0044433B" w:rsidRPr="007F400A" w:rsidRDefault="0044433B" w:rsidP="00D80FBD">
      <w:pPr>
        <w:spacing w:after="0" w:line="300" w:lineRule="atLeast"/>
        <w:ind w:firstLine="567"/>
        <w:jc w:val="both"/>
        <w:rPr>
          <w:rFonts w:ascii="Times New Roman" w:eastAsia="Calibri" w:hAnsi="Times New Roman" w:cs="Times New Roman"/>
          <w:sz w:val="24"/>
          <w:szCs w:val="24"/>
          <w:lang w:val="x-none" w:eastAsia="pl-PL"/>
        </w:rPr>
      </w:pPr>
    </w:p>
    <w:p w14:paraId="38168386" w14:textId="77777777" w:rsidR="00E66FE9" w:rsidRPr="007F400A" w:rsidRDefault="00E66FE9" w:rsidP="00D80FBD">
      <w:pPr>
        <w:spacing w:after="60" w:line="300" w:lineRule="atLeast"/>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b/>
          <w:sz w:val="24"/>
          <w:szCs w:val="24"/>
          <w:lang w:val="x-none" w:eastAsia="pl-PL"/>
        </w:rPr>
        <w:t>Grupa robocza ds. wód podziemnych</w:t>
      </w:r>
      <w:r w:rsidRPr="007F400A">
        <w:rPr>
          <w:rFonts w:ascii="Times New Roman" w:eastAsia="Calibri" w:hAnsi="Times New Roman" w:cs="Times New Roman"/>
          <w:sz w:val="24"/>
          <w:szCs w:val="24"/>
          <w:lang w:val="x-none" w:eastAsia="pl-PL"/>
        </w:rPr>
        <w:t xml:space="preserve"> (powołana pierwotnie dla wsparcia wdrażania dyrektywy dotyczącej wód podziemnych) </w:t>
      </w:r>
    </w:p>
    <w:p w14:paraId="52C07209" w14:textId="69BB47B5" w:rsidR="00E66FE9" w:rsidRPr="007F400A" w:rsidRDefault="002D0FF2" w:rsidP="00D80FBD">
      <w:pPr>
        <w:spacing w:before="120" w:after="0" w:line="300" w:lineRule="atLeast"/>
        <w:ind w:firstLine="567"/>
        <w:jc w:val="both"/>
        <w:rPr>
          <w:rFonts w:ascii="Times New Roman" w:hAnsi="Times New Roman" w:cs="Times New Roman"/>
          <w:sz w:val="24"/>
          <w:szCs w:val="24"/>
        </w:rPr>
      </w:pPr>
      <w:r>
        <w:rPr>
          <w:rFonts w:ascii="Times New Roman" w:hAnsi="Times New Roman" w:cs="Times New Roman"/>
          <w:sz w:val="24"/>
          <w:szCs w:val="24"/>
        </w:rPr>
        <w:t>Przedstawiciele GIOŚ u</w:t>
      </w:r>
      <w:r w:rsidR="00EC1AD3" w:rsidRPr="003B5656">
        <w:rPr>
          <w:rFonts w:ascii="Times New Roman" w:hAnsi="Times New Roman" w:cs="Times New Roman"/>
          <w:sz w:val="24"/>
          <w:szCs w:val="24"/>
        </w:rPr>
        <w:t>czestnicz</w:t>
      </w:r>
      <w:r>
        <w:rPr>
          <w:rFonts w:ascii="Times New Roman" w:hAnsi="Times New Roman" w:cs="Times New Roman"/>
          <w:sz w:val="24"/>
          <w:szCs w:val="24"/>
        </w:rPr>
        <w:t>yli</w:t>
      </w:r>
      <w:r w:rsidR="00EC1AD3" w:rsidRPr="003B5656">
        <w:rPr>
          <w:rFonts w:ascii="Times New Roman" w:hAnsi="Times New Roman" w:cs="Times New Roman"/>
          <w:sz w:val="24"/>
          <w:szCs w:val="24"/>
        </w:rPr>
        <w:t xml:space="preserve"> w pracach, w tym w obydwu spotkaniach on-line grupy. Omawiano propozycje zmian załącznika I </w:t>
      </w:r>
      <w:proofErr w:type="spellStart"/>
      <w:r w:rsidR="00EC1AD3" w:rsidRPr="003B5656">
        <w:rPr>
          <w:rFonts w:ascii="Times New Roman" w:hAnsi="Times New Roman" w:cs="Times New Roman"/>
          <w:sz w:val="24"/>
          <w:szCs w:val="24"/>
        </w:rPr>
        <w:t>i</w:t>
      </w:r>
      <w:proofErr w:type="spellEnd"/>
      <w:r w:rsidR="00EC1AD3" w:rsidRPr="003B5656">
        <w:rPr>
          <w:rFonts w:ascii="Times New Roman" w:hAnsi="Times New Roman" w:cs="Times New Roman"/>
          <w:sz w:val="24"/>
          <w:szCs w:val="24"/>
        </w:rPr>
        <w:t xml:space="preserve"> II dyrektywy dot</w:t>
      </w:r>
      <w:r>
        <w:rPr>
          <w:rFonts w:ascii="Times New Roman" w:hAnsi="Times New Roman" w:cs="Times New Roman"/>
          <w:sz w:val="24"/>
          <w:szCs w:val="24"/>
        </w:rPr>
        <w:t>yczących</w:t>
      </w:r>
      <w:r w:rsidR="00EC1AD3" w:rsidRPr="003B5656">
        <w:rPr>
          <w:rFonts w:ascii="Times New Roman" w:hAnsi="Times New Roman" w:cs="Times New Roman"/>
          <w:sz w:val="24"/>
          <w:szCs w:val="24"/>
        </w:rPr>
        <w:t xml:space="preserve"> wód podziemnych oraz zagadnie</w:t>
      </w:r>
      <w:r>
        <w:rPr>
          <w:rFonts w:ascii="Times New Roman" w:hAnsi="Times New Roman" w:cs="Times New Roman"/>
          <w:sz w:val="24"/>
          <w:szCs w:val="24"/>
        </w:rPr>
        <w:t>ń</w:t>
      </w:r>
      <w:r w:rsidR="00EC1AD3" w:rsidRPr="003B5656">
        <w:rPr>
          <w:rFonts w:ascii="Times New Roman" w:hAnsi="Times New Roman" w:cs="Times New Roman"/>
          <w:sz w:val="24"/>
          <w:szCs w:val="24"/>
        </w:rPr>
        <w:t>: uwzględnieni</w:t>
      </w:r>
      <w:r>
        <w:rPr>
          <w:rFonts w:ascii="Times New Roman" w:hAnsi="Times New Roman" w:cs="Times New Roman"/>
          <w:sz w:val="24"/>
          <w:szCs w:val="24"/>
        </w:rPr>
        <w:t>a</w:t>
      </w:r>
      <w:r w:rsidR="00EC1AD3" w:rsidRPr="003B5656">
        <w:rPr>
          <w:rFonts w:ascii="Times New Roman" w:hAnsi="Times New Roman" w:cs="Times New Roman"/>
          <w:sz w:val="24"/>
          <w:szCs w:val="24"/>
        </w:rPr>
        <w:t xml:space="preserve"> wpływu zmian klimatu na stan ww. wód, sztucznego ich zasilania,  integracji zarządzania wodami podziemnymi i wodami do picia. Przygotowano propozycje badań kolejnych nowych grup substancji w ramach dobrowolnej listy obserwacyjnej oraz kontynuowano prace dot</w:t>
      </w:r>
      <w:r>
        <w:rPr>
          <w:rFonts w:ascii="Times New Roman" w:hAnsi="Times New Roman" w:cs="Times New Roman"/>
          <w:sz w:val="24"/>
          <w:szCs w:val="24"/>
        </w:rPr>
        <w:t>yczące</w:t>
      </w:r>
      <w:r w:rsidR="00EC1AD3" w:rsidRPr="003B5656">
        <w:rPr>
          <w:rFonts w:ascii="Times New Roman" w:hAnsi="Times New Roman" w:cs="Times New Roman"/>
          <w:sz w:val="24"/>
          <w:szCs w:val="24"/>
        </w:rPr>
        <w:t xml:space="preserve"> wartości progowych dobrego stanu chemicznego oraz dot</w:t>
      </w:r>
      <w:r>
        <w:rPr>
          <w:rFonts w:ascii="Times New Roman" w:hAnsi="Times New Roman" w:cs="Times New Roman"/>
          <w:sz w:val="24"/>
          <w:szCs w:val="24"/>
        </w:rPr>
        <w:t>yczące</w:t>
      </w:r>
      <w:r w:rsidR="00EC1AD3" w:rsidRPr="003B5656">
        <w:rPr>
          <w:rFonts w:ascii="Times New Roman" w:hAnsi="Times New Roman" w:cs="Times New Roman"/>
          <w:sz w:val="24"/>
          <w:szCs w:val="24"/>
        </w:rPr>
        <w:t xml:space="preserve"> wskaźników odzwierciedlających postęp w jego osiąganiu. Uczestniczono w warsztatach on-line dotyczących planowanej rewizji list zanieczyszczeń oddziaływujących na wody powierzchniowe i podziemne</w:t>
      </w:r>
      <w:r w:rsidR="00E66FE9" w:rsidRPr="007F400A">
        <w:rPr>
          <w:rFonts w:ascii="Times New Roman" w:hAnsi="Times New Roman" w:cs="Times New Roman"/>
          <w:sz w:val="24"/>
          <w:szCs w:val="24"/>
        </w:rPr>
        <w:t>.</w:t>
      </w:r>
    </w:p>
    <w:p w14:paraId="3BE3B29D" w14:textId="77777777" w:rsidR="00E66FE9" w:rsidRPr="007F400A" w:rsidRDefault="00E66FE9" w:rsidP="00D80FBD">
      <w:pPr>
        <w:spacing w:after="0" w:line="300" w:lineRule="atLeast"/>
        <w:ind w:firstLine="567"/>
        <w:contextualSpacing/>
        <w:jc w:val="both"/>
        <w:rPr>
          <w:rFonts w:ascii="Times New Roman" w:eastAsia="Calibri" w:hAnsi="Times New Roman" w:cs="Times New Roman"/>
          <w:sz w:val="24"/>
          <w:szCs w:val="24"/>
          <w:lang w:val="x-none" w:eastAsia="pl-PL"/>
        </w:rPr>
      </w:pPr>
      <w:r w:rsidRPr="007F400A">
        <w:rPr>
          <w:rFonts w:ascii="Times New Roman" w:eastAsia="Calibri" w:hAnsi="Times New Roman" w:cs="Times New Roman"/>
          <w:sz w:val="24"/>
          <w:szCs w:val="24"/>
          <w:lang w:val="x-none" w:eastAsia="pl-PL"/>
        </w:rPr>
        <w:t xml:space="preserve"> </w:t>
      </w:r>
    </w:p>
    <w:p w14:paraId="294807BB" w14:textId="77777777" w:rsidR="00E66FE9" w:rsidRPr="007F400A" w:rsidRDefault="00E66FE9" w:rsidP="00D80FBD">
      <w:pPr>
        <w:spacing w:after="120" w:line="300" w:lineRule="atLeast"/>
        <w:jc w:val="both"/>
        <w:rPr>
          <w:rFonts w:ascii="Times New Roman" w:eastAsia="Calibri" w:hAnsi="Times New Roman" w:cs="Times New Roman"/>
          <w:b/>
          <w:sz w:val="24"/>
          <w:szCs w:val="24"/>
          <w:lang w:val="x-none" w:eastAsia="pl-PL"/>
        </w:rPr>
      </w:pPr>
      <w:r w:rsidRPr="007F400A">
        <w:rPr>
          <w:rFonts w:ascii="Times New Roman" w:eastAsia="Calibri" w:hAnsi="Times New Roman" w:cs="Times New Roman"/>
          <w:b/>
          <w:sz w:val="24"/>
          <w:szCs w:val="24"/>
          <w:lang w:val="x-none" w:eastAsia="pl-PL"/>
        </w:rPr>
        <w:t xml:space="preserve">3.2 </w:t>
      </w:r>
      <w:r w:rsidRPr="007F400A">
        <w:rPr>
          <w:rFonts w:ascii="Times New Roman" w:hAnsi="Times New Roman" w:cs="Times New Roman"/>
          <w:b/>
          <w:sz w:val="24"/>
          <w:szCs w:val="24"/>
        </w:rPr>
        <w:t xml:space="preserve">Grupy ds. wdrażania Ramowej Dyrektywy w sprawie Strategii Morskiej </w:t>
      </w:r>
    </w:p>
    <w:p w14:paraId="4B5D4A7A" w14:textId="77777777" w:rsidR="00E66FE9" w:rsidRPr="007F400A" w:rsidRDefault="00E66FE9" w:rsidP="00D80FBD">
      <w:pPr>
        <w:spacing w:after="120" w:line="300" w:lineRule="atLeast"/>
        <w:jc w:val="both"/>
        <w:rPr>
          <w:rFonts w:ascii="Times New Roman" w:hAnsi="Times New Roman" w:cs="Times New Roman"/>
          <w:b/>
          <w:sz w:val="24"/>
          <w:szCs w:val="24"/>
        </w:rPr>
      </w:pPr>
      <w:r w:rsidRPr="007F400A">
        <w:rPr>
          <w:rFonts w:ascii="Times New Roman" w:hAnsi="Times New Roman" w:cs="Times New Roman"/>
          <w:b/>
          <w:sz w:val="24"/>
          <w:szCs w:val="24"/>
        </w:rPr>
        <w:t>Grupa robocza ds. dobrego stanu środowiska</w:t>
      </w:r>
    </w:p>
    <w:p w14:paraId="169BEBC8" w14:textId="77777777" w:rsidR="002D0FF2" w:rsidRDefault="00EC1AD3" w:rsidP="00D80FBD">
      <w:pPr>
        <w:spacing w:after="0" w:line="300" w:lineRule="atLeast"/>
        <w:ind w:firstLine="567"/>
        <w:jc w:val="both"/>
        <w:rPr>
          <w:rFonts w:ascii="Times New Roman" w:hAnsi="Times New Roman" w:cs="Times New Roman"/>
          <w:sz w:val="24"/>
          <w:szCs w:val="24"/>
        </w:rPr>
      </w:pPr>
      <w:r w:rsidRPr="003B5656">
        <w:rPr>
          <w:rFonts w:ascii="Times New Roman" w:hAnsi="Times New Roman" w:cs="Times New Roman"/>
          <w:sz w:val="24"/>
          <w:szCs w:val="24"/>
        </w:rPr>
        <w:t>Koordynowan</w:t>
      </w:r>
      <w:r w:rsidR="002D0FF2">
        <w:rPr>
          <w:rFonts w:ascii="Times New Roman" w:hAnsi="Times New Roman" w:cs="Times New Roman"/>
          <w:sz w:val="24"/>
          <w:szCs w:val="24"/>
        </w:rPr>
        <w:t>a</w:t>
      </w:r>
      <w:r w:rsidRPr="003B5656">
        <w:rPr>
          <w:rFonts w:ascii="Times New Roman" w:hAnsi="Times New Roman" w:cs="Times New Roman"/>
          <w:sz w:val="24"/>
          <w:szCs w:val="24"/>
        </w:rPr>
        <w:t xml:space="preserve"> </w:t>
      </w:r>
      <w:r w:rsidR="002D0FF2">
        <w:rPr>
          <w:rFonts w:ascii="Times New Roman" w:hAnsi="Times New Roman" w:cs="Times New Roman"/>
          <w:sz w:val="24"/>
          <w:szCs w:val="24"/>
        </w:rPr>
        <w:t xml:space="preserve">była </w:t>
      </w:r>
      <w:r w:rsidRPr="003B5656">
        <w:rPr>
          <w:rFonts w:ascii="Times New Roman" w:hAnsi="Times New Roman" w:cs="Times New Roman"/>
          <w:sz w:val="24"/>
          <w:szCs w:val="24"/>
        </w:rPr>
        <w:t>współprac</w:t>
      </w:r>
      <w:r w:rsidR="002D0FF2">
        <w:rPr>
          <w:rFonts w:ascii="Times New Roman" w:hAnsi="Times New Roman" w:cs="Times New Roman"/>
          <w:sz w:val="24"/>
          <w:szCs w:val="24"/>
        </w:rPr>
        <w:t>a</w:t>
      </w:r>
      <w:r w:rsidRPr="003B5656">
        <w:rPr>
          <w:rFonts w:ascii="Times New Roman" w:hAnsi="Times New Roman" w:cs="Times New Roman"/>
          <w:sz w:val="24"/>
          <w:szCs w:val="24"/>
        </w:rPr>
        <w:t xml:space="preserve"> ekspertów w zakresie wymienionych w dyrektywie wskaźników dotyczących: różnorodności biologicznej, gatunków obcych, eutrofizacji, jednorodności dna morskiego, substancji niebezpiecznych, odpadów w środowisku morskim, hałasu podwodnego. Zakończono prace nad uaktualnieniem przewodnika do raportowania </w:t>
      </w:r>
      <w:r>
        <w:rPr>
          <w:rFonts w:ascii="Times New Roman" w:hAnsi="Times New Roman" w:cs="Times New Roman"/>
          <w:sz w:val="24"/>
          <w:szCs w:val="24"/>
        </w:rPr>
        <w:br/>
      </w:r>
      <w:r w:rsidRPr="003B5656">
        <w:rPr>
          <w:rFonts w:ascii="Times New Roman" w:hAnsi="Times New Roman" w:cs="Times New Roman"/>
          <w:sz w:val="24"/>
          <w:szCs w:val="24"/>
        </w:rPr>
        <w:t xml:space="preserve">z artykułów 8 i 9 dyrektywy, który w maju został przyjęty przez grupę koordynacyjną </w:t>
      </w:r>
      <w:r w:rsidR="002D0FF2">
        <w:rPr>
          <w:rFonts w:ascii="Times New Roman" w:hAnsi="Times New Roman" w:cs="Times New Roman"/>
          <w:sz w:val="24"/>
          <w:szCs w:val="24"/>
        </w:rPr>
        <w:br/>
      </w:r>
      <w:r w:rsidRPr="003B5656">
        <w:rPr>
          <w:rFonts w:ascii="Times New Roman" w:hAnsi="Times New Roman" w:cs="Times New Roman"/>
          <w:sz w:val="24"/>
          <w:szCs w:val="24"/>
        </w:rPr>
        <w:t xml:space="preserve">ds. wdrażania strategii morskiej. Kontynuowano prace w zakresie cech, dla których do kwietnia 2022 roku nie zakończono aktualizacji przewodnika do wykonania oceny. Uczestniczono także w pracach dodatkowo powołanej grupy tematycznej w celu wsparcia rewizji podejścia do oceny stanu środowiska wód morskich, zajmującej się kwestiami horyzontalnymi. Łącznie </w:t>
      </w:r>
      <w:r w:rsidR="002D0FF2">
        <w:rPr>
          <w:rFonts w:ascii="Times New Roman" w:hAnsi="Times New Roman" w:cs="Times New Roman"/>
          <w:sz w:val="24"/>
          <w:szCs w:val="24"/>
        </w:rPr>
        <w:t xml:space="preserve">przedstawiciele GIOŚ </w:t>
      </w:r>
      <w:r w:rsidRPr="003B5656">
        <w:rPr>
          <w:rFonts w:ascii="Times New Roman" w:hAnsi="Times New Roman" w:cs="Times New Roman"/>
          <w:sz w:val="24"/>
          <w:szCs w:val="24"/>
        </w:rPr>
        <w:t>uczestnicz</w:t>
      </w:r>
      <w:r w:rsidR="002D0FF2">
        <w:rPr>
          <w:rFonts w:ascii="Times New Roman" w:hAnsi="Times New Roman" w:cs="Times New Roman"/>
          <w:sz w:val="24"/>
          <w:szCs w:val="24"/>
        </w:rPr>
        <w:t>yli</w:t>
      </w:r>
      <w:r w:rsidRPr="003B5656">
        <w:rPr>
          <w:rFonts w:ascii="Times New Roman" w:hAnsi="Times New Roman" w:cs="Times New Roman"/>
          <w:sz w:val="24"/>
          <w:szCs w:val="24"/>
        </w:rPr>
        <w:t xml:space="preserve"> w czterech spotkaniach on-line</w:t>
      </w:r>
      <w:r w:rsidR="00E66FE9" w:rsidRPr="007F400A">
        <w:rPr>
          <w:rFonts w:ascii="Times New Roman" w:hAnsi="Times New Roman" w:cs="Times New Roman"/>
          <w:sz w:val="24"/>
          <w:szCs w:val="24"/>
        </w:rPr>
        <w:t>.</w:t>
      </w:r>
    </w:p>
    <w:p w14:paraId="54FF1757" w14:textId="5B95A305" w:rsidR="00E66FE9" w:rsidRPr="007F400A" w:rsidRDefault="00E66FE9" w:rsidP="00D80FBD">
      <w:pPr>
        <w:spacing w:after="0" w:line="300" w:lineRule="atLeast"/>
        <w:ind w:firstLine="567"/>
        <w:jc w:val="both"/>
        <w:rPr>
          <w:rFonts w:ascii="Times New Roman" w:hAnsi="Times New Roman" w:cs="Times New Roman"/>
          <w:sz w:val="24"/>
          <w:szCs w:val="24"/>
        </w:rPr>
      </w:pPr>
      <w:r w:rsidRPr="007F400A">
        <w:rPr>
          <w:rFonts w:ascii="Times New Roman" w:hAnsi="Times New Roman" w:cs="Times New Roman"/>
          <w:sz w:val="24"/>
          <w:szCs w:val="24"/>
        </w:rPr>
        <w:t xml:space="preserve"> </w:t>
      </w:r>
    </w:p>
    <w:p w14:paraId="592F4975" w14:textId="77777777" w:rsidR="00E66FE9" w:rsidRPr="007F400A" w:rsidRDefault="00E66FE9" w:rsidP="00D80FBD">
      <w:pPr>
        <w:spacing w:after="120" w:line="300" w:lineRule="atLeast"/>
        <w:jc w:val="both"/>
        <w:rPr>
          <w:rFonts w:ascii="Times New Roman" w:hAnsi="Times New Roman" w:cs="Times New Roman"/>
          <w:color w:val="000000"/>
          <w:sz w:val="24"/>
          <w:szCs w:val="24"/>
        </w:rPr>
      </w:pPr>
      <w:r w:rsidRPr="007F400A">
        <w:rPr>
          <w:rFonts w:ascii="Times New Roman" w:hAnsi="Times New Roman" w:cs="Times New Roman"/>
          <w:b/>
          <w:sz w:val="24"/>
          <w:szCs w:val="24"/>
        </w:rPr>
        <w:t xml:space="preserve">Grupa techniczna ds. wód morskich </w:t>
      </w:r>
    </w:p>
    <w:p w14:paraId="0621FA14" w14:textId="4B30426C" w:rsidR="00E66FE9" w:rsidRDefault="001C2C7F" w:rsidP="00D80FBD">
      <w:pPr>
        <w:spacing w:after="0" w:line="300" w:lineRule="atLeast"/>
        <w:ind w:firstLine="567"/>
        <w:jc w:val="both"/>
        <w:rPr>
          <w:rFonts w:ascii="Times New Roman" w:hAnsi="Times New Roman" w:cs="Times New Roman"/>
          <w:sz w:val="24"/>
          <w:szCs w:val="24"/>
        </w:rPr>
      </w:pPr>
      <w:r w:rsidRPr="003B5656">
        <w:rPr>
          <w:rFonts w:ascii="Times New Roman" w:hAnsi="Times New Roman" w:cs="Times New Roman"/>
          <w:sz w:val="24"/>
          <w:szCs w:val="24"/>
        </w:rPr>
        <w:t>Kontynuowan</w:t>
      </w:r>
      <w:r w:rsidR="002D0FF2">
        <w:rPr>
          <w:rFonts w:ascii="Times New Roman" w:hAnsi="Times New Roman" w:cs="Times New Roman"/>
          <w:sz w:val="24"/>
          <w:szCs w:val="24"/>
        </w:rPr>
        <w:t>a</w:t>
      </w:r>
      <w:r w:rsidRPr="003B5656">
        <w:rPr>
          <w:rFonts w:ascii="Times New Roman" w:hAnsi="Times New Roman" w:cs="Times New Roman"/>
          <w:sz w:val="24"/>
          <w:szCs w:val="24"/>
        </w:rPr>
        <w:t xml:space="preserve"> </w:t>
      </w:r>
      <w:r w:rsidR="002D0FF2">
        <w:rPr>
          <w:rFonts w:ascii="Times New Roman" w:hAnsi="Times New Roman" w:cs="Times New Roman"/>
          <w:sz w:val="24"/>
          <w:szCs w:val="24"/>
        </w:rPr>
        <w:t xml:space="preserve">była </w:t>
      </w:r>
      <w:r w:rsidRPr="003B5656">
        <w:rPr>
          <w:rFonts w:ascii="Times New Roman" w:hAnsi="Times New Roman" w:cs="Times New Roman"/>
          <w:sz w:val="24"/>
          <w:szCs w:val="24"/>
        </w:rPr>
        <w:t>współprac</w:t>
      </w:r>
      <w:r w:rsidR="002D0FF2">
        <w:rPr>
          <w:rFonts w:ascii="Times New Roman" w:hAnsi="Times New Roman" w:cs="Times New Roman"/>
          <w:sz w:val="24"/>
          <w:szCs w:val="24"/>
        </w:rPr>
        <w:t>a</w:t>
      </w:r>
      <w:r w:rsidRPr="003B5656">
        <w:rPr>
          <w:rFonts w:ascii="Times New Roman" w:hAnsi="Times New Roman" w:cs="Times New Roman"/>
          <w:sz w:val="24"/>
          <w:szCs w:val="24"/>
        </w:rPr>
        <w:t>, drogą korespondencyjną, przy opracowywaniu założeń technicznych do wykonywania wymaganego ww. dyrektywą raportowania dotyczącego aktualizacji programu monitoringu wód morskich i zgodnego ze standardami dyrektywy INSPIRE</w:t>
      </w:r>
      <w:r w:rsidR="00E66FE9" w:rsidRPr="007F400A">
        <w:rPr>
          <w:rFonts w:ascii="Times New Roman" w:hAnsi="Times New Roman" w:cs="Times New Roman"/>
          <w:sz w:val="24"/>
          <w:szCs w:val="24"/>
        </w:rPr>
        <w:t xml:space="preserve">. </w:t>
      </w:r>
    </w:p>
    <w:p w14:paraId="1571034D" w14:textId="77777777" w:rsidR="002D0FF2" w:rsidRPr="007F400A" w:rsidRDefault="002D0FF2" w:rsidP="00D80FBD">
      <w:pPr>
        <w:spacing w:after="0" w:line="300" w:lineRule="atLeast"/>
        <w:ind w:firstLine="567"/>
        <w:jc w:val="both"/>
        <w:rPr>
          <w:rFonts w:ascii="Times New Roman" w:hAnsi="Times New Roman" w:cs="Times New Roman"/>
          <w:sz w:val="24"/>
          <w:szCs w:val="24"/>
        </w:rPr>
      </w:pPr>
    </w:p>
    <w:p w14:paraId="60838C4F" w14:textId="77777777" w:rsidR="00E66FE9" w:rsidRPr="007F400A" w:rsidRDefault="00E66FE9" w:rsidP="00D80FBD">
      <w:pPr>
        <w:spacing w:after="120" w:line="300" w:lineRule="atLeast"/>
        <w:jc w:val="both"/>
        <w:rPr>
          <w:rFonts w:ascii="Times New Roman" w:hAnsi="Times New Roman" w:cs="Times New Roman"/>
          <w:b/>
          <w:sz w:val="24"/>
          <w:szCs w:val="24"/>
        </w:rPr>
      </w:pPr>
      <w:r w:rsidRPr="007F400A">
        <w:rPr>
          <w:rFonts w:ascii="Times New Roman" w:hAnsi="Times New Roman" w:cs="Times New Roman"/>
          <w:b/>
          <w:sz w:val="24"/>
          <w:szCs w:val="24"/>
        </w:rPr>
        <w:t>Grupa robocza ds. wymiany danych, informacji i wiedzy</w:t>
      </w:r>
    </w:p>
    <w:p w14:paraId="31AA91A2" w14:textId="0A2D4ED7" w:rsidR="00E66FE9" w:rsidRPr="007F400A" w:rsidRDefault="002B7361" w:rsidP="00D80FBD">
      <w:pPr>
        <w:spacing w:after="0" w:line="300" w:lineRule="atLeast"/>
        <w:ind w:firstLine="567"/>
        <w:jc w:val="both"/>
        <w:rPr>
          <w:rFonts w:ascii="Times New Roman" w:eastAsia="Calibri" w:hAnsi="Times New Roman" w:cs="Times New Roman"/>
          <w:sz w:val="24"/>
          <w:szCs w:val="24"/>
          <w:lang w:val="x-none" w:eastAsia="pl-PL"/>
        </w:rPr>
      </w:pPr>
      <w:r w:rsidRPr="003B5656">
        <w:rPr>
          <w:rFonts w:ascii="Times New Roman" w:hAnsi="Times New Roman" w:cs="Times New Roman"/>
          <w:sz w:val="24"/>
          <w:szCs w:val="24"/>
        </w:rPr>
        <w:t>Kontynuowan</w:t>
      </w:r>
      <w:r w:rsidR="002D0FF2">
        <w:rPr>
          <w:rFonts w:ascii="Times New Roman" w:hAnsi="Times New Roman" w:cs="Times New Roman"/>
          <w:sz w:val="24"/>
          <w:szCs w:val="24"/>
        </w:rPr>
        <w:t>a</w:t>
      </w:r>
      <w:r w:rsidRPr="003B5656">
        <w:rPr>
          <w:rFonts w:ascii="Times New Roman" w:hAnsi="Times New Roman" w:cs="Times New Roman"/>
          <w:sz w:val="24"/>
          <w:szCs w:val="24"/>
        </w:rPr>
        <w:t xml:space="preserve"> </w:t>
      </w:r>
      <w:r w:rsidR="002D0FF2">
        <w:rPr>
          <w:rFonts w:ascii="Times New Roman" w:hAnsi="Times New Roman" w:cs="Times New Roman"/>
          <w:sz w:val="24"/>
          <w:szCs w:val="24"/>
        </w:rPr>
        <w:t xml:space="preserve">była </w:t>
      </w:r>
      <w:r w:rsidRPr="003B5656">
        <w:rPr>
          <w:rFonts w:ascii="Times New Roman" w:hAnsi="Times New Roman" w:cs="Times New Roman"/>
          <w:sz w:val="24"/>
          <w:szCs w:val="24"/>
        </w:rPr>
        <w:t>współprac</w:t>
      </w:r>
      <w:r w:rsidR="002D0FF2">
        <w:rPr>
          <w:rFonts w:ascii="Times New Roman" w:hAnsi="Times New Roman" w:cs="Times New Roman"/>
          <w:sz w:val="24"/>
          <w:szCs w:val="24"/>
        </w:rPr>
        <w:t>a</w:t>
      </w:r>
      <w:r w:rsidRPr="003B5656">
        <w:rPr>
          <w:rFonts w:ascii="Times New Roman" w:hAnsi="Times New Roman" w:cs="Times New Roman"/>
          <w:sz w:val="24"/>
          <w:szCs w:val="24"/>
        </w:rPr>
        <w:t xml:space="preserve"> w zakresie odnoszącym się do wymaganej ww. dyrektywą sprawozdawczości, a w szczególności konsult</w:t>
      </w:r>
      <w:r w:rsidR="002D0FF2">
        <w:rPr>
          <w:rFonts w:ascii="Times New Roman" w:hAnsi="Times New Roman" w:cs="Times New Roman"/>
          <w:sz w:val="24"/>
          <w:szCs w:val="24"/>
        </w:rPr>
        <w:t>acjom poddany został</w:t>
      </w:r>
      <w:r w:rsidRPr="003B5656">
        <w:rPr>
          <w:rFonts w:ascii="Times New Roman" w:hAnsi="Times New Roman" w:cs="Times New Roman"/>
          <w:sz w:val="24"/>
          <w:szCs w:val="24"/>
        </w:rPr>
        <w:t xml:space="preserve"> projekt </w:t>
      </w:r>
      <w:r w:rsidRPr="003B5656">
        <w:rPr>
          <w:rFonts w:ascii="Times New Roman" w:hAnsi="Times New Roman" w:cs="Times New Roman"/>
          <w:sz w:val="24"/>
          <w:szCs w:val="24"/>
        </w:rPr>
        <w:lastRenderedPageBreak/>
        <w:t>aktualizowanego przewodnika oraz struktur</w:t>
      </w:r>
      <w:r w:rsidR="002D0FF2">
        <w:rPr>
          <w:rFonts w:ascii="Times New Roman" w:hAnsi="Times New Roman" w:cs="Times New Roman"/>
          <w:sz w:val="24"/>
          <w:szCs w:val="24"/>
        </w:rPr>
        <w:t>a</w:t>
      </w:r>
      <w:r w:rsidRPr="003B5656">
        <w:rPr>
          <w:rFonts w:ascii="Times New Roman" w:hAnsi="Times New Roman" w:cs="Times New Roman"/>
          <w:sz w:val="24"/>
          <w:szCs w:val="24"/>
        </w:rPr>
        <w:t xml:space="preserve"> formularzy do raportowania. Odbyły się dwa spotkania on-line</w:t>
      </w:r>
      <w:r w:rsidR="00E66FE9" w:rsidRPr="007F400A">
        <w:rPr>
          <w:rFonts w:ascii="Times New Roman" w:eastAsia="Calibri" w:hAnsi="Times New Roman" w:cs="Times New Roman"/>
          <w:sz w:val="24"/>
          <w:szCs w:val="24"/>
          <w:lang w:val="x-none" w:eastAsia="pl-PL"/>
        </w:rPr>
        <w:t>.</w:t>
      </w:r>
    </w:p>
    <w:p w14:paraId="1628E7CB" w14:textId="3A511829" w:rsidR="00E66FE9" w:rsidRPr="007F400A" w:rsidRDefault="00E66FE9" w:rsidP="00D80FBD">
      <w:pPr>
        <w:spacing w:after="0" w:line="300" w:lineRule="atLeast"/>
        <w:contextualSpacing/>
        <w:jc w:val="both"/>
        <w:rPr>
          <w:rFonts w:ascii="Times New Roman" w:eastAsia="Calibri" w:hAnsi="Times New Roman" w:cs="Times New Roman"/>
          <w:sz w:val="24"/>
          <w:szCs w:val="24"/>
          <w:lang w:val="x-none" w:eastAsia="pl-PL"/>
        </w:rPr>
      </w:pPr>
    </w:p>
    <w:p w14:paraId="1AA0ED34" w14:textId="77777777" w:rsidR="00E66FE9" w:rsidRPr="007F400A" w:rsidRDefault="00E66FE9" w:rsidP="00D80FBD">
      <w:pPr>
        <w:spacing w:after="120" w:line="300" w:lineRule="atLeast"/>
        <w:jc w:val="both"/>
        <w:rPr>
          <w:rFonts w:ascii="Times New Roman" w:eastAsia="Times New Roman" w:hAnsi="Times New Roman" w:cs="Times New Roman"/>
          <w:sz w:val="24"/>
          <w:szCs w:val="24"/>
          <w:lang w:val="x-none" w:eastAsia="x-none"/>
        </w:rPr>
      </w:pPr>
      <w:r w:rsidRPr="007F400A">
        <w:rPr>
          <w:rFonts w:ascii="Times New Roman" w:eastAsia="Times New Roman" w:hAnsi="Times New Roman" w:cs="Times New Roman"/>
          <w:b/>
          <w:sz w:val="24"/>
          <w:szCs w:val="24"/>
          <w:lang w:eastAsia="x-none"/>
        </w:rPr>
        <w:t xml:space="preserve">3.3 </w:t>
      </w:r>
      <w:r w:rsidRPr="007F400A">
        <w:rPr>
          <w:rFonts w:ascii="Times New Roman" w:hAnsi="Times New Roman" w:cs="Times New Roman"/>
          <w:b/>
          <w:sz w:val="24"/>
          <w:szCs w:val="24"/>
        </w:rPr>
        <w:t>Grupy ds. wdrażania dyrektyw przyrodniczych</w:t>
      </w:r>
      <w:r w:rsidRPr="007F400A">
        <w:rPr>
          <w:rFonts w:ascii="Times New Roman" w:eastAsia="Times New Roman" w:hAnsi="Times New Roman" w:cs="Times New Roman"/>
          <w:sz w:val="24"/>
          <w:szCs w:val="24"/>
          <w:lang w:eastAsia="x-none"/>
        </w:rPr>
        <w:t xml:space="preserve"> </w:t>
      </w:r>
    </w:p>
    <w:p w14:paraId="2AB8AAB3" w14:textId="77777777" w:rsidR="00E66FE9" w:rsidRPr="007F400A" w:rsidRDefault="00E66FE9" w:rsidP="00D80FBD">
      <w:pPr>
        <w:spacing w:after="120" w:line="300" w:lineRule="atLeast"/>
        <w:jc w:val="both"/>
        <w:rPr>
          <w:rFonts w:ascii="Times New Roman" w:hAnsi="Times New Roman" w:cs="Times New Roman"/>
          <w:b/>
          <w:sz w:val="24"/>
          <w:szCs w:val="24"/>
        </w:rPr>
      </w:pPr>
      <w:r w:rsidRPr="007F400A">
        <w:rPr>
          <w:rFonts w:ascii="Times New Roman" w:hAnsi="Times New Roman" w:cs="Times New Roman"/>
          <w:b/>
          <w:sz w:val="24"/>
          <w:szCs w:val="24"/>
        </w:rPr>
        <w:t>Grupa ekspercka ds. raportowania na podstawie dyrektyw przyrodniczych</w:t>
      </w:r>
    </w:p>
    <w:p w14:paraId="09796175" w14:textId="7F7E8957" w:rsidR="00E66FE9" w:rsidRDefault="002B7361" w:rsidP="00D80FBD">
      <w:pPr>
        <w:spacing w:after="0" w:line="300" w:lineRule="atLeast"/>
        <w:ind w:firstLine="567"/>
        <w:jc w:val="both"/>
        <w:rPr>
          <w:rFonts w:ascii="Times New Roman" w:eastAsia="Times New Roman" w:hAnsi="Times New Roman" w:cs="Times New Roman"/>
          <w:sz w:val="24"/>
          <w:szCs w:val="24"/>
          <w:lang w:val="x-none" w:eastAsia="x-none"/>
        </w:rPr>
      </w:pPr>
      <w:r w:rsidRPr="003B5656">
        <w:rPr>
          <w:rFonts w:ascii="Times New Roman" w:hAnsi="Times New Roman" w:cs="Times New Roman"/>
          <w:color w:val="000000"/>
          <w:sz w:val="24"/>
          <w:szCs w:val="24"/>
        </w:rPr>
        <w:t>Uczestniczono w pracach grupy, w tym we wszystkich trzech spotkaniach grupy w trybie on-line, w zakresie dotyczącym raportów opracowywanych na podst. art. 12 dyrektywy ptasiej i art. 17 dyrektywy siedliskowej. W ramach prac konsultowano m.in. propozycje zmian w formatach ww. raportów oraz w wytycznych do sporządzania raportów. Ponadto opiniowano listę referencyjną gatunków ptaków objętych raportem z wdrażania dyrektywy ptasiej dla Polski oraz inne dokumenty techniczne</w:t>
      </w:r>
      <w:r w:rsidR="00E66FE9" w:rsidRPr="007F400A">
        <w:rPr>
          <w:rFonts w:ascii="Times New Roman" w:hAnsi="Times New Roman" w:cs="Times New Roman"/>
          <w:sz w:val="24"/>
          <w:szCs w:val="24"/>
        </w:rPr>
        <w:t>.</w:t>
      </w:r>
      <w:r w:rsidR="00E66FE9" w:rsidRPr="007F400A">
        <w:rPr>
          <w:rFonts w:ascii="Times New Roman" w:eastAsia="Times New Roman" w:hAnsi="Times New Roman" w:cs="Times New Roman"/>
          <w:sz w:val="24"/>
          <w:szCs w:val="24"/>
          <w:lang w:val="x-none" w:eastAsia="x-none"/>
        </w:rPr>
        <w:t xml:space="preserve"> </w:t>
      </w:r>
    </w:p>
    <w:p w14:paraId="3467D182" w14:textId="77777777" w:rsidR="002D0FF2" w:rsidRPr="007F400A" w:rsidRDefault="002D0FF2" w:rsidP="00D80FBD">
      <w:pPr>
        <w:spacing w:after="0" w:line="300" w:lineRule="atLeast"/>
        <w:ind w:firstLine="567"/>
        <w:jc w:val="both"/>
        <w:rPr>
          <w:rFonts w:ascii="Times New Roman" w:eastAsia="Times New Roman" w:hAnsi="Times New Roman" w:cs="Times New Roman"/>
          <w:sz w:val="24"/>
          <w:szCs w:val="24"/>
          <w:lang w:val="x-none" w:eastAsia="x-none"/>
        </w:rPr>
      </w:pPr>
    </w:p>
    <w:p w14:paraId="7527B7A9" w14:textId="77777777" w:rsidR="002B7361" w:rsidRPr="003B5656" w:rsidRDefault="002B7361" w:rsidP="00D80FBD">
      <w:pPr>
        <w:spacing w:after="120" w:line="300" w:lineRule="atLeast"/>
        <w:jc w:val="both"/>
        <w:rPr>
          <w:rFonts w:ascii="Times New Roman" w:hAnsi="Times New Roman" w:cs="Times New Roman"/>
          <w:sz w:val="24"/>
          <w:szCs w:val="24"/>
        </w:rPr>
      </w:pPr>
      <w:r w:rsidRPr="003B5656">
        <w:rPr>
          <w:rFonts w:ascii="Times New Roman" w:hAnsi="Times New Roman" w:cs="Times New Roman"/>
          <w:b/>
          <w:color w:val="000000"/>
          <w:sz w:val="24"/>
          <w:szCs w:val="24"/>
        </w:rPr>
        <w:t>Grupa robocza ds. owadów zapylających</w:t>
      </w:r>
    </w:p>
    <w:p w14:paraId="43C27B36" w14:textId="06B46FEC" w:rsidR="002B7361" w:rsidRDefault="002D0FF2" w:rsidP="00D80FBD">
      <w:pPr>
        <w:spacing w:after="0" w:line="300" w:lineRule="atLeast"/>
        <w:ind w:firstLine="567"/>
        <w:jc w:val="both"/>
        <w:rPr>
          <w:rFonts w:ascii="Times New Roman" w:eastAsia="Times New Roman" w:hAnsi="Times New Roman" w:cs="Times New Roman"/>
          <w:sz w:val="24"/>
          <w:szCs w:val="24"/>
          <w:lang w:val="x-none" w:eastAsia="x-none"/>
        </w:rPr>
      </w:pPr>
      <w:r>
        <w:rPr>
          <w:rFonts w:ascii="Times New Roman" w:hAnsi="Times New Roman" w:cs="Times New Roman"/>
          <w:color w:val="000000"/>
          <w:sz w:val="24"/>
          <w:szCs w:val="24"/>
        </w:rPr>
        <w:t>Przedstawiciele GIOŚ u</w:t>
      </w:r>
      <w:r w:rsidR="002B7361" w:rsidRPr="003B5656">
        <w:rPr>
          <w:rFonts w:ascii="Times New Roman" w:hAnsi="Times New Roman" w:cs="Times New Roman"/>
          <w:color w:val="000000"/>
          <w:sz w:val="24"/>
          <w:szCs w:val="24"/>
        </w:rPr>
        <w:t>czestnicz</w:t>
      </w:r>
      <w:r>
        <w:rPr>
          <w:rFonts w:ascii="Times New Roman" w:hAnsi="Times New Roman" w:cs="Times New Roman"/>
          <w:color w:val="000000"/>
          <w:sz w:val="24"/>
          <w:szCs w:val="24"/>
        </w:rPr>
        <w:t>yli</w:t>
      </w:r>
      <w:r w:rsidR="002B7361" w:rsidRPr="003B5656">
        <w:rPr>
          <w:rFonts w:ascii="Times New Roman" w:hAnsi="Times New Roman" w:cs="Times New Roman"/>
          <w:color w:val="000000"/>
          <w:sz w:val="24"/>
          <w:szCs w:val="24"/>
        </w:rPr>
        <w:t xml:space="preserve"> w trzech spotkaniach on-line dotyczących wdrażania inicjatywy UE na rzecz owadów zapylających. W ramach prac konsultowano propozycje współpracy i wymiany wiedzy między państwami członkowskimi w zakresie wdrażania inicjatywy, omawiano postępy prac nad projektami SPRING </w:t>
      </w:r>
      <w:r>
        <w:rPr>
          <w:rFonts w:ascii="Times New Roman" w:hAnsi="Times New Roman" w:cs="Times New Roman"/>
          <w:color w:val="000000"/>
          <w:sz w:val="24"/>
          <w:szCs w:val="24"/>
        </w:rPr>
        <w:t xml:space="preserve">i </w:t>
      </w:r>
      <w:r w:rsidR="002B7361" w:rsidRPr="003B5656">
        <w:rPr>
          <w:rFonts w:ascii="Times New Roman" w:hAnsi="Times New Roman" w:cs="Times New Roman"/>
          <w:color w:val="000000"/>
          <w:sz w:val="24"/>
          <w:szCs w:val="24"/>
        </w:rPr>
        <w:t xml:space="preserve">STING oraz omawiano bieżące problemy i zagrożenia w zakresie administracyjnym oraz finansowym w związku </w:t>
      </w:r>
      <w:r>
        <w:rPr>
          <w:rFonts w:ascii="Times New Roman" w:hAnsi="Times New Roman" w:cs="Times New Roman"/>
          <w:color w:val="000000"/>
          <w:sz w:val="24"/>
          <w:szCs w:val="24"/>
        </w:rPr>
        <w:br/>
      </w:r>
      <w:r w:rsidR="002B7361" w:rsidRPr="003B5656">
        <w:rPr>
          <w:rFonts w:ascii="Times New Roman" w:hAnsi="Times New Roman" w:cs="Times New Roman"/>
          <w:color w:val="000000"/>
          <w:sz w:val="24"/>
          <w:szCs w:val="24"/>
        </w:rPr>
        <w:t>z wdrażaniem inicjatywy w krajach członkowskich</w:t>
      </w:r>
    </w:p>
    <w:p w14:paraId="1CA8072B" w14:textId="77777777" w:rsidR="002B7361" w:rsidRPr="007F400A" w:rsidRDefault="002B7361" w:rsidP="00D80FBD">
      <w:pPr>
        <w:spacing w:after="0" w:line="300" w:lineRule="atLeast"/>
        <w:jc w:val="both"/>
        <w:rPr>
          <w:rFonts w:ascii="Times New Roman" w:eastAsia="Times New Roman" w:hAnsi="Times New Roman" w:cs="Times New Roman"/>
          <w:sz w:val="24"/>
          <w:szCs w:val="24"/>
          <w:lang w:val="x-none" w:eastAsia="x-none"/>
        </w:rPr>
      </w:pPr>
    </w:p>
    <w:p w14:paraId="5F6C74C0" w14:textId="77175725" w:rsidR="00E66FE9" w:rsidRPr="002D0FF2" w:rsidRDefault="00E66FE9" w:rsidP="00D80FBD">
      <w:pPr>
        <w:pStyle w:val="Akapitzlist"/>
        <w:numPr>
          <w:ilvl w:val="1"/>
          <w:numId w:val="21"/>
        </w:numPr>
        <w:spacing w:after="120" w:line="300" w:lineRule="atLeast"/>
        <w:jc w:val="both"/>
        <w:rPr>
          <w:rFonts w:eastAsia="Times New Roman"/>
          <w:sz w:val="24"/>
          <w:szCs w:val="24"/>
          <w:lang w:eastAsia="x-none"/>
        </w:rPr>
      </w:pPr>
      <w:r w:rsidRPr="002D0FF2">
        <w:rPr>
          <w:b/>
          <w:color w:val="000000"/>
          <w:sz w:val="24"/>
          <w:szCs w:val="24"/>
        </w:rPr>
        <w:t xml:space="preserve">Grupy </w:t>
      </w:r>
      <w:r w:rsidR="002D0FF2">
        <w:rPr>
          <w:b/>
          <w:color w:val="000000"/>
          <w:sz w:val="24"/>
          <w:szCs w:val="24"/>
        </w:rPr>
        <w:t>ds</w:t>
      </w:r>
      <w:r w:rsidRPr="002D0FF2">
        <w:rPr>
          <w:b/>
          <w:color w:val="000000"/>
          <w:sz w:val="24"/>
          <w:szCs w:val="24"/>
        </w:rPr>
        <w:t>. wdrażania dyrektyw dotyczących jakości powietrza, w tym dyrektywy CAFE</w:t>
      </w:r>
      <w:r w:rsidRPr="002D0FF2">
        <w:rPr>
          <w:rFonts w:eastAsia="Times New Roman"/>
          <w:sz w:val="24"/>
          <w:szCs w:val="24"/>
          <w:lang w:eastAsia="x-none"/>
        </w:rPr>
        <w:t xml:space="preserve"> </w:t>
      </w:r>
    </w:p>
    <w:p w14:paraId="5EC7C1A4" w14:textId="0E4FA359" w:rsidR="00E66FE9" w:rsidRPr="007F400A" w:rsidRDefault="00E66FE9" w:rsidP="00D80FBD">
      <w:pPr>
        <w:spacing w:after="120" w:line="300" w:lineRule="atLeast"/>
        <w:ind w:left="295" w:hanging="295"/>
        <w:jc w:val="both"/>
        <w:rPr>
          <w:rFonts w:ascii="Times New Roman" w:hAnsi="Times New Roman" w:cs="Times New Roman"/>
          <w:b/>
          <w:sz w:val="24"/>
          <w:szCs w:val="24"/>
        </w:rPr>
      </w:pPr>
      <w:r w:rsidRPr="007F400A">
        <w:rPr>
          <w:rFonts w:ascii="Times New Roman" w:hAnsi="Times New Roman" w:cs="Times New Roman"/>
          <w:b/>
          <w:sz w:val="24"/>
          <w:szCs w:val="24"/>
        </w:rPr>
        <w:t xml:space="preserve">Grupa ekspertów </w:t>
      </w:r>
      <w:r w:rsidR="002D0FF2">
        <w:rPr>
          <w:rFonts w:ascii="Times New Roman" w:hAnsi="Times New Roman" w:cs="Times New Roman"/>
          <w:b/>
          <w:sz w:val="24"/>
          <w:szCs w:val="24"/>
        </w:rPr>
        <w:t>ds</w:t>
      </w:r>
      <w:r w:rsidRPr="007F400A">
        <w:rPr>
          <w:rFonts w:ascii="Times New Roman" w:hAnsi="Times New Roman" w:cs="Times New Roman"/>
          <w:b/>
          <w:sz w:val="24"/>
          <w:szCs w:val="24"/>
        </w:rPr>
        <w:t xml:space="preserve">. jakości powietrza </w:t>
      </w:r>
    </w:p>
    <w:p w14:paraId="305C8CE4" w14:textId="5777BC9A" w:rsidR="00E66FE9" w:rsidRPr="007F400A" w:rsidRDefault="002D0FF2" w:rsidP="00D80FBD">
      <w:pPr>
        <w:spacing w:after="0" w:line="300" w:lineRule="atLeast"/>
        <w:ind w:firstLine="567"/>
        <w:jc w:val="both"/>
        <w:rPr>
          <w:rFonts w:ascii="Times New Roman" w:eastAsia="Calibri" w:hAnsi="Times New Roman" w:cs="Times New Roman"/>
          <w:sz w:val="24"/>
          <w:szCs w:val="24"/>
          <w:lang w:val="x-none" w:eastAsia="pl-PL"/>
        </w:rPr>
      </w:pPr>
      <w:r>
        <w:rPr>
          <w:rFonts w:ascii="Times New Roman" w:hAnsi="Times New Roman" w:cs="Times New Roman"/>
          <w:sz w:val="24"/>
          <w:szCs w:val="24"/>
        </w:rPr>
        <w:t>Przedstawiciele GIOŚ u</w:t>
      </w:r>
      <w:r w:rsidR="003022D5" w:rsidRPr="003B5656">
        <w:rPr>
          <w:rFonts w:ascii="Times New Roman" w:hAnsi="Times New Roman" w:cs="Times New Roman"/>
          <w:sz w:val="24"/>
          <w:szCs w:val="24"/>
        </w:rPr>
        <w:t>czestnicz</w:t>
      </w:r>
      <w:r>
        <w:rPr>
          <w:rFonts w:ascii="Times New Roman" w:hAnsi="Times New Roman" w:cs="Times New Roman"/>
          <w:sz w:val="24"/>
          <w:szCs w:val="24"/>
        </w:rPr>
        <w:t>yli</w:t>
      </w:r>
      <w:r w:rsidR="003022D5" w:rsidRPr="003B5656">
        <w:rPr>
          <w:rFonts w:ascii="Times New Roman" w:hAnsi="Times New Roman" w:cs="Times New Roman"/>
          <w:sz w:val="24"/>
          <w:szCs w:val="24"/>
        </w:rPr>
        <w:t xml:space="preserve"> w pracach grupy, które koncentrowały się wokół założeń do przeglądu dyrektyw dotyczących jakości powietrza (2008/50/WE i 2004/107/WE), a następnie projektu dyrektywy w sprawie jakości powietrza i czystszego powietrza dla Europy, który został opublikowany po raz pierwszy na stronach KE pod koniec października</w:t>
      </w:r>
      <w:r w:rsidR="000A587E">
        <w:rPr>
          <w:rFonts w:ascii="Times New Roman" w:hAnsi="Times New Roman" w:cs="Times New Roman"/>
          <w:sz w:val="24"/>
          <w:szCs w:val="24"/>
        </w:rPr>
        <w:t xml:space="preserve"> 2022 r.</w:t>
      </w:r>
      <w:r w:rsidR="003022D5" w:rsidRPr="003B5656">
        <w:rPr>
          <w:rFonts w:ascii="Times New Roman" w:hAnsi="Times New Roman" w:cs="Times New Roman"/>
          <w:sz w:val="24"/>
          <w:szCs w:val="24"/>
        </w:rPr>
        <w:t xml:space="preserve"> Omawiano również wdrażanie obecnie obowiązującego prawa UE w zakresie ochrony powietrza w państwach członkowskich, monitoringu i ocen jakości powietrza, działań naprawczych oraz prezentacji danych. Prace te wiązały się z udziałem w spotkaniach on-line. Ponadto</w:t>
      </w:r>
      <w:r w:rsidR="000A587E">
        <w:rPr>
          <w:rFonts w:ascii="Times New Roman" w:hAnsi="Times New Roman" w:cs="Times New Roman"/>
          <w:sz w:val="24"/>
          <w:szCs w:val="24"/>
        </w:rPr>
        <w:t xml:space="preserve"> przedstawiciel GIOŚ </w:t>
      </w:r>
      <w:r w:rsidR="003022D5" w:rsidRPr="003B5656">
        <w:rPr>
          <w:rFonts w:ascii="Times New Roman" w:hAnsi="Times New Roman" w:cs="Times New Roman"/>
          <w:sz w:val="24"/>
          <w:szCs w:val="24"/>
        </w:rPr>
        <w:t>uczestnicz</w:t>
      </w:r>
      <w:r w:rsidR="000A587E">
        <w:rPr>
          <w:rFonts w:ascii="Times New Roman" w:hAnsi="Times New Roman" w:cs="Times New Roman"/>
          <w:sz w:val="24"/>
          <w:szCs w:val="24"/>
        </w:rPr>
        <w:t xml:space="preserve">ył </w:t>
      </w:r>
      <w:r w:rsidR="003022D5" w:rsidRPr="003B5656">
        <w:rPr>
          <w:rFonts w:ascii="Times New Roman" w:hAnsi="Times New Roman" w:cs="Times New Roman"/>
          <w:sz w:val="24"/>
          <w:szCs w:val="24"/>
        </w:rPr>
        <w:t>w osobnym spotkaniu poświęconym raportowaniu danych o jakości powietrza do Komisji Europejskiej (spotkanie techniczne IPR) w ramach decyzji sprawozdawczej 2011/850/UE</w:t>
      </w:r>
      <w:r w:rsidR="00E66FE9" w:rsidRPr="007F400A">
        <w:rPr>
          <w:rFonts w:ascii="Times New Roman" w:eastAsia="Calibri" w:hAnsi="Times New Roman" w:cs="Times New Roman"/>
          <w:sz w:val="24"/>
          <w:szCs w:val="24"/>
          <w:lang w:val="x-none" w:eastAsia="pl-PL"/>
        </w:rPr>
        <w:t xml:space="preserve">. </w:t>
      </w:r>
    </w:p>
    <w:p w14:paraId="6995D846" w14:textId="77777777" w:rsidR="00E66FE9" w:rsidRPr="007F400A" w:rsidRDefault="00E66FE9" w:rsidP="00D80FBD">
      <w:pPr>
        <w:spacing w:after="0" w:line="300" w:lineRule="atLeast"/>
        <w:ind w:left="371"/>
        <w:contextualSpacing/>
        <w:jc w:val="both"/>
        <w:rPr>
          <w:rFonts w:ascii="Times New Roman" w:eastAsia="Calibri" w:hAnsi="Times New Roman" w:cs="Times New Roman"/>
          <w:sz w:val="24"/>
          <w:szCs w:val="24"/>
          <w:lang w:val="x-none" w:eastAsia="pl-PL"/>
        </w:rPr>
      </w:pPr>
    </w:p>
    <w:p w14:paraId="3496E047" w14:textId="77777777" w:rsidR="00E66FE9" w:rsidRPr="007F400A" w:rsidRDefault="00E66FE9" w:rsidP="00D80FBD">
      <w:pPr>
        <w:spacing w:after="120" w:line="300" w:lineRule="atLeast"/>
        <w:ind w:left="397" w:hanging="397"/>
        <w:jc w:val="both"/>
        <w:rPr>
          <w:rFonts w:ascii="Times New Roman" w:eastAsia="Times New Roman" w:hAnsi="Times New Roman" w:cs="Times New Roman"/>
          <w:b/>
          <w:sz w:val="24"/>
          <w:szCs w:val="24"/>
          <w:lang w:val="x-none" w:eastAsia="x-none"/>
        </w:rPr>
      </w:pPr>
      <w:r w:rsidRPr="007F400A">
        <w:rPr>
          <w:rFonts w:ascii="Times New Roman" w:eastAsia="Times New Roman" w:hAnsi="Times New Roman" w:cs="Times New Roman"/>
          <w:b/>
          <w:sz w:val="24"/>
          <w:szCs w:val="24"/>
          <w:lang w:eastAsia="x-none"/>
        </w:rPr>
        <w:t xml:space="preserve">3.5 </w:t>
      </w:r>
      <w:r w:rsidRPr="007F400A">
        <w:rPr>
          <w:rFonts w:ascii="Times New Roman" w:hAnsi="Times New Roman" w:cs="Times New Roman"/>
          <w:b/>
          <w:sz w:val="24"/>
          <w:szCs w:val="24"/>
        </w:rPr>
        <w:t>Współpraca ekspercka na rzecz wdrażania dyrektywy w sprawie redukcji krajowych emisji niektórych rodzajów zanieczyszczeń atmosferycznych (dyrektywa NEC)</w:t>
      </w:r>
    </w:p>
    <w:p w14:paraId="5418A653" w14:textId="7DA23D98" w:rsidR="00E66FE9" w:rsidRPr="007F400A" w:rsidRDefault="003022D5" w:rsidP="00D80FBD">
      <w:pPr>
        <w:spacing w:after="0" w:line="300" w:lineRule="atLeast"/>
        <w:ind w:firstLine="567"/>
        <w:contextualSpacing/>
        <w:jc w:val="both"/>
        <w:rPr>
          <w:rFonts w:ascii="Times New Roman" w:eastAsia="Calibri" w:hAnsi="Times New Roman" w:cs="Times New Roman"/>
          <w:sz w:val="24"/>
          <w:szCs w:val="24"/>
          <w:lang w:val="x-none" w:eastAsia="pl-PL"/>
        </w:rPr>
      </w:pPr>
      <w:r w:rsidRPr="003B5656">
        <w:rPr>
          <w:rFonts w:ascii="Times New Roman" w:hAnsi="Times New Roman" w:cs="Times New Roman"/>
          <w:color w:val="000000"/>
          <w:sz w:val="24"/>
          <w:szCs w:val="24"/>
        </w:rPr>
        <w:t>Przekazano do Komisji Europejskiej, poprzez umieszczenie w centralnym repozytorium danych Europejskiej Agencji Środowiska, informację o lokalizacji stanowisk</w:t>
      </w:r>
      <w:r w:rsidRPr="003B5656">
        <w:rPr>
          <w:rFonts w:ascii="Times New Roman" w:hAnsi="Times New Roman" w:cs="Times New Roman"/>
          <w:b/>
          <w:color w:val="000000"/>
          <w:sz w:val="24"/>
          <w:szCs w:val="24"/>
        </w:rPr>
        <w:t xml:space="preserve"> </w:t>
      </w:r>
      <w:r w:rsidRPr="003B5656">
        <w:rPr>
          <w:rFonts w:ascii="Times New Roman" w:hAnsi="Times New Roman" w:cs="Times New Roman"/>
          <w:color w:val="000000"/>
          <w:sz w:val="24"/>
          <w:szCs w:val="24"/>
        </w:rPr>
        <w:t>do badań monitoringowych w zakresie negatywnego oddziaływania wpływu zanieczyszczeń powietrza na ekosystemy, realizując obowiązek wynikający z dyrektywy NEC i ustawy o Inspekcji</w:t>
      </w:r>
      <w:r w:rsidR="00E66FE9" w:rsidRPr="007F400A">
        <w:rPr>
          <w:rFonts w:ascii="Times New Roman" w:hAnsi="Times New Roman" w:cs="Times New Roman"/>
          <w:sz w:val="24"/>
          <w:szCs w:val="24"/>
        </w:rPr>
        <w:t>.</w:t>
      </w:r>
    </w:p>
    <w:p w14:paraId="50A992E9" w14:textId="188758F5" w:rsidR="00E66FE9" w:rsidRPr="007F400A" w:rsidRDefault="00E66FE9" w:rsidP="00D80FBD">
      <w:pPr>
        <w:spacing w:after="0" w:line="300" w:lineRule="atLeast"/>
        <w:ind w:firstLine="567"/>
        <w:jc w:val="both"/>
        <w:rPr>
          <w:rFonts w:ascii="Times New Roman" w:eastAsia="Arial" w:hAnsi="Times New Roman" w:cs="Times New Roman"/>
          <w:iCs/>
          <w:sz w:val="24"/>
          <w:szCs w:val="24"/>
          <w:lang w:val="x-none" w:eastAsia="pl-PL"/>
        </w:rPr>
      </w:pPr>
    </w:p>
    <w:p w14:paraId="3A8D5016" w14:textId="14F554E8" w:rsidR="003738D0" w:rsidRPr="007F400A" w:rsidRDefault="003738D0" w:rsidP="00D80FBD">
      <w:pPr>
        <w:spacing w:after="60" w:line="300" w:lineRule="atLeast"/>
        <w:ind w:left="510" w:hanging="510"/>
        <w:jc w:val="both"/>
        <w:rPr>
          <w:rFonts w:ascii="Times New Roman" w:eastAsia="Times New Roman" w:hAnsi="Times New Roman" w:cs="Times New Roman"/>
          <w:b/>
          <w:sz w:val="24"/>
          <w:szCs w:val="24"/>
          <w:lang w:val="x-none" w:eastAsia="x-none"/>
        </w:rPr>
      </w:pPr>
      <w:r w:rsidRPr="007F400A">
        <w:rPr>
          <w:rFonts w:ascii="Times New Roman" w:eastAsia="Times New Roman" w:hAnsi="Times New Roman" w:cs="Times New Roman"/>
          <w:b/>
          <w:sz w:val="24"/>
          <w:szCs w:val="24"/>
          <w:lang w:eastAsia="x-none"/>
        </w:rPr>
        <w:t xml:space="preserve">3.6. </w:t>
      </w:r>
      <w:r w:rsidR="008D1F2B" w:rsidRPr="003B5656">
        <w:rPr>
          <w:rFonts w:ascii="Times New Roman" w:hAnsi="Times New Roman" w:cs="Times New Roman"/>
          <w:b/>
          <w:sz w:val="24"/>
          <w:szCs w:val="24"/>
        </w:rPr>
        <w:t>Współpraca ze Wspólnym Centrum Badawczym (JRC) Komisji Europejskiej</w:t>
      </w:r>
    </w:p>
    <w:p w14:paraId="53634D2E" w14:textId="7815F0C0" w:rsidR="008D1F2B" w:rsidRPr="00B734C1" w:rsidRDefault="008D1F2B" w:rsidP="00D80FBD">
      <w:pPr>
        <w:pStyle w:val="Tekstpodstawowy"/>
        <w:spacing w:after="0" w:line="300" w:lineRule="atLeast"/>
        <w:ind w:firstLine="567"/>
        <w:jc w:val="both"/>
      </w:pPr>
      <w:r w:rsidRPr="00B734C1">
        <w:t>Przedstawiciel K</w:t>
      </w:r>
      <w:r w:rsidR="000A587E">
        <w:rPr>
          <w:lang w:val="pl-PL"/>
        </w:rPr>
        <w:t xml:space="preserve">rajowego </w:t>
      </w:r>
      <w:r w:rsidRPr="00B734C1">
        <w:t>L</w:t>
      </w:r>
      <w:r w:rsidR="000A587E">
        <w:rPr>
          <w:lang w:val="pl-PL"/>
        </w:rPr>
        <w:t xml:space="preserve">aboratorium </w:t>
      </w:r>
      <w:r w:rsidRPr="00B734C1">
        <w:t>R</w:t>
      </w:r>
      <w:r w:rsidR="000A587E">
        <w:rPr>
          <w:lang w:val="pl-PL"/>
        </w:rPr>
        <w:t xml:space="preserve">eferencyjnego do spraw jakości powietrza atmosferycznego (KLRP) GIOŚ wraz </w:t>
      </w:r>
      <w:r w:rsidRPr="00B734C1">
        <w:t>z przedstawicielem C</w:t>
      </w:r>
      <w:r w:rsidR="000A587E">
        <w:rPr>
          <w:lang w:val="pl-PL"/>
        </w:rPr>
        <w:t xml:space="preserve">entralnego </w:t>
      </w:r>
      <w:r w:rsidRPr="00B734C1">
        <w:t>L</w:t>
      </w:r>
      <w:r w:rsidR="000A587E">
        <w:rPr>
          <w:lang w:val="pl-PL"/>
        </w:rPr>
        <w:t xml:space="preserve">aboratorium </w:t>
      </w:r>
      <w:r w:rsidRPr="00B734C1">
        <w:lastRenderedPageBreak/>
        <w:t>B</w:t>
      </w:r>
      <w:r w:rsidR="000A587E">
        <w:rPr>
          <w:lang w:val="pl-PL"/>
        </w:rPr>
        <w:t>adawczego</w:t>
      </w:r>
      <w:r w:rsidRPr="00B734C1">
        <w:t xml:space="preserve"> </w:t>
      </w:r>
      <w:r w:rsidR="000A587E">
        <w:rPr>
          <w:lang w:val="pl-PL"/>
        </w:rPr>
        <w:t xml:space="preserve">GIOŚ </w:t>
      </w:r>
      <w:r w:rsidRPr="00B734C1">
        <w:t xml:space="preserve">uczestniczyli w roku 2022 w dwóch spotkaniach europejskiej sieci krajowych laboratoriów referencyjnych AQUILA. Pierwsze ze spotkań miało formę online </w:t>
      </w:r>
      <w:r w:rsidR="000A587E">
        <w:br/>
      </w:r>
      <w:r w:rsidRPr="00B734C1">
        <w:t>i odbyło się w dniu 11 kwietnia</w:t>
      </w:r>
      <w:r w:rsidR="000A587E">
        <w:rPr>
          <w:lang w:val="pl-PL"/>
        </w:rPr>
        <w:t xml:space="preserve"> 2022 r.</w:t>
      </w:r>
      <w:r w:rsidRPr="00B734C1">
        <w:t xml:space="preserve">, drugie spotkanie natomiast miało formę stacjonarną </w:t>
      </w:r>
      <w:r w:rsidR="000A587E">
        <w:br/>
      </w:r>
      <w:r w:rsidRPr="00B734C1">
        <w:t xml:space="preserve">i </w:t>
      </w:r>
      <w:r w:rsidR="000A587E">
        <w:rPr>
          <w:lang w:val="pl-PL"/>
        </w:rPr>
        <w:t xml:space="preserve">miało miejsce </w:t>
      </w:r>
      <w:r w:rsidRPr="00B734C1">
        <w:t>w dniach 15-16 listopada w Dui</w:t>
      </w:r>
      <w:r>
        <w:t>s</w:t>
      </w:r>
      <w:r w:rsidRPr="00B734C1">
        <w:t>burgu (Niemcy).</w:t>
      </w:r>
    </w:p>
    <w:p w14:paraId="128A9BCB" w14:textId="77777777" w:rsidR="00663A1C" w:rsidRDefault="008D1F2B" w:rsidP="00D80FBD">
      <w:pPr>
        <w:pStyle w:val="Tekstpodstawowy"/>
        <w:spacing w:after="0" w:line="300" w:lineRule="atLeast"/>
        <w:ind w:firstLine="567"/>
        <w:jc w:val="both"/>
      </w:pPr>
      <w:r w:rsidRPr="00B734C1">
        <w:t>Głównymi tematami spotkań było omówienie zapisów zawartych w propozycji nowej wersji dyrektywy Unii Europejskiej w sprawie jakości powietrza i czystszego powietrza dla Europy. Ponadto przedstawiono podsumowania badań biegłości organizowanych przez Wspólnotowe Centrum Badawcze Komisji Europejskiej, omówiono wyniki prac grup roboczych działających pod egidą AQUILA, dyskutowano na temat postępów prac nad nowymi wersjami norm, procedowanymi obecnie przez CEN.</w:t>
      </w:r>
    </w:p>
    <w:p w14:paraId="75A9771F" w14:textId="77777777" w:rsidR="00663A1C" w:rsidRDefault="008D1F2B" w:rsidP="00D80FBD">
      <w:pPr>
        <w:pStyle w:val="Tekstpodstawowy"/>
        <w:spacing w:after="0" w:line="300" w:lineRule="atLeast"/>
        <w:ind w:firstLine="567"/>
        <w:jc w:val="both"/>
      </w:pPr>
      <w:r w:rsidRPr="00B734C1">
        <w:t xml:space="preserve">W roku 2022 KLRP uczestniczyło w dwóch międzynarodowych badaniach biegłości organizowanych przez Wspólnotowe Centrum Badawcze Komisji Europejskiej (JRC) – miejscem badań była siedziba JRC zlokalizowana w </w:t>
      </w:r>
      <w:proofErr w:type="spellStart"/>
      <w:r w:rsidRPr="00B734C1">
        <w:t>Isprze</w:t>
      </w:r>
      <w:proofErr w:type="spellEnd"/>
      <w:r w:rsidRPr="00B734C1">
        <w:t xml:space="preserve"> (Włochy).</w:t>
      </w:r>
    </w:p>
    <w:p w14:paraId="2F13C4C2" w14:textId="2901000F" w:rsidR="00663A1C" w:rsidRDefault="008D1F2B" w:rsidP="00D80FBD">
      <w:pPr>
        <w:pStyle w:val="Tekstpodstawowy"/>
        <w:spacing w:after="0" w:line="300" w:lineRule="atLeast"/>
        <w:ind w:firstLine="567"/>
        <w:jc w:val="both"/>
      </w:pPr>
      <w:r w:rsidRPr="00B734C1">
        <w:t xml:space="preserve">Badania, które odbywały się w dniach od 13 stycznia do 23 lutego </w:t>
      </w:r>
      <w:r w:rsidR="000A587E">
        <w:rPr>
          <w:lang w:val="pl-PL"/>
        </w:rPr>
        <w:t xml:space="preserve">2022 r. </w:t>
      </w:r>
      <w:r w:rsidRPr="00B734C1">
        <w:t xml:space="preserve">dotyczyły porównań pomiarów pyłu zawieszonego PM10 i PM2,5 wykonywanych przy zastosowaniu </w:t>
      </w:r>
      <w:proofErr w:type="spellStart"/>
      <w:r w:rsidRPr="00B734C1">
        <w:t>poborników</w:t>
      </w:r>
      <w:proofErr w:type="spellEnd"/>
      <w:r w:rsidRPr="00B734C1">
        <w:t xml:space="preserve"> pyłowych – jest to metoda referencyjna pomiarów obu frakcji pyłu zawieszonego.</w:t>
      </w:r>
    </w:p>
    <w:p w14:paraId="30474AF4" w14:textId="34F78709" w:rsidR="00663A1C" w:rsidRDefault="008D1F2B" w:rsidP="00D80FBD">
      <w:pPr>
        <w:pStyle w:val="Tekstpodstawowy"/>
        <w:spacing w:after="0" w:line="300" w:lineRule="atLeast"/>
        <w:ind w:firstLine="567"/>
        <w:jc w:val="both"/>
      </w:pPr>
      <w:r w:rsidRPr="00B734C1">
        <w:t>Drugie badania, mające miejsce w dniach 4-7 kwietnia</w:t>
      </w:r>
      <w:r w:rsidR="000A587E">
        <w:rPr>
          <w:lang w:val="pl-PL"/>
        </w:rPr>
        <w:t xml:space="preserve"> 2022 r.</w:t>
      </w:r>
      <w:r w:rsidRPr="00B734C1">
        <w:t>, obejmowały porównania nieorganicznych zanieczyszczeń gazowych, takich jak: dwutlenek siarki (SO2), tlenek węgla (CO), ozon (O3) i tlenki azotu (NO i NO2).</w:t>
      </w:r>
    </w:p>
    <w:p w14:paraId="056BFCBD" w14:textId="14E22DB8" w:rsidR="008D1F2B" w:rsidRDefault="008D1F2B" w:rsidP="00D80FBD">
      <w:pPr>
        <w:pStyle w:val="Tekstpodstawowy"/>
        <w:spacing w:after="0" w:line="300" w:lineRule="atLeast"/>
        <w:ind w:firstLine="567"/>
        <w:jc w:val="both"/>
      </w:pPr>
      <w:r w:rsidRPr="00B734C1">
        <w:t xml:space="preserve">W obu badaniach KLRP uzyskało bezbłędne wyniki, czym potwierdziło swoje kompetencje do </w:t>
      </w:r>
      <w:r w:rsidR="000A587E">
        <w:rPr>
          <w:lang w:val="pl-PL"/>
        </w:rPr>
        <w:t xml:space="preserve">sprawowania </w:t>
      </w:r>
      <w:r w:rsidRPr="00B734C1">
        <w:t>nadzoru nad systemem jakości pomiarów powietrza atmosferycznego, prowadzonych w ramach Państwowego Monitoringu Środowiska.</w:t>
      </w:r>
    </w:p>
    <w:p w14:paraId="3BA2CD52" w14:textId="5DE09FE4" w:rsidR="000A587E" w:rsidRDefault="000A587E" w:rsidP="00D80FBD">
      <w:pPr>
        <w:pStyle w:val="Tekstpodstawowy"/>
        <w:spacing w:after="0" w:line="300" w:lineRule="atLeast"/>
        <w:ind w:firstLine="567"/>
        <w:jc w:val="both"/>
      </w:pPr>
    </w:p>
    <w:p w14:paraId="0D62E019" w14:textId="253BD2A2" w:rsidR="00387BBB" w:rsidRDefault="00387BBB" w:rsidP="00D80FBD">
      <w:pPr>
        <w:pStyle w:val="Tekstpodstawowy"/>
        <w:spacing w:after="0" w:line="300" w:lineRule="atLeast"/>
        <w:ind w:firstLine="567"/>
        <w:jc w:val="both"/>
      </w:pPr>
    </w:p>
    <w:p w14:paraId="030C697F" w14:textId="77777777" w:rsidR="00387BBB" w:rsidRPr="00B734C1" w:rsidRDefault="00387BBB" w:rsidP="00D80FBD">
      <w:pPr>
        <w:pStyle w:val="Tekstpodstawowy"/>
        <w:spacing w:after="0" w:line="300" w:lineRule="atLeast"/>
        <w:ind w:firstLine="567"/>
        <w:jc w:val="both"/>
      </w:pPr>
    </w:p>
    <w:p w14:paraId="4701EAD1" w14:textId="00F7ACE6" w:rsidR="00663A1C" w:rsidRPr="007F400A" w:rsidRDefault="00663A1C" w:rsidP="00D80FBD">
      <w:pPr>
        <w:spacing w:after="120" w:line="300" w:lineRule="atLeast"/>
        <w:jc w:val="both"/>
        <w:rPr>
          <w:rFonts w:ascii="Times New Roman" w:eastAsia="Times New Roman" w:hAnsi="Times New Roman" w:cs="Times New Roman"/>
          <w:b/>
          <w:sz w:val="24"/>
          <w:szCs w:val="24"/>
          <w:lang w:eastAsia="x-none"/>
        </w:rPr>
      </w:pPr>
      <w:r w:rsidRPr="007F400A">
        <w:rPr>
          <w:rFonts w:ascii="Times New Roman" w:eastAsia="Times New Roman" w:hAnsi="Times New Roman" w:cs="Times New Roman"/>
          <w:b/>
          <w:sz w:val="24"/>
          <w:szCs w:val="24"/>
          <w:lang w:eastAsia="x-none"/>
        </w:rPr>
        <w:t xml:space="preserve">3.7. </w:t>
      </w:r>
      <w:r w:rsidRPr="00F42841">
        <w:rPr>
          <w:rFonts w:ascii="Times New Roman" w:hAnsi="Times New Roman" w:cs="Times New Roman"/>
          <w:b/>
          <w:sz w:val="24"/>
          <w:szCs w:val="24"/>
        </w:rPr>
        <w:t xml:space="preserve">Grupa robocza Rada ds. Środowiska (ENV) (prace nad nowym rozporządzeniem </w:t>
      </w:r>
      <w:proofErr w:type="spellStart"/>
      <w:r w:rsidRPr="00F42841">
        <w:rPr>
          <w:rFonts w:ascii="Times New Roman" w:hAnsi="Times New Roman" w:cs="Times New Roman"/>
          <w:b/>
          <w:sz w:val="24"/>
          <w:szCs w:val="24"/>
        </w:rPr>
        <w:t>ws</w:t>
      </w:r>
      <w:proofErr w:type="spellEnd"/>
      <w:r w:rsidRPr="00F42841">
        <w:rPr>
          <w:rFonts w:ascii="Times New Roman" w:hAnsi="Times New Roman" w:cs="Times New Roman"/>
          <w:b/>
          <w:sz w:val="24"/>
          <w:szCs w:val="24"/>
        </w:rPr>
        <w:t>. przemieszczania odpadów, które ma zastąpić obecnie obowiązujące)</w:t>
      </w:r>
      <w:r w:rsidRPr="007F400A">
        <w:rPr>
          <w:rFonts w:ascii="Times New Roman" w:eastAsia="Times New Roman" w:hAnsi="Times New Roman" w:cs="Times New Roman"/>
          <w:b/>
          <w:sz w:val="24"/>
          <w:szCs w:val="24"/>
          <w:lang w:val="x-none" w:eastAsia="x-none"/>
        </w:rPr>
        <w:t xml:space="preserve"> </w:t>
      </w:r>
    </w:p>
    <w:p w14:paraId="38520B47" w14:textId="39CEC2D5" w:rsidR="00663A1C" w:rsidRPr="00F42841" w:rsidRDefault="00663A1C" w:rsidP="00D80FBD">
      <w:pPr>
        <w:pStyle w:val="Tekstpodstawowy"/>
        <w:spacing w:line="300" w:lineRule="atLeast"/>
        <w:ind w:firstLine="567"/>
        <w:jc w:val="both"/>
      </w:pPr>
      <w:r w:rsidRPr="00F42841">
        <w:t xml:space="preserve">W 2022 r. kontynuowane były prace na forum Grupy Roboczej Rady ds. Środowiska </w:t>
      </w:r>
      <w:r>
        <w:br/>
      </w:r>
      <w:r w:rsidRPr="00F42841">
        <w:t>nad nowym rozporządzeniem w sprawie przemieszczania odpadów, które zastąpić ma obecnie obowiązujące rozporządzenie (WE) nr 1013/2006 Parlamentu Europejskiego i Rady z dnia 14 czerwca 2006 r. w sprawie przemieszczania odpadów</w:t>
      </w:r>
      <w:r w:rsidR="000A587E">
        <w:rPr>
          <w:rStyle w:val="Odwoanieprzypisudolnego"/>
        </w:rPr>
        <w:footnoteReference w:id="121"/>
      </w:r>
      <w:r w:rsidRPr="00F42841">
        <w:t xml:space="preserve">. </w:t>
      </w:r>
    </w:p>
    <w:p w14:paraId="3E877A0C" w14:textId="77777777" w:rsidR="00663A1C" w:rsidRPr="00F42841" w:rsidRDefault="00663A1C" w:rsidP="00D80FBD">
      <w:pPr>
        <w:pStyle w:val="Tekstpodstawowy"/>
        <w:spacing w:after="60" w:line="300" w:lineRule="atLeast"/>
      </w:pPr>
      <w:r w:rsidRPr="00F42841">
        <w:t>Podstawowe założenia projektu to:</w:t>
      </w:r>
    </w:p>
    <w:p w14:paraId="6E61F905" w14:textId="77777777" w:rsidR="00663A1C" w:rsidRPr="009A194A" w:rsidRDefault="00663A1C" w:rsidP="00D80FBD">
      <w:pPr>
        <w:pStyle w:val="Tekstpodstawowy"/>
        <w:numPr>
          <w:ilvl w:val="0"/>
          <w:numId w:val="345"/>
        </w:numPr>
        <w:spacing w:after="0" w:line="300" w:lineRule="atLeast"/>
        <w:ind w:left="641" w:hanging="357"/>
        <w:jc w:val="both"/>
      </w:pPr>
      <w:r w:rsidRPr="00F42841">
        <w:t xml:space="preserve">usprawnienie procedur przemieszczania odpadów w granicach UE, w szczególności </w:t>
      </w:r>
      <w:r>
        <w:br/>
        <w:t>w ce</w:t>
      </w:r>
      <w:r w:rsidRPr="009A194A">
        <w:t>lu dostosowania rozporządzenia do celów gospodarki o obiegu zamkniętym,</w:t>
      </w:r>
    </w:p>
    <w:p w14:paraId="3F9B2CC7" w14:textId="77777777" w:rsidR="00663A1C" w:rsidRPr="00F42841" w:rsidRDefault="00663A1C" w:rsidP="00D80FBD">
      <w:pPr>
        <w:pStyle w:val="Tekstpodstawowy"/>
        <w:numPr>
          <w:ilvl w:val="0"/>
          <w:numId w:val="345"/>
        </w:numPr>
        <w:spacing w:after="0" w:line="300" w:lineRule="atLeast"/>
        <w:ind w:left="641" w:hanging="357"/>
        <w:jc w:val="both"/>
      </w:pPr>
      <w:r w:rsidRPr="00F42841">
        <w:t>wzmocnienie nadzoru nad wywozem odpadów z UE do krajów trzecich, w celu zagwarantowania, że odpady wywożone z UE będą zagospodarowywane w sposób racjonalny ekologicznie,</w:t>
      </w:r>
    </w:p>
    <w:p w14:paraId="3F11A0CA" w14:textId="77777777" w:rsidR="00663A1C" w:rsidRPr="00F42841" w:rsidRDefault="00663A1C" w:rsidP="00D80FBD">
      <w:pPr>
        <w:pStyle w:val="Tekstpodstawowy"/>
        <w:numPr>
          <w:ilvl w:val="0"/>
          <w:numId w:val="345"/>
        </w:numPr>
        <w:spacing w:line="300" w:lineRule="atLeast"/>
        <w:ind w:left="641" w:hanging="357"/>
        <w:jc w:val="both"/>
      </w:pPr>
      <w:r w:rsidRPr="00F42841">
        <w:t xml:space="preserve">skuteczniejsze przeciwdziałanie nielegalnemu przemieszczaniu odpadów. </w:t>
      </w:r>
    </w:p>
    <w:p w14:paraId="22523EB3" w14:textId="77777777" w:rsidR="00663A1C" w:rsidRPr="00F42841" w:rsidRDefault="00663A1C" w:rsidP="00D80FBD">
      <w:pPr>
        <w:pStyle w:val="Tekstpodstawowy"/>
        <w:spacing w:after="0" w:line="300" w:lineRule="atLeast"/>
        <w:ind w:firstLine="567"/>
        <w:jc w:val="both"/>
      </w:pPr>
      <w:r w:rsidRPr="00F42841">
        <w:t xml:space="preserve">W 2022 r. odbyło się 8 spotkań grupy roboczej. Spotkania poświęcone były w głównej mierze procedurom legalnego przemieszczania odpadów w granicach UE, w tym opracowaniu elektronicznego systemu wymiany danych, który umożliwi cyfryzację tych procedur. Ponadto omawiane były zasady postępowania w przypadku stwierdzenia nielegalnego przemieszczania odpadów oraz zagadnienia związane z egzekwowaniem przepisów. </w:t>
      </w:r>
    </w:p>
    <w:p w14:paraId="6068B058" w14:textId="42E28BBB" w:rsidR="00663A1C" w:rsidRDefault="00663A1C" w:rsidP="00D80FBD">
      <w:pPr>
        <w:spacing w:after="0" w:line="300" w:lineRule="atLeast"/>
        <w:ind w:firstLine="567"/>
        <w:jc w:val="both"/>
        <w:rPr>
          <w:rFonts w:ascii="Times New Roman" w:hAnsi="Times New Roman" w:cs="Times New Roman"/>
          <w:sz w:val="24"/>
          <w:szCs w:val="24"/>
        </w:rPr>
      </w:pPr>
      <w:r w:rsidRPr="00F42841">
        <w:rPr>
          <w:rFonts w:ascii="Times New Roman" w:hAnsi="Times New Roman" w:cs="Times New Roman"/>
          <w:sz w:val="24"/>
          <w:szCs w:val="24"/>
        </w:rPr>
        <w:lastRenderedPageBreak/>
        <w:t>Przedstawiciele GIOŚ wzięli udział w pięciu z ww. ośmiu spotkań grupy roboczej</w:t>
      </w:r>
      <w:r>
        <w:rPr>
          <w:rFonts w:ascii="Times New Roman" w:hAnsi="Times New Roman" w:cs="Times New Roman"/>
          <w:sz w:val="24"/>
          <w:szCs w:val="24"/>
        </w:rPr>
        <w:t xml:space="preserve"> - </w:t>
      </w:r>
      <w:r w:rsidRPr="00F42841">
        <w:rPr>
          <w:rFonts w:ascii="Times New Roman" w:hAnsi="Times New Roman" w:cs="Times New Roman"/>
          <w:sz w:val="24"/>
          <w:szCs w:val="24"/>
        </w:rPr>
        <w:t xml:space="preserve"> </w:t>
      </w:r>
      <w:r>
        <w:rPr>
          <w:rFonts w:ascii="Times New Roman" w:hAnsi="Times New Roman" w:cs="Times New Roman"/>
          <w:sz w:val="24"/>
          <w:szCs w:val="24"/>
        </w:rPr>
        <w:br/>
      </w:r>
      <w:r w:rsidRPr="00F42841">
        <w:rPr>
          <w:rFonts w:ascii="Times New Roman" w:hAnsi="Times New Roman" w:cs="Times New Roman"/>
          <w:sz w:val="24"/>
          <w:szCs w:val="24"/>
        </w:rPr>
        <w:t xml:space="preserve">w czterech, które odbyły się w Brukseli oraz w jednym online. Na potrzeby wszystkich ośmiu spotkań pracownicy GIOŚ przygotowali stanowisko dla przedstawiciela Polski </w:t>
      </w:r>
      <w:r>
        <w:rPr>
          <w:rFonts w:ascii="Times New Roman" w:hAnsi="Times New Roman" w:cs="Times New Roman"/>
          <w:sz w:val="24"/>
          <w:szCs w:val="24"/>
        </w:rPr>
        <w:br/>
      </w:r>
      <w:r w:rsidRPr="00F42841">
        <w:rPr>
          <w:rFonts w:ascii="Times New Roman" w:hAnsi="Times New Roman" w:cs="Times New Roman"/>
          <w:sz w:val="24"/>
          <w:szCs w:val="24"/>
        </w:rPr>
        <w:t>do zaprezentowania podczas spotkania. Ponadto pracownicy GIOŚ po każdym ze spotkań opracowali szereg szczegółowych uwag pisemnych, które za pośrednictwem Stałego Przedstawicielstwa RP przy UE zostały przekazane Prezydencjom francuskiej oraz czeskiej</w:t>
      </w:r>
      <w:r w:rsidR="0027323A">
        <w:rPr>
          <w:rFonts w:ascii="Times New Roman" w:hAnsi="Times New Roman" w:cs="Times New Roman"/>
          <w:sz w:val="24"/>
          <w:szCs w:val="24"/>
        </w:rPr>
        <w:t>.</w:t>
      </w:r>
    </w:p>
    <w:p w14:paraId="08174C32" w14:textId="77777777" w:rsidR="00777780" w:rsidRDefault="00777780" w:rsidP="00D80FBD">
      <w:pPr>
        <w:spacing w:after="0" w:line="300" w:lineRule="atLeast"/>
        <w:ind w:firstLine="567"/>
        <w:jc w:val="both"/>
        <w:rPr>
          <w:rFonts w:ascii="Times New Roman" w:hAnsi="Times New Roman" w:cs="Times New Roman"/>
          <w:b/>
          <w:sz w:val="24"/>
          <w:szCs w:val="24"/>
        </w:rPr>
      </w:pPr>
    </w:p>
    <w:p w14:paraId="5EA191AB" w14:textId="0D0C36C1" w:rsidR="0027323A" w:rsidRPr="007F400A" w:rsidRDefault="0027323A" w:rsidP="00D80FBD">
      <w:pPr>
        <w:spacing w:after="120" w:line="300" w:lineRule="atLeast"/>
        <w:ind w:left="397" w:hanging="397"/>
        <w:jc w:val="both"/>
        <w:rPr>
          <w:rFonts w:ascii="Times New Roman" w:hAnsi="Times New Roman" w:cs="Times New Roman"/>
          <w:sz w:val="24"/>
          <w:szCs w:val="24"/>
        </w:rPr>
      </w:pPr>
      <w:r w:rsidRPr="007F400A">
        <w:rPr>
          <w:rFonts w:ascii="Times New Roman" w:hAnsi="Times New Roman" w:cs="Times New Roman"/>
          <w:b/>
          <w:sz w:val="24"/>
          <w:szCs w:val="24"/>
        </w:rPr>
        <w:t xml:space="preserve">3.8. </w:t>
      </w:r>
      <w:r w:rsidRPr="006D57B1">
        <w:rPr>
          <w:rFonts w:ascii="Times New Roman" w:hAnsi="Times New Roman" w:cs="Times New Roman"/>
          <w:b/>
          <w:sz w:val="24"/>
          <w:szCs w:val="24"/>
        </w:rPr>
        <w:t>Ekspercka grupa robocza ds. SEVESO (dyrektywy w sprawie kontroli zagrożeń poważnymi awariami związanymi z substancjami niebezpiecznymi)</w:t>
      </w:r>
      <w:r w:rsidRPr="007F400A">
        <w:rPr>
          <w:rFonts w:ascii="Times New Roman" w:hAnsi="Times New Roman" w:cs="Times New Roman"/>
          <w:sz w:val="24"/>
          <w:szCs w:val="24"/>
        </w:rPr>
        <w:t xml:space="preserve"> </w:t>
      </w:r>
    </w:p>
    <w:p w14:paraId="1D332AB6" w14:textId="6F962960" w:rsidR="00663A1C" w:rsidRDefault="0027323A" w:rsidP="00D80FBD">
      <w:pPr>
        <w:spacing w:after="0" w:line="300" w:lineRule="atLeast"/>
        <w:ind w:firstLine="567"/>
        <w:jc w:val="both"/>
        <w:rPr>
          <w:rFonts w:ascii="Times New Roman" w:hAnsi="Times New Roman" w:cs="Times New Roman"/>
          <w:sz w:val="24"/>
          <w:szCs w:val="24"/>
        </w:rPr>
      </w:pPr>
      <w:r w:rsidRPr="00F5041D">
        <w:rPr>
          <w:rFonts w:ascii="Times New Roman" w:hAnsi="Times New Roman" w:cs="Times New Roman"/>
          <w:sz w:val="24"/>
          <w:szCs w:val="24"/>
        </w:rPr>
        <w:t>Podczas spotkania ww. Grupy wymieniono doświadczenia z przedstawicielami innych państw członkowskich UE w zakresie przeciwdziałania poważnym awariom</w:t>
      </w:r>
      <w:r w:rsidR="00777780">
        <w:rPr>
          <w:rFonts w:ascii="Times New Roman" w:hAnsi="Times New Roman" w:cs="Times New Roman"/>
          <w:sz w:val="24"/>
          <w:szCs w:val="24"/>
        </w:rPr>
        <w:t>,</w:t>
      </w:r>
      <w:r w:rsidRPr="00F5041D">
        <w:rPr>
          <w:rFonts w:ascii="Times New Roman" w:hAnsi="Times New Roman" w:cs="Times New Roman"/>
          <w:sz w:val="24"/>
          <w:szCs w:val="24"/>
        </w:rPr>
        <w:t xml:space="preserve"> a także zapoznano się z aktualnym stanem prac Komisji Europejskiej w ww. obszarze, w tym  związanych </w:t>
      </w:r>
      <w:r>
        <w:rPr>
          <w:rFonts w:ascii="Times New Roman" w:hAnsi="Times New Roman" w:cs="Times New Roman"/>
          <w:sz w:val="24"/>
          <w:szCs w:val="24"/>
        </w:rPr>
        <w:br/>
      </w:r>
      <w:r w:rsidRPr="00F5041D">
        <w:rPr>
          <w:rFonts w:ascii="Times New Roman" w:hAnsi="Times New Roman" w:cs="Times New Roman"/>
          <w:sz w:val="24"/>
          <w:szCs w:val="24"/>
        </w:rPr>
        <w:t xml:space="preserve">z przeglądem decyzji określających zakres danych przekazywanych do Komisji Europejskiej przez Państwa Członkowskie na podstawie dyrektywy </w:t>
      </w:r>
      <w:proofErr w:type="spellStart"/>
      <w:r w:rsidRPr="00F5041D">
        <w:rPr>
          <w:rFonts w:ascii="Times New Roman" w:hAnsi="Times New Roman" w:cs="Times New Roman"/>
          <w:sz w:val="24"/>
          <w:szCs w:val="24"/>
        </w:rPr>
        <w:t>Seveso</w:t>
      </w:r>
      <w:proofErr w:type="spellEnd"/>
      <w:r w:rsidRPr="00F5041D">
        <w:rPr>
          <w:rFonts w:ascii="Times New Roman" w:hAnsi="Times New Roman" w:cs="Times New Roman"/>
          <w:sz w:val="24"/>
          <w:szCs w:val="24"/>
        </w:rPr>
        <w:t xml:space="preserve"> III</w:t>
      </w:r>
      <w:r>
        <w:rPr>
          <w:rFonts w:ascii="Times New Roman" w:hAnsi="Times New Roman" w:cs="Times New Roman"/>
          <w:sz w:val="24"/>
          <w:szCs w:val="24"/>
        </w:rPr>
        <w:t>.</w:t>
      </w:r>
    </w:p>
    <w:p w14:paraId="6EBE303F" w14:textId="77777777" w:rsidR="00777780" w:rsidRDefault="00777780" w:rsidP="00D80FBD">
      <w:pPr>
        <w:spacing w:after="0" w:line="300" w:lineRule="atLeast"/>
        <w:ind w:firstLine="567"/>
        <w:jc w:val="both"/>
        <w:rPr>
          <w:rFonts w:ascii="Times New Roman" w:hAnsi="Times New Roman" w:cs="Times New Roman"/>
          <w:sz w:val="24"/>
          <w:szCs w:val="24"/>
        </w:rPr>
      </w:pPr>
    </w:p>
    <w:p w14:paraId="05F11673" w14:textId="77777777" w:rsidR="0027323A" w:rsidRPr="007F400A" w:rsidRDefault="0027323A" w:rsidP="00D80FBD">
      <w:pPr>
        <w:spacing w:after="120" w:line="300" w:lineRule="atLeast"/>
        <w:ind w:left="510" w:hanging="510"/>
        <w:jc w:val="both"/>
        <w:rPr>
          <w:rFonts w:ascii="Times New Roman" w:eastAsia="Calibri" w:hAnsi="Times New Roman" w:cs="Times New Roman"/>
          <w:b/>
          <w:sz w:val="24"/>
          <w:szCs w:val="24"/>
          <w:lang w:val="x-none" w:eastAsia="x-none"/>
        </w:rPr>
      </w:pPr>
      <w:r w:rsidRPr="007F400A">
        <w:rPr>
          <w:rFonts w:ascii="Times New Roman" w:eastAsia="Calibri" w:hAnsi="Times New Roman" w:cs="Times New Roman"/>
          <w:b/>
          <w:sz w:val="24"/>
          <w:szCs w:val="24"/>
          <w:lang w:eastAsia="x-none"/>
        </w:rPr>
        <w:t xml:space="preserve">3.9. </w:t>
      </w:r>
      <w:r w:rsidRPr="007F400A">
        <w:rPr>
          <w:rFonts w:ascii="Times New Roman" w:eastAsia="Calibri" w:hAnsi="Times New Roman" w:cs="Times New Roman"/>
          <w:b/>
          <w:sz w:val="24"/>
          <w:szCs w:val="24"/>
          <w:lang w:val="x-none" w:eastAsia="x-none"/>
        </w:rPr>
        <w:t xml:space="preserve">Grupa Robocza Komisji Europejskiej ds. FLEGT/ EUTR oraz Grupa Robocza </w:t>
      </w:r>
      <w:r w:rsidRPr="007F400A">
        <w:rPr>
          <w:rFonts w:ascii="Times New Roman" w:eastAsia="Calibri" w:hAnsi="Times New Roman" w:cs="Times New Roman"/>
          <w:b/>
          <w:sz w:val="24"/>
          <w:szCs w:val="24"/>
          <w:lang w:val="x-none" w:eastAsia="x-none"/>
        </w:rPr>
        <w:br/>
        <w:t>ds. egzekwowania rozporządzenia dot</w:t>
      </w:r>
      <w:r w:rsidRPr="007F400A">
        <w:rPr>
          <w:rFonts w:ascii="Times New Roman" w:eastAsia="Calibri" w:hAnsi="Times New Roman" w:cs="Times New Roman"/>
          <w:b/>
          <w:sz w:val="24"/>
          <w:szCs w:val="24"/>
          <w:lang w:eastAsia="x-none"/>
        </w:rPr>
        <w:t>yczącego</w:t>
      </w:r>
      <w:r w:rsidRPr="007F400A">
        <w:rPr>
          <w:rFonts w:ascii="Times New Roman" w:eastAsia="Calibri" w:hAnsi="Times New Roman" w:cs="Times New Roman"/>
          <w:b/>
          <w:sz w:val="24"/>
          <w:szCs w:val="24"/>
          <w:lang w:val="x-none" w:eastAsia="x-none"/>
        </w:rPr>
        <w:t xml:space="preserve"> obrotu drewnem (EUTR)</w:t>
      </w:r>
    </w:p>
    <w:p w14:paraId="04330FC6" w14:textId="5EA97212" w:rsidR="0027323A" w:rsidRDefault="0027323A" w:rsidP="00D80FBD">
      <w:pPr>
        <w:spacing w:after="0" w:line="300" w:lineRule="atLeast"/>
        <w:ind w:firstLine="567"/>
        <w:jc w:val="both"/>
        <w:rPr>
          <w:rFonts w:ascii="Times New Roman" w:hAnsi="Times New Roman" w:cs="Times New Roman"/>
          <w:b/>
          <w:sz w:val="24"/>
          <w:szCs w:val="24"/>
        </w:rPr>
      </w:pPr>
      <w:r w:rsidRPr="00F5041D">
        <w:rPr>
          <w:rFonts w:ascii="Times New Roman" w:hAnsi="Times New Roman" w:cs="Times New Roman"/>
          <w:sz w:val="24"/>
          <w:szCs w:val="24"/>
        </w:rPr>
        <w:t xml:space="preserve">Przedstawiciele GIOŚ uczestniczyli w spotkaniach Grupy Roboczej ds. FLEGT/ EUTR, podczas których wymieniono doświadczenia z przedstawicielami innych państw członkowskich UE w zakresie obrotu drewnem oraz </w:t>
      </w:r>
      <w:r w:rsidRPr="00F5041D">
        <w:rPr>
          <w:rFonts w:ascii="Times New Roman" w:hAnsi="Times New Roman" w:cs="Times New Roman"/>
          <w:iCs/>
          <w:sz w:val="24"/>
          <w:szCs w:val="24"/>
        </w:rPr>
        <w:t>zapoznano się z aktualnym stanem prac Komisji Europejskiej</w:t>
      </w:r>
      <w:r w:rsidRPr="00F5041D">
        <w:rPr>
          <w:rFonts w:ascii="Times New Roman" w:hAnsi="Times New Roman" w:cs="Times New Roman"/>
          <w:sz w:val="24"/>
          <w:szCs w:val="24"/>
        </w:rPr>
        <w:t xml:space="preserve"> </w:t>
      </w:r>
      <w:r w:rsidRPr="00F5041D">
        <w:rPr>
          <w:rFonts w:ascii="Times New Roman" w:hAnsi="Times New Roman" w:cs="Times New Roman"/>
          <w:iCs/>
          <w:sz w:val="24"/>
          <w:szCs w:val="24"/>
        </w:rPr>
        <w:t>w ww. obszarze</w:t>
      </w:r>
      <w:r>
        <w:rPr>
          <w:rFonts w:ascii="Times New Roman" w:hAnsi="Times New Roman" w:cs="Times New Roman"/>
          <w:iCs/>
          <w:sz w:val="24"/>
          <w:szCs w:val="24"/>
        </w:rPr>
        <w:t>.</w:t>
      </w:r>
    </w:p>
    <w:p w14:paraId="1ACB7FA2" w14:textId="3E1CF68D" w:rsidR="008D1F2B" w:rsidRPr="003B5656" w:rsidRDefault="008D1F2B" w:rsidP="00D80FBD">
      <w:pPr>
        <w:spacing w:after="120" w:line="300" w:lineRule="atLeast"/>
        <w:jc w:val="both"/>
        <w:rPr>
          <w:rFonts w:ascii="Times New Roman" w:hAnsi="Times New Roman" w:cs="Times New Roman"/>
          <w:b/>
          <w:sz w:val="24"/>
          <w:szCs w:val="24"/>
        </w:rPr>
      </w:pPr>
      <w:r w:rsidRPr="003B5656">
        <w:rPr>
          <w:rFonts w:ascii="Times New Roman" w:hAnsi="Times New Roman" w:cs="Times New Roman"/>
          <w:b/>
          <w:sz w:val="24"/>
          <w:szCs w:val="24"/>
        </w:rPr>
        <w:br/>
      </w:r>
      <w:r w:rsidR="009834FB">
        <w:rPr>
          <w:rFonts w:ascii="Times New Roman" w:hAnsi="Times New Roman" w:cs="Times New Roman"/>
          <w:b/>
          <w:sz w:val="24"/>
          <w:szCs w:val="24"/>
        </w:rPr>
        <w:t>3.10</w:t>
      </w:r>
      <w:r>
        <w:rPr>
          <w:rFonts w:ascii="Times New Roman" w:hAnsi="Times New Roman" w:cs="Times New Roman"/>
          <w:b/>
          <w:sz w:val="24"/>
          <w:szCs w:val="24"/>
        </w:rPr>
        <w:t>.</w:t>
      </w:r>
      <w:r w:rsidRPr="003B5656">
        <w:rPr>
          <w:rFonts w:ascii="Times New Roman" w:hAnsi="Times New Roman" w:cs="Times New Roman"/>
          <w:b/>
          <w:sz w:val="24"/>
          <w:szCs w:val="24"/>
        </w:rPr>
        <w:t xml:space="preserve"> Inne prace, programy i inicjatywy Komisji Europejskiej</w:t>
      </w:r>
    </w:p>
    <w:p w14:paraId="6164A9E9" w14:textId="1D96BEDB" w:rsidR="0027323A" w:rsidRPr="00F42841" w:rsidRDefault="0027323A" w:rsidP="00D80FBD">
      <w:pPr>
        <w:tabs>
          <w:tab w:val="left" w:pos="5040"/>
        </w:tabs>
        <w:spacing w:after="0" w:line="300" w:lineRule="atLeast"/>
        <w:ind w:firstLine="567"/>
        <w:jc w:val="both"/>
        <w:rPr>
          <w:rFonts w:ascii="Times New Roman" w:eastAsia="Calibri" w:hAnsi="Times New Roman" w:cs="Times New Roman"/>
          <w:sz w:val="24"/>
          <w:szCs w:val="24"/>
        </w:rPr>
      </w:pPr>
      <w:r w:rsidRPr="00F42841">
        <w:rPr>
          <w:rFonts w:ascii="Times New Roman" w:hAnsi="Times New Roman" w:cs="Times New Roman"/>
          <w:sz w:val="24"/>
          <w:szCs w:val="24"/>
        </w:rPr>
        <w:t xml:space="preserve">Od 2018 roku </w:t>
      </w:r>
      <w:r w:rsidRPr="00F42841">
        <w:rPr>
          <w:rFonts w:ascii="Times New Roman" w:eastAsia="Calibri" w:hAnsi="Times New Roman" w:cs="Times New Roman"/>
          <w:sz w:val="24"/>
          <w:szCs w:val="24"/>
        </w:rPr>
        <w:t xml:space="preserve">Komisja Europejska realizuje </w:t>
      </w:r>
      <w:r w:rsidRPr="009834FB">
        <w:rPr>
          <w:rFonts w:ascii="Times New Roman" w:eastAsia="Calibri" w:hAnsi="Times New Roman" w:cs="Times New Roman"/>
          <w:b/>
          <w:sz w:val="24"/>
          <w:szCs w:val="24"/>
        </w:rPr>
        <w:t xml:space="preserve">inicjatywę pn. </w:t>
      </w:r>
      <w:proofErr w:type="spellStart"/>
      <w:r w:rsidRPr="009834FB">
        <w:rPr>
          <w:rFonts w:ascii="Times New Roman" w:eastAsia="Calibri" w:hAnsi="Times New Roman" w:cs="Times New Roman"/>
          <w:b/>
          <w:i/>
          <w:sz w:val="24"/>
          <w:szCs w:val="24"/>
        </w:rPr>
        <w:t>Environmental</w:t>
      </w:r>
      <w:proofErr w:type="spellEnd"/>
      <w:r w:rsidRPr="009834FB">
        <w:rPr>
          <w:rFonts w:ascii="Times New Roman" w:eastAsia="Calibri" w:hAnsi="Times New Roman" w:cs="Times New Roman"/>
          <w:b/>
          <w:i/>
          <w:sz w:val="24"/>
          <w:szCs w:val="24"/>
        </w:rPr>
        <w:t xml:space="preserve"> </w:t>
      </w:r>
      <w:proofErr w:type="spellStart"/>
      <w:r w:rsidRPr="009834FB">
        <w:rPr>
          <w:rFonts w:ascii="Times New Roman" w:eastAsia="Calibri" w:hAnsi="Times New Roman" w:cs="Times New Roman"/>
          <w:b/>
          <w:i/>
          <w:sz w:val="24"/>
          <w:szCs w:val="24"/>
        </w:rPr>
        <w:t>Compliance</w:t>
      </w:r>
      <w:proofErr w:type="spellEnd"/>
      <w:r w:rsidRPr="009834FB">
        <w:rPr>
          <w:rFonts w:ascii="Times New Roman" w:eastAsia="Calibri" w:hAnsi="Times New Roman" w:cs="Times New Roman"/>
          <w:b/>
          <w:i/>
          <w:sz w:val="24"/>
          <w:szCs w:val="24"/>
        </w:rPr>
        <w:t xml:space="preserve"> and </w:t>
      </w:r>
      <w:proofErr w:type="spellStart"/>
      <w:r w:rsidRPr="009834FB">
        <w:rPr>
          <w:rFonts w:ascii="Times New Roman" w:eastAsia="Calibri" w:hAnsi="Times New Roman" w:cs="Times New Roman"/>
          <w:b/>
          <w:i/>
          <w:sz w:val="24"/>
          <w:szCs w:val="24"/>
        </w:rPr>
        <w:t>Governance</w:t>
      </w:r>
      <w:proofErr w:type="spellEnd"/>
      <w:r w:rsidRPr="009834FB">
        <w:rPr>
          <w:rFonts w:ascii="Times New Roman" w:eastAsia="Calibri" w:hAnsi="Times New Roman" w:cs="Times New Roman"/>
          <w:b/>
          <w:sz w:val="24"/>
          <w:szCs w:val="24"/>
        </w:rPr>
        <w:t xml:space="preserve"> (ECG)</w:t>
      </w:r>
      <w:r w:rsidRPr="00F42841">
        <w:rPr>
          <w:rFonts w:ascii="Times New Roman" w:eastAsia="Calibri" w:hAnsi="Times New Roman" w:cs="Times New Roman"/>
          <w:sz w:val="24"/>
          <w:szCs w:val="24"/>
        </w:rPr>
        <w:t xml:space="preserve">, mającą na celu poprawę implementacji prawa UE, w tym implementacji prawa środowiskowego. W ramach powyższej inicjatywy powołana została grupa ekspercka KE pod nazwą </w:t>
      </w:r>
      <w:proofErr w:type="spellStart"/>
      <w:r w:rsidRPr="00F42841">
        <w:rPr>
          <w:rFonts w:ascii="Times New Roman" w:eastAsia="Calibri" w:hAnsi="Times New Roman" w:cs="Times New Roman"/>
          <w:i/>
          <w:sz w:val="24"/>
          <w:szCs w:val="24"/>
        </w:rPr>
        <w:t>Environmental</w:t>
      </w:r>
      <w:proofErr w:type="spellEnd"/>
      <w:r w:rsidRPr="00F42841">
        <w:rPr>
          <w:rFonts w:ascii="Times New Roman" w:eastAsia="Calibri" w:hAnsi="Times New Roman" w:cs="Times New Roman"/>
          <w:i/>
          <w:sz w:val="24"/>
          <w:szCs w:val="24"/>
        </w:rPr>
        <w:t xml:space="preserve"> </w:t>
      </w:r>
      <w:proofErr w:type="spellStart"/>
      <w:r w:rsidRPr="00F42841">
        <w:rPr>
          <w:rFonts w:ascii="Times New Roman" w:eastAsia="Calibri" w:hAnsi="Times New Roman" w:cs="Times New Roman"/>
          <w:i/>
          <w:sz w:val="24"/>
          <w:szCs w:val="24"/>
        </w:rPr>
        <w:t>Compliance</w:t>
      </w:r>
      <w:proofErr w:type="spellEnd"/>
      <w:r w:rsidRPr="00F42841">
        <w:rPr>
          <w:rFonts w:ascii="Times New Roman" w:eastAsia="Calibri" w:hAnsi="Times New Roman" w:cs="Times New Roman"/>
          <w:i/>
          <w:sz w:val="24"/>
          <w:szCs w:val="24"/>
        </w:rPr>
        <w:t xml:space="preserve"> and </w:t>
      </w:r>
      <w:proofErr w:type="spellStart"/>
      <w:r w:rsidRPr="00F42841">
        <w:rPr>
          <w:rFonts w:ascii="Times New Roman" w:eastAsia="Calibri" w:hAnsi="Times New Roman" w:cs="Times New Roman"/>
          <w:i/>
          <w:sz w:val="24"/>
          <w:szCs w:val="24"/>
        </w:rPr>
        <w:t>Governance</w:t>
      </w:r>
      <w:proofErr w:type="spellEnd"/>
      <w:r w:rsidRPr="00F42841">
        <w:rPr>
          <w:rFonts w:ascii="Times New Roman" w:eastAsia="Calibri" w:hAnsi="Times New Roman" w:cs="Times New Roman"/>
          <w:sz w:val="24"/>
          <w:szCs w:val="24"/>
        </w:rPr>
        <w:t xml:space="preserve"> </w:t>
      </w:r>
      <w:r w:rsidRPr="00F42841">
        <w:rPr>
          <w:rFonts w:ascii="Times New Roman" w:eastAsia="Calibri" w:hAnsi="Times New Roman" w:cs="Times New Roman"/>
          <w:i/>
          <w:sz w:val="24"/>
          <w:szCs w:val="24"/>
        </w:rPr>
        <w:t>Forum</w:t>
      </w:r>
      <w:r w:rsidRPr="00F42841">
        <w:rPr>
          <w:rFonts w:ascii="Times New Roman" w:eastAsia="Calibri" w:hAnsi="Times New Roman" w:cs="Times New Roman"/>
          <w:sz w:val="24"/>
          <w:szCs w:val="24"/>
        </w:rPr>
        <w:t>, która ma za zadanie organizować pracę oraz wymianę informacji między ekspertami w państwach członkowskich UE w zakresie z</w:t>
      </w:r>
      <w:proofErr w:type="spellStart"/>
      <w:r w:rsidRPr="00F42841">
        <w:rPr>
          <w:rFonts w:ascii="Times New Roman" w:hAnsi="Times New Roman" w:cs="Times New Roman"/>
          <w:bCs/>
          <w:color w:val="000000"/>
          <w:sz w:val="24"/>
          <w:szCs w:val="24"/>
          <w:lang w:val="fr-FR"/>
        </w:rPr>
        <w:t>apewnienie</w:t>
      </w:r>
      <w:proofErr w:type="spellEnd"/>
      <w:r w:rsidRPr="00F42841">
        <w:rPr>
          <w:rFonts w:ascii="Times New Roman" w:hAnsi="Times New Roman" w:cs="Times New Roman"/>
          <w:bCs/>
          <w:color w:val="000000"/>
          <w:sz w:val="24"/>
          <w:szCs w:val="24"/>
          <w:lang w:val="fr-FR"/>
        </w:rPr>
        <w:t xml:space="preserve"> </w:t>
      </w:r>
      <w:proofErr w:type="spellStart"/>
      <w:r w:rsidRPr="00F42841">
        <w:rPr>
          <w:rFonts w:ascii="Times New Roman" w:hAnsi="Times New Roman" w:cs="Times New Roman"/>
          <w:bCs/>
          <w:color w:val="000000"/>
          <w:sz w:val="24"/>
          <w:szCs w:val="24"/>
          <w:lang w:val="fr-FR"/>
        </w:rPr>
        <w:t>zgodności</w:t>
      </w:r>
      <w:proofErr w:type="spellEnd"/>
      <w:r w:rsidRPr="00F42841">
        <w:rPr>
          <w:rFonts w:ascii="Times New Roman" w:hAnsi="Times New Roman" w:cs="Times New Roman"/>
          <w:bCs/>
          <w:color w:val="000000"/>
          <w:sz w:val="24"/>
          <w:szCs w:val="24"/>
          <w:lang w:val="fr-FR"/>
        </w:rPr>
        <w:t xml:space="preserve"> </w:t>
      </w:r>
      <w:proofErr w:type="spellStart"/>
      <w:r w:rsidRPr="00F42841">
        <w:rPr>
          <w:rFonts w:ascii="Times New Roman" w:hAnsi="Times New Roman" w:cs="Times New Roman"/>
          <w:bCs/>
          <w:color w:val="000000"/>
          <w:sz w:val="24"/>
          <w:szCs w:val="24"/>
          <w:lang w:val="fr-FR"/>
        </w:rPr>
        <w:t>działania</w:t>
      </w:r>
      <w:proofErr w:type="spellEnd"/>
      <w:r w:rsidRPr="00F42841">
        <w:rPr>
          <w:rFonts w:ascii="Times New Roman" w:hAnsi="Times New Roman" w:cs="Times New Roman"/>
          <w:bCs/>
          <w:color w:val="000000"/>
          <w:sz w:val="24"/>
          <w:szCs w:val="24"/>
          <w:lang w:val="fr-FR"/>
        </w:rPr>
        <w:t xml:space="preserve"> </w:t>
      </w:r>
      <w:proofErr w:type="spellStart"/>
      <w:r w:rsidRPr="00F42841">
        <w:rPr>
          <w:rFonts w:ascii="Times New Roman" w:hAnsi="Times New Roman" w:cs="Times New Roman"/>
          <w:bCs/>
          <w:color w:val="000000"/>
          <w:sz w:val="24"/>
          <w:szCs w:val="24"/>
          <w:lang w:val="fr-FR"/>
        </w:rPr>
        <w:t>podmiotów</w:t>
      </w:r>
      <w:proofErr w:type="spellEnd"/>
      <w:r w:rsidRPr="00F42841">
        <w:rPr>
          <w:rFonts w:ascii="Times New Roman" w:hAnsi="Times New Roman" w:cs="Times New Roman"/>
          <w:bCs/>
          <w:color w:val="000000"/>
          <w:sz w:val="24"/>
          <w:szCs w:val="24"/>
          <w:lang w:val="fr-FR"/>
        </w:rPr>
        <w:t xml:space="preserve"> </w:t>
      </w:r>
      <w:r w:rsidRPr="00F42841">
        <w:rPr>
          <w:rFonts w:ascii="Times New Roman" w:hAnsi="Times New Roman" w:cs="Times New Roman"/>
          <w:bCs/>
          <w:color w:val="000000"/>
          <w:sz w:val="24"/>
          <w:szCs w:val="24"/>
          <w:lang w:val="fr-FR"/>
        </w:rPr>
        <w:br/>
        <w:t xml:space="preserve">z </w:t>
      </w:r>
      <w:proofErr w:type="spellStart"/>
      <w:r w:rsidRPr="00F42841">
        <w:rPr>
          <w:rFonts w:ascii="Times New Roman" w:hAnsi="Times New Roman" w:cs="Times New Roman"/>
          <w:bCs/>
          <w:color w:val="000000"/>
          <w:sz w:val="24"/>
          <w:szCs w:val="24"/>
          <w:lang w:val="fr-FR"/>
        </w:rPr>
        <w:t>przepisami</w:t>
      </w:r>
      <w:proofErr w:type="spellEnd"/>
      <w:r w:rsidRPr="00F42841">
        <w:rPr>
          <w:rFonts w:ascii="Times New Roman" w:hAnsi="Times New Roman" w:cs="Times New Roman"/>
          <w:bCs/>
          <w:color w:val="000000"/>
          <w:sz w:val="24"/>
          <w:szCs w:val="24"/>
          <w:lang w:val="fr-FR"/>
        </w:rPr>
        <w:t xml:space="preserve"> </w:t>
      </w:r>
      <w:proofErr w:type="spellStart"/>
      <w:r>
        <w:rPr>
          <w:rFonts w:ascii="Times New Roman" w:hAnsi="Times New Roman" w:cs="Times New Roman"/>
          <w:bCs/>
          <w:color w:val="000000"/>
          <w:sz w:val="24"/>
          <w:szCs w:val="24"/>
          <w:lang w:val="fr-FR"/>
        </w:rPr>
        <w:t>ś</w:t>
      </w:r>
      <w:r w:rsidRPr="00F42841">
        <w:rPr>
          <w:rFonts w:ascii="Times New Roman" w:hAnsi="Times New Roman" w:cs="Times New Roman"/>
          <w:bCs/>
          <w:color w:val="000000"/>
          <w:sz w:val="24"/>
          <w:szCs w:val="24"/>
          <w:lang w:val="fr-FR"/>
        </w:rPr>
        <w:t>rodowiskowymi</w:t>
      </w:r>
      <w:proofErr w:type="spellEnd"/>
      <w:r w:rsidRPr="00F42841">
        <w:rPr>
          <w:rFonts w:ascii="Times New Roman" w:hAnsi="Times New Roman" w:cs="Times New Roman"/>
          <w:bCs/>
          <w:color w:val="000000"/>
          <w:sz w:val="24"/>
          <w:szCs w:val="24"/>
          <w:lang w:val="fr-FR"/>
        </w:rPr>
        <w:t>.</w:t>
      </w:r>
    </w:p>
    <w:p w14:paraId="6DD72E47" w14:textId="77777777" w:rsidR="0027323A" w:rsidRPr="00F42841" w:rsidRDefault="0027323A" w:rsidP="00D80FBD">
      <w:pPr>
        <w:tabs>
          <w:tab w:val="left" w:pos="5040"/>
        </w:tabs>
        <w:spacing w:after="60" w:line="300" w:lineRule="atLeast"/>
        <w:ind w:firstLine="567"/>
        <w:jc w:val="both"/>
        <w:rPr>
          <w:rFonts w:ascii="Times New Roman" w:hAnsi="Times New Roman" w:cs="Times New Roman"/>
          <w:sz w:val="24"/>
          <w:szCs w:val="24"/>
        </w:rPr>
      </w:pPr>
      <w:r w:rsidRPr="00F42841">
        <w:rPr>
          <w:rFonts w:ascii="Times New Roman" w:eastAsia="Calibri" w:hAnsi="Times New Roman" w:cs="Times New Roman"/>
          <w:sz w:val="24"/>
          <w:szCs w:val="24"/>
        </w:rPr>
        <w:t xml:space="preserve">W latach 2018-2021 opracowano i przekazano do stosowania w  krajach członkowskich UE wytyczne </w:t>
      </w:r>
      <w:r w:rsidRPr="00F42841">
        <w:rPr>
          <w:rFonts w:ascii="Times New Roman" w:hAnsi="Times New Roman" w:cs="Times New Roman"/>
          <w:sz w:val="24"/>
          <w:szCs w:val="24"/>
        </w:rPr>
        <w:t>w zakresie:</w:t>
      </w:r>
    </w:p>
    <w:p w14:paraId="73174370" w14:textId="77777777" w:rsidR="0027323A" w:rsidRPr="00F42841" w:rsidRDefault="0027323A" w:rsidP="00D80FBD">
      <w:pPr>
        <w:numPr>
          <w:ilvl w:val="0"/>
          <w:numId w:val="346"/>
        </w:numPr>
        <w:spacing w:after="0" w:line="300" w:lineRule="atLeast"/>
        <w:ind w:left="369"/>
        <w:jc w:val="both"/>
        <w:rPr>
          <w:rFonts w:ascii="Times New Roman" w:hAnsi="Times New Roman" w:cs="Times New Roman"/>
          <w:sz w:val="24"/>
          <w:szCs w:val="24"/>
        </w:rPr>
      </w:pPr>
      <w:r w:rsidRPr="00F42841">
        <w:rPr>
          <w:rFonts w:ascii="Times New Roman" w:hAnsi="Times New Roman" w:cs="Times New Roman"/>
          <w:sz w:val="24"/>
          <w:szCs w:val="24"/>
        </w:rPr>
        <w:t xml:space="preserve">zwalczania przestępstw przeciwko środowisku, ze szczególnym nastawieniem </w:t>
      </w:r>
      <w:r w:rsidRPr="00F42841">
        <w:rPr>
          <w:rFonts w:ascii="Times New Roman" w:hAnsi="Times New Roman" w:cs="Times New Roman"/>
          <w:sz w:val="24"/>
          <w:szCs w:val="24"/>
        </w:rPr>
        <w:br/>
        <w:t>na przestępstwa w zakresie gospodarowania odpadami - działanie ECG nr. 4;</w:t>
      </w:r>
    </w:p>
    <w:p w14:paraId="5E832462" w14:textId="77777777" w:rsidR="0027323A" w:rsidRPr="00F42841" w:rsidRDefault="0027323A" w:rsidP="00D80FBD">
      <w:pPr>
        <w:numPr>
          <w:ilvl w:val="0"/>
          <w:numId w:val="346"/>
        </w:numPr>
        <w:spacing w:after="0" w:line="300" w:lineRule="atLeast"/>
        <w:ind w:left="369"/>
        <w:jc w:val="both"/>
        <w:rPr>
          <w:rFonts w:ascii="Times New Roman" w:hAnsi="Times New Roman" w:cs="Times New Roman"/>
          <w:sz w:val="24"/>
          <w:szCs w:val="24"/>
        </w:rPr>
      </w:pPr>
      <w:r w:rsidRPr="00F42841">
        <w:rPr>
          <w:rFonts w:ascii="Times New Roman" w:hAnsi="Times New Roman" w:cs="Times New Roman"/>
          <w:sz w:val="24"/>
          <w:szCs w:val="24"/>
        </w:rPr>
        <w:t>zgodności z wymogami środowiskowymi na obszarach wiejskich (w zakresie ochrony powierzchni ziemi oraz wód) - działanie ECG nr. 5;</w:t>
      </w:r>
    </w:p>
    <w:p w14:paraId="6817B7D0" w14:textId="77777777" w:rsidR="0027323A" w:rsidRPr="00F42841" w:rsidRDefault="0027323A" w:rsidP="00D80FBD">
      <w:pPr>
        <w:numPr>
          <w:ilvl w:val="0"/>
          <w:numId w:val="346"/>
        </w:numPr>
        <w:spacing w:after="0" w:line="300" w:lineRule="atLeast"/>
        <w:ind w:left="369"/>
        <w:jc w:val="both"/>
        <w:rPr>
          <w:rFonts w:ascii="Times New Roman" w:hAnsi="Times New Roman" w:cs="Times New Roman"/>
          <w:sz w:val="24"/>
          <w:szCs w:val="24"/>
        </w:rPr>
      </w:pPr>
      <w:r w:rsidRPr="00F42841">
        <w:rPr>
          <w:rFonts w:ascii="Times New Roman" w:hAnsi="Times New Roman" w:cs="Times New Roman"/>
          <w:sz w:val="24"/>
          <w:szCs w:val="24"/>
        </w:rPr>
        <w:t>skutecznych krajowych mechanizmów rozpatrywania skarg oraz skarg, jako źródeł wiedzy dla społeczeństwa w zakresie unijnego prawa ochrony środowiska – działanie ECG nr. 7.</w:t>
      </w:r>
    </w:p>
    <w:p w14:paraId="70F39C32" w14:textId="77777777" w:rsidR="0027323A" w:rsidRPr="00F42841" w:rsidRDefault="0027323A" w:rsidP="00D80FBD">
      <w:pPr>
        <w:spacing w:after="0" w:line="300" w:lineRule="atLeast"/>
        <w:jc w:val="both"/>
        <w:rPr>
          <w:rFonts w:ascii="Times New Roman" w:eastAsia="Calibri" w:hAnsi="Times New Roman" w:cs="Times New Roman"/>
          <w:sz w:val="24"/>
          <w:szCs w:val="24"/>
        </w:rPr>
      </w:pPr>
      <w:r w:rsidRPr="00F42841">
        <w:rPr>
          <w:rFonts w:ascii="Times New Roman" w:eastAsia="Calibri" w:hAnsi="Times New Roman" w:cs="Times New Roman"/>
          <w:sz w:val="24"/>
          <w:szCs w:val="24"/>
        </w:rPr>
        <w:t>Ponadto</w:t>
      </w:r>
      <w:r>
        <w:rPr>
          <w:rFonts w:ascii="Times New Roman" w:eastAsia="Calibri" w:hAnsi="Times New Roman" w:cs="Times New Roman"/>
          <w:sz w:val="24"/>
          <w:szCs w:val="24"/>
        </w:rPr>
        <w:t xml:space="preserve"> </w:t>
      </w:r>
      <w:r w:rsidRPr="00F42841">
        <w:rPr>
          <w:rFonts w:ascii="Times New Roman" w:eastAsia="Calibri" w:hAnsi="Times New Roman" w:cs="Times New Roman"/>
          <w:sz w:val="24"/>
          <w:szCs w:val="24"/>
        </w:rPr>
        <w:t xml:space="preserve">Komisja Europejska opracowała plan działań inicjatywy ECG na lata 2020+.  </w:t>
      </w:r>
    </w:p>
    <w:p w14:paraId="216EE841" w14:textId="52962FFE" w:rsidR="0027323A" w:rsidRDefault="0027323A" w:rsidP="00D80FBD">
      <w:pPr>
        <w:spacing w:after="120" w:line="300" w:lineRule="atLeast"/>
        <w:jc w:val="both"/>
        <w:rPr>
          <w:rFonts w:ascii="Times New Roman" w:hAnsi="Times New Roman" w:cs="Times New Roman"/>
          <w:sz w:val="24"/>
          <w:szCs w:val="24"/>
        </w:rPr>
      </w:pPr>
      <w:r>
        <w:rPr>
          <w:rFonts w:ascii="Times New Roman" w:hAnsi="Times New Roman" w:cs="Times New Roman"/>
          <w:sz w:val="24"/>
          <w:szCs w:val="24"/>
        </w:rPr>
        <w:t>Dodatkowo, w</w:t>
      </w:r>
      <w:r w:rsidRPr="00F42841">
        <w:rPr>
          <w:rFonts w:ascii="Times New Roman" w:hAnsi="Times New Roman" w:cs="Times New Roman"/>
          <w:sz w:val="24"/>
          <w:szCs w:val="24"/>
        </w:rPr>
        <w:t xml:space="preserve"> roku 2022 odbyły się warsztaty </w:t>
      </w:r>
      <w:bookmarkStart w:id="472" w:name="_Hlk114490627"/>
      <w:r w:rsidRPr="00F42841">
        <w:rPr>
          <w:rFonts w:ascii="Times New Roman" w:hAnsi="Times New Roman" w:cs="Times New Roman"/>
          <w:sz w:val="24"/>
          <w:szCs w:val="24"/>
        </w:rPr>
        <w:t xml:space="preserve">dotyczące nowej </w:t>
      </w:r>
      <w:r w:rsidRPr="00F42841">
        <w:rPr>
          <w:rFonts w:ascii="Times New Roman" w:eastAsia="Calibri" w:hAnsi="Times New Roman" w:cs="Times New Roman"/>
          <w:i/>
          <w:iCs/>
          <w:sz w:val="24"/>
          <w:szCs w:val="24"/>
        </w:rPr>
        <w:t xml:space="preserve">Dyrektywy Parlamentu Europejskiego i Rady 2008/99/WE </w:t>
      </w:r>
      <w:r w:rsidRPr="00F42841">
        <w:rPr>
          <w:rFonts w:ascii="Times New Roman" w:eastAsia="Calibri" w:hAnsi="Times New Roman" w:cs="Times New Roman"/>
          <w:sz w:val="24"/>
          <w:szCs w:val="24"/>
        </w:rPr>
        <w:t>w sprawie ochrony środowiska poprzez prawo karne</w:t>
      </w:r>
      <w:bookmarkEnd w:id="472"/>
      <w:r w:rsidR="00777780">
        <w:rPr>
          <w:rFonts w:ascii="Times New Roman" w:eastAsia="Calibri" w:hAnsi="Times New Roman" w:cs="Times New Roman"/>
          <w:sz w:val="24"/>
          <w:szCs w:val="24"/>
        </w:rPr>
        <w:t>.</w:t>
      </w:r>
    </w:p>
    <w:p w14:paraId="0BEC1A55" w14:textId="5E55E3D1" w:rsidR="008D1F2B" w:rsidRPr="003B5656" w:rsidRDefault="0027323A" w:rsidP="00D80FBD">
      <w:pPr>
        <w:spacing w:after="60" w:line="300" w:lineRule="atLeast"/>
        <w:jc w:val="both"/>
        <w:rPr>
          <w:rFonts w:ascii="Times New Roman" w:hAnsi="Times New Roman" w:cs="Times New Roman"/>
          <w:sz w:val="24"/>
          <w:szCs w:val="24"/>
        </w:rPr>
      </w:pPr>
      <w:r>
        <w:rPr>
          <w:rFonts w:ascii="Times New Roman" w:hAnsi="Times New Roman" w:cs="Times New Roman"/>
          <w:sz w:val="24"/>
          <w:szCs w:val="24"/>
        </w:rPr>
        <w:t>Ponadto, u</w:t>
      </w:r>
      <w:r w:rsidR="008D1F2B" w:rsidRPr="003B5656">
        <w:rPr>
          <w:rFonts w:ascii="Times New Roman" w:hAnsi="Times New Roman" w:cs="Times New Roman"/>
          <w:sz w:val="24"/>
          <w:szCs w:val="24"/>
        </w:rPr>
        <w:t>czestniczono m.in. w:</w:t>
      </w:r>
    </w:p>
    <w:p w14:paraId="7BBAF65B" w14:textId="7C3F0A5C" w:rsidR="008D1F2B" w:rsidRPr="00AF0576" w:rsidRDefault="008D1F2B" w:rsidP="00D80FBD">
      <w:pPr>
        <w:pStyle w:val="Akapitzlist"/>
        <w:numPr>
          <w:ilvl w:val="0"/>
          <w:numId w:val="344"/>
        </w:numPr>
        <w:spacing w:line="300" w:lineRule="atLeast"/>
        <w:jc w:val="both"/>
        <w:rPr>
          <w:sz w:val="24"/>
          <w:szCs w:val="24"/>
        </w:rPr>
      </w:pPr>
      <w:r w:rsidRPr="00AF0576">
        <w:rPr>
          <w:sz w:val="24"/>
          <w:szCs w:val="24"/>
        </w:rPr>
        <w:t xml:space="preserve">warsztatach użytkowników narzędzia CAMS – usługi monitorowania atmosfery programu Copernicus – organizowanych przez Komisję Europejską w Brukseli </w:t>
      </w:r>
      <w:r w:rsidR="00993F56">
        <w:rPr>
          <w:sz w:val="24"/>
          <w:szCs w:val="24"/>
        </w:rPr>
        <w:br/>
      </w:r>
      <w:r w:rsidRPr="00AF0576">
        <w:rPr>
          <w:sz w:val="24"/>
          <w:szCs w:val="24"/>
        </w:rPr>
        <w:lastRenderedPageBreak/>
        <w:t>w listopadzie 2022 r., gdzie wygłoszono prezentację nt. polskiej metodologii wykorzystywania CAMS do identyfikacji udziału pyłu z Sahary;</w:t>
      </w:r>
    </w:p>
    <w:p w14:paraId="4E8A0C33" w14:textId="77777777" w:rsidR="008D1F2B" w:rsidRPr="00AF0576" w:rsidRDefault="008D1F2B" w:rsidP="00D80FBD">
      <w:pPr>
        <w:pStyle w:val="Akapitzlist"/>
        <w:numPr>
          <w:ilvl w:val="0"/>
          <w:numId w:val="344"/>
        </w:numPr>
        <w:spacing w:after="120" w:line="300" w:lineRule="atLeast"/>
        <w:ind w:left="714" w:hanging="357"/>
        <w:contextualSpacing w:val="0"/>
        <w:jc w:val="both"/>
        <w:rPr>
          <w:sz w:val="24"/>
          <w:szCs w:val="24"/>
        </w:rPr>
      </w:pPr>
      <w:r w:rsidRPr="00AF0576">
        <w:rPr>
          <w:sz w:val="24"/>
          <w:szCs w:val="24"/>
        </w:rPr>
        <w:t>opiniowaniu dokumentów przekazywanych w ramach konsultacji koordynowanych przez inne instytucje, w tym Ministerstwo Klimatu i Środowiska (</w:t>
      </w:r>
      <w:proofErr w:type="spellStart"/>
      <w:r w:rsidRPr="00AF0576">
        <w:rPr>
          <w:sz w:val="24"/>
          <w:szCs w:val="24"/>
        </w:rPr>
        <w:t>MKiŚ</w:t>
      </w:r>
      <w:proofErr w:type="spellEnd"/>
      <w:r w:rsidRPr="00AF0576">
        <w:rPr>
          <w:sz w:val="24"/>
          <w:szCs w:val="24"/>
        </w:rPr>
        <w:t>).</w:t>
      </w:r>
    </w:p>
    <w:p w14:paraId="336C34B8" w14:textId="7AA3034F" w:rsidR="003738D0" w:rsidRPr="007F400A" w:rsidRDefault="008D1F2B" w:rsidP="00D80FBD">
      <w:pPr>
        <w:spacing w:after="0" w:line="300" w:lineRule="atLeast"/>
        <w:jc w:val="both"/>
        <w:rPr>
          <w:rFonts w:ascii="Times New Roman" w:eastAsia="Arial" w:hAnsi="Times New Roman" w:cs="Times New Roman"/>
          <w:iCs/>
          <w:sz w:val="24"/>
          <w:szCs w:val="24"/>
          <w:lang w:val="x-none" w:eastAsia="pl-PL"/>
        </w:rPr>
      </w:pPr>
      <w:r w:rsidRPr="003B5656">
        <w:rPr>
          <w:rFonts w:ascii="Times New Roman" w:hAnsi="Times New Roman" w:cs="Times New Roman"/>
          <w:sz w:val="24"/>
          <w:szCs w:val="24"/>
        </w:rPr>
        <w:t xml:space="preserve">Należy mieć na uwadze, że GIOŚ realizował sprawozdawczość do Komisji Europejskiej, wymaganą przepisami UE, </w:t>
      </w:r>
      <w:r w:rsidRPr="004E1515">
        <w:rPr>
          <w:rFonts w:ascii="Times New Roman" w:hAnsi="Times New Roman" w:cs="Times New Roman"/>
          <w:i/>
          <w:sz w:val="24"/>
          <w:szCs w:val="24"/>
        </w:rPr>
        <w:t>co opisano m.in. w rozdziale 5. Monitoring środowiska</w:t>
      </w:r>
      <w:r w:rsidR="00777780">
        <w:rPr>
          <w:rFonts w:ascii="Times New Roman" w:hAnsi="Times New Roman" w:cs="Times New Roman"/>
          <w:i/>
          <w:sz w:val="24"/>
          <w:szCs w:val="24"/>
        </w:rPr>
        <w:t>.</w:t>
      </w:r>
    </w:p>
    <w:p w14:paraId="0099F842" w14:textId="77777777" w:rsidR="0088799F" w:rsidRPr="007F400A" w:rsidRDefault="0088799F" w:rsidP="00D80FBD">
      <w:pPr>
        <w:spacing w:after="0" w:line="300" w:lineRule="atLeast"/>
        <w:ind w:left="380"/>
        <w:jc w:val="both"/>
        <w:rPr>
          <w:rFonts w:ascii="Times New Roman" w:eastAsia="Times New Roman" w:hAnsi="Times New Roman" w:cs="Times New Roman"/>
          <w:sz w:val="24"/>
          <w:szCs w:val="24"/>
          <w:lang w:eastAsia="x-none"/>
        </w:rPr>
      </w:pPr>
    </w:p>
    <w:p w14:paraId="35C0F718" w14:textId="77777777" w:rsidR="00F54F88" w:rsidRPr="007F400A" w:rsidRDefault="00F54F88" w:rsidP="00D80FBD">
      <w:pPr>
        <w:keepNext/>
        <w:spacing w:after="120" w:line="300" w:lineRule="atLeast"/>
        <w:ind w:left="284" w:hanging="284"/>
        <w:jc w:val="both"/>
        <w:outlineLvl w:val="0"/>
        <w:rPr>
          <w:rFonts w:ascii="Times New Roman" w:eastAsia="Times New Roman" w:hAnsi="Times New Roman" w:cs="Times New Roman"/>
          <w:b/>
          <w:bCs/>
          <w:sz w:val="24"/>
          <w:szCs w:val="24"/>
          <w:lang w:val="x-none" w:eastAsia="x-none"/>
        </w:rPr>
      </w:pPr>
      <w:bookmarkStart w:id="473" w:name="_Toc135935739"/>
      <w:r w:rsidRPr="007F400A">
        <w:rPr>
          <w:rFonts w:ascii="Times New Roman" w:eastAsia="Times New Roman" w:hAnsi="Times New Roman" w:cs="Times New Roman"/>
          <w:b/>
          <w:bCs/>
          <w:sz w:val="24"/>
          <w:szCs w:val="24"/>
          <w:lang w:val="x-none" w:eastAsia="x-none"/>
        </w:rPr>
        <w:t xml:space="preserve">4. Udział Inspekcji </w:t>
      </w:r>
      <w:r w:rsidRPr="007F400A">
        <w:rPr>
          <w:rFonts w:ascii="Times New Roman" w:eastAsia="Times New Roman" w:hAnsi="Times New Roman" w:cs="Times New Roman"/>
          <w:b/>
          <w:bCs/>
          <w:sz w:val="24"/>
          <w:szCs w:val="24"/>
          <w:lang w:eastAsia="x-none"/>
        </w:rPr>
        <w:t xml:space="preserve">Ochrony Środowiska </w:t>
      </w:r>
      <w:r w:rsidRPr="007F400A">
        <w:rPr>
          <w:rFonts w:ascii="Times New Roman" w:eastAsia="Times New Roman" w:hAnsi="Times New Roman" w:cs="Times New Roman"/>
          <w:b/>
          <w:bCs/>
          <w:sz w:val="24"/>
          <w:szCs w:val="24"/>
          <w:lang w:val="x-none" w:eastAsia="x-none"/>
        </w:rPr>
        <w:t xml:space="preserve">w wypełnianiu zadań wynikających dla Polski </w:t>
      </w:r>
      <w:r w:rsidRPr="007F400A">
        <w:rPr>
          <w:rFonts w:ascii="Times New Roman" w:eastAsia="Times New Roman" w:hAnsi="Times New Roman" w:cs="Times New Roman"/>
          <w:b/>
          <w:bCs/>
          <w:sz w:val="24"/>
          <w:szCs w:val="24"/>
          <w:lang w:val="x-none" w:eastAsia="x-none"/>
        </w:rPr>
        <w:br/>
        <w:t>z konwencji i umów międzynarodowych</w:t>
      </w:r>
      <w:bookmarkEnd w:id="473"/>
    </w:p>
    <w:p w14:paraId="54775D89" w14:textId="6D5C3873" w:rsidR="00F54F88" w:rsidRPr="007F400A" w:rsidRDefault="00F54F88" w:rsidP="00D80FBD">
      <w:pPr>
        <w:spacing w:after="60" w:line="300" w:lineRule="atLeast"/>
        <w:ind w:left="397" w:hanging="397"/>
        <w:jc w:val="both"/>
        <w:rPr>
          <w:rFonts w:ascii="Times New Roman" w:eastAsia="Calibri" w:hAnsi="Times New Roman" w:cs="Times New Roman"/>
          <w:b/>
          <w:sz w:val="24"/>
          <w:szCs w:val="24"/>
          <w:lang w:eastAsia="pl-PL"/>
        </w:rPr>
      </w:pPr>
      <w:r w:rsidRPr="007F400A">
        <w:rPr>
          <w:rFonts w:ascii="Times New Roman" w:eastAsia="Calibri" w:hAnsi="Times New Roman" w:cs="Times New Roman"/>
          <w:b/>
          <w:sz w:val="24"/>
          <w:szCs w:val="24"/>
          <w:lang w:eastAsia="pl-PL"/>
        </w:rPr>
        <w:t>4.1 Konwencja o ochronie środowiska morskiego obszaru Morza Bałtyckiego (Konwencja Helsińska)</w:t>
      </w:r>
    </w:p>
    <w:p w14:paraId="49BC9003" w14:textId="06F7D09C" w:rsidR="00993F56" w:rsidRDefault="00777780" w:rsidP="00D80FBD">
      <w:pPr>
        <w:spacing w:after="0" w:line="300" w:lineRule="atLeast"/>
        <w:ind w:firstLine="567"/>
        <w:jc w:val="both"/>
        <w:rPr>
          <w:rFonts w:ascii="Times New Roman" w:hAnsi="Times New Roman" w:cs="Times New Roman"/>
          <w:sz w:val="24"/>
          <w:szCs w:val="24"/>
        </w:rPr>
      </w:pPr>
      <w:r>
        <w:rPr>
          <w:rFonts w:ascii="Times New Roman" w:hAnsi="Times New Roman" w:cs="Times New Roman"/>
          <w:sz w:val="24"/>
          <w:szCs w:val="24"/>
        </w:rPr>
        <w:t>Przedstawiciele GIOŚ u</w:t>
      </w:r>
      <w:r w:rsidR="00993F56" w:rsidRPr="003B5656">
        <w:rPr>
          <w:rFonts w:ascii="Times New Roman" w:hAnsi="Times New Roman" w:cs="Times New Roman"/>
          <w:sz w:val="24"/>
          <w:szCs w:val="24"/>
        </w:rPr>
        <w:t>czestnicz</w:t>
      </w:r>
      <w:r>
        <w:rPr>
          <w:rFonts w:ascii="Times New Roman" w:hAnsi="Times New Roman" w:cs="Times New Roman"/>
          <w:sz w:val="24"/>
          <w:szCs w:val="24"/>
        </w:rPr>
        <w:t>yli</w:t>
      </w:r>
      <w:r w:rsidR="00993F56" w:rsidRPr="003B5656">
        <w:rPr>
          <w:rFonts w:ascii="Times New Roman" w:hAnsi="Times New Roman" w:cs="Times New Roman"/>
          <w:sz w:val="24"/>
          <w:szCs w:val="24"/>
        </w:rPr>
        <w:t xml:space="preserve"> w pracach </w:t>
      </w:r>
      <w:r w:rsidR="00993F56">
        <w:rPr>
          <w:rFonts w:ascii="Times New Roman" w:hAnsi="Times New Roman" w:cs="Times New Roman"/>
          <w:sz w:val="24"/>
          <w:szCs w:val="24"/>
        </w:rPr>
        <w:t>dwóch</w:t>
      </w:r>
      <w:r w:rsidR="00993F56" w:rsidRPr="003B5656">
        <w:rPr>
          <w:rFonts w:ascii="Times New Roman" w:hAnsi="Times New Roman" w:cs="Times New Roman"/>
          <w:sz w:val="24"/>
          <w:szCs w:val="24"/>
        </w:rPr>
        <w:t xml:space="preserve"> grup roboczych HELCOM: ds. podejścia ekosystemowego (GEAR) oraz ds. stanu środowiska i jego ochrony (</w:t>
      </w:r>
      <w:proofErr w:type="spellStart"/>
      <w:r w:rsidR="00993F56" w:rsidRPr="003B5656">
        <w:rPr>
          <w:rFonts w:ascii="Times New Roman" w:hAnsi="Times New Roman" w:cs="Times New Roman"/>
          <w:sz w:val="24"/>
          <w:szCs w:val="24"/>
        </w:rPr>
        <w:t>State</w:t>
      </w:r>
      <w:proofErr w:type="spellEnd"/>
      <w:r w:rsidR="00993F56">
        <w:rPr>
          <w:rFonts w:ascii="Times New Roman" w:hAnsi="Times New Roman" w:cs="Times New Roman"/>
          <w:sz w:val="24"/>
          <w:szCs w:val="24"/>
        </w:rPr>
        <w:t xml:space="preserve"> </w:t>
      </w:r>
      <w:r w:rsidR="00993F56" w:rsidRPr="003B5656">
        <w:rPr>
          <w:rFonts w:ascii="Times New Roman" w:hAnsi="Times New Roman" w:cs="Times New Roman"/>
          <w:sz w:val="24"/>
          <w:szCs w:val="24"/>
        </w:rPr>
        <w:t>&amp;</w:t>
      </w:r>
      <w:r w:rsidR="00993F56">
        <w:rPr>
          <w:rFonts w:ascii="Times New Roman" w:hAnsi="Times New Roman" w:cs="Times New Roman"/>
          <w:sz w:val="24"/>
          <w:szCs w:val="24"/>
        </w:rPr>
        <w:t xml:space="preserve"> </w:t>
      </w:r>
      <w:proofErr w:type="spellStart"/>
      <w:r w:rsidR="00993F56" w:rsidRPr="003B5656">
        <w:rPr>
          <w:rFonts w:ascii="Times New Roman" w:hAnsi="Times New Roman" w:cs="Times New Roman"/>
          <w:sz w:val="24"/>
          <w:szCs w:val="24"/>
        </w:rPr>
        <w:t>Conservation</w:t>
      </w:r>
      <w:proofErr w:type="spellEnd"/>
      <w:r w:rsidR="00993F56" w:rsidRPr="003B5656">
        <w:rPr>
          <w:rFonts w:ascii="Times New Roman" w:hAnsi="Times New Roman" w:cs="Times New Roman"/>
          <w:sz w:val="24"/>
          <w:szCs w:val="24"/>
        </w:rPr>
        <w:t xml:space="preserve">). Ponadto, pracownicy GIOŚ lub nominowani przez GIOŚ eksperci zewnętrzni uczestniczyli w pracach 14 różnych grup eksperckich, dedykowanych poszczególnym oddzielnym tematom dotyczącym: eutrofizacji, siedlisk dennych, siedlisk pelagicznych, łańcuchów troficznych, ssaków, ptaków morskich (w tym nowopowstałej grupy eksperckiej ds. ptaków migrujących), gatunków obcych, klimatu, hałasu podwodnego, substancji szkodliwych, radioaktywnych oraz odpadów. </w:t>
      </w:r>
    </w:p>
    <w:p w14:paraId="59C582F1" w14:textId="3FE9D916" w:rsidR="00993F56" w:rsidRDefault="00993F56" w:rsidP="00D80FBD">
      <w:pPr>
        <w:spacing w:after="0" w:line="300" w:lineRule="atLeast"/>
        <w:ind w:firstLine="567"/>
        <w:jc w:val="both"/>
        <w:rPr>
          <w:rFonts w:ascii="Times New Roman" w:hAnsi="Times New Roman" w:cs="Times New Roman"/>
          <w:sz w:val="24"/>
          <w:szCs w:val="24"/>
        </w:rPr>
      </w:pPr>
      <w:r w:rsidRPr="003B5656">
        <w:rPr>
          <w:rFonts w:ascii="Times New Roman" w:hAnsi="Times New Roman" w:cs="Times New Roman"/>
          <w:sz w:val="24"/>
          <w:szCs w:val="24"/>
        </w:rPr>
        <w:t>Kontynuowan</w:t>
      </w:r>
      <w:r w:rsidR="00777780">
        <w:rPr>
          <w:rFonts w:ascii="Times New Roman" w:hAnsi="Times New Roman" w:cs="Times New Roman"/>
          <w:sz w:val="24"/>
          <w:szCs w:val="24"/>
        </w:rPr>
        <w:t>a</w:t>
      </w:r>
      <w:r w:rsidRPr="003B5656">
        <w:rPr>
          <w:rFonts w:ascii="Times New Roman" w:hAnsi="Times New Roman" w:cs="Times New Roman"/>
          <w:sz w:val="24"/>
          <w:szCs w:val="24"/>
        </w:rPr>
        <w:t xml:space="preserve"> </w:t>
      </w:r>
      <w:r w:rsidR="00777780">
        <w:rPr>
          <w:rFonts w:ascii="Times New Roman" w:hAnsi="Times New Roman" w:cs="Times New Roman"/>
          <w:sz w:val="24"/>
          <w:szCs w:val="24"/>
        </w:rPr>
        <w:t xml:space="preserve">była </w:t>
      </w:r>
      <w:r w:rsidRPr="003B5656">
        <w:rPr>
          <w:rFonts w:ascii="Times New Roman" w:hAnsi="Times New Roman" w:cs="Times New Roman"/>
          <w:sz w:val="24"/>
          <w:szCs w:val="24"/>
        </w:rPr>
        <w:t>współprac</w:t>
      </w:r>
      <w:r w:rsidR="00777780">
        <w:rPr>
          <w:rFonts w:ascii="Times New Roman" w:hAnsi="Times New Roman" w:cs="Times New Roman"/>
          <w:sz w:val="24"/>
          <w:szCs w:val="24"/>
        </w:rPr>
        <w:t>a</w:t>
      </w:r>
      <w:r w:rsidRPr="003B5656">
        <w:rPr>
          <w:rFonts w:ascii="Times New Roman" w:hAnsi="Times New Roman" w:cs="Times New Roman"/>
          <w:sz w:val="24"/>
          <w:szCs w:val="24"/>
        </w:rPr>
        <w:t xml:space="preserve"> nad przygotowaniami oraz rozpoczęto opracowanie kolejnej holistycznej oceny stanu środowiska wód morskich – HELCOM HOLAS 3. Zakończon</w:t>
      </w:r>
      <w:r w:rsidR="00777780">
        <w:rPr>
          <w:rFonts w:ascii="Times New Roman" w:hAnsi="Times New Roman" w:cs="Times New Roman"/>
          <w:sz w:val="24"/>
          <w:szCs w:val="24"/>
        </w:rPr>
        <w:t>e</w:t>
      </w:r>
      <w:r w:rsidRPr="003B5656">
        <w:rPr>
          <w:rFonts w:ascii="Times New Roman" w:hAnsi="Times New Roman" w:cs="Times New Roman"/>
          <w:sz w:val="24"/>
          <w:szCs w:val="24"/>
        </w:rPr>
        <w:t xml:space="preserve"> </w:t>
      </w:r>
      <w:r w:rsidR="00777780">
        <w:rPr>
          <w:rFonts w:ascii="Times New Roman" w:hAnsi="Times New Roman" w:cs="Times New Roman"/>
          <w:sz w:val="24"/>
          <w:szCs w:val="24"/>
        </w:rPr>
        <w:t xml:space="preserve">zostały </w:t>
      </w:r>
      <w:r w:rsidRPr="003B5656">
        <w:rPr>
          <w:rFonts w:ascii="Times New Roman" w:hAnsi="Times New Roman" w:cs="Times New Roman"/>
          <w:sz w:val="24"/>
          <w:szCs w:val="24"/>
        </w:rPr>
        <w:t xml:space="preserve">prace nad wyznaczonymi wskaźnikami celem włączenia ich do ww. oceny. Wspólnie z Ministerstwem Infrastruktury (MI) uczestniczono w pracach grupy korespondencyjnej ds. krajowej koordynacji opracowywania ww. oceny. Przedstawiciel GIOŚ skoordynował weryfikację wskaźników i serii danych do ich obliczenia oraz weryfikację raportów wskaźnikowych. </w:t>
      </w:r>
    </w:p>
    <w:p w14:paraId="6974C14E" w14:textId="275822EC" w:rsidR="00993F56" w:rsidRPr="003B5656" w:rsidRDefault="00993F56" w:rsidP="00D80FBD">
      <w:pPr>
        <w:spacing w:after="0" w:line="300" w:lineRule="atLeast"/>
        <w:ind w:firstLine="567"/>
        <w:jc w:val="both"/>
        <w:rPr>
          <w:rFonts w:ascii="Times New Roman" w:hAnsi="Times New Roman" w:cs="Times New Roman"/>
          <w:sz w:val="24"/>
          <w:szCs w:val="24"/>
        </w:rPr>
      </w:pPr>
      <w:r w:rsidRPr="003B5656">
        <w:rPr>
          <w:rFonts w:ascii="Times New Roman" w:hAnsi="Times New Roman" w:cs="Times New Roman"/>
          <w:sz w:val="24"/>
          <w:szCs w:val="24"/>
        </w:rPr>
        <w:t>W związku z reorganizacją struktury roboczej grup HELCOM, będąc</w:t>
      </w:r>
      <w:r w:rsidR="00777780">
        <w:rPr>
          <w:rFonts w:ascii="Times New Roman" w:hAnsi="Times New Roman" w:cs="Times New Roman"/>
          <w:sz w:val="24"/>
          <w:szCs w:val="24"/>
        </w:rPr>
        <w:t>ą</w:t>
      </w:r>
      <w:r w:rsidRPr="003B5656">
        <w:rPr>
          <w:rFonts w:ascii="Times New Roman" w:hAnsi="Times New Roman" w:cs="Times New Roman"/>
          <w:sz w:val="24"/>
          <w:szCs w:val="24"/>
        </w:rPr>
        <w:t xml:space="preserve"> skutkiem wdrażania zaktualizowanego Bałtyckiego Planu Działania, podczas spotkań roboczych oraz korespondencyjnie uczestniczono w opracowywaniu i opiniowaniu zasad działania i planów pracy dla nowo powstających grup roboczych – następcy </w:t>
      </w:r>
      <w:proofErr w:type="spellStart"/>
      <w:r w:rsidRPr="003B5656">
        <w:rPr>
          <w:rFonts w:ascii="Times New Roman" w:hAnsi="Times New Roman" w:cs="Times New Roman"/>
          <w:sz w:val="24"/>
          <w:szCs w:val="24"/>
        </w:rPr>
        <w:t>State&amp;Conservation</w:t>
      </w:r>
      <w:proofErr w:type="spellEnd"/>
      <w:r w:rsidRPr="003B5656">
        <w:rPr>
          <w:rFonts w:ascii="Times New Roman" w:hAnsi="Times New Roman" w:cs="Times New Roman"/>
          <w:sz w:val="24"/>
          <w:szCs w:val="24"/>
        </w:rPr>
        <w:t xml:space="preserve"> oraz dwóch grup presji na wody morskie, tj. pochodzenia lądowego i pochodzenia morskiego oraz dla grup eksperckich. </w:t>
      </w:r>
    </w:p>
    <w:p w14:paraId="024C2D4F" w14:textId="3E62135F" w:rsidR="00F54F88" w:rsidRPr="007F400A" w:rsidRDefault="00993F56" w:rsidP="00D80FBD">
      <w:pPr>
        <w:spacing w:after="0" w:line="300" w:lineRule="atLeast"/>
        <w:ind w:firstLine="567"/>
        <w:jc w:val="both"/>
        <w:rPr>
          <w:rFonts w:ascii="Times New Roman" w:eastAsia="Calibri" w:hAnsi="Times New Roman" w:cs="Times New Roman"/>
          <w:sz w:val="24"/>
          <w:szCs w:val="24"/>
          <w:lang w:eastAsia="pl-PL"/>
        </w:rPr>
      </w:pPr>
      <w:r w:rsidRPr="003B5656">
        <w:rPr>
          <w:rFonts w:ascii="Times New Roman" w:hAnsi="Times New Roman" w:cs="Times New Roman"/>
          <w:sz w:val="24"/>
          <w:szCs w:val="24"/>
        </w:rPr>
        <w:t>Prowadzon</w:t>
      </w:r>
      <w:r w:rsidR="00777780">
        <w:rPr>
          <w:rFonts w:ascii="Times New Roman" w:hAnsi="Times New Roman" w:cs="Times New Roman"/>
          <w:sz w:val="24"/>
          <w:szCs w:val="24"/>
        </w:rPr>
        <w:t>a</w:t>
      </w:r>
      <w:r w:rsidRPr="003B5656">
        <w:rPr>
          <w:rFonts w:ascii="Times New Roman" w:hAnsi="Times New Roman" w:cs="Times New Roman"/>
          <w:sz w:val="24"/>
          <w:szCs w:val="24"/>
        </w:rPr>
        <w:t xml:space="preserve"> </w:t>
      </w:r>
      <w:r w:rsidR="00777780">
        <w:rPr>
          <w:rFonts w:ascii="Times New Roman" w:hAnsi="Times New Roman" w:cs="Times New Roman"/>
          <w:sz w:val="24"/>
          <w:szCs w:val="24"/>
        </w:rPr>
        <w:t xml:space="preserve">była </w:t>
      </w:r>
      <w:r w:rsidRPr="003B5656">
        <w:rPr>
          <w:rFonts w:ascii="Times New Roman" w:hAnsi="Times New Roman" w:cs="Times New Roman"/>
          <w:sz w:val="24"/>
          <w:szCs w:val="24"/>
        </w:rPr>
        <w:t>bieżąc</w:t>
      </w:r>
      <w:r w:rsidR="00777780">
        <w:rPr>
          <w:rFonts w:ascii="Times New Roman" w:hAnsi="Times New Roman" w:cs="Times New Roman"/>
          <w:sz w:val="24"/>
          <w:szCs w:val="24"/>
        </w:rPr>
        <w:t>a</w:t>
      </w:r>
      <w:r w:rsidRPr="003B5656">
        <w:rPr>
          <w:rFonts w:ascii="Times New Roman" w:hAnsi="Times New Roman" w:cs="Times New Roman"/>
          <w:sz w:val="24"/>
          <w:szCs w:val="24"/>
        </w:rPr>
        <w:t xml:space="preserve"> współprac</w:t>
      </w:r>
      <w:r w:rsidR="00777780">
        <w:rPr>
          <w:rFonts w:ascii="Times New Roman" w:hAnsi="Times New Roman" w:cs="Times New Roman"/>
          <w:sz w:val="24"/>
          <w:szCs w:val="24"/>
        </w:rPr>
        <w:t>a</w:t>
      </w:r>
      <w:r w:rsidRPr="003B5656">
        <w:rPr>
          <w:rFonts w:ascii="Times New Roman" w:hAnsi="Times New Roman" w:cs="Times New Roman"/>
          <w:sz w:val="24"/>
          <w:szCs w:val="24"/>
        </w:rPr>
        <w:t xml:space="preserve"> z Krajowym Sekretariatem HELCOM w MI </w:t>
      </w:r>
      <w:r w:rsidR="00777780">
        <w:rPr>
          <w:rFonts w:ascii="Times New Roman" w:hAnsi="Times New Roman" w:cs="Times New Roman"/>
          <w:sz w:val="24"/>
          <w:szCs w:val="24"/>
        </w:rPr>
        <w:br/>
      </w:r>
      <w:r w:rsidRPr="003B5656">
        <w:rPr>
          <w:rFonts w:ascii="Times New Roman" w:hAnsi="Times New Roman" w:cs="Times New Roman"/>
          <w:sz w:val="24"/>
          <w:szCs w:val="24"/>
        </w:rPr>
        <w:t xml:space="preserve">w zakresie przekazywania stanowiska do dokumentów na posiedzenia Przewodniczących delegacji HELCOM (HELCOM </w:t>
      </w:r>
      <w:proofErr w:type="spellStart"/>
      <w:r w:rsidRPr="003B5656">
        <w:rPr>
          <w:rFonts w:ascii="Times New Roman" w:hAnsi="Times New Roman" w:cs="Times New Roman"/>
          <w:sz w:val="24"/>
          <w:szCs w:val="24"/>
        </w:rPr>
        <w:t>HoD</w:t>
      </w:r>
      <w:proofErr w:type="spellEnd"/>
      <w:r w:rsidRPr="003B5656">
        <w:rPr>
          <w:rFonts w:ascii="Times New Roman" w:hAnsi="Times New Roman" w:cs="Times New Roman"/>
          <w:sz w:val="24"/>
          <w:szCs w:val="24"/>
        </w:rPr>
        <w:t>)</w:t>
      </w:r>
      <w:r w:rsidR="00F54F88" w:rsidRPr="007F400A">
        <w:rPr>
          <w:rFonts w:ascii="Times New Roman" w:eastAsia="Calibri" w:hAnsi="Times New Roman" w:cs="Times New Roman"/>
          <w:sz w:val="24"/>
          <w:szCs w:val="24"/>
          <w:lang w:eastAsia="pl-PL"/>
        </w:rPr>
        <w:t xml:space="preserve">. </w:t>
      </w:r>
    </w:p>
    <w:p w14:paraId="3F72EFB0" w14:textId="77777777" w:rsidR="00F54F88" w:rsidRPr="007F400A" w:rsidRDefault="00F54F88" w:rsidP="00D80FBD">
      <w:pPr>
        <w:spacing w:after="0" w:line="300" w:lineRule="atLeast"/>
        <w:ind w:firstLine="708"/>
        <w:jc w:val="both"/>
        <w:rPr>
          <w:rFonts w:ascii="Times New Roman" w:eastAsia="Calibri" w:hAnsi="Times New Roman" w:cs="Times New Roman"/>
          <w:sz w:val="24"/>
          <w:szCs w:val="24"/>
          <w:lang w:eastAsia="pl-PL"/>
        </w:rPr>
      </w:pPr>
    </w:p>
    <w:p w14:paraId="3762116D" w14:textId="782F5C58" w:rsidR="00F54F88" w:rsidRPr="007F400A" w:rsidRDefault="00F54F88" w:rsidP="00D80FBD">
      <w:pPr>
        <w:spacing w:after="120" w:line="300" w:lineRule="atLeast"/>
        <w:ind w:left="397" w:hanging="397"/>
        <w:jc w:val="both"/>
        <w:rPr>
          <w:rFonts w:ascii="Times New Roman" w:eastAsia="Calibri" w:hAnsi="Times New Roman" w:cs="Times New Roman"/>
          <w:b/>
          <w:sz w:val="24"/>
          <w:szCs w:val="24"/>
          <w:lang w:eastAsia="pl-PL"/>
        </w:rPr>
      </w:pPr>
      <w:r w:rsidRPr="007F400A">
        <w:rPr>
          <w:rFonts w:ascii="Times New Roman" w:eastAsia="Calibri" w:hAnsi="Times New Roman" w:cs="Times New Roman"/>
          <w:b/>
          <w:sz w:val="24"/>
          <w:szCs w:val="24"/>
          <w:lang w:eastAsia="pl-PL"/>
        </w:rPr>
        <w:t xml:space="preserve">4.2 </w:t>
      </w:r>
      <w:r w:rsidR="00993F56" w:rsidRPr="00993F56">
        <w:rPr>
          <w:rFonts w:ascii="Times New Roman" w:hAnsi="Times New Roman" w:cs="Times New Roman"/>
          <w:b/>
          <w:sz w:val="24"/>
          <w:szCs w:val="24"/>
        </w:rPr>
        <w:t>Konwencja Bazylejska o kontroli transgranicznego przemieszczania i usuwania odpadów niebezpiecznych</w:t>
      </w:r>
      <w:r w:rsidR="00993F56" w:rsidRPr="007F400A">
        <w:rPr>
          <w:rFonts w:ascii="Times New Roman" w:hAnsi="Times New Roman" w:cs="Times New Roman"/>
          <w:b/>
          <w:sz w:val="24"/>
          <w:szCs w:val="24"/>
        </w:rPr>
        <w:t xml:space="preserve"> </w:t>
      </w:r>
    </w:p>
    <w:p w14:paraId="74295346" w14:textId="4F6AD889" w:rsidR="00993F56" w:rsidRPr="00827625" w:rsidRDefault="00993F56" w:rsidP="00D80FBD">
      <w:pPr>
        <w:spacing w:after="0" w:line="300" w:lineRule="atLeast"/>
        <w:ind w:firstLine="567"/>
        <w:jc w:val="both"/>
        <w:rPr>
          <w:rFonts w:ascii="Times New Roman" w:hAnsi="Times New Roman" w:cs="Times New Roman"/>
          <w:sz w:val="24"/>
          <w:szCs w:val="24"/>
        </w:rPr>
      </w:pPr>
      <w:r w:rsidRPr="00827625">
        <w:rPr>
          <w:rFonts w:ascii="Times New Roman" w:hAnsi="Times New Roman" w:cs="Times New Roman"/>
          <w:sz w:val="24"/>
          <w:szCs w:val="24"/>
        </w:rPr>
        <w:t xml:space="preserve">W roku 2022 r. przedstawiciele Głównego Inspektoratu Ochrony Środowiska uczestniczyli w spotkaniach grupy WPIEI </w:t>
      </w:r>
      <w:proofErr w:type="spellStart"/>
      <w:r w:rsidRPr="00827625">
        <w:rPr>
          <w:rFonts w:ascii="Times New Roman" w:hAnsi="Times New Roman" w:cs="Times New Roman"/>
          <w:sz w:val="24"/>
          <w:szCs w:val="24"/>
        </w:rPr>
        <w:t>Basel</w:t>
      </w:r>
      <w:proofErr w:type="spellEnd"/>
      <w:r w:rsidRPr="00827625">
        <w:rPr>
          <w:rFonts w:ascii="Times New Roman" w:hAnsi="Times New Roman" w:cs="Times New Roman"/>
          <w:sz w:val="24"/>
          <w:szCs w:val="24"/>
        </w:rPr>
        <w:t>, 12</w:t>
      </w:r>
      <w:r w:rsidR="00482754">
        <w:rPr>
          <w:rFonts w:ascii="Times New Roman" w:hAnsi="Times New Roman" w:cs="Times New Roman"/>
          <w:sz w:val="24"/>
          <w:szCs w:val="24"/>
        </w:rPr>
        <w:t>.</w:t>
      </w:r>
      <w:r w:rsidRPr="00827625">
        <w:rPr>
          <w:rFonts w:ascii="Times New Roman" w:hAnsi="Times New Roman" w:cs="Times New Roman"/>
          <w:sz w:val="24"/>
          <w:szCs w:val="24"/>
        </w:rPr>
        <w:t xml:space="preserve"> spotkaniu Open-</w:t>
      </w:r>
      <w:proofErr w:type="spellStart"/>
      <w:r w:rsidRPr="00827625">
        <w:rPr>
          <w:rFonts w:ascii="Times New Roman" w:hAnsi="Times New Roman" w:cs="Times New Roman"/>
          <w:sz w:val="24"/>
          <w:szCs w:val="24"/>
        </w:rPr>
        <w:t>Ended</w:t>
      </w:r>
      <w:proofErr w:type="spellEnd"/>
      <w:r w:rsidRPr="00827625">
        <w:rPr>
          <w:rFonts w:ascii="Times New Roman" w:hAnsi="Times New Roman" w:cs="Times New Roman"/>
          <w:sz w:val="24"/>
          <w:szCs w:val="24"/>
        </w:rPr>
        <w:t xml:space="preserve"> </w:t>
      </w:r>
      <w:proofErr w:type="spellStart"/>
      <w:r w:rsidRPr="00827625">
        <w:rPr>
          <w:rFonts w:ascii="Times New Roman" w:hAnsi="Times New Roman" w:cs="Times New Roman"/>
          <w:sz w:val="24"/>
          <w:szCs w:val="24"/>
        </w:rPr>
        <w:t>Working</w:t>
      </w:r>
      <w:proofErr w:type="spellEnd"/>
      <w:r w:rsidRPr="00827625">
        <w:rPr>
          <w:rFonts w:ascii="Times New Roman" w:hAnsi="Times New Roman" w:cs="Times New Roman"/>
          <w:sz w:val="24"/>
          <w:szCs w:val="24"/>
        </w:rPr>
        <w:t xml:space="preserve"> </w:t>
      </w:r>
      <w:proofErr w:type="spellStart"/>
      <w:r w:rsidRPr="00827625">
        <w:rPr>
          <w:rFonts w:ascii="Times New Roman" w:hAnsi="Times New Roman" w:cs="Times New Roman"/>
          <w:sz w:val="24"/>
          <w:szCs w:val="24"/>
        </w:rPr>
        <w:t>Group</w:t>
      </w:r>
      <w:proofErr w:type="spellEnd"/>
      <w:r w:rsidRPr="00827625">
        <w:rPr>
          <w:rFonts w:ascii="Times New Roman" w:hAnsi="Times New Roman" w:cs="Times New Roman"/>
          <w:sz w:val="24"/>
          <w:szCs w:val="24"/>
        </w:rPr>
        <w:t xml:space="preserve"> oraz 15</w:t>
      </w:r>
      <w:r w:rsidR="00482754">
        <w:rPr>
          <w:rFonts w:ascii="Times New Roman" w:hAnsi="Times New Roman" w:cs="Times New Roman"/>
          <w:sz w:val="24"/>
          <w:szCs w:val="24"/>
        </w:rPr>
        <w:t>.</w:t>
      </w:r>
      <w:r w:rsidRPr="00827625">
        <w:rPr>
          <w:rFonts w:ascii="Times New Roman" w:hAnsi="Times New Roman" w:cs="Times New Roman"/>
          <w:sz w:val="24"/>
          <w:szCs w:val="24"/>
        </w:rPr>
        <w:t xml:space="preserve"> spotkaniu Konferencji Stron Konwencji Bazylejskiej, Rotterdamskiej </w:t>
      </w:r>
      <w:r w:rsidR="00482754">
        <w:rPr>
          <w:rFonts w:ascii="Times New Roman" w:hAnsi="Times New Roman" w:cs="Times New Roman"/>
          <w:sz w:val="24"/>
          <w:szCs w:val="24"/>
        </w:rPr>
        <w:br/>
      </w:r>
      <w:r w:rsidRPr="00827625">
        <w:rPr>
          <w:rFonts w:ascii="Times New Roman" w:hAnsi="Times New Roman" w:cs="Times New Roman"/>
          <w:sz w:val="24"/>
          <w:szCs w:val="24"/>
        </w:rPr>
        <w:t>i Sztokholmskiej.</w:t>
      </w:r>
    </w:p>
    <w:p w14:paraId="706CA00F" w14:textId="77777777" w:rsidR="00993F56" w:rsidRPr="00827625" w:rsidRDefault="00993F56" w:rsidP="00D80FBD">
      <w:pPr>
        <w:spacing w:after="0" w:line="300" w:lineRule="atLeast"/>
        <w:ind w:firstLine="567"/>
        <w:jc w:val="both"/>
        <w:rPr>
          <w:rFonts w:ascii="Times New Roman" w:hAnsi="Times New Roman" w:cs="Times New Roman"/>
          <w:sz w:val="24"/>
          <w:szCs w:val="24"/>
        </w:rPr>
      </w:pPr>
      <w:r w:rsidRPr="00827625">
        <w:rPr>
          <w:rFonts w:ascii="Times New Roman" w:hAnsi="Times New Roman" w:cs="Times New Roman"/>
          <w:sz w:val="24"/>
          <w:szCs w:val="24"/>
        </w:rPr>
        <w:t xml:space="preserve">Zagadnieniami Konwencji Bazylejskiej w strukturze Rady Unii Europejskiej zajmuje się Grupa Robocza ds. Międzynarodowych Aspektów Środowiska ds. Konwencji Bazylejskiej. </w:t>
      </w:r>
    </w:p>
    <w:p w14:paraId="124562CD" w14:textId="77777777" w:rsidR="00993F56" w:rsidRPr="00827625" w:rsidRDefault="00993F56" w:rsidP="00D80FBD">
      <w:pPr>
        <w:spacing w:after="0" w:line="300" w:lineRule="atLeast"/>
        <w:ind w:firstLine="567"/>
        <w:jc w:val="both"/>
        <w:rPr>
          <w:rFonts w:ascii="Times New Roman" w:hAnsi="Times New Roman" w:cs="Times New Roman"/>
          <w:sz w:val="24"/>
          <w:szCs w:val="24"/>
        </w:rPr>
      </w:pPr>
      <w:r w:rsidRPr="00827625">
        <w:rPr>
          <w:rFonts w:ascii="Times New Roman" w:hAnsi="Times New Roman" w:cs="Times New Roman"/>
          <w:sz w:val="24"/>
          <w:szCs w:val="24"/>
        </w:rPr>
        <w:lastRenderedPageBreak/>
        <w:t xml:space="preserve">Zadaniem grupy WPIEI </w:t>
      </w:r>
      <w:proofErr w:type="spellStart"/>
      <w:r w:rsidRPr="00827625">
        <w:rPr>
          <w:rFonts w:ascii="Times New Roman" w:hAnsi="Times New Roman" w:cs="Times New Roman"/>
          <w:sz w:val="24"/>
          <w:szCs w:val="24"/>
        </w:rPr>
        <w:t>Basel</w:t>
      </w:r>
      <w:proofErr w:type="spellEnd"/>
      <w:r w:rsidRPr="00827625">
        <w:rPr>
          <w:rFonts w:ascii="Times New Roman" w:hAnsi="Times New Roman" w:cs="Times New Roman"/>
          <w:sz w:val="24"/>
          <w:szCs w:val="24"/>
        </w:rPr>
        <w:t xml:space="preserve"> jest przygotowywanie wspólnego stanowiska państw UE wobec zagadnień omawianych na forum Konwencji Bazylejskiej.</w:t>
      </w:r>
    </w:p>
    <w:p w14:paraId="0AEC15FD" w14:textId="4D59BA9D" w:rsidR="00993F56" w:rsidRPr="00827625" w:rsidRDefault="00993F56" w:rsidP="00D80FBD">
      <w:pPr>
        <w:spacing w:after="0" w:line="300" w:lineRule="atLeast"/>
        <w:ind w:firstLine="567"/>
        <w:jc w:val="both"/>
        <w:rPr>
          <w:rFonts w:ascii="Times New Roman" w:hAnsi="Times New Roman" w:cs="Times New Roman"/>
          <w:sz w:val="24"/>
          <w:szCs w:val="24"/>
        </w:rPr>
      </w:pPr>
      <w:r w:rsidRPr="00827625">
        <w:rPr>
          <w:rFonts w:ascii="Times New Roman" w:hAnsi="Times New Roman" w:cs="Times New Roman"/>
          <w:sz w:val="24"/>
          <w:szCs w:val="24"/>
        </w:rPr>
        <w:t>Podczas ww. spotkań przygotowano stanowisko państw UE na 12</w:t>
      </w:r>
      <w:r w:rsidR="00482754">
        <w:rPr>
          <w:rFonts w:ascii="Times New Roman" w:hAnsi="Times New Roman" w:cs="Times New Roman"/>
          <w:sz w:val="24"/>
          <w:szCs w:val="24"/>
        </w:rPr>
        <w:t>.</w:t>
      </w:r>
      <w:r w:rsidRPr="00827625">
        <w:rPr>
          <w:rFonts w:ascii="Times New Roman" w:hAnsi="Times New Roman" w:cs="Times New Roman"/>
          <w:sz w:val="24"/>
          <w:szCs w:val="24"/>
        </w:rPr>
        <w:t xml:space="preserve"> spotkanie Open-</w:t>
      </w:r>
      <w:proofErr w:type="spellStart"/>
      <w:r w:rsidRPr="00827625">
        <w:rPr>
          <w:rFonts w:ascii="Times New Roman" w:hAnsi="Times New Roman" w:cs="Times New Roman"/>
          <w:sz w:val="24"/>
          <w:szCs w:val="24"/>
        </w:rPr>
        <w:t>Ended</w:t>
      </w:r>
      <w:proofErr w:type="spellEnd"/>
      <w:r w:rsidRPr="00827625">
        <w:rPr>
          <w:rFonts w:ascii="Times New Roman" w:hAnsi="Times New Roman" w:cs="Times New Roman"/>
          <w:sz w:val="24"/>
          <w:szCs w:val="24"/>
        </w:rPr>
        <w:t xml:space="preserve"> </w:t>
      </w:r>
      <w:proofErr w:type="spellStart"/>
      <w:r w:rsidRPr="00827625">
        <w:rPr>
          <w:rFonts w:ascii="Times New Roman" w:hAnsi="Times New Roman" w:cs="Times New Roman"/>
          <w:sz w:val="24"/>
          <w:szCs w:val="24"/>
        </w:rPr>
        <w:t>Working</w:t>
      </w:r>
      <w:proofErr w:type="spellEnd"/>
      <w:r w:rsidRPr="00827625">
        <w:rPr>
          <w:rFonts w:ascii="Times New Roman" w:hAnsi="Times New Roman" w:cs="Times New Roman"/>
          <w:sz w:val="24"/>
          <w:szCs w:val="24"/>
        </w:rPr>
        <w:t xml:space="preserve"> </w:t>
      </w:r>
      <w:proofErr w:type="spellStart"/>
      <w:r w:rsidRPr="00827625">
        <w:rPr>
          <w:rFonts w:ascii="Times New Roman" w:hAnsi="Times New Roman" w:cs="Times New Roman"/>
          <w:sz w:val="24"/>
          <w:szCs w:val="24"/>
        </w:rPr>
        <w:t>Group</w:t>
      </w:r>
      <w:proofErr w:type="spellEnd"/>
      <w:r w:rsidRPr="00827625">
        <w:rPr>
          <w:rFonts w:ascii="Times New Roman" w:hAnsi="Times New Roman" w:cs="Times New Roman"/>
          <w:sz w:val="24"/>
          <w:szCs w:val="24"/>
        </w:rPr>
        <w:t xml:space="preserve"> Konwencji Bazylejskiej oraz 15</w:t>
      </w:r>
      <w:r w:rsidR="00482754">
        <w:rPr>
          <w:rFonts w:ascii="Times New Roman" w:hAnsi="Times New Roman" w:cs="Times New Roman"/>
          <w:sz w:val="24"/>
          <w:szCs w:val="24"/>
        </w:rPr>
        <w:t>.</w:t>
      </w:r>
      <w:r w:rsidRPr="00827625">
        <w:rPr>
          <w:rFonts w:ascii="Times New Roman" w:hAnsi="Times New Roman" w:cs="Times New Roman"/>
          <w:sz w:val="24"/>
          <w:szCs w:val="24"/>
        </w:rPr>
        <w:t xml:space="preserve"> Konferencję Stron Konwencji Bazylejskiej, m.in. dotyczące przeglądu Aneksów I, III i IV oraz niektórych elementów Aneksów VIII i IX do Konwencji Bazylejskiej, propozycji Ghany i Szwajcarii w sprawie zmian kodów odpadów sprzętu elektrycznego i elektronicznego oraz propozycji Rosji w sprawie poprawki w art. 6 ust. 2 Konwencji Bazylejskiej.</w:t>
      </w:r>
    </w:p>
    <w:p w14:paraId="1E143147" w14:textId="1864095F" w:rsidR="00993F56" w:rsidRPr="00827625" w:rsidRDefault="00993F56" w:rsidP="00D80FBD">
      <w:pPr>
        <w:spacing w:after="0" w:line="300" w:lineRule="atLeast"/>
        <w:ind w:firstLine="567"/>
        <w:jc w:val="both"/>
        <w:rPr>
          <w:rFonts w:ascii="Times New Roman" w:hAnsi="Times New Roman" w:cs="Times New Roman"/>
          <w:sz w:val="24"/>
          <w:szCs w:val="24"/>
        </w:rPr>
      </w:pPr>
      <w:r w:rsidRPr="00827625">
        <w:rPr>
          <w:rFonts w:ascii="Times New Roman" w:hAnsi="Times New Roman" w:cs="Times New Roman"/>
          <w:sz w:val="24"/>
          <w:szCs w:val="24"/>
        </w:rPr>
        <w:t>Decyzje dotyczące dalszego procedowania w zakresie ww. zagadnień zostały podjęte podczas 15</w:t>
      </w:r>
      <w:r w:rsidR="00482754">
        <w:rPr>
          <w:rFonts w:ascii="Times New Roman" w:hAnsi="Times New Roman" w:cs="Times New Roman"/>
          <w:sz w:val="24"/>
          <w:szCs w:val="24"/>
        </w:rPr>
        <w:t>.</w:t>
      </w:r>
      <w:r w:rsidRPr="00827625">
        <w:rPr>
          <w:rFonts w:ascii="Times New Roman" w:hAnsi="Times New Roman" w:cs="Times New Roman"/>
          <w:sz w:val="24"/>
          <w:szCs w:val="24"/>
        </w:rPr>
        <w:t xml:space="preserve"> Konferencji Stron Konwencji Bazylejskiej. W sprawie przeglądu Aneksów I, III </w:t>
      </w:r>
      <w:r w:rsidR="00482754">
        <w:rPr>
          <w:rFonts w:ascii="Times New Roman" w:hAnsi="Times New Roman" w:cs="Times New Roman"/>
          <w:sz w:val="24"/>
          <w:szCs w:val="24"/>
        </w:rPr>
        <w:br/>
      </w:r>
      <w:r w:rsidRPr="00827625">
        <w:rPr>
          <w:rFonts w:ascii="Times New Roman" w:hAnsi="Times New Roman" w:cs="Times New Roman"/>
          <w:sz w:val="24"/>
          <w:szCs w:val="24"/>
        </w:rPr>
        <w:t>i IV do Konwencji Bazylejskiej Konferencja Stron uznała, że niezbędne są dalsze uzgodnienia dotyczące propozycji zmian w Aneksie IV, zwłaszcza treści ogólnego wstępu do Aneksu IV oraz tekstu wprowadzającego do części A i B Aneksu IV, utrzymania, usunięcia, połączenia lub rozdzielenia istniejących operacji zagospodarowywania odpadów, włączenia nowych operacji, np. w zakresie przygotowania do ponownego użycia i operacji typu „</w:t>
      </w:r>
      <w:proofErr w:type="spellStart"/>
      <w:r w:rsidRPr="00827625">
        <w:rPr>
          <w:rFonts w:ascii="Times New Roman" w:hAnsi="Times New Roman" w:cs="Times New Roman"/>
          <w:sz w:val="24"/>
          <w:szCs w:val="24"/>
        </w:rPr>
        <w:t>catch-all</w:t>
      </w:r>
      <w:proofErr w:type="spellEnd"/>
      <w:r w:rsidRPr="00827625">
        <w:rPr>
          <w:rFonts w:ascii="Times New Roman" w:hAnsi="Times New Roman" w:cs="Times New Roman"/>
          <w:sz w:val="24"/>
          <w:szCs w:val="24"/>
        </w:rPr>
        <w:t>” oraz włączenia operacji zagospodarowywania odpadów niespełniających kryteriów operacji bezpiecznych dla środowiska, np. otwartego spalania.</w:t>
      </w:r>
    </w:p>
    <w:p w14:paraId="07B32446" w14:textId="3FB1D1E8" w:rsidR="00993F56" w:rsidRPr="00827625" w:rsidRDefault="00993F56" w:rsidP="00D80FBD">
      <w:pPr>
        <w:spacing w:after="0" w:line="300" w:lineRule="atLeast"/>
        <w:ind w:firstLine="567"/>
        <w:jc w:val="both"/>
        <w:rPr>
          <w:rFonts w:ascii="Times New Roman" w:hAnsi="Times New Roman" w:cs="Times New Roman"/>
          <w:sz w:val="24"/>
          <w:szCs w:val="24"/>
        </w:rPr>
      </w:pPr>
      <w:r w:rsidRPr="00827625">
        <w:rPr>
          <w:rFonts w:ascii="Times New Roman" w:hAnsi="Times New Roman" w:cs="Times New Roman"/>
          <w:sz w:val="24"/>
          <w:szCs w:val="24"/>
        </w:rPr>
        <w:t>W wyniku dyskusji nad propozycją Ghany i Szwajcarii Konferencja Stron postanowiła, że wszystkie odpady zużytego sprzętu elektrycznego i elektronicznego zostaną objęte procedurą uprzedniego zgłoszenia i uzyskania zezwolenia przed ich transgranicznym przemieszczaniem. Z Aneksu IX do konwencji usunięto odpady o kodach B1110 i B4030, natomiast do Aneksu II wprowadzono kod Y49 obejmujący odpady niezawierające komponentów niebezpiecznych. Z Aneksu VIII usunięto kod A1180 i wprowadzono w zamian kod A1181 obejmujący odpady zawierające komponenty niebezpieczne. Powyższe zmiany zaczną obowiązywać od 1 stycznia 2025 r. Powinny one pozytywnie wpłynąć na podniesienie efektywności kontroli transgranicznego przemieszczania ww. odpadów i zwiększenie ochrony środowiska oraz zdrowia ludzi przed negatywnymi skutkami ich niewłaściwego zagospodarowywania.</w:t>
      </w:r>
    </w:p>
    <w:p w14:paraId="7E833CBC" w14:textId="3E905F0A" w:rsidR="00993F56" w:rsidRPr="00827625" w:rsidRDefault="00993F56" w:rsidP="00D80FBD">
      <w:pPr>
        <w:spacing w:after="0" w:line="300" w:lineRule="atLeast"/>
        <w:ind w:firstLine="567"/>
        <w:jc w:val="both"/>
        <w:rPr>
          <w:rFonts w:ascii="Times New Roman" w:hAnsi="Times New Roman" w:cs="Times New Roman"/>
          <w:sz w:val="24"/>
          <w:szCs w:val="24"/>
        </w:rPr>
      </w:pPr>
      <w:r w:rsidRPr="00827625">
        <w:rPr>
          <w:rFonts w:ascii="Times New Roman" w:hAnsi="Times New Roman" w:cs="Times New Roman"/>
          <w:sz w:val="24"/>
          <w:szCs w:val="24"/>
        </w:rPr>
        <w:t>Polska aktywnie uczestniczyła w negocjacjach, dotyczących propozycji Rosji w sprawie poprawki w art. 6 ust</w:t>
      </w:r>
      <w:r w:rsidR="00482754">
        <w:rPr>
          <w:rFonts w:ascii="Times New Roman" w:hAnsi="Times New Roman" w:cs="Times New Roman"/>
          <w:sz w:val="24"/>
          <w:szCs w:val="24"/>
        </w:rPr>
        <w:t>.</w:t>
      </w:r>
      <w:r w:rsidRPr="00827625">
        <w:rPr>
          <w:rFonts w:ascii="Times New Roman" w:hAnsi="Times New Roman" w:cs="Times New Roman"/>
          <w:sz w:val="24"/>
          <w:szCs w:val="24"/>
        </w:rPr>
        <w:t xml:space="preserve"> 2 Konwencji Bazylejskiej, który dotyczy procedury uprzedniego zgłoszenia i zgody na transgraniczne przemieszczanie odpadów. Negocjacje te dodatkowo komplikowała aktualna sytuacja polityczna. Polska, opierając się na wytycznych MSZ, wyrażała przekonanie, że z powodu agresji Rosji na Ukrainę Unia Europejska powinna dążyć do tego, aby podczas 15</w:t>
      </w:r>
      <w:r w:rsidR="00482754">
        <w:rPr>
          <w:rFonts w:ascii="Times New Roman" w:hAnsi="Times New Roman" w:cs="Times New Roman"/>
          <w:sz w:val="24"/>
          <w:szCs w:val="24"/>
        </w:rPr>
        <w:t>.</w:t>
      </w:r>
      <w:r w:rsidRPr="00827625">
        <w:rPr>
          <w:rFonts w:ascii="Times New Roman" w:hAnsi="Times New Roman" w:cs="Times New Roman"/>
          <w:sz w:val="24"/>
          <w:szCs w:val="24"/>
        </w:rPr>
        <w:t xml:space="preserve"> Konferencji Stron Konwencji Bazylejskiej propozycja Rosji nie była omawiana, nie tylko w jej zakresie merytorycznym, ale nie była procedowana w ogóle. </w:t>
      </w:r>
    </w:p>
    <w:p w14:paraId="0BBDF80E" w14:textId="439AE1DE" w:rsidR="00993F56" w:rsidRPr="00827625" w:rsidRDefault="00993F56" w:rsidP="00D80FBD">
      <w:pPr>
        <w:spacing w:after="0" w:line="300" w:lineRule="atLeast"/>
        <w:ind w:firstLine="567"/>
        <w:jc w:val="both"/>
        <w:rPr>
          <w:rFonts w:ascii="Times New Roman" w:hAnsi="Times New Roman" w:cs="Times New Roman"/>
          <w:sz w:val="24"/>
          <w:szCs w:val="24"/>
        </w:rPr>
      </w:pPr>
      <w:r w:rsidRPr="00827625">
        <w:rPr>
          <w:rFonts w:ascii="Times New Roman" w:hAnsi="Times New Roman" w:cs="Times New Roman"/>
          <w:sz w:val="24"/>
          <w:szCs w:val="24"/>
        </w:rPr>
        <w:t>W wyniku działań Polski stanowisko RP zostało przyjęte jako stanowisko Unii Europejskiej, a dyskusja na temat poprawki zaproponowanej przez Rosję została przeniesiona na kolejną Konferencję Stron.</w:t>
      </w:r>
    </w:p>
    <w:p w14:paraId="11E1D907" w14:textId="77777777" w:rsidR="00993F56" w:rsidRPr="00827625" w:rsidRDefault="00993F56" w:rsidP="00D80FBD">
      <w:pPr>
        <w:spacing w:after="0" w:line="300" w:lineRule="atLeast"/>
        <w:ind w:firstLine="567"/>
        <w:jc w:val="both"/>
        <w:rPr>
          <w:rFonts w:ascii="Times New Roman" w:hAnsi="Times New Roman" w:cs="Times New Roman"/>
          <w:sz w:val="24"/>
          <w:szCs w:val="24"/>
        </w:rPr>
      </w:pPr>
      <w:r w:rsidRPr="00827625">
        <w:rPr>
          <w:rFonts w:ascii="Times New Roman" w:hAnsi="Times New Roman" w:cs="Times New Roman"/>
          <w:sz w:val="24"/>
          <w:szCs w:val="24"/>
        </w:rPr>
        <w:t>Jednocześnie na forum Konferencji Stron uznano, że zagadnienie usprawnienia procedury transgranicznego przemieszczania odpadów wymaga bardziej kompleksowego podejścia niż tylko wskazanie terminu na udzielenie odpowiedzi przez państwo przeznaczenia, czego dotyczyła propozycja rosyjska. Zgodnie z powyższym wynikiem negocjacji Konferencja Stron zdecydowała o rozpoczęciu prac ukierunkowanych na zebranie informacji, dotyczących konkretnych problemów ze stosowaniem procedury, ich analizę i znalezienie rozwiązań usprawniających procedurę uzyskania zezwolenia na transgraniczne przemieszczanie odpadów.</w:t>
      </w:r>
    </w:p>
    <w:p w14:paraId="204F8DE7" w14:textId="27D7D652" w:rsidR="00993F56" w:rsidRPr="00827625" w:rsidRDefault="00993F56" w:rsidP="00D80FBD">
      <w:pPr>
        <w:spacing w:after="0" w:line="300" w:lineRule="atLeast"/>
        <w:ind w:firstLine="567"/>
        <w:jc w:val="both"/>
        <w:rPr>
          <w:rFonts w:ascii="Times New Roman" w:hAnsi="Times New Roman" w:cs="Times New Roman"/>
          <w:sz w:val="24"/>
          <w:szCs w:val="24"/>
        </w:rPr>
      </w:pPr>
      <w:r w:rsidRPr="00827625">
        <w:rPr>
          <w:rFonts w:ascii="Times New Roman" w:hAnsi="Times New Roman" w:cs="Times New Roman"/>
          <w:sz w:val="24"/>
          <w:szCs w:val="24"/>
        </w:rPr>
        <w:lastRenderedPageBreak/>
        <w:t>Pani Magda Gosk, p</w:t>
      </w:r>
      <w:r>
        <w:rPr>
          <w:rFonts w:ascii="Times New Roman" w:hAnsi="Times New Roman" w:cs="Times New Roman"/>
          <w:sz w:val="24"/>
          <w:szCs w:val="24"/>
        </w:rPr>
        <w:t xml:space="preserve">ełniąca wówczas obowiązki </w:t>
      </w:r>
      <w:r w:rsidRPr="00827625">
        <w:rPr>
          <w:rFonts w:ascii="Times New Roman" w:hAnsi="Times New Roman" w:cs="Times New Roman"/>
          <w:sz w:val="24"/>
          <w:szCs w:val="24"/>
        </w:rPr>
        <w:t xml:space="preserve">Głównego Inspektora Ochrony Środowiska, wraz z przedstawicielem Wielkiej Brytanii, prowadziła prace Grupy Kontaktowej </w:t>
      </w:r>
      <w:r>
        <w:rPr>
          <w:rFonts w:ascii="Times New Roman" w:hAnsi="Times New Roman" w:cs="Times New Roman"/>
          <w:sz w:val="24"/>
          <w:szCs w:val="24"/>
        </w:rPr>
        <w:br/>
      </w:r>
      <w:r w:rsidRPr="00827625">
        <w:rPr>
          <w:rFonts w:ascii="Times New Roman" w:hAnsi="Times New Roman" w:cs="Times New Roman"/>
          <w:sz w:val="24"/>
          <w:szCs w:val="24"/>
        </w:rPr>
        <w:t>ds. technicznych. W oparciu o wyniki prac ww. Grupy</w:t>
      </w:r>
      <w:r w:rsidR="00482754">
        <w:rPr>
          <w:rFonts w:ascii="Times New Roman" w:hAnsi="Times New Roman" w:cs="Times New Roman"/>
          <w:sz w:val="24"/>
          <w:szCs w:val="24"/>
        </w:rPr>
        <w:t>,</w:t>
      </w:r>
      <w:r w:rsidRPr="00827625">
        <w:rPr>
          <w:rFonts w:ascii="Times New Roman" w:hAnsi="Times New Roman" w:cs="Times New Roman"/>
          <w:sz w:val="24"/>
          <w:szCs w:val="24"/>
        </w:rPr>
        <w:t xml:space="preserve"> Konferencja Stron zatwierdziła wytyczne techniczne dotyczące odpadów rtęci, odpadów trwałych zanieczyszczeń organicznych, bezpiecznego dla środowiska spalania odpadów niebezpiecznych i innych objętych operacjami unieszkodliwiania D10 i R1, na specjalnie zaprojektowanym składowisku (D5) oraz postanowiła o rozpoczęciu prac w celu aktualizacji wytycznych technicznych, dotyczących bezpiecznego dla środowiska gospodarowania zużytymi bateriami kwasowo-ołowiowymi, aby rozpocząć opracowywanie wytycznych technicznych dotyczących bezpiecznego dla środowiska gospodarowania innymi zużytymi bateriami. </w:t>
      </w:r>
    </w:p>
    <w:p w14:paraId="7239FD8D" w14:textId="0DC9183A" w:rsidR="00F54F88" w:rsidRPr="007F400A" w:rsidRDefault="00993F56" w:rsidP="00D80FBD">
      <w:pPr>
        <w:spacing w:after="0" w:line="300" w:lineRule="atLeast"/>
        <w:ind w:firstLine="567"/>
        <w:jc w:val="both"/>
        <w:rPr>
          <w:rFonts w:ascii="Times New Roman" w:eastAsia="Arial" w:hAnsi="Times New Roman" w:cs="Times New Roman"/>
          <w:iCs/>
          <w:sz w:val="24"/>
          <w:szCs w:val="24"/>
          <w:lang w:val="x-none" w:eastAsia="pl-PL"/>
        </w:rPr>
      </w:pPr>
      <w:r w:rsidRPr="00827625">
        <w:rPr>
          <w:rFonts w:ascii="Times New Roman" w:hAnsi="Times New Roman" w:cs="Times New Roman"/>
          <w:sz w:val="24"/>
          <w:szCs w:val="24"/>
        </w:rPr>
        <w:t xml:space="preserve">Podczas spotkania Polska zgłosiła kandydaturę </w:t>
      </w:r>
      <w:r w:rsidR="00482754">
        <w:rPr>
          <w:rFonts w:ascii="Times New Roman" w:hAnsi="Times New Roman" w:cs="Times New Roman"/>
          <w:sz w:val="24"/>
          <w:szCs w:val="24"/>
        </w:rPr>
        <w:t xml:space="preserve">p. </w:t>
      </w:r>
      <w:r w:rsidRPr="00827625">
        <w:rPr>
          <w:rFonts w:ascii="Times New Roman" w:hAnsi="Times New Roman" w:cs="Times New Roman"/>
          <w:sz w:val="24"/>
          <w:szCs w:val="24"/>
        </w:rPr>
        <w:t xml:space="preserve">Magdy Gosk, jako przedstawiciela regionu ONZ krajów Europy Środkowej i Wschodniej, na stanowisko członka Biura </w:t>
      </w:r>
      <w:r w:rsidR="00482754">
        <w:rPr>
          <w:rFonts w:ascii="Times New Roman" w:hAnsi="Times New Roman" w:cs="Times New Roman"/>
          <w:sz w:val="24"/>
          <w:szCs w:val="24"/>
        </w:rPr>
        <w:br/>
      </w:r>
      <w:r w:rsidRPr="00827625">
        <w:rPr>
          <w:rFonts w:ascii="Times New Roman" w:hAnsi="Times New Roman" w:cs="Times New Roman"/>
          <w:sz w:val="24"/>
          <w:szCs w:val="24"/>
        </w:rPr>
        <w:t>16</w:t>
      </w:r>
      <w:r w:rsidR="00482754">
        <w:rPr>
          <w:rFonts w:ascii="Times New Roman" w:hAnsi="Times New Roman" w:cs="Times New Roman"/>
          <w:sz w:val="24"/>
          <w:szCs w:val="24"/>
        </w:rPr>
        <w:t>.</w:t>
      </w:r>
      <w:r w:rsidRPr="00827625">
        <w:rPr>
          <w:rFonts w:ascii="Times New Roman" w:hAnsi="Times New Roman" w:cs="Times New Roman"/>
          <w:sz w:val="24"/>
          <w:szCs w:val="24"/>
        </w:rPr>
        <w:t xml:space="preserve"> Konferencji Stron Konwencji Bazylejskiej. </w:t>
      </w:r>
      <w:r w:rsidR="00482754" w:rsidRPr="00827625">
        <w:rPr>
          <w:rFonts w:ascii="Times New Roman" w:hAnsi="Times New Roman" w:cs="Times New Roman"/>
          <w:sz w:val="24"/>
          <w:szCs w:val="24"/>
        </w:rPr>
        <w:t xml:space="preserve">Konferencja Stron </w:t>
      </w:r>
      <w:r w:rsidR="00482754">
        <w:rPr>
          <w:rFonts w:ascii="Times New Roman" w:hAnsi="Times New Roman" w:cs="Times New Roman"/>
          <w:sz w:val="24"/>
          <w:szCs w:val="24"/>
        </w:rPr>
        <w:t>zatwierdziła tę k</w:t>
      </w:r>
      <w:r w:rsidRPr="00827625">
        <w:rPr>
          <w:rFonts w:ascii="Times New Roman" w:hAnsi="Times New Roman" w:cs="Times New Roman"/>
          <w:sz w:val="24"/>
          <w:szCs w:val="24"/>
        </w:rPr>
        <w:t>andydaturę</w:t>
      </w:r>
      <w:r w:rsidR="00482754">
        <w:rPr>
          <w:rFonts w:ascii="Times New Roman" w:hAnsi="Times New Roman" w:cs="Times New Roman"/>
          <w:sz w:val="24"/>
          <w:szCs w:val="24"/>
        </w:rPr>
        <w:t>.</w:t>
      </w:r>
    </w:p>
    <w:p w14:paraId="113CAC0F" w14:textId="6343CEF0" w:rsidR="00895F16" w:rsidRPr="007F400A" w:rsidRDefault="00895F16" w:rsidP="00D80FBD">
      <w:pPr>
        <w:spacing w:after="0" w:line="300" w:lineRule="atLeast"/>
        <w:ind w:firstLine="567"/>
        <w:jc w:val="both"/>
        <w:rPr>
          <w:rFonts w:ascii="Times New Roman" w:eastAsia="Arial" w:hAnsi="Times New Roman" w:cs="Times New Roman"/>
          <w:iCs/>
          <w:sz w:val="24"/>
          <w:szCs w:val="24"/>
          <w:lang w:eastAsia="pl-PL"/>
        </w:rPr>
      </w:pPr>
      <w:r w:rsidRPr="007F400A">
        <w:rPr>
          <w:rFonts w:ascii="Times New Roman" w:hAnsi="Times New Roman" w:cs="Times New Roman"/>
          <w:sz w:val="24"/>
          <w:szCs w:val="24"/>
        </w:rPr>
        <w:t xml:space="preserve"> </w:t>
      </w:r>
    </w:p>
    <w:p w14:paraId="1E1EEAAF" w14:textId="56B7722D" w:rsidR="00F54F88" w:rsidRPr="007F400A" w:rsidRDefault="00F54F88" w:rsidP="00D80FBD">
      <w:pPr>
        <w:spacing w:after="120" w:line="300" w:lineRule="atLeast"/>
        <w:ind w:left="397" w:hanging="397"/>
        <w:jc w:val="both"/>
        <w:rPr>
          <w:rFonts w:ascii="Times New Roman" w:eastAsia="Calibri" w:hAnsi="Times New Roman" w:cs="Times New Roman"/>
          <w:sz w:val="24"/>
          <w:szCs w:val="24"/>
          <w:lang w:eastAsia="pl-PL"/>
        </w:rPr>
      </w:pPr>
      <w:r w:rsidRPr="007F400A">
        <w:rPr>
          <w:rFonts w:ascii="Times New Roman" w:eastAsia="Calibri" w:hAnsi="Times New Roman" w:cs="Times New Roman"/>
          <w:b/>
          <w:bCs/>
          <w:iCs/>
          <w:sz w:val="24"/>
          <w:szCs w:val="24"/>
          <w:lang w:eastAsia="pl-PL"/>
        </w:rPr>
        <w:t>4.3 Konwencja EKG ONZ w sprawie transgranicznego zanieczyszczenia powietrza na dalekie odległości</w:t>
      </w:r>
    </w:p>
    <w:p w14:paraId="29A5214E" w14:textId="77777777" w:rsidR="00993F56" w:rsidRDefault="00993F56" w:rsidP="00D80FBD">
      <w:pPr>
        <w:autoSpaceDE w:val="0"/>
        <w:autoSpaceDN w:val="0"/>
        <w:spacing w:after="0" w:line="300" w:lineRule="atLeast"/>
        <w:ind w:firstLine="567"/>
        <w:jc w:val="both"/>
        <w:rPr>
          <w:rFonts w:ascii="Times New Roman" w:eastAsia="Calibri" w:hAnsi="Times New Roman" w:cs="Times New Roman"/>
          <w:sz w:val="24"/>
          <w:szCs w:val="24"/>
        </w:rPr>
      </w:pPr>
      <w:r w:rsidRPr="003B5656">
        <w:rPr>
          <w:rFonts w:ascii="Times New Roman" w:eastAsia="Calibri" w:hAnsi="Times New Roman" w:cs="Times New Roman"/>
          <w:sz w:val="24"/>
          <w:szCs w:val="24"/>
        </w:rPr>
        <w:t>Kontynuowano badania</w:t>
      </w:r>
      <w:r w:rsidRPr="003B5656">
        <w:rPr>
          <w:rFonts w:ascii="Times New Roman" w:hAnsi="Times New Roman" w:cs="Times New Roman"/>
          <w:bCs/>
          <w:sz w:val="24"/>
          <w:szCs w:val="24"/>
        </w:rPr>
        <w:t xml:space="preserve"> tła zanieczyszczenia atmosfery na stacjach w Łebie, Jarczewie, Puszczy Boreckiej i na Śnieżce, wypełniając tym samym zo</w:t>
      </w:r>
      <w:r w:rsidRPr="003B5656">
        <w:rPr>
          <w:rFonts w:ascii="Times New Roman" w:eastAsia="Calibri" w:hAnsi="Times New Roman" w:cs="Times New Roman"/>
          <w:sz w:val="24"/>
          <w:szCs w:val="24"/>
        </w:rPr>
        <w:t>bowiązania wynikające z protokołu w sprawie EMEP (</w:t>
      </w:r>
      <w:proofErr w:type="spellStart"/>
      <w:r w:rsidRPr="003B5656">
        <w:rPr>
          <w:rFonts w:ascii="Times New Roman" w:eastAsia="Calibri" w:hAnsi="Times New Roman" w:cs="Times New Roman"/>
          <w:sz w:val="24"/>
          <w:szCs w:val="24"/>
        </w:rPr>
        <w:t>European</w:t>
      </w:r>
      <w:proofErr w:type="spellEnd"/>
      <w:r w:rsidRPr="003B5656">
        <w:rPr>
          <w:rFonts w:ascii="Times New Roman" w:eastAsia="Calibri" w:hAnsi="Times New Roman" w:cs="Times New Roman"/>
          <w:sz w:val="24"/>
          <w:szCs w:val="24"/>
        </w:rPr>
        <w:t xml:space="preserve"> Monitoring and Evaluation </w:t>
      </w:r>
      <w:proofErr w:type="spellStart"/>
      <w:r w:rsidRPr="003B5656">
        <w:rPr>
          <w:rFonts w:ascii="Times New Roman" w:eastAsia="Calibri" w:hAnsi="Times New Roman" w:cs="Times New Roman"/>
          <w:sz w:val="24"/>
          <w:szCs w:val="24"/>
        </w:rPr>
        <w:t>Programme</w:t>
      </w:r>
      <w:proofErr w:type="spellEnd"/>
      <w:r w:rsidRPr="003B5656">
        <w:rPr>
          <w:rFonts w:ascii="Times New Roman" w:eastAsia="Calibri" w:hAnsi="Times New Roman" w:cs="Times New Roman"/>
          <w:sz w:val="24"/>
          <w:szCs w:val="24"/>
        </w:rPr>
        <w:t>) do Konwencji (szerzej opisano w rozdziale „Monitoring jakości powietrza”). Powyższe badania były również prowadzone na stacji w Zielonce, stowarzyszonej z EMEP.</w:t>
      </w:r>
      <w:r w:rsidRPr="003B5656">
        <w:rPr>
          <w:rFonts w:ascii="Times New Roman" w:hAnsi="Times New Roman" w:cs="Times New Roman"/>
          <w:sz w:val="24"/>
          <w:szCs w:val="24"/>
        </w:rPr>
        <w:t xml:space="preserve"> Przekazano do </w:t>
      </w:r>
      <w:r w:rsidRPr="003B5656">
        <w:rPr>
          <w:rFonts w:ascii="Times New Roman" w:eastAsia="Calibri" w:hAnsi="Times New Roman" w:cs="Times New Roman"/>
          <w:sz w:val="24"/>
          <w:szCs w:val="24"/>
        </w:rPr>
        <w:t>bazy danych EMEP w Norwegii wyniki badań za 2021 r.</w:t>
      </w:r>
    </w:p>
    <w:p w14:paraId="52006E02" w14:textId="2EDB2EF4" w:rsidR="00F54F88" w:rsidRPr="00993F56" w:rsidRDefault="00993F56" w:rsidP="00D80FBD">
      <w:pPr>
        <w:autoSpaceDE w:val="0"/>
        <w:autoSpaceDN w:val="0"/>
        <w:spacing w:after="0" w:line="300" w:lineRule="atLeast"/>
        <w:ind w:firstLine="567"/>
        <w:jc w:val="both"/>
        <w:rPr>
          <w:rFonts w:ascii="Times New Roman" w:eastAsia="Calibri" w:hAnsi="Times New Roman" w:cs="Times New Roman"/>
          <w:sz w:val="24"/>
          <w:szCs w:val="24"/>
        </w:rPr>
      </w:pPr>
      <w:r w:rsidRPr="003B5656">
        <w:rPr>
          <w:rFonts w:ascii="Times New Roman" w:eastAsia="Calibri" w:hAnsi="Times New Roman" w:cs="Times New Roman"/>
          <w:sz w:val="24"/>
          <w:szCs w:val="24"/>
        </w:rPr>
        <w:t>Ponadto, realizując wspomagający Konwencję program International Co-</w:t>
      </w:r>
      <w:proofErr w:type="spellStart"/>
      <w:r w:rsidRPr="003B5656">
        <w:rPr>
          <w:rFonts w:ascii="Times New Roman" w:eastAsia="Calibri" w:hAnsi="Times New Roman" w:cs="Times New Roman"/>
          <w:sz w:val="24"/>
          <w:szCs w:val="24"/>
        </w:rPr>
        <w:t>operative</w:t>
      </w:r>
      <w:proofErr w:type="spellEnd"/>
      <w:r w:rsidRPr="003B5656">
        <w:rPr>
          <w:rFonts w:ascii="Times New Roman" w:eastAsia="Calibri" w:hAnsi="Times New Roman" w:cs="Times New Roman"/>
          <w:sz w:val="24"/>
          <w:szCs w:val="24"/>
        </w:rPr>
        <w:t xml:space="preserve"> </w:t>
      </w:r>
      <w:proofErr w:type="spellStart"/>
      <w:r w:rsidRPr="003B5656">
        <w:rPr>
          <w:rFonts w:ascii="Times New Roman" w:eastAsia="Calibri" w:hAnsi="Times New Roman" w:cs="Times New Roman"/>
          <w:sz w:val="24"/>
          <w:szCs w:val="24"/>
        </w:rPr>
        <w:t>Programme</w:t>
      </w:r>
      <w:proofErr w:type="spellEnd"/>
      <w:r w:rsidRPr="003B5656">
        <w:rPr>
          <w:rFonts w:ascii="Times New Roman" w:eastAsia="Calibri" w:hAnsi="Times New Roman" w:cs="Times New Roman"/>
          <w:sz w:val="24"/>
          <w:szCs w:val="24"/>
        </w:rPr>
        <w:t xml:space="preserve"> on </w:t>
      </w:r>
      <w:proofErr w:type="spellStart"/>
      <w:r w:rsidRPr="003B5656">
        <w:rPr>
          <w:rFonts w:ascii="Times New Roman" w:eastAsia="Calibri" w:hAnsi="Times New Roman" w:cs="Times New Roman"/>
          <w:sz w:val="24"/>
          <w:szCs w:val="24"/>
        </w:rPr>
        <w:t>Integrated</w:t>
      </w:r>
      <w:proofErr w:type="spellEnd"/>
      <w:r w:rsidRPr="003B5656">
        <w:rPr>
          <w:rFonts w:ascii="Times New Roman" w:eastAsia="Calibri" w:hAnsi="Times New Roman" w:cs="Times New Roman"/>
          <w:sz w:val="24"/>
          <w:szCs w:val="24"/>
        </w:rPr>
        <w:t xml:space="preserve"> Monitoring on </w:t>
      </w:r>
      <w:proofErr w:type="spellStart"/>
      <w:r w:rsidRPr="003B5656">
        <w:rPr>
          <w:rFonts w:ascii="Times New Roman" w:eastAsia="Calibri" w:hAnsi="Times New Roman" w:cs="Times New Roman"/>
          <w:sz w:val="24"/>
          <w:szCs w:val="24"/>
        </w:rPr>
        <w:t>Air</w:t>
      </w:r>
      <w:proofErr w:type="spellEnd"/>
      <w:r w:rsidRPr="003B5656">
        <w:rPr>
          <w:rFonts w:ascii="Times New Roman" w:eastAsia="Calibri" w:hAnsi="Times New Roman" w:cs="Times New Roman"/>
          <w:sz w:val="24"/>
          <w:szCs w:val="24"/>
        </w:rPr>
        <w:t xml:space="preserve"> </w:t>
      </w:r>
      <w:proofErr w:type="spellStart"/>
      <w:r w:rsidRPr="003B5656">
        <w:rPr>
          <w:rFonts w:ascii="Times New Roman" w:eastAsia="Calibri" w:hAnsi="Times New Roman" w:cs="Times New Roman"/>
          <w:sz w:val="24"/>
          <w:szCs w:val="24"/>
        </w:rPr>
        <w:t>Pollution</w:t>
      </w:r>
      <w:proofErr w:type="spellEnd"/>
      <w:r w:rsidRPr="003B5656">
        <w:rPr>
          <w:rFonts w:ascii="Times New Roman" w:eastAsia="Calibri" w:hAnsi="Times New Roman" w:cs="Times New Roman"/>
          <w:sz w:val="24"/>
          <w:szCs w:val="24"/>
        </w:rPr>
        <w:t xml:space="preserve"> </w:t>
      </w:r>
      <w:proofErr w:type="spellStart"/>
      <w:r w:rsidRPr="003B5656">
        <w:rPr>
          <w:rFonts w:ascii="Times New Roman" w:eastAsia="Calibri" w:hAnsi="Times New Roman" w:cs="Times New Roman"/>
          <w:sz w:val="24"/>
          <w:szCs w:val="24"/>
        </w:rPr>
        <w:t>Effects</w:t>
      </w:r>
      <w:proofErr w:type="spellEnd"/>
      <w:r w:rsidRPr="003B5656">
        <w:rPr>
          <w:rFonts w:ascii="Times New Roman" w:eastAsia="Calibri" w:hAnsi="Times New Roman" w:cs="Times New Roman"/>
          <w:sz w:val="24"/>
          <w:szCs w:val="24"/>
        </w:rPr>
        <w:t xml:space="preserve">, </w:t>
      </w:r>
      <w:r w:rsidRPr="003B5656">
        <w:rPr>
          <w:rFonts w:ascii="Times New Roman" w:hAnsi="Times New Roman" w:cs="Times New Roman"/>
          <w:color w:val="000000"/>
          <w:sz w:val="24"/>
          <w:szCs w:val="24"/>
        </w:rPr>
        <w:t xml:space="preserve">przekazano do Szwedzkiego Uniwersytetu Nauk Rolniczych wyniki badań za 2021 rok z realizacji Zintegrowanego Monitoringu Środowiska Przyrodniczego na 9 stacjach bazowych. Poza tym uzyskano pozytywną opinię </w:t>
      </w:r>
      <w:proofErr w:type="spellStart"/>
      <w:r w:rsidRPr="003B5656">
        <w:rPr>
          <w:rFonts w:ascii="Times New Roman" w:hAnsi="Times New Roman" w:cs="Times New Roman"/>
          <w:color w:val="000000"/>
          <w:sz w:val="24"/>
          <w:szCs w:val="24"/>
        </w:rPr>
        <w:t>MKiŚ</w:t>
      </w:r>
      <w:proofErr w:type="spellEnd"/>
      <w:r w:rsidRPr="003B5656">
        <w:rPr>
          <w:rFonts w:ascii="Times New Roman" w:hAnsi="Times New Roman" w:cs="Times New Roman"/>
          <w:color w:val="000000"/>
          <w:sz w:val="24"/>
          <w:szCs w:val="24"/>
        </w:rPr>
        <w:t xml:space="preserve"> odnośnie włączenia do programu dodatkowych dwóch stacji ZMŚP. Oprócz tego, wyniki monitoringu lasów za 2021 rok zostały przekazane przez Instytut Badawczy Leśnictwa do Międzynarodowego Programu Koordynującego ICP </w:t>
      </w:r>
      <w:proofErr w:type="spellStart"/>
      <w:r w:rsidRPr="003B5656">
        <w:rPr>
          <w:rFonts w:ascii="Times New Roman" w:hAnsi="Times New Roman" w:cs="Times New Roman"/>
          <w:color w:val="000000"/>
          <w:sz w:val="24"/>
          <w:szCs w:val="24"/>
        </w:rPr>
        <w:t>Forest</w:t>
      </w:r>
      <w:proofErr w:type="spellEnd"/>
      <w:r w:rsidR="00F54F88" w:rsidRPr="007F400A">
        <w:rPr>
          <w:rFonts w:ascii="Times New Roman" w:eastAsia="Calibri" w:hAnsi="Times New Roman" w:cs="Times New Roman"/>
          <w:iCs/>
          <w:color w:val="000000"/>
          <w:sz w:val="24"/>
          <w:szCs w:val="24"/>
          <w:lang w:val="x-none" w:eastAsia="pl-PL"/>
        </w:rPr>
        <w:t xml:space="preserve">. </w:t>
      </w:r>
    </w:p>
    <w:p w14:paraId="75893417" w14:textId="77777777" w:rsidR="00F54F88" w:rsidRPr="007F400A" w:rsidRDefault="00F54F88" w:rsidP="00D80FBD">
      <w:pPr>
        <w:autoSpaceDE w:val="0"/>
        <w:autoSpaceDN w:val="0"/>
        <w:spacing w:after="0" w:line="300" w:lineRule="atLeast"/>
        <w:ind w:firstLine="567"/>
        <w:jc w:val="both"/>
        <w:rPr>
          <w:rFonts w:ascii="Times New Roman" w:eastAsia="Calibri" w:hAnsi="Times New Roman" w:cs="Times New Roman"/>
          <w:iCs/>
          <w:color w:val="000000"/>
          <w:sz w:val="24"/>
          <w:szCs w:val="24"/>
          <w:lang w:val="x-none" w:eastAsia="pl-PL"/>
        </w:rPr>
      </w:pPr>
    </w:p>
    <w:p w14:paraId="2BA04FBE" w14:textId="26BDA395" w:rsidR="00F54F88" w:rsidRPr="007F400A" w:rsidRDefault="00F54F88" w:rsidP="00D80FBD">
      <w:pPr>
        <w:spacing w:after="120" w:line="300" w:lineRule="atLeast"/>
        <w:ind w:left="397" w:hanging="397"/>
        <w:jc w:val="both"/>
        <w:rPr>
          <w:rFonts w:ascii="Times New Roman" w:eastAsia="Calibri" w:hAnsi="Times New Roman" w:cs="Times New Roman"/>
          <w:sz w:val="24"/>
          <w:szCs w:val="24"/>
          <w:lang w:eastAsia="pl-PL"/>
        </w:rPr>
      </w:pPr>
      <w:r w:rsidRPr="007F400A">
        <w:rPr>
          <w:rFonts w:ascii="Times New Roman" w:eastAsia="Calibri" w:hAnsi="Times New Roman" w:cs="Times New Roman"/>
          <w:b/>
          <w:sz w:val="24"/>
          <w:szCs w:val="24"/>
          <w:lang w:eastAsia="pl-PL"/>
        </w:rPr>
        <w:t>4.</w:t>
      </w:r>
      <w:r w:rsidR="008D7C5E" w:rsidRPr="007F400A">
        <w:rPr>
          <w:rFonts w:ascii="Times New Roman" w:eastAsia="Calibri" w:hAnsi="Times New Roman" w:cs="Times New Roman"/>
          <w:b/>
          <w:sz w:val="24"/>
          <w:szCs w:val="24"/>
          <w:lang w:eastAsia="pl-PL"/>
        </w:rPr>
        <w:t>4</w:t>
      </w:r>
      <w:r w:rsidRPr="007F400A">
        <w:rPr>
          <w:rFonts w:ascii="Times New Roman" w:eastAsia="Calibri" w:hAnsi="Times New Roman" w:cs="Times New Roman"/>
          <w:b/>
          <w:sz w:val="24"/>
          <w:szCs w:val="24"/>
          <w:lang w:eastAsia="pl-PL"/>
        </w:rPr>
        <w:t xml:space="preserve"> Konwencja Wiedeńska o ochronie warstwy ozonowej </w:t>
      </w:r>
    </w:p>
    <w:p w14:paraId="401FE964" w14:textId="42F0FFDC" w:rsidR="00F54F88" w:rsidRPr="007F400A" w:rsidRDefault="0027749A" w:rsidP="00D80FBD">
      <w:pPr>
        <w:spacing w:after="0" w:line="300" w:lineRule="atLeast"/>
        <w:ind w:firstLine="567"/>
        <w:jc w:val="both"/>
        <w:rPr>
          <w:rFonts w:ascii="Times New Roman" w:eastAsia="Calibri" w:hAnsi="Times New Roman" w:cs="Times New Roman"/>
          <w:sz w:val="24"/>
          <w:szCs w:val="24"/>
          <w:lang w:eastAsia="pl-PL"/>
        </w:rPr>
      </w:pPr>
      <w:r w:rsidRPr="003B5656">
        <w:rPr>
          <w:rFonts w:ascii="Times New Roman" w:eastAsia="Calibri" w:hAnsi="Times New Roman" w:cs="Times New Roman"/>
          <w:sz w:val="24"/>
          <w:szCs w:val="24"/>
        </w:rPr>
        <w:t>Kontynuowan</w:t>
      </w:r>
      <w:r w:rsidR="00482754">
        <w:rPr>
          <w:rFonts w:ascii="Times New Roman" w:eastAsia="Calibri" w:hAnsi="Times New Roman" w:cs="Times New Roman"/>
          <w:sz w:val="24"/>
          <w:szCs w:val="24"/>
        </w:rPr>
        <w:t>e</w:t>
      </w:r>
      <w:r w:rsidRPr="003B5656">
        <w:rPr>
          <w:rFonts w:ascii="Times New Roman" w:eastAsia="Calibri" w:hAnsi="Times New Roman" w:cs="Times New Roman"/>
          <w:sz w:val="24"/>
          <w:szCs w:val="24"/>
        </w:rPr>
        <w:t xml:space="preserve"> </w:t>
      </w:r>
      <w:r w:rsidR="00482754">
        <w:rPr>
          <w:rFonts w:ascii="Times New Roman" w:eastAsia="Calibri" w:hAnsi="Times New Roman" w:cs="Times New Roman"/>
          <w:sz w:val="24"/>
          <w:szCs w:val="24"/>
        </w:rPr>
        <w:t xml:space="preserve">były </w:t>
      </w:r>
      <w:r w:rsidRPr="003B5656">
        <w:rPr>
          <w:rFonts w:ascii="Times New Roman" w:eastAsia="Calibri" w:hAnsi="Times New Roman" w:cs="Times New Roman"/>
          <w:sz w:val="24"/>
          <w:szCs w:val="24"/>
        </w:rPr>
        <w:t>pomiary stanu warstwy ozonowej nad Polską oraz pomiary natężenia promieniowania UV-B</w:t>
      </w:r>
      <w:r w:rsidR="009961C5">
        <w:rPr>
          <w:rFonts w:ascii="Times New Roman" w:eastAsia="Calibri" w:hAnsi="Times New Roman" w:cs="Times New Roman"/>
          <w:sz w:val="24"/>
          <w:szCs w:val="24"/>
        </w:rPr>
        <w:t xml:space="preserve">, których wyniki </w:t>
      </w:r>
      <w:r w:rsidRPr="003B5656">
        <w:rPr>
          <w:rFonts w:ascii="Times New Roman" w:eastAsia="Calibri" w:hAnsi="Times New Roman" w:cs="Times New Roman"/>
          <w:sz w:val="24"/>
          <w:szCs w:val="24"/>
        </w:rPr>
        <w:t xml:space="preserve">przekazywano odpowiednim organom międzynarodowym, wypełniając tym samym zobowiązania </w:t>
      </w:r>
      <w:r w:rsidRPr="008E6AA3">
        <w:rPr>
          <w:rFonts w:ascii="Times New Roman" w:eastAsia="Calibri" w:hAnsi="Times New Roman" w:cs="Times New Roman"/>
          <w:i/>
          <w:sz w:val="24"/>
          <w:szCs w:val="24"/>
        </w:rPr>
        <w:t>(szerzej opisano w rozdziale „Monitoring jakości powietrza”)</w:t>
      </w:r>
      <w:r w:rsidRPr="003B5656">
        <w:rPr>
          <w:rFonts w:ascii="Times New Roman" w:eastAsia="Calibri" w:hAnsi="Times New Roman" w:cs="Times New Roman"/>
          <w:sz w:val="24"/>
          <w:szCs w:val="24"/>
        </w:rPr>
        <w:t xml:space="preserve">. Odbiorcami danych były Światowe Centrum Danych Ozonowych w Toronto, Norweski Instytut Ochrony Powietrza </w:t>
      </w:r>
      <w:r w:rsidR="009961C5">
        <w:rPr>
          <w:rFonts w:ascii="Times New Roman" w:eastAsia="Calibri" w:hAnsi="Times New Roman" w:cs="Times New Roman"/>
          <w:sz w:val="24"/>
          <w:szCs w:val="24"/>
        </w:rPr>
        <w:t xml:space="preserve">oraz </w:t>
      </w:r>
      <w:r w:rsidRPr="003B5656">
        <w:rPr>
          <w:rFonts w:ascii="Times New Roman" w:eastAsia="Calibri" w:hAnsi="Times New Roman" w:cs="Times New Roman"/>
          <w:sz w:val="24"/>
          <w:szCs w:val="24"/>
        </w:rPr>
        <w:t>Globalna Sieć Detekcji Zmian Składu Atmosfery w Maryland.  Dane z Polski wykorzystane zostały m.in. do sporządzania map ozonu dla półkuli północnej</w:t>
      </w:r>
      <w:r w:rsidR="00F54F88" w:rsidRPr="007F400A">
        <w:rPr>
          <w:rFonts w:ascii="Times New Roman" w:eastAsia="Calibri" w:hAnsi="Times New Roman" w:cs="Times New Roman"/>
          <w:sz w:val="24"/>
          <w:szCs w:val="24"/>
          <w:lang w:eastAsia="pl-PL"/>
        </w:rPr>
        <w:t>.</w:t>
      </w:r>
    </w:p>
    <w:p w14:paraId="0416B11A" w14:textId="77777777" w:rsidR="009961C5" w:rsidRPr="007F400A" w:rsidRDefault="009961C5" w:rsidP="00D80FBD">
      <w:pPr>
        <w:spacing w:after="0" w:line="300" w:lineRule="atLeast"/>
        <w:ind w:firstLine="567"/>
        <w:jc w:val="both"/>
        <w:rPr>
          <w:rFonts w:ascii="Times New Roman" w:eastAsia="Calibri" w:hAnsi="Times New Roman" w:cs="Times New Roman"/>
          <w:sz w:val="24"/>
          <w:szCs w:val="24"/>
          <w:lang w:eastAsia="pl-PL"/>
        </w:rPr>
      </w:pPr>
    </w:p>
    <w:p w14:paraId="53AB21F1" w14:textId="79920B76" w:rsidR="00F54F88" w:rsidRPr="007F400A" w:rsidRDefault="00F54F88" w:rsidP="00D80FBD">
      <w:pPr>
        <w:spacing w:after="120" w:line="300" w:lineRule="atLeast"/>
        <w:jc w:val="both"/>
        <w:rPr>
          <w:rFonts w:ascii="Times New Roman" w:eastAsia="Calibri" w:hAnsi="Times New Roman" w:cs="Times New Roman"/>
          <w:b/>
          <w:sz w:val="24"/>
          <w:szCs w:val="24"/>
        </w:rPr>
      </w:pPr>
      <w:r w:rsidRPr="007F400A">
        <w:rPr>
          <w:rFonts w:ascii="Times New Roman" w:eastAsia="Calibri" w:hAnsi="Times New Roman" w:cs="Times New Roman"/>
          <w:b/>
          <w:sz w:val="24"/>
          <w:szCs w:val="24"/>
        </w:rPr>
        <w:t>4.</w:t>
      </w:r>
      <w:r w:rsidR="008D7C5E" w:rsidRPr="007F400A">
        <w:rPr>
          <w:rFonts w:ascii="Times New Roman" w:eastAsia="Calibri" w:hAnsi="Times New Roman" w:cs="Times New Roman"/>
          <w:b/>
          <w:sz w:val="24"/>
          <w:szCs w:val="24"/>
        </w:rPr>
        <w:t>5</w:t>
      </w:r>
      <w:r w:rsidRPr="007F400A">
        <w:rPr>
          <w:rFonts w:ascii="Times New Roman" w:eastAsia="Calibri" w:hAnsi="Times New Roman" w:cs="Times New Roman"/>
          <w:b/>
          <w:sz w:val="24"/>
          <w:szCs w:val="24"/>
        </w:rPr>
        <w:t xml:space="preserve"> </w:t>
      </w:r>
      <w:r w:rsidR="009603ED" w:rsidRPr="003B5656">
        <w:rPr>
          <w:rFonts w:ascii="Times New Roman" w:hAnsi="Times New Roman" w:cs="Times New Roman"/>
          <w:b/>
          <w:sz w:val="24"/>
          <w:szCs w:val="24"/>
        </w:rPr>
        <w:t>Konwencja EKG ONZ o Ochronie i Racjonalnym Wykorzystaniu Transgranicznych Cieków i Jezior Międzynarodowych</w:t>
      </w:r>
      <w:r w:rsidRPr="007F400A">
        <w:rPr>
          <w:rFonts w:ascii="Times New Roman" w:eastAsia="Calibri" w:hAnsi="Times New Roman" w:cs="Times New Roman"/>
          <w:b/>
          <w:sz w:val="24"/>
          <w:szCs w:val="24"/>
        </w:rPr>
        <w:t xml:space="preserve"> </w:t>
      </w:r>
    </w:p>
    <w:p w14:paraId="4AA206C8" w14:textId="5452C963" w:rsidR="009603ED" w:rsidRDefault="009603ED" w:rsidP="00D80FBD">
      <w:pPr>
        <w:spacing w:after="120" w:line="300" w:lineRule="atLeast"/>
        <w:ind w:firstLine="567"/>
        <w:jc w:val="both"/>
        <w:rPr>
          <w:rFonts w:ascii="Times New Roman" w:hAnsi="Times New Roman" w:cs="Times New Roman"/>
          <w:sz w:val="24"/>
          <w:szCs w:val="24"/>
        </w:rPr>
      </w:pPr>
      <w:r w:rsidRPr="003B5656">
        <w:rPr>
          <w:rFonts w:ascii="Times New Roman" w:hAnsi="Times New Roman" w:cs="Times New Roman"/>
          <w:sz w:val="24"/>
          <w:szCs w:val="24"/>
        </w:rPr>
        <w:t xml:space="preserve">W czerwcu 2022 r. w Tallinie (Estonia) delegacja Polski złożona z przedstawicieli MI </w:t>
      </w:r>
      <w:r>
        <w:rPr>
          <w:rFonts w:ascii="Times New Roman" w:hAnsi="Times New Roman" w:cs="Times New Roman"/>
          <w:sz w:val="24"/>
          <w:szCs w:val="24"/>
        </w:rPr>
        <w:br/>
      </w:r>
      <w:r w:rsidRPr="003B5656">
        <w:rPr>
          <w:rFonts w:ascii="Times New Roman" w:hAnsi="Times New Roman" w:cs="Times New Roman"/>
          <w:sz w:val="24"/>
          <w:szCs w:val="24"/>
        </w:rPr>
        <w:t xml:space="preserve">i GIOŚ wzięła udział w specjalnym wydarzeniu jubileuszowym 30-lecia podpisania Konwencji o ochronie i racjonalnym wykorzystaniu transgranicznych cieków wodnych i jezior </w:t>
      </w:r>
      <w:r w:rsidRPr="003B5656">
        <w:rPr>
          <w:rFonts w:ascii="Times New Roman" w:hAnsi="Times New Roman" w:cs="Times New Roman"/>
          <w:sz w:val="24"/>
          <w:szCs w:val="24"/>
        </w:rPr>
        <w:lastRenderedPageBreak/>
        <w:t>międzynarodowych (Konwencji Wodnej) połączonym z 4 wspólnym posiedzeniem Grupy Roboczej ds. monitorowania i oceny.</w:t>
      </w:r>
    </w:p>
    <w:p w14:paraId="0704C840" w14:textId="7513099C" w:rsidR="00387BBB" w:rsidRDefault="00387BBB" w:rsidP="00D80FBD">
      <w:pPr>
        <w:spacing w:after="120" w:line="300" w:lineRule="atLeast"/>
        <w:ind w:firstLine="567"/>
        <w:jc w:val="center"/>
        <w:rPr>
          <w:rFonts w:ascii="Times New Roman" w:hAnsi="Times New Roman" w:cs="Times New Roman"/>
          <w:sz w:val="24"/>
          <w:szCs w:val="24"/>
        </w:rPr>
      </w:pPr>
      <w:r w:rsidRPr="003B5656">
        <w:rPr>
          <w:rFonts w:ascii="Times New Roman" w:hAnsi="Times New Roman" w:cs="Times New Roman"/>
          <w:noProof/>
          <w:sz w:val="24"/>
          <w:szCs w:val="24"/>
          <w:lang w:eastAsia="pl-PL"/>
        </w:rPr>
        <w:drawing>
          <wp:inline distT="0" distB="0" distL="0" distR="0" wp14:anchorId="0A5B453D" wp14:editId="5F79A283">
            <wp:extent cx="4033036" cy="2219325"/>
            <wp:effectExtent l="0" t="0" r="5715" b="0"/>
            <wp:docPr id="467" name="Obraz 467" descr="Zdjęcie z wydarzenia jubileuszowego 30-lecia podpisania Konwencji o ochronie i racjonalnym wykorzystaniu transgranicznych cieków wodnych i jezior międzynarodowy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Obraz 467" descr="Zdjęcie z wydarzenia jubileuszowego 30-lecia podpisania Konwencji o ochronie i racjonalnym wykorzystaniu transgranicznych cieków wodnych i jezior międzynarodowych "/>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4136384" cy="2276196"/>
                    </a:xfrm>
                    <a:prstGeom prst="rect">
                      <a:avLst/>
                    </a:prstGeom>
                    <a:noFill/>
                    <a:ln>
                      <a:noFill/>
                    </a:ln>
                  </pic:spPr>
                </pic:pic>
              </a:graphicData>
            </a:graphic>
          </wp:inline>
        </w:drawing>
      </w:r>
    </w:p>
    <w:p w14:paraId="7664A772" w14:textId="251E2B75" w:rsidR="009F3FE9" w:rsidRPr="009F3FE9" w:rsidRDefault="009F3FE9" w:rsidP="00D80FBD">
      <w:pPr>
        <w:spacing w:after="120" w:line="300" w:lineRule="atLeast"/>
        <w:ind w:firstLine="567"/>
        <w:jc w:val="center"/>
        <w:rPr>
          <w:rFonts w:ascii="Times New Roman" w:hAnsi="Times New Roman" w:cs="Times New Roman"/>
          <w:b/>
          <w:color w:val="000000" w:themeColor="text1"/>
        </w:rPr>
      </w:pPr>
      <w:r w:rsidRPr="009F3FE9">
        <w:rPr>
          <w:rFonts w:ascii="Times New Roman" w:hAnsi="Times New Roman" w:cs="Times New Roman"/>
          <w:b/>
          <w:color w:val="000000" w:themeColor="text1"/>
        </w:rPr>
        <w:t>Zdjęcie 9</w:t>
      </w:r>
      <w:r w:rsidR="005261DF">
        <w:rPr>
          <w:rFonts w:ascii="Times New Roman" w:hAnsi="Times New Roman" w:cs="Times New Roman"/>
          <w:b/>
          <w:color w:val="000000" w:themeColor="text1"/>
        </w:rPr>
        <w:t>1</w:t>
      </w:r>
    </w:p>
    <w:p w14:paraId="60BA5E27" w14:textId="47EFA445" w:rsidR="00F54F88" w:rsidRPr="007F400A" w:rsidRDefault="00F54F88" w:rsidP="00D80FBD">
      <w:pPr>
        <w:spacing w:after="120" w:line="300" w:lineRule="atLeast"/>
        <w:jc w:val="both"/>
        <w:rPr>
          <w:rFonts w:ascii="Times New Roman" w:eastAsia="Calibri" w:hAnsi="Times New Roman" w:cs="Times New Roman"/>
          <w:b/>
          <w:color w:val="000000"/>
          <w:sz w:val="24"/>
          <w:szCs w:val="24"/>
          <w:lang w:eastAsia="pl-PL"/>
        </w:rPr>
      </w:pPr>
      <w:r w:rsidRPr="007F400A">
        <w:rPr>
          <w:rFonts w:ascii="Times New Roman" w:eastAsia="Calibri" w:hAnsi="Times New Roman" w:cs="Times New Roman"/>
          <w:b/>
          <w:color w:val="000000"/>
          <w:sz w:val="24"/>
          <w:szCs w:val="24"/>
          <w:lang w:eastAsia="pl-PL"/>
        </w:rPr>
        <w:t>4.</w:t>
      </w:r>
      <w:r w:rsidR="008D7C5E" w:rsidRPr="007F400A">
        <w:rPr>
          <w:rFonts w:ascii="Times New Roman" w:eastAsia="Calibri" w:hAnsi="Times New Roman" w:cs="Times New Roman"/>
          <w:b/>
          <w:color w:val="000000"/>
          <w:sz w:val="24"/>
          <w:szCs w:val="24"/>
          <w:lang w:eastAsia="pl-PL"/>
        </w:rPr>
        <w:t>6</w:t>
      </w:r>
      <w:r w:rsidRPr="007F400A">
        <w:rPr>
          <w:rFonts w:ascii="Times New Roman" w:eastAsia="Calibri" w:hAnsi="Times New Roman" w:cs="Times New Roman"/>
          <w:b/>
          <w:color w:val="000000"/>
          <w:sz w:val="24"/>
          <w:szCs w:val="24"/>
          <w:lang w:eastAsia="pl-PL"/>
        </w:rPr>
        <w:t xml:space="preserve"> </w:t>
      </w:r>
      <w:r w:rsidR="009603ED" w:rsidRPr="00DF15AE">
        <w:rPr>
          <w:rFonts w:ascii="Times New Roman" w:hAnsi="Times New Roman" w:cs="Times New Roman"/>
          <w:b/>
          <w:sz w:val="24"/>
          <w:szCs w:val="24"/>
        </w:rPr>
        <w:t>Konwencja EKG ONZ w sprawie transgranicznych skutków awarii przemysłowych (Konwencja awaryjna)</w:t>
      </w:r>
      <w:r w:rsidRPr="007F400A">
        <w:rPr>
          <w:rFonts w:ascii="Times New Roman" w:eastAsia="Calibri" w:hAnsi="Times New Roman" w:cs="Times New Roman"/>
          <w:b/>
          <w:color w:val="000000"/>
          <w:sz w:val="24"/>
          <w:szCs w:val="24"/>
          <w:lang w:eastAsia="pl-PL"/>
        </w:rPr>
        <w:t xml:space="preserve"> </w:t>
      </w:r>
    </w:p>
    <w:p w14:paraId="68BAF022" w14:textId="36D2C825" w:rsidR="00F54F88" w:rsidRPr="009603ED" w:rsidRDefault="009603ED" w:rsidP="00D80FBD">
      <w:pPr>
        <w:spacing w:after="0" w:line="300" w:lineRule="atLeast"/>
        <w:ind w:firstLine="567"/>
        <w:jc w:val="both"/>
        <w:rPr>
          <w:rFonts w:ascii="Times New Roman" w:eastAsia="Calibri" w:hAnsi="Times New Roman" w:cs="Times New Roman"/>
          <w:color w:val="000000"/>
          <w:sz w:val="24"/>
          <w:szCs w:val="24"/>
          <w:lang w:eastAsia="pl-PL"/>
        </w:rPr>
      </w:pPr>
      <w:r w:rsidRPr="009603ED">
        <w:rPr>
          <w:rFonts w:ascii="Times New Roman" w:hAnsi="Times New Roman" w:cs="Times New Roman"/>
        </w:rPr>
        <w:t>Przedstawiciel GIOŚ uczestniczył w XII Konferencji Stron Konwencji EKG ONZ w sprawie transgranicznych skutków awarii przemysłowych. W czasie posiedzenia omówiono stan wdrożenia Konwencji, a także podjęto decyzje dotyczące takich kwestii</w:t>
      </w:r>
      <w:r w:rsidR="001B23E2">
        <w:rPr>
          <w:rFonts w:ascii="Times New Roman" w:hAnsi="Times New Roman" w:cs="Times New Roman"/>
        </w:rPr>
        <w:t>,</w:t>
      </w:r>
      <w:r w:rsidRPr="009603ED">
        <w:rPr>
          <w:rFonts w:ascii="Times New Roman" w:hAnsi="Times New Roman" w:cs="Times New Roman"/>
        </w:rPr>
        <w:t xml:space="preserve"> jak m.in. plan pracy, najważniejsze działania czy budżet. Spotkanie było również okazją do oficjalnego powitania Ukrainy w gronie państw będących stronami Konwencji</w:t>
      </w:r>
      <w:r w:rsidR="00F54F88" w:rsidRPr="009603ED">
        <w:rPr>
          <w:rFonts w:ascii="Times New Roman" w:eastAsia="Calibri" w:hAnsi="Times New Roman" w:cs="Times New Roman"/>
          <w:color w:val="000000"/>
          <w:sz w:val="24"/>
          <w:szCs w:val="24"/>
          <w:lang w:eastAsia="pl-PL"/>
        </w:rPr>
        <w:t>.</w:t>
      </w:r>
    </w:p>
    <w:p w14:paraId="669B2CC1" w14:textId="77777777" w:rsidR="00F54F88" w:rsidRPr="007F400A" w:rsidRDefault="00F54F88" w:rsidP="00D80FBD">
      <w:pPr>
        <w:spacing w:after="0" w:line="300" w:lineRule="atLeast"/>
        <w:jc w:val="both"/>
        <w:rPr>
          <w:rFonts w:ascii="Times New Roman" w:eastAsia="Calibri" w:hAnsi="Times New Roman" w:cs="Times New Roman"/>
          <w:sz w:val="24"/>
          <w:szCs w:val="24"/>
          <w:lang w:eastAsia="pl-PL"/>
        </w:rPr>
      </w:pPr>
    </w:p>
    <w:p w14:paraId="6A10D13C" w14:textId="51B64E55" w:rsidR="00F54F88" w:rsidRPr="007F400A" w:rsidRDefault="00F54F88" w:rsidP="00D80FBD">
      <w:pPr>
        <w:spacing w:after="120" w:line="300" w:lineRule="atLeast"/>
        <w:ind w:left="397" w:hanging="397"/>
        <w:jc w:val="both"/>
        <w:rPr>
          <w:rFonts w:ascii="Times New Roman" w:eastAsia="Calibri" w:hAnsi="Times New Roman" w:cs="Times New Roman"/>
          <w:b/>
          <w:sz w:val="24"/>
          <w:szCs w:val="24"/>
          <w:lang w:eastAsia="pl-PL"/>
        </w:rPr>
      </w:pPr>
      <w:r w:rsidRPr="007F400A">
        <w:rPr>
          <w:rFonts w:ascii="Times New Roman" w:eastAsia="Calibri" w:hAnsi="Times New Roman" w:cs="Times New Roman"/>
          <w:b/>
          <w:sz w:val="24"/>
          <w:szCs w:val="24"/>
          <w:lang w:eastAsia="pl-PL"/>
        </w:rPr>
        <w:t>4.</w:t>
      </w:r>
      <w:r w:rsidR="008D7C5E" w:rsidRPr="007F400A">
        <w:rPr>
          <w:rFonts w:ascii="Times New Roman" w:eastAsia="Calibri" w:hAnsi="Times New Roman" w:cs="Times New Roman"/>
          <w:b/>
          <w:sz w:val="24"/>
          <w:szCs w:val="24"/>
          <w:lang w:eastAsia="pl-PL"/>
        </w:rPr>
        <w:t>7</w:t>
      </w:r>
      <w:r w:rsidRPr="007F400A">
        <w:rPr>
          <w:rFonts w:ascii="Times New Roman" w:eastAsia="Calibri" w:hAnsi="Times New Roman" w:cs="Times New Roman"/>
          <w:b/>
          <w:sz w:val="24"/>
          <w:szCs w:val="24"/>
          <w:lang w:eastAsia="pl-PL"/>
        </w:rPr>
        <w:t xml:space="preserve"> </w:t>
      </w:r>
      <w:r w:rsidR="008964D7" w:rsidRPr="003B5656">
        <w:rPr>
          <w:rFonts w:ascii="Times New Roman" w:hAnsi="Times New Roman" w:cs="Times New Roman"/>
          <w:b/>
          <w:sz w:val="24"/>
          <w:szCs w:val="24"/>
        </w:rPr>
        <w:t>Współpraca z Europejską Komisją Gospodarczą EKG ONZ (UNECE)</w:t>
      </w:r>
    </w:p>
    <w:p w14:paraId="2237E4EF" w14:textId="654C7977" w:rsidR="00F54F88" w:rsidRPr="007F400A" w:rsidRDefault="001B23E2" w:rsidP="00D80FBD">
      <w:pPr>
        <w:spacing w:after="0" w:line="300" w:lineRule="atLeast"/>
        <w:ind w:firstLine="567"/>
        <w:jc w:val="both"/>
        <w:rPr>
          <w:rFonts w:ascii="Times New Roman" w:eastAsia="Calibri" w:hAnsi="Times New Roman" w:cs="Times New Roman"/>
          <w:sz w:val="24"/>
          <w:szCs w:val="24"/>
          <w:lang w:val="x-none" w:eastAsia="pl-PL"/>
        </w:rPr>
      </w:pPr>
      <w:r>
        <w:rPr>
          <w:rFonts w:ascii="Times New Roman" w:hAnsi="Times New Roman" w:cs="Times New Roman"/>
          <w:sz w:val="24"/>
          <w:szCs w:val="24"/>
        </w:rPr>
        <w:t>Przedstawiciel GIOŚ u</w:t>
      </w:r>
      <w:r w:rsidR="00350B66" w:rsidRPr="003B5656">
        <w:rPr>
          <w:rFonts w:ascii="Times New Roman" w:hAnsi="Times New Roman" w:cs="Times New Roman"/>
          <w:sz w:val="24"/>
          <w:szCs w:val="24"/>
        </w:rPr>
        <w:t>czestnicz</w:t>
      </w:r>
      <w:r>
        <w:rPr>
          <w:rFonts w:ascii="Times New Roman" w:hAnsi="Times New Roman" w:cs="Times New Roman"/>
          <w:sz w:val="24"/>
          <w:szCs w:val="24"/>
        </w:rPr>
        <w:t>ył</w:t>
      </w:r>
      <w:r w:rsidR="00350B66" w:rsidRPr="003B5656">
        <w:rPr>
          <w:rFonts w:ascii="Times New Roman" w:hAnsi="Times New Roman" w:cs="Times New Roman"/>
          <w:sz w:val="24"/>
          <w:szCs w:val="24"/>
        </w:rPr>
        <w:t xml:space="preserve"> w spotkaniu on-line grupy roboczej ds. monitoringu </w:t>
      </w:r>
      <w:r>
        <w:rPr>
          <w:rFonts w:ascii="Times New Roman" w:hAnsi="Times New Roman" w:cs="Times New Roman"/>
          <w:sz w:val="24"/>
          <w:szCs w:val="24"/>
        </w:rPr>
        <w:br/>
      </w:r>
      <w:r w:rsidR="00350B66" w:rsidRPr="003B5656">
        <w:rPr>
          <w:rFonts w:ascii="Times New Roman" w:hAnsi="Times New Roman" w:cs="Times New Roman"/>
          <w:sz w:val="24"/>
          <w:szCs w:val="24"/>
        </w:rPr>
        <w:t xml:space="preserve">i ocen stanu środowiska, gdzie poruszane były kwestie m.in. oceny paneuropejskiej, rozwoju systemów informacji o środowisku na poziomie globalnym, europejskim i krajowym oraz prezentowane działania i produkty wytworzone przez wybrane kraje, jednostki programowe ONZ, a także EEA i OECD. Opracowano obszerne uwagi do wersji roboczej raportu EKG ONZ prezentującego paneuropejską ocenę stanu środowiska, a także wkład do stanowiska </w:t>
      </w:r>
      <w:proofErr w:type="spellStart"/>
      <w:r w:rsidR="00350B66" w:rsidRPr="003B5656">
        <w:rPr>
          <w:rFonts w:ascii="Times New Roman" w:hAnsi="Times New Roman" w:cs="Times New Roman"/>
          <w:sz w:val="24"/>
          <w:szCs w:val="24"/>
        </w:rPr>
        <w:t>MKiŚ</w:t>
      </w:r>
      <w:proofErr w:type="spellEnd"/>
      <w:r w:rsidR="00350B66" w:rsidRPr="003B5656">
        <w:rPr>
          <w:rFonts w:ascii="Times New Roman" w:hAnsi="Times New Roman" w:cs="Times New Roman"/>
          <w:sz w:val="24"/>
          <w:szCs w:val="24"/>
        </w:rPr>
        <w:t xml:space="preserve"> na potrzeby 9. sesji Konferencji Ministerialnej „Środowisko dla Europy” w Nikozji</w:t>
      </w:r>
      <w:r w:rsidR="00F54F88" w:rsidRPr="007F400A">
        <w:rPr>
          <w:rFonts w:ascii="Times New Roman" w:eastAsia="Calibri" w:hAnsi="Times New Roman" w:cs="Times New Roman"/>
          <w:sz w:val="24"/>
          <w:szCs w:val="24"/>
          <w:lang w:val="x-none" w:eastAsia="pl-PL"/>
        </w:rPr>
        <w:t>.</w:t>
      </w:r>
    </w:p>
    <w:p w14:paraId="55565B25" w14:textId="77777777" w:rsidR="00F54F88" w:rsidRPr="007F400A" w:rsidRDefault="00F54F88" w:rsidP="00D80FBD">
      <w:pPr>
        <w:spacing w:after="0" w:line="300" w:lineRule="atLeast"/>
        <w:contextualSpacing/>
        <w:jc w:val="both"/>
        <w:rPr>
          <w:rFonts w:ascii="Times New Roman" w:eastAsia="Calibri" w:hAnsi="Times New Roman" w:cs="Times New Roman"/>
          <w:b/>
          <w:sz w:val="24"/>
          <w:szCs w:val="24"/>
          <w:lang w:val="x-none" w:eastAsia="pl-PL"/>
        </w:rPr>
      </w:pPr>
    </w:p>
    <w:p w14:paraId="43C277FC" w14:textId="11FCF57B" w:rsidR="008D7C5E" w:rsidRPr="007F400A" w:rsidRDefault="008D7C5E" w:rsidP="00D80FBD">
      <w:pPr>
        <w:spacing w:after="120" w:line="300" w:lineRule="atLeast"/>
        <w:ind w:left="397" w:hanging="397"/>
        <w:jc w:val="both"/>
        <w:rPr>
          <w:rFonts w:ascii="Times New Roman" w:eastAsia="Calibri" w:hAnsi="Times New Roman" w:cs="Times New Roman"/>
          <w:b/>
          <w:sz w:val="24"/>
          <w:szCs w:val="24"/>
          <w:lang w:eastAsia="pl-PL"/>
        </w:rPr>
      </w:pPr>
      <w:r w:rsidRPr="007F400A">
        <w:rPr>
          <w:rFonts w:ascii="Times New Roman" w:eastAsia="Calibri" w:hAnsi="Times New Roman" w:cs="Times New Roman"/>
          <w:b/>
          <w:sz w:val="24"/>
          <w:szCs w:val="24"/>
          <w:lang w:eastAsia="pl-PL"/>
        </w:rPr>
        <w:t xml:space="preserve">4.8 </w:t>
      </w:r>
      <w:r w:rsidR="00350B66">
        <w:rPr>
          <w:rFonts w:ascii="Times New Roman" w:eastAsia="Calibri" w:hAnsi="Times New Roman" w:cs="Times New Roman"/>
          <w:b/>
          <w:sz w:val="24"/>
          <w:szCs w:val="24"/>
          <w:lang w:eastAsia="pl-PL"/>
        </w:rPr>
        <w:t xml:space="preserve">Współpraca w ramach </w:t>
      </w:r>
      <w:r w:rsidR="00350B66" w:rsidRPr="00DF15AE">
        <w:rPr>
          <w:rFonts w:ascii="Times New Roman" w:hAnsi="Times New Roman" w:cs="Times New Roman"/>
          <w:b/>
          <w:sz w:val="24"/>
          <w:szCs w:val="24"/>
        </w:rPr>
        <w:t>Grup</w:t>
      </w:r>
      <w:r w:rsidR="00350B66">
        <w:rPr>
          <w:rFonts w:ascii="Times New Roman" w:hAnsi="Times New Roman" w:cs="Times New Roman"/>
          <w:b/>
          <w:sz w:val="24"/>
          <w:szCs w:val="24"/>
        </w:rPr>
        <w:t>y</w:t>
      </w:r>
      <w:r w:rsidR="00350B66" w:rsidRPr="00DF15AE">
        <w:rPr>
          <w:rFonts w:ascii="Times New Roman" w:hAnsi="Times New Roman" w:cs="Times New Roman"/>
          <w:b/>
          <w:sz w:val="24"/>
          <w:szCs w:val="24"/>
        </w:rPr>
        <w:t xml:space="preserve"> Wyszehradzk</w:t>
      </w:r>
      <w:r w:rsidR="00350B66">
        <w:rPr>
          <w:rFonts w:ascii="Times New Roman" w:hAnsi="Times New Roman" w:cs="Times New Roman"/>
          <w:b/>
          <w:sz w:val="24"/>
          <w:szCs w:val="24"/>
        </w:rPr>
        <w:t>iej</w:t>
      </w:r>
      <w:r w:rsidR="00350B66" w:rsidRPr="00DF15AE">
        <w:rPr>
          <w:rFonts w:ascii="Times New Roman" w:hAnsi="Times New Roman" w:cs="Times New Roman"/>
          <w:b/>
          <w:sz w:val="24"/>
          <w:szCs w:val="24"/>
        </w:rPr>
        <w:t xml:space="preserve"> (V4)</w:t>
      </w:r>
    </w:p>
    <w:p w14:paraId="5FA1682E" w14:textId="73BC6FC2" w:rsidR="00895F16" w:rsidRPr="007F400A" w:rsidRDefault="00350B66" w:rsidP="00D80FBD">
      <w:pPr>
        <w:spacing w:after="0" w:line="300" w:lineRule="atLeast"/>
        <w:ind w:firstLine="567"/>
        <w:jc w:val="both"/>
        <w:rPr>
          <w:rFonts w:ascii="Times New Roman" w:eastAsia="Calibri" w:hAnsi="Times New Roman" w:cs="Times New Roman"/>
          <w:sz w:val="24"/>
          <w:szCs w:val="24"/>
          <w:lang w:eastAsia="pl-PL"/>
        </w:rPr>
      </w:pPr>
      <w:r w:rsidRPr="00827625">
        <w:rPr>
          <w:rFonts w:ascii="Times New Roman" w:hAnsi="Times New Roman" w:cs="Times New Roman"/>
          <w:sz w:val="24"/>
          <w:szCs w:val="24"/>
        </w:rPr>
        <w:t>W dniach 25</w:t>
      </w:r>
      <w:r>
        <w:rPr>
          <w:rFonts w:ascii="Times New Roman" w:hAnsi="Times New Roman" w:cs="Times New Roman"/>
          <w:sz w:val="24"/>
          <w:szCs w:val="24"/>
        </w:rPr>
        <w:t>-</w:t>
      </w:r>
      <w:r w:rsidRPr="00827625">
        <w:rPr>
          <w:rFonts w:ascii="Times New Roman" w:hAnsi="Times New Roman" w:cs="Times New Roman"/>
          <w:sz w:val="24"/>
          <w:szCs w:val="24"/>
        </w:rPr>
        <w:t xml:space="preserve">26 października 2022 r. przedstawiciele GIOŚ wzięli udział w spotkaniu przedstawicieli Grupy Wyszehradzkiej (V4) w Bratysławie, dotyczącym zwalczania przestępczości środowiskowej. Organizatorem spotkania było słowackie Ministerstwo Spraw Wewnętrznych. W spotkaniu uczestniczyli specjaliści reprezentujący państwa członkowskie UE, tj. Polskę, Słowację, Republikę Czeską i Węgry. Uczestnikami spotkania byli przedstawiciele zarówno organów ścigania, organów celnych, jak i instytucji zajmujących się ochroną środowiska. Tematem była problematyka dotycząca przestępczości środowiskowej, </w:t>
      </w:r>
      <w:r w:rsidR="001B23E2">
        <w:rPr>
          <w:rFonts w:ascii="Times New Roman" w:hAnsi="Times New Roman" w:cs="Times New Roman"/>
          <w:sz w:val="24"/>
          <w:szCs w:val="24"/>
        </w:rPr>
        <w:br/>
      </w:r>
      <w:r w:rsidRPr="00827625">
        <w:rPr>
          <w:rFonts w:ascii="Times New Roman" w:hAnsi="Times New Roman" w:cs="Times New Roman"/>
          <w:sz w:val="24"/>
          <w:szCs w:val="24"/>
        </w:rPr>
        <w:t xml:space="preserve">a w szczególności nielegalnego transgranicznego przemieszczania odpadów. Przedstawiciele każdego kraju poprowadzili prezentacje dotyczące nielegalnego transgranicznego przemieszczania odpadów w </w:t>
      </w:r>
      <w:r>
        <w:rPr>
          <w:rFonts w:ascii="Times New Roman" w:hAnsi="Times New Roman" w:cs="Times New Roman"/>
          <w:sz w:val="24"/>
          <w:szCs w:val="24"/>
        </w:rPr>
        <w:t>świetle</w:t>
      </w:r>
      <w:r w:rsidRPr="00827625">
        <w:rPr>
          <w:rFonts w:ascii="Times New Roman" w:hAnsi="Times New Roman" w:cs="Times New Roman"/>
          <w:sz w:val="24"/>
          <w:szCs w:val="24"/>
        </w:rPr>
        <w:t xml:space="preserve"> prawodawstwa danego kraju. Prezentacje obejmowały również temat kompetencji poszczególnych organów oraz danych statystycznych dotyczących </w:t>
      </w:r>
      <w:r w:rsidRPr="00827625">
        <w:rPr>
          <w:rFonts w:ascii="Times New Roman" w:hAnsi="Times New Roman" w:cs="Times New Roman"/>
          <w:sz w:val="24"/>
          <w:szCs w:val="24"/>
        </w:rPr>
        <w:lastRenderedPageBreak/>
        <w:t xml:space="preserve">transgranicznego przemieszczania odpadów. Nielegalne transgraniczne przemieszczanie odpadów omówione zostało z perspektywy prawa karnego oraz prawa administracyjnego. Ponadto organy słowackie zaprezentowały wykorzystanie nowoczesnych technologii do zwalczania nielegalnego gospodarowania odpadami. Opisane zostało wykorzystanie dronów, np. do obliczania objętości hałd odpadów oraz do wykrywania odpadów znajdujących się pod powierzchnią ziemi. Uczestnicy spotkania wymieniali na bieżąco swoje doświadczenia </w:t>
      </w:r>
      <w:r w:rsidR="001B23E2">
        <w:rPr>
          <w:rFonts w:ascii="Times New Roman" w:hAnsi="Times New Roman" w:cs="Times New Roman"/>
          <w:sz w:val="24"/>
          <w:szCs w:val="24"/>
        </w:rPr>
        <w:br/>
      </w:r>
      <w:r w:rsidRPr="00827625">
        <w:rPr>
          <w:rFonts w:ascii="Times New Roman" w:hAnsi="Times New Roman" w:cs="Times New Roman"/>
          <w:sz w:val="24"/>
          <w:szCs w:val="24"/>
        </w:rPr>
        <w:t xml:space="preserve">w dziedzinie transgranicznego przemieszczania odpadów, spostrzeżenia na temat wyzwań </w:t>
      </w:r>
      <w:r w:rsidRPr="00827625">
        <w:rPr>
          <w:rFonts w:ascii="Times New Roman" w:hAnsi="Times New Roman" w:cs="Times New Roman"/>
          <w:sz w:val="24"/>
          <w:szCs w:val="24"/>
        </w:rPr>
        <w:br/>
        <w:t xml:space="preserve">w tej dziedzinie oraz trudności, z jakimi zmagają się ich instytucje w zwalczaniu nielegalnego przemieszczania odpadów. Omówione zostały najczęstsze metody stosowane przez podmioty uczestniczące w nielegalnym  międzynarodowym przemieszczaniu odpadów, takie jak nadawanie niewłaściwego kodu odpadów, fałszowanie dokumentów, nielegalne składowanie </w:t>
      </w:r>
      <w:r>
        <w:rPr>
          <w:rFonts w:ascii="Times New Roman" w:hAnsi="Times New Roman" w:cs="Times New Roman"/>
          <w:sz w:val="24"/>
          <w:szCs w:val="24"/>
        </w:rPr>
        <w:br/>
      </w:r>
      <w:r w:rsidRPr="00827625">
        <w:rPr>
          <w:rFonts w:ascii="Times New Roman" w:hAnsi="Times New Roman" w:cs="Times New Roman"/>
          <w:sz w:val="24"/>
          <w:szCs w:val="24"/>
        </w:rPr>
        <w:t>i spalanie odpadów,  zwiększanie liczby pośredników, zakładanie powiązanych biznesowo firm, których działalność nie jest transparentna. W trakcie dyskusji określone zostały główne problemy, z którymi mają do czynienia przedstawiciele instytucji państw Grupy Wyszehradzkiej. Omówione zostały możliwości rozwiązań oraz współpracy w celu lepszego zapobiegania przestępczości środowiskowej. W trakcie spotkania podkreślana była konieczność współpracy pomiędzy tymi krajami, polegająca mi.in. na regularnych spotkaniach, a także na stworzeniu wspólnego forum wymiany informacji</w:t>
      </w:r>
      <w:r w:rsidR="008D7C5E" w:rsidRPr="007F400A">
        <w:rPr>
          <w:rFonts w:ascii="Times New Roman" w:eastAsia="Calibri" w:hAnsi="Times New Roman" w:cs="Times New Roman"/>
          <w:sz w:val="24"/>
          <w:szCs w:val="24"/>
          <w:lang w:eastAsia="pl-PL"/>
        </w:rPr>
        <w:t>.</w:t>
      </w:r>
    </w:p>
    <w:p w14:paraId="77FFC22D" w14:textId="77777777" w:rsidR="000E72F2" w:rsidRPr="007F400A" w:rsidRDefault="000E72F2" w:rsidP="00D80FBD">
      <w:pPr>
        <w:spacing w:after="0" w:line="300" w:lineRule="atLeast"/>
        <w:jc w:val="both"/>
        <w:rPr>
          <w:rFonts w:ascii="Times New Roman" w:eastAsia="Calibri" w:hAnsi="Times New Roman" w:cs="Times New Roman"/>
          <w:color w:val="2E74B5"/>
          <w:sz w:val="20"/>
          <w:szCs w:val="20"/>
          <w:lang w:val="x-none" w:eastAsia="pl-PL"/>
        </w:rPr>
      </w:pPr>
    </w:p>
    <w:p w14:paraId="3EAFFACC" w14:textId="1C3CD171" w:rsidR="000E72F2" w:rsidRPr="007F400A" w:rsidRDefault="000E72F2" w:rsidP="00D80FBD">
      <w:pPr>
        <w:spacing w:after="120" w:line="300" w:lineRule="atLeast"/>
        <w:jc w:val="both"/>
        <w:rPr>
          <w:rFonts w:ascii="Times New Roman" w:eastAsia="Calibri" w:hAnsi="Times New Roman" w:cs="Times New Roman"/>
          <w:b/>
          <w:sz w:val="24"/>
          <w:szCs w:val="24"/>
          <w:lang w:val="x-none" w:eastAsia="pl-PL"/>
        </w:rPr>
      </w:pPr>
      <w:r w:rsidRPr="007F400A">
        <w:rPr>
          <w:rFonts w:ascii="Times New Roman" w:eastAsia="Calibri" w:hAnsi="Times New Roman" w:cs="Times New Roman"/>
          <w:b/>
          <w:sz w:val="24"/>
          <w:szCs w:val="24"/>
          <w:lang w:val="x-none" w:eastAsia="pl-PL"/>
        </w:rPr>
        <w:t>4.</w:t>
      </w:r>
      <w:r w:rsidRPr="007F400A">
        <w:rPr>
          <w:rFonts w:ascii="Times New Roman" w:eastAsia="Calibri" w:hAnsi="Times New Roman" w:cs="Times New Roman"/>
          <w:b/>
          <w:sz w:val="24"/>
          <w:szCs w:val="24"/>
          <w:lang w:eastAsia="pl-PL"/>
        </w:rPr>
        <w:t>9</w:t>
      </w:r>
      <w:r w:rsidRPr="007F400A">
        <w:rPr>
          <w:rFonts w:ascii="Times New Roman" w:eastAsia="Calibri" w:hAnsi="Times New Roman" w:cs="Times New Roman"/>
          <w:b/>
          <w:sz w:val="24"/>
          <w:szCs w:val="24"/>
          <w:lang w:val="x-none" w:eastAsia="pl-PL"/>
        </w:rPr>
        <w:t xml:space="preserve"> Międzynarodowa Komisja Ochrony Odry przed Zanieczyszczeniem (</w:t>
      </w:r>
      <w:proofErr w:type="spellStart"/>
      <w:r w:rsidRPr="007F400A">
        <w:rPr>
          <w:rFonts w:ascii="Times New Roman" w:eastAsia="Calibri" w:hAnsi="Times New Roman" w:cs="Times New Roman"/>
          <w:b/>
          <w:sz w:val="24"/>
          <w:szCs w:val="24"/>
          <w:lang w:val="x-none" w:eastAsia="pl-PL"/>
        </w:rPr>
        <w:t>MKOOpZ</w:t>
      </w:r>
      <w:proofErr w:type="spellEnd"/>
      <w:r w:rsidRPr="007F400A">
        <w:rPr>
          <w:rFonts w:ascii="Times New Roman" w:eastAsia="Calibri" w:hAnsi="Times New Roman" w:cs="Times New Roman"/>
          <w:b/>
          <w:sz w:val="24"/>
          <w:szCs w:val="24"/>
          <w:lang w:val="x-none" w:eastAsia="pl-PL"/>
        </w:rPr>
        <w:t xml:space="preserve">) </w:t>
      </w:r>
    </w:p>
    <w:p w14:paraId="0CA8943C" w14:textId="69289ED2" w:rsidR="00350B66" w:rsidRDefault="00350B66" w:rsidP="00D80FBD">
      <w:pPr>
        <w:spacing w:after="0" w:line="300" w:lineRule="atLeast"/>
        <w:ind w:firstLine="567"/>
        <w:jc w:val="both"/>
        <w:rPr>
          <w:rFonts w:ascii="Times New Roman" w:hAnsi="Times New Roman" w:cs="Times New Roman"/>
          <w:sz w:val="24"/>
          <w:szCs w:val="24"/>
        </w:rPr>
      </w:pPr>
      <w:r w:rsidRPr="003B5656">
        <w:rPr>
          <w:rFonts w:ascii="Times New Roman" w:hAnsi="Times New Roman" w:cs="Times New Roman"/>
          <w:sz w:val="24"/>
          <w:szCs w:val="24"/>
        </w:rPr>
        <w:t xml:space="preserve">Uczestniczono w pracach, w tym spotkaniu podgrupy „Monitoring”, gdzie między innymi przeanalizowano propozycje prezentacji parametrów biologicznych w module IMS-Odra, </w:t>
      </w:r>
      <w:r w:rsidRPr="003B5656">
        <w:rPr>
          <w:rFonts w:ascii="Times New Roman" w:hAnsi="Times New Roman" w:cs="Times New Roman"/>
          <w:iCs/>
          <w:sz w:val="24"/>
          <w:szCs w:val="24"/>
        </w:rPr>
        <w:t xml:space="preserve">wymianę informacji nt. projektów dotyczących odpadów w rzekach i badań </w:t>
      </w:r>
      <w:proofErr w:type="spellStart"/>
      <w:r w:rsidRPr="003B5656">
        <w:rPr>
          <w:rFonts w:ascii="Times New Roman" w:hAnsi="Times New Roman" w:cs="Times New Roman"/>
          <w:iCs/>
          <w:sz w:val="24"/>
          <w:szCs w:val="24"/>
        </w:rPr>
        <w:t>mikroplastiku</w:t>
      </w:r>
      <w:proofErr w:type="spellEnd"/>
      <w:r w:rsidRPr="003B5656">
        <w:rPr>
          <w:rFonts w:ascii="Times New Roman" w:hAnsi="Times New Roman" w:cs="Times New Roman"/>
          <w:iCs/>
          <w:sz w:val="24"/>
          <w:szCs w:val="24"/>
        </w:rPr>
        <w:t>, a także informacje w komisji ds. wód granicznych.</w:t>
      </w:r>
      <w:r w:rsidRPr="003B5656">
        <w:rPr>
          <w:rFonts w:ascii="Times New Roman" w:hAnsi="Times New Roman" w:cs="Times New Roman"/>
          <w:sz w:val="24"/>
          <w:szCs w:val="24"/>
        </w:rPr>
        <w:t xml:space="preserve"> </w:t>
      </w:r>
    </w:p>
    <w:p w14:paraId="6C7F5A8B" w14:textId="5661CBD5" w:rsidR="000E72F2" w:rsidRPr="00350B66" w:rsidRDefault="00350B66" w:rsidP="00D80FBD">
      <w:pPr>
        <w:spacing w:after="0" w:line="300" w:lineRule="atLeast"/>
        <w:ind w:firstLine="567"/>
        <w:jc w:val="both"/>
        <w:rPr>
          <w:rFonts w:ascii="Times New Roman" w:eastAsia="Calibri" w:hAnsi="Times New Roman" w:cs="Times New Roman"/>
          <w:sz w:val="24"/>
          <w:szCs w:val="24"/>
        </w:rPr>
      </w:pPr>
      <w:r w:rsidRPr="00350B66">
        <w:rPr>
          <w:rFonts w:ascii="Times New Roman" w:hAnsi="Times New Roman" w:cs="Times New Roman"/>
          <w:sz w:val="24"/>
          <w:szCs w:val="24"/>
        </w:rPr>
        <w:t>Przedstawiciele Inspekcji Ochrony Środowiska wzięli udział w dwóch naradach Grupy Roboczej (G3) „Zanieczyszczenia awaryjne” Międzynarodowej Komisji Ochrony Odry przed Zanieczyszczeniem (</w:t>
      </w:r>
      <w:proofErr w:type="spellStart"/>
      <w:r w:rsidRPr="00350B66">
        <w:rPr>
          <w:rFonts w:ascii="Times New Roman" w:hAnsi="Times New Roman" w:cs="Times New Roman"/>
          <w:sz w:val="24"/>
          <w:szCs w:val="24"/>
        </w:rPr>
        <w:t>MKOOpZ</w:t>
      </w:r>
      <w:proofErr w:type="spellEnd"/>
      <w:r w:rsidRPr="00350B66">
        <w:rPr>
          <w:rFonts w:ascii="Times New Roman" w:hAnsi="Times New Roman" w:cs="Times New Roman"/>
          <w:sz w:val="24"/>
          <w:szCs w:val="24"/>
        </w:rPr>
        <w:t xml:space="preserve">) - 18 maja 2022 r. w formule hybrydowej oraz 12 października 2022 r. w Słubicach. Ponadto uczestniczyli w nadzwyczajnej naradzie tej Grupy, która odbyła się w dniu 18 sierpnia 2022 r. oraz w ćwiczeniu przekazywania meldunków w ramach Międzynarodowego Planu Ostrzegawczo-Alarmowego dla Odry, przeprowadzonym </w:t>
      </w:r>
      <w:r w:rsidR="001B23E2">
        <w:rPr>
          <w:rFonts w:ascii="Times New Roman" w:hAnsi="Times New Roman" w:cs="Times New Roman"/>
          <w:sz w:val="24"/>
          <w:szCs w:val="24"/>
        </w:rPr>
        <w:br/>
      </w:r>
      <w:r w:rsidRPr="00350B66">
        <w:rPr>
          <w:rFonts w:ascii="Times New Roman" w:hAnsi="Times New Roman" w:cs="Times New Roman"/>
          <w:sz w:val="24"/>
          <w:szCs w:val="24"/>
        </w:rPr>
        <w:t>w Krajowej Szkole Pożarniczej Landu Brandenburgii (</w:t>
      </w:r>
      <w:proofErr w:type="spellStart"/>
      <w:r w:rsidRPr="00350B66">
        <w:rPr>
          <w:rFonts w:ascii="Times New Roman" w:hAnsi="Times New Roman" w:cs="Times New Roman"/>
          <w:sz w:val="24"/>
          <w:szCs w:val="24"/>
        </w:rPr>
        <w:t>Landesfeuerwehrschule</w:t>
      </w:r>
      <w:proofErr w:type="spellEnd"/>
      <w:r w:rsidRPr="00350B66">
        <w:rPr>
          <w:rFonts w:ascii="Times New Roman" w:hAnsi="Times New Roman" w:cs="Times New Roman"/>
          <w:sz w:val="24"/>
          <w:szCs w:val="24"/>
        </w:rPr>
        <w:t xml:space="preserve"> des Landes Brandenburg (LSTE)) w </w:t>
      </w:r>
      <w:proofErr w:type="spellStart"/>
      <w:r w:rsidRPr="00350B66">
        <w:rPr>
          <w:rFonts w:ascii="Times New Roman" w:hAnsi="Times New Roman" w:cs="Times New Roman"/>
          <w:sz w:val="24"/>
          <w:szCs w:val="24"/>
        </w:rPr>
        <w:t>Eisenhüttenstadt</w:t>
      </w:r>
      <w:proofErr w:type="spellEnd"/>
      <w:r w:rsidR="000E72F2" w:rsidRPr="00350B66">
        <w:rPr>
          <w:rFonts w:ascii="Times New Roman" w:eastAsia="Calibri" w:hAnsi="Times New Roman" w:cs="Times New Roman"/>
          <w:sz w:val="24"/>
          <w:szCs w:val="24"/>
        </w:rPr>
        <w:t xml:space="preserve">. </w:t>
      </w:r>
    </w:p>
    <w:p w14:paraId="6E23E1C9" w14:textId="4E608DD2" w:rsidR="001B23E2" w:rsidRDefault="001B23E2" w:rsidP="00D80FBD">
      <w:pPr>
        <w:spacing w:after="0" w:line="300" w:lineRule="atLeast"/>
        <w:rPr>
          <w:rFonts w:ascii="Times New Roman" w:eastAsia="Times New Roman" w:hAnsi="Times New Roman" w:cs="Times New Roman"/>
          <w:sz w:val="24"/>
          <w:szCs w:val="24"/>
          <w:lang w:eastAsia="x-none"/>
        </w:rPr>
      </w:pPr>
    </w:p>
    <w:p w14:paraId="0B020952" w14:textId="7B467B00" w:rsidR="00895F16" w:rsidRPr="00FA47CD" w:rsidRDefault="008D7C5E" w:rsidP="00D80FBD">
      <w:pPr>
        <w:pStyle w:val="Nagwek1"/>
        <w:spacing w:after="120" w:line="300" w:lineRule="atLeast"/>
        <w:rPr>
          <w:lang w:val="pl-PL"/>
        </w:rPr>
      </w:pPr>
      <w:bookmarkStart w:id="474" w:name="_Toc135935740"/>
      <w:r w:rsidRPr="00985D5E">
        <w:t>5. Inne formy współpracy wielostronnej</w:t>
      </w:r>
      <w:r w:rsidR="00FA47CD">
        <w:rPr>
          <w:lang w:val="pl-PL"/>
        </w:rPr>
        <w:t xml:space="preserve"> i dwustronnej</w:t>
      </w:r>
      <w:bookmarkEnd w:id="474"/>
    </w:p>
    <w:p w14:paraId="065E4C37" w14:textId="03D6C528" w:rsidR="00895F16" w:rsidRPr="007F400A" w:rsidRDefault="001E6C9B" w:rsidP="00D80FBD">
      <w:pPr>
        <w:spacing w:after="120" w:line="300" w:lineRule="atLeast"/>
        <w:jc w:val="both"/>
      </w:pPr>
      <w:r w:rsidRPr="007F400A">
        <w:rPr>
          <w:rFonts w:ascii="Times New Roman" w:eastAsia="Calibri" w:hAnsi="Times New Roman" w:cs="Times New Roman"/>
          <w:b/>
          <w:sz w:val="24"/>
          <w:szCs w:val="24"/>
          <w:lang w:eastAsia="pl-PL"/>
        </w:rPr>
        <w:t>5</w:t>
      </w:r>
      <w:r w:rsidRPr="007F400A">
        <w:rPr>
          <w:rFonts w:ascii="Times New Roman" w:eastAsia="Calibri" w:hAnsi="Times New Roman" w:cs="Times New Roman"/>
          <w:b/>
          <w:sz w:val="24"/>
          <w:szCs w:val="24"/>
          <w:lang w:val="x-none" w:eastAsia="pl-PL"/>
        </w:rPr>
        <w:t>.</w:t>
      </w:r>
      <w:r w:rsidRPr="007F400A">
        <w:rPr>
          <w:rFonts w:ascii="Times New Roman" w:eastAsia="Calibri" w:hAnsi="Times New Roman" w:cs="Times New Roman"/>
          <w:b/>
          <w:sz w:val="24"/>
          <w:szCs w:val="24"/>
          <w:lang w:eastAsia="pl-PL"/>
        </w:rPr>
        <w:t>1</w:t>
      </w:r>
      <w:r w:rsidRPr="007F400A">
        <w:rPr>
          <w:rFonts w:ascii="Times New Roman" w:eastAsia="Calibri" w:hAnsi="Times New Roman" w:cs="Times New Roman"/>
          <w:sz w:val="24"/>
          <w:szCs w:val="24"/>
          <w:lang w:val="x-none" w:eastAsia="pl-PL"/>
        </w:rPr>
        <w:t xml:space="preserve"> </w:t>
      </w:r>
      <w:r w:rsidRPr="007F400A">
        <w:rPr>
          <w:rFonts w:ascii="Times New Roman" w:eastAsia="Calibri" w:hAnsi="Times New Roman" w:cs="Times New Roman"/>
          <w:b/>
          <w:sz w:val="24"/>
          <w:szCs w:val="24"/>
        </w:rPr>
        <w:t>Grupy robocze Organizacji Współpracy Gospodarczej i Rozwoju – OECD</w:t>
      </w:r>
    </w:p>
    <w:p w14:paraId="3522DA01" w14:textId="77777777" w:rsidR="00350B66" w:rsidRPr="00350B66" w:rsidRDefault="00350B66" w:rsidP="00D80FBD">
      <w:pPr>
        <w:spacing w:after="120" w:line="300" w:lineRule="atLeast"/>
        <w:rPr>
          <w:rFonts w:ascii="Times New Roman" w:hAnsi="Times New Roman" w:cs="Times New Roman"/>
          <w:b/>
          <w:sz w:val="24"/>
          <w:szCs w:val="24"/>
        </w:rPr>
      </w:pPr>
      <w:r w:rsidRPr="00350B66">
        <w:rPr>
          <w:rFonts w:ascii="Times New Roman" w:hAnsi="Times New Roman" w:cs="Times New Roman"/>
          <w:b/>
          <w:sz w:val="24"/>
          <w:szCs w:val="24"/>
        </w:rPr>
        <w:t>Grupa robocza ds. informacji o środowisku</w:t>
      </w:r>
    </w:p>
    <w:p w14:paraId="15122EC2" w14:textId="590E108E" w:rsidR="00350B66" w:rsidRPr="00350B66" w:rsidRDefault="001B23E2" w:rsidP="00D80FBD">
      <w:pPr>
        <w:pStyle w:val="Tekstpodstawowy3"/>
        <w:spacing w:after="0" w:line="300" w:lineRule="atLeast"/>
        <w:ind w:firstLine="567"/>
        <w:jc w:val="both"/>
        <w:rPr>
          <w:sz w:val="24"/>
          <w:szCs w:val="24"/>
        </w:rPr>
      </w:pPr>
      <w:r>
        <w:rPr>
          <w:sz w:val="24"/>
          <w:szCs w:val="24"/>
          <w:lang w:val="pl-PL"/>
        </w:rPr>
        <w:t>Przedstawiciel GIOŚ uczestniczy</w:t>
      </w:r>
      <w:r w:rsidR="00FA47CD">
        <w:rPr>
          <w:sz w:val="24"/>
          <w:szCs w:val="24"/>
          <w:lang w:val="pl-PL"/>
        </w:rPr>
        <w:t>ł</w:t>
      </w:r>
      <w:r>
        <w:rPr>
          <w:sz w:val="24"/>
          <w:szCs w:val="24"/>
          <w:lang w:val="pl-PL"/>
        </w:rPr>
        <w:t xml:space="preserve"> </w:t>
      </w:r>
      <w:r w:rsidR="00350B66" w:rsidRPr="00350B66">
        <w:rPr>
          <w:sz w:val="24"/>
          <w:szCs w:val="24"/>
        </w:rPr>
        <w:t>w spotkaniach grupy: on-line w marcu i stacjonarnym w listopadzie</w:t>
      </w:r>
      <w:r>
        <w:rPr>
          <w:sz w:val="24"/>
          <w:szCs w:val="24"/>
          <w:lang w:val="pl-PL"/>
        </w:rPr>
        <w:t xml:space="preserve"> 2022 r.</w:t>
      </w:r>
      <w:r w:rsidR="00350B66" w:rsidRPr="00350B66">
        <w:rPr>
          <w:sz w:val="24"/>
          <w:szCs w:val="24"/>
        </w:rPr>
        <w:t xml:space="preserve"> W ramach prac grupy (w której uczestniczy także GUS) wzięto udział </w:t>
      </w:r>
      <w:r w:rsidR="00FA47CD">
        <w:rPr>
          <w:sz w:val="24"/>
          <w:szCs w:val="24"/>
        </w:rPr>
        <w:br/>
      </w:r>
      <w:r w:rsidR="00350B66" w:rsidRPr="00350B66">
        <w:rPr>
          <w:sz w:val="24"/>
          <w:szCs w:val="24"/>
        </w:rPr>
        <w:t>w konsultacjach odpowiednich dokumentów, włączając także według potrzeby inne instytucje. Opiniowano także dokumenty dot</w:t>
      </w:r>
      <w:r>
        <w:rPr>
          <w:sz w:val="24"/>
          <w:szCs w:val="24"/>
          <w:lang w:val="pl-PL"/>
        </w:rPr>
        <w:t>yczące</w:t>
      </w:r>
      <w:r w:rsidR="00350B66" w:rsidRPr="00350B66">
        <w:rPr>
          <w:sz w:val="24"/>
          <w:szCs w:val="24"/>
        </w:rPr>
        <w:t xml:space="preserve"> OECD, przesyłane przez </w:t>
      </w:r>
      <w:proofErr w:type="spellStart"/>
      <w:r w:rsidR="00350B66" w:rsidRPr="00350B66">
        <w:rPr>
          <w:sz w:val="24"/>
          <w:szCs w:val="24"/>
        </w:rPr>
        <w:t>MKiŚ</w:t>
      </w:r>
      <w:proofErr w:type="spellEnd"/>
      <w:r w:rsidR="00350B66" w:rsidRPr="00350B66">
        <w:rPr>
          <w:sz w:val="24"/>
          <w:szCs w:val="24"/>
        </w:rPr>
        <w:t xml:space="preserve"> oraz opracowano dla </w:t>
      </w:r>
      <w:proofErr w:type="spellStart"/>
      <w:r w:rsidR="00350B66" w:rsidRPr="00350B66">
        <w:rPr>
          <w:sz w:val="24"/>
          <w:szCs w:val="24"/>
        </w:rPr>
        <w:t>MKiŚ</w:t>
      </w:r>
      <w:proofErr w:type="spellEnd"/>
      <w:r w:rsidR="00350B66" w:rsidRPr="00350B66">
        <w:rPr>
          <w:sz w:val="24"/>
          <w:szCs w:val="24"/>
        </w:rPr>
        <w:t xml:space="preserve"> wkład na potrzeby prowadzonego przez OECD przeglądu gospodarczego Polski. Ponadto, zgodnie z harmonogramem, przekazano do OECD dane w ramach tzw. kwestionariusza dot</w:t>
      </w:r>
      <w:r w:rsidR="00FA47CD">
        <w:rPr>
          <w:sz w:val="24"/>
          <w:szCs w:val="24"/>
          <w:lang w:val="pl-PL"/>
        </w:rPr>
        <w:t>yczącego</w:t>
      </w:r>
      <w:r w:rsidR="00350B66" w:rsidRPr="00350B66">
        <w:rPr>
          <w:sz w:val="24"/>
          <w:szCs w:val="24"/>
        </w:rPr>
        <w:t xml:space="preserve"> stanu środowiska. Analizowano także prace OECD </w:t>
      </w:r>
      <w:r w:rsidR="00FA47CD">
        <w:rPr>
          <w:sz w:val="24"/>
          <w:szCs w:val="24"/>
        </w:rPr>
        <w:br/>
      </w:r>
      <w:r w:rsidR="00350B66" w:rsidRPr="00350B66">
        <w:rPr>
          <w:sz w:val="24"/>
          <w:szCs w:val="24"/>
        </w:rPr>
        <w:t>w kontekście synergii z pracami EIONET.  </w:t>
      </w:r>
    </w:p>
    <w:p w14:paraId="75988C82" w14:textId="3A2AB832" w:rsidR="00350B66" w:rsidRPr="005276B2" w:rsidRDefault="00350B66" w:rsidP="00D80FBD">
      <w:pPr>
        <w:tabs>
          <w:tab w:val="num" w:pos="851"/>
        </w:tabs>
        <w:spacing w:after="0" w:line="300" w:lineRule="atLeast"/>
        <w:ind w:firstLine="567"/>
        <w:jc w:val="both"/>
        <w:rPr>
          <w:rFonts w:ascii="Times New Roman" w:hAnsi="Times New Roman" w:cs="Times New Roman"/>
          <w:sz w:val="24"/>
          <w:szCs w:val="24"/>
        </w:rPr>
      </w:pPr>
      <w:r w:rsidRPr="005276B2">
        <w:rPr>
          <w:rFonts w:ascii="Times New Roman" w:hAnsi="Times New Roman" w:cs="Times New Roman"/>
          <w:sz w:val="24"/>
          <w:szCs w:val="24"/>
        </w:rPr>
        <w:lastRenderedPageBreak/>
        <w:t xml:space="preserve">Przedstawiciel GIOŚ uczestniczył </w:t>
      </w:r>
      <w:r>
        <w:rPr>
          <w:rFonts w:ascii="Times New Roman" w:hAnsi="Times New Roman" w:cs="Times New Roman"/>
          <w:sz w:val="24"/>
          <w:szCs w:val="24"/>
        </w:rPr>
        <w:t xml:space="preserve">również </w:t>
      </w:r>
      <w:r w:rsidRPr="005276B2">
        <w:rPr>
          <w:rFonts w:ascii="Times New Roman" w:hAnsi="Times New Roman" w:cs="Times New Roman"/>
          <w:sz w:val="24"/>
          <w:szCs w:val="24"/>
        </w:rPr>
        <w:t>w 32</w:t>
      </w:r>
      <w:r w:rsidR="00FA47CD">
        <w:rPr>
          <w:rFonts w:ascii="Times New Roman" w:hAnsi="Times New Roman" w:cs="Times New Roman"/>
          <w:sz w:val="24"/>
          <w:szCs w:val="24"/>
        </w:rPr>
        <w:t>.</w:t>
      </w:r>
      <w:r w:rsidRPr="005276B2">
        <w:rPr>
          <w:rFonts w:ascii="Times New Roman" w:hAnsi="Times New Roman" w:cs="Times New Roman"/>
          <w:sz w:val="24"/>
          <w:szCs w:val="24"/>
        </w:rPr>
        <w:t xml:space="preserve"> spotkaniu </w:t>
      </w:r>
      <w:r w:rsidRPr="005276B2">
        <w:rPr>
          <w:rFonts w:ascii="Times New Roman" w:hAnsi="Times New Roman" w:cs="Times New Roman"/>
          <w:bCs/>
          <w:sz w:val="24"/>
          <w:szCs w:val="24"/>
        </w:rPr>
        <w:t xml:space="preserve">grupy roboczej OECD </w:t>
      </w:r>
      <w:r w:rsidRPr="005276B2">
        <w:rPr>
          <w:rFonts w:ascii="Times New Roman" w:hAnsi="Times New Roman" w:cs="Times New Roman"/>
          <w:bCs/>
          <w:sz w:val="24"/>
          <w:szCs w:val="24"/>
        </w:rPr>
        <w:br/>
        <w:t>ds. wypadków z udziałem substancji chemicznych</w:t>
      </w:r>
      <w:r w:rsidR="00FA47CD">
        <w:rPr>
          <w:rFonts w:ascii="Times New Roman" w:hAnsi="Times New Roman" w:cs="Times New Roman"/>
          <w:bCs/>
          <w:sz w:val="24"/>
          <w:szCs w:val="24"/>
        </w:rPr>
        <w:t xml:space="preserve">, podczas którego </w:t>
      </w:r>
      <w:r w:rsidRPr="005276B2">
        <w:rPr>
          <w:rFonts w:ascii="Times New Roman" w:hAnsi="Times New Roman" w:cs="Times New Roman"/>
          <w:sz w:val="24"/>
          <w:szCs w:val="24"/>
        </w:rPr>
        <w:t xml:space="preserve">przedstawił informację nt. wybranych krajowych działań podejmowanych w zakresie przeciwdziałania poważnym awariom oraz omówił wnioski wynikające </w:t>
      </w:r>
      <w:r w:rsidR="00FA47CD">
        <w:rPr>
          <w:rFonts w:ascii="Times New Roman" w:hAnsi="Times New Roman" w:cs="Times New Roman"/>
          <w:sz w:val="24"/>
          <w:szCs w:val="24"/>
        </w:rPr>
        <w:t xml:space="preserve">z </w:t>
      </w:r>
      <w:r w:rsidRPr="005276B2">
        <w:rPr>
          <w:rFonts w:ascii="Times New Roman" w:hAnsi="Times New Roman" w:cs="Times New Roman"/>
          <w:sz w:val="24"/>
          <w:szCs w:val="24"/>
        </w:rPr>
        <w:t>zaistniałych na terenie kraju zdarzeń z udziałem substancji niebezpiecznych, na przykładzie poważnej awarii przemysłowej na terenie zakładu chemicznego produkującego kauczuki syntetyczne i tworzywa styrenowe.</w:t>
      </w:r>
    </w:p>
    <w:p w14:paraId="7718E718" w14:textId="15CB794B" w:rsidR="000E72F2" w:rsidRDefault="00350B66" w:rsidP="00D80FBD">
      <w:pPr>
        <w:spacing w:after="0" w:line="300" w:lineRule="atLeast"/>
        <w:ind w:firstLine="567"/>
        <w:jc w:val="both"/>
        <w:rPr>
          <w:rFonts w:ascii="Times New Roman" w:eastAsia="Calibri" w:hAnsi="Times New Roman" w:cs="Times New Roman"/>
          <w:sz w:val="24"/>
          <w:szCs w:val="24"/>
          <w:lang w:val="x-none" w:eastAsia="pl-PL"/>
        </w:rPr>
      </w:pPr>
      <w:r w:rsidRPr="005276B2">
        <w:rPr>
          <w:rFonts w:ascii="Times New Roman" w:hAnsi="Times New Roman" w:cs="Times New Roman"/>
          <w:sz w:val="24"/>
          <w:szCs w:val="24"/>
        </w:rPr>
        <w:t>Ponadto przedstawiciel GIOŚ uczestniczył, na zaproszenie OECD, w seminarium: „Lepsze kontrole środowiskowe dla większej odporności środowiskowej”. W trakcie seminarium przedstawiciel GIOŚ przedstawił prezentację na temat Systemu Kontroli wdrożonego w Inspekcji Ochrony Środowiska w Polsce w zakresie odnoszącym się do emisji przemysłowych</w:t>
      </w:r>
      <w:r w:rsidR="000E72F2" w:rsidRPr="007F400A">
        <w:rPr>
          <w:rFonts w:ascii="Times New Roman" w:eastAsia="Calibri" w:hAnsi="Times New Roman" w:cs="Times New Roman"/>
          <w:sz w:val="24"/>
          <w:szCs w:val="24"/>
          <w:lang w:val="x-none" w:eastAsia="pl-PL"/>
        </w:rPr>
        <w:t>.</w:t>
      </w:r>
    </w:p>
    <w:p w14:paraId="0228ED58" w14:textId="77777777" w:rsidR="00895F16" w:rsidRPr="007F400A" w:rsidRDefault="00895F16" w:rsidP="00D80FBD">
      <w:pPr>
        <w:spacing w:after="120" w:line="300" w:lineRule="atLeast"/>
        <w:ind w:left="357"/>
        <w:contextualSpacing/>
        <w:jc w:val="both"/>
        <w:rPr>
          <w:rFonts w:ascii="Times New Roman" w:eastAsia="Calibri" w:hAnsi="Times New Roman" w:cs="Times New Roman"/>
          <w:sz w:val="24"/>
          <w:szCs w:val="24"/>
          <w:lang w:val="x-none" w:eastAsia="pl-PL"/>
        </w:rPr>
      </w:pPr>
    </w:p>
    <w:p w14:paraId="642255ED" w14:textId="57021B78" w:rsidR="00895F16" w:rsidRPr="007F400A" w:rsidRDefault="00517A22" w:rsidP="00D80FBD">
      <w:pPr>
        <w:spacing w:after="120" w:line="300" w:lineRule="atLeast"/>
        <w:jc w:val="both"/>
        <w:rPr>
          <w:rFonts w:ascii="Times New Roman" w:hAnsi="Times New Roman" w:cs="Times New Roman"/>
          <w:b/>
          <w:sz w:val="24"/>
          <w:szCs w:val="24"/>
        </w:rPr>
      </w:pPr>
      <w:r w:rsidRPr="007F400A">
        <w:rPr>
          <w:rFonts w:ascii="Times New Roman" w:hAnsi="Times New Roman" w:cs="Times New Roman"/>
          <w:b/>
          <w:sz w:val="24"/>
          <w:szCs w:val="24"/>
        </w:rPr>
        <w:t>5</w:t>
      </w:r>
      <w:r w:rsidR="00895F16" w:rsidRPr="007F400A">
        <w:rPr>
          <w:rFonts w:ascii="Times New Roman" w:hAnsi="Times New Roman" w:cs="Times New Roman"/>
          <w:b/>
          <w:sz w:val="24"/>
          <w:szCs w:val="24"/>
        </w:rPr>
        <w:t>.</w:t>
      </w:r>
      <w:r w:rsidRPr="007F400A">
        <w:rPr>
          <w:rFonts w:ascii="Times New Roman" w:hAnsi="Times New Roman" w:cs="Times New Roman"/>
          <w:b/>
          <w:sz w:val="24"/>
          <w:szCs w:val="24"/>
        </w:rPr>
        <w:t>2</w:t>
      </w:r>
      <w:r w:rsidR="00895F16" w:rsidRPr="007F400A">
        <w:rPr>
          <w:rFonts w:ascii="Times New Roman" w:hAnsi="Times New Roman" w:cs="Times New Roman"/>
          <w:b/>
          <w:sz w:val="24"/>
          <w:szCs w:val="24"/>
        </w:rPr>
        <w:t xml:space="preserve">. </w:t>
      </w:r>
      <w:r w:rsidR="00F54C13">
        <w:rPr>
          <w:rFonts w:ascii="Times New Roman" w:eastAsia="Calibri" w:hAnsi="Times New Roman" w:cs="Times New Roman"/>
          <w:b/>
          <w:sz w:val="24"/>
          <w:szCs w:val="24"/>
        </w:rPr>
        <w:t>Współpraca z ramach projektu „</w:t>
      </w:r>
      <w:proofErr w:type="spellStart"/>
      <w:r w:rsidR="00F54C13">
        <w:rPr>
          <w:rFonts w:ascii="Times New Roman" w:eastAsia="Calibri" w:hAnsi="Times New Roman" w:cs="Times New Roman"/>
          <w:b/>
          <w:sz w:val="24"/>
          <w:szCs w:val="24"/>
        </w:rPr>
        <w:t>FinBaltRecycling</w:t>
      </w:r>
      <w:proofErr w:type="spellEnd"/>
      <w:r w:rsidR="00F54C13">
        <w:rPr>
          <w:rFonts w:ascii="Times New Roman" w:eastAsia="Calibri" w:hAnsi="Times New Roman" w:cs="Times New Roman"/>
          <w:b/>
          <w:sz w:val="24"/>
          <w:szCs w:val="24"/>
        </w:rPr>
        <w:t>”</w:t>
      </w:r>
    </w:p>
    <w:p w14:paraId="1D94DE42" w14:textId="4AB8F2B4" w:rsidR="00F54C13" w:rsidRDefault="00F54C13" w:rsidP="00D80FBD">
      <w:pPr>
        <w:pStyle w:val="Tekstpodstawowywcity2"/>
        <w:spacing w:after="0" w:line="300" w:lineRule="atLeast"/>
        <w:ind w:left="0" w:firstLine="567"/>
        <w:jc w:val="both"/>
      </w:pPr>
      <w:r>
        <w:t xml:space="preserve">W październiku 2022 r. przedstawiciele GIOŚ dołączyli do projektu </w:t>
      </w:r>
      <w:bookmarkStart w:id="475" w:name="_Hlk129686039"/>
      <w:r>
        <w:t>„</w:t>
      </w:r>
      <w:proofErr w:type="spellStart"/>
      <w:r>
        <w:t>FinBaltRecycling</w:t>
      </w:r>
      <w:proofErr w:type="spellEnd"/>
      <w:r>
        <w:t>”</w:t>
      </w:r>
      <w:bookmarkEnd w:id="475"/>
      <w:r>
        <w:t xml:space="preserve">, w którym udział biorą przedstawiciele Ministerstw Środowiska: Finlandii, Litwy </w:t>
      </w:r>
      <w:r w:rsidR="00FA47CD">
        <w:rPr>
          <w:lang w:val="pl-PL"/>
        </w:rPr>
        <w:t xml:space="preserve">i </w:t>
      </w:r>
      <w:r>
        <w:t>Estonii. Współpraca w ramach „</w:t>
      </w:r>
      <w:proofErr w:type="spellStart"/>
      <w:r>
        <w:t>FinBaltRecykling</w:t>
      </w:r>
      <w:proofErr w:type="spellEnd"/>
      <w:r>
        <w:t>” polega na wymianie informacji, know-how i doświadczeń w wybranych, uzgodnionych tematach dotyczących między innymi: zwiększenia recyklingu i przetwarzania bioodpadów zgodnie z celami UE, zwiększenia świadomości społecznej na temat znaczenia recyklingu substancji organicznych i selektywnej zbiórki bioodpadów, promowania recyklingu substancji organicznych i gospodarki o obiegu zamkniętym w regionie Morza Bałtyckiego, poprawy stanu Morza Bałtyckiego i wód śródlądowych poprzez zrównoważone zarządzanie przepływami substancji organicznych, zacieśnienia współpracy biznesowej między krajami uczestniczącymi oraz rozszerzenia współpracy i wymiany wiedzy pomiędzy Finlandią, Litwą, Estonią i Polską w sprawie recyklingu substancji organicznych (N i P) i ochrony Morza Bałtyckiego, a także opracowania projektu współpracy finansowanego przez UE.</w:t>
      </w:r>
    </w:p>
    <w:p w14:paraId="731F3DF9" w14:textId="77777777" w:rsidR="00F54C13" w:rsidRDefault="00F54C13" w:rsidP="00D80FBD">
      <w:pPr>
        <w:spacing w:after="0" w:line="300" w:lineRule="atLeast"/>
        <w:ind w:firstLine="567"/>
        <w:jc w:val="both"/>
        <w:rPr>
          <w:rFonts w:ascii="Times New Roman" w:eastAsia="Calibri" w:hAnsi="Times New Roman" w:cs="Times New Roman"/>
          <w:i/>
          <w:sz w:val="24"/>
          <w:szCs w:val="24"/>
        </w:rPr>
      </w:pPr>
      <w:r>
        <w:rPr>
          <w:rFonts w:ascii="Times New Roman" w:eastAsia="Calibri" w:hAnsi="Times New Roman" w:cs="Times New Roman"/>
          <w:sz w:val="24"/>
          <w:szCs w:val="24"/>
        </w:rPr>
        <w:t>Podczas spotkania podkreślono rolę produkcji biogazu oraz nawozów naturalnych w obliczu kryzysu spowodowanego atakiem Rosji na Ukrainę. „</w:t>
      </w:r>
      <w:proofErr w:type="spellStart"/>
      <w:r>
        <w:rPr>
          <w:rFonts w:ascii="Times New Roman" w:eastAsia="Calibri" w:hAnsi="Times New Roman" w:cs="Times New Roman"/>
          <w:sz w:val="24"/>
          <w:szCs w:val="24"/>
        </w:rPr>
        <w:t>FinBaltRecykling</w:t>
      </w:r>
      <w:proofErr w:type="spellEnd"/>
      <w:r>
        <w:rPr>
          <w:rFonts w:ascii="Times New Roman" w:eastAsia="Calibri" w:hAnsi="Times New Roman" w:cs="Times New Roman"/>
          <w:sz w:val="24"/>
          <w:szCs w:val="24"/>
        </w:rPr>
        <w:t>” ma promować rozwój sektora biogazowni oraz nawozów naturalnych z odzyskanych substancji organicznych.</w:t>
      </w:r>
    </w:p>
    <w:p w14:paraId="14474EAD" w14:textId="10997BE9" w:rsidR="00895F16" w:rsidRPr="007F400A" w:rsidRDefault="00F54C13" w:rsidP="00D80FBD">
      <w:pPr>
        <w:spacing w:after="0" w:line="300" w:lineRule="atLeast"/>
        <w:ind w:firstLine="567"/>
        <w:jc w:val="both"/>
        <w:rPr>
          <w:rFonts w:ascii="Times New Roman" w:eastAsia="Calibri" w:hAnsi="Times New Roman" w:cs="Times New Roman"/>
          <w:sz w:val="24"/>
          <w:szCs w:val="24"/>
          <w:lang w:eastAsia="pl-PL"/>
        </w:rPr>
      </w:pPr>
      <w:r>
        <w:rPr>
          <w:rFonts w:ascii="Times New Roman" w:eastAsia="Calibri" w:hAnsi="Times New Roman" w:cs="Times New Roman"/>
          <w:sz w:val="24"/>
          <w:szCs w:val="24"/>
        </w:rPr>
        <w:t>Założenia „</w:t>
      </w:r>
      <w:proofErr w:type="spellStart"/>
      <w:r>
        <w:rPr>
          <w:rFonts w:ascii="Times New Roman" w:eastAsia="Calibri" w:hAnsi="Times New Roman" w:cs="Times New Roman"/>
          <w:sz w:val="24"/>
          <w:szCs w:val="24"/>
        </w:rPr>
        <w:t>FinBaltRecycling</w:t>
      </w:r>
      <w:proofErr w:type="spellEnd"/>
      <w:r>
        <w:rPr>
          <w:rFonts w:ascii="Times New Roman" w:eastAsia="Calibri" w:hAnsi="Times New Roman" w:cs="Times New Roman"/>
          <w:sz w:val="24"/>
          <w:szCs w:val="24"/>
        </w:rPr>
        <w:t xml:space="preserve">” są zgodne i powiązane z HELCOM </w:t>
      </w:r>
      <w:proofErr w:type="spellStart"/>
      <w:r>
        <w:rPr>
          <w:rFonts w:ascii="Times New Roman" w:eastAsia="Calibri" w:hAnsi="Times New Roman" w:cs="Times New Roman"/>
          <w:i/>
          <w:sz w:val="24"/>
          <w:szCs w:val="24"/>
        </w:rPr>
        <w:t>Nutrient</w:t>
      </w:r>
      <w:proofErr w:type="spellEnd"/>
      <w:r>
        <w:rPr>
          <w:rFonts w:ascii="Times New Roman" w:eastAsia="Calibri" w:hAnsi="Times New Roman" w:cs="Times New Roman"/>
          <w:i/>
          <w:sz w:val="24"/>
          <w:szCs w:val="24"/>
        </w:rPr>
        <w:t xml:space="preserve"> Recykling </w:t>
      </w:r>
      <w:proofErr w:type="spellStart"/>
      <w:r>
        <w:rPr>
          <w:rFonts w:ascii="Times New Roman" w:eastAsia="Calibri" w:hAnsi="Times New Roman" w:cs="Times New Roman"/>
          <w:i/>
          <w:sz w:val="24"/>
          <w:szCs w:val="24"/>
        </w:rPr>
        <w:t>Strategy</w:t>
      </w:r>
      <w:proofErr w:type="spellEnd"/>
      <w:r>
        <w:rPr>
          <w:rFonts w:ascii="Times New Roman" w:eastAsia="Calibri" w:hAnsi="Times New Roman" w:cs="Times New Roman"/>
          <w:sz w:val="24"/>
          <w:szCs w:val="24"/>
        </w:rPr>
        <w:t xml:space="preserve"> oraz EU </w:t>
      </w:r>
      <w:proofErr w:type="spellStart"/>
      <w:r>
        <w:rPr>
          <w:rFonts w:ascii="Times New Roman" w:eastAsia="Calibri" w:hAnsi="Times New Roman" w:cs="Times New Roman"/>
          <w:i/>
          <w:sz w:val="24"/>
          <w:szCs w:val="24"/>
        </w:rPr>
        <w:t>Integrated</w:t>
      </w:r>
      <w:proofErr w:type="spellEnd"/>
      <w:r>
        <w:rPr>
          <w:rFonts w:ascii="Times New Roman" w:eastAsia="Calibri" w:hAnsi="Times New Roman" w:cs="Times New Roman"/>
          <w:i/>
          <w:sz w:val="24"/>
          <w:szCs w:val="24"/>
        </w:rPr>
        <w:t xml:space="preserve"> </w:t>
      </w:r>
      <w:proofErr w:type="spellStart"/>
      <w:r>
        <w:rPr>
          <w:rFonts w:ascii="Times New Roman" w:eastAsia="Calibri" w:hAnsi="Times New Roman" w:cs="Times New Roman"/>
          <w:i/>
          <w:sz w:val="24"/>
          <w:szCs w:val="24"/>
        </w:rPr>
        <w:t>Nutrient</w:t>
      </w:r>
      <w:proofErr w:type="spellEnd"/>
      <w:r>
        <w:rPr>
          <w:rFonts w:ascii="Times New Roman" w:eastAsia="Calibri" w:hAnsi="Times New Roman" w:cs="Times New Roman"/>
          <w:i/>
          <w:sz w:val="24"/>
          <w:szCs w:val="24"/>
        </w:rPr>
        <w:t xml:space="preserve"> Management Action Plan</w:t>
      </w:r>
      <w:r>
        <w:rPr>
          <w:rFonts w:ascii="Times New Roman" w:eastAsia="Calibri" w:hAnsi="Times New Roman" w:cs="Times New Roman"/>
          <w:sz w:val="24"/>
          <w:szCs w:val="24"/>
        </w:rPr>
        <w:t xml:space="preserve"> </w:t>
      </w:r>
      <w:r>
        <w:rPr>
          <w:rFonts w:ascii="Times New Roman" w:eastAsia="Calibri" w:hAnsi="Times New Roman" w:cs="Times New Roman"/>
          <w:i/>
          <w:sz w:val="24"/>
          <w:szCs w:val="24"/>
        </w:rPr>
        <w:t>(INMAP)</w:t>
      </w:r>
      <w:r w:rsidR="00895F16" w:rsidRPr="007F400A">
        <w:rPr>
          <w:rFonts w:ascii="Times New Roman" w:hAnsi="Times New Roman" w:cs="Times New Roman"/>
          <w:sz w:val="24"/>
          <w:szCs w:val="24"/>
        </w:rPr>
        <w:t>.</w:t>
      </w:r>
    </w:p>
    <w:p w14:paraId="0EA20217" w14:textId="77777777" w:rsidR="00895F16" w:rsidRPr="007F400A" w:rsidRDefault="00895F16" w:rsidP="00D80FBD">
      <w:pPr>
        <w:spacing w:after="0" w:line="300" w:lineRule="atLeast"/>
        <w:jc w:val="both"/>
        <w:rPr>
          <w:rFonts w:ascii="Times New Roman" w:eastAsia="Calibri" w:hAnsi="Times New Roman" w:cs="Times New Roman"/>
          <w:color w:val="000000"/>
          <w:sz w:val="24"/>
          <w:szCs w:val="24"/>
          <w:lang w:eastAsia="pl-PL"/>
        </w:rPr>
      </w:pPr>
    </w:p>
    <w:p w14:paraId="7836EB84" w14:textId="06E4AFAD" w:rsidR="00895F16" w:rsidRPr="00FA47CD" w:rsidRDefault="00517A22" w:rsidP="00D80FBD">
      <w:pPr>
        <w:spacing w:after="120" w:line="300" w:lineRule="atLeast"/>
        <w:jc w:val="both"/>
        <w:rPr>
          <w:rFonts w:ascii="Times New Roman" w:eastAsia="Calibri" w:hAnsi="Times New Roman" w:cs="Times New Roman"/>
          <w:b/>
          <w:sz w:val="24"/>
          <w:szCs w:val="24"/>
          <w:lang w:eastAsia="pl-PL"/>
        </w:rPr>
      </w:pPr>
      <w:r w:rsidRPr="00FA47CD">
        <w:rPr>
          <w:rFonts w:ascii="Times New Roman" w:eastAsia="Calibri" w:hAnsi="Times New Roman" w:cs="Times New Roman"/>
          <w:b/>
          <w:sz w:val="24"/>
          <w:szCs w:val="24"/>
          <w:lang w:eastAsia="pl-PL"/>
        </w:rPr>
        <w:t>5</w:t>
      </w:r>
      <w:r w:rsidR="00895F16" w:rsidRPr="00FA47CD">
        <w:rPr>
          <w:rFonts w:ascii="Times New Roman" w:eastAsia="Calibri" w:hAnsi="Times New Roman" w:cs="Times New Roman"/>
          <w:b/>
          <w:sz w:val="24"/>
          <w:szCs w:val="24"/>
          <w:lang w:eastAsia="pl-PL"/>
        </w:rPr>
        <w:t>.</w:t>
      </w:r>
      <w:r w:rsidRPr="00FA47CD">
        <w:rPr>
          <w:rFonts w:ascii="Times New Roman" w:eastAsia="Calibri" w:hAnsi="Times New Roman" w:cs="Times New Roman"/>
          <w:b/>
          <w:sz w:val="24"/>
          <w:szCs w:val="24"/>
          <w:lang w:eastAsia="pl-PL"/>
        </w:rPr>
        <w:t>3</w:t>
      </w:r>
      <w:r w:rsidR="00895F16" w:rsidRPr="00FA47CD">
        <w:rPr>
          <w:rFonts w:ascii="Times New Roman" w:eastAsia="Calibri" w:hAnsi="Times New Roman" w:cs="Times New Roman"/>
          <w:b/>
          <w:sz w:val="24"/>
          <w:szCs w:val="24"/>
          <w:lang w:eastAsia="pl-PL"/>
        </w:rPr>
        <w:t xml:space="preserve"> Demeter VII</w:t>
      </w:r>
      <w:r w:rsidR="00F54C13" w:rsidRPr="00FA47CD">
        <w:rPr>
          <w:rFonts w:ascii="Times New Roman" w:eastAsia="Calibri" w:hAnsi="Times New Roman" w:cs="Times New Roman"/>
          <w:b/>
          <w:sz w:val="24"/>
          <w:szCs w:val="24"/>
          <w:lang w:eastAsia="pl-PL"/>
        </w:rPr>
        <w:t>I</w:t>
      </w:r>
    </w:p>
    <w:p w14:paraId="6DF62BE0" w14:textId="59E9B6FE" w:rsidR="00895F16" w:rsidRPr="00FA47CD" w:rsidRDefault="00895F16" w:rsidP="00D80FBD">
      <w:pPr>
        <w:spacing w:after="0" w:line="300" w:lineRule="atLeast"/>
        <w:ind w:firstLine="567"/>
        <w:jc w:val="both"/>
        <w:rPr>
          <w:rFonts w:ascii="Times New Roman" w:hAnsi="Times New Roman" w:cs="Times New Roman"/>
          <w:sz w:val="24"/>
          <w:szCs w:val="24"/>
        </w:rPr>
      </w:pPr>
      <w:r w:rsidRPr="00FA47CD">
        <w:rPr>
          <w:rFonts w:ascii="Times New Roman" w:hAnsi="Times New Roman" w:cs="Times New Roman"/>
          <w:sz w:val="24"/>
          <w:szCs w:val="24"/>
        </w:rPr>
        <w:t>We współpracy ze Światową Organizacją Celną (WCO), Inspekcja Ochrony Środowiska wzięła udział w operacji DEMETER VII</w:t>
      </w:r>
      <w:r w:rsidR="00FA47CD">
        <w:rPr>
          <w:rFonts w:ascii="Times New Roman" w:hAnsi="Times New Roman" w:cs="Times New Roman"/>
          <w:sz w:val="24"/>
          <w:szCs w:val="24"/>
        </w:rPr>
        <w:t>I</w:t>
      </w:r>
      <w:r w:rsidRPr="00FA47CD">
        <w:rPr>
          <w:rFonts w:ascii="Times New Roman" w:hAnsi="Times New Roman" w:cs="Times New Roman"/>
          <w:sz w:val="24"/>
          <w:szCs w:val="24"/>
        </w:rPr>
        <w:t xml:space="preserve">, której celem jest przeciwdziałanie nielegalnemu międzynarodowemu przemieszczaniu odpadów, substancji zubożających warstwę ozonową, fluoryzowanych gazów cieplarnianych w obrocie lotniczym, morskim oraz ruchu lądowym. </w:t>
      </w:r>
    </w:p>
    <w:p w14:paraId="17FE1335" w14:textId="7974E310" w:rsidR="00895F16" w:rsidRPr="007F400A" w:rsidRDefault="00895F16" w:rsidP="00D80FBD">
      <w:pPr>
        <w:spacing w:after="0" w:line="300" w:lineRule="atLeast"/>
        <w:ind w:firstLine="567"/>
        <w:jc w:val="both"/>
        <w:rPr>
          <w:rFonts w:ascii="Times New Roman" w:eastAsia="Calibri" w:hAnsi="Times New Roman" w:cs="Times New Roman"/>
          <w:sz w:val="24"/>
          <w:szCs w:val="24"/>
          <w:lang w:eastAsia="pl-PL"/>
        </w:rPr>
      </w:pPr>
      <w:r w:rsidRPr="00FA47CD">
        <w:rPr>
          <w:rFonts w:ascii="Times New Roman" w:hAnsi="Times New Roman" w:cs="Times New Roman"/>
          <w:sz w:val="24"/>
          <w:szCs w:val="24"/>
        </w:rPr>
        <w:t xml:space="preserve">W Polsce nadzór nad akcją </w:t>
      </w:r>
      <w:r w:rsidR="00FA47CD">
        <w:rPr>
          <w:rFonts w:ascii="Times New Roman" w:hAnsi="Times New Roman" w:cs="Times New Roman"/>
          <w:sz w:val="24"/>
          <w:szCs w:val="24"/>
        </w:rPr>
        <w:t xml:space="preserve">sprawuje </w:t>
      </w:r>
      <w:r w:rsidRPr="00FA47CD">
        <w:rPr>
          <w:rFonts w:ascii="Times New Roman" w:hAnsi="Times New Roman" w:cs="Times New Roman"/>
          <w:sz w:val="24"/>
          <w:szCs w:val="24"/>
        </w:rPr>
        <w:t>Krajowa Administracja Skarbowa W akcji wzięli udział funkcjonariusze administracji celno-skarbowej, policji i Inspekcji Transportu Drogowego oraz inspektorzy wojewódzkich inspektoratów ochrony środowiska</w:t>
      </w:r>
      <w:r w:rsidRPr="00FA47CD">
        <w:rPr>
          <w:rFonts w:ascii="Times New Roman" w:eastAsia="Calibri" w:hAnsi="Times New Roman" w:cs="Times New Roman"/>
          <w:sz w:val="24"/>
          <w:szCs w:val="24"/>
          <w:lang w:eastAsia="pl-PL"/>
        </w:rPr>
        <w:t>.</w:t>
      </w:r>
    </w:p>
    <w:p w14:paraId="3C7A678B" w14:textId="409C983E" w:rsidR="00FA47CD" w:rsidRDefault="00FA47CD" w:rsidP="00D80FBD">
      <w:pPr>
        <w:spacing w:after="120" w:line="300" w:lineRule="atLeast"/>
        <w:jc w:val="both"/>
        <w:rPr>
          <w:rFonts w:ascii="Times New Roman" w:eastAsia="Calibri" w:hAnsi="Times New Roman" w:cs="Times New Roman"/>
          <w:b/>
          <w:sz w:val="24"/>
          <w:szCs w:val="24"/>
          <w:lang w:eastAsia="pl-PL"/>
        </w:rPr>
      </w:pPr>
      <w:r>
        <w:rPr>
          <w:rFonts w:ascii="Times New Roman" w:eastAsia="Calibri" w:hAnsi="Times New Roman" w:cs="Times New Roman"/>
          <w:b/>
          <w:sz w:val="24"/>
          <w:szCs w:val="24"/>
          <w:lang w:eastAsia="pl-PL"/>
        </w:rPr>
        <w:t xml:space="preserve">5.4 </w:t>
      </w:r>
      <w:r w:rsidR="000157EC">
        <w:rPr>
          <w:rFonts w:ascii="Times New Roman" w:eastAsia="Calibri" w:hAnsi="Times New Roman" w:cs="Times New Roman"/>
          <w:b/>
          <w:sz w:val="24"/>
          <w:szCs w:val="24"/>
          <w:lang w:eastAsia="pl-PL"/>
        </w:rPr>
        <w:t xml:space="preserve">Kontakty z </w:t>
      </w:r>
      <w:r w:rsidR="000157EC" w:rsidRPr="000157EC">
        <w:rPr>
          <w:rFonts w:ascii="Times New Roman" w:hAnsi="Times New Roman" w:cs="Times New Roman"/>
          <w:b/>
          <w:sz w:val="24"/>
          <w:szCs w:val="24"/>
        </w:rPr>
        <w:t>Norweskim Instytu</w:t>
      </w:r>
      <w:r w:rsidR="000157EC">
        <w:rPr>
          <w:rFonts w:ascii="Times New Roman" w:hAnsi="Times New Roman" w:cs="Times New Roman"/>
          <w:b/>
          <w:sz w:val="24"/>
          <w:szCs w:val="24"/>
        </w:rPr>
        <w:t>tem</w:t>
      </w:r>
      <w:r w:rsidR="000157EC" w:rsidRPr="000157EC">
        <w:rPr>
          <w:rFonts w:ascii="Times New Roman" w:hAnsi="Times New Roman" w:cs="Times New Roman"/>
          <w:b/>
          <w:sz w:val="24"/>
          <w:szCs w:val="24"/>
        </w:rPr>
        <w:t xml:space="preserve"> Badań Powietrza (NILU)</w:t>
      </w:r>
    </w:p>
    <w:p w14:paraId="68592283" w14:textId="3C669DEE" w:rsidR="000157EC" w:rsidRDefault="000157EC" w:rsidP="00D80FBD">
      <w:pPr>
        <w:spacing w:after="0" w:line="300" w:lineRule="atLeast"/>
        <w:ind w:firstLine="567"/>
        <w:jc w:val="both"/>
        <w:rPr>
          <w:rFonts w:ascii="Times New Roman" w:hAnsi="Times New Roman" w:cs="Times New Roman"/>
          <w:sz w:val="24"/>
          <w:szCs w:val="24"/>
        </w:rPr>
      </w:pPr>
      <w:r w:rsidRPr="009B33C7">
        <w:rPr>
          <w:rFonts w:ascii="Times New Roman" w:hAnsi="Times New Roman" w:cs="Times New Roman"/>
          <w:sz w:val="24"/>
          <w:szCs w:val="24"/>
        </w:rPr>
        <w:t xml:space="preserve">W ramach realizacji projektu pt. </w:t>
      </w:r>
      <w:r w:rsidRPr="009B33C7">
        <w:rPr>
          <w:rFonts w:ascii="Times New Roman" w:hAnsi="Times New Roman" w:cs="Times New Roman"/>
          <w:bCs/>
          <w:sz w:val="24"/>
          <w:szCs w:val="24"/>
        </w:rPr>
        <w:t>„</w:t>
      </w:r>
      <w:r w:rsidRPr="009B33C7">
        <w:rPr>
          <w:rFonts w:ascii="Times New Roman" w:hAnsi="Times New Roman" w:cs="Times New Roman"/>
          <w:bCs/>
          <w:iCs/>
          <w:sz w:val="24"/>
          <w:szCs w:val="24"/>
        </w:rPr>
        <w:t xml:space="preserve">Wzmocnienie oceny depozycji atmosferycznej </w:t>
      </w:r>
      <w:r w:rsidRPr="009B33C7">
        <w:rPr>
          <w:rFonts w:ascii="Times New Roman" w:hAnsi="Times New Roman" w:cs="Times New Roman"/>
          <w:bCs/>
          <w:iCs/>
          <w:sz w:val="24"/>
          <w:szCs w:val="24"/>
        </w:rPr>
        <w:br/>
        <w:t>w Polsce w oparciu o doświadczenia norweskie</w:t>
      </w:r>
      <w:r w:rsidRPr="009B33C7">
        <w:rPr>
          <w:rFonts w:ascii="Times New Roman" w:hAnsi="Times New Roman" w:cs="Times New Roman"/>
          <w:bCs/>
          <w:sz w:val="24"/>
          <w:szCs w:val="24"/>
        </w:rPr>
        <w:t>”</w:t>
      </w:r>
      <w:r>
        <w:rPr>
          <w:rFonts w:ascii="Times New Roman" w:hAnsi="Times New Roman" w:cs="Times New Roman"/>
          <w:sz w:val="24"/>
          <w:szCs w:val="24"/>
        </w:rPr>
        <w:t>, części</w:t>
      </w:r>
      <w:r w:rsidRPr="009B33C7">
        <w:rPr>
          <w:rFonts w:ascii="Times New Roman" w:hAnsi="Times New Roman" w:cs="Times New Roman"/>
          <w:sz w:val="24"/>
          <w:szCs w:val="24"/>
        </w:rPr>
        <w:t xml:space="preserve"> programu „Środowisko, Energia </w:t>
      </w:r>
      <w:r w:rsidRPr="009B33C7">
        <w:rPr>
          <w:rFonts w:ascii="Times New Roman" w:hAnsi="Times New Roman" w:cs="Times New Roman"/>
          <w:sz w:val="24"/>
          <w:szCs w:val="24"/>
        </w:rPr>
        <w:br/>
        <w:t>i Zmiany Klimatu”</w:t>
      </w:r>
      <w:r>
        <w:rPr>
          <w:rFonts w:ascii="Times New Roman" w:hAnsi="Times New Roman" w:cs="Times New Roman"/>
          <w:sz w:val="24"/>
          <w:szCs w:val="24"/>
        </w:rPr>
        <w:t xml:space="preserve"> -</w:t>
      </w:r>
      <w:r w:rsidRPr="009B33C7">
        <w:rPr>
          <w:rFonts w:ascii="Times New Roman" w:hAnsi="Times New Roman" w:cs="Times New Roman"/>
          <w:sz w:val="24"/>
          <w:szCs w:val="24"/>
        </w:rPr>
        <w:t xml:space="preserve"> </w:t>
      </w:r>
      <w:r w:rsidRPr="009B33C7">
        <w:rPr>
          <w:rFonts w:ascii="Times New Roman" w:hAnsi="Times New Roman" w:cs="Times New Roman"/>
          <w:bCs/>
          <w:sz w:val="24"/>
          <w:szCs w:val="24"/>
        </w:rPr>
        <w:t xml:space="preserve">obszar „Łagodzenie zmian klimatu i </w:t>
      </w:r>
      <w:r w:rsidRPr="009B33C7">
        <w:rPr>
          <w:rFonts w:ascii="Times New Roman" w:hAnsi="Times New Roman" w:cs="Times New Roman"/>
          <w:sz w:val="24"/>
          <w:szCs w:val="24"/>
          <w:shd w:val="clear" w:color="auto" w:fill="FFFFFF"/>
        </w:rPr>
        <w:t>adaptacja do ich skutków</w:t>
      </w:r>
      <w:r w:rsidRPr="009B33C7">
        <w:rPr>
          <w:rFonts w:ascii="Times New Roman" w:hAnsi="Times New Roman" w:cs="Times New Roman"/>
          <w:bCs/>
          <w:sz w:val="24"/>
          <w:szCs w:val="24"/>
        </w:rPr>
        <w:t xml:space="preserve">”, </w:t>
      </w:r>
      <w:r w:rsidRPr="009B33C7">
        <w:rPr>
          <w:rFonts w:ascii="Times New Roman" w:hAnsi="Times New Roman" w:cs="Times New Roman"/>
          <w:sz w:val="24"/>
          <w:szCs w:val="24"/>
        </w:rPr>
        <w:lastRenderedPageBreak/>
        <w:t>finansowan</w:t>
      </w:r>
      <w:r>
        <w:rPr>
          <w:rFonts w:ascii="Times New Roman" w:hAnsi="Times New Roman" w:cs="Times New Roman"/>
          <w:sz w:val="24"/>
          <w:szCs w:val="24"/>
        </w:rPr>
        <w:t>ego</w:t>
      </w:r>
      <w:r w:rsidRPr="009B33C7">
        <w:rPr>
          <w:rFonts w:ascii="Times New Roman" w:hAnsi="Times New Roman" w:cs="Times New Roman"/>
          <w:sz w:val="24"/>
          <w:szCs w:val="24"/>
        </w:rPr>
        <w:t xml:space="preserve"> ze środków Mechanizmu Finansowego Europejskiego Obszaru Gospodarczego 2014-2021, na przełomie czerwca i lipca 2022 roku odbyła się wizyta studyjna pracowników GIOŚ w </w:t>
      </w:r>
      <w:bookmarkStart w:id="476" w:name="_Hlk132394556"/>
      <w:r w:rsidRPr="009B33C7">
        <w:rPr>
          <w:rFonts w:ascii="Times New Roman" w:hAnsi="Times New Roman" w:cs="Times New Roman"/>
          <w:sz w:val="24"/>
          <w:szCs w:val="24"/>
        </w:rPr>
        <w:t>Norweskim Instytucie Badań Powietrza (NILU)</w:t>
      </w:r>
      <w:bookmarkEnd w:id="476"/>
      <w:r w:rsidRPr="009B33C7">
        <w:rPr>
          <w:rFonts w:ascii="Times New Roman" w:hAnsi="Times New Roman" w:cs="Times New Roman"/>
          <w:sz w:val="24"/>
          <w:szCs w:val="24"/>
        </w:rPr>
        <w:t xml:space="preserve">. Celem wizyty było zapoznanie się </w:t>
      </w:r>
      <w:r>
        <w:rPr>
          <w:rFonts w:ascii="Times New Roman" w:hAnsi="Times New Roman" w:cs="Times New Roman"/>
          <w:sz w:val="24"/>
          <w:szCs w:val="24"/>
        </w:rPr>
        <w:br/>
      </w:r>
      <w:r w:rsidRPr="009B33C7">
        <w:rPr>
          <w:rFonts w:ascii="Times New Roman" w:hAnsi="Times New Roman" w:cs="Times New Roman"/>
          <w:sz w:val="24"/>
          <w:szCs w:val="24"/>
        </w:rPr>
        <w:t>z funkcjonowaniem systemu pomiarów i ocen depozycji atmosferycznej w Norwegii, ze szczególnym uwzględnieniem systemu zapewnienia i kontroli jakości do pomiarów depozycji oraz modelowania chemizmu opadów atmosferycznych dla potrzeb ich oceny</w:t>
      </w:r>
      <w:r>
        <w:rPr>
          <w:rFonts w:ascii="Times New Roman" w:hAnsi="Times New Roman" w:cs="Times New Roman"/>
          <w:sz w:val="24"/>
          <w:szCs w:val="24"/>
        </w:rPr>
        <w:t xml:space="preserve">. </w:t>
      </w:r>
    </w:p>
    <w:p w14:paraId="4004AB7D" w14:textId="77777777" w:rsidR="00B010E8" w:rsidRPr="000157EC" w:rsidRDefault="00B010E8" w:rsidP="00D80FBD">
      <w:pPr>
        <w:spacing w:after="0" w:line="300" w:lineRule="atLeast"/>
        <w:jc w:val="both"/>
        <w:rPr>
          <w:rFonts w:ascii="Times New Roman" w:eastAsia="Calibri" w:hAnsi="Times New Roman" w:cs="Times New Roman"/>
          <w:sz w:val="24"/>
          <w:szCs w:val="24"/>
          <w:lang w:eastAsia="pl-PL"/>
        </w:rPr>
      </w:pPr>
    </w:p>
    <w:p w14:paraId="01FE0212" w14:textId="6402E32F" w:rsidR="00895F16" w:rsidRPr="007F400A" w:rsidRDefault="00D0077F" w:rsidP="00D80FBD">
      <w:pPr>
        <w:keepNext/>
        <w:spacing w:after="0" w:line="300" w:lineRule="atLeast"/>
        <w:outlineLvl w:val="0"/>
        <w:rPr>
          <w:rFonts w:ascii="Times New Roman" w:eastAsia="Times New Roman" w:hAnsi="Times New Roman" w:cs="Times New Roman"/>
          <w:b/>
          <w:bCs/>
          <w:sz w:val="24"/>
          <w:szCs w:val="24"/>
          <w:lang w:val="x-none" w:eastAsia="x-none"/>
        </w:rPr>
      </w:pPr>
      <w:bookmarkStart w:id="477" w:name="_Toc135935741"/>
      <w:r w:rsidRPr="007F400A">
        <w:rPr>
          <w:rFonts w:ascii="Times New Roman" w:eastAsia="Times New Roman" w:hAnsi="Times New Roman" w:cs="Times New Roman"/>
          <w:b/>
          <w:bCs/>
          <w:sz w:val="24"/>
          <w:szCs w:val="24"/>
          <w:lang w:eastAsia="x-none"/>
        </w:rPr>
        <w:t>6</w:t>
      </w:r>
      <w:r w:rsidR="00895F16" w:rsidRPr="007F400A">
        <w:rPr>
          <w:rFonts w:ascii="Times New Roman" w:eastAsia="Times New Roman" w:hAnsi="Times New Roman" w:cs="Times New Roman"/>
          <w:b/>
          <w:bCs/>
          <w:sz w:val="24"/>
          <w:szCs w:val="24"/>
          <w:lang w:eastAsia="x-none"/>
        </w:rPr>
        <w:t xml:space="preserve">. </w:t>
      </w:r>
      <w:bookmarkStart w:id="478" w:name="_Toc36732663"/>
      <w:r w:rsidR="00895F16" w:rsidRPr="007F400A">
        <w:rPr>
          <w:rFonts w:ascii="Times New Roman" w:eastAsia="Times New Roman" w:hAnsi="Times New Roman" w:cs="Times New Roman"/>
          <w:b/>
          <w:bCs/>
          <w:sz w:val="24"/>
          <w:szCs w:val="24"/>
          <w:lang w:val="x-none" w:eastAsia="x-none"/>
        </w:rPr>
        <w:t>Współpraca dwustronna</w:t>
      </w:r>
      <w:bookmarkEnd w:id="477"/>
      <w:bookmarkEnd w:id="478"/>
    </w:p>
    <w:p w14:paraId="7185647D" w14:textId="77777777" w:rsidR="00895F16" w:rsidRPr="007F400A" w:rsidRDefault="00895F16" w:rsidP="00D80FBD">
      <w:pPr>
        <w:spacing w:after="120" w:line="300" w:lineRule="atLeast"/>
        <w:ind w:firstLine="425"/>
        <w:jc w:val="both"/>
        <w:rPr>
          <w:rFonts w:ascii="Times New Roman" w:eastAsia="Calibri" w:hAnsi="Times New Roman" w:cs="Times New Roman"/>
          <w:color w:val="2E74B5"/>
          <w:sz w:val="24"/>
          <w:szCs w:val="24"/>
          <w:lang w:eastAsia="x-none"/>
        </w:rPr>
      </w:pPr>
    </w:p>
    <w:tbl>
      <w:tblPr>
        <w:tblW w:w="0" w:type="auto"/>
        <w:tblInd w:w="60" w:type="dxa"/>
        <w:tblLook w:val="04A0" w:firstRow="1" w:lastRow="0" w:firstColumn="1" w:lastColumn="0" w:noHBand="0" w:noVBand="1"/>
      </w:tblPr>
      <w:tblGrid>
        <w:gridCol w:w="3150"/>
        <w:gridCol w:w="2649"/>
        <w:gridCol w:w="3213"/>
      </w:tblGrid>
      <w:tr w:rsidR="00895F16" w:rsidRPr="007F400A" w14:paraId="311242B9" w14:textId="77777777" w:rsidTr="008D6F94">
        <w:trPr>
          <w:trHeight w:val="981"/>
        </w:trPr>
        <w:tc>
          <w:tcPr>
            <w:tcW w:w="3150" w:type="dxa"/>
          </w:tcPr>
          <w:p w14:paraId="256D0BA5" w14:textId="3E765896" w:rsidR="00895F16" w:rsidRPr="007F400A" w:rsidRDefault="002C4B75" w:rsidP="00D80FBD">
            <w:pPr>
              <w:spacing w:after="0" w:line="300" w:lineRule="atLeast"/>
              <w:ind w:left="60"/>
              <w:jc w:val="both"/>
              <w:rPr>
                <w:rFonts w:ascii="Times New Roman" w:eastAsia="Calibri" w:hAnsi="Times New Roman" w:cs="Times New Roman"/>
                <w:b/>
                <w:sz w:val="24"/>
                <w:szCs w:val="24"/>
                <w:lang w:eastAsia="x-none"/>
              </w:rPr>
            </w:pPr>
            <w:r w:rsidRPr="007F400A">
              <w:rPr>
                <w:rFonts w:ascii="Times New Roman" w:eastAsia="Calibri" w:hAnsi="Times New Roman" w:cs="Times New Roman"/>
                <w:b/>
                <w:sz w:val="24"/>
                <w:szCs w:val="24"/>
                <w:lang w:eastAsia="x-none"/>
              </w:rPr>
              <w:t>6</w:t>
            </w:r>
            <w:r w:rsidR="00895F16" w:rsidRPr="007F400A">
              <w:rPr>
                <w:rFonts w:ascii="Times New Roman" w:eastAsia="Calibri" w:hAnsi="Times New Roman" w:cs="Times New Roman"/>
                <w:b/>
                <w:sz w:val="24"/>
                <w:szCs w:val="24"/>
                <w:lang w:eastAsia="x-none"/>
              </w:rPr>
              <w:t>.2 Republika Czeska</w:t>
            </w:r>
          </w:p>
          <w:p w14:paraId="636472B6" w14:textId="77777777" w:rsidR="00895F16" w:rsidRPr="007F400A" w:rsidRDefault="00895F16" w:rsidP="00D80FBD">
            <w:pPr>
              <w:spacing w:after="0" w:line="300" w:lineRule="atLeast"/>
              <w:jc w:val="both"/>
              <w:rPr>
                <w:rFonts w:ascii="Times New Roman" w:eastAsia="Calibri" w:hAnsi="Times New Roman" w:cs="Times New Roman"/>
                <w:b/>
                <w:bCs/>
                <w:sz w:val="24"/>
                <w:szCs w:val="24"/>
                <w:lang w:eastAsia="pl-PL"/>
              </w:rPr>
            </w:pPr>
          </w:p>
        </w:tc>
        <w:tc>
          <w:tcPr>
            <w:tcW w:w="2649" w:type="dxa"/>
          </w:tcPr>
          <w:p w14:paraId="1F918BAF" w14:textId="77777777" w:rsidR="00895F16" w:rsidRPr="007F400A" w:rsidRDefault="00895F16" w:rsidP="00D80FBD">
            <w:pPr>
              <w:spacing w:after="0" w:line="300" w:lineRule="atLeast"/>
              <w:jc w:val="both"/>
              <w:rPr>
                <w:rFonts w:ascii="Times New Roman" w:eastAsia="Calibri" w:hAnsi="Times New Roman" w:cs="Times New Roman"/>
                <w:b/>
                <w:sz w:val="24"/>
                <w:szCs w:val="24"/>
                <w:lang w:eastAsia="pl-PL"/>
              </w:rPr>
            </w:pPr>
          </w:p>
        </w:tc>
        <w:tc>
          <w:tcPr>
            <w:tcW w:w="3213" w:type="dxa"/>
          </w:tcPr>
          <w:p w14:paraId="2DA86AB4" w14:textId="77777777" w:rsidR="00895F16" w:rsidRPr="007F400A" w:rsidRDefault="00895F16" w:rsidP="00D80FBD">
            <w:pPr>
              <w:spacing w:after="0" w:line="300" w:lineRule="atLeast"/>
              <w:jc w:val="both"/>
              <w:rPr>
                <w:rFonts w:ascii="Times New Roman" w:eastAsia="Calibri" w:hAnsi="Times New Roman" w:cs="Times New Roman"/>
                <w:b/>
                <w:bCs/>
                <w:sz w:val="24"/>
                <w:szCs w:val="24"/>
                <w:lang w:eastAsia="pl-PL"/>
              </w:rPr>
            </w:pPr>
            <w:r w:rsidRPr="007F400A">
              <w:rPr>
                <w:rFonts w:ascii="Times New Roman" w:eastAsia="Calibri" w:hAnsi="Times New Roman" w:cs="Times New Roman"/>
                <w:b/>
                <w:noProof/>
                <w:sz w:val="24"/>
                <w:szCs w:val="24"/>
                <w:lang w:eastAsia="pl-PL"/>
              </w:rPr>
              <w:drawing>
                <wp:inline distT="0" distB="0" distL="0" distR="0" wp14:anchorId="2C85E4E0" wp14:editId="5BC9E002">
                  <wp:extent cx="790575" cy="523875"/>
                  <wp:effectExtent l="19050" t="19050" r="28575" b="28575"/>
                  <wp:docPr id="66" name="Obraz 66" descr="flaga czeska">
                    <a:hlinkClick xmlns:a="http://schemas.openxmlformats.org/drawingml/2006/main" r:id="rId241" tooltip="Flaga Czech"/>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braz 66" descr="flaga czeska">
                            <a:hlinkClick r:id="rId241" tooltip="Flaga Czech"/>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790575" cy="523875"/>
                          </a:xfrm>
                          <a:prstGeom prst="rect">
                            <a:avLst/>
                          </a:prstGeom>
                          <a:noFill/>
                          <a:ln w="6350" cmpd="sng">
                            <a:solidFill>
                              <a:srgbClr val="000000"/>
                            </a:solidFill>
                            <a:miter lim="800000"/>
                            <a:headEnd/>
                            <a:tailEnd/>
                          </a:ln>
                          <a:effectLst/>
                        </pic:spPr>
                      </pic:pic>
                    </a:graphicData>
                  </a:graphic>
                </wp:inline>
              </w:drawing>
            </w:r>
          </w:p>
        </w:tc>
      </w:tr>
    </w:tbl>
    <w:p w14:paraId="088BA41B" w14:textId="74BA1984" w:rsidR="00D44C6B" w:rsidRPr="00D44C6B" w:rsidRDefault="00D44C6B" w:rsidP="00D80FBD">
      <w:pPr>
        <w:spacing w:before="120" w:after="0" w:line="300" w:lineRule="atLeast"/>
        <w:ind w:firstLine="567"/>
        <w:jc w:val="both"/>
        <w:rPr>
          <w:rFonts w:ascii="Times New Roman" w:hAnsi="Times New Roman" w:cs="Times New Roman"/>
        </w:rPr>
      </w:pPr>
      <w:r w:rsidRPr="00D44C6B">
        <w:rPr>
          <w:rFonts w:ascii="Times New Roman" w:hAnsi="Times New Roman" w:cs="Times New Roman"/>
          <w:sz w:val="24"/>
          <w:szCs w:val="24"/>
        </w:rPr>
        <w:t xml:space="preserve">Śląski Wojewódzki Inspektor Ochrony Środowiska pełni funkcję Kierownika polskiej części Grupy OPZ (ds. ochrony wód granicznych przed zanieczyszczeniem), działającej </w:t>
      </w:r>
      <w:r>
        <w:rPr>
          <w:rFonts w:ascii="Times New Roman" w:hAnsi="Times New Roman" w:cs="Times New Roman"/>
          <w:sz w:val="24"/>
          <w:szCs w:val="24"/>
        </w:rPr>
        <w:br/>
      </w:r>
      <w:r w:rsidRPr="00D44C6B">
        <w:rPr>
          <w:rFonts w:ascii="Times New Roman" w:hAnsi="Times New Roman" w:cs="Times New Roman"/>
          <w:sz w:val="24"/>
          <w:szCs w:val="24"/>
        </w:rPr>
        <w:t xml:space="preserve">w ramach Polsko-Czeskiej Komisji do spraw Wód Granicznych. Zgodnie z planem pracy na 2022 rok, 30. narada polsko-czeskiej Grupy OPZ odbyła się w czerwcu w Bielsku-Białej. Protokół z 30. narady został spisany przez stronę polską i podpisany przez Kierowników polskiej i czeskiej części grupy. Głównymi tematami narady było opracowanie rocznego sprawozdania o stanie jakości wód granicznych w roku 2021, wymiana informacji </w:t>
      </w:r>
      <w:r>
        <w:rPr>
          <w:rFonts w:ascii="Times New Roman" w:hAnsi="Times New Roman" w:cs="Times New Roman"/>
          <w:sz w:val="24"/>
          <w:szCs w:val="24"/>
        </w:rPr>
        <w:br/>
      </w:r>
      <w:r w:rsidRPr="00D44C6B">
        <w:rPr>
          <w:rFonts w:ascii="Times New Roman" w:hAnsi="Times New Roman" w:cs="Times New Roman"/>
          <w:sz w:val="24"/>
          <w:szCs w:val="24"/>
        </w:rPr>
        <w:t>o inwestycjach i przedsięwzięciach zrealizowanych w roku 2021, służących poprawie jakości wód granicznych, aktualizacja zasad współpracy Grupy OPZ, opracowanie planu pracy na rok 2023 oraz przygotowanie materiałów do Protokołu na 6. Posiedzenie Polsko-Czeskiej Komisji ds. Wód Granicznych</w:t>
      </w:r>
      <w:r>
        <w:rPr>
          <w:rFonts w:ascii="Times New Roman" w:hAnsi="Times New Roman" w:cs="Times New Roman"/>
          <w:sz w:val="24"/>
          <w:szCs w:val="24"/>
        </w:rPr>
        <w:t>.</w:t>
      </w:r>
    </w:p>
    <w:p w14:paraId="7846D4B9" w14:textId="5146BE74" w:rsidR="00895F16" w:rsidRPr="00D44C6B" w:rsidRDefault="000157EC" w:rsidP="00D80FBD">
      <w:pPr>
        <w:spacing w:after="0" w:line="300" w:lineRule="atLeast"/>
        <w:ind w:firstLine="567"/>
        <w:jc w:val="both"/>
        <w:rPr>
          <w:rFonts w:ascii="Times New Roman" w:eastAsia="Calibri" w:hAnsi="Times New Roman" w:cs="Times New Roman"/>
          <w:color w:val="000000" w:themeColor="text1"/>
          <w:sz w:val="24"/>
          <w:szCs w:val="24"/>
          <w:lang w:eastAsia="pl-PL"/>
        </w:rPr>
      </w:pPr>
      <w:r w:rsidRPr="00D44C6B">
        <w:rPr>
          <w:rFonts w:ascii="Times New Roman" w:hAnsi="Times New Roman" w:cs="Times New Roman"/>
          <w:color w:val="000000" w:themeColor="text1"/>
          <w:sz w:val="24"/>
          <w:szCs w:val="24"/>
        </w:rPr>
        <w:t>Przedstawiciele Inspekcji Ochrony Środowiska u</w:t>
      </w:r>
      <w:r w:rsidR="008D6F94" w:rsidRPr="00D44C6B">
        <w:rPr>
          <w:rFonts w:ascii="Times New Roman" w:hAnsi="Times New Roman" w:cs="Times New Roman"/>
          <w:color w:val="000000" w:themeColor="text1"/>
          <w:sz w:val="24"/>
          <w:szCs w:val="24"/>
        </w:rPr>
        <w:t>czestnicz</w:t>
      </w:r>
      <w:r w:rsidRPr="00D44C6B">
        <w:rPr>
          <w:rFonts w:ascii="Times New Roman" w:hAnsi="Times New Roman" w:cs="Times New Roman"/>
          <w:color w:val="000000" w:themeColor="text1"/>
          <w:sz w:val="24"/>
          <w:szCs w:val="24"/>
        </w:rPr>
        <w:t>yli</w:t>
      </w:r>
      <w:r w:rsidR="008D6F94" w:rsidRPr="00D44C6B">
        <w:rPr>
          <w:rFonts w:ascii="Times New Roman" w:hAnsi="Times New Roman" w:cs="Times New Roman"/>
          <w:color w:val="000000" w:themeColor="text1"/>
          <w:sz w:val="24"/>
          <w:szCs w:val="24"/>
        </w:rPr>
        <w:t xml:space="preserve"> w spotkaniu polsko-czeskiej grupy roboczej ds. jakości powietrza, gdzie m.in. wygłoszono prezentację dotyczącą jakości powietrza w Polsce</w:t>
      </w:r>
      <w:r w:rsidR="00895F16" w:rsidRPr="00D44C6B">
        <w:rPr>
          <w:rFonts w:ascii="Times New Roman" w:eastAsia="Calibri" w:hAnsi="Times New Roman" w:cs="Times New Roman"/>
          <w:color w:val="000000" w:themeColor="text1"/>
          <w:sz w:val="24"/>
          <w:szCs w:val="24"/>
          <w:lang w:eastAsia="pl-PL"/>
        </w:rPr>
        <w:t xml:space="preserve">. </w:t>
      </w:r>
    </w:p>
    <w:p w14:paraId="4F3C7043" w14:textId="77777777" w:rsidR="008D6F94" w:rsidRPr="007F400A" w:rsidRDefault="008D6F94" w:rsidP="00D80FBD">
      <w:pPr>
        <w:spacing w:after="0" w:line="300" w:lineRule="atLeast"/>
        <w:ind w:firstLine="848"/>
        <w:rPr>
          <w:rFonts w:ascii="Times New Roman" w:eastAsia="Calibri" w:hAnsi="Times New Roman" w:cs="Times New Roman"/>
          <w:color w:val="2E74B5"/>
          <w:sz w:val="20"/>
          <w:szCs w:val="20"/>
          <w:lang w:eastAsia="pl-PL"/>
        </w:rPr>
      </w:pPr>
    </w:p>
    <w:tbl>
      <w:tblPr>
        <w:tblW w:w="9106" w:type="dxa"/>
        <w:tblInd w:w="108" w:type="dxa"/>
        <w:tblLook w:val="04A0" w:firstRow="1" w:lastRow="0" w:firstColumn="1" w:lastColumn="0" w:noHBand="0" w:noVBand="1"/>
      </w:tblPr>
      <w:tblGrid>
        <w:gridCol w:w="5954"/>
        <w:gridCol w:w="3152"/>
      </w:tblGrid>
      <w:tr w:rsidR="008D6F94" w:rsidRPr="007F400A" w14:paraId="680CA5DB" w14:textId="77777777" w:rsidTr="00FA6B66">
        <w:tc>
          <w:tcPr>
            <w:tcW w:w="5954" w:type="dxa"/>
          </w:tcPr>
          <w:p w14:paraId="5CAB978D" w14:textId="77777777" w:rsidR="008D6F94" w:rsidRPr="007F400A" w:rsidRDefault="008D6F94" w:rsidP="00D80FBD">
            <w:pPr>
              <w:spacing w:after="0" w:line="300" w:lineRule="atLeast"/>
              <w:jc w:val="both"/>
              <w:rPr>
                <w:rFonts w:ascii="Times New Roman" w:eastAsia="Times New Roman" w:hAnsi="Times New Roman" w:cs="Times New Roman"/>
                <w:b/>
                <w:sz w:val="24"/>
                <w:szCs w:val="24"/>
                <w:lang w:eastAsia="pl-PL"/>
              </w:rPr>
            </w:pPr>
          </w:p>
          <w:p w14:paraId="3DE1D490" w14:textId="77777777" w:rsidR="008D6F94" w:rsidRPr="007F400A" w:rsidRDefault="008D6F94" w:rsidP="00D80FBD">
            <w:pPr>
              <w:spacing w:after="120" w:line="300" w:lineRule="atLeast"/>
              <w:jc w:val="both"/>
              <w:rPr>
                <w:rFonts w:ascii="Times New Roman" w:eastAsia="Times New Roman" w:hAnsi="Times New Roman" w:cs="Times New Roman"/>
                <w:bCs/>
                <w:sz w:val="24"/>
                <w:szCs w:val="24"/>
                <w:lang w:eastAsia="pl-PL"/>
              </w:rPr>
            </w:pPr>
            <w:r w:rsidRPr="007F400A">
              <w:rPr>
                <w:rFonts w:ascii="Times New Roman" w:eastAsia="Times New Roman" w:hAnsi="Times New Roman" w:cs="Times New Roman"/>
                <w:b/>
                <w:sz w:val="24"/>
                <w:szCs w:val="24"/>
                <w:lang w:eastAsia="pl-PL"/>
              </w:rPr>
              <w:t>5.4 Republika Litewska</w:t>
            </w:r>
          </w:p>
          <w:p w14:paraId="1BA47813" w14:textId="77777777" w:rsidR="008D6F94" w:rsidRPr="007F400A" w:rsidRDefault="008D6F94" w:rsidP="00D80FBD">
            <w:pPr>
              <w:tabs>
                <w:tab w:val="left" w:pos="3243"/>
              </w:tabs>
              <w:spacing w:after="0" w:line="300" w:lineRule="atLeast"/>
              <w:ind w:left="357" w:hanging="357"/>
              <w:jc w:val="both"/>
              <w:rPr>
                <w:rFonts w:ascii="Times New Roman" w:eastAsia="Times New Roman" w:hAnsi="Times New Roman" w:cs="Times New Roman"/>
                <w:sz w:val="24"/>
                <w:szCs w:val="24"/>
                <w:lang w:eastAsia="pl-PL"/>
              </w:rPr>
            </w:pPr>
            <w:r w:rsidRPr="007F400A">
              <w:rPr>
                <w:rFonts w:ascii="Times New Roman" w:eastAsia="Times New Roman" w:hAnsi="Times New Roman" w:cs="Times New Roman"/>
                <w:sz w:val="24"/>
                <w:szCs w:val="24"/>
                <w:lang w:eastAsia="pl-PL"/>
              </w:rPr>
              <w:tab/>
            </w:r>
            <w:r w:rsidRPr="007F400A">
              <w:rPr>
                <w:rFonts w:ascii="Times New Roman" w:eastAsia="Times New Roman" w:hAnsi="Times New Roman" w:cs="Times New Roman"/>
                <w:sz w:val="24"/>
                <w:szCs w:val="24"/>
                <w:lang w:eastAsia="pl-PL"/>
              </w:rPr>
              <w:tab/>
            </w:r>
          </w:p>
        </w:tc>
        <w:tc>
          <w:tcPr>
            <w:tcW w:w="3152" w:type="dxa"/>
          </w:tcPr>
          <w:p w14:paraId="0F9F29A0" w14:textId="77777777" w:rsidR="008D6F94" w:rsidRPr="007F400A" w:rsidRDefault="008D6F94" w:rsidP="00D80FBD">
            <w:pPr>
              <w:autoSpaceDE w:val="0"/>
              <w:autoSpaceDN w:val="0"/>
              <w:adjustRightInd w:val="0"/>
              <w:spacing w:before="60" w:after="120" w:line="300" w:lineRule="atLeast"/>
              <w:jc w:val="both"/>
              <w:rPr>
                <w:rFonts w:ascii="Times New Roman" w:eastAsia="Times New Roman" w:hAnsi="Times New Roman" w:cs="Times New Roman"/>
                <w:bCs/>
                <w:sz w:val="24"/>
                <w:szCs w:val="24"/>
                <w:lang w:eastAsia="pl-PL"/>
              </w:rPr>
            </w:pPr>
            <w:r w:rsidRPr="007F400A">
              <w:rPr>
                <w:rFonts w:ascii="Times New Roman" w:eastAsia="Times New Roman" w:hAnsi="Times New Roman" w:cs="Times New Roman"/>
                <w:noProof/>
                <w:sz w:val="24"/>
                <w:szCs w:val="24"/>
                <w:lang w:eastAsia="pl-PL"/>
              </w:rPr>
              <w:drawing>
                <wp:inline distT="0" distB="0" distL="0" distR="0" wp14:anchorId="6785A7B0" wp14:editId="09A6EAFF">
                  <wp:extent cx="847725" cy="504825"/>
                  <wp:effectExtent l="19050" t="19050" r="28575" b="28575"/>
                  <wp:docPr id="68" name="Obraz 68" descr="flaga litewska">
                    <a:hlinkClick xmlns:a="http://schemas.openxmlformats.org/drawingml/2006/main" r:id="rId243" tooltip="Flaga Litwy"/>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az 68" descr="flaga litewska">
                            <a:hlinkClick r:id="rId243" tooltip="Flaga Litwy"/>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847725" cy="504825"/>
                          </a:xfrm>
                          <a:prstGeom prst="rect">
                            <a:avLst/>
                          </a:prstGeom>
                          <a:noFill/>
                          <a:ln w="6350" cmpd="sng">
                            <a:solidFill>
                              <a:srgbClr val="000000"/>
                            </a:solidFill>
                            <a:miter lim="800000"/>
                            <a:headEnd/>
                            <a:tailEnd/>
                          </a:ln>
                          <a:effectLst/>
                        </pic:spPr>
                      </pic:pic>
                    </a:graphicData>
                  </a:graphic>
                </wp:inline>
              </w:drawing>
            </w:r>
          </w:p>
        </w:tc>
      </w:tr>
    </w:tbl>
    <w:p w14:paraId="4843AE61" w14:textId="141C0CFA" w:rsidR="008D6F94" w:rsidRPr="008D6F94" w:rsidRDefault="008D6F94" w:rsidP="00D80FBD">
      <w:pPr>
        <w:spacing w:before="120" w:after="0" w:line="300" w:lineRule="atLeast"/>
        <w:ind w:firstLine="567"/>
        <w:jc w:val="both"/>
        <w:rPr>
          <w:rFonts w:ascii="Times New Roman" w:eastAsia="Calibri" w:hAnsi="Times New Roman" w:cs="Times New Roman"/>
          <w:sz w:val="24"/>
          <w:szCs w:val="24"/>
          <w:lang w:eastAsia="pl-PL"/>
        </w:rPr>
      </w:pPr>
      <w:r w:rsidRPr="008D6F94">
        <w:rPr>
          <w:rFonts w:ascii="Times New Roman" w:hAnsi="Times New Roman" w:cs="Times New Roman"/>
          <w:sz w:val="24"/>
          <w:szCs w:val="24"/>
        </w:rPr>
        <w:t>Uczestniczono w pracach Polsko-Litewskiej Komisji ds. Wód Granicznych. Zorganizowano posiedzenie on-line grupy roboczej ds. ochrony wód granicznych przed zanieczyszczeniem, gdzie omówiono realizację monitoringu oraz przedstawiono ocenę jednolitych części wód powierzchniowych za lata 2016-2021. Uzgodniono program monitoringu na 2023 r. Prowadzono regularny monitoring 4 rzek (w tym na  jednej zrealizowano wspólny pobór próbek) i 2 jezior granicznych. Wymieniono się wynikami badań ze strona litewską. Uczestniczono w posiedzeniu Grupy Roboczej ds. Współpracy Przygranicznej, działającej w ramach Polsko-Litewskiej Komisji Międzyrządowej do spraw Współpracy Transgranicznej, które odbyło się w Mariampolu na Litwie</w:t>
      </w:r>
      <w:r w:rsidR="000157EC">
        <w:rPr>
          <w:rFonts w:ascii="Times New Roman" w:hAnsi="Times New Roman" w:cs="Times New Roman"/>
          <w:sz w:val="24"/>
          <w:szCs w:val="24"/>
        </w:rPr>
        <w:t>, gdzie z</w:t>
      </w:r>
      <w:r w:rsidRPr="008D6F94">
        <w:rPr>
          <w:rFonts w:ascii="Times New Roman" w:hAnsi="Times New Roman" w:cs="Times New Roman"/>
          <w:sz w:val="24"/>
          <w:szCs w:val="24"/>
        </w:rPr>
        <w:t>referowano przebieg współpracy służb ochrony środowiska</w:t>
      </w:r>
      <w:r w:rsidRPr="008D6F94">
        <w:rPr>
          <w:rFonts w:ascii="Times New Roman" w:eastAsia="Calibri" w:hAnsi="Times New Roman" w:cs="Times New Roman"/>
          <w:sz w:val="24"/>
          <w:szCs w:val="24"/>
          <w:lang w:eastAsia="pl-PL"/>
        </w:rPr>
        <w:t>.</w:t>
      </w:r>
    </w:p>
    <w:p w14:paraId="3A927C95" w14:textId="77777777" w:rsidR="008D6F94" w:rsidRPr="007F400A" w:rsidRDefault="008D6F94" w:rsidP="00D80FBD">
      <w:pPr>
        <w:spacing w:after="120" w:line="300" w:lineRule="atLeast"/>
        <w:ind w:firstLine="425"/>
        <w:jc w:val="both"/>
        <w:rPr>
          <w:rFonts w:ascii="Times New Roman" w:eastAsia="Calibri" w:hAnsi="Times New Roman" w:cs="Times New Roman"/>
          <w:color w:val="2E74B5"/>
          <w:sz w:val="24"/>
          <w:szCs w:val="24"/>
          <w:lang w:eastAsia="x-none"/>
        </w:rPr>
      </w:pPr>
    </w:p>
    <w:tbl>
      <w:tblPr>
        <w:tblW w:w="0" w:type="auto"/>
        <w:tblInd w:w="60" w:type="dxa"/>
        <w:tblLook w:val="04A0" w:firstRow="1" w:lastRow="0" w:firstColumn="1" w:lastColumn="0" w:noHBand="0" w:noVBand="1"/>
      </w:tblPr>
      <w:tblGrid>
        <w:gridCol w:w="4051"/>
        <w:gridCol w:w="1748"/>
        <w:gridCol w:w="3213"/>
      </w:tblGrid>
      <w:tr w:rsidR="00895F16" w:rsidRPr="007F400A" w14:paraId="41C5E36B" w14:textId="77777777" w:rsidTr="00895F16">
        <w:trPr>
          <w:trHeight w:val="981"/>
        </w:trPr>
        <w:tc>
          <w:tcPr>
            <w:tcW w:w="4051" w:type="dxa"/>
          </w:tcPr>
          <w:p w14:paraId="2D21681C" w14:textId="4969721C" w:rsidR="00895F16" w:rsidRPr="007F400A" w:rsidRDefault="002C4B75" w:rsidP="00D80FBD">
            <w:pPr>
              <w:spacing w:after="0" w:line="300" w:lineRule="atLeast"/>
              <w:ind w:left="60"/>
              <w:jc w:val="both"/>
              <w:rPr>
                <w:rFonts w:ascii="Times New Roman" w:eastAsia="Calibri" w:hAnsi="Times New Roman" w:cs="Times New Roman"/>
                <w:b/>
                <w:sz w:val="24"/>
                <w:szCs w:val="24"/>
                <w:lang w:eastAsia="x-none"/>
              </w:rPr>
            </w:pPr>
            <w:r w:rsidRPr="007F400A">
              <w:rPr>
                <w:rFonts w:ascii="Times New Roman" w:eastAsia="Calibri" w:hAnsi="Times New Roman" w:cs="Times New Roman"/>
                <w:b/>
                <w:sz w:val="24"/>
                <w:szCs w:val="24"/>
                <w:lang w:eastAsia="pl-PL"/>
              </w:rPr>
              <w:t>6</w:t>
            </w:r>
            <w:r w:rsidR="00895F16" w:rsidRPr="007F400A">
              <w:rPr>
                <w:rFonts w:ascii="Times New Roman" w:eastAsia="Calibri" w:hAnsi="Times New Roman" w:cs="Times New Roman"/>
                <w:b/>
                <w:sz w:val="24"/>
                <w:szCs w:val="24"/>
                <w:lang w:eastAsia="pl-PL"/>
              </w:rPr>
              <w:t>.3 Republika Federalna Niemiec</w:t>
            </w:r>
          </w:p>
          <w:p w14:paraId="75A3D85B" w14:textId="77777777" w:rsidR="00895F16" w:rsidRPr="007F400A" w:rsidRDefault="00895F16" w:rsidP="00D80FBD">
            <w:pPr>
              <w:spacing w:after="0" w:line="300" w:lineRule="atLeast"/>
              <w:jc w:val="both"/>
              <w:rPr>
                <w:rFonts w:ascii="Times New Roman" w:eastAsia="Calibri" w:hAnsi="Times New Roman" w:cs="Times New Roman"/>
                <w:b/>
                <w:bCs/>
                <w:sz w:val="24"/>
                <w:szCs w:val="24"/>
                <w:lang w:eastAsia="pl-PL"/>
              </w:rPr>
            </w:pPr>
          </w:p>
        </w:tc>
        <w:tc>
          <w:tcPr>
            <w:tcW w:w="1748" w:type="dxa"/>
          </w:tcPr>
          <w:p w14:paraId="29B00143" w14:textId="77777777" w:rsidR="00895F16" w:rsidRPr="007F400A" w:rsidRDefault="00895F16" w:rsidP="00D80FBD">
            <w:pPr>
              <w:spacing w:after="0" w:line="300" w:lineRule="atLeast"/>
              <w:jc w:val="both"/>
              <w:rPr>
                <w:rFonts w:ascii="Times New Roman" w:eastAsia="Calibri" w:hAnsi="Times New Roman" w:cs="Times New Roman"/>
                <w:b/>
                <w:sz w:val="24"/>
                <w:szCs w:val="24"/>
                <w:lang w:eastAsia="pl-PL"/>
              </w:rPr>
            </w:pPr>
          </w:p>
        </w:tc>
        <w:tc>
          <w:tcPr>
            <w:tcW w:w="3213" w:type="dxa"/>
          </w:tcPr>
          <w:p w14:paraId="602D37E3" w14:textId="77777777" w:rsidR="00895F16" w:rsidRPr="007F400A" w:rsidRDefault="00895F16" w:rsidP="00D80FBD">
            <w:pPr>
              <w:spacing w:after="0" w:line="300" w:lineRule="atLeast"/>
              <w:jc w:val="both"/>
              <w:rPr>
                <w:rFonts w:ascii="Times New Roman" w:eastAsia="Calibri" w:hAnsi="Times New Roman" w:cs="Times New Roman"/>
                <w:b/>
                <w:bCs/>
                <w:sz w:val="24"/>
                <w:szCs w:val="24"/>
                <w:lang w:eastAsia="pl-PL"/>
              </w:rPr>
            </w:pPr>
            <w:r w:rsidRPr="007F400A">
              <w:rPr>
                <w:rFonts w:ascii="Times New Roman" w:eastAsia="Calibri" w:hAnsi="Times New Roman" w:cs="Times New Roman"/>
                <w:noProof/>
                <w:sz w:val="24"/>
                <w:szCs w:val="24"/>
                <w:lang w:eastAsia="pl-PL"/>
              </w:rPr>
              <w:drawing>
                <wp:inline distT="0" distB="0" distL="0" distR="0" wp14:anchorId="45B01C09" wp14:editId="04B66C6B">
                  <wp:extent cx="847725" cy="504825"/>
                  <wp:effectExtent l="19050" t="19050" r="28575" b="28575"/>
                  <wp:docPr id="67" name="Obraz 67" descr="flaga niemiecka">
                    <a:hlinkClick xmlns:a="http://schemas.openxmlformats.org/drawingml/2006/main" r:id="rId245" tooltip="Flaga Niemiec"/>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braz 67" descr="flaga niemiecka">
                            <a:hlinkClick r:id="rId245" tooltip="Flaga Niemiec"/>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847725" cy="504825"/>
                          </a:xfrm>
                          <a:prstGeom prst="rect">
                            <a:avLst/>
                          </a:prstGeom>
                          <a:noFill/>
                          <a:ln w="6350" cmpd="sng">
                            <a:solidFill>
                              <a:srgbClr val="000000"/>
                            </a:solidFill>
                            <a:miter lim="800000"/>
                            <a:headEnd/>
                            <a:tailEnd/>
                          </a:ln>
                          <a:effectLst/>
                        </pic:spPr>
                      </pic:pic>
                    </a:graphicData>
                  </a:graphic>
                </wp:inline>
              </w:drawing>
            </w:r>
          </w:p>
        </w:tc>
      </w:tr>
    </w:tbl>
    <w:p w14:paraId="62A2F03F" w14:textId="7F3A57C8" w:rsidR="00950ED3" w:rsidRPr="001E2BEC" w:rsidRDefault="00950ED3" w:rsidP="00D80FBD">
      <w:pPr>
        <w:pStyle w:val="Tekstpodstawowy3"/>
        <w:spacing w:before="120" w:after="0" w:line="300" w:lineRule="atLeast"/>
        <w:ind w:firstLine="567"/>
        <w:jc w:val="both"/>
        <w:rPr>
          <w:color w:val="000000" w:themeColor="text1"/>
          <w:sz w:val="24"/>
          <w:szCs w:val="24"/>
          <w:lang w:val="pl-PL"/>
        </w:rPr>
      </w:pPr>
      <w:r>
        <w:rPr>
          <w:sz w:val="24"/>
          <w:szCs w:val="24"/>
          <w:lang w:val="pl-PL"/>
        </w:rPr>
        <w:lastRenderedPageBreak/>
        <w:t xml:space="preserve">W dniu 29 sierpnia 2022 r. w Bad </w:t>
      </w:r>
      <w:proofErr w:type="spellStart"/>
      <w:r w:rsidR="00FC7357">
        <w:rPr>
          <w:sz w:val="24"/>
          <w:szCs w:val="24"/>
          <w:lang w:val="pl-PL"/>
        </w:rPr>
        <w:t>Saarow</w:t>
      </w:r>
      <w:proofErr w:type="spellEnd"/>
      <w:r w:rsidR="00FC7357">
        <w:rPr>
          <w:sz w:val="24"/>
          <w:szCs w:val="24"/>
          <w:lang w:val="pl-PL"/>
        </w:rPr>
        <w:t xml:space="preserve"> </w:t>
      </w:r>
      <w:r>
        <w:rPr>
          <w:sz w:val="24"/>
          <w:szCs w:val="24"/>
          <w:lang w:val="pl-PL"/>
        </w:rPr>
        <w:t xml:space="preserve">(Niemcy) Zastępca Głównego Inspektora Ochrony Środowiska, p. Magda Gosk wzięła udział w </w:t>
      </w:r>
      <w:r w:rsidRPr="00950ED3">
        <w:rPr>
          <w:bCs/>
          <w:color w:val="1B1B1B"/>
          <w:sz w:val="24"/>
          <w:szCs w:val="24"/>
          <w:shd w:val="clear" w:color="auto" w:fill="FFFFFF"/>
        </w:rPr>
        <w:t>20. posiedzenia Polsko-Niemieckiej Rady ds. Środowiska</w:t>
      </w:r>
      <w:r>
        <w:rPr>
          <w:bCs/>
          <w:color w:val="1B1B1B"/>
          <w:sz w:val="24"/>
          <w:szCs w:val="24"/>
          <w:shd w:val="clear" w:color="auto" w:fill="FFFFFF"/>
          <w:lang w:val="pl-PL"/>
        </w:rPr>
        <w:t>, w którym ze strony polskiej uczestniczyli również</w:t>
      </w:r>
      <w:r w:rsidR="00FC7357">
        <w:rPr>
          <w:bCs/>
          <w:color w:val="1B1B1B"/>
          <w:sz w:val="24"/>
          <w:szCs w:val="24"/>
          <w:shd w:val="clear" w:color="auto" w:fill="FFFFFF"/>
          <w:lang w:val="pl-PL"/>
        </w:rPr>
        <w:t xml:space="preserve"> m.in.</w:t>
      </w:r>
      <w:r>
        <w:rPr>
          <w:bCs/>
          <w:color w:val="1B1B1B"/>
          <w:sz w:val="24"/>
          <w:szCs w:val="24"/>
          <w:shd w:val="clear" w:color="auto" w:fill="FFFFFF"/>
          <w:lang w:val="pl-PL"/>
        </w:rPr>
        <w:t xml:space="preserve">: </w:t>
      </w:r>
      <w:r w:rsidR="00FC7357">
        <w:rPr>
          <w:bCs/>
          <w:color w:val="1B1B1B"/>
          <w:sz w:val="24"/>
          <w:szCs w:val="24"/>
          <w:shd w:val="clear" w:color="auto" w:fill="FFFFFF"/>
          <w:lang w:val="pl-PL"/>
        </w:rPr>
        <w:t xml:space="preserve">Minister </w:t>
      </w:r>
      <w:r w:rsidR="00FC7357">
        <w:rPr>
          <w:color w:val="1B1B1B"/>
          <w:sz w:val="24"/>
          <w:szCs w:val="24"/>
          <w:shd w:val="clear" w:color="auto" w:fill="FFFFFF"/>
          <w:lang w:val="pl-PL"/>
        </w:rPr>
        <w:t xml:space="preserve">Klimatu </w:t>
      </w:r>
      <w:r w:rsidRPr="00950ED3">
        <w:rPr>
          <w:color w:val="1B1B1B"/>
          <w:sz w:val="24"/>
          <w:szCs w:val="24"/>
          <w:shd w:val="clear" w:color="auto" w:fill="FFFFFF"/>
        </w:rPr>
        <w:t>i </w:t>
      </w:r>
      <w:r w:rsidR="00FC7357">
        <w:rPr>
          <w:color w:val="1B1B1B"/>
          <w:sz w:val="24"/>
          <w:szCs w:val="24"/>
          <w:shd w:val="clear" w:color="auto" w:fill="FFFFFF"/>
          <w:lang w:val="pl-PL"/>
        </w:rPr>
        <w:t>Środowiska</w:t>
      </w:r>
      <w:r>
        <w:rPr>
          <w:color w:val="1B1B1B"/>
          <w:sz w:val="24"/>
          <w:szCs w:val="24"/>
          <w:shd w:val="clear" w:color="auto" w:fill="FFFFFF"/>
          <w:lang w:val="pl-PL"/>
        </w:rPr>
        <w:t>, p.</w:t>
      </w:r>
      <w:r w:rsidRPr="00950ED3">
        <w:rPr>
          <w:color w:val="1B1B1B"/>
          <w:sz w:val="24"/>
          <w:szCs w:val="24"/>
          <w:shd w:val="clear" w:color="auto" w:fill="FFFFFF"/>
        </w:rPr>
        <w:t xml:space="preserve"> Anna Moskwa</w:t>
      </w:r>
      <w:r>
        <w:rPr>
          <w:color w:val="1B1B1B"/>
          <w:sz w:val="24"/>
          <w:szCs w:val="24"/>
          <w:shd w:val="clear" w:color="auto" w:fill="FFFFFF"/>
          <w:lang w:val="pl-PL"/>
        </w:rPr>
        <w:t xml:space="preserve">, Podsekretarz Stanu w Ministerstwie Infrastruktury, </w:t>
      </w:r>
      <w:r>
        <w:rPr>
          <w:color w:val="1B1B1B"/>
          <w:sz w:val="24"/>
          <w:szCs w:val="24"/>
          <w:shd w:val="clear" w:color="auto" w:fill="FFFFFF"/>
          <w:lang w:val="pl-PL"/>
        </w:rPr>
        <w:br/>
        <w:t xml:space="preserve">p. </w:t>
      </w:r>
      <w:r w:rsidRPr="00950ED3">
        <w:rPr>
          <w:color w:val="1B1B1B"/>
          <w:sz w:val="24"/>
          <w:szCs w:val="24"/>
          <w:shd w:val="clear" w:color="auto" w:fill="FFFFFF"/>
        </w:rPr>
        <w:t xml:space="preserve">Grzegorz Witkowski </w:t>
      </w:r>
      <w:r>
        <w:rPr>
          <w:color w:val="1B1B1B"/>
          <w:sz w:val="24"/>
          <w:szCs w:val="24"/>
          <w:shd w:val="clear" w:color="auto" w:fill="FFFFFF"/>
          <w:lang w:val="pl-PL"/>
        </w:rPr>
        <w:t xml:space="preserve">i </w:t>
      </w:r>
      <w:r w:rsidR="00FC7357">
        <w:rPr>
          <w:color w:val="1B1B1B"/>
          <w:sz w:val="24"/>
          <w:szCs w:val="24"/>
          <w:shd w:val="clear" w:color="auto" w:fill="FFFFFF"/>
          <w:lang w:val="pl-PL"/>
        </w:rPr>
        <w:t xml:space="preserve">Generalny Dyrektor Ochrony Środowiska, </w:t>
      </w:r>
      <w:r>
        <w:rPr>
          <w:color w:val="1B1B1B"/>
          <w:sz w:val="24"/>
          <w:szCs w:val="24"/>
          <w:shd w:val="clear" w:color="auto" w:fill="FFFFFF"/>
          <w:lang w:val="pl-PL"/>
        </w:rPr>
        <w:t>p.</w:t>
      </w:r>
      <w:r w:rsidRPr="00950ED3">
        <w:rPr>
          <w:color w:val="1B1B1B"/>
          <w:sz w:val="24"/>
          <w:szCs w:val="24"/>
          <w:shd w:val="clear" w:color="auto" w:fill="FFFFFF"/>
        </w:rPr>
        <w:t xml:space="preserve"> Andrzej Szweda-Lewandowski</w:t>
      </w:r>
      <w:r>
        <w:rPr>
          <w:color w:val="1B1B1B"/>
          <w:sz w:val="24"/>
          <w:szCs w:val="24"/>
          <w:shd w:val="clear" w:color="auto" w:fill="FFFFFF"/>
          <w:lang w:val="pl-PL"/>
        </w:rPr>
        <w:t xml:space="preserve">. </w:t>
      </w:r>
      <w:r w:rsidR="001E2BEC">
        <w:rPr>
          <w:color w:val="000000" w:themeColor="text1"/>
          <w:sz w:val="24"/>
          <w:szCs w:val="24"/>
          <w:shd w:val="clear" w:color="auto" w:fill="FFFFFF"/>
          <w:lang w:val="pl-PL"/>
        </w:rPr>
        <w:t xml:space="preserve">Podczas spotkania omówiono </w:t>
      </w:r>
      <w:r w:rsidR="001E2BEC" w:rsidRPr="001E2BEC">
        <w:rPr>
          <w:color w:val="000000" w:themeColor="text1"/>
          <w:sz w:val="24"/>
          <w:szCs w:val="24"/>
          <w:shd w:val="clear" w:color="auto" w:fill="FFFFFF"/>
        </w:rPr>
        <w:t>bilateraln</w:t>
      </w:r>
      <w:r w:rsidR="001E2BEC">
        <w:rPr>
          <w:color w:val="000000" w:themeColor="text1"/>
          <w:sz w:val="24"/>
          <w:szCs w:val="24"/>
          <w:shd w:val="clear" w:color="auto" w:fill="FFFFFF"/>
          <w:lang w:val="pl-PL"/>
        </w:rPr>
        <w:t>ą</w:t>
      </w:r>
      <w:r w:rsidR="001E2BEC" w:rsidRPr="001E2BEC">
        <w:rPr>
          <w:color w:val="000000" w:themeColor="text1"/>
          <w:sz w:val="24"/>
          <w:szCs w:val="24"/>
          <w:shd w:val="clear" w:color="auto" w:fill="FFFFFF"/>
        </w:rPr>
        <w:t xml:space="preserve"> współprac</w:t>
      </w:r>
      <w:r w:rsidR="001E2BEC">
        <w:rPr>
          <w:color w:val="000000" w:themeColor="text1"/>
          <w:sz w:val="24"/>
          <w:szCs w:val="24"/>
          <w:shd w:val="clear" w:color="auto" w:fill="FFFFFF"/>
          <w:lang w:val="pl-PL"/>
        </w:rPr>
        <w:t>ę</w:t>
      </w:r>
      <w:r w:rsidR="001E2BEC" w:rsidRPr="001E2BEC">
        <w:rPr>
          <w:color w:val="000000" w:themeColor="text1"/>
          <w:sz w:val="24"/>
          <w:szCs w:val="24"/>
          <w:shd w:val="clear" w:color="auto" w:fill="FFFFFF"/>
        </w:rPr>
        <w:t xml:space="preserve"> w związku z sytuacją na rzece Odrze </w:t>
      </w:r>
      <w:r w:rsidR="001E2BEC">
        <w:rPr>
          <w:color w:val="000000" w:themeColor="text1"/>
          <w:sz w:val="24"/>
          <w:szCs w:val="24"/>
          <w:shd w:val="clear" w:color="auto" w:fill="FFFFFF"/>
          <w:lang w:val="pl-PL"/>
        </w:rPr>
        <w:t>oraz  p</w:t>
      </w:r>
      <w:proofErr w:type="spellStart"/>
      <w:r w:rsidR="001E2BEC" w:rsidRPr="001E2BEC">
        <w:rPr>
          <w:color w:val="000000" w:themeColor="text1"/>
          <w:sz w:val="24"/>
          <w:szCs w:val="24"/>
          <w:shd w:val="clear" w:color="auto" w:fill="FFFFFF"/>
        </w:rPr>
        <w:t>odsumowano</w:t>
      </w:r>
      <w:proofErr w:type="spellEnd"/>
      <w:r w:rsidR="001E2BEC" w:rsidRPr="001E2BEC">
        <w:rPr>
          <w:color w:val="000000" w:themeColor="text1"/>
          <w:sz w:val="24"/>
          <w:szCs w:val="24"/>
          <w:shd w:val="clear" w:color="auto" w:fill="FFFFFF"/>
        </w:rPr>
        <w:t xml:space="preserve"> aktualny stan prac zarówno po stronie polskiej, jak </w:t>
      </w:r>
      <w:r w:rsidR="001E2BEC">
        <w:rPr>
          <w:color w:val="000000" w:themeColor="text1"/>
          <w:sz w:val="24"/>
          <w:szCs w:val="24"/>
          <w:shd w:val="clear" w:color="auto" w:fill="FFFFFF"/>
        </w:rPr>
        <w:br/>
      </w:r>
      <w:r w:rsidR="001E2BEC" w:rsidRPr="001E2BEC">
        <w:rPr>
          <w:color w:val="000000" w:themeColor="text1"/>
          <w:sz w:val="24"/>
          <w:szCs w:val="24"/>
          <w:shd w:val="clear" w:color="auto" w:fill="FFFFFF"/>
        </w:rPr>
        <w:t xml:space="preserve">i niemieckiej. </w:t>
      </w:r>
    </w:p>
    <w:p w14:paraId="5403506F" w14:textId="2135CE3D" w:rsidR="008D6F94" w:rsidRPr="008D6F94" w:rsidRDefault="008D6F94" w:rsidP="00D80FBD">
      <w:pPr>
        <w:pStyle w:val="Tekstpodstawowy3"/>
        <w:spacing w:after="0" w:line="300" w:lineRule="atLeast"/>
        <w:ind w:firstLine="567"/>
        <w:jc w:val="both"/>
        <w:rPr>
          <w:sz w:val="24"/>
          <w:szCs w:val="24"/>
        </w:rPr>
      </w:pPr>
      <w:r w:rsidRPr="008D6F94">
        <w:rPr>
          <w:sz w:val="24"/>
          <w:szCs w:val="24"/>
        </w:rPr>
        <w:t xml:space="preserve">Kontynuowano udział w grupie roboczej ds. ochrony wód granicznych przed zanieczyszczeniem, działającej w </w:t>
      </w:r>
      <w:r w:rsidR="00DA5361">
        <w:rPr>
          <w:sz w:val="24"/>
          <w:szCs w:val="24"/>
          <w:lang w:val="pl-PL"/>
        </w:rPr>
        <w:t xml:space="preserve">ramach </w:t>
      </w:r>
      <w:r w:rsidRPr="008D6F94">
        <w:rPr>
          <w:sz w:val="24"/>
          <w:szCs w:val="24"/>
        </w:rPr>
        <w:t xml:space="preserve">Polsko-Niemieckiej Komisji do Spraw Wód Granicznych. Odbyło się jedno spotkanie on-line, poświęcone m.in. wynikom badań i ocenie jakości ww. wód oraz spotkania w tej samej formule powiązanych grup eksperckich: ds. monitoringu oraz ds. badania wód Zalewu Szczecińskiego i Zatoki Pomorskiej. W ramach prac tej drugiej grupy Krajowe Laboratorium Referencyjne do spraw jakości wód powierzchniowych zorganizowało tzw. porównanie </w:t>
      </w:r>
      <w:proofErr w:type="spellStart"/>
      <w:r w:rsidRPr="008D6F94">
        <w:rPr>
          <w:sz w:val="24"/>
          <w:szCs w:val="24"/>
        </w:rPr>
        <w:t>międzylaboratoryjne</w:t>
      </w:r>
      <w:proofErr w:type="spellEnd"/>
      <w:r w:rsidRPr="008D6F94">
        <w:rPr>
          <w:sz w:val="24"/>
          <w:szCs w:val="24"/>
        </w:rPr>
        <w:t xml:space="preserve"> na Zalewie Szczecińskim z udziałem 7 laboratoriów GIOŚ i 1 laboratorium niemieckiego. Komisji Wód Granicznych został przekazany raport o jakości polsko-niemieckich wód granicznych za rok 2020.</w:t>
      </w:r>
    </w:p>
    <w:p w14:paraId="1E31A724" w14:textId="6CE45559" w:rsidR="008D6F94" w:rsidRPr="001F2495" w:rsidRDefault="008D6F94" w:rsidP="00D80FBD">
      <w:pPr>
        <w:spacing w:after="0" w:line="300" w:lineRule="atLeast"/>
        <w:ind w:firstLine="567"/>
        <w:jc w:val="both"/>
        <w:rPr>
          <w:rFonts w:ascii="Times New Roman" w:hAnsi="Times New Roman" w:cs="Times New Roman"/>
          <w:sz w:val="24"/>
          <w:szCs w:val="24"/>
        </w:rPr>
      </w:pPr>
      <w:r w:rsidRPr="001F2495">
        <w:rPr>
          <w:rFonts w:ascii="Times New Roman" w:hAnsi="Times New Roman" w:cs="Times New Roman"/>
          <w:sz w:val="24"/>
          <w:szCs w:val="24"/>
        </w:rPr>
        <w:t xml:space="preserve">W dniach 5-7 października 2022 r. we Frankfurcie nad Odrą odbyło się niemiecko-polskie spotkanie robocze urzędów ochrony środowiska dotyczące transgranicznego przemieszczania odpadów. Spotkanie było kontynuacją współpracy rozpoczętej w 2019 r., </w:t>
      </w:r>
      <w:r w:rsidRPr="001F2495">
        <w:rPr>
          <w:rFonts w:ascii="Times New Roman" w:hAnsi="Times New Roman" w:cs="Times New Roman"/>
          <w:sz w:val="24"/>
          <w:szCs w:val="24"/>
        </w:rPr>
        <w:br/>
        <w:t>w ramach warsztatów pt. „Zwalczani</w:t>
      </w:r>
      <w:r w:rsidR="00031938">
        <w:rPr>
          <w:rFonts w:ascii="Times New Roman" w:hAnsi="Times New Roman" w:cs="Times New Roman"/>
          <w:sz w:val="24"/>
          <w:szCs w:val="24"/>
        </w:rPr>
        <w:t>e</w:t>
      </w:r>
      <w:r w:rsidRPr="001F2495">
        <w:rPr>
          <w:rFonts w:ascii="Times New Roman" w:hAnsi="Times New Roman" w:cs="Times New Roman"/>
          <w:sz w:val="24"/>
          <w:szCs w:val="24"/>
        </w:rPr>
        <w:t xml:space="preserve"> transgranicznej przestępczości związanej z odpadami </w:t>
      </w:r>
      <w:r>
        <w:rPr>
          <w:rFonts w:ascii="Times New Roman" w:hAnsi="Times New Roman" w:cs="Times New Roman"/>
          <w:sz w:val="24"/>
          <w:szCs w:val="24"/>
        </w:rPr>
        <w:br/>
      </w:r>
      <w:r w:rsidRPr="001F2495">
        <w:rPr>
          <w:rFonts w:ascii="Times New Roman" w:hAnsi="Times New Roman" w:cs="Times New Roman"/>
          <w:sz w:val="24"/>
          <w:szCs w:val="24"/>
        </w:rPr>
        <w:t xml:space="preserve">w polsko-niemieckim regionie przygranicznym“, które odbyły się w dniach 24-25 października 2019 r. w Poczdamie. </w:t>
      </w:r>
    </w:p>
    <w:p w14:paraId="71E5CA5F" w14:textId="4CDF6D94" w:rsidR="008D6F94" w:rsidRPr="001F2495" w:rsidRDefault="008D6F94" w:rsidP="00D80FBD">
      <w:pPr>
        <w:spacing w:after="0" w:line="300" w:lineRule="atLeast"/>
        <w:ind w:firstLine="567"/>
        <w:jc w:val="both"/>
        <w:rPr>
          <w:rFonts w:ascii="Times New Roman" w:hAnsi="Times New Roman" w:cs="Times New Roman"/>
          <w:sz w:val="24"/>
          <w:szCs w:val="24"/>
        </w:rPr>
      </w:pPr>
      <w:r w:rsidRPr="001F2495">
        <w:rPr>
          <w:rFonts w:ascii="Times New Roman" w:hAnsi="Times New Roman" w:cs="Times New Roman"/>
          <w:sz w:val="24"/>
          <w:szCs w:val="24"/>
        </w:rPr>
        <w:t xml:space="preserve">Celem </w:t>
      </w:r>
      <w:r>
        <w:rPr>
          <w:rFonts w:ascii="Times New Roman" w:hAnsi="Times New Roman" w:cs="Times New Roman"/>
          <w:sz w:val="24"/>
          <w:szCs w:val="24"/>
        </w:rPr>
        <w:t xml:space="preserve">roboczego </w:t>
      </w:r>
      <w:r w:rsidRPr="001F2495">
        <w:rPr>
          <w:rFonts w:ascii="Times New Roman" w:hAnsi="Times New Roman" w:cs="Times New Roman"/>
          <w:sz w:val="24"/>
          <w:szCs w:val="24"/>
        </w:rPr>
        <w:t>spotkania była dyskusja dotycząca problematyki transgranicznego przemieszczania odpadów, w tym omówienie konkretnych przypadków nielegalnego przemieszczania odpadów</w:t>
      </w:r>
      <w:r w:rsidR="00031938">
        <w:rPr>
          <w:rFonts w:ascii="Times New Roman" w:hAnsi="Times New Roman" w:cs="Times New Roman"/>
          <w:sz w:val="24"/>
          <w:szCs w:val="24"/>
        </w:rPr>
        <w:t>.</w:t>
      </w:r>
      <w:r w:rsidRPr="001F2495">
        <w:rPr>
          <w:rFonts w:ascii="Times New Roman" w:hAnsi="Times New Roman" w:cs="Times New Roman"/>
          <w:sz w:val="24"/>
          <w:szCs w:val="24"/>
        </w:rPr>
        <w:t xml:space="preserve"> </w:t>
      </w:r>
      <w:r w:rsidR="00031938">
        <w:rPr>
          <w:rFonts w:ascii="Times New Roman" w:hAnsi="Times New Roman" w:cs="Times New Roman"/>
          <w:sz w:val="24"/>
          <w:szCs w:val="24"/>
        </w:rPr>
        <w:t>Miała miejsce r</w:t>
      </w:r>
      <w:r w:rsidRPr="001F2495">
        <w:rPr>
          <w:rFonts w:ascii="Times New Roman" w:hAnsi="Times New Roman" w:cs="Times New Roman"/>
          <w:sz w:val="24"/>
          <w:szCs w:val="24"/>
        </w:rPr>
        <w:t>ównież debata o wdrażaniu i dalszym rozwoju prawodawstwa z zakresu transgranicznego przemieszczania odpadów.</w:t>
      </w:r>
    </w:p>
    <w:p w14:paraId="0CDAAC32" w14:textId="24A58B11" w:rsidR="00895F16" w:rsidRPr="007F400A" w:rsidRDefault="008D6F94" w:rsidP="00D80FBD">
      <w:pPr>
        <w:keepNext/>
        <w:keepLines/>
        <w:spacing w:after="0" w:line="300" w:lineRule="atLeast"/>
        <w:ind w:firstLine="567"/>
        <w:jc w:val="both"/>
        <w:rPr>
          <w:rFonts w:ascii="Times New Roman" w:eastAsia="Calibri" w:hAnsi="Times New Roman" w:cs="Times New Roman"/>
          <w:color w:val="000000"/>
          <w:sz w:val="24"/>
          <w:szCs w:val="24"/>
          <w:lang w:val="x-none" w:eastAsia="pl-PL"/>
        </w:rPr>
      </w:pPr>
      <w:r>
        <w:rPr>
          <w:rFonts w:ascii="Times New Roman" w:hAnsi="Times New Roman" w:cs="Times New Roman"/>
          <w:sz w:val="24"/>
          <w:szCs w:val="24"/>
        </w:rPr>
        <w:t>J</w:t>
      </w:r>
      <w:r w:rsidRPr="001F2495">
        <w:rPr>
          <w:rFonts w:ascii="Times New Roman" w:hAnsi="Times New Roman" w:cs="Times New Roman"/>
          <w:sz w:val="24"/>
          <w:szCs w:val="24"/>
        </w:rPr>
        <w:t xml:space="preserve">eden dzień </w:t>
      </w:r>
      <w:r>
        <w:rPr>
          <w:rFonts w:ascii="Times New Roman" w:hAnsi="Times New Roman" w:cs="Times New Roman"/>
          <w:sz w:val="24"/>
          <w:szCs w:val="24"/>
        </w:rPr>
        <w:t xml:space="preserve">spotkania </w:t>
      </w:r>
      <w:r w:rsidRPr="001F2495">
        <w:rPr>
          <w:rFonts w:ascii="Times New Roman" w:hAnsi="Times New Roman" w:cs="Times New Roman"/>
          <w:sz w:val="24"/>
          <w:szCs w:val="24"/>
        </w:rPr>
        <w:t xml:space="preserve">poświęcono na wspólną akcję kontrolną, w której udział wzięli urzędnicy Federalnego Urzędu Transportu Towarowego, przedstawiciele niemieckich organów ochrony środowiska, funkcjonariusze ITD i inspektorzy ochrony środowiska z Polski. Punkt kontrolny został utworzony prze zjeździe Frankfurt nad Odrą - Zachód. Kontrolowane były głównie transporty przewożące odpady. Łącznie skontrolowano 13 transportów, z których </w:t>
      </w:r>
      <w:r w:rsidR="00031938">
        <w:rPr>
          <w:rFonts w:ascii="Times New Roman" w:hAnsi="Times New Roman" w:cs="Times New Roman"/>
          <w:sz w:val="24"/>
          <w:szCs w:val="24"/>
        </w:rPr>
        <w:br/>
      </w:r>
      <w:r w:rsidRPr="001F2495">
        <w:rPr>
          <w:rFonts w:ascii="Times New Roman" w:hAnsi="Times New Roman" w:cs="Times New Roman"/>
          <w:sz w:val="24"/>
          <w:szCs w:val="24"/>
        </w:rPr>
        <w:t>7 zawierało odpady. W 4 transportach stwierdzono nieprawidłowości, a jeden uznano za nielegalny</w:t>
      </w:r>
      <w:r w:rsidR="00895F16" w:rsidRPr="007F400A">
        <w:rPr>
          <w:rFonts w:ascii="Times New Roman" w:eastAsia="Calibri" w:hAnsi="Times New Roman" w:cs="Times New Roman"/>
          <w:color w:val="000000"/>
          <w:sz w:val="24"/>
          <w:szCs w:val="24"/>
          <w:lang w:val="x-none" w:eastAsia="pl-PL"/>
        </w:rPr>
        <w:t xml:space="preserve">. </w:t>
      </w:r>
    </w:p>
    <w:p w14:paraId="209A9CC9" w14:textId="77777777" w:rsidR="00895F16" w:rsidRPr="007F400A" w:rsidRDefault="00895F16" w:rsidP="00D80FBD">
      <w:pPr>
        <w:spacing w:after="0" w:line="300" w:lineRule="atLeast"/>
        <w:ind w:firstLine="708"/>
        <w:jc w:val="both"/>
        <w:rPr>
          <w:rFonts w:ascii="Times New Roman" w:eastAsia="Arial" w:hAnsi="Times New Roman" w:cs="Times New Roman"/>
          <w:color w:val="2E74B5"/>
          <w:sz w:val="24"/>
          <w:szCs w:val="24"/>
          <w:lang w:eastAsia="pl-PL"/>
        </w:rPr>
      </w:pPr>
    </w:p>
    <w:tbl>
      <w:tblPr>
        <w:tblW w:w="9106" w:type="dxa"/>
        <w:tblInd w:w="108" w:type="dxa"/>
        <w:tblLayout w:type="fixed"/>
        <w:tblLook w:val="04A0" w:firstRow="1" w:lastRow="0" w:firstColumn="1" w:lastColumn="0" w:noHBand="0" w:noVBand="1"/>
      </w:tblPr>
      <w:tblGrid>
        <w:gridCol w:w="5930"/>
        <w:gridCol w:w="3176"/>
      </w:tblGrid>
      <w:tr w:rsidR="00895F16" w:rsidRPr="007F400A" w14:paraId="5F18EF79" w14:textId="77777777" w:rsidTr="002C4B75">
        <w:tc>
          <w:tcPr>
            <w:tcW w:w="5930" w:type="dxa"/>
          </w:tcPr>
          <w:p w14:paraId="667D975F" w14:textId="77777777" w:rsidR="00895F16" w:rsidRPr="007F400A" w:rsidRDefault="00895F16" w:rsidP="00D80FBD">
            <w:pPr>
              <w:spacing w:after="0" w:line="300" w:lineRule="atLeast"/>
              <w:ind w:left="357" w:hanging="1066"/>
              <w:jc w:val="both"/>
              <w:rPr>
                <w:rFonts w:ascii="Times New Roman" w:eastAsia="Times New Roman" w:hAnsi="Times New Roman" w:cs="Times New Roman"/>
                <w:b/>
                <w:color w:val="2E74B5"/>
                <w:sz w:val="24"/>
                <w:szCs w:val="24"/>
                <w:lang w:eastAsia="pl-PL"/>
              </w:rPr>
            </w:pPr>
            <w:r w:rsidRPr="007F400A">
              <w:rPr>
                <w:rFonts w:ascii="Times New Roman" w:eastAsia="Times New Roman" w:hAnsi="Times New Roman" w:cs="Times New Roman"/>
                <w:b/>
                <w:color w:val="2E74B5"/>
                <w:sz w:val="24"/>
                <w:szCs w:val="24"/>
                <w:lang w:eastAsia="pl-PL"/>
              </w:rPr>
              <w:t xml:space="preserve">4.5  </w:t>
            </w:r>
            <w:r w:rsidRPr="007F400A">
              <w:rPr>
                <w:rFonts w:ascii="Times New Roman" w:eastAsia="Times New Roman" w:hAnsi="Times New Roman" w:cs="Times New Roman"/>
                <w:b/>
                <w:sz w:val="24"/>
                <w:szCs w:val="24"/>
                <w:lang w:eastAsia="pl-PL"/>
              </w:rPr>
              <w:t>R5.5 Republika Słowacka</w:t>
            </w:r>
          </w:p>
          <w:p w14:paraId="7B24F4DE" w14:textId="77777777" w:rsidR="00895F16" w:rsidRPr="007F400A" w:rsidRDefault="00895F16" w:rsidP="00D80FBD">
            <w:pPr>
              <w:spacing w:after="120" w:line="300" w:lineRule="atLeast"/>
              <w:jc w:val="both"/>
              <w:rPr>
                <w:rFonts w:ascii="Times New Roman" w:eastAsia="Times New Roman" w:hAnsi="Times New Roman" w:cs="Times New Roman"/>
                <w:color w:val="2E74B5"/>
                <w:sz w:val="24"/>
                <w:szCs w:val="24"/>
                <w:lang w:eastAsia="pl-PL"/>
              </w:rPr>
            </w:pPr>
          </w:p>
        </w:tc>
        <w:tc>
          <w:tcPr>
            <w:tcW w:w="3176" w:type="dxa"/>
          </w:tcPr>
          <w:p w14:paraId="53D2F54A" w14:textId="21C6596D" w:rsidR="00895F16" w:rsidRPr="007F400A" w:rsidRDefault="00895F16" w:rsidP="00D80FBD">
            <w:pPr>
              <w:tabs>
                <w:tab w:val="left" w:pos="4593"/>
              </w:tabs>
              <w:spacing w:after="120" w:line="300" w:lineRule="atLeast"/>
              <w:ind w:left="34" w:right="3074" w:hanging="34"/>
              <w:jc w:val="right"/>
              <w:rPr>
                <w:rFonts w:ascii="Times New Roman" w:eastAsia="Times New Roman" w:hAnsi="Times New Roman" w:cs="Times New Roman"/>
                <w:color w:val="2E74B5"/>
                <w:sz w:val="24"/>
                <w:szCs w:val="24"/>
                <w:lang w:eastAsia="pl-PL"/>
              </w:rPr>
            </w:pPr>
            <w:r w:rsidRPr="007F400A">
              <w:rPr>
                <w:rFonts w:ascii="Times New Roman" w:eastAsia="Times New Roman" w:hAnsi="Times New Roman" w:cs="Times New Roman"/>
                <w:color w:val="2E74B5"/>
                <w:sz w:val="24"/>
                <w:szCs w:val="24"/>
                <w:lang w:eastAsia="pl-PL"/>
              </w:rPr>
              <w:t xml:space="preserve">  </w:t>
            </w:r>
            <w:r w:rsidR="00D33209" w:rsidRPr="007F400A">
              <w:rPr>
                <w:rFonts w:ascii="Times New Roman" w:eastAsia="Calibri" w:hAnsi="Times New Roman" w:cs="Times New Roman"/>
                <w:sz w:val="20"/>
                <w:szCs w:val="20"/>
                <w:lang w:eastAsia="pl-PL"/>
              </w:rPr>
              <w:object w:dxaOrig="1905" w:dyaOrig="1215" w14:anchorId="4C733CE8">
                <v:shape id="_x0000_i1027" type="#_x0000_t75" alt="flaga słowacka" style="width:1in;height:43.5pt;mso-position-horizontal:absolute" o:ole="">
                  <v:imagedata r:id="rId247" o:title=""/>
                </v:shape>
                <o:OLEObject Type="Embed" ProgID="PBrush" ShapeID="_x0000_i1027" DrawAspect="Content" ObjectID="_1763979319" r:id="rId248"/>
              </w:object>
            </w:r>
          </w:p>
        </w:tc>
      </w:tr>
    </w:tbl>
    <w:p w14:paraId="5AA7DBC2" w14:textId="18C631A8" w:rsidR="00895F16" w:rsidRPr="008D6F94" w:rsidRDefault="008D6F94" w:rsidP="00D80FBD">
      <w:pPr>
        <w:spacing w:before="120" w:after="0" w:line="300" w:lineRule="atLeast"/>
        <w:ind w:firstLine="567"/>
        <w:jc w:val="both"/>
        <w:rPr>
          <w:rFonts w:ascii="Times New Roman" w:hAnsi="Times New Roman" w:cs="Times New Roman"/>
          <w:sz w:val="24"/>
          <w:szCs w:val="24"/>
        </w:rPr>
      </w:pPr>
      <w:r w:rsidRPr="008D6F94">
        <w:rPr>
          <w:rFonts w:ascii="Times New Roman" w:hAnsi="Times New Roman" w:cs="Times New Roman"/>
          <w:sz w:val="24"/>
          <w:szCs w:val="24"/>
        </w:rPr>
        <w:t xml:space="preserve">Kontynuowano udział w polsko-słowackiej grupie roboczej ds. ochrony wód granicznych przed zanieczyszczeniem, działającej w ramach Polsko-Słowackiej Komisji ds. Wód Granicznych. Współpracując ze stroną słowacką, zrealizowano wspólne badania jakości wód na trzech rzekach granicznych. Opracowano wspólne sprawozdanie o stanie jakości wód granicznych za 2021 rok oraz współpracowano przy sporządzaniu opinii odnośnie realizacji </w:t>
      </w:r>
      <w:r w:rsidRPr="008D6F94">
        <w:rPr>
          <w:rFonts w:ascii="Times New Roman" w:hAnsi="Times New Roman" w:cs="Times New Roman"/>
          <w:sz w:val="24"/>
          <w:szCs w:val="24"/>
        </w:rPr>
        <w:lastRenderedPageBreak/>
        <w:t>mogących mieć wpływ na wody graniczne inwestycji w strefie przygranicznej. Wiązało się to z uczestnictwem, w trybie on-line, w 31. naradzie ww. grupy, gdzie omówiono także zrealizowane i planowane działania. Uczestniczono też w XXII Naradzie Polsko-Słowackiej Komisji ds. wód granicznych</w:t>
      </w:r>
      <w:r w:rsidR="00895F16" w:rsidRPr="008D6F94">
        <w:rPr>
          <w:rFonts w:ascii="Times New Roman" w:hAnsi="Times New Roman" w:cs="Times New Roman"/>
          <w:sz w:val="24"/>
          <w:szCs w:val="24"/>
        </w:rPr>
        <w:t>.</w:t>
      </w:r>
    </w:p>
    <w:p w14:paraId="4ABC1277" w14:textId="697757F7" w:rsidR="00AD4299" w:rsidRDefault="00AD4299" w:rsidP="00D80FBD">
      <w:pPr>
        <w:spacing w:line="300" w:lineRule="atLeast"/>
        <w:rPr>
          <w:rFonts w:ascii="Times New Roman" w:eastAsia="Calibri" w:hAnsi="Times New Roman" w:cs="Times New Roman"/>
          <w:sz w:val="24"/>
          <w:szCs w:val="24"/>
          <w:lang w:val="x-none" w:eastAsia="pl-PL"/>
        </w:rPr>
      </w:pPr>
    </w:p>
    <w:tbl>
      <w:tblPr>
        <w:tblW w:w="9072" w:type="dxa"/>
        <w:tblLook w:val="04A0" w:firstRow="1" w:lastRow="0" w:firstColumn="1" w:lastColumn="0" w:noHBand="0" w:noVBand="1"/>
      </w:tblPr>
      <w:tblGrid>
        <w:gridCol w:w="6345"/>
        <w:gridCol w:w="2727"/>
      </w:tblGrid>
      <w:tr w:rsidR="00895F16" w:rsidRPr="007F400A" w14:paraId="11DC350A" w14:textId="77777777" w:rsidTr="00895F16">
        <w:tc>
          <w:tcPr>
            <w:tcW w:w="6345" w:type="dxa"/>
            <w:vAlign w:val="center"/>
          </w:tcPr>
          <w:p w14:paraId="71B9D8CF" w14:textId="77777777" w:rsidR="00895F16" w:rsidRPr="007F400A" w:rsidRDefault="00895F16" w:rsidP="00D80FBD">
            <w:pPr>
              <w:spacing w:after="0" w:line="300" w:lineRule="atLeast"/>
              <w:jc w:val="both"/>
              <w:rPr>
                <w:rFonts w:ascii="Times New Roman" w:eastAsia="Calibri" w:hAnsi="Times New Roman" w:cs="Times New Roman"/>
                <w:b/>
                <w:sz w:val="24"/>
                <w:szCs w:val="24"/>
                <w:lang w:eastAsia="pl-PL"/>
              </w:rPr>
            </w:pPr>
            <w:r w:rsidRPr="007F400A">
              <w:rPr>
                <w:rFonts w:ascii="Times New Roman" w:eastAsia="Calibri" w:hAnsi="Times New Roman" w:cs="Times New Roman"/>
                <w:b/>
                <w:sz w:val="24"/>
                <w:szCs w:val="24"/>
                <w:lang w:eastAsia="pl-PL"/>
              </w:rPr>
              <w:t>5.6 Ukraina</w:t>
            </w:r>
          </w:p>
          <w:p w14:paraId="01BF81D4" w14:textId="77777777" w:rsidR="00895F16" w:rsidRPr="007F400A" w:rsidRDefault="00895F16" w:rsidP="00D80FBD">
            <w:pPr>
              <w:spacing w:after="0" w:line="300" w:lineRule="atLeast"/>
              <w:jc w:val="both"/>
              <w:rPr>
                <w:rFonts w:ascii="Times New Roman" w:eastAsia="Calibri" w:hAnsi="Times New Roman" w:cs="Times New Roman"/>
                <w:color w:val="2E74B5"/>
                <w:sz w:val="24"/>
                <w:szCs w:val="24"/>
                <w:lang w:eastAsia="pl-PL"/>
              </w:rPr>
            </w:pPr>
          </w:p>
        </w:tc>
        <w:tc>
          <w:tcPr>
            <w:tcW w:w="2727" w:type="dxa"/>
          </w:tcPr>
          <w:p w14:paraId="2AE4429C" w14:textId="77777777" w:rsidR="00895F16" w:rsidRPr="007F400A" w:rsidRDefault="00895F16" w:rsidP="00D80FBD">
            <w:pPr>
              <w:spacing w:after="0" w:line="300" w:lineRule="atLeast"/>
              <w:ind w:right="825"/>
              <w:jc w:val="both"/>
              <w:rPr>
                <w:rFonts w:ascii="Times New Roman" w:eastAsia="Calibri" w:hAnsi="Times New Roman" w:cs="Times New Roman"/>
                <w:color w:val="2E74B5"/>
                <w:sz w:val="24"/>
                <w:szCs w:val="24"/>
                <w:lang w:eastAsia="pl-PL"/>
              </w:rPr>
            </w:pPr>
            <w:r w:rsidRPr="007F400A">
              <w:rPr>
                <w:rFonts w:ascii="Times New Roman" w:eastAsia="Calibri" w:hAnsi="Times New Roman" w:cs="Times New Roman"/>
                <w:noProof/>
                <w:color w:val="2E74B5"/>
                <w:sz w:val="24"/>
                <w:szCs w:val="24"/>
                <w:lang w:eastAsia="pl-PL"/>
              </w:rPr>
              <w:drawing>
                <wp:inline distT="0" distB="0" distL="0" distR="0" wp14:anchorId="3072B331" wp14:editId="02F2FBDC">
                  <wp:extent cx="838200" cy="552450"/>
                  <wp:effectExtent l="19050" t="19050" r="19050" b="19050"/>
                  <wp:docPr id="69" name="Obraz 69" descr="flaga ukraińska">
                    <a:hlinkClick xmlns:a="http://schemas.openxmlformats.org/drawingml/2006/main" r:id="rId249" tooltip="Flaga Ukrainy"/>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Obraz 69" descr="flaga ukraińska">
                            <a:hlinkClick r:id="rId249" tooltip="Flaga Ukrainy"/>
                          </pic:cNvPr>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838200" cy="552450"/>
                          </a:xfrm>
                          <a:prstGeom prst="rect">
                            <a:avLst/>
                          </a:prstGeom>
                          <a:noFill/>
                          <a:ln w="6350" cmpd="sng">
                            <a:solidFill>
                              <a:srgbClr val="000000"/>
                            </a:solidFill>
                            <a:miter lim="800000"/>
                            <a:headEnd/>
                            <a:tailEnd/>
                          </a:ln>
                          <a:effectLst/>
                        </pic:spPr>
                      </pic:pic>
                    </a:graphicData>
                  </a:graphic>
                </wp:inline>
              </w:drawing>
            </w:r>
          </w:p>
        </w:tc>
      </w:tr>
    </w:tbl>
    <w:p w14:paraId="329ADC43" w14:textId="5EFE210E" w:rsidR="00895F16" w:rsidRPr="007F400A" w:rsidRDefault="008D6F94" w:rsidP="00D80FBD">
      <w:pPr>
        <w:spacing w:before="120" w:after="0" w:line="300" w:lineRule="atLeast"/>
        <w:ind w:firstLine="567"/>
        <w:jc w:val="both"/>
        <w:rPr>
          <w:rFonts w:ascii="Times New Roman" w:eastAsia="Calibri" w:hAnsi="Times New Roman" w:cs="Times New Roman"/>
          <w:sz w:val="24"/>
          <w:szCs w:val="24"/>
          <w:lang w:eastAsia="pl-PL"/>
        </w:rPr>
      </w:pPr>
      <w:r w:rsidRPr="009B33C7">
        <w:rPr>
          <w:rFonts w:ascii="Times New Roman" w:eastAsia="Calibri" w:hAnsi="Times New Roman" w:cs="Times New Roman"/>
          <w:sz w:val="24"/>
          <w:szCs w:val="24"/>
        </w:rPr>
        <w:t>Kontynuowano prace w grupie roboczej do spraw ochrony wód granicznych przed zanieczyszczeniem, działającej w ramach Polsko - Ukraińskiej Komisji do Spraw Wód Granicznych. Badania monitoringowe realizowano w dziewięciu transgranicznych</w:t>
      </w:r>
      <w:r>
        <w:rPr>
          <w:rFonts w:ascii="Times New Roman" w:eastAsia="Calibri" w:hAnsi="Times New Roman" w:cs="Times New Roman"/>
          <w:sz w:val="24"/>
          <w:szCs w:val="24"/>
        </w:rPr>
        <w:t>,</w:t>
      </w:r>
      <w:r w:rsidRPr="009B33C7">
        <w:rPr>
          <w:rFonts w:ascii="Times New Roman" w:eastAsia="Calibri" w:hAnsi="Times New Roman" w:cs="Times New Roman"/>
          <w:sz w:val="24"/>
          <w:szCs w:val="24"/>
        </w:rPr>
        <w:t xml:space="preserve"> jednolitych częściach wód, w tym w trzech nowych, oraz w rozszerzonym zakresie i częstotliwości prowadzonych badań</w:t>
      </w:r>
      <w:r w:rsidRPr="00AA0413">
        <w:rPr>
          <w:rFonts w:ascii="Times New Roman" w:eastAsia="Calibri" w:hAnsi="Times New Roman" w:cs="Times New Roman"/>
          <w:sz w:val="24"/>
          <w:szCs w:val="24"/>
        </w:rPr>
        <w:t>.</w:t>
      </w:r>
      <w:r w:rsidRPr="009B33C7">
        <w:rPr>
          <w:rFonts w:ascii="Times New Roman" w:eastAsia="Calibri" w:hAnsi="Times New Roman" w:cs="Times New Roman"/>
          <w:sz w:val="24"/>
          <w:szCs w:val="24"/>
        </w:rPr>
        <w:t xml:space="preserve"> Sporządzono ocenę jakości wód według ustalonych kryteriów. Na XX posiedzeniu Komisji przedstawiono zadania zrealizowane przez grupę oraz zatwierdzono plan pracy na rok następny, któr</w:t>
      </w:r>
      <w:r w:rsidR="00031938">
        <w:rPr>
          <w:rFonts w:ascii="Times New Roman" w:eastAsia="Calibri" w:hAnsi="Times New Roman" w:cs="Times New Roman"/>
          <w:sz w:val="24"/>
          <w:szCs w:val="24"/>
        </w:rPr>
        <w:t>y</w:t>
      </w:r>
      <w:r w:rsidRPr="009B33C7">
        <w:rPr>
          <w:rFonts w:ascii="Times New Roman" w:eastAsia="Calibri" w:hAnsi="Times New Roman" w:cs="Times New Roman"/>
          <w:sz w:val="24"/>
          <w:szCs w:val="24"/>
        </w:rPr>
        <w:t xml:space="preserve"> zmierza do prowadzenia monitoringu  i sporządzania ocen zgodnie z Ramową Dyrektywą Wodną</w:t>
      </w:r>
      <w:r w:rsidR="00895F16" w:rsidRPr="007F400A">
        <w:rPr>
          <w:rFonts w:ascii="Times New Roman" w:eastAsia="Calibri" w:hAnsi="Times New Roman" w:cs="Times New Roman"/>
          <w:sz w:val="24"/>
          <w:szCs w:val="24"/>
          <w:lang w:eastAsia="pl-PL"/>
        </w:rPr>
        <w:t>.</w:t>
      </w:r>
    </w:p>
    <w:p w14:paraId="0B05F47C" w14:textId="5EF5F0A6" w:rsidR="00895F16" w:rsidRPr="009A6BDD" w:rsidRDefault="00895F16" w:rsidP="00D80FBD">
      <w:pPr>
        <w:pStyle w:val="Nagwek1"/>
        <w:spacing w:line="300" w:lineRule="atLeast"/>
        <w:rPr>
          <w:bCs w:val="0"/>
        </w:rPr>
      </w:pPr>
      <w:r w:rsidRPr="007F400A">
        <w:rPr>
          <w:rFonts w:eastAsia="Calibri"/>
          <w:lang w:eastAsia="pl-PL"/>
        </w:rPr>
        <w:br w:type="page"/>
      </w:r>
      <w:bookmarkStart w:id="479" w:name="_Toc135935742"/>
      <w:bookmarkEnd w:id="442"/>
      <w:r w:rsidRPr="009A6BDD">
        <w:rPr>
          <w:bCs w:val="0"/>
        </w:rPr>
        <w:lastRenderedPageBreak/>
        <w:t>I</w:t>
      </w:r>
      <w:r w:rsidR="008B45D7" w:rsidRPr="009A6BDD">
        <w:rPr>
          <w:bCs w:val="0"/>
        </w:rPr>
        <w:t>X</w:t>
      </w:r>
      <w:r w:rsidRPr="009A6BDD">
        <w:rPr>
          <w:bCs w:val="0"/>
        </w:rPr>
        <w:t xml:space="preserve"> ASPEKTY ORGANIZACYJNE, PRAWNE I EKONOMICZNE</w:t>
      </w:r>
      <w:bookmarkEnd w:id="479"/>
    </w:p>
    <w:p w14:paraId="7E80E0FB" w14:textId="77777777" w:rsidR="00895F16" w:rsidRPr="007F400A" w:rsidRDefault="00895F16" w:rsidP="00D80FBD">
      <w:pPr>
        <w:keepNext/>
        <w:spacing w:after="0" w:line="300" w:lineRule="atLeast"/>
        <w:jc w:val="both"/>
        <w:outlineLvl w:val="0"/>
        <w:rPr>
          <w:rFonts w:ascii="Times New Roman" w:eastAsia="Times New Roman" w:hAnsi="Times New Roman" w:cs="Times New Roman"/>
          <w:b/>
          <w:bCs/>
          <w:sz w:val="24"/>
          <w:szCs w:val="24"/>
          <w:lang w:eastAsia="x-none"/>
        </w:rPr>
      </w:pPr>
    </w:p>
    <w:p w14:paraId="3143F645" w14:textId="6BECD51E" w:rsidR="00895F16" w:rsidRPr="007F400A" w:rsidRDefault="00895F16" w:rsidP="00D80FBD">
      <w:pPr>
        <w:keepNext/>
        <w:spacing w:after="120" w:line="300" w:lineRule="atLeast"/>
        <w:jc w:val="both"/>
        <w:outlineLvl w:val="0"/>
        <w:rPr>
          <w:rFonts w:ascii="Times New Roman" w:eastAsia="Times New Roman" w:hAnsi="Times New Roman" w:cs="Times New Roman"/>
          <w:b/>
          <w:bCs/>
          <w:sz w:val="24"/>
          <w:szCs w:val="24"/>
          <w:lang w:eastAsia="x-none"/>
        </w:rPr>
      </w:pPr>
      <w:bookmarkStart w:id="480" w:name="_Toc135935743"/>
      <w:bookmarkStart w:id="481" w:name="_Toc36732665"/>
      <w:r w:rsidRPr="007F400A">
        <w:rPr>
          <w:rFonts w:ascii="Times New Roman" w:eastAsia="Times New Roman" w:hAnsi="Times New Roman" w:cs="Times New Roman"/>
          <w:b/>
          <w:bCs/>
          <w:sz w:val="24"/>
          <w:szCs w:val="24"/>
          <w:lang w:val="x-none" w:eastAsia="x-none"/>
        </w:rPr>
        <w:t xml:space="preserve">1. </w:t>
      </w:r>
      <w:r w:rsidRPr="007F400A">
        <w:rPr>
          <w:rFonts w:ascii="Times New Roman" w:eastAsia="Times New Roman" w:hAnsi="Times New Roman" w:cs="Times New Roman"/>
          <w:b/>
          <w:bCs/>
          <w:sz w:val="24"/>
          <w:szCs w:val="24"/>
          <w:lang w:eastAsia="x-none"/>
        </w:rPr>
        <w:t>Zmiany</w:t>
      </w:r>
      <w:r w:rsidRPr="007F400A">
        <w:rPr>
          <w:rFonts w:ascii="Times New Roman" w:eastAsia="Times New Roman" w:hAnsi="Times New Roman" w:cs="Times New Roman"/>
          <w:b/>
          <w:bCs/>
          <w:sz w:val="24"/>
          <w:szCs w:val="24"/>
          <w:lang w:val="x-none" w:eastAsia="x-none"/>
        </w:rPr>
        <w:t xml:space="preserve"> w organizacji I</w:t>
      </w:r>
      <w:r w:rsidRPr="007F400A">
        <w:rPr>
          <w:rFonts w:ascii="Times New Roman" w:eastAsia="Times New Roman" w:hAnsi="Times New Roman" w:cs="Times New Roman"/>
          <w:b/>
          <w:bCs/>
          <w:sz w:val="24"/>
          <w:szCs w:val="24"/>
          <w:lang w:eastAsia="x-none"/>
        </w:rPr>
        <w:t>nspek</w:t>
      </w:r>
      <w:r w:rsidR="00F57294">
        <w:rPr>
          <w:rFonts w:ascii="Times New Roman" w:eastAsia="Times New Roman" w:hAnsi="Times New Roman" w:cs="Times New Roman"/>
          <w:b/>
          <w:bCs/>
          <w:sz w:val="24"/>
          <w:szCs w:val="24"/>
          <w:lang w:eastAsia="x-none"/>
        </w:rPr>
        <w:t>cji</w:t>
      </w:r>
      <w:r w:rsidRPr="007F400A">
        <w:rPr>
          <w:rFonts w:ascii="Times New Roman" w:eastAsia="Times New Roman" w:hAnsi="Times New Roman" w:cs="Times New Roman"/>
          <w:b/>
          <w:bCs/>
          <w:sz w:val="24"/>
          <w:szCs w:val="24"/>
          <w:lang w:eastAsia="x-none"/>
        </w:rPr>
        <w:t xml:space="preserve"> </w:t>
      </w:r>
      <w:r w:rsidRPr="007F400A">
        <w:rPr>
          <w:rFonts w:ascii="Times New Roman" w:eastAsia="Times New Roman" w:hAnsi="Times New Roman" w:cs="Times New Roman"/>
          <w:b/>
          <w:bCs/>
          <w:sz w:val="24"/>
          <w:szCs w:val="24"/>
          <w:lang w:val="x-none" w:eastAsia="x-none"/>
        </w:rPr>
        <w:t>O</w:t>
      </w:r>
      <w:r w:rsidRPr="007F400A">
        <w:rPr>
          <w:rFonts w:ascii="Times New Roman" w:eastAsia="Times New Roman" w:hAnsi="Times New Roman" w:cs="Times New Roman"/>
          <w:b/>
          <w:bCs/>
          <w:sz w:val="24"/>
          <w:szCs w:val="24"/>
          <w:lang w:eastAsia="x-none"/>
        </w:rPr>
        <w:t xml:space="preserve">chrony </w:t>
      </w:r>
      <w:r w:rsidRPr="007F400A">
        <w:rPr>
          <w:rFonts w:ascii="Times New Roman" w:eastAsia="Times New Roman" w:hAnsi="Times New Roman" w:cs="Times New Roman"/>
          <w:b/>
          <w:bCs/>
          <w:sz w:val="24"/>
          <w:szCs w:val="24"/>
          <w:lang w:val="x-none" w:eastAsia="x-none"/>
        </w:rPr>
        <w:t>Ś</w:t>
      </w:r>
      <w:r w:rsidRPr="007F400A">
        <w:rPr>
          <w:rFonts w:ascii="Times New Roman" w:eastAsia="Times New Roman" w:hAnsi="Times New Roman" w:cs="Times New Roman"/>
          <w:b/>
          <w:bCs/>
          <w:sz w:val="24"/>
          <w:szCs w:val="24"/>
          <w:lang w:eastAsia="x-none"/>
        </w:rPr>
        <w:t>rodowiska</w:t>
      </w:r>
      <w:bookmarkEnd w:id="480"/>
      <w:r w:rsidRPr="007F400A">
        <w:rPr>
          <w:rFonts w:ascii="Times New Roman" w:eastAsia="Times New Roman" w:hAnsi="Times New Roman" w:cs="Times New Roman"/>
          <w:b/>
          <w:bCs/>
          <w:sz w:val="24"/>
          <w:szCs w:val="24"/>
          <w:lang w:eastAsia="x-none"/>
        </w:rPr>
        <w:t xml:space="preserve"> </w:t>
      </w:r>
    </w:p>
    <w:bookmarkEnd w:id="481"/>
    <w:p w14:paraId="174B7CED" w14:textId="7273AB23" w:rsidR="00895F16" w:rsidRDefault="00895F16" w:rsidP="00D80FBD">
      <w:pPr>
        <w:spacing w:after="0" w:line="300" w:lineRule="atLeast"/>
        <w:ind w:firstLine="567"/>
        <w:jc w:val="both"/>
        <w:rPr>
          <w:rFonts w:ascii="Times New Roman" w:eastAsia="Calibri" w:hAnsi="Times New Roman" w:cs="Times New Roman"/>
          <w:b/>
          <w:color w:val="000000" w:themeColor="text1"/>
          <w:sz w:val="24"/>
          <w:szCs w:val="24"/>
          <w:lang w:eastAsia="pl-PL"/>
        </w:rPr>
      </w:pPr>
      <w:r w:rsidRPr="001A0E14">
        <w:rPr>
          <w:rFonts w:ascii="Times New Roman" w:hAnsi="Times New Roman" w:cs="Times New Roman"/>
          <w:color w:val="000000" w:themeColor="text1"/>
          <w:sz w:val="24"/>
          <w:szCs w:val="24"/>
        </w:rPr>
        <w:t>W 202</w:t>
      </w:r>
      <w:r w:rsidR="00811286">
        <w:rPr>
          <w:rFonts w:ascii="Times New Roman" w:hAnsi="Times New Roman" w:cs="Times New Roman"/>
          <w:color w:val="000000" w:themeColor="text1"/>
          <w:sz w:val="24"/>
          <w:szCs w:val="24"/>
        </w:rPr>
        <w:t>2</w:t>
      </w:r>
      <w:r w:rsidRPr="001A0E14">
        <w:rPr>
          <w:rFonts w:ascii="Times New Roman" w:hAnsi="Times New Roman" w:cs="Times New Roman"/>
          <w:color w:val="000000" w:themeColor="text1"/>
          <w:sz w:val="24"/>
          <w:szCs w:val="24"/>
        </w:rPr>
        <w:t xml:space="preserve"> r., rozporządzeni</w:t>
      </w:r>
      <w:r w:rsidR="00D84C10">
        <w:rPr>
          <w:rFonts w:ascii="Times New Roman" w:hAnsi="Times New Roman" w:cs="Times New Roman"/>
          <w:color w:val="000000" w:themeColor="text1"/>
          <w:sz w:val="24"/>
          <w:szCs w:val="24"/>
        </w:rPr>
        <w:t>em</w:t>
      </w:r>
      <w:r w:rsidRPr="001A0E14">
        <w:rPr>
          <w:rFonts w:ascii="Times New Roman" w:hAnsi="Times New Roman" w:cs="Times New Roman"/>
          <w:color w:val="000000" w:themeColor="text1"/>
          <w:sz w:val="24"/>
          <w:szCs w:val="24"/>
        </w:rPr>
        <w:t xml:space="preserve"> Prezesa Rady Ministrów z dnia </w:t>
      </w:r>
      <w:r w:rsidR="00D84C10">
        <w:rPr>
          <w:rFonts w:ascii="Times New Roman" w:hAnsi="Times New Roman" w:cs="Times New Roman"/>
          <w:color w:val="000000" w:themeColor="text1"/>
          <w:sz w:val="24"/>
          <w:szCs w:val="24"/>
        </w:rPr>
        <w:t>22</w:t>
      </w:r>
      <w:r w:rsidRPr="001A0E14">
        <w:rPr>
          <w:rFonts w:ascii="Times New Roman" w:hAnsi="Times New Roman" w:cs="Times New Roman"/>
          <w:color w:val="000000" w:themeColor="text1"/>
          <w:sz w:val="24"/>
          <w:szCs w:val="24"/>
        </w:rPr>
        <w:t xml:space="preserve"> </w:t>
      </w:r>
      <w:r w:rsidR="00D84C10">
        <w:rPr>
          <w:rFonts w:ascii="Times New Roman" w:hAnsi="Times New Roman" w:cs="Times New Roman"/>
          <w:color w:val="000000" w:themeColor="text1"/>
          <w:sz w:val="24"/>
          <w:szCs w:val="24"/>
        </w:rPr>
        <w:t>kwietnia</w:t>
      </w:r>
      <w:r w:rsidRPr="001A0E14">
        <w:rPr>
          <w:rFonts w:ascii="Times New Roman" w:hAnsi="Times New Roman" w:cs="Times New Roman"/>
          <w:color w:val="000000" w:themeColor="text1"/>
          <w:sz w:val="24"/>
          <w:szCs w:val="24"/>
        </w:rPr>
        <w:t xml:space="preserve"> 202</w:t>
      </w:r>
      <w:r w:rsidR="00D84C10">
        <w:rPr>
          <w:rFonts w:ascii="Times New Roman" w:hAnsi="Times New Roman" w:cs="Times New Roman"/>
          <w:color w:val="000000" w:themeColor="text1"/>
          <w:sz w:val="24"/>
          <w:szCs w:val="24"/>
        </w:rPr>
        <w:t>2</w:t>
      </w:r>
      <w:r w:rsidRPr="001A0E14">
        <w:rPr>
          <w:rFonts w:ascii="Times New Roman" w:hAnsi="Times New Roman" w:cs="Times New Roman"/>
          <w:color w:val="000000" w:themeColor="text1"/>
          <w:sz w:val="24"/>
          <w:szCs w:val="24"/>
        </w:rPr>
        <w:t xml:space="preserve"> r. zmieniającego rozporządzenie w sprawie nadania statutu Głównemu Inspektoratowi Ochrony Środowiska</w:t>
      </w:r>
      <w:r w:rsidR="00F57294">
        <w:rPr>
          <w:rStyle w:val="Odwoanieprzypisudolnego"/>
          <w:rFonts w:cs="Times New Roman"/>
          <w:color w:val="000000" w:themeColor="text1"/>
          <w:szCs w:val="24"/>
        </w:rPr>
        <w:footnoteReference w:id="122"/>
      </w:r>
      <w:r w:rsidRPr="001A0E14">
        <w:rPr>
          <w:rFonts w:ascii="Times New Roman" w:hAnsi="Times New Roman" w:cs="Times New Roman"/>
          <w:color w:val="000000" w:themeColor="text1"/>
          <w:sz w:val="24"/>
          <w:szCs w:val="24"/>
        </w:rPr>
        <w:t xml:space="preserve">, Głównemu Inspektoratowi został nadany nowy statut. W wyniku tego, </w:t>
      </w:r>
      <w:r w:rsidRPr="001A0E14">
        <w:rPr>
          <w:rFonts w:ascii="Times New Roman" w:hAnsi="Times New Roman" w:cs="Times New Roman"/>
          <w:color w:val="000000" w:themeColor="text1"/>
          <w:sz w:val="24"/>
          <w:szCs w:val="24"/>
        </w:rPr>
        <w:br/>
      </w:r>
      <w:r w:rsidR="005746A8">
        <w:rPr>
          <w:rFonts w:ascii="Times New Roman" w:eastAsia="Calibri" w:hAnsi="Times New Roman" w:cs="Times New Roman"/>
          <w:color w:val="000000" w:themeColor="text1"/>
          <w:sz w:val="24"/>
          <w:szCs w:val="24"/>
          <w:lang w:eastAsia="pl-PL"/>
        </w:rPr>
        <w:t xml:space="preserve">w czerwcu 2022 r., </w:t>
      </w:r>
      <w:r w:rsidRPr="001A0E14">
        <w:rPr>
          <w:rFonts w:ascii="Times New Roman" w:eastAsia="Calibri" w:hAnsi="Times New Roman" w:cs="Times New Roman"/>
          <w:color w:val="000000" w:themeColor="text1"/>
          <w:sz w:val="24"/>
          <w:szCs w:val="24"/>
          <w:lang w:eastAsia="pl-PL"/>
        </w:rPr>
        <w:t xml:space="preserve">w strukturze Głównego Inspektoratu Ochrony Środowiska </w:t>
      </w:r>
      <w:r w:rsidR="005746A8">
        <w:rPr>
          <w:rFonts w:ascii="Times New Roman" w:eastAsia="Calibri" w:hAnsi="Times New Roman" w:cs="Times New Roman"/>
          <w:color w:val="000000" w:themeColor="text1"/>
          <w:sz w:val="24"/>
          <w:szCs w:val="24"/>
          <w:lang w:eastAsia="pl-PL"/>
        </w:rPr>
        <w:t xml:space="preserve">wyodrębniony </w:t>
      </w:r>
      <w:r w:rsidRPr="001A0E14">
        <w:rPr>
          <w:rFonts w:ascii="Times New Roman" w:eastAsia="Calibri" w:hAnsi="Times New Roman" w:cs="Times New Roman"/>
          <w:color w:val="000000" w:themeColor="text1"/>
          <w:sz w:val="24"/>
          <w:szCs w:val="24"/>
          <w:lang w:eastAsia="pl-PL"/>
        </w:rPr>
        <w:t>został</w:t>
      </w:r>
      <w:r w:rsidR="00D84C10">
        <w:rPr>
          <w:rFonts w:ascii="Times New Roman" w:eastAsia="Calibri" w:hAnsi="Times New Roman" w:cs="Times New Roman"/>
          <w:color w:val="000000" w:themeColor="text1"/>
          <w:sz w:val="24"/>
          <w:szCs w:val="24"/>
          <w:lang w:eastAsia="pl-PL"/>
        </w:rPr>
        <w:t xml:space="preserve"> Departament Transgranicznego Przemieszczania Odpadów</w:t>
      </w:r>
      <w:r w:rsidRPr="001A0E14">
        <w:rPr>
          <w:rFonts w:ascii="Times New Roman" w:eastAsia="Calibri" w:hAnsi="Times New Roman" w:cs="Times New Roman"/>
          <w:color w:val="000000" w:themeColor="text1"/>
          <w:sz w:val="24"/>
          <w:szCs w:val="24"/>
          <w:lang w:eastAsia="pl-PL"/>
        </w:rPr>
        <w:t xml:space="preserve">, </w:t>
      </w:r>
      <w:r w:rsidR="00256BA6" w:rsidRPr="005746A8">
        <w:rPr>
          <w:rFonts w:ascii="Times New Roman" w:hAnsi="Times New Roman" w:cs="Times New Roman"/>
          <w:color w:val="000000"/>
          <w:sz w:val="24"/>
          <w:szCs w:val="24"/>
        </w:rPr>
        <w:t>któr</w:t>
      </w:r>
      <w:r w:rsidR="005746A8" w:rsidRPr="005746A8">
        <w:rPr>
          <w:rFonts w:ascii="Times New Roman" w:hAnsi="Times New Roman" w:cs="Times New Roman"/>
          <w:color w:val="000000"/>
          <w:sz w:val="24"/>
          <w:szCs w:val="24"/>
        </w:rPr>
        <w:t>ego</w:t>
      </w:r>
      <w:r w:rsidR="00256BA6" w:rsidRPr="005746A8">
        <w:rPr>
          <w:rFonts w:ascii="Times New Roman" w:hAnsi="Times New Roman" w:cs="Times New Roman"/>
          <w:color w:val="000000"/>
          <w:sz w:val="24"/>
          <w:szCs w:val="24"/>
        </w:rPr>
        <w:t xml:space="preserve"> </w:t>
      </w:r>
      <w:r w:rsidR="005746A8">
        <w:rPr>
          <w:rFonts w:ascii="Times New Roman" w:hAnsi="Times New Roman" w:cs="Times New Roman"/>
          <w:color w:val="000000"/>
          <w:sz w:val="24"/>
          <w:szCs w:val="24"/>
        </w:rPr>
        <w:t xml:space="preserve">głównym zadaniem jest zapewnienie </w:t>
      </w:r>
      <w:r w:rsidR="00256BA6" w:rsidRPr="005746A8">
        <w:rPr>
          <w:rFonts w:ascii="Times New Roman" w:hAnsi="Times New Roman" w:cs="Times New Roman"/>
          <w:color w:val="000000"/>
          <w:sz w:val="24"/>
          <w:szCs w:val="24"/>
        </w:rPr>
        <w:t>jeszcze bardziej skutecznego zwalczania naruszeń w obszarze międzynarodowego przemieszczania odpadów i zwiększenia nadzoru nad tym zjawiskiem, przy jednoczesnym uwzględnieniu założeń gospodarki o obiegu zamkniętym</w:t>
      </w:r>
      <w:r w:rsidRPr="005746A8">
        <w:rPr>
          <w:rFonts w:ascii="Times New Roman" w:hAnsi="Times New Roman" w:cs="Times New Roman"/>
          <w:color w:val="000000" w:themeColor="text1"/>
          <w:sz w:val="24"/>
          <w:szCs w:val="24"/>
          <w:shd w:val="clear" w:color="auto" w:fill="FFFFFF"/>
        </w:rPr>
        <w:t>.</w:t>
      </w:r>
      <w:r w:rsidRPr="001A0E14">
        <w:rPr>
          <w:rFonts w:ascii="Times New Roman" w:eastAsia="Calibri" w:hAnsi="Times New Roman" w:cs="Times New Roman"/>
          <w:b/>
          <w:color w:val="000000" w:themeColor="text1"/>
          <w:sz w:val="24"/>
          <w:szCs w:val="24"/>
          <w:lang w:eastAsia="pl-PL"/>
        </w:rPr>
        <w:t xml:space="preserve"> </w:t>
      </w:r>
    </w:p>
    <w:p w14:paraId="38E60F1C" w14:textId="7F70DAD7" w:rsidR="005746A8" w:rsidRDefault="005746A8" w:rsidP="00D80FBD">
      <w:pPr>
        <w:spacing w:after="0" w:line="300" w:lineRule="atLeast"/>
        <w:ind w:firstLine="567"/>
        <w:jc w:val="both"/>
        <w:rPr>
          <w:rFonts w:ascii="Times New Roman" w:hAnsi="Times New Roman" w:cs="Times New Roman"/>
          <w:color w:val="000000"/>
          <w:sz w:val="24"/>
          <w:szCs w:val="24"/>
        </w:rPr>
      </w:pPr>
      <w:r w:rsidRPr="005746A8">
        <w:rPr>
          <w:rFonts w:ascii="Times New Roman" w:hAnsi="Times New Roman" w:cs="Times New Roman"/>
          <w:color w:val="000000"/>
          <w:sz w:val="24"/>
          <w:szCs w:val="24"/>
        </w:rPr>
        <w:t xml:space="preserve">W strukturze DTPO powstały 4 wydziały: Wydział Zezwoleń na Transgraniczne Przemieszczanie Odpadów, Wydział Nielegalnego Przemieszczania Odpadów, Wydział Nielegalnego Przemieszczania Odpadów Pojazdów oraz Wydział Kar Pieniężnych. Ponadto </w:t>
      </w:r>
      <w:r w:rsidRPr="005746A8">
        <w:rPr>
          <w:rFonts w:ascii="Times New Roman" w:hAnsi="Times New Roman" w:cs="Times New Roman"/>
          <w:color w:val="000000"/>
          <w:sz w:val="24"/>
          <w:szCs w:val="24"/>
        </w:rPr>
        <w:br/>
        <w:t>w DTPO utworzono Zespół ds. Analiz Przemieszczania Odpadów, zajmujący się prowadzeniem analizy danych w zakresie gospodarowania odpadami oraz ich międzynarodowego obrotu</w:t>
      </w:r>
      <w:r>
        <w:rPr>
          <w:rFonts w:ascii="Times New Roman" w:hAnsi="Times New Roman" w:cs="Times New Roman"/>
          <w:color w:val="000000"/>
          <w:sz w:val="24"/>
          <w:szCs w:val="24"/>
        </w:rPr>
        <w:t xml:space="preserve">. </w:t>
      </w:r>
    </w:p>
    <w:p w14:paraId="27886E48" w14:textId="675067D7" w:rsidR="005746A8" w:rsidRDefault="00F57294" w:rsidP="00D80FBD">
      <w:pPr>
        <w:spacing w:after="0" w:line="300" w:lineRule="atLeast"/>
        <w:ind w:firstLine="567"/>
        <w:jc w:val="both"/>
        <w:rPr>
          <w:rFonts w:ascii="Times New Roman" w:eastAsia="Calibri" w:hAnsi="Times New Roman" w:cs="Times New Roman"/>
          <w:color w:val="000000" w:themeColor="text1"/>
          <w:sz w:val="24"/>
          <w:szCs w:val="24"/>
          <w:lang w:eastAsia="pl-PL"/>
        </w:rPr>
      </w:pPr>
      <w:r w:rsidRPr="00F57294">
        <w:rPr>
          <w:rFonts w:ascii="Times New Roman" w:eastAsia="Calibri" w:hAnsi="Times New Roman" w:cs="Times New Roman"/>
          <w:color w:val="000000" w:themeColor="text1"/>
          <w:sz w:val="24"/>
          <w:szCs w:val="24"/>
          <w:lang w:eastAsia="pl-PL"/>
        </w:rPr>
        <w:t>Istotn</w:t>
      </w:r>
      <w:r>
        <w:rPr>
          <w:rFonts w:ascii="Times New Roman" w:eastAsia="Calibri" w:hAnsi="Times New Roman" w:cs="Times New Roman"/>
          <w:color w:val="000000" w:themeColor="text1"/>
          <w:sz w:val="24"/>
          <w:szCs w:val="24"/>
          <w:lang w:eastAsia="pl-PL"/>
        </w:rPr>
        <w:t>ą</w:t>
      </w:r>
      <w:r w:rsidRPr="00F57294">
        <w:rPr>
          <w:rFonts w:ascii="Times New Roman" w:eastAsia="Calibri" w:hAnsi="Times New Roman" w:cs="Times New Roman"/>
          <w:color w:val="000000" w:themeColor="text1"/>
          <w:sz w:val="24"/>
          <w:szCs w:val="24"/>
          <w:lang w:eastAsia="pl-PL"/>
        </w:rPr>
        <w:t xml:space="preserve"> </w:t>
      </w:r>
      <w:r>
        <w:rPr>
          <w:rFonts w:ascii="Times New Roman" w:eastAsia="Calibri" w:hAnsi="Times New Roman" w:cs="Times New Roman"/>
          <w:color w:val="000000" w:themeColor="text1"/>
          <w:sz w:val="24"/>
          <w:szCs w:val="24"/>
          <w:lang w:eastAsia="pl-PL"/>
        </w:rPr>
        <w:t xml:space="preserve">zmianę z punktu widzenia organizacji i funkcjonowania Inspekcji Ochrony Środowiska przyniosło również </w:t>
      </w:r>
      <w:r w:rsidRPr="00F57294">
        <w:rPr>
          <w:rFonts w:ascii="Times New Roman" w:hAnsi="Times New Roman" w:cs="Times New Roman"/>
          <w:sz w:val="24"/>
          <w:szCs w:val="24"/>
        </w:rPr>
        <w:t>rozporządzeni</w:t>
      </w:r>
      <w:r w:rsidR="00764ADA">
        <w:rPr>
          <w:rFonts w:ascii="Times New Roman" w:hAnsi="Times New Roman" w:cs="Times New Roman"/>
          <w:sz w:val="24"/>
          <w:szCs w:val="24"/>
        </w:rPr>
        <w:t>e</w:t>
      </w:r>
      <w:r w:rsidRPr="00F57294">
        <w:rPr>
          <w:rFonts w:ascii="Times New Roman" w:hAnsi="Times New Roman" w:cs="Times New Roman"/>
          <w:sz w:val="24"/>
          <w:szCs w:val="24"/>
        </w:rPr>
        <w:t xml:space="preserve"> Ministra Klimatu i Środowiska z dnia 22 marca 2022</w:t>
      </w:r>
      <w:r w:rsidR="00F55542">
        <w:rPr>
          <w:rFonts w:ascii="Times New Roman" w:hAnsi="Times New Roman" w:cs="Times New Roman"/>
          <w:sz w:val="24"/>
          <w:szCs w:val="24"/>
        </w:rPr>
        <w:t xml:space="preserve"> </w:t>
      </w:r>
      <w:r w:rsidRPr="00F57294">
        <w:rPr>
          <w:rFonts w:ascii="Times New Roman" w:hAnsi="Times New Roman" w:cs="Times New Roman"/>
          <w:sz w:val="24"/>
          <w:szCs w:val="24"/>
        </w:rPr>
        <w:t>r. zmieniające rozporządzenie w sprawie zasad i sposobu organizacji wojewódzkich inspektoratów ochrony środowiska</w:t>
      </w:r>
      <w:r>
        <w:rPr>
          <w:rFonts w:ascii="Times New Roman" w:hAnsi="Times New Roman" w:cs="Times New Roman"/>
          <w:sz w:val="24"/>
          <w:szCs w:val="24"/>
        </w:rPr>
        <w:t xml:space="preserve"> oraz ich delegatur</w:t>
      </w:r>
      <w:r>
        <w:rPr>
          <w:rStyle w:val="Odwoanieprzypisudolnego"/>
          <w:rFonts w:cs="Times New Roman"/>
          <w:szCs w:val="24"/>
        </w:rPr>
        <w:footnoteReference w:id="123"/>
      </w:r>
      <w:r>
        <w:rPr>
          <w:rFonts w:ascii="Times New Roman" w:hAnsi="Times New Roman" w:cs="Times New Roman"/>
          <w:sz w:val="24"/>
          <w:szCs w:val="24"/>
        </w:rPr>
        <w:t xml:space="preserve">, </w:t>
      </w:r>
      <w:r w:rsidRPr="00F57294">
        <w:rPr>
          <w:rFonts w:ascii="Times New Roman" w:hAnsi="Times New Roman" w:cs="Times New Roman"/>
          <w:sz w:val="24"/>
          <w:szCs w:val="24"/>
        </w:rPr>
        <w:t xml:space="preserve">które umożliwiło </w:t>
      </w:r>
      <w:r>
        <w:rPr>
          <w:rFonts w:ascii="Times New Roman" w:hAnsi="Times New Roman" w:cs="Times New Roman"/>
          <w:sz w:val="24"/>
          <w:szCs w:val="24"/>
        </w:rPr>
        <w:t xml:space="preserve">wyodrębnienie </w:t>
      </w:r>
      <w:r>
        <w:rPr>
          <w:rFonts w:ascii="Times New Roman" w:hAnsi="Times New Roman" w:cs="Times New Roman"/>
          <w:sz w:val="24"/>
          <w:szCs w:val="24"/>
        </w:rPr>
        <w:br/>
        <w:t xml:space="preserve">w strukturach wojewódzkich inspektoratów ochrony środowiska </w:t>
      </w:r>
      <w:r w:rsidRPr="00F57294">
        <w:rPr>
          <w:rFonts w:ascii="Times New Roman" w:hAnsi="Times New Roman" w:cs="Times New Roman"/>
          <w:sz w:val="24"/>
          <w:szCs w:val="24"/>
        </w:rPr>
        <w:t>komórek dedykowan</w:t>
      </w:r>
      <w:r>
        <w:rPr>
          <w:rFonts w:ascii="Times New Roman" w:hAnsi="Times New Roman" w:cs="Times New Roman"/>
          <w:sz w:val="24"/>
          <w:szCs w:val="24"/>
        </w:rPr>
        <w:t>ych</w:t>
      </w:r>
      <w:r w:rsidRPr="00F57294">
        <w:rPr>
          <w:rFonts w:ascii="Times New Roman" w:hAnsi="Times New Roman" w:cs="Times New Roman"/>
          <w:sz w:val="24"/>
          <w:szCs w:val="24"/>
        </w:rPr>
        <w:t xml:space="preserve"> zwalczaniu przestępczości środowiskowej</w:t>
      </w:r>
      <w:r>
        <w:rPr>
          <w:rFonts w:ascii="Times New Roman" w:hAnsi="Times New Roman" w:cs="Times New Roman"/>
          <w:sz w:val="24"/>
          <w:szCs w:val="24"/>
        </w:rPr>
        <w:t xml:space="preserve">. Do końca 2022 r. Wydziały Zwalczania Przestępczości Środowiskowej powstały w WIOŚ </w:t>
      </w:r>
      <w:r w:rsidRPr="00F57294">
        <w:rPr>
          <w:rFonts w:ascii="Times New Roman" w:hAnsi="Times New Roman" w:cs="Times New Roman"/>
          <w:sz w:val="24"/>
          <w:szCs w:val="24"/>
        </w:rPr>
        <w:t>w Poznaniu, Gdańsku, Zielonej Górze, Wrocławiu, Kielcach, Opolu i Katowicach</w:t>
      </w:r>
      <w:r>
        <w:rPr>
          <w:rFonts w:ascii="Times New Roman" w:eastAsia="Calibri" w:hAnsi="Times New Roman" w:cs="Times New Roman"/>
          <w:color w:val="000000" w:themeColor="text1"/>
          <w:sz w:val="24"/>
          <w:szCs w:val="24"/>
          <w:lang w:eastAsia="pl-PL"/>
        </w:rPr>
        <w:t xml:space="preserve">. </w:t>
      </w:r>
    </w:p>
    <w:p w14:paraId="61FA1708" w14:textId="6E31BF9D" w:rsidR="00F57294" w:rsidRPr="009E799C" w:rsidRDefault="009E799C" w:rsidP="00D80FBD">
      <w:pPr>
        <w:spacing w:after="0" w:line="300" w:lineRule="atLeast"/>
        <w:ind w:firstLine="567"/>
        <w:jc w:val="both"/>
        <w:rPr>
          <w:rFonts w:ascii="Times New Roman" w:eastAsia="Calibri" w:hAnsi="Times New Roman" w:cs="Times New Roman"/>
          <w:color w:val="000000" w:themeColor="text1"/>
          <w:sz w:val="24"/>
          <w:szCs w:val="24"/>
          <w:lang w:eastAsia="pl-PL"/>
        </w:rPr>
      </w:pPr>
      <w:r>
        <w:rPr>
          <w:rFonts w:ascii="Times New Roman" w:hAnsi="Times New Roman" w:cs="Times New Roman"/>
          <w:sz w:val="24"/>
          <w:szCs w:val="24"/>
        </w:rPr>
        <w:t xml:space="preserve">Ponadto, w dniu </w:t>
      </w:r>
      <w:r w:rsidRPr="009E799C">
        <w:rPr>
          <w:rFonts w:ascii="Times New Roman" w:hAnsi="Times New Roman" w:cs="Times New Roman"/>
          <w:sz w:val="24"/>
          <w:szCs w:val="24"/>
        </w:rPr>
        <w:t xml:space="preserve">16.12.2022 r. </w:t>
      </w:r>
      <w:r>
        <w:rPr>
          <w:rFonts w:ascii="Times New Roman" w:hAnsi="Times New Roman" w:cs="Times New Roman"/>
          <w:sz w:val="24"/>
          <w:szCs w:val="24"/>
        </w:rPr>
        <w:t xml:space="preserve">w Krakowie, </w:t>
      </w:r>
      <w:r w:rsidRPr="009E799C">
        <w:rPr>
          <w:rFonts w:ascii="Times New Roman" w:hAnsi="Times New Roman" w:cs="Times New Roman"/>
          <w:sz w:val="24"/>
          <w:szCs w:val="24"/>
        </w:rPr>
        <w:t>rozpoczął działa</w:t>
      </w:r>
      <w:r>
        <w:rPr>
          <w:rFonts w:ascii="Times New Roman" w:hAnsi="Times New Roman" w:cs="Times New Roman"/>
          <w:sz w:val="24"/>
          <w:szCs w:val="24"/>
        </w:rPr>
        <w:t>lność</w:t>
      </w:r>
      <w:r w:rsidRPr="009E799C">
        <w:rPr>
          <w:rFonts w:ascii="Times New Roman" w:hAnsi="Times New Roman" w:cs="Times New Roman"/>
          <w:sz w:val="24"/>
          <w:szCs w:val="24"/>
        </w:rPr>
        <w:t xml:space="preserve"> pierwszy Zespół Terenowy </w:t>
      </w:r>
      <w:r w:rsidR="005104F1">
        <w:rPr>
          <w:rFonts w:ascii="Times New Roman" w:hAnsi="Times New Roman" w:cs="Times New Roman"/>
          <w:sz w:val="24"/>
          <w:szCs w:val="24"/>
        </w:rPr>
        <w:t xml:space="preserve">utworzony w strukturze </w:t>
      </w:r>
      <w:r w:rsidRPr="009E799C">
        <w:rPr>
          <w:rFonts w:ascii="Times New Roman" w:hAnsi="Times New Roman" w:cs="Times New Roman"/>
          <w:sz w:val="24"/>
          <w:szCs w:val="24"/>
        </w:rPr>
        <w:t xml:space="preserve">Departamentu Zwalczania Przestępczości Środowiskowej GIOŚ. </w:t>
      </w:r>
      <w:r w:rsidR="005104F1">
        <w:rPr>
          <w:rFonts w:ascii="Times New Roman" w:hAnsi="Times New Roman" w:cs="Times New Roman"/>
          <w:sz w:val="24"/>
          <w:szCs w:val="24"/>
        </w:rPr>
        <w:t>T</w:t>
      </w:r>
      <w:r w:rsidRPr="009E799C">
        <w:rPr>
          <w:rFonts w:ascii="Times New Roman" w:hAnsi="Times New Roman" w:cs="Times New Roman"/>
          <w:sz w:val="24"/>
          <w:szCs w:val="24"/>
        </w:rPr>
        <w:t xml:space="preserve">worzenie </w:t>
      </w:r>
      <w:r w:rsidR="005104F1">
        <w:rPr>
          <w:rFonts w:ascii="Times New Roman" w:hAnsi="Times New Roman" w:cs="Times New Roman"/>
          <w:sz w:val="24"/>
          <w:szCs w:val="24"/>
        </w:rPr>
        <w:t xml:space="preserve">tego typu </w:t>
      </w:r>
      <w:r w:rsidRPr="009E799C">
        <w:rPr>
          <w:rFonts w:ascii="Times New Roman" w:hAnsi="Times New Roman" w:cs="Times New Roman"/>
          <w:sz w:val="24"/>
          <w:szCs w:val="24"/>
        </w:rPr>
        <w:t xml:space="preserve">ogólnopolskich struktur ma </w:t>
      </w:r>
      <w:r w:rsidR="005104F1">
        <w:rPr>
          <w:rFonts w:ascii="Times New Roman" w:hAnsi="Times New Roman" w:cs="Times New Roman"/>
          <w:sz w:val="24"/>
          <w:szCs w:val="24"/>
        </w:rPr>
        <w:t xml:space="preserve">na celu </w:t>
      </w:r>
      <w:r w:rsidRPr="009E799C">
        <w:rPr>
          <w:rFonts w:ascii="Times New Roman" w:hAnsi="Times New Roman" w:cs="Times New Roman"/>
          <w:sz w:val="24"/>
          <w:szCs w:val="24"/>
        </w:rPr>
        <w:t>wsparcie wojewódzkich inspek</w:t>
      </w:r>
      <w:r w:rsidR="005104F1">
        <w:rPr>
          <w:rFonts w:ascii="Times New Roman" w:hAnsi="Times New Roman" w:cs="Times New Roman"/>
          <w:sz w:val="24"/>
          <w:szCs w:val="24"/>
        </w:rPr>
        <w:t>toratów</w:t>
      </w:r>
      <w:r w:rsidRPr="009E799C">
        <w:rPr>
          <w:rFonts w:ascii="Times New Roman" w:hAnsi="Times New Roman" w:cs="Times New Roman"/>
          <w:sz w:val="24"/>
          <w:szCs w:val="24"/>
        </w:rPr>
        <w:t xml:space="preserve"> w jeszcze skuteczniejszej walce o czyste środowisko</w:t>
      </w:r>
      <w:r w:rsidR="005104F1">
        <w:rPr>
          <w:rFonts w:ascii="Times New Roman" w:hAnsi="Times New Roman" w:cs="Times New Roman"/>
          <w:sz w:val="24"/>
          <w:szCs w:val="24"/>
        </w:rPr>
        <w:t>.</w:t>
      </w:r>
    </w:p>
    <w:p w14:paraId="46044AFE" w14:textId="77777777" w:rsidR="00895F16" w:rsidRPr="001A0E14" w:rsidRDefault="00895F16" w:rsidP="00D80FBD">
      <w:pPr>
        <w:spacing w:after="0" w:line="300" w:lineRule="atLeast"/>
        <w:jc w:val="both"/>
        <w:rPr>
          <w:rFonts w:ascii="Times New Roman" w:eastAsia="Calibri" w:hAnsi="Times New Roman" w:cs="Times New Roman"/>
          <w:color w:val="000000" w:themeColor="text1"/>
          <w:sz w:val="24"/>
          <w:szCs w:val="24"/>
          <w:lang w:eastAsia="pl-PL"/>
        </w:rPr>
      </w:pPr>
    </w:p>
    <w:p w14:paraId="2DBDC346" w14:textId="77777777" w:rsidR="00895F16" w:rsidRPr="001A0E14" w:rsidRDefault="00895F16" w:rsidP="00D80FBD">
      <w:pPr>
        <w:keepNext/>
        <w:spacing w:after="120" w:line="300" w:lineRule="atLeast"/>
        <w:outlineLvl w:val="0"/>
        <w:rPr>
          <w:rFonts w:ascii="Times New Roman" w:eastAsia="Times New Roman" w:hAnsi="Times New Roman" w:cs="Times New Roman"/>
          <w:b/>
          <w:bCs/>
          <w:color w:val="000000" w:themeColor="text1"/>
          <w:sz w:val="24"/>
          <w:szCs w:val="24"/>
          <w:lang w:val="x-none" w:eastAsia="x-none"/>
        </w:rPr>
      </w:pPr>
      <w:bookmarkStart w:id="482" w:name="_Toc36732666"/>
      <w:bookmarkStart w:id="483" w:name="_Toc135935744"/>
      <w:r w:rsidRPr="001A0E14">
        <w:rPr>
          <w:rFonts w:ascii="Times New Roman" w:eastAsia="Times New Roman" w:hAnsi="Times New Roman" w:cs="Times New Roman"/>
          <w:b/>
          <w:bCs/>
          <w:color w:val="000000" w:themeColor="text1"/>
          <w:sz w:val="24"/>
          <w:szCs w:val="24"/>
          <w:lang w:val="x-none" w:eastAsia="x-none"/>
        </w:rPr>
        <w:t>2. Charakterystyka udziału GIOŚ w pracach legislacyjnych</w:t>
      </w:r>
      <w:bookmarkEnd w:id="482"/>
      <w:bookmarkEnd w:id="483"/>
    </w:p>
    <w:p w14:paraId="79DD2563" w14:textId="77777777" w:rsidR="00B27D81" w:rsidRPr="001A0E14" w:rsidRDefault="00895F16" w:rsidP="00D80FBD">
      <w:pPr>
        <w:spacing w:after="60" w:line="300" w:lineRule="atLeast"/>
        <w:ind w:firstLine="567"/>
        <w:jc w:val="both"/>
        <w:rPr>
          <w:rFonts w:ascii="Times New Roman" w:eastAsia="Arial" w:hAnsi="Times New Roman" w:cs="Times New Roman"/>
          <w:color w:val="000000" w:themeColor="text1"/>
          <w:sz w:val="24"/>
          <w:szCs w:val="24"/>
        </w:rPr>
      </w:pPr>
      <w:r w:rsidRPr="001A0E14">
        <w:rPr>
          <w:rFonts w:ascii="Times New Roman" w:eastAsia="Calibri" w:hAnsi="Times New Roman" w:cs="Times New Roman"/>
          <w:color w:val="000000" w:themeColor="text1"/>
          <w:sz w:val="24"/>
          <w:szCs w:val="24"/>
          <w:lang w:eastAsia="pl-PL"/>
        </w:rPr>
        <w:tab/>
      </w:r>
      <w:r w:rsidR="00B27D81" w:rsidRPr="001A0E14">
        <w:rPr>
          <w:rFonts w:ascii="Times New Roman" w:hAnsi="Times New Roman" w:cs="Times New Roman"/>
          <w:color w:val="000000" w:themeColor="text1"/>
          <w:sz w:val="24"/>
          <w:szCs w:val="24"/>
          <w:lang w:eastAsia="pl-PL"/>
        </w:rPr>
        <w:t>Główny Inspektor Ochrony Środowiska uczestniczy w opiniowaniu i tworzeniu projektów aktów dokumentów rządowych, w tym ustaw, rozporządzeń, zarządzeń</w:t>
      </w:r>
      <w:r w:rsidR="00B27D81" w:rsidRPr="001A0E14">
        <w:rPr>
          <w:rFonts w:ascii="Times New Roman" w:eastAsia="Arial" w:hAnsi="Times New Roman" w:cs="Times New Roman"/>
          <w:color w:val="000000" w:themeColor="text1"/>
          <w:sz w:val="24"/>
          <w:szCs w:val="24"/>
        </w:rPr>
        <w:t>.</w:t>
      </w:r>
    </w:p>
    <w:p w14:paraId="33F04166" w14:textId="77777777" w:rsidR="00B27D81" w:rsidRPr="001A0E14" w:rsidRDefault="00B27D81" w:rsidP="00D80FBD">
      <w:pPr>
        <w:spacing w:after="60" w:line="300" w:lineRule="atLeast"/>
        <w:ind w:firstLine="567"/>
        <w:jc w:val="both"/>
        <w:rPr>
          <w:rFonts w:ascii="Times New Roman" w:eastAsia="Arial" w:hAnsi="Times New Roman" w:cs="Times New Roman"/>
          <w:color w:val="000000" w:themeColor="text1"/>
          <w:sz w:val="24"/>
          <w:szCs w:val="24"/>
        </w:rPr>
      </w:pPr>
      <w:r w:rsidRPr="001A0E14">
        <w:rPr>
          <w:rFonts w:ascii="Times New Roman" w:eastAsia="Arial" w:hAnsi="Times New Roman" w:cs="Times New Roman"/>
          <w:color w:val="000000" w:themeColor="text1"/>
          <w:sz w:val="24"/>
          <w:szCs w:val="24"/>
        </w:rPr>
        <w:t>W 2022 r. Główny Inspektor Ochrony Środowiska w ramach uzgodnień zaopiniował 297 projektów aktów prawnych.</w:t>
      </w:r>
    </w:p>
    <w:p w14:paraId="1512E83E" w14:textId="2F1EB306" w:rsidR="00895F16" w:rsidRPr="001A0E14" w:rsidRDefault="003877CA" w:rsidP="00D80FBD">
      <w:pPr>
        <w:spacing w:after="60" w:line="300" w:lineRule="atLeast"/>
        <w:ind w:firstLine="567"/>
        <w:jc w:val="both"/>
        <w:rPr>
          <w:rFonts w:ascii="Times New Roman" w:eastAsia="Arial" w:hAnsi="Times New Roman" w:cs="Times New Roman"/>
          <w:color w:val="000000" w:themeColor="text1"/>
          <w:sz w:val="24"/>
          <w:szCs w:val="24"/>
        </w:rPr>
      </w:pPr>
      <w:r w:rsidRPr="001A0E14">
        <w:rPr>
          <w:rFonts w:ascii="Times New Roman" w:eastAsia="Arial" w:hAnsi="Times New Roman" w:cs="Times New Roman"/>
          <w:color w:val="000000" w:themeColor="text1"/>
          <w:sz w:val="24"/>
          <w:szCs w:val="24"/>
        </w:rPr>
        <w:t xml:space="preserve">Działając na podstawie pełnomocnictw udzielonych przez Ministra Klimatu i Środowiska </w:t>
      </w:r>
      <w:r w:rsidR="00B27D81" w:rsidRPr="001A0E14">
        <w:rPr>
          <w:rFonts w:ascii="Times New Roman" w:eastAsia="Arial" w:hAnsi="Times New Roman" w:cs="Times New Roman"/>
          <w:color w:val="000000" w:themeColor="text1"/>
          <w:sz w:val="24"/>
          <w:szCs w:val="24"/>
        </w:rPr>
        <w:t xml:space="preserve">Główny Inspektor Ochrony Środowiska </w:t>
      </w:r>
      <w:r w:rsidRPr="001A0E14">
        <w:rPr>
          <w:rFonts w:ascii="Times New Roman" w:eastAsia="Arial" w:hAnsi="Times New Roman" w:cs="Times New Roman"/>
          <w:color w:val="000000" w:themeColor="text1"/>
          <w:sz w:val="24"/>
          <w:szCs w:val="24"/>
        </w:rPr>
        <w:t xml:space="preserve">w 2022 r. </w:t>
      </w:r>
      <w:r w:rsidR="00B27D81" w:rsidRPr="001A0E14">
        <w:rPr>
          <w:rFonts w:ascii="Times New Roman" w:eastAsia="Arial" w:hAnsi="Times New Roman" w:cs="Times New Roman"/>
          <w:color w:val="000000" w:themeColor="text1"/>
          <w:sz w:val="24"/>
          <w:szCs w:val="24"/>
        </w:rPr>
        <w:t>opracował i przeprowadził uzgodnienia, opiniowanie i konsultacje publiczne następujących aktów prawnych</w:t>
      </w:r>
      <w:r w:rsidR="00895F16" w:rsidRPr="001A0E14">
        <w:rPr>
          <w:rFonts w:ascii="Times New Roman" w:eastAsia="Arial" w:hAnsi="Times New Roman" w:cs="Times New Roman"/>
          <w:color w:val="000000" w:themeColor="text1"/>
          <w:sz w:val="24"/>
          <w:szCs w:val="24"/>
        </w:rPr>
        <w:t>:</w:t>
      </w:r>
    </w:p>
    <w:p w14:paraId="116457D6" w14:textId="106C53ED" w:rsidR="00895F16" w:rsidRPr="001A0E14" w:rsidRDefault="00895F16" w:rsidP="00D80FBD">
      <w:pPr>
        <w:spacing w:after="60" w:line="300" w:lineRule="atLeast"/>
        <w:ind w:left="567"/>
        <w:jc w:val="both"/>
        <w:rPr>
          <w:rFonts w:ascii="Times New Roman" w:eastAsia="Arial" w:hAnsi="Times New Roman" w:cs="Times New Roman"/>
          <w:color w:val="000000" w:themeColor="text1"/>
          <w:sz w:val="24"/>
          <w:szCs w:val="24"/>
        </w:rPr>
      </w:pPr>
      <w:r w:rsidRPr="001A0E14">
        <w:rPr>
          <w:rFonts w:ascii="Times New Roman" w:eastAsia="Arial" w:hAnsi="Times New Roman" w:cs="Times New Roman"/>
          <w:color w:val="000000" w:themeColor="text1"/>
          <w:sz w:val="24"/>
          <w:szCs w:val="24"/>
        </w:rPr>
        <w:t xml:space="preserve">1) </w:t>
      </w:r>
      <w:r w:rsidR="003877CA" w:rsidRPr="001A0E14">
        <w:rPr>
          <w:rFonts w:ascii="Times New Roman" w:eastAsia="Arial" w:hAnsi="Times New Roman" w:cs="Times New Roman"/>
          <w:color w:val="000000" w:themeColor="text1"/>
          <w:sz w:val="24"/>
          <w:szCs w:val="24"/>
        </w:rPr>
        <w:t>ustawa</w:t>
      </w:r>
      <w:r w:rsidR="003877CA" w:rsidRPr="001A0E14">
        <w:rPr>
          <w:rFonts w:ascii="Times New Roman" w:hAnsi="Times New Roman" w:cs="Times New Roman"/>
          <w:color w:val="000000" w:themeColor="text1"/>
          <w:sz w:val="24"/>
          <w:szCs w:val="24"/>
        </w:rPr>
        <w:t xml:space="preserve"> z dnia 22 lipca 2022 r. o </w:t>
      </w:r>
      <w:r w:rsidR="003877CA" w:rsidRPr="001A0E14">
        <w:rPr>
          <w:rFonts w:ascii="Times New Roman" w:eastAsia="Arial" w:hAnsi="Times New Roman" w:cs="Times New Roman"/>
          <w:color w:val="000000" w:themeColor="text1"/>
          <w:sz w:val="24"/>
          <w:szCs w:val="24"/>
        </w:rPr>
        <w:t>zmianie niektórych ustaw w celu przeciwdziałania przestępczości środowiskowej</w:t>
      </w:r>
      <w:r w:rsidR="003877CA" w:rsidRPr="001A0E14">
        <w:rPr>
          <w:rStyle w:val="Odwoanieprzypisudolnego"/>
          <w:rFonts w:eastAsia="Arial" w:cs="Times New Roman"/>
          <w:color w:val="000000" w:themeColor="text1"/>
          <w:szCs w:val="24"/>
        </w:rPr>
        <w:footnoteReference w:id="124"/>
      </w:r>
      <w:r w:rsidRPr="001A0E14">
        <w:rPr>
          <w:rFonts w:ascii="Times New Roman" w:eastAsia="Arial" w:hAnsi="Times New Roman" w:cs="Times New Roman"/>
          <w:color w:val="000000" w:themeColor="text1"/>
          <w:sz w:val="24"/>
          <w:szCs w:val="24"/>
        </w:rPr>
        <w:t>;</w:t>
      </w:r>
      <w:r w:rsidR="004966BE" w:rsidRPr="001A0E14">
        <w:rPr>
          <w:rFonts w:ascii="Times New Roman" w:eastAsia="Arial" w:hAnsi="Times New Roman" w:cs="Times New Roman"/>
          <w:color w:val="000000" w:themeColor="text1"/>
          <w:sz w:val="24"/>
          <w:szCs w:val="24"/>
        </w:rPr>
        <w:t xml:space="preserve"> </w:t>
      </w:r>
    </w:p>
    <w:p w14:paraId="518A60E4" w14:textId="345BC399" w:rsidR="00895F16" w:rsidRPr="001A0E14" w:rsidRDefault="00895F16" w:rsidP="00D80FBD">
      <w:pPr>
        <w:spacing w:after="60" w:line="300" w:lineRule="atLeast"/>
        <w:ind w:left="567"/>
        <w:jc w:val="both"/>
        <w:rPr>
          <w:rFonts w:ascii="Times New Roman" w:eastAsia="Arial" w:hAnsi="Times New Roman" w:cs="Times New Roman"/>
          <w:color w:val="000000" w:themeColor="text1"/>
          <w:sz w:val="24"/>
          <w:szCs w:val="24"/>
        </w:rPr>
      </w:pPr>
      <w:r w:rsidRPr="001A0E14">
        <w:rPr>
          <w:rFonts w:ascii="Times New Roman" w:eastAsia="Arial" w:hAnsi="Times New Roman" w:cs="Times New Roman"/>
          <w:color w:val="000000" w:themeColor="text1"/>
          <w:sz w:val="24"/>
          <w:szCs w:val="24"/>
        </w:rPr>
        <w:lastRenderedPageBreak/>
        <w:t xml:space="preserve">2) </w:t>
      </w:r>
      <w:r w:rsidR="003877CA" w:rsidRPr="001A0E14">
        <w:rPr>
          <w:rFonts w:ascii="Times New Roman" w:eastAsia="Arial" w:hAnsi="Times New Roman" w:cs="Times New Roman"/>
          <w:color w:val="000000" w:themeColor="text1"/>
          <w:sz w:val="24"/>
          <w:szCs w:val="24"/>
        </w:rPr>
        <w:t xml:space="preserve">rozporządzenie Ministra Klimatu i Środowiska z dnia 22 lutego 2022 r. </w:t>
      </w:r>
      <w:r w:rsidR="003877CA" w:rsidRPr="001A0E14">
        <w:rPr>
          <w:rFonts w:ascii="Times New Roman" w:eastAsia="Arial" w:hAnsi="Times New Roman" w:cs="Times New Roman"/>
          <w:bCs/>
          <w:color w:val="000000" w:themeColor="text1"/>
          <w:sz w:val="24"/>
          <w:szCs w:val="24"/>
        </w:rPr>
        <w:t>w sprawie danych objętych Krajowym Rejestrem Uwalniania i Transferu Zanieczyszczeń</w:t>
      </w:r>
      <w:r w:rsidR="003877CA" w:rsidRPr="001A0E14">
        <w:rPr>
          <w:rStyle w:val="Odwoanieprzypisudolnego"/>
          <w:rFonts w:eastAsia="Arial" w:cs="Times New Roman"/>
          <w:bCs/>
          <w:color w:val="000000" w:themeColor="text1"/>
          <w:szCs w:val="24"/>
        </w:rPr>
        <w:footnoteReference w:id="125"/>
      </w:r>
      <w:r w:rsidRPr="001A0E14">
        <w:rPr>
          <w:rFonts w:ascii="Times New Roman" w:eastAsia="Arial" w:hAnsi="Times New Roman" w:cs="Times New Roman"/>
          <w:color w:val="000000" w:themeColor="text1"/>
          <w:sz w:val="24"/>
          <w:szCs w:val="24"/>
        </w:rPr>
        <w:t>;</w:t>
      </w:r>
    </w:p>
    <w:p w14:paraId="44B3F4DA" w14:textId="75FA883C" w:rsidR="00895F16" w:rsidRPr="001A0E14" w:rsidRDefault="00895F16" w:rsidP="00D80FBD">
      <w:pPr>
        <w:spacing w:after="60" w:line="300" w:lineRule="atLeast"/>
        <w:ind w:left="567"/>
        <w:jc w:val="both"/>
        <w:rPr>
          <w:rFonts w:ascii="Times New Roman" w:eastAsia="Arial" w:hAnsi="Times New Roman" w:cs="Times New Roman"/>
          <w:color w:val="000000" w:themeColor="text1"/>
          <w:sz w:val="24"/>
          <w:szCs w:val="24"/>
        </w:rPr>
      </w:pPr>
      <w:r w:rsidRPr="001A0E14">
        <w:rPr>
          <w:rFonts w:ascii="Times New Roman" w:eastAsia="Arial" w:hAnsi="Times New Roman" w:cs="Times New Roman"/>
          <w:color w:val="000000" w:themeColor="text1"/>
          <w:sz w:val="24"/>
          <w:szCs w:val="24"/>
        </w:rPr>
        <w:t xml:space="preserve">3) </w:t>
      </w:r>
      <w:r w:rsidR="003877CA" w:rsidRPr="001A0E14">
        <w:rPr>
          <w:rFonts w:ascii="Times New Roman" w:eastAsia="Arial" w:hAnsi="Times New Roman" w:cs="Times New Roman"/>
          <w:color w:val="000000" w:themeColor="text1"/>
          <w:sz w:val="24"/>
          <w:szCs w:val="24"/>
        </w:rPr>
        <w:t>rozporządzenie Ministra Klimatu i Środowiska z dnia 9 marca 2022 r. zmieniające rozporządzenie w sprawie wymagań w zakresie prowadzenia pomiarów wielkości emisji</w:t>
      </w:r>
      <w:r w:rsidR="003877CA" w:rsidRPr="001A0E14">
        <w:rPr>
          <w:rStyle w:val="Odwoanieprzypisudolnego"/>
          <w:rFonts w:eastAsia="Arial" w:cs="Times New Roman"/>
          <w:color w:val="000000" w:themeColor="text1"/>
          <w:szCs w:val="24"/>
        </w:rPr>
        <w:footnoteReference w:id="126"/>
      </w:r>
      <w:r w:rsidRPr="001A0E14">
        <w:rPr>
          <w:rFonts w:ascii="Times New Roman" w:eastAsia="Arial" w:hAnsi="Times New Roman" w:cs="Times New Roman"/>
          <w:color w:val="000000" w:themeColor="text1"/>
          <w:sz w:val="24"/>
          <w:szCs w:val="24"/>
        </w:rPr>
        <w:t>;</w:t>
      </w:r>
    </w:p>
    <w:p w14:paraId="46C529DC" w14:textId="46E6343A" w:rsidR="00895F16" w:rsidRPr="001A0E14" w:rsidRDefault="00895F16" w:rsidP="00D80FBD">
      <w:pPr>
        <w:spacing w:after="60" w:line="300" w:lineRule="atLeast"/>
        <w:ind w:left="567"/>
        <w:jc w:val="both"/>
        <w:rPr>
          <w:rFonts w:ascii="Times New Roman" w:eastAsia="Arial" w:hAnsi="Times New Roman" w:cs="Times New Roman"/>
          <w:color w:val="000000" w:themeColor="text1"/>
          <w:sz w:val="24"/>
          <w:szCs w:val="24"/>
        </w:rPr>
      </w:pPr>
      <w:r w:rsidRPr="001A0E14">
        <w:rPr>
          <w:rFonts w:ascii="Times New Roman" w:eastAsia="Arial" w:hAnsi="Times New Roman" w:cs="Times New Roman"/>
          <w:color w:val="000000" w:themeColor="text1"/>
          <w:sz w:val="24"/>
          <w:szCs w:val="24"/>
        </w:rPr>
        <w:t xml:space="preserve">4) </w:t>
      </w:r>
      <w:r w:rsidR="003877CA" w:rsidRPr="001A0E14">
        <w:rPr>
          <w:rFonts w:ascii="Times New Roman" w:eastAsia="Arial" w:hAnsi="Times New Roman" w:cs="Times New Roman"/>
          <w:color w:val="000000" w:themeColor="text1"/>
          <w:sz w:val="24"/>
          <w:szCs w:val="24"/>
        </w:rPr>
        <w:t xml:space="preserve">rozporządzenie Ministra Klimatu i Środowiska z dnia 11 marca 2022 r. zmieniające rozporządzenie </w:t>
      </w:r>
      <w:r w:rsidR="003877CA" w:rsidRPr="001A0E14">
        <w:rPr>
          <w:rFonts w:ascii="Times New Roman" w:eastAsia="Arial" w:hAnsi="Times New Roman" w:cs="Times New Roman"/>
          <w:bCs/>
          <w:color w:val="000000" w:themeColor="text1"/>
          <w:sz w:val="24"/>
          <w:szCs w:val="24"/>
        </w:rPr>
        <w:t>w sprawie danych objętych Krajowym Rejestrem Uwalniania i Transferu Zanieczyszczeń</w:t>
      </w:r>
      <w:r w:rsidR="003877CA" w:rsidRPr="001A0E14">
        <w:rPr>
          <w:rStyle w:val="Odwoanieprzypisudolnego"/>
          <w:rFonts w:eastAsia="Arial" w:cs="Times New Roman"/>
          <w:bCs/>
          <w:color w:val="000000" w:themeColor="text1"/>
          <w:szCs w:val="24"/>
        </w:rPr>
        <w:footnoteReference w:id="127"/>
      </w:r>
      <w:r w:rsidRPr="001A0E14">
        <w:rPr>
          <w:rFonts w:ascii="Times New Roman" w:eastAsia="Arial" w:hAnsi="Times New Roman" w:cs="Times New Roman"/>
          <w:color w:val="000000" w:themeColor="text1"/>
          <w:sz w:val="24"/>
          <w:szCs w:val="24"/>
        </w:rPr>
        <w:t>;</w:t>
      </w:r>
    </w:p>
    <w:p w14:paraId="14E3AE86" w14:textId="22FAD84F" w:rsidR="00895F16" w:rsidRPr="001A0E14" w:rsidRDefault="00895F16" w:rsidP="00D80FBD">
      <w:pPr>
        <w:spacing w:after="60" w:line="300" w:lineRule="atLeast"/>
        <w:ind w:left="567"/>
        <w:jc w:val="both"/>
        <w:rPr>
          <w:rFonts w:ascii="Times New Roman" w:eastAsia="Arial" w:hAnsi="Times New Roman" w:cs="Times New Roman"/>
          <w:color w:val="000000" w:themeColor="text1"/>
          <w:sz w:val="24"/>
          <w:szCs w:val="24"/>
        </w:rPr>
      </w:pPr>
      <w:r w:rsidRPr="001A0E14">
        <w:rPr>
          <w:rFonts w:ascii="Times New Roman" w:eastAsia="Arial" w:hAnsi="Times New Roman" w:cs="Times New Roman"/>
          <w:color w:val="000000" w:themeColor="text1"/>
          <w:sz w:val="24"/>
          <w:szCs w:val="24"/>
        </w:rPr>
        <w:t>5)</w:t>
      </w:r>
      <w:r w:rsidRPr="001A0E14">
        <w:rPr>
          <w:color w:val="000000" w:themeColor="text1"/>
        </w:rPr>
        <w:t xml:space="preserve"> </w:t>
      </w:r>
      <w:r w:rsidR="00820822" w:rsidRPr="001A0E14">
        <w:rPr>
          <w:rFonts w:ascii="Times New Roman" w:eastAsia="Arial" w:hAnsi="Times New Roman" w:cs="Times New Roman"/>
          <w:color w:val="000000" w:themeColor="text1"/>
          <w:sz w:val="24"/>
          <w:szCs w:val="24"/>
        </w:rPr>
        <w:t>rozporządzenie Ministra Klimatu i Środowiska z dnia 22 marca 2022 r. zmieniające rozporządzenie w sprawie zasad i sposobu organizacji wojewódzkich inspektoratów ochrony środowiska oraz ich delegatur</w:t>
      </w:r>
      <w:r w:rsidR="00820822" w:rsidRPr="001A0E14">
        <w:rPr>
          <w:rStyle w:val="Odwoanieprzypisudolnego"/>
          <w:rFonts w:eastAsia="Arial" w:cs="Times New Roman"/>
          <w:color w:val="000000" w:themeColor="text1"/>
          <w:szCs w:val="24"/>
        </w:rPr>
        <w:footnoteReference w:id="128"/>
      </w:r>
      <w:r w:rsidRPr="001A0E14">
        <w:rPr>
          <w:rFonts w:ascii="Times New Roman" w:eastAsia="Arial" w:hAnsi="Times New Roman" w:cs="Times New Roman"/>
          <w:color w:val="000000" w:themeColor="text1"/>
          <w:sz w:val="24"/>
          <w:szCs w:val="24"/>
        </w:rPr>
        <w:t>;</w:t>
      </w:r>
    </w:p>
    <w:p w14:paraId="7DAAF6BC" w14:textId="75578E71" w:rsidR="00895F16" w:rsidRPr="001A0E14" w:rsidRDefault="00895F16" w:rsidP="00D80FBD">
      <w:pPr>
        <w:spacing w:after="60" w:line="300" w:lineRule="atLeast"/>
        <w:ind w:left="567"/>
        <w:jc w:val="both"/>
        <w:rPr>
          <w:rFonts w:ascii="Times New Roman" w:eastAsia="Arial" w:hAnsi="Times New Roman" w:cs="Times New Roman"/>
          <w:color w:val="000000" w:themeColor="text1"/>
          <w:sz w:val="24"/>
          <w:szCs w:val="24"/>
        </w:rPr>
      </w:pPr>
      <w:r w:rsidRPr="001A0E14">
        <w:rPr>
          <w:rFonts w:ascii="Times New Roman" w:eastAsia="Arial" w:hAnsi="Times New Roman" w:cs="Times New Roman"/>
          <w:color w:val="000000" w:themeColor="text1"/>
          <w:sz w:val="24"/>
          <w:szCs w:val="24"/>
        </w:rPr>
        <w:t xml:space="preserve">6) </w:t>
      </w:r>
      <w:r w:rsidR="00820822" w:rsidRPr="001A0E14">
        <w:rPr>
          <w:rFonts w:ascii="Times New Roman" w:eastAsia="Arial" w:hAnsi="Times New Roman" w:cs="Times New Roman"/>
          <w:color w:val="000000" w:themeColor="text1"/>
          <w:sz w:val="24"/>
          <w:szCs w:val="24"/>
        </w:rPr>
        <w:t>rozporządzenie Prezesa Rady Ministrów z dnia 22 kwietnia 2022 r. zmieniające rozporządzenie w sprawie nadania statutu Głównemu Inspektoratowi Ochrony Środowiska</w:t>
      </w:r>
      <w:r w:rsidR="00820822" w:rsidRPr="001A0E14">
        <w:rPr>
          <w:rStyle w:val="Odwoanieprzypisudolnego"/>
          <w:rFonts w:eastAsia="Arial" w:cs="Times New Roman"/>
          <w:color w:val="000000" w:themeColor="text1"/>
          <w:szCs w:val="24"/>
        </w:rPr>
        <w:footnoteReference w:id="129"/>
      </w:r>
      <w:r w:rsidRPr="001A0E14">
        <w:rPr>
          <w:rFonts w:ascii="Times New Roman" w:eastAsia="Arial" w:hAnsi="Times New Roman" w:cs="Times New Roman"/>
          <w:color w:val="000000" w:themeColor="text1"/>
          <w:sz w:val="24"/>
          <w:szCs w:val="24"/>
        </w:rPr>
        <w:t>;</w:t>
      </w:r>
    </w:p>
    <w:p w14:paraId="22C88302" w14:textId="61F7D767" w:rsidR="00895F16" w:rsidRPr="001A0E14" w:rsidRDefault="00895F16" w:rsidP="00D80FBD">
      <w:pPr>
        <w:spacing w:after="60" w:line="300" w:lineRule="atLeast"/>
        <w:ind w:left="567"/>
        <w:jc w:val="both"/>
        <w:rPr>
          <w:rFonts w:ascii="Times New Roman" w:eastAsia="Arial" w:hAnsi="Times New Roman" w:cs="Times New Roman"/>
          <w:color w:val="000000" w:themeColor="text1"/>
          <w:sz w:val="24"/>
          <w:szCs w:val="24"/>
        </w:rPr>
      </w:pPr>
      <w:r w:rsidRPr="001A0E14">
        <w:rPr>
          <w:rFonts w:ascii="Times New Roman" w:eastAsia="Arial" w:hAnsi="Times New Roman" w:cs="Times New Roman"/>
          <w:color w:val="000000" w:themeColor="text1"/>
          <w:sz w:val="24"/>
          <w:szCs w:val="24"/>
        </w:rPr>
        <w:t xml:space="preserve">7) </w:t>
      </w:r>
      <w:r w:rsidR="00820822" w:rsidRPr="001A0E14">
        <w:rPr>
          <w:rFonts w:ascii="Times New Roman" w:eastAsia="Arial" w:hAnsi="Times New Roman" w:cs="Times New Roman"/>
          <w:color w:val="000000" w:themeColor="text1"/>
          <w:sz w:val="24"/>
          <w:szCs w:val="24"/>
        </w:rPr>
        <w:t>rozporządzenie Ministra Klimatu i Środowiska z dnia 6 czerwca 2022 r. w sprawie wzoru legitymacji służbowej inspektora Inspekcji Ochrony Środowiska</w:t>
      </w:r>
      <w:r w:rsidR="00820822" w:rsidRPr="001A0E14">
        <w:rPr>
          <w:rStyle w:val="Odwoanieprzypisudolnego"/>
          <w:rFonts w:eastAsia="Arial" w:cs="Times New Roman"/>
          <w:color w:val="000000" w:themeColor="text1"/>
          <w:szCs w:val="24"/>
        </w:rPr>
        <w:footnoteReference w:id="130"/>
      </w:r>
      <w:r w:rsidRPr="001A0E14">
        <w:rPr>
          <w:rFonts w:ascii="Times New Roman" w:eastAsia="Arial" w:hAnsi="Times New Roman" w:cs="Times New Roman"/>
          <w:color w:val="000000" w:themeColor="text1"/>
          <w:sz w:val="24"/>
          <w:szCs w:val="24"/>
        </w:rPr>
        <w:t>;</w:t>
      </w:r>
    </w:p>
    <w:p w14:paraId="0156AF2F" w14:textId="47ABCDE7" w:rsidR="00895F16" w:rsidRPr="001A0E14" w:rsidRDefault="00895F16" w:rsidP="00D80FBD">
      <w:pPr>
        <w:spacing w:after="60" w:line="300" w:lineRule="atLeast"/>
        <w:ind w:left="567"/>
        <w:jc w:val="both"/>
        <w:rPr>
          <w:rFonts w:ascii="Times New Roman" w:eastAsia="Arial" w:hAnsi="Times New Roman" w:cs="Times New Roman"/>
          <w:color w:val="000000" w:themeColor="text1"/>
          <w:sz w:val="24"/>
          <w:szCs w:val="24"/>
        </w:rPr>
      </w:pPr>
      <w:r w:rsidRPr="001A0E14">
        <w:rPr>
          <w:rFonts w:ascii="Times New Roman" w:eastAsia="Arial" w:hAnsi="Times New Roman" w:cs="Times New Roman"/>
          <w:color w:val="000000" w:themeColor="text1"/>
          <w:sz w:val="24"/>
          <w:szCs w:val="24"/>
        </w:rPr>
        <w:t xml:space="preserve">8) </w:t>
      </w:r>
      <w:r w:rsidR="00820822" w:rsidRPr="001A0E14">
        <w:rPr>
          <w:rFonts w:ascii="Times New Roman" w:eastAsia="Arial" w:hAnsi="Times New Roman" w:cs="Times New Roman"/>
          <w:color w:val="000000" w:themeColor="text1"/>
          <w:sz w:val="24"/>
          <w:szCs w:val="24"/>
        </w:rPr>
        <w:t xml:space="preserve">obwieszczenie Ministra Klimatu i Środowiska z dnia 29 lipca 2022 r. w sprawie ogłoszenia jednolitego tekstu rozporządzenia Ministra Środowiska w sprawie zasad </w:t>
      </w:r>
      <w:r w:rsidR="00820822" w:rsidRPr="001A0E14">
        <w:rPr>
          <w:rFonts w:ascii="Times New Roman" w:eastAsia="Arial" w:hAnsi="Times New Roman" w:cs="Times New Roman"/>
          <w:color w:val="000000" w:themeColor="text1"/>
          <w:sz w:val="24"/>
          <w:szCs w:val="24"/>
        </w:rPr>
        <w:br/>
        <w:t>i sposobu organizacji wojewódzkich inspektoratów ochrony środowiska oraz ich delegatur</w:t>
      </w:r>
      <w:r w:rsidR="00820822" w:rsidRPr="001A0E14">
        <w:rPr>
          <w:rStyle w:val="Odwoanieprzypisudolnego"/>
          <w:rFonts w:eastAsia="Arial" w:cs="Times New Roman"/>
          <w:color w:val="000000" w:themeColor="text1"/>
          <w:szCs w:val="24"/>
        </w:rPr>
        <w:footnoteReference w:id="131"/>
      </w:r>
      <w:r w:rsidR="005E799B" w:rsidRPr="001A0E14">
        <w:rPr>
          <w:rFonts w:ascii="Times New Roman" w:eastAsia="Arial" w:hAnsi="Times New Roman" w:cs="Times New Roman"/>
          <w:color w:val="000000" w:themeColor="text1"/>
          <w:sz w:val="24"/>
          <w:szCs w:val="24"/>
        </w:rPr>
        <w:t>;</w:t>
      </w:r>
    </w:p>
    <w:p w14:paraId="27DCB14C" w14:textId="5EF20E57" w:rsidR="00043218" w:rsidRPr="001A0E14" w:rsidRDefault="00043218" w:rsidP="00D80FBD">
      <w:pPr>
        <w:spacing w:after="60" w:line="300" w:lineRule="atLeast"/>
        <w:ind w:left="567"/>
        <w:jc w:val="both"/>
        <w:rPr>
          <w:rFonts w:ascii="Times New Roman" w:eastAsia="Arial" w:hAnsi="Times New Roman" w:cs="Times New Roman"/>
          <w:color w:val="000000" w:themeColor="text1"/>
          <w:sz w:val="24"/>
          <w:szCs w:val="24"/>
        </w:rPr>
      </w:pPr>
      <w:r w:rsidRPr="001A0E14">
        <w:rPr>
          <w:rFonts w:ascii="Times New Roman" w:eastAsia="Arial" w:hAnsi="Times New Roman" w:cs="Times New Roman"/>
          <w:color w:val="000000" w:themeColor="text1"/>
          <w:sz w:val="24"/>
          <w:szCs w:val="24"/>
        </w:rPr>
        <w:t xml:space="preserve">9) </w:t>
      </w:r>
      <w:r w:rsidR="00820822" w:rsidRPr="001A0E14">
        <w:rPr>
          <w:rFonts w:ascii="Times New Roman" w:eastAsia="Arial" w:hAnsi="Times New Roman" w:cs="Times New Roman"/>
          <w:color w:val="000000" w:themeColor="text1"/>
          <w:sz w:val="24"/>
          <w:szCs w:val="24"/>
        </w:rPr>
        <w:t>o</w:t>
      </w:r>
      <w:r w:rsidR="00820822" w:rsidRPr="001A0E14">
        <w:rPr>
          <w:rFonts w:ascii="Times New Roman" w:hAnsi="Times New Roman" w:cs="Times New Roman"/>
          <w:color w:val="000000" w:themeColor="text1"/>
          <w:sz w:val="24"/>
          <w:szCs w:val="24"/>
        </w:rPr>
        <w:t>bwieszczenie Prezesa Rady Ministrów z dnia 22 sierpnia 2022 r. w sprawie ogłoszenia jednolitego tekstu rozporządzenia Prezesa Rady Ministrów w sprawie nadania statutu Głównemu Inspektoratowi Ochrony Środowiska</w:t>
      </w:r>
      <w:r w:rsidR="00820822" w:rsidRPr="001A0E14">
        <w:rPr>
          <w:rStyle w:val="Odwoanieprzypisudolnego"/>
          <w:rFonts w:cs="Times New Roman"/>
          <w:color w:val="000000" w:themeColor="text1"/>
          <w:szCs w:val="24"/>
        </w:rPr>
        <w:footnoteReference w:id="132"/>
      </w:r>
      <w:r w:rsidRPr="001A0E14">
        <w:rPr>
          <w:rFonts w:ascii="Times New Roman" w:eastAsia="Arial" w:hAnsi="Times New Roman" w:cs="Times New Roman"/>
          <w:color w:val="000000" w:themeColor="text1"/>
          <w:sz w:val="24"/>
          <w:szCs w:val="24"/>
        </w:rPr>
        <w:t>;</w:t>
      </w:r>
    </w:p>
    <w:p w14:paraId="2DD7AE76" w14:textId="0D2B983B" w:rsidR="00043218" w:rsidRPr="001A0E14" w:rsidRDefault="00043218" w:rsidP="00D80FBD">
      <w:pPr>
        <w:spacing w:after="60" w:line="300" w:lineRule="atLeast"/>
        <w:ind w:left="567"/>
        <w:jc w:val="both"/>
        <w:rPr>
          <w:rFonts w:ascii="Times New Roman" w:eastAsia="Arial" w:hAnsi="Times New Roman" w:cs="Times New Roman"/>
          <w:color w:val="000000" w:themeColor="text1"/>
          <w:sz w:val="24"/>
          <w:szCs w:val="24"/>
        </w:rPr>
      </w:pPr>
      <w:r w:rsidRPr="001A0E14">
        <w:rPr>
          <w:rFonts w:ascii="Times New Roman" w:eastAsia="Arial" w:hAnsi="Times New Roman" w:cs="Times New Roman"/>
          <w:color w:val="000000" w:themeColor="text1"/>
          <w:sz w:val="24"/>
          <w:szCs w:val="24"/>
        </w:rPr>
        <w:t xml:space="preserve">10) </w:t>
      </w:r>
      <w:r w:rsidR="00820822" w:rsidRPr="001A0E14">
        <w:rPr>
          <w:rFonts w:ascii="Times New Roman" w:eastAsia="Arial" w:hAnsi="Times New Roman" w:cs="Times New Roman"/>
          <w:color w:val="000000" w:themeColor="text1"/>
          <w:sz w:val="24"/>
          <w:szCs w:val="24"/>
        </w:rPr>
        <w:t>rozporządzenie Ministra Klimatu i Środowiska z dnia 30 sierpnia 2022 r. w sprawie wykroczeń, za które inspektorzy Inspekcji Ochrony Środowiska są uprawnieni do nakładania grzywien w drodze mandatu karnego</w:t>
      </w:r>
      <w:r w:rsidR="00820822" w:rsidRPr="001A0E14">
        <w:rPr>
          <w:rStyle w:val="Odwoanieprzypisudolnego"/>
          <w:rFonts w:eastAsia="Arial" w:cs="Times New Roman"/>
          <w:color w:val="000000" w:themeColor="text1"/>
          <w:szCs w:val="24"/>
        </w:rPr>
        <w:footnoteReference w:id="133"/>
      </w:r>
      <w:r w:rsidR="00820822" w:rsidRPr="001A0E14">
        <w:rPr>
          <w:rFonts w:ascii="Times New Roman" w:eastAsia="Arial" w:hAnsi="Times New Roman" w:cs="Times New Roman"/>
          <w:color w:val="000000" w:themeColor="text1"/>
          <w:sz w:val="24"/>
          <w:szCs w:val="24"/>
        </w:rPr>
        <w:t>;</w:t>
      </w:r>
    </w:p>
    <w:p w14:paraId="5C7BD6C4" w14:textId="0180C78D" w:rsidR="00820822" w:rsidRPr="001A0E14" w:rsidRDefault="00820822" w:rsidP="00D80FBD">
      <w:pPr>
        <w:spacing w:after="60" w:line="300" w:lineRule="atLeast"/>
        <w:ind w:left="567"/>
        <w:jc w:val="both"/>
        <w:rPr>
          <w:rFonts w:ascii="Times New Roman" w:eastAsia="Arial" w:hAnsi="Times New Roman" w:cs="Times New Roman"/>
          <w:color w:val="000000" w:themeColor="text1"/>
          <w:sz w:val="24"/>
          <w:szCs w:val="24"/>
        </w:rPr>
      </w:pPr>
      <w:r w:rsidRPr="001A0E14">
        <w:rPr>
          <w:rFonts w:ascii="Times New Roman" w:eastAsia="Arial" w:hAnsi="Times New Roman" w:cs="Times New Roman"/>
          <w:color w:val="000000" w:themeColor="text1"/>
          <w:sz w:val="24"/>
          <w:szCs w:val="24"/>
        </w:rPr>
        <w:t xml:space="preserve">11) </w:t>
      </w:r>
      <w:r w:rsidR="001A0E14" w:rsidRPr="001A0E14">
        <w:rPr>
          <w:rFonts w:ascii="Times New Roman" w:eastAsia="Arial" w:hAnsi="Times New Roman" w:cs="Times New Roman"/>
          <w:color w:val="000000" w:themeColor="text1"/>
          <w:sz w:val="24"/>
          <w:szCs w:val="24"/>
        </w:rPr>
        <w:t>obwieszczenie Ministra Klimatu i Środowiska z dnia 28 września 2022 r. w sprawie wysokości stawek kar za przekroczenie dopuszczalnego poziomu hałasu na rok 2023</w:t>
      </w:r>
      <w:r w:rsidR="001A0E14" w:rsidRPr="001A0E14">
        <w:rPr>
          <w:rStyle w:val="Odwoanieprzypisudolnego"/>
          <w:rFonts w:eastAsia="Arial" w:cs="Times New Roman"/>
          <w:color w:val="000000" w:themeColor="text1"/>
          <w:szCs w:val="24"/>
        </w:rPr>
        <w:footnoteReference w:id="134"/>
      </w:r>
      <w:r w:rsidR="001A0E14" w:rsidRPr="001A0E14">
        <w:rPr>
          <w:rFonts w:ascii="Times New Roman" w:eastAsia="Arial" w:hAnsi="Times New Roman" w:cs="Times New Roman"/>
          <w:color w:val="000000" w:themeColor="text1"/>
          <w:sz w:val="24"/>
          <w:szCs w:val="24"/>
        </w:rPr>
        <w:t>;</w:t>
      </w:r>
    </w:p>
    <w:p w14:paraId="4474307B" w14:textId="017FF185" w:rsidR="001A0E14" w:rsidRPr="001A0E14" w:rsidRDefault="001A0E14" w:rsidP="00D80FBD">
      <w:pPr>
        <w:spacing w:after="60" w:line="300" w:lineRule="atLeast"/>
        <w:ind w:left="567"/>
        <w:jc w:val="both"/>
        <w:rPr>
          <w:rFonts w:ascii="Times New Roman" w:eastAsia="Arial" w:hAnsi="Times New Roman" w:cs="Times New Roman"/>
          <w:color w:val="000000" w:themeColor="text1"/>
          <w:sz w:val="24"/>
          <w:szCs w:val="24"/>
        </w:rPr>
      </w:pPr>
      <w:r w:rsidRPr="001A0E14">
        <w:rPr>
          <w:rFonts w:ascii="Times New Roman" w:eastAsia="Arial" w:hAnsi="Times New Roman" w:cs="Times New Roman"/>
          <w:color w:val="000000" w:themeColor="text1"/>
          <w:sz w:val="24"/>
          <w:szCs w:val="24"/>
        </w:rPr>
        <w:t xml:space="preserve">12) rozporządzenie Ministra Klimatu i Środowiska z dnia 3 października 2022 r. zmieniające rozporządzenie w sprawie dokonywania oceny poziomów substancji </w:t>
      </w:r>
      <w:r w:rsidRPr="001A0E14">
        <w:rPr>
          <w:rFonts w:ascii="Times New Roman" w:eastAsia="Arial" w:hAnsi="Times New Roman" w:cs="Times New Roman"/>
          <w:color w:val="000000" w:themeColor="text1"/>
          <w:sz w:val="24"/>
          <w:szCs w:val="24"/>
        </w:rPr>
        <w:br/>
        <w:t>w powietrzu</w:t>
      </w:r>
      <w:r w:rsidRPr="001A0E14">
        <w:rPr>
          <w:rStyle w:val="Odwoanieprzypisudolnego"/>
          <w:rFonts w:eastAsia="Arial" w:cs="Times New Roman"/>
          <w:color w:val="000000" w:themeColor="text1"/>
          <w:szCs w:val="24"/>
        </w:rPr>
        <w:footnoteReference w:id="135"/>
      </w:r>
      <w:r w:rsidRPr="001A0E14">
        <w:rPr>
          <w:rFonts w:ascii="Times New Roman" w:eastAsia="Arial" w:hAnsi="Times New Roman" w:cs="Times New Roman"/>
          <w:color w:val="000000" w:themeColor="text1"/>
          <w:sz w:val="24"/>
          <w:szCs w:val="24"/>
        </w:rPr>
        <w:t>;</w:t>
      </w:r>
    </w:p>
    <w:p w14:paraId="24613F6E" w14:textId="0CD7C143" w:rsidR="001A0E14" w:rsidRDefault="001A0E14" w:rsidP="00D80FBD">
      <w:pPr>
        <w:spacing w:after="60" w:line="300" w:lineRule="atLeast"/>
        <w:ind w:left="567"/>
        <w:jc w:val="both"/>
        <w:rPr>
          <w:rFonts w:ascii="Times New Roman" w:eastAsia="Arial" w:hAnsi="Times New Roman" w:cs="Times New Roman"/>
          <w:color w:val="000000" w:themeColor="text1"/>
          <w:sz w:val="24"/>
          <w:szCs w:val="24"/>
        </w:rPr>
      </w:pPr>
      <w:r w:rsidRPr="001A0E14">
        <w:rPr>
          <w:rFonts w:ascii="Times New Roman" w:eastAsia="Arial" w:hAnsi="Times New Roman" w:cs="Times New Roman"/>
          <w:color w:val="000000" w:themeColor="text1"/>
          <w:sz w:val="24"/>
          <w:szCs w:val="24"/>
        </w:rPr>
        <w:t>13) obwieszczenie Ministra Klimatu i Środowiska z dnia 7 listopada 2022 r. w sprawie ogłoszenia jednolitego tekstu rozporządzenia Ministra Środowiska w sprawie profilu wody w kąpielisku</w:t>
      </w:r>
      <w:r w:rsidRPr="001A0E14">
        <w:rPr>
          <w:rStyle w:val="Odwoanieprzypisudolnego"/>
          <w:rFonts w:eastAsia="Arial" w:cs="Times New Roman"/>
          <w:color w:val="000000" w:themeColor="text1"/>
          <w:szCs w:val="24"/>
        </w:rPr>
        <w:footnoteReference w:id="136"/>
      </w:r>
      <w:r w:rsidRPr="001A0E14">
        <w:rPr>
          <w:rFonts w:ascii="Times New Roman" w:eastAsia="Arial" w:hAnsi="Times New Roman" w:cs="Times New Roman"/>
          <w:color w:val="000000" w:themeColor="text1"/>
          <w:sz w:val="24"/>
          <w:szCs w:val="24"/>
        </w:rPr>
        <w:t>;</w:t>
      </w:r>
    </w:p>
    <w:p w14:paraId="4C1DE05C" w14:textId="5D18F91D" w:rsidR="001A0E14" w:rsidRDefault="001A0E14" w:rsidP="00D80FBD">
      <w:pPr>
        <w:spacing w:after="60" w:line="300" w:lineRule="atLeast"/>
        <w:ind w:left="567"/>
        <w:jc w:val="both"/>
        <w:rPr>
          <w:rFonts w:ascii="Times New Roman" w:eastAsia="Arial" w:hAnsi="Times New Roman" w:cs="Times New Roman"/>
          <w:sz w:val="24"/>
          <w:szCs w:val="24"/>
        </w:rPr>
      </w:pPr>
      <w:r>
        <w:rPr>
          <w:rFonts w:ascii="Times New Roman" w:eastAsia="Arial" w:hAnsi="Times New Roman" w:cs="Times New Roman"/>
          <w:color w:val="000000" w:themeColor="text1"/>
          <w:sz w:val="24"/>
          <w:szCs w:val="24"/>
        </w:rPr>
        <w:lastRenderedPageBreak/>
        <w:t xml:space="preserve">14) </w:t>
      </w:r>
      <w:r w:rsidRPr="00A431E0">
        <w:rPr>
          <w:rFonts w:ascii="Times New Roman" w:eastAsia="Arial" w:hAnsi="Times New Roman" w:cs="Times New Roman"/>
          <w:sz w:val="24"/>
          <w:szCs w:val="24"/>
        </w:rPr>
        <w:t>rozporządzeni</w:t>
      </w:r>
      <w:r>
        <w:rPr>
          <w:rFonts w:ascii="Times New Roman" w:eastAsia="Arial" w:hAnsi="Times New Roman" w:cs="Times New Roman"/>
          <w:sz w:val="24"/>
          <w:szCs w:val="24"/>
        </w:rPr>
        <w:t>e</w:t>
      </w:r>
      <w:r w:rsidRPr="00A431E0">
        <w:rPr>
          <w:rFonts w:ascii="Times New Roman" w:eastAsia="Arial" w:hAnsi="Times New Roman" w:cs="Times New Roman"/>
          <w:sz w:val="24"/>
          <w:szCs w:val="24"/>
        </w:rPr>
        <w:t xml:space="preserve"> Ministra Klimatu i Środowiska </w:t>
      </w:r>
      <w:r>
        <w:rPr>
          <w:rFonts w:ascii="Times New Roman" w:eastAsia="Arial" w:hAnsi="Times New Roman" w:cs="Times New Roman"/>
          <w:sz w:val="24"/>
          <w:szCs w:val="24"/>
        </w:rPr>
        <w:t xml:space="preserve">z dnia 14 listopada 2022 r. </w:t>
      </w:r>
      <w:r w:rsidRPr="00A431E0">
        <w:rPr>
          <w:rFonts w:ascii="Times New Roman" w:eastAsia="Arial" w:hAnsi="Times New Roman" w:cs="Times New Roman"/>
          <w:sz w:val="24"/>
          <w:szCs w:val="24"/>
        </w:rPr>
        <w:t>w sprawie sposobu obliczania wskaźników średniego narażenia oraz sposobu oceny dotrzymania pułapu stężenia ekspozycji</w:t>
      </w:r>
      <w:r>
        <w:rPr>
          <w:rStyle w:val="Odwoanieprzypisudolnego"/>
          <w:rFonts w:eastAsia="Arial" w:cs="Times New Roman"/>
          <w:szCs w:val="24"/>
        </w:rPr>
        <w:footnoteReference w:id="137"/>
      </w:r>
      <w:r>
        <w:rPr>
          <w:rFonts w:ascii="Times New Roman" w:eastAsia="Arial" w:hAnsi="Times New Roman" w:cs="Times New Roman"/>
          <w:sz w:val="24"/>
          <w:szCs w:val="24"/>
        </w:rPr>
        <w:t>;</w:t>
      </w:r>
    </w:p>
    <w:p w14:paraId="2219AD98" w14:textId="3E44F10D" w:rsidR="001A0E14" w:rsidRDefault="001A0E14" w:rsidP="00D80FBD">
      <w:pPr>
        <w:spacing w:after="60" w:line="300" w:lineRule="atLeast"/>
        <w:ind w:left="567"/>
        <w:jc w:val="both"/>
        <w:rPr>
          <w:rFonts w:ascii="Times New Roman" w:eastAsia="Arial" w:hAnsi="Times New Roman" w:cs="Times New Roman"/>
          <w:sz w:val="24"/>
          <w:szCs w:val="24"/>
        </w:rPr>
      </w:pPr>
      <w:r>
        <w:rPr>
          <w:rFonts w:ascii="Times New Roman" w:eastAsia="Arial" w:hAnsi="Times New Roman" w:cs="Times New Roman"/>
          <w:color w:val="000000" w:themeColor="text1"/>
          <w:sz w:val="24"/>
          <w:szCs w:val="24"/>
        </w:rPr>
        <w:t xml:space="preserve">15) </w:t>
      </w:r>
      <w:r w:rsidRPr="00A431E0">
        <w:rPr>
          <w:rFonts w:ascii="Times New Roman" w:eastAsia="Arial" w:hAnsi="Times New Roman" w:cs="Times New Roman"/>
          <w:sz w:val="24"/>
          <w:szCs w:val="24"/>
        </w:rPr>
        <w:t>rozporządzeni</w:t>
      </w:r>
      <w:r>
        <w:rPr>
          <w:rFonts w:ascii="Times New Roman" w:eastAsia="Arial" w:hAnsi="Times New Roman" w:cs="Times New Roman"/>
          <w:sz w:val="24"/>
          <w:szCs w:val="24"/>
        </w:rPr>
        <w:t>e</w:t>
      </w:r>
      <w:r w:rsidRPr="00A431E0">
        <w:rPr>
          <w:rFonts w:ascii="Times New Roman" w:eastAsia="Arial" w:hAnsi="Times New Roman" w:cs="Times New Roman"/>
          <w:sz w:val="24"/>
          <w:szCs w:val="24"/>
        </w:rPr>
        <w:t xml:space="preserve"> Prezesa Rady Ministrów </w:t>
      </w:r>
      <w:r>
        <w:rPr>
          <w:rFonts w:ascii="Times New Roman" w:eastAsia="Arial" w:hAnsi="Times New Roman" w:cs="Times New Roman"/>
          <w:sz w:val="24"/>
          <w:szCs w:val="24"/>
        </w:rPr>
        <w:t xml:space="preserve">z dnia 21 listopada 2022 r. </w:t>
      </w:r>
      <w:r w:rsidRPr="00A431E0">
        <w:rPr>
          <w:rFonts w:ascii="Times New Roman" w:eastAsia="Arial" w:hAnsi="Times New Roman" w:cs="Times New Roman"/>
          <w:sz w:val="24"/>
          <w:szCs w:val="24"/>
        </w:rPr>
        <w:t>zmieniające rozporządzenie w sprawie nadania statutu Głównemu Inspektoratowi Ochrony Środowiska</w:t>
      </w:r>
      <w:r>
        <w:rPr>
          <w:rStyle w:val="Odwoanieprzypisudolnego"/>
          <w:rFonts w:eastAsia="Arial" w:cs="Times New Roman"/>
          <w:szCs w:val="24"/>
        </w:rPr>
        <w:footnoteReference w:id="138"/>
      </w:r>
      <w:r>
        <w:rPr>
          <w:rFonts w:ascii="Times New Roman" w:eastAsia="Arial" w:hAnsi="Times New Roman" w:cs="Times New Roman"/>
          <w:sz w:val="24"/>
          <w:szCs w:val="24"/>
        </w:rPr>
        <w:t>;</w:t>
      </w:r>
    </w:p>
    <w:p w14:paraId="75E0439B" w14:textId="63B32FCF" w:rsidR="001A0E14" w:rsidRDefault="001A0E14" w:rsidP="00D80FBD">
      <w:pPr>
        <w:spacing w:after="60" w:line="300" w:lineRule="atLeast"/>
        <w:ind w:left="567"/>
        <w:jc w:val="both"/>
        <w:rPr>
          <w:rFonts w:ascii="Times New Roman" w:eastAsia="Arial" w:hAnsi="Times New Roman" w:cs="Times New Roman"/>
          <w:sz w:val="24"/>
          <w:szCs w:val="24"/>
        </w:rPr>
      </w:pPr>
      <w:r>
        <w:rPr>
          <w:rFonts w:ascii="Times New Roman" w:eastAsia="Arial" w:hAnsi="Times New Roman" w:cs="Times New Roman"/>
          <w:color w:val="000000" w:themeColor="text1"/>
          <w:sz w:val="24"/>
          <w:szCs w:val="24"/>
        </w:rPr>
        <w:t xml:space="preserve">16) </w:t>
      </w:r>
      <w:r>
        <w:rPr>
          <w:rFonts w:ascii="Times New Roman" w:eastAsia="Arial" w:hAnsi="Times New Roman" w:cs="Times New Roman"/>
          <w:sz w:val="24"/>
          <w:szCs w:val="24"/>
        </w:rPr>
        <w:t xml:space="preserve">rozporządzenie </w:t>
      </w:r>
      <w:r w:rsidRPr="0031479B">
        <w:rPr>
          <w:rFonts w:ascii="Times New Roman" w:eastAsia="Arial" w:hAnsi="Times New Roman" w:cs="Times New Roman"/>
          <w:sz w:val="24"/>
          <w:szCs w:val="24"/>
        </w:rPr>
        <w:t>Ministra Klimatu i</w:t>
      </w:r>
      <w:r>
        <w:rPr>
          <w:rFonts w:ascii="Times New Roman" w:eastAsia="Arial" w:hAnsi="Times New Roman" w:cs="Times New Roman"/>
          <w:sz w:val="24"/>
          <w:szCs w:val="24"/>
        </w:rPr>
        <w:t xml:space="preserve"> </w:t>
      </w:r>
      <w:r w:rsidRPr="0031479B">
        <w:rPr>
          <w:rFonts w:ascii="Times New Roman" w:eastAsia="Arial" w:hAnsi="Times New Roman" w:cs="Times New Roman"/>
          <w:sz w:val="24"/>
          <w:szCs w:val="24"/>
        </w:rPr>
        <w:t>Środowiska</w:t>
      </w:r>
      <w:r>
        <w:rPr>
          <w:rFonts w:ascii="Times New Roman" w:eastAsia="Arial" w:hAnsi="Times New Roman" w:cs="Times New Roman"/>
          <w:sz w:val="24"/>
          <w:szCs w:val="24"/>
        </w:rPr>
        <w:t xml:space="preserve"> z dnia 7 grudnia 2022 r. </w:t>
      </w:r>
      <w:r w:rsidRPr="0031479B">
        <w:rPr>
          <w:rFonts w:ascii="Times New Roman" w:eastAsia="Arial" w:hAnsi="Times New Roman" w:cs="Times New Roman"/>
          <w:sz w:val="24"/>
          <w:szCs w:val="24"/>
        </w:rPr>
        <w:t>zmieniające</w:t>
      </w:r>
      <w:r>
        <w:rPr>
          <w:rFonts w:ascii="Times New Roman" w:eastAsia="Arial" w:hAnsi="Times New Roman" w:cs="Times New Roman"/>
          <w:sz w:val="24"/>
          <w:szCs w:val="24"/>
        </w:rPr>
        <w:t xml:space="preserve"> </w:t>
      </w:r>
      <w:r w:rsidRPr="0031479B">
        <w:rPr>
          <w:rFonts w:ascii="Times New Roman" w:eastAsia="Arial" w:hAnsi="Times New Roman" w:cs="Times New Roman"/>
          <w:sz w:val="24"/>
          <w:szCs w:val="24"/>
        </w:rPr>
        <w:t>rozporządzenie w</w:t>
      </w:r>
      <w:r>
        <w:rPr>
          <w:rFonts w:ascii="Times New Roman" w:eastAsia="Arial" w:hAnsi="Times New Roman" w:cs="Times New Roman"/>
          <w:sz w:val="24"/>
          <w:szCs w:val="24"/>
        </w:rPr>
        <w:t xml:space="preserve"> </w:t>
      </w:r>
      <w:r w:rsidRPr="0031479B">
        <w:rPr>
          <w:rFonts w:ascii="Times New Roman" w:eastAsia="Arial" w:hAnsi="Times New Roman" w:cs="Times New Roman"/>
          <w:sz w:val="24"/>
          <w:szCs w:val="24"/>
        </w:rPr>
        <w:t>sprawie programu</w:t>
      </w:r>
      <w:r>
        <w:rPr>
          <w:rFonts w:ascii="Times New Roman" w:eastAsia="Arial" w:hAnsi="Times New Roman" w:cs="Times New Roman"/>
          <w:sz w:val="24"/>
          <w:szCs w:val="24"/>
        </w:rPr>
        <w:t xml:space="preserve"> </w:t>
      </w:r>
      <w:r w:rsidRPr="0031479B">
        <w:rPr>
          <w:rFonts w:ascii="Times New Roman" w:eastAsia="Arial" w:hAnsi="Times New Roman" w:cs="Times New Roman"/>
          <w:sz w:val="24"/>
          <w:szCs w:val="24"/>
        </w:rPr>
        <w:t>ochrony</w:t>
      </w:r>
      <w:r>
        <w:rPr>
          <w:rFonts w:ascii="Times New Roman" w:eastAsia="Arial" w:hAnsi="Times New Roman" w:cs="Times New Roman"/>
          <w:sz w:val="24"/>
          <w:szCs w:val="24"/>
        </w:rPr>
        <w:t xml:space="preserve"> </w:t>
      </w:r>
      <w:r w:rsidRPr="0031479B">
        <w:rPr>
          <w:rFonts w:ascii="Times New Roman" w:eastAsia="Arial" w:hAnsi="Times New Roman" w:cs="Times New Roman"/>
          <w:sz w:val="24"/>
          <w:szCs w:val="24"/>
        </w:rPr>
        <w:t>środowiska przed</w:t>
      </w:r>
      <w:r>
        <w:rPr>
          <w:rFonts w:ascii="Times New Roman" w:eastAsia="Arial" w:hAnsi="Times New Roman" w:cs="Times New Roman"/>
          <w:sz w:val="24"/>
          <w:szCs w:val="24"/>
        </w:rPr>
        <w:t xml:space="preserve"> </w:t>
      </w:r>
      <w:r w:rsidRPr="0031479B">
        <w:rPr>
          <w:rFonts w:ascii="Times New Roman" w:eastAsia="Arial" w:hAnsi="Times New Roman" w:cs="Times New Roman"/>
          <w:sz w:val="24"/>
          <w:szCs w:val="24"/>
        </w:rPr>
        <w:t>hałasem</w:t>
      </w:r>
      <w:r>
        <w:rPr>
          <w:rStyle w:val="Odwoanieprzypisudolnego"/>
          <w:rFonts w:eastAsia="Arial" w:cs="Times New Roman"/>
          <w:szCs w:val="24"/>
        </w:rPr>
        <w:footnoteReference w:id="139"/>
      </w:r>
      <w:r>
        <w:rPr>
          <w:rFonts w:ascii="Times New Roman" w:eastAsia="Arial" w:hAnsi="Times New Roman" w:cs="Times New Roman"/>
          <w:sz w:val="24"/>
          <w:szCs w:val="24"/>
        </w:rPr>
        <w:t xml:space="preserve">; </w:t>
      </w:r>
    </w:p>
    <w:p w14:paraId="6C3E0957" w14:textId="5EECF59B" w:rsidR="001A0E14" w:rsidRDefault="001A0E14" w:rsidP="00D80FBD">
      <w:pPr>
        <w:spacing w:after="120" w:line="300" w:lineRule="atLeast"/>
        <w:ind w:left="567"/>
        <w:jc w:val="both"/>
        <w:rPr>
          <w:rFonts w:ascii="Times New Roman" w:eastAsia="Arial" w:hAnsi="Times New Roman" w:cs="Times New Roman"/>
          <w:color w:val="000000" w:themeColor="text1"/>
          <w:sz w:val="24"/>
          <w:szCs w:val="24"/>
        </w:rPr>
      </w:pPr>
      <w:r>
        <w:rPr>
          <w:rFonts w:ascii="Times New Roman" w:eastAsia="Arial" w:hAnsi="Times New Roman" w:cs="Times New Roman"/>
          <w:color w:val="000000" w:themeColor="text1"/>
          <w:sz w:val="24"/>
          <w:szCs w:val="24"/>
        </w:rPr>
        <w:t xml:space="preserve">17) </w:t>
      </w:r>
      <w:r>
        <w:rPr>
          <w:rFonts w:ascii="Times New Roman" w:eastAsia="Arial" w:hAnsi="Times New Roman" w:cs="Times New Roman"/>
          <w:sz w:val="24"/>
          <w:szCs w:val="24"/>
        </w:rPr>
        <w:t>r</w:t>
      </w:r>
      <w:r w:rsidRPr="00844C96">
        <w:rPr>
          <w:rFonts w:ascii="Times New Roman" w:eastAsia="Arial" w:hAnsi="Times New Roman" w:cs="Times New Roman"/>
          <w:sz w:val="24"/>
          <w:szCs w:val="24"/>
        </w:rPr>
        <w:t>ozporządzenie Ministra Klimatu i Środowiska z dnia 12 grudnia 2022 r. zmieniające rozporządzenie w sprawie szczegółowego zakresu danych ujętych na strategicznych mapach hałasu, sposobu ich prezentacji i formy ich przekazywania</w:t>
      </w:r>
      <w:r w:rsidR="00DC5E5D">
        <w:rPr>
          <w:rStyle w:val="Odwoanieprzypisudolnego"/>
          <w:rFonts w:eastAsia="Arial" w:cs="Times New Roman"/>
          <w:szCs w:val="24"/>
        </w:rPr>
        <w:footnoteReference w:id="140"/>
      </w:r>
      <w:r w:rsidR="00DC5E5D">
        <w:rPr>
          <w:rFonts w:ascii="Times New Roman" w:eastAsia="Arial" w:hAnsi="Times New Roman" w:cs="Times New Roman"/>
          <w:sz w:val="24"/>
          <w:szCs w:val="24"/>
        </w:rPr>
        <w:t>.</w:t>
      </w:r>
    </w:p>
    <w:p w14:paraId="758B4E2D" w14:textId="759FFD9A" w:rsidR="00895F16" w:rsidRDefault="00895F16" w:rsidP="00D80FBD">
      <w:pPr>
        <w:spacing w:after="0" w:line="300" w:lineRule="atLeast"/>
        <w:ind w:firstLine="567"/>
        <w:jc w:val="both"/>
        <w:rPr>
          <w:rFonts w:ascii="Times New Roman" w:eastAsia="Arial" w:hAnsi="Times New Roman" w:cs="Times New Roman"/>
          <w:sz w:val="24"/>
          <w:szCs w:val="24"/>
        </w:rPr>
      </w:pPr>
      <w:r w:rsidRPr="001A0E14">
        <w:rPr>
          <w:rFonts w:ascii="Times New Roman" w:eastAsia="Arial" w:hAnsi="Times New Roman" w:cs="Times New Roman"/>
          <w:color w:val="000000" w:themeColor="text1"/>
          <w:sz w:val="24"/>
          <w:szCs w:val="24"/>
        </w:rPr>
        <w:t>Ponadto</w:t>
      </w:r>
      <w:r w:rsidR="00DC5E5D">
        <w:rPr>
          <w:rFonts w:ascii="Times New Roman" w:eastAsia="Arial" w:hAnsi="Times New Roman" w:cs="Times New Roman"/>
          <w:color w:val="000000" w:themeColor="text1"/>
          <w:sz w:val="24"/>
          <w:szCs w:val="24"/>
        </w:rPr>
        <w:t xml:space="preserve">, kontynuowane były </w:t>
      </w:r>
      <w:r w:rsidR="00DC5E5D">
        <w:rPr>
          <w:rFonts w:ascii="Times New Roman" w:eastAsia="Arial" w:hAnsi="Times New Roman" w:cs="Times New Roman"/>
          <w:sz w:val="24"/>
          <w:szCs w:val="24"/>
        </w:rPr>
        <w:t xml:space="preserve">prace legislacyjne nad projektem ustawy o zmianie ustawy </w:t>
      </w:r>
      <w:r w:rsidR="00DC5E5D">
        <w:rPr>
          <w:rFonts w:ascii="Times New Roman" w:eastAsia="Arial" w:hAnsi="Times New Roman" w:cs="Times New Roman"/>
          <w:sz w:val="24"/>
          <w:szCs w:val="24"/>
        </w:rPr>
        <w:br/>
        <w:t>o międzynarodowym przemieszczaniu odpadów.</w:t>
      </w:r>
      <w:r w:rsidR="00AE56F5">
        <w:rPr>
          <w:rFonts w:ascii="Times New Roman" w:eastAsia="Arial" w:hAnsi="Times New Roman" w:cs="Times New Roman"/>
          <w:sz w:val="24"/>
          <w:szCs w:val="24"/>
        </w:rPr>
        <w:t xml:space="preserve"> </w:t>
      </w:r>
    </w:p>
    <w:p w14:paraId="486885E2" w14:textId="77777777" w:rsidR="00895F16" w:rsidRPr="007F400A" w:rsidRDefault="00895F16" w:rsidP="00D80FBD">
      <w:pPr>
        <w:tabs>
          <w:tab w:val="left" w:pos="709"/>
        </w:tabs>
        <w:spacing w:after="0" w:line="300" w:lineRule="atLeast"/>
        <w:jc w:val="both"/>
        <w:rPr>
          <w:rFonts w:ascii="Times New Roman" w:eastAsia="Calibri" w:hAnsi="Times New Roman" w:cs="Times New Roman"/>
          <w:sz w:val="24"/>
          <w:szCs w:val="24"/>
          <w:lang w:eastAsia="pl-PL"/>
        </w:rPr>
      </w:pPr>
    </w:p>
    <w:p w14:paraId="694E234E" w14:textId="4A0D55A2" w:rsidR="00AE56F5" w:rsidRDefault="00895F16" w:rsidP="00D80FBD">
      <w:pPr>
        <w:keepNext/>
        <w:spacing w:after="120" w:line="300" w:lineRule="atLeast"/>
        <w:ind w:left="284" w:hanging="284"/>
        <w:jc w:val="both"/>
        <w:outlineLvl w:val="0"/>
        <w:rPr>
          <w:rFonts w:ascii="Times New Roman" w:eastAsia="Times New Roman" w:hAnsi="Times New Roman" w:cs="Times New Roman"/>
          <w:b/>
          <w:bCs/>
          <w:sz w:val="24"/>
          <w:szCs w:val="24"/>
          <w:lang w:val="x-none" w:eastAsia="x-none"/>
        </w:rPr>
      </w:pPr>
      <w:bookmarkStart w:id="484" w:name="_Toc135935745"/>
      <w:bookmarkStart w:id="485" w:name="_Toc5878594"/>
      <w:bookmarkStart w:id="486" w:name="_Toc36732667"/>
      <w:r w:rsidRPr="007F400A">
        <w:rPr>
          <w:rFonts w:ascii="Times New Roman" w:eastAsia="Times New Roman" w:hAnsi="Times New Roman" w:cs="Times New Roman"/>
          <w:b/>
          <w:bCs/>
          <w:sz w:val="24"/>
          <w:szCs w:val="24"/>
          <w:lang w:val="x-none" w:eastAsia="x-none"/>
        </w:rPr>
        <w:t>3.</w:t>
      </w:r>
      <w:r w:rsidR="00AE56F5">
        <w:rPr>
          <w:rFonts w:ascii="Times New Roman" w:eastAsia="Times New Roman" w:hAnsi="Times New Roman" w:cs="Times New Roman"/>
          <w:b/>
          <w:bCs/>
          <w:sz w:val="24"/>
          <w:szCs w:val="24"/>
          <w:lang w:eastAsia="x-none"/>
        </w:rPr>
        <w:t xml:space="preserve"> </w:t>
      </w:r>
      <w:r w:rsidR="00AE56F5">
        <w:rPr>
          <w:rFonts w:ascii="Times New Roman" w:eastAsia="Arial" w:hAnsi="Times New Roman" w:cs="Times New Roman"/>
          <w:b/>
          <w:sz w:val="24"/>
          <w:szCs w:val="24"/>
        </w:rPr>
        <w:t>Porozumienia Głównego Inspektora Ochrony Środowiska zawarte w 2022 r. z innymi organami</w:t>
      </w:r>
      <w:bookmarkEnd w:id="484"/>
      <w:r w:rsidRPr="007F400A">
        <w:rPr>
          <w:rFonts w:ascii="Times New Roman" w:eastAsia="Times New Roman" w:hAnsi="Times New Roman" w:cs="Times New Roman"/>
          <w:b/>
          <w:bCs/>
          <w:sz w:val="24"/>
          <w:szCs w:val="24"/>
          <w:lang w:val="x-none" w:eastAsia="x-none"/>
        </w:rPr>
        <w:t xml:space="preserve"> </w:t>
      </w:r>
    </w:p>
    <w:p w14:paraId="0172B4B8" w14:textId="351BDC62" w:rsidR="00AE56F5" w:rsidRDefault="00AE56F5" w:rsidP="00D80FBD">
      <w:pPr>
        <w:pStyle w:val="Akapitzlist"/>
        <w:numPr>
          <w:ilvl w:val="0"/>
          <w:numId w:val="347"/>
        </w:numPr>
        <w:spacing w:line="300" w:lineRule="atLeast"/>
        <w:jc w:val="both"/>
        <w:rPr>
          <w:rFonts w:eastAsia="Arial"/>
          <w:sz w:val="24"/>
          <w:szCs w:val="24"/>
        </w:rPr>
      </w:pPr>
      <w:r w:rsidRPr="00AE56F5">
        <w:rPr>
          <w:rFonts w:eastAsia="Arial"/>
          <w:sz w:val="24"/>
          <w:szCs w:val="24"/>
        </w:rPr>
        <w:t xml:space="preserve">porozumienie w sprawie współpracy w zakresie badań wód przejściowych </w:t>
      </w:r>
      <w:r>
        <w:rPr>
          <w:rFonts w:eastAsia="Arial"/>
          <w:sz w:val="24"/>
          <w:szCs w:val="24"/>
        </w:rPr>
        <w:br/>
      </w:r>
      <w:r w:rsidRPr="00AE56F5">
        <w:rPr>
          <w:rFonts w:eastAsia="Arial"/>
          <w:sz w:val="24"/>
          <w:szCs w:val="24"/>
        </w:rPr>
        <w:t>i przybrzeżnych w rejonie województwa zachodniopomorskiego zawarte w dniu 05.02.2022 r. pomiędzy Głównym Inspektorem Ochrony Środowiska a Dyrektorem Urzędu Morskiego w Szczecinie</w:t>
      </w:r>
      <w:r w:rsidR="00466A65">
        <w:rPr>
          <w:rFonts w:eastAsia="Arial"/>
          <w:sz w:val="24"/>
          <w:szCs w:val="24"/>
          <w:lang w:val="pl-PL"/>
        </w:rPr>
        <w:t>;</w:t>
      </w:r>
    </w:p>
    <w:p w14:paraId="692F3325" w14:textId="08E273F2" w:rsidR="00AE56F5" w:rsidRDefault="00AE56F5" w:rsidP="00D80FBD">
      <w:pPr>
        <w:pStyle w:val="Akapitzlist"/>
        <w:numPr>
          <w:ilvl w:val="0"/>
          <w:numId w:val="347"/>
        </w:numPr>
        <w:spacing w:line="300" w:lineRule="atLeast"/>
        <w:jc w:val="both"/>
        <w:rPr>
          <w:rFonts w:eastAsia="Arial"/>
          <w:sz w:val="24"/>
          <w:szCs w:val="24"/>
        </w:rPr>
      </w:pPr>
      <w:r w:rsidRPr="00AE56F5">
        <w:rPr>
          <w:rFonts w:eastAsia="Arial"/>
          <w:sz w:val="24"/>
          <w:szCs w:val="24"/>
        </w:rPr>
        <w:t xml:space="preserve">porozumienie o współpracy nr 1589/DAIP/21 w celu realizacji wspólnego przedsięwzięcia zawarte w dniu 11.02.2022 r. pomiędzy Ministrem Cyfryzacji </w:t>
      </w:r>
      <w:r>
        <w:rPr>
          <w:rFonts w:eastAsia="Arial"/>
          <w:sz w:val="24"/>
          <w:szCs w:val="24"/>
        </w:rPr>
        <w:br/>
      </w:r>
      <w:r w:rsidRPr="00AE56F5">
        <w:rPr>
          <w:rFonts w:eastAsia="Arial"/>
          <w:sz w:val="24"/>
          <w:szCs w:val="24"/>
        </w:rPr>
        <w:t>a Głównym Inspektorem Ochrony Środowiska</w:t>
      </w:r>
      <w:r w:rsidR="00466A65">
        <w:rPr>
          <w:rFonts w:eastAsia="Arial"/>
          <w:sz w:val="24"/>
          <w:szCs w:val="24"/>
          <w:lang w:val="pl-PL"/>
        </w:rPr>
        <w:t>;</w:t>
      </w:r>
    </w:p>
    <w:p w14:paraId="4695159D" w14:textId="7286C44E" w:rsidR="00AE56F5" w:rsidRDefault="00AE56F5" w:rsidP="00D80FBD">
      <w:pPr>
        <w:pStyle w:val="Akapitzlist"/>
        <w:numPr>
          <w:ilvl w:val="0"/>
          <w:numId w:val="347"/>
        </w:numPr>
        <w:spacing w:line="300" w:lineRule="atLeast"/>
        <w:jc w:val="both"/>
        <w:rPr>
          <w:rFonts w:eastAsia="Arial"/>
          <w:sz w:val="24"/>
          <w:szCs w:val="24"/>
        </w:rPr>
      </w:pPr>
      <w:r w:rsidRPr="00AE56F5">
        <w:rPr>
          <w:rFonts w:eastAsia="Arial"/>
          <w:sz w:val="24"/>
          <w:szCs w:val="24"/>
        </w:rPr>
        <w:t xml:space="preserve">porozumienie w sprawie współpracy w zakresie badań wód przejściowych </w:t>
      </w:r>
      <w:r>
        <w:rPr>
          <w:rFonts w:eastAsia="Arial"/>
          <w:sz w:val="24"/>
          <w:szCs w:val="24"/>
        </w:rPr>
        <w:br/>
      </w:r>
      <w:r w:rsidRPr="00AE56F5">
        <w:rPr>
          <w:rFonts w:eastAsia="Arial"/>
          <w:sz w:val="24"/>
          <w:szCs w:val="24"/>
        </w:rPr>
        <w:t>i przybrzeżnych w rejonie województwa pomorskiego zawarte w dniu 24.02.2022 r. pomiędzy Głównym Inspektorem Ochrony Środowiska a Dyrektorem Urzędu Morskiego w Gdyni</w:t>
      </w:r>
      <w:r w:rsidR="00466A65">
        <w:rPr>
          <w:rFonts w:eastAsia="Arial"/>
          <w:sz w:val="24"/>
          <w:szCs w:val="24"/>
          <w:lang w:val="pl-PL"/>
        </w:rPr>
        <w:t>;</w:t>
      </w:r>
    </w:p>
    <w:p w14:paraId="214E9843" w14:textId="3725E9C9" w:rsidR="00AE56F5" w:rsidRDefault="00AE56F5" w:rsidP="00D80FBD">
      <w:pPr>
        <w:pStyle w:val="Akapitzlist"/>
        <w:numPr>
          <w:ilvl w:val="0"/>
          <w:numId w:val="347"/>
        </w:numPr>
        <w:spacing w:line="300" w:lineRule="atLeast"/>
        <w:jc w:val="both"/>
        <w:rPr>
          <w:rFonts w:eastAsia="Arial"/>
          <w:sz w:val="24"/>
          <w:szCs w:val="24"/>
        </w:rPr>
      </w:pPr>
      <w:r w:rsidRPr="00AE56F5">
        <w:rPr>
          <w:rFonts w:eastAsia="Arial"/>
          <w:sz w:val="24"/>
          <w:szCs w:val="24"/>
        </w:rPr>
        <w:t xml:space="preserve">porozumienie w sprawie współpracy w zakresie badań wód przejściowych </w:t>
      </w:r>
      <w:r>
        <w:rPr>
          <w:rFonts w:eastAsia="Arial"/>
          <w:sz w:val="24"/>
          <w:szCs w:val="24"/>
        </w:rPr>
        <w:br/>
      </w:r>
      <w:r w:rsidRPr="00AE56F5">
        <w:rPr>
          <w:rFonts w:eastAsia="Arial"/>
          <w:sz w:val="24"/>
          <w:szCs w:val="24"/>
        </w:rPr>
        <w:t xml:space="preserve">i przybrzeżnych w rejonie województwa zachodniopomorskiego i pomorskiego zawarte w dniu 21.03.2022 r. pomiędzy Głównym Inspektoratem Ochrony Środowiska </w:t>
      </w:r>
      <w:r>
        <w:rPr>
          <w:rFonts w:eastAsia="Arial"/>
          <w:sz w:val="24"/>
          <w:szCs w:val="24"/>
        </w:rPr>
        <w:br/>
      </w:r>
      <w:r w:rsidRPr="00AE56F5">
        <w:rPr>
          <w:rFonts w:eastAsia="Arial"/>
          <w:sz w:val="24"/>
          <w:szCs w:val="24"/>
        </w:rPr>
        <w:t>a Głównym Inspektoratem Rybołówstwa Morskiego</w:t>
      </w:r>
      <w:r w:rsidR="00466A65">
        <w:rPr>
          <w:rFonts w:eastAsia="Arial"/>
          <w:sz w:val="24"/>
          <w:szCs w:val="24"/>
          <w:lang w:val="pl-PL"/>
        </w:rPr>
        <w:t>;</w:t>
      </w:r>
    </w:p>
    <w:p w14:paraId="6977983C" w14:textId="44868AD4" w:rsidR="00AE56F5" w:rsidRDefault="00AE56F5" w:rsidP="00D80FBD">
      <w:pPr>
        <w:pStyle w:val="Akapitzlist"/>
        <w:numPr>
          <w:ilvl w:val="0"/>
          <w:numId w:val="347"/>
        </w:numPr>
        <w:spacing w:line="300" w:lineRule="atLeast"/>
        <w:jc w:val="both"/>
        <w:rPr>
          <w:rFonts w:eastAsia="Arial"/>
          <w:sz w:val="24"/>
          <w:szCs w:val="24"/>
        </w:rPr>
      </w:pPr>
      <w:r w:rsidRPr="00AE56F5">
        <w:rPr>
          <w:rFonts w:eastAsia="Arial"/>
          <w:sz w:val="24"/>
          <w:szCs w:val="24"/>
        </w:rPr>
        <w:t>porozumienie Komendanta Głównego Straży Granicznej i Głównego Inspektora Ochrony Środowiska z dnia 27 maja 2022 r. w sprawie monitorowania stanu środowiska morskiego</w:t>
      </w:r>
      <w:r w:rsidR="00466A65">
        <w:rPr>
          <w:rFonts w:eastAsia="Arial"/>
          <w:sz w:val="24"/>
          <w:szCs w:val="24"/>
          <w:lang w:val="pl-PL"/>
        </w:rPr>
        <w:t>;</w:t>
      </w:r>
    </w:p>
    <w:p w14:paraId="71348BA7" w14:textId="2C1814CF" w:rsidR="00AE56F5" w:rsidRDefault="00AE56F5" w:rsidP="00D80FBD">
      <w:pPr>
        <w:pStyle w:val="Akapitzlist"/>
        <w:numPr>
          <w:ilvl w:val="0"/>
          <w:numId w:val="347"/>
        </w:numPr>
        <w:spacing w:line="300" w:lineRule="atLeast"/>
        <w:jc w:val="both"/>
        <w:rPr>
          <w:rFonts w:eastAsia="Arial"/>
          <w:sz w:val="24"/>
          <w:szCs w:val="24"/>
        </w:rPr>
      </w:pPr>
      <w:r w:rsidRPr="00AE56F5">
        <w:rPr>
          <w:rFonts w:eastAsia="Arial"/>
          <w:sz w:val="24"/>
          <w:szCs w:val="24"/>
        </w:rPr>
        <w:t>porozumienie w sprawie współpracy w zakresie prowadzenia badań w obszarze ochrony wód środowiskowych zawarte w dniu 30.05.2022 r. pomiędzy Uniwersytetem Gdańskim a Głównym Inspektoratem Ochrony Środowiska.</w:t>
      </w:r>
    </w:p>
    <w:p w14:paraId="32E308F7" w14:textId="77777777" w:rsidR="00AE56F5" w:rsidRPr="00AE56F5" w:rsidRDefault="00AE56F5" w:rsidP="00D80FBD">
      <w:pPr>
        <w:pStyle w:val="Akapitzlist"/>
        <w:spacing w:line="300" w:lineRule="atLeast"/>
        <w:contextualSpacing w:val="0"/>
        <w:jc w:val="both"/>
        <w:rPr>
          <w:rFonts w:eastAsia="Arial"/>
          <w:sz w:val="24"/>
          <w:szCs w:val="24"/>
        </w:rPr>
      </w:pPr>
    </w:p>
    <w:p w14:paraId="6CE4FA54" w14:textId="4AE8027D" w:rsidR="00895F16" w:rsidRPr="007F400A" w:rsidRDefault="00AE56F5" w:rsidP="00D80FBD">
      <w:pPr>
        <w:keepNext/>
        <w:spacing w:after="120" w:line="300" w:lineRule="atLeast"/>
        <w:ind w:left="284" w:hanging="284"/>
        <w:jc w:val="both"/>
        <w:outlineLvl w:val="0"/>
        <w:rPr>
          <w:rFonts w:ascii="Times New Roman" w:eastAsia="Times New Roman" w:hAnsi="Times New Roman" w:cs="Times New Roman"/>
          <w:b/>
          <w:bCs/>
          <w:sz w:val="24"/>
          <w:szCs w:val="24"/>
          <w:lang w:eastAsia="x-none"/>
        </w:rPr>
      </w:pPr>
      <w:bookmarkStart w:id="487" w:name="_Toc135935746"/>
      <w:r>
        <w:rPr>
          <w:rFonts w:ascii="Times New Roman" w:eastAsia="Times New Roman" w:hAnsi="Times New Roman" w:cs="Times New Roman"/>
          <w:b/>
          <w:bCs/>
          <w:sz w:val="24"/>
          <w:szCs w:val="24"/>
          <w:lang w:eastAsia="x-none"/>
        </w:rPr>
        <w:lastRenderedPageBreak/>
        <w:t xml:space="preserve">4. </w:t>
      </w:r>
      <w:r w:rsidR="00895F16" w:rsidRPr="007F400A">
        <w:rPr>
          <w:rFonts w:ascii="Times New Roman" w:eastAsia="Times New Roman" w:hAnsi="Times New Roman" w:cs="Times New Roman"/>
          <w:b/>
          <w:bCs/>
          <w:sz w:val="24"/>
          <w:szCs w:val="24"/>
          <w:lang w:val="x-none" w:eastAsia="x-none"/>
        </w:rPr>
        <w:t xml:space="preserve">Materiały przedkładane przez GIOŚ Ministrowi </w:t>
      </w:r>
      <w:r w:rsidR="00846D87">
        <w:rPr>
          <w:rFonts w:ascii="Times New Roman" w:eastAsia="Times New Roman" w:hAnsi="Times New Roman" w:cs="Times New Roman"/>
          <w:b/>
          <w:bCs/>
          <w:sz w:val="24"/>
          <w:szCs w:val="24"/>
          <w:lang w:eastAsia="x-none"/>
        </w:rPr>
        <w:t>K</w:t>
      </w:r>
      <w:r w:rsidR="00895F16" w:rsidRPr="007F400A">
        <w:rPr>
          <w:rFonts w:ascii="Times New Roman" w:eastAsia="Times New Roman" w:hAnsi="Times New Roman" w:cs="Times New Roman"/>
          <w:b/>
          <w:bCs/>
          <w:sz w:val="24"/>
          <w:szCs w:val="24"/>
          <w:lang w:eastAsia="x-none"/>
        </w:rPr>
        <w:t xml:space="preserve">limatu i </w:t>
      </w:r>
      <w:r w:rsidR="00846D87">
        <w:rPr>
          <w:rFonts w:ascii="Times New Roman" w:eastAsia="Times New Roman" w:hAnsi="Times New Roman" w:cs="Times New Roman"/>
          <w:b/>
          <w:bCs/>
          <w:sz w:val="24"/>
          <w:szCs w:val="24"/>
          <w:lang w:eastAsia="x-none"/>
        </w:rPr>
        <w:t>Ś</w:t>
      </w:r>
      <w:r w:rsidR="00895F16" w:rsidRPr="007F400A">
        <w:rPr>
          <w:rFonts w:ascii="Times New Roman" w:eastAsia="Times New Roman" w:hAnsi="Times New Roman" w:cs="Times New Roman"/>
          <w:b/>
          <w:bCs/>
          <w:sz w:val="24"/>
          <w:szCs w:val="24"/>
          <w:lang w:eastAsia="x-none"/>
        </w:rPr>
        <w:t xml:space="preserve">rodowiska </w:t>
      </w:r>
      <w:r w:rsidR="006862E4">
        <w:rPr>
          <w:rFonts w:ascii="Times New Roman" w:eastAsia="Times New Roman" w:hAnsi="Times New Roman" w:cs="Times New Roman"/>
          <w:b/>
          <w:bCs/>
          <w:sz w:val="24"/>
          <w:szCs w:val="24"/>
          <w:lang w:eastAsia="x-none"/>
        </w:rPr>
        <w:t xml:space="preserve">lub przekazywane </w:t>
      </w:r>
      <w:r w:rsidR="00895F16" w:rsidRPr="007F400A">
        <w:rPr>
          <w:rFonts w:ascii="Times New Roman" w:eastAsia="Times New Roman" w:hAnsi="Times New Roman" w:cs="Times New Roman"/>
          <w:b/>
          <w:bCs/>
          <w:sz w:val="24"/>
          <w:szCs w:val="24"/>
          <w:lang w:val="x-none" w:eastAsia="x-none"/>
        </w:rPr>
        <w:t>innym organom</w:t>
      </w:r>
      <w:bookmarkEnd w:id="485"/>
      <w:r w:rsidR="006862E4">
        <w:rPr>
          <w:rFonts w:ascii="Times New Roman" w:eastAsia="Times New Roman" w:hAnsi="Times New Roman" w:cs="Times New Roman"/>
          <w:b/>
          <w:bCs/>
          <w:sz w:val="24"/>
          <w:szCs w:val="24"/>
          <w:lang w:eastAsia="x-none"/>
        </w:rPr>
        <w:t>,</w:t>
      </w:r>
      <w:r w:rsidR="00895F16" w:rsidRPr="007F400A">
        <w:rPr>
          <w:rFonts w:ascii="Times New Roman" w:eastAsia="Times New Roman" w:hAnsi="Times New Roman" w:cs="Times New Roman"/>
          <w:b/>
          <w:bCs/>
          <w:sz w:val="24"/>
          <w:szCs w:val="24"/>
          <w:lang w:eastAsia="x-none"/>
        </w:rPr>
        <w:t xml:space="preserve"> </w:t>
      </w:r>
      <w:r w:rsidR="006862E4">
        <w:rPr>
          <w:rFonts w:ascii="Times New Roman" w:eastAsia="Times New Roman" w:hAnsi="Times New Roman" w:cs="Times New Roman"/>
          <w:b/>
          <w:bCs/>
          <w:sz w:val="24"/>
          <w:szCs w:val="24"/>
          <w:lang w:eastAsia="x-none"/>
        </w:rPr>
        <w:t xml:space="preserve">po </w:t>
      </w:r>
      <w:r w:rsidR="00895F16" w:rsidRPr="007F400A">
        <w:rPr>
          <w:rFonts w:ascii="Times New Roman" w:eastAsia="Times New Roman" w:hAnsi="Times New Roman" w:cs="Times New Roman"/>
          <w:b/>
          <w:bCs/>
          <w:sz w:val="24"/>
          <w:szCs w:val="24"/>
          <w:lang w:eastAsia="x-none"/>
        </w:rPr>
        <w:t>konsult</w:t>
      </w:r>
      <w:r w:rsidR="006862E4">
        <w:rPr>
          <w:rFonts w:ascii="Times New Roman" w:eastAsia="Times New Roman" w:hAnsi="Times New Roman" w:cs="Times New Roman"/>
          <w:b/>
          <w:bCs/>
          <w:sz w:val="24"/>
          <w:szCs w:val="24"/>
          <w:lang w:eastAsia="x-none"/>
        </w:rPr>
        <w:t>acji</w:t>
      </w:r>
      <w:r w:rsidR="00895F16" w:rsidRPr="007F400A">
        <w:rPr>
          <w:rFonts w:ascii="Times New Roman" w:eastAsia="Times New Roman" w:hAnsi="Times New Roman" w:cs="Times New Roman"/>
          <w:b/>
          <w:bCs/>
          <w:sz w:val="24"/>
          <w:szCs w:val="24"/>
          <w:lang w:eastAsia="x-none"/>
        </w:rPr>
        <w:t xml:space="preserve"> z Ministerstwem Klimatu</w:t>
      </w:r>
      <w:bookmarkEnd w:id="486"/>
      <w:r w:rsidR="00846D87">
        <w:rPr>
          <w:rFonts w:ascii="Times New Roman" w:eastAsia="Times New Roman" w:hAnsi="Times New Roman" w:cs="Times New Roman"/>
          <w:b/>
          <w:bCs/>
          <w:sz w:val="24"/>
          <w:szCs w:val="24"/>
          <w:lang w:eastAsia="x-none"/>
        </w:rPr>
        <w:t xml:space="preserve"> i Środowiska</w:t>
      </w:r>
      <w:bookmarkEnd w:id="487"/>
    </w:p>
    <w:p w14:paraId="27646772" w14:textId="33B274A0" w:rsidR="00895F16" w:rsidRPr="007F400A" w:rsidRDefault="00895F16" w:rsidP="00D80FBD">
      <w:pPr>
        <w:autoSpaceDE w:val="0"/>
        <w:autoSpaceDN w:val="0"/>
        <w:adjustRightInd w:val="0"/>
        <w:spacing w:after="60" w:line="300" w:lineRule="atLeast"/>
        <w:ind w:firstLine="567"/>
        <w:jc w:val="both"/>
        <w:rPr>
          <w:rFonts w:ascii="Times New Roman" w:eastAsia="Times New Roman" w:hAnsi="Times New Roman" w:cs="Times New Roman"/>
          <w:sz w:val="24"/>
          <w:szCs w:val="24"/>
          <w:lang w:eastAsia="pl-PL"/>
        </w:rPr>
      </w:pPr>
      <w:r w:rsidRPr="007F400A">
        <w:rPr>
          <w:rFonts w:ascii="Times New Roman" w:eastAsia="Times New Roman" w:hAnsi="Times New Roman" w:cs="Times New Roman"/>
          <w:sz w:val="24"/>
          <w:szCs w:val="24"/>
          <w:lang w:eastAsia="pl-PL"/>
        </w:rPr>
        <w:t>W 202</w:t>
      </w:r>
      <w:r w:rsidR="00DC5E5D">
        <w:rPr>
          <w:rFonts w:ascii="Times New Roman" w:eastAsia="Times New Roman" w:hAnsi="Times New Roman" w:cs="Times New Roman"/>
          <w:sz w:val="24"/>
          <w:szCs w:val="24"/>
          <w:lang w:eastAsia="pl-PL"/>
        </w:rPr>
        <w:t>2</w:t>
      </w:r>
      <w:r w:rsidRPr="007F400A">
        <w:rPr>
          <w:rFonts w:ascii="Times New Roman" w:eastAsia="Times New Roman" w:hAnsi="Times New Roman" w:cs="Times New Roman"/>
          <w:sz w:val="24"/>
          <w:szCs w:val="24"/>
          <w:lang w:eastAsia="pl-PL"/>
        </w:rPr>
        <w:t xml:space="preserve"> r. Główny Inspektor Ochrony Środowiska przedłożył Ministrowi Klimatu </w:t>
      </w:r>
      <w:r w:rsidRPr="007F400A">
        <w:rPr>
          <w:rFonts w:ascii="Times New Roman" w:eastAsia="Times New Roman" w:hAnsi="Times New Roman" w:cs="Times New Roman"/>
          <w:sz w:val="24"/>
          <w:szCs w:val="24"/>
          <w:lang w:eastAsia="pl-PL"/>
        </w:rPr>
        <w:br/>
        <w:t xml:space="preserve">i Środowiska oraz innym organom, krajowym i unijnym, następujące opracowania </w:t>
      </w:r>
      <w:r w:rsidRPr="007F400A">
        <w:rPr>
          <w:rFonts w:ascii="Times New Roman" w:eastAsia="Times New Roman" w:hAnsi="Times New Roman" w:cs="Times New Roman"/>
          <w:sz w:val="24"/>
          <w:szCs w:val="24"/>
          <w:lang w:eastAsia="pl-PL"/>
        </w:rPr>
        <w:br/>
        <w:t>o charakterze informacyjno-sprawozdawczym:</w:t>
      </w:r>
    </w:p>
    <w:p w14:paraId="39193A3B" w14:textId="65E1D0E8" w:rsidR="00CD51E5" w:rsidRDefault="00CD51E5" w:rsidP="00D80FBD">
      <w:pPr>
        <w:numPr>
          <w:ilvl w:val="0"/>
          <w:numId w:val="44"/>
        </w:numPr>
        <w:autoSpaceDE w:val="0"/>
        <w:autoSpaceDN w:val="0"/>
        <w:adjustRightInd w:val="0"/>
        <w:spacing w:after="0" w:line="300" w:lineRule="atLeast"/>
        <w:ind w:left="924" w:hanging="357"/>
        <w:jc w:val="both"/>
        <w:rPr>
          <w:rFonts w:ascii="Times New Roman" w:eastAsia="Times New Roman" w:hAnsi="Times New Roman" w:cs="Times New Roman"/>
          <w:bCs/>
          <w:color w:val="000000"/>
          <w:sz w:val="24"/>
          <w:szCs w:val="24"/>
          <w:lang w:eastAsia="pl-PL"/>
        </w:rPr>
      </w:pPr>
      <w:r>
        <w:rPr>
          <w:rFonts w:ascii="Times New Roman" w:eastAsia="Times New Roman" w:hAnsi="Times New Roman" w:cs="Times New Roman"/>
          <w:bCs/>
          <w:color w:val="000000"/>
          <w:sz w:val="24"/>
          <w:szCs w:val="24"/>
          <w:lang w:eastAsia="pl-PL"/>
        </w:rPr>
        <w:t xml:space="preserve">Stan środowiska w Polsce. Raport 2022. </w:t>
      </w:r>
      <w:r w:rsidR="0053647B">
        <w:rPr>
          <w:rFonts w:ascii="Times New Roman" w:eastAsia="Times New Roman" w:hAnsi="Times New Roman" w:cs="Times New Roman"/>
          <w:bCs/>
          <w:color w:val="000000"/>
          <w:sz w:val="24"/>
          <w:szCs w:val="24"/>
          <w:lang w:eastAsia="pl-PL"/>
        </w:rPr>
        <w:t xml:space="preserve">(opracowywany, zgodnie z ustawą o IOŚ, </w:t>
      </w:r>
      <w:r w:rsidR="0053647B" w:rsidRPr="0053647B">
        <w:rPr>
          <w:rFonts w:ascii="Times New Roman" w:hAnsi="Times New Roman" w:cs="Times New Roman"/>
        </w:rPr>
        <w:t>nie rzadziej niż raz na 4 lata</w:t>
      </w:r>
      <w:r w:rsidR="0053647B">
        <w:t>).</w:t>
      </w:r>
    </w:p>
    <w:p w14:paraId="592CB632" w14:textId="77777777" w:rsidR="006862E4" w:rsidRDefault="00895F16" w:rsidP="00D80FBD">
      <w:pPr>
        <w:numPr>
          <w:ilvl w:val="0"/>
          <w:numId w:val="44"/>
        </w:numPr>
        <w:autoSpaceDE w:val="0"/>
        <w:autoSpaceDN w:val="0"/>
        <w:adjustRightInd w:val="0"/>
        <w:spacing w:after="0" w:line="300" w:lineRule="atLeast"/>
        <w:ind w:left="924" w:hanging="357"/>
        <w:jc w:val="both"/>
        <w:rPr>
          <w:rFonts w:ascii="Times New Roman" w:eastAsia="Times New Roman" w:hAnsi="Times New Roman" w:cs="Times New Roman"/>
          <w:bCs/>
          <w:color w:val="000000"/>
          <w:sz w:val="24"/>
          <w:szCs w:val="24"/>
          <w:lang w:eastAsia="pl-PL"/>
        </w:rPr>
      </w:pPr>
      <w:r w:rsidRPr="007F400A">
        <w:rPr>
          <w:rFonts w:ascii="Times New Roman" w:eastAsia="Times New Roman" w:hAnsi="Times New Roman" w:cs="Times New Roman"/>
          <w:bCs/>
          <w:color w:val="000000"/>
          <w:sz w:val="24"/>
          <w:szCs w:val="24"/>
          <w:lang w:eastAsia="pl-PL"/>
        </w:rPr>
        <w:t>Informacja o realizacji zadań Inspekcji Ochrony Środowiska w 202</w:t>
      </w:r>
      <w:r w:rsidR="00DC5E5D">
        <w:rPr>
          <w:rFonts w:ascii="Times New Roman" w:eastAsia="Times New Roman" w:hAnsi="Times New Roman" w:cs="Times New Roman"/>
          <w:bCs/>
          <w:color w:val="000000"/>
          <w:sz w:val="24"/>
          <w:szCs w:val="24"/>
          <w:lang w:eastAsia="pl-PL"/>
        </w:rPr>
        <w:t>1</w:t>
      </w:r>
      <w:r w:rsidRPr="007F400A">
        <w:rPr>
          <w:rFonts w:ascii="Times New Roman" w:eastAsia="Times New Roman" w:hAnsi="Times New Roman" w:cs="Times New Roman"/>
          <w:bCs/>
          <w:color w:val="000000"/>
          <w:sz w:val="24"/>
          <w:szCs w:val="24"/>
          <w:lang w:eastAsia="pl-PL"/>
        </w:rPr>
        <w:t xml:space="preserve"> roku.</w:t>
      </w:r>
      <w:r w:rsidR="004966BE" w:rsidRPr="007F400A">
        <w:rPr>
          <w:rFonts w:ascii="Times New Roman" w:eastAsia="Times New Roman" w:hAnsi="Times New Roman" w:cs="Times New Roman"/>
          <w:bCs/>
          <w:color w:val="000000"/>
          <w:sz w:val="24"/>
          <w:szCs w:val="24"/>
          <w:lang w:eastAsia="pl-PL"/>
        </w:rPr>
        <w:t xml:space="preserve"> </w:t>
      </w:r>
    </w:p>
    <w:p w14:paraId="4B9B54F1" w14:textId="6FAEF7F2" w:rsidR="00895F16" w:rsidRPr="006862E4" w:rsidRDefault="006862E4" w:rsidP="00D80FBD">
      <w:pPr>
        <w:numPr>
          <w:ilvl w:val="0"/>
          <w:numId w:val="44"/>
        </w:numPr>
        <w:autoSpaceDE w:val="0"/>
        <w:autoSpaceDN w:val="0"/>
        <w:adjustRightInd w:val="0"/>
        <w:spacing w:after="0" w:line="300" w:lineRule="atLeast"/>
        <w:ind w:left="924" w:hanging="357"/>
        <w:jc w:val="both"/>
        <w:rPr>
          <w:rFonts w:ascii="Times New Roman" w:eastAsia="Times New Roman" w:hAnsi="Times New Roman" w:cs="Times New Roman"/>
          <w:bCs/>
          <w:color w:val="000000"/>
          <w:sz w:val="24"/>
          <w:szCs w:val="24"/>
          <w:lang w:eastAsia="pl-PL"/>
        </w:rPr>
      </w:pPr>
      <w:r w:rsidRPr="006862E4">
        <w:rPr>
          <w:rFonts w:ascii="Times New Roman" w:eastAsia="Times New Roman" w:hAnsi="Times New Roman" w:cs="Times New Roman"/>
          <w:bCs/>
          <w:color w:val="000000"/>
          <w:sz w:val="24"/>
          <w:szCs w:val="24"/>
          <w:lang w:eastAsia="pl-PL"/>
        </w:rPr>
        <w:t>Raport w zakresie wyników oceny jakości powietrza w strefach i klasyfikacji tych stref</w:t>
      </w:r>
      <w:r w:rsidR="00895F16" w:rsidRPr="006862E4">
        <w:rPr>
          <w:rFonts w:ascii="Times New Roman" w:eastAsia="Times New Roman" w:hAnsi="Times New Roman" w:cs="Times New Roman"/>
          <w:bCs/>
          <w:color w:val="000000"/>
          <w:sz w:val="24"/>
          <w:szCs w:val="24"/>
          <w:lang w:eastAsia="pl-PL"/>
        </w:rPr>
        <w:t>.</w:t>
      </w:r>
    </w:p>
    <w:p w14:paraId="21168788" w14:textId="77777777" w:rsidR="00895F16" w:rsidRPr="007F400A" w:rsidRDefault="00895F16" w:rsidP="00D80FBD">
      <w:pPr>
        <w:numPr>
          <w:ilvl w:val="0"/>
          <w:numId w:val="44"/>
        </w:numPr>
        <w:autoSpaceDE w:val="0"/>
        <w:autoSpaceDN w:val="0"/>
        <w:adjustRightInd w:val="0"/>
        <w:spacing w:after="0" w:line="300" w:lineRule="atLeast"/>
        <w:ind w:left="924" w:hanging="357"/>
        <w:jc w:val="both"/>
        <w:rPr>
          <w:rFonts w:ascii="Times New Roman" w:eastAsia="Times New Roman" w:hAnsi="Times New Roman" w:cs="Times New Roman"/>
          <w:bCs/>
          <w:color w:val="000000"/>
          <w:sz w:val="24"/>
          <w:szCs w:val="24"/>
          <w:lang w:eastAsia="pl-PL"/>
        </w:rPr>
      </w:pPr>
      <w:r w:rsidRPr="007F400A">
        <w:rPr>
          <w:rFonts w:ascii="Times New Roman" w:eastAsia="Times New Roman" w:hAnsi="Times New Roman" w:cs="Times New Roman"/>
          <w:bCs/>
          <w:color w:val="000000"/>
          <w:sz w:val="24"/>
          <w:szCs w:val="24"/>
          <w:lang w:eastAsia="pl-PL"/>
        </w:rPr>
        <w:t>Raport w zakresie danych pomiarowych jakości powietrza.</w:t>
      </w:r>
    </w:p>
    <w:p w14:paraId="785A280C" w14:textId="404D8B24" w:rsidR="00895F16" w:rsidRPr="007F400A" w:rsidRDefault="00895F16" w:rsidP="00D80FBD">
      <w:pPr>
        <w:numPr>
          <w:ilvl w:val="0"/>
          <w:numId w:val="44"/>
        </w:numPr>
        <w:autoSpaceDE w:val="0"/>
        <w:autoSpaceDN w:val="0"/>
        <w:adjustRightInd w:val="0"/>
        <w:spacing w:after="0" w:line="300" w:lineRule="atLeast"/>
        <w:ind w:left="924" w:hanging="357"/>
        <w:jc w:val="both"/>
        <w:rPr>
          <w:rFonts w:ascii="Times New Roman" w:eastAsia="Times New Roman" w:hAnsi="Times New Roman" w:cs="Times New Roman"/>
          <w:bCs/>
          <w:color w:val="000000"/>
          <w:sz w:val="24"/>
          <w:szCs w:val="24"/>
          <w:lang w:eastAsia="pl-PL"/>
        </w:rPr>
      </w:pPr>
      <w:r w:rsidRPr="007F400A">
        <w:rPr>
          <w:rFonts w:ascii="Times New Roman" w:eastAsia="Times New Roman" w:hAnsi="Times New Roman" w:cs="Times New Roman"/>
          <w:bCs/>
          <w:color w:val="000000"/>
          <w:sz w:val="24"/>
          <w:szCs w:val="24"/>
          <w:lang w:eastAsia="pl-PL"/>
        </w:rPr>
        <w:t xml:space="preserve">Raport w zakresie informacji dotyczących </w:t>
      </w:r>
      <w:r w:rsidR="006862E4">
        <w:rPr>
          <w:rFonts w:ascii="Times New Roman" w:eastAsia="Times New Roman" w:hAnsi="Times New Roman" w:cs="Times New Roman"/>
          <w:bCs/>
          <w:color w:val="000000"/>
          <w:sz w:val="24"/>
          <w:szCs w:val="24"/>
          <w:lang w:eastAsia="pl-PL"/>
        </w:rPr>
        <w:t xml:space="preserve">planowanego </w:t>
      </w:r>
      <w:r w:rsidRPr="007F400A">
        <w:rPr>
          <w:rFonts w:ascii="Times New Roman" w:eastAsia="Times New Roman" w:hAnsi="Times New Roman" w:cs="Times New Roman"/>
          <w:bCs/>
          <w:color w:val="000000"/>
          <w:sz w:val="24"/>
          <w:szCs w:val="24"/>
          <w:lang w:eastAsia="pl-PL"/>
        </w:rPr>
        <w:t>systemu oceny jakości powietrza.</w:t>
      </w:r>
    </w:p>
    <w:p w14:paraId="10D28A38" w14:textId="77777777" w:rsidR="00A9083C" w:rsidRDefault="006862E4" w:rsidP="00D80FBD">
      <w:pPr>
        <w:numPr>
          <w:ilvl w:val="0"/>
          <w:numId w:val="44"/>
        </w:numPr>
        <w:autoSpaceDE w:val="0"/>
        <w:autoSpaceDN w:val="0"/>
        <w:adjustRightInd w:val="0"/>
        <w:spacing w:after="0" w:line="300" w:lineRule="atLeast"/>
        <w:ind w:left="924" w:hanging="357"/>
        <w:jc w:val="both"/>
        <w:rPr>
          <w:rFonts w:ascii="Times New Roman" w:eastAsia="Times New Roman" w:hAnsi="Times New Roman" w:cs="Times New Roman"/>
          <w:bCs/>
          <w:color w:val="000000"/>
          <w:sz w:val="24"/>
          <w:szCs w:val="24"/>
          <w:lang w:eastAsia="pl-PL"/>
        </w:rPr>
      </w:pPr>
      <w:r w:rsidRPr="006862E4">
        <w:rPr>
          <w:rFonts w:ascii="Times New Roman" w:eastAsia="Times New Roman" w:hAnsi="Times New Roman" w:cs="Times New Roman"/>
          <w:bCs/>
          <w:color w:val="000000"/>
          <w:sz w:val="24"/>
          <w:szCs w:val="24"/>
          <w:lang w:eastAsia="pl-PL"/>
        </w:rPr>
        <w:t>Sprawozdanie do Komisji Europejskiej w sprawie Europejskiego Rejestru Uwalniania i Transferu Zanieczyszczeń za 2021 r.</w:t>
      </w:r>
      <w:r w:rsidR="00895F16" w:rsidRPr="007F400A">
        <w:rPr>
          <w:rFonts w:ascii="Times New Roman" w:eastAsia="Times New Roman" w:hAnsi="Times New Roman" w:cs="Times New Roman"/>
          <w:bCs/>
          <w:color w:val="000000"/>
          <w:sz w:val="24"/>
          <w:szCs w:val="24"/>
          <w:lang w:eastAsia="pl-PL"/>
        </w:rPr>
        <w:t xml:space="preserve"> </w:t>
      </w:r>
    </w:p>
    <w:p w14:paraId="2EF6F16B" w14:textId="7253ED6F" w:rsidR="00A9083C" w:rsidRDefault="00C90B13" w:rsidP="00D80FBD">
      <w:pPr>
        <w:numPr>
          <w:ilvl w:val="0"/>
          <w:numId w:val="44"/>
        </w:numPr>
        <w:autoSpaceDE w:val="0"/>
        <w:autoSpaceDN w:val="0"/>
        <w:adjustRightInd w:val="0"/>
        <w:spacing w:after="0" w:line="300" w:lineRule="atLeast"/>
        <w:ind w:left="924" w:hanging="357"/>
        <w:jc w:val="both"/>
        <w:rPr>
          <w:rFonts w:ascii="Times New Roman" w:eastAsia="Times New Roman" w:hAnsi="Times New Roman" w:cs="Times New Roman"/>
          <w:bCs/>
          <w:color w:val="000000"/>
          <w:sz w:val="24"/>
          <w:szCs w:val="24"/>
          <w:lang w:eastAsia="pl-PL"/>
        </w:rPr>
      </w:pPr>
      <w:r>
        <w:rPr>
          <w:rFonts w:ascii="Times New Roman" w:eastAsia="Times New Roman" w:hAnsi="Times New Roman" w:cs="Times New Roman"/>
          <w:bCs/>
          <w:color w:val="000000"/>
          <w:sz w:val="24"/>
          <w:szCs w:val="24"/>
          <w:lang w:eastAsia="pl-PL"/>
        </w:rPr>
        <w:t>S</w:t>
      </w:r>
      <w:r w:rsidR="00A9083C" w:rsidRPr="00A9083C">
        <w:rPr>
          <w:rFonts w:ascii="Times New Roman" w:eastAsia="Times New Roman" w:hAnsi="Times New Roman" w:cs="Times New Roman"/>
          <w:bCs/>
          <w:color w:val="000000"/>
          <w:sz w:val="24"/>
          <w:szCs w:val="24"/>
          <w:lang w:eastAsia="pl-PL"/>
        </w:rPr>
        <w:t>prawozdani</w:t>
      </w:r>
      <w:r>
        <w:rPr>
          <w:rFonts w:ascii="Times New Roman" w:eastAsia="Times New Roman" w:hAnsi="Times New Roman" w:cs="Times New Roman"/>
          <w:bCs/>
          <w:color w:val="000000"/>
          <w:sz w:val="24"/>
          <w:szCs w:val="24"/>
          <w:lang w:eastAsia="pl-PL"/>
        </w:rPr>
        <w:t>e</w:t>
      </w:r>
      <w:r w:rsidR="00A9083C" w:rsidRPr="00A9083C">
        <w:rPr>
          <w:rFonts w:ascii="Times New Roman" w:eastAsia="Times New Roman" w:hAnsi="Times New Roman" w:cs="Times New Roman"/>
          <w:bCs/>
          <w:color w:val="000000"/>
          <w:sz w:val="24"/>
          <w:szCs w:val="24"/>
          <w:lang w:eastAsia="pl-PL"/>
        </w:rPr>
        <w:t xml:space="preserve"> dla Ministerstwa Klimatu i Środowiska z przestrzegania przepisów dotyczących substancji kontrolowanych, nowych substancji oraz fluorowanych gazów cieplarnianych w 2021 r.</w:t>
      </w:r>
      <w:r w:rsidR="00895F16" w:rsidRPr="00A9083C">
        <w:rPr>
          <w:rFonts w:ascii="Times New Roman" w:eastAsia="Times New Roman" w:hAnsi="Times New Roman" w:cs="Times New Roman"/>
          <w:bCs/>
          <w:color w:val="000000"/>
          <w:sz w:val="24"/>
          <w:szCs w:val="24"/>
          <w:lang w:eastAsia="pl-PL"/>
        </w:rPr>
        <w:t xml:space="preserve"> </w:t>
      </w:r>
    </w:p>
    <w:p w14:paraId="5F9F70FC" w14:textId="4D35C021" w:rsidR="00895F16" w:rsidRPr="00A9083C" w:rsidRDefault="00C90B13" w:rsidP="00D80FBD">
      <w:pPr>
        <w:numPr>
          <w:ilvl w:val="0"/>
          <w:numId w:val="44"/>
        </w:numPr>
        <w:autoSpaceDE w:val="0"/>
        <w:autoSpaceDN w:val="0"/>
        <w:adjustRightInd w:val="0"/>
        <w:spacing w:after="0" w:line="300" w:lineRule="atLeast"/>
        <w:ind w:left="924" w:hanging="357"/>
        <w:jc w:val="both"/>
        <w:rPr>
          <w:rFonts w:ascii="Times New Roman" w:eastAsia="Times New Roman" w:hAnsi="Times New Roman" w:cs="Times New Roman"/>
          <w:bCs/>
          <w:color w:val="000000"/>
          <w:sz w:val="24"/>
          <w:szCs w:val="24"/>
          <w:lang w:eastAsia="pl-PL"/>
        </w:rPr>
      </w:pPr>
      <w:r>
        <w:rPr>
          <w:rFonts w:ascii="Times New Roman" w:eastAsia="Times New Roman" w:hAnsi="Times New Roman" w:cs="Times New Roman"/>
          <w:bCs/>
          <w:color w:val="000000"/>
          <w:sz w:val="24"/>
          <w:szCs w:val="24"/>
          <w:lang w:eastAsia="pl-PL"/>
        </w:rPr>
        <w:t>S</w:t>
      </w:r>
      <w:r w:rsidR="00A9083C" w:rsidRPr="00A9083C">
        <w:rPr>
          <w:rFonts w:ascii="Times New Roman" w:eastAsia="Times New Roman" w:hAnsi="Times New Roman" w:cs="Times New Roman"/>
          <w:bCs/>
          <w:color w:val="000000"/>
          <w:sz w:val="24"/>
          <w:szCs w:val="24"/>
          <w:lang w:eastAsia="pl-PL"/>
        </w:rPr>
        <w:t>prawozdani</w:t>
      </w:r>
      <w:r>
        <w:rPr>
          <w:rFonts w:ascii="Times New Roman" w:eastAsia="Times New Roman" w:hAnsi="Times New Roman" w:cs="Times New Roman"/>
          <w:bCs/>
          <w:color w:val="000000"/>
          <w:sz w:val="24"/>
          <w:szCs w:val="24"/>
          <w:lang w:eastAsia="pl-PL"/>
        </w:rPr>
        <w:t>e</w:t>
      </w:r>
      <w:r w:rsidR="00A9083C" w:rsidRPr="00A9083C">
        <w:rPr>
          <w:rFonts w:ascii="Times New Roman" w:eastAsia="Times New Roman" w:hAnsi="Times New Roman" w:cs="Times New Roman"/>
          <w:bCs/>
          <w:color w:val="000000"/>
          <w:sz w:val="24"/>
          <w:szCs w:val="24"/>
          <w:lang w:eastAsia="pl-PL"/>
        </w:rPr>
        <w:t xml:space="preserve"> dotyczące przeprowadzonej przez Inspekcję Ochrony Środowiska kontroli producentów i użytkowników produktów zawierających lotne związki organiczne – farby i lakiery przeznaczone do malowania budynków i ich elementów wykończeniowych, wyposażeniowych oraz związanych z budynkami i tymi elementami konstrukcji oraz mieszaniny do odnawiania pojazdów, w zakresie spełniania wymagań w 2021 r.</w:t>
      </w:r>
    </w:p>
    <w:p w14:paraId="26E9D56A" w14:textId="31073CE7" w:rsidR="00BF2782" w:rsidRDefault="00C90B13" w:rsidP="00D80FBD">
      <w:pPr>
        <w:numPr>
          <w:ilvl w:val="0"/>
          <w:numId w:val="44"/>
        </w:numPr>
        <w:autoSpaceDE w:val="0"/>
        <w:autoSpaceDN w:val="0"/>
        <w:adjustRightInd w:val="0"/>
        <w:spacing w:after="0" w:line="300" w:lineRule="atLeast"/>
        <w:ind w:left="924" w:hanging="357"/>
        <w:jc w:val="both"/>
        <w:rPr>
          <w:rFonts w:ascii="Times New Roman" w:eastAsia="Times New Roman" w:hAnsi="Times New Roman" w:cs="Times New Roman"/>
          <w:bCs/>
          <w:color w:val="000000"/>
          <w:sz w:val="24"/>
          <w:szCs w:val="24"/>
          <w:lang w:eastAsia="pl-PL"/>
        </w:rPr>
      </w:pPr>
      <w:r>
        <w:rPr>
          <w:rFonts w:ascii="Times New Roman" w:eastAsia="Times New Roman" w:hAnsi="Times New Roman" w:cs="Times New Roman"/>
          <w:bCs/>
          <w:color w:val="000000"/>
          <w:sz w:val="24"/>
          <w:szCs w:val="24"/>
          <w:lang w:eastAsia="pl-PL"/>
        </w:rPr>
        <w:t>S</w:t>
      </w:r>
      <w:r w:rsidR="00BF2782" w:rsidRPr="00BF2782">
        <w:rPr>
          <w:rFonts w:ascii="Times New Roman" w:eastAsia="Times New Roman" w:hAnsi="Times New Roman" w:cs="Times New Roman"/>
          <w:bCs/>
          <w:color w:val="000000"/>
          <w:sz w:val="24"/>
          <w:szCs w:val="24"/>
          <w:lang w:eastAsia="pl-PL"/>
        </w:rPr>
        <w:t>prawozdani</w:t>
      </w:r>
      <w:r>
        <w:rPr>
          <w:rFonts w:ascii="Times New Roman" w:eastAsia="Times New Roman" w:hAnsi="Times New Roman" w:cs="Times New Roman"/>
          <w:bCs/>
          <w:color w:val="000000"/>
          <w:sz w:val="24"/>
          <w:szCs w:val="24"/>
          <w:lang w:eastAsia="pl-PL"/>
        </w:rPr>
        <w:t>e</w:t>
      </w:r>
      <w:r w:rsidR="00BF2782" w:rsidRPr="00BF2782">
        <w:rPr>
          <w:rFonts w:ascii="Times New Roman" w:eastAsia="Times New Roman" w:hAnsi="Times New Roman" w:cs="Times New Roman"/>
          <w:bCs/>
          <w:color w:val="000000"/>
          <w:sz w:val="24"/>
          <w:szCs w:val="24"/>
          <w:lang w:eastAsia="pl-PL"/>
        </w:rPr>
        <w:t xml:space="preserve"> z przeprowadzonych kontroli wyrobów przez Inspekcję Ochrony Środowiska w 2021 r</w:t>
      </w:r>
      <w:r w:rsidR="00BF2782">
        <w:rPr>
          <w:rFonts w:ascii="Times New Roman" w:eastAsia="Times New Roman" w:hAnsi="Times New Roman" w:cs="Times New Roman"/>
          <w:bCs/>
          <w:color w:val="000000"/>
          <w:sz w:val="24"/>
          <w:szCs w:val="24"/>
          <w:lang w:eastAsia="pl-PL"/>
        </w:rPr>
        <w:t>.</w:t>
      </w:r>
    </w:p>
    <w:p w14:paraId="5CA83E3C" w14:textId="4AD9029B" w:rsidR="00895F16" w:rsidRPr="00BF2782" w:rsidRDefault="00C90B13" w:rsidP="00D80FBD">
      <w:pPr>
        <w:numPr>
          <w:ilvl w:val="0"/>
          <w:numId w:val="44"/>
        </w:numPr>
        <w:autoSpaceDE w:val="0"/>
        <w:autoSpaceDN w:val="0"/>
        <w:adjustRightInd w:val="0"/>
        <w:spacing w:after="0" w:line="300" w:lineRule="atLeast"/>
        <w:ind w:left="924" w:hanging="357"/>
        <w:jc w:val="both"/>
        <w:rPr>
          <w:rFonts w:ascii="Times New Roman" w:eastAsia="Times New Roman" w:hAnsi="Times New Roman" w:cs="Times New Roman"/>
          <w:bCs/>
          <w:color w:val="000000"/>
          <w:sz w:val="24"/>
          <w:szCs w:val="24"/>
          <w:lang w:eastAsia="pl-PL"/>
        </w:rPr>
      </w:pPr>
      <w:r>
        <w:rPr>
          <w:rFonts w:ascii="Times New Roman" w:eastAsia="Times New Roman" w:hAnsi="Times New Roman" w:cs="Times New Roman"/>
          <w:bCs/>
          <w:color w:val="000000"/>
          <w:sz w:val="24"/>
          <w:szCs w:val="24"/>
          <w:lang w:eastAsia="pl-PL"/>
        </w:rPr>
        <w:t>R</w:t>
      </w:r>
      <w:r w:rsidR="00BF2782" w:rsidRPr="00BF2782">
        <w:rPr>
          <w:rFonts w:ascii="Times New Roman" w:eastAsia="Times New Roman" w:hAnsi="Times New Roman" w:cs="Times New Roman"/>
          <w:bCs/>
          <w:color w:val="000000"/>
          <w:sz w:val="24"/>
          <w:szCs w:val="24"/>
          <w:lang w:eastAsia="pl-PL"/>
        </w:rPr>
        <w:t>aport do Komisji Europejskiej z realizacji przepisów rozporządzenia PEiR (UE) Nr 995/2010 z dnia 20.10.2010 r. ustanawiającego obowiązki podmiotów wprowadzających do obrotu drewno i produkty z drewna w 2021 r.</w:t>
      </w:r>
    </w:p>
    <w:p w14:paraId="3D686D86" w14:textId="2E20FE80" w:rsidR="00895F16" w:rsidRPr="007F400A" w:rsidRDefault="00C90B13" w:rsidP="00D80FBD">
      <w:pPr>
        <w:numPr>
          <w:ilvl w:val="0"/>
          <w:numId w:val="44"/>
        </w:numPr>
        <w:autoSpaceDE w:val="0"/>
        <w:autoSpaceDN w:val="0"/>
        <w:adjustRightInd w:val="0"/>
        <w:spacing w:after="0" w:line="300" w:lineRule="atLeast"/>
        <w:ind w:left="924" w:hanging="357"/>
        <w:jc w:val="both"/>
        <w:rPr>
          <w:rFonts w:ascii="Times New Roman" w:eastAsia="Times New Roman" w:hAnsi="Times New Roman" w:cs="Times New Roman"/>
          <w:bCs/>
          <w:color w:val="000000"/>
          <w:sz w:val="24"/>
          <w:szCs w:val="24"/>
          <w:lang w:eastAsia="pl-PL"/>
        </w:rPr>
      </w:pPr>
      <w:r>
        <w:rPr>
          <w:rFonts w:ascii="Times New Roman" w:eastAsia="Times New Roman" w:hAnsi="Times New Roman" w:cs="Times New Roman"/>
          <w:bCs/>
          <w:color w:val="000000"/>
          <w:sz w:val="24"/>
          <w:szCs w:val="24"/>
          <w:lang w:eastAsia="pl-PL"/>
        </w:rPr>
        <w:t>R</w:t>
      </w:r>
      <w:r w:rsidR="00BF2782" w:rsidRPr="00BF2782">
        <w:rPr>
          <w:rFonts w:ascii="Times New Roman" w:eastAsia="Times New Roman" w:hAnsi="Times New Roman" w:cs="Times New Roman"/>
          <w:bCs/>
          <w:color w:val="000000"/>
          <w:sz w:val="24"/>
          <w:szCs w:val="24"/>
          <w:lang w:eastAsia="pl-PL"/>
        </w:rPr>
        <w:t>aport z przeprowadzonej przez Inspekcję Ochrony Środowiska kontroli zawartości siarki w ciężkim oleju opałowym oraz w oleju do silników statków żeglugi śródlądowej w 2021 r.</w:t>
      </w:r>
    </w:p>
    <w:p w14:paraId="36A9ED86" w14:textId="77777777" w:rsidR="008D4D44" w:rsidRDefault="008D4D44" w:rsidP="00D80FBD">
      <w:pPr>
        <w:numPr>
          <w:ilvl w:val="0"/>
          <w:numId w:val="44"/>
        </w:numPr>
        <w:autoSpaceDE w:val="0"/>
        <w:autoSpaceDN w:val="0"/>
        <w:adjustRightInd w:val="0"/>
        <w:spacing w:after="0" w:line="300" w:lineRule="atLeast"/>
        <w:ind w:left="924" w:hanging="357"/>
        <w:jc w:val="both"/>
        <w:rPr>
          <w:rFonts w:ascii="Times New Roman" w:eastAsia="Times New Roman" w:hAnsi="Times New Roman" w:cs="Times New Roman"/>
          <w:bCs/>
          <w:color w:val="000000"/>
          <w:sz w:val="24"/>
          <w:szCs w:val="24"/>
          <w:lang w:eastAsia="pl-PL"/>
        </w:rPr>
      </w:pPr>
      <w:r>
        <w:rPr>
          <w:rFonts w:ascii="Times New Roman" w:eastAsia="Times New Roman" w:hAnsi="Times New Roman" w:cs="Times New Roman"/>
          <w:bCs/>
          <w:color w:val="000000"/>
          <w:sz w:val="24"/>
          <w:szCs w:val="24"/>
          <w:lang w:eastAsia="pl-PL"/>
        </w:rPr>
        <w:t>R</w:t>
      </w:r>
      <w:r w:rsidRPr="008D4D44">
        <w:rPr>
          <w:rFonts w:ascii="Times New Roman" w:eastAsia="Times New Roman" w:hAnsi="Times New Roman" w:cs="Times New Roman"/>
          <w:bCs/>
          <w:color w:val="000000"/>
          <w:sz w:val="24"/>
          <w:szCs w:val="24"/>
          <w:lang w:eastAsia="pl-PL"/>
        </w:rPr>
        <w:t>aport na temat wykonywania przez GIOŚ zadania: Prowadzenie wydzielonego ośrodka krajowego ds. Konwencji Bazylejskiej o kontroli transgranicznego przemieszczania i usuwania odpadów niebezpiecznych</w:t>
      </w:r>
      <w:r w:rsidR="00895F16" w:rsidRPr="007F400A">
        <w:rPr>
          <w:rFonts w:ascii="Times New Roman" w:eastAsia="Times New Roman" w:hAnsi="Times New Roman" w:cs="Times New Roman"/>
          <w:bCs/>
          <w:color w:val="000000"/>
          <w:sz w:val="24"/>
          <w:szCs w:val="24"/>
          <w:lang w:eastAsia="pl-PL"/>
        </w:rPr>
        <w:t>.</w:t>
      </w:r>
    </w:p>
    <w:p w14:paraId="7B4691F8" w14:textId="28CF6031" w:rsidR="00895F16" w:rsidRPr="008D4D44" w:rsidRDefault="008D4D44" w:rsidP="00D80FBD">
      <w:pPr>
        <w:numPr>
          <w:ilvl w:val="0"/>
          <w:numId w:val="44"/>
        </w:numPr>
        <w:autoSpaceDE w:val="0"/>
        <w:autoSpaceDN w:val="0"/>
        <w:adjustRightInd w:val="0"/>
        <w:spacing w:after="0" w:line="300" w:lineRule="atLeast"/>
        <w:ind w:left="924" w:hanging="357"/>
        <w:jc w:val="both"/>
        <w:rPr>
          <w:rFonts w:ascii="Times New Roman" w:eastAsia="Times New Roman" w:hAnsi="Times New Roman" w:cs="Times New Roman"/>
          <w:bCs/>
          <w:color w:val="000000"/>
          <w:sz w:val="24"/>
          <w:szCs w:val="24"/>
          <w:lang w:eastAsia="pl-PL"/>
        </w:rPr>
      </w:pPr>
      <w:r w:rsidRPr="008D4D44">
        <w:rPr>
          <w:rFonts w:ascii="Times New Roman" w:eastAsia="Times New Roman" w:hAnsi="Times New Roman" w:cs="Times New Roman"/>
          <w:bCs/>
          <w:color w:val="000000"/>
          <w:sz w:val="24"/>
          <w:szCs w:val="24"/>
          <w:lang w:eastAsia="pl-PL"/>
        </w:rPr>
        <w:t>Informacja dla Komisji Europejskiej o realizacji przez Inspekcję Ochrony Środowiska zadań z zakresu transgranicznego przemieszczania odpadów za 2021 r. – Kwestionariusz w związku z obowiązkiem sprawozdawczym Państw Członkowskich zgodnie z rozporządzeniem Parlamentu Europejskiego i Rady Europy nr 1013/2006  w sprawie przemieszczania odpadów</w:t>
      </w:r>
      <w:r w:rsidR="00895F16" w:rsidRPr="008D4D44">
        <w:rPr>
          <w:rFonts w:ascii="Times New Roman" w:eastAsia="Times New Roman" w:hAnsi="Times New Roman" w:cs="Times New Roman"/>
          <w:bCs/>
          <w:color w:val="000000"/>
          <w:sz w:val="24"/>
          <w:szCs w:val="24"/>
          <w:lang w:eastAsia="pl-PL"/>
        </w:rPr>
        <w:t>.</w:t>
      </w:r>
    </w:p>
    <w:p w14:paraId="5D5ACF34" w14:textId="0DDA7916" w:rsidR="00895F16" w:rsidRDefault="00875607" w:rsidP="00D80FBD">
      <w:pPr>
        <w:numPr>
          <w:ilvl w:val="0"/>
          <w:numId w:val="44"/>
        </w:numPr>
        <w:autoSpaceDE w:val="0"/>
        <w:autoSpaceDN w:val="0"/>
        <w:adjustRightInd w:val="0"/>
        <w:spacing w:after="0" w:line="300" w:lineRule="atLeast"/>
        <w:ind w:left="924" w:hanging="357"/>
        <w:jc w:val="both"/>
        <w:rPr>
          <w:rFonts w:ascii="Times New Roman" w:eastAsia="Times New Roman" w:hAnsi="Times New Roman" w:cs="Times New Roman"/>
          <w:bCs/>
          <w:color w:val="000000"/>
          <w:sz w:val="24"/>
          <w:szCs w:val="24"/>
          <w:lang w:eastAsia="pl-PL"/>
        </w:rPr>
      </w:pPr>
      <w:r>
        <w:rPr>
          <w:rFonts w:ascii="Times New Roman" w:eastAsia="Times New Roman" w:hAnsi="Times New Roman" w:cs="Times New Roman"/>
          <w:bCs/>
          <w:color w:val="000000"/>
          <w:sz w:val="24"/>
          <w:szCs w:val="24"/>
          <w:lang w:eastAsia="pl-PL"/>
        </w:rPr>
        <w:t>I</w:t>
      </w:r>
      <w:r w:rsidRPr="00875607">
        <w:rPr>
          <w:rFonts w:ascii="Times New Roman" w:eastAsia="Times New Roman" w:hAnsi="Times New Roman" w:cs="Times New Roman"/>
          <w:bCs/>
          <w:color w:val="000000"/>
          <w:sz w:val="24"/>
          <w:szCs w:val="24"/>
          <w:lang w:eastAsia="pl-PL"/>
        </w:rPr>
        <w:t>nformacj</w:t>
      </w:r>
      <w:r>
        <w:rPr>
          <w:rFonts w:ascii="Times New Roman" w:eastAsia="Times New Roman" w:hAnsi="Times New Roman" w:cs="Times New Roman"/>
          <w:bCs/>
          <w:color w:val="000000"/>
          <w:sz w:val="24"/>
          <w:szCs w:val="24"/>
          <w:lang w:eastAsia="pl-PL"/>
        </w:rPr>
        <w:t>a</w:t>
      </w:r>
      <w:r w:rsidRPr="00875607">
        <w:rPr>
          <w:rFonts w:ascii="Times New Roman" w:eastAsia="Times New Roman" w:hAnsi="Times New Roman" w:cs="Times New Roman"/>
          <w:bCs/>
          <w:color w:val="000000"/>
          <w:sz w:val="24"/>
          <w:szCs w:val="24"/>
          <w:lang w:eastAsia="pl-PL"/>
        </w:rPr>
        <w:t xml:space="preserve"> dla Sekretariatu Konwencji Bazylejskiej, Rotterdamskiej i Sztokholmskiej o wdrażaniu przez Polskę Konwencji Bazylejskiej zawierając</w:t>
      </w:r>
      <w:r>
        <w:rPr>
          <w:rFonts w:ascii="Times New Roman" w:eastAsia="Times New Roman" w:hAnsi="Times New Roman" w:cs="Times New Roman"/>
          <w:bCs/>
          <w:color w:val="000000"/>
          <w:sz w:val="24"/>
          <w:szCs w:val="24"/>
          <w:lang w:eastAsia="pl-PL"/>
        </w:rPr>
        <w:t>a</w:t>
      </w:r>
      <w:r w:rsidRPr="00875607">
        <w:rPr>
          <w:rFonts w:ascii="Times New Roman" w:eastAsia="Times New Roman" w:hAnsi="Times New Roman" w:cs="Times New Roman"/>
          <w:bCs/>
          <w:color w:val="000000"/>
          <w:sz w:val="24"/>
          <w:szCs w:val="24"/>
          <w:lang w:eastAsia="pl-PL"/>
        </w:rPr>
        <w:t xml:space="preserve"> dane za 2021 r.</w:t>
      </w:r>
    </w:p>
    <w:p w14:paraId="69012B22" w14:textId="4112A4E7" w:rsidR="00BF2782" w:rsidRDefault="00BF2782" w:rsidP="00D80FBD">
      <w:pPr>
        <w:numPr>
          <w:ilvl w:val="0"/>
          <w:numId w:val="44"/>
        </w:numPr>
        <w:autoSpaceDE w:val="0"/>
        <w:autoSpaceDN w:val="0"/>
        <w:adjustRightInd w:val="0"/>
        <w:spacing w:after="0" w:line="300" w:lineRule="atLeast"/>
        <w:ind w:left="924" w:hanging="357"/>
        <w:jc w:val="both"/>
        <w:rPr>
          <w:rFonts w:ascii="Times New Roman" w:eastAsia="Times New Roman" w:hAnsi="Times New Roman" w:cs="Times New Roman"/>
          <w:bCs/>
          <w:color w:val="000000"/>
          <w:sz w:val="24"/>
          <w:szCs w:val="24"/>
          <w:lang w:eastAsia="pl-PL"/>
        </w:rPr>
      </w:pPr>
      <w:r>
        <w:rPr>
          <w:rFonts w:ascii="Times New Roman" w:eastAsia="Times New Roman" w:hAnsi="Times New Roman" w:cs="Times New Roman"/>
          <w:bCs/>
          <w:color w:val="000000"/>
          <w:sz w:val="24"/>
          <w:szCs w:val="24"/>
          <w:lang w:eastAsia="pl-PL"/>
        </w:rPr>
        <w:t>R</w:t>
      </w:r>
      <w:r w:rsidRPr="00BF2782">
        <w:rPr>
          <w:rFonts w:ascii="Times New Roman" w:eastAsia="Times New Roman" w:hAnsi="Times New Roman" w:cs="Times New Roman"/>
          <w:bCs/>
          <w:color w:val="000000"/>
          <w:sz w:val="24"/>
          <w:szCs w:val="24"/>
          <w:lang w:eastAsia="pl-PL"/>
        </w:rPr>
        <w:t>aport za 2019 r. o funkcjonowaniu systemu gospodarki zużytym sprzętem elektrycznym i elektronicznym</w:t>
      </w:r>
      <w:r>
        <w:rPr>
          <w:rFonts w:ascii="Times New Roman" w:eastAsia="Times New Roman" w:hAnsi="Times New Roman" w:cs="Times New Roman"/>
          <w:bCs/>
          <w:color w:val="000000"/>
          <w:sz w:val="24"/>
          <w:szCs w:val="24"/>
          <w:lang w:eastAsia="pl-PL"/>
        </w:rPr>
        <w:t xml:space="preserve">. </w:t>
      </w:r>
    </w:p>
    <w:p w14:paraId="034CF834" w14:textId="2A25BF8E" w:rsidR="00BF2782" w:rsidRDefault="00BF2782" w:rsidP="00D80FBD">
      <w:pPr>
        <w:numPr>
          <w:ilvl w:val="0"/>
          <w:numId w:val="44"/>
        </w:numPr>
        <w:autoSpaceDE w:val="0"/>
        <w:autoSpaceDN w:val="0"/>
        <w:adjustRightInd w:val="0"/>
        <w:spacing w:after="0" w:line="300" w:lineRule="atLeast"/>
        <w:ind w:left="924" w:hanging="357"/>
        <w:jc w:val="both"/>
        <w:rPr>
          <w:rFonts w:ascii="Times New Roman" w:eastAsia="Times New Roman" w:hAnsi="Times New Roman" w:cs="Times New Roman"/>
          <w:bCs/>
          <w:color w:val="000000"/>
          <w:sz w:val="24"/>
          <w:szCs w:val="24"/>
          <w:lang w:eastAsia="pl-PL"/>
        </w:rPr>
      </w:pPr>
      <w:r>
        <w:rPr>
          <w:rFonts w:ascii="Times New Roman" w:eastAsia="Times New Roman" w:hAnsi="Times New Roman" w:cs="Times New Roman"/>
          <w:bCs/>
          <w:color w:val="000000"/>
          <w:sz w:val="24"/>
          <w:szCs w:val="24"/>
          <w:lang w:eastAsia="pl-PL"/>
        </w:rPr>
        <w:t>R</w:t>
      </w:r>
      <w:r w:rsidRPr="00BF2782">
        <w:rPr>
          <w:rFonts w:ascii="Times New Roman" w:eastAsia="Times New Roman" w:hAnsi="Times New Roman" w:cs="Times New Roman"/>
          <w:bCs/>
          <w:color w:val="000000"/>
          <w:sz w:val="24"/>
          <w:szCs w:val="24"/>
          <w:lang w:eastAsia="pl-PL"/>
        </w:rPr>
        <w:t>aport za 2020 r. o funkcjonowaniu systemu gospodarki zużytym sprzętem elektrycznym i elektronicznym</w:t>
      </w:r>
      <w:r>
        <w:rPr>
          <w:rFonts w:ascii="Times New Roman" w:eastAsia="Times New Roman" w:hAnsi="Times New Roman" w:cs="Times New Roman"/>
          <w:bCs/>
          <w:color w:val="000000"/>
          <w:sz w:val="24"/>
          <w:szCs w:val="24"/>
          <w:lang w:eastAsia="pl-PL"/>
        </w:rPr>
        <w:t xml:space="preserve">. </w:t>
      </w:r>
    </w:p>
    <w:p w14:paraId="05326482" w14:textId="4D2B3387" w:rsidR="00BF2782" w:rsidRDefault="00BF2782" w:rsidP="00D80FBD">
      <w:pPr>
        <w:numPr>
          <w:ilvl w:val="0"/>
          <w:numId w:val="44"/>
        </w:numPr>
        <w:autoSpaceDE w:val="0"/>
        <w:autoSpaceDN w:val="0"/>
        <w:adjustRightInd w:val="0"/>
        <w:spacing w:after="0" w:line="300" w:lineRule="atLeast"/>
        <w:ind w:left="924" w:hanging="357"/>
        <w:jc w:val="both"/>
        <w:rPr>
          <w:rFonts w:ascii="Times New Roman" w:eastAsia="Times New Roman" w:hAnsi="Times New Roman" w:cs="Times New Roman"/>
          <w:bCs/>
          <w:color w:val="000000"/>
          <w:sz w:val="24"/>
          <w:szCs w:val="24"/>
          <w:lang w:eastAsia="pl-PL"/>
        </w:rPr>
      </w:pPr>
      <w:r>
        <w:rPr>
          <w:rFonts w:ascii="Times New Roman" w:eastAsia="Times New Roman" w:hAnsi="Times New Roman" w:cs="Times New Roman"/>
          <w:bCs/>
          <w:color w:val="000000"/>
          <w:sz w:val="24"/>
          <w:szCs w:val="24"/>
          <w:lang w:eastAsia="pl-PL"/>
        </w:rPr>
        <w:lastRenderedPageBreak/>
        <w:t>R</w:t>
      </w:r>
      <w:r w:rsidRPr="00BF2782">
        <w:rPr>
          <w:rFonts w:ascii="Times New Roman" w:eastAsia="Times New Roman" w:hAnsi="Times New Roman" w:cs="Times New Roman"/>
          <w:bCs/>
          <w:color w:val="000000"/>
          <w:sz w:val="24"/>
          <w:szCs w:val="24"/>
          <w:lang w:eastAsia="pl-PL"/>
        </w:rPr>
        <w:t>aport za 2021 r. o funkcjonowaniu systemu gospodarki zużytym sprzętem elektrycznym i elektronicznym</w:t>
      </w:r>
      <w:r>
        <w:rPr>
          <w:rFonts w:ascii="Times New Roman" w:eastAsia="Times New Roman" w:hAnsi="Times New Roman" w:cs="Times New Roman"/>
          <w:bCs/>
          <w:color w:val="000000"/>
          <w:sz w:val="24"/>
          <w:szCs w:val="24"/>
          <w:lang w:eastAsia="pl-PL"/>
        </w:rPr>
        <w:t xml:space="preserve">. </w:t>
      </w:r>
    </w:p>
    <w:p w14:paraId="0D64A2DB" w14:textId="1544C9AD" w:rsidR="00BF2782" w:rsidRPr="007F400A" w:rsidRDefault="008D4D44" w:rsidP="00D80FBD">
      <w:pPr>
        <w:numPr>
          <w:ilvl w:val="0"/>
          <w:numId w:val="44"/>
        </w:numPr>
        <w:autoSpaceDE w:val="0"/>
        <w:autoSpaceDN w:val="0"/>
        <w:adjustRightInd w:val="0"/>
        <w:spacing w:after="0" w:line="300" w:lineRule="atLeast"/>
        <w:ind w:left="924" w:hanging="357"/>
        <w:jc w:val="both"/>
        <w:rPr>
          <w:rFonts w:ascii="Times New Roman" w:eastAsia="Times New Roman" w:hAnsi="Times New Roman" w:cs="Times New Roman"/>
          <w:bCs/>
          <w:color w:val="000000"/>
          <w:sz w:val="24"/>
          <w:szCs w:val="24"/>
          <w:lang w:eastAsia="pl-PL"/>
        </w:rPr>
      </w:pPr>
      <w:r>
        <w:rPr>
          <w:rFonts w:ascii="Times New Roman" w:eastAsia="Times New Roman" w:hAnsi="Times New Roman" w:cs="Times New Roman"/>
          <w:bCs/>
          <w:color w:val="000000"/>
          <w:sz w:val="24"/>
          <w:szCs w:val="24"/>
          <w:lang w:eastAsia="pl-PL"/>
        </w:rPr>
        <w:t>R</w:t>
      </w:r>
      <w:r w:rsidRPr="008D4D44">
        <w:rPr>
          <w:rFonts w:ascii="Times New Roman" w:eastAsia="Times New Roman" w:hAnsi="Times New Roman" w:cs="Times New Roman"/>
          <w:bCs/>
          <w:color w:val="000000"/>
          <w:sz w:val="24"/>
          <w:szCs w:val="24"/>
          <w:lang w:eastAsia="pl-PL"/>
        </w:rPr>
        <w:t>aport za 2019 r. o funkcjonowaniu gospodarki bateriami i akumulatorami oraz zużytymi bateriami i zużytymi akumulatorami</w:t>
      </w:r>
      <w:r>
        <w:rPr>
          <w:rFonts w:ascii="Times New Roman" w:eastAsia="Times New Roman" w:hAnsi="Times New Roman" w:cs="Times New Roman"/>
          <w:bCs/>
          <w:color w:val="000000"/>
          <w:sz w:val="24"/>
          <w:szCs w:val="24"/>
          <w:lang w:eastAsia="pl-PL"/>
        </w:rPr>
        <w:t>.</w:t>
      </w:r>
    </w:p>
    <w:p w14:paraId="7FCBDE52" w14:textId="77777777" w:rsidR="00895F16" w:rsidRPr="007F400A" w:rsidRDefault="00895F16" w:rsidP="00D80FBD">
      <w:pPr>
        <w:autoSpaceDE w:val="0"/>
        <w:autoSpaceDN w:val="0"/>
        <w:adjustRightInd w:val="0"/>
        <w:spacing w:after="0" w:line="300" w:lineRule="atLeast"/>
        <w:ind w:left="397"/>
        <w:jc w:val="both"/>
        <w:rPr>
          <w:rFonts w:ascii="Times New Roman" w:eastAsia="Times New Roman" w:hAnsi="Times New Roman" w:cs="Times New Roman"/>
          <w:bCs/>
          <w:color w:val="000000"/>
          <w:sz w:val="24"/>
          <w:szCs w:val="24"/>
          <w:lang w:eastAsia="pl-PL"/>
        </w:rPr>
      </w:pPr>
    </w:p>
    <w:p w14:paraId="4B1CE739" w14:textId="003229CE" w:rsidR="00895F16" w:rsidRPr="007F400A" w:rsidRDefault="00AE56F5" w:rsidP="00D80FBD">
      <w:pPr>
        <w:keepNext/>
        <w:spacing w:after="120" w:line="300" w:lineRule="atLeast"/>
        <w:outlineLvl w:val="0"/>
        <w:rPr>
          <w:rFonts w:ascii="Times New Roman" w:eastAsia="Times New Roman" w:hAnsi="Times New Roman" w:cs="Times New Roman"/>
          <w:b/>
          <w:bCs/>
          <w:sz w:val="24"/>
          <w:szCs w:val="24"/>
          <w:lang w:val="x-none" w:eastAsia="x-none"/>
        </w:rPr>
      </w:pPr>
      <w:bookmarkStart w:id="488" w:name="_Toc36732668"/>
      <w:bookmarkStart w:id="489" w:name="_Toc135935747"/>
      <w:r>
        <w:rPr>
          <w:rFonts w:ascii="Times New Roman" w:eastAsia="Times New Roman" w:hAnsi="Times New Roman" w:cs="Times New Roman"/>
          <w:b/>
          <w:bCs/>
          <w:sz w:val="24"/>
          <w:szCs w:val="24"/>
          <w:lang w:eastAsia="x-none"/>
        </w:rPr>
        <w:t>5</w:t>
      </w:r>
      <w:r w:rsidR="00895F16" w:rsidRPr="007F400A">
        <w:rPr>
          <w:rFonts w:ascii="Times New Roman" w:eastAsia="Times New Roman" w:hAnsi="Times New Roman" w:cs="Times New Roman"/>
          <w:b/>
          <w:bCs/>
          <w:sz w:val="24"/>
          <w:szCs w:val="24"/>
          <w:lang w:eastAsia="x-none"/>
        </w:rPr>
        <w:t xml:space="preserve">. </w:t>
      </w:r>
      <w:bookmarkStart w:id="490" w:name="_Toc5878595"/>
      <w:r w:rsidR="00895F16" w:rsidRPr="007F400A">
        <w:rPr>
          <w:rFonts w:ascii="Times New Roman" w:eastAsia="Times New Roman" w:hAnsi="Times New Roman" w:cs="Times New Roman"/>
          <w:b/>
          <w:bCs/>
          <w:sz w:val="24"/>
          <w:szCs w:val="24"/>
          <w:lang w:val="x-none" w:eastAsia="x-none"/>
        </w:rPr>
        <w:t>Szkolenia</w:t>
      </w:r>
      <w:bookmarkEnd w:id="488"/>
      <w:bookmarkEnd w:id="489"/>
      <w:bookmarkEnd w:id="490"/>
    </w:p>
    <w:p w14:paraId="34C03FDE" w14:textId="45CE8E92" w:rsidR="00DC5E5D" w:rsidRDefault="00DC5E5D" w:rsidP="00D80FBD">
      <w:pPr>
        <w:spacing w:after="0" w:line="300" w:lineRule="atLeast"/>
        <w:ind w:firstLine="567"/>
        <w:jc w:val="both"/>
        <w:rPr>
          <w:rFonts w:ascii="Times New Roman" w:hAnsi="Times New Roman"/>
          <w:sz w:val="24"/>
          <w:szCs w:val="24"/>
        </w:rPr>
      </w:pPr>
      <w:bookmarkStart w:id="491" w:name="_Toc5878596"/>
      <w:r w:rsidRPr="00761FAA">
        <w:rPr>
          <w:rFonts w:ascii="Times New Roman" w:hAnsi="Times New Roman"/>
          <w:sz w:val="24"/>
          <w:szCs w:val="24"/>
        </w:rPr>
        <w:t>W</w:t>
      </w:r>
      <w:r>
        <w:rPr>
          <w:rFonts w:ascii="Times New Roman" w:hAnsi="Times New Roman"/>
          <w:sz w:val="24"/>
          <w:szCs w:val="24"/>
        </w:rPr>
        <w:t xml:space="preserve">edług danych przekazanych w </w:t>
      </w:r>
      <w:r w:rsidRPr="009067A1">
        <w:rPr>
          <w:rFonts w:ascii="Times New Roman" w:hAnsi="Times New Roman"/>
          <w:i/>
          <w:sz w:val="24"/>
          <w:szCs w:val="24"/>
        </w:rPr>
        <w:t xml:space="preserve">Rocznym sprawozdaniu dyrektora generalnego </w:t>
      </w:r>
      <w:r>
        <w:rPr>
          <w:rFonts w:ascii="Times New Roman" w:hAnsi="Times New Roman"/>
          <w:i/>
          <w:sz w:val="24"/>
          <w:szCs w:val="24"/>
        </w:rPr>
        <w:br/>
      </w:r>
      <w:r w:rsidRPr="009067A1">
        <w:rPr>
          <w:rFonts w:ascii="Times New Roman" w:hAnsi="Times New Roman"/>
          <w:i/>
          <w:sz w:val="24"/>
          <w:szCs w:val="24"/>
        </w:rPr>
        <w:t>z realizacji zadań wynikających z ustawy o służbie cywilnej</w:t>
      </w:r>
      <w:r>
        <w:rPr>
          <w:rFonts w:ascii="Times New Roman" w:hAnsi="Times New Roman"/>
          <w:sz w:val="24"/>
          <w:szCs w:val="24"/>
        </w:rPr>
        <w:t xml:space="preserve"> szkolenia, w których udział brali członkowie korpusu służby cywilnej zatrudnieni w GIOŚ dotyczyły głównie następujących obszarów:</w:t>
      </w:r>
    </w:p>
    <w:p w14:paraId="4E5EECBB" w14:textId="77777777" w:rsidR="00DC5E5D" w:rsidRDefault="00DC5E5D" w:rsidP="00D80FBD">
      <w:pPr>
        <w:numPr>
          <w:ilvl w:val="0"/>
          <w:numId w:val="146"/>
        </w:numPr>
        <w:spacing w:after="0" w:line="300" w:lineRule="atLeast"/>
        <w:ind w:left="641" w:hanging="357"/>
        <w:jc w:val="both"/>
        <w:rPr>
          <w:rFonts w:ascii="Times New Roman" w:hAnsi="Times New Roman"/>
          <w:sz w:val="24"/>
          <w:szCs w:val="24"/>
        </w:rPr>
      </w:pPr>
      <w:r>
        <w:rPr>
          <w:rFonts w:ascii="Times New Roman" w:hAnsi="Times New Roman"/>
          <w:sz w:val="24"/>
          <w:szCs w:val="24"/>
        </w:rPr>
        <w:t>prawo i administracja (przeszkolono 39 osób),</w:t>
      </w:r>
    </w:p>
    <w:p w14:paraId="2AACADE8" w14:textId="77777777" w:rsidR="00DC5E5D" w:rsidRDefault="00DC5E5D" w:rsidP="00D80FBD">
      <w:pPr>
        <w:numPr>
          <w:ilvl w:val="0"/>
          <w:numId w:val="146"/>
        </w:numPr>
        <w:spacing w:after="0" w:line="300" w:lineRule="atLeast"/>
        <w:ind w:left="641" w:hanging="357"/>
        <w:jc w:val="both"/>
        <w:rPr>
          <w:rFonts w:ascii="Times New Roman" w:hAnsi="Times New Roman"/>
          <w:sz w:val="24"/>
          <w:szCs w:val="24"/>
        </w:rPr>
      </w:pPr>
      <w:r>
        <w:rPr>
          <w:rFonts w:ascii="Times New Roman" w:hAnsi="Times New Roman"/>
          <w:sz w:val="24"/>
          <w:szCs w:val="24"/>
        </w:rPr>
        <w:t>szkolenia informatyczne (przeszkolono 151 osób),</w:t>
      </w:r>
    </w:p>
    <w:p w14:paraId="3D986D4E" w14:textId="77777777" w:rsidR="00DC5E5D" w:rsidRDefault="00DC5E5D" w:rsidP="00D80FBD">
      <w:pPr>
        <w:numPr>
          <w:ilvl w:val="0"/>
          <w:numId w:val="146"/>
        </w:numPr>
        <w:spacing w:after="0" w:line="300" w:lineRule="atLeast"/>
        <w:ind w:left="641" w:hanging="357"/>
        <w:jc w:val="both"/>
        <w:rPr>
          <w:rFonts w:ascii="Times New Roman" w:hAnsi="Times New Roman"/>
          <w:sz w:val="24"/>
          <w:szCs w:val="24"/>
        </w:rPr>
      </w:pPr>
      <w:r>
        <w:rPr>
          <w:rFonts w:ascii="Times New Roman" w:hAnsi="Times New Roman"/>
          <w:sz w:val="24"/>
          <w:szCs w:val="24"/>
        </w:rPr>
        <w:t xml:space="preserve">szkolenia specjalistyczne, związane ze specyfiką wykonywanych obowiązków (przeszkolono 790 osób). </w:t>
      </w:r>
    </w:p>
    <w:p w14:paraId="1BA622E1" w14:textId="77777777" w:rsidR="00DC5E5D" w:rsidRDefault="00DC5E5D" w:rsidP="00D80FBD">
      <w:pPr>
        <w:spacing w:after="0" w:line="300" w:lineRule="atLeast"/>
        <w:jc w:val="both"/>
        <w:rPr>
          <w:rFonts w:ascii="Times New Roman" w:hAnsi="Times New Roman"/>
          <w:sz w:val="24"/>
          <w:szCs w:val="24"/>
        </w:rPr>
      </w:pPr>
      <w:r>
        <w:rPr>
          <w:rFonts w:ascii="Times New Roman" w:hAnsi="Times New Roman"/>
          <w:sz w:val="24"/>
          <w:szCs w:val="24"/>
        </w:rPr>
        <w:t>Ponadto w ramach służby przygotowawczej przeszkolono 57 osób.</w:t>
      </w:r>
    </w:p>
    <w:p w14:paraId="4F94C789" w14:textId="001ABDF6" w:rsidR="00DC5E5D" w:rsidRDefault="00DC5E5D" w:rsidP="00D80FBD">
      <w:pPr>
        <w:spacing w:after="0" w:line="300" w:lineRule="atLeast"/>
        <w:ind w:firstLine="567"/>
        <w:jc w:val="both"/>
        <w:rPr>
          <w:rFonts w:ascii="Times New Roman" w:hAnsi="Times New Roman"/>
          <w:sz w:val="24"/>
          <w:szCs w:val="24"/>
        </w:rPr>
      </w:pPr>
      <w:r>
        <w:rPr>
          <w:rFonts w:ascii="Times New Roman" w:hAnsi="Times New Roman"/>
          <w:sz w:val="24"/>
          <w:szCs w:val="24"/>
        </w:rPr>
        <w:t xml:space="preserve">Pracownicy korzystali również z bezpłatnych form podnoszenia kwalifikacji, głównie </w:t>
      </w:r>
      <w:r>
        <w:rPr>
          <w:rFonts w:ascii="Times New Roman" w:hAnsi="Times New Roman"/>
          <w:sz w:val="24"/>
          <w:szCs w:val="24"/>
        </w:rPr>
        <w:br/>
        <w:t>w ramach szkoleń prezentowanych na platformie e-learningowej służby cywilnej w Serwisie Służby Cywilnej (KPRM) – w sumie skorzystano z 85 szkoleń tego typu.</w:t>
      </w:r>
    </w:p>
    <w:p w14:paraId="19B7BCA5" w14:textId="77777777" w:rsidR="00DC5E5D" w:rsidRDefault="00DC5E5D" w:rsidP="00D80FBD">
      <w:pPr>
        <w:spacing w:after="0" w:line="300" w:lineRule="atLeast"/>
        <w:ind w:firstLine="567"/>
        <w:jc w:val="both"/>
        <w:rPr>
          <w:rFonts w:ascii="Times New Roman" w:hAnsi="Times New Roman"/>
          <w:sz w:val="24"/>
          <w:szCs w:val="24"/>
        </w:rPr>
      </w:pPr>
      <w:r>
        <w:rPr>
          <w:rFonts w:ascii="Times New Roman" w:hAnsi="Times New Roman"/>
          <w:sz w:val="24"/>
          <w:szCs w:val="24"/>
        </w:rPr>
        <w:t>Łącznie w szkoleniach w ramach służby cywilnej wzięło udział 1266 uczestników (liczonych jako 1 uczestnik przypadający na jedno szkolenie).</w:t>
      </w:r>
    </w:p>
    <w:p w14:paraId="33708B8B" w14:textId="38CCD2AB" w:rsidR="00895F16" w:rsidRPr="007F400A" w:rsidRDefault="00DC5E5D" w:rsidP="00D80FBD">
      <w:pPr>
        <w:spacing w:after="0" w:line="300" w:lineRule="atLeast"/>
        <w:ind w:firstLine="567"/>
        <w:jc w:val="both"/>
        <w:rPr>
          <w:rFonts w:ascii="Times New Roman" w:hAnsi="Times New Roman"/>
          <w:sz w:val="24"/>
          <w:szCs w:val="24"/>
        </w:rPr>
      </w:pPr>
      <w:r>
        <w:rPr>
          <w:rFonts w:ascii="Times New Roman" w:hAnsi="Times New Roman"/>
          <w:sz w:val="24"/>
          <w:szCs w:val="24"/>
        </w:rPr>
        <w:t>W ostatnich latach uległa zmianie również preferowana forma szkoleń. W 2022 roku największą popularnością cieszyły się szkolenia w formie on-line – skorzystało z niej 625 osób. W szkoleniach formie stacjonarnej wzięło udział 362 uczestników. E-learningowo dokształcało się 279 osób</w:t>
      </w:r>
      <w:r w:rsidR="00895F16" w:rsidRPr="007F400A">
        <w:rPr>
          <w:rFonts w:ascii="Times New Roman" w:hAnsi="Times New Roman"/>
          <w:sz w:val="24"/>
          <w:szCs w:val="24"/>
        </w:rPr>
        <w:t>.</w:t>
      </w:r>
    </w:p>
    <w:p w14:paraId="7FA62923" w14:textId="77777777" w:rsidR="00895F16" w:rsidRPr="007F400A" w:rsidRDefault="00895F16" w:rsidP="00D80FBD">
      <w:pPr>
        <w:spacing w:after="0" w:line="300" w:lineRule="atLeast"/>
        <w:ind w:left="720"/>
        <w:jc w:val="both"/>
        <w:rPr>
          <w:rFonts w:ascii="Times New Roman" w:eastAsia="Calibri" w:hAnsi="Times New Roman" w:cs="Times New Roman"/>
          <w:color w:val="000000"/>
          <w:sz w:val="20"/>
          <w:szCs w:val="20"/>
          <w:lang w:eastAsia="pl-PL"/>
        </w:rPr>
      </w:pPr>
    </w:p>
    <w:p w14:paraId="24851529" w14:textId="3842E99B" w:rsidR="00895F16" w:rsidRPr="007F400A" w:rsidRDefault="00AE56F5" w:rsidP="00D80FBD">
      <w:pPr>
        <w:keepNext/>
        <w:spacing w:after="120" w:line="300" w:lineRule="atLeast"/>
        <w:outlineLvl w:val="0"/>
        <w:rPr>
          <w:rFonts w:ascii="Times New Roman" w:eastAsia="Times New Roman" w:hAnsi="Times New Roman" w:cs="Times New Roman"/>
          <w:b/>
          <w:bCs/>
          <w:sz w:val="24"/>
          <w:szCs w:val="24"/>
          <w:lang w:val="x-none" w:eastAsia="x-none"/>
        </w:rPr>
      </w:pPr>
      <w:bookmarkStart w:id="492" w:name="_Toc36732669"/>
      <w:bookmarkStart w:id="493" w:name="_Toc135935748"/>
      <w:r>
        <w:rPr>
          <w:rFonts w:ascii="Times New Roman" w:eastAsia="Times New Roman" w:hAnsi="Times New Roman" w:cs="Times New Roman"/>
          <w:b/>
          <w:bCs/>
          <w:sz w:val="24"/>
          <w:szCs w:val="24"/>
          <w:lang w:eastAsia="x-none"/>
        </w:rPr>
        <w:t>6</w:t>
      </w:r>
      <w:r w:rsidR="00895F16" w:rsidRPr="007F400A">
        <w:rPr>
          <w:rFonts w:ascii="Times New Roman" w:eastAsia="Times New Roman" w:hAnsi="Times New Roman" w:cs="Times New Roman"/>
          <w:b/>
          <w:bCs/>
          <w:sz w:val="24"/>
          <w:szCs w:val="24"/>
          <w:lang w:val="x-none" w:eastAsia="x-none"/>
        </w:rPr>
        <w:t>. Zagadnienia kadrowe</w:t>
      </w:r>
      <w:bookmarkEnd w:id="491"/>
      <w:bookmarkEnd w:id="492"/>
      <w:bookmarkEnd w:id="493"/>
    </w:p>
    <w:p w14:paraId="09F8D055" w14:textId="5951E148" w:rsidR="00AC4BA7" w:rsidRDefault="00895F16" w:rsidP="00D80FBD">
      <w:pPr>
        <w:autoSpaceDE w:val="0"/>
        <w:autoSpaceDN w:val="0"/>
        <w:adjustRightInd w:val="0"/>
        <w:spacing w:after="0" w:line="300" w:lineRule="atLeast"/>
        <w:ind w:firstLine="567"/>
        <w:jc w:val="both"/>
        <w:rPr>
          <w:rFonts w:ascii="Times New Roman" w:eastAsia="Times New Roman" w:hAnsi="Times New Roman" w:cs="Times New Roman"/>
          <w:sz w:val="24"/>
          <w:szCs w:val="24"/>
          <w:lang w:val="x-none" w:eastAsia="pl-PL"/>
        </w:rPr>
      </w:pPr>
      <w:r w:rsidRPr="007F400A">
        <w:rPr>
          <w:rFonts w:ascii="Times New Roman" w:eastAsia="Times New Roman" w:hAnsi="Times New Roman" w:cs="Times New Roman"/>
          <w:sz w:val="24"/>
          <w:szCs w:val="24"/>
          <w:lang w:eastAsia="pl-PL"/>
        </w:rPr>
        <w:t>Zatrudnienie</w:t>
      </w:r>
      <w:r w:rsidRPr="007F400A">
        <w:rPr>
          <w:rFonts w:ascii="Times New Roman" w:eastAsia="Times New Roman" w:hAnsi="Times New Roman" w:cs="Times New Roman"/>
          <w:sz w:val="24"/>
          <w:szCs w:val="24"/>
          <w:lang w:val="x-none" w:eastAsia="pl-PL"/>
        </w:rPr>
        <w:t xml:space="preserve"> w Inspekcji Ochrony Środowiska</w:t>
      </w:r>
      <w:r w:rsidRPr="007F400A">
        <w:rPr>
          <w:rFonts w:ascii="Times New Roman" w:eastAsia="Times New Roman" w:hAnsi="Times New Roman" w:cs="Times New Roman"/>
          <w:sz w:val="24"/>
          <w:szCs w:val="24"/>
          <w:lang w:eastAsia="pl-PL"/>
        </w:rPr>
        <w:t xml:space="preserve"> na dzień 31 grudnia </w:t>
      </w:r>
      <w:r w:rsidRPr="007F400A">
        <w:rPr>
          <w:rFonts w:ascii="Times New Roman" w:eastAsia="Times New Roman" w:hAnsi="Times New Roman" w:cs="Times New Roman"/>
          <w:sz w:val="24"/>
          <w:szCs w:val="24"/>
          <w:lang w:val="x-none" w:eastAsia="pl-PL"/>
        </w:rPr>
        <w:t>20</w:t>
      </w:r>
      <w:r w:rsidRPr="007F400A">
        <w:rPr>
          <w:rFonts w:ascii="Times New Roman" w:eastAsia="Times New Roman" w:hAnsi="Times New Roman" w:cs="Times New Roman"/>
          <w:sz w:val="24"/>
          <w:szCs w:val="24"/>
          <w:lang w:eastAsia="pl-PL"/>
        </w:rPr>
        <w:t>2</w:t>
      </w:r>
      <w:r w:rsidR="008F0A45">
        <w:rPr>
          <w:rFonts w:ascii="Times New Roman" w:eastAsia="Times New Roman" w:hAnsi="Times New Roman" w:cs="Times New Roman"/>
          <w:sz w:val="24"/>
          <w:szCs w:val="24"/>
          <w:lang w:eastAsia="pl-PL"/>
        </w:rPr>
        <w:t>2</w:t>
      </w:r>
      <w:r w:rsidRPr="007F400A">
        <w:rPr>
          <w:rFonts w:ascii="Times New Roman" w:eastAsia="Times New Roman" w:hAnsi="Times New Roman" w:cs="Times New Roman"/>
          <w:sz w:val="24"/>
          <w:szCs w:val="24"/>
          <w:lang w:val="x-none" w:eastAsia="pl-PL"/>
        </w:rPr>
        <w:t xml:space="preserve"> r. wynosiło</w:t>
      </w:r>
      <w:r w:rsidR="004966BE" w:rsidRPr="007F400A">
        <w:rPr>
          <w:rFonts w:ascii="Times New Roman" w:eastAsia="Times New Roman" w:hAnsi="Times New Roman" w:cs="Times New Roman"/>
          <w:sz w:val="24"/>
          <w:szCs w:val="24"/>
          <w:lang w:val="x-none" w:eastAsia="pl-PL"/>
        </w:rPr>
        <w:t xml:space="preserve"> </w:t>
      </w:r>
      <w:r w:rsidRPr="007F400A">
        <w:rPr>
          <w:rFonts w:ascii="Times New Roman" w:eastAsia="Times New Roman" w:hAnsi="Times New Roman" w:cs="Times New Roman"/>
          <w:sz w:val="24"/>
          <w:szCs w:val="24"/>
          <w:lang w:eastAsia="pl-PL"/>
        </w:rPr>
        <w:t xml:space="preserve"> </w:t>
      </w:r>
      <w:r w:rsidR="00FF2296">
        <w:rPr>
          <w:rFonts w:ascii="Times New Roman" w:eastAsia="Times New Roman" w:hAnsi="Times New Roman" w:cs="Times New Roman"/>
          <w:sz w:val="24"/>
          <w:szCs w:val="24"/>
          <w:lang w:eastAsia="pl-PL"/>
        </w:rPr>
        <w:t>2 810, 24 etatu</w:t>
      </w:r>
      <w:r w:rsidR="00AC4BA7">
        <w:rPr>
          <w:rFonts w:ascii="Times New Roman" w:eastAsia="Times New Roman" w:hAnsi="Times New Roman" w:cs="Times New Roman"/>
          <w:sz w:val="24"/>
          <w:szCs w:val="24"/>
          <w:lang w:eastAsia="pl-PL"/>
        </w:rPr>
        <w:t xml:space="preserve">  (wobec </w:t>
      </w:r>
      <w:r w:rsidRPr="007F400A">
        <w:rPr>
          <w:rFonts w:ascii="Times New Roman" w:eastAsia="Times New Roman" w:hAnsi="Times New Roman" w:cs="Times New Roman"/>
          <w:sz w:val="24"/>
          <w:szCs w:val="24"/>
          <w:lang w:eastAsia="pl-PL"/>
        </w:rPr>
        <w:t>2 760,95 etatu</w:t>
      </w:r>
      <w:r w:rsidR="00AC4BA7">
        <w:rPr>
          <w:rFonts w:ascii="Times New Roman" w:eastAsia="Times New Roman" w:hAnsi="Times New Roman" w:cs="Times New Roman"/>
          <w:sz w:val="24"/>
          <w:szCs w:val="24"/>
          <w:lang w:eastAsia="pl-PL"/>
        </w:rPr>
        <w:t xml:space="preserve"> w 2021 r.)</w:t>
      </w:r>
      <w:r w:rsidRPr="007F400A">
        <w:rPr>
          <w:rFonts w:ascii="Times New Roman" w:eastAsia="Times New Roman" w:hAnsi="Times New Roman" w:cs="Times New Roman"/>
          <w:sz w:val="24"/>
          <w:szCs w:val="24"/>
          <w:lang w:eastAsia="pl-PL"/>
        </w:rPr>
        <w:t xml:space="preserve"> </w:t>
      </w:r>
      <w:r w:rsidR="00AC4BA7">
        <w:rPr>
          <w:rFonts w:ascii="Times New Roman" w:eastAsia="Times New Roman" w:hAnsi="Times New Roman" w:cs="Times New Roman"/>
          <w:sz w:val="24"/>
          <w:szCs w:val="24"/>
          <w:lang w:eastAsia="pl-PL"/>
        </w:rPr>
        <w:t xml:space="preserve">przy 2 899 osobach zatrudnionych (wobec </w:t>
      </w:r>
      <w:r w:rsidRPr="007F400A">
        <w:rPr>
          <w:rFonts w:ascii="Times New Roman" w:eastAsia="Times New Roman" w:hAnsi="Times New Roman" w:cs="Times New Roman"/>
          <w:sz w:val="24"/>
          <w:szCs w:val="24"/>
          <w:lang w:eastAsia="pl-PL"/>
        </w:rPr>
        <w:t>2 840 os</w:t>
      </w:r>
      <w:r w:rsidR="00820EB2" w:rsidRPr="007F400A">
        <w:rPr>
          <w:rFonts w:ascii="Times New Roman" w:eastAsia="Times New Roman" w:hAnsi="Times New Roman" w:cs="Times New Roman"/>
          <w:sz w:val="24"/>
          <w:szCs w:val="24"/>
          <w:lang w:eastAsia="pl-PL"/>
        </w:rPr>
        <w:t>ó</w:t>
      </w:r>
      <w:r w:rsidRPr="007F400A">
        <w:rPr>
          <w:rFonts w:ascii="Times New Roman" w:eastAsia="Times New Roman" w:hAnsi="Times New Roman" w:cs="Times New Roman"/>
          <w:sz w:val="24"/>
          <w:szCs w:val="24"/>
          <w:lang w:eastAsia="pl-PL"/>
        </w:rPr>
        <w:t>b</w:t>
      </w:r>
      <w:r w:rsidR="00AC4BA7">
        <w:rPr>
          <w:rFonts w:ascii="Times New Roman" w:eastAsia="Times New Roman" w:hAnsi="Times New Roman" w:cs="Times New Roman"/>
          <w:sz w:val="24"/>
          <w:szCs w:val="24"/>
          <w:lang w:eastAsia="pl-PL"/>
        </w:rPr>
        <w:t xml:space="preserve"> w 2021 r.)</w:t>
      </w:r>
      <w:r w:rsidR="0052194D">
        <w:rPr>
          <w:rFonts w:ascii="Times New Roman" w:eastAsia="Times New Roman" w:hAnsi="Times New Roman" w:cs="Times New Roman"/>
          <w:sz w:val="24"/>
          <w:szCs w:val="24"/>
          <w:lang w:eastAsia="pl-PL"/>
        </w:rPr>
        <w:t xml:space="preserve">. </w:t>
      </w:r>
      <w:r w:rsidRPr="007F400A">
        <w:rPr>
          <w:rFonts w:ascii="Times New Roman" w:eastAsia="Times New Roman" w:hAnsi="Times New Roman" w:cs="Times New Roman"/>
          <w:sz w:val="24"/>
          <w:szCs w:val="24"/>
          <w:lang w:val="x-none" w:eastAsia="pl-PL"/>
        </w:rPr>
        <w:t xml:space="preserve"> </w:t>
      </w:r>
    </w:p>
    <w:p w14:paraId="208979AC" w14:textId="03F605C3" w:rsidR="00820EB2" w:rsidRPr="007F400A" w:rsidRDefault="0052194D" w:rsidP="00D80FBD">
      <w:pPr>
        <w:autoSpaceDE w:val="0"/>
        <w:autoSpaceDN w:val="0"/>
        <w:adjustRightInd w:val="0"/>
        <w:spacing w:after="0" w:line="300" w:lineRule="atLeast"/>
        <w:ind w:firstLine="567"/>
        <w:jc w:val="both"/>
        <w:rPr>
          <w:rFonts w:ascii="Times New Roman" w:eastAsia="Times New Roman" w:hAnsi="Times New Roman" w:cs="Times New Roman"/>
          <w:sz w:val="24"/>
          <w:szCs w:val="24"/>
          <w:lang w:val="x-none" w:eastAsia="pl-PL"/>
        </w:rPr>
      </w:pPr>
      <w:r>
        <w:rPr>
          <w:rFonts w:ascii="Times New Roman" w:eastAsia="Times New Roman" w:hAnsi="Times New Roman" w:cs="Times New Roman"/>
          <w:sz w:val="24"/>
          <w:szCs w:val="24"/>
          <w:lang w:eastAsia="pl-PL"/>
        </w:rPr>
        <w:t xml:space="preserve">W </w:t>
      </w:r>
      <w:r w:rsidR="00895F16" w:rsidRPr="007F400A">
        <w:rPr>
          <w:rFonts w:ascii="Times New Roman" w:eastAsia="Times New Roman" w:hAnsi="Times New Roman" w:cs="Times New Roman"/>
          <w:sz w:val="24"/>
          <w:szCs w:val="24"/>
          <w:lang w:val="x-none" w:eastAsia="pl-PL"/>
        </w:rPr>
        <w:t>Głównym Inspektoracie Ochrony Środowiska</w:t>
      </w:r>
      <w:r w:rsidR="00895F16" w:rsidRPr="007F400A">
        <w:rPr>
          <w:rFonts w:ascii="Times New Roman" w:eastAsia="Times New Roman" w:hAnsi="Times New Roman" w:cs="Times New Roman"/>
          <w:sz w:val="24"/>
          <w:szCs w:val="24"/>
          <w:lang w:eastAsia="pl-PL"/>
        </w:rPr>
        <w:t>, uwzględniając CLB i RWMŚ,</w:t>
      </w:r>
      <w:r w:rsidR="00895F16" w:rsidRPr="007F400A">
        <w:rPr>
          <w:rFonts w:ascii="Times New Roman" w:eastAsia="Times New Roman" w:hAnsi="Times New Roman" w:cs="Times New Roman"/>
          <w:sz w:val="24"/>
          <w:szCs w:val="24"/>
          <w:lang w:val="x-none" w:eastAsia="pl-PL"/>
        </w:rPr>
        <w:t xml:space="preserve"> </w:t>
      </w:r>
      <w:r>
        <w:rPr>
          <w:rFonts w:ascii="Times New Roman" w:eastAsia="Times New Roman" w:hAnsi="Times New Roman" w:cs="Times New Roman"/>
          <w:sz w:val="24"/>
          <w:szCs w:val="24"/>
          <w:lang w:eastAsia="pl-PL"/>
        </w:rPr>
        <w:t xml:space="preserve">na dzień 31.12.2022 r. </w:t>
      </w:r>
      <w:r w:rsidR="00955286">
        <w:rPr>
          <w:rFonts w:ascii="Times New Roman" w:eastAsia="Times New Roman" w:hAnsi="Times New Roman" w:cs="Times New Roman"/>
          <w:sz w:val="24"/>
          <w:szCs w:val="24"/>
          <w:lang w:eastAsia="pl-PL"/>
        </w:rPr>
        <w:t xml:space="preserve">zatrudnionych było </w:t>
      </w:r>
      <w:r w:rsidR="00AC4BA7">
        <w:rPr>
          <w:rFonts w:ascii="Times New Roman" w:eastAsia="Times New Roman" w:hAnsi="Times New Roman" w:cs="Times New Roman"/>
          <w:sz w:val="24"/>
          <w:szCs w:val="24"/>
          <w:lang w:eastAsia="pl-PL"/>
        </w:rPr>
        <w:t>1 290 (</w:t>
      </w:r>
      <w:r w:rsidR="00895F16" w:rsidRPr="007F400A">
        <w:rPr>
          <w:rFonts w:ascii="Times New Roman" w:eastAsia="Times New Roman" w:hAnsi="Times New Roman" w:cs="Times New Roman"/>
          <w:sz w:val="24"/>
          <w:szCs w:val="24"/>
          <w:lang w:eastAsia="pl-PL"/>
        </w:rPr>
        <w:t>1</w:t>
      </w:r>
      <w:r w:rsidR="00AC4BA7">
        <w:rPr>
          <w:rFonts w:ascii="Times New Roman" w:eastAsia="Times New Roman" w:hAnsi="Times New Roman" w:cs="Times New Roman"/>
          <w:sz w:val="24"/>
          <w:szCs w:val="24"/>
          <w:lang w:eastAsia="pl-PL"/>
        </w:rPr>
        <w:t> </w:t>
      </w:r>
      <w:r w:rsidR="00895F16" w:rsidRPr="007F400A">
        <w:rPr>
          <w:rFonts w:ascii="Times New Roman" w:eastAsia="Times New Roman" w:hAnsi="Times New Roman" w:cs="Times New Roman"/>
          <w:sz w:val="24"/>
          <w:szCs w:val="24"/>
          <w:lang w:eastAsia="pl-PL"/>
        </w:rPr>
        <w:t>23</w:t>
      </w:r>
      <w:r w:rsidR="00EA5A23" w:rsidRPr="007F400A">
        <w:rPr>
          <w:rFonts w:ascii="Times New Roman" w:eastAsia="Times New Roman" w:hAnsi="Times New Roman" w:cs="Times New Roman"/>
          <w:sz w:val="24"/>
          <w:szCs w:val="24"/>
          <w:lang w:eastAsia="pl-PL"/>
        </w:rPr>
        <w:t>1</w:t>
      </w:r>
      <w:r w:rsidR="00AC4BA7">
        <w:rPr>
          <w:rFonts w:ascii="Times New Roman" w:eastAsia="Times New Roman" w:hAnsi="Times New Roman" w:cs="Times New Roman"/>
          <w:sz w:val="24"/>
          <w:szCs w:val="24"/>
          <w:lang w:eastAsia="pl-PL"/>
        </w:rPr>
        <w:t>)</w:t>
      </w:r>
      <w:r w:rsidR="00EA5A23" w:rsidRPr="007F400A">
        <w:rPr>
          <w:rFonts w:ascii="Times New Roman" w:eastAsia="Times New Roman" w:hAnsi="Times New Roman" w:cs="Times New Roman"/>
          <w:sz w:val="24"/>
          <w:szCs w:val="24"/>
          <w:lang w:eastAsia="pl-PL"/>
        </w:rPr>
        <w:t xml:space="preserve"> osób</w:t>
      </w:r>
      <w:r w:rsidR="00895F16" w:rsidRPr="007F400A">
        <w:rPr>
          <w:rFonts w:ascii="Times New Roman" w:eastAsia="Times New Roman" w:hAnsi="Times New Roman" w:cs="Times New Roman"/>
          <w:sz w:val="24"/>
          <w:szCs w:val="24"/>
          <w:lang w:eastAsia="pl-PL"/>
        </w:rPr>
        <w:t xml:space="preserve">, co stanowiło </w:t>
      </w:r>
      <w:r w:rsidR="00955286">
        <w:rPr>
          <w:rFonts w:ascii="Times New Roman" w:eastAsia="Times New Roman" w:hAnsi="Times New Roman" w:cs="Times New Roman"/>
          <w:sz w:val="24"/>
          <w:szCs w:val="24"/>
          <w:lang w:eastAsia="pl-PL"/>
        </w:rPr>
        <w:t xml:space="preserve">blisko </w:t>
      </w:r>
      <w:r w:rsidR="00895F16" w:rsidRPr="007F400A">
        <w:rPr>
          <w:rFonts w:ascii="Times New Roman" w:eastAsia="Times New Roman" w:hAnsi="Times New Roman" w:cs="Times New Roman"/>
          <w:sz w:val="24"/>
          <w:szCs w:val="24"/>
          <w:lang w:eastAsia="pl-PL"/>
        </w:rPr>
        <w:t>4</w:t>
      </w:r>
      <w:r w:rsidR="00955286">
        <w:rPr>
          <w:rFonts w:ascii="Times New Roman" w:eastAsia="Times New Roman" w:hAnsi="Times New Roman" w:cs="Times New Roman"/>
          <w:sz w:val="24"/>
          <w:szCs w:val="24"/>
          <w:lang w:eastAsia="pl-PL"/>
        </w:rPr>
        <w:t>5</w:t>
      </w:r>
      <w:r w:rsidR="00AC4BA7">
        <w:rPr>
          <w:rFonts w:ascii="Times New Roman" w:eastAsia="Times New Roman" w:hAnsi="Times New Roman" w:cs="Times New Roman"/>
          <w:sz w:val="24"/>
          <w:szCs w:val="24"/>
          <w:lang w:eastAsia="pl-PL"/>
        </w:rPr>
        <w:t xml:space="preserve"> </w:t>
      </w:r>
      <w:r w:rsidR="00895F16" w:rsidRPr="007F400A">
        <w:rPr>
          <w:rFonts w:ascii="Times New Roman" w:eastAsia="Times New Roman" w:hAnsi="Times New Roman" w:cs="Times New Roman"/>
          <w:sz w:val="24"/>
          <w:szCs w:val="24"/>
          <w:lang w:eastAsia="pl-PL"/>
        </w:rPr>
        <w:t xml:space="preserve">% </w:t>
      </w:r>
      <w:r w:rsidR="00895F16" w:rsidRPr="007F400A">
        <w:rPr>
          <w:rFonts w:ascii="Times New Roman" w:eastAsia="Times New Roman" w:hAnsi="Times New Roman" w:cs="Times New Roman"/>
          <w:sz w:val="24"/>
          <w:szCs w:val="24"/>
          <w:lang w:val="x-none" w:eastAsia="pl-PL"/>
        </w:rPr>
        <w:t>całkowitego zatrudnienia</w:t>
      </w:r>
      <w:r w:rsidR="00820EB2" w:rsidRPr="007F400A">
        <w:rPr>
          <w:rFonts w:ascii="Times New Roman" w:eastAsia="Times New Roman" w:hAnsi="Times New Roman" w:cs="Times New Roman"/>
          <w:sz w:val="24"/>
          <w:szCs w:val="24"/>
          <w:lang w:eastAsia="pl-PL"/>
        </w:rPr>
        <w:t xml:space="preserve"> w Inspekcji Ochrony Środowiska</w:t>
      </w:r>
      <w:r w:rsidR="00895F16" w:rsidRPr="007F400A">
        <w:rPr>
          <w:rFonts w:ascii="Times New Roman" w:eastAsia="Times New Roman" w:hAnsi="Times New Roman" w:cs="Times New Roman"/>
          <w:sz w:val="24"/>
          <w:szCs w:val="24"/>
          <w:lang w:val="x-none" w:eastAsia="pl-PL"/>
        </w:rPr>
        <w:t xml:space="preserve">. </w:t>
      </w:r>
    </w:p>
    <w:p w14:paraId="550D82AA" w14:textId="4877A48D" w:rsidR="00895F16" w:rsidRPr="007F400A" w:rsidRDefault="00895F16" w:rsidP="00D80FBD">
      <w:pPr>
        <w:autoSpaceDE w:val="0"/>
        <w:autoSpaceDN w:val="0"/>
        <w:adjustRightInd w:val="0"/>
        <w:spacing w:after="0" w:line="300" w:lineRule="atLeast"/>
        <w:ind w:firstLine="567"/>
        <w:jc w:val="both"/>
        <w:rPr>
          <w:rFonts w:ascii="Times New Roman" w:eastAsia="Times New Roman" w:hAnsi="Times New Roman" w:cs="Times New Roman"/>
          <w:sz w:val="24"/>
          <w:szCs w:val="24"/>
          <w:lang w:eastAsia="pl-PL"/>
        </w:rPr>
      </w:pPr>
      <w:r w:rsidRPr="007F400A">
        <w:rPr>
          <w:rFonts w:ascii="Times New Roman" w:eastAsia="Times New Roman" w:hAnsi="Times New Roman" w:cs="Times New Roman"/>
          <w:sz w:val="24"/>
          <w:szCs w:val="24"/>
          <w:lang w:val="x-none" w:eastAsia="pl-PL"/>
        </w:rPr>
        <w:t xml:space="preserve">W </w:t>
      </w:r>
      <w:r w:rsidRPr="007F400A">
        <w:rPr>
          <w:rFonts w:ascii="Times New Roman" w:eastAsia="Times New Roman" w:hAnsi="Times New Roman" w:cs="Times New Roman"/>
          <w:sz w:val="24"/>
          <w:szCs w:val="24"/>
          <w:lang w:eastAsia="pl-PL"/>
        </w:rPr>
        <w:t xml:space="preserve">porównaniu </w:t>
      </w:r>
      <w:r w:rsidRPr="007F400A">
        <w:rPr>
          <w:rFonts w:ascii="Times New Roman" w:eastAsia="Times New Roman" w:hAnsi="Times New Roman" w:cs="Times New Roman"/>
          <w:sz w:val="24"/>
          <w:szCs w:val="24"/>
          <w:lang w:val="x-none" w:eastAsia="pl-PL"/>
        </w:rPr>
        <w:t>do 20</w:t>
      </w:r>
      <w:r w:rsidRPr="007F400A">
        <w:rPr>
          <w:rFonts w:ascii="Times New Roman" w:eastAsia="Times New Roman" w:hAnsi="Times New Roman" w:cs="Times New Roman"/>
          <w:sz w:val="24"/>
          <w:szCs w:val="24"/>
          <w:lang w:eastAsia="pl-PL"/>
        </w:rPr>
        <w:t>2</w:t>
      </w:r>
      <w:r w:rsidR="00955286">
        <w:rPr>
          <w:rFonts w:ascii="Times New Roman" w:eastAsia="Times New Roman" w:hAnsi="Times New Roman" w:cs="Times New Roman"/>
          <w:sz w:val="24"/>
          <w:szCs w:val="24"/>
          <w:lang w:eastAsia="pl-PL"/>
        </w:rPr>
        <w:t>1</w:t>
      </w:r>
      <w:r w:rsidRPr="007F400A">
        <w:rPr>
          <w:rFonts w:ascii="Times New Roman" w:eastAsia="Times New Roman" w:hAnsi="Times New Roman" w:cs="Times New Roman"/>
          <w:sz w:val="24"/>
          <w:szCs w:val="24"/>
          <w:lang w:val="x-none" w:eastAsia="pl-PL"/>
        </w:rPr>
        <w:t xml:space="preserve"> r. w całej Inspekcji nastąpił </w:t>
      </w:r>
      <w:r w:rsidRPr="007F400A">
        <w:rPr>
          <w:rFonts w:ascii="Times New Roman" w:eastAsia="Times New Roman" w:hAnsi="Times New Roman" w:cs="Times New Roman"/>
          <w:sz w:val="24"/>
          <w:szCs w:val="24"/>
          <w:lang w:eastAsia="pl-PL"/>
        </w:rPr>
        <w:t xml:space="preserve">wzrost </w:t>
      </w:r>
      <w:r w:rsidRPr="007F400A">
        <w:rPr>
          <w:rFonts w:ascii="Times New Roman" w:eastAsia="Times New Roman" w:hAnsi="Times New Roman" w:cs="Times New Roman"/>
          <w:sz w:val="24"/>
          <w:szCs w:val="24"/>
          <w:lang w:val="x-none" w:eastAsia="pl-PL"/>
        </w:rPr>
        <w:t>zatrudnienia o</w:t>
      </w:r>
      <w:r w:rsidRPr="007F400A">
        <w:rPr>
          <w:rFonts w:ascii="Times New Roman" w:eastAsia="Times New Roman" w:hAnsi="Times New Roman" w:cs="Times New Roman"/>
          <w:sz w:val="24"/>
          <w:szCs w:val="24"/>
          <w:lang w:eastAsia="pl-PL"/>
        </w:rPr>
        <w:t xml:space="preserve"> </w:t>
      </w:r>
      <w:r w:rsidR="00955286">
        <w:rPr>
          <w:rFonts w:ascii="Times New Roman" w:eastAsia="Times New Roman" w:hAnsi="Times New Roman" w:cs="Times New Roman"/>
          <w:sz w:val="24"/>
          <w:szCs w:val="24"/>
          <w:lang w:eastAsia="pl-PL"/>
        </w:rPr>
        <w:t>49</w:t>
      </w:r>
      <w:r w:rsidRPr="007F400A">
        <w:rPr>
          <w:rFonts w:ascii="Times New Roman" w:eastAsia="Times New Roman" w:hAnsi="Times New Roman" w:cs="Times New Roman"/>
          <w:sz w:val="24"/>
          <w:szCs w:val="24"/>
          <w:lang w:eastAsia="pl-PL"/>
        </w:rPr>
        <w:t>,</w:t>
      </w:r>
      <w:r w:rsidR="00955286">
        <w:rPr>
          <w:rFonts w:ascii="Times New Roman" w:eastAsia="Times New Roman" w:hAnsi="Times New Roman" w:cs="Times New Roman"/>
          <w:sz w:val="24"/>
          <w:szCs w:val="24"/>
          <w:lang w:eastAsia="pl-PL"/>
        </w:rPr>
        <w:t>3</w:t>
      </w:r>
      <w:r w:rsidRPr="007F400A">
        <w:rPr>
          <w:rFonts w:ascii="Times New Roman" w:eastAsia="Times New Roman" w:hAnsi="Times New Roman" w:cs="Times New Roman"/>
          <w:sz w:val="24"/>
          <w:szCs w:val="24"/>
          <w:lang w:eastAsia="pl-PL"/>
        </w:rPr>
        <w:t xml:space="preserve"> e</w:t>
      </w:r>
      <w:r w:rsidRPr="007F400A">
        <w:rPr>
          <w:rFonts w:ascii="Times New Roman" w:eastAsia="Times New Roman" w:hAnsi="Times New Roman" w:cs="Times New Roman"/>
          <w:sz w:val="24"/>
          <w:szCs w:val="24"/>
          <w:lang w:val="x-none" w:eastAsia="pl-PL"/>
        </w:rPr>
        <w:t>tat</w:t>
      </w:r>
      <w:r w:rsidRPr="007F400A">
        <w:rPr>
          <w:rFonts w:ascii="Times New Roman" w:eastAsia="Times New Roman" w:hAnsi="Times New Roman" w:cs="Times New Roman"/>
          <w:sz w:val="24"/>
          <w:szCs w:val="24"/>
          <w:lang w:eastAsia="pl-PL"/>
        </w:rPr>
        <w:t xml:space="preserve">u </w:t>
      </w:r>
      <w:r w:rsidRPr="007F400A">
        <w:rPr>
          <w:rFonts w:ascii="Times New Roman" w:eastAsia="Times New Roman" w:hAnsi="Times New Roman" w:cs="Times New Roman"/>
          <w:sz w:val="24"/>
          <w:szCs w:val="24"/>
          <w:lang w:eastAsia="pl-PL"/>
        </w:rPr>
        <w:br/>
        <w:t xml:space="preserve">tj. o </w:t>
      </w:r>
      <w:r w:rsidR="00955286">
        <w:rPr>
          <w:rFonts w:ascii="Times New Roman" w:eastAsia="Times New Roman" w:hAnsi="Times New Roman" w:cs="Times New Roman"/>
          <w:sz w:val="24"/>
          <w:szCs w:val="24"/>
          <w:lang w:eastAsia="pl-PL"/>
        </w:rPr>
        <w:t>1</w:t>
      </w:r>
      <w:r w:rsidRPr="007F400A">
        <w:rPr>
          <w:rFonts w:ascii="Times New Roman" w:eastAsia="Times New Roman" w:hAnsi="Times New Roman" w:cs="Times New Roman"/>
          <w:sz w:val="24"/>
          <w:szCs w:val="24"/>
          <w:lang w:eastAsia="pl-PL"/>
        </w:rPr>
        <w:t>,</w:t>
      </w:r>
      <w:r w:rsidR="00955286">
        <w:rPr>
          <w:rFonts w:ascii="Times New Roman" w:eastAsia="Times New Roman" w:hAnsi="Times New Roman" w:cs="Times New Roman"/>
          <w:sz w:val="24"/>
          <w:szCs w:val="24"/>
          <w:lang w:eastAsia="pl-PL"/>
        </w:rPr>
        <w:t xml:space="preserve">8 </w:t>
      </w:r>
      <w:r w:rsidRPr="007F400A">
        <w:rPr>
          <w:rFonts w:ascii="Times New Roman" w:eastAsia="Times New Roman" w:hAnsi="Times New Roman" w:cs="Times New Roman"/>
          <w:sz w:val="24"/>
          <w:szCs w:val="24"/>
          <w:lang w:eastAsia="pl-PL"/>
        </w:rPr>
        <w:t xml:space="preserve">%. </w:t>
      </w:r>
    </w:p>
    <w:p w14:paraId="5E48FBBC" w14:textId="25FBCDDA" w:rsidR="00895F16" w:rsidRPr="007F400A" w:rsidRDefault="00895F16" w:rsidP="00D80FBD">
      <w:pPr>
        <w:spacing w:after="0" w:line="300" w:lineRule="atLeast"/>
        <w:ind w:firstLine="567"/>
        <w:jc w:val="both"/>
        <w:rPr>
          <w:rFonts w:ascii="Times New Roman" w:hAnsi="Times New Roman" w:cs="Times New Roman"/>
          <w:sz w:val="24"/>
          <w:szCs w:val="24"/>
        </w:rPr>
      </w:pPr>
      <w:r w:rsidRPr="007F400A">
        <w:rPr>
          <w:rFonts w:ascii="Times New Roman" w:hAnsi="Times New Roman" w:cs="Times New Roman"/>
          <w:sz w:val="24"/>
          <w:szCs w:val="24"/>
        </w:rPr>
        <w:t>W 202</w:t>
      </w:r>
      <w:r w:rsidR="00955286">
        <w:rPr>
          <w:rFonts w:ascii="Times New Roman" w:hAnsi="Times New Roman" w:cs="Times New Roman"/>
          <w:sz w:val="24"/>
          <w:szCs w:val="24"/>
        </w:rPr>
        <w:t>2</w:t>
      </w:r>
      <w:r w:rsidRPr="007F400A">
        <w:rPr>
          <w:rFonts w:ascii="Times New Roman" w:hAnsi="Times New Roman" w:cs="Times New Roman"/>
          <w:sz w:val="24"/>
          <w:szCs w:val="24"/>
        </w:rPr>
        <w:t xml:space="preserve"> r. fluktuacja kadr w całej Inspekcji Ochrony Środowiska wyniosła </w:t>
      </w:r>
      <w:r w:rsidR="00955286">
        <w:rPr>
          <w:rFonts w:ascii="Times New Roman" w:hAnsi="Times New Roman" w:cs="Times New Roman"/>
          <w:sz w:val="24"/>
          <w:szCs w:val="24"/>
        </w:rPr>
        <w:t>9</w:t>
      </w:r>
      <w:r w:rsidRPr="007F400A">
        <w:rPr>
          <w:rFonts w:ascii="Times New Roman" w:hAnsi="Times New Roman" w:cs="Times New Roman"/>
          <w:sz w:val="24"/>
          <w:szCs w:val="24"/>
        </w:rPr>
        <w:t>,</w:t>
      </w:r>
      <w:r w:rsidR="00955286">
        <w:rPr>
          <w:rFonts w:ascii="Times New Roman" w:hAnsi="Times New Roman" w:cs="Times New Roman"/>
          <w:sz w:val="24"/>
          <w:szCs w:val="24"/>
        </w:rPr>
        <w:t>1</w:t>
      </w:r>
      <w:r w:rsidRPr="007F400A">
        <w:rPr>
          <w:rFonts w:ascii="Times New Roman" w:hAnsi="Times New Roman" w:cs="Times New Roman"/>
          <w:sz w:val="24"/>
          <w:szCs w:val="24"/>
        </w:rPr>
        <w:t xml:space="preserve">%, </w:t>
      </w:r>
      <w:r w:rsidRPr="007F400A">
        <w:rPr>
          <w:rFonts w:ascii="Times New Roman" w:hAnsi="Times New Roman" w:cs="Times New Roman"/>
          <w:sz w:val="24"/>
          <w:szCs w:val="24"/>
        </w:rPr>
        <w:br/>
        <w:t xml:space="preserve">w tym </w:t>
      </w:r>
      <w:r w:rsidR="00955286">
        <w:rPr>
          <w:rFonts w:ascii="Times New Roman" w:hAnsi="Times New Roman" w:cs="Times New Roman"/>
          <w:sz w:val="24"/>
          <w:szCs w:val="24"/>
        </w:rPr>
        <w:t>7</w:t>
      </w:r>
      <w:r w:rsidRPr="007F400A">
        <w:rPr>
          <w:rFonts w:ascii="Times New Roman" w:hAnsi="Times New Roman" w:cs="Times New Roman"/>
          <w:sz w:val="24"/>
          <w:szCs w:val="24"/>
        </w:rPr>
        <w:t>,</w:t>
      </w:r>
      <w:r w:rsidR="00955286">
        <w:rPr>
          <w:rFonts w:ascii="Times New Roman" w:hAnsi="Times New Roman" w:cs="Times New Roman"/>
          <w:sz w:val="24"/>
          <w:szCs w:val="24"/>
        </w:rPr>
        <w:t>9</w:t>
      </w:r>
      <w:r w:rsidRPr="007F400A">
        <w:rPr>
          <w:rFonts w:ascii="Times New Roman" w:hAnsi="Times New Roman" w:cs="Times New Roman"/>
          <w:sz w:val="24"/>
          <w:szCs w:val="24"/>
        </w:rPr>
        <w:t xml:space="preserve">% w wojewódzkich inspektoratach ochrony środowiska i </w:t>
      </w:r>
      <w:r w:rsidR="00955286">
        <w:rPr>
          <w:rFonts w:ascii="Times New Roman" w:hAnsi="Times New Roman" w:cs="Times New Roman"/>
          <w:sz w:val="24"/>
          <w:szCs w:val="24"/>
        </w:rPr>
        <w:t>10</w:t>
      </w:r>
      <w:r w:rsidR="00742A81" w:rsidRPr="007F400A">
        <w:rPr>
          <w:rFonts w:ascii="Times New Roman" w:hAnsi="Times New Roman" w:cs="Times New Roman"/>
          <w:sz w:val="24"/>
          <w:szCs w:val="24"/>
        </w:rPr>
        <w:t>,</w:t>
      </w:r>
      <w:r w:rsidR="00955286">
        <w:rPr>
          <w:rFonts w:ascii="Times New Roman" w:hAnsi="Times New Roman" w:cs="Times New Roman"/>
          <w:sz w:val="24"/>
          <w:szCs w:val="24"/>
        </w:rPr>
        <w:t>6</w:t>
      </w:r>
      <w:r w:rsidRPr="007F400A">
        <w:rPr>
          <w:rFonts w:ascii="Times New Roman" w:hAnsi="Times New Roman" w:cs="Times New Roman"/>
          <w:sz w:val="24"/>
          <w:szCs w:val="24"/>
        </w:rPr>
        <w:t>% w GIOŚ.</w:t>
      </w:r>
      <w:r w:rsidRPr="007F400A">
        <w:rPr>
          <w:rFonts w:ascii="Times New Roman" w:hAnsi="Times New Roman" w:cs="Times New Roman"/>
          <w:sz w:val="24"/>
          <w:szCs w:val="24"/>
        </w:rPr>
        <w:br/>
      </w:r>
      <w:r w:rsidR="00955286">
        <w:rPr>
          <w:rFonts w:ascii="Times New Roman" w:hAnsi="Times New Roman" w:cs="Times New Roman"/>
          <w:sz w:val="24"/>
          <w:szCs w:val="24"/>
        </w:rPr>
        <w:t>W</w:t>
      </w:r>
      <w:r w:rsidR="00955286" w:rsidRPr="007F400A">
        <w:rPr>
          <w:rFonts w:ascii="Times New Roman" w:hAnsi="Times New Roman" w:cs="Times New Roman"/>
          <w:sz w:val="24"/>
          <w:szCs w:val="24"/>
        </w:rPr>
        <w:t xml:space="preserve"> wojewódzkich inspektoratach ochrony środowiska </w:t>
      </w:r>
      <w:r w:rsidR="00955286">
        <w:rPr>
          <w:rFonts w:ascii="Times New Roman" w:hAnsi="Times New Roman" w:cs="Times New Roman"/>
          <w:sz w:val="24"/>
          <w:szCs w:val="24"/>
        </w:rPr>
        <w:t>n</w:t>
      </w:r>
      <w:r w:rsidRPr="007F400A">
        <w:rPr>
          <w:rFonts w:ascii="Times New Roman" w:hAnsi="Times New Roman" w:cs="Times New Roman"/>
          <w:sz w:val="24"/>
          <w:szCs w:val="24"/>
        </w:rPr>
        <w:t>ajwyższa fluktuacja miała miejsce:</w:t>
      </w:r>
    </w:p>
    <w:p w14:paraId="30EE3895" w14:textId="13408789" w:rsidR="00895F16" w:rsidRPr="007F400A" w:rsidRDefault="00895F16" w:rsidP="00D80FBD">
      <w:pPr>
        <w:spacing w:after="0" w:line="300" w:lineRule="atLeast"/>
        <w:rPr>
          <w:rFonts w:ascii="Times New Roman" w:hAnsi="Times New Roman" w:cs="Times New Roman"/>
          <w:sz w:val="24"/>
          <w:szCs w:val="24"/>
        </w:rPr>
      </w:pPr>
      <w:r w:rsidRPr="007F400A">
        <w:rPr>
          <w:rFonts w:ascii="Times New Roman" w:hAnsi="Times New Roman" w:cs="Times New Roman"/>
          <w:sz w:val="24"/>
          <w:szCs w:val="24"/>
        </w:rPr>
        <w:t xml:space="preserve">- w </w:t>
      </w:r>
      <w:r w:rsidR="00D60BA5" w:rsidRPr="007F400A">
        <w:rPr>
          <w:rFonts w:ascii="Times New Roman" w:hAnsi="Times New Roman" w:cs="Times New Roman"/>
          <w:sz w:val="24"/>
          <w:szCs w:val="24"/>
        </w:rPr>
        <w:t xml:space="preserve">WIOŚ w </w:t>
      </w:r>
      <w:r w:rsidR="005F3957">
        <w:rPr>
          <w:rFonts w:ascii="Times New Roman" w:hAnsi="Times New Roman" w:cs="Times New Roman"/>
          <w:sz w:val="24"/>
          <w:szCs w:val="24"/>
        </w:rPr>
        <w:t>Warszawie 13</w:t>
      </w:r>
      <w:r w:rsidRPr="007F400A">
        <w:rPr>
          <w:rFonts w:ascii="Times New Roman" w:hAnsi="Times New Roman" w:cs="Times New Roman"/>
          <w:sz w:val="24"/>
          <w:szCs w:val="24"/>
        </w:rPr>
        <w:t>,</w:t>
      </w:r>
      <w:r w:rsidR="005F3957">
        <w:rPr>
          <w:rFonts w:ascii="Times New Roman" w:hAnsi="Times New Roman" w:cs="Times New Roman"/>
          <w:sz w:val="24"/>
          <w:szCs w:val="24"/>
        </w:rPr>
        <w:t>9</w:t>
      </w:r>
      <w:r w:rsidRPr="007F400A">
        <w:rPr>
          <w:rFonts w:ascii="Times New Roman" w:hAnsi="Times New Roman" w:cs="Times New Roman"/>
          <w:sz w:val="24"/>
          <w:szCs w:val="24"/>
        </w:rPr>
        <w:t xml:space="preserve"> %; </w:t>
      </w:r>
    </w:p>
    <w:p w14:paraId="3DFD8B70" w14:textId="59784BD4" w:rsidR="00895F16" w:rsidRPr="007F400A" w:rsidRDefault="00895F16" w:rsidP="00D80FBD">
      <w:pPr>
        <w:spacing w:after="0" w:line="300" w:lineRule="atLeast"/>
        <w:rPr>
          <w:rFonts w:ascii="Times New Roman" w:hAnsi="Times New Roman" w:cs="Times New Roman"/>
          <w:sz w:val="24"/>
          <w:szCs w:val="24"/>
        </w:rPr>
      </w:pPr>
      <w:r w:rsidRPr="007F400A">
        <w:rPr>
          <w:rFonts w:ascii="Times New Roman" w:hAnsi="Times New Roman" w:cs="Times New Roman"/>
          <w:sz w:val="24"/>
          <w:szCs w:val="24"/>
        </w:rPr>
        <w:t xml:space="preserve">- w </w:t>
      </w:r>
      <w:r w:rsidR="00D60BA5" w:rsidRPr="007F400A">
        <w:rPr>
          <w:rFonts w:ascii="Times New Roman" w:hAnsi="Times New Roman" w:cs="Times New Roman"/>
          <w:sz w:val="24"/>
          <w:szCs w:val="24"/>
        </w:rPr>
        <w:t xml:space="preserve">WIOŚ w </w:t>
      </w:r>
      <w:r w:rsidR="005F3957">
        <w:rPr>
          <w:rFonts w:ascii="Times New Roman" w:hAnsi="Times New Roman" w:cs="Times New Roman"/>
          <w:sz w:val="24"/>
          <w:szCs w:val="24"/>
        </w:rPr>
        <w:t>Gdańsku 13</w:t>
      </w:r>
      <w:r w:rsidRPr="007F400A">
        <w:rPr>
          <w:rFonts w:ascii="Times New Roman" w:hAnsi="Times New Roman" w:cs="Times New Roman"/>
          <w:sz w:val="24"/>
          <w:szCs w:val="24"/>
        </w:rPr>
        <w:t>,</w:t>
      </w:r>
      <w:r w:rsidR="005F3957">
        <w:rPr>
          <w:rFonts w:ascii="Times New Roman" w:hAnsi="Times New Roman" w:cs="Times New Roman"/>
          <w:sz w:val="24"/>
          <w:szCs w:val="24"/>
        </w:rPr>
        <w:t>5</w:t>
      </w:r>
      <w:r w:rsidRPr="007F400A">
        <w:rPr>
          <w:rFonts w:ascii="Times New Roman" w:hAnsi="Times New Roman" w:cs="Times New Roman"/>
          <w:sz w:val="24"/>
          <w:szCs w:val="24"/>
        </w:rPr>
        <w:t xml:space="preserve"> %,</w:t>
      </w:r>
    </w:p>
    <w:p w14:paraId="42DB2353" w14:textId="73FF3CB9" w:rsidR="00895F16" w:rsidRPr="007F400A" w:rsidRDefault="00895F16" w:rsidP="00D80FBD">
      <w:pPr>
        <w:spacing w:after="60" w:line="300" w:lineRule="atLeast"/>
        <w:rPr>
          <w:rFonts w:ascii="Times New Roman" w:hAnsi="Times New Roman" w:cs="Times New Roman"/>
          <w:sz w:val="24"/>
          <w:szCs w:val="24"/>
        </w:rPr>
      </w:pPr>
      <w:r w:rsidRPr="007F400A">
        <w:rPr>
          <w:rFonts w:ascii="Times New Roman" w:hAnsi="Times New Roman" w:cs="Times New Roman"/>
          <w:sz w:val="24"/>
          <w:szCs w:val="24"/>
        </w:rPr>
        <w:t xml:space="preserve">- </w:t>
      </w:r>
      <w:r w:rsidR="005F3957">
        <w:rPr>
          <w:rFonts w:ascii="Times New Roman" w:hAnsi="Times New Roman" w:cs="Times New Roman"/>
          <w:sz w:val="24"/>
          <w:szCs w:val="24"/>
        </w:rPr>
        <w:t xml:space="preserve">oraz </w:t>
      </w:r>
      <w:r w:rsidRPr="007F400A">
        <w:rPr>
          <w:rFonts w:ascii="Times New Roman" w:hAnsi="Times New Roman" w:cs="Times New Roman"/>
          <w:sz w:val="24"/>
          <w:szCs w:val="24"/>
        </w:rPr>
        <w:t xml:space="preserve">w </w:t>
      </w:r>
      <w:r w:rsidR="00D60BA5" w:rsidRPr="007F400A">
        <w:rPr>
          <w:rFonts w:ascii="Times New Roman" w:hAnsi="Times New Roman" w:cs="Times New Roman"/>
          <w:sz w:val="24"/>
          <w:szCs w:val="24"/>
        </w:rPr>
        <w:t xml:space="preserve">WIOŚ w </w:t>
      </w:r>
      <w:r w:rsidR="005F3957">
        <w:rPr>
          <w:rFonts w:ascii="Times New Roman" w:hAnsi="Times New Roman" w:cs="Times New Roman"/>
          <w:sz w:val="24"/>
          <w:szCs w:val="24"/>
        </w:rPr>
        <w:t xml:space="preserve">Łodzi, Opolu i Kielcach – odpowiednio po 9,6 %, 9,5 % i 9,4 %. </w:t>
      </w:r>
      <w:r w:rsidRPr="007F400A">
        <w:rPr>
          <w:rFonts w:ascii="Times New Roman" w:hAnsi="Times New Roman" w:cs="Times New Roman"/>
          <w:sz w:val="24"/>
          <w:szCs w:val="24"/>
        </w:rPr>
        <w:t xml:space="preserve"> </w:t>
      </w:r>
    </w:p>
    <w:p w14:paraId="18F57840" w14:textId="217B4BCD" w:rsidR="00895F16" w:rsidRPr="007F400A" w:rsidRDefault="004966BE" w:rsidP="00D80FBD">
      <w:pPr>
        <w:spacing w:after="0" w:line="300" w:lineRule="atLeast"/>
        <w:rPr>
          <w:rFonts w:ascii="Times New Roman" w:hAnsi="Times New Roman" w:cs="Times New Roman"/>
          <w:sz w:val="24"/>
          <w:szCs w:val="24"/>
        </w:rPr>
      </w:pPr>
      <w:r w:rsidRPr="007F400A">
        <w:rPr>
          <w:rFonts w:ascii="Times New Roman" w:hAnsi="Times New Roman" w:cs="Times New Roman"/>
          <w:sz w:val="24"/>
          <w:szCs w:val="24"/>
        </w:rPr>
        <w:t xml:space="preserve"> </w:t>
      </w:r>
      <w:r w:rsidR="005F3957">
        <w:rPr>
          <w:rFonts w:ascii="Times New Roman" w:hAnsi="Times New Roman" w:cs="Times New Roman"/>
          <w:sz w:val="24"/>
          <w:szCs w:val="24"/>
        </w:rPr>
        <w:t>Naj</w:t>
      </w:r>
      <w:r w:rsidR="00895F16" w:rsidRPr="007F400A">
        <w:rPr>
          <w:rFonts w:ascii="Times New Roman" w:hAnsi="Times New Roman" w:cs="Times New Roman"/>
          <w:sz w:val="24"/>
          <w:szCs w:val="24"/>
        </w:rPr>
        <w:t xml:space="preserve">mniejszą fluktuację </w:t>
      </w:r>
      <w:r w:rsidR="00265534">
        <w:rPr>
          <w:rFonts w:ascii="Times New Roman" w:hAnsi="Times New Roman" w:cs="Times New Roman"/>
          <w:sz w:val="24"/>
          <w:szCs w:val="24"/>
        </w:rPr>
        <w:t xml:space="preserve">kadr </w:t>
      </w:r>
      <w:r w:rsidR="00895F16" w:rsidRPr="007F400A">
        <w:rPr>
          <w:rFonts w:ascii="Times New Roman" w:hAnsi="Times New Roman" w:cs="Times New Roman"/>
          <w:sz w:val="24"/>
          <w:szCs w:val="24"/>
        </w:rPr>
        <w:t>odnotowano</w:t>
      </w:r>
      <w:r w:rsidR="005F3957">
        <w:rPr>
          <w:rFonts w:ascii="Times New Roman" w:hAnsi="Times New Roman" w:cs="Times New Roman"/>
          <w:sz w:val="24"/>
          <w:szCs w:val="24"/>
        </w:rPr>
        <w:t xml:space="preserve"> natomiast</w:t>
      </w:r>
      <w:r w:rsidR="00895F16" w:rsidRPr="007F400A">
        <w:rPr>
          <w:rFonts w:ascii="Times New Roman" w:hAnsi="Times New Roman" w:cs="Times New Roman"/>
          <w:sz w:val="24"/>
          <w:szCs w:val="24"/>
        </w:rPr>
        <w:t>:</w:t>
      </w:r>
    </w:p>
    <w:p w14:paraId="1C12E02E" w14:textId="09FED8ED" w:rsidR="00895F16" w:rsidRPr="007F400A" w:rsidRDefault="00895F16" w:rsidP="00D80FBD">
      <w:pPr>
        <w:spacing w:after="0" w:line="300" w:lineRule="atLeast"/>
        <w:rPr>
          <w:rFonts w:ascii="Times New Roman" w:hAnsi="Times New Roman" w:cs="Times New Roman"/>
          <w:sz w:val="24"/>
          <w:szCs w:val="24"/>
        </w:rPr>
      </w:pPr>
      <w:r w:rsidRPr="007F400A">
        <w:rPr>
          <w:rFonts w:ascii="Times New Roman" w:hAnsi="Times New Roman" w:cs="Times New Roman"/>
          <w:sz w:val="24"/>
          <w:szCs w:val="24"/>
        </w:rPr>
        <w:t xml:space="preserve">- w </w:t>
      </w:r>
      <w:r w:rsidR="00D60BA5" w:rsidRPr="007F400A">
        <w:rPr>
          <w:rFonts w:ascii="Times New Roman" w:hAnsi="Times New Roman" w:cs="Times New Roman"/>
          <w:sz w:val="24"/>
          <w:szCs w:val="24"/>
        </w:rPr>
        <w:t xml:space="preserve">WIOŚ w </w:t>
      </w:r>
      <w:r w:rsidRPr="007F400A">
        <w:rPr>
          <w:rFonts w:ascii="Times New Roman" w:hAnsi="Times New Roman" w:cs="Times New Roman"/>
          <w:sz w:val="24"/>
          <w:szCs w:val="24"/>
        </w:rPr>
        <w:t xml:space="preserve">Lublinie </w:t>
      </w:r>
      <w:r w:rsidR="005F3957">
        <w:rPr>
          <w:rFonts w:ascii="Times New Roman" w:hAnsi="Times New Roman" w:cs="Times New Roman"/>
          <w:sz w:val="24"/>
          <w:szCs w:val="24"/>
        </w:rPr>
        <w:t>3</w:t>
      </w:r>
      <w:r w:rsidRPr="007F400A">
        <w:rPr>
          <w:rFonts w:ascii="Times New Roman" w:hAnsi="Times New Roman" w:cs="Times New Roman"/>
          <w:sz w:val="24"/>
          <w:szCs w:val="24"/>
        </w:rPr>
        <w:t>,</w:t>
      </w:r>
      <w:r w:rsidR="005F3957">
        <w:rPr>
          <w:rFonts w:ascii="Times New Roman" w:hAnsi="Times New Roman" w:cs="Times New Roman"/>
          <w:sz w:val="24"/>
          <w:szCs w:val="24"/>
        </w:rPr>
        <w:t>3</w:t>
      </w:r>
      <w:r w:rsidRPr="007F400A">
        <w:rPr>
          <w:rFonts w:ascii="Times New Roman" w:hAnsi="Times New Roman" w:cs="Times New Roman"/>
          <w:sz w:val="24"/>
          <w:szCs w:val="24"/>
        </w:rPr>
        <w:t xml:space="preserve"> %, </w:t>
      </w:r>
    </w:p>
    <w:p w14:paraId="1B2F0FA4" w14:textId="090CA4D9" w:rsidR="00895F16" w:rsidRPr="007F400A" w:rsidRDefault="00895F16" w:rsidP="00D80FBD">
      <w:pPr>
        <w:spacing w:after="0" w:line="300" w:lineRule="atLeast"/>
        <w:rPr>
          <w:rFonts w:ascii="Times New Roman" w:hAnsi="Times New Roman" w:cs="Times New Roman"/>
          <w:sz w:val="24"/>
          <w:szCs w:val="24"/>
        </w:rPr>
      </w:pPr>
      <w:r w:rsidRPr="007F400A">
        <w:rPr>
          <w:rFonts w:ascii="Times New Roman" w:hAnsi="Times New Roman" w:cs="Times New Roman"/>
          <w:sz w:val="24"/>
          <w:szCs w:val="24"/>
        </w:rPr>
        <w:t xml:space="preserve">- </w:t>
      </w:r>
      <w:r w:rsidR="005F3957">
        <w:rPr>
          <w:rFonts w:ascii="Times New Roman" w:hAnsi="Times New Roman" w:cs="Times New Roman"/>
          <w:sz w:val="24"/>
          <w:szCs w:val="24"/>
        </w:rPr>
        <w:t xml:space="preserve">oraz </w:t>
      </w:r>
      <w:r w:rsidRPr="007F400A">
        <w:rPr>
          <w:rFonts w:ascii="Times New Roman" w:hAnsi="Times New Roman" w:cs="Times New Roman"/>
          <w:sz w:val="24"/>
          <w:szCs w:val="24"/>
        </w:rPr>
        <w:t xml:space="preserve">w </w:t>
      </w:r>
      <w:r w:rsidR="00D60BA5" w:rsidRPr="007F400A">
        <w:rPr>
          <w:rFonts w:ascii="Times New Roman" w:hAnsi="Times New Roman" w:cs="Times New Roman"/>
          <w:sz w:val="24"/>
          <w:szCs w:val="24"/>
        </w:rPr>
        <w:t xml:space="preserve">WIOŚ w </w:t>
      </w:r>
      <w:r w:rsidR="005F3957">
        <w:rPr>
          <w:rFonts w:ascii="Times New Roman" w:hAnsi="Times New Roman" w:cs="Times New Roman"/>
          <w:sz w:val="24"/>
          <w:szCs w:val="24"/>
        </w:rPr>
        <w:t xml:space="preserve">Rzeszowie i we Wrocławiu – po 3,8 %. </w:t>
      </w:r>
      <w:r w:rsidRPr="007F400A">
        <w:rPr>
          <w:rFonts w:ascii="Times New Roman" w:hAnsi="Times New Roman" w:cs="Times New Roman"/>
          <w:sz w:val="24"/>
          <w:szCs w:val="24"/>
        </w:rPr>
        <w:t xml:space="preserve"> </w:t>
      </w:r>
    </w:p>
    <w:p w14:paraId="67DBA427" w14:textId="77777777" w:rsidR="00895F16" w:rsidRPr="007F400A" w:rsidRDefault="00895F16" w:rsidP="00D80FBD">
      <w:pPr>
        <w:spacing w:after="0" w:line="300" w:lineRule="atLeast"/>
        <w:rPr>
          <w:rFonts w:ascii="Times New Roman" w:hAnsi="Times New Roman" w:cs="Times New Roman"/>
          <w:sz w:val="24"/>
          <w:szCs w:val="24"/>
        </w:rPr>
      </w:pPr>
    </w:p>
    <w:p w14:paraId="7035501F" w14:textId="3D2C4789" w:rsidR="00895F16" w:rsidRPr="007F400A" w:rsidRDefault="00AE56F5" w:rsidP="00D80FBD">
      <w:pPr>
        <w:keepNext/>
        <w:spacing w:after="120" w:line="300" w:lineRule="atLeast"/>
        <w:outlineLvl w:val="0"/>
        <w:rPr>
          <w:rFonts w:ascii="Times New Roman" w:eastAsia="Times New Roman" w:hAnsi="Times New Roman" w:cs="Times New Roman"/>
          <w:b/>
          <w:bCs/>
          <w:sz w:val="24"/>
          <w:szCs w:val="24"/>
          <w:lang w:val="x-none" w:eastAsia="x-none"/>
        </w:rPr>
      </w:pPr>
      <w:bookmarkStart w:id="494" w:name="_Toc5878597"/>
      <w:bookmarkStart w:id="495" w:name="_Toc36732670"/>
      <w:bookmarkStart w:id="496" w:name="_Toc135935749"/>
      <w:r>
        <w:rPr>
          <w:rFonts w:ascii="Times New Roman" w:eastAsia="Times New Roman" w:hAnsi="Times New Roman" w:cs="Times New Roman"/>
          <w:b/>
          <w:bCs/>
          <w:sz w:val="24"/>
          <w:szCs w:val="24"/>
          <w:lang w:eastAsia="x-none"/>
        </w:rPr>
        <w:lastRenderedPageBreak/>
        <w:t>7</w:t>
      </w:r>
      <w:r w:rsidR="00895F16" w:rsidRPr="007F400A">
        <w:rPr>
          <w:rFonts w:ascii="Times New Roman" w:eastAsia="Times New Roman" w:hAnsi="Times New Roman" w:cs="Times New Roman"/>
          <w:b/>
          <w:bCs/>
          <w:sz w:val="24"/>
          <w:szCs w:val="24"/>
          <w:lang w:val="x-none" w:eastAsia="x-none"/>
        </w:rPr>
        <w:t>. Zagadnienia ekonomiczno-finansowe</w:t>
      </w:r>
      <w:bookmarkEnd w:id="494"/>
      <w:bookmarkEnd w:id="495"/>
      <w:bookmarkEnd w:id="496"/>
      <w:r w:rsidR="00895F16" w:rsidRPr="007F400A">
        <w:rPr>
          <w:rFonts w:ascii="Times New Roman" w:eastAsia="Times New Roman" w:hAnsi="Times New Roman" w:cs="Times New Roman"/>
          <w:b/>
          <w:bCs/>
          <w:sz w:val="24"/>
          <w:szCs w:val="24"/>
          <w:lang w:val="x-none" w:eastAsia="x-none"/>
        </w:rPr>
        <w:tab/>
      </w:r>
    </w:p>
    <w:p w14:paraId="6662AC3F" w14:textId="77777777" w:rsidR="007C4111" w:rsidRPr="007F400A" w:rsidRDefault="007C4111" w:rsidP="00D80FBD">
      <w:pPr>
        <w:autoSpaceDE w:val="0"/>
        <w:autoSpaceDN w:val="0"/>
        <w:adjustRightInd w:val="0"/>
        <w:spacing w:after="0" w:line="300" w:lineRule="atLeast"/>
        <w:ind w:firstLine="708"/>
        <w:jc w:val="both"/>
        <w:rPr>
          <w:rFonts w:ascii="Times New Roman" w:eastAsia="Times New Roman" w:hAnsi="Times New Roman" w:cs="Times New Roman"/>
          <w:sz w:val="24"/>
          <w:szCs w:val="24"/>
          <w:lang w:eastAsia="pl-PL"/>
        </w:rPr>
      </w:pPr>
      <w:bookmarkStart w:id="497" w:name="_Hlk99445619"/>
      <w:r w:rsidRPr="007F400A">
        <w:rPr>
          <w:rFonts w:ascii="Times New Roman" w:eastAsia="Times New Roman" w:hAnsi="Times New Roman" w:cs="Times New Roman"/>
          <w:sz w:val="24"/>
          <w:szCs w:val="24"/>
          <w:lang w:eastAsia="pl-PL"/>
        </w:rPr>
        <w:t>W 202</w:t>
      </w:r>
      <w:r>
        <w:rPr>
          <w:rFonts w:ascii="Times New Roman" w:eastAsia="Times New Roman" w:hAnsi="Times New Roman" w:cs="Times New Roman"/>
          <w:sz w:val="24"/>
          <w:szCs w:val="24"/>
          <w:lang w:eastAsia="pl-PL"/>
        </w:rPr>
        <w:t>2</w:t>
      </w:r>
      <w:r w:rsidRPr="007F400A">
        <w:rPr>
          <w:rFonts w:ascii="Times New Roman" w:eastAsia="Times New Roman" w:hAnsi="Times New Roman" w:cs="Times New Roman"/>
          <w:sz w:val="24"/>
          <w:szCs w:val="24"/>
          <w:lang w:eastAsia="pl-PL"/>
        </w:rPr>
        <w:t xml:space="preserve"> r. budżet Inspekcji Ochrony Środowiska na wydatki wynosił łącznie </w:t>
      </w:r>
      <w:r>
        <w:rPr>
          <w:rFonts w:ascii="Times New Roman" w:eastAsia="Times New Roman" w:hAnsi="Times New Roman" w:cs="Times New Roman"/>
          <w:sz w:val="24"/>
          <w:szCs w:val="24"/>
          <w:lang w:eastAsia="pl-PL"/>
        </w:rPr>
        <w:br/>
      </w:r>
      <w:r>
        <w:rPr>
          <w:rFonts w:ascii="Times New Roman" w:eastAsia="Times New Roman" w:hAnsi="Times New Roman" w:cs="Times New Roman"/>
          <w:color w:val="000000" w:themeColor="text1"/>
          <w:sz w:val="24"/>
          <w:szCs w:val="24"/>
          <w:lang w:eastAsia="pl-PL"/>
        </w:rPr>
        <w:t>458,47</w:t>
      </w:r>
      <w:r w:rsidRPr="00986E4A">
        <w:rPr>
          <w:rFonts w:ascii="Times New Roman" w:eastAsia="Times New Roman" w:hAnsi="Times New Roman" w:cs="Times New Roman"/>
          <w:color w:val="FF0000"/>
          <w:sz w:val="24"/>
          <w:szCs w:val="24"/>
          <w:lang w:eastAsia="pl-PL"/>
        </w:rPr>
        <w:t xml:space="preserve"> </w:t>
      </w:r>
      <w:r w:rsidRPr="007F400A">
        <w:rPr>
          <w:rFonts w:ascii="Times New Roman" w:eastAsia="Times New Roman" w:hAnsi="Times New Roman" w:cs="Times New Roman"/>
          <w:sz w:val="24"/>
          <w:szCs w:val="24"/>
          <w:lang w:eastAsia="pl-PL"/>
        </w:rPr>
        <w:t xml:space="preserve">mln zł., </w:t>
      </w:r>
      <w:r>
        <w:rPr>
          <w:rFonts w:ascii="Times New Roman" w:eastAsia="Times New Roman" w:hAnsi="Times New Roman" w:cs="Times New Roman"/>
          <w:sz w:val="24"/>
          <w:szCs w:val="24"/>
          <w:lang w:eastAsia="pl-PL"/>
        </w:rPr>
        <w:t>z tego</w:t>
      </w:r>
      <w:r w:rsidRPr="007F400A">
        <w:rPr>
          <w:rFonts w:ascii="Times New Roman" w:eastAsia="Times New Roman" w:hAnsi="Times New Roman" w:cs="Times New Roman"/>
          <w:sz w:val="24"/>
          <w:szCs w:val="24"/>
          <w:lang w:eastAsia="pl-PL"/>
        </w:rPr>
        <w:t>:</w:t>
      </w:r>
    </w:p>
    <w:p w14:paraId="7276E96A" w14:textId="77777777" w:rsidR="007C4111" w:rsidRDefault="007C4111" w:rsidP="00D80FBD">
      <w:pPr>
        <w:numPr>
          <w:ilvl w:val="0"/>
          <w:numId w:val="43"/>
        </w:numPr>
        <w:autoSpaceDE w:val="0"/>
        <w:autoSpaceDN w:val="0"/>
        <w:adjustRightInd w:val="0"/>
        <w:spacing w:after="0" w:line="300" w:lineRule="atLeast"/>
        <w:jc w:val="both"/>
        <w:rPr>
          <w:rFonts w:ascii="Times New Roman" w:eastAsia="Times New Roman" w:hAnsi="Times New Roman" w:cs="Times New Roman"/>
          <w:sz w:val="24"/>
          <w:szCs w:val="24"/>
          <w:lang w:eastAsia="pl-PL"/>
        </w:rPr>
      </w:pPr>
      <w:r w:rsidRPr="007F400A">
        <w:rPr>
          <w:rFonts w:ascii="Times New Roman" w:eastAsia="Times New Roman" w:hAnsi="Times New Roman" w:cs="Times New Roman"/>
          <w:sz w:val="24"/>
          <w:szCs w:val="24"/>
          <w:lang w:eastAsia="pl-PL"/>
        </w:rPr>
        <w:t>ś</w:t>
      </w:r>
      <w:r w:rsidRPr="007F400A">
        <w:rPr>
          <w:rFonts w:ascii="Times New Roman" w:eastAsia="Times New Roman" w:hAnsi="Times New Roman" w:cs="Times New Roman"/>
          <w:sz w:val="24"/>
          <w:szCs w:val="24"/>
          <w:lang w:val="x-none" w:eastAsia="pl-PL"/>
        </w:rPr>
        <w:t>rodki budżetowe –</w:t>
      </w:r>
      <w:r w:rsidRPr="007F400A">
        <w:rPr>
          <w:rFonts w:ascii="Times New Roman" w:eastAsia="Times New Roman" w:hAnsi="Times New Roman" w:cs="Times New Roman"/>
          <w:sz w:val="24"/>
          <w:szCs w:val="24"/>
          <w:lang w:eastAsia="pl-PL"/>
        </w:rPr>
        <w:t xml:space="preserve"> </w:t>
      </w:r>
      <w:r>
        <w:rPr>
          <w:rFonts w:ascii="Times New Roman" w:eastAsia="Times New Roman" w:hAnsi="Times New Roman" w:cs="Times New Roman"/>
          <w:color w:val="000000" w:themeColor="text1"/>
          <w:sz w:val="24"/>
          <w:szCs w:val="24"/>
          <w:lang w:eastAsia="pl-PL"/>
        </w:rPr>
        <w:t>447,39</w:t>
      </w:r>
      <w:r w:rsidRPr="00986E4A">
        <w:rPr>
          <w:rFonts w:ascii="Times New Roman" w:eastAsia="Times New Roman" w:hAnsi="Times New Roman" w:cs="Times New Roman"/>
          <w:color w:val="000000" w:themeColor="text1"/>
          <w:sz w:val="24"/>
          <w:szCs w:val="24"/>
          <w:lang w:eastAsia="pl-PL"/>
        </w:rPr>
        <w:t xml:space="preserve"> </w:t>
      </w:r>
      <w:r w:rsidRPr="007F400A">
        <w:rPr>
          <w:rFonts w:ascii="Times New Roman" w:eastAsia="Times New Roman" w:hAnsi="Times New Roman" w:cs="Times New Roman"/>
          <w:sz w:val="24"/>
          <w:szCs w:val="24"/>
          <w:lang w:val="x-none" w:eastAsia="pl-PL"/>
        </w:rPr>
        <w:t>mln zł</w:t>
      </w:r>
      <w:r w:rsidRPr="007F400A">
        <w:rPr>
          <w:rFonts w:ascii="Times New Roman" w:eastAsia="Times New Roman" w:hAnsi="Times New Roman" w:cs="Times New Roman"/>
          <w:sz w:val="24"/>
          <w:szCs w:val="24"/>
          <w:lang w:eastAsia="pl-PL"/>
        </w:rPr>
        <w:t>,</w:t>
      </w:r>
      <w:r>
        <w:rPr>
          <w:rFonts w:ascii="Times New Roman" w:eastAsia="Times New Roman" w:hAnsi="Times New Roman" w:cs="Times New Roman"/>
          <w:sz w:val="24"/>
          <w:szCs w:val="24"/>
          <w:lang w:eastAsia="pl-PL"/>
        </w:rPr>
        <w:t xml:space="preserve"> w tym:</w:t>
      </w:r>
      <w:r w:rsidRPr="00C50559">
        <w:rPr>
          <w:rFonts w:ascii="Times New Roman" w:eastAsia="Times New Roman" w:hAnsi="Times New Roman" w:cs="Times New Roman"/>
          <w:sz w:val="24"/>
          <w:szCs w:val="24"/>
          <w:lang w:eastAsia="pl-PL"/>
        </w:rPr>
        <w:t xml:space="preserve"> </w:t>
      </w:r>
    </w:p>
    <w:p w14:paraId="56E5835D" w14:textId="68487ED2" w:rsidR="007C4111" w:rsidRPr="007C4111" w:rsidRDefault="007C4111" w:rsidP="00D80FBD">
      <w:pPr>
        <w:pStyle w:val="Akapitzlist"/>
        <w:numPr>
          <w:ilvl w:val="0"/>
          <w:numId w:val="353"/>
        </w:numPr>
        <w:autoSpaceDE w:val="0"/>
        <w:autoSpaceDN w:val="0"/>
        <w:adjustRightInd w:val="0"/>
        <w:spacing w:line="300" w:lineRule="atLeast"/>
        <w:ind w:left="1208" w:hanging="357"/>
        <w:jc w:val="both"/>
        <w:rPr>
          <w:rFonts w:eastAsia="Times New Roman"/>
          <w:sz w:val="24"/>
          <w:szCs w:val="24"/>
        </w:rPr>
      </w:pPr>
      <w:r w:rsidRPr="007C4111">
        <w:rPr>
          <w:rFonts w:eastAsia="Times New Roman"/>
          <w:sz w:val="24"/>
          <w:szCs w:val="24"/>
        </w:rPr>
        <w:t>środki otrzymane w ramach rezerwy celowej budżetu państwa z funduszy ochrony środowiska 96,29 mln zł (z NFOŚiGW – 92,6 mln zł, z wojewódzkich funduszy ochrony środowiska 3,69 mln zł),</w:t>
      </w:r>
    </w:p>
    <w:p w14:paraId="58165AFC" w14:textId="168E8851" w:rsidR="007C4111" w:rsidRPr="007C4111" w:rsidRDefault="007C4111" w:rsidP="00D80FBD">
      <w:pPr>
        <w:numPr>
          <w:ilvl w:val="0"/>
          <w:numId w:val="43"/>
        </w:numPr>
        <w:autoSpaceDE w:val="0"/>
        <w:autoSpaceDN w:val="0"/>
        <w:adjustRightInd w:val="0"/>
        <w:spacing w:after="240" w:line="300" w:lineRule="atLeast"/>
        <w:ind w:left="714" w:hanging="357"/>
        <w:jc w:val="both"/>
        <w:rPr>
          <w:rFonts w:ascii="Times New Roman" w:eastAsia="Times New Roman" w:hAnsi="Times New Roman" w:cs="Times New Roman"/>
          <w:sz w:val="24"/>
          <w:szCs w:val="24"/>
          <w:lang w:val="x-none" w:eastAsia="pl-PL"/>
        </w:rPr>
      </w:pPr>
      <w:r w:rsidRPr="007F400A">
        <w:rPr>
          <w:rFonts w:ascii="Times New Roman" w:eastAsia="Times New Roman" w:hAnsi="Times New Roman" w:cs="Times New Roman"/>
          <w:sz w:val="24"/>
          <w:szCs w:val="24"/>
          <w:lang w:eastAsia="pl-PL"/>
        </w:rPr>
        <w:t xml:space="preserve">środki budżetowe z </w:t>
      </w:r>
      <w:r w:rsidRPr="007F400A">
        <w:rPr>
          <w:rFonts w:ascii="Times New Roman" w:eastAsia="Times New Roman" w:hAnsi="Times New Roman" w:cs="Times New Roman"/>
          <w:sz w:val="24"/>
          <w:szCs w:val="24"/>
          <w:lang w:val="x-none" w:eastAsia="pl-PL"/>
        </w:rPr>
        <w:t>UE</w:t>
      </w:r>
      <w:r w:rsidRPr="007F400A">
        <w:rPr>
          <w:rFonts w:ascii="Times New Roman" w:eastAsia="Times New Roman" w:hAnsi="Times New Roman" w:cs="Times New Roman"/>
          <w:sz w:val="24"/>
          <w:szCs w:val="24"/>
          <w:lang w:eastAsia="pl-PL"/>
        </w:rPr>
        <w:t xml:space="preserve"> </w:t>
      </w:r>
      <w:r w:rsidRPr="00986E4A">
        <w:rPr>
          <w:rFonts w:ascii="Times New Roman" w:eastAsia="Times New Roman" w:hAnsi="Times New Roman" w:cs="Times New Roman"/>
          <w:color w:val="000000" w:themeColor="text1"/>
          <w:sz w:val="24"/>
          <w:szCs w:val="24"/>
          <w:lang w:eastAsia="pl-PL"/>
        </w:rPr>
        <w:t xml:space="preserve">11,08 </w:t>
      </w:r>
      <w:r w:rsidRPr="007F400A">
        <w:rPr>
          <w:rFonts w:ascii="Times New Roman" w:eastAsia="Times New Roman" w:hAnsi="Times New Roman" w:cs="Times New Roman"/>
          <w:sz w:val="24"/>
          <w:szCs w:val="24"/>
          <w:lang w:eastAsia="pl-PL"/>
        </w:rPr>
        <w:t>mln zł</w:t>
      </w:r>
      <w:r>
        <w:rPr>
          <w:rFonts w:ascii="Times New Roman" w:eastAsia="Times New Roman" w:hAnsi="Times New Roman" w:cs="Times New Roman"/>
          <w:sz w:val="24"/>
          <w:szCs w:val="24"/>
          <w:lang w:eastAsia="pl-PL"/>
        </w:rPr>
        <w:t>.</w:t>
      </w:r>
    </w:p>
    <w:p w14:paraId="26ACD56E" w14:textId="6CAD5048" w:rsidR="00895F16" w:rsidRPr="007F400A" w:rsidRDefault="007C4111" w:rsidP="00D80FBD">
      <w:pPr>
        <w:autoSpaceDE w:val="0"/>
        <w:autoSpaceDN w:val="0"/>
        <w:adjustRightInd w:val="0"/>
        <w:spacing w:after="0" w:line="300" w:lineRule="atLeast"/>
        <w:jc w:val="both"/>
        <w:rPr>
          <w:rFonts w:ascii="Times New Roman" w:eastAsia="Times New Roman" w:hAnsi="Times New Roman" w:cs="Times New Roman"/>
          <w:sz w:val="24"/>
          <w:szCs w:val="24"/>
          <w:lang w:val="x-none" w:eastAsia="pl-PL"/>
        </w:rPr>
      </w:pPr>
      <w:r w:rsidRPr="007F400A">
        <w:rPr>
          <w:rFonts w:ascii="Times New Roman" w:eastAsia="Times New Roman" w:hAnsi="Times New Roman" w:cs="Times New Roman"/>
          <w:sz w:val="24"/>
          <w:szCs w:val="24"/>
          <w:lang w:eastAsia="pl-PL"/>
        </w:rPr>
        <w:t>Dochody oraz wpływy ze świadczonych usług wyniosły w 202</w:t>
      </w:r>
      <w:r>
        <w:rPr>
          <w:rFonts w:ascii="Times New Roman" w:eastAsia="Times New Roman" w:hAnsi="Times New Roman" w:cs="Times New Roman"/>
          <w:sz w:val="24"/>
          <w:szCs w:val="24"/>
          <w:lang w:eastAsia="pl-PL"/>
        </w:rPr>
        <w:t>2</w:t>
      </w:r>
      <w:r w:rsidRPr="007F400A">
        <w:rPr>
          <w:rFonts w:ascii="Times New Roman" w:eastAsia="Times New Roman" w:hAnsi="Times New Roman" w:cs="Times New Roman"/>
          <w:sz w:val="24"/>
          <w:szCs w:val="24"/>
          <w:lang w:eastAsia="pl-PL"/>
        </w:rPr>
        <w:t xml:space="preserve"> r. </w:t>
      </w:r>
      <w:r>
        <w:rPr>
          <w:rFonts w:ascii="Times New Roman" w:eastAsia="Times New Roman" w:hAnsi="Times New Roman" w:cs="Times New Roman"/>
          <w:sz w:val="24"/>
          <w:szCs w:val="24"/>
          <w:lang w:eastAsia="pl-PL"/>
        </w:rPr>
        <w:t>7</w:t>
      </w:r>
      <w:r w:rsidRPr="007F400A">
        <w:rPr>
          <w:rFonts w:ascii="Times New Roman" w:eastAsia="Times New Roman" w:hAnsi="Times New Roman" w:cs="Times New Roman"/>
          <w:sz w:val="24"/>
          <w:szCs w:val="24"/>
          <w:lang w:eastAsia="pl-PL"/>
        </w:rPr>
        <w:t>,</w:t>
      </w:r>
      <w:r>
        <w:rPr>
          <w:rFonts w:ascii="Times New Roman" w:eastAsia="Times New Roman" w:hAnsi="Times New Roman" w:cs="Times New Roman"/>
          <w:sz w:val="24"/>
          <w:szCs w:val="24"/>
          <w:lang w:eastAsia="pl-PL"/>
        </w:rPr>
        <w:t>35</w:t>
      </w:r>
      <w:r w:rsidRPr="007F400A">
        <w:rPr>
          <w:rFonts w:ascii="Times New Roman" w:eastAsia="Times New Roman" w:hAnsi="Times New Roman" w:cs="Times New Roman"/>
          <w:sz w:val="24"/>
          <w:szCs w:val="24"/>
          <w:lang w:eastAsia="pl-PL"/>
        </w:rPr>
        <w:t xml:space="preserve"> mln zł</w:t>
      </w:r>
      <w:r w:rsidR="00895F16" w:rsidRPr="007F400A">
        <w:rPr>
          <w:rFonts w:ascii="Times New Roman" w:eastAsia="Times New Roman" w:hAnsi="Times New Roman" w:cs="Times New Roman"/>
          <w:sz w:val="24"/>
          <w:szCs w:val="24"/>
          <w:lang w:eastAsia="pl-PL"/>
        </w:rPr>
        <w:t xml:space="preserve">. </w:t>
      </w:r>
    </w:p>
    <w:bookmarkEnd w:id="497"/>
    <w:p w14:paraId="4F84AAA9" w14:textId="04D82143" w:rsidR="00895F16" w:rsidRPr="007F400A" w:rsidRDefault="00895F16" w:rsidP="00D80FBD">
      <w:pPr>
        <w:keepNext/>
        <w:spacing w:after="0" w:line="300" w:lineRule="atLeast"/>
        <w:outlineLvl w:val="0"/>
        <w:rPr>
          <w:rFonts w:ascii="Times New Roman" w:eastAsia="Times New Roman" w:hAnsi="Times New Roman" w:cs="Times New Roman"/>
          <w:b/>
          <w:sz w:val="24"/>
          <w:szCs w:val="24"/>
          <w:lang w:val="x-none" w:eastAsia="x-none"/>
        </w:rPr>
      </w:pPr>
      <w:r w:rsidRPr="007F400A">
        <w:rPr>
          <w:rFonts w:ascii="Times New Roman" w:eastAsia="Times New Roman" w:hAnsi="Times New Roman" w:cs="Times New Roman"/>
          <w:b/>
          <w:bCs/>
          <w:sz w:val="24"/>
          <w:szCs w:val="24"/>
          <w:lang w:val="x-none" w:eastAsia="x-none"/>
        </w:rPr>
        <w:br w:type="page"/>
      </w:r>
      <w:bookmarkStart w:id="498" w:name="_Toc36732671"/>
      <w:bookmarkStart w:id="499" w:name="_Toc135935750"/>
      <w:bookmarkStart w:id="500" w:name="_Toc5878598"/>
      <w:bookmarkStart w:id="501" w:name="Bookmark21"/>
      <w:r w:rsidRPr="007F400A">
        <w:rPr>
          <w:rFonts w:ascii="Times New Roman" w:eastAsia="Times New Roman" w:hAnsi="Times New Roman" w:cs="Times New Roman"/>
          <w:b/>
          <w:color w:val="000000" w:themeColor="text1"/>
          <w:sz w:val="24"/>
          <w:szCs w:val="24"/>
          <w:lang w:eastAsia="x-none"/>
        </w:rPr>
        <w:lastRenderedPageBreak/>
        <w:t>X. PODSUMOWANIE</w:t>
      </w:r>
      <w:bookmarkEnd w:id="498"/>
      <w:bookmarkEnd w:id="499"/>
      <w:r w:rsidRPr="007F400A">
        <w:rPr>
          <w:rFonts w:ascii="Times New Roman" w:eastAsia="Times New Roman" w:hAnsi="Times New Roman" w:cs="Times New Roman"/>
          <w:b/>
          <w:color w:val="000000" w:themeColor="text1"/>
          <w:sz w:val="24"/>
          <w:szCs w:val="24"/>
          <w:lang w:eastAsia="x-none"/>
        </w:rPr>
        <w:t xml:space="preserve"> </w:t>
      </w:r>
      <w:bookmarkEnd w:id="500"/>
      <w:bookmarkEnd w:id="501"/>
    </w:p>
    <w:p w14:paraId="2F93FD19" w14:textId="77777777" w:rsidR="00895F16" w:rsidRPr="007F400A" w:rsidRDefault="00895F16" w:rsidP="00D80FBD">
      <w:pPr>
        <w:spacing w:after="0" w:line="300" w:lineRule="atLeast"/>
        <w:jc w:val="both"/>
        <w:rPr>
          <w:rFonts w:ascii="Times New Roman" w:eastAsia="Times New Roman" w:hAnsi="Times New Roman" w:cs="Times New Roman"/>
          <w:bCs/>
          <w:sz w:val="24"/>
          <w:szCs w:val="24"/>
        </w:rPr>
      </w:pPr>
    </w:p>
    <w:p w14:paraId="0F7F5A35" w14:textId="6E51E51B" w:rsidR="000D65E9" w:rsidRDefault="000D65E9" w:rsidP="00D80FBD">
      <w:pPr>
        <w:spacing w:after="0" w:line="300" w:lineRule="atLeast"/>
        <w:ind w:firstLine="567"/>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W roku 2022 duża część działań kontrolnych koncentrowała się wokół sytuacji powstałej w II połowie 2022 r. na rzece Odrze. </w:t>
      </w:r>
    </w:p>
    <w:p w14:paraId="4BB49D90" w14:textId="283A4310" w:rsidR="00FF63D2" w:rsidRDefault="00FF63D2" w:rsidP="00D80FBD">
      <w:pPr>
        <w:spacing w:after="0" w:line="300" w:lineRule="atLeast"/>
        <w:ind w:firstLine="567"/>
        <w:jc w:val="both"/>
        <w:rPr>
          <w:rFonts w:ascii="Times New Roman" w:hAnsi="Times New Roman" w:cs="Times New Roman"/>
          <w:sz w:val="24"/>
          <w:szCs w:val="24"/>
        </w:rPr>
      </w:pPr>
      <w:r w:rsidRPr="00D35B4A">
        <w:rPr>
          <w:rFonts w:ascii="Times New Roman" w:hAnsi="Times New Roman" w:cs="Times New Roman"/>
          <w:sz w:val="24"/>
          <w:szCs w:val="24"/>
        </w:rPr>
        <w:t>W z</w:t>
      </w:r>
      <w:r w:rsidRPr="00032B84">
        <w:rPr>
          <w:rFonts w:ascii="Times New Roman" w:hAnsi="Times New Roman" w:cs="Times New Roman"/>
          <w:sz w:val="24"/>
          <w:szCs w:val="24"/>
        </w:rPr>
        <w:t>wiązku z wystąpieniem w II połowie 2022 r. sytuacji związanej ze śnięciem ryb w Odrze</w:t>
      </w:r>
      <w:r>
        <w:rPr>
          <w:rFonts w:ascii="Times New Roman" w:hAnsi="Times New Roman" w:cs="Times New Roman"/>
          <w:sz w:val="24"/>
          <w:szCs w:val="24"/>
        </w:rPr>
        <w:t xml:space="preserve">, </w:t>
      </w:r>
      <w:r w:rsidRPr="005407BD">
        <w:rPr>
          <w:rFonts w:ascii="Times New Roman" w:hAnsi="Times New Roman" w:cs="Times New Roman"/>
          <w:sz w:val="24"/>
          <w:szCs w:val="24"/>
        </w:rPr>
        <w:t>G</w:t>
      </w:r>
      <w:r>
        <w:rPr>
          <w:rFonts w:ascii="Times New Roman" w:hAnsi="Times New Roman" w:cs="Times New Roman"/>
          <w:sz w:val="24"/>
          <w:szCs w:val="24"/>
        </w:rPr>
        <w:t>łówny Inspektor</w:t>
      </w:r>
      <w:r w:rsidRPr="005407BD">
        <w:rPr>
          <w:rFonts w:ascii="Times New Roman" w:hAnsi="Times New Roman" w:cs="Times New Roman"/>
          <w:sz w:val="24"/>
          <w:szCs w:val="24"/>
        </w:rPr>
        <w:t xml:space="preserve"> </w:t>
      </w:r>
      <w:r>
        <w:rPr>
          <w:rFonts w:ascii="Times New Roman" w:hAnsi="Times New Roman" w:cs="Times New Roman"/>
          <w:sz w:val="24"/>
          <w:szCs w:val="24"/>
        </w:rPr>
        <w:t xml:space="preserve">Ochrony Środowiska </w:t>
      </w:r>
      <w:r w:rsidRPr="005407BD">
        <w:rPr>
          <w:rFonts w:ascii="Times New Roman" w:hAnsi="Times New Roman" w:cs="Times New Roman"/>
          <w:sz w:val="24"/>
          <w:szCs w:val="24"/>
        </w:rPr>
        <w:t xml:space="preserve">zobowiązał pięciu </w:t>
      </w:r>
      <w:r>
        <w:rPr>
          <w:rFonts w:ascii="Times New Roman" w:hAnsi="Times New Roman" w:cs="Times New Roman"/>
          <w:sz w:val="24"/>
          <w:szCs w:val="24"/>
        </w:rPr>
        <w:t>wojewódzkich inspektorów ochrony środowiska</w:t>
      </w:r>
      <w:r w:rsidRPr="005407BD">
        <w:rPr>
          <w:rFonts w:ascii="Times New Roman" w:hAnsi="Times New Roman" w:cs="Times New Roman"/>
          <w:sz w:val="24"/>
          <w:szCs w:val="24"/>
        </w:rPr>
        <w:t xml:space="preserve">: Śląskiego, Opolskiego, Dolnośląskiego, Lubuskiego oraz Zachodniopomorskiego do prowadzenia działań w Zakładach odprowadzających ścieki, wody opadowe lub wody z odwodnienia, bezpośrednio do Odry lub jej dopływów, </w:t>
      </w:r>
      <w:r>
        <w:rPr>
          <w:rFonts w:ascii="Times New Roman" w:hAnsi="Times New Roman" w:cs="Times New Roman"/>
          <w:sz w:val="24"/>
          <w:szCs w:val="24"/>
        </w:rPr>
        <w:t xml:space="preserve">w tym Zakładów, </w:t>
      </w:r>
      <w:r w:rsidRPr="005407BD">
        <w:rPr>
          <w:rFonts w:ascii="Times New Roman" w:hAnsi="Times New Roman" w:cs="Times New Roman"/>
          <w:sz w:val="24"/>
          <w:szCs w:val="24"/>
        </w:rPr>
        <w:t>które w prowadzonej działalności wykorzystują m.in. podchloryn sodu lub wodorotlenek sodu lub posiadają w pozwoleniach określone wskaźniki zanieczyszczeń: sód, potas, chlorki, siarczany, rtęć, ołów, nikiel, kadm, miedź</w:t>
      </w:r>
      <w:r>
        <w:rPr>
          <w:rFonts w:ascii="Times New Roman" w:hAnsi="Times New Roman" w:cs="Times New Roman"/>
          <w:sz w:val="24"/>
          <w:szCs w:val="24"/>
        </w:rPr>
        <w:t xml:space="preserve">. </w:t>
      </w:r>
      <w:r w:rsidRPr="00470301">
        <w:rPr>
          <w:rFonts w:ascii="Times New Roman" w:hAnsi="Times New Roman" w:cs="Times New Roman"/>
          <w:sz w:val="24"/>
          <w:szCs w:val="24"/>
        </w:rPr>
        <w:t>Do 31 grudnia 2022 r. przeprowadzono 271 kontroli</w:t>
      </w:r>
      <w:r>
        <w:rPr>
          <w:rFonts w:ascii="Times New Roman" w:hAnsi="Times New Roman" w:cs="Times New Roman"/>
          <w:sz w:val="24"/>
          <w:szCs w:val="24"/>
        </w:rPr>
        <w:t xml:space="preserve">. </w:t>
      </w:r>
    </w:p>
    <w:p w14:paraId="5E2B8976" w14:textId="41208056" w:rsidR="00FF63D2" w:rsidRPr="007D1E88" w:rsidRDefault="00FF63D2" w:rsidP="00D80FBD">
      <w:pPr>
        <w:spacing w:after="120" w:line="300" w:lineRule="atLeast"/>
        <w:ind w:firstLine="567"/>
        <w:jc w:val="both"/>
        <w:rPr>
          <w:rFonts w:ascii="Times New Roman" w:eastAsia="Times New Roman" w:hAnsi="Times New Roman" w:cs="Times New Roman"/>
          <w:bCs/>
          <w:sz w:val="24"/>
          <w:szCs w:val="24"/>
        </w:rPr>
      </w:pPr>
      <w:r w:rsidRPr="005407BD">
        <w:rPr>
          <w:rFonts w:ascii="Times New Roman" w:eastAsia="Times New Roman" w:hAnsi="Times New Roman" w:cs="Times New Roman"/>
          <w:color w:val="000000"/>
          <w:sz w:val="24"/>
          <w:szCs w:val="24"/>
          <w:shd w:val="clear" w:color="auto" w:fill="FFFFFF"/>
          <w:lang w:eastAsia="x-none"/>
        </w:rPr>
        <w:t xml:space="preserve">Centralne Laboratorium Badawcze Głównego Inspektoratu Ochrony Środowiska, </w:t>
      </w:r>
      <w:r w:rsidRPr="005407BD">
        <w:rPr>
          <w:rFonts w:ascii="Times New Roman" w:eastAsia="Times New Roman" w:hAnsi="Times New Roman" w:cs="Times New Roman"/>
          <w:color w:val="000000"/>
          <w:sz w:val="24"/>
          <w:szCs w:val="24"/>
          <w:shd w:val="clear" w:color="auto" w:fill="FFFFFF"/>
          <w:lang w:eastAsia="x-none"/>
        </w:rPr>
        <w:br/>
        <w:t>na zlecenie właściwych WI</w:t>
      </w:r>
      <w:r>
        <w:rPr>
          <w:rFonts w:ascii="Times New Roman" w:eastAsia="Times New Roman" w:hAnsi="Times New Roman" w:cs="Times New Roman"/>
          <w:color w:val="000000"/>
          <w:sz w:val="24"/>
          <w:szCs w:val="24"/>
          <w:shd w:val="clear" w:color="auto" w:fill="FFFFFF"/>
          <w:lang w:eastAsia="x-none"/>
        </w:rPr>
        <w:t>OŚ</w:t>
      </w:r>
      <w:r w:rsidR="007D1E88">
        <w:rPr>
          <w:rFonts w:ascii="Times New Roman" w:eastAsia="Times New Roman" w:hAnsi="Times New Roman" w:cs="Times New Roman"/>
          <w:color w:val="000000"/>
          <w:sz w:val="24"/>
          <w:szCs w:val="24"/>
          <w:shd w:val="clear" w:color="auto" w:fill="FFFFFF"/>
          <w:lang w:eastAsia="x-none"/>
        </w:rPr>
        <w:t xml:space="preserve"> rozpoczęło, </w:t>
      </w:r>
      <w:r w:rsidRPr="005407BD">
        <w:rPr>
          <w:rFonts w:ascii="Times New Roman" w:eastAsia="Times New Roman" w:hAnsi="Times New Roman" w:cs="Times New Roman"/>
          <w:color w:val="000000"/>
          <w:sz w:val="24"/>
          <w:szCs w:val="24"/>
          <w:shd w:val="clear" w:color="auto" w:fill="FFFFFF"/>
          <w:lang w:eastAsia="x-none"/>
        </w:rPr>
        <w:t xml:space="preserve">na potrzeby czynności kontrolnych, </w:t>
      </w:r>
      <w:r w:rsidR="007D1E88">
        <w:rPr>
          <w:rFonts w:ascii="Times New Roman" w:eastAsia="Times New Roman" w:hAnsi="Times New Roman" w:cs="Times New Roman"/>
          <w:color w:val="000000"/>
          <w:sz w:val="24"/>
          <w:szCs w:val="24"/>
          <w:shd w:val="clear" w:color="auto" w:fill="FFFFFF"/>
          <w:lang w:eastAsia="x-none"/>
        </w:rPr>
        <w:t xml:space="preserve">prowadzenie </w:t>
      </w:r>
      <w:r w:rsidRPr="005407BD">
        <w:rPr>
          <w:rFonts w:ascii="Times New Roman" w:eastAsia="Times New Roman" w:hAnsi="Times New Roman" w:cs="Times New Roman"/>
          <w:color w:val="000000"/>
          <w:sz w:val="24"/>
          <w:szCs w:val="24"/>
          <w:shd w:val="clear" w:color="auto" w:fill="FFFFFF"/>
          <w:lang w:eastAsia="x-none"/>
        </w:rPr>
        <w:t>interwencyjn</w:t>
      </w:r>
      <w:r w:rsidR="007D1E88">
        <w:rPr>
          <w:rFonts w:ascii="Times New Roman" w:eastAsia="Times New Roman" w:hAnsi="Times New Roman" w:cs="Times New Roman"/>
          <w:color w:val="000000"/>
          <w:sz w:val="24"/>
          <w:szCs w:val="24"/>
          <w:shd w:val="clear" w:color="auto" w:fill="FFFFFF"/>
          <w:lang w:eastAsia="x-none"/>
        </w:rPr>
        <w:t>ych</w:t>
      </w:r>
      <w:r w:rsidRPr="005407BD">
        <w:rPr>
          <w:rFonts w:ascii="Times New Roman" w:eastAsia="Times New Roman" w:hAnsi="Times New Roman" w:cs="Times New Roman"/>
          <w:color w:val="000000"/>
          <w:sz w:val="24"/>
          <w:szCs w:val="24"/>
          <w:shd w:val="clear" w:color="auto" w:fill="FFFFFF"/>
          <w:lang w:eastAsia="x-none"/>
        </w:rPr>
        <w:t xml:space="preserve"> bada</w:t>
      </w:r>
      <w:r w:rsidR="007D1E88">
        <w:rPr>
          <w:rFonts w:ascii="Times New Roman" w:eastAsia="Times New Roman" w:hAnsi="Times New Roman" w:cs="Times New Roman"/>
          <w:color w:val="000000"/>
          <w:sz w:val="24"/>
          <w:szCs w:val="24"/>
          <w:shd w:val="clear" w:color="auto" w:fill="FFFFFF"/>
          <w:lang w:eastAsia="x-none"/>
        </w:rPr>
        <w:t>ń</w:t>
      </w:r>
      <w:r w:rsidRPr="005407BD">
        <w:rPr>
          <w:rFonts w:ascii="Times New Roman" w:eastAsia="Times New Roman" w:hAnsi="Times New Roman" w:cs="Times New Roman"/>
          <w:color w:val="000000"/>
          <w:sz w:val="24"/>
          <w:szCs w:val="24"/>
          <w:shd w:val="clear" w:color="auto" w:fill="FFFFFF"/>
          <w:lang w:eastAsia="x-none"/>
        </w:rPr>
        <w:t xml:space="preserve"> i pomiar</w:t>
      </w:r>
      <w:r w:rsidR="007D1E88">
        <w:rPr>
          <w:rFonts w:ascii="Times New Roman" w:eastAsia="Times New Roman" w:hAnsi="Times New Roman" w:cs="Times New Roman"/>
          <w:color w:val="000000"/>
          <w:sz w:val="24"/>
          <w:szCs w:val="24"/>
          <w:shd w:val="clear" w:color="auto" w:fill="FFFFFF"/>
          <w:lang w:eastAsia="x-none"/>
        </w:rPr>
        <w:t>ów</w:t>
      </w:r>
      <w:r w:rsidRPr="005407BD">
        <w:rPr>
          <w:rFonts w:ascii="Times New Roman" w:eastAsia="Times New Roman" w:hAnsi="Times New Roman" w:cs="Times New Roman"/>
          <w:color w:val="000000"/>
          <w:sz w:val="24"/>
          <w:szCs w:val="24"/>
          <w:shd w:val="clear" w:color="auto" w:fill="FFFFFF"/>
          <w:lang w:eastAsia="x-none"/>
        </w:rPr>
        <w:t xml:space="preserve"> rzeki Odry, których wyniki publikowane są na stronie internetowej </w:t>
      </w:r>
      <w:hyperlink r:id="rId251" w:history="1">
        <w:r w:rsidRPr="005407BD">
          <w:rPr>
            <w:rFonts w:ascii="Times New Roman" w:eastAsia="Times New Roman" w:hAnsi="Times New Roman" w:cs="Times New Roman"/>
            <w:color w:val="0000FF"/>
            <w:sz w:val="24"/>
            <w:szCs w:val="24"/>
            <w:u w:val="single"/>
            <w:shd w:val="clear" w:color="auto" w:fill="FFFFFF"/>
            <w:lang w:eastAsia="x-none"/>
          </w:rPr>
          <w:t>https://www.gov.pl/web/odra/badania-odry</w:t>
        </w:r>
      </w:hyperlink>
      <w:r w:rsidRPr="005407BD">
        <w:rPr>
          <w:rFonts w:ascii="Times New Roman" w:eastAsia="Times New Roman" w:hAnsi="Times New Roman" w:cs="Times New Roman"/>
          <w:color w:val="000000"/>
          <w:sz w:val="24"/>
          <w:szCs w:val="24"/>
          <w:shd w:val="clear" w:color="auto" w:fill="FFFFFF"/>
          <w:lang w:eastAsia="x-none"/>
        </w:rPr>
        <w:t xml:space="preserve">. Od listopada 2022 r. pomiary są wykonywane, do odwołania, z częstotliwością dwa razy w tygodniu w zakresie wskaźników </w:t>
      </w:r>
      <w:r>
        <w:rPr>
          <w:rFonts w:ascii="Times New Roman" w:eastAsia="Times New Roman" w:hAnsi="Times New Roman" w:cs="Times New Roman"/>
          <w:color w:val="000000"/>
          <w:sz w:val="24"/>
          <w:szCs w:val="24"/>
          <w:shd w:val="clear" w:color="auto" w:fill="FFFFFF"/>
          <w:lang w:eastAsia="x-none"/>
        </w:rPr>
        <w:t xml:space="preserve">fizykochemicznych </w:t>
      </w:r>
      <w:r w:rsidRPr="005407BD">
        <w:rPr>
          <w:rFonts w:ascii="Times New Roman" w:eastAsia="Times New Roman" w:hAnsi="Times New Roman" w:cs="Times New Roman"/>
          <w:color w:val="000000"/>
          <w:sz w:val="24"/>
          <w:szCs w:val="24"/>
          <w:shd w:val="clear" w:color="auto" w:fill="FFFFFF"/>
          <w:lang w:eastAsia="x-none"/>
        </w:rPr>
        <w:t>oraz raz w tygodniu w zakresie wskaźnika fitoplankton, w</w:t>
      </w:r>
      <w:r>
        <w:rPr>
          <w:rFonts w:ascii="Times New Roman" w:eastAsia="Times New Roman" w:hAnsi="Times New Roman" w:cs="Times New Roman"/>
          <w:color w:val="000000"/>
          <w:sz w:val="24"/>
          <w:szCs w:val="24"/>
          <w:shd w:val="clear" w:color="auto" w:fill="FFFFFF"/>
          <w:lang w:eastAsia="x-none"/>
        </w:rPr>
        <w:t xml:space="preserve"> 20</w:t>
      </w:r>
      <w:r w:rsidRPr="005407BD">
        <w:rPr>
          <w:rFonts w:ascii="Times New Roman" w:eastAsia="Times New Roman" w:hAnsi="Times New Roman" w:cs="Times New Roman"/>
          <w:color w:val="000000"/>
          <w:sz w:val="24"/>
          <w:szCs w:val="24"/>
          <w:shd w:val="clear" w:color="auto" w:fill="FFFFFF"/>
          <w:lang w:eastAsia="x-none"/>
        </w:rPr>
        <w:t xml:space="preserve"> punktach pomiarowo-kontrolnych</w:t>
      </w:r>
      <w:r w:rsidR="007D1E88">
        <w:rPr>
          <w:rFonts w:ascii="Times New Roman" w:eastAsia="Times New Roman" w:hAnsi="Times New Roman" w:cs="Times New Roman"/>
          <w:color w:val="000000"/>
          <w:sz w:val="24"/>
          <w:szCs w:val="24"/>
          <w:shd w:val="clear" w:color="auto" w:fill="FFFFFF"/>
          <w:lang w:eastAsia="x-none"/>
        </w:rPr>
        <w:t>. W ramach ww. działań, d</w:t>
      </w:r>
      <w:r w:rsidR="007D1E88" w:rsidRPr="007D1E88">
        <w:rPr>
          <w:rFonts w:ascii="Times New Roman" w:hAnsi="Times New Roman" w:cs="Times New Roman"/>
          <w:sz w:val="24"/>
          <w:szCs w:val="24"/>
        </w:rPr>
        <w:t xml:space="preserve">o końca 2022 r. CLB pobrało 409 próbek </w:t>
      </w:r>
      <w:r w:rsidR="007D1E88">
        <w:rPr>
          <w:rFonts w:ascii="Times New Roman" w:hAnsi="Times New Roman" w:cs="Times New Roman"/>
          <w:sz w:val="24"/>
          <w:szCs w:val="24"/>
        </w:rPr>
        <w:br/>
      </w:r>
      <w:r w:rsidR="007D1E88" w:rsidRPr="007D1E88">
        <w:rPr>
          <w:rFonts w:ascii="Times New Roman" w:hAnsi="Times New Roman" w:cs="Times New Roman"/>
          <w:sz w:val="24"/>
          <w:szCs w:val="24"/>
        </w:rPr>
        <w:t>i wykonało 6 242 oznaczenia.</w:t>
      </w:r>
    </w:p>
    <w:p w14:paraId="4D77543D" w14:textId="2099D303" w:rsidR="00FF63D2" w:rsidRDefault="007D1E88" w:rsidP="00D80FBD">
      <w:pPr>
        <w:spacing w:after="0" w:line="300" w:lineRule="atLeast"/>
        <w:ind w:firstLine="567"/>
        <w:jc w:val="both"/>
        <w:rPr>
          <w:rFonts w:ascii="Times New Roman" w:hAnsi="Times New Roman" w:cs="Times New Roman"/>
          <w:sz w:val="24"/>
          <w:szCs w:val="24"/>
        </w:rPr>
      </w:pPr>
      <w:r>
        <w:rPr>
          <w:rFonts w:ascii="Times New Roman" w:eastAsia="Times New Roman" w:hAnsi="Times New Roman" w:cs="Times New Roman"/>
          <w:bCs/>
          <w:sz w:val="24"/>
          <w:szCs w:val="24"/>
        </w:rPr>
        <w:t>Rok 2022 r. stał również pod znakiem rozbudowywania w strukturach Inspekcji Ochrony Środowiska komórek organizacyjnych dedykowanych zwalczaniu przestępczości środowiskowej.</w:t>
      </w:r>
      <w:r w:rsidR="00722EFA">
        <w:rPr>
          <w:rFonts w:ascii="Times New Roman" w:eastAsia="Times New Roman" w:hAnsi="Times New Roman" w:cs="Times New Roman"/>
          <w:bCs/>
          <w:sz w:val="24"/>
          <w:szCs w:val="24"/>
        </w:rPr>
        <w:t xml:space="preserve"> W wojewódzkich inspektoratach ochrony środowiska rozpoczęto proces </w:t>
      </w:r>
      <w:r w:rsidR="00310166">
        <w:rPr>
          <w:rFonts w:ascii="Times New Roman" w:hAnsi="Times New Roman" w:cs="Times New Roman"/>
          <w:sz w:val="24"/>
          <w:szCs w:val="24"/>
        </w:rPr>
        <w:t>wyodrębni</w:t>
      </w:r>
      <w:r w:rsidR="00722EFA">
        <w:rPr>
          <w:rFonts w:ascii="Times New Roman" w:hAnsi="Times New Roman" w:cs="Times New Roman"/>
          <w:sz w:val="24"/>
          <w:szCs w:val="24"/>
        </w:rPr>
        <w:t>a</w:t>
      </w:r>
      <w:r w:rsidR="00310166">
        <w:rPr>
          <w:rFonts w:ascii="Times New Roman" w:hAnsi="Times New Roman" w:cs="Times New Roman"/>
          <w:sz w:val="24"/>
          <w:szCs w:val="24"/>
        </w:rPr>
        <w:t>ni</w:t>
      </w:r>
      <w:r w:rsidR="00722EFA">
        <w:rPr>
          <w:rFonts w:ascii="Times New Roman" w:hAnsi="Times New Roman" w:cs="Times New Roman"/>
          <w:sz w:val="24"/>
          <w:szCs w:val="24"/>
        </w:rPr>
        <w:t>a</w:t>
      </w:r>
      <w:r w:rsidR="00310166">
        <w:rPr>
          <w:rFonts w:ascii="Times New Roman" w:hAnsi="Times New Roman" w:cs="Times New Roman"/>
          <w:sz w:val="24"/>
          <w:szCs w:val="24"/>
        </w:rPr>
        <w:t xml:space="preserve"> </w:t>
      </w:r>
      <w:r w:rsidR="00722EFA">
        <w:rPr>
          <w:rFonts w:ascii="Times New Roman" w:hAnsi="Times New Roman" w:cs="Times New Roman"/>
          <w:sz w:val="24"/>
          <w:szCs w:val="24"/>
        </w:rPr>
        <w:t>W</w:t>
      </w:r>
      <w:r w:rsidR="00310166">
        <w:rPr>
          <w:rFonts w:ascii="Times New Roman" w:hAnsi="Times New Roman" w:cs="Times New Roman"/>
          <w:sz w:val="24"/>
          <w:szCs w:val="24"/>
        </w:rPr>
        <w:t>ydział</w:t>
      </w:r>
      <w:r w:rsidR="00722EFA">
        <w:rPr>
          <w:rFonts w:ascii="Times New Roman" w:hAnsi="Times New Roman" w:cs="Times New Roman"/>
          <w:sz w:val="24"/>
          <w:szCs w:val="24"/>
        </w:rPr>
        <w:t>ów</w:t>
      </w:r>
      <w:r w:rsidR="00310166">
        <w:rPr>
          <w:rFonts w:ascii="Times New Roman" w:hAnsi="Times New Roman" w:cs="Times New Roman"/>
          <w:sz w:val="24"/>
          <w:szCs w:val="24"/>
        </w:rPr>
        <w:t xml:space="preserve"> Zwalczania Przestępczości Środowiskowej</w:t>
      </w:r>
      <w:r w:rsidR="00722EFA">
        <w:rPr>
          <w:rFonts w:ascii="Times New Roman" w:hAnsi="Times New Roman" w:cs="Times New Roman"/>
          <w:sz w:val="24"/>
          <w:szCs w:val="24"/>
        </w:rPr>
        <w:t xml:space="preserve">. Do końca 2022 r. powstało 7 tego typu wydziałów </w:t>
      </w:r>
      <w:r w:rsidR="00722EFA">
        <w:rPr>
          <w:rFonts w:ascii="Times New Roman" w:hAnsi="Times New Roman" w:cs="Times New Roman"/>
          <w:sz w:val="24"/>
          <w:szCs w:val="24"/>
        </w:rPr>
        <w:sym w:font="Symbol" w:char="F02D"/>
      </w:r>
      <w:r w:rsidR="00722EFA">
        <w:rPr>
          <w:rFonts w:ascii="Times New Roman" w:hAnsi="Times New Roman" w:cs="Times New Roman"/>
          <w:sz w:val="24"/>
          <w:szCs w:val="24"/>
        </w:rPr>
        <w:t xml:space="preserve"> </w:t>
      </w:r>
      <w:r w:rsidR="00197A2D">
        <w:rPr>
          <w:rFonts w:ascii="Times New Roman" w:hAnsi="Times New Roman" w:cs="Times New Roman"/>
          <w:sz w:val="24"/>
          <w:szCs w:val="24"/>
        </w:rPr>
        <w:t xml:space="preserve">we </w:t>
      </w:r>
      <w:r w:rsidR="00197A2D" w:rsidRPr="00EA6B52">
        <w:rPr>
          <w:rFonts w:ascii="Times New Roman" w:hAnsi="Times New Roman" w:cs="Times New Roman"/>
          <w:color w:val="1B1B1B"/>
          <w:sz w:val="24"/>
          <w:szCs w:val="24"/>
          <w:shd w:val="clear" w:color="auto" w:fill="FFFFFF"/>
        </w:rPr>
        <w:t>Wrocławiu, Gdańsku, Poznaniu, Kielcach, Katowicach</w:t>
      </w:r>
      <w:r w:rsidR="00197A2D">
        <w:rPr>
          <w:rFonts w:ascii="Times New Roman" w:hAnsi="Times New Roman" w:cs="Times New Roman"/>
          <w:color w:val="1B1B1B"/>
          <w:sz w:val="24"/>
          <w:szCs w:val="24"/>
          <w:shd w:val="clear" w:color="auto" w:fill="FFFFFF"/>
        </w:rPr>
        <w:t xml:space="preserve">, </w:t>
      </w:r>
      <w:r w:rsidR="00197A2D" w:rsidRPr="00EA6B52">
        <w:rPr>
          <w:rFonts w:ascii="Times New Roman" w:hAnsi="Times New Roman" w:cs="Times New Roman"/>
          <w:color w:val="1B1B1B"/>
          <w:sz w:val="24"/>
          <w:szCs w:val="24"/>
          <w:shd w:val="clear" w:color="auto" w:fill="FFFFFF"/>
        </w:rPr>
        <w:t>Zielonej Górze</w:t>
      </w:r>
      <w:r w:rsidR="00197A2D">
        <w:rPr>
          <w:rFonts w:ascii="Times New Roman" w:hAnsi="Times New Roman" w:cs="Times New Roman"/>
          <w:color w:val="1B1B1B"/>
          <w:sz w:val="24"/>
          <w:szCs w:val="24"/>
          <w:shd w:val="clear" w:color="auto" w:fill="FFFFFF"/>
        </w:rPr>
        <w:t xml:space="preserve"> i Opolu</w:t>
      </w:r>
      <w:r w:rsidR="00310166">
        <w:rPr>
          <w:rFonts w:ascii="Times New Roman" w:eastAsia="Calibri" w:hAnsi="Times New Roman" w:cs="Times New Roman"/>
          <w:color w:val="000000" w:themeColor="text1"/>
          <w:sz w:val="24"/>
          <w:szCs w:val="24"/>
          <w:lang w:eastAsia="pl-PL"/>
        </w:rPr>
        <w:t xml:space="preserve">. </w:t>
      </w:r>
      <w:r w:rsidR="00310166">
        <w:rPr>
          <w:rFonts w:ascii="Times New Roman" w:hAnsi="Times New Roman" w:cs="Times New Roman"/>
          <w:sz w:val="24"/>
          <w:szCs w:val="24"/>
        </w:rPr>
        <w:t xml:space="preserve">Ponadto, w </w:t>
      </w:r>
      <w:r w:rsidR="00722EFA">
        <w:rPr>
          <w:rFonts w:ascii="Times New Roman" w:hAnsi="Times New Roman" w:cs="Times New Roman"/>
          <w:sz w:val="24"/>
          <w:szCs w:val="24"/>
        </w:rPr>
        <w:t xml:space="preserve">grudniu 2022 r., </w:t>
      </w:r>
      <w:r w:rsidR="00310166">
        <w:rPr>
          <w:rFonts w:ascii="Times New Roman" w:hAnsi="Times New Roman" w:cs="Times New Roman"/>
          <w:sz w:val="24"/>
          <w:szCs w:val="24"/>
        </w:rPr>
        <w:t xml:space="preserve">w Krakowie, </w:t>
      </w:r>
      <w:r w:rsidR="00310166" w:rsidRPr="009E799C">
        <w:rPr>
          <w:rFonts w:ascii="Times New Roman" w:hAnsi="Times New Roman" w:cs="Times New Roman"/>
          <w:sz w:val="24"/>
          <w:szCs w:val="24"/>
        </w:rPr>
        <w:t>rozpoczął działa</w:t>
      </w:r>
      <w:r w:rsidR="00310166">
        <w:rPr>
          <w:rFonts w:ascii="Times New Roman" w:hAnsi="Times New Roman" w:cs="Times New Roman"/>
          <w:sz w:val="24"/>
          <w:szCs w:val="24"/>
        </w:rPr>
        <w:t>lność</w:t>
      </w:r>
      <w:r w:rsidR="00310166" w:rsidRPr="009E799C">
        <w:rPr>
          <w:rFonts w:ascii="Times New Roman" w:hAnsi="Times New Roman" w:cs="Times New Roman"/>
          <w:sz w:val="24"/>
          <w:szCs w:val="24"/>
        </w:rPr>
        <w:t xml:space="preserve"> pierwszy Zespół Terenowy </w:t>
      </w:r>
      <w:r w:rsidR="00310166">
        <w:rPr>
          <w:rFonts w:ascii="Times New Roman" w:hAnsi="Times New Roman" w:cs="Times New Roman"/>
          <w:sz w:val="24"/>
          <w:szCs w:val="24"/>
        </w:rPr>
        <w:t xml:space="preserve">utworzony w strukturze </w:t>
      </w:r>
      <w:r w:rsidR="00310166" w:rsidRPr="009E799C">
        <w:rPr>
          <w:rFonts w:ascii="Times New Roman" w:hAnsi="Times New Roman" w:cs="Times New Roman"/>
          <w:sz w:val="24"/>
          <w:szCs w:val="24"/>
        </w:rPr>
        <w:t xml:space="preserve">Departamentu Zwalczania Przestępczości Środowiskowej GIOŚ. </w:t>
      </w:r>
    </w:p>
    <w:p w14:paraId="4840DD86" w14:textId="1DD491C7" w:rsidR="00197A2D" w:rsidRDefault="00197A2D" w:rsidP="00D80FBD">
      <w:pPr>
        <w:spacing w:after="120" w:line="300" w:lineRule="atLeast"/>
        <w:ind w:firstLine="567"/>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Inspektorzy Wydziałów Zwalczania Przestępczości Środowiskowej </w:t>
      </w:r>
      <w:r w:rsidR="00211B78">
        <w:rPr>
          <w:rFonts w:ascii="Times New Roman" w:eastAsia="Times New Roman" w:hAnsi="Times New Roman" w:cs="Times New Roman"/>
          <w:bCs/>
          <w:sz w:val="24"/>
          <w:szCs w:val="24"/>
        </w:rPr>
        <w:t xml:space="preserve">i Wydziałów Interwencyjno-Operacyjnych </w:t>
      </w:r>
      <w:r w:rsidR="00F0564A">
        <w:rPr>
          <w:rFonts w:ascii="Times New Roman" w:eastAsia="Times New Roman" w:hAnsi="Times New Roman" w:cs="Times New Roman"/>
          <w:bCs/>
          <w:sz w:val="24"/>
          <w:szCs w:val="24"/>
        </w:rPr>
        <w:t xml:space="preserve">w </w:t>
      </w:r>
      <w:r w:rsidR="00BF0F75">
        <w:rPr>
          <w:rFonts w:ascii="Times New Roman" w:eastAsia="Times New Roman" w:hAnsi="Times New Roman" w:cs="Times New Roman"/>
          <w:bCs/>
          <w:sz w:val="24"/>
          <w:szCs w:val="24"/>
        </w:rPr>
        <w:t xml:space="preserve">funkcjonujących w </w:t>
      </w:r>
      <w:r w:rsidR="00F0564A">
        <w:rPr>
          <w:rFonts w:ascii="Times New Roman" w:eastAsia="Times New Roman" w:hAnsi="Times New Roman" w:cs="Times New Roman"/>
          <w:bCs/>
          <w:sz w:val="24"/>
          <w:szCs w:val="24"/>
        </w:rPr>
        <w:t xml:space="preserve">WIOŚ przeprowadzili w 2022 r. ponad 3,7 tys. kontroli interwencyjnych. </w:t>
      </w:r>
      <w:r>
        <w:rPr>
          <w:rFonts w:ascii="Times New Roman" w:eastAsia="Times New Roman" w:hAnsi="Times New Roman" w:cs="Times New Roman"/>
          <w:bCs/>
          <w:sz w:val="24"/>
          <w:szCs w:val="24"/>
        </w:rPr>
        <w:t xml:space="preserve"> </w:t>
      </w:r>
    </w:p>
    <w:p w14:paraId="5B616A8B" w14:textId="23B469FD" w:rsidR="00895F16" w:rsidRPr="007F400A" w:rsidRDefault="00895F16" w:rsidP="00D80FBD">
      <w:pPr>
        <w:spacing w:after="0" w:line="300" w:lineRule="atLeast"/>
        <w:ind w:firstLine="567"/>
        <w:jc w:val="both"/>
        <w:rPr>
          <w:rFonts w:ascii="Times New Roman" w:eastAsia="Calibri" w:hAnsi="Times New Roman" w:cs="Times New Roman"/>
          <w:bCs/>
          <w:sz w:val="24"/>
          <w:szCs w:val="24"/>
        </w:rPr>
      </w:pPr>
      <w:r w:rsidRPr="007F400A">
        <w:rPr>
          <w:rFonts w:ascii="Times New Roman" w:eastAsia="Times New Roman" w:hAnsi="Times New Roman" w:cs="Times New Roman"/>
          <w:bCs/>
          <w:sz w:val="24"/>
          <w:szCs w:val="24"/>
        </w:rPr>
        <w:t>W roku 202</w:t>
      </w:r>
      <w:r w:rsidR="00F5694E">
        <w:rPr>
          <w:rFonts w:ascii="Times New Roman" w:eastAsia="Times New Roman" w:hAnsi="Times New Roman" w:cs="Times New Roman"/>
          <w:bCs/>
          <w:sz w:val="24"/>
          <w:szCs w:val="24"/>
        </w:rPr>
        <w:t>2</w:t>
      </w:r>
      <w:r w:rsidRPr="007F400A">
        <w:rPr>
          <w:rFonts w:ascii="Times New Roman" w:eastAsia="Times New Roman" w:hAnsi="Times New Roman" w:cs="Times New Roman"/>
          <w:bCs/>
          <w:sz w:val="24"/>
          <w:szCs w:val="24"/>
        </w:rPr>
        <w:t xml:space="preserve"> Inspekcja Ochrony Środowiska kontynuowała realizację zadań wynikających z ustawy z dnia 20 lipca 1991 r. o Inspekcji Ochrony Środowiska</w:t>
      </w:r>
      <w:r w:rsidR="00820EB2" w:rsidRPr="007F400A">
        <w:rPr>
          <w:rStyle w:val="Odwoanieprzypisudolnego"/>
          <w:rFonts w:eastAsia="Times New Roman" w:cs="Times New Roman"/>
          <w:bCs/>
          <w:szCs w:val="24"/>
        </w:rPr>
        <w:footnoteReference w:id="141"/>
      </w:r>
      <w:r w:rsidRPr="007F400A">
        <w:rPr>
          <w:rFonts w:ascii="Times New Roman" w:eastAsia="Times New Roman" w:hAnsi="Times New Roman" w:cs="Times New Roman"/>
          <w:bCs/>
          <w:sz w:val="24"/>
          <w:szCs w:val="24"/>
        </w:rPr>
        <w:t xml:space="preserve">, </w:t>
      </w:r>
      <w:r w:rsidR="00683F5E" w:rsidRPr="007F400A">
        <w:rPr>
          <w:rFonts w:ascii="Times New Roman" w:eastAsia="Times New Roman" w:hAnsi="Times New Roman" w:cs="Times New Roman"/>
          <w:bCs/>
          <w:sz w:val="24"/>
          <w:szCs w:val="24"/>
        </w:rPr>
        <w:br/>
      </w:r>
      <w:r w:rsidRPr="007F400A">
        <w:rPr>
          <w:rFonts w:ascii="Times New Roman" w:eastAsia="Times New Roman" w:hAnsi="Times New Roman" w:cs="Times New Roman"/>
          <w:bCs/>
          <w:sz w:val="24"/>
          <w:szCs w:val="24"/>
        </w:rPr>
        <w:t>w szczególności w zakresie kontrolowania podmiotów korzystających ze środowiska</w:t>
      </w:r>
      <w:r w:rsidR="00683F5E" w:rsidRPr="007F400A">
        <w:rPr>
          <w:rFonts w:ascii="Times New Roman" w:eastAsia="Times New Roman" w:hAnsi="Times New Roman" w:cs="Times New Roman"/>
          <w:bCs/>
          <w:sz w:val="24"/>
          <w:szCs w:val="24"/>
        </w:rPr>
        <w:t>, zwalczania przestępczości środowiskowej</w:t>
      </w:r>
      <w:r w:rsidRPr="007F400A">
        <w:rPr>
          <w:rFonts w:ascii="Times New Roman" w:eastAsia="Times New Roman" w:hAnsi="Times New Roman" w:cs="Times New Roman"/>
          <w:bCs/>
          <w:sz w:val="24"/>
          <w:szCs w:val="24"/>
        </w:rPr>
        <w:t xml:space="preserve"> oraz prowadzenia państwowego monitoringu środowiska. </w:t>
      </w:r>
    </w:p>
    <w:p w14:paraId="6A57F234" w14:textId="7204EE8D" w:rsidR="009C0A17" w:rsidRDefault="00683F5E" w:rsidP="00D80FBD">
      <w:pPr>
        <w:spacing w:after="0" w:line="300" w:lineRule="atLeast"/>
        <w:ind w:firstLine="567"/>
        <w:jc w:val="both"/>
        <w:rPr>
          <w:rFonts w:ascii="Times New Roman" w:eastAsia="Calibri" w:hAnsi="Times New Roman" w:cs="Times New Roman"/>
          <w:sz w:val="24"/>
          <w:szCs w:val="24"/>
          <w:lang w:eastAsia="pl-PL"/>
        </w:rPr>
      </w:pPr>
      <w:r w:rsidRPr="007F400A">
        <w:rPr>
          <w:rFonts w:ascii="Times New Roman" w:eastAsia="Calibri" w:hAnsi="Times New Roman" w:cs="Times New Roman"/>
          <w:sz w:val="24"/>
          <w:szCs w:val="24"/>
          <w:lang w:eastAsia="pl-PL"/>
        </w:rPr>
        <w:t>W 202</w:t>
      </w:r>
      <w:r w:rsidR="00E11AAB">
        <w:rPr>
          <w:rFonts w:ascii="Times New Roman" w:eastAsia="Calibri" w:hAnsi="Times New Roman" w:cs="Times New Roman"/>
          <w:sz w:val="24"/>
          <w:szCs w:val="24"/>
          <w:lang w:eastAsia="pl-PL"/>
        </w:rPr>
        <w:t>2</w:t>
      </w:r>
      <w:r w:rsidRPr="007F400A">
        <w:rPr>
          <w:rFonts w:ascii="Times New Roman" w:eastAsia="Calibri" w:hAnsi="Times New Roman" w:cs="Times New Roman"/>
          <w:sz w:val="24"/>
          <w:szCs w:val="24"/>
          <w:lang w:eastAsia="pl-PL"/>
        </w:rPr>
        <w:t xml:space="preserve"> </w:t>
      </w:r>
      <w:r w:rsidR="008F73A9">
        <w:rPr>
          <w:rFonts w:ascii="Times New Roman" w:eastAsia="Calibri" w:hAnsi="Times New Roman" w:cs="Times New Roman"/>
          <w:sz w:val="24"/>
          <w:szCs w:val="24"/>
          <w:lang w:eastAsia="pl-PL"/>
        </w:rPr>
        <w:t xml:space="preserve">r. </w:t>
      </w:r>
      <w:r w:rsidRPr="007F400A">
        <w:rPr>
          <w:rFonts w:ascii="Times New Roman" w:eastAsia="Calibri" w:hAnsi="Times New Roman" w:cs="Times New Roman"/>
          <w:sz w:val="24"/>
          <w:szCs w:val="24"/>
          <w:lang w:eastAsia="pl-PL"/>
        </w:rPr>
        <w:t xml:space="preserve">Inspekcja Ochrony Środowiska przeprowadziła o 2 </w:t>
      </w:r>
      <w:r w:rsidR="00E11AAB">
        <w:rPr>
          <w:rFonts w:ascii="Times New Roman" w:eastAsia="Calibri" w:hAnsi="Times New Roman" w:cs="Times New Roman"/>
          <w:sz w:val="24"/>
          <w:szCs w:val="24"/>
          <w:lang w:eastAsia="pl-PL"/>
        </w:rPr>
        <w:t>566</w:t>
      </w:r>
      <w:r w:rsidRPr="007F400A">
        <w:rPr>
          <w:rFonts w:ascii="Times New Roman" w:eastAsia="Calibri" w:hAnsi="Times New Roman" w:cs="Times New Roman"/>
          <w:sz w:val="24"/>
          <w:szCs w:val="24"/>
          <w:lang w:eastAsia="pl-PL"/>
        </w:rPr>
        <w:t xml:space="preserve"> kontroli więcej niż </w:t>
      </w:r>
      <w:r w:rsidR="008F73A9">
        <w:rPr>
          <w:rFonts w:ascii="Times New Roman" w:eastAsia="Calibri" w:hAnsi="Times New Roman" w:cs="Times New Roman"/>
          <w:sz w:val="24"/>
          <w:szCs w:val="24"/>
          <w:lang w:eastAsia="pl-PL"/>
        </w:rPr>
        <w:br/>
      </w:r>
      <w:r w:rsidRPr="007F400A">
        <w:rPr>
          <w:rFonts w:ascii="Times New Roman" w:eastAsia="Calibri" w:hAnsi="Times New Roman" w:cs="Times New Roman"/>
          <w:sz w:val="24"/>
          <w:szCs w:val="24"/>
          <w:lang w:eastAsia="pl-PL"/>
        </w:rPr>
        <w:t>w roku 202</w:t>
      </w:r>
      <w:r w:rsidR="00E11AAB">
        <w:rPr>
          <w:rFonts w:ascii="Times New Roman" w:eastAsia="Calibri" w:hAnsi="Times New Roman" w:cs="Times New Roman"/>
          <w:sz w:val="24"/>
          <w:szCs w:val="24"/>
          <w:lang w:eastAsia="pl-PL"/>
        </w:rPr>
        <w:t>1</w:t>
      </w:r>
      <w:r w:rsidRPr="007F400A">
        <w:rPr>
          <w:rFonts w:ascii="Times New Roman" w:eastAsia="Calibri" w:hAnsi="Times New Roman" w:cs="Times New Roman"/>
          <w:sz w:val="24"/>
          <w:szCs w:val="24"/>
          <w:lang w:eastAsia="pl-PL"/>
        </w:rPr>
        <w:t xml:space="preserve"> (4</w:t>
      </w:r>
      <w:r w:rsidR="00E11AAB">
        <w:rPr>
          <w:rFonts w:ascii="Times New Roman" w:eastAsia="Calibri" w:hAnsi="Times New Roman" w:cs="Times New Roman"/>
          <w:sz w:val="24"/>
          <w:szCs w:val="24"/>
          <w:lang w:eastAsia="pl-PL"/>
        </w:rPr>
        <w:t>3</w:t>
      </w:r>
      <w:r w:rsidRPr="007F400A">
        <w:rPr>
          <w:rFonts w:ascii="Times New Roman" w:eastAsia="Calibri" w:hAnsi="Times New Roman" w:cs="Times New Roman"/>
          <w:sz w:val="24"/>
          <w:szCs w:val="24"/>
          <w:lang w:eastAsia="pl-PL"/>
        </w:rPr>
        <w:t> </w:t>
      </w:r>
      <w:r w:rsidR="00E11AAB">
        <w:rPr>
          <w:rFonts w:ascii="Times New Roman" w:eastAsia="Calibri" w:hAnsi="Times New Roman" w:cs="Times New Roman"/>
          <w:sz w:val="24"/>
          <w:szCs w:val="24"/>
          <w:lang w:eastAsia="pl-PL"/>
        </w:rPr>
        <w:t>334</w:t>
      </w:r>
      <w:r w:rsidRPr="007F400A">
        <w:rPr>
          <w:rFonts w:ascii="Times New Roman" w:eastAsia="Calibri" w:hAnsi="Times New Roman" w:cs="Times New Roman"/>
          <w:sz w:val="24"/>
          <w:szCs w:val="24"/>
          <w:lang w:eastAsia="pl-PL"/>
        </w:rPr>
        <w:t xml:space="preserve"> w 202</w:t>
      </w:r>
      <w:r w:rsidR="004D24CC">
        <w:rPr>
          <w:rFonts w:ascii="Times New Roman" w:eastAsia="Calibri" w:hAnsi="Times New Roman" w:cs="Times New Roman"/>
          <w:sz w:val="24"/>
          <w:szCs w:val="24"/>
          <w:lang w:eastAsia="pl-PL"/>
        </w:rPr>
        <w:t>2</w:t>
      </w:r>
      <w:r w:rsidRPr="007F400A">
        <w:rPr>
          <w:rFonts w:ascii="Times New Roman" w:eastAsia="Calibri" w:hAnsi="Times New Roman" w:cs="Times New Roman"/>
          <w:sz w:val="24"/>
          <w:szCs w:val="24"/>
          <w:lang w:eastAsia="pl-PL"/>
        </w:rPr>
        <w:t xml:space="preserve"> r. w porównaniu z </w:t>
      </w:r>
      <w:r w:rsidR="00E11AAB">
        <w:rPr>
          <w:rFonts w:ascii="Times New Roman" w:eastAsia="Calibri" w:hAnsi="Times New Roman" w:cs="Times New Roman"/>
          <w:sz w:val="24"/>
          <w:szCs w:val="24"/>
          <w:lang w:eastAsia="pl-PL"/>
        </w:rPr>
        <w:t>40</w:t>
      </w:r>
      <w:r w:rsidRPr="007F400A">
        <w:rPr>
          <w:rFonts w:ascii="Times New Roman" w:eastAsia="Calibri" w:hAnsi="Times New Roman" w:cs="Times New Roman"/>
          <w:sz w:val="24"/>
          <w:szCs w:val="24"/>
          <w:lang w:eastAsia="pl-PL"/>
        </w:rPr>
        <w:t> </w:t>
      </w:r>
      <w:r w:rsidR="00E11AAB">
        <w:rPr>
          <w:rFonts w:ascii="Times New Roman" w:eastAsia="Calibri" w:hAnsi="Times New Roman" w:cs="Times New Roman"/>
          <w:sz w:val="24"/>
          <w:szCs w:val="24"/>
          <w:lang w:eastAsia="pl-PL"/>
        </w:rPr>
        <w:t>768</w:t>
      </w:r>
      <w:r w:rsidRPr="007F400A">
        <w:rPr>
          <w:rFonts w:ascii="Times New Roman" w:eastAsia="Calibri" w:hAnsi="Times New Roman" w:cs="Times New Roman"/>
          <w:sz w:val="24"/>
          <w:szCs w:val="24"/>
          <w:lang w:eastAsia="pl-PL"/>
        </w:rPr>
        <w:t xml:space="preserve"> w roku 202</w:t>
      </w:r>
      <w:r w:rsidR="00E11AAB">
        <w:rPr>
          <w:rFonts w:ascii="Times New Roman" w:eastAsia="Calibri" w:hAnsi="Times New Roman" w:cs="Times New Roman"/>
          <w:sz w:val="24"/>
          <w:szCs w:val="24"/>
          <w:lang w:eastAsia="pl-PL"/>
        </w:rPr>
        <w:t>1</w:t>
      </w:r>
      <w:r w:rsidRPr="007F400A">
        <w:rPr>
          <w:rFonts w:ascii="Times New Roman" w:eastAsia="Calibri" w:hAnsi="Times New Roman" w:cs="Times New Roman"/>
          <w:sz w:val="24"/>
          <w:szCs w:val="24"/>
          <w:lang w:eastAsia="pl-PL"/>
        </w:rPr>
        <w:t>)</w:t>
      </w:r>
      <w:r w:rsidR="004D24CC">
        <w:rPr>
          <w:rFonts w:ascii="Times New Roman" w:eastAsia="Calibri" w:hAnsi="Times New Roman" w:cs="Times New Roman"/>
          <w:sz w:val="24"/>
          <w:szCs w:val="24"/>
          <w:lang w:eastAsia="pl-PL"/>
        </w:rPr>
        <w:t>.</w:t>
      </w:r>
      <w:r w:rsidR="008F73A9">
        <w:rPr>
          <w:rFonts w:ascii="Times New Roman" w:eastAsia="Calibri" w:hAnsi="Times New Roman" w:cs="Times New Roman"/>
          <w:sz w:val="24"/>
          <w:szCs w:val="24"/>
          <w:lang w:eastAsia="pl-PL"/>
        </w:rPr>
        <w:t xml:space="preserve"> </w:t>
      </w:r>
      <w:r w:rsidR="004D24CC" w:rsidRPr="007F400A">
        <w:rPr>
          <w:rFonts w:ascii="Times New Roman" w:hAnsi="Times New Roman" w:cs="Times New Roman"/>
          <w:sz w:val="24"/>
          <w:szCs w:val="24"/>
        </w:rPr>
        <w:t xml:space="preserve">W </w:t>
      </w:r>
      <w:r w:rsidR="004D24CC">
        <w:rPr>
          <w:rFonts w:ascii="Times New Roman" w:hAnsi="Times New Roman" w:cs="Times New Roman"/>
          <w:sz w:val="24"/>
          <w:szCs w:val="24"/>
        </w:rPr>
        <w:t>2022</w:t>
      </w:r>
      <w:r w:rsidR="004D24CC" w:rsidRPr="007F400A">
        <w:rPr>
          <w:rFonts w:ascii="Times New Roman" w:hAnsi="Times New Roman" w:cs="Times New Roman"/>
          <w:sz w:val="24"/>
          <w:szCs w:val="24"/>
        </w:rPr>
        <w:t xml:space="preserve"> r. </w:t>
      </w:r>
      <w:r w:rsidR="004D24CC">
        <w:rPr>
          <w:rFonts w:ascii="Times New Roman" w:hAnsi="Times New Roman" w:cs="Times New Roman"/>
          <w:sz w:val="24"/>
          <w:szCs w:val="24"/>
        </w:rPr>
        <w:t xml:space="preserve">na 43 334 kontrole, </w:t>
      </w:r>
      <w:r w:rsidR="004D24CC" w:rsidRPr="007F400A">
        <w:rPr>
          <w:rFonts w:ascii="Times New Roman" w:hAnsi="Times New Roman" w:cs="Times New Roman"/>
          <w:sz w:val="24"/>
          <w:szCs w:val="24"/>
        </w:rPr>
        <w:t xml:space="preserve">kontrole zakładów z wyjazdem w teren stanowiły </w:t>
      </w:r>
      <w:r w:rsidR="004D24CC">
        <w:rPr>
          <w:rFonts w:ascii="Times New Roman" w:hAnsi="Times New Roman" w:cs="Times New Roman"/>
          <w:sz w:val="24"/>
          <w:szCs w:val="24"/>
        </w:rPr>
        <w:t>32,39</w:t>
      </w:r>
      <w:r w:rsidR="004D24CC" w:rsidRPr="007F400A">
        <w:rPr>
          <w:rFonts w:ascii="Times New Roman" w:hAnsi="Times New Roman" w:cs="Times New Roman"/>
          <w:sz w:val="24"/>
          <w:szCs w:val="24"/>
        </w:rPr>
        <w:t xml:space="preserve">%, a kontrole dokumentacyjne </w:t>
      </w:r>
      <w:r w:rsidR="004D24CC">
        <w:rPr>
          <w:rFonts w:ascii="Times New Roman" w:hAnsi="Times New Roman" w:cs="Times New Roman"/>
          <w:sz w:val="24"/>
          <w:szCs w:val="24"/>
        </w:rPr>
        <w:t>57,23</w:t>
      </w:r>
      <w:r w:rsidR="004D24CC" w:rsidRPr="007F400A">
        <w:rPr>
          <w:rFonts w:ascii="Times New Roman" w:hAnsi="Times New Roman" w:cs="Times New Roman"/>
          <w:sz w:val="24"/>
          <w:szCs w:val="24"/>
        </w:rPr>
        <w:t xml:space="preserve">% wszystkich kontroli. Pozostałe </w:t>
      </w:r>
      <w:r w:rsidR="004D24CC">
        <w:rPr>
          <w:rFonts w:ascii="Times New Roman" w:hAnsi="Times New Roman" w:cs="Times New Roman"/>
          <w:sz w:val="24"/>
          <w:szCs w:val="24"/>
        </w:rPr>
        <w:t>10,38</w:t>
      </w:r>
      <w:r w:rsidR="004D24CC" w:rsidRPr="007F400A">
        <w:rPr>
          <w:rFonts w:ascii="Times New Roman" w:hAnsi="Times New Roman" w:cs="Times New Roman"/>
          <w:sz w:val="24"/>
          <w:szCs w:val="24"/>
        </w:rPr>
        <w:t>% to kontrole z</w:t>
      </w:r>
      <w:r w:rsidR="004D24CC">
        <w:rPr>
          <w:rFonts w:ascii="Times New Roman" w:hAnsi="Times New Roman" w:cs="Times New Roman"/>
          <w:sz w:val="24"/>
          <w:szCs w:val="24"/>
        </w:rPr>
        <w:t xml:space="preserve"> </w:t>
      </w:r>
      <w:r w:rsidR="004D24CC" w:rsidRPr="007F400A">
        <w:rPr>
          <w:rFonts w:ascii="Times New Roman" w:hAnsi="Times New Roman" w:cs="Times New Roman"/>
          <w:sz w:val="24"/>
          <w:szCs w:val="24"/>
        </w:rPr>
        <w:t>wyjazdem w</w:t>
      </w:r>
      <w:r w:rsidR="004D24CC">
        <w:rPr>
          <w:rFonts w:ascii="Times New Roman" w:hAnsi="Times New Roman" w:cs="Times New Roman"/>
          <w:sz w:val="24"/>
          <w:szCs w:val="24"/>
        </w:rPr>
        <w:t> </w:t>
      </w:r>
      <w:r w:rsidR="004D24CC" w:rsidRPr="007F400A">
        <w:rPr>
          <w:rFonts w:ascii="Times New Roman" w:hAnsi="Times New Roman" w:cs="Times New Roman"/>
          <w:sz w:val="24"/>
          <w:szCs w:val="24"/>
        </w:rPr>
        <w:t>teren bez ustalonego podmiotu (np. rozpoznanie zanieczyszczenia w terenie) oraz kontrole dokumentacyjne bez ustalonego podmiotu (np. oceny towarów, przed wydaniem opinii dla urzędów celnych na podstawie okazanych dokumentów)</w:t>
      </w:r>
      <w:r w:rsidR="004D24CC">
        <w:rPr>
          <w:rFonts w:ascii="Times New Roman" w:hAnsi="Times New Roman" w:cs="Times New Roman"/>
          <w:sz w:val="24"/>
          <w:szCs w:val="24"/>
        </w:rPr>
        <w:t>.</w:t>
      </w:r>
    </w:p>
    <w:p w14:paraId="1F931CB1" w14:textId="20DF0F94" w:rsidR="00050227" w:rsidRDefault="00050227" w:rsidP="00D80FBD">
      <w:pPr>
        <w:spacing w:after="0" w:line="300" w:lineRule="atLeast"/>
        <w:ind w:firstLine="567"/>
        <w:jc w:val="both"/>
        <w:rPr>
          <w:rFonts w:ascii="Times New Roman" w:eastAsia="Times New Roman" w:hAnsi="Times New Roman" w:cs="Times New Roman"/>
          <w:sz w:val="24"/>
          <w:szCs w:val="24"/>
        </w:rPr>
      </w:pPr>
      <w:r w:rsidRPr="007F400A">
        <w:rPr>
          <w:rFonts w:ascii="Times New Roman" w:eastAsia="Times New Roman" w:hAnsi="Times New Roman" w:cs="Times New Roman"/>
          <w:bCs/>
          <w:sz w:val="24"/>
          <w:szCs w:val="24"/>
        </w:rPr>
        <w:lastRenderedPageBreak/>
        <w:t>N</w:t>
      </w:r>
      <w:r w:rsidRPr="007F400A">
        <w:rPr>
          <w:rFonts w:ascii="Times New Roman" w:eastAsia="Times New Roman" w:hAnsi="Times New Roman" w:cs="Times New Roman"/>
          <w:sz w:val="24"/>
          <w:szCs w:val="24"/>
        </w:rPr>
        <w:t>a koniec 202</w:t>
      </w:r>
      <w:r>
        <w:rPr>
          <w:rFonts w:ascii="Times New Roman" w:eastAsia="Times New Roman" w:hAnsi="Times New Roman" w:cs="Times New Roman"/>
          <w:sz w:val="24"/>
          <w:szCs w:val="24"/>
        </w:rPr>
        <w:t>2</w:t>
      </w:r>
      <w:r w:rsidRPr="007F400A">
        <w:rPr>
          <w:rFonts w:ascii="Times New Roman" w:eastAsia="Times New Roman" w:hAnsi="Times New Roman" w:cs="Times New Roman"/>
          <w:sz w:val="24"/>
          <w:szCs w:val="24"/>
        </w:rPr>
        <w:t xml:space="preserve"> r. w ewidencji Inspekcji Ochrony Środowiska był</w:t>
      </w:r>
      <w:r>
        <w:rPr>
          <w:rFonts w:ascii="Times New Roman" w:eastAsia="Times New Roman" w:hAnsi="Times New Roman" w:cs="Times New Roman"/>
          <w:sz w:val="24"/>
          <w:szCs w:val="24"/>
        </w:rPr>
        <w:t>y</w:t>
      </w:r>
      <w:r w:rsidRPr="007F400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163 952 </w:t>
      </w:r>
      <w:r w:rsidRPr="007F400A">
        <w:rPr>
          <w:rFonts w:ascii="Times New Roman" w:eastAsia="Times New Roman" w:hAnsi="Times New Roman" w:cs="Times New Roman"/>
          <w:sz w:val="24"/>
          <w:szCs w:val="24"/>
        </w:rPr>
        <w:t>zakład</w:t>
      </w:r>
      <w:r>
        <w:rPr>
          <w:rFonts w:ascii="Times New Roman" w:eastAsia="Times New Roman" w:hAnsi="Times New Roman" w:cs="Times New Roman"/>
          <w:sz w:val="24"/>
          <w:szCs w:val="24"/>
        </w:rPr>
        <w:t>y</w:t>
      </w:r>
      <w:r w:rsidRPr="007F400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sidRPr="007F400A">
        <w:rPr>
          <w:rFonts w:ascii="Times New Roman" w:eastAsia="Times New Roman" w:hAnsi="Times New Roman" w:cs="Times New Roman"/>
          <w:sz w:val="24"/>
          <w:szCs w:val="24"/>
        </w:rPr>
        <w:t xml:space="preserve">tj. o </w:t>
      </w:r>
      <w:r>
        <w:rPr>
          <w:rFonts w:ascii="Times New Roman" w:eastAsia="Times New Roman" w:hAnsi="Times New Roman" w:cs="Times New Roman"/>
          <w:sz w:val="24"/>
          <w:szCs w:val="24"/>
        </w:rPr>
        <w:t>8</w:t>
      </w:r>
      <w:r w:rsidRPr="007F400A">
        <w:rPr>
          <w:rFonts w:ascii="Times New Roman" w:eastAsia="Times New Roman" w:hAnsi="Times New Roman" w:cs="Times New Roman"/>
          <w:sz w:val="24"/>
          <w:szCs w:val="24"/>
        </w:rPr>
        <w:t> </w:t>
      </w:r>
      <w:r>
        <w:rPr>
          <w:rFonts w:ascii="Times New Roman" w:eastAsia="Times New Roman" w:hAnsi="Times New Roman" w:cs="Times New Roman"/>
          <w:sz w:val="24"/>
          <w:szCs w:val="24"/>
        </w:rPr>
        <w:t>824</w:t>
      </w:r>
      <w:r w:rsidRPr="007F400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ponad 5 %</w:t>
      </w:r>
      <w:r w:rsidRPr="007F400A">
        <w:rPr>
          <w:rFonts w:ascii="Times New Roman" w:eastAsia="Times New Roman" w:hAnsi="Times New Roman" w:cs="Times New Roman"/>
          <w:sz w:val="24"/>
          <w:szCs w:val="24"/>
        </w:rPr>
        <w:t>) więcej niż w roku 202</w:t>
      </w:r>
      <w:r>
        <w:rPr>
          <w:rFonts w:ascii="Times New Roman" w:eastAsia="Times New Roman" w:hAnsi="Times New Roman" w:cs="Times New Roman"/>
          <w:sz w:val="24"/>
          <w:szCs w:val="24"/>
        </w:rPr>
        <w:t xml:space="preserve">1, </w:t>
      </w:r>
      <w:r w:rsidRPr="007F400A">
        <w:rPr>
          <w:rFonts w:ascii="Times New Roman" w:eastAsia="Times New Roman" w:hAnsi="Times New Roman" w:cs="Times New Roman"/>
          <w:sz w:val="24"/>
          <w:szCs w:val="24"/>
        </w:rPr>
        <w:t xml:space="preserve">natomiast </w:t>
      </w:r>
      <w:r>
        <w:rPr>
          <w:rFonts w:ascii="Times New Roman" w:eastAsia="Times New Roman" w:hAnsi="Times New Roman" w:cs="Times New Roman"/>
          <w:sz w:val="24"/>
          <w:szCs w:val="24"/>
        </w:rPr>
        <w:t xml:space="preserve">w porównaniu </w:t>
      </w:r>
      <w:r w:rsidRPr="007F400A">
        <w:rPr>
          <w:rFonts w:ascii="Times New Roman" w:eastAsia="Times New Roman" w:hAnsi="Times New Roman" w:cs="Times New Roman"/>
          <w:sz w:val="24"/>
          <w:szCs w:val="24"/>
        </w:rPr>
        <w:t xml:space="preserve">z 2010 r. </w:t>
      </w:r>
      <w:r>
        <w:rPr>
          <w:rFonts w:ascii="Times New Roman" w:eastAsia="Times New Roman" w:hAnsi="Times New Roman" w:cs="Times New Roman"/>
          <w:sz w:val="24"/>
          <w:szCs w:val="24"/>
        </w:rPr>
        <w:t xml:space="preserve">liczba zakładów w ewidencji </w:t>
      </w:r>
      <w:r w:rsidRPr="007F400A">
        <w:rPr>
          <w:rFonts w:ascii="Times New Roman" w:eastAsia="Times New Roman" w:hAnsi="Times New Roman" w:cs="Times New Roman"/>
          <w:sz w:val="24"/>
          <w:szCs w:val="24"/>
        </w:rPr>
        <w:t xml:space="preserve">wzrosła </w:t>
      </w:r>
      <w:r w:rsidRPr="00616B85">
        <w:rPr>
          <w:rFonts w:ascii="Times New Roman" w:eastAsia="Times New Roman" w:hAnsi="Times New Roman" w:cs="Times New Roman"/>
          <w:sz w:val="24"/>
          <w:szCs w:val="24"/>
        </w:rPr>
        <w:t xml:space="preserve">o </w:t>
      </w:r>
      <w:r w:rsidRPr="00B5252E">
        <w:rPr>
          <w:rFonts w:ascii="Times New Roman" w:eastAsia="Times New Roman" w:hAnsi="Times New Roman" w:cs="Times New Roman"/>
          <w:sz w:val="24"/>
          <w:szCs w:val="24"/>
        </w:rPr>
        <w:t>94 606</w:t>
      </w:r>
      <w:r w:rsidRPr="00616B85">
        <w:rPr>
          <w:rFonts w:ascii="Times New Roman" w:eastAsia="Times New Roman" w:hAnsi="Times New Roman" w:cs="Times New Roman"/>
          <w:sz w:val="24"/>
          <w:szCs w:val="24"/>
        </w:rPr>
        <w:t xml:space="preserve"> (tj. </w:t>
      </w:r>
      <w:r w:rsidRPr="00B5252E">
        <w:rPr>
          <w:rFonts w:ascii="Times New Roman" w:eastAsia="Times New Roman" w:hAnsi="Times New Roman" w:cs="Times New Roman"/>
          <w:sz w:val="24"/>
          <w:szCs w:val="24"/>
        </w:rPr>
        <w:t>136</w:t>
      </w:r>
      <w:r w:rsidRPr="00616B85">
        <w:rPr>
          <w:rFonts w:ascii="Times New Roman" w:eastAsia="Times New Roman" w:hAnsi="Times New Roman" w:cs="Times New Roman"/>
          <w:sz w:val="24"/>
          <w:szCs w:val="24"/>
        </w:rPr>
        <w:t>%)</w:t>
      </w:r>
      <w:r w:rsidRPr="007F400A">
        <w:rPr>
          <w:rFonts w:ascii="Times New Roman" w:eastAsia="Times New Roman" w:hAnsi="Times New Roman" w:cs="Times New Roman"/>
          <w:sz w:val="24"/>
          <w:szCs w:val="24"/>
        </w:rPr>
        <w:t xml:space="preserve">. </w:t>
      </w:r>
    </w:p>
    <w:p w14:paraId="2865706B" w14:textId="57384290" w:rsidR="00D1358A" w:rsidRDefault="00D1358A" w:rsidP="00D80FBD">
      <w:pPr>
        <w:spacing w:after="0" w:line="300" w:lineRule="atLeast"/>
        <w:ind w:firstLine="567"/>
        <w:jc w:val="both"/>
        <w:rPr>
          <w:rFonts w:ascii="Times New Roman" w:hAnsi="Times New Roman" w:cs="Times New Roman"/>
          <w:iCs/>
          <w:sz w:val="24"/>
          <w:szCs w:val="24"/>
        </w:rPr>
      </w:pPr>
      <w:r>
        <w:rPr>
          <w:rFonts w:ascii="Times New Roman" w:hAnsi="Times New Roman" w:cs="Times New Roman"/>
          <w:iCs/>
          <w:sz w:val="24"/>
          <w:szCs w:val="24"/>
        </w:rPr>
        <w:t>Mimo, że w 2022 r. skontrolowano w terenie mniej zakładów niż przed rokiem i tak odnotowano niewielki wzrost liczby kontroli w terenie ogółem. Wynika to z tego, że częściej niż w latach poprzednich przeprowadzano kontrole w terenie bez ustalonego podmiotu: rozpoznanie zanieczyszczenia w terenie czy transportu towarów lub odpadów</w:t>
      </w:r>
      <w:r w:rsidRPr="00AF5DBA">
        <w:rPr>
          <w:rFonts w:ascii="Times New Roman" w:hAnsi="Times New Roman" w:cs="Times New Roman"/>
          <w:iCs/>
          <w:sz w:val="24"/>
          <w:szCs w:val="24"/>
        </w:rPr>
        <w:t xml:space="preserve">. </w:t>
      </w:r>
      <w:r w:rsidRPr="00B5252E">
        <w:rPr>
          <w:rFonts w:ascii="Times New Roman" w:hAnsi="Times New Roman" w:cs="Times New Roman"/>
          <w:iCs/>
          <w:sz w:val="24"/>
          <w:szCs w:val="24"/>
        </w:rPr>
        <w:t>Wpływ na to, że częściej podejmowano takie działania miała m.in. sytuacja związana z wystąpieniem zanieczyszczeń na rzece Odrze</w:t>
      </w:r>
      <w:r>
        <w:rPr>
          <w:rFonts w:ascii="Times New Roman" w:hAnsi="Times New Roman" w:cs="Times New Roman"/>
          <w:iCs/>
          <w:sz w:val="24"/>
          <w:szCs w:val="24"/>
        </w:rPr>
        <w:t>.</w:t>
      </w:r>
    </w:p>
    <w:p w14:paraId="4C64606A" w14:textId="445C9025" w:rsidR="001E36BB" w:rsidRPr="007F400A" w:rsidRDefault="00615615" w:rsidP="00D80FBD">
      <w:pPr>
        <w:spacing w:after="0" w:line="300" w:lineRule="atLeast"/>
        <w:ind w:firstLine="567"/>
        <w:jc w:val="both"/>
        <w:rPr>
          <w:rFonts w:ascii="Times New Roman" w:eastAsia="Calibri" w:hAnsi="Times New Roman" w:cs="Times New Roman"/>
          <w:bCs/>
          <w:sz w:val="24"/>
          <w:szCs w:val="24"/>
        </w:rPr>
      </w:pPr>
      <w:r w:rsidRPr="007F400A">
        <w:rPr>
          <w:rFonts w:ascii="Times New Roman" w:eastAsia="Times New Roman" w:hAnsi="Times New Roman" w:cs="Times New Roman"/>
          <w:sz w:val="24"/>
          <w:szCs w:val="24"/>
        </w:rPr>
        <w:t xml:space="preserve">W </w:t>
      </w:r>
      <w:r>
        <w:rPr>
          <w:rFonts w:ascii="Times New Roman" w:eastAsia="Times New Roman" w:hAnsi="Times New Roman" w:cs="Times New Roman"/>
          <w:sz w:val="24"/>
          <w:szCs w:val="24"/>
        </w:rPr>
        <w:t>2022</w:t>
      </w:r>
      <w:r w:rsidRPr="007F400A">
        <w:rPr>
          <w:rFonts w:ascii="Times New Roman" w:eastAsia="Times New Roman" w:hAnsi="Times New Roman" w:cs="Times New Roman"/>
          <w:sz w:val="24"/>
          <w:szCs w:val="24"/>
        </w:rPr>
        <w:t xml:space="preserve"> r. w trakcie </w:t>
      </w:r>
      <w:r>
        <w:rPr>
          <w:rFonts w:ascii="Times New Roman" w:eastAsia="Times New Roman" w:hAnsi="Times New Roman" w:cs="Times New Roman"/>
          <w:sz w:val="24"/>
          <w:szCs w:val="24"/>
        </w:rPr>
        <w:t>43 334</w:t>
      </w:r>
      <w:r w:rsidRPr="007F400A">
        <w:rPr>
          <w:rFonts w:ascii="Times New Roman" w:eastAsia="Times New Roman" w:hAnsi="Times New Roman" w:cs="Times New Roman"/>
          <w:sz w:val="24"/>
          <w:szCs w:val="24"/>
        </w:rPr>
        <w:t xml:space="preserve"> kontroli stwierdzono </w:t>
      </w:r>
      <w:r>
        <w:rPr>
          <w:rFonts w:ascii="Times New Roman" w:eastAsia="Times New Roman" w:hAnsi="Times New Roman" w:cs="Times New Roman"/>
          <w:sz w:val="24"/>
          <w:szCs w:val="24"/>
        </w:rPr>
        <w:t>10 392</w:t>
      </w:r>
      <w:r w:rsidRPr="007F400A">
        <w:rPr>
          <w:rFonts w:ascii="Times New Roman" w:eastAsia="Times New Roman" w:hAnsi="Times New Roman" w:cs="Times New Roman"/>
          <w:sz w:val="24"/>
          <w:szCs w:val="24"/>
        </w:rPr>
        <w:t xml:space="preserve"> narusze</w:t>
      </w:r>
      <w:r>
        <w:rPr>
          <w:rFonts w:ascii="Times New Roman" w:eastAsia="Times New Roman" w:hAnsi="Times New Roman" w:cs="Times New Roman"/>
          <w:sz w:val="24"/>
          <w:szCs w:val="24"/>
        </w:rPr>
        <w:t>nia</w:t>
      </w:r>
      <w:r w:rsidRPr="007F400A">
        <w:rPr>
          <w:rFonts w:ascii="Times New Roman" w:eastAsia="Times New Roman" w:hAnsi="Times New Roman" w:cs="Times New Roman"/>
          <w:sz w:val="24"/>
          <w:szCs w:val="24"/>
        </w:rPr>
        <w:t xml:space="preserve"> przepisów ochrony środowiska, co stanowi </w:t>
      </w:r>
      <w:r>
        <w:rPr>
          <w:rFonts w:ascii="Times New Roman" w:eastAsia="Times New Roman" w:hAnsi="Times New Roman" w:cs="Times New Roman"/>
          <w:sz w:val="24"/>
          <w:szCs w:val="24"/>
        </w:rPr>
        <w:t>24</w:t>
      </w:r>
      <w:r w:rsidRPr="007F400A">
        <w:rPr>
          <w:rFonts w:ascii="Times New Roman" w:eastAsia="Times New Roman" w:hAnsi="Times New Roman" w:cs="Times New Roman"/>
          <w:sz w:val="24"/>
          <w:szCs w:val="24"/>
        </w:rPr>
        <w:t xml:space="preserve">% wszystkich kontroli. </w:t>
      </w:r>
      <w:r>
        <w:rPr>
          <w:rFonts w:ascii="Times New Roman" w:eastAsia="Times New Roman" w:hAnsi="Times New Roman" w:cs="Times New Roman"/>
          <w:sz w:val="24"/>
          <w:szCs w:val="24"/>
        </w:rPr>
        <w:t>Liczba</w:t>
      </w:r>
      <w:r w:rsidRPr="007F400A">
        <w:rPr>
          <w:rFonts w:ascii="Times New Roman" w:eastAsia="Times New Roman" w:hAnsi="Times New Roman" w:cs="Times New Roman"/>
          <w:sz w:val="24"/>
          <w:szCs w:val="24"/>
        </w:rPr>
        <w:t xml:space="preserve"> kontroli</w:t>
      </w:r>
      <w:r>
        <w:rPr>
          <w:rFonts w:ascii="Times New Roman" w:eastAsia="Times New Roman" w:hAnsi="Times New Roman" w:cs="Times New Roman"/>
          <w:sz w:val="24"/>
          <w:szCs w:val="24"/>
        </w:rPr>
        <w:t xml:space="preserve"> z naruszeniami</w:t>
      </w:r>
      <w:r w:rsidRPr="007F400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spadła</w:t>
      </w:r>
      <w:r w:rsidRPr="007F400A">
        <w:rPr>
          <w:rFonts w:ascii="Times New Roman" w:eastAsia="Times New Roman" w:hAnsi="Times New Roman" w:cs="Times New Roman"/>
          <w:sz w:val="24"/>
          <w:szCs w:val="24"/>
        </w:rPr>
        <w:t xml:space="preserve"> o</w:t>
      </w:r>
      <w:r>
        <w:rPr>
          <w:rFonts w:ascii="Times New Roman" w:eastAsia="Times New Roman" w:hAnsi="Times New Roman" w:cs="Times New Roman"/>
          <w:sz w:val="24"/>
          <w:szCs w:val="24"/>
        </w:rPr>
        <w:t> 3 </w:t>
      </w:r>
      <w:r w:rsidRPr="007F400A">
        <w:rPr>
          <w:rFonts w:ascii="Times New Roman" w:eastAsia="Times New Roman" w:hAnsi="Times New Roman" w:cs="Times New Roman"/>
          <w:sz w:val="24"/>
          <w:szCs w:val="24"/>
        </w:rPr>
        <w:t xml:space="preserve">punkty procentowe w stosunku do </w:t>
      </w:r>
      <w:r>
        <w:rPr>
          <w:rFonts w:ascii="Times New Roman" w:eastAsia="Times New Roman" w:hAnsi="Times New Roman" w:cs="Times New Roman"/>
          <w:sz w:val="24"/>
          <w:szCs w:val="24"/>
        </w:rPr>
        <w:t>2021</w:t>
      </w:r>
      <w:r w:rsidRPr="007F400A">
        <w:rPr>
          <w:rFonts w:ascii="Times New Roman" w:eastAsia="Times New Roman" w:hAnsi="Times New Roman" w:cs="Times New Roman"/>
          <w:sz w:val="24"/>
          <w:szCs w:val="24"/>
        </w:rPr>
        <w:t xml:space="preserve"> r.</w:t>
      </w:r>
      <w:r>
        <w:rPr>
          <w:rFonts w:ascii="Times New Roman" w:eastAsia="Times New Roman" w:hAnsi="Times New Roman" w:cs="Times New Roman"/>
          <w:sz w:val="24"/>
          <w:szCs w:val="24"/>
        </w:rPr>
        <w:t xml:space="preserve"> </w:t>
      </w:r>
      <w:r w:rsidRPr="007F400A">
        <w:rPr>
          <w:rFonts w:ascii="Times New Roman" w:hAnsi="Times New Roman" w:cs="Times New Roman"/>
          <w:sz w:val="24"/>
          <w:szCs w:val="24"/>
        </w:rPr>
        <w:t xml:space="preserve">W trakcie kontroli zakładów przeprowadzonych w terenie wykryto </w:t>
      </w:r>
      <w:r>
        <w:rPr>
          <w:rFonts w:ascii="Times New Roman" w:hAnsi="Times New Roman" w:cs="Times New Roman"/>
          <w:sz w:val="24"/>
          <w:szCs w:val="24"/>
        </w:rPr>
        <w:t>6 935</w:t>
      </w:r>
      <w:r w:rsidRPr="007F400A">
        <w:rPr>
          <w:rFonts w:ascii="Times New Roman" w:hAnsi="Times New Roman" w:cs="Times New Roman"/>
          <w:sz w:val="24"/>
          <w:szCs w:val="24"/>
        </w:rPr>
        <w:t xml:space="preserve"> narusze</w:t>
      </w:r>
      <w:r>
        <w:rPr>
          <w:rFonts w:ascii="Times New Roman" w:hAnsi="Times New Roman" w:cs="Times New Roman"/>
          <w:sz w:val="24"/>
          <w:szCs w:val="24"/>
        </w:rPr>
        <w:t>ń</w:t>
      </w:r>
      <w:r w:rsidRPr="007F400A">
        <w:rPr>
          <w:rFonts w:ascii="Times New Roman" w:hAnsi="Times New Roman" w:cs="Times New Roman"/>
          <w:sz w:val="24"/>
          <w:szCs w:val="24"/>
        </w:rPr>
        <w:t xml:space="preserve"> przepisów ochrony środowiska</w:t>
      </w:r>
      <w:r>
        <w:rPr>
          <w:rFonts w:ascii="Times New Roman" w:hAnsi="Times New Roman" w:cs="Times New Roman"/>
          <w:sz w:val="24"/>
          <w:szCs w:val="24"/>
        </w:rPr>
        <w:t>, z czego w</w:t>
      </w:r>
      <w:r w:rsidRPr="007F400A">
        <w:rPr>
          <w:rFonts w:ascii="Times New Roman" w:eastAsia="Times New Roman" w:hAnsi="Times New Roman" w:cs="Times New Roman"/>
          <w:sz w:val="24"/>
          <w:szCs w:val="24"/>
          <w:lang w:eastAsia="pl-PL"/>
        </w:rPr>
        <w:t xml:space="preserve">iększość stwierdzonych naruszeń stanowiły naruszenia formalne bez istotnego wpływu na środowisko, np.: </w:t>
      </w:r>
      <w:r w:rsidR="00FF38C9" w:rsidRPr="002A42BF">
        <w:rPr>
          <w:rFonts w:ascii="Times New Roman" w:eastAsia="Calibri" w:hAnsi="Times New Roman" w:cs="Times New Roman"/>
          <w:sz w:val="24"/>
          <w:szCs w:val="24"/>
          <w:lang w:val="x-none" w:eastAsia="pl-PL"/>
        </w:rPr>
        <w:t>brak systematycznej oceny programu zapobiegania awariom oraz systemu zarządzania bezpieczeństwem</w:t>
      </w:r>
      <w:r w:rsidRPr="007F400A">
        <w:rPr>
          <w:rFonts w:ascii="Times New Roman" w:eastAsia="Calibri" w:hAnsi="Times New Roman" w:cs="Times New Roman"/>
          <w:sz w:val="24"/>
          <w:szCs w:val="24"/>
          <w:lang w:eastAsia="pl-PL"/>
        </w:rPr>
        <w:t xml:space="preserve">, </w:t>
      </w:r>
      <w:r w:rsidR="00FF38C9" w:rsidRPr="00181011">
        <w:rPr>
          <w:rFonts w:ascii="Times New Roman" w:eastAsia="Calibri" w:hAnsi="Times New Roman" w:cs="Times New Roman"/>
          <w:sz w:val="24"/>
          <w:szCs w:val="24"/>
          <w:lang w:eastAsia="pl-PL"/>
        </w:rPr>
        <w:t>nieterminowe przedłożenie rocznego raportu do Krajowej bazy o emisjach gazów cieplarnianych i innych substancji</w:t>
      </w:r>
      <w:r w:rsidR="00FF38C9">
        <w:rPr>
          <w:rFonts w:ascii="Times New Roman" w:eastAsia="Calibri" w:hAnsi="Times New Roman" w:cs="Times New Roman"/>
          <w:sz w:val="24"/>
          <w:szCs w:val="24"/>
          <w:lang w:eastAsia="pl-PL"/>
        </w:rPr>
        <w:t xml:space="preserve">, </w:t>
      </w:r>
      <w:r w:rsidR="00FF38C9" w:rsidRPr="00281F37">
        <w:rPr>
          <w:rFonts w:ascii="Times New Roman" w:eastAsia="Times New Roman" w:hAnsi="Times New Roman" w:cs="Times New Roman"/>
          <w:sz w:val="24"/>
          <w:szCs w:val="24"/>
          <w:lang w:val="x-none" w:eastAsia="pl-PL"/>
        </w:rPr>
        <w:t>niezłożeni</w:t>
      </w:r>
      <w:r w:rsidR="00FF38C9" w:rsidRPr="00281F37">
        <w:rPr>
          <w:rFonts w:ascii="Times New Roman" w:eastAsia="Times New Roman" w:hAnsi="Times New Roman" w:cs="Times New Roman"/>
          <w:sz w:val="24"/>
          <w:szCs w:val="24"/>
          <w:lang w:eastAsia="pl-PL"/>
        </w:rPr>
        <w:t>e</w:t>
      </w:r>
      <w:r w:rsidR="00FF38C9" w:rsidRPr="00281F37">
        <w:rPr>
          <w:rFonts w:ascii="Times New Roman" w:eastAsia="Times New Roman" w:hAnsi="Times New Roman" w:cs="Times New Roman"/>
          <w:sz w:val="24"/>
          <w:szCs w:val="24"/>
          <w:lang w:val="x-none" w:eastAsia="pl-PL"/>
        </w:rPr>
        <w:t xml:space="preserve"> lub nieterminowe złożeni</w:t>
      </w:r>
      <w:r w:rsidR="00FF38C9" w:rsidRPr="00281F37">
        <w:rPr>
          <w:rFonts w:ascii="Times New Roman" w:eastAsia="Times New Roman" w:hAnsi="Times New Roman" w:cs="Times New Roman"/>
          <w:sz w:val="24"/>
          <w:szCs w:val="24"/>
          <w:lang w:eastAsia="pl-PL"/>
        </w:rPr>
        <w:t>e</w:t>
      </w:r>
      <w:r w:rsidR="00FF38C9" w:rsidRPr="00281F37">
        <w:rPr>
          <w:rFonts w:ascii="Times New Roman" w:eastAsia="Times New Roman" w:hAnsi="Times New Roman" w:cs="Times New Roman"/>
          <w:sz w:val="24"/>
          <w:szCs w:val="24"/>
          <w:lang w:val="x-none" w:eastAsia="pl-PL"/>
        </w:rPr>
        <w:t xml:space="preserve"> raportu do Krajow</w:t>
      </w:r>
      <w:r w:rsidR="00FF38C9" w:rsidRPr="00181011">
        <w:rPr>
          <w:rFonts w:ascii="Times New Roman" w:eastAsia="Times New Roman" w:hAnsi="Times New Roman" w:cs="Times New Roman"/>
          <w:sz w:val="24"/>
          <w:szCs w:val="24"/>
          <w:lang w:eastAsia="pl-PL"/>
        </w:rPr>
        <w:t>ego</w:t>
      </w:r>
      <w:r w:rsidR="00FF38C9" w:rsidRPr="00181011">
        <w:rPr>
          <w:rFonts w:ascii="Times New Roman" w:eastAsia="Times New Roman" w:hAnsi="Times New Roman" w:cs="Times New Roman"/>
          <w:sz w:val="24"/>
          <w:szCs w:val="24"/>
          <w:lang w:val="x-none" w:eastAsia="pl-PL"/>
        </w:rPr>
        <w:t xml:space="preserve"> Ośrod</w:t>
      </w:r>
      <w:r w:rsidR="00FF38C9" w:rsidRPr="00181011">
        <w:rPr>
          <w:rFonts w:ascii="Times New Roman" w:eastAsia="Times New Roman" w:hAnsi="Times New Roman" w:cs="Times New Roman"/>
          <w:sz w:val="24"/>
          <w:szCs w:val="24"/>
          <w:lang w:eastAsia="pl-PL"/>
        </w:rPr>
        <w:t>ka</w:t>
      </w:r>
      <w:r w:rsidR="00FF38C9" w:rsidRPr="00181011">
        <w:rPr>
          <w:rFonts w:ascii="Times New Roman" w:eastAsia="Times New Roman" w:hAnsi="Times New Roman" w:cs="Times New Roman"/>
          <w:sz w:val="24"/>
          <w:szCs w:val="24"/>
          <w:lang w:val="x-none" w:eastAsia="pl-PL"/>
        </w:rPr>
        <w:t xml:space="preserve"> Bilansowania i Zarządzania Emisjami </w:t>
      </w:r>
      <w:r w:rsidR="00FF38C9" w:rsidRPr="00181011">
        <w:rPr>
          <w:rFonts w:ascii="Times New Roman" w:eastAsia="Times New Roman" w:hAnsi="Times New Roman" w:cs="Times New Roman"/>
          <w:sz w:val="24"/>
          <w:szCs w:val="24"/>
          <w:lang w:eastAsia="pl-PL"/>
        </w:rPr>
        <w:t>(</w:t>
      </w:r>
      <w:r w:rsidR="00FF38C9" w:rsidRPr="00181011">
        <w:rPr>
          <w:rFonts w:ascii="Times New Roman" w:eastAsia="Times New Roman" w:hAnsi="Times New Roman" w:cs="Times New Roman"/>
          <w:sz w:val="24"/>
          <w:szCs w:val="24"/>
          <w:lang w:val="x-none" w:eastAsia="pl-PL"/>
        </w:rPr>
        <w:t>KOB</w:t>
      </w:r>
      <w:r w:rsidR="00FF38C9" w:rsidRPr="00181011">
        <w:rPr>
          <w:rFonts w:ascii="Times New Roman" w:eastAsia="Times New Roman" w:hAnsi="Times New Roman" w:cs="Times New Roman"/>
          <w:sz w:val="24"/>
          <w:szCs w:val="24"/>
          <w:lang w:eastAsia="pl-PL"/>
        </w:rPr>
        <w:t>i</w:t>
      </w:r>
      <w:r w:rsidR="00FF38C9" w:rsidRPr="00181011">
        <w:rPr>
          <w:rFonts w:ascii="Times New Roman" w:eastAsia="Times New Roman" w:hAnsi="Times New Roman" w:cs="Times New Roman"/>
          <w:sz w:val="24"/>
          <w:szCs w:val="24"/>
          <w:lang w:val="x-none" w:eastAsia="pl-PL"/>
        </w:rPr>
        <w:t>ZE</w:t>
      </w:r>
      <w:r w:rsidR="00FF38C9" w:rsidRPr="00181011">
        <w:rPr>
          <w:rFonts w:ascii="Times New Roman" w:eastAsia="Times New Roman" w:hAnsi="Times New Roman" w:cs="Times New Roman"/>
          <w:sz w:val="24"/>
          <w:szCs w:val="24"/>
          <w:lang w:eastAsia="pl-PL"/>
        </w:rPr>
        <w:t>)</w:t>
      </w:r>
      <w:r w:rsidR="00FF38C9">
        <w:rPr>
          <w:rFonts w:ascii="Times New Roman" w:eastAsia="Times New Roman" w:hAnsi="Times New Roman" w:cs="Times New Roman"/>
          <w:sz w:val="24"/>
          <w:szCs w:val="24"/>
          <w:lang w:eastAsia="pl-PL"/>
        </w:rPr>
        <w:t xml:space="preserve">, </w:t>
      </w:r>
      <w:r w:rsidRPr="007F400A">
        <w:rPr>
          <w:rFonts w:ascii="Times New Roman" w:hAnsi="Times New Roman" w:cs="Times New Roman"/>
          <w:sz w:val="24"/>
          <w:szCs w:val="24"/>
        </w:rPr>
        <w:t>nieterminowe przekazywanie właściwym organom ewidencji, rejestrów i wyników okresowych pomiarów emisji hałasu,</w:t>
      </w:r>
      <w:r w:rsidRPr="007F400A">
        <w:rPr>
          <w:rFonts w:ascii="Times New Roman" w:eastAsia="Times New Roman" w:hAnsi="Times New Roman" w:cs="Times New Roman"/>
          <w:sz w:val="24"/>
          <w:szCs w:val="24"/>
          <w:lang w:eastAsia="pl-PL"/>
        </w:rPr>
        <w:t xml:space="preserve"> </w:t>
      </w:r>
      <w:r w:rsidRPr="007F400A">
        <w:rPr>
          <w:rFonts w:ascii="Times New Roman" w:hAnsi="Times New Roman" w:cs="Times New Roman"/>
          <w:sz w:val="24"/>
          <w:szCs w:val="24"/>
        </w:rPr>
        <w:t>nieterminowe złożenie rocznego sprawozdania o wytworzonych odpadach</w:t>
      </w:r>
      <w:r w:rsidR="00FF38C9">
        <w:rPr>
          <w:rFonts w:ascii="Times New Roman" w:hAnsi="Times New Roman" w:cs="Times New Roman"/>
          <w:sz w:val="24"/>
          <w:szCs w:val="24"/>
        </w:rPr>
        <w:t xml:space="preserve">, </w:t>
      </w:r>
      <w:r w:rsidR="00FF38C9" w:rsidRPr="00181011">
        <w:rPr>
          <w:rFonts w:ascii="Times New Roman" w:eastAsia="Calibri" w:hAnsi="Times New Roman" w:cs="Times New Roman"/>
          <w:sz w:val="24"/>
          <w:szCs w:val="24"/>
          <w:lang w:val="x-none" w:eastAsia="pl-PL"/>
        </w:rPr>
        <w:t>brak lub nierzetelne prowadzenie ewidencji</w:t>
      </w:r>
      <w:r w:rsidR="00FF38C9" w:rsidRPr="00181011">
        <w:rPr>
          <w:rFonts w:ascii="Times New Roman" w:eastAsia="Calibri" w:hAnsi="Times New Roman" w:cs="Times New Roman"/>
          <w:sz w:val="24"/>
          <w:szCs w:val="24"/>
          <w:lang w:eastAsia="pl-PL"/>
        </w:rPr>
        <w:t xml:space="preserve"> w zakresie odpadów</w:t>
      </w:r>
      <w:r w:rsidR="00FF38C9">
        <w:rPr>
          <w:rFonts w:ascii="Times New Roman" w:eastAsia="Calibri" w:hAnsi="Times New Roman" w:cs="Times New Roman"/>
          <w:sz w:val="24"/>
          <w:szCs w:val="24"/>
          <w:lang w:eastAsia="pl-PL"/>
        </w:rPr>
        <w:t xml:space="preserve"> oraz </w:t>
      </w:r>
      <w:r w:rsidR="00FF38C9" w:rsidRPr="00181011">
        <w:rPr>
          <w:rFonts w:ascii="Times New Roman" w:eastAsia="Calibri" w:hAnsi="Times New Roman" w:cs="Times New Roman"/>
          <w:sz w:val="24"/>
          <w:szCs w:val="24"/>
          <w:lang w:val="x-none" w:eastAsia="pl-PL"/>
        </w:rPr>
        <w:t xml:space="preserve">prowadzenie działalności </w:t>
      </w:r>
      <w:r w:rsidR="00FF38C9">
        <w:rPr>
          <w:rFonts w:ascii="Times New Roman" w:eastAsia="Calibri" w:hAnsi="Times New Roman" w:cs="Times New Roman"/>
          <w:sz w:val="24"/>
          <w:szCs w:val="24"/>
          <w:lang w:val="x-none" w:eastAsia="pl-PL"/>
        </w:rPr>
        <w:br/>
      </w:r>
      <w:r w:rsidR="00FF38C9" w:rsidRPr="00181011">
        <w:rPr>
          <w:rFonts w:ascii="Times New Roman" w:eastAsia="Calibri" w:hAnsi="Times New Roman" w:cs="Times New Roman"/>
          <w:sz w:val="24"/>
          <w:szCs w:val="24"/>
          <w:lang w:val="x-none" w:eastAsia="pl-PL"/>
        </w:rPr>
        <w:t>w zakresie wytwarzania odpadów bez wymaganego wpisu do rejestru BDO</w:t>
      </w:r>
      <w:r w:rsidR="001E36BB">
        <w:rPr>
          <w:rFonts w:ascii="Times New Roman" w:eastAsia="Calibri" w:hAnsi="Times New Roman" w:cs="Times New Roman"/>
          <w:sz w:val="24"/>
          <w:szCs w:val="24"/>
          <w:lang w:eastAsia="pl-PL"/>
        </w:rPr>
        <w:t xml:space="preserve">. </w:t>
      </w:r>
      <w:r w:rsidR="001E36BB" w:rsidRPr="00965BA2">
        <w:rPr>
          <w:rFonts w:ascii="Times New Roman" w:eastAsia="Calibri" w:hAnsi="Times New Roman" w:cs="Times New Roman"/>
          <w:sz w:val="24"/>
          <w:szCs w:val="24"/>
        </w:rPr>
        <w:t>W 2022 r. wojewódzcy inspektorzy ochrony środowiska</w:t>
      </w:r>
      <w:r w:rsidR="0017325A" w:rsidRPr="0017325A">
        <w:rPr>
          <w:rFonts w:ascii="Times New Roman" w:eastAsia="Calibri" w:hAnsi="Times New Roman" w:cs="Times New Roman"/>
          <w:sz w:val="24"/>
          <w:szCs w:val="24"/>
        </w:rPr>
        <w:t xml:space="preserve"> </w:t>
      </w:r>
      <w:r w:rsidR="0017325A" w:rsidRPr="00965BA2">
        <w:rPr>
          <w:rFonts w:ascii="Times New Roman" w:eastAsia="Calibri" w:hAnsi="Times New Roman" w:cs="Times New Roman"/>
          <w:sz w:val="24"/>
          <w:szCs w:val="24"/>
        </w:rPr>
        <w:t xml:space="preserve">jako przypadki gospodarowania odpadami </w:t>
      </w:r>
      <w:r w:rsidR="0017325A">
        <w:rPr>
          <w:rFonts w:ascii="Times New Roman" w:eastAsia="Calibri" w:hAnsi="Times New Roman" w:cs="Times New Roman"/>
          <w:sz w:val="24"/>
          <w:szCs w:val="24"/>
        </w:rPr>
        <w:br/>
      </w:r>
      <w:r w:rsidR="0017325A" w:rsidRPr="00965BA2">
        <w:rPr>
          <w:rFonts w:ascii="Times New Roman" w:eastAsia="Calibri" w:hAnsi="Times New Roman" w:cs="Times New Roman"/>
          <w:sz w:val="24"/>
          <w:szCs w:val="24"/>
        </w:rPr>
        <w:t>w tzw. „szarej strefie</w:t>
      </w:r>
      <w:r w:rsidR="0017325A">
        <w:rPr>
          <w:rFonts w:ascii="Times New Roman" w:eastAsia="Calibri" w:hAnsi="Times New Roman" w:cs="Times New Roman"/>
          <w:sz w:val="24"/>
          <w:szCs w:val="24"/>
        </w:rPr>
        <w:t>,</w:t>
      </w:r>
      <w:r w:rsidR="001E36BB" w:rsidRPr="00965BA2">
        <w:rPr>
          <w:rFonts w:ascii="Times New Roman" w:eastAsia="Calibri" w:hAnsi="Times New Roman" w:cs="Times New Roman"/>
          <w:sz w:val="24"/>
          <w:szCs w:val="24"/>
        </w:rPr>
        <w:t xml:space="preserve"> zidentyfikowali 1 446 zdarze</w:t>
      </w:r>
      <w:r w:rsidR="001E36BB">
        <w:rPr>
          <w:rFonts w:ascii="Times New Roman" w:eastAsia="Calibri" w:hAnsi="Times New Roman" w:cs="Times New Roman"/>
          <w:sz w:val="24"/>
          <w:szCs w:val="24"/>
        </w:rPr>
        <w:t>ń</w:t>
      </w:r>
      <w:r w:rsidR="001E36BB" w:rsidRPr="007F400A">
        <w:rPr>
          <w:rFonts w:ascii="Times New Roman" w:eastAsia="Calibri" w:hAnsi="Times New Roman" w:cs="Times New Roman"/>
          <w:sz w:val="24"/>
          <w:szCs w:val="24"/>
          <w:lang w:eastAsia="pl-PL"/>
        </w:rPr>
        <w:t>.</w:t>
      </w:r>
    </w:p>
    <w:p w14:paraId="5E0E1404" w14:textId="1D47EF9D" w:rsidR="0017325A" w:rsidRPr="006D159C" w:rsidRDefault="00895F16" w:rsidP="00D80FBD">
      <w:pPr>
        <w:spacing w:after="0" w:line="300" w:lineRule="atLeast"/>
        <w:ind w:firstLine="567"/>
        <w:jc w:val="both"/>
        <w:rPr>
          <w:sz w:val="24"/>
        </w:rPr>
      </w:pPr>
      <w:r w:rsidRPr="007F400A">
        <w:rPr>
          <w:rFonts w:ascii="Times New Roman" w:eastAsia="Times New Roman" w:hAnsi="Times New Roman" w:cs="Times New Roman"/>
          <w:sz w:val="24"/>
          <w:szCs w:val="24"/>
          <w:lang w:eastAsia="pl-PL"/>
        </w:rPr>
        <w:t>Ponadto</w:t>
      </w:r>
      <w:r w:rsidR="00F47735" w:rsidRPr="007F400A">
        <w:rPr>
          <w:rFonts w:ascii="Times New Roman" w:eastAsia="Times New Roman" w:hAnsi="Times New Roman" w:cs="Times New Roman"/>
          <w:sz w:val="24"/>
          <w:szCs w:val="24"/>
          <w:lang w:eastAsia="pl-PL"/>
        </w:rPr>
        <w:t>,</w:t>
      </w:r>
      <w:r w:rsidRPr="007F400A">
        <w:rPr>
          <w:rFonts w:ascii="Times New Roman" w:eastAsia="Times New Roman" w:hAnsi="Times New Roman" w:cs="Times New Roman"/>
          <w:sz w:val="24"/>
          <w:szCs w:val="24"/>
          <w:lang w:eastAsia="pl-PL"/>
        </w:rPr>
        <w:t xml:space="preserve"> inspektorzy stwierdzali naruszenia mogące spowodować zagrożenie lub zanieczyszczenie środowiska takie jak np.: </w:t>
      </w:r>
      <w:r w:rsidR="0017325A" w:rsidRPr="007F400A">
        <w:rPr>
          <w:rFonts w:ascii="Times New Roman" w:eastAsia="Calibri" w:hAnsi="Times New Roman" w:cs="Times New Roman"/>
          <w:sz w:val="24"/>
          <w:szCs w:val="20"/>
          <w:lang w:val="x-none" w:eastAsia="pl-PL"/>
        </w:rPr>
        <w:t xml:space="preserve">odprowadzanie </w:t>
      </w:r>
      <w:r w:rsidR="0017325A">
        <w:rPr>
          <w:rFonts w:ascii="Times New Roman" w:eastAsia="Calibri" w:hAnsi="Times New Roman" w:cs="Times New Roman"/>
          <w:sz w:val="24"/>
          <w:szCs w:val="20"/>
          <w:lang w:eastAsia="pl-PL"/>
        </w:rPr>
        <w:t xml:space="preserve">nieoczyszczonych </w:t>
      </w:r>
      <w:r w:rsidR="0017325A" w:rsidRPr="007F400A">
        <w:rPr>
          <w:rFonts w:ascii="Times New Roman" w:eastAsia="Calibri" w:hAnsi="Times New Roman" w:cs="Times New Roman"/>
          <w:sz w:val="24"/>
          <w:szCs w:val="20"/>
          <w:lang w:val="x-none" w:eastAsia="pl-PL"/>
        </w:rPr>
        <w:t>ścieków</w:t>
      </w:r>
      <w:r w:rsidR="0017325A">
        <w:rPr>
          <w:rFonts w:ascii="Times New Roman" w:eastAsia="Calibri" w:hAnsi="Times New Roman" w:cs="Times New Roman"/>
          <w:sz w:val="24"/>
          <w:szCs w:val="20"/>
          <w:lang w:eastAsia="pl-PL"/>
        </w:rPr>
        <w:t xml:space="preserve"> </w:t>
      </w:r>
      <w:r w:rsidR="0017325A" w:rsidRPr="007F400A">
        <w:rPr>
          <w:rFonts w:ascii="Times New Roman" w:eastAsia="Calibri" w:hAnsi="Times New Roman" w:cs="Times New Roman"/>
          <w:sz w:val="24"/>
          <w:szCs w:val="20"/>
          <w:lang w:val="x-none" w:eastAsia="pl-PL"/>
        </w:rPr>
        <w:t xml:space="preserve">do </w:t>
      </w:r>
      <w:r w:rsidR="0017325A">
        <w:rPr>
          <w:rFonts w:ascii="Times New Roman" w:eastAsia="Calibri" w:hAnsi="Times New Roman" w:cs="Times New Roman"/>
          <w:sz w:val="24"/>
          <w:szCs w:val="20"/>
          <w:lang w:eastAsia="pl-PL"/>
        </w:rPr>
        <w:t xml:space="preserve">wód powierzchniowych, </w:t>
      </w:r>
      <w:r w:rsidR="0017325A" w:rsidRPr="007F400A">
        <w:rPr>
          <w:rFonts w:ascii="Times New Roman" w:eastAsia="Calibri" w:hAnsi="Times New Roman" w:cs="Times New Roman"/>
          <w:sz w:val="24"/>
          <w:szCs w:val="20"/>
          <w:lang w:val="x-none" w:eastAsia="pl-PL"/>
        </w:rPr>
        <w:t>przekroczenie dopuszczalnych wartości wskaźników zanieczyszczeń w</w:t>
      </w:r>
      <w:r w:rsidR="0017325A" w:rsidRPr="007F400A">
        <w:rPr>
          <w:rFonts w:ascii="Times New Roman" w:eastAsia="Calibri" w:hAnsi="Times New Roman" w:cs="Times New Roman"/>
          <w:sz w:val="24"/>
          <w:szCs w:val="20"/>
          <w:lang w:eastAsia="pl-PL"/>
        </w:rPr>
        <w:t> </w:t>
      </w:r>
      <w:r w:rsidR="0017325A" w:rsidRPr="007F400A">
        <w:rPr>
          <w:rFonts w:ascii="Times New Roman" w:eastAsia="Calibri" w:hAnsi="Times New Roman" w:cs="Times New Roman"/>
          <w:sz w:val="24"/>
          <w:szCs w:val="20"/>
          <w:lang w:val="x-none" w:eastAsia="pl-PL"/>
        </w:rPr>
        <w:t>ściekach oczyszczonych wprowadzanych do środowiska w zakresie wskaźnika: BZT</w:t>
      </w:r>
      <w:r w:rsidR="0017325A" w:rsidRPr="007759A8">
        <w:rPr>
          <w:rFonts w:ascii="Times New Roman" w:eastAsia="Calibri" w:hAnsi="Times New Roman" w:cs="Times New Roman"/>
          <w:sz w:val="24"/>
          <w:szCs w:val="20"/>
          <w:vertAlign w:val="subscript"/>
          <w:lang w:val="x-none" w:eastAsia="pl-PL"/>
        </w:rPr>
        <w:t>5</w:t>
      </w:r>
      <w:r w:rsidR="0017325A" w:rsidRPr="007F400A">
        <w:rPr>
          <w:rFonts w:ascii="Times New Roman" w:eastAsia="Calibri" w:hAnsi="Times New Roman" w:cs="Times New Roman"/>
          <w:sz w:val="24"/>
          <w:szCs w:val="20"/>
          <w:lang w:val="x-none" w:eastAsia="pl-PL"/>
        </w:rPr>
        <w:t>, ChZT, zawiesiny ogólnej, azotu amonowego, azotu azotynowego</w:t>
      </w:r>
      <w:r w:rsidR="0017325A">
        <w:rPr>
          <w:rFonts w:ascii="Times New Roman" w:eastAsia="Calibri" w:hAnsi="Times New Roman" w:cs="Times New Roman"/>
          <w:sz w:val="24"/>
          <w:szCs w:val="20"/>
          <w:lang w:eastAsia="pl-PL"/>
        </w:rPr>
        <w:t>,</w:t>
      </w:r>
      <w:r w:rsidR="0017325A" w:rsidRPr="007F400A">
        <w:rPr>
          <w:rFonts w:ascii="Times New Roman" w:eastAsia="Calibri" w:hAnsi="Times New Roman" w:cs="Times New Roman"/>
          <w:sz w:val="24"/>
          <w:szCs w:val="20"/>
          <w:lang w:val="x-none" w:eastAsia="pl-PL"/>
        </w:rPr>
        <w:t xml:space="preserve"> azotu ogólnego, fosforu ogólnego, </w:t>
      </w:r>
      <w:r w:rsidR="0017325A" w:rsidRPr="0017325A">
        <w:rPr>
          <w:rFonts w:ascii="Times New Roman" w:hAnsi="Times New Roman" w:cs="Times New Roman"/>
          <w:sz w:val="24"/>
        </w:rPr>
        <w:t>nieprzechowywanie nawozów naturalnych w sposób bezpieczny dla środowiska, zapobiegający przedostawaniu się odcieków do wód i gruntu lub przekroczenie dopuszczalnego poziomu emisji hałasu do środowiska</w:t>
      </w:r>
      <w:r w:rsidR="0017325A">
        <w:rPr>
          <w:rFonts w:ascii="Times New Roman" w:hAnsi="Times New Roman" w:cs="Times New Roman"/>
          <w:sz w:val="24"/>
        </w:rPr>
        <w:t>.</w:t>
      </w:r>
    </w:p>
    <w:p w14:paraId="0FD101C2" w14:textId="70E44A09" w:rsidR="00895F16" w:rsidRDefault="0017325A" w:rsidP="00D80FBD">
      <w:pPr>
        <w:spacing w:after="0" w:line="300" w:lineRule="atLeast"/>
        <w:ind w:firstLine="567"/>
        <w:jc w:val="both"/>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Do najczęściej podawanych p</w:t>
      </w:r>
      <w:r w:rsidR="00895F16" w:rsidRPr="007F400A">
        <w:rPr>
          <w:rFonts w:ascii="Times New Roman" w:eastAsia="Times New Roman" w:hAnsi="Times New Roman" w:cs="Times New Roman"/>
          <w:sz w:val="24"/>
          <w:szCs w:val="24"/>
          <w:lang w:eastAsia="pl-PL"/>
        </w:rPr>
        <w:t xml:space="preserve">rzyczyn </w:t>
      </w:r>
      <w:r w:rsidR="00F51560">
        <w:rPr>
          <w:rFonts w:ascii="Times New Roman" w:eastAsia="Times New Roman" w:hAnsi="Times New Roman" w:cs="Times New Roman"/>
          <w:sz w:val="24"/>
          <w:szCs w:val="24"/>
          <w:lang w:eastAsia="pl-PL"/>
        </w:rPr>
        <w:t xml:space="preserve">naruszeń </w:t>
      </w:r>
      <w:r w:rsidR="00895F16" w:rsidRPr="007F400A">
        <w:rPr>
          <w:rFonts w:ascii="Times New Roman" w:eastAsia="Times New Roman" w:hAnsi="Times New Roman" w:cs="Times New Roman"/>
          <w:sz w:val="24"/>
          <w:szCs w:val="24"/>
          <w:lang w:eastAsia="pl-PL"/>
        </w:rPr>
        <w:t>stwierdz</w:t>
      </w:r>
      <w:r w:rsidR="00F51560">
        <w:rPr>
          <w:rFonts w:ascii="Times New Roman" w:eastAsia="Times New Roman" w:hAnsi="Times New Roman" w:cs="Times New Roman"/>
          <w:sz w:val="24"/>
          <w:szCs w:val="24"/>
          <w:lang w:eastAsia="pl-PL"/>
        </w:rPr>
        <w:t>a</w:t>
      </w:r>
      <w:r w:rsidR="00895F16" w:rsidRPr="007F400A">
        <w:rPr>
          <w:rFonts w:ascii="Times New Roman" w:eastAsia="Times New Roman" w:hAnsi="Times New Roman" w:cs="Times New Roman"/>
          <w:sz w:val="24"/>
          <w:szCs w:val="24"/>
          <w:lang w:eastAsia="pl-PL"/>
        </w:rPr>
        <w:t xml:space="preserve">nych podczas kontroli </w:t>
      </w:r>
      <w:r w:rsidR="00F51560">
        <w:rPr>
          <w:rFonts w:ascii="Times New Roman" w:eastAsia="Times New Roman" w:hAnsi="Times New Roman" w:cs="Times New Roman"/>
          <w:sz w:val="24"/>
          <w:szCs w:val="24"/>
          <w:lang w:eastAsia="pl-PL"/>
        </w:rPr>
        <w:t xml:space="preserve">należały </w:t>
      </w:r>
      <w:r w:rsidR="00895F16" w:rsidRPr="007F400A">
        <w:rPr>
          <w:rFonts w:ascii="Times New Roman" w:eastAsia="Times New Roman" w:hAnsi="Times New Roman" w:cs="Times New Roman"/>
          <w:sz w:val="24"/>
          <w:szCs w:val="24"/>
          <w:lang w:eastAsia="pl-PL"/>
        </w:rPr>
        <w:t xml:space="preserve">m.in.: liczne zmiany w prawie, nieznajomość lub niezrozumienie przepisów, brak pracownika odpowiedzialnego za prowadzenie dokumentacji oraz spraw związanych z korzystaniem ze środowiska, </w:t>
      </w:r>
      <w:r w:rsidR="00F51560" w:rsidRPr="00DE5A41">
        <w:rPr>
          <w:rFonts w:ascii="Times New Roman" w:eastAsia="Calibri" w:hAnsi="Times New Roman" w:cs="Times New Roman"/>
          <w:sz w:val="24"/>
          <w:szCs w:val="24"/>
          <w:lang w:val="x-none" w:eastAsia="pl-PL"/>
        </w:rPr>
        <w:t>trudności z obsługą bazy BDO w zakresie ewidencjonowania odpadów i</w:t>
      </w:r>
      <w:r w:rsidR="00F51560" w:rsidRPr="00DE5A41">
        <w:rPr>
          <w:rFonts w:ascii="Times New Roman" w:eastAsia="Calibri" w:hAnsi="Times New Roman" w:cs="Times New Roman"/>
          <w:sz w:val="24"/>
          <w:szCs w:val="24"/>
          <w:lang w:eastAsia="pl-PL"/>
        </w:rPr>
        <w:t> </w:t>
      </w:r>
      <w:r w:rsidR="00F51560" w:rsidRPr="00DE5A41">
        <w:rPr>
          <w:rFonts w:ascii="Times New Roman" w:eastAsia="Calibri" w:hAnsi="Times New Roman" w:cs="Times New Roman"/>
          <w:sz w:val="24"/>
          <w:szCs w:val="24"/>
          <w:lang w:val="x-none" w:eastAsia="pl-PL"/>
        </w:rPr>
        <w:t>dokonywania wymaganych wpisów</w:t>
      </w:r>
      <w:r w:rsidR="00F51560" w:rsidRPr="007F400A">
        <w:rPr>
          <w:rFonts w:ascii="Times New Roman" w:eastAsia="Times New Roman" w:hAnsi="Times New Roman" w:cs="Times New Roman"/>
          <w:sz w:val="24"/>
          <w:szCs w:val="24"/>
          <w:lang w:eastAsia="pl-PL"/>
        </w:rPr>
        <w:t xml:space="preserve"> </w:t>
      </w:r>
      <w:r w:rsidR="00F51560">
        <w:rPr>
          <w:rFonts w:ascii="Times New Roman" w:eastAsia="Times New Roman" w:hAnsi="Times New Roman" w:cs="Times New Roman"/>
          <w:sz w:val="24"/>
          <w:szCs w:val="24"/>
          <w:lang w:eastAsia="pl-PL"/>
        </w:rPr>
        <w:t xml:space="preserve">oraz </w:t>
      </w:r>
      <w:r w:rsidR="00895F16" w:rsidRPr="007F400A">
        <w:rPr>
          <w:rFonts w:ascii="Times New Roman" w:eastAsia="Times New Roman" w:hAnsi="Times New Roman" w:cs="Times New Roman"/>
          <w:sz w:val="24"/>
          <w:szCs w:val="24"/>
          <w:lang w:eastAsia="pl-PL"/>
        </w:rPr>
        <w:t>brak dostatecznych środków finansowych na przeprowadzenie koniecznych konserwacji, remontów i modernizacji instalacji.</w:t>
      </w:r>
    </w:p>
    <w:p w14:paraId="00B3C140" w14:textId="355A7521" w:rsidR="00977637" w:rsidRPr="00887635" w:rsidRDefault="00F51560" w:rsidP="00D80FBD">
      <w:pPr>
        <w:spacing w:after="0" w:line="300" w:lineRule="atLeast"/>
        <w:ind w:firstLine="567"/>
        <w:jc w:val="both"/>
        <w:rPr>
          <w:rFonts w:ascii="Times New Roman" w:eastAsia="Times New Roman" w:hAnsi="Times New Roman" w:cs="Times New Roman"/>
          <w:sz w:val="24"/>
          <w:szCs w:val="24"/>
        </w:rPr>
      </w:pPr>
      <w:r w:rsidRPr="003F21F0">
        <w:rPr>
          <w:rFonts w:ascii="Times New Roman" w:eastAsia="Times New Roman" w:hAnsi="Times New Roman" w:cs="Times New Roman"/>
          <w:bCs/>
          <w:sz w:val="24"/>
          <w:szCs w:val="24"/>
        </w:rPr>
        <w:t xml:space="preserve">W związku z naruszeniami wymagań ochrony środowiska stwierdzonymi w wyniku przeprowadzonych kontroli wojewódzcy inspektorzy </w:t>
      </w:r>
      <w:r w:rsidRPr="003F21F0">
        <w:rPr>
          <w:rFonts w:ascii="Times New Roman" w:eastAsia="Times New Roman" w:hAnsi="Times New Roman" w:cs="Times New Roman"/>
          <w:sz w:val="24"/>
          <w:szCs w:val="24"/>
        </w:rPr>
        <w:t xml:space="preserve">ochrony środowiska </w:t>
      </w:r>
      <w:r w:rsidRPr="003F21F0">
        <w:rPr>
          <w:rFonts w:ascii="Times New Roman" w:eastAsia="Times New Roman" w:hAnsi="Times New Roman" w:cs="Times New Roman"/>
          <w:bCs/>
          <w:sz w:val="24"/>
          <w:szCs w:val="24"/>
        </w:rPr>
        <w:t>zastosowali 24 048 sankcj</w:t>
      </w:r>
      <w:r>
        <w:rPr>
          <w:rFonts w:ascii="Times New Roman" w:eastAsia="Times New Roman" w:hAnsi="Times New Roman" w:cs="Times New Roman"/>
          <w:bCs/>
          <w:sz w:val="24"/>
          <w:szCs w:val="24"/>
        </w:rPr>
        <w:t>i</w:t>
      </w:r>
      <w:r w:rsidRPr="003F21F0">
        <w:rPr>
          <w:rFonts w:ascii="Times New Roman" w:eastAsia="Times New Roman" w:hAnsi="Times New Roman" w:cs="Times New Roman"/>
          <w:bCs/>
          <w:sz w:val="24"/>
          <w:szCs w:val="24"/>
        </w:rPr>
        <w:t xml:space="preserve"> i działa</w:t>
      </w:r>
      <w:r>
        <w:rPr>
          <w:rFonts w:ascii="Times New Roman" w:eastAsia="Times New Roman" w:hAnsi="Times New Roman" w:cs="Times New Roman"/>
          <w:bCs/>
          <w:sz w:val="24"/>
          <w:szCs w:val="24"/>
        </w:rPr>
        <w:t>ń</w:t>
      </w:r>
      <w:r w:rsidRPr="003F21F0">
        <w:rPr>
          <w:rFonts w:ascii="Times New Roman" w:eastAsia="Times New Roman" w:hAnsi="Times New Roman" w:cs="Times New Roman"/>
          <w:bCs/>
          <w:sz w:val="24"/>
          <w:szCs w:val="24"/>
        </w:rPr>
        <w:t xml:space="preserve"> pokontroln</w:t>
      </w:r>
      <w:r>
        <w:rPr>
          <w:rFonts w:ascii="Times New Roman" w:eastAsia="Times New Roman" w:hAnsi="Times New Roman" w:cs="Times New Roman"/>
          <w:bCs/>
          <w:sz w:val="24"/>
          <w:szCs w:val="24"/>
        </w:rPr>
        <w:t>ych</w:t>
      </w:r>
      <w:r w:rsidRPr="003F21F0">
        <w:rPr>
          <w:rFonts w:ascii="Times New Roman" w:eastAsia="Times New Roman" w:hAnsi="Times New Roman" w:cs="Times New Roman"/>
          <w:bCs/>
          <w:sz w:val="24"/>
          <w:szCs w:val="24"/>
        </w:rPr>
        <w:t>.</w:t>
      </w:r>
      <w:r>
        <w:rPr>
          <w:rFonts w:ascii="Times New Roman" w:eastAsia="Times New Roman" w:hAnsi="Times New Roman" w:cs="Times New Roman"/>
          <w:bCs/>
          <w:sz w:val="24"/>
          <w:szCs w:val="24"/>
        </w:rPr>
        <w:t xml:space="preserve"> </w:t>
      </w:r>
      <w:r w:rsidRPr="003F21F0">
        <w:rPr>
          <w:rFonts w:ascii="Times New Roman" w:eastAsia="Times New Roman" w:hAnsi="Times New Roman" w:cs="Times New Roman"/>
          <w:sz w:val="24"/>
          <w:szCs w:val="24"/>
        </w:rPr>
        <w:t>Najczęściej stosowanym działaniem pokontrolnym były wystąpienia do innych organów (5 256), które stanowiły 21,9% wszystkich działań pokontrolnych. Pozostałe sankcje i działania pokontrolne liczbowo przedstawiają się jak poniżej: zarządzenia pokontrolne (5 083), decyzje administracyjne</w:t>
      </w:r>
      <w:r w:rsidRPr="003F21F0">
        <w:rPr>
          <w:rFonts w:ascii="Times New Roman" w:eastAsia="Times New Roman" w:hAnsi="Times New Roman" w:cs="Times New Roman"/>
          <w:color w:val="000000"/>
          <w:sz w:val="24"/>
          <w:szCs w:val="24"/>
        </w:rPr>
        <w:t xml:space="preserve"> o charakterze pieniężnym </w:t>
      </w:r>
      <w:r w:rsidRPr="003F21F0">
        <w:rPr>
          <w:rFonts w:ascii="Times New Roman" w:eastAsia="Times New Roman" w:hAnsi="Times New Roman" w:cs="Times New Roman"/>
          <w:color w:val="000000"/>
          <w:sz w:val="24"/>
          <w:szCs w:val="24"/>
        </w:rPr>
        <w:lastRenderedPageBreak/>
        <w:t>(4 655),</w:t>
      </w:r>
      <w:r w:rsidRPr="003F21F0">
        <w:rPr>
          <w:rFonts w:ascii="Times New Roman" w:eastAsia="Times New Roman" w:hAnsi="Times New Roman" w:cs="Times New Roman"/>
          <w:sz w:val="24"/>
          <w:szCs w:val="24"/>
        </w:rPr>
        <w:t xml:space="preserve"> pouczenia (3 328), postanowienia (2 362), mandaty karne (2 305), wnioski do sądów powszechnych (400), inne decyzje</w:t>
      </w:r>
      <w:r w:rsidRPr="003F21F0">
        <w:rPr>
          <w:rStyle w:val="Odwoanieprzypisudolnego"/>
          <w:rFonts w:eastAsia="Times New Roman" w:cs="Times New Roman"/>
          <w:sz w:val="24"/>
          <w:szCs w:val="24"/>
        </w:rPr>
        <w:footnoteReference w:id="142"/>
      </w:r>
      <w:r w:rsidRPr="003F21F0">
        <w:rPr>
          <w:rFonts w:ascii="Times New Roman" w:eastAsia="Times New Roman" w:hAnsi="Times New Roman" w:cs="Times New Roman"/>
          <w:sz w:val="24"/>
          <w:szCs w:val="24"/>
        </w:rPr>
        <w:t xml:space="preserve"> (374), wnioski do organów ścigania (285)</w:t>
      </w:r>
      <w:r w:rsidR="00977637" w:rsidRPr="00887635">
        <w:rPr>
          <w:rFonts w:ascii="Times New Roman" w:eastAsia="Times New Roman" w:hAnsi="Times New Roman" w:cs="Times New Roman"/>
          <w:sz w:val="24"/>
          <w:szCs w:val="24"/>
        </w:rPr>
        <w:t>.</w:t>
      </w:r>
    </w:p>
    <w:p w14:paraId="253353A6" w14:textId="3E42CDC5" w:rsidR="00895F16" w:rsidRPr="007F400A" w:rsidRDefault="00070053" w:rsidP="00D80FBD">
      <w:pPr>
        <w:spacing w:after="120" w:line="300" w:lineRule="atLeast"/>
        <w:ind w:firstLine="567"/>
        <w:jc w:val="both"/>
        <w:rPr>
          <w:rFonts w:ascii="Times New Roman" w:eastAsia="Times New Roman" w:hAnsi="Times New Roman" w:cs="Times New Roman"/>
          <w:sz w:val="24"/>
          <w:szCs w:val="24"/>
          <w:lang w:eastAsia="pl-PL"/>
        </w:rPr>
      </w:pPr>
      <w:r w:rsidRPr="00070053">
        <w:rPr>
          <w:rFonts w:ascii="Times New Roman" w:hAnsi="Times New Roman" w:cs="Times New Roman"/>
          <w:sz w:val="24"/>
          <w:szCs w:val="24"/>
        </w:rPr>
        <w:t>W 2022 r. do Głównego Inspektoratu Ochrony Środowiska wpłynęło 1</w:t>
      </w:r>
      <w:r>
        <w:rPr>
          <w:rFonts w:ascii="Times New Roman" w:hAnsi="Times New Roman" w:cs="Times New Roman"/>
          <w:sz w:val="24"/>
          <w:szCs w:val="24"/>
        </w:rPr>
        <w:t xml:space="preserve"> </w:t>
      </w:r>
      <w:r w:rsidRPr="00070053">
        <w:rPr>
          <w:rFonts w:ascii="Times New Roman" w:hAnsi="Times New Roman" w:cs="Times New Roman"/>
          <w:sz w:val="24"/>
          <w:szCs w:val="24"/>
        </w:rPr>
        <w:t>866 spraw dotyczących: odwołań od decyzji wojewódzkich inspektorów ochrony środowiska, zażaleń na postanowienia wojewódzkich inspektorów ochrony środowiska, wniosków o stwierdzenie nieważności decyzji wojewódzkich inspektorów ochrony środowiska, wniosków o ponowne rozpatrzenie spraw zakończonych decyzją lub postanowieniem Głównego Inspektora Ochrony Środowiska, ponagleń na działanie wioś, skarg do Wojewódzkiego Sądu Administracyjnego w Warszawie na decyzje lub postanowienia Głównego Inspektora Ochrony Środowiska oraz skarg kasacyjnych złożonych do Naczelnego Sądu Administracyjnego od wyroków Wojewódzkiego Sądu Administracyjnego w Warszawie, zażaleń do Naczelnego Sądu Administracyjnego na postanowienia Wojewódzkiego Sądu Administracyjnego w Warszawie, a także sprzeciwów do Wojewódzkiego Sądu Administracyjnego w Warszawie od decyzji Głównego Inspektora Ochrony Środowiska, skarg na bezczynność lub przewlekłe prowadzenie sprawy przez Głównego Inspektora Ochrony Środowiska</w:t>
      </w:r>
      <w:r>
        <w:rPr>
          <w:rFonts w:ascii="Times New Roman" w:hAnsi="Times New Roman" w:cs="Times New Roman"/>
          <w:sz w:val="24"/>
          <w:szCs w:val="24"/>
        </w:rPr>
        <w:t>.</w:t>
      </w:r>
      <w:r>
        <w:rPr>
          <w:sz w:val="24"/>
          <w:szCs w:val="24"/>
        </w:rPr>
        <w:t xml:space="preserve"> </w:t>
      </w:r>
      <w:r w:rsidR="00895F16" w:rsidRPr="007F400A">
        <w:rPr>
          <w:rFonts w:ascii="Times New Roman" w:eastAsia="Times New Roman" w:hAnsi="Times New Roman" w:cs="Times New Roman"/>
          <w:sz w:val="24"/>
          <w:szCs w:val="24"/>
          <w:lang w:eastAsia="pl-PL"/>
        </w:rPr>
        <w:t>Spośród spraw, które wpłynęły do Głównego Inspektoratu Ochrony Środowiska, najwięcej (</w:t>
      </w:r>
      <w:r>
        <w:rPr>
          <w:rFonts w:ascii="Times New Roman" w:eastAsia="Times New Roman" w:hAnsi="Times New Roman" w:cs="Times New Roman"/>
          <w:sz w:val="24"/>
          <w:szCs w:val="24"/>
          <w:lang w:eastAsia="pl-PL"/>
        </w:rPr>
        <w:t>575</w:t>
      </w:r>
      <w:r w:rsidR="00895F16" w:rsidRPr="007F400A">
        <w:rPr>
          <w:rFonts w:ascii="Times New Roman" w:eastAsia="Times New Roman" w:hAnsi="Times New Roman" w:cs="Times New Roman"/>
          <w:sz w:val="24"/>
          <w:szCs w:val="24"/>
          <w:lang w:eastAsia="pl-PL"/>
        </w:rPr>
        <w:t>) dotyczyło gospodarki odpadami.</w:t>
      </w:r>
      <w:r w:rsidR="004966BE" w:rsidRPr="007F400A">
        <w:rPr>
          <w:rFonts w:ascii="Times New Roman" w:eastAsia="Times New Roman" w:hAnsi="Times New Roman" w:cs="Times New Roman"/>
          <w:sz w:val="24"/>
          <w:szCs w:val="24"/>
          <w:lang w:eastAsia="pl-PL"/>
        </w:rPr>
        <w:t xml:space="preserve"> </w:t>
      </w:r>
    </w:p>
    <w:p w14:paraId="74444ED8" w14:textId="77777777" w:rsidR="00070053" w:rsidRPr="0045427B" w:rsidRDefault="00070053" w:rsidP="00D80FBD">
      <w:pPr>
        <w:spacing w:after="0" w:line="300" w:lineRule="atLeast"/>
        <w:ind w:firstLine="567"/>
        <w:jc w:val="both"/>
        <w:rPr>
          <w:rFonts w:ascii="Times New Roman" w:eastAsia="Times New Roman" w:hAnsi="Times New Roman" w:cs="Times New Roman"/>
          <w:color w:val="000000" w:themeColor="text1"/>
          <w:sz w:val="24"/>
          <w:szCs w:val="24"/>
        </w:rPr>
      </w:pPr>
      <w:r w:rsidRPr="0045427B">
        <w:rPr>
          <w:rFonts w:ascii="Times New Roman" w:hAnsi="Times New Roman" w:cs="Times New Roman"/>
          <w:bCs/>
          <w:color w:val="000000" w:themeColor="text1"/>
          <w:sz w:val="24"/>
          <w:szCs w:val="24"/>
        </w:rPr>
        <w:t xml:space="preserve">W 2022 r. wydano ogółem 202 decyzje (w 2021 r. – 209 decyzji), z których 143 </w:t>
      </w:r>
      <w:r w:rsidRPr="0045427B">
        <w:rPr>
          <w:rFonts w:ascii="Times New Roman" w:hAnsi="Times New Roman" w:cs="Times New Roman"/>
          <w:bCs/>
          <w:color w:val="000000" w:themeColor="text1"/>
          <w:sz w:val="24"/>
          <w:szCs w:val="24"/>
        </w:rPr>
        <w:br/>
        <w:t>(w 2021 r. – 157) dotyczyły przemieszczania odpadów niebezpiecznych</w:t>
      </w:r>
      <w:r w:rsidRPr="0045427B">
        <w:rPr>
          <w:rFonts w:ascii="Times New Roman" w:eastAsia="Times New Roman" w:hAnsi="Times New Roman" w:cs="Times New Roman"/>
          <w:color w:val="000000" w:themeColor="text1"/>
          <w:sz w:val="24"/>
          <w:szCs w:val="24"/>
        </w:rPr>
        <w:t>.</w:t>
      </w:r>
    </w:p>
    <w:p w14:paraId="343A7201" w14:textId="7B91A921" w:rsidR="00BA5CDE" w:rsidRPr="007F400A" w:rsidRDefault="00070053" w:rsidP="00D80FBD">
      <w:pPr>
        <w:spacing w:after="0" w:line="300" w:lineRule="atLeast"/>
        <w:ind w:firstLine="567"/>
        <w:jc w:val="both"/>
        <w:rPr>
          <w:rFonts w:ascii="Times New Roman" w:eastAsia="Times New Roman" w:hAnsi="Times New Roman" w:cs="Times New Roman"/>
          <w:sz w:val="24"/>
          <w:szCs w:val="24"/>
          <w:lang w:eastAsia="pl-PL"/>
        </w:rPr>
      </w:pPr>
      <w:r>
        <w:rPr>
          <w:rFonts w:ascii="Times New Roman" w:hAnsi="Times New Roman" w:cs="Times New Roman"/>
          <w:bCs/>
          <w:color w:val="000000" w:themeColor="text1"/>
          <w:sz w:val="24"/>
          <w:szCs w:val="24"/>
        </w:rPr>
        <w:t xml:space="preserve">W roku 2022 </w:t>
      </w:r>
      <w:r w:rsidRPr="0045427B">
        <w:rPr>
          <w:rFonts w:ascii="Times New Roman" w:hAnsi="Times New Roman" w:cs="Times New Roman"/>
          <w:bCs/>
          <w:color w:val="000000" w:themeColor="text1"/>
          <w:sz w:val="24"/>
          <w:szCs w:val="24"/>
        </w:rPr>
        <w:t>liczb</w:t>
      </w:r>
      <w:r>
        <w:rPr>
          <w:rFonts w:ascii="Times New Roman" w:hAnsi="Times New Roman" w:cs="Times New Roman"/>
          <w:bCs/>
          <w:color w:val="000000" w:themeColor="text1"/>
          <w:sz w:val="24"/>
          <w:szCs w:val="24"/>
        </w:rPr>
        <w:t>a</w:t>
      </w:r>
      <w:r w:rsidRPr="0045427B">
        <w:rPr>
          <w:rFonts w:ascii="Times New Roman" w:hAnsi="Times New Roman" w:cs="Times New Roman"/>
          <w:bCs/>
          <w:color w:val="000000" w:themeColor="text1"/>
          <w:sz w:val="24"/>
          <w:szCs w:val="24"/>
        </w:rPr>
        <w:t xml:space="preserve"> wydanych decyzji (202) był</w:t>
      </w:r>
      <w:r>
        <w:rPr>
          <w:rFonts w:ascii="Times New Roman" w:hAnsi="Times New Roman" w:cs="Times New Roman"/>
          <w:bCs/>
          <w:color w:val="000000" w:themeColor="text1"/>
          <w:sz w:val="24"/>
          <w:szCs w:val="24"/>
        </w:rPr>
        <w:t>a</w:t>
      </w:r>
      <w:r w:rsidRPr="0045427B">
        <w:rPr>
          <w:rFonts w:ascii="Times New Roman" w:hAnsi="Times New Roman" w:cs="Times New Roman"/>
          <w:bCs/>
          <w:color w:val="000000" w:themeColor="text1"/>
          <w:sz w:val="24"/>
          <w:szCs w:val="24"/>
        </w:rPr>
        <w:t xml:space="preserve"> </w:t>
      </w:r>
      <w:r>
        <w:rPr>
          <w:rFonts w:ascii="Times New Roman" w:hAnsi="Times New Roman" w:cs="Times New Roman"/>
          <w:bCs/>
          <w:color w:val="000000" w:themeColor="text1"/>
          <w:sz w:val="24"/>
          <w:szCs w:val="24"/>
        </w:rPr>
        <w:t xml:space="preserve">zbliżona </w:t>
      </w:r>
      <w:r w:rsidRPr="0045427B">
        <w:rPr>
          <w:rFonts w:ascii="Times New Roman" w:hAnsi="Times New Roman" w:cs="Times New Roman"/>
          <w:bCs/>
          <w:color w:val="000000" w:themeColor="text1"/>
          <w:sz w:val="24"/>
          <w:szCs w:val="24"/>
        </w:rPr>
        <w:t xml:space="preserve">do </w:t>
      </w:r>
      <w:r>
        <w:rPr>
          <w:rFonts w:ascii="Times New Roman" w:hAnsi="Times New Roman" w:cs="Times New Roman"/>
          <w:bCs/>
          <w:color w:val="000000" w:themeColor="text1"/>
          <w:sz w:val="24"/>
          <w:szCs w:val="24"/>
        </w:rPr>
        <w:t xml:space="preserve">liczby decyzji wydanych w </w:t>
      </w:r>
      <w:r w:rsidRPr="0045427B">
        <w:rPr>
          <w:rFonts w:ascii="Times New Roman" w:hAnsi="Times New Roman" w:cs="Times New Roman"/>
          <w:bCs/>
          <w:color w:val="000000" w:themeColor="text1"/>
          <w:sz w:val="24"/>
          <w:szCs w:val="24"/>
        </w:rPr>
        <w:t>roku 2021 (209)</w:t>
      </w:r>
      <w:r w:rsidR="00BA5CDE" w:rsidRPr="007F400A">
        <w:rPr>
          <w:rFonts w:ascii="Times New Roman" w:eastAsia="Times New Roman" w:hAnsi="Times New Roman" w:cs="Times New Roman"/>
          <w:color w:val="000000"/>
          <w:sz w:val="24"/>
          <w:szCs w:val="24"/>
        </w:rPr>
        <w:t>.</w:t>
      </w:r>
    </w:p>
    <w:p w14:paraId="16C287F4" w14:textId="78732857" w:rsidR="00895F16" w:rsidRPr="007F400A" w:rsidRDefault="00895F16" w:rsidP="00D80FBD">
      <w:pPr>
        <w:spacing w:after="0" w:line="300" w:lineRule="atLeast"/>
        <w:ind w:firstLine="567"/>
        <w:jc w:val="both"/>
        <w:rPr>
          <w:rFonts w:ascii="Times New Roman" w:eastAsia="Times New Roman" w:hAnsi="Times New Roman" w:cs="Times New Roman"/>
          <w:sz w:val="24"/>
          <w:szCs w:val="24"/>
          <w:lang w:eastAsia="pl-PL"/>
        </w:rPr>
      </w:pPr>
      <w:r w:rsidRPr="007F400A">
        <w:rPr>
          <w:rFonts w:ascii="Times New Roman" w:eastAsia="Times New Roman" w:hAnsi="Times New Roman" w:cs="Times New Roman"/>
          <w:sz w:val="24"/>
          <w:szCs w:val="24"/>
          <w:lang w:eastAsia="pl-PL"/>
        </w:rPr>
        <w:t>Główny Inspektor Ochrony Środowiska</w:t>
      </w:r>
      <w:r w:rsidR="00E55722" w:rsidRPr="007F400A">
        <w:rPr>
          <w:rFonts w:ascii="Times New Roman" w:eastAsia="Times New Roman" w:hAnsi="Times New Roman" w:cs="Times New Roman"/>
          <w:sz w:val="24"/>
          <w:szCs w:val="24"/>
          <w:lang w:eastAsia="pl-PL"/>
        </w:rPr>
        <w:t xml:space="preserve"> w 202</w:t>
      </w:r>
      <w:r w:rsidR="00070053">
        <w:rPr>
          <w:rFonts w:ascii="Times New Roman" w:eastAsia="Times New Roman" w:hAnsi="Times New Roman" w:cs="Times New Roman"/>
          <w:sz w:val="24"/>
          <w:szCs w:val="24"/>
          <w:lang w:eastAsia="pl-PL"/>
        </w:rPr>
        <w:t>2</w:t>
      </w:r>
      <w:r w:rsidR="00E55722" w:rsidRPr="007F400A">
        <w:rPr>
          <w:rFonts w:ascii="Times New Roman" w:eastAsia="Times New Roman" w:hAnsi="Times New Roman" w:cs="Times New Roman"/>
          <w:sz w:val="24"/>
          <w:szCs w:val="24"/>
          <w:lang w:eastAsia="pl-PL"/>
        </w:rPr>
        <w:t xml:space="preserve"> r. </w:t>
      </w:r>
      <w:r w:rsidRPr="007F400A">
        <w:rPr>
          <w:rFonts w:ascii="Times New Roman" w:eastAsia="Times New Roman" w:hAnsi="Times New Roman" w:cs="Times New Roman"/>
          <w:sz w:val="24"/>
          <w:szCs w:val="24"/>
          <w:lang w:eastAsia="pl-PL"/>
        </w:rPr>
        <w:t xml:space="preserve">wydał </w:t>
      </w:r>
      <w:r w:rsidR="00070053">
        <w:rPr>
          <w:rFonts w:ascii="Times New Roman" w:eastAsia="Times New Roman" w:hAnsi="Times New Roman" w:cs="Times New Roman"/>
          <w:sz w:val="24"/>
          <w:szCs w:val="24"/>
          <w:lang w:eastAsia="pl-PL"/>
        </w:rPr>
        <w:t>59</w:t>
      </w:r>
      <w:r w:rsidRPr="007F400A">
        <w:rPr>
          <w:rFonts w:ascii="Times New Roman" w:eastAsia="Times New Roman" w:hAnsi="Times New Roman" w:cs="Times New Roman"/>
          <w:sz w:val="24"/>
          <w:szCs w:val="24"/>
          <w:lang w:eastAsia="pl-PL"/>
        </w:rPr>
        <w:t xml:space="preserve"> (w 202</w:t>
      </w:r>
      <w:r w:rsidR="00070053">
        <w:rPr>
          <w:rFonts w:ascii="Times New Roman" w:eastAsia="Times New Roman" w:hAnsi="Times New Roman" w:cs="Times New Roman"/>
          <w:sz w:val="24"/>
          <w:szCs w:val="24"/>
          <w:lang w:eastAsia="pl-PL"/>
        </w:rPr>
        <w:t>1</w:t>
      </w:r>
      <w:r w:rsidRPr="007F400A">
        <w:rPr>
          <w:rFonts w:ascii="Times New Roman" w:eastAsia="Times New Roman" w:hAnsi="Times New Roman" w:cs="Times New Roman"/>
          <w:sz w:val="24"/>
          <w:szCs w:val="24"/>
          <w:lang w:eastAsia="pl-PL"/>
        </w:rPr>
        <w:t xml:space="preserve"> r. – </w:t>
      </w:r>
      <w:r w:rsidR="00070053">
        <w:rPr>
          <w:rFonts w:ascii="Times New Roman" w:eastAsia="Times New Roman" w:hAnsi="Times New Roman" w:cs="Times New Roman"/>
          <w:sz w:val="24"/>
          <w:szCs w:val="24"/>
          <w:lang w:eastAsia="pl-PL"/>
        </w:rPr>
        <w:t>74</w:t>
      </w:r>
      <w:r w:rsidRPr="007F400A">
        <w:rPr>
          <w:rFonts w:ascii="Times New Roman" w:eastAsia="Times New Roman" w:hAnsi="Times New Roman" w:cs="Times New Roman"/>
          <w:sz w:val="24"/>
          <w:szCs w:val="24"/>
          <w:lang w:eastAsia="pl-PL"/>
        </w:rPr>
        <w:t xml:space="preserve">) decyzji dotyczących przywozu odpadów do instalacji zlokalizowanych na terenie Polski, w tym </w:t>
      </w:r>
      <w:r w:rsidR="00FA48FC" w:rsidRPr="00D53250">
        <w:rPr>
          <w:rFonts w:ascii="Times New Roman" w:hAnsi="Times New Roman" w:cs="Times New Roman"/>
          <w:bCs/>
          <w:sz w:val="24"/>
          <w:szCs w:val="24"/>
        </w:rPr>
        <w:t xml:space="preserve">55 zezwoleń na przywóz odpadów, z których 48 dotyczyło odpadów niebezpiecznych oraz </w:t>
      </w:r>
      <w:r w:rsidR="00FA48FC">
        <w:rPr>
          <w:rFonts w:ascii="Times New Roman" w:hAnsi="Times New Roman" w:cs="Times New Roman"/>
          <w:bCs/>
          <w:sz w:val="24"/>
          <w:szCs w:val="24"/>
        </w:rPr>
        <w:br/>
      </w:r>
      <w:r w:rsidR="00FA48FC" w:rsidRPr="00D53250">
        <w:rPr>
          <w:rFonts w:ascii="Times New Roman" w:hAnsi="Times New Roman" w:cs="Times New Roman"/>
          <w:bCs/>
          <w:sz w:val="24"/>
          <w:szCs w:val="24"/>
        </w:rPr>
        <w:t>4 decyzje sprzeciwiające się przywozowi odpadów. Zezwolenia oraz sprzeciwy dotyczyły głównie przywozu odpadów z krajów Unii Europejskiej</w:t>
      </w:r>
      <w:r w:rsidR="00AF6A0D" w:rsidRPr="007F400A">
        <w:rPr>
          <w:rFonts w:ascii="Times New Roman" w:hAnsi="Times New Roman" w:cs="Times New Roman"/>
          <w:color w:val="000000"/>
          <w:sz w:val="24"/>
          <w:szCs w:val="24"/>
        </w:rPr>
        <w:t>.</w:t>
      </w:r>
      <w:r w:rsidRPr="007F400A">
        <w:rPr>
          <w:rFonts w:ascii="Times New Roman" w:eastAsia="Times New Roman" w:hAnsi="Times New Roman" w:cs="Times New Roman"/>
          <w:sz w:val="24"/>
          <w:szCs w:val="24"/>
          <w:lang w:eastAsia="pl-PL"/>
        </w:rPr>
        <w:t xml:space="preserve"> W ramach realizacji zezwoleń GIOŚ na przywóz odpadów, w 2021 r. </w:t>
      </w:r>
      <w:r w:rsidRPr="007F400A">
        <w:rPr>
          <w:rFonts w:ascii="Times New Roman" w:eastAsia="Times New Roman" w:hAnsi="Times New Roman" w:cs="Times New Roman"/>
          <w:color w:val="000000"/>
          <w:sz w:val="24"/>
          <w:szCs w:val="24"/>
          <w:lang w:eastAsia="pl-PL"/>
        </w:rPr>
        <w:t>przywieziono do Polski ok. 3</w:t>
      </w:r>
      <w:r w:rsidR="00FA48FC">
        <w:rPr>
          <w:rFonts w:ascii="Times New Roman" w:eastAsia="Times New Roman" w:hAnsi="Times New Roman" w:cs="Times New Roman"/>
          <w:color w:val="000000"/>
          <w:sz w:val="24"/>
          <w:szCs w:val="24"/>
          <w:lang w:eastAsia="pl-PL"/>
        </w:rPr>
        <w:t>33</w:t>
      </w:r>
      <w:r w:rsidRPr="007F400A">
        <w:rPr>
          <w:rFonts w:ascii="Times New Roman" w:eastAsia="Times New Roman" w:hAnsi="Times New Roman" w:cs="Times New Roman"/>
          <w:color w:val="000000"/>
          <w:sz w:val="24"/>
          <w:szCs w:val="24"/>
          <w:lang w:eastAsia="pl-PL"/>
        </w:rPr>
        <w:t xml:space="preserve"> tys. </w:t>
      </w:r>
      <w:r w:rsidR="00ED02EA" w:rsidRPr="007F400A">
        <w:rPr>
          <w:rFonts w:ascii="Times New Roman" w:eastAsia="Times New Roman" w:hAnsi="Times New Roman" w:cs="Times New Roman"/>
          <w:color w:val="000000"/>
          <w:sz w:val="24"/>
          <w:szCs w:val="24"/>
          <w:lang w:eastAsia="pl-PL"/>
        </w:rPr>
        <w:t xml:space="preserve">Mg </w:t>
      </w:r>
      <w:r w:rsidRPr="007F400A">
        <w:rPr>
          <w:rFonts w:ascii="Times New Roman" w:eastAsia="Times New Roman" w:hAnsi="Times New Roman" w:cs="Times New Roman"/>
          <w:color w:val="000000"/>
          <w:sz w:val="24"/>
          <w:szCs w:val="24"/>
          <w:lang w:eastAsia="pl-PL"/>
        </w:rPr>
        <w:t>odpadów</w:t>
      </w:r>
      <w:r w:rsidR="00ED02EA" w:rsidRPr="007F400A">
        <w:rPr>
          <w:rFonts w:ascii="Times New Roman" w:eastAsia="Times New Roman" w:hAnsi="Times New Roman" w:cs="Times New Roman"/>
          <w:color w:val="000000"/>
          <w:sz w:val="24"/>
          <w:szCs w:val="24"/>
          <w:lang w:eastAsia="pl-PL"/>
        </w:rPr>
        <w:t xml:space="preserve"> (3</w:t>
      </w:r>
      <w:r w:rsidR="00FA48FC">
        <w:rPr>
          <w:rFonts w:ascii="Times New Roman" w:eastAsia="Times New Roman" w:hAnsi="Times New Roman" w:cs="Times New Roman"/>
          <w:color w:val="000000"/>
          <w:sz w:val="24"/>
          <w:szCs w:val="24"/>
          <w:lang w:eastAsia="pl-PL"/>
        </w:rPr>
        <w:t>5</w:t>
      </w:r>
      <w:r w:rsidR="00ED02EA" w:rsidRPr="007F400A">
        <w:rPr>
          <w:rFonts w:ascii="Times New Roman" w:eastAsia="Times New Roman" w:hAnsi="Times New Roman" w:cs="Times New Roman"/>
          <w:color w:val="000000"/>
          <w:sz w:val="24"/>
          <w:szCs w:val="24"/>
          <w:lang w:eastAsia="pl-PL"/>
        </w:rPr>
        <w:t>1 tys. Mg</w:t>
      </w:r>
      <w:r w:rsidR="00FA48FC">
        <w:rPr>
          <w:rFonts w:ascii="Times New Roman" w:eastAsia="Times New Roman" w:hAnsi="Times New Roman" w:cs="Times New Roman"/>
          <w:color w:val="000000"/>
          <w:sz w:val="24"/>
          <w:szCs w:val="24"/>
          <w:lang w:eastAsia="pl-PL"/>
        </w:rPr>
        <w:t xml:space="preserve"> </w:t>
      </w:r>
      <w:r w:rsidR="00ED02EA" w:rsidRPr="007F400A">
        <w:rPr>
          <w:rFonts w:ascii="Times New Roman" w:eastAsia="Times New Roman" w:hAnsi="Times New Roman" w:cs="Times New Roman"/>
          <w:color w:val="000000"/>
          <w:sz w:val="24"/>
          <w:szCs w:val="24"/>
          <w:lang w:eastAsia="pl-PL"/>
        </w:rPr>
        <w:t>w 202</w:t>
      </w:r>
      <w:r w:rsidR="00FA48FC">
        <w:rPr>
          <w:rFonts w:ascii="Times New Roman" w:eastAsia="Times New Roman" w:hAnsi="Times New Roman" w:cs="Times New Roman"/>
          <w:color w:val="000000"/>
          <w:sz w:val="24"/>
          <w:szCs w:val="24"/>
          <w:lang w:eastAsia="pl-PL"/>
        </w:rPr>
        <w:t>1</w:t>
      </w:r>
      <w:r w:rsidR="00ED02EA" w:rsidRPr="007F400A">
        <w:rPr>
          <w:rFonts w:ascii="Times New Roman" w:eastAsia="Times New Roman" w:hAnsi="Times New Roman" w:cs="Times New Roman"/>
          <w:color w:val="000000"/>
          <w:sz w:val="24"/>
          <w:szCs w:val="24"/>
          <w:lang w:eastAsia="pl-PL"/>
        </w:rPr>
        <w:t xml:space="preserve"> r.)</w:t>
      </w:r>
      <w:r w:rsidRPr="007F400A">
        <w:rPr>
          <w:rFonts w:ascii="Times New Roman" w:eastAsia="Times New Roman" w:hAnsi="Times New Roman" w:cs="Times New Roman"/>
          <w:color w:val="000000"/>
          <w:sz w:val="24"/>
          <w:szCs w:val="24"/>
          <w:lang w:eastAsia="pl-PL"/>
        </w:rPr>
        <w:t xml:space="preserve">, co oznacza, że </w:t>
      </w:r>
      <w:r w:rsidR="00FA48FC">
        <w:rPr>
          <w:rFonts w:ascii="Times New Roman" w:hAnsi="Times New Roman" w:cs="Times New Roman"/>
          <w:bCs/>
          <w:sz w:val="24"/>
          <w:szCs w:val="24"/>
        </w:rPr>
        <w:t>p</w:t>
      </w:r>
      <w:r w:rsidR="00FA48FC" w:rsidRPr="00D53250">
        <w:rPr>
          <w:rFonts w:ascii="Times New Roman" w:hAnsi="Times New Roman" w:cs="Times New Roman"/>
          <w:bCs/>
          <w:sz w:val="24"/>
          <w:szCs w:val="24"/>
          <w:lang w:val="x-none"/>
        </w:rPr>
        <w:t>o raz czwarty od 2013 r. zaobserwowano spadek ilości sprowadzanych odpadów w stosunku do roku poprzedniego (o 9,4%)</w:t>
      </w:r>
      <w:r w:rsidRPr="007F400A">
        <w:rPr>
          <w:rFonts w:ascii="Times New Roman" w:eastAsia="Times New Roman" w:hAnsi="Times New Roman" w:cs="Times New Roman"/>
          <w:sz w:val="24"/>
          <w:szCs w:val="24"/>
          <w:lang w:eastAsia="pl-PL"/>
        </w:rPr>
        <w:t xml:space="preserve">. </w:t>
      </w:r>
    </w:p>
    <w:p w14:paraId="698575DB" w14:textId="60378EC0" w:rsidR="00BA5CDE" w:rsidRPr="007F400A" w:rsidRDefault="00BA5CDE" w:rsidP="00D80FBD">
      <w:pPr>
        <w:spacing w:after="0" w:line="300" w:lineRule="atLeast"/>
        <w:ind w:firstLine="567"/>
        <w:jc w:val="both"/>
        <w:rPr>
          <w:rFonts w:ascii="Times New Roman" w:eastAsia="Times New Roman" w:hAnsi="Times New Roman" w:cs="Times New Roman"/>
          <w:sz w:val="24"/>
          <w:szCs w:val="24"/>
          <w:lang w:eastAsia="pl-PL"/>
        </w:rPr>
      </w:pPr>
      <w:r w:rsidRPr="007F400A">
        <w:rPr>
          <w:rFonts w:ascii="Times New Roman" w:hAnsi="Times New Roman" w:cs="Times New Roman"/>
          <w:sz w:val="24"/>
          <w:szCs w:val="24"/>
        </w:rPr>
        <w:t xml:space="preserve">Wśród odpadów, na przywóz których GIOŚ wydał zgodę, największy udział miały odpady w postaci </w:t>
      </w:r>
      <w:r w:rsidR="0024418D" w:rsidRPr="00D53250">
        <w:rPr>
          <w:rFonts w:ascii="Times New Roman" w:hAnsi="Times New Roman" w:cs="Times New Roman"/>
          <w:bCs/>
          <w:sz w:val="24"/>
          <w:szCs w:val="24"/>
          <w:lang w:val="x-none"/>
        </w:rPr>
        <w:t xml:space="preserve">popiołów lotnych z drewna i słomy do produkcji nawozów </w:t>
      </w:r>
      <w:r w:rsidR="0024418D">
        <w:rPr>
          <w:rFonts w:ascii="Times New Roman" w:hAnsi="Times New Roman" w:cs="Times New Roman"/>
          <w:bCs/>
          <w:sz w:val="24"/>
          <w:szCs w:val="24"/>
          <w:lang w:val="x-none"/>
        </w:rPr>
        <w:br/>
      </w:r>
      <w:r w:rsidR="0024418D" w:rsidRPr="00D53250">
        <w:rPr>
          <w:rFonts w:ascii="Times New Roman" w:hAnsi="Times New Roman" w:cs="Times New Roman"/>
          <w:bCs/>
          <w:sz w:val="24"/>
          <w:szCs w:val="24"/>
          <w:lang w:val="x-none"/>
        </w:rPr>
        <w:t>i środków polepszających właściwości gleby,</w:t>
      </w:r>
      <w:r w:rsidR="0024418D" w:rsidRPr="00D53250">
        <w:rPr>
          <w:rFonts w:ascii="Times New Roman" w:hAnsi="Times New Roman" w:cs="Times New Roman"/>
          <w:bCs/>
          <w:sz w:val="24"/>
          <w:szCs w:val="24"/>
        </w:rPr>
        <w:t xml:space="preserve"> </w:t>
      </w:r>
      <w:r w:rsidR="0024418D" w:rsidRPr="00D53250">
        <w:rPr>
          <w:rFonts w:ascii="Times New Roman" w:hAnsi="Times New Roman" w:cs="Times New Roman"/>
          <w:bCs/>
          <w:sz w:val="24"/>
          <w:szCs w:val="24"/>
          <w:lang w:val="x-none"/>
        </w:rPr>
        <w:t>odpady stałe z oczyszczania gazów odlotowych wykorzystywane w Polsce do odzysku metali w hutach</w:t>
      </w:r>
      <w:r w:rsidR="0024418D" w:rsidRPr="00D53250">
        <w:rPr>
          <w:rFonts w:ascii="Times New Roman" w:hAnsi="Times New Roman" w:cs="Times New Roman"/>
          <w:bCs/>
          <w:sz w:val="24"/>
          <w:szCs w:val="24"/>
        </w:rPr>
        <w:t>,</w:t>
      </w:r>
      <w:r w:rsidR="0024418D" w:rsidRPr="00D53250">
        <w:rPr>
          <w:rFonts w:ascii="Times New Roman" w:hAnsi="Times New Roman" w:cs="Times New Roman"/>
          <w:bCs/>
          <w:sz w:val="24"/>
          <w:szCs w:val="24"/>
          <w:lang w:val="x-none"/>
        </w:rPr>
        <w:t xml:space="preserve"> odpady w postaci minerałów, zmieszane odpady betonu, gruzu ceglanego i odpadowych materiałów ceramicznych oraz gleba i kamienie przeznaczone do procesu odzysku, jakim jest rekultywacja (wypełnienie) wyrobiska położonego w pobliżu granicy z Niemcami oraz odpady akumulatorów ołowiowych, z których w hutach odzyskuje się ołów</w:t>
      </w:r>
      <w:r w:rsidRPr="007F400A">
        <w:rPr>
          <w:rFonts w:ascii="Times New Roman" w:hAnsi="Times New Roman" w:cs="Times New Roman"/>
          <w:sz w:val="24"/>
          <w:szCs w:val="24"/>
        </w:rPr>
        <w:t>.</w:t>
      </w:r>
    </w:p>
    <w:p w14:paraId="4CBCF274" w14:textId="77777777" w:rsidR="00BA1891" w:rsidRPr="00D80274" w:rsidRDefault="00BA1891" w:rsidP="00D80FBD">
      <w:pPr>
        <w:spacing w:after="0" w:line="300" w:lineRule="atLeast"/>
        <w:ind w:firstLine="567"/>
        <w:jc w:val="both"/>
        <w:rPr>
          <w:rFonts w:ascii="Times New Roman" w:hAnsi="Times New Roman" w:cs="Times New Roman"/>
          <w:color w:val="000000" w:themeColor="text1"/>
          <w:sz w:val="24"/>
          <w:szCs w:val="24"/>
        </w:rPr>
      </w:pPr>
      <w:r w:rsidRPr="00D80274">
        <w:rPr>
          <w:rFonts w:ascii="Times New Roman" w:hAnsi="Times New Roman" w:cs="Times New Roman"/>
          <w:color w:val="000000" w:themeColor="text1"/>
          <w:sz w:val="24"/>
          <w:szCs w:val="24"/>
        </w:rPr>
        <w:t xml:space="preserve">Liczba zawiadomień o nielegalnym przemieszczaniu odpadów, w odniesieniu do poprzedniego okresu sprawozdawczego, spadła z 535 zgłoszeń w 2021 r. do 422 w roku 2022. W 192 przypadkach Główny Inspektor podjął z urzędu czynności dotyczące określenia sposobu gospodarowania nielegalnie przemieszczonymi odpadami lub zwrotu odpadów do państwa wysyłki i czynności te dotyczyły 703 sztuk pojazdów oraz ok. 216 Mg części samochodowych.  </w:t>
      </w:r>
    </w:p>
    <w:p w14:paraId="043C03A1" w14:textId="07AE18A5" w:rsidR="00895F16" w:rsidRPr="007F400A" w:rsidRDefault="00BA1891" w:rsidP="00D80FBD">
      <w:pPr>
        <w:spacing w:after="0" w:line="300" w:lineRule="atLeast"/>
        <w:ind w:firstLine="567"/>
        <w:jc w:val="both"/>
        <w:rPr>
          <w:rFonts w:ascii="Times New Roman" w:eastAsia="Calibri" w:hAnsi="Times New Roman" w:cs="Times New Roman"/>
          <w:color w:val="000000"/>
          <w:sz w:val="24"/>
          <w:szCs w:val="24"/>
        </w:rPr>
      </w:pPr>
      <w:r w:rsidRPr="00D80274">
        <w:rPr>
          <w:rFonts w:ascii="Times New Roman" w:hAnsi="Times New Roman" w:cs="Times New Roman"/>
          <w:color w:val="000000" w:themeColor="text1"/>
          <w:sz w:val="24"/>
          <w:szCs w:val="24"/>
        </w:rPr>
        <w:t xml:space="preserve">Najwięcej przypadków nielegalnego przemieszczania dotyczyło przywozu odpadów. Liczba tych przypadków wyniosła 171 i objęła 695 sztuk pojazdów oraz ok. 50 Mg części </w:t>
      </w:r>
      <w:r w:rsidRPr="00D80274">
        <w:rPr>
          <w:rFonts w:ascii="Times New Roman" w:hAnsi="Times New Roman" w:cs="Times New Roman"/>
          <w:color w:val="000000" w:themeColor="text1"/>
          <w:sz w:val="24"/>
          <w:szCs w:val="24"/>
        </w:rPr>
        <w:lastRenderedPageBreak/>
        <w:t>samochodowych. Najwięcej odpadów w postaci pojazdów zostało sprowadzonych z USA, Wielkiej Brytanii oraz Niemiec</w:t>
      </w:r>
      <w:r w:rsidR="00895F16" w:rsidRPr="007F400A">
        <w:rPr>
          <w:rFonts w:ascii="Times New Roman" w:eastAsia="Times New Roman" w:hAnsi="Times New Roman" w:cs="Times New Roman"/>
          <w:sz w:val="24"/>
          <w:szCs w:val="24"/>
        </w:rPr>
        <w:t>.</w:t>
      </w:r>
    </w:p>
    <w:p w14:paraId="1690A37D" w14:textId="14AE9114" w:rsidR="00BA5CDE" w:rsidRPr="007F400A" w:rsidRDefault="00BA1891" w:rsidP="00D80FBD">
      <w:pPr>
        <w:spacing w:after="120" w:line="300" w:lineRule="atLeast"/>
        <w:ind w:firstLine="567"/>
        <w:jc w:val="both"/>
        <w:rPr>
          <w:rFonts w:ascii="Times New Roman" w:eastAsia="Times New Roman" w:hAnsi="Times New Roman" w:cs="Times New Roman"/>
          <w:sz w:val="24"/>
          <w:szCs w:val="24"/>
          <w:lang w:eastAsia="pl-PL"/>
        </w:rPr>
      </w:pPr>
      <w:r w:rsidRPr="000B51CF">
        <w:rPr>
          <w:rFonts w:ascii="Times New Roman" w:hAnsi="Times New Roman" w:cs="Times New Roman"/>
          <w:bCs/>
          <w:sz w:val="24"/>
          <w:szCs w:val="24"/>
        </w:rPr>
        <w:t>Inspektorzy WIOŚ, podobnie jak w latach ubiegłych, uczestniczyli w kontrolach transportów odpadów wspólnie z przedstawicielami Krajowej Administracji Skarbowej, Straży Granicznej, Inspekcji Transportu Drogowego i Policji. W 2022 r. podczas wspólnych akcji kontrolnych, łącznie skontrolowano 5</w:t>
      </w:r>
      <w:r>
        <w:rPr>
          <w:rFonts w:ascii="Times New Roman" w:hAnsi="Times New Roman" w:cs="Times New Roman"/>
          <w:bCs/>
          <w:sz w:val="24"/>
          <w:szCs w:val="24"/>
        </w:rPr>
        <w:t xml:space="preserve"> </w:t>
      </w:r>
      <w:r w:rsidRPr="000B51CF">
        <w:rPr>
          <w:rFonts w:ascii="Times New Roman" w:hAnsi="Times New Roman" w:cs="Times New Roman"/>
          <w:bCs/>
          <w:sz w:val="24"/>
          <w:szCs w:val="24"/>
        </w:rPr>
        <w:t xml:space="preserve">834 transporty, w tym ujawniono 24 przypadki nielegalnego transgranicznego przemieszczania odpadów oraz 9 przypadków naruszeń decyzji GIOŚ </w:t>
      </w:r>
      <w:r>
        <w:rPr>
          <w:rFonts w:ascii="Times New Roman" w:hAnsi="Times New Roman" w:cs="Times New Roman"/>
          <w:bCs/>
          <w:sz w:val="24"/>
          <w:szCs w:val="24"/>
        </w:rPr>
        <w:t xml:space="preserve">i </w:t>
      </w:r>
      <w:r w:rsidRPr="000B51CF">
        <w:rPr>
          <w:rFonts w:ascii="Times New Roman" w:hAnsi="Times New Roman" w:cs="Times New Roman"/>
          <w:bCs/>
          <w:sz w:val="24"/>
          <w:szCs w:val="24"/>
        </w:rPr>
        <w:t>przepisów o transgranicznym przemieszczaniu odpadów</w:t>
      </w:r>
      <w:r w:rsidR="00BA5CDE" w:rsidRPr="007F400A">
        <w:rPr>
          <w:rFonts w:ascii="Times New Roman" w:hAnsi="Times New Roman" w:cs="Times New Roman"/>
          <w:sz w:val="24"/>
          <w:szCs w:val="24"/>
        </w:rPr>
        <w:t>.</w:t>
      </w:r>
    </w:p>
    <w:p w14:paraId="1D1FC456" w14:textId="65CB34CA" w:rsidR="00895F16" w:rsidRPr="00D44C6B" w:rsidRDefault="00895F16" w:rsidP="00D80FBD">
      <w:pPr>
        <w:spacing w:after="0" w:line="300" w:lineRule="atLeast"/>
        <w:ind w:firstLine="567"/>
        <w:jc w:val="both"/>
        <w:rPr>
          <w:rFonts w:ascii="Times New Roman" w:eastAsia="Calibri" w:hAnsi="Times New Roman" w:cs="Times New Roman"/>
          <w:sz w:val="24"/>
          <w:szCs w:val="24"/>
          <w:lang w:val="x-none"/>
        </w:rPr>
      </w:pPr>
      <w:r w:rsidRPr="007F400A">
        <w:rPr>
          <w:rFonts w:ascii="Times New Roman" w:eastAsia="Calibri" w:hAnsi="Times New Roman" w:cs="Times New Roman"/>
          <w:sz w:val="24"/>
          <w:szCs w:val="24"/>
        </w:rPr>
        <w:t>W</w:t>
      </w:r>
      <w:r w:rsidR="004966BE" w:rsidRPr="007F400A">
        <w:rPr>
          <w:rFonts w:ascii="Times New Roman" w:eastAsia="Calibri" w:hAnsi="Times New Roman" w:cs="Times New Roman"/>
          <w:sz w:val="24"/>
          <w:szCs w:val="24"/>
        </w:rPr>
        <w:t xml:space="preserve"> </w:t>
      </w:r>
      <w:r w:rsidRPr="007F400A">
        <w:rPr>
          <w:rFonts w:ascii="Times New Roman" w:eastAsia="Calibri" w:hAnsi="Times New Roman" w:cs="Times New Roman"/>
          <w:sz w:val="24"/>
          <w:szCs w:val="24"/>
        </w:rPr>
        <w:t>202</w:t>
      </w:r>
      <w:r w:rsidR="00BA1891">
        <w:rPr>
          <w:rFonts w:ascii="Times New Roman" w:eastAsia="Calibri" w:hAnsi="Times New Roman" w:cs="Times New Roman"/>
          <w:sz w:val="24"/>
          <w:szCs w:val="24"/>
        </w:rPr>
        <w:t>2</w:t>
      </w:r>
      <w:r w:rsidRPr="007F400A">
        <w:rPr>
          <w:rFonts w:ascii="Times New Roman" w:eastAsia="Calibri" w:hAnsi="Times New Roman" w:cs="Times New Roman"/>
          <w:sz w:val="24"/>
          <w:szCs w:val="24"/>
        </w:rPr>
        <w:t xml:space="preserve"> roku Inspekcja Ochrony Środowiska kontynuowała realizację zadań Państwowego Monitoringu Środowiska (PMŚ</w:t>
      </w:r>
      <w:r w:rsidR="0036143A" w:rsidRPr="0036143A">
        <w:rPr>
          <w:rFonts w:ascii="Times New Roman" w:hAnsi="Times New Roman" w:cs="Times New Roman"/>
          <w:sz w:val="24"/>
          <w:szCs w:val="24"/>
        </w:rPr>
        <w:t xml:space="preserve"> </w:t>
      </w:r>
      <w:r w:rsidR="0036143A" w:rsidRPr="005E2831">
        <w:rPr>
          <w:rFonts w:ascii="Times New Roman" w:hAnsi="Times New Roman" w:cs="Times New Roman"/>
          <w:sz w:val="24"/>
          <w:szCs w:val="24"/>
        </w:rPr>
        <w:t>zgodnie z Strategicznym Programem PMŚ na</w:t>
      </w:r>
      <w:r w:rsidR="0036143A">
        <w:rPr>
          <w:rFonts w:ascii="Times New Roman" w:hAnsi="Times New Roman" w:cs="Times New Roman"/>
          <w:sz w:val="24"/>
          <w:szCs w:val="24"/>
        </w:rPr>
        <w:t> </w:t>
      </w:r>
      <w:r w:rsidR="0036143A" w:rsidRPr="005E2831">
        <w:rPr>
          <w:rFonts w:ascii="Times New Roman" w:hAnsi="Times New Roman" w:cs="Times New Roman"/>
          <w:sz w:val="24"/>
          <w:szCs w:val="24"/>
        </w:rPr>
        <w:t>lata 2020–2025, zatwierdzonym przez Ministra Klimatu oraz opracowanymi na jego podstawie w</w:t>
      </w:r>
      <w:r w:rsidR="0036143A">
        <w:rPr>
          <w:rFonts w:ascii="Times New Roman" w:hAnsi="Times New Roman" w:cs="Times New Roman"/>
          <w:sz w:val="24"/>
          <w:szCs w:val="24"/>
        </w:rPr>
        <w:t xml:space="preserve">ykonawczymi </w:t>
      </w:r>
      <w:r w:rsidR="0036143A" w:rsidRPr="005E2831">
        <w:rPr>
          <w:rFonts w:ascii="Times New Roman" w:hAnsi="Times New Roman" w:cs="Times New Roman"/>
          <w:sz w:val="24"/>
          <w:szCs w:val="24"/>
        </w:rPr>
        <w:t>programami monitoringu środowiska</w:t>
      </w:r>
      <w:r w:rsidRPr="007F400A">
        <w:rPr>
          <w:rFonts w:ascii="Times New Roman" w:eastAsia="Calibri" w:hAnsi="Times New Roman" w:cs="Times New Roman"/>
          <w:sz w:val="24"/>
          <w:szCs w:val="24"/>
        </w:rPr>
        <w:t>.</w:t>
      </w:r>
      <w:r w:rsidR="00346965">
        <w:rPr>
          <w:rFonts w:ascii="Times New Roman" w:eastAsia="Calibri" w:hAnsi="Times New Roman" w:cs="Times New Roman"/>
          <w:sz w:val="24"/>
          <w:szCs w:val="24"/>
        </w:rPr>
        <w:t xml:space="preserve"> </w:t>
      </w:r>
      <w:r w:rsidR="00346965" w:rsidRPr="00F62109">
        <w:rPr>
          <w:rFonts w:ascii="Times New Roman" w:hAnsi="Times New Roman" w:cs="Times New Roman"/>
          <w:sz w:val="24"/>
          <w:szCs w:val="24"/>
        </w:rPr>
        <w:t>W 2022 r. opracowany został wieloletni raport „Stan środowiska w Polsce. Raport 2022”. Jest to kluczowy produkt GIOŚ, stanowiący realizację ustawowego obowiązku, zgodnie z którym GIOŚ opracowuje raport o stanie środowiska nie rzadziej niż raz na 4 lata.</w:t>
      </w:r>
    </w:p>
    <w:p w14:paraId="6E24B238" w14:textId="7A27BA29" w:rsidR="002D431F" w:rsidRPr="007F400A" w:rsidRDefault="002D431F" w:rsidP="00D80FBD">
      <w:pPr>
        <w:spacing w:after="0" w:line="300" w:lineRule="atLeast"/>
        <w:ind w:firstLine="567"/>
        <w:jc w:val="both"/>
        <w:rPr>
          <w:rFonts w:ascii="Times New Roman" w:eastAsia="Calibri" w:hAnsi="Times New Roman" w:cs="Times New Roman"/>
          <w:sz w:val="24"/>
          <w:szCs w:val="24"/>
        </w:rPr>
      </w:pPr>
      <w:r w:rsidRPr="005E2831">
        <w:rPr>
          <w:rFonts w:ascii="Times New Roman" w:hAnsi="Times New Roman" w:cs="Times New Roman"/>
          <w:sz w:val="24"/>
          <w:szCs w:val="24"/>
        </w:rPr>
        <w:t xml:space="preserve">W 2022 r. w Głównym Inspektoracie Ochrony Środowiska prowadzone były pomiary </w:t>
      </w:r>
      <w:r w:rsidRPr="005E2831">
        <w:rPr>
          <w:rFonts w:ascii="Times New Roman" w:hAnsi="Times New Roman" w:cs="Times New Roman"/>
          <w:sz w:val="24"/>
          <w:szCs w:val="24"/>
        </w:rPr>
        <w:br/>
        <w:t>w zakresie jakości powietrza, analiz fizyko-chemicznych prób opadów atmosferycznych, wód powierzchniowych i podziemnych, gleb, poziomu hałasu i pól elektromagnetycznych (PEM) oraz wykonywane były oceny jakości poszczególnych komponentów środowiska za rok 2021</w:t>
      </w:r>
      <w:r>
        <w:rPr>
          <w:rFonts w:ascii="Times New Roman" w:hAnsi="Times New Roman" w:cs="Times New Roman"/>
          <w:sz w:val="24"/>
          <w:szCs w:val="24"/>
        </w:rPr>
        <w:t>.</w:t>
      </w:r>
    </w:p>
    <w:p w14:paraId="63C046CC" w14:textId="7904AF3C" w:rsidR="00A463E0" w:rsidRPr="007F400A" w:rsidRDefault="002D431F" w:rsidP="00D80FBD">
      <w:pPr>
        <w:pStyle w:val="Tekstkomentarza"/>
        <w:spacing w:line="300" w:lineRule="atLeast"/>
        <w:ind w:firstLine="567"/>
        <w:jc w:val="both"/>
        <w:rPr>
          <w:sz w:val="24"/>
          <w:szCs w:val="24"/>
          <w:lang w:val="pl-PL"/>
        </w:rPr>
      </w:pPr>
      <w:r>
        <w:rPr>
          <w:sz w:val="24"/>
          <w:szCs w:val="24"/>
          <w:lang w:val="pl-PL"/>
        </w:rPr>
        <w:t>W</w:t>
      </w:r>
      <w:r w:rsidR="00A463E0" w:rsidRPr="007F400A">
        <w:rPr>
          <w:sz w:val="24"/>
          <w:szCs w:val="24"/>
          <w:lang w:val="pl-PL"/>
        </w:rPr>
        <w:t xml:space="preserve"> ramach </w:t>
      </w:r>
      <w:r>
        <w:rPr>
          <w:sz w:val="24"/>
          <w:szCs w:val="24"/>
          <w:lang w:val="pl-PL"/>
        </w:rPr>
        <w:t xml:space="preserve">badania i oceny </w:t>
      </w:r>
      <w:r w:rsidR="00A463E0" w:rsidRPr="007F400A">
        <w:rPr>
          <w:sz w:val="24"/>
          <w:szCs w:val="24"/>
          <w:lang w:val="pl-PL"/>
        </w:rPr>
        <w:t xml:space="preserve">jakości powietrza, </w:t>
      </w:r>
      <w:r w:rsidR="00A463E0" w:rsidRPr="007F400A">
        <w:rPr>
          <w:sz w:val="24"/>
          <w:szCs w:val="24"/>
        </w:rPr>
        <w:t xml:space="preserve">Główny Inspektor Ochrony Środowiska prowadził monitoring </w:t>
      </w:r>
      <w:r w:rsidRPr="005E2831">
        <w:rPr>
          <w:sz w:val="24"/>
          <w:szCs w:val="24"/>
        </w:rPr>
        <w:t>stężeń: dwutlenku siarki, dwutlenku azotu, tlenków azotu, benzenu, tlenku węgla, ozonu, pyłu zawieszonego PM10 i PM2,5 w powietrzu, a także pomiary ołowiu, arsenu, kadmu, niklu i benzo(a)pirenu (</w:t>
      </w:r>
      <w:r w:rsidRPr="005E2831">
        <w:rPr>
          <w:bCs/>
          <w:sz w:val="24"/>
          <w:szCs w:val="24"/>
        </w:rPr>
        <w:t>B(a)P)</w:t>
      </w:r>
      <w:r w:rsidRPr="005E2831">
        <w:rPr>
          <w:sz w:val="24"/>
          <w:szCs w:val="24"/>
        </w:rPr>
        <w:t xml:space="preserve"> w pyle zawieszonym PM10</w:t>
      </w:r>
      <w:r w:rsidR="00A463E0" w:rsidRPr="007F400A">
        <w:rPr>
          <w:sz w:val="24"/>
          <w:szCs w:val="24"/>
          <w:lang w:val="pl-PL"/>
        </w:rPr>
        <w:t>.</w:t>
      </w:r>
    </w:p>
    <w:p w14:paraId="1D04691A" w14:textId="6ACE97D8" w:rsidR="00A463E0" w:rsidRPr="007F400A" w:rsidRDefault="002D431F" w:rsidP="00D80FBD">
      <w:pPr>
        <w:pStyle w:val="Tekstkomentarza"/>
        <w:spacing w:line="300" w:lineRule="atLeast"/>
        <w:ind w:firstLine="567"/>
        <w:jc w:val="both"/>
        <w:rPr>
          <w:sz w:val="24"/>
          <w:szCs w:val="24"/>
        </w:rPr>
      </w:pPr>
      <w:r w:rsidRPr="005E2831">
        <w:rPr>
          <w:sz w:val="24"/>
          <w:szCs w:val="24"/>
        </w:rPr>
        <w:t>Pomiary prowadzono metodami aspiracyjnymi na 1</w:t>
      </w:r>
      <w:r>
        <w:rPr>
          <w:sz w:val="24"/>
          <w:szCs w:val="24"/>
          <w:lang w:val="pl-PL"/>
        </w:rPr>
        <w:t xml:space="preserve"> </w:t>
      </w:r>
      <w:r w:rsidRPr="005E2831">
        <w:rPr>
          <w:sz w:val="24"/>
          <w:szCs w:val="24"/>
        </w:rPr>
        <w:t>102 stanowiskach automatycznych i 781 stanowiskach manualnych oraz metodami pasywnymi na 6 stanowiskach</w:t>
      </w:r>
      <w:r>
        <w:rPr>
          <w:sz w:val="24"/>
          <w:szCs w:val="24"/>
          <w:lang w:val="pl-PL"/>
        </w:rPr>
        <w:t>.</w:t>
      </w:r>
      <w:r w:rsidRPr="005E2831">
        <w:rPr>
          <w:sz w:val="24"/>
          <w:szCs w:val="24"/>
        </w:rPr>
        <w:t xml:space="preserve"> Sumaryczna liczba stanowisk pomiarowych </w:t>
      </w:r>
      <w:r w:rsidRPr="005E2831">
        <w:rPr>
          <w:sz w:val="24"/>
          <w:szCs w:val="24"/>
          <w:lang w:eastAsia="zh-CN"/>
        </w:rPr>
        <w:t>w</w:t>
      </w:r>
      <w:r w:rsidRPr="005E2831">
        <w:rPr>
          <w:sz w:val="24"/>
          <w:szCs w:val="24"/>
          <w:lang w:eastAsia="pl-PL"/>
        </w:rPr>
        <w:t xml:space="preserve"> 2022 r. zwiększyła się w stosunku do liczby </w:t>
      </w:r>
      <w:r w:rsidRPr="005E2831">
        <w:rPr>
          <w:sz w:val="24"/>
          <w:szCs w:val="24"/>
        </w:rPr>
        <w:t>stanowisk działających w 2021 r. Rozwój sieci pomiarowej był nakierowany głównie na</w:t>
      </w:r>
      <w:r>
        <w:rPr>
          <w:sz w:val="24"/>
          <w:szCs w:val="24"/>
        </w:rPr>
        <w:t> </w:t>
      </w:r>
      <w:r w:rsidRPr="005E2831">
        <w:rPr>
          <w:sz w:val="24"/>
          <w:szCs w:val="24"/>
        </w:rPr>
        <w:t>zwiększenie liczby stanowisk pomiarowych służących do monitorowania stężeń zanieczyszczeń, dla których występują przekroczenia poziomów dopuszczalnych/docelowych przy jednoczesnej redukcji stanowisk pomiarowych służących do monitorowania stężeń zanieczyszczeń, dla których nie występują przekroczenia poziomów dopuszczalnych/</w:t>
      </w:r>
      <w:r>
        <w:rPr>
          <w:sz w:val="24"/>
          <w:szCs w:val="24"/>
        </w:rPr>
        <w:t xml:space="preserve"> </w:t>
      </w:r>
      <w:r w:rsidRPr="005E2831">
        <w:rPr>
          <w:sz w:val="24"/>
          <w:szCs w:val="24"/>
        </w:rPr>
        <w:t>docelowych</w:t>
      </w:r>
      <w:r w:rsidR="00A463E0" w:rsidRPr="007F400A">
        <w:rPr>
          <w:sz w:val="24"/>
          <w:szCs w:val="24"/>
        </w:rPr>
        <w:t xml:space="preserve">. </w:t>
      </w:r>
    </w:p>
    <w:p w14:paraId="4D40DCDE" w14:textId="685CDE89" w:rsidR="00A463E0" w:rsidRPr="007F400A" w:rsidRDefault="002D431F" w:rsidP="00D80FBD">
      <w:pPr>
        <w:pStyle w:val="Tekstkomentarza"/>
        <w:spacing w:line="300" w:lineRule="atLeast"/>
        <w:ind w:firstLine="567"/>
        <w:jc w:val="both"/>
        <w:rPr>
          <w:color w:val="FF0000"/>
          <w:sz w:val="24"/>
          <w:szCs w:val="24"/>
        </w:rPr>
      </w:pPr>
      <w:r w:rsidRPr="005E2831">
        <w:rPr>
          <w:sz w:val="24"/>
          <w:szCs w:val="24"/>
        </w:rPr>
        <w:t>Z roku na rok wzrasta liczba stanowisk pomiarowych pyłu zawieszonego</w:t>
      </w:r>
      <w:r>
        <w:rPr>
          <w:sz w:val="24"/>
          <w:szCs w:val="24"/>
          <w:lang w:val="pl-PL"/>
        </w:rPr>
        <w:t xml:space="preserve"> </w:t>
      </w:r>
      <w:r w:rsidRPr="007F400A">
        <w:rPr>
          <w:rFonts w:eastAsia="Times New Roman"/>
          <w:sz w:val="24"/>
          <w:szCs w:val="24"/>
          <w:lang w:eastAsia="pl-PL"/>
        </w:rPr>
        <w:t>PM10 i PM2,5</w:t>
      </w:r>
      <w:r w:rsidRPr="005E2831">
        <w:rPr>
          <w:sz w:val="24"/>
          <w:szCs w:val="24"/>
        </w:rPr>
        <w:t>. W roku 2022 było to o 14 stanowisk więcej w stosunku do roku 2021</w:t>
      </w:r>
      <w:r w:rsidR="00A463E0" w:rsidRPr="007F400A">
        <w:rPr>
          <w:sz w:val="24"/>
          <w:szCs w:val="24"/>
        </w:rPr>
        <w:t xml:space="preserve">. </w:t>
      </w:r>
    </w:p>
    <w:p w14:paraId="4A0A4861" w14:textId="77777777" w:rsidR="00CB4CC4" w:rsidRDefault="00CB4CC4" w:rsidP="00D80FBD">
      <w:pPr>
        <w:spacing w:after="0" w:line="300" w:lineRule="atLeast"/>
        <w:ind w:firstLine="567"/>
        <w:jc w:val="both"/>
        <w:rPr>
          <w:rFonts w:ascii="Times New Roman" w:hAnsi="Times New Roman"/>
          <w:sz w:val="24"/>
          <w:szCs w:val="24"/>
        </w:rPr>
      </w:pPr>
      <w:r w:rsidRPr="00C66ACD">
        <w:rPr>
          <w:rFonts w:ascii="Times New Roman" w:hAnsi="Times New Roman" w:cs="Times New Roman"/>
          <w:sz w:val="24"/>
          <w:szCs w:val="24"/>
        </w:rPr>
        <w:t>W 2022 r. Główny Inspektor Ochrony Środowiska dokonał oceny poziomu substancji w powietrzu za 2021 rok na poziomie wojewódzkim, oddzielnie dla kryteriów ochrony zdrowia ludzi i kryteriów ochrony roślin. Ocena została wykonana dla 46 stref, tj. dla: aglomeracji powyżej 250 tys. mieszkańców (12), dużych miast o liczbie około 100 tys. mieszkańców lub</w:t>
      </w:r>
      <w:r>
        <w:rPr>
          <w:rFonts w:ascii="Times New Roman" w:hAnsi="Times New Roman" w:cs="Times New Roman"/>
          <w:sz w:val="24"/>
          <w:szCs w:val="24"/>
        </w:rPr>
        <w:t> </w:t>
      </w:r>
      <w:r w:rsidRPr="00C66ACD">
        <w:rPr>
          <w:rFonts w:ascii="Times New Roman" w:hAnsi="Times New Roman" w:cs="Times New Roman"/>
          <w:sz w:val="24"/>
          <w:szCs w:val="24"/>
        </w:rPr>
        <w:t>większych (18) oraz pozostałych obszarów województw (16). Następnie Główny Inspektor dokonał zbiorczej oceny jakości powietrza za 2021 r. w strefach w skali kraju. Z oceny tej wynika, że w 40 strefach na 46 podlegających rocznej ocenie z</w:t>
      </w:r>
      <w:r>
        <w:rPr>
          <w:rFonts w:ascii="Times New Roman" w:hAnsi="Times New Roman" w:cs="Times New Roman"/>
          <w:sz w:val="24"/>
          <w:szCs w:val="24"/>
        </w:rPr>
        <w:t>e </w:t>
      </w:r>
      <w:r w:rsidRPr="00C66ACD">
        <w:rPr>
          <w:rFonts w:ascii="Times New Roman" w:hAnsi="Times New Roman" w:cs="Times New Roman"/>
          <w:sz w:val="24"/>
          <w:szCs w:val="24"/>
        </w:rPr>
        <w:t xml:space="preserve"> względu na ochronę zdrowia ludzi, wystąpiły przekroczenia norm jakości powietrza dla</w:t>
      </w:r>
      <w:r>
        <w:rPr>
          <w:rFonts w:ascii="Times New Roman" w:hAnsi="Times New Roman" w:cs="Times New Roman"/>
          <w:sz w:val="24"/>
          <w:szCs w:val="24"/>
        </w:rPr>
        <w:t> </w:t>
      </w:r>
      <w:r w:rsidRPr="00C66ACD">
        <w:rPr>
          <w:rFonts w:ascii="Times New Roman" w:hAnsi="Times New Roman" w:cs="Times New Roman"/>
          <w:sz w:val="24"/>
          <w:szCs w:val="24"/>
        </w:rPr>
        <w:t>jednego lub więcej niż jednego zanieczyszczenia</w:t>
      </w:r>
      <w:r w:rsidR="006B4DE0" w:rsidRPr="007F400A">
        <w:rPr>
          <w:rFonts w:ascii="Times New Roman" w:hAnsi="Times New Roman"/>
          <w:sz w:val="24"/>
          <w:szCs w:val="24"/>
        </w:rPr>
        <w:t xml:space="preserve">. </w:t>
      </w:r>
    </w:p>
    <w:p w14:paraId="513642C3" w14:textId="77777777" w:rsidR="00CB4CC4" w:rsidRPr="005E2831" w:rsidRDefault="00CB4CC4" w:rsidP="00D80FBD">
      <w:pPr>
        <w:spacing w:after="60" w:line="300" w:lineRule="atLeast"/>
        <w:ind w:firstLine="567"/>
        <w:jc w:val="both"/>
        <w:rPr>
          <w:rFonts w:ascii="Times New Roman" w:hAnsi="Times New Roman" w:cs="Times New Roman"/>
          <w:sz w:val="24"/>
          <w:szCs w:val="24"/>
        </w:rPr>
      </w:pPr>
      <w:r w:rsidRPr="005E2831">
        <w:rPr>
          <w:rFonts w:ascii="Times New Roman" w:hAnsi="Times New Roman" w:cs="Times New Roman"/>
          <w:sz w:val="24"/>
          <w:szCs w:val="24"/>
        </w:rPr>
        <w:t xml:space="preserve">Utrzymujące się wciąż przekroczenia wartości normatywnych dla pyłu zawieszonego PM10, PM2,5 i benzo(a)pirenu w pyle zawieszonym PM10 spowodowane są głównie przez wysoki poziom emisji tych zanieczyszczeń i ich prekursorów z procesów spalania, zwłaszcza w piecach domowych i niskosprawnych ciepłowniach lokalnych. </w:t>
      </w:r>
    </w:p>
    <w:p w14:paraId="6A7B8ED8" w14:textId="29AC0CD5" w:rsidR="006B4DE0" w:rsidRPr="007F400A" w:rsidRDefault="00CB4CC4" w:rsidP="00D80FBD">
      <w:pPr>
        <w:spacing w:after="0" w:line="300" w:lineRule="atLeast"/>
        <w:ind w:firstLine="567"/>
        <w:jc w:val="both"/>
        <w:rPr>
          <w:rFonts w:ascii="Times New Roman" w:hAnsi="Times New Roman"/>
          <w:sz w:val="24"/>
          <w:szCs w:val="24"/>
        </w:rPr>
      </w:pPr>
      <w:r w:rsidRPr="005E2831">
        <w:rPr>
          <w:rFonts w:ascii="Times New Roman" w:hAnsi="Times New Roman" w:cs="Times New Roman"/>
          <w:sz w:val="24"/>
          <w:szCs w:val="24"/>
        </w:rPr>
        <w:lastRenderedPageBreak/>
        <w:t>W 2022 r. Główny Inspektor Ochrony Środowiska przekazał wyniki ocen jakości powietrza za</w:t>
      </w:r>
      <w:r>
        <w:rPr>
          <w:rFonts w:ascii="Times New Roman" w:hAnsi="Times New Roman" w:cs="Times New Roman"/>
          <w:sz w:val="24"/>
          <w:szCs w:val="24"/>
        </w:rPr>
        <w:t> </w:t>
      </w:r>
      <w:r w:rsidRPr="005E2831">
        <w:rPr>
          <w:rFonts w:ascii="Times New Roman" w:hAnsi="Times New Roman" w:cs="Times New Roman"/>
          <w:sz w:val="24"/>
          <w:szCs w:val="24"/>
        </w:rPr>
        <w:t>rok 2021 dla poszczególnych województw zarządom województw, które odpowiadają za</w:t>
      </w:r>
      <w:r>
        <w:rPr>
          <w:rFonts w:ascii="Times New Roman" w:hAnsi="Times New Roman" w:cs="Times New Roman"/>
          <w:sz w:val="24"/>
          <w:szCs w:val="24"/>
        </w:rPr>
        <w:t> </w:t>
      </w:r>
      <w:r w:rsidRPr="005E2831">
        <w:rPr>
          <w:rFonts w:ascii="Times New Roman" w:hAnsi="Times New Roman" w:cs="Times New Roman"/>
          <w:sz w:val="24"/>
          <w:szCs w:val="24"/>
        </w:rPr>
        <w:t>sporządzanie i aktualizację programów ochrony powietrza</w:t>
      </w:r>
      <w:r w:rsidR="006B4DE0" w:rsidRPr="007F400A">
        <w:rPr>
          <w:rFonts w:ascii="Times New Roman" w:hAnsi="Times New Roman"/>
          <w:sz w:val="24"/>
          <w:szCs w:val="24"/>
        </w:rPr>
        <w:t xml:space="preserve">. </w:t>
      </w:r>
    </w:p>
    <w:p w14:paraId="432CFB48" w14:textId="5E688416" w:rsidR="006B4DE0" w:rsidRPr="007F400A" w:rsidRDefault="007D766C" w:rsidP="00D80FBD">
      <w:pPr>
        <w:spacing w:after="60" w:line="300" w:lineRule="atLeast"/>
        <w:ind w:firstLine="567"/>
        <w:jc w:val="both"/>
        <w:rPr>
          <w:rFonts w:ascii="Times New Roman" w:hAnsi="Times New Roman"/>
          <w:sz w:val="24"/>
          <w:szCs w:val="24"/>
        </w:rPr>
      </w:pPr>
      <w:r>
        <w:rPr>
          <w:rFonts w:ascii="Times New Roman" w:hAnsi="Times New Roman" w:cs="Times New Roman"/>
          <w:sz w:val="24"/>
          <w:szCs w:val="24"/>
        </w:rPr>
        <w:t xml:space="preserve">Ponadto, w 2022 r. </w:t>
      </w:r>
      <w:r w:rsidR="00CB4CC4" w:rsidRPr="005E2831">
        <w:rPr>
          <w:rFonts w:ascii="Times New Roman" w:hAnsi="Times New Roman" w:cs="Times New Roman"/>
          <w:sz w:val="24"/>
          <w:szCs w:val="24"/>
        </w:rPr>
        <w:t xml:space="preserve">Główny Inspektor Ochrony Środowiska, realizując obowiązki sprawozdawcze Ministra Klimatu i Środowiska wynikające z dyrektyw i decyzji, opracował </w:t>
      </w:r>
      <w:r>
        <w:rPr>
          <w:rFonts w:ascii="Times New Roman" w:hAnsi="Times New Roman" w:cs="Times New Roman"/>
          <w:sz w:val="24"/>
          <w:szCs w:val="24"/>
        </w:rPr>
        <w:br/>
      </w:r>
      <w:r w:rsidR="00CB4CC4" w:rsidRPr="005E2831">
        <w:rPr>
          <w:rFonts w:ascii="Times New Roman" w:hAnsi="Times New Roman" w:cs="Times New Roman"/>
          <w:sz w:val="24"/>
          <w:szCs w:val="24"/>
        </w:rPr>
        <w:t>i przekazał do Komisji Europejskiej w 2022 r.: informacje o działającym w 2021 r. systemie oceny jakości powietrza, wyniki pomiarów zanieczyszczenia powietrza uzyskane na stacjach monitoringu jakości powietrza (do europejskiej bazy danych EEA), wyniki modelowania matematycznego wykorzystane w rocznej ocenie jakości powietrza, a także wyniki rocznej oceny jakości powietrza za 2021 r. i raport dotyczący systemu oceny jakości powietrza planowanego na</w:t>
      </w:r>
      <w:r w:rsidR="00CB4CC4">
        <w:rPr>
          <w:rFonts w:ascii="Times New Roman" w:hAnsi="Times New Roman" w:cs="Times New Roman"/>
          <w:sz w:val="24"/>
          <w:szCs w:val="24"/>
        </w:rPr>
        <w:t> </w:t>
      </w:r>
      <w:r w:rsidR="00CB4CC4" w:rsidRPr="005E2831">
        <w:rPr>
          <w:rFonts w:ascii="Times New Roman" w:hAnsi="Times New Roman" w:cs="Times New Roman"/>
          <w:sz w:val="24"/>
          <w:szCs w:val="24"/>
        </w:rPr>
        <w:t>2023 r. Jednocześnie w 2022 r. przekazywał na bieżąco (co godzinę) dane o</w:t>
      </w:r>
      <w:r w:rsidR="00CB4CC4">
        <w:rPr>
          <w:rFonts w:ascii="Times New Roman" w:hAnsi="Times New Roman" w:cs="Times New Roman"/>
          <w:sz w:val="24"/>
          <w:szCs w:val="24"/>
        </w:rPr>
        <w:t> </w:t>
      </w:r>
      <w:r w:rsidR="00CB4CC4" w:rsidRPr="005E2831">
        <w:rPr>
          <w:rFonts w:ascii="Times New Roman" w:hAnsi="Times New Roman" w:cs="Times New Roman"/>
          <w:sz w:val="24"/>
          <w:szCs w:val="24"/>
        </w:rPr>
        <w:t>zanieczyszczeniu powietrza z automatycznych stacji pomiarowych do EEA</w:t>
      </w:r>
      <w:r w:rsidR="006B4DE0" w:rsidRPr="007F400A">
        <w:rPr>
          <w:rFonts w:ascii="Times New Roman" w:hAnsi="Times New Roman"/>
          <w:sz w:val="24"/>
          <w:szCs w:val="24"/>
        </w:rPr>
        <w:t>.</w:t>
      </w:r>
    </w:p>
    <w:p w14:paraId="332F07D3" w14:textId="7057D652" w:rsidR="006B4DE0" w:rsidRPr="007F400A" w:rsidRDefault="007D766C" w:rsidP="00D80FBD">
      <w:pPr>
        <w:spacing w:after="0" w:line="300" w:lineRule="atLeast"/>
        <w:ind w:firstLine="567"/>
        <w:jc w:val="both"/>
        <w:rPr>
          <w:rFonts w:ascii="Times New Roman" w:hAnsi="Times New Roman"/>
          <w:sz w:val="24"/>
          <w:szCs w:val="24"/>
          <w:lang w:eastAsia="pl-PL"/>
        </w:rPr>
      </w:pPr>
      <w:r w:rsidRPr="005E2831">
        <w:rPr>
          <w:rFonts w:ascii="Times New Roman" w:eastAsia="Calibri" w:hAnsi="Times New Roman" w:cs="Times New Roman"/>
          <w:sz w:val="24"/>
          <w:szCs w:val="24"/>
          <w:lang w:eastAsia="pl-PL"/>
        </w:rPr>
        <w:t>W 2022 r. Główny Inspektor Ochrony Środowiska zaplanował monitoring 2 200 jednolitych części wód powierzchniowych (jcwp) w 2 224 punktach pomiarowo-kontrolnych (ppk) (2 185 ppk na rzekach i 39 ppk na zbiornikach zaporowych)</w:t>
      </w:r>
      <w:r w:rsidRPr="005E2831">
        <w:rPr>
          <w:rFonts w:ascii="Times New Roman" w:eastAsia="Calibri" w:hAnsi="Times New Roman" w:cs="Times New Roman"/>
          <w:bCs/>
          <w:sz w:val="24"/>
          <w:szCs w:val="24"/>
          <w:lang w:eastAsia="pl-PL"/>
        </w:rPr>
        <w:t>, zgodnie z programem obejmującym monitoring diagnostyczny, operacyjny, badawczy.</w:t>
      </w:r>
      <w:r w:rsidRPr="005E2831">
        <w:rPr>
          <w:rFonts w:ascii="Times New Roman" w:eastAsia="Calibri" w:hAnsi="Times New Roman" w:cs="Times New Roman"/>
          <w:sz w:val="24"/>
          <w:szCs w:val="24"/>
          <w:lang w:eastAsia="pl-PL"/>
        </w:rPr>
        <w:t xml:space="preserve"> Był to pierwszy rok realizacji monitoringu wód w ramach czwartego cyklu gospodarowania wodami na lata 2022-2027</w:t>
      </w:r>
      <w:r w:rsidR="006B4DE0" w:rsidRPr="007F400A">
        <w:rPr>
          <w:rFonts w:ascii="Times New Roman" w:hAnsi="Times New Roman"/>
          <w:sz w:val="24"/>
          <w:szCs w:val="24"/>
          <w:lang w:eastAsia="pl-PL"/>
        </w:rPr>
        <w:t>.</w:t>
      </w:r>
    </w:p>
    <w:p w14:paraId="2E4BE5F9" w14:textId="6F464872" w:rsidR="006B4DE0" w:rsidRPr="007F400A" w:rsidRDefault="00677B61" w:rsidP="00D80FBD">
      <w:pPr>
        <w:spacing w:after="0" w:line="300" w:lineRule="atLeast"/>
        <w:ind w:firstLine="567"/>
        <w:jc w:val="both"/>
        <w:rPr>
          <w:rFonts w:ascii="Times New Roman" w:hAnsi="Times New Roman"/>
          <w:sz w:val="24"/>
          <w:szCs w:val="24"/>
          <w:lang w:eastAsia="pl-PL"/>
        </w:rPr>
      </w:pPr>
      <w:r w:rsidRPr="005E2831">
        <w:rPr>
          <w:rFonts w:ascii="Times New Roman" w:eastAsia="Calibri" w:hAnsi="Times New Roman" w:cs="Times New Roman"/>
          <w:sz w:val="24"/>
          <w:szCs w:val="24"/>
          <w:lang w:eastAsia="pl-PL"/>
        </w:rPr>
        <w:t>Spośród zaplanowanych do badań na 2022 r. 2 200 jcwp, poboru prób dokonano w 2 150 jcwp, na 3 975 stanowiskach. Zakres badań obejmował, zgodnie z rozporządzeniem monitoringowym, wskaźniki biologiczne (fitoplankton, fitobentos, makrofity</w:t>
      </w:r>
      <w:r>
        <w:rPr>
          <w:rFonts w:ascii="Times New Roman" w:eastAsia="Calibri" w:hAnsi="Times New Roman" w:cs="Times New Roman"/>
          <w:sz w:val="24"/>
          <w:szCs w:val="24"/>
          <w:lang w:eastAsia="pl-PL"/>
        </w:rPr>
        <w:t xml:space="preserve"> </w:t>
      </w:r>
      <w:r w:rsidRPr="005E2831">
        <w:rPr>
          <w:rFonts w:ascii="Times New Roman" w:eastAsia="Calibri" w:hAnsi="Times New Roman" w:cs="Times New Roman"/>
          <w:sz w:val="24"/>
          <w:szCs w:val="24"/>
          <w:lang w:eastAsia="pl-PL"/>
        </w:rPr>
        <w:t>i</w:t>
      </w:r>
      <w:r>
        <w:rPr>
          <w:rFonts w:ascii="Times New Roman" w:eastAsia="Calibri" w:hAnsi="Times New Roman" w:cs="Times New Roman"/>
          <w:sz w:val="24"/>
          <w:szCs w:val="24"/>
          <w:lang w:eastAsia="pl-PL"/>
        </w:rPr>
        <w:t> </w:t>
      </w:r>
      <w:r w:rsidRPr="005E2831">
        <w:rPr>
          <w:rFonts w:ascii="Times New Roman" w:eastAsia="Calibri" w:hAnsi="Times New Roman" w:cs="Times New Roman"/>
          <w:sz w:val="24"/>
          <w:szCs w:val="24"/>
          <w:lang w:eastAsia="pl-PL"/>
        </w:rPr>
        <w:t>makrobezkręgowce bentosowe w ilości 1 880 oznaczeń), wskaźniki fizykochemiczne (w tym specyficzne zanieczyszczenia syntetyczne i niesyntetyczne) w ilości 268 720 oznaczeń oraz wskaźniki chemiczne (w tym substancje priorytetowe w dziedzinie polityki wodnej) w ilości 233 071 oznaczeń</w:t>
      </w:r>
      <w:r w:rsidR="006B4DE0" w:rsidRPr="007F400A">
        <w:rPr>
          <w:rFonts w:ascii="Times New Roman" w:hAnsi="Times New Roman"/>
          <w:sz w:val="24"/>
          <w:szCs w:val="24"/>
          <w:lang w:eastAsia="pl-PL"/>
        </w:rPr>
        <w:t xml:space="preserve">. </w:t>
      </w:r>
    </w:p>
    <w:p w14:paraId="15B38E5C" w14:textId="0372D045" w:rsidR="00895F16" w:rsidRPr="007F400A" w:rsidRDefault="00677B61" w:rsidP="00D80FBD">
      <w:pPr>
        <w:spacing w:after="0" w:line="300" w:lineRule="atLeast"/>
        <w:ind w:firstLine="567"/>
        <w:jc w:val="both"/>
        <w:rPr>
          <w:rFonts w:ascii="Times New Roman" w:eastAsia="Times New Roman" w:hAnsi="Times New Roman" w:cs="Times New Roman"/>
          <w:sz w:val="24"/>
          <w:szCs w:val="24"/>
          <w:lang w:eastAsia="pl-PL"/>
        </w:rPr>
      </w:pPr>
      <w:r w:rsidRPr="005E2831">
        <w:rPr>
          <w:rFonts w:ascii="Times New Roman" w:eastAsia="Calibri" w:hAnsi="Times New Roman" w:cs="Times New Roman"/>
          <w:sz w:val="24"/>
          <w:szCs w:val="24"/>
          <w:lang w:eastAsia="pl-PL"/>
        </w:rPr>
        <w:t>Wykonanie obserwacji hydromorfologicznych zaplanowano w 690 jcwp (678 jcwp rzecznych i 12 zbiorników zaporowych) i  badania zrealizowano we wszystkich jcwp</w:t>
      </w:r>
      <w:r w:rsidR="006B4DE0" w:rsidRPr="007F400A">
        <w:rPr>
          <w:rFonts w:ascii="Times New Roman" w:hAnsi="Times New Roman"/>
          <w:sz w:val="24"/>
          <w:szCs w:val="24"/>
          <w:lang w:eastAsia="pl-PL"/>
        </w:rPr>
        <w:t>.</w:t>
      </w:r>
    </w:p>
    <w:p w14:paraId="3459FD14" w14:textId="77777777" w:rsidR="002413C4" w:rsidRPr="007F400A" w:rsidRDefault="002413C4" w:rsidP="00D80FBD">
      <w:pPr>
        <w:spacing w:after="60" w:line="300" w:lineRule="atLeast"/>
        <w:ind w:firstLine="567"/>
        <w:jc w:val="both"/>
        <w:rPr>
          <w:rFonts w:ascii="Times New Roman" w:eastAsia="Times New Roman" w:hAnsi="Times New Roman" w:cs="Times New Roman"/>
          <w:bCs/>
          <w:sz w:val="24"/>
          <w:szCs w:val="24"/>
          <w:lang w:eastAsia="x-none"/>
        </w:rPr>
      </w:pPr>
      <w:r w:rsidRPr="007F400A">
        <w:rPr>
          <w:rFonts w:ascii="Times New Roman" w:eastAsia="Times New Roman" w:hAnsi="Times New Roman" w:cs="Times New Roman"/>
          <w:sz w:val="24"/>
          <w:szCs w:val="24"/>
          <w:lang w:eastAsia="pl-PL"/>
        </w:rPr>
        <w:t xml:space="preserve">Realizowany w 2021 r. monitoring jakości wód obejmował również badania i ocenę jakości wód w jeziorach, badania osadów dennych w rzekach i jeziorach, </w:t>
      </w:r>
      <w:r w:rsidRPr="007F400A">
        <w:rPr>
          <w:rFonts w:ascii="Times New Roman" w:eastAsia="Times New Roman" w:hAnsi="Times New Roman" w:cs="Times New Roman"/>
          <w:bCs/>
          <w:sz w:val="24"/>
          <w:szCs w:val="24"/>
          <w:lang w:eastAsia="x-none"/>
        </w:rPr>
        <w:t>b</w:t>
      </w:r>
      <w:r w:rsidRPr="007F400A">
        <w:rPr>
          <w:rFonts w:ascii="Times New Roman" w:eastAsia="Times New Roman" w:hAnsi="Times New Roman" w:cs="Times New Roman"/>
          <w:bCs/>
          <w:sz w:val="24"/>
          <w:szCs w:val="24"/>
          <w:lang w:val="x-none" w:eastAsia="x-none"/>
        </w:rPr>
        <w:t>adania i ocen</w:t>
      </w:r>
      <w:r w:rsidRPr="007F400A">
        <w:rPr>
          <w:rFonts w:ascii="Times New Roman" w:eastAsia="Times New Roman" w:hAnsi="Times New Roman" w:cs="Times New Roman"/>
          <w:bCs/>
          <w:sz w:val="24"/>
          <w:szCs w:val="24"/>
          <w:lang w:eastAsia="x-none"/>
        </w:rPr>
        <w:t>ę</w:t>
      </w:r>
      <w:r w:rsidRPr="007F400A">
        <w:rPr>
          <w:rFonts w:ascii="Times New Roman" w:eastAsia="Times New Roman" w:hAnsi="Times New Roman" w:cs="Times New Roman"/>
          <w:bCs/>
          <w:sz w:val="24"/>
          <w:szCs w:val="24"/>
          <w:lang w:val="x-none" w:eastAsia="x-none"/>
        </w:rPr>
        <w:t xml:space="preserve"> jakości wód przejściowych i przybrzeżnych oraz Morza Bałtyckiego</w:t>
      </w:r>
      <w:r w:rsidRPr="007F400A">
        <w:rPr>
          <w:rFonts w:ascii="Times New Roman" w:eastAsia="Times New Roman" w:hAnsi="Times New Roman" w:cs="Times New Roman"/>
          <w:bCs/>
          <w:sz w:val="24"/>
          <w:szCs w:val="24"/>
          <w:lang w:eastAsia="x-none"/>
        </w:rPr>
        <w:t>, jak również monitoring jakości wód podziemnych.</w:t>
      </w:r>
    </w:p>
    <w:p w14:paraId="7AA3C20E" w14:textId="20DDBA9E" w:rsidR="00895F16" w:rsidRPr="007F400A" w:rsidRDefault="00E77198" w:rsidP="00D80FBD">
      <w:pPr>
        <w:spacing w:after="60" w:line="300" w:lineRule="atLeast"/>
        <w:ind w:firstLine="567"/>
        <w:jc w:val="both"/>
        <w:rPr>
          <w:rFonts w:ascii="Times New Roman" w:eastAsia="Times New Roman" w:hAnsi="Times New Roman" w:cs="Times New Roman"/>
          <w:sz w:val="24"/>
          <w:szCs w:val="24"/>
          <w:lang w:eastAsia="pl-PL"/>
        </w:rPr>
      </w:pPr>
      <w:r w:rsidRPr="005E2831">
        <w:rPr>
          <w:rFonts w:ascii="Times New Roman" w:hAnsi="Times New Roman" w:cs="Times New Roman"/>
          <w:sz w:val="24"/>
          <w:szCs w:val="24"/>
        </w:rPr>
        <w:t>W 2022 roku w ramach monitoringu jakości gleby i ziemi kontynuowano prace w</w:t>
      </w:r>
      <w:r>
        <w:rPr>
          <w:rFonts w:ascii="Times New Roman" w:hAnsi="Times New Roman" w:cs="Times New Roman"/>
          <w:sz w:val="24"/>
          <w:szCs w:val="24"/>
        </w:rPr>
        <w:t> </w:t>
      </w:r>
      <w:r w:rsidRPr="005E2831">
        <w:rPr>
          <w:rFonts w:ascii="Times New Roman" w:hAnsi="Times New Roman" w:cs="Times New Roman"/>
          <w:sz w:val="24"/>
          <w:szCs w:val="24"/>
        </w:rPr>
        <w:t>zakresie zadania monitoring chemizmu gleb ornych Polski. W roku 2022 kończącym szósty</w:t>
      </w:r>
      <w:r>
        <w:rPr>
          <w:rFonts w:ascii="Times New Roman" w:hAnsi="Times New Roman" w:cs="Times New Roman"/>
          <w:sz w:val="24"/>
          <w:szCs w:val="24"/>
        </w:rPr>
        <w:t>, 5-letni</w:t>
      </w:r>
      <w:r w:rsidRPr="005E2831">
        <w:rPr>
          <w:rFonts w:ascii="Times New Roman" w:hAnsi="Times New Roman" w:cs="Times New Roman"/>
          <w:sz w:val="24"/>
          <w:szCs w:val="24"/>
        </w:rPr>
        <w:t xml:space="preserve"> cykl pomiarowy, zaplanowane zadania zostały w pełni zrealizowane. Opracowany został raport zawierający analizę wyników i syntezę badań, </w:t>
      </w:r>
      <w:r w:rsidRPr="005E2831">
        <w:rPr>
          <w:rFonts w:ascii="Times New Roman" w:hAnsi="Times New Roman" w:cs="Times New Roman"/>
          <w:bCs/>
          <w:sz w:val="24"/>
          <w:szCs w:val="24"/>
        </w:rPr>
        <w:t>na tle danych uzyskanych w poprzednich latach, który</w:t>
      </w:r>
      <w:r w:rsidRPr="005E2831">
        <w:rPr>
          <w:rFonts w:ascii="Times New Roman" w:hAnsi="Times New Roman" w:cs="Times New Roman"/>
          <w:sz w:val="24"/>
          <w:szCs w:val="24"/>
        </w:rPr>
        <w:t xml:space="preserve"> przedstawia aktualną ocenę jakości gleb i stanu ich zanieczyszczenia. Zaktualizowano również portal Monitoring Chemizmu Gleb Ornych</w:t>
      </w:r>
      <w:r w:rsidRPr="005E2831" w:rsidDel="00197553">
        <w:rPr>
          <w:rFonts w:ascii="Times New Roman" w:hAnsi="Times New Roman" w:cs="Times New Roman"/>
          <w:sz w:val="24"/>
          <w:szCs w:val="24"/>
        </w:rPr>
        <w:t xml:space="preserve"> </w:t>
      </w:r>
      <w:r w:rsidRPr="005E2831">
        <w:rPr>
          <w:rFonts w:ascii="Times New Roman" w:hAnsi="Times New Roman" w:cs="Times New Roman"/>
          <w:sz w:val="24"/>
          <w:szCs w:val="24"/>
        </w:rPr>
        <w:t>Polski o aktualne dane pomiarowe</w:t>
      </w:r>
      <w:r w:rsidR="004966BE" w:rsidRPr="007F400A">
        <w:rPr>
          <w:rFonts w:ascii="Times New Roman" w:hAnsi="Times New Roman"/>
          <w:sz w:val="24"/>
          <w:szCs w:val="24"/>
        </w:rPr>
        <w:t>.</w:t>
      </w:r>
      <w:r w:rsidR="002413C4" w:rsidRPr="007F400A">
        <w:rPr>
          <w:rFonts w:ascii="Times New Roman" w:eastAsia="Times New Roman" w:hAnsi="Times New Roman" w:cs="Times New Roman"/>
          <w:bCs/>
          <w:sz w:val="24"/>
          <w:szCs w:val="24"/>
          <w:lang w:eastAsia="x-none"/>
        </w:rPr>
        <w:t xml:space="preserve"> </w:t>
      </w:r>
    </w:p>
    <w:p w14:paraId="70E6F1B8" w14:textId="77777777" w:rsidR="00E77198" w:rsidRDefault="00E77198" w:rsidP="00D80FBD">
      <w:pPr>
        <w:spacing w:after="0" w:line="300" w:lineRule="atLeast"/>
        <w:ind w:firstLine="567"/>
        <w:jc w:val="both"/>
        <w:rPr>
          <w:rFonts w:ascii="Times New Roman" w:hAnsi="Times New Roman" w:cs="Times New Roman"/>
          <w:color w:val="000000"/>
          <w:sz w:val="24"/>
          <w:szCs w:val="24"/>
        </w:rPr>
      </w:pPr>
      <w:r w:rsidRPr="005E2831">
        <w:rPr>
          <w:rFonts w:ascii="Times New Roman" w:hAnsi="Times New Roman" w:cs="Times New Roman"/>
          <w:color w:val="000000"/>
          <w:sz w:val="24"/>
          <w:szCs w:val="24"/>
        </w:rPr>
        <w:t>W 2022 r. Główny Inspektorat Ochrony Środowiska kontynuował realizację programu Monitoringu Ptaków Polski</w:t>
      </w:r>
      <w:r>
        <w:rPr>
          <w:rFonts w:ascii="Times New Roman" w:hAnsi="Times New Roman" w:cs="Times New Roman"/>
          <w:color w:val="000000"/>
          <w:sz w:val="24"/>
          <w:szCs w:val="24"/>
        </w:rPr>
        <w:t xml:space="preserve">, w wyniku którego zaktualizowane zostały: </w:t>
      </w:r>
      <w:r w:rsidRPr="005E2831">
        <w:rPr>
          <w:rFonts w:ascii="Times New Roman" w:hAnsi="Times New Roman" w:cs="Times New Roman"/>
          <w:color w:val="000000"/>
          <w:sz w:val="24"/>
          <w:szCs w:val="24"/>
        </w:rPr>
        <w:t>stron</w:t>
      </w:r>
      <w:r>
        <w:rPr>
          <w:rFonts w:ascii="Times New Roman" w:hAnsi="Times New Roman" w:cs="Times New Roman"/>
          <w:color w:val="000000"/>
          <w:sz w:val="24"/>
          <w:szCs w:val="24"/>
        </w:rPr>
        <w:t>a</w:t>
      </w:r>
      <w:r w:rsidRPr="005E2831">
        <w:rPr>
          <w:rFonts w:ascii="Times New Roman" w:hAnsi="Times New Roman" w:cs="Times New Roman"/>
          <w:color w:val="000000"/>
          <w:sz w:val="24"/>
          <w:szCs w:val="24"/>
        </w:rPr>
        <w:t xml:space="preserve"> internetow</w:t>
      </w:r>
      <w:r>
        <w:rPr>
          <w:rFonts w:ascii="Times New Roman" w:hAnsi="Times New Roman" w:cs="Times New Roman"/>
          <w:color w:val="000000"/>
          <w:sz w:val="24"/>
          <w:szCs w:val="24"/>
        </w:rPr>
        <w:t>a</w:t>
      </w:r>
      <w:r w:rsidRPr="005E2831">
        <w:rPr>
          <w:rFonts w:ascii="Times New Roman" w:hAnsi="Times New Roman" w:cs="Times New Roman"/>
          <w:color w:val="000000"/>
          <w:sz w:val="24"/>
          <w:szCs w:val="24"/>
        </w:rPr>
        <w:t xml:space="preserve"> (https://monitoringptakow.gios.gov.pl), Portal Mapowy GIS</w:t>
      </w:r>
    </w:p>
    <w:p w14:paraId="3AAC8CA1" w14:textId="77777777" w:rsidR="00E77198" w:rsidRDefault="00E77198" w:rsidP="00D80FBD">
      <w:pPr>
        <w:spacing w:after="0" w:line="300" w:lineRule="atLeast"/>
        <w:jc w:val="both"/>
        <w:rPr>
          <w:rFonts w:ascii="Times New Roman" w:hAnsi="Times New Roman"/>
          <w:color w:val="000000"/>
          <w:sz w:val="24"/>
          <w:szCs w:val="24"/>
        </w:rPr>
      </w:pPr>
      <w:r>
        <w:rPr>
          <w:rFonts w:ascii="Times New Roman" w:hAnsi="Times New Roman" w:cs="Times New Roman"/>
          <w:color w:val="000000"/>
          <w:sz w:val="24"/>
          <w:szCs w:val="24"/>
        </w:rPr>
        <w:t xml:space="preserve"> </w:t>
      </w:r>
      <w:r w:rsidRPr="005E2831">
        <w:rPr>
          <w:rFonts w:ascii="Times New Roman" w:hAnsi="Times New Roman" w:cs="Times New Roman"/>
          <w:color w:val="000000"/>
          <w:sz w:val="24"/>
          <w:szCs w:val="24"/>
        </w:rPr>
        <w:t>(http://monitoringptakow.gios.gov.pl/PM-GIS) i baz</w:t>
      </w:r>
      <w:r>
        <w:rPr>
          <w:rFonts w:ascii="Times New Roman" w:hAnsi="Times New Roman" w:cs="Times New Roman"/>
          <w:color w:val="000000"/>
          <w:sz w:val="24"/>
          <w:szCs w:val="24"/>
        </w:rPr>
        <w:t>a</w:t>
      </w:r>
      <w:r w:rsidRPr="005E2831">
        <w:rPr>
          <w:rFonts w:ascii="Times New Roman" w:hAnsi="Times New Roman" w:cs="Times New Roman"/>
          <w:color w:val="000000"/>
          <w:sz w:val="24"/>
          <w:szCs w:val="24"/>
        </w:rPr>
        <w:t xml:space="preserve"> danych MPP</w:t>
      </w:r>
      <w:r>
        <w:rPr>
          <w:rFonts w:ascii="Times New Roman" w:hAnsi="Times New Roman" w:cs="Times New Roman"/>
          <w:color w:val="000000"/>
          <w:sz w:val="24"/>
          <w:szCs w:val="24"/>
        </w:rPr>
        <w:t>.</w:t>
      </w:r>
      <w:r w:rsidR="00222EC3" w:rsidRPr="007F400A">
        <w:rPr>
          <w:rFonts w:ascii="Times New Roman" w:hAnsi="Times New Roman"/>
          <w:color w:val="000000"/>
          <w:sz w:val="24"/>
          <w:szCs w:val="24"/>
        </w:rPr>
        <w:t xml:space="preserve"> </w:t>
      </w:r>
    </w:p>
    <w:p w14:paraId="51B76538" w14:textId="534240DB" w:rsidR="002413C4" w:rsidRPr="007F400A" w:rsidRDefault="00222EC3" w:rsidP="00D80FBD">
      <w:pPr>
        <w:spacing w:after="60" w:line="300" w:lineRule="atLeast"/>
        <w:ind w:firstLine="567"/>
        <w:jc w:val="both"/>
        <w:rPr>
          <w:rFonts w:ascii="Times New Roman" w:eastAsia="Calibri" w:hAnsi="Times New Roman" w:cs="Times New Roman"/>
          <w:sz w:val="24"/>
          <w:szCs w:val="24"/>
          <w:lang w:eastAsia="pl-PL"/>
        </w:rPr>
      </w:pPr>
      <w:r w:rsidRPr="007F400A">
        <w:rPr>
          <w:rFonts w:ascii="Times New Roman" w:hAnsi="Times New Roman"/>
          <w:color w:val="000000"/>
          <w:sz w:val="24"/>
          <w:szCs w:val="24"/>
        </w:rPr>
        <w:t xml:space="preserve">Ponadto, w dalszym ciągu </w:t>
      </w:r>
      <w:r w:rsidRPr="007F400A">
        <w:rPr>
          <w:rFonts w:ascii="Times New Roman" w:eastAsia="Calibri" w:hAnsi="Times New Roman" w:cs="Times New Roman"/>
          <w:sz w:val="24"/>
          <w:szCs w:val="24"/>
          <w:lang w:eastAsia="pl-PL"/>
        </w:rPr>
        <w:t>prowadzony był monitoring gatunków i siedlisk przyrodniczych oraz gatunków i siedlisk morskich.</w:t>
      </w:r>
      <w:r w:rsidR="00E77198">
        <w:rPr>
          <w:rFonts w:ascii="Times New Roman" w:eastAsia="Calibri" w:hAnsi="Times New Roman" w:cs="Times New Roman"/>
          <w:sz w:val="24"/>
          <w:szCs w:val="24"/>
          <w:lang w:eastAsia="pl-PL"/>
        </w:rPr>
        <w:t xml:space="preserve"> </w:t>
      </w:r>
      <w:r w:rsidR="002953E6" w:rsidRPr="005E2831">
        <w:rPr>
          <w:rFonts w:ascii="Times New Roman" w:hAnsi="Times New Roman" w:cs="Times New Roman"/>
          <w:sz w:val="24"/>
          <w:szCs w:val="24"/>
        </w:rPr>
        <w:t>W 2022 r. zakończono realizację kolejnego cyklu monitoringu gatunków i siedlisk przyrodniczych (MGSP), obejmującego lata 2020-2021.</w:t>
      </w:r>
      <w:r w:rsidR="002953E6" w:rsidRPr="005E2831">
        <w:rPr>
          <w:rFonts w:ascii="Times New Roman" w:hAnsi="Times New Roman" w:cs="Times New Roman"/>
        </w:rPr>
        <w:t xml:space="preserve"> </w:t>
      </w:r>
      <w:r w:rsidR="002953E6" w:rsidRPr="005E2831">
        <w:rPr>
          <w:rFonts w:ascii="Times New Roman" w:hAnsi="Times New Roman" w:cs="Times New Roman"/>
          <w:sz w:val="24"/>
          <w:szCs w:val="24"/>
        </w:rPr>
        <w:t>W MGSP do monitoringu</w:t>
      </w:r>
      <w:r w:rsidR="002953E6">
        <w:rPr>
          <w:rFonts w:ascii="Times New Roman" w:hAnsi="Times New Roman" w:cs="Times New Roman"/>
          <w:sz w:val="24"/>
          <w:szCs w:val="24"/>
        </w:rPr>
        <w:t xml:space="preserve"> </w:t>
      </w:r>
      <w:r w:rsidR="002953E6" w:rsidRPr="005E2831">
        <w:rPr>
          <w:rFonts w:ascii="Times New Roman" w:hAnsi="Times New Roman" w:cs="Times New Roman"/>
          <w:sz w:val="24"/>
          <w:szCs w:val="24"/>
        </w:rPr>
        <w:t xml:space="preserve">wskazano głównie te gatunki bądź siedliska przyrodnicze, które są </w:t>
      </w:r>
      <w:r w:rsidR="002953E6" w:rsidRPr="005E2831">
        <w:rPr>
          <w:rFonts w:ascii="Times New Roman" w:hAnsi="Times New Roman" w:cs="Times New Roman"/>
          <w:sz w:val="24"/>
          <w:szCs w:val="24"/>
        </w:rPr>
        <w:lastRenderedPageBreak/>
        <w:t>uważane za zagrożone w Unii Europejskiej albo w Polsce, a więc wymienione w załącznikach do dyrektywy siedliskowej i/lub w polskich czerwonych listach i księgach</w:t>
      </w:r>
      <w:r w:rsidR="004966BE" w:rsidRPr="007F400A">
        <w:rPr>
          <w:rFonts w:ascii="Times New Roman" w:eastAsia="Calibri" w:hAnsi="Times New Roman" w:cs="Times New Roman"/>
          <w:sz w:val="24"/>
          <w:szCs w:val="24"/>
          <w:lang w:eastAsia="pl-PL"/>
        </w:rPr>
        <w:t xml:space="preserve"> </w:t>
      </w:r>
    </w:p>
    <w:p w14:paraId="415647A5" w14:textId="6BF010CF" w:rsidR="002A6B72" w:rsidRPr="007F400A" w:rsidRDefault="00D87378" w:rsidP="00D80FBD">
      <w:pPr>
        <w:spacing w:after="60" w:line="300" w:lineRule="atLeast"/>
        <w:ind w:firstLine="567"/>
        <w:jc w:val="both"/>
        <w:rPr>
          <w:rFonts w:ascii="Times New Roman" w:hAnsi="Times New Roman"/>
          <w:color w:val="000000"/>
          <w:sz w:val="24"/>
          <w:szCs w:val="24"/>
        </w:rPr>
      </w:pPr>
      <w:r>
        <w:rPr>
          <w:rFonts w:ascii="Times New Roman" w:eastAsia="Times New Roman" w:hAnsi="Times New Roman" w:cs="Times New Roman"/>
          <w:sz w:val="24"/>
          <w:szCs w:val="24"/>
          <w:lang w:eastAsia="pl-PL"/>
        </w:rPr>
        <w:t>W 2022 r. m</w:t>
      </w:r>
      <w:r w:rsidRPr="005E2831">
        <w:rPr>
          <w:rFonts w:ascii="Times New Roman" w:eastAsia="Times New Roman" w:hAnsi="Times New Roman" w:cs="Times New Roman"/>
          <w:sz w:val="24"/>
          <w:szCs w:val="24"/>
          <w:lang w:eastAsia="pl-PL"/>
        </w:rPr>
        <w:t>onitoring lasów prowadzony był w oparciu o sieć stałych powierzchni obserwacyjnych (SPO) założonych w drzewostanach w wieku powyżej 20 lat w lasach wszystkich kategorii własności</w:t>
      </w:r>
      <w:r w:rsidR="00BD6295">
        <w:rPr>
          <w:rFonts w:ascii="Times New Roman" w:eastAsia="Times New Roman" w:hAnsi="Times New Roman" w:cs="Times New Roman"/>
          <w:sz w:val="24"/>
          <w:szCs w:val="24"/>
          <w:lang w:eastAsia="pl-PL"/>
        </w:rPr>
        <w:t>.</w:t>
      </w:r>
      <w:r w:rsidRPr="007F400A">
        <w:rPr>
          <w:rFonts w:ascii="Times New Roman" w:eastAsia="Times New Roman" w:hAnsi="Times New Roman"/>
          <w:sz w:val="24"/>
          <w:szCs w:val="24"/>
          <w:lang w:eastAsia="pl-PL"/>
        </w:rPr>
        <w:t xml:space="preserve"> </w:t>
      </w:r>
      <w:r w:rsidR="00BD6295" w:rsidRPr="005E2831">
        <w:rPr>
          <w:rFonts w:ascii="Times New Roman" w:eastAsia="Times New Roman" w:hAnsi="Times New Roman" w:cs="Times New Roman"/>
          <w:sz w:val="24"/>
          <w:szCs w:val="24"/>
          <w:lang w:eastAsia="pl-PL"/>
        </w:rPr>
        <w:t>W 2022 r. wykonana została ocena stanu zdrowotnego lasów za rok 2021. Podstawę do</w:t>
      </w:r>
      <w:r w:rsidR="00BD6295">
        <w:rPr>
          <w:rFonts w:ascii="Times New Roman" w:eastAsia="Times New Roman" w:hAnsi="Times New Roman" w:cs="Times New Roman"/>
          <w:sz w:val="24"/>
          <w:szCs w:val="24"/>
          <w:lang w:eastAsia="pl-PL"/>
        </w:rPr>
        <w:t> </w:t>
      </w:r>
      <w:r w:rsidR="00BD6295" w:rsidRPr="005E2831">
        <w:rPr>
          <w:rFonts w:ascii="Times New Roman" w:eastAsia="Times New Roman" w:hAnsi="Times New Roman" w:cs="Times New Roman"/>
          <w:sz w:val="24"/>
          <w:szCs w:val="24"/>
          <w:lang w:eastAsia="pl-PL"/>
        </w:rPr>
        <w:t>jej</w:t>
      </w:r>
      <w:r w:rsidR="00BD6295">
        <w:rPr>
          <w:rFonts w:ascii="Times New Roman" w:eastAsia="Times New Roman" w:hAnsi="Times New Roman" w:cs="Times New Roman"/>
          <w:sz w:val="24"/>
          <w:szCs w:val="24"/>
          <w:lang w:eastAsia="pl-PL"/>
        </w:rPr>
        <w:t> </w:t>
      </w:r>
      <w:r w:rsidR="00BD6295" w:rsidRPr="005E2831">
        <w:rPr>
          <w:rFonts w:ascii="Times New Roman" w:eastAsia="Times New Roman" w:hAnsi="Times New Roman" w:cs="Times New Roman"/>
          <w:sz w:val="24"/>
          <w:szCs w:val="24"/>
          <w:lang w:eastAsia="pl-PL"/>
        </w:rPr>
        <w:t>wykonania stanowiły wyniki badań monitoringowych będących w gestii zarówno GIOŚ, jak i Generalnej Dyrekcji Lasów Państwowych. W rezultacie powstało opracowanie pt. „Stan zdrowotny lasów w Polsce w 2021 roku na podstawie badań monitoringowych”</w:t>
      </w:r>
      <w:r w:rsidR="002953E6">
        <w:rPr>
          <w:rFonts w:ascii="Times New Roman" w:eastAsia="Times New Roman" w:hAnsi="Times New Roman"/>
          <w:sz w:val="24"/>
          <w:szCs w:val="24"/>
          <w:lang w:eastAsia="pl-PL"/>
        </w:rPr>
        <w:t>.</w:t>
      </w:r>
    </w:p>
    <w:p w14:paraId="09AD4F1A" w14:textId="77777777" w:rsidR="00BD6295" w:rsidRDefault="00BD6295" w:rsidP="00D80FBD">
      <w:pPr>
        <w:spacing w:after="0" w:line="300" w:lineRule="atLeast"/>
        <w:ind w:firstLine="567"/>
        <w:jc w:val="both"/>
        <w:rPr>
          <w:rFonts w:ascii="Times New Roman" w:hAnsi="Times New Roman" w:cs="Times New Roman"/>
          <w:sz w:val="24"/>
          <w:szCs w:val="24"/>
        </w:rPr>
      </w:pPr>
      <w:r w:rsidRPr="00BD6295">
        <w:rPr>
          <w:rFonts w:ascii="Times New Roman" w:hAnsi="Times New Roman" w:cs="Times New Roman"/>
          <w:sz w:val="24"/>
          <w:szCs w:val="24"/>
        </w:rPr>
        <w:t xml:space="preserve">W 2022 r. w ramach Państwowego Monitoringu Środowiska realizowano zadanie dotyczące badania i oceny stanu akustycznego środowiska. Wykonano pomiary hałasu drogowego, szynowego oraz lotniczego. Dodatkowo, zgromadzono dane nie tylko z pomiarów wykonanych przez CLB GIOŚ, ale także dane z pomiarów hałasu komunikacyjnego wykonane przez zarządzających, na podstawie art. 175 ustawy Poś, pomiarów wynikających z analiz porealizacyjnych oraz pomiarów hałasu przemysłowego wykonywanych przez WIOŚ/GIOŚ </w:t>
      </w:r>
      <w:r>
        <w:rPr>
          <w:rFonts w:ascii="Times New Roman" w:hAnsi="Times New Roman" w:cs="Times New Roman"/>
          <w:sz w:val="24"/>
          <w:szCs w:val="24"/>
        </w:rPr>
        <w:br/>
      </w:r>
      <w:r w:rsidRPr="00BD6295">
        <w:rPr>
          <w:rFonts w:ascii="Times New Roman" w:hAnsi="Times New Roman" w:cs="Times New Roman"/>
          <w:sz w:val="24"/>
          <w:szCs w:val="24"/>
        </w:rPr>
        <w:t>w ramach kontroli oraz przez prowadzących instalacje i użytkowników urządzeń.</w:t>
      </w:r>
    </w:p>
    <w:p w14:paraId="0C5AC292" w14:textId="77777777" w:rsidR="008F15C4" w:rsidRDefault="00BD6295" w:rsidP="00D80FBD">
      <w:pPr>
        <w:spacing w:after="60" w:line="300" w:lineRule="atLeast"/>
        <w:ind w:firstLine="567"/>
        <w:jc w:val="both"/>
        <w:rPr>
          <w:rFonts w:ascii="Times New Roman" w:hAnsi="Times New Roman" w:cs="Times New Roman"/>
          <w:sz w:val="24"/>
          <w:szCs w:val="24"/>
        </w:rPr>
      </w:pPr>
      <w:r w:rsidRPr="00822EB7">
        <w:rPr>
          <w:rFonts w:ascii="Times New Roman" w:hAnsi="Times New Roman" w:cs="Times New Roman"/>
          <w:sz w:val="24"/>
          <w:szCs w:val="24"/>
        </w:rPr>
        <w:t>W 2022 r. zakończono prace nad bazą EHAŁAS-M służącą do przekazywania do GIOŚ strategicznych map hałasu wraz z danymi identyfikującymi oraz Programów ochrony środowiska przed hałasem. Baza umożliwia zdalne przekazywanie do GIOŚ powyższych dokumentów przez zarządzających głównymi drogami, liniami kolejowymi, lotniskami, oraz prezydentów miast o liczbie mieszkańców &gt; 100 tyś, a także marszałków województw</w:t>
      </w:r>
      <w:r w:rsidR="00E52CCD">
        <w:rPr>
          <w:rFonts w:ascii="Times New Roman" w:hAnsi="Times New Roman" w:cs="Times New Roman"/>
          <w:sz w:val="24"/>
          <w:szCs w:val="24"/>
        </w:rPr>
        <w:t>.</w:t>
      </w:r>
    </w:p>
    <w:p w14:paraId="6495B24A" w14:textId="0A97D5F7" w:rsidR="004C71A4" w:rsidRPr="00BD6295" w:rsidRDefault="008F15C4" w:rsidP="00D80FBD">
      <w:pPr>
        <w:spacing w:after="60" w:line="300" w:lineRule="atLeast"/>
        <w:ind w:firstLine="567"/>
        <w:jc w:val="both"/>
        <w:rPr>
          <w:rFonts w:ascii="Times New Roman" w:eastAsia="Times New Roman" w:hAnsi="Times New Roman" w:cs="Times New Roman"/>
          <w:sz w:val="24"/>
          <w:szCs w:val="24"/>
          <w:lang w:eastAsia="pl-PL"/>
        </w:rPr>
      </w:pPr>
      <w:r w:rsidRPr="00822EB7">
        <w:rPr>
          <w:rFonts w:ascii="Times New Roman" w:hAnsi="Times New Roman" w:cs="Times New Roman"/>
          <w:sz w:val="24"/>
          <w:szCs w:val="24"/>
        </w:rPr>
        <w:t xml:space="preserve">Za pomocą bazy EHAŁAS-M, w 2022 r., 104 zarządzających złożyło do GIOŚ strategiczne mapy hałasu oraz zaktualizowane dane identyfikujące. Zweryfikowane </w:t>
      </w:r>
      <w:r>
        <w:rPr>
          <w:rFonts w:ascii="Times New Roman" w:hAnsi="Times New Roman" w:cs="Times New Roman"/>
          <w:sz w:val="24"/>
          <w:szCs w:val="24"/>
        </w:rPr>
        <w:br/>
      </w:r>
      <w:r w:rsidRPr="00822EB7">
        <w:rPr>
          <w:rFonts w:ascii="Times New Roman" w:hAnsi="Times New Roman" w:cs="Times New Roman"/>
          <w:sz w:val="24"/>
          <w:szCs w:val="24"/>
        </w:rPr>
        <w:t>i przekształcone do</w:t>
      </w:r>
      <w:r>
        <w:rPr>
          <w:rFonts w:ascii="Times New Roman" w:hAnsi="Times New Roman" w:cs="Times New Roman"/>
          <w:sz w:val="24"/>
          <w:szCs w:val="24"/>
        </w:rPr>
        <w:t> </w:t>
      </w:r>
      <w:r w:rsidRPr="00822EB7">
        <w:rPr>
          <w:rFonts w:ascii="Times New Roman" w:hAnsi="Times New Roman" w:cs="Times New Roman"/>
          <w:sz w:val="24"/>
          <w:szCs w:val="24"/>
        </w:rPr>
        <w:t>odpowiedniego formatu mapy są przekazywane do Komisji Europejskiej za pomocą systemu Reportnet 3.0</w:t>
      </w:r>
      <w:r>
        <w:rPr>
          <w:rFonts w:ascii="Times New Roman" w:hAnsi="Times New Roman" w:cs="Times New Roman"/>
          <w:sz w:val="24"/>
          <w:szCs w:val="24"/>
        </w:rPr>
        <w:t>.</w:t>
      </w:r>
      <w:r w:rsidR="00BD6295" w:rsidRPr="00BD6295">
        <w:rPr>
          <w:rFonts w:ascii="Times New Roman" w:hAnsi="Times New Roman" w:cs="Times New Roman"/>
          <w:sz w:val="24"/>
          <w:szCs w:val="24"/>
        </w:rPr>
        <w:t xml:space="preserve"> </w:t>
      </w:r>
    </w:p>
    <w:p w14:paraId="4ABF1572" w14:textId="7149BF00" w:rsidR="008F15C4" w:rsidRPr="00822EB7" w:rsidRDefault="008F15C4" w:rsidP="00D80FBD">
      <w:pPr>
        <w:spacing w:after="60" w:line="300" w:lineRule="atLeast"/>
        <w:ind w:firstLine="709"/>
        <w:jc w:val="both"/>
        <w:rPr>
          <w:rFonts w:ascii="Times New Roman" w:hAnsi="Times New Roman" w:cs="Times New Roman"/>
          <w:sz w:val="24"/>
          <w:szCs w:val="24"/>
        </w:rPr>
      </w:pPr>
      <w:r w:rsidRPr="00822EB7">
        <w:rPr>
          <w:rFonts w:ascii="Times New Roman" w:hAnsi="Times New Roman" w:cs="Times New Roman"/>
          <w:sz w:val="24"/>
          <w:szCs w:val="24"/>
        </w:rPr>
        <w:t>Od 2021 r. monitoring pól elektromagnetycznych prowadzony jest zgodnie z</w:t>
      </w:r>
      <w:r>
        <w:rPr>
          <w:rFonts w:ascii="Times New Roman" w:hAnsi="Times New Roman" w:cs="Times New Roman"/>
          <w:sz w:val="24"/>
          <w:szCs w:val="24"/>
        </w:rPr>
        <w:t xml:space="preserve"> nowym rozporządzeniem </w:t>
      </w:r>
      <w:r w:rsidRPr="007F400A">
        <w:rPr>
          <w:rFonts w:ascii="Times New Roman" w:eastAsia="Times New Roman" w:hAnsi="Times New Roman"/>
          <w:sz w:val="24"/>
          <w:szCs w:val="24"/>
          <w:lang w:eastAsia="pl-PL"/>
        </w:rPr>
        <w:t>Ministra Klimatu i Środowiska z dnia 15 grudnia 2020 r. w sprawie zakresu i sposobu prowadzenia okresowych badań poziomów pól elektromagnetycznych w środowisku</w:t>
      </w:r>
      <w:r>
        <w:rPr>
          <w:rFonts w:ascii="Times New Roman" w:hAnsi="Times New Roman" w:cs="Times New Roman"/>
          <w:sz w:val="24"/>
          <w:szCs w:val="24"/>
        </w:rPr>
        <w:t>.</w:t>
      </w:r>
      <w:r w:rsidRPr="00822EB7">
        <w:rPr>
          <w:rFonts w:ascii="Times New Roman" w:hAnsi="Times New Roman" w:cs="Times New Roman"/>
          <w:sz w:val="24"/>
          <w:szCs w:val="24"/>
        </w:rPr>
        <w:t xml:space="preserve"> Punkty pomiarowe wyznacza się w ramach stałej sieć monitoringu (w</w:t>
      </w:r>
      <w:r>
        <w:rPr>
          <w:rFonts w:ascii="Times New Roman" w:hAnsi="Times New Roman" w:cs="Times New Roman"/>
          <w:sz w:val="24"/>
          <w:szCs w:val="24"/>
        </w:rPr>
        <w:t> </w:t>
      </w:r>
      <w:r w:rsidRPr="00822EB7">
        <w:rPr>
          <w:rFonts w:ascii="Times New Roman" w:hAnsi="Times New Roman" w:cs="Times New Roman"/>
          <w:sz w:val="24"/>
          <w:szCs w:val="24"/>
        </w:rPr>
        <w:t>miastach) i monitoringu badawczego (w gminach wiejskich). 2022 r. był drugim rokiem w</w:t>
      </w:r>
      <w:r>
        <w:rPr>
          <w:rFonts w:ascii="Times New Roman" w:hAnsi="Times New Roman" w:cs="Times New Roman"/>
          <w:sz w:val="24"/>
          <w:szCs w:val="24"/>
        </w:rPr>
        <w:t> </w:t>
      </w:r>
      <w:r w:rsidRPr="00822EB7">
        <w:rPr>
          <w:rFonts w:ascii="Times New Roman" w:hAnsi="Times New Roman" w:cs="Times New Roman"/>
          <w:sz w:val="24"/>
          <w:szCs w:val="24"/>
        </w:rPr>
        <w:t xml:space="preserve">dwuletnim cyklu pomiarowych stałej sieci monitoringu oraz drugim rokiem w czteroletnim cyklu monitoringu badawczego. </w:t>
      </w:r>
    </w:p>
    <w:p w14:paraId="7AFD0ACD" w14:textId="3531659A" w:rsidR="00895F16" w:rsidRPr="007F400A" w:rsidRDefault="008F15C4" w:rsidP="00D80FBD">
      <w:pPr>
        <w:spacing w:after="0" w:line="300" w:lineRule="atLeast"/>
        <w:ind w:firstLine="567"/>
        <w:jc w:val="both"/>
        <w:rPr>
          <w:rFonts w:ascii="Times New Roman" w:eastAsia="Times New Roman" w:hAnsi="Times New Roman" w:cs="Times New Roman"/>
          <w:sz w:val="24"/>
          <w:szCs w:val="24"/>
          <w:lang w:eastAsia="pl-PL"/>
        </w:rPr>
      </w:pPr>
      <w:r w:rsidRPr="00822EB7">
        <w:rPr>
          <w:rFonts w:ascii="Times New Roman" w:eastAsia="Square721EU-Normal" w:hAnsi="Times New Roman" w:cs="Times New Roman"/>
          <w:sz w:val="24"/>
          <w:szCs w:val="24"/>
        </w:rPr>
        <w:t xml:space="preserve">Program pomiarowy w zakresie monitoringu PEM zaplanowany w Programie wykonawczym monitoringu pól elektromagnetycznych na rok 2022 został w pełni zrealizowany. </w:t>
      </w:r>
      <w:r w:rsidRPr="00822EB7">
        <w:rPr>
          <w:rFonts w:ascii="Times New Roman" w:hAnsi="Times New Roman" w:cs="Times New Roman"/>
          <w:sz w:val="24"/>
          <w:szCs w:val="24"/>
        </w:rPr>
        <w:t xml:space="preserve">Centralne Laboratorium Badawcze (CLB) GIOŚ w 2022 r. wykonało pomiary poziomów pól elektromagnetycznych w środowisku w 1 168 punktach pomiarowych w całej Polsce. </w:t>
      </w:r>
      <w:r w:rsidRPr="00822EB7">
        <w:rPr>
          <w:rFonts w:ascii="Times New Roman" w:eastAsia="Square721EU-Normal" w:hAnsi="Times New Roman" w:cs="Times New Roman"/>
          <w:sz w:val="24"/>
          <w:szCs w:val="24"/>
        </w:rPr>
        <w:t xml:space="preserve">W ramach stałej sieci monitoringu wykonano łącznie </w:t>
      </w:r>
      <w:r w:rsidRPr="00822EB7">
        <w:rPr>
          <w:rFonts w:ascii="Times New Roman" w:hAnsi="Times New Roman" w:cs="Times New Roman"/>
          <w:sz w:val="24"/>
          <w:szCs w:val="24"/>
        </w:rPr>
        <w:t>771 pomiarów, natomiast w</w:t>
      </w:r>
      <w:r>
        <w:rPr>
          <w:rFonts w:ascii="Times New Roman" w:hAnsi="Times New Roman" w:cs="Times New Roman"/>
          <w:sz w:val="24"/>
          <w:szCs w:val="24"/>
        </w:rPr>
        <w:t> </w:t>
      </w:r>
      <w:r w:rsidRPr="00822EB7">
        <w:rPr>
          <w:rFonts w:ascii="Times New Roman" w:hAnsi="Times New Roman" w:cs="Times New Roman"/>
          <w:sz w:val="24"/>
          <w:szCs w:val="24"/>
        </w:rPr>
        <w:t>ramach monitoringu badawczego – 397 pomiarów</w:t>
      </w:r>
      <w:r w:rsidR="00895F16" w:rsidRPr="007F400A">
        <w:rPr>
          <w:rFonts w:ascii="Times New Roman" w:eastAsia="Times New Roman" w:hAnsi="Times New Roman" w:cs="Times New Roman"/>
          <w:sz w:val="24"/>
          <w:szCs w:val="24"/>
          <w:lang w:eastAsia="pl-PL"/>
        </w:rPr>
        <w:t xml:space="preserve">. </w:t>
      </w:r>
    </w:p>
    <w:p w14:paraId="0E51B75F" w14:textId="77777777" w:rsidR="008F15C4" w:rsidRPr="00822EB7" w:rsidRDefault="008F15C4" w:rsidP="00D80FBD">
      <w:pPr>
        <w:autoSpaceDE w:val="0"/>
        <w:autoSpaceDN w:val="0"/>
        <w:adjustRightInd w:val="0"/>
        <w:spacing w:after="0" w:line="300" w:lineRule="atLeast"/>
        <w:ind w:firstLine="567"/>
        <w:jc w:val="both"/>
        <w:rPr>
          <w:rFonts w:ascii="Times New Roman" w:eastAsia="Square721EU-Normal" w:hAnsi="Times New Roman" w:cs="Times New Roman"/>
          <w:sz w:val="24"/>
          <w:szCs w:val="24"/>
        </w:rPr>
      </w:pPr>
      <w:r w:rsidRPr="00822EB7">
        <w:rPr>
          <w:rFonts w:ascii="Times New Roman" w:eastAsia="Square721EU-Normal" w:hAnsi="Times New Roman" w:cs="Times New Roman"/>
          <w:sz w:val="24"/>
          <w:szCs w:val="24"/>
        </w:rPr>
        <w:t xml:space="preserve">W 2022 roku dla obszaru całego kraju wykonano Ocenę poziomów pól elektromagnetycznych w Polsce w roku 2021 – opracowaną na podstawie pomiarów wykonanych przez Inspekcję Ochrony Środowiska. Wykonano również 16 ocen poziomów pól elektromagnetycznych w środowisku na poziomie każdego województwa. </w:t>
      </w:r>
    </w:p>
    <w:p w14:paraId="58946696" w14:textId="0D74600B" w:rsidR="00895F16" w:rsidRDefault="008F15C4" w:rsidP="00D80FBD">
      <w:pPr>
        <w:shd w:val="clear" w:color="auto" w:fill="FFFFFF"/>
        <w:spacing w:after="0" w:line="300" w:lineRule="atLeast"/>
        <w:ind w:firstLine="567"/>
        <w:jc w:val="both"/>
        <w:rPr>
          <w:rFonts w:ascii="Times New Roman" w:eastAsia="Square721EU-Normal" w:hAnsi="Times New Roman"/>
          <w:sz w:val="24"/>
          <w:szCs w:val="24"/>
          <w:lang w:eastAsia="pl-PL"/>
        </w:rPr>
      </w:pPr>
      <w:r w:rsidRPr="00822EB7">
        <w:rPr>
          <w:rFonts w:ascii="Times New Roman" w:hAnsi="Times New Roman" w:cs="Times New Roman"/>
          <w:sz w:val="24"/>
          <w:szCs w:val="24"/>
        </w:rPr>
        <w:t>Poziom pól elektromagnetycznych w środowisku (tło elektromagnetyczne) na terenie Polski utrzymuje się na niskim poziomie, zbliżonym do lat poprzednich</w:t>
      </w:r>
      <w:r w:rsidR="00477F10" w:rsidRPr="007F400A">
        <w:rPr>
          <w:rFonts w:ascii="Times New Roman" w:eastAsia="Square721EU-Normal" w:hAnsi="Times New Roman"/>
          <w:sz w:val="24"/>
          <w:szCs w:val="24"/>
          <w:lang w:eastAsia="pl-PL"/>
        </w:rPr>
        <w:t>.</w:t>
      </w:r>
    </w:p>
    <w:p w14:paraId="3EAA7995" w14:textId="2276884E" w:rsidR="00346965" w:rsidRPr="004256D4" w:rsidRDefault="00346965" w:rsidP="00D80FBD">
      <w:pPr>
        <w:spacing w:line="300" w:lineRule="atLeast"/>
        <w:ind w:firstLine="567"/>
        <w:jc w:val="both"/>
        <w:rPr>
          <w:rFonts w:ascii="Times New Roman" w:hAnsi="Times New Roman" w:cs="Times New Roman"/>
          <w:sz w:val="24"/>
          <w:szCs w:val="24"/>
        </w:rPr>
      </w:pPr>
      <w:r w:rsidRPr="004256D4">
        <w:rPr>
          <w:rFonts w:ascii="Times New Roman" w:hAnsi="Times New Roman" w:cs="Times New Roman"/>
          <w:sz w:val="24"/>
          <w:szCs w:val="24"/>
        </w:rPr>
        <w:lastRenderedPageBreak/>
        <w:t xml:space="preserve">W 2022 r. kontynuowano realizację ustawowego zadania koordynacji współpracy Polski z Europejską Agencją Środowiska w ramach Europejskiej Sieci Informacji i Obserwacji Środowiska EIONET. Zapewniono bieżące funkcjonowanie sieci, obejmującej szereg instytucji i ekspertów, przekazywano do EEA dane i informacje, uczestniczono w tworzeniu </w:t>
      </w:r>
      <w:r w:rsidR="00D44C6B">
        <w:rPr>
          <w:rFonts w:ascii="Times New Roman" w:hAnsi="Times New Roman" w:cs="Times New Roman"/>
          <w:sz w:val="24"/>
          <w:szCs w:val="24"/>
        </w:rPr>
        <w:br/>
      </w:r>
      <w:r w:rsidRPr="004256D4">
        <w:rPr>
          <w:rFonts w:ascii="Times New Roman" w:hAnsi="Times New Roman" w:cs="Times New Roman"/>
          <w:sz w:val="24"/>
          <w:szCs w:val="24"/>
        </w:rPr>
        <w:t xml:space="preserve">i opiniowaniu licznych działań, produktów i projektów EEA oraz wymieniano doświadczenia z innymi krajami. Rok 2022 był też rokiem testowania wprowadzanej przez EEA modernizacji struktury EIONET oraz form i narzędzi współpracy. </w:t>
      </w:r>
    </w:p>
    <w:p w14:paraId="449546A9" w14:textId="77777777" w:rsidR="00346965" w:rsidRPr="007F400A" w:rsidRDefault="00346965" w:rsidP="00D80FBD">
      <w:pPr>
        <w:shd w:val="clear" w:color="auto" w:fill="FFFFFF"/>
        <w:spacing w:after="0" w:line="300" w:lineRule="atLeast"/>
        <w:ind w:firstLine="567"/>
        <w:jc w:val="both"/>
        <w:rPr>
          <w:rFonts w:ascii="Times New Roman" w:eastAsia="Square721EU-Normal" w:hAnsi="Times New Roman"/>
          <w:sz w:val="24"/>
          <w:szCs w:val="24"/>
          <w:lang w:eastAsia="pl-PL"/>
        </w:rPr>
      </w:pPr>
    </w:p>
    <w:bookmarkEnd w:id="1"/>
    <w:p w14:paraId="2A8C5517" w14:textId="77777777" w:rsidR="00895F16" w:rsidRPr="00895F16" w:rsidRDefault="00895F16" w:rsidP="000D65E9">
      <w:pPr>
        <w:spacing w:after="0" w:line="300" w:lineRule="atLeast"/>
      </w:pPr>
    </w:p>
    <w:p w14:paraId="64A90FE5" w14:textId="77777777" w:rsidR="00861C5F" w:rsidRDefault="00861C5F"/>
    <w:sectPr w:rsidR="00861C5F" w:rsidSect="005F1670">
      <w:footerReference w:type="default" r:id="rId252"/>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89D3FA" w14:textId="77777777" w:rsidR="00847794" w:rsidRDefault="00847794" w:rsidP="00895F16">
      <w:pPr>
        <w:spacing w:after="0" w:line="240" w:lineRule="auto"/>
      </w:pPr>
      <w:r>
        <w:separator/>
      </w:r>
    </w:p>
  </w:endnote>
  <w:endnote w:type="continuationSeparator" w:id="0">
    <w:p w14:paraId="3C99D8A8" w14:textId="77777777" w:rsidR="00847794" w:rsidRDefault="00847794" w:rsidP="00895F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Tw Cen MT">
    <w:panose1 w:val="020B0602020104020603"/>
    <w:charset w:val="EE"/>
    <w:family w:val="swiss"/>
    <w:pitch w:val="variable"/>
    <w:sig w:usb0="00000007" w:usb1="00000000" w:usb2="00000000" w:usb3="00000000" w:csb0="00000003" w:csb1="00000000"/>
  </w:font>
  <w:font w:name="OpenSymbol">
    <w:altName w:val="Courier New"/>
    <w:charset w:val="00"/>
    <w:family w:val="auto"/>
    <w:pitch w:val="variable"/>
    <w:sig w:usb0="800000AF" w:usb1="1001ECEA" w:usb2="00000000" w:usb3="00000000" w:csb0="00000001"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Consolas">
    <w:panose1 w:val="020B0609020204030204"/>
    <w:charset w:val="EE"/>
    <w:family w:val="modern"/>
    <w:pitch w:val="fixed"/>
    <w:sig w:usb0="E00006FF" w:usb1="0000FCFF" w:usb2="00000001" w:usb3="00000000" w:csb0="0000019F" w:csb1="00000000"/>
  </w:font>
  <w:font w:name="Calibri Light">
    <w:panose1 w:val="020F0302020204030204"/>
    <w:charset w:val="EE"/>
    <w:family w:val="swiss"/>
    <w:pitch w:val="variable"/>
    <w:sig w:usb0="E4002EFF" w:usb1="C000247B" w:usb2="00000009" w:usb3="00000000" w:csb0="000001FF" w:csb1="00000000"/>
  </w:font>
  <w:font w:name="QCRMY">
    <w:altName w:val="Times New Roman"/>
    <w:charset w:val="00"/>
    <w:family w:val="roman"/>
    <w:pitch w:val="variable"/>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TimesNewRomanPSMT">
    <w:altName w:val="Arial"/>
    <w:charset w:val="00"/>
    <w:family w:val="roman"/>
    <w:pitch w:val="variable"/>
    <w:sig w:usb0="E0002AEF" w:usb1="C0007841" w:usb2="00000009" w:usb3="00000000" w:csb0="000001FF" w:csb1="00000000"/>
  </w:font>
  <w:font w:name="Wingdings-Regular">
    <w:altName w:val="Wingdings"/>
    <w:panose1 w:val="00000000000000000000"/>
    <w:charset w:val="EE"/>
    <w:family w:val="auto"/>
    <w:notTrueType/>
    <w:pitch w:val="default"/>
    <w:sig w:usb0="00000005" w:usb1="00000000" w:usb2="00000000" w:usb3="00000000" w:csb0="00000002" w:csb1="00000000"/>
  </w:font>
  <w:font w:name="Lucida Sans Unicode">
    <w:panose1 w:val="020B0602030504020204"/>
    <w:charset w:val="EE"/>
    <w:family w:val="swiss"/>
    <w:pitch w:val="variable"/>
    <w:sig w:usb0="80000AFF" w:usb1="0000396B" w:usb2="00000000" w:usb3="00000000" w:csb0="000000BF" w:csb1="00000000"/>
  </w:font>
  <w:font w:name="Square721EU-Normal">
    <w:altName w:val="Microsoft JhengHei"/>
    <w:panose1 w:val="00000000000000000000"/>
    <w:charset w:val="88"/>
    <w:family w:val="auto"/>
    <w:notTrueType/>
    <w:pitch w:val="default"/>
    <w:sig w:usb0="00000001" w:usb1="08080000" w:usb2="00000010" w:usb3="00000000" w:csb0="00100000" w:csb1="00000000"/>
  </w:font>
  <w:font w:name="AvenirLTCom-Book">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66584689"/>
      <w:docPartObj>
        <w:docPartGallery w:val="Page Numbers (Bottom of Page)"/>
        <w:docPartUnique/>
      </w:docPartObj>
    </w:sdtPr>
    <w:sdtContent>
      <w:p w14:paraId="2880CAF5" w14:textId="6D67F5D0" w:rsidR="00C601FE" w:rsidRDefault="00C601FE">
        <w:pPr>
          <w:pStyle w:val="Stopka"/>
          <w:jc w:val="center"/>
        </w:pPr>
        <w:r>
          <w:fldChar w:fldCharType="begin"/>
        </w:r>
        <w:r>
          <w:instrText>PAGE   \* MERGEFORMAT</w:instrText>
        </w:r>
        <w:r>
          <w:fldChar w:fldCharType="separate"/>
        </w:r>
        <w:r>
          <w:rPr>
            <w:lang w:val="pl-PL"/>
          </w:rPr>
          <w:t>2</w:t>
        </w:r>
        <w:r>
          <w:fldChar w:fldCharType="end"/>
        </w:r>
      </w:p>
    </w:sdtContent>
  </w:sdt>
  <w:p w14:paraId="4FDFFEF5" w14:textId="77777777" w:rsidR="00C601FE" w:rsidRDefault="00C601FE">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8C807E" w14:textId="77777777" w:rsidR="00847794" w:rsidRDefault="00847794" w:rsidP="00895F16">
      <w:pPr>
        <w:spacing w:after="0" w:line="240" w:lineRule="auto"/>
      </w:pPr>
      <w:r>
        <w:separator/>
      </w:r>
    </w:p>
  </w:footnote>
  <w:footnote w:type="continuationSeparator" w:id="0">
    <w:p w14:paraId="7099C391" w14:textId="77777777" w:rsidR="00847794" w:rsidRDefault="00847794" w:rsidP="00895F16">
      <w:pPr>
        <w:spacing w:after="0" w:line="240" w:lineRule="auto"/>
      </w:pPr>
      <w:r>
        <w:continuationSeparator/>
      </w:r>
    </w:p>
  </w:footnote>
  <w:footnote w:id="1">
    <w:p w14:paraId="1EE479F5" w14:textId="77777777" w:rsidR="007704D8" w:rsidRDefault="007704D8" w:rsidP="00C96893">
      <w:pPr>
        <w:pStyle w:val="Tekstprzypisudolnego"/>
      </w:pPr>
      <w:r>
        <w:rPr>
          <w:rStyle w:val="Odwoanieprzypisudolnego"/>
        </w:rPr>
        <w:footnoteRef/>
      </w:r>
      <w:r>
        <w:t xml:space="preserve"> </w:t>
      </w:r>
      <w:r w:rsidRPr="002544A4">
        <w:t xml:space="preserve">Wstępny raport Zespołu ds. sytuacji na rzece Odrze, powołanego przez Ministra Klimatu i Środowiska - </w:t>
      </w:r>
      <w:hyperlink r:id="rId1" w:history="1">
        <w:r w:rsidRPr="00B859E4">
          <w:rPr>
            <w:rStyle w:val="Hipercze"/>
            <w:rFonts w:eastAsia="Calibri"/>
          </w:rPr>
          <w:t>https://ios.edu.pl/wp-content/uploads/2022/10/Wstepny-raport-zespolu-ds.-sytuacji-na-rzece-Odrze.pdf</w:t>
        </w:r>
      </w:hyperlink>
      <w:r>
        <w:t xml:space="preserve"> </w:t>
      </w:r>
      <w:r w:rsidRPr="002544A4">
        <w:t xml:space="preserve"> </w:t>
      </w:r>
      <w:r>
        <w:t xml:space="preserve"> </w:t>
      </w:r>
      <w:r w:rsidRPr="002544A4">
        <w:t>opublikowany 30 września 2022 r.</w:t>
      </w:r>
      <w:r>
        <w:t xml:space="preserve">  </w:t>
      </w:r>
    </w:p>
  </w:footnote>
  <w:footnote w:id="2">
    <w:p w14:paraId="235C59CB" w14:textId="77777777" w:rsidR="007704D8" w:rsidRPr="00663865" w:rsidRDefault="007704D8" w:rsidP="00C96893">
      <w:pPr>
        <w:pStyle w:val="Tekstprzypisudolnego"/>
        <w:jc w:val="both"/>
      </w:pPr>
      <w:r w:rsidRPr="00993D3F">
        <w:rPr>
          <w:rStyle w:val="Odwoanieprzypisudolnego"/>
          <w:sz w:val="18"/>
          <w:szCs w:val="18"/>
        </w:rPr>
        <w:footnoteRef/>
      </w:r>
      <w:r w:rsidRPr="00993D3F">
        <w:rPr>
          <w:sz w:val="18"/>
          <w:szCs w:val="18"/>
        </w:rPr>
        <w:t xml:space="preserve"> </w:t>
      </w:r>
      <w:r w:rsidRPr="00663865">
        <w:rPr>
          <w:lang w:val="pl-PL"/>
        </w:rPr>
        <w:t xml:space="preserve">Niezależnie </w:t>
      </w:r>
      <w:r w:rsidRPr="00663865">
        <w:t xml:space="preserve">od wyniku analizy wielokryterialnej - wymogi prawne (krajowe </w:t>
      </w:r>
      <w:r w:rsidRPr="00663865">
        <w:rPr>
          <w:lang w:val="pl-PL"/>
        </w:rPr>
        <w:t xml:space="preserve">i </w:t>
      </w:r>
      <w:r w:rsidRPr="00663865">
        <w:t>unijne) oraz inne przesłanki generują listę zakładów, które muszą być kontrolowane co roku.</w:t>
      </w:r>
    </w:p>
  </w:footnote>
  <w:footnote w:id="3">
    <w:p w14:paraId="19DB83DC" w14:textId="77777777" w:rsidR="007704D8" w:rsidRPr="00885E60" w:rsidRDefault="007704D8" w:rsidP="00C96893">
      <w:pPr>
        <w:spacing w:after="0" w:line="240" w:lineRule="auto"/>
        <w:jc w:val="both"/>
        <w:rPr>
          <w:sz w:val="20"/>
          <w:szCs w:val="20"/>
        </w:rPr>
      </w:pPr>
      <w:r w:rsidRPr="00885E60">
        <w:rPr>
          <w:rStyle w:val="Odwoanieprzypisudolnego"/>
        </w:rPr>
        <w:footnoteRef/>
      </w:r>
      <w:r w:rsidRPr="00885E60">
        <w:rPr>
          <w:rFonts w:ascii="Times New Roman" w:hAnsi="Times New Roman" w:cs="Times New Roman"/>
          <w:sz w:val="20"/>
          <w:szCs w:val="20"/>
        </w:rPr>
        <w:t xml:space="preserve"> Kontrole te polegają na analizie pomiarów </w:t>
      </w:r>
      <w:r w:rsidRPr="00885E60">
        <w:rPr>
          <w:rFonts w:ascii="Times New Roman" w:hAnsi="Times New Roman" w:cs="Times New Roman"/>
          <w:sz w:val="20"/>
          <w:szCs w:val="20"/>
        </w:rPr>
        <w:t>automonitoringowych wykonanych na podstawie ustawy P</w:t>
      </w:r>
      <w:r>
        <w:rPr>
          <w:rFonts w:ascii="Times New Roman" w:hAnsi="Times New Roman" w:cs="Times New Roman"/>
          <w:sz w:val="20"/>
          <w:szCs w:val="20"/>
        </w:rPr>
        <w:t xml:space="preserve">rawo </w:t>
      </w:r>
      <w:r w:rsidRPr="00885E60">
        <w:rPr>
          <w:rFonts w:ascii="Times New Roman" w:hAnsi="Times New Roman" w:cs="Times New Roman"/>
          <w:sz w:val="20"/>
          <w:szCs w:val="20"/>
        </w:rPr>
        <w:t>o</w:t>
      </w:r>
      <w:r>
        <w:rPr>
          <w:rFonts w:ascii="Times New Roman" w:hAnsi="Times New Roman" w:cs="Times New Roman"/>
          <w:sz w:val="20"/>
          <w:szCs w:val="20"/>
        </w:rPr>
        <w:t xml:space="preserve">chrony </w:t>
      </w:r>
      <w:r w:rsidRPr="00885E60">
        <w:rPr>
          <w:rFonts w:ascii="Times New Roman" w:hAnsi="Times New Roman" w:cs="Times New Roman"/>
          <w:sz w:val="20"/>
          <w:szCs w:val="20"/>
        </w:rPr>
        <w:t>ś</w:t>
      </w:r>
      <w:r>
        <w:rPr>
          <w:rFonts w:ascii="Times New Roman" w:hAnsi="Times New Roman" w:cs="Times New Roman"/>
          <w:sz w:val="20"/>
          <w:szCs w:val="20"/>
        </w:rPr>
        <w:t>rodowiska</w:t>
      </w:r>
      <w:r w:rsidRPr="00885E60">
        <w:rPr>
          <w:rFonts w:ascii="Times New Roman" w:hAnsi="Times New Roman" w:cs="Times New Roman"/>
          <w:sz w:val="20"/>
          <w:szCs w:val="20"/>
        </w:rPr>
        <w:t xml:space="preserve"> przez prowadzących instalacje; obejmują także monitoring składowisk z ustawy o odpadach.</w:t>
      </w:r>
    </w:p>
  </w:footnote>
  <w:footnote w:id="4">
    <w:p w14:paraId="155E5FEC" w14:textId="77777777" w:rsidR="007704D8" w:rsidRPr="00885E60" w:rsidRDefault="007704D8" w:rsidP="00C96893">
      <w:pPr>
        <w:tabs>
          <w:tab w:val="left" w:pos="0"/>
        </w:tabs>
        <w:spacing w:after="0" w:line="240" w:lineRule="auto"/>
        <w:jc w:val="both"/>
        <w:rPr>
          <w:rFonts w:ascii="Times New Roman" w:hAnsi="Times New Roman" w:cs="Times New Roman"/>
          <w:sz w:val="20"/>
          <w:szCs w:val="20"/>
        </w:rPr>
      </w:pPr>
      <w:r w:rsidRPr="00885E60">
        <w:rPr>
          <w:rStyle w:val="Odwoanieprzypisudolnego"/>
        </w:rPr>
        <w:footnoteRef/>
      </w:r>
      <w:r w:rsidRPr="00885E60">
        <w:rPr>
          <w:rFonts w:ascii="Times New Roman" w:eastAsia="Times New Roman" w:hAnsi="Times New Roman" w:cs="Times New Roman"/>
          <w:bCs/>
          <w:sz w:val="20"/>
          <w:szCs w:val="20"/>
          <w:lang w:val="x-none"/>
        </w:rPr>
        <w:t xml:space="preserve"> Kontrole te polegają m.in. na ocenie raportu PRTR</w:t>
      </w:r>
      <w:r w:rsidRPr="00885E60">
        <w:rPr>
          <w:rFonts w:ascii="Times New Roman" w:eastAsia="Times New Roman" w:hAnsi="Times New Roman" w:cs="Times New Roman"/>
          <w:bCs/>
          <w:sz w:val="20"/>
          <w:szCs w:val="20"/>
        </w:rPr>
        <w:t xml:space="preserve"> (Krajowy Rejestr Uwalniania i Transferu Zanieczyszczeń)</w:t>
      </w:r>
      <w:r w:rsidRPr="00885E60">
        <w:rPr>
          <w:rFonts w:ascii="Times New Roman" w:eastAsia="Times New Roman" w:hAnsi="Times New Roman" w:cs="Times New Roman"/>
          <w:bCs/>
          <w:sz w:val="20"/>
          <w:szCs w:val="20"/>
          <w:lang w:val="x-none"/>
        </w:rPr>
        <w:t xml:space="preserve"> pod</w:t>
      </w:r>
      <w:r w:rsidRPr="00885E60">
        <w:rPr>
          <w:rFonts w:ascii="Times New Roman" w:eastAsia="Times New Roman" w:hAnsi="Times New Roman" w:cs="Times New Roman"/>
          <w:bCs/>
          <w:sz w:val="20"/>
          <w:szCs w:val="20"/>
        </w:rPr>
        <w:t> </w:t>
      </w:r>
      <w:r w:rsidRPr="00885E60">
        <w:rPr>
          <w:rFonts w:ascii="Times New Roman" w:eastAsia="Times New Roman" w:hAnsi="Times New Roman" w:cs="Times New Roman"/>
          <w:bCs/>
          <w:sz w:val="20"/>
          <w:szCs w:val="20"/>
          <w:lang w:val="x-none"/>
        </w:rPr>
        <w:t>względem jego terminowości, kompletności, spójności i</w:t>
      </w:r>
      <w:r w:rsidRPr="00885E60">
        <w:rPr>
          <w:rFonts w:ascii="Times New Roman" w:eastAsia="Times New Roman" w:hAnsi="Times New Roman" w:cs="Times New Roman"/>
          <w:bCs/>
          <w:sz w:val="20"/>
          <w:szCs w:val="20"/>
        </w:rPr>
        <w:t xml:space="preserve"> </w:t>
      </w:r>
      <w:r w:rsidRPr="00885E60">
        <w:rPr>
          <w:rFonts w:ascii="Times New Roman" w:eastAsia="Times New Roman" w:hAnsi="Times New Roman" w:cs="Times New Roman"/>
          <w:bCs/>
          <w:sz w:val="20"/>
          <w:szCs w:val="20"/>
          <w:lang w:val="x-none"/>
        </w:rPr>
        <w:t>wiarygodności, analiz</w:t>
      </w:r>
      <w:r w:rsidRPr="00885E60">
        <w:rPr>
          <w:rFonts w:ascii="Times New Roman" w:eastAsia="Times New Roman" w:hAnsi="Times New Roman" w:cs="Times New Roman"/>
          <w:bCs/>
          <w:sz w:val="20"/>
          <w:szCs w:val="20"/>
        </w:rPr>
        <w:t>ie</w:t>
      </w:r>
      <w:r w:rsidRPr="00885E60">
        <w:rPr>
          <w:rFonts w:ascii="Times New Roman" w:eastAsia="Times New Roman" w:hAnsi="Times New Roman" w:cs="Times New Roman"/>
          <w:bCs/>
          <w:sz w:val="20"/>
          <w:szCs w:val="20"/>
          <w:lang w:val="x-none"/>
        </w:rPr>
        <w:t xml:space="preserve"> dokumentów przekazanych przez</w:t>
      </w:r>
      <w:r w:rsidRPr="00885E60">
        <w:rPr>
          <w:rFonts w:ascii="Times New Roman" w:eastAsia="Times New Roman" w:hAnsi="Times New Roman" w:cs="Times New Roman"/>
          <w:bCs/>
          <w:sz w:val="20"/>
          <w:szCs w:val="20"/>
        </w:rPr>
        <w:t> </w:t>
      </w:r>
      <w:r w:rsidRPr="00885E60">
        <w:rPr>
          <w:rFonts w:ascii="Times New Roman" w:eastAsia="Times New Roman" w:hAnsi="Times New Roman" w:cs="Times New Roman"/>
          <w:bCs/>
          <w:sz w:val="20"/>
          <w:szCs w:val="20"/>
          <w:lang w:val="x-none"/>
        </w:rPr>
        <w:t>prowadzącego zakład w celu weryfikacji lub aktualizacji dokumentów, zgłoszeń i wykazów dotyczących ZDR</w:t>
      </w:r>
      <w:r w:rsidRPr="00885E60">
        <w:rPr>
          <w:rFonts w:ascii="Times New Roman" w:eastAsia="Times New Roman" w:hAnsi="Times New Roman" w:cs="Times New Roman"/>
          <w:bCs/>
          <w:sz w:val="20"/>
          <w:szCs w:val="20"/>
        </w:rPr>
        <w:t xml:space="preserve"> (zakłady o</w:t>
      </w:r>
      <w:r>
        <w:rPr>
          <w:rFonts w:ascii="Times New Roman" w:eastAsia="Times New Roman" w:hAnsi="Times New Roman" w:cs="Times New Roman"/>
          <w:bCs/>
          <w:sz w:val="20"/>
          <w:szCs w:val="20"/>
        </w:rPr>
        <w:t xml:space="preserve"> </w:t>
      </w:r>
      <w:r w:rsidRPr="00885E60">
        <w:rPr>
          <w:rFonts w:ascii="Times New Roman" w:eastAsia="Times New Roman" w:hAnsi="Times New Roman" w:cs="Times New Roman"/>
          <w:bCs/>
          <w:sz w:val="20"/>
          <w:szCs w:val="20"/>
        </w:rPr>
        <w:t>dużym ryzyku wystąpienia poważnej awarii)</w:t>
      </w:r>
      <w:r w:rsidRPr="00885E60">
        <w:rPr>
          <w:rFonts w:ascii="Times New Roman" w:eastAsia="Times New Roman" w:hAnsi="Times New Roman" w:cs="Times New Roman"/>
          <w:bCs/>
          <w:sz w:val="20"/>
          <w:szCs w:val="20"/>
          <w:lang w:val="x-none"/>
        </w:rPr>
        <w:t xml:space="preserve"> i ZZR</w:t>
      </w:r>
      <w:r w:rsidRPr="00885E60">
        <w:rPr>
          <w:rFonts w:ascii="Times New Roman" w:eastAsia="Times New Roman" w:hAnsi="Times New Roman" w:cs="Times New Roman"/>
          <w:bCs/>
          <w:sz w:val="20"/>
          <w:szCs w:val="20"/>
        </w:rPr>
        <w:t xml:space="preserve"> (zakłady o zwiększonym ryzyku wystąpienia poważnej awarii)</w:t>
      </w:r>
      <w:r w:rsidRPr="00885E60">
        <w:rPr>
          <w:rFonts w:ascii="Times New Roman" w:eastAsia="Times New Roman" w:hAnsi="Times New Roman" w:cs="Times New Roman"/>
          <w:bCs/>
          <w:sz w:val="20"/>
          <w:szCs w:val="20"/>
          <w:lang w:val="x-none"/>
        </w:rPr>
        <w:t>, weryfikacj</w:t>
      </w:r>
      <w:r w:rsidRPr="00885E60">
        <w:rPr>
          <w:rFonts w:ascii="Times New Roman" w:eastAsia="Times New Roman" w:hAnsi="Times New Roman" w:cs="Times New Roman"/>
          <w:bCs/>
          <w:sz w:val="20"/>
          <w:szCs w:val="20"/>
        </w:rPr>
        <w:t>i</w:t>
      </w:r>
      <w:r w:rsidRPr="00885E60">
        <w:rPr>
          <w:rFonts w:ascii="Times New Roman" w:eastAsia="Times New Roman" w:hAnsi="Times New Roman" w:cs="Times New Roman"/>
          <w:bCs/>
          <w:sz w:val="20"/>
          <w:szCs w:val="20"/>
          <w:lang w:val="x-none"/>
        </w:rPr>
        <w:t xml:space="preserve"> sprawozdań przekazanych przez </w:t>
      </w:r>
      <w:r w:rsidRPr="00885E60">
        <w:rPr>
          <w:rFonts w:ascii="Times New Roman" w:eastAsia="Times New Roman" w:hAnsi="Times New Roman" w:cs="Times New Roman"/>
          <w:bCs/>
          <w:sz w:val="20"/>
          <w:szCs w:val="20"/>
          <w:lang w:val="x-none"/>
        </w:rPr>
        <w:t>KOBiZE</w:t>
      </w:r>
      <w:r w:rsidRPr="00885E60">
        <w:rPr>
          <w:rFonts w:ascii="Times New Roman" w:eastAsia="Times New Roman" w:hAnsi="Times New Roman" w:cs="Times New Roman"/>
          <w:bCs/>
          <w:sz w:val="20"/>
          <w:szCs w:val="20"/>
        </w:rPr>
        <w:t xml:space="preserve"> (Krajowy Ośrodek Bilansowania i</w:t>
      </w:r>
      <w:r>
        <w:rPr>
          <w:rFonts w:ascii="Times New Roman" w:eastAsia="Times New Roman" w:hAnsi="Times New Roman" w:cs="Times New Roman"/>
          <w:bCs/>
          <w:sz w:val="20"/>
          <w:szCs w:val="20"/>
        </w:rPr>
        <w:t> </w:t>
      </w:r>
      <w:r w:rsidRPr="00885E60">
        <w:rPr>
          <w:rFonts w:ascii="Times New Roman" w:eastAsia="Times New Roman" w:hAnsi="Times New Roman" w:cs="Times New Roman"/>
          <w:bCs/>
          <w:sz w:val="20"/>
          <w:szCs w:val="20"/>
        </w:rPr>
        <w:t>Zarządzania Emisjami), kontrole dokumentacyjne sprawozdań gminnych o</w:t>
      </w:r>
      <w:r>
        <w:rPr>
          <w:rFonts w:ascii="Times New Roman" w:eastAsia="Times New Roman" w:hAnsi="Times New Roman" w:cs="Times New Roman"/>
          <w:bCs/>
          <w:sz w:val="20"/>
          <w:szCs w:val="20"/>
        </w:rPr>
        <w:t xml:space="preserve"> </w:t>
      </w:r>
      <w:r w:rsidRPr="00885E60">
        <w:rPr>
          <w:rFonts w:ascii="Times New Roman" w:eastAsia="Times New Roman" w:hAnsi="Times New Roman" w:cs="Times New Roman"/>
          <w:bCs/>
          <w:sz w:val="20"/>
          <w:szCs w:val="20"/>
        </w:rPr>
        <w:t>gospodarowaniu odpadami z ustawy o</w:t>
      </w:r>
      <w:r>
        <w:rPr>
          <w:rFonts w:ascii="Times New Roman" w:eastAsia="Times New Roman" w:hAnsi="Times New Roman" w:cs="Times New Roman"/>
          <w:bCs/>
          <w:sz w:val="20"/>
          <w:szCs w:val="20"/>
        </w:rPr>
        <w:t> </w:t>
      </w:r>
      <w:r w:rsidRPr="00885E60">
        <w:rPr>
          <w:rFonts w:ascii="Times New Roman" w:eastAsia="Times New Roman" w:hAnsi="Times New Roman" w:cs="Times New Roman"/>
          <w:bCs/>
          <w:sz w:val="20"/>
          <w:szCs w:val="20"/>
        </w:rPr>
        <w:t>utrzymaniu czystości i porządku w gminie.</w:t>
      </w:r>
    </w:p>
  </w:footnote>
  <w:footnote w:id="5">
    <w:p w14:paraId="6092A1C5" w14:textId="77777777" w:rsidR="007704D8" w:rsidRPr="00885E60" w:rsidRDefault="007704D8" w:rsidP="00C96893">
      <w:pPr>
        <w:pStyle w:val="Tekstprzypisudolnego"/>
        <w:jc w:val="both"/>
        <w:rPr>
          <w:lang w:val="pl-PL"/>
        </w:rPr>
      </w:pPr>
      <w:r w:rsidRPr="00885E60">
        <w:rPr>
          <w:rStyle w:val="Odwoanieprzypisudolnego"/>
        </w:rPr>
        <w:footnoteRef/>
      </w:r>
      <w:r w:rsidRPr="00885E60">
        <w:t xml:space="preserve"> </w:t>
      </w:r>
      <w:r>
        <w:rPr>
          <w:lang w:val="pl-PL"/>
        </w:rPr>
        <w:t xml:space="preserve">Kontrole te polegają na analizie dokumentów otrzymywanych z innych organów na podstawie </w:t>
      </w:r>
      <w:r w:rsidRPr="006B1D8A">
        <w:t>porozumien</w:t>
      </w:r>
      <w:r>
        <w:rPr>
          <w:lang w:val="pl-PL"/>
        </w:rPr>
        <w:t>ia</w:t>
      </w:r>
      <w:r w:rsidRPr="006B1D8A">
        <w:t xml:space="preserve"> pomiędzy Głównym Inspektorem Ochrony Środowiska, Szefem Służby Celnej oraz Komendantem Głównym Straży Granicznej</w:t>
      </w:r>
      <w:r>
        <w:rPr>
          <w:lang w:val="pl-PL"/>
        </w:rPr>
        <w:t xml:space="preserve"> </w:t>
      </w:r>
      <w:r w:rsidRPr="006B1D8A">
        <w:t>z dnia 4 marca 2015 r. w sprawie współdziałania w zakresie międzynarodowego przemieszczania odpadów </w:t>
      </w:r>
    </w:p>
  </w:footnote>
  <w:footnote w:id="6">
    <w:p w14:paraId="2F00CDAA" w14:textId="77777777" w:rsidR="007704D8" w:rsidRPr="00E5521B" w:rsidRDefault="007704D8" w:rsidP="00773527">
      <w:pPr>
        <w:pStyle w:val="Tekstprzypisudolnego"/>
        <w:jc w:val="both"/>
        <w:rPr>
          <w:lang w:val="pl-PL"/>
        </w:rPr>
      </w:pPr>
      <w:r w:rsidRPr="00E5521B">
        <w:rPr>
          <w:rStyle w:val="Odwoanieprzypisudolnego"/>
        </w:rPr>
        <w:footnoteRef/>
      </w:r>
      <w:r w:rsidRPr="00E5521B">
        <w:t xml:space="preserve"> Naruszenia formalne bez istotnego wpływu na środowisko - naruszenie k</w:t>
      </w:r>
      <w:r w:rsidRPr="00E5521B">
        <w:rPr>
          <w:lang w:val="pl-PL"/>
        </w:rPr>
        <w:t>lasy</w:t>
      </w:r>
      <w:r w:rsidRPr="00E5521B">
        <w:t xml:space="preserve"> I</w:t>
      </w:r>
      <w:r w:rsidRPr="00E5521B">
        <w:rPr>
          <w:lang w:val="pl-PL"/>
        </w:rPr>
        <w:t>.</w:t>
      </w:r>
    </w:p>
  </w:footnote>
  <w:footnote w:id="7">
    <w:p w14:paraId="4CDEC4CE" w14:textId="77777777" w:rsidR="007704D8" w:rsidRPr="00E5521B" w:rsidRDefault="007704D8" w:rsidP="00773527">
      <w:pPr>
        <w:pStyle w:val="Akapitzlist"/>
        <w:ind w:left="0"/>
        <w:jc w:val="both"/>
        <w:rPr>
          <w:rFonts w:eastAsia="Times New Roman"/>
          <w:lang w:val="pl-PL"/>
        </w:rPr>
      </w:pPr>
      <w:r w:rsidRPr="00E5521B">
        <w:rPr>
          <w:rStyle w:val="Odwoanieprzypisudolnego"/>
        </w:rPr>
        <w:footnoteRef/>
      </w:r>
      <w:r w:rsidRPr="00E5521B">
        <w:t xml:space="preserve"> </w:t>
      </w:r>
      <w:r w:rsidRPr="00E5521B">
        <w:rPr>
          <w:rFonts w:eastAsia="Times New Roman"/>
        </w:rPr>
        <w:t>Naruszenia mogące spowodować zagrożenie lub zanieczyszczenie środowiska – naruszenie k</w:t>
      </w:r>
      <w:r w:rsidRPr="00E5521B">
        <w:rPr>
          <w:rFonts w:eastAsia="Times New Roman"/>
          <w:lang w:val="pl-PL"/>
        </w:rPr>
        <w:t>lasy</w:t>
      </w:r>
      <w:r w:rsidRPr="00E5521B">
        <w:rPr>
          <w:rFonts w:eastAsia="Times New Roman"/>
        </w:rPr>
        <w:t xml:space="preserve"> II</w:t>
      </w:r>
      <w:r w:rsidRPr="00E5521B">
        <w:rPr>
          <w:rFonts w:eastAsia="Times New Roman"/>
          <w:lang w:val="pl-PL"/>
        </w:rPr>
        <w:t>.</w:t>
      </w:r>
    </w:p>
  </w:footnote>
  <w:footnote w:id="8">
    <w:p w14:paraId="270B6FC8" w14:textId="77777777" w:rsidR="007704D8" w:rsidRPr="002141E9" w:rsidRDefault="007704D8" w:rsidP="0088289B">
      <w:pPr>
        <w:pStyle w:val="Tekstprzypisudolnego"/>
        <w:jc w:val="both"/>
        <w:rPr>
          <w:lang w:val="pl-PL"/>
        </w:rPr>
      </w:pPr>
      <w:r w:rsidRPr="002141E9">
        <w:rPr>
          <w:rStyle w:val="Odwoanieprzypisudolnego"/>
          <w:rFonts w:eastAsia="Calibri"/>
        </w:rPr>
        <w:footnoteRef/>
      </w:r>
      <w:r w:rsidRPr="002141E9">
        <w:t xml:space="preserve"> Rozporządzenie Ministra Środowiska z dnia 27 sierpnia 2014 r. w sprawie rodzajów instalacji mogących powodować znaczne zanieczyszczenie poszczególnych elementów przyrodniczych albo środowiska jako całości (Dz. U. z 2014</w:t>
      </w:r>
      <w:r w:rsidRPr="002141E9">
        <w:rPr>
          <w:lang w:val="pl-PL"/>
        </w:rPr>
        <w:t xml:space="preserve"> </w:t>
      </w:r>
      <w:r w:rsidRPr="002141E9">
        <w:t>r.</w:t>
      </w:r>
      <w:r w:rsidRPr="002141E9">
        <w:rPr>
          <w:lang w:val="pl-PL"/>
        </w:rPr>
        <w:t>,</w:t>
      </w:r>
      <w:r w:rsidRPr="002141E9">
        <w:t xml:space="preserve"> poz.</w:t>
      </w:r>
      <w:r w:rsidRPr="002141E9">
        <w:rPr>
          <w:lang w:val="pl-PL"/>
        </w:rPr>
        <w:t> </w:t>
      </w:r>
      <w:r w:rsidRPr="002141E9">
        <w:t>1169)</w:t>
      </w:r>
      <w:r w:rsidRPr="002141E9">
        <w:rPr>
          <w:lang w:val="pl-PL"/>
        </w:rPr>
        <w:t>.</w:t>
      </w:r>
    </w:p>
  </w:footnote>
  <w:footnote w:id="9">
    <w:p w14:paraId="78440920" w14:textId="3075ABAE" w:rsidR="007704D8" w:rsidRPr="00E9641D" w:rsidRDefault="007704D8" w:rsidP="00DA319F">
      <w:pPr>
        <w:pStyle w:val="Tekstprzypisudolnego"/>
        <w:jc w:val="both"/>
        <w:rPr>
          <w:lang w:val="pl-PL"/>
        </w:rPr>
      </w:pPr>
      <w:r w:rsidRPr="00E9641D">
        <w:rPr>
          <w:rStyle w:val="Odwoanieprzypisudolnego"/>
          <w:rFonts w:eastAsia="Calibri"/>
        </w:rPr>
        <w:footnoteRef/>
      </w:r>
      <w:r w:rsidRPr="00E9641D">
        <w:t xml:space="preserve"> </w:t>
      </w:r>
      <w:r w:rsidRPr="00E9641D">
        <w:rPr>
          <w:lang w:val="pl-PL"/>
        </w:rPr>
        <w:t>Baza danych o produktach i opakowaniach oraz o gospodarce odpadami</w:t>
      </w:r>
      <w:r>
        <w:rPr>
          <w:lang w:val="pl-PL"/>
        </w:rPr>
        <w:t xml:space="preserve"> </w:t>
      </w:r>
      <w:r w:rsidRPr="00E9641D">
        <w:rPr>
          <w:lang w:val="pl-PL"/>
        </w:rPr>
        <w:t>- art. 79 ust. 1 ustawy z dnia 14 grudnia 2012 r. o odpadach (</w:t>
      </w:r>
      <w:r>
        <w:rPr>
          <w:lang w:val="pl-PL"/>
        </w:rPr>
        <w:t xml:space="preserve">t.j. </w:t>
      </w:r>
      <w:r w:rsidRPr="00E9641D">
        <w:rPr>
          <w:lang w:val="pl-PL"/>
        </w:rPr>
        <w:t xml:space="preserve">Dz. U. z  </w:t>
      </w:r>
      <w:r>
        <w:rPr>
          <w:lang w:val="pl-PL"/>
        </w:rPr>
        <w:t xml:space="preserve">2022 </w:t>
      </w:r>
      <w:r w:rsidRPr="00E9641D">
        <w:rPr>
          <w:lang w:val="pl-PL"/>
        </w:rPr>
        <w:t>r. poz.</w:t>
      </w:r>
      <w:r>
        <w:rPr>
          <w:lang w:val="pl-PL"/>
        </w:rPr>
        <w:t>699 z późn. zm.</w:t>
      </w:r>
      <w:r w:rsidRPr="00E9641D">
        <w:rPr>
          <w:lang w:val="pl-PL"/>
        </w:rPr>
        <w:t>)</w:t>
      </w:r>
      <w:r>
        <w:rPr>
          <w:lang w:val="pl-PL"/>
        </w:rPr>
        <w:t>.</w:t>
      </w:r>
    </w:p>
  </w:footnote>
  <w:footnote w:id="10">
    <w:p w14:paraId="14C5E8DB" w14:textId="5208F9E7" w:rsidR="007704D8" w:rsidRPr="009C0D13" w:rsidRDefault="007704D8" w:rsidP="002706A4">
      <w:pPr>
        <w:pStyle w:val="Tekstprzypisudolnego"/>
        <w:rPr>
          <w:lang w:val="pl-PL"/>
        </w:rPr>
      </w:pPr>
      <w:r>
        <w:rPr>
          <w:rStyle w:val="Odwoanieprzypisudolnego"/>
        </w:rPr>
        <w:footnoteRef/>
      </w:r>
      <w:r>
        <w:t xml:space="preserve"> </w:t>
      </w:r>
      <w:r w:rsidRPr="008617EA">
        <w:t>Dz. U. z 2020 r. poz. 2065</w:t>
      </w:r>
      <w:r>
        <w:rPr>
          <w:lang w:val="pl-PL"/>
        </w:rPr>
        <w:t>.</w:t>
      </w:r>
    </w:p>
  </w:footnote>
  <w:footnote w:id="11">
    <w:p w14:paraId="0782E1F1" w14:textId="77777777" w:rsidR="007704D8" w:rsidRPr="003E2ACB" w:rsidRDefault="007704D8" w:rsidP="002706A4">
      <w:pPr>
        <w:pStyle w:val="Tekstprzypisudolnego"/>
        <w:jc w:val="both"/>
      </w:pPr>
      <w:r>
        <w:rPr>
          <w:rStyle w:val="Odwoanieprzypisudolnego"/>
        </w:rPr>
        <w:footnoteRef/>
      </w:r>
      <w:r>
        <w:t xml:space="preserve"> kategoria I – brak realizacji lub naruszenie obowiązków niezwiązanych z bezpośrednim oddziaływaniem na środowisko, takich jak: nieprowadzenie lub niewłaściwe prowadzenie dokumentacji, niesporządzenie lub niesporządzenie w terminie Karty Urządzenia lub Karty Systemu Ochrony Przeciwpożarowej, nieprzekazywanie lub nieprzekazywanie w terminie danych do Karty Urządzenia lub Karty Systemu Ochrony Przeciwpożarowej lub ich korekt do Centralnego Rejestru Operatorów lub nieprzekazywanie lub nieprzekazywanie w terminie sprawozdań lub ich korekt do bazy danych lub do Komisji Europejskiej, nieetykietowanie lub niewłaściwe etykietowanie pojemników, produktów i urządzeń, nierejestrowanie się w elektronicznym rejestrze kontyngentów na wprowadzanie </w:t>
      </w:r>
      <w:r>
        <w:t>wodorofluorowęglowodorów do obrotu zgodnie z przepisami art. 17 rozporządzenia (UE) nr 517/2014,</w:t>
      </w:r>
    </w:p>
    <w:p w14:paraId="43229FDC" w14:textId="77777777" w:rsidR="007704D8" w:rsidRPr="003E2ACB" w:rsidRDefault="007704D8" w:rsidP="002706A4">
      <w:pPr>
        <w:pStyle w:val="Tekstprzypisudolnego"/>
        <w:jc w:val="both"/>
      </w:pPr>
      <w:r>
        <w:t xml:space="preserve">kategoria </w:t>
      </w:r>
      <w:r>
        <w:rPr>
          <w:lang w:val="pl-PL"/>
        </w:rPr>
        <w:t>II</w:t>
      </w:r>
      <w:r>
        <w:t xml:space="preserve"> – naruszenie obowiązków związanych z bezpośrednim oddziaływaniem na środowisko, takich jak: wykonywanie czynności wymagających certyfikatu bez jego posiadania, niezapewnienie dokonywania odzysku lub przeprowadzania kontroli szczelności, przeprowadzanie kontroli szczelności niezgodnie z wymaganiami, użytkowanie systemów ochrony przeciwpożarowej lub gaśnic zawierających halony nieprzeznaczone do zastosowań krytycznych, gromadzenie halonów bez posiadania autoryzacji, stosowanie fluorowanych gazów cieplarnianych do celów zabronionych na mocy art. 13 rozporządzenia (UE) nr 517/2014, niezastosowanie się do ograniczeń w zakresie wprowadzania do obrotu, a także sprzedaży i nabywania fluorowanych gazów </w:t>
      </w:r>
      <w:r w:rsidRPr="00B024EC">
        <w:t>cieplarnianych oraz produktów i urządzeń zawierających fluorowane gazy cieplarniane lub od nich uzależnionych, określonych w art. 11 i art. 14–16 rozporządzenia (UE) nr 517/2014,</w:t>
      </w:r>
    </w:p>
    <w:p w14:paraId="225B9570" w14:textId="77777777" w:rsidR="007704D8" w:rsidRPr="00BC4645" w:rsidRDefault="007704D8" w:rsidP="002706A4">
      <w:pPr>
        <w:pStyle w:val="Tekstprzypisudolnego"/>
        <w:jc w:val="both"/>
        <w:rPr>
          <w:lang w:val="pl-PL"/>
        </w:rPr>
      </w:pPr>
      <w:r w:rsidRPr="00B024EC">
        <w:t xml:space="preserve">kategoria </w:t>
      </w:r>
      <w:r>
        <w:t>III</w:t>
      </w:r>
      <w:r w:rsidRPr="00B024EC">
        <w:t xml:space="preserve"> – bezpośrednie zanieczyszczenie środowiska spowodowane zaniedbaniam</w:t>
      </w:r>
      <w:r>
        <w:t>i w postępowaniu z </w:t>
      </w:r>
      <w:r w:rsidRPr="00B024EC">
        <w:t>substancjami kontrolowanymi lub fluorowanymi gazami cieplarnianymi, takimi jak niedokonanie odzysku substancji kontrolowanych lub fluorowanych gazów cieplarnianych z pojemników przed ich unieszkodliwieniem</w:t>
      </w:r>
      <w:r>
        <w:rPr>
          <w:lang w:val="pl-PL"/>
        </w:rPr>
        <w:t>.</w:t>
      </w:r>
    </w:p>
  </w:footnote>
  <w:footnote w:id="12">
    <w:p w14:paraId="2E80AD59" w14:textId="77777777" w:rsidR="007704D8" w:rsidRPr="00BC4645" w:rsidRDefault="007704D8" w:rsidP="002706A4">
      <w:pPr>
        <w:pStyle w:val="Tekstprzypisudolnego"/>
        <w:jc w:val="both"/>
        <w:rPr>
          <w:lang w:val="pl-PL"/>
        </w:rPr>
      </w:pPr>
      <w:r w:rsidRPr="00B024EC">
        <w:rPr>
          <w:rStyle w:val="Odwoanieprzypisudolnego"/>
        </w:rPr>
        <w:footnoteRef/>
      </w:r>
      <w:r w:rsidRPr="00B024EC">
        <w:t xml:space="preserve"> </w:t>
      </w:r>
      <w:r>
        <w:t>„</w:t>
      </w:r>
      <w:r>
        <w:rPr>
          <w:color w:val="000000"/>
          <w:shd w:val="clear" w:color="auto" w:fill="FFFFFF"/>
        </w:rPr>
        <w:t>T</w:t>
      </w:r>
      <w:r w:rsidRPr="00B024EC">
        <w:rPr>
          <w:color w:val="000000"/>
          <w:shd w:val="clear" w:color="auto" w:fill="FFFFFF"/>
        </w:rPr>
        <w:t>ona(-y) ekwiwalentu CO</w:t>
      </w:r>
      <w:r w:rsidRPr="00E21E56">
        <w:rPr>
          <w:color w:val="000000"/>
          <w:shd w:val="clear" w:color="auto" w:fill="FFFFFF"/>
          <w:vertAlign w:val="subscript"/>
        </w:rPr>
        <w:t>2</w:t>
      </w:r>
      <w:r w:rsidRPr="00B024EC">
        <w:rPr>
          <w:color w:val="000000"/>
          <w:shd w:val="clear" w:color="auto" w:fill="FFFFFF"/>
        </w:rPr>
        <w:t>” oznacza ilość gazów cieplarnianych, wyrażoną jako iloczyn masy gazów cieplarnianych w tonach metrycznych i ich współczynnika ocieplenia globalnego</w:t>
      </w:r>
      <w:r>
        <w:rPr>
          <w:color w:val="000000"/>
          <w:shd w:val="clear" w:color="auto" w:fill="FFFFFF"/>
          <w:lang w:val="pl-PL"/>
        </w:rPr>
        <w:t>.</w:t>
      </w:r>
    </w:p>
  </w:footnote>
  <w:footnote w:id="13">
    <w:p w14:paraId="198709FF" w14:textId="3FF5D4C2" w:rsidR="007704D8" w:rsidRPr="00BC4645" w:rsidRDefault="007704D8" w:rsidP="002706A4">
      <w:pPr>
        <w:pStyle w:val="Tekstprzypisudolnego"/>
        <w:jc w:val="both"/>
        <w:rPr>
          <w:lang w:val="pl-PL"/>
        </w:rPr>
      </w:pPr>
      <w:r>
        <w:rPr>
          <w:rStyle w:val="Odwoanieprzypisudolnego"/>
        </w:rPr>
        <w:footnoteRef/>
      </w:r>
      <w:r>
        <w:t xml:space="preserve"> Rozporządzenie </w:t>
      </w:r>
      <w:r>
        <w:rPr>
          <w:szCs w:val="24"/>
        </w:rPr>
        <w:t>Parlamentu Europejskiego i Rady</w:t>
      </w:r>
      <w:r w:rsidRPr="003F3305">
        <w:rPr>
          <w:szCs w:val="24"/>
        </w:rPr>
        <w:t xml:space="preserve"> (UE) 517/2014</w:t>
      </w:r>
      <w:r>
        <w:rPr>
          <w:szCs w:val="24"/>
        </w:rPr>
        <w:t xml:space="preserve"> </w:t>
      </w:r>
      <w:r w:rsidRPr="00504030">
        <w:rPr>
          <w:szCs w:val="24"/>
        </w:rPr>
        <w:t>z dnia 16 kwietnia 2014 r.</w:t>
      </w:r>
      <w:r w:rsidRPr="00A100BA">
        <w:rPr>
          <w:i/>
          <w:szCs w:val="24"/>
        </w:rPr>
        <w:t xml:space="preserve"> w sprawie fluorowanych gazów cieplarnianych i uchylenia rozporządzenia (WE) nr 842/2006</w:t>
      </w:r>
      <w:r>
        <w:rPr>
          <w:i/>
          <w:szCs w:val="24"/>
        </w:rPr>
        <w:t xml:space="preserve"> </w:t>
      </w:r>
      <w:r w:rsidRPr="00777D0B">
        <w:rPr>
          <w:szCs w:val="24"/>
        </w:rPr>
        <w:t>(</w:t>
      </w:r>
      <w:r>
        <w:rPr>
          <w:szCs w:val="24"/>
        </w:rPr>
        <w:t>Dz. U.</w:t>
      </w:r>
      <w:r w:rsidRPr="00777D0B">
        <w:rPr>
          <w:szCs w:val="24"/>
        </w:rPr>
        <w:t xml:space="preserve"> UE </w:t>
      </w:r>
      <w:r>
        <w:rPr>
          <w:szCs w:val="24"/>
        </w:rPr>
        <w:t xml:space="preserve">z </w:t>
      </w:r>
      <w:r w:rsidRPr="00777D0B">
        <w:t>20.5.2014,</w:t>
      </w:r>
      <w:r>
        <w:br/>
        <w:t>L 150/195)</w:t>
      </w:r>
      <w:r>
        <w:rPr>
          <w:lang w:val="pl-PL"/>
        </w:rPr>
        <w:t>.</w:t>
      </w:r>
    </w:p>
  </w:footnote>
  <w:footnote w:id="14">
    <w:p w14:paraId="6C974D3B" w14:textId="10DB0805" w:rsidR="007704D8" w:rsidRPr="00BC4645" w:rsidRDefault="007704D8" w:rsidP="009C0D13">
      <w:pPr>
        <w:pStyle w:val="Tekstprzypisudolnego"/>
        <w:jc w:val="both"/>
        <w:rPr>
          <w:lang w:val="pl-PL"/>
        </w:rPr>
      </w:pPr>
      <w:r>
        <w:rPr>
          <w:rStyle w:val="Odwoanieprzypisudolnego"/>
        </w:rPr>
        <w:footnoteRef/>
      </w:r>
      <w:r>
        <w:t xml:space="preserve"> Rozporządzenie </w:t>
      </w:r>
      <w:r>
        <w:rPr>
          <w:szCs w:val="24"/>
        </w:rPr>
        <w:t>Parlamentu Europejskiego i Rady</w:t>
      </w:r>
      <w:r w:rsidRPr="003F3305">
        <w:rPr>
          <w:szCs w:val="24"/>
        </w:rPr>
        <w:t xml:space="preserve"> (</w:t>
      </w:r>
      <w:r>
        <w:rPr>
          <w:szCs w:val="24"/>
        </w:rPr>
        <w:t>W</w:t>
      </w:r>
      <w:r w:rsidRPr="003F3305">
        <w:rPr>
          <w:szCs w:val="24"/>
        </w:rPr>
        <w:t xml:space="preserve">E) </w:t>
      </w:r>
      <w:r>
        <w:rPr>
          <w:szCs w:val="24"/>
        </w:rPr>
        <w:t xml:space="preserve">1005/2009 </w:t>
      </w:r>
      <w:r>
        <w:t xml:space="preserve">z dnia 16 września 2009 r. </w:t>
      </w:r>
      <w:r w:rsidRPr="00504030">
        <w:rPr>
          <w:i/>
        </w:rPr>
        <w:t>w sprawie substancji zubożających warstwę ozonową</w:t>
      </w:r>
      <w:r>
        <w:t xml:space="preserve"> (Dz. U. UE z 31.10.2009, L 286/1)</w:t>
      </w:r>
      <w:r>
        <w:rPr>
          <w:lang w:val="pl-PL"/>
        </w:rPr>
        <w:t>.</w:t>
      </w:r>
    </w:p>
  </w:footnote>
  <w:footnote w:id="15">
    <w:p w14:paraId="67AFE0AA" w14:textId="56E29E6F" w:rsidR="007704D8" w:rsidRPr="009C0D13" w:rsidRDefault="007704D8" w:rsidP="00F32A02">
      <w:pPr>
        <w:pStyle w:val="Tekstprzypisudolnego"/>
        <w:rPr>
          <w:lang w:val="pl-PL"/>
        </w:rPr>
      </w:pPr>
      <w:r>
        <w:rPr>
          <w:rStyle w:val="Odwoanieprzypisudolnego"/>
        </w:rPr>
        <w:footnoteRef/>
      </w:r>
      <w:r>
        <w:t xml:space="preserve"> Dz. U.</w:t>
      </w:r>
      <w:r w:rsidRPr="002A6FD9">
        <w:t xml:space="preserve"> z 2016 r. poz. 1353</w:t>
      </w:r>
      <w:r>
        <w:rPr>
          <w:lang w:val="pl-PL"/>
        </w:rPr>
        <w:t>.</w:t>
      </w:r>
    </w:p>
  </w:footnote>
  <w:footnote w:id="16">
    <w:p w14:paraId="0D48BFD6" w14:textId="5FF2CC88" w:rsidR="007704D8" w:rsidRPr="004A1EC9" w:rsidRDefault="007704D8" w:rsidP="00ED4E68">
      <w:pPr>
        <w:pStyle w:val="Tekstprzypisudolnego"/>
        <w:jc w:val="both"/>
        <w:rPr>
          <w:lang w:val="pl-PL"/>
        </w:rPr>
      </w:pPr>
      <w:r w:rsidRPr="00CC04D4">
        <w:rPr>
          <w:rStyle w:val="Odwoanieprzypisudolnego"/>
        </w:rPr>
        <w:footnoteRef/>
      </w:r>
      <w:r w:rsidRPr="00CC04D4">
        <w:t xml:space="preserve"> Ustawa z dnia 25 sierpnia 2006 r. o systemie monitorowania i kontrolowania jakości paliw (</w:t>
      </w:r>
      <w:r w:rsidR="00DD3978">
        <w:rPr>
          <w:lang w:val="pl-PL"/>
        </w:rPr>
        <w:t xml:space="preserve">t.j. </w:t>
      </w:r>
      <w:r w:rsidRPr="00CC04D4">
        <w:t>Dz. U. z 20</w:t>
      </w:r>
      <w:r w:rsidRPr="00CC04D4">
        <w:rPr>
          <w:lang w:val="pl-PL"/>
        </w:rPr>
        <w:t>2</w:t>
      </w:r>
      <w:r w:rsidR="00DD3978">
        <w:rPr>
          <w:lang w:val="pl-PL"/>
        </w:rPr>
        <w:t>3</w:t>
      </w:r>
      <w:r w:rsidRPr="00CC04D4">
        <w:t xml:space="preserve"> r. poz. </w:t>
      </w:r>
      <w:r w:rsidR="00DD3978">
        <w:rPr>
          <w:lang w:val="pl-PL"/>
        </w:rPr>
        <w:t>846</w:t>
      </w:r>
      <w:r w:rsidRPr="00CC04D4">
        <w:t>).</w:t>
      </w:r>
    </w:p>
  </w:footnote>
  <w:footnote w:id="17">
    <w:p w14:paraId="3AF42AD7" w14:textId="77777777" w:rsidR="007704D8" w:rsidRPr="00744A58" w:rsidRDefault="007704D8" w:rsidP="00ED4E68">
      <w:pPr>
        <w:pStyle w:val="Tekstprzypisudolnego"/>
        <w:jc w:val="both"/>
        <w:rPr>
          <w:lang w:val="pl-PL"/>
        </w:rPr>
      </w:pPr>
      <w:r>
        <w:rPr>
          <w:rStyle w:val="Odwoanieprzypisudolnego"/>
        </w:rPr>
        <w:footnoteRef/>
      </w:r>
      <w:r>
        <w:t xml:space="preserve"> </w:t>
      </w:r>
      <w:r w:rsidRPr="00056728">
        <w:t>Rozporządzenie Ministra Energii z dnia 1 grudnia 2016 r. w sprawie wymagań jakościowych dotyczących zawartości siarki dla olejów oraz rodzajów instalacji i warunków, w których będą stosowane ciężkie oleje opałowe (Dz. U. poz. 2008).</w:t>
      </w:r>
    </w:p>
  </w:footnote>
  <w:footnote w:id="18">
    <w:p w14:paraId="441C597D" w14:textId="62D4DCB5" w:rsidR="007704D8" w:rsidRPr="00364CDF" w:rsidRDefault="007704D8" w:rsidP="00ED4E68">
      <w:pPr>
        <w:pStyle w:val="Tekstprzypisudolnego"/>
        <w:jc w:val="both"/>
        <w:rPr>
          <w:lang w:val="pl-PL"/>
        </w:rPr>
      </w:pPr>
      <w:r w:rsidRPr="00364CDF">
        <w:rPr>
          <w:rStyle w:val="Odwoanieprzypisudolnego"/>
        </w:rPr>
        <w:footnoteRef/>
      </w:r>
      <w:r w:rsidRPr="00364CDF">
        <w:t xml:space="preserve"> </w:t>
      </w:r>
      <w:r>
        <w:rPr>
          <w:lang w:val="pl-PL"/>
        </w:rPr>
        <w:t xml:space="preserve">Ibidem. </w:t>
      </w:r>
    </w:p>
  </w:footnote>
  <w:footnote w:id="19">
    <w:p w14:paraId="1857EEF6" w14:textId="4BCFA285" w:rsidR="007704D8" w:rsidRPr="00744A58" w:rsidRDefault="007704D8" w:rsidP="00920E06">
      <w:pPr>
        <w:pStyle w:val="Tekstprzypisudolnego"/>
        <w:jc w:val="both"/>
      </w:pPr>
      <w:r w:rsidRPr="00744A58">
        <w:rPr>
          <w:rStyle w:val="Odwoanieprzypisudolnego"/>
        </w:rPr>
        <w:footnoteRef/>
      </w:r>
      <w:r w:rsidRPr="00744A58">
        <w:t xml:space="preserve"> </w:t>
      </w:r>
      <w:r w:rsidRPr="00744A58">
        <w:rPr>
          <w:lang w:val="pl-PL"/>
        </w:rPr>
        <w:t>R</w:t>
      </w:r>
      <w:r w:rsidRPr="00744A58">
        <w:t>ozporz</w:t>
      </w:r>
      <w:r>
        <w:rPr>
          <w:lang w:val="pl-PL"/>
        </w:rPr>
        <w:t>ą</w:t>
      </w:r>
      <w:r w:rsidRPr="00744A58">
        <w:t>dzenie Ministra Środowiska z dnia 30 grudnia 2002 r. w</w:t>
      </w:r>
      <w:r w:rsidRPr="00744A58">
        <w:rPr>
          <w:lang w:val="pl-PL"/>
        </w:rPr>
        <w:t xml:space="preserve"> </w:t>
      </w:r>
      <w:r w:rsidRPr="00744A58">
        <w:t>sprawie poważnych awarii objętych obowiązkiem zgłoszenia do Głównego Inspektora Ochrony Środowiska</w:t>
      </w:r>
      <w:r w:rsidRPr="00744A58">
        <w:rPr>
          <w:i/>
        </w:rPr>
        <w:t xml:space="preserve"> </w:t>
      </w:r>
      <w:r w:rsidRPr="00744A58">
        <w:t>(Dz. U. z 20</w:t>
      </w:r>
      <w:r w:rsidRPr="00744A58">
        <w:rPr>
          <w:lang w:val="pl-PL"/>
        </w:rPr>
        <w:t>21</w:t>
      </w:r>
      <w:r w:rsidRPr="00744A58">
        <w:t xml:space="preserve"> r.,</w:t>
      </w:r>
      <w:r w:rsidRPr="00744A58">
        <w:rPr>
          <w:lang w:val="pl-PL"/>
        </w:rPr>
        <w:t xml:space="preserve"> poz.</w:t>
      </w:r>
      <w:r w:rsidRPr="00744A58">
        <w:t xml:space="preserve"> </w:t>
      </w:r>
      <w:r w:rsidRPr="00744A58">
        <w:rPr>
          <w:lang w:val="pl-PL"/>
        </w:rPr>
        <w:t>1555</w:t>
      </w:r>
      <w:r w:rsidRPr="00744A58">
        <w:t>).</w:t>
      </w:r>
    </w:p>
  </w:footnote>
  <w:footnote w:id="20">
    <w:p w14:paraId="37422669" w14:textId="77777777" w:rsidR="007704D8" w:rsidRPr="008E01DC" w:rsidRDefault="007704D8" w:rsidP="00920E06">
      <w:pPr>
        <w:pStyle w:val="Tekstprzypisudolnego"/>
        <w:jc w:val="both"/>
        <w:rPr>
          <w:sz w:val="18"/>
          <w:szCs w:val="18"/>
          <w:lang w:val="pl-PL"/>
        </w:rPr>
      </w:pPr>
      <w:r w:rsidRPr="00744A58">
        <w:rPr>
          <w:rStyle w:val="Odwoanieprzypisudolnego"/>
        </w:rPr>
        <w:footnoteRef/>
      </w:r>
      <w:r w:rsidRPr="00744A58">
        <w:rPr>
          <w:lang w:val="pl-PL"/>
        </w:rPr>
        <w:t xml:space="preserve"> </w:t>
      </w:r>
      <w:r w:rsidRPr="00744A58">
        <w:t>Inspekcja Ochrony Środowiska kontroluje przestrzeganie przepisów ustawy z dnia 22 czerwca 2001 r. o</w:t>
      </w:r>
      <w:r w:rsidRPr="00744A58">
        <w:rPr>
          <w:lang w:val="pl-PL"/>
        </w:rPr>
        <w:t> </w:t>
      </w:r>
      <w:r w:rsidRPr="00744A58">
        <w:t xml:space="preserve">mikroorganizmach i organizmach genetycznie zmodyfikowanych (Dz. U. z </w:t>
      </w:r>
      <w:r w:rsidRPr="00744A58">
        <w:rPr>
          <w:lang w:val="pl-PL"/>
        </w:rPr>
        <w:t>2022</w:t>
      </w:r>
      <w:r w:rsidRPr="00744A58">
        <w:t xml:space="preserve"> r. poz. </w:t>
      </w:r>
      <w:r w:rsidRPr="00744A58">
        <w:rPr>
          <w:lang w:val="pl-PL"/>
        </w:rPr>
        <w:t>546</w:t>
      </w:r>
      <w:r w:rsidRPr="00744A58">
        <w:t>)</w:t>
      </w:r>
      <w:r w:rsidRPr="00744A58">
        <w:rPr>
          <w:lang w:val="pl-PL"/>
        </w:rPr>
        <w:t>.</w:t>
      </w:r>
    </w:p>
  </w:footnote>
  <w:footnote w:id="21">
    <w:p w14:paraId="450B95CE" w14:textId="4DCC7124" w:rsidR="007704D8" w:rsidRPr="00744A58" w:rsidRDefault="007704D8" w:rsidP="00920E06">
      <w:pPr>
        <w:pStyle w:val="Tekstprzypisudolnego"/>
        <w:jc w:val="both"/>
        <w:rPr>
          <w:lang w:val="pl-PL"/>
        </w:rPr>
      </w:pPr>
      <w:r w:rsidRPr="00744A58">
        <w:rPr>
          <w:rStyle w:val="Odwoanieprzypisudolnego"/>
        </w:rPr>
        <w:footnoteRef/>
      </w:r>
      <w:r w:rsidRPr="00744A58">
        <w:t xml:space="preserve"> </w:t>
      </w:r>
      <w:r w:rsidRPr="00744A58">
        <w:rPr>
          <w:lang w:val="pl-PL"/>
        </w:rPr>
        <w:t>Ustawa z dnia 19 lipca 2016 r. o dostępie do zasobów genetycznych i podziale korzyści z ich wykorzystania (Dz. U. z 2019 r. poz. 1594)</w:t>
      </w:r>
      <w:r>
        <w:rPr>
          <w:lang w:val="pl-PL"/>
        </w:rPr>
        <w:t>.</w:t>
      </w:r>
    </w:p>
  </w:footnote>
  <w:footnote w:id="22">
    <w:p w14:paraId="687ECB36" w14:textId="371D5AC1" w:rsidR="007704D8" w:rsidRPr="00BE5A92" w:rsidRDefault="007704D8" w:rsidP="00920E06">
      <w:pPr>
        <w:pStyle w:val="Tekstprzypisudolnego"/>
        <w:jc w:val="both"/>
        <w:rPr>
          <w:lang w:val="pl-PL"/>
        </w:rPr>
      </w:pPr>
      <w:r w:rsidRPr="00744A58">
        <w:rPr>
          <w:rStyle w:val="Odwoanieprzypisudolnego"/>
        </w:rPr>
        <w:footnoteRef/>
      </w:r>
      <w:r w:rsidRPr="00744A58">
        <w:t xml:space="preserve"> Rozporządzenie Parlamentu Europejskiego i Rady (UE) Nr 511/2014 z dnia 16 kwietnia 2014 r. w sprawie środków zapewniających zgodność użytkowników w Unii z wymogami wynikającymi z Protokołu z Nagoi dotyczącego dostępu do</w:t>
      </w:r>
      <w:r w:rsidRPr="00744A58">
        <w:rPr>
          <w:lang w:val="pl-PL"/>
        </w:rPr>
        <w:t> </w:t>
      </w:r>
      <w:r w:rsidRPr="00744A58">
        <w:t>zasobów genetycznych oraz uczciwego i sprawiedliwego podziału korzyści wynikających z wykorzystania tych zasobów (Dz. Urz. UE L Nr 150 z 20.05.2014, str. 59)</w:t>
      </w:r>
      <w:r>
        <w:rPr>
          <w:lang w:val="pl-PL"/>
        </w:rPr>
        <w:t>.</w:t>
      </w:r>
    </w:p>
  </w:footnote>
  <w:footnote w:id="23">
    <w:p w14:paraId="2B964906" w14:textId="77777777" w:rsidR="007704D8" w:rsidRPr="00744A58" w:rsidRDefault="007704D8" w:rsidP="00920E06">
      <w:pPr>
        <w:pStyle w:val="Tekstprzypisudolnego"/>
        <w:jc w:val="both"/>
        <w:rPr>
          <w:lang w:val="pl-PL"/>
        </w:rPr>
      </w:pPr>
      <w:r w:rsidRPr="00744A58">
        <w:rPr>
          <w:rStyle w:val="Odwoanieprzypisudolnego"/>
        </w:rPr>
        <w:footnoteRef/>
      </w:r>
      <w:r w:rsidRPr="00744A58">
        <w:t xml:space="preserve"> Inspekcja Ochrony Środowiska prowadzi kontrole spełniania przez wyroby zasadniczych lub innych wymagań</w:t>
      </w:r>
      <w:r w:rsidRPr="00744A58">
        <w:rPr>
          <w:lang w:val="pl-PL"/>
        </w:rPr>
        <w:t>,</w:t>
      </w:r>
      <w:r w:rsidRPr="00744A58">
        <w:t xml:space="preserve"> o których mowa w przepisach ustawy z dnia 30 sierpnia 2002 r. o systemie oceny zgodności (Dz. U. z 20</w:t>
      </w:r>
      <w:r w:rsidRPr="00744A58">
        <w:rPr>
          <w:lang w:val="pl-PL"/>
        </w:rPr>
        <w:t>23</w:t>
      </w:r>
      <w:r w:rsidRPr="00744A58">
        <w:t xml:space="preserve"> r. poz. </w:t>
      </w:r>
      <w:r w:rsidRPr="00744A58">
        <w:rPr>
          <w:lang w:val="pl-PL"/>
        </w:rPr>
        <w:t>215</w:t>
      </w:r>
      <w:r w:rsidRPr="00744A58">
        <w:t>).</w:t>
      </w:r>
    </w:p>
  </w:footnote>
  <w:footnote w:id="24">
    <w:p w14:paraId="40D3457B" w14:textId="77777777" w:rsidR="007704D8" w:rsidRPr="00744A58" w:rsidRDefault="007704D8" w:rsidP="001633A3">
      <w:pPr>
        <w:pStyle w:val="Tekstprzypisudolnego"/>
        <w:jc w:val="both"/>
        <w:rPr>
          <w:lang w:val="pl-PL"/>
        </w:rPr>
      </w:pPr>
      <w:r>
        <w:rPr>
          <w:rStyle w:val="Odwoanieprzypisudolnego"/>
          <w:sz w:val="18"/>
        </w:rPr>
        <w:footnoteRef/>
      </w:r>
      <w:r>
        <w:rPr>
          <w:sz w:val="18"/>
        </w:rPr>
        <w:t xml:space="preserve"> </w:t>
      </w:r>
      <w:r w:rsidRPr="00744A58">
        <w:rPr>
          <w:lang w:val="pl-PL"/>
        </w:rPr>
        <w:t xml:space="preserve">Rozporządzenie Parlamentu Europejskiego i Rady (UE) 2016/1628 z dnia 14 września 2016 r. w sprawie wymogów dotyczących wartości granicznych emisji zanieczyszczeń gazowych i pyłowych oraz homologacji typu w odniesieniu do silników spalinowych wewnętrznego spalania przeznaczonych do maszyn mobilnych nieporuszających się po drogach, zmieniające rozporządzenia (UE) nr 1024/2012 i (UE) nr 167/2013 oraz zmieniające i uchylające dyrektywę 97/68/WE (Dz. Urz. UE L Nr 252 z 16.09.2016, str. 53, z </w:t>
      </w:r>
      <w:r w:rsidRPr="00744A58">
        <w:rPr>
          <w:lang w:val="pl-PL"/>
        </w:rPr>
        <w:t>późn. zm.)</w:t>
      </w:r>
    </w:p>
  </w:footnote>
  <w:footnote w:id="25">
    <w:p w14:paraId="041D63A4" w14:textId="77777777" w:rsidR="007704D8" w:rsidRPr="00744A58" w:rsidRDefault="007704D8" w:rsidP="001633A3">
      <w:pPr>
        <w:pStyle w:val="Tekstprzypisudolnego"/>
        <w:jc w:val="both"/>
        <w:rPr>
          <w:lang w:val="pl-PL"/>
        </w:rPr>
      </w:pPr>
      <w:r w:rsidRPr="00744A58">
        <w:rPr>
          <w:rStyle w:val="Odwoanieprzypisudolnego"/>
        </w:rPr>
        <w:footnoteRef/>
      </w:r>
      <w:r w:rsidRPr="00744A58">
        <w:rPr>
          <w:lang w:val="pl-PL"/>
        </w:rPr>
        <w:t xml:space="preserve"> </w:t>
      </w:r>
      <w:r w:rsidRPr="00744A58">
        <w:t xml:space="preserve">Inspekcja Ochrony Środowiska </w:t>
      </w:r>
      <w:r w:rsidRPr="00744A58">
        <w:rPr>
          <w:lang w:val="pl-PL"/>
        </w:rPr>
        <w:t>prowadzi kontrole, o których mowa w</w:t>
      </w:r>
      <w:r w:rsidRPr="00744A58">
        <w:t xml:space="preserve"> ustaw</w:t>
      </w:r>
      <w:r w:rsidRPr="00744A58">
        <w:rPr>
          <w:lang w:val="pl-PL"/>
        </w:rPr>
        <w:t>ie</w:t>
      </w:r>
      <w:r w:rsidRPr="00744A58">
        <w:t xml:space="preserve"> z dnia </w:t>
      </w:r>
      <w:r w:rsidRPr="00744A58">
        <w:rPr>
          <w:lang w:val="pl-PL"/>
        </w:rPr>
        <w:t>15</w:t>
      </w:r>
      <w:r w:rsidRPr="00744A58">
        <w:t xml:space="preserve"> </w:t>
      </w:r>
      <w:r w:rsidRPr="00744A58">
        <w:rPr>
          <w:lang w:val="pl-PL"/>
        </w:rPr>
        <w:t>lip</w:t>
      </w:r>
      <w:r w:rsidRPr="00744A58">
        <w:t>ca 20</w:t>
      </w:r>
      <w:r w:rsidRPr="00744A58">
        <w:rPr>
          <w:lang w:val="pl-PL"/>
        </w:rPr>
        <w:t>20</w:t>
      </w:r>
      <w:r w:rsidRPr="00744A58">
        <w:t xml:space="preserve"> r. o</w:t>
      </w:r>
      <w:r>
        <w:rPr>
          <w:lang w:val="pl-PL"/>
        </w:rPr>
        <w:t> </w:t>
      </w:r>
      <w:r w:rsidRPr="00744A58">
        <w:rPr>
          <w:lang w:val="pl-PL"/>
        </w:rPr>
        <w:t xml:space="preserve">systemach homologacji typu UE i nadzoru rynku silników spalinowych przeznaczonych do maszyn mobilnych nie poruszających się po drogach </w:t>
      </w:r>
      <w:r w:rsidRPr="00744A58">
        <w:t xml:space="preserve">(Dz. U. poz. </w:t>
      </w:r>
      <w:r w:rsidRPr="00744A58">
        <w:rPr>
          <w:lang w:val="pl-PL"/>
        </w:rPr>
        <w:t>1339</w:t>
      </w:r>
      <w:r w:rsidRPr="00744A58">
        <w:t>)</w:t>
      </w:r>
    </w:p>
  </w:footnote>
  <w:footnote w:id="26">
    <w:p w14:paraId="205438EF" w14:textId="77777777" w:rsidR="007704D8" w:rsidRPr="00BA70D5" w:rsidRDefault="007704D8" w:rsidP="001633A3">
      <w:pPr>
        <w:pStyle w:val="Tekstprzypisudolnego"/>
        <w:jc w:val="both"/>
      </w:pPr>
      <w:r w:rsidRPr="00BA70D5">
        <w:rPr>
          <w:rStyle w:val="Odwoanieprzypisudolnego"/>
          <w:rFonts w:eastAsia="Calibri"/>
        </w:rPr>
        <w:footnoteRef/>
      </w:r>
      <w:r w:rsidRPr="00BA70D5">
        <w:t xml:space="preserve"> Podczas kontroli transportów odpadów na podstawie art. 24a ust. 1 pkt 1 ustawy o odpadach stwierdzono naruszenia szczegółowych wymagań dla transportu odpadów.</w:t>
      </w:r>
    </w:p>
  </w:footnote>
  <w:footnote w:id="27">
    <w:p w14:paraId="5A18E105" w14:textId="77777777" w:rsidR="007704D8" w:rsidRPr="00BA70D5" w:rsidRDefault="007704D8" w:rsidP="001633A3">
      <w:pPr>
        <w:pStyle w:val="Tekstprzypisudolnego"/>
        <w:jc w:val="both"/>
      </w:pPr>
      <w:r w:rsidRPr="00BA70D5">
        <w:rPr>
          <w:rStyle w:val="Odwoanieprzypisudolnego"/>
          <w:rFonts w:eastAsia="Calibri"/>
        </w:rPr>
        <w:footnoteRef/>
      </w:r>
      <w:r w:rsidRPr="00BA70D5">
        <w:t xml:space="preserve"> Podczas kontroli transportów odpadów na podstawie art. 24a ust. 1 pkt 2 ustawy o odpadach stwierdzono przemieszczanie odpadów do nieuprawnionego odbiorcy.</w:t>
      </w:r>
    </w:p>
  </w:footnote>
  <w:footnote w:id="28">
    <w:p w14:paraId="53553652" w14:textId="02D69C25" w:rsidR="007704D8" w:rsidRPr="008F258B" w:rsidRDefault="007704D8" w:rsidP="001633A3">
      <w:pPr>
        <w:pStyle w:val="Tekstprzypisudolnego"/>
        <w:rPr>
          <w:lang w:val="pl-PL"/>
        </w:rPr>
      </w:pPr>
      <w:r>
        <w:rPr>
          <w:rStyle w:val="Odwoanieprzypisudolnego"/>
        </w:rPr>
        <w:footnoteRef/>
      </w:r>
      <w:r>
        <w:t xml:space="preserve"> </w:t>
      </w:r>
      <w:r w:rsidRPr="00411C3E">
        <w:t>Dz. U z 2016</w:t>
      </w:r>
      <w:r w:rsidR="00FE0F07">
        <w:rPr>
          <w:lang w:val="pl-PL"/>
        </w:rPr>
        <w:t xml:space="preserve"> </w:t>
      </w:r>
      <w:r w:rsidRPr="00411C3E">
        <w:t>r. poz. 1395</w:t>
      </w:r>
      <w:r w:rsidR="008F258B">
        <w:rPr>
          <w:lang w:val="pl-PL"/>
        </w:rPr>
        <w:t>.</w:t>
      </w:r>
    </w:p>
  </w:footnote>
  <w:footnote w:id="29">
    <w:p w14:paraId="3CBE69B8" w14:textId="77777777" w:rsidR="007704D8" w:rsidRDefault="007704D8" w:rsidP="001633A3">
      <w:pPr>
        <w:pStyle w:val="Tekstprzypisudolnego"/>
      </w:pPr>
      <w:r>
        <w:rPr>
          <w:rStyle w:val="Odwoanieprzypisudolnego"/>
        </w:rPr>
        <w:footnoteRef/>
      </w:r>
      <w:r>
        <w:t xml:space="preserve"> KPOŚK zatwierdzony przez Radę Ministrów w dniu 16 grudnia 2003 r. wraz z V</w:t>
      </w:r>
      <w:r>
        <w:rPr>
          <w:lang w:val="pl-PL"/>
        </w:rPr>
        <w:t>I</w:t>
      </w:r>
      <w:r>
        <w:t xml:space="preserve"> aktualizacją zatwierdzoną przez Radę Ministrów w dniu </w:t>
      </w:r>
      <w:r>
        <w:rPr>
          <w:lang w:val="pl-PL"/>
        </w:rPr>
        <w:t>5 maja</w:t>
      </w:r>
      <w:r>
        <w:t xml:space="preserve"> 20</w:t>
      </w:r>
      <w:r>
        <w:rPr>
          <w:lang w:val="pl-PL"/>
        </w:rPr>
        <w:t>22</w:t>
      </w:r>
      <w:r>
        <w:t xml:space="preserve"> r.</w:t>
      </w:r>
    </w:p>
  </w:footnote>
  <w:footnote w:id="30">
    <w:p w14:paraId="304E841E" w14:textId="302B67A1" w:rsidR="007704D8" w:rsidRPr="00410DE7" w:rsidRDefault="007704D8" w:rsidP="00113E67">
      <w:pPr>
        <w:pStyle w:val="Tekstprzypisudolnego"/>
        <w:rPr>
          <w:lang w:val="pl-PL"/>
        </w:rPr>
      </w:pPr>
      <w:r w:rsidRPr="00410DE7">
        <w:rPr>
          <w:rStyle w:val="Odwoanieprzypisudolnego"/>
        </w:rPr>
        <w:footnoteRef/>
      </w:r>
      <w:r w:rsidRPr="00410DE7">
        <w:t xml:space="preserve"> </w:t>
      </w:r>
      <w:r w:rsidRPr="00410DE7">
        <w:rPr>
          <w:lang w:val="pl-PL"/>
        </w:rPr>
        <w:t>Ustawa z dnia 20 lipca 2017 r. Prawo wodne (</w:t>
      </w:r>
      <w:r>
        <w:rPr>
          <w:lang w:val="pl-PL"/>
        </w:rPr>
        <w:t xml:space="preserve">t.j. </w:t>
      </w:r>
      <w:r w:rsidRPr="00410DE7">
        <w:rPr>
          <w:lang w:val="pl-PL"/>
        </w:rPr>
        <w:t>Dz. U. z 2022 r. poz. 2625, z późn. zm.)</w:t>
      </w:r>
    </w:p>
  </w:footnote>
  <w:footnote w:id="31">
    <w:p w14:paraId="4F2F4458" w14:textId="77777777" w:rsidR="007704D8" w:rsidRPr="002F09E2" w:rsidRDefault="007704D8" w:rsidP="00113E67">
      <w:pPr>
        <w:pStyle w:val="Tekstprzypisudolnego"/>
        <w:jc w:val="both"/>
        <w:rPr>
          <w:lang w:val="pl-PL"/>
        </w:rPr>
      </w:pPr>
      <w:r w:rsidRPr="00410DE7">
        <w:rPr>
          <w:rStyle w:val="Odwoanieprzypisudolnego"/>
        </w:rPr>
        <w:footnoteRef/>
      </w:r>
      <w:r w:rsidRPr="00410DE7">
        <w:t xml:space="preserve"> </w:t>
      </w:r>
      <w:r w:rsidRPr="00410DE7">
        <w:rPr>
          <w:lang w:val="pl-PL"/>
        </w:rPr>
        <w:t>Rozporządzenie</w:t>
      </w:r>
      <w:r w:rsidRPr="00410DE7">
        <w:t xml:space="preserve"> Rady Ministrów z dnia 12 lutego 2020 r. w sprawie przyjęcia „Programu działań mających na celu zmniejszenie zanieczyszczenia wód azotanami pochodzącymi ze źródeł rolniczych oraz zapobieganie dalszemu zanieczyszczeniu” (Dz. U. z 2020 r. poz. 243)</w:t>
      </w:r>
    </w:p>
  </w:footnote>
  <w:footnote w:id="32">
    <w:p w14:paraId="26558845" w14:textId="748EA8D6" w:rsidR="007704D8" w:rsidRPr="00CA1DF8" w:rsidRDefault="007704D8" w:rsidP="00113E67">
      <w:pPr>
        <w:pStyle w:val="Stopka"/>
        <w:jc w:val="both"/>
        <w:rPr>
          <w:lang w:val="pl-PL" w:eastAsia="en-US"/>
        </w:rPr>
      </w:pPr>
      <w:r>
        <w:rPr>
          <w:rStyle w:val="Odwoanieprzypisudolnego"/>
          <w:sz w:val="18"/>
        </w:rPr>
        <w:footnoteRef/>
      </w:r>
      <w:r>
        <w:rPr>
          <w:sz w:val="18"/>
        </w:rPr>
        <w:t xml:space="preserve"> </w:t>
      </w:r>
      <w:r w:rsidRPr="00CA1DF8">
        <w:t xml:space="preserve">Inspekcja Ochrony Środowiska wykonuje zadania wynikające z rozporządzenia Parlamentu Europejskiego </w:t>
      </w:r>
      <w:r>
        <w:br/>
      </w:r>
      <w:r w:rsidRPr="00CA1DF8">
        <w:t>i Rady (UE) nr</w:t>
      </w:r>
      <w:r w:rsidRPr="00CA1DF8">
        <w:rPr>
          <w:lang w:val="pl-PL"/>
        </w:rPr>
        <w:t> </w:t>
      </w:r>
      <w:r w:rsidRPr="00CA1DF8">
        <w:t>995/2010 z dnia 20 października 2010 r. ustanawiającego obowiązki podmiotów wprowadzających do obrotu drewno (Dz.</w:t>
      </w:r>
      <w:r w:rsidRPr="00CA1DF8">
        <w:rPr>
          <w:lang w:val="pl-PL"/>
        </w:rPr>
        <w:t> </w:t>
      </w:r>
      <w:r w:rsidRPr="00CA1DF8">
        <w:t>Urz. UE L 295 z 12.11.2010, str. 23)</w:t>
      </w:r>
      <w:r w:rsidRPr="00CA1DF8">
        <w:rPr>
          <w:lang w:val="pl-PL"/>
        </w:rPr>
        <w:t>.</w:t>
      </w:r>
    </w:p>
  </w:footnote>
  <w:footnote w:id="33">
    <w:p w14:paraId="3A5992D6" w14:textId="77777777" w:rsidR="007704D8" w:rsidRPr="002F79B1" w:rsidRDefault="007704D8" w:rsidP="00113E67">
      <w:pPr>
        <w:pStyle w:val="Tekstprzypisudolnego"/>
        <w:jc w:val="both"/>
        <w:rPr>
          <w:sz w:val="18"/>
          <w:lang w:val="pl-PL"/>
        </w:rPr>
      </w:pPr>
      <w:r w:rsidRPr="002F79B1">
        <w:rPr>
          <w:rStyle w:val="Odwoanieprzypisudolnego"/>
          <w:sz w:val="18"/>
        </w:rPr>
        <w:footnoteRef/>
      </w:r>
      <w:r w:rsidRPr="002F79B1">
        <w:rPr>
          <w:sz w:val="18"/>
        </w:rPr>
        <w:t xml:space="preserve"> Rozporządzenie Parlamentu Europejskiego i Rady (UE) nr 995/2010 ustanawiające obowiązki podmiotów wprowadzających do obrotu drewno i produkty z drewna</w:t>
      </w:r>
      <w:r w:rsidRPr="002F79B1">
        <w:rPr>
          <w:sz w:val="18"/>
          <w:lang w:val="pl-PL"/>
        </w:rPr>
        <w:t>.</w:t>
      </w:r>
    </w:p>
  </w:footnote>
  <w:footnote w:id="34">
    <w:p w14:paraId="52D6C6F2" w14:textId="3C1A89D7" w:rsidR="007704D8" w:rsidRDefault="007704D8" w:rsidP="00113E67">
      <w:pPr>
        <w:pStyle w:val="Tekstprzypisudolnego"/>
        <w:jc w:val="both"/>
        <w:rPr>
          <w:lang w:val="pl-PL"/>
        </w:rPr>
      </w:pPr>
      <w:r>
        <w:rPr>
          <w:rStyle w:val="Odwoanieprzypisudolnego"/>
        </w:rPr>
        <w:footnoteRef/>
      </w:r>
      <w:r>
        <w:t xml:space="preserve"> Instalacje emitujące pola elektromagnetyczne (PEM) - stacje elektroenergetyczne lub napowietrzne linie elektroenergetyczne o napięciu znamionowym nie niższym niż 110 </w:t>
      </w:r>
      <w:r>
        <w:t>kV, lub instalacje radiokomunikacyjne, radionawigacyjne lub radiolokacyjne, emitujące pola elektromagnetyczne, których równoważna moc promieniowana izotropowo wynosi</w:t>
      </w:r>
      <w:r>
        <w:rPr>
          <w:lang w:val="pl-PL"/>
        </w:rPr>
        <w:t xml:space="preserve"> </w:t>
      </w:r>
      <w:r>
        <w:t>nie</w:t>
      </w:r>
      <w:r>
        <w:rPr>
          <w:lang w:val="pl-PL"/>
        </w:rPr>
        <w:t> </w:t>
      </w:r>
      <w:r>
        <w:t>mniej niż 15 W, emitujące pola elektromagnetyczne o częstotliwościach od 30 kHz do 300 GHz</w:t>
      </w:r>
      <w:r>
        <w:rPr>
          <w:lang w:val="pl-PL"/>
        </w:rPr>
        <w:t>.</w:t>
      </w:r>
    </w:p>
  </w:footnote>
  <w:footnote w:id="35">
    <w:p w14:paraId="7DF31D36" w14:textId="402C5B41" w:rsidR="007704D8" w:rsidRPr="00CA1DF8" w:rsidRDefault="007704D8" w:rsidP="00F06869">
      <w:pPr>
        <w:pStyle w:val="Tekstprzypisudolnego"/>
        <w:jc w:val="both"/>
      </w:pPr>
      <w:r>
        <w:rPr>
          <w:rStyle w:val="Odwoanieprzypisudolnego"/>
          <w:sz w:val="18"/>
        </w:rPr>
        <w:footnoteRef/>
      </w:r>
      <w:r>
        <w:rPr>
          <w:sz w:val="18"/>
          <w:lang w:val="pl-PL"/>
        </w:rPr>
        <w:t xml:space="preserve"> </w:t>
      </w:r>
      <w:r w:rsidRPr="00CA1DF8">
        <w:rPr>
          <w:rFonts w:eastAsia="Calibri"/>
        </w:rPr>
        <w:t xml:space="preserve">Inspekcja Ochrony Środowiska </w:t>
      </w:r>
      <w:r w:rsidRPr="00CA1DF8">
        <w:rPr>
          <w:rFonts w:eastAsia="Calibri"/>
          <w:lang w:val="pl-PL"/>
        </w:rPr>
        <w:t>jest uprawniona do nakładania kar za naruszenia warunków, wymogów i</w:t>
      </w:r>
      <w:r>
        <w:rPr>
          <w:rFonts w:eastAsia="Calibri"/>
          <w:lang w:val="pl-PL"/>
        </w:rPr>
        <w:t> </w:t>
      </w:r>
      <w:r w:rsidRPr="00CA1DF8">
        <w:rPr>
          <w:rFonts w:eastAsia="Calibri"/>
          <w:lang w:val="pl-PL"/>
        </w:rPr>
        <w:t>obowiązków ujętych w decyzjach o środowiskowych uwarunkowaniach, na podstawie</w:t>
      </w:r>
      <w:r w:rsidRPr="00CA1DF8">
        <w:rPr>
          <w:rFonts w:eastAsia="Calibri"/>
        </w:rPr>
        <w:t xml:space="preserve"> przepisów </w:t>
      </w:r>
      <w:r w:rsidRPr="00CA1DF8">
        <w:t xml:space="preserve">art. 136a ustawy z dnia 3 października 2008 r. o udostępnianiu informacji o środowisku i jego ochronie, udziale społeczeństwa w ochronie środowiska oraz </w:t>
      </w:r>
      <w:r w:rsidRPr="00CA1DF8">
        <w:rPr>
          <w:lang w:val="pl-PL"/>
        </w:rPr>
        <w:t>o ocenach oddziaływania na środowisko (</w:t>
      </w:r>
      <w:r>
        <w:rPr>
          <w:lang w:val="pl-PL"/>
        </w:rPr>
        <w:t>Dz. U.</w:t>
      </w:r>
      <w:r w:rsidRPr="00CA1DF8">
        <w:rPr>
          <w:lang w:val="pl-PL"/>
        </w:rPr>
        <w:t xml:space="preserve"> z </w:t>
      </w:r>
      <w:r w:rsidRPr="00CA1DF8">
        <w:t>2022 r. poz. 1029</w:t>
      </w:r>
      <w:r w:rsidRPr="00CA1DF8">
        <w:rPr>
          <w:lang w:val="pl-PL"/>
        </w:rPr>
        <w:t xml:space="preserve"> z</w:t>
      </w:r>
      <w:r>
        <w:rPr>
          <w:lang w:val="pl-PL"/>
        </w:rPr>
        <w:t> </w:t>
      </w:r>
      <w:r w:rsidRPr="00CA1DF8">
        <w:rPr>
          <w:lang w:val="pl-PL"/>
        </w:rPr>
        <w:t>późn. zm.</w:t>
      </w:r>
      <w:r w:rsidRPr="00CA1DF8">
        <w:t>).</w:t>
      </w:r>
    </w:p>
  </w:footnote>
  <w:footnote w:id="36">
    <w:p w14:paraId="320938CA" w14:textId="77777777" w:rsidR="007704D8" w:rsidRDefault="007704D8" w:rsidP="002A3FE5">
      <w:pPr>
        <w:pStyle w:val="Tekstprzypisudolnego"/>
        <w:jc w:val="both"/>
      </w:pPr>
      <w:r>
        <w:rPr>
          <w:rStyle w:val="Odwoanieprzypisudolnego"/>
        </w:rPr>
        <w:footnoteRef/>
      </w:r>
      <w:r>
        <w:t xml:space="preserve"> </w:t>
      </w:r>
      <w:r>
        <w:rPr>
          <w:lang w:val="pl-PL"/>
        </w:rPr>
        <w:t>a</w:t>
      </w:r>
      <w:r>
        <w:t>rt. 29 pkt 4 ustawy z dnia 20 lipca 1991 r. o Inspekcji Ochrony Środowiska.</w:t>
      </w:r>
    </w:p>
  </w:footnote>
  <w:footnote w:id="37">
    <w:p w14:paraId="26D47B6B" w14:textId="739915B0" w:rsidR="007704D8" w:rsidRDefault="007704D8" w:rsidP="002A3FE5">
      <w:pPr>
        <w:pStyle w:val="Tekstprzypisudolnego"/>
        <w:jc w:val="both"/>
        <w:rPr>
          <w:bCs/>
          <w:i/>
          <w:color w:val="000000"/>
        </w:rPr>
      </w:pPr>
      <w:r>
        <w:rPr>
          <w:rStyle w:val="Odwoanieprzypisudolnego"/>
        </w:rPr>
        <w:footnoteRef/>
      </w:r>
      <w:r>
        <w:t xml:space="preserve"> </w:t>
      </w:r>
      <w:r>
        <w:rPr>
          <w:lang w:val="pl-PL"/>
        </w:rPr>
        <w:t>r</w:t>
      </w:r>
      <w:r>
        <w:t>ozporz</w:t>
      </w:r>
      <w:r w:rsidR="008F258B">
        <w:rPr>
          <w:lang w:val="pl-PL"/>
        </w:rPr>
        <w:t>ą</w:t>
      </w:r>
      <w:r>
        <w:t>dzenie Ministra Rozwoju</w:t>
      </w:r>
      <w:r>
        <w:rPr>
          <w:color w:val="000000"/>
        </w:rPr>
        <w:t xml:space="preserve"> z dnia 29 stycznia 2016 r. </w:t>
      </w:r>
      <w:r>
        <w:rPr>
          <w:bCs/>
          <w:color w:val="000000"/>
        </w:rPr>
        <w:t>w sprawie rodzajów i ilości znajdujących się w</w:t>
      </w:r>
      <w:r>
        <w:rPr>
          <w:bCs/>
          <w:color w:val="000000"/>
          <w:lang w:val="pl-PL"/>
        </w:rPr>
        <w:t> </w:t>
      </w:r>
      <w:r>
        <w:rPr>
          <w:bCs/>
          <w:color w:val="000000"/>
        </w:rPr>
        <w:t>zakładzie substancji niebezpiecznych, decydujących o zaliczeniu zakładu do zakładu o zwiększonym lub dużym ryzyku wystąpienia poważnej awarii przemysłowej</w:t>
      </w:r>
      <w:r>
        <w:rPr>
          <w:color w:val="000000"/>
        </w:rPr>
        <w:t xml:space="preserve"> (Dz. U. z 2016 r. poz. 138).</w:t>
      </w:r>
    </w:p>
  </w:footnote>
  <w:footnote w:id="38">
    <w:p w14:paraId="408F9023" w14:textId="77777777" w:rsidR="007704D8" w:rsidRDefault="007704D8" w:rsidP="002A3FE5">
      <w:pPr>
        <w:pStyle w:val="Tekstprzypisudolnego"/>
        <w:jc w:val="both"/>
        <w:rPr>
          <w:lang w:val="pl-PL"/>
        </w:rPr>
      </w:pPr>
      <w:r>
        <w:rPr>
          <w:rStyle w:val="Odwoanieprzypisudolnego"/>
        </w:rPr>
        <w:footnoteRef/>
      </w:r>
      <w:r>
        <w:t xml:space="preserve"> </w:t>
      </w:r>
      <w:r>
        <w:rPr>
          <w:lang w:val="pl-PL"/>
        </w:rPr>
        <w:t>a</w:t>
      </w:r>
      <w:r>
        <w:t>rt. 31 ust. 2 ustawy z dnia 20 lipca 1991 r. o Inspekcji Ochrony Środowiska</w:t>
      </w:r>
      <w:r>
        <w:rPr>
          <w:lang w:val="pl-PL"/>
        </w:rPr>
        <w:t>.</w:t>
      </w:r>
    </w:p>
  </w:footnote>
  <w:footnote w:id="39">
    <w:p w14:paraId="5E996781" w14:textId="77777777" w:rsidR="007704D8" w:rsidRDefault="007704D8" w:rsidP="002A3FE5">
      <w:pPr>
        <w:pStyle w:val="Tekstprzypisudolnego"/>
        <w:jc w:val="both"/>
        <w:rPr>
          <w:sz w:val="18"/>
          <w:szCs w:val="18"/>
        </w:rPr>
      </w:pPr>
      <w:r>
        <w:rPr>
          <w:rStyle w:val="Odwoanieprzypisudolnego"/>
        </w:rPr>
        <w:footnoteRef/>
      </w:r>
      <w:r>
        <w:t xml:space="preserve"> Dz. U. 20</w:t>
      </w:r>
      <w:r>
        <w:rPr>
          <w:lang w:val="pl-PL"/>
        </w:rPr>
        <w:t>21 r., poz. 1555</w:t>
      </w:r>
      <w:r>
        <w:t>.</w:t>
      </w:r>
    </w:p>
  </w:footnote>
  <w:footnote w:id="40">
    <w:p w14:paraId="09A488FA" w14:textId="77777777" w:rsidR="007704D8" w:rsidRPr="0020385D" w:rsidRDefault="007704D8" w:rsidP="00B72DC0">
      <w:pPr>
        <w:pStyle w:val="Tekstprzypisudolnego"/>
        <w:rPr>
          <w:lang w:val="pl-PL"/>
        </w:rPr>
      </w:pPr>
      <w:r>
        <w:rPr>
          <w:rStyle w:val="Odwoanieprzypisudolnego"/>
        </w:rPr>
        <w:footnoteRef/>
      </w:r>
      <w:r>
        <w:t xml:space="preserve"> </w:t>
      </w:r>
      <w:r>
        <w:rPr>
          <w:lang w:val="pl-PL"/>
        </w:rPr>
        <w:t>m.in. decyzje wstrzymujące działalność, decyzje wstrzymujące użytkowanie instalacji.</w:t>
      </w:r>
    </w:p>
  </w:footnote>
  <w:footnote w:id="41">
    <w:p w14:paraId="092728C4" w14:textId="77777777" w:rsidR="007704D8" w:rsidRPr="0041316C" w:rsidRDefault="007704D8" w:rsidP="002A155A">
      <w:pPr>
        <w:spacing w:after="0"/>
        <w:jc w:val="both"/>
        <w:rPr>
          <w:rFonts w:ascii="Times New Roman" w:eastAsia="Times New Roman" w:hAnsi="Times New Roman" w:cs="Times New Roman"/>
          <w:color w:val="000000"/>
          <w:sz w:val="20"/>
          <w:szCs w:val="20"/>
        </w:rPr>
      </w:pPr>
      <w:r w:rsidRPr="0041316C">
        <w:rPr>
          <w:rStyle w:val="Odwoanieprzypisudolnego"/>
        </w:rPr>
        <w:footnoteRef/>
      </w:r>
      <w:r w:rsidRPr="0041316C">
        <w:rPr>
          <w:rFonts w:ascii="Times New Roman" w:hAnsi="Times New Roman" w:cs="Times New Roman"/>
          <w:sz w:val="20"/>
          <w:szCs w:val="20"/>
        </w:rPr>
        <w:t xml:space="preserve"> Liczba wszystkich postanowień ostatecznych, wydanych przez wojewódzkich inspektorów ochrony środowiska w okresie sprawozdawczym, np. w sprawie uznania albo odmowy uznania przedmiotu lub substancji za produkt uboczny (art. 11 ust. 4 ustawy o odpadach), w przedmiocie spełnienia wymagań określonych w przepisach ochrony środowiska (art. 41a ust. 3 ustawy o odpadach), w sprawie wydania przez Komendanta wojewódzkiego Państwowej Straży Pożarnej decyzji zatwierdzającej lub odmawiającej zatwierdzenia raportu o bezpieczeństwie lub zmianie raportu o bezpieczeństwie (art. 264 ustawy Prawo ochrony środowiska).</w:t>
      </w:r>
    </w:p>
  </w:footnote>
  <w:footnote w:id="42">
    <w:p w14:paraId="3E53A0D3" w14:textId="77777777" w:rsidR="007704D8" w:rsidRPr="007F59B3" w:rsidRDefault="007704D8" w:rsidP="002A155A">
      <w:pPr>
        <w:pStyle w:val="Tekstprzypisudolnego"/>
        <w:jc w:val="both"/>
        <w:rPr>
          <w:sz w:val="18"/>
          <w:szCs w:val="18"/>
          <w:lang w:val="pl-PL"/>
        </w:rPr>
      </w:pPr>
      <w:r w:rsidRPr="0041316C">
        <w:rPr>
          <w:rStyle w:val="Odwoanieprzypisudolnego"/>
        </w:rPr>
        <w:footnoteRef/>
      </w:r>
      <w:r w:rsidRPr="0041316C">
        <w:t xml:space="preserve"> </w:t>
      </w:r>
      <w:r w:rsidRPr="0041316C">
        <w:rPr>
          <w:lang w:val="pl-PL"/>
        </w:rPr>
        <w:t>Dotyczy wystąpień do policji w trybie art. 10a oraz art. 16 ust. 1 ustawy z dnia 20 lipca 1991 r. o Inspekcji Ochrony Środowiska w celu udzielenia pomocy niezbędnej do przeprowadzenia kontroli lub udzielenia informacji, udostępnienia dokumentów i danych związanych z ochroną środowiska.</w:t>
      </w:r>
    </w:p>
  </w:footnote>
  <w:footnote w:id="43">
    <w:p w14:paraId="6DD7CAD2" w14:textId="77777777" w:rsidR="007704D8" w:rsidRPr="00C623C4" w:rsidRDefault="007704D8" w:rsidP="00BE7003">
      <w:pPr>
        <w:pStyle w:val="Tekstprzypisudolnego"/>
        <w:jc w:val="both"/>
      </w:pPr>
      <w:r w:rsidRPr="00C623C4">
        <w:rPr>
          <w:rStyle w:val="Odwoanieprzypisudolnego"/>
        </w:rPr>
        <w:footnoteRef/>
      </w:r>
      <w:r>
        <w:t> </w:t>
      </w:r>
      <w:r w:rsidRPr="00C623C4">
        <w:t>Na wydane decyzje ogółem składają się: decyzje dot. kar biegnących, decyzje dot. kar</w:t>
      </w:r>
      <w:r>
        <w:rPr>
          <w:lang w:val="pl-PL"/>
        </w:rPr>
        <w:t>,</w:t>
      </w:r>
      <w:r w:rsidRPr="00C623C4">
        <w:t xml:space="preserve"> opłat</w:t>
      </w:r>
      <w:r>
        <w:rPr>
          <w:lang w:val="pl-PL"/>
        </w:rPr>
        <w:t xml:space="preserve"> i </w:t>
      </w:r>
      <w:r w:rsidRPr="00C623C4">
        <w:t>opłat podwyższonych za naruszenia, decyzje dot. kar</w:t>
      </w:r>
      <w:r>
        <w:rPr>
          <w:lang w:val="pl-PL"/>
        </w:rPr>
        <w:t>,</w:t>
      </w:r>
      <w:r w:rsidRPr="00C623C4">
        <w:t xml:space="preserve"> opłat</w:t>
      </w:r>
      <w:r>
        <w:rPr>
          <w:lang w:val="pl-PL"/>
        </w:rPr>
        <w:t xml:space="preserve"> i </w:t>
      </w:r>
      <w:r w:rsidRPr="00C623C4">
        <w:t>opłat podwyższonych odroczonych, decyzje dot. kar i opłat podwyższonych rozliczonych w związku z terminową realizacją przedsięwzięcia, które skutkowało usunięciem przyczyny ponoszenia kar lub opłat podwyższonych, decyzje dot. kar i opłat podwyższonych wymierzonych w związku z niezrealizowaniem przedsięwzięcia w terminie lub nieusunięciem przyczyn wymierzenia odroczonej kary lub opłaty podwyższonej, decyzje dot. kar zawieszonych na podstawie ustawy o utrzymaniu czystości i porządku w gminach, decyzje w sprawie umorzenia kar i opłat/opłat podwyższonych, decyzje dot. kar i opłat/opłat podwyższonych rozłożonych na raty, decyzje dot. kosztów ponoszonych w związku z prowadzeniem kontroli.</w:t>
      </w:r>
    </w:p>
  </w:footnote>
  <w:footnote w:id="44">
    <w:p w14:paraId="0A8CD6C0" w14:textId="6B49444B" w:rsidR="007704D8" w:rsidRPr="00C623C4" w:rsidRDefault="007704D8" w:rsidP="00BE7003">
      <w:pPr>
        <w:pStyle w:val="Tekstprzypisudolnego"/>
        <w:jc w:val="both"/>
      </w:pPr>
      <w:r w:rsidRPr="00C623C4">
        <w:rPr>
          <w:rStyle w:val="Odwoanieprzypisudolnego"/>
        </w:rPr>
        <w:footnoteRef/>
      </w:r>
      <w:r w:rsidRPr="00C623C4">
        <w:t xml:space="preserve"> Ustawa z dnia 27 kwietnia 2001 r. o odpadach – 2 decyzje. Ustawa z dnia 14 grudnia 2012 r. o odpadach – 1513 decyzj</w:t>
      </w:r>
      <w:r>
        <w:rPr>
          <w:lang w:val="pl-PL"/>
        </w:rPr>
        <w:t>i</w:t>
      </w:r>
      <w:r w:rsidRPr="00C623C4">
        <w:t>.</w:t>
      </w:r>
    </w:p>
  </w:footnote>
  <w:footnote w:id="45">
    <w:p w14:paraId="58172BFC" w14:textId="77777777" w:rsidR="007704D8" w:rsidRPr="00C623C4" w:rsidRDefault="007704D8" w:rsidP="00BE7003">
      <w:pPr>
        <w:pStyle w:val="Tekstprzypisudolnego"/>
        <w:jc w:val="both"/>
      </w:pPr>
      <w:r w:rsidRPr="00C623C4">
        <w:rPr>
          <w:rStyle w:val="Odwoanieprzypisudolnego"/>
        </w:rPr>
        <w:footnoteRef/>
      </w:r>
      <w:r w:rsidRPr="00C623C4">
        <w:t xml:space="preserve"> Ustawa z dnia 15 maja 2015 r. o substancjach zubożających warstwę ozonową oraz o niektórych fluorowanych gazach cieplarnianych – 334 decyzje. Ustawa z dnia 12 lipca 2017 r. o zmianie ustawy o substancjach zubożających warstwę ozonową oraz</w:t>
      </w:r>
      <w:r>
        <w:t xml:space="preserve"> </w:t>
      </w:r>
      <w:r w:rsidRPr="00C623C4">
        <w:t>o</w:t>
      </w:r>
      <w:r>
        <w:t xml:space="preserve"> </w:t>
      </w:r>
      <w:r w:rsidRPr="00C623C4">
        <w:t>niektórych fluorowanych gazach cieplarnianych oraz niektórych innych ustaw – 4 decyzje.</w:t>
      </w:r>
    </w:p>
  </w:footnote>
  <w:footnote w:id="46">
    <w:p w14:paraId="0BFF5125" w14:textId="77777777" w:rsidR="007704D8" w:rsidRPr="00607585" w:rsidRDefault="007704D8" w:rsidP="00BE7003">
      <w:pPr>
        <w:pStyle w:val="Tekstprzypisudolnego"/>
        <w:jc w:val="both"/>
      </w:pPr>
      <w:r w:rsidRPr="00C623C4">
        <w:rPr>
          <w:rStyle w:val="Odwoanieprzypisudolnego"/>
        </w:rPr>
        <w:footnoteRef/>
      </w:r>
      <w:r w:rsidRPr="00C623C4">
        <w:t xml:space="preserve"> Ustawa z dnia 29 lipca 2005 r. o zużytym sprzęcie elektrycznym i elektronicznym – 2 decyzje. Ustawa z dnia 11 września 2015 r. o zużytym sprzęcie elektrycznym i elektronicznym – 30 decyzji.</w:t>
      </w:r>
    </w:p>
  </w:footnote>
  <w:footnote w:id="47">
    <w:p w14:paraId="5CD8AFD0" w14:textId="77777777" w:rsidR="007704D8" w:rsidRPr="00C623C4" w:rsidRDefault="007704D8" w:rsidP="00BE7003">
      <w:pPr>
        <w:pStyle w:val="Tekstprzypisudolnego"/>
        <w:jc w:val="both"/>
      </w:pPr>
      <w:r w:rsidRPr="00C623C4">
        <w:rPr>
          <w:rStyle w:val="Odwoanieprzypisudolnego"/>
        </w:rPr>
        <w:footnoteRef/>
      </w:r>
      <w:r w:rsidRPr="00C623C4">
        <w:t xml:space="preserve"> Ustawa z dnia 28 kwietnia 2011 r. o systemie handlu uprawnieniami do emisji gazów cieplarnianych – 1 decyzja. Ustawa z dnia 12 czerwca 2015 r. o systemie handlu uprawnieniami do emisji gazów cieplarnianych – 5 decyzji.</w:t>
      </w:r>
    </w:p>
  </w:footnote>
  <w:footnote w:id="48">
    <w:p w14:paraId="155BAAD1" w14:textId="77777777" w:rsidR="007704D8" w:rsidRPr="00C623C4" w:rsidRDefault="007704D8" w:rsidP="00BE7003">
      <w:pPr>
        <w:pStyle w:val="Tekstprzypisudolnego"/>
        <w:jc w:val="both"/>
      </w:pPr>
      <w:r w:rsidRPr="00C623C4">
        <w:rPr>
          <w:rStyle w:val="Odwoanieprzypisudolnego"/>
        </w:rPr>
        <w:footnoteRef/>
      </w:r>
      <w:r w:rsidRPr="00C623C4">
        <w:t> Kara za okres trwania naruszenia - wojewódzki inspektor ochrony środowiska na podstawie ostatecznych decyzji określających wymiar kary biegnącej ustala decyzją karę pieniężną za okres do ustania przekroczenia lub naruszenia lub do końca roku kalendarzowego, w którym stwierdzono naruszenie zgodnie z art. 302 ustawy</w:t>
      </w:r>
      <w:r w:rsidRPr="005D2B3D">
        <w:t xml:space="preserve"> </w:t>
      </w:r>
      <w:r w:rsidRPr="00C623C4">
        <w:t>Prawo ochrony środowiska. Ponadto, w przypadku stwierdzenia przekroczenia warunków korzystania ze środowiska na podstawie pomiarów prowadzonych przez podmiot korzystający ze środowiska wojewódzki inspektor ochrony środowiska wymierza karę za rok kalendarzowy, którego dotyczą pomiary zgodnie z art.</w:t>
      </w:r>
      <w:r>
        <w:t xml:space="preserve"> </w:t>
      </w:r>
      <w:r w:rsidRPr="00C623C4">
        <w:t>305 ust. 4 ustawy Prawo ochrony środowiska.</w:t>
      </w:r>
    </w:p>
  </w:footnote>
  <w:footnote w:id="49">
    <w:p w14:paraId="78B4DD94" w14:textId="1200412F" w:rsidR="007704D8" w:rsidRPr="00C623C4" w:rsidRDefault="007704D8" w:rsidP="00BE7003">
      <w:pPr>
        <w:pStyle w:val="Tekstprzypisudolnego"/>
      </w:pPr>
      <w:r w:rsidRPr="00C623C4">
        <w:rPr>
          <w:rStyle w:val="Odwoanieprzypisudolnego"/>
        </w:rPr>
        <w:footnoteRef/>
      </w:r>
      <w:r w:rsidRPr="00C623C4">
        <w:t xml:space="preserve"> Ustawa z dnia 14 grudnia 2012 r. o odpadach – 1</w:t>
      </w:r>
      <w:r>
        <w:rPr>
          <w:lang w:val="pl-PL"/>
        </w:rPr>
        <w:t xml:space="preserve"> </w:t>
      </w:r>
      <w:r w:rsidRPr="00C623C4">
        <w:t>493 decyzj</w:t>
      </w:r>
      <w:r>
        <w:rPr>
          <w:lang w:val="pl-PL"/>
        </w:rPr>
        <w:t>e</w:t>
      </w:r>
      <w:r w:rsidRPr="00C623C4">
        <w:t>.</w:t>
      </w:r>
    </w:p>
  </w:footnote>
  <w:footnote w:id="50">
    <w:p w14:paraId="4DA565CF" w14:textId="77777777" w:rsidR="007704D8" w:rsidRPr="00C623C4" w:rsidRDefault="007704D8" w:rsidP="00BE7003">
      <w:pPr>
        <w:pStyle w:val="Tekstprzypisudolnego"/>
        <w:jc w:val="both"/>
      </w:pPr>
      <w:r w:rsidRPr="00C623C4">
        <w:rPr>
          <w:rStyle w:val="Odwoanieprzypisudolnego"/>
        </w:rPr>
        <w:footnoteRef/>
      </w:r>
      <w:r w:rsidRPr="00C623C4">
        <w:t> Ustawa z dnia 15 maja 2015 r. o substancjach zubożających warstwę ozonową oraz o niektórych fluorowanych gazach cieplarnianych – 332 decyzje</w:t>
      </w:r>
      <w:r>
        <w:t xml:space="preserve"> na kwotę 1 118 450,00 zł</w:t>
      </w:r>
      <w:r w:rsidRPr="00C623C4">
        <w:t>. Ustawa z dnia 12 lipca 2017 r. o zmianie ustawy o substancjach zubożających warstwę ozonową oraz</w:t>
      </w:r>
      <w:r>
        <w:t xml:space="preserve"> </w:t>
      </w:r>
      <w:r w:rsidRPr="00C623C4">
        <w:t>o</w:t>
      </w:r>
      <w:r>
        <w:t xml:space="preserve"> </w:t>
      </w:r>
      <w:r w:rsidRPr="00C623C4">
        <w:t>niektórych fluorowanych gazach cieplarnianych oraz</w:t>
      </w:r>
      <w:r>
        <w:t> </w:t>
      </w:r>
      <w:r w:rsidRPr="00C623C4">
        <w:t>niektórych innych ustaw – 4 decyzje</w:t>
      </w:r>
      <w:r>
        <w:t xml:space="preserve"> na kwotę 3 600,00 zł</w:t>
      </w:r>
      <w:r w:rsidRPr="00C623C4">
        <w:t>.</w:t>
      </w:r>
    </w:p>
  </w:footnote>
  <w:footnote w:id="51">
    <w:p w14:paraId="5D3F9788" w14:textId="77777777" w:rsidR="007704D8" w:rsidRPr="00C623C4" w:rsidRDefault="007704D8" w:rsidP="00BE7003">
      <w:pPr>
        <w:pStyle w:val="Tekstprzypisudolnego"/>
      </w:pPr>
      <w:r w:rsidRPr="00C623C4">
        <w:rPr>
          <w:rStyle w:val="Odwoanieprzypisudolnego"/>
        </w:rPr>
        <w:footnoteRef/>
      </w:r>
      <w:r w:rsidRPr="00C623C4">
        <w:t xml:space="preserve"> Ustawa z dnia 11 września 2015 r. o zużytym sprzęcie elektrycznym i elektronicznym – 26 decyzji.</w:t>
      </w:r>
    </w:p>
  </w:footnote>
  <w:footnote w:id="52">
    <w:p w14:paraId="6BA5145F" w14:textId="77777777" w:rsidR="007704D8" w:rsidRPr="005D2B3D" w:rsidRDefault="007704D8" w:rsidP="00BE7003">
      <w:pPr>
        <w:pStyle w:val="Tekstprzypisudolnego"/>
        <w:jc w:val="both"/>
      </w:pPr>
      <w:r w:rsidRPr="00C623C4">
        <w:rPr>
          <w:rStyle w:val="Odwoanieprzypisudolnego"/>
        </w:rPr>
        <w:footnoteRef/>
      </w:r>
      <w:r w:rsidRPr="00C623C4">
        <w:t xml:space="preserve"> Ustawa z dnia 12 czerwca 2015 r. o systemie handlu uprawnieniami do emisji gazów cieplarnianych – 5 decyzji.</w:t>
      </w:r>
    </w:p>
  </w:footnote>
  <w:footnote w:id="53">
    <w:p w14:paraId="093B885E" w14:textId="021886E6" w:rsidR="007704D8" w:rsidRPr="00C623C4" w:rsidRDefault="007704D8" w:rsidP="000B7108">
      <w:pPr>
        <w:pStyle w:val="Tekstprzypisudolnego"/>
        <w:jc w:val="both"/>
      </w:pPr>
      <w:r w:rsidRPr="00C623C4">
        <w:rPr>
          <w:rStyle w:val="Odwoanieprzypisudolnego"/>
        </w:rPr>
        <w:footnoteRef/>
      </w:r>
      <w:r>
        <w:t> </w:t>
      </w:r>
      <w:r w:rsidRPr="00C623C4">
        <w:t>Ustawa z dnia 27 kwietnia 2001 r. o odpadach – 121 decyzji ogółem</w:t>
      </w:r>
      <w:r>
        <w:t xml:space="preserve"> na kwotę 831 226,18 zł</w:t>
      </w:r>
      <w:r w:rsidRPr="00C623C4">
        <w:t>. Ustawa z dnia 14</w:t>
      </w:r>
      <w:r>
        <w:t> </w:t>
      </w:r>
      <w:r w:rsidRPr="00C623C4">
        <w:t>grudnia 2012 r. o</w:t>
      </w:r>
      <w:r>
        <w:t xml:space="preserve"> </w:t>
      </w:r>
      <w:r w:rsidRPr="00C623C4">
        <w:t>odpadach – 1</w:t>
      </w:r>
      <w:r>
        <w:rPr>
          <w:lang w:val="pl-PL"/>
        </w:rPr>
        <w:t xml:space="preserve"> </w:t>
      </w:r>
      <w:r w:rsidRPr="00C623C4">
        <w:t>11</w:t>
      </w:r>
      <w:r>
        <w:rPr>
          <w:lang w:val="pl-PL"/>
        </w:rPr>
        <w:t>2</w:t>
      </w:r>
      <w:r w:rsidRPr="00C623C4">
        <w:t xml:space="preserve"> decyzji ogółem</w:t>
      </w:r>
      <w:r>
        <w:t xml:space="preserve"> na kwotę 43 45</w:t>
      </w:r>
      <w:r>
        <w:rPr>
          <w:lang w:val="pl-PL"/>
        </w:rPr>
        <w:t>3</w:t>
      </w:r>
      <w:r>
        <w:t> 516,51 zł</w:t>
      </w:r>
      <w:r w:rsidRPr="00C623C4">
        <w:t>, w tym 24</w:t>
      </w:r>
      <w:r>
        <w:rPr>
          <w:lang w:val="pl-PL"/>
        </w:rPr>
        <w:t>6</w:t>
      </w:r>
      <w:r w:rsidRPr="00C623C4">
        <w:t xml:space="preserve"> decyzji w okresie sprawozdawczym</w:t>
      </w:r>
      <w:r>
        <w:t xml:space="preserve"> na kwotę 8 25</w:t>
      </w:r>
      <w:r>
        <w:rPr>
          <w:lang w:val="pl-PL"/>
        </w:rPr>
        <w:t>9</w:t>
      </w:r>
      <w:r>
        <w:t> 412,19 zł</w:t>
      </w:r>
      <w:r w:rsidRPr="00C623C4">
        <w:t>.</w:t>
      </w:r>
    </w:p>
  </w:footnote>
  <w:footnote w:id="54">
    <w:p w14:paraId="4BEB354C" w14:textId="77777777" w:rsidR="007704D8" w:rsidRPr="00C623C4" w:rsidRDefault="007704D8" w:rsidP="000B7108">
      <w:pPr>
        <w:pStyle w:val="Tekstprzypisudolnego"/>
        <w:jc w:val="both"/>
      </w:pPr>
      <w:r w:rsidRPr="00C623C4">
        <w:rPr>
          <w:rStyle w:val="Odwoanieprzypisudolnego"/>
        </w:rPr>
        <w:footnoteRef/>
      </w:r>
      <w:r w:rsidRPr="00C623C4">
        <w:t xml:space="preserve"> Ustawa z dnia 29 lipca 2005 r. o zużytym sprzęcie elektrycznym i elektronicznym – 6 decyzji ogółem</w:t>
      </w:r>
      <w:r>
        <w:t xml:space="preserve"> na kwotę 47 784,66 zł</w:t>
      </w:r>
      <w:r w:rsidRPr="00C623C4">
        <w:t>. Ustawa z dnia 11</w:t>
      </w:r>
      <w:r>
        <w:t xml:space="preserve"> </w:t>
      </w:r>
      <w:r w:rsidRPr="00C623C4">
        <w:t>września 2015 r. o zużytym sprzęcie elektrycznym i elektronicznym – 28 decyzji ogółem</w:t>
      </w:r>
      <w:r>
        <w:t xml:space="preserve"> na kwotę 375 129,69 zł</w:t>
      </w:r>
      <w:r w:rsidRPr="00C623C4">
        <w:t>, w tym 7 decyzji w okresie sprawozdawczym</w:t>
      </w:r>
      <w:r>
        <w:t xml:space="preserve"> na kwotę 80 863,14 zł</w:t>
      </w:r>
      <w:r w:rsidRPr="00C623C4">
        <w:t>.</w:t>
      </w:r>
    </w:p>
  </w:footnote>
  <w:footnote w:id="55">
    <w:p w14:paraId="19687276" w14:textId="77777777" w:rsidR="007704D8" w:rsidRDefault="007704D8" w:rsidP="000B7108">
      <w:pPr>
        <w:pStyle w:val="Tekstprzypisudolnego"/>
        <w:jc w:val="both"/>
      </w:pPr>
      <w:r w:rsidRPr="00C623C4">
        <w:rPr>
          <w:rStyle w:val="Odwoanieprzypisudolnego"/>
        </w:rPr>
        <w:footnoteRef/>
      </w:r>
      <w:r w:rsidRPr="00C623C4">
        <w:t xml:space="preserve"> Ustawa z dnia 15 maja 2015 r. o substancjach zubożających warstwę ozonową oraz o niektórych fluorowanych gazach cieplarnianych – 26 decyzji</w:t>
      </w:r>
      <w:r>
        <w:t xml:space="preserve"> ogółem na kwotę 116 012,73 zł</w:t>
      </w:r>
      <w:r w:rsidRPr="00C623C4">
        <w:t>, w tym 13 decyzji w okresie sprawozdawczym</w:t>
      </w:r>
      <w:r>
        <w:t xml:space="preserve"> na kwotę 69 200,00 zł</w:t>
      </w:r>
      <w:r w:rsidRPr="00C623C4">
        <w:t>. Ustawa z dnia 12 lipca 2017</w:t>
      </w:r>
      <w:r>
        <w:t xml:space="preserve"> </w:t>
      </w:r>
      <w:r w:rsidRPr="00C623C4">
        <w:t>r. o zmianie ustawy o substancjach zubożających warstwę ozonową oraz</w:t>
      </w:r>
      <w:r>
        <w:t xml:space="preserve"> </w:t>
      </w:r>
      <w:r w:rsidRPr="00C623C4">
        <w:t>o</w:t>
      </w:r>
      <w:r>
        <w:t xml:space="preserve"> </w:t>
      </w:r>
      <w:r w:rsidRPr="00C623C4">
        <w:t>niektórych fluorowanych gazach cieplarnianych oraz niektórych innych ustaw – 3 decyzje</w:t>
      </w:r>
      <w:r>
        <w:t xml:space="preserve"> ogółem na kwotę 17 963,00 zł</w:t>
      </w:r>
      <w:r w:rsidRPr="00C623C4">
        <w:t>.</w:t>
      </w:r>
    </w:p>
  </w:footnote>
  <w:footnote w:id="56">
    <w:p w14:paraId="56FBE824" w14:textId="77777777" w:rsidR="007704D8" w:rsidRPr="00C623C4" w:rsidRDefault="007704D8" w:rsidP="000B7108">
      <w:pPr>
        <w:pStyle w:val="Tekstprzypisudolnego"/>
        <w:jc w:val="both"/>
      </w:pPr>
      <w:r w:rsidRPr="00C623C4">
        <w:rPr>
          <w:rStyle w:val="Odwoanieprzypisudolnego"/>
        </w:rPr>
        <w:footnoteRef/>
      </w:r>
      <w:r w:rsidRPr="00C623C4">
        <w:t xml:space="preserve"> Ustawa z dnia 28 kwietnia 2011 r. o systemie handlu uprawnieniami do emisji gazów cieplarnianych – 9 decyzji ogółem</w:t>
      </w:r>
      <w:r>
        <w:t xml:space="preserve"> na kwotę 5 720 833,02 zł</w:t>
      </w:r>
      <w:r w:rsidRPr="00C623C4">
        <w:t>. Ustawa z dnia 12 czerwca 2015 r. o systemie handlu uprawnieniami do emisji gazów cieplarnianych – 15</w:t>
      </w:r>
      <w:r>
        <w:t xml:space="preserve"> </w:t>
      </w:r>
      <w:r w:rsidRPr="00C623C4">
        <w:t>decyzji ogółem</w:t>
      </w:r>
      <w:r>
        <w:t xml:space="preserve"> na kwotę 54 154 564,20 zł</w:t>
      </w:r>
      <w:r w:rsidRPr="00C623C4">
        <w:t>, w tym 4 decyzje w okresie sprawozdawczym</w:t>
      </w:r>
      <w:r>
        <w:t xml:space="preserve"> na kwotę 205 000,00 zł</w:t>
      </w:r>
      <w:r w:rsidRPr="00C623C4">
        <w:t>.</w:t>
      </w:r>
    </w:p>
  </w:footnote>
  <w:footnote w:id="57">
    <w:p w14:paraId="34E75B91" w14:textId="77777777" w:rsidR="007704D8" w:rsidRPr="002A619A" w:rsidRDefault="007704D8" w:rsidP="00D539AA">
      <w:pPr>
        <w:spacing w:after="0"/>
        <w:jc w:val="both"/>
        <w:rPr>
          <w:rFonts w:ascii="Times New Roman" w:hAnsi="Times New Roman" w:cs="Times New Roman"/>
          <w:color w:val="000000"/>
          <w:sz w:val="20"/>
          <w:szCs w:val="20"/>
        </w:rPr>
      </w:pPr>
      <w:r w:rsidRPr="002A619A">
        <w:rPr>
          <w:rStyle w:val="Znakiprzypiswdolnych"/>
          <w:rFonts w:ascii="Times New Roman" w:hAnsi="Times New Roman" w:cs="Times New Roman"/>
          <w:color w:val="000000"/>
          <w:sz w:val="20"/>
          <w:szCs w:val="20"/>
        </w:rPr>
        <w:footnoteRef/>
      </w:r>
      <w:r w:rsidRPr="002A619A">
        <w:rPr>
          <w:rFonts w:ascii="Times New Roman" w:hAnsi="Times New Roman" w:cs="Times New Roman"/>
          <w:bCs/>
          <w:color w:val="000000"/>
          <w:sz w:val="20"/>
          <w:szCs w:val="20"/>
        </w:rPr>
        <w:t xml:space="preserve"> Różnica w kwocie wpływów i środków przekazanych wynika z zasad przekazywania przez </w:t>
      </w:r>
      <w:r w:rsidRPr="002A619A">
        <w:rPr>
          <w:rFonts w:ascii="Times New Roman" w:hAnsi="Times New Roman" w:cs="Times New Roman"/>
          <w:bCs/>
          <w:color w:val="000000"/>
          <w:sz w:val="20"/>
          <w:szCs w:val="20"/>
        </w:rPr>
        <w:t xml:space="preserve">wioś środków do Narodowego Funduszu Ochrony Środowiska i Gospodarki Wodnej, </w:t>
      </w:r>
      <w:r w:rsidRPr="002A619A">
        <w:rPr>
          <w:rFonts w:ascii="Times New Roman" w:hAnsi="Times New Roman" w:cs="Times New Roman"/>
          <w:color w:val="000000"/>
          <w:sz w:val="20"/>
          <w:szCs w:val="20"/>
        </w:rPr>
        <w:t>wojewódzkich funduszy ochrony środowiska i</w:t>
      </w:r>
      <w:r>
        <w:rPr>
          <w:rFonts w:ascii="Times New Roman" w:hAnsi="Times New Roman" w:cs="Times New Roman"/>
          <w:color w:val="000000"/>
          <w:sz w:val="20"/>
          <w:szCs w:val="20"/>
        </w:rPr>
        <w:t xml:space="preserve"> </w:t>
      </w:r>
      <w:r w:rsidRPr="002A619A">
        <w:rPr>
          <w:rFonts w:ascii="Times New Roman" w:hAnsi="Times New Roman" w:cs="Times New Roman"/>
          <w:color w:val="000000"/>
          <w:sz w:val="20"/>
          <w:szCs w:val="20"/>
        </w:rPr>
        <w:t>gospodarki wodnej, budżetu właściwych powiatów, budżetu właściwych gmin, budżetu państwa określonych w art. 402 Prawo ochrony środowiska (w terminie do końca następnego miesiąca po ich wpływie).</w:t>
      </w:r>
    </w:p>
  </w:footnote>
  <w:footnote w:id="58">
    <w:p w14:paraId="36F592D0" w14:textId="77777777" w:rsidR="007704D8" w:rsidRPr="00EB5EA5" w:rsidRDefault="007704D8" w:rsidP="00D539AA">
      <w:pPr>
        <w:autoSpaceDE w:val="0"/>
        <w:autoSpaceDN w:val="0"/>
        <w:adjustRightInd w:val="0"/>
        <w:spacing w:after="0" w:line="240" w:lineRule="auto"/>
        <w:jc w:val="both"/>
        <w:rPr>
          <w:rFonts w:ascii="Times New Roman" w:hAnsi="Times New Roman" w:cs="Times New Roman"/>
          <w:sz w:val="20"/>
          <w:szCs w:val="20"/>
        </w:rPr>
      </w:pPr>
      <w:r w:rsidRPr="00EB5EA5">
        <w:rPr>
          <w:rStyle w:val="Odwoanieprzypisudolnego"/>
        </w:rPr>
        <w:footnoteRef/>
      </w:r>
      <w:r w:rsidRPr="00EB5EA5">
        <w:rPr>
          <w:rFonts w:ascii="Times New Roman" w:hAnsi="Times New Roman" w:cs="Times New Roman"/>
          <w:sz w:val="20"/>
          <w:szCs w:val="20"/>
        </w:rPr>
        <w:t xml:space="preserve"> Liczba decyzji wydanych na podstawie art. 364 ustawy z dnia 27 kwietnia 2001 r. Prawo ochrony środowiska, na podstawie art. 32, art. 140, art. 161 ustawy z dnia 14 grudnia 2012 r. o odpadach, na podstawie art.</w:t>
      </w:r>
      <w:r>
        <w:rPr>
          <w:rFonts w:ascii="Times New Roman" w:hAnsi="Times New Roman" w:cs="Times New Roman"/>
          <w:sz w:val="20"/>
          <w:szCs w:val="20"/>
        </w:rPr>
        <w:t xml:space="preserve"> 109a ustawy z dnia 20 lipca 2017 r. Prawo wodne </w:t>
      </w:r>
      <w:r w:rsidRPr="00EB5EA5">
        <w:rPr>
          <w:rFonts w:ascii="Times New Roman" w:hAnsi="Times New Roman" w:cs="Times New Roman"/>
          <w:sz w:val="20"/>
          <w:szCs w:val="20"/>
        </w:rPr>
        <w:t>oraz na podstawie art. 9k ustawy z dnia 13 września 1996</w:t>
      </w:r>
      <w:r>
        <w:rPr>
          <w:rFonts w:ascii="Times New Roman" w:hAnsi="Times New Roman" w:cs="Times New Roman"/>
          <w:sz w:val="20"/>
          <w:szCs w:val="20"/>
        </w:rPr>
        <w:t> </w:t>
      </w:r>
      <w:r w:rsidRPr="00EB5EA5">
        <w:rPr>
          <w:rFonts w:ascii="Times New Roman" w:hAnsi="Times New Roman" w:cs="Times New Roman"/>
          <w:sz w:val="20"/>
          <w:szCs w:val="20"/>
        </w:rPr>
        <w:t>r. o utrzymaniu czystości i porządku w gminach.</w:t>
      </w:r>
    </w:p>
  </w:footnote>
  <w:footnote w:id="59">
    <w:p w14:paraId="060E0DE8" w14:textId="77777777" w:rsidR="007704D8" w:rsidRPr="00EB5EA5" w:rsidRDefault="007704D8" w:rsidP="00D539AA">
      <w:pPr>
        <w:pStyle w:val="Tekstprzypisudolnego"/>
        <w:jc w:val="both"/>
        <w:rPr>
          <w:lang w:val="pl-PL"/>
        </w:rPr>
      </w:pPr>
      <w:r w:rsidRPr="00EB5EA5">
        <w:rPr>
          <w:rStyle w:val="Odwoanieprzypisudolnego"/>
        </w:rPr>
        <w:footnoteRef/>
      </w:r>
      <w:r w:rsidRPr="00EB5EA5">
        <w:t xml:space="preserve"> </w:t>
      </w:r>
      <w:r w:rsidRPr="00EB5EA5">
        <w:rPr>
          <w:lang w:val="pl-PL"/>
        </w:rPr>
        <w:t xml:space="preserve">Liczba decyzji wydanych na podstawie art. 365 ust. 1 i 2, art. 367 </w:t>
      </w:r>
      <w:r>
        <w:rPr>
          <w:lang w:val="pl-PL"/>
        </w:rPr>
        <w:t xml:space="preserve">ust. 1, 3 i 5 </w:t>
      </w:r>
      <w:r w:rsidRPr="00EB5EA5">
        <w:rPr>
          <w:lang w:val="pl-PL"/>
        </w:rPr>
        <w:t>ustawy z dnia 27 kwietnia 2001 r. Prawo ochrony środowiska oraz na podstawie art. 63 ust. 1 ustawy z dnia 12 czerwca 2015 r. o systemie handlu uprawnieniami do emisji gazów cieplarnianych.</w:t>
      </w:r>
    </w:p>
  </w:footnote>
  <w:footnote w:id="60">
    <w:p w14:paraId="2B4A7421" w14:textId="57785922" w:rsidR="007704D8" w:rsidRPr="001743E7" w:rsidRDefault="007704D8">
      <w:pPr>
        <w:pStyle w:val="Tekstprzypisudolnego"/>
      </w:pPr>
      <w:r>
        <w:rPr>
          <w:rStyle w:val="Odwoanieprzypisudolnego"/>
        </w:rPr>
        <w:footnoteRef/>
      </w:r>
      <w:r>
        <w:t xml:space="preserve"> </w:t>
      </w:r>
      <w:r w:rsidRPr="000120C8">
        <w:t>Dz. U. L 190 z 12.07.2006</w:t>
      </w:r>
    </w:p>
  </w:footnote>
  <w:footnote w:id="61">
    <w:p w14:paraId="46A46E46" w14:textId="623A2F60" w:rsidR="007704D8" w:rsidRPr="006D3BAB" w:rsidRDefault="007704D8">
      <w:pPr>
        <w:pStyle w:val="Tekstprzypisudolnego"/>
        <w:rPr>
          <w:lang w:val="pl-PL"/>
        </w:rPr>
      </w:pPr>
      <w:r>
        <w:rPr>
          <w:rStyle w:val="Odwoanieprzypisudolnego"/>
        </w:rPr>
        <w:footnoteRef/>
      </w:r>
      <w:r>
        <w:t xml:space="preserve"> </w:t>
      </w:r>
      <w:r w:rsidRPr="006D3BAB">
        <w:t xml:space="preserve">t.j. Dz. U. z 2022 r. poz. 699 z </w:t>
      </w:r>
      <w:r w:rsidR="00E5055B">
        <w:rPr>
          <w:lang w:val="pl-PL"/>
        </w:rPr>
        <w:t xml:space="preserve">późn. </w:t>
      </w:r>
      <w:r w:rsidRPr="006D3BAB">
        <w:t>zm.</w:t>
      </w:r>
    </w:p>
  </w:footnote>
  <w:footnote w:id="62">
    <w:p w14:paraId="0A899F87" w14:textId="6E7727B5" w:rsidR="007704D8" w:rsidRPr="000120C8" w:rsidRDefault="007704D8">
      <w:pPr>
        <w:pStyle w:val="Tekstprzypisudolnego"/>
        <w:rPr>
          <w:lang w:val="pl-PL"/>
        </w:rPr>
      </w:pPr>
      <w:r>
        <w:rPr>
          <w:rStyle w:val="Odwoanieprzypisudolnego"/>
        </w:rPr>
        <w:footnoteRef/>
      </w:r>
      <w:r>
        <w:t xml:space="preserve"> </w:t>
      </w:r>
      <w:r w:rsidRPr="000120C8">
        <w:t>Dz. U. L 190 z 12.07.2006</w:t>
      </w:r>
      <w:r w:rsidRPr="000120C8">
        <w:rPr>
          <w:lang w:val="pl-PL"/>
        </w:rPr>
        <w:t>.</w:t>
      </w:r>
    </w:p>
  </w:footnote>
  <w:footnote w:id="63">
    <w:p w14:paraId="74F41EEA" w14:textId="72D98682" w:rsidR="007704D8" w:rsidRPr="000120C8" w:rsidRDefault="007704D8">
      <w:pPr>
        <w:pStyle w:val="Tekstprzypisudolnego"/>
        <w:rPr>
          <w:lang w:val="pl-PL"/>
        </w:rPr>
      </w:pPr>
      <w:r>
        <w:rPr>
          <w:rStyle w:val="Odwoanieprzypisudolnego"/>
        </w:rPr>
        <w:footnoteRef/>
      </w:r>
      <w:r>
        <w:t xml:space="preserve"> </w:t>
      </w:r>
      <w:r w:rsidRPr="000120C8">
        <w:t>Dz. U. z 2016</w:t>
      </w:r>
      <w:r w:rsidRPr="000120C8">
        <w:rPr>
          <w:lang w:val="pl-PL"/>
        </w:rPr>
        <w:t xml:space="preserve"> </w:t>
      </w:r>
      <w:r w:rsidRPr="000120C8">
        <w:t>r., poz. 1742</w:t>
      </w:r>
      <w:r w:rsidRPr="000120C8">
        <w:rPr>
          <w:lang w:val="pl-PL"/>
        </w:rPr>
        <w:t>.</w:t>
      </w:r>
    </w:p>
  </w:footnote>
  <w:footnote w:id="64">
    <w:p w14:paraId="4BE4BA77" w14:textId="3EE9D4B5" w:rsidR="007704D8" w:rsidRPr="003C429D" w:rsidRDefault="007704D8">
      <w:pPr>
        <w:pStyle w:val="Tekstprzypisudolnego"/>
      </w:pPr>
      <w:r>
        <w:rPr>
          <w:rStyle w:val="Odwoanieprzypisudolnego"/>
        </w:rPr>
        <w:footnoteRef/>
      </w:r>
      <w:r>
        <w:t xml:space="preserve"> </w:t>
      </w:r>
      <w:r w:rsidRPr="003C429D">
        <w:rPr>
          <w:iCs/>
        </w:rPr>
        <w:t>t.j. Dz. U. z 2022 r. poz. 699 z późn. zm.</w:t>
      </w:r>
    </w:p>
  </w:footnote>
  <w:footnote w:id="65">
    <w:p w14:paraId="6A16B906" w14:textId="5ED2133C" w:rsidR="007704D8" w:rsidRPr="003C429D" w:rsidRDefault="007704D8">
      <w:pPr>
        <w:pStyle w:val="Tekstprzypisudolnego"/>
      </w:pPr>
      <w:r>
        <w:rPr>
          <w:rStyle w:val="Odwoanieprzypisudolnego"/>
        </w:rPr>
        <w:footnoteRef/>
      </w:r>
      <w:r>
        <w:t xml:space="preserve"> </w:t>
      </w:r>
      <w:r w:rsidRPr="003C429D">
        <w:rPr>
          <w:iCs/>
        </w:rPr>
        <w:t>t.j. Dz. U. z 202</w:t>
      </w:r>
      <w:r w:rsidR="00372405">
        <w:rPr>
          <w:iCs/>
          <w:lang w:val="pl-PL"/>
        </w:rPr>
        <w:t>2</w:t>
      </w:r>
      <w:r w:rsidRPr="003C429D">
        <w:rPr>
          <w:iCs/>
        </w:rPr>
        <w:t xml:space="preserve"> r. poz.  </w:t>
      </w:r>
      <w:r w:rsidR="00372405">
        <w:rPr>
          <w:iCs/>
          <w:lang w:val="pl-PL"/>
        </w:rPr>
        <w:t xml:space="preserve">2556 </w:t>
      </w:r>
      <w:r w:rsidRPr="003C429D">
        <w:rPr>
          <w:iCs/>
        </w:rPr>
        <w:t>z późn. zm.</w:t>
      </w:r>
    </w:p>
  </w:footnote>
  <w:footnote w:id="66">
    <w:p w14:paraId="7ECCF491" w14:textId="33265A3B" w:rsidR="007704D8" w:rsidRPr="007231F1" w:rsidRDefault="007704D8">
      <w:pPr>
        <w:pStyle w:val="Tekstprzypisudolnego"/>
        <w:rPr>
          <w:lang w:val="pl-PL"/>
        </w:rPr>
      </w:pPr>
      <w:r>
        <w:rPr>
          <w:rStyle w:val="Odwoanieprzypisudolnego"/>
        </w:rPr>
        <w:footnoteRef/>
      </w:r>
      <w:r>
        <w:t xml:space="preserve"> </w:t>
      </w:r>
      <w:r w:rsidRPr="00E02EF9">
        <w:t>Dz. U. 2016 poz. 1395</w:t>
      </w:r>
      <w:r>
        <w:rPr>
          <w:lang w:val="pl-PL"/>
        </w:rPr>
        <w:t>.</w:t>
      </w:r>
    </w:p>
  </w:footnote>
  <w:footnote w:id="67">
    <w:p w14:paraId="5E95F984" w14:textId="61605123" w:rsidR="007704D8" w:rsidRPr="007231F1" w:rsidRDefault="007704D8">
      <w:pPr>
        <w:pStyle w:val="Tekstprzypisudolnego"/>
        <w:rPr>
          <w:lang w:val="pl-PL"/>
        </w:rPr>
      </w:pPr>
      <w:r>
        <w:rPr>
          <w:rStyle w:val="Odwoanieprzypisudolnego"/>
        </w:rPr>
        <w:footnoteRef/>
      </w:r>
      <w:r>
        <w:t xml:space="preserve"> </w:t>
      </w:r>
      <w:r w:rsidRPr="007231F1">
        <w:t>t.j. Dz. U. z 2020 r. poz. 2187</w:t>
      </w:r>
      <w:r>
        <w:rPr>
          <w:lang w:val="pl-PL"/>
        </w:rPr>
        <w:t>.</w:t>
      </w:r>
    </w:p>
  </w:footnote>
  <w:footnote w:id="68">
    <w:p w14:paraId="087FD845" w14:textId="36EDC1EE" w:rsidR="007704D8" w:rsidRPr="000120C8" w:rsidRDefault="007704D8">
      <w:pPr>
        <w:pStyle w:val="Tekstprzypisudolnego"/>
        <w:rPr>
          <w:lang w:val="pl-PL"/>
        </w:rPr>
      </w:pPr>
      <w:r>
        <w:rPr>
          <w:rStyle w:val="Odwoanieprzypisudolnego"/>
        </w:rPr>
        <w:footnoteRef/>
      </w:r>
      <w:r>
        <w:t xml:space="preserve"> </w:t>
      </w:r>
      <w:r w:rsidRPr="000120C8">
        <w:rPr>
          <w:rStyle w:val="GenRapStyle0"/>
          <w:sz w:val="20"/>
        </w:rPr>
        <w:t>Dz. U. z 2018 poz. 1592</w:t>
      </w:r>
      <w:r w:rsidRPr="000120C8">
        <w:rPr>
          <w:rStyle w:val="GenRapStyle0"/>
          <w:sz w:val="20"/>
          <w:lang w:val="pl-PL"/>
        </w:rPr>
        <w:t>.</w:t>
      </w:r>
    </w:p>
  </w:footnote>
  <w:footnote w:id="69">
    <w:p w14:paraId="79ADD903" w14:textId="77777777" w:rsidR="007704D8" w:rsidRPr="002B5446" w:rsidRDefault="007704D8" w:rsidP="006C7E98">
      <w:pPr>
        <w:pStyle w:val="Tekstprzypisudolnego"/>
        <w:spacing w:after="120" w:line="276" w:lineRule="auto"/>
        <w:contextualSpacing/>
        <w:rPr>
          <w:vertAlign w:val="superscript"/>
        </w:rPr>
      </w:pPr>
      <w:r w:rsidRPr="002B5446">
        <w:rPr>
          <w:rStyle w:val="Odwoanieprzypisudolnego"/>
        </w:rPr>
        <w:footnoteRef/>
      </w:r>
      <w:r w:rsidRPr="002B5446">
        <w:rPr>
          <w:rStyle w:val="Odwoanieprzypisudolnego"/>
        </w:rPr>
        <w:t xml:space="preserve"> </w:t>
      </w:r>
      <w:r w:rsidRPr="002B5446">
        <w:rPr>
          <w:lang w:val="pl-PL"/>
        </w:rPr>
        <w:t xml:space="preserve">Zgodnie z art. 90 ustawy z dnia 27 kwietnia 2001 r. – Prawo ochrony środowiska </w:t>
      </w:r>
      <w:bookmarkStart w:id="371" w:name="_Hlk128997490"/>
      <w:r w:rsidRPr="002B5446">
        <w:rPr>
          <w:lang w:val="pl-PL"/>
        </w:rPr>
        <w:t>(Dz. U. 2022 r., poz. 2556 z </w:t>
      </w:r>
      <w:r w:rsidRPr="002B5446">
        <w:rPr>
          <w:lang w:val="pl-PL"/>
        </w:rPr>
        <w:t xml:space="preserve">późn. zm.) </w:t>
      </w:r>
      <w:bookmarkEnd w:id="371"/>
      <w:r w:rsidRPr="002B5446">
        <w:rPr>
          <w:lang w:val="pl-PL"/>
        </w:rPr>
        <w:t xml:space="preserve">i rozporządzeniami wykonawczymi. </w:t>
      </w:r>
    </w:p>
  </w:footnote>
  <w:footnote w:id="70">
    <w:p w14:paraId="4FAE3D99" w14:textId="77777777" w:rsidR="00FA1D00" w:rsidRDefault="00FA1D00" w:rsidP="00FA1D00">
      <w:pPr>
        <w:pStyle w:val="Tekstprzypisudolnego"/>
        <w:spacing w:line="276" w:lineRule="auto"/>
        <w:jc w:val="both"/>
        <w:rPr>
          <w:lang w:val="pl-PL"/>
        </w:rPr>
      </w:pPr>
      <w:r w:rsidRPr="002418E4">
        <w:rPr>
          <w:rStyle w:val="Odwoanieprzypisudolnego"/>
        </w:rPr>
        <w:footnoteRef/>
      </w:r>
      <w:r w:rsidRPr="002418E4">
        <w:t xml:space="preserve"> </w:t>
      </w:r>
      <w:r w:rsidRPr="002418E4">
        <w:rPr>
          <w:lang w:val="pl-PL"/>
        </w:rPr>
        <w:t>Liczba stanowisk w latach 2008-2018 dotyczy wojewódzkich inspektoratów ochrony środowiska, liczba stanowisk w latach 2019-2022 dotyczy Głównego Inspektora Ochrony Środowiska.</w:t>
      </w:r>
    </w:p>
  </w:footnote>
  <w:footnote w:id="71">
    <w:p w14:paraId="4363E330" w14:textId="77777777" w:rsidR="007704D8" w:rsidRPr="002418E4" w:rsidRDefault="007704D8" w:rsidP="003000A7">
      <w:pPr>
        <w:pStyle w:val="Tekstprzypisudolnego"/>
        <w:spacing w:before="120" w:after="120" w:line="276" w:lineRule="auto"/>
        <w:contextualSpacing/>
        <w:jc w:val="both"/>
      </w:pPr>
      <w:r w:rsidRPr="002418E4">
        <w:rPr>
          <w:rStyle w:val="Odwoanieprzypisudolnego"/>
        </w:rPr>
        <w:footnoteRef/>
      </w:r>
      <w:r w:rsidRPr="002418E4">
        <w:rPr>
          <w:lang w:val="pl-PL"/>
        </w:rPr>
        <w:t xml:space="preserve"> Liczba stanowisk automatycznych nie uwzględnia stanowisk pomiarów prekursorów ozonu ze stacji „Zielonka”.</w:t>
      </w:r>
    </w:p>
  </w:footnote>
  <w:footnote w:id="72">
    <w:p w14:paraId="6D2B448F" w14:textId="1CEF7E24" w:rsidR="007704D8" w:rsidRPr="001A6B9D" w:rsidRDefault="007704D8" w:rsidP="003000A7">
      <w:pPr>
        <w:pStyle w:val="Tekstprzypisudolnego"/>
        <w:spacing w:line="276" w:lineRule="auto"/>
        <w:jc w:val="both"/>
      </w:pPr>
      <w:r w:rsidRPr="001A6B9D">
        <w:rPr>
          <w:rStyle w:val="Odwoanieprzypisudolnego"/>
        </w:rPr>
        <w:footnoteRef/>
      </w:r>
      <w:r w:rsidRPr="001A6B9D">
        <w:t xml:space="preserve"> Dyrektywy Parlamentu Europejskiego i Rady: 2004/107/WE z dnia 15 grudnia 2004 r. w sprawie arsenu, kadmu, rtęci, niklu i wielopierścieniowych węglowodorów aromatycznych w otaczającym powietrzu (</w:t>
      </w:r>
      <w:r w:rsidRPr="001A6B9D">
        <w:rPr>
          <w:iCs/>
        </w:rPr>
        <w:t>Dz.</w:t>
      </w:r>
      <w:r w:rsidRPr="001A6B9D">
        <w:rPr>
          <w:iCs/>
          <w:lang w:val="pl-PL"/>
        </w:rPr>
        <w:t> </w:t>
      </w:r>
      <w:r w:rsidRPr="001A6B9D">
        <w:rPr>
          <w:iCs/>
        </w:rPr>
        <w:t>Urz.</w:t>
      </w:r>
      <w:r w:rsidRPr="001A6B9D">
        <w:rPr>
          <w:iCs/>
          <w:lang w:val="pl-PL"/>
        </w:rPr>
        <w:t> </w:t>
      </w:r>
      <w:r w:rsidRPr="001A6B9D">
        <w:rPr>
          <w:iCs/>
        </w:rPr>
        <w:t>L</w:t>
      </w:r>
      <w:r w:rsidRPr="001A6B9D">
        <w:rPr>
          <w:iCs/>
          <w:lang w:val="pl-PL"/>
        </w:rPr>
        <w:t> </w:t>
      </w:r>
      <w:r w:rsidRPr="001A6B9D">
        <w:rPr>
          <w:iCs/>
        </w:rPr>
        <w:t>23 z 26.01.2005</w:t>
      </w:r>
      <w:r w:rsidRPr="001A6B9D">
        <w:rPr>
          <w:iCs/>
          <w:lang w:val="pl-PL"/>
        </w:rPr>
        <w:t xml:space="preserve"> r.</w:t>
      </w:r>
      <w:r w:rsidRPr="001A6B9D">
        <w:rPr>
          <w:iCs/>
        </w:rPr>
        <w:t xml:space="preserve">) i </w:t>
      </w:r>
      <w:r w:rsidRPr="001A6B9D">
        <w:t>2008/50/WE z dnia 21 maja 2008 r. w sprawie jakości powietrza i czystszego powietrza dla Europy (Dz. Urz. L 152 z 11.06.2008 r.); Decyzja Komisji Europejskiej 2011/850/UE z dnia 12</w:t>
      </w:r>
      <w:r w:rsidRPr="001A6B9D">
        <w:rPr>
          <w:lang w:val="pl-PL"/>
        </w:rPr>
        <w:t> </w:t>
      </w:r>
      <w:r w:rsidRPr="001A6B9D">
        <w:t xml:space="preserve">grudnia 2011 r. ustanawiająca zasady stosowania dyrektyw 2004/107/WE i 2008/50/WE Parlamentu Europejskiego i Rady </w:t>
      </w:r>
      <w:r>
        <w:br/>
      </w:r>
      <w:r w:rsidRPr="001A6B9D">
        <w:t>w odniesieniu do systemu wzajemnej wymiany informacji oraz sprawozdań dotyczących jakości otaczającego powietrza (Dz. Urz. L 335 z 17.12.2011</w:t>
      </w:r>
      <w:r w:rsidRPr="001A6B9D">
        <w:rPr>
          <w:lang w:val="pl-PL"/>
        </w:rPr>
        <w:t xml:space="preserve"> r.</w:t>
      </w:r>
      <w:r w:rsidRPr="001A6B9D">
        <w:t>).</w:t>
      </w:r>
    </w:p>
  </w:footnote>
  <w:footnote w:id="73">
    <w:p w14:paraId="750DFC25" w14:textId="77777777" w:rsidR="007704D8" w:rsidRPr="001A6B9D" w:rsidRDefault="007704D8" w:rsidP="00535853">
      <w:pPr>
        <w:pStyle w:val="Tekstprzypisudolnego"/>
        <w:spacing w:line="276" w:lineRule="auto"/>
        <w:jc w:val="both"/>
        <w:rPr>
          <w:lang w:val="pl-PL"/>
        </w:rPr>
      </w:pPr>
      <w:r w:rsidRPr="001A6B9D">
        <w:rPr>
          <w:rStyle w:val="Odwoanieprzypisudolnego"/>
        </w:rPr>
        <w:footnoteRef/>
      </w:r>
      <w:r w:rsidRPr="001A6B9D">
        <w:t xml:space="preserve"> </w:t>
      </w:r>
      <w:r w:rsidRPr="001A6B9D">
        <w:rPr>
          <w:lang w:val="pl-PL"/>
        </w:rPr>
        <w:t>O</w:t>
      </w:r>
      <w:r w:rsidRPr="001A6B9D">
        <w:rPr>
          <w:color w:val="000000"/>
        </w:rPr>
        <w:t xml:space="preserve"> którym mowa w art. 88 ust. 6 pkt 1 ustawy – </w:t>
      </w:r>
      <w:r w:rsidRPr="001A6B9D">
        <w:rPr>
          <w:lang w:val="pl-PL"/>
        </w:rPr>
        <w:t>Prawo ochrony środowiska (Dz. U. 2022 r., poz. 2556 z </w:t>
      </w:r>
      <w:r w:rsidRPr="001A6B9D">
        <w:rPr>
          <w:lang w:val="pl-PL"/>
        </w:rPr>
        <w:t>późn. zm.).</w:t>
      </w:r>
    </w:p>
  </w:footnote>
  <w:footnote w:id="74">
    <w:p w14:paraId="348F0896" w14:textId="77777777" w:rsidR="007704D8" w:rsidRPr="001A6B9D" w:rsidRDefault="007704D8" w:rsidP="00535853">
      <w:pPr>
        <w:pStyle w:val="Tekstprzypisudolnego"/>
        <w:spacing w:line="276" w:lineRule="auto"/>
        <w:jc w:val="both"/>
        <w:rPr>
          <w:lang w:val="pl-PL"/>
        </w:rPr>
      </w:pPr>
      <w:r w:rsidRPr="001A6B9D">
        <w:rPr>
          <w:rStyle w:val="Odwoanieprzypisudolnego"/>
        </w:rPr>
        <w:footnoteRef/>
      </w:r>
      <w:r w:rsidRPr="001A6B9D">
        <w:t xml:space="preserve"> Zgodnie z art. 88 ust. 7 ustawy – </w:t>
      </w:r>
      <w:r w:rsidRPr="001A6B9D">
        <w:rPr>
          <w:lang w:val="pl-PL"/>
        </w:rPr>
        <w:t>Prawo ochrony środowiska (Dz. U. 2022 r., poz. 2556 z </w:t>
      </w:r>
      <w:r w:rsidRPr="001A6B9D">
        <w:rPr>
          <w:lang w:val="pl-PL"/>
        </w:rPr>
        <w:t>późn. zm.).</w:t>
      </w:r>
    </w:p>
  </w:footnote>
  <w:footnote w:id="75">
    <w:p w14:paraId="6E4920C1" w14:textId="77777777" w:rsidR="007704D8" w:rsidRDefault="007704D8" w:rsidP="00535853">
      <w:pPr>
        <w:pStyle w:val="Tekstprzypisudolnego"/>
        <w:spacing w:line="276" w:lineRule="auto"/>
        <w:jc w:val="both"/>
        <w:rPr>
          <w:lang w:val="pl-PL"/>
        </w:rPr>
      </w:pPr>
      <w:r w:rsidRPr="001A6B9D">
        <w:rPr>
          <w:rStyle w:val="Odwoanieprzypisudolnego"/>
        </w:rPr>
        <w:footnoteRef/>
      </w:r>
      <w:r w:rsidRPr="001A6B9D">
        <w:t xml:space="preserve"> </w:t>
      </w:r>
      <w:r w:rsidRPr="001A6B9D">
        <w:rPr>
          <w:lang w:val="pl-PL"/>
        </w:rPr>
        <w:t>O</w:t>
      </w:r>
      <w:r w:rsidRPr="001A6B9D">
        <w:t>pracowa</w:t>
      </w:r>
      <w:r w:rsidRPr="001A6B9D">
        <w:rPr>
          <w:lang w:val="pl-PL"/>
        </w:rPr>
        <w:t xml:space="preserve">ny </w:t>
      </w:r>
      <w:r w:rsidRPr="001A6B9D">
        <w:t>na bazie numerycznego modelu prognoz pogody GEM (</w:t>
      </w:r>
      <w:r w:rsidRPr="001A6B9D">
        <w:rPr>
          <w:i/>
        </w:rPr>
        <w:t>Global Environmental Multiscale</w:t>
      </w:r>
      <w:r w:rsidRPr="001A6B9D">
        <w:t>), rozwijanego i eksploatowanego operacyjnie przez Kanadyjskie Centrum Meteorologiczne</w:t>
      </w:r>
      <w:r w:rsidRPr="001A6B9D">
        <w:rPr>
          <w:lang w:val="pl-PL"/>
        </w:rPr>
        <w:t>.</w:t>
      </w:r>
    </w:p>
  </w:footnote>
  <w:footnote w:id="76">
    <w:p w14:paraId="067A8A26" w14:textId="42A95008" w:rsidR="007704D8" w:rsidRPr="001A6B9D" w:rsidRDefault="007704D8" w:rsidP="00535853">
      <w:pPr>
        <w:pStyle w:val="Tekstprzypisudolnego"/>
        <w:spacing w:line="276" w:lineRule="auto"/>
        <w:jc w:val="both"/>
        <w:rPr>
          <w:lang w:val="pl-PL"/>
        </w:rPr>
      </w:pPr>
      <w:r w:rsidRPr="001A6B9D">
        <w:rPr>
          <w:rStyle w:val="Odwoanieprzypisudolnego"/>
        </w:rPr>
        <w:footnoteRef/>
      </w:r>
      <w:r w:rsidRPr="001A6B9D">
        <w:t xml:space="preserve"> </w:t>
      </w:r>
      <w:r w:rsidRPr="001A6B9D">
        <w:rPr>
          <w:lang w:val="pl-PL"/>
        </w:rPr>
        <w:t xml:space="preserve">Zgodnie z obowiązującym w 2022 roku </w:t>
      </w:r>
      <w:r w:rsidRPr="001A6B9D">
        <w:t xml:space="preserve">rozporządzeniem Ministra </w:t>
      </w:r>
      <w:r w:rsidRPr="001A6B9D">
        <w:rPr>
          <w:lang w:val="pl-PL"/>
        </w:rPr>
        <w:t xml:space="preserve">Klimatu i </w:t>
      </w:r>
      <w:r w:rsidRPr="001A6B9D">
        <w:t xml:space="preserve">Środowiska z dnia </w:t>
      </w:r>
      <w:r w:rsidRPr="001A6B9D">
        <w:rPr>
          <w:lang w:val="pl-PL"/>
        </w:rPr>
        <w:t>13 listopada 2020</w:t>
      </w:r>
      <w:r w:rsidRPr="001A6B9D">
        <w:t xml:space="preserve"> r. w sprawie zakresu i sposobu przekazywania informacji dotyczących zanieczyszczenia powietrza (Dz.</w:t>
      </w:r>
      <w:r w:rsidRPr="001A6B9D">
        <w:rPr>
          <w:lang w:val="pl-PL"/>
        </w:rPr>
        <w:t> </w:t>
      </w:r>
      <w:r w:rsidRPr="001A6B9D">
        <w:t>U.</w:t>
      </w:r>
      <w:r w:rsidRPr="001A6B9D">
        <w:rPr>
          <w:lang w:val="pl-PL"/>
        </w:rPr>
        <w:t> </w:t>
      </w:r>
      <w:r>
        <w:rPr>
          <w:lang w:val="pl-PL"/>
        </w:rPr>
        <w:br/>
      </w:r>
      <w:r w:rsidRPr="001A6B9D">
        <w:t>z 20</w:t>
      </w:r>
      <w:r w:rsidRPr="001A6B9D">
        <w:rPr>
          <w:lang w:val="pl-PL"/>
        </w:rPr>
        <w:t>20</w:t>
      </w:r>
      <w:r w:rsidRPr="001A6B9D">
        <w:t xml:space="preserve"> r. poz. </w:t>
      </w:r>
      <w:r w:rsidRPr="001A6B9D">
        <w:rPr>
          <w:lang w:val="pl-PL"/>
        </w:rPr>
        <w:t xml:space="preserve">2221). W 2023 roku ww. rozporządzenie zostało zastąpione </w:t>
      </w:r>
      <w:r w:rsidRPr="001A6B9D">
        <w:t xml:space="preserve">rozporządzeniem Ministra </w:t>
      </w:r>
      <w:r w:rsidRPr="001A6B9D">
        <w:rPr>
          <w:lang w:val="pl-PL"/>
        </w:rPr>
        <w:t xml:space="preserve">Klimatu </w:t>
      </w:r>
      <w:r>
        <w:rPr>
          <w:lang w:val="pl-PL"/>
        </w:rPr>
        <w:br/>
      </w:r>
      <w:r w:rsidRPr="001A6B9D">
        <w:rPr>
          <w:lang w:val="pl-PL"/>
        </w:rPr>
        <w:t xml:space="preserve">i </w:t>
      </w:r>
      <w:r w:rsidRPr="001A6B9D">
        <w:t xml:space="preserve">Środowiska z dnia </w:t>
      </w:r>
      <w:r w:rsidRPr="001A6B9D">
        <w:rPr>
          <w:lang w:val="pl-PL"/>
        </w:rPr>
        <w:t>15 lutego 2023</w:t>
      </w:r>
      <w:r w:rsidRPr="001A6B9D">
        <w:t xml:space="preserve"> r. w sprawie zakresu i sposobu przekazywania informacji dotyczących zanieczyszczenia powietrza (Dz. U. z 20</w:t>
      </w:r>
      <w:r w:rsidRPr="001A6B9D">
        <w:rPr>
          <w:lang w:val="pl-PL"/>
        </w:rPr>
        <w:t>23</w:t>
      </w:r>
      <w:r w:rsidRPr="001A6B9D">
        <w:t xml:space="preserve"> r. poz. </w:t>
      </w:r>
      <w:r w:rsidRPr="001A6B9D">
        <w:rPr>
          <w:lang w:val="pl-PL"/>
        </w:rPr>
        <w:t>350).</w:t>
      </w:r>
    </w:p>
  </w:footnote>
  <w:footnote w:id="77">
    <w:p w14:paraId="7FED1FB7" w14:textId="77777777" w:rsidR="007704D8" w:rsidRPr="001A6B9D" w:rsidRDefault="007704D8" w:rsidP="00535853">
      <w:pPr>
        <w:pStyle w:val="Tekstprzypisudolnego"/>
        <w:spacing w:line="276" w:lineRule="auto"/>
        <w:jc w:val="both"/>
        <w:rPr>
          <w:lang w:val="pl-PL"/>
        </w:rPr>
      </w:pPr>
      <w:r w:rsidRPr="001A6B9D">
        <w:rPr>
          <w:rStyle w:val="Odwoanieprzypisudolnego"/>
        </w:rPr>
        <w:footnoteRef/>
      </w:r>
      <w:r w:rsidRPr="001A6B9D">
        <w:t xml:space="preserve"> W związku ze zmianą ustawy z dnia 14 grudnia 2017 r. o zmianie ustawy o Inspekcji Ochrony Środowiska oraz </w:t>
      </w:r>
      <w:r w:rsidRPr="001A6B9D">
        <w:rPr>
          <w:lang w:val="pl-PL"/>
        </w:rPr>
        <w:t xml:space="preserve">  </w:t>
      </w:r>
      <w:r w:rsidRPr="001A6B9D">
        <w:t xml:space="preserve">ustawy – Prawo Ochrony Środowiska </w:t>
      </w:r>
      <w:r w:rsidRPr="001A6B9D">
        <w:rPr>
          <w:lang w:val="pl-PL"/>
        </w:rPr>
        <w:t>(Dz. U. 2022 r., poz. 2556 z </w:t>
      </w:r>
      <w:r w:rsidRPr="001A6B9D">
        <w:rPr>
          <w:lang w:val="pl-PL"/>
        </w:rPr>
        <w:t>późn. zm.).</w:t>
      </w:r>
    </w:p>
  </w:footnote>
  <w:footnote w:id="78">
    <w:p w14:paraId="46E6AD23" w14:textId="77777777" w:rsidR="007704D8" w:rsidRDefault="007704D8" w:rsidP="00535853">
      <w:pPr>
        <w:autoSpaceDE w:val="0"/>
        <w:autoSpaceDN w:val="0"/>
        <w:adjustRightInd w:val="0"/>
        <w:spacing w:after="0" w:line="276" w:lineRule="auto"/>
        <w:jc w:val="both"/>
      </w:pPr>
      <w:r w:rsidRPr="001A6B9D">
        <w:rPr>
          <w:rStyle w:val="Odwoanieprzypisudolnego"/>
          <w:rFonts w:cs="Times New Roman"/>
          <w:szCs w:val="20"/>
        </w:rPr>
        <w:footnoteRef/>
      </w:r>
      <w:r w:rsidRPr="001A6B9D">
        <w:rPr>
          <w:rFonts w:ascii="Times New Roman" w:hAnsi="Times New Roman" w:cs="Times New Roman"/>
          <w:sz w:val="20"/>
          <w:szCs w:val="20"/>
        </w:rPr>
        <w:t xml:space="preserve"> Zgodnie z art. 88 ust. 6 pkt 5 ustawy – Prawo ochrony środowiska (Dz. U. 2022 r., poz. 2556 z </w:t>
      </w:r>
      <w:r w:rsidRPr="001A6B9D">
        <w:rPr>
          <w:rFonts w:ascii="Times New Roman" w:hAnsi="Times New Roman" w:cs="Times New Roman"/>
          <w:sz w:val="20"/>
          <w:szCs w:val="20"/>
        </w:rPr>
        <w:t>późn. zm.).</w:t>
      </w:r>
    </w:p>
  </w:footnote>
  <w:footnote w:id="79">
    <w:p w14:paraId="756EE270" w14:textId="77777777" w:rsidR="007704D8" w:rsidRDefault="007704D8" w:rsidP="00535853">
      <w:pPr>
        <w:pStyle w:val="Tekstprzypisudolnego"/>
        <w:spacing w:line="276" w:lineRule="auto"/>
        <w:jc w:val="both"/>
        <w:rPr>
          <w:lang w:val="pl-PL"/>
        </w:rPr>
      </w:pPr>
      <w:r>
        <w:rPr>
          <w:rStyle w:val="Odwoanieprzypisudolnego"/>
        </w:rPr>
        <w:footnoteRef/>
      </w:r>
      <w:r>
        <w:t xml:space="preserve"> </w:t>
      </w:r>
      <w:r>
        <w:rPr>
          <w:lang w:val="pl-PL"/>
        </w:rPr>
        <w:t>O</w:t>
      </w:r>
      <w:r>
        <w:t xml:space="preserve"> którym mowa w art. 88 ust. 6 pkt 4 ustawy – </w:t>
      </w:r>
      <w:r>
        <w:rPr>
          <w:lang w:val="pl-PL"/>
        </w:rPr>
        <w:t>Prawo ochrony środowiska (Dz. U. 2022 r., poz. 2556 z </w:t>
      </w:r>
      <w:r>
        <w:rPr>
          <w:lang w:val="pl-PL"/>
        </w:rPr>
        <w:t>późn. zm.).</w:t>
      </w:r>
    </w:p>
  </w:footnote>
  <w:footnote w:id="80">
    <w:p w14:paraId="39F1D208" w14:textId="77777777" w:rsidR="007704D8" w:rsidRDefault="007704D8" w:rsidP="00535853">
      <w:pPr>
        <w:pStyle w:val="Tekstprzypisudolnego"/>
        <w:spacing w:line="276" w:lineRule="auto"/>
        <w:jc w:val="both"/>
        <w:rPr>
          <w:lang w:val="pl-PL"/>
        </w:rPr>
      </w:pPr>
      <w:r>
        <w:rPr>
          <w:rStyle w:val="Odwoanieprzypisudolnego"/>
        </w:rPr>
        <w:footnoteRef/>
      </w:r>
      <w:r>
        <w:t xml:space="preserve"> </w:t>
      </w:r>
      <w:r>
        <w:rPr>
          <w:lang w:val="pl-PL"/>
        </w:rPr>
        <w:t>Z</w:t>
      </w:r>
      <w:r>
        <w:t xml:space="preserve">godnie z art. 88 ust. 7 ustawy – </w:t>
      </w:r>
      <w:r>
        <w:rPr>
          <w:lang w:val="pl-PL"/>
        </w:rPr>
        <w:t>Prawo ochrony środowiska (Dz. U. 2022 r., poz. 2556 z </w:t>
      </w:r>
      <w:r>
        <w:rPr>
          <w:lang w:val="pl-PL"/>
        </w:rPr>
        <w:t>późn. zm.).</w:t>
      </w:r>
    </w:p>
  </w:footnote>
  <w:footnote w:id="81">
    <w:p w14:paraId="0D1353C0" w14:textId="3E8AE43B" w:rsidR="007704D8" w:rsidRPr="00D22EC8" w:rsidRDefault="007704D8" w:rsidP="00535853">
      <w:pPr>
        <w:pStyle w:val="Tekstprzypisudolnego"/>
        <w:spacing w:line="276" w:lineRule="auto"/>
        <w:jc w:val="both"/>
        <w:rPr>
          <w:color w:val="000000" w:themeColor="text1"/>
          <w:lang w:val="pl-PL"/>
        </w:rPr>
      </w:pPr>
      <w:r w:rsidRPr="00FC63D9">
        <w:rPr>
          <w:rStyle w:val="Odwoanieprzypisudolnego"/>
          <w:color w:val="000000" w:themeColor="text1"/>
        </w:rPr>
        <w:footnoteRef/>
      </w:r>
      <w:r w:rsidRPr="00FC63D9">
        <w:rPr>
          <w:color w:val="000000" w:themeColor="text1"/>
        </w:rPr>
        <w:t xml:space="preserve"> </w:t>
      </w:r>
      <w:r>
        <w:rPr>
          <w:lang w:val="pl-PL"/>
        </w:rPr>
        <w:t xml:space="preserve">Zgodnie z obowiązującym w 2022 roku </w:t>
      </w:r>
      <w:r>
        <w:t xml:space="preserve">rozporządzeniem Ministra </w:t>
      </w:r>
      <w:r>
        <w:rPr>
          <w:lang w:val="pl-PL"/>
        </w:rPr>
        <w:t xml:space="preserve">Klimatu i </w:t>
      </w:r>
      <w:r>
        <w:t xml:space="preserve">Środowiska z dnia </w:t>
      </w:r>
      <w:r>
        <w:rPr>
          <w:lang w:val="pl-PL"/>
        </w:rPr>
        <w:t>13 listopada 2020</w:t>
      </w:r>
      <w:r>
        <w:t xml:space="preserve"> r. w sprawie zakresu i sposobu przekazywania informacji dotyczących zanieczyszczenia powietrza (Dz.</w:t>
      </w:r>
      <w:r>
        <w:rPr>
          <w:lang w:val="pl-PL"/>
        </w:rPr>
        <w:t> </w:t>
      </w:r>
      <w:r>
        <w:t>U.</w:t>
      </w:r>
      <w:r>
        <w:rPr>
          <w:lang w:val="pl-PL"/>
        </w:rPr>
        <w:t> </w:t>
      </w:r>
      <w:r>
        <w:rPr>
          <w:lang w:val="pl-PL"/>
        </w:rPr>
        <w:br/>
      </w:r>
      <w:r>
        <w:t>z 20</w:t>
      </w:r>
      <w:r>
        <w:rPr>
          <w:lang w:val="pl-PL"/>
        </w:rPr>
        <w:t>20</w:t>
      </w:r>
      <w:r>
        <w:t xml:space="preserve"> r. poz. </w:t>
      </w:r>
      <w:r>
        <w:rPr>
          <w:lang w:val="pl-PL"/>
        </w:rPr>
        <w:t xml:space="preserve">2221). W 2023 roku ww. rozporządzenie zostało zastąpione </w:t>
      </w:r>
      <w:r>
        <w:t xml:space="preserve">rozporządzeniem Ministra </w:t>
      </w:r>
      <w:r>
        <w:rPr>
          <w:lang w:val="pl-PL"/>
        </w:rPr>
        <w:t xml:space="preserve">Klimatu </w:t>
      </w:r>
      <w:r>
        <w:rPr>
          <w:lang w:val="pl-PL"/>
        </w:rPr>
        <w:br/>
        <w:t xml:space="preserve">i </w:t>
      </w:r>
      <w:r>
        <w:t xml:space="preserve">Środowiska z dnia </w:t>
      </w:r>
      <w:r>
        <w:rPr>
          <w:lang w:val="pl-PL"/>
        </w:rPr>
        <w:t>15 lutego 2023</w:t>
      </w:r>
      <w:r>
        <w:t xml:space="preserve"> r. w sprawie zakresu i sposobu przekazywania informacji dotyczących zanieczyszczenia powietrza (Dz. U. z 20</w:t>
      </w:r>
      <w:r>
        <w:rPr>
          <w:lang w:val="pl-PL"/>
        </w:rPr>
        <w:t>23</w:t>
      </w:r>
      <w:r>
        <w:t xml:space="preserve"> r. poz. </w:t>
      </w:r>
      <w:r>
        <w:rPr>
          <w:lang w:val="pl-PL"/>
        </w:rPr>
        <w:t>350).</w:t>
      </w:r>
    </w:p>
  </w:footnote>
  <w:footnote w:id="82">
    <w:p w14:paraId="5BF24930" w14:textId="77777777" w:rsidR="007704D8" w:rsidRPr="001A6B9D" w:rsidRDefault="007704D8" w:rsidP="00F27A74">
      <w:pPr>
        <w:pStyle w:val="Tekstprzypisudolnego"/>
        <w:spacing w:line="276" w:lineRule="auto"/>
        <w:jc w:val="both"/>
      </w:pPr>
      <w:r w:rsidRPr="001A6B9D">
        <w:rPr>
          <w:rStyle w:val="Odwoanieprzypisudolnego"/>
        </w:rPr>
        <w:footnoteRef/>
      </w:r>
      <w:r w:rsidRPr="001A6B9D">
        <w:t xml:space="preserve"> Krajowy wskaźnik średniego narażenia – średni poziom substancji w powietrzu wyznaczony na podstawie pomiarów przeprowadzonych na obszarach tła miejskiego w miastach o liczbie mieszkańców większej niż 100 tys. i aglomeracjach na terenie całego kraju, wykorzystywany do określenia i dotrzymania krajowego celu redukcji narażenia oraz dotrzymania pułapu stężenia ekspozycji.</w:t>
      </w:r>
    </w:p>
  </w:footnote>
  <w:footnote w:id="83">
    <w:p w14:paraId="78EE9D89" w14:textId="77777777" w:rsidR="007704D8" w:rsidRPr="00C846FE" w:rsidRDefault="007704D8" w:rsidP="00F27A74">
      <w:pPr>
        <w:pStyle w:val="Tekstprzypisudolnego"/>
        <w:spacing w:line="276" w:lineRule="auto"/>
        <w:jc w:val="both"/>
      </w:pPr>
      <w:r w:rsidRPr="001A6B9D">
        <w:rPr>
          <w:rStyle w:val="Odwoanieprzypisudolnego"/>
        </w:rPr>
        <w:footnoteRef/>
      </w:r>
      <w:r w:rsidRPr="001A6B9D">
        <w:t xml:space="preserve"> </w:t>
      </w:r>
      <w:r w:rsidRPr="00EC380E">
        <w:t>W</w:t>
      </w:r>
      <w:r w:rsidRPr="00EC380E">
        <w:rPr>
          <w:rStyle w:val="Pogrubienie"/>
          <w:b w:val="0"/>
        </w:rPr>
        <w:t>skaźnik średniego narażenia dla miasta powyżej 100 tys. mieszkańców i aglomeracji</w:t>
      </w:r>
      <w:r w:rsidRPr="001A6B9D">
        <w:rPr>
          <w:rStyle w:val="descriptionintextpage"/>
        </w:rPr>
        <w:t xml:space="preserve"> – średni poziom substancji w powietrzu wyznaczony na podstawie pomiarów przeprowadzonych na obszarach tła miejskiego w mieście powyżej 100 tys. i aglomeracji.</w:t>
      </w:r>
    </w:p>
  </w:footnote>
  <w:footnote w:id="84">
    <w:p w14:paraId="3932C557" w14:textId="77777777" w:rsidR="007704D8" w:rsidRPr="00D0218B" w:rsidRDefault="007704D8" w:rsidP="00D0218B">
      <w:pPr>
        <w:pStyle w:val="Nagwek1"/>
        <w:spacing w:line="276" w:lineRule="auto"/>
        <w:jc w:val="both"/>
        <w:rPr>
          <w:b w:val="0"/>
          <w:bCs w:val="0"/>
          <w:kern w:val="36"/>
          <w:sz w:val="20"/>
          <w:szCs w:val="20"/>
          <w:lang w:eastAsia="pl-PL"/>
        </w:rPr>
      </w:pPr>
      <w:r w:rsidRPr="00D0218B">
        <w:rPr>
          <w:rStyle w:val="Odwoanieprzypisudolnego"/>
          <w:b w:val="0"/>
          <w:szCs w:val="20"/>
        </w:rPr>
        <w:footnoteRef/>
      </w:r>
      <w:r w:rsidRPr="00D0218B">
        <w:rPr>
          <w:b w:val="0"/>
          <w:sz w:val="20"/>
          <w:szCs w:val="20"/>
        </w:rPr>
        <w:t xml:space="preserve"> </w:t>
      </w:r>
      <w:r w:rsidRPr="00D0218B">
        <w:rPr>
          <w:b w:val="0"/>
          <w:bCs w:val="0"/>
          <w:sz w:val="20"/>
          <w:szCs w:val="20"/>
          <w:lang w:eastAsia="pl-PL"/>
        </w:rPr>
        <w:t>Obwieszczenie Ministra Klimatu z dnia 25 sierpnia 2022 r. w sprawie wykazu miast o liczbie mieszkańców większej niż 100 tysięcy i aglomeracji, w których wartość wskaźnika średniego narażenia dla miasta o liczbie mieszkańców większej niż 100 tysięcy i aglomeracji przekracza wartość pułapu stężenia ekspozycji, oraz wykazu miast o liczbie mieszkańców większej niż 100 tysięcy i aglomeracji, w których wartość wskaźnika średniego narażenia dla miasta o liczbie mieszkańców większej niż 100 tysięcy i aglomeracji nie przekracza wartości pułapu stężenia ekspozycji (</w:t>
      </w:r>
      <w:r w:rsidRPr="00D0218B">
        <w:rPr>
          <w:b w:val="0"/>
          <w:bCs w:val="0"/>
          <w:kern w:val="36"/>
          <w:sz w:val="20"/>
          <w:szCs w:val="20"/>
          <w:lang w:eastAsia="pl-PL"/>
        </w:rPr>
        <w:t>M.P. 2022 poz. 856).</w:t>
      </w:r>
    </w:p>
  </w:footnote>
  <w:footnote w:id="85">
    <w:p w14:paraId="46AA800C" w14:textId="77777777" w:rsidR="007704D8" w:rsidRPr="003C4250" w:rsidRDefault="007704D8" w:rsidP="004B2168">
      <w:pPr>
        <w:pStyle w:val="Tekstprzypisudolnego"/>
        <w:spacing w:line="276" w:lineRule="auto"/>
        <w:ind w:hanging="142"/>
        <w:jc w:val="both"/>
      </w:pPr>
      <w:r w:rsidRPr="003C4250">
        <w:rPr>
          <w:rStyle w:val="Odwoanieprzypisudolnego"/>
        </w:rPr>
        <w:footnoteRef/>
      </w:r>
      <w:r w:rsidRPr="003C4250">
        <w:t xml:space="preserve"> </w:t>
      </w:r>
      <w:r>
        <w:t>W</w:t>
      </w:r>
      <w:r w:rsidRPr="003C4250">
        <w:t xml:space="preserve"> związku z przepisami dyrektyw Parlamentu Europejskiego i Rady 2004/107</w:t>
      </w:r>
      <w:r>
        <w:t>/WE z dnia 15 grudnia 2004 r. w </w:t>
      </w:r>
      <w:r w:rsidRPr="003C4250">
        <w:t>sprawie arsenu, kadmu, rtęci, niklu i wielopierścieniowych węglowodorów aromatycznych w otaczającym powietrzu (</w:t>
      </w:r>
      <w:r w:rsidRPr="003C4250">
        <w:rPr>
          <w:iCs/>
        </w:rPr>
        <w:t>Dz.</w:t>
      </w:r>
      <w:r>
        <w:rPr>
          <w:iCs/>
        </w:rPr>
        <w:t xml:space="preserve"> </w:t>
      </w:r>
      <w:r w:rsidRPr="003C4250">
        <w:rPr>
          <w:iCs/>
        </w:rPr>
        <w:t>U</w:t>
      </w:r>
      <w:r>
        <w:rPr>
          <w:iCs/>
        </w:rPr>
        <w:t>rz</w:t>
      </w:r>
      <w:r w:rsidRPr="003C4250">
        <w:rPr>
          <w:iCs/>
        </w:rPr>
        <w:t>. L 23 z 26.1.2005) i</w:t>
      </w:r>
      <w:r w:rsidRPr="003C4250">
        <w:t xml:space="preserve"> 2008/50/WE z dnia 21 maja 2008 r</w:t>
      </w:r>
      <w:r>
        <w:t>. w sprawie jakości powietrza i </w:t>
      </w:r>
      <w:r w:rsidRPr="003C4250">
        <w:t>czystszego powietrza dla Europy (Dz. U</w:t>
      </w:r>
      <w:r>
        <w:t>rz</w:t>
      </w:r>
      <w:r w:rsidRPr="003C4250">
        <w:t>. L 152 z 11.6.2008 r.)</w:t>
      </w:r>
      <w:r>
        <w:t>.</w:t>
      </w:r>
    </w:p>
  </w:footnote>
  <w:footnote w:id="86">
    <w:p w14:paraId="6C8F4769" w14:textId="674B66F7" w:rsidR="007704D8" w:rsidRPr="005736FE" w:rsidRDefault="007704D8" w:rsidP="004B2168">
      <w:pPr>
        <w:pStyle w:val="Tekstprzypisudolnego"/>
        <w:spacing w:line="276" w:lineRule="auto"/>
        <w:jc w:val="both"/>
        <w:rPr>
          <w:lang w:val="pl-PL"/>
        </w:rPr>
      </w:pPr>
      <w:r w:rsidRPr="005736FE">
        <w:rPr>
          <w:rStyle w:val="Odwoanieprzypisudolnego"/>
        </w:rPr>
        <w:footnoteRef/>
      </w:r>
      <w:r w:rsidRPr="005736FE">
        <w:t xml:space="preserve"> </w:t>
      </w:r>
      <w:bookmarkStart w:id="388" w:name="_Hlk129002649"/>
      <w:r w:rsidRPr="005736FE">
        <w:rPr>
          <w:lang w:val="pl-PL"/>
        </w:rPr>
        <w:t xml:space="preserve">Zgodnie z obowiązującym w 2022 roku </w:t>
      </w:r>
      <w:r w:rsidRPr="005736FE">
        <w:t xml:space="preserve">rozporządzeniem Ministra </w:t>
      </w:r>
      <w:r w:rsidRPr="005736FE">
        <w:rPr>
          <w:lang w:val="pl-PL"/>
        </w:rPr>
        <w:t xml:space="preserve">Klimatu i </w:t>
      </w:r>
      <w:r w:rsidRPr="005736FE">
        <w:t xml:space="preserve">Środowiska z dnia </w:t>
      </w:r>
      <w:r w:rsidRPr="005736FE">
        <w:rPr>
          <w:lang w:val="pl-PL"/>
        </w:rPr>
        <w:t>13 listopada 2020</w:t>
      </w:r>
      <w:r w:rsidRPr="005736FE">
        <w:t xml:space="preserve"> r. w sprawie zakresu i sposobu przekazywania informacji dotyczących zanieczyszczenia powietrza (Dz.</w:t>
      </w:r>
      <w:r w:rsidRPr="005736FE">
        <w:rPr>
          <w:lang w:val="pl-PL"/>
        </w:rPr>
        <w:t> </w:t>
      </w:r>
      <w:r w:rsidRPr="005736FE">
        <w:t>U.</w:t>
      </w:r>
      <w:r w:rsidRPr="005736FE">
        <w:rPr>
          <w:lang w:val="pl-PL"/>
        </w:rPr>
        <w:t> </w:t>
      </w:r>
      <w:r>
        <w:rPr>
          <w:lang w:val="pl-PL"/>
        </w:rPr>
        <w:br/>
      </w:r>
      <w:r w:rsidRPr="005736FE">
        <w:t>z 20</w:t>
      </w:r>
      <w:r w:rsidRPr="005736FE">
        <w:rPr>
          <w:lang w:val="pl-PL"/>
        </w:rPr>
        <w:t>20</w:t>
      </w:r>
      <w:r w:rsidRPr="005736FE">
        <w:t xml:space="preserve"> r. poz. </w:t>
      </w:r>
      <w:r w:rsidRPr="005736FE">
        <w:rPr>
          <w:lang w:val="pl-PL"/>
        </w:rPr>
        <w:t xml:space="preserve">2221). W 2023 roku ww. rozporządzenie zostało zastąpione </w:t>
      </w:r>
      <w:r w:rsidRPr="005736FE">
        <w:t xml:space="preserve">rozporządzeniem Ministra </w:t>
      </w:r>
      <w:r w:rsidRPr="005736FE">
        <w:rPr>
          <w:lang w:val="pl-PL"/>
        </w:rPr>
        <w:t xml:space="preserve">Klimatu </w:t>
      </w:r>
      <w:r>
        <w:rPr>
          <w:lang w:val="pl-PL"/>
        </w:rPr>
        <w:br/>
      </w:r>
      <w:r w:rsidRPr="005736FE">
        <w:rPr>
          <w:lang w:val="pl-PL"/>
        </w:rPr>
        <w:t xml:space="preserve">i </w:t>
      </w:r>
      <w:r w:rsidRPr="005736FE">
        <w:t xml:space="preserve">Środowiska z dnia </w:t>
      </w:r>
      <w:r w:rsidRPr="005736FE">
        <w:rPr>
          <w:lang w:val="pl-PL"/>
        </w:rPr>
        <w:t>15 lutego 2023</w:t>
      </w:r>
      <w:r w:rsidRPr="005736FE">
        <w:t xml:space="preserve"> r. w sprawie zakresu i sposobu przekazywania informacji dotyczących zanieczyszczenia powietrza (Dz. U. z 20</w:t>
      </w:r>
      <w:r w:rsidRPr="005736FE">
        <w:rPr>
          <w:lang w:val="pl-PL"/>
        </w:rPr>
        <w:t>23</w:t>
      </w:r>
      <w:r w:rsidRPr="005736FE">
        <w:t xml:space="preserve"> r. poz. </w:t>
      </w:r>
      <w:r w:rsidRPr="005736FE">
        <w:rPr>
          <w:lang w:val="pl-PL"/>
        </w:rPr>
        <w:t>350).</w:t>
      </w:r>
      <w:bookmarkEnd w:id="388"/>
    </w:p>
  </w:footnote>
  <w:footnote w:id="87">
    <w:p w14:paraId="373177C5" w14:textId="77777777" w:rsidR="007704D8" w:rsidRPr="005736FE" w:rsidRDefault="007704D8" w:rsidP="004B2168">
      <w:pPr>
        <w:pStyle w:val="Tekstprzypisudolnego"/>
        <w:spacing w:line="276" w:lineRule="auto"/>
        <w:ind w:hanging="142"/>
        <w:jc w:val="both"/>
      </w:pPr>
      <w:r w:rsidRPr="005736FE">
        <w:rPr>
          <w:rStyle w:val="Znakiprzypiswdolnych"/>
        </w:rPr>
        <w:footnoteRef/>
      </w:r>
      <w:r w:rsidRPr="005736FE">
        <w:tab/>
        <w:t xml:space="preserve"> Konwencja Wiedeńska o ochronie warstwy ozonowej sporządzona w Wiedniu dnia 22 marca 1985 r. (Dz.</w:t>
      </w:r>
      <w:r w:rsidRPr="005736FE">
        <w:rPr>
          <w:lang w:val="pl-PL"/>
        </w:rPr>
        <w:t> </w:t>
      </w:r>
      <w:r w:rsidRPr="005736FE">
        <w:t>U.</w:t>
      </w:r>
      <w:r w:rsidRPr="005736FE">
        <w:rPr>
          <w:lang w:val="pl-PL"/>
        </w:rPr>
        <w:t> </w:t>
      </w:r>
      <w:r w:rsidRPr="005736FE">
        <w:t>z 1992 r. Nr 98, poz.488).</w:t>
      </w:r>
    </w:p>
  </w:footnote>
  <w:footnote w:id="88">
    <w:p w14:paraId="006B2F90" w14:textId="77777777" w:rsidR="007704D8" w:rsidRPr="0022603A" w:rsidRDefault="007704D8" w:rsidP="00802629">
      <w:pPr>
        <w:pStyle w:val="Tekstprzypisudolnego"/>
        <w:spacing w:line="276" w:lineRule="auto"/>
        <w:ind w:hanging="142"/>
        <w:jc w:val="both"/>
        <w:rPr>
          <w:lang w:val="pl-PL"/>
        </w:rPr>
      </w:pPr>
      <w:r w:rsidRPr="00F3195C">
        <w:rPr>
          <w:rStyle w:val="Odwoanieprzypisudolnego"/>
        </w:rPr>
        <w:footnoteRef/>
      </w:r>
      <w:r w:rsidRPr="00F3195C">
        <w:t xml:space="preserve"> </w:t>
      </w:r>
      <w:r w:rsidRPr="00F3195C">
        <w:rPr>
          <w:rStyle w:val="Pogrubienie"/>
          <w:color w:val="000000"/>
          <w:shd w:val="clear" w:color="auto" w:fill="FFFFFF"/>
        </w:rPr>
        <w:t>MED - minimalna dawka rumieniowa (</w:t>
      </w:r>
      <w:r w:rsidRPr="00F3195C">
        <w:rPr>
          <w:rStyle w:val="Pogrubienie"/>
          <w:color w:val="000000"/>
          <w:shd w:val="clear" w:color="auto" w:fill="FFFFFF"/>
        </w:rPr>
        <w:t>Minimal Erythema Dosis)</w:t>
      </w:r>
      <w:r w:rsidRPr="00F3195C">
        <w:rPr>
          <w:b/>
          <w:color w:val="000000"/>
          <w:shd w:val="clear" w:color="auto" w:fill="FFFFFF"/>
        </w:rPr>
        <w:t>;</w:t>
      </w:r>
      <w:r w:rsidRPr="00F3195C">
        <w:rPr>
          <w:color w:val="000000"/>
          <w:shd w:val="clear" w:color="auto" w:fill="FFFFFF"/>
        </w:rPr>
        <w:t xml:space="preserve"> minimaln</w:t>
      </w:r>
      <w:r w:rsidRPr="00F3195C">
        <w:rPr>
          <w:color w:val="000000"/>
          <w:shd w:val="clear" w:color="auto" w:fill="FFFFFF"/>
          <w:lang w:val="pl-PL"/>
        </w:rPr>
        <w:t>a</w:t>
      </w:r>
      <w:r w:rsidRPr="00F3195C">
        <w:rPr>
          <w:color w:val="000000"/>
          <w:shd w:val="clear" w:color="auto" w:fill="FFFFFF"/>
        </w:rPr>
        <w:t xml:space="preserve"> dawk</w:t>
      </w:r>
      <w:r w:rsidRPr="00F3195C">
        <w:rPr>
          <w:color w:val="000000"/>
          <w:shd w:val="clear" w:color="auto" w:fill="FFFFFF"/>
          <w:lang w:val="pl-PL"/>
        </w:rPr>
        <w:t>a</w:t>
      </w:r>
      <w:r w:rsidRPr="00F3195C">
        <w:rPr>
          <w:color w:val="000000"/>
          <w:shd w:val="clear" w:color="auto" w:fill="FFFFFF"/>
        </w:rPr>
        <w:t xml:space="preserve"> promieniowania UV</w:t>
      </w:r>
      <w:r w:rsidRPr="00F3195C">
        <w:rPr>
          <w:color w:val="000000"/>
          <w:shd w:val="clear" w:color="auto" w:fill="FFFFFF"/>
          <w:lang w:val="pl-PL"/>
        </w:rPr>
        <w:t>-</w:t>
      </w:r>
      <w:r w:rsidRPr="00F3195C">
        <w:rPr>
          <w:color w:val="000000"/>
          <w:shd w:val="clear" w:color="auto" w:fill="FFFFFF"/>
        </w:rPr>
        <w:t xml:space="preserve">B, </w:t>
      </w:r>
      <w:r w:rsidRPr="00F3195C">
        <w:rPr>
          <w:color w:val="000000"/>
          <w:shd w:val="clear" w:color="auto" w:fill="FFFFFF"/>
          <w:lang w:val="pl-PL"/>
        </w:rPr>
        <w:t>powodująca wystąpienie rumienia</w:t>
      </w:r>
      <w:r>
        <w:rPr>
          <w:color w:val="000000"/>
          <w:shd w:val="clear" w:color="auto" w:fill="FFFFFF"/>
          <w:lang w:val="pl-PL"/>
        </w:rPr>
        <w:t>.</w:t>
      </w:r>
    </w:p>
  </w:footnote>
  <w:footnote w:id="89">
    <w:p w14:paraId="4928E514" w14:textId="53BF81D0" w:rsidR="007704D8" w:rsidRPr="00802629" w:rsidRDefault="007704D8" w:rsidP="00802629">
      <w:pPr>
        <w:pStyle w:val="Tekstprzypisudolnego"/>
        <w:jc w:val="both"/>
        <w:rPr>
          <w:lang w:val="pl-PL"/>
        </w:rPr>
      </w:pPr>
      <w:r w:rsidRPr="001B04B9">
        <w:rPr>
          <w:rStyle w:val="Odwoanieprzypisudolnego"/>
        </w:rPr>
        <w:footnoteRef/>
      </w:r>
      <w:r w:rsidRPr="001B04B9">
        <w:t xml:space="preserve"> Rozporządzenie Ministra </w:t>
      </w:r>
      <w:r>
        <w:t xml:space="preserve">Infrastruktury </w:t>
      </w:r>
      <w:r w:rsidRPr="00C15B95">
        <w:t>z dnia 13 lipca 2021 r.</w:t>
      </w:r>
      <w:r>
        <w:t xml:space="preserve"> </w:t>
      </w:r>
      <w:r w:rsidRPr="00C15B95">
        <w:t>w sprawie form i sposobu prowadzenia monitoringu jednolitych części wód powierzchniowych</w:t>
      </w:r>
      <w:r>
        <w:t xml:space="preserve"> </w:t>
      </w:r>
      <w:r w:rsidRPr="00C15B95">
        <w:t>i jednolitych części wód podziemnych</w:t>
      </w:r>
      <w:r>
        <w:t xml:space="preserve"> </w:t>
      </w:r>
      <w:r w:rsidRPr="001B04B9">
        <w:t>(</w:t>
      </w:r>
      <w:r>
        <w:t>Dz. U.</w:t>
      </w:r>
      <w:r w:rsidRPr="001B04B9">
        <w:t xml:space="preserve"> poz. </w:t>
      </w:r>
      <w:r>
        <w:t>1576</w:t>
      </w:r>
      <w:r w:rsidRPr="001B04B9">
        <w:t>)</w:t>
      </w:r>
      <w:r>
        <w:rPr>
          <w:lang w:val="pl-PL"/>
        </w:rPr>
        <w:t>.</w:t>
      </w:r>
    </w:p>
  </w:footnote>
  <w:footnote w:id="90">
    <w:p w14:paraId="70D128D9" w14:textId="65602754" w:rsidR="007704D8" w:rsidRPr="000120C8" w:rsidRDefault="007704D8">
      <w:pPr>
        <w:pStyle w:val="Tekstprzypisudolnego"/>
        <w:rPr>
          <w:lang w:val="pl-PL"/>
        </w:rPr>
      </w:pPr>
      <w:r>
        <w:rPr>
          <w:rStyle w:val="Odwoanieprzypisudolnego"/>
        </w:rPr>
        <w:footnoteRef/>
      </w:r>
      <w:r>
        <w:t xml:space="preserve"> Dz. U.</w:t>
      </w:r>
      <w:r w:rsidRPr="000120C8">
        <w:t xml:space="preserve"> poz. 1475</w:t>
      </w:r>
      <w:r w:rsidRPr="000120C8">
        <w:rPr>
          <w:lang w:val="pl-PL"/>
        </w:rPr>
        <w:t>.</w:t>
      </w:r>
    </w:p>
  </w:footnote>
  <w:footnote w:id="91">
    <w:p w14:paraId="1F816A4E" w14:textId="6AB46789" w:rsidR="007704D8" w:rsidRPr="000120C8" w:rsidRDefault="007704D8">
      <w:pPr>
        <w:pStyle w:val="Tekstprzypisudolnego"/>
        <w:rPr>
          <w:lang w:val="pl-PL"/>
        </w:rPr>
      </w:pPr>
      <w:r>
        <w:rPr>
          <w:rStyle w:val="Odwoanieprzypisudolnego"/>
        </w:rPr>
        <w:footnoteRef/>
      </w:r>
      <w:r>
        <w:t xml:space="preserve"> </w:t>
      </w:r>
      <w:r>
        <w:rPr>
          <w:rFonts w:eastAsia="Calibri"/>
        </w:rPr>
        <w:t>Dz. U.</w:t>
      </w:r>
      <w:r w:rsidRPr="000120C8">
        <w:rPr>
          <w:rFonts w:eastAsia="Calibri"/>
        </w:rPr>
        <w:t xml:space="preserve"> poz. 1475</w:t>
      </w:r>
      <w:r w:rsidRPr="000120C8">
        <w:rPr>
          <w:rFonts w:eastAsia="Calibri"/>
          <w:lang w:val="pl-PL"/>
        </w:rPr>
        <w:t>.</w:t>
      </w:r>
    </w:p>
  </w:footnote>
  <w:footnote w:id="92">
    <w:p w14:paraId="43C12F6C" w14:textId="77777777" w:rsidR="007704D8" w:rsidRPr="009D4E37" w:rsidRDefault="007704D8" w:rsidP="007C18D1">
      <w:pPr>
        <w:pStyle w:val="Tekstprzypisudolnego"/>
      </w:pPr>
      <w:r w:rsidRPr="009D4E37">
        <w:rPr>
          <w:rStyle w:val="Odwoanieprzypisudolnego"/>
        </w:rPr>
        <w:footnoteRef/>
      </w:r>
      <w:r w:rsidRPr="009D4E37">
        <w:t xml:space="preserve"> Zgodnie z art. 350 ust. 1 pkt 1), art. 349 ustawy z dnia 20 lipca 2017 r. – Prawo wodne (Dz. U. z 202</w:t>
      </w:r>
      <w:r>
        <w:t>2</w:t>
      </w:r>
      <w:r w:rsidRPr="009D4E37">
        <w:t xml:space="preserve"> r. poz. </w:t>
      </w:r>
      <w:r>
        <w:t>2625</w:t>
      </w:r>
      <w:r w:rsidRPr="009D4E37">
        <w:t xml:space="preserve">, z </w:t>
      </w:r>
      <w:r w:rsidRPr="009D4E37">
        <w:t>późn. zm.) i rozporządzeniami wykonawczymi.</w:t>
      </w:r>
    </w:p>
  </w:footnote>
  <w:footnote w:id="93">
    <w:p w14:paraId="6545109B" w14:textId="77777777" w:rsidR="007704D8" w:rsidRPr="00F13017" w:rsidRDefault="007704D8" w:rsidP="007C18D1">
      <w:pPr>
        <w:pStyle w:val="Tekstprzypisudolnego"/>
        <w:rPr>
          <w:sz w:val="18"/>
          <w:szCs w:val="18"/>
        </w:rPr>
      </w:pPr>
      <w:r w:rsidRPr="009D4E37">
        <w:rPr>
          <w:rStyle w:val="Odwoanieprzypisudolnego"/>
        </w:rPr>
        <w:footnoteRef/>
      </w:r>
      <w:r w:rsidRPr="009D4E37">
        <w:t xml:space="preserve">  Zgodnie z art. 351 ustawy z dnia 20 lipca 2017 r. – Prawo wodne (Dz. U. z 202</w:t>
      </w:r>
      <w:r>
        <w:t>2</w:t>
      </w:r>
      <w:r w:rsidRPr="009D4E37">
        <w:t xml:space="preserve"> r. poz. 2</w:t>
      </w:r>
      <w:r>
        <w:t>625</w:t>
      </w:r>
      <w:r w:rsidRPr="009D4E37">
        <w:t>, z późn.zm.).</w:t>
      </w:r>
    </w:p>
  </w:footnote>
  <w:footnote w:id="94">
    <w:p w14:paraId="259B0A5D" w14:textId="77777777" w:rsidR="007704D8" w:rsidRPr="009D4E37" w:rsidRDefault="007704D8" w:rsidP="000362DA">
      <w:pPr>
        <w:pStyle w:val="Tekstprzypisudolnego"/>
        <w:jc w:val="both"/>
      </w:pPr>
      <w:r w:rsidRPr="009D4E37">
        <w:rPr>
          <w:rStyle w:val="Odwoanieprzypisudolnego"/>
        </w:rPr>
        <w:footnoteRef/>
      </w:r>
      <w:r w:rsidRPr="009D4E37">
        <w:t xml:space="preserve"> Zgodnie z art. 349 i art. 350 ustawy z dnia 20 lipca 2017 r. – Prawo wodne (Dz. U. z 202</w:t>
      </w:r>
      <w:r>
        <w:t>2</w:t>
      </w:r>
      <w:r w:rsidRPr="009D4E37">
        <w:t xml:space="preserve"> r. poz. 2</w:t>
      </w:r>
      <w:r>
        <w:t>625</w:t>
      </w:r>
      <w:r w:rsidRPr="009D4E37">
        <w:t>, z</w:t>
      </w:r>
      <w:r>
        <w:t> </w:t>
      </w:r>
      <w:r w:rsidRPr="009D4E37">
        <w:t>późn. zm.).</w:t>
      </w:r>
    </w:p>
  </w:footnote>
  <w:footnote w:id="95">
    <w:p w14:paraId="47E95585" w14:textId="21CA35D2" w:rsidR="007704D8" w:rsidRPr="00F80227" w:rsidRDefault="007704D8" w:rsidP="000362DA">
      <w:pPr>
        <w:pStyle w:val="Tekstprzypisudolnego"/>
        <w:jc w:val="both"/>
      </w:pPr>
      <w:r w:rsidRPr="009D4E37">
        <w:rPr>
          <w:rStyle w:val="Odwoanieprzypisudolnego"/>
        </w:rPr>
        <w:footnoteRef/>
      </w:r>
      <w:r w:rsidRPr="009D4E37">
        <w:t xml:space="preserve"> Klasyfikacja wykonana na podstawie wytycznych Głównego Inspektora oraz Rozporządzenia Ministra Infrastruktury z dnia 25 czerwca 2021 r. w sprawie klasyfikacji stanu ekologicznego, potencjału ekologicznego </w:t>
      </w:r>
      <w:r>
        <w:br/>
      </w:r>
      <w:r w:rsidRPr="009D4E37">
        <w:t>i stanu chemicznego oraz sposobu klasyfikacji stanu jednolitych części wód powierzchniowych, a także środowiskowych norm jakości dla substancji priorytetowych (Dz. U. z 2021 r. poz. 1475).</w:t>
      </w:r>
    </w:p>
  </w:footnote>
  <w:footnote w:id="96">
    <w:p w14:paraId="5D82B0F2" w14:textId="77777777" w:rsidR="007704D8" w:rsidRPr="004273D5" w:rsidRDefault="007704D8" w:rsidP="000362DA">
      <w:pPr>
        <w:pStyle w:val="Tekstprzypisudolnego"/>
        <w:jc w:val="both"/>
      </w:pPr>
      <w:r w:rsidRPr="004273D5">
        <w:rPr>
          <w:rStyle w:val="Odwoanieprzypisudolnego"/>
        </w:rPr>
        <w:footnoteRef/>
      </w:r>
      <w:r w:rsidRPr="004273D5">
        <w:t xml:space="preserve"> Uchwała nr 38 Rady Ministrów z dnia 22 marca 2021 roku w sprawie wyrażenia zgody na przedłożenie Komisji Europejskiej aktualizacji programu monitoringu wód morskich (M.P. z 2021 r. poz. 414).</w:t>
      </w:r>
    </w:p>
  </w:footnote>
  <w:footnote w:id="97">
    <w:p w14:paraId="79CB27C0" w14:textId="77777777" w:rsidR="007704D8" w:rsidRPr="00670909" w:rsidRDefault="007704D8" w:rsidP="000362DA">
      <w:pPr>
        <w:pStyle w:val="Tekstprzypisudolnego"/>
        <w:jc w:val="both"/>
      </w:pPr>
      <w:r w:rsidRPr="004273D5">
        <w:rPr>
          <w:rStyle w:val="Odwoanieprzypisudolnego"/>
        </w:rPr>
        <w:footnoteRef/>
      </w:r>
      <w:r w:rsidRPr="004273D5">
        <w:t xml:space="preserve"> Dyrektywa Parlamentu Europejskiego i Rady 2008/56/WE z dnia 17 czerwca 2008 r. ustanawiająca ramy działań Wspólnoty w dziedzinie polityki środowiska morskiego (Dz. Urz. L 164 z 25.06.2008, str. 19).</w:t>
      </w:r>
    </w:p>
  </w:footnote>
  <w:footnote w:id="98">
    <w:p w14:paraId="1D7A6412" w14:textId="2B24BF55" w:rsidR="007704D8" w:rsidRPr="004E37F6" w:rsidRDefault="007704D8">
      <w:pPr>
        <w:pStyle w:val="Tekstprzypisudolnego"/>
        <w:rPr>
          <w:lang w:val="pl-PL"/>
        </w:rPr>
      </w:pPr>
      <w:r>
        <w:rPr>
          <w:rStyle w:val="Odwoanieprzypisudolnego"/>
        </w:rPr>
        <w:footnoteRef/>
      </w:r>
      <w:r>
        <w:t xml:space="preserve"> </w:t>
      </w:r>
      <w:r w:rsidRPr="0084339D">
        <w:t>https://rdsm.gios.gov.pl/images/aktualizacja-programu-monitoringu-wod-morskich.pdf</w:t>
      </w:r>
    </w:p>
  </w:footnote>
  <w:footnote w:id="99">
    <w:p w14:paraId="51518712" w14:textId="3EA1A895" w:rsidR="007704D8" w:rsidRPr="004273D5" w:rsidRDefault="007704D8" w:rsidP="000362DA">
      <w:pPr>
        <w:pStyle w:val="Tekstprzypisudolnego"/>
        <w:jc w:val="both"/>
      </w:pPr>
      <w:r w:rsidRPr="004273D5">
        <w:rPr>
          <w:rStyle w:val="Odwoanieprzypisudolnego"/>
        </w:rPr>
        <w:footnoteRef/>
      </w:r>
      <w:r w:rsidRPr="004273D5">
        <w:t xml:space="preserve"> Monitoring jest realizowany zgodnie z rozporządzeniem Ministra Infrastruktury  z dnia 13 lipca  2021 r. </w:t>
      </w:r>
      <w:r>
        <w:br/>
      </w:r>
      <w:r w:rsidRPr="004273D5">
        <w:t>w sprawie form i sposobu prowadzenia monitoringu jednolitych części wód powierzchniowych i jednolitych części wód podziemnych (</w:t>
      </w:r>
      <w:r>
        <w:t>Dz. U.</w:t>
      </w:r>
      <w:r w:rsidRPr="004273D5">
        <w:t xml:space="preserve"> z 2021 r., poz. 1576).</w:t>
      </w:r>
    </w:p>
  </w:footnote>
  <w:footnote w:id="100">
    <w:p w14:paraId="3FB7AE9B" w14:textId="711BC5A0" w:rsidR="007704D8" w:rsidRDefault="007704D8" w:rsidP="0009242C">
      <w:pPr>
        <w:pStyle w:val="Tekstprzypisudolnego"/>
        <w:jc w:val="both"/>
      </w:pPr>
      <w:r w:rsidRPr="004273D5">
        <w:rPr>
          <w:rStyle w:val="Odwoanieprzypisudolnego"/>
        </w:rPr>
        <w:footnoteRef/>
      </w:r>
      <w:r w:rsidRPr="004273D5">
        <w:t xml:space="preserve"> Zgodnie z </w:t>
      </w:r>
      <w:r w:rsidR="00731896">
        <w:rPr>
          <w:lang w:val="pl-PL"/>
        </w:rPr>
        <w:t>r</w:t>
      </w:r>
      <w:r w:rsidRPr="004273D5">
        <w:t>ozporządzeniem Ministra Gospodarki Morskiej i Żeglugi Śródlądowej z dnia 11 października 2019 roku w sprawie kryteriów i sposobu oceny stanu jednolitych części wód podziemnych (Dz. U. z 2019 r., poz. 2148).</w:t>
      </w:r>
    </w:p>
  </w:footnote>
  <w:footnote w:id="101">
    <w:p w14:paraId="1F4418E2" w14:textId="0B6E95DC" w:rsidR="007704D8" w:rsidRPr="00146600" w:rsidRDefault="007704D8">
      <w:pPr>
        <w:pStyle w:val="Tekstprzypisudolnego"/>
        <w:rPr>
          <w:lang w:val="pl-PL"/>
        </w:rPr>
      </w:pPr>
      <w:r>
        <w:rPr>
          <w:rStyle w:val="Odwoanieprzypisudolnego"/>
        </w:rPr>
        <w:footnoteRef/>
      </w:r>
      <w:r>
        <w:t xml:space="preserve"> Dz. U.</w:t>
      </w:r>
      <w:r w:rsidRPr="007F7CD0">
        <w:t xml:space="preserve"> z 2016 r., poz. 1395</w:t>
      </w:r>
      <w:r>
        <w:rPr>
          <w:lang w:val="pl-PL"/>
        </w:rPr>
        <w:t>.</w:t>
      </w:r>
    </w:p>
  </w:footnote>
  <w:footnote w:id="102">
    <w:p w14:paraId="20831A1A" w14:textId="77777777" w:rsidR="007704D8" w:rsidRPr="004273D5" w:rsidRDefault="007704D8" w:rsidP="009540B5">
      <w:pPr>
        <w:pStyle w:val="Tekstprzypisudolnego"/>
        <w:jc w:val="both"/>
      </w:pPr>
      <w:r w:rsidRPr="004273D5">
        <w:rPr>
          <w:rStyle w:val="Odwoanieprzypisudolnego"/>
        </w:rPr>
        <w:footnoteRef/>
      </w:r>
      <w:r w:rsidRPr="004273D5">
        <w:t xml:space="preserve"> Został on zatwierdzony w październiku 2004 roku przez Komisję Europejską jako jeden z oficjalnych wskaźników strukturalnych przemian krajów członkowskich UE (</w:t>
      </w:r>
      <w:r w:rsidRPr="004273D5">
        <w:t xml:space="preserve">structural indicators). Indeks FBI 22 charakteryzuje liczebność ptaków określoną w stosunku do roku bazowego, którym w przypadku Polski jest rok 2000. Dla roku bazowego przyjmuje </w:t>
      </w:r>
      <w:r w:rsidRPr="004273D5">
        <w:rPr>
          <w:lang w:val="pl-PL"/>
        </w:rPr>
        <w:t xml:space="preserve">się </w:t>
      </w:r>
      <w:r w:rsidRPr="004273D5">
        <w:t>wartość 1. Przykładowa wartość wskaźnika wynosząca 0,70 oznacza, że w danym roku FBI jest o 30% niższy niż w roku bazowym. FBI 22 jest średnią geometryczną wskaźników gatunków składowych, do których zaliczane są: bocian biały, czajka, cierniówka, dzierlatka, dudek, dymówka, gawron, kląskawka, kulczyk, makolągwa, mazurek, ortolan, pliszka żółta, pokląskwa, potrzeszcz, pustułka, skowronek, szpak, świergotek łąkowy, trznadel, turkawka i rycyk. W przypadku Polski FBI nie obejmuje danych dla gawrona, gdyż jest to gatunek kolonijny, występujący skupiskowo. W trakcie prac terenowych MPPL rejestrowane są głównie ptaki z frakcji nielęgowej lub żerujące z daleka od kolonii. Takie dane nie są reprezentatywne dla jego sytuacji w Polsce, a dobre wyniki dla tego gatunku uzyskuje się metodyką cenzusową zastosowaną w Monitoringu Flagowych Gatunków Ptaków.</w:t>
      </w:r>
    </w:p>
  </w:footnote>
  <w:footnote w:id="103">
    <w:p w14:paraId="14BAA3C8" w14:textId="6501CC71" w:rsidR="007704D8" w:rsidRPr="004273D5" w:rsidRDefault="007704D8" w:rsidP="0009242C">
      <w:pPr>
        <w:pStyle w:val="Tekstprzypisudolnego"/>
        <w:jc w:val="both"/>
        <w:rPr>
          <w:lang w:val="pl-PL"/>
        </w:rPr>
      </w:pPr>
      <w:r w:rsidRPr="004273D5">
        <w:rPr>
          <w:rStyle w:val="Odwoanieprzypisudolnego"/>
        </w:rPr>
        <w:footnoteRef/>
      </w:r>
      <w:r w:rsidRPr="004273D5">
        <w:t xml:space="preserve"> Na podstawie art. 112 ustawy z dnia 16 kwietnia 2004 r. o ochronie przyrody (</w:t>
      </w:r>
      <w:r w:rsidRPr="004273D5">
        <w:rPr>
          <w:lang w:val="pl-PL"/>
        </w:rPr>
        <w:t xml:space="preserve">t.j. </w:t>
      </w:r>
      <w:r w:rsidRPr="004273D5">
        <w:t xml:space="preserve">Dz. U z </w:t>
      </w:r>
      <w:r w:rsidRPr="004273D5">
        <w:rPr>
          <w:lang w:val="pl-PL"/>
        </w:rPr>
        <w:t>202</w:t>
      </w:r>
      <w:r w:rsidR="00C9412D">
        <w:rPr>
          <w:lang w:val="pl-PL"/>
        </w:rPr>
        <w:t>2</w:t>
      </w:r>
      <w:r w:rsidRPr="004273D5">
        <w:t xml:space="preserve"> r. poz. </w:t>
      </w:r>
      <w:r w:rsidR="00C9412D">
        <w:rPr>
          <w:lang w:val="pl-PL"/>
        </w:rPr>
        <w:t>916</w:t>
      </w:r>
      <w:r w:rsidRPr="004273D5">
        <w:rPr>
          <w:lang w:val="pl-PL"/>
        </w:rPr>
        <w:t xml:space="preserve"> </w:t>
      </w:r>
      <w:r>
        <w:rPr>
          <w:lang w:val="pl-PL"/>
        </w:rPr>
        <w:br/>
      </w:r>
      <w:r w:rsidRPr="004273D5">
        <w:rPr>
          <w:lang w:val="pl-PL"/>
        </w:rPr>
        <w:t>z późn. zm.).</w:t>
      </w:r>
    </w:p>
  </w:footnote>
  <w:footnote w:id="104">
    <w:p w14:paraId="5729E874" w14:textId="77777777" w:rsidR="007704D8" w:rsidRPr="00640DEE" w:rsidRDefault="007704D8" w:rsidP="0009242C">
      <w:pPr>
        <w:pStyle w:val="Tekstprzypisudolnego"/>
        <w:jc w:val="both"/>
        <w:rPr>
          <w:sz w:val="18"/>
          <w:szCs w:val="18"/>
        </w:rPr>
      </w:pPr>
      <w:r w:rsidRPr="004273D5">
        <w:rPr>
          <w:rStyle w:val="Odwoanieprzypisudolnego"/>
        </w:rPr>
        <w:footnoteRef/>
      </w:r>
      <w:r w:rsidRPr="004273D5">
        <w:t xml:space="preserve"> Dyrektywa Rady 92/43/EWG z dnia 21 maja 1992 r. w sprawie ochrony siedlisk przyrodniczych oraz dzikiej fauny i flory (Dz. Urz. L 206 z 22.07.1992, str. 7).</w:t>
      </w:r>
    </w:p>
  </w:footnote>
  <w:footnote w:id="105">
    <w:p w14:paraId="7DC7857E" w14:textId="3E00029D" w:rsidR="007704D8" w:rsidRPr="00533F1E" w:rsidRDefault="007704D8" w:rsidP="0009242C">
      <w:pPr>
        <w:pStyle w:val="Tekstprzypisudolnego"/>
        <w:jc w:val="both"/>
        <w:rPr>
          <w:lang w:val="pl-PL"/>
        </w:rPr>
      </w:pPr>
      <w:r w:rsidRPr="004273D5">
        <w:rPr>
          <w:rStyle w:val="Odwoanieprzypisudolnego"/>
        </w:rPr>
        <w:footnoteRef/>
      </w:r>
      <w:r w:rsidRPr="004273D5">
        <w:rPr>
          <w:lang w:val="pl-PL"/>
        </w:rPr>
        <w:t>T</w:t>
      </w:r>
      <w:r w:rsidRPr="004273D5">
        <w:t>. Berezowska-Cnota, A</w:t>
      </w:r>
      <w:r w:rsidRPr="004273D5">
        <w:rPr>
          <w:lang w:val="pl-PL"/>
        </w:rPr>
        <w:t>.</w:t>
      </w:r>
      <w:r w:rsidRPr="004273D5">
        <w:t xml:space="preserve"> Olszańska, A</w:t>
      </w:r>
      <w:r w:rsidRPr="004273D5">
        <w:rPr>
          <w:lang w:val="pl-PL"/>
        </w:rPr>
        <w:t>.</w:t>
      </w:r>
      <w:r w:rsidRPr="004273D5">
        <w:t xml:space="preserve"> </w:t>
      </w:r>
      <w:r w:rsidRPr="004273D5">
        <w:t>Sergiel, N</w:t>
      </w:r>
      <w:r w:rsidRPr="004273D5">
        <w:rPr>
          <w:lang w:val="pl-PL"/>
        </w:rPr>
        <w:t>.</w:t>
      </w:r>
      <w:r w:rsidRPr="004273D5">
        <w:t xml:space="preserve"> Selva</w:t>
      </w:r>
      <w:r w:rsidRPr="004273D5">
        <w:rPr>
          <w:lang w:val="pl-PL"/>
        </w:rPr>
        <w:t>. (ze zm. GIOŚ) 2022. Raport z pilotażowego monitoringu niedźwiedzia brunatnego w Polsce.</w:t>
      </w:r>
      <w:r w:rsidRPr="004273D5">
        <w:t xml:space="preserve"> </w:t>
      </w:r>
      <w:r w:rsidRPr="004273D5">
        <w:rPr>
          <w:lang w:val="pl-PL"/>
        </w:rPr>
        <w:t xml:space="preserve">Monitoring gatunków zwierząt z uwzględnieniem specjalnych obszarów ochrony siedlisk Natura 2000, lata 2020-2022. Etap VII. Zadanie 8. </w:t>
      </w:r>
      <w:r w:rsidRPr="00533F1E">
        <w:rPr>
          <w:lang w:val="pl-PL"/>
        </w:rPr>
        <w:t>Pilotażowy monitoring niedźwiedzia.</w:t>
      </w:r>
      <w:r w:rsidRPr="004273D5">
        <w:t>https://siedliska.gios.gov.pl/images/pliki_pdf/wyniki/2020-2021/dla_zwierzat/Sprawozdanie_pilotazowy_monitoring_niedzwiedza_2021.pdf</w:t>
      </w:r>
    </w:p>
  </w:footnote>
  <w:footnote w:id="106">
    <w:p w14:paraId="6A593B37" w14:textId="77777777" w:rsidR="007704D8" w:rsidRPr="00B703BF" w:rsidRDefault="007704D8" w:rsidP="00325ACD">
      <w:pPr>
        <w:pStyle w:val="Tekstprzypisudolnego"/>
        <w:jc w:val="both"/>
      </w:pPr>
      <w:r w:rsidRPr="00B703BF">
        <w:rPr>
          <w:rStyle w:val="Odwoanieprzypisudolnego"/>
        </w:rPr>
        <w:footnoteRef/>
      </w:r>
      <w:r w:rsidRPr="00B703BF">
        <w:t xml:space="preserve"> Cieśla A., </w:t>
      </w:r>
      <w:r w:rsidRPr="00B703BF">
        <w:t>Mionskowski M., Műller I., Bielczyńska A., Gawryś R., Kolada A., Korzeniak J., Lipińska K., Ochocka A., Pasztaleniec A., Perzanowska J. 2022. Monitoring siedlisk przyrodniczych w roku 2021. Biuletyn Monitoringu Przyrody nr 27 (2022/3). Biblioteka Monitoringu Środowiska, Główny Inspektorat Ochrony Środowiska, Warszawa.</w:t>
      </w:r>
    </w:p>
  </w:footnote>
  <w:footnote w:id="107">
    <w:p w14:paraId="7EFBFDDC" w14:textId="77777777" w:rsidR="007704D8" w:rsidRPr="00063FE9" w:rsidRDefault="007704D8" w:rsidP="002A6E98">
      <w:pPr>
        <w:pStyle w:val="Tekstprzypisudolnego"/>
        <w:rPr>
          <w:lang w:val="pl-PL"/>
        </w:rPr>
      </w:pPr>
      <w:r w:rsidRPr="00063FE9">
        <w:rPr>
          <w:rStyle w:val="Odwoanieprzypisudolnego"/>
        </w:rPr>
        <w:footnoteRef/>
      </w:r>
      <w:r w:rsidRPr="00063FE9">
        <w:t xml:space="preserve"> Dz. U.</w:t>
      </w:r>
      <w:r w:rsidRPr="00063FE9">
        <w:rPr>
          <w:lang w:val="pl-PL"/>
        </w:rPr>
        <w:t xml:space="preserve"> WE L. 206/7 z dnia 22 lipca 1992 r. </w:t>
      </w:r>
    </w:p>
  </w:footnote>
  <w:footnote w:id="108">
    <w:p w14:paraId="4EFD12B5" w14:textId="77777777" w:rsidR="007704D8" w:rsidRPr="002B0CF1" w:rsidRDefault="007704D8" w:rsidP="00325ACD">
      <w:pPr>
        <w:pStyle w:val="Tekstprzypisudolnego"/>
        <w:jc w:val="both"/>
      </w:pPr>
      <w:r w:rsidRPr="002B0CF1">
        <w:rPr>
          <w:rStyle w:val="Odwoanieprzypisudolnego"/>
        </w:rPr>
        <w:footnoteRef/>
      </w:r>
      <w:r w:rsidRPr="002B0CF1">
        <w:t xml:space="preserve"> Konwencja w sprawie transgranicznego przemieszczania się zanieczyszczeń powietrza na dalekie odległości sporządzona w Genewie dnia 13 listopada 1979 r. (Dz. U. z 1985 r., Nr 60, poz. 311).</w:t>
      </w:r>
    </w:p>
  </w:footnote>
  <w:footnote w:id="109">
    <w:p w14:paraId="5DC37654" w14:textId="77777777" w:rsidR="007704D8" w:rsidRPr="00CD0C7B" w:rsidRDefault="007704D8" w:rsidP="00325ACD">
      <w:pPr>
        <w:pStyle w:val="Tekstprzypisudolnego"/>
        <w:jc w:val="both"/>
      </w:pPr>
      <w:r w:rsidRPr="002B0CF1">
        <w:rPr>
          <w:rStyle w:val="Odwoanieprzypisudolnego"/>
        </w:rPr>
        <w:footnoteRef/>
      </w:r>
      <w:r w:rsidRPr="002B0CF1">
        <w:t xml:space="preserve"> Konwencja o różnorodności biologicznej sporządzona w Rio de </w:t>
      </w:r>
      <w:r w:rsidRPr="002B0CF1">
        <w:t xml:space="preserve">Janeiro dnia 5 czerwca 1992 r. </w:t>
      </w:r>
      <w:r w:rsidRPr="002B0CF1">
        <w:br/>
        <w:t>(Dz. U. z 2002 r. Nr 184, poz. 1532).</w:t>
      </w:r>
    </w:p>
  </w:footnote>
  <w:footnote w:id="110">
    <w:p w14:paraId="2E9F66C8" w14:textId="77777777" w:rsidR="007704D8" w:rsidRPr="00475AA0" w:rsidRDefault="007704D8" w:rsidP="002A6E98">
      <w:pPr>
        <w:pStyle w:val="Tekstprzypisudolnego"/>
      </w:pPr>
      <w:r w:rsidRPr="00475AA0">
        <w:rPr>
          <w:rStyle w:val="Odwoanieprzypisudolnego"/>
        </w:rPr>
        <w:footnoteRef/>
      </w:r>
      <w:r w:rsidRPr="00475AA0">
        <w:t xml:space="preserve"> W przypadku 5 stacji wyniki pomiarów meteorologicznych pozyskano ze stacji DGLP.</w:t>
      </w:r>
    </w:p>
  </w:footnote>
  <w:footnote w:id="111">
    <w:p w14:paraId="536698C2" w14:textId="77777777" w:rsidR="007704D8" w:rsidRPr="005E77F3" w:rsidRDefault="007704D8" w:rsidP="00C52E65">
      <w:pPr>
        <w:pStyle w:val="Tekstprzypisudolnego"/>
        <w:jc w:val="both"/>
        <w:rPr>
          <w:lang w:val="pl-PL"/>
        </w:rPr>
      </w:pPr>
      <w:r w:rsidRPr="005E77F3">
        <w:rPr>
          <w:rStyle w:val="Odwoanieprzypisudolnego"/>
        </w:rPr>
        <w:footnoteRef/>
      </w:r>
      <w:r w:rsidRPr="005E77F3">
        <w:t xml:space="preserve"> </w:t>
      </w:r>
      <w:r>
        <w:rPr>
          <w:lang w:val="pl-PL"/>
        </w:rPr>
        <w:t xml:space="preserve">Rozporządzenie </w:t>
      </w:r>
      <w:r w:rsidRPr="005E77F3">
        <w:t>Ministra Klimatu i Środowiska z dnia 15 grudnia 2020 r. w sprawie zakresu i sposobu prowadzenia okresowych badań poziomów pól elektromagnetycznych w środowisku (Dz. U. 2020 poz. 2311).</w:t>
      </w:r>
    </w:p>
  </w:footnote>
  <w:footnote w:id="112">
    <w:p w14:paraId="448C1864" w14:textId="2A37BE0F" w:rsidR="007704D8" w:rsidRDefault="007704D8" w:rsidP="00622AE9">
      <w:pPr>
        <w:pStyle w:val="Tekstprzypisudolnego"/>
        <w:rPr>
          <w:rFonts w:eastAsia="AvenirLTCom-Book"/>
        </w:rPr>
      </w:pPr>
      <w:r w:rsidRPr="00280A04">
        <w:rPr>
          <w:rStyle w:val="Odwoanieprzypisudolnego"/>
        </w:rPr>
        <w:footnoteRef/>
      </w:r>
      <w:r w:rsidRPr="00280A04">
        <w:t xml:space="preserve"> </w:t>
      </w:r>
      <w:r w:rsidRPr="00280A04">
        <w:rPr>
          <w:rFonts w:eastAsia="AvenirLTCom-Book"/>
        </w:rPr>
        <w:t>Z art. 25b ustawy z dnia 20 lipca 1991 r. o Inspekcji Ochrony Środowiska (Dz. U. z 20</w:t>
      </w:r>
      <w:r w:rsidR="00C9412D">
        <w:rPr>
          <w:rFonts w:eastAsia="AvenirLTCom-Book"/>
          <w:lang w:val="pl-PL"/>
        </w:rPr>
        <w:t>2</w:t>
      </w:r>
      <w:r w:rsidRPr="00280A04">
        <w:rPr>
          <w:rFonts w:eastAsia="AvenirLTCom-Book"/>
        </w:rPr>
        <w:t xml:space="preserve">3 r. poz. </w:t>
      </w:r>
      <w:r w:rsidR="00C9412D">
        <w:rPr>
          <w:rFonts w:eastAsia="AvenirLTCom-Book"/>
          <w:lang w:val="pl-PL"/>
        </w:rPr>
        <w:t>824</w:t>
      </w:r>
      <w:r w:rsidRPr="00280A04">
        <w:rPr>
          <w:rFonts w:eastAsia="AvenirLTCom-Book"/>
        </w:rPr>
        <w:t>).</w:t>
      </w:r>
    </w:p>
    <w:p w14:paraId="37831267" w14:textId="77777777" w:rsidR="00C9412D" w:rsidRPr="00280A04" w:rsidRDefault="00C9412D" w:rsidP="00622AE9">
      <w:pPr>
        <w:pStyle w:val="Tekstprzypisudolnego"/>
      </w:pPr>
    </w:p>
  </w:footnote>
  <w:footnote w:id="113">
    <w:p w14:paraId="506C6156" w14:textId="77777777" w:rsidR="007704D8" w:rsidRPr="00382BE7" w:rsidRDefault="007704D8" w:rsidP="00864862">
      <w:pPr>
        <w:pStyle w:val="Tekstprzypisudolnego"/>
      </w:pPr>
      <w:r w:rsidRPr="00382BE7">
        <w:rPr>
          <w:rStyle w:val="Odwoanieprzypisudolnego"/>
        </w:rPr>
        <w:footnoteRef/>
      </w:r>
      <w:r w:rsidRPr="00382BE7">
        <w:t xml:space="preserve"> Ustawa z dnia 4 marca 2010 r. o infrastrukturze informacji przestrzennej (Dz. U. 2021 poz. 214).</w:t>
      </w:r>
    </w:p>
  </w:footnote>
  <w:footnote w:id="114">
    <w:p w14:paraId="1A1BBBA2" w14:textId="6EE243BE" w:rsidR="007704D8" w:rsidRPr="00C52E65" w:rsidRDefault="007704D8">
      <w:pPr>
        <w:pStyle w:val="Tekstprzypisudolnego"/>
      </w:pPr>
      <w:r>
        <w:rPr>
          <w:rStyle w:val="Odwoanieprzypisudolnego"/>
        </w:rPr>
        <w:footnoteRef/>
      </w:r>
      <w:r>
        <w:t xml:space="preserve"> </w:t>
      </w:r>
      <w:r w:rsidRPr="00C52E65">
        <w:t>Dz. U. 2021 poz. 1641</w:t>
      </w:r>
      <w:r w:rsidR="00C9412D">
        <w:rPr>
          <w:lang w:val="pl-PL"/>
        </w:rPr>
        <w:t xml:space="preserve"> z </w:t>
      </w:r>
      <w:r w:rsidR="00C9412D">
        <w:rPr>
          <w:lang w:val="pl-PL"/>
        </w:rPr>
        <w:t>późn.</w:t>
      </w:r>
      <w:r w:rsidR="006B7D0C">
        <w:rPr>
          <w:lang w:val="pl-PL"/>
        </w:rPr>
        <w:t xml:space="preserve"> </w:t>
      </w:r>
      <w:r w:rsidR="00C9412D">
        <w:rPr>
          <w:lang w:val="pl-PL"/>
        </w:rPr>
        <w:t>zm</w:t>
      </w:r>
      <w:r w:rsidRPr="00C52E65">
        <w:t>.</w:t>
      </w:r>
    </w:p>
  </w:footnote>
  <w:footnote w:id="115">
    <w:p w14:paraId="5F6A6E14" w14:textId="6916FE57" w:rsidR="007704D8" w:rsidRPr="00533F1E" w:rsidRDefault="007704D8">
      <w:pPr>
        <w:pStyle w:val="Tekstprzypisudolnego"/>
        <w:rPr>
          <w:color w:val="000000" w:themeColor="text1"/>
          <w:lang w:val="pl-PL"/>
        </w:rPr>
      </w:pPr>
      <w:r>
        <w:rPr>
          <w:rStyle w:val="Odwoanieprzypisudolnego"/>
        </w:rPr>
        <w:footnoteRef/>
      </w:r>
      <w:r>
        <w:t xml:space="preserve"> </w:t>
      </w:r>
      <w:r w:rsidR="006B7D0C">
        <w:rPr>
          <w:lang w:val="pl-PL"/>
        </w:rPr>
        <w:t xml:space="preserve">t.j. </w:t>
      </w:r>
      <w:r w:rsidRPr="00533F1E">
        <w:rPr>
          <w:color w:val="000000" w:themeColor="text1"/>
        </w:rPr>
        <w:t xml:space="preserve">Dz. U. </w:t>
      </w:r>
      <w:r w:rsidR="006B7D0C">
        <w:rPr>
          <w:color w:val="000000" w:themeColor="text1"/>
          <w:lang w:val="pl-PL"/>
        </w:rPr>
        <w:t xml:space="preserve">z </w:t>
      </w:r>
      <w:r w:rsidRPr="00533F1E">
        <w:rPr>
          <w:color w:val="000000" w:themeColor="text1"/>
        </w:rPr>
        <w:t>202</w:t>
      </w:r>
      <w:r w:rsidR="006B7D0C">
        <w:rPr>
          <w:color w:val="000000" w:themeColor="text1"/>
          <w:lang w:val="pl-PL"/>
        </w:rPr>
        <w:t xml:space="preserve">3 r. </w:t>
      </w:r>
      <w:r w:rsidRPr="00533F1E">
        <w:rPr>
          <w:color w:val="000000" w:themeColor="text1"/>
        </w:rPr>
        <w:t xml:space="preserve"> poz.</w:t>
      </w:r>
      <w:r w:rsidR="006B7D0C">
        <w:rPr>
          <w:color w:val="000000" w:themeColor="text1"/>
          <w:lang w:val="pl-PL"/>
        </w:rPr>
        <w:t>824</w:t>
      </w:r>
      <w:r>
        <w:rPr>
          <w:color w:val="000000" w:themeColor="text1"/>
          <w:lang w:val="pl-PL"/>
        </w:rPr>
        <w:t>.</w:t>
      </w:r>
    </w:p>
  </w:footnote>
  <w:footnote w:id="116">
    <w:p w14:paraId="581F66CF" w14:textId="7FF40F62" w:rsidR="007704D8" w:rsidRPr="000A0A30" w:rsidRDefault="007704D8" w:rsidP="00272B18">
      <w:pPr>
        <w:spacing w:after="0" w:line="240" w:lineRule="auto"/>
        <w:jc w:val="both"/>
        <w:rPr>
          <w:rFonts w:ascii="Times New Roman" w:hAnsi="Times New Roman" w:cs="Times New Roman"/>
          <w:color w:val="000000"/>
          <w:sz w:val="20"/>
          <w:szCs w:val="20"/>
        </w:rPr>
      </w:pPr>
      <w:r w:rsidRPr="00137037">
        <w:rPr>
          <w:rStyle w:val="Odwoanieprzypisudolnego"/>
          <w:color w:val="000000"/>
        </w:rPr>
        <w:footnoteRef/>
      </w:r>
      <w:r w:rsidRPr="00137037">
        <w:rPr>
          <w:rFonts w:ascii="Times New Roman" w:hAnsi="Times New Roman" w:cs="Times New Roman"/>
          <w:color w:val="000000"/>
          <w:sz w:val="20"/>
          <w:szCs w:val="20"/>
        </w:rPr>
        <w:t xml:space="preserve"> Ustawa z dnia 3 października 2008 r. o udostępnianiu informacji o środowisku i jego ochronie, udziale społeczeństwa w ochronie środowiska oraz o ocenach oddziaływania na środowisko (</w:t>
      </w:r>
      <w:r w:rsidRPr="00137037">
        <w:rPr>
          <w:rFonts w:ascii="Times New Roman" w:hAnsi="Times New Roman" w:cs="Times New Roman"/>
          <w:color w:val="000000"/>
          <w:sz w:val="20"/>
          <w:szCs w:val="20"/>
        </w:rPr>
        <w:t>t.j. Dz. U. z 202</w:t>
      </w:r>
      <w:r w:rsidR="0008448A">
        <w:rPr>
          <w:rFonts w:ascii="Times New Roman" w:hAnsi="Times New Roman" w:cs="Times New Roman"/>
          <w:color w:val="000000"/>
          <w:sz w:val="20"/>
          <w:szCs w:val="20"/>
        </w:rPr>
        <w:t>2</w:t>
      </w:r>
      <w:r w:rsidRPr="00137037">
        <w:rPr>
          <w:rFonts w:ascii="Times New Roman" w:hAnsi="Times New Roman" w:cs="Times New Roman"/>
          <w:color w:val="000000"/>
          <w:sz w:val="20"/>
          <w:szCs w:val="20"/>
        </w:rPr>
        <w:t xml:space="preserve"> r. poz.</w:t>
      </w:r>
      <w:r w:rsidR="0008448A">
        <w:rPr>
          <w:rFonts w:ascii="Times New Roman" w:hAnsi="Times New Roman" w:cs="Times New Roman"/>
          <w:color w:val="000000"/>
          <w:sz w:val="20"/>
          <w:szCs w:val="20"/>
        </w:rPr>
        <w:t xml:space="preserve"> 1029 z późn. zm.</w:t>
      </w:r>
      <w:r w:rsidRPr="00137037">
        <w:rPr>
          <w:rFonts w:ascii="Times New Roman" w:hAnsi="Times New Roman" w:cs="Times New Roman"/>
          <w:color w:val="000000"/>
          <w:sz w:val="20"/>
          <w:szCs w:val="20"/>
        </w:rPr>
        <w:t xml:space="preserve"> </w:t>
      </w:r>
      <w:r w:rsidRPr="00137037">
        <w:rPr>
          <w:rFonts w:ascii="Times New Roman" w:hAnsi="Times New Roman" w:cs="Times New Roman"/>
          <w:sz w:val="20"/>
          <w:szCs w:val="20"/>
        </w:rPr>
        <w:t xml:space="preserve"> </w:t>
      </w:r>
      <w:r w:rsidRPr="00137037">
        <w:rPr>
          <w:rFonts w:ascii="Times New Roman" w:hAnsi="Times New Roman" w:cs="Times New Roman"/>
          <w:color w:val="000000"/>
          <w:sz w:val="20"/>
          <w:szCs w:val="20"/>
        </w:rPr>
        <w:t>)</w:t>
      </w:r>
      <w:r w:rsidRPr="00137037">
        <w:rPr>
          <w:rStyle w:val="st1"/>
          <w:color w:val="000000"/>
          <w:sz w:val="20"/>
          <w:szCs w:val="20"/>
        </w:rPr>
        <w:t>.</w:t>
      </w:r>
      <w:r w:rsidRPr="000A0A30">
        <w:rPr>
          <w:rStyle w:val="st1"/>
          <w:color w:val="000000"/>
          <w:sz w:val="20"/>
          <w:szCs w:val="20"/>
        </w:rPr>
        <w:t xml:space="preserve"> </w:t>
      </w:r>
    </w:p>
  </w:footnote>
  <w:footnote w:id="117">
    <w:p w14:paraId="57275CFC" w14:textId="59BED6D6" w:rsidR="007704D8" w:rsidRPr="000A0A30" w:rsidRDefault="007704D8" w:rsidP="0098413C">
      <w:pPr>
        <w:pStyle w:val="Tekstprzypisudolnego"/>
        <w:jc w:val="both"/>
        <w:rPr>
          <w:color w:val="000000"/>
        </w:rPr>
      </w:pPr>
      <w:r w:rsidRPr="000A0A30">
        <w:rPr>
          <w:rStyle w:val="Odwoanieprzypisudolnego"/>
          <w:color w:val="000000"/>
        </w:rPr>
        <w:footnoteRef/>
      </w:r>
      <w:r w:rsidRPr="000A0A30">
        <w:rPr>
          <w:color w:val="000000"/>
        </w:rPr>
        <w:t xml:space="preserve"> Nie uwzględniono wniosków przedstawicieli mediów. </w:t>
      </w:r>
    </w:p>
  </w:footnote>
  <w:footnote w:id="118">
    <w:p w14:paraId="6D7E8F68" w14:textId="63038CF8" w:rsidR="007704D8" w:rsidRPr="009064E1" w:rsidRDefault="007704D8">
      <w:pPr>
        <w:pStyle w:val="Tekstprzypisudolnego"/>
        <w:rPr>
          <w:lang w:val="pl-PL"/>
        </w:rPr>
      </w:pPr>
      <w:r>
        <w:rPr>
          <w:rStyle w:val="Odwoanieprzypisudolnego"/>
        </w:rPr>
        <w:footnoteRef/>
      </w:r>
      <w:r>
        <w:t xml:space="preserve"> </w:t>
      </w:r>
      <w:r w:rsidRPr="00E40FFC">
        <w:t>Dz. U. z 2020 r. poz. 2221</w:t>
      </w:r>
      <w:r>
        <w:rPr>
          <w:lang w:val="pl-PL"/>
        </w:rPr>
        <w:t>.</w:t>
      </w:r>
    </w:p>
  </w:footnote>
  <w:footnote w:id="119">
    <w:p w14:paraId="086CA595" w14:textId="11D94E41" w:rsidR="007704D8" w:rsidRPr="00CC04D4" w:rsidRDefault="007704D8">
      <w:pPr>
        <w:pStyle w:val="Tekstprzypisudolnego"/>
      </w:pPr>
      <w:r>
        <w:rPr>
          <w:rStyle w:val="Odwoanieprzypisudolnego"/>
        </w:rPr>
        <w:footnoteRef/>
      </w:r>
      <w:r>
        <w:t xml:space="preserve"> Dz. U.</w:t>
      </w:r>
      <w:r w:rsidRPr="00CC04D4">
        <w:t xml:space="preserve"> </w:t>
      </w:r>
      <w:r w:rsidR="00BA2E7F">
        <w:rPr>
          <w:lang w:val="pl-PL"/>
        </w:rPr>
        <w:t xml:space="preserve">z </w:t>
      </w:r>
      <w:r w:rsidRPr="00CC04D4">
        <w:t>202</w:t>
      </w:r>
      <w:r w:rsidR="00BA2E7F">
        <w:rPr>
          <w:lang w:val="pl-PL"/>
        </w:rPr>
        <w:t>2</w:t>
      </w:r>
      <w:r w:rsidRPr="00CC04D4">
        <w:t xml:space="preserve"> </w:t>
      </w:r>
      <w:r w:rsidR="00BA2E7F">
        <w:rPr>
          <w:lang w:val="pl-PL"/>
        </w:rPr>
        <w:t xml:space="preserve">r. </w:t>
      </w:r>
      <w:r w:rsidRPr="00CC04D4">
        <w:t xml:space="preserve">poz. </w:t>
      </w:r>
      <w:r w:rsidR="00BA2E7F">
        <w:rPr>
          <w:lang w:val="pl-PL"/>
        </w:rPr>
        <w:t xml:space="preserve">2556 </w:t>
      </w:r>
      <w:r w:rsidRPr="00CC04D4">
        <w:t xml:space="preserve">z </w:t>
      </w:r>
      <w:r w:rsidRPr="00CC04D4">
        <w:t>późn. zm.</w:t>
      </w:r>
    </w:p>
  </w:footnote>
  <w:footnote w:id="120">
    <w:p w14:paraId="69CDF732" w14:textId="77777777" w:rsidR="007704D8" w:rsidRPr="0044433B" w:rsidRDefault="007704D8" w:rsidP="00387BBB">
      <w:pPr>
        <w:pStyle w:val="Tekstprzypisudolnego"/>
      </w:pPr>
      <w:r>
        <w:rPr>
          <w:rStyle w:val="Odwoanieprzypisudolnego"/>
        </w:rPr>
        <w:footnoteRef/>
      </w:r>
      <w:r>
        <w:t xml:space="preserve"> </w:t>
      </w:r>
      <w:r w:rsidRPr="0044433B">
        <w:t>Dz.Urz. L 190 z 12.7.2006, z późn. zm.</w:t>
      </w:r>
    </w:p>
  </w:footnote>
  <w:footnote w:id="121">
    <w:p w14:paraId="3E445808" w14:textId="6A0A57BF" w:rsidR="007704D8" w:rsidRPr="000A587E" w:rsidRDefault="007704D8">
      <w:pPr>
        <w:pStyle w:val="Tekstprzypisudolnego"/>
        <w:rPr>
          <w:lang w:val="pl-PL"/>
        </w:rPr>
      </w:pPr>
      <w:r>
        <w:rPr>
          <w:rStyle w:val="Odwoanieprzypisudolnego"/>
        </w:rPr>
        <w:footnoteRef/>
      </w:r>
      <w:r>
        <w:t xml:space="preserve"> Dz. U.</w:t>
      </w:r>
      <w:r w:rsidRPr="00F42841">
        <w:t xml:space="preserve"> L 190 z 12.7.2006, z </w:t>
      </w:r>
      <w:r w:rsidRPr="00F42841">
        <w:t>późn. zm.</w:t>
      </w:r>
    </w:p>
  </w:footnote>
  <w:footnote w:id="122">
    <w:p w14:paraId="5A795ED1" w14:textId="12ACA196" w:rsidR="007704D8" w:rsidRPr="00F57294" w:rsidRDefault="007704D8">
      <w:pPr>
        <w:pStyle w:val="Tekstprzypisudolnego"/>
        <w:rPr>
          <w:lang w:val="pl-PL"/>
        </w:rPr>
      </w:pPr>
      <w:r>
        <w:rPr>
          <w:rStyle w:val="Odwoanieprzypisudolnego"/>
        </w:rPr>
        <w:footnoteRef/>
      </w:r>
      <w:r>
        <w:t xml:space="preserve"> </w:t>
      </w:r>
      <w:r>
        <w:rPr>
          <w:lang w:val="pl-PL"/>
        </w:rPr>
        <w:t>Dz. U. poz. 8</w:t>
      </w:r>
      <w:r w:rsidR="00F55542">
        <w:rPr>
          <w:lang w:val="pl-PL"/>
        </w:rPr>
        <w:t>9</w:t>
      </w:r>
      <w:r>
        <w:rPr>
          <w:lang w:val="pl-PL"/>
        </w:rPr>
        <w:t>7.</w:t>
      </w:r>
    </w:p>
  </w:footnote>
  <w:footnote w:id="123">
    <w:p w14:paraId="7C27B1B5" w14:textId="76F28A7B" w:rsidR="007704D8" w:rsidRPr="00F57294" w:rsidRDefault="007704D8">
      <w:pPr>
        <w:pStyle w:val="Tekstprzypisudolnego"/>
        <w:rPr>
          <w:lang w:val="pl-PL"/>
        </w:rPr>
      </w:pPr>
      <w:r>
        <w:rPr>
          <w:rStyle w:val="Odwoanieprzypisudolnego"/>
        </w:rPr>
        <w:footnoteRef/>
      </w:r>
      <w:r>
        <w:t xml:space="preserve"> </w:t>
      </w:r>
      <w:r>
        <w:rPr>
          <w:lang w:val="pl-PL"/>
        </w:rPr>
        <w:t>Dz. U. poz. 676.</w:t>
      </w:r>
    </w:p>
  </w:footnote>
  <w:footnote w:id="124">
    <w:p w14:paraId="440D68B5" w14:textId="6B93D288" w:rsidR="007704D8" w:rsidRPr="003877CA" w:rsidRDefault="007704D8">
      <w:pPr>
        <w:pStyle w:val="Tekstprzypisudolnego"/>
        <w:rPr>
          <w:lang w:val="pl-PL"/>
        </w:rPr>
      </w:pPr>
      <w:r>
        <w:rPr>
          <w:rStyle w:val="Odwoanieprzypisudolnego"/>
        </w:rPr>
        <w:footnoteRef/>
      </w:r>
      <w:r>
        <w:t xml:space="preserve"> </w:t>
      </w:r>
      <w:r>
        <w:rPr>
          <w:rFonts w:eastAsia="Arial"/>
        </w:rPr>
        <w:t>Dz. U.</w:t>
      </w:r>
      <w:r w:rsidRPr="003877CA">
        <w:rPr>
          <w:rFonts w:eastAsia="Arial"/>
        </w:rPr>
        <w:t xml:space="preserve"> poz. 1726</w:t>
      </w:r>
      <w:r>
        <w:rPr>
          <w:rFonts w:eastAsia="Arial"/>
          <w:lang w:val="pl-PL"/>
        </w:rPr>
        <w:t>.</w:t>
      </w:r>
    </w:p>
  </w:footnote>
  <w:footnote w:id="125">
    <w:p w14:paraId="1751D2F7" w14:textId="319373B1" w:rsidR="007704D8" w:rsidRPr="003877CA" w:rsidRDefault="007704D8">
      <w:pPr>
        <w:pStyle w:val="Tekstprzypisudolnego"/>
        <w:rPr>
          <w:lang w:val="pl-PL"/>
        </w:rPr>
      </w:pPr>
      <w:r>
        <w:rPr>
          <w:rStyle w:val="Odwoanieprzypisudolnego"/>
        </w:rPr>
        <w:footnoteRef/>
      </w:r>
      <w:r>
        <w:t xml:space="preserve"> </w:t>
      </w:r>
      <w:r>
        <w:rPr>
          <w:rFonts w:eastAsia="Arial"/>
          <w:bCs/>
        </w:rPr>
        <w:t>Dz. U.</w:t>
      </w:r>
      <w:r w:rsidRPr="003877CA">
        <w:rPr>
          <w:rFonts w:eastAsia="Arial"/>
          <w:bCs/>
        </w:rPr>
        <w:t xml:space="preserve"> poz. 455</w:t>
      </w:r>
      <w:r>
        <w:rPr>
          <w:rFonts w:eastAsia="Arial"/>
          <w:bCs/>
          <w:lang w:val="pl-PL"/>
        </w:rPr>
        <w:t>.</w:t>
      </w:r>
    </w:p>
  </w:footnote>
  <w:footnote w:id="126">
    <w:p w14:paraId="33A789FD" w14:textId="6751F5FB" w:rsidR="007704D8" w:rsidRPr="003877CA" w:rsidRDefault="007704D8">
      <w:pPr>
        <w:pStyle w:val="Tekstprzypisudolnego"/>
        <w:rPr>
          <w:lang w:val="pl-PL"/>
        </w:rPr>
      </w:pPr>
      <w:r>
        <w:rPr>
          <w:rStyle w:val="Odwoanieprzypisudolnego"/>
        </w:rPr>
        <w:footnoteRef/>
      </w:r>
      <w:r>
        <w:t xml:space="preserve"> </w:t>
      </w:r>
      <w:r>
        <w:rPr>
          <w:rFonts w:eastAsia="Arial"/>
        </w:rPr>
        <w:t>Dz. U.</w:t>
      </w:r>
      <w:r w:rsidRPr="003877CA">
        <w:rPr>
          <w:rFonts w:eastAsia="Arial"/>
        </w:rPr>
        <w:t xml:space="preserve"> poz. 614</w:t>
      </w:r>
      <w:r w:rsidRPr="003877CA">
        <w:rPr>
          <w:rFonts w:eastAsia="Arial"/>
          <w:lang w:val="pl-PL"/>
        </w:rPr>
        <w:t>.</w:t>
      </w:r>
    </w:p>
  </w:footnote>
  <w:footnote w:id="127">
    <w:p w14:paraId="3879780B" w14:textId="6780AD38" w:rsidR="007704D8" w:rsidRPr="003877CA" w:rsidRDefault="007704D8">
      <w:pPr>
        <w:pStyle w:val="Tekstprzypisudolnego"/>
        <w:rPr>
          <w:lang w:val="pl-PL"/>
        </w:rPr>
      </w:pPr>
      <w:r>
        <w:rPr>
          <w:rStyle w:val="Odwoanieprzypisudolnego"/>
        </w:rPr>
        <w:footnoteRef/>
      </w:r>
      <w:r>
        <w:t xml:space="preserve"> </w:t>
      </w:r>
      <w:r>
        <w:rPr>
          <w:rFonts w:eastAsia="Arial"/>
          <w:bCs/>
        </w:rPr>
        <w:t>Dz. U.</w:t>
      </w:r>
      <w:r w:rsidRPr="003877CA">
        <w:rPr>
          <w:rFonts w:eastAsia="Arial"/>
          <w:bCs/>
        </w:rPr>
        <w:t xml:space="preserve"> poz. 606</w:t>
      </w:r>
      <w:r w:rsidRPr="003877CA">
        <w:rPr>
          <w:rFonts w:eastAsia="Arial"/>
          <w:bCs/>
          <w:lang w:val="pl-PL"/>
        </w:rPr>
        <w:t>.</w:t>
      </w:r>
    </w:p>
  </w:footnote>
  <w:footnote w:id="128">
    <w:p w14:paraId="1D6260B2" w14:textId="7027B316" w:rsidR="007704D8" w:rsidRPr="00820822" w:rsidRDefault="007704D8">
      <w:pPr>
        <w:pStyle w:val="Tekstprzypisudolnego"/>
        <w:rPr>
          <w:lang w:val="pl-PL"/>
        </w:rPr>
      </w:pPr>
      <w:r>
        <w:rPr>
          <w:rStyle w:val="Odwoanieprzypisudolnego"/>
        </w:rPr>
        <w:footnoteRef/>
      </w:r>
      <w:r>
        <w:t xml:space="preserve"> </w:t>
      </w:r>
      <w:r>
        <w:rPr>
          <w:rFonts w:eastAsia="Arial"/>
        </w:rPr>
        <w:t>Dz. U.</w:t>
      </w:r>
      <w:r w:rsidRPr="00820822">
        <w:rPr>
          <w:rFonts w:eastAsia="Arial"/>
        </w:rPr>
        <w:t xml:space="preserve"> poz. 676</w:t>
      </w:r>
      <w:r w:rsidRPr="00820822">
        <w:rPr>
          <w:rFonts w:eastAsia="Arial"/>
          <w:lang w:val="pl-PL"/>
        </w:rPr>
        <w:t>.</w:t>
      </w:r>
    </w:p>
  </w:footnote>
  <w:footnote w:id="129">
    <w:p w14:paraId="6F614A7C" w14:textId="474CAEE4" w:rsidR="007704D8" w:rsidRPr="00820822" w:rsidRDefault="007704D8">
      <w:pPr>
        <w:pStyle w:val="Tekstprzypisudolnego"/>
        <w:rPr>
          <w:lang w:val="pl-PL"/>
        </w:rPr>
      </w:pPr>
      <w:r>
        <w:rPr>
          <w:rStyle w:val="Odwoanieprzypisudolnego"/>
        </w:rPr>
        <w:footnoteRef/>
      </w:r>
      <w:r>
        <w:t xml:space="preserve"> </w:t>
      </w:r>
      <w:r>
        <w:rPr>
          <w:rFonts w:eastAsia="Arial"/>
        </w:rPr>
        <w:t>Dz. U.</w:t>
      </w:r>
      <w:r w:rsidRPr="00820822">
        <w:rPr>
          <w:rFonts w:eastAsia="Arial"/>
        </w:rPr>
        <w:t xml:space="preserve"> poz. 897</w:t>
      </w:r>
      <w:r w:rsidRPr="00820822">
        <w:rPr>
          <w:rFonts w:eastAsia="Arial"/>
          <w:lang w:val="pl-PL"/>
        </w:rPr>
        <w:t>.</w:t>
      </w:r>
    </w:p>
  </w:footnote>
  <w:footnote w:id="130">
    <w:p w14:paraId="6284A8D1" w14:textId="626BC209" w:rsidR="007704D8" w:rsidRPr="00820822" w:rsidRDefault="007704D8">
      <w:pPr>
        <w:pStyle w:val="Tekstprzypisudolnego"/>
        <w:rPr>
          <w:lang w:val="pl-PL"/>
        </w:rPr>
      </w:pPr>
      <w:r>
        <w:rPr>
          <w:rStyle w:val="Odwoanieprzypisudolnego"/>
        </w:rPr>
        <w:footnoteRef/>
      </w:r>
      <w:r>
        <w:t xml:space="preserve"> </w:t>
      </w:r>
      <w:r>
        <w:rPr>
          <w:rFonts w:eastAsia="Arial"/>
        </w:rPr>
        <w:t>Dz. U.</w:t>
      </w:r>
      <w:r w:rsidRPr="00820822">
        <w:rPr>
          <w:rFonts w:eastAsia="Arial"/>
        </w:rPr>
        <w:t xml:space="preserve"> poz. 1267</w:t>
      </w:r>
      <w:r w:rsidRPr="00820822">
        <w:rPr>
          <w:rFonts w:eastAsia="Arial"/>
          <w:lang w:val="pl-PL"/>
        </w:rPr>
        <w:t>.</w:t>
      </w:r>
    </w:p>
  </w:footnote>
  <w:footnote w:id="131">
    <w:p w14:paraId="1EF74230" w14:textId="2318BDDD" w:rsidR="007704D8" w:rsidRPr="00820822" w:rsidRDefault="007704D8">
      <w:pPr>
        <w:pStyle w:val="Tekstprzypisudolnego"/>
        <w:rPr>
          <w:lang w:val="pl-PL"/>
        </w:rPr>
      </w:pPr>
      <w:r>
        <w:rPr>
          <w:rStyle w:val="Odwoanieprzypisudolnego"/>
        </w:rPr>
        <w:footnoteRef/>
      </w:r>
      <w:r>
        <w:t xml:space="preserve"> </w:t>
      </w:r>
      <w:r>
        <w:rPr>
          <w:rFonts w:eastAsia="Arial"/>
        </w:rPr>
        <w:t>Dz. U.</w:t>
      </w:r>
      <w:r w:rsidRPr="00820822">
        <w:rPr>
          <w:rFonts w:eastAsia="Arial"/>
        </w:rPr>
        <w:t xml:space="preserve"> poz. 1706</w:t>
      </w:r>
      <w:r w:rsidRPr="00820822">
        <w:rPr>
          <w:rFonts w:eastAsia="Arial"/>
          <w:lang w:val="pl-PL"/>
        </w:rPr>
        <w:t>.</w:t>
      </w:r>
    </w:p>
  </w:footnote>
  <w:footnote w:id="132">
    <w:p w14:paraId="1E4204D3" w14:textId="20AA0FE6" w:rsidR="007704D8" w:rsidRPr="00820822" w:rsidRDefault="007704D8">
      <w:pPr>
        <w:pStyle w:val="Tekstprzypisudolnego"/>
        <w:rPr>
          <w:lang w:val="pl-PL"/>
        </w:rPr>
      </w:pPr>
      <w:r>
        <w:rPr>
          <w:rStyle w:val="Odwoanieprzypisudolnego"/>
        </w:rPr>
        <w:footnoteRef/>
      </w:r>
      <w:r>
        <w:t xml:space="preserve"> Dz. U.</w:t>
      </w:r>
      <w:r w:rsidRPr="00820822">
        <w:t xml:space="preserve"> poz. 1867</w:t>
      </w:r>
      <w:r w:rsidRPr="00820822">
        <w:rPr>
          <w:lang w:val="pl-PL"/>
        </w:rPr>
        <w:t>.</w:t>
      </w:r>
    </w:p>
  </w:footnote>
  <w:footnote w:id="133">
    <w:p w14:paraId="2A651350" w14:textId="5EC10F5D" w:rsidR="007704D8" w:rsidRPr="00820822" w:rsidRDefault="007704D8">
      <w:pPr>
        <w:pStyle w:val="Tekstprzypisudolnego"/>
        <w:rPr>
          <w:lang w:val="pl-PL"/>
        </w:rPr>
      </w:pPr>
      <w:r>
        <w:rPr>
          <w:rStyle w:val="Odwoanieprzypisudolnego"/>
        </w:rPr>
        <w:footnoteRef/>
      </w:r>
      <w:r>
        <w:t xml:space="preserve"> </w:t>
      </w:r>
      <w:r>
        <w:rPr>
          <w:rFonts w:eastAsia="Arial"/>
        </w:rPr>
        <w:t>Dz. U.</w:t>
      </w:r>
      <w:r w:rsidRPr="00820822">
        <w:rPr>
          <w:rFonts w:eastAsia="Arial"/>
        </w:rPr>
        <w:t xml:space="preserve"> poz. 1837</w:t>
      </w:r>
      <w:r w:rsidRPr="00820822">
        <w:rPr>
          <w:rFonts w:eastAsia="Arial"/>
          <w:lang w:val="pl-PL"/>
        </w:rPr>
        <w:t>.</w:t>
      </w:r>
    </w:p>
  </w:footnote>
  <w:footnote w:id="134">
    <w:p w14:paraId="0021432E" w14:textId="6C16FAA1" w:rsidR="007704D8" w:rsidRPr="001A0E14" w:rsidRDefault="007704D8">
      <w:pPr>
        <w:pStyle w:val="Tekstprzypisudolnego"/>
        <w:rPr>
          <w:lang w:val="pl-PL"/>
        </w:rPr>
      </w:pPr>
      <w:r>
        <w:rPr>
          <w:rStyle w:val="Odwoanieprzypisudolnego"/>
        </w:rPr>
        <w:footnoteRef/>
      </w:r>
      <w:r>
        <w:t xml:space="preserve"> </w:t>
      </w:r>
      <w:r w:rsidRPr="001A0E14">
        <w:rPr>
          <w:rFonts w:eastAsia="Arial"/>
        </w:rPr>
        <w:t>M.P. poz. 969</w:t>
      </w:r>
      <w:r w:rsidRPr="001A0E14">
        <w:rPr>
          <w:rFonts w:eastAsia="Arial"/>
          <w:lang w:val="pl-PL"/>
        </w:rPr>
        <w:t>.</w:t>
      </w:r>
    </w:p>
  </w:footnote>
  <w:footnote w:id="135">
    <w:p w14:paraId="640D188D" w14:textId="0C26FA42" w:rsidR="007704D8" w:rsidRPr="001A0E14" w:rsidRDefault="007704D8">
      <w:pPr>
        <w:pStyle w:val="Tekstprzypisudolnego"/>
        <w:rPr>
          <w:lang w:val="pl-PL"/>
        </w:rPr>
      </w:pPr>
      <w:r>
        <w:rPr>
          <w:rStyle w:val="Odwoanieprzypisudolnego"/>
        </w:rPr>
        <w:footnoteRef/>
      </w:r>
      <w:r>
        <w:t xml:space="preserve"> </w:t>
      </w:r>
      <w:r>
        <w:rPr>
          <w:rFonts w:eastAsia="Arial"/>
        </w:rPr>
        <w:t>Dz. U.</w:t>
      </w:r>
      <w:r w:rsidRPr="001A0E14">
        <w:rPr>
          <w:rFonts w:eastAsia="Arial"/>
        </w:rPr>
        <w:t xml:space="preserve"> poz. 2131</w:t>
      </w:r>
      <w:r w:rsidRPr="001A0E14">
        <w:rPr>
          <w:rFonts w:eastAsia="Arial"/>
          <w:lang w:val="pl-PL"/>
        </w:rPr>
        <w:t>.</w:t>
      </w:r>
    </w:p>
  </w:footnote>
  <w:footnote w:id="136">
    <w:p w14:paraId="359B3FCC" w14:textId="241476E0" w:rsidR="007704D8" w:rsidRPr="001A0E14" w:rsidRDefault="007704D8">
      <w:pPr>
        <w:pStyle w:val="Tekstprzypisudolnego"/>
      </w:pPr>
      <w:r>
        <w:rPr>
          <w:rStyle w:val="Odwoanieprzypisudolnego"/>
        </w:rPr>
        <w:footnoteRef/>
      </w:r>
      <w:r>
        <w:rPr>
          <w:rFonts w:eastAsia="Arial"/>
          <w:sz w:val="24"/>
          <w:szCs w:val="24"/>
          <w:lang w:val="pl-PL"/>
        </w:rPr>
        <w:t xml:space="preserve"> </w:t>
      </w:r>
      <w:r>
        <w:rPr>
          <w:rFonts w:eastAsia="Arial"/>
        </w:rPr>
        <w:t>Dz. U.</w:t>
      </w:r>
      <w:r w:rsidRPr="001A0E14">
        <w:rPr>
          <w:rFonts w:eastAsia="Arial"/>
        </w:rPr>
        <w:t xml:space="preserve"> poz. 2499</w:t>
      </w:r>
      <w:r w:rsidRPr="001A0E14">
        <w:rPr>
          <w:rFonts w:eastAsia="Arial"/>
          <w:lang w:val="pl-PL"/>
        </w:rPr>
        <w:t>.</w:t>
      </w:r>
      <w:r w:rsidRPr="001A0E14">
        <w:t xml:space="preserve"> </w:t>
      </w:r>
    </w:p>
  </w:footnote>
  <w:footnote w:id="137">
    <w:p w14:paraId="6B28C9CC" w14:textId="546D9DE8" w:rsidR="007704D8" w:rsidRPr="001A0E14" w:rsidRDefault="007704D8">
      <w:pPr>
        <w:pStyle w:val="Tekstprzypisudolnego"/>
        <w:rPr>
          <w:lang w:val="pl-PL"/>
        </w:rPr>
      </w:pPr>
      <w:r>
        <w:rPr>
          <w:rStyle w:val="Odwoanieprzypisudolnego"/>
        </w:rPr>
        <w:footnoteRef/>
      </w:r>
      <w:r>
        <w:t xml:space="preserve"> </w:t>
      </w:r>
      <w:r>
        <w:rPr>
          <w:rFonts w:eastAsia="Arial"/>
        </w:rPr>
        <w:t>Dz. U.</w:t>
      </w:r>
      <w:r w:rsidRPr="001A0E14">
        <w:rPr>
          <w:rFonts w:eastAsia="Arial"/>
        </w:rPr>
        <w:t xml:space="preserve"> poz. 2430</w:t>
      </w:r>
      <w:r w:rsidRPr="001A0E14">
        <w:rPr>
          <w:rFonts w:eastAsia="Arial"/>
          <w:lang w:val="pl-PL"/>
        </w:rPr>
        <w:t>.</w:t>
      </w:r>
    </w:p>
  </w:footnote>
  <w:footnote w:id="138">
    <w:p w14:paraId="49695A29" w14:textId="6843B0FD" w:rsidR="007704D8" w:rsidRPr="001A0E14" w:rsidRDefault="007704D8">
      <w:pPr>
        <w:pStyle w:val="Tekstprzypisudolnego"/>
        <w:rPr>
          <w:lang w:val="pl-PL"/>
        </w:rPr>
      </w:pPr>
      <w:r>
        <w:rPr>
          <w:rStyle w:val="Odwoanieprzypisudolnego"/>
        </w:rPr>
        <w:footnoteRef/>
      </w:r>
      <w:r>
        <w:t xml:space="preserve"> </w:t>
      </w:r>
      <w:r>
        <w:rPr>
          <w:rFonts w:eastAsia="Arial"/>
        </w:rPr>
        <w:t>Dz. U.</w:t>
      </w:r>
      <w:r w:rsidRPr="001A0E14">
        <w:rPr>
          <w:rFonts w:eastAsia="Arial"/>
        </w:rPr>
        <w:t xml:space="preserve"> poz. 2428</w:t>
      </w:r>
      <w:r w:rsidRPr="001A0E14">
        <w:rPr>
          <w:rFonts w:eastAsia="Arial"/>
          <w:lang w:val="pl-PL"/>
        </w:rPr>
        <w:t>.</w:t>
      </w:r>
    </w:p>
  </w:footnote>
  <w:footnote w:id="139">
    <w:p w14:paraId="5739437D" w14:textId="30E5C1C5" w:rsidR="007704D8" w:rsidRPr="001A0E14" w:rsidRDefault="007704D8">
      <w:pPr>
        <w:pStyle w:val="Tekstprzypisudolnego"/>
        <w:rPr>
          <w:lang w:val="pl-PL"/>
        </w:rPr>
      </w:pPr>
      <w:r>
        <w:rPr>
          <w:rStyle w:val="Odwoanieprzypisudolnego"/>
        </w:rPr>
        <w:footnoteRef/>
      </w:r>
      <w:r>
        <w:t xml:space="preserve"> </w:t>
      </w:r>
      <w:r>
        <w:rPr>
          <w:rFonts w:eastAsia="Arial"/>
        </w:rPr>
        <w:t>Dz. U.</w:t>
      </w:r>
      <w:r w:rsidRPr="001A0E14">
        <w:rPr>
          <w:rFonts w:eastAsia="Arial"/>
        </w:rPr>
        <w:t xml:space="preserve"> poz. 2786</w:t>
      </w:r>
      <w:r w:rsidRPr="001A0E14">
        <w:rPr>
          <w:rFonts w:eastAsia="Arial"/>
          <w:lang w:val="pl-PL"/>
        </w:rPr>
        <w:t>.</w:t>
      </w:r>
    </w:p>
  </w:footnote>
  <w:footnote w:id="140">
    <w:p w14:paraId="189B005C" w14:textId="48CDE571" w:rsidR="007704D8" w:rsidRPr="00DC5E5D" w:rsidRDefault="007704D8">
      <w:pPr>
        <w:pStyle w:val="Tekstprzypisudolnego"/>
        <w:rPr>
          <w:lang w:val="pl-PL"/>
        </w:rPr>
      </w:pPr>
      <w:r>
        <w:rPr>
          <w:rStyle w:val="Odwoanieprzypisudolnego"/>
        </w:rPr>
        <w:footnoteRef/>
      </w:r>
      <w:r>
        <w:t xml:space="preserve"> </w:t>
      </w:r>
      <w:r w:rsidRPr="00DC5E5D">
        <w:rPr>
          <w:rFonts w:eastAsia="Arial"/>
        </w:rPr>
        <w:t>Dz. U. poz. 2795</w:t>
      </w:r>
      <w:r w:rsidRPr="00DC5E5D">
        <w:rPr>
          <w:rFonts w:eastAsia="Arial"/>
          <w:lang w:val="pl-PL"/>
        </w:rPr>
        <w:t>.</w:t>
      </w:r>
    </w:p>
  </w:footnote>
  <w:footnote w:id="141">
    <w:p w14:paraId="71931AB2" w14:textId="52DB6BCF" w:rsidR="007704D8" w:rsidRPr="00E11AAB" w:rsidRDefault="007704D8">
      <w:pPr>
        <w:pStyle w:val="Tekstprzypisudolnego"/>
        <w:rPr>
          <w:lang w:val="pl-PL"/>
        </w:rPr>
      </w:pPr>
      <w:r>
        <w:rPr>
          <w:rStyle w:val="Odwoanieprzypisudolnego"/>
        </w:rPr>
        <w:footnoteRef/>
      </w:r>
      <w:r>
        <w:t xml:space="preserve"> </w:t>
      </w:r>
      <w:r w:rsidRPr="00820EB2">
        <w:rPr>
          <w:bCs/>
        </w:rPr>
        <w:t>t.j. Dz. U. z 202</w:t>
      </w:r>
      <w:r w:rsidR="00F55542">
        <w:rPr>
          <w:bCs/>
          <w:lang w:val="pl-PL"/>
        </w:rPr>
        <w:t>3</w:t>
      </w:r>
      <w:r w:rsidRPr="00820EB2">
        <w:rPr>
          <w:bCs/>
        </w:rPr>
        <w:t xml:space="preserve"> r. poz.</w:t>
      </w:r>
      <w:r w:rsidR="00F55542">
        <w:rPr>
          <w:bCs/>
          <w:lang w:val="pl-PL"/>
        </w:rPr>
        <w:t xml:space="preserve"> 824</w:t>
      </w:r>
      <w:r>
        <w:rPr>
          <w:bCs/>
          <w:lang w:val="pl-PL"/>
        </w:rPr>
        <w:t>.</w:t>
      </w:r>
    </w:p>
  </w:footnote>
  <w:footnote w:id="142">
    <w:p w14:paraId="549D1793" w14:textId="77777777" w:rsidR="007704D8" w:rsidRPr="0020385D" w:rsidRDefault="007704D8" w:rsidP="00F51560">
      <w:pPr>
        <w:pStyle w:val="Tekstprzypisudolnego"/>
        <w:rPr>
          <w:lang w:val="pl-PL"/>
        </w:rPr>
      </w:pPr>
      <w:r>
        <w:rPr>
          <w:rStyle w:val="Odwoanieprzypisudolnego"/>
        </w:rPr>
        <w:footnoteRef/>
      </w:r>
      <w:r>
        <w:t xml:space="preserve"> </w:t>
      </w:r>
      <w:r>
        <w:rPr>
          <w:lang w:val="pl-PL"/>
        </w:rPr>
        <w:t>m.in. decyzje wstrzymujące działalność, decyzje wstrzymujące użytkowanie instalacji.</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1"/>
    <w:lvl w:ilvl="0">
      <w:start w:val="1"/>
      <w:numFmt w:val="bullet"/>
      <w:lvlText w:val=""/>
      <w:lvlJc w:val="left"/>
      <w:pPr>
        <w:tabs>
          <w:tab w:val="num" w:pos="-424"/>
        </w:tabs>
        <w:ind w:left="296" w:hanging="360"/>
      </w:pPr>
      <w:rPr>
        <w:rFonts w:ascii="Symbol" w:hAnsi="Symbol" w:cs="Symbol"/>
      </w:rPr>
    </w:lvl>
    <w:lvl w:ilvl="1">
      <w:start w:val="1"/>
      <w:numFmt w:val="bullet"/>
      <w:lvlText w:val=""/>
      <w:lvlJc w:val="left"/>
      <w:pPr>
        <w:tabs>
          <w:tab w:val="num" w:pos="-424"/>
        </w:tabs>
        <w:ind w:left="1016" w:hanging="360"/>
      </w:pPr>
      <w:rPr>
        <w:rFonts w:ascii="Symbol" w:hAnsi="Symbol" w:cs="Symbol"/>
        <w:color w:val="auto"/>
        <w:sz w:val="24"/>
        <w:szCs w:val="24"/>
      </w:rPr>
    </w:lvl>
    <w:lvl w:ilvl="2">
      <w:start w:val="1"/>
      <w:numFmt w:val="bullet"/>
      <w:lvlText w:val=""/>
      <w:lvlJc w:val="left"/>
      <w:pPr>
        <w:tabs>
          <w:tab w:val="num" w:pos="-424"/>
        </w:tabs>
        <w:ind w:left="1736" w:hanging="360"/>
      </w:pPr>
      <w:rPr>
        <w:rFonts w:ascii="Wingdings" w:hAnsi="Wingdings" w:cs="Wingdings"/>
      </w:rPr>
    </w:lvl>
    <w:lvl w:ilvl="3">
      <w:start w:val="1"/>
      <w:numFmt w:val="bullet"/>
      <w:lvlText w:val=""/>
      <w:lvlJc w:val="left"/>
      <w:pPr>
        <w:tabs>
          <w:tab w:val="num" w:pos="-424"/>
        </w:tabs>
        <w:ind w:left="2456" w:hanging="360"/>
      </w:pPr>
      <w:rPr>
        <w:rFonts w:ascii="Symbol" w:hAnsi="Symbol" w:cs="Symbol"/>
      </w:rPr>
    </w:lvl>
    <w:lvl w:ilvl="4">
      <w:start w:val="1"/>
      <w:numFmt w:val="bullet"/>
      <w:lvlText w:val="o"/>
      <w:lvlJc w:val="left"/>
      <w:pPr>
        <w:tabs>
          <w:tab w:val="num" w:pos="-424"/>
        </w:tabs>
        <w:ind w:left="3176" w:hanging="360"/>
      </w:pPr>
      <w:rPr>
        <w:rFonts w:ascii="Courier New" w:hAnsi="Courier New" w:cs="Courier New"/>
      </w:rPr>
    </w:lvl>
    <w:lvl w:ilvl="5">
      <w:start w:val="1"/>
      <w:numFmt w:val="bullet"/>
      <w:lvlText w:val=""/>
      <w:lvlJc w:val="left"/>
      <w:pPr>
        <w:tabs>
          <w:tab w:val="num" w:pos="-424"/>
        </w:tabs>
        <w:ind w:left="3896" w:hanging="360"/>
      </w:pPr>
      <w:rPr>
        <w:rFonts w:ascii="Wingdings" w:hAnsi="Wingdings" w:cs="Wingdings"/>
      </w:rPr>
    </w:lvl>
    <w:lvl w:ilvl="6">
      <w:start w:val="1"/>
      <w:numFmt w:val="bullet"/>
      <w:lvlText w:val=""/>
      <w:lvlJc w:val="left"/>
      <w:pPr>
        <w:tabs>
          <w:tab w:val="num" w:pos="-424"/>
        </w:tabs>
        <w:ind w:left="4616" w:hanging="360"/>
      </w:pPr>
      <w:rPr>
        <w:rFonts w:ascii="Symbol" w:hAnsi="Symbol" w:cs="Symbol"/>
      </w:rPr>
    </w:lvl>
    <w:lvl w:ilvl="7">
      <w:start w:val="1"/>
      <w:numFmt w:val="bullet"/>
      <w:lvlText w:val="o"/>
      <w:lvlJc w:val="left"/>
      <w:pPr>
        <w:tabs>
          <w:tab w:val="num" w:pos="-424"/>
        </w:tabs>
        <w:ind w:left="5336" w:hanging="360"/>
      </w:pPr>
      <w:rPr>
        <w:rFonts w:ascii="Courier New" w:hAnsi="Courier New" w:cs="Courier New"/>
      </w:rPr>
    </w:lvl>
    <w:lvl w:ilvl="8">
      <w:start w:val="1"/>
      <w:numFmt w:val="bullet"/>
      <w:lvlText w:val=""/>
      <w:lvlJc w:val="left"/>
      <w:pPr>
        <w:tabs>
          <w:tab w:val="num" w:pos="-424"/>
        </w:tabs>
        <w:ind w:left="6056" w:hanging="360"/>
      </w:pPr>
      <w:rPr>
        <w:rFonts w:ascii="Wingdings" w:hAnsi="Wingdings" w:cs="Wingdings"/>
      </w:rPr>
    </w:lvl>
  </w:abstractNum>
  <w:abstractNum w:abstractNumId="1" w15:restartNumberingAfterBreak="0">
    <w:nsid w:val="00000002"/>
    <w:multiLevelType w:val="multilevel"/>
    <w:tmpl w:val="00000002"/>
    <w:name w:val="WW8Num2"/>
    <w:lvl w:ilvl="0">
      <w:start w:val="1"/>
      <w:numFmt w:val="bullet"/>
      <w:lvlText w:val=""/>
      <w:lvlJc w:val="left"/>
      <w:pPr>
        <w:tabs>
          <w:tab w:val="num" w:pos="0"/>
        </w:tabs>
        <w:ind w:left="720" w:hanging="360"/>
      </w:pPr>
      <w:rPr>
        <w:rFonts w:ascii="Symbol" w:hAnsi="Symbol" w:cs="Symbol"/>
        <w:sz w:val="24"/>
        <w:szCs w:val="24"/>
      </w:rPr>
    </w:lvl>
    <w:lvl w:ilvl="1">
      <w:start w:val="1"/>
      <w:numFmt w:val="bullet"/>
      <w:lvlText w:val=""/>
      <w:lvlJc w:val="left"/>
      <w:pPr>
        <w:tabs>
          <w:tab w:val="num" w:pos="0"/>
        </w:tabs>
        <w:ind w:left="1440" w:hanging="360"/>
      </w:pPr>
      <w:rPr>
        <w:rFonts w:ascii="Symbol" w:hAnsi="Symbol" w:cs="Symbol"/>
        <w:sz w:val="24"/>
        <w:szCs w:val="24"/>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sz w:val="24"/>
        <w:szCs w:val="24"/>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sz w:val="24"/>
        <w:szCs w:val="24"/>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 w15:restartNumberingAfterBreak="0">
    <w:nsid w:val="00000004"/>
    <w:multiLevelType w:val="singleLevel"/>
    <w:tmpl w:val="00000004"/>
    <w:name w:val="WW8Num12"/>
    <w:lvl w:ilvl="0">
      <w:start w:val="1"/>
      <w:numFmt w:val="bullet"/>
      <w:lvlText w:val=""/>
      <w:lvlJc w:val="left"/>
      <w:pPr>
        <w:tabs>
          <w:tab w:val="num" w:pos="0"/>
        </w:tabs>
        <w:ind w:left="7307" w:hanging="360"/>
      </w:pPr>
      <w:rPr>
        <w:rFonts w:ascii="Symbol" w:hAnsi="Symbol"/>
      </w:rPr>
    </w:lvl>
  </w:abstractNum>
  <w:abstractNum w:abstractNumId="3" w15:restartNumberingAfterBreak="0">
    <w:nsid w:val="00000005"/>
    <w:multiLevelType w:val="singleLevel"/>
    <w:tmpl w:val="00000005"/>
    <w:name w:val="WW8Num5"/>
    <w:lvl w:ilvl="0">
      <w:start w:val="1"/>
      <w:numFmt w:val="bullet"/>
      <w:lvlText w:val=""/>
      <w:lvlJc w:val="left"/>
      <w:pPr>
        <w:tabs>
          <w:tab w:val="num" w:pos="0"/>
        </w:tabs>
        <w:ind w:left="1004" w:hanging="360"/>
      </w:pPr>
      <w:rPr>
        <w:rFonts w:ascii="Symbol" w:hAnsi="Symbol" w:cs="Symbol" w:hint="default"/>
        <w:sz w:val="22"/>
        <w:szCs w:val="22"/>
      </w:rPr>
    </w:lvl>
  </w:abstractNum>
  <w:abstractNum w:abstractNumId="4" w15:restartNumberingAfterBreak="0">
    <w:nsid w:val="00000007"/>
    <w:multiLevelType w:val="multilevel"/>
    <w:tmpl w:val="6BEA4D10"/>
    <w:name w:val="WWNum7"/>
    <w:lvl w:ilvl="0">
      <w:start w:val="1"/>
      <w:numFmt w:val="decimal"/>
      <w:pStyle w:val="Spisilustracji1"/>
      <w:lvlText w:val="Rys. %1."/>
      <w:lvlJc w:val="left"/>
      <w:pPr>
        <w:tabs>
          <w:tab w:val="num" w:pos="-152"/>
        </w:tabs>
        <w:ind w:left="928" w:hanging="360"/>
      </w:pPr>
      <w:rPr>
        <w:rFonts w:ascii="Tw Cen MT" w:hAnsi="Tw Cen MT" w:cs="Times New Roman"/>
        <w:color w:val="auto"/>
        <w:sz w:val="16"/>
      </w:rPr>
    </w:lvl>
    <w:lvl w:ilvl="1">
      <w:start w:val="1"/>
      <w:numFmt w:val="lowerLetter"/>
      <w:lvlText w:val="%2)"/>
      <w:lvlJc w:val="left"/>
      <w:pPr>
        <w:tabs>
          <w:tab w:val="num" w:pos="0"/>
        </w:tabs>
        <w:ind w:left="2160" w:hanging="720"/>
      </w:pPr>
      <w:rPr>
        <w:rFonts w:cs="Times New Roman"/>
      </w:rPr>
    </w:lvl>
    <w:lvl w:ilvl="2">
      <w:start w:val="1"/>
      <w:numFmt w:val="lowerRoman"/>
      <w:lvlText w:val="%3."/>
      <w:lvlJc w:val="right"/>
      <w:pPr>
        <w:tabs>
          <w:tab w:val="num" w:pos="0"/>
        </w:tabs>
        <w:ind w:left="2520" w:hanging="180"/>
      </w:pPr>
      <w:rPr>
        <w:rFonts w:cs="Times New Roman"/>
      </w:rPr>
    </w:lvl>
    <w:lvl w:ilvl="3">
      <w:start w:val="1"/>
      <w:numFmt w:val="decimal"/>
      <w:lvlText w:val="%4."/>
      <w:lvlJc w:val="left"/>
      <w:pPr>
        <w:tabs>
          <w:tab w:val="num" w:pos="0"/>
        </w:tabs>
        <w:ind w:left="3240" w:hanging="360"/>
      </w:pPr>
      <w:rPr>
        <w:rFonts w:cs="Times New Roman"/>
      </w:rPr>
    </w:lvl>
    <w:lvl w:ilvl="4">
      <w:start w:val="1"/>
      <w:numFmt w:val="lowerLetter"/>
      <w:lvlText w:val="%5."/>
      <w:lvlJc w:val="left"/>
      <w:pPr>
        <w:tabs>
          <w:tab w:val="num" w:pos="0"/>
        </w:tabs>
        <w:ind w:left="3960" w:hanging="360"/>
      </w:pPr>
      <w:rPr>
        <w:rFonts w:cs="Times New Roman"/>
      </w:rPr>
    </w:lvl>
    <w:lvl w:ilvl="5">
      <w:start w:val="1"/>
      <w:numFmt w:val="lowerRoman"/>
      <w:lvlText w:val="%6."/>
      <w:lvlJc w:val="right"/>
      <w:pPr>
        <w:tabs>
          <w:tab w:val="num" w:pos="0"/>
        </w:tabs>
        <w:ind w:left="4680" w:hanging="180"/>
      </w:pPr>
      <w:rPr>
        <w:rFonts w:cs="Times New Roman"/>
      </w:rPr>
    </w:lvl>
    <w:lvl w:ilvl="6">
      <w:start w:val="1"/>
      <w:numFmt w:val="decimal"/>
      <w:lvlText w:val="%7."/>
      <w:lvlJc w:val="left"/>
      <w:pPr>
        <w:tabs>
          <w:tab w:val="num" w:pos="0"/>
        </w:tabs>
        <w:ind w:left="5400" w:hanging="360"/>
      </w:pPr>
      <w:rPr>
        <w:rFonts w:cs="Times New Roman"/>
      </w:rPr>
    </w:lvl>
    <w:lvl w:ilvl="7">
      <w:start w:val="1"/>
      <w:numFmt w:val="lowerLetter"/>
      <w:lvlText w:val="%8."/>
      <w:lvlJc w:val="left"/>
      <w:pPr>
        <w:tabs>
          <w:tab w:val="num" w:pos="0"/>
        </w:tabs>
        <w:ind w:left="6120" w:hanging="360"/>
      </w:pPr>
      <w:rPr>
        <w:rFonts w:cs="Times New Roman"/>
      </w:rPr>
    </w:lvl>
    <w:lvl w:ilvl="8">
      <w:start w:val="1"/>
      <w:numFmt w:val="lowerRoman"/>
      <w:lvlText w:val="%9."/>
      <w:lvlJc w:val="right"/>
      <w:pPr>
        <w:tabs>
          <w:tab w:val="num" w:pos="0"/>
        </w:tabs>
        <w:ind w:left="6840" w:hanging="180"/>
      </w:pPr>
      <w:rPr>
        <w:rFonts w:cs="Times New Roman"/>
      </w:rPr>
    </w:lvl>
  </w:abstractNum>
  <w:abstractNum w:abstractNumId="5" w15:restartNumberingAfterBreak="0">
    <w:nsid w:val="00000009"/>
    <w:multiLevelType w:val="singleLevel"/>
    <w:tmpl w:val="00000009"/>
    <w:name w:val="WW8Num93"/>
    <w:lvl w:ilvl="0">
      <w:start w:val="1"/>
      <w:numFmt w:val="bullet"/>
      <w:lvlText w:val=""/>
      <w:lvlJc w:val="left"/>
      <w:pPr>
        <w:tabs>
          <w:tab w:val="num" w:pos="0"/>
        </w:tabs>
        <w:ind w:left="720" w:hanging="360"/>
      </w:pPr>
      <w:rPr>
        <w:rFonts w:ascii="Symbol" w:hAnsi="Symbol"/>
      </w:rPr>
    </w:lvl>
  </w:abstractNum>
  <w:abstractNum w:abstractNumId="6" w15:restartNumberingAfterBreak="0">
    <w:nsid w:val="0000000A"/>
    <w:multiLevelType w:val="singleLevel"/>
    <w:tmpl w:val="0000000A"/>
    <w:name w:val="WW8Num106"/>
    <w:lvl w:ilvl="0">
      <w:start w:val="1"/>
      <w:numFmt w:val="bullet"/>
      <w:lvlText w:val=""/>
      <w:lvlJc w:val="left"/>
      <w:pPr>
        <w:tabs>
          <w:tab w:val="num" w:pos="0"/>
        </w:tabs>
        <w:ind w:left="1287" w:hanging="360"/>
      </w:pPr>
      <w:rPr>
        <w:rFonts w:ascii="Symbol" w:hAnsi="Symbol"/>
      </w:rPr>
    </w:lvl>
  </w:abstractNum>
  <w:abstractNum w:abstractNumId="7" w15:restartNumberingAfterBreak="0">
    <w:nsid w:val="0000000B"/>
    <w:multiLevelType w:val="multilevel"/>
    <w:tmpl w:val="0000000B"/>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8" w15:restartNumberingAfterBreak="0">
    <w:nsid w:val="0000002B"/>
    <w:multiLevelType w:val="multilevel"/>
    <w:tmpl w:val="F4004A96"/>
    <w:lvl w:ilvl="0">
      <w:start w:val="1"/>
      <w:numFmt w:val="bullet"/>
      <w:pStyle w:val="GIOSpunktory"/>
      <w:lvlText w:val=""/>
      <w:lvlJc w:val="left"/>
      <w:pPr>
        <w:tabs>
          <w:tab w:val="num" w:pos="1077"/>
        </w:tabs>
        <w:ind w:left="1077" w:hanging="360"/>
      </w:pPr>
      <w:rPr>
        <w:rFonts w:ascii="Symbol" w:hAnsi="Symbol" w:cs="OpenSymbol"/>
      </w:rPr>
    </w:lvl>
    <w:lvl w:ilvl="1">
      <w:start w:val="1"/>
      <w:numFmt w:val="bullet"/>
      <w:lvlText w:val="◦"/>
      <w:lvlJc w:val="left"/>
      <w:pPr>
        <w:tabs>
          <w:tab w:val="num" w:pos="1437"/>
        </w:tabs>
        <w:ind w:left="1437" w:hanging="360"/>
      </w:pPr>
      <w:rPr>
        <w:rFonts w:ascii="OpenSymbol" w:hAnsi="OpenSymbol" w:cs="OpenSymbol"/>
      </w:rPr>
    </w:lvl>
    <w:lvl w:ilvl="2">
      <w:start w:val="1"/>
      <w:numFmt w:val="bullet"/>
      <w:lvlText w:val="▪"/>
      <w:lvlJc w:val="left"/>
      <w:pPr>
        <w:tabs>
          <w:tab w:val="num" w:pos="1797"/>
        </w:tabs>
        <w:ind w:left="1797" w:hanging="360"/>
      </w:pPr>
      <w:rPr>
        <w:rFonts w:ascii="OpenSymbol" w:hAnsi="OpenSymbol" w:cs="OpenSymbol"/>
      </w:rPr>
    </w:lvl>
    <w:lvl w:ilvl="3">
      <w:start w:val="1"/>
      <w:numFmt w:val="bullet"/>
      <w:lvlText w:val=""/>
      <w:lvlJc w:val="left"/>
      <w:pPr>
        <w:tabs>
          <w:tab w:val="num" w:pos="2157"/>
        </w:tabs>
        <w:ind w:left="2157" w:hanging="360"/>
      </w:pPr>
      <w:rPr>
        <w:rFonts w:ascii="Symbol" w:hAnsi="Symbol" w:cs="OpenSymbol"/>
      </w:rPr>
    </w:lvl>
    <w:lvl w:ilvl="4">
      <w:start w:val="1"/>
      <w:numFmt w:val="bullet"/>
      <w:lvlText w:val="◦"/>
      <w:lvlJc w:val="left"/>
      <w:pPr>
        <w:tabs>
          <w:tab w:val="num" w:pos="2517"/>
        </w:tabs>
        <w:ind w:left="2517" w:hanging="360"/>
      </w:pPr>
      <w:rPr>
        <w:rFonts w:ascii="OpenSymbol" w:hAnsi="OpenSymbol" w:cs="OpenSymbol"/>
      </w:rPr>
    </w:lvl>
    <w:lvl w:ilvl="5">
      <w:start w:val="1"/>
      <w:numFmt w:val="bullet"/>
      <w:lvlText w:val="▪"/>
      <w:lvlJc w:val="left"/>
      <w:pPr>
        <w:tabs>
          <w:tab w:val="num" w:pos="2877"/>
        </w:tabs>
        <w:ind w:left="2877" w:hanging="360"/>
      </w:pPr>
      <w:rPr>
        <w:rFonts w:ascii="OpenSymbol" w:hAnsi="OpenSymbol" w:cs="OpenSymbol"/>
      </w:rPr>
    </w:lvl>
    <w:lvl w:ilvl="6">
      <w:start w:val="1"/>
      <w:numFmt w:val="bullet"/>
      <w:lvlText w:val=""/>
      <w:lvlJc w:val="left"/>
      <w:pPr>
        <w:tabs>
          <w:tab w:val="num" w:pos="3237"/>
        </w:tabs>
        <w:ind w:left="3237" w:hanging="360"/>
      </w:pPr>
      <w:rPr>
        <w:rFonts w:ascii="Symbol" w:hAnsi="Symbol" w:cs="OpenSymbol"/>
      </w:rPr>
    </w:lvl>
    <w:lvl w:ilvl="7">
      <w:start w:val="1"/>
      <w:numFmt w:val="bullet"/>
      <w:lvlText w:val="◦"/>
      <w:lvlJc w:val="left"/>
      <w:pPr>
        <w:tabs>
          <w:tab w:val="num" w:pos="3597"/>
        </w:tabs>
        <w:ind w:left="3597" w:hanging="360"/>
      </w:pPr>
      <w:rPr>
        <w:rFonts w:ascii="OpenSymbol" w:hAnsi="OpenSymbol" w:cs="OpenSymbol"/>
      </w:rPr>
    </w:lvl>
    <w:lvl w:ilvl="8">
      <w:start w:val="1"/>
      <w:numFmt w:val="bullet"/>
      <w:lvlText w:val="▪"/>
      <w:lvlJc w:val="left"/>
      <w:pPr>
        <w:tabs>
          <w:tab w:val="num" w:pos="3957"/>
        </w:tabs>
        <w:ind w:left="3957" w:hanging="360"/>
      </w:pPr>
      <w:rPr>
        <w:rFonts w:ascii="OpenSymbol" w:hAnsi="OpenSymbol" w:cs="OpenSymbol"/>
      </w:rPr>
    </w:lvl>
  </w:abstractNum>
  <w:abstractNum w:abstractNumId="9" w15:restartNumberingAfterBreak="0">
    <w:nsid w:val="006269BA"/>
    <w:multiLevelType w:val="hybridMultilevel"/>
    <w:tmpl w:val="9078BFD8"/>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3054"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0" w15:restartNumberingAfterBreak="0">
    <w:nsid w:val="00D106A1"/>
    <w:multiLevelType w:val="hybridMultilevel"/>
    <w:tmpl w:val="4CD04538"/>
    <w:lvl w:ilvl="0" w:tplc="04150005">
      <w:start w:val="1"/>
      <w:numFmt w:val="bullet"/>
      <w:lvlText w:val=""/>
      <w:lvlJc w:val="left"/>
      <w:pPr>
        <w:ind w:left="720" w:hanging="360"/>
      </w:pPr>
      <w:rPr>
        <w:rFonts w:ascii="Wingdings" w:hAnsi="Wingdings"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1316DE4"/>
    <w:multiLevelType w:val="hybridMultilevel"/>
    <w:tmpl w:val="4AC84D16"/>
    <w:lvl w:ilvl="0" w:tplc="04150005">
      <w:start w:val="1"/>
      <w:numFmt w:val="bullet"/>
      <w:lvlText w:val=""/>
      <w:lvlJc w:val="left"/>
      <w:pPr>
        <w:ind w:left="720" w:hanging="360"/>
      </w:pPr>
      <w:rPr>
        <w:rFonts w:ascii="Wingdings" w:hAnsi="Wingdings"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12" w15:restartNumberingAfterBreak="0">
    <w:nsid w:val="01426665"/>
    <w:multiLevelType w:val="hybridMultilevel"/>
    <w:tmpl w:val="1938F4B2"/>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3" w15:restartNumberingAfterBreak="0">
    <w:nsid w:val="01AE20E2"/>
    <w:multiLevelType w:val="hybridMultilevel"/>
    <w:tmpl w:val="11DA3CF6"/>
    <w:lvl w:ilvl="0" w:tplc="04150001">
      <w:start w:val="1"/>
      <w:numFmt w:val="bullet"/>
      <w:lvlText w:val=""/>
      <w:lvlJc w:val="left"/>
      <w:pPr>
        <w:ind w:left="1068" w:hanging="360"/>
      </w:pPr>
      <w:rPr>
        <w:rFonts w:ascii="Symbol" w:hAnsi="Symbol" w:hint="default"/>
      </w:rPr>
    </w:lvl>
    <w:lvl w:ilvl="1" w:tplc="209C4C0E">
      <w:start w:val="4"/>
      <w:numFmt w:val="bullet"/>
      <w:lvlText w:val="•"/>
      <w:lvlJc w:val="left"/>
      <w:pPr>
        <w:ind w:left="2138" w:hanging="710"/>
      </w:pPr>
      <w:rPr>
        <w:rFonts w:ascii="Times New Roman" w:eastAsia="Times New Roman" w:hAnsi="Times New Roman" w:cs="Times New Roman"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4" w15:restartNumberingAfterBreak="0">
    <w:nsid w:val="01DA3744"/>
    <w:multiLevelType w:val="multilevel"/>
    <w:tmpl w:val="69EAB1BE"/>
    <w:lvl w:ilvl="0">
      <w:start w:val="1"/>
      <w:numFmt w:val="decimal"/>
      <w:lvlText w:val="%1."/>
      <w:lvlJc w:val="left"/>
      <w:pPr>
        <w:ind w:left="1068" w:hanging="360"/>
      </w:pPr>
      <w:rPr>
        <w:sz w:val="24"/>
        <w:szCs w:val="24"/>
      </w:rPr>
    </w:lvl>
    <w:lvl w:ilvl="1">
      <w:start w:val="2"/>
      <w:numFmt w:val="decimal"/>
      <w:isLgl/>
      <w:lvlText w:val="%1.%2."/>
      <w:lvlJc w:val="left"/>
      <w:pPr>
        <w:ind w:left="360" w:hanging="360"/>
      </w:pPr>
      <w:rPr>
        <w:rFonts w:hint="default"/>
        <w:b/>
        <w:color w:val="000000" w:themeColor="text1"/>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15" w15:restartNumberingAfterBreak="0">
    <w:nsid w:val="01F710D3"/>
    <w:multiLevelType w:val="hybridMultilevel"/>
    <w:tmpl w:val="2960C576"/>
    <w:lvl w:ilvl="0" w:tplc="04150001">
      <w:start w:val="1"/>
      <w:numFmt w:val="bullet"/>
      <w:lvlText w:val=""/>
      <w:lvlJc w:val="left"/>
      <w:pPr>
        <w:ind w:left="720" w:hanging="360"/>
      </w:pPr>
      <w:rPr>
        <w:rFonts w:ascii="Symbol" w:hAnsi="Symbol" w:hint="default"/>
        <w:sz w:val="24"/>
        <w:szCs w:val="24"/>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6" w15:restartNumberingAfterBreak="0">
    <w:nsid w:val="025B7F7C"/>
    <w:multiLevelType w:val="hybridMultilevel"/>
    <w:tmpl w:val="2828D096"/>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7" w15:restartNumberingAfterBreak="0">
    <w:nsid w:val="02A0658A"/>
    <w:multiLevelType w:val="hybridMultilevel"/>
    <w:tmpl w:val="3684B330"/>
    <w:lvl w:ilvl="0" w:tplc="F64A0D34">
      <w:start w:val="1"/>
      <w:numFmt w:val="bullet"/>
      <w:lvlText w:val=""/>
      <w:lvlJc w:val="left"/>
      <w:pPr>
        <w:ind w:left="1440" w:hanging="360"/>
      </w:pPr>
      <w:rPr>
        <w:rFonts w:ascii="Symbol" w:hAnsi="Symbol"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start w:val="1"/>
      <w:numFmt w:val="bullet"/>
      <w:lvlText w:val=""/>
      <w:lvlJc w:val="left"/>
      <w:pPr>
        <w:ind w:left="3600" w:hanging="360"/>
      </w:pPr>
      <w:rPr>
        <w:rFonts w:ascii="Symbol" w:hAnsi="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hint="default"/>
      </w:rPr>
    </w:lvl>
    <w:lvl w:ilvl="6" w:tplc="04150001">
      <w:start w:val="1"/>
      <w:numFmt w:val="bullet"/>
      <w:lvlText w:val=""/>
      <w:lvlJc w:val="left"/>
      <w:pPr>
        <w:ind w:left="5760" w:hanging="360"/>
      </w:pPr>
      <w:rPr>
        <w:rFonts w:ascii="Symbol" w:hAnsi="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hint="default"/>
      </w:rPr>
    </w:lvl>
  </w:abstractNum>
  <w:abstractNum w:abstractNumId="18" w15:restartNumberingAfterBreak="0">
    <w:nsid w:val="03377CA7"/>
    <w:multiLevelType w:val="hybridMultilevel"/>
    <w:tmpl w:val="AB822FE4"/>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03C84B57"/>
    <w:multiLevelType w:val="hybridMultilevel"/>
    <w:tmpl w:val="227E9612"/>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0" w15:restartNumberingAfterBreak="0">
    <w:nsid w:val="03D11FF8"/>
    <w:multiLevelType w:val="hybridMultilevel"/>
    <w:tmpl w:val="378E8BA4"/>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1" w15:restartNumberingAfterBreak="0">
    <w:nsid w:val="03F61FE7"/>
    <w:multiLevelType w:val="hybridMultilevel"/>
    <w:tmpl w:val="04105016"/>
    <w:lvl w:ilvl="0" w:tplc="FB3CB1B4">
      <w:numFmt w:val="bullet"/>
      <w:lvlText w:val="•"/>
      <w:lvlJc w:val="left"/>
      <w:pPr>
        <w:ind w:left="720" w:hanging="360"/>
      </w:pPr>
      <w:rPr>
        <w:rFonts w:ascii="Times New Roman" w:eastAsiaTheme="minorHAnsi"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049731FC"/>
    <w:multiLevelType w:val="hybridMultilevel"/>
    <w:tmpl w:val="9594D9A2"/>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3" w15:restartNumberingAfterBreak="0">
    <w:nsid w:val="04D93923"/>
    <w:multiLevelType w:val="hybridMultilevel"/>
    <w:tmpl w:val="169498A0"/>
    <w:lvl w:ilvl="0" w:tplc="117E669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04FF5D85"/>
    <w:multiLevelType w:val="hybridMultilevel"/>
    <w:tmpl w:val="18BE8A16"/>
    <w:lvl w:ilvl="0" w:tplc="8FAC32C8">
      <w:start w:val="1"/>
      <w:numFmt w:val="bullet"/>
      <w:lvlText w:val=""/>
      <w:lvlJc w:val="left"/>
      <w:pPr>
        <w:ind w:left="1789" w:hanging="360"/>
      </w:pPr>
      <w:rPr>
        <w:rFonts w:ascii="Symbol" w:hAnsi="Symbol" w:hint="default"/>
      </w:rPr>
    </w:lvl>
    <w:lvl w:ilvl="1" w:tplc="04150003">
      <w:start w:val="1"/>
      <w:numFmt w:val="bullet"/>
      <w:lvlText w:val="o"/>
      <w:lvlJc w:val="left"/>
      <w:pPr>
        <w:ind w:left="2509" w:hanging="360"/>
      </w:pPr>
      <w:rPr>
        <w:rFonts w:ascii="Courier New" w:hAnsi="Courier New" w:cs="Courier New" w:hint="default"/>
      </w:rPr>
    </w:lvl>
    <w:lvl w:ilvl="2" w:tplc="04150005">
      <w:start w:val="1"/>
      <w:numFmt w:val="bullet"/>
      <w:lvlText w:val=""/>
      <w:lvlJc w:val="left"/>
      <w:pPr>
        <w:ind w:left="3229" w:hanging="360"/>
      </w:pPr>
      <w:rPr>
        <w:rFonts w:ascii="Wingdings" w:hAnsi="Wingdings" w:hint="default"/>
      </w:rPr>
    </w:lvl>
    <w:lvl w:ilvl="3" w:tplc="04150001">
      <w:start w:val="1"/>
      <w:numFmt w:val="bullet"/>
      <w:lvlText w:val=""/>
      <w:lvlJc w:val="left"/>
      <w:pPr>
        <w:ind w:left="3949" w:hanging="360"/>
      </w:pPr>
      <w:rPr>
        <w:rFonts w:ascii="Symbol" w:hAnsi="Symbol" w:hint="default"/>
      </w:rPr>
    </w:lvl>
    <w:lvl w:ilvl="4" w:tplc="04150003">
      <w:start w:val="1"/>
      <w:numFmt w:val="bullet"/>
      <w:lvlText w:val="o"/>
      <w:lvlJc w:val="left"/>
      <w:pPr>
        <w:ind w:left="4669" w:hanging="360"/>
      </w:pPr>
      <w:rPr>
        <w:rFonts w:ascii="Courier New" w:hAnsi="Courier New" w:cs="Courier New" w:hint="default"/>
      </w:rPr>
    </w:lvl>
    <w:lvl w:ilvl="5" w:tplc="04150005">
      <w:start w:val="1"/>
      <w:numFmt w:val="bullet"/>
      <w:lvlText w:val=""/>
      <w:lvlJc w:val="left"/>
      <w:pPr>
        <w:ind w:left="5389" w:hanging="360"/>
      </w:pPr>
      <w:rPr>
        <w:rFonts w:ascii="Wingdings" w:hAnsi="Wingdings" w:hint="default"/>
      </w:rPr>
    </w:lvl>
    <w:lvl w:ilvl="6" w:tplc="04150001">
      <w:start w:val="1"/>
      <w:numFmt w:val="bullet"/>
      <w:lvlText w:val=""/>
      <w:lvlJc w:val="left"/>
      <w:pPr>
        <w:ind w:left="6109" w:hanging="360"/>
      </w:pPr>
      <w:rPr>
        <w:rFonts w:ascii="Symbol" w:hAnsi="Symbol" w:hint="default"/>
      </w:rPr>
    </w:lvl>
    <w:lvl w:ilvl="7" w:tplc="04150003">
      <w:start w:val="1"/>
      <w:numFmt w:val="bullet"/>
      <w:lvlText w:val="o"/>
      <w:lvlJc w:val="left"/>
      <w:pPr>
        <w:ind w:left="6829" w:hanging="360"/>
      </w:pPr>
      <w:rPr>
        <w:rFonts w:ascii="Courier New" w:hAnsi="Courier New" w:cs="Courier New" w:hint="default"/>
      </w:rPr>
    </w:lvl>
    <w:lvl w:ilvl="8" w:tplc="04150005">
      <w:start w:val="1"/>
      <w:numFmt w:val="bullet"/>
      <w:lvlText w:val=""/>
      <w:lvlJc w:val="left"/>
      <w:pPr>
        <w:ind w:left="7549" w:hanging="360"/>
      </w:pPr>
      <w:rPr>
        <w:rFonts w:ascii="Wingdings" w:hAnsi="Wingdings" w:hint="default"/>
      </w:rPr>
    </w:lvl>
  </w:abstractNum>
  <w:abstractNum w:abstractNumId="25" w15:restartNumberingAfterBreak="0">
    <w:nsid w:val="050F3BEE"/>
    <w:multiLevelType w:val="hybridMultilevel"/>
    <w:tmpl w:val="D3E6C1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051B0503"/>
    <w:multiLevelType w:val="hybridMultilevel"/>
    <w:tmpl w:val="EE222CCC"/>
    <w:lvl w:ilvl="0" w:tplc="3EAE0EC4">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27" w15:restartNumberingAfterBreak="0">
    <w:nsid w:val="053A2B9C"/>
    <w:multiLevelType w:val="hybridMultilevel"/>
    <w:tmpl w:val="67CEEA70"/>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05A379F0"/>
    <w:multiLevelType w:val="hybridMultilevel"/>
    <w:tmpl w:val="7A964258"/>
    <w:lvl w:ilvl="0" w:tplc="3EAE0EC4">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29" w15:restartNumberingAfterBreak="0">
    <w:nsid w:val="06493ECB"/>
    <w:multiLevelType w:val="hybridMultilevel"/>
    <w:tmpl w:val="66D0D6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067C055C"/>
    <w:multiLevelType w:val="hybridMultilevel"/>
    <w:tmpl w:val="744ADE32"/>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067F67B3"/>
    <w:multiLevelType w:val="hybridMultilevel"/>
    <w:tmpl w:val="3A7054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07417853"/>
    <w:multiLevelType w:val="hybridMultilevel"/>
    <w:tmpl w:val="C778C3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0784722D"/>
    <w:multiLevelType w:val="hybridMultilevel"/>
    <w:tmpl w:val="F246207E"/>
    <w:lvl w:ilvl="0" w:tplc="DE3C1CFE">
      <w:start w:val="1"/>
      <w:numFmt w:val="bullet"/>
      <w:lvlText w:val="̵"/>
      <w:lvlJc w:val="left"/>
      <w:pPr>
        <w:ind w:left="1440" w:hanging="360"/>
      </w:pPr>
      <w:rPr>
        <w:rFonts w:ascii="Tahoma" w:hAnsi="Tahoma" w:cs="Times New Roman"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start w:val="1"/>
      <w:numFmt w:val="bullet"/>
      <w:lvlText w:val=""/>
      <w:lvlJc w:val="left"/>
      <w:pPr>
        <w:ind w:left="3600" w:hanging="360"/>
      </w:pPr>
      <w:rPr>
        <w:rFonts w:ascii="Symbol" w:hAnsi="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hint="default"/>
      </w:rPr>
    </w:lvl>
    <w:lvl w:ilvl="6" w:tplc="04150001">
      <w:start w:val="1"/>
      <w:numFmt w:val="bullet"/>
      <w:lvlText w:val=""/>
      <w:lvlJc w:val="left"/>
      <w:pPr>
        <w:ind w:left="5760" w:hanging="360"/>
      </w:pPr>
      <w:rPr>
        <w:rFonts w:ascii="Symbol" w:hAnsi="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hint="default"/>
      </w:rPr>
    </w:lvl>
  </w:abstractNum>
  <w:abstractNum w:abstractNumId="34" w15:restartNumberingAfterBreak="0">
    <w:nsid w:val="07847E28"/>
    <w:multiLevelType w:val="hybridMultilevel"/>
    <w:tmpl w:val="3C841AC8"/>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35" w15:restartNumberingAfterBreak="0">
    <w:nsid w:val="07C66808"/>
    <w:multiLevelType w:val="hybridMultilevel"/>
    <w:tmpl w:val="AC16368E"/>
    <w:lvl w:ilvl="0" w:tplc="3EAE0EC4">
      <w:start w:val="1"/>
      <w:numFmt w:val="bullet"/>
      <w:lvlText w:val=""/>
      <w:lvlJc w:val="left"/>
      <w:pPr>
        <w:ind w:left="1440" w:hanging="360"/>
      </w:pPr>
      <w:rPr>
        <w:rFonts w:ascii="Symbol" w:hAnsi="Symbol"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start w:val="1"/>
      <w:numFmt w:val="bullet"/>
      <w:lvlText w:val=""/>
      <w:lvlJc w:val="left"/>
      <w:pPr>
        <w:ind w:left="3600" w:hanging="360"/>
      </w:pPr>
      <w:rPr>
        <w:rFonts w:ascii="Symbol" w:hAnsi="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hint="default"/>
      </w:rPr>
    </w:lvl>
    <w:lvl w:ilvl="6" w:tplc="04150001">
      <w:start w:val="1"/>
      <w:numFmt w:val="bullet"/>
      <w:lvlText w:val=""/>
      <w:lvlJc w:val="left"/>
      <w:pPr>
        <w:ind w:left="5760" w:hanging="360"/>
      </w:pPr>
      <w:rPr>
        <w:rFonts w:ascii="Symbol" w:hAnsi="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hint="default"/>
      </w:rPr>
    </w:lvl>
  </w:abstractNum>
  <w:abstractNum w:abstractNumId="36" w15:restartNumberingAfterBreak="0">
    <w:nsid w:val="0922182E"/>
    <w:multiLevelType w:val="hybridMultilevel"/>
    <w:tmpl w:val="A12470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095711DC"/>
    <w:multiLevelType w:val="hybridMultilevel"/>
    <w:tmpl w:val="BD7816EC"/>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8" w15:restartNumberingAfterBreak="0">
    <w:nsid w:val="09ED69A7"/>
    <w:multiLevelType w:val="hybridMultilevel"/>
    <w:tmpl w:val="0FDCBD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0A9773AA"/>
    <w:multiLevelType w:val="hybridMultilevel"/>
    <w:tmpl w:val="10F044F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0AB03BA5"/>
    <w:multiLevelType w:val="hybridMultilevel"/>
    <w:tmpl w:val="DC986F04"/>
    <w:lvl w:ilvl="0" w:tplc="2EC49E06">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1" w15:restartNumberingAfterBreak="0">
    <w:nsid w:val="0B7D6717"/>
    <w:multiLevelType w:val="hybridMultilevel"/>
    <w:tmpl w:val="732CF602"/>
    <w:lvl w:ilvl="0" w:tplc="04150003">
      <w:start w:val="1"/>
      <w:numFmt w:val="bullet"/>
      <w:lvlText w:val="o"/>
      <w:lvlJc w:val="left"/>
      <w:pPr>
        <w:ind w:left="360" w:hanging="360"/>
      </w:pPr>
      <w:rPr>
        <w:rFonts w:ascii="Courier New" w:hAnsi="Courier New" w:cs="Courier New" w:hint="default"/>
      </w:rPr>
    </w:lvl>
    <w:lvl w:ilvl="1" w:tplc="04150003">
      <w:start w:val="1"/>
      <w:numFmt w:val="bullet"/>
      <w:lvlText w:val="o"/>
      <w:lvlJc w:val="left"/>
      <w:pPr>
        <w:ind w:left="1080" w:hanging="360"/>
      </w:pPr>
      <w:rPr>
        <w:rFonts w:ascii="Courier New" w:hAnsi="Courier New" w:cs="Courier New" w:hint="default"/>
      </w:rPr>
    </w:lvl>
    <w:lvl w:ilvl="2" w:tplc="3B8A8D3C">
      <w:start w:val="1"/>
      <w:numFmt w:val="bullet"/>
      <w:lvlText w:val=""/>
      <w:lvlJc w:val="left"/>
      <w:pPr>
        <w:ind w:left="1800" w:hanging="360"/>
      </w:pPr>
      <w:rPr>
        <w:rFonts w:ascii="Symbol" w:hAnsi="Symbol"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2" w15:restartNumberingAfterBreak="0">
    <w:nsid w:val="0B9E5A94"/>
    <w:multiLevelType w:val="hybridMultilevel"/>
    <w:tmpl w:val="59AA5E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0C5A0914"/>
    <w:multiLevelType w:val="hybridMultilevel"/>
    <w:tmpl w:val="FA008796"/>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44" w15:restartNumberingAfterBreak="0">
    <w:nsid w:val="0D662C2E"/>
    <w:multiLevelType w:val="hybridMultilevel"/>
    <w:tmpl w:val="5C36050C"/>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45" w15:restartNumberingAfterBreak="0">
    <w:nsid w:val="0D802A17"/>
    <w:multiLevelType w:val="hybridMultilevel"/>
    <w:tmpl w:val="E8209B5A"/>
    <w:lvl w:ilvl="0" w:tplc="3EAE0EC4">
      <w:start w:val="1"/>
      <w:numFmt w:val="bullet"/>
      <w:lvlText w:val=""/>
      <w:lvlJc w:val="left"/>
      <w:pPr>
        <w:ind w:left="-437" w:hanging="360"/>
      </w:pPr>
      <w:rPr>
        <w:rFonts w:ascii="Symbol" w:hAnsi="Symbol" w:hint="default"/>
      </w:rPr>
    </w:lvl>
    <w:lvl w:ilvl="1" w:tplc="04150003">
      <w:start w:val="1"/>
      <w:numFmt w:val="bullet"/>
      <w:lvlText w:val="o"/>
      <w:lvlJc w:val="left"/>
      <w:pPr>
        <w:ind w:left="1131" w:hanging="360"/>
      </w:pPr>
      <w:rPr>
        <w:rFonts w:ascii="Courier New" w:hAnsi="Courier New" w:cs="Courier New" w:hint="default"/>
      </w:rPr>
    </w:lvl>
    <w:lvl w:ilvl="2" w:tplc="04150005">
      <w:start w:val="1"/>
      <w:numFmt w:val="bullet"/>
      <w:lvlText w:val=""/>
      <w:lvlJc w:val="left"/>
      <w:pPr>
        <w:ind w:left="1851" w:hanging="360"/>
      </w:pPr>
      <w:rPr>
        <w:rFonts w:ascii="Wingdings" w:hAnsi="Wingdings" w:hint="default"/>
      </w:rPr>
    </w:lvl>
    <w:lvl w:ilvl="3" w:tplc="04150001">
      <w:start w:val="1"/>
      <w:numFmt w:val="bullet"/>
      <w:lvlText w:val=""/>
      <w:lvlJc w:val="left"/>
      <w:pPr>
        <w:ind w:left="2571" w:hanging="360"/>
      </w:pPr>
      <w:rPr>
        <w:rFonts w:ascii="Symbol" w:hAnsi="Symbol" w:hint="default"/>
      </w:rPr>
    </w:lvl>
    <w:lvl w:ilvl="4" w:tplc="04150003">
      <w:start w:val="1"/>
      <w:numFmt w:val="bullet"/>
      <w:lvlText w:val="o"/>
      <w:lvlJc w:val="left"/>
      <w:pPr>
        <w:ind w:left="3291" w:hanging="360"/>
      </w:pPr>
      <w:rPr>
        <w:rFonts w:ascii="Courier New" w:hAnsi="Courier New" w:cs="Courier New" w:hint="default"/>
      </w:rPr>
    </w:lvl>
    <w:lvl w:ilvl="5" w:tplc="04150005">
      <w:start w:val="1"/>
      <w:numFmt w:val="bullet"/>
      <w:lvlText w:val=""/>
      <w:lvlJc w:val="left"/>
      <w:pPr>
        <w:ind w:left="4011" w:hanging="360"/>
      </w:pPr>
      <w:rPr>
        <w:rFonts w:ascii="Wingdings" w:hAnsi="Wingdings" w:hint="default"/>
      </w:rPr>
    </w:lvl>
    <w:lvl w:ilvl="6" w:tplc="04150001">
      <w:start w:val="1"/>
      <w:numFmt w:val="bullet"/>
      <w:lvlText w:val=""/>
      <w:lvlJc w:val="left"/>
      <w:pPr>
        <w:ind w:left="4731" w:hanging="360"/>
      </w:pPr>
      <w:rPr>
        <w:rFonts w:ascii="Symbol" w:hAnsi="Symbol" w:hint="default"/>
      </w:rPr>
    </w:lvl>
    <w:lvl w:ilvl="7" w:tplc="04150003">
      <w:start w:val="1"/>
      <w:numFmt w:val="bullet"/>
      <w:lvlText w:val="o"/>
      <w:lvlJc w:val="left"/>
      <w:pPr>
        <w:ind w:left="5451" w:hanging="360"/>
      </w:pPr>
      <w:rPr>
        <w:rFonts w:ascii="Courier New" w:hAnsi="Courier New" w:cs="Courier New" w:hint="default"/>
      </w:rPr>
    </w:lvl>
    <w:lvl w:ilvl="8" w:tplc="04150005">
      <w:start w:val="1"/>
      <w:numFmt w:val="bullet"/>
      <w:lvlText w:val=""/>
      <w:lvlJc w:val="left"/>
      <w:pPr>
        <w:ind w:left="6171" w:hanging="360"/>
      </w:pPr>
      <w:rPr>
        <w:rFonts w:ascii="Wingdings" w:hAnsi="Wingdings" w:hint="default"/>
      </w:rPr>
    </w:lvl>
  </w:abstractNum>
  <w:abstractNum w:abstractNumId="46" w15:restartNumberingAfterBreak="0">
    <w:nsid w:val="0DB1764B"/>
    <w:multiLevelType w:val="hybridMultilevel"/>
    <w:tmpl w:val="BD2CB10E"/>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0DCE5C9B"/>
    <w:multiLevelType w:val="hybridMultilevel"/>
    <w:tmpl w:val="EF264482"/>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0DD37DEA"/>
    <w:multiLevelType w:val="hybridMultilevel"/>
    <w:tmpl w:val="8C82DD54"/>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49" w15:restartNumberingAfterBreak="0">
    <w:nsid w:val="0E406B2B"/>
    <w:multiLevelType w:val="hybridMultilevel"/>
    <w:tmpl w:val="1E7CC6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0F0E35F4"/>
    <w:multiLevelType w:val="hybridMultilevel"/>
    <w:tmpl w:val="3BDCF8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0F130978"/>
    <w:multiLevelType w:val="hybridMultilevel"/>
    <w:tmpl w:val="DF02CEAE"/>
    <w:lvl w:ilvl="0" w:tplc="333CCC4C">
      <w:start w:val="1"/>
      <w:numFmt w:val="bullet"/>
      <w:lvlText w:val=""/>
      <w:lvlJc w:val="left"/>
      <w:pPr>
        <w:ind w:left="1287" w:hanging="360"/>
      </w:pPr>
      <w:rPr>
        <w:rFonts w:ascii="Symbol" w:hAnsi="Symbol" w:hint="default"/>
        <w:color w:val="auto"/>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2" w15:restartNumberingAfterBreak="0">
    <w:nsid w:val="0F98740F"/>
    <w:multiLevelType w:val="hybridMultilevel"/>
    <w:tmpl w:val="64A0CFEA"/>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3" w15:restartNumberingAfterBreak="0">
    <w:nsid w:val="10182164"/>
    <w:multiLevelType w:val="hybridMultilevel"/>
    <w:tmpl w:val="5500356A"/>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4" w15:restartNumberingAfterBreak="0">
    <w:nsid w:val="10512CCB"/>
    <w:multiLevelType w:val="hybridMultilevel"/>
    <w:tmpl w:val="1FBAACD2"/>
    <w:lvl w:ilvl="0" w:tplc="BE263F7A">
      <w:start w:val="1"/>
      <w:numFmt w:val="bullet"/>
      <w:lvlText w:val=""/>
      <w:lvlJc w:val="left"/>
      <w:pPr>
        <w:ind w:left="0" w:firstLine="0"/>
      </w:pPr>
      <w:rPr>
        <w:rFonts w:ascii="Symbol" w:hAnsi="Symbol" w:hint="default"/>
      </w:rPr>
    </w:lvl>
    <w:lvl w:ilvl="1" w:tplc="04150003">
      <w:start w:val="1"/>
      <w:numFmt w:val="bullet"/>
      <w:lvlText w:val="o"/>
      <w:lvlJc w:val="left"/>
      <w:pPr>
        <w:ind w:left="2793" w:hanging="360"/>
      </w:pPr>
      <w:rPr>
        <w:rFonts w:ascii="Courier New" w:hAnsi="Courier New" w:cs="Courier New" w:hint="default"/>
      </w:rPr>
    </w:lvl>
    <w:lvl w:ilvl="2" w:tplc="04150005">
      <w:start w:val="1"/>
      <w:numFmt w:val="bullet"/>
      <w:lvlText w:val=""/>
      <w:lvlJc w:val="left"/>
      <w:pPr>
        <w:ind w:left="3513" w:hanging="360"/>
      </w:pPr>
      <w:rPr>
        <w:rFonts w:ascii="Wingdings" w:hAnsi="Wingdings" w:hint="default"/>
      </w:rPr>
    </w:lvl>
    <w:lvl w:ilvl="3" w:tplc="04150001">
      <w:start w:val="1"/>
      <w:numFmt w:val="bullet"/>
      <w:lvlText w:val=""/>
      <w:lvlJc w:val="left"/>
      <w:pPr>
        <w:ind w:left="4233" w:hanging="360"/>
      </w:pPr>
      <w:rPr>
        <w:rFonts w:ascii="Symbol" w:hAnsi="Symbol" w:hint="default"/>
      </w:rPr>
    </w:lvl>
    <w:lvl w:ilvl="4" w:tplc="04150003">
      <w:start w:val="1"/>
      <w:numFmt w:val="bullet"/>
      <w:lvlText w:val="o"/>
      <w:lvlJc w:val="left"/>
      <w:pPr>
        <w:ind w:left="4953" w:hanging="360"/>
      </w:pPr>
      <w:rPr>
        <w:rFonts w:ascii="Courier New" w:hAnsi="Courier New" w:cs="Courier New" w:hint="default"/>
      </w:rPr>
    </w:lvl>
    <w:lvl w:ilvl="5" w:tplc="04150005">
      <w:start w:val="1"/>
      <w:numFmt w:val="bullet"/>
      <w:lvlText w:val=""/>
      <w:lvlJc w:val="left"/>
      <w:pPr>
        <w:ind w:left="5673" w:hanging="360"/>
      </w:pPr>
      <w:rPr>
        <w:rFonts w:ascii="Wingdings" w:hAnsi="Wingdings" w:hint="default"/>
      </w:rPr>
    </w:lvl>
    <w:lvl w:ilvl="6" w:tplc="04150001">
      <w:start w:val="1"/>
      <w:numFmt w:val="bullet"/>
      <w:lvlText w:val=""/>
      <w:lvlJc w:val="left"/>
      <w:pPr>
        <w:ind w:left="6393" w:hanging="360"/>
      </w:pPr>
      <w:rPr>
        <w:rFonts w:ascii="Symbol" w:hAnsi="Symbol" w:hint="default"/>
      </w:rPr>
    </w:lvl>
    <w:lvl w:ilvl="7" w:tplc="04150003">
      <w:start w:val="1"/>
      <w:numFmt w:val="bullet"/>
      <w:lvlText w:val="o"/>
      <w:lvlJc w:val="left"/>
      <w:pPr>
        <w:ind w:left="7113" w:hanging="360"/>
      </w:pPr>
      <w:rPr>
        <w:rFonts w:ascii="Courier New" w:hAnsi="Courier New" w:cs="Courier New" w:hint="default"/>
      </w:rPr>
    </w:lvl>
    <w:lvl w:ilvl="8" w:tplc="04150005">
      <w:start w:val="1"/>
      <w:numFmt w:val="bullet"/>
      <w:lvlText w:val=""/>
      <w:lvlJc w:val="left"/>
      <w:pPr>
        <w:ind w:left="7833" w:hanging="360"/>
      </w:pPr>
      <w:rPr>
        <w:rFonts w:ascii="Wingdings" w:hAnsi="Wingdings" w:hint="default"/>
      </w:rPr>
    </w:lvl>
  </w:abstractNum>
  <w:abstractNum w:abstractNumId="55" w15:restartNumberingAfterBreak="0">
    <w:nsid w:val="108A27BC"/>
    <w:multiLevelType w:val="hybridMultilevel"/>
    <w:tmpl w:val="40D6A72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6" w15:restartNumberingAfterBreak="0">
    <w:nsid w:val="10C20DC0"/>
    <w:multiLevelType w:val="hybridMultilevel"/>
    <w:tmpl w:val="854888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10F37FC0"/>
    <w:multiLevelType w:val="hybridMultilevel"/>
    <w:tmpl w:val="936E71E8"/>
    <w:lvl w:ilvl="0" w:tplc="3EAE0EC4">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58" w15:restartNumberingAfterBreak="0">
    <w:nsid w:val="11161C3D"/>
    <w:multiLevelType w:val="hybridMultilevel"/>
    <w:tmpl w:val="1AC2DC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113B4727"/>
    <w:multiLevelType w:val="hybridMultilevel"/>
    <w:tmpl w:val="AC8E66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11812DAD"/>
    <w:multiLevelType w:val="hybridMultilevel"/>
    <w:tmpl w:val="E976D4BC"/>
    <w:lvl w:ilvl="0" w:tplc="04150001">
      <w:start w:val="1"/>
      <w:numFmt w:val="bullet"/>
      <w:lvlText w:val=""/>
      <w:lvlJc w:val="left"/>
      <w:pPr>
        <w:tabs>
          <w:tab w:val="num" w:pos="644"/>
        </w:tabs>
        <w:ind w:left="644" w:hanging="360"/>
      </w:pPr>
      <w:rPr>
        <w:rFonts w:ascii="Symbol" w:hAnsi="Symbol" w:hint="default"/>
        <w:sz w:val="24"/>
        <w:szCs w:val="24"/>
      </w:rPr>
    </w:lvl>
    <w:lvl w:ilvl="1" w:tplc="04150019">
      <w:start w:val="1"/>
      <w:numFmt w:val="lowerLetter"/>
      <w:lvlText w:val="%2."/>
      <w:lvlJc w:val="left"/>
      <w:pPr>
        <w:tabs>
          <w:tab w:val="num" w:pos="1364"/>
        </w:tabs>
        <w:ind w:left="1364" w:hanging="360"/>
      </w:pPr>
    </w:lvl>
    <w:lvl w:ilvl="2" w:tplc="0415001B">
      <w:start w:val="1"/>
      <w:numFmt w:val="lowerRoman"/>
      <w:lvlText w:val="%3."/>
      <w:lvlJc w:val="right"/>
      <w:pPr>
        <w:tabs>
          <w:tab w:val="num" w:pos="2084"/>
        </w:tabs>
        <w:ind w:left="2084" w:hanging="180"/>
      </w:pPr>
    </w:lvl>
    <w:lvl w:ilvl="3" w:tplc="0415000F">
      <w:start w:val="1"/>
      <w:numFmt w:val="decimal"/>
      <w:lvlText w:val="%4."/>
      <w:lvlJc w:val="left"/>
      <w:pPr>
        <w:tabs>
          <w:tab w:val="num" w:pos="2804"/>
        </w:tabs>
        <w:ind w:left="2804" w:hanging="360"/>
      </w:pPr>
    </w:lvl>
    <w:lvl w:ilvl="4" w:tplc="04150019">
      <w:start w:val="1"/>
      <w:numFmt w:val="lowerLetter"/>
      <w:lvlText w:val="%5."/>
      <w:lvlJc w:val="left"/>
      <w:pPr>
        <w:tabs>
          <w:tab w:val="num" w:pos="3524"/>
        </w:tabs>
        <w:ind w:left="3524" w:hanging="360"/>
      </w:pPr>
    </w:lvl>
    <w:lvl w:ilvl="5" w:tplc="0415001B">
      <w:start w:val="1"/>
      <w:numFmt w:val="lowerRoman"/>
      <w:lvlText w:val="%6."/>
      <w:lvlJc w:val="right"/>
      <w:pPr>
        <w:tabs>
          <w:tab w:val="num" w:pos="4244"/>
        </w:tabs>
        <w:ind w:left="4244" w:hanging="180"/>
      </w:pPr>
    </w:lvl>
    <w:lvl w:ilvl="6" w:tplc="0415000F">
      <w:start w:val="1"/>
      <w:numFmt w:val="decimal"/>
      <w:lvlText w:val="%7."/>
      <w:lvlJc w:val="left"/>
      <w:pPr>
        <w:tabs>
          <w:tab w:val="num" w:pos="4964"/>
        </w:tabs>
        <w:ind w:left="4964" w:hanging="360"/>
      </w:pPr>
    </w:lvl>
    <w:lvl w:ilvl="7" w:tplc="04150019">
      <w:start w:val="1"/>
      <w:numFmt w:val="lowerLetter"/>
      <w:lvlText w:val="%8."/>
      <w:lvlJc w:val="left"/>
      <w:pPr>
        <w:tabs>
          <w:tab w:val="num" w:pos="5684"/>
        </w:tabs>
        <w:ind w:left="5684" w:hanging="360"/>
      </w:pPr>
    </w:lvl>
    <w:lvl w:ilvl="8" w:tplc="0415001B">
      <w:start w:val="1"/>
      <w:numFmt w:val="lowerRoman"/>
      <w:lvlText w:val="%9."/>
      <w:lvlJc w:val="right"/>
      <w:pPr>
        <w:tabs>
          <w:tab w:val="num" w:pos="6404"/>
        </w:tabs>
        <w:ind w:left="6404" w:hanging="180"/>
      </w:pPr>
    </w:lvl>
  </w:abstractNum>
  <w:abstractNum w:abstractNumId="61" w15:restartNumberingAfterBreak="0">
    <w:nsid w:val="12144F6A"/>
    <w:multiLevelType w:val="hybridMultilevel"/>
    <w:tmpl w:val="AB5A2AE8"/>
    <w:lvl w:ilvl="0" w:tplc="0415000D">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62" w15:restartNumberingAfterBreak="0">
    <w:nsid w:val="127E2F6C"/>
    <w:multiLevelType w:val="multilevel"/>
    <w:tmpl w:val="0202622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3" w15:restartNumberingAfterBreak="0">
    <w:nsid w:val="12A60D00"/>
    <w:multiLevelType w:val="hybridMultilevel"/>
    <w:tmpl w:val="D0CCE240"/>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64" w15:restartNumberingAfterBreak="0">
    <w:nsid w:val="12D07154"/>
    <w:multiLevelType w:val="hybridMultilevel"/>
    <w:tmpl w:val="F9642C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134B5997"/>
    <w:multiLevelType w:val="hybridMultilevel"/>
    <w:tmpl w:val="5EC629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1363624E"/>
    <w:multiLevelType w:val="hybridMultilevel"/>
    <w:tmpl w:val="3794A3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136F4759"/>
    <w:multiLevelType w:val="hybridMultilevel"/>
    <w:tmpl w:val="AFEEB96E"/>
    <w:lvl w:ilvl="0" w:tplc="04150001">
      <w:start w:val="1"/>
      <w:numFmt w:val="bullet"/>
      <w:lvlText w:val=""/>
      <w:lvlJc w:val="left"/>
      <w:pPr>
        <w:ind w:left="1429" w:hanging="360"/>
      </w:pPr>
      <w:rPr>
        <w:rFonts w:ascii="Symbol" w:hAnsi="Symbol" w:hint="default"/>
      </w:rPr>
    </w:lvl>
    <w:lvl w:ilvl="1" w:tplc="04150003">
      <w:start w:val="1"/>
      <w:numFmt w:val="bullet"/>
      <w:lvlText w:val="o"/>
      <w:lvlJc w:val="left"/>
      <w:pPr>
        <w:ind w:left="2149" w:hanging="360"/>
      </w:pPr>
      <w:rPr>
        <w:rFonts w:ascii="Courier New" w:hAnsi="Courier New" w:cs="Courier New" w:hint="default"/>
      </w:rPr>
    </w:lvl>
    <w:lvl w:ilvl="2" w:tplc="04150005">
      <w:start w:val="1"/>
      <w:numFmt w:val="bullet"/>
      <w:lvlText w:val=""/>
      <w:lvlJc w:val="left"/>
      <w:pPr>
        <w:ind w:left="2869" w:hanging="360"/>
      </w:pPr>
      <w:rPr>
        <w:rFonts w:ascii="Wingdings" w:hAnsi="Wingdings" w:hint="default"/>
      </w:rPr>
    </w:lvl>
    <w:lvl w:ilvl="3" w:tplc="04150001">
      <w:start w:val="1"/>
      <w:numFmt w:val="bullet"/>
      <w:lvlText w:val=""/>
      <w:lvlJc w:val="left"/>
      <w:pPr>
        <w:ind w:left="3589" w:hanging="360"/>
      </w:pPr>
      <w:rPr>
        <w:rFonts w:ascii="Symbol" w:hAnsi="Symbol" w:hint="default"/>
      </w:rPr>
    </w:lvl>
    <w:lvl w:ilvl="4" w:tplc="04150003">
      <w:start w:val="1"/>
      <w:numFmt w:val="bullet"/>
      <w:lvlText w:val="o"/>
      <w:lvlJc w:val="left"/>
      <w:pPr>
        <w:ind w:left="4309" w:hanging="360"/>
      </w:pPr>
      <w:rPr>
        <w:rFonts w:ascii="Courier New" w:hAnsi="Courier New" w:cs="Courier New" w:hint="default"/>
      </w:rPr>
    </w:lvl>
    <w:lvl w:ilvl="5" w:tplc="04150005">
      <w:start w:val="1"/>
      <w:numFmt w:val="bullet"/>
      <w:lvlText w:val=""/>
      <w:lvlJc w:val="left"/>
      <w:pPr>
        <w:ind w:left="5029" w:hanging="360"/>
      </w:pPr>
      <w:rPr>
        <w:rFonts w:ascii="Wingdings" w:hAnsi="Wingdings" w:hint="default"/>
      </w:rPr>
    </w:lvl>
    <w:lvl w:ilvl="6" w:tplc="04150001">
      <w:start w:val="1"/>
      <w:numFmt w:val="bullet"/>
      <w:lvlText w:val=""/>
      <w:lvlJc w:val="left"/>
      <w:pPr>
        <w:ind w:left="5749" w:hanging="360"/>
      </w:pPr>
      <w:rPr>
        <w:rFonts w:ascii="Symbol" w:hAnsi="Symbol" w:hint="default"/>
      </w:rPr>
    </w:lvl>
    <w:lvl w:ilvl="7" w:tplc="04150003">
      <w:start w:val="1"/>
      <w:numFmt w:val="bullet"/>
      <w:lvlText w:val="o"/>
      <w:lvlJc w:val="left"/>
      <w:pPr>
        <w:ind w:left="6469" w:hanging="360"/>
      </w:pPr>
      <w:rPr>
        <w:rFonts w:ascii="Courier New" w:hAnsi="Courier New" w:cs="Courier New" w:hint="default"/>
      </w:rPr>
    </w:lvl>
    <w:lvl w:ilvl="8" w:tplc="04150005">
      <w:start w:val="1"/>
      <w:numFmt w:val="bullet"/>
      <w:lvlText w:val=""/>
      <w:lvlJc w:val="left"/>
      <w:pPr>
        <w:ind w:left="7189" w:hanging="360"/>
      </w:pPr>
      <w:rPr>
        <w:rFonts w:ascii="Wingdings" w:hAnsi="Wingdings" w:hint="default"/>
      </w:rPr>
    </w:lvl>
  </w:abstractNum>
  <w:abstractNum w:abstractNumId="68" w15:restartNumberingAfterBreak="0">
    <w:nsid w:val="13D51880"/>
    <w:multiLevelType w:val="hybridMultilevel"/>
    <w:tmpl w:val="7F6CEFE0"/>
    <w:lvl w:ilvl="0" w:tplc="0415000D">
      <w:start w:val="1"/>
      <w:numFmt w:val="bullet"/>
      <w:lvlText w:val=""/>
      <w:lvlJc w:val="left"/>
      <w:pPr>
        <w:ind w:left="3195" w:hanging="360"/>
      </w:pPr>
      <w:rPr>
        <w:rFonts w:ascii="Wingdings" w:hAnsi="Wingdings" w:hint="default"/>
      </w:rPr>
    </w:lvl>
    <w:lvl w:ilvl="1" w:tplc="04150003" w:tentative="1">
      <w:start w:val="1"/>
      <w:numFmt w:val="bullet"/>
      <w:lvlText w:val="o"/>
      <w:lvlJc w:val="left"/>
      <w:pPr>
        <w:ind w:left="3075" w:hanging="360"/>
      </w:pPr>
      <w:rPr>
        <w:rFonts w:ascii="Courier New" w:hAnsi="Courier New" w:cs="Courier New" w:hint="default"/>
      </w:rPr>
    </w:lvl>
    <w:lvl w:ilvl="2" w:tplc="04150005" w:tentative="1">
      <w:start w:val="1"/>
      <w:numFmt w:val="bullet"/>
      <w:lvlText w:val=""/>
      <w:lvlJc w:val="left"/>
      <w:pPr>
        <w:ind w:left="3795" w:hanging="360"/>
      </w:pPr>
      <w:rPr>
        <w:rFonts w:ascii="Wingdings" w:hAnsi="Wingdings" w:hint="default"/>
      </w:rPr>
    </w:lvl>
    <w:lvl w:ilvl="3" w:tplc="04150001" w:tentative="1">
      <w:start w:val="1"/>
      <w:numFmt w:val="bullet"/>
      <w:lvlText w:val=""/>
      <w:lvlJc w:val="left"/>
      <w:pPr>
        <w:ind w:left="4515" w:hanging="360"/>
      </w:pPr>
      <w:rPr>
        <w:rFonts w:ascii="Symbol" w:hAnsi="Symbol" w:hint="default"/>
      </w:rPr>
    </w:lvl>
    <w:lvl w:ilvl="4" w:tplc="04150003" w:tentative="1">
      <w:start w:val="1"/>
      <w:numFmt w:val="bullet"/>
      <w:lvlText w:val="o"/>
      <w:lvlJc w:val="left"/>
      <w:pPr>
        <w:ind w:left="5235" w:hanging="360"/>
      </w:pPr>
      <w:rPr>
        <w:rFonts w:ascii="Courier New" w:hAnsi="Courier New" w:cs="Courier New" w:hint="default"/>
      </w:rPr>
    </w:lvl>
    <w:lvl w:ilvl="5" w:tplc="04150005" w:tentative="1">
      <w:start w:val="1"/>
      <w:numFmt w:val="bullet"/>
      <w:lvlText w:val=""/>
      <w:lvlJc w:val="left"/>
      <w:pPr>
        <w:ind w:left="5955" w:hanging="360"/>
      </w:pPr>
      <w:rPr>
        <w:rFonts w:ascii="Wingdings" w:hAnsi="Wingdings" w:hint="default"/>
      </w:rPr>
    </w:lvl>
    <w:lvl w:ilvl="6" w:tplc="04150001" w:tentative="1">
      <w:start w:val="1"/>
      <w:numFmt w:val="bullet"/>
      <w:lvlText w:val=""/>
      <w:lvlJc w:val="left"/>
      <w:pPr>
        <w:ind w:left="6675" w:hanging="360"/>
      </w:pPr>
      <w:rPr>
        <w:rFonts w:ascii="Symbol" w:hAnsi="Symbol" w:hint="default"/>
      </w:rPr>
    </w:lvl>
    <w:lvl w:ilvl="7" w:tplc="04150003" w:tentative="1">
      <w:start w:val="1"/>
      <w:numFmt w:val="bullet"/>
      <w:lvlText w:val="o"/>
      <w:lvlJc w:val="left"/>
      <w:pPr>
        <w:ind w:left="7395" w:hanging="360"/>
      </w:pPr>
      <w:rPr>
        <w:rFonts w:ascii="Courier New" w:hAnsi="Courier New" w:cs="Courier New" w:hint="default"/>
      </w:rPr>
    </w:lvl>
    <w:lvl w:ilvl="8" w:tplc="04150005" w:tentative="1">
      <w:start w:val="1"/>
      <w:numFmt w:val="bullet"/>
      <w:lvlText w:val=""/>
      <w:lvlJc w:val="left"/>
      <w:pPr>
        <w:ind w:left="8115" w:hanging="360"/>
      </w:pPr>
      <w:rPr>
        <w:rFonts w:ascii="Wingdings" w:hAnsi="Wingdings" w:hint="default"/>
      </w:rPr>
    </w:lvl>
  </w:abstractNum>
  <w:abstractNum w:abstractNumId="69" w15:restartNumberingAfterBreak="0">
    <w:nsid w:val="149429FE"/>
    <w:multiLevelType w:val="hybridMultilevel"/>
    <w:tmpl w:val="6DBA086C"/>
    <w:lvl w:ilvl="0" w:tplc="3EAE0EC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0" w15:restartNumberingAfterBreak="0">
    <w:nsid w:val="15785954"/>
    <w:multiLevelType w:val="hybridMultilevel"/>
    <w:tmpl w:val="414E9802"/>
    <w:lvl w:ilvl="0" w:tplc="3EAE0EC4">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71" w15:restartNumberingAfterBreak="0">
    <w:nsid w:val="15CA13F5"/>
    <w:multiLevelType w:val="hybridMultilevel"/>
    <w:tmpl w:val="830622EA"/>
    <w:lvl w:ilvl="0" w:tplc="0415000F">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15:restartNumberingAfterBreak="0">
    <w:nsid w:val="16810553"/>
    <w:multiLevelType w:val="hybridMultilevel"/>
    <w:tmpl w:val="BFCEC6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16C12991"/>
    <w:multiLevelType w:val="hybridMultilevel"/>
    <w:tmpl w:val="083AE2F2"/>
    <w:lvl w:ilvl="0" w:tplc="04150001">
      <w:start w:val="1"/>
      <w:numFmt w:val="bullet"/>
      <w:lvlText w:val=""/>
      <w:lvlJc w:val="left"/>
      <w:pPr>
        <w:ind w:left="1429" w:hanging="360"/>
      </w:pPr>
      <w:rPr>
        <w:rFonts w:ascii="Symbol" w:hAnsi="Symbol" w:hint="default"/>
      </w:rPr>
    </w:lvl>
    <w:lvl w:ilvl="1" w:tplc="04150003">
      <w:start w:val="1"/>
      <w:numFmt w:val="decimal"/>
      <w:lvlText w:val="%2."/>
      <w:lvlJc w:val="left"/>
      <w:pPr>
        <w:tabs>
          <w:tab w:val="num" w:pos="2149"/>
        </w:tabs>
        <w:ind w:left="2149" w:hanging="360"/>
      </w:pPr>
    </w:lvl>
    <w:lvl w:ilvl="2" w:tplc="04150005">
      <w:start w:val="1"/>
      <w:numFmt w:val="decimal"/>
      <w:lvlText w:val="%3."/>
      <w:lvlJc w:val="left"/>
      <w:pPr>
        <w:tabs>
          <w:tab w:val="num" w:pos="2869"/>
        </w:tabs>
        <w:ind w:left="2869" w:hanging="360"/>
      </w:pPr>
    </w:lvl>
    <w:lvl w:ilvl="3" w:tplc="04150001">
      <w:start w:val="1"/>
      <w:numFmt w:val="decimal"/>
      <w:lvlText w:val="%4."/>
      <w:lvlJc w:val="left"/>
      <w:pPr>
        <w:tabs>
          <w:tab w:val="num" w:pos="3589"/>
        </w:tabs>
        <w:ind w:left="3589" w:hanging="360"/>
      </w:pPr>
    </w:lvl>
    <w:lvl w:ilvl="4" w:tplc="04150003">
      <w:start w:val="1"/>
      <w:numFmt w:val="decimal"/>
      <w:lvlText w:val="%5."/>
      <w:lvlJc w:val="left"/>
      <w:pPr>
        <w:tabs>
          <w:tab w:val="num" w:pos="4309"/>
        </w:tabs>
        <w:ind w:left="4309" w:hanging="360"/>
      </w:pPr>
    </w:lvl>
    <w:lvl w:ilvl="5" w:tplc="04150005">
      <w:start w:val="1"/>
      <w:numFmt w:val="decimal"/>
      <w:lvlText w:val="%6."/>
      <w:lvlJc w:val="left"/>
      <w:pPr>
        <w:tabs>
          <w:tab w:val="num" w:pos="5029"/>
        </w:tabs>
        <w:ind w:left="5029" w:hanging="360"/>
      </w:pPr>
    </w:lvl>
    <w:lvl w:ilvl="6" w:tplc="04150001">
      <w:start w:val="1"/>
      <w:numFmt w:val="decimal"/>
      <w:lvlText w:val="%7."/>
      <w:lvlJc w:val="left"/>
      <w:pPr>
        <w:tabs>
          <w:tab w:val="num" w:pos="5749"/>
        </w:tabs>
        <w:ind w:left="5749" w:hanging="360"/>
      </w:pPr>
    </w:lvl>
    <w:lvl w:ilvl="7" w:tplc="04150003">
      <w:start w:val="1"/>
      <w:numFmt w:val="decimal"/>
      <w:lvlText w:val="%8."/>
      <w:lvlJc w:val="left"/>
      <w:pPr>
        <w:tabs>
          <w:tab w:val="num" w:pos="6469"/>
        </w:tabs>
        <w:ind w:left="6469" w:hanging="360"/>
      </w:pPr>
    </w:lvl>
    <w:lvl w:ilvl="8" w:tplc="04150005">
      <w:start w:val="1"/>
      <w:numFmt w:val="decimal"/>
      <w:lvlText w:val="%9."/>
      <w:lvlJc w:val="left"/>
      <w:pPr>
        <w:tabs>
          <w:tab w:val="num" w:pos="7189"/>
        </w:tabs>
        <w:ind w:left="7189" w:hanging="360"/>
      </w:pPr>
    </w:lvl>
  </w:abstractNum>
  <w:abstractNum w:abstractNumId="74" w15:restartNumberingAfterBreak="0">
    <w:nsid w:val="171B1F41"/>
    <w:multiLevelType w:val="hybridMultilevel"/>
    <w:tmpl w:val="5FFE09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1731590A"/>
    <w:multiLevelType w:val="hybridMultilevel"/>
    <w:tmpl w:val="30AA3F30"/>
    <w:lvl w:ilvl="0" w:tplc="1A8CC3DE">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6" w15:restartNumberingAfterBreak="0">
    <w:nsid w:val="17695C01"/>
    <w:multiLevelType w:val="hybridMultilevel"/>
    <w:tmpl w:val="CBA03BC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7" w15:restartNumberingAfterBreak="0">
    <w:nsid w:val="176E7FD8"/>
    <w:multiLevelType w:val="hybridMultilevel"/>
    <w:tmpl w:val="875C4242"/>
    <w:lvl w:ilvl="0" w:tplc="3EAE0EC4">
      <w:start w:val="1"/>
      <w:numFmt w:val="bullet"/>
      <w:lvlText w:val=""/>
      <w:lvlJc w:val="left"/>
      <w:pPr>
        <w:ind w:left="1429" w:hanging="360"/>
      </w:pPr>
      <w:rPr>
        <w:rFonts w:ascii="Symbol" w:hAnsi="Symbol" w:hint="default"/>
      </w:rPr>
    </w:lvl>
    <w:lvl w:ilvl="1" w:tplc="04150003">
      <w:start w:val="1"/>
      <w:numFmt w:val="bullet"/>
      <w:lvlText w:val="o"/>
      <w:lvlJc w:val="left"/>
      <w:pPr>
        <w:ind w:left="2149" w:hanging="360"/>
      </w:pPr>
      <w:rPr>
        <w:rFonts w:ascii="Courier New" w:hAnsi="Courier New" w:cs="Courier New" w:hint="default"/>
      </w:rPr>
    </w:lvl>
    <w:lvl w:ilvl="2" w:tplc="04150005">
      <w:start w:val="1"/>
      <w:numFmt w:val="bullet"/>
      <w:lvlText w:val=""/>
      <w:lvlJc w:val="left"/>
      <w:pPr>
        <w:ind w:left="2869" w:hanging="360"/>
      </w:pPr>
      <w:rPr>
        <w:rFonts w:ascii="Wingdings" w:hAnsi="Wingdings" w:hint="default"/>
      </w:rPr>
    </w:lvl>
    <w:lvl w:ilvl="3" w:tplc="04150001">
      <w:start w:val="1"/>
      <w:numFmt w:val="bullet"/>
      <w:lvlText w:val=""/>
      <w:lvlJc w:val="left"/>
      <w:pPr>
        <w:ind w:left="3589" w:hanging="360"/>
      </w:pPr>
      <w:rPr>
        <w:rFonts w:ascii="Symbol" w:hAnsi="Symbol" w:hint="default"/>
      </w:rPr>
    </w:lvl>
    <w:lvl w:ilvl="4" w:tplc="04150003">
      <w:start w:val="1"/>
      <w:numFmt w:val="bullet"/>
      <w:lvlText w:val="o"/>
      <w:lvlJc w:val="left"/>
      <w:pPr>
        <w:ind w:left="4309" w:hanging="360"/>
      </w:pPr>
      <w:rPr>
        <w:rFonts w:ascii="Courier New" w:hAnsi="Courier New" w:cs="Courier New" w:hint="default"/>
      </w:rPr>
    </w:lvl>
    <w:lvl w:ilvl="5" w:tplc="04150005">
      <w:start w:val="1"/>
      <w:numFmt w:val="bullet"/>
      <w:lvlText w:val=""/>
      <w:lvlJc w:val="left"/>
      <w:pPr>
        <w:ind w:left="5029" w:hanging="360"/>
      </w:pPr>
      <w:rPr>
        <w:rFonts w:ascii="Wingdings" w:hAnsi="Wingdings" w:hint="default"/>
      </w:rPr>
    </w:lvl>
    <w:lvl w:ilvl="6" w:tplc="04150001">
      <w:start w:val="1"/>
      <w:numFmt w:val="bullet"/>
      <w:lvlText w:val=""/>
      <w:lvlJc w:val="left"/>
      <w:pPr>
        <w:ind w:left="5749" w:hanging="360"/>
      </w:pPr>
      <w:rPr>
        <w:rFonts w:ascii="Symbol" w:hAnsi="Symbol" w:hint="default"/>
      </w:rPr>
    </w:lvl>
    <w:lvl w:ilvl="7" w:tplc="04150003">
      <w:start w:val="1"/>
      <w:numFmt w:val="bullet"/>
      <w:lvlText w:val="o"/>
      <w:lvlJc w:val="left"/>
      <w:pPr>
        <w:ind w:left="6469" w:hanging="360"/>
      </w:pPr>
      <w:rPr>
        <w:rFonts w:ascii="Courier New" w:hAnsi="Courier New" w:cs="Courier New" w:hint="default"/>
      </w:rPr>
    </w:lvl>
    <w:lvl w:ilvl="8" w:tplc="04150005">
      <w:start w:val="1"/>
      <w:numFmt w:val="bullet"/>
      <w:lvlText w:val=""/>
      <w:lvlJc w:val="left"/>
      <w:pPr>
        <w:ind w:left="7189" w:hanging="360"/>
      </w:pPr>
      <w:rPr>
        <w:rFonts w:ascii="Wingdings" w:hAnsi="Wingdings" w:hint="default"/>
      </w:rPr>
    </w:lvl>
  </w:abstractNum>
  <w:abstractNum w:abstractNumId="78" w15:restartNumberingAfterBreak="0">
    <w:nsid w:val="17F95CAC"/>
    <w:multiLevelType w:val="hybridMultilevel"/>
    <w:tmpl w:val="038A454A"/>
    <w:lvl w:ilvl="0" w:tplc="3EAE0EC4">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79" w15:restartNumberingAfterBreak="0">
    <w:nsid w:val="180B1FE5"/>
    <w:multiLevelType w:val="hybridMultilevel"/>
    <w:tmpl w:val="A184C46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15:restartNumberingAfterBreak="0">
    <w:nsid w:val="18D14B60"/>
    <w:multiLevelType w:val="hybridMultilevel"/>
    <w:tmpl w:val="DA52278C"/>
    <w:lvl w:ilvl="0" w:tplc="04150001">
      <w:start w:val="1"/>
      <w:numFmt w:val="bullet"/>
      <w:lvlText w:val=""/>
      <w:lvlJc w:val="left"/>
      <w:pPr>
        <w:ind w:left="643" w:hanging="360"/>
      </w:pPr>
      <w:rPr>
        <w:rFonts w:ascii="Symbol" w:hAnsi="Symbol" w:hint="default"/>
        <w:sz w:val="24"/>
        <w:szCs w:val="24"/>
      </w:rPr>
    </w:lvl>
    <w:lvl w:ilvl="1" w:tplc="04150003">
      <w:start w:val="1"/>
      <w:numFmt w:val="bullet"/>
      <w:lvlText w:val="o"/>
      <w:lvlJc w:val="left"/>
      <w:pPr>
        <w:ind w:left="1297" w:hanging="360"/>
      </w:pPr>
      <w:rPr>
        <w:rFonts w:ascii="Courier New" w:hAnsi="Courier New" w:cs="Courier New" w:hint="default"/>
      </w:rPr>
    </w:lvl>
    <w:lvl w:ilvl="2" w:tplc="04150005">
      <w:start w:val="1"/>
      <w:numFmt w:val="bullet"/>
      <w:lvlText w:val=""/>
      <w:lvlJc w:val="left"/>
      <w:pPr>
        <w:ind w:left="2017" w:hanging="360"/>
      </w:pPr>
      <w:rPr>
        <w:rFonts w:ascii="Wingdings" w:hAnsi="Wingdings" w:hint="default"/>
        <w:sz w:val="24"/>
        <w:szCs w:val="24"/>
      </w:rPr>
    </w:lvl>
    <w:lvl w:ilvl="3" w:tplc="04150001" w:tentative="1">
      <w:start w:val="1"/>
      <w:numFmt w:val="bullet"/>
      <w:lvlText w:val=""/>
      <w:lvlJc w:val="left"/>
      <w:pPr>
        <w:ind w:left="2737" w:hanging="360"/>
      </w:pPr>
      <w:rPr>
        <w:rFonts w:ascii="Symbol" w:hAnsi="Symbol" w:hint="default"/>
      </w:rPr>
    </w:lvl>
    <w:lvl w:ilvl="4" w:tplc="04150003" w:tentative="1">
      <w:start w:val="1"/>
      <w:numFmt w:val="bullet"/>
      <w:lvlText w:val="o"/>
      <w:lvlJc w:val="left"/>
      <w:pPr>
        <w:ind w:left="3457" w:hanging="360"/>
      </w:pPr>
      <w:rPr>
        <w:rFonts w:ascii="Courier New" w:hAnsi="Courier New" w:cs="Courier New" w:hint="default"/>
      </w:rPr>
    </w:lvl>
    <w:lvl w:ilvl="5" w:tplc="04150005" w:tentative="1">
      <w:start w:val="1"/>
      <w:numFmt w:val="bullet"/>
      <w:lvlText w:val=""/>
      <w:lvlJc w:val="left"/>
      <w:pPr>
        <w:ind w:left="4177" w:hanging="360"/>
      </w:pPr>
      <w:rPr>
        <w:rFonts w:ascii="Wingdings" w:hAnsi="Wingdings" w:hint="default"/>
      </w:rPr>
    </w:lvl>
    <w:lvl w:ilvl="6" w:tplc="04150001" w:tentative="1">
      <w:start w:val="1"/>
      <w:numFmt w:val="bullet"/>
      <w:lvlText w:val=""/>
      <w:lvlJc w:val="left"/>
      <w:pPr>
        <w:ind w:left="4897" w:hanging="360"/>
      </w:pPr>
      <w:rPr>
        <w:rFonts w:ascii="Symbol" w:hAnsi="Symbol" w:hint="default"/>
      </w:rPr>
    </w:lvl>
    <w:lvl w:ilvl="7" w:tplc="04150003" w:tentative="1">
      <w:start w:val="1"/>
      <w:numFmt w:val="bullet"/>
      <w:lvlText w:val="o"/>
      <w:lvlJc w:val="left"/>
      <w:pPr>
        <w:ind w:left="5617" w:hanging="360"/>
      </w:pPr>
      <w:rPr>
        <w:rFonts w:ascii="Courier New" w:hAnsi="Courier New" w:cs="Courier New" w:hint="default"/>
      </w:rPr>
    </w:lvl>
    <w:lvl w:ilvl="8" w:tplc="04150005" w:tentative="1">
      <w:start w:val="1"/>
      <w:numFmt w:val="bullet"/>
      <w:lvlText w:val=""/>
      <w:lvlJc w:val="left"/>
      <w:pPr>
        <w:ind w:left="6337" w:hanging="360"/>
      </w:pPr>
      <w:rPr>
        <w:rFonts w:ascii="Wingdings" w:hAnsi="Wingdings" w:hint="default"/>
      </w:rPr>
    </w:lvl>
  </w:abstractNum>
  <w:abstractNum w:abstractNumId="81" w15:restartNumberingAfterBreak="0">
    <w:nsid w:val="19987F9A"/>
    <w:multiLevelType w:val="hybridMultilevel"/>
    <w:tmpl w:val="F92A58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1A044E09"/>
    <w:multiLevelType w:val="hybridMultilevel"/>
    <w:tmpl w:val="E1BEE2C4"/>
    <w:lvl w:ilvl="0" w:tplc="1E1A0D80">
      <w:start w:val="1"/>
      <w:numFmt w:val="bullet"/>
      <w:lvlText w:val=""/>
      <w:lvlJc w:val="left"/>
      <w:pPr>
        <w:tabs>
          <w:tab w:val="num" w:pos="720"/>
        </w:tabs>
        <w:ind w:left="720" w:hanging="360"/>
      </w:pPr>
      <w:rPr>
        <w:rFonts w:ascii="Wingdings" w:hAnsi="Wingdings" w:hint="default"/>
        <w:color w:val="auto"/>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83" w15:restartNumberingAfterBreak="0">
    <w:nsid w:val="1A09752F"/>
    <w:multiLevelType w:val="hybridMultilevel"/>
    <w:tmpl w:val="D748A67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15:restartNumberingAfterBreak="0">
    <w:nsid w:val="1A8A4B19"/>
    <w:multiLevelType w:val="hybridMultilevel"/>
    <w:tmpl w:val="85DA99C0"/>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85" w15:restartNumberingAfterBreak="0">
    <w:nsid w:val="1AEB5B58"/>
    <w:multiLevelType w:val="hybridMultilevel"/>
    <w:tmpl w:val="321A898C"/>
    <w:lvl w:ilvl="0" w:tplc="04150001">
      <w:start w:val="1"/>
      <w:numFmt w:val="bullet"/>
      <w:lvlText w:val=""/>
      <w:lvlJc w:val="left"/>
      <w:pPr>
        <w:ind w:left="643" w:hanging="360"/>
      </w:pPr>
      <w:rPr>
        <w:rFonts w:ascii="Symbol" w:hAnsi="Symbol" w:hint="default"/>
        <w:sz w:val="24"/>
        <w:szCs w:val="24"/>
      </w:rPr>
    </w:lvl>
    <w:lvl w:ilvl="1" w:tplc="04150003">
      <w:start w:val="1"/>
      <w:numFmt w:val="bullet"/>
      <w:lvlText w:val="o"/>
      <w:lvlJc w:val="left"/>
      <w:pPr>
        <w:ind w:left="1297" w:hanging="360"/>
      </w:pPr>
      <w:rPr>
        <w:rFonts w:ascii="Courier New" w:hAnsi="Courier New" w:cs="Courier New" w:hint="default"/>
      </w:rPr>
    </w:lvl>
    <w:lvl w:ilvl="2" w:tplc="04150005">
      <w:start w:val="1"/>
      <w:numFmt w:val="bullet"/>
      <w:lvlText w:val=""/>
      <w:lvlJc w:val="left"/>
      <w:pPr>
        <w:ind w:left="2017" w:hanging="360"/>
      </w:pPr>
      <w:rPr>
        <w:rFonts w:ascii="Wingdings" w:hAnsi="Wingdings" w:hint="default"/>
        <w:sz w:val="24"/>
        <w:szCs w:val="24"/>
      </w:rPr>
    </w:lvl>
    <w:lvl w:ilvl="3" w:tplc="04150001" w:tentative="1">
      <w:start w:val="1"/>
      <w:numFmt w:val="bullet"/>
      <w:lvlText w:val=""/>
      <w:lvlJc w:val="left"/>
      <w:pPr>
        <w:ind w:left="2737" w:hanging="360"/>
      </w:pPr>
      <w:rPr>
        <w:rFonts w:ascii="Symbol" w:hAnsi="Symbol" w:hint="default"/>
      </w:rPr>
    </w:lvl>
    <w:lvl w:ilvl="4" w:tplc="04150003" w:tentative="1">
      <w:start w:val="1"/>
      <w:numFmt w:val="bullet"/>
      <w:lvlText w:val="o"/>
      <w:lvlJc w:val="left"/>
      <w:pPr>
        <w:ind w:left="3457" w:hanging="360"/>
      </w:pPr>
      <w:rPr>
        <w:rFonts w:ascii="Courier New" w:hAnsi="Courier New" w:cs="Courier New" w:hint="default"/>
      </w:rPr>
    </w:lvl>
    <w:lvl w:ilvl="5" w:tplc="04150005" w:tentative="1">
      <w:start w:val="1"/>
      <w:numFmt w:val="bullet"/>
      <w:lvlText w:val=""/>
      <w:lvlJc w:val="left"/>
      <w:pPr>
        <w:ind w:left="4177" w:hanging="360"/>
      </w:pPr>
      <w:rPr>
        <w:rFonts w:ascii="Wingdings" w:hAnsi="Wingdings" w:hint="default"/>
      </w:rPr>
    </w:lvl>
    <w:lvl w:ilvl="6" w:tplc="04150001" w:tentative="1">
      <w:start w:val="1"/>
      <w:numFmt w:val="bullet"/>
      <w:lvlText w:val=""/>
      <w:lvlJc w:val="left"/>
      <w:pPr>
        <w:ind w:left="4897" w:hanging="360"/>
      </w:pPr>
      <w:rPr>
        <w:rFonts w:ascii="Symbol" w:hAnsi="Symbol" w:hint="default"/>
      </w:rPr>
    </w:lvl>
    <w:lvl w:ilvl="7" w:tplc="04150003" w:tentative="1">
      <w:start w:val="1"/>
      <w:numFmt w:val="bullet"/>
      <w:lvlText w:val="o"/>
      <w:lvlJc w:val="left"/>
      <w:pPr>
        <w:ind w:left="5617" w:hanging="360"/>
      </w:pPr>
      <w:rPr>
        <w:rFonts w:ascii="Courier New" w:hAnsi="Courier New" w:cs="Courier New" w:hint="default"/>
      </w:rPr>
    </w:lvl>
    <w:lvl w:ilvl="8" w:tplc="04150005" w:tentative="1">
      <w:start w:val="1"/>
      <w:numFmt w:val="bullet"/>
      <w:lvlText w:val=""/>
      <w:lvlJc w:val="left"/>
      <w:pPr>
        <w:ind w:left="6337" w:hanging="360"/>
      </w:pPr>
      <w:rPr>
        <w:rFonts w:ascii="Wingdings" w:hAnsi="Wingdings" w:hint="default"/>
      </w:rPr>
    </w:lvl>
  </w:abstractNum>
  <w:abstractNum w:abstractNumId="86" w15:restartNumberingAfterBreak="0">
    <w:nsid w:val="1B2635D5"/>
    <w:multiLevelType w:val="hybridMultilevel"/>
    <w:tmpl w:val="6CDE19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1B3F6ED0"/>
    <w:multiLevelType w:val="hybridMultilevel"/>
    <w:tmpl w:val="0686A4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1B6644F3"/>
    <w:multiLevelType w:val="hybridMultilevel"/>
    <w:tmpl w:val="BCAC9D1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89" w15:restartNumberingAfterBreak="0">
    <w:nsid w:val="1BC04E28"/>
    <w:multiLevelType w:val="hybridMultilevel"/>
    <w:tmpl w:val="18F86336"/>
    <w:lvl w:ilvl="0" w:tplc="3EAE0EC4">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0" w15:restartNumberingAfterBreak="0">
    <w:nsid w:val="1C7F6309"/>
    <w:multiLevelType w:val="hybridMultilevel"/>
    <w:tmpl w:val="3F0047BE"/>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91" w15:restartNumberingAfterBreak="0">
    <w:nsid w:val="1D1F758D"/>
    <w:multiLevelType w:val="hybridMultilevel"/>
    <w:tmpl w:val="E55C8BAA"/>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1D3A6EA3"/>
    <w:multiLevelType w:val="multilevel"/>
    <w:tmpl w:val="7F22AE68"/>
    <w:lvl w:ilvl="0">
      <w:start w:val="3"/>
      <w:numFmt w:val="decimal"/>
      <w:lvlText w:val="%1."/>
      <w:lvlJc w:val="left"/>
      <w:pPr>
        <w:tabs>
          <w:tab w:val="num" w:pos="360"/>
        </w:tabs>
        <w:ind w:left="0" w:firstLine="0"/>
      </w:pPr>
    </w:lvl>
    <w:lvl w:ilvl="1">
      <w:start w:val="1"/>
      <w:numFmt w:val="decimal"/>
      <w:lvlRestart w:val="0"/>
      <w:pStyle w:val="raportnagwek2"/>
      <w:lvlText w:val="%1.%2"/>
      <w:lvlJc w:val="left"/>
      <w:pPr>
        <w:tabs>
          <w:tab w:val="num" w:pos="360"/>
        </w:tabs>
        <w:ind w:left="0" w:firstLine="0"/>
      </w:pPr>
    </w:lvl>
    <w:lvl w:ilvl="2">
      <w:start w:val="1"/>
      <w:numFmt w:val="decimal"/>
      <w:lvlText w:val="%1.%2.%3"/>
      <w:lvlJc w:val="left"/>
      <w:pPr>
        <w:tabs>
          <w:tab w:val="num" w:pos="720"/>
        </w:tabs>
        <w:ind w:left="0" w:firstLine="0"/>
      </w:pPr>
    </w:lvl>
    <w:lvl w:ilvl="3">
      <w:start w:val="1"/>
      <w:numFmt w:val="decimal"/>
      <w:lvlText w:val="%1.%2.%3.%4"/>
      <w:lvlJc w:val="left"/>
      <w:pPr>
        <w:tabs>
          <w:tab w:val="num" w:pos="72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1800" w:hanging="1800"/>
      </w:pPr>
    </w:lvl>
  </w:abstractNum>
  <w:abstractNum w:abstractNumId="93" w15:restartNumberingAfterBreak="0">
    <w:nsid w:val="1D6F625D"/>
    <w:multiLevelType w:val="hybridMultilevel"/>
    <w:tmpl w:val="A208BF2E"/>
    <w:lvl w:ilvl="0" w:tplc="04150005">
      <w:start w:val="1"/>
      <w:numFmt w:val="bullet"/>
      <w:lvlText w:val=""/>
      <w:lvlJc w:val="left"/>
      <w:pPr>
        <w:tabs>
          <w:tab w:val="num" w:pos="644"/>
        </w:tabs>
        <w:ind w:left="644" w:hanging="360"/>
      </w:pPr>
      <w:rPr>
        <w:rFonts w:ascii="Wingdings" w:hAnsi="Wingdings" w:hint="default"/>
        <w:sz w:val="24"/>
        <w:szCs w:val="24"/>
      </w:rPr>
    </w:lvl>
    <w:lvl w:ilvl="1" w:tplc="04150019">
      <w:start w:val="1"/>
      <w:numFmt w:val="lowerLetter"/>
      <w:lvlText w:val="%2."/>
      <w:lvlJc w:val="left"/>
      <w:pPr>
        <w:tabs>
          <w:tab w:val="num" w:pos="1364"/>
        </w:tabs>
        <w:ind w:left="1364" w:hanging="360"/>
      </w:pPr>
    </w:lvl>
    <w:lvl w:ilvl="2" w:tplc="0415001B">
      <w:start w:val="1"/>
      <w:numFmt w:val="lowerRoman"/>
      <w:lvlText w:val="%3."/>
      <w:lvlJc w:val="right"/>
      <w:pPr>
        <w:tabs>
          <w:tab w:val="num" w:pos="2084"/>
        </w:tabs>
        <w:ind w:left="2084" w:hanging="180"/>
      </w:pPr>
    </w:lvl>
    <w:lvl w:ilvl="3" w:tplc="0415000F">
      <w:start w:val="1"/>
      <w:numFmt w:val="decimal"/>
      <w:lvlText w:val="%4."/>
      <w:lvlJc w:val="left"/>
      <w:pPr>
        <w:tabs>
          <w:tab w:val="num" w:pos="2804"/>
        </w:tabs>
        <w:ind w:left="2804" w:hanging="360"/>
      </w:pPr>
    </w:lvl>
    <w:lvl w:ilvl="4" w:tplc="04150019">
      <w:start w:val="1"/>
      <w:numFmt w:val="lowerLetter"/>
      <w:lvlText w:val="%5."/>
      <w:lvlJc w:val="left"/>
      <w:pPr>
        <w:tabs>
          <w:tab w:val="num" w:pos="3524"/>
        </w:tabs>
        <w:ind w:left="3524" w:hanging="360"/>
      </w:pPr>
    </w:lvl>
    <w:lvl w:ilvl="5" w:tplc="0415001B">
      <w:start w:val="1"/>
      <w:numFmt w:val="lowerRoman"/>
      <w:lvlText w:val="%6."/>
      <w:lvlJc w:val="right"/>
      <w:pPr>
        <w:tabs>
          <w:tab w:val="num" w:pos="4244"/>
        </w:tabs>
        <w:ind w:left="4244" w:hanging="180"/>
      </w:pPr>
    </w:lvl>
    <w:lvl w:ilvl="6" w:tplc="0415000F">
      <w:start w:val="1"/>
      <w:numFmt w:val="decimal"/>
      <w:lvlText w:val="%7."/>
      <w:lvlJc w:val="left"/>
      <w:pPr>
        <w:tabs>
          <w:tab w:val="num" w:pos="4964"/>
        </w:tabs>
        <w:ind w:left="4964" w:hanging="360"/>
      </w:pPr>
    </w:lvl>
    <w:lvl w:ilvl="7" w:tplc="04150019">
      <w:start w:val="1"/>
      <w:numFmt w:val="lowerLetter"/>
      <w:lvlText w:val="%8."/>
      <w:lvlJc w:val="left"/>
      <w:pPr>
        <w:tabs>
          <w:tab w:val="num" w:pos="5684"/>
        </w:tabs>
        <w:ind w:left="5684" w:hanging="360"/>
      </w:pPr>
    </w:lvl>
    <w:lvl w:ilvl="8" w:tplc="0415001B">
      <w:start w:val="1"/>
      <w:numFmt w:val="lowerRoman"/>
      <w:lvlText w:val="%9."/>
      <w:lvlJc w:val="right"/>
      <w:pPr>
        <w:tabs>
          <w:tab w:val="num" w:pos="6404"/>
        </w:tabs>
        <w:ind w:left="6404" w:hanging="180"/>
      </w:pPr>
    </w:lvl>
  </w:abstractNum>
  <w:abstractNum w:abstractNumId="94" w15:restartNumberingAfterBreak="0">
    <w:nsid w:val="1D7A0864"/>
    <w:multiLevelType w:val="hybridMultilevel"/>
    <w:tmpl w:val="5CFEDBB4"/>
    <w:lvl w:ilvl="0" w:tplc="0354166E">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95" w15:restartNumberingAfterBreak="0">
    <w:nsid w:val="1E0E2580"/>
    <w:multiLevelType w:val="hybridMultilevel"/>
    <w:tmpl w:val="B7C0D260"/>
    <w:lvl w:ilvl="0" w:tplc="04150001">
      <w:start w:val="1"/>
      <w:numFmt w:val="bullet"/>
      <w:lvlText w:val=""/>
      <w:lvlJc w:val="left"/>
      <w:pPr>
        <w:ind w:left="644" w:hanging="360"/>
      </w:pPr>
      <w:rPr>
        <w:rFonts w:ascii="Symbol" w:hAnsi="Symbol" w:hint="default"/>
      </w:rPr>
    </w:lvl>
    <w:lvl w:ilvl="1" w:tplc="04150003" w:tentative="1">
      <w:start w:val="1"/>
      <w:numFmt w:val="bullet"/>
      <w:lvlText w:val="o"/>
      <w:lvlJc w:val="left"/>
      <w:pPr>
        <w:ind w:left="1364" w:hanging="360"/>
      </w:pPr>
      <w:rPr>
        <w:rFonts w:ascii="Courier New" w:hAnsi="Courier New" w:cs="Courier New"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96" w15:restartNumberingAfterBreak="0">
    <w:nsid w:val="1EF01C63"/>
    <w:multiLevelType w:val="multilevel"/>
    <w:tmpl w:val="5D5AB586"/>
    <w:styleLink w:val="WWNum4"/>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7" w15:restartNumberingAfterBreak="0">
    <w:nsid w:val="1F2573CF"/>
    <w:multiLevelType w:val="hybridMultilevel"/>
    <w:tmpl w:val="A28687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1F345587"/>
    <w:multiLevelType w:val="hybridMultilevel"/>
    <w:tmpl w:val="D668F3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1FB21CBD"/>
    <w:multiLevelType w:val="hybridMultilevel"/>
    <w:tmpl w:val="6AD4DCEE"/>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1FB23740"/>
    <w:multiLevelType w:val="hybridMultilevel"/>
    <w:tmpl w:val="906C24EA"/>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2019042F"/>
    <w:multiLevelType w:val="hybridMultilevel"/>
    <w:tmpl w:val="509CC2B0"/>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02" w15:restartNumberingAfterBreak="0">
    <w:nsid w:val="205510BC"/>
    <w:multiLevelType w:val="multilevel"/>
    <w:tmpl w:val="3BFE0196"/>
    <w:styleLink w:val="WWNum3"/>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3" w15:restartNumberingAfterBreak="0">
    <w:nsid w:val="20C845A7"/>
    <w:multiLevelType w:val="hybridMultilevel"/>
    <w:tmpl w:val="94561D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21DC2951"/>
    <w:multiLevelType w:val="hybridMultilevel"/>
    <w:tmpl w:val="6D4C588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5" w15:restartNumberingAfterBreak="0">
    <w:nsid w:val="222B7CB7"/>
    <w:multiLevelType w:val="hybridMultilevel"/>
    <w:tmpl w:val="77D4965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6" w15:restartNumberingAfterBreak="0">
    <w:nsid w:val="229017D2"/>
    <w:multiLevelType w:val="hybridMultilevel"/>
    <w:tmpl w:val="FE48B55C"/>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22C179C2"/>
    <w:multiLevelType w:val="hybridMultilevel"/>
    <w:tmpl w:val="9DD811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22F24E6E"/>
    <w:multiLevelType w:val="hybridMultilevel"/>
    <w:tmpl w:val="4880C8B0"/>
    <w:lvl w:ilvl="0" w:tplc="3EAE0EC4">
      <w:start w:val="1"/>
      <w:numFmt w:val="bullet"/>
      <w:lvlText w:val=""/>
      <w:lvlJc w:val="left"/>
      <w:pPr>
        <w:ind w:left="2214" w:hanging="360"/>
      </w:pPr>
      <w:rPr>
        <w:rFonts w:ascii="Symbol" w:hAnsi="Symbol" w:hint="default"/>
      </w:rPr>
    </w:lvl>
    <w:lvl w:ilvl="1" w:tplc="04150003" w:tentative="1">
      <w:start w:val="1"/>
      <w:numFmt w:val="bullet"/>
      <w:lvlText w:val="o"/>
      <w:lvlJc w:val="left"/>
      <w:pPr>
        <w:ind w:left="2934" w:hanging="360"/>
      </w:pPr>
      <w:rPr>
        <w:rFonts w:ascii="Courier New" w:hAnsi="Courier New" w:cs="Courier New" w:hint="default"/>
      </w:rPr>
    </w:lvl>
    <w:lvl w:ilvl="2" w:tplc="04150005" w:tentative="1">
      <w:start w:val="1"/>
      <w:numFmt w:val="bullet"/>
      <w:lvlText w:val=""/>
      <w:lvlJc w:val="left"/>
      <w:pPr>
        <w:ind w:left="3654" w:hanging="360"/>
      </w:pPr>
      <w:rPr>
        <w:rFonts w:ascii="Wingdings" w:hAnsi="Wingdings" w:hint="default"/>
      </w:rPr>
    </w:lvl>
    <w:lvl w:ilvl="3" w:tplc="04150001" w:tentative="1">
      <w:start w:val="1"/>
      <w:numFmt w:val="bullet"/>
      <w:lvlText w:val=""/>
      <w:lvlJc w:val="left"/>
      <w:pPr>
        <w:ind w:left="4374" w:hanging="360"/>
      </w:pPr>
      <w:rPr>
        <w:rFonts w:ascii="Symbol" w:hAnsi="Symbol" w:hint="default"/>
      </w:rPr>
    </w:lvl>
    <w:lvl w:ilvl="4" w:tplc="04150003" w:tentative="1">
      <w:start w:val="1"/>
      <w:numFmt w:val="bullet"/>
      <w:lvlText w:val="o"/>
      <w:lvlJc w:val="left"/>
      <w:pPr>
        <w:ind w:left="5094" w:hanging="360"/>
      </w:pPr>
      <w:rPr>
        <w:rFonts w:ascii="Courier New" w:hAnsi="Courier New" w:cs="Courier New" w:hint="default"/>
      </w:rPr>
    </w:lvl>
    <w:lvl w:ilvl="5" w:tplc="04150005" w:tentative="1">
      <w:start w:val="1"/>
      <w:numFmt w:val="bullet"/>
      <w:lvlText w:val=""/>
      <w:lvlJc w:val="left"/>
      <w:pPr>
        <w:ind w:left="5814" w:hanging="360"/>
      </w:pPr>
      <w:rPr>
        <w:rFonts w:ascii="Wingdings" w:hAnsi="Wingdings" w:hint="default"/>
      </w:rPr>
    </w:lvl>
    <w:lvl w:ilvl="6" w:tplc="04150001" w:tentative="1">
      <w:start w:val="1"/>
      <w:numFmt w:val="bullet"/>
      <w:lvlText w:val=""/>
      <w:lvlJc w:val="left"/>
      <w:pPr>
        <w:ind w:left="6534" w:hanging="360"/>
      </w:pPr>
      <w:rPr>
        <w:rFonts w:ascii="Symbol" w:hAnsi="Symbol" w:hint="default"/>
      </w:rPr>
    </w:lvl>
    <w:lvl w:ilvl="7" w:tplc="04150003" w:tentative="1">
      <w:start w:val="1"/>
      <w:numFmt w:val="bullet"/>
      <w:lvlText w:val="o"/>
      <w:lvlJc w:val="left"/>
      <w:pPr>
        <w:ind w:left="7254" w:hanging="360"/>
      </w:pPr>
      <w:rPr>
        <w:rFonts w:ascii="Courier New" w:hAnsi="Courier New" w:cs="Courier New" w:hint="default"/>
      </w:rPr>
    </w:lvl>
    <w:lvl w:ilvl="8" w:tplc="04150005" w:tentative="1">
      <w:start w:val="1"/>
      <w:numFmt w:val="bullet"/>
      <w:lvlText w:val=""/>
      <w:lvlJc w:val="left"/>
      <w:pPr>
        <w:ind w:left="7974" w:hanging="360"/>
      </w:pPr>
      <w:rPr>
        <w:rFonts w:ascii="Wingdings" w:hAnsi="Wingdings" w:hint="default"/>
      </w:rPr>
    </w:lvl>
  </w:abstractNum>
  <w:abstractNum w:abstractNumId="109" w15:restartNumberingAfterBreak="0">
    <w:nsid w:val="236B09EB"/>
    <w:multiLevelType w:val="hybridMultilevel"/>
    <w:tmpl w:val="65B2E4A2"/>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237B563A"/>
    <w:multiLevelType w:val="hybridMultilevel"/>
    <w:tmpl w:val="8A9E5408"/>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249927E9"/>
    <w:multiLevelType w:val="hybridMultilevel"/>
    <w:tmpl w:val="C284E98C"/>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12" w15:restartNumberingAfterBreak="0">
    <w:nsid w:val="2590499D"/>
    <w:multiLevelType w:val="hybridMultilevel"/>
    <w:tmpl w:val="97985130"/>
    <w:lvl w:ilvl="0" w:tplc="EFC62B7E">
      <w:start w:val="1"/>
      <w:numFmt w:val="bullet"/>
      <w:lvlText w:val="–"/>
      <w:lvlJc w:val="left"/>
      <w:pPr>
        <w:ind w:left="360" w:hanging="360"/>
      </w:pPr>
      <w:rPr>
        <w:rFonts w:ascii="Times New Roman" w:hAnsi="Times New Roman" w:cs="Times New Roman" w:hint="default"/>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113" w15:restartNumberingAfterBreak="0">
    <w:nsid w:val="25A574A1"/>
    <w:multiLevelType w:val="hybridMultilevel"/>
    <w:tmpl w:val="167ABEAC"/>
    <w:lvl w:ilvl="0" w:tplc="ED1ABFB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14" w15:restartNumberingAfterBreak="0">
    <w:nsid w:val="25F71B99"/>
    <w:multiLevelType w:val="hybridMultilevel"/>
    <w:tmpl w:val="C4BC1C30"/>
    <w:lvl w:ilvl="0" w:tplc="04150001">
      <w:start w:val="1"/>
      <w:numFmt w:val="bullet"/>
      <w:lvlText w:val=""/>
      <w:lvlJc w:val="left"/>
      <w:pPr>
        <w:ind w:left="720" w:hanging="360"/>
      </w:pPr>
      <w:rPr>
        <w:rFonts w:ascii="Symbol" w:hAnsi="Symbol" w:hint="default"/>
      </w:rPr>
    </w:lvl>
    <w:lvl w:ilvl="1" w:tplc="2EFCC6A6">
      <w:start w:val="1"/>
      <w:numFmt w:val="bullet"/>
      <w:lvlText w:val=""/>
      <w:lvlJc w:val="left"/>
      <w:pPr>
        <w:ind w:left="1440" w:hanging="360"/>
      </w:pPr>
      <w:rPr>
        <w:rFonts w:ascii="Wingdings" w:hAnsi="Wingdings" w:hint="default"/>
        <w:color w:val="auto"/>
        <w:u w:color="0000FF"/>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15:restartNumberingAfterBreak="0">
    <w:nsid w:val="270C4305"/>
    <w:multiLevelType w:val="hybridMultilevel"/>
    <w:tmpl w:val="B94C2200"/>
    <w:lvl w:ilvl="0" w:tplc="9E280AAE">
      <w:start w:val="1"/>
      <w:numFmt w:val="lowerLetter"/>
      <w:lvlText w:val="%1)"/>
      <w:lvlJc w:val="left"/>
      <w:pPr>
        <w:ind w:left="1482" w:hanging="360"/>
      </w:pPr>
      <w:rPr>
        <w:b w:val="0"/>
        <w:bCs w:val="0"/>
      </w:rPr>
    </w:lvl>
    <w:lvl w:ilvl="1" w:tplc="04150019" w:tentative="1">
      <w:start w:val="1"/>
      <w:numFmt w:val="lowerLetter"/>
      <w:lvlText w:val="%2."/>
      <w:lvlJc w:val="left"/>
      <w:pPr>
        <w:ind w:left="2202" w:hanging="360"/>
      </w:pPr>
    </w:lvl>
    <w:lvl w:ilvl="2" w:tplc="0415001B" w:tentative="1">
      <w:start w:val="1"/>
      <w:numFmt w:val="lowerRoman"/>
      <w:lvlText w:val="%3."/>
      <w:lvlJc w:val="right"/>
      <w:pPr>
        <w:ind w:left="2922" w:hanging="180"/>
      </w:pPr>
    </w:lvl>
    <w:lvl w:ilvl="3" w:tplc="0415000F" w:tentative="1">
      <w:start w:val="1"/>
      <w:numFmt w:val="decimal"/>
      <w:lvlText w:val="%4."/>
      <w:lvlJc w:val="left"/>
      <w:pPr>
        <w:ind w:left="3642" w:hanging="360"/>
      </w:pPr>
    </w:lvl>
    <w:lvl w:ilvl="4" w:tplc="04150019" w:tentative="1">
      <w:start w:val="1"/>
      <w:numFmt w:val="lowerLetter"/>
      <w:lvlText w:val="%5."/>
      <w:lvlJc w:val="left"/>
      <w:pPr>
        <w:ind w:left="4362" w:hanging="360"/>
      </w:pPr>
    </w:lvl>
    <w:lvl w:ilvl="5" w:tplc="0415001B" w:tentative="1">
      <w:start w:val="1"/>
      <w:numFmt w:val="lowerRoman"/>
      <w:lvlText w:val="%6."/>
      <w:lvlJc w:val="right"/>
      <w:pPr>
        <w:ind w:left="5082" w:hanging="180"/>
      </w:pPr>
    </w:lvl>
    <w:lvl w:ilvl="6" w:tplc="0415000F" w:tentative="1">
      <w:start w:val="1"/>
      <w:numFmt w:val="decimal"/>
      <w:lvlText w:val="%7."/>
      <w:lvlJc w:val="left"/>
      <w:pPr>
        <w:ind w:left="5802" w:hanging="360"/>
      </w:pPr>
    </w:lvl>
    <w:lvl w:ilvl="7" w:tplc="04150019" w:tentative="1">
      <w:start w:val="1"/>
      <w:numFmt w:val="lowerLetter"/>
      <w:lvlText w:val="%8."/>
      <w:lvlJc w:val="left"/>
      <w:pPr>
        <w:ind w:left="6522" w:hanging="360"/>
      </w:pPr>
    </w:lvl>
    <w:lvl w:ilvl="8" w:tplc="0415001B" w:tentative="1">
      <w:start w:val="1"/>
      <w:numFmt w:val="lowerRoman"/>
      <w:lvlText w:val="%9."/>
      <w:lvlJc w:val="right"/>
      <w:pPr>
        <w:ind w:left="7242" w:hanging="180"/>
      </w:pPr>
    </w:lvl>
  </w:abstractNum>
  <w:abstractNum w:abstractNumId="116" w15:restartNumberingAfterBreak="0">
    <w:nsid w:val="277E4620"/>
    <w:multiLevelType w:val="hybridMultilevel"/>
    <w:tmpl w:val="F8B2837C"/>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17" w15:restartNumberingAfterBreak="0">
    <w:nsid w:val="2791324B"/>
    <w:multiLevelType w:val="hybridMultilevel"/>
    <w:tmpl w:val="4CFCE334"/>
    <w:lvl w:ilvl="0" w:tplc="3EAE0EC4">
      <w:start w:val="1"/>
      <w:numFmt w:val="bullet"/>
      <w:lvlText w:val=""/>
      <w:lvlJc w:val="left"/>
      <w:pPr>
        <w:ind w:left="862" w:hanging="360"/>
      </w:pPr>
      <w:rPr>
        <w:rFonts w:ascii="Symbol" w:hAnsi="Symbol"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118" w15:restartNumberingAfterBreak="0">
    <w:nsid w:val="27C97101"/>
    <w:multiLevelType w:val="hybridMultilevel"/>
    <w:tmpl w:val="E32A743E"/>
    <w:lvl w:ilvl="0" w:tplc="04150001">
      <w:start w:val="1"/>
      <w:numFmt w:val="bullet"/>
      <w:lvlText w:val=""/>
      <w:lvlJc w:val="left"/>
      <w:pPr>
        <w:ind w:left="1287" w:hanging="360"/>
      </w:pPr>
      <w:rPr>
        <w:rFonts w:ascii="Symbol" w:hAnsi="Symbol" w:hint="default"/>
      </w:rPr>
    </w:lvl>
    <w:lvl w:ilvl="1" w:tplc="04150001">
      <w:start w:val="1"/>
      <w:numFmt w:val="bullet"/>
      <w:lvlText w:val=""/>
      <w:lvlJc w:val="left"/>
      <w:pPr>
        <w:ind w:left="2007" w:hanging="360"/>
      </w:pPr>
      <w:rPr>
        <w:rFonts w:ascii="Symbol" w:hAnsi="Symbol"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19" w15:restartNumberingAfterBreak="0">
    <w:nsid w:val="280803C1"/>
    <w:multiLevelType w:val="hybridMultilevel"/>
    <w:tmpl w:val="632E3204"/>
    <w:lvl w:ilvl="0" w:tplc="DE3C1CFE">
      <w:start w:val="1"/>
      <w:numFmt w:val="bullet"/>
      <w:lvlText w:val="̵"/>
      <w:lvlJc w:val="left"/>
      <w:pPr>
        <w:ind w:left="1440" w:hanging="360"/>
      </w:pPr>
      <w:rPr>
        <w:rFonts w:ascii="Tahoma" w:hAnsi="Tahoma" w:cs="Times New Roman"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start w:val="1"/>
      <w:numFmt w:val="bullet"/>
      <w:lvlText w:val=""/>
      <w:lvlJc w:val="left"/>
      <w:pPr>
        <w:ind w:left="3600" w:hanging="360"/>
      </w:pPr>
      <w:rPr>
        <w:rFonts w:ascii="Symbol" w:hAnsi="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hint="default"/>
      </w:rPr>
    </w:lvl>
    <w:lvl w:ilvl="6" w:tplc="04150001">
      <w:start w:val="1"/>
      <w:numFmt w:val="bullet"/>
      <w:lvlText w:val=""/>
      <w:lvlJc w:val="left"/>
      <w:pPr>
        <w:ind w:left="5760" w:hanging="360"/>
      </w:pPr>
      <w:rPr>
        <w:rFonts w:ascii="Symbol" w:hAnsi="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hint="default"/>
      </w:rPr>
    </w:lvl>
  </w:abstractNum>
  <w:abstractNum w:abstractNumId="120" w15:restartNumberingAfterBreak="0">
    <w:nsid w:val="283A681B"/>
    <w:multiLevelType w:val="hybridMultilevel"/>
    <w:tmpl w:val="59428D20"/>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28477704"/>
    <w:multiLevelType w:val="hybridMultilevel"/>
    <w:tmpl w:val="60E0DE7C"/>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22" w15:restartNumberingAfterBreak="0">
    <w:nsid w:val="285209E4"/>
    <w:multiLevelType w:val="hybridMultilevel"/>
    <w:tmpl w:val="BA62AFCE"/>
    <w:lvl w:ilvl="0" w:tplc="04150001">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3" w15:restartNumberingAfterBreak="0">
    <w:nsid w:val="285D3F9A"/>
    <w:multiLevelType w:val="hybridMultilevel"/>
    <w:tmpl w:val="92FC3A18"/>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4" w15:restartNumberingAfterBreak="0">
    <w:nsid w:val="286D2600"/>
    <w:multiLevelType w:val="hybridMultilevel"/>
    <w:tmpl w:val="5574AAF2"/>
    <w:lvl w:ilvl="0" w:tplc="FFFFFFFF">
      <w:start w:val="1"/>
      <w:numFmt w:val="bullet"/>
      <w:lvlText w:val=""/>
      <w:lvlJc w:val="left"/>
      <w:pPr>
        <w:ind w:left="720" w:hanging="360"/>
      </w:pPr>
      <w:rPr>
        <w:rFonts w:ascii="Symbol" w:hAnsi="Symbol" w:hint="default"/>
      </w:rPr>
    </w:lvl>
    <w:lvl w:ilvl="1" w:tplc="0B2A9EF8">
      <w:start w:val="1"/>
      <w:numFmt w:val="bullet"/>
      <w:lvlText w:val=""/>
      <w:lvlJc w:val="left"/>
      <w:pPr>
        <w:ind w:left="144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25" w15:restartNumberingAfterBreak="0">
    <w:nsid w:val="29347813"/>
    <w:multiLevelType w:val="hybridMultilevel"/>
    <w:tmpl w:val="80142804"/>
    <w:lvl w:ilvl="0" w:tplc="3EAE0EC4">
      <w:start w:val="1"/>
      <w:numFmt w:val="bullet"/>
      <w:lvlText w:val=""/>
      <w:lvlJc w:val="left"/>
      <w:pPr>
        <w:ind w:left="862" w:hanging="360"/>
      </w:pPr>
      <w:rPr>
        <w:rFonts w:ascii="Symbol" w:hAnsi="Symbol"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126" w15:restartNumberingAfterBreak="0">
    <w:nsid w:val="297C457E"/>
    <w:multiLevelType w:val="hybridMultilevel"/>
    <w:tmpl w:val="577826A2"/>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27" w15:restartNumberingAfterBreak="0">
    <w:nsid w:val="29C21FA0"/>
    <w:multiLevelType w:val="hybridMultilevel"/>
    <w:tmpl w:val="084EF4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8" w15:restartNumberingAfterBreak="0">
    <w:nsid w:val="2A5702BF"/>
    <w:multiLevelType w:val="hybridMultilevel"/>
    <w:tmpl w:val="172447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9" w15:restartNumberingAfterBreak="0">
    <w:nsid w:val="2A6F1CD5"/>
    <w:multiLevelType w:val="hybridMultilevel"/>
    <w:tmpl w:val="8AF8E3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0" w15:restartNumberingAfterBreak="0">
    <w:nsid w:val="2AD90249"/>
    <w:multiLevelType w:val="hybridMultilevel"/>
    <w:tmpl w:val="CA64D27A"/>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31" w15:restartNumberingAfterBreak="0">
    <w:nsid w:val="2B064394"/>
    <w:multiLevelType w:val="hybridMultilevel"/>
    <w:tmpl w:val="B2B2EC1A"/>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32" w15:restartNumberingAfterBreak="0">
    <w:nsid w:val="2B1743BB"/>
    <w:multiLevelType w:val="hybridMultilevel"/>
    <w:tmpl w:val="AB44BD56"/>
    <w:lvl w:ilvl="0" w:tplc="6C186548">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3" w15:restartNumberingAfterBreak="0">
    <w:nsid w:val="2B6E6932"/>
    <w:multiLevelType w:val="hybridMultilevel"/>
    <w:tmpl w:val="D46A7620"/>
    <w:lvl w:ilvl="0" w:tplc="04150001">
      <w:start w:val="1"/>
      <w:numFmt w:val="bullet"/>
      <w:lvlText w:val=""/>
      <w:lvlJc w:val="left"/>
      <w:pPr>
        <w:ind w:left="720" w:hanging="360"/>
      </w:pPr>
      <w:rPr>
        <w:rFonts w:ascii="Symbol" w:hAnsi="Symbol" w:hint="default"/>
      </w:r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4" w15:restartNumberingAfterBreak="0">
    <w:nsid w:val="2BC67626"/>
    <w:multiLevelType w:val="hybridMultilevel"/>
    <w:tmpl w:val="6846E0BE"/>
    <w:lvl w:ilvl="0" w:tplc="04150005">
      <w:start w:val="1"/>
      <w:numFmt w:val="bullet"/>
      <w:lvlText w:val=""/>
      <w:lvlJc w:val="left"/>
      <w:pPr>
        <w:ind w:left="502" w:hanging="360"/>
      </w:pPr>
      <w:rPr>
        <w:rFonts w:ascii="Wingdings" w:hAnsi="Wingdings" w:hint="default"/>
        <w:sz w:val="24"/>
        <w:szCs w:val="24"/>
      </w:rPr>
    </w:lvl>
    <w:lvl w:ilvl="1" w:tplc="04150003">
      <w:start w:val="1"/>
      <w:numFmt w:val="bullet"/>
      <w:lvlText w:val="o"/>
      <w:lvlJc w:val="left"/>
      <w:pPr>
        <w:ind w:left="1156" w:hanging="360"/>
      </w:pPr>
      <w:rPr>
        <w:rFonts w:ascii="Courier New" w:hAnsi="Courier New" w:cs="Courier New" w:hint="default"/>
      </w:rPr>
    </w:lvl>
    <w:lvl w:ilvl="2" w:tplc="04150005">
      <w:start w:val="1"/>
      <w:numFmt w:val="bullet"/>
      <w:lvlText w:val=""/>
      <w:lvlJc w:val="left"/>
      <w:pPr>
        <w:ind w:left="1876" w:hanging="360"/>
      </w:pPr>
      <w:rPr>
        <w:rFonts w:ascii="Wingdings" w:hAnsi="Wingdings" w:hint="default"/>
        <w:sz w:val="24"/>
        <w:szCs w:val="24"/>
      </w:rPr>
    </w:lvl>
    <w:lvl w:ilvl="3" w:tplc="04150001" w:tentative="1">
      <w:start w:val="1"/>
      <w:numFmt w:val="bullet"/>
      <w:lvlText w:val=""/>
      <w:lvlJc w:val="left"/>
      <w:pPr>
        <w:ind w:left="2596" w:hanging="360"/>
      </w:pPr>
      <w:rPr>
        <w:rFonts w:ascii="Symbol" w:hAnsi="Symbol" w:hint="default"/>
      </w:rPr>
    </w:lvl>
    <w:lvl w:ilvl="4" w:tplc="04150003" w:tentative="1">
      <w:start w:val="1"/>
      <w:numFmt w:val="bullet"/>
      <w:lvlText w:val="o"/>
      <w:lvlJc w:val="left"/>
      <w:pPr>
        <w:ind w:left="3316" w:hanging="360"/>
      </w:pPr>
      <w:rPr>
        <w:rFonts w:ascii="Courier New" w:hAnsi="Courier New" w:cs="Courier New" w:hint="default"/>
      </w:rPr>
    </w:lvl>
    <w:lvl w:ilvl="5" w:tplc="04150005" w:tentative="1">
      <w:start w:val="1"/>
      <w:numFmt w:val="bullet"/>
      <w:lvlText w:val=""/>
      <w:lvlJc w:val="left"/>
      <w:pPr>
        <w:ind w:left="4036" w:hanging="360"/>
      </w:pPr>
      <w:rPr>
        <w:rFonts w:ascii="Wingdings" w:hAnsi="Wingdings" w:hint="default"/>
      </w:rPr>
    </w:lvl>
    <w:lvl w:ilvl="6" w:tplc="04150001" w:tentative="1">
      <w:start w:val="1"/>
      <w:numFmt w:val="bullet"/>
      <w:lvlText w:val=""/>
      <w:lvlJc w:val="left"/>
      <w:pPr>
        <w:ind w:left="4756" w:hanging="360"/>
      </w:pPr>
      <w:rPr>
        <w:rFonts w:ascii="Symbol" w:hAnsi="Symbol" w:hint="default"/>
      </w:rPr>
    </w:lvl>
    <w:lvl w:ilvl="7" w:tplc="04150003" w:tentative="1">
      <w:start w:val="1"/>
      <w:numFmt w:val="bullet"/>
      <w:lvlText w:val="o"/>
      <w:lvlJc w:val="left"/>
      <w:pPr>
        <w:ind w:left="5476" w:hanging="360"/>
      </w:pPr>
      <w:rPr>
        <w:rFonts w:ascii="Courier New" w:hAnsi="Courier New" w:cs="Courier New" w:hint="default"/>
      </w:rPr>
    </w:lvl>
    <w:lvl w:ilvl="8" w:tplc="04150005" w:tentative="1">
      <w:start w:val="1"/>
      <w:numFmt w:val="bullet"/>
      <w:lvlText w:val=""/>
      <w:lvlJc w:val="left"/>
      <w:pPr>
        <w:ind w:left="6196" w:hanging="360"/>
      </w:pPr>
      <w:rPr>
        <w:rFonts w:ascii="Wingdings" w:hAnsi="Wingdings" w:hint="default"/>
      </w:rPr>
    </w:lvl>
  </w:abstractNum>
  <w:abstractNum w:abstractNumId="135" w15:restartNumberingAfterBreak="0">
    <w:nsid w:val="2CED498A"/>
    <w:multiLevelType w:val="hybridMultilevel"/>
    <w:tmpl w:val="D0FE53B2"/>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6" w15:restartNumberingAfterBreak="0">
    <w:nsid w:val="2CFE4A7A"/>
    <w:multiLevelType w:val="hybridMultilevel"/>
    <w:tmpl w:val="EC60D636"/>
    <w:lvl w:ilvl="0" w:tplc="FC9CB19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7" w15:restartNumberingAfterBreak="0">
    <w:nsid w:val="2D140FA9"/>
    <w:multiLevelType w:val="hybridMultilevel"/>
    <w:tmpl w:val="670E1BE6"/>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38" w15:restartNumberingAfterBreak="0">
    <w:nsid w:val="2D787FDE"/>
    <w:multiLevelType w:val="hybridMultilevel"/>
    <w:tmpl w:val="5A8E90A0"/>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15:restartNumberingAfterBreak="0">
    <w:nsid w:val="2FFA3686"/>
    <w:multiLevelType w:val="hybridMultilevel"/>
    <w:tmpl w:val="FFDC3B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0" w15:restartNumberingAfterBreak="0">
    <w:nsid w:val="302B1A0A"/>
    <w:multiLevelType w:val="hybridMultilevel"/>
    <w:tmpl w:val="3446B25C"/>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1" w15:restartNumberingAfterBreak="0">
    <w:nsid w:val="306142E5"/>
    <w:multiLevelType w:val="hybridMultilevel"/>
    <w:tmpl w:val="381C1D9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2" w15:restartNumberingAfterBreak="0">
    <w:nsid w:val="30A268C8"/>
    <w:multiLevelType w:val="multilevel"/>
    <w:tmpl w:val="BA8C1A9C"/>
    <w:lvl w:ilvl="0">
      <w:start w:val="1"/>
      <w:numFmt w:val="decimal"/>
      <w:lvlText w:val="%1."/>
      <w:lvlJc w:val="left"/>
      <w:pPr>
        <w:ind w:left="644" w:hanging="360"/>
      </w:pPr>
      <w:rPr>
        <w:rFonts w:eastAsia="Times New Roman" w:hint="default"/>
      </w:rPr>
    </w:lvl>
    <w:lvl w:ilvl="1">
      <w:start w:val="1"/>
      <w:numFmt w:val="decimal"/>
      <w:isLgl/>
      <w:lvlText w:val="%1.%2"/>
      <w:lvlJc w:val="left"/>
      <w:pPr>
        <w:ind w:left="644"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143" w15:restartNumberingAfterBreak="0">
    <w:nsid w:val="30A279DF"/>
    <w:multiLevelType w:val="hybridMultilevel"/>
    <w:tmpl w:val="552842F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44" w15:restartNumberingAfterBreak="0">
    <w:nsid w:val="30AF5CFF"/>
    <w:multiLevelType w:val="hybridMultilevel"/>
    <w:tmpl w:val="DDD8239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5" w15:restartNumberingAfterBreak="0">
    <w:nsid w:val="31333761"/>
    <w:multiLevelType w:val="hybridMultilevel"/>
    <w:tmpl w:val="9FC827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6" w15:restartNumberingAfterBreak="0">
    <w:nsid w:val="31A07392"/>
    <w:multiLevelType w:val="hybridMultilevel"/>
    <w:tmpl w:val="F322297E"/>
    <w:lvl w:ilvl="0" w:tplc="F64A0D34">
      <w:start w:val="1"/>
      <w:numFmt w:val="bullet"/>
      <w:lvlText w:val=""/>
      <w:lvlJc w:val="left"/>
      <w:pPr>
        <w:ind w:left="1637" w:hanging="360"/>
      </w:pPr>
      <w:rPr>
        <w:rFonts w:ascii="Symbol" w:hAnsi="Symbol" w:hint="default"/>
      </w:rPr>
    </w:lvl>
    <w:lvl w:ilvl="1" w:tplc="04150003">
      <w:start w:val="1"/>
      <w:numFmt w:val="bullet"/>
      <w:lvlText w:val="o"/>
      <w:lvlJc w:val="left"/>
      <w:pPr>
        <w:ind w:left="2357" w:hanging="360"/>
      </w:pPr>
      <w:rPr>
        <w:rFonts w:ascii="Courier New" w:hAnsi="Courier New" w:cs="Courier New" w:hint="default"/>
      </w:rPr>
    </w:lvl>
    <w:lvl w:ilvl="2" w:tplc="04150005">
      <w:start w:val="1"/>
      <w:numFmt w:val="bullet"/>
      <w:lvlText w:val=""/>
      <w:lvlJc w:val="left"/>
      <w:pPr>
        <w:ind w:left="3077" w:hanging="360"/>
      </w:pPr>
      <w:rPr>
        <w:rFonts w:ascii="Wingdings" w:hAnsi="Wingdings" w:hint="default"/>
      </w:rPr>
    </w:lvl>
    <w:lvl w:ilvl="3" w:tplc="04150001">
      <w:start w:val="1"/>
      <w:numFmt w:val="bullet"/>
      <w:lvlText w:val=""/>
      <w:lvlJc w:val="left"/>
      <w:pPr>
        <w:ind w:left="3797" w:hanging="360"/>
      </w:pPr>
      <w:rPr>
        <w:rFonts w:ascii="Symbol" w:hAnsi="Symbol" w:hint="default"/>
      </w:rPr>
    </w:lvl>
    <w:lvl w:ilvl="4" w:tplc="04150003">
      <w:start w:val="1"/>
      <w:numFmt w:val="bullet"/>
      <w:lvlText w:val="o"/>
      <w:lvlJc w:val="left"/>
      <w:pPr>
        <w:ind w:left="4517" w:hanging="360"/>
      </w:pPr>
      <w:rPr>
        <w:rFonts w:ascii="Courier New" w:hAnsi="Courier New" w:cs="Courier New" w:hint="default"/>
      </w:rPr>
    </w:lvl>
    <w:lvl w:ilvl="5" w:tplc="04150005">
      <w:start w:val="1"/>
      <w:numFmt w:val="bullet"/>
      <w:lvlText w:val=""/>
      <w:lvlJc w:val="left"/>
      <w:pPr>
        <w:ind w:left="5237" w:hanging="360"/>
      </w:pPr>
      <w:rPr>
        <w:rFonts w:ascii="Wingdings" w:hAnsi="Wingdings" w:hint="default"/>
      </w:rPr>
    </w:lvl>
    <w:lvl w:ilvl="6" w:tplc="04150001">
      <w:start w:val="1"/>
      <w:numFmt w:val="bullet"/>
      <w:lvlText w:val=""/>
      <w:lvlJc w:val="left"/>
      <w:pPr>
        <w:ind w:left="5957" w:hanging="360"/>
      </w:pPr>
      <w:rPr>
        <w:rFonts w:ascii="Symbol" w:hAnsi="Symbol" w:hint="default"/>
      </w:rPr>
    </w:lvl>
    <w:lvl w:ilvl="7" w:tplc="04150003">
      <w:start w:val="1"/>
      <w:numFmt w:val="bullet"/>
      <w:lvlText w:val="o"/>
      <w:lvlJc w:val="left"/>
      <w:pPr>
        <w:ind w:left="6677" w:hanging="360"/>
      </w:pPr>
      <w:rPr>
        <w:rFonts w:ascii="Courier New" w:hAnsi="Courier New" w:cs="Courier New" w:hint="default"/>
      </w:rPr>
    </w:lvl>
    <w:lvl w:ilvl="8" w:tplc="04150005">
      <w:start w:val="1"/>
      <w:numFmt w:val="bullet"/>
      <w:lvlText w:val=""/>
      <w:lvlJc w:val="left"/>
      <w:pPr>
        <w:ind w:left="7397" w:hanging="360"/>
      </w:pPr>
      <w:rPr>
        <w:rFonts w:ascii="Wingdings" w:hAnsi="Wingdings" w:hint="default"/>
      </w:rPr>
    </w:lvl>
  </w:abstractNum>
  <w:abstractNum w:abstractNumId="147" w15:restartNumberingAfterBreak="0">
    <w:nsid w:val="329C5164"/>
    <w:multiLevelType w:val="hybridMultilevel"/>
    <w:tmpl w:val="5AF4B1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8" w15:restartNumberingAfterBreak="0">
    <w:nsid w:val="32AB76E2"/>
    <w:multiLevelType w:val="hybridMultilevel"/>
    <w:tmpl w:val="1622852C"/>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49" w15:restartNumberingAfterBreak="0">
    <w:nsid w:val="33284F1A"/>
    <w:multiLevelType w:val="hybridMultilevel"/>
    <w:tmpl w:val="99A6090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50" w15:restartNumberingAfterBreak="0">
    <w:nsid w:val="33EE5D8B"/>
    <w:multiLevelType w:val="hybridMultilevel"/>
    <w:tmpl w:val="C386A1CE"/>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1" w15:restartNumberingAfterBreak="0">
    <w:nsid w:val="33F1616F"/>
    <w:multiLevelType w:val="hybridMultilevel"/>
    <w:tmpl w:val="35E4F2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2" w15:restartNumberingAfterBreak="0">
    <w:nsid w:val="34583F0E"/>
    <w:multiLevelType w:val="hybridMultilevel"/>
    <w:tmpl w:val="703AE736"/>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53" w15:restartNumberingAfterBreak="0">
    <w:nsid w:val="3484671C"/>
    <w:multiLevelType w:val="hybridMultilevel"/>
    <w:tmpl w:val="C8AE41AA"/>
    <w:lvl w:ilvl="0" w:tplc="04150001">
      <w:start w:val="1"/>
      <w:numFmt w:val="bullet"/>
      <w:lvlText w:val=""/>
      <w:lvlJc w:val="left"/>
      <w:pPr>
        <w:ind w:left="1350" w:hanging="360"/>
      </w:pPr>
      <w:rPr>
        <w:rFonts w:ascii="Symbol" w:hAnsi="Symbol" w:hint="default"/>
      </w:rPr>
    </w:lvl>
    <w:lvl w:ilvl="1" w:tplc="04150003" w:tentative="1">
      <w:start w:val="1"/>
      <w:numFmt w:val="bullet"/>
      <w:lvlText w:val="o"/>
      <w:lvlJc w:val="left"/>
      <w:pPr>
        <w:ind w:left="2070" w:hanging="360"/>
      </w:pPr>
      <w:rPr>
        <w:rFonts w:ascii="Courier New" w:hAnsi="Courier New" w:cs="Courier New" w:hint="default"/>
      </w:rPr>
    </w:lvl>
    <w:lvl w:ilvl="2" w:tplc="04150005" w:tentative="1">
      <w:start w:val="1"/>
      <w:numFmt w:val="bullet"/>
      <w:lvlText w:val=""/>
      <w:lvlJc w:val="left"/>
      <w:pPr>
        <w:ind w:left="2790" w:hanging="360"/>
      </w:pPr>
      <w:rPr>
        <w:rFonts w:ascii="Wingdings" w:hAnsi="Wingdings" w:hint="default"/>
      </w:rPr>
    </w:lvl>
    <w:lvl w:ilvl="3" w:tplc="04150001" w:tentative="1">
      <w:start w:val="1"/>
      <w:numFmt w:val="bullet"/>
      <w:lvlText w:val=""/>
      <w:lvlJc w:val="left"/>
      <w:pPr>
        <w:ind w:left="3510" w:hanging="360"/>
      </w:pPr>
      <w:rPr>
        <w:rFonts w:ascii="Symbol" w:hAnsi="Symbol" w:hint="default"/>
      </w:rPr>
    </w:lvl>
    <w:lvl w:ilvl="4" w:tplc="04150003" w:tentative="1">
      <w:start w:val="1"/>
      <w:numFmt w:val="bullet"/>
      <w:lvlText w:val="o"/>
      <w:lvlJc w:val="left"/>
      <w:pPr>
        <w:ind w:left="4230" w:hanging="360"/>
      </w:pPr>
      <w:rPr>
        <w:rFonts w:ascii="Courier New" w:hAnsi="Courier New" w:cs="Courier New" w:hint="default"/>
      </w:rPr>
    </w:lvl>
    <w:lvl w:ilvl="5" w:tplc="04150005" w:tentative="1">
      <w:start w:val="1"/>
      <w:numFmt w:val="bullet"/>
      <w:lvlText w:val=""/>
      <w:lvlJc w:val="left"/>
      <w:pPr>
        <w:ind w:left="4950" w:hanging="360"/>
      </w:pPr>
      <w:rPr>
        <w:rFonts w:ascii="Wingdings" w:hAnsi="Wingdings" w:hint="default"/>
      </w:rPr>
    </w:lvl>
    <w:lvl w:ilvl="6" w:tplc="04150001" w:tentative="1">
      <w:start w:val="1"/>
      <w:numFmt w:val="bullet"/>
      <w:lvlText w:val=""/>
      <w:lvlJc w:val="left"/>
      <w:pPr>
        <w:ind w:left="5670" w:hanging="360"/>
      </w:pPr>
      <w:rPr>
        <w:rFonts w:ascii="Symbol" w:hAnsi="Symbol" w:hint="default"/>
      </w:rPr>
    </w:lvl>
    <w:lvl w:ilvl="7" w:tplc="04150003" w:tentative="1">
      <w:start w:val="1"/>
      <w:numFmt w:val="bullet"/>
      <w:lvlText w:val="o"/>
      <w:lvlJc w:val="left"/>
      <w:pPr>
        <w:ind w:left="6390" w:hanging="360"/>
      </w:pPr>
      <w:rPr>
        <w:rFonts w:ascii="Courier New" w:hAnsi="Courier New" w:cs="Courier New" w:hint="default"/>
      </w:rPr>
    </w:lvl>
    <w:lvl w:ilvl="8" w:tplc="04150005" w:tentative="1">
      <w:start w:val="1"/>
      <w:numFmt w:val="bullet"/>
      <w:lvlText w:val=""/>
      <w:lvlJc w:val="left"/>
      <w:pPr>
        <w:ind w:left="7110" w:hanging="360"/>
      </w:pPr>
      <w:rPr>
        <w:rFonts w:ascii="Wingdings" w:hAnsi="Wingdings" w:hint="default"/>
      </w:rPr>
    </w:lvl>
  </w:abstractNum>
  <w:abstractNum w:abstractNumId="154" w15:restartNumberingAfterBreak="0">
    <w:nsid w:val="3533167F"/>
    <w:multiLevelType w:val="hybridMultilevel"/>
    <w:tmpl w:val="886AC202"/>
    <w:lvl w:ilvl="0" w:tplc="04150001">
      <w:start w:val="1"/>
      <w:numFmt w:val="bullet"/>
      <w:lvlText w:val=""/>
      <w:lvlJc w:val="left"/>
      <w:pPr>
        <w:ind w:left="1069" w:hanging="360"/>
      </w:pPr>
      <w:rPr>
        <w:rFonts w:ascii="Symbol" w:hAnsi="Symbol" w:hint="default"/>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155" w15:restartNumberingAfterBreak="0">
    <w:nsid w:val="355E0E0C"/>
    <w:multiLevelType w:val="hybridMultilevel"/>
    <w:tmpl w:val="18EC9D8A"/>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56" w15:restartNumberingAfterBreak="0">
    <w:nsid w:val="35634A96"/>
    <w:multiLevelType w:val="hybridMultilevel"/>
    <w:tmpl w:val="4D46F7F8"/>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57" w15:restartNumberingAfterBreak="0">
    <w:nsid w:val="359A1C28"/>
    <w:multiLevelType w:val="hybridMultilevel"/>
    <w:tmpl w:val="B5308B88"/>
    <w:lvl w:ilvl="0" w:tplc="94B0B8AE">
      <w:start w:val="1"/>
      <w:numFmt w:val="bullet"/>
      <w:lvlText w:val=""/>
      <w:lvlJc w:val="left"/>
      <w:pPr>
        <w:ind w:left="1068" w:hanging="708"/>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58" w15:restartNumberingAfterBreak="0">
    <w:nsid w:val="35DC64FB"/>
    <w:multiLevelType w:val="hybridMultilevel"/>
    <w:tmpl w:val="94CCF26C"/>
    <w:lvl w:ilvl="0" w:tplc="3D289034">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59" w15:restartNumberingAfterBreak="0">
    <w:nsid w:val="361B62DE"/>
    <w:multiLevelType w:val="hybridMultilevel"/>
    <w:tmpl w:val="6B0ACA76"/>
    <w:lvl w:ilvl="0" w:tplc="333CCC4C">
      <w:start w:val="1"/>
      <w:numFmt w:val="bullet"/>
      <w:lvlText w:val=""/>
      <w:lvlJc w:val="left"/>
      <w:pPr>
        <w:ind w:left="1287" w:hanging="360"/>
      </w:pPr>
      <w:rPr>
        <w:rFonts w:ascii="Symbol" w:hAnsi="Symbol" w:hint="default"/>
        <w:color w:val="auto"/>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60" w15:restartNumberingAfterBreak="0">
    <w:nsid w:val="3644006A"/>
    <w:multiLevelType w:val="hybridMultilevel"/>
    <w:tmpl w:val="69205C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1" w15:restartNumberingAfterBreak="0">
    <w:nsid w:val="36DE279A"/>
    <w:multiLevelType w:val="multilevel"/>
    <w:tmpl w:val="E4C04D9A"/>
    <w:styleLink w:val="WWNum5"/>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62" w15:restartNumberingAfterBreak="0">
    <w:nsid w:val="374C0E8C"/>
    <w:multiLevelType w:val="hybridMultilevel"/>
    <w:tmpl w:val="9E521FCE"/>
    <w:lvl w:ilvl="0" w:tplc="0415000B">
      <w:start w:val="1"/>
      <w:numFmt w:val="bullet"/>
      <w:lvlText w:val=""/>
      <w:lvlJc w:val="left"/>
      <w:pPr>
        <w:ind w:left="360" w:hanging="360"/>
      </w:pPr>
      <w:rPr>
        <w:rFonts w:ascii="Wingdings" w:hAnsi="Wingdings" w:hint="default"/>
      </w:rPr>
    </w:lvl>
    <w:lvl w:ilvl="1" w:tplc="FFFFFFFF">
      <w:start w:val="1"/>
      <w:numFmt w:val="bullet"/>
      <w:lvlText w:val="o"/>
      <w:lvlJc w:val="left"/>
      <w:pPr>
        <w:ind w:left="1797" w:hanging="360"/>
      </w:pPr>
      <w:rPr>
        <w:rFonts w:ascii="Courier New" w:hAnsi="Courier New" w:cs="Times New Roman" w:hint="default"/>
      </w:rPr>
    </w:lvl>
    <w:lvl w:ilvl="2" w:tplc="FFFFFFFF">
      <w:start w:val="1"/>
      <w:numFmt w:val="bullet"/>
      <w:lvlText w:val=""/>
      <w:lvlJc w:val="left"/>
      <w:pPr>
        <w:ind w:left="2517" w:hanging="360"/>
      </w:pPr>
      <w:rPr>
        <w:rFonts w:ascii="Wingdings" w:hAnsi="Wingdings" w:hint="default"/>
      </w:rPr>
    </w:lvl>
    <w:lvl w:ilvl="3" w:tplc="FFFFFFFF">
      <w:start w:val="1"/>
      <w:numFmt w:val="bullet"/>
      <w:lvlText w:val=""/>
      <w:lvlJc w:val="left"/>
      <w:pPr>
        <w:ind w:left="3237" w:hanging="360"/>
      </w:pPr>
      <w:rPr>
        <w:rFonts w:ascii="Symbol" w:hAnsi="Symbol" w:hint="default"/>
      </w:rPr>
    </w:lvl>
    <w:lvl w:ilvl="4" w:tplc="FFFFFFFF">
      <w:start w:val="1"/>
      <w:numFmt w:val="bullet"/>
      <w:lvlText w:val="o"/>
      <w:lvlJc w:val="left"/>
      <w:pPr>
        <w:ind w:left="3957" w:hanging="360"/>
      </w:pPr>
      <w:rPr>
        <w:rFonts w:ascii="Courier New" w:hAnsi="Courier New" w:cs="Times New Roman" w:hint="default"/>
      </w:rPr>
    </w:lvl>
    <w:lvl w:ilvl="5" w:tplc="FFFFFFFF">
      <w:start w:val="1"/>
      <w:numFmt w:val="bullet"/>
      <w:lvlText w:val=""/>
      <w:lvlJc w:val="left"/>
      <w:pPr>
        <w:ind w:left="4677" w:hanging="360"/>
      </w:pPr>
      <w:rPr>
        <w:rFonts w:ascii="Wingdings" w:hAnsi="Wingdings" w:hint="default"/>
      </w:rPr>
    </w:lvl>
    <w:lvl w:ilvl="6" w:tplc="FFFFFFFF">
      <w:start w:val="1"/>
      <w:numFmt w:val="bullet"/>
      <w:lvlText w:val=""/>
      <w:lvlJc w:val="left"/>
      <w:pPr>
        <w:ind w:left="5397" w:hanging="360"/>
      </w:pPr>
      <w:rPr>
        <w:rFonts w:ascii="Symbol" w:hAnsi="Symbol" w:hint="default"/>
      </w:rPr>
    </w:lvl>
    <w:lvl w:ilvl="7" w:tplc="FFFFFFFF">
      <w:start w:val="1"/>
      <w:numFmt w:val="bullet"/>
      <w:lvlText w:val="o"/>
      <w:lvlJc w:val="left"/>
      <w:pPr>
        <w:ind w:left="6117" w:hanging="360"/>
      </w:pPr>
      <w:rPr>
        <w:rFonts w:ascii="Courier New" w:hAnsi="Courier New" w:cs="Times New Roman" w:hint="default"/>
      </w:rPr>
    </w:lvl>
    <w:lvl w:ilvl="8" w:tplc="FFFFFFFF">
      <w:start w:val="1"/>
      <w:numFmt w:val="bullet"/>
      <w:lvlText w:val=""/>
      <w:lvlJc w:val="left"/>
      <w:pPr>
        <w:ind w:left="6837" w:hanging="360"/>
      </w:pPr>
      <w:rPr>
        <w:rFonts w:ascii="Wingdings" w:hAnsi="Wingdings" w:hint="default"/>
      </w:rPr>
    </w:lvl>
  </w:abstractNum>
  <w:abstractNum w:abstractNumId="163" w15:restartNumberingAfterBreak="0">
    <w:nsid w:val="37502494"/>
    <w:multiLevelType w:val="hybridMultilevel"/>
    <w:tmpl w:val="D4BEFC38"/>
    <w:lvl w:ilvl="0" w:tplc="B46882CC">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4" w15:restartNumberingAfterBreak="0">
    <w:nsid w:val="37E64153"/>
    <w:multiLevelType w:val="hybridMultilevel"/>
    <w:tmpl w:val="9940B6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5" w15:restartNumberingAfterBreak="0">
    <w:nsid w:val="383F17D0"/>
    <w:multiLevelType w:val="hybridMultilevel"/>
    <w:tmpl w:val="6B4E1B3C"/>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6" w15:restartNumberingAfterBreak="0">
    <w:nsid w:val="3889231F"/>
    <w:multiLevelType w:val="hybridMultilevel"/>
    <w:tmpl w:val="2FE0218A"/>
    <w:lvl w:ilvl="0" w:tplc="94B0B8AE">
      <w:start w:val="1"/>
      <w:numFmt w:val="bullet"/>
      <w:lvlText w:val=""/>
      <w:lvlJc w:val="left"/>
      <w:pPr>
        <w:ind w:left="1637"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67" w15:restartNumberingAfterBreak="0">
    <w:nsid w:val="389C673C"/>
    <w:multiLevelType w:val="hybridMultilevel"/>
    <w:tmpl w:val="6BA4005C"/>
    <w:lvl w:ilvl="0" w:tplc="3EAE0EC4">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168" w15:restartNumberingAfterBreak="0">
    <w:nsid w:val="39791C8F"/>
    <w:multiLevelType w:val="hybridMultilevel"/>
    <w:tmpl w:val="9A0895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9" w15:restartNumberingAfterBreak="0">
    <w:nsid w:val="39DD0311"/>
    <w:multiLevelType w:val="hybridMultilevel"/>
    <w:tmpl w:val="88D6DE08"/>
    <w:lvl w:ilvl="0" w:tplc="ED185E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0" w15:restartNumberingAfterBreak="0">
    <w:nsid w:val="3A6039AB"/>
    <w:multiLevelType w:val="hybridMultilevel"/>
    <w:tmpl w:val="34AC1894"/>
    <w:lvl w:ilvl="0" w:tplc="A10E115E">
      <w:start w:val="1"/>
      <w:numFmt w:val="decimal"/>
      <w:lvlText w:val="%1)"/>
      <w:lvlJc w:val="left"/>
      <w:pPr>
        <w:ind w:left="778" w:hanging="360"/>
      </w:pPr>
      <w:rPr>
        <w:rFonts w:hint="default"/>
      </w:rPr>
    </w:lvl>
    <w:lvl w:ilvl="1" w:tplc="04150019" w:tentative="1">
      <w:start w:val="1"/>
      <w:numFmt w:val="lowerLetter"/>
      <w:lvlText w:val="%2."/>
      <w:lvlJc w:val="left"/>
      <w:pPr>
        <w:ind w:left="1498" w:hanging="360"/>
      </w:pPr>
    </w:lvl>
    <w:lvl w:ilvl="2" w:tplc="0415001B" w:tentative="1">
      <w:start w:val="1"/>
      <w:numFmt w:val="lowerRoman"/>
      <w:lvlText w:val="%3."/>
      <w:lvlJc w:val="right"/>
      <w:pPr>
        <w:ind w:left="2218" w:hanging="180"/>
      </w:pPr>
    </w:lvl>
    <w:lvl w:ilvl="3" w:tplc="0415000F" w:tentative="1">
      <w:start w:val="1"/>
      <w:numFmt w:val="decimal"/>
      <w:lvlText w:val="%4."/>
      <w:lvlJc w:val="left"/>
      <w:pPr>
        <w:ind w:left="2938" w:hanging="360"/>
      </w:pPr>
    </w:lvl>
    <w:lvl w:ilvl="4" w:tplc="04150019" w:tentative="1">
      <w:start w:val="1"/>
      <w:numFmt w:val="lowerLetter"/>
      <w:lvlText w:val="%5."/>
      <w:lvlJc w:val="left"/>
      <w:pPr>
        <w:ind w:left="3658" w:hanging="360"/>
      </w:pPr>
    </w:lvl>
    <w:lvl w:ilvl="5" w:tplc="0415001B" w:tentative="1">
      <w:start w:val="1"/>
      <w:numFmt w:val="lowerRoman"/>
      <w:lvlText w:val="%6."/>
      <w:lvlJc w:val="right"/>
      <w:pPr>
        <w:ind w:left="4378" w:hanging="180"/>
      </w:pPr>
    </w:lvl>
    <w:lvl w:ilvl="6" w:tplc="0415000F" w:tentative="1">
      <w:start w:val="1"/>
      <w:numFmt w:val="decimal"/>
      <w:lvlText w:val="%7."/>
      <w:lvlJc w:val="left"/>
      <w:pPr>
        <w:ind w:left="5098" w:hanging="360"/>
      </w:pPr>
    </w:lvl>
    <w:lvl w:ilvl="7" w:tplc="04150019" w:tentative="1">
      <w:start w:val="1"/>
      <w:numFmt w:val="lowerLetter"/>
      <w:lvlText w:val="%8."/>
      <w:lvlJc w:val="left"/>
      <w:pPr>
        <w:ind w:left="5818" w:hanging="360"/>
      </w:pPr>
    </w:lvl>
    <w:lvl w:ilvl="8" w:tplc="0415001B" w:tentative="1">
      <w:start w:val="1"/>
      <w:numFmt w:val="lowerRoman"/>
      <w:lvlText w:val="%9."/>
      <w:lvlJc w:val="right"/>
      <w:pPr>
        <w:ind w:left="6538" w:hanging="180"/>
      </w:pPr>
    </w:lvl>
  </w:abstractNum>
  <w:abstractNum w:abstractNumId="171" w15:restartNumberingAfterBreak="0">
    <w:nsid w:val="3B3639CC"/>
    <w:multiLevelType w:val="hybridMultilevel"/>
    <w:tmpl w:val="257EC874"/>
    <w:lvl w:ilvl="0" w:tplc="04150001">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2" w15:restartNumberingAfterBreak="0">
    <w:nsid w:val="3BB54537"/>
    <w:multiLevelType w:val="multilevel"/>
    <w:tmpl w:val="49EAEAFC"/>
    <w:lvl w:ilvl="0">
      <w:start w:val="7"/>
      <w:numFmt w:val="decimal"/>
      <w:lvlText w:val="%1."/>
      <w:lvlJc w:val="left"/>
      <w:pPr>
        <w:ind w:left="360" w:hanging="360"/>
      </w:pPr>
      <w:rPr>
        <w:rFonts w:ascii="Times New Roman" w:eastAsia="Calibri" w:hAnsi="Times New Roman" w:cs="Times New Roman" w:hint="default"/>
        <w:u w:val="none"/>
      </w:rPr>
    </w:lvl>
    <w:lvl w:ilvl="1">
      <w:start w:val="1"/>
      <w:numFmt w:val="decimal"/>
      <w:lvlText w:val="%1.%2."/>
      <w:lvlJc w:val="left"/>
      <w:pPr>
        <w:ind w:left="720" w:hanging="720"/>
      </w:pPr>
      <w:rPr>
        <w:rFonts w:ascii="Times New Roman" w:eastAsia="Calibri" w:hAnsi="Times New Roman" w:cs="Times New Roman" w:hint="default"/>
        <w:u w:val="none"/>
      </w:rPr>
    </w:lvl>
    <w:lvl w:ilvl="2">
      <w:start w:val="1"/>
      <w:numFmt w:val="decimal"/>
      <w:lvlText w:val="%1.%2.%3."/>
      <w:lvlJc w:val="left"/>
      <w:pPr>
        <w:ind w:left="720" w:hanging="720"/>
      </w:pPr>
      <w:rPr>
        <w:rFonts w:ascii="Times New Roman" w:eastAsia="Calibri" w:hAnsi="Times New Roman" w:cs="Times New Roman" w:hint="default"/>
        <w:u w:val="none"/>
      </w:rPr>
    </w:lvl>
    <w:lvl w:ilvl="3">
      <w:start w:val="1"/>
      <w:numFmt w:val="decimal"/>
      <w:lvlText w:val="%1.%2.%3.%4."/>
      <w:lvlJc w:val="left"/>
      <w:pPr>
        <w:ind w:left="1080" w:hanging="1080"/>
      </w:pPr>
      <w:rPr>
        <w:rFonts w:ascii="Times New Roman" w:eastAsia="Calibri" w:hAnsi="Times New Roman" w:cs="Times New Roman" w:hint="default"/>
        <w:u w:val="none"/>
      </w:rPr>
    </w:lvl>
    <w:lvl w:ilvl="4">
      <w:start w:val="1"/>
      <w:numFmt w:val="decimal"/>
      <w:lvlText w:val="%1.%2.%3.%4.%5."/>
      <w:lvlJc w:val="left"/>
      <w:pPr>
        <w:ind w:left="1080" w:hanging="1080"/>
      </w:pPr>
      <w:rPr>
        <w:rFonts w:ascii="Times New Roman" w:eastAsia="Calibri" w:hAnsi="Times New Roman" w:cs="Times New Roman" w:hint="default"/>
        <w:u w:val="none"/>
      </w:rPr>
    </w:lvl>
    <w:lvl w:ilvl="5">
      <w:start w:val="1"/>
      <w:numFmt w:val="decimal"/>
      <w:lvlText w:val="%1.%2.%3.%4.%5.%6."/>
      <w:lvlJc w:val="left"/>
      <w:pPr>
        <w:ind w:left="1440" w:hanging="1440"/>
      </w:pPr>
      <w:rPr>
        <w:rFonts w:ascii="Times New Roman" w:eastAsia="Calibri" w:hAnsi="Times New Roman" w:cs="Times New Roman" w:hint="default"/>
        <w:u w:val="none"/>
      </w:rPr>
    </w:lvl>
    <w:lvl w:ilvl="6">
      <w:start w:val="1"/>
      <w:numFmt w:val="decimal"/>
      <w:lvlText w:val="%1.%2.%3.%4.%5.%6.%7."/>
      <w:lvlJc w:val="left"/>
      <w:pPr>
        <w:ind w:left="1440" w:hanging="1440"/>
      </w:pPr>
      <w:rPr>
        <w:rFonts w:ascii="Times New Roman" w:eastAsia="Calibri" w:hAnsi="Times New Roman" w:cs="Times New Roman" w:hint="default"/>
        <w:u w:val="none"/>
      </w:rPr>
    </w:lvl>
    <w:lvl w:ilvl="7">
      <w:start w:val="1"/>
      <w:numFmt w:val="decimal"/>
      <w:lvlText w:val="%1.%2.%3.%4.%5.%6.%7.%8."/>
      <w:lvlJc w:val="left"/>
      <w:pPr>
        <w:ind w:left="1800" w:hanging="1800"/>
      </w:pPr>
      <w:rPr>
        <w:rFonts w:ascii="Times New Roman" w:eastAsia="Calibri" w:hAnsi="Times New Roman" w:cs="Times New Roman" w:hint="default"/>
        <w:u w:val="none"/>
      </w:rPr>
    </w:lvl>
    <w:lvl w:ilvl="8">
      <w:start w:val="1"/>
      <w:numFmt w:val="decimal"/>
      <w:lvlText w:val="%1.%2.%3.%4.%5.%6.%7.%8.%9."/>
      <w:lvlJc w:val="left"/>
      <w:pPr>
        <w:ind w:left="1800" w:hanging="1800"/>
      </w:pPr>
      <w:rPr>
        <w:rFonts w:ascii="Times New Roman" w:eastAsia="Calibri" w:hAnsi="Times New Roman" w:cs="Times New Roman" w:hint="default"/>
        <w:u w:val="none"/>
      </w:rPr>
    </w:lvl>
  </w:abstractNum>
  <w:abstractNum w:abstractNumId="173" w15:restartNumberingAfterBreak="0">
    <w:nsid w:val="3C7939CA"/>
    <w:multiLevelType w:val="hybridMultilevel"/>
    <w:tmpl w:val="7D8E51F2"/>
    <w:lvl w:ilvl="0" w:tplc="333CCC4C">
      <w:start w:val="1"/>
      <w:numFmt w:val="bullet"/>
      <w:lvlText w:val=""/>
      <w:lvlJc w:val="left"/>
      <w:pPr>
        <w:ind w:left="2487" w:hanging="360"/>
      </w:pPr>
      <w:rPr>
        <w:rFonts w:ascii="Symbol" w:hAnsi="Symbol" w:hint="default"/>
        <w:color w:val="auto"/>
      </w:rPr>
    </w:lvl>
    <w:lvl w:ilvl="1" w:tplc="04150003" w:tentative="1">
      <w:start w:val="1"/>
      <w:numFmt w:val="bullet"/>
      <w:lvlText w:val="o"/>
      <w:lvlJc w:val="left"/>
      <w:pPr>
        <w:ind w:left="3207" w:hanging="360"/>
      </w:pPr>
      <w:rPr>
        <w:rFonts w:ascii="Courier New" w:hAnsi="Courier New" w:cs="Courier New" w:hint="default"/>
      </w:rPr>
    </w:lvl>
    <w:lvl w:ilvl="2" w:tplc="04150005" w:tentative="1">
      <w:start w:val="1"/>
      <w:numFmt w:val="bullet"/>
      <w:lvlText w:val=""/>
      <w:lvlJc w:val="left"/>
      <w:pPr>
        <w:ind w:left="3927" w:hanging="360"/>
      </w:pPr>
      <w:rPr>
        <w:rFonts w:ascii="Wingdings" w:hAnsi="Wingdings" w:hint="default"/>
      </w:rPr>
    </w:lvl>
    <w:lvl w:ilvl="3" w:tplc="04150001" w:tentative="1">
      <w:start w:val="1"/>
      <w:numFmt w:val="bullet"/>
      <w:lvlText w:val=""/>
      <w:lvlJc w:val="left"/>
      <w:pPr>
        <w:ind w:left="4647" w:hanging="360"/>
      </w:pPr>
      <w:rPr>
        <w:rFonts w:ascii="Symbol" w:hAnsi="Symbol" w:hint="default"/>
      </w:rPr>
    </w:lvl>
    <w:lvl w:ilvl="4" w:tplc="04150003" w:tentative="1">
      <w:start w:val="1"/>
      <w:numFmt w:val="bullet"/>
      <w:lvlText w:val="o"/>
      <w:lvlJc w:val="left"/>
      <w:pPr>
        <w:ind w:left="5367" w:hanging="360"/>
      </w:pPr>
      <w:rPr>
        <w:rFonts w:ascii="Courier New" w:hAnsi="Courier New" w:cs="Courier New" w:hint="default"/>
      </w:rPr>
    </w:lvl>
    <w:lvl w:ilvl="5" w:tplc="04150005" w:tentative="1">
      <w:start w:val="1"/>
      <w:numFmt w:val="bullet"/>
      <w:lvlText w:val=""/>
      <w:lvlJc w:val="left"/>
      <w:pPr>
        <w:ind w:left="6087" w:hanging="360"/>
      </w:pPr>
      <w:rPr>
        <w:rFonts w:ascii="Wingdings" w:hAnsi="Wingdings" w:hint="default"/>
      </w:rPr>
    </w:lvl>
    <w:lvl w:ilvl="6" w:tplc="04150001" w:tentative="1">
      <w:start w:val="1"/>
      <w:numFmt w:val="bullet"/>
      <w:lvlText w:val=""/>
      <w:lvlJc w:val="left"/>
      <w:pPr>
        <w:ind w:left="6807" w:hanging="360"/>
      </w:pPr>
      <w:rPr>
        <w:rFonts w:ascii="Symbol" w:hAnsi="Symbol" w:hint="default"/>
      </w:rPr>
    </w:lvl>
    <w:lvl w:ilvl="7" w:tplc="04150003" w:tentative="1">
      <w:start w:val="1"/>
      <w:numFmt w:val="bullet"/>
      <w:lvlText w:val="o"/>
      <w:lvlJc w:val="left"/>
      <w:pPr>
        <w:ind w:left="7527" w:hanging="360"/>
      </w:pPr>
      <w:rPr>
        <w:rFonts w:ascii="Courier New" w:hAnsi="Courier New" w:cs="Courier New" w:hint="default"/>
      </w:rPr>
    </w:lvl>
    <w:lvl w:ilvl="8" w:tplc="04150005" w:tentative="1">
      <w:start w:val="1"/>
      <w:numFmt w:val="bullet"/>
      <w:lvlText w:val=""/>
      <w:lvlJc w:val="left"/>
      <w:pPr>
        <w:ind w:left="8247" w:hanging="360"/>
      </w:pPr>
      <w:rPr>
        <w:rFonts w:ascii="Wingdings" w:hAnsi="Wingdings" w:hint="default"/>
      </w:rPr>
    </w:lvl>
  </w:abstractNum>
  <w:abstractNum w:abstractNumId="174" w15:restartNumberingAfterBreak="0">
    <w:nsid w:val="3C8D3CA3"/>
    <w:multiLevelType w:val="hybridMultilevel"/>
    <w:tmpl w:val="07D01332"/>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5" w15:restartNumberingAfterBreak="0">
    <w:nsid w:val="3CAA16A1"/>
    <w:multiLevelType w:val="hybridMultilevel"/>
    <w:tmpl w:val="CDCC8B3A"/>
    <w:lvl w:ilvl="0" w:tplc="67967746">
      <w:start w:val="1"/>
      <w:numFmt w:val="bullet"/>
      <w:lvlText w:val=""/>
      <w:lvlJc w:val="left"/>
      <w:pPr>
        <w:ind w:left="810" w:hanging="360"/>
      </w:pPr>
      <w:rPr>
        <w:rFonts w:ascii="Symbol" w:hAnsi="Symbol" w:hint="default"/>
      </w:rPr>
    </w:lvl>
    <w:lvl w:ilvl="1" w:tplc="04150003" w:tentative="1">
      <w:start w:val="1"/>
      <w:numFmt w:val="bullet"/>
      <w:lvlText w:val="o"/>
      <w:lvlJc w:val="left"/>
      <w:pPr>
        <w:ind w:left="1530" w:hanging="360"/>
      </w:pPr>
      <w:rPr>
        <w:rFonts w:ascii="Courier New" w:hAnsi="Courier New" w:cs="Courier New" w:hint="default"/>
      </w:rPr>
    </w:lvl>
    <w:lvl w:ilvl="2" w:tplc="04150005" w:tentative="1">
      <w:start w:val="1"/>
      <w:numFmt w:val="bullet"/>
      <w:lvlText w:val=""/>
      <w:lvlJc w:val="left"/>
      <w:pPr>
        <w:ind w:left="2250" w:hanging="360"/>
      </w:pPr>
      <w:rPr>
        <w:rFonts w:ascii="Wingdings" w:hAnsi="Wingdings" w:hint="default"/>
      </w:rPr>
    </w:lvl>
    <w:lvl w:ilvl="3" w:tplc="04150001" w:tentative="1">
      <w:start w:val="1"/>
      <w:numFmt w:val="bullet"/>
      <w:lvlText w:val=""/>
      <w:lvlJc w:val="left"/>
      <w:pPr>
        <w:ind w:left="2970" w:hanging="360"/>
      </w:pPr>
      <w:rPr>
        <w:rFonts w:ascii="Symbol" w:hAnsi="Symbol" w:hint="default"/>
      </w:rPr>
    </w:lvl>
    <w:lvl w:ilvl="4" w:tplc="04150003" w:tentative="1">
      <w:start w:val="1"/>
      <w:numFmt w:val="bullet"/>
      <w:lvlText w:val="o"/>
      <w:lvlJc w:val="left"/>
      <w:pPr>
        <w:ind w:left="3690" w:hanging="360"/>
      </w:pPr>
      <w:rPr>
        <w:rFonts w:ascii="Courier New" w:hAnsi="Courier New" w:cs="Courier New" w:hint="default"/>
      </w:rPr>
    </w:lvl>
    <w:lvl w:ilvl="5" w:tplc="04150005" w:tentative="1">
      <w:start w:val="1"/>
      <w:numFmt w:val="bullet"/>
      <w:lvlText w:val=""/>
      <w:lvlJc w:val="left"/>
      <w:pPr>
        <w:ind w:left="4410" w:hanging="360"/>
      </w:pPr>
      <w:rPr>
        <w:rFonts w:ascii="Wingdings" w:hAnsi="Wingdings" w:hint="default"/>
      </w:rPr>
    </w:lvl>
    <w:lvl w:ilvl="6" w:tplc="04150001" w:tentative="1">
      <w:start w:val="1"/>
      <w:numFmt w:val="bullet"/>
      <w:lvlText w:val=""/>
      <w:lvlJc w:val="left"/>
      <w:pPr>
        <w:ind w:left="5130" w:hanging="360"/>
      </w:pPr>
      <w:rPr>
        <w:rFonts w:ascii="Symbol" w:hAnsi="Symbol" w:hint="default"/>
      </w:rPr>
    </w:lvl>
    <w:lvl w:ilvl="7" w:tplc="04150003" w:tentative="1">
      <w:start w:val="1"/>
      <w:numFmt w:val="bullet"/>
      <w:lvlText w:val="o"/>
      <w:lvlJc w:val="left"/>
      <w:pPr>
        <w:ind w:left="5850" w:hanging="360"/>
      </w:pPr>
      <w:rPr>
        <w:rFonts w:ascii="Courier New" w:hAnsi="Courier New" w:cs="Courier New" w:hint="default"/>
      </w:rPr>
    </w:lvl>
    <w:lvl w:ilvl="8" w:tplc="04150005" w:tentative="1">
      <w:start w:val="1"/>
      <w:numFmt w:val="bullet"/>
      <w:lvlText w:val=""/>
      <w:lvlJc w:val="left"/>
      <w:pPr>
        <w:ind w:left="6570" w:hanging="360"/>
      </w:pPr>
      <w:rPr>
        <w:rFonts w:ascii="Wingdings" w:hAnsi="Wingdings" w:hint="default"/>
      </w:rPr>
    </w:lvl>
  </w:abstractNum>
  <w:abstractNum w:abstractNumId="176" w15:restartNumberingAfterBreak="0">
    <w:nsid w:val="3CAE31D6"/>
    <w:multiLevelType w:val="hybridMultilevel"/>
    <w:tmpl w:val="47A619E6"/>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77" w15:restartNumberingAfterBreak="0">
    <w:nsid w:val="3CF70F59"/>
    <w:multiLevelType w:val="hybridMultilevel"/>
    <w:tmpl w:val="162ABEFE"/>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8" w15:restartNumberingAfterBreak="0">
    <w:nsid w:val="3D0A71FC"/>
    <w:multiLevelType w:val="hybridMultilevel"/>
    <w:tmpl w:val="4F106760"/>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15:restartNumberingAfterBreak="0">
    <w:nsid w:val="3D761F44"/>
    <w:multiLevelType w:val="hybridMultilevel"/>
    <w:tmpl w:val="49E663B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80" w15:restartNumberingAfterBreak="0">
    <w:nsid w:val="3DC74143"/>
    <w:multiLevelType w:val="hybridMultilevel"/>
    <w:tmpl w:val="E3B65A2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1" w15:restartNumberingAfterBreak="0">
    <w:nsid w:val="3DF94976"/>
    <w:multiLevelType w:val="hybridMultilevel"/>
    <w:tmpl w:val="F03A8D74"/>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2" w15:restartNumberingAfterBreak="0">
    <w:nsid w:val="3E2E2083"/>
    <w:multiLevelType w:val="hybridMultilevel"/>
    <w:tmpl w:val="ECA4EC9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3" w15:restartNumberingAfterBreak="0">
    <w:nsid w:val="3E300B00"/>
    <w:multiLevelType w:val="hybridMultilevel"/>
    <w:tmpl w:val="5C083176"/>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84" w15:restartNumberingAfterBreak="0">
    <w:nsid w:val="3E4B0E75"/>
    <w:multiLevelType w:val="hybridMultilevel"/>
    <w:tmpl w:val="8AD6CC40"/>
    <w:lvl w:ilvl="0" w:tplc="04150001">
      <w:start w:val="1"/>
      <w:numFmt w:val="bullet"/>
      <w:lvlText w:val=""/>
      <w:lvlJc w:val="left"/>
      <w:pPr>
        <w:ind w:left="1346" w:hanging="360"/>
      </w:pPr>
      <w:rPr>
        <w:rFonts w:ascii="Symbol" w:hAnsi="Symbol" w:hint="default"/>
      </w:rPr>
    </w:lvl>
    <w:lvl w:ilvl="1" w:tplc="04150003" w:tentative="1">
      <w:start w:val="1"/>
      <w:numFmt w:val="bullet"/>
      <w:lvlText w:val="o"/>
      <w:lvlJc w:val="left"/>
      <w:pPr>
        <w:ind w:left="2066" w:hanging="360"/>
      </w:pPr>
      <w:rPr>
        <w:rFonts w:ascii="Courier New" w:hAnsi="Courier New" w:cs="Courier New" w:hint="default"/>
      </w:rPr>
    </w:lvl>
    <w:lvl w:ilvl="2" w:tplc="04150005" w:tentative="1">
      <w:start w:val="1"/>
      <w:numFmt w:val="bullet"/>
      <w:lvlText w:val=""/>
      <w:lvlJc w:val="left"/>
      <w:pPr>
        <w:ind w:left="2786" w:hanging="360"/>
      </w:pPr>
      <w:rPr>
        <w:rFonts w:ascii="Wingdings" w:hAnsi="Wingdings" w:hint="default"/>
      </w:rPr>
    </w:lvl>
    <w:lvl w:ilvl="3" w:tplc="04150001" w:tentative="1">
      <w:start w:val="1"/>
      <w:numFmt w:val="bullet"/>
      <w:lvlText w:val=""/>
      <w:lvlJc w:val="left"/>
      <w:pPr>
        <w:ind w:left="3506" w:hanging="360"/>
      </w:pPr>
      <w:rPr>
        <w:rFonts w:ascii="Symbol" w:hAnsi="Symbol" w:hint="default"/>
      </w:rPr>
    </w:lvl>
    <w:lvl w:ilvl="4" w:tplc="04150003" w:tentative="1">
      <w:start w:val="1"/>
      <w:numFmt w:val="bullet"/>
      <w:lvlText w:val="o"/>
      <w:lvlJc w:val="left"/>
      <w:pPr>
        <w:ind w:left="4226" w:hanging="360"/>
      </w:pPr>
      <w:rPr>
        <w:rFonts w:ascii="Courier New" w:hAnsi="Courier New" w:cs="Courier New" w:hint="default"/>
      </w:rPr>
    </w:lvl>
    <w:lvl w:ilvl="5" w:tplc="04150005" w:tentative="1">
      <w:start w:val="1"/>
      <w:numFmt w:val="bullet"/>
      <w:lvlText w:val=""/>
      <w:lvlJc w:val="left"/>
      <w:pPr>
        <w:ind w:left="4946" w:hanging="360"/>
      </w:pPr>
      <w:rPr>
        <w:rFonts w:ascii="Wingdings" w:hAnsi="Wingdings" w:hint="default"/>
      </w:rPr>
    </w:lvl>
    <w:lvl w:ilvl="6" w:tplc="04150001" w:tentative="1">
      <w:start w:val="1"/>
      <w:numFmt w:val="bullet"/>
      <w:lvlText w:val=""/>
      <w:lvlJc w:val="left"/>
      <w:pPr>
        <w:ind w:left="5666" w:hanging="360"/>
      </w:pPr>
      <w:rPr>
        <w:rFonts w:ascii="Symbol" w:hAnsi="Symbol" w:hint="default"/>
      </w:rPr>
    </w:lvl>
    <w:lvl w:ilvl="7" w:tplc="04150003" w:tentative="1">
      <w:start w:val="1"/>
      <w:numFmt w:val="bullet"/>
      <w:lvlText w:val="o"/>
      <w:lvlJc w:val="left"/>
      <w:pPr>
        <w:ind w:left="6386" w:hanging="360"/>
      </w:pPr>
      <w:rPr>
        <w:rFonts w:ascii="Courier New" w:hAnsi="Courier New" w:cs="Courier New" w:hint="default"/>
      </w:rPr>
    </w:lvl>
    <w:lvl w:ilvl="8" w:tplc="04150005" w:tentative="1">
      <w:start w:val="1"/>
      <w:numFmt w:val="bullet"/>
      <w:lvlText w:val=""/>
      <w:lvlJc w:val="left"/>
      <w:pPr>
        <w:ind w:left="7106" w:hanging="360"/>
      </w:pPr>
      <w:rPr>
        <w:rFonts w:ascii="Wingdings" w:hAnsi="Wingdings" w:hint="default"/>
      </w:rPr>
    </w:lvl>
  </w:abstractNum>
  <w:abstractNum w:abstractNumId="185" w15:restartNumberingAfterBreak="0">
    <w:nsid w:val="3EC01726"/>
    <w:multiLevelType w:val="hybridMultilevel"/>
    <w:tmpl w:val="9490C1CE"/>
    <w:lvl w:ilvl="0" w:tplc="04150001">
      <w:start w:val="1"/>
      <w:numFmt w:val="bullet"/>
      <w:lvlText w:val=""/>
      <w:lvlJc w:val="left"/>
      <w:pPr>
        <w:ind w:left="360" w:hanging="360"/>
      </w:pPr>
      <w:rPr>
        <w:rFonts w:ascii="Symbol" w:hAnsi="Symbol" w:hint="default"/>
      </w:r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186" w15:restartNumberingAfterBreak="0">
    <w:nsid w:val="3F04470D"/>
    <w:multiLevelType w:val="hybridMultilevel"/>
    <w:tmpl w:val="0C6E47DC"/>
    <w:lvl w:ilvl="0" w:tplc="F64A0D34">
      <w:start w:val="1"/>
      <w:numFmt w:val="bullet"/>
      <w:lvlText w:val=""/>
      <w:lvlJc w:val="left"/>
      <w:pPr>
        <w:ind w:left="1440" w:hanging="360"/>
      </w:pPr>
      <w:rPr>
        <w:rFonts w:ascii="Symbol" w:hAnsi="Symbol"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start w:val="1"/>
      <w:numFmt w:val="bullet"/>
      <w:lvlText w:val=""/>
      <w:lvlJc w:val="left"/>
      <w:pPr>
        <w:ind w:left="3600" w:hanging="360"/>
      </w:pPr>
      <w:rPr>
        <w:rFonts w:ascii="Symbol" w:hAnsi="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hint="default"/>
      </w:rPr>
    </w:lvl>
    <w:lvl w:ilvl="6" w:tplc="04150001">
      <w:start w:val="1"/>
      <w:numFmt w:val="bullet"/>
      <w:lvlText w:val=""/>
      <w:lvlJc w:val="left"/>
      <w:pPr>
        <w:ind w:left="5760" w:hanging="360"/>
      </w:pPr>
      <w:rPr>
        <w:rFonts w:ascii="Symbol" w:hAnsi="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hint="default"/>
      </w:rPr>
    </w:lvl>
  </w:abstractNum>
  <w:abstractNum w:abstractNumId="187" w15:restartNumberingAfterBreak="0">
    <w:nsid w:val="3F845E76"/>
    <w:multiLevelType w:val="hybridMultilevel"/>
    <w:tmpl w:val="23BC6FFC"/>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8" w15:restartNumberingAfterBreak="0">
    <w:nsid w:val="3FA67C64"/>
    <w:multiLevelType w:val="hybridMultilevel"/>
    <w:tmpl w:val="B368453E"/>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89" w15:restartNumberingAfterBreak="0">
    <w:nsid w:val="3FDE785D"/>
    <w:multiLevelType w:val="hybridMultilevel"/>
    <w:tmpl w:val="B51EE006"/>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90" w15:restartNumberingAfterBreak="0">
    <w:nsid w:val="40123F84"/>
    <w:multiLevelType w:val="hybridMultilevel"/>
    <w:tmpl w:val="C01CA714"/>
    <w:lvl w:ilvl="0" w:tplc="548AB486">
      <w:start w:val="1"/>
      <w:numFmt w:val="decimal"/>
      <w:lvlText w:val="%1)"/>
      <w:lvlJc w:val="left"/>
      <w:pPr>
        <w:ind w:left="4472" w:hanging="360"/>
      </w:pPr>
      <w:rPr>
        <w:rFonts w:ascii="Times New Roman" w:eastAsia="Times New Roman" w:hAnsi="Times New Roman" w:cs="Times New Roman"/>
      </w:rPr>
    </w:lvl>
    <w:lvl w:ilvl="1" w:tplc="FFFFFFFF">
      <w:start w:val="1"/>
      <w:numFmt w:val="lowerLetter"/>
      <w:lvlText w:val="%2."/>
      <w:lvlJc w:val="left"/>
      <w:pPr>
        <w:ind w:left="5192" w:hanging="360"/>
      </w:pPr>
    </w:lvl>
    <w:lvl w:ilvl="2" w:tplc="FFFFFFFF">
      <w:start w:val="1"/>
      <w:numFmt w:val="lowerRoman"/>
      <w:lvlText w:val="%3."/>
      <w:lvlJc w:val="right"/>
      <w:pPr>
        <w:ind w:left="5912" w:hanging="180"/>
      </w:pPr>
    </w:lvl>
    <w:lvl w:ilvl="3" w:tplc="FFFFFFFF">
      <w:start w:val="1"/>
      <w:numFmt w:val="decimal"/>
      <w:lvlText w:val="%4."/>
      <w:lvlJc w:val="left"/>
      <w:pPr>
        <w:ind w:left="6632" w:hanging="360"/>
      </w:pPr>
    </w:lvl>
    <w:lvl w:ilvl="4" w:tplc="FFFFFFFF">
      <w:start w:val="1"/>
      <w:numFmt w:val="lowerLetter"/>
      <w:lvlText w:val="%5."/>
      <w:lvlJc w:val="left"/>
      <w:pPr>
        <w:ind w:left="7352" w:hanging="360"/>
      </w:pPr>
    </w:lvl>
    <w:lvl w:ilvl="5" w:tplc="FFFFFFFF">
      <w:start w:val="1"/>
      <w:numFmt w:val="lowerRoman"/>
      <w:lvlText w:val="%6."/>
      <w:lvlJc w:val="right"/>
      <w:pPr>
        <w:ind w:left="8072" w:hanging="180"/>
      </w:pPr>
    </w:lvl>
    <w:lvl w:ilvl="6" w:tplc="FFFFFFFF">
      <w:start w:val="1"/>
      <w:numFmt w:val="decimal"/>
      <w:lvlText w:val="%7."/>
      <w:lvlJc w:val="left"/>
      <w:pPr>
        <w:ind w:left="8792" w:hanging="360"/>
      </w:pPr>
    </w:lvl>
    <w:lvl w:ilvl="7" w:tplc="FFFFFFFF">
      <w:start w:val="1"/>
      <w:numFmt w:val="lowerLetter"/>
      <w:lvlText w:val="%8."/>
      <w:lvlJc w:val="left"/>
      <w:pPr>
        <w:ind w:left="9512" w:hanging="360"/>
      </w:pPr>
    </w:lvl>
    <w:lvl w:ilvl="8" w:tplc="FFFFFFFF">
      <w:start w:val="1"/>
      <w:numFmt w:val="lowerRoman"/>
      <w:lvlText w:val="%9."/>
      <w:lvlJc w:val="right"/>
      <w:pPr>
        <w:ind w:left="10232" w:hanging="180"/>
      </w:pPr>
    </w:lvl>
  </w:abstractNum>
  <w:abstractNum w:abstractNumId="191" w15:restartNumberingAfterBreak="0">
    <w:nsid w:val="404D7CCE"/>
    <w:multiLevelType w:val="hybridMultilevel"/>
    <w:tmpl w:val="89CA86F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2" w15:restartNumberingAfterBreak="0">
    <w:nsid w:val="40CE4E79"/>
    <w:multiLevelType w:val="hybridMultilevel"/>
    <w:tmpl w:val="8954FBBE"/>
    <w:lvl w:ilvl="0" w:tplc="04150001">
      <w:start w:val="1"/>
      <w:numFmt w:val="bullet"/>
      <w:lvlText w:val=""/>
      <w:lvlJc w:val="left"/>
      <w:pPr>
        <w:ind w:left="786" w:hanging="360"/>
      </w:pPr>
      <w:rPr>
        <w:rFonts w:ascii="Symbol" w:hAnsi="Symbol" w:hint="default"/>
      </w:rPr>
    </w:lvl>
    <w:lvl w:ilvl="1" w:tplc="04150003">
      <w:start w:val="1"/>
      <w:numFmt w:val="bullet"/>
      <w:lvlText w:val="o"/>
      <w:lvlJc w:val="left"/>
      <w:pPr>
        <w:ind w:left="1506" w:hanging="360"/>
      </w:pPr>
      <w:rPr>
        <w:rFonts w:ascii="Courier New" w:hAnsi="Courier New" w:cs="Courier New" w:hint="default"/>
      </w:rPr>
    </w:lvl>
    <w:lvl w:ilvl="2" w:tplc="04150005">
      <w:start w:val="1"/>
      <w:numFmt w:val="bullet"/>
      <w:lvlText w:val=""/>
      <w:lvlJc w:val="left"/>
      <w:pPr>
        <w:ind w:left="2226" w:hanging="360"/>
      </w:pPr>
      <w:rPr>
        <w:rFonts w:ascii="Wingdings" w:hAnsi="Wingdings" w:hint="default"/>
      </w:rPr>
    </w:lvl>
    <w:lvl w:ilvl="3" w:tplc="04150001">
      <w:start w:val="1"/>
      <w:numFmt w:val="bullet"/>
      <w:lvlText w:val=""/>
      <w:lvlJc w:val="left"/>
      <w:pPr>
        <w:ind w:left="2946" w:hanging="360"/>
      </w:pPr>
      <w:rPr>
        <w:rFonts w:ascii="Symbol" w:hAnsi="Symbol" w:hint="default"/>
      </w:rPr>
    </w:lvl>
    <w:lvl w:ilvl="4" w:tplc="04150003">
      <w:start w:val="1"/>
      <w:numFmt w:val="bullet"/>
      <w:lvlText w:val="o"/>
      <w:lvlJc w:val="left"/>
      <w:pPr>
        <w:ind w:left="3666" w:hanging="360"/>
      </w:pPr>
      <w:rPr>
        <w:rFonts w:ascii="Courier New" w:hAnsi="Courier New" w:cs="Courier New" w:hint="default"/>
      </w:rPr>
    </w:lvl>
    <w:lvl w:ilvl="5" w:tplc="04150005">
      <w:start w:val="1"/>
      <w:numFmt w:val="bullet"/>
      <w:lvlText w:val=""/>
      <w:lvlJc w:val="left"/>
      <w:pPr>
        <w:ind w:left="4386" w:hanging="360"/>
      </w:pPr>
      <w:rPr>
        <w:rFonts w:ascii="Wingdings" w:hAnsi="Wingdings" w:hint="default"/>
      </w:rPr>
    </w:lvl>
    <w:lvl w:ilvl="6" w:tplc="04150001">
      <w:start w:val="1"/>
      <w:numFmt w:val="bullet"/>
      <w:lvlText w:val=""/>
      <w:lvlJc w:val="left"/>
      <w:pPr>
        <w:ind w:left="5106" w:hanging="360"/>
      </w:pPr>
      <w:rPr>
        <w:rFonts w:ascii="Symbol" w:hAnsi="Symbol" w:hint="default"/>
      </w:rPr>
    </w:lvl>
    <w:lvl w:ilvl="7" w:tplc="04150003">
      <w:start w:val="1"/>
      <w:numFmt w:val="bullet"/>
      <w:lvlText w:val="o"/>
      <w:lvlJc w:val="left"/>
      <w:pPr>
        <w:ind w:left="5826" w:hanging="360"/>
      </w:pPr>
      <w:rPr>
        <w:rFonts w:ascii="Courier New" w:hAnsi="Courier New" w:cs="Courier New" w:hint="default"/>
      </w:rPr>
    </w:lvl>
    <w:lvl w:ilvl="8" w:tplc="04150005">
      <w:start w:val="1"/>
      <w:numFmt w:val="bullet"/>
      <w:lvlText w:val=""/>
      <w:lvlJc w:val="left"/>
      <w:pPr>
        <w:ind w:left="6546" w:hanging="360"/>
      </w:pPr>
      <w:rPr>
        <w:rFonts w:ascii="Wingdings" w:hAnsi="Wingdings" w:hint="default"/>
      </w:rPr>
    </w:lvl>
  </w:abstractNum>
  <w:abstractNum w:abstractNumId="193" w15:restartNumberingAfterBreak="0">
    <w:nsid w:val="40DB503B"/>
    <w:multiLevelType w:val="hybridMultilevel"/>
    <w:tmpl w:val="558A0E0A"/>
    <w:lvl w:ilvl="0" w:tplc="04150001">
      <w:start w:val="1"/>
      <w:numFmt w:val="bullet"/>
      <w:lvlText w:val=""/>
      <w:lvlJc w:val="left"/>
      <w:pPr>
        <w:ind w:left="720" w:hanging="360"/>
      </w:pPr>
      <w:rPr>
        <w:rFonts w:ascii="Symbol" w:hAnsi="Symbol" w:hint="default"/>
      </w:rPr>
    </w:lvl>
    <w:lvl w:ilvl="1" w:tplc="2EFCC6A6">
      <w:start w:val="1"/>
      <w:numFmt w:val="bullet"/>
      <w:lvlText w:val=""/>
      <w:lvlJc w:val="left"/>
      <w:pPr>
        <w:ind w:left="1440" w:hanging="360"/>
      </w:pPr>
      <w:rPr>
        <w:rFonts w:ascii="Wingdings" w:hAnsi="Wingdings" w:hint="default"/>
        <w:color w:val="auto"/>
        <w:u w:color="0000FF"/>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4" w15:restartNumberingAfterBreak="0">
    <w:nsid w:val="40FF405D"/>
    <w:multiLevelType w:val="hybridMultilevel"/>
    <w:tmpl w:val="EB723B86"/>
    <w:lvl w:ilvl="0" w:tplc="343EABDC">
      <w:start w:val="1"/>
      <w:numFmt w:val="bullet"/>
      <w:lvlText w:val=""/>
      <w:lvlJc w:val="left"/>
      <w:pPr>
        <w:ind w:left="1429" w:hanging="360"/>
      </w:pPr>
      <w:rPr>
        <w:rFonts w:ascii="Symbol" w:hAnsi="Symbol" w:hint="default"/>
      </w:rPr>
    </w:lvl>
    <w:lvl w:ilvl="1" w:tplc="04150003">
      <w:start w:val="1"/>
      <w:numFmt w:val="bullet"/>
      <w:lvlText w:val="o"/>
      <w:lvlJc w:val="left"/>
      <w:pPr>
        <w:ind w:left="2149" w:hanging="360"/>
      </w:pPr>
      <w:rPr>
        <w:rFonts w:ascii="Courier New" w:hAnsi="Courier New" w:cs="Courier New" w:hint="default"/>
      </w:rPr>
    </w:lvl>
    <w:lvl w:ilvl="2" w:tplc="04150005">
      <w:start w:val="1"/>
      <w:numFmt w:val="bullet"/>
      <w:lvlText w:val=""/>
      <w:lvlJc w:val="left"/>
      <w:pPr>
        <w:ind w:left="2869" w:hanging="360"/>
      </w:pPr>
      <w:rPr>
        <w:rFonts w:ascii="Wingdings" w:hAnsi="Wingdings" w:hint="default"/>
      </w:rPr>
    </w:lvl>
    <w:lvl w:ilvl="3" w:tplc="04150001">
      <w:start w:val="1"/>
      <w:numFmt w:val="bullet"/>
      <w:lvlText w:val=""/>
      <w:lvlJc w:val="left"/>
      <w:pPr>
        <w:ind w:left="3589" w:hanging="360"/>
      </w:pPr>
      <w:rPr>
        <w:rFonts w:ascii="Symbol" w:hAnsi="Symbol" w:hint="default"/>
      </w:rPr>
    </w:lvl>
    <w:lvl w:ilvl="4" w:tplc="04150003">
      <w:start w:val="1"/>
      <w:numFmt w:val="bullet"/>
      <w:lvlText w:val="o"/>
      <w:lvlJc w:val="left"/>
      <w:pPr>
        <w:ind w:left="4309" w:hanging="360"/>
      </w:pPr>
      <w:rPr>
        <w:rFonts w:ascii="Courier New" w:hAnsi="Courier New" w:cs="Courier New" w:hint="default"/>
      </w:rPr>
    </w:lvl>
    <w:lvl w:ilvl="5" w:tplc="04150005">
      <w:start w:val="1"/>
      <w:numFmt w:val="bullet"/>
      <w:lvlText w:val=""/>
      <w:lvlJc w:val="left"/>
      <w:pPr>
        <w:ind w:left="5029" w:hanging="360"/>
      </w:pPr>
      <w:rPr>
        <w:rFonts w:ascii="Wingdings" w:hAnsi="Wingdings" w:hint="default"/>
      </w:rPr>
    </w:lvl>
    <w:lvl w:ilvl="6" w:tplc="04150001">
      <w:start w:val="1"/>
      <w:numFmt w:val="bullet"/>
      <w:lvlText w:val=""/>
      <w:lvlJc w:val="left"/>
      <w:pPr>
        <w:ind w:left="5749" w:hanging="360"/>
      </w:pPr>
      <w:rPr>
        <w:rFonts w:ascii="Symbol" w:hAnsi="Symbol" w:hint="default"/>
      </w:rPr>
    </w:lvl>
    <w:lvl w:ilvl="7" w:tplc="04150003">
      <w:start w:val="1"/>
      <w:numFmt w:val="bullet"/>
      <w:lvlText w:val="o"/>
      <w:lvlJc w:val="left"/>
      <w:pPr>
        <w:ind w:left="6469" w:hanging="360"/>
      </w:pPr>
      <w:rPr>
        <w:rFonts w:ascii="Courier New" w:hAnsi="Courier New" w:cs="Courier New" w:hint="default"/>
      </w:rPr>
    </w:lvl>
    <w:lvl w:ilvl="8" w:tplc="04150005">
      <w:start w:val="1"/>
      <w:numFmt w:val="bullet"/>
      <w:lvlText w:val=""/>
      <w:lvlJc w:val="left"/>
      <w:pPr>
        <w:ind w:left="7189" w:hanging="360"/>
      </w:pPr>
      <w:rPr>
        <w:rFonts w:ascii="Wingdings" w:hAnsi="Wingdings" w:hint="default"/>
      </w:rPr>
    </w:lvl>
  </w:abstractNum>
  <w:abstractNum w:abstractNumId="195" w15:restartNumberingAfterBreak="0">
    <w:nsid w:val="41BA3D84"/>
    <w:multiLevelType w:val="hybridMultilevel"/>
    <w:tmpl w:val="7B46C25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96" w15:restartNumberingAfterBreak="0">
    <w:nsid w:val="42050133"/>
    <w:multiLevelType w:val="multilevel"/>
    <w:tmpl w:val="645EC260"/>
    <w:styleLink w:val="WWNum6"/>
    <w:lvl w:ilvl="0">
      <w:numFmt w:val="bullet"/>
      <w:lvlText w:val=""/>
      <w:lvlJc w:val="left"/>
      <w:pPr>
        <w:ind w:left="1068" w:hanging="360"/>
      </w:pPr>
      <w:rPr>
        <w:rFonts w:ascii="Symbol" w:hAnsi="Symbol"/>
        <w:b w:val="0"/>
      </w:rPr>
    </w:lvl>
    <w:lvl w:ilvl="1">
      <w:numFmt w:val="bullet"/>
      <w:lvlText w:val="o"/>
      <w:lvlJc w:val="left"/>
      <w:pPr>
        <w:ind w:left="1788" w:hanging="360"/>
      </w:pPr>
      <w:rPr>
        <w:rFonts w:ascii="Courier New" w:hAnsi="Courier New" w:cs="Courier New"/>
      </w:rPr>
    </w:lvl>
    <w:lvl w:ilvl="2">
      <w:numFmt w:val="bullet"/>
      <w:lvlText w:val=""/>
      <w:lvlJc w:val="left"/>
      <w:pPr>
        <w:ind w:left="2508" w:hanging="360"/>
      </w:pPr>
      <w:rPr>
        <w:rFonts w:ascii="Wingdings" w:hAnsi="Wingdings" w:cs="Wingdings"/>
      </w:rPr>
    </w:lvl>
    <w:lvl w:ilvl="3">
      <w:numFmt w:val="bullet"/>
      <w:lvlText w:val=""/>
      <w:lvlJc w:val="left"/>
      <w:pPr>
        <w:ind w:left="3228" w:hanging="360"/>
      </w:pPr>
      <w:rPr>
        <w:rFonts w:ascii="Symbol" w:hAnsi="Symbol" w:cs="Symbol"/>
      </w:rPr>
    </w:lvl>
    <w:lvl w:ilvl="4">
      <w:numFmt w:val="bullet"/>
      <w:lvlText w:val="o"/>
      <w:lvlJc w:val="left"/>
      <w:pPr>
        <w:ind w:left="3948" w:hanging="360"/>
      </w:pPr>
      <w:rPr>
        <w:rFonts w:ascii="Courier New" w:hAnsi="Courier New" w:cs="Courier New"/>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Symbol" w:hAnsi="Symbol" w:cs="Symbol"/>
      </w:rPr>
    </w:lvl>
    <w:lvl w:ilvl="7">
      <w:numFmt w:val="bullet"/>
      <w:lvlText w:val="o"/>
      <w:lvlJc w:val="left"/>
      <w:pPr>
        <w:ind w:left="6108" w:hanging="360"/>
      </w:pPr>
      <w:rPr>
        <w:rFonts w:ascii="Courier New" w:hAnsi="Courier New" w:cs="Courier New"/>
      </w:rPr>
    </w:lvl>
    <w:lvl w:ilvl="8">
      <w:numFmt w:val="bullet"/>
      <w:lvlText w:val=""/>
      <w:lvlJc w:val="left"/>
      <w:pPr>
        <w:ind w:left="6828" w:hanging="360"/>
      </w:pPr>
      <w:rPr>
        <w:rFonts w:ascii="Wingdings" w:hAnsi="Wingdings" w:cs="Wingdings"/>
      </w:rPr>
    </w:lvl>
  </w:abstractNum>
  <w:abstractNum w:abstractNumId="197" w15:restartNumberingAfterBreak="0">
    <w:nsid w:val="421906EB"/>
    <w:multiLevelType w:val="hybridMultilevel"/>
    <w:tmpl w:val="21B47606"/>
    <w:lvl w:ilvl="0" w:tplc="04150001">
      <w:start w:val="1"/>
      <w:numFmt w:val="bullet"/>
      <w:lvlText w:val=""/>
      <w:lvlJc w:val="left"/>
      <w:pPr>
        <w:ind w:left="1485" w:hanging="360"/>
      </w:pPr>
      <w:rPr>
        <w:rFonts w:ascii="Symbol" w:hAnsi="Symbol" w:hint="default"/>
      </w:rPr>
    </w:lvl>
    <w:lvl w:ilvl="1" w:tplc="04150003" w:tentative="1">
      <w:start w:val="1"/>
      <w:numFmt w:val="bullet"/>
      <w:lvlText w:val="o"/>
      <w:lvlJc w:val="left"/>
      <w:pPr>
        <w:ind w:left="2205" w:hanging="360"/>
      </w:pPr>
      <w:rPr>
        <w:rFonts w:ascii="Courier New" w:hAnsi="Courier New" w:cs="Courier New" w:hint="default"/>
      </w:rPr>
    </w:lvl>
    <w:lvl w:ilvl="2" w:tplc="04150005" w:tentative="1">
      <w:start w:val="1"/>
      <w:numFmt w:val="bullet"/>
      <w:lvlText w:val=""/>
      <w:lvlJc w:val="left"/>
      <w:pPr>
        <w:ind w:left="2925" w:hanging="360"/>
      </w:pPr>
      <w:rPr>
        <w:rFonts w:ascii="Wingdings" w:hAnsi="Wingdings" w:hint="default"/>
      </w:rPr>
    </w:lvl>
    <w:lvl w:ilvl="3" w:tplc="04150001" w:tentative="1">
      <w:start w:val="1"/>
      <w:numFmt w:val="bullet"/>
      <w:lvlText w:val=""/>
      <w:lvlJc w:val="left"/>
      <w:pPr>
        <w:ind w:left="3645" w:hanging="360"/>
      </w:pPr>
      <w:rPr>
        <w:rFonts w:ascii="Symbol" w:hAnsi="Symbol" w:hint="default"/>
      </w:rPr>
    </w:lvl>
    <w:lvl w:ilvl="4" w:tplc="04150003" w:tentative="1">
      <w:start w:val="1"/>
      <w:numFmt w:val="bullet"/>
      <w:lvlText w:val="o"/>
      <w:lvlJc w:val="left"/>
      <w:pPr>
        <w:ind w:left="4365" w:hanging="360"/>
      </w:pPr>
      <w:rPr>
        <w:rFonts w:ascii="Courier New" w:hAnsi="Courier New" w:cs="Courier New" w:hint="default"/>
      </w:rPr>
    </w:lvl>
    <w:lvl w:ilvl="5" w:tplc="04150005" w:tentative="1">
      <w:start w:val="1"/>
      <w:numFmt w:val="bullet"/>
      <w:lvlText w:val=""/>
      <w:lvlJc w:val="left"/>
      <w:pPr>
        <w:ind w:left="5085" w:hanging="360"/>
      </w:pPr>
      <w:rPr>
        <w:rFonts w:ascii="Wingdings" w:hAnsi="Wingdings" w:hint="default"/>
      </w:rPr>
    </w:lvl>
    <w:lvl w:ilvl="6" w:tplc="04150001" w:tentative="1">
      <w:start w:val="1"/>
      <w:numFmt w:val="bullet"/>
      <w:lvlText w:val=""/>
      <w:lvlJc w:val="left"/>
      <w:pPr>
        <w:ind w:left="5805" w:hanging="360"/>
      </w:pPr>
      <w:rPr>
        <w:rFonts w:ascii="Symbol" w:hAnsi="Symbol" w:hint="default"/>
      </w:rPr>
    </w:lvl>
    <w:lvl w:ilvl="7" w:tplc="04150003" w:tentative="1">
      <w:start w:val="1"/>
      <w:numFmt w:val="bullet"/>
      <w:lvlText w:val="o"/>
      <w:lvlJc w:val="left"/>
      <w:pPr>
        <w:ind w:left="6525" w:hanging="360"/>
      </w:pPr>
      <w:rPr>
        <w:rFonts w:ascii="Courier New" w:hAnsi="Courier New" w:cs="Courier New" w:hint="default"/>
      </w:rPr>
    </w:lvl>
    <w:lvl w:ilvl="8" w:tplc="04150005" w:tentative="1">
      <w:start w:val="1"/>
      <w:numFmt w:val="bullet"/>
      <w:lvlText w:val=""/>
      <w:lvlJc w:val="left"/>
      <w:pPr>
        <w:ind w:left="7245" w:hanging="360"/>
      </w:pPr>
      <w:rPr>
        <w:rFonts w:ascii="Wingdings" w:hAnsi="Wingdings" w:hint="default"/>
      </w:rPr>
    </w:lvl>
  </w:abstractNum>
  <w:abstractNum w:abstractNumId="198" w15:restartNumberingAfterBreak="0">
    <w:nsid w:val="426C636B"/>
    <w:multiLevelType w:val="hybridMultilevel"/>
    <w:tmpl w:val="721AF396"/>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99" w15:restartNumberingAfterBreak="0">
    <w:nsid w:val="42D17F42"/>
    <w:multiLevelType w:val="hybridMultilevel"/>
    <w:tmpl w:val="A65237BE"/>
    <w:lvl w:ilvl="0" w:tplc="A962886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0" w15:restartNumberingAfterBreak="0">
    <w:nsid w:val="431E2385"/>
    <w:multiLevelType w:val="hybridMultilevel"/>
    <w:tmpl w:val="A626ABB8"/>
    <w:lvl w:ilvl="0" w:tplc="04150001">
      <w:start w:val="1"/>
      <w:numFmt w:val="bullet"/>
      <w:lvlText w:val=""/>
      <w:lvlJc w:val="left"/>
      <w:pPr>
        <w:ind w:left="1350" w:hanging="360"/>
      </w:pPr>
      <w:rPr>
        <w:rFonts w:ascii="Symbol" w:hAnsi="Symbol" w:hint="default"/>
      </w:rPr>
    </w:lvl>
    <w:lvl w:ilvl="1" w:tplc="04150003" w:tentative="1">
      <w:start w:val="1"/>
      <w:numFmt w:val="bullet"/>
      <w:lvlText w:val="o"/>
      <w:lvlJc w:val="left"/>
      <w:pPr>
        <w:ind w:left="2070" w:hanging="360"/>
      </w:pPr>
      <w:rPr>
        <w:rFonts w:ascii="Courier New" w:hAnsi="Courier New" w:cs="Courier New" w:hint="default"/>
      </w:rPr>
    </w:lvl>
    <w:lvl w:ilvl="2" w:tplc="04150005" w:tentative="1">
      <w:start w:val="1"/>
      <w:numFmt w:val="bullet"/>
      <w:lvlText w:val=""/>
      <w:lvlJc w:val="left"/>
      <w:pPr>
        <w:ind w:left="2790" w:hanging="360"/>
      </w:pPr>
      <w:rPr>
        <w:rFonts w:ascii="Wingdings" w:hAnsi="Wingdings" w:hint="default"/>
      </w:rPr>
    </w:lvl>
    <w:lvl w:ilvl="3" w:tplc="04150001" w:tentative="1">
      <w:start w:val="1"/>
      <w:numFmt w:val="bullet"/>
      <w:lvlText w:val=""/>
      <w:lvlJc w:val="left"/>
      <w:pPr>
        <w:ind w:left="3510" w:hanging="360"/>
      </w:pPr>
      <w:rPr>
        <w:rFonts w:ascii="Symbol" w:hAnsi="Symbol" w:hint="default"/>
      </w:rPr>
    </w:lvl>
    <w:lvl w:ilvl="4" w:tplc="04150003" w:tentative="1">
      <w:start w:val="1"/>
      <w:numFmt w:val="bullet"/>
      <w:lvlText w:val="o"/>
      <w:lvlJc w:val="left"/>
      <w:pPr>
        <w:ind w:left="4230" w:hanging="360"/>
      </w:pPr>
      <w:rPr>
        <w:rFonts w:ascii="Courier New" w:hAnsi="Courier New" w:cs="Courier New" w:hint="default"/>
      </w:rPr>
    </w:lvl>
    <w:lvl w:ilvl="5" w:tplc="04150005" w:tentative="1">
      <w:start w:val="1"/>
      <w:numFmt w:val="bullet"/>
      <w:lvlText w:val=""/>
      <w:lvlJc w:val="left"/>
      <w:pPr>
        <w:ind w:left="4950" w:hanging="360"/>
      </w:pPr>
      <w:rPr>
        <w:rFonts w:ascii="Wingdings" w:hAnsi="Wingdings" w:hint="default"/>
      </w:rPr>
    </w:lvl>
    <w:lvl w:ilvl="6" w:tplc="04150001" w:tentative="1">
      <w:start w:val="1"/>
      <w:numFmt w:val="bullet"/>
      <w:lvlText w:val=""/>
      <w:lvlJc w:val="left"/>
      <w:pPr>
        <w:ind w:left="5670" w:hanging="360"/>
      </w:pPr>
      <w:rPr>
        <w:rFonts w:ascii="Symbol" w:hAnsi="Symbol" w:hint="default"/>
      </w:rPr>
    </w:lvl>
    <w:lvl w:ilvl="7" w:tplc="04150003" w:tentative="1">
      <w:start w:val="1"/>
      <w:numFmt w:val="bullet"/>
      <w:lvlText w:val="o"/>
      <w:lvlJc w:val="left"/>
      <w:pPr>
        <w:ind w:left="6390" w:hanging="360"/>
      </w:pPr>
      <w:rPr>
        <w:rFonts w:ascii="Courier New" w:hAnsi="Courier New" w:cs="Courier New" w:hint="default"/>
      </w:rPr>
    </w:lvl>
    <w:lvl w:ilvl="8" w:tplc="04150005" w:tentative="1">
      <w:start w:val="1"/>
      <w:numFmt w:val="bullet"/>
      <w:lvlText w:val=""/>
      <w:lvlJc w:val="left"/>
      <w:pPr>
        <w:ind w:left="7110" w:hanging="360"/>
      </w:pPr>
      <w:rPr>
        <w:rFonts w:ascii="Wingdings" w:hAnsi="Wingdings" w:hint="default"/>
      </w:rPr>
    </w:lvl>
  </w:abstractNum>
  <w:abstractNum w:abstractNumId="201" w15:restartNumberingAfterBreak="0">
    <w:nsid w:val="43637CF4"/>
    <w:multiLevelType w:val="hybridMultilevel"/>
    <w:tmpl w:val="DD06D51E"/>
    <w:lvl w:ilvl="0" w:tplc="3EAE0EC4">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02" w15:restartNumberingAfterBreak="0">
    <w:nsid w:val="43972D33"/>
    <w:multiLevelType w:val="hybridMultilevel"/>
    <w:tmpl w:val="6AC46EF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3" w15:restartNumberingAfterBreak="0">
    <w:nsid w:val="43A31304"/>
    <w:multiLevelType w:val="hybridMultilevel"/>
    <w:tmpl w:val="50F8A36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04" w15:restartNumberingAfterBreak="0">
    <w:nsid w:val="43F95B8E"/>
    <w:multiLevelType w:val="hybridMultilevel"/>
    <w:tmpl w:val="252A172C"/>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05" w15:restartNumberingAfterBreak="0">
    <w:nsid w:val="44A40E2F"/>
    <w:multiLevelType w:val="hybridMultilevel"/>
    <w:tmpl w:val="CCE62876"/>
    <w:lvl w:ilvl="0" w:tplc="57D858D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06" w15:restartNumberingAfterBreak="0">
    <w:nsid w:val="44F062F2"/>
    <w:multiLevelType w:val="hybridMultilevel"/>
    <w:tmpl w:val="6FCEB8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7" w15:restartNumberingAfterBreak="0">
    <w:nsid w:val="451D2C4E"/>
    <w:multiLevelType w:val="hybridMultilevel"/>
    <w:tmpl w:val="E1E0FA82"/>
    <w:lvl w:ilvl="0" w:tplc="F64A0D34">
      <w:start w:val="1"/>
      <w:numFmt w:val="bullet"/>
      <w:lvlText w:val=""/>
      <w:lvlJc w:val="left"/>
      <w:pPr>
        <w:ind w:left="1353" w:hanging="360"/>
      </w:pPr>
      <w:rPr>
        <w:rFonts w:ascii="Symbol" w:hAnsi="Symbol" w:hint="default"/>
      </w:rPr>
    </w:lvl>
    <w:lvl w:ilvl="1" w:tplc="04150003" w:tentative="1">
      <w:start w:val="1"/>
      <w:numFmt w:val="bullet"/>
      <w:lvlText w:val="o"/>
      <w:lvlJc w:val="left"/>
      <w:pPr>
        <w:ind w:left="2073" w:hanging="360"/>
      </w:pPr>
      <w:rPr>
        <w:rFonts w:ascii="Courier New" w:hAnsi="Courier New" w:cs="Courier New" w:hint="default"/>
      </w:rPr>
    </w:lvl>
    <w:lvl w:ilvl="2" w:tplc="04150005" w:tentative="1">
      <w:start w:val="1"/>
      <w:numFmt w:val="bullet"/>
      <w:lvlText w:val=""/>
      <w:lvlJc w:val="left"/>
      <w:pPr>
        <w:ind w:left="2793" w:hanging="360"/>
      </w:pPr>
      <w:rPr>
        <w:rFonts w:ascii="Wingdings" w:hAnsi="Wingdings" w:hint="default"/>
      </w:rPr>
    </w:lvl>
    <w:lvl w:ilvl="3" w:tplc="04150001" w:tentative="1">
      <w:start w:val="1"/>
      <w:numFmt w:val="bullet"/>
      <w:lvlText w:val=""/>
      <w:lvlJc w:val="left"/>
      <w:pPr>
        <w:ind w:left="3513" w:hanging="360"/>
      </w:pPr>
      <w:rPr>
        <w:rFonts w:ascii="Symbol" w:hAnsi="Symbol" w:hint="default"/>
      </w:rPr>
    </w:lvl>
    <w:lvl w:ilvl="4" w:tplc="04150003" w:tentative="1">
      <w:start w:val="1"/>
      <w:numFmt w:val="bullet"/>
      <w:lvlText w:val="o"/>
      <w:lvlJc w:val="left"/>
      <w:pPr>
        <w:ind w:left="4233" w:hanging="360"/>
      </w:pPr>
      <w:rPr>
        <w:rFonts w:ascii="Courier New" w:hAnsi="Courier New" w:cs="Courier New" w:hint="default"/>
      </w:rPr>
    </w:lvl>
    <w:lvl w:ilvl="5" w:tplc="04150005" w:tentative="1">
      <w:start w:val="1"/>
      <w:numFmt w:val="bullet"/>
      <w:lvlText w:val=""/>
      <w:lvlJc w:val="left"/>
      <w:pPr>
        <w:ind w:left="4953" w:hanging="360"/>
      </w:pPr>
      <w:rPr>
        <w:rFonts w:ascii="Wingdings" w:hAnsi="Wingdings" w:hint="default"/>
      </w:rPr>
    </w:lvl>
    <w:lvl w:ilvl="6" w:tplc="04150001" w:tentative="1">
      <w:start w:val="1"/>
      <w:numFmt w:val="bullet"/>
      <w:lvlText w:val=""/>
      <w:lvlJc w:val="left"/>
      <w:pPr>
        <w:ind w:left="5673" w:hanging="360"/>
      </w:pPr>
      <w:rPr>
        <w:rFonts w:ascii="Symbol" w:hAnsi="Symbol" w:hint="default"/>
      </w:rPr>
    </w:lvl>
    <w:lvl w:ilvl="7" w:tplc="04150003" w:tentative="1">
      <w:start w:val="1"/>
      <w:numFmt w:val="bullet"/>
      <w:lvlText w:val="o"/>
      <w:lvlJc w:val="left"/>
      <w:pPr>
        <w:ind w:left="6393" w:hanging="360"/>
      </w:pPr>
      <w:rPr>
        <w:rFonts w:ascii="Courier New" w:hAnsi="Courier New" w:cs="Courier New" w:hint="default"/>
      </w:rPr>
    </w:lvl>
    <w:lvl w:ilvl="8" w:tplc="04150005" w:tentative="1">
      <w:start w:val="1"/>
      <w:numFmt w:val="bullet"/>
      <w:lvlText w:val=""/>
      <w:lvlJc w:val="left"/>
      <w:pPr>
        <w:ind w:left="7113" w:hanging="360"/>
      </w:pPr>
      <w:rPr>
        <w:rFonts w:ascii="Wingdings" w:hAnsi="Wingdings" w:hint="default"/>
      </w:rPr>
    </w:lvl>
  </w:abstractNum>
  <w:abstractNum w:abstractNumId="208" w15:restartNumberingAfterBreak="0">
    <w:nsid w:val="451F7A4B"/>
    <w:multiLevelType w:val="hybridMultilevel"/>
    <w:tmpl w:val="F9B42EA8"/>
    <w:lvl w:ilvl="0" w:tplc="0415000B">
      <w:start w:val="1"/>
      <w:numFmt w:val="bullet"/>
      <w:lvlText w:val=""/>
      <w:lvlJc w:val="left"/>
      <w:pPr>
        <w:ind w:left="7656" w:hanging="360"/>
      </w:pPr>
      <w:rPr>
        <w:rFonts w:ascii="Wingdings" w:hAnsi="Wingdings" w:hint="default"/>
      </w:rPr>
    </w:lvl>
    <w:lvl w:ilvl="1" w:tplc="04150003" w:tentative="1">
      <w:start w:val="1"/>
      <w:numFmt w:val="bullet"/>
      <w:lvlText w:val="o"/>
      <w:lvlJc w:val="left"/>
      <w:pPr>
        <w:ind w:left="3677" w:hanging="360"/>
      </w:pPr>
      <w:rPr>
        <w:rFonts w:ascii="Courier New" w:hAnsi="Courier New" w:cs="Courier New" w:hint="default"/>
      </w:rPr>
    </w:lvl>
    <w:lvl w:ilvl="2" w:tplc="04150005" w:tentative="1">
      <w:start w:val="1"/>
      <w:numFmt w:val="bullet"/>
      <w:lvlText w:val=""/>
      <w:lvlJc w:val="left"/>
      <w:pPr>
        <w:ind w:left="4397" w:hanging="360"/>
      </w:pPr>
      <w:rPr>
        <w:rFonts w:ascii="Wingdings" w:hAnsi="Wingdings" w:hint="default"/>
      </w:rPr>
    </w:lvl>
    <w:lvl w:ilvl="3" w:tplc="04150001" w:tentative="1">
      <w:start w:val="1"/>
      <w:numFmt w:val="bullet"/>
      <w:lvlText w:val=""/>
      <w:lvlJc w:val="left"/>
      <w:pPr>
        <w:ind w:left="5117" w:hanging="360"/>
      </w:pPr>
      <w:rPr>
        <w:rFonts w:ascii="Symbol" w:hAnsi="Symbol" w:hint="default"/>
      </w:rPr>
    </w:lvl>
    <w:lvl w:ilvl="4" w:tplc="04150003" w:tentative="1">
      <w:start w:val="1"/>
      <w:numFmt w:val="bullet"/>
      <w:lvlText w:val="o"/>
      <w:lvlJc w:val="left"/>
      <w:pPr>
        <w:ind w:left="5837" w:hanging="360"/>
      </w:pPr>
      <w:rPr>
        <w:rFonts w:ascii="Courier New" w:hAnsi="Courier New" w:cs="Courier New" w:hint="default"/>
      </w:rPr>
    </w:lvl>
    <w:lvl w:ilvl="5" w:tplc="04150005" w:tentative="1">
      <w:start w:val="1"/>
      <w:numFmt w:val="bullet"/>
      <w:lvlText w:val=""/>
      <w:lvlJc w:val="left"/>
      <w:pPr>
        <w:ind w:left="6557" w:hanging="360"/>
      </w:pPr>
      <w:rPr>
        <w:rFonts w:ascii="Wingdings" w:hAnsi="Wingdings" w:hint="default"/>
      </w:rPr>
    </w:lvl>
    <w:lvl w:ilvl="6" w:tplc="04150001" w:tentative="1">
      <w:start w:val="1"/>
      <w:numFmt w:val="bullet"/>
      <w:lvlText w:val=""/>
      <w:lvlJc w:val="left"/>
      <w:pPr>
        <w:ind w:left="7277" w:hanging="360"/>
      </w:pPr>
      <w:rPr>
        <w:rFonts w:ascii="Symbol" w:hAnsi="Symbol" w:hint="default"/>
      </w:rPr>
    </w:lvl>
    <w:lvl w:ilvl="7" w:tplc="04150003" w:tentative="1">
      <w:start w:val="1"/>
      <w:numFmt w:val="bullet"/>
      <w:lvlText w:val="o"/>
      <w:lvlJc w:val="left"/>
      <w:pPr>
        <w:ind w:left="7997" w:hanging="360"/>
      </w:pPr>
      <w:rPr>
        <w:rFonts w:ascii="Courier New" w:hAnsi="Courier New" w:cs="Courier New" w:hint="default"/>
      </w:rPr>
    </w:lvl>
    <w:lvl w:ilvl="8" w:tplc="04150005" w:tentative="1">
      <w:start w:val="1"/>
      <w:numFmt w:val="bullet"/>
      <w:lvlText w:val=""/>
      <w:lvlJc w:val="left"/>
      <w:pPr>
        <w:ind w:left="8717" w:hanging="360"/>
      </w:pPr>
      <w:rPr>
        <w:rFonts w:ascii="Wingdings" w:hAnsi="Wingdings" w:hint="default"/>
      </w:rPr>
    </w:lvl>
  </w:abstractNum>
  <w:abstractNum w:abstractNumId="209" w15:restartNumberingAfterBreak="0">
    <w:nsid w:val="453134F1"/>
    <w:multiLevelType w:val="hybridMultilevel"/>
    <w:tmpl w:val="77AA575A"/>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10" w15:restartNumberingAfterBreak="0">
    <w:nsid w:val="45BA306D"/>
    <w:multiLevelType w:val="hybridMultilevel"/>
    <w:tmpl w:val="38988DD4"/>
    <w:lvl w:ilvl="0" w:tplc="93A81072">
      <w:start w:val="1"/>
      <w:numFmt w:val="bullet"/>
      <w:lvlText w:val=""/>
      <w:lvlJc w:val="left"/>
      <w:pPr>
        <w:ind w:left="-437" w:hanging="360"/>
      </w:pPr>
      <w:rPr>
        <w:rFonts w:ascii="Symbol" w:hAnsi="Symbol" w:hint="default"/>
      </w:rPr>
    </w:lvl>
    <w:lvl w:ilvl="1" w:tplc="04150003">
      <w:start w:val="1"/>
      <w:numFmt w:val="bullet"/>
      <w:lvlText w:val="o"/>
      <w:lvlJc w:val="left"/>
      <w:pPr>
        <w:ind w:left="1131" w:hanging="360"/>
      </w:pPr>
      <w:rPr>
        <w:rFonts w:ascii="Courier New" w:hAnsi="Courier New" w:cs="Courier New" w:hint="default"/>
      </w:rPr>
    </w:lvl>
    <w:lvl w:ilvl="2" w:tplc="04150005">
      <w:start w:val="1"/>
      <w:numFmt w:val="bullet"/>
      <w:lvlText w:val=""/>
      <w:lvlJc w:val="left"/>
      <w:pPr>
        <w:ind w:left="1851" w:hanging="360"/>
      </w:pPr>
      <w:rPr>
        <w:rFonts w:ascii="Wingdings" w:hAnsi="Wingdings" w:hint="default"/>
      </w:rPr>
    </w:lvl>
    <w:lvl w:ilvl="3" w:tplc="04150001">
      <w:start w:val="1"/>
      <w:numFmt w:val="bullet"/>
      <w:lvlText w:val=""/>
      <w:lvlJc w:val="left"/>
      <w:pPr>
        <w:ind w:left="2571" w:hanging="360"/>
      </w:pPr>
      <w:rPr>
        <w:rFonts w:ascii="Symbol" w:hAnsi="Symbol" w:hint="default"/>
      </w:rPr>
    </w:lvl>
    <w:lvl w:ilvl="4" w:tplc="04150003">
      <w:start w:val="1"/>
      <w:numFmt w:val="bullet"/>
      <w:lvlText w:val="o"/>
      <w:lvlJc w:val="left"/>
      <w:pPr>
        <w:ind w:left="3291" w:hanging="360"/>
      </w:pPr>
      <w:rPr>
        <w:rFonts w:ascii="Courier New" w:hAnsi="Courier New" w:cs="Courier New" w:hint="default"/>
      </w:rPr>
    </w:lvl>
    <w:lvl w:ilvl="5" w:tplc="04150005">
      <w:start w:val="1"/>
      <w:numFmt w:val="bullet"/>
      <w:lvlText w:val=""/>
      <w:lvlJc w:val="left"/>
      <w:pPr>
        <w:ind w:left="4011" w:hanging="360"/>
      </w:pPr>
      <w:rPr>
        <w:rFonts w:ascii="Wingdings" w:hAnsi="Wingdings" w:hint="default"/>
      </w:rPr>
    </w:lvl>
    <w:lvl w:ilvl="6" w:tplc="04150001">
      <w:start w:val="1"/>
      <w:numFmt w:val="bullet"/>
      <w:lvlText w:val=""/>
      <w:lvlJc w:val="left"/>
      <w:pPr>
        <w:ind w:left="4731" w:hanging="360"/>
      </w:pPr>
      <w:rPr>
        <w:rFonts w:ascii="Symbol" w:hAnsi="Symbol" w:hint="default"/>
      </w:rPr>
    </w:lvl>
    <w:lvl w:ilvl="7" w:tplc="04150003">
      <w:start w:val="1"/>
      <w:numFmt w:val="bullet"/>
      <w:lvlText w:val="o"/>
      <w:lvlJc w:val="left"/>
      <w:pPr>
        <w:ind w:left="5451" w:hanging="360"/>
      </w:pPr>
      <w:rPr>
        <w:rFonts w:ascii="Courier New" w:hAnsi="Courier New" w:cs="Courier New" w:hint="default"/>
      </w:rPr>
    </w:lvl>
    <w:lvl w:ilvl="8" w:tplc="04150005">
      <w:start w:val="1"/>
      <w:numFmt w:val="bullet"/>
      <w:lvlText w:val=""/>
      <w:lvlJc w:val="left"/>
      <w:pPr>
        <w:ind w:left="6171" w:hanging="360"/>
      </w:pPr>
      <w:rPr>
        <w:rFonts w:ascii="Wingdings" w:hAnsi="Wingdings" w:hint="default"/>
      </w:rPr>
    </w:lvl>
  </w:abstractNum>
  <w:abstractNum w:abstractNumId="211" w15:restartNumberingAfterBreak="0">
    <w:nsid w:val="471246D5"/>
    <w:multiLevelType w:val="hybridMultilevel"/>
    <w:tmpl w:val="AAC49816"/>
    <w:lvl w:ilvl="0" w:tplc="3EAE0EC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12" w15:restartNumberingAfterBreak="0">
    <w:nsid w:val="47402A91"/>
    <w:multiLevelType w:val="hybridMultilevel"/>
    <w:tmpl w:val="359AD0FE"/>
    <w:lvl w:ilvl="0" w:tplc="2102D40C">
      <w:start w:val="1"/>
      <w:numFmt w:val="decimal"/>
      <w:lvlText w:val="%1."/>
      <w:lvlJc w:val="left"/>
      <w:pPr>
        <w:ind w:left="720" w:hanging="360"/>
      </w:pPr>
      <w:rPr>
        <w:rFonts w:ascii="Times New Roman" w:eastAsia="Times New Roman" w:hAnsi="Times New Roman" w:cs="Times New Roman"/>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13" w15:restartNumberingAfterBreak="0">
    <w:nsid w:val="477045AD"/>
    <w:multiLevelType w:val="multilevel"/>
    <w:tmpl w:val="981C0B0A"/>
    <w:styleLink w:val="WWNum7"/>
    <w:lvl w:ilvl="0">
      <w:numFmt w:val="bullet"/>
      <w:lvlText w:val=""/>
      <w:lvlJc w:val="left"/>
      <w:pPr>
        <w:ind w:left="1068" w:hanging="360"/>
      </w:pPr>
      <w:rPr>
        <w:rFonts w:ascii="Symbol" w:hAnsi="Symbol"/>
        <w:b w:val="0"/>
      </w:rPr>
    </w:lvl>
    <w:lvl w:ilvl="1">
      <w:numFmt w:val="bullet"/>
      <w:lvlText w:val="o"/>
      <w:lvlJc w:val="left"/>
      <w:pPr>
        <w:ind w:left="1788" w:hanging="360"/>
      </w:pPr>
      <w:rPr>
        <w:rFonts w:ascii="Courier New" w:hAnsi="Courier New" w:cs="Courier New"/>
      </w:rPr>
    </w:lvl>
    <w:lvl w:ilvl="2">
      <w:numFmt w:val="bullet"/>
      <w:lvlText w:val=""/>
      <w:lvlJc w:val="left"/>
      <w:pPr>
        <w:ind w:left="2508" w:hanging="360"/>
      </w:pPr>
      <w:rPr>
        <w:rFonts w:ascii="Wingdings" w:hAnsi="Wingdings" w:cs="Wingdings"/>
      </w:rPr>
    </w:lvl>
    <w:lvl w:ilvl="3">
      <w:numFmt w:val="bullet"/>
      <w:lvlText w:val=""/>
      <w:lvlJc w:val="left"/>
      <w:pPr>
        <w:ind w:left="3228" w:hanging="360"/>
      </w:pPr>
      <w:rPr>
        <w:rFonts w:ascii="Symbol" w:hAnsi="Symbol" w:cs="Symbol"/>
      </w:rPr>
    </w:lvl>
    <w:lvl w:ilvl="4">
      <w:numFmt w:val="bullet"/>
      <w:lvlText w:val="o"/>
      <w:lvlJc w:val="left"/>
      <w:pPr>
        <w:ind w:left="3948" w:hanging="360"/>
      </w:pPr>
      <w:rPr>
        <w:rFonts w:ascii="Courier New" w:hAnsi="Courier New" w:cs="Courier New"/>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Symbol" w:hAnsi="Symbol" w:cs="Symbol"/>
      </w:rPr>
    </w:lvl>
    <w:lvl w:ilvl="7">
      <w:numFmt w:val="bullet"/>
      <w:lvlText w:val="o"/>
      <w:lvlJc w:val="left"/>
      <w:pPr>
        <w:ind w:left="6108" w:hanging="360"/>
      </w:pPr>
      <w:rPr>
        <w:rFonts w:ascii="Courier New" w:hAnsi="Courier New" w:cs="Courier New"/>
      </w:rPr>
    </w:lvl>
    <w:lvl w:ilvl="8">
      <w:numFmt w:val="bullet"/>
      <w:lvlText w:val=""/>
      <w:lvlJc w:val="left"/>
      <w:pPr>
        <w:ind w:left="6828" w:hanging="360"/>
      </w:pPr>
      <w:rPr>
        <w:rFonts w:ascii="Wingdings" w:hAnsi="Wingdings" w:cs="Wingdings"/>
      </w:rPr>
    </w:lvl>
  </w:abstractNum>
  <w:abstractNum w:abstractNumId="214" w15:restartNumberingAfterBreak="0">
    <w:nsid w:val="483F49C5"/>
    <w:multiLevelType w:val="hybridMultilevel"/>
    <w:tmpl w:val="7C5409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5" w15:restartNumberingAfterBreak="0">
    <w:nsid w:val="4932554A"/>
    <w:multiLevelType w:val="hybridMultilevel"/>
    <w:tmpl w:val="6FEE8AE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16" w15:restartNumberingAfterBreak="0">
    <w:nsid w:val="4A126A69"/>
    <w:multiLevelType w:val="hybridMultilevel"/>
    <w:tmpl w:val="FBB26C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7" w15:restartNumberingAfterBreak="0">
    <w:nsid w:val="4A5D07D5"/>
    <w:multiLevelType w:val="hybridMultilevel"/>
    <w:tmpl w:val="50C60C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8" w15:restartNumberingAfterBreak="0">
    <w:nsid w:val="4BBB7D46"/>
    <w:multiLevelType w:val="hybridMultilevel"/>
    <w:tmpl w:val="69A8B718"/>
    <w:lvl w:ilvl="0" w:tplc="86501E16">
      <w:start w:val="1"/>
      <w:numFmt w:val="bullet"/>
      <w:pStyle w:val="punktygios"/>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9" w15:restartNumberingAfterBreak="0">
    <w:nsid w:val="4BD91BDA"/>
    <w:multiLevelType w:val="hybridMultilevel"/>
    <w:tmpl w:val="4F420C70"/>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0" w15:restartNumberingAfterBreak="0">
    <w:nsid w:val="4C3B28FF"/>
    <w:multiLevelType w:val="hybridMultilevel"/>
    <w:tmpl w:val="F8FC6EFC"/>
    <w:lvl w:ilvl="0" w:tplc="04150001">
      <w:start w:val="1"/>
      <w:numFmt w:val="bullet"/>
      <w:lvlText w:val=""/>
      <w:lvlJc w:val="left"/>
      <w:pPr>
        <w:ind w:left="2278" w:hanging="360"/>
      </w:pPr>
      <w:rPr>
        <w:rFonts w:ascii="Symbol" w:hAnsi="Symbol" w:hint="default"/>
      </w:rPr>
    </w:lvl>
    <w:lvl w:ilvl="1" w:tplc="04150003" w:tentative="1">
      <w:start w:val="1"/>
      <w:numFmt w:val="bullet"/>
      <w:lvlText w:val="o"/>
      <w:lvlJc w:val="left"/>
      <w:pPr>
        <w:ind w:left="2998" w:hanging="360"/>
      </w:pPr>
      <w:rPr>
        <w:rFonts w:ascii="Courier New" w:hAnsi="Courier New" w:cs="Courier New" w:hint="default"/>
      </w:rPr>
    </w:lvl>
    <w:lvl w:ilvl="2" w:tplc="04150005" w:tentative="1">
      <w:start w:val="1"/>
      <w:numFmt w:val="bullet"/>
      <w:lvlText w:val=""/>
      <w:lvlJc w:val="left"/>
      <w:pPr>
        <w:ind w:left="3718" w:hanging="360"/>
      </w:pPr>
      <w:rPr>
        <w:rFonts w:ascii="Wingdings" w:hAnsi="Wingdings" w:hint="default"/>
      </w:rPr>
    </w:lvl>
    <w:lvl w:ilvl="3" w:tplc="04150001" w:tentative="1">
      <w:start w:val="1"/>
      <w:numFmt w:val="bullet"/>
      <w:lvlText w:val=""/>
      <w:lvlJc w:val="left"/>
      <w:pPr>
        <w:ind w:left="4438" w:hanging="360"/>
      </w:pPr>
      <w:rPr>
        <w:rFonts w:ascii="Symbol" w:hAnsi="Symbol" w:hint="default"/>
      </w:rPr>
    </w:lvl>
    <w:lvl w:ilvl="4" w:tplc="04150003" w:tentative="1">
      <w:start w:val="1"/>
      <w:numFmt w:val="bullet"/>
      <w:lvlText w:val="o"/>
      <w:lvlJc w:val="left"/>
      <w:pPr>
        <w:ind w:left="5158" w:hanging="360"/>
      </w:pPr>
      <w:rPr>
        <w:rFonts w:ascii="Courier New" w:hAnsi="Courier New" w:cs="Courier New" w:hint="default"/>
      </w:rPr>
    </w:lvl>
    <w:lvl w:ilvl="5" w:tplc="04150005" w:tentative="1">
      <w:start w:val="1"/>
      <w:numFmt w:val="bullet"/>
      <w:lvlText w:val=""/>
      <w:lvlJc w:val="left"/>
      <w:pPr>
        <w:ind w:left="5878" w:hanging="360"/>
      </w:pPr>
      <w:rPr>
        <w:rFonts w:ascii="Wingdings" w:hAnsi="Wingdings" w:hint="default"/>
      </w:rPr>
    </w:lvl>
    <w:lvl w:ilvl="6" w:tplc="04150001" w:tentative="1">
      <w:start w:val="1"/>
      <w:numFmt w:val="bullet"/>
      <w:lvlText w:val=""/>
      <w:lvlJc w:val="left"/>
      <w:pPr>
        <w:ind w:left="6598" w:hanging="360"/>
      </w:pPr>
      <w:rPr>
        <w:rFonts w:ascii="Symbol" w:hAnsi="Symbol" w:hint="default"/>
      </w:rPr>
    </w:lvl>
    <w:lvl w:ilvl="7" w:tplc="04150003" w:tentative="1">
      <w:start w:val="1"/>
      <w:numFmt w:val="bullet"/>
      <w:lvlText w:val="o"/>
      <w:lvlJc w:val="left"/>
      <w:pPr>
        <w:ind w:left="7318" w:hanging="360"/>
      </w:pPr>
      <w:rPr>
        <w:rFonts w:ascii="Courier New" w:hAnsi="Courier New" w:cs="Courier New" w:hint="default"/>
      </w:rPr>
    </w:lvl>
    <w:lvl w:ilvl="8" w:tplc="04150005" w:tentative="1">
      <w:start w:val="1"/>
      <w:numFmt w:val="bullet"/>
      <w:lvlText w:val=""/>
      <w:lvlJc w:val="left"/>
      <w:pPr>
        <w:ind w:left="8038" w:hanging="360"/>
      </w:pPr>
      <w:rPr>
        <w:rFonts w:ascii="Wingdings" w:hAnsi="Wingdings" w:hint="default"/>
      </w:rPr>
    </w:lvl>
  </w:abstractNum>
  <w:abstractNum w:abstractNumId="221" w15:restartNumberingAfterBreak="0">
    <w:nsid w:val="4C6B712E"/>
    <w:multiLevelType w:val="hybridMultilevel"/>
    <w:tmpl w:val="7D989156"/>
    <w:lvl w:ilvl="0" w:tplc="94B0B8AE">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22" w15:restartNumberingAfterBreak="0">
    <w:nsid w:val="4D86664C"/>
    <w:multiLevelType w:val="hybridMultilevel"/>
    <w:tmpl w:val="5DEA2F60"/>
    <w:lvl w:ilvl="0" w:tplc="BE263F7A">
      <w:start w:val="1"/>
      <w:numFmt w:val="bullet"/>
      <w:lvlText w:val=""/>
      <w:lvlJc w:val="left"/>
      <w:pPr>
        <w:ind w:left="1789" w:hanging="360"/>
      </w:pPr>
      <w:rPr>
        <w:rFonts w:ascii="Symbol" w:hAnsi="Symbol" w:hint="default"/>
      </w:rPr>
    </w:lvl>
    <w:lvl w:ilvl="1" w:tplc="04150003">
      <w:start w:val="1"/>
      <w:numFmt w:val="bullet"/>
      <w:lvlText w:val="o"/>
      <w:lvlJc w:val="left"/>
      <w:pPr>
        <w:ind w:left="2509" w:hanging="360"/>
      </w:pPr>
      <w:rPr>
        <w:rFonts w:ascii="Courier New" w:hAnsi="Courier New" w:cs="Courier New" w:hint="default"/>
      </w:rPr>
    </w:lvl>
    <w:lvl w:ilvl="2" w:tplc="04150005">
      <w:start w:val="1"/>
      <w:numFmt w:val="bullet"/>
      <w:lvlText w:val=""/>
      <w:lvlJc w:val="left"/>
      <w:pPr>
        <w:ind w:left="3229" w:hanging="360"/>
      </w:pPr>
      <w:rPr>
        <w:rFonts w:ascii="Wingdings" w:hAnsi="Wingdings" w:hint="default"/>
      </w:rPr>
    </w:lvl>
    <w:lvl w:ilvl="3" w:tplc="04150001">
      <w:start w:val="1"/>
      <w:numFmt w:val="bullet"/>
      <w:lvlText w:val=""/>
      <w:lvlJc w:val="left"/>
      <w:pPr>
        <w:ind w:left="3949" w:hanging="360"/>
      </w:pPr>
      <w:rPr>
        <w:rFonts w:ascii="Symbol" w:hAnsi="Symbol" w:hint="default"/>
      </w:rPr>
    </w:lvl>
    <w:lvl w:ilvl="4" w:tplc="04150003">
      <w:start w:val="1"/>
      <w:numFmt w:val="bullet"/>
      <w:lvlText w:val="o"/>
      <w:lvlJc w:val="left"/>
      <w:pPr>
        <w:ind w:left="4669" w:hanging="360"/>
      </w:pPr>
      <w:rPr>
        <w:rFonts w:ascii="Courier New" w:hAnsi="Courier New" w:cs="Courier New" w:hint="default"/>
      </w:rPr>
    </w:lvl>
    <w:lvl w:ilvl="5" w:tplc="04150005">
      <w:start w:val="1"/>
      <w:numFmt w:val="bullet"/>
      <w:lvlText w:val=""/>
      <w:lvlJc w:val="left"/>
      <w:pPr>
        <w:ind w:left="5389" w:hanging="360"/>
      </w:pPr>
      <w:rPr>
        <w:rFonts w:ascii="Wingdings" w:hAnsi="Wingdings" w:hint="default"/>
      </w:rPr>
    </w:lvl>
    <w:lvl w:ilvl="6" w:tplc="04150001">
      <w:start w:val="1"/>
      <w:numFmt w:val="bullet"/>
      <w:lvlText w:val=""/>
      <w:lvlJc w:val="left"/>
      <w:pPr>
        <w:ind w:left="6109" w:hanging="360"/>
      </w:pPr>
      <w:rPr>
        <w:rFonts w:ascii="Symbol" w:hAnsi="Symbol" w:hint="default"/>
      </w:rPr>
    </w:lvl>
    <w:lvl w:ilvl="7" w:tplc="04150003">
      <w:start w:val="1"/>
      <w:numFmt w:val="bullet"/>
      <w:lvlText w:val="o"/>
      <w:lvlJc w:val="left"/>
      <w:pPr>
        <w:ind w:left="6829" w:hanging="360"/>
      </w:pPr>
      <w:rPr>
        <w:rFonts w:ascii="Courier New" w:hAnsi="Courier New" w:cs="Courier New" w:hint="default"/>
      </w:rPr>
    </w:lvl>
    <w:lvl w:ilvl="8" w:tplc="04150005">
      <w:start w:val="1"/>
      <w:numFmt w:val="bullet"/>
      <w:lvlText w:val=""/>
      <w:lvlJc w:val="left"/>
      <w:pPr>
        <w:ind w:left="7549" w:hanging="360"/>
      </w:pPr>
      <w:rPr>
        <w:rFonts w:ascii="Wingdings" w:hAnsi="Wingdings" w:hint="default"/>
      </w:rPr>
    </w:lvl>
  </w:abstractNum>
  <w:abstractNum w:abstractNumId="223" w15:restartNumberingAfterBreak="0">
    <w:nsid w:val="4DEF0812"/>
    <w:multiLevelType w:val="hybridMultilevel"/>
    <w:tmpl w:val="4ED6BF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4" w15:restartNumberingAfterBreak="0">
    <w:nsid w:val="4E61218A"/>
    <w:multiLevelType w:val="hybridMultilevel"/>
    <w:tmpl w:val="CB9A86CE"/>
    <w:lvl w:ilvl="0" w:tplc="FD08D0B8">
      <w:start w:val="1"/>
      <w:numFmt w:val="bullet"/>
      <w:lvlText w:val="-"/>
      <w:lvlJc w:val="left"/>
      <w:pPr>
        <w:ind w:left="360" w:hanging="360"/>
      </w:pPr>
      <w:rPr>
        <w:rFonts w:ascii="Times New Roman" w:hAnsi="Times New Roman" w:cs="Times New Roman"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225" w15:restartNumberingAfterBreak="0">
    <w:nsid w:val="4EC235E5"/>
    <w:multiLevelType w:val="hybridMultilevel"/>
    <w:tmpl w:val="C762B1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6" w15:restartNumberingAfterBreak="0">
    <w:nsid w:val="4EED30B3"/>
    <w:multiLevelType w:val="hybridMultilevel"/>
    <w:tmpl w:val="DB8C3B52"/>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7" w15:restartNumberingAfterBreak="0">
    <w:nsid w:val="4FE2548C"/>
    <w:multiLevelType w:val="hybridMultilevel"/>
    <w:tmpl w:val="85688720"/>
    <w:lvl w:ilvl="0" w:tplc="04150003">
      <w:start w:val="1"/>
      <w:numFmt w:val="bullet"/>
      <w:lvlText w:val="o"/>
      <w:lvlJc w:val="left"/>
      <w:pPr>
        <w:ind w:left="360" w:hanging="360"/>
      </w:pPr>
      <w:rPr>
        <w:rFonts w:ascii="Courier New" w:hAnsi="Courier New" w:cs="Courier New" w:hint="default"/>
      </w:rPr>
    </w:lvl>
    <w:lvl w:ilvl="1" w:tplc="04150003">
      <w:start w:val="1"/>
      <w:numFmt w:val="bullet"/>
      <w:lvlText w:val="o"/>
      <w:lvlJc w:val="left"/>
      <w:pPr>
        <w:ind w:left="1080" w:hanging="360"/>
      </w:pPr>
      <w:rPr>
        <w:rFonts w:ascii="Courier New" w:hAnsi="Courier New" w:cs="Courier New" w:hint="default"/>
      </w:rPr>
    </w:lvl>
    <w:lvl w:ilvl="2" w:tplc="04150001">
      <w:start w:val="1"/>
      <w:numFmt w:val="bullet"/>
      <w:lvlText w:val=""/>
      <w:lvlJc w:val="left"/>
      <w:pPr>
        <w:ind w:left="1800" w:hanging="360"/>
      </w:pPr>
      <w:rPr>
        <w:rFonts w:ascii="Symbol" w:hAnsi="Symbol"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8" w15:restartNumberingAfterBreak="0">
    <w:nsid w:val="500E798C"/>
    <w:multiLevelType w:val="hybridMultilevel"/>
    <w:tmpl w:val="99D27224"/>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9" w15:restartNumberingAfterBreak="0">
    <w:nsid w:val="505C21E2"/>
    <w:multiLevelType w:val="hybridMultilevel"/>
    <w:tmpl w:val="1604057A"/>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30" w15:restartNumberingAfterBreak="0">
    <w:nsid w:val="50726BD8"/>
    <w:multiLevelType w:val="hybridMultilevel"/>
    <w:tmpl w:val="D7F45F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1" w15:restartNumberingAfterBreak="0">
    <w:nsid w:val="50BE55F5"/>
    <w:multiLevelType w:val="hybridMultilevel"/>
    <w:tmpl w:val="AA1A5A10"/>
    <w:lvl w:ilvl="0" w:tplc="3EAE0EC4">
      <w:start w:val="1"/>
      <w:numFmt w:val="bullet"/>
      <w:lvlText w:val=""/>
      <w:lvlJc w:val="left"/>
      <w:pPr>
        <w:ind w:left="-437" w:hanging="360"/>
      </w:pPr>
      <w:rPr>
        <w:rFonts w:ascii="Symbol" w:hAnsi="Symbol" w:hint="default"/>
      </w:rPr>
    </w:lvl>
    <w:lvl w:ilvl="1" w:tplc="04150003">
      <w:start w:val="1"/>
      <w:numFmt w:val="bullet"/>
      <w:lvlText w:val="o"/>
      <w:lvlJc w:val="left"/>
      <w:pPr>
        <w:ind w:left="1131" w:hanging="360"/>
      </w:pPr>
      <w:rPr>
        <w:rFonts w:ascii="Courier New" w:hAnsi="Courier New" w:cs="Courier New" w:hint="default"/>
      </w:rPr>
    </w:lvl>
    <w:lvl w:ilvl="2" w:tplc="04150005">
      <w:start w:val="1"/>
      <w:numFmt w:val="bullet"/>
      <w:lvlText w:val=""/>
      <w:lvlJc w:val="left"/>
      <w:pPr>
        <w:ind w:left="1851" w:hanging="360"/>
      </w:pPr>
      <w:rPr>
        <w:rFonts w:ascii="Wingdings" w:hAnsi="Wingdings" w:hint="default"/>
      </w:rPr>
    </w:lvl>
    <w:lvl w:ilvl="3" w:tplc="04150001">
      <w:start w:val="1"/>
      <w:numFmt w:val="bullet"/>
      <w:lvlText w:val=""/>
      <w:lvlJc w:val="left"/>
      <w:pPr>
        <w:ind w:left="2571" w:hanging="360"/>
      </w:pPr>
      <w:rPr>
        <w:rFonts w:ascii="Symbol" w:hAnsi="Symbol" w:hint="default"/>
      </w:rPr>
    </w:lvl>
    <w:lvl w:ilvl="4" w:tplc="04150003">
      <w:start w:val="1"/>
      <w:numFmt w:val="bullet"/>
      <w:lvlText w:val="o"/>
      <w:lvlJc w:val="left"/>
      <w:pPr>
        <w:ind w:left="3291" w:hanging="360"/>
      </w:pPr>
      <w:rPr>
        <w:rFonts w:ascii="Courier New" w:hAnsi="Courier New" w:cs="Courier New" w:hint="default"/>
      </w:rPr>
    </w:lvl>
    <w:lvl w:ilvl="5" w:tplc="04150005">
      <w:start w:val="1"/>
      <w:numFmt w:val="bullet"/>
      <w:lvlText w:val=""/>
      <w:lvlJc w:val="left"/>
      <w:pPr>
        <w:ind w:left="4011" w:hanging="360"/>
      </w:pPr>
      <w:rPr>
        <w:rFonts w:ascii="Wingdings" w:hAnsi="Wingdings" w:hint="default"/>
      </w:rPr>
    </w:lvl>
    <w:lvl w:ilvl="6" w:tplc="04150001">
      <w:start w:val="1"/>
      <w:numFmt w:val="bullet"/>
      <w:lvlText w:val=""/>
      <w:lvlJc w:val="left"/>
      <w:pPr>
        <w:ind w:left="4731" w:hanging="360"/>
      </w:pPr>
      <w:rPr>
        <w:rFonts w:ascii="Symbol" w:hAnsi="Symbol" w:hint="default"/>
      </w:rPr>
    </w:lvl>
    <w:lvl w:ilvl="7" w:tplc="04150003">
      <w:start w:val="1"/>
      <w:numFmt w:val="bullet"/>
      <w:lvlText w:val="o"/>
      <w:lvlJc w:val="left"/>
      <w:pPr>
        <w:ind w:left="5451" w:hanging="360"/>
      </w:pPr>
      <w:rPr>
        <w:rFonts w:ascii="Courier New" w:hAnsi="Courier New" w:cs="Courier New" w:hint="default"/>
      </w:rPr>
    </w:lvl>
    <w:lvl w:ilvl="8" w:tplc="04150005">
      <w:start w:val="1"/>
      <w:numFmt w:val="bullet"/>
      <w:lvlText w:val=""/>
      <w:lvlJc w:val="left"/>
      <w:pPr>
        <w:ind w:left="6171" w:hanging="360"/>
      </w:pPr>
      <w:rPr>
        <w:rFonts w:ascii="Wingdings" w:hAnsi="Wingdings" w:hint="default"/>
      </w:rPr>
    </w:lvl>
  </w:abstractNum>
  <w:abstractNum w:abstractNumId="232" w15:restartNumberingAfterBreak="0">
    <w:nsid w:val="50E93EE9"/>
    <w:multiLevelType w:val="hybridMultilevel"/>
    <w:tmpl w:val="45123B82"/>
    <w:lvl w:ilvl="0" w:tplc="04150001">
      <w:start w:val="1"/>
      <w:numFmt w:val="bullet"/>
      <w:lvlText w:val=""/>
      <w:lvlJc w:val="left"/>
      <w:pPr>
        <w:ind w:left="1287" w:hanging="360"/>
      </w:pPr>
      <w:rPr>
        <w:rFonts w:ascii="Symbol" w:hAnsi="Symbol" w:hint="default"/>
      </w:rPr>
    </w:lvl>
    <w:lvl w:ilvl="1" w:tplc="04150001">
      <w:start w:val="1"/>
      <w:numFmt w:val="bullet"/>
      <w:lvlText w:val=""/>
      <w:lvlJc w:val="left"/>
      <w:pPr>
        <w:ind w:left="2007" w:hanging="360"/>
      </w:pPr>
      <w:rPr>
        <w:rFonts w:ascii="Symbol" w:hAnsi="Symbol"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33" w15:restartNumberingAfterBreak="0">
    <w:nsid w:val="51364660"/>
    <w:multiLevelType w:val="hybridMultilevel"/>
    <w:tmpl w:val="135ADDD2"/>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4" w15:restartNumberingAfterBreak="0">
    <w:nsid w:val="51D062E8"/>
    <w:multiLevelType w:val="hybridMultilevel"/>
    <w:tmpl w:val="5C14D0A2"/>
    <w:lvl w:ilvl="0" w:tplc="04150001">
      <w:start w:val="1"/>
      <w:numFmt w:val="bullet"/>
      <w:lvlText w:val=""/>
      <w:lvlJc w:val="left"/>
      <w:pPr>
        <w:ind w:left="1429" w:hanging="360"/>
      </w:pPr>
      <w:rPr>
        <w:rFonts w:ascii="Symbol" w:hAnsi="Symbol" w:hint="default"/>
      </w:r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235" w15:restartNumberingAfterBreak="0">
    <w:nsid w:val="53081EA8"/>
    <w:multiLevelType w:val="hybridMultilevel"/>
    <w:tmpl w:val="BA746CB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36" w15:restartNumberingAfterBreak="0">
    <w:nsid w:val="53971AF8"/>
    <w:multiLevelType w:val="hybridMultilevel"/>
    <w:tmpl w:val="81F2820A"/>
    <w:lvl w:ilvl="0" w:tplc="04150001">
      <w:start w:val="1"/>
      <w:numFmt w:val="bullet"/>
      <w:lvlText w:val=""/>
      <w:lvlJc w:val="left"/>
      <w:pPr>
        <w:ind w:left="720" w:hanging="360"/>
      </w:pPr>
      <w:rPr>
        <w:rFonts w:ascii="Symbol" w:hAnsi="Symbol" w:hint="default"/>
        <w:sz w:val="24"/>
        <w:szCs w:val="24"/>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37" w15:restartNumberingAfterBreak="0">
    <w:nsid w:val="53A46EDC"/>
    <w:multiLevelType w:val="hybridMultilevel"/>
    <w:tmpl w:val="7FA434E6"/>
    <w:lvl w:ilvl="0" w:tplc="ED185E7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8" w15:restartNumberingAfterBreak="0">
    <w:nsid w:val="53C9117D"/>
    <w:multiLevelType w:val="hybridMultilevel"/>
    <w:tmpl w:val="822AF01A"/>
    <w:lvl w:ilvl="0" w:tplc="BEC2AAC4">
      <w:start w:val="1"/>
      <w:numFmt w:val="decimal"/>
      <w:lvlText w:val="%1)"/>
      <w:lvlJc w:val="left"/>
      <w:pPr>
        <w:ind w:left="720" w:hanging="360"/>
      </w:pPr>
      <w:rPr>
        <w:rFonts w:eastAsia="Times New Roman" w:cs="Times New Roman"/>
        <w:b w:val="0"/>
        <w:bCs/>
        <w:sz w:val="24"/>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239" w15:restartNumberingAfterBreak="0">
    <w:nsid w:val="548F2920"/>
    <w:multiLevelType w:val="hybridMultilevel"/>
    <w:tmpl w:val="CB4A6472"/>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0" w15:restartNumberingAfterBreak="0">
    <w:nsid w:val="54922395"/>
    <w:multiLevelType w:val="hybridMultilevel"/>
    <w:tmpl w:val="84F67040"/>
    <w:lvl w:ilvl="0" w:tplc="3EAE0EC4">
      <w:start w:val="1"/>
      <w:numFmt w:val="bullet"/>
      <w:lvlText w:val=""/>
      <w:lvlJc w:val="left"/>
      <w:pPr>
        <w:ind w:left="1789" w:hanging="360"/>
      </w:pPr>
      <w:rPr>
        <w:rFonts w:ascii="Symbol" w:hAnsi="Symbol" w:hint="default"/>
      </w:rPr>
    </w:lvl>
    <w:lvl w:ilvl="1" w:tplc="04150003">
      <w:start w:val="1"/>
      <w:numFmt w:val="bullet"/>
      <w:lvlText w:val="o"/>
      <w:lvlJc w:val="left"/>
      <w:pPr>
        <w:ind w:left="2509" w:hanging="360"/>
      </w:pPr>
      <w:rPr>
        <w:rFonts w:ascii="Courier New" w:hAnsi="Courier New" w:cs="Courier New" w:hint="default"/>
      </w:rPr>
    </w:lvl>
    <w:lvl w:ilvl="2" w:tplc="04150005">
      <w:start w:val="1"/>
      <w:numFmt w:val="bullet"/>
      <w:lvlText w:val=""/>
      <w:lvlJc w:val="left"/>
      <w:pPr>
        <w:ind w:left="3229" w:hanging="360"/>
      </w:pPr>
      <w:rPr>
        <w:rFonts w:ascii="Wingdings" w:hAnsi="Wingdings" w:hint="default"/>
      </w:rPr>
    </w:lvl>
    <w:lvl w:ilvl="3" w:tplc="04150001">
      <w:start w:val="1"/>
      <w:numFmt w:val="bullet"/>
      <w:lvlText w:val=""/>
      <w:lvlJc w:val="left"/>
      <w:pPr>
        <w:ind w:left="3949" w:hanging="360"/>
      </w:pPr>
      <w:rPr>
        <w:rFonts w:ascii="Symbol" w:hAnsi="Symbol" w:hint="default"/>
      </w:rPr>
    </w:lvl>
    <w:lvl w:ilvl="4" w:tplc="04150003">
      <w:start w:val="1"/>
      <w:numFmt w:val="bullet"/>
      <w:lvlText w:val="o"/>
      <w:lvlJc w:val="left"/>
      <w:pPr>
        <w:ind w:left="4669" w:hanging="360"/>
      </w:pPr>
      <w:rPr>
        <w:rFonts w:ascii="Courier New" w:hAnsi="Courier New" w:cs="Courier New" w:hint="default"/>
      </w:rPr>
    </w:lvl>
    <w:lvl w:ilvl="5" w:tplc="04150005">
      <w:start w:val="1"/>
      <w:numFmt w:val="bullet"/>
      <w:lvlText w:val=""/>
      <w:lvlJc w:val="left"/>
      <w:pPr>
        <w:ind w:left="5389" w:hanging="360"/>
      </w:pPr>
      <w:rPr>
        <w:rFonts w:ascii="Wingdings" w:hAnsi="Wingdings" w:hint="default"/>
      </w:rPr>
    </w:lvl>
    <w:lvl w:ilvl="6" w:tplc="04150001">
      <w:start w:val="1"/>
      <w:numFmt w:val="bullet"/>
      <w:lvlText w:val=""/>
      <w:lvlJc w:val="left"/>
      <w:pPr>
        <w:ind w:left="6109" w:hanging="360"/>
      </w:pPr>
      <w:rPr>
        <w:rFonts w:ascii="Symbol" w:hAnsi="Symbol" w:hint="default"/>
      </w:rPr>
    </w:lvl>
    <w:lvl w:ilvl="7" w:tplc="04150003">
      <w:start w:val="1"/>
      <w:numFmt w:val="bullet"/>
      <w:lvlText w:val="o"/>
      <w:lvlJc w:val="left"/>
      <w:pPr>
        <w:ind w:left="6829" w:hanging="360"/>
      </w:pPr>
      <w:rPr>
        <w:rFonts w:ascii="Courier New" w:hAnsi="Courier New" w:cs="Courier New" w:hint="default"/>
      </w:rPr>
    </w:lvl>
    <w:lvl w:ilvl="8" w:tplc="04150005">
      <w:start w:val="1"/>
      <w:numFmt w:val="bullet"/>
      <w:lvlText w:val=""/>
      <w:lvlJc w:val="left"/>
      <w:pPr>
        <w:ind w:left="7549" w:hanging="360"/>
      </w:pPr>
      <w:rPr>
        <w:rFonts w:ascii="Wingdings" w:hAnsi="Wingdings" w:hint="default"/>
      </w:rPr>
    </w:lvl>
  </w:abstractNum>
  <w:abstractNum w:abstractNumId="241" w15:restartNumberingAfterBreak="0">
    <w:nsid w:val="54952955"/>
    <w:multiLevelType w:val="hybridMultilevel"/>
    <w:tmpl w:val="DE66A6DA"/>
    <w:lvl w:ilvl="0" w:tplc="04150001">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42" w15:restartNumberingAfterBreak="0">
    <w:nsid w:val="54A807E6"/>
    <w:multiLevelType w:val="hybridMultilevel"/>
    <w:tmpl w:val="74EE530C"/>
    <w:lvl w:ilvl="0" w:tplc="D9285CC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3" w15:restartNumberingAfterBreak="0">
    <w:nsid w:val="550F6204"/>
    <w:multiLevelType w:val="hybridMultilevel"/>
    <w:tmpl w:val="E3DADB1E"/>
    <w:lvl w:ilvl="0" w:tplc="ED185E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4" w15:restartNumberingAfterBreak="0">
    <w:nsid w:val="56425FCD"/>
    <w:multiLevelType w:val="hybridMultilevel"/>
    <w:tmpl w:val="0D806AE8"/>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5" w15:restartNumberingAfterBreak="0">
    <w:nsid w:val="567173FB"/>
    <w:multiLevelType w:val="hybridMultilevel"/>
    <w:tmpl w:val="D6CCC9CE"/>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46" w15:restartNumberingAfterBreak="0">
    <w:nsid w:val="56F4093C"/>
    <w:multiLevelType w:val="hybridMultilevel"/>
    <w:tmpl w:val="DAB274E8"/>
    <w:lvl w:ilvl="0" w:tplc="54CED172">
      <w:start w:val="1"/>
      <w:numFmt w:val="bullet"/>
      <w:lvlText w:val=""/>
      <w:lvlJc w:val="left"/>
      <w:pPr>
        <w:ind w:left="1997" w:hanging="360"/>
      </w:pPr>
      <w:rPr>
        <w:rFonts w:ascii="Symbol" w:hAnsi="Symbol" w:hint="default"/>
        <w:color w:val="auto"/>
      </w:rPr>
    </w:lvl>
    <w:lvl w:ilvl="1" w:tplc="04150003" w:tentative="1">
      <w:start w:val="1"/>
      <w:numFmt w:val="bullet"/>
      <w:lvlText w:val="o"/>
      <w:lvlJc w:val="left"/>
      <w:pPr>
        <w:ind w:left="2150" w:hanging="360"/>
      </w:pPr>
      <w:rPr>
        <w:rFonts w:ascii="Courier New" w:hAnsi="Courier New" w:cs="Courier New" w:hint="default"/>
      </w:rPr>
    </w:lvl>
    <w:lvl w:ilvl="2" w:tplc="04150005" w:tentative="1">
      <w:start w:val="1"/>
      <w:numFmt w:val="bullet"/>
      <w:lvlText w:val=""/>
      <w:lvlJc w:val="left"/>
      <w:pPr>
        <w:ind w:left="2870" w:hanging="360"/>
      </w:pPr>
      <w:rPr>
        <w:rFonts w:ascii="Wingdings" w:hAnsi="Wingdings" w:hint="default"/>
      </w:rPr>
    </w:lvl>
    <w:lvl w:ilvl="3" w:tplc="04150001" w:tentative="1">
      <w:start w:val="1"/>
      <w:numFmt w:val="bullet"/>
      <w:lvlText w:val=""/>
      <w:lvlJc w:val="left"/>
      <w:pPr>
        <w:ind w:left="3590" w:hanging="360"/>
      </w:pPr>
      <w:rPr>
        <w:rFonts w:ascii="Symbol" w:hAnsi="Symbol" w:hint="default"/>
      </w:rPr>
    </w:lvl>
    <w:lvl w:ilvl="4" w:tplc="04150003" w:tentative="1">
      <w:start w:val="1"/>
      <w:numFmt w:val="bullet"/>
      <w:lvlText w:val="o"/>
      <w:lvlJc w:val="left"/>
      <w:pPr>
        <w:ind w:left="4310" w:hanging="360"/>
      </w:pPr>
      <w:rPr>
        <w:rFonts w:ascii="Courier New" w:hAnsi="Courier New" w:cs="Courier New" w:hint="default"/>
      </w:rPr>
    </w:lvl>
    <w:lvl w:ilvl="5" w:tplc="04150005" w:tentative="1">
      <w:start w:val="1"/>
      <w:numFmt w:val="bullet"/>
      <w:lvlText w:val=""/>
      <w:lvlJc w:val="left"/>
      <w:pPr>
        <w:ind w:left="5030" w:hanging="360"/>
      </w:pPr>
      <w:rPr>
        <w:rFonts w:ascii="Wingdings" w:hAnsi="Wingdings" w:hint="default"/>
      </w:rPr>
    </w:lvl>
    <w:lvl w:ilvl="6" w:tplc="04150001" w:tentative="1">
      <w:start w:val="1"/>
      <w:numFmt w:val="bullet"/>
      <w:lvlText w:val=""/>
      <w:lvlJc w:val="left"/>
      <w:pPr>
        <w:ind w:left="5750" w:hanging="360"/>
      </w:pPr>
      <w:rPr>
        <w:rFonts w:ascii="Symbol" w:hAnsi="Symbol" w:hint="default"/>
      </w:rPr>
    </w:lvl>
    <w:lvl w:ilvl="7" w:tplc="04150003" w:tentative="1">
      <w:start w:val="1"/>
      <w:numFmt w:val="bullet"/>
      <w:lvlText w:val="o"/>
      <w:lvlJc w:val="left"/>
      <w:pPr>
        <w:ind w:left="6470" w:hanging="360"/>
      </w:pPr>
      <w:rPr>
        <w:rFonts w:ascii="Courier New" w:hAnsi="Courier New" w:cs="Courier New" w:hint="default"/>
      </w:rPr>
    </w:lvl>
    <w:lvl w:ilvl="8" w:tplc="04150005" w:tentative="1">
      <w:start w:val="1"/>
      <w:numFmt w:val="bullet"/>
      <w:lvlText w:val=""/>
      <w:lvlJc w:val="left"/>
      <w:pPr>
        <w:ind w:left="7190" w:hanging="360"/>
      </w:pPr>
      <w:rPr>
        <w:rFonts w:ascii="Wingdings" w:hAnsi="Wingdings" w:hint="default"/>
      </w:rPr>
    </w:lvl>
  </w:abstractNum>
  <w:abstractNum w:abstractNumId="247" w15:restartNumberingAfterBreak="0">
    <w:nsid w:val="57291905"/>
    <w:multiLevelType w:val="hybridMultilevel"/>
    <w:tmpl w:val="F06CFC32"/>
    <w:lvl w:ilvl="0" w:tplc="ED185E74">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248" w15:restartNumberingAfterBreak="0">
    <w:nsid w:val="57B50D21"/>
    <w:multiLevelType w:val="hybridMultilevel"/>
    <w:tmpl w:val="D9B82B7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9" w15:restartNumberingAfterBreak="0">
    <w:nsid w:val="57D41EDE"/>
    <w:multiLevelType w:val="hybridMultilevel"/>
    <w:tmpl w:val="A1B8C1BA"/>
    <w:lvl w:ilvl="0" w:tplc="409038D8">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250" w15:restartNumberingAfterBreak="0">
    <w:nsid w:val="57EC41F8"/>
    <w:multiLevelType w:val="hybridMultilevel"/>
    <w:tmpl w:val="F4109D8A"/>
    <w:lvl w:ilvl="0" w:tplc="54CED172">
      <w:start w:val="1"/>
      <w:numFmt w:val="bullet"/>
      <w:lvlText w:val=""/>
      <w:lvlJc w:val="left"/>
      <w:pPr>
        <w:ind w:left="1996" w:hanging="360"/>
      </w:pPr>
      <w:rPr>
        <w:rFonts w:ascii="Symbol" w:hAnsi="Symbol" w:hint="default"/>
        <w:color w:val="auto"/>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51" w15:restartNumberingAfterBreak="0">
    <w:nsid w:val="58237F5F"/>
    <w:multiLevelType w:val="hybridMultilevel"/>
    <w:tmpl w:val="488A3B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2" w15:restartNumberingAfterBreak="0">
    <w:nsid w:val="58882FF1"/>
    <w:multiLevelType w:val="hybridMultilevel"/>
    <w:tmpl w:val="DFB837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3" w15:restartNumberingAfterBreak="0">
    <w:nsid w:val="598B0329"/>
    <w:multiLevelType w:val="hybridMultilevel"/>
    <w:tmpl w:val="F34AEFD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54" w15:restartNumberingAfterBreak="0">
    <w:nsid w:val="598C2BD4"/>
    <w:multiLevelType w:val="hybridMultilevel"/>
    <w:tmpl w:val="5374EF5C"/>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5" w15:restartNumberingAfterBreak="0">
    <w:nsid w:val="5A094263"/>
    <w:multiLevelType w:val="hybridMultilevel"/>
    <w:tmpl w:val="25DE057A"/>
    <w:lvl w:ilvl="0" w:tplc="04150001">
      <w:start w:val="1"/>
      <w:numFmt w:val="bullet"/>
      <w:lvlText w:val=""/>
      <w:lvlJc w:val="left"/>
      <w:pPr>
        <w:ind w:left="2072" w:hanging="360"/>
      </w:pPr>
      <w:rPr>
        <w:rFonts w:ascii="Symbol" w:hAnsi="Symbol" w:hint="default"/>
        <w:sz w:val="24"/>
        <w:szCs w:val="24"/>
      </w:rPr>
    </w:lvl>
    <w:lvl w:ilvl="1" w:tplc="04150003">
      <w:start w:val="1"/>
      <w:numFmt w:val="bullet"/>
      <w:lvlText w:val="o"/>
      <w:lvlJc w:val="left"/>
      <w:pPr>
        <w:ind w:left="2725" w:hanging="360"/>
      </w:pPr>
      <w:rPr>
        <w:rFonts w:ascii="Courier New" w:hAnsi="Courier New" w:cs="Courier New" w:hint="default"/>
      </w:rPr>
    </w:lvl>
    <w:lvl w:ilvl="2" w:tplc="04150005">
      <w:start w:val="1"/>
      <w:numFmt w:val="bullet"/>
      <w:lvlText w:val=""/>
      <w:lvlJc w:val="left"/>
      <w:pPr>
        <w:ind w:left="3445" w:hanging="360"/>
      </w:pPr>
      <w:rPr>
        <w:rFonts w:ascii="Wingdings" w:hAnsi="Wingdings" w:hint="default"/>
        <w:sz w:val="24"/>
        <w:szCs w:val="24"/>
      </w:rPr>
    </w:lvl>
    <w:lvl w:ilvl="3" w:tplc="04150001" w:tentative="1">
      <w:start w:val="1"/>
      <w:numFmt w:val="bullet"/>
      <w:lvlText w:val=""/>
      <w:lvlJc w:val="left"/>
      <w:pPr>
        <w:ind w:left="4165" w:hanging="360"/>
      </w:pPr>
      <w:rPr>
        <w:rFonts w:ascii="Symbol" w:hAnsi="Symbol" w:hint="default"/>
      </w:rPr>
    </w:lvl>
    <w:lvl w:ilvl="4" w:tplc="04150003" w:tentative="1">
      <w:start w:val="1"/>
      <w:numFmt w:val="bullet"/>
      <w:lvlText w:val="o"/>
      <w:lvlJc w:val="left"/>
      <w:pPr>
        <w:ind w:left="4885" w:hanging="360"/>
      </w:pPr>
      <w:rPr>
        <w:rFonts w:ascii="Courier New" w:hAnsi="Courier New" w:cs="Courier New" w:hint="default"/>
      </w:rPr>
    </w:lvl>
    <w:lvl w:ilvl="5" w:tplc="04150005" w:tentative="1">
      <w:start w:val="1"/>
      <w:numFmt w:val="bullet"/>
      <w:lvlText w:val=""/>
      <w:lvlJc w:val="left"/>
      <w:pPr>
        <w:ind w:left="5605" w:hanging="360"/>
      </w:pPr>
      <w:rPr>
        <w:rFonts w:ascii="Wingdings" w:hAnsi="Wingdings" w:hint="default"/>
      </w:rPr>
    </w:lvl>
    <w:lvl w:ilvl="6" w:tplc="04150001" w:tentative="1">
      <w:start w:val="1"/>
      <w:numFmt w:val="bullet"/>
      <w:lvlText w:val=""/>
      <w:lvlJc w:val="left"/>
      <w:pPr>
        <w:ind w:left="6325" w:hanging="360"/>
      </w:pPr>
      <w:rPr>
        <w:rFonts w:ascii="Symbol" w:hAnsi="Symbol" w:hint="default"/>
      </w:rPr>
    </w:lvl>
    <w:lvl w:ilvl="7" w:tplc="04150003" w:tentative="1">
      <w:start w:val="1"/>
      <w:numFmt w:val="bullet"/>
      <w:lvlText w:val="o"/>
      <w:lvlJc w:val="left"/>
      <w:pPr>
        <w:ind w:left="7045" w:hanging="360"/>
      </w:pPr>
      <w:rPr>
        <w:rFonts w:ascii="Courier New" w:hAnsi="Courier New" w:cs="Courier New" w:hint="default"/>
      </w:rPr>
    </w:lvl>
    <w:lvl w:ilvl="8" w:tplc="04150005" w:tentative="1">
      <w:start w:val="1"/>
      <w:numFmt w:val="bullet"/>
      <w:lvlText w:val=""/>
      <w:lvlJc w:val="left"/>
      <w:pPr>
        <w:ind w:left="7765" w:hanging="360"/>
      </w:pPr>
      <w:rPr>
        <w:rFonts w:ascii="Wingdings" w:hAnsi="Wingdings" w:hint="default"/>
      </w:rPr>
    </w:lvl>
  </w:abstractNum>
  <w:abstractNum w:abstractNumId="256" w15:restartNumberingAfterBreak="0">
    <w:nsid w:val="5A926C10"/>
    <w:multiLevelType w:val="multilevel"/>
    <w:tmpl w:val="E0C0D8DC"/>
    <w:styleLink w:val="WWNum1"/>
    <w:lvl w:ilvl="0">
      <w:numFmt w:val="bullet"/>
      <w:lvlText w:val=""/>
      <w:lvlJc w:val="left"/>
      <w:pPr>
        <w:ind w:left="502" w:hanging="360"/>
      </w:pPr>
      <w:rPr>
        <w:rFonts w:ascii="Wingdings" w:hAnsi="Wingdings"/>
        <w:sz w:val="24"/>
        <w:szCs w:val="24"/>
      </w:rPr>
    </w:lvl>
    <w:lvl w:ilvl="1">
      <w:numFmt w:val="bullet"/>
      <w:lvlText w:val="o"/>
      <w:lvlJc w:val="left"/>
      <w:pPr>
        <w:ind w:left="1156" w:hanging="360"/>
      </w:pPr>
      <w:rPr>
        <w:rFonts w:ascii="Courier New" w:hAnsi="Courier New" w:cs="Courier New"/>
      </w:rPr>
    </w:lvl>
    <w:lvl w:ilvl="2">
      <w:numFmt w:val="bullet"/>
      <w:lvlText w:val=""/>
      <w:lvlJc w:val="left"/>
      <w:pPr>
        <w:ind w:left="1876" w:hanging="360"/>
      </w:pPr>
      <w:rPr>
        <w:rFonts w:ascii="Wingdings" w:hAnsi="Wingdings"/>
      </w:rPr>
    </w:lvl>
    <w:lvl w:ilvl="3">
      <w:numFmt w:val="bullet"/>
      <w:lvlText w:val=""/>
      <w:lvlJc w:val="left"/>
      <w:pPr>
        <w:ind w:left="2596" w:hanging="360"/>
      </w:pPr>
      <w:rPr>
        <w:rFonts w:ascii="Symbol" w:hAnsi="Symbol"/>
      </w:rPr>
    </w:lvl>
    <w:lvl w:ilvl="4">
      <w:numFmt w:val="bullet"/>
      <w:lvlText w:val="o"/>
      <w:lvlJc w:val="left"/>
      <w:pPr>
        <w:ind w:left="3316" w:hanging="360"/>
      </w:pPr>
      <w:rPr>
        <w:rFonts w:ascii="Courier New" w:hAnsi="Courier New" w:cs="Courier New"/>
      </w:rPr>
    </w:lvl>
    <w:lvl w:ilvl="5">
      <w:numFmt w:val="bullet"/>
      <w:lvlText w:val=""/>
      <w:lvlJc w:val="left"/>
      <w:pPr>
        <w:ind w:left="4036" w:hanging="360"/>
      </w:pPr>
      <w:rPr>
        <w:rFonts w:ascii="Wingdings" w:hAnsi="Wingdings"/>
      </w:rPr>
    </w:lvl>
    <w:lvl w:ilvl="6">
      <w:numFmt w:val="bullet"/>
      <w:lvlText w:val=""/>
      <w:lvlJc w:val="left"/>
      <w:pPr>
        <w:ind w:left="4756" w:hanging="360"/>
      </w:pPr>
      <w:rPr>
        <w:rFonts w:ascii="Symbol" w:hAnsi="Symbol"/>
      </w:rPr>
    </w:lvl>
    <w:lvl w:ilvl="7">
      <w:numFmt w:val="bullet"/>
      <w:lvlText w:val="o"/>
      <w:lvlJc w:val="left"/>
      <w:pPr>
        <w:ind w:left="5476" w:hanging="360"/>
      </w:pPr>
      <w:rPr>
        <w:rFonts w:ascii="Courier New" w:hAnsi="Courier New" w:cs="Courier New"/>
      </w:rPr>
    </w:lvl>
    <w:lvl w:ilvl="8">
      <w:numFmt w:val="bullet"/>
      <w:lvlText w:val=""/>
      <w:lvlJc w:val="left"/>
      <w:pPr>
        <w:ind w:left="6196" w:hanging="360"/>
      </w:pPr>
      <w:rPr>
        <w:rFonts w:ascii="Wingdings" w:hAnsi="Wingdings"/>
      </w:rPr>
    </w:lvl>
  </w:abstractNum>
  <w:abstractNum w:abstractNumId="257" w15:restartNumberingAfterBreak="0">
    <w:nsid w:val="5ACC08BE"/>
    <w:multiLevelType w:val="hybridMultilevel"/>
    <w:tmpl w:val="1FC2B20E"/>
    <w:lvl w:ilvl="0" w:tplc="3EAE0EC4">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258" w15:restartNumberingAfterBreak="0">
    <w:nsid w:val="5ADA189C"/>
    <w:multiLevelType w:val="hybridMultilevel"/>
    <w:tmpl w:val="B510CFA4"/>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9" w15:restartNumberingAfterBreak="0">
    <w:nsid w:val="5B593C37"/>
    <w:multiLevelType w:val="hybridMultilevel"/>
    <w:tmpl w:val="8746218A"/>
    <w:lvl w:ilvl="0" w:tplc="04150001">
      <w:start w:val="1"/>
      <w:numFmt w:val="bullet"/>
      <w:lvlText w:val=""/>
      <w:lvlJc w:val="left"/>
      <w:pPr>
        <w:ind w:left="1498" w:hanging="360"/>
      </w:pPr>
      <w:rPr>
        <w:rFonts w:ascii="Symbol" w:hAnsi="Symbol" w:hint="default"/>
      </w:rPr>
    </w:lvl>
    <w:lvl w:ilvl="1" w:tplc="04150003" w:tentative="1">
      <w:start w:val="1"/>
      <w:numFmt w:val="bullet"/>
      <w:lvlText w:val="o"/>
      <w:lvlJc w:val="left"/>
      <w:pPr>
        <w:ind w:left="2218" w:hanging="360"/>
      </w:pPr>
      <w:rPr>
        <w:rFonts w:ascii="Courier New" w:hAnsi="Courier New" w:cs="Courier New" w:hint="default"/>
      </w:rPr>
    </w:lvl>
    <w:lvl w:ilvl="2" w:tplc="04150005" w:tentative="1">
      <w:start w:val="1"/>
      <w:numFmt w:val="bullet"/>
      <w:lvlText w:val=""/>
      <w:lvlJc w:val="left"/>
      <w:pPr>
        <w:ind w:left="2938" w:hanging="360"/>
      </w:pPr>
      <w:rPr>
        <w:rFonts w:ascii="Wingdings" w:hAnsi="Wingdings" w:hint="default"/>
      </w:rPr>
    </w:lvl>
    <w:lvl w:ilvl="3" w:tplc="04150001" w:tentative="1">
      <w:start w:val="1"/>
      <w:numFmt w:val="bullet"/>
      <w:lvlText w:val=""/>
      <w:lvlJc w:val="left"/>
      <w:pPr>
        <w:ind w:left="3658" w:hanging="360"/>
      </w:pPr>
      <w:rPr>
        <w:rFonts w:ascii="Symbol" w:hAnsi="Symbol" w:hint="default"/>
      </w:rPr>
    </w:lvl>
    <w:lvl w:ilvl="4" w:tplc="04150003" w:tentative="1">
      <w:start w:val="1"/>
      <w:numFmt w:val="bullet"/>
      <w:lvlText w:val="o"/>
      <w:lvlJc w:val="left"/>
      <w:pPr>
        <w:ind w:left="4378" w:hanging="360"/>
      </w:pPr>
      <w:rPr>
        <w:rFonts w:ascii="Courier New" w:hAnsi="Courier New" w:cs="Courier New" w:hint="default"/>
      </w:rPr>
    </w:lvl>
    <w:lvl w:ilvl="5" w:tplc="04150005" w:tentative="1">
      <w:start w:val="1"/>
      <w:numFmt w:val="bullet"/>
      <w:lvlText w:val=""/>
      <w:lvlJc w:val="left"/>
      <w:pPr>
        <w:ind w:left="5098" w:hanging="360"/>
      </w:pPr>
      <w:rPr>
        <w:rFonts w:ascii="Wingdings" w:hAnsi="Wingdings" w:hint="default"/>
      </w:rPr>
    </w:lvl>
    <w:lvl w:ilvl="6" w:tplc="04150001" w:tentative="1">
      <w:start w:val="1"/>
      <w:numFmt w:val="bullet"/>
      <w:lvlText w:val=""/>
      <w:lvlJc w:val="left"/>
      <w:pPr>
        <w:ind w:left="5818" w:hanging="360"/>
      </w:pPr>
      <w:rPr>
        <w:rFonts w:ascii="Symbol" w:hAnsi="Symbol" w:hint="default"/>
      </w:rPr>
    </w:lvl>
    <w:lvl w:ilvl="7" w:tplc="04150003" w:tentative="1">
      <w:start w:val="1"/>
      <w:numFmt w:val="bullet"/>
      <w:lvlText w:val="o"/>
      <w:lvlJc w:val="left"/>
      <w:pPr>
        <w:ind w:left="6538" w:hanging="360"/>
      </w:pPr>
      <w:rPr>
        <w:rFonts w:ascii="Courier New" w:hAnsi="Courier New" w:cs="Courier New" w:hint="default"/>
      </w:rPr>
    </w:lvl>
    <w:lvl w:ilvl="8" w:tplc="04150005" w:tentative="1">
      <w:start w:val="1"/>
      <w:numFmt w:val="bullet"/>
      <w:lvlText w:val=""/>
      <w:lvlJc w:val="left"/>
      <w:pPr>
        <w:ind w:left="7258" w:hanging="360"/>
      </w:pPr>
      <w:rPr>
        <w:rFonts w:ascii="Wingdings" w:hAnsi="Wingdings" w:hint="default"/>
      </w:rPr>
    </w:lvl>
  </w:abstractNum>
  <w:abstractNum w:abstractNumId="260" w15:restartNumberingAfterBreak="0">
    <w:nsid w:val="5C493693"/>
    <w:multiLevelType w:val="hybridMultilevel"/>
    <w:tmpl w:val="D22A0B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1" w15:restartNumberingAfterBreak="0">
    <w:nsid w:val="5D513EE3"/>
    <w:multiLevelType w:val="hybridMultilevel"/>
    <w:tmpl w:val="B0961A2A"/>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2" w15:restartNumberingAfterBreak="0">
    <w:nsid w:val="5D6C506E"/>
    <w:multiLevelType w:val="hybridMultilevel"/>
    <w:tmpl w:val="B53C612A"/>
    <w:lvl w:ilvl="0" w:tplc="487C517E">
      <w:start w:val="1"/>
      <w:numFmt w:val="bullet"/>
      <w:lvlText w:val=""/>
      <w:lvlJc w:val="left"/>
      <w:pPr>
        <w:ind w:left="2073" w:hanging="360"/>
      </w:pPr>
      <w:rPr>
        <w:rFonts w:ascii="Symbol" w:hAnsi="Symbol" w:hint="default"/>
      </w:rPr>
    </w:lvl>
    <w:lvl w:ilvl="1" w:tplc="04150003">
      <w:start w:val="1"/>
      <w:numFmt w:val="bullet"/>
      <w:lvlText w:val="o"/>
      <w:lvlJc w:val="left"/>
      <w:pPr>
        <w:ind w:left="2793" w:hanging="360"/>
      </w:pPr>
      <w:rPr>
        <w:rFonts w:ascii="Courier New" w:hAnsi="Courier New" w:cs="Courier New" w:hint="default"/>
      </w:rPr>
    </w:lvl>
    <w:lvl w:ilvl="2" w:tplc="04150005">
      <w:start w:val="1"/>
      <w:numFmt w:val="bullet"/>
      <w:lvlText w:val=""/>
      <w:lvlJc w:val="left"/>
      <w:pPr>
        <w:ind w:left="3513" w:hanging="360"/>
      </w:pPr>
      <w:rPr>
        <w:rFonts w:ascii="Wingdings" w:hAnsi="Wingdings" w:hint="default"/>
      </w:rPr>
    </w:lvl>
    <w:lvl w:ilvl="3" w:tplc="04150001">
      <w:start w:val="1"/>
      <w:numFmt w:val="bullet"/>
      <w:lvlText w:val=""/>
      <w:lvlJc w:val="left"/>
      <w:pPr>
        <w:ind w:left="4233" w:hanging="360"/>
      </w:pPr>
      <w:rPr>
        <w:rFonts w:ascii="Symbol" w:hAnsi="Symbol" w:hint="default"/>
      </w:rPr>
    </w:lvl>
    <w:lvl w:ilvl="4" w:tplc="04150003">
      <w:start w:val="1"/>
      <w:numFmt w:val="bullet"/>
      <w:lvlText w:val="o"/>
      <w:lvlJc w:val="left"/>
      <w:pPr>
        <w:ind w:left="4953" w:hanging="360"/>
      </w:pPr>
      <w:rPr>
        <w:rFonts w:ascii="Courier New" w:hAnsi="Courier New" w:cs="Courier New" w:hint="default"/>
      </w:rPr>
    </w:lvl>
    <w:lvl w:ilvl="5" w:tplc="04150005">
      <w:start w:val="1"/>
      <w:numFmt w:val="bullet"/>
      <w:lvlText w:val=""/>
      <w:lvlJc w:val="left"/>
      <w:pPr>
        <w:ind w:left="5673" w:hanging="360"/>
      </w:pPr>
      <w:rPr>
        <w:rFonts w:ascii="Wingdings" w:hAnsi="Wingdings" w:hint="default"/>
      </w:rPr>
    </w:lvl>
    <w:lvl w:ilvl="6" w:tplc="04150001">
      <w:start w:val="1"/>
      <w:numFmt w:val="bullet"/>
      <w:lvlText w:val=""/>
      <w:lvlJc w:val="left"/>
      <w:pPr>
        <w:ind w:left="6393" w:hanging="360"/>
      </w:pPr>
      <w:rPr>
        <w:rFonts w:ascii="Symbol" w:hAnsi="Symbol" w:hint="default"/>
      </w:rPr>
    </w:lvl>
    <w:lvl w:ilvl="7" w:tplc="04150003">
      <w:start w:val="1"/>
      <w:numFmt w:val="bullet"/>
      <w:lvlText w:val="o"/>
      <w:lvlJc w:val="left"/>
      <w:pPr>
        <w:ind w:left="7113" w:hanging="360"/>
      </w:pPr>
      <w:rPr>
        <w:rFonts w:ascii="Courier New" w:hAnsi="Courier New" w:cs="Courier New" w:hint="default"/>
      </w:rPr>
    </w:lvl>
    <w:lvl w:ilvl="8" w:tplc="04150005">
      <w:start w:val="1"/>
      <w:numFmt w:val="bullet"/>
      <w:lvlText w:val=""/>
      <w:lvlJc w:val="left"/>
      <w:pPr>
        <w:ind w:left="7833" w:hanging="360"/>
      </w:pPr>
      <w:rPr>
        <w:rFonts w:ascii="Wingdings" w:hAnsi="Wingdings" w:hint="default"/>
      </w:rPr>
    </w:lvl>
  </w:abstractNum>
  <w:abstractNum w:abstractNumId="263" w15:restartNumberingAfterBreak="0">
    <w:nsid w:val="5E302AFD"/>
    <w:multiLevelType w:val="hybridMultilevel"/>
    <w:tmpl w:val="B008A980"/>
    <w:lvl w:ilvl="0" w:tplc="B46882CC">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64" w15:restartNumberingAfterBreak="0">
    <w:nsid w:val="5EF46EA3"/>
    <w:multiLevelType w:val="hybridMultilevel"/>
    <w:tmpl w:val="89A6069A"/>
    <w:lvl w:ilvl="0" w:tplc="3EAE0EC4">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265" w15:restartNumberingAfterBreak="0">
    <w:nsid w:val="5F2D7F5C"/>
    <w:multiLevelType w:val="hybridMultilevel"/>
    <w:tmpl w:val="A45007F6"/>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6" w15:restartNumberingAfterBreak="0">
    <w:nsid w:val="5FA62ACA"/>
    <w:multiLevelType w:val="hybridMultilevel"/>
    <w:tmpl w:val="700AA4A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67" w15:restartNumberingAfterBreak="0">
    <w:nsid w:val="5FDA6D02"/>
    <w:multiLevelType w:val="hybridMultilevel"/>
    <w:tmpl w:val="B4720CD0"/>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8" w15:restartNumberingAfterBreak="0">
    <w:nsid w:val="60CE196E"/>
    <w:multiLevelType w:val="hybridMultilevel"/>
    <w:tmpl w:val="AC06E1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9" w15:restartNumberingAfterBreak="0">
    <w:nsid w:val="61042AA4"/>
    <w:multiLevelType w:val="hybridMultilevel"/>
    <w:tmpl w:val="1996DF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0" w15:restartNumberingAfterBreak="0">
    <w:nsid w:val="616C3C3E"/>
    <w:multiLevelType w:val="hybridMultilevel"/>
    <w:tmpl w:val="CD3E5C06"/>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271" w15:restartNumberingAfterBreak="0">
    <w:nsid w:val="625365F9"/>
    <w:multiLevelType w:val="hybridMultilevel"/>
    <w:tmpl w:val="B51C93BA"/>
    <w:lvl w:ilvl="0" w:tplc="3EAE0EC4">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72" w15:restartNumberingAfterBreak="0">
    <w:nsid w:val="62714501"/>
    <w:multiLevelType w:val="hybridMultilevel"/>
    <w:tmpl w:val="1696FAF0"/>
    <w:lvl w:ilvl="0" w:tplc="ED185E7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73" w15:restartNumberingAfterBreak="0">
    <w:nsid w:val="62FA54EF"/>
    <w:multiLevelType w:val="hybridMultilevel"/>
    <w:tmpl w:val="CD863CC2"/>
    <w:lvl w:ilvl="0" w:tplc="FB3CB1B4">
      <w:numFmt w:val="bullet"/>
      <w:lvlText w:val="•"/>
      <w:lvlJc w:val="left"/>
      <w:pPr>
        <w:ind w:left="720" w:hanging="360"/>
      </w:pPr>
      <w:rPr>
        <w:rFonts w:ascii="Times New Roman" w:eastAsiaTheme="minorHAnsi"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4" w15:restartNumberingAfterBreak="0">
    <w:nsid w:val="632E1F0D"/>
    <w:multiLevelType w:val="hybridMultilevel"/>
    <w:tmpl w:val="F5D0B3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5" w15:restartNumberingAfterBreak="0">
    <w:nsid w:val="65C870F6"/>
    <w:multiLevelType w:val="hybridMultilevel"/>
    <w:tmpl w:val="99AA8BB6"/>
    <w:lvl w:ilvl="0" w:tplc="333CCC4C">
      <w:start w:val="1"/>
      <w:numFmt w:val="bullet"/>
      <w:lvlText w:val=""/>
      <w:lvlJc w:val="left"/>
      <w:pPr>
        <w:ind w:left="1068" w:hanging="360"/>
      </w:pPr>
      <w:rPr>
        <w:rFonts w:ascii="Symbol" w:hAnsi="Symbol" w:hint="default"/>
        <w:color w:val="auto"/>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276" w15:restartNumberingAfterBreak="0">
    <w:nsid w:val="65F118D4"/>
    <w:multiLevelType w:val="hybridMultilevel"/>
    <w:tmpl w:val="64360424"/>
    <w:lvl w:ilvl="0" w:tplc="FD08D0B8">
      <w:start w:val="1"/>
      <w:numFmt w:val="bullet"/>
      <w:lvlText w:val="-"/>
      <w:lvlJc w:val="left"/>
      <w:pPr>
        <w:ind w:left="360" w:hanging="360"/>
      </w:pPr>
      <w:rPr>
        <w:rFonts w:ascii="Times New Roman" w:hAnsi="Times New Roman" w:cs="Times New Roman"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277" w15:restartNumberingAfterBreak="0">
    <w:nsid w:val="66464E3F"/>
    <w:multiLevelType w:val="hybridMultilevel"/>
    <w:tmpl w:val="F9281F26"/>
    <w:lvl w:ilvl="0" w:tplc="54CED172">
      <w:start w:val="1"/>
      <w:numFmt w:val="bullet"/>
      <w:lvlText w:val=""/>
      <w:lvlJc w:val="left"/>
      <w:pPr>
        <w:ind w:left="1997" w:hanging="360"/>
      </w:pPr>
      <w:rPr>
        <w:rFonts w:ascii="Symbol" w:hAnsi="Symbol" w:hint="default"/>
        <w:color w:val="auto"/>
      </w:rPr>
    </w:lvl>
    <w:lvl w:ilvl="1" w:tplc="04150003" w:tentative="1">
      <w:start w:val="1"/>
      <w:numFmt w:val="bullet"/>
      <w:lvlText w:val="o"/>
      <w:lvlJc w:val="left"/>
      <w:pPr>
        <w:ind w:left="2150" w:hanging="360"/>
      </w:pPr>
      <w:rPr>
        <w:rFonts w:ascii="Courier New" w:hAnsi="Courier New" w:cs="Courier New" w:hint="default"/>
      </w:rPr>
    </w:lvl>
    <w:lvl w:ilvl="2" w:tplc="04150005" w:tentative="1">
      <w:start w:val="1"/>
      <w:numFmt w:val="bullet"/>
      <w:lvlText w:val=""/>
      <w:lvlJc w:val="left"/>
      <w:pPr>
        <w:ind w:left="2870" w:hanging="360"/>
      </w:pPr>
      <w:rPr>
        <w:rFonts w:ascii="Wingdings" w:hAnsi="Wingdings" w:hint="default"/>
      </w:rPr>
    </w:lvl>
    <w:lvl w:ilvl="3" w:tplc="04150001" w:tentative="1">
      <w:start w:val="1"/>
      <w:numFmt w:val="bullet"/>
      <w:lvlText w:val=""/>
      <w:lvlJc w:val="left"/>
      <w:pPr>
        <w:ind w:left="3590" w:hanging="360"/>
      </w:pPr>
      <w:rPr>
        <w:rFonts w:ascii="Symbol" w:hAnsi="Symbol" w:hint="default"/>
      </w:rPr>
    </w:lvl>
    <w:lvl w:ilvl="4" w:tplc="04150003" w:tentative="1">
      <w:start w:val="1"/>
      <w:numFmt w:val="bullet"/>
      <w:lvlText w:val="o"/>
      <w:lvlJc w:val="left"/>
      <w:pPr>
        <w:ind w:left="4310" w:hanging="360"/>
      </w:pPr>
      <w:rPr>
        <w:rFonts w:ascii="Courier New" w:hAnsi="Courier New" w:cs="Courier New" w:hint="default"/>
      </w:rPr>
    </w:lvl>
    <w:lvl w:ilvl="5" w:tplc="04150005" w:tentative="1">
      <w:start w:val="1"/>
      <w:numFmt w:val="bullet"/>
      <w:lvlText w:val=""/>
      <w:lvlJc w:val="left"/>
      <w:pPr>
        <w:ind w:left="5030" w:hanging="360"/>
      </w:pPr>
      <w:rPr>
        <w:rFonts w:ascii="Wingdings" w:hAnsi="Wingdings" w:hint="default"/>
      </w:rPr>
    </w:lvl>
    <w:lvl w:ilvl="6" w:tplc="04150001" w:tentative="1">
      <w:start w:val="1"/>
      <w:numFmt w:val="bullet"/>
      <w:lvlText w:val=""/>
      <w:lvlJc w:val="left"/>
      <w:pPr>
        <w:ind w:left="5750" w:hanging="360"/>
      </w:pPr>
      <w:rPr>
        <w:rFonts w:ascii="Symbol" w:hAnsi="Symbol" w:hint="default"/>
      </w:rPr>
    </w:lvl>
    <w:lvl w:ilvl="7" w:tplc="04150003" w:tentative="1">
      <w:start w:val="1"/>
      <w:numFmt w:val="bullet"/>
      <w:lvlText w:val="o"/>
      <w:lvlJc w:val="left"/>
      <w:pPr>
        <w:ind w:left="6470" w:hanging="360"/>
      </w:pPr>
      <w:rPr>
        <w:rFonts w:ascii="Courier New" w:hAnsi="Courier New" w:cs="Courier New" w:hint="default"/>
      </w:rPr>
    </w:lvl>
    <w:lvl w:ilvl="8" w:tplc="04150005" w:tentative="1">
      <w:start w:val="1"/>
      <w:numFmt w:val="bullet"/>
      <w:lvlText w:val=""/>
      <w:lvlJc w:val="left"/>
      <w:pPr>
        <w:ind w:left="7190" w:hanging="360"/>
      </w:pPr>
      <w:rPr>
        <w:rFonts w:ascii="Wingdings" w:hAnsi="Wingdings" w:hint="default"/>
      </w:rPr>
    </w:lvl>
  </w:abstractNum>
  <w:abstractNum w:abstractNumId="278" w15:restartNumberingAfterBreak="0">
    <w:nsid w:val="66F1087A"/>
    <w:multiLevelType w:val="hybridMultilevel"/>
    <w:tmpl w:val="C62C114E"/>
    <w:lvl w:ilvl="0" w:tplc="BE263F7A">
      <w:start w:val="1"/>
      <w:numFmt w:val="bullet"/>
      <w:lvlText w:val=""/>
      <w:lvlJc w:val="left"/>
      <w:pPr>
        <w:ind w:left="2073" w:hanging="360"/>
      </w:pPr>
      <w:rPr>
        <w:rFonts w:ascii="Symbol" w:hAnsi="Symbol" w:hint="default"/>
      </w:rPr>
    </w:lvl>
    <w:lvl w:ilvl="1" w:tplc="04150003">
      <w:start w:val="1"/>
      <w:numFmt w:val="bullet"/>
      <w:lvlText w:val="o"/>
      <w:lvlJc w:val="left"/>
      <w:pPr>
        <w:ind w:left="2793" w:hanging="360"/>
      </w:pPr>
      <w:rPr>
        <w:rFonts w:ascii="Courier New" w:hAnsi="Courier New" w:cs="Courier New" w:hint="default"/>
      </w:rPr>
    </w:lvl>
    <w:lvl w:ilvl="2" w:tplc="04150005">
      <w:start w:val="1"/>
      <w:numFmt w:val="bullet"/>
      <w:lvlText w:val=""/>
      <w:lvlJc w:val="left"/>
      <w:pPr>
        <w:ind w:left="3513" w:hanging="360"/>
      </w:pPr>
      <w:rPr>
        <w:rFonts w:ascii="Wingdings" w:hAnsi="Wingdings" w:hint="default"/>
      </w:rPr>
    </w:lvl>
    <w:lvl w:ilvl="3" w:tplc="04150001">
      <w:start w:val="1"/>
      <w:numFmt w:val="bullet"/>
      <w:lvlText w:val=""/>
      <w:lvlJc w:val="left"/>
      <w:pPr>
        <w:ind w:left="4233" w:hanging="360"/>
      </w:pPr>
      <w:rPr>
        <w:rFonts w:ascii="Symbol" w:hAnsi="Symbol" w:hint="default"/>
      </w:rPr>
    </w:lvl>
    <w:lvl w:ilvl="4" w:tplc="04150003">
      <w:start w:val="1"/>
      <w:numFmt w:val="bullet"/>
      <w:lvlText w:val="o"/>
      <w:lvlJc w:val="left"/>
      <w:pPr>
        <w:ind w:left="4953" w:hanging="360"/>
      </w:pPr>
      <w:rPr>
        <w:rFonts w:ascii="Courier New" w:hAnsi="Courier New" w:cs="Courier New" w:hint="default"/>
      </w:rPr>
    </w:lvl>
    <w:lvl w:ilvl="5" w:tplc="04150005">
      <w:start w:val="1"/>
      <w:numFmt w:val="bullet"/>
      <w:lvlText w:val=""/>
      <w:lvlJc w:val="left"/>
      <w:pPr>
        <w:ind w:left="5673" w:hanging="360"/>
      </w:pPr>
      <w:rPr>
        <w:rFonts w:ascii="Wingdings" w:hAnsi="Wingdings" w:hint="default"/>
      </w:rPr>
    </w:lvl>
    <w:lvl w:ilvl="6" w:tplc="04150001">
      <w:start w:val="1"/>
      <w:numFmt w:val="bullet"/>
      <w:lvlText w:val=""/>
      <w:lvlJc w:val="left"/>
      <w:pPr>
        <w:ind w:left="6393" w:hanging="360"/>
      </w:pPr>
      <w:rPr>
        <w:rFonts w:ascii="Symbol" w:hAnsi="Symbol" w:hint="default"/>
      </w:rPr>
    </w:lvl>
    <w:lvl w:ilvl="7" w:tplc="04150003">
      <w:start w:val="1"/>
      <w:numFmt w:val="bullet"/>
      <w:lvlText w:val="o"/>
      <w:lvlJc w:val="left"/>
      <w:pPr>
        <w:ind w:left="7113" w:hanging="360"/>
      </w:pPr>
      <w:rPr>
        <w:rFonts w:ascii="Courier New" w:hAnsi="Courier New" w:cs="Courier New" w:hint="default"/>
      </w:rPr>
    </w:lvl>
    <w:lvl w:ilvl="8" w:tplc="04150005">
      <w:start w:val="1"/>
      <w:numFmt w:val="bullet"/>
      <w:lvlText w:val=""/>
      <w:lvlJc w:val="left"/>
      <w:pPr>
        <w:ind w:left="7833" w:hanging="360"/>
      </w:pPr>
      <w:rPr>
        <w:rFonts w:ascii="Wingdings" w:hAnsi="Wingdings" w:hint="default"/>
      </w:rPr>
    </w:lvl>
  </w:abstractNum>
  <w:abstractNum w:abstractNumId="279" w15:restartNumberingAfterBreak="0">
    <w:nsid w:val="67951E81"/>
    <w:multiLevelType w:val="hybridMultilevel"/>
    <w:tmpl w:val="DD1C23F8"/>
    <w:lvl w:ilvl="0" w:tplc="04150005">
      <w:start w:val="1"/>
      <w:numFmt w:val="bullet"/>
      <w:lvlText w:val=""/>
      <w:lvlJc w:val="left"/>
      <w:pPr>
        <w:ind w:left="720" w:hanging="360"/>
      </w:pPr>
      <w:rPr>
        <w:rFonts w:ascii="Wingdings" w:hAnsi="Wingdings"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0" w15:restartNumberingAfterBreak="0">
    <w:nsid w:val="679A3E19"/>
    <w:multiLevelType w:val="hybridMultilevel"/>
    <w:tmpl w:val="F05206D0"/>
    <w:lvl w:ilvl="0" w:tplc="04150001">
      <w:start w:val="1"/>
      <w:numFmt w:val="bullet"/>
      <w:lvlText w:val=""/>
      <w:lvlJc w:val="left"/>
      <w:pPr>
        <w:ind w:left="624" w:hanging="341"/>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1" w15:restartNumberingAfterBreak="0">
    <w:nsid w:val="686376F1"/>
    <w:multiLevelType w:val="hybridMultilevel"/>
    <w:tmpl w:val="ABCA1246"/>
    <w:lvl w:ilvl="0" w:tplc="ED185E7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2" w15:restartNumberingAfterBreak="0">
    <w:nsid w:val="68CA494E"/>
    <w:multiLevelType w:val="hybridMultilevel"/>
    <w:tmpl w:val="FFD09C1E"/>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83" w15:restartNumberingAfterBreak="0">
    <w:nsid w:val="68CB057B"/>
    <w:multiLevelType w:val="hybridMultilevel"/>
    <w:tmpl w:val="BCD6DFAE"/>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84" w15:restartNumberingAfterBreak="0">
    <w:nsid w:val="6963472B"/>
    <w:multiLevelType w:val="hybridMultilevel"/>
    <w:tmpl w:val="182820E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85" w15:restartNumberingAfterBreak="0">
    <w:nsid w:val="698A1AB0"/>
    <w:multiLevelType w:val="hybridMultilevel"/>
    <w:tmpl w:val="0D7CC2A0"/>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6" w15:restartNumberingAfterBreak="0">
    <w:nsid w:val="69E24F5D"/>
    <w:multiLevelType w:val="hybridMultilevel"/>
    <w:tmpl w:val="CA34B12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7" w15:restartNumberingAfterBreak="0">
    <w:nsid w:val="6AC252AD"/>
    <w:multiLevelType w:val="hybridMultilevel"/>
    <w:tmpl w:val="08423978"/>
    <w:lvl w:ilvl="0" w:tplc="0415000D">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88" w15:restartNumberingAfterBreak="0">
    <w:nsid w:val="6AF177DB"/>
    <w:multiLevelType w:val="hybridMultilevel"/>
    <w:tmpl w:val="CB1223E6"/>
    <w:lvl w:ilvl="0" w:tplc="B08A2F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9" w15:restartNumberingAfterBreak="0">
    <w:nsid w:val="6B381565"/>
    <w:multiLevelType w:val="hybridMultilevel"/>
    <w:tmpl w:val="F03E2A06"/>
    <w:lvl w:ilvl="0" w:tplc="04150011">
      <w:start w:val="1"/>
      <w:numFmt w:val="decimal"/>
      <w:lvlText w:val="%1)"/>
      <w:lvlJc w:val="left"/>
      <w:pPr>
        <w:ind w:left="1065" w:hanging="705"/>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90" w15:restartNumberingAfterBreak="0">
    <w:nsid w:val="6CB071EC"/>
    <w:multiLevelType w:val="hybridMultilevel"/>
    <w:tmpl w:val="EBB4F214"/>
    <w:lvl w:ilvl="0" w:tplc="6B726EBE">
      <w:start w:val="1"/>
      <w:numFmt w:val="decimal"/>
      <w:lvlText w:val="%1)"/>
      <w:lvlJc w:val="left"/>
      <w:pPr>
        <w:ind w:left="1287" w:hanging="360"/>
      </w:pPr>
      <w:rPr>
        <w:color w:val="auto"/>
      </w:r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291" w15:restartNumberingAfterBreak="0">
    <w:nsid w:val="6D413557"/>
    <w:multiLevelType w:val="hybridMultilevel"/>
    <w:tmpl w:val="2668D8D0"/>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2" w15:restartNumberingAfterBreak="0">
    <w:nsid w:val="6DBB7184"/>
    <w:multiLevelType w:val="hybridMultilevel"/>
    <w:tmpl w:val="514AD5AC"/>
    <w:lvl w:ilvl="0" w:tplc="9776070A">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3" w15:restartNumberingAfterBreak="0">
    <w:nsid w:val="6DE36A63"/>
    <w:multiLevelType w:val="hybridMultilevel"/>
    <w:tmpl w:val="671C073A"/>
    <w:lvl w:ilvl="0" w:tplc="3EAE0EC4">
      <w:start w:val="1"/>
      <w:numFmt w:val="bullet"/>
      <w:lvlText w:val=""/>
      <w:lvlJc w:val="left"/>
      <w:pPr>
        <w:ind w:left="5464"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294" w15:restartNumberingAfterBreak="0">
    <w:nsid w:val="6E1747EF"/>
    <w:multiLevelType w:val="hybridMultilevel"/>
    <w:tmpl w:val="E33404C6"/>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95" w15:restartNumberingAfterBreak="0">
    <w:nsid w:val="6E50415C"/>
    <w:multiLevelType w:val="hybridMultilevel"/>
    <w:tmpl w:val="3FA2A6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6" w15:restartNumberingAfterBreak="0">
    <w:nsid w:val="6E6605BA"/>
    <w:multiLevelType w:val="hybridMultilevel"/>
    <w:tmpl w:val="C7D255DA"/>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97" w15:restartNumberingAfterBreak="0">
    <w:nsid w:val="6F9B6539"/>
    <w:multiLevelType w:val="hybridMultilevel"/>
    <w:tmpl w:val="EC263182"/>
    <w:lvl w:ilvl="0" w:tplc="343EABDC">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98" w15:restartNumberingAfterBreak="0">
    <w:nsid w:val="6FB241C5"/>
    <w:multiLevelType w:val="hybridMultilevel"/>
    <w:tmpl w:val="69D454FA"/>
    <w:lvl w:ilvl="0" w:tplc="04150005">
      <w:start w:val="1"/>
      <w:numFmt w:val="bullet"/>
      <w:lvlText w:val=""/>
      <w:lvlJc w:val="left"/>
      <w:pPr>
        <w:ind w:left="720" w:hanging="360"/>
      </w:pPr>
      <w:rPr>
        <w:rFonts w:ascii="Wingdings" w:hAnsi="Wingdings" w:hint="default"/>
      </w:r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9" w15:restartNumberingAfterBreak="0">
    <w:nsid w:val="6FD86E8E"/>
    <w:multiLevelType w:val="hybridMultilevel"/>
    <w:tmpl w:val="384C332A"/>
    <w:lvl w:ilvl="0" w:tplc="3EAE0EC4">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300" w15:restartNumberingAfterBreak="0">
    <w:nsid w:val="70787DAC"/>
    <w:multiLevelType w:val="hybridMultilevel"/>
    <w:tmpl w:val="08EA450A"/>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1" w15:restartNumberingAfterBreak="0">
    <w:nsid w:val="71452BF0"/>
    <w:multiLevelType w:val="hybridMultilevel"/>
    <w:tmpl w:val="B79682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2" w15:restartNumberingAfterBreak="0">
    <w:nsid w:val="71812743"/>
    <w:multiLevelType w:val="hybridMultilevel"/>
    <w:tmpl w:val="CEB6A61A"/>
    <w:lvl w:ilvl="0" w:tplc="FB3CB1B4">
      <w:numFmt w:val="bullet"/>
      <w:lvlText w:val="•"/>
      <w:lvlJc w:val="left"/>
      <w:pPr>
        <w:ind w:left="720" w:hanging="360"/>
      </w:pPr>
      <w:rPr>
        <w:rFonts w:ascii="Times New Roman" w:eastAsiaTheme="minorHAnsi"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3" w15:restartNumberingAfterBreak="0">
    <w:nsid w:val="71D3057A"/>
    <w:multiLevelType w:val="hybridMultilevel"/>
    <w:tmpl w:val="70E4457C"/>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4" w15:restartNumberingAfterBreak="0">
    <w:nsid w:val="71E24B04"/>
    <w:multiLevelType w:val="hybridMultilevel"/>
    <w:tmpl w:val="35C8C7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5" w15:restartNumberingAfterBreak="0">
    <w:nsid w:val="72451BE1"/>
    <w:multiLevelType w:val="hybridMultilevel"/>
    <w:tmpl w:val="2D56B95E"/>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06" w15:restartNumberingAfterBreak="0">
    <w:nsid w:val="7294573B"/>
    <w:multiLevelType w:val="hybridMultilevel"/>
    <w:tmpl w:val="5C743700"/>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7" w15:restartNumberingAfterBreak="0">
    <w:nsid w:val="72A61060"/>
    <w:multiLevelType w:val="hybridMultilevel"/>
    <w:tmpl w:val="AF32AEA6"/>
    <w:lvl w:ilvl="0" w:tplc="793426E6">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08" w15:restartNumberingAfterBreak="0">
    <w:nsid w:val="72CB1E9A"/>
    <w:multiLevelType w:val="hybridMultilevel"/>
    <w:tmpl w:val="6EEE09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9" w15:restartNumberingAfterBreak="0">
    <w:nsid w:val="72FC732C"/>
    <w:multiLevelType w:val="hybridMultilevel"/>
    <w:tmpl w:val="663EF214"/>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0" w15:restartNumberingAfterBreak="0">
    <w:nsid w:val="73165B76"/>
    <w:multiLevelType w:val="hybridMultilevel"/>
    <w:tmpl w:val="E98C62EE"/>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11" w15:restartNumberingAfterBreak="0">
    <w:nsid w:val="73415E4D"/>
    <w:multiLevelType w:val="hybridMultilevel"/>
    <w:tmpl w:val="DF7AC4A6"/>
    <w:lvl w:ilvl="0" w:tplc="04150001">
      <w:start w:val="1"/>
      <w:numFmt w:val="bullet"/>
      <w:lvlText w:val=""/>
      <w:lvlJc w:val="left"/>
      <w:pPr>
        <w:ind w:left="1350" w:hanging="360"/>
      </w:pPr>
      <w:rPr>
        <w:rFonts w:ascii="Symbol" w:hAnsi="Symbol" w:hint="default"/>
      </w:rPr>
    </w:lvl>
    <w:lvl w:ilvl="1" w:tplc="04150003" w:tentative="1">
      <w:start w:val="1"/>
      <w:numFmt w:val="bullet"/>
      <w:lvlText w:val="o"/>
      <w:lvlJc w:val="left"/>
      <w:pPr>
        <w:ind w:left="2070" w:hanging="360"/>
      </w:pPr>
      <w:rPr>
        <w:rFonts w:ascii="Courier New" w:hAnsi="Courier New" w:cs="Courier New" w:hint="default"/>
      </w:rPr>
    </w:lvl>
    <w:lvl w:ilvl="2" w:tplc="04150005" w:tentative="1">
      <w:start w:val="1"/>
      <w:numFmt w:val="bullet"/>
      <w:lvlText w:val=""/>
      <w:lvlJc w:val="left"/>
      <w:pPr>
        <w:ind w:left="2790" w:hanging="360"/>
      </w:pPr>
      <w:rPr>
        <w:rFonts w:ascii="Wingdings" w:hAnsi="Wingdings" w:hint="default"/>
      </w:rPr>
    </w:lvl>
    <w:lvl w:ilvl="3" w:tplc="04150001" w:tentative="1">
      <w:start w:val="1"/>
      <w:numFmt w:val="bullet"/>
      <w:lvlText w:val=""/>
      <w:lvlJc w:val="left"/>
      <w:pPr>
        <w:ind w:left="3510" w:hanging="360"/>
      </w:pPr>
      <w:rPr>
        <w:rFonts w:ascii="Symbol" w:hAnsi="Symbol" w:hint="default"/>
      </w:rPr>
    </w:lvl>
    <w:lvl w:ilvl="4" w:tplc="04150003" w:tentative="1">
      <w:start w:val="1"/>
      <w:numFmt w:val="bullet"/>
      <w:lvlText w:val="o"/>
      <w:lvlJc w:val="left"/>
      <w:pPr>
        <w:ind w:left="4230" w:hanging="360"/>
      </w:pPr>
      <w:rPr>
        <w:rFonts w:ascii="Courier New" w:hAnsi="Courier New" w:cs="Courier New" w:hint="default"/>
      </w:rPr>
    </w:lvl>
    <w:lvl w:ilvl="5" w:tplc="04150005" w:tentative="1">
      <w:start w:val="1"/>
      <w:numFmt w:val="bullet"/>
      <w:lvlText w:val=""/>
      <w:lvlJc w:val="left"/>
      <w:pPr>
        <w:ind w:left="4950" w:hanging="360"/>
      </w:pPr>
      <w:rPr>
        <w:rFonts w:ascii="Wingdings" w:hAnsi="Wingdings" w:hint="default"/>
      </w:rPr>
    </w:lvl>
    <w:lvl w:ilvl="6" w:tplc="04150001" w:tentative="1">
      <w:start w:val="1"/>
      <w:numFmt w:val="bullet"/>
      <w:lvlText w:val=""/>
      <w:lvlJc w:val="left"/>
      <w:pPr>
        <w:ind w:left="5670" w:hanging="360"/>
      </w:pPr>
      <w:rPr>
        <w:rFonts w:ascii="Symbol" w:hAnsi="Symbol" w:hint="default"/>
      </w:rPr>
    </w:lvl>
    <w:lvl w:ilvl="7" w:tplc="04150003" w:tentative="1">
      <w:start w:val="1"/>
      <w:numFmt w:val="bullet"/>
      <w:lvlText w:val="o"/>
      <w:lvlJc w:val="left"/>
      <w:pPr>
        <w:ind w:left="6390" w:hanging="360"/>
      </w:pPr>
      <w:rPr>
        <w:rFonts w:ascii="Courier New" w:hAnsi="Courier New" w:cs="Courier New" w:hint="default"/>
      </w:rPr>
    </w:lvl>
    <w:lvl w:ilvl="8" w:tplc="04150005" w:tentative="1">
      <w:start w:val="1"/>
      <w:numFmt w:val="bullet"/>
      <w:lvlText w:val=""/>
      <w:lvlJc w:val="left"/>
      <w:pPr>
        <w:ind w:left="7110" w:hanging="360"/>
      </w:pPr>
      <w:rPr>
        <w:rFonts w:ascii="Wingdings" w:hAnsi="Wingdings" w:hint="default"/>
      </w:rPr>
    </w:lvl>
  </w:abstractNum>
  <w:abstractNum w:abstractNumId="312" w15:restartNumberingAfterBreak="0">
    <w:nsid w:val="736425FB"/>
    <w:multiLevelType w:val="hybridMultilevel"/>
    <w:tmpl w:val="75AE1CEC"/>
    <w:lvl w:ilvl="0" w:tplc="04150001">
      <w:start w:val="1"/>
      <w:numFmt w:val="bullet"/>
      <w:lvlText w:val=""/>
      <w:lvlJc w:val="left"/>
      <w:pPr>
        <w:ind w:left="1004" w:hanging="360"/>
      </w:pPr>
      <w:rPr>
        <w:rFonts w:ascii="Symbol" w:hAnsi="Symbol" w:hint="default"/>
      </w:rPr>
    </w:lvl>
    <w:lvl w:ilvl="1" w:tplc="04150003">
      <w:start w:val="1"/>
      <w:numFmt w:val="bullet"/>
      <w:lvlText w:val="o"/>
      <w:lvlJc w:val="left"/>
      <w:pPr>
        <w:ind w:left="1724" w:hanging="360"/>
      </w:pPr>
      <w:rPr>
        <w:rFonts w:ascii="Courier New" w:hAnsi="Courier New" w:cs="Courier New" w:hint="default"/>
      </w:rPr>
    </w:lvl>
    <w:lvl w:ilvl="2" w:tplc="04150005">
      <w:start w:val="1"/>
      <w:numFmt w:val="bullet"/>
      <w:lvlText w:val=""/>
      <w:lvlJc w:val="left"/>
      <w:pPr>
        <w:ind w:left="2444" w:hanging="360"/>
      </w:pPr>
      <w:rPr>
        <w:rFonts w:ascii="Wingdings" w:hAnsi="Wingdings" w:hint="default"/>
      </w:rPr>
    </w:lvl>
    <w:lvl w:ilvl="3" w:tplc="04150001">
      <w:start w:val="1"/>
      <w:numFmt w:val="bullet"/>
      <w:lvlText w:val=""/>
      <w:lvlJc w:val="left"/>
      <w:pPr>
        <w:ind w:left="3164" w:hanging="360"/>
      </w:pPr>
      <w:rPr>
        <w:rFonts w:ascii="Symbol" w:hAnsi="Symbol" w:hint="default"/>
      </w:rPr>
    </w:lvl>
    <w:lvl w:ilvl="4" w:tplc="04150003">
      <w:start w:val="1"/>
      <w:numFmt w:val="bullet"/>
      <w:lvlText w:val="o"/>
      <w:lvlJc w:val="left"/>
      <w:pPr>
        <w:ind w:left="3884" w:hanging="360"/>
      </w:pPr>
      <w:rPr>
        <w:rFonts w:ascii="Courier New" w:hAnsi="Courier New" w:cs="Courier New" w:hint="default"/>
      </w:rPr>
    </w:lvl>
    <w:lvl w:ilvl="5" w:tplc="04150005">
      <w:start w:val="1"/>
      <w:numFmt w:val="bullet"/>
      <w:lvlText w:val=""/>
      <w:lvlJc w:val="left"/>
      <w:pPr>
        <w:ind w:left="4604" w:hanging="360"/>
      </w:pPr>
      <w:rPr>
        <w:rFonts w:ascii="Wingdings" w:hAnsi="Wingdings" w:hint="default"/>
      </w:rPr>
    </w:lvl>
    <w:lvl w:ilvl="6" w:tplc="04150001">
      <w:start w:val="1"/>
      <w:numFmt w:val="bullet"/>
      <w:lvlText w:val=""/>
      <w:lvlJc w:val="left"/>
      <w:pPr>
        <w:ind w:left="5324" w:hanging="360"/>
      </w:pPr>
      <w:rPr>
        <w:rFonts w:ascii="Symbol" w:hAnsi="Symbol" w:hint="default"/>
      </w:rPr>
    </w:lvl>
    <w:lvl w:ilvl="7" w:tplc="04150003">
      <w:start w:val="1"/>
      <w:numFmt w:val="bullet"/>
      <w:lvlText w:val="o"/>
      <w:lvlJc w:val="left"/>
      <w:pPr>
        <w:ind w:left="6044" w:hanging="360"/>
      </w:pPr>
      <w:rPr>
        <w:rFonts w:ascii="Courier New" w:hAnsi="Courier New" w:cs="Courier New" w:hint="default"/>
      </w:rPr>
    </w:lvl>
    <w:lvl w:ilvl="8" w:tplc="04150005">
      <w:start w:val="1"/>
      <w:numFmt w:val="bullet"/>
      <w:lvlText w:val=""/>
      <w:lvlJc w:val="left"/>
      <w:pPr>
        <w:ind w:left="6764" w:hanging="360"/>
      </w:pPr>
      <w:rPr>
        <w:rFonts w:ascii="Wingdings" w:hAnsi="Wingdings" w:hint="default"/>
      </w:rPr>
    </w:lvl>
  </w:abstractNum>
  <w:abstractNum w:abstractNumId="313" w15:restartNumberingAfterBreak="0">
    <w:nsid w:val="745C2D22"/>
    <w:multiLevelType w:val="hybridMultilevel"/>
    <w:tmpl w:val="58D07CBC"/>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314" w15:restartNumberingAfterBreak="0">
    <w:nsid w:val="74B34FD7"/>
    <w:multiLevelType w:val="hybridMultilevel"/>
    <w:tmpl w:val="7BFA8CF6"/>
    <w:lvl w:ilvl="0" w:tplc="04150005">
      <w:start w:val="1"/>
      <w:numFmt w:val="bullet"/>
      <w:lvlText w:val=""/>
      <w:lvlJc w:val="left"/>
      <w:pPr>
        <w:ind w:left="720" w:hanging="360"/>
      </w:pPr>
      <w:rPr>
        <w:rFonts w:ascii="Wingdings" w:hAnsi="Wingdings"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5" w15:restartNumberingAfterBreak="0">
    <w:nsid w:val="74E96F68"/>
    <w:multiLevelType w:val="hybridMultilevel"/>
    <w:tmpl w:val="71509664"/>
    <w:lvl w:ilvl="0" w:tplc="04150001">
      <w:start w:val="1"/>
      <w:numFmt w:val="bullet"/>
      <w:lvlText w:val=""/>
      <w:lvlJc w:val="left"/>
      <w:pPr>
        <w:ind w:left="1500" w:hanging="360"/>
      </w:pPr>
      <w:rPr>
        <w:rFonts w:ascii="Symbol" w:hAnsi="Symbol" w:hint="default"/>
      </w:rPr>
    </w:lvl>
    <w:lvl w:ilvl="1" w:tplc="04150003" w:tentative="1">
      <w:start w:val="1"/>
      <w:numFmt w:val="bullet"/>
      <w:lvlText w:val="o"/>
      <w:lvlJc w:val="left"/>
      <w:pPr>
        <w:ind w:left="2220" w:hanging="360"/>
      </w:pPr>
      <w:rPr>
        <w:rFonts w:ascii="Courier New" w:hAnsi="Courier New" w:cs="Courier New" w:hint="default"/>
      </w:rPr>
    </w:lvl>
    <w:lvl w:ilvl="2" w:tplc="04150005" w:tentative="1">
      <w:start w:val="1"/>
      <w:numFmt w:val="bullet"/>
      <w:lvlText w:val=""/>
      <w:lvlJc w:val="left"/>
      <w:pPr>
        <w:ind w:left="2940" w:hanging="360"/>
      </w:pPr>
      <w:rPr>
        <w:rFonts w:ascii="Wingdings" w:hAnsi="Wingdings" w:hint="default"/>
      </w:rPr>
    </w:lvl>
    <w:lvl w:ilvl="3" w:tplc="04150001" w:tentative="1">
      <w:start w:val="1"/>
      <w:numFmt w:val="bullet"/>
      <w:lvlText w:val=""/>
      <w:lvlJc w:val="left"/>
      <w:pPr>
        <w:ind w:left="3660" w:hanging="360"/>
      </w:pPr>
      <w:rPr>
        <w:rFonts w:ascii="Symbol" w:hAnsi="Symbol" w:hint="default"/>
      </w:rPr>
    </w:lvl>
    <w:lvl w:ilvl="4" w:tplc="04150003" w:tentative="1">
      <w:start w:val="1"/>
      <w:numFmt w:val="bullet"/>
      <w:lvlText w:val="o"/>
      <w:lvlJc w:val="left"/>
      <w:pPr>
        <w:ind w:left="4380" w:hanging="360"/>
      </w:pPr>
      <w:rPr>
        <w:rFonts w:ascii="Courier New" w:hAnsi="Courier New" w:cs="Courier New" w:hint="default"/>
      </w:rPr>
    </w:lvl>
    <w:lvl w:ilvl="5" w:tplc="04150005" w:tentative="1">
      <w:start w:val="1"/>
      <w:numFmt w:val="bullet"/>
      <w:lvlText w:val=""/>
      <w:lvlJc w:val="left"/>
      <w:pPr>
        <w:ind w:left="5100" w:hanging="360"/>
      </w:pPr>
      <w:rPr>
        <w:rFonts w:ascii="Wingdings" w:hAnsi="Wingdings" w:hint="default"/>
      </w:rPr>
    </w:lvl>
    <w:lvl w:ilvl="6" w:tplc="04150001" w:tentative="1">
      <w:start w:val="1"/>
      <w:numFmt w:val="bullet"/>
      <w:lvlText w:val=""/>
      <w:lvlJc w:val="left"/>
      <w:pPr>
        <w:ind w:left="5820" w:hanging="360"/>
      </w:pPr>
      <w:rPr>
        <w:rFonts w:ascii="Symbol" w:hAnsi="Symbol" w:hint="default"/>
      </w:rPr>
    </w:lvl>
    <w:lvl w:ilvl="7" w:tplc="04150003" w:tentative="1">
      <w:start w:val="1"/>
      <w:numFmt w:val="bullet"/>
      <w:lvlText w:val="o"/>
      <w:lvlJc w:val="left"/>
      <w:pPr>
        <w:ind w:left="6540" w:hanging="360"/>
      </w:pPr>
      <w:rPr>
        <w:rFonts w:ascii="Courier New" w:hAnsi="Courier New" w:cs="Courier New" w:hint="default"/>
      </w:rPr>
    </w:lvl>
    <w:lvl w:ilvl="8" w:tplc="04150005" w:tentative="1">
      <w:start w:val="1"/>
      <w:numFmt w:val="bullet"/>
      <w:lvlText w:val=""/>
      <w:lvlJc w:val="left"/>
      <w:pPr>
        <w:ind w:left="7260" w:hanging="360"/>
      </w:pPr>
      <w:rPr>
        <w:rFonts w:ascii="Wingdings" w:hAnsi="Wingdings" w:hint="default"/>
      </w:rPr>
    </w:lvl>
  </w:abstractNum>
  <w:abstractNum w:abstractNumId="316" w15:restartNumberingAfterBreak="0">
    <w:nsid w:val="75016D11"/>
    <w:multiLevelType w:val="hybridMultilevel"/>
    <w:tmpl w:val="EFEE1A2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17" w15:restartNumberingAfterBreak="0">
    <w:nsid w:val="751B64AF"/>
    <w:multiLevelType w:val="hybridMultilevel"/>
    <w:tmpl w:val="BE7085F6"/>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18" w15:restartNumberingAfterBreak="0">
    <w:nsid w:val="752B3AA0"/>
    <w:multiLevelType w:val="hybridMultilevel"/>
    <w:tmpl w:val="9856A3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9" w15:restartNumberingAfterBreak="0">
    <w:nsid w:val="7536703B"/>
    <w:multiLevelType w:val="multilevel"/>
    <w:tmpl w:val="A1B411D4"/>
    <w:styleLink w:val="WWNum9"/>
    <w:lvl w:ilvl="0">
      <w:numFmt w:val="bullet"/>
      <w:lvlText w:val=""/>
      <w:lvlJc w:val="left"/>
      <w:pPr>
        <w:ind w:left="1068" w:hanging="360"/>
      </w:pPr>
      <w:rPr>
        <w:rFonts w:ascii="Symbol" w:hAnsi="Symbol"/>
        <w:b w:val="0"/>
      </w:rPr>
    </w:lvl>
    <w:lvl w:ilvl="1">
      <w:numFmt w:val="bullet"/>
      <w:lvlText w:val="o"/>
      <w:lvlJc w:val="left"/>
      <w:pPr>
        <w:ind w:left="1788" w:hanging="360"/>
      </w:pPr>
      <w:rPr>
        <w:rFonts w:ascii="Courier New" w:hAnsi="Courier New" w:cs="Courier New"/>
      </w:rPr>
    </w:lvl>
    <w:lvl w:ilvl="2">
      <w:numFmt w:val="bullet"/>
      <w:lvlText w:val=""/>
      <w:lvlJc w:val="left"/>
      <w:pPr>
        <w:ind w:left="2508" w:hanging="360"/>
      </w:pPr>
      <w:rPr>
        <w:rFonts w:ascii="Wingdings" w:hAnsi="Wingdings" w:cs="Wingdings"/>
      </w:rPr>
    </w:lvl>
    <w:lvl w:ilvl="3">
      <w:numFmt w:val="bullet"/>
      <w:lvlText w:val=""/>
      <w:lvlJc w:val="left"/>
      <w:pPr>
        <w:ind w:left="3228" w:hanging="360"/>
      </w:pPr>
      <w:rPr>
        <w:rFonts w:ascii="Symbol" w:hAnsi="Symbol" w:cs="Symbol"/>
      </w:rPr>
    </w:lvl>
    <w:lvl w:ilvl="4">
      <w:numFmt w:val="bullet"/>
      <w:lvlText w:val="o"/>
      <w:lvlJc w:val="left"/>
      <w:pPr>
        <w:ind w:left="3948" w:hanging="360"/>
      </w:pPr>
      <w:rPr>
        <w:rFonts w:ascii="Courier New" w:hAnsi="Courier New" w:cs="Courier New"/>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Symbol" w:hAnsi="Symbol" w:cs="Symbol"/>
      </w:rPr>
    </w:lvl>
    <w:lvl w:ilvl="7">
      <w:numFmt w:val="bullet"/>
      <w:lvlText w:val="o"/>
      <w:lvlJc w:val="left"/>
      <w:pPr>
        <w:ind w:left="6108" w:hanging="360"/>
      </w:pPr>
      <w:rPr>
        <w:rFonts w:ascii="Courier New" w:hAnsi="Courier New" w:cs="Courier New"/>
      </w:rPr>
    </w:lvl>
    <w:lvl w:ilvl="8">
      <w:numFmt w:val="bullet"/>
      <w:lvlText w:val=""/>
      <w:lvlJc w:val="left"/>
      <w:pPr>
        <w:ind w:left="6828" w:hanging="360"/>
      </w:pPr>
      <w:rPr>
        <w:rFonts w:ascii="Wingdings" w:hAnsi="Wingdings" w:cs="Wingdings"/>
      </w:rPr>
    </w:lvl>
  </w:abstractNum>
  <w:abstractNum w:abstractNumId="320" w15:restartNumberingAfterBreak="0">
    <w:nsid w:val="753949F4"/>
    <w:multiLevelType w:val="hybridMultilevel"/>
    <w:tmpl w:val="C0F06008"/>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21" w15:restartNumberingAfterBreak="0">
    <w:nsid w:val="753C4454"/>
    <w:multiLevelType w:val="hybridMultilevel"/>
    <w:tmpl w:val="38C8C5D4"/>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22" w15:restartNumberingAfterBreak="0">
    <w:nsid w:val="75CA1139"/>
    <w:multiLevelType w:val="hybridMultilevel"/>
    <w:tmpl w:val="D83067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3" w15:restartNumberingAfterBreak="0">
    <w:nsid w:val="76417209"/>
    <w:multiLevelType w:val="multilevel"/>
    <w:tmpl w:val="328EEF38"/>
    <w:lvl w:ilvl="0">
      <w:start w:val="7"/>
      <w:numFmt w:val="decimal"/>
      <w:lvlText w:val="%1."/>
      <w:lvlJc w:val="left"/>
      <w:pPr>
        <w:ind w:left="360" w:hanging="360"/>
      </w:pPr>
      <w:rPr>
        <w:rFonts w:ascii="Times New Roman" w:eastAsia="Calibri" w:hAnsi="Times New Roman" w:cs="Times New Roman" w:hint="default"/>
        <w:color w:val="000000" w:themeColor="text1"/>
        <w:u w:val="none"/>
      </w:rPr>
    </w:lvl>
    <w:lvl w:ilvl="1">
      <w:start w:val="4"/>
      <w:numFmt w:val="decimal"/>
      <w:lvlText w:val="%1.%2."/>
      <w:lvlJc w:val="left"/>
      <w:pPr>
        <w:ind w:left="720" w:hanging="720"/>
      </w:pPr>
      <w:rPr>
        <w:rFonts w:ascii="Times New Roman" w:eastAsia="Calibri" w:hAnsi="Times New Roman" w:cs="Times New Roman" w:hint="default"/>
        <w:color w:val="000000" w:themeColor="text1"/>
        <w:u w:val="none"/>
      </w:rPr>
    </w:lvl>
    <w:lvl w:ilvl="2">
      <w:start w:val="1"/>
      <w:numFmt w:val="decimal"/>
      <w:lvlText w:val="%1.%2.%3."/>
      <w:lvlJc w:val="left"/>
      <w:pPr>
        <w:ind w:left="720" w:hanging="720"/>
      </w:pPr>
      <w:rPr>
        <w:rFonts w:ascii="Times New Roman" w:eastAsia="Calibri" w:hAnsi="Times New Roman" w:cs="Times New Roman" w:hint="default"/>
        <w:color w:val="000000" w:themeColor="text1"/>
        <w:u w:val="none"/>
      </w:rPr>
    </w:lvl>
    <w:lvl w:ilvl="3">
      <w:start w:val="1"/>
      <w:numFmt w:val="decimal"/>
      <w:lvlText w:val="%1.%2.%3.%4."/>
      <w:lvlJc w:val="left"/>
      <w:pPr>
        <w:ind w:left="1080" w:hanging="1080"/>
      </w:pPr>
      <w:rPr>
        <w:rFonts w:ascii="Times New Roman" w:eastAsia="Calibri" w:hAnsi="Times New Roman" w:cs="Times New Roman" w:hint="default"/>
        <w:color w:val="000000" w:themeColor="text1"/>
        <w:u w:val="none"/>
      </w:rPr>
    </w:lvl>
    <w:lvl w:ilvl="4">
      <w:start w:val="1"/>
      <w:numFmt w:val="decimal"/>
      <w:lvlText w:val="%1.%2.%3.%4.%5."/>
      <w:lvlJc w:val="left"/>
      <w:pPr>
        <w:ind w:left="1080" w:hanging="1080"/>
      </w:pPr>
      <w:rPr>
        <w:rFonts w:ascii="Times New Roman" w:eastAsia="Calibri" w:hAnsi="Times New Roman" w:cs="Times New Roman" w:hint="default"/>
        <w:color w:val="000000" w:themeColor="text1"/>
        <w:u w:val="none"/>
      </w:rPr>
    </w:lvl>
    <w:lvl w:ilvl="5">
      <w:start w:val="1"/>
      <w:numFmt w:val="decimal"/>
      <w:lvlText w:val="%1.%2.%3.%4.%5.%6."/>
      <w:lvlJc w:val="left"/>
      <w:pPr>
        <w:ind w:left="1440" w:hanging="1440"/>
      </w:pPr>
      <w:rPr>
        <w:rFonts w:ascii="Times New Roman" w:eastAsia="Calibri" w:hAnsi="Times New Roman" w:cs="Times New Roman" w:hint="default"/>
        <w:color w:val="000000" w:themeColor="text1"/>
        <w:u w:val="none"/>
      </w:rPr>
    </w:lvl>
    <w:lvl w:ilvl="6">
      <w:start w:val="1"/>
      <w:numFmt w:val="decimal"/>
      <w:lvlText w:val="%1.%2.%3.%4.%5.%6.%7."/>
      <w:lvlJc w:val="left"/>
      <w:pPr>
        <w:ind w:left="1440" w:hanging="1440"/>
      </w:pPr>
      <w:rPr>
        <w:rFonts w:ascii="Times New Roman" w:eastAsia="Calibri" w:hAnsi="Times New Roman" w:cs="Times New Roman" w:hint="default"/>
        <w:color w:val="000000" w:themeColor="text1"/>
        <w:u w:val="none"/>
      </w:rPr>
    </w:lvl>
    <w:lvl w:ilvl="7">
      <w:start w:val="1"/>
      <w:numFmt w:val="decimal"/>
      <w:lvlText w:val="%1.%2.%3.%4.%5.%6.%7.%8."/>
      <w:lvlJc w:val="left"/>
      <w:pPr>
        <w:ind w:left="1800" w:hanging="1800"/>
      </w:pPr>
      <w:rPr>
        <w:rFonts w:ascii="Times New Roman" w:eastAsia="Calibri" w:hAnsi="Times New Roman" w:cs="Times New Roman" w:hint="default"/>
        <w:color w:val="000000" w:themeColor="text1"/>
        <w:u w:val="none"/>
      </w:rPr>
    </w:lvl>
    <w:lvl w:ilvl="8">
      <w:start w:val="1"/>
      <w:numFmt w:val="decimal"/>
      <w:lvlText w:val="%1.%2.%3.%4.%5.%6.%7.%8.%9."/>
      <w:lvlJc w:val="left"/>
      <w:pPr>
        <w:ind w:left="1800" w:hanging="1800"/>
      </w:pPr>
      <w:rPr>
        <w:rFonts w:ascii="Times New Roman" w:eastAsia="Calibri" w:hAnsi="Times New Roman" w:cs="Times New Roman" w:hint="default"/>
        <w:color w:val="000000" w:themeColor="text1"/>
        <w:u w:val="none"/>
      </w:rPr>
    </w:lvl>
  </w:abstractNum>
  <w:abstractNum w:abstractNumId="324" w15:restartNumberingAfterBreak="0">
    <w:nsid w:val="765278D6"/>
    <w:multiLevelType w:val="hybridMultilevel"/>
    <w:tmpl w:val="E42CE684"/>
    <w:lvl w:ilvl="0" w:tplc="04150001">
      <w:start w:val="1"/>
      <w:numFmt w:val="bullet"/>
      <w:lvlText w:val=""/>
      <w:lvlJc w:val="left"/>
      <w:pPr>
        <w:ind w:left="927" w:hanging="360"/>
      </w:pPr>
      <w:rPr>
        <w:rFonts w:ascii="Symbol" w:hAnsi="Symbol" w:hint="default"/>
      </w:rPr>
    </w:lvl>
    <w:lvl w:ilvl="1" w:tplc="04150003" w:tentative="1">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325" w15:restartNumberingAfterBreak="0">
    <w:nsid w:val="7682304A"/>
    <w:multiLevelType w:val="hybridMultilevel"/>
    <w:tmpl w:val="A04295A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6" w15:restartNumberingAfterBreak="0">
    <w:nsid w:val="76876B14"/>
    <w:multiLevelType w:val="hybridMultilevel"/>
    <w:tmpl w:val="66F43F18"/>
    <w:lvl w:ilvl="0" w:tplc="A836AEA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7" w15:restartNumberingAfterBreak="0">
    <w:nsid w:val="76B13BFC"/>
    <w:multiLevelType w:val="multilevel"/>
    <w:tmpl w:val="C3F2BE22"/>
    <w:lvl w:ilvl="0">
      <w:start w:val="1"/>
      <w:numFmt w:val="bullet"/>
      <w:lvlText w:val=""/>
      <w:lvlJc w:val="left"/>
      <w:pPr>
        <w:ind w:left="1429" w:hanging="360"/>
      </w:pPr>
      <w:rPr>
        <w:rFonts w:ascii="Symbol" w:hAnsi="Symbol" w:hint="default"/>
      </w:rPr>
    </w:lvl>
    <w:lvl w:ilvl="1">
      <w:start w:val="3"/>
      <w:numFmt w:val="decimal"/>
      <w:lvlText w:val="%1.%2"/>
      <w:lvlJc w:val="left"/>
      <w:pPr>
        <w:ind w:left="1429" w:hanging="360"/>
      </w:pPr>
      <w:rPr>
        <w:rFonts w:hint="default"/>
      </w:rPr>
    </w:lvl>
    <w:lvl w:ilvl="2">
      <w:start w:val="1"/>
      <w:numFmt w:val="decimal"/>
      <w:lvlText w:val="%1.%2.%3"/>
      <w:lvlJc w:val="left"/>
      <w:pPr>
        <w:ind w:left="1789" w:hanging="720"/>
      </w:pPr>
      <w:rPr>
        <w:rFonts w:hint="default"/>
      </w:rPr>
    </w:lvl>
    <w:lvl w:ilvl="3">
      <w:start w:val="1"/>
      <w:numFmt w:val="decimal"/>
      <w:lvlText w:val="%1.%2.%3.%4"/>
      <w:lvlJc w:val="left"/>
      <w:pPr>
        <w:ind w:left="1789" w:hanging="720"/>
      </w:pPr>
      <w:rPr>
        <w:rFonts w:hint="default"/>
      </w:rPr>
    </w:lvl>
    <w:lvl w:ilvl="4">
      <w:start w:val="1"/>
      <w:numFmt w:val="decimal"/>
      <w:lvlText w:val="%1.%2.%3.%4.%5"/>
      <w:lvlJc w:val="left"/>
      <w:pPr>
        <w:ind w:left="2149" w:hanging="1080"/>
      </w:pPr>
      <w:rPr>
        <w:rFonts w:hint="default"/>
      </w:rPr>
    </w:lvl>
    <w:lvl w:ilvl="5">
      <w:start w:val="1"/>
      <w:numFmt w:val="decimal"/>
      <w:lvlText w:val="%1.%2.%3.%4.%5.%6"/>
      <w:lvlJc w:val="left"/>
      <w:pPr>
        <w:ind w:left="2149" w:hanging="1080"/>
      </w:pPr>
      <w:rPr>
        <w:rFonts w:hint="default"/>
      </w:rPr>
    </w:lvl>
    <w:lvl w:ilvl="6">
      <w:start w:val="1"/>
      <w:numFmt w:val="decimal"/>
      <w:lvlText w:val="%1.%2.%3.%4.%5.%6.%7"/>
      <w:lvlJc w:val="left"/>
      <w:pPr>
        <w:ind w:left="2509" w:hanging="1440"/>
      </w:pPr>
      <w:rPr>
        <w:rFonts w:hint="default"/>
      </w:rPr>
    </w:lvl>
    <w:lvl w:ilvl="7">
      <w:start w:val="1"/>
      <w:numFmt w:val="decimal"/>
      <w:lvlText w:val="%1.%2.%3.%4.%5.%6.%7.%8"/>
      <w:lvlJc w:val="left"/>
      <w:pPr>
        <w:ind w:left="2509" w:hanging="1440"/>
      </w:pPr>
      <w:rPr>
        <w:rFonts w:hint="default"/>
      </w:rPr>
    </w:lvl>
    <w:lvl w:ilvl="8">
      <w:start w:val="1"/>
      <w:numFmt w:val="decimal"/>
      <w:lvlText w:val="%1.%2.%3.%4.%5.%6.%7.%8.%9"/>
      <w:lvlJc w:val="left"/>
      <w:pPr>
        <w:ind w:left="2869" w:hanging="1800"/>
      </w:pPr>
      <w:rPr>
        <w:rFonts w:hint="default"/>
      </w:rPr>
    </w:lvl>
  </w:abstractNum>
  <w:abstractNum w:abstractNumId="328" w15:restartNumberingAfterBreak="0">
    <w:nsid w:val="7792621D"/>
    <w:multiLevelType w:val="hybridMultilevel"/>
    <w:tmpl w:val="6964AD06"/>
    <w:lvl w:ilvl="0" w:tplc="333CCC4C">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9" w15:restartNumberingAfterBreak="0">
    <w:nsid w:val="77E72502"/>
    <w:multiLevelType w:val="hybridMultilevel"/>
    <w:tmpl w:val="957EAB70"/>
    <w:lvl w:ilvl="0" w:tplc="04150017">
      <w:start w:val="1"/>
      <w:numFmt w:val="lowerLetter"/>
      <w:lvlText w:val="%1)"/>
      <w:lvlJc w:val="left"/>
      <w:pPr>
        <w:ind w:left="1069" w:hanging="360"/>
      </w:pPr>
      <w:rPr>
        <w:rFonts w:hint="default"/>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330" w15:restartNumberingAfterBreak="0">
    <w:nsid w:val="785A5D32"/>
    <w:multiLevelType w:val="hybridMultilevel"/>
    <w:tmpl w:val="0F22DC70"/>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31" w15:restartNumberingAfterBreak="0">
    <w:nsid w:val="786D39B2"/>
    <w:multiLevelType w:val="multilevel"/>
    <w:tmpl w:val="5EF2D830"/>
    <w:styleLink w:val="WWNum2"/>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32" w15:restartNumberingAfterBreak="0">
    <w:nsid w:val="78802AA4"/>
    <w:multiLevelType w:val="hybridMultilevel"/>
    <w:tmpl w:val="020E280C"/>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33" w15:restartNumberingAfterBreak="0">
    <w:nsid w:val="78BB78C7"/>
    <w:multiLevelType w:val="hybridMultilevel"/>
    <w:tmpl w:val="60C4C794"/>
    <w:lvl w:ilvl="0" w:tplc="333CCC4C">
      <w:start w:val="1"/>
      <w:numFmt w:val="bullet"/>
      <w:lvlText w:val=""/>
      <w:lvlJc w:val="left"/>
      <w:pPr>
        <w:ind w:left="1287" w:hanging="360"/>
      </w:pPr>
      <w:rPr>
        <w:rFonts w:ascii="Symbol" w:hAnsi="Symbol" w:hint="default"/>
        <w:color w:val="auto"/>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34" w15:restartNumberingAfterBreak="0">
    <w:nsid w:val="78D5669F"/>
    <w:multiLevelType w:val="hybridMultilevel"/>
    <w:tmpl w:val="7114A6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5" w15:restartNumberingAfterBreak="0">
    <w:nsid w:val="79383A42"/>
    <w:multiLevelType w:val="hybridMultilevel"/>
    <w:tmpl w:val="71F07E8E"/>
    <w:lvl w:ilvl="0" w:tplc="ED185E74">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336" w15:restartNumberingAfterBreak="0">
    <w:nsid w:val="79837997"/>
    <w:multiLevelType w:val="hybridMultilevel"/>
    <w:tmpl w:val="D5F24F7C"/>
    <w:lvl w:ilvl="0" w:tplc="8FAC32C8">
      <w:start w:val="1"/>
      <w:numFmt w:val="bullet"/>
      <w:lvlText w:val=""/>
      <w:lvlJc w:val="left"/>
      <w:pPr>
        <w:ind w:left="1789" w:hanging="360"/>
      </w:pPr>
      <w:rPr>
        <w:rFonts w:ascii="Symbol" w:hAnsi="Symbol" w:hint="default"/>
      </w:rPr>
    </w:lvl>
    <w:lvl w:ilvl="1" w:tplc="04150003">
      <w:start w:val="1"/>
      <w:numFmt w:val="bullet"/>
      <w:lvlText w:val="o"/>
      <w:lvlJc w:val="left"/>
      <w:pPr>
        <w:ind w:left="2509" w:hanging="360"/>
      </w:pPr>
      <w:rPr>
        <w:rFonts w:ascii="Courier New" w:hAnsi="Courier New" w:cs="Courier New" w:hint="default"/>
      </w:rPr>
    </w:lvl>
    <w:lvl w:ilvl="2" w:tplc="04150005">
      <w:start w:val="1"/>
      <w:numFmt w:val="bullet"/>
      <w:lvlText w:val=""/>
      <w:lvlJc w:val="left"/>
      <w:pPr>
        <w:ind w:left="3229" w:hanging="360"/>
      </w:pPr>
      <w:rPr>
        <w:rFonts w:ascii="Wingdings" w:hAnsi="Wingdings" w:hint="default"/>
      </w:rPr>
    </w:lvl>
    <w:lvl w:ilvl="3" w:tplc="04150001">
      <w:start w:val="1"/>
      <w:numFmt w:val="bullet"/>
      <w:lvlText w:val=""/>
      <w:lvlJc w:val="left"/>
      <w:pPr>
        <w:ind w:left="3949" w:hanging="360"/>
      </w:pPr>
      <w:rPr>
        <w:rFonts w:ascii="Symbol" w:hAnsi="Symbol" w:hint="default"/>
      </w:rPr>
    </w:lvl>
    <w:lvl w:ilvl="4" w:tplc="04150003">
      <w:start w:val="1"/>
      <w:numFmt w:val="bullet"/>
      <w:lvlText w:val="o"/>
      <w:lvlJc w:val="left"/>
      <w:pPr>
        <w:ind w:left="4669" w:hanging="360"/>
      </w:pPr>
      <w:rPr>
        <w:rFonts w:ascii="Courier New" w:hAnsi="Courier New" w:cs="Courier New" w:hint="default"/>
      </w:rPr>
    </w:lvl>
    <w:lvl w:ilvl="5" w:tplc="04150005">
      <w:start w:val="1"/>
      <w:numFmt w:val="bullet"/>
      <w:lvlText w:val=""/>
      <w:lvlJc w:val="left"/>
      <w:pPr>
        <w:ind w:left="5389" w:hanging="360"/>
      </w:pPr>
      <w:rPr>
        <w:rFonts w:ascii="Wingdings" w:hAnsi="Wingdings" w:hint="default"/>
      </w:rPr>
    </w:lvl>
    <w:lvl w:ilvl="6" w:tplc="04150001">
      <w:start w:val="1"/>
      <w:numFmt w:val="bullet"/>
      <w:lvlText w:val=""/>
      <w:lvlJc w:val="left"/>
      <w:pPr>
        <w:ind w:left="6109" w:hanging="360"/>
      </w:pPr>
      <w:rPr>
        <w:rFonts w:ascii="Symbol" w:hAnsi="Symbol" w:hint="default"/>
      </w:rPr>
    </w:lvl>
    <w:lvl w:ilvl="7" w:tplc="04150003">
      <w:start w:val="1"/>
      <w:numFmt w:val="bullet"/>
      <w:lvlText w:val="o"/>
      <w:lvlJc w:val="left"/>
      <w:pPr>
        <w:ind w:left="6829" w:hanging="360"/>
      </w:pPr>
      <w:rPr>
        <w:rFonts w:ascii="Courier New" w:hAnsi="Courier New" w:cs="Courier New" w:hint="default"/>
      </w:rPr>
    </w:lvl>
    <w:lvl w:ilvl="8" w:tplc="04150005">
      <w:start w:val="1"/>
      <w:numFmt w:val="bullet"/>
      <w:lvlText w:val=""/>
      <w:lvlJc w:val="left"/>
      <w:pPr>
        <w:ind w:left="7549" w:hanging="360"/>
      </w:pPr>
      <w:rPr>
        <w:rFonts w:ascii="Wingdings" w:hAnsi="Wingdings" w:hint="default"/>
      </w:rPr>
    </w:lvl>
  </w:abstractNum>
  <w:abstractNum w:abstractNumId="337" w15:restartNumberingAfterBreak="0">
    <w:nsid w:val="798D71E8"/>
    <w:multiLevelType w:val="hybridMultilevel"/>
    <w:tmpl w:val="051664CA"/>
    <w:lvl w:ilvl="0" w:tplc="ED185E7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8" w15:restartNumberingAfterBreak="0">
    <w:nsid w:val="79CE1FC7"/>
    <w:multiLevelType w:val="hybridMultilevel"/>
    <w:tmpl w:val="F500C9D2"/>
    <w:lvl w:ilvl="0" w:tplc="FB3CB1B4">
      <w:numFmt w:val="bullet"/>
      <w:lvlText w:val="•"/>
      <w:lvlJc w:val="left"/>
      <w:pPr>
        <w:ind w:left="720" w:hanging="360"/>
      </w:pPr>
      <w:rPr>
        <w:rFonts w:ascii="Times New Roman" w:eastAsiaTheme="minorHAnsi"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9" w15:restartNumberingAfterBreak="0">
    <w:nsid w:val="7A10109C"/>
    <w:multiLevelType w:val="multilevel"/>
    <w:tmpl w:val="EC8094FC"/>
    <w:styleLink w:val="WWNum8"/>
    <w:lvl w:ilvl="0">
      <w:numFmt w:val="bullet"/>
      <w:lvlText w:val=""/>
      <w:lvlJc w:val="left"/>
      <w:pPr>
        <w:ind w:left="1070" w:hanging="360"/>
      </w:pPr>
      <w:rPr>
        <w:rFonts w:ascii="Symbol" w:hAnsi="Symbol"/>
        <w:b w:val="0"/>
        <w:strike w:val="0"/>
        <w:dstrike w:val="0"/>
      </w:rPr>
    </w:lvl>
    <w:lvl w:ilvl="1">
      <w:numFmt w:val="bullet"/>
      <w:lvlText w:val="o"/>
      <w:lvlJc w:val="left"/>
      <w:pPr>
        <w:ind w:left="1788" w:hanging="360"/>
      </w:pPr>
      <w:rPr>
        <w:rFonts w:ascii="Courier New" w:hAnsi="Courier New"/>
      </w:rPr>
    </w:lvl>
    <w:lvl w:ilvl="2">
      <w:numFmt w:val="bullet"/>
      <w:lvlText w:val=""/>
      <w:lvlJc w:val="left"/>
      <w:pPr>
        <w:ind w:left="2508" w:hanging="360"/>
      </w:pPr>
      <w:rPr>
        <w:rFonts w:ascii="Wingdings" w:hAnsi="Wingdings" w:cs="Wingdings"/>
      </w:rPr>
    </w:lvl>
    <w:lvl w:ilvl="3">
      <w:numFmt w:val="bullet"/>
      <w:lvlText w:val=""/>
      <w:lvlJc w:val="left"/>
      <w:pPr>
        <w:ind w:left="3228" w:hanging="360"/>
      </w:pPr>
      <w:rPr>
        <w:rFonts w:ascii="Symbol" w:hAnsi="Symbol" w:cs="Symbol"/>
      </w:rPr>
    </w:lvl>
    <w:lvl w:ilvl="4">
      <w:numFmt w:val="bullet"/>
      <w:lvlText w:val="o"/>
      <w:lvlJc w:val="left"/>
      <w:pPr>
        <w:ind w:left="3948" w:hanging="360"/>
      </w:pPr>
      <w:rPr>
        <w:rFonts w:ascii="Courier New" w:hAnsi="Courier New" w:cs="Courier New"/>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Symbol" w:hAnsi="Symbol" w:cs="Symbol"/>
      </w:rPr>
    </w:lvl>
    <w:lvl w:ilvl="7">
      <w:numFmt w:val="bullet"/>
      <w:lvlText w:val="o"/>
      <w:lvlJc w:val="left"/>
      <w:pPr>
        <w:ind w:left="6108" w:hanging="360"/>
      </w:pPr>
      <w:rPr>
        <w:rFonts w:ascii="Courier New" w:hAnsi="Courier New" w:cs="Courier New"/>
      </w:rPr>
    </w:lvl>
    <w:lvl w:ilvl="8">
      <w:numFmt w:val="bullet"/>
      <w:lvlText w:val=""/>
      <w:lvlJc w:val="left"/>
      <w:pPr>
        <w:ind w:left="6828" w:hanging="360"/>
      </w:pPr>
      <w:rPr>
        <w:rFonts w:ascii="Wingdings" w:hAnsi="Wingdings" w:cs="Wingdings"/>
      </w:rPr>
    </w:lvl>
  </w:abstractNum>
  <w:abstractNum w:abstractNumId="340" w15:restartNumberingAfterBreak="0">
    <w:nsid w:val="7A916F7D"/>
    <w:multiLevelType w:val="hybridMultilevel"/>
    <w:tmpl w:val="AACE1A2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41" w15:restartNumberingAfterBreak="0">
    <w:nsid w:val="7B3C0C61"/>
    <w:multiLevelType w:val="hybridMultilevel"/>
    <w:tmpl w:val="114E602C"/>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2" w15:restartNumberingAfterBreak="0">
    <w:nsid w:val="7BB21CB4"/>
    <w:multiLevelType w:val="hybridMultilevel"/>
    <w:tmpl w:val="D2BAA8DC"/>
    <w:lvl w:ilvl="0" w:tplc="0415000F">
      <w:start w:val="1"/>
      <w:numFmt w:val="decimal"/>
      <w:lvlText w:val="%1."/>
      <w:lvlJc w:val="left"/>
      <w:pPr>
        <w:ind w:left="1495" w:hanging="360"/>
      </w:pPr>
      <w:rPr>
        <w:rFonts w:hint="default"/>
      </w:rPr>
    </w:lvl>
    <w:lvl w:ilvl="1" w:tplc="04150019" w:tentative="1">
      <w:start w:val="1"/>
      <w:numFmt w:val="lowerLetter"/>
      <w:lvlText w:val="%2."/>
      <w:lvlJc w:val="left"/>
      <w:pPr>
        <w:ind w:left="23" w:hanging="360"/>
      </w:pPr>
    </w:lvl>
    <w:lvl w:ilvl="2" w:tplc="0415001B" w:tentative="1">
      <w:start w:val="1"/>
      <w:numFmt w:val="lowerRoman"/>
      <w:lvlText w:val="%3."/>
      <w:lvlJc w:val="right"/>
      <w:pPr>
        <w:ind w:left="743" w:hanging="180"/>
      </w:pPr>
    </w:lvl>
    <w:lvl w:ilvl="3" w:tplc="0415000F" w:tentative="1">
      <w:start w:val="1"/>
      <w:numFmt w:val="decimal"/>
      <w:lvlText w:val="%4."/>
      <w:lvlJc w:val="left"/>
      <w:pPr>
        <w:ind w:left="1463" w:hanging="360"/>
      </w:pPr>
    </w:lvl>
    <w:lvl w:ilvl="4" w:tplc="04150019" w:tentative="1">
      <w:start w:val="1"/>
      <w:numFmt w:val="lowerLetter"/>
      <w:lvlText w:val="%5."/>
      <w:lvlJc w:val="left"/>
      <w:pPr>
        <w:ind w:left="2183" w:hanging="360"/>
      </w:pPr>
    </w:lvl>
    <w:lvl w:ilvl="5" w:tplc="0415001B" w:tentative="1">
      <w:start w:val="1"/>
      <w:numFmt w:val="lowerRoman"/>
      <w:lvlText w:val="%6."/>
      <w:lvlJc w:val="right"/>
      <w:pPr>
        <w:ind w:left="2903" w:hanging="180"/>
      </w:pPr>
    </w:lvl>
    <w:lvl w:ilvl="6" w:tplc="0415000F" w:tentative="1">
      <w:start w:val="1"/>
      <w:numFmt w:val="decimal"/>
      <w:lvlText w:val="%7."/>
      <w:lvlJc w:val="left"/>
      <w:pPr>
        <w:ind w:left="3623" w:hanging="360"/>
      </w:pPr>
    </w:lvl>
    <w:lvl w:ilvl="7" w:tplc="04150019" w:tentative="1">
      <w:start w:val="1"/>
      <w:numFmt w:val="lowerLetter"/>
      <w:lvlText w:val="%8."/>
      <w:lvlJc w:val="left"/>
      <w:pPr>
        <w:ind w:left="4343" w:hanging="360"/>
      </w:pPr>
    </w:lvl>
    <w:lvl w:ilvl="8" w:tplc="0415001B" w:tentative="1">
      <w:start w:val="1"/>
      <w:numFmt w:val="lowerRoman"/>
      <w:lvlText w:val="%9."/>
      <w:lvlJc w:val="right"/>
      <w:pPr>
        <w:ind w:left="5063" w:hanging="180"/>
      </w:pPr>
    </w:lvl>
  </w:abstractNum>
  <w:abstractNum w:abstractNumId="343" w15:restartNumberingAfterBreak="0">
    <w:nsid w:val="7BCF1A08"/>
    <w:multiLevelType w:val="hybridMultilevel"/>
    <w:tmpl w:val="BD1E99FC"/>
    <w:lvl w:ilvl="0" w:tplc="FB3CB1B4">
      <w:numFmt w:val="bullet"/>
      <w:lvlText w:val="•"/>
      <w:lvlJc w:val="left"/>
      <w:pPr>
        <w:ind w:left="720" w:hanging="360"/>
      </w:pPr>
      <w:rPr>
        <w:rFonts w:ascii="Times New Roman" w:eastAsiaTheme="minorHAnsi"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4" w15:restartNumberingAfterBreak="0">
    <w:nsid w:val="7BF0014D"/>
    <w:multiLevelType w:val="hybridMultilevel"/>
    <w:tmpl w:val="247E56D6"/>
    <w:lvl w:ilvl="0" w:tplc="54CED172">
      <w:start w:val="1"/>
      <w:numFmt w:val="bullet"/>
      <w:lvlText w:val=""/>
      <w:lvlJc w:val="left"/>
      <w:pPr>
        <w:ind w:left="1917" w:hanging="360"/>
      </w:pPr>
      <w:rPr>
        <w:rFonts w:ascii="Symbol" w:hAnsi="Symbol" w:hint="default"/>
        <w:color w:val="auto"/>
      </w:rPr>
    </w:lvl>
    <w:lvl w:ilvl="1" w:tplc="04150003" w:tentative="1">
      <w:start w:val="1"/>
      <w:numFmt w:val="bullet"/>
      <w:lvlText w:val="o"/>
      <w:lvlJc w:val="left"/>
      <w:pPr>
        <w:ind w:left="2070" w:hanging="360"/>
      </w:pPr>
      <w:rPr>
        <w:rFonts w:ascii="Courier New" w:hAnsi="Courier New" w:cs="Courier New" w:hint="default"/>
      </w:rPr>
    </w:lvl>
    <w:lvl w:ilvl="2" w:tplc="04150005" w:tentative="1">
      <w:start w:val="1"/>
      <w:numFmt w:val="bullet"/>
      <w:lvlText w:val=""/>
      <w:lvlJc w:val="left"/>
      <w:pPr>
        <w:ind w:left="2790" w:hanging="360"/>
      </w:pPr>
      <w:rPr>
        <w:rFonts w:ascii="Wingdings" w:hAnsi="Wingdings" w:hint="default"/>
      </w:rPr>
    </w:lvl>
    <w:lvl w:ilvl="3" w:tplc="04150001" w:tentative="1">
      <w:start w:val="1"/>
      <w:numFmt w:val="bullet"/>
      <w:lvlText w:val=""/>
      <w:lvlJc w:val="left"/>
      <w:pPr>
        <w:ind w:left="3510" w:hanging="360"/>
      </w:pPr>
      <w:rPr>
        <w:rFonts w:ascii="Symbol" w:hAnsi="Symbol" w:hint="default"/>
      </w:rPr>
    </w:lvl>
    <w:lvl w:ilvl="4" w:tplc="04150003" w:tentative="1">
      <w:start w:val="1"/>
      <w:numFmt w:val="bullet"/>
      <w:lvlText w:val="o"/>
      <w:lvlJc w:val="left"/>
      <w:pPr>
        <w:ind w:left="4230" w:hanging="360"/>
      </w:pPr>
      <w:rPr>
        <w:rFonts w:ascii="Courier New" w:hAnsi="Courier New" w:cs="Courier New" w:hint="default"/>
      </w:rPr>
    </w:lvl>
    <w:lvl w:ilvl="5" w:tplc="04150005" w:tentative="1">
      <w:start w:val="1"/>
      <w:numFmt w:val="bullet"/>
      <w:lvlText w:val=""/>
      <w:lvlJc w:val="left"/>
      <w:pPr>
        <w:ind w:left="4950" w:hanging="360"/>
      </w:pPr>
      <w:rPr>
        <w:rFonts w:ascii="Wingdings" w:hAnsi="Wingdings" w:hint="default"/>
      </w:rPr>
    </w:lvl>
    <w:lvl w:ilvl="6" w:tplc="04150001" w:tentative="1">
      <w:start w:val="1"/>
      <w:numFmt w:val="bullet"/>
      <w:lvlText w:val=""/>
      <w:lvlJc w:val="left"/>
      <w:pPr>
        <w:ind w:left="5670" w:hanging="360"/>
      </w:pPr>
      <w:rPr>
        <w:rFonts w:ascii="Symbol" w:hAnsi="Symbol" w:hint="default"/>
      </w:rPr>
    </w:lvl>
    <w:lvl w:ilvl="7" w:tplc="04150003" w:tentative="1">
      <w:start w:val="1"/>
      <w:numFmt w:val="bullet"/>
      <w:lvlText w:val="o"/>
      <w:lvlJc w:val="left"/>
      <w:pPr>
        <w:ind w:left="6390" w:hanging="360"/>
      </w:pPr>
      <w:rPr>
        <w:rFonts w:ascii="Courier New" w:hAnsi="Courier New" w:cs="Courier New" w:hint="default"/>
      </w:rPr>
    </w:lvl>
    <w:lvl w:ilvl="8" w:tplc="04150005" w:tentative="1">
      <w:start w:val="1"/>
      <w:numFmt w:val="bullet"/>
      <w:lvlText w:val=""/>
      <w:lvlJc w:val="left"/>
      <w:pPr>
        <w:ind w:left="7110" w:hanging="360"/>
      </w:pPr>
      <w:rPr>
        <w:rFonts w:ascii="Wingdings" w:hAnsi="Wingdings" w:hint="default"/>
      </w:rPr>
    </w:lvl>
  </w:abstractNum>
  <w:abstractNum w:abstractNumId="345" w15:restartNumberingAfterBreak="0">
    <w:nsid w:val="7BFF49D3"/>
    <w:multiLevelType w:val="hybridMultilevel"/>
    <w:tmpl w:val="B17C6552"/>
    <w:lvl w:ilvl="0" w:tplc="3EAE0E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6" w15:restartNumberingAfterBreak="0">
    <w:nsid w:val="7C506589"/>
    <w:multiLevelType w:val="hybridMultilevel"/>
    <w:tmpl w:val="021E940C"/>
    <w:lvl w:ilvl="0" w:tplc="FB3CB1B4">
      <w:numFmt w:val="bullet"/>
      <w:lvlText w:val="•"/>
      <w:lvlJc w:val="left"/>
      <w:pPr>
        <w:ind w:left="720" w:hanging="360"/>
      </w:pPr>
      <w:rPr>
        <w:rFonts w:ascii="Times New Roman" w:eastAsiaTheme="minorHAnsi"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7" w15:restartNumberingAfterBreak="0">
    <w:nsid w:val="7C5A537E"/>
    <w:multiLevelType w:val="hybridMultilevel"/>
    <w:tmpl w:val="AA6688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8" w15:restartNumberingAfterBreak="0">
    <w:nsid w:val="7CC43975"/>
    <w:multiLevelType w:val="hybridMultilevel"/>
    <w:tmpl w:val="7D9C3C90"/>
    <w:lvl w:ilvl="0" w:tplc="04150001">
      <w:start w:val="1"/>
      <w:numFmt w:val="bullet"/>
      <w:lvlText w:val=""/>
      <w:lvlJc w:val="left"/>
      <w:pPr>
        <w:ind w:left="720" w:hanging="360"/>
      </w:pPr>
      <w:rPr>
        <w:rFonts w:ascii="Symbol" w:hAnsi="Symbol" w:hint="default"/>
      </w:rPr>
    </w:lvl>
    <w:lvl w:ilvl="1" w:tplc="8B5EF508">
      <w:start w:val="1"/>
      <w:numFmt w:val="bullet"/>
      <w:lvlText w:val=""/>
      <w:lvlJc w:val="left"/>
      <w:pPr>
        <w:ind w:left="1440" w:hanging="360"/>
      </w:pPr>
      <w:rPr>
        <w:rFonts w:ascii="Symbol" w:hAnsi="Symbol"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49" w15:restartNumberingAfterBreak="0">
    <w:nsid w:val="7CCF6F89"/>
    <w:multiLevelType w:val="hybridMultilevel"/>
    <w:tmpl w:val="4A32C3A2"/>
    <w:lvl w:ilvl="0" w:tplc="C44E9DE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0" w15:restartNumberingAfterBreak="0">
    <w:nsid w:val="7E3F0295"/>
    <w:multiLevelType w:val="hybridMultilevel"/>
    <w:tmpl w:val="88382F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1" w15:restartNumberingAfterBreak="0">
    <w:nsid w:val="7EDA3783"/>
    <w:multiLevelType w:val="multilevel"/>
    <w:tmpl w:val="D16481C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2" w15:restartNumberingAfterBreak="0">
    <w:nsid w:val="7F4265F7"/>
    <w:multiLevelType w:val="multilevel"/>
    <w:tmpl w:val="F6A010FC"/>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3" w15:restartNumberingAfterBreak="0">
    <w:nsid w:val="7FD6198E"/>
    <w:multiLevelType w:val="hybridMultilevel"/>
    <w:tmpl w:val="1FC8AF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314"/>
  </w:num>
  <w:num w:numId="2">
    <w:abstractNumId w:val="9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9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56"/>
  </w:num>
  <w:num w:numId="6">
    <w:abstractNumId w:val="331"/>
  </w:num>
  <w:num w:numId="7">
    <w:abstractNumId w:val="102"/>
  </w:num>
  <w:num w:numId="8">
    <w:abstractNumId w:val="96"/>
  </w:num>
  <w:num w:numId="9">
    <w:abstractNumId w:val="161"/>
  </w:num>
  <w:num w:numId="10">
    <w:abstractNumId w:val="196"/>
  </w:num>
  <w:num w:numId="11">
    <w:abstractNumId w:val="213"/>
  </w:num>
  <w:num w:numId="12">
    <w:abstractNumId w:val="339"/>
  </w:num>
  <w:num w:numId="13">
    <w:abstractNumId w:val="319"/>
  </w:num>
  <w:num w:numId="14">
    <w:abstractNumId w:val="218"/>
  </w:num>
  <w:num w:numId="15">
    <w:abstractNumId w:val="8"/>
  </w:num>
  <w:num w:numId="16">
    <w:abstractNumId w:val="217"/>
  </w:num>
  <w:num w:numId="17">
    <w:abstractNumId w:val="301"/>
  </w:num>
  <w:num w:numId="18">
    <w:abstractNumId w:val="29"/>
  </w:num>
  <w:num w:numId="19">
    <w:abstractNumId w:val="180"/>
  </w:num>
  <w:num w:numId="20">
    <w:abstractNumId w:val="4"/>
  </w:num>
  <w:num w:numId="21">
    <w:abstractNumId w:val="352"/>
  </w:num>
  <w:num w:numId="22">
    <w:abstractNumId w:val="62"/>
  </w:num>
  <w:num w:numId="23">
    <w:abstractNumId w:val="2"/>
  </w:num>
  <w:num w:numId="24">
    <w:abstractNumId w:val="5"/>
  </w:num>
  <w:num w:numId="25">
    <w:abstractNumId w:val="6"/>
  </w:num>
  <w:num w:numId="26">
    <w:abstractNumId w:val="139"/>
  </w:num>
  <w:num w:numId="27">
    <w:abstractNumId w:val="268"/>
  </w:num>
  <w:num w:numId="28">
    <w:abstractNumId w:val="7"/>
  </w:num>
  <w:num w:numId="29">
    <w:abstractNumId w:val="337"/>
  </w:num>
  <w:num w:numId="30">
    <w:abstractNumId w:val="281"/>
  </w:num>
  <w:num w:numId="31">
    <w:abstractNumId w:val="114"/>
  </w:num>
  <w:num w:numId="32">
    <w:abstractNumId w:val="237"/>
  </w:num>
  <w:num w:numId="33">
    <w:abstractNumId w:val="193"/>
  </w:num>
  <w:num w:numId="34">
    <w:abstractNumId w:val="0"/>
  </w:num>
  <w:num w:numId="35">
    <w:abstractNumId w:val="1"/>
  </w:num>
  <w:num w:numId="36">
    <w:abstractNumId w:val="169"/>
  </w:num>
  <w:num w:numId="37">
    <w:abstractNumId w:val="176"/>
  </w:num>
  <w:num w:numId="38">
    <w:abstractNumId w:val="353"/>
  </w:num>
  <w:num w:numId="39">
    <w:abstractNumId w:val="83"/>
  </w:num>
  <w:num w:numId="40">
    <w:abstractNumId w:val="247"/>
  </w:num>
  <w:num w:numId="41">
    <w:abstractNumId w:val="351"/>
  </w:num>
  <w:num w:numId="42">
    <w:abstractNumId w:val="252"/>
  </w:num>
  <w:num w:numId="43">
    <w:abstractNumId w:val="141"/>
  </w:num>
  <w:num w:numId="44">
    <w:abstractNumId w:val="342"/>
  </w:num>
  <w:num w:numId="45">
    <w:abstractNumId w:val="209"/>
  </w:num>
  <w:num w:numId="46">
    <w:abstractNumId w:val="263"/>
  </w:num>
  <w:num w:numId="47">
    <w:abstractNumId w:val="142"/>
  </w:num>
  <w:num w:numId="48">
    <w:abstractNumId w:val="235"/>
  </w:num>
  <w:num w:numId="49">
    <w:abstractNumId w:val="202"/>
  </w:num>
  <w:num w:numId="50">
    <w:abstractNumId w:val="144"/>
  </w:num>
  <w:num w:numId="51">
    <w:abstractNumId w:val="223"/>
  </w:num>
  <w:num w:numId="52">
    <w:abstractNumId w:val="66"/>
  </w:num>
  <w:num w:numId="53">
    <w:abstractNumId w:val="25"/>
  </w:num>
  <w:num w:numId="54">
    <w:abstractNumId w:val="182"/>
  </w:num>
  <w:num w:numId="55">
    <w:abstractNumId w:val="127"/>
  </w:num>
  <w:num w:numId="56">
    <w:abstractNumId w:val="34"/>
  </w:num>
  <w:num w:numId="57">
    <w:abstractNumId w:val="215"/>
  </w:num>
  <w:num w:numId="58">
    <w:abstractNumId w:val="23"/>
  </w:num>
  <w:num w:numId="59">
    <w:abstractNumId w:val="101"/>
  </w:num>
  <w:num w:numId="60">
    <w:abstractNumId w:val="229"/>
  </w:num>
  <w:num w:numId="61">
    <w:abstractNumId w:val="130"/>
  </w:num>
  <w:num w:numId="62">
    <w:abstractNumId w:val="320"/>
  </w:num>
  <w:num w:numId="63">
    <w:abstractNumId w:val="155"/>
  </w:num>
  <w:num w:numId="64">
    <w:abstractNumId w:val="347"/>
  </w:num>
  <w:num w:numId="65">
    <w:abstractNumId w:val="52"/>
  </w:num>
  <w:num w:numId="66">
    <w:abstractNumId w:val="315"/>
  </w:num>
  <w:num w:numId="67">
    <w:abstractNumId w:val="63"/>
  </w:num>
  <w:num w:numId="68">
    <w:abstractNumId w:val="294"/>
  </w:num>
  <w:num w:numId="69">
    <w:abstractNumId w:val="37"/>
  </w:num>
  <w:num w:numId="70">
    <w:abstractNumId w:val="16"/>
  </w:num>
  <w:num w:numId="71">
    <w:abstractNumId w:val="74"/>
  </w:num>
  <w:num w:numId="72">
    <w:abstractNumId w:val="312"/>
  </w:num>
  <w:num w:numId="73">
    <w:abstractNumId w:val="191"/>
  </w:num>
  <w:num w:numId="74">
    <w:abstractNumId w:val="116"/>
  </w:num>
  <w:num w:numId="75">
    <w:abstractNumId w:val="198"/>
  </w:num>
  <w:num w:numId="76">
    <w:abstractNumId w:val="20"/>
  </w:num>
  <w:num w:numId="77">
    <w:abstractNumId w:val="121"/>
  </w:num>
  <w:num w:numId="78">
    <w:abstractNumId w:val="156"/>
  </w:num>
  <w:num w:numId="79">
    <w:abstractNumId w:val="73"/>
  </w:num>
  <w:num w:numId="80">
    <w:abstractNumId w:val="111"/>
  </w:num>
  <w:num w:numId="81">
    <w:abstractNumId w:val="255"/>
  </w:num>
  <w:num w:numId="82">
    <w:abstractNumId w:val="183"/>
  </w:num>
  <w:num w:numId="83">
    <w:abstractNumId w:val="126"/>
  </w:num>
  <w:num w:numId="84">
    <w:abstractNumId w:val="234"/>
  </w:num>
  <w:num w:numId="85">
    <w:abstractNumId w:val="290"/>
  </w:num>
  <w:num w:numId="86">
    <w:abstractNumId w:val="296"/>
  </w:num>
  <w:num w:numId="87">
    <w:abstractNumId w:val="44"/>
  </w:num>
  <w:num w:numId="88">
    <w:abstractNumId w:val="327"/>
  </w:num>
  <w:num w:numId="89">
    <w:abstractNumId w:val="131"/>
  </w:num>
  <w:num w:numId="90">
    <w:abstractNumId w:val="12"/>
  </w:num>
  <w:num w:numId="91">
    <w:abstractNumId w:val="332"/>
  </w:num>
  <w:num w:numId="92">
    <w:abstractNumId w:val="330"/>
  </w:num>
  <w:num w:numId="93">
    <w:abstractNumId w:val="152"/>
  </w:num>
  <w:num w:numId="94">
    <w:abstractNumId w:val="311"/>
  </w:num>
  <w:num w:numId="95">
    <w:abstractNumId w:val="148"/>
  </w:num>
  <w:num w:numId="96">
    <w:abstractNumId w:val="19"/>
  </w:num>
  <w:num w:numId="97">
    <w:abstractNumId w:val="153"/>
  </w:num>
  <w:num w:numId="98">
    <w:abstractNumId w:val="282"/>
  </w:num>
  <w:num w:numId="99">
    <w:abstractNumId w:val="43"/>
  </w:num>
  <w:num w:numId="100">
    <w:abstractNumId w:val="189"/>
  </w:num>
  <w:num w:numId="101">
    <w:abstractNumId w:val="200"/>
  </w:num>
  <w:num w:numId="102">
    <w:abstractNumId w:val="137"/>
  </w:num>
  <w:num w:numId="103">
    <w:abstractNumId w:val="87"/>
  </w:num>
  <w:num w:numId="104">
    <w:abstractNumId w:val="145"/>
  </w:num>
  <w:num w:numId="105">
    <w:abstractNumId w:val="340"/>
  </w:num>
  <w:num w:numId="106">
    <w:abstractNumId w:val="253"/>
  </w:num>
  <w:num w:numId="107">
    <w:abstractNumId w:val="188"/>
  </w:num>
  <w:num w:numId="108">
    <w:abstractNumId w:val="76"/>
  </w:num>
  <w:num w:numId="109">
    <w:abstractNumId w:val="316"/>
  </w:num>
  <w:num w:numId="110">
    <w:abstractNumId w:val="283"/>
  </w:num>
  <w:num w:numId="111">
    <w:abstractNumId w:val="284"/>
  </w:num>
  <w:num w:numId="112">
    <w:abstractNumId w:val="22"/>
  </w:num>
  <w:num w:numId="113">
    <w:abstractNumId w:val="310"/>
  </w:num>
  <w:num w:numId="114">
    <w:abstractNumId w:val="105"/>
  </w:num>
  <w:num w:numId="115">
    <w:abstractNumId w:val="67"/>
  </w:num>
  <w:num w:numId="116">
    <w:abstractNumId w:val="143"/>
  </w:num>
  <w:num w:numId="117">
    <w:abstractNumId w:val="220"/>
  </w:num>
  <w:num w:numId="118">
    <w:abstractNumId w:val="204"/>
  </w:num>
  <w:num w:numId="119">
    <w:abstractNumId w:val="173"/>
  </w:num>
  <w:num w:numId="120">
    <w:abstractNumId w:val="328"/>
  </w:num>
  <w:num w:numId="121">
    <w:abstractNumId w:val="344"/>
  </w:num>
  <w:num w:numId="122">
    <w:abstractNumId w:val="250"/>
  </w:num>
  <w:num w:numId="123">
    <w:abstractNumId w:val="246"/>
  </w:num>
  <w:num w:numId="124">
    <w:abstractNumId w:val="277"/>
  </w:num>
  <w:num w:numId="125">
    <w:abstractNumId w:val="51"/>
  </w:num>
  <w:num w:numId="126">
    <w:abstractNumId w:val="333"/>
  </w:num>
  <w:num w:numId="127">
    <w:abstractNumId w:val="159"/>
  </w:num>
  <w:num w:numId="128">
    <w:abstractNumId w:val="245"/>
  </w:num>
  <w:num w:numId="129">
    <w:abstractNumId w:val="321"/>
  </w:num>
  <w:num w:numId="130">
    <w:abstractNumId w:val="197"/>
  </w:num>
  <w:num w:numId="131">
    <w:abstractNumId w:val="53"/>
  </w:num>
  <w:num w:numId="132">
    <w:abstractNumId w:val="317"/>
  </w:num>
  <w:num w:numId="133">
    <w:abstractNumId w:val="88"/>
  </w:num>
  <w:num w:numId="134">
    <w:abstractNumId w:val="164"/>
  </w:num>
  <w:num w:numId="135">
    <w:abstractNumId w:val="266"/>
  </w:num>
  <w:num w:numId="136">
    <w:abstractNumId w:val="147"/>
  </w:num>
  <w:num w:numId="137">
    <w:abstractNumId w:val="80"/>
  </w:num>
  <w:num w:numId="138">
    <w:abstractNumId w:val="85"/>
  </w:num>
  <w:num w:numId="139">
    <w:abstractNumId w:val="280"/>
  </w:num>
  <w:num w:numId="140">
    <w:abstractNumId w:val="60"/>
  </w:num>
  <w:num w:numId="141">
    <w:abstractNumId w:val="15"/>
  </w:num>
  <w:num w:numId="142">
    <w:abstractNumId w:val="236"/>
  </w:num>
  <w:num w:numId="143">
    <w:abstractNumId w:val="149"/>
  </w:num>
  <w:num w:numId="144">
    <w:abstractNumId w:val="171"/>
  </w:num>
  <w:num w:numId="145">
    <w:abstractNumId w:val="230"/>
  </w:num>
  <w:num w:numId="146">
    <w:abstractNumId w:val="199"/>
  </w:num>
  <w:num w:numId="147">
    <w:abstractNumId w:val="13"/>
  </w:num>
  <w:num w:numId="148">
    <w:abstractNumId w:val="14"/>
  </w:num>
  <w:num w:numId="149">
    <w:abstractNumId w:val="86"/>
  </w:num>
  <w:num w:numId="150">
    <w:abstractNumId w:val="349"/>
  </w:num>
  <w:num w:numId="151">
    <w:abstractNumId w:val="249"/>
  </w:num>
  <w:num w:numId="152">
    <w:abstractNumId w:val="172"/>
  </w:num>
  <w:num w:numId="153">
    <w:abstractNumId w:val="323"/>
  </w:num>
  <w:num w:numId="154">
    <w:abstractNumId w:val="288"/>
  </w:num>
  <w:num w:numId="155">
    <w:abstractNumId w:val="295"/>
  </w:num>
  <w:num w:numId="156">
    <w:abstractNumId w:val="305"/>
  </w:num>
  <w:num w:numId="157">
    <w:abstractNumId w:val="168"/>
  </w:num>
  <w:num w:numId="158">
    <w:abstractNumId w:val="274"/>
  </w:num>
  <w:num w:numId="159">
    <w:abstractNumId w:val="308"/>
  </w:num>
  <w:num w:numId="160">
    <w:abstractNumId w:val="184"/>
  </w:num>
  <w:num w:numId="161">
    <w:abstractNumId w:val="21"/>
  </w:num>
  <w:num w:numId="162">
    <w:abstractNumId w:val="343"/>
  </w:num>
  <w:num w:numId="163">
    <w:abstractNumId w:val="324"/>
  </w:num>
  <w:num w:numId="164">
    <w:abstractNumId w:val="302"/>
  </w:num>
  <w:num w:numId="165">
    <w:abstractNumId w:val="346"/>
  </w:num>
  <w:num w:numId="166">
    <w:abstractNumId w:val="338"/>
  </w:num>
  <w:num w:numId="167">
    <w:abstractNumId w:val="118"/>
  </w:num>
  <w:num w:numId="168">
    <w:abstractNumId w:val="232"/>
  </w:num>
  <w:num w:numId="169">
    <w:abstractNumId w:val="318"/>
  </w:num>
  <w:num w:numId="170">
    <w:abstractNumId w:val="329"/>
    <w:lvlOverride w:ilvl="0">
      <w:startOverride w:val="1"/>
    </w:lvlOverride>
    <w:lvlOverride w:ilvl="1"/>
    <w:lvlOverride w:ilvl="2"/>
    <w:lvlOverride w:ilvl="3"/>
    <w:lvlOverride w:ilvl="4"/>
    <w:lvlOverride w:ilvl="5"/>
    <w:lvlOverride w:ilvl="6"/>
    <w:lvlOverride w:ilvl="7"/>
    <w:lvlOverride w:ilvl="8"/>
  </w:num>
  <w:num w:numId="171">
    <w:abstractNumId w:val="154"/>
  </w:num>
  <w:num w:numId="172">
    <w:abstractNumId w:val="38"/>
  </w:num>
  <w:num w:numId="173">
    <w:abstractNumId w:val="75"/>
  </w:num>
  <w:num w:numId="174">
    <w:abstractNumId w:val="122"/>
  </w:num>
  <w:num w:numId="175">
    <w:abstractNumId w:val="17"/>
  </w:num>
  <w:num w:numId="176">
    <w:abstractNumId w:val="186"/>
  </w:num>
  <w:num w:numId="177">
    <w:abstractNumId w:val="298"/>
  </w:num>
  <w:num w:numId="178">
    <w:abstractNumId w:val="146"/>
  </w:num>
  <w:num w:numId="179">
    <w:abstractNumId w:val="55"/>
  </w:num>
  <w:num w:numId="180">
    <w:abstractNumId w:val="107"/>
  </w:num>
  <w:num w:numId="181">
    <w:abstractNumId w:val="207"/>
  </w:num>
  <w:num w:numId="182">
    <w:abstractNumId w:val="84"/>
  </w:num>
  <w:num w:numId="183">
    <w:abstractNumId w:val="133"/>
  </w:num>
  <w:num w:numId="184">
    <w:abstractNumId w:val="195"/>
  </w:num>
  <w:num w:numId="185">
    <w:abstractNumId w:val="179"/>
  </w:num>
  <w:num w:numId="186">
    <w:abstractNumId w:val="275"/>
  </w:num>
  <w:num w:numId="187">
    <w:abstractNumId w:val="115"/>
  </w:num>
  <w:num w:numId="188">
    <w:abstractNumId w:val="98"/>
  </w:num>
  <w:num w:numId="189">
    <w:abstractNumId w:val="273"/>
  </w:num>
  <w:num w:numId="190">
    <w:abstractNumId w:val="95"/>
  </w:num>
  <w:num w:numId="191">
    <w:abstractNumId w:val="59"/>
  </w:num>
  <w:num w:numId="192">
    <w:abstractNumId w:val="225"/>
  </w:num>
  <w:num w:numId="193">
    <w:abstractNumId w:val="48"/>
  </w:num>
  <w:num w:numId="194">
    <w:abstractNumId w:val="90"/>
  </w:num>
  <w:num w:numId="195">
    <w:abstractNumId w:val="313"/>
  </w:num>
  <w:num w:numId="196">
    <w:abstractNumId w:val="42"/>
  </w:num>
  <w:num w:numId="197">
    <w:abstractNumId w:val="32"/>
  </w:num>
  <w:num w:numId="198">
    <w:abstractNumId w:val="269"/>
  </w:num>
  <w:num w:numId="199">
    <w:abstractNumId w:val="134"/>
  </w:num>
  <w:num w:numId="200">
    <w:abstractNumId w:val="82"/>
  </w:num>
  <w:num w:numId="201">
    <w:abstractNumId w:val="279"/>
  </w:num>
  <w:num w:numId="202">
    <w:abstractNumId w:val="10"/>
  </w:num>
  <w:num w:numId="203">
    <w:abstractNumId w:val="203"/>
  </w:num>
  <w:num w:numId="204">
    <w:abstractNumId w:val="163"/>
  </w:num>
  <w:num w:numId="205">
    <w:abstractNumId w:val="151"/>
  </w:num>
  <w:num w:numId="206">
    <w:abstractNumId w:val="227"/>
  </w:num>
  <w:num w:numId="207">
    <w:abstractNumId w:val="272"/>
  </w:num>
  <w:num w:numId="208">
    <w:abstractNumId w:val="208"/>
  </w:num>
  <w:num w:numId="209">
    <w:abstractNumId w:val="61"/>
  </w:num>
  <w:num w:numId="210">
    <w:abstractNumId w:val="287"/>
  </w:num>
  <w:num w:numId="211">
    <w:abstractNumId w:val="68"/>
  </w:num>
  <w:num w:numId="212">
    <w:abstractNumId w:val="40"/>
  </w:num>
  <w:num w:numId="213">
    <w:abstractNumId w:val="175"/>
  </w:num>
  <w:num w:numId="214">
    <w:abstractNumId w:val="334"/>
  </w:num>
  <w:num w:numId="215">
    <w:abstractNumId w:val="241"/>
  </w:num>
  <w:num w:numId="216">
    <w:abstractNumId w:val="72"/>
  </w:num>
  <w:num w:numId="217">
    <w:abstractNumId w:val="181"/>
  </w:num>
  <w:num w:numId="218">
    <w:abstractNumId w:val="267"/>
  </w:num>
  <w:num w:numId="219">
    <w:abstractNumId w:val="56"/>
  </w:num>
  <w:num w:numId="220">
    <w:abstractNumId w:val="123"/>
  </w:num>
  <w:num w:numId="221">
    <w:abstractNumId w:val="110"/>
  </w:num>
  <w:num w:numId="222">
    <w:abstractNumId w:val="77"/>
  </w:num>
  <w:num w:numId="223">
    <w:abstractNumId w:val="291"/>
  </w:num>
  <w:num w:numId="224">
    <w:abstractNumId w:val="135"/>
  </w:num>
  <w:num w:numId="225">
    <w:abstractNumId w:val="106"/>
  </w:num>
  <w:num w:numId="226">
    <w:abstractNumId w:val="300"/>
  </w:num>
  <w:num w:numId="227">
    <w:abstractNumId w:val="119"/>
  </w:num>
  <w:num w:numId="228">
    <w:abstractNumId w:val="276"/>
  </w:num>
  <w:num w:numId="229">
    <w:abstractNumId w:val="70"/>
  </w:num>
  <w:num w:numId="230">
    <w:abstractNumId w:val="248"/>
  </w:num>
  <w:num w:numId="231">
    <w:abstractNumId w:val="129"/>
  </w:num>
  <w:num w:numId="232">
    <w:abstractNumId w:val="31"/>
  </w:num>
  <w:num w:numId="233">
    <w:abstractNumId w:val="160"/>
  </w:num>
  <w:num w:numId="234">
    <w:abstractNumId w:val="185"/>
  </w:num>
  <w:num w:numId="235">
    <w:abstractNumId w:val="214"/>
  </w:num>
  <w:num w:numId="236">
    <w:abstractNumId w:val="91"/>
  </w:num>
  <w:num w:numId="237">
    <w:abstractNumId w:val="233"/>
  </w:num>
  <w:num w:numId="238">
    <w:abstractNumId w:val="24"/>
  </w:num>
  <w:num w:numId="239">
    <w:abstractNumId w:val="224"/>
  </w:num>
  <w:num w:numId="240">
    <w:abstractNumId w:val="162"/>
  </w:num>
  <w:num w:numId="241">
    <w:abstractNumId w:val="345"/>
  </w:num>
  <w:num w:numId="242">
    <w:abstractNumId w:val="39"/>
  </w:num>
  <w:num w:numId="243">
    <w:abstractNumId w:val="254"/>
  </w:num>
  <w:num w:numId="244">
    <w:abstractNumId w:val="47"/>
  </w:num>
  <w:num w:numId="245">
    <w:abstractNumId w:val="258"/>
  </w:num>
  <w:num w:numId="246">
    <w:abstractNumId w:val="350"/>
  </w:num>
  <w:num w:numId="247">
    <w:abstractNumId w:val="50"/>
  </w:num>
  <w:num w:numId="248">
    <w:abstractNumId w:val="58"/>
  </w:num>
  <w:num w:numId="249">
    <w:abstractNumId w:val="322"/>
  </w:num>
  <w:num w:numId="250">
    <w:abstractNumId w:val="81"/>
  </w:num>
  <w:num w:numId="251">
    <w:abstractNumId w:val="49"/>
  </w:num>
  <w:num w:numId="252">
    <w:abstractNumId w:val="128"/>
  </w:num>
  <w:num w:numId="253">
    <w:abstractNumId w:val="194"/>
  </w:num>
  <w:num w:numId="254">
    <w:abstractNumId w:val="270"/>
  </w:num>
  <w:num w:numId="255">
    <w:abstractNumId w:val="2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6">
    <w:abstractNumId w:val="309"/>
  </w:num>
  <w:num w:numId="257">
    <w:abstractNumId w:val="239"/>
  </w:num>
  <w:num w:numId="258">
    <w:abstractNumId w:val="109"/>
  </w:num>
  <w:num w:numId="259">
    <w:abstractNumId w:val="138"/>
  </w:num>
  <w:num w:numId="260">
    <w:abstractNumId w:val="341"/>
  </w:num>
  <w:num w:numId="261">
    <w:abstractNumId w:val="120"/>
  </w:num>
  <w:num w:numId="262">
    <w:abstractNumId w:val="336"/>
  </w:num>
  <w:num w:numId="263">
    <w:abstractNumId w:val="113"/>
  </w:num>
  <w:num w:numId="264">
    <w:abstractNumId w:val="30"/>
  </w:num>
  <w:num w:numId="265">
    <w:abstractNumId w:val="240"/>
  </w:num>
  <w:num w:numId="266">
    <w:abstractNumId w:val="271"/>
  </w:num>
  <w:num w:numId="267">
    <w:abstractNumId w:val="285"/>
  </w:num>
  <w:num w:numId="268">
    <w:abstractNumId w:val="244"/>
  </w:num>
  <w:num w:numId="269">
    <w:abstractNumId w:val="257"/>
  </w:num>
  <w:num w:numId="270">
    <w:abstractNumId w:val="289"/>
  </w:num>
  <w:num w:numId="271">
    <w:abstractNumId w:val="1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2">
    <w:abstractNumId w:val="205"/>
  </w:num>
  <w:num w:numId="273">
    <w:abstractNumId w:val="192"/>
  </w:num>
  <w:num w:numId="274">
    <w:abstractNumId w:val="222"/>
  </w:num>
  <w:num w:numId="275">
    <w:abstractNumId w:val="187"/>
  </w:num>
  <w:num w:numId="276">
    <w:abstractNumId w:val="178"/>
  </w:num>
  <w:num w:numId="277">
    <w:abstractNumId w:val="69"/>
  </w:num>
  <w:num w:numId="278">
    <w:abstractNumId w:val="165"/>
  </w:num>
  <w:num w:numId="279">
    <w:abstractNumId w:val="303"/>
  </w:num>
  <w:num w:numId="280">
    <w:abstractNumId w:val="79"/>
  </w:num>
  <w:num w:numId="281">
    <w:abstractNumId w:val="325"/>
  </w:num>
  <w:num w:numId="282">
    <w:abstractNumId w:val="78"/>
  </w:num>
  <w:num w:numId="283">
    <w:abstractNumId w:val="124"/>
  </w:num>
  <w:num w:numId="284">
    <w:abstractNumId w:val="174"/>
  </w:num>
  <w:num w:numId="285">
    <w:abstractNumId w:val="140"/>
  </w:num>
  <w:num w:numId="286">
    <w:abstractNumId w:val="150"/>
  </w:num>
  <w:num w:numId="287">
    <w:abstractNumId w:val="201"/>
  </w:num>
  <w:num w:numId="288">
    <w:abstractNumId w:val="219"/>
  </w:num>
  <w:num w:numId="289">
    <w:abstractNumId w:val="166"/>
  </w:num>
  <w:num w:numId="290">
    <w:abstractNumId w:val="221"/>
  </w:num>
  <w:num w:numId="291">
    <w:abstractNumId w:val="157"/>
  </w:num>
  <w:num w:numId="292">
    <w:abstractNumId w:val="297"/>
  </w:num>
  <w:num w:numId="293">
    <w:abstractNumId w:val="33"/>
  </w:num>
  <w:num w:numId="294">
    <w:abstractNumId w:val="278"/>
  </w:num>
  <w:num w:numId="295">
    <w:abstractNumId w:val="54"/>
  </w:num>
  <w:num w:numId="296">
    <w:abstractNumId w:val="211"/>
  </w:num>
  <w:num w:numId="297">
    <w:abstractNumId w:val="125"/>
  </w:num>
  <w:num w:numId="298">
    <w:abstractNumId w:val="97"/>
  </w:num>
  <w:num w:numId="299">
    <w:abstractNumId w:val="35"/>
  </w:num>
  <w:num w:numId="300">
    <w:abstractNumId w:val="27"/>
  </w:num>
  <w:num w:numId="301">
    <w:abstractNumId w:val="265"/>
  </w:num>
  <w:num w:numId="302">
    <w:abstractNumId w:val="26"/>
  </w:num>
  <w:num w:numId="303">
    <w:abstractNumId w:val="262"/>
  </w:num>
  <w:num w:numId="304">
    <w:abstractNumId w:val="117"/>
  </w:num>
  <w:num w:numId="305">
    <w:abstractNumId w:val="108"/>
  </w:num>
  <w:num w:numId="306">
    <w:abstractNumId w:val="36"/>
  </w:num>
  <w:num w:numId="307">
    <w:abstractNumId w:val="304"/>
  </w:num>
  <w:num w:numId="308">
    <w:abstractNumId w:val="64"/>
  </w:num>
  <w:num w:numId="309">
    <w:abstractNumId w:val="260"/>
  </w:num>
  <w:num w:numId="310">
    <w:abstractNumId w:val="100"/>
  </w:num>
  <w:num w:numId="311">
    <w:abstractNumId w:val="103"/>
  </w:num>
  <w:num w:numId="312">
    <w:abstractNumId w:val="228"/>
  </w:num>
  <w:num w:numId="313">
    <w:abstractNumId w:val="177"/>
  </w:num>
  <w:num w:numId="314">
    <w:abstractNumId w:val="226"/>
  </w:num>
  <w:num w:numId="315">
    <w:abstractNumId w:val="210"/>
  </w:num>
  <w:num w:numId="316">
    <w:abstractNumId w:val="45"/>
  </w:num>
  <w:num w:numId="317">
    <w:abstractNumId w:val="231"/>
  </w:num>
  <w:num w:numId="318">
    <w:abstractNumId w:val="46"/>
  </w:num>
  <w:num w:numId="319">
    <w:abstractNumId w:val="306"/>
  </w:num>
  <w:num w:numId="320">
    <w:abstractNumId w:val="89"/>
  </w:num>
  <w:num w:numId="321">
    <w:abstractNumId w:val="264"/>
  </w:num>
  <w:num w:numId="322">
    <w:abstractNumId w:val="28"/>
  </w:num>
  <w:num w:numId="323">
    <w:abstractNumId w:val="167"/>
  </w:num>
  <w:num w:numId="324">
    <w:abstractNumId w:val="57"/>
  </w:num>
  <w:num w:numId="325">
    <w:abstractNumId w:val="99"/>
  </w:num>
  <w:num w:numId="326">
    <w:abstractNumId w:val="348"/>
  </w:num>
  <w:num w:numId="327">
    <w:abstractNumId w:val="286"/>
  </w:num>
  <w:num w:numId="328">
    <w:abstractNumId w:val="1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9">
    <w:abstractNumId w:val="170"/>
  </w:num>
  <w:num w:numId="330">
    <w:abstractNumId w:val="259"/>
  </w:num>
  <w:num w:numId="331">
    <w:abstractNumId w:val="216"/>
  </w:num>
  <w:num w:numId="332">
    <w:abstractNumId w:val="18"/>
  </w:num>
  <w:num w:numId="333">
    <w:abstractNumId w:val="261"/>
  </w:num>
  <w:num w:numId="334">
    <w:abstractNumId w:val="2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5">
    <w:abstractNumId w:val="71"/>
  </w:num>
  <w:num w:numId="336">
    <w:abstractNumId w:val="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7">
    <w:abstractNumId w:val="94"/>
  </w:num>
  <w:num w:numId="338">
    <w:abstractNumId w:val="2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9">
    <w:abstractNumId w:val="243"/>
  </w:num>
  <w:num w:numId="340">
    <w:abstractNumId w:val="158"/>
  </w:num>
  <w:num w:numId="341">
    <w:abstractNumId w:val="335"/>
  </w:num>
  <w:num w:numId="342">
    <w:abstractNumId w:val="293"/>
  </w:num>
  <w:num w:numId="343">
    <w:abstractNumId w:val="104"/>
  </w:num>
  <w:num w:numId="344">
    <w:abstractNumId w:val="251"/>
  </w:num>
  <w:num w:numId="345">
    <w:abstractNumId w:val="65"/>
  </w:num>
  <w:num w:numId="346">
    <w:abstractNumId w:val="132"/>
  </w:num>
  <w:num w:numId="347">
    <w:abstractNumId w:val="242"/>
  </w:num>
  <w:num w:numId="348">
    <w:abstractNumId w:val="41"/>
  </w:num>
  <w:num w:numId="349">
    <w:abstractNumId w:val="206"/>
  </w:num>
  <w:num w:numId="350">
    <w:abstractNumId w:val="307"/>
  </w:num>
  <w:num w:numId="351">
    <w:abstractNumId w:val="326"/>
  </w:num>
  <w:num w:numId="352">
    <w:abstractNumId w:val="9"/>
  </w:num>
  <w:num w:numId="353">
    <w:abstractNumId w:val="299"/>
  </w:num>
  <w:num w:numId="354">
    <w:abstractNumId w:val="136"/>
  </w:num>
  <w:numIdMacAtCleanup w:val="3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1C5F"/>
    <w:rsid w:val="00002EEF"/>
    <w:rsid w:val="000057EE"/>
    <w:rsid w:val="000058C0"/>
    <w:rsid w:val="00006618"/>
    <w:rsid w:val="00006E3C"/>
    <w:rsid w:val="00010356"/>
    <w:rsid w:val="0001141B"/>
    <w:rsid w:val="000120C8"/>
    <w:rsid w:val="0001214D"/>
    <w:rsid w:val="000121B3"/>
    <w:rsid w:val="000131C6"/>
    <w:rsid w:val="00014AF6"/>
    <w:rsid w:val="000157EC"/>
    <w:rsid w:val="00022208"/>
    <w:rsid w:val="00025B84"/>
    <w:rsid w:val="00025FDA"/>
    <w:rsid w:val="00026250"/>
    <w:rsid w:val="00026550"/>
    <w:rsid w:val="000265EB"/>
    <w:rsid w:val="0002731D"/>
    <w:rsid w:val="0003077C"/>
    <w:rsid w:val="00031938"/>
    <w:rsid w:val="00034701"/>
    <w:rsid w:val="00036018"/>
    <w:rsid w:val="000362DA"/>
    <w:rsid w:val="000423C5"/>
    <w:rsid w:val="0004284F"/>
    <w:rsid w:val="00042E0D"/>
    <w:rsid w:val="00043218"/>
    <w:rsid w:val="000454EF"/>
    <w:rsid w:val="00047E87"/>
    <w:rsid w:val="00050227"/>
    <w:rsid w:val="00054ADF"/>
    <w:rsid w:val="00055615"/>
    <w:rsid w:val="000559F3"/>
    <w:rsid w:val="00056EE7"/>
    <w:rsid w:val="000579EA"/>
    <w:rsid w:val="00066880"/>
    <w:rsid w:val="0006742A"/>
    <w:rsid w:val="00070053"/>
    <w:rsid w:val="0007172D"/>
    <w:rsid w:val="00071F16"/>
    <w:rsid w:val="0007298E"/>
    <w:rsid w:val="00072AE9"/>
    <w:rsid w:val="00073732"/>
    <w:rsid w:val="000741E0"/>
    <w:rsid w:val="0007436A"/>
    <w:rsid w:val="00080275"/>
    <w:rsid w:val="00080EE4"/>
    <w:rsid w:val="000820F0"/>
    <w:rsid w:val="0008448A"/>
    <w:rsid w:val="00084C1C"/>
    <w:rsid w:val="000850CD"/>
    <w:rsid w:val="0008613F"/>
    <w:rsid w:val="000877D2"/>
    <w:rsid w:val="000902C5"/>
    <w:rsid w:val="000918E6"/>
    <w:rsid w:val="00091E78"/>
    <w:rsid w:val="0009240F"/>
    <w:rsid w:val="0009242C"/>
    <w:rsid w:val="00094027"/>
    <w:rsid w:val="00095CA3"/>
    <w:rsid w:val="000A0AC4"/>
    <w:rsid w:val="000A49EE"/>
    <w:rsid w:val="000A587E"/>
    <w:rsid w:val="000A69C9"/>
    <w:rsid w:val="000B01A2"/>
    <w:rsid w:val="000B037C"/>
    <w:rsid w:val="000B2DF3"/>
    <w:rsid w:val="000B4968"/>
    <w:rsid w:val="000B51CF"/>
    <w:rsid w:val="000B66E0"/>
    <w:rsid w:val="000B7108"/>
    <w:rsid w:val="000B7F08"/>
    <w:rsid w:val="000C1458"/>
    <w:rsid w:val="000C342A"/>
    <w:rsid w:val="000C5409"/>
    <w:rsid w:val="000C7A87"/>
    <w:rsid w:val="000D0382"/>
    <w:rsid w:val="000D471D"/>
    <w:rsid w:val="000D49F5"/>
    <w:rsid w:val="000D65E9"/>
    <w:rsid w:val="000E0B7A"/>
    <w:rsid w:val="000E3C8D"/>
    <w:rsid w:val="000E512E"/>
    <w:rsid w:val="000E72F2"/>
    <w:rsid w:val="000E77F2"/>
    <w:rsid w:val="000E7A0B"/>
    <w:rsid w:val="000F1E46"/>
    <w:rsid w:val="000F31F2"/>
    <w:rsid w:val="000F3BE9"/>
    <w:rsid w:val="000F4B2A"/>
    <w:rsid w:val="000F545C"/>
    <w:rsid w:val="000F588C"/>
    <w:rsid w:val="000F7C80"/>
    <w:rsid w:val="00100954"/>
    <w:rsid w:val="00102AE0"/>
    <w:rsid w:val="00104F95"/>
    <w:rsid w:val="0010593B"/>
    <w:rsid w:val="001079D5"/>
    <w:rsid w:val="00112904"/>
    <w:rsid w:val="00113E67"/>
    <w:rsid w:val="00114AA8"/>
    <w:rsid w:val="00120F5C"/>
    <w:rsid w:val="001244A4"/>
    <w:rsid w:val="00124D28"/>
    <w:rsid w:val="00126AF6"/>
    <w:rsid w:val="00132E6B"/>
    <w:rsid w:val="001355BC"/>
    <w:rsid w:val="00141308"/>
    <w:rsid w:val="001441A8"/>
    <w:rsid w:val="001453E3"/>
    <w:rsid w:val="00146600"/>
    <w:rsid w:val="0015043D"/>
    <w:rsid w:val="00151E9B"/>
    <w:rsid w:val="001558AB"/>
    <w:rsid w:val="00160D08"/>
    <w:rsid w:val="001630C0"/>
    <w:rsid w:val="001633A3"/>
    <w:rsid w:val="00164010"/>
    <w:rsid w:val="001653EC"/>
    <w:rsid w:val="001656B7"/>
    <w:rsid w:val="001659BA"/>
    <w:rsid w:val="00173251"/>
    <w:rsid w:val="0017325A"/>
    <w:rsid w:val="001743E7"/>
    <w:rsid w:val="0017736A"/>
    <w:rsid w:val="00183138"/>
    <w:rsid w:val="00184DDA"/>
    <w:rsid w:val="001879AE"/>
    <w:rsid w:val="00193D19"/>
    <w:rsid w:val="00194C00"/>
    <w:rsid w:val="0019503A"/>
    <w:rsid w:val="0019586A"/>
    <w:rsid w:val="001976FB"/>
    <w:rsid w:val="00197A2D"/>
    <w:rsid w:val="001A0357"/>
    <w:rsid w:val="001A0E14"/>
    <w:rsid w:val="001A5948"/>
    <w:rsid w:val="001A642C"/>
    <w:rsid w:val="001A6F1D"/>
    <w:rsid w:val="001B23E2"/>
    <w:rsid w:val="001B43F0"/>
    <w:rsid w:val="001B5BE5"/>
    <w:rsid w:val="001B772F"/>
    <w:rsid w:val="001C2C7F"/>
    <w:rsid w:val="001C413C"/>
    <w:rsid w:val="001C4264"/>
    <w:rsid w:val="001C435F"/>
    <w:rsid w:val="001C4390"/>
    <w:rsid w:val="001D4741"/>
    <w:rsid w:val="001D4D46"/>
    <w:rsid w:val="001D581C"/>
    <w:rsid w:val="001D61F0"/>
    <w:rsid w:val="001D6CB3"/>
    <w:rsid w:val="001D6F1E"/>
    <w:rsid w:val="001E0A3A"/>
    <w:rsid w:val="001E2B4B"/>
    <w:rsid w:val="001E2BEC"/>
    <w:rsid w:val="001E3027"/>
    <w:rsid w:val="001E36BB"/>
    <w:rsid w:val="001E5218"/>
    <w:rsid w:val="001E6C9B"/>
    <w:rsid w:val="001E735D"/>
    <w:rsid w:val="001E7956"/>
    <w:rsid w:val="001F1B4F"/>
    <w:rsid w:val="001F2BC0"/>
    <w:rsid w:val="001F2C79"/>
    <w:rsid w:val="001F39DF"/>
    <w:rsid w:val="001F517C"/>
    <w:rsid w:val="001F5D77"/>
    <w:rsid w:val="001F5E7A"/>
    <w:rsid w:val="001F60A2"/>
    <w:rsid w:val="001F7714"/>
    <w:rsid w:val="00202DE4"/>
    <w:rsid w:val="002056C0"/>
    <w:rsid w:val="00207EF6"/>
    <w:rsid w:val="00211B78"/>
    <w:rsid w:val="0021544D"/>
    <w:rsid w:val="00216B4A"/>
    <w:rsid w:val="00216CD4"/>
    <w:rsid w:val="00216FC8"/>
    <w:rsid w:val="002175FD"/>
    <w:rsid w:val="00217FB6"/>
    <w:rsid w:val="00222619"/>
    <w:rsid w:val="00222EC3"/>
    <w:rsid w:val="002230C4"/>
    <w:rsid w:val="00224D2A"/>
    <w:rsid w:val="00225898"/>
    <w:rsid w:val="002258EB"/>
    <w:rsid w:val="00225939"/>
    <w:rsid w:val="0023638F"/>
    <w:rsid w:val="0024039B"/>
    <w:rsid w:val="002413C4"/>
    <w:rsid w:val="00242F56"/>
    <w:rsid w:val="0024418D"/>
    <w:rsid w:val="002443A9"/>
    <w:rsid w:val="00245B16"/>
    <w:rsid w:val="00247ED3"/>
    <w:rsid w:val="002502A9"/>
    <w:rsid w:val="002509CB"/>
    <w:rsid w:val="00252974"/>
    <w:rsid w:val="00253BEC"/>
    <w:rsid w:val="0025528B"/>
    <w:rsid w:val="00255C00"/>
    <w:rsid w:val="0025663C"/>
    <w:rsid w:val="002568F9"/>
    <w:rsid w:val="00256BA6"/>
    <w:rsid w:val="00260874"/>
    <w:rsid w:val="00261F10"/>
    <w:rsid w:val="0026447A"/>
    <w:rsid w:val="002646F3"/>
    <w:rsid w:val="00265534"/>
    <w:rsid w:val="002700B1"/>
    <w:rsid w:val="002706A4"/>
    <w:rsid w:val="00272B18"/>
    <w:rsid w:val="0027323A"/>
    <w:rsid w:val="00273BA3"/>
    <w:rsid w:val="0027506F"/>
    <w:rsid w:val="00275AFB"/>
    <w:rsid w:val="00275F0E"/>
    <w:rsid w:val="0027749A"/>
    <w:rsid w:val="002775B0"/>
    <w:rsid w:val="0027771C"/>
    <w:rsid w:val="00293E8B"/>
    <w:rsid w:val="002953E6"/>
    <w:rsid w:val="00295CCE"/>
    <w:rsid w:val="00296136"/>
    <w:rsid w:val="00296D6B"/>
    <w:rsid w:val="0029715D"/>
    <w:rsid w:val="002A155A"/>
    <w:rsid w:val="002A3FE5"/>
    <w:rsid w:val="002A6B72"/>
    <w:rsid w:val="002A6E98"/>
    <w:rsid w:val="002B0B43"/>
    <w:rsid w:val="002B5839"/>
    <w:rsid w:val="002B7361"/>
    <w:rsid w:val="002C016E"/>
    <w:rsid w:val="002C0D88"/>
    <w:rsid w:val="002C0EFE"/>
    <w:rsid w:val="002C1E29"/>
    <w:rsid w:val="002C2DB3"/>
    <w:rsid w:val="002C4B75"/>
    <w:rsid w:val="002C4F27"/>
    <w:rsid w:val="002C7121"/>
    <w:rsid w:val="002D08B8"/>
    <w:rsid w:val="002D0C12"/>
    <w:rsid w:val="002D0FF2"/>
    <w:rsid w:val="002D3930"/>
    <w:rsid w:val="002D3D73"/>
    <w:rsid w:val="002D431F"/>
    <w:rsid w:val="002D4C96"/>
    <w:rsid w:val="002D7466"/>
    <w:rsid w:val="002E0B11"/>
    <w:rsid w:val="002E6B73"/>
    <w:rsid w:val="002E7E0D"/>
    <w:rsid w:val="002F1828"/>
    <w:rsid w:val="002F215C"/>
    <w:rsid w:val="002F4ADD"/>
    <w:rsid w:val="002F5150"/>
    <w:rsid w:val="002F7126"/>
    <w:rsid w:val="002F7BD2"/>
    <w:rsid w:val="003000A7"/>
    <w:rsid w:val="00301109"/>
    <w:rsid w:val="003022D5"/>
    <w:rsid w:val="003033CC"/>
    <w:rsid w:val="003045CE"/>
    <w:rsid w:val="00306331"/>
    <w:rsid w:val="00310166"/>
    <w:rsid w:val="0031165B"/>
    <w:rsid w:val="00323C5D"/>
    <w:rsid w:val="00324B5A"/>
    <w:rsid w:val="00324F6D"/>
    <w:rsid w:val="00325ACD"/>
    <w:rsid w:val="003265A5"/>
    <w:rsid w:val="0033117B"/>
    <w:rsid w:val="003339A7"/>
    <w:rsid w:val="00335D72"/>
    <w:rsid w:val="00336447"/>
    <w:rsid w:val="003365C0"/>
    <w:rsid w:val="00343013"/>
    <w:rsid w:val="003463FC"/>
    <w:rsid w:val="00346965"/>
    <w:rsid w:val="00350B66"/>
    <w:rsid w:val="00351E87"/>
    <w:rsid w:val="00354542"/>
    <w:rsid w:val="003570C1"/>
    <w:rsid w:val="0036143A"/>
    <w:rsid w:val="00362F8C"/>
    <w:rsid w:val="00363201"/>
    <w:rsid w:val="00364CDF"/>
    <w:rsid w:val="00371059"/>
    <w:rsid w:val="003718AF"/>
    <w:rsid w:val="00371CA5"/>
    <w:rsid w:val="00372405"/>
    <w:rsid w:val="00372BD7"/>
    <w:rsid w:val="003738D0"/>
    <w:rsid w:val="0037566E"/>
    <w:rsid w:val="00377B80"/>
    <w:rsid w:val="00377E81"/>
    <w:rsid w:val="003845E7"/>
    <w:rsid w:val="003877CA"/>
    <w:rsid w:val="003879B7"/>
    <w:rsid w:val="00387BBB"/>
    <w:rsid w:val="0039025B"/>
    <w:rsid w:val="003919D5"/>
    <w:rsid w:val="00395F24"/>
    <w:rsid w:val="00397E7F"/>
    <w:rsid w:val="003A066B"/>
    <w:rsid w:val="003A096E"/>
    <w:rsid w:val="003A0E05"/>
    <w:rsid w:val="003A305E"/>
    <w:rsid w:val="003B01B5"/>
    <w:rsid w:val="003B1E96"/>
    <w:rsid w:val="003B22A8"/>
    <w:rsid w:val="003B6B4D"/>
    <w:rsid w:val="003C183F"/>
    <w:rsid w:val="003C369F"/>
    <w:rsid w:val="003C429D"/>
    <w:rsid w:val="003C7949"/>
    <w:rsid w:val="003D0B66"/>
    <w:rsid w:val="003D1272"/>
    <w:rsid w:val="003D3AE7"/>
    <w:rsid w:val="003E0809"/>
    <w:rsid w:val="003E2F0B"/>
    <w:rsid w:val="003E3B06"/>
    <w:rsid w:val="003E4058"/>
    <w:rsid w:val="003E5566"/>
    <w:rsid w:val="003E5D63"/>
    <w:rsid w:val="003E5DE5"/>
    <w:rsid w:val="003F008C"/>
    <w:rsid w:val="003F01F9"/>
    <w:rsid w:val="003F21F0"/>
    <w:rsid w:val="003F39CC"/>
    <w:rsid w:val="003F470A"/>
    <w:rsid w:val="003F6690"/>
    <w:rsid w:val="003F7A89"/>
    <w:rsid w:val="00400B09"/>
    <w:rsid w:val="00400C6D"/>
    <w:rsid w:val="0040482D"/>
    <w:rsid w:val="0040530E"/>
    <w:rsid w:val="004063F0"/>
    <w:rsid w:val="00406CC6"/>
    <w:rsid w:val="00406EB4"/>
    <w:rsid w:val="004124C7"/>
    <w:rsid w:val="00412B7C"/>
    <w:rsid w:val="004213CF"/>
    <w:rsid w:val="00422EE0"/>
    <w:rsid w:val="00424EC2"/>
    <w:rsid w:val="00426209"/>
    <w:rsid w:val="00427F0D"/>
    <w:rsid w:val="0043140D"/>
    <w:rsid w:val="00432ABE"/>
    <w:rsid w:val="00434520"/>
    <w:rsid w:val="00437D03"/>
    <w:rsid w:val="00440833"/>
    <w:rsid w:val="00441148"/>
    <w:rsid w:val="0044205D"/>
    <w:rsid w:val="004420FA"/>
    <w:rsid w:val="00443845"/>
    <w:rsid w:val="0044433B"/>
    <w:rsid w:val="00451D8E"/>
    <w:rsid w:val="0045203B"/>
    <w:rsid w:val="0045205E"/>
    <w:rsid w:val="00452F7A"/>
    <w:rsid w:val="00453552"/>
    <w:rsid w:val="0045427B"/>
    <w:rsid w:val="00455678"/>
    <w:rsid w:val="00455B13"/>
    <w:rsid w:val="004570EC"/>
    <w:rsid w:val="0046120F"/>
    <w:rsid w:val="00465E16"/>
    <w:rsid w:val="00466585"/>
    <w:rsid w:val="00466A65"/>
    <w:rsid w:val="0047030F"/>
    <w:rsid w:val="00471376"/>
    <w:rsid w:val="0047282A"/>
    <w:rsid w:val="004748F1"/>
    <w:rsid w:val="004752FE"/>
    <w:rsid w:val="00475E1F"/>
    <w:rsid w:val="00477F10"/>
    <w:rsid w:val="00480AD6"/>
    <w:rsid w:val="004819A1"/>
    <w:rsid w:val="00482754"/>
    <w:rsid w:val="00482994"/>
    <w:rsid w:val="00483002"/>
    <w:rsid w:val="00483AEE"/>
    <w:rsid w:val="00483C59"/>
    <w:rsid w:val="00483D42"/>
    <w:rsid w:val="00484980"/>
    <w:rsid w:val="004879B5"/>
    <w:rsid w:val="004900EC"/>
    <w:rsid w:val="00490E6E"/>
    <w:rsid w:val="00491A26"/>
    <w:rsid w:val="0049557A"/>
    <w:rsid w:val="00495C82"/>
    <w:rsid w:val="004966BE"/>
    <w:rsid w:val="00496FD6"/>
    <w:rsid w:val="004A0EAC"/>
    <w:rsid w:val="004A11FD"/>
    <w:rsid w:val="004A1EC9"/>
    <w:rsid w:val="004A2513"/>
    <w:rsid w:val="004A27E7"/>
    <w:rsid w:val="004A542C"/>
    <w:rsid w:val="004B20E0"/>
    <w:rsid w:val="004B2168"/>
    <w:rsid w:val="004B2724"/>
    <w:rsid w:val="004B278F"/>
    <w:rsid w:val="004B3902"/>
    <w:rsid w:val="004B7570"/>
    <w:rsid w:val="004B7AC0"/>
    <w:rsid w:val="004C03B7"/>
    <w:rsid w:val="004C5988"/>
    <w:rsid w:val="004C71A4"/>
    <w:rsid w:val="004C7FEB"/>
    <w:rsid w:val="004D05C9"/>
    <w:rsid w:val="004D0870"/>
    <w:rsid w:val="004D24CC"/>
    <w:rsid w:val="004D3853"/>
    <w:rsid w:val="004D58C0"/>
    <w:rsid w:val="004D6742"/>
    <w:rsid w:val="004D6EDF"/>
    <w:rsid w:val="004E02FB"/>
    <w:rsid w:val="004E106C"/>
    <w:rsid w:val="004E35FA"/>
    <w:rsid w:val="004E37F6"/>
    <w:rsid w:val="004E3939"/>
    <w:rsid w:val="004E4D32"/>
    <w:rsid w:val="004E6C29"/>
    <w:rsid w:val="004E6DEE"/>
    <w:rsid w:val="004F1001"/>
    <w:rsid w:val="004F44BA"/>
    <w:rsid w:val="004F4562"/>
    <w:rsid w:val="005004FB"/>
    <w:rsid w:val="0050370F"/>
    <w:rsid w:val="0050687E"/>
    <w:rsid w:val="00506C0A"/>
    <w:rsid w:val="005100DC"/>
    <w:rsid w:val="005104F1"/>
    <w:rsid w:val="00511375"/>
    <w:rsid w:val="00511B92"/>
    <w:rsid w:val="00512029"/>
    <w:rsid w:val="00513307"/>
    <w:rsid w:val="0051701F"/>
    <w:rsid w:val="00517A22"/>
    <w:rsid w:val="00521718"/>
    <w:rsid w:val="0052194D"/>
    <w:rsid w:val="005224B1"/>
    <w:rsid w:val="005261DF"/>
    <w:rsid w:val="00526507"/>
    <w:rsid w:val="005275C6"/>
    <w:rsid w:val="00531DAA"/>
    <w:rsid w:val="0053208B"/>
    <w:rsid w:val="00533F1E"/>
    <w:rsid w:val="00534347"/>
    <w:rsid w:val="00535109"/>
    <w:rsid w:val="00535853"/>
    <w:rsid w:val="0053647B"/>
    <w:rsid w:val="005369BF"/>
    <w:rsid w:val="00537510"/>
    <w:rsid w:val="00541939"/>
    <w:rsid w:val="0054266C"/>
    <w:rsid w:val="005434CA"/>
    <w:rsid w:val="00544B68"/>
    <w:rsid w:val="00545939"/>
    <w:rsid w:val="00545B9B"/>
    <w:rsid w:val="005460D7"/>
    <w:rsid w:val="00547ABC"/>
    <w:rsid w:val="00547B34"/>
    <w:rsid w:val="00552AC0"/>
    <w:rsid w:val="00553F72"/>
    <w:rsid w:val="00557D4C"/>
    <w:rsid w:val="005601DD"/>
    <w:rsid w:val="00562737"/>
    <w:rsid w:val="00565C8E"/>
    <w:rsid w:val="005670D3"/>
    <w:rsid w:val="00572839"/>
    <w:rsid w:val="00574231"/>
    <w:rsid w:val="005746A8"/>
    <w:rsid w:val="0058081D"/>
    <w:rsid w:val="0058129B"/>
    <w:rsid w:val="00590261"/>
    <w:rsid w:val="00593C17"/>
    <w:rsid w:val="005940DC"/>
    <w:rsid w:val="005952B6"/>
    <w:rsid w:val="00596F30"/>
    <w:rsid w:val="005A18CE"/>
    <w:rsid w:val="005A2908"/>
    <w:rsid w:val="005A3E9A"/>
    <w:rsid w:val="005A4A67"/>
    <w:rsid w:val="005A5807"/>
    <w:rsid w:val="005A6886"/>
    <w:rsid w:val="005A744F"/>
    <w:rsid w:val="005A7529"/>
    <w:rsid w:val="005B0967"/>
    <w:rsid w:val="005B23CD"/>
    <w:rsid w:val="005B5AE3"/>
    <w:rsid w:val="005B78FB"/>
    <w:rsid w:val="005C01BB"/>
    <w:rsid w:val="005C08F4"/>
    <w:rsid w:val="005C3309"/>
    <w:rsid w:val="005C6D45"/>
    <w:rsid w:val="005C73B1"/>
    <w:rsid w:val="005C73C6"/>
    <w:rsid w:val="005C7B82"/>
    <w:rsid w:val="005D005A"/>
    <w:rsid w:val="005D1364"/>
    <w:rsid w:val="005D3E1F"/>
    <w:rsid w:val="005D46E7"/>
    <w:rsid w:val="005D49AC"/>
    <w:rsid w:val="005D5ED1"/>
    <w:rsid w:val="005D7299"/>
    <w:rsid w:val="005D7C2E"/>
    <w:rsid w:val="005D7F5E"/>
    <w:rsid w:val="005E11E7"/>
    <w:rsid w:val="005E14AC"/>
    <w:rsid w:val="005E43EC"/>
    <w:rsid w:val="005E799B"/>
    <w:rsid w:val="005E7D64"/>
    <w:rsid w:val="005F1670"/>
    <w:rsid w:val="005F1B71"/>
    <w:rsid w:val="005F3957"/>
    <w:rsid w:val="005F41C9"/>
    <w:rsid w:val="005F5DC8"/>
    <w:rsid w:val="005F6239"/>
    <w:rsid w:val="005F6965"/>
    <w:rsid w:val="005F7A97"/>
    <w:rsid w:val="006003E7"/>
    <w:rsid w:val="006009A5"/>
    <w:rsid w:val="00601B42"/>
    <w:rsid w:val="006047FE"/>
    <w:rsid w:val="00604E5F"/>
    <w:rsid w:val="006057A8"/>
    <w:rsid w:val="0061266E"/>
    <w:rsid w:val="0061312B"/>
    <w:rsid w:val="00613826"/>
    <w:rsid w:val="00613912"/>
    <w:rsid w:val="00613EB9"/>
    <w:rsid w:val="00613F64"/>
    <w:rsid w:val="00614138"/>
    <w:rsid w:val="00615615"/>
    <w:rsid w:val="00616D79"/>
    <w:rsid w:val="006222A5"/>
    <w:rsid w:val="00622AE9"/>
    <w:rsid w:val="00624913"/>
    <w:rsid w:val="006268AA"/>
    <w:rsid w:val="00633E13"/>
    <w:rsid w:val="00635688"/>
    <w:rsid w:val="006356FE"/>
    <w:rsid w:val="0063771A"/>
    <w:rsid w:val="00637C7B"/>
    <w:rsid w:val="00640D96"/>
    <w:rsid w:val="00645260"/>
    <w:rsid w:val="006457A4"/>
    <w:rsid w:val="00646A2B"/>
    <w:rsid w:val="006505AA"/>
    <w:rsid w:val="00650DD1"/>
    <w:rsid w:val="006528AF"/>
    <w:rsid w:val="006529A9"/>
    <w:rsid w:val="00655052"/>
    <w:rsid w:val="006551FB"/>
    <w:rsid w:val="0065712B"/>
    <w:rsid w:val="00657DE1"/>
    <w:rsid w:val="00660B3F"/>
    <w:rsid w:val="00662448"/>
    <w:rsid w:val="00663A1C"/>
    <w:rsid w:val="00663D56"/>
    <w:rsid w:val="006649D6"/>
    <w:rsid w:val="0066698B"/>
    <w:rsid w:val="00667CE6"/>
    <w:rsid w:val="006726C7"/>
    <w:rsid w:val="00672CAA"/>
    <w:rsid w:val="00676250"/>
    <w:rsid w:val="00676394"/>
    <w:rsid w:val="00676942"/>
    <w:rsid w:val="00677B61"/>
    <w:rsid w:val="00683F5E"/>
    <w:rsid w:val="0068480F"/>
    <w:rsid w:val="00684F20"/>
    <w:rsid w:val="006862E4"/>
    <w:rsid w:val="006934C8"/>
    <w:rsid w:val="00694CAC"/>
    <w:rsid w:val="00694CBC"/>
    <w:rsid w:val="00694CC9"/>
    <w:rsid w:val="006954D6"/>
    <w:rsid w:val="00695D38"/>
    <w:rsid w:val="006A0254"/>
    <w:rsid w:val="006A1DEE"/>
    <w:rsid w:val="006A1EBD"/>
    <w:rsid w:val="006A262F"/>
    <w:rsid w:val="006A380E"/>
    <w:rsid w:val="006A4600"/>
    <w:rsid w:val="006A603B"/>
    <w:rsid w:val="006B13E5"/>
    <w:rsid w:val="006B1861"/>
    <w:rsid w:val="006B4DE0"/>
    <w:rsid w:val="006B7D0C"/>
    <w:rsid w:val="006C13B4"/>
    <w:rsid w:val="006C1A1A"/>
    <w:rsid w:val="006C1D3E"/>
    <w:rsid w:val="006C4DF0"/>
    <w:rsid w:val="006C71C7"/>
    <w:rsid w:val="006C7E98"/>
    <w:rsid w:val="006D2F4D"/>
    <w:rsid w:val="006D2F4E"/>
    <w:rsid w:val="006D3BAB"/>
    <w:rsid w:val="006D4C11"/>
    <w:rsid w:val="006D5355"/>
    <w:rsid w:val="006D64E9"/>
    <w:rsid w:val="006D6975"/>
    <w:rsid w:val="006D6A97"/>
    <w:rsid w:val="006D75C5"/>
    <w:rsid w:val="006E1924"/>
    <w:rsid w:val="006E1E41"/>
    <w:rsid w:val="006E687C"/>
    <w:rsid w:val="006E7191"/>
    <w:rsid w:val="006E73D3"/>
    <w:rsid w:val="006F0E3C"/>
    <w:rsid w:val="006F3778"/>
    <w:rsid w:val="006F5CCB"/>
    <w:rsid w:val="00701B20"/>
    <w:rsid w:val="0070253D"/>
    <w:rsid w:val="00705C2C"/>
    <w:rsid w:val="0070730A"/>
    <w:rsid w:val="007108E8"/>
    <w:rsid w:val="00710C2A"/>
    <w:rsid w:val="007125A7"/>
    <w:rsid w:val="00713716"/>
    <w:rsid w:val="00714536"/>
    <w:rsid w:val="00714861"/>
    <w:rsid w:val="00715203"/>
    <w:rsid w:val="00715A1A"/>
    <w:rsid w:val="00715E3A"/>
    <w:rsid w:val="00720ECF"/>
    <w:rsid w:val="0072192A"/>
    <w:rsid w:val="00722EFA"/>
    <w:rsid w:val="007231F1"/>
    <w:rsid w:val="0072686D"/>
    <w:rsid w:val="00731896"/>
    <w:rsid w:val="007340DE"/>
    <w:rsid w:val="00734F3D"/>
    <w:rsid w:val="007355FA"/>
    <w:rsid w:val="00735A64"/>
    <w:rsid w:val="00736A22"/>
    <w:rsid w:val="00740B87"/>
    <w:rsid w:val="00740C77"/>
    <w:rsid w:val="007416A1"/>
    <w:rsid w:val="00741E48"/>
    <w:rsid w:val="007425AF"/>
    <w:rsid w:val="00742A81"/>
    <w:rsid w:val="00743B05"/>
    <w:rsid w:val="00743C80"/>
    <w:rsid w:val="00746237"/>
    <w:rsid w:val="007514E8"/>
    <w:rsid w:val="00752D2E"/>
    <w:rsid w:val="00753F18"/>
    <w:rsid w:val="00756339"/>
    <w:rsid w:val="007573FC"/>
    <w:rsid w:val="00757D50"/>
    <w:rsid w:val="007609CE"/>
    <w:rsid w:val="00760CA1"/>
    <w:rsid w:val="00764ADA"/>
    <w:rsid w:val="00766B38"/>
    <w:rsid w:val="007704D8"/>
    <w:rsid w:val="00771773"/>
    <w:rsid w:val="00772607"/>
    <w:rsid w:val="00772DBE"/>
    <w:rsid w:val="00772F63"/>
    <w:rsid w:val="00773527"/>
    <w:rsid w:val="00773658"/>
    <w:rsid w:val="00775C60"/>
    <w:rsid w:val="00776DA9"/>
    <w:rsid w:val="0077718A"/>
    <w:rsid w:val="00777759"/>
    <w:rsid w:val="00777780"/>
    <w:rsid w:val="00785905"/>
    <w:rsid w:val="00786F6E"/>
    <w:rsid w:val="00791972"/>
    <w:rsid w:val="00796902"/>
    <w:rsid w:val="007978D6"/>
    <w:rsid w:val="007A394D"/>
    <w:rsid w:val="007A44AE"/>
    <w:rsid w:val="007A6A47"/>
    <w:rsid w:val="007A7E81"/>
    <w:rsid w:val="007B13BE"/>
    <w:rsid w:val="007B7228"/>
    <w:rsid w:val="007C18D1"/>
    <w:rsid w:val="007C2D11"/>
    <w:rsid w:val="007C33A0"/>
    <w:rsid w:val="007C4111"/>
    <w:rsid w:val="007D1E88"/>
    <w:rsid w:val="007D216E"/>
    <w:rsid w:val="007D306E"/>
    <w:rsid w:val="007D466C"/>
    <w:rsid w:val="007D7061"/>
    <w:rsid w:val="007D7143"/>
    <w:rsid w:val="007D73DB"/>
    <w:rsid w:val="007D766C"/>
    <w:rsid w:val="007E1DBE"/>
    <w:rsid w:val="007E1DD6"/>
    <w:rsid w:val="007E3367"/>
    <w:rsid w:val="007E5276"/>
    <w:rsid w:val="007F39B4"/>
    <w:rsid w:val="007F400A"/>
    <w:rsid w:val="007F5DCC"/>
    <w:rsid w:val="007F70A7"/>
    <w:rsid w:val="007F7127"/>
    <w:rsid w:val="00801766"/>
    <w:rsid w:val="00801B4E"/>
    <w:rsid w:val="00802629"/>
    <w:rsid w:val="0080344E"/>
    <w:rsid w:val="00804428"/>
    <w:rsid w:val="00804B11"/>
    <w:rsid w:val="00806A6B"/>
    <w:rsid w:val="00810B9C"/>
    <w:rsid w:val="00811286"/>
    <w:rsid w:val="00811FB4"/>
    <w:rsid w:val="008140B6"/>
    <w:rsid w:val="008162A6"/>
    <w:rsid w:val="008207F5"/>
    <w:rsid w:val="00820822"/>
    <w:rsid w:val="00820EB2"/>
    <w:rsid w:val="008213D1"/>
    <w:rsid w:val="00822A5E"/>
    <w:rsid w:val="00822B9F"/>
    <w:rsid w:val="008306FD"/>
    <w:rsid w:val="008344B7"/>
    <w:rsid w:val="008365FA"/>
    <w:rsid w:val="00842947"/>
    <w:rsid w:val="008435D1"/>
    <w:rsid w:val="00844FA0"/>
    <w:rsid w:val="00846D87"/>
    <w:rsid w:val="00846DCD"/>
    <w:rsid w:val="00847400"/>
    <w:rsid w:val="00847794"/>
    <w:rsid w:val="00850F89"/>
    <w:rsid w:val="0085597D"/>
    <w:rsid w:val="00855ADC"/>
    <w:rsid w:val="00861B23"/>
    <w:rsid w:val="00861C5F"/>
    <w:rsid w:val="00864862"/>
    <w:rsid w:val="00866D3E"/>
    <w:rsid w:val="00867537"/>
    <w:rsid w:val="00870BA9"/>
    <w:rsid w:val="0087216B"/>
    <w:rsid w:val="008747A4"/>
    <w:rsid w:val="00875607"/>
    <w:rsid w:val="008762A9"/>
    <w:rsid w:val="008807DA"/>
    <w:rsid w:val="00881562"/>
    <w:rsid w:val="0088289B"/>
    <w:rsid w:val="0088620D"/>
    <w:rsid w:val="0088799F"/>
    <w:rsid w:val="0089438D"/>
    <w:rsid w:val="00895F16"/>
    <w:rsid w:val="008964D7"/>
    <w:rsid w:val="008A0D53"/>
    <w:rsid w:val="008A0FE8"/>
    <w:rsid w:val="008A56CA"/>
    <w:rsid w:val="008A5B22"/>
    <w:rsid w:val="008A69B2"/>
    <w:rsid w:val="008B0F1C"/>
    <w:rsid w:val="008B3B8B"/>
    <w:rsid w:val="008B45D7"/>
    <w:rsid w:val="008B57A9"/>
    <w:rsid w:val="008B5D55"/>
    <w:rsid w:val="008B67A9"/>
    <w:rsid w:val="008C0E04"/>
    <w:rsid w:val="008C5FDF"/>
    <w:rsid w:val="008D1F2B"/>
    <w:rsid w:val="008D2CE7"/>
    <w:rsid w:val="008D3346"/>
    <w:rsid w:val="008D4D44"/>
    <w:rsid w:val="008D4D97"/>
    <w:rsid w:val="008D6F94"/>
    <w:rsid w:val="008D7C5E"/>
    <w:rsid w:val="008E23A3"/>
    <w:rsid w:val="008E3610"/>
    <w:rsid w:val="008E66E2"/>
    <w:rsid w:val="008F0717"/>
    <w:rsid w:val="008F0878"/>
    <w:rsid w:val="008F0A45"/>
    <w:rsid w:val="008F15C4"/>
    <w:rsid w:val="008F1A92"/>
    <w:rsid w:val="008F258B"/>
    <w:rsid w:val="008F3E0C"/>
    <w:rsid w:val="008F73A9"/>
    <w:rsid w:val="008F7951"/>
    <w:rsid w:val="008F7A87"/>
    <w:rsid w:val="009001FB"/>
    <w:rsid w:val="00900485"/>
    <w:rsid w:val="009064E1"/>
    <w:rsid w:val="00906FFF"/>
    <w:rsid w:val="00907EEC"/>
    <w:rsid w:val="00914F6C"/>
    <w:rsid w:val="0091572A"/>
    <w:rsid w:val="00917C3F"/>
    <w:rsid w:val="0092041D"/>
    <w:rsid w:val="00920E06"/>
    <w:rsid w:val="009238E9"/>
    <w:rsid w:val="00924275"/>
    <w:rsid w:val="009279A5"/>
    <w:rsid w:val="0093114C"/>
    <w:rsid w:val="009321CA"/>
    <w:rsid w:val="00932E5E"/>
    <w:rsid w:val="0093303A"/>
    <w:rsid w:val="009345B1"/>
    <w:rsid w:val="009364CB"/>
    <w:rsid w:val="00940A8D"/>
    <w:rsid w:val="00941A85"/>
    <w:rsid w:val="00941F7A"/>
    <w:rsid w:val="00942C1A"/>
    <w:rsid w:val="009439CC"/>
    <w:rsid w:val="009470C8"/>
    <w:rsid w:val="00950A88"/>
    <w:rsid w:val="00950BA7"/>
    <w:rsid w:val="00950ED3"/>
    <w:rsid w:val="00953874"/>
    <w:rsid w:val="009540B5"/>
    <w:rsid w:val="009543BA"/>
    <w:rsid w:val="00955286"/>
    <w:rsid w:val="00956598"/>
    <w:rsid w:val="00956DEC"/>
    <w:rsid w:val="00956FD7"/>
    <w:rsid w:val="009603ED"/>
    <w:rsid w:val="009653A7"/>
    <w:rsid w:val="009653DB"/>
    <w:rsid w:val="009704E8"/>
    <w:rsid w:val="00972150"/>
    <w:rsid w:val="00973719"/>
    <w:rsid w:val="00977637"/>
    <w:rsid w:val="00980757"/>
    <w:rsid w:val="009812CB"/>
    <w:rsid w:val="009834FB"/>
    <w:rsid w:val="00983762"/>
    <w:rsid w:val="0098413C"/>
    <w:rsid w:val="00984442"/>
    <w:rsid w:val="00985D5E"/>
    <w:rsid w:val="0098635D"/>
    <w:rsid w:val="009868D5"/>
    <w:rsid w:val="0098743B"/>
    <w:rsid w:val="00987C97"/>
    <w:rsid w:val="009909D8"/>
    <w:rsid w:val="00990BF2"/>
    <w:rsid w:val="00991450"/>
    <w:rsid w:val="00993F56"/>
    <w:rsid w:val="009945A8"/>
    <w:rsid w:val="009961C5"/>
    <w:rsid w:val="009A1880"/>
    <w:rsid w:val="009A2677"/>
    <w:rsid w:val="009A2FE5"/>
    <w:rsid w:val="009A49DA"/>
    <w:rsid w:val="009A5FA9"/>
    <w:rsid w:val="009A6BDD"/>
    <w:rsid w:val="009B2F76"/>
    <w:rsid w:val="009B45DA"/>
    <w:rsid w:val="009B50E2"/>
    <w:rsid w:val="009B519A"/>
    <w:rsid w:val="009B7321"/>
    <w:rsid w:val="009C0836"/>
    <w:rsid w:val="009C0A17"/>
    <w:rsid w:val="009C0D13"/>
    <w:rsid w:val="009C0E0B"/>
    <w:rsid w:val="009C3D4A"/>
    <w:rsid w:val="009C51C5"/>
    <w:rsid w:val="009D0E19"/>
    <w:rsid w:val="009D34A2"/>
    <w:rsid w:val="009D504C"/>
    <w:rsid w:val="009E1B31"/>
    <w:rsid w:val="009E209E"/>
    <w:rsid w:val="009E2590"/>
    <w:rsid w:val="009E3546"/>
    <w:rsid w:val="009E5C4D"/>
    <w:rsid w:val="009E60DC"/>
    <w:rsid w:val="009E799C"/>
    <w:rsid w:val="009F1D87"/>
    <w:rsid w:val="009F2788"/>
    <w:rsid w:val="009F3FE9"/>
    <w:rsid w:val="009F53C5"/>
    <w:rsid w:val="009F6ECE"/>
    <w:rsid w:val="009F70CE"/>
    <w:rsid w:val="00A062F3"/>
    <w:rsid w:val="00A06ACC"/>
    <w:rsid w:val="00A06B27"/>
    <w:rsid w:val="00A10242"/>
    <w:rsid w:val="00A104D1"/>
    <w:rsid w:val="00A1176B"/>
    <w:rsid w:val="00A2076C"/>
    <w:rsid w:val="00A21262"/>
    <w:rsid w:val="00A21B15"/>
    <w:rsid w:val="00A22034"/>
    <w:rsid w:val="00A220DD"/>
    <w:rsid w:val="00A25F00"/>
    <w:rsid w:val="00A4010D"/>
    <w:rsid w:val="00A44830"/>
    <w:rsid w:val="00A449AB"/>
    <w:rsid w:val="00A463E0"/>
    <w:rsid w:val="00A47DA0"/>
    <w:rsid w:val="00A534A6"/>
    <w:rsid w:val="00A5399A"/>
    <w:rsid w:val="00A540AD"/>
    <w:rsid w:val="00A55884"/>
    <w:rsid w:val="00A60D78"/>
    <w:rsid w:val="00A61720"/>
    <w:rsid w:val="00A61C33"/>
    <w:rsid w:val="00A62B35"/>
    <w:rsid w:val="00A64784"/>
    <w:rsid w:val="00A6587D"/>
    <w:rsid w:val="00A70AA2"/>
    <w:rsid w:val="00A74139"/>
    <w:rsid w:val="00A76B38"/>
    <w:rsid w:val="00A81346"/>
    <w:rsid w:val="00A868EC"/>
    <w:rsid w:val="00A87581"/>
    <w:rsid w:val="00A9083C"/>
    <w:rsid w:val="00A911F7"/>
    <w:rsid w:val="00A92389"/>
    <w:rsid w:val="00AA0413"/>
    <w:rsid w:val="00AA38E3"/>
    <w:rsid w:val="00AA5C82"/>
    <w:rsid w:val="00AB1AFF"/>
    <w:rsid w:val="00AC34DF"/>
    <w:rsid w:val="00AC3A0B"/>
    <w:rsid w:val="00AC4BA7"/>
    <w:rsid w:val="00AC4D5E"/>
    <w:rsid w:val="00AC7039"/>
    <w:rsid w:val="00AC787A"/>
    <w:rsid w:val="00AD0857"/>
    <w:rsid w:val="00AD3E53"/>
    <w:rsid w:val="00AD3EF5"/>
    <w:rsid w:val="00AD4299"/>
    <w:rsid w:val="00AD504A"/>
    <w:rsid w:val="00AD5603"/>
    <w:rsid w:val="00AD7F4B"/>
    <w:rsid w:val="00AE0369"/>
    <w:rsid w:val="00AE220E"/>
    <w:rsid w:val="00AE2691"/>
    <w:rsid w:val="00AE4D16"/>
    <w:rsid w:val="00AE56F5"/>
    <w:rsid w:val="00AE6997"/>
    <w:rsid w:val="00AF2B84"/>
    <w:rsid w:val="00AF670D"/>
    <w:rsid w:val="00AF6A0D"/>
    <w:rsid w:val="00B00527"/>
    <w:rsid w:val="00B010E8"/>
    <w:rsid w:val="00B05A53"/>
    <w:rsid w:val="00B05C44"/>
    <w:rsid w:val="00B130A7"/>
    <w:rsid w:val="00B14F30"/>
    <w:rsid w:val="00B162C3"/>
    <w:rsid w:val="00B17DCD"/>
    <w:rsid w:val="00B20AC4"/>
    <w:rsid w:val="00B21CB1"/>
    <w:rsid w:val="00B21D30"/>
    <w:rsid w:val="00B2552D"/>
    <w:rsid w:val="00B26474"/>
    <w:rsid w:val="00B27D81"/>
    <w:rsid w:val="00B324E3"/>
    <w:rsid w:val="00B34B09"/>
    <w:rsid w:val="00B3520D"/>
    <w:rsid w:val="00B35291"/>
    <w:rsid w:val="00B355CC"/>
    <w:rsid w:val="00B35F2E"/>
    <w:rsid w:val="00B36C4E"/>
    <w:rsid w:val="00B4113E"/>
    <w:rsid w:val="00B41ED7"/>
    <w:rsid w:val="00B4338A"/>
    <w:rsid w:val="00B43552"/>
    <w:rsid w:val="00B47927"/>
    <w:rsid w:val="00B51432"/>
    <w:rsid w:val="00B62180"/>
    <w:rsid w:val="00B66EDF"/>
    <w:rsid w:val="00B67DAF"/>
    <w:rsid w:val="00B703E9"/>
    <w:rsid w:val="00B72DC0"/>
    <w:rsid w:val="00B75673"/>
    <w:rsid w:val="00B758BE"/>
    <w:rsid w:val="00B76089"/>
    <w:rsid w:val="00B80D05"/>
    <w:rsid w:val="00B83165"/>
    <w:rsid w:val="00B86677"/>
    <w:rsid w:val="00B8688D"/>
    <w:rsid w:val="00B94059"/>
    <w:rsid w:val="00B947B7"/>
    <w:rsid w:val="00BA1891"/>
    <w:rsid w:val="00BA2E7F"/>
    <w:rsid w:val="00BA3D42"/>
    <w:rsid w:val="00BA5CDE"/>
    <w:rsid w:val="00BA755D"/>
    <w:rsid w:val="00BA7BC4"/>
    <w:rsid w:val="00BB134A"/>
    <w:rsid w:val="00BB363C"/>
    <w:rsid w:val="00BB4743"/>
    <w:rsid w:val="00BB4DCF"/>
    <w:rsid w:val="00BB63E9"/>
    <w:rsid w:val="00BC0D48"/>
    <w:rsid w:val="00BC5C87"/>
    <w:rsid w:val="00BC6DB8"/>
    <w:rsid w:val="00BD245C"/>
    <w:rsid w:val="00BD3091"/>
    <w:rsid w:val="00BD6295"/>
    <w:rsid w:val="00BD6CA9"/>
    <w:rsid w:val="00BD7245"/>
    <w:rsid w:val="00BD7888"/>
    <w:rsid w:val="00BD7A99"/>
    <w:rsid w:val="00BE0455"/>
    <w:rsid w:val="00BE1B5E"/>
    <w:rsid w:val="00BE1E44"/>
    <w:rsid w:val="00BE33BF"/>
    <w:rsid w:val="00BE5177"/>
    <w:rsid w:val="00BE51A7"/>
    <w:rsid w:val="00BE58D5"/>
    <w:rsid w:val="00BE5A92"/>
    <w:rsid w:val="00BE7003"/>
    <w:rsid w:val="00BE7C0C"/>
    <w:rsid w:val="00BF0F75"/>
    <w:rsid w:val="00BF16A5"/>
    <w:rsid w:val="00BF2782"/>
    <w:rsid w:val="00BF60D5"/>
    <w:rsid w:val="00BF6303"/>
    <w:rsid w:val="00BF6953"/>
    <w:rsid w:val="00C104A3"/>
    <w:rsid w:val="00C1212E"/>
    <w:rsid w:val="00C14B99"/>
    <w:rsid w:val="00C16143"/>
    <w:rsid w:val="00C17019"/>
    <w:rsid w:val="00C17355"/>
    <w:rsid w:val="00C229D0"/>
    <w:rsid w:val="00C25549"/>
    <w:rsid w:val="00C26039"/>
    <w:rsid w:val="00C26DCD"/>
    <w:rsid w:val="00C30B14"/>
    <w:rsid w:val="00C312E7"/>
    <w:rsid w:val="00C337B4"/>
    <w:rsid w:val="00C341FC"/>
    <w:rsid w:val="00C401A7"/>
    <w:rsid w:val="00C41101"/>
    <w:rsid w:val="00C412C6"/>
    <w:rsid w:val="00C43E30"/>
    <w:rsid w:val="00C441EA"/>
    <w:rsid w:val="00C4429C"/>
    <w:rsid w:val="00C45243"/>
    <w:rsid w:val="00C464DE"/>
    <w:rsid w:val="00C50057"/>
    <w:rsid w:val="00C510FE"/>
    <w:rsid w:val="00C52423"/>
    <w:rsid w:val="00C52E65"/>
    <w:rsid w:val="00C534B7"/>
    <w:rsid w:val="00C601FE"/>
    <w:rsid w:val="00C66077"/>
    <w:rsid w:val="00C73B10"/>
    <w:rsid w:val="00C746EA"/>
    <w:rsid w:val="00C75B01"/>
    <w:rsid w:val="00C76EF6"/>
    <w:rsid w:val="00C7781C"/>
    <w:rsid w:val="00C82A7F"/>
    <w:rsid w:val="00C83C2B"/>
    <w:rsid w:val="00C8507B"/>
    <w:rsid w:val="00C85269"/>
    <w:rsid w:val="00C85B3D"/>
    <w:rsid w:val="00C90B13"/>
    <w:rsid w:val="00C9272D"/>
    <w:rsid w:val="00C9412D"/>
    <w:rsid w:val="00C95978"/>
    <w:rsid w:val="00C95A22"/>
    <w:rsid w:val="00C96893"/>
    <w:rsid w:val="00CA09A8"/>
    <w:rsid w:val="00CA2046"/>
    <w:rsid w:val="00CA257E"/>
    <w:rsid w:val="00CA50E2"/>
    <w:rsid w:val="00CB3B76"/>
    <w:rsid w:val="00CB4CC4"/>
    <w:rsid w:val="00CB4E54"/>
    <w:rsid w:val="00CB5B9A"/>
    <w:rsid w:val="00CB6E36"/>
    <w:rsid w:val="00CC04D4"/>
    <w:rsid w:val="00CC26FA"/>
    <w:rsid w:val="00CC34AB"/>
    <w:rsid w:val="00CC6369"/>
    <w:rsid w:val="00CD0876"/>
    <w:rsid w:val="00CD4A42"/>
    <w:rsid w:val="00CD51E5"/>
    <w:rsid w:val="00CD6E92"/>
    <w:rsid w:val="00CD78A8"/>
    <w:rsid w:val="00CD7E8F"/>
    <w:rsid w:val="00CE08DB"/>
    <w:rsid w:val="00CE12F0"/>
    <w:rsid w:val="00CE24B9"/>
    <w:rsid w:val="00CE42BE"/>
    <w:rsid w:val="00CE478A"/>
    <w:rsid w:val="00CE48C7"/>
    <w:rsid w:val="00CE5408"/>
    <w:rsid w:val="00CF0825"/>
    <w:rsid w:val="00CF16BD"/>
    <w:rsid w:val="00CF1E8B"/>
    <w:rsid w:val="00CF4649"/>
    <w:rsid w:val="00CF68BE"/>
    <w:rsid w:val="00D0077F"/>
    <w:rsid w:val="00D01CA9"/>
    <w:rsid w:val="00D0218B"/>
    <w:rsid w:val="00D03161"/>
    <w:rsid w:val="00D032AC"/>
    <w:rsid w:val="00D073CD"/>
    <w:rsid w:val="00D109DA"/>
    <w:rsid w:val="00D1259D"/>
    <w:rsid w:val="00D12D0D"/>
    <w:rsid w:val="00D12F5A"/>
    <w:rsid w:val="00D13390"/>
    <w:rsid w:val="00D1358A"/>
    <w:rsid w:val="00D14B86"/>
    <w:rsid w:val="00D15013"/>
    <w:rsid w:val="00D16147"/>
    <w:rsid w:val="00D16A82"/>
    <w:rsid w:val="00D17646"/>
    <w:rsid w:val="00D20E1B"/>
    <w:rsid w:val="00D218B5"/>
    <w:rsid w:val="00D23FB4"/>
    <w:rsid w:val="00D27A5A"/>
    <w:rsid w:val="00D33209"/>
    <w:rsid w:val="00D3483A"/>
    <w:rsid w:val="00D34F97"/>
    <w:rsid w:val="00D35239"/>
    <w:rsid w:val="00D3574C"/>
    <w:rsid w:val="00D364A0"/>
    <w:rsid w:val="00D37573"/>
    <w:rsid w:val="00D41FAA"/>
    <w:rsid w:val="00D44C6B"/>
    <w:rsid w:val="00D50ADC"/>
    <w:rsid w:val="00D50B50"/>
    <w:rsid w:val="00D53250"/>
    <w:rsid w:val="00D539AA"/>
    <w:rsid w:val="00D60BA5"/>
    <w:rsid w:val="00D61CF7"/>
    <w:rsid w:val="00D61D6A"/>
    <w:rsid w:val="00D622D8"/>
    <w:rsid w:val="00D646FC"/>
    <w:rsid w:val="00D64F33"/>
    <w:rsid w:val="00D65C29"/>
    <w:rsid w:val="00D66A8D"/>
    <w:rsid w:val="00D74E0B"/>
    <w:rsid w:val="00D75222"/>
    <w:rsid w:val="00D75BFD"/>
    <w:rsid w:val="00D77872"/>
    <w:rsid w:val="00D80274"/>
    <w:rsid w:val="00D8061B"/>
    <w:rsid w:val="00D80FBD"/>
    <w:rsid w:val="00D82010"/>
    <w:rsid w:val="00D8258F"/>
    <w:rsid w:val="00D84C10"/>
    <w:rsid w:val="00D86879"/>
    <w:rsid w:val="00D87378"/>
    <w:rsid w:val="00D90249"/>
    <w:rsid w:val="00D90602"/>
    <w:rsid w:val="00D91871"/>
    <w:rsid w:val="00D918E7"/>
    <w:rsid w:val="00D94639"/>
    <w:rsid w:val="00D961FB"/>
    <w:rsid w:val="00D968CE"/>
    <w:rsid w:val="00DA1745"/>
    <w:rsid w:val="00DA276F"/>
    <w:rsid w:val="00DA27B2"/>
    <w:rsid w:val="00DA319F"/>
    <w:rsid w:val="00DA50DC"/>
    <w:rsid w:val="00DA52D1"/>
    <w:rsid w:val="00DA5361"/>
    <w:rsid w:val="00DA5876"/>
    <w:rsid w:val="00DA69AF"/>
    <w:rsid w:val="00DA6C06"/>
    <w:rsid w:val="00DB14B8"/>
    <w:rsid w:val="00DB2E04"/>
    <w:rsid w:val="00DB6C50"/>
    <w:rsid w:val="00DC0391"/>
    <w:rsid w:val="00DC1AC2"/>
    <w:rsid w:val="00DC27E2"/>
    <w:rsid w:val="00DC340A"/>
    <w:rsid w:val="00DC5842"/>
    <w:rsid w:val="00DC5A3A"/>
    <w:rsid w:val="00DC5E5D"/>
    <w:rsid w:val="00DC7C0F"/>
    <w:rsid w:val="00DD24CE"/>
    <w:rsid w:val="00DD3978"/>
    <w:rsid w:val="00DD3DBC"/>
    <w:rsid w:val="00DD42D7"/>
    <w:rsid w:val="00DD5C49"/>
    <w:rsid w:val="00DD5DE4"/>
    <w:rsid w:val="00DE03A7"/>
    <w:rsid w:val="00DE0F49"/>
    <w:rsid w:val="00DE1433"/>
    <w:rsid w:val="00DE28A8"/>
    <w:rsid w:val="00DE29AF"/>
    <w:rsid w:val="00DE3B74"/>
    <w:rsid w:val="00DE4EE4"/>
    <w:rsid w:val="00DE5842"/>
    <w:rsid w:val="00DF4AA4"/>
    <w:rsid w:val="00DF5964"/>
    <w:rsid w:val="00DF7816"/>
    <w:rsid w:val="00E02EF9"/>
    <w:rsid w:val="00E04073"/>
    <w:rsid w:val="00E04835"/>
    <w:rsid w:val="00E05362"/>
    <w:rsid w:val="00E0768B"/>
    <w:rsid w:val="00E1080C"/>
    <w:rsid w:val="00E11AAB"/>
    <w:rsid w:val="00E13551"/>
    <w:rsid w:val="00E13869"/>
    <w:rsid w:val="00E2130A"/>
    <w:rsid w:val="00E22A18"/>
    <w:rsid w:val="00E22D53"/>
    <w:rsid w:val="00E237DC"/>
    <w:rsid w:val="00E26B13"/>
    <w:rsid w:val="00E30C4C"/>
    <w:rsid w:val="00E30D5B"/>
    <w:rsid w:val="00E3329A"/>
    <w:rsid w:val="00E35408"/>
    <w:rsid w:val="00E361F2"/>
    <w:rsid w:val="00E36DD0"/>
    <w:rsid w:val="00E4235A"/>
    <w:rsid w:val="00E433B9"/>
    <w:rsid w:val="00E433C4"/>
    <w:rsid w:val="00E5055B"/>
    <w:rsid w:val="00E52CCD"/>
    <w:rsid w:val="00E52E45"/>
    <w:rsid w:val="00E55722"/>
    <w:rsid w:val="00E55EF0"/>
    <w:rsid w:val="00E614A8"/>
    <w:rsid w:val="00E6191A"/>
    <w:rsid w:val="00E630FB"/>
    <w:rsid w:val="00E64A27"/>
    <w:rsid w:val="00E66FE9"/>
    <w:rsid w:val="00E7118C"/>
    <w:rsid w:val="00E72A65"/>
    <w:rsid w:val="00E73C6D"/>
    <w:rsid w:val="00E746F4"/>
    <w:rsid w:val="00E74775"/>
    <w:rsid w:val="00E75168"/>
    <w:rsid w:val="00E75A83"/>
    <w:rsid w:val="00E77198"/>
    <w:rsid w:val="00E7722E"/>
    <w:rsid w:val="00E8099E"/>
    <w:rsid w:val="00E82AA3"/>
    <w:rsid w:val="00E8307D"/>
    <w:rsid w:val="00E83F3F"/>
    <w:rsid w:val="00E870AA"/>
    <w:rsid w:val="00E9260A"/>
    <w:rsid w:val="00E92C8E"/>
    <w:rsid w:val="00E93420"/>
    <w:rsid w:val="00E9510D"/>
    <w:rsid w:val="00E96DBA"/>
    <w:rsid w:val="00EA3BB2"/>
    <w:rsid w:val="00EA40CE"/>
    <w:rsid w:val="00EA5A23"/>
    <w:rsid w:val="00EA6B52"/>
    <w:rsid w:val="00EB31E7"/>
    <w:rsid w:val="00EB593F"/>
    <w:rsid w:val="00EB698C"/>
    <w:rsid w:val="00EB7411"/>
    <w:rsid w:val="00EB7813"/>
    <w:rsid w:val="00EC0B95"/>
    <w:rsid w:val="00EC1AD3"/>
    <w:rsid w:val="00EC31A3"/>
    <w:rsid w:val="00EC36E0"/>
    <w:rsid w:val="00EC380E"/>
    <w:rsid w:val="00EC6C7E"/>
    <w:rsid w:val="00EC76AA"/>
    <w:rsid w:val="00ED02EA"/>
    <w:rsid w:val="00ED126B"/>
    <w:rsid w:val="00ED2EE8"/>
    <w:rsid w:val="00ED31C1"/>
    <w:rsid w:val="00ED4E68"/>
    <w:rsid w:val="00ED5FD6"/>
    <w:rsid w:val="00ED766B"/>
    <w:rsid w:val="00ED7777"/>
    <w:rsid w:val="00EE0AFC"/>
    <w:rsid w:val="00EE0CEB"/>
    <w:rsid w:val="00EE1074"/>
    <w:rsid w:val="00EE28A0"/>
    <w:rsid w:val="00EE45B1"/>
    <w:rsid w:val="00EE5D66"/>
    <w:rsid w:val="00EE7317"/>
    <w:rsid w:val="00EF0CC7"/>
    <w:rsid w:val="00EF25AC"/>
    <w:rsid w:val="00EF3F05"/>
    <w:rsid w:val="00F015BA"/>
    <w:rsid w:val="00F04AEC"/>
    <w:rsid w:val="00F05273"/>
    <w:rsid w:val="00F0564A"/>
    <w:rsid w:val="00F06869"/>
    <w:rsid w:val="00F12320"/>
    <w:rsid w:val="00F13140"/>
    <w:rsid w:val="00F13D5C"/>
    <w:rsid w:val="00F13EDA"/>
    <w:rsid w:val="00F152C9"/>
    <w:rsid w:val="00F173BE"/>
    <w:rsid w:val="00F23027"/>
    <w:rsid w:val="00F27A74"/>
    <w:rsid w:val="00F27FE4"/>
    <w:rsid w:val="00F30F6B"/>
    <w:rsid w:val="00F32A02"/>
    <w:rsid w:val="00F33B25"/>
    <w:rsid w:val="00F33D14"/>
    <w:rsid w:val="00F34026"/>
    <w:rsid w:val="00F3413C"/>
    <w:rsid w:val="00F34493"/>
    <w:rsid w:val="00F43908"/>
    <w:rsid w:val="00F44642"/>
    <w:rsid w:val="00F448F0"/>
    <w:rsid w:val="00F459E7"/>
    <w:rsid w:val="00F4657F"/>
    <w:rsid w:val="00F47735"/>
    <w:rsid w:val="00F509A6"/>
    <w:rsid w:val="00F51560"/>
    <w:rsid w:val="00F51A4A"/>
    <w:rsid w:val="00F54A47"/>
    <w:rsid w:val="00F54C13"/>
    <w:rsid w:val="00F54F88"/>
    <w:rsid w:val="00F55542"/>
    <w:rsid w:val="00F55564"/>
    <w:rsid w:val="00F5694E"/>
    <w:rsid w:val="00F57294"/>
    <w:rsid w:val="00F63529"/>
    <w:rsid w:val="00F63A6C"/>
    <w:rsid w:val="00F659A7"/>
    <w:rsid w:val="00F662B4"/>
    <w:rsid w:val="00F67169"/>
    <w:rsid w:val="00F702A9"/>
    <w:rsid w:val="00F71165"/>
    <w:rsid w:val="00F72443"/>
    <w:rsid w:val="00F746C4"/>
    <w:rsid w:val="00F75405"/>
    <w:rsid w:val="00F7569E"/>
    <w:rsid w:val="00F76B7C"/>
    <w:rsid w:val="00F774C2"/>
    <w:rsid w:val="00F8039B"/>
    <w:rsid w:val="00F8082B"/>
    <w:rsid w:val="00F8085A"/>
    <w:rsid w:val="00F81A69"/>
    <w:rsid w:val="00F824AA"/>
    <w:rsid w:val="00F84494"/>
    <w:rsid w:val="00F90508"/>
    <w:rsid w:val="00F9550A"/>
    <w:rsid w:val="00F955AA"/>
    <w:rsid w:val="00F95F78"/>
    <w:rsid w:val="00F96A4A"/>
    <w:rsid w:val="00F970DE"/>
    <w:rsid w:val="00FA1D00"/>
    <w:rsid w:val="00FA3133"/>
    <w:rsid w:val="00FA42C0"/>
    <w:rsid w:val="00FA47CD"/>
    <w:rsid w:val="00FA48FC"/>
    <w:rsid w:val="00FA4997"/>
    <w:rsid w:val="00FA5E85"/>
    <w:rsid w:val="00FA6B66"/>
    <w:rsid w:val="00FB094A"/>
    <w:rsid w:val="00FB10B2"/>
    <w:rsid w:val="00FB324C"/>
    <w:rsid w:val="00FB6E09"/>
    <w:rsid w:val="00FB70A0"/>
    <w:rsid w:val="00FC0D24"/>
    <w:rsid w:val="00FC19F2"/>
    <w:rsid w:val="00FC29E9"/>
    <w:rsid w:val="00FC2CF0"/>
    <w:rsid w:val="00FC50DA"/>
    <w:rsid w:val="00FC57DB"/>
    <w:rsid w:val="00FC60E4"/>
    <w:rsid w:val="00FC7357"/>
    <w:rsid w:val="00FD52A1"/>
    <w:rsid w:val="00FD61BF"/>
    <w:rsid w:val="00FD6C47"/>
    <w:rsid w:val="00FE017E"/>
    <w:rsid w:val="00FE0F07"/>
    <w:rsid w:val="00FE10E1"/>
    <w:rsid w:val="00FE122E"/>
    <w:rsid w:val="00FE231C"/>
    <w:rsid w:val="00FE29B6"/>
    <w:rsid w:val="00FE5618"/>
    <w:rsid w:val="00FE6A46"/>
    <w:rsid w:val="00FE76F1"/>
    <w:rsid w:val="00FF2296"/>
    <w:rsid w:val="00FF29F3"/>
    <w:rsid w:val="00FF2A1C"/>
    <w:rsid w:val="00FF38C9"/>
    <w:rsid w:val="00FF4DA0"/>
    <w:rsid w:val="00FF5D0A"/>
    <w:rsid w:val="00FF63D2"/>
    <w:rsid w:val="00FF63F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701089C"/>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1">
    <w:name w:val="heading 1"/>
    <w:basedOn w:val="Normalny"/>
    <w:next w:val="Normalny"/>
    <w:link w:val="Nagwek1Znak"/>
    <w:uiPriority w:val="9"/>
    <w:qFormat/>
    <w:rsid w:val="00895F16"/>
    <w:pPr>
      <w:keepNext/>
      <w:spacing w:after="0" w:line="240" w:lineRule="auto"/>
      <w:outlineLvl w:val="0"/>
    </w:pPr>
    <w:rPr>
      <w:rFonts w:ascii="Times New Roman" w:eastAsia="Times New Roman" w:hAnsi="Times New Roman" w:cs="Times New Roman"/>
      <w:b/>
      <w:bCs/>
      <w:sz w:val="24"/>
      <w:szCs w:val="24"/>
      <w:lang w:val="x-none" w:eastAsia="x-none"/>
    </w:rPr>
  </w:style>
  <w:style w:type="paragraph" w:styleId="Nagwek2">
    <w:name w:val="heading 2"/>
    <w:basedOn w:val="Normalny"/>
    <w:next w:val="Normalny"/>
    <w:link w:val="Nagwek2Znak"/>
    <w:unhideWhenUsed/>
    <w:qFormat/>
    <w:rsid w:val="00895F16"/>
    <w:pPr>
      <w:keepNext/>
      <w:spacing w:before="240" w:after="60" w:line="240" w:lineRule="auto"/>
      <w:outlineLvl w:val="1"/>
    </w:pPr>
    <w:rPr>
      <w:rFonts w:ascii="Times New Roman" w:eastAsia="Times New Roman" w:hAnsi="Times New Roman" w:cs="Times New Roman"/>
      <w:b/>
      <w:bCs/>
      <w:iCs/>
      <w:sz w:val="24"/>
      <w:szCs w:val="28"/>
      <w:lang w:val="x-none" w:eastAsia="pl-PL"/>
    </w:rPr>
  </w:style>
  <w:style w:type="paragraph" w:styleId="Nagwek3">
    <w:name w:val="heading 3"/>
    <w:basedOn w:val="Normalny"/>
    <w:next w:val="Normalny"/>
    <w:link w:val="Nagwek3Znak"/>
    <w:uiPriority w:val="9"/>
    <w:qFormat/>
    <w:rsid w:val="00895F16"/>
    <w:pPr>
      <w:keepNext/>
      <w:keepLines/>
      <w:spacing w:before="200" w:after="0" w:line="240" w:lineRule="auto"/>
      <w:outlineLvl w:val="2"/>
    </w:pPr>
    <w:rPr>
      <w:rFonts w:ascii="Cambria" w:eastAsia="Times New Roman" w:hAnsi="Cambria" w:cs="Times New Roman"/>
      <w:b/>
      <w:bCs/>
      <w:color w:val="4F81BD"/>
      <w:sz w:val="20"/>
      <w:szCs w:val="20"/>
      <w:lang w:val="x-none" w:eastAsia="x-none"/>
    </w:rPr>
  </w:style>
  <w:style w:type="paragraph" w:styleId="Nagwek4">
    <w:name w:val="heading 4"/>
    <w:basedOn w:val="Normalny"/>
    <w:next w:val="Normalny"/>
    <w:link w:val="Nagwek4Znak"/>
    <w:uiPriority w:val="9"/>
    <w:unhideWhenUsed/>
    <w:qFormat/>
    <w:rsid w:val="00895F16"/>
    <w:pPr>
      <w:keepNext/>
      <w:spacing w:before="240" w:after="60" w:line="240" w:lineRule="auto"/>
      <w:outlineLvl w:val="3"/>
    </w:pPr>
    <w:rPr>
      <w:rFonts w:ascii="Times New Roman" w:eastAsia="Times New Roman" w:hAnsi="Times New Roman" w:cs="Times New Roman"/>
      <w:b/>
      <w:bCs/>
      <w:sz w:val="28"/>
      <w:szCs w:val="28"/>
      <w:lang w:val="x-none" w:eastAsia="pl-PL"/>
    </w:rPr>
  </w:style>
  <w:style w:type="paragraph" w:styleId="Nagwek5">
    <w:name w:val="heading 5"/>
    <w:basedOn w:val="Normalny"/>
    <w:next w:val="Normalny"/>
    <w:link w:val="Nagwek5Znak"/>
    <w:uiPriority w:val="9"/>
    <w:unhideWhenUsed/>
    <w:qFormat/>
    <w:rsid w:val="00895F16"/>
    <w:pPr>
      <w:spacing w:before="240" w:after="60" w:line="240" w:lineRule="auto"/>
      <w:outlineLvl w:val="4"/>
    </w:pPr>
    <w:rPr>
      <w:rFonts w:ascii="Times New Roman" w:eastAsia="Times New Roman" w:hAnsi="Times New Roman" w:cs="Times New Roman"/>
      <w:b/>
      <w:bCs/>
      <w:i/>
      <w:iCs/>
      <w:sz w:val="26"/>
      <w:szCs w:val="26"/>
      <w:lang w:val="x-none" w:eastAsia="pl-PL"/>
    </w:rPr>
  </w:style>
  <w:style w:type="paragraph" w:styleId="Nagwek6">
    <w:name w:val="heading 6"/>
    <w:basedOn w:val="Normalny"/>
    <w:next w:val="Normalny"/>
    <w:link w:val="Nagwek6Znak"/>
    <w:unhideWhenUsed/>
    <w:qFormat/>
    <w:rsid w:val="00895F16"/>
    <w:pPr>
      <w:spacing w:before="240" w:after="60" w:line="240" w:lineRule="auto"/>
      <w:outlineLvl w:val="5"/>
    </w:pPr>
    <w:rPr>
      <w:rFonts w:ascii="Times New Roman" w:eastAsia="Times New Roman" w:hAnsi="Times New Roman" w:cs="Times New Roman"/>
      <w:b/>
      <w:bCs/>
      <w:sz w:val="20"/>
      <w:szCs w:val="20"/>
      <w:lang w:val="x-none" w:eastAsia="pl-PL"/>
    </w:rPr>
  </w:style>
  <w:style w:type="paragraph" w:styleId="Nagwek7">
    <w:name w:val="heading 7"/>
    <w:basedOn w:val="Normalny"/>
    <w:next w:val="Normalny"/>
    <w:link w:val="Nagwek7Znak"/>
    <w:unhideWhenUsed/>
    <w:qFormat/>
    <w:rsid w:val="00895F16"/>
    <w:pPr>
      <w:spacing w:before="240" w:after="60" w:line="240" w:lineRule="auto"/>
      <w:outlineLvl w:val="6"/>
    </w:pPr>
    <w:rPr>
      <w:rFonts w:ascii="Times New Roman" w:eastAsia="Times New Roman" w:hAnsi="Times New Roman" w:cs="Times New Roman"/>
      <w:sz w:val="24"/>
      <w:szCs w:val="24"/>
      <w:lang w:val="x-none"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895F16"/>
    <w:rPr>
      <w:rFonts w:ascii="Times New Roman" w:eastAsia="Times New Roman" w:hAnsi="Times New Roman" w:cs="Times New Roman"/>
      <w:b/>
      <w:bCs/>
      <w:sz w:val="24"/>
      <w:szCs w:val="24"/>
      <w:lang w:val="x-none" w:eastAsia="x-none"/>
    </w:rPr>
  </w:style>
  <w:style w:type="character" w:customStyle="1" w:styleId="Nagwek2Znak">
    <w:name w:val="Nagłówek 2 Znak"/>
    <w:basedOn w:val="Domylnaczcionkaakapitu"/>
    <w:link w:val="Nagwek2"/>
    <w:rsid w:val="00895F16"/>
    <w:rPr>
      <w:rFonts w:ascii="Times New Roman" w:eastAsia="Times New Roman" w:hAnsi="Times New Roman" w:cs="Times New Roman"/>
      <w:b/>
      <w:bCs/>
      <w:iCs/>
      <w:sz w:val="24"/>
      <w:szCs w:val="28"/>
      <w:lang w:val="x-none" w:eastAsia="pl-PL"/>
    </w:rPr>
  </w:style>
  <w:style w:type="character" w:customStyle="1" w:styleId="Nagwek3Znak">
    <w:name w:val="Nagłówek 3 Znak"/>
    <w:basedOn w:val="Domylnaczcionkaakapitu"/>
    <w:link w:val="Nagwek3"/>
    <w:uiPriority w:val="9"/>
    <w:rsid w:val="00895F16"/>
    <w:rPr>
      <w:rFonts w:ascii="Cambria" w:eastAsia="Times New Roman" w:hAnsi="Cambria" w:cs="Times New Roman"/>
      <w:b/>
      <w:bCs/>
      <w:color w:val="4F81BD"/>
      <w:sz w:val="20"/>
      <w:szCs w:val="20"/>
      <w:lang w:val="x-none" w:eastAsia="x-none"/>
    </w:rPr>
  </w:style>
  <w:style w:type="character" w:customStyle="1" w:styleId="Nagwek4Znak">
    <w:name w:val="Nagłówek 4 Znak"/>
    <w:basedOn w:val="Domylnaczcionkaakapitu"/>
    <w:link w:val="Nagwek4"/>
    <w:uiPriority w:val="9"/>
    <w:rsid w:val="00895F16"/>
    <w:rPr>
      <w:rFonts w:ascii="Times New Roman" w:eastAsia="Times New Roman" w:hAnsi="Times New Roman" w:cs="Times New Roman"/>
      <w:b/>
      <w:bCs/>
      <w:sz w:val="28"/>
      <w:szCs w:val="28"/>
      <w:lang w:val="x-none" w:eastAsia="pl-PL"/>
    </w:rPr>
  </w:style>
  <w:style w:type="character" w:customStyle="1" w:styleId="Nagwek5Znak">
    <w:name w:val="Nagłówek 5 Znak"/>
    <w:basedOn w:val="Domylnaczcionkaakapitu"/>
    <w:link w:val="Nagwek5"/>
    <w:uiPriority w:val="9"/>
    <w:rsid w:val="00895F16"/>
    <w:rPr>
      <w:rFonts w:ascii="Times New Roman" w:eastAsia="Times New Roman" w:hAnsi="Times New Roman" w:cs="Times New Roman"/>
      <w:b/>
      <w:bCs/>
      <w:i/>
      <w:iCs/>
      <w:sz w:val="26"/>
      <w:szCs w:val="26"/>
      <w:lang w:val="x-none" w:eastAsia="pl-PL"/>
    </w:rPr>
  </w:style>
  <w:style w:type="character" w:customStyle="1" w:styleId="Nagwek6Znak">
    <w:name w:val="Nagłówek 6 Znak"/>
    <w:basedOn w:val="Domylnaczcionkaakapitu"/>
    <w:link w:val="Nagwek6"/>
    <w:rsid w:val="00895F16"/>
    <w:rPr>
      <w:rFonts w:ascii="Times New Roman" w:eastAsia="Times New Roman" w:hAnsi="Times New Roman" w:cs="Times New Roman"/>
      <w:b/>
      <w:bCs/>
      <w:sz w:val="20"/>
      <w:szCs w:val="20"/>
      <w:lang w:val="x-none" w:eastAsia="pl-PL"/>
    </w:rPr>
  </w:style>
  <w:style w:type="character" w:customStyle="1" w:styleId="Nagwek7Znak">
    <w:name w:val="Nagłówek 7 Znak"/>
    <w:basedOn w:val="Domylnaczcionkaakapitu"/>
    <w:link w:val="Nagwek7"/>
    <w:rsid w:val="00895F16"/>
    <w:rPr>
      <w:rFonts w:ascii="Times New Roman" w:eastAsia="Times New Roman" w:hAnsi="Times New Roman" w:cs="Times New Roman"/>
      <w:sz w:val="24"/>
      <w:szCs w:val="24"/>
      <w:lang w:val="x-none" w:eastAsia="pl-PL"/>
    </w:rPr>
  </w:style>
  <w:style w:type="numbering" w:customStyle="1" w:styleId="Bezlisty1">
    <w:name w:val="Bez listy1"/>
    <w:next w:val="Bezlisty"/>
    <w:uiPriority w:val="99"/>
    <w:semiHidden/>
    <w:unhideWhenUsed/>
    <w:rsid w:val="00895F16"/>
  </w:style>
  <w:style w:type="numbering" w:customStyle="1" w:styleId="Bezlisty11">
    <w:name w:val="Bez listy11"/>
    <w:next w:val="Bezlisty"/>
    <w:uiPriority w:val="99"/>
    <w:semiHidden/>
    <w:unhideWhenUsed/>
    <w:rsid w:val="00895F16"/>
  </w:style>
  <w:style w:type="paragraph" w:styleId="Akapitzlist">
    <w:name w:val="List Paragraph"/>
    <w:aliases w:val="Sl_Akapit z listą,List Paragraph,Lista z kreskami,Preambuła,L1,Numerowanie,Wypunktowanie,BulletC,Obiekt,normalny tekst,Akapit z listą31,Bullets,sw tekst,T_SZ_List Paragraph,ISCG Numerowanie,lp1,EChW Lista W Akapicie,EChW Lista w akapicie"/>
    <w:basedOn w:val="Normalny"/>
    <w:link w:val="AkapitzlistZnak"/>
    <w:uiPriority w:val="34"/>
    <w:qFormat/>
    <w:rsid w:val="00895F16"/>
    <w:pPr>
      <w:spacing w:after="0" w:line="240" w:lineRule="auto"/>
      <w:ind w:left="720"/>
      <w:contextualSpacing/>
    </w:pPr>
    <w:rPr>
      <w:rFonts w:ascii="Times New Roman" w:eastAsia="Calibri" w:hAnsi="Times New Roman" w:cs="Times New Roman"/>
      <w:sz w:val="20"/>
      <w:szCs w:val="20"/>
      <w:lang w:val="x-none" w:eastAsia="pl-PL"/>
    </w:rPr>
  </w:style>
  <w:style w:type="paragraph" w:styleId="Tekstprzypisudolnego">
    <w:name w:val="footnote text"/>
    <w:aliases w:val="-E Fuﬂnotentext,Fuﬂnotentext Ursprung,footnote text,Fußnotentext Ursprung,-E Fußnotentext,Podrozdział,Tekst przypisu,Przypis,Footnote,Podrozdzia3,Podrozdzia³,voetnoot,voetnoot1,voetno,voetnoot2,voetnoot3,voetnoot4,voetnoot5"/>
    <w:basedOn w:val="Normalny"/>
    <w:link w:val="TekstprzypisudolnegoZnak"/>
    <w:uiPriority w:val="99"/>
    <w:unhideWhenUsed/>
    <w:rsid w:val="00895F16"/>
    <w:pPr>
      <w:autoSpaceDE w:val="0"/>
      <w:autoSpaceDN w:val="0"/>
      <w:spacing w:after="0" w:line="240" w:lineRule="auto"/>
    </w:pPr>
    <w:rPr>
      <w:rFonts w:ascii="Times New Roman" w:eastAsia="Times New Roman" w:hAnsi="Times New Roman" w:cs="Times New Roman"/>
      <w:sz w:val="20"/>
      <w:szCs w:val="20"/>
      <w:lang w:val="x-none" w:eastAsia="pl-PL"/>
    </w:rPr>
  </w:style>
  <w:style w:type="character" w:customStyle="1" w:styleId="TekstprzypisudolnegoZnak">
    <w:name w:val="Tekst przypisu dolnego Znak"/>
    <w:aliases w:val="-E Fuﬂnotentext Znak,Fuﬂnotentext Ursprung Znak,footnote text Znak,Fußnotentext Ursprung Znak,-E Fußnotentext Znak,Podrozdział Znak,Tekst przypisu Znak,Przypis Znak,Footnote Znak,Podrozdzia3 Znak,Podrozdzia³ Znak,voetno Znak"/>
    <w:basedOn w:val="Domylnaczcionkaakapitu"/>
    <w:link w:val="Tekstprzypisudolnego"/>
    <w:uiPriority w:val="99"/>
    <w:rsid w:val="00895F16"/>
    <w:rPr>
      <w:rFonts w:ascii="Times New Roman" w:eastAsia="Times New Roman" w:hAnsi="Times New Roman" w:cs="Times New Roman"/>
      <w:sz w:val="20"/>
      <w:szCs w:val="20"/>
      <w:lang w:val="x-none" w:eastAsia="pl-PL"/>
    </w:rPr>
  </w:style>
  <w:style w:type="character" w:styleId="Odwoanieprzypisudolnego">
    <w:name w:val="footnote reference"/>
    <w:aliases w:val="Odwołanie przypisu"/>
    <w:unhideWhenUsed/>
    <w:qFormat/>
    <w:rsid w:val="00895F16"/>
    <w:rPr>
      <w:rFonts w:ascii="Times New Roman" w:hAnsi="Times New Roman"/>
      <w:sz w:val="20"/>
      <w:vertAlign w:val="superscript"/>
    </w:rPr>
  </w:style>
  <w:style w:type="paragraph" w:styleId="Legenda">
    <w:name w:val="caption"/>
    <w:aliases w:val="podps_tab_rys,Podpis nad obiektem,Legenda Znak Znak Znak,Legenda Znak Znak,Legenda Znak Znak Znak Znak,Legenda Znak Znak Znak Znak Znak Znak,Legenda Znak Znak Znak Znak Znak Znak Znak,Legenda Znak Znak Znak Znak Znak Znak Znak Znak Znak Z,Znak"/>
    <w:basedOn w:val="Normalny"/>
    <w:next w:val="Normalny"/>
    <w:link w:val="LegendaZnak"/>
    <w:uiPriority w:val="35"/>
    <w:qFormat/>
    <w:rsid w:val="00895F16"/>
    <w:pPr>
      <w:spacing w:after="0" w:line="240" w:lineRule="auto"/>
    </w:pPr>
    <w:rPr>
      <w:rFonts w:ascii="Times New Roman" w:eastAsia="Calibri" w:hAnsi="Times New Roman" w:cs="Times New Roman"/>
      <w:b/>
      <w:bCs/>
      <w:color w:val="4F81BD"/>
      <w:sz w:val="18"/>
      <w:szCs w:val="18"/>
      <w:lang w:val="x-none" w:eastAsia="pl-PL"/>
    </w:rPr>
  </w:style>
  <w:style w:type="paragraph" w:styleId="Tekstdymka">
    <w:name w:val="Balloon Text"/>
    <w:basedOn w:val="Normalny"/>
    <w:link w:val="TekstdymkaZnak"/>
    <w:uiPriority w:val="99"/>
    <w:unhideWhenUsed/>
    <w:rsid w:val="00895F16"/>
    <w:pPr>
      <w:spacing w:after="0" w:line="240" w:lineRule="auto"/>
    </w:pPr>
    <w:rPr>
      <w:rFonts w:ascii="Tahoma" w:eastAsia="Calibri" w:hAnsi="Tahoma" w:cs="Times New Roman"/>
      <w:sz w:val="16"/>
      <w:szCs w:val="16"/>
      <w:lang w:val="x-none" w:eastAsia="x-none"/>
    </w:rPr>
  </w:style>
  <w:style w:type="character" w:customStyle="1" w:styleId="TekstdymkaZnak">
    <w:name w:val="Tekst dymka Znak"/>
    <w:basedOn w:val="Domylnaczcionkaakapitu"/>
    <w:link w:val="Tekstdymka"/>
    <w:uiPriority w:val="99"/>
    <w:rsid w:val="00895F16"/>
    <w:rPr>
      <w:rFonts w:ascii="Tahoma" w:eastAsia="Calibri" w:hAnsi="Tahoma" w:cs="Times New Roman"/>
      <w:sz w:val="16"/>
      <w:szCs w:val="16"/>
      <w:lang w:val="x-none" w:eastAsia="x-none"/>
    </w:rPr>
  </w:style>
  <w:style w:type="paragraph" w:styleId="Nagwek">
    <w:name w:val="header"/>
    <w:basedOn w:val="Normalny"/>
    <w:link w:val="NagwekZnak"/>
    <w:uiPriority w:val="99"/>
    <w:unhideWhenUsed/>
    <w:rsid w:val="00895F16"/>
    <w:pPr>
      <w:tabs>
        <w:tab w:val="center" w:pos="4536"/>
        <w:tab w:val="right" w:pos="9072"/>
      </w:tabs>
      <w:spacing w:after="0" w:line="240" w:lineRule="auto"/>
    </w:pPr>
    <w:rPr>
      <w:rFonts w:ascii="Times New Roman" w:eastAsia="Calibri" w:hAnsi="Times New Roman" w:cs="Times New Roman"/>
      <w:sz w:val="20"/>
      <w:szCs w:val="20"/>
      <w:lang w:val="x-none" w:eastAsia="pl-PL"/>
    </w:rPr>
  </w:style>
  <w:style w:type="character" w:customStyle="1" w:styleId="NagwekZnak">
    <w:name w:val="Nagłówek Znak"/>
    <w:basedOn w:val="Domylnaczcionkaakapitu"/>
    <w:link w:val="Nagwek"/>
    <w:uiPriority w:val="99"/>
    <w:rsid w:val="00895F16"/>
    <w:rPr>
      <w:rFonts w:ascii="Times New Roman" w:eastAsia="Calibri" w:hAnsi="Times New Roman" w:cs="Times New Roman"/>
      <w:sz w:val="20"/>
      <w:szCs w:val="20"/>
      <w:lang w:val="x-none" w:eastAsia="pl-PL"/>
    </w:rPr>
  </w:style>
  <w:style w:type="paragraph" w:styleId="Stopka">
    <w:name w:val="footer"/>
    <w:basedOn w:val="Normalny"/>
    <w:link w:val="StopkaZnak"/>
    <w:uiPriority w:val="99"/>
    <w:unhideWhenUsed/>
    <w:rsid w:val="00895F16"/>
    <w:pPr>
      <w:tabs>
        <w:tab w:val="center" w:pos="4536"/>
        <w:tab w:val="right" w:pos="9072"/>
      </w:tabs>
      <w:spacing w:after="0" w:line="240" w:lineRule="auto"/>
    </w:pPr>
    <w:rPr>
      <w:rFonts w:ascii="Times New Roman" w:eastAsia="Calibri" w:hAnsi="Times New Roman" w:cs="Times New Roman"/>
      <w:sz w:val="20"/>
      <w:szCs w:val="20"/>
      <w:lang w:val="x-none" w:eastAsia="pl-PL"/>
    </w:rPr>
  </w:style>
  <w:style w:type="character" w:customStyle="1" w:styleId="StopkaZnak">
    <w:name w:val="Stopka Znak"/>
    <w:basedOn w:val="Domylnaczcionkaakapitu"/>
    <w:link w:val="Stopka"/>
    <w:uiPriority w:val="99"/>
    <w:rsid w:val="00895F16"/>
    <w:rPr>
      <w:rFonts w:ascii="Times New Roman" w:eastAsia="Calibri" w:hAnsi="Times New Roman" w:cs="Times New Roman"/>
      <w:sz w:val="20"/>
      <w:szCs w:val="20"/>
      <w:lang w:val="x-none" w:eastAsia="pl-PL"/>
    </w:rPr>
  </w:style>
  <w:style w:type="paragraph" w:styleId="Bezodstpw">
    <w:name w:val="No Spacing"/>
    <w:link w:val="BezodstpwZnak"/>
    <w:uiPriority w:val="1"/>
    <w:qFormat/>
    <w:rsid w:val="00895F16"/>
    <w:pPr>
      <w:spacing w:after="0" w:line="240" w:lineRule="auto"/>
    </w:pPr>
    <w:rPr>
      <w:rFonts w:ascii="Calibri" w:eastAsia="Calibri" w:hAnsi="Calibri" w:cs="Times New Roman"/>
    </w:rPr>
  </w:style>
  <w:style w:type="paragraph" w:styleId="Tekstpodstawowy">
    <w:name w:val="Body Text"/>
    <w:aliases w:val="anita1,Tekst podstawowy Znak Znak Znak Znak,Tekst podstawowy Znak Znak"/>
    <w:basedOn w:val="Normalny"/>
    <w:link w:val="TekstpodstawowyZnak"/>
    <w:uiPriority w:val="99"/>
    <w:unhideWhenUsed/>
    <w:rsid w:val="00895F16"/>
    <w:pPr>
      <w:spacing w:after="120" w:line="240" w:lineRule="auto"/>
    </w:pPr>
    <w:rPr>
      <w:rFonts w:ascii="Times New Roman" w:eastAsia="Times New Roman" w:hAnsi="Times New Roman" w:cs="Times New Roman"/>
      <w:sz w:val="24"/>
      <w:szCs w:val="24"/>
      <w:lang w:val="x-none" w:eastAsia="x-none"/>
    </w:rPr>
  </w:style>
  <w:style w:type="character" w:customStyle="1" w:styleId="TekstpodstawowyZnak">
    <w:name w:val="Tekst podstawowy Znak"/>
    <w:aliases w:val="anita1 Znak,Tekst podstawowy Znak Znak Znak Znak Znak,Tekst podstawowy Znak Znak Znak"/>
    <w:basedOn w:val="Domylnaczcionkaakapitu"/>
    <w:link w:val="Tekstpodstawowy"/>
    <w:uiPriority w:val="99"/>
    <w:rsid w:val="00895F16"/>
    <w:rPr>
      <w:rFonts w:ascii="Times New Roman" w:eastAsia="Times New Roman" w:hAnsi="Times New Roman" w:cs="Times New Roman"/>
      <w:sz w:val="24"/>
      <w:szCs w:val="24"/>
      <w:lang w:val="x-none" w:eastAsia="x-none"/>
    </w:rPr>
  </w:style>
  <w:style w:type="paragraph" w:styleId="Tekstpodstawowywcity2">
    <w:name w:val="Body Text Indent 2"/>
    <w:basedOn w:val="Normalny"/>
    <w:link w:val="Tekstpodstawowywcity2Znak"/>
    <w:unhideWhenUsed/>
    <w:rsid w:val="00895F16"/>
    <w:pPr>
      <w:spacing w:after="120" w:line="480" w:lineRule="auto"/>
      <w:ind w:left="283"/>
    </w:pPr>
    <w:rPr>
      <w:rFonts w:ascii="Times New Roman" w:eastAsia="Times New Roman" w:hAnsi="Times New Roman" w:cs="Times New Roman"/>
      <w:sz w:val="24"/>
      <w:szCs w:val="24"/>
      <w:lang w:val="x-none" w:eastAsia="x-none"/>
    </w:rPr>
  </w:style>
  <w:style w:type="character" w:customStyle="1" w:styleId="Tekstpodstawowywcity2Znak">
    <w:name w:val="Tekst podstawowy wcięty 2 Znak"/>
    <w:basedOn w:val="Domylnaczcionkaakapitu"/>
    <w:link w:val="Tekstpodstawowywcity2"/>
    <w:semiHidden/>
    <w:rsid w:val="00895F16"/>
    <w:rPr>
      <w:rFonts w:ascii="Times New Roman" w:eastAsia="Times New Roman" w:hAnsi="Times New Roman" w:cs="Times New Roman"/>
      <w:sz w:val="24"/>
      <w:szCs w:val="24"/>
      <w:lang w:val="x-none" w:eastAsia="x-none"/>
    </w:rPr>
  </w:style>
  <w:style w:type="paragraph" w:styleId="Tekstpodstawowy3">
    <w:name w:val="Body Text 3"/>
    <w:basedOn w:val="Normalny"/>
    <w:link w:val="Tekstpodstawowy3Znak"/>
    <w:semiHidden/>
    <w:unhideWhenUsed/>
    <w:rsid w:val="00895F16"/>
    <w:pPr>
      <w:spacing w:after="120"/>
    </w:pPr>
    <w:rPr>
      <w:rFonts w:ascii="Times New Roman" w:eastAsia="Calibri" w:hAnsi="Times New Roman" w:cs="Times New Roman"/>
      <w:sz w:val="16"/>
      <w:szCs w:val="16"/>
      <w:lang w:val="x-none" w:eastAsia="pl-PL"/>
    </w:rPr>
  </w:style>
  <w:style w:type="character" w:customStyle="1" w:styleId="Tekstpodstawowy3Znak">
    <w:name w:val="Tekst podstawowy 3 Znak"/>
    <w:basedOn w:val="Domylnaczcionkaakapitu"/>
    <w:link w:val="Tekstpodstawowy3"/>
    <w:semiHidden/>
    <w:rsid w:val="00895F16"/>
    <w:rPr>
      <w:rFonts w:ascii="Times New Roman" w:eastAsia="Calibri" w:hAnsi="Times New Roman" w:cs="Times New Roman"/>
      <w:sz w:val="16"/>
      <w:szCs w:val="16"/>
      <w:lang w:val="x-none" w:eastAsia="pl-PL"/>
    </w:rPr>
  </w:style>
  <w:style w:type="numbering" w:customStyle="1" w:styleId="Bezlisty111">
    <w:name w:val="Bez listy111"/>
    <w:next w:val="Bezlisty"/>
    <w:uiPriority w:val="99"/>
    <w:semiHidden/>
    <w:unhideWhenUsed/>
    <w:rsid w:val="00895F16"/>
  </w:style>
  <w:style w:type="paragraph" w:styleId="Tekstprzypisukocowego">
    <w:name w:val="endnote text"/>
    <w:basedOn w:val="Normalny"/>
    <w:link w:val="TekstprzypisukocowegoZnak"/>
    <w:uiPriority w:val="99"/>
    <w:semiHidden/>
    <w:unhideWhenUsed/>
    <w:rsid w:val="00895F16"/>
    <w:pPr>
      <w:spacing w:after="0" w:line="240" w:lineRule="auto"/>
    </w:pPr>
    <w:rPr>
      <w:rFonts w:ascii="Times New Roman" w:eastAsia="Calibri" w:hAnsi="Times New Roman" w:cs="Times New Roman"/>
      <w:sz w:val="20"/>
      <w:szCs w:val="20"/>
      <w:lang w:val="x-none" w:eastAsia="x-none"/>
    </w:rPr>
  </w:style>
  <w:style w:type="character" w:customStyle="1" w:styleId="TekstprzypisukocowegoZnak">
    <w:name w:val="Tekst przypisu końcowego Znak"/>
    <w:basedOn w:val="Domylnaczcionkaakapitu"/>
    <w:link w:val="Tekstprzypisukocowego"/>
    <w:uiPriority w:val="99"/>
    <w:semiHidden/>
    <w:rsid w:val="00895F16"/>
    <w:rPr>
      <w:rFonts w:ascii="Times New Roman" w:eastAsia="Calibri" w:hAnsi="Times New Roman" w:cs="Times New Roman"/>
      <w:sz w:val="20"/>
      <w:szCs w:val="20"/>
      <w:lang w:val="x-none" w:eastAsia="x-none"/>
    </w:rPr>
  </w:style>
  <w:style w:type="character" w:styleId="Odwoanieprzypisukocowego">
    <w:name w:val="endnote reference"/>
    <w:uiPriority w:val="99"/>
    <w:semiHidden/>
    <w:unhideWhenUsed/>
    <w:rsid w:val="00895F16"/>
    <w:rPr>
      <w:vertAlign w:val="superscript"/>
    </w:rPr>
  </w:style>
  <w:style w:type="character" w:customStyle="1" w:styleId="TekstpodstawowyZnak1">
    <w:name w:val="Tekst podstawowy Znak1"/>
    <w:aliases w:val="anita1 Znak1,Tekst podstawowy Znak Znak Znak Znak Znak1,Tekst podstawowy Znak Znak Znak1"/>
    <w:rsid w:val="00895F16"/>
    <w:rPr>
      <w:rFonts w:ascii="Arial" w:eastAsia="Times New Roman" w:hAnsi="Arial" w:cs="Times New Roman"/>
      <w:b/>
      <w:bCs/>
      <w:sz w:val="20"/>
      <w:szCs w:val="24"/>
    </w:rPr>
  </w:style>
  <w:style w:type="paragraph" w:customStyle="1" w:styleId="raportnagwek2">
    <w:name w:val="raport nagłówek 2"/>
    <w:basedOn w:val="Normalny"/>
    <w:rsid w:val="00895F16"/>
    <w:pPr>
      <w:keepNext/>
      <w:numPr>
        <w:ilvl w:val="1"/>
        <w:numId w:val="2"/>
      </w:numPr>
      <w:spacing w:after="0" w:line="240" w:lineRule="auto"/>
    </w:pPr>
    <w:rPr>
      <w:rFonts w:ascii="Times New Roman" w:eastAsia="Times New Roman" w:hAnsi="Times New Roman" w:cs="Times New Roman"/>
      <w:b/>
      <w:sz w:val="24"/>
      <w:szCs w:val="20"/>
      <w:lang w:eastAsia="pl-PL"/>
    </w:rPr>
  </w:style>
  <w:style w:type="paragraph" w:customStyle="1" w:styleId="Default">
    <w:name w:val="Default"/>
    <w:rsid w:val="00895F16"/>
    <w:pPr>
      <w:autoSpaceDE w:val="0"/>
      <w:autoSpaceDN w:val="0"/>
      <w:adjustRightInd w:val="0"/>
      <w:spacing w:after="0" w:line="240" w:lineRule="auto"/>
      <w:jc w:val="center"/>
    </w:pPr>
    <w:rPr>
      <w:rFonts w:ascii="Times New Roman" w:eastAsia="Times New Roman" w:hAnsi="Times New Roman" w:cs="Times New Roman"/>
      <w:color w:val="000000"/>
      <w:sz w:val="24"/>
      <w:szCs w:val="24"/>
      <w:lang w:eastAsia="pl-PL"/>
    </w:rPr>
  </w:style>
  <w:style w:type="character" w:styleId="Odwoaniedokomentarza">
    <w:name w:val="annotation reference"/>
    <w:uiPriority w:val="99"/>
    <w:semiHidden/>
    <w:unhideWhenUsed/>
    <w:rsid w:val="00895F16"/>
    <w:rPr>
      <w:sz w:val="16"/>
      <w:szCs w:val="16"/>
    </w:rPr>
  </w:style>
  <w:style w:type="paragraph" w:styleId="Tekstkomentarza">
    <w:name w:val="annotation text"/>
    <w:basedOn w:val="Normalny"/>
    <w:link w:val="TekstkomentarzaZnak"/>
    <w:uiPriority w:val="99"/>
    <w:unhideWhenUsed/>
    <w:rsid w:val="00895F16"/>
    <w:pPr>
      <w:spacing w:after="0" w:line="240" w:lineRule="auto"/>
    </w:pPr>
    <w:rPr>
      <w:rFonts w:ascii="Times New Roman" w:eastAsia="Calibri" w:hAnsi="Times New Roman" w:cs="Times New Roman"/>
      <w:sz w:val="20"/>
      <w:szCs w:val="20"/>
      <w:lang w:val="x-none" w:eastAsia="x-none"/>
    </w:rPr>
  </w:style>
  <w:style w:type="character" w:customStyle="1" w:styleId="TekstkomentarzaZnak">
    <w:name w:val="Tekst komentarza Znak"/>
    <w:basedOn w:val="Domylnaczcionkaakapitu"/>
    <w:link w:val="Tekstkomentarza"/>
    <w:uiPriority w:val="99"/>
    <w:rsid w:val="00895F16"/>
    <w:rPr>
      <w:rFonts w:ascii="Times New Roman" w:eastAsia="Calibri" w:hAnsi="Times New Roman" w:cs="Times New Roman"/>
      <w:sz w:val="20"/>
      <w:szCs w:val="20"/>
      <w:lang w:val="x-none" w:eastAsia="x-none"/>
    </w:rPr>
  </w:style>
  <w:style w:type="paragraph" w:styleId="Tematkomentarza">
    <w:name w:val="annotation subject"/>
    <w:basedOn w:val="Tekstkomentarza"/>
    <w:next w:val="Tekstkomentarza"/>
    <w:link w:val="TematkomentarzaZnak"/>
    <w:uiPriority w:val="99"/>
    <w:semiHidden/>
    <w:unhideWhenUsed/>
    <w:rsid w:val="00895F16"/>
    <w:rPr>
      <w:b/>
      <w:bCs/>
    </w:rPr>
  </w:style>
  <w:style w:type="character" w:customStyle="1" w:styleId="TematkomentarzaZnak">
    <w:name w:val="Temat komentarza Znak"/>
    <w:basedOn w:val="TekstkomentarzaZnak"/>
    <w:link w:val="Tematkomentarza"/>
    <w:uiPriority w:val="99"/>
    <w:semiHidden/>
    <w:rsid w:val="00895F16"/>
    <w:rPr>
      <w:rFonts w:ascii="Times New Roman" w:eastAsia="Calibri" w:hAnsi="Times New Roman" w:cs="Times New Roman"/>
      <w:b/>
      <w:bCs/>
      <w:sz w:val="20"/>
      <w:szCs w:val="20"/>
      <w:lang w:val="x-none" w:eastAsia="x-none"/>
    </w:rPr>
  </w:style>
  <w:style w:type="paragraph" w:styleId="Poprawka">
    <w:name w:val="Revision"/>
    <w:hidden/>
    <w:uiPriority w:val="99"/>
    <w:semiHidden/>
    <w:rsid w:val="00895F16"/>
    <w:pPr>
      <w:spacing w:after="0" w:line="240" w:lineRule="auto"/>
    </w:pPr>
    <w:rPr>
      <w:rFonts w:ascii="Calibri" w:eastAsia="Calibri" w:hAnsi="Calibri" w:cs="Times New Roman"/>
    </w:rPr>
  </w:style>
  <w:style w:type="character" w:customStyle="1" w:styleId="Znakiprzypiswdolnych">
    <w:name w:val="Znaki przypisów dolnych"/>
    <w:rsid w:val="00895F16"/>
    <w:rPr>
      <w:vertAlign w:val="superscript"/>
    </w:rPr>
  </w:style>
  <w:style w:type="character" w:customStyle="1" w:styleId="genrapstyle277">
    <w:name w:val="genrapstyle277"/>
    <w:rsid w:val="00895F16"/>
  </w:style>
  <w:style w:type="paragraph" w:styleId="Zwykytekst">
    <w:name w:val="Plain Text"/>
    <w:basedOn w:val="Normalny"/>
    <w:link w:val="ZwykytekstZnak"/>
    <w:semiHidden/>
    <w:unhideWhenUsed/>
    <w:rsid w:val="00895F16"/>
    <w:pPr>
      <w:spacing w:after="0" w:line="240" w:lineRule="auto"/>
    </w:pPr>
    <w:rPr>
      <w:rFonts w:ascii="Consolas" w:eastAsia="Calibri" w:hAnsi="Consolas" w:cs="Times New Roman"/>
      <w:sz w:val="21"/>
      <w:szCs w:val="21"/>
      <w:lang w:val="x-none" w:eastAsia="pl-PL"/>
    </w:rPr>
  </w:style>
  <w:style w:type="character" w:customStyle="1" w:styleId="ZwykytekstZnak">
    <w:name w:val="Zwykły tekst Znak"/>
    <w:basedOn w:val="Domylnaczcionkaakapitu"/>
    <w:link w:val="Zwykytekst"/>
    <w:semiHidden/>
    <w:rsid w:val="00895F16"/>
    <w:rPr>
      <w:rFonts w:ascii="Consolas" w:eastAsia="Calibri" w:hAnsi="Consolas" w:cs="Times New Roman"/>
      <w:sz w:val="21"/>
      <w:szCs w:val="21"/>
      <w:lang w:val="x-none" w:eastAsia="pl-PL"/>
    </w:rPr>
  </w:style>
  <w:style w:type="paragraph" w:customStyle="1" w:styleId="Tabiki">
    <w:name w:val="Tabiki"/>
    <w:basedOn w:val="Tekstpodstawowywcity"/>
    <w:rsid w:val="00895F16"/>
    <w:pPr>
      <w:spacing w:line="360" w:lineRule="auto"/>
      <w:ind w:left="980" w:hanging="980"/>
      <w:jc w:val="both"/>
    </w:pPr>
    <w:rPr>
      <w:rFonts w:eastAsia="Times New Roman"/>
      <w:b/>
      <w:bCs/>
      <w:sz w:val="24"/>
    </w:rPr>
  </w:style>
  <w:style w:type="paragraph" w:styleId="Tekstpodstawowywcity">
    <w:name w:val="Body Text Indent"/>
    <w:basedOn w:val="Normalny"/>
    <w:link w:val="TekstpodstawowywcityZnak"/>
    <w:unhideWhenUsed/>
    <w:rsid w:val="00895F16"/>
    <w:pPr>
      <w:spacing w:after="120" w:line="240" w:lineRule="auto"/>
      <w:ind w:left="283"/>
    </w:pPr>
    <w:rPr>
      <w:rFonts w:ascii="Times New Roman" w:eastAsia="Calibri" w:hAnsi="Times New Roman" w:cs="Times New Roman"/>
      <w:sz w:val="20"/>
      <w:szCs w:val="20"/>
      <w:lang w:val="x-none" w:eastAsia="x-none"/>
    </w:rPr>
  </w:style>
  <w:style w:type="character" w:customStyle="1" w:styleId="TekstpodstawowywcityZnak">
    <w:name w:val="Tekst podstawowy wcięty Znak"/>
    <w:basedOn w:val="Domylnaczcionkaakapitu"/>
    <w:link w:val="Tekstpodstawowywcity"/>
    <w:rsid w:val="00895F16"/>
    <w:rPr>
      <w:rFonts w:ascii="Times New Roman" w:eastAsia="Calibri" w:hAnsi="Times New Roman" w:cs="Times New Roman"/>
      <w:sz w:val="20"/>
      <w:szCs w:val="20"/>
      <w:lang w:val="x-none" w:eastAsia="x-none"/>
    </w:rPr>
  </w:style>
  <w:style w:type="character" w:styleId="Pogrubienie">
    <w:name w:val="Strong"/>
    <w:uiPriority w:val="22"/>
    <w:qFormat/>
    <w:rsid w:val="00895F16"/>
    <w:rPr>
      <w:b/>
      <w:bCs/>
    </w:rPr>
  </w:style>
  <w:style w:type="paragraph" w:styleId="NormalnyWeb">
    <w:name w:val="Normal (Web)"/>
    <w:basedOn w:val="Normalny"/>
    <w:uiPriority w:val="99"/>
    <w:unhideWhenUsed/>
    <w:rsid w:val="00895F16"/>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style2">
    <w:name w:val="style2"/>
    <w:rsid w:val="00895F16"/>
  </w:style>
  <w:style w:type="character" w:customStyle="1" w:styleId="style6">
    <w:name w:val="style6"/>
    <w:rsid w:val="00895F16"/>
  </w:style>
  <w:style w:type="paragraph" w:styleId="Tekstpodstawowyzwciciem">
    <w:name w:val="Body Text First Indent"/>
    <w:basedOn w:val="Tekstpodstawowy"/>
    <w:link w:val="TekstpodstawowyzwciciemZnak"/>
    <w:semiHidden/>
    <w:unhideWhenUsed/>
    <w:rsid w:val="00895F16"/>
    <w:pPr>
      <w:spacing w:after="200" w:line="276" w:lineRule="auto"/>
      <w:ind w:firstLine="360"/>
    </w:pPr>
    <w:rPr>
      <w:rFonts w:ascii="Arial" w:hAnsi="Arial"/>
    </w:rPr>
  </w:style>
  <w:style w:type="character" w:customStyle="1" w:styleId="TekstpodstawowyzwciciemZnak">
    <w:name w:val="Tekst podstawowy z wcięciem Znak"/>
    <w:basedOn w:val="TekstpodstawowyZnak"/>
    <w:link w:val="Tekstpodstawowyzwciciem"/>
    <w:semiHidden/>
    <w:rsid w:val="00895F16"/>
    <w:rPr>
      <w:rFonts w:ascii="Arial" w:eastAsia="Times New Roman" w:hAnsi="Arial" w:cs="Times New Roman"/>
      <w:sz w:val="24"/>
      <w:szCs w:val="24"/>
      <w:lang w:val="x-none" w:eastAsia="x-none"/>
    </w:rPr>
  </w:style>
  <w:style w:type="paragraph" w:styleId="Tytu">
    <w:name w:val="Title"/>
    <w:basedOn w:val="Normalny"/>
    <w:next w:val="Normalny"/>
    <w:link w:val="TytuZnak"/>
    <w:qFormat/>
    <w:rsid w:val="00895F16"/>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val="x-none" w:eastAsia="pl-PL"/>
    </w:rPr>
  </w:style>
  <w:style w:type="character" w:customStyle="1" w:styleId="TytuZnak">
    <w:name w:val="Tytuł Znak"/>
    <w:basedOn w:val="Domylnaczcionkaakapitu"/>
    <w:link w:val="Tytu"/>
    <w:rsid w:val="00895F16"/>
    <w:rPr>
      <w:rFonts w:ascii="Cambria" w:eastAsia="Times New Roman" w:hAnsi="Cambria" w:cs="Times New Roman"/>
      <w:color w:val="17365D"/>
      <w:spacing w:val="5"/>
      <w:kern w:val="28"/>
      <w:sz w:val="52"/>
      <w:szCs w:val="52"/>
      <w:lang w:val="x-none" w:eastAsia="pl-PL"/>
    </w:rPr>
  </w:style>
  <w:style w:type="character" w:customStyle="1" w:styleId="Nagwek6Znak1">
    <w:name w:val="Nagłówek 6 Znak1"/>
    <w:rsid w:val="00895F16"/>
    <w:rPr>
      <w:rFonts w:ascii="Cambria" w:eastAsia="Times New Roman" w:hAnsi="Cambria" w:cs="Times New Roman"/>
      <w:i/>
      <w:iCs/>
      <w:color w:val="243F60"/>
    </w:rPr>
  </w:style>
  <w:style w:type="character" w:customStyle="1" w:styleId="GenRapStyle0">
    <w:name w:val="GenRap Style 0"/>
    <w:rsid w:val="00895F16"/>
    <w:rPr>
      <w:rFonts w:ascii="Times New Roman" w:hAnsi="Times New Roman" w:cs="Times New Roman" w:hint="default"/>
      <w:sz w:val="22"/>
    </w:rPr>
  </w:style>
  <w:style w:type="table" w:styleId="Tabela-Siatka">
    <w:name w:val="Table Grid"/>
    <w:basedOn w:val="Standardowy"/>
    <w:uiPriority w:val="39"/>
    <w:rsid w:val="00895F16"/>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2">
    <w:name w:val="h2"/>
    <w:rsid w:val="00895F16"/>
  </w:style>
  <w:style w:type="paragraph" w:styleId="Tekstpodstawowy2">
    <w:name w:val="Body Text 2"/>
    <w:basedOn w:val="Normalny"/>
    <w:link w:val="Tekstpodstawowy2Znak"/>
    <w:uiPriority w:val="99"/>
    <w:unhideWhenUsed/>
    <w:rsid w:val="00895F16"/>
    <w:pPr>
      <w:spacing w:after="120" w:line="480" w:lineRule="auto"/>
    </w:pPr>
    <w:rPr>
      <w:rFonts w:ascii="Times New Roman" w:eastAsia="Calibri" w:hAnsi="Times New Roman" w:cs="Times New Roman"/>
      <w:sz w:val="20"/>
      <w:szCs w:val="20"/>
      <w:lang w:val="x-none" w:eastAsia="x-none"/>
    </w:rPr>
  </w:style>
  <w:style w:type="character" w:customStyle="1" w:styleId="Tekstpodstawowy2Znak">
    <w:name w:val="Tekst podstawowy 2 Znak"/>
    <w:basedOn w:val="Domylnaczcionkaakapitu"/>
    <w:link w:val="Tekstpodstawowy2"/>
    <w:uiPriority w:val="99"/>
    <w:rsid w:val="00895F16"/>
    <w:rPr>
      <w:rFonts w:ascii="Times New Roman" w:eastAsia="Calibri" w:hAnsi="Times New Roman" w:cs="Times New Roman"/>
      <w:sz w:val="20"/>
      <w:szCs w:val="20"/>
      <w:lang w:val="x-none" w:eastAsia="x-none"/>
    </w:rPr>
  </w:style>
  <w:style w:type="paragraph" w:customStyle="1" w:styleId="WW-Tekstpodstawowy2">
    <w:name w:val="WW-Tekst podstawowy 2"/>
    <w:basedOn w:val="Normalny"/>
    <w:rsid w:val="00895F16"/>
    <w:pPr>
      <w:tabs>
        <w:tab w:val="left" w:pos="5245"/>
      </w:tabs>
      <w:suppressAutoHyphens/>
      <w:overflowPunct w:val="0"/>
      <w:autoSpaceDE w:val="0"/>
      <w:spacing w:after="0" w:line="240" w:lineRule="auto"/>
      <w:jc w:val="both"/>
      <w:textAlignment w:val="baseline"/>
    </w:pPr>
    <w:rPr>
      <w:rFonts w:ascii="Times New Roman" w:eastAsia="Times New Roman" w:hAnsi="Times New Roman" w:cs="Times New Roman"/>
      <w:sz w:val="24"/>
      <w:szCs w:val="20"/>
      <w:lang w:eastAsia="ar-SA"/>
    </w:rPr>
  </w:style>
  <w:style w:type="table" w:styleId="Jasnecieniowanieakcent2">
    <w:name w:val="Light Shading Accent 2"/>
    <w:basedOn w:val="Standardowy"/>
    <w:uiPriority w:val="60"/>
    <w:rsid w:val="00895F16"/>
    <w:pPr>
      <w:spacing w:after="0" w:line="240" w:lineRule="auto"/>
    </w:pPr>
    <w:rPr>
      <w:rFonts w:ascii="Calibri" w:eastAsia="Calibri" w:hAnsi="Calibri" w:cs="Times New Roman"/>
      <w:color w:val="943634"/>
      <w:sz w:val="20"/>
      <w:szCs w:val="20"/>
      <w:lang w:eastAsia="pl-PL"/>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customStyle="1" w:styleId="Standard">
    <w:name w:val="Standard"/>
    <w:rsid w:val="00895F16"/>
    <w:pPr>
      <w:suppressAutoHyphens/>
      <w:autoSpaceDN w:val="0"/>
      <w:spacing w:after="0" w:line="240" w:lineRule="auto"/>
      <w:textAlignment w:val="baseline"/>
    </w:pPr>
    <w:rPr>
      <w:rFonts w:ascii="Times New Roman" w:eastAsia="Times New Roman" w:hAnsi="Times New Roman" w:cs="Times New Roman"/>
      <w:kern w:val="3"/>
      <w:sz w:val="24"/>
      <w:szCs w:val="24"/>
      <w:lang w:eastAsia="pl-PL"/>
    </w:rPr>
  </w:style>
  <w:style w:type="numbering" w:customStyle="1" w:styleId="WWNum1">
    <w:name w:val="WWNum1"/>
    <w:basedOn w:val="Bezlisty"/>
    <w:rsid w:val="00895F16"/>
    <w:pPr>
      <w:numPr>
        <w:numId w:val="5"/>
      </w:numPr>
    </w:pPr>
  </w:style>
  <w:style w:type="numbering" w:customStyle="1" w:styleId="WWNum2">
    <w:name w:val="WWNum2"/>
    <w:basedOn w:val="Bezlisty"/>
    <w:rsid w:val="00895F16"/>
    <w:pPr>
      <w:numPr>
        <w:numId w:val="6"/>
      </w:numPr>
    </w:pPr>
  </w:style>
  <w:style w:type="numbering" w:customStyle="1" w:styleId="WWNum3">
    <w:name w:val="WWNum3"/>
    <w:basedOn w:val="Bezlisty"/>
    <w:rsid w:val="00895F16"/>
    <w:pPr>
      <w:numPr>
        <w:numId w:val="7"/>
      </w:numPr>
    </w:pPr>
  </w:style>
  <w:style w:type="numbering" w:customStyle="1" w:styleId="WWNum4">
    <w:name w:val="WWNum4"/>
    <w:basedOn w:val="Bezlisty"/>
    <w:rsid w:val="00895F16"/>
    <w:pPr>
      <w:numPr>
        <w:numId w:val="8"/>
      </w:numPr>
    </w:pPr>
  </w:style>
  <w:style w:type="numbering" w:customStyle="1" w:styleId="WWNum5">
    <w:name w:val="WWNum5"/>
    <w:basedOn w:val="Bezlisty"/>
    <w:rsid w:val="00895F16"/>
    <w:pPr>
      <w:numPr>
        <w:numId w:val="9"/>
      </w:numPr>
    </w:pPr>
  </w:style>
  <w:style w:type="numbering" w:customStyle="1" w:styleId="WWNum6">
    <w:name w:val="WWNum6"/>
    <w:basedOn w:val="Bezlisty"/>
    <w:rsid w:val="00895F16"/>
    <w:pPr>
      <w:numPr>
        <w:numId w:val="10"/>
      </w:numPr>
    </w:pPr>
  </w:style>
  <w:style w:type="numbering" w:customStyle="1" w:styleId="WWNum7">
    <w:name w:val="WWNum7"/>
    <w:basedOn w:val="Bezlisty"/>
    <w:rsid w:val="00895F16"/>
    <w:pPr>
      <w:numPr>
        <w:numId w:val="11"/>
      </w:numPr>
    </w:pPr>
  </w:style>
  <w:style w:type="numbering" w:customStyle="1" w:styleId="WWNum8">
    <w:name w:val="WWNum8"/>
    <w:basedOn w:val="Bezlisty"/>
    <w:rsid w:val="00895F16"/>
    <w:pPr>
      <w:numPr>
        <w:numId w:val="12"/>
      </w:numPr>
    </w:pPr>
  </w:style>
  <w:style w:type="numbering" w:customStyle="1" w:styleId="WWNum9">
    <w:name w:val="WWNum9"/>
    <w:basedOn w:val="Bezlisty"/>
    <w:rsid w:val="00895F16"/>
    <w:pPr>
      <w:numPr>
        <w:numId w:val="13"/>
      </w:numPr>
    </w:pPr>
  </w:style>
  <w:style w:type="character" w:customStyle="1" w:styleId="AkapitzlistZnak">
    <w:name w:val="Akapit z listą Znak"/>
    <w:aliases w:val="Sl_Akapit z listą Znak,List Paragraph Znak,Lista z kreskami Znak,Preambuła Znak,L1 Znak,Numerowanie Znak,Wypunktowanie Znak,BulletC Znak,Obiekt Znak,normalny tekst Znak,Akapit z listą31 Znak,Bullets Znak,sw tekst Znak,lp1 Znak"/>
    <w:link w:val="Akapitzlist"/>
    <w:uiPriority w:val="34"/>
    <w:qFormat/>
    <w:rsid w:val="00895F16"/>
    <w:rPr>
      <w:rFonts w:ascii="Times New Roman" w:eastAsia="Calibri" w:hAnsi="Times New Roman" w:cs="Times New Roman"/>
      <w:sz w:val="20"/>
      <w:szCs w:val="20"/>
      <w:lang w:val="x-none" w:eastAsia="pl-PL"/>
    </w:rPr>
  </w:style>
  <w:style w:type="character" w:customStyle="1" w:styleId="msoins0">
    <w:name w:val="msoins"/>
    <w:rsid w:val="00895F16"/>
  </w:style>
  <w:style w:type="paragraph" w:styleId="Nagwekspisutreci">
    <w:name w:val="TOC Heading"/>
    <w:basedOn w:val="Nagwek1"/>
    <w:next w:val="Normalny"/>
    <w:uiPriority w:val="39"/>
    <w:unhideWhenUsed/>
    <w:qFormat/>
    <w:rsid w:val="00895F16"/>
    <w:pPr>
      <w:keepLines/>
      <w:spacing w:before="240" w:line="259" w:lineRule="auto"/>
      <w:outlineLvl w:val="9"/>
    </w:pPr>
    <w:rPr>
      <w:rFonts w:ascii="Calibri Light" w:hAnsi="Calibri Light"/>
      <w:b w:val="0"/>
      <w:bCs w:val="0"/>
      <w:color w:val="2E74B5"/>
      <w:szCs w:val="32"/>
    </w:rPr>
  </w:style>
  <w:style w:type="paragraph" w:styleId="Spistreci2">
    <w:name w:val="toc 2"/>
    <w:basedOn w:val="Normalny"/>
    <w:next w:val="Normalny"/>
    <w:autoRedefine/>
    <w:uiPriority w:val="39"/>
    <w:unhideWhenUsed/>
    <w:rsid w:val="00895F16"/>
    <w:pPr>
      <w:spacing w:after="100"/>
      <w:ind w:left="220"/>
    </w:pPr>
    <w:rPr>
      <w:rFonts w:ascii="Times New Roman" w:eastAsia="Times New Roman" w:hAnsi="Times New Roman" w:cs="Times New Roman"/>
      <w:sz w:val="20"/>
      <w:szCs w:val="20"/>
      <w:lang w:eastAsia="pl-PL"/>
    </w:rPr>
  </w:style>
  <w:style w:type="paragraph" w:styleId="Spistreci1">
    <w:name w:val="toc 1"/>
    <w:basedOn w:val="Normalny"/>
    <w:next w:val="Normalny"/>
    <w:autoRedefine/>
    <w:uiPriority w:val="39"/>
    <w:unhideWhenUsed/>
    <w:rsid w:val="00895F16"/>
    <w:pPr>
      <w:tabs>
        <w:tab w:val="left" w:pos="440"/>
        <w:tab w:val="right" w:leader="dot" w:pos="9062"/>
      </w:tabs>
      <w:spacing w:after="100"/>
      <w:jc w:val="both"/>
    </w:pPr>
    <w:rPr>
      <w:rFonts w:ascii="Times New Roman" w:eastAsia="Times New Roman" w:hAnsi="Times New Roman" w:cs="Times New Roman"/>
      <w:bCs/>
      <w:noProof/>
      <w:sz w:val="24"/>
      <w:szCs w:val="20"/>
      <w:lang w:val="x-none" w:eastAsia="x-none"/>
    </w:rPr>
  </w:style>
  <w:style w:type="paragraph" w:styleId="Spistreci3">
    <w:name w:val="toc 3"/>
    <w:basedOn w:val="Normalny"/>
    <w:next w:val="Normalny"/>
    <w:autoRedefine/>
    <w:uiPriority w:val="39"/>
    <w:unhideWhenUsed/>
    <w:rsid w:val="00895F16"/>
    <w:pPr>
      <w:spacing w:after="100"/>
      <w:ind w:left="440"/>
    </w:pPr>
    <w:rPr>
      <w:rFonts w:ascii="Times New Roman" w:eastAsia="Times New Roman" w:hAnsi="Times New Roman" w:cs="Times New Roman"/>
      <w:sz w:val="20"/>
      <w:szCs w:val="20"/>
      <w:lang w:eastAsia="pl-PL"/>
    </w:rPr>
  </w:style>
  <w:style w:type="character" w:styleId="Hipercze">
    <w:name w:val="Hyperlink"/>
    <w:uiPriority w:val="99"/>
    <w:unhideWhenUsed/>
    <w:rsid w:val="00895F16"/>
    <w:rPr>
      <w:color w:val="0563C1"/>
      <w:u w:val="single"/>
    </w:rPr>
  </w:style>
  <w:style w:type="numbering" w:customStyle="1" w:styleId="Bezlisty2">
    <w:name w:val="Bez listy2"/>
    <w:next w:val="Bezlisty"/>
    <w:uiPriority w:val="99"/>
    <w:semiHidden/>
    <w:unhideWhenUsed/>
    <w:rsid w:val="00895F16"/>
  </w:style>
  <w:style w:type="paragraph" w:styleId="Tekstpodstawowywcity3">
    <w:name w:val="Body Text Indent 3"/>
    <w:basedOn w:val="Normalny"/>
    <w:link w:val="Tekstpodstawowywcity3Znak"/>
    <w:uiPriority w:val="99"/>
    <w:semiHidden/>
    <w:rsid w:val="00895F16"/>
    <w:pPr>
      <w:spacing w:after="0" w:line="240" w:lineRule="auto"/>
      <w:ind w:left="180" w:hanging="180"/>
      <w:jc w:val="both"/>
    </w:pPr>
    <w:rPr>
      <w:rFonts w:ascii="Times New Roman" w:eastAsia="Times New Roman" w:hAnsi="Times New Roman" w:cs="Times New Roman"/>
      <w:sz w:val="24"/>
      <w:szCs w:val="24"/>
      <w:lang w:val="x-none" w:eastAsia="x-none"/>
    </w:rPr>
  </w:style>
  <w:style w:type="character" w:customStyle="1" w:styleId="Tekstpodstawowywcity3Znak">
    <w:name w:val="Tekst podstawowy wcięty 3 Znak"/>
    <w:basedOn w:val="Domylnaczcionkaakapitu"/>
    <w:link w:val="Tekstpodstawowywcity3"/>
    <w:uiPriority w:val="99"/>
    <w:semiHidden/>
    <w:rsid w:val="00895F16"/>
    <w:rPr>
      <w:rFonts w:ascii="Times New Roman" w:eastAsia="Times New Roman" w:hAnsi="Times New Roman" w:cs="Times New Roman"/>
      <w:sz w:val="24"/>
      <w:szCs w:val="24"/>
      <w:lang w:val="x-none" w:eastAsia="x-none"/>
    </w:rPr>
  </w:style>
  <w:style w:type="character" w:styleId="Uwydatnienie">
    <w:name w:val="Emphasis"/>
    <w:uiPriority w:val="20"/>
    <w:qFormat/>
    <w:rsid w:val="00895F16"/>
    <w:rPr>
      <w:i/>
      <w:iCs/>
    </w:rPr>
  </w:style>
  <w:style w:type="character" w:styleId="UyteHipercze">
    <w:name w:val="FollowedHyperlink"/>
    <w:uiPriority w:val="99"/>
    <w:semiHidden/>
    <w:unhideWhenUsed/>
    <w:rsid w:val="00895F16"/>
    <w:rPr>
      <w:color w:val="800080"/>
      <w:u w:val="single"/>
    </w:rPr>
  </w:style>
  <w:style w:type="character" w:customStyle="1" w:styleId="descriptionintextpage">
    <w:name w:val="description_in_text_page"/>
    <w:rsid w:val="00895F16"/>
  </w:style>
  <w:style w:type="paragraph" w:customStyle="1" w:styleId="Tekstpodstawowy20">
    <w:name w:val="Tekst podstawowy+2"/>
    <w:basedOn w:val="Normalny"/>
    <w:next w:val="Normalny"/>
    <w:rsid w:val="00895F16"/>
    <w:pPr>
      <w:autoSpaceDE w:val="0"/>
      <w:autoSpaceDN w:val="0"/>
      <w:adjustRightInd w:val="0"/>
      <w:spacing w:after="120" w:line="240" w:lineRule="auto"/>
    </w:pPr>
    <w:rPr>
      <w:rFonts w:ascii="Times New Roman" w:eastAsia="Times New Roman" w:hAnsi="Times New Roman" w:cs="Times New Roman"/>
      <w:sz w:val="24"/>
      <w:szCs w:val="24"/>
      <w:lang w:eastAsia="pl-PL"/>
    </w:rPr>
  </w:style>
  <w:style w:type="table" w:customStyle="1" w:styleId="Tabela-Siatka1">
    <w:name w:val="Tabela - Siatka1"/>
    <w:basedOn w:val="Standardowy"/>
    <w:next w:val="Tabela-Siatka"/>
    <w:uiPriority w:val="39"/>
    <w:rsid w:val="00895F16"/>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21">
    <w:name w:val="Body Text 21"/>
    <w:basedOn w:val="Normalny"/>
    <w:rsid w:val="00895F16"/>
    <w:pPr>
      <w:overflowPunct w:val="0"/>
      <w:autoSpaceDE w:val="0"/>
      <w:autoSpaceDN w:val="0"/>
      <w:adjustRightInd w:val="0"/>
      <w:spacing w:before="120" w:after="120" w:line="360" w:lineRule="auto"/>
      <w:ind w:firstLine="709"/>
      <w:textAlignment w:val="baseline"/>
    </w:pPr>
    <w:rPr>
      <w:rFonts w:ascii="QCRMY" w:eastAsia="Calibri" w:hAnsi="QCRMY" w:cs="Times New Roman"/>
      <w:sz w:val="24"/>
      <w:szCs w:val="20"/>
      <w:lang w:eastAsia="pl-PL"/>
    </w:rPr>
  </w:style>
  <w:style w:type="character" w:customStyle="1" w:styleId="apple-converted-space">
    <w:name w:val="apple-converted-space"/>
    <w:uiPriority w:val="99"/>
    <w:rsid w:val="00895F16"/>
    <w:rPr>
      <w:rFonts w:cs="Times New Roman"/>
    </w:rPr>
  </w:style>
  <w:style w:type="paragraph" w:customStyle="1" w:styleId="Akapitzlist1">
    <w:name w:val="Akapit z listą1"/>
    <w:basedOn w:val="Normalny"/>
    <w:qFormat/>
    <w:rsid w:val="00895F16"/>
    <w:pPr>
      <w:spacing w:after="200" w:line="276" w:lineRule="auto"/>
      <w:ind w:left="720"/>
    </w:pPr>
    <w:rPr>
      <w:rFonts w:ascii="Times New Roman" w:eastAsia="Times New Roman" w:hAnsi="Times New Roman" w:cs="Times New Roman"/>
      <w:sz w:val="20"/>
      <w:szCs w:val="20"/>
      <w:lang w:eastAsia="pl-PL"/>
    </w:rPr>
  </w:style>
  <w:style w:type="table" w:customStyle="1" w:styleId="Tabelalisty1jasna1">
    <w:name w:val="Tabela listy 1 — jasna1"/>
    <w:basedOn w:val="Standardowy"/>
    <w:uiPriority w:val="46"/>
    <w:rsid w:val="00895F16"/>
    <w:pPr>
      <w:spacing w:after="0" w:line="240" w:lineRule="auto"/>
    </w:pPr>
    <w:rPr>
      <w:rFonts w:ascii="Calibri" w:eastAsia="Calibri" w:hAnsi="Calibri" w:cs="Times New Roman"/>
      <w:sz w:val="20"/>
      <w:szCs w:val="20"/>
      <w:lang w:eastAsia="pl-PL"/>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indexdolny">
    <w:name w:val="index_dolny"/>
    <w:rsid w:val="00895F16"/>
  </w:style>
  <w:style w:type="paragraph" w:customStyle="1" w:styleId="ekopodstawowy">
    <w:name w:val="eko_podstawowy"/>
    <w:basedOn w:val="Normalny"/>
    <w:link w:val="ekopodstawowyZnak"/>
    <w:uiPriority w:val="99"/>
    <w:qFormat/>
    <w:rsid w:val="00895F16"/>
    <w:pPr>
      <w:suppressAutoHyphens/>
      <w:spacing w:after="0" w:line="276" w:lineRule="auto"/>
      <w:ind w:firstLine="709"/>
      <w:jc w:val="both"/>
    </w:pPr>
    <w:rPr>
      <w:rFonts w:ascii="Times New Roman" w:eastAsia="Calibri" w:hAnsi="Times New Roman" w:cs="Times New Roman"/>
      <w:sz w:val="24"/>
      <w:szCs w:val="20"/>
      <w:lang w:val="x-none" w:eastAsia="pl-PL"/>
    </w:rPr>
  </w:style>
  <w:style w:type="character" w:customStyle="1" w:styleId="ekopodstawowyZnak">
    <w:name w:val="eko_podstawowy Znak"/>
    <w:link w:val="ekopodstawowy"/>
    <w:uiPriority w:val="99"/>
    <w:rsid w:val="00895F16"/>
    <w:rPr>
      <w:rFonts w:ascii="Times New Roman" w:eastAsia="Calibri" w:hAnsi="Times New Roman" w:cs="Times New Roman"/>
      <w:sz w:val="24"/>
      <w:szCs w:val="20"/>
      <w:lang w:val="x-none" w:eastAsia="pl-PL"/>
    </w:rPr>
  </w:style>
  <w:style w:type="paragraph" w:customStyle="1" w:styleId="punktygios">
    <w:name w:val="punkty_gios"/>
    <w:basedOn w:val="Akapitzlist"/>
    <w:link w:val="punktygiosZnak"/>
    <w:qFormat/>
    <w:rsid w:val="00895F16"/>
    <w:pPr>
      <w:numPr>
        <w:numId w:val="14"/>
      </w:numPr>
      <w:spacing w:after="120" w:line="276" w:lineRule="auto"/>
      <w:jc w:val="both"/>
    </w:pPr>
    <w:rPr>
      <w:rFonts w:eastAsia="Times New Roman"/>
      <w:sz w:val="24"/>
      <w:szCs w:val="18"/>
    </w:rPr>
  </w:style>
  <w:style w:type="character" w:customStyle="1" w:styleId="punktygiosZnak">
    <w:name w:val="punkty_gios Znak"/>
    <w:link w:val="punktygios"/>
    <w:rsid w:val="00895F16"/>
    <w:rPr>
      <w:rFonts w:ascii="Times New Roman" w:eastAsia="Times New Roman" w:hAnsi="Times New Roman" w:cs="Times New Roman"/>
      <w:sz w:val="24"/>
      <w:szCs w:val="18"/>
      <w:lang w:val="x-none" w:eastAsia="pl-PL"/>
    </w:rPr>
  </w:style>
  <w:style w:type="character" w:styleId="Odwoaniedelikatne">
    <w:name w:val="Subtle Reference"/>
    <w:uiPriority w:val="31"/>
    <w:qFormat/>
    <w:rsid w:val="00895F16"/>
    <w:rPr>
      <w:rFonts w:ascii="Cambria" w:hAnsi="Cambria"/>
      <w:i/>
      <w:sz w:val="18"/>
    </w:rPr>
  </w:style>
  <w:style w:type="paragraph" w:customStyle="1" w:styleId="ekopodstawowy0">
    <w:name w:val="eko podstawowy"/>
    <w:basedOn w:val="Normalny"/>
    <w:link w:val="ekopodstawowyZnak0"/>
    <w:autoRedefine/>
    <w:uiPriority w:val="99"/>
    <w:qFormat/>
    <w:rsid w:val="00895F16"/>
    <w:pPr>
      <w:suppressAutoHyphens/>
      <w:spacing w:after="0" w:line="240" w:lineRule="auto"/>
      <w:ind w:firstLine="567"/>
      <w:jc w:val="both"/>
    </w:pPr>
    <w:rPr>
      <w:rFonts w:ascii="Times New Roman" w:eastAsia="Calibri" w:hAnsi="Times New Roman" w:cs="Times New Roman"/>
      <w:sz w:val="24"/>
      <w:szCs w:val="20"/>
      <w:lang w:val="x-none" w:eastAsia="pl-PL"/>
    </w:rPr>
  </w:style>
  <w:style w:type="character" w:customStyle="1" w:styleId="ekopodstawowyZnak0">
    <w:name w:val="eko podstawowy Znak"/>
    <w:link w:val="ekopodstawowy0"/>
    <w:uiPriority w:val="99"/>
    <w:rsid w:val="00895F16"/>
    <w:rPr>
      <w:rFonts w:ascii="Times New Roman" w:eastAsia="Calibri" w:hAnsi="Times New Roman" w:cs="Times New Roman"/>
      <w:sz w:val="24"/>
      <w:szCs w:val="20"/>
      <w:lang w:val="x-none" w:eastAsia="pl-PL"/>
    </w:rPr>
  </w:style>
  <w:style w:type="paragraph" w:customStyle="1" w:styleId="tabela">
    <w:name w:val="tabela"/>
    <w:basedOn w:val="Normalny"/>
    <w:link w:val="tabelaZnak"/>
    <w:qFormat/>
    <w:rsid w:val="00895F16"/>
    <w:pPr>
      <w:spacing w:after="0" w:line="240" w:lineRule="auto"/>
    </w:pPr>
    <w:rPr>
      <w:rFonts w:ascii="Times New Roman" w:eastAsia="Calibri" w:hAnsi="Times New Roman" w:cs="Times New Roman"/>
      <w:sz w:val="20"/>
      <w:szCs w:val="20"/>
      <w:lang w:val="x-none" w:eastAsia="pl-PL"/>
    </w:rPr>
  </w:style>
  <w:style w:type="character" w:customStyle="1" w:styleId="tabelaZnak">
    <w:name w:val="tabela Znak"/>
    <w:link w:val="tabela"/>
    <w:rsid w:val="00895F16"/>
    <w:rPr>
      <w:rFonts w:ascii="Times New Roman" w:eastAsia="Calibri" w:hAnsi="Times New Roman" w:cs="Times New Roman"/>
      <w:sz w:val="20"/>
      <w:szCs w:val="20"/>
      <w:lang w:val="x-none" w:eastAsia="pl-PL"/>
    </w:rPr>
  </w:style>
  <w:style w:type="paragraph" w:customStyle="1" w:styleId="pogrubienie0">
    <w:name w:val="pogrubienie"/>
    <w:basedOn w:val="ekopodstawowy0"/>
    <w:link w:val="pogrubienieZnak"/>
    <w:qFormat/>
    <w:rsid w:val="00895F16"/>
    <w:pPr>
      <w:ind w:firstLine="0"/>
    </w:pPr>
    <w:rPr>
      <w:b/>
    </w:rPr>
  </w:style>
  <w:style w:type="character" w:customStyle="1" w:styleId="pogrubienieZnak">
    <w:name w:val="pogrubienie Znak"/>
    <w:link w:val="pogrubienie0"/>
    <w:rsid w:val="00895F16"/>
    <w:rPr>
      <w:rFonts w:ascii="Times New Roman" w:eastAsia="Calibri" w:hAnsi="Times New Roman" w:cs="Times New Roman"/>
      <w:b/>
      <w:sz w:val="24"/>
      <w:szCs w:val="20"/>
      <w:lang w:val="x-none" w:eastAsia="pl-PL"/>
    </w:rPr>
  </w:style>
  <w:style w:type="character" w:customStyle="1" w:styleId="LegendaZnak">
    <w:name w:val="Legenda Znak"/>
    <w:aliases w:val="podps_tab_rys Znak,Podpis nad obiektem Znak,Legenda Znak Znak Znak Znak1,Legenda Znak Znak Znak1,Legenda Znak Znak Znak Znak Znak,Legenda Znak Znak Znak Znak Znak Znak Znak1,Legenda Znak Znak Znak Znak Znak Znak Znak Znak,Znak Znak"/>
    <w:link w:val="Legenda"/>
    <w:uiPriority w:val="35"/>
    <w:rsid w:val="00895F16"/>
    <w:rPr>
      <w:rFonts w:ascii="Times New Roman" w:eastAsia="Calibri" w:hAnsi="Times New Roman" w:cs="Times New Roman"/>
      <w:b/>
      <w:bCs/>
      <w:color w:val="4F81BD"/>
      <w:sz w:val="18"/>
      <w:szCs w:val="18"/>
      <w:lang w:val="x-none" w:eastAsia="pl-PL"/>
    </w:rPr>
  </w:style>
  <w:style w:type="paragraph" w:customStyle="1" w:styleId="GIOSnormal">
    <w:name w:val="GIOS_normal"/>
    <w:basedOn w:val="Normalny"/>
    <w:qFormat/>
    <w:rsid w:val="00895F16"/>
    <w:pPr>
      <w:suppressAutoHyphens/>
      <w:spacing w:after="0" w:line="360" w:lineRule="auto"/>
      <w:ind w:firstLine="709"/>
      <w:jc w:val="both"/>
    </w:pPr>
    <w:rPr>
      <w:rFonts w:ascii="Times New Roman" w:eastAsia="Times New Roman" w:hAnsi="Times New Roman" w:cs="Times New Roman"/>
      <w:sz w:val="24"/>
      <w:szCs w:val="24"/>
      <w:lang w:eastAsia="ar-SA"/>
    </w:rPr>
  </w:style>
  <w:style w:type="paragraph" w:customStyle="1" w:styleId="GIOSpunktory">
    <w:name w:val="GIOS_punktory"/>
    <w:basedOn w:val="Normalny"/>
    <w:link w:val="GIOSpunktoryZnak"/>
    <w:qFormat/>
    <w:rsid w:val="00895F16"/>
    <w:pPr>
      <w:numPr>
        <w:numId w:val="15"/>
      </w:numPr>
      <w:tabs>
        <w:tab w:val="clear" w:pos="1077"/>
        <w:tab w:val="num" w:pos="851"/>
      </w:tabs>
      <w:suppressAutoHyphens/>
      <w:spacing w:before="120" w:after="0" w:line="360" w:lineRule="auto"/>
      <w:ind w:left="851" w:hanging="425"/>
      <w:jc w:val="both"/>
    </w:pPr>
    <w:rPr>
      <w:rFonts w:ascii="Times New Roman" w:eastAsia="Times New Roman" w:hAnsi="Times New Roman" w:cs="Times New Roman"/>
      <w:sz w:val="24"/>
      <w:szCs w:val="24"/>
      <w:lang w:val="x-none" w:eastAsia="ar-SA"/>
    </w:rPr>
  </w:style>
  <w:style w:type="character" w:customStyle="1" w:styleId="GIOSpunktoryZnak">
    <w:name w:val="GIOS_punktory Znak"/>
    <w:link w:val="GIOSpunktory"/>
    <w:rsid w:val="00895F16"/>
    <w:rPr>
      <w:rFonts w:ascii="Times New Roman" w:eastAsia="Times New Roman" w:hAnsi="Times New Roman" w:cs="Times New Roman"/>
      <w:sz w:val="24"/>
      <w:szCs w:val="24"/>
      <w:lang w:val="x-none" w:eastAsia="ar-SA"/>
    </w:rPr>
  </w:style>
  <w:style w:type="character" w:customStyle="1" w:styleId="FontStyle83">
    <w:name w:val="Font Style83"/>
    <w:uiPriority w:val="99"/>
    <w:rsid w:val="00895F16"/>
    <w:rPr>
      <w:rFonts w:ascii="Times New Roman" w:hAnsi="Times New Roman" w:cs="Times New Roman"/>
      <w:sz w:val="22"/>
      <w:szCs w:val="22"/>
    </w:rPr>
  </w:style>
  <w:style w:type="paragraph" w:styleId="Spistreci4">
    <w:name w:val="toc 4"/>
    <w:basedOn w:val="Normalny"/>
    <w:next w:val="Normalny"/>
    <w:autoRedefine/>
    <w:uiPriority w:val="39"/>
    <w:unhideWhenUsed/>
    <w:rsid w:val="00895F16"/>
    <w:pPr>
      <w:spacing w:after="100"/>
      <w:ind w:left="660"/>
    </w:pPr>
    <w:rPr>
      <w:rFonts w:ascii="Times New Roman" w:eastAsia="Times New Roman" w:hAnsi="Times New Roman" w:cs="Times New Roman"/>
      <w:sz w:val="20"/>
      <w:szCs w:val="20"/>
      <w:lang w:eastAsia="pl-PL"/>
    </w:rPr>
  </w:style>
  <w:style w:type="paragraph" w:styleId="Spistreci5">
    <w:name w:val="toc 5"/>
    <w:basedOn w:val="Normalny"/>
    <w:next w:val="Normalny"/>
    <w:autoRedefine/>
    <w:uiPriority w:val="39"/>
    <w:unhideWhenUsed/>
    <w:rsid w:val="00895F16"/>
    <w:pPr>
      <w:spacing w:after="100"/>
      <w:ind w:left="880"/>
    </w:pPr>
    <w:rPr>
      <w:rFonts w:ascii="Times New Roman" w:eastAsia="Times New Roman" w:hAnsi="Times New Roman" w:cs="Times New Roman"/>
      <w:sz w:val="20"/>
      <w:szCs w:val="20"/>
      <w:lang w:eastAsia="pl-PL"/>
    </w:rPr>
  </w:style>
  <w:style w:type="paragraph" w:styleId="Spistreci6">
    <w:name w:val="toc 6"/>
    <w:basedOn w:val="Normalny"/>
    <w:next w:val="Normalny"/>
    <w:autoRedefine/>
    <w:uiPriority w:val="39"/>
    <w:unhideWhenUsed/>
    <w:rsid w:val="00895F16"/>
    <w:pPr>
      <w:spacing w:after="100"/>
      <w:ind w:left="1100"/>
    </w:pPr>
    <w:rPr>
      <w:rFonts w:ascii="Times New Roman" w:eastAsia="Times New Roman" w:hAnsi="Times New Roman" w:cs="Times New Roman"/>
      <w:sz w:val="20"/>
      <w:szCs w:val="20"/>
      <w:lang w:eastAsia="pl-PL"/>
    </w:rPr>
  </w:style>
  <w:style w:type="paragraph" w:styleId="Spistreci7">
    <w:name w:val="toc 7"/>
    <w:basedOn w:val="Normalny"/>
    <w:next w:val="Normalny"/>
    <w:autoRedefine/>
    <w:uiPriority w:val="39"/>
    <w:unhideWhenUsed/>
    <w:rsid w:val="00895F16"/>
    <w:pPr>
      <w:spacing w:after="100"/>
      <w:ind w:left="1320"/>
    </w:pPr>
    <w:rPr>
      <w:rFonts w:ascii="Times New Roman" w:eastAsia="Times New Roman" w:hAnsi="Times New Roman" w:cs="Times New Roman"/>
      <w:sz w:val="20"/>
      <w:szCs w:val="20"/>
      <w:lang w:eastAsia="pl-PL"/>
    </w:rPr>
  </w:style>
  <w:style w:type="paragraph" w:styleId="Spistreci8">
    <w:name w:val="toc 8"/>
    <w:basedOn w:val="Normalny"/>
    <w:next w:val="Normalny"/>
    <w:autoRedefine/>
    <w:uiPriority w:val="39"/>
    <w:unhideWhenUsed/>
    <w:rsid w:val="00895F16"/>
    <w:pPr>
      <w:spacing w:after="100"/>
      <w:ind w:left="1540"/>
    </w:pPr>
    <w:rPr>
      <w:rFonts w:ascii="Times New Roman" w:eastAsia="Times New Roman" w:hAnsi="Times New Roman" w:cs="Times New Roman"/>
      <w:sz w:val="20"/>
      <w:szCs w:val="20"/>
      <w:lang w:eastAsia="pl-PL"/>
    </w:rPr>
  </w:style>
  <w:style w:type="paragraph" w:styleId="Spistreci9">
    <w:name w:val="toc 9"/>
    <w:basedOn w:val="Normalny"/>
    <w:next w:val="Normalny"/>
    <w:autoRedefine/>
    <w:uiPriority w:val="39"/>
    <w:unhideWhenUsed/>
    <w:rsid w:val="00895F16"/>
    <w:pPr>
      <w:spacing w:after="100"/>
      <w:ind w:left="1760"/>
    </w:pPr>
    <w:rPr>
      <w:rFonts w:ascii="Times New Roman" w:eastAsia="Times New Roman" w:hAnsi="Times New Roman" w:cs="Times New Roman"/>
      <w:sz w:val="20"/>
      <w:szCs w:val="20"/>
      <w:lang w:eastAsia="pl-PL"/>
    </w:rPr>
  </w:style>
  <w:style w:type="character" w:customStyle="1" w:styleId="st1">
    <w:name w:val="st1"/>
    <w:rsid w:val="00895F16"/>
  </w:style>
  <w:style w:type="paragraph" w:customStyle="1" w:styleId="Tekstpodstawowy21">
    <w:name w:val="Tekst podstawowy 21"/>
    <w:basedOn w:val="Normalny"/>
    <w:rsid w:val="00895F16"/>
    <w:pPr>
      <w:spacing w:after="0" w:line="240" w:lineRule="auto"/>
      <w:ind w:firstLine="1134"/>
      <w:jc w:val="both"/>
    </w:pPr>
    <w:rPr>
      <w:rFonts w:ascii="Times New Roman" w:eastAsia="Times New Roman" w:hAnsi="Times New Roman" w:cs="Times New Roman"/>
      <w:sz w:val="24"/>
      <w:szCs w:val="20"/>
      <w:lang w:eastAsia="pl-PL"/>
    </w:rPr>
  </w:style>
  <w:style w:type="paragraph" w:customStyle="1" w:styleId="Tekstpodstawowy22">
    <w:name w:val="Tekst podstawowy 22"/>
    <w:basedOn w:val="Normalny"/>
    <w:rsid w:val="00895F16"/>
    <w:pPr>
      <w:spacing w:after="0" w:line="240" w:lineRule="auto"/>
      <w:ind w:firstLine="1134"/>
      <w:jc w:val="both"/>
    </w:pPr>
    <w:rPr>
      <w:rFonts w:ascii="Times New Roman" w:eastAsia="Times New Roman" w:hAnsi="Times New Roman" w:cs="Times New Roman"/>
      <w:sz w:val="24"/>
      <w:szCs w:val="20"/>
      <w:lang w:eastAsia="pl-PL"/>
    </w:rPr>
  </w:style>
  <w:style w:type="paragraph" w:customStyle="1" w:styleId="tekstpodstawowy210">
    <w:name w:val="tekstpodstawowy21"/>
    <w:basedOn w:val="Normalny"/>
    <w:rsid w:val="00895F16"/>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BezodstpwZnak">
    <w:name w:val="Bez odstępów Znak"/>
    <w:link w:val="Bezodstpw"/>
    <w:uiPriority w:val="1"/>
    <w:rsid w:val="00895F16"/>
    <w:rPr>
      <w:rFonts w:ascii="Calibri" w:eastAsia="Calibri" w:hAnsi="Calibri" w:cs="Times New Roman"/>
    </w:rPr>
  </w:style>
  <w:style w:type="paragraph" w:customStyle="1" w:styleId="Spisilustracji1">
    <w:name w:val="Spis ilustracji1"/>
    <w:basedOn w:val="Normalny"/>
    <w:autoRedefine/>
    <w:rsid w:val="00895F16"/>
    <w:pPr>
      <w:numPr>
        <w:numId w:val="20"/>
      </w:numPr>
      <w:tabs>
        <w:tab w:val="left" w:pos="1276"/>
        <w:tab w:val="left" w:pos="2127"/>
        <w:tab w:val="left" w:pos="6587"/>
        <w:tab w:val="left" w:pos="9492"/>
      </w:tabs>
      <w:suppressAutoHyphens/>
      <w:spacing w:before="120" w:after="120" w:line="276" w:lineRule="auto"/>
      <w:jc w:val="both"/>
    </w:pPr>
    <w:rPr>
      <w:rFonts w:ascii="Tw Cen MT" w:eastAsia="Tw Cen MT" w:hAnsi="Tw Cen MT" w:cs="Times New Roman"/>
      <w:bCs/>
      <w:iCs/>
      <w:color w:val="595959"/>
      <w:sz w:val="16"/>
      <w:szCs w:val="16"/>
      <w:lang w:eastAsia="pl-PL"/>
    </w:rPr>
  </w:style>
  <w:style w:type="paragraph" w:customStyle="1" w:styleId="podpispodrysunkiem">
    <w:name w:val="podpis pod rysunkiem"/>
    <w:basedOn w:val="Spisilustracji1"/>
    <w:link w:val="podpispodrysunkiemZnak"/>
    <w:qFormat/>
    <w:rsid w:val="00895F16"/>
    <w:rPr>
      <w:color w:val="auto"/>
      <w:lang w:val="x-none" w:eastAsia="x-none"/>
    </w:rPr>
  </w:style>
  <w:style w:type="character" w:customStyle="1" w:styleId="podpispodrysunkiemZnak">
    <w:name w:val="podpis pod rysunkiem Znak"/>
    <w:link w:val="podpispodrysunkiem"/>
    <w:rsid w:val="00895F16"/>
    <w:rPr>
      <w:rFonts w:ascii="Tw Cen MT" w:eastAsia="Tw Cen MT" w:hAnsi="Tw Cen MT" w:cs="Times New Roman"/>
      <w:bCs/>
      <w:iCs/>
      <w:sz w:val="16"/>
      <w:szCs w:val="16"/>
      <w:lang w:val="x-none" w:eastAsia="x-none"/>
    </w:rPr>
  </w:style>
  <w:style w:type="paragraph" w:customStyle="1" w:styleId="podstawowy">
    <w:name w:val="podstawowy"/>
    <w:basedOn w:val="Normalny"/>
    <w:rsid w:val="00895F16"/>
    <w:pPr>
      <w:spacing w:after="0" w:line="360" w:lineRule="auto"/>
      <w:jc w:val="both"/>
    </w:pPr>
    <w:rPr>
      <w:rFonts w:ascii="Times New Roman" w:eastAsia="Times New Roman" w:hAnsi="Times New Roman" w:cs="Times New Roman"/>
      <w:sz w:val="24"/>
      <w:szCs w:val="24"/>
      <w:lang w:eastAsia="pl-PL"/>
    </w:rPr>
  </w:style>
  <w:style w:type="character" w:customStyle="1" w:styleId="RYSZnak">
    <w:name w:val="!RYS Znak"/>
    <w:link w:val="RYS"/>
    <w:locked/>
    <w:rsid w:val="00895F16"/>
    <w:rPr>
      <w:rFonts w:eastAsia="Times New Roman"/>
      <w:noProof/>
      <w:color w:val="000000"/>
      <w:sz w:val="24"/>
      <w:szCs w:val="24"/>
    </w:rPr>
  </w:style>
  <w:style w:type="paragraph" w:customStyle="1" w:styleId="RYS">
    <w:name w:val="!RYS"/>
    <w:basedOn w:val="Normalny"/>
    <w:link w:val="RYSZnak"/>
    <w:qFormat/>
    <w:rsid w:val="00895F16"/>
    <w:pPr>
      <w:keepNext/>
      <w:spacing w:after="0" w:line="300" w:lineRule="atLeast"/>
      <w:ind w:left="142"/>
    </w:pPr>
    <w:rPr>
      <w:rFonts w:eastAsia="Times New Roman"/>
      <w:noProof/>
      <w:color w:val="000000"/>
      <w:sz w:val="24"/>
      <w:szCs w:val="24"/>
    </w:rPr>
  </w:style>
  <w:style w:type="character" w:customStyle="1" w:styleId="RYSpodpZnak">
    <w:name w:val="!RYS_podp Znak"/>
    <w:link w:val="RYSpodp"/>
    <w:locked/>
    <w:rsid w:val="00895F16"/>
    <w:rPr>
      <w:rFonts w:eastAsia="Times New Roman"/>
      <w:color w:val="000000"/>
      <w:szCs w:val="24"/>
    </w:rPr>
  </w:style>
  <w:style w:type="paragraph" w:customStyle="1" w:styleId="RYSpodp">
    <w:name w:val="!RYS_podp"/>
    <w:basedOn w:val="Normalny"/>
    <w:link w:val="RYSpodpZnak"/>
    <w:qFormat/>
    <w:rsid w:val="00895F16"/>
    <w:pPr>
      <w:spacing w:after="0" w:line="300" w:lineRule="atLeast"/>
      <w:ind w:left="142"/>
      <w:jc w:val="both"/>
    </w:pPr>
    <w:rPr>
      <w:rFonts w:eastAsia="Times New Roman"/>
      <w:color w:val="000000"/>
      <w:szCs w:val="24"/>
    </w:rPr>
  </w:style>
  <w:style w:type="paragraph" w:customStyle="1" w:styleId="Tekstraportdpal">
    <w:name w:val="Tekst raport_dpal"/>
    <w:basedOn w:val="Normalny"/>
    <w:rsid w:val="00895F16"/>
    <w:pPr>
      <w:spacing w:after="60" w:line="360" w:lineRule="auto"/>
      <w:ind w:left="142" w:firstLine="567"/>
      <w:jc w:val="both"/>
    </w:pPr>
    <w:rPr>
      <w:rFonts w:ascii="Arial Narrow" w:eastAsia="Times New Roman" w:hAnsi="Arial Narrow" w:cs="Times New Roman"/>
      <w:sz w:val="20"/>
      <w:szCs w:val="20"/>
      <w:lang w:eastAsia="pl-PL"/>
    </w:rPr>
  </w:style>
  <w:style w:type="paragraph" w:customStyle="1" w:styleId="Tabela0">
    <w:name w:val="Tabela"/>
    <w:basedOn w:val="Normalny"/>
    <w:rsid w:val="00895F16"/>
    <w:pPr>
      <w:spacing w:after="0" w:line="300" w:lineRule="atLeast"/>
      <w:ind w:left="142"/>
    </w:pPr>
    <w:rPr>
      <w:rFonts w:ascii="Arial Narrow" w:eastAsia="Times New Roman" w:hAnsi="Arial Narrow" w:cs="Arial Narrow"/>
      <w:sz w:val="20"/>
      <w:szCs w:val="20"/>
      <w:lang w:eastAsia="pl-PL"/>
    </w:rPr>
  </w:style>
  <w:style w:type="paragraph" w:customStyle="1" w:styleId="Tabela4">
    <w:name w:val="Tabela 4"/>
    <w:basedOn w:val="Normalny"/>
    <w:rsid w:val="00895F16"/>
    <w:pPr>
      <w:widowControl w:val="0"/>
      <w:overflowPunct w:val="0"/>
      <w:autoSpaceDE w:val="0"/>
      <w:autoSpaceDN w:val="0"/>
      <w:adjustRightInd w:val="0"/>
      <w:spacing w:after="0" w:line="300" w:lineRule="atLeast"/>
      <w:ind w:left="142"/>
    </w:pPr>
    <w:rPr>
      <w:rFonts w:ascii="Times New Roman" w:eastAsia="Times New Roman" w:hAnsi="Times New Roman" w:cs="Times New Roman"/>
      <w:sz w:val="20"/>
      <w:szCs w:val="20"/>
      <w:lang w:eastAsia="pl-PL"/>
    </w:rPr>
  </w:style>
  <w:style w:type="character" w:customStyle="1" w:styleId="Nierozpoznanawzmianka1">
    <w:name w:val="Nierozpoznana wzmianka1"/>
    <w:uiPriority w:val="99"/>
    <w:semiHidden/>
    <w:unhideWhenUsed/>
    <w:rsid w:val="00895F16"/>
    <w:rPr>
      <w:color w:val="605E5C"/>
      <w:shd w:val="clear" w:color="auto" w:fill="E1DFDD"/>
    </w:rPr>
  </w:style>
  <w:style w:type="paragraph" w:customStyle="1" w:styleId="artparagraph">
    <w:name w:val="art_paragraph"/>
    <w:basedOn w:val="Normalny"/>
    <w:rsid w:val="00895F16"/>
    <w:pPr>
      <w:spacing w:before="100" w:beforeAutospacing="1" w:after="100" w:afterAutospacing="1" w:line="240" w:lineRule="auto"/>
    </w:pPr>
    <w:rPr>
      <w:rFonts w:ascii="Times New Roman" w:eastAsia="Times New Roman" w:hAnsi="Times New Roman" w:cs="Times New Roman"/>
      <w:sz w:val="24"/>
      <w:szCs w:val="24"/>
      <w:lang w:eastAsia="pl-PL"/>
    </w:rPr>
  </w:style>
  <w:style w:type="table" w:customStyle="1" w:styleId="Tabelalisty1jasna11">
    <w:name w:val="Tabela listy 1 — jasna11"/>
    <w:basedOn w:val="Standardowy"/>
    <w:uiPriority w:val="46"/>
    <w:rsid w:val="00895F16"/>
    <w:pPr>
      <w:spacing w:after="0" w:line="240" w:lineRule="auto"/>
    </w:pPr>
    <w:rPr>
      <w:rFonts w:ascii="Calibri" w:eastAsia="Calibri" w:hAnsi="Calibri" w:cs="Times New Roman"/>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dtz">
    <w:name w:val="dtz"/>
    <w:basedOn w:val="Normalny"/>
    <w:rsid w:val="00895F16"/>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dtu">
    <w:name w:val="dtu"/>
    <w:basedOn w:val="Normalny"/>
    <w:rsid w:val="00895F16"/>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teksttabela">
    <w:name w:val="tekst_tabela"/>
    <w:basedOn w:val="Normalny"/>
    <w:autoRedefine/>
    <w:qFormat/>
    <w:rsid w:val="00895F16"/>
    <w:pPr>
      <w:spacing w:after="0" w:line="240" w:lineRule="auto"/>
    </w:pPr>
    <w:rPr>
      <w:rFonts w:ascii="Calibri" w:eastAsia="Calibri" w:hAnsi="Calibri" w:cs="Calibri"/>
      <w:bCs/>
      <w:iCs/>
      <w:sz w:val="18"/>
      <w:szCs w:val="18"/>
      <w:lang w:eastAsia="pl-PL"/>
    </w:rPr>
  </w:style>
  <w:style w:type="paragraph" w:customStyle="1" w:styleId="tabelatekst">
    <w:name w:val="tabela_tekst"/>
    <w:basedOn w:val="Bezodstpw"/>
    <w:link w:val="tabelatekstZnak"/>
    <w:autoRedefine/>
    <w:qFormat/>
    <w:rsid w:val="00895F16"/>
    <w:pPr>
      <w:framePr w:hSpace="141" w:wrap="around" w:vAnchor="text" w:hAnchor="margin" w:y="-5"/>
    </w:pPr>
    <w:rPr>
      <w:rFonts w:eastAsia="Times New Roman" w:cs="Calibri"/>
      <w:color w:val="002060"/>
      <w:sz w:val="20"/>
      <w:szCs w:val="20"/>
      <w:lang w:eastAsia="pl-PL"/>
    </w:rPr>
  </w:style>
  <w:style w:type="character" w:customStyle="1" w:styleId="tabelatekstZnak">
    <w:name w:val="tabela_tekst Znak"/>
    <w:link w:val="tabelatekst"/>
    <w:rsid w:val="00895F16"/>
    <w:rPr>
      <w:rFonts w:ascii="Calibri" w:eastAsia="Times New Roman" w:hAnsi="Calibri" w:cs="Calibri"/>
      <w:color w:val="002060"/>
      <w:sz w:val="20"/>
      <w:szCs w:val="20"/>
      <w:lang w:eastAsia="pl-PL"/>
    </w:rPr>
  </w:style>
  <w:style w:type="character" w:customStyle="1" w:styleId="Wyrnienie">
    <w:name w:val="Wyróżnienie"/>
    <w:rsid w:val="00895F16"/>
    <w:rPr>
      <w:b/>
      <w:u w:val="none"/>
    </w:rPr>
  </w:style>
  <w:style w:type="paragraph" w:customStyle="1" w:styleId="BodyText22">
    <w:name w:val="Body Text 22"/>
    <w:basedOn w:val="Normalny"/>
    <w:rsid w:val="00895F16"/>
    <w:pPr>
      <w:tabs>
        <w:tab w:val="left" w:pos="360"/>
      </w:tabs>
      <w:autoSpaceDE w:val="0"/>
      <w:autoSpaceDN w:val="0"/>
      <w:spacing w:after="0" w:line="360" w:lineRule="auto"/>
      <w:jc w:val="both"/>
    </w:pPr>
    <w:rPr>
      <w:rFonts w:ascii="Times New Roman" w:eastAsia="Times New Roman" w:hAnsi="Times New Roman" w:cs="Times New Roman"/>
      <w:sz w:val="24"/>
      <w:szCs w:val="24"/>
      <w:lang w:eastAsia="pl-PL"/>
    </w:rPr>
  </w:style>
  <w:style w:type="paragraph" w:customStyle="1" w:styleId="Zadanie">
    <w:name w:val="Zadanie"/>
    <w:basedOn w:val="Tekstpodstawowy"/>
    <w:link w:val="ZadanieZnak"/>
    <w:qFormat/>
    <w:rsid w:val="00895F16"/>
    <w:pPr>
      <w:spacing w:before="240" w:line="280" w:lineRule="exact"/>
      <w:ind w:left="851" w:hanging="851"/>
      <w:jc w:val="both"/>
    </w:pPr>
    <w:rPr>
      <w:sz w:val="22"/>
      <w:lang w:val="pl-PL" w:eastAsia="pl-PL"/>
    </w:rPr>
  </w:style>
  <w:style w:type="character" w:customStyle="1" w:styleId="ZadanieZnak">
    <w:name w:val="Zadanie Znak"/>
    <w:link w:val="Zadanie"/>
    <w:rsid w:val="00895F16"/>
    <w:rPr>
      <w:rFonts w:ascii="Times New Roman" w:eastAsia="Times New Roman" w:hAnsi="Times New Roman" w:cs="Times New Roman"/>
      <w:szCs w:val="24"/>
      <w:lang w:eastAsia="pl-PL"/>
    </w:rPr>
  </w:style>
  <w:style w:type="paragraph" w:styleId="HTML-wstpniesformatowany">
    <w:name w:val="HTML Preformatted"/>
    <w:basedOn w:val="Normalny"/>
    <w:link w:val="HTML-wstpniesformatowanyZnak"/>
    <w:uiPriority w:val="99"/>
    <w:unhideWhenUsed/>
    <w:rsid w:val="00895F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l-PL"/>
    </w:rPr>
  </w:style>
  <w:style w:type="character" w:customStyle="1" w:styleId="HTML-wstpniesformatowanyZnak">
    <w:name w:val="HTML - wstępnie sformatowany Znak"/>
    <w:basedOn w:val="Domylnaczcionkaakapitu"/>
    <w:link w:val="HTML-wstpniesformatowany"/>
    <w:uiPriority w:val="99"/>
    <w:rsid w:val="00895F16"/>
    <w:rPr>
      <w:rFonts w:ascii="Courier New" w:eastAsia="Times New Roman" w:hAnsi="Courier New" w:cs="Courier New"/>
      <w:sz w:val="20"/>
      <w:szCs w:val="20"/>
      <w:lang w:eastAsia="pl-PL"/>
    </w:rPr>
  </w:style>
  <w:style w:type="paragraph" w:customStyle="1" w:styleId="Tekstpodstawowy31">
    <w:name w:val="Tekst podstawowy 31"/>
    <w:basedOn w:val="Normalny"/>
    <w:rsid w:val="00895F16"/>
    <w:pPr>
      <w:tabs>
        <w:tab w:val="left" w:pos="709"/>
      </w:tabs>
      <w:suppressAutoHyphens/>
      <w:spacing w:after="0" w:line="360" w:lineRule="auto"/>
      <w:jc w:val="both"/>
    </w:pPr>
    <w:rPr>
      <w:rFonts w:ascii="Times New Roman" w:eastAsia="Times New Roman" w:hAnsi="Times New Roman" w:cs="Times New Roman"/>
      <w:color w:val="008000"/>
      <w:sz w:val="24"/>
      <w:szCs w:val="20"/>
      <w:lang w:eastAsia="ar-SA"/>
    </w:rPr>
  </w:style>
  <w:style w:type="paragraph" w:customStyle="1" w:styleId="default0">
    <w:name w:val="default"/>
    <w:basedOn w:val="Normalny"/>
    <w:rsid w:val="00895F16"/>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acopre">
    <w:name w:val="acopre"/>
    <w:rsid w:val="00895F16"/>
  </w:style>
  <w:style w:type="character" w:customStyle="1" w:styleId="Nierozpoznanawzmianka2">
    <w:name w:val="Nierozpoznana wzmianka2"/>
    <w:basedOn w:val="Domylnaczcionkaakapitu"/>
    <w:uiPriority w:val="99"/>
    <w:semiHidden/>
    <w:unhideWhenUsed/>
    <w:rsid w:val="00895F16"/>
    <w:rPr>
      <w:color w:val="605E5C"/>
      <w:shd w:val="clear" w:color="auto" w:fill="E1DFDD"/>
    </w:rPr>
  </w:style>
  <w:style w:type="paragraph" w:customStyle="1" w:styleId="xmsonormal">
    <w:name w:val="x_msonormal"/>
    <w:basedOn w:val="Normalny"/>
    <w:rsid w:val="00895F16"/>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tekstpodstawowy21">
    <w:name w:val="x_tekstpodstawowy21"/>
    <w:basedOn w:val="Normalny"/>
    <w:rsid w:val="00895F16"/>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info-list-value-uzasadnienie">
    <w:name w:val="info-list-value-uzasadnienie"/>
    <w:rsid w:val="00895F16"/>
  </w:style>
  <w:style w:type="character" w:customStyle="1" w:styleId="markedcontent">
    <w:name w:val="markedcontent"/>
    <w:rsid w:val="00895F16"/>
  </w:style>
  <w:style w:type="table" w:styleId="Tabelasiatki4akcent6">
    <w:name w:val="Grid Table 4 Accent 6"/>
    <w:basedOn w:val="Standardowy"/>
    <w:uiPriority w:val="49"/>
    <w:rsid w:val="00A22034"/>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elasiatki5ciemnaakcent6">
    <w:name w:val="Grid Table 5 Dark Accent 6"/>
    <w:basedOn w:val="Standardowy"/>
    <w:uiPriority w:val="50"/>
    <w:rsid w:val="00A2203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customStyle="1" w:styleId="Brucenormal">
    <w:name w:val="Bruce normal"/>
    <w:basedOn w:val="Normalny"/>
    <w:link w:val="BrucenormalZnak"/>
    <w:qFormat/>
    <w:rsid w:val="002706A4"/>
    <w:pPr>
      <w:spacing w:after="0" w:line="360" w:lineRule="auto"/>
      <w:jc w:val="both"/>
    </w:pPr>
    <w:rPr>
      <w:rFonts w:ascii="Times New Roman" w:eastAsia="Times New Roman" w:hAnsi="Times New Roman" w:cs="Times New Roman"/>
      <w:sz w:val="24"/>
      <w:szCs w:val="24"/>
      <w:lang w:eastAsia="pl-PL"/>
    </w:rPr>
  </w:style>
  <w:style w:type="character" w:customStyle="1" w:styleId="BrucenormalZnak">
    <w:name w:val="Bruce normal Znak"/>
    <w:link w:val="Brucenormal"/>
    <w:rsid w:val="002706A4"/>
    <w:rPr>
      <w:rFonts w:ascii="Times New Roman" w:eastAsia="Times New Roman" w:hAnsi="Times New Roman" w:cs="Times New Roman"/>
      <w:sz w:val="24"/>
      <w:szCs w:val="24"/>
      <w:lang w:eastAsia="pl-PL"/>
    </w:rPr>
  </w:style>
  <w:style w:type="table" w:customStyle="1" w:styleId="Tabela-Siatka4">
    <w:name w:val="Tabela - Siatka4"/>
    <w:basedOn w:val="Standardowy"/>
    <w:next w:val="Tabela-Siatka"/>
    <w:uiPriority w:val="59"/>
    <w:rsid w:val="000C1458"/>
    <w:pPr>
      <w:spacing w:after="0" w:line="240" w:lineRule="auto"/>
    </w:pPr>
    <w:rPr>
      <w:rFonts w:ascii="Calibri" w:eastAsia="Calibri" w:hAnsi="Calibri" w:cs="Times New Roman"/>
      <w:sz w:val="20"/>
      <w:szCs w:val="20"/>
      <w:lang w:eastAsia="pl-P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gkelc">
    <w:name w:val="hgkelc"/>
    <w:rsid w:val="000D471D"/>
  </w:style>
  <w:style w:type="character" w:customStyle="1" w:styleId="Nierozpoznanawzmianka3">
    <w:name w:val="Nierozpoznana wzmianka3"/>
    <w:basedOn w:val="Domylnaczcionkaakapitu"/>
    <w:uiPriority w:val="99"/>
    <w:semiHidden/>
    <w:unhideWhenUsed/>
    <w:rsid w:val="000B2DF3"/>
    <w:rPr>
      <w:color w:val="605E5C"/>
      <w:shd w:val="clear" w:color="auto" w:fill="E1DFDD"/>
    </w:rPr>
  </w:style>
  <w:style w:type="character" w:customStyle="1" w:styleId="Nierozpoznanawzmianka4">
    <w:name w:val="Nierozpoznana wzmianka4"/>
    <w:basedOn w:val="Domylnaczcionkaakapitu"/>
    <w:uiPriority w:val="99"/>
    <w:semiHidden/>
    <w:unhideWhenUsed/>
    <w:rsid w:val="00743B05"/>
    <w:rPr>
      <w:color w:val="605E5C"/>
      <w:shd w:val="clear" w:color="auto" w:fill="E1DFDD"/>
    </w:rPr>
  </w:style>
  <w:style w:type="character" w:styleId="Nierozpoznanawzmianka">
    <w:name w:val="Unresolved Mention"/>
    <w:basedOn w:val="Domylnaczcionkaakapitu"/>
    <w:uiPriority w:val="99"/>
    <w:semiHidden/>
    <w:unhideWhenUsed/>
    <w:rsid w:val="00D80FB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960903">
      <w:bodyDiv w:val="1"/>
      <w:marLeft w:val="0"/>
      <w:marRight w:val="0"/>
      <w:marTop w:val="0"/>
      <w:marBottom w:val="0"/>
      <w:divBdr>
        <w:top w:val="none" w:sz="0" w:space="0" w:color="auto"/>
        <w:left w:val="none" w:sz="0" w:space="0" w:color="auto"/>
        <w:bottom w:val="none" w:sz="0" w:space="0" w:color="auto"/>
        <w:right w:val="none" w:sz="0" w:space="0" w:color="auto"/>
      </w:divBdr>
    </w:div>
    <w:div w:id="424420480">
      <w:bodyDiv w:val="1"/>
      <w:marLeft w:val="0"/>
      <w:marRight w:val="0"/>
      <w:marTop w:val="0"/>
      <w:marBottom w:val="0"/>
      <w:divBdr>
        <w:top w:val="none" w:sz="0" w:space="0" w:color="auto"/>
        <w:left w:val="none" w:sz="0" w:space="0" w:color="auto"/>
        <w:bottom w:val="none" w:sz="0" w:space="0" w:color="auto"/>
        <w:right w:val="none" w:sz="0" w:space="0" w:color="auto"/>
      </w:divBdr>
    </w:div>
    <w:div w:id="429081545">
      <w:bodyDiv w:val="1"/>
      <w:marLeft w:val="0"/>
      <w:marRight w:val="0"/>
      <w:marTop w:val="0"/>
      <w:marBottom w:val="0"/>
      <w:divBdr>
        <w:top w:val="none" w:sz="0" w:space="0" w:color="auto"/>
        <w:left w:val="none" w:sz="0" w:space="0" w:color="auto"/>
        <w:bottom w:val="none" w:sz="0" w:space="0" w:color="auto"/>
        <w:right w:val="none" w:sz="0" w:space="0" w:color="auto"/>
      </w:divBdr>
    </w:div>
    <w:div w:id="758909086">
      <w:bodyDiv w:val="1"/>
      <w:marLeft w:val="0"/>
      <w:marRight w:val="0"/>
      <w:marTop w:val="0"/>
      <w:marBottom w:val="0"/>
      <w:divBdr>
        <w:top w:val="none" w:sz="0" w:space="0" w:color="auto"/>
        <w:left w:val="none" w:sz="0" w:space="0" w:color="auto"/>
        <w:bottom w:val="none" w:sz="0" w:space="0" w:color="auto"/>
        <w:right w:val="none" w:sz="0" w:space="0" w:color="auto"/>
      </w:divBdr>
    </w:div>
    <w:div w:id="1294213716">
      <w:bodyDiv w:val="1"/>
      <w:marLeft w:val="0"/>
      <w:marRight w:val="0"/>
      <w:marTop w:val="0"/>
      <w:marBottom w:val="0"/>
      <w:divBdr>
        <w:top w:val="none" w:sz="0" w:space="0" w:color="auto"/>
        <w:left w:val="none" w:sz="0" w:space="0" w:color="auto"/>
        <w:bottom w:val="none" w:sz="0" w:space="0" w:color="auto"/>
        <w:right w:val="none" w:sz="0" w:space="0" w:color="auto"/>
      </w:divBdr>
    </w:div>
    <w:div w:id="1327368512">
      <w:bodyDiv w:val="1"/>
      <w:marLeft w:val="0"/>
      <w:marRight w:val="0"/>
      <w:marTop w:val="0"/>
      <w:marBottom w:val="0"/>
      <w:divBdr>
        <w:top w:val="none" w:sz="0" w:space="0" w:color="auto"/>
        <w:left w:val="none" w:sz="0" w:space="0" w:color="auto"/>
        <w:bottom w:val="none" w:sz="0" w:space="0" w:color="auto"/>
        <w:right w:val="none" w:sz="0" w:space="0" w:color="auto"/>
      </w:divBdr>
    </w:div>
    <w:div w:id="1345782709">
      <w:bodyDiv w:val="1"/>
      <w:marLeft w:val="0"/>
      <w:marRight w:val="0"/>
      <w:marTop w:val="0"/>
      <w:marBottom w:val="0"/>
      <w:divBdr>
        <w:top w:val="none" w:sz="0" w:space="0" w:color="auto"/>
        <w:left w:val="none" w:sz="0" w:space="0" w:color="auto"/>
        <w:bottom w:val="none" w:sz="0" w:space="0" w:color="auto"/>
        <w:right w:val="none" w:sz="0" w:space="0" w:color="auto"/>
      </w:divBdr>
    </w:div>
    <w:div w:id="20965106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1" Type="http://schemas.openxmlformats.org/officeDocument/2006/relationships/chart" Target="charts/chart6.xml"/><Relationship Id="rId42" Type="http://schemas.openxmlformats.org/officeDocument/2006/relationships/image" Target="media/image21.jpeg"/><Relationship Id="rId63" Type="http://schemas.openxmlformats.org/officeDocument/2006/relationships/image" Target="media/image42.jpeg"/><Relationship Id="rId84" Type="http://schemas.openxmlformats.org/officeDocument/2006/relationships/image" Target="media/image63.jpeg"/><Relationship Id="rId138" Type="http://schemas.openxmlformats.org/officeDocument/2006/relationships/hyperlink" Target="http://siedliska.gios.gov.pl/pl/" TargetMode="External"/><Relationship Id="rId159" Type="http://schemas.openxmlformats.org/officeDocument/2006/relationships/hyperlink" Target="https://www.pca.gov.pl/akredytowane-podmioty/akredytacje-aktywne/laboratoria-badawcze/" TargetMode="External"/><Relationship Id="rId170" Type="http://schemas.openxmlformats.org/officeDocument/2006/relationships/image" Target="media/image120.png"/><Relationship Id="rId191" Type="http://schemas.openxmlformats.org/officeDocument/2006/relationships/image" Target="media/image134.jpeg"/><Relationship Id="rId205" Type="http://schemas.openxmlformats.org/officeDocument/2006/relationships/hyperlink" Target="http://morskiesiedliska.gios.gov.pl/" TargetMode="External"/><Relationship Id="rId226" Type="http://schemas.openxmlformats.org/officeDocument/2006/relationships/hyperlink" Target="https://www.projektpulsar.pl/srodowisko/2159479,1,stanislaw-lubienski-i-piotr-panek-przyroda-nie-uznaje-granic.read" TargetMode="External"/><Relationship Id="rId247" Type="http://schemas.openxmlformats.org/officeDocument/2006/relationships/image" Target="media/image161.png"/><Relationship Id="rId107" Type="http://schemas.openxmlformats.org/officeDocument/2006/relationships/image" Target="media/image80.png"/><Relationship Id="rId11" Type="http://schemas.openxmlformats.org/officeDocument/2006/relationships/chart" Target="charts/chart4.xml"/><Relationship Id="rId32" Type="http://schemas.openxmlformats.org/officeDocument/2006/relationships/image" Target="media/image13.jpeg"/><Relationship Id="rId53" Type="http://schemas.openxmlformats.org/officeDocument/2006/relationships/image" Target="media/image32.jpeg"/><Relationship Id="rId74" Type="http://schemas.openxmlformats.org/officeDocument/2006/relationships/image" Target="media/image53.jpeg"/><Relationship Id="rId128" Type="http://schemas.openxmlformats.org/officeDocument/2006/relationships/image" Target="media/image92.jpeg"/><Relationship Id="rId149" Type="http://schemas.openxmlformats.org/officeDocument/2006/relationships/hyperlink" Target="https://www.gov.pl/web/gios/rejestr-terenow-z-przekroczeniem-pol-elektromagnetycznych" TargetMode="External"/><Relationship Id="rId5" Type="http://schemas.openxmlformats.org/officeDocument/2006/relationships/footnotes" Target="footnotes.xml"/><Relationship Id="rId95" Type="http://schemas.openxmlformats.org/officeDocument/2006/relationships/chart" Target="charts/chart14.xml"/><Relationship Id="rId160" Type="http://schemas.openxmlformats.org/officeDocument/2006/relationships/image" Target="media/image110.jpeg"/><Relationship Id="rId181" Type="http://schemas.openxmlformats.org/officeDocument/2006/relationships/image" Target="media/image125.jpeg"/><Relationship Id="rId216" Type="http://schemas.openxmlformats.org/officeDocument/2006/relationships/image" Target="media/image144.jpeg"/><Relationship Id="rId237" Type="http://schemas.openxmlformats.org/officeDocument/2006/relationships/hyperlink" Target="https://inspire-geoportal.ec.europa.eu/overview.html?view=%20thematicEuOverview&amp;theme=none" TargetMode="External"/><Relationship Id="rId22" Type="http://schemas.openxmlformats.org/officeDocument/2006/relationships/chart" Target="charts/chart7.xml"/><Relationship Id="rId43" Type="http://schemas.openxmlformats.org/officeDocument/2006/relationships/image" Target="media/image22.jpeg"/><Relationship Id="rId64" Type="http://schemas.openxmlformats.org/officeDocument/2006/relationships/image" Target="media/image43.jpeg"/><Relationship Id="rId118" Type="http://schemas.openxmlformats.org/officeDocument/2006/relationships/image" Target="http://uvb.igf.edu.pl/archiwum/uvb2022.png" TargetMode="External"/><Relationship Id="rId139" Type="http://schemas.openxmlformats.org/officeDocument/2006/relationships/hyperlink" Target="http://siedliska.gios.gov.pl/pl/" TargetMode="External"/><Relationship Id="rId85" Type="http://schemas.openxmlformats.org/officeDocument/2006/relationships/image" Target="media/image64.emf"/><Relationship Id="rId150" Type="http://schemas.openxmlformats.org/officeDocument/2006/relationships/image" Target="media/image106.png"/><Relationship Id="rId171" Type="http://schemas.openxmlformats.org/officeDocument/2006/relationships/chart" Target="charts/chart27.xml"/><Relationship Id="rId192" Type="http://schemas.openxmlformats.org/officeDocument/2006/relationships/image" Target="media/image135.jpeg"/><Relationship Id="rId206" Type="http://schemas.openxmlformats.org/officeDocument/2006/relationships/hyperlink" Target="http://zmsp.gios.gov.pl/" TargetMode="External"/><Relationship Id="rId227" Type="http://schemas.openxmlformats.org/officeDocument/2006/relationships/hyperlink" Target="https://www.projektpulsar.pl/" TargetMode="External"/><Relationship Id="rId248" Type="http://schemas.openxmlformats.org/officeDocument/2006/relationships/oleObject" Target="embeddings/oleObject8.bin"/><Relationship Id="rId12" Type="http://schemas.openxmlformats.org/officeDocument/2006/relationships/chart" Target="charts/chart5.xml"/><Relationship Id="rId33" Type="http://schemas.openxmlformats.org/officeDocument/2006/relationships/image" Target="media/image14.jpeg"/><Relationship Id="rId108" Type="http://schemas.openxmlformats.org/officeDocument/2006/relationships/image" Target="media/image81.png"/><Relationship Id="rId129" Type="http://schemas.openxmlformats.org/officeDocument/2006/relationships/image" Target="media/image93.png"/><Relationship Id="rId54" Type="http://schemas.openxmlformats.org/officeDocument/2006/relationships/image" Target="media/image33.jpeg"/><Relationship Id="rId75" Type="http://schemas.openxmlformats.org/officeDocument/2006/relationships/image" Target="media/image54.jpeg"/><Relationship Id="rId96" Type="http://schemas.openxmlformats.org/officeDocument/2006/relationships/chart" Target="charts/chart15.xml"/><Relationship Id="rId140" Type="http://schemas.openxmlformats.org/officeDocument/2006/relationships/image" Target="media/image101.jpeg"/><Relationship Id="rId161" Type="http://schemas.openxmlformats.org/officeDocument/2006/relationships/image" Target="media/image111.jpeg"/><Relationship Id="rId182" Type="http://schemas.openxmlformats.org/officeDocument/2006/relationships/image" Target="media/image126.jpeg"/><Relationship Id="rId217" Type="http://schemas.openxmlformats.org/officeDocument/2006/relationships/image" Target="media/image145.jpeg"/><Relationship Id="rId6" Type="http://schemas.openxmlformats.org/officeDocument/2006/relationships/endnotes" Target="endnotes.xml"/><Relationship Id="rId238" Type="http://schemas.openxmlformats.org/officeDocument/2006/relationships/image" Target="media/image155.png"/><Relationship Id="rId23" Type="http://schemas.openxmlformats.org/officeDocument/2006/relationships/chart" Target="charts/chart8.xml"/><Relationship Id="rId119" Type="http://schemas.openxmlformats.org/officeDocument/2006/relationships/chart" Target="charts/chart20.xml"/><Relationship Id="rId44" Type="http://schemas.openxmlformats.org/officeDocument/2006/relationships/image" Target="media/image23.jpeg"/><Relationship Id="rId65" Type="http://schemas.openxmlformats.org/officeDocument/2006/relationships/image" Target="media/image44.emf"/><Relationship Id="rId86" Type="http://schemas.openxmlformats.org/officeDocument/2006/relationships/image" Target="media/image65.jpeg"/><Relationship Id="rId130" Type="http://schemas.openxmlformats.org/officeDocument/2006/relationships/hyperlink" Target="https://www.gov.pl/web/gios/monitoring-jakosci-gleby-i-ziemi" TargetMode="External"/><Relationship Id="rId151" Type="http://schemas.openxmlformats.org/officeDocument/2006/relationships/image" Target="media/image107.png"/><Relationship Id="rId172" Type="http://schemas.openxmlformats.org/officeDocument/2006/relationships/image" Target="media/image121.jpeg"/><Relationship Id="rId193" Type="http://schemas.openxmlformats.org/officeDocument/2006/relationships/image" Target="media/image136.jpeg"/><Relationship Id="rId207" Type="http://schemas.openxmlformats.org/officeDocument/2006/relationships/hyperlink" Target="https://www.gios.gov.pl/monlas/" TargetMode="External"/><Relationship Id="rId228" Type="http://schemas.openxmlformats.org/officeDocument/2006/relationships/hyperlink" Target="https://monitoring.paa.gov.pl/maps-portal/" TargetMode="External"/><Relationship Id="rId249" Type="http://schemas.openxmlformats.org/officeDocument/2006/relationships/hyperlink" Target="http://pl.wikipedia.org/w/index.php?title=Plik:Flag_of_Ukraine.svg&amp;filetimestamp=20100406171642" TargetMode="External"/><Relationship Id="rId13" Type="http://schemas.openxmlformats.org/officeDocument/2006/relationships/image" Target="media/image1.jpeg"/><Relationship Id="rId109" Type="http://schemas.openxmlformats.org/officeDocument/2006/relationships/hyperlink" Target="https://mfeog.gios.gov.pl/index.php/pl/" TargetMode="External"/><Relationship Id="rId34" Type="http://schemas.openxmlformats.org/officeDocument/2006/relationships/image" Target="media/image15.jpeg"/><Relationship Id="rId55" Type="http://schemas.openxmlformats.org/officeDocument/2006/relationships/image" Target="media/image34.jpeg"/><Relationship Id="rId76" Type="http://schemas.openxmlformats.org/officeDocument/2006/relationships/image" Target="media/image55.jpeg"/><Relationship Id="rId97" Type="http://schemas.openxmlformats.org/officeDocument/2006/relationships/chart" Target="charts/chart16.xml"/><Relationship Id="rId120" Type="http://schemas.openxmlformats.org/officeDocument/2006/relationships/image" Target="media/image89.png"/><Relationship Id="rId141" Type="http://schemas.openxmlformats.org/officeDocument/2006/relationships/image" Target="media/image102.jpeg"/><Relationship Id="rId7" Type="http://schemas.openxmlformats.org/officeDocument/2006/relationships/hyperlink" Target="https://www.gov.pl/web/odra/badania-odry" TargetMode="External"/><Relationship Id="rId162" Type="http://schemas.openxmlformats.org/officeDocument/2006/relationships/image" Target="media/image112.jpeg"/><Relationship Id="rId183" Type="http://schemas.openxmlformats.org/officeDocument/2006/relationships/image" Target="media/image127.jpeg"/><Relationship Id="rId218" Type="http://schemas.openxmlformats.org/officeDocument/2006/relationships/image" Target="media/image146.jpeg"/><Relationship Id="rId239" Type="http://schemas.openxmlformats.org/officeDocument/2006/relationships/image" Target="media/image156.jpeg"/><Relationship Id="rId250" Type="http://schemas.openxmlformats.org/officeDocument/2006/relationships/image" Target="media/image162.png"/><Relationship Id="rId24" Type="http://schemas.openxmlformats.org/officeDocument/2006/relationships/chart" Target="charts/chart9.xml"/><Relationship Id="rId45" Type="http://schemas.openxmlformats.org/officeDocument/2006/relationships/image" Target="media/image24.jpeg"/><Relationship Id="rId66" Type="http://schemas.openxmlformats.org/officeDocument/2006/relationships/image" Target="media/image45.jpeg"/><Relationship Id="rId87" Type="http://schemas.openxmlformats.org/officeDocument/2006/relationships/image" Target="media/image66.jpeg"/><Relationship Id="rId110" Type="http://schemas.openxmlformats.org/officeDocument/2006/relationships/hyperlink" Target="https://mfeog.gios.gov.pl/index.php/pl/publikacje/biuletyny" TargetMode="External"/><Relationship Id="rId131" Type="http://schemas.openxmlformats.org/officeDocument/2006/relationships/image" Target="media/image94.png"/><Relationship Id="rId152" Type="http://schemas.openxmlformats.org/officeDocument/2006/relationships/hyperlink" Target="https://www.gov.pl/web/gios/raporty-o-stanie-srodowiska-w-polsce" TargetMode="External"/><Relationship Id="rId173" Type="http://schemas.openxmlformats.org/officeDocument/2006/relationships/image" Target="media/image122.jpeg"/><Relationship Id="rId194" Type="http://schemas.openxmlformats.org/officeDocument/2006/relationships/image" Target="media/image137.jpeg"/><Relationship Id="rId208" Type="http://schemas.openxmlformats.org/officeDocument/2006/relationships/hyperlink" Target="https://inspire.gios.gov.pl/portal/" TargetMode="External"/><Relationship Id="rId229" Type="http://schemas.openxmlformats.org/officeDocument/2006/relationships/image" Target="media/image151.png"/><Relationship Id="rId240" Type="http://schemas.openxmlformats.org/officeDocument/2006/relationships/image" Target="media/image157.jpeg"/><Relationship Id="rId14" Type="http://schemas.openxmlformats.org/officeDocument/2006/relationships/image" Target="media/image2.jpeg"/><Relationship Id="rId35" Type="http://schemas.openxmlformats.org/officeDocument/2006/relationships/image" Target="media/image16.jpeg"/><Relationship Id="rId56" Type="http://schemas.openxmlformats.org/officeDocument/2006/relationships/image" Target="media/image35.jpeg"/><Relationship Id="rId77" Type="http://schemas.openxmlformats.org/officeDocument/2006/relationships/image" Target="media/image56.jpeg"/><Relationship Id="rId100" Type="http://schemas.openxmlformats.org/officeDocument/2006/relationships/image" Target="media/image76.png"/><Relationship Id="rId8" Type="http://schemas.openxmlformats.org/officeDocument/2006/relationships/chart" Target="charts/chart1.xml"/><Relationship Id="rId98" Type="http://schemas.openxmlformats.org/officeDocument/2006/relationships/image" Target="media/image74.png"/><Relationship Id="rId121" Type="http://schemas.openxmlformats.org/officeDocument/2006/relationships/chart" Target="charts/chart21.xml"/><Relationship Id="rId142" Type="http://schemas.openxmlformats.org/officeDocument/2006/relationships/image" Target="media/image103.jpeg"/><Relationship Id="rId163" Type="http://schemas.openxmlformats.org/officeDocument/2006/relationships/image" Target="media/image113.jpeg"/><Relationship Id="rId184" Type="http://schemas.openxmlformats.org/officeDocument/2006/relationships/image" Target="cid:964aba8a-a503-4bbb-a734-64902c9c2fa3" TargetMode="External"/><Relationship Id="rId219" Type="http://schemas.openxmlformats.org/officeDocument/2006/relationships/image" Target="media/image147.jpeg"/><Relationship Id="rId230" Type="http://schemas.openxmlformats.org/officeDocument/2006/relationships/hyperlink" Target="https://dane.gov.pl/pl" TargetMode="External"/><Relationship Id="rId251" Type="http://schemas.openxmlformats.org/officeDocument/2006/relationships/hyperlink" Target="https://www.gov.pl/web/odra/badania-odry" TargetMode="External"/><Relationship Id="rId25" Type="http://schemas.openxmlformats.org/officeDocument/2006/relationships/chart" Target="charts/chart10.xml"/><Relationship Id="rId46" Type="http://schemas.openxmlformats.org/officeDocument/2006/relationships/image" Target="media/image25.jpeg"/><Relationship Id="rId67" Type="http://schemas.openxmlformats.org/officeDocument/2006/relationships/image" Target="media/image46.png"/><Relationship Id="rId88" Type="http://schemas.openxmlformats.org/officeDocument/2006/relationships/image" Target="media/image67.png"/><Relationship Id="rId111" Type="http://schemas.openxmlformats.org/officeDocument/2006/relationships/image" Target="media/image82.png"/><Relationship Id="rId132" Type="http://schemas.openxmlformats.org/officeDocument/2006/relationships/image" Target="media/image95.png"/><Relationship Id="rId153" Type="http://schemas.openxmlformats.org/officeDocument/2006/relationships/hyperlink" Target="https://inspire.gios.gov.pl/geonetwork/srv/pol/catalog.search" TargetMode="External"/><Relationship Id="rId174" Type="http://schemas.openxmlformats.org/officeDocument/2006/relationships/image" Target="media/image123.jpeg"/><Relationship Id="rId195" Type="http://schemas.openxmlformats.org/officeDocument/2006/relationships/image" Target="media/image138.jpeg"/><Relationship Id="rId209" Type="http://schemas.openxmlformats.org/officeDocument/2006/relationships/image" Target="media/image139.png"/><Relationship Id="rId220" Type="http://schemas.openxmlformats.org/officeDocument/2006/relationships/image" Target="media/image148.png"/><Relationship Id="rId241" Type="http://schemas.openxmlformats.org/officeDocument/2006/relationships/hyperlink" Target="http://pl.wikipedia.org/w/index.php?title=Plik:Flag_of_the_Czech_Republic.svg&amp;filetimestamp=20081125055838" TargetMode="External"/><Relationship Id="rId15" Type="http://schemas.openxmlformats.org/officeDocument/2006/relationships/image" Target="media/image3.jpeg"/><Relationship Id="rId36" Type="http://schemas.openxmlformats.org/officeDocument/2006/relationships/chart" Target="charts/chart12.xml"/><Relationship Id="rId57" Type="http://schemas.openxmlformats.org/officeDocument/2006/relationships/image" Target="media/image36.jpeg"/><Relationship Id="rId78" Type="http://schemas.openxmlformats.org/officeDocument/2006/relationships/image" Target="media/image57.jpe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image" Target="media/image90.png"/><Relationship Id="rId143" Type="http://schemas.openxmlformats.org/officeDocument/2006/relationships/hyperlink" Target="https://siedliska.gios.gov.pl/pl/" TargetMode="External"/><Relationship Id="rId164" Type="http://schemas.openxmlformats.org/officeDocument/2006/relationships/image" Target="media/image114.jpeg"/><Relationship Id="rId185" Type="http://schemas.openxmlformats.org/officeDocument/2006/relationships/image" Target="media/image128.jpeg"/><Relationship Id="rId9" Type="http://schemas.openxmlformats.org/officeDocument/2006/relationships/chart" Target="charts/chart2.xml"/><Relationship Id="rId210" Type="http://schemas.openxmlformats.org/officeDocument/2006/relationships/image" Target="media/image140.jpeg"/><Relationship Id="rId26" Type="http://schemas.openxmlformats.org/officeDocument/2006/relationships/hyperlink" Target="https://www.gov.pl/web/gios" TargetMode="External"/><Relationship Id="rId231" Type="http://schemas.openxmlformats.org/officeDocument/2006/relationships/image" Target="media/image152.png"/><Relationship Id="rId252" Type="http://schemas.openxmlformats.org/officeDocument/2006/relationships/footer" Target="footer1.xml"/><Relationship Id="rId47" Type="http://schemas.openxmlformats.org/officeDocument/2006/relationships/image" Target="media/image26.jpeg"/><Relationship Id="rId68" Type="http://schemas.openxmlformats.org/officeDocument/2006/relationships/image" Target="media/image47.emf"/><Relationship Id="rId89" Type="http://schemas.openxmlformats.org/officeDocument/2006/relationships/image" Target="media/image68.png"/><Relationship Id="rId112" Type="http://schemas.openxmlformats.org/officeDocument/2006/relationships/image" Target="media/image83.jpeg"/><Relationship Id="rId133" Type="http://schemas.openxmlformats.org/officeDocument/2006/relationships/image" Target="media/image96.png"/><Relationship Id="rId154" Type="http://schemas.openxmlformats.org/officeDocument/2006/relationships/hyperlink" Target="https://inspire.gios.gov.pl/portal/" TargetMode="External"/><Relationship Id="rId175" Type="http://schemas.openxmlformats.org/officeDocument/2006/relationships/image" Target="media/image124.jpeg"/><Relationship Id="rId196" Type="http://schemas.openxmlformats.org/officeDocument/2006/relationships/hyperlink" Target="https://www.gios.gov.pl/projekt_droga/" TargetMode="External"/><Relationship Id="rId200" Type="http://schemas.openxmlformats.org/officeDocument/2006/relationships/hyperlink" Target="http://mjwp.gios.gov.pl/" TargetMode="External"/><Relationship Id="rId16" Type="http://schemas.openxmlformats.org/officeDocument/2006/relationships/image" Target="media/image4.png"/><Relationship Id="rId221" Type="http://schemas.openxmlformats.org/officeDocument/2006/relationships/image" Target="media/image149.jpeg"/><Relationship Id="rId242" Type="http://schemas.openxmlformats.org/officeDocument/2006/relationships/image" Target="media/image158.png"/><Relationship Id="rId37" Type="http://schemas.openxmlformats.org/officeDocument/2006/relationships/chart" Target="charts/chart13.xml"/><Relationship Id="rId58" Type="http://schemas.openxmlformats.org/officeDocument/2006/relationships/image" Target="media/image37.jpeg"/><Relationship Id="rId79" Type="http://schemas.openxmlformats.org/officeDocument/2006/relationships/image" Target="media/image58.jpeg"/><Relationship Id="rId102" Type="http://schemas.openxmlformats.org/officeDocument/2006/relationships/image" Target="media/image78.png"/><Relationship Id="rId123" Type="http://schemas.openxmlformats.org/officeDocument/2006/relationships/chart" Target="charts/chart22.xml"/><Relationship Id="rId144" Type="http://schemas.openxmlformats.org/officeDocument/2006/relationships/hyperlink" Target="http://siedliska.gios.gov.pl/pl/" TargetMode="External"/><Relationship Id="rId90" Type="http://schemas.openxmlformats.org/officeDocument/2006/relationships/image" Target="media/image69.png"/><Relationship Id="rId165" Type="http://schemas.openxmlformats.org/officeDocument/2006/relationships/image" Target="media/image115.jpeg"/><Relationship Id="rId186" Type="http://schemas.openxmlformats.org/officeDocument/2006/relationships/image" Target="media/image129.jpeg"/><Relationship Id="rId211" Type="http://schemas.openxmlformats.org/officeDocument/2006/relationships/image" Target="media/image141.png"/><Relationship Id="rId232" Type="http://schemas.openxmlformats.org/officeDocument/2006/relationships/image" Target="media/image153.png"/><Relationship Id="rId253" Type="http://schemas.openxmlformats.org/officeDocument/2006/relationships/fontTable" Target="fontTable.xml"/><Relationship Id="rId27" Type="http://schemas.openxmlformats.org/officeDocument/2006/relationships/image" Target="media/image9.png"/><Relationship Id="rId48" Type="http://schemas.openxmlformats.org/officeDocument/2006/relationships/image" Target="media/image27.emf"/><Relationship Id="rId69" Type="http://schemas.openxmlformats.org/officeDocument/2006/relationships/image" Target="media/image48.jpeg"/><Relationship Id="rId113" Type="http://schemas.openxmlformats.org/officeDocument/2006/relationships/image" Target="media/image84.jpeg"/><Relationship Id="rId134" Type="http://schemas.openxmlformats.org/officeDocument/2006/relationships/image" Target="media/image97.png"/><Relationship Id="rId80" Type="http://schemas.openxmlformats.org/officeDocument/2006/relationships/image" Target="media/image59.jpeg"/><Relationship Id="rId155" Type="http://schemas.openxmlformats.org/officeDocument/2006/relationships/image" Target="media/image108.png"/><Relationship Id="rId176" Type="http://schemas.openxmlformats.org/officeDocument/2006/relationships/chart" Target="charts/chart28.xml"/><Relationship Id="rId197" Type="http://schemas.openxmlformats.org/officeDocument/2006/relationships/hyperlink" Target="https://www.youtube.com/@gios_gov/" TargetMode="External"/><Relationship Id="rId201" Type="http://schemas.openxmlformats.org/officeDocument/2006/relationships/hyperlink" Target="https://rdsm.gios.gov.pl/" TargetMode="External"/><Relationship Id="rId222" Type="http://schemas.openxmlformats.org/officeDocument/2006/relationships/image" Target="media/image150.jpeg"/><Relationship Id="rId243" Type="http://schemas.openxmlformats.org/officeDocument/2006/relationships/hyperlink" Target="http://pl.wikipedia.org/w/index.php?title=Plik:Flag_of_Lithuania.svg&amp;filetimestamp=20100415170114" TargetMode="External"/><Relationship Id="rId17" Type="http://schemas.openxmlformats.org/officeDocument/2006/relationships/image" Target="media/image5.png"/><Relationship Id="rId38" Type="http://schemas.openxmlformats.org/officeDocument/2006/relationships/image" Target="media/image17.jpeg"/><Relationship Id="rId59" Type="http://schemas.openxmlformats.org/officeDocument/2006/relationships/image" Target="media/image38.jpeg"/><Relationship Id="rId103" Type="http://schemas.openxmlformats.org/officeDocument/2006/relationships/image" Target="media/image79.png"/><Relationship Id="rId124" Type="http://schemas.openxmlformats.org/officeDocument/2006/relationships/chart" Target="charts/chart23.xml"/><Relationship Id="rId70" Type="http://schemas.openxmlformats.org/officeDocument/2006/relationships/image" Target="media/image49.jpeg"/><Relationship Id="rId91" Type="http://schemas.openxmlformats.org/officeDocument/2006/relationships/image" Target="media/image70.emf"/><Relationship Id="rId145" Type="http://schemas.openxmlformats.org/officeDocument/2006/relationships/image" Target="media/image104.png"/><Relationship Id="rId166" Type="http://schemas.openxmlformats.org/officeDocument/2006/relationships/image" Target="media/image116.jpeg"/><Relationship Id="rId187" Type="http://schemas.openxmlformats.org/officeDocument/2006/relationships/image" Target="media/image130.jpeg"/><Relationship Id="rId1" Type="http://schemas.openxmlformats.org/officeDocument/2006/relationships/numbering" Target="numbering.xml"/><Relationship Id="rId212" Type="http://schemas.openxmlformats.org/officeDocument/2006/relationships/image" Target="media/image142.jpeg"/><Relationship Id="rId233" Type="http://schemas.openxmlformats.org/officeDocument/2006/relationships/hyperlink" Target="https://dane.gov.pl/pl/dataset?page=1&amp;per_page=20&amp;q=monitoring&amp;sort=relevance" TargetMode="External"/><Relationship Id="rId254" Type="http://schemas.openxmlformats.org/officeDocument/2006/relationships/theme" Target="theme/theme1.xml"/><Relationship Id="rId28" Type="http://schemas.openxmlformats.org/officeDocument/2006/relationships/image" Target="media/image10.png"/><Relationship Id="rId49" Type="http://schemas.openxmlformats.org/officeDocument/2006/relationships/image" Target="media/image28.png"/><Relationship Id="rId114" Type="http://schemas.openxmlformats.org/officeDocument/2006/relationships/image" Target="media/image85.jpeg"/><Relationship Id="rId60" Type="http://schemas.openxmlformats.org/officeDocument/2006/relationships/image" Target="media/image39.jpeg"/><Relationship Id="rId81" Type="http://schemas.openxmlformats.org/officeDocument/2006/relationships/image" Target="media/image60.jpeg"/><Relationship Id="rId135" Type="http://schemas.openxmlformats.org/officeDocument/2006/relationships/image" Target="media/image98.png"/><Relationship Id="rId156" Type="http://schemas.openxmlformats.org/officeDocument/2006/relationships/hyperlink" Target="https://inspire.gios.gov.pl/wss/ogc/features" TargetMode="External"/><Relationship Id="rId177" Type="http://schemas.openxmlformats.org/officeDocument/2006/relationships/chart" Target="charts/chart29.xml"/><Relationship Id="rId198" Type="http://schemas.openxmlformats.org/officeDocument/2006/relationships/hyperlink" Target="https://powietrze.gios.gov.pl" TargetMode="External"/><Relationship Id="rId202" Type="http://schemas.openxmlformats.org/officeDocument/2006/relationships/hyperlink" Target="http://siedliska.gios.gov.pl/pl/" TargetMode="External"/><Relationship Id="rId223" Type="http://schemas.openxmlformats.org/officeDocument/2006/relationships/hyperlink" Target="https://www.youtube.com/embed/LECHVB_lxNM" TargetMode="External"/><Relationship Id="rId244" Type="http://schemas.openxmlformats.org/officeDocument/2006/relationships/image" Target="media/image159.png"/><Relationship Id="rId18" Type="http://schemas.openxmlformats.org/officeDocument/2006/relationships/image" Target="media/image6.png"/><Relationship Id="rId39" Type="http://schemas.openxmlformats.org/officeDocument/2006/relationships/image" Target="media/image18.png"/><Relationship Id="rId50" Type="http://schemas.openxmlformats.org/officeDocument/2006/relationships/image" Target="media/image29.png"/><Relationship Id="rId104" Type="http://schemas.openxmlformats.org/officeDocument/2006/relationships/chart" Target="charts/chart17.xml"/><Relationship Id="rId125" Type="http://schemas.openxmlformats.org/officeDocument/2006/relationships/chart" Target="charts/chart24.xml"/><Relationship Id="rId146" Type="http://schemas.openxmlformats.org/officeDocument/2006/relationships/chart" Target="charts/chart26.xml"/><Relationship Id="rId167" Type="http://schemas.openxmlformats.org/officeDocument/2006/relationships/image" Target="media/image117.jpeg"/><Relationship Id="rId188" Type="http://schemas.openxmlformats.org/officeDocument/2006/relationships/image" Target="media/image131.jpeg"/><Relationship Id="rId71" Type="http://schemas.openxmlformats.org/officeDocument/2006/relationships/image" Target="media/image50.jpeg"/><Relationship Id="rId92" Type="http://schemas.openxmlformats.org/officeDocument/2006/relationships/image" Target="media/image71.emf"/><Relationship Id="rId213" Type="http://schemas.openxmlformats.org/officeDocument/2006/relationships/hyperlink" Target="https://www.eea.europa.eu/pl/publications/sygnaly-eea-2021-przyroda-europy" TargetMode="External"/><Relationship Id="rId234" Type="http://schemas.openxmlformats.org/officeDocument/2006/relationships/image" Target="media/image154.png"/><Relationship Id="rId2" Type="http://schemas.openxmlformats.org/officeDocument/2006/relationships/styles" Target="styles.xml"/><Relationship Id="rId29" Type="http://schemas.openxmlformats.org/officeDocument/2006/relationships/image" Target="media/image11.png"/><Relationship Id="rId40" Type="http://schemas.openxmlformats.org/officeDocument/2006/relationships/image" Target="media/image19.png"/><Relationship Id="rId115" Type="http://schemas.openxmlformats.org/officeDocument/2006/relationships/image" Target="media/image86.png"/><Relationship Id="rId136" Type="http://schemas.openxmlformats.org/officeDocument/2006/relationships/image" Target="media/image99.png"/><Relationship Id="rId157" Type="http://schemas.openxmlformats.org/officeDocument/2006/relationships/hyperlink" Target="https://dane.gov.pl/pl" TargetMode="External"/><Relationship Id="rId178" Type="http://schemas.openxmlformats.org/officeDocument/2006/relationships/chart" Target="charts/chart30.xml"/><Relationship Id="rId61" Type="http://schemas.openxmlformats.org/officeDocument/2006/relationships/image" Target="media/image40.jpeg"/><Relationship Id="rId82" Type="http://schemas.openxmlformats.org/officeDocument/2006/relationships/image" Target="media/image61.emf"/><Relationship Id="rId199" Type="http://schemas.openxmlformats.org/officeDocument/2006/relationships/hyperlink" Target="https://wody.gios.gov.pl/pjwp/api/" TargetMode="External"/><Relationship Id="rId203" Type="http://schemas.openxmlformats.org/officeDocument/2006/relationships/hyperlink" Target="https://monitoringptakow.gios.gov.pl/" TargetMode="External"/><Relationship Id="rId19" Type="http://schemas.openxmlformats.org/officeDocument/2006/relationships/image" Target="media/image7.jpeg"/><Relationship Id="rId224" Type="http://schemas.openxmlformats.org/officeDocument/2006/relationships/hyperlink" Target="https://www.projektpulsar.pl/srodowisko/2154925,1,piotr-panek-czlowiek-jest-ryba-bardzo-specyficzna.read" TargetMode="External"/><Relationship Id="rId245" Type="http://schemas.openxmlformats.org/officeDocument/2006/relationships/hyperlink" Target="http://pl.wikipedia.org/w/index.php?title=Plik:Flag_of_Germany.svg&amp;filetimestamp=20070926182838" TargetMode="External"/><Relationship Id="rId30" Type="http://schemas.openxmlformats.org/officeDocument/2006/relationships/chart" Target="charts/chart11.xml"/><Relationship Id="rId105" Type="http://schemas.openxmlformats.org/officeDocument/2006/relationships/chart" Target="charts/chart18.xml"/><Relationship Id="rId126" Type="http://schemas.openxmlformats.org/officeDocument/2006/relationships/chart" Target="charts/chart25.xml"/><Relationship Id="rId147" Type="http://schemas.openxmlformats.org/officeDocument/2006/relationships/hyperlink" Target="https://www.gov.pl/web/gios/monitoring-pol-elektromagnetycznych" TargetMode="External"/><Relationship Id="rId168" Type="http://schemas.openxmlformats.org/officeDocument/2006/relationships/image" Target="media/image118.jpeg"/><Relationship Id="rId51" Type="http://schemas.openxmlformats.org/officeDocument/2006/relationships/image" Target="media/image30.png"/><Relationship Id="rId72" Type="http://schemas.openxmlformats.org/officeDocument/2006/relationships/image" Target="media/image51.jpeg"/><Relationship Id="rId93" Type="http://schemas.openxmlformats.org/officeDocument/2006/relationships/image" Target="media/image72.jpeg"/><Relationship Id="rId189" Type="http://schemas.openxmlformats.org/officeDocument/2006/relationships/image" Target="media/image132.jpeg"/><Relationship Id="rId3" Type="http://schemas.openxmlformats.org/officeDocument/2006/relationships/settings" Target="settings.xml"/><Relationship Id="rId214" Type="http://schemas.openxmlformats.org/officeDocument/2006/relationships/hyperlink" Target="https://www.eionet.europa.eu/etcs/etc-ce/products/etc-ce-products/etc-ce-report-5-2022-country-profiles-on-circular-economy/poland-ce-country-profile-2022_for-publication.pdf" TargetMode="External"/><Relationship Id="rId235" Type="http://schemas.openxmlformats.org/officeDocument/2006/relationships/hyperlink" Target="https://inspire.gios.gov.pl/portal/" TargetMode="External"/><Relationship Id="rId116" Type="http://schemas.openxmlformats.org/officeDocument/2006/relationships/image" Target="media/image87.jpeg"/><Relationship Id="rId137" Type="http://schemas.openxmlformats.org/officeDocument/2006/relationships/image" Target="media/image100.png"/><Relationship Id="rId158" Type="http://schemas.openxmlformats.org/officeDocument/2006/relationships/image" Target="media/image109.png"/><Relationship Id="rId20" Type="http://schemas.openxmlformats.org/officeDocument/2006/relationships/image" Target="media/image8.png"/><Relationship Id="rId41" Type="http://schemas.openxmlformats.org/officeDocument/2006/relationships/image" Target="media/image20.jpeg"/><Relationship Id="rId62" Type="http://schemas.openxmlformats.org/officeDocument/2006/relationships/image" Target="media/image41.jpeg"/><Relationship Id="rId83" Type="http://schemas.openxmlformats.org/officeDocument/2006/relationships/image" Target="media/image62.emf"/><Relationship Id="rId179" Type="http://schemas.openxmlformats.org/officeDocument/2006/relationships/chart" Target="charts/chart31.xml"/><Relationship Id="rId190" Type="http://schemas.openxmlformats.org/officeDocument/2006/relationships/image" Target="media/image133.jpeg"/><Relationship Id="rId204" Type="http://schemas.openxmlformats.org/officeDocument/2006/relationships/hyperlink" Target="http://monitoringptakow.gios.gov.pl/PM-GIS/" TargetMode="External"/><Relationship Id="rId225" Type="http://schemas.openxmlformats.org/officeDocument/2006/relationships/hyperlink" Target="https://www.projektpulsar.pl/" TargetMode="External"/><Relationship Id="rId246" Type="http://schemas.openxmlformats.org/officeDocument/2006/relationships/image" Target="media/image160.png"/><Relationship Id="rId106" Type="http://schemas.openxmlformats.org/officeDocument/2006/relationships/chart" Target="charts/chart19.xml"/><Relationship Id="rId127" Type="http://schemas.openxmlformats.org/officeDocument/2006/relationships/image" Target="media/image91.jpeg"/><Relationship Id="rId10" Type="http://schemas.openxmlformats.org/officeDocument/2006/relationships/chart" Target="charts/chart3.xml"/><Relationship Id="rId31" Type="http://schemas.openxmlformats.org/officeDocument/2006/relationships/image" Target="media/image12.png"/><Relationship Id="rId52" Type="http://schemas.openxmlformats.org/officeDocument/2006/relationships/image" Target="media/image31.jpeg"/><Relationship Id="rId73" Type="http://schemas.openxmlformats.org/officeDocument/2006/relationships/image" Target="media/image52.jpeg"/><Relationship Id="rId94" Type="http://schemas.openxmlformats.org/officeDocument/2006/relationships/image" Target="media/image73.emf"/><Relationship Id="rId148" Type="http://schemas.openxmlformats.org/officeDocument/2006/relationships/image" Target="media/image105.jpeg"/><Relationship Id="rId169" Type="http://schemas.openxmlformats.org/officeDocument/2006/relationships/image" Target="media/image119.jpeg"/><Relationship Id="rId4" Type="http://schemas.openxmlformats.org/officeDocument/2006/relationships/webSettings" Target="webSettings.xml"/><Relationship Id="rId180" Type="http://schemas.openxmlformats.org/officeDocument/2006/relationships/chart" Target="charts/chart32.xml"/><Relationship Id="rId215" Type="http://schemas.openxmlformats.org/officeDocument/2006/relationships/image" Target="media/image143.jpeg"/><Relationship Id="rId236" Type="http://schemas.openxmlformats.org/officeDocument/2006/relationships/hyperlink" Target="https://mapy.geoportal.gov.pl/imap/Imgp_2.html"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ios.edu.pl/wp-content/uploads/2022/10/Wstepny-raport-zespolu-ds.-sytuacji-na-rzece-Odrze.pdf"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m.ogonek\Desktop\Wykresy.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11.xml.rels><?xml version="1.0" encoding="UTF-8" standalone="yes"?>
<Relationships xmlns="http://schemas.openxmlformats.org/package/2006/relationships"><Relationship Id="rId3" Type="http://schemas.openxmlformats.org/officeDocument/2006/relationships/oleObject" Target="file:///\\slon\dokumenty\g.palian\Moje%20dokumenty\r&#243;&#380;no&#347;ci\dane%20zebrane\IO&#346;\Wykres%2014.%20Struktura%20decyzji%20zezwalaj&#261;cych%20na%20wyw&#243;z%20odpad&#243;w%20z%20Polski.xlsx" TargetMode="External"/><Relationship Id="rId2" Type="http://schemas.microsoft.com/office/2011/relationships/chartColorStyle" Target="colors8.xml"/><Relationship Id="rId1" Type="http://schemas.microsoft.com/office/2011/relationships/chartStyle" Target="style8.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d.swiercz\Desktop\Wykresy%20do%20sprawozdania%202021.xlsx" TargetMode="External"/><Relationship Id="rId1" Type="http://schemas.openxmlformats.org/officeDocument/2006/relationships/themeOverride" Target="../theme/themeOverride4.xml"/></Relationships>
</file>

<file path=word/charts/_rels/chart13.xml.rels><?xml version="1.0" encoding="UTF-8" standalone="yes"?>
<Relationships xmlns="http://schemas.openxmlformats.org/package/2006/relationships"><Relationship Id="rId2" Type="http://schemas.openxmlformats.org/officeDocument/2006/relationships/oleObject" Target="file:///\\slon\dokumenty\d.swiercz\Moje%20dokumenty\Sprawy%202023\Sprawozdanie%20za%202022%20r\Wykresy%20do%20sprawozdania%202022.xlsx" TargetMode="External"/><Relationship Id="rId1" Type="http://schemas.openxmlformats.org/officeDocument/2006/relationships/themeOverride" Target="../theme/themeOverride5.xml"/></Relationships>
</file>

<file path=word/charts/_rels/chart14.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15.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16.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17.xml.rels><?xml version="1.0" encoding="UTF-8" standalone="yes"?>
<Relationships xmlns="http://schemas.openxmlformats.org/package/2006/relationships"><Relationship Id="rId3" Type="http://schemas.openxmlformats.org/officeDocument/2006/relationships/oleObject" Target="../embeddings/oleObject4.bin"/><Relationship Id="rId2" Type="http://schemas.microsoft.com/office/2011/relationships/chartColorStyle" Target="colors9.xml"/><Relationship Id="rId1" Type="http://schemas.microsoft.com/office/2011/relationships/chartStyle" Target="style9.xml"/></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embeddings/oleObject5.bin"/></Relationships>
</file>

<file path=word/charts/_rels/chart19.xml.rels><?xml version="1.0" encoding="UTF-8" standalone="yes"?>
<Relationships xmlns="http://schemas.openxmlformats.org/package/2006/relationships"><Relationship Id="rId2" Type="http://schemas.openxmlformats.org/officeDocument/2006/relationships/oleObject" Target="file:///\\slon\dokumenty\a.chelstowska\Moje%20dokumenty\gr-powietrze\sprawozdania%20z%20dzialalnosci%20Inspekcji\spr%20z%20dzialalnosci%20za%202022%20AC\pH%20-%20tabela%20i%20wykres%201994-2021.xls" TargetMode="External"/><Relationship Id="rId1" Type="http://schemas.openxmlformats.org/officeDocument/2006/relationships/themeOverride" Target="../theme/themeOverride6.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m.ogonek\Desktop\Wykresy.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192.168.0.240\dm\Katalog%20DM\WODY\SPRAWOZDANIA%20Z%20DZIALALNOSCI\SPRAWOZDANIE%20ZA%202022\robocze\wykresy_2022.xlsx" TargetMode="External"/><Relationship Id="rId2" Type="http://schemas.microsoft.com/office/2011/relationships/chartColorStyle" Target="colors10.xml"/><Relationship Id="rId1" Type="http://schemas.microsoft.com/office/2011/relationships/chartStyle" Target="style10.xml"/></Relationships>
</file>

<file path=word/charts/_rels/chart21.xml.rels><?xml version="1.0" encoding="UTF-8" standalone="yes"?>
<Relationships xmlns="http://schemas.openxmlformats.org/package/2006/relationships"><Relationship Id="rId3" Type="http://schemas.openxmlformats.org/officeDocument/2006/relationships/oleObject" Target="file:///\\192.168.0.240\dm\Katalog%20DM\WODY\SPRAWOZDANIA%20Z%20DZIALALNOSCI\SPRAWOZDANIE%20ZA%202022\robocze\wykresy_2022.xlsx" TargetMode="External"/><Relationship Id="rId2" Type="http://schemas.microsoft.com/office/2011/relationships/chartColorStyle" Target="colors11.xml"/><Relationship Id="rId1" Type="http://schemas.microsoft.com/office/2011/relationships/chartStyle" Target="style11.xml"/></Relationships>
</file>

<file path=word/charts/_rels/chart22.xml.rels><?xml version="1.0" encoding="UTF-8" standalone="yes"?>
<Relationships xmlns="http://schemas.openxmlformats.org/package/2006/relationships"><Relationship Id="rId2" Type="http://schemas.openxmlformats.org/officeDocument/2006/relationships/oleObject" Target="../embeddings/oleObject6.bin"/><Relationship Id="rId1" Type="http://schemas.openxmlformats.org/officeDocument/2006/relationships/themeOverride" Target="../theme/themeOverride7.xml"/></Relationships>
</file>

<file path=word/charts/_rels/chart23.xml.rels><?xml version="1.0" encoding="UTF-8" standalone="yes"?>
<Relationships xmlns="http://schemas.openxmlformats.org/package/2006/relationships"><Relationship Id="rId2" Type="http://schemas.openxmlformats.org/officeDocument/2006/relationships/oleObject" Target="../embeddings/oleObject7.bin"/><Relationship Id="rId1" Type="http://schemas.openxmlformats.org/officeDocument/2006/relationships/themeOverride" Target="../theme/themeOverride8.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9.xm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4.xlsx"/></Relationships>
</file>

<file path=word/charts/_rels/chart26.xml.rels><?xml version="1.0" encoding="UTF-8" standalone="yes"?>
<Relationships xmlns="http://schemas.openxmlformats.org/package/2006/relationships"><Relationship Id="rId3" Type="http://schemas.openxmlformats.org/officeDocument/2006/relationships/oleObject" Target="https://d.docs.live.net/a0a92c38fed6f68e/Desktop/RAPORT%202022/stan_przyrody.xlsx" TargetMode="External"/><Relationship Id="rId2" Type="http://schemas.microsoft.com/office/2011/relationships/chartColorStyle" Target="colors13.xml"/><Relationship Id="rId1" Type="http://schemas.microsoft.com/office/2011/relationships/chartStyle" Target="style13.xm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C:\Users\l.turzanski\Desktop\OS2%20a%20i%20c\2022%20ca&#322;y_SUMA_O&#347;-2a%20i%202c_v6%20pop_gleby%20odpady.xlsx" TargetMode="Externa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fs1-olsztyn\klr$\2023\Sprawozdanie%20IO&#346;%20za%202022%20rok\do%20sprawozdania%20-%20wyniki%20ILC%20PT%202022.xlsx" TargetMode="External"/></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file:///\\fs1-olsztyn\klr$\2023\Sprawozdanie%20IO&#346;%20za%202022%20rok\do%20sprawozdania%20-%20wyniki%20ILC%20PT%202022.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192.168.0.240\di\ZPA\O&#346;-2b\O&#346;-2b%20za%202022%20r\Analizy%20b&#322;&#281;d&#243;w\Wykresy%20i%20tabele%202022.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fs1-olsztyn\klr$\2023\Sprawozdanie%20IO&#346;%20za%202022%20rok\do%20sprawozdania%20-%20wyniki%20ILC%20PT%202022.xlsx" TargetMode="External"/></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file:///\\fs1-olsztyn\klr$\2023\Sprawozdanie%20IO&#346;%20za%202022%20rok\do%20sprawozdania%20-%20wyniki%20ILC%20PT%202022.xlsx" TargetMode="External"/></Relationships>
</file>

<file path=word/charts/_rels/chart32.xml.rels><?xml version="1.0" encoding="UTF-8" standalone="yes"?>
<Relationships xmlns="http://schemas.openxmlformats.org/package/2006/relationships"><Relationship Id="rId3" Type="http://schemas.openxmlformats.org/officeDocument/2006/relationships/oleObject" Target="file:///\\fs1-olsztyn\klr$\2023\Sprawozdanie%20IO&#346;%20za%202022%20rok\do%20sprawozdania%20-%20wyniki%20ILC%20PT%202022.xlsx" TargetMode="External"/><Relationship Id="rId2" Type="http://schemas.microsoft.com/office/2011/relationships/chartColorStyle" Target="colors19.xml"/><Relationship Id="rId1" Type="http://schemas.microsoft.com/office/2011/relationships/chartStyle" Target="style19.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m.ogonek\Desktop\Wykresy.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m.ogonek\Desktop\Wykresy.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m.ogonek\Desktop\Wykresy.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192.168.0.240\di\ZPA\O&#346;-2b\O&#346;-2b%20za%202022%20r\Analizy%20b&#322;&#281;d&#243;w\Wykresy%20i%20tabele%202022.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'Wykresy 2022'!$B$119</c:f>
              <c:strCache>
                <c:ptCount val="1"/>
                <c:pt idx="0">
                  <c:v>2021</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 2022'!$A$120:$A$124</c:f>
              <c:strCache>
                <c:ptCount val="5"/>
                <c:pt idx="0">
                  <c:v>Kategoria I</c:v>
                </c:pt>
                <c:pt idx="1">
                  <c:v>Kategoria II</c:v>
                </c:pt>
                <c:pt idx="2">
                  <c:v>Kategoria III</c:v>
                </c:pt>
                <c:pt idx="3">
                  <c:v>Kategoria IV</c:v>
                </c:pt>
                <c:pt idx="4">
                  <c:v>Kategoria V</c:v>
                </c:pt>
              </c:strCache>
            </c:strRef>
          </c:cat>
          <c:val>
            <c:numRef>
              <c:f>'Wykresy 2022'!$B$120:$B$124</c:f>
              <c:numCache>
                <c:formatCode>#,##0</c:formatCode>
                <c:ptCount val="5"/>
                <c:pt idx="0">
                  <c:v>676</c:v>
                </c:pt>
                <c:pt idx="1">
                  <c:v>2664</c:v>
                </c:pt>
                <c:pt idx="2">
                  <c:v>11028</c:v>
                </c:pt>
                <c:pt idx="3">
                  <c:v>59115</c:v>
                </c:pt>
                <c:pt idx="4">
                  <c:v>81645</c:v>
                </c:pt>
              </c:numCache>
            </c:numRef>
          </c:val>
          <c:extLst>
            <c:ext xmlns:c16="http://schemas.microsoft.com/office/drawing/2014/chart" uri="{C3380CC4-5D6E-409C-BE32-E72D297353CC}">
              <c16:uniqueId val="{00000000-A206-423F-85A1-CE2904A9D9AC}"/>
            </c:ext>
          </c:extLst>
        </c:ser>
        <c:ser>
          <c:idx val="1"/>
          <c:order val="1"/>
          <c:tx>
            <c:strRef>
              <c:f>'Wykresy 2022'!$C$119</c:f>
              <c:strCache>
                <c:ptCount val="1"/>
                <c:pt idx="0">
                  <c:v>2022</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 2022'!$A$120:$A$124</c:f>
              <c:strCache>
                <c:ptCount val="5"/>
                <c:pt idx="0">
                  <c:v>Kategoria I</c:v>
                </c:pt>
                <c:pt idx="1">
                  <c:v>Kategoria II</c:v>
                </c:pt>
                <c:pt idx="2">
                  <c:v>Kategoria III</c:v>
                </c:pt>
                <c:pt idx="3">
                  <c:v>Kategoria IV</c:v>
                </c:pt>
                <c:pt idx="4">
                  <c:v>Kategoria V</c:v>
                </c:pt>
              </c:strCache>
            </c:strRef>
          </c:cat>
          <c:val>
            <c:numRef>
              <c:f>'Wykresy 2022'!$C$120:$C$124</c:f>
              <c:numCache>
                <c:formatCode>#,##0</c:formatCode>
                <c:ptCount val="5"/>
                <c:pt idx="0">
                  <c:v>705</c:v>
                </c:pt>
                <c:pt idx="1">
                  <c:v>2375</c:v>
                </c:pt>
                <c:pt idx="2">
                  <c:v>11283</c:v>
                </c:pt>
                <c:pt idx="3">
                  <c:v>60503</c:v>
                </c:pt>
                <c:pt idx="4">
                  <c:v>89086</c:v>
                </c:pt>
              </c:numCache>
            </c:numRef>
          </c:val>
          <c:extLst>
            <c:ext xmlns:c16="http://schemas.microsoft.com/office/drawing/2014/chart" uri="{C3380CC4-5D6E-409C-BE32-E72D297353CC}">
              <c16:uniqueId val="{00000001-A206-423F-85A1-CE2904A9D9AC}"/>
            </c:ext>
          </c:extLst>
        </c:ser>
        <c:dLbls>
          <c:dLblPos val="outEnd"/>
          <c:showLegendKey val="0"/>
          <c:showVal val="1"/>
          <c:showCatName val="0"/>
          <c:showSerName val="0"/>
          <c:showPercent val="0"/>
          <c:showBubbleSize val="0"/>
        </c:dLbls>
        <c:gapWidth val="219"/>
        <c:overlap val="-27"/>
        <c:axId val="1635450688"/>
        <c:axId val="1635447776"/>
      </c:barChart>
      <c:catAx>
        <c:axId val="1635450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1635447776"/>
        <c:crosses val="autoZero"/>
        <c:auto val="1"/>
        <c:lblAlgn val="ctr"/>
        <c:lblOffset val="100"/>
        <c:noMultiLvlLbl val="0"/>
      </c:catAx>
      <c:valAx>
        <c:axId val="16354477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1635450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manualLayout>
          <c:layoutTarget val="inner"/>
          <c:xMode val="edge"/>
          <c:yMode val="edge"/>
          <c:x val="9.5914260717410313E-2"/>
          <c:y val="0.17171296296296298"/>
          <c:w val="0.89019685039370078"/>
          <c:h val="0.61498432487605714"/>
        </c:manualLayout>
      </c:layout>
      <c:bar3DChart>
        <c:barDir val="col"/>
        <c:grouping val="clustered"/>
        <c:varyColors val="0"/>
        <c:ser>
          <c:idx val="0"/>
          <c:order val="0"/>
          <c:tx>
            <c:strRef>
              <c:f>Arkusz1!$C$22</c:f>
              <c:strCache>
                <c:ptCount val="1"/>
                <c:pt idx="0">
                  <c:v>liczba skarg do WSA</c:v>
                </c:pt>
              </c:strCache>
            </c:strRef>
          </c:tx>
          <c:spPr>
            <a:solidFill>
              <a:srgbClr val="4472C4"/>
            </a:solidFill>
            <a:ln w="25394">
              <a:noFill/>
            </a:ln>
          </c:spPr>
          <c:invertIfNegative val="0"/>
          <c:dLbls>
            <c:spPr>
              <a:noFill/>
              <a:ln w="25394">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Arkusz1!$B$23:$B$33</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Arkusz1!$C$23:$C$33</c:f>
              <c:numCache>
                <c:formatCode>General</c:formatCode>
                <c:ptCount val="11"/>
                <c:pt idx="0">
                  <c:v>165</c:v>
                </c:pt>
                <c:pt idx="1">
                  <c:v>59</c:v>
                </c:pt>
                <c:pt idx="2">
                  <c:v>97</c:v>
                </c:pt>
                <c:pt idx="3">
                  <c:v>135</c:v>
                </c:pt>
                <c:pt idx="4">
                  <c:v>149</c:v>
                </c:pt>
                <c:pt idx="5">
                  <c:v>141</c:v>
                </c:pt>
                <c:pt idx="6">
                  <c:v>191</c:v>
                </c:pt>
                <c:pt idx="7">
                  <c:v>144</c:v>
                </c:pt>
                <c:pt idx="8">
                  <c:v>250</c:v>
                </c:pt>
                <c:pt idx="9">
                  <c:v>241</c:v>
                </c:pt>
                <c:pt idx="10">
                  <c:v>263</c:v>
                </c:pt>
              </c:numCache>
            </c:numRef>
          </c:val>
          <c:extLst>
            <c:ext xmlns:c16="http://schemas.microsoft.com/office/drawing/2014/chart" uri="{C3380CC4-5D6E-409C-BE32-E72D297353CC}">
              <c16:uniqueId val="{00000000-DCBF-48F5-9333-ACA914D2D3A2}"/>
            </c:ext>
          </c:extLst>
        </c:ser>
        <c:ser>
          <c:idx val="1"/>
          <c:order val="1"/>
          <c:tx>
            <c:strRef>
              <c:f>Arkusz1!$D$22</c:f>
              <c:strCache>
                <c:ptCount val="1"/>
                <c:pt idx="0">
                  <c:v>liczba orzeczeń wydanych przez WSA</c:v>
                </c:pt>
              </c:strCache>
            </c:strRef>
          </c:tx>
          <c:spPr>
            <a:solidFill>
              <a:srgbClr val="ED7D31"/>
            </a:solidFill>
            <a:ln w="25394">
              <a:noFill/>
            </a:ln>
          </c:spPr>
          <c:invertIfNegative val="0"/>
          <c:dLbls>
            <c:dLbl>
              <c:idx val="0"/>
              <c:layout>
                <c:manualLayout>
                  <c:x val="1.294498381877022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CBF-48F5-9333-ACA914D2D3A2}"/>
                </c:ext>
              </c:extLst>
            </c:dLbl>
            <c:dLbl>
              <c:idx val="2"/>
              <c:layout>
                <c:manualLayout>
                  <c:x val="1.28205128205128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CBF-48F5-9333-ACA914D2D3A2}"/>
                </c:ext>
              </c:extLst>
            </c:dLbl>
            <c:dLbl>
              <c:idx val="3"/>
              <c:layout>
                <c:manualLayout>
                  <c:x val="1.7259978425026967E-2"/>
                  <c:y val="-7.698947408490134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CBF-48F5-9333-ACA914D2D3A2}"/>
                </c:ext>
              </c:extLst>
            </c:dLbl>
            <c:dLbl>
              <c:idx val="4"/>
              <c:layout>
                <c:manualLayout>
                  <c:x val="1.504021131973887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CBF-48F5-9333-ACA914D2D3A2}"/>
                </c:ext>
              </c:extLst>
            </c:dLbl>
            <c:dLbl>
              <c:idx val="5"/>
              <c:layout>
                <c:manualLayout>
                  <c:x val="1.941747572815533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CBF-48F5-9333-ACA914D2D3A2}"/>
                </c:ext>
              </c:extLst>
            </c:dLbl>
            <c:dLbl>
              <c:idx val="6"/>
              <c:layout>
                <c:manualLayout>
                  <c:x val="1.7259978425026891E-2"/>
                  <c:y val="8.398948742604626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CBF-48F5-9333-ACA914D2D3A2}"/>
                </c:ext>
              </c:extLst>
            </c:dLbl>
            <c:dLbl>
              <c:idx val="7"/>
              <c:layout>
                <c:manualLayout>
                  <c:x val="1.7259978425026967E-2"/>
                  <c:y val="-8.398948742604703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CBF-48F5-9333-ACA914D2D3A2}"/>
                </c:ext>
              </c:extLst>
            </c:dLbl>
            <c:dLbl>
              <c:idx val="8"/>
              <c:layout>
                <c:manualLayout>
                  <c:x val="1.5102481121898598E-2"/>
                  <c:y val="4.199474371302236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CBF-48F5-9333-ACA914D2D3A2}"/>
                </c:ext>
              </c:extLst>
            </c:dLbl>
            <c:dLbl>
              <c:idx val="9"/>
              <c:layout>
                <c:manualLayout>
                  <c:x val="1.510248112189859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CBF-48F5-9333-ACA914D2D3A2}"/>
                </c:ext>
              </c:extLst>
            </c:dLbl>
            <c:dLbl>
              <c:idx val="10"/>
              <c:layout>
                <c:manualLayout>
                  <c:x val="1.9417475728155182E-2"/>
                  <c:y val="-3.8494737042450674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CBF-48F5-9333-ACA914D2D3A2}"/>
                </c:ext>
              </c:extLst>
            </c:dLbl>
            <c:spPr>
              <a:noFill/>
              <a:ln w="25394">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Arkusz1!$B$23:$B$33</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Arkusz1!$D$23:$D$33</c:f>
              <c:numCache>
                <c:formatCode>General</c:formatCode>
                <c:ptCount val="11"/>
                <c:pt idx="0">
                  <c:v>97</c:v>
                </c:pt>
                <c:pt idx="1">
                  <c:v>159</c:v>
                </c:pt>
                <c:pt idx="2">
                  <c:v>123</c:v>
                </c:pt>
                <c:pt idx="3">
                  <c:v>113</c:v>
                </c:pt>
                <c:pt idx="4">
                  <c:v>111</c:v>
                </c:pt>
                <c:pt idx="5">
                  <c:v>106</c:v>
                </c:pt>
                <c:pt idx="6">
                  <c:v>174</c:v>
                </c:pt>
                <c:pt idx="7">
                  <c:v>131</c:v>
                </c:pt>
                <c:pt idx="8">
                  <c:v>163</c:v>
                </c:pt>
                <c:pt idx="9">
                  <c:v>249</c:v>
                </c:pt>
                <c:pt idx="10">
                  <c:v>246</c:v>
                </c:pt>
              </c:numCache>
            </c:numRef>
          </c:val>
          <c:extLst>
            <c:ext xmlns:c16="http://schemas.microsoft.com/office/drawing/2014/chart" uri="{C3380CC4-5D6E-409C-BE32-E72D297353CC}">
              <c16:uniqueId val="{0000000B-DCBF-48F5-9333-ACA914D2D3A2}"/>
            </c:ext>
          </c:extLst>
        </c:ser>
        <c:dLbls>
          <c:showLegendKey val="0"/>
          <c:showVal val="0"/>
          <c:showCatName val="0"/>
          <c:showSerName val="0"/>
          <c:showPercent val="0"/>
          <c:showBubbleSize val="0"/>
        </c:dLbls>
        <c:gapWidth val="150"/>
        <c:shape val="box"/>
        <c:axId val="2034722944"/>
        <c:axId val="1"/>
        <c:axId val="0"/>
      </c:bar3DChart>
      <c:catAx>
        <c:axId val="2034722944"/>
        <c:scaling>
          <c:orientation val="minMax"/>
        </c:scaling>
        <c:delete val="0"/>
        <c:axPos val="b"/>
        <c:numFmt formatCode="General" sourceLinked="1"/>
        <c:majorTickMark val="none"/>
        <c:minorTickMark val="none"/>
        <c:tickLblPos val="nextTo"/>
        <c:spPr>
          <a:ln w="6349">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
        <c:crosses val="autoZero"/>
        <c:auto val="1"/>
        <c:lblAlgn val="ctr"/>
        <c:lblOffset val="100"/>
        <c:noMultiLvlLbl val="0"/>
      </c:catAx>
      <c:valAx>
        <c:axId val="1"/>
        <c:scaling>
          <c:orientation val="minMax"/>
        </c:scaling>
        <c:delete val="0"/>
        <c:axPos val="l"/>
        <c:majorGridlines>
          <c:spPr>
            <a:ln w="9523" cap="flat" cmpd="sng" algn="ctr">
              <a:solidFill>
                <a:schemeClr val="tx1">
                  <a:lumMod val="15000"/>
                  <a:lumOff val="85000"/>
                </a:schemeClr>
              </a:solidFill>
              <a:round/>
            </a:ln>
            <a:effectLst/>
          </c:spPr>
        </c:majorGridlines>
        <c:numFmt formatCode="General" sourceLinked="1"/>
        <c:majorTickMark val="none"/>
        <c:minorTickMark val="none"/>
        <c:tickLblPos val="nextTo"/>
        <c:spPr>
          <a:ln w="6349">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34722944"/>
        <c:crosses val="autoZero"/>
        <c:crossBetween val="between"/>
      </c:valAx>
      <c:spPr>
        <a:noFill/>
        <a:ln w="25394">
          <a:noFill/>
        </a:ln>
      </c:spPr>
    </c:plotArea>
    <c:legend>
      <c:legendPos val="b"/>
      <c:overlay val="0"/>
      <c:spPr>
        <a:noFill/>
        <a:ln w="25394">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3"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Arkusz1!$A$2</c:f>
              <c:strCache>
                <c:ptCount val="1"/>
                <c:pt idx="0">
                  <c:v>odpady niebezpieczne</c:v>
                </c:pt>
              </c:strCache>
            </c:strRef>
          </c:tx>
          <c:spPr>
            <a:solidFill>
              <a:schemeClr val="accent1"/>
            </a:solidFill>
            <a:ln>
              <a:noFill/>
            </a:ln>
            <a:effectLst/>
            <a:sp3d/>
          </c:spPr>
          <c:invertIfNegative val="0"/>
          <c:dLbls>
            <c:dLbl>
              <c:idx val="0"/>
              <c:layout>
                <c:manualLayout>
                  <c:x val="5.2777777777777778E-2"/>
                  <c:y val="-7.8703703703703706E-2"/>
                </c:manualLayout>
              </c:layout>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0-6F79-4467-A2F3-05E4F87EA6E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Lit>
              <c:ptCount val="1"/>
              <c:pt idx="0">
                <c:v>Zgoda</c:v>
              </c:pt>
            </c:strLit>
          </c:cat>
          <c:val>
            <c:numRef>
              <c:f>Arkusz1!$A$3</c:f>
              <c:numCache>
                <c:formatCode>General</c:formatCode>
                <c:ptCount val="1"/>
                <c:pt idx="0">
                  <c:v>76</c:v>
                </c:pt>
              </c:numCache>
            </c:numRef>
          </c:val>
          <c:extLst>
            <c:ext xmlns:c16="http://schemas.microsoft.com/office/drawing/2014/chart" uri="{C3380CC4-5D6E-409C-BE32-E72D297353CC}">
              <c16:uniqueId val="{00000001-6F79-4467-A2F3-05E4F87EA6E7}"/>
            </c:ext>
          </c:extLst>
        </c:ser>
        <c:ser>
          <c:idx val="1"/>
          <c:order val="1"/>
          <c:tx>
            <c:strRef>
              <c:f>Arkusz1!$B$2</c:f>
              <c:strCache>
                <c:ptCount val="1"/>
                <c:pt idx="0">
                  <c:v>odpady inne niż niebezpieczne</c:v>
                </c:pt>
              </c:strCache>
            </c:strRef>
          </c:tx>
          <c:spPr>
            <a:solidFill>
              <a:schemeClr val="accent2"/>
            </a:solidFill>
            <a:ln>
              <a:noFill/>
            </a:ln>
            <a:effectLst/>
            <a:sp3d/>
          </c:spPr>
          <c:invertIfNegative val="0"/>
          <c:dLbls>
            <c:dLbl>
              <c:idx val="0"/>
              <c:layout>
                <c:manualLayout>
                  <c:x val="6.7788742564384691E-2"/>
                  <c:y val="-5.8689279224712294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extLst>
                <c:ext xmlns:c15="http://schemas.microsoft.com/office/drawing/2012/chart" uri="{CE6537A1-D6FC-4f65-9D91-7224C49458BB}">
                  <c15:layout>
                    <c:manualLayout>
                      <c:w val="0.20762484383775173"/>
                      <c:h val="0.17714031899858673"/>
                    </c:manualLayout>
                  </c15:layout>
                </c:ext>
                <c:ext xmlns:c16="http://schemas.microsoft.com/office/drawing/2014/chart" uri="{C3380CC4-5D6E-409C-BE32-E72D297353CC}">
                  <c16:uniqueId val="{00000002-6F79-4467-A2F3-05E4F87EA6E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Lit>
              <c:ptCount val="1"/>
              <c:pt idx="0">
                <c:v>Zgoda</c:v>
              </c:pt>
            </c:strLit>
          </c:cat>
          <c:val>
            <c:numRef>
              <c:f>Arkusz1!$B$3</c:f>
              <c:numCache>
                <c:formatCode>General</c:formatCode>
                <c:ptCount val="1"/>
                <c:pt idx="0">
                  <c:v>33</c:v>
                </c:pt>
              </c:numCache>
            </c:numRef>
          </c:val>
          <c:extLst>
            <c:ext xmlns:c16="http://schemas.microsoft.com/office/drawing/2014/chart" uri="{C3380CC4-5D6E-409C-BE32-E72D297353CC}">
              <c16:uniqueId val="{00000003-6F79-4467-A2F3-05E4F87EA6E7}"/>
            </c:ext>
          </c:extLst>
        </c:ser>
        <c:dLbls>
          <c:showLegendKey val="0"/>
          <c:showVal val="0"/>
          <c:showCatName val="0"/>
          <c:showSerName val="0"/>
          <c:showPercent val="0"/>
          <c:showBubbleSize val="0"/>
        </c:dLbls>
        <c:gapWidth val="150"/>
        <c:shape val="box"/>
        <c:axId val="1179644464"/>
        <c:axId val="1179645712"/>
        <c:axId val="0"/>
      </c:bar3DChart>
      <c:catAx>
        <c:axId val="1179644464"/>
        <c:scaling>
          <c:orientation val="minMax"/>
        </c:scaling>
        <c:delete val="1"/>
        <c:axPos val="b"/>
        <c:numFmt formatCode="General" sourceLinked="1"/>
        <c:majorTickMark val="none"/>
        <c:minorTickMark val="none"/>
        <c:tickLblPos val="nextTo"/>
        <c:crossAx val="1179645712"/>
        <c:crosses val="autoZero"/>
        <c:auto val="1"/>
        <c:lblAlgn val="ctr"/>
        <c:lblOffset val="100"/>
        <c:noMultiLvlLbl val="0"/>
      </c:catAx>
      <c:valAx>
        <c:axId val="11796457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796444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20</a:t>
            </a:r>
            <a:r>
              <a:rPr lang="pl-PL"/>
              <a:t>21</a:t>
            </a:r>
            <a:endParaRPr lang="en-US"/>
          </a:p>
        </c:rich>
      </c:tx>
      <c:overlay val="0"/>
    </c:title>
    <c:autoTitleDeleted val="0"/>
    <c:view3D>
      <c:rotX val="30"/>
      <c:rotY val="359"/>
      <c:rAngAx val="0"/>
      <c:perspective val="0"/>
    </c:view3D>
    <c:floor>
      <c:thickness val="0"/>
    </c:floor>
    <c:sideWall>
      <c:thickness val="0"/>
    </c:sideWall>
    <c:backWall>
      <c:thickness val="0"/>
    </c:backWall>
    <c:plotArea>
      <c:layout/>
      <c:pie3DChart>
        <c:varyColors val="1"/>
        <c:ser>
          <c:idx val="0"/>
          <c:order val="0"/>
          <c:spPr>
            <a:ln w="9525">
              <a:solidFill>
                <a:schemeClr val="tx1"/>
              </a:solidFill>
            </a:ln>
            <a:effectLst>
              <a:outerShdw blurRad="50800" dist="50800" dir="5400000" sx="1000" sy="1000" algn="ctr" rotWithShape="0">
                <a:srgbClr val="000000">
                  <a:alpha val="0"/>
                </a:srgbClr>
              </a:outerShdw>
            </a:effectLst>
          </c:spPr>
          <c:explosion val="5"/>
          <c:dPt>
            <c:idx val="0"/>
            <c:bubble3D val="0"/>
            <c:spPr>
              <a:solidFill>
                <a:srgbClr val="005C2A"/>
              </a:solidFill>
              <a:ln w="12700">
                <a:solidFill>
                  <a:schemeClr val="tx1"/>
                </a:solidFill>
              </a:ln>
              <a:effectLst/>
            </c:spPr>
            <c:extLst>
              <c:ext xmlns:c16="http://schemas.microsoft.com/office/drawing/2014/chart" uri="{C3380CC4-5D6E-409C-BE32-E72D297353CC}">
                <c16:uniqueId val="{00000001-C6B1-4AA3-AFEA-DA7FB3B47CE2}"/>
              </c:ext>
            </c:extLst>
          </c:dPt>
          <c:dPt>
            <c:idx val="1"/>
            <c:bubble3D val="0"/>
            <c:spPr>
              <a:solidFill>
                <a:srgbClr val="7030A0"/>
              </a:solidFill>
              <a:ln w="12700">
                <a:solidFill>
                  <a:schemeClr val="tx1"/>
                </a:solidFill>
              </a:ln>
              <a:effectLst>
                <a:outerShdw blurRad="50800" dist="50800" dir="5400000" sx="1000" sy="1000" algn="ctr" rotWithShape="0">
                  <a:srgbClr val="000000">
                    <a:alpha val="0"/>
                  </a:srgbClr>
                </a:outerShdw>
              </a:effectLst>
            </c:spPr>
            <c:extLst>
              <c:ext xmlns:c16="http://schemas.microsoft.com/office/drawing/2014/chart" uri="{C3380CC4-5D6E-409C-BE32-E72D297353CC}">
                <c16:uniqueId val="{00000003-C6B1-4AA3-AFEA-DA7FB3B47CE2}"/>
              </c:ext>
            </c:extLst>
          </c:dPt>
          <c:dPt>
            <c:idx val="2"/>
            <c:bubble3D val="0"/>
            <c:spPr>
              <a:solidFill>
                <a:srgbClr val="FFFF00"/>
              </a:solidFill>
              <a:ln w="19050">
                <a:solidFill>
                  <a:schemeClr val="tx1"/>
                </a:solidFill>
              </a:ln>
              <a:effectLst>
                <a:outerShdw blurRad="50800" dist="50800" dir="5400000" sx="1000" sy="1000" algn="ctr" rotWithShape="0">
                  <a:srgbClr val="000000">
                    <a:alpha val="0"/>
                  </a:srgbClr>
                </a:outerShdw>
              </a:effectLst>
            </c:spPr>
            <c:extLst>
              <c:ext xmlns:c16="http://schemas.microsoft.com/office/drawing/2014/chart" uri="{C3380CC4-5D6E-409C-BE32-E72D297353CC}">
                <c16:uniqueId val="{00000005-C6B1-4AA3-AFEA-DA7FB3B47CE2}"/>
              </c:ext>
            </c:extLst>
          </c:dPt>
          <c:dLbls>
            <c:delete val="1"/>
          </c:dLbls>
          <c:cat>
            <c:strRef>
              <c:f>Arkusz1!$B$6:$B$8</c:f>
              <c:strCache>
                <c:ptCount val="3"/>
                <c:pt idx="0">
                  <c:v>przywóz 89,4%</c:v>
                </c:pt>
                <c:pt idx="1">
                  <c:v>wywóz - 6,6%</c:v>
                </c:pt>
                <c:pt idx="2">
                  <c:v>tranzyt - 4%</c:v>
                </c:pt>
              </c:strCache>
            </c:strRef>
          </c:cat>
          <c:val>
            <c:numRef>
              <c:f>Arkusz1!$C$6:$C$8</c:f>
              <c:numCache>
                <c:formatCode>General</c:formatCode>
                <c:ptCount val="3"/>
                <c:pt idx="0">
                  <c:v>245</c:v>
                </c:pt>
                <c:pt idx="1">
                  <c:v>18</c:v>
                </c:pt>
                <c:pt idx="2">
                  <c:v>11</c:v>
                </c:pt>
              </c:numCache>
            </c:numRef>
          </c:val>
          <c:extLst>
            <c:ext xmlns:c16="http://schemas.microsoft.com/office/drawing/2014/chart" uri="{C3380CC4-5D6E-409C-BE32-E72D297353CC}">
              <c16:uniqueId val="{00000006-C6B1-4AA3-AFEA-DA7FB3B47CE2}"/>
            </c:ext>
          </c:extLst>
        </c:ser>
        <c:dLbls>
          <c:showLegendKey val="0"/>
          <c:showVal val="0"/>
          <c:showCatName val="0"/>
          <c:showSerName val="0"/>
          <c:showPercent val="1"/>
          <c:showBubbleSize val="0"/>
          <c:showLeaderLines val="1"/>
        </c:dLbls>
      </c:pie3DChart>
    </c:plotArea>
    <c:legend>
      <c:legendPos val="r"/>
      <c:layout>
        <c:manualLayout>
          <c:xMode val="edge"/>
          <c:yMode val="edge"/>
          <c:x val="0.71515007828424781"/>
          <c:y val="0.4155159766465451"/>
          <c:w val="0.26384589438049272"/>
          <c:h val="0.31724424056925016"/>
        </c:manualLayout>
      </c:layout>
      <c:overlay val="0"/>
      <c:txPr>
        <a:bodyPr/>
        <a:lstStyle/>
        <a:p>
          <a:pPr>
            <a:defRPr b="1" i="0" baseline="0"/>
          </a:pPr>
          <a:endParaRPr lang="pl-PL"/>
        </a:p>
      </c:txPr>
    </c:legend>
    <c:plotVisOnly val="1"/>
    <c:dispBlanksAs val="gap"/>
    <c:showDLblsOverMax val="0"/>
  </c:chart>
  <c:spPr>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baseline="0"/>
            </a:pPr>
            <a:r>
              <a:rPr lang="pl-PL" baseline="0"/>
              <a:t>2022</a:t>
            </a:r>
          </a:p>
        </c:rich>
      </c:tx>
      <c:overlay val="0"/>
    </c:title>
    <c:autoTitleDeleted val="0"/>
    <c:view3D>
      <c:rotX val="30"/>
      <c:rotY val="0"/>
      <c:rAngAx val="0"/>
      <c:perspective val="20"/>
    </c:view3D>
    <c:floor>
      <c:thickness val="0"/>
    </c:floor>
    <c:sideWall>
      <c:thickness val="0"/>
    </c:sideWall>
    <c:backWall>
      <c:thickness val="0"/>
    </c:backWall>
    <c:plotArea>
      <c:layout/>
      <c:pie3DChart>
        <c:varyColors val="1"/>
        <c:ser>
          <c:idx val="0"/>
          <c:order val="0"/>
          <c:spPr>
            <a:ln>
              <a:noFill/>
            </a:ln>
          </c:spPr>
          <c:explosion val="5"/>
          <c:dPt>
            <c:idx val="0"/>
            <c:bubble3D val="0"/>
            <c:spPr>
              <a:solidFill>
                <a:srgbClr val="005C2A"/>
              </a:solidFill>
              <a:ln w="12700">
                <a:solidFill>
                  <a:schemeClr val="tx1"/>
                </a:solidFill>
              </a:ln>
              <a:effectLst/>
              <a:scene3d>
                <a:camera prst="orthographicFront"/>
                <a:lightRig rig="threePt" dir="t"/>
              </a:scene3d>
              <a:sp3d>
                <a:contourClr>
                  <a:srgbClr val="000000"/>
                </a:contourClr>
              </a:sp3d>
            </c:spPr>
            <c:extLst>
              <c:ext xmlns:c16="http://schemas.microsoft.com/office/drawing/2014/chart" uri="{C3380CC4-5D6E-409C-BE32-E72D297353CC}">
                <c16:uniqueId val="{00000001-10F2-4ED5-8AFE-770F3E3F8C69}"/>
              </c:ext>
            </c:extLst>
          </c:dPt>
          <c:dPt>
            <c:idx val="1"/>
            <c:bubble3D val="0"/>
            <c:spPr>
              <a:solidFill>
                <a:srgbClr val="7030A0"/>
              </a:solidFill>
              <a:ln w="12700">
                <a:solidFill>
                  <a:schemeClr val="tx1"/>
                </a:solidFill>
              </a:ln>
            </c:spPr>
            <c:extLst>
              <c:ext xmlns:c16="http://schemas.microsoft.com/office/drawing/2014/chart" uri="{C3380CC4-5D6E-409C-BE32-E72D297353CC}">
                <c16:uniqueId val="{00000003-10F2-4ED5-8AFE-770F3E3F8C69}"/>
              </c:ext>
            </c:extLst>
          </c:dPt>
          <c:dPt>
            <c:idx val="2"/>
            <c:bubble3D val="0"/>
            <c:spPr>
              <a:solidFill>
                <a:srgbClr val="FFFF00"/>
              </a:solidFill>
              <a:ln w="12700">
                <a:solidFill>
                  <a:schemeClr val="tx1"/>
                </a:solidFill>
              </a:ln>
            </c:spPr>
            <c:extLst>
              <c:ext xmlns:c16="http://schemas.microsoft.com/office/drawing/2014/chart" uri="{C3380CC4-5D6E-409C-BE32-E72D297353CC}">
                <c16:uniqueId val="{00000005-10F2-4ED5-8AFE-770F3E3F8C69}"/>
              </c:ext>
            </c:extLst>
          </c:dPt>
          <c:dLbls>
            <c:delete val="1"/>
          </c:dLbls>
          <c:cat>
            <c:strRef>
              <c:f>Arkusz1!$B$1:$B$3</c:f>
              <c:strCache>
                <c:ptCount val="3"/>
                <c:pt idx="0">
                  <c:v>przywóz - 89</c:v>
                </c:pt>
                <c:pt idx="1">
                  <c:v>wywóz - 5,7%</c:v>
                </c:pt>
                <c:pt idx="2">
                  <c:v>tranzyt - 5,3%</c:v>
                </c:pt>
              </c:strCache>
            </c:strRef>
          </c:cat>
          <c:val>
            <c:numRef>
              <c:f>Arkusz1!$C$1:$C$3</c:f>
              <c:numCache>
                <c:formatCode>General</c:formatCode>
                <c:ptCount val="3"/>
                <c:pt idx="0">
                  <c:v>171</c:v>
                </c:pt>
                <c:pt idx="1">
                  <c:v>11</c:v>
                </c:pt>
                <c:pt idx="2">
                  <c:v>10</c:v>
                </c:pt>
              </c:numCache>
            </c:numRef>
          </c:val>
          <c:extLst>
            <c:ext xmlns:c16="http://schemas.microsoft.com/office/drawing/2014/chart" uri="{C3380CC4-5D6E-409C-BE32-E72D297353CC}">
              <c16:uniqueId val="{00000006-10F2-4ED5-8AFE-770F3E3F8C69}"/>
            </c:ext>
          </c:extLst>
        </c:ser>
        <c:dLbls>
          <c:showLegendKey val="0"/>
          <c:showVal val="0"/>
          <c:showCatName val="0"/>
          <c:showSerName val="0"/>
          <c:showPercent val="1"/>
          <c:showBubbleSize val="0"/>
          <c:showLeaderLines val="1"/>
        </c:dLbls>
      </c:pie3DChart>
    </c:plotArea>
    <c:legend>
      <c:legendPos val="r"/>
      <c:layout>
        <c:manualLayout>
          <c:xMode val="edge"/>
          <c:yMode val="edge"/>
          <c:x val="0.70222032038497229"/>
          <c:y val="0.42128779357125834"/>
          <c:w val="0.26542224875841847"/>
          <c:h val="0.31312404131301769"/>
        </c:manualLayout>
      </c:layout>
      <c:overlay val="0"/>
      <c:spPr>
        <a:ln>
          <a:noFill/>
        </a:ln>
      </c:spPr>
      <c:txPr>
        <a:bodyPr/>
        <a:lstStyle/>
        <a:p>
          <a:pPr>
            <a:defRPr b="1" i="0" baseline="0"/>
          </a:pPr>
          <a:endParaRPr lang="pl-PL"/>
        </a:p>
      </c:txPr>
    </c:legend>
    <c:plotVisOnly val="1"/>
    <c:dispBlanksAs val="gap"/>
    <c:showDLblsOverMax val="0"/>
  </c:chart>
  <c:spPr>
    <a:ln>
      <a:noFill/>
    </a:ln>
    <a:effectLst>
      <a:glow>
        <a:schemeClr val="accent1"/>
      </a:glow>
      <a:softEdge rad="0"/>
    </a:effectLst>
    <a:scene3d>
      <a:camera prst="orthographicFront"/>
      <a:lightRig rig="threePt" dir="t"/>
    </a:scene3d>
    <a:sp3d/>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006149778722986"/>
          <c:y val="0.1439963032137492"/>
          <c:w val="0.81149893672050266"/>
          <c:h val="0.72125648944581822"/>
        </c:manualLayout>
      </c:layout>
      <c:barChart>
        <c:barDir val="col"/>
        <c:grouping val="stacked"/>
        <c:varyColors val="0"/>
        <c:ser>
          <c:idx val="1"/>
          <c:order val="0"/>
          <c:tx>
            <c:v>pomiary automatyczne</c:v>
          </c:tx>
          <c:spPr>
            <a:solidFill>
              <a:srgbClr val="0070C0"/>
            </a:solidFill>
          </c:spPr>
          <c:invertIfNegative val="0"/>
          <c:cat>
            <c:numRef>
              <c:f>'Stanowiska sumarycznie '!$E$3:$Q$3</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'Stanowiska sumarycznie '!$E$6:$Q$6</c:f>
              <c:numCache>
                <c:formatCode>General</c:formatCode>
                <c:ptCount val="13"/>
                <c:pt idx="0">
                  <c:v>810</c:v>
                </c:pt>
                <c:pt idx="1">
                  <c:v>733</c:v>
                </c:pt>
                <c:pt idx="2">
                  <c:v>813</c:v>
                </c:pt>
                <c:pt idx="3">
                  <c:v>809</c:v>
                </c:pt>
                <c:pt idx="4">
                  <c:v>862</c:v>
                </c:pt>
                <c:pt idx="5">
                  <c:v>912</c:v>
                </c:pt>
                <c:pt idx="6">
                  <c:v>948</c:v>
                </c:pt>
                <c:pt idx="7">
                  <c:v>946</c:v>
                </c:pt>
                <c:pt idx="8">
                  <c:v>952</c:v>
                </c:pt>
                <c:pt idx="9">
                  <c:v>1103</c:v>
                </c:pt>
                <c:pt idx="10">
                  <c:v>1065</c:v>
                </c:pt>
                <c:pt idx="11">
                  <c:v>1088</c:v>
                </c:pt>
                <c:pt idx="12">
                  <c:v>1102</c:v>
                </c:pt>
              </c:numCache>
            </c:numRef>
          </c:val>
          <c:extLst>
            <c:ext xmlns:c16="http://schemas.microsoft.com/office/drawing/2014/chart" uri="{C3380CC4-5D6E-409C-BE32-E72D297353CC}">
              <c16:uniqueId val="{00000000-4FEE-4FFB-BCFC-7770F1E811F0}"/>
            </c:ext>
          </c:extLst>
        </c:ser>
        <c:ser>
          <c:idx val="0"/>
          <c:order val="1"/>
          <c:tx>
            <c:v>pomiary manualne</c:v>
          </c:tx>
          <c:spPr>
            <a:solidFill>
              <a:srgbClr val="009900"/>
            </a:solidFill>
          </c:spPr>
          <c:invertIfNegative val="0"/>
          <c:cat>
            <c:numRef>
              <c:f>'Stanowiska sumarycznie '!$E$3:$Q$3</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'Stanowiska sumarycznie '!$E$4:$Q$4</c:f>
              <c:numCache>
                <c:formatCode>General</c:formatCode>
                <c:ptCount val="13"/>
                <c:pt idx="0">
                  <c:v>904</c:v>
                </c:pt>
                <c:pt idx="1">
                  <c:v>867</c:v>
                </c:pt>
                <c:pt idx="2">
                  <c:v>970</c:v>
                </c:pt>
                <c:pt idx="3">
                  <c:v>983</c:v>
                </c:pt>
                <c:pt idx="4">
                  <c:v>963</c:v>
                </c:pt>
                <c:pt idx="5">
                  <c:v>929</c:v>
                </c:pt>
                <c:pt idx="6">
                  <c:v>853</c:v>
                </c:pt>
                <c:pt idx="7">
                  <c:v>866</c:v>
                </c:pt>
                <c:pt idx="8">
                  <c:v>888</c:v>
                </c:pt>
                <c:pt idx="9">
                  <c:v>899</c:v>
                </c:pt>
                <c:pt idx="10">
                  <c:v>800</c:v>
                </c:pt>
                <c:pt idx="11">
                  <c:v>796</c:v>
                </c:pt>
                <c:pt idx="12">
                  <c:v>781</c:v>
                </c:pt>
              </c:numCache>
            </c:numRef>
          </c:val>
          <c:extLst>
            <c:ext xmlns:c16="http://schemas.microsoft.com/office/drawing/2014/chart" uri="{C3380CC4-5D6E-409C-BE32-E72D297353CC}">
              <c16:uniqueId val="{00000001-4FEE-4FFB-BCFC-7770F1E811F0}"/>
            </c:ext>
          </c:extLst>
        </c:ser>
        <c:ser>
          <c:idx val="2"/>
          <c:order val="2"/>
          <c:tx>
            <c:strRef>
              <c:f>'Stanowiska sumarycznie '!$B$5</c:f>
              <c:strCache>
                <c:ptCount val="1"/>
                <c:pt idx="0">
                  <c:v>pomiary pasywne</c:v>
                </c:pt>
              </c:strCache>
            </c:strRef>
          </c:tx>
          <c:spPr>
            <a:solidFill>
              <a:srgbClr val="FFFF66"/>
            </a:solidFill>
          </c:spPr>
          <c:invertIfNegative val="0"/>
          <c:cat>
            <c:numRef>
              <c:f>'Stanowiska sumarycznie '!$E$3:$Q$3</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'Stanowiska sumarycznie '!$E$5:$Q$5</c:f>
              <c:numCache>
                <c:formatCode>General</c:formatCode>
                <c:ptCount val="13"/>
                <c:pt idx="0">
                  <c:v>1037</c:v>
                </c:pt>
                <c:pt idx="1">
                  <c:v>1217</c:v>
                </c:pt>
                <c:pt idx="2">
                  <c:v>1197</c:v>
                </c:pt>
                <c:pt idx="3">
                  <c:v>1037</c:v>
                </c:pt>
                <c:pt idx="4">
                  <c:v>1062</c:v>
                </c:pt>
                <c:pt idx="5">
                  <c:v>904</c:v>
                </c:pt>
                <c:pt idx="6">
                  <c:v>482</c:v>
                </c:pt>
                <c:pt idx="7">
                  <c:v>126</c:v>
                </c:pt>
                <c:pt idx="8">
                  <c:v>51</c:v>
                </c:pt>
                <c:pt idx="9">
                  <c:v>22</c:v>
                </c:pt>
                <c:pt idx="10">
                  <c:v>6</c:v>
                </c:pt>
                <c:pt idx="11">
                  <c:v>6</c:v>
                </c:pt>
                <c:pt idx="12">
                  <c:v>6</c:v>
                </c:pt>
              </c:numCache>
            </c:numRef>
          </c:val>
          <c:extLst>
            <c:ext xmlns:c16="http://schemas.microsoft.com/office/drawing/2014/chart" uri="{C3380CC4-5D6E-409C-BE32-E72D297353CC}">
              <c16:uniqueId val="{00000002-4FEE-4FFB-BCFC-7770F1E811F0}"/>
            </c:ext>
          </c:extLst>
        </c:ser>
        <c:dLbls>
          <c:showLegendKey val="0"/>
          <c:showVal val="0"/>
          <c:showCatName val="0"/>
          <c:showSerName val="0"/>
          <c:showPercent val="0"/>
          <c:showBubbleSize val="0"/>
        </c:dLbls>
        <c:gapWidth val="75"/>
        <c:overlap val="100"/>
        <c:axId val="443042776"/>
        <c:axId val="443037288"/>
      </c:barChart>
      <c:catAx>
        <c:axId val="443042776"/>
        <c:scaling>
          <c:orientation val="minMax"/>
        </c:scaling>
        <c:delete val="0"/>
        <c:axPos val="b"/>
        <c:numFmt formatCode="General" sourceLinked="1"/>
        <c:majorTickMark val="none"/>
        <c:minorTickMark val="none"/>
        <c:tickLblPos val="nextTo"/>
        <c:txPr>
          <a:bodyPr/>
          <a:lstStyle/>
          <a:p>
            <a:pPr>
              <a:defRPr sz="1000">
                <a:latin typeface="+mn-lt"/>
                <a:cs typeface="Times New Roman" panose="02020603050405020304" pitchFamily="18" charset="0"/>
              </a:defRPr>
            </a:pPr>
            <a:endParaRPr lang="pl-PL"/>
          </a:p>
        </c:txPr>
        <c:crossAx val="443037288"/>
        <c:crosses val="autoZero"/>
        <c:auto val="1"/>
        <c:lblAlgn val="ctr"/>
        <c:lblOffset val="100"/>
        <c:noMultiLvlLbl val="0"/>
      </c:catAx>
      <c:valAx>
        <c:axId val="443037288"/>
        <c:scaling>
          <c:orientation val="minMax"/>
          <c:max val="3500"/>
        </c:scaling>
        <c:delete val="0"/>
        <c:axPos val="l"/>
        <c:majorGridlines>
          <c:spPr>
            <a:ln>
              <a:solidFill>
                <a:schemeClr val="tx1"/>
              </a:solidFill>
            </a:ln>
          </c:spPr>
        </c:majorGridlines>
        <c:minorGridlines/>
        <c:title>
          <c:tx>
            <c:rich>
              <a:bodyPr/>
              <a:lstStyle/>
              <a:p>
                <a:pPr>
                  <a:defRPr sz="1100" b="1">
                    <a:latin typeface="+mn-lt"/>
                    <a:cs typeface="Times New Roman" panose="02020603050405020304" pitchFamily="18" charset="0"/>
                  </a:defRPr>
                </a:pPr>
                <a:r>
                  <a:rPr lang="pl-PL" sz="1100" b="1">
                    <a:latin typeface="+mn-lt"/>
                    <a:cs typeface="Times New Roman" panose="02020603050405020304" pitchFamily="18" charset="0"/>
                  </a:rPr>
                  <a:t>Liczba</a:t>
                </a:r>
                <a:r>
                  <a:rPr lang="pl-PL" sz="1100" b="1" baseline="0">
                    <a:latin typeface="+mn-lt"/>
                    <a:cs typeface="Times New Roman" panose="02020603050405020304" pitchFamily="18" charset="0"/>
                  </a:rPr>
                  <a:t> stanowisk</a:t>
                </a:r>
                <a:endParaRPr lang="pl-PL" sz="1100" b="1">
                  <a:latin typeface="+mn-lt"/>
                  <a:cs typeface="Times New Roman" panose="02020603050405020304" pitchFamily="18" charset="0"/>
                </a:endParaRPr>
              </a:p>
            </c:rich>
          </c:tx>
          <c:layout>
            <c:manualLayout>
              <c:xMode val="edge"/>
              <c:yMode val="edge"/>
              <c:x val="2.2268793027111964E-2"/>
              <c:y val="0.33462883177338676"/>
            </c:manualLayout>
          </c:layout>
          <c:overlay val="0"/>
        </c:title>
        <c:numFmt formatCode="General" sourceLinked="1"/>
        <c:majorTickMark val="out"/>
        <c:minorTickMark val="none"/>
        <c:tickLblPos val="nextTo"/>
        <c:txPr>
          <a:bodyPr/>
          <a:lstStyle/>
          <a:p>
            <a:pPr>
              <a:defRPr sz="1000">
                <a:latin typeface="+mn-lt"/>
                <a:cs typeface="Times New Roman" panose="02020603050405020304" pitchFamily="18" charset="0"/>
              </a:defRPr>
            </a:pPr>
            <a:endParaRPr lang="pl-PL"/>
          </a:p>
        </c:txPr>
        <c:crossAx val="443042776"/>
        <c:crosses val="autoZero"/>
        <c:crossBetween val="between"/>
        <c:minorUnit val="500"/>
      </c:valAx>
      <c:spPr>
        <a:ln>
          <a:solidFill>
            <a:schemeClr val="tx1">
              <a:lumMod val="50000"/>
              <a:lumOff val="50000"/>
            </a:schemeClr>
          </a:solidFill>
        </a:ln>
      </c:spPr>
    </c:plotArea>
    <c:legend>
      <c:legendPos val="b"/>
      <c:layout>
        <c:manualLayout>
          <c:xMode val="edge"/>
          <c:yMode val="edge"/>
          <c:x val="0.14979101383622548"/>
          <c:y val="2.6670796709134258E-2"/>
          <c:w val="0.80827432727300808"/>
          <c:h val="6.8730191508273558E-2"/>
        </c:manualLayout>
      </c:layout>
      <c:overlay val="0"/>
      <c:txPr>
        <a:bodyPr/>
        <a:lstStyle/>
        <a:p>
          <a:pPr>
            <a:defRPr sz="1000">
              <a:latin typeface="+mn-lt"/>
              <a:cs typeface="Times New Roman" panose="02020603050405020304" pitchFamily="18" charset="0"/>
            </a:defRPr>
          </a:pPr>
          <a:endParaRPr lang="pl-PL"/>
        </a:p>
      </c:txPr>
    </c:legend>
    <c:plotVisOnly val="1"/>
    <c:dispBlanksAs val="gap"/>
    <c:showDLblsOverMax val="0"/>
  </c:chart>
  <c:spPr>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006149778722986"/>
          <c:y val="0.1439963032137492"/>
          <c:w val="0.81347527733885949"/>
          <c:h val="0.57646136421580507"/>
        </c:manualLayout>
      </c:layout>
      <c:barChart>
        <c:barDir val="col"/>
        <c:grouping val="stacked"/>
        <c:varyColors val="0"/>
        <c:ser>
          <c:idx val="1"/>
          <c:order val="0"/>
          <c:tx>
            <c:strRef>
              <c:f>'Stanowiska sumarycznie '!$B$6</c:f>
              <c:strCache>
                <c:ptCount val="1"/>
                <c:pt idx="0">
                  <c:v>pomiary automatyczne</c:v>
                </c:pt>
              </c:strCache>
            </c:strRef>
          </c:tx>
          <c:spPr>
            <a:solidFill>
              <a:srgbClr val="0070C0"/>
            </a:solidFill>
          </c:spPr>
          <c:invertIfNegative val="0"/>
          <c:cat>
            <c:strRef>
              <c:f>'Stanowiska sumarycznie '!$P$13:$P$28</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'Stanowiska sumarycznie '!$AF$13:$AF$28</c:f>
              <c:numCache>
                <c:formatCode>General</c:formatCode>
                <c:ptCount val="16"/>
                <c:pt idx="0">
                  <c:v>78</c:v>
                </c:pt>
                <c:pt idx="1">
                  <c:v>86</c:v>
                </c:pt>
                <c:pt idx="2">
                  <c:v>28</c:v>
                </c:pt>
                <c:pt idx="3">
                  <c:v>71</c:v>
                </c:pt>
                <c:pt idx="4">
                  <c:v>67</c:v>
                </c:pt>
                <c:pt idx="5">
                  <c:v>103</c:v>
                </c:pt>
                <c:pt idx="6">
                  <c:v>100</c:v>
                </c:pt>
                <c:pt idx="7">
                  <c:v>40</c:v>
                </c:pt>
                <c:pt idx="8">
                  <c:v>62</c:v>
                </c:pt>
                <c:pt idx="9">
                  <c:v>47</c:v>
                </c:pt>
                <c:pt idx="10">
                  <c:v>74</c:v>
                </c:pt>
                <c:pt idx="11">
                  <c:v>125</c:v>
                </c:pt>
                <c:pt idx="12">
                  <c:v>49</c:v>
                </c:pt>
                <c:pt idx="13">
                  <c:v>48</c:v>
                </c:pt>
                <c:pt idx="14">
                  <c:v>82</c:v>
                </c:pt>
                <c:pt idx="15">
                  <c:v>42</c:v>
                </c:pt>
              </c:numCache>
            </c:numRef>
          </c:val>
          <c:extLst>
            <c:ext xmlns:c16="http://schemas.microsoft.com/office/drawing/2014/chart" uri="{C3380CC4-5D6E-409C-BE32-E72D297353CC}">
              <c16:uniqueId val="{00000000-3D03-47A1-99B6-BC94CAB621B3}"/>
            </c:ext>
          </c:extLst>
        </c:ser>
        <c:ser>
          <c:idx val="0"/>
          <c:order val="1"/>
          <c:tx>
            <c:strRef>
              <c:f>'Stanowiska sumarycznie '!$B$4</c:f>
              <c:strCache>
                <c:ptCount val="1"/>
                <c:pt idx="0">
                  <c:v>pomiary manualne</c:v>
                </c:pt>
              </c:strCache>
            </c:strRef>
          </c:tx>
          <c:spPr>
            <a:solidFill>
              <a:srgbClr val="009900"/>
            </a:solidFill>
          </c:spPr>
          <c:invertIfNegative val="0"/>
          <c:cat>
            <c:strRef>
              <c:f>'Stanowiska sumarycznie '!$P$13:$P$28</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'Stanowiska sumarycznie '!$AG$13:$AG$28</c:f>
              <c:numCache>
                <c:formatCode>General</c:formatCode>
                <c:ptCount val="16"/>
                <c:pt idx="0">
                  <c:v>83</c:v>
                </c:pt>
                <c:pt idx="1">
                  <c:v>69</c:v>
                </c:pt>
                <c:pt idx="2">
                  <c:v>35</c:v>
                </c:pt>
                <c:pt idx="3">
                  <c:v>53</c:v>
                </c:pt>
                <c:pt idx="4">
                  <c:v>61</c:v>
                </c:pt>
                <c:pt idx="5">
                  <c:v>76</c:v>
                </c:pt>
                <c:pt idx="6">
                  <c:v>51</c:v>
                </c:pt>
                <c:pt idx="7">
                  <c:v>24</c:v>
                </c:pt>
                <c:pt idx="8">
                  <c:v>47</c:v>
                </c:pt>
                <c:pt idx="9">
                  <c:v>24</c:v>
                </c:pt>
                <c:pt idx="10">
                  <c:v>29</c:v>
                </c:pt>
                <c:pt idx="11">
                  <c:v>80</c:v>
                </c:pt>
                <c:pt idx="12">
                  <c:v>34</c:v>
                </c:pt>
                <c:pt idx="13">
                  <c:v>33</c:v>
                </c:pt>
                <c:pt idx="14">
                  <c:v>42</c:v>
                </c:pt>
                <c:pt idx="15">
                  <c:v>40</c:v>
                </c:pt>
              </c:numCache>
            </c:numRef>
          </c:val>
          <c:extLst>
            <c:ext xmlns:c16="http://schemas.microsoft.com/office/drawing/2014/chart" uri="{C3380CC4-5D6E-409C-BE32-E72D297353CC}">
              <c16:uniqueId val="{00000001-3D03-47A1-99B6-BC94CAB621B3}"/>
            </c:ext>
          </c:extLst>
        </c:ser>
        <c:ser>
          <c:idx val="2"/>
          <c:order val="2"/>
          <c:tx>
            <c:strRef>
              <c:f>'Stanowiska sumarycznie '!$B$5</c:f>
              <c:strCache>
                <c:ptCount val="1"/>
                <c:pt idx="0">
                  <c:v>pomiary pasywne</c:v>
                </c:pt>
              </c:strCache>
            </c:strRef>
          </c:tx>
          <c:spPr>
            <a:solidFill>
              <a:srgbClr val="FFFF66"/>
            </a:solidFill>
          </c:spPr>
          <c:invertIfNegative val="0"/>
          <c:cat>
            <c:strRef>
              <c:f>'Stanowiska sumarycznie '!$P$13:$P$28</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'Stanowiska sumarycznie '!$AH$13:$AH$28</c:f>
              <c:numCache>
                <c:formatCode>General</c:formatCode>
                <c:ptCount val="16"/>
                <c:pt idx="0">
                  <c:v>0</c:v>
                </c:pt>
                <c:pt idx="1">
                  <c:v>0</c:v>
                </c:pt>
                <c:pt idx="2">
                  <c:v>0</c:v>
                </c:pt>
                <c:pt idx="3">
                  <c:v>0</c:v>
                </c:pt>
                <c:pt idx="4">
                  <c:v>0</c:v>
                </c:pt>
                <c:pt idx="5">
                  <c:v>0</c:v>
                </c:pt>
                <c:pt idx="6">
                  <c:v>0</c:v>
                </c:pt>
                <c:pt idx="7">
                  <c:v>4</c:v>
                </c:pt>
                <c:pt idx="8">
                  <c:v>2</c:v>
                </c:pt>
                <c:pt idx="9">
                  <c:v>0</c:v>
                </c:pt>
                <c:pt idx="10">
                  <c:v>0</c:v>
                </c:pt>
                <c:pt idx="11">
                  <c:v>0</c:v>
                </c:pt>
                <c:pt idx="12">
                  <c:v>0</c:v>
                </c:pt>
                <c:pt idx="13">
                  <c:v>0</c:v>
                </c:pt>
                <c:pt idx="14">
                  <c:v>0</c:v>
                </c:pt>
                <c:pt idx="15">
                  <c:v>0</c:v>
                </c:pt>
              </c:numCache>
            </c:numRef>
          </c:val>
          <c:extLst>
            <c:ext xmlns:c16="http://schemas.microsoft.com/office/drawing/2014/chart" uri="{C3380CC4-5D6E-409C-BE32-E72D297353CC}">
              <c16:uniqueId val="{00000002-3D03-47A1-99B6-BC94CAB621B3}"/>
            </c:ext>
          </c:extLst>
        </c:ser>
        <c:dLbls>
          <c:showLegendKey val="0"/>
          <c:showVal val="0"/>
          <c:showCatName val="0"/>
          <c:showSerName val="0"/>
          <c:showPercent val="0"/>
          <c:showBubbleSize val="0"/>
        </c:dLbls>
        <c:gapWidth val="75"/>
        <c:overlap val="100"/>
        <c:axId val="443042776"/>
        <c:axId val="443037288"/>
      </c:barChart>
      <c:catAx>
        <c:axId val="443042776"/>
        <c:scaling>
          <c:orientation val="minMax"/>
        </c:scaling>
        <c:delete val="0"/>
        <c:axPos val="b"/>
        <c:numFmt formatCode="General" sourceLinked="1"/>
        <c:majorTickMark val="none"/>
        <c:minorTickMark val="none"/>
        <c:tickLblPos val="nextTo"/>
        <c:crossAx val="443037288"/>
        <c:crosses val="autoZero"/>
        <c:auto val="1"/>
        <c:lblAlgn val="ctr"/>
        <c:lblOffset val="100"/>
        <c:noMultiLvlLbl val="0"/>
      </c:catAx>
      <c:valAx>
        <c:axId val="443037288"/>
        <c:scaling>
          <c:orientation val="minMax"/>
          <c:max val="250"/>
          <c:min val="0"/>
        </c:scaling>
        <c:delete val="0"/>
        <c:axPos val="l"/>
        <c:majorGridlines>
          <c:spPr>
            <a:ln>
              <a:solidFill>
                <a:schemeClr val="tx1"/>
              </a:solidFill>
            </a:ln>
          </c:spPr>
        </c:majorGridlines>
        <c:minorGridlines/>
        <c:title>
          <c:tx>
            <c:rich>
              <a:bodyPr/>
              <a:lstStyle/>
              <a:p>
                <a:pPr>
                  <a:defRPr sz="1100"/>
                </a:pPr>
                <a:r>
                  <a:rPr lang="pl-PL" sz="1100"/>
                  <a:t>Liczba</a:t>
                </a:r>
                <a:r>
                  <a:rPr lang="pl-PL" sz="1100" baseline="0"/>
                  <a:t> stanowisk</a:t>
                </a:r>
                <a:endParaRPr lang="pl-PL" sz="1100"/>
              </a:p>
            </c:rich>
          </c:tx>
          <c:layout>
            <c:manualLayout>
              <c:xMode val="edge"/>
              <c:yMode val="edge"/>
              <c:x val="3.9916176914825685E-2"/>
              <c:y val="0.28364688125032533"/>
            </c:manualLayout>
          </c:layout>
          <c:overlay val="0"/>
        </c:title>
        <c:numFmt formatCode="General" sourceLinked="1"/>
        <c:majorTickMark val="out"/>
        <c:minorTickMark val="none"/>
        <c:tickLblPos val="nextTo"/>
        <c:crossAx val="443042776"/>
        <c:crosses val="autoZero"/>
        <c:crossBetween val="between"/>
        <c:majorUnit val="50"/>
      </c:valAx>
      <c:spPr>
        <a:ln>
          <a:solidFill>
            <a:schemeClr val="tx1">
              <a:lumMod val="50000"/>
              <a:lumOff val="50000"/>
            </a:schemeClr>
          </a:solidFill>
        </a:ln>
      </c:spPr>
    </c:plotArea>
    <c:legend>
      <c:legendPos val="r"/>
      <c:layout>
        <c:manualLayout>
          <c:xMode val="edge"/>
          <c:yMode val="edge"/>
          <c:x val="0.16596571261925594"/>
          <c:y val="2.1257176073444597E-2"/>
          <c:w val="0.76194428138642223"/>
          <c:h val="8.7357455462058295E-2"/>
        </c:manualLayout>
      </c:layout>
      <c:overlay val="0"/>
    </c:legend>
    <c:plotVisOnly val="1"/>
    <c:dispBlanksAs val="gap"/>
    <c:showDLblsOverMax val="0"/>
  </c:chart>
  <c:spPr>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943491295239472"/>
          <c:y val="0.13282306192172907"/>
          <c:w val="0.82212553291949619"/>
          <c:h val="0.72125648944581822"/>
        </c:manualLayout>
      </c:layout>
      <c:barChart>
        <c:barDir val="col"/>
        <c:grouping val="stacked"/>
        <c:varyColors val="0"/>
        <c:ser>
          <c:idx val="1"/>
          <c:order val="0"/>
          <c:tx>
            <c:strRef>
              <c:f>'Stanowiska sumarycznie'!$B$6</c:f>
              <c:strCache>
                <c:ptCount val="1"/>
                <c:pt idx="0">
                  <c:v>pomiary automatyczne PM10 i PM2,5</c:v>
                </c:pt>
              </c:strCache>
            </c:strRef>
          </c:tx>
          <c:spPr>
            <a:solidFill>
              <a:srgbClr val="0070C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'Stanowiska sumarycznie'!$E$3:$Q$3</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'Stanowiska sumarycznie'!$E$6:$Q$6</c:f>
              <c:numCache>
                <c:formatCode>General</c:formatCode>
                <c:ptCount val="13"/>
                <c:pt idx="0">
                  <c:v>109</c:v>
                </c:pt>
                <c:pt idx="1">
                  <c:v>110</c:v>
                </c:pt>
                <c:pt idx="2">
                  <c:v>122</c:v>
                </c:pt>
                <c:pt idx="3">
                  <c:v>124</c:v>
                </c:pt>
                <c:pt idx="4">
                  <c:v>134</c:v>
                </c:pt>
                <c:pt idx="5">
                  <c:v>149</c:v>
                </c:pt>
                <c:pt idx="6">
                  <c:v>151</c:v>
                </c:pt>
                <c:pt idx="7">
                  <c:v>160</c:v>
                </c:pt>
                <c:pt idx="8">
                  <c:v>165</c:v>
                </c:pt>
                <c:pt idx="9">
                  <c:v>201</c:v>
                </c:pt>
                <c:pt idx="10">
                  <c:v>235</c:v>
                </c:pt>
                <c:pt idx="11">
                  <c:v>259</c:v>
                </c:pt>
                <c:pt idx="12">
                  <c:v>274</c:v>
                </c:pt>
              </c:numCache>
            </c:numRef>
          </c:val>
          <c:extLst>
            <c:ext xmlns:c16="http://schemas.microsoft.com/office/drawing/2014/chart" uri="{C3380CC4-5D6E-409C-BE32-E72D297353CC}">
              <c16:uniqueId val="{00000000-255E-41FA-BB9D-0CA6CCFC89E2}"/>
            </c:ext>
          </c:extLst>
        </c:ser>
        <c:ser>
          <c:idx val="0"/>
          <c:order val="1"/>
          <c:tx>
            <c:strRef>
              <c:f>'Stanowiska sumarycznie'!$B$4</c:f>
              <c:strCache>
                <c:ptCount val="1"/>
                <c:pt idx="0">
                  <c:v>pomiary manualne PM10 i PM2,5</c:v>
                </c:pt>
              </c:strCache>
            </c:strRef>
          </c:tx>
          <c:spPr>
            <a:solidFill>
              <a:srgbClr val="00B05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'Stanowiska sumarycznie'!$E$3:$Q$3</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'Stanowiska sumarycznie'!$E$4:$Q$4</c:f>
              <c:numCache>
                <c:formatCode>General</c:formatCode>
                <c:ptCount val="13"/>
                <c:pt idx="0">
                  <c:v>156</c:v>
                </c:pt>
                <c:pt idx="1">
                  <c:v>182</c:v>
                </c:pt>
                <c:pt idx="2">
                  <c:v>195</c:v>
                </c:pt>
                <c:pt idx="3">
                  <c:v>211</c:v>
                </c:pt>
                <c:pt idx="4">
                  <c:v>204</c:v>
                </c:pt>
                <c:pt idx="5">
                  <c:v>209</c:v>
                </c:pt>
                <c:pt idx="6">
                  <c:v>212</c:v>
                </c:pt>
                <c:pt idx="7">
                  <c:v>221</c:v>
                </c:pt>
                <c:pt idx="8">
                  <c:v>222</c:v>
                </c:pt>
                <c:pt idx="9">
                  <c:v>220</c:v>
                </c:pt>
                <c:pt idx="10">
                  <c:v>234</c:v>
                </c:pt>
                <c:pt idx="11">
                  <c:v>236</c:v>
                </c:pt>
                <c:pt idx="12">
                  <c:v>235</c:v>
                </c:pt>
              </c:numCache>
            </c:numRef>
          </c:val>
          <c:extLst>
            <c:ext xmlns:c16="http://schemas.microsoft.com/office/drawing/2014/chart" uri="{C3380CC4-5D6E-409C-BE32-E72D297353CC}">
              <c16:uniqueId val="{00000001-255E-41FA-BB9D-0CA6CCFC89E2}"/>
            </c:ext>
          </c:extLst>
        </c:ser>
        <c:dLbls>
          <c:showLegendKey val="0"/>
          <c:showVal val="0"/>
          <c:showCatName val="0"/>
          <c:showSerName val="0"/>
          <c:showPercent val="0"/>
          <c:showBubbleSize val="0"/>
        </c:dLbls>
        <c:gapWidth val="75"/>
        <c:overlap val="100"/>
        <c:axId val="113192024"/>
        <c:axId val="113188496"/>
      </c:barChart>
      <c:catAx>
        <c:axId val="113192024"/>
        <c:scaling>
          <c:orientation val="minMax"/>
        </c:scaling>
        <c:delete val="0"/>
        <c:axPos val="b"/>
        <c:numFmt formatCode="General" sourceLinked="1"/>
        <c:majorTickMark val="none"/>
        <c:minorTickMark val="none"/>
        <c:tickLblPos val="nextTo"/>
        <c:crossAx val="113188496"/>
        <c:crosses val="autoZero"/>
        <c:auto val="1"/>
        <c:lblAlgn val="ctr"/>
        <c:lblOffset val="100"/>
        <c:noMultiLvlLbl val="0"/>
      </c:catAx>
      <c:valAx>
        <c:axId val="113188496"/>
        <c:scaling>
          <c:orientation val="minMax"/>
          <c:max val="550"/>
          <c:min val="0"/>
        </c:scaling>
        <c:delete val="0"/>
        <c:axPos val="l"/>
        <c:majorGridlines>
          <c:spPr>
            <a:ln>
              <a:solidFill>
                <a:schemeClr val="tx1"/>
              </a:solidFill>
            </a:ln>
          </c:spPr>
        </c:majorGridlines>
        <c:minorGridlines/>
        <c:title>
          <c:tx>
            <c:rich>
              <a:bodyPr/>
              <a:lstStyle/>
              <a:p>
                <a:pPr>
                  <a:defRPr sz="1100"/>
                </a:pPr>
                <a:r>
                  <a:rPr lang="pl-PL" sz="1100"/>
                  <a:t>Liczba</a:t>
                </a:r>
                <a:r>
                  <a:rPr lang="pl-PL" sz="1100" baseline="0"/>
                  <a:t> stanowisk</a:t>
                </a:r>
                <a:endParaRPr lang="pl-PL" sz="1100"/>
              </a:p>
            </c:rich>
          </c:tx>
          <c:layout>
            <c:manualLayout>
              <c:xMode val="edge"/>
              <c:yMode val="edge"/>
              <c:x val="3.5507019955838853E-2"/>
              <c:y val="0.39787204761404449"/>
            </c:manualLayout>
          </c:layout>
          <c:overlay val="0"/>
        </c:title>
        <c:numFmt formatCode="General" sourceLinked="1"/>
        <c:majorTickMark val="out"/>
        <c:minorTickMark val="none"/>
        <c:tickLblPos val="nextTo"/>
        <c:crossAx val="113192024"/>
        <c:crosses val="autoZero"/>
        <c:crossBetween val="between"/>
        <c:majorUnit val="50"/>
        <c:minorUnit val="50"/>
      </c:valAx>
      <c:spPr>
        <a:ln>
          <a:solidFill>
            <a:schemeClr val="tx1">
              <a:lumMod val="50000"/>
              <a:lumOff val="50000"/>
            </a:schemeClr>
          </a:solidFill>
        </a:ln>
      </c:spPr>
    </c:plotArea>
    <c:legend>
      <c:legendPos val="r"/>
      <c:layout>
        <c:manualLayout>
          <c:xMode val="edge"/>
          <c:yMode val="edge"/>
          <c:x val="6.5138038300767961E-2"/>
          <c:y val="4.2038999783412169E-2"/>
          <c:w val="0.93226065334418706"/>
          <c:h val="8.7357455462058295E-2"/>
        </c:manualLayout>
      </c:layout>
      <c:overlay val="0"/>
    </c:legend>
    <c:plotVisOnly val="1"/>
    <c:dispBlanksAs val="gap"/>
    <c:showDLblsOverMax val="0"/>
  </c:chart>
  <c:spPr>
    <a:ln>
      <a:noFill/>
    </a:ln>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049759405074366"/>
          <c:y val="5.0925925925925923E-2"/>
          <c:w val="0.79894685039370084"/>
          <c:h val="0.8416746864975212"/>
        </c:manualLayout>
      </c:layout>
      <c:barChart>
        <c:barDir val="col"/>
        <c:grouping val="clustered"/>
        <c:varyColors val="0"/>
        <c:ser>
          <c:idx val="0"/>
          <c:order val="0"/>
          <c:spPr>
            <a:solidFill>
              <a:srgbClr val="3CB30D"/>
            </a:solidFill>
            <a:ln w="9525">
              <a:solidFill>
                <a:schemeClr val="accent3">
                  <a:lumMod val="75000"/>
                </a:schemeClr>
              </a:solidFill>
            </a:ln>
            <a:effectLst/>
          </c:spPr>
          <c:invertIfNegative val="0"/>
          <c:cat>
            <c:numRef>
              <c:f>'Rys. 7'!$B$2:$L$2</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'Rys. 7'!$B$3:$L$3</c:f>
              <c:numCache>
                <c:formatCode>General</c:formatCode>
                <c:ptCount val="11"/>
                <c:pt idx="0">
                  <c:v>27</c:v>
                </c:pt>
                <c:pt idx="1">
                  <c:v>26</c:v>
                </c:pt>
                <c:pt idx="2">
                  <c:v>25</c:v>
                </c:pt>
                <c:pt idx="3">
                  <c:v>24</c:v>
                </c:pt>
                <c:pt idx="4">
                  <c:v>23</c:v>
                </c:pt>
                <c:pt idx="5">
                  <c:v>22</c:v>
                </c:pt>
                <c:pt idx="6">
                  <c:v>22</c:v>
                </c:pt>
                <c:pt idx="7">
                  <c:v>22</c:v>
                </c:pt>
                <c:pt idx="8">
                  <c:v>21</c:v>
                </c:pt>
                <c:pt idx="9" formatCode="0">
                  <c:v>19</c:v>
                </c:pt>
                <c:pt idx="10">
                  <c:v>17</c:v>
                </c:pt>
              </c:numCache>
            </c:numRef>
          </c:val>
          <c:extLst>
            <c:ext xmlns:c16="http://schemas.microsoft.com/office/drawing/2014/chart" uri="{C3380CC4-5D6E-409C-BE32-E72D297353CC}">
              <c16:uniqueId val="{00000000-2ED5-447E-8826-91E3538D94D0}"/>
            </c:ext>
          </c:extLst>
        </c:ser>
        <c:dLbls>
          <c:showLegendKey val="0"/>
          <c:showVal val="0"/>
          <c:showCatName val="0"/>
          <c:showSerName val="0"/>
          <c:showPercent val="0"/>
          <c:showBubbleSize val="0"/>
        </c:dLbls>
        <c:gapWidth val="66"/>
        <c:axId val="530140008"/>
        <c:axId val="530140400"/>
      </c:barChart>
      <c:scatterChart>
        <c:scatterStyle val="smoothMarker"/>
        <c:varyColors val="0"/>
        <c:ser>
          <c:idx val="1"/>
          <c:order val="1"/>
          <c:spPr>
            <a:ln w="22225" cap="rnd">
              <a:solidFill>
                <a:srgbClr val="D53333"/>
              </a:solidFill>
              <a:round/>
            </a:ln>
            <a:effectLst/>
          </c:spPr>
          <c:marker>
            <c:symbol val="none"/>
          </c:marker>
          <c:yVal>
            <c:numRef>
              <c:f>'Rys. 7'!$B$4:$L$4</c:f>
              <c:numCache>
                <c:formatCode>General</c:formatCode>
                <c:ptCount val="11"/>
                <c:pt idx="0">
                  <c:v>20</c:v>
                </c:pt>
                <c:pt idx="1">
                  <c:v>20</c:v>
                </c:pt>
                <c:pt idx="2">
                  <c:v>20</c:v>
                </c:pt>
                <c:pt idx="3">
                  <c:v>20</c:v>
                </c:pt>
                <c:pt idx="4">
                  <c:v>20</c:v>
                </c:pt>
                <c:pt idx="5">
                  <c:v>20</c:v>
                </c:pt>
                <c:pt idx="6">
                  <c:v>20</c:v>
                </c:pt>
                <c:pt idx="7">
                  <c:v>20</c:v>
                </c:pt>
                <c:pt idx="8">
                  <c:v>20</c:v>
                </c:pt>
                <c:pt idx="9">
                  <c:v>20</c:v>
                </c:pt>
                <c:pt idx="10">
                  <c:v>20</c:v>
                </c:pt>
              </c:numCache>
            </c:numRef>
          </c:yVal>
          <c:smooth val="1"/>
          <c:extLst>
            <c:ext xmlns:c16="http://schemas.microsoft.com/office/drawing/2014/chart" uri="{C3380CC4-5D6E-409C-BE32-E72D297353CC}">
              <c16:uniqueId val="{00000001-2ED5-447E-8826-91E3538D94D0}"/>
            </c:ext>
          </c:extLst>
        </c:ser>
        <c:ser>
          <c:idx val="2"/>
          <c:order val="2"/>
          <c:spPr>
            <a:ln w="22225" cap="rnd">
              <a:solidFill>
                <a:srgbClr val="FDE951"/>
              </a:solidFill>
              <a:prstDash val="solid"/>
              <a:round/>
            </a:ln>
            <a:effectLst/>
          </c:spPr>
          <c:marker>
            <c:symbol val="none"/>
          </c:marker>
          <c:yVal>
            <c:numRef>
              <c:f>'Rys. 7'!$B$5:$L$5</c:f>
              <c:numCache>
                <c:formatCode>General</c:formatCode>
                <c:ptCount val="11"/>
                <c:pt idx="0">
                  <c:v>18</c:v>
                </c:pt>
                <c:pt idx="1">
                  <c:v>18</c:v>
                </c:pt>
                <c:pt idx="2">
                  <c:v>18</c:v>
                </c:pt>
                <c:pt idx="3">
                  <c:v>18</c:v>
                </c:pt>
                <c:pt idx="4">
                  <c:v>18</c:v>
                </c:pt>
                <c:pt idx="5">
                  <c:v>18</c:v>
                </c:pt>
                <c:pt idx="6">
                  <c:v>18</c:v>
                </c:pt>
                <c:pt idx="7">
                  <c:v>18</c:v>
                </c:pt>
                <c:pt idx="8">
                  <c:v>18</c:v>
                </c:pt>
                <c:pt idx="9">
                  <c:v>18</c:v>
                </c:pt>
                <c:pt idx="10">
                  <c:v>18</c:v>
                </c:pt>
              </c:numCache>
            </c:numRef>
          </c:yVal>
          <c:smooth val="1"/>
          <c:extLst>
            <c:ext xmlns:c16="http://schemas.microsoft.com/office/drawing/2014/chart" uri="{C3380CC4-5D6E-409C-BE32-E72D297353CC}">
              <c16:uniqueId val="{00000002-2ED5-447E-8826-91E3538D94D0}"/>
            </c:ext>
          </c:extLst>
        </c:ser>
        <c:dLbls>
          <c:showLegendKey val="0"/>
          <c:showVal val="0"/>
          <c:showCatName val="0"/>
          <c:showSerName val="0"/>
          <c:showPercent val="0"/>
          <c:showBubbleSize val="0"/>
        </c:dLbls>
        <c:axId val="830284751"/>
        <c:axId val="830295151"/>
      </c:scatterChart>
      <c:catAx>
        <c:axId val="530140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530140400"/>
        <c:crosses val="autoZero"/>
        <c:auto val="1"/>
        <c:lblAlgn val="ctr"/>
        <c:lblOffset val="100"/>
        <c:noMultiLvlLbl val="0"/>
      </c:catAx>
      <c:valAx>
        <c:axId val="530140400"/>
        <c:scaling>
          <c:orientation val="minMax"/>
        </c:scaling>
        <c:delete val="0"/>
        <c:axPos val="l"/>
        <c:majorGridlines>
          <c:spPr>
            <a:ln w="9525" cap="flat" cmpd="sng" algn="ctr">
              <a:solidFill>
                <a:schemeClr val="bg1">
                  <a:lumMod val="85000"/>
                </a:schemeClr>
              </a:solidFill>
              <a:round/>
            </a:ln>
            <a:effectLst/>
          </c:spPr>
        </c:majorGridlines>
        <c:minorGridlines>
          <c:spPr>
            <a:ln w="9525" cap="flat" cmpd="sng" algn="ctr">
              <a:solidFill>
                <a:schemeClr val="bg1">
                  <a:lumMod val="95000"/>
                </a:schemeClr>
              </a:solidFill>
              <a:round/>
            </a:ln>
            <a:effectLst/>
          </c:spPr>
        </c:minorGridlines>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sz="1000" b="1">
                    <a:solidFill>
                      <a:schemeClr val="tx1"/>
                    </a:solidFill>
                  </a:rPr>
                  <a:t>Krajowy </a:t>
                </a:r>
                <a:r>
                  <a:rPr lang="en-US" sz="1000" b="1" baseline="0">
                    <a:solidFill>
                      <a:schemeClr val="tx1"/>
                    </a:solidFill>
                  </a:rPr>
                  <a:t>wska</a:t>
                </a:r>
                <a:r>
                  <a:rPr lang="pl-PL" sz="1000" b="1">
                    <a:solidFill>
                      <a:schemeClr val="tx1"/>
                    </a:solidFill>
                  </a:rPr>
                  <a:t>ź</a:t>
                </a:r>
                <a:r>
                  <a:rPr lang="en-US" sz="1000" b="1">
                    <a:solidFill>
                      <a:schemeClr val="tx1"/>
                    </a:solidFill>
                  </a:rPr>
                  <a:t>nik średniego narażenia na py</a:t>
                </a:r>
                <a:r>
                  <a:rPr lang="pl-PL" sz="1000" b="1">
                    <a:solidFill>
                      <a:schemeClr val="tx1"/>
                    </a:solidFill>
                  </a:rPr>
                  <a:t>ł</a:t>
                </a:r>
                <a:r>
                  <a:rPr lang="pl-PL" sz="1000" b="1" baseline="0">
                    <a:solidFill>
                      <a:schemeClr val="tx1"/>
                    </a:solidFill>
                  </a:rPr>
                  <a:t> zawieszony </a:t>
                </a:r>
                <a:r>
                  <a:rPr lang="en-US" sz="1000" b="1">
                    <a:solidFill>
                      <a:schemeClr val="tx1"/>
                    </a:solidFill>
                  </a:rPr>
                  <a:t>PM2,5</a:t>
                </a:r>
                <a:r>
                  <a:rPr lang="pl-PL" sz="1000" b="1" baseline="0">
                    <a:solidFill>
                      <a:schemeClr val="tx1"/>
                    </a:solidFill>
                  </a:rPr>
                  <a:t> [</a:t>
                </a:r>
                <a:r>
                  <a:rPr lang="en-US" sz="1000" b="1">
                    <a:solidFill>
                      <a:schemeClr val="tx1"/>
                    </a:solidFill>
                  </a:rPr>
                  <a:t>µg/m</a:t>
                </a:r>
                <a:r>
                  <a:rPr lang="en-US" sz="1000" b="1" baseline="30000">
                    <a:solidFill>
                      <a:schemeClr val="tx1"/>
                    </a:solidFill>
                  </a:rPr>
                  <a:t>3</a:t>
                </a:r>
                <a:r>
                  <a:rPr lang="pl-PL" sz="1000" b="1" baseline="0">
                    <a:solidFill>
                      <a:schemeClr val="tx1"/>
                    </a:solidFill>
                  </a:rPr>
                  <a:t>]</a:t>
                </a:r>
                <a:endParaRPr lang="en-US" sz="1000" b="1" baseline="30000">
                  <a:solidFill>
                    <a:schemeClr val="tx1"/>
                  </a:solidFill>
                </a:endParaRPr>
              </a:p>
            </c:rich>
          </c:tx>
          <c:layout>
            <c:manualLayout>
              <c:xMode val="edge"/>
              <c:yMode val="edge"/>
              <c:x val="1.8907663907140614E-2"/>
              <c:y val="0.11637592103073309"/>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pl-PL"/>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530140008"/>
        <c:crosses val="autoZero"/>
        <c:crossBetween val="between"/>
      </c:valAx>
      <c:valAx>
        <c:axId val="830295151"/>
        <c:scaling>
          <c:orientation val="minMax"/>
        </c:scaling>
        <c:delete val="1"/>
        <c:axPos val="r"/>
        <c:numFmt formatCode="General" sourceLinked="1"/>
        <c:majorTickMark val="out"/>
        <c:minorTickMark val="none"/>
        <c:tickLblPos val="nextTo"/>
        <c:crossAx val="830284751"/>
        <c:crosses val="max"/>
        <c:crossBetween val="midCat"/>
      </c:valAx>
      <c:valAx>
        <c:axId val="830284751"/>
        <c:scaling>
          <c:orientation val="minMax"/>
          <c:max val="2"/>
          <c:min val="1"/>
        </c:scaling>
        <c:delete val="1"/>
        <c:axPos val="t"/>
        <c:majorTickMark val="out"/>
        <c:minorTickMark val="none"/>
        <c:tickLblPos val="nextTo"/>
        <c:crossAx val="830295151"/>
        <c:crosses val="max"/>
        <c:crossBetween val="midCat"/>
      </c:valAx>
      <c:spPr>
        <a:noFill/>
        <a:ln w="9525">
          <a:solidFill>
            <a:schemeClr val="accent3"/>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674759658518934"/>
          <c:y val="1.2458913487831954E-2"/>
          <c:w val="0.57187166783758081"/>
          <c:h val="0.89792675183583426"/>
        </c:manualLayout>
      </c:layout>
      <c:barChart>
        <c:barDir val="bar"/>
        <c:grouping val="clustered"/>
        <c:varyColors val="0"/>
        <c:ser>
          <c:idx val="3"/>
          <c:order val="0"/>
          <c:tx>
            <c:strRef>
              <c:f>'Rys. 4'!$C$1</c:f>
              <c:strCache>
                <c:ptCount val="1"/>
                <c:pt idx="0">
                  <c:v>2021 r.</c:v>
                </c:pt>
              </c:strCache>
            </c:strRef>
          </c:tx>
          <c:spPr>
            <a:ln>
              <a:solidFill>
                <a:schemeClr val="accent3">
                  <a:lumMod val="75000"/>
                </a:schemeClr>
              </a:solidFill>
            </a:ln>
          </c:spPr>
          <c:invertIfNegative val="0"/>
          <c:dPt>
            <c:idx val="0"/>
            <c:invertIfNegative val="0"/>
            <c:bubble3D val="0"/>
            <c:spPr>
              <a:solidFill>
                <a:srgbClr val="FF4C4F"/>
              </a:solidFill>
              <a:ln>
                <a:solidFill>
                  <a:schemeClr val="accent3">
                    <a:lumMod val="75000"/>
                  </a:schemeClr>
                </a:solidFill>
              </a:ln>
            </c:spPr>
            <c:extLst>
              <c:ext xmlns:c16="http://schemas.microsoft.com/office/drawing/2014/chart" uri="{C3380CC4-5D6E-409C-BE32-E72D297353CC}">
                <c16:uniqueId val="{00000001-A81B-498E-B292-E76259E71599}"/>
              </c:ext>
            </c:extLst>
          </c:dPt>
          <c:dPt>
            <c:idx val="1"/>
            <c:invertIfNegative val="0"/>
            <c:bubble3D val="0"/>
            <c:spPr>
              <a:solidFill>
                <a:srgbClr val="FF4C4F"/>
              </a:solidFill>
              <a:ln>
                <a:solidFill>
                  <a:schemeClr val="accent3">
                    <a:lumMod val="75000"/>
                  </a:schemeClr>
                </a:solidFill>
              </a:ln>
            </c:spPr>
            <c:extLst>
              <c:ext xmlns:c16="http://schemas.microsoft.com/office/drawing/2014/chart" uri="{C3380CC4-5D6E-409C-BE32-E72D297353CC}">
                <c16:uniqueId val="{00000003-A81B-498E-B292-E76259E71599}"/>
              </c:ext>
            </c:extLst>
          </c:dPt>
          <c:dPt>
            <c:idx val="2"/>
            <c:invertIfNegative val="0"/>
            <c:bubble3D val="0"/>
            <c:spPr>
              <a:solidFill>
                <a:srgbClr val="FF4C4F"/>
              </a:solidFill>
              <a:ln>
                <a:solidFill>
                  <a:schemeClr val="accent3">
                    <a:lumMod val="75000"/>
                  </a:schemeClr>
                </a:solidFill>
              </a:ln>
            </c:spPr>
            <c:extLst>
              <c:ext xmlns:c16="http://schemas.microsoft.com/office/drawing/2014/chart" uri="{C3380CC4-5D6E-409C-BE32-E72D297353CC}">
                <c16:uniqueId val="{00000005-A81B-498E-B292-E76259E71599}"/>
              </c:ext>
            </c:extLst>
          </c:dPt>
          <c:dPt>
            <c:idx val="3"/>
            <c:invertIfNegative val="0"/>
            <c:bubble3D val="0"/>
            <c:spPr>
              <a:solidFill>
                <a:srgbClr val="FF4C4F"/>
              </a:solidFill>
              <a:ln>
                <a:solidFill>
                  <a:schemeClr val="accent3">
                    <a:lumMod val="75000"/>
                  </a:schemeClr>
                </a:solidFill>
              </a:ln>
            </c:spPr>
            <c:extLst>
              <c:ext xmlns:c16="http://schemas.microsoft.com/office/drawing/2014/chart" uri="{C3380CC4-5D6E-409C-BE32-E72D297353CC}">
                <c16:uniqueId val="{00000007-A81B-498E-B292-E76259E71599}"/>
              </c:ext>
            </c:extLst>
          </c:dPt>
          <c:dPt>
            <c:idx val="4"/>
            <c:invertIfNegative val="0"/>
            <c:bubble3D val="0"/>
            <c:spPr>
              <a:solidFill>
                <a:srgbClr val="FDE951"/>
              </a:solidFill>
              <a:ln>
                <a:solidFill>
                  <a:schemeClr val="accent3">
                    <a:lumMod val="75000"/>
                  </a:schemeClr>
                </a:solidFill>
              </a:ln>
            </c:spPr>
            <c:extLst>
              <c:ext xmlns:c16="http://schemas.microsoft.com/office/drawing/2014/chart" uri="{C3380CC4-5D6E-409C-BE32-E72D297353CC}">
                <c16:uniqueId val="{00000009-A81B-498E-B292-E76259E71599}"/>
              </c:ext>
            </c:extLst>
          </c:dPt>
          <c:dPt>
            <c:idx val="5"/>
            <c:invertIfNegative val="0"/>
            <c:bubble3D val="0"/>
            <c:spPr>
              <a:solidFill>
                <a:srgbClr val="FDE951"/>
              </a:solidFill>
              <a:ln>
                <a:solidFill>
                  <a:schemeClr val="accent3">
                    <a:lumMod val="75000"/>
                  </a:schemeClr>
                </a:solidFill>
              </a:ln>
            </c:spPr>
            <c:extLst>
              <c:ext xmlns:c16="http://schemas.microsoft.com/office/drawing/2014/chart" uri="{C3380CC4-5D6E-409C-BE32-E72D297353CC}">
                <c16:uniqueId val="{0000000B-A81B-498E-B292-E76259E71599}"/>
              </c:ext>
            </c:extLst>
          </c:dPt>
          <c:dPt>
            <c:idx val="6"/>
            <c:invertIfNegative val="0"/>
            <c:bubble3D val="0"/>
            <c:spPr>
              <a:solidFill>
                <a:srgbClr val="FDE951"/>
              </a:solidFill>
              <a:ln>
                <a:solidFill>
                  <a:schemeClr val="accent3">
                    <a:lumMod val="75000"/>
                  </a:schemeClr>
                </a:solidFill>
              </a:ln>
            </c:spPr>
            <c:extLst>
              <c:ext xmlns:c16="http://schemas.microsoft.com/office/drawing/2014/chart" uri="{C3380CC4-5D6E-409C-BE32-E72D297353CC}">
                <c16:uniqueId val="{0000000D-A81B-498E-B292-E76259E71599}"/>
              </c:ext>
            </c:extLst>
          </c:dPt>
          <c:dPt>
            <c:idx val="7"/>
            <c:invertIfNegative val="0"/>
            <c:bubble3D val="0"/>
            <c:spPr>
              <a:solidFill>
                <a:srgbClr val="3CB30D"/>
              </a:solidFill>
              <a:ln>
                <a:solidFill>
                  <a:schemeClr val="accent3">
                    <a:lumMod val="75000"/>
                  </a:schemeClr>
                </a:solidFill>
              </a:ln>
            </c:spPr>
            <c:extLst>
              <c:ext xmlns:c16="http://schemas.microsoft.com/office/drawing/2014/chart" uri="{C3380CC4-5D6E-409C-BE32-E72D297353CC}">
                <c16:uniqueId val="{0000000F-A81B-498E-B292-E76259E71599}"/>
              </c:ext>
            </c:extLst>
          </c:dPt>
          <c:dPt>
            <c:idx val="8"/>
            <c:invertIfNegative val="0"/>
            <c:bubble3D val="0"/>
            <c:spPr>
              <a:solidFill>
                <a:srgbClr val="3CB30D"/>
              </a:solidFill>
              <a:ln>
                <a:solidFill>
                  <a:schemeClr val="accent3">
                    <a:lumMod val="75000"/>
                  </a:schemeClr>
                </a:solidFill>
              </a:ln>
            </c:spPr>
            <c:extLst>
              <c:ext xmlns:c16="http://schemas.microsoft.com/office/drawing/2014/chart" uri="{C3380CC4-5D6E-409C-BE32-E72D297353CC}">
                <c16:uniqueId val="{00000011-A81B-498E-B292-E76259E71599}"/>
              </c:ext>
            </c:extLst>
          </c:dPt>
          <c:dPt>
            <c:idx val="9"/>
            <c:invertIfNegative val="0"/>
            <c:bubble3D val="0"/>
            <c:spPr>
              <a:solidFill>
                <a:srgbClr val="3CB30D"/>
              </a:solidFill>
              <a:ln>
                <a:solidFill>
                  <a:schemeClr val="accent3">
                    <a:lumMod val="75000"/>
                  </a:schemeClr>
                </a:solidFill>
              </a:ln>
            </c:spPr>
            <c:extLst>
              <c:ext xmlns:c16="http://schemas.microsoft.com/office/drawing/2014/chart" uri="{C3380CC4-5D6E-409C-BE32-E72D297353CC}">
                <c16:uniqueId val="{00000013-A81B-498E-B292-E76259E71599}"/>
              </c:ext>
            </c:extLst>
          </c:dPt>
          <c:dPt>
            <c:idx val="10"/>
            <c:invertIfNegative val="0"/>
            <c:bubble3D val="0"/>
            <c:spPr>
              <a:solidFill>
                <a:srgbClr val="3CB30D"/>
              </a:solidFill>
              <a:ln>
                <a:solidFill>
                  <a:schemeClr val="accent3">
                    <a:lumMod val="75000"/>
                  </a:schemeClr>
                </a:solidFill>
              </a:ln>
            </c:spPr>
            <c:extLst>
              <c:ext xmlns:c16="http://schemas.microsoft.com/office/drawing/2014/chart" uri="{C3380CC4-5D6E-409C-BE32-E72D297353CC}">
                <c16:uniqueId val="{00000015-A81B-498E-B292-E76259E71599}"/>
              </c:ext>
            </c:extLst>
          </c:dPt>
          <c:dPt>
            <c:idx val="11"/>
            <c:invertIfNegative val="0"/>
            <c:bubble3D val="0"/>
            <c:spPr>
              <a:solidFill>
                <a:srgbClr val="3CB30D"/>
              </a:solidFill>
              <a:ln>
                <a:solidFill>
                  <a:schemeClr val="accent3">
                    <a:lumMod val="75000"/>
                  </a:schemeClr>
                </a:solidFill>
              </a:ln>
            </c:spPr>
            <c:extLst>
              <c:ext xmlns:c16="http://schemas.microsoft.com/office/drawing/2014/chart" uri="{C3380CC4-5D6E-409C-BE32-E72D297353CC}">
                <c16:uniqueId val="{00000017-A81B-498E-B292-E76259E71599}"/>
              </c:ext>
            </c:extLst>
          </c:dPt>
          <c:dPt>
            <c:idx val="12"/>
            <c:invertIfNegative val="0"/>
            <c:bubble3D val="0"/>
            <c:spPr>
              <a:solidFill>
                <a:srgbClr val="3CB30D"/>
              </a:solidFill>
              <a:ln>
                <a:solidFill>
                  <a:schemeClr val="accent3">
                    <a:lumMod val="75000"/>
                  </a:schemeClr>
                </a:solidFill>
              </a:ln>
            </c:spPr>
            <c:extLst>
              <c:ext xmlns:c16="http://schemas.microsoft.com/office/drawing/2014/chart" uri="{C3380CC4-5D6E-409C-BE32-E72D297353CC}">
                <c16:uniqueId val="{00000019-A81B-498E-B292-E76259E71599}"/>
              </c:ext>
            </c:extLst>
          </c:dPt>
          <c:dPt>
            <c:idx val="13"/>
            <c:invertIfNegative val="0"/>
            <c:bubble3D val="0"/>
            <c:spPr>
              <a:pattFill prst="wdUpDiag">
                <a:fgClr>
                  <a:srgbClr val="3CB30D"/>
                </a:fgClr>
                <a:bgClr>
                  <a:schemeClr val="bg1"/>
                </a:bgClr>
              </a:pattFill>
              <a:ln w="15875">
                <a:solidFill>
                  <a:srgbClr val="3CB30D"/>
                </a:solidFill>
              </a:ln>
            </c:spPr>
            <c:extLst>
              <c:ext xmlns:c16="http://schemas.microsoft.com/office/drawing/2014/chart" uri="{C3380CC4-5D6E-409C-BE32-E72D297353CC}">
                <c16:uniqueId val="{0000001B-A81B-498E-B292-E76259E71599}"/>
              </c:ext>
            </c:extLst>
          </c:dPt>
          <c:dPt>
            <c:idx val="14"/>
            <c:invertIfNegative val="0"/>
            <c:bubble3D val="0"/>
            <c:spPr>
              <a:solidFill>
                <a:srgbClr val="3CB30D"/>
              </a:solidFill>
              <a:ln>
                <a:solidFill>
                  <a:schemeClr val="accent3">
                    <a:lumMod val="75000"/>
                  </a:schemeClr>
                </a:solidFill>
              </a:ln>
            </c:spPr>
            <c:extLst>
              <c:ext xmlns:c16="http://schemas.microsoft.com/office/drawing/2014/chart" uri="{C3380CC4-5D6E-409C-BE32-E72D297353CC}">
                <c16:uniqueId val="{0000001D-A81B-498E-B292-E76259E71599}"/>
              </c:ext>
            </c:extLst>
          </c:dPt>
          <c:dPt>
            <c:idx val="15"/>
            <c:invertIfNegative val="0"/>
            <c:bubble3D val="0"/>
            <c:spPr>
              <a:solidFill>
                <a:srgbClr val="3CB30D"/>
              </a:solidFill>
              <a:ln>
                <a:solidFill>
                  <a:schemeClr val="accent3">
                    <a:lumMod val="75000"/>
                  </a:schemeClr>
                </a:solidFill>
              </a:ln>
            </c:spPr>
            <c:extLst>
              <c:ext xmlns:c16="http://schemas.microsoft.com/office/drawing/2014/chart" uri="{C3380CC4-5D6E-409C-BE32-E72D297353CC}">
                <c16:uniqueId val="{0000001F-A81B-498E-B292-E76259E71599}"/>
              </c:ext>
            </c:extLst>
          </c:dPt>
          <c:dPt>
            <c:idx val="16"/>
            <c:invertIfNegative val="0"/>
            <c:bubble3D val="0"/>
            <c:spPr>
              <a:solidFill>
                <a:srgbClr val="3CB30D"/>
              </a:solidFill>
              <a:ln>
                <a:solidFill>
                  <a:schemeClr val="accent3">
                    <a:lumMod val="75000"/>
                  </a:schemeClr>
                </a:solidFill>
              </a:ln>
            </c:spPr>
            <c:extLst>
              <c:ext xmlns:c16="http://schemas.microsoft.com/office/drawing/2014/chart" uri="{C3380CC4-5D6E-409C-BE32-E72D297353CC}">
                <c16:uniqueId val="{00000021-A81B-498E-B292-E76259E71599}"/>
              </c:ext>
            </c:extLst>
          </c:dPt>
          <c:dPt>
            <c:idx val="17"/>
            <c:invertIfNegative val="0"/>
            <c:bubble3D val="0"/>
            <c:spPr>
              <a:solidFill>
                <a:srgbClr val="3CB30D"/>
              </a:solidFill>
              <a:ln>
                <a:solidFill>
                  <a:schemeClr val="accent3">
                    <a:lumMod val="75000"/>
                  </a:schemeClr>
                </a:solidFill>
              </a:ln>
            </c:spPr>
            <c:extLst>
              <c:ext xmlns:c16="http://schemas.microsoft.com/office/drawing/2014/chart" uri="{C3380CC4-5D6E-409C-BE32-E72D297353CC}">
                <c16:uniqueId val="{00000023-A81B-498E-B292-E76259E71599}"/>
              </c:ext>
            </c:extLst>
          </c:dPt>
          <c:dPt>
            <c:idx val="18"/>
            <c:invertIfNegative val="0"/>
            <c:bubble3D val="0"/>
            <c:spPr>
              <a:solidFill>
                <a:srgbClr val="3CB30D"/>
              </a:solidFill>
              <a:ln>
                <a:solidFill>
                  <a:schemeClr val="accent3">
                    <a:lumMod val="75000"/>
                  </a:schemeClr>
                </a:solidFill>
              </a:ln>
            </c:spPr>
            <c:extLst>
              <c:ext xmlns:c16="http://schemas.microsoft.com/office/drawing/2014/chart" uri="{C3380CC4-5D6E-409C-BE32-E72D297353CC}">
                <c16:uniqueId val="{00000025-A81B-498E-B292-E76259E71599}"/>
              </c:ext>
            </c:extLst>
          </c:dPt>
          <c:dPt>
            <c:idx val="19"/>
            <c:invertIfNegative val="0"/>
            <c:bubble3D val="0"/>
            <c:spPr>
              <a:solidFill>
                <a:srgbClr val="3CB30D"/>
              </a:solidFill>
              <a:ln>
                <a:solidFill>
                  <a:schemeClr val="accent3">
                    <a:lumMod val="75000"/>
                  </a:schemeClr>
                </a:solidFill>
              </a:ln>
            </c:spPr>
            <c:extLst>
              <c:ext xmlns:c16="http://schemas.microsoft.com/office/drawing/2014/chart" uri="{C3380CC4-5D6E-409C-BE32-E72D297353CC}">
                <c16:uniqueId val="{00000027-A81B-498E-B292-E76259E71599}"/>
              </c:ext>
            </c:extLst>
          </c:dPt>
          <c:dPt>
            <c:idx val="20"/>
            <c:invertIfNegative val="0"/>
            <c:bubble3D val="0"/>
            <c:spPr>
              <a:solidFill>
                <a:srgbClr val="3CB30D"/>
              </a:solidFill>
              <a:ln>
                <a:solidFill>
                  <a:schemeClr val="accent3">
                    <a:lumMod val="75000"/>
                  </a:schemeClr>
                </a:solidFill>
              </a:ln>
            </c:spPr>
            <c:extLst>
              <c:ext xmlns:c16="http://schemas.microsoft.com/office/drawing/2014/chart" uri="{C3380CC4-5D6E-409C-BE32-E72D297353CC}">
                <c16:uniqueId val="{00000029-A81B-498E-B292-E76259E71599}"/>
              </c:ext>
            </c:extLst>
          </c:dPt>
          <c:dPt>
            <c:idx val="21"/>
            <c:invertIfNegative val="0"/>
            <c:bubble3D val="0"/>
            <c:spPr>
              <a:solidFill>
                <a:srgbClr val="3CB30D"/>
              </a:solidFill>
              <a:ln>
                <a:solidFill>
                  <a:schemeClr val="accent3">
                    <a:lumMod val="75000"/>
                  </a:schemeClr>
                </a:solidFill>
              </a:ln>
            </c:spPr>
            <c:extLst>
              <c:ext xmlns:c16="http://schemas.microsoft.com/office/drawing/2014/chart" uri="{C3380CC4-5D6E-409C-BE32-E72D297353CC}">
                <c16:uniqueId val="{0000002B-A81B-498E-B292-E76259E71599}"/>
              </c:ext>
            </c:extLst>
          </c:dPt>
          <c:dPt>
            <c:idx val="22"/>
            <c:invertIfNegative val="0"/>
            <c:bubble3D val="0"/>
            <c:spPr>
              <a:solidFill>
                <a:srgbClr val="3CB30D"/>
              </a:solidFill>
              <a:ln>
                <a:solidFill>
                  <a:schemeClr val="accent3">
                    <a:lumMod val="75000"/>
                  </a:schemeClr>
                </a:solidFill>
              </a:ln>
            </c:spPr>
            <c:extLst>
              <c:ext xmlns:c16="http://schemas.microsoft.com/office/drawing/2014/chart" uri="{C3380CC4-5D6E-409C-BE32-E72D297353CC}">
                <c16:uniqueId val="{0000002D-A81B-498E-B292-E76259E71599}"/>
              </c:ext>
            </c:extLst>
          </c:dPt>
          <c:dPt>
            <c:idx val="23"/>
            <c:invertIfNegative val="0"/>
            <c:bubble3D val="0"/>
            <c:spPr>
              <a:solidFill>
                <a:srgbClr val="3CB30D"/>
              </a:solidFill>
              <a:ln>
                <a:solidFill>
                  <a:schemeClr val="accent3">
                    <a:lumMod val="75000"/>
                  </a:schemeClr>
                </a:solidFill>
              </a:ln>
            </c:spPr>
            <c:extLst>
              <c:ext xmlns:c16="http://schemas.microsoft.com/office/drawing/2014/chart" uri="{C3380CC4-5D6E-409C-BE32-E72D297353CC}">
                <c16:uniqueId val="{0000002F-A81B-498E-B292-E76259E71599}"/>
              </c:ext>
            </c:extLst>
          </c:dPt>
          <c:dPt>
            <c:idx val="24"/>
            <c:invertIfNegative val="0"/>
            <c:bubble3D val="0"/>
            <c:spPr>
              <a:solidFill>
                <a:srgbClr val="3CB30D"/>
              </a:solidFill>
              <a:ln>
                <a:solidFill>
                  <a:schemeClr val="accent3">
                    <a:lumMod val="75000"/>
                  </a:schemeClr>
                </a:solidFill>
              </a:ln>
            </c:spPr>
            <c:extLst>
              <c:ext xmlns:c16="http://schemas.microsoft.com/office/drawing/2014/chart" uri="{C3380CC4-5D6E-409C-BE32-E72D297353CC}">
                <c16:uniqueId val="{00000031-A81B-498E-B292-E76259E71599}"/>
              </c:ext>
            </c:extLst>
          </c:dPt>
          <c:dPt>
            <c:idx val="25"/>
            <c:invertIfNegative val="0"/>
            <c:bubble3D val="0"/>
            <c:spPr>
              <a:solidFill>
                <a:srgbClr val="3CB30D"/>
              </a:solidFill>
              <a:ln>
                <a:solidFill>
                  <a:schemeClr val="accent3">
                    <a:lumMod val="75000"/>
                  </a:schemeClr>
                </a:solidFill>
              </a:ln>
            </c:spPr>
            <c:extLst>
              <c:ext xmlns:c16="http://schemas.microsoft.com/office/drawing/2014/chart" uri="{C3380CC4-5D6E-409C-BE32-E72D297353CC}">
                <c16:uniqueId val="{00000033-A81B-498E-B292-E76259E71599}"/>
              </c:ext>
            </c:extLst>
          </c:dPt>
          <c:dPt>
            <c:idx val="26"/>
            <c:invertIfNegative val="0"/>
            <c:bubble3D val="0"/>
            <c:spPr>
              <a:solidFill>
                <a:srgbClr val="3CB30D"/>
              </a:solidFill>
              <a:ln>
                <a:solidFill>
                  <a:schemeClr val="accent3">
                    <a:lumMod val="75000"/>
                  </a:schemeClr>
                </a:solidFill>
              </a:ln>
            </c:spPr>
            <c:extLst>
              <c:ext xmlns:c16="http://schemas.microsoft.com/office/drawing/2014/chart" uri="{C3380CC4-5D6E-409C-BE32-E72D297353CC}">
                <c16:uniqueId val="{00000035-A81B-498E-B292-E76259E71599}"/>
              </c:ext>
            </c:extLst>
          </c:dPt>
          <c:dPt>
            <c:idx val="27"/>
            <c:invertIfNegative val="0"/>
            <c:bubble3D val="0"/>
            <c:spPr>
              <a:solidFill>
                <a:srgbClr val="3CB30D"/>
              </a:solidFill>
              <a:ln>
                <a:solidFill>
                  <a:schemeClr val="accent3">
                    <a:lumMod val="75000"/>
                  </a:schemeClr>
                </a:solidFill>
              </a:ln>
            </c:spPr>
            <c:extLst>
              <c:ext xmlns:c16="http://schemas.microsoft.com/office/drawing/2014/chart" uri="{C3380CC4-5D6E-409C-BE32-E72D297353CC}">
                <c16:uniqueId val="{00000037-A81B-498E-B292-E76259E71599}"/>
              </c:ext>
            </c:extLst>
          </c:dPt>
          <c:dPt>
            <c:idx val="28"/>
            <c:invertIfNegative val="0"/>
            <c:bubble3D val="0"/>
            <c:spPr>
              <a:solidFill>
                <a:srgbClr val="3CB30D"/>
              </a:solidFill>
              <a:ln>
                <a:solidFill>
                  <a:schemeClr val="accent3">
                    <a:lumMod val="75000"/>
                  </a:schemeClr>
                </a:solidFill>
              </a:ln>
            </c:spPr>
            <c:extLst>
              <c:ext xmlns:c16="http://schemas.microsoft.com/office/drawing/2014/chart" uri="{C3380CC4-5D6E-409C-BE32-E72D297353CC}">
                <c16:uniqueId val="{00000039-A81B-498E-B292-E76259E71599}"/>
              </c:ext>
            </c:extLst>
          </c:dPt>
          <c:cat>
            <c:strRef>
              <c:f>'Rys. 4'!$A$2:$A$30</c:f>
              <c:strCache>
                <c:ptCount val="29"/>
                <c:pt idx="0">
                  <c:v>aglomeracja rybnicko-jastrzębska</c:v>
                </c:pt>
                <c:pt idx="1">
                  <c:v>aglomeracja górnośląska</c:v>
                </c:pt>
                <c:pt idx="2">
                  <c:v>aglomeracja krakowska</c:v>
                </c:pt>
                <c:pt idx="3">
                  <c:v>miasto Bielsko-Biała</c:v>
                </c:pt>
                <c:pt idx="4">
                  <c:v>miasto Częstochowa</c:v>
                </c:pt>
                <c:pt idx="5">
                  <c:v>miasto Radom</c:v>
                </c:pt>
                <c:pt idx="6">
                  <c:v>miasto Tarnów</c:v>
                </c:pt>
                <c:pt idx="7">
                  <c:v>miasto Włocławek</c:v>
                </c:pt>
                <c:pt idx="8">
                  <c:v>aglomeracja poznańska</c:v>
                </c:pt>
                <c:pt idx="9">
                  <c:v>aglomeracja łódzka</c:v>
                </c:pt>
                <c:pt idx="10">
                  <c:v>miasto Opole</c:v>
                </c:pt>
                <c:pt idx="11">
                  <c:v>miasto Płock</c:v>
                </c:pt>
                <c:pt idx="12">
                  <c:v>miasto Kielce</c:v>
                </c:pt>
                <c:pt idx="13">
                  <c:v>Polska</c:v>
                </c:pt>
                <c:pt idx="14">
                  <c:v>miasto Rzeszów</c:v>
                </c:pt>
                <c:pt idx="15">
                  <c:v>aglomeracja wrocławska</c:v>
                </c:pt>
                <c:pt idx="16">
                  <c:v>aglomeracja warszawska</c:v>
                </c:pt>
                <c:pt idx="17">
                  <c:v>aglomeracja lubelska</c:v>
                </c:pt>
                <c:pt idx="18">
                  <c:v>aglomeracja białostocka</c:v>
                </c:pt>
                <c:pt idx="19">
                  <c:v>miasto Wałbrzych</c:v>
                </c:pt>
                <c:pt idx="20">
                  <c:v>miasto Toruń</c:v>
                </c:pt>
                <c:pt idx="21">
                  <c:v>miasto Elbląg</c:v>
                </c:pt>
                <c:pt idx="22">
                  <c:v>miasto Gorzów Wlkp</c:v>
                </c:pt>
                <c:pt idx="23">
                  <c:v>miasto Olsztyn</c:v>
                </c:pt>
                <c:pt idx="24">
                  <c:v>aglomeracja bydgoska</c:v>
                </c:pt>
                <c:pt idx="25">
                  <c:v>aglomeracja szczecińska</c:v>
                </c:pt>
                <c:pt idx="26">
                  <c:v>miasto Zielona Góra</c:v>
                </c:pt>
                <c:pt idx="27">
                  <c:v>miasto Koszalin</c:v>
                </c:pt>
                <c:pt idx="28">
                  <c:v>aglomeracja trójmiejska</c:v>
                </c:pt>
              </c:strCache>
            </c:strRef>
          </c:cat>
          <c:val>
            <c:numRef>
              <c:f>'Rys. 4'!$C$2:$C$30</c:f>
              <c:numCache>
                <c:formatCode>General</c:formatCode>
                <c:ptCount val="29"/>
                <c:pt idx="0">
                  <c:v>24</c:v>
                </c:pt>
                <c:pt idx="1">
                  <c:v>23</c:v>
                </c:pt>
                <c:pt idx="2">
                  <c:v>23</c:v>
                </c:pt>
                <c:pt idx="3">
                  <c:v>21</c:v>
                </c:pt>
                <c:pt idx="4">
                  <c:v>20</c:v>
                </c:pt>
                <c:pt idx="5">
                  <c:v>20</c:v>
                </c:pt>
                <c:pt idx="6">
                  <c:v>20</c:v>
                </c:pt>
                <c:pt idx="7">
                  <c:v>18</c:v>
                </c:pt>
                <c:pt idx="8">
                  <c:v>18</c:v>
                </c:pt>
                <c:pt idx="9">
                  <c:v>18</c:v>
                </c:pt>
                <c:pt idx="10">
                  <c:v>18</c:v>
                </c:pt>
                <c:pt idx="11">
                  <c:v>17</c:v>
                </c:pt>
                <c:pt idx="12">
                  <c:v>17</c:v>
                </c:pt>
                <c:pt idx="13">
                  <c:v>17</c:v>
                </c:pt>
                <c:pt idx="14">
                  <c:v>16</c:v>
                </c:pt>
                <c:pt idx="15">
                  <c:v>16</c:v>
                </c:pt>
                <c:pt idx="16">
                  <c:v>16</c:v>
                </c:pt>
                <c:pt idx="17">
                  <c:v>16</c:v>
                </c:pt>
                <c:pt idx="18">
                  <c:v>16</c:v>
                </c:pt>
                <c:pt idx="19">
                  <c:v>15</c:v>
                </c:pt>
                <c:pt idx="20">
                  <c:v>15</c:v>
                </c:pt>
                <c:pt idx="21">
                  <c:v>15</c:v>
                </c:pt>
                <c:pt idx="22">
                  <c:v>15</c:v>
                </c:pt>
                <c:pt idx="23">
                  <c:v>14</c:v>
                </c:pt>
                <c:pt idx="24">
                  <c:v>13</c:v>
                </c:pt>
                <c:pt idx="25">
                  <c:v>13</c:v>
                </c:pt>
                <c:pt idx="26">
                  <c:v>12</c:v>
                </c:pt>
                <c:pt idx="27">
                  <c:v>12</c:v>
                </c:pt>
                <c:pt idx="28">
                  <c:v>12</c:v>
                </c:pt>
              </c:numCache>
            </c:numRef>
          </c:val>
          <c:extLst>
            <c:ext xmlns:c16="http://schemas.microsoft.com/office/drawing/2014/chart" uri="{C3380CC4-5D6E-409C-BE32-E72D297353CC}">
              <c16:uniqueId val="{0000003A-A81B-498E-B292-E76259E71599}"/>
            </c:ext>
          </c:extLst>
        </c:ser>
        <c:dLbls>
          <c:showLegendKey val="0"/>
          <c:showVal val="0"/>
          <c:showCatName val="0"/>
          <c:showSerName val="0"/>
          <c:showPercent val="0"/>
          <c:showBubbleSize val="0"/>
        </c:dLbls>
        <c:gapWidth val="100"/>
        <c:axId val="388986880"/>
        <c:axId val="391269304"/>
      </c:barChart>
      <c:catAx>
        <c:axId val="388986880"/>
        <c:scaling>
          <c:orientation val="minMax"/>
        </c:scaling>
        <c:delete val="0"/>
        <c:axPos val="l"/>
        <c:numFmt formatCode="General" sourceLinked="1"/>
        <c:majorTickMark val="none"/>
        <c:minorTickMark val="none"/>
        <c:tickLblPos val="nextTo"/>
        <c:txPr>
          <a:bodyPr/>
          <a:lstStyle/>
          <a:p>
            <a:pPr>
              <a:defRPr sz="1000" baseline="0">
                <a:solidFill>
                  <a:schemeClr val="tx1"/>
                </a:solidFill>
              </a:defRPr>
            </a:pPr>
            <a:endParaRPr lang="pl-PL"/>
          </a:p>
        </c:txPr>
        <c:crossAx val="391269304"/>
        <c:crosses val="autoZero"/>
        <c:auto val="1"/>
        <c:lblAlgn val="ctr"/>
        <c:lblOffset val="100"/>
        <c:noMultiLvlLbl val="0"/>
      </c:catAx>
      <c:valAx>
        <c:axId val="391269304"/>
        <c:scaling>
          <c:orientation val="minMax"/>
          <c:max val="25"/>
          <c:min val="0"/>
        </c:scaling>
        <c:delete val="0"/>
        <c:axPos val="b"/>
        <c:majorGridlines>
          <c:spPr>
            <a:ln w="9525">
              <a:solidFill>
                <a:schemeClr val="bg1">
                  <a:lumMod val="85000"/>
                </a:schemeClr>
              </a:solidFill>
            </a:ln>
          </c:spPr>
        </c:majorGridlines>
        <c:minorGridlines>
          <c:spPr>
            <a:ln w="9525">
              <a:solidFill>
                <a:schemeClr val="bg1">
                  <a:lumMod val="95000"/>
                </a:schemeClr>
              </a:solidFill>
            </a:ln>
          </c:spPr>
        </c:minorGridlines>
        <c:title>
          <c:tx>
            <c:rich>
              <a:bodyPr/>
              <a:lstStyle/>
              <a:p>
                <a:pPr>
                  <a:defRPr sz="1000" b="0">
                    <a:solidFill>
                      <a:schemeClr val="tx1"/>
                    </a:solidFill>
                    <a:latin typeface="+mn-lt"/>
                  </a:defRPr>
                </a:pPr>
                <a:r>
                  <a:rPr lang="pl-PL" sz="1000" b="0">
                    <a:solidFill>
                      <a:schemeClr val="tx1"/>
                    </a:solidFill>
                    <a:latin typeface="+mn-lt"/>
                  </a:rPr>
                  <a:t>Wskaźnik</a:t>
                </a:r>
                <a:r>
                  <a:rPr lang="pl-PL" sz="1000" b="0" baseline="0">
                    <a:solidFill>
                      <a:schemeClr val="tx1"/>
                    </a:solidFill>
                    <a:latin typeface="+mn-lt"/>
                  </a:rPr>
                  <a:t> średniego narażenia na pył zawieszony PM2,5 [</a:t>
                </a:r>
                <a:r>
                  <a:rPr lang="pl-PL" sz="1000" b="0" baseline="0">
                    <a:solidFill>
                      <a:schemeClr val="tx1"/>
                    </a:solidFill>
                    <a:latin typeface="+mn-lt"/>
                    <a:cs typeface="Arial"/>
                  </a:rPr>
                  <a:t>µg/m</a:t>
                </a:r>
                <a:r>
                  <a:rPr lang="pl-PL" sz="1000" b="0" baseline="30000">
                    <a:solidFill>
                      <a:schemeClr val="tx1"/>
                    </a:solidFill>
                    <a:latin typeface="+mn-lt"/>
                    <a:cs typeface="Arial"/>
                  </a:rPr>
                  <a:t>3</a:t>
                </a:r>
                <a:r>
                  <a:rPr lang="pl-PL" sz="1000" b="0" baseline="0">
                    <a:solidFill>
                      <a:schemeClr val="tx1"/>
                    </a:solidFill>
                    <a:latin typeface="+mn-lt"/>
                    <a:cs typeface="Arial"/>
                  </a:rPr>
                  <a:t>]</a:t>
                </a:r>
                <a:endParaRPr lang="pl-PL" sz="1000" b="0" baseline="30000">
                  <a:solidFill>
                    <a:schemeClr val="tx1"/>
                  </a:solidFill>
                  <a:latin typeface="+mn-lt"/>
                </a:endParaRPr>
              </a:p>
            </c:rich>
          </c:tx>
          <c:layout>
            <c:manualLayout>
              <c:xMode val="edge"/>
              <c:yMode val="edge"/>
              <c:x val="0.27844776845011243"/>
              <c:y val="0.95515315937189804"/>
            </c:manualLayout>
          </c:layout>
          <c:overlay val="0"/>
        </c:title>
        <c:numFmt formatCode="General" sourceLinked="1"/>
        <c:majorTickMark val="out"/>
        <c:minorTickMark val="none"/>
        <c:tickLblPos val="nextTo"/>
        <c:txPr>
          <a:bodyPr/>
          <a:lstStyle/>
          <a:p>
            <a:pPr>
              <a:defRPr sz="1000" baseline="0"/>
            </a:pPr>
            <a:endParaRPr lang="pl-PL"/>
          </a:p>
        </c:txPr>
        <c:crossAx val="388986880"/>
        <c:crosses val="autoZero"/>
        <c:crossBetween val="between"/>
        <c:majorUnit val="5"/>
      </c:valAx>
      <c:spPr>
        <a:ln>
          <a:solidFill>
            <a:schemeClr val="accent3"/>
          </a:solidFill>
        </a:ln>
      </c:spPr>
    </c:plotArea>
    <c:plotVisOnly val="1"/>
    <c:dispBlanksAs val="gap"/>
    <c:showDLblsOverMax val="0"/>
  </c:chart>
  <c:spPr>
    <a:ln>
      <a:noFill/>
    </a:ln>
  </c:spPr>
  <c:externalData r:id="rId1">
    <c:autoUpdate val="0"/>
  </c:externalData>
  <c:userShapes r:id="rId2"/>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234359803670048"/>
          <c:y val="4.5988156439122803E-2"/>
          <c:w val="0.84383886150208565"/>
          <c:h val="0.646160308098227"/>
        </c:manualLayout>
      </c:layout>
      <c:barChart>
        <c:barDir val="col"/>
        <c:grouping val="clustered"/>
        <c:varyColors val="0"/>
        <c:ser>
          <c:idx val="0"/>
          <c:order val="0"/>
          <c:tx>
            <c:strRef>
              <c:f>'dane i wykres do 2021'!$B$5</c:f>
              <c:strCache>
                <c:ptCount val="1"/>
                <c:pt idx="0">
                  <c:v>Łeba</c:v>
                </c:pt>
              </c:strCache>
            </c:strRef>
          </c:tx>
          <c:spPr>
            <a:solidFill>
              <a:srgbClr val="0070C0"/>
            </a:solidFill>
            <a:ln w="12700">
              <a:solidFill>
                <a:srgbClr val="000000"/>
              </a:solidFill>
              <a:prstDash val="solid"/>
            </a:ln>
          </c:spPr>
          <c:invertIfNegative val="0"/>
          <c:cat>
            <c:numRef>
              <c:f>'dane i wykres do 2021'!$A$6:$A$33</c:f>
              <c:numCache>
                <c:formatCode>General</c:formatCode>
                <c:ptCount val="28"/>
                <c:pt idx="0">
                  <c:v>1994</c:v>
                </c:pt>
                <c:pt idx="1">
                  <c:v>1995</c:v>
                </c:pt>
                <c:pt idx="2">
                  <c:v>1996</c:v>
                </c:pt>
                <c:pt idx="3">
                  <c:v>1997</c:v>
                </c:pt>
                <c:pt idx="4">
                  <c:v>1998</c:v>
                </c:pt>
                <c:pt idx="5">
                  <c:v>1999</c:v>
                </c:pt>
                <c:pt idx="6">
                  <c:v>2000</c:v>
                </c:pt>
                <c:pt idx="7">
                  <c:v>2001</c:v>
                </c:pt>
                <c:pt idx="8">
                  <c:v>2002</c:v>
                </c:pt>
                <c:pt idx="9">
                  <c:v>2003</c:v>
                </c:pt>
                <c:pt idx="10">
                  <c:v>2004</c:v>
                </c:pt>
                <c:pt idx="11">
                  <c:v>2005</c:v>
                </c:pt>
                <c:pt idx="12">
                  <c:v>2006</c:v>
                </c:pt>
                <c:pt idx="13">
                  <c:v>2007</c:v>
                </c:pt>
                <c:pt idx="14">
                  <c:v>2008</c:v>
                </c:pt>
                <c:pt idx="15">
                  <c:v>2009</c:v>
                </c:pt>
                <c:pt idx="16">
                  <c:v>2010</c:v>
                </c:pt>
                <c:pt idx="17">
                  <c:v>2011</c:v>
                </c:pt>
                <c:pt idx="18">
                  <c:v>2012</c:v>
                </c:pt>
                <c:pt idx="19">
                  <c:v>2013</c:v>
                </c:pt>
                <c:pt idx="20">
                  <c:v>2014</c:v>
                </c:pt>
                <c:pt idx="21">
                  <c:v>2015</c:v>
                </c:pt>
                <c:pt idx="22">
                  <c:v>2016</c:v>
                </c:pt>
                <c:pt idx="23">
                  <c:v>2017</c:v>
                </c:pt>
                <c:pt idx="24">
                  <c:v>2018</c:v>
                </c:pt>
                <c:pt idx="25">
                  <c:v>2019</c:v>
                </c:pt>
                <c:pt idx="26">
                  <c:v>2020</c:v>
                </c:pt>
                <c:pt idx="27">
                  <c:v>2021</c:v>
                </c:pt>
              </c:numCache>
            </c:numRef>
          </c:cat>
          <c:val>
            <c:numRef>
              <c:f>'dane i wykres do 2021'!$B$6:$B$33</c:f>
              <c:numCache>
                <c:formatCode>0.00</c:formatCode>
                <c:ptCount val="28"/>
                <c:pt idx="0">
                  <c:v>4.4000000000000004</c:v>
                </c:pt>
                <c:pt idx="1">
                  <c:v>4.45</c:v>
                </c:pt>
                <c:pt idx="2">
                  <c:v>4.5199999999999996</c:v>
                </c:pt>
                <c:pt idx="3">
                  <c:v>4.6100000000000003</c:v>
                </c:pt>
                <c:pt idx="4">
                  <c:v>4.5999999999999996</c:v>
                </c:pt>
                <c:pt idx="5">
                  <c:v>4.71</c:v>
                </c:pt>
                <c:pt idx="6">
                  <c:v>4.6399999999999997</c:v>
                </c:pt>
                <c:pt idx="7">
                  <c:v>4.71</c:v>
                </c:pt>
                <c:pt idx="8">
                  <c:v>4.68</c:v>
                </c:pt>
                <c:pt idx="9">
                  <c:v>4.72</c:v>
                </c:pt>
                <c:pt idx="10">
                  <c:v>4.67</c:v>
                </c:pt>
                <c:pt idx="11">
                  <c:v>4.58</c:v>
                </c:pt>
                <c:pt idx="12">
                  <c:v>4.7300000000000004</c:v>
                </c:pt>
                <c:pt idx="13">
                  <c:v>4.7</c:v>
                </c:pt>
                <c:pt idx="14">
                  <c:v>4.6900000000000004</c:v>
                </c:pt>
                <c:pt idx="15">
                  <c:v>4.8899999999999997</c:v>
                </c:pt>
                <c:pt idx="16">
                  <c:v>4.87</c:v>
                </c:pt>
                <c:pt idx="17">
                  <c:v>5.1100000000000003</c:v>
                </c:pt>
                <c:pt idx="18">
                  <c:v>4.9000000000000004</c:v>
                </c:pt>
                <c:pt idx="19">
                  <c:v>4.8499999999999996</c:v>
                </c:pt>
                <c:pt idx="20">
                  <c:v>4.97</c:v>
                </c:pt>
                <c:pt idx="21">
                  <c:v>4.99</c:v>
                </c:pt>
                <c:pt idx="22">
                  <c:v>5.09</c:v>
                </c:pt>
                <c:pt idx="23">
                  <c:v>5.15</c:v>
                </c:pt>
                <c:pt idx="24">
                  <c:v>5.14</c:v>
                </c:pt>
                <c:pt idx="25" formatCode="General">
                  <c:v>5.12</c:v>
                </c:pt>
                <c:pt idx="26" formatCode="General">
                  <c:v>5.18</c:v>
                </c:pt>
                <c:pt idx="27" formatCode="General">
                  <c:v>5.18</c:v>
                </c:pt>
              </c:numCache>
            </c:numRef>
          </c:val>
          <c:extLst>
            <c:ext xmlns:c16="http://schemas.microsoft.com/office/drawing/2014/chart" uri="{C3380CC4-5D6E-409C-BE32-E72D297353CC}">
              <c16:uniqueId val="{00000000-9298-4F15-8AD9-E923D3ACEDFD}"/>
            </c:ext>
          </c:extLst>
        </c:ser>
        <c:ser>
          <c:idx val="1"/>
          <c:order val="1"/>
          <c:tx>
            <c:strRef>
              <c:f>'dane i wykres do 2021'!$C$5</c:f>
              <c:strCache>
                <c:ptCount val="1"/>
                <c:pt idx="0">
                  <c:v>Śnieżka</c:v>
                </c:pt>
              </c:strCache>
            </c:strRef>
          </c:tx>
          <c:spPr>
            <a:solidFill>
              <a:srgbClr val="FF5050"/>
            </a:solidFill>
            <a:ln w="12700">
              <a:solidFill>
                <a:srgbClr val="000000"/>
              </a:solidFill>
              <a:prstDash val="solid"/>
            </a:ln>
          </c:spPr>
          <c:invertIfNegative val="0"/>
          <c:cat>
            <c:numRef>
              <c:f>'dane i wykres do 2021'!$A$6:$A$33</c:f>
              <c:numCache>
                <c:formatCode>General</c:formatCode>
                <c:ptCount val="28"/>
                <c:pt idx="0">
                  <c:v>1994</c:v>
                </c:pt>
                <c:pt idx="1">
                  <c:v>1995</c:v>
                </c:pt>
                <c:pt idx="2">
                  <c:v>1996</c:v>
                </c:pt>
                <c:pt idx="3">
                  <c:v>1997</c:v>
                </c:pt>
                <c:pt idx="4">
                  <c:v>1998</c:v>
                </c:pt>
                <c:pt idx="5">
                  <c:v>1999</c:v>
                </c:pt>
                <c:pt idx="6">
                  <c:v>2000</c:v>
                </c:pt>
                <c:pt idx="7">
                  <c:v>2001</c:v>
                </c:pt>
                <c:pt idx="8">
                  <c:v>2002</c:v>
                </c:pt>
                <c:pt idx="9">
                  <c:v>2003</c:v>
                </c:pt>
                <c:pt idx="10">
                  <c:v>2004</c:v>
                </c:pt>
                <c:pt idx="11">
                  <c:v>2005</c:v>
                </c:pt>
                <c:pt idx="12">
                  <c:v>2006</c:v>
                </c:pt>
                <c:pt idx="13">
                  <c:v>2007</c:v>
                </c:pt>
                <c:pt idx="14">
                  <c:v>2008</c:v>
                </c:pt>
                <c:pt idx="15">
                  <c:v>2009</c:v>
                </c:pt>
                <c:pt idx="16">
                  <c:v>2010</c:v>
                </c:pt>
                <c:pt idx="17">
                  <c:v>2011</c:v>
                </c:pt>
                <c:pt idx="18">
                  <c:v>2012</c:v>
                </c:pt>
                <c:pt idx="19">
                  <c:v>2013</c:v>
                </c:pt>
                <c:pt idx="20">
                  <c:v>2014</c:v>
                </c:pt>
                <c:pt idx="21">
                  <c:v>2015</c:v>
                </c:pt>
                <c:pt idx="22">
                  <c:v>2016</c:v>
                </c:pt>
                <c:pt idx="23">
                  <c:v>2017</c:v>
                </c:pt>
                <c:pt idx="24">
                  <c:v>2018</c:v>
                </c:pt>
                <c:pt idx="25">
                  <c:v>2019</c:v>
                </c:pt>
                <c:pt idx="26">
                  <c:v>2020</c:v>
                </c:pt>
                <c:pt idx="27">
                  <c:v>2021</c:v>
                </c:pt>
              </c:numCache>
            </c:numRef>
          </c:cat>
          <c:val>
            <c:numRef>
              <c:f>'dane i wykres do 2021'!$C$6:$C$33</c:f>
              <c:numCache>
                <c:formatCode>0.00</c:formatCode>
                <c:ptCount val="28"/>
                <c:pt idx="0">
                  <c:v>4.3</c:v>
                </c:pt>
                <c:pt idx="1">
                  <c:v>4.3</c:v>
                </c:pt>
                <c:pt idx="2">
                  <c:v>4.3099999999999996</c:v>
                </c:pt>
                <c:pt idx="3">
                  <c:v>4.2699999999999996</c:v>
                </c:pt>
                <c:pt idx="4">
                  <c:v>4.24</c:v>
                </c:pt>
                <c:pt idx="5">
                  <c:v>4.37</c:v>
                </c:pt>
                <c:pt idx="6">
                  <c:v>4.46</c:v>
                </c:pt>
                <c:pt idx="7">
                  <c:v>4.5599999999999996</c:v>
                </c:pt>
                <c:pt idx="8">
                  <c:v>4.57</c:v>
                </c:pt>
                <c:pt idx="9">
                  <c:v>4.63</c:v>
                </c:pt>
                <c:pt idx="10">
                  <c:v>4.55</c:v>
                </c:pt>
                <c:pt idx="11">
                  <c:v>4.57</c:v>
                </c:pt>
                <c:pt idx="12">
                  <c:v>4.47</c:v>
                </c:pt>
                <c:pt idx="13">
                  <c:v>4.4800000000000004</c:v>
                </c:pt>
                <c:pt idx="14">
                  <c:v>4.5</c:v>
                </c:pt>
                <c:pt idx="15">
                  <c:v>4.6500000000000004</c:v>
                </c:pt>
                <c:pt idx="16">
                  <c:v>4.5</c:v>
                </c:pt>
                <c:pt idx="17">
                  <c:v>4.54</c:v>
                </c:pt>
                <c:pt idx="18">
                  <c:v>4.4400000000000004</c:v>
                </c:pt>
                <c:pt idx="19">
                  <c:v>4.49</c:v>
                </c:pt>
                <c:pt idx="20">
                  <c:v>4.4400000000000004</c:v>
                </c:pt>
                <c:pt idx="21">
                  <c:v>4.5</c:v>
                </c:pt>
                <c:pt idx="22">
                  <c:v>4.49</c:v>
                </c:pt>
                <c:pt idx="23">
                  <c:v>4.47</c:v>
                </c:pt>
                <c:pt idx="24">
                  <c:v>4.5199999999999996</c:v>
                </c:pt>
                <c:pt idx="25">
                  <c:v>4.5</c:v>
                </c:pt>
                <c:pt idx="26">
                  <c:v>4.4800000000000004</c:v>
                </c:pt>
                <c:pt idx="27">
                  <c:v>4.49</c:v>
                </c:pt>
              </c:numCache>
            </c:numRef>
          </c:val>
          <c:extLst>
            <c:ext xmlns:c16="http://schemas.microsoft.com/office/drawing/2014/chart" uri="{C3380CC4-5D6E-409C-BE32-E72D297353CC}">
              <c16:uniqueId val="{00000001-9298-4F15-8AD9-E923D3ACEDFD}"/>
            </c:ext>
          </c:extLst>
        </c:ser>
        <c:ser>
          <c:idx val="2"/>
          <c:order val="2"/>
          <c:tx>
            <c:strRef>
              <c:f>'dane i wykres do 2021'!$D$5</c:f>
              <c:strCache>
                <c:ptCount val="1"/>
                <c:pt idx="0">
                  <c:v>Puszcza 
Borecka</c:v>
                </c:pt>
              </c:strCache>
            </c:strRef>
          </c:tx>
          <c:spPr>
            <a:solidFill>
              <a:srgbClr val="F7D95B"/>
            </a:solidFill>
            <a:ln w="12700">
              <a:solidFill>
                <a:srgbClr val="000000"/>
              </a:solidFill>
              <a:prstDash val="solid"/>
            </a:ln>
          </c:spPr>
          <c:invertIfNegative val="0"/>
          <c:cat>
            <c:numRef>
              <c:f>'dane i wykres do 2021'!$A$6:$A$33</c:f>
              <c:numCache>
                <c:formatCode>General</c:formatCode>
                <c:ptCount val="28"/>
                <c:pt idx="0">
                  <c:v>1994</c:v>
                </c:pt>
                <c:pt idx="1">
                  <c:v>1995</c:v>
                </c:pt>
                <c:pt idx="2">
                  <c:v>1996</c:v>
                </c:pt>
                <c:pt idx="3">
                  <c:v>1997</c:v>
                </c:pt>
                <c:pt idx="4">
                  <c:v>1998</c:v>
                </c:pt>
                <c:pt idx="5">
                  <c:v>1999</c:v>
                </c:pt>
                <c:pt idx="6">
                  <c:v>2000</c:v>
                </c:pt>
                <c:pt idx="7">
                  <c:v>2001</c:v>
                </c:pt>
                <c:pt idx="8">
                  <c:v>2002</c:v>
                </c:pt>
                <c:pt idx="9">
                  <c:v>2003</c:v>
                </c:pt>
                <c:pt idx="10">
                  <c:v>2004</c:v>
                </c:pt>
                <c:pt idx="11">
                  <c:v>2005</c:v>
                </c:pt>
                <c:pt idx="12">
                  <c:v>2006</c:v>
                </c:pt>
                <c:pt idx="13">
                  <c:v>2007</c:v>
                </c:pt>
                <c:pt idx="14">
                  <c:v>2008</c:v>
                </c:pt>
                <c:pt idx="15">
                  <c:v>2009</c:v>
                </c:pt>
                <c:pt idx="16">
                  <c:v>2010</c:v>
                </c:pt>
                <c:pt idx="17">
                  <c:v>2011</c:v>
                </c:pt>
                <c:pt idx="18">
                  <c:v>2012</c:v>
                </c:pt>
                <c:pt idx="19">
                  <c:v>2013</c:v>
                </c:pt>
                <c:pt idx="20">
                  <c:v>2014</c:v>
                </c:pt>
                <c:pt idx="21">
                  <c:v>2015</c:v>
                </c:pt>
                <c:pt idx="22">
                  <c:v>2016</c:v>
                </c:pt>
                <c:pt idx="23">
                  <c:v>2017</c:v>
                </c:pt>
                <c:pt idx="24">
                  <c:v>2018</c:v>
                </c:pt>
                <c:pt idx="25">
                  <c:v>2019</c:v>
                </c:pt>
                <c:pt idx="26">
                  <c:v>2020</c:v>
                </c:pt>
                <c:pt idx="27">
                  <c:v>2021</c:v>
                </c:pt>
              </c:numCache>
            </c:numRef>
          </c:cat>
          <c:val>
            <c:numRef>
              <c:f>'dane i wykres do 2021'!$D$6:$D$33</c:f>
              <c:numCache>
                <c:formatCode>0.00</c:formatCode>
                <c:ptCount val="28"/>
                <c:pt idx="0">
                  <c:v>4.38</c:v>
                </c:pt>
                <c:pt idx="1">
                  <c:v>4.46</c:v>
                </c:pt>
                <c:pt idx="2">
                  <c:v>4.46</c:v>
                </c:pt>
                <c:pt idx="3">
                  <c:v>4.79</c:v>
                </c:pt>
                <c:pt idx="4">
                  <c:v>4.7300000000000004</c:v>
                </c:pt>
                <c:pt idx="5">
                  <c:v>4.66</c:v>
                </c:pt>
                <c:pt idx="6">
                  <c:v>4.45</c:v>
                </c:pt>
                <c:pt idx="7">
                  <c:v>4.7237704671953029</c:v>
                </c:pt>
                <c:pt idx="8">
                  <c:v>4.7946459335774065</c:v>
                </c:pt>
                <c:pt idx="9">
                  <c:v>4.8106570143765834</c:v>
                </c:pt>
                <c:pt idx="10">
                  <c:v>4.7104831479174649</c:v>
                </c:pt>
                <c:pt idx="11">
                  <c:v>4.78</c:v>
                </c:pt>
                <c:pt idx="12">
                  <c:v>4.78</c:v>
                </c:pt>
                <c:pt idx="13">
                  <c:v>4.8600000000000003</c:v>
                </c:pt>
                <c:pt idx="14">
                  <c:v>4.7699999999999996</c:v>
                </c:pt>
                <c:pt idx="15">
                  <c:v>4.88</c:v>
                </c:pt>
                <c:pt idx="16">
                  <c:v>4.96</c:v>
                </c:pt>
                <c:pt idx="17">
                  <c:v>4.9400000000000004</c:v>
                </c:pt>
                <c:pt idx="18">
                  <c:v>4.78</c:v>
                </c:pt>
                <c:pt idx="19">
                  <c:v>4.8899999999999997</c:v>
                </c:pt>
                <c:pt idx="20">
                  <c:v>4.9800000000000004</c:v>
                </c:pt>
                <c:pt idx="21">
                  <c:v>5.0199999999999996</c:v>
                </c:pt>
                <c:pt idx="22">
                  <c:v>5.15</c:v>
                </c:pt>
                <c:pt idx="23">
                  <c:v>5.19</c:v>
                </c:pt>
                <c:pt idx="24">
                  <c:v>5.12</c:v>
                </c:pt>
                <c:pt idx="25" formatCode="General">
                  <c:v>5.42</c:v>
                </c:pt>
                <c:pt idx="26" formatCode="General">
                  <c:v>5.27</c:v>
                </c:pt>
                <c:pt idx="27" formatCode="General">
                  <c:v>5.42</c:v>
                </c:pt>
              </c:numCache>
            </c:numRef>
          </c:val>
          <c:extLst>
            <c:ext xmlns:c16="http://schemas.microsoft.com/office/drawing/2014/chart" uri="{C3380CC4-5D6E-409C-BE32-E72D297353CC}">
              <c16:uniqueId val="{00000002-9298-4F15-8AD9-E923D3ACEDFD}"/>
            </c:ext>
          </c:extLst>
        </c:ser>
        <c:ser>
          <c:idx val="3"/>
          <c:order val="3"/>
          <c:tx>
            <c:strRef>
              <c:f>'dane i wykres do 2021'!$E$5</c:f>
              <c:strCache>
                <c:ptCount val="1"/>
                <c:pt idx="0">
                  <c:v>Jarczew</c:v>
                </c:pt>
              </c:strCache>
            </c:strRef>
          </c:tx>
          <c:spPr>
            <a:solidFill>
              <a:srgbClr val="00C057"/>
            </a:solidFill>
            <a:ln w="12700">
              <a:solidFill>
                <a:srgbClr val="000000"/>
              </a:solidFill>
              <a:prstDash val="solid"/>
            </a:ln>
          </c:spPr>
          <c:invertIfNegative val="0"/>
          <c:cat>
            <c:numRef>
              <c:f>'dane i wykres do 2021'!$A$6:$A$33</c:f>
              <c:numCache>
                <c:formatCode>General</c:formatCode>
                <c:ptCount val="28"/>
                <c:pt idx="0">
                  <c:v>1994</c:v>
                </c:pt>
                <c:pt idx="1">
                  <c:v>1995</c:v>
                </c:pt>
                <c:pt idx="2">
                  <c:v>1996</c:v>
                </c:pt>
                <c:pt idx="3">
                  <c:v>1997</c:v>
                </c:pt>
                <c:pt idx="4">
                  <c:v>1998</c:v>
                </c:pt>
                <c:pt idx="5">
                  <c:v>1999</c:v>
                </c:pt>
                <c:pt idx="6">
                  <c:v>2000</c:v>
                </c:pt>
                <c:pt idx="7">
                  <c:v>2001</c:v>
                </c:pt>
                <c:pt idx="8">
                  <c:v>2002</c:v>
                </c:pt>
                <c:pt idx="9">
                  <c:v>2003</c:v>
                </c:pt>
                <c:pt idx="10">
                  <c:v>2004</c:v>
                </c:pt>
                <c:pt idx="11">
                  <c:v>2005</c:v>
                </c:pt>
                <c:pt idx="12">
                  <c:v>2006</c:v>
                </c:pt>
                <c:pt idx="13">
                  <c:v>2007</c:v>
                </c:pt>
                <c:pt idx="14">
                  <c:v>2008</c:v>
                </c:pt>
                <c:pt idx="15">
                  <c:v>2009</c:v>
                </c:pt>
                <c:pt idx="16">
                  <c:v>2010</c:v>
                </c:pt>
                <c:pt idx="17">
                  <c:v>2011</c:v>
                </c:pt>
                <c:pt idx="18">
                  <c:v>2012</c:v>
                </c:pt>
                <c:pt idx="19">
                  <c:v>2013</c:v>
                </c:pt>
                <c:pt idx="20">
                  <c:v>2014</c:v>
                </c:pt>
                <c:pt idx="21">
                  <c:v>2015</c:v>
                </c:pt>
                <c:pt idx="22">
                  <c:v>2016</c:v>
                </c:pt>
                <c:pt idx="23">
                  <c:v>2017</c:v>
                </c:pt>
                <c:pt idx="24">
                  <c:v>2018</c:v>
                </c:pt>
                <c:pt idx="25">
                  <c:v>2019</c:v>
                </c:pt>
                <c:pt idx="26">
                  <c:v>2020</c:v>
                </c:pt>
                <c:pt idx="27">
                  <c:v>2021</c:v>
                </c:pt>
              </c:numCache>
            </c:numRef>
          </c:cat>
          <c:val>
            <c:numRef>
              <c:f>'dane i wykres do 2021'!$E$6:$E$33</c:f>
              <c:numCache>
                <c:formatCode>0.00</c:formatCode>
                <c:ptCount val="28"/>
                <c:pt idx="0">
                  <c:v>4.54</c:v>
                </c:pt>
                <c:pt idx="1">
                  <c:v>4.43</c:v>
                </c:pt>
                <c:pt idx="2">
                  <c:v>4.51</c:v>
                </c:pt>
                <c:pt idx="3">
                  <c:v>4.62</c:v>
                </c:pt>
                <c:pt idx="4">
                  <c:v>4.59</c:v>
                </c:pt>
                <c:pt idx="5">
                  <c:v>4.67</c:v>
                </c:pt>
                <c:pt idx="6">
                  <c:v>4.6100000000000003</c:v>
                </c:pt>
                <c:pt idx="7">
                  <c:v>4.7300000000000004</c:v>
                </c:pt>
                <c:pt idx="8">
                  <c:v>4.7300000000000004</c:v>
                </c:pt>
                <c:pt idx="9">
                  <c:v>4.8</c:v>
                </c:pt>
                <c:pt idx="10">
                  <c:v>4.6100000000000003</c:v>
                </c:pt>
                <c:pt idx="11">
                  <c:v>4.6399999999999997</c:v>
                </c:pt>
                <c:pt idx="12">
                  <c:v>4.72</c:v>
                </c:pt>
                <c:pt idx="13">
                  <c:v>4.71</c:v>
                </c:pt>
                <c:pt idx="14">
                  <c:v>4.8499999999999996</c:v>
                </c:pt>
                <c:pt idx="15">
                  <c:v>5.05</c:v>
                </c:pt>
                <c:pt idx="16">
                  <c:v>4.9800000000000004</c:v>
                </c:pt>
                <c:pt idx="17">
                  <c:v>4.9000000000000004</c:v>
                </c:pt>
                <c:pt idx="18">
                  <c:v>4.93</c:v>
                </c:pt>
                <c:pt idx="19">
                  <c:v>4.82</c:v>
                </c:pt>
                <c:pt idx="20">
                  <c:v>4.88</c:v>
                </c:pt>
                <c:pt idx="21">
                  <c:v>4.92</c:v>
                </c:pt>
                <c:pt idx="22">
                  <c:v>5.05</c:v>
                </c:pt>
                <c:pt idx="23">
                  <c:v>5.15</c:v>
                </c:pt>
                <c:pt idx="24">
                  <c:v>5.25</c:v>
                </c:pt>
                <c:pt idx="25" formatCode="General">
                  <c:v>5.29</c:v>
                </c:pt>
                <c:pt idx="26" formatCode="General">
                  <c:v>5.41</c:v>
                </c:pt>
                <c:pt idx="27" formatCode="General">
                  <c:v>5.21</c:v>
                </c:pt>
              </c:numCache>
            </c:numRef>
          </c:val>
          <c:extLst>
            <c:ext xmlns:c16="http://schemas.microsoft.com/office/drawing/2014/chart" uri="{C3380CC4-5D6E-409C-BE32-E72D297353CC}">
              <c16:uniqueId val="{00000003-9298-4F15-8AD9-E923D3ACEDFD}"/>
            </c:ext>
          </c:extLst>
        </c:ser>
        <c:dLbls>
          <c:showLegendKey val="0"/>
          <c:showVal val="0"/>
          <c:showCatName val="0"/>
          <c:showSerName val="0"/>
          <c:showPercent val="0"/>
          <c:showBubbleSize val="0"/>
        </c:dLbls>
        <c:gapWidth val="150"/>
        <c:axId val="1480620015"/>
        <c:axId val="1"/>
      </c:barChart>
      <c:catAx>
        <c:axId val="1480620015"/>
        <c:scaling>
          <c:orientation val="minMax"/>
        </c:scaling>
        <c:delete val="0"/>
        <c:axPos val="b"/>
        <c:numFmt formatCode="General" sourceLinked="1"/>
        <c:majorTickMark val="out"/>
        <c:minorTickMark val="none"/>
        <c:tickLblPos val="nextTo"/>
        <c:spPr>
          <a:ln w="3175">
            <a:solidFill>
              <a:srgbClr val="000000"/>
            </a:solidFill>
            <a:prstDash val="solid"/>
          </a:ln>
        </c:spPr>
        <c:txPr>
          <a:bodyPr rot="-2700000" vert="horz"/>
          <a:lstStyle/>
          <a:p>
            <a:pPr>
              <a:defRPr sz="1000" b="0" i="0" u="none" strike="noStrike" baseline="0">
                <a:solidFill>
                  <a:srgbClr val="000000"/>
                </a:solidFill>
                <a:latin typeface="+mn-lt"/>
                <a:ea typeface="Arial"/>
                <a:cs typeface="Arial"/>
              </a:defRPr>
            </a:pPr>
            <a:endParaRPr lang="pl-PL"/>
          </a:p>
        </c:txPr>
        <c:crossAx val="1"/>
        <c:crosses val="autoZero"/>
        <c:auto val="0"/>
        <c:lblAlgn val="ctr"/>
        <c:lblOffset val="100"/>
        <c:tickLblSkip val="1"/>
        <c:tickMarkSkip val="1"/>
        <c:noMultiLvlLbl val="0"/>
      </c:catAx>
      <c:valAx>
        <c:axId val="1"/>
        <c:scaling>
          <c:orientation val="minMax"/>
          <c:max val="5.4"/>
          <c:min val="3.8"/>
        </c:scaling>
        <c:delete val="0"/>
        <c:axPos val="l"/>
        <c:majorGridlines>
          <c:spPr>
            <a:ln w="3175">
              <a:solidFill>
                <a:srgbClr val="000000"/>
              </a:solidFill>
              <a:prstDash val="solid"/>
            </a:ln>
          </c:spPr>
        </c:majorGridlines>
        <c:title>
          <c:tx>
            <c:rich>
              <a:bodyPr/>
              <a:lstStyle/>
              <a:p>
                <a:pPr>
                  <a:defRPr sz="1000" b="1" i="0" u="none" strike="noStrike" baseline="0">
                    <a:solidFill>
                      <a:srgbClr val="000000"/>
                    </a:solidFill>
                    <a:latin typeface="+mn-lt"/>
                    <a:ea typeface="Arial"/>
                    <a:cs typeface="Arial"/>
                  </a:defRPr>
                </a:pPr>
                <a:r>
                  <a:rPr lang="pl-PL" sz="1000" b="1">
                    <a:latin typeface="+mn-lt"/>
                  </a:rPr>
                  <a:t>pH</a:t>
                </a:r>
              </a:p>
            </c:rich>
          </c:tx>
          <c:layout>
            <c:manualLayout>
              <c:xMode val="edge"/>
              <c:yMode val="edge"/>
              <c:x val="5.8694323158692985E-3"/>
              <c:y val="0.32083833716878563"/>
            </c:manualLayout>
          </c:layout>
          <c:overlay val="0"/>
          <c:spPr>
            <a:noFill/>
            <a:ln w="25400">
              <a:noFill/>
            </a:ln>
          </c:spPr>
        </c:title>
        <c:numFmt formatCode="0.00"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mn-lt"/>
                <a:ea typeface="Arial"/>
                <a:cs typeface="Arial"/>
              </a:defRPr>
            </a:pPr>
            <a:endParaRPr lang="pl-PL"/>
          </a:p>
        </c:txPr>
        <c:crossAx val="1480620015"/>
        <c:crosses val="autoZero"/>
        <c:crossBetween val="between"/>
        <c:majorUnit val="0.2"/>
      </c:valAx>
      <c:spPr>
        <a:noFill/>
        <a:ln w="12700">
          <a:solidFill>
            <a:srgbClr val="808080"/>
          </a:solidFill>
          <a:prstDash val="solid"/>
        </a:ln>
      </c:spPr>
    </c:plotArea>
    <c:legend>
      <c:legendPos val="r"/>
      <c:layout>
        <c:manualLayout>
          <c:xMode val="edge"/>
          <c:yMode val="edge"/>
          <c:x val="0.27621292247251444"/>
          <c:y val="0.8461653365831151"/>
          <c:w val="0.46885369665870419"/>
          <c:h val="0.12529588440620182"/>
        </c:manualLayout>
      </c:layout>
      <c:overlay val="0"/>
      <c:spPr>
        <a:noFill/>
        <a:ln w="3175">
          <a:noFill/>
          <a:prstDash val="solid"/>
        </a:ln>
      </c:spPr>
      <c:txPr>
        <a:bodyPr/>
        <a:lstStyle/>
        <a:p>
          <a:pPr>
            <a:defRPr sz="1000" b="0" i="0" u="none" strike="noStrike" baseline="0">
              <a:solidFill>
                <a:srgbClr val="000000"/>
              </a:solidFill>
              <a:latin typeface="+mn-lt"/>
              <a:ea typeface="Arial"/>
              <a:cs typeface="Arial"/>
            </a:defRPr>
          </a:pPr>
          <a:endParaRPr lang="pl-PL"/>
        </a:p>
      </c:txPr>
    </c:legend>
    <c:plotVisOnly val="1"/>
    <c:dispBlanksAs val="gap"/>
    <c:showDLblsOverMax val="0"/>
  </c:chart>
  <c:spPr>
    <a:solidFill>
      <a:srgbClr val="FFFFFF"/>
    </a:solidFill>
    <a:ln w="3175">
      <a:noFill/>
      <a:prstDash val="solid"/>
    </a:ln>
  </c:spPr>
  <c:txPr>
    <a:bodyPr/>
    <a:lstStyle/>
    <a:p>
      <a:pPr>
        <a:defRPr sz="1550" b="0" i="0" u="none" strike="noStrike" baseline="0">
          <a:solidFill>
            <a:srgbClr val="000000"/>
          </a:solidFill>
          <a:latin typeface="Arial"/>
          <a:ea typeface="Arial"/>
          <a:cs typeface="Arial"/>
        </a:defRPr>
      </a:pPr>
      <a:endParaRPr lang="pl-PL"/>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0692038495188101E-2"/>
          <c:y val="0.11082039326089824"/>
          <c:w val="0.86486351706036746"/>
          <c:h val="0.55495300517602897"/>
        </c:manualLayout>
      </c:layout>
      <c:barChart>
        <c:barDir val="col"/>
        <c:grouping val="clustered"/>
        <c:varyColors val="0"/>
        <c:ser>
          <c:idx val="0"/>
          <c:order val="0"/>
          <c:tx>
            <c:strRef>
              <c:f>'Wykresy 2022'!$A$136</c:f>
              <c:strCache>
                <c:ptCount val="1"/>
                <c:pt idx="0">
                  <c:v>Kategoria I</c:v>
                </c:pt>
              </c:strCache>
            </c:strRef>
          </c:tx>
          <c:spPr>
            <a:solidFill>
              <a:schemeClr val="accent1"/>
            </a:solidFill>
            <a:ln>
              <a:noFill/>
            </a:ln>
            <a:effectLst/>
          </c:spPr>
          <c:invertIfNegative val="0"/>
          <c:cat>
            <c:strRef>
              <c:f>'Wykresy 2022'!$B$135:$Q$135</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'Wykresy 2022'!$B$136:$Q$136</c:f>
              <c:numCache>
                <c:formatCode>General</c:formatCode>
                <c:ptCount val="16"/>
                <c:pt idx="0">
                  <c:v>64</c:v>
                </c:pt>
                <c:pt idx="1">
                  <c:v>46</c:v>
                </c:pt>
                <c:pt idx="2">
                  <c:v>30</c:v>
                </c:pt>
                <c:pt idx="3">
                  <c:v>34</c:v>
                </c:pt>
                <c:pt idx="4">
                  <c:v>40</c:v>
                </c:pt>
                <c:pt idx="5">
                  <c:v>45</c:v>
                </c:pt>
                <c:pt idx="6">
                  <c:v>108</c:v>
                </c:pt>
                <c:pt idx="7">
                  <c:v>20</c:v>
                </c:pt>
                <c:pt idx="8">
                  <c:v>35</c:v>
                </c:pt>
                <c:pt idx="9">
                  <c:v>25</c:v>
                </c:pt>
                <c:pt idx="10">
                  <c:v>41</c:v>
                </c:pt>
                <c:pt idx="11">
                  <c:v>54</c:v>
                </c:pt>
                <c:pt idx="12">
                  <c:v>16</c:v>
                </c:pt>
                <c:pt idx="13">
                  <c:v>27</c:v>
                </c:pt>
                <c:pt idx="14">
                  <c:v>71</c:v>
                </c:pt>
                <c:pt idx="15">
                  <c:v>49</c:v>
                </c:pt>
              </c:numCache>
            </c:numRef>
          </c:val>
          <c:extLst>
            <c:ext xmlns:c16="http://schemas.microsoft.com/office/drawing/2014/chart" uri="{C3380CC4-5D6E-409C-BE32-E72D297353CC}">
              <c16:uniqueId val="{00000000-2479-4D38-8458-78917507988C}"/>
            </c:ext>
          </c:extLst>
        </c:ser>
        <c:ser>
          <c:idx val="1"/>
          <c:order val="1"/>
          <c:tx>
            <c:strRef>
              <c:f>'Wykresy 2022'!$A$137</c:f>
              <c:strCache>
                <c:ptCount val="1"/>
                <c:pt idx="0">
                  <c:v>Kategoria II</c:v>
                </c:pt>
              </c:strCache>
            </c:strRef>
          </c:tx>
          <c:spPr>
            <a:solidFill>
              <a:schemeClr val="accent2"/>
            </a:solidFill>
            <a:ln>
              <a:noFill/>
            </a:ln>
            <a:effectLst/>
          </c:spPr>
          <c:invertIfNegative val="0"/>
          <c:cat>
            <c:strRef>
              <c:f>'Wykresy 2022'!$B$135:$Q$135</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'Wykresy 2022'!$B$137:$Q$137</c:f>
              <c:numCache>
                <c:formatCode>General</c:formatCode>
                <c:ptCount val="16"/>
                <c:pt idx="0">
                  <c:v>207</c:v>
                </c:pt>
                <c:pt idx="1">
                  <c:v>111</c:v>
                </c:pt>
                <c:pt idx="2">
                  <c:v>54</c:v>
                </c:pt>
                <c:pt idx="3">
                  <c:v>33</c:v>
                </c:pt>
                <c:pt idx="4">
                  <c:v>266</c:v>
                </c:pt>
                <c:pt idx="5">
                  <c:v>94</c:v>
                </c:pt>
                <c:pt idx="6">
                  <c:v>416</c:v>
                </c:pt>
                <c:pt idx="7">
                  <c:v>124</c:v>
                </c:pt>
                <c:pt idx="8">
                  <c:v>68</c:v>
                </c:pt>
                <c:pt idx="9">
                  <c:v>78</c:v>
                </c:pt>
                <c:pt idx="10">
                  <c:v>117</c:v>
                </c:pt>
                <c:pt idx="11">
                  <c:v>245</c:v>
                </c:pt>
                <c:pt idx="12">
                  <c:v>104</c:v>
                </c:pt>
                <c:pt idx="13">
                  <c:v>45</c:v>
                </c:pt>
                <c:pt idx="14">
                  <c:v>342</c:v>
                </c:pt>
                <c:pt idx="15">
                  <c:v>71</c:v>
                </c:pt>
              </c:numCache>
            </c:numRef>
          </c:val>
          <c:extLst>
            <c:ext xmlns:c16="http://schemas.microsoft.com/office/drawing/2014/chart" uri="{C3380CC4-5D6E-409C-BE32-E72D297353CC}">
              <c16:uniqueId val="{00000001-2479-4D38-8458-78917507988C}"/>
            </c:ext>
          </c:extLst>
        </c:ser>
        <c:ser>
          <c:idx val="2"/>
          <c:order val="2"/>
          <c:tx>
            <c:strRef>
              <c:f>'Wykresy 2022'!$A$138</c:f>
              <c:strCache>
                <c:ptCount val="1"/>
                <c:pt idx="0">
                  <c:v>Kategoria III</c:v>
                </c:pt>
              </c:strCache>
            </c:strRef>
          </c:tx>
          <c:spPr>
            <a:solidFill>
              <a:schemeClr val="accent3"/>
            </a:solidFill>
            <a:ln>
              <a:noFill/>
            </a:ln>
            <a:effectLst/>
          </c:spPr>
          <c:invertIfNegative val="0"/>
          <c:cat>
            <c:strRef>
              <c:f>'Wykresy 2022'!$B$135:$Q$135</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'Wykresy 2022'!$B$138:$Q$138</c:f>
              <c:numCache>
                <c:formatCode>General</c:formatCode>
                <c:ptCount val="16"/>
                <c:pt idx="0">
                  <c:v>576</c:v>
                </c:pt>
                <c:pt idx="1">
                  <c:v>649</c:v>
                </c:pt>
                <c:pt idx="2">
                  <c:v>496</c:v>
                </c:pt>
                <c:pt idx="3">
                  <c:v>350</c:v>
                </c:pt>
                <c:pt idx="4">
                  <c:v>483</c:v>
                </c:pt>
                <c:pt idx="5">
                  <c:v>861</c:v>
                </c:pt>
                <c:pt idx="6">
                  <c:v>2072</c:v>
                </c:pt>
                <c:pt idx="7">
                  <c:v>709</c:v>
                </c:pt>
                <c:pt idx="8">
                  <c:v>388</c:v>
                </c:pt>
                <c:pt idx="9">
                  <c:v>690</c:v>
                </c:pt>
                <c:pt idx="10">
                  <c:v>401</c:v>
                </c:pt>
                <c:pt idx="11">
                  <c:v>1025</c:v>
                </c:pt>
                <c:pt idx="12">
                  <c:v>200</c:v>
                </c:pt>
                <c:pt idx="13">
                  <c:v>431</c:v>
                </c:pt>
                <c:pt idx="14">
                  <c:v>1479</c:v>
                </c:pt>
                <c:pt idx="15">
                  <c:v>473</c:v>
                </c:pt>
              </c:numCache>
            </c:numRef>
          </c:val>
          <c:extLst>
            <c:ext xmlns:c16="http://schemas.microsoft.com/office/drawing/2014/chart" uri="{C3380CC4-5D6E-409C-BE32-E72D297353CC}">
              <c16:uniqueId val="{00000002-2479-4D38-8458-78917507988C}"/>
            </c:ext>
          </c:extLst>
        </c:ser>
        <c:ser>
          <c:idx val="3"/>
          <c:order val="3"/>
          <c:tx>
            <c:strRef>
              <c:f>'Wykresy 2022'!$A$139</c:f>
              <c:strCache>
                <c:ptCount val="1"/>
                <c:pt idx="0">
                  <c:v>Kategoria IV</c:v>
                </c:pt>
              </c:strCache>
            </c:strRef>
          </c:tx>
          <c:spPr>
            <a:solidFill>
              <a:schemeClr val="accent4"/>
            </a:solidFill>
            <a:ln>
              <a:noFill/>
            </a:ln>
            <a:effectLst/>
          </c:spPr>
          <c:invertIfNegative val="0"/>
          <c:cat>
            <c:strRef>
              <c:f>'Wykresy 2022'!$B$135:$Q$135</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'Wykresy 2022'!$B$139:$Q$139</c:f>
              <c:numCache>
                <c:formatCode>General</c:formatCode>
                <c:ptCount val="16"/>
                <c:pt idx="0">
                  <c:v>4382</c:v>
                </c:pt>
                <c:pt idx="1">
                  <c:v>2760</c:v>
                </c:pt>
                <c:pt idx="2">
                  <c:v>3797</c:v>
                </c:pt>
                <c:pt idx="3">
                  <c:v>2587</c:v>
                </c:pt>
                <c:pt idx="4">
                  <c:v>5078</c:v>
                </c:pt>
                <c:pt idx="5">
                  <c:v>5633</c:v>
                </c:pt>
                <c:pt idx="6">
                  <c:v>10596</c:v>
                </c:pt>
                <c:pt idx="7">
                  <c:v>1380</c:v>
                </c:pt>
                <c:pt idx="8">
                  <c:v>3633</c:v>
                </c:pt>
                <c:pt idx="9">
                  <c:v>3517</c:v>
                </c:pt>
                <c:pt idx="10">
                  <c:v>1640</c:v>
                </c:pt>
                <c:pt idx="11">
                  <c:v>2885</c:v>
                </c:pt>
                <c:pt idx="12">
                  <c:v>984</c:v>
                </c:pt>
                <c:pt idx="13">
                  <c:v>2066</c:v>
                </c:pt>
                <c:pt idx="14">
                  <c:v>6852</c:v>
                </c:pt>
                <c:pt idx="15">
                  <c:v>2713</c:v>
                </c:pt>
              </c:numCache>
            </c:numRef>
          </c:val>
          <c:extLst>
            <c:ext xmlns:c16="http://schemas.microsoft.com/office/drawing/2014/chart" uri="{C3380CC4-5D6E-409C-BE32-E72D297353CC}">
              <c16:uniqueId val="{00000003-2479-4D38-8458-78917507988C}"/>
            </c:ext>
          </c:extLst>
        </c:ser>
        <c:ser>
          <c:idx val="4"/>
          <c:order val="4"/>
          <c:tx>
            <c:strRef>
              <c:f>'Wykresy 2022'!$A$140</c:f>
              <c:strCache>
                <c:ptCount val="1"/>
                <c:pt idx="0">
                  <c:v>Kategoria V</c:v>
                </c:pt>
              </c:strCache>
            </c:strRef>
          </c:tx>
          <c:spPr>
            <a:solidFill>
              <a:schemeClr val="accent5"/>
            </a:solidFill>
            <a:ln>
              <a:noFill/>
            </a:ln>
            <a:effectLst/>
          </c:spPr>
          <c:invertIfNegative val="0"/>
          <c:cat>
            <c:strRef>
              <c:f>'Wykresy 2022'!$B$135:$Q$135</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'Wykresy 2022'!$B$140:$Q$140</c:f>
              <c:numCache>
                <c:formatCode>General</c:formatCode>
                <c:ptCount val="16"/>
                <c:pt idx="0">
                  <c:v>5991</c:v>
                </c:pt>
                <c:pt idx="1">
                  <c:v>5021</c:v>
                </c:pt>
                <c:pt idx="2">
                  <c:v>4674</c:v>
                </c:pt>
                <c:pt idx="3">
                  <c:v>4041</c:v>
                </c:pt>
                <c:pt idx="4">
                  <c:v>6078</c:v>
                </c:pt>
                <c:pt idx="5">
                  <c:v>8710</c:v>
                </c:pt>
                <c:pt idx="6">
                  <c:v>11136</c:v>
                </c:pt>
                <c:pt idx="7">
                  <c:v>2418</c:v>
                </c:pt>
                <c:pt idx="8">
                  <c:v>6518</c:v>
                </c:pt>
                <c:pt idx="9">
                  <c:v>4791</c:v>
                </c:pt>
                <c:pt idx="10">
                  <c:v>6577</c:v>
                </c:pt>
                <c:pt idx="11">
                  <c:v>5934</c:v>
                </c:pt>
                <c:pt idx="12">
                  <c:v>2657</c:v>
                </c:pt>
                <c:pt idx="13">
                  <c:v>4563</c:v>
                </c:pt>
                <c:pt idx="14">
                  <c:v>6477</c:v>
                </c:pt>
                <c:pt idx="15">
                  <c:v>3500</c:v>
                </c:pt>
              </c:numCache>
            </c:numRef>
          </c:val>
          <c:extLst>
            <c:ext xmlns:c16="http://schemas.microsoft.com/office/drawing/2014/chart" uri="{C3380CC4-5D6E-409C-BE32-E72D297353CC}">
              <c16:uniqueId val="{00000004-2479-4D38-8458-78917507988C}"/>
            </c:ext>
          </c:extLst>
        </c:ser>
        <c:dLbls>
          <c:showLegendKey val="0"/>
          <c:showVal val="0"/>
          <c:showCatName val="0"/>
          <c:showSerName val="0"/>
          <c:showPercent val="0"/>
          <c:showBubbleSize val="0"/>
        </c:dLbls>
        <c:gapWidth val="219"/>
        <c:overlap val="-27"/>
        <c:axId val="1501323536"/>
        <c:axId val="1501325200"/>
        <c:extLst/>
      </c:barChart>
      <c:catAx>
        <c:axId val="1501323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1501325200"/>
        <c:crosses val="autoZero"/>
        <c:auto val="1"/>
        <c:lblAlgn val="ctr"/>
        <c:lblOffset val="100"/>
        <c:noMultiLvlLbl val="0"/>
      </c:catAx>
      <c:valAx>
        <c:axId val="1501325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1501323536"/>
        <c:crosses val="autoZero"/>
        <c:crossBetween val="between"/>
      </c:valAx>
      <c:spPr>
        <a:noFill/>
        <a:ln>
          <a:noFill/>
        </a:ln>
        <a:effectLst/>
      </c:spPr>
    </c:plotArea>
    <c:legend>
      <c:legendPos val="b"/>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wykresy!$B$41</c:f>
              <c:strCache>
                <c:ptCount val="1"/>
                <c:pt idx="0">
                  <c:v>badania zaplanowane</c:v>
                </c:pt>
              </c:strCache>
            </c:strRef>
          </c:tx>
          <c:spPr>
            <a:solidFill>
              <a:srgbClr val="00B0F0"/>
            </a:solidFill>
            <a:ln>
              <a:solidFill>
                <a:srgbClr val="0070C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wykresy!$A$42:$A$57</c:f>
              <c:strCache>
                <c:ptCount val="16"/>
                <c:pt idx="0">
                  <c:v>zachodniopomorskie</c:v>
                </c:pt>
                <c:pt idx="1">
                  <c:v>pomorskie</c:v>
                </c:pt>
                <c:pt idx="2">
                  <c:v>warmińsko-mazurskie</c:v>
                </c:pt>
                <c:pt idx="3">
                  <c:v>lubuskie</c:v>
                </c:pt>
                <c:pt idx="4">
                  <c:v>wielkopolskie</c:v>
                </c:pt>
                <c:pt idx="5">
                  <c:v>kujawsko-pomorskie</c:v>
                </c:pt>
                <c:pt idx="6">
                  <c:v>mazowieckie</c:v>
                </c:pt>
                <c:pt idx="7">
                  <c:v>podlaskie</c:v>
                </c:pt>
                <c:pt idx="8">
                  <c:v>łódzkie</c:v>
                </c:pt>
                <c:pt idx="9">
                  <c:v>świętokrzyskie</c:v>
                </c:pt>
                <c:pt idx="10">
                  <c:v>lubelskie</c:v>
                </c:pt>
                <c:pt idx="11">
                  <c:v>opolskie</c:v>
                </c:pt>
                <c:pt idx="12">
                  <c:v>śląskie</c:v>
                </c:pt>
                <c:pt idx="13">
                  <c:v>dolnośląskie</c:v>
                </c:pt>
                <c:pt idx="14">
                  <c:v>małopolskie</c:v>
                </c:pt>
                <c:pt idx="15">
                  <c:v>podkarpackie</c:v>
                </c:pt>
              </c:strCache>
            </c:strRef>
          </c:cat>
          <c:val>
            <c:numRef>
              <c:f>wykresy!$B$42:$B$57</c:f>
              <c:numCache>
                <c:formatCode>General</c:formatCode>
                <c:ptCount val="16"/>
                <c:pt idx="0">
                  <c:v>160</c:v>
                </c:pt>
                <c:pt idx="1">
                  <c:v>132</c:v>
                </c:pt>
                <c:pt idx="2">
                  <c:v>156</c:v>
                </c:pt>
                <c:pt idx="3">
                  <c:v>108</c:v>
                </c:pt>
                <c:pt idx="4">
                  <c:v>160</c:v>
                </c:pt>
                <c:pt idx="5">
                  <c:v>75</c:v>
                </c:pt>
                <c:pt idx="6">
                  <c:v>217</c:v>
                </c:pt>
                <c:pt idx="7">
                  <c:v>176</c:v>
                </c:pt>
                <c:pt idx="8">
                  <c:v>126</c:v>
                </c:pt>
                <c:pt idx="9">
                  <c:v>68</c:v>
                </c:pt>
                <c:pt idx="10">
                  <c:v>115</c:v>
                </c:pt>
                <c:pt idx="11">
                  <c:v>116</c:v>
                </c:pt>
                <c:pt idx="12">
                  <c:v>103</c:v>
                </c:pt>
                <c:pt idx="13">
                  <c:v>212</c:v>
                </c:pt>
                <c:pt idx="14">
                  <c:v>143</c:v>
                </c:pt>
                <c:pt idx="15">
                  <c:v>133</c:v>
                </c:pt>
              </c:numCache>
            </c:numRef>
          </c:val>
          <c:extLst>
            <c:ext xmlns:c16="http://schemas.microsoft.com/office/drawing/2014/chart" uri="{C3380CC4-5D6E-409C-BE32-E72D297353CC}">
              <c16:uniqueId val="{00000000-33BD-47F9-84FB-89C5DC7BAB35}"/>
            </c:ext>
          </c:extLst>
        </c:ser>
        <c:ser>
          <c:idx val="1"/>
          <c:order val="1"/>
          <c:tx>
            <c:strRef>
              <c:f>wykresy!$E$41</c:f>
              <c:strCache>
                <c:ptCount val="1"/>
                <c:pt idx="0">
                  <c:v>badania zrealizowane</c:v>
                </c:pt>
              </c:strCache>
            </c:strRef>
          </c:tx>
          <c:spPr>
            <a:solidFill>
              <a:srgbClr val="92D050"/>
            </a:solidFill>
            <a:ln>
              <a:solidFill>
                <a:srgbClr val="00B05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wykresy!$A$42:$A$57</c:f>
              <c:strCache>
                <c:ptCount val="16"/>
                <c:pt idx="0">
                  <c:v>zachodniopomorskie</c:v>
                </c:pt>
                <c:pt idx="1">
                  <c:v>pomorskie</c:v>
                </c:pt>
                <c:pt idx="2">
                  <c:v>warmińsko-mazurskie</c:v>
                </c:pt>
                <c:pt idx="3">
                  <c:v>lubuskie</c:v>
                </c:pt>
                <c:pt idx="4">
                  <c:v>wielkopolskie</c:v>
                </c:pt>
                <c:pt idx="5">
                  <c:v>kujawsko-pomorskie</c:v>
                </c:pt>
                <c:pt idx="6">
                  <c:v>mazowieckie</c:v>
                </c:pt>
                <c:pt idx="7">
                  <c:v>podlaskie</c:v>
                </c:pt>
                <c:pt idx="8">
                  <c:v>łódzkie</c:v>
                </c:pt>
                <c:pt idx="9">
                  <c:v>świętokrzyskie</c:v>
                </c:pt>
                <c:pt idx="10">
                  <c:v>lubelskie</c:v>
                </c:pt>
                <c:pt idx="11">
                  <c:v>opolskie</c:v>
                </c:pt>
                <c:pt idx="12">
                  <c:v>śląskie</c:v>
                </c:pt>
                <c:pt idx="13">
                  <c:v>dolnośląskie</c:v>
                </c:pt>
                <c:pt idx="14">
                  <c:v>małopolskie</c:v>
                </c:pt>
                <c:pt idx="15">
                  <c:v>podkarpackie</c:v>
                </c:pt>
              </c:strCache>
            </c:strRef>
          </c:cat>
          <c:val>
            <c:numRef>
              <c:f>wykresy!$E$42:$E$57</c:f>
              <c:numCache>
                <c:formatCode>General</c:formatCode>
                <c:ptCount val="16"/>
                <c:pt idx="0">
                  <c:v>158</c:v>
                </c:pt>
                <c:pt idx="1">
                  <c:v>132</c:v>
                </c:pt>
                <c:pt idx="2">
                  <c:v>138</c:v>
                </c:pt>
                <c:pt idx="3">
                  <c:v>108</c:v>
                </c:pt>
                <c:pt idx="4">
                  <c:v>160</c:v>
                </c:pt>
                <c:pt idx="5">
                  <c:v>71</c:v>
                </c:pt>
                <c:pt idx="6">
                  <c:v>198</c:v>
                </c:pt>
                <c:pt idx="7">
                  <c:v>175</c:v>
                </c:pt>
                <c:pt idx="8">
                  <c:v>126</c:v>
                </c:pt>
                <c:pt idx="9">
                  <c:v>68</c:v>
                </c:pt>
                <c:pt idx="10">
                  <c:v>115</c:v>
                </c:pt>
                <c:pt idx="11">
                  <c:v>116</c:v>
                </c:pt>
                <c:pt idx="12">
                  <c:v>103</c:v>
                </c:pt>
                <c:pt idx="13">
                  <c:v>206</c:v>
                </c:pt>
                <c:pt idx="14">
                  <c:v>143</c:v>
                </c:pt>
                <c:pt idx="15">
                  <c:v>133</c:v>
                </c:pt>
              </c:numCache>
            </c:numRef>
          </c:val>
          <c:extLst>
            <c:ext xmlns:c16="http://schemas.microsoft.com/office/drawing/2014/chart" uri="{C3380CC4-5D6E-409C-BE32-E72D297353CC}">
              <c16:uniqueId val="{00000001-33BD-47F9-84FB-89C5DC7BAB35}"/>
            </c:ext>
          </c:extLst>
        </c:ser>
        <c:dLbls>
          <c:showLegendKey val="0"/>
          <c:showVal val="0"/>
          <c:showCatName val="0"/>
          <c:showSerName val="0"/>
          <c:showPercent val="0"/>
          <c:showBubbleSize val="0"/>
        </c:dLbls>
        <c:gapWidth val="100"/>
        <c:overlap val="-24"/>
        <c:axId val="713047512"/>
        <c:axId val="713051776"/>
      </c:barChart>
      <c:catAx>
        <c:axId val="71304751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pl-PL"/>
          </a:p>
        </c:txPr>
        <c:crossAx val="713051776"/>
        <c:crosses val="autoZero"/>
        <c:auto val="1"/>
        <c:lblAlgn val="ctr"/>
        <c:lblOffset val="100"/>
        <c:noMultiLvlLbl val="0"/>
      </c:catAx>
      <c:valAx>
        <c:axId val="713051776"/>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pl-PL"/>
          </a:p>
        </c:txPr>
        <c:crossAx val="713047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l-PL"/>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wykresy!$B$61</c:f>
              <c:strCache>
                <c:ptCount val="1"/>
                <c:pt idx="0">
                  <c:v>badania zaplanowane</c:v>
                </c:pt>
              </c:strCache>
            </c:strRef>
          </c:tx>
          <c:spPr>
            <a:solidFill>
              <a:srgbClr val="00B0F0"/>
            </a:solidFill>
            <a:ln>
              <a:solidFill>
                <a:srgbClr val="0070C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wykresy!$A$62:$A$70</c:f>
              <c:strCache>
                <c:ptCount val="9"/>
                <c:pt idx="0">
                  <c:v>zachodniopomorskie</c:v>
                </c:pt>
                <c:pt idx="1">
                  <c:v>pomorskie</c:v>
                </c:pt>
                <c:pt idx="2">
                  <c:v>warmińsko-mazurskie</c:v>
                </c:pt>
                <c:pt idx="3">
                  <c:v>lubuskie</c:v>
                </c:pt>
                <c:pt idx="4">
                  <c:v>wielkopolskie</c:v>
                </c:pt>
                <c:pt idx="5">
                  <c:v>kujawsko-pomorskie</c:v>
                </c:pt>
                <c:pt idx="6">
                  <c:v>mazowieckie</c:v>
                </c:pt>
                <c:pt idx="7">
                  <c:v>podlaskie</c:v>
                </c:pt>
                <c:pt idx="8">
                  <c:v>lubelskie</c:v>
                </c:pt>
              </c:strCache>
            </c:strRef>
          </c:cat>
          <c:val>
            <c:numRef>
              <c:f>wykresy!$B$62:$B$70</c:f>
              <c:numCache>
                <c:formatCode>General</c:formatCode>
                <c:ptCount val="9"/>
                <c:pt idx="0">
                  <c:v>96</c:v>
                </c:pt>
                <c:pt idx="1">
                  <c:v>80</c:v>
                </c:pt>
                <c:pt idx="2">
                  <c:v>171</c:v>
                </c:pt>
                <c:pt idx="3">
                  <c:v>35</c:v>
                </c:pt>
                <c:pt idx="4">
                  <c:v>86</c:v>
                </c:pt>
                <c:pt idx="5">
                  <c:v>98</c:v>
                </c:pt>
                <c:pt idx="6">
                  <c:v>6</c:v>
                </c:pt>
                <c:pt idx="7">
                  <c:v>49</c:v>
                </c:pt>
                <c:pt idx="8">
                  <c:v>13</c:v>
                </c:pt>
              </c:numCache>
            </c:numRef>
          </c:val>
          <c:extLst>
            <c:ext xmlns:c16="http://schemas.microsoft.com/office/drawing/2014/chart" uri="{C3380CC4-5D6E-409C-BE32-E72D297353CC}">
              <c16:uniqueId val="{00000000-E8E7-455D-9102-AD39A07C2AD5}"/>
            </c:ext>
          </c:extLst>
        </c:ser>
        <c:ser>
          <c:idx val="1"/>
          <c:order val="1"/>
          <c:tx>
            <c:strRef>
              <c:f>wykresy!$C$61</c:f>
              <c:strCache>
                <c:ptCount val="1"/>
                <c:pt idx="0">
                  <c:v>badania zrealizowane</c:v>
                </c:pt>
              </c:strCache>
            </c:strRef>
          </c:tx>
          <c:spPr>
            <a:solidFill>
              <a:srgbClr val="92D050"/>
            </a:solidFill>
            <a:ln>
              <a:solidFill>
                <a:srgbClr val="00B05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pl-PL"/>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wykresy!$A$62:$A$70</c:f>
              <c:strCache>
                <c:ptCount val="9"/>
                <c:pt idx="0">
                  <c:v>zachodniopomorskie</c:v>
                </c:pt>
                <c:pt idx="1">
                  <c:v>pomorskie</c:v>
                </c:pt>
                <c:pt idx="2">
                  <c:v>warmińsko-mazurskie</c:v>
                </c:pt>
                <c:pt idx="3">
                  <c:v>lubuskie</c:v>
                </c:pt>
                <c:pt idx="4">
                  <c:v>wielkopolskie</c:v>
                </c:pt>
                <c:pt idx="5">
                  <c:v>kujawsko-pomorskie</c:v>
                </c:pt>
                <c:pt idx="6">
                  <c:v>mazowieckie</c:v>
                </c:pt>
                <c:pt idx="7">
                  <c:v>podlaskie</c:v>
                </c:pt>
                <c:pt idx="8">
                  <c:v>lubelskie</c:v>
                </c:pt>
              </c:strCache>
            </c:strRef>
          </c:cat>
          <c:val>
            <c:numRef>
              <c:f>wykresy!$C$62:$C$70</c:f>
              <c:numCache>
                <c:formatCode>General</c:formatCode>
                <c:ptCount val="9"/>
                <c:pt idx="0">
                  <c:v>20</c:v>
                </c:pt>
                <c:pt idx="1">
                  <c:v>51</c:v>
                </c:pt>
                <c:pt idx="2">
                  <c:v>35</c:v>
                </c:pt>
                <c:pt idx="3">
                  <c:v>35</c:v>
                </c:pt>
                <c:pt idx="4">
                  <c:v>83</c:v>
                </c:pt>
                <c:pt idx="5">
                  <c:v>53</c:v>
                </c:pt>
                <c:pt idx="6">
                  <c:v>6</c:v>
                </c:pt>
                <c:pt idx="7">
                  <c:v>49</c:v>
                </c:pt>
                <c:pt idx="8">
                  <c:v>13</c:v>
                </c:pt>
              </c:numCache>
            </c:numRef>
          </c:val>
          <c:extLst>
            <c:ext xmlns:c16="http://schemas.microsoft.com/office/drawing/2014/chart" uri="{C3380CC4-5D6E-409C-BE32-E72D297353CC}">
              <c16:uniqueId val="{00000001-E8E7-455D-9102-AD39A07C2AD5}"/>
            </c:ext>
          </c:extLst>
        </c:ser>
        <c:dLbls>
          <c:showLegendKey val="0"/>
          <c:showVal val="0"/>
          <c:showCatName val="0"/>
          <c:showSerName val="0"/>
          <c:showPercent val="0"/>
          <c:showBubbleSize val="0"/>
        </c:dLbls>
        <c:gapWidth val="100"/>
        <c:overlap val="-24"/>
        <c:axId val="526604888"/>
        <c:axId val="526599968"/>
      </c:barChart>
      <c:catAx>
        <c:axId val="52660488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pl-PL"/>
          </a:p>
        </c:txPr>
        <c:crossAx val="526599968"/>
        <c:crosses val="autoZero"/>
        <c:auto val="1"/>
        <c:lblAlgn val="ctr"/>
        <c:lblOffset val="100"/>
        <c:noMultiLvlLbl val="0"/>
      </c:catAx>
      <c:valAx>
        <c:axId val="526599968"/>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pl-PL"/>
          </a:p>
        </c:txPr>
        <c:crossAx val="526604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l-PL"/>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b="1">
                <a:latin typeface="Times New Roman" panose="02020603050405020304" pitchFamily="18" charset="0"/>
                <a:cs typeface="Times New Roman" panose="02020603050405020304" pitchFamily="18" charset="0"/>
              </a:defRPr>
            </a:pPr>
            <a:r>
              <a:rPr lang="pl-PL" sz="1100" b="1" i="0" baseline="0">
                <a:effectLst/>
                <a:latin typeface="Times New Roman" panose="02020603050405020304" pitchFamily="18" charset="0"/>
                <a:cs typeface="Times New Roman" panose="02020603050405020304" pitchFamily="18" charset="0"/>
              </a:rPr>
              <a:t>Ocena jakości osadów rzecznych wg </a:t>
            </a:r>
            <a:r>
              <a:rPr lang="pl-PL" sz="1100" b="1" i="0" u="none" strike="noStrike" baseline="0">
                <a:effectLst/>
                <a:latin typeface="Times New Roman" panose="02020603050405020304" pitchFamily="18" charset="0"/>
                <a:cs typeface="Times New Roman" panose="02020603050405020304" pitchFamily="18" charset="0"/>
              </a:rPr>
              <a:t>kryterium ekotoksykologicznego EQS</a:t>
            </a:r>
            <a:endParaRPr lang="pl-PL" sz="1100" b="1">
              <a:effectLst/>
              <a:latin typeface="Times New Roman" panose="02020603050405020304" pitchFamily="18" charset="0"/>
              <a:cs typeface="Times New Roman" panose="02020603050405020304" pitchFamily="18" charset="0"/>
            </a:endParaRPr>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invertIfNegative val="0"/>
          <c:dPt>
            <c:idx val="0"/>
            <c:invertIfNegative val="0"/>
            <c:bubble3D val="0"/>
            <c:spPr>
              <a:solidFill>
                <a:srgbClr val="CCFF99"/>
              </a:solidFill>
            </c:spPr>
            <c:extLst>
              <c:ext xmlns:c16="http://schemas.microsoft.com/office/drawing/2014/chart" uri="{C3380CC4-5D6E-409C-BE32-E72D297353CC}">
                <c16:uniqueId val="{00000001-ADCF-49D9-A611-49127F986AFE}"/>
              </c:ext>
            </c:extLst>
          </c:dPt>
          <c:dPt>
            <c:idx val="1"/>
            <c:invertIfNegative val="0"/>
            <c:bubble3D val="0"/>
            <c:spPr>
              <a:solidFill>
                <a:srgbClr val="FF9999"/>
              </a:solidFill>
            </c:spPr>
            <c:extLst>
              <c:ext xmlns:c16="http://schemas.microsoft.com/office/drawing/2014/chart" uri="{C3380CC4-5D6E-409C-BE32-E72D297353CC}">
                <c16:uniqueId val="{00000003-ADCF-49D9-A611-49127F986AFE}"/>
              </c:ext>
            </c:extLst>
          </c:dPt>
          <c:dPt>
            <c:idx val="2"/>
            <c:invertIfNegative val="0"/>
            <c:bubble3D val="0"/>
            <c:spPr>
              <a:solidFill>
                <a:srgbClr val="FFFF99"/>
              </a:solidFill>
            </c:spPr>
            <c:extLst>
              <c:ext xmlns:c16="http://schemas.microsoft.com/office/drawing/2014/chart" uri="{C3380CC4-5D6E-409C-BE32-E72D297353CC}">
                <c16:uniqueId val="{00000005-ADCF-49D9-A611-49127F986AFE}"/>
              </c:ext>
            </c:extLst>
          </c:dPt>
          <c:dPt>
            <c:idx val="3"/>
            <c:invertIfNegative val="0"/>
            <c:bubble3D val="0"/>
            <c:spPr>
              <a:solidFill>
                <a:srgbClr val="FFCC66"/>
              </a:solidFill>
            </c:spPr>
            <c:extLst>
              <c:ext xmlns:c16="http://schemas.microsoft.com/office/drawing/2014/chart" uri="{C3380CC4-5D6E-409C-BE32-E72D297353CC}">
                <c16:uniqueId val="{00000007-ADCF-49D9-A611-49127F986AFE}"/>
              </c:ext>
            </c:extLst>
          </c:dPt>
          <c:dPt>
            <c:idx val="4"/>
            <c:invertIfNegative val="0"/>
            <c:bubble3D val="0"/>
            <c:spPr>
              <a:solidFill>
                <a:srgbClr val="FF9999"/>
              </a:solidFill>
            </c:spPr>
            <c:extLst>
              <c:ext xmlns:c16="http://schemas.microsoft.com/office/drawing/2014/chart" uri="{C3380CC4-5D6E-409C-BE32-E72D297353CC}">
                <c16:uniqueId val="{00000009-ADCF-49D9-A611-49127F986AFE}"/>
              </c:ext>
            </c:extLst>
          </c:dPt>
          <c:cat>
            <c:strRef>
              <c:f>WYKRESY!$A$4:$A$5</c:f>
              <c:strCache>
                <c:ptCount val="2"/>
                <c:pt idx="0">
                  <c:v>niezanieczyszczony</c:v>
                </c:pt>
                <c:pt idx="1">
                  <c:v>zanieczyszczony</c:v>
                </c:pt>
              </c:strCache>
            </c:strRef>
          </c:cat>
          <c:val>
            <c:numRef>
              <c:f>WYKRESY!$B$4:$B$5</c:f>
              <c:numCache>
                <c:formatCode>General</c:formatCode>
                <c:ptCount val="2"/>
                <c:pt idx="0">
                  <c:v>159</c:v>
                </c:pt>
                <c:pt idx="1">
                  <c:v>85</c:v>
                </c:pt>
              </c:numCache>
            </c:numRef>
          </c:val>
          <c:extLst>
            <c:ext xmlns:c16="http://schemas.microsoft.com/office/drawing/2014/chart" uri="{C3380CC4-5D6E-409C-BE32-E72D297353CC}">
              <c16:uniqueId val="{0000000A-ADCF-49D9-A611-49127F986AFE}"/>
            </c:ext>
          </c:extLst>
        </c:ser>
        <c:dLbls>
          <c:showLegendKey val="0"/>
          <c:showVal val="0"/>
          <c:showCatName val="0"/>
          <c:showSerName val="0"/>
          <c:showPercent val="0"/>
          <c:showBubbleSize val="0"/>
        </c:dLbls>
        <c:gapWidth val="150"/>
        <c:shape val="box"/>
        <c:axId val="103208064"/>
        <c:axId val="103209600"/>
        <c:axId val="0"/>
      </c:bar3DChart>
      <c:catAx>
        <c:axId val="103208064"/>
        <c:scaling>
          <c:orientation val="minMax"/>
        </c:scaling>
        <c:delete val="0"/>
        <c:axPos val="b"/>
        <c:numFmt formatCode="General" sourceLinked="0"/>
        <c:majorTickMark val="out"/>
        <c:minorTickMark val="none"/>
        <c:tickLblPos val="nextTo"/>
        <c:txPr>
          <a:bodyPr/>
          <a:lstStyle/>
          <a:p>
            <a:pPr>
              <a:defRPr sz="900">
                <a:latin typeface="Times New Roman" panose="02020603050405020304" pitchFamily="18" charset="0"/>
                <a:cs typeface="Times New Roman" panose="02020603050405020304" pitchFamily="18" charset="0"/>
              </a:defRPr>
            </a:pPr>
            <a:endParaRPr lang="pl-PL"/>
          </a:p>
        </c:txPr>
        <c:crossAx val="103209600"/>
        <c:crosses val="autoZero"/>
        <c:auto val="1"/>
        <c:lblAlgn val="ctr"/>
        <c:lblOffset val="100"/>
        <c:noMultiLvlLbl val="0"/>
      </c:catAx>
      <c:valAx>
        <c:axId val="103209600"/>
        <c:scaling>
          <c:orientation val="minMax"/>
        </c:scaling>
        <c:delete val="0"/>
        <c:axPos val="l"/>
        <c:majorGridlines/>
        <c:numFmt formatCode="General" sourceLinked="1"/>
        <c:majorTickMark val="out"/>
        <c:minorTickMark val="none"/>
        <c:tickLblPos val="nextTo"/>
        <c:txPr>
          <a:bodyPr/>
          <a:lstStyle/>
          <a:p>
            <a:pPr>
              <a:defRPr sz="900" b="1">
                <a:latin typeface="Times New Roman" panose="02020603050405020304" pitchFamily="18" charset="0"/>
                <a:cs typeface="Times New Roman" panose="02020603050405020304" pitchFamily="18" charset="0"/>
              </a:defRPr>
            </a:pPr>
            <a:endParaRPr lang="pl-PL"/>
          </a:p>
        </c:txPr>
        <c:crossAx val="103208064"/>
        <c:crosses val="autoZero"/>
        <c:crossBetween val="between"/>
      </c:valAx>
    </c:plotArea>
    <c:plotVisOnly val="1"/>
    <c:dispBlanksAs val="gap"/>
    <c:showDLblsOverMax val="0"/>
  </c:chart>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b="1">
                <a:latin typeface="Times New Roman" panose="02020603050405020304" pitchFamily="18" charset="0"/>
                <a:cs typeface="Times New Roman" panose="02020603050405020304" pitchFamily="18" charset="0"/>
              </a:defRPr>
            </a:pPr>
            <a:r>
              <a:rPr lang="pl-PL" sz="1100" b="1" i="0" baseline="0">
                <a:effectLst/>
                <a:latin typeface="Times New Roman" panose="02020603050405020304" pitchFamily="18" charset="0"/>
                <a:cs typeface="Times New Roman" panose="02020603050405020304" pitchFamily="18" charset="0"/>
              </a:rPr>
              <a:t>Ocena jakości osadów rzecznych wg kryterium </a:t>
            </a:r>
            <a:r>
              <a:rPr lang="pl-PL" sz="1100" b="1" i="0" u="none" strike="noStrike" baseline="0">
                <a:effectLst/>
                <a:latin typeface="Times New Roman" panose="02020603050405020304" pitchFamily="18" charset="0"/>
                <a:cs typeface="Times New Roman" panose="02020603050405020304" pitchFamily="18" charset="0"/>
              </a:rPr>
              <a:t>ekotoksykologicznego</a:t>
            </a:r>
            <a:endParaRPr lang="pl-PL" sz="1100" b="1">
              <a:effectLst/>
              <a:latin typeface="Times New Roman" panose="02020603050405020304" pitchFamily="18" charset="0"/>
              <a:cs typeface="Times New Roman" panose="02020603050405020304" pitchFamily="18" charset="0"/>
            </a:endParaRPr>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invertIfNegative val="0"/>
          <c:dPt>
            <c:idx val="0"/>
            <c:invertIfNegative val="0"/>
            <c:bubble3D val="0"/>
            <c:spPr>
              <a:solidFill>
                <a:srgbClr val="CCFF99"/>
              </a:solidFill>
            </c:spPr>
            <c:extLst>
              <c:ext xmlns:c16="http://schemas.microsoft.com/office/drawing/2014/chart" uri="{C3380CC4-5D6E-409C-BE32-E72D297353CC}">
                <c16:uniqueId val="{00000001-6708-46ED-AB16-81958ED04D08}"/>
              </c:ext>
            </c:extLst>
          </c:dPt>
          <c:dPt>
            <c:idx val="1"/>
            <c:invertIfNegative val="0"/>
            <c:bubble3D val="0"/>
            <c:spPr>
              <a:solidFill>
                <a:srgbClr val="FFFF99"/>
              </a:solidFill>
            </c:spPr>
            <c:extLst>
              <c:ext xmlns:c16="http://schemas.microsoft.com/office/drawing/2014/chart" uri="{C3380CC4-5D6E-409C-BE32-E72D297353CC}">
                <c16:uniqueId val="{00000003-6708-46ED-AB16-81958ED04D08}"/>
              </c:ext>
            </c:extLst>
          </c:dPt>
          <c:dPt>
            <c:idx val="2"/>
            <c:invertIfNegative val="0"/>
            <c:bubble3D val="0"/>
            <c:spPr>
              <a:solidFill>
                <a:srgbClr val="FFCC66"/>
              </a:solidFill>
            </c:spPr>
            <c:extLst>
              <c:ext xmlns:c16="http://schemas.microsoft.com/office/drawing/2014/chart" uri="{C3380CC4-5D6E-409C-BE32-E72D297353CC}">
                <c16:uniqueId val="{00000005-6708-46ED-AB16-81958ED04D08}"/>
              </c:ext>
            </c:extLst>
          </c:dPt>
          <c:dPt>
            <c:idx val="3"/>
            <c:invertIfNegative val="0"/>
            <c:bubble3D val="0"/>
            <c:spPr>
              <a:solidFill>
                <a:srgbClr val="FF9999"/>
              </a:solidFill>
            </c:spPr>
            <c:extLst>
              <c:ext xmlns:c16="http://schemas.microsoft.com/office/drawing/2014/chart" uri="{C3380CC4-5D6E-409C-BE32-E72D297353CC}">
                <c16:uniqueId val="{00000007-6708-46ED-AB16-81958ED04D08}"/>
              </c:ext>
            </c:extLst>
          </c:dPt>
          <c:dPt>
            <c:idx val="4"/>
            <c:invertIfNegative val="0"/>
            <c:bubble3D val="0"/>
            <c:spPr>
              <a:solidFill>
                <a:srgbClr val="FF9999"/>
              </a:solidFill>
            </c:spPr>
            <c:extLst>
              <c:ext xmlns:c16="http://schemas.microsoft.com/office/drawing/2014/chart" uri="{C3380CC4-5D6E-409C-BE32-E72D297353CC}">
                <c16:uniqueId val="{00000009-6708-46ED-AB16-81958ED04D08}"/>
              </c:ext>
            </c:extLst>
          </c:dPt>
          <c:cat>
            <c:strRef>
              <c:f>WYKRESY!$G$4:$G$7</c:f>
              <c:strCache>
                <c:ptCount val="4"/>
                <c:pt idx="0">
                  <c:v>Level 1</c:v>
                </c:pt>
                <c:pt idx="1">
                  <c:v>Level 2</c:v>
                </c:pt>
                <c:pt idx="2">
                  <c:v>Level 3</c:v>
                </c:pt>
                <c:pt idx="3">
                  <c:v>Level 4</c:v>
                </c:pt>
              </c:strCache>
            </c:strRef>
          </c:cat>
          <c:val>
            <c:numRef>
              <c:f>WYKRESY!$H$4:$H$7</c:f>
              <c:numCache>
                <c:formatCode>General</c:formatCode>
                <c:ptCount val="4"/>
                <c:pt idx="0">
                  <c:v>86</c:v>
                </c:pt>
                <c:pt idx="1">
                  <c:v>86</c:v>
                </c:pt>
                <c:pt idx="2">
                  <c:v>19</c:v>
                </c:pt>
                <c:pt idx="3">
                  <c:v>53</c:v>
                </c:pt>
              </c:numCache>
            </c:numRef>
          </c:val>
          <c:extLst>
            <c:ext xmlns:c16="http://schemas.microsoft.com/office/drawing/2014/chart" uri="{C3380CC4-5D6E-409C-BE32-E72D297353CC}">
              <c16:uniqueId val="{0000000A-6708-46ED-AB16-81958ED04D08}"/>
            </c:ext>
          </c:extLst>
        </c:ser>
        <c:dLbls>
          <c:showLegendKey val="0"/>
          <c:showVal val="0"/>
          <c:showCatName val="0"/>
          <c:showSerName val="0"/>
          <c:showPercent val="0"/>
          <c:showBubbleSize val="0"/>
        </c:dLbls>
        <c:gapWidth val="150"/>
        <c:shape val="box"/>
        <c:axId val="107852928"/>
        <c:axId val="107854464"/>
        <c:axId val="0"/>
      </c:bar3DChart>
      <c:catAx>
        <c:axId val="107852928"/>
        <c:scaling>
          <c:orientation val="minMax"/>
        </c:scaling>
        <c:delete val="0"/>
        <c:axPos val="b"/>
        <c:numFmt formatCode="General" sourceLinked="0"/>
        <c:majorTickMark val="out"/>
        <c:minorTickMark val="none"/>
        <c:tickLblPos val="nextTo"/>
        <c:txPr>
          <a:bodyPr/>
          <a:lstStyle/>
          <a:p>
            <a:pPr>
              <a:defRPr sz="900">
                <a:latin typeface="Times New Roman" panose="02020603050405020304" pitchFamily="18" charset="0"/>
                <a:cs typeface="Times New Roman" panose="02020603050405020304" pitchFamily="18" charset="0"/>
              </a:defRPr>
            </a:pPr>
            <a:endParaRPr lang="pl-PL"/>
          </a:p>
        </c:txPr>
        <c:crossAx val="107854464"/>
        <c:crosses val="autoZero"/>
        <c:auto val="1"/>
        <c:lblAlgn val="ctr"/>
        <c:lblOffset val="100"/>
        <c:noMultiLvlLbl val="0"/>
      </c:catAx>
      <c:valAx>
        <c:axId val="107854464"/>
        <c:scaling>
          <c:orientation val="minMax"/>
        </c:scaling>
        <c:delete val="0"/>
        <c:axPos val="l"/>
        <c:majorGridlines/>
        <c:numFmt formatCode="General" sourceLinked="1"/>
        <c:majorTickMark val="out"/>
        <c:minorTickMark val="none"/>
        <c:tickLblPos val="nextTo"/>
        <c:txPr>
          <a:bodyPr/>
          <a:lstStyle/>
          <a:p>
            <a:pPr>
              <a:defRPr sz="900" b="1">
                <a:latin typeface="Times New Roman" panose="02020603050405020304" pitchFamily="18" charset="0"/>
                <a:cs typeface="Times New Roman" panose="02020603050405020304" pitchFamily="18" charset="0"/>
              </a:defRPr>
            </a:pPr>
            <a:endParaRPr lang="pl-PL"/>
          </a:p>
        </c:txPr>
        <c:crossAx val="107852928"/>
        <c:crosses val="autoZero"/>
        <c:crossBetween val="between"/>
      </c:valAx>
    </c:plotArea>
    <c:plotVisOnly val="1"/>
    <c:dispBlanksAs val="gap"/>
    <c:showDLblsOverMax val="0"/>
  </c:chart>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b="1">
                <a:latin typeface="Times New Roman" panose="02020603050405020304" pitchFamily="18" charset="0"/>
                <a:cs typeface="Times New Roman" panose="02020603050405020304" pitchFamily="18" charset="0"/>
              </a:defRPr>
            </a:pPr>
            <a:r>
              <a:rPr lang="pl-PL" sz="1100" b="1" i="0" baseline="0">
                <a:effectLst/>
                <a:latin typeface="Times New Roman" panose="02020603050405020304" pitchFamily="18" charset="0"/>
                <a:cs typeface="Times New Roman" panose="02020603050405020304" pitchFamily="18" charset="0"/>
              </a:rPr>
              <a:t>Ocena jakości osadów rzecznych wg </a:t>
            </a:r>
            <a:r>
              <a:rPr lang="pl-PL" sz="1100" b="1" i="0" u="none" strike="noStrike" baseline="0">
                <a:effectLst/>
                <a:latin typeface="Times New Roman" panose="02020603050405020304" pitchFamily="18" charset="0"/>
                <a:cs typeface="Times New Roman" panose="02020603050405020304" pitchFamily="18" charset="0"/>
              </a:rPr>
              <a:t>kryterium ekotoksykologicznego EQS</a:t>
            </a:r>
            <a:endParaRPr lang="pl-PL" sz="1100" b="1">
              <a:effectLst/>
              <a:latin typeface="Times New Roman" panose="02020603050405020304" pitchFamily="18" charset="0"/>
              <a:cs typeface="Times New Roman" panose="02020603050405020304" pitchFamily="18" charset="0"/>
            </a:endParaRPr>
          </a:p>
        </c:rich>
      </c:tx>
      <c:layout>
        <c:manualLayout>
          <c:xMode val="edge"/>
          <c:yMode val="edge"/>
          <c:x val="0.17528699251098551"/>
          <c:y val="2.373887542685588E-2"/>
        </c:manualLayout>
      </c:layout>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1"/>
          <c:order val="0"/>
          <c:invertIfNegative val="0"/>
          <c:dPt>
            <c:idx val="0"/>
            <c:invertIfNegative val="0"/>
            <c:bubble3D val="0"/>
            <c:spPr>
              <a:solidFill>
                <a:srgbClr val="CCFF99"/>
              </a:solidFill>
            </c:spPr>
            <c:extLst>
              <c:ext xmlns:c16="http://schemas.microsoft.com/office/drawing/2014/chart" uri="{C3380CC4-5D6E-409C-BE32-E72D297353CC}">
                <c16:uniqueId val="{00000001-C56E-4012-892C-CA32629CD238}"/>
              </c:ext>
            </c:extLst>
          </c:dPt>
          <c:dPt>
            <c:idx val="1"/>
            <c:invertIfNegative val="0"/>
            <c:bubble3D val="0"/>
            <c:spPr>
              <a:solidFill>
                <a:srgbClr val="FF9999"/>
              </a:solidFill>
            </c:spPr>
            <c:extLst>
              <c:ext xmlns:c16="http://schemas.microsoft.com/office/drawing/2014/chart" uri="{C3380CC4-5D6E-409C-BE32-E72D297353CC}">
                <c16:uniqueId val="{00000003-C56E-4012-892C-CA32629CD238}"/>
              </c:ext>
            </c:extLst>
          </c:dPt>
          <c:cat>
            <c:strRef>
              <c:f>Arkusz1!$H$26:$H$27</c:f>
              <c:strCache>
                <c:ptCount val="2"/>
                <c:pt idx="0">
                  <c:v>niezanieczyszczony</c:v>
                </c:pt>
                <c:pt idx="1">
                  <c:v>zanieczyszczony</c:v>
                </c:pt>
              </c:strCache>
            </c:strRef>
          </c:cat>
          <c:val>
            <c:numRef>
              <c:f>Arkusz1!$I$26:$I$27</c:f>
              <c:numCache>
                <c:formatCode>General</c:formatCode>
                <c:ptCount val="2"/>
                <c:pt idx="0">
                  <c:v>51</c:v>
                </c:pt>
                <c:pt idx="1">
                  <c:v>141</c:v>
                </c:pt>
              </c:numCache>
            </c:numRef>
          </c:val>
          <c:extLst>
            <c:ext xmlns:c16="http://schemas.microsoft.com/office/drawing/2014/chart" uri="{C3380CC4-5D6E-409C-BE32-E72D297353CC}">
              <c16:uniqueId val="{00000004-C56E-4012-892C-CA32629CD238}"/>
            </c:ext>
          </c:extLst>
        </c:ser>
        <c:dLbls>
          <c:showLegendKey val="0"/>
          <c:showVal val="0"/>
          <c:showCatName val="0"/>
          <c:showSerName val="0"/>
          <c:showPercent val="0"/>
          <c:showBubbleSize val="0"/>
        </c:dLbls>
        <c:gapWidth val="150"/>
        <c:shape val="box"/>
        <c:axId val="103208064"/>
        <c:axId val="103209600"/>
        <c:axId val="0"/>
      </c:bar3DChart>
      <c:catAx>
        <c:axId val="103208064"/>
        <c:scaling>
          <c:orientation val="minMax"/>
        </c:scaling>
        <c:delete val="0"/>
        <c:axPos val="b"/>
        <c:numFmt formatCode="General" sourceLinked="0"/>
        <c:majorTickMark val="out"/>
        <c:minorTickMark val="none"/>
        <c:tickLblPos val="nextTo"/>
        <c:txPr>
          <a:bodyPr/>
          <a:lstStyle/>
          <a:p>
            <a:pPr>
              <a:defRPr sz="900">
                <a:latin typeface="Times New Roman" panose="02020603050405020304" pitchFamily="18" charset="0"/>
                <a:cs typeface="Times New Roman" panose="02020603050405020304" pitchFamily="18" charset="0"/>
              </a:defRPr>
            </a:pPr>
            <a:endParaRPr lang="pl-PL"/>
          </a:p>
        </c:txPr>
        <c:crossAx val="103209600"/>
        <c:crosses val="autoZero"/>
        <c:auto val="1"/>
        <c:lblAlgn val="ctr"/>
        <c:lblOffset val="100"/>
        <c:noMultiLvlLbl val="0"/>
      </c:catAx>
      <c:valAx>
        <c:axId val="103209600"/>
        <c:scaling>
          <c:orientation val="minMax"/>
        </c:scaling>
        <c:delete val="0"/>
        <c:axPos val="l"/>
        <c:majorGridlines/>
        <c:numFmt formatCode="General" sourceLinked="1"/>
        <c:majorTickMark val="out"/>
        <c:minorTickMark val="none"/>
        <c:tickLblPos val="nextTo"/>
        <c:txPr>
          <a:bodyPr/>
          <a:lstStyle/>
          <a:p>
            <a:pPr>
              <a:defRPr sz="900" b="1">
                <a:latin typeface="Times New Roman" panose="02020603050405020304" pitchFamily="18" charset="0"/>
                <a:cs typeface="Times New Roman" panose="02020603050405020304" pitchFamily="18" charset="0"/>
              </a:defRPr>
            </a:pPr>
            <a:endParaRPr lang="pl-PL"/>
          </a:p>
        </c:txPr>
        <c:crossAx val="103208064"/>
        <c:crosses val="autoZero"/>
        <c:crossBetween val="between"/>
      </c:valAx>
    </c:plotArea>
    <c:plotVisOnly val="1"/>
    <c:dispBlanksAs val="gap"/>
    <c:showDLblsOverMax val="0"/>
  </c:chart>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pl-PL" sz="1100" b="1">
                <a:solidFill>
                  <a:sysClr val="windowText" lastClr="000000"/>
                </a:solidFill>
                <a:latin typeface="Times New Roman" panose="02020603050405020304" pitchFamily="18" charset="0"/>
                <a:cs typeface="Times New Roman" panose="02020603050405020304" pitchFamily="18" charset="0"/>
              </a:rPr>
              <a:t>Ocena jakosci</a:t>
            </a:r>
            <a:r>
              <a:rPr lang="pl-PL" sz="1100" b="1" baseline="0">
                <a:solidFill>
                  <a:sysClr val="windowText" lastClr="000000"/>
                </a:solidFill>
                <a:latin typeface="Times New Roman" panose="02020603050405020304" pitchFamily="18" charset="0"/>
                <a:cs typeface="Times New Roman" panose="02020603050405020304" pitchFamily="18" charset="0"/>
              </a:rPr>
              <a:t> osadów jeziornych wg kryterium ekotoksykologicznego</a:t>
            </a:r>
            <a:endParaRPr lang="pl-PL" sz="11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title>
    <c:autoTitleDeleted val="0"/>
    <c:view3D>
      <c:rotX val="15"/>
      <c:rotY val="20"/>
      <c:depthPercent val="100"/>
      <c:rAngAx val="1"/>
    </c:view3D>
    <c:floor>
      <c:thickness val="0"/>
      <c:spPr>
        <a:noFill/>
        <a:ln>
          <a:solidFill>
            <a:schemeClr val="bg1">
              <a:lumMod val="75000"/>
            </a:schemeClr>
          </a:solidFill>
        </a:ln>
        <a:effectLst/>
        <a:sp3d>
          <a:contourClr>
            <a:schemeClr val="bg1">
              <a:lumMod val="75000"/>
            </a:schemeClr>
          </a:contourClr>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Pt>
            <c:idx val="0"/>
            <c:invertIfNegative val="0"/>
            <c:bubble3D val="0"/>
            <c:spPr>
              <a:solidFill>
                <a:srgbClr val="CCFF99"/>
              </a:solidFill>
              <a:ln>
                <a:noFill/>
              </a:ln>
              <a:effectLst/>
              <a:sp3d/>
            </c:spPr>
            <c:extLst>
              <c:ext xmlns:c16="http://schemas.microsoft.com/office/drawing/2014/chart" uri="{C3380CC4-5D6E-409C-BE32-E72D297353CC}">
                <c16:uniqueId val="{00000001-9F95-4959-950B-B0BC39775D29}"/>
              </c:ext>
            </c:extLst>
          </c:dPt>
          <c:dPt>
            <c:idx val="1"/>
            <c:invertIfNegative val="0"/>
            <c:bubble3D val="0"/>
            <c:spPr>
              <a:solidFill>
                <a:srgbClr val="FFFF99"/>
              </a:solidFill>
              <a:ln>
                <a:noFill/>
              </a:ln>
              <a:effectLst/>
              <a:sp3d/>
            </c:spPr>
            <c:extLst>
              <c:ext xmlns:c16="http://schemas.microsoft.com/office/drawing/2014/chart" uri="{C3380CC4-5D6E-409C-BE32-E72D297353CC}">
                <c16:uniqueId val="{00000003-9F95-4959-950B-B0BC39775D29}"/>
              </c:ext>
            </c:extLst>
          </c:dPt>
          <c:dPt>
            <c:idx val="2"/>
            <c:invertIfNegative val="0"/>
            <c:bubble3D val="0"/>
            <c:spPr>
              <a:solidFill>
                <a:srgbClr val="FFCC66"/>
              </a:solidFill>
              <a:ln>
                <a:noFill/>
              </a:ln>
              <a:effectLst/>
              <a:sp3d/>
            </c:spPr>
            <c:extLst>
              <c:ext xmlns:c16="http://schemas.microsoft.com/office/drawing/2014/chart" uri="{C3380CC4-5D6E-409C-BE32-E72D297353CC}">
                <c16:uniqueId val="{00000005-9F95-4959-950B-B0BC39775D29}"/>
              </c:ext>
            </c:extLst>
          </c:dPt>
          <c:dPt>
            <c:idx val="3"/>
            <c:invertIfNegative val="0"/>
            <c:bubble3D val="0"/>
            <c:spPr>
              <a:solidFill>
                <a:srgbClr val="FF9999"/>
              </a:solidFill>
              <a:ln>
                <a:noFill/>
              </a:ln>
              <a:effectLst/>
              <a:sp3d/>
            </c:spPr>
            <c:extLst>
              <c:ext xmlns:c16="http://schemas.microsoft.com/office/drawing/2014/chart" uri="{C3380CC4-5D6E-409C-BE32-E72D297353CC}">
                <c16:uniqueId val="{00000007-9F95-4959-950B-B0BC39775D29}"/>
              </c:ext>
            </c:extLst>
          </c:dPt>
          <c:cat>
            <c:strRef>
              <c:f>'wykres 14'!$F$23:$F$26</c:f>
              <c:strCache>
                <c:ptCount val="4"/>
                <c:pt idx="0">
                  <c:v>Level 1</c:v>
                </c:pt>
                <c:pt idx="1">
                  <c:v>Level 2</c:v>
                </c:pt>
                <c:pt idx="2">
                  <c:v>Level 3</c:v>
                </c:pt>
                <c:pt idx="3">
                  <c:v>Level 4</c:v>
                </c:pt>
              </c:strCache>
            </c:strRef>
          </c:cat>
          <c:val>
            <c:numRef>
              <c:f>'wykres 14'!$G$23:$G$26</c:f>
              <c:numCache>
                <c:formatCode>General</c:formatCode>
                <c:ptCount val="4"/>
                <c:pt idx="0">
                  <c:v>15</c:v>
                </c:pt>
                <c:pt idx="1">
                  <c:v>47</c:v>
                </c:pt>
                <c:pt idx="2">
                  <c:v>37</c:v>
                </c:pt>
                <c:pt idx="3">
                  <c:v>93</c:v>
                </c:pt>
              </c:numCache>
            </c:numRef>
          </c:val>
          <c:extLst>
            <c:ext xmlns:c16="http://schemas.microsoft.com/office/drawing/2014/chart" uri="{C3380CC4-5D6E-409C-BE32-E72D297353CC}">
              <c16:uniqueId val="{00000008-9F95-4959-950B-B0BC39775D29}"/>
            </c:ext>
          </c:extLst>
        </c:ser>
        <c:dLbls>
          <c:showLegendKey val="0"/>
          <c:showVal val="0"/>
          <c:showCatName val="0"/>
          <c:showSerName val="0"/>
          <c:showPercent val="0"/>
          <c:showBubbleSize val="0"/>
        </c:dLbls>
        <c:gapWidth val="150"/>
        <c:shape val="box"/>
        <c:axId val="1735241039"/>
        <c:axId val="2032819391"/>
        <c:axId val="0"/>
      </c:bar3DChart>
      <c:catAx>
        <c:axId val="1735241039"/>
        <c:scaling>
          <c:orientation val="minMax"/>
        </c:scaling>
        <c:delete val="0"/>
        <c:axPos val="b"/>
        <c:numFmt formatCode="General" sourceLinked="1"/>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2032819391"/>
        <c:crosses val="autoZero"/>
        <c:auto val="1"/>
        <c:lblAlgn val="ctr"/>
        <c:lblOffset val="100"/>
        <c:noMultiLvlLbl val="0"/>
      </c:catAx>
      <c:valAx>
        <c:axId val="2032819391"/>
        <c:scaling>
          <c:orientation val="minMax"/>
        </c:scaling>
        <c:delete val="0"/>
        <c:axPos val="l"/>
        <c:majorGridlines>
          <c:spPr>
            <a:ln w="9525" cap="flat" cmpd="sng" algn="ctr">
              <a:solidFill>
                <a:schemeClr val="bg1">
                  <a:lumMod val="50000"/>
                </a:schemeClr>
              </a:solidFill>
              <a:round/>
            </a:ln>
            <a:effectLst/>
          </c:spPr>
        </c:majorGridlines>
        <c:numFmt formatCode="General" sourceLinked="1"/>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1735241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lumMod val="50000"/>
        </a:schemeClr>
      </a:solidFill>
      <a:round/>
    </a:ln>
    <a:effectLst/>
  </c:spPr>
  <c:txPr>
    <a:bodyPr/>
    <a:lstStyle/>
    <a:p>
      <a:pPr>
        <a:defRPr/>
      </a:pPr>
      <a:endParaRPr lang="pl-PL"/>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872587617724255"/>
          <c:y val="5.0400916380297825E-2"/>
          <c:w val="0.73726648139570794"/>
          <c:h val="0.6483603467092387"/>
        </c:manualLayout>
      </c:layout>
      <c:barChart>
        <c:barDir val="col"/>
        <c:grouping val="percentStacked"/>
        <c:varyColors val="0"/>
        <c:ser>
          <c:idx val="1"/>
          <c:order val="1"/>
          <c:tx>
            <c:strRef>
              <c:f>'[stan_przyrody.xlsx]6.16'!$A$3</c:f>
              <c:strCache>
                <c:ptCount val="1"/>
                <c:pt idx="0">
                  <c:v>defoliacja do 10%</c:v>
                </c:pt>
              </c:strCache>
            </c:strRef>
          </c:tx>
          <c:spPr>
            <a:solidFill>
              <a:srgbClr val="0AA615"/>
            </a:solidFill>
            <a:ln>
              <a:noFill/>
            </a:ln>
            <a:effectLst/>
          </c:spPr>
          <c:invertIfNegative val="0"/>
          <c:cat>
            <c:strRef>
              <c:f>'[stan_przyrody.xlsx]6.16'!$B$1:$O$1</c:f>
              <c:strCache>
                <c:ptCount val="14"/>
                <c:pt idx="0">
                  <c:v>sosna</c:v>
                </c:pt>
                <c:pt idx="1">
                  <c:v>świerk</c:v>
                </c:pt>
                <c:pt idx="2">
                  <c:v>jodła</c:v>
                </c:pt>
                <c:pt idx="3">
                  <c:v>inne igl.</c:v>
                </c:pt>
                <c:pt idx="5">
                  <c:v>buk</c:v>
                </c:pt>
                <c:pt idx="6">
                  <c:v>dąb</c:v>
                </c:pt>
                <c:pt idx="7">
                  <c:v>brzoza</c:v>
                </c:pt>
                <c:pt idx="8">
                  <c:v>olsza </c:v>
                </c:pt>
                <c:pt idx="9">
                  <c:v>inne liśc.</c:v>
                </c:pt>
                <c:pt idx="11">
                  <c:v>iglaste</c:v>
                </c:pt>
                <c:pt idx="12">
                  <c:v>liściaste</c:v>
                </c:pt>
                <c:pt idx="13">
                  <c:v>razem</c:v>
                </c:pt>
              </c:strCache>
            </c:strRef>
          </c:cat>
          <c:val>
            <c:numRef>
              <c:f>'[stan_przyrody.xlsx]6.16'!$B$3:$O$3</c:f>
              <c:numCache>
                <c:formatCode>General</c:formatCode>
                <c:ptCount val="14"/>
                <c:pt idx="0">
                  <c:v>6.2</c:v>
                </c:pt>
                <c:pt idx="1">
                  <c:v>3.6</c:v>
                </c:pt>
                <c:pt idx="2">
                  <c:v>21.4</c:v>
                </c:pt>
                <c:pt idx="3">
                  <c:v>11.8</c:v>
                </c:pt>
                <c:pt idx="5">
                  <c:v>28.5</c:v>
                </c:pt>
                <c:pt idx="6">
                  <c:v>4.2</c:v>
                </c:pt>
                <c:pt idx="7">
                  <c:v>8.6</c:v>
                </c:pt>
                <c:pt idx="8">
                  <c:v>17.899999999999999</c:v>
                </c:pt>
                <c:pt idx="9">
                  <c:v>22.3</c:v>
                </c:pt>
                <c:pt idx="11">
                  <c:v>6.8</c:v>
                </c:pt>
                <c:pt idx="12">
                  <c:v>14.3</c:v>
                </c:pt>
                <c:pt idx="13">
                  <c:v>9.6999999999999993</c:v>
                </c:pt>
              </c:numCache>
            </c:numRef>
          </c:val>
          <c:extLst>
            <c:ext xmlns:c16="http://schemas.microsoft.com/office/drawing/2014/chart" uri="{C3380CC4-5D6E-409C-BE32-E72D297353CC}">
              <c16:uniqueId val="{00000000-45A0-4C27-AE37-798DB6B3D4EC}"/>
            </c:ext>
          </c:extLst>
        </c:ser>
        <c:ser>
          <c:idx val="2"/>
          <c:order val="2"/>
          <c:tx>
            <c:strRef>
              <c:f>'[stan_przyrody.xlsx]6.16'!$A$4</c:f>
              <c:strCache>
                <c:ptCount val="1"/>
                <c:pt idx="0">
                  <c:v>defoliacja 11-25%</c:v>
                </c:pt>
              </c:strCache>
            </c:strRef>
          </c:tx>
          <c:spPr>
            <a:solidFill>
              <a:schemeClr val="accent4">
                <a:lumMod val="60000"/>
                <a:lumOff val="40000"/>
              </a:schemeClr>
            </a:solidFill>
            <a:ln>
              <a:noFill/>
            </a:ln>
            <a:effectLst/>
          </c:spPr>
          <c:invertIfNegative val="0"/>
          <c:cat>
            <c:strRef>
              <c:f>'[stan_przyrody.xlsx]6.16'!$B$1:$O$1</c:f>
              <c:strCache>
                <c:ptCount val="14"/>
                <c:pt idx="0">
                  <c:v>sosna</c:v>
                </c:pt>
                <c:pt idx="1">
                  <c:v>świerk</c:v>
                </c:pt>
                <c:pt idx="2">
                  <c:v>jodła</c:v>
                </c:pt>
                <c:pt idx="3">
                  <c:v>inne igl.</c:v>
                </c:pt>
                <c:pt idx="5">
                  <c:v>buk</c:v>
                </c:pt>
                <c:pt idx="6">
                  <c:v>dąb</c:v>
                </c:pt>
                <c:pt idx="7">
                  <c:v>brzoza</c:v>
                </c:pt>
                <c:pt idx="8">
                  <c:v>olsza </c:v>
                </c:pt>
                <c:pt idx="9">
                  <c:v>inne liśc.</c:v>
                </c:pt>
                <c:pt idx="11">
                  <c:v>iglaste</c:v>
                </c:pt>
                <c:pt idx="12">
                  <c:v>liściaste</c:v>
                </c:pt>
                <c:pt idx="13">
                  <c:v>razem</c:v>
                </c:pt>
              </c:strCache>
            </c:strRef>
          </c:cat>
          <c:val>
            <c:numRef>
              <c:f>'[stan_przyrody.xlsx]6.16'!$B$4:$O$4</c:f>
              <c:numCache>
                <c:formatCode>General</c:formatCode>
                <c:ptCount val="14"/>
                <c:pt idx="0">
                  <c:v>77.400000000000006</c:v>
                </c:pt>
                <c:pt idx="1">
                  <c:v>72.3</c:v>
                </c:pt>
                <c:pt idx="2">
                  <c:v>68.5</c:v>
                </c:pt>
                <c:pt idx="3">
                  <c:v>72.2</c:v>
                </c:pt>
                <c:pt idx="5">
                  <c:v>64.099999999999994</c:v>
                </c:pt>
                <c:pt idx="6">
                  <c:v>64.599999999999994</c:v>
                </c:pt>
                <c:pt idx="7">
                  <c:v>74</c:v>
                </c:pt>
                <c:pt idx="8">
                  <c:v>72.099999999999994</c:v>
                </c:pt>
                <c:pt idx="9">
                  <c:v>60.3</c:v>
                </c:pt>
                <c:pt idx="11">
                  <c:v>76.5</c:v>
                </c:pt>
                <c:pt idx="12">
                  <c:v>67.8</c:v>
                </c:pt>
                <c:pt idx="13">
                  <c:v>72.3</c:v>
                </c:pt>
              </c:numCache>
            </c:numRef>
          </c:val>
          <c:extLst>
            <c:ext xmlns:c16="http://schemas.microsoft.com/office/drawing/2014/chart" uri="{C3380CC4-5D6E-409C-BE32-E72D297353CC}">
              <c16:uniqueId val="{00000001-45A0-4C27-AE37-798DB6B3D4EC}"/>
            </c:ext>
          </c:extLst>
        </c:ser>
        <c:ser>
          <c:idx val="3"/>
          <c:order val="3"/>
          <c:tx>
            <c:strRef>
              <c:f>'[stan_przyrody.xlsx]6.16'!$A$5</c:f>
              <c:strCache>
                <c:ptCount val="1"/>
                <c:pt idx="0">
                  <c:v>defoliacja powyżej 25%</c:v>
                </c:pt>
              </c:strCache>
            </c:strRef>
          </c:tx>
          <c:spPr>
            <a:solidFill>
              <a:srgbClr val="EB7265"/>
            </a:solidFill>
            <a:ln>
              <a:noFill/>
            </a:ln>
            <a:effectLst/>
          </c:spPr>
          <c:invertIfNegative val="0"/>
          <c:cat>
            <c:strRef>
              <c:f>'[stan_przyrody.xlsx]6.16'!$B$1:$O$1</c:f>
              <c:strCache>
                <c:ptCount val="14"/>
                <c:pt idx="0">
                  <c:v>sosna</c:v>
                </c:pt>
                <c:pt idx="1">
                  <c:v>świerk</c:v>
                </c:pt>
                <c:pt idx="2">
                  <c:v>jodła</c:v>
                </c:pt>
                <c:pt idx="3">
                  <c:v>inne igl.</c:v>
                </c:pt>
                <c:pt idx="5">
                  <c:v>buk</c:v>
                </c:pt>
                <c:pt idx="6">
                  <c:v>dąb</c:v>
                </c:pt>
                <c:pt idx="7">
                  <c:v>brzoza</c:v>
                </c:pt>
                <c:pt idx="8">
                  <c:v>olsza </c:v>
                </c:pt>
                <c:pt idx="9">
                  <c:v>inne liśc.</c:v>
                </c:pt>
                <c:pt idx="11">
                  <c:v>iglaste</c:v>
                </c:pt>
                <c:pt idx="12">
                  <c:v>liściaste</c:v>
                </c:pt>
                <c:pt idx="13">
                  <c:v>razem</c:v>
                </c:pt>
              </c:strCache>
            </c:strRef>
          </c:cat>
          <c:val>
            <c:numRef>
              <c:f>'[stan_przyrody.xlsx]6.16'!$B$5:$O$5</c:f>
              <c:numCache>
                <c:formatCode>General</c:formatCode>
                <c:ptCount val="14"/>
                <c:pt idx="0">
                  <c:v>16.399999999999999</c:v>
                </c:pt>
                <c:pt idx="1">
                  <c:v>24</c:v>
                </c:pt>
                <c:pt idx="2">
                  <c:v>10.1</c:v>
                </c:pt>
                <c:pt idx="3">
                  <c:v>16</c:v>
                </c:pt>
                <c:pt idx="5">
                  <c:v>7.4</c:v>
                </c:pt>
                <c:pt idx="6">
                  <c:v>31.2</c:v>
                </c:pt>
                <c:pt idx="7">
                  <c:v>17.399999999999999</c:v>
                </c:pt>
                <c:pt idx="8">
                  <c:v>9.9</c:v>
                </c:pt>
                <c:pt idx="9">
                  <c:v>17.399999999999999</c:v>
                </c:pt>
                <c:pt idx="11">
                  <c:v>16.600000000000001</c:v>
                </c:pt>
                <c:pt idx="12">
                  <c:v>17.899999999999999</c:v>
                </c:pt>
                <c:pt idx="13">
                  <c:v>17.100000000000001</c:v>
                </c:pt>
              </c:numCache>
            </c:numRef>
          </c:val>
          <c:extLst>
            <c:ext xmlns:c16="http://schemas.microsoft.com/office/drawing/2014/chart" uri="{C3380CC4-5D6E-409C-BE32-E72D297353CC}">
              <c16:uniqueId val="{00000002-45A0-4C27-AE37-798DB6B3D4EC}"/>
            </c:ext>
          </c:extLst>
        </c:ser>
        <c:dLbls>
          <c:showLegendKey val="0"/>
          <c:showVal val="0"/>
          <c:showCatName val="0"/>
          <c:showSerName val="0"/>
          <c:showPercent val="0"/>
          <c:showBubbleSize val="0"/>
        </c:dLbls>
        <c:gapWidth val="38"/>
        <c:overlap val="100"/>
        <c:axId val="1827149840"/>
        <c:axId val="1492398848"/>
      </c:barChart>
      <c:scatterChart>
        <c:scatterStyle val="lineMarker"/>
        <c:varyColors val="0"/>
        <c:ser>
          <c:idx val="0"/>
          <c:order val="0"/>
          <c:tx>
            <c:strRef>
              <c:f>'[stan_przyrody.xlsx]6.16'!$A$2</c:f>
              <c:strCache>
                <c:ptCount val="1"/>
                <c:pt idx="0">
                  <c:v>średnia defoliacja [%]</c:v>
                </c:pt>
              </c:strCache>
            </c:strRef>
          </c:tx>
          <c:spPr>
            <a:ln w="25400" cap="rnd">
              <a:noFill/>
              <a:round/>
            </a:ln>
            <a:effectLst/>
          </c:spPr>
          <c:marker>
            <c:symbol val="circle"/>
            <c:size val="5"/>
            <c:spPr>
              <a:solidFill>
                <a:schemeClr val="accent1"/>
              </a:solidFill>
              <a:ln w="9525">
                <a:solidFill>
                  <a:schemeClr val="accent1"/>
                </a:solidFill>
              </a:ln>
              <a:effectLst/>
            </c:spPr>
          </c:marker>
          <c:dLbls>
            <c:dLbl>
              <c:idx val="1"/>
              <c:layout>
                <c:manualLayout>
                  <c:x val="-4.5729311409603186E-2"/>
                  <c:y val="9.010002615652425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5A0-4C27-AE37-798DB6B3D4EC}"/>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Arial" panose="020B0604020202020204" pitchFamily="34" charset="0"/>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'[stan_przyrody.xlsx]6.16'!$B$1:$O$1</c:f>
              <c:strCache>
                <c:ptCount val="14"/>
                <c:pt idx="0">
                  <c:v>sosna</c:v>
                </c:pt>
                <c:pt idx="1">
                  <c:v>świerk</c:v>
                </c:pt>
                <c:pt idx="2">
                  <c:v>jodła</c:v>
                </c:pt>
                <c:pt idx="3">
                  <c:v>inne igl.</c:v>
                </c:pt>
                <c:pt idx="5">
                  <c:v>buk</c:v>
                </c:pt>
                <c:pt idx="6">
                  <c:v>dąb</c:v>
                </c:pt>
                <c:pt idx="7">
                  <c:v>brzoza</c:v>
                </c:pt>
                <c:pt idx="8">
                  <c:v>olsza </c:v>
                </c:pt>
                <c:pt idx="9">
                  <c:v>inne liśc.</c:v>
                </c:pt>
                <c:pt idx="11">
                  <c:v>iglaste</c:v>
                </c:pt>
                <c:pt idx="12">
                  <c:v>liściaste</c:v>
                </c:pt>
                <c:pt idx="13">
                  <c:v>razem</c:v>
                </c:pt>
              </c:strCache>
            </c:strRef>
          </c:xVal>
          <c:yVal>
            <c:numRef>
              <c:f>'[stan_przyrody.xlsx]6.16'!$B$2:$O$2</c:f>
              <c:numCache>
                <c:formatCode>General</c:formatCode>
                <c:ptCount val="14"/>
                <c:pt idx="0">
                  <c:v>22.6</c:v>
                </c:pt>
                <c:pt idx="1">
                  <c:v>25.5</c:v>
                </c:pt>
                <c:pt idx="2">
                  <c:v>18.399999999999999</c:v>
                </c:pt>
                <c:pt idx="3">
                  <c:v>21.5</c:v>
                </c:pt>
                <c:pt idx="5">
                  <c:v>17</c:v>
                </c:pt>
                <c:pt idx="6">
                  <c:v>25.9</c:v>
                </c:pt>
                <c:pt idx="7">
                  <c:v>22.8</c:v>
                </c:pt>
                <c:pt idx="8">
                  <c:v>19.399999999999999</c:v>
                </c:pt>
                <c:pt idx="9">
                  <c:v>21.5</c:v>
                </c:pt>
                <c:pt idx="11">
                  <c:v>22.6</c:v>
                </c:pt>
                <c:pt idx="12">
                  <c:v>21.9</c:v>
                </c:pt>
                <c:pt idx="13">
                  <c:v>22.4</c:v>
                </c:pt>
              </c:numCache>
            </c:numRef>
          </c:yVal>
          <c:smooth val="0"/>
          <c:extLst>
            <c:ext xmlns:c16="http://schemas.microsoft.com/office/drawing/2014/chart" uri="{C3380CC4-5D6E-409C-BE32-E72D297353CC}">
              <c16:uniqueId val="{00000004-45A0-4C27-AE37-798DB6B3D4EC}"/>
            </c:ext>
          </c:extLst>
        </c:ser>
        <c:dLbls>
          <c:showLegendKey val="0"/>
          <c:showVal val="0"/>
          <c:showCatName val="0"/>
          <c:showSerName val="0"/>
          <c:showPercent val="0"/>
          <c:showBubbleSize val="0"/>
        </c:dLbls>
        <c:axId val="1492376800"/>
        <c:axId val="1492375968"/>
      </c:scatterChart>
      <c:catAx>
        <c:axId val="1827149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Arial" panose="020B0604020202020204" pitchFamily="34" charset="0"/>
              </a:defRPr>
            </a:pPr>
            <a:endParaRPr lang="pl-PL"/>
          </a:p>
        </c:txPr>
        <c:crossAx val="1492398848"/>
        <c:crosses val="autoZero"/>
        <c:auto val="1"/>
        <c:lblAlgn val="ctr"/>
        <c:lblOffset val="100"/>
        <c:noMultiLvlLbl val="0"/>
      </c:catAx>
      <c:valAx>
        <c:axId val="14923988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solidFill>
                    <a:latin typeface="+mn-lt"/>
                    <a:ea typeface="+mn-ea"/>
                    <a:cs typeface="Arial" panose="020B0604020202020204" pitchFamily="34" charset="0"/>
                  </a:defRPr>
                </a:pPr>
                <a:r>
                  <a:rPr lang="pl-PL"/>
                  <a:t>udział drzew</a:t>
                </a:r>
              </a:p>
            </c:rich>
          </c:tx>
          <c:layout>
            <c:manualLayout>
              <c:xMode val="edge"/>
              <c:yMode val="edge"/>
              <c:x val="2.0424772271113171E-2"/>
              <c:y val="0.25650819420768278"/>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solidFill>
                  <a:latin typeface="+mn-lt"/>
                  <a:ea typeface="+mn-ea"/>
                  <a:cs typeface="Arial" panose="020B0604020202020204" pitchFamily="34" charset="0"/>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Arial" panose="020B0604020202020204" pitchFamily="34" charset="0"/>
              </a:defRPr>
            </a:pPr>
            <a:endParaRPr lang="pl-PL"/>
          </a:p>
        </c:txPr>
        <c:crossAx val="1827149840"/>
        <c:crosses val="autoZero"/>
        <c:crossBetween val="between"/>
      </c:valAx>
      <c:valAx>
        <c:axId val="1492375968"/>
        <c:scaling>
          <c:orientation val="minMax"/>
        </c:scaling>
        <c:delete val="0"/>
        <c:axPos val="r"/>
        <c:title>
          <c:tx>
            <c:rich>
              <a:bodyPr rot="-5400000" spcFirstLastPara="1" vertOverflow="ellipsis" vert="horz" wrap="square" anchor="ctr" anchorCtr="1"/>
              <a:lstStyle/>
              <a:p>
                <a:pPr>
                  <a:defRPr sz="900" b="0" i="0" u="none" strike="noStrike" kern="1200" baseline="0">
                    <a:solidFill>
                      <a:schemeClr val="tx1"/>
                    </a:solidFill>
                    <a:latin typeface="+mn-lt"/>
                    <a:ea typeface="+mn-ea"/>
                    <a:cs typeface="Arial" panose="020B0604020202020204" pitchFamily="34" charset="0"/>
                  </a:defRPr>
                </a:pPr>
                <a:r>
                  <a:rPr lang="pl-PL"/>
                  <a:t>średnia defoliacja [%]</a:t>
                </a:r>
              </a:p>
            </c:rich>
          </c:tx>
          <c:layout>
            <c:manualLayout>
              <c:xMode val="edge"/>
              <c:yMode val="edge"/>
              <c:x val="0.94523274664196388"/>
              <c:y val="0.16028537669904661"/>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solidFill>
                  <a:latin typeface="+mn-lt"/>
                  <a:ea typeface="+mn-ea"/>
                  <a:cs typeface="Arial" panose="020B0604020202020204" pitchFamily="34" charset="0"/>
                </a:defRPr>
              </a:pPr>
              <a:endParaRPr lang="pl-PL"/>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Arial" panose="020B0604020202020204" pitchFamily="34" charset="0"/>
              </a:defRPr>
            </a:pPr>
            <a:endParaRPr lang="pl-PL"/>
          </a:p>
        </c:txPr>
        <c:crossAx val="1492376800"/>
        <c:crosses val="max"/>
        <c:crossBetween val="midCat"/>
      </c:valAx>
      <c:valAx>
        <c:axId val="1492376800"/>
        <c:scaling>
          <c:orientation val="minMax"/>
        </c:scaling>
        <c:delete val="1"/>
        <c:axPos val="b"/>
        <c:majorTickMark val="out"/>
        <c:minorTickMark val="none"/>
        <c:tickLblPos val="nextTo"/>
        <c:crossAx val="1492375968"/>
        <c:crosses val="autoZero"/>
        <c:crossBetween val="midCat"/>
      </c:valAx>
      <c:spPr>
        <a:noFill/>
        <a:ln>
          <a:noFill/>
        </a:ln>
        <a:effectLst/>
      </c:spPr>
    </c:plotArea>
    <c:legend>
      <c:legendPos val="b"/>
      <c:layout>
        <c:manualLayout>
          <c:xMode val="edge"/>
          <c:yMode val="edge"/>
          <c:x val="1.0784313725490192E-2"/>
          <c:y val="0.89942942699172912"/>
          <c:w val="0.9882352941176471"/>
          <c:h val="7.307916407356296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baseline="0">
          <a:solidFill>
            <a:schemeClr val="tx1"/>
          </a:solidFill>
          <a:latin typeface="+mn-lt"/>
          <a:cs typeface="Arial" panose="020B0604020202020204" pitchFamily="34" charset="0"/>
        </a:defRPr>
      </a:pPr>
      <a:endParaRPr lang="pl-PL"/>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a:t>Oznaczenia w podziale na oddziały</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pl-PL"/>
        </a:p>
      </c:txPr>
    </c:title>
    <c:autoTitleDeleted val="0"/>
    <c:view3D>
      <c:rotX val="30"/>
      <c:rotY val="6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1180508664227056E-2"/>
          <c:y val="0.15808436057662725"/>
          <c:w val="0.84495379763571998"/>
          <c:h val="0.7768731485189303"/>
        </c:manualLayout>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515B-4311-B2F3-841CCB187D9B}"/>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515B-4311-B2F3-841CCB187D9B}"/>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515B-4311-B2F3-841CCB187D9B}"/>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515B-4311-B2F3-841CCB187D9B}"/>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515B-4311-B2F3-841CCB187D9B}"/>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515B-4311-B2F3-841CCB187D9B}"/>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515B-4311-B2F3-841CCB187D9B}"/>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F-515B-4311-B2F3-841CCB187D9B}"/>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1-515B-4311-B2F3-841CCB187D9B}"/>
              </c:ext>
            </c:extLst>
          </c:dPt>
          <c:dPt>
            <c:idx val="9"/>
            <c:bubble3D val="0"/>
            <c:spPr>
              <a:solidFill>
                <a:schemeClr val="accent4">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3-515B-4311-B2F3-841CCB187D9B}"/>
              </c:ext>
            </c:extLst>
          </c:dPt>
          <c:dPt>
            <c:idx val="10"/>
            <c:bubble3D val="0"/>
            <c:spPr>
              <a:solidFill>
                <a:schemeClr val="accent5">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5-515B-4311-B2F3-841CCB187D9B}"/>
              </c:ext>
            </c:extLst>
          </c:dPt>
          <c:dPt>
            <c:idx val="11"/>
            <c:bubble3D val="0"/>
            <c:spPr>
              <a:solidFill>
                <a:schemeClr val="accent6">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7-515B-4311-B2F3-841CCB187D9B}"/>
              </c:ext>
            </c:extLst>
          </c:dPt>
          <c:dPt>
            <c:idx val="12"/>
            <c:bubble3D val="0"/>
            <c:spPr>
              <a:solidFill>
                <a:schemeClr val="accent1">
                  <a:lumMod val="80000"/>
                  <a:lumOff val="2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9-515B-4311-B2F3-841CCB187D9B}"/>
              </c:ext>
            </c:extLst>
          </c:dPt>
          <c:dPt>
            <c:idx val="13"/>
            <c:bubble3D val="0"/>
            <c:spPr>
              <a:solidFill>
                <a:schemeClr val="accent2">
                  <a:lumMod val="80000"/>
                  <a:lumOff val="2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B-515B-4311-B2F3-841CCB187D9B}"/>
              </c:ext>
            </c:extLst>
          </c:dPt>
          <c:dPt>
            <c:idx val="14"/>
            <c:bubble3D val="0"/>
            <c:spPr>
              <a:solidFill>
                <a:schemeClr val="accent3">
                  <a:lumMod val="80000"/>
                  <a:lumOff val="2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D-515B-4311-B2F3-841CCB187D9B}"/>
              </c:ext>
            </c:extLst>
          </c:dPt>
          <c:dPt>
            <c:idx val="15"/>
            <c:bubble3D val="0"/>
            <c:spPr>
              <a:solidFill>
                <a:schemeClr val="accent4">
                  <a:lumMod val="80000"/>
                  <a:lumOff val="2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F-515B-4311-B2F3-841CCB187D9B}"/>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01-515B-4311-B2F3-841CCB187D9B}"/>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03-515B-4311-B2F3-841CCB187D9B}"/>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05-515B-4311-B2F3-841CCB187D9B}"/>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07-515B-4311-B2F3-841CCB187D9B}"/>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09-515B-4311-B2F3-841CCB187D9B}"/>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0B-515B-4311-B2F3-841CCB187D9B}"/>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0D-515B-4311-B2F3-841CCB187D9B}"/>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0F-515B-4311-B2F3-841CCB187D9B}"/>
                </c:ext>
              </c:extLst>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11-515B-4311-B2F3-841CCB187D9B}"/>
                </c:ext>
              </c:extLst>
            </c:dLbl>
            <c:dLbl>
              <c:idx val="9"/>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lumMod val="60000"/>
                        </a:schemeClr>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13-515B-4311-B2F3-841CCB187D9B}"/>
                </c:ext>
              </c:extLst>
            </c:dLbl>
            <c:dLbl>
              <c:idx val="1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lumMod val="60000"/>
                        </a:schemeClr>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15-515B-4311-B2F3-841CCB187D9B}"/>
                </c:ext>
              </c:extLst>
            </c:dLbl>
            <c:dLbl>
              <c:idx val="1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lumMod val="60000"/>
                        </a:schemeClr>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17-515B-4311-B2F3-841CCB187D9B}"/>
                </c:ext>
              </c:extLst>
            </c:dLbl>
            <c:dLbl>
              <c:idx val="1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80000"/>
                          <a:lumOff val="20000"/>
                        </a:schemeClr>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19-515B-4311-B2F3-841CCB187D9B}"/>
                </c:ext>
              </c:extLst>
            </c:dLbl>
            <c:dLbl>
              <c:idx val="1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80000"/>
                          <a:lumOff val="20000"/>
                        </a:schemeClr>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1B-515B-4311-B2F3-841CCB187D9B}"/>
                </c:ext>
              </c:extLst>
            </c:dLbl>
            <c:dLbl>
              <c:idx val="1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80000"/>
                          <a:lumOff val="20000"/>
                        </a:schemeClr>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1D-515B-4311-B2F3-841CCB187D9B}"/>
                </c:ext>
              </c:extLst>
            </c:dLbl>
            <c:dLbl>
              <c:idx val="1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lumMod val="80000"/>
                          <a:lumOff val="20000"/>
                        </a:schemeClr>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1F-515B-4311-B2F3-841CCB187D9B}"/>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'2022 '!$C$2:$R$2</c:f>
              <c:strCache>
                <c:ptCount val="16"/>
                <c:pt idx="0">
                  <c:v>Bydgoszcz</c:v>
                </c:pt>
                <c:pt idx="1">
                  <c:v>Białystok</c:v>
                </c:pt>
                <c:pt idx="2">
                  <c:v>Gdańsk</c:v>
                </c:pt>
                <c:pt idx="3">
                  <c:v>Kielce</c:v>
                </c:pt>
                <c:pt idx="4">
                  <c:v>Katowice</c:v>
                </c:pt>
                <c:pt idx="5">
                  <c:v>Kraków</c:v>
                </c:pt>
                <c:pt idx="6">
                  <c:v>Lublin</c:v>
                </c:pt>
                <c:pt idx="7">
                  <c:v>Łódź</c:v>
                </c:pt>
                <c:pt idx="8">
                  <c:v>Olsztyn</c:v>
                </c:pt>
                <c:pt idx="9">
                  <c:v>Opole</c:v>
                </c:pt>
                <c:pt idx="10">
                  <c:v>Poznań</c:v>
                </c:pt>
                <c:pt idx="11">
                  <c:v>Rzeszów</c:v>
                </c:pt>
                <c:pt idx="12">
                  <c:v>Szczecin</c:v>
                </c:pt>
                <c:pt idx="13">
                  <c:v>Warszawa</c:v>
                </c:pt>
                <c:pt idx="14">
                  <c:v>Wrocław</c:v>
                </c:pt>
                <c:pt idx="15">
                  <c:v>Zielona Góra</c:v>
                </c:pt>
              </c:strCache>
            </c:strRef>
          </c:cat>
          <c:val>
            <c:numRef>
              <c:f>'2022 '!$C$3:$R$3</c:f>
              <c:numCache>
                <c:formatCode>#,##0</c:formatCode>
                <c:ptCount val="16"/>
                <c:pt idx="0">
                  <c:v>102459</c:v>
                </c:pt>
                <c:pt idx="1">
                  <c:v>102978</c:v>
                </c:pt>
                <c:pt idx="2">
                  <c:v>87952</c:v>
                </c:pt>
                <c:pt idx="3">
                  <c:v>52455</c:v>
                </c:pt>
                <c:pt idx="4">
                  <c:v>136439</c:v>
                </c:pt>
                <c:pt idx="5">
                  <c:v>155310</c:v>
                </c:pt>
                <c:pt idx="6">
                  <c:v>57197</c:v>
                </c:pt>
                <c:pt idx="7">
                  <c:v>77403</c:v>
                </c:pt>
                <c:pt idx="8">
                  <c:v>83556</c:v>
                </c:pt>
                <c:pt idx="9">
                  <c:v>77275</c:v>
                </c:pt>
                <c:pt idx="10">
                  <c:v>98719</c:v>
                </c:pt>
                <c:pt idx="11">
                  <c:v>95171</c:v>
                </c:pt>
                <c:pt idx="12">
                  <c:v>116873</c:v>
                </c:pt>
                <c:pt idx="13">
                  <c:v>142608</c:v>
                </c:pt>
                <c:pt idx="14">
                  <c:v>136090</c:v>
                </c:pt>
                <c:pt idx="15">
                  <c:v>69550</c:v>
                </c:pt>
              </c:numCache>
            </c:numRef>
          </c:val>
          <c:extLst>
            <c:ext xmlns:c16="http://schemas.microsoft.com/office/drawing/2014/chart" uri="{C3380CC4-5D6E-409C-BE32-E72D297353CC}">
              <c16:uniqueId val="{00000020-515B-4311-B2F3-841CCB187D9B}"/>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pl-PL">
                <a:solidFill>
                  <a:schemeClr val="accent6">
                    <a:lumMod val="75000"/>
                  </a:schemeClr>
                </a:solidFill>
              </a:rPr>
              <a:t>pomiary terenowe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pl-PL"/>
        </a:p>
      </c:txPr>
    </c:title>
    <c:autoTitleDeleted val="0"/>
    <c:view3D>
      <c:rotX val="30"/>
      <c:rotY val="235"/>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805555555555555"/>
          <c:y val="0.20021689997083697"/>
          <c:w val="0.81388888888888888"/>
          <c:h val="0.65757545931758532"/>
        </c:manualLayout>
      </c:layout>
      <c:pie3DChart>
        <c:varyColors val="1"/>
        <c:ser>
          <c:idx val="0"/>
          <c:order val="0"/>
          <c:explosion val="10"/>
          <c:dPt>
            <c:idx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0630-4D8B-BFD5-FAC7F5A98011}"/>
              </c:ext>
            </c:extLst>
          </c:dPt>
          <c:dPt>
            <c:idx val="1"/>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0630-4D8B-BFD5-FAC7F5A98011}"/>
              </c:ext>
            </c:extLst>
          </c:dPt>
          <c:dPt>
            <c:idx val="2"/>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0630-4D8B-BFD5-FAC7F5A98011}"/>
              </c:ext>
            </c:extLst>
          </c:dPt>
          <c:dLbls>
            <c:dLbl>
              <c:idx val="0"/>
              <c:layout>
                <c:manualLayout>
                  <c:x val="-0.19310761154855643"/>
                  <c:y val="0.1792953198265947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630-4D8B-BFD5-FAC7F5A98011}"/>
                </c:ext>
              </c:extLst>
            </c:dLbl>
            <c:dLbl>
              <c:idx val="1"/>
              <c:layout>
                <c:manualLayout>
                  <c:x val="0.26298442694663166"/>
                  <c:y val="0.1087857206051490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630-4D8B-BFD5-FAC7F5A98011}"/>
                </c:ext>
              </c:extLst>
            </c:dLbl>
            <c:dLbl>
              <c:idx val="2"/>
              <c:layout>
                <c:manualLayout>
                  <c:x val="2.6666666666666672E-2"/>
                  <c:y val="0.12852428558789702"/>
                </c:manualLayout>
              </c:layout>
              <c:showLegendKey val="0"/>
              <c:showVal val="0"/>
              <c:showCatName val="1"/>
              <c:showSerName val="0"/>
              <c:showPercent val="1"/>
              <c:showBubbleSize val="0"/>
              <c:extLst>
                <c:ext xmlns:c15="http://schemas.microsoft.com/office/drawing/2012/chart" uri="{CE6537A1-D6FC-4f65-9D91-7224C49458BB}">
                  <c15:layout>
                    <c:manualLayout>
                      <c:w val="0.24557795275590552"/>
                      <c:h val="0.20887640449438202"/>
                    </c:manualLayout>
                  </c15:layout>
                </c:ext>
                <c:ext xmlns:c16="http://schemas.microsoft.com/office/drawing/2014/chart" uri="{C3380CC4-5D6E-409C-BE32-E72D297353CC}">
                  <c16:uniqueId val="{00000005-0630-4D8B-BFD5-FAC7F5A98011}"/>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Sheet1!$C$1:$E$1</c:f>
              <c:strCache>
                <c:ptCount val="3"/>
                <c:pt idx="0">
                  <c:v>wyniki zadowalające</c:v>
                </c:pt>
                <c:pt idx="1">
                  <c:v>wyniki wątpliwe</c:v>
                </c:pt>
                <c:pt idx="2">
                  <c:v>wyniki niezadowalające</c:v>
                </c:pt>
              </c:strCache>
            </c:strRef>
          </c:cat>
          <c:val>
            <c:numRef>
              <c:f>Sheet1!$L$6:$N$6</c:f>
              <c:numCache>
                <c:formatCode>0.0%</c:formatCode>
                <c:ptCount val="3"/>
                <c:pt idx="0">
                  <c:v>0.95939086294416243</c:v>
                </c:pt>
                <c:pt idx="1">
                  <c:v>3.0456852791878174E-2</c:v>
                </c:pt>
                <c:pt idx="2">
                  <c:v>1.015228426395939E-2</c:v>
                </c:pt>
              </c:numCache>
            </c:numRef>
          </c:val>
          <c:extLst>
            <c:ext xmlns:c16="http://schemas.microsoft.com/office/drawing/2014/chart" uri="{C3380CC4-5D6E-409C-BE32-E72D297353CC}">
              <c16:uniqueId val="{00000006-0630-4D8B-BFD5-FAC7F5A98011}"/>
            </c:ext>
          </c:extLst>
        </c:ser>
        <c:dLbls>
          <c:showLegendKey val="0"/>
          <c:showVal val="0"/>
          <c:showCatName val="1"/>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pl-PL">
                <a:solidFill>
                  <a:schemeClr val="accent2">
                    <a:lumMod val="75000"/>
                  </a:schemeClr>
                </a:solidFill>
              </a:rPr>
              <a:t>oznaczenia fizykochemiczne</a:t>
            </a:r>
          </a:p>
        </c:rich>
      </c:tx>
      <c:layout>
        <c:manualLayout>
          <c:xMode val="edge"/>
          <c:yMode val="edge"/>
          <c:x val="0.23283783783783785"/>
          <c:y val="5.6980056980056983E-3"/>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pl-PL"/>
        </a:p>
      </c:txPr>
    </c:title>
    <c:autoTitleDeleted val="0"/>
    <c:view3D>
      <c:rotX val="30"/>
      <c:rotY val="235"/>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805555555555555"/>
          <c:y val="0.20021689997083697"/>
          <c:w val="0.81388888888888888"/>
          <c:h val="0.65757545931758532"/>
        </c:manualLayout>
      </c:layout>
      <c:pie3DChart>
        <c:varyColors val="1"/>
        <c:ser>
          <c:idx val="0"/>
          <c:order val="0"/>
          <c:explosion val="10"/>
          <c:dPt>
            <c:idx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6D8E-486E-89EA-A355A3AB2745}"/>
              </c:ext>
            </c:extLst>
          </c:dPt>
          <c:dPt>
            <c:idx val="1"/>
            <c:bubble3D val="0"/>
            <c:explosion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6D8E-486E-89EA-A355A3AB2745}"/>
              </c:ext>
            </c:extLst>
          </c:dPt>
          <c:dPt>
            <c:idx val="2"/>
            <c:bubble3D val="0"/>
            <c:explosion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6D8E-486E-89EA-A355A3AB2745}"/>
              </c:ext>
            </c:extLst>
          </c:dPt>
          <c:dLbls>
            <c:dLbl>
              <c:idx val="0"/>
              <c:layout>
                <c:manualLayout>
                  <c:x val="-0.14751052701146178"/>
                  <c:y val="0.1850025798057294"/>
                </c:manualLayout>
              </c:layout>
              <c:showLegendKey val="0"/>
              <c:showVal val="0"/>
              <c:showCatName val="1"/>
              <c:showSerName val="0"/>
              <c:showPercent val="1"/>
              <c:showBubbleSize val="0"/>
              <c:extLst>
                <c:ext xmlns:c15="http://schemas.microsoft.com/office/drawing/2012/chart" uri="{CE6537A1-D6FC-4f65-9D91-7224C49458BB}">
                  <c15:layout>
                    <c:manualLayout>
                      <c:w val="0.25323741007194245"/>
                      <c:h val="0.21185185185185185"/>
                    </c:manualLayout>
                  </c15:layout>
                </c:ext>
                <c:ext xmlns:c16="http://schemas.microsoft.com/office/drawing/2014/chart" uri="{C3380CC4-5D6E-409C-BE32-E72D297353CC}">
                  <c16:uniqueId val="{00000001-6D8E-486E-89EA-A355A3AB2745}"/>
                </c:ext>
              </c:extLst>
            </c:dLbl>
            <c:dLbl>
              <c:idx val="1"/>
              <c:layout>
                <c:manualLayout>
                  <c:x val="0.25266413640740948"/>
                  <c:y val="0.1428718846041679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6D8E-486E-89EA-A355A3AB2745}"/>
                </c:ext>
              </c:extLst>
            </c:dLbl>
            <c:dLbl>
              <c:idx val="2"/>
              <c:layout>
                <c:manualLayout>
                  <c:x val="2.8199739421061569E-2"/>
                  <c:y val="0.16779056464095835"/>
                </c:manualLayout>
              </c:layout>
              <c:showLegendKey val="0"/>
              <c:showVal val="0"/>
              <c:showCatName val="1"/>
              <c:showSerName val="0"/>
              <c:showPercent val="1"/>
              <c:showBubbleSize val="0"/>
              <c:extLst>
                <c:ext xmlns:c15="http://schemas.microsoft.com/office/drawing/2012/chart" uri="{CE6537A1-D6FC-4f65-9D91-7224C49458BB}">
                  <c15:layout>
                    <c:manualLayout>
                      <c:w val="0.26177458033573137"/>
                      <c:h val="0.21185185185185185"/>
                    </c:manualLayout>
                  </c15:layout>
                </c:ext>
                <c:ext xmlns:c16="http://schemas.microsoft.com/office/drawing/2014/chart" uri="{C3380CC4-5D6E-409C-BE32-E72D297353CC}">
                  <c16:uniqueId val="{00000005-6D8E-486E-89EA-A355A3AB2745}"/>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Sheet1!$C$1:$E$1</c:f>
              <c:strCache>
                <c:ptCount val="3"/>
                <c:pt idx="0">
                  <c:v>wyniki zadowalające</c:v>
                </c:pt>
                <c:pt idx="1">
                  <c:v>wyniki wątpliwe</c:v>
                </c:pt>
                <c:pt idx="2">
                  <c:v>wyniki niezadowalające</c:v>
                </c:pt>
              </c:strCache>
            </c:strRef>
          </c:cat>
          <c:val>
            <c:numRef>
              <c:f>Sheet1!$C$8:$E$8</c:f>
              <c:numCache>
                <c:formatCode>0.0%</c:formatCode>
                <c:ptCount val="3"/>
                <c:pt idx="0">
                  <c:v>0.94661190965092401</c:v>
                </c:pt>
                <c:pt idx="1">
                  <c:v>3.7987679671457907E-2</c:v>
                </c:pt>
                <c:pt idx="2">
                  <c:v>1.5400410677618069E-2</c:v>
                </c:pt>
              </c:numCache>
            </c:numRef>
          </c:val>
          <c:extLst>
            <c:ext xmlns:c16="http://schemas.microsoft.com/office/drawing/2014/chart" uri="{C3380CC4-5D6E-409C-BE32-E72D297353CC}">
              <c16:uniqueId val="{00000006-6D8E-486E-89EA-A355A3AB2745}"/>
            </c:ext>
          </c:extLst>
        </c:ser>
        <c:dLbls>
          <c:showLegendKey val="0"/>
          <c:showVal val="0"/>
          <c:showCatName val="1"/>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'Wykresy 2022'!$A$201</c:f>
              <c:strCache>
                <c:ptCount val="1"/>
                <c:pt idx="0">
                  <c:v>Kategoria I</c:v>
                </c:pt>
              </c:strCache>
            </c:strRef>
          </c:tx>
          <c:spPr>
            <a:solidFill>
              <a:schemeClr val="accent1"/>
            </a:solidFill>
            <a:ln>
              <a:noFill/>
            </a:ln>
            <a:effectLst/>
          </c:spPr>
          <c:invertIfNegative val="0"/>
          <c:cat>
            <c:strRef>
              <c:f>'Wykresy 2022'!$B$199:$Q$200</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'Wykresy 2022'!$B$201:$Q$201</c:f>
              <c:numCache>
                <c:formatCode>General</c:formatCode>
                <c:ptCount val="16"/>
                <c:pt idx="0">
                  <c:v>34</c:v>
                </c:pt>
                <c:pt idx="1">
                  <c:v>42</c:v>
                </c:pt>
                <c:pt idx="2">
                  <c:v>24</c:v>
                </c:pt>
                <c:pt idx="3">
                  <c:v>35</c:v>
                </c:pt>
                <c:pt idx="4">
                  <c:v>37</c:v>
                </c:pt>
                <c:pt idx="5">
                  <c:v>46</c:v>
                </c:pt>
                <c:pt idx="6">
                  <c:v>57</c:v>
                </c:pt>
                <c:pt idx="7">
                  <c:v>20</c:v>
                </c:pt>
                <c:pt idx="8">
                  <c:v>32</c:v>
                </c:pt>
                <c:pt idx="9">
                  <c:v>23</c:v>
                </c:pt>
                <c:pt idx="10">
                  <c:v>36</c:v>
                </c:pt>
                <c:pt idx="11">
                  <c:v>52</c:v>
                </c:pt>
                <c:pt idx="12">
                  <c:v>11</c:v>
                </c:pt>
                <c:pt idx="13">
                  <c:v>24</c:v>
                </c:pt>
                <c:pt idx="14">
                  <c:v>69</c:v>
                </c:pt>
                <c:pt idx="15">
                  <c:v>40</c:v>
                </c:pt>
              </c:numCache>
            </c:numRef>
          </c:val>
          <c:extLst>
            <c:ext xmlns:c16="http://schemas.microsoft.com/office/drawing/2014/chart" uri="{C3380CC4-5D6E-409C-BE32-E72D297353CC}">
              <c16:uniqueId val="{00000000-08E8-449F-8C10-0A20CAC8F0D5}"/>
            </c:ext>
          </c:extLst>
        </c:ser>
        <c:ser>
          <c:idx val="1"/>
          <c:order val="1"/>
          <c:tx>
            <c:strRef>
              <c:f>'Wykresy 2022'!$A$202</c:f>
              <c:strCache>
                <c:ptCount val="1"/>
                <c:pt idx="0">
                  <c:v>Kategoria II</c:v>
                </c:pt>
              </c:strCache>
            </c:strRef>
          </c:tx>
          <c:spPr>
            <a:solidFill>
              <a:schemeClr val="accent2"/>
            </a:solidFill>
            <a:ln>
              <a:noFill/>
            </a:ln>
            <a:effectLst/>
          </c:spPr>
          <c:invertIfNegative val="0"/>
          <c:cat>
            <c:strRef>
              <c:f>'Wykresy 2022'!$B$199:$Q$200</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'Wykresy 2022'!$B$202:$Q$202</c:f>
              <c:numCache>
                <c:formatCode>General</c:formatCode>
                <c:ptCount val="16"/>
                <c:pt idx="0">
                  <c:v>41</c:v>
                </c:pt>
                <c:pt idx="1">
                  <c:v>44</c:v>
                </c:pt>
                <c:pt idx="2">
                  <c:v>13</c:v>
                </c:pt>
                <c:pt idx="3">
                  <c:v>15</c:v>
                </c:pt>
                <c:pt idx="4">
                  <c:v>104</c:v>
                </c:pt>
                <c:pt idx="5">
                  <c:v>65</c:v>
                </c:pt>
                <c:pt idx="6">
                  <c:v>111</c:v>
                </c:pt>
                <c:pt idx="7">
                  <c:v>28</c:v>
                </c:pt>
                <c:pt idx="8">
                  <c:v>30</c:v>
                </c:pt>
                <c:pt idx="9">
                  <c:v>35</c:v>
                </c:pt>
                <c:pt idx="10">
                  <c:v>27</c:v>
                </c:pt>
                <c:pt idx="11">
                  <c:v>60</c:v>
                </c:pt>
                <c:pt idx="12">
                  <c:v>33</c:v>
                </c:pt>
                <c:pt idx="13">
                  <c:v>26</c:v>
                </c:pt>
                <c:pt idx="14">
                  <c:v>244</c:v>
                </c:pt>
                <c:pt idx="15">
                  <c:v>44</c:v>
                </c:pt>
              </c:numCache>
            </c:numRef>
          </c:val>
          <c:extLst>
            <c:ext xmlns:c16="http://schemas.microsoft.com/office/drawing/2014/chart" uri="{C3380CC4-5D6E-409C-BE32-E72D297353CC}">
              <c16:uniqueId val="{00000001-08E8-449F-8C10-0A20CAC8F0D5}"/>
            </c:ext>
          </c:extLst>
        </c:ser>
        <c:ser>
          <c:idx val="2"/>
          <c:order val="2"/>
          <c:tx>
            <c:strRef>
              <c:f>'Wykresy 2022'!$A$203</c:f>
              <c:strCache>
                <c:ptCount val="1"/>
                <c:pt idx="0">
                  <c:v>Kategoria III</c:v>
                </c:pt>
              </c:strCache>
            </c:strRef>
          </c:tx>
          <c:spPr>
            <a:solidFill>
              <a:schemeClr val="accent3"/>
            </a:solidFill>
            <a:ln>
              <a:noFill/>
            </a:ln>
            <a:effectLst/>
          </c:spPr>
          <c:invertIfNegative val="0"/>
          <c:cat>
            <c:strRef>
              <c:f>'Wykresy 2022'!$B$199:$Q$200</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'Wykresy 2022'!$B$203:$Q$203</c:f>
              <c:numCache>
                <c:formatCode>General</c:formatCode>
                <c:ptCount val="16"/>
                <c:pt idx="0">
                  <c:v>25</c:v>
                </c:pt>
                <c:pt idx="1">
                  <c:v>58</c:v>
                </c:pt>
                <c:pt idx="2">
                  <c:v>52</c:v>
                </c:pt>
                <c:pt idx="3">
                  <c:v>32</c:v>
                </c:pt>
                <c:pt idx="4">
                  <c:v>33</c:v>
                </c:pt>
                <c:pt idx="5">
                  <c:v>62</c:v>
                </c:pt>
                <c:pt idx="6">
                  <c:v>103</c:v>
                </c:pt>
                <c:pt idx="7">
                  <c:v>47</c:v>
                </c:pt>
                <c:pt idx="8">
                  <c:v>76</c:v>
                </c:pt>
                <c:pt idx="9">
                  <c:v>75</c:v>
                </c:pt>
                <c:pt idx="10">
                  <c:v>22</c:v>
                </c:pt>
                <c:pt idx="11">
                  <c:v>26</c:v>
                </c:pt>
                <c:pt idx="12">
                  <c:v>21</c:v>
                </c:pt>
                <c:pt idx="13">
                  <c:v>65</c:v>
                </c:pt>
                <c:pt idx="14">
                  <c:v>119</c:v>
                </c:pt>
                <c:pt idx="15">
                  <c:v>41</c:v>
                </c:pt>
              </c:numCache>
            </c:numRef>
          </c:val>
          <c:extLst>
            <c:ext xmlns:c16="http://schemas.microsoft.com/office/drawing/2014/chart" uri="{C3380CC4-5D6E-409C-BE32-E72D297353CC}">
              <c16:uniqueId val="{00000002-08E8-449F-8C10-0A20CAC8F0D5}"/>
            </c:ext>
          </c:extLst>
        </c:ser>
        <c:ser>
          <c:idx val="3"/>
          <c:order val="3"/>
          <c:tx>
            <c:strRef>
              <c:f>'Wykresy 2022'!$A$204</c:f>
              <c:strCache>
                <c:ptCount val="1"/>
                <c:pt idx="0">
                  <c:v>Kategoria IV</c:v>
                </c:pt>
              </c:strCache>
            </c:strRef>
          </c:tx>
          <c:spPr>
            <a:solidFill>
              <a:schemeClr val="accent4"/>
            </a:solidFill>
            <a:ln>
              <a:noFill/>
            </a:ln>
            <a:effectLst/>
          </c:spPr>
          <c:invertIfNegative val="0"/>
          <c:cat>
            <c:strRef>
              <c:f>'Wykresy 2022'!$B$199:$Q$200</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'Wykresy 2022'!$B$204:$Q$204</c:f>
              <c:numCache>
                <c:formatCode>General</c:formatCode>
                <c:ptCount val="16"/>
                <c:pt idx="0">
                  <c:v>66</c:v>
                </c:pt>
                <c:pt idx="1">
                  <c:v>249</c:v>
                </c:pt>
                <c:pt idx="2">
                  <c:v>259</c:v>
                </c:pt>
                <c:pt idx="3">
                  <c:v>207</c:v>
                </c:pt>
                <c:pt idx="4">
                  <c:v>122</c:v>
                </c:pt>
                <c:pt idx="5">
                  <c:v>154</c:v>
                </c:pt>
                <c:pt idx="6">
                  <c:v>150</c:v>
                </c:pt>
                <c:pt idx="7">
                  <c:v>57</c:v>
                </c:pt>
                <c:pt idx="8">
                  <c:v>215</c:v>
                </c:pt>
                <c:pt idx="9">
                  <c:v>133</c:v>
                </c:pt>
                <c:pt idx="10">
                  <c:v>56</c:v>
                </c:pt>
                <c:pt idx="11">
                  <c:v>33</c:v>
                </c:pt>
                <c:pt idx="12">
                  <c:v>23</c:v>
                </c:pt>
                <c:pt idx="13">
                  <c:v>140</c:v>
                </c:pt>
                <c:pt idx="14">
                  <c:v>256</c:v>
                </c:pt>
                <c:pt idx="15">
                  <c:v>97</c:v>
                </c:pt>
              </c:numCache>
            </c:numRef>
          </c:val>
          <c:extLst>
            <c:ext xmlns:c16="http://schemas.microsoft.com/office/drawing/2014/chart" uri="{C3380CC4-5D6E-409C-BE32-E72D297353CC}">
              <c16:uniqueId val="{00000003-08E8-449F-8C10-0A20CAC8F0D5}"/>
            </c:ext>
          </c:extLst>
        </c:ser>
        <c:ser>
          <c:idx val="4"/>
          <c:order val="4"/>
          <c:tx>
            <c:strRef>
              <c:f>'Wykresy 2022'!$A$205</c:f>
              <c:strCache>
                <c:ptCount val="1"/>
                <c:pt idx="0">
                  <c:v>Kategoria V</c:v>
                </c:pt>
              </c:strCache>
            </c:strRef>
          </c:tx>
          <c:spPr>
            <a:solidFill>
              <a:schemeClr val="accent5"/>
            </a:solidFill>
            <a:ln>
              <a:noFill/>
            </a:ln>
            <a:effectLst/>
          </c:spPr>
          <c:invertIfNegative val="0"/>
          <c:cat>
            <c:strRef>
              <c:f>'Wykresy 2022'!$B$199:$Q$200</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'Wykresy 2022'!$B$205:$Q$205</c:f>
              <c:numCache>
                <c:formatCode>General</c:formatCode>
                <c:ptCount val="16"/>
                <c:pt idx="0">
                  <c:v>84</c:v>
                </c:pt>
                <c:pt idx="1">
                  <c:v>188</c:v>
                </c:pt>
                <c:pt idx="2">
                  <c:v>252</c:v>
                </c:pt>
                <c:pt idx="3">
                  <c:v>124</c:v>
                </c:pt>
                <c:pt idx="4">
                  <c:v>160</c:v>
                </c:pt>
                <c:pt idx="5">
                  <c:v>163</c:v>
                </c:pt>
                <c:pt idx="6">
                  <c:v>135</c:v>
                </c:pt>
                <c:pt idx="7">
                  <c:v>78</c:v>
                </c:pt>
                <c:pt idx="8">
                  <c:v>368</c:v>
                </c:pt>
                <c:pt idx="9">
                  <c:v>300</c:v>
                </c:pt>
                <c:pt idx="10">
                  <c:v>134</c:v>
                </c:pt>
                <c:pt idx="11">
                  <c:v>85</c:v>
                </c:pt>
                <c:pt idx="12">
                  <c:v>101</c:v>
                </c:pt>
                <c:pt idx="13">
                  <c:v>262</c:v>
                </c:pt>
                <c:pt idx="14">
                  <c:v>142</c:v>
                </c:pt>
                <c:pt idx="15">
                  <c:v>60</c:v>
                </c:pt>
              </c:numCache>
            </c:numRef>
          </c:val>
          <c:extLst>
            <c:ext xmlns:c16="http://schemas.microsoft.com/office/drawing/2014/chart" uri="{C3380CC4-5D6E-409C-BE32-E72D297353CC}">
              <c16:uniqueId val="{00000004-08E8-449F-8C10-0A20CAC8F0D5}"/>
            </c:ext>
          </c:extLst>
        </c:ser>
        <c:dLbls>
          <c:showLegendKey val="0"/>
          <c:showVal val="0"/>
          <c:showCatName val="0"/>
          <c:showSerName val="0"/>
          <c:showPercent val="0"/>
          <c:showBubbleSize val="0"/>
        </c:dLbls>
        <c:gapWidth val="219"/>
        <c:overlap val="-27"/>
        <c:axId val="1478213632"/>
        <c:axId val="1478202400"/>
        <c:extLst/>
      </c:barChart>
      <c:catAx>
        <c:axId val="1478213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1478202400"/>
        <c:crosses val="autoZero"/>
        <c:auto val="1"/>
        <c:lblAlgn val="ctr"/>
        <c:lblOffset val="100"/>
        <c:noMultiLvlLbl val="0"/>
      </c:catAx>
      <c:valAx>
        <c:axId val="14782024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1478213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pl-PL">
                <a:solidFill>
                  <a:schemeClr val="accent1">
                    <a:lumMod val="75000"/>
                  </a:schemeClr>
                </a:solidFill>
              </a:rPr>
              <a:t>oznaczenia chromatograficzne</a:t>
            </a:r>
          </a:p>
        </c:rich>
      </c:tx>
      <c:layout>
        <c:manualLayout>
          <c:xMode val="edge"/>
          <c:yMode val="edge"/>
          <c:x val="0.20568232662192393"/>
          <c:y val="5.4869684499314125E-3"/>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pl-PL"/>
        </a:p>
      </c:txPr>
    </c:title>
    <c:autoTitleDeleted val="0"/>
    <c:view3D>
      <c:rotX val="30"/>
      <c:rotY val="235"/>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805555555555555"/>
          <c:y val="0.20021689997083697"/>
          <c:w val="0.81388888888888888"/>
          <c:h val="0.65757545931758532"/>
        </c:manualLayout>
      </c:layout>
      <c:pie3DChart>
        <c:varyColors val="1"/>
        <c:ser>
          <c:idx val="0"/>
          <c:order val="0"/>
          <c:explosion val="32"/>
          <c:dPt>
            <c:idx val="0"/>
            <c:bubble3D val="0"/>
            <c:spPr>
              <a:gradFill rotWithShape="1">
                <a:gsLst>
                  <a:gs pos="0">
                    <a:schemeClr val="accent1">
                      <a:shade val="65000"/>
                      <a:satMod val="103000"/>
                      <a:lumMod val="102000"/>
                      <a:tint val="94000"/>
                    </a:schemeClr>
                  </a:gs>
                  <a:gs pos="50000">
                    <a:schemeClr val="accent1">
                      <a:shade val="65000"/>
                      <a:satMod val="110000"/>
                      <a:lumMod val="100000"/>
                      <a:shade val="100000"/>
                    </a:schemeClr>
                  </a:gs>
                  <a:gs pos="100000">
                    <a:schemeClr val="accent1">
                      <a:shade val="65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0433-4C4A-B106-90C996A5159E}"/>
              </c:ext>
            </c:extLst>
          </c:dPt>
          <c:dPt>
            <c:idx val="1"/>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0433-4C4A-B106-90C996A5159E}"/>
              </c:ext>
            </c:extLst>
          </c:dPt>
          <c:dPt>
            <c:idx val="2"/>
            <c:bubble3D val="0"/>
            <c:spPr>
              <a:gradFill rotWithShape="1">
                <a:gsLst>
                  <a:gs pos="0">
                    <a:schemeClr val="accent1">
                      <a:tint val="65000"/>
                      <a:satMod val="103000"/>
                      <a:lumMod val="102000"/>
                      <a:tint val="94000"/>
                    </a:schemeClr>
                  </a:gs>
                  <a:gs pos="50000">
                    <a:schemeClr val="accent1">
                      <a:tint val="65000"/>
                      <a:satMod val="110000"/>
                      <a:lumMod val="100000"/>
                      <a:shade val="100000"/>
                    </a:schemeClr>
                  </a:gs>
                  <a:gs pos="100000">
                    <a:schemeClr val="accent1">
                      <a:tint val="65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0433-4C4A-B106-90C996A5159E}"/>
              </c:ext>
            </c:extLst>
          </c:dPt>
          <c:dLbls>
            <c:dLbl>
              <c:idx val="0"/>
              <c:tx>
                <c:rich>
                  <a:bodyPr/>
                  <a:lstStyle/>
                  <a:p>
                    <a:fld id="{9E6DCFA6-D42B-463A-832D-56D0C059F4BF}" type="CATEGORYNAME">
                      <a:rPr lang="en-US">
                        <a:solidFill>
                          <a:schemeClr val="bg1"/>
                        </a:solidFill>
                      </a:rPr>
                      <a:pPr/>
                      <a:t>[NAZWA KATEGORII]</a:t>
                    </a:fld>
                    <a:r>
                      <a:rPr lang="en-US" baseline="0">
                        <a:solidFill>
                          <a:schemeClr val="bg1"/>
                        </a:solidFill>
                      </a:rPr>
                      <a:t>
</a:t>
                    </a:r>
                    <a:fld id="{91B9CD99-63F7-47A4-A310-505701245255}" type="PERCENTAGE">
                      <a:rPr lang="en-US" baseline="0">
                        <a:solidFill>
                          <a:schemeClr val="bg1"/>
                        </a:solidFill>
                      </a:rPr>
                      <a:pPr/>
                      <a:t>[PROCENTOWE]</a:t>
                    </a:fld>
                    <a:endParaRPr lang="en-US" baseline="0">
                      <a:solidFill>
                        <a:schemeClr val="bg1"/>
                      </a:solidFill>
                    </a:endParaRP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0433-4C4A-B106-90C996A5159E}"/>
                </c:ext>
              </c:extLst>
            </c:dLbl>
            <c:dLbl>
              <c:idx val="1"/>
              <c:layout>
                <c:manualLayout>
                  <c:x val="0.25006359104440801"/>
                  <c:y val="0.10437250899193166"/>
                </c:manualLayout>
              </c:layout>
              <c:showLegendKey val="0"/>
              <c:showVal val="0"/>
              <c:showCatName val="1"/>
              <c:showSerName val="0"/>
              <c:showPercent val="1"/>
              <c:showBubbleSize val="0"/>
              <c:extLst>
                <c:ext xmlns:c15="http://schemas.microsoft.com/office/drawing/2012/chart" uri="{CE6537A1-D6FC-4f65-9D91-7224C49458BB}">
                  <c15:layout>
                    <c:manualLayout>
                      <c:w val="0.20619669185647091"/>
                      <c:h val="0.15711955758616591"/>
                    </c:manualLayout>
                  </c15:layout>
                </c:ext>
                <c:ext xmlns:c16="http://schemas.microsoft.com/office/drawing/2014/chart" uri="{C3380CC4-5D6E-409C-BE32-E72D297353CC}">
                  <c16:uniqueId val="{00000003-0433-4C4A-B106-90C996A5159E}"/>
                </c:ext>
              </c:extLst>
            </c:dLbl>
            <c:dLbl>
              <c:idx val="2"/>
              <c:layout>
                <c:manualLayout>
                  <c:x val="2.2371364653243847E-3"/>
                  <c:y val="0.11333484548999256"/>
                </c:manualLayout>
              </c:layout>
              <c:showLegendKey val="0"/>
              <c:showVal val="0"/>
              <c:showCatName val="1"/>
              <c:showSerName val="0"/>
              <c:showPercent val="1"/>
              <c:showBubbleSize val="0"/>
              <c:extLst>
                <c:ext xmlns:c15="http://schemas.microsoft.com/office/drawing/2012/chart" uri="{CE6537A1-D6FC-4f65-9D91-7224C49458BB}">
                  <c15:layout>
                    <c:manualLayout>
                      <c:w val="0.25170039986612414"/>
                      <c:h val="0.20400548696844995"/>
                    </c:manualLayout>
                  </c15:layout>
                </c:ext>
                <c:ext xmlns:c16="http://schemas.microsoft.com/office/drawing/2014/chart" uri="{C3380CC4-5D6E-409C-BE32-E72D297353CC}">
                  <c16:uniqueId val="{00000005-0433-4C4A-B106-90C996A5159E}"/>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Sheet1!$C$1:$E$1</c:f>
              <c:strCache>
                <c:ptCount val="3"/>
                <c:pt idx="0">
                  <c:v>wyniki zadowalające</c:v>
                </c:pt>
                <c:pt idx="1">
                  <c:v>wyniki wątpliwe</c:v>
                </c:pt>
                <c:pt idx="2">
                  <c:v>wyniki niezadowalające</c:v>
                </c:pt>
              </c:strCache>
            </c:strRef>
          </c:cat>
          <c:val>
            <c:numRef>
              <c:f>Sheet1!$L$18:$N$18</c:f>
              <c:numCache>
                <c:formatCode>0.0%</c:formatCode>
                <c:ptCount val="3"/>
                <c:pt idx="0">
                  <c:v>0.93181818181818177</c:v>
                </c:pt>
                <c:pt idx="1">
                  <c:v>4.5454545454545456E-2</c:v>
                </c:pt>
                <c:pt idx="2">
                  <c:v>2.2727272727272728E-2</c:v>
                </c:pt>
              </c:numCache>
            </c:numRef>
          </c:val>
          <c:extLst>
            <c:ext xmlns:c16="http://schemas.microsoft.com/office/drawing/2014/chart" uri="{C3380CC4-5D6E-409C-BE32-E72D297353CC}">
              <c16:uniqueId val="{00000006-0433-4C4A-B106-90C996A5159E}"/>
            </c:ext>
          </c:extLst>
        </c:ser>
        <c:dLbls>
          <c:showLegendKey val="0"/>
          <c:showVal val="0"/>
          <c:showCatName val="1"/>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rgbClr val="00CC66"/>
                </a:solidFill>
                <a:latin typeface="+mn-lt"/>
                <a:ea typeface="+mn-ea"/>
                <a:cs typeface="+mn-cs"/>
              </a:defRPr>
            </a:pPr>
            <a:r>
              <a:rPr lang="pl-PL">
                <a:solidFill>
                  <a:srgbClr val="00CC66"/>
                </a:solidFill>
              </a:rPr>
              <a:t>metale</a:t>
            </a:r>
          </a:p>
        </c:rich>
      </c:tx>
      <c:layout>
        <c:manualLayout>
          <c:xMode val="edge"/>
          <c:yMode val="edge"/>
          <c:x val="0.44308718766129762"/>
          <c:y val="2.571428860678162E-2"/>
        </c:manualLayout>
      </c:layout>
      <c:overlay val="0"/>
      <c:spPr>
        <a:noFill/>
        <a:ln>
          <a:noFill/>
        </a:ln>
        <a:effectLst/>
      </c:spPr>
      <c:txPr>
        <a:bodyPr rot="0" spcFirstLastPara="1" vertOverflow="ellipsis" vert="horz" wrap="square" anchor="ctr" anchorCtr="1"/>
        <a:lstStyle/>
        <a:p>
          <a:pPr>
            <a:defRPr sz="1600" b="1" i="0" u="none" strike="noStrike" kern="1200" baseline="0">
              <a:solidFill>
                <a:srgbClr val="00CC66"/>
              </a:solidFill>
              <a:latin typeface="+mn-lt"/>
              <a:ea typeface="+mn-ea"/>
              <a:cs typeface="+mn-cs"/>
            </a:defRPr>
          </a:pPr>
          <a:endParaRPr lang="pl-PL"/>
        </a:p>
      </c:txPr>
    </c:title>
    <c:autoTitleDeleted val="0"/>
    <c:view3D>
      <c:rotX val="30"/>
      <c:rotY val="235"/>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756061432914945"/>
          <c:y val="0.18888536949878432"/>
          <c:w val="0.81388888888888888"/>
          <c:h val="0.65757545931758532"/>
        </c:manualLayout>
      </c:layout>
      <c:pie3DChart>
        <c:varyColors val="1"/>
        <c:ser>
          <c:idx val="0"/>
          <c:order val="0"/>
          <c:explosion val="10"/>
          <c:dPt>
            <c:idx val="0"/>
            <c:bubble3D val="0"/>
            <c:spPr>
              <a:solidFill>
                <a:srgbClr val="00CC66"/>
              </a:soli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E3FE-47C0-8011-10978FBD336F}"/>
              </c:ext>
            </c:extLst>
          </c:dPt>
          <c:dPt>
            <c:idx val="1"/>
            <c:bubble3D val="0"/>
            <c:spPr>
              <a:solidFill>
                <a:srgbClr val="00FFCC"/>
              </a:soli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E3FE-47C0-8011-10978FBD336F}"/>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E3FE-47C0-8011-10978FBD336F}"/>
              </c:ext>
            </c:extLst>
          </c:dPt>
          <c:dLbls>
            <c:dLbl>
              <c:idx val="1"/>
              <c:layout>
                <c:manualLayout>
                  <c:x val="0.25967159117486549"/>
                  <c:y val="0.13989694630947325"/>
                </c:manualLayout>
              </c:layout>
              <c:showLegendKey val="0"/>
              <c:showVal val="0"/>
              <c:showCatName val="1"/>
              <c:showSerName val="0"/>
              <c:showPercent val="1"/>
              <c:showBubbleSize val="0"/>
              <c:extLst>
                <c:ext xmlns:c15="http://schemas.microsoft.com/office/drawing/2012/chart" uri="{CE6537A1-D6FC-4f65-9D91-7224C49458BB}">
                  <c15:layout>
                    <c:manualLayout>
                      <c:w val="0.16378693381149137"/>
                      <c:h val="0.16223818339987955"/>
                    </c:manualLayout>
                  </c15:layout>
                </c:ext>
                <c:ext xmlns:c16="http://schemas.microsoft.com/office/drawing/2014/chart" uri="{C3380CC4-5D6E-409C-BE32-E72D297353CC}">
                  <c16:uniqueId val="{00000003-E3FE-47C0-8011-10978FBD336F}"/>
                </c:ext>
              </c:extLst>
            </c:dLbl>
            <c:dLbl>
              <c:idx val="2"/>
              <c:layout>
                <c:manualLayout>
                  <c:x val="2.7013331254385287E-3"/>
                  <c:y val="9.5407642033414383E-2"/>
                </c:manualLayout>
              </c:layout>
              <c:showLegendKey val="0"/>
              <c:showVal val="0"/>
              <c:showCatName val="1"/>
              <c:showSerName val="0"/>
              <c:showPercent val="1"/>
              <c:showBubbleSize val="0"/>
              <c:extLst>
                <c:ext xmlns:c15="http://schemas.microsoft.com/office/drawing/2012/chart" uri="{CE6537A1-D6FC-4f65-9D91-7224C49458BB}">
                  <c15:layout>
                    <c:manualLayout>
                      <c:w val="0.29814336945505576"/>
                      <c:h val="0.2106515580736544"/>
                    </c:manualLayout>
                  </c15:layout>
                </c:ext>
                <c:ext xmlns:c16="http://schemas.microsoft.com/office/drawing/2014/chart" uri="{C3380CC4-5D6E-409C-BE32-E72D297353CC}">
                  <c16:uniqueId val="{00000005-E3FE-47C0-8011-10978FBD336F}"/>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Sheet1!$C$1:$E$1</c:f>
              <c:strCache>
                <c:ptCount val="3"/>
                <c:pt idx="0">
                  <c:v>wyniki zadowalające</c:v>
                </c:pt>
                <c:pt idx="1">
                  <c:v>wyniki wątpliwe</c:v>
                </c:pt>
                <c:pt idx="2">
                  <c:v>wyniki niezadowalające</c:v>
                </c:pt>
              </c:strCache>
            </c:strRef>
          </c:cat>
          <c:val>
            <c:numRef>
              <c:f>Sheet1!$C$11:$E$11</c:f>
              <c:numCache>
                <c:formatCode>0.0%</c:formatCode>
                <c:ptCount val="3"/>
                <c:pt idx="0">
                  <c:v>0.9452054794520548</c:v>
                </c:pt>
                <c:pt idx="1">
                  <c:v>4.1095890410958902E-2</c:v>
                </c:pt>
                <c:pt idx="2">
                  <c:v>1.3698630136986301E-2</c:v>
                </c:pt>
              </c:numCache>
            </c:numRef>
          </c:val>
          <c:extLst>
            <c:ext xmlns:c16="http://schemas.microsoft.com/office/drawing/2014/chart" uri="{C3380CC4-5D6E-409C-BE32-E72D297353CC}">
              <c16:uniqueId val="{00000006-E3FE-47C0-8011-10978FBD336F}"/>
            </c:ext>
          </c:extLst>
        </c:ser>
        <c:dLbls>
          <c:showLegendKey val="0"/>
          <c:showVal val="0"/>
          <c:showCatName val="1"/>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pl-PL"/>
              <a:t>oznaczenia biologiczne</a:t>
            </a:r>
          </a:p>
        </c:rich>
      </c:tx>
      <c:layout>
        <c:manualLayout>
          <c:xMode val="edge"/>
          <c:yMode val="edge"/>
          <c:x val="0.17995906474993378"/>
          <c:y val="0"/>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pl-PL"/>
        </a:p>
      </c:txPr>
    </c:title>
    <c:autoTitleDeleted val="0"/>
    <c:view3D>
      <c:rotX val="30"/>
      <c:rotY val="229"/>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6893576376347454E-2"/>
          <c:y val="0.17184788071703802"/>
          <c:w val="0.90359315177345967"/>
          <c:h val="0.7355894342994358"/>
        </c:manualLayout>
      </c:layout>
      <c:pie3DChart>
        <c:varyColors val="1"/>
        <c:ser>
          <c:idx val="0"/>
          <c:order val="0"/>
          <c:explosion val="52"/>
          <c:dPt>
            <c:idx val="0"/>
            <c:bubble3D val="0"/>
            <c:explosion val="34"/>
            <c:spPr>
              <a:gradFill rotWithShape="1">
                <a:gsLst>
                  <a:gs pos="0">
                    <a:schemeClr val="accent4">
                      <a:shade val="65000"/>
                      <a:satMod val="103000"/>
                      <a:lumMod val="102000"/>
                      <a:tint val="94000"/>
                    </a:schemeClr>
                  </a:gs>
                  <a:gs pos="50000">
                    <a:schemeClr val="accent4">
                      <a:shade val="65000"/>
                      <a:satMod val="110000"/>
                      <a:lumMod val="100000"/>
                      <a:shade val="100000"/>
                    </a:schemeClr>
                  </a:gs>
                  <a:gs pos="100000">
                    <a:schemeClr val="accent4">
                      <a:shade val="65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C7E4-450D-BF18-B75055D1E148}"/>
              </c:ext>
            </c:extLst>
          </c:dPt>
          <c:dPt>
            <c:idx val="1"/>
            <c:bubble3D val="0"/>
            <c:explosion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C7E4-450D-BF18-B75055D1E148}"/>
              </c:ext>
            </c:extLst>
          </c:dPt>
          <c:dPt>
            <c:idx val="2"/>
            <c:bubble3D val="0"/>
            <c:explosion val="0"/>
            <c:spPr>
              <a:gradFill rotWithShape="1">
                <a:gsLst>
                  <a:gs pos="0">
                    <a:schemeClr val="accent4">
                      <a:tint val="65000"/>
                      <a:satMod val="103000"/>
                      <a:lumMod val="102000"/>
                      <a:tint val="94000"/>
                    </a:schemeClr>
                  </a:gs>
                  <a:gs pos="50000">
                    <a:schemeClr val="accent4">
                      <a:tint val="65000"/>
                      <a:satMod val="110000"/>
                      <a:lumMod val="100000"/>
                      <a:shade val="100000"/>
                    </a:schemeClr>
                  </a:gs>
                  <a:gs pos="100000">
                    <a:schemeClr val="accent4">
                      <a:tint val="65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C7E4-450D-BF18-B75055D1E148}"/>
              </c:ext>
            </c:extLst>
          </c:dPt>
          <c:dLbls>
            <c:dLbl>
              <c:idx val="0"/>
              <c:layout>
                <c:manualLayout>
                  <c:x val="-9.9434290897124092E-2"/>
                  <c:y val="0.1805941810465181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7E4-450D-BF18-B75055D1E148}"/>
                </c:ext>
              </c:extLst>
            </c:dLbl>
            <c:dLbl>
              <c:idx val="1"/>
              <c:layout>
                <c:manualLayout>
                  <c:x val="0.1428749387977879"/>
                  <c:y val="8.614173228346457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7E4-450D-BF18-B75055D1E148}"/>
                </c:ext>
              </c:extLst>
            </c:dLbl>
            <c:dLbl>
              <c:idx val="2"/>
              <c:layout>
                <c:manualLayout>
                  <c:x val="0"/>
                  <c:y val="-0.11606745965264981"/>
                </c:manualLayout>
              </c:layout>
              <c:showLegendKey val="0"/>
              <c:showVal val="0"/>
              <c:showCatName val="1"/>
              <c:showSerName val="0"/>
              <c:showPercent val="1"/>
              <c:showBubbleSize val="0"/>
              <c:extLst>
                <c:ext xmlns:c15="http://schemas.microsoft.com/office/drawing/2012/chart" uri="{CE6537A1-D6FC-4f65-9D91-7224C49458BB}">
                  <c15:layout>
                    <c:manualLayout>
                      <c:w val="0.29531106776790517"/>
                      <c:h val="0.33290780141843973"/>
                    </c:manualLayout>
                  </c15:layout>
                </c:ext>
                <c:ext xmlns:c16="http://schemas.microsoft.com/office/drawing/2014/chart" uri="{C3380CC4-5D6E-409C-BE32-E72D297353CC}">
                  <c16:uniqueId val="{00000005-C7E4-450D-BF18-B75055D1E148}"/>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Sheet1!$C$1:$E$1</c:f>
              <c:strCache>
                <c:ptCount val="3"/>
                <c:pt idx="0">
                  <c:v>wyniki zadowalające</c:v>
                </c:pt>
                <c:pt idx="1">
                  <c:v>wyniki wątpliwe</c:v>
                </c:pt>
                <c:pt idx="2">
                  <c:v>wyniki niezadowalające</c:v>
                </c:pt>
              </c:strCache>
            </c:strRef>
          </c:cat>
          <c:val>
            <c:numRef>
              <c:f>Sheet1!$L$12:$N$12</c:f>
              <c:numCache>
                <c:formatCode>0.0%</c:formatCode>
                <c:ptCount val="3"/>
                <c:pt idx="0">
                  <c:v>0.91666666666666663</c:v>
                </c:pt>
                <c:pt idx="1">
                  <c:v>6.25E-2</c:v>
                </c:pt>
                <c:pt idx="2">
                  <c:v>2.0833333333333332E-2</c:v>
                </c:pt>
              </c:numCache>
            </c:numRef>
          </c:val>
          <c:extLst>
            <c:ext xmlns:c16="http://schemas.microsoft.com/office/drawing/2014/chart" uri="{C3380CC4-5D6E-409C-BE32-E72D297353CC}">
              <c16:uniqueId val="{00000006-C7E4-450D-BF18-B75055D1E148}"/>
            </c:ext>
          </c:extLst>
        </c:ser>
        <c:dLbls>
          <c:showLegendKey val="0"/>
          <c:showVal val="0"/>
          <c:showCatName val="1"/>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1B6-440B-91FD-7F7E2AB014B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1B6-440B-91FD-7F7E2AB014B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1B6-440B-91FD-7F7E2AB014B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1B6-440B-91FD-7F7E2AB014B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41B6-440B-91FD-7F7E2AB014B2}"/>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41B6-440B-91FD-7F7E2AB014B2}"/>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'Wykresy 2022'!$A$243:$A$248</c:f>
              <c:strCache>
                <c:ptCount val="6"/>
                <c:pt idx="0">
                  <c:v>kontrole planowe zakładów w terenie</c:v>
                </c:pt>
                <c:pt idx="1">
                  <c:v>kontrole pozaplanowe zakładów w terenie (w tym interwencyjne)</c:v>
                </c:pt>
                <c:pt idx="2">
                  <c:v>kontrole z wyjazdem w teren bez ustalonego podmiotu</c:v>
                </c:pt>
                <c:pt idx="3">
                  <c:v>kontrole dokumentacji z badań automonitoringowych</c:v>
                </c:pt>
                <c:pt idx="4">
                  <c:v>kontrole dokumentacji z wyłączeniem badań automonitoringowych</c:v>
                </c:pt>
                <c:pt idx="5">
                  <c:v>kontrole dokumentacji bez ustalonego podmiotu</c:v>
                </c:pt>
              </c:strCache>
            </c:strRef>
          </c:cat>
          <c:val>
            <c:numRef>
              <c:f>'Wykresy 2022'!$B$243:$B$248</c:f>
              <c:numCache>
                <c:formatCode>#,##0</c:formatCode>
                <c:ptCount val="6"/>
                <c:pt idx="0">
                  <c:v>6727</c:v>
                </c:pt>
                <c:pt idx="1">
                  <c:v>7311</c:v>
                </c:pt>
                <c:pt idx="2">
                  <c:v>4020</c:v>
                </c:pt>
                <c:pt idx="3">
                  <c:v>18730</c:v>
                </c:pt>
                <c:pt idx="4">
                  <c:v>6069</c:v>
                </c:pt>
                <c:pt idx="5">
                  <c:v>477</c:v>
                </c:pt>
              </c:numCache>
            </c:numRef>
          </c:val>
          <c:extLst>
            <c:ext xmlns:c16="http://schemas.microsoft.com/office/drawing/2014/chart" uri="{C3380CC4-5D6E-409C-BE32-E72D297353CC}">
              <c16:uniqueId val="{0000000C-41B6-440B-91FD-7F7E2AB014B2}"/>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64561403508771931"/>
          <c:y val="0.10138936967244419"/>
          <c:w val="0.34035087719298246"/>
          <c:h val="0.8756523081673613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'Wykresy 2022'!$E$265</c:f>
              <c:strCache>
                <c:ptCount val="1"/>
                <c:pt idx="0">
                  <c:v>liczba kontroli zakładów z wyjazdem w teren</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'Wykresy 2022'!$D$267:$D$278</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'Wykresy 2022'!$E$267:$E$278</c:f>
              <c:numCache>
                <c:formatCode>#,##0</c:formatCode>
                <c:ptCount val="12"/>
                <c:pt idx="0">
                  <c:v>15937</c:v>
                </c:pt>
                <c:pt idx="1">
                  <c:v>16284</c:v>
                </c:pt>
                <c:pt idx="2">
                  <c:v>15889</c:v>
                </c:pt>
                <c:pt idx="3">
                  <c:v>13553</c:v>
                </c:pt>
                <c:pt idx="4">
                  <c:v>13069</c:v>
                </c:pt>
                <c:pt idx="5">
                  <c:v>13062</c:v>
                </c:pt>
                <c:pt idx="6">
                  <c:v>12517</c:v>
                </c:pt>
                <c:pt idx="7">
                  <c:v>12409</c:v>
                </c:pt>
                <c:pt idx="8">
                  <c:v>13765</c:v>
                </c:pt>
                <c:pt idx="9">
                  <c:v>13228</c:v>
                </c:pt>
                <c:pt idx="10">
                  <c:v>14686</c:v>
                </c:pt>
                <c:pt idx="11">
                  <c:v>14038</c:v>
                </c:pt>
              </c:numCache>
            </c:numRef>
          </c:val>
          <c:extLst>
            <c:ext xmlns:c16="http://schemas.microsoft.com/office/drawing/2014/chart" uri="{C3380CC4-5D6E-409C-BE32-E72D297353CC}">
              <c16:uniqueId val="{00000000-0619-4990-A94F-8DD250FCE050}"/>
            </c:ext>
          </c:extLst>
        </c:ser>
        <c:ser>
          <c:idx val="1"/>
          <c:order val="1"/>
          <c:tx>
            <c:strRef>
              <c:f>'Wykresy 2022'!$F$265</c:f>
              <c:strCache>
                <c:ptCount val="1"/>
                <c:pt idx="0">
                  <c:v>liczba kontroli zakładów w oparciu o dokumenty</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'Wykresy 2022'!$D$267:$D$278</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'Wykresy 2022'!$F$267:$F$278</c:f>
              <c:numCache>
                <c:formatCode>#,##0</c:formatCode>
                <c:ptCount val="12"/>
                <c:pt idx="0">
                  <c:v>13590</c:v>
                </c:pt>
                <c:pt idx="1">
                  <c:v>13892</c:v>
                </c:pt>
                <c:pt idx="2">
                  <c:v>19211</c:v>
                </c:pt>
                <c:pt idx="3">
                  <c:v>22029</c:v>
                </c:pt>
                <c:pt idx="4">
                  <c:v>23583</c:v>
                </c:pt>
                <c:pt idx="5">
                  <c:v>23232</c:v>
                </c:pt>
                <c:pt idx="6">
                  <c:v>23805</c:v>
                </c:pt>
                <c:pt idx="7">
                  <c:v>24866</c:v>
                </c:pt>
                <c:pt idx="8">
                  <c:v>31464</c:v>
                </c:pt>
                <c:pt idx="9">
                  <c:v>22172</c:v>
                </c:pt>
                <c:pt idx="10">
                  <c:v>22438</c:v>
                </c:pt>
                <c:pt idx="11">
                  <c:v>24799</c:v>
                </c:pt>
              </c:numCache>
            </c:numRef>
          </c:val>
          <c:extLst>
            <c:ext xmlns:c16="http://schemas.microsoft.com/office/drawing/2014/chart" uri="{C3380CC4-5D6E-409C-BE32-E72D297353CC}">
              <c16:uniqueId val="{00000001-0619-4990-A94F-8DD250FCE050}"/>
            </c:ext>
          </c:extLst>
        </c:ser>
        <c:dLbls>
          <c:dLblPos val="outEnd"/>
          <c:showLegendKey val="0"/>
          <c:showVal val="1"/>
          <c:showCatName val="0"/>
          <c:showSerName val="0"/>
          <c:showPercent val="0"/>
          <c:showBubbleSize val="0"/>
        </c:dLbls>
        <c:gapWidth val="219"/>
        <c:overlap val="-27"/>
        <c:axId val="1847140576"/>
        <c:axId val="1794309808"/>
      </c:barChart>
      <c:catAx>
        <c:axId val="1847140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1794309808"/>
        <c:crosses val="autoZero"/>
        <c:auto val="1"/>
        <c:lblAlgn val="ctr"/>
        <c:lblOffset val="100"/>
        <c:noMultiLvlLbl val="0"/>
      </c:catAx>
      <c:valAx>
        <c:axId val="17943098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1847140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167-4421-B503-5C6F67B198B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167-4421-B503-5C6F67B198B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167-4421-B503-5C6F67B198BF}"/>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'Tabele i wykres6'!$B$39:$B$41</c:f>
              <c:strCache>
                <c:ptCount val="3"/>
                <c:pt idx="0">
                  <c:v>naruszenia formalne bez istotnego wpływu na środowisko</c:v>
                </c:pt>
                <c:pt idx="1">
                  <c:v>naruszenia mogące spowodować zagrożenie lub zanieczyszczenie środowiska</c:v>
                </c:pt>
                <c:pt idx="2">
                  <c:v>kontrole bez wykrytych naruszeń</c:v>
                </c:pt>
              </c:strCache>
            </c:strRef>
          </c:cat>
          <c:val>
            <c:numRef>
              <c:f>'Tabele i wykres6'!$C$39:$C$41</c:f>
              <c:numCache>
                <c:formatCode>0%</c:formatCode>
                <c:ptCount val="3"/>
                <c:pt idx="0">
                  <c:v>0.34000569881749537</c:v>
                </c:pt>
                <c:pt idx="1">
                  <c:v>0.15401054281236642</c:v>
                </c:pt>
                <c:pt idx="2">
                  <c:v>0.5059837583701382</c:v>
                </c:pt>
              </c:numCache>
            </c:numRef>
          </c:val>
          <c:extLst>
            <c:ext xmlns:c16="http://schemas.microsoft.com/office/drawing/2014/chart" uri="{C3380CC4-5D6E-409C-BE32-E72D297353CC}">
              <c16:uniqueId val="{00000006-0167-4421-B503-5C6F67B198BF}"/>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91F-402E-9CFE-E67E6CA2DA2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91F-402E-9CFE-E67E6CA2DA2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91F-402E-9CFE-E67E6CA2DA2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91F-402E-9CFE-E67E6CA2DA2E}"/>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391F-402E-9CFE-E67E6CA2DA2E}"/>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391F-402E-9CFE-E67E6CA2DA2E}"/>
              </c:ext>
            </c:extLst>
          </c:dPt>
          <c:dLbls>
            <c:dLbl>
              <c:idx val="2"/>
              <c:layout>
                <c:manualLayout>
                  <c:x val="-2.0270270270270271E-2"/>
                  <c:y val="2.3323615160349784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91F-402E-9CFE-E67E6CA2DA2E}"/>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'Tabele dla dział. pokontr.'!$H$196:$H$201</c:f>
              <c:strCache>
                <c:ptCount val="6"/>
                <c:pt idx="0">
                  <c:v>budżet państwa</c:v>
                </c:pt>
                <c:pt idx="1">
                  <c:v>budżety powiatów</c:v>
                </c:pt>
                <c:pt idx="2">
                  <c:v>budżety gmin</c:v>
                </c:pt>
                <c:pt idx="3">
                  <c:v>Narodowy Fundusz Ochrony Środowiska i Gospodarki Wodnej</c:v>
                </c:pt>
                <c:pt idx="4">
                  <c:v>wojewódzkie fundusze ochrony środowiska i gospodarki wodnej</c:v>
                </c:pt>
                <c:pt idx="5">
                  <c:v>Państwowe Gospodarstwo Wodne Wody Polskie</c:v>
                </c:pt>
              </c:strCache>
            </c:strRef>
          </c:cat>
          <c:val>
            <c:numRef>
              <c:f>'Tabele dla dział. pokontr.'!$I$196:$I$201</c:f>
              <c:numCache>
                <c:formatCode>0.00%</c:formatCode>
                <c:ptCount val="6"/>
                <c:pt idx="0">
                  <c:v>0.33494976324270637</c:v>
                </c:pt>
                <c:pt idx="1">
                  <c:v>2.9835537298019923E-2</c:v>
                </c:pt>
                <c:pt idx="2">
                  <c:v>7.130710064311041E-2</c:v>
                </c:pt>
                <c:pt idx="3">
                  <c:v>0.29675413797722411</c:v>
                </c:pt>
                <c:pt idx="4">
                  <c:v>0.22822609664594787</c:v>
                </c:pt>
                <c:pt idx="5">
                  <c:v>3.8927364192991143E-2</c:v>
                </c:pt>
              </c:numCache>
            </c:numRef>
          </c:val>
          <c:extLst>
            <c:ext xmlns:c16="http://schemas.microsoft.com/office/drawing/2014/chart" uri="{C3380CC4-5D6E-409C-BE32-E72D297353CC}">
              <c16:uniqueId val="{0000000C-391F-402E-9CFE-E67E6CA2DA2E}"/>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liczba spraw</a:t>
            </a:r>
            <a:r>
              <a:rPr lang="pl-PL"/>
              <a:t>, które wpłynęły do GIOŚ jako organu II instancji</a:t>
            </a:r>
            <a:endParaRPr lang="en-US"/>
          </a:p>
        </c:rich>
      </c:tx>
      <c:overlay val="0"/>
      <c:spPr>
        <a:noFill/>
        <a:ln w="25394">
          <a:noFill/>
        </a:ln>
      </c:spPr>
    </c:title>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manualLayout>
          <c:layoutTarget val="inner"/>
          <c:xMode val="edge"/>
          <c:yMode val="edge"/>
          <c:x val="0.10024759405074365"/>
          <c:y val="0.18097222222222226"/>
          <c:w val="0.87753018372703417"/>
          <c:h val="0.72088764946048411"/>
        </c:manualLayout>
      </c:layout>
      <c:bar3DChart>
        <c:barDir val="col"/>
        <c:grouping val="clustered"/>
        <c:varyColors val="0"/>
        <c:ser>
          <c:idx val="0"/>
          <c:order val="0"/>
          <c:tx>
            <c:strRef>
              <c:f>Arkusz1!$C$5</c:f>
              <c:strCache>
                <c:ptCount val="1"/>
                <c:pt idx="0">
                  <c:v>liczba spraw</c:v>
                </c:pt>
              </c:strCache>
            </c:strRef>
          </c:tx>
          <c:spPr>
            <a:solidFill>
              <a:srgbClr val="00B050"/>
            </a:solidFill>
            <a:ln w="25394">
              <a:noFill/>
            </a:ln>
          </c:spPr>
          <c:invertIfNegative val="0"/>
          <c:dLbls>
            <c:spPr>
              <a:noFill/>
              <a:ln w="25394">
                <a:noFill/>
              </a:ln>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Arkusz1!$B$6:$B$16</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Arkusz1!$C$6:$C$16</c:f>
              <c:numCache>
                <c:formatCode>General</c:formatCode>
                <c:ptCount val="11"/>
                <c:pt idx="0">
                  <c:v>761</c:v>
                </c:pt>
                <c:pt idx="1">
                  <c:v>832</c:v>
                </c:pt>
                <c:pt idx="2">
                  <c:v>968</c:v>
                </c:pt>
                <c:pt idx="3">
                  <c:v>1106</c:v>
                </c:pt>
                <c:pt idx="4">
                  <c:v>1281</c:v>
                </c:pt>
                <c:pt idx="5">
                  <c:v>998</c:v>
                </c:pt>
                <c:pt idx="6">
                  <c:v>1015</c:v>
                </c:pt>
                <c:pt idx="7">
                  <c:v>1243</c:v>
                </c:pt>
                <c:pt idx="8">
                  <c:v>1516</c:v>
                </c:pt>
                <c:pt idx="9">
                  <c:v>1872</c:v>
                </c:pt>
                <c:pt idx="10">
                  <c:v>1866</c:v>
                </c:pt>
              </c:numCache>
            </c:numRef>
          </c:val>
          <c:extLst>
            <c:ext xmlns:c16="http://schemas.microsoft.com/office/drawing/2014/chart" uri="{C3380CC4-5D6E-409C-BE32-E72D297353CC}">
              <c16:uniqueId val="{00000000-2837-4659-9CBC-CCEB80F5BC1A}"/>
            </c:ext>
          </c:extLst>
        </c:ser>
        <c:dLbls>
          <c:showLegendKey val="0"/>
          <c:showVal val="0"/>
          <c:showCatName val="0"/>
          <c:showSerName val="0"/>
          <c:showPercent val="0"/>
          <c:showBubbleSize val="0"/>
        </c:dLbls>
        <c:gapWidth val="150"/>
        <c:shape val="box"/>
        <c:axId val="2037390720"/>
        <c:axId val="1"/>
        <c:axId val="0"/>
      </c:bar3DChart>
      <c:catAx>
        <c:axId val="2037390720"/>
        <c:scaling>
          <c:orientation val="minMax"/>
        </c:scaling>
        <c:delete val="0"/>
        <c:axPos val="b"/>
        <c:numFmt formatCode="General" sourceLinked="1"/>
        <c:majorTickMark val="none"/>
        <c:minorTickMark val="none"/>
        <c:tickLblPos val="nextTo"/>
        <c:spPr>
          <a:ln w="6349">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
        <c:crosses val="autoZero"/>
        <c:auto val="1"/>
        <c:lblAlgn val="ctr"/>
        <c:lblOffset val="100"/>
        <c:noMultiLvlLbl val="0"/>
      </c:catAx>
      <c:valAx>
        <c:axId val="1"/>
        <c:scaling>
          <c:orientation val="minMax"/>
        </c:scaling>
        <c:delete val="0"/>
        <c:axPos val="l"/>
        <c:majorGridlines>
          <c:spPr>
            <a:ln w="9523" cap="flat" cmpd="sng" algn="ctr">
              <a:solidFill>
                <a:schemeClr val="tx1">
                  <a:lumMod val="15000"/>
                  <a:lumOff val="85000"/>
                </a:schemeClr>
              </a:solidFill>
              <a:round/>
            </a:ln>
            <a:effectLst/>
          </c:spPr>
        </c:majorGridlines>
        <c:numFmt formatCode="General" sourceLinked="1"/>
        <c:majorTickMark val="none"/>
        <c:minorTickMark val="none"/>
        <c:tickLblPos val="nextTo"/>
        <c:spPr>
          <a:ln w="6349">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37390720"/>
        <c:crosses val="autoZero"/>
        <c:crossBetween val="between"/>
      </c:valAx>
      <c:spPr>
        <a:noFill/>
        <a:ln w="25394">
          <a:noFill/>
        </a:ln>
      </c:spPr>
    </c:plotArea>
    <c:plotVisOnly val="1"/>
    <c:dispBlanksAs val="gap"/>
    <c:showDLblsOverMax val="0"/>
  </c:chart>
  <c:spPr>
    <a:solidFill>
      <a:schemeClr val="bg1"/>
    </a:solidFill>
    <a:ln w="9523"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liczba wydanych orzeczeń</a:t>
            </a:r>
            <a:r>
              <a:rPr lang="pl-PL"/>
              <a:t> ptzrz GIOS jako organ II instancji</a:t>
            </a:r>
            <a:endParaRPr lang="en-US"/>
          </a:p>
        </c:rich>
      </c:tx>
      <c:overlay val="0"/>
      <c:spPr>
        <a:noFill/>
        <a:ln w="25394">
          <a:noFill/>
        </a:ln>
      </c:spPr>
    </c:title>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tx>
            <c:strRef>
              <c:f>Arkusz1!$C$37</c:f>
              <c:strCache>
                <c:ptCount val="1"/>
                <c:pt idx="0">
                  <c:v>liczba wydanych orzeczeń</c:v>
                </c:pt>
              </c:strCache>
            </c:strRef>
          </c:tx>
          <c:spPr>
            <a:solidFill>
              <a:srgbClr val="C00000"/>
            </a:solidFill>
            <a:ln w="25394">
              <a:noFill/>
            </a:ln>
          </c:spPr>
          <c:invertIfNegative val="0"/>
          <c:dLbls>
            <c:spPr>
              <a:noFill/>
              <a:ln w="25394">
                <a:noFill/>
              </a:ln>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Arkusz1!$B$38:$B$48</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Arkusz1!$C$38:$C$48</c:f>
              <c:numCache>
                <c:formatCode>General</c:formatCode>
                <c:ptCount val="11"/>
                <c:pt idx="0">
                  <c:v>693</c:v>
                </c:pt>
                <c:pt idx="1">
                  <c:v>651</c:v>
                </c:pt>
                <c:pt idx="2">
                  <c:v>561</c:v>
                </c:pt>
                <c:pt idx="3">
                  <c:v>869</c:v>
                </c:pt>
                <c:pt idx="4">
                  <c:v>677</c:v>
                </c:pt>
                <c:pt idx="5">
                  <c:v>972</c:v>
                </c:pt>
                <c:pt idx="6">
                  <c:v>1085</c:v>
                </c:pt>
                <c:pt idx="7">
                  <c:v>922</c:v>
                </c:pt>
                <c:pt idx="8">
                  <c:v>1153</c:v>
                </c:pt>
                <c:pt idx="9">
                  <c:v>1162</c:v>
                </c:pt>
                <c:pt idx="10">
                  <c:v>1080</c:v>
                </c:pt>
              </c:numCache>
            </c:numRef>
          </c:val>
          <c:extLst>
            <c:ext xmlns:c16="http://schemas.microsoft.com/office/drawing/2014/chart" uri="{C3380CC4-5D6E-409C-BE32-E72D297353CC}">
              <c16:uniqueId val="{00000000-23F4-46B5-B7EC-18DC8B48CE93}"/>
            </c:ext>
          </c:extLst>
        </c:ser>
        <c:dLbls>
          <c:showLegendKey val="0"/>
          <c:showVal val="0"/>
          <c:showCatName val="0"/>
          <c:showSerName val="0"/>
          <c:showPercent val="0"/>
          <c:showBubbleSize val="0"/>
        </c:dLbls>
        <c:gapWidth val="150"/>
        <c:shape val="box"/>
        <c:axId val="2035507696"/>
        <c:axId val="1"/>
        <c:axId val="0"/>
      </c:bar3DChart>
      <c:catAx>
        <c:axId val="2035507696"/>
        <c:scaling>
          <c:orientation val="minMax"/>
        </c:scaling>
        <c:delete val="0"/>
        <c:axPos val="b"/>
        <c:numFmt formatCode="General" sourceLinked="1"/>
        <c:majorTickMark val="none"/>
        <c:minorTickMark val="none"/>
        <c:tickLblPos val="nextTo"/>
        <c:spPr>
          <a:ln w="6349">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
        <c:crosses val="autoZero"/>
        <c:auto val="1"/>
        <c:lblAlgn val="ctr"/>
        <c:lblOffset val="100"/>
        <c:noMultiLvlLbl val="0"/>
      </c:catAx>
      <c:valAx>
        <c:axId val="1"/>
        <c:scaling>
          <c:orientation val="minMax"/>
        </c:scaling>
        <c:delete val="0"/>
        <c:axPos val="l"/>
        <c:majorGridlines>
          <c:spPr>
            <a:ln w="9523" cap="flat" cmpd="sng" algn="ctr">
              <a:solidFill>
                <a:schemeClr val="tx1">
                  <a:lumMod val="15000"/>
                  <a:lumOff val="85000"/>
                </a:schemeClr>
              </a:solidFill>
              <a:round/>
            </a:ln>
            <a:effectLst/>
          </c:spPr>
        </c:majorGridlines>
        <c:numFmt formatCode="General" sourceLinked="1"/>
        <c:majorTickMark val="none"/>
        <c:minorTickMark val="none"/>
        <c:tickLblPos val="nextTo"/>
        <c:spPr>
          <a:ln w="6349">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35507696"/>
        <c:crosses val="autoZero"/>
        <c:crossBetween val="between"/>
      </c:valAx>
      <c:spPr>
        <a:noFill/>
        <a:ln w="25394">
          <a:noFill/>
        </a:ln>
      </c:spPr>
    </c:plotArea>
    <c:plotVisOnly val="1"/>
    <c:dispBlanksAs val="gap"/>
    <c:showDLblsOverMax val="0"/>
  </c:chart>
  <c:spPr>
    <a:solidFill>
      <a:schemeClr val="bg1"/>
    </a:solidFill>
    <a:ln w="9523"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withinLinear" id="14">
  <a:schemeClr val="accent1"/>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withinLinear" id="17">
  <a:schemeClr val="accent4"/>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6.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7.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8.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9.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0.81688</cdr:x>
      <cdr:y>0.10642</cdr:y>
    </cdr:from>
    <cdr:to>
      <cdr:x>0.98283</cdr:x>
      <cdr:y>0.16892</cdr:y>
    </cdr:to>
    <cdr:sp macro="" textlink="">
      <cdr:nvSpPr>
        <cdr:cNvPr id="2" name="pole tekstowe 1"/>
        <cdr:cNvSpPr txBox="1"/>
      </cdr:nvSpPr>
      <cdr:spPr>
        <a:xfrm xmlns:a="http://schemas.openxmlformats.org/drawingml/2006/main">
          <a:off x="5438774" y="600075"/>
          <a:ext cx="1104900" cy="3524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pl-PL" sz="1100"/>
        </a:p>
      </cdr:txBody>
    </cdr:sp>
  </cdr:relSizeAnchor>
  <cdr:relSizeAnchor xmlns:cdr="http://schemas.openxmlformats.org/drawingml/2006/chartDrawing">
    <cdr:from>
      <cdr:x>0.78301</cdr:x>
      <cdr:y>0.72614</cdr:y>
    </cdr:from>
    <cdr:to>
      <cdr:x>0.82121</cdr:x>
      <cdr:y>0.7267</cdr:y>
    </cdr:to>
    <cdr:cxnSp macro="">
      <cdr:nvCxnSpPr>
        <cdr:cNvPr id="11" name="Łącznik prosty 10">
          <a:extLst xmlns:a="http://schemas.openxmlformats.org/drawingml/2006/main">
            <a:ext uri="{FF2B5EF4-FFF2-40B4-BE49-F238E27FC236}">
              <a16:creationId xmlns:a16="http://schemas.microsoft.com/office/drawing/2014/main" id="{D9D33140-DA76-4E00-83CE-D4D74A048936}"/>
            </a:ext>
          </a:extLst>
        </cdr:cNvPr>
        <cdr:cNvCxnSpPr/>
      </cdr:nvCxnSpPr>
      <cdr:spPr>
        <a:xfrm xmlns:a="http://schemas.openxmlformats.org/drawingml/2006/main" flipV="1">
          <a:off x="4509697" y="3284856"/>
          <a:ext cx="220011" cy="2533"/>
        </a:xfrm>
        <a:prstGeom xmlns:a="http://schemas.openxmlformats.org/drawingml/2006/main" prst="line">
          <a:avLst/>
        </a:prstGeom>
        <a:ln xmlns:a="http://schemas.openxmlformats.org/drawingml/2006/main" w="63500">
          <a:solidFill>
            <a:srgbClr val="FF4C4F"/>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0.80683</cdr:x>
      <cdr:y>0.22973</cdr:y>
    </cdr:from>
    <cdr:to>
      <cdr:x>0.96371</cdr:x>
      <cdr:y>0.29899</cdr:y>
    </cdr:to>
    <cdr:sp macro="" textlink="">
      <cdr:nvSpPr>
        <cdr:cNvPr id="13" name="pole tekstowe 12"/>
        <cdr:cNvSpPr txBox="1"/>
      </cdr:nvSpPr>
      <cdr:spPr>
        <a:xfrm xmlns:a="http://schemas.openxmlformats.org/drawingml/2006/main">
          <a:off x="7200899" y="1295400"/>
          <a:ext cx="1400175" cy="3905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pl-PL" sz="1100"/>
        </a:p>
      </cdr:txBody>
    </cdr:sp>
  </cdr:relSizeAnchor>
  <cdr:relSizeAnchor xmlns:cdr="http://schemas.openxmlformats.org/drawingml/2006/chartDrawing">
    <cdr:from>
      <cdr:x>0.83206</cdr:x>
      <cdr:y>0.24473</cdr:y>
    </cdr:from>
    <cdr:to>
      <cdr:x>0.99815</cdr:x>
      <cdr:y>0.58425</cdr:y>
    </cdr:to>
    <cdr:sp macro="" textlink="">
      <cdr:nvSpPr>
        <cdr:cNvPr id="15" name="pole tekstowe 2"/>
        <cdr:cNvSpPr txBox="1"/>
      </cdr:nvSpPr>
      <cdr:spPr>
        <a:xfrm xmlns:a="http://schemas.openxmlformats.org/drawingml/2006/main">
          <a:off x="4792207" y="1307565"/>
          <a:ext cx="956585" cy="1814023"/>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l-PL" sz="1000" b="0" i="0">
              <a:solidFill>
                <a:schemeClr val="tx1"/>
              </a:solidFill>
              <a:effectLst/>
              <a:latin typeface="+mn-lt"/>
              <a:ea typeface="+mn-ea"/>
              <a:cs typeface="+mn-cs"/>
            </a:rPr>
            <a:t>stężenie pyłu</a:t>
          </a:r>
          <a:r>
            <a:rPr lang="pl-PL" sz="1000" b="0" i="0" baseline="0">
              <a:solidFill>
                <a:schemeClr val="tx1"/>
              </a:solidFill>
              <a:effectLst/>
              <a:latin typeface="+mn-lt"/>
              <a:ea typeface="+mn-ea"/>
              <a:cs typeface="+mn-cs"/>
            </a:rPr>
            <a:t> zawieszonego</a:t>
          </a:r>
          <a:r>
            <a:rPr lang="pl-PL" sz="1000" b="0" i="0">
              <a:solidFill>
                <a:schemeClr val="tx1"/>
              </a:solidFill>
              <a:effectLst/>
              <a:latin typeface="+mn-lt"/>
              <a:ea typeface="+mn-ea"/>
              <a:cs typeface="+mn-cs"/>
            </a:rPr>
            <a:t> PM2,5 &gt;</a:t>
          </a:r>
          <a:r>
            <a:rPr lang="pl-PL" sz="1000" b="0" i="0" baseline="0">
              <a:solidFill>
                <a:schemeClr val="tx1"/>
              </a:solidFill>
              <a:effectLst/>
              <a:latin typeface="+mn-lt"/>
              <a:ea typeface="+mn-ea"/>
              <a:cs typeface="+mn-cs"/>
            </a:rPr>
            <a:t> </a:t>
          </a:r>
          <a:r>
            <a:rPr lang="pl-PL" sz="1000" b="0" i="0">
              <a:solidFill>
                <a:schemeClr val="tx1"/>
              </a:solidFill>
              <a:effectLst/>
              <a:latin typeface="+mn-lt"/>
              <a:ea typeface="+mn-ea"/>
              <a:cs typeface="+mn-cs"/>
            </a:rPr>
            <a:t>krajowy cel redukcji narażenia i stężenie pyłu</a:t>
          </a:r>
          <a:r>
            <a:rPr lang="pl-PL" sz="1000" b="0" i="0" baseline="0">
              <a:solidFill>
                <a:schemeClr val="tx1"/>
              </a:solidFill>
              <a:effectLst/>
              <a:latin typeface="+mn-lt"/>
              <a:ea typeface="+mn-ea"/>
              <a:cs typeface="+mn-cs"/>
            </a:rPr>
            <a:t> zawieszonego</a:t>
          </a:r>
          <a:r>
            <a:rPr lang="pl-PL" sz="1000" b="0" i="0">
              <a:solidFill>
                <a:schemeClr val="tx1"/>
              </a:solidFill>
              <a:effectLst/>
              <a:latin typeface="+mn-lt"/>
              <a:ea typeface="+mn-ea"/>
              <a:cs typeface="+mn-cs"/>
            </a:rPr>
            <a:t> PM2,5  </a:t>
          </a:r>
          <a:r>
            <a:rPr lang="pl-PL" sz="1000" b="0" i="0">
              <a:solidFill>
                <a:schemeClr val="tx1"/>
              </a:solidFill>
              <a:effectLst/>
              <a:latin typeface="+mn-lt"/>
              <a:ea typeface="+mn-ea"/>
              <a:cs typeface="Calibri" panose="020F0502020204030204" pitchFamily="34" charset="0"/>
            </a:rPr>
            <a:t>≤</a:t>
          </a:r>
          <a:r>
            <a:rPr lang="pl-PL" sz="1000" b="0" i="0">
              <a:solidFill>
                <a:schemeClr val="tx1"/>
              </a:solidFill>
              <a:effectLst/>
              <a:latin typeface="+mn-lt"/>
              <a:ea typeface="+mn-ea"/>
              <a:cs typeface="+mn-cs"/>
            </a:rPr>
            <a:t> pułap stężenia ekspozycji</a:t>
          </a:r>
          <a:endParaRPr lang="pl-PL" sz="1000" b="0" i="0">
            <a:latin typeface="+mn-lt"/>
          </a:endParaRPr>
        </a:p>
      </cdr:txBody>
    </cdr:sp>
  </cdr:relSizeAnchor>
  <cdr:relSizeAnchor xmlns:cdr="http://schemas.openxmlformats.org/drawingml/2006/chartDrawing">
    <cdr:from>
      <cdr:x>0.82945</cdr:x>
      <cdr:y>0.64662</cdr:y>
    </cdr:from>
    <cdr:to>
      <cdr:x>0.99401</cdr:x>
      <cdr:y>0.89826</cdr:y>
    </cdr:to>
    <cdr:sp macro="" textlink="">
      <cdr:nvSpPr>
        <cdr:cNvPr id="16" name="pole tekstowe 2"/>
        <cdr:cNvSpPr txBox="1"/>
      </cdr:nvSpPr>
      <cdr:spPr>
        <a:xfrm xmlns:a="http://schemas.openxmlformats.org/drawingml/2006/main">
          <a:off x="4777176" y="3454813"/>
          <a:ext cx="947764" cy="1344471"/>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l-PL" sz="1000" b="0" i="0">
              <a:solidFill>
                <a:schemeClr val="tx1"/>
              </a:solidFill>
              <a:effectLst/>
              <a:latin typeface="+mn-lt"/>
              <a:ea typeface="+mn-ea"/>
              <a:cs typeface="+mn-cs"/>
            </a:rPr>
            <a:t>stężenie pyłu zawieszonego PM2,5 &gt; pułap stężenia ekspozycji i poziom dopuszczalny (faza II)</a:t>
          </a:r>
          <a:endParaRPr lang="pl-PL" sz="1000" b="0" i="0"/>
        </a:p>
      </cdr:txBody>
    </cdr:sp>
  </cdr:relSizeAnchor>
  <cdr:relSizeAnchor xmlns:cdr="http://schemas.openxmlformats.org/drawingml/2006/chartDrawing">
    <cdr:from>
      <cdr:x>0.82944</cdr:x>
      <cdr:y>0.02969</cdr:y>
    </cdr:from>
    <cdr:to>
      <cdr:x>0.99568</cdr:x>
      <cdr:y>0.22274</cdr:y>
    </cdr:to>
    <cdr:sp macro="" textlink="">
      <cdr:nvSpPr>
        <cdr:cNvPr id="30" name="pole tekstowe 2"/>
        <cdr:cNvSpPr txBox="1"/>
      </cdr:nvSpPr>
      <cdr:spPr>
        <a:xfrm xmlns:a="http://schemas.openxmlformats.org/drawingml/2006/main">
          <a:off x="4777118" y="158623"/>
          <a:ext cx="957451" cy="1031436"/>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l-PL" sz="1000" b="0" i="0">
              <a:solidFill>
                <a:schemeClr val="tx1"/>
              </a:solidFill>
              <a:effectLst/>
              <a:latin typeface="+mn-lt"/>
              <a:ea typeface="+mn-ea"/>
              <a:cs typeface="+mn-cs"/>
            </a:rPr>
            <a:t>stężenie pyłu zawieszonego PM2,5 ≤ krajowy cel redukcji narażenia </a:t>
          </a:r>
          <a:endParaRPr lang="pl-PL" sz="1000" b="0" i="0"/>
        </a:p>
      </cdr:txBody>
    </cdr:sp>
  </cdr:relSizeAnchor>
  <cdr:relSizeAnchor xmlns:cdr="http://schemas.openxmlformats.org/drawingml/2006/chartDrawing">
    <cdr:from>
      <cdr:x>0.78261</cdr:x>
      <cdr:y>0.29612</cdr:y>
    </cdr:from>
    <cdr:to>
      <cdr:x>0.8208</cdr:x>
      <cdr:y>0.29668</cdr:y>
    </cdr:to>
    <cdr:cxnSp macro="">
      <cdr:nvCxnSpPr>
        <cdr:cNvPr id="34" name="Łącznik prosty 33">
          <a:extLst xmlns:a="http://schemas.openxmlformats.org/drawingml/2006/main">
            <a:ext uri="{FF2B5EF4-FFF2-40B4-BE49-F238E27FC236}">
              <a16:creationId xmlns:a16="http://schemas.microsoft.com/office/drawing/2014/main" id="{30479F85-E8F0-4679-B4C7-719188E8FE09}"/>
            </a:ext>
          </a:extLst>
        </cdr:cNvPr>
        <cdr:cNvCxnSpPr/>
      </cdr:nvCxnSpPr>
      <cdr:spPr>
        <a:xfrm xmlns:a="http://schemas.openxmlformats.org/drawingml/2006/main" flipV="1">
          <a:off x="4507375" y="1339570"/>
          <a:ext cx="219953" cy="2533"/>
        </a:xfrm>
        <a:prstGeom xmlns:a="http://schemas.openxmlformats.org/drawingml/2006/main" prst="line">
          <a:avLst/>
        </a:prstGeom>
        <a:ln xmlns:a="http://schemas.openxmlformats.org/drawingml/2006/main" w="63500">
          <a:solidFill>
            <a:srgbClr val="FDE95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0.78333</cdr:x>
      <cdr:y>0.09502</cdr:y>
    </cdr:from>
    <cdr:to>
      <cdr:x>0.82152</cdr:x>
      <cdr:y>0.09559</cdr:y>
    </cdr:to>
    <cdr:cxnSp macro="">
      <cdr:nvCxnSpPr>
        <cdr:cNvPr id="35" name="Łącznik prosty 34">
          <a:extLst xmlns:a="http://schemas.openxmlformats.org/drawingml/2006/main">
            <a:ext uri="{FF2B5EF4-FFF2-40B4-BE49-F238E27FC236}">
              <a16:creationId xmlns:a16="http://schemas.microsoft.com/office/drawing/2014/main" id="{4FA1EAF6-A7A5-41A9-8083-D5D666F0DC1E}"/>
            </a:ext>
          </a:extLst>
        </cdr:cNvPr>
        <cdr:cNvCxnSpPr/>
      </cdr:nvCxnSpPr>
      <cdr:spPr>
        <a:xfrm xmlns:a="http://schemas.openxmlformats.org/drawingml/2006/main" flipV="1">
          <a:off x="4511575" y="532705"/>
          <a:ext cx="219953" cy="3195"/>
        </a:xfrm>
        <a:prstGeom xmlns:a="http://schemas.openxmlformats.org/drawingml/2006/main" prst="line">
          <a:avLst/>
        </a:prstGeom>
        <a:ln xmlns:a="http://schemas.openxmlformats.org/drawingml/2006/main" w="63500">
          <a:solidFill>
            <a:srgbClr val="3CB30D"/>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0.85235</cdr:x>
      <cdr:y>0.69287</cdr:y>
    </cdr:from>
    <cdr:to>
      <cdr:x>0.97876</cdr:x>
      <cdr:y>0.80378</cdr:y>
    </cdr:to>
    <cdr:sp macro="" textlink="">
      <cdr:nvSpPr>
        <cdr:cNvPr id="3" name="Pole tekstowe 2"/>
        <cdr:cNvSpPr txBox="1"/>
      </cdr:nvSpPr>
      <cdr:spPr>
        <a:xfrm xmlns:a="http://schemas.openxmlformats.org/drawingml/2006/main">
          <a:off x="5179161" y="4250131"/>
          <a:ext cx="768096" cy="68031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pl-PL" sz="1100"/>
        </a:p>
      </cdr:txBody>
    </cdr:sp>
  </cdr:relSizeAnchor>
</c:userShape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0</TotalTime>
  <Pages>401</Pages>
  <Words>129008</Words>
  <Characters>774051</Characters>
  <Application>Microsoft Office Word</Application>
  <DocSecurity>0</DocSecurity>
  <Lines>6450</Lines>
  <Paragraphs>1802</Paragraphs>
  <ScaleCrop>false</ScaleCrop>
  <HeadingPairs>
    <vt:vector size="2" baseType="variant">
      <vt:variant>
        <vt:lpstr>Tytuł</vt:lpstr>
      </vt:variant>
      <vt:variant>
        <vt:i4>1</vt:i4>
      </vt:variant>
    </vt:vector>
  </HeadingPairs>
  <TitlesOfParts>
    <vt:vector size="1" baseType="lpstr">
      <vt:lpstr>Informacja o realizacji zadań IOŚ w 2022 r</vt:lpstr>
    </vt:vector>
  </TitlesOfParts>
  <Company/>
  <LinksUpToDate>false</LinksUpToDate>
  <CharactersWithSpaces>901257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Informacja o realizacji zadań IOŚ w 2022 r</dc:title>
  <dc:subject/>
  <dc:creator/>
  <cp:keywords>Informacja o realizacji zadań IOŚ</cp:keywords>
  <dc:description/>
  <cp:lastModifiedBy/>
  <cp:revision>1</cp:revision>
  <dcterms:created xsi:type="dcterms:W3CDTF">2023-12-13T12:29:00Z</dcterms:created>
  <dcterms:modified xsi:type="dcterms:W3CDTF">2023-12-13T12:29:00Z</dcterms:modified>
</cp:coreProperties>
</file>